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6906" w14:textId="1755D803" w:rsidR="00412965" w:rsidRPr="007B324D" w:rsidRDefault="008A5317" w:rsidP="0089644A">
      <w:pPr>
        <w:tabs>
          <w:tab w:val="left" w:pos="3544"/>
        </w:tabs>
        <w:spacing w:before="120" w:line="276" w:lineRule="auto"/>
        <w:jc w:val="center"/>
        <w:rPr>
          <w:rFonts w:ascii="72 Light" w:hAnsi="72 Light" w:cs="72 Light"/>
          <w:b/>
          <w:bCs/>
          <w:sz w:val="28"/>
          <w:szCs w:val="28"/>
          <w:lang w:val="fr-CA"/>
        </w:rPr>
      </w:pPr>
      <w:bookmarkStart w:id="0" w:name="lt_pId000"/>
      <w:r w:rsidRPr="007B324D">
        <w:rPr>
          <w:rFonts w:ascii="72 Light" w:hAnsi="72 Light" w:cs="72 Light"/>
          <w:b/>
          <w:bCs/>
          <w:sz w:val="28"/>
          <w:szCs w:val="28"/>
          <w:lang w:val="fr-CA"/>
        </w:rPr>
        <w:t>Annexe</w:t>
      </w:r>
      <w:r w:rsidR="00042C3C" w:rsidRPr="007B324D">
        <w:rPr>
          <w:rFonts w:ascii="72 Light" w:hAnsi="72 Light" w:cs="72 Light"/>
          <w:b/>
          <w:bCs/>
          <w:sz w:val="28"/>
          <w:szCs w:val="28"/>
          <w:lang w:val="fr-CA"/>
        </w:rPr>
        <w:t> </w:t>
      </w:r>
      <w:r w:rsidRPr="007B324D">
        <w:rPr>
          <w:rFonts w:ascii="72 Light" w:hAnsi="72 Light" w:cs="72 Light"/>
          <w:b/>
          <w:bCs/>
          <w:sz w:val="28"/>
          <w:szCs w:val="28"/>
          <w:lang w:val="fr-CA"/>
        </w:rPr>
        <w:t>2</w:t>
      </w:r>
      <w:r w:rsidR="00112C96" w:rsidRPr="007B324D">
        <w:rPr>
          <w:rFonts w:ascii="72 Light" w:hAnsi="72 Light" w:cs="72 Light"/>
          <w:b/>
          <w:bCs/>
          <w:sz w:val="28"/>
          <w:szCs w:val="28"/>
          <w:lang w:val="fr-CA"/>
        </w:rPr>
        <w:t xml:space="preserve"> - </w:t>
      </w:r>
      <w:r w:rsidRPr="007B324D">
        <w:rPr>
          <w:rFonts w:ascii="72 Light" w:hAnsi="72 Light" w:cs="72 Light"/>
          <w:b/>
          <w:bCs/>
          <w:sz w:val="28"/>
          <w:szCs w:val="28"/>
          <w:lang w:val="fr-CA"/>
        </w:rPr>
        <w:t>«</w:t>
      </w:r>
      <w:r w:rsidR="00042C3C" w:rsidRPr="007B324D">
        <w:rPr>
          <w:rFonts w:ascii="Arial" w:hAnsi="Arial" w:cs="Arial"/>
          <w:b/>
          <w:bCs/>
          <w:sz w:val="28"/>
          <w:szCs w:val="28"/>
          <w:lang w:val="fr-CA"/>
        </w:rPr>
        <w:t> </w:t>
      </w:r>
      <w:r w:rsidR="00F96363" w:rsidRPr="007B324D">
        <w:rPr>
          <w:rFonts w:ascii="72 Light" w:hAnsi="72 Light" w:cs="72 Light"/>
          <w:b/>
          <w:bCs/>
          <w:sz w:val="28"/>
          <w:szCs w:val="28"/>
          <w:lang w:val="fr-CA"/>
        </w:rPr>
        <w:t>Ce que nous avons entendu</w:t>
      </w:r>
      <w:r w:rsidR="00042C3C" w:rsidRPr="007B324D">
        <w:rPr>
          <w:rFonts w:ascii="Arial" w:hAnsi="Arial" w:cs="Arial"/>
          <w:b/>
          <w:bCs/>
          <w:sz w:val="28"/>
          <w:szCs w:val="28"/>
          <w:lang w:val="fr-CA"/>
        </w:rPr>
        <w:t> </w:t>
      </w:r>
      <w:r w:rsidRPr="007B324D">
        <w:rPr>
          <w:rFonts w:ascii="72 Light" w:hAnsi="72 Light" w:cs="72 Light"/>
          <w:b/>
          <w:bCs/>
          <w:sz w:val="28"/>
          <w:szCs w:val="28"/>
          <w:lang w:val="fr-CA"/>
        </w:rPr>
        <w:t>»</w:t>
      </w:r>
    </w:p>
    <w:p w14:paraId="6C728CE9" w14:textId="523CD8F1" w:rsidR="00BF3013" w:rsidRPr="007B324D" w:rsidRDefault="00BF3013" w:rsidP="0089644A">
      <w:pPr>
        <w:tabs>
          <w:tab w:val="left" w:pos="3544"/>
        </w:tabs>
        <w:spacing w:before="120" w:line="276" w:lineRule="auto"/>
        <w:jc w:val="center"/>
        <w:rPr>
          <w:rFonts w:ascii="72 Light" w:hAnsi="72 Light" w:cs="72 Light"/>
          <w:sz w:val="28"/>
          <w:szCs w:val="28"/>
          <w:lang w:val="fr-CA"/>
        </w:rPr>
      </w:pPr>
      <w:r w:rsidRPr="007B324D">
        <w:rPr>
          <w:rFonts w:ascii="72 Light" w:hAnsi="72 Light" w:cs="72 Light"/>
          <w:b/>
          <w:bCs/>
          <w:sz w:val="28"/>
          <w:szCs w:val="28"/>
          <w:lang w:val="fr-CA"/>
        </w:rPr>
        <w:t xml:space="preserve">Observations sur </w:t>
      </w:r>
      <w:r w:rsidR="007F260F" w:rsidRPr="007B324D">
        <w:rPr>
          <w:rFonts w:ascii="72 Light" w:hAnsi="72 Light" w:cs="72 Light"/>
          <w:b/>
          <w:bCs/>
          <w:sz w:val="28"/>
          <w:szCs w:val="28"/>
          <w:lang w:val="fr-CA"/>
        </w:rPr>
        <w:t>l’ébauche du rapport</w:t>
      </w:r>
      <w:r w:rsidRPr="007B324D">
        <w:rPr>
          <w:rFonts w:ascii="72 Light" w:hAnsi="72 Light" w:cs="72 Light"/>
          <w:b/>
          <w:bCs/>
          <w:sz w:val="28"/>
          <w:szCs w:val="28"/>
          <w:lang w:val="fr-CA"/>
        </w:rPr>
        <w:t xml:space="preserve"> national du Canada dans le cadre du quatrième Examen périodique universel</w:t>
      </w:r>
    </w:p>
    <w:bookmarkEnd w:id="0" w:displacedByCustomXml="next"/>
    <w:bookmarkStart w:id="1" w:name="lt_pId001" w:displacedByCustomXml="next"/>
    <w:sdt>
      <w:sdtPr>
        <w:rPr>
          <w:rFonts w:ascii="72 Light" w:eastAsia="MS Mincho" w:hAnsi="72 Light" w:cs="72 Light"/>
          <w:color w:val="2F5496" w:themeColor="accent5" w:themeShade="BF"/>
          <w:sz w:val="18"/>
          <w:szCs w:val="18"/>
          <w:lang w:val="fr-FR" w:eastAsia="en-US"/>
        </w:rPr>
        <w:id w:val="576709629"/>
        <w:docPartObj>
          <w:docPartGallery w:val="Table of Contents"/>
          <w:docPartUnique/>
        </w:docPartObj>
      </w:sdtPr>
      <w:sdtEndPr>
        <w:rPr>
          <w:b/>
          <w:bCs/>
          <w:color w:val="auto"/>
          <w:sz w:val="22"/>
          <w:szCs w:val="22"/>
        </w:rPr>
      </w:sdtEndPr>
      <w:sdtContent>
        <w:p w14:paraId="3D941FAB" w14:textId="18BC770C" w:rsidR="005D1236" w:rsidRPr="007B324D" w:rsidRDefault="005D1236">
          <w:pPr>
            <w:pStyle w:val="TOCHeading"/>
            <w:rPr>
              <w:rFonts w:ascii="72 Light" w:hAnsi="72 Light" w:cs="72 Light"/>
              <w:color w:val="2F5496" w:themeColor="accent5" w:themeShade="BF"/>
              <w:sz w:val="24"/>
              <w:szCs w:val="24"/>
            </w:rPr>
          </w:pPr>
          <w:r w:rsidRPr="007B324D">
            <w:rPr>
              <w:rFonts w:ascii="72 Light" w:hAnsi="72 Light" w:cs="72 Light"/>
              <w:color w:val="2F5496" w:themeColor="accent5" w:themeShade="BF"/>
              <w:sz w:val="24"/>
              <w:szCs w:val="24"/>
              <w:lang w:val="fr-FR"/>
            </w:rPr>
            <w:t>Table des matières</w:t>
          </w:r>
        </w:p>
        <w:p w14:paraId="44379C6F" w14:textId="0854BA1F" w:rsidR="00AF3D29" w:rsidRPr="007B324D" w:rsidRDefault="005D1236">
          <w:pPr>
            <w:pStyle w:val="TOC2"/>
            <w:rPr>
              <w:rFonts w:ascii="72 Light" w:eastAsiaTheme="minorEastAsia" w:hAnsi="72 Light" w:cs="72 Light"/>
              <w:noProof/>
              <w:kern w:val="2"/>
              <w:lang w:eastAsia="en-CA"/>
              <w14:ligatures w14:val="standardContextual"/>
            </w:rPr>
          </w:pPr>
          <w:r w:rsidRPr="007B324D">
            <w:rPr>
              <w:rFonts w:ascii="72 Light" w:hAnsi="72 Light" w:cs="72 Light"/>
            </w:rPr>
            <w:fldChar w:fldCharType="begin"/>
          </w:r>
          <w:r w:rsidRPr="007B324D">
            <w:rPr>
              <w:rFonts w:ascii="72 Light" w:hAnsi="72 Light" w:cs="72 Light"/>
            </w:rPr>
            <w:instrText xml:space="preserve"> TOC \o "1-3" \h \z \u </w:instrText>
          </w:r>
          <w:r w:rsidRPr="007B324D">
            <w:rPr>
              <w:rFonts w:ascii="72 Light" w:hAnsi="72 Light" w:cs="72 Light"/>
            </w:rPr>
            <w:fldChar w:fldCharType="separate"/>
          </w:r>
          <w:hyperlink w:anchor="_Toc147829623" w:history="1">
            <w:r w:rsidR="00AF3D29" w:rsidRPr="007B324D">
              <w:rPr>
                <w:rStyle w:val="Hyperlink"/>
                <w:rFonts w:ascii="72 Light" w:hAnsi="72 Light" w:cs="72 Light"/>
                <w:noProof/>
                <w:lang w:val="fr-CA"/>
              </w:rPr>
              <w:t>Contribution de l’Assemblée des Premières Nations</w:t>
            </w:r>
            <w:r w:rsidR="00AF3D29" w:rsidRPr="007B324D">
              <w:rPr>
                <w:rFonts w:ascii="72 Light" w:hAnsi="72 Light" w:cs="72 Light"/>
                <w:noProof/>
                <w:webHidden/>
              </w:rPr>
              <w:tab/>
            </w:r>
            <w:r w:rsidR="00AF3D29" w:rsidRPr="007B324D">
              <w:rPr>
                <w:rFonts w:ascii="72 Light" w:hAnsi="72 Light" w:cs="72 Light"/>
                <w:noProof/>
                <w:webHidden/>
              </w:rPr>
              <w:fldChar w:fldCharType="begin"/>
            </w:r>
            <w:r w:rsidR="00AF3D29" w:rsidRPr="007B324D">
              <w:rPr>
                <w:rFonts w:ascii="72 Light" w:hAnsi="72 Light" w:cs="72 Light"/>
                <w:noProof/>
                <w:webHidden/>
              </w:rPr>
              <w:instrText xml:space="preserve"> PAGEREF _Toc147829623 \h </w:instrText>
            </w:r>
            <w:r w:rsidR="00AF3D29" w:rsidRPr="007B324D">
              <w:rPr>
                <w:rFonts w:ascii="72 Light" w:hAnsi="72 Light" w:cs="72 Light"/>
                <w:noProof/>
                <w:webHidden/>
              </w:rPr>
            </w:r>
            <w:r w:rsidR="00AF3D29" w:rsidRPr="007B324D">
              <w:rPr>
                <w:rFonts w:ascii="72 Light" w:hAnsi="72 Light" w:cs="72 Light"/>
                <w:noProof/>
                <w:webHidden/>
              </w:rPr>
              <w:fldChar w:fldCharType="separate"/>
            </w:r>
            <w:r w:rsidR="00AF3D29" w:rsidRPr="007B324D">
              <w:rPr>
                <w:rFonts w:ascii="72 Light" w:hAnsi="72 Light" w:cs="72 Light"/>
                <w:noProof/>
                <w:webHidden/>
              </w:rPr>
              <w:t>3</w:t>
            </w:r>
            <w:r w:rsidR="00AF3D29" w:rsidRPr="007B324D">
              <w:rPr>
                <w:rFonts w:ascii="72 Light" w:hAnsi="72 Light" w:cs="72 Light"/>
                <w:noProof/>
                <w:webHidden/>
              </w:rPr>
              <w:fldChar w:fldCharType="end"/>
            </w:r>
          </w:hyperlink>
        </w:p>
        <w:p w14:paraId="247918A8" w14:textId="7FF64E2F" w:rsidR="00AF3D29" w:rsidRPr="007B324D" w:rsidRDefault="00413FAD">
          <w:pPr>
            <w:pStyle w:val="TOC2"/>
            <w:rPr>
              <w:rFonts w:ascii="72 Light" w:eastAsiaTheme="minorEastAsia" w:hAnsi="72 Light" w:cs="72 Light"/>
              <w:noProof/>
              <w:kern w:val="2"/>
              <w:lang w:eastAsia="en-CA"/>
              <w14:ligatures w14:val="standardContextual"/>
            </w:rPr>
          </w:pPr>
          <w:hyperlink w:anchor="_Toc147829624" w:history="1">
            <w:r w:rsidR="00AF3D29" w:rsidRPr="007B324D">
              <w:rPr>
                <w:rStyle w:val="Hyperlink"/>
                <w:rFonts w:ascii="72 Light" w:hAnsi="72 Light" w:cs="72 Light"/>
                <w:noProof/>
                <w:lang w:val="fr-CA"/>
              </w:rPr>
              <w:t>Contribution de l’Inuit Tapiriit Kanatami</w:t>
            </w:r>
            <w:r w:rsidR="00AF3D29" w:rsidRPr="007B324D">
              <w:rPr>
                <w:rFonts w:ascii="72 Light" w:hAnsi="72 Light" w:cs="72 Light"/>
                <w:noProof/>
                <w:webHidden/>
              </w:rPr>
              <w:tab/>
            </w:r>
            <w:r w:rsidR="00AF3D29" w:rsidRPr="007B324D">
              <w:rPr>
                <w:rFonts w:ascii="72 Light" w:hAnsi="72 Light" w:cs="72 Light"/>
                <w:noProof/>
                <w:webHidden/>
              </w:rPr>
              <w:fldChar w:fldCharType="begin"/>
            </w:r>
            <w:r w:rsidR="00AF3D29" w:rsidRPr="007B324D">
              <w:rPr>
                <w:rFonts w:ascii="72 Light" w:hAnsi="72 Light" w:cs="72 Light"/>
                <w:noProof/>
                <w:webHidden/>
              </w:rPr>
              <w:instrText xml:space="preserve"> PAGEREF _Toc147829624 \h </w:instrText>
            </w:r>
            <w:r w:rsidR="00AF3D29" w:rsidRPr="007B324D">
              <w:rPr>
                <w:rFonts w:ascii="72 Light" w:hAnsi="72 Light" w:cs="72 Light"/>
                <w:noProof/>
                <w:webHidden/>
              </w:rPr>
            </w:r>
            <w:r w:rsidR="00AF3D29" w:rsidRPr="007B324D">
              <w:rPr>
                <w:rFonts w:ascii="72 Light" w:hAnsi="72 Light" w:cs="72 Light"/>
                <w:noProof/>
                <w:webHidden/>
              </w:rPr>
              <w:fldChar w:fldCharType="separate"/>
            </w:r>
            <w:r w:rsidR="00AF3D29" w:rsidRPr="007B324D">
              <w:rPr>
                <w:rFonts w:ascii="72 Light" w:hAnsi="72 Light" w:cs="72 Light"/>
                <w:noProof/>
                <w:webHidden/>
              </w:rPr>
              <w:t>26</w:t>
            </w:r>
            <w:r w:rsidR="00AF3D29" w:rsidRPr="007B324D">
              <w:rPr>
                <w:rFonts w:ascii="72 Light" w:hAnsi="72 Light" w:cs="72 Light"/>
                <w:noProof/>
                <w:webHidden/>
              </w:rPr>
              <w:fldChar w:fldCharType="end"/>
            </w:r>
          </w:hyperlink>
        </w:p>
        <w:p w14:paraId="54B39FB3" w14:textId="6CEA750B" w:rsidR="00AF3D29" w:rsidRPr="007B324D" w:rsidRDefault="00413FAD">
          <w:pPr>
            <w:pStyle w:val="TOC2"/>
            <w:rPr>
              <w:rFonts w:ascii="72 Light" w:eastAsiaTheme="minorEastAsia" w:hAnsi="72 Light" w:cs="72 Light"/>
              <w:noProof/>
              <w:kern w:val="2"/>
              <w:lang w:eastAsia="en-CA"/>
              <w14:ligatures w14:val="standardContextual"/>
            </w:rPr>
          </w:pPr>
          <w:hyperlink w:anchor="_Toc147829625" w:history="1">
            <w:r w:rsidR="00AF3D29" w:rsidRPr="007B324D">
              <w:rPr>
                <w:rStyle w:val="Hyperlink"/>
                <w:rFonts w:ascii="72 Light" w:hAnsi="72 Light" w:cs="72 Light"/>
                <w:noProof/>
                <w:lang w:val="fr-CA"/>
              </w:rPr>
              <w:t>Contribution du Ralliement national des Métis</w:t>
            </w:r>
            <w:r w:rsidR="00AF3D29" w:rsidRPr="007B324D">
              <w:rPr>
                <w:rFonts w:ascii="72 Light" w:hAnsi="72 Light" w:cs="72 Light"/>
                <w:noProof/>
                <w:webHidden/>
              </w:rPr>
              <w:tab/>
            </w:r>
            <w:r w:rsidR="00AF3D29" w:rsidRPr="007B324D">
              <w:rPr>
                <w:rFonts w:ascii="72 Light" w:hAnsi="72 Light" w:cs="72 Light"/>
                <w:noProof/>
                <w:webHidden/>
              </w:rPr>
              <w:fldChar w:fldCharType="begin"/>
            </w:r>
            <w:r w:rsidR="00AF3D29" w:rsidRPr="007B324D">
              <w:rPr>
                <w:rFonts w:ascii="72 Light" w:hAnsi="72 Light" w:cs="72 Light"/>
                <w:noProof/>
                <w:webHidden/>
              </w:rPr>
              <w:instrText xml:space="preserve"> PAGEREF _Toc147829625 \h </w:instrText>
            </w:r>
            <w:r w:rsidR="00AF3D29" w:rsidRPr="007B324D">
              <w:rPr>
                <w:rFonts w:ascii="72 Light" w:hAnsi="72 Light" w:cs="72 Light"/>
                <w:noProof/>
                <w:webHidden/>
              </w:rPr>
            </w:r>
            <w:r w:rsidR="00AF3D29" w:rsidRPr="007B324D">
              <w:rPr>
                <w:rFonts w:ascii="72 Light" w:hAnsi="72 Light" w:cs="72 Light"/>
                <w:noProof/>
                <w:webHidden/>
              </w:rPr>
              <w:fldChar w:fldCharType="separate"/>
            </w:r>
            <w:r w:rsidR="00AF3D29" w:rsidRPr="007B324D">
              <w:rPr>
                <w:rFonts w:ascii="72 Light" w:hAnsi="72 Light" w:cs="72 Light"/>
                <w:noProof/>
                <w:webHidden/>
              </w:rPr>
              <w:t>28</w:t>
            </w:r>
            <w:r w:rsidR="00AF3D29" w:rsidRPr="007B324D">
              <w:rPr>
                <w:rFonts w:ascii="72 Light" w:hAnsi="72 Light" w:cs="72 Light"/>
                <w:noProof/>
                <w:webHidden/>
              </w:rPr>
              <w:fldChar w:fldCharType="end"/>
            </w:r>
          </w:hyperlink>
        </w:p>
        <w:p w14:paraId="0A02787D" w14:textId="34F9906C" w:rsidR="00AF3D29" w:rsidRPr="007B324D" w:rsidRDefault="00413FAD">
          <w:pPr>
            <w:pStyle w:val="TOC2"/>
            <w:rPr>
              <w:rFonts w:ascii="72 Light" w:eastAsiaTheme="minorEastAsia" w:hAnsi="72 Light" w:cs="72 Light"/>
              <w:noProof/>
              <w:kern w:val="2"/>
              <w:lang w:eastAsia="en-CA"/>
              <w14:ligatures w14:val="standardContextual"/>
            </w:rPr>
          </w:pPr>
          <w:hyperlink w:anchor="_Toc147829626" w:history="1">
            <w:r w:rsidR="00AF3D29" w:rsidRPr="007B324D">
              <w:rPr>
                <w:rStyle w:val="Hyperlink"/>
                <w:rFonts w:ascii="72 Light" w:hAnsi="72 Light" w:cs="72 Light"/>
                <w:noProof/>
                <w:lang w:val="fr-CA"/>
              </w:rPr>
              <w:t>Contribution du Congrès des peuples autochtones</w:t>
            </w:r>
            <w:r w:rsidR="00AF3D29" w:rsidRPr="007B324D">
              <w:rPr>
                <w:rFonts w:ascii="72 Light" w:hAnsi="72 Light" w:cs="72 Light"/>
                <w:noProof/>
                <w:webHidden/>
              </w:rPr>
              <w:tab/>
            </w:r>
            <w:r w:rsidR="00AF3D29" w:rsidRPr="007B324D">
              <w:rPr>
                <w:rFonts w:ascii="72 Light" w:hAnsi="72 Light" w:cs="72 Light"/>
                <w:noProof/>
                <w:webHidden/>
              </w:rPr>
              <w:fldChar w:fldCharType="begin"/>
            </w:r>
            <w:r w:rsidR="00AF3D29" w:rsidRPr="007B324D">
              <w:rPr>
                <w:rFonts w:ascii="72 Light" w:hAnsi="72 Light" w:cs="72 Light"/>
                <w:noProof/>
                <w:webHidden/>
              </w:rPr>
              <w:instrText xml:space="preserve"> PAGEREF _Toc147829626 \h </w:instrText>
            </w:r>
            <w:r w:rsidR="00AF3D29" w:rsidRPr="007B324D">
              <w:rPr>
                <w:rFonts w:ascii="72 Light" w:hAnsi="72 Light" w:cs="72 Light"/>
                <w:noProof/>
                <w:webHidden/>
              </w:rPr>
            </w:r>
            <w:r w:rsidR="00AF3D29" w:rsidRPr="007B324D">
              <w:rPr>
                <w:rFonts w:ascii="72 Light" w:hAnsi="72 Light" w:cs="72 Light"/>
                <w:noProof/>
                <w:webHidden/>
              </w:rPr>
              <w:fldChar w:fldCharType="separate"/>
            </w:r>
            <w:r w:rsidR="00AF3D29" w:rsidRPr="007B324D">
              <w:rPr>
                <w:rFonts w:ascii="72 Light" w:hAnsi="72 Light" w:cs="72 Light"/>
                <w:noProof/>
                <w:webHidden/>
              </w:rPr>
              <w:t>29</w:t>
            </w:r>
            <w:r w:rsidR="00AF3D29" w:rsidRPr="007B324D">
              <w:rPr>
                <w:rFonts w:ascii="72 Light" w:hAnsi="72 Light" w:cs="72 Light"/>
                <w:noProof/>
                <w:webHidden/>
              </w:rPr>
              <w:fldChar w:fldCharType="end"/>
            </w:r>
          </w:hyperlink>
        </w:p>
        <w:p w14:paraId="1BD4FA73" w14:textId="7C6FEAB0" w:rsidR="00AF3D29" w:rsidRPr="007B324D" w:rsidRDefault="00413FAD" w:rsidP="007B324D">
          <w:pPr>
            <w:pStyle w:val="TOC2"/>
            <w:ind w:left="720"/>
            <w:rPr>
              <w:rFonts w:ascii="72 Light" w:eastAsiaTheme="minorEastAsia" w:hAnsi="72 Light" w:cs="72 Light"/>
              <w:noProof/>
              <w:kern w:val="2"/>
              <w:lang w:eastAsia="en-CA"/>
              <w14:ligatures w14:val="standardContextual"/>
            </w:rPr>
          </w:pPr>
          <w:hyperlink w:anchor="_Toc147829627" w:history="1">
            <w:r w:rsidR="00AF3D29" w:rsidRPr="007B324D">
              <w:rPr>
                <w:rStyle w:val="Hyperlink"/>
                <w:rFonts w:ascii="72 Light" w:hAnsi="72 Light" w:cs="72 Light"/>
                <w:noProof/>
                <w:lang w:val="fr-CA"/>
              </w:rPr>
              <w:t>Contributions du Conseil autochtone de l’Île-du-Prince-Édouard (affilié au CPA)</w:t>
            </w:r>
            <w:r w:rsidR="00AF3D29" w:rsidRPr="007B324D">
              <w:rPr>
                <w:rFonts w:ascii="72 Light" w:hAnsi="72 Light" w:cs="72 Light"/>
                <w:noProof/>
                <w:webHidden/>
              </w:rPr>
              <w:tab/>
            </w:r>
            <w:r w:rsidR="00AF3D29" w:rsidRPr="007B324D">
              <w:rPr>
                <w:rFonts w:ascii="72 Light" w:hAnsi="72 Light" w:cs="72 Light"/>
                <w:noProof/>
                <w:webHidden/>
              </w:rPr>
              <w:fldChar w:fldCharType="begin"/>
            </w:r>
            <w:r w:rsidR="00AF3D29" w:rsidRPr="007B324D">
              <w:rPr>
                <w:rFonts w:ascii="72 Light" w:hAnsi="72 Light" w:cs="72 Light"/>
                <w:noProof/>
                <w:webHidden/>
              </w:rPr>
              <w:instrText xml:space="preserve"> PAGEREF _Toc147829627 \h </w:instrText>
            </w:r>
            <w:r w:rsidR="00AF3D29" w:rsidRPr="007B324D">
              <w:rPr>
                <w:rFonts w:ascii="72 Light" w:hAnsi="72 Light" w:cs="72 Light"/>
                <w:noProof/>
                <w:webHidden/>
              </w:rPr>
            </w:r>
            <w:r w:rsidR="00AF3D29" w:rsidRPr="007B324D">
              <w:rPr>
                <w:rFonts w:ascii="72 Light" w:hAnsi="72 Light" w:cs="72 Light"/>
                <w:noProof/>
                <w:webHidden/>
              </w:rPr>
              <w:fldChar w:fldCharType="separate"/>
            </w:r>
            <w:r w:rsidR="00AF3D29" w:rsidRPr="007B324D">
              <w:rPr>
                <w:rFonts w:ascii="72 Light" w:hAnsi="72 Light" w:cs="72 Light"/>
                <w:noProof/>
                <w:webHidden/>
              </w:rPr>
              <w:t>35</w:t>
            </w:r>
            <w:r w:rsidR="00AF3D29" w:rsidRPr="007B324D">
              <w:rPr>
                <w:rFonts w:ascii="72 Light" w:hAnsi="72 Light" w:cs="72 Light"/>
                <w:noProof/>
                <w:webHidden/>
              </w:rPr>
              <w:fldChar w:fldCharType="end"/>
            </w:r>
          </w:hyperlink>
        </w:p>
        <w:p w14:paraId="5498D99B" w14:textId="5A3797BE" w:rsidR="00AF3D29" w:rsidRPr="007B324D" w:rsidRDefault="00413FAD">
          <w:pPr>
            <w:pStyle w:val="TOC2"/>
            <w:rPr>
              <w:rFonts w:ascii="72 Light" w:eastAsiaTheme="minorEastAsia" w:hAnsi="72 Light" w:cs="72 Light"/>
              <w:noProof/>
              <w:kern w:val="2"/>
              <w:lang w:eastAsia="en-CA"/>
              <w14:ligatures w14:val="standardContextual"/>
            </w:rPr>
          </w:pPr>
          <w:hyperlink w:anchor="_Toc147829628" w:history="1">
            <w:r w:rsidR="00AF3D29" w:rsidRPr="007B324D">
              <w:rPr>
                <w:rStyle w:val="Hyperlink"/>
                <w:rFonts w:ascii="72 Light" w:hAnsi="72 Light" w:cs="72 Light"/>
                <w:noProof/>
                <w:lang w:val="fr-CA"/>
              </w:rPr>
              <w:t>Résumé des contributions de la société civile, des organisations autochtones et de la Commission des droits de la personne de l’Ontario</w:t>
            </w:r>
            <w:r w:rsidR="00AF3D29" w:rsidRPr="007B324D">
              <w:rPr>
                <w:rFonts w:ascii="72 Light" w:hAnsi="72 Light" w:cs="72 Light"/>
                <w:noProof/>
                <w:webHidden/>
              </w:rPr>
              <w:tab/>
            </w:r>
            <w:r w:rsidR="00AF3D29" w:rsidRPr="007B324D">
              <w:rPr>
                <w:rFonts w:ascii="72 Light" w:hAnsi="72 Light" w:cs="72 Light"/>
                <w:noProof/>
                <w:webHidden/>
              </w:rPr>
              <w:fldChar w:fldCharType="begin"/>
            </w:r>
            <w:r w:rsidR="00AF3D29" w:rsidRPr="007B324D">
              <w:rPr>
                <w:rFonts w:ascii="72 Light" w:hAnsi="72 Light" w:cs="72 Light"/>
                <w:noProof/>
                <w:webHidden/>
              </w:rPr>
              <w:instrText xml:space="preserve"> PAGEREF _Toc147829628 \h </w:instrText>
            </w:r>
            <w:r w:rsidR="00AF3D29" w:rsidRPr="007B324D">
              <w:rPr>
                <w:rFonts w:ascii="72 Light" w:hAnsi="72 Light" w:cs="72 Light"/>
                <w:noProof/>
                <w:webHidden/>
              </w:rPr>
            </w:r>
            <w:r w:rsidR="00AF3D29" w:rsidRPr="007B324D">
              <w:rPr>
                <w:rFonts w:ascii="72 Light" w:hAnsi="72 Light" w:cs="72 Light"/>
                <w:noProof/>
                <w:webHidden/>
              </w:rPr>
              <w:fldChar w:fldCharType="separate"/>
            </w:r>
            <w:r w:rsidR="00AF3D29" w:rsidRPr="007B324D">
              <w:rPr>
                <w:rFonts w:ascii="72 Light" w:hAnsi="72 Light" w:cs="72 Light"/>
                <w:noProof/>
                <w:webHidden/>
              </w:rPr>
              <w:t>42</w:t>
            </w:r>
            <w:r w:rsidR="00AF3D29" w:rsidRPr="007B324D">
              <w:rPr>
                <w:rFonts w:ascii="72 Light" w:hAnsi="72 Light" w:cs="72 Light"/>
                <w:noProof/>
                <w:webHidden/>
              </w:rPr>
              <w:fldChar w:fldCharType="end"/>
            </w:r>
          </w:hyperlink>
        </w:p>
        <w:p w14:paraId="768FB71D" w14:textId="06E0E242" w:rsidR="005D1236" w:rsidRPr="007B324D" w:rsidRDefault="005D1236">
          <w:pPr>
            <w:rPr>
              <w:rFonts w:ascii="72 Light" w:hAnsi="72 Light" w:cs="72 Light"/>
            </w:rPr>
          </w:pPr>
          <w:r w:rsidRPr="007B324D">
            <w:rPr>
              <w:rFonts w:ascii="72 Light" w:hAnsi="72 Light" w:cs="72 Light"/>
              <w:b/>
              <w:bCs/>
              <w:lang w:val="fr-FR"/>
            </w:rPr>
            <w:fldChar w:fldCharType="end"/>
          </w:r>
        </w:p>
      </w:sdtContent>
    </w:sdt>
    <w:p w14:paraId="6B557226" w14:textId="77777777" w:rsidR="005D1236" w:rsidRPr="007B324D" w:rsidRDefault="005D1236">
      <w:pPr>
        <w:rPr>
          <w:rFonts w:ascii="72 Light" w:hAnsi="72 Light" w:cs="72 Light"/>
          <w:sz w:val="24"/>
          <w:szCs w:val="24"/>
          <w:lang w:val="fr-CA"/>
        </w:rPr>
      </w:pPr>
      <w:r w:rsidRPr="007B324D">
        <w:rPr>
          <w:rFonts w:ascii="72 Light" w:hAnsi="72 Light" w:cs="72 Light"/>
          <w:sz w:val="24"/>
          <w:szCs w:val="24"/>
          <w:lang w:val="fr-CA"/>
        </w:rPr>
        <w:br w:type="page"/>
      </w:r>
    </w:p>
    <w:p w14:paraId="0810B5D1" w14:textId="729F7B98" w:rsidR="00F14B0D"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lastRenderedPageBreak/>
        <w:t xml:space="preserve">En mai 2023, le Canada a communiqué </w:t>
      </w:r>
      <w:r w:rsidR="007F260F" w:rsidRPr="007B324D">
        <w:rPr>
          <w:rFonts w:ascii="72 Light" w:hAnsi="72 Light" w:cs="72 Light"/>
          <w:sz w:val="24"/>
          <w:szCs w:val="24"/>
          <w:lang w:val="fr-CA"/>
        </w:rPr>
        <w:t>l’ébauche du rapport</w:t>
      </w:r>
      <w:r w:rsidRPr="007B324D">
        <w:rPr>
          <w:rFonts w:ascii="72 Light" w:hAnsi="72 Light" w:cs="72 Light"/>
          <w:sz w:val="24"/>
          <w:szCs w:val="24"/>
          <w:lang w:val="fr-CA"/>
        </w:rPr>
        <w:t xml:space="preserve"> national sur l’</w:t>
      </w:r>
      <w:r w:rsidR="007F260F" w:rsidRPr="007B324D">
        <w:rPr>
          <w:rFonts w:ascii="72 Light" w:hAnsi="72 Light" w:cs="72 Light"/>
          <w:sz w:val="24"/>
          <w:szCs w:val="24"/>
          <w:lang w:val="fr-CA"/>
        </w:rPr>
        <w:t>E</w:t>
      </w:r>
      <w:r w:rsidRPr="007B324D">
        <w:rPr>
          <w:rFonts w:ascii="72 Light" w:hAnsi="72 Light" w:cs="72 Light"/>
          <w:sz w:val="24"/>
          <w:szCs w:val="24"/>
          <w:lang w:val="fr-CA"/>
        </w:rPr>
        <w:t>xamen périodique universel (EPU) à plus de 285 partenaires et intervenants</w:t>
      </w:r>
      <w:r w:rsidR="009840ED" w:rsidRPr="007B324D">
        <w:rPr>
          <w:rFonts w:ascii="72 Light" w:hAnsi="72 Light" w:cs="72 Light"/>
          <w:sz w:val="24"/>
          <w:szCs w:val="24"/>
          <w:lang w:val="fr-CA"/>
        </w:rPr>
        <w:t xml:space="preserve"> au Canada</w:t>
      </w:r>
      <w:r w:rsidRPr="007B324D">
        <w:rPr>
          <w:rFonts w:ascii="72 Light" w:hAnsi="72 Light" w:cs="72 Light"/>
          <w:sz w:val="24"/>
          <w:szCs w:val="24"/>
          <w:lang w:val="fr-CA"/>
        </w:rPr>
        <w:t>, dont des organisations autochtones nationales, d’autres organisations autochtones, des organisations de la société civile et des commissions des droits de la personne</w:t>
      </w:r>
      <w:r w:rsidR="00B944CB" w:rsidRPr="007B324D">
        <w:rPr>
          <w:rFonts w:ascii="72 Light" w:hAnsi="72 Light" w:cs="72 Light"/>
          <w:sz w:val="24"/>
          <w:szCs w:val="24"/>
          <w:lang w:val="fr-CA"/>
        </w:rPr>
        <w:t>.</w:t>
      </w:r>
      <w:bookmarkEnd w:id="1"/>
      <w:r w:rsidR="00B944CB" w:rsidRPr="007B324D">
        <w:rPr>
          <w:rFonts w:ascii="72 Light" w:hAnsi="72 Light" w:cs="72 Light"/>
          <w:sz w:val="24"/>
          <w:szCs w:val="24"/>
          <w:lang w:val="fr-CA"/>
        </w:rPr>
        <w:t xml:space="preserve"> </w:t>
      </w:r>
      <w:bookmarkStart w:id="2" w:name="lt_pId002"/>
      <w:r w:rsidR="00AE5221" w:rsidRPr="007B324D">
        <w:rPr>
          <w:rFonts w:ascii="72 Light" w:hAnsi="72 Light" w:cs="72 Light"/>
          <w:sz w:val="24"/>
          <w:szCs w:val="24"/>
          <w:lang w:val="fr-CA"/>
        </w:rPr>
        <w:t>La présente annexe donne un aperçu des commentaires reçus.</w:t>
      </w:r>
    </w:p>
    <w:p w14:paraId="6CB56EB7" w14:textId="3D267985" w:rsidR="00BF113C" w:rsidRPr="007B324D" w:rsidRDefault="005E2414"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Bien que les opinions exprimées dans cette annexe ne reflètent pas nécessairement celles des gouvernements fédéral, provinciaux et territoriaux du Canada, cet effort a été entrepris pour faire preuve de transparence et </w:t>
      </w:r>
      <w:r w:rsidR="000527F7" w:rsidRPr="007B324D">
        <w:rPr>
          <w:rFonts w:ascii="72 Light" w:hAnsi="72 Light" w:cs="72 Light"/>
          <w:sz w:val="24"/>
          <w:szCs w:val="24"/>
          <w:lang w:val="fr-CA"/>
        </w:rPr>
        <w:t>rendre des comptes dans le cadre de</w:t>
      </w:r>
      <w:r w:rsidRPr="007B324D">
        <w:rPr>
          <w:rFonts w:ascii="72 Light" w:hAnsi="72 Light" w:cs="72 Light"/>
          <w:sz w:val="24"/>
          <w:szCs w:val="24"/>
          <w:lang w:val="fr-CA"/>
        </w:rPr>
        <w:t xml:space="preserve"> cet important processus d’examen des droits de la personne, et </w:t>
      </w:r>
      <w:r w:rsidR="000527F7" w:rsidRPr="007B324D">
        <w:rPr>
          <w:rFonts w:ascii="72 Light" w:hAnsi="72 Light" w:cs="72 Light"/>
          <w:sz w:val="24"/>
          <w:szCs w:val="24"/>
          <w:lang w:val="fr-CA"/>
        </w:rPr>
        <w:t>pour reconnaître</w:t>
      </w:r>
      <w:r w:rsidRPr="007B324D">
        <w:rPr>
          <w:rFonts w:ascii="72 Light" w:hAnsi="72 Light" w:cs="72 Light"/>
          <w:sz w:val="24"/>
          <w:szCs w:val="24"/>
          <w:lang w:val="fr-CA"/>
        </w:rPr>
        <w:t xml:space="preserve"> l’expertise que ces organisations </w:t>
      </w:r>
      <w:r w:rsidR="000527F7" w:rsidRPr="007B324D">
        <w:rPr>
          <w:rFonts w:ascii="72 Light" w:hAnsi="72 Light" w:cs="72 Light"/>
          <w:sz w:val="24"/>
          <w:szCs w:val="24"/>
          <w:lang w:val="fr-CA"/>
        </w:rPr>
        <w:t>ont à offrir</w:t>
      </w:r>
      <w:r w:rsidRPr="007B324D">
        <w:rPr>
          <w:rFonts w:ascii="72 Light" w:hAnsi="72 Light" w:cs="72 Light"/>
          <w:sz w:val="24"/>
          <w:szCs w:val="24"/>
          <w:lang w:val="fr-CA"/>
        </w:rPr>
        <w:t>.</w:t>
      </w:r>
      <w:bookmarkEnd w:id="2"/>
    </w:p>
    <w:p w14:paraId="0CEF83C1" w14:textId="1145E8C4" w:rsidR="0000413C" w:rsidRPr="007B324D" w:rsidRDefault="0000413C" w:rsidP="00F62155">
      <w:pPr>
        <w:tabs>
          <w:tab w:val="left" w:pos="3544"/>
        </w:tabs>
        <w:spacing w:before="120" w:line="276" w:lineRule="auto"/>
        <w:ind w:left="0" w:firstLine="0"/>
        <w:jc w:val="both"/>
        <w:rPr>
          <w:rFonts w:ascii="72 Light" w:hAnsi="72 Light" w:cs="72 Light"/>
          <w:sz w:val="24"/>
          <w:szCs w:val="24"/>
          <w:lang w:val="fr-CA"/>
        </w:rPr>
      </w:pPr>
      <w:bookmarkStart w:id="3" w:name="lt_pId003"/>
      <w:r w:rsidRPr="007B324D">
        <w:rPr>
          <w:rFonts w:ascii="72 Light" w:hAnsi="72 Light" w:cs="72 Light"/>
          <w:sz w:val="24"/>
          <w:szCs w:val="24"/>
          <w:lang w:val="fr-CA"/>
        </w:rPr>
        <w:t>À la suite de ce travail de sensibilisation, le rapport national du Canada a été mis à jour pour tenir compte de certains des commentaires reçus. Bien qu'il n'ait pas été possible d'intégrer tous les changements suggérés par les parties prenantes et les partenaires dans le rapport national lui-même, par exemple en raison de la limite obligatoire du nombre de mots fixée par les Nations unies (ONU) pour les rapports nationaux, le Canada a pris la mesure supplémentaire d'inclure dans cette annexe les commentaires reçus sur le projet de rapport du Canada. En outre, toutes les contributions au projet de rapport du Canada ont été partagées avec les ministères et organismes fédéraux responsables du sujet traité, ainsi qu'avec les gouvernements provinciaux et territoriaux.</w:t>
      </w:r>
    </w:p>
    <w:p w14:paraId="1BEC3062" w14:textId="312D5EFF" w:rsidR="005C2B18"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La première partie d</w:t>
      </w:r>
      <w:r w:rsidR="00825113" w:rsidRPr="007B324D">
        <w:rPr>
          <w:rFonts w:ascii="72 Light" w:hAnsi="72 Light" w:cs="72 Light"/>
          <w:sz w:val="24"/>
          <w:szCs w:val="24"/>
          <w:lang w:val="fr-CA"/>
        </w:rPr>
        <w:t xml:space="preserve">u présent </w:t>
      </w:r>
      <w:r w:rsidRPr="007B324D">
        <w:rPr>
          <w:rFonts w:ascii="72 Light" w:hAnsi="72 Light" w:cs="72 Light"/>
          <w:sz w:val="24"/>
          <w:szCs w:val="24"/>
          <w:lang w:val="fr-CA"/>
        </w:rPr>
        <w:t xml:space="preserve">document </w:t>
      </w:r>
      <w:r w:rsidR="00825113" w:rsidRPr="007B324D">
        <w:rPr>
          <w:rFonts w:ascii="72 Light" w:hAnsi="72 Light" w:cs="72 Light"/>
          <w:sz w:val="24"/>
          <w:szCs w:val="24"/>
          <w:lang w:val="fr-CA"/>
        </w:rPr>
        <w:t>expose</w:t>
      </w:r>
      <w:r w:rsidRPr="007B324D">
        <w:rPr>
          <w:rFonts w:ascii="72 Light" w:hAnsi="72 Light" w:cs="72 Light"/>
          <w:sz w:val="24"/>
          <w:szCs w:val="24"/>
          <w:lang w:val="fr-CA"/>
        </w:rPr>
        <w:t xml:space="preserve"> la contribution </w:t>
      </w:r>
      <w:r w:rsidR="000D16D5" w:rsidRPr="007B324D">
        <w:rPr>
          <w:rFonts w:ascii="72 Light" w:hAnsi="72 Light" w:cs="72 Light"/>
          <w:sz w:val="24"/>
          <w:szCs w:val="24"/>
          <w:lang w:val="fr-CA"/>
        </w:rPr>
        <w:t>complète</w:t>
      </w:r>
      <w:r w:rsidR="000D16D5" w:rsidRPr="007B324D" w:rsidDel="000D16D5">
        <w:rPr>
          <w:rFonts w:ascii="72 Light" w:hAnsi="72 Light" w:cs="72 Light"/>
          <w:sz w:val="24"/>
          <w:szCs w:val="24"/>
          <w:lang w:val="fr-CA"/>
        </w:rPr>
        <w:t xml:space="preserve"> </w:t>
      </w:r>
      <w:r w:rsidR="005C2B18" w:rsidRPr="007B324D">
        <w:rPr>
          <w:rFonts w:ascii="72 Light" w:hAnsi="72 Light" w:cs="72 Light"/>
          <w:sz w:val="24"/>
          <w:szCs w:val="24"/>
          <w:lang w:val="fr-CA"/>
        </w:rPr>
        <w:t>reçue de la part de</w:t>
      </w:r>
      <w:r w:rsidRPr="007B324D">
        <w:rPr>
          <w:rFonts w:ascii="72 Light" w:hAnsi="72 Light" w:cs="72 Light"/>
          <w:sz w:val="24"/>
          <w:szCs w:val="24"/>
          <w:lang w:val="fr-CA"/>
        </w:rPr>
        <w:t xml:space="preserve"> </w:t>
      </w:r>
      <w:r w:rsidR="00AF3D29" w:rsidRPr="007B324D">
        <w:rPr>
          <w:rFonts w:ascii="72 Light" w:hAnsi="72 Light" w:cs="72 Light"/>
          <w:sz w:val="24"/>
          <w:szCs w:val="24"/>
          <w:lang w:val="fr-CA"/>
        </w:rPr>
        <w:t xml:space="preserve">quatre </w:t>
      </w:r>
      <w:r w:rsidRPr="007B324D">
        <w:rPr>
          <w:rFonts w:ascii="72 Light" w:hAnsi="72 Light" w:cs="72 Light"/>
          <w:sz w:val="24"/>
          <w:szCs w:val="24"/>
          <w:lang w:val="fr-CA"/>
        </w:rPr>
        <w:t>organisations autochtones nationales du Canada : l’Assemblée des Premières Nations, l’Inuit Tapiriit Kanatami</w:t>
      </w:r>
      <w:r w:rsidR="00AF3D29" w:rsidRPr="007B324D">
        <w:rPr>
          <w:rFonts w:ascii="72 Light" w:hAnsi="72 Light" w:cs="72 Light"/>
          <w:sz w:val="24"/>
          <w:szCs w:val="24"/>
          <w:lang w:val="fr-CA"/>
        </w:rPr>
        <w:t xml:space="preserve">, </w:t>
      </w:r>
      <w:r w:rsidRPr="007B324D">
        <w:rPr>
          <w:rFonts w:ascii="72 Light" w:hAnsi="72 Light" w:cs="72 Light"/>
          <w:sz w:val="24"/>
          <w:szCs w:val="24"/>
          <w:lang w:val="fr-CA"/>
        </w:rPr>
        <w:t>le Ralliement national des Métis</w:t>
      </w:r>
      <w:r w:rsidR="00AF3D29" w:rsidRPr="007B324D">
        <w:rPr>
          <w:rFonts w:ascii="72 Light" w:hAnsi="72 Light" w:cs="72 Light"/>
          <w:sz w:val="24"/>
          <w:szCs w:val="24"/>
          <w:lang w:val="fr-CA"/>
        </w:rPr>
        <w:t xml:space="preserve"> ainsi que le Congrès des peuples autochtones</w:t>
      </w:r>
      <w:r w:rsidRPr="007B324D">
        <w:rPr>
          <w:rFonts w:ascii="72 Light" w:hAnsi="72 Light" w:cs="72 Light"/>
          <w:sz w:val="24"/>
          <w:szCs w:val="24"/>
          <w:lang w:val="fr-CA"/>
        </w:rPr>
        <w:t>.</w:t>
      </w:r>
      <w:r w:rsidR="00CB3B2F" w:rsidRPr="007B324D">
        <w:rPr>
          <w:rFonts w:ascii="72 Light" w:hAnsi="72 Light" w:cs="72 Light"/>
          <w:sz w:val="24"/>
          <w:szCs w:val="24"/>
          <w:lang w:val="fr-CA"/>
        </w:rPr>
        <w:t xml:space="preserve"> Veuillez noter que leurs contributions </w:t>
      </w:r>
      <w:r w:rsidR="000F24C1" w:rsidRPr="007B324D">
        <w:rPr>
          <w:rFonts w:ascii="72 Light" w:hAnsi="72 Light" w:cs="72 Light"/>
          <w:sz w:val="24"/>
          <w:szCs w:val="24"/>
          <w:lang w:val="fr-CA"/>
        </w:rPr>
        <w:t xml:space="preserve">originales </w:t>
      </w:r>
      <w:r w:rsidR="00CB3B2F" w:rsidRPr="007B324D">
        <w:rPr>
          <w:rFonts w:ascii="72 Light" w:hAnsi="72 Light" w:cs="72 Light"/>
          <w:sz w:val="24"/>
          <w:szCs w:val="24"/>
          <w:lang w:val="fr-CA"/>
        </w:rPr>
        <w:t>ont été reçues en anglais,</w:t>
      </w:r>
      <w:r w:rsidR="000F24C1" w:rsidRPr="007B324D">
        <w:rPr>
          <w:rFonts w:ascii="72 Light" w:hAnsi="72 Light" w:cs="72 Light"/>
          <w:sz w:val="24"/>
          <w:szCs w:val="24"/>
          <w:lang w:val="fr-CA"/>
        </w:rPr>
        <w:t xml:space="preserve"> </w:t>
      </w:r>
      <w:r w:rsidR="00521E5E" w:rsidRPr="007B324D">
        <w:rPr>
          <w:rFonts w:ascii="72 Light" w:hAnsi="72 Light" w:cs="72 Light"/>
          <w:sz w:val="24"/>
          <w:szCs w:val="24"/>
          <w:lang w:val="fr-CA"/>
        </w:rPr>
        <w:t xml:space="preserve">et que la version traduite en français </w:t>
      </w:r>
      <w:r w:rsidR="007317EA" w:rsidRPr="007B324D">
        <w:rPr>
          <w:rFonts w:ascii="72 Light" w:hAnsi="72 Light" w:cs="72 Light"/>
          <w:sz w:val="24"/>
          <w:szCs w:val="24"/>
          <w:lang w:val="fr-CA"/>
        </w:rPr>
        <w:t xml:space="preserve">n’a pas été </w:t>
      </w:r>
      <w:r w:rsidR="00D86F5C" w:rsidRPr="007B324D">
        <w:rPr>
          <w:rFonts w:ascii="72 Light" w:hAnsi="72 Light" w:cs="72 Light"/>
          <w:sz w:val="24"/>
          <w:szCs w:val="24"/>
          <w:lang w:val="fr-CA"/>
        </w:rPr>
        <w:t>révisée</w:t>
      </w:r>
      <w:r w:rsidR="007317EA" w:rsidRPr="007B324D">
        <w:rPr>
          <w:rFonts w:ascii="72 Light" w:hAnsi="72 Light" w:cs="72 Light"/>
          <w:sz w:val="24"/>
          <w:szCs w:val="24"/>
          <w:lang w:val="fr-CA"/>
        </w:rPr>
        <w:t xml:space="preserve"> par les organisations</w:t>
      </w:r>
      <w:r w:rsidR="00521E5E" w:rsidRPr="007B324D">
        <w:rPr>
          <w:rFonts w:ascii="72 Light" w:hAnsi="72 Light" w:cs="72 Light"/>
          <w:sz w:val="24"/>
          <w:szCs w:val="24"/>
          <w:lang w:val="fr-CA"/>
        </w:rPr>
        <w:t>.</w:t>
      </w:r>
      <w:r w:rsidRPr="007B324D">
        <w:rPr>
          <w:rFonts w:ascii="72 Light" w:hAnsi="72 Light" w:cs="72 Light"/>
          <w:sz w:val="24"/>
          <w:szCs w:val="24"/>
          <w:lang w:val="fr-CA"/>
        </w:rPr>
        <w:t xml:space="preserve"> </w:t>
      </w:r>
    </w:p>
    <w:p w14:paraId="79068BC6" w14:textId="2DEC69ED" w:rsidR="00D95F73" w:rsidRPr="007B324D" w:rsidRDefault="00BF3013" w:rsidP="00D95F73">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La deuxième partie présente un résumé des contributions reçues des organisations de la société civile, </w:t>
      </w:r>
      <w:r w:rsidR="001E702F" w:rsidRPr="007B324D">
        <w:rPr>
          <w:rFonts w:ascii="72 Light" w:hAnsi="72 Light" w:cs="72 Light"/>
          <w:sz w:val="24"/>
          <w:szCs w:val="24"/>
          <w:lang w:val="fr-CA"/>
        </w:rPr>
        <w:t xml:space="preserve">des commissions des droits de la personne, et </w:t>
      </w:r>
      <w:r w:rsidRPr="007B324D">
        <w:rPr>
          <w:rFonts w:ascii="72 Light" w:hAnsi="72 Light" w:cs="72 Light"/>
          <w:sz w:val="24"/>
          <w:szCs w:val="24"/>
          <w:lang w:val="fr-CA"/>
        </w:rPr>
        <w:t>d</w:t>
      </w:r>
      <w:r w:rsidR="000E7E8A" w:rsidRPr="007B324D">
        <w:rPr>
          <w:rFonts w:ascii="72 Light" w:hAnsi="72 Light" w:cs="72 Light"/>
          <w:sz w:val="24"/>
          <w:szCs w:val="24"/>
          <w:lang w:val="fr-CA"/>
        </w:rPr>
        <w:t xml:space="preserve">es </w:t>
      </w:r>
      <w:r w:rsidR="0000413C" w:rsidRPr="007B324D">
        <w:rPr>
          <w:rFonts w:ascii="72 Light" w:hAnsi="72 Light" w:cs="72 Light"/>
          <w:sz w:val="24"/>
          <w:szCs w:val="24"/>
          <w:lang w:val="fr-CA"/>
        </w:rPr>
        <w:t xml:space="preserve">autres </w:t>
      </w:r>
      <w:r w:rsidRPr="007B324D">
        <w:rPr>
          <w:rFonts w:ascii="72 Light" w:hAnsi="72 Light" w:cs="72 Light"/>
          <w:sz w:val="24"/>
          <w:szCs w:val="24"/>
          <w:lang w:val="fr-CA"/>
        </w:rPr>
        <w:t>organisations autochtones</w:t>
      </w:r>
      <w:r w:rsidR="0000413C" w:rsidRPr="007B324D">
        <w:rPr>
          <w:rFonts w:ascii="72 Light" w:hAnsi="72 Light" w:cs="72 Light"/>
          <w:sz w:val="24"/>
          <w:szCs w:val="24"/>
          <w:lang w:val="fr-CA"/>
        </w:rPr>
        <w:t>, représentant 15 soumissions supplémentaires</w:t>
      </w:r>
      <w:r w:rsidRPr="007B324D">
        <w:rPr>
          <w:rFonts w:ascii="72 Light" w:hAnsi="72 Light" w:cs="72 Light"/>
          <w:sz w:val="24"/>
          <w:szCs w:val="24"/>
          <w:lang w:val="fr-CA"/>
        </w:rPr>
        <w:t>.</w:t>
      </w:r>
      <w:r w:rsidR="00D95F73" w:rsidRPr="007B324D">
        <w:rPr>
          <w:rStyle w:val="FootnoteReference"/>
          <w:rFonts w:ascii="72 Light" w:hAnsi="72 Light" w:cs="72 Light"/>
          <w:sz w:val="24"/>
          <w:szCs w:val="24"/>
          <w:lang w:val="fr-CA"/>
        </w:rPr>
        <w:footnoteReference w:id="2"/>
      </w:r>
      <w:r w:rsidR="00D95F73" w:rsidRPr="007B324D">
        <w:rPr>
          <w:rFonts w:ascii="72 Light" w:hAnsi="72 Light" w:cs="72 Light"/>
          <w:sz w:val="24"/>
          <w:szCs w:val="24"/>
          <w:lang w:val="fr-CA"/>
        </w:rPr>
        <w:t xml:space="preserve"> </w:t>
      </w:r>
      <w:r w:rsidR="001E702F" w:rsidRPr="007B324D">
        <w:rPr>
          <w:rFonts w:ascii="72 Light" w:hAnsi="72 Light" w:cs="72 Light"/>
          <w:sz w:val="24"/>
          <w:szCs w:val="24"/>
          <w:lang w:val="fr-CA"/>
        </w:rPr>
        <w:t>Ces contributions ont représenté environ 90 pages de contenu</w:t>
      </w:r>
      <w:r w:rsidR="00AF2F1A" w:rsidRPr="007B324D">
        <w:rPr>
          <w:rFonts w:ascii="72 Light" w:hAnsi="72 Light" w:cs="72 Light"/>
          <w:sz w:val="24"/>
          <w:szCs w:val="24"/>
          <w:lang w:val="fr-CA"/>
        </w:rPr>
        <w:t>,</w:t>
      </w:r>
      <w:r w:rsidR="001E702F" w:rsidRPr="007B324D">
        <w:rPr>
          <w:rFonts w:ascii="72 Light" w:hAnsi="72 Light" w:cs="72 Light"/>
          <w:sz w:val="24"/>
          <w:szCs w:val="24"/>
          <w:lang w:val="fr-CA"/>
        </w:rPr>
        <w:t xml:space="preserve"> envoyées sous différents formats (par exemple, des modifications </w:t>
      </w:r>
      <w:r w:rsidR="00AF2F1A" w:rsidRPr="007B324D">
        <w:rPr>
          <w:rFonts w:ascii="72 Light" w:hAnsi="72 Light" w:cs="72 Light"/>
          <w:sz w:val="24"/>
          <w:szCs w:val="24"/>
          <w:lang w:val="fr-CA"/>
        </w:rPr>
        <w:t>au texte</w:t>
      </w:r>
      <w:r w:rsidR="001E702F" w:rsidRPr="007B324D">
        <w:rPr>
          <w:rFonts w:ascii="72 Light" w:hAnsi="72 Light" w:cs="72 Light"/>
          <w:sz w:val="24"/>
          <w:szCs w:val="24"/>
          <w:lang w:val="fr-CA"/>
        </w:rPr>
        <w:t xml:space="preserve"> ou des commentaires indépendants). Afin de faciliter l'accès des lecteurs à ce contenu, les commentaires ont été résumés plutôt que repris mot pour mot.</w:t>
      </w:r>
      <w:bookmarkStart w:id="4" w:name="lt_pId004"/>
      <w:r w:rsidR="00D95F73" w:rsidRPr="007B324D">
        <w:rPr>
          <w:rFonts w:ascii="72 Light" w:hAnsi="72 Light" w:cs="72 Light"/>
          <w:sz w:val="24"/>
          <w:szCs w:val="24"/>
          <w:lang w:val="fr-CA"/>
        </w:rPr>
        <w:t xml:space="preserve"> </w:t>
      </w:r>
      <w:bookmarkEnd w:id="4"/>
    </w:p>
    <w:p w14:paraId="4E83B2D2" w14:textId="77777777" w:rsidR="00AF3D29" w:rsidRPr="007B324D" w:rsidRDefault="00AF3D29">
      <w:pPr>
        <w:rPr>
          <w:rFonts w:ascii="72 Light" w:hAnsi="72 Light" w:cs="72 Light"/>
          <w:b/>
          <w:bCs/>
          <w:color w:val="2F5496" w:themeColor="accent5" w:themeShade="BF"/>
          <w:sz w:val="28"/>
          <w:szCs w:val="28"/>
          <w:lang w:val="fr-CA"/>
        </w:rPr>
      </w:pPr>
      <w:r w:rsidRPr="007B324D">
        <w:rPr>
          <w:rFonts w:ascii="72 Light" w:hAnsi="72 Light" w:cs="72 Light"/>
          <w:b/>
          <w:bCs/>
          <w:color w:val="2F5496" w:themeColor="accent5" w:themeShade="BF"/>
          <w:sz w:val="28"/>
          <w:szCs w:val="28"/>
          <w:lang w:val="fr-CA"/>
        </w:rPr>
        <w:lastRenderedPageBreak/>
        <w:br w:type="page"/>
      </w:r>
    </w:p>
    <w:p w14:paraId="6FE69D5A" w14:textId="34A23979" w:rsidR="00BF3013" w:rsidRPr="007B324D" w:rsidRDefault="00BF3013" w:rsidP="00842C4C">
      <w:pPr>
        <w:rPr>
          <w:rFonts w:ascii="72 Light" w:hAnsi="72 Light" w:cs="72 Light"/>
          <w:b/>
          <w:bCs/>
          <w:color w:val="2F5496" w:themeColor="accent5" w:themeShade="BF"/>
          <w:sz w:val="28"/>
          <w:szCs w:val="28"/>
          <w:lang w:val="fr-CA"/>
        </w:rPr>
      </w:pPr>
      <w:r w:rsidRPr="007B324D">
        <w:rPr>
          <w:rFonts w:ascii="72 Light" w:hAnsi="72 Light" w:cs="72 Light"/>
          <w:b/>
          <w:bCs/>
          <w:color w:val="2F5496" w:themeColor="accent5" w:themeShade="BF"/>
          <w:sz w:val="28"/>
          <w:szCs w:val="28"/>
          <w:lang w:val="fr-CA"/>
        </w:rPr>
        <w:lastRenderedPageBreak/>
        <w:t xml:space="preserve">Organisations autochtones </w:t>
      </w:r>
      <w:r w:rsidR="00825113" w:rsidRPr="007B324D">
        <w:rPr>
          <w:rFonts w:ascii="72 Light" w:hAnsi="72 Light" w:cs="72 Light"/>
          <w:b/>
          <w:bCs/>
          <w:color w:val="2F5496" w:themeColor="accent5" w:themeShade="BF"/>
          <w:sz w:val="28"/>
          <w:szCs w:val="28"/>
          <w:lang w:val="fr-CA"/>
        </w:rPr>
        <w:t>nationales</w:t>
      </w:r>
    </w:p>
    <w:p w14:paraId="7D2F74D0" w14:textId="77777777" w:rsidR="00BF3013" w:rsidRPr="007B324D" w:rsidRDefault="00BF3013" w:rsidP="005D1236">
      <w:pPr>
        <w:pStyle w:val="Heading2"/>
        <w:rPr>
          <w:rFonts w:ascii="72 Light" w:hAnsi="72 Light" w:cs="72 Light"/>
          <w:color w:val="2F5496" w:themeColor="accent5" w:themeShade="BF"/>
          <w:sz w:val="24"/>
          <w:szCs w:val="24"/>
          <w:lang w:val="fr-CA"/>
        </w:rPr>
      </w:pPr>
      <w:bookmarkStart w:id="5" w:name="_Toc147829623"/>
      <w:r w:rsidRPr="007B324D">
        <w:rPr>
          <w:rFonts w:ascii="72 Light" w:hAnsi="72 Light" w:cs="72 Light"/>
          <w:color w:val="2F5496" w:themeColor="accent5" w:themeShade="BF"/>
          <w:sz w:val="24"/>
          <w:szCs w:val="24"/>
          <w:lang w:val="fr-CA"/>
        </w:rPr>
        <w:t>Contribution de l’Assemblée des Premières Nations</w:t>
      </w:r>
      <w:bookmarkEnd w:id="5"/>
    </w:p>
    <w:p w14:paraId="20A137CA" w14:textId="2780AABD" w:rsidR="00BF3013" w:rsidRPr="007B324D" w:rsidRDefault="00BF3013" w:rsidP="00F62155">
      <w:pPr>
        <w:tabs>
          <w:tab w:val="left" w:pos="3544"/>
        </w:tabs>
        <w:spacing w:before="120" w:line="276" w:lineRule="auto"/>
        <w:ind w:left="0" w:firstLine="0"/>
        <w:jc w:val="both"/>
        <w:rPr>
          <w:rFonts w:ascii="72 Light" w:hAnsi="72 Light" w:cs="72 Light"/>
          <w:b/>
          <w:bCs/>
          <w:sz w:val="24"/>
          <w:szCs w:val="24"/>
          <w:lang w:val="fr-CA"/>
        </w:rPr>
      </w:pPr>
      <w:r w:rsidRPr="007B324D">
        <w:rPr>
          <w:rFonts w:ascii="72 Light" w:hAnsi="72 Light" w:cs="72 Light"/>
          <w:sz w:val="24"/>
          <w:szCs w:val="24"/>
          <w:lang w:val="fr-CA"/>
        </w:rPr>
        <w:t>L’Assemblée des Premières Nations (</w:t>
      </w:r>
      <w:r w:rsidR="0097209B" w:rsidRPr="007B324D">
        <w:rPr>
          <w:rFonts w:ascii="72 Light" w:hAnsi="72 Light" w:cs="72 Light"/>
          <w:sz w:val="24"/>
          <w:szCs w:val="24"/>
          <w:lang w:val="fr-CA"/>
        </w:rPr>
        <w:t>« l’Assemblée »</w:t>
      </w:r>
      <w:r w:rsidRPr="007B324D">
        <w:rPr>
          <w:rFonts w:ascii="72 Light" w:hAnsi="72 Light" w:cs="72 Light"/>
          <w:sz w:val="24"/>
          <w:szCs w:val="24"/>
          <w:lang w:val="fr-CA"/>
        </w:rPr>
        <w:t xml:space="preserve">) a examiné </w:t>
      </w:r>
      <w:r w:rsidR="007F260F" w:rsidRPr="007B324D">
        <w:rPr>
          <w:rFonts w:ascii="72 Light" w:hAnsi="72 Light" w:cs="72 Light"/>
          <w:sz w:val="24"/>
          <w:szCs w:val="24"/>
          <w:lang w:val="fr-CA"/>
        </w:rPr>
        <w:t>l’ébauche</w:t>
      </w:r>
      <w:r w:rsidRPr="007B324D">
        <w:rPr>
          <w:rFonts w:ascii="72 Light" w:hAnsi="72 Light" w:cs="72 Light"/>
          <w:sz w:val="24"/>
          <w:szCs w:val="24"/>
          <w:lang w:val="fr-CA"/>
        </w:rPr>
        <w:t xml:space="preserve"> d</w:t>
      </w:r>
      <w:r w:rsidR="007F260F" w:rsidRPr="007B324D">
        <w:rPr>
          <w:rFonts w:ascii="72 Light" w:hAnsi="72 Light" w:cs="72 Light"/>
          <w:sz w:val="24"/>
          <w:szCs w:val="24"/>
          <w:lang w:val="fr-CA"/>
        </w:rPr>
        <w:t>u</w:t>
      </w:r>
      <w:r w:rsidRPr="007B324D">
        <w:rPr>
          <w:rFonts w:ascii="72 Light" w:hAnsi="72 Light" w:cs="72 Light"/>
          <w:sz w:val="24"/>
          <w:szCs w:val="24"/>
          <w:lang w:val="fr-CA"/>
        </w:rPr>
        <w:t xml:space="preserve"> rapport du Canada pour le quatrième Examen périodique universel et soumet respectueusement les commentaires et réactions suivants pour </w:t>
      </w:r>
      <w:r w:rsidR="007317EA" w:rsidRPr="007B324D">
        <w:rPr>
          <w:rFonts w:ascii="72 Light" w:hAnsi="72 Light" w:cs="72 Light"/>
          <w:sz w:val="24"/>
          <w:szCs w:val="24"/>
          <w:lang w:val="fr-CA"/>
        </w:rPr>
        <w:t>votre considération</w:t>
      </w:r>
      <w:r w:rsidRPr="007B324D">
        <w:rPr>
          <w:rFonts w:ascii="72 Light" w:hAnsi="72 Light" w:cs="72 Light"/>
          <w:sz w:val="24"/>
          <w:szCs w:val="24"/>
          <w:lang w:val="fr-CA"/>
        </w:rPr>
        <w:t xml:space="preserve">. </w:t>
      </w:r>
    </w:p>
    <w:p w14:paraId="63E60D55" w14:textId="77777777" w:rsidR="00BF3013" w:rsidRPr="007B324D" w:rsidRDefault="00BF3013" w:rsidP="00F62155">
      <w:pPr>
        <w:tabs>
          <w:tab w:val="left" w:pos="3544"/>
        </w:tabs>
        <w:spacing w:before="120" w:line="276" w:lineRule="auto"/>
        <w:jc w:val="both"/>
        <w:rPr>
          <w:rFonts w:ascii="72 Light" w:hAnsi="72 Light" w:cs="72 Light"/>
          <w:sz w:val="24"/>
          <w:szCs w:val="24"/>
          <w:lang w:val="fr-CA"/>
        </w:rPr>
      </w:pPr>
      <w:r w:rsidRPr="007B324D">
        <w:rPr>
          <w:rFonts w:ascii="72 Light" w:hAnsi="72 Light" w:cs="72 Light"/>
          <w:b/>
          <w:sz w:val="24"/>
          <w:szCs w:val="24"/>
          <w:lang w:val="fr-CA"/>
        </w:rPr>
        <w:t>Introduction</w:t>
      </w:r>
    </w:p>
    <w:p w14:paraId="0B9A64A0" w14:textId="3F6A9C13" w:rsidR="00BF3013" w:rsidRPr="007B324D" w:rsidRDefault="00BF3013" w:rsidP="00F62155">
      <w:pPr>
        <w:tabs>
          <w:tab w:val="left" w:pos="3544"/>
        </w:tabs>
        <w:spacing w:before="120" w:line="276" w:lineRule="auto"/>
        <w:ind w:left="0" w:firstLine="0"/>
        <w:jc w:val="both"/>
        <w:rPr>
          <w:rFonts w:ascii="72 Light" w:hAnsi="72 Light" w:cs="72 Light"/>
          <w:color w:val="000000" w:themeColor="text1"/>
          <w:sz w:val="24"/>
          <w:szCs w:val="24"/>
          <w:lang w:val="fr-CA"/>
        </w:rPr>
      </w:pPr>
      <w:r w:rsidRPr="007B324D">
        <w:rPr>
          <w:rFonts w:ascii="72 Light" w:hAnsi="72 Light" w:cs="72 Light"/>
          <w:color w:val="000000" w:themeColor="text1"/>
          <w:sz w:val="24"/>
          <w:szCs w:val="24"/>
          <w:lang w:val="fr-CA"/>
        </w:rPr>
        <w:t xml:space="preserve">Au Canada, les droits des Premières Nations sont souvent classés et reconnus </w:t>
      </w:r>
      <w:r w:rsidR="009E5373" w:rsidRPr="007B324D">
        <w:rPr>
          <w:rFonts w:ascii="72 Light" w:hAnsi="72 Light" w:cs="72 Light"/>
          <w:color w:val="000000" w:themeColor="text1"/>
          <w:sz w:val="24"/>
          <w:szCs w:val="24"/>
          <w:lang w:val="fr-CA"/>
        </w:rPr>
        <w:t>différemment des droits de la personne au sens large</w:t>
      </w:r>
      <w:r w:rsidRPr="007B324D">
        <w:rPr>
          <w:rFonts w:ascii="72 Light" w:hAnsi="72 Light" w:cs="72 Light"/>
          <w:color w:val="000000" w:themeColor="text1"/>
          <w:sz w:val="24"/>
          <w:szCs w:val="24"/>
          <w:lang w:val="fr-CA"/>
        </w:rPr>
        <w:t xml:space="preserve">. </w:t>
      </w:r>
      <w:r w:rsidR="009E5373" w:rsidRPr="007B324D">
        <w:rPr>
          <w:rFonts w:ascii="72 Light" w:hAnsi="72 Light" w:cs="72 Light"/>
          <w:color w:val="000000" w:themeColor="text1"/>
          <w:sz w:val="24"/>
          <w:szCs w:val="24"/>
          <w:lang w:val="fr-CA"/>
        </w:rPr>
        <w:t>Bien qu’il soit approprié d’adopter d</w:t>
      </w:r>
      <w:r w:rsidRPr="007B324D">
        <w:rPr>
          <w:rFonts w:ascii="72 Light" w:hAnsi="72 Light" w:cs="72 Light"/>
          <w:color w:val="000000" w:themeColor="text1"/>
          <w:sz w:val="24"/>
          <w:szCs w:val="24"/>
          <w:lang w:val="fr-CA"/>
        </w:rPr>
        <w:t xml:space="preserve">es approches fondées sur les distinctions, </w:t>
      </w:r>
      <w:r w:rsidR="009E5373" w:rsidRPr="007B324D">
        <w:rPr>
          <w:rFonts w:ascii="72 Light" w:hAnsi="72 Light" w:cs="72 Light"/>
          <w:color w:val="000000" w:themeColor="text1"/>
          <w:sz w:val="24"/>
          <w:szCs w:val="24"/>
          <w:lang w:val="fr-CA"/>
        </w:rPr>
        <w:t xml:space="preserve">il faut également reconnaître </w:t>
      </w:r>
      <w:r w:rsidRPr="007B324D">
        <w:rPr>
          <w:rFonts w:ascii="72 Light" w:hAnsi="72 Light" w:cs="72 Light"/>
          <w:color w:val="000000" w:themeColor="text1"/>
          <w:sz w:val="24"/>
          <w:szCs w:val="24"/>
          <w:lang w:val="fr-CA"/>
        </w:rPr>
        <w:t>les droits des Premières Nations et inclu</w:t>
      </w:r>
      <w:r w:rsidR="009E5373" w:rsidRPr="007B324D">
        <w:rPr>
          <w:rFonts w:ascii="72 Light" w:hAnsi="72 Light" w:cs="72 Light"/>
          <w:color w:val="000000" w:themeColor="text1"/>
          <w:sz w:val="24"/>
          <w:szCs w:val="24"/>
          <w:lang w:val="fr-CA"/>
        </w:rPr>
        <w:t>re ceux-ci</w:t>
      </w:r>
      <w:r w:rsidRPr="007B324D">
        <w:rPr>
          <w:rFonts w:ascii="72 Light" w:hAnsi="72 Light" w:cs="72 Light"/>
          <w:color w:val="000000" w:themeColor="text1"/>
          <w:sz w:val="24"/>
          <w:szCs w:val="24"/>
          <w:lang w:val="fr-CA"/>
        </w:rPr>
        <w:t xml:space="preserve"> dans des discussions plus </w:t>
      </w:r>
      <w:r w:rsidR="009E5373" w:rsidRPr="007B324D">
        <w:rPr>
          <w:rFonts w:ascii="72 Light" w:hAnsi="72 Light" w:cs="72 Light"/>
          <w:color w:val="000000" w:themeColor="text1"/>
          <w:sz w:val="24"/>
          <w:szCs w:val="24"/>
          <w:lang w:val="fr-CA"/>
        </w:rPr>
        <w:t>vastes</w:t>
      </w:r>
      <w:r w:rsidRPr="007B324D">
        <w:rPr>
          <w:rFonts w:ascii="72 Light" w:hAnsi="72 Light" w:cs="72 Light"/>
          <w:color w:val="000000" w:themeColor="text1"/>
          <w:sz w:val="24"/>
          <w:szCs w:val="24"/>
          <w:lang w:val="fr-CA"/>
        </w:rPr>
        <w:t xml:space="preserve"> sur les droits de la personne. Reconnaître les droits des Premières Nations comme des droits de la personne, c’est </w:t>
      </w:r>
      <w:r w:rsidR="009E5373" w:rsidRPr="007B324D">
        <w:rPr>
          <w:rFonts w:ascii="72 Light" w:hAnsi="72 Light" w:cs="72 Light"/>
          <w:color w:val="000000" w:themeColor="text1"/>
          <w:sz w:val="24"/>
          <w:szCs w:val="24"/>
          <w:lang w:val="fr-CA"/>
        </w:rPr>
        <w:t>admettre</w:t>
      </w:r>
      <w:r w:rsidRPr="007B324D">
        <w:rPr>
          <w:rFonts w:ascii="72 Light" w:hAnsi="72 Light" w:cs="72 Light"/>
          <w:color w:val="000000" w:themeColor="text1"/>
          <w:sz w:val="24"/>
          <w:szCs w:val="24"/>
          <w:lang w:val="fr-CA"/>
        </w:rPr>
        <w:t xml:space="preserve"> que ces droits sont essentiels à la dignité et à la survie des peuples des Premières Nations, dont les perspectives doivent être incluses dans toutes les discussions et initiatives liées aux droits de la personne. </w:t>
      </w:r>
    </w:p>
    <w:p w14:paraId="3D13136F" w14:textId="6F6A58B1" w:rsidR="00BF3013" w:rsidRPr="007B324D" w:rsidRDefault="00BF3013" w:rsidP="00F62155">
      <w:pPr>
        <w:tabs>
          <w:tab w:val="left" w:pos="3544"/>
        </w:tabs>
        <w:spacing w:before="120" w:line="276" w:lineRule="auto"/>
        <w:ind w:left="0" w:firstLine="0"/>
        <w:jc w:val="both"/>
        <w:rPr>
          <w:rFonts w:ascii="72 Light" w:hAnsi="72 Light" w:cs="72 Light"/>
          <w:color w:val="000000" w:themeColor="text1"/>
          <w:sz w:val="24"/>
          <w:szCs w:val="24"/>
          <w:lang w:val="fr-CA"/>
        </w:rPr>
      </w:pPr>
      <w:r w:rsidRPr="007B324D">
        <w:rPr>
          <w:rFonts w:ascii="72 Light" w:hAnsi="72 Light" w:cs="72 Light"/>
          <w:color w:val="000000" w:themeColor="text1"/>
          <w:sz w:val="24"/>
          <w:szCs w:val="24"/>
          <w:lang w:val="fr-CA"/>
        </w:rPr>
        <w:t xml:space="preserve">Bien que </w:t>
      </w:r>
      <w:r w:rsidR="008C4B3E" w:rsidRPr="007B324D">
        <w:rPr>
          <w:rFonts w:ascii="72 Light" w:hAnsi="72 Light" w:cs="72 Light"/>
          <w:color w:val="000000" w:themeColor="text1"/>
          <w:sz w:val="24"/>
          <w:szCs w:val="24"/>
          <w:lang w:val="fr-CA"/>
        </w:rPr>
        <w:t>l’Assemblée</w:t>
      </w:r>
      <w:r w:rsidRPr="007B324D">
        <w:rPr>
          <w:rFonts w:ascii="72 Light" w:hAnsi="72 Light" w:cs="72 Light"/>
          <w:color w:val="000000" w:themeColor="text1"/>
          <w:sz w:val="24"/>
          <w:szCs w:val="24"/>
          <w:lang w:val="fr-CA"/>
        </w:rPr>
        <w:t xml:space="preserve"> reconnaisse les progrès réalisés par le Canada, les dirigeants des Premières Nations d’un océan à l’autre continuent de plaider en faveur d</w:t>
      </w:r>
      <w:r w:rsidR="009E5373" w:rsidRPr="007B324D">
        <w:rPr>
          <w:rFonts w:ascii="72 Light" w:hAnsi="72 Light" w:cs="72 Light"/>
          <w:color w:val="000000" w:themeColor="text1"/>
          <w:sz w:val="24"/>
          <w:szCs w:val="24"/>
          <w:lang w:val="fr-CA"/>
        </w:rPr>
        <w:t>u respect intégral</w:t>
      </w:r>
      <w:r w:rsidRPr="007B324D">
        <w:rPr>
          <w:rFonts w:ascii="72 Light" w:hAnsi="72 Light" w:cs="72 Light"/>
          <w:color w:val="000000" w:themeColor="text1"/>
          <w:sz w:val="24"/>
          <w:szCs w:val="24"/>
          <w:lang w:val="fr-CA"/>
        </w:rPr>
        <w:t xml:space="preserve"> des droits </w:t>
      </w:r>
      <w:r w:rsidR="009E5373" w:rsidRPr="007B324D">
        <w:rPr>
          <w:rFonts w:ascii="72 Light" w:hAnsi="72 Light" w:cs="72 Light"/>
          <w:color w:val="000000" w:themeColor="text1"/>
          <w:sz w:val="24"/>
          <w:szCs w:val="24"/>
          <w:lang w:val="fr-CA"/>
        </w:rPr>
        <w:t>ancestraux</w:t>
      </w:r>
      <w:r w:rsidRPr="007B324D">
        <w:rPr>
          <w:rFonts w:ascii="72 Light" w:hAnsi="72 Light" w:cs="72 Light"/>
          <w:color w:val="000000" w:themeColor="text1"/>
          <w:sz w:val="24"/>
          <w:szCs w:val="24"/>
          <w:lang w:val="fr-CA"/>
        </w:rPr>
        <w:t>, des droits issus des traités, des droits</w:t>
      </w:r>
      <w:r w:rsidR="009E5373" w:rsidRPr="007B324D">
        <w:rPr>
          <w:rFonts w:ascii="72 Light" w:hAnsi="72 Light" w:cs="72 Light"/>
          <w:color w:val="000000" w:themeColor="text1"/>
          <w:sz w:val="24"/>
          <w:szCs w:val="24"/>
          <w:lang w:val="fr-CA"/>
        </w:rPr>
        <w:t xml:space="preserve"> des Autochtones</w:t>
      </w:r>
      <w:r w:rsidRPr="007B324D">
        <w:rPr>
          <w:rFonts w:ascii="72 Light" w:hAnsi="72 Light" w:cs="72 Light"/>
          <w:color w:val="000000" w:themeColor="text1"/>
          <w:sz w:val="24"/>
          <w:szCs w:val="24"/>
          <w:lang w:val="fr-CA"/>
        </w:rPr>
        <w:t xml:space="preserve"> et des droits de la personne des Premières Nations. Bien que les différents ordres de gouvernement du Canada se soient engagés à collaborer avec les Premières Nations, les gouvernements fédéral, provinciaux et territoriaux (FPT)</w:t>
      </w:r>
      <w:r w:rsidR="009E5373" w:rsidRPr="007B324D">
        <w:rPr>
          <w:rFonts w:ascii="72 Light" w:hAnsi="72 Light" w:cs="72 Light"/>
          <w:color w:val="000000" w:themeColor="text1"/>
          <w:sz w:val="24"/>
          <w:szCs w:val="24"/>
          <w:lang w:val="fr-CA"/>
        </w:rPr>
        <w:t xml:space="preserve"> prennent encore</w:t>
      </w:r>
      <w:r w:rsidRPr="007B324D">
        <w:rPr>
          <w:rFonts w:ascii="72 Light" w:hAnsi="72 Light" w:cs="72 Light"/>
          <w:color w:val="000000" w:themeColor="text1"/>
          <w:sz w:val="24"/>
          <w:szCs w:val="24"/>
          <w:lang w:val="fr-CA"/>
        </w:rPr>
        <w:t xml:space="preserve"> des décisions unilatérales </w:t>
      </w:r>
      <w:r w:rsidR="009E5373" w:rsidRPr="007B324D">
        <w:rPr>
          <w:rFonts w:ascii="72 Light" w:hAnsi="72 Light" w:cs="72 Light"/>
          <w:color w:val="000000" w:themeColor="text1"/>
          <w:sz w:val="24"/>
          <w:szCs w:val="24"/>
          <w:lang w:val="fr-CA"/>
        </w:rPr>
        <w:t>relatives aux</w:t>
      </w:r>
      <w:r w:rsidRPr="007B324D">
        <w:rPr>
          <w:rFonts w:ascii="72 Light" w:hAnsi="72 Light" w:cs="72 Light"/>
          <w:color w:val="000000" w:themeColor="text1"/>
          <w:sz w:val="24"/>
          <w:szCs w:val="24"/>
          <w:lang w:val="fr-CA"/>
        </w:rPr>
        <w:t xml:space="preserve"> Premières Nations sans leur consentement libre, préalable et éclairé ou sans leur permission. En conséquence, les droits des Premières Nations sont fréquemment bafoués et passent le plus souvent après les droits des autres Canadiens. </w:t>
      </w:r>
    </w:p>
    <w:p w14:paraId="1FDD63D7" w14:textId="5DD9780F" w:rsidR="00BF3013" w:rsidRPr="007B324D" w:rsidRDefault="008C4B3E" w:rsidP="00F62155">
      <w:pPr>
        <w:tabs>
          <w:tab w:val="left" w:pos="3544"/>
        </w:tabs>
        <w:spacing w:before="120" w:line="276" w:lineRule="auto"/>
        <w:ind w:left="0" w:firstLine="0"/>
        <w:jc w:val="both"/>
        <w:rPr>
          <w:rFonts w:ascii="72 Light" w:hAnsi="72 Light" w:cs="72 Light"/>
          <w:color w:val="000000" w:themeColor="text1"/>
          <w:sz w:val="24"/>
          <w:szCs w:val="24"/>
          <w:lang w:val="fr-CA"/>
        </w:rPr>
      </w:pPr>
      <w:r w:rsidRPr="007B324D">
        <w:rPr>
          <w:rFonts w:ascii="72 Light" w:hAnsi="72 Light" w:cs="72 Light"/>
          <w:color w:val="000000" w:themeColor="text1"/>
          <w:sz w:val="24"/>
          <w:szCs w:val="24"/>
          <w:lang w:val="fr-CA"/>
        </w:rPr>
        <w:t>L’</w:t>
      </w:r>
      <w:r w:rsidR="007317EA" w:rsidRPr="007B324D">
        <w:rPr>
          <w:rFonts w:ascii="72 Light" w:hAnsi="72 Light" w:cs="72 Light"/>
          <w:color w:val="000000" w:themeColor="text1"/>
          <w:sz w:val="24"/>
          <w:szCs w:val="24"/>
          <w:lang w:val="fr-CA"/>
        </w:rPr>
        <w:t>Assemblée</w:t>
      </w:r>
      <w:r w:rsidR="00BF3013" w:rsidRPr="007B324D">
        <w:rPr>
          <w:rFonts w:ascii="72 Light" w:hAnsi="72 Light" w:cs="72 Light"/>
          <w:color w:val="000000" w:themeColor="text1"/>
          <w:sz w:val="24"/>
          <w:szCs w:val="24"/>
          <w:lang w:val="fr-CA"/>
        </w:rPr>
        <w:t xml:space="preserve"> a reçu </w:t>
      </w:r>
      <w:r w:rsidR="009E5373" w:rsidRPr="007B324D">
        <w:rPr>
          <w:rFonts w:ascii="72 Light" w:hAnsi="72 Light" w:cs="72 Light"/>
          <w:color w:val="000000" w:themeColor="text1"/>
          <w:sz w:val="24"/>
          <w:szCs w:val="24"/>
          <w:lang w:val="fr-CA"/>
        </w:rPr>
        <w:t>la</w:t>
      </w:r>
      <w:r w:rsidR="00BF3013" w:rsidRPr="007B324D">
        <w:rPr>
          <w:rFonts w:ascii="72 Light" w:hAnsi="72 Light" w:cs="72 Light"/>
          <w:color w:val="000000" w:themeColor="text1"/>
          <w:sz w:val="24"/>
          <w:szCs w:val="24"/>
          <w:lang w:val="fr-CA"/>
        </w:rPr>
        <w:t xml:space="preserve"> version préliminaire du rapport du Canada sur l’EPU </w:t>
      </w:r>
      <w:r w:rsidR="009E5373" w:rsidRPr="007B324D">
        <w:rPr>
          <w:rFonts w:ascii="72 Light" w:hAnsi="72 Light" w:cs="72 Light"/>
          <w:color w:val="000000" w:themeColor="text1"/>
          <w:sz w:val="24"/>
          <w:szCs w:val="24"/>
          <w:lang w:val="fr-CA"/>
        </w:rPr>
        <w:t xml:space="preserve">et a eu trois semaines pour </w:t>
      </w:r>
      <w:r w:rsidR="00BF3013" w:rsidRPr="007B324D">
        <w:rPr>
          <w:rFonts w:ascii="72 Light" w:hAnsi="72 Light" w:cs="72 Light"/>
          <w:color w:val="000000" w:themeColor="text1"/>
          <w:sz w:val="24"/>
          <w:szCs w:val="24"/>
          <w:lang w:val="fr-CA"/>
        </w:rPr>
        <w:t xml:space="preserve">formuler des commentaires </w:t>
      </w:r>
      <w:r w:rsidR="009E5373" w:rsidRPr="007B324D">
        <w:rPr>
          <w:rFonts w:ascii="72 Light" w:hAnsi="72 Light" w:cs="72 Light"/>
          <w:color w:val="000000" w:themeColor="text1"/>
          <w:sz w:val="24"/>
          <w:szCs w:val="24"/>
          <w:lang w:val="fr-CA"/>
        </w:rPr>
        <w:t>et donner une rétroaction</w:t>
      </w:r>
      <w:r w:rsidR="00BF3013" w:rsidRPr="007B324D">
        <w:rPr>
          <w:rFonts w:ascii="72 Light" w:hAnsi="72 Light" w:cs="72 Light"/>
          <w:color w:val="000000" w:themeColor="text1"/>
          <w:sz w:val="24"/>
          <w:szCs w:val="24"/>
          <w:lang w:val="fr-CA"/>
        </w:rPr>
        <w:t xml:space="preserve">. </w:t>
      </w:r>
      <w:r w:rsidR="009E5373" w:rsidRPr="007B324D">
        <w:rPr>
          <w:rFonts w:ascii="72 Light" w:hAnsi="72 Light" w:cs="72 Light"/>
          <w:color w:val="000000" w:themeColor="text1"/>
          <w:sz w:val="24"/>
          <w:szCs w:val="24"/>
          <w:lang w:val="fr-CA"/>
        </w:rPr>
        <w:t xml:space="preserve">Celle-ci est </w:t>
      </w:r>
      <w:r w:rsidR="00BF3013" w:rsidRPr="007B324D">
        <w:rPr>
          <w:rFonts w:ascii="72 Light" w:hAnsi="72 Light" w:cs="72 Light"/>
          <w:color w:val="000000" w:themeColor="text1"/>
          <w:sz w:val="24"/>
          <w:szCs w:val="24"/>
          <w:lang w:val="fr-CA"/>
        </w:rPr>
        <w:t>structuré</w:t>
      </w:r>
      <w:r w:rsidR="009E5373" w:rsidRPr="007B324D">
        <w:rPr>
          <w:rFonts w:ascii="72 Light" w:hAnsi="72 Light" w:cs="72 Light"/>
          <w:color w:val="000000" w:themeColor="text1"/>
          <w:sz w:val="24"/>
          <w:szCs w:val="24"/>
          <w:lang w:val="fr-CA"/>
        </w:rPr>
        <w:t>e</w:t>
      </w:r>
      <w:r w:rsidR="00BF3013" w:rsidRPr="007B324D">
        <w:rPr>
          <w:rFonts w:ascii="72 Light" w:hAnsi="72 Light" w:cs="72 Light"/>
          <w:color w:val="000000" w:themeColor="text1"/>
          <w:sz w:val="24"/>
          <w:szCs w:val="24"/>
          <w:lang w:val="fr-CA"/>
        </w:rPr>
        <w:t xml:space="preserve"> de manière à répondre au rapport </w:t>
      </w:r>
      <w:r w:rsidR="009E5373" w:rsidRPr="007B324D">
        <w:rPr>
          <w:rFonts w:ascii="72 Light" w:hAnsi="72 Light" w:cs="72 Light"/>
          <w:color w:val="000000" w:themeColor="text1"/>
          <w:sz w:val="24"/>
          <w:szCs w:val="24"/>
          <w:lang w:val="fr-CA"/>
        </w:rPr>
        <w:t>du point de vue des</w:t>
      </w:r>
      <w:r w:rsidR="00BF3013" w:rsidRPr="007B324D">
        <w:rPr>
          <w:rFonts w:ascii="72 Light" w:hAnsi="72 Light" w:cs="72 Light"/>
          <w:color w:val="000000" w:themeColor="text1"/>
          <w:sz w:val="24"/>
          <w:szCs w:val="24"/>
          <w:lang w:val="fr-CA"/>
        </w:rPr>
        <w:t xml:space="preserve"> Premières Nations ainsi qu’à relever les lacunes qui </w:t>
      </w:r>
      <w:r w:rsidR="009E5373" w:rsidRPr="007B324D">
        <w:rPr>
          <w:rFonts w:ascii="72 Light" w:hAnsi="72 Light" w:cs="72 Light"/>
          <w:color w:val="000000" w:themeColor="text1"/>
          <w:sz w:val="24"/>
          <w:szCs w:val="24"/>
          <w:lang w:val="fr-CA"/>
        </w:rPr>
        <w:t>y ont été relevées</w:t>
      </w:r>
      <w:r w:rsidR="00BF3013" w:rsidRPr="007B324D">
        <w:rPr>
          <w:rFonts w:ascii="72 Light" w:hAnsi="72 Light" w:cs="72 Light"/>
          <w:color w:val="000000" w:themeColor="text1"/>
          <w:sz w:val="24"/>
          <w:szCs w:val="24"/>
          <w:lang w:val="fr-CA"/>
        </w:rPr>
        <w:t xml:space="preserve">. </w:t>
      </w:r>
    </w:p>
    <w:p w14:paraId="6BFC57EB" w14:textId="3ABA8C08" w:rsidR="00304CA4" w:rsidRPr="007B324D" w:rsidRDefault="00A66BF5" w:rsidP="00F62155">
      <w:pPr>
        <w:keepNext/>
        <w:tabs>
          <w:tab w:val="left" w:pos="3544"/>
        </w:tabs>
        <w:spacing w:before="120" w:line="276" w:lineRule="auto"/>
        <w:jc w:val="both"/>
        <w:rPr>
          <w:rFonts w:ascii="72 Light" w:hAnsi="72 Light" w:cs="72 Light"/>
          <w:b/>
          <w:sz w:val="24"/>
          <w:szCs w:val="24"/>
          <w:lang w:val="fr-CA"/>
        </w:rPr>
      </w:pPr>
      <w:r w:rsidRPr="007B324D">
        <w:rPr>
          <w:rFonts w:ascii="72 Light" w:hAnsi="72 Light" w:cs="72 Light"/>
          <w:b/>
          <w:sz w:val="24"/>
          <w:szCs w:val="24"/>
          <w:lang w:val="fr-CA"/>
        </w:rPr>
        <w:t>Mise en œuvre – Développements, réalisations et défis depuis le troisième EPU du Canada</w:t>
      </w:r>
    </w:p>
    <w:p w14:paraId="547A9142" w14:textId="77777777" w:rsidR="00881E94" w:rsidRPr="007B324D" w:rsidRDefault="00881E94" w:rsidP="00881E94">
      <w:pPr>
        <w:tabs>
          <w:tab w:val="left" w:pos="3544"/>
        </w:tabs>
        <w:spacing w:before="120" w:line="276" w:lineRule="auto"/>
        <w:ind w:left="0" w:firstLine="0"/>
        <w:jc w:val="both"/>
        <w:rPr>
          <w:rFonts w:ascii="72 Light" w:hAnsi="72 Light" w:cs="72 Light"/>
          <w:b/>
          <w:sz w:val="24"/>
          <w:szCs w:val="24"/>
          <w:lang w:val="fr-CA"/>
        </w:rPr>
      </w:pPr>
      <w:r w:rsidRPr="007B324D">
        <w:rPr>
          <w:rFonts w:ascii="72 Light" w:hAnsi="72 Light" w:cs="72 Light"/>
          <w:b/>
          <w:sz w:val="24"/>
          <w:szCs w:val="24"/>
          <w:lang w:val="fr-CA"/>
        </w:rPr>
        <w:t xml:space="preserve">Instruments internationaux relatifs aux droits de la personne </w:t>
      </w:r>
    </w:p>
    <w:p w14:paraId="26861E8D" w14:textId="754002D4" w:rsidR="00E5392C" w:rsidRPr="007B324D" w:rsidRDefault="00E5392C" w:rsidP="00881E94">
      <w:pPr>
        <w:keepNext/>
        <w:tabs>
          <w:tab w:val="left" w:pos="3544"/>
        </w:tabs>
        <w:spacing w:before="120" w:line="276" w:lineRule="auto"/>
        <w:ind w:left="0" w:firstLine="0"/>
        <w:jc w:val="both"/>
        <w:rPr>
          <w:rFonts w:ascii="72 Light" w:hAnsi="72 Light" w:cs="72 Light"/>
          <w:bCs/>
          <w:i/>
          <w:iCs/>
          <w:sz w:val="24"/>
          <w:szCs w:val="24"/>
          <w:lang w:val="fr-CA"/>
        </w:rPr>
      </w:pPr>
      <w:r w:rsidRPr="007B324D">
        <w:rPr>
          <w:rFonts w:ascii="72 Light" w:hAnsi="72 Light" w:cs="72 Light"/>
          <w:bCs/>
          <w:i/>
          <w:iCs/>
          <w:sz w:val="24"/>
          <w:szCs w:val="24"/>
          <w:lang w:val="fr-CA"/>
        </w:rPr>
        <w:t>Mécanismes de mise en œuvre et suivi des recommandations de l’Organisation des Nations Unies (ONU)</w:t>
      </w:r>
    </w:p>
    <w:p w14:paraId="0E4AD4EB" w14:textId="4B765336" w:rsidR="00BF3013" w:rsidRPr="007B324D" w:rsidRDefault="00BF3013" w:rsidP="00F62155">
      <w:pPr>
        <w:tabs>
          <w:tab w:val="left" w:pos="3544"/>
        </w:tabs>
        <w:spacing w:before="120" w:line="276" w:lineRule="auto"/>
        <w:ind w:left="0" w:firstLine="0"/>
        <w:jc w:val="both"/>
        <w:rPr>
          <w:rFonts w:ascii="72 Light" w:hAnsi="72 Light" w:cs="72 Light"/>
          <w:color w:val="000000" w:themeColor="text1"/>
          <w:sz w:val="24"/>
          <w:szCs w:val="24"/>
          <w:lang w:val="fr-CA"/>
        </w:rPr>
      </w:pPr>
      <w:r w:rsidRPr="007B324D">
        <w:rPr>
          <w:rFonts w:ascii="72 Light" w:hAnsi="72 Light" w:cs="72 Light"/>
          <w:color w:val="000000" w:themeColor="text1"/>
          <w:sz w:val="24"/>
          <w:szCs w:val="24"/>
          <w:lang w:val="fr-CA"/>
        </w:rPr>
        <w:t xml:space="preserve">Récemment, le Canada a créé un nouveau </w:t>
      </w:r>
      <w:r w:rsidR="00397952" w:rsidRPr="007B324D">
        <w:rPr>
          <w:rFonts w:ascii="72 Light" w:hAnsi="72 Light" w:cs="72 Light"/>
          <w:color w:val="000000" w:themeColor="text1"/>
          <w:sz w:val="24"/>
          <w:szCs w:val="24"/>
          <w:lang w:val="fr-CA"/>
        </w:rPr>
        <w:t>C</w:t>
      </w:r>
      <w:r w:rsidRPr="007B324D">
        <w:rPr>
          <w:rFonts w:ascii="72 Light" w:hAnsi="72 Light" w:cs="72 Light"/>
          <w:color w:val="000000" w:themeColor="text1"/>
          <w:sz w:val="24"/>
          <w:szCs w:val="24"/>
          <w:lang w:val="fr-CA"/>
        </w:rPr>
        <w:t xml:space="preserve">omité de hauts fonctionnaires FPT </w:t>
      </w:r>
      <w:r w:rsidR="00A10B78" w:rsidRPr="007B324D">
        <w:rPr>
          <w:rFonts w:ascii="72 Light" w:hAnsi="72 Light" w:cs="72 Light"/>
          <w:color w:val="000000" w:themeColor="text1"/>
          <w:sz w:val="24"/>
          <w:szCs w:val="24"/>
          <w:lang w:val="fr-CA"/>
        </w:rPr>
        <w:t>responsables</w:t>
      </w:r>
      <w:r w:rsidRPr="007B324D">
        <w:rPr>
          <w:rFonts w:ascii="72 Light" w:hAnsi="72 Light" w:cs="72 Light"/>
          <w:color w:val="000000" w:themeColor="text1"/>
          <w:sz w:val="24"/>
          <w:szCs w:val="24"/>
          <w:lang w:val="fr-CA"/>
        </w:rPr>
        <w:t xml:space="preserve"> des droits de la personne. De nombreux forums FPT similaires existent au Canada dans un large éventail de domaines </w:t>
      </w:r>
      <w:r w:rsidR="00843941" w:rsidRPr="007B324D">
        <w:rPr>
          <w:rFonts w:ascii="72 Light" w:hAnsi="72 Light" w:cs="72 Light"/>
          <w:color w:val="000000" w:themeColor="text1"/>
          <w:sz w:val="24"/>
          <w:szCs w:val="24"/>
          <w:lang w:val="fr-CA"/>
        </w:rPr>
        <w:t>stratégiques</w:t>
      </w:r>
      <w:r w:rsidRPr="007B324D">
        <w:rPr>
          <w:rFonts w:ascii="72 Light" w:hAnsi="72 Light" w:cs="72 Light"/>
          <w:color w:val="000000" w:themeColor="text1"/>
          <w:sz w:val="24"/>
          <w:szCs w:val="24"/>
          <w:lang w:val="fr-CA"/>
        </w:rPr>
        <w:t xml:space="preserve"> pour traiter de questions qui chevauchent les compétences fédérales et provinciales/territoriales. Depuis de nombreuses années, </w:t>
      </w:r>
      <w:r w:rsidR="008C4B3E" w:rsidRPr="007B324D">
        <w:rPr>
          <w:rFonts w:ascii="72 Light" w:hAnsi="72 Light" w:cs="72 Light"/>
          <w:color w:val="000000" w:themeColor="text1"/>
          <w:sz w:val="24"/>
          <w:szCs w:val="24"/>
          <w:lang w:val="fr-CA"/>
        </w:rPr>
        <w:t>l’Assemblée</w:t>
      </w:r>
      <w:r w:rsidRPr="007B324D">
        <w:rPr>
          <w:rFonts w:ascii="72 Light" w:hAnsi="72 Light" w:cs="72 Light"/>
          <w:color w:val="000000" w:themeColor="text1"/>
          <w:sz w:val="24"/>
          <w:szCs w:val="24"/>
          <w:lang w:val="fr-CA"/>
        </w:rPr>
        <w:t xml:space="preserve"> demande aux gouvernements </w:t>
      </w:r>
      <w:r w:rsidR="00884E33" w:rsidRPr="007B324D">
        <w:rPr>
          <w:rFonts w:ascii="72 Light" w:hAnsi="72 Light" w:cs="72 Light"/>
          <w:color w:val="000000" w:themeColor="text1"/>
          <w:sz w:val="24"/>
          <w:szCs w:val="24"/>
          <w:lang w:val="fr-CA"/>
        </w:rPr>
        <w:t xml:space="preserve">FPT </w:t>
      </w:r>
      <w:r w:rsidRPr="007B324D">
        <w:rPr>
          <w:rFonts w:ascii="72 Light" w:hAnsi="72 Light" w:cs="72 Light"/>
          <w:color w:val="000000" w:themeColor="text1"/>
          <w:sz w:val="24"/>
          <w:szCs w:val="24"/>
          <w:lang w:val="fr-CA"/>
        </w:rPr>
        <w:t xml:space="preserve">de l’inclure pleinement dans tous les comités, forums et réunions FPT qui </w:t>
      </w:r>
      <w:r w:rsidRPr="007B324D">
        <w:rPr>
          <w:rFonts w:ascii="72 Light" w:hAnsi="72 Light" w:cs="72 Light"/>
          <w:color w:val="000000" w:themeColor="text1"/>
          <w:sz w:val="24"/>
          <w:szCs w:val="24"/>
          <w:lang w:val="fr-CA"/>
        </w:rPr>
        <w:lastRenderedPageBreak/>
        <w:t>auront ou pourr</w:t>
      </w:r>
      <w:r w:rsidR="00843941" w:rsidRPr="007B324D">
        <w:rPr>
          <w:rFonts w:ascii="72 Light" w:hAnsi="72 Light" w:cs="72 Light"/>
          <w:color w:val="000000" w:themeColor="text1"/>
          <w:sz w:val="24"/>
          <w:szCs w:val="24"/>
          <w:lang w:val="fr-CA"/>
        </w:rPr>
        <w:t>aient</w:t>
      </w:r>
      <w:r w:rsidRPr="007B324D">
        <w:rPr>
          <w:rFonts w:ascii="72 Light" w:hAnsi="72 Light" w:cs="72 Light"/>
          <w:color w:val="000000" w:themeColor="text1"/>
          <w:sz w:val="24"/>
          <w:szCs w:val="24"/>
          <w:lang w:val="fr-CA"/>
        </w:rPr>
        <w:t xml:space="preserve"> avoir une incidence sur les droits et les compétences des Premières Nations. </w:t>
      </w:r>
    </w:p>
    <w:p w14:paraId="67D702A0" w14:textId="69940BB7" w:rsidR="00BF3013" w:rsidRPr="007B324D" w:rsidRDefault="00BF3013" w:rsidP="00F62155">
      <w:pPr>
        <w:tabs>
          <w:tab w:val="left" w:pos="3544"/>
        </w:tabs>
        <w:spacing w:before="120" w:line="276" w:lineRule="auto"/>
        <w:ind w:left="0" w:firstLine="0"/>
        <w:jc w:val="both"/>
        <w:rPr>
          <w:rFonts w:ascii="72 Light" w:hAnsi="72 Light" w:cs="72 Light"/>
          <w:color w:val="000000" w:themeColor="text1"/>
          <w:sz w:val="24"/>
          <w:szCs w:val="24"/>
          <w:lang w:val="fr-CA"/>
        </w:rPr>
      </w:pPr>
      <w:r w:rsidRPr="007B324D">
        <w:rPr>
          <w:rFonts w:ascii="72 Light" w:hAnsi="72 Light" w:cs="72 Light"/>
          <w:color w:val="000000" w:themeColor="text1"/>
          <w:sz w:val="24"/>
          <w:szCs w:val="24"/>
          <w:lang w:val="fr-CA"/>
        </w:rPr>
        <w:t xml:space="preserve">Les forums FPT </w:t>
      </w:r>
      <w:r w:rsidR="00843941" w:rsidRPr="007B324D">
        <w:rPr>
          <w:rFonts w:ascii="72 Light" w:hAnsi="72 Light" w:cs="72 Light"/>
          <w:color w:val="000000" w:themeColor="text1"/>
          <w:sz w:val="24"/>
          <w:szCs w:val="24"/>
          <w:lang w:val="fr-CA"/>
        </w:rPr>
        <w:t>s’adressent</w:t>
      </w:r>
      <w:r w:rsidRPr="007B324D">
        <w:rPr>
          <w:rFonts w:ascii="72 Light" w:hAnsi="72 Light" w:cs="72 Light"/>
          <w:color w:val="000000" w:themeColor="text1"/>
          <w:sz w:val="24"/>
          <w:szCs w:val="24"/>
          <w:lang w:val="fr-CA"/>
        </w:rPr>
        <w:t xml:space="preserve"> toujours </w:t>
      </w:r>
      <w:r w:rsidR="00843941" w:rsidRPr="007B324D">
        <w:rPr>
          <w:rFonts w:ascii="72 Light" w:hAnsi="72 Light" w:cs="72 Light"/>
          <w:color w:val="000000" w:themeColor="text1"/>
          <w:sz w:val="24"/>
          <w:szCs w:val="24"/>
          <w:lang w:val="fr-CA"/>
        </w:rPr>
        <w:t>aux</w:t>
      </w:r>
      <w:r w:rsidRPr="007B324D">
        <w:rPr>
          <w:rFonts w:ascii="72 Light" w:hAnsi="72 Light" w:cs="72 Light"/>
          <w:color w:val="000000" w:themeColor="text1"/>
          <w:sz w:val="24"/>
          <w:szCs w:val="24"/>
          <w:lang w:val="fr-CA"/>
        </w:rPr>
        <w:t xml:space="preserve"> Premières Nations et</w:t>
      </w:r>
      <w:r w:rsidR="00843941" w:rsidRPr="007B324D">
        <w:rPr>
          <w:rFonts w:ascii="72 Light" w:hAnsi="72 Light" w:cs="72 Light"/>
          <w:color w:val="000000" w:themeColor="text1"/>
          <w:sz w:val="24"/>
          <w:szCs w:val="24"/>
          <w:lang w:val="fr-CA"/>
        </w:rPr>
        <w:t xml:space="preserve"> à</w:t>
      </w:r>
      <w:r w:rsidRPr="007B324D">
        <w:rPr>
          <w:rFonts w:ascii="72 Light" w:hAnsi="72 Light" w:cs="72 Light"/>
          <w:color w:val="000000" w:themeColor="text1"/>
          <w:sz w:val="24"/>
          <w:szCs w:val="24"/>
          <w:lang w:val="fr-CA"/>
        </w:rPr>
        <w:t xml:space="preserve"> </w:t>
      </w:r>
      <w:r w:rsidR="008C4B3E" w:rsidRPr="007B324D">
        <w:rPr>
          <w:rFonts w:ascii="72 Light" w:hAnsi="72 Light" w:cs="72 Light"/>
          <w:color w:val="000000" w:themeColor="text1"/>
          <w:sz w:val="24"/>
          <w:szCs w:val="24"/>
          <w:lang w:val="fr-CA"/>
        </w:rPr>
        <w:t>l’Assemblée</w:t>
      </w:r>
      <w:r w:rsidRPr="007B324D">
        <w:rPr>
          <w:rFonts w:ascii="72 Light" w:hAnsi="72 Light" w:cs="72 Light"/>
          <w:color w:val="000000" w:themeColor="text1"/>
          <w:sz w:val="24"/>
          <w:szCs w:val="24"/>
          <w:lang w:val="fr-CA"/>
        </w:rPr>
        <w:t xml:space="preserve"> après coup</w:t>
      </w:r>
      <w:r w:rsidR="00DF3CE2" w:rsidRPr="007B324D">
        <w:rPr>
          <w:rFonts w:ascii="72 Light" w:hAnsi="72 Light" w:cs="72 Light"/>
          <w:color w:val="000000" w:themeColor="text1"/>
          <w:sz w:val="24"/>
          <w:szCs w:val="24"/>
          <w:lang w:val="fr-CA"/>
        </w:rPr>
        <w:t> :</w:t>
      </w:r>
      <w:r w:rsidRPr="007B324D">
        <w:rPr>
          <w:rFonts w:ascii="72 Light" w:hAnsi="72 Light" w:cs="72 Light"/>
          <w:color w:val="000000" w:themeColor="text1"/>
          <w:sz w:val="24"/>
          <w:szCs w:val="24"/>
          <w:lang w:val="fr-CA"/>
        </w:rPr>
        <w:t xml:space="preserve"> les gouvernements</w:t>
      </w:r>
      <w:r w:rsidR="00DF3CE2" w:rsidRPr="007B324D">
        <w:rPr>
          <w:rFonts w:ascii="72 Light" w:hAnsi="72 Light" w:cs="72 Light"/>
          <w:color w:val="000000" w:themeColor="text1"/>
          <w:sz w:val="24"/>
          <w:szCs w:val="24"/>
          <w:lang w:val="fr-CA"/>
        </w:rPr>
        <w:t> </w:t>
      </w:r>
      <w:r w:rsidRPr="007B324D">
        <w:rPr>
          <w:rFonts w:ascii="72 Light" w:hAnsi="72 Light" w:cs="72 Light"/>
          <w:color w:val="000000" w:themeColor="text1"/>
          <w:sz w:val="24"/>
          <w:szCs w:val="24"/>
          <w:lang w:val="fr-CA"/>
        </w:rPr>
        <w:t xml:space="preserve">FPT élaborent régulièrement des </w:t>
      </w:r>
      <w:r w:rsidR="00175863" w:rsidRPr="007B324D">
        <w:rPr>
          <w:rFonts w:ascii="72 Light" w:hAnsi="72 Light" w:cs="72 Light"/>
          <w:color w:val="000000" w:themeColor="text1"/>
          <w:sz w:val="24"/>
          <w:szCs w:val="24"/>
          <w:lang w:val="fr-CA"/>
        </w:rPr>
        <w:t xml:space="preserve">ordres du jour </w:t>
      </w:r>
      <w:r w:rsidRPr="007B324D">
        <w:rPr>
          <w:rFonts w:ascii="72 Light" w:hAnsi="72 Light" w:cs="72 Light"/>
          <w:color w:val="000000" w:themeColor="text1"/>
          <w:sz w:val="24"/>
          <w:szCs w:val="24"/>
          <w:lang w:val="fr-CA"/>
        </w:rPr>
        <w:t>sans</w:t>
      </w:r>
      <w:r w:rsidR="00DF3CE2" w:rsidRPr="007B324D">
        <w:rPr>
          <w:rFonts w:ascii="72 Light" w:hAnsi="72 Light" w:cs="72 Light"/>
          <w:color w:val="000000" w:themeColor="text1"/>
          <w:sz w:val="24"/>
          <w:szCs w:val="24"/>
          <w:lang w:val="fr-CA"/>
        </w:rPr>
        <w:t xml:space="preserve"> obtenir</w:t>
      </w:r>
      <w:r w:rsidRPr="007B324D">
        <w:rPr>
          <w:rFonts w:ascii="72 Light" w:hAnsi="72 Light" w:cs="72 Light"/>
          <w:color w:val="000000" w:themeColor="text1"/>
          <w:sz w:val="24"/>
          <w:szCs w:val="24"/>
          <w:lang w:val="fr-CA"/>
        </w:rPr>
        <w:t xml:space="preserve"> l’avis de </w:t>
      </w:r>
      <w:r w:rsidR="008C4B3E" w:rsidRPr="007B324D">
        <w:rPr>
          <w:rFonts w:ascii="72 Light" w:hAnsi="72 Light" w:cs="72 Light"/>
          <w:color w:val="000000" w:themeColor="text1"/>
          <w:sz w:val="24"/>
          <w:szCs w:val="24"/>
          <w:lang w:val="fr-CA"/>
        </w:rPr>
        <w:t>l’Assemblée</w:t>
      </w:r>
      <w:r w:rsidRPr="007B324D">
        <w:rPr>
          <w:rFonts w:ascii="72 Light" w:hAnsi="72 Light" w:cs="72 Light"/>
          <w:color w:val="000000" w:themeColor="text1"/>
          <w:sz w:val="24"/>
          <w:szCs w:val="24"/>
          <w:lang w:val="fr-CA"/>
        </w:rPr>
        <w:t xml:space="preserve"> ou des Premières Nations</w:t>
      </w:r>
      <w:r w:rsidR="00DF3CE2" w:rsidRPr="007B324D">
        <w:rPr>
          <w:rFonts w:ascii="72 Light" w:hAnsi="72 Light" w:cs="72 Light"/>
          <w:color w:val="000000" w:themeColor="text1"/>
          <w:sz w:val="24"/>
          <w:szCs w:val="24"/>
          <w:lang w:val="fr-CA"/>
        </w:rPr>
        <w:t xml:space="preserve">, </w:t>
      </w:r>
      <w:r w:rsidRPr="007B324D">
        <w:rPr>
          <w:rFonts w:ascii="72 Light" w:hAnsi="72 Light" w:cs="72 Light"/>
          <w:color w:val="000000" w:themeColor="text1"/>
          <w:sz w:val="24"/>
          <w:szCs w:val="24"/>
          <w:lang w:val="fr-CA"/>
        </w:rPr>
        <w:t>l’échange d’information est limité ou inexistant</w:t>
      </w:r>
      <w:r w:rsidR="00DF3CE2" w:rsidRPr="007B324D">
        <w:rPr>
          <w:rFonts w:ascii="72 Light" w:hAnsi="72 Light" w:cs="72 Light"/>
          <w:color w:val="000000" w:themeColor="text1"/>
          <w:sz w:val="24"/>
          <w:szCs w:val="24"/>
          <w:lang w:val="fr-CA"/>
        </w:rPr>
        <w:t>,</w:t>
      </w:r>
      <w:r w:rsidRPr="007B324D">
        <w:rPr>
          <w:rFonts w:ascii="72 Light" w:hAnsi="72 Light" w:cs="72 Light"/>
          <w:color w:val="000000" w:themeColor="text1"/>
          <w:sz w:val="24"/>
          <w:szCs w:val="24"/>
          <w:lang w:val="fr-CA"/>
        </w:rPr>
        <w:t xml:space="preserve"> et les représentants des gouvernements, en particulier </w:t>
      </w:r>
      <w:r w:rsidR="00DF3CE2" w:rsidRPr="007B324D">
        <w:rPr>
          <w:rFonts w:ascii="72 Light" w:hAnsi="72 Light" w:cs="72 Light"/>
          <w:color w:val="000000" w:themeColor="text1"/>
          <w:sz w:val="24"/>
          <w:szCs w:val="24"/>
          <w:lang w:val="fr-CA"/>
        </w:rPr>
        <w:t>provinciaux et territoriaux</w:t>
      </w:r>
      <w:r w:rsidRPr="007B324D">
        <w:rPr>
          <w:rFonts w:ascii="72 Light" w:hAnsi="72 Light" w:cs="72 Light"/>
          <w:color w:val="000000" w:themeColor="text1"/>
          <w:sz w:val="24"/>
          <w:szCs w:val="24"/>
          <w:lang w:val="fr-CA"/>
        </w:rPr>
        <w:t xml:space="preserve">, refusent souvent d’aborder les priorités des Premières Nations, </w:t>
      </w:r>
      <w:r w:rsidR="00DF3CE2" w:rsidRPr="007B324D">
        <w:rPr>
          <w:rFonts w:ascii="72 Light" w:hAnsi="72 Light" w:cs="72 Light"/>
          <w:color w:val="000000" w:themeColor="text1"/>
          <w:sz w:val="24"/>
          <w:szCs w:val="24"/>
          <w:lang w:val="fr-CA"/>
        </w:rPr>
        <w:t>par exemple les</w:t>
      </w:r>
      <w:r w:rsidRPr="007B324D">
        <w:rPr>
          <w:rFonts w:ascii="72 Light" w:hAnsi="72 Light" w:cs="72 Light"/>
          <w:color w:val="000000" w:themeColor="text1"/>
          <w:sz w:val="24"/>
          <w:szCs w:val="24"/>
          <w:lang w:val="fr-CA"/>
        </w:rPr>
        <w:t xml:space="preserve"> compétence</w:t>
      </w:r>
      <w:r w:rsidR="00DF3CE2" w:rsidRPr="007B324D">
        <w:rPr>
          <w:rFonts w:ascii="72 Light" w:hAnsi="72 Light" w:cs="72 Light"/>
          <w:color w:val="000000" w:themeColor="text1"/>
          <w:sz w:val="24"/>
          <w:szCs w:val="24"/>
          <w:lang w:val="fr-CA"/>
        </w:rPr>
        <w:t>s</w:t>
      </w:r>
      <w:r w:rsidRPr="007B324D">
        <w:rPr>
          <w:rFonts w:ascii="72 Light" w:hAnsi="72 Light" w:cs="72 Light"/>
          <w:color w:val="000000" w:themeColor="text1"/>
          <w:sz w:val="24"/>
          <w:szCs w:val="24"/>
          <w:lang w:val="fr-CA"/>
        </w:rPr>
        <w:t xml:space="preserve">. </w:t>
      </w:r>
    </w:p>
    <w:p w14:paraId="12EF9276" w14:textId="5B6E55F5" w:rsidR="00E93A8A" w:rsidRPr="007B324D" w:rsidRDefault="008C4B3E" w:rsidP="00145E2D">
      <w:pPr>
        <w:tabs>
          <w:tab w:val="left" w:pos="3544"/>
        </w:tabs>
        <w:spacing w:before="120" w:line="276" w:lineRule="auto"/>
        <w:ind w:left="0" w:firstLine="0"/>
        <w:jc w:val="both"/>
        <w:rPr>
          <w:rFonts w:ascii="72 Light" w:hAnsi="72 Light" w:cs="72 Light"/>
          <w:color w:val="000000" w:themeColor="text1"/>
          <w:sz w:val="24"/>
          <w:szCs w:val="24"/>
          <w:lang w:val="fr-CA"/>
        </w:rPr>
      </w:pPr>
      <w:r w:rsidRPr="007B324D">
        <w:rPr>
          <w:rFonts w:ascii="72 Light" w:hAnsi="72 Light" w:cs="72 Light"/>
          <w:color w:val="000000" w:themeColor="text1"/>
          <w:sz w:val="24"/>
          <w:szCs w:val="24"/>
          <w:lang w:val="fr-CA"/>
        </w:rPr>
        <w:t>L’Assemblée</w:t>
      </w:r>
      <w:r w:rsidR="00BF3013" w:rsidRPr="007B324D">
        <w:rPr>
          <w:rFonts w:ascii="72 Light" w:hAnsi="72 Light" w:cs="72 Light"/>
          <w:color w:val="000000" w:themeColor="text1"/>
          <w:sz w:val="24"/>
          <w:szCs w:val="24"/>
          <w:lang w:val="fr-CA"/>
        </w:rPr>
        <w:t xml:space="preserve"> doit être un partenaire à part entière dans toutes les réunions FPT qui concernent les Premières Nations, y compris celles qui portent sur les droits de la personne. Toutes les discussions, tous les plans et tous les cadres relatifs aux droits de la personne doivent inclure les perspectives des Premières Nations. </w:t>
      </w:r>
      <w:r w:rsidR="00DF3CE2" w:rsidRPr="007B324D">
        <w:rPr>
          <w:rFonts w:ascii="72 Light" w:hAnsi="72 Light" w:cs="72 Light"/>
          <w:color w:val="000000" w:themeColor="text1"/>
          <w:sz w:val="24"/>
          <w:szCs w:val="24"/>
          <w:lang w:val="fr-CA"/>
        </w:rPr>
        <w:t>Ces dernières</w:t>
      </w:r>
      <w:r w:rsidR="00BF3013" w:rsidRPr="007B324D">
        <w:rPr>
          <w:rFonts w:ascii="72 Light" w:hAnsi="72 Light" w:cs="72 Light"/>
          <w:color w:val="000000" w:themeColor="text1"/>
          <w:sz w:val="24"/>
          <w:szCs w:val="24"/>
          <w:lang w:val="fr-CA"/>
        </w:rPr>
        <w:t xml:space="preserve"> ne sont pas des intervenants</w:t>
      </w:r>
      <w:r w:rsidR="00DF3CE2" w:rsidRPr="007B324D">
        <w:rPr>
          <w:rFonts w:ascii="72 Light" w:hAnsi="72 Light" w:cs="72 Light"/>
          <w:color w:val="000000" w:themeColor="text1"/>
          <w:sz w:val="24"/>
          <w:szCs w:val="24"/>
          <w:lang w:val="fr-CA"/>
        </w:rPr>
        <w:t xml:space="preserve"> : </w:t>
      </w:r>
      <w:r w:rsidR="00BF3013" w:rsidRPr="007B324D">
        <w:rPr>
          <w:rFonts w:ascii="72 Light" w:hAnsi="72 Light" w:cs="72 Light"/>
          <w:color w:val="000000" w:themeColor="text1"/>
          <w:sz w:val="24"/>
          <w:szCs w:val="24"/>
          <w:lang w:val="fr-CA"/>
        </w:rPr>
        <w:t xml:space="preserve">elles sont des chefs de file et des partenaires établis dans la relation de nation à nation avec tous les gouvernements du Canada. </w:t>
      </w:r>
    </w:p>
    <w:p w14:paraId="7DD480CC" w14:textId="28B7E21F" w:rsidR="00AA3941" w:rsidRPr="007B324D" w:rsidRDefault="00AA3941" w:rsidP="00AA3941">
      <w:pPr>
        <w:tabs>
          <w:tab w:val="left" w:pos="3544"/>
        </w:tabs>
        <w:spacing w:before="120" w:line="276" w:lineRule="auto"/>
        <w:ind w:left="0" w:firstLine="0"/>
        <w:jc w:val="both"/>
        <w:rPr>
          <w:rFonts w:ascii="72 Light" w:hAnsi="72 Light" w:cs="72 Light"/>
          <w:bCs/>
          <w:i/>
          <w:iCs/>
          <w:sz w:val="24"/>
          <w:szCs w:val="24"/>
          <w:lang w:val="fr-CA"/>
        </w:rPr>
      </w:pPr>
      <w:r w:rsidRPr="007B324D">
        <w:rPr>
          <w:rFonts w:ascii="72 Light" w:hAnsi="72 Light" w:cs="72 Light"/>
          <w:bCs/>
          <w:i/>
          <w:iCs/>
          <w:sz w:val="24"/>
          <w:szCs w:val="24"/>
          <w:lang w:val="fr-CA"/>
        </w:rPr>
        <w:t>Engagement auprès des mécanismes et des organes internationaux de défense des droits de la personne</w:t>
      </w:r>
    </w:p>
    <w:p w14:paraId="5664B646" w14:textId="02A5297D" w:rsidR="00BF3013" w:rsidRPr="007B324D" w:rsidRDefault="00BF3013" w:rsidP="00F62155">
      <w:pPr>
        <w:tabs>
          <w:tab w:val="left" w:pos="3544"/>
        </w:tabs>
        <w:spacing w:before="120" w:line="276" w:lineRule="auto"/>
        <w:ind w:left="0" w:firstLine="0"/>
        <w:jc w:val="both"/>
        <w:rPr>
          <w:rFonts w:ascii="72 Light" w:hAnsi="72 Light" w:cs="72 Light"/>
          <w:color w:val="000000" w:themeColor="text1"/>
          <w:sz w:val="24"/>
          <w:szCs w:val="24"/>
          <w:lang w:val="fr-CA"/>
        </w:rPr>
      </w:pPr>
      <w:r w:rsidRPr="007B324D">
        <w:rPr>
          <w:rFonts w:ascii="72 Light" w:hAnsi="72 Light" w:cs="72 Light"/>
          <w:color w:val="000000" w:themeColor="text1"/>
          <w:sz w:val="24"/>
          <w:szCs w:val="24"/>
          <w:lang w:val="fr-CA"/>
        </w:rPr>
        <w:t xml:space="preserve">Si la participation du Canada aux mécanismes et </w:t>
      </w:r>
      <w:r w:rsidR="00D5743A" w:rsidRPr="007B324D">
        <w:rPr>
          <w:rFonts w:ascii="72 Light" w:hAnsi="72 Light" w:cs="72 Light"/>
          <w:color w:val="000000" w:themeColor="text1"/>
          <w:sz w:val="24"/>
          <w:szCs w:val="24"/>
          <w:lang w:val="fr-CA"/>
        </w:rPr>
        <w:t xml:space="preserve">organes </w:t>
      </w:r>
      <w:r w:rsidRPr="007B324D">
        <w:rPr>
          <w:rFonts w:ascii="72 Light" w:hAnsi="72 Light" w:cs="72 Light"/>
          <w:color w:val="000000" w:themeColor="text1"/>
          <w:sz w:val="24"/>
          <w:szCs w:val="24"/>
          <w:lang w:val="fr-CA"/>
        </w:rPr>
        <w:t xml:space="preserve">internationaux de protection des droits de la personne est </w:t>
      </w:r>
      <w:r w:rsidR="00DF3CE2" w:rsidRPr="007B324D">
        <w:rPr>
          <w:rFonts w:ascii="72 Light" w:hAnsi="72 Light" w:cs="72 Light"/>
          <w:color w:val="000000" w:themeColor="text1"/>
          <w:sz w:val="24"/>
          <w:szCs w:val="24"/>
          <w:lang w:val="fr-CA"/>
        </w:rPr>
        <w:t xml:space="preserve">la </w:t>
      </w:r>
      <w:r w:rsidRPr="007B324D">
        <w:rPr>
          <w:rFonts w:ascii="72 Light" w:hAnsi="72 Light" w:cs="72 Light"/>
          <w:color w:val="000000" w:themeColor="text1"/>
          <w:sz w:val="24"/>
          <w:szCs w:val="24"/>
          <w:lang w:val="fr-CA"/>
        </w:rPr>
        <w:t xml:space="preserve">bienvenue, les Premières Nations se heurtent encore </w:t>
      </w:r>
      <w:r w:rsidR="00DF3CE2" w:rsidRPr="007B324D">
        <w:rPr>
          <w:rFonts w:ascii="72 Light" w:hAnsi="72 Light" w:cs="72 Light"/>
          <w:color w:val="000000" w:themeColor="text1"/>
          <w:sz w:val="24"/>
          <w:szCs w:val="24"/>
          <w:lang w:val="fr-CA"/>
        </w:rPr>
        <w:t xml:space="preserve">une fois </w:t>
      </w:r>
      <w:r w:rsidRPr="007B324D">
        <w:rPr>
          <w:rFonts w:ascii="72 Light" w:hAnsi="72 Light" w:cs="72 Light"/>
          <w:color w:val="000000" w:themeColor="text1"/>
          <w:sz w:val="24"/>
          <w:szCs w:val="24"/>
          <w:lang w:val="fr-CA"/>
        </w:rPr>
        <w:t xml:space="preserve">à des obstacles importants </w:t>
      </w:r>
      <w:r w:rsidR="00DF3CE2" w:rsidRPr="007B324D">
        <w:rPr>
          <w:rFonts w:ascii="72 Light" w:hAnsi="72 Light" w:cs="72 Light"/>
          <w:color w:val="000000" w:themeColor="text1"/>
          <w:sz w:val="24"/>
          <w:szCs w:val="24"/>
          <w:lang w:val="fr-CA"/>
        </w:rPr>
        <w:t>sur ces tribunes</w:t>
      </w:r>
      <w:r w:rsidRPr="007B324D">
        <w:rPr>
          <w:rFonts w:ascii="72 Light" w:hAnsi="72 Light" w:cs="72 Light"/>
          <w:color w:val="000000" w:themeColor="text1"/>
          <w:sz w:val="24"/>
          <w:szCs w:val="24"/>
          <w:lang w:val="fr-CA"/>
        </w:rPr>
        <w:t xml:space="preserve">. Les Premières Nations ne disposent pas de fonds suffisants pour </w:t>
      </w:r>
      <w:r w:rsidR="00DF3CE2" w:rsidRPr="007B324D">
        <w:rPr>
          <w:rFonts w:ascii="72 Light" w:hAnsi="72 Light" w:cs="72 Light"/>
          <w:color w:val="000000" w:themeColor="text1"/>
          <w:sz w:val="24"/>
          <w:szCs w:val="24"/>
          <w:lang w:val="fr-CA"/>
        </w:rPr>
        <w:t>réaliser</w:t>
      </w:r>
      <w:r w:rsidRPr="007B324D">
        <w:rPr>
          <w:rFonts w:ascii="72 Light" w:hAnsi="72 Light" w:cs="72 Light"/>
          <w:color w:val="000000" w:themeColor="text1"/>
          <w:sz w:val="24"/>
          <w:szCs w:val="24"/>
          <w:lang w:val="fr-CA"/>
        </w:rPr>
        <w:t xml:space="preserve"> leurs priorités par l’intermédiaire </w:t>
      </w:r>
      <w:r w:rsidR="00DF3CE2" w:rsidRPr="007B324D">
        <w:rPr>
          <w:rFonts w:ascii="72 Light" w:hAnsi="72 Light" w:cs="72 Light"/>
          <w:color w:val="000000" w:themeColor="text1"/>
          <w:sz w:val="24"/>
          <w:szCs w:val="24"/>
          <w:lang w:val="fr-CA"/>
        </w:rPr>
        <w:t>d’une promotion internationale</w:t>
      </w:r>
      <w:r w:rsidRPr="007B324D">
        <w:rPr>
          <w:rFonts w:ascii="72 Light" w:hAnsi="72 Light" w:cs="72 Light"/>
          <w:color w:val="000000" w:themeColor="text1"/>
          <w:sz w:val="24"/>
          <w:szCs w:val="24"/>
          <w:lang w:val="fr-CA"/>
        </w:rPr>
        <w:t xml:space="preserve">, en particulier en ce qui concerne les mécanismes et les organes propres aux Autochtones. </w:t>
      </w:r>
      <w:r w:rsidR="00DF3CE2" w:rsidRPr="007B324D">
        <w:rPr>
          <w:rFonts w:ascii="72 Light" w:hAnsi="72 Light" w:cs="72 Light"/>
          <w:color w:val="000000" w:themeColor="text1"/>
          <w:sz w:val="24"/>
          <w:szCs w:val="24"/>
          <w:lang w:val="fr-CA"/>
        </w:rPr>
        <w:t>Elles</w:t>
      </w:r>
      <w:r w:rsidRPr="007B324D">
        <w:rPr>
          <w:rFonts w:ascii="72 Light" w:hAnsi="72 Light" w:cs="72 Light"/>
          <w:color w:val="000000" w:themeColor="text1"/>
          <w:sz w:val="24"/>
          <w:szCs w:val="24"/>
          <w:lang w:val="fr-CA"/>
        </w:rPr>
        <w:t xml:space="preserve"> ont besoin d’un financement dédié pour qu’une délégation complète puisse participer aux réunions et événements internationaux afin de faire progresser les droits de la personne </w:t>
      </w:r>
      <w:r w:rsidR="00DF3CE2" w:rsidRPr="007B324D">
        <w:rPr>
          <w:rFonts w:ascii="72 Light" w:hAnsi="72 Light" w:cs="72 Light"/>
          <w:color w:val="000000" w:themeColor="text1"/>
          <w:sz w:val="24"/>
          <w:szCs w:val="24"/>
          <w:lang w:val="fr-CA"/>
        </w:rPr>
        <w:t>au sein de leurs communautés</w:t>
      </w:r>
      <w:r w:rsidRPr="007B324D">
        <w:rPr>
          <w:rFonts w:ascii="72 Light" w:hAnsi="72 Light" w:cs="72 Light"/>
          <w:color w:val="000000" w:themeColor="text1"/>
          <w:sz w:val="24"/>
          <w:szCs w:val="24"/>
          <w:lang w:val="fr-CA"/>
        </w:rPr>
        <w:t xml:space="preserve">. </w:t>
      </w:r>
    </w:p>
    <w:p w14:paraId="70B16F32" w14:textId="6D231F21" w:rsidR="00BF3013" w:rsidRPr="007B324D" w:rsidRDefault="00BF3013" w:rsidP="00F62155">
      <w:pPr>
        <w:tabs>
          <w:tab w:val="left" w:pos="3544"/>
        </w:tabs>
        <w:spacing w:before="120" w:line="276" w:lineRule="auto"/>
        <w:ind w:left="0" w:firstLine="0"/>
        <w:jc w:val="both"/>
        <w:rPr>
          <w:rFonts w:ascii="72 Light" w:hAnsi="72 Light" w:cs="72 Light"/>
          <w:color w:val="000000" w:themeColor="text1"/>
          <w:sz w:val="24"/>
          <w:szCs w:val="24"/>
          <w:lang w:val="fr-CA"/>
        </w:rPr>
      </w:pPr>
      <w:r w:rsidRPr="007B324D">
        <w:rPr>
          <w:rFonts w:ascii="72 Light" w:hAnsi="72 Light" w:cs="72 Light"/>
          <w:color w:val="000000" w:themeColor="text1"/>
          <w:sz w:val="24"/>
          <w:szCs w:val="24"/>
          <w:lang w:val="fr-CA"/>
        </w:rPr>
        <w:t xml:space="preserve">Le Canada doit également collaborer avec </w:t>
      </w:r>
      <w:r w:rsidR="008C4B3E" w:rsidRPr="007B324D">
        <w:rPr>
          <w:rFonts w:ascii="72 Light" w:hAnsi="72 Light" w:cs="72 Light"/>
          <w:color w:val="000000" w:themeColor="text1"/>
          <w:sz w:val="24"/>
          <w:szCs w:val="24"/>
          <w:lang w:val="fr-CA"/>
        </w:rPr>
        <w:t>l’Assemblée</w:t>
      </w:r>
      <w:r w:rsidRPr="007B324D">
        <w:rPr>
          <w:rFonts w:ascii="72 Light" w:hAnsi="72 Light" w:cs="72 Light"/>
          <w:color w:val="000000" w:themeColor="text1"/>
          <w:sz w:val="24"/>
          <w:szCs w:val="24"/>
          <w:lang w:val="fr-CA"/>
        </w:rPr>
        <w:t xml:space="preserve"> pour élaborer un cadre approprié </w:t>
      </w:r>
      <w:r w:rsidR="00DF3CE2" w:rsidRPr="007B324D">
        <w:rPr>
          <w:rFonts w:ascii="72 Light" w:hAnsi="72 Light" w:cs="72 Light"/>
          <w:color w:val="000000" w:themeColor="text1"/>
          <w:sz w:val="24"/>
          <w:szCs w:val="24"/>
          <w:lang w:val="fr-CA"/>
        </w:rPr>
        <w:t xml:space="preserve">en vue de la consultation </w:t>
      </w:r>
      <w:r w:rsidRPr="007B324D">
        <w:rPr>
          <w:rFonts w:ascii="72 Light" w:hAnsi="72 Light" w:cs="72 Light"/>
          <w:color w:val="000000" w:themeColor="text1"/>
          <w:sz w:val="24"/>
          <w:szCs w:val="24"/>
          <w:lang w:val="fr-CA"/>
        </w:rPr>
        <w:t xml:space="preserve">de </w:t>
      </w:r>
      <w:r w:rsidR="008C4B3E" w:rsidRPr="007B324D">
        <w:rPr>
          <w:rFonts w:ascii="72 Light" w:hAnsi="72 Light" w:cs="72 Light"/>
          <w:color w:val="000000" w:themeColor="text1"/>
          <w:sz w:val="24"/>
          <w:szCs w:val="24"/>
          <w:lang w:val="fr-CA"/>
        </w:rPr>
        <w:t>l’Assemblée</w:t>
      </w:r>
      <w:r w:rsidRPr="007B324D">
        <w:rPr>
          <w:rFonts w:ascii="72 Light" w:hAnsi="72 Light" w:cs="72 Light"/>
          <w:color w:val="000000" w:themeColor="text1"/>
          <w:sz w:val="24"/>
          <w:szCs w:val="24"/>
          <w:lang w:val="fr-CA"/>
        </w:rPr>
        <w:t xml:space="preserve"> avant les réunions et les événements internationaux. Le Canada s’est vanté de travailler en étroite collaboration avec ses partenaires autochtones pour </w:t>
      </w:r>
      <w:r w:rsidR="001B2503" w:rsidRPr="007B324D">
        <w:rPr>
          <w:rFonts w:ascii="72 Light" w:hAnsi="72 Light" w:cs="72 Light"/>
          <w:color w:val="000000" w:themeColor="text1"/>
          <w:sz w:val="24"/>
          <w:szCs w:val="24"/>
          <w:lang w:val="fr-CA"/>
        </w:rPr>
        <w:t xml:space="preserve">obtenir leur contribution </w:t>
      </w:r>
      <w:r w:rsidRPr="007B324D">
        <w:rPr>
          <w:rFonts w:ascii="72 Light" w:hAnsi="72 Light" w:cs="72 Light"/>
          <w:color w:val="000000" w:themeColor="text1"/>
          <w:sz w:val="24"/>
          <w:szCs w:val="24"/>
          <w:lang w:val="fr-CA"/>
        </w:rPr>
        <w:t xml:space="preserve">aux rapports et aux résolutions des Nations </w:t>
      </w:r>
      <w:r w:rsidR="001B2503" w:rsidRPr="007B324D">
        <w:rPr>
          <w:rFonts w:ascii="72 Light" w:hAnsi="72 Light" w:cs="72 Light"/>
          <w:color w:val="000000" w:themeColor="text1"/>
          <w:sz w:val="24"/>
          <w:szCs w:val="24"/>
          <w:lang w:val="fr-CA"/>
        </w:rPr>
        <w:t>U</w:t>
      </w:r>
      <w:r w:rsidRPr="007B324D">
        <w:rPr>
          <w:rFonts w:ascii="72 Light" w:hAnsi="72 Light" w:cs="72 Light"/>
          <w:color w:val="000000" w:themeColor="text1"/>
          <w:sz w:val="24"/>
          <w:szCs w:val="24"/>
          <w:lang w:val="fr-CA"/>
        </w:rPr>
        <w:t>nies</w:t>
      </w:r>
      <w:r w:rsidR="001B2503" w:rsidRPr="007B324D">
        <w:rPr>
          <w:rFonts w:ascii="72 Light" w:hAnsi="72 Light" w:cs="72 Light"/>
          <w:color w:val="000000" w:themeColor="text1"/>
          <w:sz w:val="24"/>
          <w:szCs w:val="24"/>
          <w:lang w:val="fr-CA"/>
        </w:rPr>
        <w:t>, mais</w:t>
      </w:r>
      <w:r w:rsidRPr="007B324D">
        <w:rPr>
          <w:rFonts w:ascii="72 Light" w:hAnsi="72 Light" w:cs="72 Light"/>
          <w:color w:val="000000" w:themeColor="text1"/>
          <w:sz w:val="24"/>
          <w:szCs w:val="24"/>
          <w:lang w:val="fr-CA"/>
        </w:rPr>
        <w:t xml:space="preserve"> dans de nombreux cas, le Canada fournit ces documents à </w:t>
      </w:r>
      <w:r w:rsidR="008C4B3E" w:rsidRPr="007B324D">
        <w:rPr>
          <w:rFonts w:ascii="72 Light" w:hAnsi="72 Light" w:cs="72 Light"/>
          <w:color w:val="000000" w:themeColor="text1"/>
          <w:sz w:val="24"/>
          <w:szCs w:val="24"/>
          <w:lang w:val="fr-CA"/>
        </w:rPr>
        <w:t>l’Assemblée</w:t>
      </w:r>
      <w:r w:rsidRPr="007B324D">
        <w:rPr>
          <w:rFonts w:ascii="72 Light" w:hAnsi="72 Light" w:cs="72 Light"/>
          <w:color w:val="000000" w:themeColor="text1"/>
          <w:sz w:val="24"/>
          <w:szCs w:val="24"/>
          <w:lang w:val="fr-CA"/>
        </w:rPr>
        <w:t xml:space="preserve"> dans des délais si courts que</w:t>
      </w:r>
      <w:r w:rsidR="001B2503" w:rsidRPr="007B324D">
        <w:rPr>
          <w:rFonts w:ascii="72 Light" w:hAnsi="72 Light" w:cs="72 Light"/>
          <w:color w:val="000000" w:themeColor="text1"/>
          <w:sz w:val="24"/>
          <w:szCs w:val="24"/>
          <w:lang w:val="fr-CA"/>
        </w:rPr>
        <w:t xml:space="preserve"> celle-ci</w:t>
      </w:r>
      <w:r w:rsidRPr="007B324D">
        <w:rPr>
          <w:rFonts w:ascii="72 Light" w:hAnsi="72 Light" w:cs="72 Light"/>
          <w:color w:val="000000" w:themeColor="text1"/>
          <w:sz w:val="24"/>
          <w:szCs w:val="24"/>
          <w:lang w:val="fr-CA"/>
        </w:rPr>
        <w:t xml:space="preserve"> n’a pas le temps d’élaborer une réponse complète.</w:t>
      </w:r>
    </w:p>
    <w:p w14:paraId="6203D436" w14:textId="5A6AB4E2" w:rsidR="00BF3013" w:rsidRPr="007B324D" w:rsidRDefault="00BF3013" w:rsidP="00F62155">
      <w:pPr>
        <w:tabs>
          <w:tab w:val="left" w:pos="3544"/>
        </w:tabs>
        <w:spacing w:before="120" w:line="276" w:lineRule="auto"/>
        <w:ind w:left="0" w:firstLine="0"/>
        <w:jc w:val="both"/>
        <w:rPr>
          <w:rFonts w:ascii="72 Light" w:hAnsi="72 Light" w:cs="72 Light"/>
          <w:color w:val="000000" w:themeColor="text1"/>
          <w:sz w:val="24"/>
          <w:szCs w:val="24"/>
          <w:lang w:val="fr-CA"/>
        </w:rPr>
      </w:pPr>
      <w:r w:rsidRPr="007B324D">
        <w:rPr>
          <w:rFonts w:ascii="72 Light" w:hAnsi="72 Light" w:cs="72 Light"/>
          <w:color w:val="000000" w:themeColor="text1"/>
          <w:sz w:val="24"/>
          <w:szCs w:val="24"/>
          <w:lang w:val="fr-CA"/>
        </w:rPr>
        <w:t>Le Canada doit également éclaircir</w:t>
      </w:r>
      <w:r w:rsidR="001B2503" w:rsidRPr="007B324D">
        <w:rPr>
          <w:rFonts w:ascii="72 Light" w:hAnsi="72 Light" w:cs="72 Light"/>
          <w:color w:val="000000" w:themeColor="text1"/>
          <w:sz w:val="24"/>
          <w:szCs w:val="24"/>
          <w:lang w:val="fr-CA"/>
        </w:rPr>
        <w:t>, sur les tribunes internationales,</w:t>
      </w:r>
      <w:r w:rsidRPr="007B324D">
        <w:rPr>
          <w:rFonts w:ascii="72 Light" w:hAnsi="72 Light" w:cs="72 Light"/>
          <w:color w:val="000000" w:themeColor="text1"/>
          <w:sz w:val="24"/>
          <w:szCs w:val="24"/>
          <w:lang w:val="fr-CA"/>
        </w:rPr>
        <w:t xml:space="preserve"> sa position concernant les traités et les négociations. Les Premières Nations sont fermement convaincues que les traités antérieurs à la Confédération, les traités numérotés et les autres traités conclus entre les Premières Nations et la Couronne sont des mécanismes internationaux de protection des droits de la personne</w:t>
      </w:r>
      <w:r w:rsidR="001B2503" w:rsidRPr="007B324D">
        <w:rPr>
          <w:rFonts w:ascii="72 Light" w:hAnsi="72 Light" w:cs="72 Light"/>
          <w:color w:val="000000" w:themeColor="text1"/>
          <w:sz w:val="24"/>
          <w:szCs w:val="24"/>
          <w:lang w:val="fr-CA"/>
        </w:rPr>
        <w:t>, et</w:t>
      </w:r>
      <w:r w:rsidRPr="007B324D">
        <w:rPr>
          <w:rFonts w:ascii="72 Light" w:hAnsi="72 Light" w:cs="72 Light"/>
          <w:color w:val="000000" w:themeColor="text1"/>
          <w:sz w:val="24"/>
          <w:szCs w:val="24"/>
          <w:lang w:val="fr-CA"/>
        </w:rPr>
        <w:t xml:space="preserve"> qu’il incombe au Canada de mettre </w:t>
      </w:r>
      <w:r w:rsidR="001B2503" w:rsidRPr="007B324D">
        <w:rPr>
          <w:rFonts w:ascii="72 Light" w:hAnsi="72 Light" w:cs="72 Light"/>
          <w:color w:val="000000" w:themeColor="text1"/>
          <w:sz w:val="24"/>
          <w:szCs w:val="24"/>
          <w:lang w:val="fr-CA"/>
        </w:rPr>
        <w:t xml:space="preserve">ceux-ci </w:t>
      </w:r>
      <w:r w:rsidRPr="007B324D">
        <w:rPr>
          <w:rFonts w:ascii="72 Light" w:hAnsi="72 Light" w:cs="72 Light"/>
          <w:color w:val="000000" w:themeColor="text1"/>
          <w:sz w:val="24"/>
          <w:szCs w:val="24"/>
          <w:lang w:val="fr-CA"/>
        </w:rPr>
        <w:t xml:space="preserve">pleinement en œuvre. Il existe une disparité importante entre l’engagement du Canada à mettre en œuvre d’autres accords internationaux et </w:t>
      </w:r>
      <w:r w:rsidR="001B2503" w:rsidRPr="007B324D">
        <w:rPr>
          <w:rFonts w:ascii="72 Light" w:hAnsi="72 Light" w:cs="72 Light"/>
          <w:color w:val="000000" w:themeColor="text1"/>
          <w:sz w:val="24"/>
          <w:szCs w:val="24"/>
          <w:lang w:val="fr-CA"/>
        </w:rPr>
        <w:t xml:space="preserve">son </w:t>
      </w:r>
      <w:r w:rsidRPr="007B324D">
        <w:rPr>
          <w:rFonts w:ascii="72 Light" w:hAnsi="72 Light" w:cs="72 Light"/>
          <w:color w:val="000000" w:themeColor="text1"/>
          <w:sz w:val="24"/>
          <w:szCs w:val="24"/>
          <w:lang w:val="fr-CA"/>
        </w:rPr>
        <w:t xml:space="preserve">engagement à mettre en œuvre les traités conclus avec les Premières Nations. </w:t>
      </w:r>
    </w:p>
    <w:p w14:paraId="05FEED66" w14:textId="589CBA53" w:rsidR="00BF3013" w:rsidRPr="007B324D" w:rsidRDefault="00BF3013" w:rsidP="00F62155">
      <w:pPr>
        <w:tabs>
          <w:tab w:val="left" w:pos="3544"/>
        </w:tabs>
        <w:spacing w:before="120" w:line="276" w:lineRule="auto"/>
        <w:ind w:left="0" w:firstLine="0"/>
        <w:jc w:val="both"/>
        <w:rPr>
          <w:rFonts w:ascii="72 Light" w:hAnsi="72 Light" w:cs="72 Light"/>
          <w:color w:val="000000" w:themeColor="text1"/>
          <w:sz w:val="24"/>
          <w:szCs w:val="24"/>
          <w:lang w:val="fr-CA"/>
        </w:rPr>
      </w:pPr>
      <w:r w:rsidRPr="007B324D">
        <w:rPr>
          <w:rFonts w:ascii="72 Light" w:hAnsi="72 Light" w:cs="72 Light"/>
          <w:color w:val="000000" w:themeColor="text1"/>
          <w:sz w:val="24"/>
          <w:szCs w:val="24"/>
          <w:lang w:val="fr-CA"/>
        </w:rPr>
        <w:lastRenderedPageBreak/>
        <w:t xml:space="preserve">Bien que le Canada soit </w:t>
      </w:r>
      <w:r w:rsidR="001B2503" w:rsidRPr="007B324D">
        <w:rPr>
          <w:rFonts w:ascii="72 Light" w:hAnsi="72 Light" w:cs="72 Light"/>
          <w:color w:val="000000" w:themeColor="text1"/>
          <w:sz w:val="24"/>
          <w:szCs w:val="24"/>
          <w:lang w:val="fr-CA"/>
        </w:rPr>
        <w:t>un des chefs de file</w:t>
      </w:r>
      <w:r w:rsidRPr="007B324D">
        <w:rPr>
          <w:rFonts w:ascii="72 Light" w:hAnsi="72 Light" w:cs="72 Light"/>
          <w:color w:val="000000" w:themeColor="text1"/>
          <w:sz w:val="24"/>
          <w:szCs w:val="24"/>
          <w:lang w:val="fr-CA"/>
        </w:rPr>
        <w:t xml:space="preserve"> de la résolution annuelle sur la violence faite aux femmes et aux filles, </w:t>
      </w:r>
      <w:r w:rsidR="001B2503" w:rsidRPr="007B324D">
        <w:rPr>
          <w:rFonts w:ascii="72 Light" w:hAnsi="72 Light" w:cs="72 Light"/>
          <w:color w:val="000000" w:themeColor="text1"/>
          <w:sz w:val="24"/>
          <w:szCs w:val="24"/>
          <w:lang w:val="fr-CA"/>
        </w:rPr>
        <w:t xml:space="preserve">il reste que </w:t>
      </w:r>
      <w:r w:rsidRPr="007B324D">
        <w:rPr>
          <w:rFonts w:ascii="72 Light" w:hAnsi="72 Light" w:cs="72 Light"/>
          <w:color w:val="000000" w:themeColor="text1"/>
          <w:sz w:val="24"/>
          <w:szCs w:val="24"/>
          <w:lang w:val="fr-CA"/>
        </w:rPr>
        <w:t>les femmes</w:t>
      </w:r>
      <w:r w:rsidR="001B2503" w:rsidRPr="007B324D">
        <w:rPr>
          <w:rFonts w:ascii="72 Light" w:hAnsi="72 Light" w:cs="72 Light"/>
          <w:color w:val="000000" w:themeColor="text1"/>
          <w:sz w:val="24"/>
          <w:szCs w:val="24"/>
          <w:lang w:val="fr-CA"/>
        </w:rPr>
        <w:t xml:space="preserve">, </w:t>
      </w:r>
      <w:r w:rsidRPr="007B324D">
        <w:rPr>
          <w:rFonts w:ascii="72 Light" w:hAnsi="72 Light" w:cs="72 Light"/>
          <w:color w:val="000000" w:themeColor="text1"/>
          <w:sz w:val="24"/>
          <w:szCs w:val="24"/>
          <w:lang w:val="fr-CA"/>
        </w:rPr>
        <w:t xml:space="preserve">les filles </w:t>
      </w:r>
      <w:r w:rsidR="001B2503" w:rsidRPr="007B324D">
        <w:rPr>
          <w:rFonts w:ascii="72 Light" w:hAnsi="72 Light" w:cs="72 Light"/>
          <w:color w:val="000000" w:themeColor="text1"/>
          <w:sz w:val="24"/>
          <w:szCs w:val="24"/>
          <w:lang w:val="fr-CA"/>
        </w:rPr>
        <w:t xml:space="preserve">et </w:t>
      </w:r>
      <w:r w:rsidRPr="007B324D">
        <w:rPr>
          <w:rFonts w:ascii="72 Light" w:hAnsi="72 Light" w:cs="72 Light"/>
          <w:color w:val="000000" w:themeColor="text1"/>
          <w:sz w:val="24"/>
          <w:szCs w:val="24"/>
          <w:lang w:val="fr-CA"/>
        </w:rPr>
        <w:t>les personnes</w:t>
      </w:r>
      <w:r w:rsidR="00042C3C" w:rsidRPr="007B324D">
        <w:rPr>
          <w:rFonts w:ascii="72 Light" w:hAnsi="72 Light" w:cs="72 Light"/>
          <w:color w:val="000000" w:themeColor="text1"/>
          <w:sz w:val="24"/>
          <w:szCs w:val="24"/>
          <w:lang w:val="fr-CA"/>
        </w:rPr>
        <w:t> </w:t>
      </w:r>
      <w:r w:rsidRPr="007B324D">
        <w:rPr>
          <w:rFonts w:ascii="72 Light" w:hAnsi="72 Light" w:cs="72 Light"/>
          <w:color w:val="000000" w:themeColor="text1"/>
          <w:sz w:val="24"/>
          <w:szCs w:val="24"/>
          <w:lang w:val="fr-CA"/>
        </w:rPr>
        <w:t>2ELGBTQ</w:t>
      </w:r>
      <w:r w:rsidR="001D29C9" w:rsidRPr="007B324D">
        <w:rPr>
          <w:rFonts w:ascii="72 Light" w:hAnsi="72 Light" w:cs="72 Light"/>
          <w:color w:val="000000" w:themeColor="text1"/>
          <w:sz w:val="24"/>
          <w:szCs w:val="24"/>
          <w:lang w:val="fr-CA"/>
        </w:rPr>
        <w:t>Q</w:t>
      </w:r>
      <w:r w:rsidRPr="007B324D">
        <w:rPr>
          <w:rFonts w:ascii="72 Light" w:hAnsi="72 Light" w:cs="72 Light"/>
          <w:color w:val="000000" w:themeColor="text1"/>
          <w:sz w:val="24"/>
          <w:szCs w:val="24"/>
          <w:lang w:val="fr-CA"/>
        </w:rPr>
        <w:t xml:space="preserve">IA+ </w:t>
      </w:r>
      <w:r w:rsidR="001B2503" w:rsidRPr="007B324D">
        <w:rPr>
          <w:rFonts w:ascii="72 Light" w:hAnsi="72 Light" w:cs="72 Light"/>
          <w:color w:val="000000" w:themeColor="text1"/>
          <w:sz w:val="24"/>
          <w:szCs w:val="24"/>
          <w:lang w:val="fr-CA"/>
        </w:rPr>
        <w:t xml:space="preserve">autochtones </w:t>
      </w:r>
      <w:r w:rsidRPr="007B324D">
        <w:rPr>
          <w:rFonts w:ascii="72 Light" w:hAnsi="72 Light" w:cs="72 Light"/>
          <w:color w:val="000000" w:themeColor="text1"/>
          <w:sz w:val="24"/>
          <w:szCs w:val="24"/>
          <w:lang w:val="fr-CA"/>
        </w:rPr>
        <w:t>au Canada</w:t>
      </w:r>
      <w:r w:rsidR="001B2503" w:rsidRPr="007B324D">
        <w:rPr>
          <w:rFonts w:ascii="72 Light" w:hAnsi="72 Light" w:cs="72 Light"/>
          <w:color w:val="000000" w:themeColor="text1"/>
          <w:sz w:val="24"/>
          <w:szCs w:val="24"/>
          <w:lang w:val="fr-CA"/>
        </w:rPr>
        <w:t xml:space="preserve">, demeurent aux prises avec </w:t>
      </w:r>
      <w:r w:rsidRPr="007B324D">
        <w:rPr>
          <w:rFonts w:ascii="72 Light" w:hAnsi="72 Light" w:cs="72 Light"/>
          <w:color w:val="000000" w:themeColor="text1"/>
          <w:sz w:val="24"/>
          <w:szCs w:val="24"/>
          <w:lang w:val="fr-CA"/>
        </w:rPr>
        <w:t xml:space="preserve">des niveaux de violence disproportionnés. En outre, le Canada ne </w:t>
      </w:r>
      <w:r w:rsidR="001B2503" w:rsidRPr="007B324D">
        <w:rPr>
          <w:rFonts w:ascii="72 Light" w:hAnsi="72 Light" w:cs="72 Light"/>
          <w:color w:val="000000" w:themeColor="text1"/>
          <w:sz w:val="24"/>
          <w:szCs w:val="24"/>
          <w:lang w:val="fr-CA"/>
        </w:rPr>
        <w:t>rend pas compte</w:t>
      </w:r>
      <w:r w:rsidRPr="007B324D">
        <w:rPr>
          <w:rFonts w:ascii="72 Light" w:hAnsi="72 Light" w:cs="72 Light"/>
          <w:color w:val="000000" w:themeColor="text1"/>
          <w:sz w:val="24"/>
          <w:szCs w:val="24"/>
          <w:lang w:val="fr-CA"/>
        </w:rPr>
        <w:t xml:space="preserve"> des progrès réalisés </w:t>
      </w:r>
      <w:r w:rsidR="007C6F8A" w:rsidRPr="007B324D">
        <w:rPr>
          <w:rFonts w:ascii="72 Light" w:hAnsi="72 Light" w:cs="72 Light"/>
          <w:color w:val="000000" w:themeColor="text1"/>
          <w:sz w:val="24"/>
          <w:szCs w:val="24"/>
          <w:lang w:val="fr-CA"/>
        </w:rPr>
        <w:t xml:space="preserve">en ce qui concerne la violence faite aux femmes et aux filles </w:t>
      </w:r>
      <w:r w:rsidRPr="007B324D">
        <w:rPr>
          <w:rFonts w:ascii="72 Light" w:hAnsi="72 Light" w:cs="72 Light"/>
          <w:color w:val="000000" w:themeColor="text1"/>
          <w:sz w:val="24"/>
          <w:szCs w:val="24"/>
          <w:lang w:val="fr-CA"/>
        </w:rPr>
        <w:t>dans le cadre du Plan d’action national pour les femmes, les filles et les personnes</w:t>
      </w:r>
      <w:r w:rsidR="00042C3C" w:rsidRPr="007B324D">
        <w:rPr>
          <w:rFonts w:ascii="72 Light" w:hAnsi="72 Light" w:cs="72 Light"/>
          <w:color w:val="000000" w:themeColor="text1"/>
          <w:sz w:val="24"/>
          <w:szCs w:val="24"/>
          <w:lang w:val="fr-CA"/>
        </w:rPr>
        <w:t> </w:t>
      </w:r>
      <w:r w:rsidRPr="007B324D">
        <w:rPr>
          <w:rFonts w:ascii="72 Light" w:hAnsi="72 Light" w:cs="72 Light"/>
          <w:color w:val="000000" w:themeColor="text1"/>
          <w:sz w:val="24"/>
          <w:szCs w:val="24"/>
          <w:lang w:val="fr-CA"/>
        </w:rPr>
        <w:t xml:space="preserve">2ELGBTQQIA+ autochtones disparues et assassinées. Le Canada doit </w:t>
      </w:r>
      <w:r w:rsidR="001B2503" w:rsidRPr="007B324D">
        <w:rPr>
          <w:rFonts w:ascii="72 Light" w:hAnsi="72 Light" w:cs="72 Light"/>
          <w:color w:val="000000" w:themeColor="text1"/>
          <w:sz w:val="24"/>
          <w:szCs w:val="24"/>
          <w:lang w:val="fr-CA"/>
        </w:rPr>
        <w:t xml:space="preserve">pourtant </w:t>
      </w:r>
      <w:r w:rsidRPr="007B324D">
        <w:rPr>
          <w:rFonts w:ascii="72 Light" w:hAnsi="72 Light" w:cs="72 Light"/>
          <w:color w:val="000000" w:themeColor="text1"/>
          <w:sz w:val="24"/>
          <w:szCs w:val="24"/>
          <w:lang w:val="fr-CA"/>
        </w:rPr>
        <w:t>rendre compte des progrès accomplis dans la mise en œuvre des mesures du plan d’action depuis sa publication en juin 2021.</w:t>
      </w:r>
    </w:p>
    <w:p w14:paraId="1FE61409" w14:textId="0FA4E6A2" w:rsidR="00BF3013" w:rsidRPr="007B324D" w:rsidRDefault="00BF3013" w:rsidP="00F62155">
      <w:pPr>
        <w:tabs>
          <w:tab w:val="left" w:pos="3544"/>
        </w:tabs>
        <w:spacing w:before="120" w:line="276" w:lineRule="auto"/>
        <w:ind w:left="0" w:firstLine="0"/>
        <w:jc w:val="both"/>
        <w:rPr>
          <w:rFonts w:ascii="72 Light" w:hAnsi="72 Light" w:cs="72 Light"/>
          <w:bCs/>
          <w:i/>
          <w:iCs/>
          <w:sz w:val="24"/>
          <w:szCs w:val="24"/>
          <w:lang w:val="fr-CA"/>
        </w:rPr>
      </w:pPr>
      <w:r w:rsidRPr="007B324D">
        <w:rPr>
          <w:rFonts w:ascii="72 Light" w:hAnsi="72 Light" w:cs="72 Light"/>
          <w:bCs/>
          <w:i/>
          <w:iCs/>
          <w:sz w:val="24"/>
          <w:szCs w:val="24"/>
          <w:lang w:val="fr-CA"/>
        </w:rPr>
        <w:t>Ratification d</w:t>
      </w:r>
      <w:r w:rsidR="00D91C3C" w:rsidRPr="007B324D">
        <w:rPr>
          <w:rFonts w:ascii="72 Light" w:hAnsi="72 Light" w:cs="72 Light"/>
          <w:bCs/>
          <w:i/>
          <w:iCs/>
          <w:sz w:val="24"/>
          <w:szCs w:val="24"/>
          <w:lang w:val="fr-CA"/>
        </w:rPr>
        <w:t xml:space="preserve">es </w:t>
      </w:r>
      <w:r w:rsidRPr="007B324D">
        <w:rPr>
          <w:rFonts w:ascii="72 Light" w:hAnsi="72 Light" w:cs="72 Light"/>
          <w:bCs/>
          <w:i/>
          <w:iCs/>
          <w:sz w:val="24"/>
          <w:szCs w:val="24"/>
          <w:lang w:val="fr-CA"/>
        </w:rPr>
        <w:t xml:space="preserve">instruments internationaux </w:t>
      </w:r>
      <w:r w:rsidR="00B52CE7" w:rsidRPr="007B324D">
        <w:rPr>
          <w:rFonts w:ascii="72 Light" w:hAnsi="72 Light" w:cs="72 Light"/>
          <w:bCs/>
          <w:i/>
          <w:iCs/>
          <w:sz w:val="24"/>
          <w:szCs w:val="24"/>
          <w:lang w:val="fr-CA"/>
        </w:rPr>
        <w:t xml:space="preserve">relatifs aux </w:t>
      </w:r>
      <w:r w:rsidRPr="007B324D">
        <w:rPr>
          <w:rFonts w:ascii="72 Light" w:hAnsi="72 Light" w:cs="72 Light"/>
          <w:bCs/>
          <w:i/>
          <w:iCs/>
          <w:sz w:val="24"/>
          <w:szCs w:val="24"/>
          <w:lang w:val="fr-CA"/>
        </w:rPr>
        <w:t xml:space="preserve">droits de la personne </w:t>
      </w:r>
    </w:p>
    <w:p w14:paraId="589B56AA" w14:textId="5FD64FBE"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Le Canada doit informer les Premières Nations de la ratification d</w:t>
      </w:r>
      <w:r w:rsidR="001B2503" w:rsidRPr="007B324D">
        <w:rPr>
          <w:rFonts w:ascii="72 Light" w:hAnsi="72 Light" w:cs="72 Light"/>
          <w:sz w:val="24"/>
          <w:szCs w:val="24"/>
          <w:lang w:val="fr-CA"/>
        </w:rPr>
        <w:t>’</w:t>
      </w:r>
      <w:r w:rsidRPr="007B324D">
        <w:rPr>
          <w:rFonts w:ascii="72 Light" w:hAnsi="72 Light" w:cs="72 Light"/>
          <w:sz w:val="24"/>
          <w:szCs w:val="24"/>
          <w:lang w:val="fr-CA"/>
        </w:rPr>
        <w:t xml:space="preserve">instruments internationaux </w:t>
      </w:r>
      <w:r w:rsidR="00B52CE7" w:rsidRPr="007B324D">
        <w:rPr>
          <w:rFonts w:ascii="72 Light" w:hAnsi="72 Light" w:cs="72 Light"/>
          <w:sz w:val="24"/>
          <w:szCs w:val="24"/>
          <w:lang w:val="fr-CA"/>
        </w:rPr>
        <w:t>relatifs aux</w:t>
      </w:r>
      <w:r w:rsidRPr="007B324D">
        <w:rPr>
          <w:rFonts w:ascii="72 Light" w:hAnsi="72 Light" w:cs="72 Light"/>
          <w:sz w:val="24"/>
          <w:szCs w:val="24"/>
          <w:lang w:val="fr-CA"/>
        </w:rPr>
        <w:t xml:space="preserve"> droits de la personne </w:t>
      </w:r>
      <w:r w:rsidR="001B2503" w:rsidRPr="007B324D">
        <w:rPr>
          <w:rFonts w:ascii="72 Light" w:hAnsi="72 Light" w:cs="72 Light"/>
          <w:sz w:val="24"/>
          <w:szCs w:val="24"/>
          <w:lang w:val="fr-CA"/>
        </w:rPr>
        <w:t>qui concernent</w:t>
      </w:r>
      <w:r w:rsidRPr="007B324D">
        <w:rPr>
          <w:rFonts w:ascii="72 Light" w:hAnsi="72 Light" w:cs="72 Light"/>
          <w:sz w:val="24"/>
          <w:szCs w:val="24"/>
          <w:lang w:val="fr-CA"/>
        </w:rPr>
        <w:t xml:space="preserve"> les peuples autochtones. En outre, </w:t>
      </w:r>
      <w:r w:rsidR="001B2503" w:rsidRPr="007B324D">
        <w:rPr>
          <w:rFonts w:ascii="72 Light" w:hAnsi="72 Light" w:cs="72 Light"/>
          <w:sz w:val="24"/>
          <w:szCs w:val="24"/>
          <w:lang w:val="fr-CA"/>
        </w:rPr>
        <w:t>il</w:t>
      </w:r>
      <w:r w:rsidRPr="007B324D">
        <w:rPr>
          <w:rFonts w:ascii="72 Light" w:hAnsi="72 Light" w:cs="72 Light"/>
          <w:sz w:val="24"/>
          <w:szCs w:val="24"/>
          <w:lang w:val="fr-CA"/>
        </w:rPr>
        <w:t xml:space="preserve"> doit fournir aux Premières Nations des renseignements adéquats et une analyse de la domestication législative et réglementaire du Traité sur le commerce des armes d’une manière tenant compte des normes de l’article 5 de la </w:t>
      </w:r>
      <w:r w:rsidR="002D012C" w:rsidRPr="007B324D">
        <w:rPr>
          <w:rFonts w:ascii="72 Light" w:hAnsi="72 Light" w:cs="72 Light"/>
          <w:i/>
          <w:iCs/>
          <w:sz w:val="24"/>
          <w:szCs w:val="24"/>
          <w:lang w:val="fr-CA"/>
        </w:rPr>
        <w:t xml:space="preserve">Loi sur la </w:t>
      </w:r>
      <w:r w:rsidRPr="007B324D">
        <w:rPr>
          <w:rFonts w:ascii="72 Light" w:hAnsi="72 Light" w:cs="72 Light"/>
          <w:i/>
          <w:iCs/>
          <w:sz w:val="24"/>
          <w:szCs w:val="24"/>
          <w:lang w:val="fr-CA"/>
        </w:rPr>
        <w:t>Déclaration des Nations Unies sur les droits des peuples autochtones</w:t>
      </w:r>
      <w:r w:rsidRPr="007B324D">
        <w:rPr>
          <w:rFonts w:ascii="72 Light" w:hAnsi="72 Light" w:cs="72 Light"/>
          <w:sz w:val="24"/>
          <w:szCs w:val="24"/>
          <w:lang w:val="fr-CA"/>
        </w:rPr>
        <w:t xml:space="preserve"> (</w:t>
      </w:r>
      <w:r w:rsidR="002D012C" w:rsidRPr="007B324D">
        <w:rPr>
          <w:rFonts w:ascii="72 Light" w:hAnsi="72 Light" w:cs="72 Light"/>
          <w:sz w:val="24"/>
          <w:szCs w:val="24"/>
          <w:lang w:val="fr-CA"/>
        </w:rPr>
        <w:t>L</w:t>
      </w:r>
      <w:r w:rsidRPr="007B324D">
        <w:rPr>
          <w:rFonts w:ascii="72 Light" w:hAnsi="72 Light" w:cs="72 Light"/>
          <w:sz w:val="24"/>
          <w:szCs w:val="24"/>
          <w:lang w:val="fr-CA"/>
        </w:rPr>
        <w:t xml:space="preserve">DNUDPA). </w:t>
      </w:r>
    </w:p>
    <w:p w14:paraId="5A5896D7" w14:textId="2FF27423" w:rsidR="00BF3013" w:rsidRPr="007B324D" w:rsidRDefault="00BF3013" w:rsidP="00F62155">
      <w:pPr>
        <w:tabs>
          <w:tab w:val="left" w:pos="3544"/>
        </w:tabs>
        <w:spacing w:before="120" w:line="276" w:lineRule="auto"/>
        <w:ind w:left="0" w:firstLine="0"/>
        <w:jc w:val="both"/>
        <w:rPr>
          <w:rFonts w:ascii="72 Light" w:hAnsi="72 Light" w:cs="72 Light"/>
          <w:b/>
          <w:sz w:val="24"/>
          <w:szCs w:val="24"/>
          <w:lang w:val="fr-CA"/>
        </w:rPr>
      </w:pPr>
      <w:r w:rsidRPr="007B324D">
        <w:rPr>
          <w:rFonts w:ascii="72 Light" w:hAnsi="72 Light" w:cs="72 Light"/>
          <w:b/>
          <w:sz w:val="24"/>
          <w:szCs w:val="24"/>
          <w:lang w:val="fr-CA"/>
        </w:rPr>
        <w:t xml:space="preserve">Droits des peuples autochtones </w:t>
      </w:r>
    </w:p>
    <w:p w14:paraId="139FA334" w14:textId="77777777" w:rsidR="00BF3013" w:rsidRPr="007B324D" w:rsidRDefault="00BF3013" w:rsidP="00F62155">
      <w:pPr>
        <w:tabs>
          <w:tab w:val="left" w:pos="3544"/>
        </w:tabs>
        <w:spacing w:before="120" w:line="276" w:lineRule="auto"/>
        <w:ind w:left="0" w:firstLine="0"/>
        <w:jc w:val="both"/>
        <w:rPr>
          <w:rFonts w:ascii="72 Light" w:hAnsi="72 Light" w:cs="72 Light"/>
          <w:bCs/>
          <w:i/>
          <w:iCs/>
          <w:sz w:val="24"/>
          <w:szCs w:val="24"/>
          <w:lang w:val="fr-CA"/>
        </w:rPr>
      </w:pPr>
      <w:r w:rsidRPr="007B324D">
        <w:rPr>
          <w:rFonts w:ascii="72 Light" w:hAnsi="72 Light" w:cs="72 Light"/>
          <w:bCs/>
          <w:i/>
          <w:iCs/>
          <w:sz w:val="24"/>
          <w:szCs w:val="24"/>
          <w:lang w:val="fr-CA"/>
        </w:rPr>
        <w:t>Initiatives de réconciliation</w:t>
      </w:r>
      <w:r w:rsidRPr="007B324D">
        <w:rPr>
          <w:rStyle w:val="eop"/>
          <w:rFonts w:ascii="72 Light" w:hAnsi="72 Light" w:cs="72 Light"/>
          <w:bCs/>
          <w:i/>
          <w:iCs/>
          <w:sz w:val="24"/>
          <w:szCs w:val="24"/>
          <w:lang w:val="fr-CA"/>
        </w:rPr>
        <w:t> </w:t>
      </w:r>
    </w:p>
    <w:p w14:paraId="6E44C759" w14:textId="3407B5FA" w:rsidR="00BF3013" w:rsidRPr="007B324D" w:rsidRDefault="00BF3013" w:rsidP="00F62155">
      <w:pPr>
        <w:pStyle w:val="pf0"/>
        <w:tabs>
          <w:tab w:val="left" w:pos="3544"/>
        </w:tabs>
        <w:spacing w:before="120" w:beforeAutospacing="0" w:after="120" w:afterAutospacing="0" w:line="276" w:lineRule="auto"/>
        <w:jc w:val="both"/>
        <w:rPr>
          <w:rFonts w:ascii="72 Light" w:eastAsia="Calibri Light" w:hAnsi="72 Light" w:cs="72 Light"/>
          <w:i/>
          <w:iCs/>
        </w:rPr>
      </w:pPr>
      <w:r w:rsidRPr="007B324D">
        <w:rPr>
          <w:rFonts w:ascii="72 Light" w:hAnsi="72 Light" w:cs="72 Light"/>
          <w:i/>
          <w:iCs/>
        </w:rPr>
        <w:t xml:space="preserve">Appels à l’action formulés par la Commission de vérité et réconciliation </w:t>
      </w:r>
    </w:p>
    <w:p w14:paraId="5FA089C8" w14:textId="71276E54" w:rsidR="00BF3013" w:rsidRPr="007B324D" w:rsidRDefault="00BF3013" w:rsidP="00F62155">
      <w:pPr>
        <w:pStyle w:val="pf0"/>
        <w:tabs>
          <w:tab w:val="left" w:pos="3544"/>
        </w:tabs>
        <w:spacing w:before="120" w:beforeAutospacing="0" w:after="120" w:afterAutospacing="0" w:line="276" w:lineRule="auto"/>
        <w:jc w:val="both"/>
        <w:rPr>
          <w:rStyle w:val="eop"/>
          <w:rFonts w:ascii="72 Light" w:eastAsia="MS Mincho" w:hAnsi="72 Light" w:cs="72 Light"/>
          <w:color w:val="000000" w:themeColor="text1"/>
        </w:rPr>
      </w:pPr>
      <w:r w:rsidRPr="007B324D">
        <w:rPr>
          <w:rStyle w:val="eop"/>
          <w:rFonts w:ascii="72 Light" w:hAnsi="72 Light" w:cs="72 Light"/>
          <w:color w:val="000000" w:themeColor="text1"/>
        </w:rPr>
        <w:t xml:space="preserve">Les Premières Nations sont convaincues que le Canada </w:t>
      </w:r>
      <w:r w:rsidR="005202EA" w:rsidRPr="007B324D">
        <w:rPr>
          <w:rStyle w:val="eop"/>
          <w:rFonts w:ascii="72 Light" w:hAnsi="72 Light" w:cs="72 Light"/>
          <w:color w:val="000000" w:themeColor="text1"/>
        </w:rPr>
        <w:t xml:space="preserve">ne déclare pas avec exactitude les progrès réalisés </w:t>
      </w:r>
      <w:r w:rsidRPr="007B324D">
        <w:rPr>
          <w:rStyle w:val="eop"/>
          <w:rFonts w:ascii="72 Light" w:hAnsi="72 Light" w:cs="72 Light"/>
          <w:color w:val="000000" w:themeColor="text1"/>
        </w:rPr>
        <w:t>dans le cadre des appels à l’action de la Commission de vérité et réconciliation</w:t>
      </w:r>
      <w:r w:rsidR="004D555C" w:rsidRPr="007B324D">
        <w:rPr>
          <w:rStyle w:val="eop"/>
          <w:rFonts w:ascii="72 Light" w:hAnsi="72 Light" w:cs="72 Light"/>
          <w:color w:val="000000" w:themeColor="text1"/>
        </w:rPr>
        <w:t xml:space="preserve"> (CVR)</w:t>
      </w:r>
      <w:r w:rsidRPr="007B324D">
        <w:rPr>
          <w:rStyle w:val="eop"/>
          <w:rFonts w:ascii="72 Light" w:hAnsi="72 Light" w:cs="72 Light"/>
          <w:color w:val="000000" w:themeColor="text1"/>
        </w:rPr>
        <w:t xml:space="preserve">. </w:t>
      </w:r>
      <w:r w:rsidR="005202EA" w:rsidRPr="007B324D">
        <w:rPr>
          <w:rStyle w:val="eop"/>
          <w:rFonts w:ascii="72 Light" w:hAnsi="72 Light" w:cs="72 Light"/>
          <w:color w:val="000000" w:themeColor="text1"/>
        </w:rPr>
        <w:t>L’inexactitude d</w:t>
      </w:r>
      <w:r w:rsidRPr="007B324D">
        <w:rPr>
          <w:rStyle w:val="eop"/>
          <w:rFonts w:ascii="72 Light" w:hAnsi="72 Light" w:cs="72 Light"/>
          <w:color w:val="000000" w:themeColor="text1"/>
        </w:rPr>
        <w:t xml:space="preserve">es rapports sur les appels à l’action donne une fausse impression de progrès qui peut avoir une incidence négative sur la manière dont les gouvernements allouent les fonds et abordent les priorités des Premières Nations. </w:t>
      </w:r>
      <w:r w:rsidR="005202EA" w:rsidRPr="007B324D">
        <w:rPr>
          <w:rStyle w:val="eop"/>
          <w:rFonts w:ascii="72 Light" w:hAnsi="72 Light" w:cs="72 Light"/>
          <w:color w:val="000000" w:themeColor="text1"/>
        </w:rPr>
        <w:t xml:space="preserve">La déclaration de </w:t>
      </w:r>
      <w:r w:rsidRPr="007B324D">
        <w:rPr>
          <w:rStyle w:val="eop"/>
          <w:rFonts w:ascii="72 Light" w:hAnsi="72 Light" w:cs="72 Light"/>
          <w:color w:val="000000" w:themeColor="text1"/>
        </w:rPr>
        <w:t xml:space="preserve">faux progrès </w:t>
      </w:r>
      <w:r w:rsidR="005202EA" w:rsidRPr="007B324D">
        <w:rPr>
          <w:rStyle w:val="eop"/>
          <w:rFonts w:ascii="72 Light" w:hAnsi="72 Light" w:cs="72 Light"/>
          <w:color w:val="000000" w:themeColor="text1"/>
        </w:rPr>
        <w:t>peut donner l’impression que le problème nécessite peu de</w:t>
      </w:r>
      <w:r w:rsidRPr="007B324D">
        <w:rPr>
          <w:rStyle w:val="eop"/>
          <w:rFonts w:ascii="72 Light" w:hAnsi="72 Light" w:cs="72 Light"/>
          <w:color w:val="000000" w:themeColor="text1"/>
        </w:rPr>
        <w:t xml:space="preserve"> ressources et d’attention, </w:t>
      </w:r>
      <w:r w:rsidR="005202EA" w:rsidRPr="007B324D">
        <w:rPr>
          <w:rStyle w:val="eop"/>
          <w:rFonts w:ascii="72 Light" w:hAnsi="72 Light" w:cs="72 Light"/>
          <w:color w:val="000000" w:themeColor="text1"/>
        </w:rPr>
        <w:t xml:space="preserve">alors </w:t>
      </w:r>
      <w:r w:rsidRPr="007B324D">
        <w:rPr>
          <w:rStyle w:val="eop"/>
          <w:rFonts w:ascii="72 Light" w:hAnsi="72 Light" w:cs="72 Light"/>
          <w:color w:val="000000" w:themeColor="text1"/>
        </w:rPr>
        <w:t xml:space="preserve">même </w:t>
      </w:r>
      <w:r w:rsidR="005202EA" w:rsidRPr="007B324D">
        <w:rPr>
          <w:rStyle w:val="eop"/>
          <w:rFonts w:ascii="72 Light" w:hAnsi="72 Light" w:cs="72 Light"/>
          <w:color w:val="000000" w:themeColor="text1"/>
        </w:rPr>
        <w:t xml:space="preserve">que </w:t>
      </w:r>
      <w:r w:rsidRPr="007B324D">
        <w:rPr>
          <w:rStyle w:val="eop"/>
          <w:rFonts w:ascii="72 Light" w:hAnsi="72 Light" w:cs="72 Light"/>
          <w:color w:val="000000" w:themeColor="text1"/>
        </w:rPr>
        <w:t xml:space="preserve">des lacunes importantes subsistent. </w:t>
      </w:r>
      <w:r w:rsidR="005202EA" w:rsidRPr="007B324D">
        <w:rPr>
          <w:rStyle w:val="eop"/>
          <w:rFonts w:ascii="72 Light" w:hAnsi="72 Light" w:cs="72 Light"/>
          <w:color w:val="000000" w:themeColor="text1"/>
        </w:rPr>
        <w:t>Il est essentiel de fournir d</w:t>
      </w:r>
      <w:r w:rsidRPr="007B324D">
        <w:rPr>
          <w:rStyle w:val="eop"/>
          <w:rFonts w:ascii="72 Light" w:hAnsi="72 Light" w:cs="72 Light"/>
          <w:color w:val="000000" w:themeColor="text1"/>
        </w:rPr>
        <w:t xml:space="preserve">es mesures et des rapports précis </w:t>
      </w:r>
      <w:r w:rsidR="005202EA" w:rsidRPr="007B324D">
        <w:rPr>
          <w:rStyle w:val="eop"/>
          <w:rFonts w:ascii="72 Light" w:hAnsi="72 Light" w:cs="72 Light"/>
          <w:color w:val="000000" w:themeColor="text1"/>
        </w:rPr>
        <w:t xml:space="preserve">si l’on veut </w:t>
      </w:r>
      <w:r w:rsidRPr="007B324D">
        <w:rPr>
          <w:rStyle w:val="eop"/>
          <w:rFonts w:ascii="72 Light" w:hAnsi="72 Light" w:cs="72 Light"/>
          <w:color w:val="000000" w:themeColor="text1"/>
        </w:rPr>
        <w:t xml:space="preserve">combler les écarts socioéconomiques </w:t>
      </w:r>
      <w:r w:rsidR="005202EA" w:rsidRPr="007B324D">
        <w:rPr>
          <w:rStyle w:val="eop"/>
          <w:rFonts w:ascii="72 Light" w:hAnsi="72 Light" w:cs="72 Light"/>
          <w:color w:val="000000" w:themeColor="text1"/>
        </w:rPr>
        <w:t>importants</w:t>
      </w:r>
      <w:r w:rsidRPr="007B324D">
        <w:rPr>
          <w:rStyle w:val="eop"/>
          <w:rFonts w:ascii="72 Light" w:hAnsi="72 Light" w:cs="72 Light"/>
          <w:color w:val="000000" w:themeColor="text1"/>
        </w:rPr>
        <w:t xml:space="preserve"> entre les </w:t>
      </w:r>
      <w:r w:rsidR="005202EA" w:rsidRPr="007B324D">
        <w:rPr>
          <w:rStyle w:val="eop"/>
          <w:rFonts w:ascii="72 Light" w:hAnsi="72 Light" w:cs="72 Light"/>
          <w:color w:val="000000" w:themeColor="text1"/>
        </w:rPr>
        <w:t xml:space="preserve">membres des </w:t>
      </w:r>
      <w:r w:rsidRPr="007B324D">
        <w:rPr>
          <w:rStyle w:val="eop"/>
          <w:rFonts w:ascii="72 Light" w:hAnsi="72 Light" w:cs="72 Light"/>
          <w:color w:val="000000" w:themeColor="text1"/>
        </w:rPr>
        <w:t xml:space="preserve">Premières Nations et les Canadiens non autochtones. </w:t>
      </w:r>
    </w:p>
    <w:p w14:paraId="2CD29F97" w14:textId="385818DB" w:rsidR="00BF3013" w:rsidRPr="007B324D" w:rsidRDefault="00BF3013" w:rsidP="00F62155">
      <w:pPr>
        <w:pStyle w:val="pf0"/>
        <w:tabs>
          <w:tab w:val="left" w:pos="3544"/>
        </w:tabs>
        <w:spacing w:before="120" w:beforeAutospacing="0" w:after="120" w:afterAutospacing="0" w:line="276" w:lineRule="auto"/>
        <w:jc w:val="both"/>
        <w:rPr>
          <w:rStyle w:val="eop"/>
          <w:rFonts w:ascii="72 Light" w:eastAsia="MS Mincho" w:hAnsi="72 Light" w:cs="72 Light"/>
          <w:color w:val="000000" w:themeColor="text1"/>
        </w:rPr>
      </w:pPr>
      <w:r w:rsidRPr="007B324D">
        <w:rPr>
          <w:rStyle w:val="eop"/>
          <w:rFonts w:ascii="72 Light" w:hAnsi="72 Light" w:cs="72 Light"/>
          <w:color w:val="000000" w:themeColor="text1"/>
        </w:rPr>
        <w:t xml:space="preserve">Selon le </w:t>
      </w:r>
      <w:proofErr w:type="spellStart"/>
      <w:r w:rsidRPr="007B324D">
        <w:rPr>
          <w:rStyle w:val="eop"/>
          <w:rFonts w:ascii="72 Light" w:hAnsi="72 Light" w:cs="72 Light"/>
          <w:color w:val="000000" w:themeColor="text1"/>
        </w:rPr>
        <w:t>Yellowhead</w:t>
      </w:r>
      <w:proofErr w:type="spellEnd"/>
      <w:r w:rsidRPr="007B324D">
        <w:rPr>
          <w:rStyle w:val="eop"/>
          <w:rFonts w:ascii="72 Light" w:hAnsi="72 Light" w:cs="72 Light"/>
          <w:color w:val="000000" w:themeColor="text1"/>
        </w:rPr>
        <w:t xml:space="preserve"> Institute, seuls 13 des 94 appels à l’action </w:t>
      </w:r>
      <w:r w:rsidR="005202EA" w:rsidRPr="007B324D">
        <w:rPr>
          <w:rStyle w:val="eop"/>
          <w:rFonts w:ascii="72 Light" w:hAnsi="72 Light" w:cs="72 Light"/>
          <w:color w:val="000000" w:themeColor="text1"/>
        </w:rPr>
        <w:t xml:space="preserve">avaient </w:t>
      </w:r>
      <w:r w:rsidRPr="007B324D">
        <w:rPr>
          <w:rStyle w:val="eop"/>
          <w:rFonts w:ascii="72 Light" w:hAnsi="72 Light" w:cs="72 Light"/>
          <w:color w:val="000000" w:themeColor="text1"/>
        </w:rPr>
        <w:t xml:space="preserve">été </w:t>
      </w:r>
      <w:r w:rsidR="005202EA" w:rsidRPr="007B324D">
        <w:rPr>
          <w:rStyle w:val="eop"/>
          <w:rFonts w:ascii="72 Light" w:hAnsi="72 Light" w:cs="72 Light"/>
          <w:color w:val="000000" w:themeColor="text1"/>
        </w:rPr>
        <w:t xml:space="preserve">mis en œuvre </w:t>
      </w:r>
      <w:r w:rsidRPr="007B324D">
        <w:rPr>
          <w:rStyle w:val="eop"/>
          <w:rFonts w:ascii="72 Light" w:hAnsi="72 Light" w:cs="72 Light"/>
          <w:color w:val="000000" w:themeColor="text1"/>
        </w:rPr>
        <w:t xml:space="preserve">en 2022. </w:t>
      </w:r>
      <w:r w:rsidR="005202EA" w:rsidRPr="007B324D">
        <w:rPr>
          <w:rStyle w:val="eop"/>
          <w:rFonts w:ascii="72 Light" w:hAnsi="72 Light" w:cs="72 Light"/>
          <w:color w:val="000000" w:themeColor="text1"/>
        </w:rPr>
        <w:t xml:space="preserve">D’après </w:t>
      </w:r>
      <w:r w:rsidR="000D3027" w:rsidRPr="007B324D">
        <w:rPr>
          <w:rStyle w:val="eop"/>
          <w:rFonts w:ascii="72 Light" w:hAnsi="72 Light" w:cs="72 Light"/>
          <w:color w:val="000000" w:themeColor="text1"/>
        </w:rPr>
        <w:t xml:space="preserve">ce que </w:t>
      </w:r>
      <w:r w:rsidR="005202EA" w:rsidRPr="007B324D">
        <w:rPr>
          <w:rStyle w:val="eop"/>
          <w:rFonts w:ascii="72 Light" w:hAnsi="72 Light" w:cs="72 Light"/>
          <w:color w:val="000000" w:themeColor="text1"/>
        </w:rPr>
        <w:t>l</w:t>
      </w:r>
      <w:r w:rsidRPr="007B324D">
        <w:rPr>
          <w:rStyle w:val="eop"/>
          <w:rFonts w:ascii="72 Light" w:hAnsi="72 Light" w:cs="72 Light"/>
          <w:color w:val="000000" w:themeColor="text1"/>
        </w:rPr>
        <w:t xml:space="preserve">es calculs de </w:t>
      </w:r>
      <w:r w:rsidR="005202EA" w:rsidRPr="007B324D">
        <w:rPr>
          <w:rStyle w:val="eop"/>
          <w:rFonts w:ascii="72 Light" w:hAnsi="72 Light" w:cs="72 Light"/>
          <w:color w:val="000000" w:themeColor="text1"/>
        </w:rPr>
        <w:t>l’organisme</w:t>
      </w:r>
      <w:r w:rsidRPr="007B324D">
        <w:rPr>
          <w:rStyle w:val="eop"/>
          <w:rFonts w:ascii="72 Light" w:hAnsi="72 Light" w:cs="72 Light"/>
          <w:color w:val="000000" w:themeColor="text1"/>
        </w:rPr>
        <w:t xml:space="preserve"> indiquent</w:t>
      </w:r>
      <w:r w:rsidR="005202EA" w:rsidRPr="007B324D">
        <w:rPr>
          <w:rStyle w:val="eop"/>
          <w:rFonts w:ascii="72 Light" w:hAnsi="72 Light" w:cs="72 Light"/>
          <w:color w:val="000000" w:themeColor="text1"/>
        </w:rPr>
        <w:t>, i</w:t>
      </w:r>
      <w:r w:rsidRPr="007B324D">
        <w:rPr>
          <w:rStyle w:val="eop"/>
          <w:rFonts w:ascii="72 Light" w:hAnsi="72 Light" w:cs="72 Light"/>
          <w:color w:val="000000" w:themeColor="text1"/>
        </w:rPr>
        <w:t xml:space="preserve">l faudra 42 ans au Canada pour </w:t>
      </w:r>
      <w:r w:rsidR="005202EA" w:rsidRPr="007B324D">
        <w:rPr>
          <w:rStyle w:val="eop"/>
          <w:rFonts w:ascii="72 Light" w:hAnsi="72 Light" w:cs="72 Light"/>
          <w:color w:val="000000" w:themeColor="text1"/>
        </w:rPr>
        <w:t>tous les mettre en œuvre</w:t>
      </w:r>
      <w:r w:rsidRPr="007B324D">
        <w:rPr>
          <w:rStyle w:val="eop"/>
          <w:rFonts w:ascii="72 Light" w:hAnsi="72 Light" w:cs="72 Light"/>
          <w:color w:val="000000" w:themeColor="text1"/>
        </w:rPr>
        <w:t xml:space="preserve">. Ces chiffres diffèrent sensiblement des progrès </w:t>
      </w:r>
      <w:r w:rsidR="005202EA" w:rsidRPr="007B324D">
        <w:rPr>
          <w:rStyle w:val="eop"/>
          <w:rFonts w:ascii="72 Light" w:hAnsi="72 Light" w:cs="72 Light"/>
          <w:color w:val="000000" w:themeColor="text1"/>
        </w:rPr>
        <w:t>mis de l’avant</w:t>
      </w:r>
      <w:r w:rsidRPr="007B324D">
        <w:rPr>
          <w:rStyle w:val="eop"/>
          <w:rFonts w:ascii="72 Light" w:hAnsi="72 Light" w:cs="72 Light"/>
          <w:color w:val="000000" w:themeColor="text1"/>
        </w:rPr>
        <w:t xml:space="preserve"> par le Canada. </w:t>
      </w:r>
    </w:p>
    <w:p w14:paraId="274126D8" w14:textId="1E62C648" w:rsidR="00BF3013" w:rsidRPr="007B324D" w:rsidRDefault="005202EA" w:rsidP="00F62155">
      <w:pPr>
        <w:pStyle w:val="pf0"/>
        <w:tabs>
          <w:tab w:val="left" w:pos="3544"/>
        </w:tabs>
        <w:spacing w:before="120" w:beforeAutospacing="0" w:after="120" w:afterAutospacing="0" w:line="276" w:lineRule="auto"/>
        <w:jc w:val="both"/>
        <w:rPr>
          <w:rStyle w:val="eop"/>
          <w:rFonts w:ascii="72 Light" w:eastAsia="MS Mincho" w:hAnsi="72 Light" w:cs="72 Light"/>
          <w:color w:val="000000" w:themeColor="text1"/>
        </w:rPr>
      </w:pPr>
      <w:r w:rsidRPr="007B324D">
        <w:rPr>
          <w:rStyle w:val="eop"/>
          <w:rFonts w:ascii="72 Light" w:hAnsi="72 Light" w:cs="72 Light"/>
          <w:color w:val="000000" w:themeColor="text1"/>
        </w:rPr>
        <w:t xml:space="preserve">Le ministère fédéral responsable de faire rapport sur la mise en œuvre des appels à l’action de la Commission de vérité et réconciliation pour le Canada est </w:t>
      </w:r>
      <w:r w:rsidR="00BF3013" w:rsidRPr="007B324D">
        <w:rPr>
          <w:rStyle w:val="eop"/>
          <w:rFonts w:ascii="72 Light" w:hAnsi="72 Light" w:cs="72 Light"/>
          <w:color w:val="000000" w:themeColor="text1"/>
        </w:rPr>
        <w:t xml:space="preserve">Relations Couronne-Autochtones et Affaires du Nord (RCAAN). Il incombe à chaque ministère de suivre les progrès accomplis et de fournir ces renseignements à RCAAN. Toutefois, </w:t>
      </w:r>
      <w:r w:rsidRPr="007B324D">
        <w:rPr>
          <w:rStyle w:val="eop"/>
          <w:rFonts w:ascii="72 Light" w:hAnsi="72 Light" w:cs="72 Light"/>
          <w:color w:val="000000" w:themeColor="text1"/>
        </w:rPr>
        <w:t>ce dernier</w:t>
      </w:r>
      <w:r w:rsidR="00BF3013" w:rsidRPr="007B324D">
        <w:rPr>
          <w:rStyle w:val="eop"/>
          <w:rFonts w:ascii="72 Light" w:hAnsi="72 Light" w:cs="72 Light"/>
          <w:color w:val="000000" w:themeColor="text1"/>
        </w:rPr>
        <w:t xml:space="preserve"> n’a pas l’autorité nécessaire pour examiner et valider les rapports des ministères. </w:t>
      </w:r>
      <w:r w:rsidRPr="007B324D">
        <w:rPr>
          <w:rStyle w:val="eop"/>
          <w:rFonts w:ascii="72 Light" w:hAnsi="72 Light" w:cs="72 Light"/>
          <w:color w:val="000000" w:themeColor="text1"/>
        </w:rPr>
        <w:t>Par conséquent</w:t>
      </w:r>
      <w:r w:rsidR="00BF3013" w:rsidRPr="007B324D">
        <w:rPr>
          <w:rStyle w:val="eop"/>
          <w:rFonts w:ascii="72 Light" w:hAnsi="72 Light" w:cs="72 Light"/>
          <w:color w:val="000000" w:themeColor="text1"/>
        </w:rPr>
        <w:t>, il n’existe</w:t>
      </w:r>
      <w:r w:rsidRPr="007B324D">
        <w:rPr>
          <w:rStyle w:val="eop"/>
          <w:rFonts w:ascii="72 Light" w:hAnsi="72 Light" w:cs="72 Light"/>
          <w:color w:val="000000" w:themeColor="text1"/>
        </w:rPr>
        <w:t xml:space="preserve"> aucun</w:t>
      </w:r>
      <w:r w:rsidR="00BF3013" w:rsidRPr="007B324D">
        <w:rPr>
          <w:rStyle w:val="eop"/>
          <w:rFonts w:ascii="72 Light" w:hAnsi="72 Light" w:cs="72 Light"/>
          <w:color w:val="000000" w:themeColor="text1"/>
        </w:rPr>
        <w:t xml:space="preserve"> contrôle interne pour les ministères qui exagèrent le</w:t>
      </w:r>
      <w:r w:rsidRPr="007B324D">
        <w:rPr>
          <w:rStyle w:val="eop"/>
          <w:rFonts w:ascii="72 Light" w:hAnsi="72 Light" w:cs="72 Light"/>
          <w:color w:val="000000" w:themeColor="text1"/>
        </w:rPr>
        <w:t>ur</w:t>
      </w:r>
      <w:r w:rsidR="00BF3013" w:rsidRPr="007B324D">
        <w:rPr>
          <w:rStyle w:val="eop"/>
          <w:rFonts w:ascii="72 Light" w:hAnsi="72 Light" w:cs="72 Light"/>
          <w:color w:val="000000" w:themeColor="text1"/>
        </w:rPr>
        <w:t xml:space="preserve">s progrès. </w:t>
      </w:r>
    </w:p>
    <w:p w14:paraId="72843EFA" w14:textId="7EF2745A" w:rsidR="00BF3013" w:rsidRPr="007B324D" w:rsidRDefault="00BF3013" w:rsidP="00F62155">
      <w:pPr>
        <w:pStyle w:val="pf0"/>
        <w:tabs>
          <w:tab w:val="left" w:pos="3544"/>
        </w:tabs>
        <w:spacing w:before="120" w:beforeAutospacing="0" w:after="120" w:afterAutospacing="0" w:line="276" w:lineRule="auto"/>
        <w:jc w:val="both"/>
        <w:rPr>
          <w:rStyle w:val="eop"/>
          <w:rFonts w:ascii="72 Light" w:eastAsia="MS Mincho" w:hAnsi="72 Light" w:cs="72 Light"/>
          <w:color w:val="000000" w:themeColor="text1"/>
        </w:rPr>
      </w:pPr>
      <w:r w:rsidRPr="007B324D">
        <w:rPr>
          <w:rStyle w:val="eop"/>
          <w:rFonts w:ascii="72 Light" w:hAnsi="72 Light" w:cs="72 Light"/>
          <w:color w:val="000000" w:themeColor="text1"/>
        </w:rPr>
        <w:lastRenderedPageBreak/>
        <w:t xml:space="preserve">Le Canada s’est engagé à collaborer avec </w:t>
      </w:r>
      <w:r w:rsidR="008C4B3E" w:rsidRPr="007B324D">
        <w:rPr>
          <w:rStyle w:val="eop"/>
          <w:rFonts w:ascii="72 Light" w:hAnsi="72 Light" w:cs="72 Light"/>
          <w:color w:val="000000" w:themeColor="text1"/>
        </w:rPr>
        <w:t>l’Assemblée</w:t>
      </w:r>
      <w:r w:rsidRPr="007B324D">
        <w:rPr>
          <w:rStyle w:val="eop"/>
          <w:rFonts w:ascii="72 Light" w:hAnsi="72 Light" w:cs="72 Light"/>
          <w:color w:val="000000" w:themeColor="text1"/>
        </w:rPr>
        <w:t xml:space="preserve"> pour rendre compte </w:t>
      </w:r>
      <w:r w:rsidR="005202EA" w:rsidRPr="007B324D">
        <w:rPr>
          <w:rStyle w:val="eop"/>
          <w:rFonts w:ascii="72 Light" w:hAnsi="72 Light" w:cs="72 Light"/>
          <w:color w:val="000000" w:themeColor="text1"/>
        </w:rPr>
        <w:t xml:space="preserve">de la mise en œuvre </w:t>
      </w:r>
      <w:r w:rsidRPr="007B324D">
        <w:rPr>
          <w:rStyle w:val="eop"/>
          <w:rFonts w:ascii="72 Light" w:hAnsi="72 Light" w:cs="72 Light"/>
          <w:color w:val="000000" w:themeColor="text1"/>
        </w:rPr>
        <w:t>des appels à l’action de la Commission de vérité et réconciliation</w:t>
      </w:r>
      <w:r w:rsidR="005202EA" w:rsidRPr="007B324D">
        <w:rPr>
          <w:rStyle w:val="eop"/>
          <w:rFonts w:ascii="72 Light" w:hAnsi="72 Light" w:cs="72 Light"/>
          <w:color w:val="000000" w:themeColor="text1"/>
        </w:rPr>
        <w:t>,</w:t>
      </w:r>
      <w:r w:rsidRPr="007B324D">
        <w:rPr>
          <w:rStyle w:val="eop"/>
          <w:rFonts w:ascii="72 Light" w:hAnsi="72 Light" w:cs="72 Light"/>
          <w:color w:val="000000" w:themeColor="text1"/>
        </w:rPr>
        <w:t xml:space="preserve"> et en assurer le suivi. Plus précisément, </w:t>
      </w:r>
      <w:r w:rsidR="008C4B3E" w:rsidRPr="007B324D">
        <w:rPr>
          <w:rStyle w:val="eop"/>
          <w:rFonts w:ascii="72 Light" w:hAnsi="72 Light" w:cs="72 Light"/>
          <w:color w:val="000000" w:themeColor="text1"/>
        </w:rPr>
        <w:t>l’Assemblée</w:t>
      </w:r>
      <w:r w:rsidRPr="007B324D">
        <w:rPr>
          <w:rStyle w:val="eop"/>
          <w:rFonts w:ascii="72 Light" w:hAnsi="72 Light" w:cs="72 Light"/>
          <w:color w:val="000000" w:themeColor="text1"/>
        </w:rPr>
        <w:t xml:space="preserve"> a demandé au Canada de travailler à l’élaboration conjointe de mécanismes et de mesures permettant de suivre avec précision les progrès accomplis. </w:t>
      </w:r>
      <w:r w:rsidR="008C4B3E" w:rsidRPr="007B324D">
        <w:rPr>
          <w:rStyle w:val="eop"/>
          <w:rFonts w:ascii="72 Light" w:hAnsi="72 Light" w:cs="72 Light"/>
          <w:color w:val="000000" w:themeColor="text1"/>
        </w:rPr>
        <w:t>L’A</w:t>
      </w:r>
      <w:r w:rsidR="00DA7839" w:rsidRPr="007B324D">
        <w:rPr>
          <w:rStyle w:val="eop"/>
          <w:rFonts w:ascii="72 Light" w:hAnsi="72 Light" w:cs="72 Light"/>
          <w:color w:val="000000" w:themeColor="text1"/>
        </w:rPr>
        <w:t>ssemblée</w:t>
      </w:r>
      <w:r w:rsidRPr="007B324D">
        <w:rPr>
          <w:rStyle w:val="eop"/>
          <w:rFonts w:ascii="72 Light" w:hAnsi="72 Light" w:cs="72 Light"/>
          <w:color w:val="000000" w:themeColor="text1"/>
        </w:rPr>
        <w:t xml:space="preserve"> espère pouvoir informer les Nations Unies de ces progrès à l’avenir. </w:t>
      </w:r>
    </w:p>
    <w:p w14:paraId="5670F23B" w14:textId="71DAC0AF" w:rsidR="00BF3013" w:rsidRPr="007B324D" w:rsidRDefault="00BF3013" w:rsidP="00F62155">
      <w:pPr>
        <w:tabs>
          <w:tab w:val="left" w:pos="3544"/>
        </w:tabs>
        <w:spacing w:before="120" w:line="276" w:lineRule="auto"/>
        <w:jc w:val="both"/>
        <w:rPr>
          <w:rStyle w:val="eop"/>
          <w:rFonts w:ascii="72 Light" w:hAnsi="72 Light" w:cs="72 Light"/>
          <w:i/>
          <w:iCs/>
          <w:color w:val="000000" w:themeColor="text1"/>
          <w:sz w:val="24"/>
          <w:szCs w:val="24"/>
          <w:lang w:val="fr-CA"/>
        </w:rPr>
      </w:pPr>
      <w:r w:rsidRPr="007B324D">
        <w:rPr>
          <w:rStyle w:val="eop"/>
          <w:rFonts w:ascii="72 Light" w:hAnsi="72 Light" w:cs="72 Light"/>
          <w:i/>
          <w:iCs/>
          <w:color w:val="000000" w:themeColor="text1"/>
          <w:sz w:val="24"/>
          <w:szCs w:val="24"/>
          <w:lang w:val="fr-CA"/>
        </w:rPr>
        <w:t>Femmes, filles et personnes</w:t>
      </w:r>
      <w:r w:rsidR="00042C3C" w:rsidRPr="007B324D">
        <w:rPr>
          <w:rStyle w:val="eop"/>
          <w:rFonts w:ascii="72 Light" w:hAnsi="72 Light" w:cs="72 Light"/>
          <w:i/>
          <w:iCs/>
          <w:color w:val="000000" w:themeColor="text1"/>
          <w:sz w:val="24"/>
          <w:szCs w:val="24"/>
          <w:lang w:val="fr-CA"/>
        </w:rPr>
        <w:t> </w:t>
      </w:r>
      <w:r w:rsidRPr="007B324D">
        <w:rPr>
          <w:rStyle w:val="eop"/>
          <w:rFonts w:ascii="72 Light" w:hAnsi="72 Light" w:cs="72 Light"/>
          <w:i/>
          <w:iCs/>
          <w:color w:val="000000" w:themeColor="text1"/>
          <w:sz w:val="24"/>
          <w:szCs w:val="24"/>
          <w:lang w:val="fr-CA"/>
        </w:rPr>
        <w:t>2ELGBT</w:t>
      </w:r>
      <w:r w:rsidR="00FC5D74" w:rsidRPr="007B324D">
        <w:rPr>
          <w:rStyle w:val="eop"/>
          <w:rFonts w:ascii="72 Light" w:hAnsi="72 Light" w:cs="72 Light"/>
          <w:i/>
          <w:iCs/>
          <w:color w:val="000000" w:themeColor="text1"/>
          <w:sz w:val="24"/>
          <w:szCs w:val="24"/>
          <w:lang w:val="fr-CA"/>
        </w:rPr>
        <w:t>Q</w:t>
      </w:r>
      <w:r w:rsidRPr="007B324D">
        <w:rPr>
          <w:rStyle w:val="eop"/>
          <w:rFonts w:ascii="72 Light" w:hAnsi="72 Light" w:cs="72 Light"/>
          <w:i/>
          <w:iCs/>
          <w:color w:val="000000" w:themeColor="text1"/>
          <w:sz w:val="24"/>
          <w:szCs w:val="24"/>
          <w:lang w:val="fr-CA"/>
        </w:rPr>
        <w:t xml:space="preserve">QIA+ autochtones disparues et assassinées </w:t>
      </w:r>
    </w:p>
    <w:p w14:paraId="4609B38D" w14:textId="36669177" w:rsidR="00BF3013" w:rsidRPr="007B324D" w:rsidRDefault="00BF3013" w:rsidP="00F62155">
      <w:pPr>
        <w:tabs>
          <w:tab w:val="left" w:pos="3544"/>
        </w:tabs>
        <w:spacing w:before="120" w:line="276" w:lineRule="auto"/>
        <w:ind w:left="0" w:firstLine="0"/>
        <w:jc w:val="both"/>
        <w:rPr>
          <w:rStyle w:val="eop"/>
          <w:rFonts w:ascii="72 Light" w:hAnsi="72 Light" w:cs="72 Light"/>
          <w:color w:val="000000" w:themeColor="text1"/>
          <w:sz w:val="24"/>
          <w:szCs w:val="24"/>
          <w:lang w:val="fr-CA"/>
        </w:rPr>
      </w:pPr>
      <w:r w:rsidRPr="007B324D">
        <w:rPr>
          <w:rStyle w:val="eop"/>
          <w:rFonts w:ascii="72 Light" w:hAnsi="72 Light" w:cs="72 Light"/>
          <w:color w:val="000000" w:themeColor="text1"/>
          <w:sz w:val="24"/>
          <w:szCs w:val="24"/>
          <w:lang w:val="fr-CA"/>
        </w:rPr>
        <w:t xml:space="preserve">Une Enquête nationale sur les femmes et les filles autochtones disparues et assassinées (FFADA) s’est </w:t>
      </w:r>
      <w:r w:rsidR="00653D8D" w:rsidRPr="007B324D">
        <w:rPr>
          <w:rStyle w:val="eop"/>
          <w:rFonts w:ascii="72 Light" w:hAnsi="72 Light" w:cs="72 Light"/>
          <w:color w:val="000000" w:themeColor="text1"/>
          <w:sz w:val="24"/>
          <w:szCs w:val="24"/>
          <w:lang w:val="fr-CA"/>
        </w:rPr>
        <w:t>terminée</w:t>
      </w:r>
      <w:r w:rsidRPr="007B324D">
        <w:rPr>
          <w:rStyle w:val="eop"/>
          <w:rFonts w:ascii="72 Light" w:hAnsi="72 Light" w:cs="72 Light"/>
          <w:color w:val="000000" w:themeColor="text1"/>
          <w:sz w:val="24"/>
          <w:szCs w:val="24"/>
          <w:lang w:val="fr-CA"/>
        </w:rPr>
        <w:t xml:space="preserve"> en 2019 </w:t>
      </w:r>
      <w:r w:rsidR="00653D8D" w:rsidRPr="007B324D">
        <w:rPr>
          <w:rStyle w:val="eop"/>
          <w:rFonts w:ascii="72 Light" w:hAnsi="72 Light" w:cs="72 Light"/>
          <w:color w:val="000000" w:themeColor="text1"/>
          <w:sz w:val="24"/>
          <w:szCs w:val="24"/>
          <w:lang w:val="fr-CA"/>
        </w:rPr>
        <w:t>par la publication de</w:t>
      </w:r>
      <w:r w:rsidRPr="007B324D">
        <w:rPr>
          <w:rStyle w:val="eop"/>
          <w:rFonts w:ascii="72 Light" w:hAnsi="72 Light" w:cs="72 Light"/>
          <w:color w:val="000000" w:themeColor="text1"/>
          <w:sz w:val="24"/>
          <w:szCs w:val="24"/>
          <w:lang w:val="fr-CA"/>
        </w:rPr>
        <w:t xml:space="preserve"> 231 appels à la justice. Malgré cela, les femmes, les filles et les personnes</w:t>
      </w:r>
      <w:r w:rsidR="00042C3C" w:rsidRPr="007B324D">
        <w:rPr>
          <w:rStyle w:val="eop"/>
          <w:rFonts w:ascii="72 Light" w:hAnsi="72 Light" w:cs="72 Light"/>
          <w:color w:val="000000" w:themeColor="text1"/>
          <w:sz w:val="24"/>
          <w:szCs w:val="24"/>
          <w:lang w:val="fr-CA"/>
        </w:rPr>
        <w:t> </w:t>
      </w:r>
      <w:r w:rsidRPr="007B324D">
        <w:rPr>
          <w:rStyle w:val="eop"/>
          <w:rFonts w:ascii="72 Light" w:hAnsi="72 Light" w:cs="72 Light"/>
          <w:color w:val="000000" w:themeColor="text1"/>
          <w:sz w:val="24"/>
          <w:szCs w:val="24"/>
          <w:lang w:val="fr-CA"/>
        </w:rPr>
        <w:t>2ELGBT</w:t>
      </w:r>
      <w:r w:rsidR="00FC5D74" w:rsidRPr="007B324D">
        <w:rPr>
          <w:rStyle w:val="eop"/>
          <w:rFonts w:ascii="72 Light" w:hAnsi="72 Light" w:cs="72 Light"/>
          <w:color w:val="000000" w:themeColor="text1"/>
          <w:sz w:val="24"/>
          <w:szCs w:val="24"/>
          <w:lang w:val="fr-CA"/>
        </w:rPr>
        <w:t>Q</w:t>
      </w:r>
      <w:r w:rsidRPr="007B324D">
        <w:rPr>
          <w:rStyle w:val="eop"/>
          <w:rFonts w:ascii="72 Light" w:hAnsi="72 Light" w:cs="72 Light"/>
          <w:color w:val="000000" w:themeColor="text1"/>
          <w:sz w:val="24"/>
          <w:szCs w:val="24"/>
          <w:lang w:val="fr-CA"/>
        </w:rPr>
        <w:t xml:space="preserve">QIA+ autochtones </w:t>
      </w:r>
      <w:r w:rsidR="00653D8D" w:rsidRPr="007B324D">
        <w:rPr>
          <w:rStyle w:val="eop"/>
          <w:rFonts w:ascii="72 Light" w:hAnsi="72 Light" w:cs="72 Light"/>
          <w:color w:val="000000" w:themeColor="text1"/>
          <w:sz w:val="24"/>
          <w:szCs w:val="24"/>
          <w:lang w:val="fr-CA"/>
        </w:rPr>
        <w:t>demeurent victimes</w:t>
      </w:r>
      <w:r w:rsidRPr="007B324D">
        <w:rPr>
          <w:rStyle w:val="eop"/>
          <w:rFonts w:ascii="72 Light" w:hAnsi="72 Light" w:cs="72 Light"/>
          <w:color w:val="000000" w:themeColor="text1"/>
          <w:sz w:val="24"/>
          <w:szCs w:val="24"/>
          <w:lang w:val="fr-CA"/>
        </w:rPr>
        <w:t xml:space="preserve"> de violence </w:t>
      </w:r>
      <w:r w:rsidR="00653D8D" w:rsidRPr="007B324D">
        <w:rPr>
          <w:rStyle w:val="eop"/>
          <w:rFonts w:ascii="72 Light" w:hAnsi="72 Light" w:cs="72 Light"/>
          <w:color w:val="000000" w:themeColor="text1"/>
          <w:sz w:val="24"/>
          <w:szCs w:val="24"/>
          <w:lang w:val="fr-CA"/>
        </w:rPr>
        <w:t xml:space="preserve">de manière </w:t>
      </w:r>
      <w:r w:rsidRPr="007B324D">
        <w:rPr>
          <w:rStyle w:val="eop"/>
          <w:rFonts w:ascii="72 Light" w:hAnsi="72 Light" w:cs="72 Light"/>
          <w:color w:val="000000" w:themeColor="text1"/>
          <w:sz w:val="24"/>
          <w:szCs w:val="24"/>
          <w:lang w:val="fr-CA"/>
        </w:rPr>
        <w:t>disproportionné</w:t>
      </w:r>
      <w:r w:rsidR="00653D8D" w:rsidRPr="007B324D">
        <w:rPr>
          <w:rStyle w:val="eop"/>
          <w:rFonts w:ascii="72 Light" w:hAnsi="72 Light" w:cs="72 Light"/>
          <w:color w:val="000000" w:themeColor="text1"/>
          <w:sz w:val="24"/>
          <w:szCs w:val="24"/>
          <w:lang w:val="fr-CA"/>
        </w:rPr>
        <w:t>e</w:t>
      </w:r>
      <w:r w:rsidRPr="007B324D">
        <w:rPr>
          <w:rStyle w:val="eop"/>
          <w:rFonts w:ascii="72 Light" w:hAnsi="72 Light" w:cs="72 Light"/>
          <w:color w:val="000000" w:themeColor="text1"/>
          <w:sz w:val="24"/>
          <w:szCs w:val="24"/>
          <w:lang w:val="fr-CA"/>
        </w:rPr>
        <w:t>. Récemment, plusieurs organisations autochtones ont reproché au Canada l’absence de progrès dans la mise en œuvre de</w:t>
      </w:r>
      <w:r w:rsidR="00653D8D" w:rsidRPr="007B324D">
        <w:rPr>
          <w:rStyle w:val="eop"/>
          <w:rFonts w:ascii="72 Light" w:hAnsi="72 Light" w:cs="72 Light"/>
          <w:color w:val="000000" w:themeColor="text1"/>
          <w:sz w:val="24"/>
          <w:szCs w:val="24"/>
          <w:lang w:val="fr-CA"/>
        </w:rPr>
        <w:t xml:space="preserve"> ce</w:t>
      </w:r>
      <w:r w:rsidRPr="007B324D">
        <w:rPr>
          <w:rStyle w:val="eop"/>
          <w:rFonts w:ascii="72 Light" w:hAnsi="72 Light" w:cs="72 Light"/>
          <w:color w:val="000000" w:themeColor="text1"/>
          <w:sz w:val="24"/>
          <w:szCs w:val="24"/>
          <w:lang w:val="fr-CA"/>
        </w:rPr>
        <w:t xml:space="preserve">s appels à la justice. </w:t>
      </w:r>
      <w:r w:rsidR="008C4B3E" w:rsidRPr="007B324D">
        <w:rPr>
          <w:rStyle w:val="eop"/>
          <w:rFonts w:ascii="72 Light" w:hAnsi="72 Light" w:cs="72 Light"/>
          <w:color w:val="000000" w:themeColor="text1"/>
          <w:sz w:val="24"/>
          <w:szCs w:val="24"/>
          <w:lang w:val="fr-CA"/>
        </w:rPr>
        <w:t>L</w:t>
      </w:r>
      <w:r w:rsidR="00DA7839" w:rsidRPr="007B324D">
        <w:rPr>
          <w:rStyle w:val="eop"/>
          <w:rFonts w:ascii="72 Light" w:hAnsi="72 Light" w:cs="72 Light"/>
          <w:color w:val="000000" w:themeColor="text1"/>
          <w:sz w:val="24"/>
          <w:szCs w:val="24"/>
          <w:lang w:val="fr-CA"/>
        </w:rPr>
        <w:t>’Assemblée</w:t>
      </w:r>
      <w:r w:rsidRPr="007B324D">
        <w:rPr>
          <w:rStyle w:val="eop"/>
          <w:rFonts w:ascii="72 Light" w:hAnsi="72 Light" w:cs="72 Light"/>
          <w:color w:val="000000" w:themeColor="text1"/>
          <w:sz w:val="24"/>
          <w:szCs w:val="24"/>
          <w:lang w:val="fr-CA"/>
        </w:rPr>
        <w:t xml:space="preserve"> a demandé à plusieurs reprises au Canada de fournir des détails sur la manière dont les fonds dédiés aux FFADA2E+ sont répartis, en particulier en ce qui concerne les organisations non autochtones, et de montrer que ces fonds sont utilisés de manière appropriée. </w:t>
      </w:r>
    </w:p>
    <w:p w14:paraId="335A2969" w14:textId="26AAB0BD" w:rsidR="00BF3013" w:rsidRPr="007B324D" w:rsidRDefault="00BF3013" w:rsidP="00F62155">
      <w:pPr>
        <w:tabs>
          <w:tab w:val="left" w:pos="3544"/>
        </w:tabs>
        <w:spacing w:before="120" w:line="276" w:lineRule="auto"/>
        <w:ind w:left="0" w:firstLine="0"/>
        <w:jc w:val="both"/>
        <w:rPr>
          <w:rStyle w:val="eop"/>
          <w:rFonts w:ascii="72 Light" w:hAnsi="72 Light" w:cs="72 Light"/>
          <w:color w:val="000000" w:themeColor="text1"/>
          <w:sz w:val="24"/>
          <w:szCs w:val="24"/>
          <w:lang w:val="fr-CA"/>
        </w:rPr>
      </w:pPr>
      <w:r w:rsidRPr="007B324D">
        <w:rPr>
          <w:rStyle w:val="eop"/>
          <w:rFonts w:ascii="72 Light" w:hAnsi="72 Light" w:cs="72 Light"/>
          <w:color w:val="000000" w:themeColor="text1"/>
          <w:sz w:val="24"/>
          <w:szCs w:val="24"/>
          <w:lang w:val="fr-CA"/>
        </w:rPr>
        <w:t>En juillet 2023, l’Assemblée des Premières Nations a adopté la résolution</w:t>
      </w:r>
      <w:r w:rsidR="00042C3C" w:rsidRPr="007B324D">
        <w:rPr>
          <w:rStyle w:val="eop"/>
          <w:rFonts w:ascii="72 Light" w:hAnsi="72 Light" w:cs="72 Light"/>
          <w:color w:val="000000" w:themeColor="text1"/>
          <w:sz w:val="24"/>
          <w:szCs w:val="24"/>
          <w:lang w:val="fr-CA"/>
        </w:rPr>
        <w:t> </w:t>
      </w:r>
      <w:r w:rsidRPr="007B324D">
        <w:rPr>
          <w:rStyle w:val="eop"/>
          <w:rFonts w:ascii="72 Light" w:hAnsi="72 Light" w:cs="72 Light"/>
          <w:color w:val="000000" w:themeColor="text1"/>
          <w:sz w:val="24"/>
          <w:szCs w:val="24"/>
          <w:lang w:val="fr-CA"/>
        </w:rPr>
        <w:t xml:space="preserve">66, </w:t>
      </w:r>
      <w:proofErr w:type="spellStart"/>
      <w:r w:rsidRPr="007B324D">
        <w:rPr>
          <w:rStyle w:val="eop"/>
          <w:rFonts w:ascii="72 Light" w:hAnsi="72 Light" w:cs="72 Light"/>
          <w:i/>
          <w:iCs/>
          <w:color w:val="000000" w:themeColor="text1"/>
          <w:sz w:val="24"/>
          <w:szCs w:val="24"/>
          <w:lang w:val="fr-CA"/>
        </w:rPr>
        <w:t>Denouncement</w:t>
      </w:r>
      <w:proofErr w:type="spellEnd"/>
      <w:r w:rsidRPr="007B324D">
        <w:rPr>
          <w:rStyle w:val="eop"/>
          <w:rFonts w:ascii="72 Light" w:hAnsi="72 Light" w:cs="72 Light"/>
          <w:i/>
          <w:iCs/>
          <w:color w:val="000000" w:themeColor="text1"/>
          <w:sz w:val="24"/>
          <w:szCs w:val="24"/>
          <w:lang w:val="fr-CA"/>
        </w:rPr>
        <w:t xml:space="preserve"> of Manitoba </w:t>
      </w:r>
      <w:proofErr w:type="spellStart"/>
      <w:r w:rsidRPr="007B324D">
        <w:rPr>
          <w:rStyle w:val="eop"/>
          <w:rFonts w:ascii="72 Light" w:hAnsi="72 Light" w:cs="72 Light"/>
          <w:i/>
          <w:iCs/>
          <w:color w:val="000000" w:themeColor="text1"/>
          <w:sz w:val="24"/>
          <w:szCs w:val="24"/>
          <w:lang w:val="fr-CA"/>
        </w:rPr>
        <w:t>Decision</w:t>
      </w:r>
      <w:proofErr w:type="spellEnd"/>
      <w:r w:rsidRPr="007B324D">
        <w:rPr>
          <w:rStyle w:val="eop"/>
          <w:rFonts w:ascii="72 Light" w:hAnsi="72 Light" w:cs="72 Light"/>
          <w:i/>
          <w:iCs/>
          <w:color w:val="000000" w:themeColor="text1"/>
          <w:sz w:val="24"/>
          <w:szCs w:val="24"/>
          <w:lang w:val="fr-CA"/>
        </w:rPr>
        <w:t xml:space="preserve"> on </w:t>
      </w:r>
      <w:proofErr w:type="spellStart"/>
      <w:r w:rsidRPr="007B324D">
        <w:rPr>
          <w:rStyle w:val="eop"/>
          <w:rFonts w:ascii="72 Light" w:hAnsi="72 Light" w:cs="72 Light"/>
          <w:i/>
          <w:iCs/>
          <w:color w:val="000000" w:themeColor="text1"/>
          <w:sz w:val="24"/>
          <w:szCs w:val="24"/>
          <w:lang w:val="fr-CA"/>
        </w:rPr>
        <w:t>Landfill</w:t>
      </w:r>
      <w:proofErr w:type="spellEnd"/>
      <w:r w:rsidRPr="007B324D">
        <w:rPr>
          <w:rStyle w:val="eop"/>
          <w:rFonts w:ascii="72 Light" w:hAnsi="72 Light" w:cs="72 Light"/>
          <w:i/>
          <w:iCs/>
          <w:color w:val="000000" w:themeColor="text1"/>
          <w:sz w:val="24"/>
          <w:szCs w:val="24"/>
          <w:lang w:val="fr-CA"/>
        </w:rPr>
        <w:t xml:space="preserve"> </w:t>
      </w:r>
      <w:proofErr w:type="spellStart"/>
      <w:r w:rsidRPr="007B324D">
        <w:rPr>
          <w:rStyle w:val="eop"/>
          <w:rFonts w:ascii="72 Light" w:hAnsi="72 Light" w:cs="72 Light"/>
          <w:i/>
          <w:iCs/>
          <w:color w:val="000000" w:themeColor="text1"/>
          <w:sz w:val="24"/>
          <w:szCs w:val="24"/>
          <w:lang w:val="fr-CA"/>
        </w:rPr>
        <w:t>Search</w:t>
      </w:r>
      <w:proofErr w:type="spellEnd"/>
      <w:r w:rsidRPr="007B324D">
        <w:rPr>
          <w:rStyle w:val="eop"/>
          <w:rFonts w:ascii="72 Light" w:hAnsi="72 Light" w:cs="72 Light"/>
          <w:i/>
          <w:iCs/>
          <w:color w:val="000000" w:themeColor="text1"/>
          <w:sz w:val="24"/>
          <w:szCs w:val="24"/>
          <w:lang w:val="fr-CA"/>
        </w:rPr>
        <w:t xml:space="preserve"> for </w:t>
      </w:r>
      <w:proofErr w:type="spellStart"/>
      <w:r w:rsidRPr="007B324D">
        <w:rPr>
          <w:rStyle w:val="eop"/>
          <w:rFonts w:ascii="72 Light" w:hAnsi="72 Light" w:cs="72 Light"/>
          <w:i/>
          <w:iCs/>
          <w:color w:val="000000" w:themeColor="text1"/>
          <w:sz w:val="24"/>
          <w:szCs w:val="24"/>
          <w:lang w:val="fr-CA"/>
        </w:rPr>
        <w:t>Remains</w:t>
      </w:r>
      <w:proofErr w:type="spellEnd"/>
      <w:r w:rsidRPr="007B324D">
        <w:rPr>
          <w:rStyle w:val="eop"/>
          <w:rFonts w:ascii="72 Light" w:hAnsi="72 Light" w:cs="72 Light"/>
          <w:i/>
          <w:iCs/>
          <w:color w:val="000000" w:themeColor="text1"/>
          <w:sz w:val="24"/>
          <w:szCs w:val="24"/>
          <w:lang w:val="fr-CA"/>
        </w:rPr>
        <w:t xml:space="preserve"> of First Nations </w:t>
      </w:r>
      <w:proofErr w:type="spellStart"/>
      <w:r w:rsidRPr="007B324D">
        <w:rPr>
          <w:rStyle w:val="eop"/>
          <w:rFonts w:ascii="72 Light" w:hAnsi="72 Light" w:cs="72 Light"/>
          <w:i/>
          <w:iCs/>
          <w:color w:val="000000" w:themeColor="text1"/>
          <w:sz w:val="24"/>
          <w:szCs w:val="24"/>
          <w:lang w:val="fr-CA"/>
        </w:rPr>
        <w:t>Women</w:t>
      </w:r>
      <w:proofErr w:type="spellEnd"/>
      <w:r w:rsidRPr="007B324D">
        <w:rPr>
          <w:rStyle w:val="eop"/>
          <w:rFonts w:ascii="72 Light" w:hAnsi="72 Light" w:cs="72 Light"/>
          <w:color w:val="000000" w:themeColor="text1"/>
          <w:sz w:val="24"/>
          <w:szCs w:val="24"/>
          <w:lang w:val="fr-CA"/>
        </w:rPr>
        <w:t>, qui dénon</w:t>
      </w:r>
      <w:r w:rsidR="00B83759" w:rsidRPr="007B324D">
        <w:rPr>
          <w:rStyle w:val="eop"/>
          <w:rFonts w:ascii="72 Light" w:hAnsi="72 Light" w:cs="72 Light"/>
          <w:color w:val="000000" w:themeColor="text1"/>
          <w:sz w:val="24"/>
          <w:szCs w:val="24"/>
          <w:lang w:val="fr-CA"/>
        </w:rPr>
        <w:t>ce</w:t>
      </w:r>
      <w:r w:rsidRPr="007B324D">
        <w:rPr>
          <w:rStyle w:val="eop"/>
          <w:rFonts w:ascii="72 Light" w:hAnsi="72 Light" w:cs="72 Light"/>
          <w:color w:val="000000" w:themeColor="text1"/>
          <w:sz w:val="24"/>
          <w:szCs w:val="24"/>
          <w:lang w:val="fr-CA"/>
        </w:rPr>
        <w:t xml:space="preserve"> l’incapacité du Canada à </w:t>
      </w:r>
      <w:r w:rsidR="00B83759" w:rsidRPr="007B324D">
        <w:rPr>
          <w:rStyle w:val="eop"/>
          <w:rFonts w:ascii="72 Light" w:hAnsi="72 Light" w:cs="72 Light"/>
          <w:color w:val="000000" w:themeColor="text1"/>
          <w:sz w:val="24"/>
          <w:szCs w:val="24"/>
          <w:lang w:val="fr-CA"/>
        </w:rPr>
        <w:t>trouver</w:t>
      </w:r>
      <w:r w:rsidRPr="007B324D">
        <w:rPr>
          <w:rStyle w:val="eop"/>
          <w:rFonts w:ascii="72 Light" w:hAnsi="72 Light" w:cs="72 Light"/>
          <w:color w:val="000000" w:themeColor="text1"/>
          <w:sz w:val="24"/>
          <w:szCs w:val="24"/>
          <w:lang w:val="fr-CA"/>
        </w:rPr>
        <w:t xml:space="preserve"> ou à récupérer de manière adéquate les restes de femmes</w:t>
      </w:r>
      <w:r w:rsidR="00653D8D" w:rsidRPr="007B324D">
        <w:rPr>
          <w:rStyle w:val="eop"/>
          <w:rFonts w:ascii="72 Light" w:hAnsi="72 Light" w:cs="72 Light"/>
          <w:color w:val="000000" w:themeColor="text1"/>
          <w:sz w:val="24"/>
          <w:szCs w:val="24"/>
          <w:lang w:val="fr-CA"/>
        </w:rPr>
        <w:t xml:space="preserve">, de </w:t>
      </w:r>
      <w:r w:rsidRPr="007B324D">
        <w:rPr>
          <w:rStyle w:val="eop"/>
          <w:rFonts w:ascii="72 Light" w:hAnsi="72 Light" w:cs="72 Light"/>
          <w:color w:val="000000" w:themeColor="text1"/>
          <w:sz w:val="24"/>
          <w:szCs w:val="24"/>
          <w:lang w:val="fr-CA"/>
        </w:rPr>
        <w:t xml:space="preserve">filles </w:t>
      </w:r>
      <w:r w:rsidR="00653D8D" w:rsidRPr="007B324D">
        <w:rPr>
          <w:rFonts w:ascii="72 Light" w:hAnsi="72 Light" w:cs="72 Light"/>
          <w:color w:val="000000" w:themeColor="text1"/>
          <w:sz w:val="24"/>
          <w:szCs w:val="24"/>
          <w:lang w:val="fr-CA"/>
        </w:rPr>
        <w:t>ainsi que de personnes</w:t>
      </w:r>
      <w:r w:rsidR="00042C3C" w:rsidRPr="007B324D">
        <w:rPr>
          <w:rFonts w:ascii="72 Light" w:hAnsi="72 Light" w:cs="72 Light"/>
          <w:color w:val="000000" w:themeColor="text1"/>
          <w:sz w:val="24"/>
          <w:szCs w:val="24"/>
          <w:lang w:val="fr-CA"/>
        </w:rPr>
        <w:t> </w:t>
      </w:r>
      <w:r w:rsidR="00653D8D" w:rsidRPr="007B324D">
        <w:rPr>
          <w:rFonts w:ascii="72 Light" w:hAnsi="72 Light" w:cs="72 Light"/>
          <w:color w:val="000000" w:themeColor="text1"/>
          <w:sz w:val="24"/>
          <w:szCs w:val="24"/>
          <w:lang w:val="fr-CA"/>
        </w:rPr>
        <w:t>2ELGBTQ</w:t>
      </w:r>
      <w:r w:rsidR="00FC5D74" w:rsidRPr="007B324D">
        <w:rPr>
          <w:rFonts w:ascii="72 Light" w:hAnsi="72 Light" w:cs="72 Light"/>
          <w:color w:val="000000" w:themeColor="text1"/>
          <w:sz w:val="24"/>
          <w:szCs w:val="24"/>
          <w:lang w:val="fr-CA"/>
        </w:rPr>
        <w:t>Q</w:t>
      </w:r>
      <w:r w:rsidR="00653D8D" w:rsidRPr="007B324D">
        <w:rPr>
          <w:rFonts w:ascii="72 Light" w:hAnsi="72 Light" w:cs="72 Light"/>
          <w:color w:val="000000" w:themeColor="text1"/>
          <w:sz w:val="24"/>
          <w:szCs w:val="24"/>
          <w:lang w:val="fr-CA"/>
        </w:rPr>
        <w:t>IA+</w:t>
      </w:r>
      <w:r w:rsidR="00653D8D" w:rsidRPr="007B324D">
        <w:rPr>
          <w:rStyle w:val="eop"/>
          <w:rFonts w:ascii="72 Light" w:hAnsi="72 Light" w:cs="72 Light"/>
          <w:color w:val="000000" w:themeColor="text1"/>
          <w:sz w:val="24"/>
          <w:szCs w:val="24"/>
          <w:lang w:val="fr-CA"/>
        </w:rPr>
        <w:t xml:space="preserve"> </w:t>
      </w:r>
      <w:r w:rsidRPr="007B324D">
        <w:rPr>
          <w:rStyle w:val="eop"/>
          <w:rFonts w:ascii="72 Light" w:hAnsi="72 Light" w:cs="72 Light"/>
          <w:color w:val="000000" w:themeColor="text1"/>
          <w:sz w:val="24"/>
          <w:szCs w:val="24"/>
          <w:lang w:val="fr-CA"/>
        </w:rPr>
        <w:t>autochtones disparues et assassinées. Cette résolution dénon</w:t>
      </w:r>
      <w:r w:rsidR="00B83759" w:rsidRPr="007B324D">
        <w:rPr>
          <w:rStyle w:val="eop"/>
          <w:rFonts w:ascii="72 Light" w:hAnsi="72 Light" w:cs="72 Light"/>
          <w:color w:val="000000" w:themeColor="text1"/>
          <w:sz w:val="24"/>
          <w:szCs w:val="24"/>
          <w:lang w:val="fr-CA"/>
        </w:rPr>
        <w:t>ce</w:t>
      </w:r>
      <w:r w:rsidRPr="007B324D">
        <w:rPr>
          <w:rStyle w:val="eop"/>
          <w:rFonts w:ascii="72 Light" w:hAnsi="72 Light" w:cs="72 Light"/>
          <w:color w:val="000000" w:themeColor="text1"/>
          <w:sz w:val="24"/>
          <w:szCs w:val="24"/>
          <w:lang w:val="fr-CA"/>
        </w:rPr>
        <w:t xml:space="preserve"> également la décision récente du gouvernement du Manitoba de ne pas effectuer de recherches dans une décharge qui, selon la police, contiendrait les restes de femmes des Premières Nations assassinées.</w:t>
      </w:r>
    </w:p>
    <w:p w14:paraId="2AF8B046" w14:textId="77777777" w:rsidR="00BF3013" w:rsidRPr="007B324D" w:rsidRDefault="00BF3013" w:rsidP="00F62155">
      <w:pPr>
        <w:tabs>
          <w:tab w:val="left" w:pos="3544"/>
        </w:tabs>
        <w:spacing w:before="120" w:line="276" w:lineRule="auto"/>
        <w:ind w:left="0" w:firstLine="0"/>
        <w:jc w:val="both"/>
        <w:rPr>
          <w:rFonts w:ascii="72 Light" w:hAnsi="72 Light" w:cs="72 Light"/>
          <w:bCs/>
          <w:i/>
          <w:iCs/>
          <w:sz w:val="24"/>
          <w:szCs w:val="24"/>
          <w:lang w:val="fr-CA"/>
        </w:rPr>
      </w:pPr>
      <w:r w:rsidRPr="007B324D">
        <w:rPr>
          <w:rFonts w:ascii="72 Light" w:hAnsi="72 Light" w:cs="72 Light"/>
          <w:bCs/>
          <w:i/>
          <w:iCs/>
          <w:sz w:val="24"/>
          <w:szCs w:val="24"/>
          <w:lang w:val="fr-CA"/>
        </w:rPr>
        <w:t>Loi sur la Déclaration des Nations Unies sur les droits des peuples autochtones</w:t>
      </w:r>
    </w:p>
    <w:p w14:paraId="218F3464" w14:textId="6DEE939D"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Style w:val="normaltextrun"/>
          <w:rFonts w:ascii="72 Light" w:hAnsi="72 Light" w:cs="72 Light"/>
          <w:sz w:val="24"/>
          <w:szCs w:val="24"/>
          <w:lang w:val="fr-CA"/>
        </w:rPr>
        <w:t>En novembre</w:t>
      </w:r>
      <w:r w:rsidR="00B83759" w:rsidRPr="007B324D">
        <w:rPr>
          <w:rStyle w:val="normaltextrun"/>
          <w:rFonts w:ascii="72 Light" w:hAnsi="72 Light" w:cs="72 Light"/>
          <w:sz w:val="24"/>
          <w:szCs w:val="24"/>
          <w:lang w:val="fr-CA"/>
        </w:rPr>
        <w:t> </w:t>
      </w:r>
      <w:r w:rsidRPr="007B324D">
        <w:rPr>
          <w:rStyle w:val="normaltextrun"/>
          <w:rFonts w:ascii="72 Light" w:hAnsi="72 Light" w:cs="72 Light"/>
          <w:sz w:val="24"/>
          <w:szCs w:val="24"/>
          <w:lang w:val="fr-CA"/>
        </w:rPr>
        <w:t xml:space="preserve">2019, la Colombie-Britannique, en consultation et en coopération avec les peuples autochtones, est devenue la première </w:t>
      </w:r>
      <w:r w:rsidR="00B83759" w:rsidRPr="007B324D">
        <w:rPr>
          <w:rStyle w:val="normaltextrun"/>
          <w:rFonts w:ascii="72 Light" w:hAnsi="72 Light" w:cs="72 Light"/>
          <w:sz w:val="24"/>
          <w:szCs w:val="24"/>
          <w:lang w:val="fr-CA"/>
        </w:rPr>
        <w:t>province</w:t>
      </w:r>
      <w:r w:rsidRPr="007B324D">
        <w:rPr>
          <w:rStyle w:val="normaltextrun"/>
          <w:rFonts w:ascii="72 Light" w:hAnsi="72 Light" w:cs="72 Light"/>
          <w:sz w:val="24"/>
          <w:szCs w:val="24"/>
          <w:lang w:val="fr-CA"/>
        </w:rPr>
        <w:t xml:space="preserve"> au Canada à adopter une </w:t>
      </w:r>
      <w:r w:rsidR="00B83759" w:rsidRPr="007B324D">
        <w:rPr>
          <w:rStyle w:val="normaltextrun"/>
          <w:rFonts w:ascii="72 Light" w:hAnsi="72 Light" w:cs="72 Light"/>
          <w:sz w:val="24"/>
          <w:szCs w:val="24"/>
          <w:lang w:val="fr-CA"/>
        </w:rPr>
        <w:t xml:space="preserve">loi de mise en œuvre de la </w:t>
      </w:r>
      <w:r w:rsidR="00B83759" w:rsidRPr="007B324D">
        <w:rPr>
          <w:rStyle w:val="normaltextrun"/>
          <w:rFonts w:ascii="72 Light" w:hAnsi="72 Light" w:cs="72 Light"/>
          <w:i/>
          <w:iCs/>
          <w:sz w:val="24"/>
          <w:szCs w:val="24"/>
          <w:lang w:val="fr-CA"/>
        </w:rPr>
        <w:t>Déclaration des Nations Unies sur les droits des peuples autochtones</w:t>
      </w:r>
      <w:r w:rsidR="00B83759" w:rsidRPr="007B324D">
        <w:rPr>
          <w:rStyle w:val="normaltextrun"/>
          <w:rFonts w:ascii="72 Light" w:hAnsi="72 Light" w:cs="72 Light"/>
          <w:sz w:val="24"/>
          <w:szCs w:val="24"/>
          <w:lang w:val="fr-CA"/>
        </w:rPr>
        <w:t xml:space="preserve"> (</w:t>
      </w:r>
      <w:r w:rsidRPr="007B324D">
        <w:rPr>
          <w:rStyle w:val="normaltextrun"/>
          <w:rFonts w:ascii="72 Light" w:hAnsi="72 Light" w:cs="72 Light"/>
          <w:sz w:val="24"/>
          <w:szCs w:val="24"/>
          <w:lang w:val="fr-CA"/>
        </w:rPr>
        <w:t>DNUDPA</w:t>
      </w:r>
      <w:r w:rsidR="00B83759" w:rsidRPr="007B324D">
        <w:rPr>
          <w:rStyle w:val="normaltextrun"/>
          <w:rFonts w:ascii="72 Light" w:hAnsi="72 Light" w:cs="72 Light"/>
          <w:sz w:val="24"/>
          <w:szCs w:val="24"/>
          <w:lang w:val="fr-CA"/>
        </w:rPr>
        <w:t>)</w:t>
      </w:r>
      <w:r w:rsidRPr="007B324D">
        <w:rPr>
          <w:rStyle w:val="normaltextrun"/>
          <w:rFonts w:ascii="72 Light" w:hAnsi="72 Light" w:cs="72 Light"/>
          <w:sz w:val="24"/>
          <w:szCs w:val="24"/>
          <w:lang w:val="fr-CA"/>
        </w:rPr>
        <w:t xml:space="preserve">. Cette nouvelle </w:t>
      </w:r>
      <w:r w:rsidR="00B83759" w:rsidRPr="007B324D">
        <w:rPr>
          <w:rStyle w:val="normaltextrun"/>
          <w:rFonts w:ascii="72 Light" w:hAnsi="72 Light" w:cs="72 Light"/>
          <w:sz w:val="24"/>
          <w:szCs w:val="24"/>
          <w:lang w:val="fr-CA"/>
        </w:rPr>
        <w:t xml:space="preserve">loi </w:t>
      </w:r>
      <w:r w:rsidRPr="007B324D">
        <w:rPr>
          <w:rStyle w:val="normaltextrun"/>
          <w:rFonts w:ascii="72 Light" w:hAnsi="72 Light" w:cs="72 Light"/>
          <w:sz w:val="24"/>
          <w:szCs w:val="24"/>
          <w:lang w:val="fr-CA"/>
        </w:rPr>
        <w:t>exige : (1) que les lois nouvelles et existantes soient mises en conformité avec la DNUDPA; (2) qu’un plan d’action soit mis en œuvre pour atteindre l’objectif de la DNUDPA, en assurer le suivi et en rendre compte; (3) que les pouvoirs de décision soient partagés entre le gouvernement de la Colombie-Britannique et les peuples autochtones de la province. Les Premières Nations insistent sur le fait que les modifications fournies au gouvernement de la Colombie-Britannique n’ont pas</w:t>
      </w:r>
      <w:r w:rsidR="00B83759" w:rsidRPr="007B324D">
        <w:rPr>
          <w:rStyle w:val="normaltextrun"/>
          <w:rFonts w:ascii="72 Light" w:hAnsi="72 Light" w:cs="72 Light"/>
          <w:sz w:val="24"/>
          <w:szCs w:val="24"/>
          <w:lang w:val="fr-CA"/>
        </w:rPr>
        <w:t xml:space="preserve"> toutes</w:t>
      </w:r>
      <w:r w:rsidRPr="007B324D">
        <w:rPr>
          <w:rStyle w:val="normaltextrun"/>
          <w:rFonts w:ascii="72 Light" w:hAnsi="72 Light" w:cs="72 Light"/>
          <w:sz w:val="24"/>
          <w:szCs w:val="24"/>
          <w:lang w:val="fr-CA"/>
        </w:rPr>
        <w:t xml:space="preserve"> été acceptées. Les droits et les normes minimales </w:t>
      </w:r>
      <w:r w:rsidR="00B83759" w:rsidRPr="007B324D">
        <w:rPr>
          <w:rStyle w:val="normaltextrun"/>
          <w:rFonts w:ascii="72 Light" w:hAnsi="72 Light" w:cs="72 Light"/>
          <w:sz w:val="24"/>
          <w:szCs w:val="24"/>
          <w:lang w:val="fr-CA"/>
        </w:rPr>
        <w:t xml:space="preserve">intégrés </w:t>
      </w:r>
      <w:r w:rsidRPr="007B324D">
        <w:rPr>
          <w:rStyle w:val="normaltextrun"/>
          <w:rFonts w:ascii="72 Light" w:hAnsi="72 Light" w:cs="72 Light"/>
          <w:sz w:val="24"/>
          <w:szCs w:val="24"/>
          <w:lang w:val="fr-CA"/>
        </w:rPr>
        <w:t>ont</w:t>
      </w:r>
      <w:r w:rsidR="00B83759" w:rsidRPr="007B324D">
        <w:rPr>
          <w:rStyle w:val="normaltextrun"/>
          <w:rFonts w:ascii="72 Light" w:hAnsi="72 Light" w:cs="72 Light"/>
          <w:sz w:val="24"/>
          <w:szCs w:val="24"/>
          <w:lang w:val="fr-CA"/>
        </w:rPr>
        <w:t xml:space="preserve"> en effet été</w:t>
      </w:r>
      <w:r w:rsidRPr="007B324D">
        <w:rPr>
          <w:rStyle w:val="normaltextrun"/>
          <w:rFonts w:ascii="72 Light" w:hAnsi="72 Light" w:cs="72 Light"/>
          <w:sz w:val="24"/>
          <w:szCs w:val="24"/>
          <w:lang w:val="fr-CA"/>
        </w:rPr>
        <w:t xml:space="preserve"> «</w:t>
      </w:r>
      <w:r w:rsidR="00042C3C" w:rsidRPr="007B324D">
        <w:rPr>
          <w:rStyle w:val="normaltextrun"/>
          <w:rFonts w:ascii="Arial" w:hAnsi="Arial" w:cs="Arial"/>
          <w:sz w:val="24"/>
          <w:szCs w:val="24"/>
          <w:lang w:val="fr-CA"/>
        </w:rPr>
        <w:t> </w:t>
      </w:r>
      <w:r w:rsidRPr="007B324D">
        <w:rPr>
          <w:rStyle w:val="normaltextrun"/>
          <w:rFonts w:ascii="72 Light" w:hAnsi="72 Light" w:cs="72 Light"/>
          <w:sz w:val="24"/>
          <w:szCs w:val="24"/>
          <w:lang w:val="fr-CA"/>
        </w:rPr>
        <w:t>négociés</w:t>
      </w:r>
      <w:r w:rsidR="00042C3C" w:rsidRPr="007B324D">
        <w:rPr>
          <w:rStyle w:val="normaltextrun"/>
          <w:rFonts w:ascii="Arial" w:hAnsi="Arial" w:cs="Arial"/>
          <w:sz w:val="24"/>
          <w:szCs w:val="24"/>
          <w:lang w:val="fr-CA"/>
        </w:rPr>
        <w:t> </w:t>
      </w:r>
      <w:r w:rsidRPr="007B324D">
        <w:rPr>
          <w:rStyle w:val="normaltextrun"/>
          <w:rFonts w:ascii="72 Light" w:hAnsi="72 Light" w:cs="72 Light"/>
          <w:sz w:val="24"/>
          <w:szCs w:val="24"/>
          <w:lang w:val="fr-CA"/>
        </w:rPr>
        <w:t xml:space="preserve">» pour mieux </w:t>
      </w:r>
      <w:r w:rsidR="00B83759" w:rsidRPr="007B324D">
        <w:rPr>
          <w:rStyle w:val="normaltextrun"/>
          <w:rFonts w:ascii="72 Light" w:hAnsi="72 Light" w:cs="72 Light"/>
          <w:sz w:val="24"/>
          <w:szCs w:val="24"/>
          <w:lang w:val="fr-CA"/>
        </w:rPr>
        <w:t>être harmonisés avec</w:t>
      </w:r>
      <w:r w:rsidRPr="007B324D">
        <w:rPr>
          <w:rStyle w:val="normaltextrun"/>
          <w:rFonts w:ascii="72 Light" w:hAnsi="72 Light" w:cs="72 Light"/>
          <w:sz w:val="24"/>
          <w:szCs w:val="24"/>
          <w:lang w:val="fr-CA"/>
        </w:rPr>
        <w:t xml:space="preserve"> les priorités ministérielles. </w:t>
      </w:r>
    </w:p>
    <w:p w14:paraId="0DD99455" w14:textId="11319071"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En 2021, le gouvernement fédéral a adopté la </w:t>
      </w:r>
      <w:r w:rsidR="002D012C" w:rsidRPr="007B324D">
        <w:rPr>
          <w:rFonts w:ascii="72 Light" w:hAnsi="72 Light" w:cs="72 Light"/>
          <w:i/>
          <w:iCs/>
          <w:sz w:val="24"/>
          <w:szCs w:val="24"/>
          <w:lang w:val="fr-CA"/>
        </w:rPr>
        <w:t xml:space="preserve">Loi sur la Déclaration des Nations Unies sur les droits des peuples autochtones </w:t>
      </w:r>
      <w:r w:rsidR="002D012C" w:rsidRPr="007B324D">
        <w:rPr>
          <w:rFonts w:ascii="72 Light" w:hAnsi="72 Light" w:cs="72 Light"/>
          <w:sz w:val="24"/>
          <w:szCs w:val="24"/>
          <w:lang w:val="fr-CA"/>
        </w:rPr>
        <w:t>(L</w:t>
      </w:r>
      <w:r w:rsidRPr="007B324D">
        <w:rPr>
          <w:rFonts w:ascii="72 Light" w:hAnsi="72 Light" w:cs="72 Light"/>
          <w:sz w:val="24"/>
          <w:szCs w:val="24"/>
          <w:lang w:val="fr-CA"/>
        </w:rPr>
        <w:t>DNUDPA</w:t>
      </w:r>
      <w:r w:rsidR="002D012C" w:rsidRPr="007B324D">
        <w:rPr>
          <w:rFonts w:ascii="72 Light" w:hAnsi="72 Light" w:cs="72 Light"/>
          <w:sz w:val="24"/>
          <w:szCs w:val="24"/>
          <w:lang w:val="fr-CA"/>
        </w:rPr>
        <w:t>)</w:t>
      </w:r>
      <w:r w:rsidRPr="007B324D">
        <w:rPr>
          <w:rFonts w:ascii="72 Light" w:hAnsi="72 Light" w:cs="72 Light"/>
          <w:sz w:val="24"/>
          <w:szCs w:val="24"/>
          <w:lang w:val="fr-CA"/>
        </w:rPr>
        <w:t xml:space="preserve"> pour mettre en œuvre la Déclaration des Nations </w:t>
      </w:r>
      <w:r w:rsidR="00B83759" w:rsidRPr="007B324D">
        <w:rPr>
          <w:rFonts w:ascii="72 Light" w:hAnsi="72 Light" w:cs="72 Light"/>
          <w:sz w:val="24"/>
          <w:szCs w:val="24"/>
          <w:lang w:val="fr-CA"/>
        </w:rPr>
        <w:t>U</w:t>
      </w:r>
      <w:r w:rsidRPr="007B324D">
        <w:rPr>
          <w:rFonts w:ascii="72 Light" w:hAnsi="72 Light" w:cs="72 Light"/>
          <w:sz w:val="24"/>
          <w:szCs w:val="24"/>
          <w:lang w:val="fr-CA"/>
        </w:rPr>
        <w:t xml:space="preserve">nies </w:t>
      </w:r>
      <w:r w:rsidR="00B83759" w:rsidRPr="007B324D">
        <w:rPr>
          <w:rFonts w:ascii="72 Light" w:hAnsi="72 Light" w:cs="72 Light"/>
          <w:sz w:val="24"/>
          <w:szCs w:val="24"/>
          <w:lang w:val="fr-CA"/>
        </w:rPr>
        <w:t>à l’échelle</w:t>
      </w:r>
      <w:r w:rsidRPr="007B324D">
        <w:rPr>
          <w:rFonts w:ascii="72 Light" w:hAnsi="72 Light" w:cs="72 Light"/>
          <w:sz w:val="24"/>
          <w:szCs w:val="24"/>
          <w:lang w:val="fr-CA"/>
        </w:rPr>
        <w:t xml:space="preserve"> national</w:t>
      </w:r>
      <w:r w:rsidR="00B83759" w:rsidRPr="007B324D">
        <w:rPr>
          <w:rFonts w:ascii="72 Light" w:hAnsi="72 Light" w:cs="72 Light"/>
          <w:sz w:val="24"/>
          <w:szCs w:val="24"/>
          <w:lang w:val="fr-CA"/>
        </w:rPr>
        <w:t>e</w:t>
      </w:r>
      <w:r w:rsidRPr="007B324D">
        <w:rPr>
          <w:rFonts w:ascii="72 Light" w:hAnsi="72 Light" w:cs="72 Light"/>
          <w:sz w:val="24"/>
          <w:szCs w:val="24"/>
          <w:lang w:val="fr-CA"/>
        </w:rPr>
        <w:t xml:space="preserve">. Comme pour la Colombie-Britannique, cette loi oblige le gouvernement fédéral à élaborer un plan d’action national </w:t>
      </w:r>
      <w:r w:rsidR="00B83759" w:rsidRPr="007B324D">
        <w:rPr>
          <w:rFonts w:ascii="72 Light" w:hAnsi="72 Light" w:cs="72 Light"/>
          <w:sz w:val="24"/>
          <w:szCs w:val="24"/>
          <w:lang w:val="fr-CA"/>
        </w:rPr>
        <w:t>de mise</w:t>
      </w:r>
      <w:r w:rsidRPr="007B324D">
        <w:rPr>
          <w:rFonts w:ascii="72 Light" w:hAnsi="72 Light" w:cs="72 Light"/>
          <w:sz w:val="24"/>
          <w:szCs w:val="24"/>
          <w:lang w:val="fr-CA"/>
        </w:rPr>
        <w:t xml:space="preserve"> en œuvre </w:t>
      </w:r>
      <w:r w:rsidR="00B83759" w:rsidRPr="007B324D">
        <w:rPr>
          <w:rFonts w:ascii="72 Light" w:hAnsi="72 Light" w:cs="72 Light"/>
          <w:sz w:val="24"/>
          <w:szCs w:val="24"/>
          <w:lang w:val="fr-CA"/>
        </w:rPr>
        <w:t xml:space="preserve">de </w:t>
      </w:r>
      <w:r w:rsidRPr="007B324D">
        <w:rPr>
          <w:rFonts w:ascii="72 Light" w:hAnsi="72 Light" w:cs="72 Light"/>
          <w:sz w:val="24"/>
          <w:szCs w:val="24"/>
          <w:lang w:val="fr-CA"/>
        </w:rPr>
        <w:t xml:space="preserve">la Déclaration </w:t>
      </w:r>
      <w:r w:rsidRPr="007B324D">
        <w:rPr>
          <w:rFonts w:ascii="72 Light" w:hAnsi="72 Light" w:cs="72 Light"/>
          <w:sz w:val="24"/>
          <w:szCs w:val="24"/>
          <w:lang w:val="fr-CA"/>
        </w:rPr>
        <w:lastRenderedPageBreak/>
        <w:t xml:space="preserve">des Nations Unies. Le plan d’action prévu par la loi, publié en juin 2023, prévoit 181 mesures qui </w:t>
      </w:r>
      <w:r w:rsidR="00B83759" w:rsidRPr="007B324D">
        <w:rPr>
          <w:rFonts w:ascii="72 Light" w:hAnsi="72 Light" w:cs="72 Light"/>
          <w:sz w:val="24"/>
          <w:szCs w:val="24"/>
          <w:lang w:val="fr-CA"/>
        </w:rPr>
        <w:t>aideront</w:t>
      </w:r>
      <w:r w:rsidRPr="007B324D">
        <w:rPr>
          <w:rFonts w:ascii="72 Light" w:hAnsi="72 Light" w:cs="72 Light"/>
          <w:sz w:val="24"/>
          <w:szCs w:val="24"/>
          <w:lang w:val="fr-CA"/>
        </w:rPr>
        <w:t xml:space="preserve"> le Canada </w:t>
      </w:r>
      <w:r w:rsidR="00B83759" w:rsidRPr="007B324D">
        <w:rPr>
          <w:rFonts w:ascii="72 Light" w:hAnsi="72 Light" w:cs="72 Light"/>
          <w:sz w:val="24"/>
          <w:szCs w:val="24"/>
          <w:lang w:val="fr-CA"/>
        </w:rPr>
        <w:t>à</w:t>
      </w:r>
      <w:r w:rsidRPr="007B324D">
        <w:rPr>
          <w:rFonts w:ascii="72 Light" w:hAnsi="72 Light" w:cs="72 Light"/>
          <w:sz w:val="24"/>
          <w:szCs w:val="24"/>
          <w:lang w:val="fr-CA"/>
        </w:rPr>
        <w:t xml:space="preserve"> combler les lacunes existantes concernant les peuples autochtones. </w:t>
      </w:r>
    </w:p>
    <w:p w14:paraId="6F1C369A" w14:textId="17E743F2"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Le Canada a décrit une approche «</w:t>
      </w:r>
      <w:r w:rsidR="00042C3C" w:rsidRPr="007B324D">
        <w:rPr>
          <w:rFonts w:ascii="Arial" w:hAnsi="Arial" w:cs="Arial"/>
          <w:sz w:val="24"/>
          <w:szCs w:val="24"/>
          <w:lang w:val="fr-CA"/>
        </w:rPr>
        <w:t> </w:t>
      </w:r>
      <w:r w:rsidRPr="007B324D">
        <w:rPr>
          <w:rFonts w:ascii="72 Light" w:hAnsi="72 Light" w:cs="72 Light"/>
          <w:sz w:val="24"/>
          <w:szCs w:val="24"/>
          <w:lang w:val="fr-CA"/>
        </w:rPr>
        <w:t>pangouvernementale</w:t>
      </w:r>
      <w:r w:rsidR="00042C3C" w:rsidRPr="007B324D">
        <w:rPr>
          <w:rFonts w:ascii="Arial" w:hAnsi="Arial" w:cs="Arial"/>
          <w:sz w:val="24"/>
          <w:szCs w:val="24"/>
          <w:lang w:val="fr-CA"/>
        </w:rPr>
        <w:t> </w:t>
      </w:r>
      <w:r w:rsidRPr="007B324D">
        <w:rPr>
          <w:rFonts w:ascii="72 Light" w:hAnsi="72 Light" w:cs="72 Light"/>
          <w:sz w:val="24"/>
          <w:szCs w:val="24"/>
          <w:lang w:val="fr-CA"/>
        </w:rPr>
        <w:t xml:space="preserve">» pour la mise en œuvre de la </w:t>
      </w:r>
      <w:r w:rsidR="002D012C" w:rsidRPr="007B324D">
        <w:rPr>
          <w:rFonts w:ascii="72 Light" w:hAnsi="72 Light" w:cs="72 Light"/>
          <w:sz w:val="24"/>
          <w:szCs w:val="24"/>
          <w:lang w:val="fr-CA"/>
        </w:rPr>
        <w:t>L</w:t>
      </w:r>
      <w:r w:rsidRPr="007B324D">
        <w:rPr>
          <w:rFonts w:ascii="72 Light" w:hAnsi="72 Light" w:cs="72 Light"/>
          <w:sz w:val="24"/>
          <w:szCs w:val="24"/>
          <w:lang w:val="fr-CA"/>
        </w:rPr>
        <w:t xml:space="preserve">DNUDPA. </w:t>
      </w:r>
      <w:r w:rsidRPr="007B324D">
        <w:rPr>
          <w:rStyle w:val="eop"/>
          <w:rFonts w:ascii="72 Light" w:hAnsi="72 Light" w:cs="72 Light"/>
          <w:sz w:val="24"/>
          <w:szCs w:val="24"/>
          <w:lang w:val="fr-CA"/>
        </w:rPr>
        <w:t xml:space="preserve">Il est important de noter que les mesures du plan d’action sont pilotées par les ministères. Bien qu’une vingtaine de ministères aient été mobilisés, un écart significatif subsiste dans la totalité des ministères et services </w:t>
      </w:r>
      <w:r w:rsidR="00B83759" w:rsidRPr="007B324D">
        <w:rPr>
          <w:rStyle w:val="eop"/>
          <w:rFonts w:ascii="72 Light" w:hAnsi="72 Light" w:cs="72 Light"/>
          <w:sz w:val="24"/>
          <w:szCs w:val="24"/>
          <w:lang w:val="fr-CA"/>
        </w:rPr>
        <w:t>participant à</w:t>
      </w:r>
      <w:r w:rsidRPr="007B324D">
        <w:rPr>
          <w:rStyle w:val="eop"/>
          <w:rFonts w:ascii="72 Light" w:hAnsi="72 Light" w:cs="72 Light"/>
          <w:sz w:val="24"/>
          <w:szCs w:val="24"/>
          <w:lang w:val="fr-CA"/>
        </w:rPr>
        <w:t xml:space="preserve"> la </w:t>
      </w:r>
      <w:r w:rsidR="002D012C" w:rsidRPr="007B324D">
        <w:rPr>
          <w:rStyle w:val="eop"/>
          <w:rFonts w:ascii="72 Light" w:hAnsi="72 Light" w:cs="72 Light"/>
          <w:sz w:val="24"/>
          <w:szCs w:val="24"/>
          <w:lang w:val="fr-CA"/>
        </w:rPr>
        <w:t>L</w:t>
      </w:r>
      <w:r w:rsidRPr="007B324D">
        <w:rPr>
          <w:rStyle w:val="eop"/>
          <w:rFonts w:ascii="72 Light" w:hAnsi="72 Light" w:cs="72 Light"/>
          <w:sz w:val="24"/>
          <w:szCs w:val="24"/>
          <w:lang w:val="fr-CA"/>
        </w:rPr>
        <w:t xml:space="preserve">DNUDPA, ce qui reflète les progrès accomplis jusqu’à présent. </w:t>
      </w:r>
      <w:r w:rsidR="008C4B3E" w:rsidRPr="007B324D">
        <w:rPr>
          <w:rStyle w:val="eop"/>
          <w:rFonts w:ascii="72 Light" w:hAnsi="72 Light" w:cs="72 Light"/>
          <w:sz w:val="24"/>
          <w:szCs w:val="24"/>
          <w:lang w:val="fr-CA"/>
        </w:rPr>
        <w:t>L’A</w:t>
      </w:r>
      <w:r w:rsidR="00752B9B" w:rsidRPr="007B324D">
        <w:rPr>
          <w:rStyle w:val="eop"/>
          <w:rFonts w:ascii="72 Light" w:hAnsi="72 Light" w:cs="72 Light"/>
          <w:sz w:val="24"/>
          <w:szCs w:val="24"/>
          <w:lang w:val="fr-CA"/>
        </w:rPr>
        <w:t>ssemblée</w:t>
      </w:r>
      <w:r w:rsidRPr="007B324D">
        <w:rPr>
          <w:rStyle w:val="eop"/>
          <w:rFonts w:ascii="72 Light" w:hAnsi="72 Light" w:cs="72 Light"/>
          <w:sz w:val="24"/>
          <w:szCs w:val="24"/>
          <w:lang w:val="fr-CA"/>
        </w:rPr>
        <w:t xml:space="preserve"> s’est inquiétée du fait que de nombreuses mesures du plan d’action proposées par les ministères ne répondent pas aux </w:t>
      </w:r>
      <w:r w:rsidR="00B83759" w:rsidRPr="007B324D">
        <w:rPr>
          <w:rStyle w:val="eop"/>
          <w:rFonts w:ascii="72 Light" w:hAnsi="72 Light" w:cs="72 Light"/>
          <w:sz w:val="24"/>
          <w:szCs w:val="24"/>
          <w:lang w:val="fr-CA"/>
        </w:rPr>
        <w:t>n</w:t>
      </w:r>
      <w:r w:rsidRPr="007B324D">
        <w:rPr>
          <w:rStyle w:val="eop"/>
          <w:rFonts w:ascii="72 Light" w:hAnsi="72 Light" w:cs="72 Light"/>
          <w:sz w:val="24"/>
          <w:szCs w:val="24"/>
          <w:lang w:val="fr-CA"/>
        </w:rPr>
        <w:t xml:space="preserve">ormes minimales de la Déclaration des Nations </w:t>
      </w:r>
      <w:r w:rsidR="00B83759" w:rsidRPr="007B324D">
        <w:rPr>
          <w:rStyle w:val="eop"/>
          <w:rFonts w:ascii="72 Light" w:hAnsi="72 Light" w:cs="72 Light"/>
          <w:sz w:val="24"/>
          <w:szCs w:val="24"/>
          <w:lang w:val="fr-CA"/>
        </w:rPr>
        <w:t>U</w:t>
      </w:r>
      <w:r w:rsidRPr="007B324D">
        <w:rPr>
          <w:rStyle w:val="eop"/>
          <w:rFonts w:ascii="72 Light" w:hAnsi="72 Light" w:cs="72 Light"/>
          <w:sz w:val="24"/>
          <w:szCs w:val="24"/>
          <w:lang w:val="fr-CA"/>
        </w:rPr>
        <w:t>nies.</w:t>
      </w:r>
    </w:p>
    <w:p w14:paraId="286794DA" w14:textId="4051F037"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Dans le cadre de sa contribution à l’élaboration du plan d’action, </w:t>
      </w:r>
      <w:r w:rsidR="008C4B3E" w:rsidRPr="007B324D">
        <w:rPr>
          <w:rFonts w:ascii="72 Light" w:hAnsi="72 Light" w:cs="72 Light"/>
          <w:sz w:val="24"/>
          <w:szCs w:val="24"/>
          <w:lang w:val="fr-CA"/>
        </w:rPr>
        <w:t>l’Assemblée</w:t>
      </w:r>
      <w:r w:rsidRPr="007B324D">
        <w:rPr>
          <w:rFonts w:ascii="72 Light" w:hAnsi="72 Light" w:cs="72 Light"/>
          <w:sz w:val="24"/>
          <w:szCs w:val="24"/>
          <w:lang w:val="fr-CA"/>
        </w:rPr>
        <w:t xml:space="preserve"> a présenté un document intitulé </w:t>
      </w:r>
      <w:proofErr w:type="spellStart"/>
      <w:r w:rsidRPr="007B324D">
        <w:rPr>
          <w:rFonts w:ascii="72 Light" w:hAnsi="72 Light" w:cs="72 Light"/>
          <w:i/>
          <w:iCs/>
          <w:sz w:val="24"/>
          <w:szCs w:val="24"/>
          <w:lang w:val="fr-CA"/>
        </w:rPr>
        <w:t>Implementing</w:t>
      </w:r>
      <w:proofErr w:type="spellEnd"/>
      <w:r w:rsidRPr="007B324D">
        <w:rPr>
          <w:rFonts w:ascii="72 Light" w:hAnsi="72 Light" w:cs="72 Light"/>
          <w:i/>
          <w:iCs/>
          <w:sz w:val="24"/>
          <w:szCs w:val="24"/>
          <w:lang w:val="fr-CA"/>
        </w:rPr>
        <w:t xml:space="preserve"> the UN </w:t>
      </w:r>
      <w:proofErr w:type="spellStart"/>
      <w:r w:rsidRPr="007B324D">
        <w:rPr>
          <w:rFonts w:ascii="72 Light" w:hAnsi="72 Light" w:cs="72 Light"/>
          <w:i/>
          <w:iCs/>
          <w:sz w:val="24"/>
          <w:szCs w:val="24"/>
          <w:lang w:val="fr-CA"/>
        </w:rPr>
        <w:t>Declaration</w:t>
      </w:r>
      <w:proofErr w:type="spellEnd"/>
      <w:r w:rsidRPr="007B324D">
        <w:rPr>
          <w:rFonts w:ascii="72 Light" w:hAnsi="72 Light" w:cs="72 Light"/>
          <w:i/>
          <w:iCs/>
          <w:sz w:val="24"/>
          <w:szCs w:val="24"/>
          <w:lang w:val="fr-CA"/>
        </w:rPr>
        <w:t xml:space="preserve"> : First Nations Essential </w:t>
      </w:r>
      <w:r w:rsidR="00B83759" w:rsidRPr="007B324D">
        <w:rPr>
          <w:rFonts w:ascii="72 Light" w:hAnsi="72 Light" w:cs="72 Light"/>
          <w:i/>
          <w:iCs/>
          <w:sz w:val="24"/>
          <w:szCs w:val="24"/>
          <w:lang w:val="fr-CA"/>
        </w:rPr>
        <w:t>Éléments</w:t>
      </w:r>
      <w:r w:rsidR="00C06B19" w:rsidRPr="007B324D">
        <w:rPr>
          <w:rFonts w:ascii="72 Light" w:hAnsi="72 Light" w:cs="72 Light"/>
          <w:sz w:val="24"/>
          <w:szCs w:val="24"/>
          <w:lang w:val="fr-CA"/>
        </w:rPr>
        <w:t xml:space="preserve">. </w:t>
      </w:r>
      <w:r w:rsidRPr="007B324D">
        <w:rPr>
          <w:rFonts w:ascii="72 Light" w:hAnsi="72 Light" w:cs="72 Light"/>
          <w:sz w:val="24"/>
          <w:szCs w:val="24"/>
          <w:lang w:val="fr-CA"/>
        </w:rPr>
        <w:t xml:space="preserve">Ce document présente les attentes des Premières Nations à l’égard du plan d’action du Canada. </w:t>
      </w:r>
      <w:r w:rsidR="008C4B3E" w:rsidRPr="007B324D">
        <w:rPr>
          <w:rFonts w:ascii="72 Light" w:hAnsi="72 Light" w:cs="72 Light"/>
          <w:sz w:val="24"/>
          <w:szCs w:val="24"/>
          <w:lang w:val="fr-CA"/>
        </w:rPr>
        <w:t>L’A</w:t>
      </w:r>
      <w:r w:rsidR="00C06B19" w:rsidRPr="007B324D">
        <w:rPr>
          <w:rFonts w:ascii="72 Light" w:hAnsi="72 Light" w:cs="72 Light"/>
          <w:sz w:val="24"/>
          <w:szCs w:val="24"/>
          <w:lang w:val="fr-CA"/>
        </w:rPr>
        <w:t>ssemblée</w:t>
      </w:r>
      <w:r w:rsidRPr="007B324D">
        <w:rPr>
          <w:rFonts w:ascii="72 Light" w:hAnsi="72 Light" w:cs="72 Light"/>
          <w:sz w:val="24"/>
          <w:szCs w:val="24"/>
          <w:lang w:val="fr-CA"/>
        </w:rPr>
        <w:t xml:space="preserve"> a demandé au Canada de veiller à ce que tous les ministères utilisent ce document comme guide pour interpréter et mesurer les progrès accomplis dans la mise en œuvre de la DNUDPA. Le Canada doit également se référer aux </w:t>
      </w:r>
      <w:r w:rsidR="00B83759" w:rsidRPr="007B324D">
        <w:rPr>
          <w:rFonts w:ascii="72 Light" w:hAnsi="72 Light" w:cs="72 Light"/>
          <w:sz w:val="24"/>
          <w:szCs w:val="24"/>
          <w:lang w:val="fr-CA"/>
        </w:rPr>
        <w:t xml:space="preserve">mesures du plan d’action </w:t>
      </w:r>
      <w:r w:rsidRPr="007B324D">
        <w:rPr>
          <w:rFonts w:ascii="72 Light" w:hAnsi="72 Light" w:cs="72 Light"/>
          <w:sz w:val="24"/>
          <w:szCs w:val="24"/>
          <w:lang w:val="fr-CA"/>
        </w:rPr>
        <w:t xml:space="preserve">et évaluer </w:t>
      </w:r>
      <w:r w:rsidR="00B83759" w:rsidRPr="007B324D">
        <w:rPr>
          <w:rFonts w:ascii="72 Light" w:hAnsi="72 Light" w:cs="72 Light"/>
          <w:sz w:val="24"/>
          <w:szCs w:val="24"/>
          <w:lang w:val="fr-CA"/>
        </w:rPr>
        <w:t xml:space="preserve">celles-ci </w:t>
      </w:r>
      <w:r w:rsidRPr="007B324D">
        <w:rPr>
          <w:rFonts w:ascii="72 Light" w:hAnsi="72 Light" w:cs="72 Light"/>
          <w:sz w:val="24"/>
          <w:szCs w:val="24"/>
          <w:lang w:val="fr-CA"/>
        </w:rPr>
        <w:t>lorsqu’il fait rapport sur les droits de la personne aux Nations Unies. En</w:t>
      </w:r>
      <w:r w:rsidR="00B83759" w:rsidRPr="007B324D">
        <w:rPr>
          <w:rFonts w:ascii="72 Light" w:hAnsi="72 Light" w:cs="72 Light"/>
          <w:sz w:val="24"/>
          <w:szCs w:val="24"/>
          <w:lang w:val="fr-CA"/>
        </w:rPr>
        <w:t xml:space="preserve"> tissant un lien entre</w:t>
      </w:r>
      <w:r w:rsidRPr="007B324D">
        <w:rPr>
          <w:rFonts w:ascii="72 Light" w:hAnsi="72 Light" w:cs="72 Light"/>
          <w:sz w:val="24"/>
          <w:szCs w:val="24"/>
          <w:lang w:val="fr-CA"/>
        </w:rPr>
        <w:t xml:space="preserve"> ses obligations au titre de la </w:t>
      </w:r>
      <w:r w:rsidR="002D012C" w:rsidRPr="007B324D">
        <w:rPr>
          <w:rFonts w:ascii="72 Light" w:hAnsi="72 Light" w:cs="72 Light"/>
          <w:sz w:val="24"/>
          <w:szCs w:val="24"/>
          <w:lang w:val="fr-CA"/>
        </w:rPr>
        <w:t>L</w:t>
      </w:r>
      <w:r w:rsidRPr="007B324D">
        <w:rPr>
          <w:rFonts w:ascii="72 Light" w:hAnsi="72 Light" w:cs="72 Light"/>
          <w:sz w:val="24"/>
          <w:szCs w:val="24"/>
          <w:lang w:val="fr-CA"/>
        </w:rPr>
        <w:t xml:space="preserve">DNUDPA et les </w:t>
      </w:r>
      <w:r w:rsidR="00B83759" w:rsidRPr="007B324D">
        <w:rPr>
          <w:rFonts w:ascii="72 Light" w:hAnsi="72 Light" w:cs="72 Light"/>
          <w:sz w:val="24"/>
          <w:szCs w:val="24"/>
          <w:lang w:val="fr-CA"/>
        </w:rPr>
        <w:t xml:space="preserve">mesures connexes, et les </w:t>
      </w:r>
      <w:r w:rsidRPr="007B324D">
        <w:rPr>
          <w:rFonts w:ascii="72 Light" w:hAnsi="72 Light" w:cs="72 Light"/>
          <w:sz w:val="24"/>
          <w:szCs w:val="24"/>
          <w:lang w:val="fr-CA"/>
        </w:rPr>
        <w:t xml:space="preserve">thèmes de l’Examen périodique universel, le Canada serait en mesure de montrer </w:t>
      </w:r>
      <w:r w:rsidR="00B83759" w:rsidRPr="007B324D">
        <w:rPr>
          <w:rFonts w:ascii="72 Light" w:hAnsi="72 Light" w:cs="72 Light"/>
          <w:sz w:val="24"/>
          <w:szCs w:val="24"/>
          <w:lang w:val="fr-CA"/>
        </w:rPr>
        <w:t>les</w:t>
      </w:r>
      <w:r w:rsidRPr="007B324D">
        <w:rPr>
          <w:rFonts w:ascii="72 Light" w:hAnsi="72 Light" w:cs="72 Light"/>
          <w:sz w:val="24"/>
          <w:szCs w:val="24"/>
          <w:lang w:val="fr-CA"/>
        </w:rPr>
        <w:t xml:space="preserve"> efforts </w:t>
      </w:r>
      <w:r w:rsidR="00B83759" w:rsidRPr="007B324D">
        <w:rPr>
          <w:rFonts w:ascii="72 Light" w:hAnsi="72 Light" w:cs="72 Light"/>
          <w:sz w:val="24"/>
          <w:szCs w:val="24"/>
          <w:lang w:val="fr-CA"/>
        </w:rPr>
        <w:t xml:space="preserve">faits </w:t>
      </w:r>
      <w:r w:rsidRPr="007B324D">
        <w:rPr>
          <w:rFonts w:ascii="72 Light" w:hAnsi="72 Light" w:cs="72 Light"/>
          <w:sz w:val="24"/>
          <w:szCs w:val="24"/>
          <w:lang w:val="fr-CA"/>
        </w:rPr>
        <w:t xml:space="preserve">pour atteindre les normes mondiales en matière de droits de la personne. </w:t>
      </w:r>
    </w:p>
    <w:p w14:paraId="70B41D39" w14:textId="1F32D294" w:rsidR="003461D6" w:rsidRPr="007B324D" w:rsidRDefault="008C4B3E" w:rsidP="00F62155">
      <w:pPr>
        <w:tabs>
          <w:tab w:val="left" w:pos="3544"/>
        </w:tabs>
        <w:spacing w:before="120" w:line="276" w:lineRule="auto"/>
        <w:ind w:left="0" w:firstLine="0"/>
        <w:jc w:val="both"/>
        <w:rPr>
          <w:rFonts w:ascii="72 Light" w:hAnsi="72 Light" w:cs="72 Light"/>
          <w:i/>
          <w:iCs/>
          <w:color w:val="000000" w:themeColor="text1"/>
          <w:sz w:val="24"/>
          <w:szCs w:val="24"/>
          <w:lang w:val="fr-CA"/>
        </w:rPr>
      </w:pPr>
      <w:r w:rsidRPr="007B324D">
        <w:rPr>
          <w:rFonts w:ascii="72 Light" w:hAnsi="72 Light" w:cs="72 Light"/>
          <w:sz w:val="24"/>
          <w:szCs w:val="24"/>
          <w:lang w:val="fr-CA"/>
        </w:rPr>
        <w:t>L’A</w:t>
      </w:r>
      <w:r w:rsidR="00752B9B" w:rsidRPr="007B324D">
        <w:rPr>
          <w:rFonts w:ascii="72 Light" w:hAnsi="72 Light" w:cs="72 Light"/>
          <w:sz w:val="24"/>
          <w:szCs w:val="24"/>
          <w:lang w:val="fr-CA"/>
        </w:rPr>
        <w:t>ssemblée</w:t>
      </w:r>
      <w:r w:rsidR="00BF3013" w:rsidRPr="007B324D">
        <w:rPr>
          <w:rFonts w:ascii="72 Light" w:hAnsi="72 Light" w:cs="72 Light"/>
          <w:sz w:val="24"/>
          <w:szCs w:val="24"/>
          <w:lang w:val="fr-CA"/>
        </w:rPr>
        <w:t xml:space="preserve"> demande </w:t>
      </w:r>
      <w:r w:rsidR="00B83759" w:rsidRPr="007B324D">
        <w:rPr>
          <w:rFonts w:ascii="72 Light" w:hAnsi="72 Light" w:cs="72 Light"/>
          <w:sz w:val="24"/>
          <w:szCs w:val="24"/>
          <w:lang w:val="fr-CA"/>
        </w:rPr>
        <w:t>aux</w:t>
      </w:r>
      <w:r w:rsidR="00BF3013" w:rsidRPr="007B324D">
        <w:rPr>
          <w:rFonts w:ascii="72 Light" w:hAnsi="72 Light" w:cs="72 Light"/>
          <w:sz w:val="24"/>
          <w:szCs w:val="24"/>
          <w:lang w:val="fr-CA"/>
        </w:rPr>
        <w:t xml:space="preserve"> Nations Unies</w:t>
      </w:r>
      <w:r w:rsidR="00B83759" w:rsidRPr="007B324D">
        <w:rPr>
          <w:rFonts w:ascii="72 Light" w:hAnsi="72 Light" w:cs="72 Light"/>
          <w:sz w:val="24"/>
          <w:szCs w:val="24"/>
          <w:lang w:val="fr-CA"/>
        </w:rPr>
        <w:t>, au moment d’</w:t>
      </w:r>
      <w:r w:rsidR="00BF3013" w:rsidRPr="007B324D">
        <w:rPr>
          <w:rFonts w:ascii="72 Light" w:hAnsi="72 Light" w:cs="72 Light"/>
          <w:sz w:val="24"/>
          <w:szCs w:val="24"/>
          <w:lang w:val="fr-CA"/>
        </w:rPr>
        <w:t xml:space="preserve">évaluer les progrès accomplis par le Canada pour se conformer à ses obligations internationales en matière de droits de la personne, </w:t>
      </w:r>
      <w:r w:rsidR="00B83759" w:rsidRPr="007B324D">
        <w:rPr>
          <w:rFonts w:ascii="72 Light" w:hAnsi="72 Light" w:cs="72 Light"/>
          <w:sz w:val="24"/>
          <w:szCs w:val="24"/>
          <w:lang w:val="fr-CA"/>
        </w:rPr>
        <w:t>d’interpréter</w:t>
      </w:r>
      <w:r w:rsidR="00BF3013" w:rsidRPr="007B324D">
        <w:rPr>
          <w:rFonts w:ascii="72 Light" w:hAnsi="72 Light" w:cs="72 Light"/>
          <w:sz w:val="24"/>
          <w:szCs w:val="24"/>
          <w:lang w:val="fr-CA"/>
        </w:rPr>
        <w:t xml:space="preserve"> la mise en œuvre du plan d’action du Canada dans le cadre de la </w:t>
      </w:r>
      <w:r w:rsidR="002D012C" w:rsidRPr="007B324D">
        <w:rPr>
          <w:rFonts w:ascii="72 Light" w:hAnsi="72 Light" w:cs="72 Light"/>
          <w:sz w:val="24"/>
          <w:szCs w:val="24"/>
          <w:lang w:val="fr-CA"/>
        </w:rPr>
        <w:t>L</w:t>
      </w:r>
      <w:r w:rsidR="00BF3013" w:rsidRPr="007B324D">
        <w:rPr>
          <w:rFonts w:ascii="72 Light" w:hAnsi="72 Light" w:cs="72 Light"/>
          <w:sz w:val="24"/>
          <w:szCs w:val="24"/>
          <w:lang w:val="fr-CA"/>
        </w:rPr>
        <w:t xml:space="preserve">DNUDPA parallèlement à la </w:t>
      </w:r>
      <w:r w:rsidR="00B83759" w:rsidRPr="007B324D">
        <w:rPr>
          <w:rFonts w:ascii="72 Light" w:hAnsi="72 Light" w:cs="72 Light"/>
          <w:sz w:val="24"/>
          <w:szCs w:val="24"/>
          <w:lang w:val="fr-CA"/>
        </w:rPr>
        <w:t>contribution</w:t>
      </w:r>
      <w:r w:rsidR="00BF3013" w:rsidRPr="007B324D">
        <w:rPr>
          <w:rFonts w:ascii="72 Light" w:hAnsi="72 Light" w:cs="72 Light"/>
          <w:sz w:val="24"/>
          <w:szCs w:val="24"/>
          <w:lang w:val="fr-CA"/>
        </w:rPr>
        <w:t xml:space="preserve"> de </w:t>
      </w:r>
      <w:r w:rsidRPr="007B324D">
        <w:rPr>
          <w:rFonts w:ascii="72 Light" w:hAnsi="72 Light" w:cs="72 Light"/>
          <w:sz w:val="24"/>
          <w:szCs w:val="24"/>
          <w:lang w:val="fr-CA"/>
        </w:rPr>
        <w:t>l’Assemblée</w:t>
      </w:r>
      <w:r w:rsidR="00BF3013" w:rsidRPr="007B324D">
        <w:rPr>
          <w:rFonts w:ascii="72 Light" w:hAnsi="72 Light" w:cs="72 Light"/>
          <w:sz w:val="24"/>
          <w:szCs w:val="24"/>
          <w:lang w:val="fr-CA"/>
        </w:rPr>
        <w:t>.</w:t>
      </w:r>
    </w:p>
    <w:p w14:paraId="3724E710" w14:textId="7BF0CD38" w:rsidR="00BF3013" w:rsidRPr="007B324D" w:rsidRDefault="00BF3013" w:rsidP="00F62155">
      <w:pPr>
        <w:tabs>
          <w:tab w:val="left" w:pos="3544"/>
        </w:tabs>
        <w:spacing w:before="120" w:line="276" w:lineRule="auto"/>
        <w:ind w:left="0" w:firstLine="0"/>
        <w:jc w:val="both"/>
        <w:rPr>
          <w:rFonts w:ascii="72 Light" w:hAnsi="72 Light" w:cs="72 Light"/>
          <w:bCs/>
          <w:i/>
          <w:iCs/>
          <w:sz w:val="24"/>
          <w:szCs w:val="24"/>
          <w:lang w:val="fr-CA"/>
        </w:rPr>
      </w:pPr>
      <w:r w:rsidRPr="007B324D">
        <w:rPr>
          <w:rFonts w:ascii="72 Light" w:hAnsi="72 Light" w:cs="72 Light"/>
          <w:bCs/>
          <w:i/>
          <w:iCs/>
          <w:sz w:val="24"/>
          <w:szCs w:val="24"/>
          <w:lang w:val="fr-CA"/>
        </w:rPr>
        <w:t xml:space="preserve">Enfants disparus et tombes et lieux de sépulture non marqués associés aux pensionnats </w:t>
      </w:r>
      <w:r w:rsidR="00752B9B" w:rsidRPr="007B324D">
        <w:rPr>
          <w:rFonts w:ascii="72 Light" w:hAnsi="72 Light" w:cs="72 Light"/>
          <w:bCs/>
          <w:i/>
          <w:iCs/>
          <w:sz w:val="24"/>
          <w:szCs w:val="24"/>
          <w:lang w:val="fr-CA"/>
        </w:rPr>
        <w:t>I</w:t>
      </w:r>
      <w:r w:rsidRPr="007B324D">
        <w:rPr>
          <w:rFonts w:ascii="72 Light" w:hAnsi="72 Light" w:cs="72 Light"/>
          <w:bCs/>
          <w:i/>
          <w:iCs/>
          <w:sz w:val="24"/>
          <w:szCs w:val="24"/>
          <w:lang w:val="fr-CA"/>
        </w:rPr>
        <w:t>ndiens</w:t>
      </w:r>
    </w:p>
    <w:p w14:paraId="13D399C5" w14:textId="7930FBAC" w:rsidR="00BF3013" w:rsidRPr="007B324D" w:rsidRDefault="00BF3013" w:rsidP="00F62155">
      <w:pPr>
        <w:pStyle w:val="paragraph"/>
        <w:tabs>
          <w:tab w:val="left" w:pos="3544"/>
        </w:tabs>
        <w:spacing w:before="120" w:beforeAutospacing="0" w:after="120" w:afterAutospacing="0" w:line="276" w:lineRule="auto"/>
        <w:jc w:val="both"/>
        <w:textAlignment w:val="baseline"/>
        <w:rPr>
          <w:rStyle w:val="eop"/>
          <w:rFonts w:ascii="72 Light" w:hAnsi="72 Light" w:cs="72 Light"/>
          <w:lang w:val="fr-CA"/>
        </w:rPr>
      </w:pPr>
      <w:r w:rsidRPr="007B324D">
        <w:rPr>
          <w:rStyle w:val="eop"/>
          <w:rFonts w:ascii="72 Light" w:hAnsi="72 Light" w:cs="72 Light"/>
          <w:lang w:val="fr-CA"/>
        </w:rPr>
        <w:t xml:space="preserve">Le Canada doit redoubler d’efforts pour protéger les </w:t>
      </w:r>
      <w:r w:rsidR="003461D6" w:rsidRPr="007B324D">
        <w:rPr>
          <w:rStyle w:val="eop"/>
          <w:rFonts w:ascii="72 Light" w:hAnsi="72 Light" w:cs="72 Light"/>
          <w:lang w:val="fr-CA"/>
        </w:rPr>
        <w:t>restes</w:t>
      </w:r>
      <w:r w:rsidRPr="007B324D">
        <w:rPr>
          <w:rStyle w:val="eop"/>
          <w:rFonts w:ascii="72 Light" w:hAnsi="72 Light" w:cs="72 Light"/>
          <w:lang w:val="fr-CA"/>
        </w:rPr>
        <w:t xml:space="preserve"> des enfants des Premières Nations sur les sites des anciens pensionnats. </w:t>
      </w:r>
      <w:r w:rsidR="00A86993" w:rsidRPr="007B324D">
        <w:rPr>
          <w:rStyle w:val="eop"/>
          <w:rFonts w:ascii="72 Light" w:hAnsi="72 Light" w:cs="72 Light"/>
          <w:lang w:val="fr-CA"/>
        </w:rPr>
        <w:t>Il</w:t>
      </w:r>
      <w:r w:rsidRPr="007B324D">
        <w:rPr>
          <w:rStyle w:val="eop"/>
          <w:rFonts w:ascii="72 Light" w:hAnsi="72 Light" w:cs="72 Light"/>
          <w:lang w:val="fr-CA"/>
        </w:rPr>
        <w:t xml:space="preserve"> doit également donner aux Premières Nations les moyens d</w:t>
      </w:r>
      <w:r w:rsidR="003461D6" w:rsidRPr="007B324D">
        <w:rPr>
          <w:rStyle w:val="eop"/>
          <w:rFonts w:ascii="72 Light" w:hAnsi="72 Light" w:cs="72 Light"/>
          <w:lang w:val="fr-CA"/>
        </w:rPr>
        <w:t>’organiser</w:t>
      </w:r>
      <w:r w:rsidRPr="007B324D">
        <w:rPr>
          <w:rStyle w:val="eop"/>
          <w:rFonts w:ascii="72 Light" w:hAnsi="72 Light" w:cs="72 Light"/>
          <w:lang w:val="fr-CA"/>
        </w:rPr>
        <w:t xml:space="preserve"> des cérémonies et de protéger les </w:t>
      </w:r>
      <w:r w:rsidR="003461D6" w:rsidRPr="007B324D">
        <w:rPr>
          <w:rStyle w:val="eop"/>
          <w:rFonts w:ascii="72 Light" w:hAnsi="72 Light" w:cs="72 Light"/>
          <w:lang w:val="fr-CA"/>
        </w:rPr>
        <w:t>restes</w:t>
      </w:r>
      <w:r w:rsidRPr="007B324D">
        <w:rPr>
          <w:rStyle w:val="eop"/>
          <w:rFonts w:ascii="72 Light" w:hAnsi="72 Light" w:cs="72 Light"/>
          <w:lang w:val="fr-CA"/>
        </w:rPr>
        <w:t xml:space="preserve"> </w:t>
      </w:r>
      <w:r w:rsidR="003461D6" w:rsidRPr="007B324D">
        <w:rPr>
          <w:rStyle w:val="eop"/>
          <w:rFonts w:ascii="72 Light" w:hAnsi="72 Light" w:cs="72 Light"/>
          <w:lang w:val="fr-CA"/>
        </w:rPr>
        <w:t xml:space="preserve">humains </w:t>
      </w:r>
      <w:r w:rsidRPr="007B324D">
        <w:rPr>
          <w:rStyle w:val="eop"/>
          <w:rFonts w:ascii="72 Light" w:hAnsi="72 Light" w:cs="72 Light"/>
          <w:lang w:val="fr-CA"/>
        </w:rPr>
        <w:t xml:space="preserve">selon des modalités </w:t>
      </w:r>
      <w:r w:rsidR="003461D6" w:rsidRPr="007B324D">
        <w:rPr>
          <w:rStyle w:val="eop"/>
          <w:rFonts w:ascii="72 Light" w:hAnsi="72 Light" w:cs="72 Light"/>
          <w:lang w:val="fr-CA"/>
        </w:rPr>
        <w:t>propres à</w:t>
      </w:r>
      <w:r w:rsidRPr="007B324D">
        <w:rPr>
          <w:rStyle w:val="eop"/>
          <w:rFonts w:ascii="72 Light" w:hAnsi="72 Light" w:cs="72 Light"/>
          <w:lang w:val="fr-CA"/>
        </w:rPr>
        <w:t xml:space="preserve"> leurs coutumes, </w:t>
      </w:r>
      <w:r w:rsidR="003461D6" w:rsidRPr="007B324D">
        <w:rPr>
          <w:rStyle w:val="eop"/>
          <w:rFonts w:ascii="72 Light" w:hAnsi="72 Light" w:cs="72 Light"/>
          <w:lang w:val="fr-CA"/>
        </w:rPr>
        <w:t>à</w:t>
      </w:r>
      <w:r w:rsidRPr="007B324D">
        <w:rPr>
          <w:rStyle w:val="eop"/>
          <w:rFonts w:ascii="72 Light" w:hAnsi="72 Light" w:cs="72 Light"/>
          <w:lang w:val="fr-CA"/>
        </w:rPr>
        <w:t xml:space="preserve"> leurs croyances et </w:t>
      </w:r>
      <w:r w:rsidR="003461D6" w:rsidRPr="007B324D">
        <w:rPr>
          <w:rStyle w:val="eop"/>
          <w:rFonts w:ascii="72 Light" w:hAnsi="72 Light" w:cs="72 Light"/>
          <w:lang w:val="fr-CA"/>
        </w:rPr>
        <w:t xml:space="preserve">à </w:t>
      </w:r>
      <w:r w:rsidRPr="007B324D">
        <w:rPr>
          <w:rStyle w:val="eop"/>
          <w:rFonts w:ascii="72 Light" w:hAnsi="72 Light" w:cs="72 Light"/>
          <w:lang w:val="fr-CA"/>
        </w:rPr>
        <w:t xml:space="preserve">leurs traditions. Les Premières Nations doivent avoir toute latitude pour déterminer comment et quand les recherches et autres travaux seront effectués. </w:t>
      </w:r>
    </w:p>
    <w:p w14:paraId="2E7A6797" w14:textId="712B0E91" w:rsidR="00BF3013" w:rsidRPr="007B324D" w:rsidRDefault="00BF3013" w:rsidP="00F62155">
      <w:pPr>
        <w:pStyle w:val="paragraph"/>
        <w:tabs>
          <w:tab w:val="left" w:pos="3544"/>
        </w:tabs>
        <w:spacing w:before="120" w:beforeAutospacing="0" w:after="120" w:afterAutospacing="0" w:line="276" w:lineRule="auto"/>
        <w:jc w:val="both"/>
        <w:textAlignment w:val="baseline"/>
        <w:rPr>
          <w:rFonts w:ascii="72 Light" w:hAnsi="72 Light" w:cs="72 Light"/>
          <w:lang w:val="fr-CA"/>
        </w:rPr>
      </w:pPr>
      <w:r w:rsidRPr="007B324D">
        <w:rPr>
          <w:rStyle w:val="eop"/>
          <w:rFonts w:ascii="72 Light" w:hAnsi="72 Light" w:cs="72 Light"/>
          <w:lang w:val="fr-CA"/>
        </w:rPr>
        <w:t xml:space="preserve">Le Canada doit protéger les Premières Nations </w:t>
      </w:r>
      <w:r w:rsidR="003461D6" w:rsidRPr="007B324D">
        <w:rPr>
          <w:rStyle w:val="eop"/>
          <w:rFonts w:ascii="72 Light" w:hAnsi="72 Light" w:cs="72 Light"/>
          <w:lang w:val="fr-CA"/>
        </w:rPr>
        <w:t>des</w:t>
      </w:r>
      <w:r w:rsidRPr="007B324D">
        <w:rPr>
          <w:rStyle w:val="eop"/>
          <w:rFonts w:ascii="72 Light" w:hAnsi="72 Light" w:cs="72 Light"/>
          <w:lang w:val="fr-CA"/>
        </w:rPr>
        <w:t xml:space="preserve"> chercheurs universitaires et </w:t>
      </w:r>
      <w:r w:rsidR="003461D6" w:rsidRPr="007B324D">
        <w:rPr>
          <w:rStyle w:val="eop"/>
          <w:rFonts w:ascii="72 Light" w:hAnsi="72 Light" w:cs="72 Light"/>
          <w:lang w:val="fr-CA"/>
        </w:rPr>
        <w:t>des entreprises privées</w:t>
      </w:r>
      <w:r w:rsidRPr="007B324D">
        <w:rPr>
          <w:rStyle w:val="eop"/>
          <w:rFonts w:ascii="72 Light" w:hAnsi="72 Light" w:cs="72 Light"/>
          <w:lang w:val="fr-CA"/>
        </w:rPr>
        <w:t xml:space="preserve"> qui </w:t>
      </w:r>
      <w:r w:rsidR="003461D6" w:rsidRPr="007B324D">
        <w:rPr>
          <w:rStyle w:val="eop"/>
          <w:rFonts w:ascii="72 Light" w:hAnsi="72 Light" w:cs="72 Light"/>
          <w:lang w:val="fr-CA"/>
        </w:rPr>
        <w:t>tentent d’</w:t>
      </w:r>
      <w:r w:rsidRPr="007B324D">
        <w:rPr>
          <w:rStyle w:val="eop"/>
          <w:rFonts w:ascii="72 Light" w:hAnsi="72 Light" w:cs="72 Light"/>
          <w:lang w:val="fr-CA"/>
        </w:rPr>
        <w:t xml:space="preserve">exploiter les nations </w:t>
      </w:r>
      <w:r w:rsidR="003461D6" w:rsidRPr="007B324D">
        <w:rPr>
          <w:rStyle w:val="eop"/>
          <w:rFonts w:ascii="72 Light" w:hAnsi="72 Light" w:cs="72 Light"/>
          <w:lang w:val="fr-CA"/>
        </w:rPr>
        <w:t>n’ayant</w:t>
      </w:r>
      <w:r w:rsidRPr="007B324D">
        <w:rPr>
          <w:rStyle w:val="eop"/>
          <w:rFonts w:ascii="72 Light" w:hAnsi="72 Light" w:cs="72 Light"/>
          <w:lang w:val="fr-CA"/>
        </w:rPr>
        <w:t xml:space="preserve"> pas les ressources nécessaires pour ramener leurs membres à la maison. </w:t>
      </w:r>
      <w:r w:rsidR="003461D6" w:rsidRPr="007B324D">
        <w:rPr>
          <w:rStyle w:val="eop"/>
          <w:rFonts w:ascii="72 Light" w:hAnsi="72 Light" w:cs="72 Light"/>
          <w:lang w:val="fr-CA"/>
        </w:rPr>
        <w:t>Il</w:t>
      </w:r>
      <w:r w:rsidRPr="007B324D">
        <w:rPr>
          <w:rStyle w:val="eop"/>
          <w:rFonts w:ascii="72 Light" w:hAnsi="72 Light" w:cs="72 Light"/>
          <w:lang w:val="fr-CA"/>
        </w:rPr>
        <w:t xml:space="preserve"> Canada peut soutenir les Premières Nations en les aidant à mettre en place des mécanismes visant à responsabiliser les chercheurs</w:t>
      </w:r>
      <w:r w:rsidR="003461D6" w:rsidRPr="007B324D">
        <w:rPr>
          <w:rStyle w:val="eop"/>
          <w:rFonts w:ascii="72 Light" w:hAnsi="72 Light" w:cs="72 Light"/>
          <w:lang w:val="fr-CA"/>
        </w:rPr>
        <w:t xml:space="preserve"> : </w:t>
      </w:r>
      <w:r w:rsidRPr="007B324D">
        <w:rPr>
          <w:rStyle w:val="eop"/>
          <w:rFonts w:ascii="72 Light" w:hAnsi="72 Light" w:cs="72 Light"/>
          <w:lang w:val="fr-CA"/>
        </w:rPr>
        <w:t xml:space="preserve">conseils et orientations juridiques, accords de gouvernance des données et ressources nécessaires pour protéger le matériel génétique et les récits, qui reflètent </w:t>
      </w:r>
      <w:r w:rsidR="003461D6" w:rsidRPr="007B324D">
        <w:rPr>
          <w:rStyle w:val="eop"/>
          <w:rFonts w:ascii="72 Light" w:hAnsi="72 Light" w:cs="72 Light"/>
          <w:lang w:val="fr-CA"/>
        </w:rPr>
        <w:t>des</w:t>
      </w:r>
      <w:r w:rsidRPr="007B324D">
        <w:rPr>
          <w:rStyle w:val="eop"/>
          <w:rFonts w:ascii="72 Light" w:hAnsi="72 Light" w:cs="72 Light"/>
          <w:lang w:val="fr-CA"/>
        </w:rPr>
        <w:t xml:space="preserve"> coutumes et </w:t>
      </w:r>
      <w:r w:rsidR="003461D6" w:rsidRPr="007B324D">
        <w:rPr>
          <w:rStyle w:val="eop"/>
          <w:rFonts w:ascii="72 Light" w:hAnsi="72 Light" w:cs="72 Light"/>
          <w:lang w:val="fr-CA"/>
        </w:rPr>
        <w:t xml:space="preserve">des </w:t>
      </w:r>
      <w:r w:rsidRPr="007B324D">
        <w:rPr>
          <w:rStyle w:val="eop"/>
          <w:rFonts w:ascii="72 Light" w:hAnsi="72 Light" w:cs="72 Light"/>
          <w:lang w:val="fr-CA"/>
        </w:rPr>
        <w:t>protocoles culturels distincts.</w:t>
      </w:r>
    </w:p>
    <w:p w14:paraId="28E4E360" w14:textId="7BC541CB"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bCs/>
          <w:i/>
          <w:iCs/>
          <w:sz w:val="24"/>
          <w:szCs w:val="24"/>
          <w:lang w:val="fr-CA"/>
        </w:rPr>
        <w:t>Ratification d</w:t>
      </w:r>
      <w:r w:rsidR="00C8163C" w:rsidRPr="007B324D">
        <w:rPr>
          <w:rFonts w:ascii="72 Light" w:hAnsi="72 Light" w:cs="72 Light"/>
          <w:bCs/>
          <w:i/>
          <w:iCs/>
          <w:sz w:val="24"/>
          <w:szCs w:val="24"/>
          <w:lang w:val="fr-CA"/>
        </w:rPr>
        <w:t xml:space="preserve">es </w:t>
      </w:r>
      <w:r w:rsidRPr="007B324D">
        <w:rPr>
          <w:rFonts w:ascii="72 Light" w:hAnsi="72 Light" w:cs="72 Light"/>
          <w:bCs/>
          <w:i/>
          <w:iCs/>
          <w:sz w:val="24"/>
          <w:szCs w:val="24"/>
          <w:lang w:val="fr-CA"/>
        </w:rPr>
        <w:t xml:space="preserve">instruments internationaux </w:t>
      </w:r>
      <w:r w:rsidR="003461D6" w:rsidRPr="007B324D">
        <w:rPr>
          <w:rFonts w:ascii="72 Light" w:hAnsi="72 Light" w:cs="72 Light"/>
          <w:bCs/>
          <w:i/>
          <w:iCs/>
          <w:sz w:val="24"/>
          <w:szCs w:val="24"/>
          <w:lang w:val="fr-CA"/>
        </w:rPr>
        <w:t>relatifs aux</w:t>
      </w:r>
      <w:r w:rsidRPr="007B324D">
        <w:rPr>
          <w:rFonts w:ascii="72 Light" w:hAnsi="72 Light" w:cs="72 Light"/>
          <w:bCs/>
          <w:i/>
          <w:iCs/>
          <w:sz w:val="24"/>
          <w:szCs w:val="24"/>
          <w:lang w:val="fr-CA"/>
        </w:rPr>
        <w:t xml:space="preserve"> droits de la personne</w:t>
      </w:r>
      <w:r w:rsidRPr="007B324D">
        <w:rPr>
          <w:rStyle w:val="eop"/>
          <w:rFonts w:ascii="72 Light" w:hAnsi="72 Light" w:cs="72 Light"/>
          <w:sz w:val="24"/>
          <w:szCs w:val="24"/>
          <w:lang w:val="fr-CA"/>
        </w:rPr>
        <w:t> </w:t>
      </w:r>
    </w:p>
    <w:p w14:paraId="6E687D05" w14:textId="70368DF1" w:rsidR="00BF3013" w:rsidRPr="007B324D" w:rsidRDefault="00BF3013" w:rsidP="00F62155">
      <w:pPr>
        <w:tabs>
          <w:tab w:val="left" w:pos="3544"/>
        </w:tabs>
        <w:spacing w:before="120" w:line="276" w:lineRule="auto"/>
        <w:ind w:left="0" w:firstLine="0"/>
        <w:jc w:val="both"/>
        <w:rPr>
          <w:rStyle w:val="normaltextrun"/>
          <w:rFonts w:ascii="72 Light" w:hAnsi="72 Light" w:cs="72 Light"/>
          <w:sz w:val="24"/>
          <w:szCs w:val="24"/>
          <w:lang w:val="fr-CA"/>
        </w:rPr>
      </w:pPr>
      <w:r w:rsidRPr="007B324D">
        <w:rPr>
          <w:rStyle w:val="normaltextrun"/>
          <w:rFonts w:ascii="72 Light" w:hAnsi="72 Light" w:cs="72 Light"/>
          <w:sz w:val="24"/>
          <w:szCs w:val="24"/>
          <w:lang w:val="fr-CA"/>
        </w:rPr>
        <w:lastRenderedPageBreak/>
        <w:t xml:space="preserve">Comme indiqué ci-dessus, la </w:t>
      </w:r>
      <w:r w:rsidR="002D012C" w:rsidRPr="007B324D">
        <w:rPr>
          <w:rStyle w:val="normaltextrun"/>
          <w:rFonts w:ascii="72 Light" w:hAnsi="72 Light" w:cs="72 Light"/>
          <w:sz w:val="24"/>
          <w:szCs w:val="24"/>
          <w:lang w:val="fr-CA"/>
        </w:rPr>
        <w:t>L</w:t>
      </w:r>
      <w:r w:rsidRPr="007B324D">
        <w:rPr>
          <w:rStyle w:val="normaltextrun"/>
          <w:rFonts w:ascii="72 Light" w:hAnsi="72 Light" w:cs="72 Light"/>
          <w:sz w:val="24"/>
          <w:szCs w:val="24"/>
          <w:lang w:val="fr-CA"/>
        </w:rPr>
        <w:t xml:space="preserve">DNUDPA a reçu la sanction royale </w:t>
      </w:r>
      <w:r w:rsidR="003461D6" w:rsidRPr="007B324D">
        <w:rPr>
          <w:rStyle w:val="normaltextrun"/>
          <w:rFonts w:ascii="72 Light" w:hAnsi="72 Light" w:cs="72 Light"/>
          <w:sz w:val="24"/>
          <w:szCs w:val="24"/>
          <w:lang w:val="fr-CA"/>
        </w:rPr>
        <w:t xml:space="preserve">et est entrée en vigueur </w:t>
      </w:r>
      <w:r w:rsidRPr="007B324D">
        <w:rPr>
          <w:rStyle w:val="normaltextrun"/>
          <w:rFonts w:ascii="72 Light" w:hAnsi="72 Light" w:cs="72 Light"/>
          <w:sz w:val="24"/>
          <w:szCs w:val="24"/>
          <w:lang w:val="fr-CA"/>
        </w:rPr>
        <w:t xml:space="preserve">en juin 2021. Il s’agit d’une étape cruciale dans la protection des droits des Premières Nations. </w:t>
      </w:r>
      <w:r w:rsidR="003461D6" w:rsidRPr="007B324D">
        <w:rPr>
          <w:rStyle w:val="normaltextrun"/>
          <w:rFonts w:ascii="72 Light" w:hAnsi="72 Light" w:cs="72 Light"/>
          <w:sz w:val="24"/>
          <w:szCs w:val="24"/>
          <w:lang w:val="fr-CA"/>
        </w:rPr>
        <w:t>Dans</w:t>
      </w:r>
      <w:r w:rsidRPr="007B324D">
        <w:rPr>
          <w:rStyle w:val="normaltextrun"/>
          <w:rFonts w:ascii="72 Light" w:hAnsi="72 Light" w:cs="72 Light"/>
          <w:sz w:val="24"/>
          <w:szCs w:val="24"/>
          <w:lang w:val="fr-CA"/>
        </w:rPr>
        <w:t xml:space="preserve"> l’avenir, </w:t>
      </w:r>
      <w:r w:rsidR="003461D6" w:rsidRPr="007B324D">
        <w:rPr>
          <w:rStyle w:val="normaltextrun"/>
          <w:rFonts w:ascii="72 Light" w:hAnsi="72 Light" w:cs="72 Light"/>
          <w:sz w:val="24"/>
          <w:szCs w:val="24"/>
          <w:lang w:val="fr-CA"/>
        </w:rPr>
        <w:t>la mise en application de l’alinéa 6(2)b), qui oblige le Canada à s’assurer que les peuples autochtones participent activement à l’élaboration des mesures de suivi et des activités ultérieures,</w:t>
      </w:r>
      <w:r w:rsidR="003461D6" w:rsidRPr="007B324D">
        <w:rPr>
          <w:rFonts w:ascii="72 Light" w:hAnsi="72 Light" w:cs="72 Light"/>
          <w:sz w:val="24"/>
          <w:szCs w:val="24"/>
          <w:lang w:val="fr-CA"/>
        </w:rPr>
        <w:t xml:space="preserve"> sera </w:t>
      </w:r>
      <w:r w:rsidRPr="007B324D">
        <w:rPr>
          <w:rFonts w:ascii="72 Light" w:hAnsi="72 Light" w:cs="72 Light"/>
          <w:sz w:val="24"/>
          <w:szCs w:val="24"/>
          <w:lang w:val="fr-CA"/>
        </w:rPr>
        <w:t xml:space="preserve">un </w:t>
      </w:r>
      <w:r w:rsidRPr="007B324D">
        <w:rPr>
          <w:rStyle w:val="normaltextrun"/>
          <w:rFonts w:ascii="72 Light" w:hAnsi="72 Light" w:cs="72 Light"/>
          <w:sz w:val="24"/>
          <w:szCs w:val="24"/>
          <w:lang w:val="fr-CA"/>
        </w:rPr>
        <w:t xml:space="preserve">élément </w:t>
      </w:r>
      <w:r w:rsidR="003461D6" w:rsidRPr="007B324D">
        <w:rPr>
          <w:rStyle w:val="normaltextrun"/>
          <w:rFonts w:ascii="72 Light" w:hAnsi="72 Light" w:cs="72 Light"/>
          <w:sz w:val="24"/>
          <w:szCs w:val="24"/>
          <w:lang w:val="fr-CA"/>
        </w:rPr>
        <w:t>essentiel</w:t>
      </w:r>
      <w:r w:rsidRPr="007B324D">
        <w:rPr>
          <w:rStyle w:val="normaltextrun"/>
          <w:rFonts w:ascii="72 Light" w:hAnsi="72 Light" w:cs="72 Light"/>
          <w:sz w:val="24"/>
          <w:szCs w:val="24"/>
          <w:lang w:val="fr-CA"/>
        </w:rPr>
        <w:t xml:space="preserve"> nécessaire </w:t>
      </w:r>
      <w:r w:rsidR="002D012C" w:rsidRPr="007B324D">
        <w:rPr>
          <w:rStyle w:val="normaltextrun"/>
          <w:rFonts w:ascii="72 Light" w:hAnsi="72 Light" w:cs="72 Light"/>
          <w:sz w:val="24"/>
          <w:szCs w:val="24"/>
          <w:lang w:val="fr-CA"/>
        </w:rPr>
        <w:t xml:space="preserve">à la mesure de </w:t>
      </w:r>
      <w:r w:rsidRPr="007B324D">
        <w:rPr>
          <w:rStyle w:val="normaltextrun"/>
          <w:rFonts w:ascii="72 Light" w:hAnsi="72 Light" w:cs="72 Light"/>
          <w:sz w:val="24"/>
          <w:szCs w:val="24"/>
          <w:lang w:val="fr-CA"/>
        </w:rPr>
        <w:t xml:space="preserve">la qualité de la mise en œuvre de la </w:t>
      </w:r>
      <w:r w:rsidR="002D012C" w:rsidRPr="007B324D">
        <w:rPr>
          <w:rStyle w:val="normaltextrun"/>
          <w:rFonts w:ascii="72 Light" w:hAnsi="72 Light" w:cs="72 Light"/>
          <w:sz w:val="24"/>
          <w:szCs w:val="24"/>
          <w:lang w:val="fr-CA"/>
        </w:rPr>
        <w:t>L</w:t>
      </w:r>
      <w:r w:rsidRPr="007B324D">
        <w:rPr>
          <w:rStyle w:val="normaltextrun"/>
          <w:rFonts w:ascii="72 Light" w:hAnsi="72 Light" w:cs="72 Light"/>
          <w:sz w:val="24"/>
          <w:szCs w:val="24"/>
          <w:lang w:val="fr-CA"/>
        </w:rPr>
        <w:t xml:space="preserve">DNUDPA. </w:t>
      </w:r>
    </w:p>
    <w:p w14:paraId="399111F1" w14:textId="77777777" w:rsidR="00BF3013" w:rsidRPr="007B324D" w:rsidRDefault="00BF3013" w:rsidP="00F62155">
      <w:pPr>
        <w:tabs>
          <w:tab w:val="left" w:pos="3544"/>
        </w:tabs>
        <w:spacing w:before="120" w:line="276" w:lineRule="auto"/>
        <w:ind w:left="0" w:firstLine="0"/>
        <w:jc w:val="both"/>
        <w:rPr>
          <w:rStyle w:val="eop"/>
          <w:rFonts w:ascii="72 Light" w:hAnsi="72 Light" w:cs="72 Light"/>
          <w:sz w:val="24"/>
          <w:szCs w:val="24"/>
          <w:lang w:val="fr-CA"/>
        </w:rPr>
      </w:pPr>
      <w:r w:rsidRPr="007B324D">
        <w:rPr>
          <w:rFonts w:ascii="72 Light" w:hAnsi="72 Light" w:cs="72 Light"/>
          <w:bCs/>
          <w:i/>
          <w:iCs/>
          <w:sz w:val="24"/>
          <w:szCs w:val="24"/>
          <w:lang w:val="fr-CA"/>
        </w:rPr>
        <w:t>Lutte contre les inégalités dans la Loi sur les Indiens</w:t>
      </w:r>
      <w:r w:rsidRPr="007B324D">
        <w:rPr>
          <w:rStyle w:val="eop"/>
          <w:rFonts w:ascii="72 Light" w:hAnsi="72 Light" w:cs="72 Light"/>
          <w:sz w:val="24"/>
          <w:szCs w:val="24"/>
          <w:lang w:val="fr-CA"/>
        </w:rPr>
        <w:t> </w:t>
      </w:r>
    </w:p>
    <w:p w14:paraId="0D6A1E66" w14:textId="29942B4A" w:rsidR="00BF3013" w:rsidRPr="007B324D" w:rsidRDefault="00BF3013" w:rsidP="00F62155">
      <w:pPr>
        <w:tabs>
          <w:tab w:val="left" w:pos="3544"/>
        </w:tabs>
        <w:spacing w:before="120" w:line="276" w:lineRule="auto"/>
        <w:ind w:left="0" w:firstLine="0"/>
        <w:jc w:val="both"/>
        <w:rPr>
          <w:rStyle w:val="normaltextrun"/>
          <w:rFonts w:ascii="72 Light" w:hAnsi="72 Light" w:cs="72 Light"/>
          <w:sz w:val="24"/>
          <w:szCs w:val="24"/>
          <w:lang w:val="fr-CA"/>
        </w:rPr>
      </w:pPr>
      <w:r w:rsidRPr="007B324D">
        <w:rPr>
          <w:rStyle w:val="normaltextrun"/>
          <w:rFonts w:ascii="72 Light" w:hAnsi="72 Light" w:cs="72 Light"/>
          <w:sz w:val="24"/>
          <w:szCs w:val="24"/>
          <w:lang w:val="fr-CA"/>
        </w:rPr>
        <w:t xml:space="preserve">La </w:t>
      </w:r>
      <w:r w:rsidRPr="007B324D">
        <w:rPr>
          <w:rStyle w:val="normaltextrun"/>
          <w:rFonts w:ascii="72 Light" w:hAnsi="72 Light" w:cs="72 Light"/>
          <w:i/>
          <w:iCs/>
          <w:sz w:val="24"/>
          <w:szCs w:val="24"/>
          <w:lang w:val="fr-CA"/>
        </w:rPr>
        <w:t>Loi sur les Indiens</w:t>
      </w:r>
      <w:r w:rsidRPr="007B324D">
        <w:rPr>
          <w:rStyle w:val="normaltextrun"/>
          <w:rFonts w:ascii="72 Light" w:hAnsi="72 Light" w:cs="72 Light"/>
          <w:sz w:val="24"/>
          <w:szCs w:val="24"/>
          <w:lang w:val="fr-CA"/>
        </w:rPr>
        <w:t xml:space="preserve"> est un outil d’assimilation et d’élimination des Premières Nations. Depuis la promulgation de </w:t>
      </w:r>
      <w:r w:rsidR="002D012C" w:rsidRPr="007B324D">
        <w:rPr>
          <w:rStyle w:val="normaltextrun"/>
          <w:rFonts w:ascii="72 Light" w:hAnsi="72 Light" w:cs="72 Light"/>
          <w:sz w:val="24"/>
          <w:szCs w:val="24"/>
          <w:lang w:val="fr-CA"/>
        </w:rPr>
        <w:t xml:space="preserve">cette loi </w:t>
      </w:r>
      <w:r w:rsidRPr="007B324D">
        <w:rPr>
          <w:rStyle w:val="normaltextrun"/>
          <w:rFonts w:ascii="72 Light" w:hAnsi="72 Light" w:cs="72 Light"/>
          <w:sz w:val="24"/>
          <w:szCs w:val="24"/>
          <w:lang w:val="fr-CA"/>
        </w:rPr>
        <w:t xml:space="preserve">en 1876, on l’utilise pour </w:t>
      </w:r>
      <w:r w:rsidR="002D012C" w:rsidRPr="007B324D">
        <w:rPr>
          <w:rStyle w:val="normaltextrun"/>
          <w:rFonts w:ascii="72 Light" w:hAnsi="72 Light" w:cs="72 Light"/>
          <w:sz w:val="24"/>
          <w:szCs w:val="24"/>
          <w:lang w:val="fr-CA"/>
        </w:rPr>
        <w:t>miner</w:t>
      </w:r>
      <w:r w:rsidRPr="007B324D">
        <w:rPr>
          <w:rStyle w:val="normaltextrun"/>
          <w:rFonts w:ascii="72 Light" w:hAnsi="72 Light" w:cs="72 Light"/>
          <w:sz w:val="24"/>
          <w:szCs w:val="24"/>
          <w:lang w:val="fr-CA"/>
        </w:rPr>
        <w:t xml:space="preserve"> les systèmes de parenté et de gouvernance des Premières Nations ainsi que pour restreindre et bafouer les cultures, les traditions, les pratiques et les droits de</w:t>
      </w:r>
      <w:r w:rsidR="002D012C" w:rsidRPr="007B324D">
        <w:rPr>
          <w:rStyle w:val="normaltextrun"/>
          <w:rFonts w:ascii="72 Light" w:hAnsi="72 Light" w:cs="72 Light"/>
          <w:sz w:val="24"/>
          <w:szCs w:val="24"/>
          <w:lang w:val="fr-CA"/>
        </w:rPr>
        <w:t xml:space="preserve"> ces peuples</w:t>
      </w:r>
      <w:r w:rsidRPr="007B324D">
        <w:rPr>
          <w:rStyle w:val="normaltextrun"/>
          <w:rFonts w:ascii="72 Light" w:hAnsi="72 Light" w:cs="72 Light"/>
          <w:sz w:val="24"/>
          <w:szCs w:val="24"/>
          <w:lang w:val="fr-CA"/>
        </w:rPr>
        <w:t xml:space="preserve">. La </w:t>
      </w:r>
      <w:r w:rsidRPr="007B324D">
        <w:rPr>
          <w:rStyle w:val="normaltextrun"/>
          <w:rFonts w:ascii="72 Light" w:hAnsi="72 Light" w:cs="72 Light"/>
          <w:i/>
          <w:iCs/>
          <w:sz w:val="24"/>
          <w:szCs w:val="24"/>
          <w:lang w:val="fr-CA"/>
        </w:rPr>
        <w:t>Loi sur les Indiens</w:t>
      </w:r>
      <w:r w:rsidRPr="007B324D">
        <w:rPr>
          <w:rStyle w:val="normaltextrun"/>
          <w:rFonts w:ascii="72 Light" w:hAnsi="72 Light" w:cs="72 Light"/>
          <w:sz w:val="24"/>
          <w:szCs w:val="24"/>
          <w:lang w:val="fr-CA"/>
        </w:rPr>
        <w:t xml:space="preserve"> a permis la mise en œuvre d’une série de politiques coloniales discriminatoires et génocidaires, notamment le système des pensionnats indiens, la rafle des années soixante, le système de protection de la jeunesse et le système d’éducation des Premières Nations, qui manque cruellement de ressources. </w:t>
      </w:r>
    </w:p>
    <w:p w14:paraId="5FA3DC23" w14:textId="1BEFF3B2" w:rsidR="00BF3013" w:rsidRPr="007B324D" w:rsidRDefault="00BF3013" w:rsidP="00531539">
      <w:pPr>
        <w:tabs>
          <w:tab w:val="left" w:pos="3544"/>
        </w:tabs>
        <w:spacing w:before="120" w:line="276" w:lineRule="auto"/>
        <w:ind w:left="0" w:firstLine="0"/>
        <w:jc w:val="both"/>
        <w:rPr>
          <w:rFonts w:ascii="72 Light" w:hAnsi="72 Light" w:cs="72 Light"/>
          <w:sz w:val="24"/>
          <w:szCs w:val="24"/>
          <w:lang w:val="fr-CA"/>
        </w:rPr>
      </w:pPr>
      <w:r w:rsidRPr="007B324D">
        <w:rPr>
          <w:rStyle w:val="normaltextrun"/>
          <w:rFonts w:ascii="72 Light" w:hAnsi="72 Light" w:cs="72 Light"/>
          <w:sz w:val="24"/>
          <w:szCs w:val="24"/>
          <w:lang w:val="fr-CA"/>
        </w:rPr>
        <w:t xml:space="preserve">La </w:t>
      </w:r>
      <w:r w:rsidRPr="007B324D">
        <w:rPr>
          <w:rStyle w:val="normaltextrun"/>
          <w:rFonts w:ascii="72 Light" w:hAnsi="72 Light" w:cs="72 Light"/>
          <w:i/>
          <w:iCs/>
          <w:sz w:val="24"/>
          <w:szCs w:val="24"/>
          <w:lang w:val="fr-CA"/>
        </w:rPr>
        <w:t>Loi sur les Indiens</w:t>
      </w:r>
      <w:r w:rsidRPr="007B324D">
        <w:rPr>
          <w:rStyle w:val="normaltextrun"/>
          <w:rFonts w:ascii="72 Light" w:hAnsi="72 Light" w:cs="72 Light"/>
          <w:sz w:val="24"/>
          <w:szCs w:val="24"/>
          <w:lang w:val="fr-CA"/>
        </w:rPr>
        <w:t xml:space="preserve"> est fondamentalement incompatible avec les normes juridiques applicables et le droit inhérent à l’autodétermination. Les réformes progressives ne suffisent pas à remédier à cette incohérence. Les effets persistants de la discrimination sexospécifique et de l’émancipation demeurent. En outre, le gouvernement du Canada n’a pas prévu de ressources suffisantes pour que les Premières Nations puissent consulter et mobiliser les membres de leur communauté </w:t>
      </w:r>
      <w:r w:rsidR="00EB5866" w:rsidRPr="007B324D">
        <w:rPr>
          <w:rStyle w:val="normaltextrun"/>
          <w:rFonts w:ascii="72 Light" w:hAnsi="72 Light" w:cs="72 Light"/>
          <w:sz w:val="24"/>
          <w:szCs w:val="24"/>
          <w:lang w:val="fr-CA"/>
        </w:rPr>
        <w:t>relativement à une</w:t>
      </w:r>
      <w:r w:rsidRPr="007B324D">
        <w:rPr>
          <w:rStyle w:val="normaltextrun"/>
          <w:rFonts w:ascii="72 Light" w:hAnsi="72 Light" w:cs="72 Light"/>
          <w:sz w:val="24"/>
          <w:szCs w:val="24"/>
          <w:lang w:val="fr-CA"/>
        </w:rPr>
        <w:t xml:space="preserve"> transition vers l’abandon de la </w:t>
      </w:r>
      <w:r w:rsidRPr="007B324D">
        <w:rPr>
          <w:rStyle w:val="normaltextrun"/>
          <w:rFonts w:ascii="72 Light" w:hAnsi="72 Light" w:cs="72 Light"/>
          <w:i/>
          <w:iCs/>
          <w:sz w:val="24"/>
          <w:szCs w:val="24"/>
          <w:lang w:val="fr-CA"/>
        </w:rPr>
        <w:t>Loi sur les Indiens</w:t>
      </w:r>
      <w:r w:rsidRPr="007B324D">
        <w:rPr>
          <w:rStyle w:val="normaltextrun"/>
          <w:rFonts w:ascii="72 Light" w:hAnsi="72 Light" w:cs="72 Light"/>
          <w:sz w:val="24"/>
          <w:szCs w:val="24"/>
          <w:lang w:val="fr-CA"/>
        </w:rPr>
        <w:t>.</w:t>
      </w:r>
    </w:p>
    <w:p w14:paraId="2C410155" w14:textId="369CC7B8" w:rsidR="00BF3013" w:rsidRPr="007B324D" w:rsidRDefault="00BF3013" w:rsidP="00F62155">
      <w:pPr>
        <w:tabs>
          <w:tab w:val="left" w:pos="3544"/>
        </w:tabs>
        <w:spacing w:before="120" w:line="276" w:lineRule="auto"/>
        <w:ind w:left="0" w:firstLine="0"/>
        <w:jc w:val="both"/>
        <w:rPr>
          <w:rFonts w:ascii="72 Light" w:hAnsi="72 Light" w:cs="72 Light"/>
          <w:b/>
          <w:sz w:val="24"/>
          <w:szCs w:val="24"/>
          <w:lang w:val="fr-CA"/>
        </w:rPr>
      </w:pPr>
      <w:r w:rsidRPr="007B324D">
        <w:rPr>
          <w:rFonts w:ascii="72 Light" w:hAnsi="72 Light" w:cs="72 Light"/>
          <w:b/>
          <w:sz w:val="24"/>
          <w:szCs w:val="24"/>
          <w:lang w:val="fr-CA"/>
        </w:rPr>
        <w:t xml:space="preserve">Initiatives </w:t>
      </w:r>
      <w:r w:rsidRPr="007B324D">
        <w:rPr>
          <w:rStyle w:val="normaltextrun"/>
          <w:rFonts w:ascii="72 Light" w:hAnsi="72 Light" w:cs="72 Light"/>
          <w:b/>
          <w:sz w:val="24"/>
          <w:szCs w:val="24"/>
          <w:lang w:val="fr-CA"/>
        </w:rPr>
        <w:t xml:space="preserve">sociales et </w:t>
      </w:r>
      <w:r w:rsidR="00C8163C" w:rsidRPr="007B324D">
        <w:rPr>
          <w:rStyle w:val="normaltextrun"/>
          <w:rFonts w:ascii="72 Light" w:hAnsi="72 Light" w:cs="72 Light"/>
          <w:b/>
          <w:sz w:val="24"/>
          <w:szCs w:val="24"/>
          <w:lang w:val="fr-CA"/>
        </w:rPr>
        <w:t>de santé</w:t>
      </w:r>
    </w:p>
    <w:p w14:paraId="54DCF2D1" w14:textId="77777777" w:rsidR="00BF3013" w:rsidRPr="007B324D" w:rsidRDefault="00BF3013" w:rsidP="00F62155">
      <w:pPr>
        <w:pStyle w:val="paragraph"/>
        <w:tabs>
          <w:tab w:val="left" w:pos="3544"/>
        </w:tabs>
        <w:spacing w:before="120" w:beforeAutospacing="0" w:after="120" w:afterAutospacing="0" w:line="276" w:lineRule="auto"/>
        <w:jc w:val="both"/>
        <w:textAlignment w:val="baseline"/>
        <w:rPr>
          <w:rStyle w:val="eop"/>
          <w:rFonts w:ascii="72 Light" w:hAnsi="72 Light" w:cs="72 Light"/>
          <w:i/>
          <w:iCs/>
          <w:lang w:val="fr-CA"/>
        </w:rPr>
      </w:pPr>
      <w:r w:rsidRPr="007B324D">
        <w:rPr>
          <w:rStyle w:val="eop"/>
          <w:rFonts w:ascii="72 Light" w:hAnsi="72 Light" w:cs="72 Light"/>
          <w:i/>
          <w:iCs/>
          <w:color w:val="000000"/>
          <w:lang w:val="fr-CA"/>
        </w:rPr>
        <w:t xml:space="preserve">Principe de Jordan </w:t>
      </w:r>
    </w:p>
    <w:p w14:paraId="5A39C9A7" w14:textId="37A6B0B7" w:rsidR="00BF3013" w:rsidRPr="007B324D" w:rsidRDefault="00BF3013" w:rsidP="00F62155">
      <w:pPr>
        <w:pStyle w:val="paragraph"/>
        <w:tabs>
          <w:tab w:val="left" w:pos="3544"/>
        </w:tabs>
        <w:spacing w:before="120" w:beforeAutospacing="0" w:after="120" w:afterAutospacing="0" w:line="276" w:lineRule="auto"/>
        <w:jc w:val="both"/>
        <w:textAlignment w:val="baseline"/>
        <w:rPr>
          <w:rStyle w:val="eop"/>
          <w:rFonts w:ascii="72 Light" w:hAnsi="72 Light" w:cs="72 Light"/>
          <w:color w:val="000000" w:themeColor="text1"/>
          <w:lang w:val="fr-CA"/>
        </w:rPr>
      </w:pPr>
      <w:r w:rsidRPr="007B324D">
        <w:rPr>
          <w:rStyle w:val="eop"/>
          <w:rFonts w:ascii="72 Light" w:hAnsi="72 Light" w:cs="72 Light"/>
          <w:color w:val="000000" w:themeColor="text1"/>
          <w:lang w:val="fr-CA"/>
        </w:rPr>
        <w:t xml:space="preserve">Les commentaires du Canada selon lesquels il met en œuvre toutes les ordonnances du Tribunal canadien des droits de la personne sont exagérés. Plusieurs de ces ordonnances ont été rendues en raison de l’incapacité persistante du Canada à mettre en œuvre correctement le principe de Jordan, et </w:t>
      </w:r>
      <w:r w:rsidR="008C4B3E" w:rsidRPr="007B324D">
        <w:rPr>
          <w:rStyle w:val="eop"/>
          <w:rFonts w:ascii="72 Light" w:hAnsi="72 Light" w:cs="72 Light"/>
          <w:color w:val="000000" w:themeColor="text1"/>
          <w:lang w:val="fr-CA"/>
        </w:rPr>
        <w:t>l’Assemblée</w:t>
      </w:r>
      <w:r w:rsidRPr="007B324D">
        <w:rPr>
          <w:rStyle w:val="eop"/>
          <w:rFonts w:ascii="72 Light" w:hAnsi="72 Light" w:cs="72 Light"/>
          <w:color w:val="000000" w:themeColor="text1"/>
          <w:lang w:val="fr-CA"/>
        </w:rPr>
        <w:t xml:space="preserve"> continue d’entendre parler de</w:t>
      </w:r>
      <w:r w:rsidR="00EB5866" w:rsidRPr="007B324D">
        <w:rPr>
          <w:rStyle w:val="eop"/>
          <w:rFonts w:ascii="72 Light" w:hAnsi="72 Light" w:cs="72 Light"/>
          <w:color w:val="000000" w:themeColor="text1"/>
          <w:lang w:val="fr-CA"/>
        </w:rPr>
        <w:t>s</w:t>
      </w:r>
      <w:r w:rsidRPr="007B324D">
        <w:rPr>
          <w:rStyle w:val="eop"/>
          <w:rFonts w:ascii="72 Light" w:hAnsi="72 Light" w:cs="72 Light"/>
          <w:color w:val="000000" w:themeColor="text1"/>
          <w:lang w:val="fr-CA"/>
        </w:rPr>
        <w:t xml:space="preserve"> difficultés </w:t>
      </w:r>
      <w:r w:rsidR="00EB5866" w:rsidRPr="007B324D">
        <w:rPr>
          <w:rStyle w:val="eop"/>
          <w:rFonts w:ascii="72 Light" w:hAnsi="72 Light" w:cs="72 Light"/>
          <w:color w:val="000000" w:themeColor="text1"/>
          <w:lang w:val="fr-CA"/>
        </w:rPr>
        <w:t xml:space="preserve">du Canada </w:t>
      </w:r>
      <w:r w:rsidRPr="007B324D">
        <w:rPr>
          <w:rStyle w:val="eop"/>
          <w:rFonts w:ascii="72 Light" w:hAnsi="72 Light" w:cs="72 Light"/>
          <w:color w:val="000000" w:themeColor="text1"/>
          <w:lang w:val="fr-CA"/>
        </w:rPr>
        <w:t xml:space="preserve">à </w:t>
      </w:r>
      <w:r w:rsidR="00EB5866" w:rsidRPr="007B324D">
        <w:rPr>
          <w:rStyle w:val="eop"/>
          <w:rFonts w:ascii="72 Light" w:hAnsi="72 Light" w:cs="72 Light"/>
          <w:color w:val="000000" w:themeColor="text1"/>
          <w:lang w:val="fr-CA"/>
        </w:rPr>
        <w:t>mettre</w:t>
      </w:r>
      <w:r w:rsidRPr="007B324D">
        <w:rPr>
          <w:rStyle w:val="eop"/>
          <w:rFonts w:ascii="72 Light" w:hAnsi="72 Light" w:cs="72 Light"/>
          <w:color w:val="000000" w:themeColor="text1"/>
          <w:lang w:val="fr-CA"/>
        </w:rPr>
        <w:t xml:space="preserve"> </w:t>
      </w:r>
      <w:r w:rsidR="00EB5866" w:rsidRPr="007B324D">
        <w:rPr>
          <w:rStyle w:val="eop"/>
          <w:rFonts w:ascii="72 Light" w:hAnsi="72 Light" w:cs="72 Light"/>
          <w:color w:val="000000" w:themeColor="text1"/>
          <w:lang w:val="fr-CA"/>
        </w:rPr>
        <w:t xml:space="preserve">celui-ci </w:t>
      </w:r>
      <w:r w:rsidRPr="007B324D">
        <w:rPr>
          <w:rStyle w:val="eop"/>
          <w:rFonts w:ascii="72 Light" w:hAnsi="72 Light" w:cs="72 Light"/>
          <w:color w:val="000000" w:themeColor="text1"/>
          <w:lang w:val="fr-CA"/>
        </w:rPr>
        <w:t>en œuvre. Bien que l’augmentation des demandes de financement au titre du principe de Jordan</w:t>
      </w:r>
      <w:r w:rsidR="00EB5866" w:rsidRPr="007B324D">
        <w:rPr>
          <w:rStyle w:val="eop"/>
          <w:rFonts w:ascii="72 Light" w:hAnsi="72 Light" w:cs="72 Light"/>
          <w:color w:val="000000" w:themeColor="text1"/>
          <w:lang w:val="fr-CA"/>
        </w:rPr>
        <w:t>,</w:t>
      </w:r>
      <w:r w:rsidRPr="007B324D">
        <w:rPr>
          <w:rStyle w:val="eop"/>
          <w:rFonts w:ascii="72 Light" w:hAnsi="72 Light" w:cs="72 Light"/>
          <w:color w:val="000000" w:themeColor="text1"/>
          <w:lang w:val="fr-CA"/>
        </w:rPr>
        <w:t xml:space="preserve"> entre 2017-2018 et 2021-2022</w:t>
      </w:r>
      <w:r w:rsidR="00EB5866" w:rsidRPr="007B324D">
        <w:rPr>
          <w:rStyle w:val="eop"/>
          <w:rFonts w:ascii="72 Light" w:hAnsi="72 Light" w:cs="72 Light"/>
          <w:color w:val="000000" w:themeColor="text1"/>
          <w:lang w:val="fr-CA"/>
        </w:rPr>
        <w:t>,</w:t>
      </w:r>
      <w:r w:rsidRPr="007B324D">
        <w:rPr>
          <w:rStyle w:val="eop"/>
          <w:rFonts w:ascii="72 Light" w:hAnsi="72 Light" w:cs="72 Light"/>
          <w:color w:val="000000" w:themeColor="text1"/>
          <w:lang w:val="fr-CA"/>
        </w:rPr>
        <w:t xml:space="preserve"> soit substantielle, elle reflète les lacunes systémiques et l’incapacité à répondre aux besoins des enfants des Premières Nations par l’intermédiaire des programmes et services existants prévus à cet effet. </w:t>
      </w:r>
    </w:p>
    <w:p w14:paraId="75F9FBC2" w14:textId="74B4454E" w:rsidR="00BF3013" w:rsidRPr="007B324D" w:rsidRDefault="00BF3013" w:rsidP="00F62155">
      <w:pPr>
        <w:tabs>
          <w:tab w:val="left" w:pos="3544"/>
        </w:tabs>
        <w:spacing w:before="120" w:line="276" w:lineRule="auto"/>
        <w:ind w:left="0" w:firstLine="0"/>
        <w:jc w:val="both"/>
        <w:rPr>
          <w:rFonts w:ascii="72 Light" w:eastAsia="72 Light" w:hAnsi="72 Light" w:cs="72 Light"/>
          <w:sz w:val="24"/>
          <w:szCs w:val="24"/>
          <w:shd w:val="clear" w:color="auto" w:fill="FFFFFF" w:themeFill="background1"/>
          <w:lang w:val="fr-CA"/>
        </w:rPr>
      </w:pPr>
      <w:r w:rsidRPr="007B324D">
        <w:rPr>
          <w:rFonts w:ascii="72 Light" w:hAnsi="72 Light" w:cs="72 Light"/>
          <w:i/>
          <w:iCs/>
          <w:sz w:val="24"/>
          <w:szCs w:val="24"/>
          <w:shd w:val="clear" w:color="auto" w:fill="FFFFFF" w:themeFill="background1"/>
          <w:lang w:val="fr-CA"/>
        </w:rPr>
        <w:t>Loi concernant les enfants, les jeunes et les familles des Premières Nations, des Inuit</w:t>
      </w:r>
      <w:r w:rsidR="00EB5866" w:rsidRPr="007B324D">
        <w:rPr>
          <w:rFonts w:ascii="72 Light" w:hAnsi="72 Light" w:cs="72 Light"/>
          <w:i/>
          <w:iCs/>
          <w:sz w:val="24"/>
          <w:szCs w:val="24"/>
          <w:shd w:val="clear" w:color="auto" w:fill="FFFFFF" w:themeFill="background1"/>
          <w:lang w:val="fr-CA"/>
        </w:rPr>
        <w:t>s</w:t>
      </w:r>
      <w:r w:rsidRPr="007B324D">
        <w:rPr>
          <w:rFonts w:ascii="72 Light" w:hAnsi="72 Light" w:cs="72 Light"/>
          <w:i/>
          <w:iCs/>
          <w:sz w:val="24"/>
          <w:szCs w:val="24"/>
          <w:shd w:val="clear" w:color="auto" w:fill="FFFFFF" w:themeFill="background1"/>
          <w:lang w:val="fr-CA"/>
        </w:rPr>
        <w:t xml:space="preserve"> et des Métis</w:t>
      </w:r>
      <w:r w:rsidRPr="007B324D">
        <w:rPr>
          <w:rFonts w:ascii="72 Light" w:hAnsi="72 Light" w:cs="72 Light"/>
          <w:sz w:val="24"/>
          <w:szCs w:val="24"/>
          <w:shd w:val="clear" w:color="auto" w:fill="FFFFFF" w:themeFill="background1"/>
          <w:lang w:val="fr-CA"/>
        </w:rPr>
        <w:t xml:space="preserve"> </w:t>
      </w:r>
    </w:p>
    <w:p w14:paraId="123C377E" w14:textId="7777D43E" w:rsidR="00BF3013" w:rsidRPr="007B324D" w:rsidRDefault="00BF3013" w:rsidP="00F62155">
      <w:pPr>
        <w:tabs>
          <w:tab w:val="left" w:pos="3544"/>
        </w:tabs>
        <w:spacing w:before="120" w:line="276" w:lineRule="auto"/>
        <w:ind w:left="0" w:firstLine="0"/>
        <w:jc w:val="both"/>
        <w:rPr>
          <w:rFonts w:ascii="72 Light" w:hAnsi="72 Light" w:cs="72 Light"/>
          <w:color w:val="000000" w:themeColor="text1"/>
          <w:sz w:val="24"/>
          <w:szCs w:val="24"/>
          <w:lang w:val="fr-CA"/>
        </w:rPr>
      </w:pPr>
      <w:r w:rsidRPr="007B324D">
        <w:rPr>
          <w:rFonts w:ascii="72 Light" w:hAnsi="72 Light" w:cs="72 Light"/>
          <w:color w:val="000000" w:themeColor="text1"/>
          <w:sz w:val="24"/>
          <w:szCs w:val="24"/>
          <w:lang w:val="fr-CA"/>
        </w:rPr>
        <w:t xml:space="preserve">Si l’élaboration conjointe de la </w:t>
      </w:r>
      <w:r w:rsidR="00EB5866" w:rsidRPr="007B324D">
        <w:rPr>
          <w:rFonts w:ascii="72 Light" w:hAnsi="72 Light" w:cs="72 Light"/>
          <w:color w:val="000000" w:themeColor="text1"/>
          <w:sz w:val="24"/>
          <w:szCs w:val="24"/>
          <w:lang w:val="fr-CA"/>
        </w:rPr>
        <w:t>Loi</w:t>
      </w:r>
      <w:r w:rsidRPr="007B324D">
        <w:rPr>
          <w:rFonts w:ascii="72 Light" w:hAnsi="72 Light" w:cs="72 Light"/>
          <w:color w:val="000000" w:themeColor="text1"/>
          <w:sz w:val="24"/>
          <w:szCs w:val="24"/>
          <w:lang w:val="fr-CA"/>
        </w:rPr>
        <w:t xml:space="preserve"> représente une collaboration importante entre les Premières Nations et le Canada, la contestation constitutionnelle de</w:t>
      </w:r>
      <w:r w:rsidR="00EB5866" w:rsidRPr="007B324D">
        <w:rPr>
          <w:rFonts w:ascii="72 Light" w:hAnsi="72 Light" w:cs="72 Light"/>
          <w:color w:val="000000" w:themeColor="text1"/>
          <w:sz w:val="24"/>
          <w:szCs w:val="24"/>
          <w:lang w:val="fr-CA"/>
        </w:rPr>
        <w:t xml:space="preserve"> cette loi</w:t>
      </w:r>
      <w:r w:rsidRPr="007B324D">
        <w:rPr>
          <w:rFonts w:ascii="72 Light" w:hAnsi="72 Light" w:cs="72 Light"/>
          <w:color w:val="000000" w:themeColor="text1"/>
          <w:sz w:val="24"/>
          <w:szCs w:val="24"/>
          <w:lang w:val="fr-CA"/>
        </w:rPr>
        <w:t xml:space="preserve"> par le gouvernement du Québec, soutenue par plusieurs provinces et territoires, constitue un pas en arrière. De </w:t>
      </w:r>
      <w:r w:rsidRPr="007B324D">
        <w:rPr>
          <w:rFonts w:ascii="72 Light" w:hAnsi="72 Light" w:cs="72 Light"/>
          <w:color w:val="000000" w:themeColor="text1"/>
          <w:sz w:val="24"/>
          <w:szCs w:val="24"/>
          <w:lang w:val="fr-CA"/>
        </w:rPr>
        <w:lastRenderedPageBreak/>
        <w:t xml:space="preserve">nombreuses provinces n’ont toujours pas pris de mesures pour reconnaître la compétence des Premières Nations en matière de bien-être de leurs enfants et de leurs jeunes. </w:t>
      </w:r>
    </w:p>
    <w:p w14:paraId="2B29938C" w14:textId="73C384CD" w:rsidR="00BF3013" w:rsidRPr="007B324D" w:rsidRDefault="00BF3013" w:rsidP="00F62155">
      <w:pPr>
        <w:pStyle w:val="paragraph"/>
        <w:tabs>
          <w:tab w:val="left" w:pos="3544"/>
        </w:tabs>
        <w:spacing w:before="120" w:beforeAutospacing="0" w:after="120" w:afterAutospacing="0" w:line="276" w:lineRule="auto"/>
        <w:jc w:val="both"/>
        <w:textAlignment w:val="baseline"/>
        <w:rPr>
          <w:rStyle w:val="eop"/>
          <w:rFonts w:ascii="72 Light" w:hAnsi="72 Light" w:cs="72 Light"/>
          <w:color w:val="000000" w:themeColor="text1"/>
          <w:lang w:val="fr-CA"/>
        </w:rPr>
      </w:pPr>
      <w:r w:rsidRPr="007B324D">
        <w:rPr>
          <w:rStyle w:val="normaltextrun"/>
          <w:rFonts w:ascii="72 Light" w:hAnsi="72 Light" w:cs="72 Light"/>
          <w:color w:val="000000" w:themeColor="text1"/>
          <w:lang w:val="fr-CA"/>
        </w:rPr>
        <w:t>En</w:t>
      </w:r>
      <w:r w:rsidR="00EB5866" w:rsidRPr="007B324D">
        <w:rPr>
          <w:rStyle w:val="normaltextrun"/>
          <w:rFonts w:ascii="72 Light" w:hAnsi="72 Light" w:cs="72 Light"/>
          <w:color w:val="000000" w:themeColor="text1"/>
          <w:lang w:val="fr-CA"/>
        </w:rPr>
        <w:t> </w:t>
      </w:r>
      <w:r w:rsidRPr="007B324D">
        <w:rPr>
          <w:rStyle w:val="normaltextrun"/>
          <w:rFonts w:ascii="72 Light" w:hAnsi="72 Light" w:cs="72 Light"/>
          <w:color w:val="000000" w:themeColor="text1"/>
          <w:lang w:val="fr-CA"/>
        </w:rPr>
        <w:t xml:space="preserve">2022, le Canada a annoncé que des accords de principe avaient été conclus pour indemniser les personnes victimes de discrimination en raison du sous-financement des services à l’enfance et à la famille et du principe de Jordan, ainsi que </w:t>
      </w:r>
      <w:r w:rsidR="00EB5866" w:rsidRPr="007B324D">
        <w:rPr>
          <w:rStyle w:val="normaltextrun"/>
          <w:rFonts w:ascii="72 Light" w:hAnsi="72 Light" w:cs="72 Light"/>
          <w:color w:val="000000" w:themeColor="text1"/>
          <w:lang w:val="fr-CA"/>
        </w:rPr>
        <w:t>pour réformer</w:t>
      </w:r>
      <w:r w:rsidRPr="007B324D">
        <w:rPr>
          <w:rStyle w:val="normaltextrun"/>
          <w:rFonts w:ascii="72 Light" w:hAnsi="72 Light" w:cs="72 Light"/>
          <w:color w:val="000000" w:themeColor="text1"/>
          <w:lang w:val="fr-CA"/>
        </w:rPr>
        <w:t xml:space="preserve"> à long terme</w:t>
      </w:r>
      <w:r w:rsidR="00EB5866" w:rsidRPr="007B324D">
        <w:rPr>
          <w:rStyle w:val="normaltextrun"/>
          <w:rFonts w:ascii="72 Light" w:hAnsi="72 Light" w:cs="72 Light"/>
          <w:color w:val="000000" w:themeColor="text1"/>
          <w:lang w:val="fr-CA"/>
        </w:rPr>
        <w:t xml:space="preserve"> le</w:t>
      </w:r>
      <w:r w:rsidRPr="007B324D">
        <w:rPr>
          <w:rStyle w:val="normaltextrun"/>
          <w:rFonts w:ascii="72 Light" w:hAnsi="72 Light" w:cs="72 Light"/>
          <w:color w:val="000000" w:themeColor="text1"/>
          <w:lang w:val="fr-CA"/>
        </w:rPr>
        <w:t xml:space="preserve"> programme des services à l’enfance et à la famille</w:t>
      </w:r>
      <w:r w:rsidR="00EB5866" w:rsidRPr="007B324D">
        <w:rPr>
          <w:rStyle w:val="normaltextrun"/>
          <w:rFonts w:ascii="72 Light" w:hAnsi="72 Light" w:cs="72 Light"/>
          <w:color w:val="000000" w:themeColor="text1"/>
          <w:lang w:val="fr-CA"/>
        </w:rPr>
        <w:t xml:space="preserve"> de même que</w:t>
      </w:r>
      <w:r w:rsidRPr="007B324D">
        <w:rPr>
          <w:rStyle w:val="normaltextrun"/>
          <w:rFonts w:ascii="72 Light" w:hAnsi="72 Light" w:cs="72 Light"/>
          <w:color w:val="000000" w:themeColor="text1"/>
          <w:lang w:val="fr-CA"/>
        </w:rPr>
        <w:t xml:space="preserve"> </w:t>
      </w:r>
      <w:r w:rsidR="00EB5866" w:rsidRPr="007B324D">
        <w:rPr>
          <w:rStyle w:val="normaltextrun"/>
          <w:rFonts w:ascii="72 Light" w:hAnsi="72 Light" w:cs="72 Light"/>
          <w:color w:val="000000" w:themeColor="text1"/>
          <w:lang w:val="fr-CA"/>
        </w:rPr>
        <w:t>le</w:t>
      </w:r>
      <w:r w:rsidRPr="007B324D">
        <w:rPr>
          <w:rStyle w:val="normaltextrun"/>
          <w:rFonts w:ascii="72 Light" w:hAnsi="72 Light" w:cs="72 Light"/>
          <w:color w:val="000000" w:themeColor="text1"/>
          <w:lang w:val="fr-CA"/>
        </w:rPr>
        <w:t xml:space="preserve"> principe de Jordan. Cela comprend le financement des services de soutien après la majorité, le financement des services de représentation des Premières Nations et l’augmentation du financement de la prévention dans toutes les provinces et au Yukon. </w:t>
      </w:r>
    </w:p>
    <w:p w14:paraId="3CD04250" w14:textId="10D63247" w:rsidR="00BF3013" w:rsidRPr="007B324D" w:rsidRDefault="008C4B3E" w:rsidP="00F62155">
      <w:pPr>
        <w:pStyle w:val="paragraph"/>
        <w:tabs>
          <w:tab w:val="left" w:pos="3544"/>
        </w:tabs>
        <w:spacing w:before="120" w:beforeAutospacing="0" w:after="120" w:afterAutospacing="0" w:line="276" w:lineRule="auto"/>
        <w:jc w:val="both"/>
        <w:textAlignment w:val="baseline"/>
        <w:rPr>
          <w:rFonts w:ascii="72 Light" w:hAnsi="72 Light" w:cs="72 Light"/>
          <w:color w:val="000000" w:themeColor="text1"/>
          <w:lang w:val="fr-CA"/>
        </w:rPr>
      </w:pPr>
      <w:r w:rsidRPr="007B324D">
        <w:rPr>
          <w:rFonts w:ascii="72 Light" w:hAnsi="72 Light" w:cs="72 Light"/>
          <w:color w:val="000000" w:themeColor="text1"/>
          <w:lang w:val="fr-CA"/>
        </w:rPr>
        <w:t>L’A</w:t>
      </w:r>
      <w:r w:rsidR="00CE74D1" w:rsidRPr="007B324D">
        <w:rPr>
          <w:rFonts w:ascii="72 Light" w:hAnsi="72 Light" w:cs="72 Light"/>
          <w:color w:val="000000" w:themeColor="text1"/>
          <w:lang w:val="fr-CA"/>
        </w:rPr>
        <w:t>ssemblée</w:t>
      </w:r>
      <w:r w:rsidR="00BF3013" w:rsidRPr="007B324D">
        <w:rPr>
          <w:rFonts w:ascii="72 Light" w:hAnsi="72 Light" w:cs="72 Light"/>
          <w:color w:val="000000" w:themeColor="text1"/>
          <w:lang w:val="fr-CA"/>
        </w:rPr>
        <w:t>, le Canada et les autres parties ont conclu un</w:t>
      </w:r>
      <w:r w:rsidR="00EB5866" w:rsidRPr="007B324D">
        <w:rPr>
          <w:rFonts w:ascii="72 Light" w:hAnsi="72 Light" w:cs="72 Light"/>
          <w:color w:val="000000" w:themeColor="text1"/>
          <w:lang w:val="fr-CA"/>
        </w:rPr>
        <w:t xml:space="preserve"> accord de règlement final</w:t>
      </w:r>
      <w:r w:rsidR="00BF3013" w:rsidRPr="007B324D">
        <w:rPr>
          <w:rFonts w:ascii="72 Light" w:hAnsi="72 Light" w:cs="72 Light"/>
          <w:color w:val="000000" w:themeColor="text1"/>
          <w:lang w:val="fr-CA"/>
        </w:rPr>
        <w:t xml:space="preserve"> sur l’indemnisation en avril</w:t>
      </w:r>
      <w:r w:rsidR="00EB5866" w:rsidRPr="007B324D">
        <w:rPr>
          <w:rFonts w:ascii="72 Light" w:hAnsi="72 Light" w:cs="72 Light"/>
          <w:color w:val="000000" w:themeColor="text1"/>
          <w:lang w:val="fr-CA"/>
        </w:rPr>
        <w:t> </w:t>
      </w:r>
      <w:r w:rsidR="00BF3013" w:rsidRPr="007B324D">
        <w:rPr>
          <w:rFonts w:ascii="72 Light" w:hAnsi="72 Light" w:cs="72 Light"/>
          <w:color w:val="000000" w:themeColor="text1"/>
          <w:lang w:val="fr-CA"/>
        </w:rPr>
        <w:t xml:space="preserve">2023, qui a ensuite été approuvé par </w:t>
      </w:r>
      <w:r w:rsidR="00EB5866" w:rsidRPr="007B324D">
        <w:rPr>
          <w:rFonts w:ascii="72 Light" w:hAnsi="72 Light" w:cs="72 Light"/>
          <w:color w:val="000000" w:themeColor="text1"/>
          <w:lang w:val="fr-CA"/>
        </w:rPr>
        <w:t xml:space="preserve">les </w:t>
      </w:r>
      <w:r w:rsidR="00BF3013" w:rsidRPr="007B324D">
        <w:rPr>
          <w:rFonts w:ascii="72 Light" w:hAnsi="72 Light" w:cs="72 Light"/>
          <w:color w:val="000000" w:themeColor="text1"/>
          <w:lang w:val="fr-CA"/>
        </w:rPr>
        <w:t>Premières Nations</w:t>
      </w:r>
      <w:r w:rsidR="00EB5866" w:rsidRPr="007B324D">
        <w:rPr>
          <w:rFonts w:ascii="72 Light" w:hAnsi="72 Light" w:cs="72 Light"/>
          <w:color w:val="000000" w:themeColor="text1"/>
          <w:lang w:val="fr-CA"/>
        </w:rPr>
        <w:t xml:space="preserve"> en assemblée</w:t>
      </w:r>
      <w:r w:rsidR="00BF3013" w:rsidRPr="007B324D">
        <w:rPr>
          <w:rFonts w:ascii="72 Light" w:hAnsi="72 Light" w:cs="72 Light"/>
          <w:color w:val="000000" w:themeColor="text1"/>
          <w:lang w:val="fr-CA"/>
        </w:rPr>
        <w:t xml:space="preserve">. </w:t>
      </w:r>
    </w:p>
    <w:p w14:paraId="1C8CD5D9" w14:textId="77777777" w:rsidR="00BF3013" w:rsidRPr="007B324D" w:rsidRDefault="00BF3013" w:rsidP="00F62155">
      <w:pPr>
        <w:tabs>
          <w:tab w:val="left" w:pos="3544"/>
        </w:tabs>
        <w:spacing w:before="120" w:line="276" w:lineRule="auto"/>
        <w:jc w:val="both"/>
        <w:rPr>
          <w:rFonts w:ascii="72 Light" w:eastAsia="72 Light" w:hAnsi="72 Light" w:cs="72 Light"/>
          <w:i/>
          <w:iCs/>
          <w:sz w:val="24"/>
          <w:szCs w:val="24"/>
          <w:shd w:val="clear" w:color="auto" w:fill="FFFFFF" w:themeFill="background1"/>
          <w:lang w:val="fr-CA"/>
        </w:rPr>
      </w:pPr>
      <w:r w:rsidRPr="007B324D">
        <w:rPr>
          <w:rFonts w:ascii="72 Light" w:hAnsi="72 Light" w:cs="72 Light"/>
          <w:i/>
          <w:iCs/>
          <w:sz w:val="24"/>
          <w:szCs w:val="24"/>
          <w:shd w:val="clear" w:color="auto" w:fill="FFFFFF" w:themeFill="background1"/>
          <w:lang w:val="fr-CA"/>
        </w:rPr>
        <w:t xml:space="preserve">Eau potable et eaux usées </w:t>
      </w:r>
    </w:p>
    <w:p w14:paraId="61F4B70D" w14:textId="628476A7" w:rsidR="00BF3013" w:rsidRPr="007B324D" w:rsidRDefault="00BF3013" w:rsidP="00F62155">
      <w:pPr>
        <w:tabs>
          <w:tab w:val="left" w:pos="3544"/>
        </w:tabs>
        <w:spacing w:before="120" w:line="276" w:lineRule="auto"/>
        <w:ind w:left="0" w:firstLine="0"/>
        <w:jc w:val="both"/>
        <w:rPr>
          <w:rFonts w:ascii="72 Light" w:eastAsia="Times New Roman" w:hAnsi="72 Light" w:cs="72 Light"/>
          <w:sz w:val="24"/>
          <w:szCs w:val="24"/>
          <w:lang w:val="fr-CA"/>
        </w:rPr>
      </w:pPr>
      <w:bookmarkStart w:id="6" w:name="_Hlk140750513"/>
      <w:r w:rsidRPr="007B324D">
        <w:rPr>
          <w:rFonts w:ascii="72 Light" w:hAnsi="72 Light" w:cs="72 Light"/>
          <w:sz w:val="24"/>
          <w:szCs w:val="24"/>
          <w:lang w:val="fr-CA"/>
        </w:rPr>
        <w:t xml:space="preserve">Le Canada a </w:t>
      </w:r>
      <w:r w:rsidR="00D940AD" w:rsidRPr="007B324D">
        <w:rPr>
          <w:rFonts w:ascii="72 Light" w:hAnsi="72 Light" w:cs="72 Light"/>
          <w:sz w:val="24"/>
          <w:szCs w:val="24"/>
          <w:lang w:val="fr-CA"/>
        </w:rPr>
        <w:t>progressé</w:t>
      </w:r>
      <w:r w:rsidRPr="007B324D">
        <w:rPr>
          <w:rFonts w:ascii="72 Light" w:hAnsi="72 Light" w:cs="72 Light"/>
          <w:sz w:val="24"/>
          <w:szCs w:val="24"/>
          <w:lang w:val="fr-CA"/>
        </w:rPr>
        <w:t xml:space="preserve"> </w:t>
      </w:r>
      <w:r w:rsidR="00EB5866" w:rsidRPr="007B324D">
        <w:rPr>
          <w:rFonts w:ascii="72 Light" w:hAnsi="72 Light" w:cs="72 Light"/>
          <w:sz w:val="24"/>
          <w:szCs w:val="24"/>
          <w:lang w:val="fr-CA"/>
        </w:rPr>
        <w:t xml:space="preserve">dans les travaux faits </w:t>
      </w:r>
      <w:r w:rsidRPr="007B324D">
        <w:rPr>
          <w:rFonts w:ascii="72 Light" w:hAnsi="72 Light" w:cs="72 Light"/>
          <w:sz w:val="24"/>
          <w:szCs w:val="24"/>
          <w:lang w:val="fr-CA"/>
        </w:rPr>
        <w:t xml:space="preserve">pour s’assurer que les Premières Nations ont accès à de l’eau potable; cependant, </w:t>
      </w:r>
      <w:r w:rsidR="00EB5866" w:rsidRPr="007B324D">
        <w:rPr>
          <w:rFonts w:ascii="72 Light" w:hAnsi="72 Light" w:cs="72 Light"/>
          <w:sz w:val="24"/>
          <w:szCs w:val="24"/>
          <w:lang w:val="fr-CA"/>
        </w:rPr>
        <w:t xml:space="preserve">d’après </w:t>
      </w:r>
      <w:r w:rsidRPr="007B324D">
        <w:rPr>
          <w:rFonts w:ascii="72 Light" w:hAnsi="72 Light" w:cs="72 Light"/>
          <w:sz w:val="24"/>
          <w:szCs w:val="24"/>
          <w:lang w:val="fr-CA"/>
        </w:rPr>
        <w:t xml:space="preserve">Services aux Autochtones Canada (SAC), 29 avis à long terme sur l’eau potable </w:t>
      </w:r>
      <w:r w:rsidR="00EB5866" w:rsidRPr="007B324D">
        <w:rPr>
          <w:rFonts w:ascii="72 Light" w:hAnsi="72 Light" w:cs="72 Light"/>
          <w:sz w:val="24"/>
          <w:szCs w:val="24"/>
          <w:lang w:val="fr-CA"/>
        </w:rPr>
        <w:t>étaient</w:t>
      </w:r>
      <w:r w:rsidRPr="007B324D">
        <w:rPr>
          <w:rFonts w:ascii="72 Light" w:hAnsi="72 Light" w:cs="72 Light"/>
          <w:sz w:val="24"/>
          <w:szCs w:val="24"/>
          <w:lang w:val="fr-CA"/>
        </w:rPr>
        <w:t xml:space="preserve"> toujours en vigueur</w:t>
      </w:r>
      <w:r w:rsidR="00EB5866" w:rsidRPr="007B324D">
        <w:rPr>
          <w:rFonts w:ascii="72 Light" w:hAnsi="72 Light" w:cs="72 Light"/>
          <w:sz w:val="24"/>
          <w:szCs w:val="24"/>
          <w:lang w:val="fr-CA"/>
        </w:rPr>
        <w:t xml:space="preserve"> en juillet 2023</w:t>
      </w:r>
      <w:r w:rsidRPr="007B324D">
        <w:rPr>
          <w:rFonts w:ascii="72 Light" w:hAnsi="72 Light" w:cs="72 Light"/>
          <w:sz w:val="24"/>
          <w:szCs w:val="24"/>
          <w:lang w:val="fr-CA"/>
        </w:rPr>
        <w:t xml:space="preserve">. Le Canada n’a pas respecté son engagement de mettre fin à tous les avis à long terme </w:t>
      </w:r>
      <w:r w:rsidR="00EB5866" w:rsidRPr="007B324D">
        <w:rPr>
          <w:rFonts w:ascii="72 Light" w:hAnsi="72 Light" w:cs="72 Light"/>
          <w:sz w:val="24"/>
          <w:szCs w:val="24"/>
          <w:lang w:val="fr-CA"/>
        </w:rPr>
        <w:t>avant</w:t>
      </w:r>
      <w:r w:rsidRPr="007B324D">
        <w:rPr>
          <w:rFonts w:ascii="72 Light" w:hAnsi="72 Light" w:cs="72 Light"/>
          <w:sz w:val="24"/>
          <w:szCs w:val="24"/>
          <w:lang w:val="fr-CA"/>
        </w:rPr>
        <w:t xml:space="preserve"> le 31 mars 2021. En outre, le Canada ne rend pas compte des avis sur l’eau à court terme</w:t>
      </w:r>
      <w:r w:rsidR="00EB5866" w:rsidRPr="007B324D">
        <w:rPr>
          <w:rFonts w:ascii="72 Light" w:hAnsi="72 Light" w:cs="72 Light"/>
          <w:sz w:val="24"/>
          <w:szCs w:val="24"/>
          <w:lang w:val="fr-CA"/>
        </w:rPr>
        <w:t xml:space="preserve"> récurrents</w:t>
      </w:r>
      <w:r w:rsidRPr="007B324D">
        <w:rPr>
          <w:rFonts w:ascii="72 Light" w:hAnsi="72 Light" w:cs="72 Light"/>
          <w:sz w:val="24"/>
          <w:szCs w:val="24"/>
          <w:lang w:val="fr-CA"/>
        </w:rPr>
        <w:t xml:space="preserve"> (qui peuvent également </w:t>
      </w:r>
      <w:proofErr w:type="gramStart"/>
      <w:r w:rsidRPr="007B324D">
        <w:rPr>
          <w:rFonts w:ascii="72 Light" w:hAnsi="72 Light" w:cs="72 Light"/>
          <w:sz w:val="24"/>
          <w:szCs w:val="24"/>
          <w:lang w:val="fr-CA"/>
        </w:rPr>
        <w:t>avoir</w:t>
      </w:r>
      <w:proofErr w:type="gramEnd"/>
      <w:r w:rsidRPr="007B324D">
        <w:rPr>
          <w:rFonts w:ascii="72 Light" w:hAnsi="72 Light" w:cs="72 Light"/>
          <w:sz w:val="24"/>
          <w:szCs w:val="24"/>
          <w:lang w:val="fr-CA"/>
        </w:rPr>
        <w:t xml:space="preserve"> des répercussions importantes sur la santé et le bien-être des communautés des Premières Nations) ni du nombre de foyers des Premières Nations dont les puits </w:t>
      </w:r>
      <w:r w:rsidR="00D940AD" w:rsidRPr="007B324D">
        <w:rPr>
          <w:rFonts w:ascii="72 Light" w:hAnsi="72 Light" w:cs="72 Light"/>
          <w:sz w:val="24"/>
          <w:szCs w:val="24"/>
          <w:lang w:val="fr-CA"/>
        </w:rPr>
        <w:t xml:space="preserve">et les fosses septiques </w:t>
      </w:r>
      <w:r w:rsidRPr="007B324D">
        <w:rPr>
          <w:rFonts w:ascii="72 Light" w:hAnsi="72 Light" w:cs="72 Light"/>
          <w:sz w:val="24"/>
          <w:szCs w:val="24"/>
          <w:lang w:val="fr-CA"/>
        </w:rPr>
        <w:t>sont compromis</w:t>
      </w:r>
      <w:r w:rsidR="00D940AD" w:rsidRPr="007B324D">
        <w:rPr>
          <w:rFonts w:ascii="72 Light" w:hAnsi="72 Light" w:cs="72 Light"/>
          <w:sz w:val="24"/>
          <w:szCs w:val="24"/>
          <w:lang w:val="fr-CA"/>
        </w:rPr>
        <w:t xml:space="preserve"> et/ou </w:t>
      </w:r>
      <w:r w:rsidRPr="007B324D">
        <w:rPr>
          <w:rFonts w:ascii="72 Light" w:hAnsi="72 Light" w:cs="72 Light"/>
          <w:sz w:val="24"/>
          <w:szCs w:val="24"/>
          <w:lang w:val="fr-CA"/>
        </w:rPr>
        <w:t xml:space="preserve">défaillants. </w:t>
      </w:r>
    </w:p>
    <w:p w14:paraId="041F6A08" w14:textId="6B8F24C4" w:rsidR="00BF3013" w:rsidRPr="007B324D" w:rsidRDefault="00BF3013" w:rsidP="00F62155">
      <w:pPr>
        <w:tabs>
          <w:tab w:val="left" w:pos="3544"/>
        </w:tabs>
        <w:spacing w:before="120" w:line="276" w:lineRule="auto"/>
        <w:ind w:left="0" w:firstLine="0"/>
        <w:jc w:val="both"/>
        <w:rPr>
          <w:rFonts w:ascii="72 Light" w:eastAsia="Times New Roman" w:hAnsi="72 Light" w:cs="72 Light"/>
          <w:sz w:val="24"/>
          <w:szCs w:val="24"/>
          <w:lang w:val="fr-CA"/>
        </w:rPr>
      </w:pPr>
      <w:r w:rsidRPr="007B324D">
        <w:rPr>
          <w:rFonts w:ascii="72 Light" w:hAnsi="72 Light" w:cs="72 Light"/>
          <w:sz w:val="24"/>
          <w:szCs w:val="24"/>
          <w:lang w:val="fr-CA"/>
        </w:rPr>
        <w:t xml:space="preserve">En outre, d’importants problèmes subsistent en ce qui concerne la dotation en personnel des exploitants de stations d’épuration des eaux et des eaux usées. Ces exploitants </w:t>
      </w:r>
      <w:r w:rsidR="007C68B9" w:rsidRPr="007B324D">
        <w:rPr>
          <w:rFonts w:ascii="72 Light" w:hAnsi="72 Light" w:cs="72 Light"/>
          <w:sz w:val="24"/>
          <w:szCs w:val="24"/>
          <w:lang w:val="fr-CA"/>
        </w:rPr>
        <w:t>connaissent</w:t>
      </w:r>
      <w:r w:rsidRPr="007B324D">
        <w:rPr>
          <w:rFonts w:ascii="72 Light" w:hAnsi="72 Light" w:cs="72 Light"/>
          <w:sz w:val="24"/>
          <w:szCs w:val="24"/>
          <w:lang w:val="fr-CA"/>
        </w:rPr>
        <w:t xml:space="preserve"> des risques importants d’épuisement professionnel, exacerbés par le manque d’exploitants </w:t>
      </w:r>
      <w:r w:rsidR="007C68B9" w:rsidRPr="007B324D">
        <w:rPr>
          <w:rFonts w:ascii="72 Light" w:hAnsi="72 Light" w:cs="72 Light"/>
          <w:sz w:val="24"/>
          <w:szCs w:val="24"/>
          <w:lang w:val="fr-CA"/>
        </w:rPr>
        <w:t>aptes à les remplacer</w:t>
      </w:r>
      <w:r w:rsidRPr="007B324D">
        <w:rPr>
          <w:rFonts w:ascii="72 Light" w:hAnsi="72 Light" w:cs="72 Light"/>
          <w:sz w:val="24"/>
          <w:szCs w:val="24"/>
          <w:lang w:val="fr-CA"/>
        </w:rPr>
        <w:t xml:space="preserve">. Les Premières Nations </w:t>
      </w:r>
      <w:r w:rsidR="007C68B9" w:rsidRPr="007B324D">
        <w:rPr>
          <w:rFonts w:ascii="72 Light" w:hAnsi="72 Light" w:cs="72 Light"/>
          <w:sz w:val="24"/>
          <w:szCs w:val="24"/>
          <w:lang w:val="fr-CA"/>
        </w:rPr>
        <w:t>subissent</w:t>
      </w:r>
      <w:r w:rsidRPr="007B324D">
        <w:rPr>
          <w:rFonts w:ascii="72 Light" w:hAnsi="72 Light" w:cs="72 Light"/>
          <w:sz w:val="24"/>
          <w:szCs w:val="24"/>
          <w:lang w:val="fr-CA"/>
        </w:rPr>
        <w:t xml:space="preserve"> également des problèmes de personnel en raison du </w:t>
      </w:r>
      <w:r w:rsidR="007C68B9" w:rsidRPr="007B324D">
        <w:rPr>
          <w:rFonts w:ascii="72 Light" w:hAnsi="72 Light" w:cs="72 Light"/>
          <w:sz w:val="24"/>
          <w:szCs w:val="24"/>
          <w:lang w:val="fr-CA"/>
        </w:rPr>
        <w:t>débauchage</w:t>
      </w:r>
      <w:r w:rsidRPr="007B324D">
        <w:rPr>
          <w:rFonts w:ascii="72 Light" w:hAnsi="72 Light" w:cs="72 Light"/>
          <w:sz w:val="24"/>
          <w:szCs w:val="24"/>
          <w:lang w:val="fr-CA"/>
        </w:rPr>
        <w:t xml:space="preserve"> par les stations d’épuration non autochtones et des disparités salariales entre les stations d’épuration des Premières Nations</w:t>
      </w:r>
      <w:r w:rsidR="007C68B9" w:rsidRPr="007B324D">
        <w:rPr>
          <w:rFonts w:ascii="72 Light" w:hAnsi="72 Light" w:cs="72 Light"/>
          <w:sz w:val="24"/>
          <w:szCs w:val="24"/>
          <w:lang w:val="fr-CA"/>
        </w:rPr>
        <w:t>, où les salaires sont moindres,</w:t>
      </w:r>
      <w:r w:rsidRPr="007B324D">
        <w:rPr>
          <w:rFonts w:ascii="72 Light" w:hAnsi="72 Light" w:cs="72 Light"/>
          <w:sz w:val="24"/>
          <w:szCs w:val="24"/>
          <w:lang w:val="fr-CA"/>
        </w:rPr>
        <w:t xml:space="preserve"> et </w:t>
      </w:r>
      <w:r w:rsidR="007C68B9" w:rsidRPr="007B324D">
        <w:rPr>
          <w:rFonts w:ascii="72 Light" w:hAnsi="72 Light" w:cs="72 Light"/>
          <w:sz w:val="24"/>
          <w:szCs w:val="24"/>
          <w:lang w:val="fr-CA"/>
        </w:rPr>
        <w:t>les autres</w:t>
      </w:r>
      <w:r w:rsidRPr="007B324D">
        <w:rPr>
          <w:rFonts w:ascii="72 Light" w:hAnsi="72 Light" w:cs="72 Light"/>
          <w:sz w:val="24"/>
          <w:szCs w:val="24"/>
          <w:lang w:val="fr-CA"/>
        </w:rPr>
        <w:t xml:space="preserve">. </w:t>
      </w:r>
    </w:p>
    <w:p w14:paraId="4433757F" w14:textId="3BF6BA49" w:rsidR="00BF3013" w:rsidRPr="007B324D" w:rsidRDefault="00BF3013" w:rsidP="00F62155">
      <w:pPr>
        <w:tabs>
          <w:tab w:val="left" w:pos="3544"/>
        </w:tabs>
        <w:spacing w:before="120" w:line="276" w:lineRule="auto"/>
        <w:ind w:left="0" w:firstLine="0"/>
        <w:jc w:val="both"/>
        <w:rPr>
          <w:rFonts w:ascii="72 Light" w:eastAsia="Times New Roman" w:hAnsi="72 Light" w:cs="72 Light"/>
          <w:sz w:val="24"/>
          <w:szCs w:val="24"/>
          <w:lang w:val="fr-CA"/>
        </w:rPr>
      </w:pPr>
      <w:r w:rsidRPr="007B324D">
        <w:rPr>
          <w:rFonts w:ascii="72 Light" w:hAnsi="72 Light" w:cs="72 Light"/>
          <w:sz w:val="24"/>
          <w:szCs w:val="24"/>
          <w:lang w:val="fr-CA"/>
        </w:rPr>
        <w:t>Le financement de l’exploitation et de l’entretien des stations d’épuration de l’eau et des eaux usées s’est quelque peu amélioré, mais la formule de financement obsolète ne couvre toujours pas le coût réel de l’exploitation et de l’entretien de</w:t>
      </w:r>
      <w:r w:rsidR="007C68B9" w:rsidRPr="007B324D">
        <w:rPr>
          <w:rFonts w:ascii="72 Light" w:hAnsi="72 Light" w:cs="72 Light"/>
          <w:sz w:val="24"/>
          <w:szCs w:val="24"/>
          <w:lang w:val="fr-CA"/>
        </w:rPr>
        <w:t xml:space="preserve"> ce</w:t>
      </w:r>
      <w:r w:rsidRPr="007B324D">
        <w:rPr>
          <w:rFonts w:ascii="72 Light" w:hAnsi="72 Light" w:cs="72 Light"/>
          <w:sz w:val="24"/>
          <w:szCs w:val="24"/>
          <w:lang w:val="fr-CA"/>
        </w:rPr>
        <w:t xml:space="preserve">s installations. Il en résulte des défaillances prématurées et des besoins de remplacement accrus. </w:t>
      </w:r>
    </w:p>
    <w:p w14:paraId="052F52A5" w14:textId="1D246B60" w:rsidR="00BF3013" w:rsidRPr="007B324D" w:rsidRDefault="00BF3013" w:rsidP="00F62155">
      <w:pPr>
        <w:tabs>
          <w:tab w:val="left" w:pos="3544"/>
        </w:tabs>
        <w:spacing w:before="120" w:line="276" w:lineRule="auto"/>
        <w:ind w:left="0" w:firstLine="0"/>
        <w:jc w:val="both"/>
        <w:rPr>
          <w:rFonts w:ascii="72 Light" w:eastAsia="Times New Roman" w:hAnsi="72 Light" w:cs="72 Light"/>
          <w:sz w:val="24"/>
          <w:szCs w:val="24"/>
          <w:lang w:val="fr-CA"/>
        </w:rPr>
      </w:pPr>
      <w:r w:rsidRPr="007B324D">
        <w:rPr>
          <w:rFonts w:ascii="72 Light" w:hAnsi="72 Light" w:cs="72 Light"/>
          <w:sz w:val="24"/>
          <w:szCs w:val="24"/>
          <w:lang w:val="fr-CA"/>
        </w:rPr>
        <w:t xml:space="preserve">Les coûts </w:t>
      </w:r>
      <w:r w:rsidR="007C68B9" w:rsidRPr="007B324D">
        <w:rPr>
          <w:rFonts w:ascii="72 Light" w:hAnsi="72 Light" w:cs="72 Light"/>
          <w:sz w:val="24"/>
          <w:szCs w:val="24"/>
          <w:lang w:val="fr-CA"/>
        </w:rPr>
        <w:t>liés à la</w:t>
      </w:r>
      <w:r w:rsidRPr="007B324D">
        <w:rPr>
          <w:rFonts w:ascii="72 Light" w:hAnsi="72 Light" w:cs="72 Light"/>
          <w:sz w:val="24"/>
          <w:szCs w:val="24"/>
          <w:lang w:val="fr-CA"/>
        </w:rPr>
        <w:t xml:space="preserve"> santé </w:t>
      </w:r>
      <w:r w:rsidR="007C68B9" w:rsidRPr="007B324D">
        <w:rPr>
          <w:rFonts w:ascii="72 Light" w:hAnsi="72 Light" w:cs="72 Light"/>
          <w:sz w:val="24"/>
          <w:szCs w:val="24"/>
          <w:lang w:val="fr-CA"/>
        </w:rPr>
        <w:t>causés par</w:t>
      </w:r>
      <w:r w:rsidRPr="007B324D">
        <w:rPr>
          <w:rFonts w:ascii="72 Light" w:hAnsi="72 Light" w:cs="72 Light"/>
          <w:sz w:val="24"/>
          <w:szCs w:val="24"/>
          <w:lang w:val="fr-CA"/>
        </w:rPr>
        <w:t xml:space="preserve"> l’absence d’eau potable sont considérables. </w:t>
      </w:r>
      <w:r w:rsidR="007C68B9" w:rsidRPr="007B324D">
        <w:rPr>
          <w:rFonts w:ascii="72 Light" w:hAnsi="72 Light" w:cs="72 Light"/>
          <w:sz w:val="24"/>
          <w:szCs w:val="24"/>
          <w:lang w:val="fr-CA"/>
        </w:rPr>
        <w:t>L’impossibilité de fournir</w:t>
      </w:r>
      <w:r w:rsidRPr="007B324D">
        <w:rPr>
          <w:rFonts w:ascii="72 Light" w:hAnsi="72 Light" w:cs="72 Light"/>
          <w:sz w:val="24"/>
          <w:szCs w:val="24"/>
          <w:lang w:val="fr-CA"/>
        </w:rPr>
        <w:t xml:space="preserve"> de</w:t>
      </w:r>
      <w:r w:rsidR="007C68B9" w:rsidRPr="007B324D">
        <w:rPr>
          <w:rFonts w:ascii="72 Light" w:hAnsi="72 Light" w:cs="72 Light"/>
          <w:sz w:val="24"/>
          <w:szCs w:val="24"/>
          <w:lang w:val="fr-CA"/>
        </w:rPr>
        <w:t>s</w:t>
      </w:r>
      <w:r w:rsidRPr="007B324D">
        <w:rPr>
          <w:rFonts w:ascii="72 Light" w:hAnsi="72 Light" w:cs="72 Light"/>
          <w:sz w:val="24"/>
          <w:szCs w:val="24"/>
          <w:lang w:val="fr-CA"/>
        </w:rPr>
        <w:t xml:space="preserve"> services d’approvisionnement en eau et d’assainissement </w:t>
      </w:r>
      <w:r w:rsidR="007C68B9" w:rsidRPr="007B324D">
        <w:rPr>
          <w:rFonts w:ascii="72 Light" w:hAnsi="72 Light" w:cs="72 Light"/>
          <w:sz w:val="24"/>
          <w:szCs w:val="24"/>
          <w:lang w:val="fr-CA"/>
        </w:rPr>
        <w:t>sur des terrains équipés</w:t>
      </w:r>
      <w:r w:rsidRPr="007B324D">
        <w:rPr>
          <w:rFonts w:ascii="72 Light" w:hAnsi="72 Light" w:cs="72 Light"/>
          <w:sz w:val="24"/>
          <w:szCs w:val="24"/>
          <w:lang w:val="fr-CA"/>
        </w:rPr>
        <w:t xml:space="preserve"> limite le nombre de nouveaux logements</w:t>
      </w:r>
      <w:r w:rsidR="007C68B9" w:rsidRPr="007B324D">
        <w:rPr>
          <w:rFonts w:ascii="72 Light" w:hAnsi="72 Light" w:cs="72 Light"/>
          <w:sz w:val="24"/>
          <w:szCs w:val="24"/>
          <w:lang w:val="fr-CA"/>
        </w:rPr>
        <w:t xml:space="preserve"> pouvant</w:t>
      </w:r>
      <w:r w:rsidRPr="007B324D">
        <w:rPr>
          <w:rFonts w:ascii="72 Light" w:hAnsi="72 Light" w:cs="72 Light"/>
          <w:sz w:val="24"/>
          <w:szCs w:val="24"/>
          <w:lang w:val="fr-CA"/>
        </w:rPr>
        <w:t xml:space="preserve"> être construits. Cette situation exacerbe la surpopulation et encourage la migration de citoyens des Premières Nations de leurs communautés vers les centres urbains. </w:t>
      </w:r>
      <w:r w:rsidR="007C68B9" w:rsidRPr="007B324D">
        <w:rPr>
          <w:rFonts w:ascii="72 Light" w:hAnsi="72 Light" w:cs="72 Light"/>
          <w:sz w:val="24"/>
          <w:szCs w:val="24"/>
          <w:lang w:val="fr-CA"/>
        </w:rPr>
        <w:t>Elle nuit</w:t>
      </w:r>
      <w:r w:rsidRPr="007B324D">
        <w:rPr>
          <w:rFonts w:ascii="72 Light" w:hAnsi="72 Light" w:cs="72 Light"/>
          <w:sz w:val="24"/>
          <w:szCs w:val="24"/>
          <w:lang w:val="fr-CA"/>
        </w:rPr>
        <w:t xml:space="preserve"> également </w:t>
      </w:r>
      <w:r w:rsidR="007C68B9" w:rsidRPr="007B324D">
        <w:rPr>
          <w:rFonts w:ascii="72 Light" w:hAnsi="72 Light" w:cs="72 Light"/>
          <w:sz w:val="24"/>
          <w:szCs w:val="24"/>
          <w:lang w:val="fr-CA"/>
        </w:rPr>
        <w:t>au</w:t>
      </w:r>
      <w:r w:rsidRPr="007B324D">
        <w:rPr>
          <w:rFonts w:ascii="72 Light" w:hAnsi="72 Light" w:cs="72 Light"/>
          <w:sz w:val="24"/>
          <w:szCs w:val="24"/>
          <w:lang w:val="fr-CA"/>
        </w:rPr>
        <w:t xml:space="preserve"> rapatriement de</w:t>
      </w:r>
      <w:r w:rsidR="007C68B9" w:rsidRPr="007B324D">
        <w:rPr>
          <w:rFonts w:ascii="72 Light" w:hAnsi="72 Light" w:cs="72 Light"/>
          <w:sz w:val="24"/>
          <w:szCs w:val="24"/>
          <w:lang w:val="fr-CA"/>
        </w:rPr>
        <w:t xml:space="preserve"> membres de Premières Nations</w:t>
      </w:r>
      <w:r w:rsidRPr="007B324D">
        <w:rPr>
          <w:rFonts w:ascii="72 Light" w:hAnsi="72 Light" w:cs="72 Light"/>
          <w:sz w:val="24"/>
          <w:szCs w:val="24"/>
          <w:lang w:val="fr-CA"/>
        </w:rPr>
        <w:t xml:space="preserve"> qui </w:t>
      </w:r>
      <w:r w:rsidR="007C68B9" w:rsidRPr="007B324D">
        <w:rPr>
          <w:rFonts w:ascii="72 Light" w:hAnsi="72 Light" w:cs="72 Light"/>
          <w:sz w:val="24"/>
          <w:szCs w:val="24"/>
          <w:lang w:val="fr-CA"/>
        </w:rPr>
        <w:t>souhaiteraient</w:t>
      </w:r>
      <w:r w:rsidRPr="007B324D">
        <w:rPr>
          <w:rFonts w:ascii="72 Light" w:hAnsi="72 Light" w:cs="72 Light"/>
          <w:sz w:val="24"/>
          <w:szCs w:val="24"/>
          <w:lang w:val="fr-CA"/>
        </w:rPr>
        <w:t xml:space="preserve"> rentrer chez eux pour accéder à la culture et à la langue. </w:t>
      </w:r>
      <w:r w:rsidR="007C68B9" w:rsidRPr="007B324D">
        <w:rPr>
          <w:rFonts w:ascii="72 Light" w:hAnsi="72 Light" w:cs="72 Light"/>
          <w:sz w:val="24"/>
          <w:szCs w:val="24"/>
          <w:lang w:val="fr-CA"/>
        </w:rPr>
        <w:lastRenderedPageBreak/>
        <w:t xml:space="preserve">L’absence d’un </w:t>
      </w:r>
      <w:r w:rsidRPr="007B324D">
        <w:rPr>
          <w:rFonts w:ascii="72 Light" w:hAnsi="72 Light" w:cs="72 Light"/>
          <w:sz w:val="24"/>
          <w:szCs w:val="24"/>
          <w:lang w:val="fr-CA"/>
        </w:rPr>
        <w:t xml:space="preserve">approvisionnement en eau adéquat </w:t>
      </w:r>
      <w:r w:rsidR="007C68B9" w:rsidRPr="007B324D">
        <w:rPr>
          <w:rFonts w:ascii="72 Light" w:hAnsi="72 Light" w:cs="72 Light"/>
          <w:sz w:val="24"/>
          <w:szCs w:val="24"/>
          <w:lang w:val="fr-CA"/>
        </w:rPr>
        <w:t>et</w:t>
      </w:r>
      <w:r w:rsidRPr="007B324D">
        <w:rPr>
          <w:rFonts w:ascii="72 Light" w:hAnsi="72 Light" w:cs="72 Light"/>
          <w:sz w:val="24"/>
          <w:szCs w:val="24"/>
          <w:lang w:val="fr-CA"/>
        </w:rPr>
        <w:t xml:space="preserve"> durable entrave également les possibilités de développement économique des Premières Nations. </w:t>
      </w:r>
    </w:p>
    <w:p w14:paraId="03823EB0" w14:textId="1273672A" w:rsidR="00BF3013" w:rsidRPr="007B324D" w:rsidRDefault="00BF3013" w:rsidP="00F62155">
      <w:pPr>
        <w:tabs>
          <w:tab w:val="left" w:pos="3544"/>
        </w:tabs>
        <w:spacing w:before="120" w:line="276" w:lineRule="auto"/>
        <w:ind w:left="0" w:firstLine="0"/>
        <w:jc w:val="both"/>
        <w:rPr>
          <w:rStyle w:val="eop"/>
          <w:rFonts w:ascii="72 Light" w:hAnsi="72 Light" w:cs="72 Light"/>
          <w:sz w:val="24"/>
          <w:szCs w:val="24"/>
          <w:lang w:val="fr-CA"/>
        </w:rPr>
      </w:pPr>
      <w:r w:rsidRPr="007B324D">
        <w:rPr>
          <w:rFonts w:ascii="72 Light" w:hAnsi="72 Light" w:cs="72 Light"/>
          <w:sz w:val="24"/>
          <w:szCs w:val="24"/>
          <w:lang w:val="fr-CA"/>
        </w:rPr>
        <w:t xml:space="preserve">Les Premières Nations sont également très désavantagées par le manque de données. Le gouvernement du Canada détient la plupart des données dont les Premières Nations et </w:t>
      </w:r>
      <w:r w:rsidR="008C4B3E" w:rsidRPr="007B324D">
        <w:rPr>
          <w:rFonts w:ascii="72 Light" w:hAnsi="72 Light" w:cs="72 Light"/>
          <w:sz w:val="24"/>
          <w:szCs w:val="24"/>
          <w:lang w:val="fr-CA"/>
        </w:rPr>
        <w:t>l’Assemblée</w:t>
      </w:r>
      <w:r w:rsidRPr="007B324D">
        <w:rPr>
          <w:rFonts w:ascii="72 Light" w:hAnsi="72 Light" w:cs="72 Light"/>
          <w:sz w:val="24"/>
          <w:szCs w:val="24"/>
          <w:lang w:val="fr-CA"/>
        </w:rPr>
        <w:t xml:space="preserve"> ont besoin pour </w:t>
      </w:r>
      <w:r w:rsidR="007C68B9" w:rsidRPr="007B324D">
        <w:rPr>
          <w:rFonts w:ascii="72 Light" w:hAnsi="72 Light" w:cs="72 Light"/>
          <w:sz w:val="24"/>
          <w:szCs w:val="24"/>
          <w:lang w:val="fr-CA"/>
        </w:rPr>
        <w:t>établir des</w:t>
      </w:r>
      <w:r w:rsidRPr="007B324D">
        <w:rPr>
          <w:rFonts w:ascii="72 Light" w:hAnsi="72 Light" w:cs="72 Light"/>
          <w:sz w:val="24"/>
          <w:szCs w:val="24"/>
          <w:lang w:val="fr-CA"/>
        </w:rPr>
        <w:t xml:space="preserve"> coûts exacts et formuler des recommandations. Le Canada refuse souvent de fournir ces données, invoquant des problèmes de confidentialité, mais ne prend aucune mesure pour collaborer avec </w:t>
      </w:r>
      <w:r w:rsidR="008C4B3E" w:rsidRPr="007B324D">
        <w:rPr>
          <w:rFonts w:ascii="72 Light" w:hAnsi="72 Light" w:cs="72 Light"/>
          <w:sz w:val="24"/>
          <w:szCs w:val="24"/>
          <w:lang w:val="fr-CA"/>
        </w:rPr>
        <w:t>l’Assemblée</w:t>
      </w:r>
      <w:r w:rsidRPr="007B324D">
        <w:rPr>
          <w:rFonts w:ascii="72 Light" w:hAnsi="72 Light" w:cs="72 Light"/>
          <w:sz w:val="24"/>
          <w:szCs w:val="24"/>
          <w:lang w:val="fr-CA"/>
        </w:rPr>
        <w:t xml:space="preserve"> afin d’anonymiser </w:t>
      </w:r>
      <w:r w:rsidR="007C68B9" w:rsidRPr="007B324D">
        <w:rPr>
          <w:rFonts w:ascii="72 Light" w:hAnsi="72 Light" w:cs="72 Light"/>
          <w:sz w:val="24"/>
          <w:szCs w:val="24"/>
          <w:lang w:val="fr-CA"/>
        </w:rPr>
        <w:t>c</w:t>
      </w:r>
      <w:r w:rsidRPr="007B324D">
        <w:rPr>
          <w:rFonts w:ascii="72 Light" w:hAnsi="72 Light" w:cs="72 Light"/>
          <w:sz w:val="24"/>
          <w:szCs w:val="24"/>
          <w:lang w:val="fr-CA"/>
        </w:rPr>
        <w:t xml:space="preserve">es données ou d’atténuer les problèmes de confidentialité. </w:t>
      </w:r>
      <w:bookmarkEnd w:id="6"/>
    </w:p>
    <w:p w14:paraId="36ABA900" w14:textId="77777777"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bCs/>
          <w:i/>
          <w:iCs/>
          <w:sz w:val="24"/>
          <w:szCs w:val="24"/>
          <w:lang w:val="fr-CA"/>
        </w:rPr>
        <w:t>Programme d’aide à la gestion des urgences</w:t>
      </w:r>
      <w:r w:rsidRPr="007B324D">
        <w:rPr>
          <w:rStyle w:val="eop"/>
          <w:rFonts w:ascii="72 Light" w:hAnsi="72 Light" w:cs="72 Light"/>
          <w:color w:val="000000"/>
          <w:sz w:val="24"/>
          <w:szCs w:val="24"/>
          <w:lang w:val="fr-CA"/>
        </w:rPr>
        <w:t> </w:t>
      </w:r>
    </w:p>
    <w:p w14:paraId="727F2E47" w14:textId="0092F04C" w:rsidR="00BF3013" w:rsidRPr="007B324D" w:rsidRDefault="00BF3013" w:rsidP="00F62155">
      <w:pPr>
        <w:pStyle w:val="paragraph"/>
        <w:tabs>
          <w:tab w:val="left" w:pos="3544"/>
        </w:tabs>
        <w:spacing w:before="120" w:beforeAutospacing="0" w:after="120" w:afterAutospacing="0" w:line="276" w:lineRule="auto"/>
        <w:jc w:val="both"/>
        <w:textAlignment w:val="baseline"/>
        <w:rPr>
          <w:rStyle w:val="normaltextrun"/>
          <w:rFonts w:ascii="72 Light" w:hAnsi="72 Light" w:cs="72 Light"/>
          <w:color w:val="000000"/>
          <w:lang w:val="fr-CA"/>
        </w:rPr>
      </w:pPr>
      <w:r w:rsidRPr="007B324D">
        <w:rPr>
          <w:rStyle w:val="normaltextrun"/>
          <w:rFonts w:ascii="72 Light" w:hAnsi="72 Light" w:cs="72 Light"/>
          <w:color w:val="000000"/>
          <w:lang w:val="fr-CA"/>
        </w:rPr>
        <w:t>L</w:t>
      </w:r>
      <w:r w:rsidR="00BC0D74" w:rsidRPr="007B324D">
        <w:rPr>
          <w:rStyle w:val="normaltextrun"/>
          <w:rFonts w:ascii="72 Light" w:hAnsi="72 Light" w:cs="72 Light"/>
          <w:color w:val="000000"/>
          <w:lang w:val="fr-CA"/>
        </w:rPr>
        <w:t>a vérificatrice</w:t>
      </w:r>
      <w:r w:rsidRPr="007B324D">
        <w:rPr>
          <w:rStyle w:val="normaltextrun"/>
          <w:rFonts w:ascii="72 Light" w:hAnsi="72 Light" w:cs="72 Light"/>
          <w:color w:val="000000"/>
          <w:lang w:val="fr-CA"/>
        </w:rPr>
        <w:t xml:space="preserve"> général</w:t>
      </w:r>
      <w:r w:rsidR="00BC0D74" w:rsidRPr="007B324D">
        <w:rPr>
          <w:rStyle w:val="normaltextrun"/>
          <w:rFonts w:ascii="72 Light" w:hAnsi="72 Light" w:cs="72 Light"/>
          <w:color w:val="000000"/>
          <w:lang w:val="fr-CA"/>
        </w:rPr>
        <w:t>e</w:t>
      </w:r>
      <w:r w:rsidRPr="007B324D">
        <w:rPr>
          <w:rStyle w:val="normaltextrun"/>
          <w:rFonts w:ascii="72 Light" w:hAnsi="72 Light" w:cs="72 Light"/>
          <w:color w:val="000000"/>
          <w:lang w:val="fr-CA"/>
        </w:rPr>
        <w:t xml:space="preserve"> du Canada a publié un rapport</w:t>
      </w:r>
      <w:r w:rsidR="007C68B9" w:rsidRPr="007B324D">
        <w:rPr>
          <w:rStyle w:val="normaltextrun"/>
          <w:rFonts w:ascii="72 Light" w:hAnsi="72 Light" w:cs="72 Light"/>
          <w:color w:val="000000"/>
          <w:lang w:val="fr-CA"/>
        </w:rPr>
        <w:t>,</w:t>
      </w:r>
      <w:r w:rsidRPr="007B324D">
        <w:rPr>
          <w:rStyle w:val="normaltextrun"/>
          <w:rFonts w:ascii="72 Light" w:hAnsi="72 Light" w:cs="72 Light"/>
          <w:color w:val="000000"/>
          <w:lang w:val="fr-CA"/>
        </w:rPr>
        <w:t xml:space="preserve"> en décembre 2022, selon lequel SAC n</w:t>
      </w:r>
      <w:r w:rsidR="007C68B9" w:rsidRPr="007B324D">
        <w:rPr>
          <w:rStyle w:val="normaltextrun"/>
          <w:rFonts w:ascii="72 Light" w:hAnsi="72 Light" w:cs="72 Light"/>
          <w:color w:val="000000"/>
          <w:lang w:val="fr-CA"/>
        </w:rPr>
        <w:t>’apporte pas</w:t>
      </w:r>
      <w:r w:rsidRPr="007B324D">
        <w:rPr>
          <w:rStyle w:val="normaltextrun"/>
          <w:rFonts w:ascii="72 Light" w:hAnsi="72 Light" w:cs="72 Light"/>
          <w:color w:val="000000"/>
          <w:lang w:val="fr-CA"/>
        </w:rPr>
        <w:t xml:space="preserve"> un soutien adéquat aux Premières Nations pour gérer </w:t>
      </w:r>
      <w:r w:rsidR="007C68B9" w:rsidRPr="007B324D">
        <w:rPr>
          <w:rStyle w:val="normaltextrun"/>
          <w:rFonts w:ascii="72 Light" w:hAnsi="72 Light" w:cs="72 Light"/>
          <w:color w:val="000000"/>
          <w:lang w:val="fr-CA"/>
        </w:rPr>
        <w:t>d</w:t>
      </w:r>
      <w:r w:rsidRPr="007B324D">
        <w:rPr>
          <w:rStyle w:val="normaltextrun"/>
          <w:rFonts w:ascii="72 Light" w:hAnsi="72 Light" w:cs="72 Light"/>
          <w:color w:val="000000"/>
          <w:lang w:val="fr-CA"/>
        </w:rPr>
        <w:t xml:space="preserve">es situations d’urgence telles que les inondations et les incendies de forêt. Ce rapport a révélé que les actions de SAC </w:t>
      </w:r>
      <w:r w:rsidR="007C68B9" w:rsidRPr="007B324D">
        <w:rPr>
          <w:rStyle w:val="normaltextrun"/>
          <w:rFonts w:ascii="72 Light" w:hAnsi="72 Light" w:cs="72 Light"/>
          <w:color w:val="000000"/>
          <w:lang w:val="fr-CA"/>
        </w:rPr>
        <w:t>sont</w:t>
      </w:r>
      <w:r w:rsidRPr="007B324D">
        <w:rPr>
          <w:rStyle w:val="normaltextrun"/>
          <w:rFonts w:ascii="72 Light" w:hAnsi="72 Light" w:cs="72 Light"/>
          <w:color w:val="000000"/>
          <w:lang w:val="fr-CA"/>
        </w:rPr>
        <w:t xml:space="preserve"> plus réactives que préventives et ne permettent pas aux Premières Nations de se doter d’une capacité de gestion des urgences digne de ce nom. </w:t>
      </w:r>
      <w:r w:rsidR="007C68B9" w:rsidRPr="007B324D">
        <w:rPr>
          <w:rStyle w:val="normaltextrun"/>
          <w:rFonts w:ascii="72 Light" w:hAnsi="72 Light" w:cs="72 Light"/>
          <w:color w:val="000000"/>
          <w:lang w:val="fr-CA"/>
        </w:rPr>
        <w:t>Ainsi</w:t>
      </w:r>
      <w:r w:rsidRPr="007B324D">
        <w:rPr>
          <w:rStyle w:val="normaltextrun"/>
          <w:rFonts w:ascii="72 Light" w:hAnsi="72 Light" w:cs="72 Light"/>
          <w:color w:val="000000"/>
          <w:lang w:val="fr-CA"/>
        </w:rPr>
        <w:t xml:space="preserve">, SAC avait un arriéré de 112 projets d’infrastructure admissibles visant à atténuer les répercussions des situations d’urgence que le </w:t>
      </w:r>
      <w:r w:rsidR="007C68B9" w:rsidRPr="007B324D">
        <w:rPr>
          <w:rStyle w:val="normaltextrun"/>
          <w:rFonts w:ascii="72 Light" w:hAnsi="72 Light" w:cs="72 Light"/>
          <w:color w:val="000000"/>
          <w:lang w:val="fr-CA"/>
        </w:rPr>
        <w:t>M</w:t>
      </w:r>
      <w:r w:rsidRPr="007B324D">
        <w:rPr>
          <w:rStyle w:val="normaltextrun"/>
          <w:rFonts w:ascii="72 Light" w:hAnsi="72 Light" w:cs="72 Light"/>
          <w:color w:val="000000"/>
          <w:lang w:val="fr-CA"/>
        </w:rPr>
        <w:t>inistère n’avait pas financé</w:t>
      </w:r>
      <w:r w:rsidR="00884E33" w:rsidRPr="007B324D">
        <w:rPr>
          <w:rStyle w:val="normaltextrun"/>
          <w:rFonts w:ascii="72 Light" w:hAnsi="72 Light" w:cs="72 Light"/>
          <w:color w:val="000000"/>
          <w:lang w:val="fr-CA"/>
        </w:rPr>
        <w:t>es</w:t>
      </w:r>
      <w:r w:rsidRPr="007B324D">
        <w:rPr>
          <w:rStyle w:val="normaltextrun"/>
          <w:rFonts w:ascii="72 Light" w:hAnsi="72 Light" w:cs="72 Light"/>
          <w:color w:val="000000"/>
          <w:lang w:val="fr-CA"/>
        </w:rPr>
        <w:t xml:space="preserve">. </w:t>
      </w:r>
    </w:p>
    <w:p w14:paraId="0FC134ED" w14:textId="0E423ECA" w:rsidR="00BF3013" w:rsidRPr="007B324D" w:rsidRDefault="007C68B9" w:rsidP="00F62155">
      <w:pPr>
        <w:pStyle w:val="paragraph"/>
        <w:tabs>
          <w:tab w:val="left" w:pos="3544"/>
        </w:tabs>
        <w:spacing w:before="120" w:beforeAutospacing="0" w:after="120" w:afterAutospacing="0" w:line="276" w:lineRule="auto"/>
        <w:jc w:val="both"/>
        <w:textAlignment w:val="baseline"/>
        <w:rPr>
          <w:rStyle w:val="eop"/>
          <w:rFonts w:ascii="72 Light" w:eastAsia="MS Mincho" w:hAnsi="72 Light" w:cs="72 Light"/>
          <w:lang w:val="fr-CA"/>
        </w:rPr>
      </w:pPr>
      <w:r w:rsidRPr="007B324D">
        <w:rPr>
          <w:rStyle w:val="normaltextrun"/>
          <w:rFonts w:ascii="72 Light" w:hAnsi="72 Light" w:cs="72 Light"/>
          <w:color w:val="000000"/>
          <w:lang w:val="fr-CA"/>
        </w:rPr>
        <w:t>Il était également indiqué dans l</w:t>
      </w:r>
      <w:r w:rsidR="00BF3013" w:rsidRPr="007B324D">
        <w:rPr>
          <w:rStyle w:val="normaltextrun"/>
          <w:rFonts w:ascii="72 Light" w:hAnsi="72 Light" w:cs="72 Light"/>
          <w:color w:val="000000"/>
          <w:lang w:val="fr-CA"/>
        </w:rPr>
        <w:t>e rapport que SAC dépens</w:t>
      </w:r>
      <w:r w:rsidRPr="007B324D">
        <w:rPr>
          <w:rStyle w:val="normaltextrun"/>
          <w:rFonts w:ascii="72 Light" w:hAnsi="72 Light" w:cs="72 Light"/>
          <w:color w:val="000000"/>
          <w:lang w:val="fr-CA"/>
        </w:rPr>
        <w:t>e</w:t>
      </w:r>
      <w:r w:rsidR="00BF3013" w:rsidRPr="007B324D">
        <w:rPr>
          <w:rStyle w:val="normaltextrun"/>
          <w:rFonts w:ascii="72 Light" w:hAnsi="72 Light" w:cs="72 Light"/>
          <w:color w:val="000000"/>
          <w:lang w:val="fr-CA"/>
        </w:rPr>
        <w:t xml:space="preserve"> beaucoup plus d’argent pour répondre aux urgences que pour investir dans des politiques et des programmes de prévention </w:t>
      </w:r>
      <w:r w:rsidR="00BF3013" w:rsidRPr="007B324D">
        <w:rPr>
          <w:rStyle w:val="eop"/>
          <w:rFonts w:ascii="72 Light" w:hAnsi="72 Light" w:cs="72 Light"/>
          <w:lang w:val="fr-CA"/>
        </w:rPr>
        <w:t>qui renforceraient la résilience et permettraient d’économiser des milliards de dollars. La règle admise en matière de gestion des situations d’urgence est que pour chaque dollar consacré à la prévention</w:t>
      </w:r>
      <w:r w:rsidRPr="007B324D">
        <w:rPr>
          <w:rStyle w:val="eop"/>
          <w:rFonts w:ascii="72 Light" w:hAnsi="72 Light" w:cs="72 Light"/>
          <w:lang w:val="fr-CA"/>
        </w:rPr>
        <w:t xml:space="preserve"> ou à </w:t>
      </w:r>
      <w:r w:rsidR="00BF3013" w:rsidRPr="007B324D">
        <w:rPr>
          <w:rStyle w:val="eop"/>
          <w:rFonts w:ascii="72 Light" w:hAnsi="72 Light" w:cs="72 Light"/>
          <w:lang w:val="fr-CA"/>
        </w:rPr>
        <w:t xml:space="preserve">l’atténuation, le gouvernement </w:t>
      </w:r>
      <w:r w:rsidRPr="007B324D">
        <w:rPr>
          <w:rStyle w:val="eop"/>
          <w:rFonts w:ascii="72 Light" w:hAnsi="72 Light" w:cs="72 Light"/>
          <w:lang w:val="fr-CA"/>
        </w:rPr>
        <w:t>peut</w:t>
      </w:r>
      <w:r w:rsidR="00BF3013" w:rsidRPr="007B324D">
        <w:rPr>
          <w:rStyle w:val="eop"/>
          <w:rFonts w:ascii="72 Light" w:hAnsi="72 Light" w:cs="72 Light"/>
          <w:lang w:val="fr-CA"/>
        </w:rPr>
        <w:t xml:space="preserve"> économiser sept dollars en </w:t>
      </w:r>
      <w:r w:rsidRPr="007B324D">
        <w:rPr>
          <w:rStyle w:val="eop"/>
          <w:rFonts w:ascii="72 Light" w:hAnsi="72 Light" w:cs="72 Light"/>
          <w:lang w:val="fr-CA"/>
        </w:rPr>
        <w:t>intervention</w:t>
      </w:r>
      <w:r w:rsidR="00BF3013" w:rsidRPr="007B324D">
        <w:rPr>
          <w:rStyle w:val="eop"/>
          <w:rFonts w:ascii="72 Light" w:hAnsi="72 Light" w:cs="72 Light"/>
          <w:lang w:val="fr-CA"/>
        </w:rPr>
        <w:t xml:space="preserve">. </w:t>
      </w:r>
      <w:r w:rsidR="00BF3013" w:rsidRPr="007B324D">
        <w:rPr>
          <w:rStyle w:val="normaltextrun"/>
          <w:rFonts w:ascii="72 Light" w:hAnsi="72 Light" w:cs="72 Light"/>
          <w:color w:val="000000"/>
          <w:lang w:val="fr-CA"/>
        </w:rPr>
        <w:t>La vérificatrice générale a également noté que SAC n’a pas apporté les améliorations nécessaires à la gestion des urgences sur la base des recommandations formulées par le vérificateur général en 2013</w:t>
      </w:r>
      <w:r w:rsidR="00BF3013" w:rsidRPr="007B324D">
        <w:rPr>
          <w:rStyle w:val="eop"/>
          <w:rFonts w:ascii="72 Light" w:hAnsi="72 Light" w:cs="72 Light"/>
          <w:lang w:val="fr-CA"/>
        </w:rPr>
        <w:t xml:space="preserve">. </w:t>
      </w:r>
    </w:p>
    <w:p w14:paraId="021810DD" w14:textId="7C8EAD5B" w:rsidR="00BF3013" w:rsidRPr="007B324D" w:rsidRDefault="00BF3013" w:rsidP="00F62155">
      <w:pPr>
        <w:pStyle w:val="paragraph"/>
        <w:tabs>
          <w:tab w:val="left" w:pos="3544"/>
        </w:tabs>
        <w:spacing w:before="120" w:beforeAutospacing="0" w:after="120" w:afterAutospacing="0" w:line="276" w:lineRule="auto"/>
        <w:jc w:val="both"/>
        <w:textAlignment w:val="baseline"/>
        <w:rPr>
          <w:rStyle w:val="eop"/>
          <w:rFonts w:ascii="72 Light" w:eastAsia="MS Mincho" w:hAnsi="72 Light" w:cs="72 Light"/>
          <w:lang w:val="fr-CA"/>
        </w:rPr>
      </w:pPr>
      <w:bookmarkStart w:id="7" w:name="_Hlk141359332"/>
      <w:r w:rsidRPr="007B324D">
        <w:rPr>
          <w:rStyle w:val="eop"/>
          <w:rFonts w:ascii="72 Light" w:hAnsi="72 Light" w:cs="72 Light"/>
          <w:lang w:val="fr-CA"/>
        </w:rPr>
        <w:t xml:space="preserve">Le recours à des programmes fondés sur des propositions, tels que le Programme d’aide à la gestion des urgences, continue de susciter de vives inquiétudes. Ce programme crée un processus qui empêche les Premières Nations d’accéder au financement si elles ne répondent pas aux critères fédéraux </w:t>
      </w:r>
      <w:r w:rsidR="00BC0D74" w:rsidRPr="007B324D">
        <w:rPr>
          <w:rStyle w:val="eop"/>
          <w:rFonts w:ascii="72 Light" w:hAnsi="72 Light" w:cs="72 Light"/>
          <w:lang w:val="fr-CA"/>
        </w:rPr>
        <w:t>du</w:t>
      </w:r>
      <w:r w:rsidRPr="007B324D">
        <w:rPr>
          <w:rStyle w:val="eop"/>
          <w:rFonts w:ascii="72 Light" w:hAnsi="72 Light" w:cs="72 Light"/>
          <w:lang w:val="fr-CA"/>
        </w:rPr>
        <w:t xml:space="preserve"> processus </w:t>
      </w:r>
      <w:r w:rsidR="00BC0D74" w:rsidRPr="007B324D">
        <w:rPr>
          <w:rStyle w:val="eop"/>
          <w:rFonts w:ascii="72 Light" w:hAnsi="72 Light" w:cs="72 Light"/>
          <w:lang w:val="fr-CA"/>
        </w:rPr>
        <w:t xml:space="preserve">d’appel </w:t>
      </w:r>
      <w:r w:rsidRPr="007B324D">
        <w:rPr>
          <w:rStyle w:val="eop"/>
          <w:rFonts w:ascii="72 Light" w:hAnsi="72 Light" w:cs="72 Light"/>
          <w:lang w:val="fr-CA"/>
        </w:rPr>
        <w:t>de proposition</w:t>
      </w:r>
      <w:r w:rsidR="00BC0D74" w:rsidRPr="007B324D">
        <w:rPr>
          <w:rStyle w:val="eop"/>
          <w:rFonts w:ascii="72 Light" w:hAnsi="72 Light" w:cs="72 Light"/>
          <w:lang w:val="fr-CA"/>
        </w:rPr>
        <w:t>s</w:t>
      </w:r>
      <w:r w:rsidRPr="007B324D">
        <w:rPr>
          <w:rStyle w:val="eop"/>
          <w:rFonts w:ascii="72 Light" w:hAnsi="72 Light" w:cs="72 Light"/>
          <w:lang w:val="fr-CA"/>
        </w:rPr>
        <w:t xml:space="preserve">. </w:t>
      </w:r>
      <w:r w:rsidR="00BC0D74" w:rsidRPr="007B324D">
        <w:rPr>
          <w:rStyle w:val="eop"/>
          <w:rFonts w:ascii="72 Light" w:hAnsi="72 Light" w:cs="72 Light"/>
          <w:lang w:val="fr-CA"/>
        </w:rPr>
        <w:t>Ainsi</w:t>
      </w:r>
      <w:r w:rsidRPr="007B324D">
        <w:rPr>
          <w:rStyle w:val="eop"/>
          <w:rFonts w:ascii="72 Light" w:hAnsi="72 Light" w:cs="72 Light"/>
          <w:lang w:val="fr-CA"/>
        </w:rPr>
        <w:t>, l’admissibilité dépend des capacités locales de la Première Nation. Il s’agit d’un</w:t>
      </w:r>
      <w:r w:rsidR="00BC0D74" w:rsidRPr="007B324D">
        <w:rPr>
          <w:rStyle w:val="eop"/>
          <w:rFonts w:ascii="72 Light" w:hAnsi="72 Light" w:cs="72 Light"/>
          <w:lang w:val="fr-CA"/>
        </w:rPr>
        <w:t xml:space="preserve"> enjeu</w:t>
      </w:r>
      <w:r w:rsidRPr="007B324D">
        <w:rPr>
          <w:rStyle w:val="eop"/>
          <w:rFonts w:ascii="72 Light" w:hAnsi="72 Light" w:cs="72 Light"/>
          <w:lang w:val="fr-CA"/>
        </w:rPr>
        <w:t xml:space="preserve"> fondamental</w:t>
      </w:r>
      <w:r w:rsidR="00BC0D74" w:rsidRPr="007B324D">
        <w:rPr>
          <w:rStyle w:val="eop"/>
          <w:rFonts w:ascii="72 Light" w:hAnsi="72 Light" w:cs="72 Light"/>
          <w:lang w:val="fr-CA"/>
        </w:rPr>
        <w:t xml:space="preserve"> lié aux</w:t>
      </w:r>
      <w:r w:rsidRPr="007B324D">
        <w:rPr>
          <w:rStyle w:val="eop"/>
          <w:rFonts w:ascii="72 Light" w:hAnsi="72 Light" w:cs="72 Light"/>
          <w:lang w:val="fr-CA"/>
        </w:rPr>
        <w:t xml:space="preserve"> droits de la personne, car le financement destiné à soutenir les capacités des communautés locales est limité par le gouvernement. Ce programme et ses procédures ne sont pas équitables et doivent être </w:t>
      </w:r>
      <w:r w:rsidR="00BC0D74" w:rsidRPr="007B324D">
        <w:rPr>
          <w:rStyle w:val="eop"/>
          <w:rFonts w:ascii="72 Light" w:hAnsi="72 Light" w:cs="72 Light"/>
          <w:lang w:val="fr-CA"/>
        </w:rPr>
        <w:t>remis en question</w:t>
      </w:r>
      <w:r w:rsidRPr="007B324D">
        <w:rPr>
          <w:rStyle w:val="eop"/>
          <w:rFonts w:ascii="72 Light" w:hAnsi="72 Light" w:cs="72 Light"/>
          <w:lang w:val="fr-CA"/>
        </w:rPr>
        <w:t>. Les systèmes actuels de financement de la gestion des urgences utilisés par le Canada présentent de graves lacunes en</w:t>
      </w:r>
      <w:r w:rsidR="00BC0D74" w:rsidRPr="007B324D">
        <w:rPr>
          <w:rStyle w:val="eop"/>
          <w:rFonts w:ascii="72 Light" w:hAnsi="72 Light" w:cs="72 Light"/>
          <w:lang w:val="fr-CA"/>
        </w:rPr>
        <w:t xml:space="preserve"> ce qui a trait à l</w:t>
      </w:r>
      <w:r w:rsidRPr="007B324D">
        <w:rPr>
          <w:rStyle w:val="eop"/>
          <w:rFonts w:ascii="72 Light" w:hAnsi="72 Light" w:cs="72 Light"/>
          <w:lang w:val="fr-CA"/>
        </w:rPr>
        <w:t xml:space="preserve">’équité et </w:t>
      </w:r>
      <w:r w:rsidR="00BC0D74" w:rsidRPr="007B324D">
        <w:rPr>
          <w:rStyle w:val="eop"/>
          <w:rFonts w:ascii="72 Light" w:hAnsi="72 Light" w:cs="72 Light"/>
          <w:lang w:val="fr-CA"/>
        </w:rPr>
        <w:t>à l</w:t>
      </w:r>
      <w:r w:rsidRPr="007B324D">
        <w:rPr>
          <w:rStyle w:val="eop"/>
          <w:rFonts w:ascii="72 Light" w:hAnsi="72 Light" w:cs="72 Light"/>
          <w:lang w:val="fr-CA"/>
        </w:rPr>
        <w:t>’accessibilité.</w:t>
      </w:r>
    </w:p>
    <w:bookmarkEnd w:id="7"/>
    <w:p w14:paraId="1F7593EE" w14:textId="77777777" w:rsidR="00BF3013" w:rsidRPr="007B324D" w:rsidRDefault="00BF3013" w:rsidP="00F62155">
      <w:pPr>
        <w:tabs>
          <w:tab w:val="left" w:pos="3544"/>
        </w:tabs>
        <w:spacing w:before="120" w:line="276" w:lineRule="auto"/>
        <w:ind w:left="0" w:firstLine="0"/>
        <w:jc w:val="both"/>
        <w:rPr>
          <w:rFonts w:ascii="72 Light" w:hAnsi="72 Light" w:cs="72 Light"/>
          <w:b/>
          <w:sz w:val="24"/>
          <w:szCs w:val="24"/>
          <w:lang w:val="fr-CA"/>
        </w:rPr>
      </w:pPr>
      <w:r w:rsidRPr="007B324D">
        <w:rPr>
          <w:rFonts w:ascii="72 Light" w:hAnsi="72 Light" w:cs="72 Light"/>
          <w:b/>
          <w:sz w:val="24"/>
          <w:szCs w:val="24"/>
          <w:lang w:val="fr-CA"/>
        </w:rPr>
        <w:t xml:space="preserve">Éducation et initiatives </w:t>
      </w:r>
      <w:r w:rsidRPr="007B324D">
        <w:rPr>
          <w:rStyle w:val="normaltextrun"/>
          <w:rFonts w:ascii="72 Light" w:hAnsi="72 Light" w:cs="72 Light"/>
          <w:b/>
          <w:color w:val="000000"/>
          <w:sz w:val="24"/>
          <w:szCs w:val="24"/>
          <w:lang w:val="fr-CA"/>
        </w:rPr>
        <w:t>culturelles</w:t>
      </w:r>
      <w:r w:rsidRPr="007B324D">
        <w:rPr>
          <w:rStyle w:val="eop"/>
          <w:rFonts w:ascii="72 Light" w:hAnsi="72 Light" w:cs="72 Light"/>
          <w:b/>
          <w:color w:val="000000"/>
          <w:sz w:val="24"/>
          <w:szCs w:val="24"/>
          <w:lang w:val="fr-CA"/>
        </w:rPr>
        <w:t> </w:t>
      </w:r>
    </w:p>
    <w:p w14:paraId="7CB8E78D" w14:textId="50F0A5A1" w:rsidR="00BF3013" w:rsidRPr="007B324D" w:rsidRDefault="00BF3013" w:rsidP="00F62155">
      <w:pPr>
        <w:pStyle w:val="paragraph"/>
        <w:tabs>
          <w:tab w:val="left" w:pos="3544"/>
        </w:tabs>
        <w:spacing w:before="120" w:beforeAutospacing="0" w:after="120" w:afterAutospacing="0" w:line="276" w:lineRule="auto"/>
        <w:jc w:val="both"/>
        <w:textAlignment w:val="baseline"/>
        <w:rPr>
          <w:rStyle w:val="cf01"/>
          <w:rFonts w:ascii="72 Light" w:eastAsiaTheme="minorHAnsi" w:hAnsi="72 Light" w:cs="72 Light"/>
          <w:sz w:val="24"/>
          <w:szCs w:val="24"/>
          <w:lang w:val="fr-CA"/>
        </w:rPr>
      </w:pPr>
      <w:r w:rsidRPr="007B324D">
        <w:rPr>
          <w:rStyle w:val="normaltextrun"/>
          <w:rFonts w:ascii="72 Light" w:hAnsi="72 Light" w:cs="72 Light"/>
          <w:lang w:val="fr-CA"/>
        </w:rPr>
        <w:t xml:space="preserve">À partir de 2019, le gouvernement du Canada a élaboré conjointement une nouvelle approche en matière de financement et de politique de l’éducation qui a été mise en œuvre pour mieux répondre aux besoins des élèves des Premières Nations vivant dans les réserves. </w:t>
      </w:r>
      <w:r w:rsidRPr="007B324D">
        <w:rPr>
          <w:rStyle w:val="cf01"/>
          <w:rFonts w:ascii="72 Light" w:eastAsiaTheme="majorEastAsia" w:hAnsi="72 Light" w:cs="72 Light"/>
          <w:sz w:val="24"/>
          <w:szCs w:val="24"/>
          <w:lang w:val="fr-CA"/>
        </w:rPr>
        <w:t xml:space="preserve">À ce jour, </w:t>
      </w:r>
      <w:r w:rsidRPr="007B324D">
        <w:rPr>
          <w:rStyle w:val="cf01"/>
          <w:rFonts w:ascii="72 Light" w:eastAsiaTheme="majorEastAsia" w:hAnsi="72 Light" w:cs="72 Light"/>
          <w:sz w:val="24"/>
          <w:szCs w:val="24"/>
          <w:lang w:val="fr-CA"/>
        </w:rPr>
        <w:lastRenderedPageBreak/>
        <w:t xml:space="preserve">dix ententes régionales en matière d’éducation ont été signées </w:t>
      </w:r>
      <w:r w:rsidR="00FD3EDE" w:rsidRPr="007B324D">
        <w:rPr>
          <w:rStyle w:val="cf01"/>
          <w:rFonts w:ascii="72 Light" w:eastAsiaTheme="majorEastAsia" w:hAnsi="72 Light" w:cs="72 Light"/>
          <w:sz w:val="24"/>
          <w:szCs w:val="24"/>
          <w:lang w:val="fr-CA"/>
        </w:rPr>
        <w:t>relativement à</w:t>
      </w:r>
      <w:r w:rsidRPr="007B324D">
        <w:rPr>
          <w:rStyle w:val="cf01"/>
          <w:rFonts w:ascii="72 Light" w:eastAsiaTheme="majorEastAsia" w:hAnsi="72 Light" w:cs="72 Light"/>
          <w:sz w:val="24"/>
          <w:szCs w:val="24"/>
          <w:lang w:val="fr-CA"/>
        </w:rPr>
        <w:t xml:space="preserve"> 175 communautés. Ces accords prévoient le financement de l’éducation des Premières Nations en fonction des besoins </w:t>
      </w:r>
      <w:r w:rsidR="00FD3EDE" w:rsidRPr="007B324D">
        <w:rPr>
          <w:rStyle w:val="cf01"/>
          <w:rFonts w:ascii="72 Light" w:eastAsiaTheme="majorEastAsia" w:hAnsi="72 Light" w:cs="72 Light"/>
          <w:sz w:val="24"/>
          <w:szCs w:val="24"/>
          <w:lang w:val="fr-CA"/>
        </w:rPr>
        <w:t>établis</w:t>
      </w:r>
      <w:r w:rsidRPr="007B324D">
        <w:rPr>
          <w:rStyle w:val="cf01"/>
          <w:rFonts w:ascii="72 Light" w:eastAsiaTheme="majorEastAsia" w:hAnsi="72 Light" w:cs="72 Light"/>
          <w:sz w:val="24"/>
          <w:szCs w:val="24"/>
          <w:lang w:val="fr-CA"/>
        </w:rPr>
        <w:t xml:space="preserve"> par ces dernières. </w:t>
      </w:r>
    </w:p>
    <w:p w14:paraId="5C98011C" w14:textId="77777777" w:rsidR="00BF3013" w:rsidRPr="007B324D" w:rsidRDefault="00BF3013" w:rsidP="00F62155">
      <w:pPr>
        <w:pStyle w:val="paragraph"/>
        <w:tabs>
          <w:tab w:val="left" w:pos="3544"/>
        </w:tabs>
        <w:spacing w:before="120" w:beforeAutospacing="0" w:after="120" w:afterAutospacing="0" w:line="276" w:lineRule="auto"/>
        <w:jc w:val="both"/>
        <w:textAlignment w:val="baseline"/>
        <w:rPr>
          <w:rFonts w:ascii="72 Light" w:hAnsi="72 Light" w:cs="72 Light"/>
          <w:i/>
          <w:iCs/>
          <w:lang w:val="fr-CA"/>
        </w:rPr>
      </w:pPr>
      <w:r w:rsidRPr="007B324D">
        <w:rPr>
          <w:rFonts w:ascii="72 Light" w:hAnsi="72 Light" w:cs="72 Light"/>
          <w:i/>
          <w:iCs/>
          <w:lang w:val="fr-CA"/>
        </w:rPr>
        <w:t>Écoles des Premières Nations</w:t>
      </w:r>
    </w:p>
    <w:p w14:paraId="4E6F76CC" w14:textId="39FBD00C" w:rsidR="00BF3013" w:rsidRPr="007B324D" w:rsidRDefault="00BF3013" w:rsidP="00F62155">
      <w:pPr>
        <w:pStyle w:val="paragraph"/>
        <w:tabs>
          <w:tab w:val="left" w:pos="3544"/>
        </w:tabs>
        <w:spacing w:before="120" w:beforeAutospacing="0" w:after="120" w:afterAutospacing="0" w:line="276" w:lineRule="auto"/>
        <w:jc w:val="both"/>
        <w:textAlignment w:val="baseline"/>
        <w:rPr>
          <w:rFonts w:ascii="72 Light" w:hAnsi="72 Light" w:cs="72 Light"/>
          <w:lang w:val="fr-CA"/>
        </w:rPr>
      </w:pPr>
      <w:r w:rsidRPr="007B324D">
        <w:rPr>
          <w:rFonts w:ascii="72 Light" w:hAnsi="72 Light" w:cs="72 Light"/>
          <w:lang w:val="fr-CA"/>
        </w:rPr>
        <w:t xml:space="preserve">Le mauvais état des écoles des Premières Nations est bien documenté. </w:t>
      </w:r>
      <w:r w:rsidR="00FD3EDE" w:rsidRPr="007B324D">
        <w:rPr>
          <w:rFonts w:ascii="72 Light" w:hAnsi="72 Light" w:cs="72 Light"/>
          <w:lang w:val="fr-CA"/>
        </w:rPr>
        <w:t>En ce moment, 202 </w:t>
      </w:r>
      <w:r w:rsidR="007C41AC" w:rsidRPr="007B324D">
        <w:rPr>
          <w:rFonts w:ascii="72 Light" w:hAnsi="72 Light" w:cs="72 Light"/>
          <w:lang w:val="fr-CA"/>
        </w:rPr>
        <w:t xml:space="preserve">de ces </w:t>
      </w:r>
      <w:r w:rsidRPr="007B324D">
        <w:rPr>
          <w:rFonts w:ascii="72 Light" w:hAnsi="72 Light" w:cs="72 Light"/>
          <w:lang w:val="fr-CA"/>
        </w:rPr>
        <w:t xml:space="preserve">écoles sont surpeuplées, </w:t>
      </w:r>
      <w:r w:rsidR="007C41AC" w:rsidRPr="007B324D">
        <w:rPr>
          <w:rFonts w:ascii="72 Light" w:hAnsi="72 Light" w:cs="72 Light"/>
          <w:lang w:val="fr-CA"/>
        </w:rPr>
        <w:t xml:space="preserve">soit </w:t>
      </w:r>
      <w:r w:rsidRPr="007B324D">
        <w:rPr>
          <w:rFonts w:ascii="72 Light" w:hAnsi="72 Light" w:cs="72 Light"/>
          <w:lang w:val="fr-CA"/>
        </w:rPr>
        <w:t xml:space="preserve">la moitié des écoles des Premières Nations au Canada. </w:t>
      </w:r>
      <w:r w:rsidR="007C41AC" w:rsidRPr="007B324D">
        <w:rPr>
          <w:rFonts w:ascii="72 Light" w:hAnsi="72 Light" w:cs="72 Light"/>
          <w:lang w:val="fr-CA"/>
        </w:rPr>
        <w:t>De plus</w:t>
      </w:r>
      <w:r w:rsidRPr="007B324D">
        <w:rPr>
          <w:rFonts w:ascii="72 Light" w:hAnsi="72 Light" w:cs="72 Light"/>
          <w:lang w:val="fr-CA"/>
        </w:rPr>
        <w:t xml:space="preserve">, 56 écoles </w:t>
      </w:r>
      <w:r w:rsidR="007C41AC" w:rsidRPr="007B324D">
        <w:rPr>
          <w:rFonts w:ascii="72 Light" w:hAnsi="72 Light" w:cs="72 Light"/>
          <w:lang w:val="fr-CA"/>
        </w:rPr>
        <w:t>ont besoin d’être remplacées immédiatement</w:t>
      </w:r>
      <w:r w:rsidRPr="007B324D">
        <w:rPr>
          <w:rFonts w:ascii="72 Light" w:hAnsi="72 Light" w:cs="72 Light"/>
          <w:lang w:val="fr-CA"/>
        </w:rPr>
        <w:t xml:space="preserve"> en raison de leur mauvais état ou de l</w:t>
      </w:r>
      <w:r w:rsidR="007C41AC" w:rsidRPr="007B324D">
        <w:rPr>
          <w:rFonts w:ascii="72 Light" w:hAnsi="72 Light" w:cs="72 Light"/>
          <w:lang w:val="fr-CA"/>
        </w:rPr>
        <w:t>a vétusté</w:t>
      </w:r>
      <w:r w:rsidRPr="007B324D">
        <w:rPr>
          <w:rFonts w:ascii="72 Light" w:hAnsi="72 Light" w:cs="72 Light"/>
          <w:lang w:val="fr-CA"/>
        </w:rPr>
        <w:t xml:space="preserve"> des installations. L</w:t>
      </w:r>
      <w:r w:rsidR="007C41AC" w:rsidRPr="007B324D">
        <w:rPr>
          <w:rFonts w:ascii="72 Light" w:hAnsi="72 Light" w:cs="72 Light"/>
          <w:lang w:val="fr-CA"/>
        </w:rPr>
        <w:t xml:space="preserve">’état de l’infrastructure et le manque d’infrastructures </w:t>
      </w:r>
      <w:r w:rsidRPr="007B324D">
        <w:rPr>
          <w:rFonts w:ascii="72 Light" w:hAnsi="72 Light" w:cs="72 Light"/>
          <w:lang w:val="fr-CA"/>
        </w:rPr>
        <w:t xml:space="preserve">obligent également 54 % des élèves des Premières Nations à quitter leur communauté pour obtenir un diplôme de fin d’études secondaires. Comme la plupart des élèves </w:t>
      </w:r>
      <w:r w:rsidR="007C41AC" w:rsidRPr="007B324D">
        <w:rPr>
          <w:rFonts w:ascii="72 Light" w:hAnsi="72 Light" w:cs="72 Light"/>
          <w:lang w:val="fr-CA"/>
        </w:rPr>
        <w:t xml:space="preserve">doivent </w:t>
      </w:r>
      <w:r w:rsidRPr="007B324D">
        <w:rPr>
          <w:rFonts w:ascii="72 Light" w:hAnsi="72 Light" w:cs="72 Light"/>
          <w:lang w:val="fr-CA"/>
        </w:rPr>
        <w:t xml:space="preserve">obtenir </w:t>
      </w:r>
      <w:r w:rsidR="007C41AC" w:rsidRPr="007B324D">
        <w:rPr>
          <w:rFonts w:ascii="72 Light" w:hAnsi="72 Light" w:cs="72 Light"/>
          <w:lang w:val="fr-CA"/>
        </w:rPr>
        <w:t>leur</w:t>
      </w:r>
      <w:r w:rsidRPr="007B324D">
        <w:rPr>
          <w:rFonts w:ascii="72 Light" w:hAnsi="72 Light" w:cs="72 Light"/>
          <w:lang w:val="fr-CA"/>
        </w:rPr>
        <w:t xml:space="preserve"> diplôme en dehors de leur communauté, ils s</w:t>
      </w:r>
      <w:r w:rsidR="007C41AC" w:rsidRPr="007B324D">
        <w:rPr>
          <w:rFonts w:ascii="72 Light" w:hAnsi="72 Light" w:cs="72 Light"/>
          <w:lang w:val="fr-CA"/>
        </w:rPr>
        <w:t>ubissent le</w:t>
      </w:r>
      <w:r w:rsidRPr="007B324D">
        <w:rPr>
          <w:rFonts w:ascii="72 Light" w:hAnsi="72 Light" w:cs="72 Light"/>
          <w:lang w:val="fr-CA"/>
        </w:rPr>
        <w:t xml:space="preserve"> racisme systémique dans </w:t>
      </w:r>
      <w:r w:rsidR="007C41AC" w:rsidRPr="007B324D">
        <w:rPr>
          <w:rFonts w:ascii="72 Light" w:hAnsi="72 Light" w:cs="72 Light"/>
          <w:lang w:val="fr-CA"/>
        </w:rPr>
        <w:t>d</w:t>
      </w:r>
      <w:r w:rsidRPr="007B324D">
        <w:rPr>
          <w:rFonts w:ascii="72 Light" w:hAnsi="72 Light" w:cs="72 Light"/>
          <w:lang w:val="fr-CA"/>
        </w:rPr>
        <w:t xml:space="preserve">es écoles provinciales qui ne sont pas équipées pour répondre aux besoins culturels ou linguistiques des apprenants des Premières Nations. </w:t>
      </w:r>
    </w:p>
    <w:p w14:paraId="252D51F8" w14:textId="70497040" w:rsidR="00BF3013" w:rsidRPr="007B324D" w:rsidRDefault="007C41AC" w:rsidP="00F62155">
      <w:pPr>
        <w:pStyle w:val="paragraph"/>
        <w:tabs>
          <w:tab w:val="left" w:pos="3544"/>
        </w:tabs>
        <w:spacing w:before="120" w:beforeAutospacing="0" w:after="120" w:afterAutospacing="0" w:line="276" w:lineRule="auto"/>
        <w:jc w:val="both"/>
        <w:textAlignment w:val="baseline"/>
        <w:rPr>
          <w:rFonts w:ascii="72 Light" w:hAnsi="72 Light" w:cs="72 Light"/>
          <w:lang w:val="fr-CA"/>
        </w:rPr>
      </w:pPr>
      <w:r w:rsidRPr="007B324D">
        <w:rPr>
          <w:rFonts w:ascii="72 Light" w:hAnsi="72 Light" w:cs="72 Light"/>
          <w:lang w:val="fr-CA"/>
        </w:rPr>
        <w:t>Après d</w:t>
      </w:r>
      <w:r w:rsidR="00BF3013" w:rsidRPr="007B324D">
        <w:rPr>
          <w:rFonts w:ascii="72 Light" w:hAnsi="72 Light" w:cs="72 Light"/>
          <w:lang w:val="fr-CA"/>
        </w:rPr>
        <w:t>es décennies de sous-financement de</w:t>
      </w:r>
      <w:r w:rsidRPr="007B324D">
        <w:rPr>
          <w:rFonts w:ascii="72 Light" w:hAnsi="72 Light" w:cs="72 Light"/>
          <w:lang w:val="fr-CA"/>
        </w:rPr>
        <w:t xml:space="preserve"> l’</w:t>
      </w:r>
      <w:r w:rsidR="00BF3013" w:rsidRPr="007B324D">
        <w:rPr>
          <w:rFonts w:ascii="72 Light" w:hAnsi="72 Light" w:cs="72 Light"/>
          <w:lang w:val="fr-CA"/>
        </w:rPr>
        <w:t xml:space="preserve">infrastructure </w:t>
      </w:r>
      <w:r w:rsidRPr="007B324D">
        <w:rPr>
          <w:rFonts w:ascii="72 Light" w:hAnsi="72 Light" w:cs="72 Light"/>
          <w:lang w:val="fr-CA"/>
        </w:rPr>
        <w:t xml:space="preserve">de l’éducation des Premières Nations, celle-ci est </w:t>
      </w:r>
      <w:r w:rsidR="00BF3013" w:rsidRPr="007B324D">
        <w:rPr>
          <w:rFonts w:ascii="72 Light" w:hAnsi="72 Light" w:cs="72 Light"/>
          <w:lang w:val="fr-CA"/>
        </w:rPr>
        <w:t>en mauvais état et n</w:t>
      </w:r>
      <w:r w:rsidRPr="007B324D">
        <w:rPr>
          <w:rFonts w:ascii="72 Light" w:hAnsi="72 Light" w:cs="72 Light"/>
          <w:lang w:val="fr-CA"/>
        </w:rPr>
        <w:t>’est</w:t>
      </w:r>
      <w:r w:rsidR="00BF3013" w:rsidRPr="007B324D">
        <w:rPr>
          <w:rFonts w:ascii="72 Light" w:hAnsi="72 Light" w:cs="72 Light"/>
          <w:lang w:val="fr-CA"/>
        </w:rPr>
        <w:t xml:space="preserve"> pas utilisée</w:t>
      </w:r>
      <w:r w:rsidRPr="007B324D">
        <w:rPr>
          <w:rFonts w:ascii="72 Light" w:hAnsi="72 Light" w:cs="72 Light"/>
          <w:lang w:val="fr-CA"/>
        </w:rPr>
        <w:t xml:space="preserve"> pour</w:t>
      </w:r>
      <w:r w:rsidR="00BF3013" w:rsidRPr="007B324D">
        <w:rPr>
          <w:rFonts w:ascii="72 Light" w:hAnsi="72 Light" w:cs="72 Light"/>
          <w:lang w:val="fr-CA"/>
        </w:rPr>
        <w:t xml:space="preserve"> </w:t>
      </w:r>
      <w:r w:rsidRPr="007B324D">
        <w:rPr>
          <w:rFonts w:ascii="72 Light" w:hAnsi="72 Light" w:cs="72 Light"/>
          <w:lang w:val="fr-CA"/>
        </w:rPr>
        <w:t>s</w:t>
      </w:r>
      <w:r w:rsidR="00BF3013" w:rsidRPr="007B324D">
        <w:rPr>
          <w:rFonts w:ascii="72 Light" w:hAnsi="72 Light" w:cs="72 Light"/>
          <w:lang w:val="fr-CA"/>
        </w:rPr>
        <w:t xml:space="preserve">a durée de vie prévue. </w:t>
      </w:r>
      <w:r w:rsidRPr="007B324D">
        <w:rPr>
          <w:rFonts w:ascii="72 Light" w:hAnsi="72 Light" w:cs="72 Light"/>
          <w:lang w:val="fr-CA"/>
        </w:rPr>
        <w:t>D’après l</w:t>
      </w:r>
      <w:r w:rsidR="00BF3013" w:rsidRPr="007B324D">
        <w:rPr>
          <w:rFonts w:ascii="72 Light" w:hAnsi="72 Light" w:cs="72 Light"/>
          <w:lang w:val="fr-CA"/>
        </w:rPr>
        <w:t xml:space="preserve">a collection de recherche sur l’infrastructure de l’éducation des Premières Nations de </w:t>
      </w:r>
      <w:r w:rsidR="008C4B3E" w:rsidRPr="007B324D">
        <w:rPr>
          <w:rFonts w:ascii="72 Light" w:hAnsi="72 Light" w:cs="72 Light"/>
          <w:lang w:val="fr-CA"/>
        </w:rPr>
        <w:t>l’Assemblée</w:t>
      </w:r>
      <w:r w:rsidRPr="007B324D">
        <w:rPr>
          <w:rFonts w:ascii="72 Light" w:hAnsi="72 Light" w:cs="72 Light"/>
          <w:lang w:val="fr-CA"/>
        </w:rPr>
        <w:t>, on</w:t>
      </w:r>
      <w:r w:rsidR="00BF3013" w:rsidRPr="007B324D">
        <w:rPr>
          <w:rFonts w:ascii="72 Light" w:hAnsi="72 Light" w:cs="72 Light"/>
          <w:lang w:val="fr-CA"/>
        </w:rPr>
        <w:t xml:space="preserve"> estime </w:t>
      </w:r>
      <w:r w:rsidRPr="007B324D">
        <w:rPr>
          <w:rFonts w:ascii="72 Light" w:hAnsi="72 Light" w:cs="72 Light"/>
          <w:lang w:val="fr-CA"/>
        </w:rPr>
        <w:t xml:space="preserve">à </w:t>
      </w:r>
      <w:r w:rsidR="00BF3013" w:rsidRPr="007B324D">
        <w:rPr>
          <w:rFonts w:ascii="72 Light" w:hAnsi="72 Light" w:cs="72 Light"/>
          <w:lang w:val="fr-CA"/>
        </w:rPr>
        <w:t xml:space="preserve">4,7 milliards de dollars </w:t>
      </w:r>
      <w:r w:rsidRPr="007B324D">
        <w:rPr>
          <w:rFonts w:ascii="72 Light" w:hAnsi="72 Light" w:cs="72 Light"/>
          <w:lang w:val="fr-CA"/>
        </w:rPr>
        <w:t xml:space="preserve">la somme dont on aurait besoin </w:t>
      </w:r>
      <w:r w:rsidR="00BF3013" w:rsidRPr="007B324D">
        <w:rPr>
          <w:rFonts w:ascii="72 Light" w:hAnsi="72 Light" w:cs="72 Light"/>
          <w:lang w:val="fr-CA"/>
        </w:rPr>
        <w:t xml:space="preserve">au cours des cinq prochaines années pour </w:t>
      </w:r>
      <w:r w:rsidRPr="007B324D">
        <w:rPr>
          <w:rFonts w:ascii="72 Light" w:hAnsi="72 Light" w:cs="72 Light"/>
          <w:lang w:val="fr-CA"/>
        </w:rPr>
        <w:t>procéder aux</w:t>
      </w:r>
      <w:r w:rsidR="00BF3013" w:rsidRPr="007B324D">
        <w:rPr>
          <w:rFonts w:ascii="72 Light" w:hAnsi="72 Light" w:cs="72 Light"/>
          <w:lang w:val="fr-CA"/>
        </w:rPr>
        <w:t xml:space="preserve"> rénovations, </w:t>
      </w:r>
      <w:r w:rsidRPr="007B324D">
        <w:rPr>
          <w:rFonts w:ascii="72 Light" w:hAnsi="72 Light" w:cs="72 Light"/>
          <w:lang w:val="fr-CA"/>
        </w:rPr>
        <w:t xml:space="preserve">aux </w:t>
      </w:r>
      <w:r w:rsidR="00BF3013" w:rsidRPr="007B324D">
        <w:rPr>
          <w:rFonts w:ascii="72 Light" w:hAnsi="72 Light" w:cs="72 Light"/>
          <w:lang w:val="fr-CA"/>
        </w:rPr>
        <w:t xml:space="preserve">nouvelles constructions et </w:t>
      </w:r>
      <w:r w:rsidRPr="007B324D">
        <w:rPr>
          <w:rFonts w:ascii="72 Light" w:hAnsi="72 Light" w:cs="72 Light"/>
          <w:lang w:val="fr-CA"/>
        </w:rPr>
        <w:t xml:space="preserve">à </w:t>
      </w:r>
      <w:r w:rsidR="00BF3013" w:rsidRPr="007B324D">
        <w:rPr>
          <w:rFonts w:ascii="72 Light" w:hAnsi="72 Light" w:cs="72 Light"/>
          <w:lang w:val="fr-CA"/>
        </w:rPr>
        <w:t>la planification</w:t>
      </w:r>
      <w:r w:rsidRPr="007B324D">
        <w:rPr>
          <w:rFonts w:ascii="72 Light" w:hAnsi="72 Light" w:cs="72 Light"/>
          <w:lang w:val="fr-CA"/>
        </w:rPr>
        <w:t xml:space="preserve"> requises</w:t>
      </w:r>
      <w:r w:rsidR="00BF3013" w:rsidRPr="007B324D">
        <w:rPr>
          <w:rFonts w:ascii="72 Light" w:hAnsi="72 Light" w:cs="72 Light"/>
          <w:lang w:val="fr-CA"/>
        </w:rPr>
        <w:t xml:space="preserve">. </w:t>
      </w:r>
    </w:p>
    <w:p w14:paraId="56AE531C" w14:textId="7483C93B" w:rsidR="00BF3013" w:rsidRPr="007B324D" w:rsidRDefault="00BF3013" w:rsidP="00F62155">
      <w:pPr>
        <w:pStyle w:val="paragraph"/>
        <w:tabs>
          <w:tab w:val="left" w:pos="3544"/>
        </w:tabs>
        <w:spacing w:before="120" w:beforeAutospacing="0" w:after="120" w:afterAutospacing="0" w:line="276" w:lineRule="auto"/>
        <w:jc w:val="both"/>
        <w:textAlignment w:val="baseline"/>
        <w:rPr>
          <w:rFonts w:ascii="72 Light" w:hAnsi="72 Light" w:cs="72 Light"/>
          <w:lang w:val="fr-CA"/>
        </w:rPr>
      </w:pPr>
      <w:r w:rsidRPr="007B324D">
        <w:rPr>
          <w:rFonts w:ascii="72 Light" w:hAnsi="72 Light" w:cs="72 Light"/>
          <w:lang w:val="fr-CA"/>
        </w:rPr>
        <w:t xml:space="preserve">Les </w:t>
      </w:r>
      <w:r w:rsidR="007C41AC" w:rsidRPr="007B324D">
        <w:rPr>
          <w:rFonts w:ascii="72 Light" w:hAnsi="72 Light" w:cs="72 Light"/>
          <w:lang w:val="fr-CA"/>
        </w:rPr>
        <w:t>ententes régionales en matière d’éducation</w:t>
      </w:r>
      <w:r w:rsidRPr="007B324D">
        <w:rPr>
          <w:rFonts w:ascii="72 Light" w:hAnsi="72 Light" w:cs="72 Light"/>
          <w:lang w:val="fr-CA"/>
        </w:rPr>
        <w:t xml:space="preserve"> ne permettent pas aux Premières Nations d’inclure </w:t>
      </w:r>
      <w:r w:rsidR="007C41AC" w:rsidRPr="007B324D">
        <w:rPr>
          <w:rFonts w:ascii="72 Light" w:hAnsi="72 Light" w:cs="72 Light"/>
          <w:lang w:val="fr-CA"/>
        </w:rPr>
        <w:t>l’infrastructure connexe</w:t>
      </w:r>
      <w:r w:rsidRPr="007B324D">
        <w:rPr>
          <w:rFonts w:ascii="72 Light" w:hAnsi="72 Light" w:cs="72 Light"/>
          <w:lang w:val="fr-CA"/>
        </w:rPr>
        <w:t xml:space="preserve">, ce qui crée des lacunes dans les programmes et les </w:t>
      </w:r>
      <w:r w:rsidR="007C41AC" w:rsidRPr="007B324D">
        <w:rPr>
          <w:rFonts w:ascii="72 Light" w:hAnsi="72 Light" w:cs="72 Light"/>
          <w:lang w:val="fr-CA"/>
        </w:rPr>
        <w:t>milieux</w:t>
      </w:r>
      <w:r w:rsidRPr="007B324D">
        <w:rPr>
          <w:rFonts w:ascii="72 Light" w:hAnsi="72 Light" w:cs="72 Light"/>
          <w:lang w:val="fr-CA"/>
        </w:rPr>
        <w:t xml:space="preserve"> d’apprentissage. Il existe au Canada un petit nombre d’ententes sur l’éducation des Premières Nations qui contiennent des éléments </w:t>
      </w:r>
      <w:r w:rsidR="007C41AC" w:rsidRPr="007B324D">
        <w:rPr>
          <w:rFonts w:ascii="72 Light" w:hAnsi="72 Light" w:cs="72 Light"/>
          <w:lang w:val="fr-CA"/>
        </w:rPr>
        <w:t>relatifs à la</w:t>
      </w:r>
      <w:r w:rsidRPr="007B324D">
        <w:rPr>
          <w:rFonts w:ascii="72 Light" w:hAnsi="72 Light" w:cs="72 Light"/>
          <w:lang w:val="fr-CA"/>
        </w:rPr>
        <w:t xml:space="preserve"> prestation de services en matière d’immobilisations et d’infrastructure</w:t>
      </w:r>
      <w:r w:rsidR="007C41AC" w:rsidRPr="007B324D">
        <w:rPr>
          <w:rFonts w:ascii="72 Light" w:hAnsi="72 Light" w:cs="72 Light"/>
          <w:lang w:val="fr-CA"/>
        </w:rPr>
        <w:t xml:space="preserve"> de l’éducation</w:t>
      </w:r>
      <w:r w:rsidRPr="007B324D">
        <w:rPr>
          <w:rFonts w:ascii="72 Light" w:hAnsi="72 Light" w:cs="72 Light"/>
          <w:lang w:val="fr-CA"/>
        </w:rPr>
        <w:t xml:space="preserve">. </w:t>
      </w:r>
      <w:r w:rsidR="007C41AC" w:rsidRPr="007B324D">
        <w:rPr>
          <w:rFonts w:ascii="72 Light" w:hAnsi="72 Light" w:cs="72 Light"/>
          <w:lang w:val="fr-CA"/>
        </w:rPr>
        <w:t xml:space="preserve">Celle-ci devrait être incluse </w:t>
      </w:r>
      <w:r w:rsidRPr="007B324D">
        <w:rPr>
          <w:rFonts w:ascii="72 Light" w:hAnsi="72 Light" w:cs="72 Light"/>
          <w:lang w:val="fr-CA"/>
        </w:rPr>
        <w:t>dans les</w:t>
      </w:r>
      <w:r w:rsidR="007C41AC" w:rsidRPr="007B324D">
        <w:rPr>
          <w:rFonts w:ascii="72 Light" w:hAnsi="72 Light" w:cs="72 Light"/>
          <w:lang w:val="fr-CA"/>
        </w:rPr>
        <w:t xml:space="preserve"> ententes régionales</w:t>
      </w:r>
      <w:r w:rsidRPr="007B324D">
        <w:rPr>
          <w:rFonts w:ascii="72 Light" w:hAnsi="72 Light" w:cs="72 Light"/>
          <w:lang w:val="fr-CA"/>
        </w:rPr>
        <w:t xml:space="preserve"> pour </w:t>
      </w:r>
      <w:r w:rsidR="007C41AC" w:rsidRPr="007B324D">
        <w:rPr>
          <w:rFonts w:ascii="72 Light" w:hAnsi="72 Light" w:cs="72 Light"/>
          <w:lang w:val="fr-CA"/>
        </w:rPr>
        <w:t xml:space="preserve">permettre à </w:t>
      </w:r>
      <w:r w:rsidRPr="007B324D">
        <w:rPr>
          <w:rFonts w:ascii="72 Light" w:hAnsi="72 Light" w:cs="72 Light"/>
          <w:lang w:val="fr-CA"/>
        </w:rPr>
        <w:t xml:space="preserve">toutes les Premières Nations </w:t>
      </w:r>
      <w:r w:rsidR="007C41AC" w:rsidRPr="007B324D">
        <w:rPr>
          <w:rFonts w:ascii="72 Light" w:hAnsi="72 Light" w:cs="72 Light"/>
          <w:lang w:val="fr-CA"/>
        </w:rPr>
        <w:t>de</w:t>
      </w:r>
      <w:r w:rsidRPr="007B324D">
        <w:rPr>
          <w:rFonts w:ascii="72 Light" w:hAnsi="72 Light" w:cs="72 Light"/>
          <w:lang w:val="fr-CA"/>
        </w:rPr>
        <w:t xml:space="preserve"> construire et </w:t>
      </w:r>
      <w:r w:rsidR="007C41AC" w:rsidRPr="007B324D">
        <w:rPr>
          <w:rFonts w:ascii="72 Light" w:hAnsi="72 Light" w:cs="72 Light"/>
          <w:lang w:val="fr-CA"/>
        </w:rPr>
        <w:t>d’entretenir</w:t>
      </w:r>
      <w:r w:rsidRPr="007B324D">
        <w:rPr>
          <w:rFonts w:ascii="72 Light" w:hAnsi="72 Light" w:cs="72 Light"/>
          <w:lang w:val="fr-CA"/>
        </w:rPr>
        <w:t xml:space="preserve"> leurs </w:t>
      </w:r>
      <w:r w:rsidR="007C41AC" w:rsidRPr="007B324D">
        <w:rPr>
          <w:rFonts w:ascii="72 Light" w:hAnsi="72 Light" w:cs="72 Light"/>
          <w:lang w:val="fr-CA"/>
        </w:rPr>
        <w:t>biens</w:t>
      </w:r>
      <w:r w:rsidRPr="007B324D">
        <w:rPr>
          <w:rFonts w:ascii="72 Light" w:hAnsi="72 Light" w:cs="72 Light"/>
          <w:lang w:val="fr-CA"/>
        </w:rPr>
        <w:t xml:space="preserve"> communautaires</w:t>
      </w:r>
      <w:r w:rsidR="007C41AC" w:rsidRPr="007B324D">
        <w:rPr>
          <w:rFonts w:ascii="72 Light" w:hAnsi="72 Light" w:cs="72 Light"/>
          <w:lang w:val="fr-CA"/>
        </w:rPr>
        <w:t xml:space="preserve"> liés à l’éducation</w:t>
      </w:r>
      <w:r w:rsidRPr="007B324D">
        <w:rPr>
          <w:rFonts w:ascii="72 Light" w:hAnsi="72 Light" w:cs="72 Light"/>
          <w:lang w:val="fr-CA"/>
        </w:rPr>
        <w:t xml:space="preserve">. </w:t>
      </w:r>
    </w:p>
    <w:p w14:paraId="78B745F7" w14:textId="32EB8764" w:rsidR="00BF3013" w:rsidRPr="007B324D" w:rsidRDefault="00BF3013" w:rsidP="00F62155">
      <w:pPr>
        <w:pStyle w:val="paragraph"/>
        <w:tabs>
          <w:tab w:val="left" w:pos="3544"/>
        </w:tabs>
        <w:spacing w:before="120" w:beforeAutospacing="0" w:after="120" w:afterAutospacing="0" w:line="276" w:lineRule="auto"/>
        <w:jc w:val="both"/>
        <w:textAlignment w:val="baseline"/>
        <w:rPr>
          <w:rFonts w:ascii="72 Light" w:hAnsi="72 Light" w:cs="72 Light"/>
          <w:i/>
          <w:iCs/>
          <w:lang w:val="fr-CA"/>
        </w:rPr>
      </w:pPr>
      <w:r w:rsidRPr="007B324D">
        <w:rPr>
          <w:rFonts w:ascii="72 Light" w:hAnsi="72 Light" w:cs="72 Light"/>
          <w:i/>
          <w:iCs/>
          <w:lang w:val="fr-CA"/>
        </w:rPr>
        <w:t xml:space="preserve">Initiatives en matière d’emploi et de développement économique </w:t>
      </w:r>
    </w:p>
    <w:p w14:paraId="2A040B0B" w14:textId="153FC6AB" w:rsidR="00BF3013" w:rsidRPr="007B324D" w:rsidRDefault="00BF3013" w:rsidP="00F62155">
      <w:pPr>
        <w:pStyle w:val="paragraph"/>
        <w:tabs>
          <w:tab w:val="left" w:pos="3544"/>
        </w:tabs>
        <w:spacing w:before="120" w:beforeAutospacing="0" w:after="120" w:afterAutospacing="0" w:line="276" w:lineRule="auto"/>
        <w:jc w:val="both"/>
        <w:textAlignment w:val="baseline"/>
        <w:rPr>
          <w:rFonts w:ascii="72 Light" w:hAnsi="72 Light" w:cs="72 Light"/>
          <w:lang w:val="fr-CA"/>
        </w:rPr>
      </w:pPr>
      <w:r w:rsidRPr="007B324D">
        <w:rPr>
          <w:rFonts w:ascii="72 Light" w:hAnsi="72 Light" w:cs="72 Light"/>
          <w:lang w:val="fr-CA"/>
        </w:rPr>
        <w:t>En février 2020, la Direction générale des politiques stratégiques et de service</w:t>
      </w:r>
      <w:r w:rsidR="00C25189" w:rsidRPr="007B324D">
        <w:rPr>
          <w:rFonts w:ascii="72 Light" w:hAnsi="72 Light" w:cs="72 Light"/>
          <w:lang w:val="fr-CA"/>
        </w:rPr>
        <w:t>, au sein de la Direction de l’évaluation,</w:t>
      </w:r>
      <w:r w:rsidRPr="007B324D">
        <w:rPr>
          <w:rFonts w:ascii="72 Light" w:hAnsi="72 Light" w:cs="72 Light"/>
          <w:lang w:val="fr-CA"/>
        </w:rPr>
        <w:t xml:space="preserve"> a publié son rapport intitulé «</w:t>
      </w:r>
      <w:r w:rsidR="00042C3C" w:rsidRPr="007B324D">
        <w:rPr>
          <w:rFonts w:ascii="Arial" w:hAnsi="Arial" w:cs="Arial"/>
          <w:lang w:val="fr-CA"/>
        </w:rPr>
        <w:t> </w:t>
      </w:r>
      <w:r w:rsidRPr="007B324D">
        <w:rPr>
          <w:rFonts w:ascii="72 Light" w:hAnsi="72 Light" w:cs="72 Light"/>
          <w:lang w:val="fr-CA"/>
        </w:rPr>
        <w:t>Évaluation de la Stratégie de formation pour les compétences et l’emploi destinée aux Autochtones et du Fonds pour les compétences et les partenariats</w:t>
      </w:r>
      <w:r w:rsidR="00042C3C" w:rsidRPr="007B324D">
        <w:rPr>
          <w:rFonts w:ascii="Arial" w:hAnsi="Arial" w:cs="Arial"/>
          <w:lang w:val="fr-CA"/>
        </w:rPr>
        <w:t> </w:t>
      </w:r>
      <w:r w:rsidRPr="007B324D">
        <w:rPr>
          <w:rFonts w:ascii="72 Light" w:hAnsi="72 Light" w:cs="72 Light"/>
          <w:lang w:val="fr-CA"/>
        </w:rPr>
        <w:t>», qui couvr</w:t>
      </w:r>
      <w:r w:rsidR="00C25189" w:rsidRPr="007B324D">
        <w:rPr>
          <w:rFonts w:ascii="72 Light" w:hAnsi="72 Light" w:cs="72 Light"/>
          <w:lang w:val="fr-CA"/>
        </w:rPr>
        <w:t>e</w:t>
      </w:r>
      <w:r w:rsidRPr="007B324D">
        <w:rPr>
          <w:rFonts w:ascii="72 Light" w:hAnsi="72 Light" w:cs="72 Light"/>
          <w:lang w:val="fr-CA"/>
        </w:rPr>
        <w:t xml:space="preserve"> la période </w:t>
      </w:r>
      <w:r w:rsidR="00C25189" w:rsidRPr="007B324D">
        <w:rPr>
          <w:rFonts w:ascii="72 Light" w:hAnsi="72 Light" w:cs="72 Light"/>
          <w:lang w:val="fr-CA"/>
        </w:rPr>
        <w:t xml:space="preserve">allant </w:t>
      </w:r>
      <w:r w:rsidRPr="007B324D">
        <w:rPr>
          <w:rFonts w:ascii="72 Light" w:hAnsi="72 Light" w:cs="72 Light"/>
          <w:lang w:val="fr-CA"/>
        </w:rPr>
        <w:t xml:space="preserve">d’avril 2010 à mars 2018. Dans l’ensemble, l’évaluation </w:t>
      </w:r>
      <w:r w:rsidR="00C76067" w:rsidRPr="007B324D">
        <w:rPr>
          <w:rFonts w:ascii="72 Light" w:hAnsi="72 Light" w:cs="72 Light"/>
          <w:lang w:val="fr-CA"/>
        </w:rPr>
        <w:t>dé</w:t>
      </w:r>
      <w:r w:rsidR="00C25189" w:rsidRPr="007B324D">
        <w:rPr>
          <w:rFonts w:ascii="72 Light" w:hAnsi="72 Light" w:cs="72 Light"/>
          <w:lang w:val="fr-CA"/>
        </w:rPr>
        <w:t>montre</w:t>
      </w:r>
      <w:r w:rsidRPr="007B324D">
        <w:rPr>
          <w:rFonts w:ascii="72 Light" w:hAnsi="72 Light" w:cs="72 Light"/>
          <w:lang w:val="fr-CA"/>
        </w:rPr>
        <w:t xml:space="preserve"> que la </w:t>
      </w:r>
      <w:r w:rsidR="00C25189" w:rsidRPr="007B324D">
        <w:rPr>
          <w:rFonts w:ascii="72 Light" w:hAnsi="72 Light" w:cs="72 Light"/>
          <w:lang w:val="fr-CA"/>
        </w:rPr>
        <w:t>S</w:t>
      </w:r>
      <w:r w:rsidRPr="007B324D">
        <w:rPr>
          <w:rFonts w:ascii="72 Light" w:hAnsi="72 Light" w:cs="72 Light"/>
          <w:lang w:val="fr-CA"/>
        </w:rPr>
        <w:t>tratégie a permis d’améliorer le perfectionnement des compétences, la participation au marché du travail, les partenariats durables et le re</w:t>
      </w:r>
      <w:r w:rsidR="00C25189" w:rsidRPr="007B324D">
        <w:rPr>
          <w:rFonts w:ascii="72 Light" w:hAnsi="72 Light" w:cs="72 Light"/>
          <w:lang w:val="fr-CA"/>
        </w:rPr>
        <w:t>ndement</w:t>
      </w:r>
      <w:r w:rsidRPr="007B324D">
        <w:rPr>
          <w:rFonts w:ascii="72 Light" w:hAnsi="72 Light" w:cs="72 Light"/>
          <w:lang w:val="fr-CA"/>
        </w:rPr>
        <w:t xml:space="preserve"> social sur </w:t>
      </w:r>
      <w:r w:rsidR="00C25189" w:rsidRPr="007B324D">
        <w:rPr>
          <w:rFonts w:ascii="72 Light" w:hAnsi="72 Light" w:cs="72 Light"/>
          <w:lang w:val="fr-CA"/>
        </w:rPr>
        <w:t>l’</w:t>
      </w:r>
      <w:r w:rsidRPr="007B324D">
        <w:rPr>
          <w:rFonts w:ascii="72 Light" w:hAnsi="72 Light" w:cs="72 Light"/>
          <w:lang w:val="fr-CA"/>
        </w:rPr>
        <w:t>investissemen</w:t>
      </w:r>
      <w:r w:rsidR="00547B7A" w:rsidRPr="007B324D">
        <w:rPr>
          <w:rFonts w:ascii="72 Light" w:hAnsi="72 Light" w:cs="72 Light"/>
          <w:lang w:val="fr-CA"/>
        </w:rPr>
        <w:t>t</w:t>
      </w:r>
      <w:r w:rsidRPr="007B324D">
        <w:rPr>
          <w:rFonts w:ascii="72 Light" w:hAnsi="72 Light" w:cs="72 Light"/>
          <w:lang w:val="fr-CA"/>
        </w:rPr>
        <w:t xml:space="preserve">. Toutefois, certains signataires d’ententes autochtones ont jugé problématiques les rapports hiérarchiques avec Emploi et Développement social Canada (EDSC). Sur la base des deux recommandations du rapport, le Canada a accepté de mieux </w:t>
      </w:r>
      <w:r w:rsidR="00547B7A" w:rsidRPr="007B324D">
        <w:rPr>
          <w:rFonts w:ascii="72 Light" w:hAnsi="72 Light" w:cs="72 Light"/>
          <w:lang w:val="fr-CA"/>
        </w:rPr>
        <w:t>tirer parti d</w:t>
      </w:r>
      <w:r w:rsidRPr="007B324D">
        <w:rPr>
          <w:rFonts w:ascii="72 Light" w:hAnsi="72 Light" w:cs="72 Light"/>
          <w:lang w:val="fr-CA"/>
        </w:rPr>
        <w:t xml:space="preserve">es données </w:t>
      </w:r>
      <w:r w:rsidR="00547B7A" w:rsidRPr="007B324D">
        <w:rPr>
          <w:rFonts w:ascii="72 Light" w:hAnsi="72 Light" w:cs="72 Light"/>
          <w:lang w:val="fr-CA"/>
        </w:rPr>
        <w:t>de façon à</w:t>
      </w:r>
      <w:r w:rsidRPr="007B324D">
        <w:rPr>
          <w:rFonts w:ascii="72 Light" w:hAnsi="72 Light" w:cs="72 Light"/>
          <w:lang w:val="fr-CA"/>
        </w:rPr>
        <w:t xml:space="preserve"> collaborer avec ses partenaires afin d’améliorer le programme et de chercher à améliorer l</w:t>
      </w:r>
      <w:r w:rsidR="00547B7A" w:rsidRPr="007B324D">
        <w:rPr>
          <w:rFonts w:ascii="72 Light" w:hAnsi="72 Light" w:cs="72 Light"/>
          <w:lang w:val="fr-CA"/>
        </w:rPr>
        <w:t xml:space="preserve">a gestion des ententes </w:t>
      </w:r>
      <w:r w:rsidRPr="007B324D">
        <w:rPr>
          <w:rFonts w:ascii="72 Light" w:hAnsi="72 Light" w:cs="72 Light"/>
          <w:lang w:val="fr-CA"/>
        </w:rPr>
        <w:t>avec les organisations autochtones participantes.</w:t>
      </w:r>
    </w:p>
    <w:p w14:paraId="782877A4" w14:textId="0FE3A0E6"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lastRenderedPageBreak/>
        <w:t>L</w:t>
      </w:r>
      <w:r w:rsidR="00547B7A" w:rsidRPr="007B324D">
        <w:rPr>
          <w:rFonts w:ascii="72 Light" w:hAnsi="72 Light" w:cs="72 Light"/>
          <w:sz w:val="24"/>
          <w:szCs w:val="24"/>
          <w:lang w:val="fr-CA"/>
        </w:rPr>
        <w:t xml:space="preserve">e vérificateur </w:t>
      </w:r>
      <w:r w:rsidRPr="007B324D">
        <w:rPr>
          <w:rFonts w:ascii="72 Light" w:hAnsi="72 Light" w:cs="72 Light"/>
          <w:sz w:val="24"/>
          <w:szCs w:val="24"/>
          <w:lang w:val="fr-CA"/>
        </w:rPr>
        <w:t>général du Canada a présenté</w:t>
      </w:r>
      <w:r w:rsidR="00547B7A" w:rsidRPr="007B324D">
        <w:rPr>
          <w:rFonts w:ascii="72 Light" w:hAnsi="72 Light" w:cs="72 Light"/>
          <w:sz w:val="24"/>
          <w:szCs w:val="24"/>
          <w:lang w:val="fr-CA"/>
        </w:rPr>
        <w:t>,</w:t>
      </w:r>
      <w:r w:rsidRPr="007B324D">
        <w:rPr>
          <w:rFonts w:ascii="72 Light" w:hAnsi="72 Light" w:cs="72 Light"/>
          <w:sz w:val="24"/>
          <w:szCs w:val="24"/>
          <w:lang w:val="fr-CA"/>
        </w:rPr>
        <w:t xml:space="preserve"> en 2018</w:t>
      </w:r>
      <w:r w:rsidR="00547B7A" w:rsidRPr="007B324D">
        <w:rPr>
          <w:rFonts w:ascii="72 Light" w:hAnsi="72 Light" w:cs="72 Light"/>
          <w:sz w:val="24"/>
          <w:szCs w:val="24"/>
          <w:lang w:val="fr-CA"/>
        </w:rPr>
        <w:t>,</w:t>
      </w:r>
      <w:r w:rsidRPr="007B324D">
        <w:rPr>
          <w:rFonts w:ascii="72 Light" w:hAnsi="72 Light" w:cs="72 Light"/>
          <w:sz w:val="24"/>
          <w:szCs w:val="24"/>
          <w:lang w:val="fr-CA"/>
        </w:rPr>
        <w:t xml:space="preserve"> un rapport sur la formation à l’emploi pour les </w:t>
      </w:r>
      <w:r w:rsidR="00547B7A" w:rsidRPr="007B324D">
        <w:rPr>
          <w:rFonts w:ascii="72 Light" w:hAnsi="72 Light" w:cs="72 Light"/>
          <w:sz w:val="24"/>
          <w:szCs w:val="24"/>
          <w:lang w:val="fr-CA"/>
        </w:rPr>
        <w:t>A</w:t>
      </w:r>
      <w:r w:rsidRPr="007B324D">
        <w:rPr>
          <w:rFonts w:ascii="72 Light" w:hAnsi="72 Light" w:cs="72 Light"/>
          <w:sz w:val="24"/>
          <w:szCs w:val="24"/>
          <w:lang w:val="fr-CA"/>
        </w:rPr>
        <w:t xml:space="preserve">utochtones, administrée par EDSC. </w:t>
      </w:r>
      <w:r w:rsidR="002901D4" w:rsidRPr="007B324D">
        <w:rPr>
          <w:rFonts w:ascii="72 Light" w:hAnsi="72 Light" w:cs="72 Light"/>
          <w:sz w:val="24"/>
          <w:szCs w:val="24"/>
          <w:lang w:val="fr-CA"/>
        </w:rPr>
        <w:t xml:space="preserve">On y </w:t>
      </w:r>
      <w:r w:rsidRPr="007B324D">
        <w:rPr>
          <w:rFonts w:ascii="72 Light" w:hAnsi="72 Light" w:cs="72 Light"/>
          <w:sz w:val="24"/>
          <w:szCs w:val="24"/>
          <w:lang w:val="fr-CA"/>
        </w:rPr>
        <w:t>critiqu</w:t>
      </w:r>
      <w:r w:rsidR="002901D4" w:rsidRPr="007B324D">
        <w:rPr>
          <w:rFonts w:ascii="72 Light" w:hAnsi="72 Light" w:cs="72 Light"/>
          <w:sz w:val="24"/>
          <w:szCs w:val="24"/>
          <w:lang w:val="fr-CA"/>
        </w:rPr>
        <w:t>e</w:t>
      </w:r>
      <w:r w:rsidRPr="007B324D">
        <w:rPr>
          <w:rFonts w:ascii="72 Light" w:hAnsi="72 Light" w:cs="72 Light"/>
          <w:sz w:val="24"/>
          <w:szCs w:val="24"/>
          <w:lang w:val="fr-CA"/>
        </w:rPr>
        <w:t xml:space="preserve"> la gestion par EDSC de deux de ses programmes, la Stratégie de formation pour les compétences et l’emploi des Autochtones, prédécesseur du Programme de formation pour les compétences et l’emploi destiné aux Autochtones (PFCEA), et le Fonds pour les compétences et les partenariats. </w:t>
      </w:r>
    </w:p>
    <w:p w14:paraId="4382B5D4" w14:textId="3BBA5A0C" w:rsidR="00BF3013" w:rsidRPr="007B324D" w:rsidRDefault="002901D4" w:rsidP="00F62155">
      <w:pPr>
        <w:pStyle w:val="paragraph"/>
        <w:tabs>
          <w:tab w:val="left" w:pos="3544"/>
        </w:tabs>
        <w:spacing w:before="120" w:beforeAutospacing="0" w:after="120" w:afterAutospacing="0" w:line="276" w:lineRule="auto"/>
        <w:jc w:val="both"/>
        <w:textAlignment w:val="baseline"/>
        <w:rPr>
          <w:rFonts w:ascii="72 Light" w:hAnsi="72 Light" w:cs="72 Light"/>
          <w:lang w:val="fr-CA"/>
        </w:rPr>
      </w:pPr>
      <w:r w:rsidRPr="007B324D">
        <w:rPr>
          <w:rFonts w:ascii="72 Light" w:hAnsi="72 Light" w:cs="72 Light"/>
          <w:lang w:val="fr-CA"/>
        </w:rPr>
        <w:t>L</w:t>
      </w:r>
      <w:r w:rsidR="00BF3013" w:rsidRPr="007B324D">
        <w:rPr>
          <w:rFonts w:ascii="72 Light" w:hAnsi="72 Light" w:cs="72 Light"/>
          <w:lang w:val="fr-CA"/>
        </w:rPr>
        <w:t xml:space="preserve">e Canada a </w:t>
      </w:r>
      <w:r w:rsidRPr="007B324D">
        <w:rPr>
          <w:rFonts w:ascii="72 Light" w:hAnsi="72 Light" w:cs="72 Light"/>
          <w:lang w:val="fr-CA"/>
        </w:rPr>
        <w:t xml:space="preserve">donc </w:t>
      </w:r>
      <w:r w:rsidR="00BF3013" w:rsidRPr="007B324D">
        <w:rPr>
          <w:rFonts w:ascii="72 Light" w:hAnsi="72 Light" w:cs="72 Light"/>
          <w:lang w:val="fr-CA"/>
        </w:rPr>
        <w:t xml:space="preserve">lancé le PFCEA en 2019 pour remplacer la </w:t>
      </w:r>
      <w:r w:rsidRPr="007B324D">
        <w:rPr>
          <w:rFonts w:ascii="72 Light" w:hAnsi="72 Light" w:cs="72 Light"/>
          <w:lang w:val="fr-CA"/>
        </w:rPr>
        <w:t>Stratégie</w:t>
      </w:r>
      <w:r w:rsidR="00BF3013" w:rsidRPr="007B324D">
        <w:rPr>
          <w:rFonts w:ascii="72 Light" w:hAnsi="72 Light" w:cs="72 Light"/>
          <w:lang w:val="fr-CA"/>
        </w:rPr>
        <w:t xml:space="preserve">, à la suite </w:t>
      </w:r>
      <w:r w:rsidRPr="007B324D">
        <w:rPr>
          <w:rFonts w:ascii="72 Light" w:hAnsi="72 Light" w:cs="72 Light"/>
          <w:lang w:val="fr-CA"/>
        </w:rPr>
        <w:t>de travaux</w:t>
      </w:r>
      <w:r w:rsidR="00BF3013" w:rsidRPr="007B324D">
        <w:rPr>
          <w:rFonts w:ascii="72 Light" w:hAnsi="72 Light" w:cs="72 Light"/>
          <w:lang w:val="fr-CA"/>
        </w:rPr>
        <w:t xml:space="preserve"> d’élaboration conjointe avec </w:t>
      </w:r>
      <w:r w:rsidR="008C4B3E" w:rsidRPr="007B324D">
        <w:rPr>
          <w:rFonts w:ascii="72 Light" w:hAnsi="72 Light" w:cs="72 Light"/>
          <w:lang w:val="fr-CA"/>
        </w:rPr>
        <w:t>l’Assemblée</w:t>
      </w:r>
      <w:r w:rsidR="00BF3013" w:rsidRPr="007B324D">
        <w:rPr>
          <w:rFonts w:ascii="72 Light" w:hAnsi="72 Light" w:cs="72 Light"/>
          <w:lang w:val="fr-CA"/>
        </w:rPr>
        <w:t xml:space="preserve"> et les Premières Nations. L</w:t>
      </w:r>
      <w:r w:rsidRPr="007B324D">
        <w:rPr>
          <w:rFonts w:ascii="72 Light" w:hAnsi="72 Light" w:cs="72 Light"/>
          <w:lang w:val="fr-CA"/>
        </w:rPr>
        <w:t>a consultation</w:t>
      </w:r>
      <w:r w:rsidR="00BF3013" w:rsidRPr="007B324D">
        <w:rPr>
          <w:rFonts w:ascii="72 Light" w:hAnsi="72 Light" w:cs="72 Light"/>
          <w:lang w:val="fr-CA"/>
        </w:rPr>
        <w:t xml:space="preserve"> de </w:t>
      </w:r>
      <w:r w:rsidR="008C4B3E" w:rsidRPr="007B324D">
        <w:rPr>
          <w:rFonts w:ascii="72 Light" w:hAnsi="72 Light" w:cs="72 Light"/>
          <w:lang w:val="fr-CA"/>
        </w:rPr>
        <w:t>l’Assemblée</w:t>
      </w:r>
      <w:r w:rsidR="00BF3013" w:rsidRPr="007B324D">
        <w:rPr>
          <w:rFonts w:ascii="72 Light" w:hAnsi="72 Light" w:cs="72 Light"/>
          <w:lang w:val="fr-CA"/>
        </w:rPr>
        <w:t xml:space="preserve"> et des Premières Nations a débouché sur des réalisations importantes, comme le financement durable et progressif à plus long terme (de cinq à dix ans), des rapports plus souples</w:t>
      </w:r>
      <w:r w:rsidRPr="007B324D">
        <w:rPr>
          <w:rFonts w:ascii="72 Light" w:hAnsi="72 Light" w:cs="72 Light"/>
          <w:lang w:val="fr-CA"/>
        </w:rPr>
        <w:t xml:space="preserve"> et</w:t>
      </w:r>
      <w:r w:rsidR="00BF3013" w:rsidRPr="007B324D">
        <w:rPr>
          <w:rFonts w:ascii="72 Light" w:hAnsi="72 Light" w:cs="72 Light"/>
          <w:lang w:val="fr-CA"/>
        </w:rPr>
        <w:t xml:space="preserve"> la possibilité de reporter des fonds d’une année à l’autre</w:t>
      </w:r>
      <w:r w:rsidRPr="007B324D">
        <w:rPr>
          <w:rFonts w:ascii="72 Light" w:hAnsi="72 Light" w:cs="72 Light"/>
          <w:lang w:val="fr-CA"/>
        </w:rPr>
        <w:t>. Il s’agit par ailleurs d’un programme évolutif</w:t>
      </w:r>
      <w:r w:rsidR="00BF3013" w:rsidRPr="007B324D">
        <w:rPr>
          <w:rFonts w:ascii="72 Light" w:hAnsi="72 Light" w:cs="72 Light"/>
          <w:lang w:val="fr-CA"/>
        </w:rPr>
        <w:t xml:space="preserve">. </w:t>
      </w:r>
      <w:r w:rsidRPr="007B324D">
        <w:rPr>
          <w:rFonts w:ascii="72 Light" w:hAnsi="72 Light" w:cs="72 Light"/>
          <w:lang w:val="fr-CA"/>
        </w:rPr>
        <w:t xml:space="preserve">D’autres domaines restent à modifier, comme </w:t>
      </w:r>
      <w:r w:rsidR="00BF3013" w:rsidRPr="007B324D">
        <w:rPr>
          <w:rFonts w:ascii="72 Light" w:hAnsi="72 Light" w:cs="72 Light"/>
          <w:lang w:val="fr-CA"/>
        </w:rPr>
        <w:t xml:space="preserve">le </w:t>
      </w:r>
      <w:r w:rsidRPr="007B324D">
        <w:rPr>
          <w:rFonts w:ascii="72 Light" w:hAnsi="72 Light" w:cs="72 Light"/>
          <w:lang w:val="fr-CA"/>
        </w:rPr>
        <w:t xml:space="preserve">manque </w:t>
      </w:r>
      <w:r w:rsidR="00BF3013" w:rsidRPr="007B324D">
        <w:rPr>
          <w:rFonts w:ascii="72 Light" w:hAnsi="72 Light" w:cs="72 Light"/>
          <w:lang w:val="fr-CA"/>
        </w:rPr>
        <w:t xml:space="preserve">de financement, les effets </w:t>
      </w:r>
      <w:r w:rsidRPr="007B324D">
        <w:rPr>
          <w:rFonts w:ascii="72 Light" w:hAnsi="72 Light" w:cs="72 Light"/>
          <w:lang w:val="fr-CA"/>
        </w:rPr>
        <w:t>de l’inflation</w:t>
      </w:r>
      <w:r w:rsidR="00BF3013" w:rsidRPr="007B324D">
        <w:rPr>
          <w:rFonts w:ascii="72 Light" w:hAnsi="72 Light" w:cs="72 Light"/>
          <w:lang w:val="fr-CA"/>
        </w:rPr>
        <w:t>, le financement supplémentaire pour soutenir les nouveaux accords avec les Premières Nations, le maintien du contrôle du programme par EDSC</w:t>
      </w:r>
      <w:r w:rsidRPr="007B324D">
        <w:rPr>
          <w:rFonts w:ascii="72 Light" w:hAnsi="72 Light" w:cs="72 Light"/>
          <w:lang w:val="fr-CA"/>
        </w:rPr>
        <w:t>, l</w:t>
      </w:r>
      <w:r w:rsidR="00BF3013" w:rsidRPr="007B324D">
        <w:rPr>
          <w:rFonts w:ascii="72 Light" w:hAnsi="72 Light" w:cs="72 Light"/>
          <w:lang w:val="fr-CA"/>
        </w:rPr>
        <w:t xml:space="preserve">e fait que le transfert </w:t>
      </w:r>
      <w:r w:rsidRPr="007B324D">
        <w:rPr>
          <w:rFonts w:ascii="72 Light" w:hAnsi="72 Light" w:cs="72 Light"/>
          <w:lang w:val="fr-CA"/>
        </w:rPr>
        <w:t xml:space="preserve">des responsabilités </w:t>
      </w:r>
      <w:r w:rsidR="00BF3013" w:rsidRPr="007B324D">
        <w:rPr>
          <w:rFonts w:ascii="72 Light" w:hAnsi="72 Light" w:cs="72 Light"/>
          <w:lang w:val="fr-CA"/>
        </w:rPr>
        <w:t xml:space="preserve">du programme aux Premières Nations ne soit pas une priorité et le chevauchement avec </w:t>
      </w:r>
      <w:r w:rsidRPr="007B324D">
        <w:rPr>
          <w:rFonts w:ascii="72 Light" w:hAnsi="72 Light" w:cs="72 Light"/>
          <w:lang w:val="fr-CA"/>
        </w:rPr>
        <w:t>d</w:t>
      </w:r>
      <w:r w:rsidR="00BF3013" w:rsidRPr="007B324D">
        <w:rPr>
          <w:rFonts w:ascii="72 Light" w:hAnsi="72 Light" w:cs="72 Light"/>
          <w:lang w:val="fr-CA"/>
        </w:rPr>
        <w:t xml:space="preserve">es organisations non autochtones. </w:t>
      </w:r>
    </w:p>
    <w:p w14:paraId="08866B8C" w14:textId="7A63BDA2" w:rsidR="00BF3013" w:rsidRPr="007B324D" w:rsidRDefault="00BF3013" w:rsidP="00F62155">
      <w:pPr>
        <w:tabs>
          <w:tab w:val="left" w:pos="3544"/>
        </w:tabs>
        <w:spacing w:before="120" w:line="276" w:lineRule="auto"/>
        <w:ind w:left="0" w:firstLine="0"/>
        <w:jc w:val="both"/>
        <w:rPr>
          <w:rFonts w:ascii="72 Light" w:hAnsi="72 Light" w:cs="72 Light"/>
          <w:bCs/>
          <w:i/>
          <w:iCs/>
          <w:sz w:val="24"/>
          <w:szCs w:val="24"/>
          <w:lang w:val="fr-CA"/>
        </w:rPr>
      </w:pPr>
      <w:r w:rsidRPr="007B324D">
        <w:rPr>
          <w:rFonts w:ascii="72 Light" w:hAnsi="72 Light" w:cs="72 Light"/>
          <w:bCs/>
          <w:i/>
          <w:iCs/>
          <w:sz w:val="24"/>
          <w:szCs w:val="24"/>
          <w:lang w:val="fr-CA"/>
        </w:rPr>
        <w:t>Enseignement postsecondaire</w:t>
      </w:r>
    </w:p>
    <w:p w14:paraId="27D8920F" w14:textId="1A70C1EA" w:rsidR="00BF3013" w:rsidRPr="007B324D" w:rsidRDefault="00BF3013" w:rsidP="00F62155">
      <w:pPr>
        <w:tabs>
          <w:tab w:val="left" w:pos="3544"/>
        </w:tabs>
        <w:spacing w:before="120" w:line="276" w:lineRule="auto"/>
        <w:ind w:left="0" w:firstLine="0"/>
        <w:jc w:val="both"/>
        <w:rPr>
          <w:rStyle w:val="normaltextrun"/>
          <w:rFonts w:ascii="72 Light" w:eastAsia="72 Light" w:hAnsi="72 Light" w:cs="72 Light"/>
          <w:sz w:val="24"/>
          <w:szCs w:val="24"/>
          <w:lang w:val="fr-CA"/>
        </w:rPr>
      </w:pPr>
      <w:r w:rsidRPr="007B324D">
        <w:rPr>
          <w:rStyle w:val="normaltextrun"/>
          <w:rFonts w:ascii="72 Light" w:hAnsi="72 Light" w:cs="72 Light"/>
          <w:sz w:val="24"/>
          <w:szCs w:val="24"/>
          <w:lang w:val="fr-CA"/>
        </w:rPr>
        <w:t xml:space="preserve">Le gouvernement du Canada continue </w:t>
      </w:r>
      <w:r w:rsidR="002901D4" w:rsidRPr="007B324D">
        <w:rPr>
          <w:rStyle w:val="normaltextrun"/>
          <w:rFonts w:ascii="72 Light" w:hAnsi="72 Light" w:cs="72 Light"/>
          <w:sz w:val="24"/>
          <w:szCs w:val="24"/>
          <w:lang w:val="fr-CA"/>
        </w:rPr>
        <w:t>de voir</w:t>
      </w:r>
      <w:r w:rsidRPr="007B324D">
        <w:rPr>
          <w:rStyle w:val="normaltextrun"/>
          <w:rFonts w:ascii="72 Light" w:hAnsi="72 Light" w:cs="72 Light"/>
          <w:sz w:val="24"/>
          <w:szCs w:val="24"/>
          <w:lang w:val="fr-CA"/>
        </w:rPr>
        <w:t xml:space="preserve"> l’enseignement postsecondaire des Premières Nations comme une question de politique sociale plutôt que comme un droit inhérent, un droit issu des traités et un droit de la personne. Les Premières Nations </w:t>
      </w:r>
      <w:r w:rsidR="001A5656" w:rsidRPr="007B324D">
        <w:rPr>
          <w:rStyle w:val="normaltextrun"/>
          <w:rFonts w:ascii="72 Light" w:hAnsi="72 Light" w:cs="72 Light"/>
          <w:sz w:val="24"/>
          <w:szCs w:val="24"/>
          <w:lang w:val="fr-CA"/>
        </w:rPr>
        <w:t xml:space="preserve">sont aux prises avec </w:t>
      </w:r>
      <w:r w:rsidRPr="007B324D">
        <w:rPr>
          <w:rStyle w:val="normaltextrun"/>
          <w:rFonts w:ascii="72 Light" w:hAnsi="72 Light" w:cs="72 Light"/>
          <w:sz w:val="24"/>
          <w:szCs w:val="24"/>
          <w:lang w:val="fr-CA"/>
        </w:rPr>
        <w:t xml:space="preserve">des défis permanents en matière d’administration et de soutien des étudiants </w:t>
      </w:r>
      <w:r w:rsidR="001A5656" w:rsidRPr="007B324D">
        <w:rPr>
          <w:rStyle w:val="normaltextrun"/>
          <w:rFonts w:ascii="72 Light" w:hAnsi="72 Light" w:cs="72 Light"/>
          <w:sz w:val="24"/>
          <w:szCs w:val="24"/>
          <w:lang w:val="fr-CA"/>
        </w:rPr>
        <w:t xml:space="preserve">de niveau </w:t>
      </w:r>
      <w:r w:rsidRPr="007B324D">
        <w:rPr>
          <w:rStyle w:val="normaltextrun"/>
          <w:rFonts w:ascii="72 Light" w:hAnsi="72 Light" w:cs="72 Light"/>
          <w:sz w:val="24"/>
          <w:szCs w:val="24"/>
          <w:lang w:val="fr-CA"/>
        </w:rPr>
        <w:t xml:space="preserve">postsecondaire et des établissements d’enseignement supérieur des Premières Nations. En 2019, les Premières Nations ont entamé un processus </w:t>
      </w:r>
      <w:r w:rsidR="001A5656" w:rsidRPr="007B324D">
        <w:rPr>
          <w:rStyle w:val="normaltextrun"/>
          <w:rFonts w:ascii="72 Light" w:hAnsi="72 Light" w:cs="72 Light"/>
          <w:sz w:val="24"/>
          <w:szCs w:val="24"/>
          <w:lang w:val="fr-CA"/>
        </w:rPr>
        <w:t>de consultation</w:t>
      </w:r>
      <w:r w:rsidRPr="007B324D">
        <w:rPr>
          <w:rStyle w:val="normaltextrun"/>
          <w:rFonts w:ascii="72 Light" w:hAnsi="72 Light" w:cs="72 Light"/>
          <w:sz w:val="24"/>
          <w:szCs w:val="24"/>
          <w:lang w:val="fr-CA"/>
        </w:rPr>
        <w:t xml:space="preserve"> de trois ans afin d’élaborer des modèles et des approches en matière d’enseignement postsecondaire qui </w:t>
      </w:r>
      <w:r w:rsidR="001A5656" w:rsidRPr="007B324D">
        <w:rPr>
          <w:rStyle w:val="normaltextrun"/>
          <w:rFonts w:ascii="72 Light" w:hAnsi="72 Light" w:cs="72 Light"/>
          <w:sz w:val="24"/>
          <w:szCs w:val="24"/>
          <w:lang w:val="fr-CA"/>
        </w:rPr>
        <w:t>permettraient d’obtenir</w:t>
      </w:r>
      <w:r w:rsidRPr="007B324D">
        <w:rPr>
          <w:rStyle w:val="normaltextrun"/>
          <w:rFonts w:ascii="72 Light" w:hAnsi="72 Light" w:cs="72 Light"/>
          <w:sz w:val="24"/>
          <w:szCs w:val="24"/>
          <w:lang w:val="fr-CA"/>
        </w:rPr>
        <w:t xml:space="preserve"> un financement adéquat, prévisible, durable et équitable pour leurs étudiants </w:t>
      </w:r>
      <w:r w:rsidR="001A5656" w:rsidRPr="007B324D">
        <w:rPr>
          <w:rStyle w:val="normaltextrun"/>
          <w:rFonts w:ascii="72 Light" w:hAnsi="72 Light" w:cs="72 Light"/>
          <w:sz w:val="24"/>
          <w:szCs w:val="24"/>
          <w:lang w:val="fr-CA"/>
        </w:rPr>
        <w:t xml:space="preserve">de niveau </w:t>
      </w:r>
      <w:r w:rsidRPr="007B324D">
        <w:rPr>
          <w:rStyle w:val="normaltextrun"/>
          <w:rFonts w:ascii="72 Light" w:hAnsi="72 Light" w:cs="72 Light"/>
          <w:sz w:val="24"/>
          <w:szCs w:val="24"/>
          <w:lang w:val="fr-CA"/>
        </w:rPr>
        <w:t>postsecondaire. À l’issue de ce processus, le gouvernement du Canada n’a prévu aucun financement supplémentaire ni aucune reconnaissance de cet</w:t>
      </w:r>
      <w:r w:rsidR="001A5656" w:rsidRPr="007B324D">
        <w:rPr>
          <w:rStyle w:val="normaltextrun"/>
          <w:rFonts w:ascii="72 Light" w:hAnsi="72 Light" w:cs="72 Light"/>
          <w:sz w:val="24"/>
          <w:szCs w:val="24"/>
          <w:lang w:val="fr-CA"/>
        </w:rPr>
        <w:t>te consultation</w:t>
      </w:r>
      <w:r w:rsidRPr="007B324D">
        <w:rPr>
          <w:rStyle w:val="normaltextrun"/>
          <w:rFonts w:ascii="72 Light" w:hAnsi="72 Light" w:cs="72 Light"/>
          <w:sz w:val="24"/>
          <w:szCs w:val="24"/>
          <w:lang w:val="fr-CA"/>
        </w:rPr>
        <w:t xml:space="preserve"> national</w:t>
      </w:r>
      <w:r w:rsidR="001A5656" w:rsidRPr="007B324D">
        <w:rPr>
          <w:rStyle w:val="normaltextrun"/>
          <w:rFonts w:ascii="72 Light" w:hAnsi="72 Light" w:cs="72 Light"/>
          <w:sz w:val="24"/>
          <w:szCs w:val="24"/>
          <w:lang w:val="fr-CA"/>
        </w:rPr>
        <w:t>e</w:t>
      </w:r>
      <w:r w:rsidRPr="007B324D">
        <w:rPr>
          <w:rStyle w:val="normaltextrun"/>
          <w:rFonts w:ascii="72 Light" w:hAnsi="72 Light" w:cs="72 Light"/>
          <w:sz w:val="24"/>
          <w:szCs w:val="24"/>
          <w:lang w:val="fr-CA"/>
        </w:rPr>
        <w:t xml:space="preserve"> dans le budget de 2022. Ces modèles d’enseignement postsecondaire fourniraient un soutien personnalisé aux étudiants des Premières Nations pour qu’ils réussissent </w:t>
      </w:r>
      <w:r w:rsidR="001A5656" w:rsidRPr="007B324D">
        <w:rPr>
          <w:rStyle w:val="normaltextrun"/>
          <w:rFonts w:ascii="72 Light" w:hAnsi="72 Light" w:cs="72 Light"/>
          <w:sz w:val="24"/>
          <w:szCs w:val="24"/>
          <w:lang w:val="fr-CA"/>
        </w:rPr>
        <w:t>leurs études</w:t>
      </w:r>
      <w:r w:rsidRPr="007B324D">
        <w:rPr>
          <w:rStyle w:val="normaltextrun"/>
          <w:rFonts w:ascii="72 Light" w:hAnsi="72 Light" w:cs="72 Light"/>
          <w:sz w:val="24"/>
          <w:szCs w:val="24"/>
          <w:lang w:val="fr-CA"/>
        </w:rPr>
        <w:t xml:space="preserve"> postsecondaire</w:t>
      </w:r>
      <w:r w:rsidR="001A5656" w:rsidRPr="007B324D">
        <w:rPr>
          <w:rStyle w:val="normaltextrun"/>
          <w:rFonts w:ascii="72 Light" w:hAnsi="72 Light" w:cs="72 Light"/>
          <w:sz w:val="24"/>
          <w:szCs w:val="24"/>
          <w:lang w:val="fr-CA"/>
        </w:rPr>
        <w:t>s</w:t>
      </w:r>
      <w:r w:rsidRPr="007B324D">
        <w:rPr>
          <w:rStyle w:val="normaltextrun"/>
          <w:rFonts w:ascii="72 Light" w:hAnsi="72 Light" w:cs="72 Light"/>
          <w:sz w:val="24"/>
          <w:szCs w:val="24"/>
          <w:lang w:val="fr-CA"/>
        </w:rPr>
        <w:t xml:space="preserve"> et répondraient aux besoins particuliers des communautés de tout le pays. </w:t>
      </w:r>
    </w:p>
    <w:p w14:paraId="43B21282" w14:textId="012C6424" w:rsidR="00BF3013" w:rsidRPr="007B324D" w:rsidRDefault="00BF3013" w:rsidP="00F62155">
      <w:pPr>
        <w:tabs>
          <w:tab w:val="left" w:pos="3544"/>
        </w:tabs>
        <w:spacing w:before="120" w:line="276" w:lineRule="auto"/>
        <w:ind w:left="0" w:firstLine="0"/>
        <w:jc w:val="both"/>
        <w:rPr>
          <w:rStyle w:val="normaltextrun"/>
          <w:rFonts w:ascii="72 Light" w:eastAsia="72 Light" w:hAnsi="72 Light" w:cs="72 Light"/>
          <w:sz w:val="24"/>
          <w:szCs w:val="24"/>
          <w:lang w:val="fr-CA"/>
        </w:rPr>
      </w:pPr>
      <w:r w:rsidRPr="007B324D">
        <w:rPr>
          <w:rStyle w:val="normaltextrun"/>
          <w:rFonts w:ascii="72 Light" w:hAnsi="72 Light" w:cs="72 Light"/>
          <w:sz w:val="24"/>
          <w:szCs w:val="24"/>
          <w:lang w:val="fr-CA"/>
        </w:rPr>
        <w:t>Malgré l’inflation, la croissance démographique et l’augmentation du taux d’obtention du diplôme d’études secondaires, le financement des études postsecondaires des Premières Nations n’a pas été à la hauteur des besoins. Seuls 25</w:t>
      </w:r>
      <w:r w:rsidR="00042C3C" w:rsidRPr="007B324D">
        <w:rPr>
          <w:rStyle w:val="normaltextrun"/>
          <w:rFonts w:ascii="Arial" w:hAnsi="Arial" w:cs="Arial"/>
          <w:sz w:val="24"/>
          <w:szCs w:val="24"/>
          <w:lang w:val="fr-CA"/>
        </w:rPr>
        <w:t> </w:t>
      </w:r>
      <w:r w:rsidRPr="007B324D">
        <w:rPr>
          <w:rStyle w:val="normaltextrun"/>
          <w:rFonts w:ascii="72 Light" w:hAnsi="72 Light" w:cs="72 Light"/>
          <w:sz w:val="24"/>
          <w:szCs w:val="24"/>
          <w:lang w:val="fr-CA"/>
        </w:rPr>
        <w:t>000 étudiants sont soutenus par le gouvernement fédéral chaque année depuis 1996. Le renforcement des investissements gouvernementaux visant à combler l</w:t>
      </w:r>
      <w:r w:rsidR="001A5656" w:rsidRPr="007B324D">
        <w:rPr>
          <w:rStyle w:val="normaltextrun"/>
          <w:rFonts w:ascii="72 Light" w:hAnsi="72 Light" w:cs="72 Light"/>
          <w:sz w:val="24"/>
          <w:szCs w:val="24"/>
          <w:lang w:val="fr-CA"/>
        </w:rPr>
        <w:t>’écart en matière d’études postsecondaires chez les</w:t>
      </w:r>
      <w:r w:rsidRPr="007B324D">
        <w:rPr>
          <w:rStyle w:val="normaltextrun"/>
          <w:rFonts w:ascii="72 Light" w:hAnsi="72 Light" w:cs="72 Light"/>
          <w:sz w:val="24"/>
          <w:szCs w:val="24"/>
          <w:lang w:val="fr-CA"/>
        </w:rPr>
        <w:t xml:space="preserve"> Premières Nations aurait d’énormes retombées pour le Canada, notamment une augmentation du PIB de 30 milliards de dollars et une augmentation de l’emploi des Premières Nations de plus de 100</w:t>
      </w:r>
      <w:r w:rsidR="00042C3C" w:rsidRPr="007B324D">
        <w:rPr>
          <w:rStyle w:val="normaltextrun"/>
          <w:rFonts w:ascii="Arial" w:hAnsi="Arial" w:cs="Arial"/>
          <w:sz w:val="24"/>
          <w:szCs w:val="24"/>
          <w:lang w:val="fr-CA"/>
        </w:rPr>
        <w:t> </w:t>
      </w:r>
      <w:r w:rsidRPr="007B324D">
        <w:rPr>
          <w:rStyle w:val="normaltextrun"/>
          <w:rFonts w:ascii="72 Light" w:hAnsi="72 Light" w:cs="72 Light"/>
          <w:sz w:val="24"/>
          <w:szCs w:val="24"/>
          <w:lang w:val="fr-CA"/>
        </w:rPr>
        <w:t xml:space="preserve">000 emplois supplémentaires. </w:t>
      </w:r>
    </w:p>
    <w:p w14:paraId="50524C28" w14:textId="0EB714B7" w:rsidR="00BF3013" w:rsidRPr="007B324D" w:rsidRDefault="00BF3013" w:rsidP="00F62155">
      <w:pPr>
        <w:tabs>
          <w:tab w:val="left" w:pos="3544"/>
        </w:tabs>
        <w:spacing w:before="120" w:line="276" w:lineRule="auto"/>
        <w:ind w:left="0" w:firstLine="0"/>
        <w:jc w:val="both"/>
        <w:rPr>
          <w:rStyle w:val="normaltextrun"/>
          <w:rFonts w:ascii="72 Light" w:eastAsia="72 Light" w:hAnsi="72 Light" w:cs="72 Light"/>
          <w:b/>
          <w:bCs/>
          <w:sz w:val="24"/>
          <w:szCs w:val="24"/>
          <w:lang w:val="fr-CA"/>
        </w:rPr>
      </w:pPr>
      <w:r w:rsidRPr="007B324D">
        <w:rPr>
          <w:rStyle w:val="normaltextrun"/>
          <w:rFonts w:ascii="72 Light" w:hAnsi="72 Light" w:cs="72 Light"/>
          <w:b/>
          <w:bCs/>
          <w:sz w:val="24"/>
          <w:szCs w:val="24"/>
          <w:lang w:val="fr-CA"/>
        </w:rPr>
        <w:lastRenderedPageBreak/>
        <w:t xml:space="preserve">Initiatives en matière d’emploi et de travail </w:t>
      </w:r>
    </w:p>
    <w:p w14:paraId="00406CBB" w14:textId="77777777" w:rsidR="00BF3013" w:rsidRPr="007B324D" w:rsidRDefault="00BF3013" w:rsidP="00F62155">
      <w:pPr>
        <w:tabs>
          <w:tab w:val="left" w:pos="3544"/>
        </w:tabs>
        <w:spacing w:before="120" w:line="276" w:lineRule="auto"/>
        <w:jc w:val="both"/>
        <w:rPr>
          <w:rFonts w:ascii="72 Light" w:hAnsi="72 Light" w:cs="72 Light"/>
          <w:bCs/>
          <w:i/>
          <w:iCs/>
          <w:sz w:val="24"/>
          <w:szCs w:val="24"/>
          <w:lang w:val="fr-CA"/>
        </w:rPr>
      </w:pPr>
      <w:r w:rsidRPr="007B324D">
        <w:rPr>
          <w:rFonts w:ascii="72 Light" w:hAnsi="72 Light" w:cs="72 Light"/>
          <w:bCs/>
          <w:i/>
          <w:iCs/>
          <w:sz w:val="24"/>
          <w:szCs w:val="24"/>
          <w:lang w:val="fr-CA"/>
        </w:rPr>
        <w:t>Équité salariale et parité salariale</w:t>
      </w:r>
    </w:p>
    <w:p w14:paraId="4297FF60" w14:textId="3724C8A0" w:rsidR="00BF3013" w:rsidRPr="007B324D" w:rsidRDefault="00BF3013" w:rsidP="00F62155">
      <w:pPr>
        <w:tabs>
          <w:tab w:val="left" w:pos="3544"/>
        </w:tabs>
        <w:spacing w:before="120" w:line="276" w:lineRule="auto"/>
        <w:ind w:left="0" w:firstLine="0"/>
        <w:jc w:val="both"/>
        <w:rPr>
          <w:rFonts w:ascii="72 Light" w:hAnsi="72 Light" w:cs="72 Light"/>
          <w:bCs/>
          <w:sz w:val="24"/>
          <w:szCs w:val="24"/>
          <w:lang w:val="fr-CA"/>
        </w:rPr>
      </w:pPr>
      <w:r w:rsidRPr="007B324D">
        <w:rPr>
          <w:rFonts w:ascii="72 Light" w:hAnsi="72 Light" w:cs="72 Light"/>
          <w:sz w:val="24"/>
          <w:szCs w:val="24"/>
          <w:lang w:val="fr-CA"/>
        </w:rPr>
        <w:t xml:space="preserve">La </w:t>
      </w:r>
      <w:r w:rsidRPr="007B324D">
        <w:rPr>
          <w:rFonts w:ascii="72 Light" w:hAnsi="72 Light" w:cs="72 Light"/>
          <w:bCs/>
          <w:i/>
          <w:iCs/>
          <w:sz w:val="24"/>
          <w:szCs w:val="24"/>
          <w:lang w:val="fr-CA"/>
        </w:rPr>
        <w:t>Loi sur l’équité salariale</w:t>
      </w:r>
      <w:r w:rsidRPr="007B324D">
        <w:rPr>
          <w:rFonts w:ascii="72 Light" w:hAnsi="72 Light" w:cs="72 Light"/>
          <w:sz w:val="24"/>
          <w:szCs w:val="24"/>
          <w:lang w:val="fr-CA"/>
        </w:rPr>
        <w:t xml:space="preserve"> est entrée en vigueur en 2021. Le Canada </w:t>
      </w:r>
      <w:r w:rsidR="001A5656" w:rsidRPr="007B324D">
        <w:rPr>
          <w:rFonts w:ascii="72 Light" w:hAnsi="72 Light" w:cs="72 Light"/>
          <w:sz w:val="24"/>
          <w:szCs w:val="24"/>
          <w:lang w:val="fr-CA"/>
        </w:rPr>
        <w:t xml:space="preserve">a omis de préciser </w:t>
      </w:r>
      <w:r w:rsidRPr="007B324D">
        <w:rPr>
          <w:rFonts w:ascii="72 Light" w:hAnsi="72 Light" w:cs="72 Light"/>
          <w:sz w:val="24"/>
          <w:szCs w:val="24"/>
          <w:lang w:val="fr-CA"/>
        </w:rPr>
        <w:t xml:space="preserve">que cette loi ne s’applique pas actuellement aux territoires ou aux organes de gouvernance autochtones, y compris les gouvernements des Premières Nations. L’équité salariale dans ces lieux de travail est toujours protégée par l’article 11 de la </w:t>
      </w:r>
      <w:r w:rsidR="001A5656" w:rsidRPr="007B324D">
        <w:rPr>
          <w:rFonts w:ascii="72 Light" w:hAnsi="72 Light" w:cs="72 Light"/>
          <w:bCs/>
          <w:i/>
          <w:iCs/>
          <w:sz w:val="24"/>
          <w:szCs w:val="24"/>
          <w:lang w:val="fr-CA"/>
        </w:rPr>
        <w:t>L</w:t>
      </w:r>
      <w:r w:rsidRPr="007B324D">
        <w:rPr>
          <w:rFonts w:ascii="72 Light" w:hAnsi="72 Light" w:cs="72 Light"/>
          <w:bCs/>
          <w:i/>
          <w:iCs/>
          <w:sz w:val="24"/>
          <w:szCs w:val="24"/>
          <w:lang w:val="fr-CA"/>
        </w:rPr>
        <w:t>oi canadienne sur les droits de la personne</w:t>
      </w:r>
      <w:r w:rsidRPr="007B324D">
        <w:rPr>
          <w:rFonts w:ascii="72 Light" w:hAnsi="72 Light" w:cs="72 Light"/>
          <w:sz w:val="24"/>
          <w:szCs w:val="24"/>
          <w:lang w:val="fr-CA"/>
        </w:rPr>
        <w:t xml:space="preserve"> ou par la législation territoriale. Le Canada ne dispose d’aucune donnée sur la disparité salariale </w:t>
      </w:r>
      <w:r w:rsidR="001A5656" w:rsidRPr="007B324D">
        <w:rPr>
          <w:rFonts w:ascii="72 Light" w:hAnsi="72 Light" w:cs="72 Light"/>
          <w:sz w:val="24"/>
          <w:szCs w:val="24"/>
          <w:lang w:val="fr-CA"/>
        </w:rPr>
        <w:t>chez les membres de</w:t>
      </w:r>
      <w:r w:rsidRPr="007B324D">
        <w:rPr>
          <w:rFonts w:ascii="72 Light" w:hAnsi="72 Light" w:cs="72 Light"/>
          <w:sz w:val="24"/>
          <w:szCs w:val="24"/>
          <w:lang w:val="fr-CA"/>
        </w:rPr>
        <w:t xml:space="preserve"> Premières Nations. Les données du recensement de 2016 de Statistique Canada montrent que les femmes autochtones travaillant à temps plein </w:t>
      </w:r>
      <w:r w:rsidR="001A5656" w:rsidRPr="007B324D">
        <w:rPr>
          <w:rFonts w:ascii="72 Light" w:hAnsi="72 Light" w:cs="72 Light"/>
          <w:sz w:val="24"/>
          <w:szCs w:val="24"/>
          <w:lang w:val="fr-CA"/>
        </w:rPr>
        <w:t>à</w:t>
      </w:r>
      <w:r w:rsidRPr="007B324D">
        <w:rPr>
          <w:rFonts w:ascii="72 Light" w:hAnsi="72 Light" w:cs="72 Light"/>
          <w:sz w:val="24"/>
          <w:szCs w:val="24"/>
          <w:lang w:val="fr-CA"/>
        </w:rPr>
        <w:t xml:space="preserve"> l’année gagnent en moyenne 35 % de moins que les hommes non autochtones, soit 65 cents pour un dollar. </w:t>
      </w:r>
    </w:p>
    <w:p w14:paraId="5C2CDD9E" w14:textId="0A5C6231" w:rsidR="00BF3013" w:rsidRPr="007B324D" w:rsidRDefault="00BF3013" w:rsidP="00F62155">
      <w:pPr>
        <w:tabs>
          <w:tab w:val="left" w:pos="3544"/>
        </w:tabs>
        <w:spacing w:before="120" w:line="276" w:lineRule="auto"/>
        <w:ind w:left="0" w:firstLine="0"/>
        <w:jc w:val="both"/>
        <w:rPr>
          <w:rFonts w:ascii="72 Light" w:hAnsi="72 Light" w:cs="72 Light"/>
          <w:bCs/>
          <w:sz w:val="24"/>
          <w:szCs w:val="24"/>
          <w:lang w:val="fr-CA"/>
        </w:rPr>
      </w:pPr>
      <w:r w:rsidRPr="007B324D">
        <w:rPr>
          <w:rFonts w:ascii="72 Light" w:hAnsi="72 Light" w:cs="72 Light"/>
          <w:sz w:val="24"/>
          <w:szCs w:val="24"/>
          <w:lang w:val="fr-CA"/>
        </w:rPr>
        <w:t>Outre l’équité salariale entre les hommes et les femmes, il subsiste un écart salarial considérable pour le</w:t>
      </w:r>
      <w:r w:rsidR="001A5656" w:rsidRPr="007B324D">
        <w:rPr>
          <w:rFonts w:ascii="72 Light" w:hAnsi="72 Light" w:cs="72 Light"/>
          <w:sz w:val="24"/>
          <w:szCs w:val="24"/>
          <w:lang w:val="fr-CA"/>
        </w:rPr>
        <w:t>s employés des</w:t>
      </w:r>
      <w:r w:rsidRPr="007B324D">
        <w:rPr>
          <w:rFonts w:ascii="72 Light" w:hAnsi="72 Light" w:cs="72 Light"/>
          <w:sz w:val="24"/>
          <w:szCs w:val="24"/>
          <w:lang w:val="fr-CA"/>
        </w:rPr>
        <w:t xml:space="preserve"> gouvernements des Premières Nations. En raison d’un financement insuffisant, les Premières Nations sont souvent contraintes de rémunérer leur personnel à des taux bien inférieurs à ceux des organisations non autochtones. </w:t>
      </w:r>
      <w:r w:rsidR="001A5656" w:rsidRPr="007B324D">
        <w:rPr>
          <w:rFonts w:ascii="72 Light" w:hAnsi="72 Light" w:cs="72 Light"/>
          <w:sz w:val="24"/>
          <w:szCs w:val="24"/>
          <w:lang w:val="fr-CA"/>
        </w:rPr>
        <w:t>Par conséquent, elles ont du mal</w:t>
      </w:r>
      <w:r w:rsidRPr="007B324D">
        <w:rPr>
          <w:rFonts w:ascii="72 Light" w:hAnsi="72 Light" w:cs="72 Light"/>
          <w:sz w:val="24"/>
          <w:szCs w:val="24"/>
          <w:lang w:val="fr-CA"/>
        </w:rPr>
        <w:t xml:space="preserve"> à attirer et à maintenir le personnel en poste. </w:t>
      </w:r>
      <w:r w:rsidR="001A5656" w:rsidRPr="007B324D">
        <w:rPr>
          <w:rFonts w:ascii="72 Light" w:hAnsi="72 Light" w:cs="72 Light"/>
          <w:sz w:val="24"/>
          <w:szCs w:val="24"/>
          <w:lang w:val="fr-CA"/>
        </w:rPr>
        <w:t>Ainsi</w:t>
      </w:r>
      <w:r w:rsidRPr="007B324D">
        <w:rPr>
          <w:rFonts w:ascii="72 Light" w:hAnsi="72 Light" w:cs="72 Light"/>
          <w:sz w:val="24"/>
          <w:szCs w:val="24"/>
          <w:lang w:val="fr-CA"/>
        </w:rPr>
        <w:t xml:space="preserve">, les enseignants et les conseillers travaillant pour les écoles des Premières Nations sont nettement moins bien payés que </w:t>
      </w:r>
      <w:r w:rsidR="001A5656" w:rsidRPr="007B324D">
        <w:rPr>
          <w:rFonts w:ascii="72 Light" w:hAnsi="72 Light" w:cs="72 Light"/>
          <w:sz w:val="24"/>
          <w:szCs w:val="24"/>
          <w:lang w:val="fr-CA"/>
        </w:rPr>
        <w:t>ceux du</w:t>
      </w:r>
      <w:r w:rsidRPr="007B324D">
        <w:rPr>
          <w:rFonts w:ascii="72 Light" w:hAnsi="72 Light" w:cs="72 Light"/>
          <w:sz w:val="24"/>
          <w:szCs w:val="24"/>
          <w:lang w:val="fr-CA"/>
        </w:rPr>
        <w:t xml:space="preserve"> système scolaire provincial. Cette situation conduit souvent les enseignants et les conseillers à quitter les Premières Nations pour </w:t>
      </w:r>
      <w:r w:rsidR="001A5656" w:rsidRPr="007B324D">
        <w:rPr>
          <w:rFonts w:ascii="72 Light" w:hAnsi="72 Light" w:cs="72 Light"/>
          <w:sz w:val="24"/>
          <w:szCs w:val="24"/>
          <w:lang w:val="fr-CA"/>
        </w:rPr>
        <w:t>travailler dans des</w:t>
      </w:r>
      <w:r w:rsidRPr="007B324D">
        <w:rPr>
          <w:rFonts w:ascii="72 Light" w:hAnsi="72 Light" w:cs="72 Light"/>
          <w:sz w:val="24"/>
          <w:szCs w:val="24"/>
          <w:lang w:val="fr-CA"/>
        </w:rPr>
        <w:t xml:space="preserve"> écoles provinciales.</w:t>
      </w:r>
    </w:p>
    <w:p w14:paraId="403ED329" w14:textId="582E4216" w:rsidR="00BF3013" w:rsidRPr="007B324D" w:rsidRDefault="00BF3013" w:rsidP="00F62155">
      <w:pPr>
        <w:tabs>
          <w:tab w:val="left" w:pos="3544"/>
        </w:tabs>
        <w:spacing w:before="120" w:line="276" w:lineRule="auto"/>
        <w:jc w:val="both"/>
        <w:rPr>
          <w:rFonts w:ascii="72 Light" w:hAnsi="72 Light" w:cs="72 Light"/>
          <w:b/>
          <w:sz w:val="24"/>
          <w:szCs w:val="24"/>
          <w:lang w:val="fr-CA"/>
        </w:rPr>
      </w:pPr>
      <w:r w:rsidRPr="007B324D">
        <w:rPr>
          <w:rFonts w:ascii="72 Light" w:hAnsi="72 Light" w:cs="72 Light"/>
          <w:b/>
          <w:sz w:val="24"/>
          <w:szCs w:val="24"/>
          <w:lang w:val="fr-CA"/>
        </w:rPr>
        <w:t xml:space="preserve">Pauvreté, itinérance et sécurité alimentaire </w:t>
      </w:r>
    </w:p>
    <w:p w14:paraId="4537A0CA" w14:textId="3A3DE02D" w:rsidR="00BF3013" w:rsidRPr="007B324D" w:rsidRDefault="001A5656"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Si</w:t>
      </w:r>
      <w:r w:rsidR="00BF3013" w:rsidRPr="007B324D">
        <w:rPr>
          <w:rFonts w:ascii="72 Light" w:hAnsi="72 Light" w:cs="72 Light"/>
          <w:sz w:val="24"/>
          <w:szCs w:val="24"/>
          <w:lang w:val="fr-CA"/>
        </w:rPr>
        <w:t xml:space="preserve"> la </w:t>
      </w:r>
      <w:r w:rsidR="00BF3013" w:rsidRPr="007B324D">
        <w:rPr>
          <w:rFonts w:ascii="72 Light" w:hAnsi="72 Light" w:cs="72 Light"/>
          <w:i/>
          <w:iCs/>
          <w:sz w:val="24"/>
          <w:szCs w:val="24"/>
          <w:lang w:val="fr-CA"/>
        </w:rPr>
        <w:t>Loi sur la stratégie nationale sur le logement</w:t>
      </w:r>
      <w:r w:rsidR="00BF3013" w:rsidRPr="007B324D">
        <w:rPr>
          <w:rFonts w:ascii="72 Light" w:hAnsi="72 Light" w:cs="72 Light"/>
          <w:sz w:val="24"/>
          <w:szCs w:val="24"/>
          <w:lang w:val="fr-CA"/>
        </w:rPr>
        <w:t xml:space="preserve"> reconna</w:t>
      </w:r>
      <w:r w:rsidR="00884E33" w:rsidRPr="007B324D">
        <w:rPr>
          <w:rFonts w:ascii="72 Light" w:hAnsi="72 Light" w:cs="72 Light"/>
          <w:sz w:val="24"/>
          <w:szCs w:val="24"/>
          <w:lang w:val="fr-CA"/>
        </w:rPr>
        <w:t>î</w:t>
      </w:r>
      <w:r w:rsidRPr="007B324D">
        <w:rPr>
          <w:rFonts w:ascii="72 Light" w:hAnsi="72 Light" w:cs="72 Light"/>
          <w:sz w:val="24"/>
          <w:szCs w:val="24"/>
          <w:lang w:val="fr-CA"/>
        </w:rPr>
        <w:t>t</w:t>
      </w:r>
      <w:r w:rsidR="00C367A2" w:rsidRPr="007B324D">
        <w:rPr>
          <w:rFonts w:ascii="72 Light" w:hAnsi="72 Light" w:cs="72 Light"/>
          <w:sz w:val="24"/>
          <w:szCs w:val="24"/>
          <w:lang w:val="fr-CA"/>
        </w:rPr>
        <w:t xml:space="preserve"> bel et bien</w:t>
      </w:r>
      <w:r w:rsidR="00BF3013" w:rsidRPr="007B324D">
        <w:rPr>
          <w:rFonts w:ascii="72 Light" w:hAnsi="72 Light" w:cs="72 Light"/>
          <w:sz w:val="24"/>
          <w:szCs w:val="24"/>
          <w:lang w:val="fr-CA"/>
        </w:rPr>
        <w:t xml:space="preserve"> le logement comme un droit humain fondamental, </w:t>
      </w:r>
      <w:r w:rsidRPr="007B324D">
        <w:rPr>
          <w:rFonts w:ascii="72 Light" w:hAnsi="72 Light" w:cs="72 Light"/>
          <w:sz w:val="24"/>
          <w:szCs w:val="24"/>
          <w:lang w:val="fr-CA"/>
        </w:rPr>
        <w:t xml:space="preserve">il </w:t>
      </w:r>
      <w:r w:rsidR="00C367A2" w:rsidRPr="007B324D">
        <w:rPr>
          <w:rFonts w:ascii="72 Light" w:hAnsi="72 Light" w:cs="72 Light"/>
          <w:sz w:val="24"/>
          <w:szCs w:val="24"/>
          <w:lang w:val="fr-CA"/>
        </w:rPr>
        <w:t xml:space="preserve">faut </w:t>
      </w:r>
      <w:r w:rsidRPr="007B324D">
        <w:rPr>
          <w:rFonts w:ascii="72 Light" w:hAnsi="72 Light" w:cs="72 Light"/>
          <w:sz w:val="24"/>
          <w:szCs w:val="24"/>
          <w:lang w:val="fr-CA"/>
        </w:rPr>
        <w:t xml:space="preserve">que la </w:t>
      </w:r>
      <w:r w:rsidR="00BF3013" w:rsidRPr="007B324D">
        <w:rPr>
          <w:rFonts w:ascii="72 Light" w:hAnsi="72 Light" w:cs="72 Light"/>
          <w:sz w:val="24"/>
          <w:szCs w:val="24"/>
          <w:lang w:val="fr-CA"/>
        </w:rPr>
        <w:t xml:space="preserve">mise en œuvre de cette loi </w:t>
      </w:r>
      <w:r w:rsidRPr="007B324D">
        <w:rPr>
          <w:rFonts w:ascii="72 Light" w:hAnsi="72 Light" w:cs="72 Light"/>
          <w:sz w:val="24"/>
          <w:szCs w:val="24"/>
          <w:lang w:val="fr-CA"/>
        </w:rPr>
        <w:t>améliore réellement</w:t>
      </w:r>
      <w:r w:rsidR="00BF3013" w:rsidRPr="007B324D">
        <w:rPr>
          <w:rFonts w:ascii="72 Light" w:hAnsi="72 Light" w:cs="72 Light"/>
          <w:sz w:val="24"/>
          <w:szCs w:val="24"/>
          <w:lang w:val="fr-CA"/>
        </w:rPr>
        <w:t xml:space="preserve"> les conditions au sein des communautés des Premières Nations. Pour garantir une élaboration de politiques véritablement inclusive, le Conseil national du logement doit systématiquement </w:t>
      </w:r>
      <w:r w:rsidRPr="007B324D">
        <w:rPr>
          <w:rFonts w:ascii="72 Light" w:hAnsi="72 Light" w:cs="72 Light"/>
          <w:sz w:val="24"/>
          <w:szCs w:val="24"/>
          <w:lang w:val="fr-CA"/>
        </w:rPr>
        <w:t>prendre en compte</w:t>
      </w:r>
      <w:r w:rsidR="00BF3013" w:rsidRPr="007B324D">
        <w:rPr>
          <w:rFonts w:ascii="72 Light" w:hAnsi="72 Light" w:cs="72 Light"/>
          <w:sz w:val="24"/>
          <w:szCs w:val="24"/>
          <w:lang w:val="fr-CA"/>
        </w:rPr>
        <w:t xml:space="preserve"> les voix de</w:t>
      </w:r>
      <w:r w:rsidRPr="007B324D">
        <w:rPr>
          <w:rFonts w:ascii="72 Light" w:hAnsi="72 Light" w:cs="72 Light"/>
          <w:sz w:val="24"/>
          <w:szCs w:val="24"/>
          <w:lang w:val="fr-CA"/>
        </w:rPr>
        <w:t xml:space="preserve"> membres de</w:t>
      </w:r>
      <w:r w:rsidR="00BF3013" w:rsidRPr="007B324D">
        <w:rPr>
          <w:rFonts w:ascii="72 Light" w:hAnsi="72 Light" w:cs="72 Light"/>
          <w:sz w:val="24"/>
          <w:szCs w:val="24"/>
          <w:lang w:val="fr-CA"/>
        </w:rPr>
        <w:t xml:space="preserve"> Premières Nations, conformément à l’article 23 de la DNUDPA.</w:t>
      </w:r>
    </w:p>
    <w:p w14:paraId="02203782" w14:textId="7F8F5699"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Il existe des lacunes importantes dans la manière dont l’initiative Vers un chez-soi répond aux besoins des</w:t>
      </w:r>
      <w:r w:rsidR="0096215D" w:rsidRPr="007B324D">
        <w:rPr>
          <w:rFonts w:ascii="72 Light" w:hAnsi="72 Light" w:cs="72 Light"/>
          <w:sz w:val="24"/>
          <w:szCs w:val="24"/>
          <w:lang w:val="fr-CA"/>
        </w:rPr>
        <w:t xml:space="preserve"> membres de</w:t>
      </w:r>
      <w:r w:rsidRPr="007B324D">
        <w:rPr>
          <w:rFonts w:ascii="72 Light" w:hAnsi="72 Light" w:cs="72 Light"/>
          <w:sz w:val="24"/>
          <w:szCs w:val="24"/>
          <w:lang w:val="fr-CA"/>
        </w:rPr>
        <w:t xml:space="preserve"> Premières Nations, largement surreprésentés dans la population des sans-abri au Canada. L’initiative prévoit un financement précis pour les volets de financement fondés sur les distinctions, </w:t>
      </w:r>
      <w:r w:rsidR="0096215D" w:rsidRPr="007B324D">
        <w:rPr>
          <w:rFonts w:ascii="72 Light" w:hAnsi="72 Light" w:cs="72 Light"/>
          <w:sz w:val="24"/>
          <w:szCs w:val="24"/>
          <w:lang w:val="fr-CA"/>
        </w:rPr>
        <w:t xml:space="preserve">reconnaissant ainsi </w:t>
      </w:r>
      <w:r w:rsidRPr="007B324D">
        <w:rPr>
          <w:rFonts w:ascii="72 Light" w:hAnsi="72 Light" w:cs="72 Light"/>
          <w:sz w:val="24"/>
          <w:szCs w:val="24"/>
          <w:lang w:val="fr-CA"/>
        </w:rPr>
        <w:t>les besoins et les priorités particuli</w:t>
      </w:r>
      <w:r w:rsidR="0096215D" w:rsidRPr="007B324D">
        <w:rPr>
          <w:rFonts w:ascii="72 Light" w:hAnsi="72 Light" w:cs="72 Light"/>
          <w:sz w:val="24"/>
          <w:szCs w:val="24"/>
          <w:lang w:val="fr-CA"/>
        </w:rPr>
        <w:t>ers</w:t>
      </w:r>
      <w:r w:rsidRPr="007B324D">
        <w:rPr>
          <w:rFonts w:ascii="72 Light" w:hAnsi="72 Light" w:cs="72 Light"/>
          <w:sz w:val="24"/>
          <w:szCs w:val="24"/>
          <w:lang w:val="fr-CA"/>
        </w:rPr>
        <w:t xml:space="preserve"> des Premières Nations, des Métis, des Inuit et des signataires de traités modernes. À ce jour,</w:t>
      </w:r>
      <w:r w:rsidR="0096215D" w:rsidRPr="007B324D">
        <w:rPr>
          <w:rFonts w:ascii="72 Light" w:hAnsi="72 Light" w:cs="72 Light"/>
          <w:sz w:val="24"/>
          <w:szCs w:val="24"/>
          <w:lang w:val="fr-CA"/>
        </w:rPr>
        <w:t xml:space="preserve"> cependant,</w:t>
      </w:r>
      <w:r w:rsidRPr="007B324D">
        <w:rPr>
          <w:rFonts w:ascii="72 Light" w:hAnsi="72 Light" w:cs="72 Light"/>
          <w:sz w:val="24"/>
          <w:szCs w:val="24"/>
          <w:lang w:val="fr-CA"/>
        </w:rPr>
        <w:t xml:space="preserve"> les fonds </w:t>
      </w:r>
      <w:r w:rsidR="0096215D" w:rsidRPr="007B324D">
        <w:rPr>
          <w:rFonts w:ascii="72 Light" w:hAnsi="72 Light" w:cs="72 Light"/>
          <w:sz w:val="24"/>
          <w:szCs w:val="24"/>
          <w:lang w:val="fr-CA"/>
        </w:rPr>
        <w:t>consacrés au</w:t>
      </w:r>
      <w:r w:rsidRPr="007B324D">
        <w:rPr>
          <w:rFonts w:ascii="72 Light" w:hAnsi="72 Light" w:cs="72 Light"/>
          <w:sz w:val="24"/>
          <w:szCs w:val="24"/>
          <w:lang w:val="fr-CA"/>
        </w:rPr>
        <w:t xml:space="preserve"> volet de financement fondé sur les distinctions des Premières Nations sont minimes par rapport aux besoins importants et urgents de</w:t>
      </w:r>
      <w:r w:rsidR="0096215D" w:rsidRPr="007B324D">
        <w:rPr>
          <w:rFonts w:ascii="72 Light" w:hAnsi="72 Light" w:cs="72 Light"/>
          <w:sz w:val="24"/>
          <w:szCs w:val="24"/>
          <w:lang w:val="fr-CA"/>
        </w:rPr>
        <w:t>s personnes visées</w:t>
      </w:r>
      <w:r w:rsidRPr="007B324D">
        <w:rPr>
          <w:rFonts w:ascii="72 Light" w:hAnsi="72 Light" w:cs="72 Light"/>
          <w:sz w:val="24"/>
          <w:szCs w:val="24"/>
          <w:lang w:val="fr-CA"/>
        </w:rPr>
        <w:t>.</w:t>
      </w:r>
    </w:p>
    <w:p w14:paraId="28FE2CB3" w14:textId="5E4A0516"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La procédure d’attribution de ces fonds s’est enlisée dans la bureaucratie, </w:t>
      </w:r>
      <w:r w:rsidR="0096215D" w:rsidRPr="007B324D">
        <w:rPr>
          <w:rFonts w:ascii="72 Light" w:hAnsi="72 Light" w:cs="72 Light"/>
          <w:sz w:val="24"/>
          <w:szCs w:val="24"/>
          <w:lang w:val="fr-CA"/>
        </w:rPr>
        <w:t>et</w:t>
      </w:r>
      <w:r w:rsidRPr="007B324D">
        <w:rPr>
          <w:rFonts w:ascii="72 Light" w:hAnsi="72 Light" w:cs="72 Light"/>
          <w:sz w:val="24"/>
          <w:szCs w:val="24"/>
          <w:lang w:val="fr-CA"/>
        </w:rPr>
        <w:t xml:space="preserve"> les Premières Nations n’</w:t>
      </w:r>
      <w:r w:rsidR="0096215D" w:rsidRPr="007B324D">
        <w:rPr>
          <w:rFonts w:ascii="72 Light" w:hAnsi="72 Light" w:cs="72 Light"/>
          <w:sz w:val="24"/>
          <w:szCs w:val="24"/>
          <w:lang w:val="fr-CA"/>
        </w:rPr>
        <w:t xml:space="preserve">y </w:t>
      </w:r>
      <w:r w:rsidRPr="007B324D">
        <w:rPr>
          <w:rFonts w:ascii="72 Light" w:hAnsi="72 Light" w:cs="72 Light"/>
          <w:sz w:val="24"/>
          <w:szCs w:val="24"/>
          <w:lang w:val="fr-CA"/>
        </w:rPr>
        <w:t xml:space="preserve">ont </w:t>
      </w:r>
      <w:r w:rsidR="0096215D" w:rsidRPr="007B324D">
        <w:rPr>
          <w:rFonts w:ascii="72 Light" w:hAnsi="72 Light" w:cs="72 Light"/>
          <w:sz w:val="24"/>
          <w:szCs w:val="24"/>
          <w:lang w:val="fr-CA"/>
        </w:rPr>
        <w:t xml:space="preserve">donc </w:t>
      </w:r>
      <w:r w:rsidRPr="007B324D">
        <w:rPr>
          <w:rFonts w:ascii="72 Light" w:hAnsi="72 Light" w:cs="72 Light"/>
          <w:sz w:val="24"/>
          <w:szCs w:val="24"/>
          <w:lang w:val="fr-CA"/>
        </w:rPr>
        <w:t>pas encore eu accès. Si les Premières Nations et les organisations des Premières Nations peuvent demander un financement au titre du volet de financement autochtone</w:t>
      </w:r>
      <w:r w:rsidR="0096215D" w:rsidRPr="007B324D">
        <w:rPr>
          <w:rFonts w:ascii="72 Light" w:hAnsi="72 Light" w:cs="72 Light"/>
          <w:sz w:val="24"/>
          <w:szCs w:val="24"/>
          <w:lang w:val="fr-CA"/>
        </w:rPr>
        <w:t>,</w:t>
      </w:r>
      <w:r w:rsidRPr="007B324D">
        <w:rPr>
          <w:rFonts w:ascii="72 Light" w:hAnsi="72 Light" w:cs="72 Light"/>
          <w:sz w:val="24"/>
          <w:szCs w:val="24"/>
          <w:lang w:val="fr-CA"/>
        </w:rPr>
        <w:t xml:space="preserve"> l’un des quatre volets régionaux mentionnés dans le rapport du Canada</w:t>
      </w:r>
      <w:r w:rsidR="0096215D" w:rsidRPr="007B324D">
        <w:rPr>
          <w:rFonts w:ascii="72 Light" w:hAnsi="72 Light" w:cs="72 Light"/>
          <w:sz w:val="24"/>
          <w:szCs w:val="24"/>
          <w:lang w:val="fr-CA"/>
        </w:rPr>
        <w:t>,</w:t>
      </w:r>
      <w:r w:rsidRPr="007B324D">
        <w:rPr>
          <w:rFonts w:ascii="72 Light" w:hAnsi="72 Light" w:cs="72 Light"/>
          <w:sz w:val="24"/>
          <w:szCs w:val="24"/>
          <w:lang w:val="fr-CA"/>
        </w:rPr>
        <w:t xml:space="preserve"> ce financement ne peut pas être utilisé pour des activités dans les réserves</w:t>
      </w:r>
      <w:r w:rsidR="0096215D" w:rsidRPr="007B324D">
        <w:rPr>
          <w:rFonts w:ascii="72 Light" w:hAnsi="72 Light" w:cs="72 Light"/>
          <w:sz w:val="24"/>
          <w:szCs w:val="24"/>
          <w:lang w:val="fr-CA"/>
        </w:rPr>
        <w:t>,</w:t>
      </w:r>
      <w:r w:rsidRPr="007B324D">
        <w:rPr>
          <w:rFonts w:ascii="72 Light" w:hAnsi="72 Light" w:cs="72 Light"/>
          <w:sz w:val="24"/>
          <w:szCs w:val="24"/>
          <w:lang w:val="fr-CA"/>
        </w:rPr>
        <w:t xml:space="preserve"> et les candidats des </w:t>
      </w:r>
      <w:r w:rsidRPr="007B324D">
        <w:rPr>
          <w:rFonts w:ascii="72 Light" w:hAnsi="72 Light" w:cs="72 Light"/>
          <w:sz w:val="24"/>
          <w:szCs w:val="24"/>
          <w:lang w:val="fr-CA"/>
        </w:rPr>
        <w:lastRenderedPageBreak/>
        <w:t>Premières Nations sont obligés d’entrer en concurrence avec d’autres organisations autochtones, y compris de grandes organisations à but non lucratif disposant de ressources et de capacités plus importantes, pour l’obtention d’un financement.</w:t>
      </w:r>
    </w:p>
    <w:p w14:paraId="3A05AAE4" w14:textId="7F8C2596"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Bien que les mesures prises par le gouvernement </w:t>
      </w:r>
      <w:r w:rsidR="000C3695" w:rsidRPr="007B324D">
        <w:rPr>
          <w:rFonts w:ascii="72 Light" w:hAnsi="72 Light" w:cs="72 Light"/>
          <w:sz w:val="24"/>
          <w:szCs w:val="24"/>
          <w:lang w:val="fr-CA"/>
        </w:rPr>
        <w:t xml:space="preserve">fédéral </w:t>
      </w:r>
      <w:r w:rsidRPr="007B324D">
        <w:rPr>
          <w:rFonts w:ascii="72 Light" w:hAnsi="72 Light" w:cs="72 Light"/>
          <w:sz w:val="24"/>
          <w:szCs w:val="24"/>
          <w:lang w:val="fr-CA"/>
        </w:rPr>
        <w:t xml:space="preserve">soient appréciées, le Canada doit combler les lacunes persistantes afin de </w:t>
      </w:r>
      <w:r w:rsidR="0096215D" w:rsidRPr="007B324D">
        <w:rPr>
          <w:rFonts w:ascii="72 Light" w:hAnsi="72 Light" w:cs="72 Light"/>
          <w:sz w:val="24"/>
          <w:szCs w:val="24"/>
          <w:lang w:val="fr-CA"/>
        </w:rPr>
        <w:t>faire appliquer</w:t>
      </w:r>
      <w:r w:rsidRPr="007B324D">
        <w:rPr>
          <w:rFonts w:ascii="72 Light" w:hAnsi="72 Light" w:cs="72 Light"/>
          <w:sz w:val="24"/>
          <w:szCs w:val="24"/>
          <w:lang w:val="fr-CA"/>
        </w:rPr>
        <w:t xml:space="preserve"> pleinement le droit au logement pour tous, y compris les Premières Nations. Le gouvernement du Canada doit systématiquement collaborer avec les Premières Nations et respecter leur autonomie </w:t>
      </w:r>
      <w:r w:rsidR="0096215D" w:rsidRPr="007B324D">
        <w:rPr>
          <w:rFonts w:ascii="72 Light" w:hAnsi="72 Light" w:cs="72 Light"/>
          <w:sz w:val="24"/>
          <w:szCs w:val="24"/>
          <w:lang w:val="fr-CA"/>
        </w:rPr>
        <w:t xml:space="preserve">lors de </w:t>
      </w:r>
      <w:r w:rsidRPr="007B324D">
        <w:rPr>
          <w:rFonts w:ascii="72 Light" w:hAnsi="72 Light" w:cs="72 Light"/>
          <w:sz w:val="24"/>
          <w:szCs w:val="24"/>
          <w:lang w:val="fr-CA"/>
        </w:rPr>
        <w:t>l</w:t>
      </w:r>
      <w:r w:rsidR="0096215D" w:rsidRPr="007B324D">
        <w:rPr>
          <w:rFonts w:ascii="72 Light" w:hAnsi="72 Light" w:cs="72 Light"/>
          <w:sz w:val="24"/>
          <w:szCs w:val="24"/>
          <w:lang w:val="fr-CA"/>
        </w:rPr>
        <w:t xml:space="preserve">’établissement </w:t>
      </w:r>
      <w:r w:rsidRPr="007B324D">
        <w:rPr>
          <w:rFonts w:ascii="72 Light" w:hAnsi="72 Light" w:cs="72 Light"/>
          <w:sz w:val="24"/>
          <w:szCs w:val="24"/>
          <w:lang w:val="fr-CA"/>
        </w:rPr>
        <w:t>des politiques</w:t>
      </w:r>
      <w:r w:rsidR="0096215D" w:rsidRPr="007B324D">
        <w:rPr>
          <w:rFonts w:ascii="72 Light" w:hAnsi="72 Light" w:cs="72 Light"/>
          <w:sz w:val="24"/>
          <w:szCs w:val="24"/>
          <w:lang w:val="fr-CA"/>
        </w:rPr>
        <w:t xml:space="preserve"> et </w:t>
      </w:r>
      <w:r w:rsidRPr="007B324D">
        <w:rPr>
          <w:rFonts w:ascii="72 Light" w:hAnsi="72 Light" w:cs="72 Light"/>
          <w:sz w:val="24"/>
          <w:szCs w:val="24"/>
          <w:lang w:val="fr-CA"/>
        </w:rPr>
        <w:t>stratégies de logement et de lutte contre l</w:t>
      </w:r>
      <w:r w:rsidR="0096215D" w:rsidRPr="007B324D">
        <w:rPr>
          <w:rFonts w:ascii="72 Light" w:hAnsi="72 Light" w:cs="72 Light"/>
          <w:sz w:val="24"/>
          <w:szCs w:val="24"/>
          <w:lang w:val="fr-CA"/>
        </w:rPr>
        <w:t>’itinérance</w:t>
      </w:r>
      <w:r w:rsidRPr="007B324D">
        <w:rPr>
          <w:rFonts w:ascii="72 Light" w:hAnsi="72 Light" w:cs="72 Light"/>
          <w:sz w:val="24"/>
          <w:szCs w:val="24"/>
          <w:lang w:val="fr-CA"/>
        </w:rPr>
        <w:t xml:space="preserve">. Le gouvernement fédéral s’est engagé à réduire le nombre de sans-abri chroniques de 50 % d’ici 2027-2028. </w:t>
      </w:r>
      <w:r w:rsidR="0096215D" w:rsidRPr="007B324D">
        <w:rPr>
          <w:rFonts w:ascii="72 Light" w:hAnsi="72 Light" w:cs="72 Light"/>
          <w:sz w:val="24"/>
          <w:szCs w:val="24"/>
          <w:lang w:val="fr-CA"/>
        </w:rPr>
        <w:t>Ce</w:t>
      </w:r>
      <w:r w:rsidRPr="007B324D">
        <w:rPr>
          <w:rFonts w:ascii="72 Light" w:hAnsi="72 Light" w:cs="72 Light"/>
          <w:sz w:val="24"/>
          <w:szCs w:val="24"/>
          <w:lang w:val="fr-CA"/>
        </w:rPr>
        <w:t xml:space="preserve"> nombre a augmenté depuis la </w:t>
      </w:r>
      <w:r w:rsidR="0096215D" w:rsidRPr="007B324D">
        <w:rPr>
          <w:rFonts w:ascii="72 Light" w:hAnsi="72 Light" w:cs="72 Light"/>
          <w:sz w:val="24"/>
          <w:szCs w:val="24"/>
          <w:lang w:val="fr-CA"/>
        </w:rPr>
        <w:t xml:space="preserve">pandémie de </w:t>
      </w:r>
      <w:r w:rsidRPr="007B324D">
        <w:rPr>
          <w:rFonts w:ascii="72 Light" w:hAnsi="72 Light" w:cs="72 Light"/>
          <w:sz w:val="24"/>
          <w:szCs w:val="24"/>
          <w:lang w:val="fr-CA"/>
        </w:rPr>
        <w:t xml:space="preserve">COVID. Aucune statistique </w:t>
      </w:r>
      <w:r w:rsidR="000C3695" w:rsidRPr="007B324D">
        <w:rPr>
          <w:rFonts w:ascii="72 Light" w:hAnsi="72 Light" w:cs="72 Light"/>
          <w:sz w:val="24"/>
          <w:szCs w:val="24"/>
          <w:lang w:val="fr-CA"/>
        </w:rPr>
        <w:t xml:space="preserve">indiquant que Vers un chez-soi a exercé une influence positive sur les Premières Nations </w:t>
      </w:r>
      <w:r w:rsidRPr="007B324D">
        <w:rPr>
          <w:rFonts w:ascii="72 Light" w:hAnsi="72 Light" w:cs="72 Light"/>
          <w:sz w:val="24"/>
          <w:szCs w:val="24"/>
          <w:lang w:val="fr-CA"/>
        </w:rPr>
        <w:t>n’est incluse dans les paragraphes fournis par le Canada</w:t>
      </w:r>
      <w:r w:rsidR="000C3695" w:rsidRPr="007B324D">
        <w:rPr>
          <w:rFonts w:ascii="72 Light" w:hAnsi="72 Light" w:cs="72 Light"/>
          <w:sz w:val="24"/>
          <w:szCs w:val="24"/>
          <w:lang w:val="fr-CA"/>
        </w:rPr>
        <w:t>.</w:t>
      </w:r>
    </w:p>
    <w:p w14:paraId="0679D1D6" w14:textId="42E4CA6A" w:rsidR="00BF3013" w:rsidRPr="007B324D" w:rsidRDefault="00BF3013" w:rsidP="00F62155">
      <w:pPr>
        <w:tabs>
          <w:tab w:val="left" w:pos="3544"/>
        </w:tabs>
        <w:spacing w:before="120" w:line="276" w:lineRule="auto"/>
        <w:ind w:left="0" w:firstLine="0"/>
        <w:jc w:val="both"/>
        <w:rPr>
          <w:rFonts w:ascii="72 Light" w:eastAsia="Times New Roman" w:hAnsi="72 Light" w:cs="72 Light"/>
          <w:sz w:val="24"/>
          <w:szCs w:val="24"/>
          <w:lang w:val="fr-CA"/>
        </w:rPr>
      </w:pPr>
      <w:r w:rsidRPr="007B324D">
        <w:rPr>
          <w:rFonts w:ascii="72 Light" w:hAnsi="72 Light" w:cs="72 Light"/>
          <w:sz w:val="24"/>
          <w:szCs w:val="24"/>
          <w:lang w:val="fr-CA"/>
        </w:rPr>
        <w:t xml:space="preserve">La </w:t>
      </w:r>
      <w:r w:rsidRPr="007B324D">
        <w:rPr>
          <w:rFonts w:ascii="72 Light" w:hAnsi="72 Light" w:cs="72 Light"/>
          <w:i/>
          <w:iCs/>
          <w:sz w:val="24"/>
          <w:szCs w:val="24"/>
          <w:lang w:val="fr-CA"/>
        </w:rPr>
        <w:t>Loi sur la stratégie nationale sur le logement</w:t>
      </w:r>
      <w:r w:rsidRPr="007B324D">
        <w:rPr>
          <w:rFonts w:ascii="72 Light" w:hAnsi="72 Light" w:cs="72 Light"/>
          <w:sz w:val="24"/>
          <w:szCs w:val="24"/>
          <w:lang w:val="fr-CA"/>
        </w:rPr>
        <w:t xml:space="preserve"> est pancanadienne et n’aborde pas précisément les mesures nécessaires pour garantir que les Premières Nations disposent de logements sûrs et adéquats, </w:t>
      </w:r>
      <w:r w:rsidR="00D777A5" w:rsidRPr="007B324D">
        <w:rPr>
          <w:rFonts w:ascii="72 Light" w:hAnsi="72 Light" w:cs="72 Light"/>
          <w:sz w:val="24"/>
          <w:szCs w:val="24"/>
          <w:lang w:val="fr-CA"/>
        </w:rPr>
        <w:t>ou des capacités de</w:t>
      </w:r>
      <w:r w:rsidRPr="007B324D">
        <w:rPr>
          <w:rFonts w:ascii="72 Light" w:hAnsi="72 Light" w:cs="72 Light"/>
          <w:sz w:val="24"/>
          <w:szCs w:val="24"/>
          <w:lang w:val="fr-CA"/>
        </w:rPr>
        <w:t xml:space="preserve"> gouvernance et </w:t>
      </w:r>
      <w:r w:rsidR="00D777A5" w:rsidRPr="007B324D">
        <w:rPr>
          <w:rFonts w:ascii="72 Light" w:hAnsi="72 Light" w:cs="72 Light"/>
          <w:sz w:val="24"/>
          <w:szCs w:val="24"/>
          <w:lang w:val="fr-CA"/>
        </w:rPr>
        <w:t>d</w:t>
      </w:r>
      <w:r w:rsidRPr="007B324D">
        <w:rPr>
          <w:rFonts w:ascii="72 Light" w:hAnsi="72 Light" w:cs="72 Light"/>
          <w:sz w:val="24"/>
          <w:szCs w:val="24"/>
          <w:lang w:val="fr-CA"/>
        </w:rPr>
        <w:t xml:space="preserve">es </w:t>
      </w:r>
      <w:r w:rsidR="00D777A5" w:rsidRPr="007B324D">
        <w:rPr>
          <w:rFonts w:ascii="72 Light" w:hAnsi="72 Light" w:cs="72 Light"/>
          <w:sz w:val="24"/>
          <w:szCs w:val="24"/>
          <w:lang w:val="fr-CA"/>
        </w:rPr>
        <w:t xml:space="preserve">autres </w:t>
      </w:r>
      <w:r w:rsidRPr="007B324D">
        <w:rPr>
          <w:rFonts w:ascii="72 Light" w:hAnsi="72 Light" w:cs="72 Light"/>
          <w:sz w:val="24"/>
          <w:szCs w:val="24"/>
          <w:lang w:val="fr-CA"/>
        </w:rPr>
        <w:t xml:space="preserve">capacités requises pour exercer leur compétence sur leurs propres systèmes de logement. Des stratégies fondées sur les distinctions doivent être élaborées, car elles sont essentielles pour garantir que les perspectives et les points de vue des Premières Nations sont pris en compte et que les politiques et les programmes sont élaborés ou dirigés conjointement par les Premières Nations. </w:t>
      </w:r>
      <w:r w:rsidR="00D777A5" w:rsidRPr="007B324D">
        <w:rPr>
          <w:rFonts w:ascii="72 Light" w:hAnsi="72 Light" w:cs="72 Light"/>
          <w:sz w:val="24"/>
          <w:szCs w:val="24"/>
          <w:lang w:val="fr-CA"/>
        </w:rPr>
        <w:t>Ces dernières</w:t>
      </w:r>
      <w:r w:rsidRPr="007B324D">
        <w:rPr>
          <w:rFonts w:ascii="72 Light" w:hAnsi="72 Light" w:cs="72 Light"/>
          <w:color w:val="000000"/>
          <w:sz w:val="24"/>
          <w:szCs w:val="24"/>
          <w:lang w:val="fr-CA"/>
        </w:rPr>
        <w:t xml:space="preserve"> sont autonomes et ont le droit à l’autodétermination. Leurs droits inhérents, leurs titres et leur</w:t>
      </w:r>
      <w:r w:rsidR="00D777A5" w:rsidRPr="007B324D">
        <w:rPr>
          <w:rFonts w:ascii="72 Light" w:hAnsi="72 Light" w:cs="72 Light"/>
          <w:color w:val="000000"/>
          <w:sz w:val="24"/>
          <w:szCs w:val="24"/>
          <w:lang w:val="fr-CA"/>
        </w:rPr>
        <w:t>s</w:t>
      </w:r>
      <w:r w:rsidRPr="007B324D">
        <w:rPr>
          <w:rFonts w:ascii="72 Light" w:hAnsi="72 Light" w:cs="72 Light"/>
          <w:color w:val="000000"/>
          <w:sz w:val="24"/>
          <w:szCs w:val="24"/>
          <w:lang w:val="fr-CA"/>
        </w:rPr>
        <w:t xml:space="preserve"> compétence</w:t>
      </w:r>
      <w:r w:rsidR="00D777A5" w:rsidRPr="007B324D">
        <w:rPr>
          <w:rFonts w:ascii="72 Light" w:hAnsi="72 Light" w:cs="72 Light"/>
          <w:color w:val="000000"/>
          <w:sz w:val="24"/>
          <w:szCs w:val="24"/>
          <w:lang w:val="fr-CA"/>
        </w:rPr>
        <w:t>s</w:t>
      </w:r>
      <w:r w:rsidRPr="007B324D">
        <w:rPr>
          <w:rFonts w:ascii="72 Light" w:hAnsi="72 Light" w:cs="72 Light"/>
          <w:color w:val="000000"/>
          <w:sz w:val="24"/>
          <w:szCs w:val="24"/>
          <w:lang w:val="fr-CA"/>
        </w:rPr>
        <w:t xml:space="preserve"> doivent être respectés et pleinement mis en œuvre. </w:t>
      </w:r>
    </w:p>
    <w:p w14:paraId="0A73AC87" w14:textId="49977A13" w:rsidR="00BF3013" w:rsidRPr="007B324D" w:rsidRDefault="00BF3013" w:rsidP="00F62155">
      <w:pPr>
        <w:tabs>
          <w:tab w:val="left" w:pos="3544"/>
        </w:tabs>
        <w:spacing w:before="120" w:line="276" w:lineRule="auto"/>
        <w:jc w:val="both"/>
        <w:rPr>
          <w:rFonts w:ascii="72 Light" w:hAnsi="72 Light" w:cs="72 Light"/>
          <w:b/>
          <w:sz w:val="24"/>
          <w:szCs w:val="24"/>
          <w:lang w:val="fr-CA"/>
        </w:rPr>
      </w:pPr>
      <w:r w:rsidRPr="007B324D">
        <w:rPr>
          <w:rFonts w:ascii="72 Light" w:hAnsi="72 Light" w:cs="72 Light"/>
          <w:b/>
          <w:sz w:val="24"/>
          <w:szCs w:val="24"/>
          <w:lang w:val="fr-CA"/>
        </w:rPr>
        <w:t xml:space="preserve">Violence faite aux femmes et aux enfants </w:t>
      </w:r>
    </w:p>
    <w:p w14:paraId="12AE69D9" w14:textId="4D96109C" w:rsidR="00BF3013" w:rsidRPr="007B324D" w:rsidRDefault="00BF3013" w:rsidP="00F62155">
      <w:pPr>
        <w:tabs>
          <w:tab w:val="left" w:pos="3544"/>
        </w:tabs>
        <w:spacing w:before="120" w:line="276" w:lineRule="auto"/>
        <w:ind w:left="0" w:firstLine="0"/>
        <w:jc w:val="both"/>
        <w:rPr>
          <w:rFonts w:ascii="72 Light" w:hAnsi="72 Light" w:cs="72 Light"/>
          <w:bCs/>
          <w:i/>
          <w:iCs/>
          <w:sz w:val="24"/>
          <w:szCs w:val="24"/>
          <w:lang w:val="fr-CA"/>
        </w:rPr>
      </w:pPr>
      <w:r w:rsidRPr="007B324D">
        <w:rPr>
          <w:rFonts w:ascii="72 Light" w:hAnsi="72 Light" w:cs="72 Light"/>
          <w:bCs/>
          <w:i/>
          <w:iCs/>
          <w:sz w:val="24"/>
          <w:szCs w:val="24"/>
          <w:lang w:val="fr-CA"/>
        </w:rPr>
        <w:t>Femmes, filles et personnes</w:t>
      </w:r>
      <w:r w:rsidR="00042C3C" w:rsidRPr="007B324D">
        <w:rPr>
          <w:rFonts w:ascii="72 Light" w:hAnsi="72 Light" w:cs="72 Light"/>
          <w:bCs/>
          <w:i/>
          <w:iCs/>
          <w:sz w:val="24"/>
          <w:szCs w:val="24"/>
          <w:lang w:val="fr-CA"/>
        </w:rPr>
        <w:t> </w:t>
      </w:r>
      <w:r w:rsidRPr="007B324D">
        <w:rPr>
          <w:rFonts w:ascii="72 Light" w:hAnsi="72 Light" w:cs="72 Light"/>
          <w:bCs/>
          <w:i/>
          <w:iCs/>
          <w:sz w:val="24"/>
          <w:szCs w:val="24"/>
          <w:lang w:val="fr-CA"/>
        </w:rPr>
        <w:t>2ELGBTQ</w:t>
      </w:r>
      <w:r w:rsidR="00B86332" w:rsidRPr="007B324D">
        <w:rPr>
          <w:rFonts w:ascii="72 Light" w:hAnsi="72 Light" w:cs="72 Light"/>
          <w:bCs/>
          <w:i/>
          <w:iCs/>
          <w:sz w:val="24"/>
          <w:szCs w:val="24"/>
          <w:lang w:val="fr-CA"/>
        </w:rPr>
        <w:t>Q</w:t>
      </w:r>
      <w:r w:rsidRPr="007B324D">
        <w:rPr>
          <w:rFonts w:ascii="72 Light" w:hAnsi="72 Light" w:cs="72 Light"/>
          <w:bCs/>
          <w:i/>
          <w:iCs/>
          <w:sz w:val="24"/>
          <w:szCs w:val="24"/>
          <w:lang w:val="fr-CA"/>
        </w:rPr>
        <w:t xml:space="preserve">IA+ autochtones disparues et assassinées </w:t>
      </w:r>
    </w:p>
    <w:p w14:paraId="481F6327" w14:textId="3E8AED7E" w:rsidR="00BF3013" w:rsidRPr="007B324D" w:rsidRDefault="008C4B3E"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L’A</w:t>
      </w:r>
      <w:r w:rsidR="005250E1" w:rsidRPr="007B324D">
        <w:rPr>
          <w:rFonts w:ascii="72 Light" w:hAnsi="72 Light" w:cs="72 Light"/>
          <w:sz w:val="24"/>
          <w:szCs w:val="24"/>
          <w:lang w:val="fr-CA"/>
        </w:rPr>
        <w:t>ssemblée</w:t>
      </w:r>
      <w:r w:rsidR="00BF3013" w:rsidRPr="007B324D">
        <w:rPr>
          <w:rFonts w:ascii="72 Light" w:hAnsi="72 Light" w:cs="72 Light"/>
          <w:sz w:val="24"/>
          <w:szCs w:val="24"/>
          <w:lang w:val="fr-CA"/>
        </w:rPr>
        <w:t xml:space="preserve"> continue de demander que les voix des familles des femmes et des filles des Premières Nations disparues et assassinées soient entendues et respectées. Ce travail important garantira que tous les gouvernements, le</w:t>
      </w:r>
      <w:r w:rsidR="00D777A5" w:rsidRPr="007B324D">
        <w:rPr>
          <w:rFonts w:ascii="72 Light" w:hAnsi="72 Light" w:cs="72 Light"/>
          <w:sz w:val="24"/>
          <w:szCs w:val="24"/>
          <w:lang w:val="fr-CA"/>
        </w:rPr>
        <w:t>s entreprises</w:t>
      </w:r>
      <w:r w:rsidR="00BF3013" w:rsidRPr="007B324D">
        <w:rPr>
          <w:rFonts w:ascii="72 Light" w:hAnsi="72 Light" w:cs="72 Light"/>
          <w:sz w:val="24"/>
          <w:szCs w:val="24"/>
          <w:lang w:val="fr-CA"/>
        </w:rPr>
        <w:t xml:space="preserve"> privé</w:t>
      </w:r>
      <w:r w:rsidR="00D777A5" w:rsidRPr="007B324D">
        <w:rPr>
          <w:rFonts w:ascii="72 Light" w:hAnsi="72 Light" w:cs="72 Light"/>
          <w:sz w:val="24"/>
          <w:szCs w:val="24"/>
          <w:lang w:val="fr-CA"/>
        </w:rPr>
        <w:t>e</w:t>
      </w:r>
      <w:r w:rsidR="00BF3013" w:rsidRPr="007B324D">
        <w:rPr>
          <w:rFonts w:ascii="72 Light" w:hAnsi="72 Light" w:cs="72 Light"/>
          <w:sz w:val="24"/>
          <w:szCs w:val="24"/>
          <w:lang w:val="fr-CA"/>
        </w:rPr>
        <w:t xml:space="preserve">s et les fournisseurs de services mettent en œuvre les </w:t>
      </w:r>
      <w:r w:rsidR="00BF3013" w:rsidRPr="007B324D">
        <w:rPr>
          <w:rFonts w:ascii="72 Light" w:hAnsi="72 Light" w:cs="72 Light"/>
          <w:i/>
          <w:iCs/>
          <w:sz w:val="24"/>
          <w:szCs w:val="24"/>
          <w:lang w:val="fr-CA"/>
        </w:rPr>
        <w:t>appels à la justice</w:t>
      </w:r>
      <w:r w:rsidR="00BF3013" w:rsidRPr="007B324D">
        <w:rPr>
          <w:rFonts w:ascii="72 Light" w:hAnsi="72 Light" w:cs="72 Light"/>
          <w:sz w:val="24"/>
          <w:szCs w:val="24"/>
          <w:lang w:val="fr-CA"/>
        </w:rPr>
        <w:t xml:space="preserve"> lancés </w:t>
      </w:r>
      <w:r w:rsidR="00D777A5" w:rsidRPr="007B324D">
        <w:rPr>
          <w:rFonts w:ascii="72 Light" w:hAnsi="72 Light" w:cs="72 Light"/>
          <w:sz w:val="24"/>
          <w:szCs w:val="24"/>
          <w:lang w:val="fr-CA"/>
        </w:rPr>
        <w:t xml:space="preserve">à la suite de </w:t>
      </w:r>
      <w:r w:rsidR="00BF3013" w:rsidRPr="007B324D">
        <w:rPr>
          <w:rFonts w:ascii="72 Light" w:hAnsi="72 Light" w:cs="72 Light"/>
          <w:sz w:val="24"/>
          <w:szCs w:val="24"/>
          <w:lang w:val="fr-CA"/>
        </w:rPr>
        <w:t>l’enquête nationale. La mise en œuvre de</w:t>
      </w:r>
      <w:r w:rsidR="00D777A5" w:rsidRPr="007B324D">
        <w:rPr>
          <w:rFonts w:ascii="72 Light" w:hAnsi="72 Light" w:cs="72 Light"/>
          <w:sz w:val="24"/>
          <w:szCs w:val="24"/>
          <w:lang w:val="fr-CA"/>
        </w:rPr>
        <w:t xml:space="preserve"> ce</w:t>
      </w:r>
      <w:r w:rsidR="00BF3013" w:rsidRPr="007B324D">
        <w:rPr>
          <w:rFonts w:ascii="72 Light" w:hAnsi="72 Light" w:cs="72 Light"/>
          <w:sz w:val="24"/>
          <w:szCs w:val="24"/>
          <w:lang w:val="fr-CA"/>
        </w:rPr>
        <w:t xml:space="preserve">s </w:t>
      </w:r>
      <w:r w:rsidR="00BF3013" w:rsidRPr="007B324D">
        <w:rPr>
          <w:rFonts w:ascii="72 Light" w:hAnsi="72 Light" w:cs="72 Light"/>
          <w:i/>
          <w:iCs/>
          <w:sz w:val="24"/>
          <w:szCs w:val="24"/>
          <w:lang w:val="fr-CA"/>
        </w:rPr>
        <w:t>appels à la justice</w:t>
      </w:r>
      <w:r w:rsidR="00BF3013" w:rsidRPr="007B324D">
        <w:rPr>
          <w:rFonts w:ascii="72 Light" w:hAnsi="72 Light" w:cs="72 Light"/>
          <w:sz w:val="24"/>
          <w:szCs w:val="24"/>
          <w:lang w:val="fr-CA"/>
        </w:rPr>
        <w:t xml:space="preserve"> et du </w:t>
      </w:r>
      <w:r w:rsidR="00D777A5" w:rsidRPr="007B324D">
        <w:rPr>
          <w:rFonts w:ascii="72 Light" w:hAnsi="72 Light" w:cs="72 Light"/>
          <w:sz w:val="24"/>
          <w:szCs w:val="24"/>
          <w:lang w:val="fr-CA"/>
        </w:rPr>
        <w:t>Plan d’action national pour les</w:t>
      </w:r>
      <w:r w:rsidR="00BF3013" w:rsidRPr="007B324D">
        <w:rPr>
          <w:rFonts w:ascii="72 Light" w:hAnsi="72 Light" w:cs="72 Light"/>
          <w:sz w:val="24"/>
          <w:szCs w:val="24"/>
          <w:lang w:val="fr-CA"/>
        </w:rPr>
        <w:t xml:space="preserve"> FFADA2E+ est essentielle à la reconnaissance et au respect des droits fondamentaux des femmes, des filles et des personnes</w:t>
      </w:r>
      <w:r w:rsidR="00042C3C" w:rsidRPr="007B324D">
        <w:rPr>
          <w:rFonts w:ascii="72 Light" w:hAnsi="72 Light" w:cs="72 Light"/>
          <w:sz w:val="24"/>
          <w:szCs w:val="24"/>
          <w:lang w:val="fr-CA"/>
        </w:rPr>
        <w:t> </w:t>
      </w:r>
      <w:r w:rsidR="00BF3013" w:rsidRPr="007B324D">
        <w:rPr>
          <w:rFonts w:ascii="72 Light" w:hAnsi="72 Light" w:cs="72 Light"/>
          <w:sz w:val="24"/>
          <w:szCs w:val="24"/>
          <w:lang w:val="fr-CA"/>
        </w:rPr>
        <w:t>2ELGBTQ</w:t>
      </w:r>
      <w:r w:rsidR="00B86332" w:rsidRPr="007B324D">
        <w:rPr>
          <w:rFonts w:ascii="72 Light" w:hAnsi="72 Light" w:cs="72 Light"/>
          <w:sz w:val="24"/>
          <w:szCs w:val="24"/>
          <w:lang w:val="fr-CA"/>
        </w:rPr>
        <w:t>Q</w:t>
      </w:r>
      <w:r w:rsidR="00BF3013" w:rsidRPr="007B324D">
        <w:rPr>
          <w:rFonts w:ascii="72 Light" w:hAnsi="72 Light" w:cs="72 Light"/>
          <w:sz w:val="24"/>
          <w:szCs w:val="24"/>
          <w:lang w:val="fr-CA"/>
        </w:rPr>
        <w:t xml:space="preserve">IA+ des Premières Nations. </w:t>
      </w:r>
    </w:p>
    <w:p w14:paraId="772BA748" w14:textId="72C5DA4E" w:rsidR="00BF3013" w:rsidRPr="007B324D" w:rsidRDefault="00BF3013" w:rsidP="00F62155">
      <w:pPr>
        <w:tabs>
          <w:tab w:val="left" w:pos="3544"/>
        </w:tabs>
        <w:spacing w:before="120" w:line="276" w:lineRule="auto"/>
        <w:ind w:left="0" w:firstLine="0"/>
        <w:jc w:val="both"/>
        <w:rPr>
          <w:rFonts w:ascii="72 Light" w:hAnsi="72 Light" w:cs="72 Light"/>
          <w:bCs/>
          <w:sz w:val="24"/>
          <w:szCs w:val="24"/>
          <w:lang w:val="fr-CA"/>
        </w:rPr>
      </w:pPr>
      <w:r w:rsidRPr="007B324D">
        <w:rPr>
          <w:rFonts w:ascii="72 Light" w:hAnsi="72 Light" w:cs="72 Light"/>
          <w:sz w:val="24"/>
          <w:szCs w:val="24"/>
          <w:lang w:val="fr-CA"/>
        </w:rPr>
        <w:t xml:space="preserve">En 2021, </w:t>
      </w:r>
      <w:r w:rsidR="008C4B3E" w:rsidRPr="007B324D">
        <w:rPr>
          <w:rFonts w:ascii="72 Light" w:hAnsi="72 Light" w:cs="72 Light"/>
          <w:sz w:val="24"/>
          <w:szCs w:val="24"/>
          <w:lang w:val="fr-CA"/>
        </w:rPr>
        <w:t>l’Assemblée</w:t>
      </w:r>
      <w:r w:rsidRPr="007B324D">
        <w:rPr>
          <w:rFonts w:ascii="72 Light" w:hAnsi="72 Light" w:cs="72 Light"/>
          <w:sz w:val="24"/>
          <w:szCs w:val="24"/>
          <w:lang w:val="fr-CA"/>
        </w:rPr>
        <w:t xml:space="preserve"> a publié le chapitre du </w:t>
      </w:r>
      <w:r w:rsidR="00D777A5" w:rsidRPr="007B324D">
        <w:rPr>
          <w:rFonts w:ascii="72 Light" w:hAnsi="72 Light" w:cs="72 Light"/>
          <w:sz w:val="24"/>
          <w:szCs w:val="24"/>
          <w:lang w:val="fr-CA"/>
        </w:rPr>
        <w:t>P</w:t>
      </w:r>
      <w:r w:rsidRPr="007B324D">
        <w:rPr>
          <w:rFonts w:ascii="72 Light" w:hAnsi="72 Light" w:cs="72 Light"/>
          <w:sz w:val="24"/>
          <w:szCs w:val="24"/>
          <w:lang w:val="fr-CA"/>
        </w:rPr>
        <w:t>lan d’action national consacré aux Premières Nations</w:t>
      </w:r>
      <w:r w:rsidR="00D777A5" w:rsidRPr="007B324D">
        <w:rPr>
          <w:rFonts w:ascii="72 Light" w:hAnsi="72 Light" w:cs="72 Light"/>
          <w:sz w:val="24"/>
          <w:szCs w:val="24"/>
          <w:lang w:val="fr-CA"/>
        </w:rPr>
        <w:t>. I</w:t>
      </w:r>
      <w:r w:rsidRPr="007B324D">
        <w:rPr>
          <w:rFonts w:ascii="72 Light" w:hAnsi="72 Light" w:cs="72 Light"/>
          <w:sz w:val="24"/>
          <w:szCs w:val="24"/>
          <w:lang w:val="fr-CA"/>
        </w:rPr>
        <w:t xml:space="preserve">ntitulé </w:t>
      </w:r>
      <w:proofErr w:type="spellStart"/>
      <w:r w:rsidRPr="007B324D">
        <w:rPr>
          <w:rFonts w:ascii="72 Light" w:hAnsi="72 Light" w:cs="72 Light"/>
          <w:i/>
          <w:iCs/>
          <w:sz w:val="24"/>
          <w:szCs w:val="24"/>
          <w:lang w:val="fr-CA"/>
        </w:rPr>
        <w:t>Breathing</w:t>
      </w:r>
      <w:proofErr w:type="spellEnd"/>
      <w:r w:rsidRPr="007B324D">
        <w:rPr>
          <w:rFonts w:ascii="72 Light" w:hAnsi="72 Light" w:cs="72 Light"/>
          <w:i/>
          <w:iCs/>
          <w:sz w:val="24"/>
          <w:szCs w:val="24"/>
          <w:lang w:val="fr-CA"/>
        </w:rPr>
        <w:t xml:space="preserve"> Life </w:t>
      </w:r>
      <w:proofErr w:type="spellStart"/>
      <w:r w:rsidRPr="007B324D">
        <w:rPr>
          <w:rFonts w:ascii="72 Light" w:hAnsi="72 Light" w:cs="72 Light"/>
          <w:i/>
          <w:iCs/>
          <w:sz w:val="24"/>
          <w:szCs w:val="24"/>
          <w:lang w:val="fr-CA"/>
        </w:rPr>
        <w:t>into</w:t>
      </w:r>
      <w:proofErr w:type="spellEnd"/>
      <w:r w:rsidRPr="007B324D">
        <w:rPr>
          <w:rFonts w:ascii="72 Light" w:hAnsi="72 Light" w:cs="72 Light"/>
          <w:i/>
          <w:iCs/>
          <w:sz w:val="24"/>
          <w:szCs w:val="24"/>
          <w:lang w:val="fr-CA"/>
        </w:rPr>
        <w:t xml:space="preserve"> the Calls for Justice</w:t>
      </w:r>
      <w:r w:rsidRPr="007B324D">
        <w:rPr>
          <w:rFonts w:ascii="72 Light" w:hAnsi="72 Light" w:cs="72 Light"/>
          <w:sz w:val="24"/>
          <w:szCs w:val="24"/>
          <w:lang w:val="fr-CA"/>
        </w:rPr>
        <w:t>,</w:t>
      </w:r>
      <w:r w:rsidR="00D777A5" w:rsidRPr="007B324D">
        <w:rPr>
          <w:rFonts w:ascii="72 Light" w:hAnsi="72 Light" w:cs="72 Light"/>
          <w:sz w:val="24"/>
          <w:szCs w:val="24"/>
          <w:lang w:val="fr-CA"/>
        </w:rPr>
        <w:t xml:space="preserve"> il</w:t>
      </w:r>
      <w:r w:rsidRPr="007B324D">
        <w:rPr>
          <w:rFonts w:ascii="72 Light" w:hAnsi="72 Light" w:cs="72 Light"/>
          <w:sz w:val="24"/>
          <w:szCs w:val="24"/>
          <w:lang w:val="fr-CA"/>
        </w:rPr>
        <w:t xml:space="preserve"> appelle à un soutien immédiat de trois cadres nationaux : des mesures de soutien globales pour les survivants et les familles, des services de prévention pour s’attaquer aux causes profondes de la violence et des mesures de soutien à la guérison pour les </w:t>
      </w:r>
      <w:r w:rsidR="00D777A5" w:rsidRPr="007B324D">
        <w:rPr>
          <w:rFonts w:ascii="72 Light" w:hAnsi="72 Light" w:cs="72 Light"/>
          <w:sz w:val="24"/>
          <w:szCs w:val="24"/>
          <w:lang w:val="fr-CA"/>
        </w:rPr>
        <w:t>membres</w:t>
      </w:r>
      <w:r w:rsidRPr="007B324D">
        <w:rPr>
          <w:rFonts w:ascii="72 Light" w:hAnsi="72 Light" w:cs="72 Light"/>
          <w:sz w:val="24"/>
          <w:szCs w:val="24"/>
          <w:lang w:val="fr-CA"/>
        </w:rPr>
        <w:t xml:space="preserve"> et les communautés des Premières Nations. Un financement durable à long terme </w:t>
      </w:r>
      <w:r w:rsidR="00D777A5" w:rsidRPr="007B324D">
        <w:rPr>
          <w:rFonts w:ascii="72 Light" w:hAnsi="72 Light" w:cs="72 Light"/>
          <w:sz w:val="24"/>
          <w:szCs w:val="24"/>
          <w:lang w:val="fr-CA"/>
        </w:rPr>
        <w:t xml:space="preserve">soutenant </w:t>
      </w:r>
      <w:r w:rsidRPr="007B324D">
        <w:rPr>
          <w:rFonts w:ascii="72 Light" w:hAnsi="72 Light" w:cs="72 Light"/>
          <w:sz w:val="24"/>
          <w:szCs w:val="24"/>
          <w:lang w:val="fr-CA"/>
        </w:rPr>
        <w:t xml:space="preserve">chacune de ces initiatives est nécessaire pour </w:t>
      </w:r>
      <w:r w:rsidRPr="007B324D">
        <w:rPr>
          <w:rFonts w:ascii="72 Light" w:hAnsi="72 Light" w:cs="72 Light"/>
          <w:sz w:val="24"/>
          <w:szCs w:val="24"/>
          <w:lang w:val="fr-CA"/>
        </w:rPr>
        <w:lastRenderedPageBreak/>
        <w:t>mettre fin à la violence faite aux femmes, aux filles et aux personnes</w:t>
      </w:r>
      <w:r w:rsidR="00042C3C" w:rsidRPr="007B324D">
        <w:rPr>
          <w:rFonts w:ascii="72 Light" w:hAnsi="72 Light" w:cs="72 Light"/>
          <w:sz w:val="24"/>
          <w:szCs w:val="24"/>
          <w:lang w:val="fr-CA"/>
        </w:rPr>
        <w:t> </w:t>
      </w:r>
      <w:r w:rsidRPr="007B324D">
        <w:rPr>
          <w:rFonts w:ascii="72 Light" w:hAnsi="72 Light" w:cs="72 Light"/>
          <w:sz w:val="24"/>
          <w:szCs w:val="24"/>
          <w:lang w:val="fr-CA"/>
        </w:rPr>
        <w:t>2ELGBT</w:t>
      </w:r>
      <w:r w:rsidR="00B86332" w:rsidRPr="007B324D">
        <w:rPr>
          <w:rFonts w:ascii="72 Light" w:hAnsi="72 Light" w:cs="72 Light"/>
          <w:sz w:val="24"/>
          <w:szCs w:val="24"/>
          <w:lang w:val="fr-CA"/>
        </w:rPr>
        <w:t>Q</w:t>
      </w:r>
      <w:r w:rsidRPr="007B324D">
        <w:rPr>
          <w:rFonts w:ascii="72 Light" w:hAnsi="72 Light" w:cs="72 Light"/>
          <w:sz w:val="24"/>
          <w:szCs w:val="24"/>
          <w:lang w:val="fr-CA"/>
        </w:rPr>
        <w:t>QIA+ des Premières Nations.</w:t>
      </w:r>
    </w:p>
    <w:p w14:paraId="60BD665F" w14:textId="6F8244A4" w:rsidR="00BF3013" w:rsidRPr="007B324D" w:rsidRDefault="00BF3013" w:rsidP="00F62155">
      <w:pPr>
        <w:tabs>
          <w:tab w:val="left" w:pos="3544"/>
        </w:tabs>
        <w:spacing w:before="120" w:line="276" w:lineRule="auto"/>
        <w:jc w:val="both"/>
        <w:rPr>
          <w:rFonts w:ascii="72 Light" w:hAnsi="72 Light" w:cs="72 Light"/>
          <w:b/>
          <w:sz w:val="24"/>
          <w:szCs w:val="24"/>
          <w:lang w:val="fr-CA"/>
        </w:rPr>
      </w:pPr>
      <w:r w:rsidRPr="007B324D">
        <w:rPr>
          <w:rFonts w:ascii="72 Light" w:hAnsi="72 Light" w:cs="72 Light"/>
          <w:b/>
          <w:sz w:val="24"/>
          <w:szCs w:val="24"/>
          <w:lang w:val="fr-CA"/>
        </w:rPr>
        <w:t xml:space="preserve">Enfants et jeunes </w:t>
      </w:r>
    </w:p>
    <w:p w14:paraId="5D0D3608" w14:textId="77777777" w:rsidR="00BF3013" w:rsidRPr="007B324D" w:rsidRDefault="00BF3013" w:rsidP="00F62155">
      <w:pPr>
        <w:tabs>
          <w:tab w:val="left" w:pos="3544"/>
        </w:tabs>
        <w:spacing w:before="120" w:line="276" w:lineRule="auto"/>
        <w:jc w:val="both"/>
        <w:rPr>
          <w:rFonts w:ascii="72 Light" w:eastAsia="72 Light" w:hAnsi="72 Light" w:cs="72 Light"/>
          <w:i/>
          <w:iCs/>
          <w:sz w:val="24"/>
          <w:szCs w:val="24"/>
          <w:shd w:val="clear" w:color="auto" w:fill="FFFFFF" w:themeFill="background1"/>
          <w:lang w:val="fr-CA"/>
        </w:rPr>
      </w:pPr>
      <w:r w:rsidRPr="007B324D">
        <w:rPr>
          <w:rFonts w:ascii="72 Light" w:hAnsi="72 Light" w:cs="72 Light"/>
          <w:i/>
          <w:iCs/>
          <w:sz w:val="24"/>
          <w:szCs w:val="24"/>
          <w:shd w:val="clear" w:color="auto" w:fill="FFFFFF" w:themeFill="background1"/>
          <w:lang w:val="fr-CA"/>
        </w:rPr>
        <w:t>Éducation préscolaire et garde d’enfants</w:t>
      </w:r>
    </w:p>
    <w:p w14:paraId="5EDEC3D8" w14:textId="79BA9F89"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color w:val="000000" w:themeColor="text1"/>
          <w:sz w:val="24"/>
          <w:szCs w:val="24"/>
          <w:lang w:val="fr-CA"/>
        </w:rPr>
        <w:t>Si les investissements du Canada constituent une avancée positive, ils ne sont pas suffisants pour combler les lacunes créées par des décennies de sous-financement de l’éducation préscolaire et de la garde d’enfants des Premières Nations, notamment en matière de gouvernance, de capital et de main-d’œuvre. Le nombre de places de garde d’enfants recensées par le Canada n’est pas propre aux enfants des Premières Nations ou autochtones et ne reflète pas nécessairement les avantages de ces investissements pour les Premières Nations. Le projet de loi</w:t>
      </w:r>
      <w:r w:rsidR="00042C3C" w:rsidRPr="007B324D">
        <w:rPr>
          <w:rFonts w:ascii="72 Light" w:hAnsi="72 Light" w:cs="72 Light"/>
          <w:color w:val="000000" w:themeColor="text1"/>
          <w:sz w:val="24"/>
          <w:szCs w:val="24"/>
          <w:lang w:val="fr-CA"/>
        </w:rPr>
        <w:t> </w:t>
      </w:r>
      <w:r w:rsidRPr="007B324D">
        <w:rPr>
          <w:rFonts w:ascii="72 Light" w:hAnsi="72 Light" w:cs="72 Light"/>
          <w:color w:val="000000" w:themeColor="text1"/>
          <w:sz w:val="24"/>
          <w:szCs w:val="24"/>
          <w:lang w:val="fr-CA"/>
        </w:rPr>
        <w:t xml:space="preserve">C-35, </w:t>
      </w:r>
      <w:r w:rsidRPr="007B324D">
        <w:rPr>
          <w:rFonts w:ascii="72 Light" w:hAnsi="72 Light" w:cs="72 Light"/>
          <w:i/>
          <w:iCs/>
          <w:color w:val="000000" w:themeColor="text1"/>
          <w:sz w:val="24"/>
          <w:szCs w:val="24"/>
          <w:lang w:val="fr-CA"/>
        </w:rPr>
        <w:t xml:space="preserve">Loi relative à l’apprentissage et à la garde des jeunes enfants au Canada, </w:t>
      </w:r>
      <w:r w:rsidRPr="007B324D">
        <w:rPr>
          <w:rFonts w:ascii="72 Light" w:hAnsi="72 Light" w:cs="72 Light"/>
          <w:color w:val="000000" w:themeColor="text1"/>
          <w:sz w:val="24"/>
          <w:szCs w:val="24"/>
          <w:lang w:val="fr-CA"/>
        </w:rPr>
        <w:t xml:space="preserve">a été déposé à la Chambre des communes en décembre 2022 sans que les détenteurs de droits des Premières Nations aient été consultés ou </w:t>
      </w:r>
      <w:r w:rsidR="00D777A5" w:rsidRPr="007B324D">
        <w:rPr>
          <w:rFonts w:ascii="72 Light" w:hAnsi="72 Light" w:cs="72 Light"/>
          <w:color w:val="000000" w:themeColor="text1"/>
          <w:sz w:val="24"/>
          <w:szCs w:val="24"/>
          <w:lang w:val="fr-CA"/>
        </w:rPr>
        <w:t>mobilisés</w:t>
      </w:r>
      <w:r w:rsidRPr="007B324D">
        <w:rPr>
          <w:rFonts w:ascii="72 Light" w:hAnsi="72 Light" w:cs="72 Light"/>
          <w:color w:val="000000" w:themeColor="text1"/>
          <w:sz w:val="24"/>
          <w:szCs w:val="24"/>
          <w:lang w:val="fr-CA"/>
        </w:rPr>
        <w:t xml:space="preserve"> comme il se doit pour obtenir leur consentement libre, préalable et éclairé.</w:t>
      </w:r>
    </w:p>
    <w:p w14:paraId="245D3136" w14:textId="2B54D2E1" w:rsidR="00BF3013" w:rsidRPr="007B324D" w:rsidRDefault="00BF3013" w:rsidP="00F62155">
      <w:pPr>
        <w:tabs>
          <w:tab w:val="left" w:pos="3544"/>
        </w:tabs>
        <w:spacing w:before="120" w:line="276" w:lineRule="auto"/>
        <w:ind w:left="0" w:firstLine="0"/>
        <w:jc w:val="both"/>
        <w:rPr>
          <w:rFonts w:ascii="72 Light" w:hAnsi="72 Light" w:cs="72 Light"/>
          <w:b/>
          <w:sz w:val="24"/>
          <w:szCs w:val="24"/>
          <w:lang w:val="fr-CA"/>
        </w:rPr>
      </w:pPr>
      <w:r w:rsidRPr="007B324D">
        <w:rPr>
          <w:rFonts w:ascii="72 Light" w:hAnsi="72 Light" w:cs="72 Light"/>
          <w:b/>
          <w:sz w:val="24"/>
          <w:szCs w:val="24"/>
          <w:lang w:val="fr-CA"/>
        </w:rPr>
        <w:t xml:space="preserve">Personnes </w:t>
      </w:r>
      <w:r w:rsidR="00605092" w:rsidRPr="007B324D">
        <w:rPr>
          <w:rFonts w:ascii="72 Light" w:hAnsi="72 Light" w:cs="72 Light"/>
          <w:b/>
          <w:sz w:val="24"/>
          <w:szCs w:val="24"/>
          <w:lang w:val="fr-CA"/>
        </w:rPr>
        <w:t>en situation de handicap</w:t>
      </w:r>
    </w:p>
    <w:p w14:paraId="2635BD42" w14:textId="702AD4FB" w:rsidR="00BF3013" w:rsidRPr="007B324D" w:rsidRDefault="00BF3013" w:rsidP="00F62155">
      <w:pPr>
        <w:tabs>
          <w:tab w:val="left" w:pos="3544"/>
        </w:tabs>
        <w:spacing w:before="120" w:line="276" w:lineRule="auto"/>
        <w:ind w:left="0" w:firstLine="0"/>
        <w:jc w:val="both"/>
        <w:rPr>
          <w:rFonts w:ascii="72 Light" w:hAnsi="72 Light" w:cs="72 Light"/>
          <w:i/>
          <w:iCs/>
          <w:sz w:val="24"/>
          <w:szCs w:val="24"/>
          <w:lang w:val="fr-CA"/>
        </w:rPr>
      </w:pPr>
      <w:r w:rsidRPr="007B324D">
        <w:rPr>
          <w:rFonts w:ascii="72 Light" w:hAnsi="72 Light" w:cs="72 Light"/>
          <w:i/>
          <w:iCs/>
          <w:sz w:val="24"/>
          <w:szCs w:val="24"/>
          <w:lang w:val="fr-CA"/>
        </w:rPr>
        <w:t xml:space="preserve">Droits des personnes </w:t>
      </w:r>
      <w:r w:rsidR="00605092" w:rsidRPr="007B324D">
        <w:rPr>
          <w:rFonts w:ascii="72 Light" w:hAnsi="72 Light" w:cs="72 Light"/>
          <w:i/>
          <w:iCs/>
          <w:sz w:val="24"/>
          <w:szCs w:val="24"/>
          <w:lang w:val="fr-CA"/>
        </w:rPr>
        <w:t xml:space="preserve">en situation de </w:t>
      </w:r>
      <w:r w:rsidRPr="007B324D">
        <w:rPr>
          <w:rFonts w:ascii="72 Light" w:hAnsi="72 Light" w:cs="72 Light"/>
          <w:i/>
          <w:iCs/>
          <w:sz w:val="24"/>
          <w:szCs w:val="24"/>
          <w:lang w:val="fr-CA"/>
        </w:rPr>
        <w:t>handicap</w:t>
      </w:r>
    </w:p>
    <w:p w14:paraId="76AA623E" w14:textId="4B555363" w:rsidR="00BF3013" w:rsidRPr="007B324D" w:rsidRDefault="008C4B3E" w:rsidP="00F62155">
      <w:pPr>
        <w:tabs>
          <w:tab w:val="left" w:pos="3544"/>
        </w:tabs>
        <w:spacing w:before="120" w:line="276" w:lineRule="auto"/>
        <w:ind w:left="0" w:firstLine="0"/>
        <w:jc w:val="both"/>
        <w:rPr>
          <w:rFonts w:ascii="72 Light" w:hAnsi="72 Light" w:cs="72 Light"/>
          <w:color w:val="000000" w:themeColor="text1"/>
          <w:sz w:val="24"/>
          <w:szCs w:val="24"/>
          <w:lang w:val="fr-CA"/>
        </w:rPr>
      </w:pPr>
      <w:r w:rsidRPr="007B324D">
        <w:rPr>
          <w:rFonts w:ascii="72 Light" w:hAnsi="72 Light" w:cs="72 Light"/>
          <w:color w:val="000000" w:themeColor="text1"/>
          <w:sz w:val="24"/>
          <w:szCs w:val="24"/>
          <w:lang w:val="fr-CA"/>
        </w:rPr>
        <w:t>L’A</w:t>
      </w:r>
      <w:r w:rsidR="00605092" w:rsidRPr="007B324D">
        <w:rPr>
          <w:rFonts w:ascii="72 Light" w:hAnsi="72 Light" w:cs="72 Light"/>
          <w:color w:val="000000" w:themeColor="text1"/>
          <w:sz w:val="24"/>
          <w:szCs w:val="24"/>
          <w:lang w:val="fr-CA"/>
        </w:rPr>
        <w:t>ssemblée</w:t>
      </w:r>
      <w:r w:rsidR="00BF3013" w:rsidRPr="007B324D">
        <w:rPr>
          <w:rFonts w:ascii="72 Light" w:hAnsi="72 Light" w:cs="72 Light"/>
          <w:color w:val="000000" w:themeColor="text1"/>
          <w:sz w:val="24"/>
          <w:szCs w:val="24"/>
          <w:lang w:val="fr-CA"/>
        </w:rPr>
        <w:t xml:space="preserve"> collabore avec </w:t>
      </w:r>
      <w:r w:rsidR="00D777A5" w:rsidRPr="007B324D">
        <w:rPr>
          <w:rFonts w:ascii="72 Light" w:hAnsi="72 Light" w:cs="72 Light"/>
          <w:color w:val="000000" w:themeColor="text1"/>
          <w:sz w:val="24"/>
          <w:szCs w:val="24"/>
          <w:lang w:val="fr-CA"/>
        </w:rPr>
        <w:t>EDSC</w:t>
      </w:r>
      <w:r w:rsidR="00BF3013" w:rsidRPr="007B324D">
        <w:rPr>
          <w:rFonts w:ascii="72 Light" w:hAnsi="72 Light" w:cs="72 Light"/>
          <w:color w:val="000000" w:themeColor="text1"/>
          <w:sz w:val="24"/>
          <w:szCs w:val="24"/>
          <w:lang w:val="fr-CA"/>
        </w:rPr>
        <w:t xml:space="preserve"> pour soutenir </w:t>
      </w:r>
      <w:r w:rsidR="00D777A5" w:rsidRPr="007B324D">
        <w:rPr>
          <w:rFonts w:ascii="72 Light" w:hAnsi="72 Light" w:cs="72 Light"/>
          <w:color w:val="000000" w:themeColor="text1"/>
          <w:sz w:val="24"/>
          <w:szCs w:val="24"/>
          <w:lang w:val="fr-CA"/>
        </w:rPr>
        <w:t>l’application</w:t>
      </w:r>
      <w:r w:rsidR="00BF3013" w:rsidRPr="007B324D">
        <w:rPr>
          <w:rFonts w:ascii="72 Light" w:hAnsi="72 Light" w:cs="72 Light"/>
          <w:color w:val="000000" w:themeColor="text1"/>
          <w:sz w:val="24"/>
          <w:szCs w:val="24"/>
          <w:lang w:val="fr-CA"/>
        </w:rPr>
        <w:t xml:space="preserve"> d’éléments essentiels du Plan d’action pour l’inclusion des personnes en situation de handicap du Canada et de la Stratégie nationale sur l’autisme. </w:t>
      </w:r>
      <w:r w:rsidRPr="007B324D">
        <w:rPr>
          <w:rFonts w:ascii="72 Light" w:hAnsi="72 Light" w:cs="72 Light"/>
          <w:color w:val="000000" w:themeColor="text1"/>
          <w:sz w:val="24"/>
          <w:szCs w:val="24"/>
          <w:lang w:val="fr-CA"/>
        </w:rPr>
        <w:t>L’A</w:t>
      </w:r>
      <w:r w:rsidR="00605092" w:rsidRPr="007B324D">
        <w:rPr>
          <w:rFonts w:ascii="72 Light" w:hAnsi="72 Light" w:cs="72 Light"/>
          <w:color w:val="000000" w:themeColor="text1"/>
          <w:sz w:val="24"/>
          <w:szCs w:val="24"/>
          <w:lang w:val="fr-CA"/>
        </w:rPr>
        <w:t>ssemblée</w:t>
      </w:r>
      <w:r w:rsidR="00BF3013" w:rsidRPr="007B324D">
        <w:rPr>
          <w:rFonts w:ascii="72 Light" w:hAnsi="72 Light" w:cs="72 Light"/>
          <w:color w:val="000000" w:themeColor="text1"/>
          <w:sz w:val="24"/>
          <w:szCs w:val="24"/>
          <w:lang w:val="fr-CA"/>
        </w:rPr>
        <w:t xml:space="preserve"> a placé l’optique du </w:t>
      </w:r>
      <w:r w:rsidR="00D777A5" w:rsidRPr="007B324D">
        <w:rPr>
          <w:rFonts w:ascii="72 Light" w:hAnsi="72 Light" w:cs="72 Light"/>
          <w:color w:val="000000" w:themeColor="text1"/>
          <w:sz w:val="24"/>
          <w:szCs w:val="24"/>
          <w:lang w:val="fr-CA"/>
        </w:rPr>
        <w:t>Plan d’action</w:t>
      </w:r>
      <w:r w:rsidR="00BF3013" w:rsidRPr="007B324D">
        <w:rPr>
          <w:rFonts w:ascii="72 Light" w:hAnsi="72 Light" w:cs="72 Light"/>
          <w:color w:val="000000" w:themeColor="text1"/>
          <w:sz w:val="24"/>
          <w:szCs w:val="24"/>
          <w:lang w:val="fr-CA"/>
        </w:rPr>
        <w:t xml:space="preserve"> et de la </w:t>
      </w:r>
      <w:r w:rsidR="00D777A5" w:rsidRPr="007B324D">
        <w:rPr>
          <w:rFonts w:ascii="72 Light" w:hAnsi="72 Light" w:cs="72 Light"/>
          <w:color w:val="000000" w:themeColor="text1"/>
          <w:sz w:val="24"/>
          <w:szCs w:val="24"/>
          <w:lang w:val="fr-CA"/>
        </w:rPr>
        <w:t>Stratégie</w:t>
      </w:r>
      <w:r w:rsidR="00BF3013" w:rsidRPr="007B324D">
        <w:rPr>
          <w:rFonts w:ascii="72 Light" w:hAnsi="72 Light" w:cs="72 Light"/>
          <w:color w:val="000000" w:themeColor="text1"/>
          <w:sz w:val="24"/>
          <w:szCs w:val="24"/>
          <w:lang w:val="fr-CA"/>
        </w:rPr>
        <w:t xml:space="preserve"> au cœur de l’élaboration d’un projet de cadre visant à promouvoir l’accessibilité et l’inclusion des </w:t>
      </w:r>
      <w:r w:rsidR="00826A30" w:rsidRPr="007B324D">
        <w:rPr>
          <w:rFonts w:ascii="72 Light" w:hAnsi="72 Light" w:cs="72 Light"/>
          <w:color w:val="000000" w:themeColor="text1"/>
          <w:sz w:val="24"/>
          <w:szCs w:val="24"/>
          <w:lang w:val="fr-CA"/>
        </w:rPr>
        <w:t xml:space="preserve">personnes en situation de handicap </w:t>
      </w:r>
      <w:r w:rsidR="00BF3013" w:rsidRPr="007B324D">
        <w:rPr>
          <w:rFonts w:ascii="72 Light" w:hAnsi="72 Light" w:cs="72 Light"/>
          <w:color w:val="000000" w:themeColor="text1"/>
          <w:sz w:val="24"/>
          <w:szCs w:val="24"/>
          <w:lang w:val="fr-CA"/>
        </w:rPr>
        <w:t xml:space="preserve">au sein des Premières Nations et à déterminer l’état de l’accessibilité au sein des Premières Nations. Le </w:t>
      </w:r>
      <w:r w:rsidR="00D777A5" w:rsidRPr="007B324D">
        <w:rPr>
          <w:rFonts w:ascii="72 Light" w:hAnsi="72 Light" w:cs="72 Light"/>
          <w:color w:val="000000" w:themeColor="text1"/>
          <w:sz w:val="24"/>
          <w:szCs w:val="24"/>
          <w:lang w:val="fr-CA"/>
        </w:rPr>
        <w:t>Plan d’action et la Stratégie</w:t>
      </w:r>
      <w:r w:rsidR="00BF3013" w:rsidRPr="007B324D">
        <w:rPr>
          <w:rFonts w:ascii="72 Light" w:hAnsi="72 Light" w:cs="72 Light"/>
          <w:color w:val="000000" w:themeColor="text1"/>
          <w:sz w:val="24"/>
          <w:szCs w:val="24"/>
          <w:lang w:val="fr-CA"/>
        </w:rPr>
        <w:t xml:space="preserve"> seront également au cœur du processus d’examen des </w:t>
      </w:r>
      <w:r w:rsidR="00D777A5" w:rsidRPr="007B324D">
        <w:rPr>
          <w:rFonts w:ascii="72 Light" w:hAnsi="72 Light" w:cs="72 Light"/>
          <w:color w:val="000000" w:themeColor="text1"/>
          <w:sz w:val="24"/>
          <w:szCs w:val="24"/>
          <w:lang w:val="fr-CA"/>
        </w:rPr>
        <w:t>solutions possibles lors de</w:t>
      </w:r>
      <w:r w:rsidR="00BF3013" w:rsidRPr="007B324D">
        <w:rPr>
          <w:rFonts w:ascii="72 Light" w:hAnsi="72 Light" w:cs="72 Light"/>
          <w:color w:val="000000" w:themeColor="text1"/>
          <w:sz w:val="24"/>
          <w:szCs w:val="24"/>
          <w:lang w:val="fr-CA"/>
        </w:rPr>
        <w:t xml:space="preserve"> l’élaboration d’une loi sur l’accessibilité distincte pour les Premières Nations, par les Premières Nations et pour les Premières Nations.</w:t>
      </w:r>
    </w:p>
    <w:p w14:paraId="0187D97E" w14:textId="7AF23E99" w:rsidR="00BF3013" w:rsidRPr="007B324D" w:rsidRDefault="00D777A5" w:rsidP="00F62155">
      <w:pPr>
        <w:tabs>
          <w:tab w:val="left" w:pos="3544"/>
        </w:tabs>
        <w:spacing w:before="120" w:line="276" w:lineRule="auto"/>
        <w:ind w:left="0" w:firstLine="0"/>
        <w:jc w:val="both"/>
        <w:rPr>
          <w:rFonts w:ascii="72 Light" w:hAnsi="72 Light" w:cs="72 Light"/>
          <w:color w:val="000000" w:themeColor="text1"/>
          <w:sz w:val="24"/>
          <w:szCs w:val="24"/>
          <w:lang w:val="fr-CA"/>
        </w:rPr>
      </w:pPr>
      <w:r w:rsidRPr="007B324D">
        <w:rPr>
          <w:rFonts w:ascii="72 Light" w:hAnsi="72 Light" w:cs="72 Light"/>
          <w:color w:val="000000" w:themeColor="text1"/>
          <w:sz w:val="24"/>
          <w:szCs w:val="24"/>
          <w:lang w:val="fr-CA"/>
        </w:rPr>
        <w:t>En ce moment, beaucoup de</w:t>
      </w:r>
      <w:r w:rsidR="00BF3013" w:rsidRPr="007B324D">
        <w:rPr>
          <w:rFonts w:ascii="72 Light" w:hAnsi="72 Light" w:cs="72 Light"/>
          <w:color w:val="000000" w:themeColor="text1"/>
          <w:sz w:val="24"/>
          <w:szCs w:val="24"/>
          <w:lang w:val="fr-CA"/>
        </w:rPr>
        <w:t xml:space="preserve"> </w:t>
      </w:r>
      <w:r w:rsidR="00826A30" w:rsidRPr="007B324D">
        <w:rPr>
          <w:rFonts w:ascii="72 Light" w:hAnsi="72 Light" w:cs="72 Light"/>
          <w:color w:val="000000" w:themeColor="text1"/>
          <w:sz w:val="24"/>
          <w:szCs w:val="24"/>
          <w:lang w:val="fr-CA"/>
        </w:rPr>
        <w:t xml:space="preserve">personnes en situation de handicap </w:t>
      </w:r>
      <w:r w:rsidR="00BF3013" w:rsidRPr="007B324D">
        <w:rPr>
          <w:rFonts w:ascii="72 Light" w:hAnsi="72 Light" w:cs="72 Light"/>
          <w:color w:val="000000" w:themeColor="text1"/>
          <w:sz w:val="24"/>
          <w:szCs w:val="24"/>
          <w:lang w:val="fr-CA"/>
        </w:rPr>
        <w:t>des Premières Nations</w:t>
      </w:r>
      <w:r w:rsidRPr="007B324D">
        <w:rPr>
          <w:rFonts w:ascii="72 Light" w:hAnsi="72 Light" w:cs="72 Light"/>
          <w:color w:val="000000" w:themeColor="text1"/>
          <w:sz w:val="24"/>
          <w:szCs w:val="24"/>
          <w:lang w:val="fr-CA"/>
        </w:rPr>
        <w:t xml:space="preserve"> (accompagnées de membres de </w:t>
      </w:r>
      <w:r w:rsidR="00BF3013" w:rsidRPr="007B324D">
        <w:rPr>
          <w:rFonts w:ascii="72 Light" w:hAnsi="72 Light" w:cs="72 Light"/>
          <w:color w:val="000000" w:themeColor="text1"/>
          <w:sz w:val="24"/>
          <w:szCs w:val="24"/>
          <w:lang w:val="fr-CA"/>
        </w:rPr>
        <w:t>leurs familles</w:t>
      </w:r>
      <w:r w:rsidRPr="007B324D">
        <w:rPr>
          <w:rFonts w:ascii="72 Light" w:hAnsi="72 Light" w:cs="72 Light"/>
          <w:color w:val="000000" w:themeColor="text1"/>
          <w:sz w:val="24"/>
          <w:szCs w:val="24"/>
          <w:lang w:val="fr-CA"/>
        </w:rPr>
        <w:t>)</w:t>
      </w:r>
      <w:r w:rsidR="00BF3013" w:rsidRPr="007B324D">
        <w:rPr>
          <w:rFonts w:ascii="72 Light" w:hAnsi="72 Light" w:cs="72 Light"/>
          <w:color w:val="000000" w:themeColor="text1"/>
          <w:sz w:val="24"/>
          <w:szCs w:val="24"/>
          <w:lang w:val="fr-CA"/>
        </w:rPr>
        <w:t xml:space="preserve"> </w:t>
      </w:r>
      <w:r w:rsidRPr="007B324D">
        <w:rPr>
          <w:rFonts w:ascii="72 Light" w:hAnsi="72 Light" w:cs="72 Light"/>
          <w:color w:val="000000" w:themeColor="text1"/>
          <w:sz w:val="24"/>
          <w:szCs w:val="24"/>
          <w:lang w:val="fr-CA"/>
        </w:rPr>
        <w:t>doivent quitter</w:t>
      </w:r>
      <w:r w:rsidR="00BF3013" w:rsidRPr="007B324D">
        <w:rPr>
          <w:rFonts w:ascii="72 Light" w:hAnsi="72 Light" w:cs="72 Light"/>
          <w:color w:val="000000" w:themeColor="text1"/>
          <w:sz w:val="24"/>
          <w:szCs w:val="24"/>
          <w:lang w:val="fr-CA"/>
        </w:rPr>
        <w:t xml:space="preserve"> leurs Premières Nations respectives pour aller se faire soigner dans des municipalités, des villes et des institutions souvent hostiles aux Premières Nations. </w:t>
      </w:r>
      <w:r w:rsidR="000A07FF" w:rsidRPr="007B324D">
        <w:rPr>
          <w:rFonts w:ascii="72 Light" w:hAnsi="72 Light" w:cs="72 Light"/>
          <w:color w:val="000000" w:themeColor="text1"/>
          <w:sz w:val="24"/>
          <w:szCs w:val="24"/>
          <w:lang w:val="fr-CA"/>
        </w:rPr>
        <w:t>C’est par exemple ce qu’a vécu</w:t>
      </w:r>
      <w:r w:rsidR="00BF3013" w:rsidRPr="007B324D">
        <w:rPr>
          <w:rFonts w:ascii="72 Light" w:hAnsi="72 Light" w:cs="72 Light"/>
          <w:color w:val="000000" w:themeColor="text1"/>
          <w:sz w:val="24"/>
          <w:szCs w:val="24"/>
          <w:lang w:val="fr-CA"/>
        </w:rPr>
        <w:t xml:space="preserve"> Joyce </w:t>
      </w:r>
      <w:r w:rsidR="00BF3013" w:rsidRPr="007B324D">
        <w:rPr>
          <w:rStyle w:val="normaltextrun"/>
          <w:rFonts w:ascii="72 Light" w:hAnsi="72 Light" w:cs="72 Light"/>
          <w:color w:val="000000" w:themeColor="text1"/>
          <w:sz w:val="24"/>
          <w:szCs w:val="24"/>
          <w:lang w:val="fr-CA"/>
        </w:rPr>
        <w:t>Echaquan</w:t>
      </w:r>
      <w:r w:rsidRPr="007B324D">
        <w:rPr>
          <w:rStyle w:val="normaltextrun"/>
          <w:rFonts w:ascii="72 Light" w:hAnsi="72 Light" w:cs="72 Light"/>
          <w:color w:val="000000" w:themeColor="text1"/>
          <w:sz w:val="24"/>
          <w:szCs w:val="24"/>
          <w:lang w:val="fr-CA"/>
        </w:rPr>
        <w:t>,</w:t>
      </w:r>
      <w:r w:rsidR="00BF3013" w:rsidRPr="007B324D">
        <w:rPr>
          <w:rFonts w:ascii="72 Light" w:hAnsi="72 Light" w:cs="72 Light"/>
          <w:color w:val="000000" w:themeColor="text1"/>
          <w:sz w:val="24"/>
          <w:szCs w:val="24"/>
          <w:lang w:val="fr-CA"/>
        </w:rPr>
        <w:t xml:space="preserve"> </w:t>
      </w:r>
      <w:r w:rsidR="000A07FF" w:rsidRPr="007B324D">
        <w:rPr>
          <w:rFonts w:ascii="72 Light" w:hAnsi="72 Light" w:cs="72 Light"/>
          <w:color w:val="000000" w:themeColor="text1"/>
          <w:sz w:val="24"/>
          <w:szCs w:val="24"/>
          <w:lang w:val="fr-CA"/>
        </w:rPr>
        <w:t xml:space="preserve">une </w:t>
      </w:r>
      <w:r w:rsidR="00BF3013" w:rsidRPr="007B324D">
        <w:rPr>
          <w:rFonts w:ascii="72 Light" w:hAnsi="72 Light" w:cs="72 Light"/>
          <w:color w:val="000000" w:themeColor="text1"/>
          <w:sz w:val="24"/>
          <w:szCs w:val="24"/>
          <w:lang w:val="fr-CA"/>
        </w:rPr>
        <w:t>femme</w:t>
      </w:r>
      <w:r w:rsidRPr="007B324D">
        <w:rPr>
          <w:rFonts w:ascii="72 Light" w:hAnsi="72 Light" w:cs="72 Light"/>
          <w:color w:val="000000" w:themeColor="text1"/>
          <w:sz w:val="24"/>
          <w:szCs w:val="24"/>
          <w:lang w:val="fr-CA"/>
        </w:rPr>
        <w:t xml:space="preserve"> d’une</w:t>
      </w:r>
      <w:r w:rsidR="00BF3013" w:rsidRPr="007B324D">
        <w:rPr>
          <w:rFonts w:ascii="72 Light" w:hAnsi="72 Light" w:cs="72 Light"/>
          <w:color w:val="000000" w:themeColor="text1"/>
          <w:sz w:val="24"/>
          <w:szCs w:val="24"/>
          <w:lang w:val="fr-CA"/>
        </w:rPr>
        <w:t xml:space="preserve"> Première Nation</w:t>
      </w:r>
      <w:r w:rsidRPr="007B324D">
        <w:rPr>
          <w:rFonts w:ascii="72 Light" w:hAnsi="72 Light" w:cs="72 Light"/>
          <w:color w:val="000000" w:themeColor="text1"/>
          <w:sz w:val="24"/>
          <w:szCs w:val="24"/>
          <w:lang w:val="fr-CA"/>
        </w:rPr>
        <w:t xml:space="preserve"> en situation de </w:t>
      </w:r>
      <w:r w:rsidR="00BF3013" w:rsidRPr="007B324D">
        <w:rPr>
          <w:rFonts w:ascii="72 Light" w:hAnsi="72 Light" w:cs="72 Light"/>
          <w:color w:val="000000" w:themeColor="text1"/>
          <w:sz w:val="24"/>
          <w:szCs w:val="24"/>
          <w:lang w:val="fr-CA"/>
        </w:rPr>
        <w:t>handicap</w:t>
      </w:r>
      <w:r w:rsidR="000A07FF" w:rsidRPr="007B324D">
        <w:rPr>
          <w:rFonts w:ascii="72 Light" w:hAnsi="72 Light" w:cs="72 Light"/>
          <w:color w:val="000000" w:themeColor="text1"/>
          <w:sz w:val="24"/>
          <w:szCs w:val="24"/>
          <w:lang w:val="fr-CA"/>
        </w:rPr>
        <w:t xml:space="preserve"> qui </w:t>
      </w:r>
      <w:r w:rsidR="00BF3013" w:rsidRPr="007B324D">
        <w:rPr>
          <w:rFonts w:ascii="72 Light" w:hAnsi="72 Light" w:cs="72 Light"/>
          <w:color w:val="000000" w:themeColor="text1"/>
          <w:sz w:val="24"/>
          <w:szCs w:val="24"/>
          <w:lang w:val="fr-CA"/>
        </w:rPr>
        <w:t>cherchait à obtenir des soins en dehors de sa Première Nation. Compte tenu des nouve</w:t>
      </w:r>
      <w:r w:rsidR="00AC6EBD" w:rsidRPr="007B324D">
        <w:rPr>
          <w:rFonts w:ascii="72 Light" w:hAnsi="72 Light" w:cs="72 Light"/>
          <w:color w:val="000000" w:themeColor="text1"/>
          <w:sz w:val="24"/>
          <w:szCs w:val="24"/>
          <w:lang w:val="fr-CA"/>
        </w:rPr>
        <w:t xml:space="preserve">aux développements </w:t>
      </w:r>
      <w:r w:rsidR="00BF3013" w:rsidRPr="007B324D">
        <w:rPr>
          <w:rFonts w:ascii="72 Light" w:hAnsi="72 Light" w:cs="72 Light"/>
          <w:color w:val="000000" w:themeColor="text1"/>
          <w:sz w:val="24"/>
          <w:szCs w:val="24"/>
          <w:lang w:val="fr-CA"/>
        </w:rPr>
        <w:t>législati</w:t>
      </w:r>
      <w:r w:rsidR="00AC6EBD" w:rsidRPr="007B324D">
        <w:rPr>
          <w:rFonts w:ascii="72 Light" w:hAnsi="72 Light" w:cs="72 Light"/>
          <w:color w:val="000000" w:themeColor="text1"/>
          <w:sz w:val="24"/>
          <w:szCs w:val="24"/>
          <w:lang w:val="fr-CA"/>
        </w:rPr>
        <w:t>f</w:t>
      </w:r>
      <w:r w:rsidR="00BF3013" w:rsidRPr="007B324D">
        <w:rPr>
          <w:rFonts w:ascii="72 Light" w:hAnsi="72 Light" w:cs="72 Light"/>
          <w:color w:val="000000" w:themeColor="text1"/>
          <w:sz w:val="24"/>
          <w:szCs w:val="24"/>
          <w:lang w:val="fr-CA"/>
        </w:rPr>
        <w:t xml:space="preserve">s dans les provinces et les territoires, les Premières Nations et les </w:t>
      </w:r>
      <w:r w:rsidR="00312BD7" w:rsidRPr="007B324D">
        <w:rPr>
          <w:rFonts w:ascii="72 Light" w:hAnsi="72 Light" w:cs="72 Light"/>
          <w:color w:val="000000" w:themeColor="text1"/>
          <w:sz w:val="24"/>
          <w:szCs w:val="24"/>
          <w:lang w:val="fr-CA"/>
        </w:rPr>
        <w:t xml:space="preserve">personnes en situation de handicap </w:t>
      </w:r>
      <w:r w:rsidR="00AC6EBD" w:rsidRPr="007B324D">
        <w:rPr>
          <w:rFonts w:ascii="72 Light" w:hAnsi="72 Light" w:cs="72 Light"/>
          <w:color w:val="000000" w:themeColor="text1"/>
          <w:sz w:val="24"/>
          <w:szCs w:val="24"/>
          <w:lang w:val="fr-CA"/>
        </w:rPr>
        <w:t xml:space="preserve">des Premières Nations </w:t>
      </w:r>
      <w:r w:rsidR="00BF3013" w:rsidRPr="007B324D">
        <w:rPr>
          <w:rFonts w:ascii="72 Light" w:hAnsi="72 Light" w:cs="72 Light"/>
          <w:color w:val="000000" w:themeColor="text1"/>
          <w:sz w:val="24"/>
          <w:szCs w:val="24"/>
          <w:lang w:val="fr-CA"/>
        </w:rPr>
        <w:t>ont besoin d’occasions pour travailler ensemble afin de résoudre les problèmes de compétence et les obstacles</w:t>
      </w:r>
      <w:r w:rsidR="00AC6EBD" w:rsidRPr="007B324D">
        <w:rPr>
          <w:rFonts w:ascii="72 Light" w:hAnsi="72 Light" w:cs="72 Light"/>
          <w:color w:val="000000" w:themeColor="text1"/>
          <w:sz w:val="24"/>
          <w:szCs w:val="24"/>
          <w:lang w:val="fr-CA"/>
        </w:rPr>
        <w:t xml:space="preserve"> au soutien des personnes ne vivant pas au sein de leur</w:t>
      </w:r>
      <w:r w:rsidR="00BF3013" w:rsidRPr="007B324D">
        <w:rPr>
          <w:rFonts w:ascii="72 Light" w:hAnsi="72 Light" w:cs="72 Light"/>
          <w:color w:val="000000" w:themeColor="text1"/>
          <w:sz w:val="24"/>
          <w:szCs w:val="24"/>
          <w:lang w:val="fr-CA"/>
        </w:rPr>
        <w:t xml:space="preserve"> Première Nation afin qu’elles puissent accéder à des services et à des programmes culturellement sûrs</w:t>
      </w:r>
      <w:r w:rsidR="00AC6EBD" w:rsidRPr="007B324D">
        <w:rPr>
          <w:rFonts w:ascii="72 Light" w:hAnsi="72 Light" w:cs="72 Light"/>
          <w:color w:val="000000" w:themeColor="text1"/>
          <w:sz w:val="24"/>
          <w:szCs w:val="24"/>
          <w:lang w:val="fr-CA"/>
        </w:rPr>
        <w:t>. Elles doivent aussi</w:t>
      </w:r>
      <w:r w:rsidR="00BF3013" w:rsidRPr="007B324D">
        <w:rPr>
          <w:rFonts w:ascii="72 Light" w:hAnsi="72 Light" w:cs="72 Light"/>
          <w:color w:val="000000" w:themeColor="text1"/>
          <w:sz w:val="24"/>
          <w:szCs w:val="24"/>
          <w:lang w:val="fr-CA"/>
        </w:rPr>
        <w:t xml:space="preserve"> travailler ensemble pour </w:t>
      </w:r>
      <w:r w:rsidR="00AC6EBD" w:rsidRPr="007B324D">
        <w:rPr>
          <w:rFonts w:ascii="72 Light" w:hAnsi="72 Light" w:cs="72 Light"/>
          <w:color w:val="000000" w:themeColor="text1"/>
          <w:sz w:val="24"/>
          <w:szCs w:val="24"/>
          <w:lang w:val="fr-CA"/>
        </w:rPr>
        <w:t xml:space="preserve">rapatrier </w:t>
      </w:r>
      <w:r w:rsidR="00BF3013" w:rsidRPr="007B324D">
        <w:rPr>
          <w:rFonts w:ascii="72 Light" w:hAnsi="72 Light" w:cs="72 Light"/>
          <w:color w:val="000000" w:themeColor="text1"/>
          <w:sz w:val="24"/>
          <w:szCs w:val="24"/>
          <w:lang w:val="fr-CA"/>
        </w:rPr>
        <w:t xml:space="preserve">les services </w:t>
      </w:r>
      <w:r w:rsidR="00AC6EBD" w:rsidRPr="007B324D">
        <w:rPr>
          <w:rFonts w:ascii="72 Light" w:hAnsi="72 Light" w:cs="72 Light"/>
          <w:color w:val="000000" w:themeColor="text1"/>
          <w:sz w:val="24"/>
          <w:szCs w:val="24"/>
          <w:lang w:val="fr-CA"/>
        </w:rPr>
        <w:t>au sein des</w:t>
      </w:r>
      <w:r w:rsidR="00BF3013" w:rsidRPr="007B324D">
        <w:rPr>
          <w:rFonts w:ascii="72 Light" w:hAnsi="72 Light" w:cs="72 Light"/>
          <w:color w:val="000000" w:themeColor="text1"/>
          <w:sz w:val="24"/>
          <w:szCs w:val="24"/>
          <w:lang w:val="fr-CA"/>
        </w:rPr>
        <w:t xml:space="preserve"> Premières Nations. </w:t>
      </w:r>
    </w:p>
    <w:p w14:paraId="53AF58B7" w14:textId="77777777" w:rsidR="00BF3013" w:rsidRPr="007B324D" w:rsidRDefault="00BF3013" w:rsidP="00F62155">
      <w:pPr>
        <w:tabs>
          <w:tab w:val="left" w:pos="3544"/>
        </w:tabs>
        <w:spacing w:before="120" w:line="276" w:lineRule="auto"/>
        <w:ind w:left="0" w:firstLine="0"/>
        <w:jc w:val="both"/>
        <w:rPr>
          <w:rFonts w:ascii="72 Light" w:hAnsi="72 Light" w:cs="72 Light"/>
          <w:i/>
          <w:iCs/>
          <w:sz w:val="24"/>
          <w:szCs w:val="24"/>
          <w:lang w:val="fr-CA"/>
        </w:rPr>
      </w:pPr>
      <w:r w:rsidRPr="007B324D">
        <w:rPr>
          <w:rFonts w:ascii="72 Light" w:hAnsi="72 Light" w:cs="72 Light"/>
          <w:i/>
          <w:iCs/>
          <w:sz w:val="24"/>
          <w:szCs w:val="24"/>
          <w:lang w:val="fr-CA"/>
        </w:rPr>
        <w:lastRenderedPageBreak/>
        <w:t>Accessibilité</w:t>
      </w:r>
    </w:p>
    <w:p w14:paraId="08EB4930" w14:textId="36B4F0C6" w:rsidR="00BF3013" w:rsidRPr="007B324D" w:rsidRDefault="008C4B3E" w:rsidP="00F62155">
      <w:pPr>
        <w:tabs>
          <w:tab w:val="left" w:pos="3544"/>
        </w:tabs>
        <w:spacing w:before="120" w:line="276" w:lineRule="auto"/>
        <w:ind w:left="0" w:firstLine="0"/>
        <w:jc w:val="both"/>
        <w:rPr>
          <w:rFonts w:ascii="72 Light" w:hAnsi="72 Light" w:cs="72 Light"/>
          <w:color w:val="000000" w:themeColor="text1"/>
          <w:sz w:val="24"/>
          <w:szCs w:val="24"/>
          <w:lang w:val="fr-CA"/>
        </w:rPr>
      </w:pPr>
      <w:r w:rsidRPr="007B324D">
        <w:rPr>
          <w:rFonts w:ascii="72 Light" w:hAnsi="72 Light" w:cs="72 Light"/>
          <w:color w:val="000000" w:themeColor="text1"/>
          <w:sz w:val="24"/>
          <w:szCs w:val="24"/>
          <w:lang w:val="fr-CA"/>
        </w:rPr>
        <w:t>L’A</w:t>
      </w:r>
      <w:r w:rsidR="00312BD7" w:rsidRPr="007B324D">
        <w:rPr>
          <w:rFonts w:ascii="72 Light" w:hAnsi="72 Light" w:cs="72 Light"/>
          <w:color w:val="000000" w:themeColor="text1"/>
          <w:sz w:val="24"/>
          <w:szCs w:val="24"/>
          <w:lang w:val="fr-CA"/>
        </w:rPr>
        <w:t>ssemblée</w:t>
      </w:r>
      <w:r w:rsidR="00BF3013" w:rsidRPr="007B324D">
        <w:rPr>
          <w:rFonts w:ascii="72 Light" w:hAnsi="72 Light" w:cs="72 Light"/>
          <w:color w:val="000000" w:themeColor="text1"/>
          <w:sz w:val="24"/>
          <w:szCs w:val="24"/>
          <w:lang w:val="fr-CA"/>
        </w:rPr>
        <w:t xml:space="preserve"> </w:t>
      </w:r>
      <w:r w:rsidR="00AC6EBD" w:rsidRPr="007B324D">
        <w:rPr>
          <w:rFonts w:ascii="72 Light" w:hAnsi="72 Light" w:cs="72 Light"/>
          <w:color w:val="000000" w:themeColor="text1"/>
          <w:sz w:val="24"/>
          <w:szCs w:val="24"/>
          <w:lang w:val="fr-CA"/>
        </w:rPr>
        <w:t>collabore</w:t>
      </w:r>
      <w:r w:rsidR="00BF3013" w:rsidRPr="007B324D">
        <w:rPr>
          <w:rFonts w:ascii="72 Light" w:hAnsi="72 Light" w:cs="72 Light"/>
          <w:color w:val="000000" w:themeColor="text1"/>
          <w:sz w:val="24"/>
          <w:szCs w:val="24"/>
          <w:lang w:val="fr-CA"/>
        </w:rPr>
        <w:t xml:space="preserve"> avec EDSC pour </w:t>
      </w:r>
      <w:r w:rsidR="00AC6EBD" w:rsidRPr="007B324D">
        <w:rPr>
          <w:rFonts w:ascii="72 Light" w:hAnsi="72 Light" w:cs="72 Light"/>
          <w:color w:val="000000" w:themeColor="text1"/>
          <w:sz w:val="24"/>
          <w:szCs w:val="24"/>
          <w:lang w:val="fr-CA"/>
        </w:rPr>
        <w:t>demander</w:t>
      </w:r>
      <w:r w:rsidR="00BF3013" w:rsidRPr="007B324D">
        <w:rPr>
          <w:rFonts w:ascii="72 Light" w:hAnsi="72 Light" w:cs="72 Light"/>
          <w:color w:val="000000" w:themeColor="text1"/>
          <w:sz w:val="24"/>
          <w:szCs w:val="24"/>
          <w:lang w:val="fr-CA"/>
        </w:rPr>
        <w:t xml:space="preserve"> de</w:t>
      </w:r>
      <w:r w:rsidR="00AC6EBD" w:rsidRPr="007B324D">
        <w:rPr>
          <w:rFonts w:ascii="72 Light" w:hAnsi="72 Light" w:cs="72 Light"/>
          <w:color w:val="000000" w:themeColor="text1"/>
          <w:sz w:val="24"/>
          <w:szCs w:val="24"/>
          <w:lang w:val="fr-CA"/>
        </w:rPr>
        <w:t>s</w:t>
      </w:r>
      <w:r w:rsidR="00BF3013" w:rsidRPr="007B324D">
        <w:rPr>
          <w:rFonts w:ascii="72 Light" w:hAnsi="72 Light" w:cs="72 Light"/>
          <w:color w:val="000000" w:themeColor="text1"/>
          <w:sz w:val="24"/>
          <w:szCs w:val="24"/>
          <w:lang w:val="fr-CA"/>
        </w:rPr>
        <w:t xml:space="preserve"> ressources durables </w:t>
      </w:r>
      <w:r w:rsidR="00AC6EBD" w:rsidRPr="007B324D">
        <w:rPr>
          <w:rFonts w:ascii="72 Light" w:hAnsi="72 Light" w:cs="72 Light"/>
          <w:color w:val="000000" w:themeColor="text1"/>
          <w:sz w:val="24"/>
          <w:szCs w:val="24"/>
          <w:lang w:val="fr-CA"/>
        </w:rPr>
        <w:t>en vue de l’élaboration</w:t>
      </w:r>
      <w:r w:rsidR="00BF3013" w:rsidRPr="007B324D">
        <w:rPr>
          <w:rFonts w:ascii="72 Light" w:hAnsi="72 Light" w:cs="72 Light"/>
          <w:color w:val="000000" w:themeColor="text1"/>
          <w:sz w:val="24"/>
          <w:szCs w:val="24"/>
          <w:lang w:val="fr-CA"/>
        </w:rPr>
        <w:t xml:space="preserve"> </w:t>
      </w:r>
      <w:r w:rsidR="00AC6EBD" w:rsidRPr="007B324D">
        <w:rPr>
          <w:rFonts w:ascii="72 Light" w:hAnsi="72 Light" w:cs="72 Light"/>
          <w:color w:val="000000" w:themeColor="text1"/>
          <w:sz w:val="24"/>
          <w:szCs w:val="24"/>
          <w:lang w:val="fr-CA"/>
        </w:rPr>
        <w:t>d’</w:t>
      </w:r>
      <w:r w:rsidR="00BF3013" w:rsidRPr="007B324D">
        <w:rPr>
          <w:rFonts w:ascii="72 Light" w:hAnsi="72 Light" w:cs="72 Light"/>
          <w:color w:val="000000" w:themeColor="text1"/>
          <w:sz w:val="24"/>
          <w:szCs w:val="24"/>
          <w:lang w:val="fr-CA"/>
        </w:rPr>
        <w:t xml:space="preserve">une </w:t>
      </w:r>
      <w:r w:rsidR="00AC6EBD" w:rsidRPr="007B324D">
        <w:rPr>
          <w:rFonts w:ascii="72 Light" w:hAnsi="72 Light" w:cs="72 Light"/>
          <w:color w:val="000000" w:themeColor="text1"/>
          <w:sz w:val="24"/>
          <w:szCs w:val="24"/>
          <w:lang w:val="fr-CA"/>
        </w:rPr>
        <w:t>loi</w:t>
      </w:r>
      <w:r w:rsidR="00BF3013" w:rsidRPr="007B324D">
        <w:rPr>
          <w:rFonts w:ascii="72 Light" w:hAnsi="72 Light" w:cs="72 Light"/>
          <w:color w:val="000000" w:themeColor="text1"/>
          <w:sz w:val="24"/>
          <w:szCs w:val="24"/>
          <w:lang w:val="fr-CA"/>
        </w:rPr>
        <w:t xml:space="preserve"> distincte sur l’accessibilité </w:t>
      </w:r>
      <w:r w:rsidR="00AC6EBD" w:rsidRPr="007B324D">
        <w:rPr>
          <w:rFonts w:ascii="72 Light" w:hAnsi="72 Light" w:cs="72 Light"/>
          <w:color w:val="000000" w:themeColor="text1"/>
          <w:sz w:val="24"/>
          <w:szCs w:val="24"/>
          <w:lang w:val="fr-CA"/>
        </w:rPr>
        <w:t xml:space="preserve">au sein </w:t>
      </w:r>
      <w:r w:rsidR="00BF3013" w:rsidRPr="007B324D">
        <w:rPr>
          <w:rFonts w:ascii="72 Light" w:hAnsi="72 Light" w:cs="72 Light"/>
          <w:color w:val="000000" w:themeColor="text1"/>
          <w:sz w:val="24"/>
          <w:szCs w:val="24"/>
          <w:lang w:val="fr-CA"/>
        </w:rPr>
        <w:t xml:space="preserve">des Premières Nations, élaborée par les Premières Nations, pour les Premières Nations. Bien que la </w:t>
      </w:r>
      <w:r w:rsidR="00BF3013" w:rsidRPr="007B324D">
        <w:rPr>
          <w:rFonts w:ascii="72 Light" w:hAnsi="72 Light" w:cs="72 Light"/>
          <w:i/>
          <w:iCs/>
          <w:color w:val="000000" w:themeColor="text1"/>
          <w:sz w:val="24"/>
          <w:szCs w:val="24"/>
          <w:lang w:val="fr-CA"/>
        </w:rPr>
        <w:t>Loi canadienne sur l’accessibilité</w:t>
      </w:r>
      <w:r w:rsidR="00BF3013" w:rsidRPr="007B324D">
        <w:rPr>
          <w:rFonts w:ascii="72 Light" w:hAnsi="72 Light" w:cs="72 Light"/>
          <w:color w:val="000000" w:themeColor="text1"/>
          <w:sz w:val="24"/>
          <w:szCs w:val="24"/>
          <w:lang w:val="fr-CA"/>
        </w:rPr>
        <w:t xml:space="preserve"> constitue un bon début pour éliminer les obstacles à l’accessibilité pour tous les Canadiens, </w:t>
      </w:r>
      <w:r w:rsidRPr="007B324D">
        <w:rPr>
          <w:rFonts w:ascii="72 Light" w:hAnsi="72 Light" w:cs="72 Light"/>
          <w:color w:val="000000" w:themeColor="text1"/>
          <w:sz w:val="24"/>
          <w:szCs w:val="24"/>
          <w:lang w:val="fr-CA"/>
        </w:rPr>
        <w:t>l’Assemblée</w:t>
      </w:r>
      <w:r w:rsidR="00BF3013" w:rsidRPr="007B324D">
        <w:rPr>
          <w:rFonts w:ascii="72 Light" w:hAnsi="72 Light" w:cs="72 Light"/>
          <w:color w:val="000000" w:themeColor="text1"/>
          <w:sz w:val="24"/>
          <w:szCs w:val="24"/>
          <w:lang w:val="fr-CA"/>
        </w:rPr>
        <w:t xml:space="preserve"> estime que </w:t>
      </w:r>
      <w:r w:rsidR="00AC6EBD" w:rsidRPr="007B324D">
        <w:rPr>
          <w:rFonts w:ascii="72 Light" w:hAnsi="72 Light" w:cs="72 Light"/>
          <w:color w:val="000000" w:themeColor="text1"/>
          <w:sz w:val="24"/>
          <w:szCs w:val="24"/>
          <w:lang w:val="fr-CA"/>
        </w:rPr>
        <w:t>celle-ci</w:t>
      </w:r>
      <w:r w:rsidR="00BF3013" w:rsidRPr="007B324D">
        <w:rPr>
          <w:rFonts w:ascii="72 Light" w:hAnsi="72 Light" w:cs="72 Light"/>
          <w:i/>
          <w:iCs/>
          <w:color w:val="000000" w:themeColor="text1"/>
          <w:sz w:val="24"/>
          <w:szCs w:val="24"/>
          <w:lang w:val="fr-CA"/>
        </w:rPr>
        <w:t xml:space="preserve"> </w:t>
      </w:r>
      <w:r w:rsidR="00BF3013" w:rsidRPr="007B324D">
        <w:rPr>
          <w:rFonts w:ascii="72 Light" w:hAnsi="72 Light" w:cs="72 Light"/>
          <w:color w:val="000000" w:themeColor="text1"/>
          <w:sz w:val="24"/>
          <w:szCs w:val="24"/>
          <w:lang w:val="fr-CA"/>
        </w:rPr>
        <w:t xml:space="preserve">présente plusieurs problèmes pour les peuples des Premières Nations. </w:t>
      </w:r>
      <w:r w:rsidR="00AC6EBD" w:rsidRPr="007B324D">
        <w:rPr>
          <w:rFonts w:ascii="72 Light" w:hAnsi="72 Light" w:cs="72 Light"/>
          <w:color w:val="000000" w:themeColor="text1"/>
          <w:sz w:val="24"/>
          <w:szCs w:val="24"/>
          <w:lang w:val="fr-CA"/>
        </w:rPr>
        <w:t>Ainsi</w:t>
      </w:r>
      <w:r w:rsidR="00BF3013" w:rsidRPr="007B324D">
        <w:rPr>
          <w:rFonts w:ascii="72 Light" w:hAnsi="72 Light" w:cs="72 Light"/>
          <w:color w:val="000000" w:themeColor="text1"/>
          <w:sz w:val="24"/>
          <w:szCs w:val="24"/>
          <w:lang w:val="fr-CA"/>
        </w:rPr>
        <w:t xml:space="preserve">, la </w:t>
      </w:r>
      <w:r w:rsidR="00AC6EBD" w:rsidRPr="007B324D">
        <w:rPr>
          <w:rFonts w:ascii="72 Light" w:hAnsi="72 Light" w:cs="72 Light"/>
          <w:color w:val="000000" w:themeColor="text1"/>
          <w:sz w:val="24"/>
          <w:szCs w:val="24"/>
          <w:lang w:val="fr-CA"/>
        </w:rPr>
        <w:t>Loi</w:t>
      </w:r>
      <w:r w:rsidR="00BF3013" w:rsidRPr="007B324D">
        <w:rPr>
          <w:rFonts w:ascii="72 Light" w:hAnsi="72 Light" w:cs="72 Light"/>
          <w:color w:val="000000" w:themeColor="text1"/>
          <w:sz w:val="24"/>
          <w:szCs w:val="24"/>
          <w:lang w:val="fr-CA"/>
        </w:rPr>
        <w:t xml:space="preserve"> doit reconnaître que les droits de la personne s’appliquent collectivement aux Premières Nations et que le Canada doit </w:t>
      </w:r>
      <w:r w:rsidR="00AC6EBD" w:rsidRPr="007B324D">
        <w:rPr>
          <w:rFonts w:ascii="72 Light" w:hAnsi="72 Light" w:cs="72 Light"/>
          <w:color w:val="000000" w:themeColor="text1"/>
          <w:sz w:val="24"/>
          <w:szCs w:val="24"/>
          <w:lang w:val="fr-CA"/>
        </w:rPr>
        <w:t>prendre</w:t>
      </w:r>
      <w:r w:rsidR="00BF3013" w:rsidRPr="007B324D">
        <w:rPr>
          <w:rFonts w:ascii="72 Light" w:hAnsi="72 Light" w:cs="72 Light"/>
          <w:color w:val="000000" w:themeColor="text1"/>
          <w:sz w:val="24"/>
          <w:szCs w:val="24"/>
          <w:lang w:val="fr-CA"/>
        </w:rPr>
        <w:t xml:space="preserve"> les engagements et </w:t>
      </w:r>
      <w:r w:rsidR="00AC6EBD" w:rsidRPr="007B324D">
        <w:rPr>
          <w:rFonts w:ascii="72 Light" w:hAnsi="72 Light" w:cs="72 Light"/>
          <w:color w:val="000000" w:themeColor="text1"/>
          <w:sz w:val="24"/>
          <w:szCs w:val="24"/>
          <w:lang w:val="fr-CA"/>
        </w:rPr>
        <w:t xml:space="preserve">fournir </w:t>
      </w:r>
      <w:r w:rsidR="00BF3013" w:rsidRPr="007B324D">
        <w:rPr>
          <w:rFonts w:ascii="72 Light" w:hAnsi="72 Light" w:cs="72 Light"/>
          <w:color w:val="000000" w:themeColor="text1"/>
          <w:sz w:val="24"/>
          <w:szCs w:val="24"/>
          <w:lang w:val="fr-CA"/>
        </w:rPr>
        <w:t>les ressources financières appropriés. En outre, la</w:t>
      </w:r>
      <w:r w:rsidR="00AC6EBD" w:rsidRPr="007B324D">
        <w:rPr>
          <w:rFonts w:ascii="72 Light" w:hAnsi="72 Light" w:cs="72 Light"/>
          <w:color w:val="000000" w:themeColor="text1"/>
          <w:sz w:val="24"/>
          <w:szCs w:val="24"/>
          <w:lang w:val="fr-CA"/>
        </w:rPr>
        <w:t xml:space="preserve"> Loi</w:t>
      </w:r>
      <w:r w:rsidR="00BF3013" w:rsidRPr="007B324D">
        <w:rPr>
          <w:rFonts w:ascii="72 Light" w:hAnsi="72 Light" w:cs="72 Light"/>
          <w:color w:val="000000" w:themeColor="text1"/>
          <w:sz w:val="24"/>
          <w:szCs w:val="24"/>
          <w:lang w:val="fr-CA"/>
        </w:rPr>
        <w:t xml:space="preserve"> ne contient pas de clause de non-dérogation stipulant que rien dans la législation ne touche les droits des autochtones ou les droits issus des traités. La </w:t>
      </w:r>
      <w:r w:rsidR="00AC6EBD" w:rsidRPr="007B324D">
        <w:rPr>
          <w:rFonts w:ascii="72 Light" w:hAnsi="72 Light" w:cs="72 Light"/>
          <w:i/>
          <w:iCs/>
          <w:color w:val="000000" w:themeColor="text1"/>
          <w:sz w:val="24"/>
          <w:szCs w:val="24"/>
          <w:lang w:val="fr-CA"/>
        </w:rPr>
        <w:t>Loi canadienne sur l’accessibilité</w:t>
      </w:r>
      <w:r w:rsidR="00BF3013" w:rsidRPr="007B324D">
        <w:rPr>
          <w:rFonts w:ascii="72 Light" w:hAnsi="72 Light" w:cs="72 Light"/>
          <w:color w:val="000000" w:themeColor="text1"/>
          <w:sz w:val="24"/>
          <w:szCs w:val="24"/>
          <w:lang w:val="fr-CA"/>
        </w:rPr>
        <w:t xml:space="preserve"> </w:t>
      </w:r>
      <w:r w:rsidR="00AC6EBD" w:rsidRPr="007B324D">
        <w:rPr>
          <w:rFonts w:ascii="72 Light" w:hAnsi="72 Light" w:cs="72 Light"/>
          <w:color w:val="000000" w:themeColor="text1"/>
          <w:sz w:val="24"/>
          <w:szCs w:val="24"/>
          <w:lang w:val="fr-CA"/>
        </w:rPr>
        <w:t xml:space="preserve">enfreint le droit </w:t>
      </w:r>
      <w:r w:rsidR="00BF3013" w:rsidRPr="007B324D">
        <w:rPr>
          <w:rFonts w:ascii="72 Light" w:hAnsi="72 Light" w:cs="72 Light"/>
          <w:color w:val="000000" w:themeColor="text1"/>
          <w:sz w:val="24"/>
          <w:szCs w:val="24"/>
          <w:lang w:val="fr-CA"/>
        </w:rPr>
        <w:t xml:space="preserve">des Premières Nations à </w:t>
      </w:r>
      <w:r w:rsidR="00AC6EBD" w:rsidRPr="007B324D">
        <w:rPr>
          <w:rFonts w:ascii="72 Light" w:hAnsi="72 Light" w:cs="72 Light"/>
          <w:color w:val="000000" w:themeColor="text1"/>
          <w:sz w:val="24"/>
          <w:szCs w:val="24"/>
          <w:lang w:val="fr-CA"/>
        </w:rPr>
        <w:t>l’autodétermination et à l’autogouvernance</w:t>
      </w:r>
      <w:r w:rsidR="00BF3013" w:rsidRPr="007B324D">
        <w:rPr>
          <w:rFonts w:ascii="72 Light" w:hAnsi="72 Light" w:cs="72 Light"/>
          <w:color w:val="000000" w:themeColor="text1"/>
          <w:sz w:val="24"/>
          <w:szCs w:val="24"/>
          <w:lang w:val="fr-CA"/>
        </w:rPr>
        <w:t xml:space="preserve"> en ce qui concerne l’accessibilité et les </w:t>
      </w:r>
      <w:r w:rsidR="00552E41" w:rsidRPr="007B324D">
        <w:rPr>
          <w:rFonts w:ascii="72 Light" w:hAnsi="72 Light" w:cs="72 Light"/>
          <w:color w:val="000000" w:themeColor="text1"/>
          <w:sz w:val="24"/>
          <w:szCs w:val="24"/>
          <w:lang w:val="fr-CA"/>
        </w:rPr>
        <w:t xml:space="preserve">personnes en situation de handicap </w:t>
      </w:r>
      <w:r w:rsidR="00BF3013" w:rsidRPr="007B324D">
        <w:rPr>
          <w:rFonts w:ascii="72 Light" w:hAnsi="72 Light" w:cs="72 Light"/>
          <w:color w:val="000000" w:themeColor="text1"/>
          <w:sz w:val="24"/>
          <w:szCs w:val="24"/>
          <w:lang w:val="fr-CA"/>
        </w:rPr>
        <w:t>des Premières Nations. Elle</w:t>
      </w:r>
      <w:r w:rsidR="00BF3013" w:rsidRPr="007B324D">
        <w:rPr>
          <w:rFonts w:ascii="72 Light" w:hAnsi="72 Light" w:cs="72 Light"/>
          <w:i/>
          <w:iCs/>
          <w:color w:val="000000" w:themeColor="text1"/>
          <w:sz w:val="24"/>
          <w:szCs w:val="24"/>
          <w:lang w:val="fr-CA"/>
        </w:rPr>
        <w:t xml:space="preserve"> </w:t>
      </w:r>
      <w:r w:rsidR="00BF3013" w:rsidRPr="007B324D">
        <w:rPr>
          <w:rFonts w:ascii="72 Light" w:hAnsi="72 Light" w:cs="72 Light"/>
          <w:color w:val="000000" w:themeColor="text1"/>
          <w:sz w:val="24"/>
          <w:szCs w:val="24"/>
          <w:lang w:val="fr-CA"/>
        </w:rPr>
        <w:t xml:space="preserve">ne prévoit aucun financement </w:t>
      </w:r>
      <w:r w:rsidR="00AC6EBD" w:rsidRPr="007B324D">
        <w:rPr>
          <w:rFonts w:ascii="72 Light" w:hAnsi="72 Light" w:cs="72 Light"/>
          <w:color w:val="000000" w:themeColor="text1"/>
          <w:sz w:val="24"/>
          <w:szCs w:val="24"/>
          <w:lang w:val="fr-CA"/>
        </w:rPr>
        <w:t>qui permettrait aux</w:t>
      </w:r>
      <w:r w:rsidR="00BF3013" w:rsidRPr="007B324D">
        <w:rPr>
          <w:rFonts w:ascii="72 Light" w:hAnsi="72 Light" w:cs="72 Light"/>
          <w:color w:val="000000" w:themeColor="text1"/>
          <w:sz w:val="24"/>
          <w:szCs w:val="24"/>
          <w:lang w:val="fr-CA"/>
        </w:rPr>
        <w:t xml:space="preserve"> Premières Nations </w:t>
      </w:r>
      <w:r w:rsidR="00AC6EBD" w:rsidRPr="007B324D">
        <w:rPr>
          <w:rFonts w:ascii="72 Light" w:hAnsi="72 Light" w:cs="72 Light"/>
          <w:color w:val="000000" w:themeColor="text1"/>
          <w:sz w:val="24"/>
          <w:szCs w:val="24"/>
          <w:lang w:val="fr-CA"/>
        </w:rPr>
        <w:t>de devenir</w:t>
      </w:r>
      <w:r w:rsidR="00BF3013" w:rsidRPr="007B324D">
        <w:rPr>
          <w:rFonts w:ascii="72 Light" w:hAnsi="72 Light" w:cs="72 Light"/>
          <w:color w:val="000000" w:themeColor="text1"/>
          <w:sz w:val="24"/>
          <w:szCs w:val="24"/>
          <w:lang w:val="fr-CA"/>
        </w:rPr>
        <w:t xml:space="preserve"> totalement accessibles. En l’absence de moyens permettant </w:t>
      </w:r>
      <w:r w:rsidR="00AC6EBD" w:rsidRPr="007B324D">
        <w:rPr>
          <w:rFonts w:ascii="72 Light" w:hAnsi="72 Light" w:cs="72 Light"/>
          <w:color w:val="000000" w:themeColor="text1"/>
          <w:sz w:val="24"/>
          <w:szCs w:val="24"/>
          <w:lang w:val="fr-CA"/>
        </w:rPr>
        <w:t>à celles-ci</w:t>
      </w:r>
      <w:r w:rsidR="00BF3013" w:rsidRPr="007B324D">
        <w:rPr>
          <w:rFonts w:ascii="72 Light" w:hAnsi="72 Light" w:cs="72 Light"/>
          <w:color w:val="000000" w:themeColor="text1"/>
          <w:sz w:val="24"/>
          <w:szCs w:val="24"/>
          <w:lang w:val="fr-CA"/>
        </w:rPr>
        <w:t xml:space="preserve"> de devenir accessibles, la </w:t>
      </w:r>
      <w:r w:rsidR="00AC6EBD" w:rsidRPr="007B324D">
        <w:rPr>
          <w:rFonts w:ascii="72 Light" w:hAnsi="72 Light" w:cs="72 Light"/>
          <w:color w:val="000000" w:themeColor="text1"/>
          <w:sz w:val="24"/>
          <w:szCs w:val="24"/>
          <w:lang w:val="fr-CA"/>
        </w:rPr>
        <w:t>Loi</w:t>
      </w:r>
      <w:r w:rsidR="00BF3013" w:rsidRPr="007B324D">
        <w:rPr>
          <w:rFonts w:ascii="72 Light" w:hAnsi="72 Light" w:cs="72 Light"/>
          <w:i/>
          <w:iCs/>
          <w:color w:val="000000" w:themeColor="text1"/>
          <w:sz w:val="24"/>
          <w:szCs w:val="24"/>
          <w:lang w:val="fr-CA"/>
        </w:rPr>
        <w:t xml:space="preserve"> </w:t>
      </w:r>
      <w:r w:rsidR="00BF3013" w:rsidRPr="007B324D">
        <w:rPr>
          <w:rFonts w:ascii="72 Light" w:hAnsi="72 Light" w:cs="72 Light"/>
          <w:color w:val="000000" w:themeColor="text1"/>
          <w:sz w:val="24"/>
          <w:szCs w:val="24"/>
          <w:lang w:val="fr-CA"/>
        </w:rPr>
        <w:t xml:space="preserve">voue ces peuples à l’échec. </w:t>
      </w:r>
    </w:p>
    <w:p w14:paraId="45637A2C" w14:textId="5685ACC7" w:rsidR="00BF3013" w:rsidRPr="007B324D" w:rsidRDefault="008C4B3E" w:rsidP="00F62155">
      <w:pPr>
        <w:tabs>
          <w:tab w:val="left" w:pos="3544"/>
        </w:tabs>
        <w:spacing w:before="120" w:line="276" w:lineRule="auto"/>
        <w:ind w:left="0" w:firstLine="0"/>
        <w:jc w:val="both"/>
        <w:rPr>
          <w:rFonts w:ascii="72 Light" w:hAnsi="72 Light" w:cs="72 Light"/>
          <w:color w:val="000000" w:themeColor="text1"/>
          <w:sz w:val="24"/>
          <w:szCs w:val="24"/>
          <w:lang w:val="fr-CA"/>
        </w:rPr>
      </w:pPr>
      <w:r w:rsidRPr="007B324D">
        <w:rPr>
          <w:rFonts w:ascii="72 Light" w:hAnsi="72 Light" w:cs="72 Light"/>
          <w:color w:val="000000" w:themeColor="text1"/>
          <w:sz w:val="24"/>
          <w:szCs w:val="24"/>
          <w:lang w:val="fr-CA"/>
        </w:rPr>
        <w:t>L’A</w:t>
      </w:r>
      <w:r w:rsidR="00552E41" w:rsidRPr="007B324D">
        <w:rPr>
          <w:rFonts w:ascii="72 Light" w:hAnsi="72 Light" w:cs="72 Light"/>
          <w:color w:val="000000" w:themeColor="text1"/>
          <w:sz w:val="24"/>
          <w:szCs w:val="24"/>
          <w:lang w:val="fr-CA"/>
        </w:rPr>
        <w:t>ssemblée</w:t>
      </w:r>
      <w:r w:rsidR="00BF3013" w:rsidRPr="007B324D">
        <w:rPr>
          <w:rFonts w:ascii="72 Light" w:hAnsi="72 Light" w:cs="72 Light"/>
          <w:color w:val="000000" w:themeColor="text1"/>
          <w:sz w:val="24"/>
          <w:szCs w:val="24"/>
          <w:lang w:val="fr-CA"/>
        </w:rPr>
        <w:t xml:space="preserve"> recommande que les Premières Nations se voient accorder les ressources nécessaires pour mettre en place des processus similaires à ceux de Normes d’accessibilité Canada afin de s’assurer que les normes et la réglementation sont distinctes et répondent aux approches uniques des Premières Nations en matière de soutien culturel. </w:t>
      </w:r>
    </w:p>
    <w:p w14:paraId="1452CB9E" w14:textId="41FC12AC" w:rsidR="00BF3013" w:rsidRPr="007B324D" w:rsidRDefault="00BF3013" w:rsidP="00F62155">
      <w:pPr>
        <w:tabs>
          <w:tab w:val="left" w:pos="3544"/>
        </w:tabs>
        <w:spacing w:before="120" w:line="276" w:lineRule="auto"/>
        <w:ind w:left="0" w:firstLine="0"/>
        <w:jc w:val="both"/>
        <w:rPr>
          <w:rFonts w:ascii="72 Light" w:hAnsi="72 Light" w:cs="72 Light"/>
          <w:color w:val="000000" w:themeColor="text1"/>
          <w:sz w:val="24"/>
          <w:szCs w:val="24"/>
          <w:lang w:val="fr-CA"/>
        </w:rPr>
      </w:pPr>
      <w:r w:rsidRPr="007B324D">
        <w:rPr>
          <w:rFonts w:ascii="72 Light" w:hAnsi="72 Light" w:cs="72 Light"/>
          <w:color w:val="000000" w:themeColor="text1"/>
          <w:sz w:val="24"/>
          <w:szCs w:val="24"/>
          <w:lang w:val="fr-CA"/>
        </w:rPr>
        <w:t xml:space="preserve">La législation confère au commissaire à l’accessibilité de vastes pouvoirs d’administration et d’application de la </w:t>
      </w:r>
      <w:r w:rsidR="00402CD4" w:rsidRPr="007B324D">
        <w:rPr>
          <w:rFonts w:ascii="72 Light" w:hAnsi="72 Light" w:cs="72 Light"/>
          <w:color w:val="000000" w:themeColor="text1"/>
          <w:sz w:val="24"/>
          <w:szCs w:val="24"/>
          <w:lang w:val="fr-CA"/>
        </w:rPr>
        <w:t>L</w:t>
      </w:r>
      <w:r w:rsidRPr="007B324D">
        <w:rPr>
          <w:rFonts w:ascii="72 Light" w:hAnsi="72 Light" w:cs="72 Light"/>
          <w:color w:val="000000" w:themeColor="text1"/>
          <w:sz w:val="24"/>
          <w:szCs w:val="24"/>
          <w:lang w:val="fr-CA"/>
        </w:rPr>
        <w:t xml:space="preserve">oi, y compris le pouvoir d’inspecter les Premières Nations à tout moment et la capacité d’imposer des amendes importantes. </w:t>
      </w:r>
      <w:r w:rsidR="008C4B3E" w:rsidRPr="007B324D">
        <w:rPr>
          <w:rFonts w:ascii="72 Light" w:hAnsi="72 Light" w:cs="72 Light"/>
          <w:color w:val="000000" w:themeColor="text1"/>
          <w:sz w:val="24"/>
          <w:szCs w:val="24"/>
          <w:lang w:val="fr-CA"/>
        </w:rPr>
        <w:t>L’A</w:t>
      </w:r>
      <w:r w:rsidR="00402CD4" w:rsidRPr="007B324D">
        <w:rPr>
          <w:rFonts w:ascii="72 Light" w:hAnsi="72 Light" w:cs="72 Light"/>
          <w:color w:val="000000" w:themeColor="text1"/>
          <w:sz w:val="24"/>
          <w:szCs w:val="24"/>
          <w:lang w:val="fr-CA"/>
        </w:rPr>
        <w:t>ssemblée</w:t>
      </w:r>
      <w:r w:rsidRPr="007B324D">
        <w:rPr>
          <w:rFonts w:ascii="72 Light" w:hAnsi="72 Light" w:cs="72 Light"/>
          <w:color w:val="000000" w:themeColor="text1"/>
          <w:sz w:val="24"/>
          <w:szCs w:val="24"/>
          <w:lang w:val="fr-CA"/>
        </w:rPr>
        <w:t xml:space="preserve"> recommande donc une clause de non-dérogation afin de garantir que les droits des Premières Nations ne </w:t>
      </w:r>
      <w:r w:rsidR="00AC6EBD" w:rsidRPr="007B324D">
        <w:rPr>
          <w:rFonts w:ascii="72 Light" w:hAnsi="72 Light" w:cs="72 Light"/>
          <w:color w:val="000000" w:themeColor="text1"/>
          <w:sz w:val="24"/>
          <w:szCs w:val="24"/>
          <w:lang w:val="fr-CA"/>
        </w:rPr>
        <w:t>seront</w:t>
      </w:r>
      <w:r w:rsidRPr="007B324D">
        <w:rPr>
          <w:rFonts w:ascii="72 Light" w:hAnsi="72 Light" w:cs="72 Light"/>
          <w:color w:val="000000" w:themeColor="text1"/>
          <w:sz w:val="24"/>
          <w:szCs w:val="24"/>
          <w:lang w:val="fr-CA"/>
        </w:rPr>
        <w:t xml:space="preserve"> pas </w:t>
      </w:r>
      <w:r w:rsidR="00AC6EBD" w:rsidRPr="007B324D">
        <w:rPr>
          <w:rFonts w:ascii="72 Light" w:hAnsi="72 Light" w:cs="72 Light"/>
          <w:color w:val="000000" w:themeColor="text1"/>
          <w:sz w:val="24"/>
          <w:szCs w:val="24"/>
          <w:lang w:val="fr-CA"/>
        </w:rPr>
        <w:t>limités</w:t>
      </w:r>
      <w:r w:rsidRPr="007B324D">
        <w:rPr>
          <w:rFonts w:ascii="72 Light" w:hAnsi="72 Light" w:cs="72 Light"/>
          <w:color w:val="000000" w:themeColor="text1"/>
          <w:sz w:val="24"/>
          <w:szCs w:val="24"/>
          <w:lang w:val="fr-CA"/>
        </w:rPr>
        <w:t xml:space="preserve"> ou </w:t>
      </w:r>
      <w:r w:rsidR="00AC6EBD" w:rsidRPr="007B324D">
        <w:rPr>
          <w:rFonts w:ascii="72 Light" w:hAnsi="72 Light" w:cs="72 Light"/>
          <w:color w:val="000000" w:themeColor="text1"/>
          <w:sz w:val="24"/>
          <w:szCs w:val="24"/>
          <w:lang w:val="fr-CA"/>
        </w:rPr>
        <w:t>violés</w:t>
      </w:r>
      <w:r w:rsidRPr="007B324D">
        <w:rPr>
          <w:rFonts w:ascii="72 Light" w:hAnsi="72 Light" w:cs="72 Light"/>
          <w:color w:val="000000" w:themeColor="text1"/>
          <w:sz w:val="24"/>
          <w:szCs w:val="24"/>
          <w:lang w:val="fr-CA"/>
        </w:rPr>
        <w:t xml:space="preserve"> en raison de la L</w:t>
      </w:r>
      <w:r w:rsidR="00AC6EBD" w:rsidRPr="007B324D">
        <w:rPr>
          <w:rFonts w:ascii="72 Light" w:hAnsi="72 Light" w:cs="72 Light"/>
          <w:color w:val="000000" w:themeColor="text1"/>
          <w:sz w:val="24"/>
          <w:szCs w:val="24"/>
          <w:lang w:val="fr-CA"/>
        </w:rPr>
        <w:t>oi</w:t>
      </w:r>
      <w:r w:rsidRPr="007B324D">
        <w:rPr>
          <w:rFonts w:ascii="72 Light" w:hAnsi="72 Light" w:cs="72 Light"/>
          <w:color w:val="000000" w:themeColor="text1"/>
          <w:sz w:val="24"/>
          <w:szCs w:val="24"/>
          <w:lang w:val="fr-CA"/>
        </w:rPr>
        <w:t xml:space="preserve">. </w:t>
      </w:r>
    </w:p>
    <w:p w14:paraId="6B6B192B" w14:textId="77777777" w:rsidR="00BF3013" w:rsidRPr="007B324D" w:rsidRDefault="00BF3013" w:rsidP="00F62155">
      <w:pPr>
        <w:tabs>
          <w:tab w:val="left" w:pos="3544"/>
        </w:tabs>
        <w:spacing w:before="120" w:line="276" w:lineRule="auto"/>
        <w:jc w:val="both"/>
        <w:rPr>
          <w:rFonts w:ascii="72 Light" w:hAnsi="72 Light" w:cs="72 Light"/>
          <w:i/>
          <w:iCs/>
          <w:sz w:val="24"/>
          <w:szCs w:val="24"/>
          <w:lang w:val="fr-CA"/>
        </w:rPr>
      </w:pPr>
      <w:r w:rsidRPr="007B324D">
        <w:rPr>
          <w:rFonts w:ascii="72 Light" w:hAnsi="72 Light" w:cs="72 Light"/>
          <w:i/>
          <w:iCs/>
          <w:sz w:val="24"/>
          <w:szCs w:val="24"/>
          <w:lang w:val="fr-CA"/>
        </w:rPr>
        <w:t>Convention relative aux droits des personnes handicapées</w:t>
      </w:r>
    </w:p>
    <w:p w14:paraId="06B17BD0" w14:textId="60B9D7C4" w:rsidR="00BF3013" w:rsidRPr="007B324D" w:rsidRDefault="00BF3013" w:rsidP="00F62155">
      <w:pPr>
        <w:tabs>
          <w:tab w:val="left" w:pos="3544"/>
        </w:tabs>
        <w:spacing w:before="120" w:line="276" w:lineRule="auto"/>
        <w:ind w:left="0" w:firstLine="0"/>
        <w:jc w:val="both"/>
        <w:rPr>
          <w:rFonts w:ascii="72 Light" w:hAnsi="72 Light" w:cs="72 Light"/>
          <w:color w:val="000000" w:themeColor="text1"/>
          <w:sz w:val="24"/>
          <w:szCs w:val="24"/>
          <w:lang w:val="fr-CA"/>
        </w:rPr>
      </w:pPr>
      <w:r w:rsidRPr="007B324D">
        <w:rPr>
          <w:rFonts w:ascii="72 Light" w:hAnsi="72 Light" w:cs="72 Light"/>
          <w:color w:val="000000" w:themeColor="text1"/>
          <w:sz w:val="24"/>
          <w:szCs w:val="24"/>
          <w:lang w:val="fr-CA"/>
        </w:rPr>
        <w:t xml:space="preserve">La résolution 25/2021 de </w:t>
      </w:r>
      <w:r w:rsidR="008C4B3E" w:rsidRPr="007B324D">
        <w:rPr>
          <w:rFonts w:ascii="72 Light" w:hAnsi="72 Light" w:cs="72 Light"/>
          <w:color w:val="000000" w:themeColor="text1"/>
          <w:sz w:val="24"/>
          <w:szCs w:val="24"/>
          <w:lang w:val="fr-CA"/>
        </w:rPr>
        <w:t>l’Assemblée</w:t>
      </w:r>
      <w:r w:rsidRPr="007B324D">
        <w:rPr>
          <w:rFonts w:ascii="72 Light" w:hAnsi="72 Light" w:cs="72 Light"/>
          <w:color w:val="000000" w:themeColor="text1"/>
          <w:sz w:val="24"/>
          <w:szCs w:val="24"/>
          <w:lang w:val="fr-CA"/>
        </w:rPr>
        <w:t xml:space="preserve">, </w:t>
      </w:r>
      <w:proofErr w:type="spellStart"/>
      <w:r w:rsidRPr="007B324D">
        <w:rPr>
          <w:rFonts w:ascii="72 Light" w:hAnsi="72 Light" w:cs="72 Light"/>
          <w:i/>
          <w:iCs/>
          <w:color w:val="000000" w:themeColor="text1"/>
          <w:sz w:val="24"/>
          <w:szCs w:val="24"/>
          <w:lang w:val="fr-CA"/>
        </w:rPr>
        <w:t>Strengthen</w:t>
      </w:r>
      <w:proofErr w:type="spellEnd"/>
      <w:r w:rsidRPr="007B324D">
        <w:rPr>
          <w:rFonts w:ascii="72 Light" w:hAnsi="72 Light" w:cs="72 Light"/>
          <w:i/>
          <w:iCs/>
          <w:color w:val="000000" w:themeColor="text1"/>
          <w:sz w:val="24"/>
          <w:szCs w:val="24"/>
          <w:lang w:val="fr-CA"/>
        </w:rPr>
        <w:t xml:space="preserve"> Distinctions-</w:t>
      </w:r>
      <w:proofErr w:type="spellStart"/>
      <w:r w:rsidRPr="007B324D">
        <w:rPr>
          <w:rFonts w:ascii="72 Light" w:hAnsi="72 Light" w:cs="72 Light"/>
          <w:i/>
          <w:iCs/>
          <w:color w:val="000000" w:themeColor="text1"/>
          <w:sz w:val="24"/>
          <w:szCs w:val="24"/>
          <w:lang w:val="fr-CA"/>
        </w:rPr>
        <w:t>Based</w:t>
      </w:r>
      <w:proofErr w:type="spellEnd"/>
      <w:r w:rsidRPr="007B324D">
        <w:rPr>
          <w:rFonts w:ascii="72 Light" w:hAnsi="72 Light" w:cs="72 Light"/>
          <w:i/>
          <w:iCs/>
          <w:color w:val="000000" w:themeColor="text1"/>
          <w:sz w:val="24"/>
          <w:szCs w:val="24"/>
          <w:lang w:val="fr-CA"/>
        </w:rPr>
        <w:t xml:space="preserve"> </w:t>
      </w:r>
      <w:proofErr w:type="spellStart"/>
      <w:r w:rsidRPr="007B324D">
        <w:rPr>
          <w:rFonts w:ascii="72 Light" w:hAnsi="72 Light" w:cs="72 Light"/>
          <w:i/>
          <w:iCs/>
          <w:color w:val="000000" w:themeColor="text1"/>
          <w:sz w:val="24"/>
          <w:szCs w:val="24"/>
          <w:lang w:val="fr-CA"/>
        </w:rPr>
        <w:t>Accessibility</w:t>
      </w:r>
      <w:proofErr w:type="spellEnd"/>
      <w:r w:rsidRPr="007B324D">
        <w:rPr>
          <w:rFonts w:ascii="72 Light" w:hAnsi="72 Light" w:cs="72 Light"/>
          <w:i/>
          <w:iCs/>
          <w:color w:val="000000" w:themeColor="text1"/>
          <w:sz w:val="24"/>
          <w:szCs w:val="24"/>
          <w:lang w:val="fr-CA"/>
        </w:rPr>
        <w:t xml:space="preserve"> and </w:t>
      </w:r>
      <w:proofErr w:type="spellStart"/>
      <w:r w:rsidRPr="007B324D">
        <w:rPr>
          <w:rFonts w:ascii="72 Light" w:hAnsi="72 Light" w:cs="72 Light"/>
          <w:i/>
          <w:iCs/>
          <w:color w:val="000000" w:themeColor="text1"/>
          <w:sz w:val="24"/>
          <w:szCs w:val="24"/>
          <w:lang w:val="fr-CA"/>
        </w:rPr>
        <w:t>Disability</w:t>
      </w:r>
      <w:proofErr w:type="spellEnd"/>
      <w:r w:rsidR="00AC6EBD" w:rsidRPr="007B324D">
        <w:rPr>
          <w:rFonts w:ascii="72 Light" w:hAnsi="72 Light" w:cs="72 Light"/>
          <w:color w:val="000000" w:themeColor="text1"/>
          <w:sz w:val="24"/>
          <w:szCs w:val="24"/>
          <w:lang w:val="fr-CA"/>
        </w:rPr>
        <w:t>,</w:t>
      </w:r>
      <w:r w:rsidRPr="007B324D">
        <w:rPr>
          <w:rFonts w:ascii="72 Light" w:hAnsi="72 Light" w:cs="72 Light"/>
          <w:color w:val="000000" w:themeColor="text1"/>
          <w:sz w:val="24"/>
          <w:szCs w:val="24"/>
          <w:lang w:val="fr-CA"/>
        </w:rPr>
        <w:t xml:space="preserve"> répond aux préoccupations concernant la préférence d’EDSC pour le financement d’approches pan</w:t>
      </w:r>
      <w:r w:rsidR="003806A5" w:rsidRPr="007B324D">
        <w:rPr>
          <w:rFonts w:ascii="72 Light" w:hAnsi="72 Light" w:cs="72 Light"/>
          <w:color w:val="000000" w:themeColor="text1"/>
          <w:sz w:val="24"/>
          <w:szCs w:val="24"/>
          <w:lang w:val="fr-CA"/>
        </w:rPr>
        <w:t>-</w:t>
      </w:r>
      <w:r w:rsidRPr="007B324D">
        <w:rPr>
          <w:rFonts w:ascii="72 Light" w:hAnsi="72 Light" w:cs="72 Light"/>
          <w:color w:val="000000" w:themeColor="text1"/>
          <w:sz w:val="24"/>
          <w:szCs w:val="24"/>
          <w:lang w:val="fr-CA"/>
        </w:rPr>
        <w:t xml:space="preserve">autochtones </w:t>
      </w:r>
      <w:r w:rsidR="00AC6EBD" w:rsidRPr="007B324D">
        <w:rPr>
          <w:rFonts w:ascii="72 Light" w:hAnsi="72 Light" w:cs="72 Light"/>
          <w:color w:val="000000" w:themeColor="text1"/>
          <w:sz w:val="24"/>
          <w:szCs w:val="24"/>
          <w:lang w:val="fr-CA"/>
        </w:rPr>
        <w:t>en ce qui a trait aux lois</w:t>
      </w:r>
      <w:r w:rsidRPr="007B324D">
        <w:rPr>
          <w:rFonts w:ascii="72 Light" w:hAnsi="72 Light" w:cs="72 Light"/>
          <w:color w:val="000000" w:themeColor="text1"/>
          <w:sz w:val="24"/>
          <w:szCs w:val="24"/>
          <w:lang w:val="fr-CA"/>
        </w:rPr>
        <w:t xml:space="preserve"> sur l’accessibilité et le handicap. </w:t>
      </w:r>
      <w:r w:rsidR="00E93A8A" w:rsidRPr="007B324D">
        <w:rPr>
          <w:rFonts w:ascii="72 Light" w:hAnsi="72 Light" w:cs="72 Light"/>
          <w:color w:val="000000" w:themeColor="text1"/>
          <w:sz w:val="24"/>
          <w:szCs w:val="24"/>
          <w:lang w:val="fr-CA"/>
        </w:rPr>
        <w:t>Ainsi</w:t>
      </w:r>
      <w:r w:rsidRPr="007B324D">
        <w:rPr>
          <w:rFonts w:ascii="72 Light" w:hAnsi="72 Light" w:cs="72 Light"/>
          <w:color w:val="000000" w:themeColor="text1"/>
          <w:sz w:val="24"/>
          <w:szCs w:val="24"/>
          <w:lang w:val="fr-CA"/>
        </w:rPr>
        <w:t xml:space="preserve">, </w:t>
      </w:r>
      <w:proofErr w:type="spellStart"/>
      <w:r w:rsidRPr="007B324D">
        <w:rPr>
          <w:rFonts w:ascii="72 Light" w:hAnsi="72 Light" w:cs="72 Light"/>
          <w:color w:val="000000" w:themeColor="text1"/>
          <w:sz w:val="24"/>
          <w:szCs w:val="24"/>
          <w:lang w:val="fr-CA"/>
        </w:rPr>
        <w:t>Indigenous</w:t>
      </w:r>
      <w:proofErr w:type="spellEnd"/>
      <w:r w:rsidRPr="007B324D">
        <w:rPr>
          <w:rFonts w:ascii="72 Light" w:hAnsi="72 Light" w:cs="72 Light"/>
          <w:color w:val="000000" w:themeColor="text1"/>
          <w:sz w:val="24"/>
          <w:szCs w:val="24"/>
          <w:lang w:val="fr-CA"/>
        </w:rPr>
        <w:t xml:space="preserve"> </w:t>
      </w:r>
      <w:proofErr w:type="spellStart"/>
      <w:r w:rsidRPr="007B324D">
        <w:rPr>
          <w:rFonts w:ascii="72 Light" w:hAnsi="72 Light" w:cs="72 Light"/>
          <w:color w:val="000000" w:themeColor="text1"/>
          <w:sz w:val="24"/>
          <w:szCs w:val="24"/>
          <w:lang w:val="fr-CA"/>
        </w:rPr>
        <w:t>Disability</w:t>
      </w:r>
      <w:proofErr w:type="spellEnd"/>
      <w:r w:rsidRPr="007B324D">
        <w:rPr>
          <w:rFonts w:ascii="72 Light" w:hAnsi="72 Light" w:cs="72 Light"/>
          <w:color w:val="000000" w:themeColor="text1"/>
          <w:sz w:val="24"/>
          <w:szCs w:val="24"/>
          <w:lang w:val="fr-CA"/>
        </w:rPr>
        <w:t xml:space="preserve"> Canada dirige </w:t>
      </w:r>
      <w:r w:rsidR="00E93A8A" w:rsidRPr="007B324D">
        <w:rPr>
          <w:rFonts w:ascii="72 Light" w:hAnsi="72 Light" w:cs="72 Light"/>
          <w:color w:val="000000" w:themeColor="text1"/>
          <w:sz w:val="24"/>
          <w:szCs w:val="24"/>
          <w:lang w:val="fr-CA"/>
        </w:rPr>
        <w:t>d</w:t>
      </w:r>
      <w:r w:rsidRPr="007B324D">
        <w:rPr>
          <w:rFonts w:ascii="72 Light" w:hAnsi="72 Light" w:cs="72 Light"/>
          <w:color w:val="000000" w:themeColor="text1"/>
          <w:sz w:val="24"/>
          <w:szCs w:val="24"/>
          <w:lang w:val="fr-CA"/>
        </w:rPr>
        <w:t xml:space="preserve">es travaux sur la </w:t>
      </w:r>
      <w:r w:rsidRPr="007B324D">
        <w:rPr>
          <w:rFonts w:ascii="72 Light" w:hAnsi="72 Light" w:cs="72 Light"/>
          <w:i/>
          <w:iCs/>
          <w:color w:val="000000" w:themeColor="text1"/>
          <w:sz w:val="24"/>
          <w:szCs w:val="24"/>
          <w:lang w:val="fr-CA"/>
        </w:rPr>
        <w:t xml:space="preserve">Convention </w:t>
      </w:r>
      <w:r w:rsidR="003806A5" w:rsidRPr="007B324D">
        <w:rPr>
          <w:rFonts w:ascii="72 Light" w:hAnsi="72 Light" w:cs="72 Light"/>
          <w:i/>
          <w:iCs/>
          <w:color w:val="000000" w:themeColor="text1"/>
          <w:sz w:val="24"/>
          <w:szCs w:val="24"/>
          <w:lang w:val="fr-CA"/>
        </w:rPr>
        <w:t xml:space="preserve">des Nations Unies </w:t>
      </w:r>
      <w:r w:rsidRPr="007B324D">
        <w:rPr>
          <w:rFonts w:ascii="72 Light" w:hAnsi="72 Light" w:cs="72 Light"/>
          <w:i/>
          <w:iCs/>
          <w:color w:val="000000" w:themeColor="text1"/>
          <w:sz w:val="24"/>
          <w:szCs w:val="24"/>
          <w:lang w:val="fr-CA"/>
        </w:rPr>
        <w:t>relative aux droits des personnes handicapées</w:t>
      </w:r>
      <w:r w:rsidRPr="007B324D">
        <w:rPr>
          <w:rFonts w:ascii="72 Light" w:hAnsi="72 Light" w:cs="72 Light"/>
          <w:color w:val="000000" w:themeColor="text1"/>
          <w:sz w:val="24"/>
          <w:szCs w:val="24"/>
          <w:lang w:val="fr-CA"/>
        </w:rPr>
        <w:t xml:space="preserve"> et mène des travaux similaires à ceux de </w:t>
      </w:r>
      <w:r w:rsidR="008C4B3E" w:rsidRPr="007B324D">
        <w:rPr>
          <w:rFonts w:ascii="72 Light" w:hAnsi="72 Light" w:cs="72 Light"/>
          <w:color w:val="000000" w:themeColor="text1"/>
          <w:sz w:val="24"/>
          <w:szCs w:val="24"/>
          <w:lang w:val="fr-CA"/>
        </w:rPr>
        <w:t>l’Assemblée</w:t>
      </w:r>
      <w:r w:rsidRPr="007B324D">
        <w:rPr>
          <w:rFonts w:ascii="72 Light" w:hAnsi="72 Light" w:cs="72 Light"/>
          <w:color w:val="000000" w:themeColor="text1"/>
          <w:sz w:val="24"/>
          <w:szCs w:val="24"/>
          <w:lang w:val="fr-CA"/>
        </w:rPr>
        <w:t xml:space="preserve"> sur la législation en matière d’accessibilité</w:t>
      </w:r>
      <w:r w:rsidR="00E93A8A" w:rsidRPr="007B324D">
        <w:rPr>
          <w:rFonts w:ascii="72 Light" w:hAnsi="72 Light" w:cs="72 Light"/>
          <w:color w:val="000000" w:themeColor="text1"/>
          <w:sz w:val="24"/>
          <w:szCs w:val="24"/>
          <w:lang w:val="fr-CA"/>
        </w:rPr>
        <w:t xml:space="preserve">. L’organisme reçoit du financement </w:t>
      </w:r>
      <w:r w:rsidRPr="007B324D">
        <w:rPr>
          <w:rFonts w:ascii="72 Light" w:hAnsi="72 Light" w:cs="72 Light"/>
          <w:color w:val="000000" w:themeColor="text1"/>
          <w:sz w:val="24"/>
          <w:szCs w:val="24"/>
          <w:lang w:val="fr-CA"/>
        </w:rPr>
        <w:t xml:space="preserve">pour mener des projets de recherche sur l’accessibilité avec les Premières Nations. Les dirigeants des Premières Nations et les défenseurs des </w:t>
      </w:r>
      <w:r w:rsidR="00E540F6" w:rsidRPr="007B324D">
        <w:rPr>
          <w:rFonts w:ascii="72 Light" w:hAnsi="72 Light" w:cs="72 Light"/>
          <w:color w:val="000000" w:themeColor="text1"/>
          <w:sz w:val="24"/>
          <w:szCs w:val="24"/>
          <w:lang w:val="fr-CA"/>
        </w:rPr>
        <w:t xml:space="preserve">personnes en situation de handicap </w:t>
      </w:r>
      <w:r w:rsidR="00E93A8A" w:rsidRPr="007B324D">
        <w:rPr>
          <w:rFonts w:ascii="72 Light" w:hAnsi="72 Light" w:cs="72 Light"/>
          <w:color w:val="000000" w:themeColor="text1"/>
          <w:sz w:val="24"/>
          <w:szCs w:val="24"/>
          <w:lang w:val="fr-CA"/>
        </w:rPr>
        <w:t>des Premières Nations</w:t>
      </w:r>
      <w:r w:rsidRPr="007B324D">
        <w:rPr>
          <w:rFonts w:ascii="72 Light" w:hAnsi="72 Light" w:cs="72 Light"/>
          <w:color w:val="000000" w:themeColor="text1"/>
          <w:sz w:val="24"/>
          <w:szCs w:val="24"/>
          <w:lang w:val="fr-CA"/>
        </w:rPr>
        <w:t xml:space="preserve"> continuent de s’inquiéter du fait que l’organisation n</w:t>
      </w:r>
      <w:r w:rsidR="00E93A8A" w:rsidRPr="007B324D">
        <w:rPr>
          <w:rFonts w:ascii="72 Light" w:hAnsi="72 Light" w:cs="72 Light"/>
          <w:color w:val="000000" w:themeColor="text1"/>
          <w:sz w:val="24"/>
          <w:szCs w:val="24"/>
          <w:lang w:val="fr-CA"/>
        </w:rPr>
        <w:t xml:space="preserve">’est pas redevable </w:t>
      </w:r>
      <w:r w:rsidRPr="007B324D">
        <w:rPr>
          <w:rFonts w:ascii="72 Light" w:hAnsi="72 Light" w:cs="72 Light"/>
          <w:color w:val="000000" w:themeColor="text1"/>
          <w:sz w:val="24"/>
          <w:szCs w:val="24"/>
          <w:lang w:val="fr-CA"/>
        </w:rPr>
        <w:t>aux Premières Nations et ne représente pas</w:t>
      </w:r>
      <w:r w:rsidR="00E93A8A" w:rsidRPr="007B324D">
        <w:rPr>
          <w:rFonts w:ascii="72 Light" w:hAnsi="72 Light" w:cs="72 Light"/>
          <w:color w:val="000000" w:themeColor="text1"/>
          <w:sz w:val="24"/>
          <w:szCs w:val="24"/>
          <w:lang w:val="fr-CA"/>
        </w:rPr>
        <w:t xml:space="preserve"> celles-ci</w:t>
      </w:r>
      <w:r w:rsidRPr="007B324D">
        <w:rPr>
          <w:rFonts w:ascii="72 Light" w:hAnsi="72 Light" w:cs="72 Light"/>
          <w:color w:val="000000" w:themeColor="text1"/>
          <w:sz w:val="24"/>
          <w:szCs w:val="24"/>
          <w:lang w:val="fr-CA"/>
        </w:rPr>
        <w:t xml:space="preserve">. De plus amples renseignements sur ces sujets sont fournis dans le rapport de </w:t>
      </w:r>
      <w:r w:rsidR="008C4B3E" w:rsidRPr="007B324D">
        <w:rPr>
          <w:rFonts w:ascii="72 Light" w:hAnsi="72 Light" w:cs="72 Light"/>
          <w:color w:val="000000" w:themeColor="text1"/>
          <w:sz w:val="24"/>
          <w:szCs w:val="24"/>
          <w:lang w:val="fr-CA"/>
        </w:rPr>
        <w:t>l’Assemblée</w:t>
      </w:r>
      <w:r w:rsidRPr="007B324D">
        <w:rPr>
          <w:rFonts w:ascii="72 Light" w:hAnsi="72 Light" w:cs="72 Light"/>
          <w:color w:val="000000" w:themeColor="text1"/>
          <w:sz w:val="24"/>
          <w:szCs w:val="24"/>
          <w:lang w:val="fr-CA"/>
        </w:rPr>
        <w:t xml:space="preserve"> </w:t>
      </w:r>
      <w:r w:rsidR="00E93A8A" w:rsidRPr="007B324D">
        <w:rPr>
          <w:rFonts w:ascii="72 Light" w:hAnsi="72 Light" w:cs="72 Light"/>
          <w:color w:val="000000" w:themeColor="text1"/>
          <w:sz w:val="24"/>
          <w:szCs w:val="24"/>
          <w:lang w:val="fr-CA"/>
        </w:rPr>
        <w:t>sur la</w:t>
      </w:r>
      <w:r w:rsidR="00E93A8A" w:rsidRPr="007B324D">
        <w:rPr>
          <w:rFonts w:ascii="72 Light" w:hAnsi="72 Light" w:cs="72 Light"/>
          <w:i/>
          <w:iCs/>
          <w:color w:val="000000" w:themeColor="text1"/>
          <w:sz w:val="24"/>
          <w:szCs w:val="24"/>
          <w:lang w:val="fr-CA"/>
        </w:rPr>
        <w:t xml:space="preserve"> Convention relative aux droits des personnes handicapées </w:t>
      </w:r>
      <w:r w:rsidRPr="007B324D">
        <w:rPr>
          <w:rFonts w:ascii="72 Light" w:hAnsi="72 Light" w:cs="72 Light"/>
          <w:color w:val="000000" w:themeColor="text1"/>
          <w:sz w:val="24"/>
          <w:szCs w:val="24"/>
          <w:lang w:val="fr-CA"/>
        </w:rPr>
        <w:t xml:space="preserve">pour l’été 2023. </w:t>
      </w:r>
    </w:p>
    <w:p w14:paraId="0BBF619E" w14:textId="0927EC10" w:rsidR="00BF3013" w:rsidRPr="007B324D" w:rsidRDefault="00BF3013" w:rsidP="00F62155">
      <w:pPr>
        <w:tabs>
          <w:tab w:val="left" w:pos="3544"/>
        </w:tabs>
        <w:spacing w:before="120" w:line="276" w:lineRule="auto"/>
        <w:jc w:val="both"/>
        <w:rPr>
          <w:rFonts w:ascii="72 Light" w:hAnsi="72 Light" w:cs="72 Light"/>
          <w:i/>
          <w:iCs/>
          <w:sz w:val="24"/>
          <w:szCs w:val="24"/>
          <w:lang w:val="fr-CA"/>
        </w:rPr>
      </w:pPr>
      <w:r w:rsidRPr="007B324D">
        <w:rPr>
          <w:rFonts w:ascii="72 Light" w:hAnsi="72 Light" w:cs="72 Light"/>
          <w:i/>
          <w:iCs/>
          <w:sz w:val="24"/>
          <w:szCs w:val="24"/>
          <w:lang w:val="fr-CA"/>
        </w:rPr>
        <w:t xml:space="preserve">Mécanismes de soutien supplémentaires pour les </w:t>
      </w:r>
      <w:r w:rsidR="0040300E" w:rsidRPr="007B324D">
        <w:rPr>
          <w:rFonts w:ascii="72 Light" w:hAnsi="72 Light" w:cs="72 Light"/>
          <w:i/>
          <w:iCs/>
          <w:color w:val="000000" w:themeColor="text1"/>
          <w:sz w:val="24"/>
          <w:szCs w:val="24"/>
          <w:lang w:val="fr-CA"/>
        </w:rPr>
        <w:t>personnes en situation de handicap</w:t>
      </w:r>
      <w:r w:rsidR="0040300E" w:rsidRPr="007B324D">
        <w:rPr>
          <w:rFonts w:ascii="72 Light" w:hAnsi="72 Light" w:cs="72 Light"/>
          <w:color w:val="000000" w:themeColor="text1"/>
          <w:sz w:val="24"/>
          <w:szCs w:val="24"/>
          <w:lang w:val="fr-CA"/>
        </w:rPr>
        <w:t xml:space="preserve"> </w:t>
      </w:r>
    </w:p>
    <w:p w14:paraId="4810A7EA" w14:textId="696E5A1B" w:rsidR="00BF3013" w:rsidRPr="007B324D" w:rsidRDefault="00BF3013" w:rsidP="00F62155">
      <w:pPr>
        <w:pStyle w:val="NoSpacing"/>
        <w:tabs>
          <w:tab w:val="left" w:pos="3544"/>
        </w:tabs>
        <w:spacing w:before="120" w:after="120" w:line="276" w:lineRule="auto"/>
        <w:jc w:val="both"/>
        <w:rPr>
          <w:rFonts w:ascii="72 Light" w:hAnsi="72 Light" w:cs="72 Light"/>
          <w:color w:val="000000" w:themeColor="text1"/>
          <w:sz w:val="24"/>
          <w:szCs w:val="24"/>
          <w:lang w:val="fr-CA"/>
        </w:rPr>
      </w:pPr>
      <w:r w:rsidRPr="007B324D">
        <w:rPr>
          <w:rFonts w:ascii="72 Light" w:hAnsi="72 Light" w:cs="72 Light"/>
          <w:color w:val="000000" w:themeColor="text1"/>
          <w:sz w:val="24"/>
          <w:szCs w:val="24"/>
          <w:lang w:val="fr-CA"/>
        </w:rPr>
        <w:lastRenderedPageBreak/>
        <w:t xml:space="preserve">Certaines provinces ont mis en place des mesures de soutien supplémentaires pour les </w:t>
      </w:r>
      <w:r w:rsidR="0040300E" w:rsidRPr="007B324D">
        <w:rPr>
          <w:rFonts w:ascii="72 Light" w:hAnsi="72 Light" w:cs="72 Light"/>
          <w:color w:val="000000" w:themeColor="text1"/>
          <w:sz w:val="24"/>
          <w:szCs w:val="24"/>
          <w:lang w:val="fr-CA"/>
        </w:rPr>
        <w:t>personnes en situation de handicap</w:t>
      </w:r>
      <w:r w:rsidRPr="007B324D">
        <w:rPr>
          <w:rFonts w:ascii="72 Light" w:hAnsi="72 Light" w:cs="72 Light"/>
          <w:color w:val="000000" w:themeColor="text1"/>
          <w:sz w:val="24"/>
          <w:szCs w:val="24"/>
          <w:lang w:val="fr-CA"/>
        </w:rPr>
        <w:t>. Tout</w:t>
      </w:r>
      <w:r w:rsidR="00E93A8A" w:rsidRPr="007B324D">
        <w:rPr>
          <w:rFonts w:ascii="72 Light" w:hAnsi="72 Light" w:cs="72 Light"/>
          <w:color w:val="000000" w:themeColor="text1"/>
          <w:sz w:val="24"/>
          <w:szCs w:val="24"/>
          <w:lang w:val="fr-CA"/>
        </w:rPr>
        <w:t xml:space="preserve"> nouveau développement</w:t>
      </w:r>
      <w:r w:rsidRPr="007B324D">
        <w:rPr>
          <w:rFonts w:ascii="72 Light" w:hAnsi="72 Light" w:cs="72 Light"/>
          <w:color w:val="000000" w:themeColor="text1"/>
          <w:sz w:val="24"/>
          <w:szCs w:val="24"/>
          <w:lang w:val="fr-CA"/>
        </w:rPr>
        <w:t xml:space="preserve"> doit permettre aux Premières Nations et aux </w:t>
      </w:r>
      <w:r w:rsidR="0040300E" w:rsidRPr="007B324D">
        <w:rPr>
          <w:rFonts w:ascii="72 Light" w:hAnsi="72 Light" w:cs="72 Light"/>
          <w:color w:val="000000" w:themeColor="text1"/>
          <w:sz w:val="24"/>
          <w:szCs w:val="24"/>
          <w:lang w:val="fr-CA"/>
        </w:rPr>
        <w:t xml:space="preserve">personnes en situation de handicap </w:t>
      </w:r>
      <w:r w:rsidR="00E93A8A" w:rsidRPr="007B324D">
        <w:rPr>
          <w:rFonts w:ascii="72 Light" w:hAnsi="72 Light" w:cs="72 Light"/>
          <w:color w:val="000000" w:themeColor="text1"/>
          <w:sz w:val="24"/>
          <w:szCs w:val="24"/>
          <w:lang w:val="fr-CA"/>
        </w:rPr>
        <w:t>des Premières Nations</w:t>
      </w:r>
      <w:r w:rsidRPr="007B324D">
        <w:rPr>
          <w:rFonts w:ascii="72 Light" w:hAnsi="72 Light" w:cs="72 Light"/>
          <w:color w:val="000000" w:themeColor="text1"/>
          <w:sz w:val="24"/>
          <w:szCs w:val="24"/>
          <w:lang w:val="fr-CA"/>
        </w:rPr>
        <w:t xml:space="preserve"> de s’exprimer et </w:t>
      </w:r>
      <w:r w:rsidR="00E93A8A" w:rsidRPr="007B324D">
        <w:rPr>
          <w:rFonts w:ascii="72 Light" w:hAnsi="72 Light" w:cs="72 Light"/>
          <w:color w:val="000000" w:themeColor="text1"/>
          <w:sz w:val="24"/>
          <w:szCs w:val="24"/>
          <w:lang w:val="fr-CA"/>
        </w:rPr>
        <w:t>consulter celles-ci</w:t>
      </w:r>
      <w:r w:rsidRPr="007B324D">
        <w:rPr>
          <w:rFonts w:ascii="72 Light" w:hAnsi="72 Light" w:cs="72 Light"/>
          <w:color w:val="000000" w:themeColor="text1"/>
          <w:sz w:val="24"/>
          <w:szCs w:val="24"/>
          <w:lang w:val="fr-CA"/>
        </w:rPr>
        <w:t xml:space="preserve"> dès le début d</w:t>
      </w:r>
      <w:r w:rsidR="00E93A8A" w:rsidRPr="007B324D">
        <w:rPr>
          <w:rFonts w:ascii="72 Light" w:hAnsi="72 Light" w:cs="72 Light"/>
          <w:color w:val="000000" w:themeColor="text1"/>
          <w:sz w:val="24"/>
          <w:szCs w:val="24"/>
          <w:lang w:val="fr-CA"/>
        </w:rPr>
        <w:t>u processus</w:t>
      </w:r>
      <w:r w:rsidRPr="007B324D">
        <w:rPr>
          <w:rFonts w:ascii="72 Light" w:hAnsi="72 Light" w:cs="72 Light"/>
          <w:color w:val="000000" w:themeColor="text1"/>
          <w:sz w:val="24"/>
          <w:szCs w:val="24"/>
          <w:lang w:val="fr-CA"/>
        </w:rPr>
        <w:t xml:space="preserve">. Les provinces et les territoires doivent collaborer avec les Premières Nations pour résoudre les problèmes </w:t>
      </w:r>
      <w:r w:rsidR="00E93A8A" w:rsidRPr="007B324D">
        <w:rPr>
          <w:rFonts w:ascii="72 Light" w:hAnsi="72 Light" w:cs="72 Light"/>
          <w:color w:val="000000" w:themeColor="text1"/>
          <w:sz w:val="24"/>
          <w:szCs w:val="24"/>
          <w:lang w:val="fr-CA"/>
        </w:rPr>
        <w:t xml:space="preserve">liés aux </w:t>
      </w:r>
      <w:r w:rsidRPr="007B324D">
        <w:rPr>
          <w:rFonts w:ascii="72 Light" w:hAnsi="72 Light" w:cs="72 Light"/>
          <w:color w:val="000000" w:themeColor="text1"/>
          <w:sz w:val="24"/>
          <w:szCs w:val="24"/>
          <w:lang w:val="fr-CA"/>
        </w:rPr>
        <w:t>compétence</w:t>
      </w:r>
      <w:r w:rsidR="00E93A8A" w:rsidRPr="007B324D">
        <w:rPr>
          <w:rFonts w:ascii="72 Light" w:hAnsi="72 Light" w:cs="72 Light"/>
          <w:color w:val="000000" w:themeColor="text1"/>
          <w:sz w:val="24"/>
          <w:szCs w:val="24"/>
          <w:lang w:val="fr-CA"/>
        </w:rPr>
        <w:t>s</w:t>
      </w:r>
      <w:r w:rsidRPr="007B324D">
        <w:rPr>
          <w:rFonts w:ascii="72 Light" w:hAnsi="72 Light" w:cs="72 Light"/>
          <w:color w:val="000000" w:themeColor="text1"/>
          <w:sz w:val="24"/>
          <w:szCs w:val="24"/>
          <w:lang w:val="fr-CA"/>
        </w:rPr>
        <w:t xml:space="preserve"> et </w:t>
      </w:r>
      <w:r w:rsidR="00E93A8A" w:rsidRPr="007B324D">
        <w:rPr>
          <w:rFonts w:ascii="72 Light" w:hAnsi="72 Light" w:cs="72 Light"/>
          <w:color w:val="000000" w:themeColor="text1"/>
          <w:sz w:val="24"/>
          <w:szCs w:val="24"/>
          <w:lang w:val="fr-CA"/>
        </w:rPr>
        <w:t>aplanir l</w:t>
      </w:r>
      <w:r w:rsidRPr="007B324D">
        <w:rPr>
          <w:rFonts w:ascii="72 Light" w:hAnsi="72 Light" w:cs="72 Light"/>
          <w:color w:val="000000" w:themeColor="text1"/>
          <w:sz w:val="24"/>
          <w:szCs w:val="24"/>
          <w:lang w:val="fr-CA"/>
        </w:rPr>
        <w:t xml:space="preserve">es obstacles afin d’aider les </w:t>
      </w:r>
      <w:r w:rsidR="00E93A8A" w:rsidRPr="007B324D">
        <w:rPr>
          <w:rFonts w:ascii="72 Light" w:hAnsi="72 Light" w:cs="72 Light"/>
          <w:color w:val="000000" w:themeColor="text1"/>
          <w:sz w:val="24"/>
          <w:szCs w:val="24"/>
          <w:lang w:val="fr-CA"/>
        </w:rPr>
        <w:t xml:space="preserve">membres </w:t>
      </w:r>
      <w:r w:rsidRPr="007B324D">
        <w:rPr>
          <w:rFonts w:ascii="72 Light" w:hAnsi="72 Light" w:cs="72 Light"/>
          <w:color w:val="000000" w:themeColor="text1"/>
          <w:sz w:val="24"/>
          <w:szCs w:val="24"/>
          <w:lang w:val="fr-CA"/>
        </w:rPr>
        <w:t xml:space="preserve">résidant loin de leur </w:t>
      </w:r>
      <w:r w:rsidR="00E93A8A" w:rsidRPr="007B324D">
        <w:rPr>
          <w:rFonts w:ascii="72 Light" w:hAnsi="72 Light" w:cs="72 Light"/>
          <w:color w:val="000000" w:themeColor="text1"/>
          <w:sz w:val="24"/>
          <w:szCs w:val="24"/>
          <w:lang w:val="fr-CA"/>
        </w:rPr>
        <w:t xml:space="preserve">Première Nation </w:t>
      </w:r>
      <w:r w:rsidRPr="007B324D">
        <w:rPr>
          <w:rFonts w:ascii="72 Light" w:hAnsi="72 Light" w:cs="72 Light"/>
          <w:color w:val="000000" w:themeColor="text1"/>
          <w:sz w:val="24"/>
          <w:szCs w:val="24"/>
          <w:lang w:val="fr-CA"/>
        </w:rPr>
        <w:t xml:space="preserve">à accéder à des services et à des programmes culturellement sûrs, et travailler ensemble pour </w:t>
      </w:r>
      <w:r w:rsidR="00E93A8A" w:rsidRPr="007B324D">
        <w:rPr>
          <w:rFonts w:ascii="72 Light" w:hAnsi="72 Light" w:cs="72 Light"/>
          <w:color w:val="000000" w:themeColor="text1"/>
          <w:sz w:val="24"/>
          <w:szCs w:val="24"/>
          <w:lang w:val="fr-CA"/>
        </w:rPr>
        <w:t>rapatrier</w:t>
      </w:r>
      <w:r w:rsidRPr="007B324D">
        <w:rPr>
          <w:rFonts w:ascii="72 Light" w:hAnsi="72 Light" w:cs="72 Light"/>
          <w:color w:val="000000" w:themeColor="text1"/>
          <w:sz w:val="24"/>
          <w:szCs w:val="24"/>
          <w:lang w:val="fr-CA"/>
        </w:rPr>
        <w:t xml:space="preserve"> les services </w:t>
      </w:r>
      <w:r w:rsidR="00E93A8A" w:rsidRPr="007B324D">
        <w:rPr>
          <w:rFonts w:ascii="72 Light" w:hAnsi="72 Light" w:cs="72 Light"/>
          <w:color w:val="000000" w:themeColor="text1"/>
          <w:sz w:val="24"/>
          <w:szCs w:val="24"/>
          <w:lang w:val="fr-CA"/>
        </w:rPr>
        <w:t>au sein des</w:t>
      </w:r>
      <w:r w:rsidRPr="007B324D">
        <w:rPr>
          <w:rFonts w:ascii="72 Light" w:hAnsi="72 Light" w:cs="72 Light"/>
          <w:color w:val="000000" w:themeColor="text1"/>
          <w:sz w:val="24"/>
          <w:szCs w:val="24"/>
          <w:lang w:val="fr-CA"/>
        </w:rPr>
        <w:t xml:space="preserve"> Premières Nations. </w:t>
      </w:r>
    </w:p>
    <w:p w14:paraId="13694C26" w14:textId="346B9326" w:rsidR="00BF3013" w:rsidRPr="007B324D" w:rsidRDefault="00BF3013" w:rsidP="00145E2D">
      <w:pPr>
        <w:pStyle w:val="NoSpacing"/>
        <w:tabs>
          <w:tab w:val="left" w:pos="3544"/>
        </w:tabs>
        <w:spacing w:before="120" w:after="120" w:line="276" w:lineRule="auto"/>
        <w:jc w:val="both"/>
        <w:rPr>
          <w:rFonts w:ascii="72 Light" w:eastAsia="72 Light" w:hAnsi="72 Light" w:cs="72 Light"/>
          <w:b/>
          <w:bCs/>
          <w:sz w:val="24"/>
          <w:szCs w:val="24"/>
          <w:lang w:val="fr-CA"/>
        </w:rPr>
      </w:pPr>
      <w:r w:rsidRPr="007B324D">
        <w:rPr>
          <w:rFonts w:ascii="72 Light" w:hAnsi="72 Light" w:cs="72 Light"/>
          <w:b/>
          <w:bCs/>
          <w:sz w:val="24"/>
          <w:szCs w:val="24"/>
          <w:lang w:val="fr-CA"/>
        </w:rPr>
        <w:t xml:space="preserve">Lutte contre le racisme </w:t>
      </w:r>
      <w:r w:rsidR="00263C16" w:rsidRPr="007B324D">
        <w:rPr>
          <w:rFonts w:ascii="72 Light" w:hAnsi="72 Light" w:cs="72 Light"/>
          <w:b/>
          <w:bCs/>
          <w:sz w:val="24"/>
          <w:szCs w:val="24"/>
          <w:lang w:val="fr-CA"/>
        </w:rPr>
        <w:t>anti-</w:t>
      </w:r>
      <w:r w:rsidRPr="007B324D">
        <w:rPr>
          <w:rFonts w:ascii="72 Light" w:hAnsi="72 Light" w:cs="72 Light"/>
          <w:b/>
          <w:bCs/>
          <w:sz w:val="24"/>
          <w:szCs w:val="24"/>
          <w:lang w:val="fr-CA"/>
        </w:rPr>
        <w:t>Autochtone</w:t>
      </w:r>
    </w:p>
    <w:p w14:paraId="499B0E05" w14:textId="0AEDB856" w:rsidR="00BF3013" w:rsidRPr="007B324D" w:rsidRDefault="00BF3013" w:rsidP="00F62155">
      <w:pPr>
        <w:tabs>
          <w:tab w:val="left" w:pos="3544"/>
        </w:tabs>
        <w:spacing w:before="120" w:line="276" w:lineRule="auto"/>
        <w:ind w:left="0" w:firstLine="0"/>
        <w:jc w:val="both"/>
        <w:rPr>
          <w:rFonts w:ascii="72 Light" w:hAnsi="72 Light" w:cs="72 Light"/>
          <w:bCs/>
          <w:sz w:val="24"/>
          <w:szCs w:val="24"/>
          <w:lang w:val="fr-CA"/>
        </w:rPr>
      </w:pPr>
      <w:r w:rsidRPr="007B324D">
        <w:rPr>
          <w:rFonts w:ascii="72 Light" w:hAnsi="72 Light" w:cs="72 Light"/>
          <w:sz w:val="24"/>
          <w:szCs w:val="24"/>
          <w:lang w:val="fr-CA"/>
        </w:rPr>
        <w:t>Selon l’Enquête sociale générale de 2019 sur la sécurité des Canadiens, 44 % des membres des Premières Nations ont été victimes de discrimination au cours des cinq années précéd</w:t>
      </w:r>
      <w:r w:rsidR="00E93A8A" w:rsidRPr="007B324D">
        <w:rPr>
          <w:rFonts w:ascii="72 Light" w:hAnsi="72 Light" w:cs="72 Light"/>
          <w:sz w:val="24"/>
          <w:szCs w:val="24"/>
          <w:lang w:val="fr-CA"/>
        </w:rPr>
        <w:t>entes</w:t>
      </w:r>
      <w:r w:rsidRPr="007B324D">
        <w:rPr>
          <w:rFonts w:ascii="72 Light" w:hAnsi="72 Light" w:cs="72 Light"/>
          <w:sz w:val="24"/>
          <w:szCs w:val="24"/>
          <w:lang w:val="fr-CA"/>
        </w:rPr>
        <w:t xml:space="preserve">. </w:t>
      </w:r>
      <w:r w:rsidR="00E93A8A" w:rsidRPr="007B324D">
        <w:rPr>
          <w:rFonts w:ascii="72 Light" w:hAnsi="72 Light" w:cs="72 Light"/>
          <w:sz w:val="24"/>
          <w:szCs w:val="24"/>
          <w:lang w:val="fr-CA"/>
        </w:rPr>
        <w:t xml:space="preserve">Au total, </w:t>
      </w:r>
      <w:r w:rsidRPr="007B324D">
        <w:rPr>
          <w:rFonts w:ascii="72 Light" w:hAnsi="72 Light" w:cs="72 Light"/>
          <w:sz w:val="24"/>
          <w:szCs w:val="24"/>
          <w:lang w:val="fr-CA"/>
        </w:rPr>
        <w:t>21 % des personnes victimes de discrimination ont indiqué que</w:t>
      </w:r>
      <w:r w:rsidR="00E93A8A" w:rsidRPr="007B324D">
        <w:rPr>
          <w:rFonts w:ascii="72 Light" w:hAnsi="72 Light" w:cs="72 Light"/>
          <w:sz w:val="24"/>
          <w:szCs w:val="24"/>
          <w:lang w:val="fr-CA"/>
        </w:rPr>
        <w:t xml:space="preserve"> celle-ci</w:t>
      </w:r>
      <w:r w:rsidRPr="007B324D">
        <w:rPr>
          <w:rFonts w:ascii="72 Light" w:hAnsi="72 Light" w:cs="72 Light"/>
          <w:sz w:val="24"/>
          <w:szCs w:val="24"/>
          <w:lang w:val="fr-CA"/>
        </w:rPr>
        <w:t xml:space="preserve"> s’était produite dans le cadre de leurs relations avec la police. En outre, l’</w:t>
      </w:r>
      <w:r w:rsidR="00E93A8A" w:rsidRPr="007B324D">
        <w:rPr>
          <w:rFonts w:ascii="72 Light" w:hAnsi="72 Light" w:cs="72 Light"/>
          <w:sz w:val="24"/>
          <w:szCs w:val="24"/>
          <w:lang w:val="fr-CA"/>
        </w:rPr>
        <w:t>Enquête sociale générale</w:t>
      </w:r>
      <w:r w:rsidRPr="007B324D">
        <w:rPr>
          <w:rFonts w:ascii="72 Light" w:hAnsi="72 Light" w:cs="72 Light"/>
          <w:sz w:val="24"/>
          <w:szCs w:val="24"/>
          <w:lang w:val="fr-CA"/>
        </w:rPr>
        <w:t xml:space="preserve"> </w:t>
      </w:r>
      <w:r w:rsidR="00E93A8A" w:rsidRPr="007B324D">
        <w:rPr>
          <w:rFonts w:ascii="72 Light" w:hAnsi="72 Light" w:cs="72 Light"/>
          <w:sz w:val="24"/>
          <w:szCs w:val="24"/>
          <w:lang w:val="fr-CA"/>
        </w:rPr>
        <w:t>montre</w:t>
      </w:r>
      <w:r w:rsidRPr="007B324D">
        <w:rPr>
          <w:rFonts w:ascii="72 Light" w:hAnsi="72 Light" w:cs="72 Light"/>
          <w:sz w:val="24"/>
          <w:szCs w:val="24"/>
          <w:lang w:val="fr-CA"/>
        </w:rPr>
        <w:t xml:space="preserve"> que les expériences de discrimination signalées ont augmenté de 10 % depuis 2014. </w:t>
      </w:r>
    </w:p>
    <w:p w14:paraId="5C75A2D7" w14:textId="0B394CF3" w:rsidR="00BF3013" w:rsidRPr="007B324D" w:rsidRDefault="00BF3013" w:rsidP="00F62155">
      <w:pPr>
        <w:tabs>
          <w:tab w:val="left" w:pos="3544"/>
        </w:tabs>
        <w:spacing w:before="120" w:line="276" w:lineRule="auto"/>
        <w:ind w:left="0" w:firstLine="0"/>
        <w:jc w:val="both"/>
        <w:rPr>
          <w:rFonts w:ascii="72 Light" w:hAnsi="72 Light" w:cs="72 Light"/>
          <w:bCs/>
          <w:sz w:val="24"/>
          <w:szCs w:val="24"/>
          <w:lang w:val="fr-CA"/>
        </w:rPr>
      </w:pPr>
      <w:r w:rsidRPr="007B324D">
        <w:rPr>
          <w:rFonts w:ascii="72 Light" w:hAnsi="72 Light" w:cs="72 Light"/>
          <w:sz w:val="24"/>
          <w:szCs w:val="24"/>
          <w:lang w:val="fr-CA"/>
        </w:rPr>
        <w:t xml:space="preserve">Les </w:t>
      </w:r>
      <w:r w:rsidR="00E93A8A" w:rsidRPr="007B324D">
        <w:rPr>
          <w:rFonts w:ascii="72 Light" w:hAnsi="72 Light" w:cs="72 Light"/>
          <w:sz w:val="24"/>
          <w:szCs w:val="24"/>
          <w:lang w:val="fr-CA"/>
        </w:rPr>
        <w:t xml:space="preserve">membres de </w:t>
      </w:r>
      <w:r w:rsidRPr="007B324D">
        <w:rPr>
          <w:rFonts w:ascii="72 Light" w:hAnsi="72 Light" w:cs="72 Light"/>
          <w:sz w:val="24"/>
          <w:szCs w:val="24"/>
          <w:lang w:val="fr-CA"/>
        </w:rPr>
        <w:t>Premières Nations</w:t>
      </w:r>
      <w:r w:rsidR="004A683A" w:rsidRPr="007B324D">
        <w:rPr>
          <w:rFonts w:ascii="72 Light" w:hAnsi="72 Light" w:cs="72 Light"/>
          <w:sz w:val="24"/>
          <w:szCs w:val="24"/>
          <w:lang w:val="fr-CA"/>
        </w:rPr>
        <w:t xml:space="preserve"> subissent du</w:t>
      </w:r>
      <w:r w:rsidRPr="007B324D">
        <w:rPr>
          <w:rFonts w:ascii="72 Light" w:hAnsi="72 Light" w:cs="72 Light"/>
          <w:sz w:val="24"/>
          <w:szCs w:val="24"/>
          <w:lang w:val="fr-CA"/>
        </w:rPr>
        <w:t xml:space="preserve"> racisme systémique dans de nombreuses institutions au Canada, notamment les services de police, les soins de santé, le système de protection de l’enfance et </w:t>
      </w:r>
      <w:r w:rsidR="004A683A" w:rsidRPr="007B324D">
        <w:rPr>
          <w:rFonts w:ascii="72 Light" w:hAnsi="72 Light" w:cs="72 Light"/>
          <w:sz w:val="24"/>
          <w:szCs w:val="24"/>
          <w:lang w:val="fr-CA"/>
        </w:rPr>
        <w:t>le système scolaire</w:t>
      </w:r>
      <w:r w:rsidRPr="007B324D">
        <w:rPr>
          <w:rFonts w:ascii="72 Light" w:hAnsi="72 Light" w:cs="72 Light"/>
          <w:sz w:val="24"/>
          <w:szCs w:val="24"/>
          <w:lang w:val="fr-CA"/>
        </w:rPr>
        <w:t xml:space="preserve">. Le racisme systémique non seulement </w:t>
      </w:r>
      <w:r w:rsidR="004A683A" w:rsidRPr="007B324D">
        <w:rPr>
          <w:rFonts w:ascii="72 Light" w:hAnsi="72 Light" w:cs="72 Light"/>
          <w:sz w:val="24"/>
          <w:szCs w:val="24"/>
          <w:lang w:val="fr-CA"/>
        </w:rPr>
        <w:t xml:space="preserve">a </w:t>
      </w:r>
      <w:r w:rsidRPr="007B324D">
        <w:rPr>
          <w:rFonts w:ascii="72 Light" w:hAnsi="72 Light" w:cs="72 Light"/>
          <w:sz w:val="24"/>
          <w:szCs w:val="24"/>
          <w:lang w:val="fr-CA"/>
        </w:rPr>
        <w:t>des effets néfastes sur la santé et le bien-être de</w:t>
      </w:r>
      <w:r w:rsidR="004A683A" w:rsidRPr="007B324D">
        <w:rPr>
          <w:rFonts w:ascii="72 Light" w:hAnsi="72 Light" w:cs="72 Light"/>
          <w:sz w:val="24"/>
          <w:szCs w:val="24"/>
          <w:lang w:val="fr-CA"/>
        </w:rPr>
        <w:t xml:space="preserve"> ces personnes</w:t>
      </w:r>
      <w:r w:rsidRPr="007B324D">
        <w:rPr>
          <w:rFonts w:ascii="72 Light" w:hAnsi="72 Light" w:cs="72 Light"/>
          <w:sz w:val="24"/>
          <w:szCs w:val="24"/>
          <w:lang w:val="fr-CA"/>
        </w:rPr>
        <w:t>, mais</w:t>
      </w:r>
      <w:r w:rsidR="004A683A" w:rsidRPr="007B324D">
        <w:rPr>
          <w:rFonts w:ascii="72 Light" w:hAnsi="72 Light" w:cs="72 Light"/>
          <w:sz w:val="24"/>
          <w:szCs w:val="24"/>
          <w:lang w:val="fr-CA"/>
        </w:rPr>
        <w:t xml:space="preserve"> aussi</w:t>
      </w:r>
      <w:r w:rsidRPr="007B324D">
        <w:rPr>
          <w:rFonts w:ascii="72 Light" w:hAnsi="72 Light" w:cs="72 Light"/>
          <w:sz w:val="24"/>
          <w:szCs w:val="24"/>
          <w:lang w:val="fr-CA"/>
        </w:rPr>
        <w:t xml:space="preserve"> met leur vie en danger. Dans de nombreux cas, les Premières Nations sont obligées d’engager des poursuites contre la Couronne pour faire respecter leurs droits, ce qui demande beaucoup de temps et de ressources. </w:t>
      </w:r>
    </w:p>
    <w:p w14:paraId="27F507D2" w14:textId="39C828BE" w:rsidR="00BF3013" w:rsidRPr="007B324D" w:rsidRDefault="00BF3013" w:rsidP="00F62155">
      <w:pPr>
        <w:tabs>
          <w:tab w:val="left" w:pos="3544"/>
        </w:tabs>
        <w:spacing w:before="120" w:line="276" w:lineRule="auto"/>
        <w:ind w:left="0" w:firstLine="0"/>
        <w:jc w:val="both"/>
        <w:rPr>
          <w:rFonts w:ascii="72 Light" w:hAnsi="72 Light" w:cs="72 Light"/>
          <w:bCs/>
          <w:sz w:val="24"/>
          <w:szCs w:val="24"/>
          <w:lang w:val="fr-CA"/>
        </w:rPr>
      </w:pPr>
      <w:r w:rsidRPr="007B324D">
        <w:rPr>
          <w:rFonts w:ascii="72 Light" w:hAnsi="72 Light" w:cs="72 Light"/>
          <w:sz w:val="24"/>
          <w:szCs w:val="24"/>
          <w:lang w:val="fr-CA"/>
        </w:rPr>
        <w:t>À l’origine de cet enjeu se trouve la nécessité pour les gouvernements du Canada de reconnaître l’existence d</w:t>
      </w:r>
      <w:r w:rsidR="004A683A" w:rsidRPr="007B324D">
        <w:rPr>
          <w:rFonts w:ascii="72 Light" w:hAnsi="72 Light" w:cs="72 Light"/>
          <w:sz w:val="24"/>
          <w:szCs w:val="24"/>
          <w:lang w:val="fr-CA"/>
        </w:rPr>
        <w:t>u</w:t>
      </w:r>
      <w:r w:rsidRPr="007B324D">
        <w:rPr>
          <w:rFonts w:ascii="72 Light" w:hAnsi="72 Light" w:cs="72 Light"/>
          <w:sz w:val="24"/>
          <w:szCs w:val="24"/>
          <w:lang w:val="fr-CA"/>
        </w:rPr>
        <w:t xml:space="preserve"> racisme systémique dans les institutions canadiennes. Le 28 septembre 2020, Joyce Echaquan, femme atikamekw, est décédée dans un hôpital </w:t>
      </w:r>
      <w:r w:rsidR="004A683A" w:rsidRPr="007B324D">
        <w:rPr>
          <w:rFonts w:ascii="72 Light" w:hAnsi="72 Light" w:cs="72 Light"/>
          <w:sz w:val="24"/>
          <w:szCs w:val="24"/>
          <w:lang w:val="fr-CA"/>
        </w:rPr>
        <w:t>d</w:t>
      </w:r>
      <w:r w:rsidRPr="007B324D">
        <w:rPr>
          <w:rFonts w:ascii="72 Light" w:hAnsi="72 Light" w:cs="72 Light"/>
          <w:sz w:val="24"/>
          <w:szCs w:val="24"/>
          <w:lang w:val="fr-CA"/>
        </w:rPr>
        <w:t xml:space="preserve">u Québec après avoir enregistré une vidéo du personnel soignant lui faisant des remarques racistes. Un médecin légiste chargé d’enquêter sur sa mort a conclu que le racisme et les préjugés </w:t>
      </w:r>
      <w:r w:rsidR="004A683A" w:rsidRPr="007B324D">
        <w:rPr>
          <w:rFonts w:ascii="72 Light" w:hAnsi="72 Light" w:cs="72 Light"/>
          <w:sz w:val="24"/>
          <w:szCs w:val="24"/>
          <w:lang w:val="fr-CA"/>
        </w:rPr>
        <w:t>avec lesquels</w:t>
      </w:r>
      <w:r w:rsidRPr="007B324D">
        <w:rPr>
          <w:rFonts w:ascii="72 Light" w:hAnsi="72 Light" w:cs="72 Light"/>
          <w:sz w:val="24"/>
          <w:szCs w:val="24"/>
          <w:lang w:val="fr-CA"/>
        </w:rPr>
        <w:t xml:space="preserve"> cette femme avait été </w:t>
      </w:r>
      <w:r w:rsidR="004A683A" w:rsidRPr="007B324D">
        <w:rPr>
          <w:rFonts w:ascii="72 Light" w:hAnsi="72 Light" w:cs="72 Light"/>
          <w:sz w:val="24"/>
          <w:szCs w:val="24"/>
          <w:lang w:val="fr-CA"/>
        </w:rPr>
        <w:t>aux prises</w:t>
      </w:r>
      <w:r w:rsidRPr="007B324D">
        <w:rPr>
          <w:rFonts w:ascii="72 Light" w:hAnsi="72 Light" w:cs="72 Light"/>
          <w:sz w:val="24"/>
          <w:szCs w:val="24"/>
          <w:lang w:val="fr-CA"/>
        </w:rPr>
        <w:t xml:space="preserve"> pendant son séjour à l’hôpital ont contribué à son décès. </w:t>
      </w:r>
    </w:p>
    <w:p w14:paraId="7E39C479" w14:textId="4983B3F8" w:rsidR="00BF3013" w:rsidRPr="007B324D" w:rsidRDefault="00BF3013" w:rsidP="00F62155">
      <w:pPr>
        <w:tabs>
          <w:tab w:val="left" w:pos="3544"/>
        </w:tabs>
        <w:spacing w:before="120" w:line="276" w:lineRule="auto"/>
        <w:ind w:left="0" w:firstLine="0"/>
        <w:jc w:val="both"/>
        <w:rPr>
          <w:rFonts w:ascii="72 Light" w:hAnsi="72 Light" w:cs="72 Light"/>
          <w:bCs/>
          <w:sz w:val="24"/>
          <w:szCs w:val="24"/>
          <w:lang w:val="fr-CA"/>
        </w:rPr>
      </w:pPr>
      <w:r w:rsidRPr="007B324D">
        <w:rPr>
          <w:rFonts w:ascii="72 Light" w:hAnsi="72 Light" w:cs="72 Light"/>
          <w:sz w:val="24"/>
          <w:szCs w:val="24"/>
          <w:lang w:val="fr-CA"/>
        </w:rPr>
        <w:t xml:space="preserve">Malgré ce constat, le </w:t>
      </w:r>
      <w:r w:rsidR="004A683A" w:rsidRPr="007B324D">
        <w:rPr>
          <w:rFonts w:ascii="72 Light" w:hAnsi="72 Light" w:cs="72 Light"/>
          <w:sz w:val="24"/>
          <w:szCs w:val="24"/>
          <w:lang w:val="fr-CA"/>
        </w:rPr>
        <w:t>p</w:t>
      </w:r>
      <w:r w:rsidRPr="007B324D">
        <w:rPr>
          <w:rFonts w:ascii="72 Light" w:hAnsi="72 Light" w:cs="72 Light"/>
          <w:sz w:val="24"/>
          <w:szCs w:val="24"/>
          <w:lang w:val="fr-CA"/>
        </w:rPr>
        <w:t>remier ministre du Québec a nié à plusieurs reprises l’existence d</w:t>
      </w:r>
      <w:r w:rsidR="004A683A" w:rsidRPr="007B324D">
        <w:rPr>
          <w:rFonts w:ascii="72 Light" w:hAnsi="72 Light" w:cs="72 Light"/>
          <w:sz w:val="24"/>
          <w:szCs w:val="24"/>
          <w:lang w:val="fr-CA"/>
        </w:rPr>
        <w:t>u</w:t>
      </w:r>
      <w:r w:rsidRPr="007B324D">
        <w:rPr>
          <w:rFonts w:ascii="72 Light" w:hAnsi="72 Light" w:cs="72 Light"/>
          <w:sz w:val="24"/>
          <w:szCs w:val="24"/>
          <w:lang w:val="fr-CA"/>
        </w:rPr>
        <w:t xml:space="preserve"> racisme systémique dans la province. </w:t>
      </w:r>
      <w:r w:rsidR="00801E3E" w:rsidRPr="007B324D">
        <w:rPr>
          <w:rFonts w:ascii="72 Light" w:hAnsi="72 Light" w:cs="72 Light"/>
          <w:sz w:val="24"/>
          <w:szCs w:val="24"/>
          <w:lang w:val="fr-CA"/>
        </w:rPr>
        <w:t>L</w:t>
      </w:r>
      <w:r w:rsidRPr="007B324D">
        <w:rPr>
          <w:rFonts w:ascii="72 Light" w:hAnsi="72 Light" w:cs="72 Light"/>
          <w:sz w:val="24"/>
          <w:szCs w:val="24"/>
          <w:lang w:val="fr-CA"/>
        </w:rPr>
        <w:t>es gouvernements FPT doivent reconnaître l’existence du racisme systémique et prendre des mesures concrètes pour prévenir, combattre et éradiquer le racisme systémique, la discrimination raciale et l’intolérance au Canada.</w:t>
      </w:r>
    </w:p>
    <w:p w14:paraId="55A95E0A" w14:textId="5C9C1C17" w:rsidR="00003E13" w:rsidRPr="007B324D" w:rsidRDefault="00801E3E" w:rsidP="00E503A2">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L</w:t>
      </w:r>
      <w:r w:rsidR="00BF3013" w:rsidRPr="007B324D">
        <w:rPr>
          <w:rFonts w:ascii="72 Light" w:hAnsi="72 Light" w:cs="72 Light"/>
          <w:sz w:val="24"/>
          <w:szCs w:val="24"/>
          <w:lang w:val="fr-CA"/>
        </w:rPr>
        <w:t xml:space="preserve">es gouvernements FPT doivent également </w:t>
      </w:r>
      <w:r w:rsidRPr="007B324D">
        <w:rPr>
          <w:rFonts w:ascii="72 Light" w:hAnsi="72 Light" w:cs="72 Light"/>
          <w:sz w:val="24"/>
          <w:szCs w:val="24"/>
          <w:lang w:val="fr-CA"/>
        </w:rPr>
        <w:t xml:space="preserve">tous </w:t>
      </w:r>
      <w:r w:rsidR="00BF3013" w:rsidRPr="007B324D">
        <w:rPr>
          <w:rFonts w:ascii="72 Light" w:hAnsi="72 Light" w:cs="72 Light"/>
          <w:sz w:val="24"/>
          <w:szCs w:val="24"/>
          <w:lang w:val="fr-CA"/>
        </w:rPr>
        <w:t>mettre fin au sous-financement discriminatoire des services destinés aux Premières Nations. Le 26 janvier 2016, le Tribunal canadien des droits de la personne a rendu une décision selon laquelle le gouvernement du Canada a fait preuve de discrimination à l’égard des Premières Nations dans le cadre du programme des Services à l’enfance et à la famille des Premières Nations</w:t>
      </w:r>
      <w:r w:rsidR="00FF30CC" w:rsidRPr="007B324D">
        <w:rPr>
          <w:rFonts w:ascii="72 Light" w:hAnsi="72 Light" w:cs="72 Light"/>
          <w:sz w:val="24"/>
          <w:szCs w:val="24"/>
          <w:lang w:val="fr-CA"/>
        </w:rPr>
        <w:t xml:space="preserve"> (SEFPN)</w:t>
      </w:r>
      <w:r w:rsidR="00BF3013" w:rsidRPr="007B324D">
        <w:rPr>
          <w:rFonts w:ascii="72 Light" w:hAnsi="72 Light" w:cs="72 Light"/>
          <w:sz w:val="24"/>
          <w:szCs w:val="24"/>
          <w:lang w:val="fr-CA"/>
        </w:rPr>
        <w:t xml:space="preserve">. Cette décision stipule ce qui suit : </w:t>
      </w:r>
    </w:p>
    <w:p w14:paraId="11A572D5" w14:textId="0F49F3DB" w:rsidR="00BF3013" w:rsidRPr="007B324D" w:rsidRDefault="00E503A2" w:rsidP="00145E2D">
      <w:pPr>
        <w:tabs>
          <w:tab w:val="left" w:pos="3544"/>
        </w:tabs>
        <w:spacing w:before="120" w:line="276" w:lineRule="auto"/>
        <w:ind w:left="709" w:right="429" w:firstLine="0"/>
        <w:jc w:val="both"/>
        <w:rPr>
          <w:rFonts w:ascii="72 Light" w:hAnsi="72 Light" w:cs="72 Light"/>
          <w:bCs/>
          <w:sz w:val="24"/>
          <w:szCs w:val="24"/>
          <w:lang w:val="fr-CA"/>
        </w:rPr>
      </w:pPr>
      <w:r w:rsidRPr="007B324D">
        <w:rPr>
          <w:rFonts w:ascii="72 Light" w:hAnsi="72 Light" w:cs="72 Light"/>
          <w:sz w:val="24"/>
          <w:szCs w:val="24"/>
          <w:lang w:val="fr-CA"/>
        </w:rPr>
        <w:t>« </w:t>
      </w:r>
      <w:r w:rsidR="00BF3013" w:rsidRPr="007B324D">
        <w:rPr>
          <w:rFonts w:ascii="72 Light" w:hAnsi="72 Light" w:cs="72 Light"/>
          <w:sz w:val="24"/>
          <w:szCs w:val="24"/>
          <w:lang w:val="fr-CA"/>
        </w:rPr>
        <w:t>La preuve en l’espèce montre non seulement que l’application du Programme des SEFPN</w:t>
      </w:r>
      <w:r w:rsidR="00FF30CC" w:rsidRPr="007B324D">
        <w:rPr>
          <w:rFonts w:ascii="72 Light" w:hAnsi="72 Light" w:cs="72 Light"/>
          <w:sz w:val="24"/>
          <w:szCs w:val="24"/>
          <w:lang w:val="fr-CA"/>
        </w:rPr>
        <w:t xml:space="preserve"> </w:t>
      </w:r>
      <w:r w:rsidR="00BF3013" w:rsidRPr="007B324D">
        <w:rPr>
          <w:rFonts w:ascii="72 Light" w:hAnsi="72 Light" w:cs="72 Light"/>
          <w:sz w:val="24"/>
          <w:szCs w:val="24"/>
          <w:lang w:val="fr-CA"/>
        </w:rPr>
        <w:t xml:space="preserve">d’AADNC [Affaires autochtones et du Développement du Nord Canada </w:t>
      </w:r>
      <w:r w:rsidR="00BF3013" w:rsidRPr="007B324D">
        <w:rPr>
          <w:rFonts w:ascii="72 Light" w:hAnsi="72 Light" w:cs="72 Light"/>
          <w:sz w:val="24"/>
          <w:szCs w:val="24"/>
          <w:lang w:val="fr-CA"/>
        </w:rPr>
        <w:lastRenderedPageBreak/>
        <w:t>(maintenant Services aux Autochtones Canada)], des modèles de financement correspondants et des autres ententes provinciales/territoriales connexes entraîne différents effets préjudiciables, mais également que ces effets perpétuent les désavantages historiques qu’ont subi</w:t>
      </w:r>
      <w:r w:rsidR="00FF30CC" w:rsidRPr="007B324D">
        <w:rPr>
          <w:rFonts w:ascii="72 Light" w:hAnsi="72 Light" w:cs="72 Light"/>
          <w:sz w:val="24"/>
          <w:szCs w:val="24"/>
          <w:lang w:val="fr-CA"/>
        </w:rPr>
        <w:t>s</w:t>
      </w:r>
      <w:r w:rsidR="00BF3013" w:rsidRPr="007B324D">
        <w:rPr>
          <w:rFonts w:ascii="72 Light" w:hAnsi="72 Light" w:cs="72 Light"/>
          <w:sz w:val="24"/>
          <w:szCs w:val="24"/>
          <w:lang w:val="fr-CA"/>
        </w:rPr>
        <w:t xml:space="preserve"> les peuples autochtones, principalement en raison du système des pensionnats </w:t>
      </w:r>
      <w:r w:rsidR="002007E7" w:rsidRPr="007B324D">
        <w:rPr>
          <w:rFonts w:ascii="72 Light" w:hAnsi="72 Light" w:cs="72 Light"/>
          <w:sz w:val="24"/>
          <w:szCs w:val="24"/>
          <w:lang w:val="fr-CA"/>
        </w:rPr>
        <w:t>i</w:t>
      </w:r>
      <w:r w:rsidR="00BF3013" w:rsidRPr="007B324D">
        <w:rPr>
          <w:rFonts w:ascii="72 Light" w:hAnsi="72 Light" w:cs="72 Light"/>
          <w:sz w:val="24"/>
          <w:szCs w:val="24"/>
          <w:lang w:val="fr-CA"/>
        </w:rPr>
        <w:t>ndiens.</w:t>
      </w:r>
      <w:r w:rsidRPr="007B324D">
        <w:rPr>
          <w:rFonts w:ascii="72 Light" w:hAnsi="72 Light" w:cs="72 Light"/>
          <w:sz w:val="24"/>
          <w:szCs w:val="24"/>
          <w:lang w:val="fr-CA"/>
        </w:rPr>
        <w:t> »</w:t>
      </w:r>
      <w:r w:rsidR="00F51B60" w:rsidRPr="007B324D">
        <w:rPr>
          <w:rFonts w:ascii="72 Light" w:hAnsi="72 Light" w:cs="72 Light"/>
          <w:sz w:val="24"/>
          <w:szCs w:val="24"/>
          <w:lang w:val="fr-CA"/>
        </w:rPr>
        <w:t xml:space="preserve"> </w:t>
      </w:r>
      <w:r w:rsidR="002007E7" w:rsidRPr="007B324D">
        <w:rPr>
          <w:rFonts w:ascii="72 Light" w:hAnsi="72 Light" w:cs="72 Light"/>
          <w:sz w:val="24"/>
          <w:szCs w:val="24"/>
          <w:lang w:val="fr-CA"/>
        </w:rPr>
        <w:t>(</w:t>
      </w:r>
      <w:r w:rsidR="00F51B60" w:rsidRPr="007B324D">
        <w:rPr>
          <w:rFonts w:ascii="72 Light" w:hAnsi="72 Light" w:cs="72 Light"/>
          <w:sz w:val="24"/>
          <w:szCs w:val="24"/>
          <w:lang w:val="fr-CA"/>
        </w:rPr>
        <w:t xml:space="preserve">Décision, </w:t>
      </w:r>
      <w:r w:rsidR="002007E7" w:rsidRPr="007B324D">
        <w:rPr>
          <w:rFonts w:ascii="72 Light" w:hAnsi="72 Light" w:cs="72 Light"/>
          <w:sz w:val="24"/>
          <w:szCs w:val="24"/>
          <w:lang w:val="fr-CA"/>
        </w:rPr>
        <w:t>paragraphe 404, page 172)</w:t>
      </w:r>
    </w:p>
    <w:p w14:paraId="13332269" w14:textId="3F34DA29" w:rsidR="00BF3013" w:rsidRPr="007B324D" w:rsidRDefault="00BF3013" w:rsidP="00F62155">
      <w:pPr>
        <w:tabs>
          <w:tab w:val="left" w:pos="3544"/>
        </w:tabs>
        <w:spacing w:before="120" w:line="276" w:lineRule="auto"/>
        <w:ind w:left="0" w:firstLine="0"/>
        <w:jc w:val="both"/>
        <w:rPr>
          <w:rFonts w:ascii="72 Light" w:hAnsi="72 Light" w:cs="72 Light"/>
          <w:bCs/>
          <w:sz w:val="24"/>
          <w:szCs w:val="24"/>
          <w:lang w:val="fr-CA"/>
        </w:rPr>
      </w:pPr>
      <w:r w:rsidRPr="007B324D">
        <w:rPr>
          <w:rFonts w:ascii="72 Light" w:hAnsi="72 Light" w:cs="72 Light"/>
          <w:sz w:val="24"/>
          <w:szCs w:val="24"/>
          <w:lang w:val="fr-CA"/>
        </w:rPr>
        <w:t xml:space="preserve">Le Tribunal a ordonné au Canada de mettre fin au sous-financement discriminatoire des services de protection de l’enfance des Premières Nations et de prendre des mesures pour prévenir toute discrimination future. </w:t>
      </w:r>
      <w:r w:rsidR="00FF30CC" w:rsidRPr="007B324D">
        <w:rPr>
          <w:rFonts w:ascii="72 Light" w:hAnsi="72 Light" w:cs="72 Light"/>
          <w:sz w:val="24"/>
          <w:szCs w:val="24"/>
          <w:lang w:val="fr-CA"/>
        </w:rPr>
        <w:t>Il</w:t>
      </w:r>
      <w:r w:rsidRPr="007B324D">
        <w:rPr>
          <w:rFonts w:ascii="72 Light" w:hAnsi="72 Light" w:cs="72 Light"/>
          <w:sz w:val="24"/>
          <w:szCs w:val="24"/>
          <w:lang w:val="fr-CA"/>
        </w:rPr>
        <w:t xml:space="preserve"> a également ordonné au Canada d’indemniser les enfants des Premières Nations victimes de discrimination dans le cadre du programme des SEFPN. Cette discrimination s’est traduite par </w:t>
      </w:r>
      <w:r w:rsidR="00FF30CC" w:rsidRPr="007B324D">
        <w:rPr>
          <w:rFonts w:ascii="72 Light" w:hAnsi="72 Light" w:cs="72 Light"/>
          <w:sz w:val="24"/>
          <w:szCs w:val="24"/>
          <w:lang w:val="fr-CA"/>
        </w:rPr>
        <w:t>l’intégration d’</w:t>
      </w:r>
      <w:r w:rsidRPr="007B324D">
        <w:rPr>
          <w:rFonts w:ascii="72 Light" w:hAnsi="72 Light" w:cs="72 Light"/>
          <w:sz w:val="24"/>
          <w:szCs w:val="24"/>
          <w:lang w:val="fr-CA"/>
        </w:rPr>
        <w:t>un nombre largement disproportionné d’enfants et de jeunes des Premières Nations dans le système canadien de protection de l’enfance</w:t>
      </w:r>
      <w:r w:rsidR="00FF30CC" w:rsidRPr="007B324D">
        <w:rPr>
          <w:rFonts w:ascii="72 Light" w:hAnsi="72 Light" w:cs="72 Light"/>
          <w:sz w:val="24"/>
          <w:szCs w:val="24"/>
          <w:lang w:val="fr-CA"/>
        </w:rPr>
        <w:t xml:space="preserve">, ce qui </w:t>
      </w:r>
      <w:r w:rsidRPr="007B324D">
        <w:rPr>
          <w:rFonts w:ascii="72 Light" w:hAnsi="72 Light" w:cs="72 Light"/>
          <w:sz w:val="24"/>
          <w:szCs w:val="24"/>
          <w:lang w:val="fr-CA"/>
        </w:rPr>
        <w:t>continue de contribuer à la perte des langues, des cultures et des traditions des Premières Nations.</w:t>
      </w:r>
    </w:p>
    <w:p w14:paraId="2BBBBF22" w14:textId="60B14D8F" w:rsidR="00BF3013" w:rsidRPr="007B324D" w:rsidRDefault="00BF3013" w:rsidP="00F62155">
      <w:pPr>
        <w:tabs>
          <w:tab w:val="left" w:pos="3544"/>
        </w:tabs>
        <w:spacing w:before="120" w:line="276" w:lineRule="auto"/>
        <w:ind w:left="0" w:firstLine="0"/>
        <w:jc w:val="both"/>
        <w:rPr>
          <w:rFonts w:ascii="72 Light" w:hAnsi="72 Light" w:cs="72 Light"/>
          <w:bCs/>
          <w:sz w:val="24"/>
          <w:szCs w:val="24"/>
          <w:lang w:val="fr-CA"/>
        </w:rPr>
      </w:pPr>
      <w:r w:rsidRPr="007B324D">
        <w:rPr>
          <w:rFonts w:ascii="72 Light" w:hAnsi="72 Light" w:cs="72 Light"/>
          <w:sz w:val="24"/>
          <w:szCs w:val="24"/>
          <w:lang w:val="fr-CA"/>
        </w:rPr>
        <w:t xml:space="preserve">À l’instar de la protection de l’enfance, de nombreux autres services destinés aux Premières Nations </w:t>
      </w:r>
      <w:r w:rsidR="00FF30CC" w:rsidRPr="007B324D">
        <w:rPr>
          <w:rFonts w:ascii="72 Light" w:hAnsi="72 Light" w:cs="72 Light"/>
          <w:sz w:val="24"/>
          <w:szCs w:val="24"/>
          <w:lang w:val="fr-CA"/>
        </w:rPr>
        <w:t xml:space="preserve">demeurent </w:t>
      </w:r>
      <w:r w:rsidRPr="007B324D">
        <w:rPr>
          <w:rFonts w:ascii="72 Light" w:hAnsi="72 Light" w:cs="72 Light"/>
          <w:sz w:val="24"/>
          <w:szCs w:val="24"/>
          <w:lang w:val="fr-CA"/>
        </w:rPr>
        <w:t xml:space="preserve">sous-financés, ce qui constitue une forme de discrimination. </w:t>
      </w:r>
      <w:r w:rsidR="00FF30CC" w:rsidRPr="007B324D">
        <w:rPr>
          <w:rFonts w:ascii="72 Light" w:hAnsi="72 Light" w:cs="72 Light"/>
          <w:sz w:val="24"/>
          <w:szCs w:val="24"/>
          <w:lang w:val="fr-CA"/>
        </w:rPr>
        <w:t>Ainsi</w:t>
      </w:r>
      <w:r w:rsidRPr="007B324D">
        <w:rPr>
          <w:rFonts w:ascii="72 Light" w:hAnsi="72 Light" w:cs="72 Light"/>
          <w:sz w:val="24"/>
          <w:szCs w:val="24"/>
          <w:lang w:val="fr-CA"/>
        </w:rPr>
        <w:t xml:space="preserve">, des décennies de sous-financement de l’éducation des Premières Nations se sont traduites par des taux d’obtention de diplômes </w:t>
      </w:r>
      <w:r w:rsidR="00FF30CC" w:rsidRPr="007B324D">
        <w:rPr>
          <w:rFonts w:ascii="72 Light" w:hAnsi="72 Light" w:cs="72 Light"/>
          <w:sz w:val="24"/>
          <w:szCs w:val="24"/>
          <w:lang w:val="fr-CA"/>
        </w:rPr>
        <w:t xml:space="preserve">d’études </w:t>
      </w:r>
      <w:r w:rsidRPr="007B324D">
        <w:rPr>
          <w:rFonts w:ascii="72 Light" w:hAnsi="72 Light" w:cs="72 Light"/>
          <w:sz w:val="24"/>
          <w:szCs w:val="24"/>
          <w:lang w:val="fr-CA"/>
        </w:rPr>
        <w:t>secondaires et d’études postsecondaires plus faibles pour les élèves et étudiants des Premières Nations, et le financement insuffisant de</w:t>
      </w:r>
      <w:r w:rsidR="00FF30CC" w:rsidRPr="007B324D">
        <w:rPr>
          <w:rFonts w:ascii="72 Light" w:hAnsi="72 Light" w:cs="72 Light"/>
          <w:sz w:val="24"/>
          <w:szCs w:val="24"/>
          <w:lang w:val="fr-CA"/>
        </w:rPr>
        <w:t xml:space="preserve"> l’</w:t>
      </w:r>
      <w:r w:rsidRPr="007B324D">
        <w:rPr>
          <w:rFonts w:ascii="72 Light" w:hAnsi="72 Light" w:cs="72 Light"/>
          <w:sz w:val="24"/>
          <w:szCs w:val="24"/>
          <w:lang w:val="fr-CA"/>
        </w:rPr>
        <w:t xml:space="preserve">infrastructure a entraîné des crises permanentes en matière de logement et d’eau potable pour les Premières Nations. Ces pratiques de financement discriminatoires </w:t>
      </w:r>
      <w:r w:rsidR="00FF30CC" w:rsidRPr="007B324D">
        <w:rPr>
          <w:rFonts w:ascii="72 Light" w:hAnsi="72 Light" w:cs="72 Light"/>
          <w:sz w:val="24"/>
          <w:szCs w:val="24"/>
          <w:lang w:val="fr-CA"/>
        </w:rPr>
        <w:t xml:space="preserve">contribuent </w:t>
      </w:r>
      <w:r w:rsidRPr="007B324D">
        <w:rPr>
          <w:rFonts w:ascii="72 Light" w:hAnsi="72 Light" w:cs="72 Light"/>
          <w:sz w:val="24"/>
          <w:szCs w:val="24"/>
          <w:lang w:val="fr-CA"/>
        </w:rPr>
        <w:t>à l’écart important qui subsiste entre le niveau de vie des</w:t>
      </w:r>
      <w:r w:rsidR="00FF30CC" w:rsidRPr="007B324D">
        <w:rPr>
          <w:rFonts w:ascii="72 Light" w:hAnsi="72 Light" w:cs="72 Light"/>
          <w:sz w:val="24"/>
          <w:szCs w:val="24"/>
          <w:lang w:val="fr-CA"/>
        </w:rPr>
        <w:t xml:space="preserve"> membres des</w:t>
      </w:r>
      <w:r w:rsidRPr="007B324D">
        <w:rPr>
          <w:rFonts w:ascii="72 Light" w:hAnsi="72 Light" w:cs="72 Light"/>
          <w:sz w:val="24"/>
          <w:szCs w:val="24"/>
          <w:lang w:val="fr-CA"/>
        </w:rPr>
        <w:t xml:space="preserve"> Premières Nations et celui des Canadiens non autochtones. </w:t>
      </w:r>
    </w:p>
    <w:p w14:paraId="5CA03C8A" w14:textId="2DE17F02" w:rsidR="00BF3013" w:rsidRPr="007B324D" w:rsidRDefault="00BF3013" w:rsidP="00F62155">
      <w:pPr>
        <w:tabs>
          <w:tab w:val="left" w:pos="3544"/>
        </w:tabs>
        <w:spacing w:before="120" w:line="276" w:lineRule="auto"/>
        <w:ind w:left="0" w:firstLine="0"/>
        <w:jc w:val="both"/>
        <w:rPr>
          <w:rFonts w:ascii="72 Light" w:hAnsi="72 Light" w:cs="72 Light"/>
          <w:bCs/>
          <w:sz w:val="24"/>
          <w:szCs w:val="24"/>
          <w:lang w:val="fr-CA"/>
        </w:rPr>
      </w:pPr>
      <w:r w:rsidRPr="007B324D">
        <w:rPr>
          <w:rFonts w:ascii="72 Light" w:hAnsi="72 Light" w:cs="72 Light"/>
          <w:sz w:val="24"/>
          <w:szCs w:val="24"/>
          <w:lang w:val="fr-CA"/>
        </w:rPr>
        <w:t xml:space="preserve">La discrimination </w:t>
      </w:r>
      <w:r w:rsidR="00FF30CC" w:rsidRPr="007B324D">
        <w:rPr>
          <w:rFonts w:ascii="72 Light" w:hAnsi="72 Light" w:cs="72 Light"/>
          <w:sz w:val="24"/>
          <w:szCs w:val="24"/>
          <w:lang w:val="fr-CA"/>
        </w:rPr>
        <w:t>au sein du</w:t>
      </w:r>
      <w:r w:rsidRPr="007B324D">
        <w:rPr>
          <w:rFonts w:ascii="72 Light" w:hAnsi="72 Light" w:cs="72 Light"/>
          <w:sz w:val="24"/>
          <w:szCs w:val="24"/>
          <w:lang w:val="fr-CA"/>
        </w:rPr>
        <w:t xml:space="preserve"> système de justice pénale est également une préoccupation importante. </w:t>
      </w:r>
      <w:r w:rsidR="00FF30CC" w:rsidRPr="007B324D">
        <w:rPr>
          <w:rFonts w:ascii="72 Light" w:hAnsi="72 Light" w:cs="72 Light"/>
          <w:sz w:val="24"/>
          <w:szCs w:val="24"/>
          <w:lang w:val="fr-CA"/>
        </w:rPr>
        <w:t>Dans l</w:t>
      </w:r>
      <w:r w:rsidRPr="007B324D">
        <w:rPr>
          <w:rFonts w:ascii="72 Light" w:hAnsi="72 Light" w:cs="72 Light"/>
          <w:sz w:val="24"/>
          <w:szCs w:val="24"/>
          <w:lang w:val="fr-CA"/>
        </w:rPr>
        <w:t>a résolution</w:t>
      </w:r>
      <w:r w:rsidR="00042C3C" w:rsidRPr="007B324D">
        <w:rPr>
          <w:rFonts w:ascii="72 Light" w:hAnsi="72 Light" w:cs="72 Light"/>
          <w:sz w:val="24"/>
          <w:szCs w:val="24"/>
          <w:lang w:val="fr-CA"/>
        </w:rPr>
        <w:t> </w:t>
      </w:r>
      <w:r w:rsidRPr="007B324D">
        <w:rPr>
          <w:rFonts w:ascii="72 Light" w:hAnsi="72 Light" w:cs="72 Light"/>
          <w:sz w:val="24"/>
          <w:szCs w:val="24"/>
          <w:lang w:val="fr-CA"/>
        </w:rPr>
        <w:t xml:space="preserve">07/2022, </w:t>
      </w:r>
      <w:r w:rsidRPr="007B324D">
        <w:rPr>
          <w:rFonts w:ascii="72 Light" w:hAnsi="72 Light" w:cs="72 Light"/>
          <w:bCs/>
          <w:i/>
          <w:iCs/>
          <w:sz w:val="24"/>
          <w:szCs w:val="24"/>
          <w:lang w:val="fr-CA"/>
        </w:rPr>
        <w:t>Appel à une réforme pour lutter contre le racisme institutionnel dans le système de justice</w:t>
      </w:r>
      <w:r w:rsidRPr="007B324D">
        <w:rPr>
          <w:rFonts w:ascii="72 Light" w:hAnsi="72 Light" w:cs="72 Light"/>
          <w:sz w:val="24"/>
          <w:szCs w:val="24"/>
          <w:lang w:val="fr-CA"/>
        </w:rPr>
        <w:t xml:space="preserve">, </w:t>
      </w:r>
      <w:r w:rsidR="00FF30CC" w:rsidRPr="007B324D">
        <w:rPr>
          <w:rFonts w:ascii="72 Light" w:hAnsi="72 Light" w:cs="72 Light"/>
          <w:sz w:val="24"/>
          <w:szCs w:val="24"/>
          <w:lang w:val="fr-CA"/>
        </w:rPr>
        <w:t xml:space="preserve">il est mentionné </w:t>
      </w:r>
      <w:r w:rsidRPr="007B324D">
        <w:rPr>
          <w:rFonts w:ascii="72 Light" w:hAnsi="72 Light" w:cs="72 Light"/>
          <w:sz w:val="24"/>
          <w:szCs w:val="24"/>
          <w:lang w:val="fr-CA"/>
        </w:rPr>
        <w:t>qu</w:t>
      </w:r>
      <w:r w:rsidR="00FF30CC" w:rsidRPr="007B324D">
        <w:rPr>
          <w:rFonts w:ascii="72 Light" w:hAnsi="72 Light" w:cs="72 Light"/>
          <w:sz w:val="24"/>
          <w:szCs w:val="24"/>
          <w:lang w:val="fr-CA"/>
        </w:rPr>
        <w:t>’un très grand nombre de</w:t>
      </w:r>
      <w:r w:rsidRPr="007B324D">
        <w:rPr>
          <w:rFonts w:ascii="72 Light" w:hAnsi="72 Light" w:cs="72 Light"/>
          <w:sz w:val="24"/>
          <w:szCs w:val="24"/>
          <w:lang w:val="fr-CA"/>
        </w:rPr>
        <w:t xml:space="preserve"> rapports indépendants décrivant la nature du racisme systémique </w:t>
      </w:r>
      <w:r w:rsidR="00FF30CC" w:rsidRPr="007B324D">
        <w:rPr>
          <w:rFonts w:ascii="72 Light" w:hAnsi="72 Light" w:cs="72 Light"/>
          <w:sz w:val="24"/>
          <w:szCs w:val="24"/>
          <w:lang w:val="fr-CA"/>
        </w:rPr>
        <w:t xml:space="preserve">qui existe à tous les échelons des </w:t>
      </w:r>
      <w:r w:rsidRPr="007B324D">
        <w:rPr>
          <w:rFonts w:ascii="72 Light" w:hAnsi="72 Light" w:cs="72 Light"/>
          <w:sz w:val="24"/>
          <w:szCs w:val="24"/>
          <w:lang w:val="fr-CA"/>
        </w:rPr>
        <w:t>institutions au Canada ont montré l’u</w:t>
      </w:r>
      <w:r w:rsidR="00FF30CC" w:rsidRPr="007B324D">
        <w:rPr>
          <w:rFonts w:ascii="72 Light" w:hAnsi="72 Light" w:cs="72 Light"/>
          <w:sz w:val="24"/>
          <w:szCs w:val="24"/>
          <w:lang w:val="fr-CA"/>
        </w:rPr>
        <w:t xml:space="preserve">tilisation dévastatrice et parfois fatale d’une </w:t>
      </w:r>
      <w:r w:rsidRPr="007B324D">
        <w:rPr>
          <w:rFonts w:ascii="72 Light" w:hAnsi="72 Light" w:cs="72 Light"/>
          <w:sz w:val="24"/>
          <w:szCs w:val="24"/>
          <w:lang w:val="fr-CA"/>
        </w:rPr>
        <w:t xml:space="preserve">force exercée de </w:t>
      </w:r>
      <w:r w:rsidR="00FF30CC" w:rsidRPr="007B324D">
        <w:rPr>
          <w:rFonts w:ascii="72 Light" w:hAnsi="72 Light" w:cs="72 Light"/>
          <w:sz w:val="24"/>
          <w:szCs w:val="24"/>
          <w:lang w:val="fr-CA"/>
        </w:rPr>
        <w:t>façon</w:t>
      </w:r>
      <w:r w:rsidRPr="007B324D">
        <w:rPr>
          <w:rFonts w:ascii="72 Light" w:hAnsi="72 Light" w:cs="72 Light"/>
          <w:sz w:val="24"/>
          <w:szCs w:val="24"/>
          <w:lang w:val="fr-CA"/>
        </w:rPr>
        <w:t xml:space="preserve"> disproportionnée contre les </w:t>
      </w:r>
      <w:r w:rsidR="00FF30CC" w:rsidRPr="007B324D">
        <w:rPr>
          <w:rFonts w:ascii="72 Light" w:hAnsi="72 Light" w:cs="72 Light"/>
          <w:sz w:val="24"/>
          <w:szCs w:val="24"/>
          <w:lang w:val="fr-CA"/>
        </w:rPr>
        <w:t>citoyens</w:t>
      </w:r>
      <w:r w:rsidRPr="007B324D">
        <w:rPr>
          <w:rFonts w:ascii="72 Light" w:hAnsi="72 Light" w:cs="72 Light"/>
          <w:sz w:val="24"/>
          <w:szCs w:val="24"/>
          <w:lang w:val="fr-CA"/>
        </w:rPr>
        <w:t xml:space="preserve"> autochtones au Canada par les autorités policières coloniales, y compris la Gendarmerie </w:t>
      </w:r>
      <w:r w:rsidR="00884E33" w:rsidRPr="007B324D">
        <w:rPr>
          <w:rFonts w:ascii="72 Light" w:hAnsi="72 Light" w:cs="72 Light"/>
          <w:sz w:val="24"/>
          <w:szCs w:val="24"/>
          <w:lang w:val="fr-CA"/>
        </w:rPr>
        <w:t>r</w:t>
      </w:r>
      <w:r w:rsidRPr="007B324D">
        <w:rPr>
          <w:rFonts w:ascii="72 Light" w:hAnsi="72 Light" w:cs="72 Light"/>
          <w:sz w:val="24"/>
          <w:szCs w:val="24"/>
          <w:lang w:val="fr-CA"/>
        </w:rPr>
        <w:t>oyale du Canada (GRC).</w:t>
      </w:r>
    </w:p>
    <w:p w14:paraId="0A3F5506" w14:textId="76244975" w:rsidR="00BF3013" w:rsidRPr="007B324D" w:rsidRDefault="00BF3013" w:rsidP="00F62155">
      <w:pPr>
        <w:tabs>
          <w:tab w:val="left" w:pos="3544"/>
        </w:tabs>
        <w:spacing w:before="120" w:line="276" w:lineRule="auto"/>
        <w:ind w:left="0" w:firstLine="0"/>
        <w:jc w:val="both"/>
        <w:rPr>
          <w:rFonts w:ascii="72 Light" w:hAnsi="72 Light" w:cs="72 Light"/>
          <w:bCs/>
          <w:sz w:val="24"/>
          <w:szCs w:val="24"/>
          <w:lang w:val="fr-CA"/>
        </w:rPr>
      </w:pPr>
      <w:r w:rsidRPr="007B324D">
        <w:rPr>
          <w:rFonts w:ascii="72 Light" w:hAnsi="72 Light" w:cs="72 Light"/>
          <w:sz w:val="24"/>
          <w:szCs w:val="24"/>
          <w:lang w:val="fr-CA"/>
        </w:rPr>
        <w:t xml:space="preserve">La GRC est un outil colonial </w:t>
      </w:r>
      <w:r w:rsidR="00FF30CC" w:rsidRPr="007B324D">
        <w:rPr>
          <w:rFonts w:ascii="72 Light" w:hAnsi="72 Light" w:cs="72 Light"/>
          <w:sz w:val="24"/>
          <w:szCs w:val="24"/>
          <w:lang w:val="fr-CA"/>
        </w:rPr>
        <w:t>important</w:t>
      </w:r>
      <w:r w:rsidRPr="007B324D">
        <w:rPr>
          <w:rFonts w:ascii="72 Light" w:hAnsi="72 Light" w:cs="72 Light"/>
          <w:sz w:val="24"/>
          <w:szCs w:val="24"/>
          <w:lang w:val="fr-CA"/>
        </w:rPr>
        <w:t xml:space="preserve"> utilisé pour assimiler et déplacer les Autochtones</w:t>
      </w:r>
      <w:r w:rsidR="00FF30CC" w:rsidRPr="007B324D">
        <w:rPr>
          <w:rFonts w:ascii="72 Light" w:hAnsi="72 Light" w:cs="72 Light"/>
          <w:sz w:val="24"/>
          <w:szCs w:val="24"/>
          <w:lang w:val="fr-CA"/>
        </w:rPr>
        <w:t xml:space="preserve"> ainsi que pour</w:t>
      </w:r>
      <w:r w:rsidRPr="007B324D">
        <w:rPr>
          <w:rFonts w:ascii="72 Light" w:hAnsi="72 Light" w:cs="72 Light"/>
          <w:sz w:val="24"/>
          <w:szCs w:val="24"/>
          <w:lang w:val="fr-CA"/>
        </w:rPr>
        <w:t xml:space="preserve"> appliquer des politiques et des lois racistes et génocidaires contre les Autochtones. En 2020, de nombreux cas documentés de décès mettant en cause des agents de police et d’usage excessif de la force par des agents de police à l’encontre de personnes racisées au Canada, y compris de nombreux Autochtones, ont suscité un discours national sur la législation en matière de maintien de l’ordre et des demandes de réforme des services de police de la part des peuples autochtones.</w:t>
      </w:r>
    </w:p>
    <w:p w14:paraId="7FB561A6" w14:textId="3804E8DA" w:rsidR="002F30A6" w:rsidRPr="007B324D" w:rsidRDefault="00BF3013" w:rsidP="00145E2D">
      <w:pPr>
        <w:tabs>
          <w:tab w:val="left" w:pos="3544"/>
        </w:tabs>
        <w:spacing w:before="120" w:line="276" w:lineRule="auto"/>
        <w:ind w:left="0" w:firstLine="0"/>
        <w:jc w:val="both"/>
        <w:rPr>
          <w:rFonts w:ascii="72 Light" w:hAnsi="72 Light" w:cs="72 Light"/>
          <w:b/>
          <w:sz w:val="24"/>
          <w:szCs w:val="24"/>
          <w:lang w:val="fr-CA"/>
        </w:rPr>
      </w:pPr>
      <w:r w:rsidRPr="007B324D">
        <w:rPr>
          <w:rFonts w:ascii="72 Light" w:hAnsi="72 Light" w:cs="72 Light"/>
          <w:sz w:val="24"/>
          <w:szCs w:val="24"/>
          <w:lang w:val="fr-CA"/>
        </w:rPr>
        <w:t>Les récent</w:t>
      </w:r>
      <w:r w:rsidR="00FF30CC" w:rsidRPr="007B324D">
        <w:rPr>
          <w:rFonts w:ascii="72 Light" w:hAnsi="72 Light" w:cs="72 Light"/>
          <w:sz w:val="24"/>
          <w:szCs w:val="24"/>
          <w:lang w:val="fr-CA"/>
        </w:rPr>
        <w:t xml:space="preserve">s cas où des policiers ont abattu des membres </w:t>
      </w:r>
      <w:r w:rsidRPr="007B324D">
        <w:rPr>
          <w:rFonts w:ascii="72 Light" w:hAnsi="72 Light" w:cs="72 Light"/>
          <w:sz w:val="24"/>
          <w:szCs w:val="24"/>
          <w:lang w:val="fr-CA"/>
        </w:rPr>
        <w:t>des Premières Nations</w:t>
      </w:r>
      <w:r w:rsidR="00FF30CC" w:rsidRPr="007B324D">
        <w:rPr>
          <w:rFonts w:ascii="72 Light" w:hAnsi="72 Light" w:cs="72 Light"/>
          <w:sz w:val="24"/>
          <w:szCs w:val="24"/>
          <w:lang w:val="fr-CA"/>
        </w:rPr>
        <w:t xml:space="preserve">, </w:t>
      </w:r>
      <w:r w:rsidRPr="007B324D">
        <w:rPr>
          <w:rFonts w:ascii="72 Light" w:hAnsi="72 Light" w:cs="72 Light"/>
          <w:sz w:val="24"/>
          <w:szCs w:val="24"/>
          <w:lang w:val="fr-CA"/>
        </w:rPr>
        <w:t xml:space="preserve">comme Rodney Levi et </w:t>
      </w:r>
      <w:proofErr w:type="spellStart"/>
      <w:r w:rsidRPr="007B324D">
        <w:rPr>
          <w:rFonts w:ascii="72 Light" w:hAnsi="72 Light" w:cs="72 Light"/>
          <w:sz w:val="24"/>
          <w:szCs w:val="24"/>
          <w:lang w:val="fr-CA"/>
        </w:rPr>
        <w:t>Chantel</w:t>
      </w:r>
      <w:proofErr w:type="spellEnd"/>
      <w:r w:rsidRPr="007B324D">
        <w:rPr>
          <w:rFonts w:ascii="72 Light" w:hAnsi="72 Light" w:cs="72 Light"/>
          <w:sz w:val="24"/>
          <w:szCs w:val="24"/>
          <w:lang w:val="fr-CA"/>
        </w:rPr>
        <w:t xml:space="preserve"> Moore, l’inaction de la GRC dans le maintien de l’État de droit lors du conflit entre les Mi’kmaq et les pêcheurs de Nouvelle-Écosse ainsi que l’incapacité de la GRC à </w:t>
      </w:r>
      <w:r w:rsidRPr="007B324D">
        <w:rPr>
          <w:rFonts w:ascii="72 Light" w:hAnsi="72 Light" w:cs="72 Light"/>
          <w:sz w:val="24"/>
          <w:szCs w:val="24"/>
          <w:lang w:val="fr-CA"/>
        </w:rPr>
        <w:lastRenderedPageBreak/>
        <w:t>enquêter de manière adéquate les disparitions et les meurtres de femmes</w:t>
      </w:r>
      <w:r w:rsidR="002F30A6" w:rsidRPr="007B324D">
        <w:rPr>
          <w:rFonts w:ascii="72 Light" w:hAnsi="72 Light" w:cs="72 Light"/>
          <w:sz w:val="24"/>
          <w:szCs w:val="24"/>
          <w:lang w:val="fr-CA"/>
        </w:rPr>
        <w:t>,</w:t>
      </w:r>
      <w:r w:rsidRPr="007B324D">
        <w:rPr>
          <w:rFonts w:ascii="72 Light" w:hAnsi="72 Light" w:cs="72 Light"/>
          <w:sz w:val="24"/>
          <w:szCs w:val="24"/>
          <w:lang w:val="fr-CA"/>
        </w:rPr>
        <w:t xml:space="preserve"> de filles et de personnes</w:t>
      </w:r>
      <w:r w:rsidR="00042C3C" w:rsidRPr="007B324D">
        <w:rPr>
          <w:rFonts w:ascii="72 Light" w:hAnsi="72 Light" w:cs="72 Light"/>
          <w:sz w:val="24"/>
          <w:szCs w:val="24"/>
          <w:lang w:val="fr-CA"/>
        </w:rPr>
        <w:t> </w:t>
      </w:r>
      <w:r w:rsidRPr="007B324D">
        <w:rPr>
          <w:rFonts w:ascii="72 Light" w:hAnsi="72 Light" w:cs="72 Light"/>
          <w:sz w:val="24"/>
          <w:szCs w:val="24"/>
          <w:lang w:val="fr-CA"/>
        </w:rPr>
        <w:t xml:space="preserve">2ELGBTQQIA+ </w:t>
      </w:r>
      <w:r w:rsidR="002F30A6" w:rsidRPr="007B324D">
        <w:rPr>
          <w:rFonts w:ascii="72 Light" w:hAnsi="72 Light" w:cs="72 Light"/>
          <w:sz w:val="24"/>
          <w:szCs w:val="24"/>
          <w:lang w:val="fr-CA"/>
        </w:rPr>
        <w:t xml:space="preserve">autochtones, de même qu’à </w:t>
      </w:r>
      <w:r w:rsidRPr="007B324D">
        <w:rPr>
          <w:rFonts w:ascii="72 Light" w:hAnsi="72 Light" w:cs="72 Light"/>
          <w:sz w:val="24"/>
          <w:szCs w:val="24"/>
          <w:lang w:val="fr-CA"/>
        </w:rPr>
        <w:t>retrouver</w:t>
      </w:r>
      <w:r w:rsidR="002F30A6" w:rsidRPr="007B324D">
        <w:rPr>
          <w:rFonts w:ascii="72 Light" w:hAnsi="72 Light" w:cs="72 Light"/>
          <w:sz w:val="24"/>
          <w:szCs w:val="24"/>
          <w:lang w:val="fr-CA"/>
        </w:rPr>
        <w:t xml:space="preserve"> ces personnes disparues</w:t>
      </w:r>
      <w:r w:rsidRPr="007B324D">
        <w:rPr>
          <w:rFonts w:ascii="72 Light" w:hAnsi="72 Light" w:cs="72 Light"/>
          <w:sz w:val="24"/>
          <w:szCs w:val="24"/>
          <w:lang w:val="fr-CA"/>
        </w:rPr>
        <w:t>, ont mis en évidence un écart important dans la manière dont les Premières Nations sont traitées par les organismes chargés de l’application de la loi, par rapport aux Canadiens non autochtones.</w:t>
      </w:r>
    </w:p>
    <w:p w14:paraId="2E2D1AD9" w14:textId="2F65CC10" w:rsidR="00BF3013" w:rsidRPr="007B324D" w:rsidRDefault="00BF3013" w:rsidP="00F62155">
      <w:pPr>
        <w:tabs>
          <w:tab w:val="left" w:pos="3544"/>
        </w:tabs>
        <w:spacing w:before="120" w:line="276" w:lineRule="auto"/>
        <w:jc w:val="both"/>
        <w:rPr>
          <w:rFonts w:ascii="72 Light" w:hAnsi="72 Light" w:cs="72 Light"/>
          <w:b/>
          <w:sz w:val="24"/>
          <w:szCs w:val="24"/>
          <w:lang w:val="fr-CA"/>
        </w:rPr>
      </w:pPr>
      <w:r w:rsidRPr="007B324D">
        <w:rPr>
          <w:rFonts w:ascii="72 Light" w:hAnsi="72 Light" w:cs="72 Light"/>
          <w:b/>
          <w:sz w:val="24"/>
          <w:szCs w:val="24"/>
          <w:lang w:val="fr-CA"/>
        </w:rPr>
        <w:t xml:space="preserve">Sécurité publique et </w:t>
      </w:r>
      <w:r w:rsidR="000F460D" w:rsidRPr="007B324D">
        <w:rPr>
          <w:rFonts w:ascii="72 Light" w:hAnsi="72 Light" w:cs="72 Light"/>
          <w:b/>
          <w:sz w:val="24"/>
          <w:szCs w:val="24"/>
          <w:lang w:val="fr-CA"/>
        </w:rPr>
        <w:t>application de la loi</w:t>
      </w:r>
    </w:p>
    <w:p w14:paraId="136BCA4E" w14:textId="77777777" w:rsidR="00BF3013" w:rsidRPr="007B324D" w:rsidRDefault="00BF3013" w:rsidP="00F62155">
      <w:pPr>
        <w:tabs>
          <w:tab w:val="left" w:pos="3544"/>
        </w:tabs>
        <w:spacing w:before="120" w:line="276" w:lineRule="auto"/>
        <w:jc w:val="both"/>
        <w:rPr>
          <w:rFonts w:ascii="72 Light" w:hAnsi="72 Light" w:cs="72 Light"/>
          <w:i/>
          <w:iCs/>
          <w:sz w:val="24"/>
          <w:szCs w:val="24"/>
          <w:lang w:val="fr-CA"/>
        </w:rPr>
      </w:pPr>
      <w:r w:rsidRPr="007B324D">
        <w:rPr>
          <w:rFonts w:ascii="72 Light" w:hAnsi="72 Light" w:cs="72 Light"/>
          <w:i/>
          <w:iCs/>
          <w:sz w:val="24"/>
          <w:szCs w:val="24"/>
          <w:lang w:val="fr-CA"/>
        </w:rPr>
        <w:t>Services de police</w:t>
      </w:r>
    </w:p>
    <w:p w14:paraId="293CD327" w14:textId="5D194527"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Depuis 1992, les services de police des Premières Nations sont financés par la Politique sur la police des Premières Nations du gouvernement fédéral. </w:t>
      </w:r>
      <w:r w:rsidR="002F30A6" w:rsidRPr="007B324D">
        <w:rPr>
          <w:rFonts w:ascii="72 Light" w:hAnsi="72 Light" w:cs="72 Light"/>
          <w:sz w:val="24"/>
          <w:szCs w:val="24"/>
          <w:lang w:val="fr-CA"/>
        </w:rPr>
        <w:t xml:space="preserve">Cette politique </w:t>
      </w:r>
      <w:r w:rsidRPr="007B324D">
        <w:rPr>
          <w:rFonts w:ascii="72 Light" w:hAnsi="72 Light" w:cs="72 Light"/>
          <w:sz w:val="24"/>
          <w:szCs w:val="24"/>
          <w:lang w:val="fr-CA"/>
        </w:rPr>
        <w:t xml:space="preserve">était censée contribuer à l’amélioration de l’ordre social, de la sécurité publique et de la sécurité personnelle au sein des Premières Nations, </w:t>
      </w:r>
      <w:r w:rsidR="002F30A6" w:rsidRPr="007B324D">
        <w:rPr>
          <w:rFonts w:ascii="72 Light" w:hAnsi="72 Light" w:cs="72 Light"/>
          <w:sz w:val="24"/>
          <w:szCs w:val="24"/>
          <w:lang w:val="fr-CA"/>
        </w:rPr>
        <w:t xml:space="preserve">mais </w:t>
      </w:r>
      <w:r w:rsidRPr="007B324D">
        <w:rPr>
          <w:rFonts w:ascii="72 Light" w:hAnsi="72 Light" w:cs="72 Light"/>
          <w:sz w:val="24"/>
          <w:szCs w:val="24"/>
          <w:lang w:val="fr-CA"/>
        </w:rPr>
        <w:t>elle considère les services de police comme un programme plutôt que comme un service essentiel. En conséquence, les services de police des Premières Nations souffrent d’un sous-financement chronique</w:t>
      </w:r>
      <w:r w:rsidR="002F30A6" w:rsidRPr="007B324D">
        <w:rPr>
          <w:rFonts w:ascii="72 Light" w:hAnsi="72 Light" w:cs="72 Light"/>
          <w:sz w:val="24"/>
          <w:szCs w:val="24"/>
          <w:lang w:val="fr-CA"/>
        </w:rPr>
        <w:t xml:space="preserve">, et celui-ci </w:t>
      </w:r>
      <w:r w:rsidRPr="007B324D">
        <w:rPr>
          <w:rFonts w:ascii="72 Light" w:hAnsi="72 Light" w:cs="72 Light"/>
          <w:sz w:val="24"/>
          <w:szCs w:val="24"/>
          <w:lang w:val="fr-CA"/>
        </w:rPr>
        <w:t xml:space="preserve">est un facteur clé des inégalités qui existent dans les services de police des Premières Nations par rapport aux autres systèmes de police. </w:t>
      </w:r>
    </w:p>
    <w:p w14:paraId="1D7D3737" w14:textId="6F52459F"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En décembre 2020, le ministre de la Sécurité publique et de la Protection civile a annoncé que Sécurité publique Canada créerait une nouvelle législation sur les services de police des Premières Nations. Le gouvernement fédéral s’est engagé à travailler avec les Premières Nations pour créer un cadre fédéral </w:t>
      </w:r>
      <w:r w:rsidR="002F30A6" w:rsidRPr="007B324D">
        <w:rPr>
          <w:rFonts w:ascii="72 Light" w:hAnsi="72 Light" w:cs="72 Light"/>
          <w:sz w:val="24"/>
          <w:szCs w:val="24"/>
          <w:lang w:val="fr-CA"/>
        </w:rPr>
        <w:t>reconnaissant</w:t>
      </w:r>
      <w:r w:rsidRPr="007B324D">
        <w:rPr>
          <w:rFonts w:ascii="72 Light" w:hAnsi="72 Light" w:cs="72 Light"/>
          <w:sz w:val="24"/>
          <w:szCs w:val="24"/>
          <w:lang w:val="fr-CA"/>
        </w:rPr>
        <w:t xml:space="preserve"> les services de police des Premières Nations comme un service essentiel. Depuis </w:t>
      </w:r>
      <w:r w:rsidR="002F30A6" w:rsidRPr="007B324D">
        <w:rPr>
          <w:rFonts w:ascii="72 Light" w:hAnsi="72 Light" w:cs="72 Light"/>
          <w:sz w:val="24"/>
          <w:szCs w:val="24"/>
          <w:lang w:val="fr-CA"/>
        </w:rPr>
        <w:t xml:space="preserve">cette </w:t>
      </w:r>
      <w:r w:rsidRPr="007B324D">
        <w:rPr>
          <w:rFonts w:ascii="72 Light" w:hAnsi="72 Light" w:cs="72 Light"/>
          <w:sz w:val="24"/>
          <w:szCs w:val="24"/>
          <w:lang w:val="fr-CA"/>
        </w:rPr>
        <w:t xml:space="preserve">annonce, </w:t>
      </w:r>
      <w:r w:rsidR="008C4B3E" w:rsidRPr="007B324D">
        <w:rPr>
          <w:rFonts w:ascii="72 Light" w:hAnsi="72 Light" w:cs="72 Light"/>
          <w:sz w:val="24"/>
          <w:szCs w:val="24"/>
          <w:lang w:val="fr-CA"/>
        </w:rPr>
        <w:t>l’Assemblée</w:t>
      </w:r>
      <w:r w:rsidRPr="007B324D">
        <w:rPr>
          <w:rFonts w:ascii="72 Light" w:hAnsi="72 Light" w:cs="72 Light"/>
          <w:sz w:val="24"/>
          <w:szCs w:val="24"/>
          <w:lang w:val="fr-CA"/>
        </w:rPr>
        <w:t xml:space="preserve"> a travaillé en étroite collaboration avec les chefs de police et les dirigeants des Premières Nations afin d’élaborer des options stratégiques pour un cadre législatif. Ce cadre remplacerait l’actuelle </w:t>
      </w:r>
      <w:r w:rsidR="002F30A6" w:rsidRPr="007B324D">
        <w:rPr>
          <w:rFonts w:ascii="72 Light" w:hAnsi="72 Light" w:cs="72 Light"/>
          <w:sz w:val="24"/>
          <w:szCs w:val="24"/>
          <w:lang w:val="fr-CA"/>
        </w:rPr>
        <w:t>politique sur la police des Premières Nations</w:t>
      </w:r>
      <w:r w:rsidRPr="007B324D">
        <w:rPr>
          <w:rFonts w:ascii="72 Light" w:hAnsi="72 Light" w:cs="72 Light"/>
          <w:sz w:val="24"/>
          <w:szCs w:val="24"/>
          <w:lang w:val="fr-CA"/>
        </w:rPr>
        <w:t xml:space="preserve">, qui, au cours des 30 dernières années, a conduit à </w:t>
      </w:r>
      <w:r w:rsidR="002F30A6" w:rsidRPr="007B324D">
        <w:rPr>
          <w:rFonts w:ascii="72 Light" w:hAnsi="72 Light" w:cs="72 Light"/>
          <w:sz w:val="24"/>
          <w:szCs w:val="24"/>
          <w:lang w:val="fr-CA"/>
        </w:rPr>
        <w:t xml:space="preserve">l’application de </w:t>
      </w:r>
      <w:r w:rsidRPr="007B324D">
        <w:rPr>
          <w:rFonts w:ascii="72 Light" w:hAnsi="72 Light" w:cs="72 Light"/>
          <w:sz w:val="24"/>
          <w:szCs w:val="24"/>
          <w:lang w:val="fr-CA"/>
        </w:rPr>
        <w:t xml:space="preserve">normes et </w:t>
      </w:r>
      <w:r w:rsidR="002F30A6" w:rsidRPr="007B324D">
        <w:rPr>
          <w:rFonts w:ascii="72 Light" w:hAnsi="72 Light" w:cs="72 Light"/>
          <w:sz w:val="24"/>
          <w:szCs w:val="24"/>
          <w:lang w:val="fr-CA"/>
        </w:rPr>
        <w:t xml:space="preserve">à l’attribution de </w:t>
      </w:r>
      <w:r w:rsidRPr="007B324D">
        <w:rPr>
          <w:rFonts w:ascii="72 Light" w:hAnsi="72 Light" w:cs="72 Light"/>
          <w:sz w:val="24"/>
          <w:szCs w:val="24"/>
          <w:lang w:val="fr-CA"/>
        </w:rPr>
        <w:t xml:space="preserve">ressources inéquitables pour les services de police des Premières Nations. </w:t>
      </w:r>
    </w:p>
    <w:p w14:paraId="67BC0DB9" w14:textId="6F64623F"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De plus, le 30</w:t>
      </w:r>
      <w:r w:rsidR="00042C3C" w:rsidRPr="007B324D">
        <w:rPr>
          <w:rFonts w:ascii="72 Light" w:hAnsi="72 Light" w:cs="72 Light"/>
          <w:sz w:val="24"/>
          <w:szCs w:val="24"/>
          <w:lang w:val="fr-CA"/>
        </w:rPr>
        <w:t> </w:t>
      </w:r>
      <w:r w:rsidRPr="007B324D">
        <w:rPr>
          <w:rFonts w:ascii="72 Light" w:hAnsi="72 Light" w:cs="72 Light"/>
          <w:sz w:val="24"/>
          <w:szCs w:val="24"/>
          <w:lang w:val="fr-CA"/>
        </w:rPr>
        <w:t>juin 2023, le juge Denis Gascon a statué pour la Cour fédérale que Sécurité publique Canada devait immédiatement verser des fonds à trois services de police des Premières Nations</w:t>
      </w:r>
      <w:r w:rsidR="002F30A6" w:rsidRPr="007B324D">
        <w:rPr>
          <w:rFonts w:ascii="72 Light" w:hAnsi="72 Light" w:cs="72 Light"/>
          <w:sz w:val="24"/>
          <w:szCs w:val="24"/>
          <w:lang w:val="fr-CA"/>
        </w:rPr>
        <w:t xml:space="preserve"> (</w:t>
      </w:r>
      <w:r w:rsidRPr="007B324D">
        <w:rPr>
          <w:rFonts w:ascii="72 Light" w:hAnsi="72 Light" w:cs="72 Light"/>
          <w:sz w:val="24"/>
          <w:szCs w:val="24"/>
          <w:lang w:val="fr-CA"/>
        </w:rPr>
        <w:t>le service de police du Traité n</w:t>
      </w:r>
      <w:r w:rsidRPr="007B324D">
        <w:rPr>
          <w:rFonts w:ascii="72 Light" w:hAnsi="72 Light" w:cs="72 Light"/>
          <w:sz w:val="24"/>
          <w:szCs w:val="24"/>
          <w:vertAlign w:val="superscript"/>
          <w:lang w:val="fr-CA"/>
        </w:rPr>
        <w:t>o</w:t>
      </w:r>
      <w:r w:rsidRPr="007B324D">
        <w:rPr>
          <w:rFonts w:ascii="72 Light" w:hAnsi="72 Light" w:cs="72 Light"/>
          <w:sz w:val="24"/>
          <w:szCs w:val="24"/>
          <w:lang w:val="fr-CA"/>
        </w:rPr>
        <w:t xml:space="preserve"> 3, le service de police </w:t>
      </w:r>
      <w:r w:rsidR="00A6382B" w:rsidRPr="007B324D">
        <w:rPr>
          <w:rFonts w:ascii="72 Light" w:hAnsi="72 Light" w:cs="72 Light"/>
          <w:sz w:val="24"/>
          <w:szCs w:val="24"/>
          <w:lang w:val="fr-CA"/>
        </w:rPr>
        <w:t>Anishinaabe</w:t>
      </w:r>
      <w:r w:rsidRPr="007B324D">
        <w:rPr>
          <w:rFonts w:ascii="72 Light" w:hAnsi="72 Light" w:cs="72 Light"/>
          <w:sz w:val="24"/>
          <w:szCs w:val="24"/>
          <w:lang w:val="fr-CA"/>
        </w:rPr>
        <w:t xml:space="preserve"> d</w:t>
      </w:r>
      <w:r w:rsidR="002F30A6" w:rsidRPr="007B324D">
        <w:rPr>
          <w:rFonts w:ascii="72 Light" w:hAnsi="72 Light" w:cs="72 Light"/>
          <w:sz w:val="24"/>
          <w:szCs w:val="24"/>
          <w:lang w:val="fr-CA"/>
        </w:rPr>
        <w:t xml:space="preserve">u United Chiefs and </w:t>
      </w:r>
      <w:proofErr w:type="spellStart"/>
      <w:r w:rsidR="002F30A6" w:rsidRPr="007B324D">
        <w:rPr>
          <w:rFonts w:ascii="72 Light" w:hAnsi="72 Light" w:cs="72 Light"/>
          <w:sz w:val="24"/>
          <w:szCs w:val="24"/>
          <w:lang w:val="fr-CA"/>
        </w:rPr>
        <w:t>Councils</w:t>
      </w:r>
      <w:proofErr w:type="spellEnd"/>
      <w:r w:rsidR="002F30A6" w:rsidRPr="007B324D">
        <w:rPr>
          <w:rFonts w:ascii="72 Light" w:hAnsi="72 Light" w:cs="72 Light"/>
          <w:sz w:val="24"/>
          <w:szCs w:val="24"/>
          <w:lang w:val="fr-CA"/>
        </w:rPr>
        <w:t xml:space="preserve"> of Manitoulin </w:t>
      </w:r>
      <w:r w:rsidRPr="007B324D">
        <w:rPr>
          <w:rFonts w:ascii="72 Light" w:hAnsi="72 Light" w:cs="72 Light"/>
          <w:sz w:val="24"/>
          <w:szCs w:val="24"/>
          <w:lang w:val="fr-CA"/>
        </w:rPr>
        <w:t xml:space="preserve">et le service de police </w:t>
      </w:r>
      <w:r w:rsidR="00A6382B" w:rsidRPr="007B324D">
        <w:rPr>
          <w:rFonts w:ascii="72 Light" w:hAnsi="72 Light" w:cs="72 Light"/>
          <w:sz w:val="24"/>
          <w:szCs w:val="24"/>
          <w:lang w:val="fr-CA"/>
        </w:rPr>
        <w:t>Anishinaabek</w:t>
      </w:r>
      <w:r w:rsidR="002F30A6" w:rsidRPr="007B324D">
        <w:rPr>
          <w:rFonts w:ascii="72 Light" w:hAnsi="72 Light" w:cs="72 Light"/>
          <w:sz w:val="24"/>
          <w:szCs w:val="24"/>
          <w:lang w:val="fr-CA"/>
        </w:rPr>
        <w:t>)</w:t>
      </w:r>
      <w:r w:rsidRPr="007B324D">
        <w:rPr>
          <w:rFonts w:ascii="72 Light" w:hAnsi="72 Light" w:cs="72 Light"/>
          <w:sz w:val="24"/>
          <w:szCs w:val="24"/>
          <w:lang w:val="fr-CA"/>
        </w:rPr>
        <w:t xml:space="preserve"> pour une période de 12 mois afin que des services adéquats </w:t>
      </w:r>
      <w:r w:rsidR="002F30A6" w:rsidRPr="007B324D">
        <w:rPr>
          <w:rFonts w:ascii="72 Light" w:hAnsi="72 Light" w:cs="72 Light"/>
          <w:sz w:val="24"/>
          <w:szCs w:val="24"/>
          <w:lang w:val="fr-CA"/>
        </w:rPr>
        <w:t xml:space="preserve">puissent être </w:t>
      </w:r>
      <w:r w:rsidRPr="007B324D">
        <w:rPr>
          <w:rFonts w:ascii="72 Light" w:hAnsi="72 Light" w:cs="72 Light"/>
          <w:sz w:val="24"/>
          <w:szCs w:val="24"/>
          <w:lang w:val="fr-CA"/>
        </w:rPr>
        <w:t xml:space="preserve">fournis aux Premières Nations </w:t>
      </w:r>
      <w:r w:rsidR="002F30A6" w:rsidRPr="007B324D">
        <w:rPr>
          <w:rFonts w:ascii="72 Light" w:hAnsi="72 Light" w:cs="72 Light"/>
          <w:sz w:val="24"/>
          <w:szCs w:val="24"/>
          <w:lang w:val="fr-CA"/>
        </w:rPr>
        <w:t xml:space="preserve">sur lesquelles </w:t>
      </w:r>
      <w:r w:rsidRPr="007B324D">
        <w:rPr>
          <w:rFonts w:ascii="72 Light" w:hAnsi="72 Light" w:cs="72 Light"/>
          <w:sz w:val="24"/>
          <w:szCs w:val="24"/>
          <w:lang w:val="fr-CA"/>
        </w:rPr>
        <w:t>ces services de police</w:t>
      </w:r>
      <w:r w:rsidR="002F30A6" w:rsidRPr="007B324D">
        <w:rPr>
          <w:rFonts w:ascii="72 Light" w:hAnsi="72 Light" w:cs="72 Light"/>
          <w:sz w:val="24"/>
          <w:szCs w:val="24"/>
          <w:lang w:val="fr-CA"/>
        </w:rPr>
        <w:t xml:space="preserve"> ont compétence</w:t>
      </w:r>
      <w:r w:rsidRPr="007B324D">
        <w:rPr>
          <w:rFonts w:ascii="72 Light" w:hAnsi="72 Light" w:cs="72 Light"/>
          <w:sz w:val="24"/>
          <w:szCs w:val="24"/>
          <w:lang w:val="fr-CA"/>
        </w:rPr>
        <w:t>. Le juge Gascon statuait sur une requête déposée par l’</w:t>
      </w:r>
      <w:proofErr w:type="spellStart"/>
      <w:r w:rsidRPr="007B324D">
        <w:rPr>
          <w:rFonts w:ascii="72 Light" w:hAnsi="72 Light" w:cs="72 Light"/>
          <w:sz w:val="24"/>
          <w:szCs w:val="24"/>
          <w:lang w:val="fr-CA"/>
        </w:rPr>
        <w:t>Indigenous</w:t>
      </w:r>
      <w:proofErr w:type="spellEnd"/>
      <w:r w:rsidRPr="007B324D">
        <w:rPr>
          <w:rFonts w:ascii="72 Light" w:hAnsi="72 Light" w:cs="72 Light"/>
          <w:sz w:val="24"/>
          <w:szCs w:val="24"/>
          <w:lang w:val="fr-CA"/>
        </w:rPr>
        <w:t xml:space="preserve"> Police Chiefs of Ontario</w:t>
      </w:r>
      <w:r w:rsidR="002F30A6" w:rsidRPr="007B324D">
        <w:rPr>
          <w:rFonts w:ascii="72 Light" w:hAnsi="72 Light" w:cs="72 Light"/>
          <w:sz w:val="24"/>
          <w:szCs w:val="24"/>
          <w:lang w:val="fr-CA"/>
        </w:rPr>
        <w:t>, qui demandait</w:t>
      </w:r>
      <w:r w:rsidRPr="007B324D">
        <w:rPr>
          <w:rFonts w:ascii="72 Light" w:hAnsi="72 Light" w:cs="72 Light"/>
          <w:sz w:val="24"/>
          <w:szCs w:val="24"/>
          <w:lang w:val="fr-CA"/>
        </w:rPr>
        <w:t xml:space="preserve"> une aide d’urgence et une ordonnance exigeant que Sécurité publique Canada suspende l’application des conditions de financement discriminatoires </w:t>
      </w:r>
      <w:r w:rsidR="002F30A6" w:rsidRPr="007B324D">
        <w:rPr>
          <w:rFonts w:ascii="72 Light" w:hAnsi="72 Light" w:cs="72 Light"/>
          <w:sz w:val="24"/>
          <w:szCs w:val="24"/>
          <w:lang w:val="fr-CA"/>
        </w:rPr>
        <w:t xml:space="preserve">établies </w:t>
      </w:r>
      <w:r w:rsidRPr="007B324D">
        <w:rPr>
          <w:rFonts w:ascii="72 Light" w:hAnsi="72 Light" w:cs="72 Light"/>
          <w:sz w:val="24"/>
          <w:szCs w:val="24"/>
          <w:lang w:val="fr-CA"/>
        </w:rPr>
        <w:t xml:space="preserve">dans le cadre du Programme des services de police des Premières Nations et des Inuit. </w:t>
      </w:r>
    </w:p>
    <w:p w14:paraId="34675CC2" w14:textId="74FA9C30"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Le juge Gascon a également conclu qu’il s’agissait d’une situation exceptionnelle dans laquelle il était juste et équitable que la Cour intervienne et exerce son pouvoir discrétionnaire en faveur de l’</w:t>
      </w:r>
      <w:proofErr w:type="spellStart"/>
      <w:r w:rsidRPr="007B324D">
        <w:rPr>
          <w:rFonts w:ascii="72 Light" w:hAnsi="72 Light" w:cs="72 Light"/>
          <w:sz w:val="24"/>
          <w:szCs w:val="24"/>
          <w:lang w:val="fr-CA"/>
        </w:rPr>
        <w:t>I</w:t>
      </w:r>
      <w:r w:rsidR="002F30A6" w:rsidRPr="007B324D">
        <w:rPr>
          <w:rFonts w:ascii="72 Light" w:hAnsi="72 Light" w:cs="72 Light"/>
          <w:sz w:val="24"/>
          <w:szCs w:val="24"/>
          <w:lang w:val="fr-CA"/>
        </w:rPr>
        <w:t>ndigenous</w:t>
      </w:r>
      <w:proofErr w:type="spellEnd"/>
      <w:r w:rsidR="002F30A6" w:rsidRPr="007B324D">
        <w:rPr>
          <w:rFonts w:ascii="72 Light" w:hAnsi="72 Light" w:cs="72 Light"/>
          <w:sz w:val="24"/>
          <w:szCs w:val="24"/>
          <w:lang w:val="fr-CA"/>
        </w:rPr>
        <w:t xml:space="preserve"> Police Chiefs of Ontario</w:t>
      </w:r>
      <w:r w:rsidRPr="007B324D">
        <w:rPr>
          <w:rFonts w:ascii="72 Light" w:hAnsi="72 Light" w:cs="72 Light"/>
          <w:sz w:val="24"/>
          <w:szCs w:val="24"/>
          <w:lang w:val="fr-CA"/>
        </w:rPr>
        <w:t xml:space="preserve"> afin de prévenir le préjudice qui serait causé à la sécurité publique et à la sécurité personnelle des Autochtones résidant dans les communautés servies par les trois services de police. Le juge Gascon a déclaré que l’affaire soulève des préoccupations </w:t>
      </w:r>
      <w:r w:rsidRPr="007B324D">
        <w:rPr>
          <w:rFonts w:ascii="72 Light" w:hAnsi="72 Light" w:cs="72 Light"/>
          <w:sz w:val="24"/>
          <w:szCs w:val="24"/>
          <w:lang w:val="fr-CA"/>
        </w:rPr>
        <w:lastRenderedPageBreak/>
        <w:t>quant à la conduite de Sécurité publique Canada dans ses relations avec les trois services de police et quant au fait qu</w:t>
      </w:r>
      <w:r w:rsidR="002F30A6" w:rsidRPr="007B324D">
        <w:rPr>
          <w:rFonts w:ascii="72 Light" w:hAnsi="72 Light" w:cs="72 Light"/>
          <w:sz w:val="24"/>
          <w:szCs w:val="24"/>
          <w:lang w:val="fr-CA"/>
        </w:rPr>
        <w:t xml:space="preserve">e le </w:t>
      </w:r>
      <w:r w:rsidR="00ED29A1" w:rsidRPr="007B324D">
        <w:rPr>
          <w:rFonts w:ascii="72 Light" w:hAnsi="72 Light" w:cs="72 Light"/>
          <w:sz w:val="24"/>
          <w:szCs w:val="24"/>
          <w:lang w:val="fr-CA"/>
        </w:rPr>
        <w:t>mi</w:t>
      </w:r>
      <w:r w:rsidR="002F30A6" w:rsidRPr="007B324D">
        <w:rPr>
          <w:rFonts w:ascii="72 Light" w:hAnsi="72 Light" w:cs="72 Light"/>
          <w:sz w:val="24"/>
          <w:szCs w:val="24"/>
          <w:lang w:val="fr-CA"/>
        </w:rPr>
        <w:t>nistère</w:t>
      </w:r>
      <w:r w:rsidRPr="007B324D">
        <w:rPr>
          <w:rFonts w:ascii="72 Light" w:hAnsi="72 Light" w:cs="72 Light"/>
          <w:sz w:val="24"/>
          <w:szCs w:val="24"/>
          <w:lang w:val="fr-CA"/>
        </w:rPr>
        <w:t xml:space="preserve"> n’a pas été guidé par les principes primordiaux de réconciliation et d’honneur de la Couronne. Ces principes exigent </w:t>
      </w:r>
      <w:r w:rsidR="002F30A6" w:rsidRPr="007B324D">
        <w:rPr>
          <w:rFonts w:ascii="72 Light" w:hAnsi="72 Light" w:cs="72 Light"/>
          <w:sz w:val="24"/>
          <w:szCs w:val="24"/>
          <w:lang w:val="fr-CA"/>
        </w:rPr>
        <w:t xml:space="preserve">que </w:t>
      </w:r>
      <w:r w:rsidRPr="007B324D">
        <w:rPr>
          <w:rFonts w:ascii="72 Light" w:hAnsi="72 Light" w:cs="72 Light"/>
          <w:sz w:val="24"/>
          <w:szCs w:val="24"/>
          <w:lang w:val="fr-CA"/>
        </w:rPr>
        <w:t xml:space="preserve">Sécurité publique Canada </w:t>
      </w:r>
      <w:r w:rsidR="002F30A6" w:rsidRPr="007B324D">
        <w:rPr>
          <w:rFonts w:ascii="72 Light" w:hAnsi="72 Light" w:cs="72 Light"/>
          <w:sz w:val="24"/>
          <w:szCs w:val="24"/>
          <w:lang w:val="fr-CA"/>
        </w:rPr>
        <w:t xml:space="preserve">fasse preuve d’une plus grande diligence et accorde davantage d’attention dans le cadre des </w:t>
      </w:r>
      <w:r w:rsidRPr="007B324D">
        <w:rPr>
          <w:rFonts w:ascii="72 Light" w:hAnsi="72 Light" w:cs="72 Light"/>
          <w:sz w:val="24"/>
          <w:szCs w:val="24"/>
          <w:lang w:val="fr-CA"/>
        </w:rPr>
        <w:t xml:space="preserve">accords de financement avec les trois services de police. </w:t>
      </w:r>
      <w:r w:rsidR="002F30A6" w:rsidRPr="007B324D">
        <w:rPr>
          <w:rFonts w:ascii="72 Light" w:hAnsi="72 Light" w:cs="72 Light"/>
          <w:sz w:val="24"/>
          <w:szCs w:val="24"/>
          <w:lang w:val="fr-CA"/>
        </w:rPr>
        <w:t xml:space="preserve">Le </w:t>
      </w:r>
      <w:r w:rsidR="00143A3F" w:rsidRPr="007B324D">
        <w:rPr>
          <w:rFonts w:ascii="72 Light" w:hAnsi="72 Light" w:cs="72 Light"/>
          <w:sz w:val="24"/>
          <w:szCs w:val="24"/>
          <w:lang w:val="fr-CA"/>
        </w:rPr>
        <w:t>m</w:t>
      </w:r>
      <w:r w:rsidR="002F30A6" w:rsidRPr="007B324D">
        <w:rPr>
          <w:rFonts w:ascii="72 Light" w:hAnsi="72 Light" w:cs="72 Light"/>
          <w:sz w:val="24"/>
          <w:szCs w:val="24"/>
          <w:lang w:val="fr-CA"/>
        </w:rPr>
        <w:t>inistère</w:t>
      </w:r>
      <w:r w:rsidRPr="007B324D">
        <w:rPr>
          <w:rFonts w:ascii="72 Light" w:hAnsi="72 Light" w:cs="72 Light"/>
          <w:sz w:val="24"/>
          <w:szCs w:val="24"/>
          <w:lang w:val="fr-CA"/>
        </w:rPr>
        <w:t xml:space="preserve"> n’a pas respecté son devoir d’agir honorablement et dans un esprit de réconciliation en insistant sur l’impossibilité de négocier les modalités et les interdictions qu</w:t>
      </w:r>
      <w:r w:rsidR="002F30A6" w:rsidRPr="007B324D">
        <w:rPr>
          <w:rFonts w:ascii="72 Light" w:hAnsi="72 Light" w:cs="72 Light"/>
          <w:sz w:val="24"/>
          <w:szCs w:val="24"/>
          <w:lang w:val="fr-CA"/>
        </w:rPr>
        <w:t>e contiennent ces accords</w:t>
      </w:r>
      <w:r w:rsidRPr="007B324D">
        <w:rPr>
          <w:rFonts w:ascii="72 Light" w:hAnsi="72 Light" w:cs="72 Light"/>
          <w:sz w:val="24"/>
          <w:szCs w:val="24"/>
          <w:lang w:val="fr-CA"/>
        </w:rPr>
        <w:t xml:space="preserve">. </w:t>
      </w:r>
    </w:p>
    <w:p w14:paraId="465E5BEA" w14:textId="0488FBC9"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Le Canada doit s’engager à mettre entièrement en œuvre</w:t>
      </w:r>
      <w:r w:rsidR="002F30A6" w:rsidRPr="007B324D">
        <w:rPr>
          <w:rFonts w:ascii="72 Light" w:hAnsi="72 Light" w:cs="72 Light"/>
          <w:sz w:val="24"/>
          <w:szCs w:val="24"/>
          <w:lang w:val="fr-CA"/>
        </w:rPr>
        <w:t>,</w:t>
      </w:r>
      <w:r w:rsidRPr="007B324D">
        <w:rPr>
          <w:rFonts w:ascii="72 Light" w:hAnsi="72 Light" w:cs="72 Light"/>
          <w:sz w:val="24"/>
          <w:szCs w:val="24"/>
          <w:lang w:val="fr-CA"/>
        </w:rPr>
        <w:t xml:space="preserve"> pour les services de police des Premières Nations</w:t>
      </w:r>
      <w:r w:rsidR="002F30A6" w:rsidRPr="007B324D">
        <w:rPr>
          <w:rFonts w:ascii="72 Light" w:hAnsi="72 Light" w:cs="72 Light"/>
          <w:sz w:val="24"/>
          <w:szCs w:val="24"/>
          <w:lang w:val="fr-CA"/>
        </w:rPr>
        <w:t>, un cadre législatif garantissant</w:t>
      </w:r>
      <w:r w:rsidRPr="007B324D">
        <w:rPr>
          <w:rFonts w:ascii="72 Light" w:hAnsi="72 Light" w:cs="72 Light"/>
          <w:sz w:val="24"/>
          <w:szCs w:val="24"/>
          <w:lang w:val="fr-CA"/>
        </w:rPr>
        <w:t xml:space="preserve"> le financement et les ressources nécessaires aux services de police des Premières Nations et </w:t>
      </w:r>
      <w:r w:rsidR="002F30A6" w:rsidRPr="007B324D">
        <w:rPr>
          <w:rFonts w:ascii="72 Light" w:hAnsi="72 Light" w:cs="72 Light"/>
          <w:sz w:val="24"/>
          <w:szCs w:val="24"/>
          <w:lang w:val="fr-CA"/>
        </w:rPr>
        <w:t>soutenant</w:t>
      </w:r>
      <w:r w:rsidRPr="007B324D">
        <w:rPr>
          <w:rFonts w:ascii="72 Light" w:hAnsi="72 Light" w:cs="72 Light"/>
          <w:sz w:val="24"/>
          <w:szCs w:val="24"/>
          <w:lang w:val="fr-CA"/>
        </w:rPr>
        <w:t xml:space="preserve"> des modèles communautaires non coloniaux, comme l’exige chaque communauté souhaitant participer à ce cadre. </w:t>
      </w:r>
    </w:p>
    <w:p w14:paraId="2CF8F50E" w14:textId="5B74F07A" w:rsidR="00BF3013" w:rsidRPr="007B324D" w:rsidRDefault="00BF3013" w:rsidP="00F62155">
      <w:pPr>
        <w:tabs>
          <w:tab w:val="left" w:pos="3544"/>
        </w:tabs>
        <w:spacing w:before="120" w:line="276" w:lineRule="auto"/>
        <w:ind w:left="0" w:firstLine="0"/>
        <w:jc w:val="both"/>
        <w:rPr>
          <w:rFonts w:ascii="72 Light" w:hAnsi="72 Light" w:cs="72 Light"/>
          <w:i/>
          <w:iCs/>
          <w:sz w:val="24"/>
          <w:szCs w:val="24"/>
          <w:lang w:val="fr-CA"/>
        </w:rPr>
      </w:pPr>
      <w:r w:rsidRPr="007B324D">
        <w:rPr>
          <w:rFonts w:ascii="72 Light" w:hAnsi="72 Light" w:cs="72 Light"/>
          <w:i/>
          <w:iCs/>
          <w:sz w:val="24"/>
          <w:szCs w:val="24"/>
          <w:lang w:val="fr-CA"/>
        </w:rPr>
        <w:t xml:space="preserve">Surreprésentation des Autochtones </w:t>
      </w:r>
      <w:r w:rsidR="002F30A6" w:rsidRPr="007B324D">
        <w:rPr>
          <w:rFonts w:ascii="72 Light" w:hAnsi="72 Light" w:cs="72 Light"/>
          <w:i/>
          <w:iCs/>
          <w:sz w:val="24"/>
          <w:szCs w:val="24"/>
          <w:lang w:val="fr-CA"/>
        </w:rPr>
        <w:t>au sein du</w:t>
      </w:r>
      <w:r w:rsidRPr="007B324D">
        <w:rPr>
          <w:rFonts w:ascii="72 Light" w:hAnsi="72 Light" w:cs="72 Light"/>
          <w:i/>
          <w:iCs/>
          <w:sz w:val="24"/>
          <w:szCs w:val="24"/>
          <w:lang w:val="fr-CA"/>
        </w:rPr>
        <w:t xml:space="preserve"> système de justice pénale</w:t>
      </w:r>
    </w:p>
    <w:p w14:paraId="65DDD3C7" w14:textId="6D4ABB96"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Les </w:t>
      </w:r>
      <w:r w:rsidR="002F30A6" w:rsidRPr="007B324D">
        <w:rPr>
          <w:rFonts w:ascii="72 Light" w:hAnsi="72 Light" w:cs="72 Light"/>
          <w:sz w:val="24"/>
          <w:szCs w:val="24"/>
          <w:lang w:val="fr-CA"/>
        </w:rPr>
        <w:t>membres</w:t>
      </w:r>
      <w:r w:rsidRPr="007B324D">
        <w:rPr>
          <w:rFonts w:ascii="72 Light" w:hAnsi="72 Light" w:cs="72 Light"/>
          <w:sz w:val="24"/>
          <w:szCs w:val="24"/>
          <w:lang w:val="fr-CA"/>
        </w:rPr>
        <w:t xml:space="preserve"> des Premières Nations du Canada continuent d’être </w:t>
      </w:r>
      <w:r w:rsidR="002F30A6" w:rsidRPr="007B324D">
        <w:rPr>
          <w:rFonts w:ascii="72 Light" w:hAnsi="72 Light" w:cs="72 Light"/>
          <w:sz w:val="24"/>
          <w:szCs w:val="24"/>
          <w:lang w:val="fr-CA"/>
        </w:rPr>
        <w:t>touchés</w:t>
      </w:r>
      <w:r w:rsidRPr="007B324D">
        <w:rPr>
          <w:rFonts w:ascii="72 Light" w:hAnsi="72 Light" w:cs="72 Light"/>
          <w:sz w:val="24"/>
          <w:szCs w:val="24"/>
          <w:lang w:val="fr-CA"/>
        </w:rPr>
        <w:t xml:space="preserve"> par les attitudes coloniales, le racisme systémique et la discrimination</w:t>
      </w:r>
      <w:r w:rsidR="002F30A6" w:rsidRPr="007B324D">
        <w:rPr>
          <w:rFonts w:ascii="72 Light" w:hAnsi="72 Light" w:cs="72 Light"/>
          <w:sz w:val="24"/>
          <w:szCs w:val="24"/>
          <w:lang w:val="fr-CA"/>
        </w:rPr>
        <w:t>,</w:t>
      </w:r>
      <w:r w:rsidRPr="007B324D">
        <w:rPr>
          <w:rFonts w:ascii="72 Light" w:hAnsi="72 Light" w:cs="72 Light"/>
          <w:sz w:val="24"/>
          <w:szCs w:val="24"/>
          <w:lang w:val="fr-CA"/>
        </w:rPr>
        <w:t xml:space="preserve"> omniprésents </w:t>
      </w:r>
      <w:r w:rsidR="002F30A6" w:rsidRPr="007B324D">
        <w:rPr>
          <w:rFonts w:ascii="72 Light" w:hAnsi="72 Light" w:cs="72 Light"/>
          <w:sz w:val="24"/>
          <w:szCs w:val="24"/>
          <w:lang w:val="fr-CA"/>
        </w:rPr>
        <w:t>au sein du</w:t>
      </w:r>
      <w:r w:rsidRPr="007B324D">
        <w:rPr>
          <w:rFonts w:ascii="72 Light" w:hAnsi="72 Light" w:cs="72 Light"/>
          <w:sz w:val="24"/>
          <w:szCs w:val="24"/>
          <w:lang w:val="fr-CA"/>
        </w:rPr>
        <w:t xml:space="preserve"> système de justice pénale canadien. Il en résulte une forte surreprésentation des Autochtones </w:t>
      </w:r>
      <w:r w:rsidR="002F30A6" w:rsidRPr="007B324D">
        <w:rPr>
          <w:rFonts w:ascii="72 Light" w:hAnsi="72 Light" w:cs="72 Light"/>
          <w:sz w:val="24"/>
          <w:szCs w:val="24"/>
          <w:lang w:val="fr-CA"/>
        </w:rPr>
        <w:t>dans c</w:t>
      </w:r>
      <w:r w:rsidRPr="007B324D">
        <w:rPr>
          <w:rFonts w:ascii="72 Light" w:hAnsi="72 Light" w:cs="72 Light"/>
          <w:sz w:val="24"/>
          <w:szCs w:val="24"/>
          <w:lang w:val="fr-CA"/>
        </w:rPr>
        <w:t>e système</w:t>
      </w:r>
      <w:r w:rsidR="002F30A6" w:rsidRPr="007B324D">
        <w:rPr>
          <w:rFonts w:ascii="72 Light" w:hAnsi="72 Light" w:cs="72 Light"/>
          <w:sz w:val="24"/>
          <w:szCs w:val="24"/>
          <w:lang w:val="fr-CA"/>
        </w:rPr>
        <w:t>; ainsi</w:t>
      </w:r>
      <w:r w:rsidRPr="007B324D">
        <w:rPr>
          <w:rFonts w:ascii="72 Light" w:hAnsi="72 Light" w:cs="72 Light"/>
          <w:sz w:val="24"/>
          <w:szCs w:val="24"/>
          <w:lang w:val="fr-CA"/>
        </w:rPr>
        <w:t>, en 2016</w:t>
      </w:r>
      <w:r w:rsidR="002F30A6" w:rsidRPr="007B324D">
        <w:rPr>
          <w:rFonts w:ascii="72 Light" w:hAnsi="72 Light" w:cs="72 Light"/>
          <w:sz w:val="24"/>
          <w:szCs w:val="24"/>
          <w:lang w:val="fr-CA"/>
        </w:rPr>
        <w:noBreakHyphen/>
      </w:r>
      <w:r w:rsidRPr="007B324D">
        <w:rPr>
          <w:rFonts w:ascii="72 Light" w:hAnsi="72 Light" w:cs="72 Light"/>
          <w:sz w:val="24"/>
          <w:szCs w:val="24"/>
          <w:lang w:val="fr-CA"/>
        </w:rPr>
        <w:t>2017, les adultes autochtones représentaient près d’un tiers des admissions en détention et des populations en détention au Canada, alors qu’ils ne représent</w:t>
      </w:r>
      <w:r w:rsidR="002F30A6" w:rsidRPr="007B324D">
        <w:rPr>
          <w:rFonts w:ascii="72 Light" w:hAnsi="72 Light" w:cs="72 Light"/>
          <w:sz w:val="24"/>
          <w:szCs w:val="24"/>
          <w:lang w:val="fr-CA"/>
        </w:rPr>
        <w:t>ai</w:t>
      </w:r>
      <w:r w:rsidRPr="007B324D">
        <w:rPr>
          <w:rFonts w:ascii="72 Light" w:hAnsi="72 Light" w:cs="72 Light"/>
          <w:sz w:val="24"/>
          <w:szCs w:val="24"/>
          <w:lang w:val="fr-CA"/>
        </w:rPr>
        <w:t xml:space="preserve">ent que 4,1 % de la population adulte canadienne. </w:t>
      </w:r>
    </w:p>
    <w:p w14:paraId="0A127441" w14:textId="32C2ED8D" w:rsidR="00BF3013" w:rsidRPr="007B324D" w:rsidRDefault="008C4B3E"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L’A</w:t>
      </w:r>
      <w:r w:rsidR="00F44B12" w:rsidRPr="007B324D">
        <w:rPr>
          <w:rFonts w:ascii="72 Light" w:hAnsi="72 Light" w:cs="72 Light"/>
          <w:sz w:val="24"/>
          <w:szCs w:val="24"/>
          <w:lang w:val="fr-CA"/>
        </w:rPr>
        <w:t>ssemblée</w:t>
      </w:r>
      <w:r w:rsidR="00BF3013" w:rsidRPr="007B324D">
        <w:rPr>
          <w:rFonts w:ascii="72 Light" w:hAnsi="72 Light" w:cs="72 Light"/>
          <w:sz w:val="24"/>
          <w:szCs w:val="24"/>
          <w:lang w:val="fr-CA"/>
        </w:rPr>
        <w:t xml:space="preserve"> plaide depuis longtemps en faveur d’une modification du système de justice pénale et d’une reconnaissance et d’un soutien accrus des Premières Nations pour qu</w:t>
      </w:r>
      <w:r w:rsidR="002F30A6" w:rsidRPr="007B324D">
        <w:rPr>
          <w:rFonts w:ascii="72 Light" w:hAnsi="72 Light" w:cs="72 Light"/>
          <w:sz w:val="24"/>
          <w:szCs w:val="24"/>
          <w:lang w:val="fr-CA"/>
        </w:rPr>
        <w:t>e celles-ci</w:t>
      </w:r>
      <w:r w:rsidR="00BF3013" w:rsidRPr="007B324D">
        <w:rPr>
          <w:rFonts w:ascii="72 Light" w:hAnsi="72 Light" w:cs="72 Light"/>
          <w:sz w:val="24"/>
          <w:szCs w:val="24"/>
          <w:lang w:val="fr-CA"/>
        </w:rPr>
        <w:t xml:space="preserve"> se réapproprient leurs traditions juridiques et leurs systèmes judiciaires. Traditionnellement, la justice réparatrice englobe des programmes qui sont utilisés pour remédier à la surreprésentation</w:t>
      </w:r>
      <w:r w:rsidR="002F30A6" w:rsidRPr="007B324D">
        <w:rPr>
          <w:rFonts w:ascii="72 Light" w:hAnsi="72 Light" w:cs="72 Light"/>
          <w:sz w:val="24"/>
          <w:szCs w:val="24"/>
          <w:lang w:val="fr-CA"/>
        </w:rPr>
        <w:t>, mais</w:t>
      </w:r>
      <w:r w:rsidR="00BF3013" w:rsidRPr="007B324D">
        <w:rPr>
          <w:rFonts w:ascii="72 Light" w:hAnsi="72 Light" w:cs="72 Light"/>
          <w:sz w:val="24"/>
          <w:szCs w:val="24"/>
          <w:lang w:val="fr-CA"/>
        </w:rPr>
        <w:t xml:space="preserve"> de manière fragmentaire</w:t>
      </w:r>
      <w:r w:rsidR="002F30A6" w:rsidRPr="007B324D">
        <w:rPr>
          <w:rFonts w:ascii="72 Light" w:hAnsi="72 Light" w:cs="72 Light"/>
          <w:sz w:val="24"/>
          <w:szCs w:val="24"/>
          <w:lang w:val="fr-CA"/>
        </w:rPr>
        <w:t>. Elle n’entre</w:t>
      </w:r>
      <w:r w:rsidR="00BF3013" w:rsidRPr="007B324D">
        <w:rPr>
          <w:rFonts w:ascii="72 Light" w:hAnsi="72 Light" w:cs="72 Light"/>
          <w:sz w:val="24"/>
          <w:szCs w:val="24"/>
          <w:lang w:val="fr-CA"/>
        </w:rPr>
        <w:t xml:space="preserve"> souvent en jeu qu’</w:t>
      </w:r>
      <w:r w:rsidR="002F30A6" w:rsidRPr="007B324D">
        <w:rPr>
          <w:rFonts w:ascii="72 Light" w:hAnsi="72 Light" w:cs="72 Light"/>
          <w:sz w:val="24"/>
          <w:szCs w:val="24"/>
          <w:lang w:val="fr-CA"/>
        </w:rPr>
        <w:t>après la prise en charge d’un membre</w:t>
      </w:r>
      <w:r w:rsidR="00BF3013" w:rsidRPr="007B324D">
        <w:rPr>
          <w:rFonts w:ascii="72 Light" w:hAnsi="72 Light" w:cs="72 Light"/>
          <w:sz w:val="24"/>
          <w:szCs w:val="24"/>
          <w:lang w:val="fr-CA"/>
        </w:rPr>
        <w:t xml:space="preserve"> des Premières Nations </w:t>
      </w:r>
      <w:r w:rsidR="002F30A6" w:rsidRPr="007B324D">
        <w:rPr>
          <w:rFonts w:ascii="72 Light" w:hAnsi="72 Light" w:cs="72 Light"/>
          <w:sz w:val="24"/>
          <w:szCs w:val="24"/>
          <w:lang w:val="fr-CA"/>
        </w:rPr>
        <w:t xml:space="preserve">par </w:t>
      </w:r>
      <w:r w:rsidR="00BF3013" w:rsidRPr="007B324D">
        <w:rPr>
          <w:rFonts w:ascii="72 Light" w:hAnsi="72 Light" w:cs="72 Light"/>
          <w:sz w:val="24"/>
          <w:szCs w:val="24"/>
          <w:lang w:val="fr-CA"/>
        </w:rPr>
        <w:t xml:space="preserve">le système de justice pénale. En détournant la conversation des notions traditionnelles de justice réparatrice, </w:t>
      </w:r>
      <w:r w:rsidRPr="007B324D">
        <w:rPr>
          <w:rFonts w:ascii="72 Light" w:hAnsi="72 Light" w:cs="72 Light"/>
          <w:sz w:val="24"/>
          <w:szCs w:val="24"/>
          <w:lang w:val="fr-CA"/>
        </w:rPr>
        <w:t>l’Assemblée</w:t>
      </w:r>
      <w:r w:rsidR="00BF3013" w:rsidRPr="007B324D">
        <w:rPr>
          <w:rFonts w:ascii="72 Light" w:hAnsi="72 Light" w:cs="72 Light"/>
          <w:sz w:val="24"/>
          <w:szCs w:val="24"/>
          <w:lang w:val="fr-CA"/>
        </w:rPr>
        <w:t xml:space="preserve"> cherche à se concentrer sur la réappropriation des traditions juridiques et des lois des Premières Nations comme moyen global de remédier à la surreprésentation. </w:t>
      </w:r>
    </w:p>
    <w:p w14:paraId="5B88C03E" w14:textId="77777777" w:rsidR="00BF3013" w:rsidRPr="007B324D" w:rsidRDefault="00BF3013" w:rsidP="00F62155">
      <w:pPr>
        <w:tabs>
          <w:tab w:val="left" w:pos="3544"/>
        </w:tabs>
        <w:spacing w:before="120" w:line="276" w:lineRule="auto"/>
        <w:ind w:left="0" w:firstLine="0"/>
        <w:jc w:val="both"/>
        <w:rPr>
          <w:rFonts w:ascii="72 Light" w:hAnsi="72 Light" w:cs="72 Light"/>
          <w:b/>
          <w:bCs/>
          <w:sz w:val="24"/>
          <w:szCs w:val="24"/>
          <w:lang w:val="fr-CA"/>
        </w:rPr>
      </w:pPr>
      <w:r w:rsidRPr="007B324D">
        <w:rPr>
          <w:rFonts w:ascii="72 Light" w:hAnsi="72 Light" w:cs="72 Light"/>
          <w:b/>
          <w:bCs/>
          <w:sz w:val="24"/>
          <w:szCs w:val="24"/>
          <w:lang w:val="fr-CA"/>
        </w:rPr>
        <w:t xml:space="preserve">Changements climatiques </w:t>
      </w:r>
    </w:p>
    <w:p w14:paraId="2843E4E4" w14:textId="45FCD1DE"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Le Canada a pris des mesures pour inclure les droits, les systèmes de </w:t>
      </w:r>
      <w:r w:rsidR="00903F86" w:rsidRPr="007B324D">
        <w:rPr>
          <w:rFonts w:ascii="72 Light" w:hAnsi="72 Light" w:cs="72 Light"/>
          <w:sz w:val="24"/>
          <w:szCs w:val="24"/>
          <w:lang w:val="fr-CA"/>
        </w:rPr>
        <w:t>savoir</w:t>
      </w:r>
      <w:r w:rsidRPr="007B324D">
        <w:rPr>
          <w:rFonts w:ascii="72 Light" w:hAnsi="72 Light" w:cs="72 Light"/>
          <w:sz w:val="24"/>
          <w:szCs w:val="24"/>
          <w:lang w:val="fr-CA"/>
        </w:rPr>
        <w:t xml:space="preserve"> et les perspectives des Premières Nations dans la politique et les programmes fédéraux de lutte contre les changements climatiques, notamment les travaux en cours au sein du Comité mixte sur l’action climatique et l’engagement pris dans le cadre du programme de leadership des Premières Nations sur le climat. Malgré ces mesures, les Premières Nations </w:t>
      </w:r>
      <w:r w:rsidR="00903F86" w:rsidRPr="007B324D">
        <w:rPr>
          <w:rFonts w:ascii="72 Light" w:hAnsi="72 Light" w:cs="72 Light"/>
          <w:sz w:val="24"/>
          <w:szCs w:val="24"/>
          <w:lang w:val="fr-CA"/>
        </w:rPr>
        <w:t xml:space="preserve">demeurent </w:t>
      </w:r>
      <w:r w:rsidRPr="007B324D">
        <w:rPr>
          <w:rFonts w:ascii="72 Light" w:hAnsi="72 Light" w:cs="72 Light"/>
          <w:sz w:val="24"/>
          <w:szCs w:val="24"/>
          <w:lang w:val="fr-CA"/>
        </w:rPr>
        <w:t xml:space="preserve">touchées de manière disproportionnée par les changements climatiques et peinent à recevoir le financement stable, adéquat et à long terme nécessaire à l’élaboration de solutions climatiques pour les Premières Nations, ainsi qu’à la réduction des répercussions les plus importantes de la crise climatique. </w:t>
      </w:r>
    </w:p>
    <w:p w14:paraId="4FB0C004" w14:textId="2188B1F1"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lastRenderedPageBreak/>
        <w:t>En outre, l’absence d</w:t>
      </w:r>
      <w:r w:rsidR="00903F86" w:rsidRPr="007B324D">
        <w:rPr>
          <w:rFonts w:ascii="72 Light" w:hAnsi="72 Light" w:cs="72 Light"/>
          <w:sz w:val="24"/>
          <w:szCs w:val="24"/>
          <w:lang w:val="fr-CA"/>
        </w:rPr>
        <w:t>’une</w:t>
      </w:r>
      <w:r w:rsidRPr="007B324D">
        <w:rPr>
          <w:rFonts w:ascii="72 Light" w:hAnsi="72 Light" w:cs="72 Light"/>
          <w:sz w:val="24"/>
          <w:szCs w:val="24"/>
          <w:lang w:val="fr-CA"/>
        </w:rPr>
        <w:t xml:space="preserve"> reconnaissance </w:t>
      </w:r>
      <w:r w:rsidR="00903F86" w:rsidRPr="007B324D">
        <w:rPr>
          <w:rFonts w:ascii="72 Light" w:hAnsi="72 Light" w:cs="72 Light"/>
          <w:sz w:val="24"/>
          <w:szCs w:val="24"/>
          <w:lang w:val="fr-CA"/>
        </w:rPr>
        <w:t>véritable</w:t>
      </w:r>
      <w:r w:rsidRPr="007B324D">
        <w:rPr>
          <w:rFonts w:ascii="72 Light" w:hAnsi="72 Light" w:cs="72 Light"/>
          <w:sz w:val="24"/>
          <w:szCs w:val="24"/>
          <w:lang w:val="fr-CA"/>
        </w:rPr>
        <w:t xml:space="preserve"> de la compétence et de l’autorité des Premières Nations dans la politique et les programmes climatiques fédéraux limite la capacité du gouvernement fédéral à progresser à la fois dans la décarbonisation et </w:t>
      </w:r>
      <w:r w:rsidR="00903F86" w:rsidRPr="007B324D">
        <w:rPr>
          <w:rFonts w:ascii="72 Light" w:hAnsi="72 Light" w:cs="72 Light"/>
          <w:sz w:val="24"/>
          <w:szCs w:val="24"/>
          <w:lang w:val="fr-CA"/>
        </w:rPr>
        <w:t xml:space="preserve">dans </w:t>
      </w:r>
      <w:r w:rsidRPr="007B324D">
        <w:rPr>
          <w:rFonts w:ascii="72 Light" w:hAnsi="72 Light" w:cs="72 Light"/>
          <w:sz w:val="24"/>
          <w:szCs w:val="24"/>
          <w:lang w:val="fr-CA"/>
        </w:rPr>
        <w:t xml:space="preserve">la décolonisation. À la lumière de ces insuffisances, les Premières Nations ont adopté une position résolue : l’inclusion complète des Premières Nations dans tous les processus décisionnels liés aux changements climatiques, à la transition énergétique et à la décarbonisation est essentielle </w:t>
      </w:r>
      <w:r w:rsidR="00903F86" w:rsidRPr="007B324D">
        <w:rPr>
          <w:rFonts w:ascii="72 Light" w:hAnsi="72 Light" w:cs="72 Light"/>
          <w:sz w:val="24"/>
          <w:szCs w:val="24"/>
          <w:lang w:val="fr-CA"/>
        </w:rPr>
        <w:t xml:space="preserve">si nous voulons surmonter </w:t>
      </w:r>
      <w:r w:rsidRPr="007B324D">
        <w:rPr>
          <w:rFonts w:ascii="72 Light" w:hAnsi="72 Light" w:cs="72 Light"/>
          <w:sz w:val="24"/>
          <w:szCs w:val="24"/>
          <w:lang w:val="fr-CA"/>
        </w:rPr>
        <w:t xml:space="preserve">la crise qui </w:t>
      </w:r>
      <w:r w:rsidR="00903F86" w:rsidRPr="007B324D">
        <w:rPr>
          <w:rFonts w:ascii="72 Light" w:hAnsi="72 Light" w:cs="72 Light"/>
          <w:sz w:val="24"/>
          <w:szCs w:val="24"/>
          <w:lang w:val="fr-CA"/>
        </w:rPr>
        <w:t>touche</w:t>
      </w:r>
      <w:r w:rsidRPr="007B324D">
        <w:rPr>
          <w:rFonts w:ascii="72 Light" w:hAnsi="72 Light" w:cs="72 Light"/>
          <w:sz w:val="24"/>
          <w:szCs w:val="24"/>
          <w:lang w:val="fr-CA"/>
        </w:rPr>
        <w:t xml:space="preserve"> notre </w:t>
      </w:r>
      <w:r w:rsidR="00903F86" w:rsidRPr="007B324D">
        <w:rPr>
          <w:rFonts w:ascii="72 Light" w:hAnsi="72 Light" w:cs="72 Light"/>
          <w:sz w:val="24"/>
          <w:szCs w:val="24"/>
          <w:lang w:val="fr-CA"/>
        </w:rPr>
        <w:t xml:space="preserve">Terre </w:t>
      </w:r>
      <w:r w:rsidRPr="007B324D">
        <w:rPr>
          <w:rFonts w:ascii="72 Light" w:hAnsi="72 Light" w:cs="72 Light"/>
          <w:sz w:val="24"/>
          <w:szCs w:val="24"/>
          <w:lang w:val="fr-CA"/>
        </w:rPr>
        <w:t xml:space="preserve">mère. La déclaration </w:t>
      </w:r>
      <w:r w:rsidR="00903F86" w:rsidRPr="007B324D">
        <w:rPr>
          <w:rFonts w:ascii="72 Light" w:hAnsi="72 Light" w:cs="72 Light"/>
          <w:sz w:val="24"/>
          <w:szCs w:val="24"/>
          <w:lang w:val="fr-CA"/>
        </w:rPr>
        <w:t xml:space="preserve">d’une </w:t>
      </w:r>
      <w:r w:rsidRPr="007B324D">
        <w:rPr>
          <w:rFonts w:ascii="72 Light" w:hAnsi="72 Light" w:cs="72 Light"/>
          <w:sz w:val="24"/>
          <w:szCs w:val="24"/>
          <w:lang w:val="fr-CA"/>
        </w:rPr>
        <w:t xml:space="preserve">urgence climatique </w:t>
      </w:r>
      <w:r w:rsidR="00903F86" w:rsidRPr="007B324D">
        <w:rPr>
          <w:rFonts w:ascii="72 Light" w:hAnsi="72 Light" w:cs="72 Light"/>
          <w:sz w:val="24"/>
          <w:szCs w:val="24"/>
          <w:lang w:val="fr-CA"/>
        </w:rPr>
        <w:t>pour les</w:t>
      </w:r>
      <w:r w:rsidRPr="007B324D">
        <w:rPr>
          <w:rFonts w:ascii="72 Light" w:hAnsi="72 Light" w:cs="72 Light"/>
          <w:sz w:val="24"/>
          <w:szCs w:val="24"/>
          <w:lang w:val="fr-CA"/>
        </w:rPr>
        <w:t xml:space="preserve"> Premières Nations </w:t>
      </w:r>
      <w:r w:rsidR="00903F86" w:rsidRPr="007B324D">
        <w:rPr>
          <w:rFonts w:ascii="72 Light" w:hAnsi="72 Light" w:cs="72 Light"/>
          <w:sz w:val="24"/>
          <w:szCs w:val="24"/>
          <w:lang w:val="fr-CA"/>
        </w:rPr>
        <w:t>par</w:t>
      </w:r>
      <w:r w:rsidRPr="007B324D">
        <w:rPr>
          <w:rFonts w:ascii="72 Light" w:hAnsi="72 Light" w:cs="72 Light"/>
          <w:sz w:val="24"/>
          <w:szCs w:val="24"/>
          <w:lang w:val="fr-CA"/>
        </w:rPr>
        <w:t xml:space="preserve"> l’Assemblée des Premières Nations (résolution</w:t>
      </w:r>
      <w:r w:rsidR="00042C3C" w:rsidRPr="007B324D">
        <w:rPr>
          <w:rFonts w:ascii="72 Light" w:hAnsi="72 Light" w:cs="72 Light"/>
          <w:sz w:val="24"/>
          <w:szCs w:val="24"/>
          <w:lang w:val="fr-CA"/>
        </w:rPr>
        <w:t> </w:t>
      </w:r>
      <w:r w:rsidRPr="007B324D">
        <w:rPr>
          <w:rFonts w:ascii="72 Light" w:hAnsi="72 Light" w:cs="72 Light"/>
          <w:sz w:val="24"/>
          <w:szCs w:val="24"/>
          <w:lang w:val="fr-CA"/>
        </w:rPr>
        <w:t>05/2019) et l’adoption récente d</w:t>
      </w:r>
      <w:r w:rsidR="00903F86" w:rsidRPr="007B324D">
        <w:rPr>
          <w:rFonts w:ascii="72 Light" w:hAnsi="72 Light" w:cs="72 Light"/>
          <w:sz w:val="24"/>
          <w:szCs w:val="24"/>
          <w:lang w:val="fr-CA"/>
        </w:rPr>
        <w:t xml:space="preserve">’une </w:t>
      </w:r>
      <w:r w:rsidRPr="007B324D">
        <w:rPr>
          <w:rFonts w:ascii="72 Light" w:hAnsi="72 Light" w:cs="72 Light"/>
          <w:sz w:val="24"/>
          <w:szCs w:val="24"/>
          <w:lang w:val="fr-CA"/>
        </w:rPr>
        <w:t xml:space="preserve">stratégie nationale sur le climat </w:t>
      </w:r>
      <w:r w:rsidR="00903F86" w:rsidRPr="007B324D">
        <w:rPr>
          <w:rFonts w:ascii="72 Light" w:hAnsi="72 Light" w:cs="72 Light"/>
          <w:sz w:val="24"/>
          <w:szCs w:val="24"/>
          <w:lang w:val="fr-CA"/>
        </w:rPr>
        <w:t>par</w:t>
      </w:r>
      <w:r w:rsidRPr="007B324D">
        <w:rPr>
          <w:rFonts w:ascii="72 Light" w:hAnsi="72 Light" w:cs="72 Light"/>
          <w:sz w:val="24"/>
          <w:szCs w:val="24"/>
          <w:lang w:val="fr-CA"/>
        </w:rPr>
        <w:t xml:space="preserve"> l’Assemblée des Premières Nations (résolution 36/2023) en témoignent, soulignant le rôle unique que jouent les Premières Nations dans la résolution des crises croisées causées par les changements climatiques. </w:t>
      </w:r>
    </w:p>
    <w:p w14:paraId="4AC33457" w14:textId="3AA416C8" w:rsidR="00BF3013" w:rsidRPr="007B324D" w:rsidRDefault="00BF3013" w:rsidP="00F62155">
      <w:pPr>
        <w:tabs>
          <w:tab w:val="left" w:pos="3544"/>
        </w:tabs>
        <w:spacing w:before="120" w:line="276" w:lineRule="auto"/>
        <w:ind w:left="0" w:firstLine="0"/>
        <w:jc w:val="both"/>
        <w:rPr>
          <w:rFonts w:ascii="72 Light" w:eastAsia="Calibri" w:hAnsi="72 Light" w:cs="72 Light"/>
          <w:sz w:val="24"/>
          <w:szCs w:val="24"/>
          <w:lang w:val="fr-CA"/>
        </w:rPr>
      </w:pPr>
      <w:r w:rsidRPr="007B324D">
        <w:rPr>
          <w:rFonts w:ascii="72 Light" w:hAnsi="72 Light" w:cs="72 Light"/>
          <w:sz w:val="24"/>
          <w:szCs w:val="24"/>
          <w:lang w:val="fr-CA"/>
        </w:rPr>
        <w:t>Dans le cadre d</w:t>
      </w:r>
      <w:r w:rsidR="00903F86" w:rsidRPr="007B324D">
        <w:rPr>
          <w:rFonts w:ascii="72 Light" w:hAnsi="72 Light" w:cs="72 Light"/>
          <w:sz w:val="24"/>
          <w:szCs w:val="24"/>
          <w:lang w:val="fr-CA"/>
        </w:rPr>
        <w:t>u</w:t>
      </w:r>
      <w:r w:rsidRPr="007B324D">
        <w:rPr>
          <w:rFonts w:ascii="72 Light" w:hAnsi="72 Light" w:cs="72 Light"/>
          <w:sz w:val="24"/>
          <w:szCs w:val="24"/>
          <w:lang w:val="fr-CA"/>
        </w:rPr>
        <w:t xml:space="preserve"> système de </w:t>
      </w:r>
      <w:r w:rsidR="00903F86" w:rsidRPr="007B324D">
        <w:rPr>
          <w:rFonts w:ascii="72 Light" w:hAnsi="72 Light" w:cs="72 Light"/>
          <w:sz w:val="24"/>
          <w:szCs w:val="24"/>
          <w:lang w:val="fr-CA"/>
        </w:rPr>
        <w:t>savoir des Premières Nations</w:t>
      </w:r>
      <w:r w:rsidRPr="007B324D">
        <w:rPr>
          <w:rFonts w:ascii="72 Light" w:hAnsi="72 Light" w:cs="72 Light"/>
          <w:sz w:val="24"/>
          <w:szCs w:val="24"/>
          <w:lang w:val="fr-CA"/>
        </w:rPr>
        <w:t xml:space="preserve">, l’action climatique est une reconnaissance de nos lois spirituelles, de nos pratiques, de nos expériences et de nos relations avec la Terre et l’Eau. Les engagements du Canada en matière de réduction des gaz à effet de serre, conformément aux recommandations du Groupe d’experts intergouvernemental sur l’évolution du climat, doivent faire une place à ces systèmes de </w:t>
      </w:r>
      <w:r w:rsidR="00903F86" w:rsidRPr="007B324D">
        <w:rPr>
          <w:rFonts w:ascii="72 Light" w:hAnsi="72 Light" w:cs="72 Light"/>
          <w:sz w:val="24"/>
          <w:szCs w:val="24"/>
          <w:lang w:val="fr-CA"/>
        </w:rPr>
        <w:t>savoir</w:t>
      </w:r>
      <w:r w:rsidRPr="007B324D">
        <w:rPr>
          <w:rFonts w:ascii="72 Light" w:hAnsi="72 Light" w:cs="72 Light"/>
          <w:sz w:val="24"/>
          <w:szCs w:val="24"/>
          <w:lang w:val="fr-CA"/>
        </w:rPr>
        <w:t>, favoriser un partenariat complet et efficace avec les Premières Nations</w:t>
      </w:r>
      <w:r w:rsidR="00903F86" w:rsidRPr="007B324D">
        <w:rPr>
          <w:rFonts w:ascii="72 Light" w:hAnsi="72 Light" w:cs="72 Light"/>
          <w:sz w:val="24"/>
          <w:szCs w:val="24"/>
          <w:lang w:val="fr-CA"/>
        </w:rPr>
        <w:t>,</w:t>
      </w:r>
      <w:r w:rsidRPr="007B324D">
        <w:rPr>
          <w:rFonts w:ascii="72 Light" w:hAnsi="72 Light" w:cs="72 Light"/>
          <w:sz w:val="24"/>
          <w:szCs w:val="24"/>
          <w:lang w:val="fr-CA"/>
        </w:rPr>
        <w:t xml:space="preserve"> et garantir un soutien significatif aux solutions mises en œuvre par les Premières Nations. </w:t>
      </w:r>
    </w:p>
    <w:p w14:paraId="3DBBD41C" w14:textId="0B71AF34"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Compte tenu de cette réalité, il est regrettable que les recommandations sur les changements climatiques soient placées dans la section </w:t>
      </w:r>
      <w:r w:rsidRPr="007B324D">
        <w:rPr>
          <w:rFonts w:ascii="72 Light" w:hAnsi="72 Light" w:cs="72 Light"/>
          <w:i/>
          <w:iCs/>
          <w:sz w:val="24"/>
          <w:szCs w:val="24"/>
          <w:lang w:val="fr-CA"/>
        </w:rPr>
        <w:t>Autres recommandations</w:t>
      </w:r>
      <w:r w:rsidRPr="007B324D">
        <w:rPr>
          <w:rFonts w:ascii="72 Light" w:hAnsi="72 Light" w:cs="72 Light"/>
          <w:sz w:val="24"/>
          <w:szCs w:val="24"/>
          <w:lang w:val="fr-CA"/>
        </w:rPr>
        <w:t xml:space="preserve">. Dans le cadre de l’optique des changements climatiques </w:t>
      </w:r>
      <w:r w:rsidR="00903F86" w:rsidRPr="007B324D">
        <w:rPr>
          <w:rFonts w:ascii="72 Light" w:hAnsi="72 Light" w:cs="72 Light"/>
          <w:sz w:val="24"/>
          <w:szCs w:val="24"/>
          <w:lang w:val="fr-CA"/>
        </w:rPr>
        <w:t>adoptée par les</w:t>
      </w:r>
      <w:r w:rsidRPr="007B324D">
        <w:rPr>
          <w:rFonts w:ascii="72 Light" w:hAnsi="72 Light" w:cs="72 Light"/>
          <w:sz w:val="24"/>
          <w:szCs w:val="24"/>
          <w:lang w:val="fr-CA"/>
        </w:rPr>
        <w:t xml:space="preserve"> Premières Nations, </w:t>
      </w:r>
      <w:r w:rsidR="00903F86" w:rsidRPr="007B324D">
        <w:rPr>
          <w:rFonts w:ascii="72 Light" w:hAnsi="72 Light" w:cs="72 Light"/>
          <w:sz w:val="24"/>
          <w:szCs w:val="24"/>
          <w:lang w:val="fr-CA"/>
        </w:rPr>
        <w:t>ces dernières</w:t>
      </w:r>
      <w:r w:rsidRPr="007B324D">
        <w:rPr>
          <w:rFonts w:ascii="72 Light" w:hAnsi="72 Light" w:cs="72 Light"/>
          <w:sz w:val="24"/>
          <w:szCs w:val="24"/>
          <w:lang w:val="fr-CA"/>
        </w:rPr>
        <w:t xml:space="preserve"> ont </w:t>
      </w:r>
      <w:r w:rsidR="00903F86" w:rsidRPr="007B324D">
        <w:rPr>
          <w:rFonts w:ascii="72 Light" w:hAnsi="72 Light" w:cs="72 Light"/>
          <w:sz w:val="24"/>
          <w:szCs w:val="24"/>
          <w:lang w:val="fr-CA"/>
        </w:rPr>
        <w:t>élaboré</w:t>
      </w:r>
      <w:r w:rsidRPr="007B324D">
        <w:rPr>
          <w:rFonts w:ascii="72 Light" w:hAnsi="72 Light" w:cs="72 Light"/>
          <w:sz w:val="24"/>
          <w:szCs w:val="24"/>
          <w:lang w:val="fr-CA"/>
        </w:rPr>
        <w:t xml:space="preserve"> une approche multidimensionnelle, interconnectée et interdépendante </w:t>
      </w:r>
      <w:r w:rsidR="00903F86" w:rsidRPr="007B324D">
        <w:rPr>
          <w:rFonts w:ascii="72 Light" w:hAnsi="72 Light" w:cs="72 Light"/>
          <w:sz w:val="24"/>
          <w:szCs w:val="24"/>
          <w:lang w:val="fr-CA"/>
        </w:rPr>
        <w:t>liée aux</w:t>
      </w:r>
      <w:r w:rsidRPr="007B324D">
        <w:rPr>
          <w:rFonts w:ascii="72 Light" w:hAnsi="72 Light" w:cs="72 Light"/>
          <w:sz w:val="24"/>
          <w:szCs w:val="24"/>
          <w:lang w:val="fr-CA"/>
        </w:rPr>
        <w:t xml:space="preserve"> changements climatiques, qui reconnaît les causes profondes de la crise climatique. Cette approche nécessite de modifier la place </w:t>
      </w:r>
      <w:r w:rsidR="00903F86" w:rsidRPr="007B324D">
        <w:rPr>
          <w:rFonts w:ascii="72 Light" w:hAnsi="72 Light" w:cs="72 Light"/>
          <w:sz w:val="24"/>
          <w:szCs w:val="24"/>
          <w:lang w:val="fr-CA"/>
        </w:rPr>
        <w:t xml:space="preserve">qu’occupent les </w:t>
      </w:r>
      <w:r w:rsidRPr="007B324D">
        <w:rPr>
          <w:rFonts w:ascii="72 Light" w:hAnsi="72 Light" w:cs="72 Light"/>
          <w:sz w:val="24"/>
          <w:szCs w:val="24"/>
          <w:lang w:val="fr-CA"/>
        </w:rPr>
        <w:t>changements climatiques dans l’ensemble de l’</w:t>
      </w:r>
      <w:r w:rsidR="00903F86" w:rsidRPr="007B324D">
        <w:rPr>
          <w:rFonts w:ascii="72 Light" w:hAnsi="72 Light" w:cs="72 Light"/>
          <w:sz w:val="24"/>
          <w:szCs w:val="24"/>
          <w:lang w:val="fr-CA"/>
        </w:rPr>
        <w:t>EPU</w:t>
      </w:r>
      <w:r w:rsidRPr="007B324D">
        <w:rPr>
          <w:rFonts w:ascii="72 Light" w:hAnsi="72 Light" w:cs="72 Light"/>
          <w:sz w:val="24"/>
          <w:szCs w:val="24"/>
          <w:lang w:val="fr-CA"/>
        </w:rPr>
        <w:t xml:space="preserve">. </w:t>
      </w:r>
    </w:p>
    <w:p w14:paraId="69C4FC3A" w14:textId="15F3FAEA"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Enfin, </w:t>
      </w:r>
      <w:r w:rsidR="008C4B3E" w:rsidRPr="007B324D">
        <w:rPr>
          <w:rStyle w:val="ui-provider"/>
          <w:rFonts w:ascii="72 Light" w:hAnsi="72 Light" w:cs="72 Light"/>
          <w:sz w:val="24"/>
          <w:szCs w:val="24"/>
          <w:lang w:val="fr-CA"/>
        </w:rPr>
        <w:t>l’Assemblée</w:t>
      </w:r>
      <w:r w:rsidRPr="007B324D">
        <w:rPr>
          <w:rStyle w:val="ui-provider"/>
          <w:rFonts w:ascii="72 Light" w:hAnsi="72 Light" w:cs="72 Light"/>
          <w:sz w:val="24"/>
          <w:szCs w:val="24"/>
          <w:lang w:val="fr-CA"/>
        </w:rPr>
        <w:t xml:space="preserve"> a élaboré un exposé de position sur l’utilisation et l’application appropriées du terme «</w:t>
      </w:r>
      <w:r w:rsidR="00042C3C" w:rsidRPr="007B324D">
        <w:rPr>
          <w:rStyle w:val="ui-provider"/>
          <w:rFonts w:ascii="Arial" w:hAnsi="Arial" w:cs="Arial"/>
          <w:sz w:val="24"/>
          <w:szCs w:val="24"/>
          <w:lang w:val="fr-CA"/>
        </w:rPr>
        <w:t> </w:t>
      </w:r>
      <w:r w:rsidRPr="007B324D">
        <w:rPr>
          <w:rStyle w:val="ui-provider"/>
          <w:rFonts w:ascii="72 Light" w:hAnsi="72 Light" w:cs="72 Light"/>
          <w:sz w:val="24"/>
          <w:szCs w:val="24"/>
          <w:lang w:val="fr-CA"/>
        </w:rPr>
        <w:t>élaboration conjointe</w:t>
      </w:r>
      <w:r w:rsidR="00042C3C" w:rsidRPr="007B324D">
        <w:rPr>
          <w:rStyle w:val="ui-provider"/>
          <w:rFonts w:ascii="Arial" w:hAnsi="Arial" w:cs="Arial"/>
          <w:sz w:val="24"/>
          <w:szCs w:val="24"/>
          <w:lang w:val="fr-CA"/>
        </w:rPr>
        <w:t> </w:t>
      </w:r>
      <w:r w:rsidRPr="007B324D">
        <w:rPr>
          <w:rStyle w:val="ui-provider"/>
          <w:rFonts w:ascii="72 Light" w:hAnsi="72 Light" w:cs="72 Light"/>
          <w:sz w:val="24"/>
          <w:szCs w:val="24"/>
          <w:lang w:val="fr-CA"/>
        </w:rPr>
        <w:t xml:space="preserve">». </w:t>
      </w:r>
      <w:r w:rsidR="008C4B3E" w:rsidRPr="007B324D">
        <w:rPr>
          <w:rStyle w:val="ui-provider"/>
          <w:rFonts w:ascii="72 Light" w:hAnsi="72 Light" w:cs="72 Light"/>
          <w:sz w:val="24"/>
          <w:szCs w:val="24"/>
          <w:lang w:val="fr-CA"/>
        </w:rPr>
        <w:t>L’A</w:t>
      </w:r>
      <w:r w:rsidR="00092678" w:rsidRPr="007B324D">
        <w:rPr>
          <w:rStyle w:val="ui-provider"/>
          <w:rFonts w:ascii="72 Light" w:hAnsi="72 Light" w:cs="72 Light"/>
          <w:sz w:val="24"/>
          <w:szCs w:val="24"/>
          <w:lang w:val="fr-CA"/>
        </w:rPr>
        <w:t>ssemblée</w:t>
      </w:r>
      <w:r w:rsidRPr="007B324D">
        <w:rPr>
          <w:rStyle w:val="ui-provider"/>
          <w:rFonts w:ascii="72 Light" w:hAnsi="72 Light" w:cs="72 Light"/>
          <w:sz w:val="24"/>
          <w:szCs w:val="24"/>
          <w:lang w:val="fr-CA"/>
        </w:rPr>
        <w:t xml:space="preserve"> a réitéré la suggestion des Premières Nations ayant participé à la première réunion nationale sur le leadership climatique des Premières Nations de supprimer ce terme de la formulation du processus du programme de leadership climatique autochtone.</w:t>
      </w:r>
    </w:p>
    <w:p w14:paraId="27002319" w14:textId="03C95D89" w:rsidR="00BF3013" w:rsidRPr="007B324D" w:rsidRDefault="00BF3013" w:rsidP="00145E2D">
      <w:pPr>
        <w:tabs>
          <w:tab w:val="left" w:pos="3544"/>
        </w:tabs>
        <w:spacing w:before="120" w:line="276" w:lineRule="auto"/>
        <w:ind w:left="0" w:firstLine="0"/>
        <w:jc w:val="both"/>
        <w:rPr>
          <w:rFonts w:ascii="72 Light" w:hAnsi="72 Light" w:cs="72 Light"/>
          <w:b/>
          <w:bCs/>
          <w:sz w:val="24"/>
          <w:szCs w:val="24"/>
          <w:lang w:val="fr-CA"/>
        </w:rPr>
      </w:pPr>
      <w:r w:rsidRPr="007B324D">
        <w:rPr>
          <w:rFonts w:ascii="72 Light" w:hAnsi="72 Light" w:cs="72 Light"/>
          <w:b/>
          <w:bCs/>
          <w:sz w:val="24"/>
          <w:szCs w:val="24"/>
          <w:lang w:val="fr-CA"/>
        </w:rPr>
        <w:t xml:space="preserve">Lacunes dans le rapport du Canada : </w:t>
      </w:r>
      <w:r w:rsidRPr="007B324D">
        <w:rPr>
          <w:rFonts w:ascii="72 Light" w:hAnsi="72 Light" w:cs="72 Light"/>
          <w:sz w:val="24"/>
          <w:szCs w:val="24"/>
          <w:lang w:val="fr-CA"/>
        </w:rPr>
        <w:t>Les sujets suivants n’ont pas été mentionnés dans l</w:t>
      </w:r>
      <w:r w:rsidR="00A55F69" w:rsidRPr="007B324D">
        <w:rPr>
          <w:rFonts w:ascii="72 Light" w:hAnsi="72 Light" w:cs="72 Light"/>
          <w:sz w:val="24"/>
          <w:szCs w:val="24"/>
          <w:lang w:val="fr-CA"/>
        </w:rPr>
        <w:t>e rapport sur l</w:t>
      </w:r>
      <w:r w:rsidRPr="007B324D">
        <w:rPr>
          <w:rFonts w:ascii="72 Light" w:hAnsi="72 Light" w:cs="72 Light"/>
          <w:sz w:val="24"/>
          <w:szCs w:val="24"/>
          <w:lang w:val="fr-CA"/>
        </w:rPr>
        <w:t>’EPU du Canada</w:t>
      </w:r>
      <w:r w:rsidRPr="007B324D">
        <w:rPr>
          <w:rFonts w:ascii="72 Light" w:hAnsi="72 Light" w:cs="72 Light"/>
          <w:b/>
          <w:bCs/>
          <w:sz w:val="24"/>
          <w:szCs w:val="24"/>
          <w:lang w:val="fr-CA"/>
        </w:rPr>
        <w:t xml:space="preserve"> </w:t>
      </w:r>
    </w:p>
    <w:p w14:paraId="4B4F2E21" w14:textId="77777777" w:rsidR="00BF3013" w:rsidRPr="007B324D" w:rsidRDefault="00BF3013" w:rsidP="00F62155">
      <w:pPr>
        <w:pStyle w:val="paragraph"/>
        <w:tabs>
          <w:tab w:val="left" w:pos="3544"/>
        </w:tabs>
        <w:spacing w:before="120" w:beforeAutospacing="0" w:after="120" w:afterAutospacing="0" w:line="276" w:lineRule="auto"/>
        <w:jc w:val="both"/>
        <w:textAlignment w:val="baseline"/>
        <w:rPr>
          <w:rStyle w:val="eop"/>
          <w:rFonts w:ascii="72 Light" w:hAnsi="72 Light" w:cs="72 Light"/>
          <w:i/>
          <w:iCs/>
          <w:lang w:val="fr-CA"/>
        </w:rPr>
      </w:pPr>
      <w:r w:rsidRPr="007B324D">
        <w:rPr>
          <w:rStyle w:val="eop"/>
          <w:rFonts w:ascii="72 Light" w:hAnsi="72 Light" w:cs="72 Light"/>
          <w:i/>
          <w:iCs/>
          <w:lang w:val="fr-CA"/>
        </w:rPr>
        <w:t xml:space="preserve">Restitution et réparation : Tribunal des revendications particulières </w:t>
      </w:r>
    </w:p>
    <w:p w14:paraId="37A97CBC" w14:textId="4BED9A14" w:rsidR="00BF3013" w:rsidRPr="007B324D" w:rsidRDefault="00BF3013" w:rsidP="00F62155">
      <w:pPr>
        <w:pStyle w:val="paragraph"/>
        <w:tabs>
          <w:tab w:val="left" w:pos="3544"/>
        </w:tabs>
        <w:spacing w:before="120" w:beforeAutospacing="0" w:after="120" w:afterAutospacing="0" w:line="276" w:lineRule="auto"/>
        <w:jc w:val="both"/>
        <w:textAlignment w:val="baseline"/>
        <w:rPr>
          <w:rStyle w:val="eop"/>
          <w:rFonts w:ascii="72 Light" w:hAnsi="72 Light" w:cs="72 Light"/>
          <w:lang w:val="fr-CA"/>
        </w:rPr>
      </w:pPr>
      <w:r w:rsidRPr="007B324D">
        <w:rPr>
          <w:rStyle w:val="eop"/>
          <w:rFonts w:ascii="72 Light" w:hAnsi="72 Light" w:cs="72 Light"/>
          <w:lang w:val="fr-CA"/>
        </w:rPr>
        <w:t xml:space="preserve">En novembre 2022, le gouvernement du Canada et </w:t>
      </w:r>
      <w:r w:rsidR="008C4B3E" w:rsidRPr="007B324D">
        <w:rPr>
          <w:rStyle w:val="eop"/>
          <w:rFonts w:ascii="72 Light" w:hAnsi="72 Light" w:cs="72 Light"/>
          <w:lang w:val="fr-CA"/>
        </w:rPr>
        <w:t>l’Assemblée</w:t>
      </w:r>
      <w:r w:rsidRPr="007B324D">
        <w:rPr>
          <w:rStyle w:val="eop"/>
          <w:rFonts w:ascii="72 Light" w:hAnsi="72 Light" w:cs="72 Light"/>
          <w:lang w:val="fr-CA"/>
        </w:rPr>
        <w:t xml:space="preserve"> ont lancé le processus d’élaboration conjointe des revendications particulières afin de créer un processus de revendications particulières totalement indépendant. </w:t>
      </w:r>
      <w:r w:rsidR="00A55F69" w:rsidRPr="007B324D">
        <w:rPr>
          <w:rStyle w:val="eop"/>
          <w:rFonts w:ascii="72 Light" w:hAnsi="72 Light" w:cs="72 Light"/>
          <w:lang w:val="fr-CA"/>
        </w:rPr>
        <w:t>L</w:t>
      </w:r>
      <w:r w:rsidRPr="007B324D">
        <w:rPr>
          <w:rStyle w:val="eop"/>
          <w:rFonts w:ascii="72 Light" w:hAnsi="72 Light" w:cs="72 Light"/>
          <w:lang w:val="fr-CA"/>
        </w:rPr>
        <w:t xml:space="preserve">a politique </w:t>
      </w:r>
      <w:r w:rsidR="00A55F69" w:rsidRPr="007B324D">
        <w:rPr>
          <w:rStyle w:val="eop"/>
          <w:rFonts w:ascii="72 Light" w:hAnsi="72 Light" w:cs="72 Light"/>
          <w:lang w:val="fr-CA"/>
        </w:rPr>
        <w:t xml:space="preserve">actuelle </w:t>
      </w:r>
      <w:r w:rsidRPr="007B324D">
        <w:rPr>
          <w:rStyle w:val="eop"/>
          <w:rFonts w:ascii="72 Light" w:hAnsi="72 Light" w:cs="72 Light"/>
          <w:lang w:val="fr-CA"/>
        </w:rPr>
        <w:t xml:space="preserve">du Canada en matière de revendications particulières ne répond pas aux normes minimales de réparation et de restitution garanties par la Déclaration des Nations Unies. Les revendications particulières sont </w:t>
      </w:r>
      <w:r w:rsidRPr="007B324D">
        <w:rPr>
          <w:rStyle w:val="eop"/>
          <w:rFonts w:ascii="72 Light" w:hAnsi="72 Light" w:cs="72 Light"/>
          <w:lang w:val="fr-CA"/>
        </w:rPr>
        <w:lastRenderedPageBreak/>
        <w:t xml:space="preserve">une forme de réparation, strictement sous forme d’indemnisation jusqu’à un maximum légal de 150 millions de dollars, </w:t>
      </w:r>
      <w:r w:rsidR="00A55F69" w:rsidRPr="007B324D">
        <w:rPr>
          <w:rStyle w:val="eop"/>
          <w:rFonts w:ascii="72 Light" w:hAnsi="72 Light" w:cs="72 Light"/>
          <w:lang w:val="fr-CA"/>
        </w:rPr>
        <w:t>visant à</w:t>
      </w:r>
      <w:r w:rsidRPr="007B324D">
        <w:rPr>
          <w:rStyle w:val="eop"/>
          <w:rFonts w:ascii="72 Light" w:hAnsi="72 Light" w:cs="72 Light"/>
          <w:lang w:val="fr-CA"/>
        </w:rPr>
        <w:t xml:space="preserve"> remédier aux violations par le gouvernement du Canada de ses obligations fiduciaires envers les Premières Nations</w:t>
      </w:r>
      <w:r w:rsidR="00A55F69" w:rsidRPr="007B324D">
        <w:rPr>
          <w:rStyle w:val="eop"/>
          <w:rFonts w:ascii="72 Light" w:hAnsi="72 Light" w:cs="72 Light"/>
          <w:lang w:val="fr-CA"/>
        </w:rPr>
        <w:t xml:space="preserve"> (</w:t>
      </w:r>
      <w:r w:rsidRPr="007B324D">
        <w:rPr>
          <w:rStyle w:val="eop"/>
          <w:rFonts w:ascii="72 Light" w:hAnsi="72 Light" w:cs="72 Light"/>
          <w:lang w:val="fr-CA"/>
        </w:rPr>
        <w:t>gestion négligente des terres, mauvaise gestion des biens et non-respect des conditions des traités et autres accords</w:t>
      </w:r>
      <w:r w:rsidR="00A55F69" w:rsidRPr="007B324D">
        <w:rPr>
          <w:rStyle w:val="eop"/>
          <w:rFonts w:ascii="72 Light" w:hAnsi="72 Light" w:cs="72 Light"/>
          <w:lang w:val="fr-CA"/>
        </w:rPr>
        <w:t>)</w:t>
      </w:r>
      <w:r w:rsidRPr="007B324D">
        <w:rPr>
          <w:rStyle w:val="eop"/>
          <w:rFonts w:ascii="72 Light" w:hAnsi="72 Light" w:cs="72 Light"/>
          <w:lang w:val="fr-CA"/>
        </w:rPr>
        <w:t xml:space="preserve">. </w:t>
      </w:r>
      <w:r w:rsidR="00A55F69" w:rsidRPr="007B324D">
        <w:rPr>
          <w:rStyle w:val="eop"/>
          <w:rFonts w:ascii="72 Light" w:hAnsi="72 Light" w:cs="72 Light"/>
          <w:lang w:val="fr-CA"/>
        </w:rPr>
        <w:t>En ce moment</w:t>
      </w:r>
      <w:r w:rsidRPr="007B324D">
        <w:rPr>
          <w:rStyle w:val="eop"/>
          <w:rFonts w:ascii="72 Light" w:hAnsi="72 Light" w:cs="72 Light"/>
          <w:lang w:val="fr-CA"/>
        </w:rPr>
        <w:t>, les accords de règlement des revendications particulières conclus entre les Premières Nations et la Couronne ne prévoient généralement qu’une réparation sous forme d’argent, mais rarement sous forme de terres, ce qui les rend inefficaces en tant qu’outil</w:t>
      </w:r>
      <w:r w:rsidR="00A55F69" w:rsidRPr="007B324D">
        <w:rPr>
          <w:rStyle w:val="eop"/>
          <w:rFonts w:ascii="72 Light" w:hAnsi="72 Light" w:cs="72 Light"/>
          <w:lang w:val="fr-CA"/>
        </w:rPr>
        <w:t>s</w:t>
      </w:r>
      <w:r w:rsidRPr="007B324D">
        <w:rPr>
          <w:rStyle w:val="eop"/>
          <w:rFonts w:ascii="72 Light" w:hAnsi="72 Light" w:cs="72 Light"/>
          <w:lang w:val="fr-CA"/>
        </w:rPr>
        <w:t xml:space="preserve"> de restitution. La politique sur les revendications particulières est loin de respecter les normes minimales en matière de réparation et de restitution énoncées dans la Déclaration des Nations Unies.</w:t>
      </w:r>
    </w:p>
    <w:p w14:paraId="7C22FC7A" w14:textId="753CDE82" w:rsidR="00BF3013" w:rsidRPr="007B324D" w:rsidRDefault="00BF3013" w:rsidP="00F62155">
      <w:pPr>
        <w:tabs>
          <w:tab w:val="left" w:pos="3544"/>
        </w:tabs>
        <w:spacing w:before="120" w:line="276" w:lineRule="auto"/>
        <w:ind w:left="0" w:firstLine="0"/>
        <w:jc w:val="both"/>
        <w:rPr>
          <w:rStyle w:val="eop"/>
          <w:rFonts w:ascii="72 Light" w:hAnsi="72 Light" w:cs="72 Light"/>
          <w:i/>
          <w:iCs/>
          <w:sz w:val="24"/>
          <w:szCs w:val="24"/>
          <w:lang w:val="fr-CA"/>
        </w:rPr>
      </w:pPr>
      <w:r w:rsidRPr="007B324D">
        <w:rPr>
          <w:rStyle w:val="eop"/>
          <w:rFonts w:ascii="72 Light" w:hAnsi="72 Light" w:cs="72 Light"/>
          <w:i/>
          <w:iCs/>
          <w:sz w:val="24"/>
          <w:szCs w:val="24"/>
          <w:lang w:val="fr-CA"/>
        </w:rPr>
        <w:t xml:space="preserve">Restitution et réparation : </w:t>
      </w:r>
      <w:r w:rsidR="00986EC6" w:rsidRPr="007B324D">
        <w:rPr>
          <w:rStyle w:val="eop"/>
          <w:rFonts w:ascii="72 Light" w:hAnsi="72 Light" w:cs="72 Light"/>
          <w:i/>
          <w:iCs/>
          <w:sz w:val="24"/>
          <w:szCs w:val="24"/>
          <w:lang w:val="fr-CA"/>
        </w:rPr>
        <w:t>P</w:t>
      </w:r>
      <w:r w:rsidRPr="007B324D">
        <w:rPr>
          <w:rStyle w:val="eop"/>
          <w:rFonts w:ascii="72 Light" w:hAnsi="72 Light" w:cs="72 Light"/>
          <w:i/>
          <w:iCs/>
          <w:sz w:val="24"/>
          <w:szCs w:val="24"/>
          <w:lang w:val="fr-CA"/>
        </w:rPr>
        <w:t>olitique sur les ajouts aux réserves</w:t>
      </w:r>
    </w:p>
    <w:p w14:paraId="653CDFC3" w14:textId="5C293D32"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Style w:val="eop"/>
          <w:rFonts w:ascii="72 Light" w:hAnsi="72 Light" w:cs="72 Light"/>
          <w:sz w:val="24"/>
          <w:szCs w:val="24"/>
          <w:lang w:val="fr-CA"/>
        </w:rPr>
        <w:t xml:space="preserve">Le gouvernement du Canada a entamé les premières étapes de l’examen et de la refonte de la politique fédérale sur les ajouts aux réserves. Au Canada, le principal mécanisme de restitution par la reconnaissance juridique des terres des Premières Nations est la création d’une réserve. L’approche privilégiée par le gouvernement du Canada est la politique et le processus d’ajout aux réserves, qui fait appel à des autorisations non législatives pour créer une réserve en vertu </w:t>
      </w:r>
      <w:r w:rsidR="00CC1988" w:rsidRPr="007B324D">
        <w:rPr>
          <w:rStyle w:val="eop"/>
          <w:rFonts w:ascii="72 Light" w:hAnsi="72 Light" w:cs="72 Light"/>
          <w:sz w:val="24"/>
          <w:szCs w:val="24"/>
          <w:lang w:val="fr-CA"/>
        </w:rPr>
        <w:t xml:space="preserve">de la </w:t>
      </w:r>
      <w:r w:rsidR="00CC1988" w:rsidRPr="007B324D">
        <w:rPr>
          <w:rStyle w:val="eop"/>
          <w:rFonts w:ascii="72 Light" w:hAnsi="72 Light" w:cs="72 Light"/>
          <w:i/>
          <w:iCs/>
          <w:sz w:val="24"/>
          <w:szCs w:val="24"/>
          <w:lang w:val="fr-CA"/>
        </w:rPr>
        <w:t>Loi sur les Indiens</w:t>
      </w:r>
      <w:r w:rsidR="00CC1988" w:rsidRPr="007B324D">
        <w:rPr>
          <w:rStyle w:val="eop"/>
          <w:rFonts w:ascii="72 Light" w:hAnsi="72 Light" w:cs="72 Light"/>
          <w:sz w:val="24"/>
          <w:szCs w:val="24"/>
          <w:lang w:val="fr-CA"/>
        </w:rPr>
        <w:t xml:space="preserve"> ainsi que </w:t>
      </w:r>
      <w:r w:rsidRPr="007B324D">
        <w:rPr>
          <w:rStyle w:val="eop"/>
          <w:rFonts w:ascii="72 Light" w:hAnsi="72 Light" w:cs="72 Light"/>
          <w:sz w:val="24"/>
          <w:szCs w:val="24"/>
          <w:lang w:val="fr-CA"/>
        </w:rPr>
        <w:t xml:space="preserve">du paragraphe 91(24) de la </w:t>
      </w:r>
      <w:r w:rsidRPr="007B324D">
        <w:rPr>
          <w:rStyle w:val="eop"/>
          <w:rFonts w:ascii="72 Light" w:hAnsi="72 Light" w:cs="72 Light"/>
          <w:i/>
          <w:iCs/>
          <w:sz w:val="24"/>
          <w:szCs w:val="24"/>
          <w:lang w:val="fr-CA"/>
        </w:rPr>
        <w:t>Loi constitutionnelle</w:t>
      </w:r>
      <w:r w:rsidRPr="007B324D">
        <w:rPr>
          <w:rStyle w:val="eop"/>
          <w:rFonts w:ascii="72 Light" w:hAnsi="72 Light" w:cs="72 Light"/>
          <w:sz w:val="24"/>
          <w:szCs w:val="24"/>
          <w:lang w:val="fr-CA"/>
        </w:rPr>
        <w:t xml:space="preserve"> de 1867. Le processus d’ajout aux réserves est très bureaucratique, il comporte plusieurs centaines d’étapes, n</w:t>
      </w:r>
      <w:r w:rsidR="00EC153B" w:rsidRPr="007B324D">
        <w:rPr>
          <w:rStyle w:val="eop"/>
          <w:rFonts w:ascii="72 Light" w:hAnsi="72 Light" w:cs="72 Light"/>
          <w:sz w:val="24"/>
          <w:szCs w:val="24"/>
          <w:lang w:val="fr-CA"/>
        </w:rPr>
        <w:t>e comporte aucune</w:t>
      </w:r>
      <w:r w:rsidRPr="007B324D">
        <w:rPr>
          <w:rStyle w:val="eop"/>
          <w:rFonts w:ascii="72 Light" w:hAnsi="72 Light" w:cs="72 Light"/>
          <w:sz w:val="24"/>
          <w:szCs w:val="24"/>
          <w:lang w:val="fr-CA"/>
        </w:rPr>
        <w:t xml:space="preserve"> norme de service </w:t>
      </w:r>
      <w:r w:rsidR="00EC153B" w:rsidRPr="007B324D">
        <w:rPr>
          <w:rStyle w:val="eop"/>
          <w:rFonts w:ascii="72 Light" w:hAnsi="72 Light" w:cs="72 Light"/>
          <w:sz w:val="24"/>
          <w:szCs w:val="24"/>
          <w:lang w:val="fr-CA"/>
        </w:rPr>
        <w:t>ni</w:t>
      </w:r>
      <w:r w:rsidRPr="007B324D">
        <w:rPr>
          <w:rStyle w:val="eop"/>
          <w:rFonts w:ascii="72 Light" w:hAnsi="72 Light" w:cs="72 Light"/>
          <w:sz w:val="24"/>
          <w:szCs w:val="24"/>
          <w:lang w:val="fr-CA"/>
        </w:rPr>
        <w:t xml:space="preserve"> ligne directrice claire, est limité par des retards réguliers (y compris un énorme arriéré) et ne garantit pas la création d’une réserve </w:t>
      </w:r>
      <w:r w:rsidR="00EC153B" w:rsidRPr="007B324D">
        <w:rPr>
          <w:rStyle w:val="eop"/>
          <w:rFonts w:ascii="72 Light" w:hAnsi="72 Light" w:cs="72 Light"/>
          <w:sz w:val="24"/>
          <w:szCs w:val="24"/>
          <w:lang w:val="fr-CA"/>
        </w:rPr>
        <w:t>comme résultat ultime</w:t>
      </w:r>
      <w:r w:rsidRPr="007B324D">
        <w:rPr>
          <w:rStyle w:val="eop"/>
          <w:rFonts w:ascii="72 Light" w:hAnsi="72 Light" w:cs="72 Light"/>
          <w:sz w:val="24"/>
          <w:szCs w:val="24"/>
          <w:lang w:val="fr-CA"/>
        </w:rPr>
        <w:t>.</w:t>
      </w:r>
      <w:r w:rsidRPr="007B324D">
        <w:rPr>
          <w:rFonts w:ascii="72 Light" w:hAnsi="72 Light" w:cs="72 Light"/>
          <w:sz w:val="24"/>
          <w:szCs w:val="24"/>
          <w:lang w:val="fr-CA"/>
        </w:rPr>
        <w:t xml:space="preserve"> </w:t>
      </w:r>
      <w:r w:rsidR="00EC153B" w:rsidRPr="007B324D">
        <w:rPr>
          <w:rFonts w:ascii="72 Light" w:hAnsi="72 Light" w:cs="72 Light"/>
          <w:sz w:val="24"/>
          <w:szCs w:val="24"/>
          <w:lang w:val="fr-CA"/>
        </w:rPr>
        <w:t>Vu l</w:t>
      </w:r>
      <w:r w:rsidRPr="007B324D">
        <w:rPr>
          <w:rStyle w:val="eop"/>
          <w:rFonts w:ascii="72 Light" w:hAnsi="72 Light" w:cs="72 Light"/>
          <w:sz w:val="24"/>
          <w:szCs w:val="24"/>
          <w:lang w:val="fr-CA"/>
        </w:rPr>
        <w:t xml:space="preserve">es retards systématiques et la structure de politique du processus d’ajout aux réserves, ainsi que la réticence du gouvernement du Canada à utiliser des moyens législatifs pour créer des réserves, </w:t>
      </w:r>
      <w:r w:rsidR="00EC153B" w:rsidRPr="007B324D">
        <w:rPr>
          <w:rStyle w:val="eop"/>
          <w:rFonts w:ascii="72 Light" w:hAnsi="72 Light" w:cs="72 Light"/>
          <w:sz w:val="24"/>
          <w:szCs w:val="24"/>
          <w:lang w:val="fr-CA"/>
        </w:rPr>
        <w:t>on peut douter que</w:t>
      </w:r>
      <w:r w:rsidRPr="007B324D">
        <w:rPr>
          <w:rStyle w:val="eop"/>
          <w:rFonts w:ascii="72 Light" w:hAnsi="72 Light" w:cs="72 Light"/>
          <w:sz w:val="24"/>
          <w:szCs w:val="24"/>
          <w:lang w:val="fr-CA"/>
        </w:rPr>
        <w:t xml:space="preserve"> le Canada</w:t>
      </w:r>
      <w:r w:rsidR="00EC153B" w:rsidRPr="007B324D">
        <w:rPr>
          <w:rStyle w:val="eop"/>
          <w:rFonts w:ascii="72 Light" w:hAnsi="72 Light" w:cs="72 Light"/>
          <w:sz w:val="24"/>
          <w:szCs w:val="24"/>
          <w:lang w:val="fr-CA"/>
        </w:rPr>
        <w:t xml:space="preserve"> souhaite réellement</w:t>
      </w:r>
      <w:r w:rsidRPr="007B324D">
        <w:rPr>
          <w:rStyle w:val="eop"/>
          <w:rFonts w:ascii="72 Light" w:hAnsi="72 Light" w:cs="72 Light"/>
          <w:sz w:val="24"/>
          <w:szCs w:val="24"/>
          <w:lang w:val="fr-CA"/>
        </w:rPr>
        <w:t xml:space="preserve"> créer des réserves en tant que moyen de restitution.</w:t>
      </w:r>
    </w:p>
    <w:p w14:paraId="6B611706" w14:textId="20834F84" w:rsidR="00BF3013" w:rsidRPr="007B324D" w:rsidRDefault="003758E9" w:rsidP="00F62155">
      <w:pPr>
        <w:pStyle w:val="paragraph"/>
        <w:tabs>
          <w:tab w:val="left" w:pos="3544"/>
        </w:tabs>
        <w:spacing w:before="120" w:beforeAutospacing="0" w:after="120" w:afterAutospacing="0" w:line="276" w:lineRule="auto"/>
        <w:jc w:val="both"/>
        <w:textAlignment w:val="baseline"/>
        <w:rPr>
          <w:rStyle w:val="normaltextrun"/>
          <w:rFonts w:ascii="72 Light" w:hAnsi="72 Light" w:cs="72 Light"/>
          <w:i/>
          <w:iCs/>
          <w:lang w:val="fr-CA"/>
        </w:rPr>
      </w:pPr>
      <w:r w:rsidRPr="007B324D">
        <w:rPr>
          <w:rStyle w:val="normaltextrun"/>
          <w:rFonts w:ascii="72 Light" w:hAnsi="72 Light" w:cs="72 Light"/>
          <w:i/>
          <w:iCs/>
          <w:lang w:val="fr-CA"/>
        </w:rPr>
        <w:t>R</w:t>
      </w:r>
      <w:r w:rsidR="00BF3013" w:rsidRPr="007B324D">
        <w:rPr>
          <w:rStyle w:val="normaltextrun"/>
          <w:rFonts w:ascii="72 Light" w:hAnsi="72 Light" w:cs="72 Light"/>
          <w:i/>
          <w:iCs/>
          <w:lang w:val="fr-CA"/>
        </w:rPr>
        <w:t>estitution et réparation</w:t>
      </w:r>
      <w:r w:rsidRPr="007B324D">
        <w:rPr>
          <w:rStyle w:val="normaltextrun"/>
          <w:rFonts w:ascii="72 Light" w:hAnsi="72 Light" w:cs="72 Light"/>
          <w:i/>
          <w:iCs/>
          <w:lang w:val="fr-CA"/>
        </w:rPr>
        <w:t> : Normes</w:t>
      </w:r>
    </w:p>
    <w:p w14:paraId="06BD438F" w14:textId="6187B810" w:rsidR="00BF3013" w:rsidRPr="007B324D" w:rsidRDefault="00BF3013" w:rsidP="00F62155">
      <w:pPr>
        <w:pStyle w:val="paragraph"/>
        <w:tabs>
          <w:tab w:val="left" w:pos="3544"/>
        </w:tabs>
        <w:spacing w:before="120" w:beforeAutospacing="0" w:after="120" w:afterAutospacing="0" w:line="276" w:lineRule="auto"/>
        <w:jc w:val="both"/>
        <w:textAlignment w:val="baseline"/>
        <w:rPr>
          <w:rFonts w:ascii="72 Light" w:hAnsi="72 Light" w:cs="72 Light"/>
          <w:lang w:val="fr-CA"/>
        </w:rPr>
      </w:pPr>
      <w:r w:rsidRPr="007B324D">
        <w:rPr>
          <w:rStyle w:val="normaltextrun"/>
          <w:rFonts w:ascii="72 Light" w:hAnsi="72 Light" w:cs="72 Light"/>
          <w:lang w:val="fr-CA"/>
        </w:rPr>
        <w:t xml:space="preserve">Les tribunaux canadiens ne constituent pas une solution de rechange viable au cadre </w:t>
      </w:r>
      <w:r w:rsidR="00EC153B" w:rsidRPr="007B324D">
        <w:rPr>
          <w:rStyle w:val="normaltextrun"/>
          <w:rFonts w:ascii="72 Light" w:hAnsi="72 Light" w:cs="72 Light"/>
          <w:lang w:val="fr-CA"/>
        </w:rPr>
        <w:t>stratégique</w:t>
      </w:r>
      <w:r w:rsidRPr="007B324D">
        <w:rPr>
          <w:rStyle w:val="normaltextrun"/>
          <w:rFonts w:ascii="72 Light" w:hAnsi="72 Light" w:cs="72 Light"/>
          <w:lang w:val="fr-CA"/>
        </w:rPr>
        <w:t xml:space="preserve"> existant en matière de restitution. Les Premières Nations qui cherchent à obtenir une restitution au moyen des tribunaux sont </w:t>
      </w:r>
      <w:r w:rsidR="00EC153B" w:rsidRPr="007B324D">
        <w:rPr>
          <w:rStyle w:val="normaltextrun"/>
          <w:rFonts w:ascii="72 Light" w:hAnsi="72 Light" w:cs="72 Light"/>
          <w:lang w:val="fr-CA"/>
        </w:rPr>
        <w:t xml:space="preserve">aux prises avec </w:t>
      </w:r>
      <w:r w:rsidRPr="007B324D">
        <w:rPr>
          <w:rStyle w:val="normaltextrun"/>
          <w:rFonts w:ascii="72 Light" w:hAnsi="72 Light" w:cs="72 Light"/>
          <w:lang w:val="fr-CA"/>
        </w:rPr>
        <w:t>des difficultés considérables, notamment l’application injuste de moyens de défense techniques tels que les lois provinciales sur la prescription et la doctrine de délai préjudiciable</w:t>
      </w:r>
      <w:r w:rsidR="00EC153B" w:rsidRPr="007B324D">
        <w:rPr>
          <w:rStyle w:val="normaltextrun"/>
          <w:rFonts w:ascii="72 Light" w:hAnsi="72 Light" w:cs="72 Light"/>
          <w:lang w:val="fr-CA"/>
        </w:rPr>
        <w:t xml:space="preserve">. Il est donc </w:t>
      </w:r>
      <w:r w:rsidRPr="007B324D">
        <w:rPr>
          <w:rStyle w:val="normaltextrun"/>
          <w:rFonts w:ascii="72 Light" w:hAnsi="72 Light" w:cs="72 Light"/>
          <w:lang w:val="fr-CA"/>
        </w:rPr>
        <w:t>extrêmement difficile d’intenter des poursuites contre le gouvernement du Canada et les provinces.</w:t>
      </w:r>
      <w:r w:rsidRPr="007B324D">
        <w:rPr>
          <w:rFonts w:ascii="72 Light" w:hAnsi="72 Light" w:cs="72 Light"/>
          <w:lang w:val="fr-CA"/>
        </w:rPr>
        <w:t xml:space="preserve"> </w:t>
      </w:r>
    </w:p>
    <w:p w14:paraId="25D57A86" w14:textId="4B2ED9FD" w:rsidR="00BF3013" w:rsidRPr="007B324D" w:rsidRDefault="00BF3013" w:rsidP="00F62155">
      <w:pPr>
        <w:pStyle w:val="paragraph"/>
        <w:tabs>
          <w:tab w:val="left" w:pos="3544"/>
        </w:tabs>
        <w:spacing w:before="120" w:beforeAutospacing="0" w:after="120" w:afterAutospacing="0" w:line="276" w:lineRule="auto"/>
        <w:jc w:val="both"/>
        <w:textAlignment w:val="baseline"/>
        <w:rPr>
          <w:rStyle w:val="normaltextrun"/>
          <w:rFonts w:ascii="72 Light" w:hAnsi="72 Light" w:cs="72 Light"/>
          <w:lang w:val="fr-CA"/>
        </w:rPr>
      </w:pPr>
      <w:r w:rsidRPr="007B324D">
        <w:rPr>
          <w:rStyle w:val="normaltextrun"/>
          <w:rFonts w:ascii="72 Light" w:hAnsi="72 Light" w:cs="72 Light"/>
          <w:lang w:val="fr-CA"/>
        </w:rPr>
        <w:t>Pour prouver l</w:t>
      </w:r>
      <w:r w:rsidR="00EC153B" w:rsidRPr="007B324D">
        <w:rPr>
          <w:rStyle w:val="normaltextrun"/>
          <w:rFonts w:ascii="72 Light" w:hAnsi="72 Light" w:cs="72 Light"/>
          <w:lang w:val="fr-CA"/>
        </w:rPr>
        <w:t>’existence d’un</w:t>
      </w:r>
      <w:r w:rsidRPr="007B324D">
        <w:rPr>
          <w:rStyle w:val="normaltextrun"/>
          <w:rFonts w:ascii="72 Light" w:hAnsi="72 Light" w:cs="72 Light"/>
          <w:lang w:val="fr-CA"/>
        </w:rPr>
        <w:t xml:space="preserve"> droit ancestral devant les tribunaux, les Premières Nations doivent renverser la présomption selon laquelle le Canada est propriétaire des terres en vertu de l’affirmation de la souveraineté de la Couronne. En fin de compte, il n’existe aucun moyen équitable et efficace pour les Premières Nations d’obtenir la restitution de leurs terres au moyen de la législation ou de la politique au Canada. Le gouvernement du Canada doit prendre des mesures immédiates pour réviser son cadre de politique afin de reconnaître </w:t>
      </w:r>
      <w:r w:rsidR="00027204" w:rsidRPr="007B324D">
        <w:rPr>
          <w:rStyle w:val="normaltextrun"/>
          <w:rFonts w:ascii="72 Light" w:hAnsi="72 Light" w:cs="72 Light"/>
          <w:lang w:val="fr-CA"/>
        </w:rPr>
        <w:t xml:space="preserve">les droits des Premières Nations, </w:t>
      </w:r>
      <w:r w:rsidRPr="007B324D">
        <w:rPr>
          <w:rStyle w:val="normaltextrun"/>
          <w:rFonts w:ascii="72 Light" w:hAnsi="72 Light" w:cs="72 Light"/>
          <w:lang w:val="fr-CA"/>
        </w:rPr>
        <w:t xml:space="preserve">de restituer </w:t>
      </w:r>
      <w:r w:rsidR="00027204" w:rsidRPr="007B324D">
        <w:rPr>
          <w:rStyle w:val="normaltextrun"/>
          <w:rFonts w:ascii="72 Light" w:hAnsi="72 Light" w:cs="72 Light"/>
          <w:lang w:val="fr-CA"/>
        </w:rPr>
        <w:t>leurs terres</w:t>
      </w:r>
      <w:r w:rsidRPr="007B324D">
        <w:rPr>
          <w:rStyle w:val="normaltextrun"/>
          <w:rFonts w:ascii="72 Light" w:hAnsi="72 Light" w:cs="72 Light"/>
          <w:lang w:val="fr-CA"/>
        </w:rPr>
        <w:t xml:space="preserve"> et de veiller à ce que les procédures judiciaires </w:t>
      </w:r>
      <w:r w:rsidR="00027204" w:rsidRPr="007B324D">
        <w:rPr>
          <w:rStyle w:val="normaltextrun"/>
          <w:rFonts w:ascii="72 Light" w:hAnsi="72 Light" w:cs="72 Light"/>
          <w:lang w:val="fr-CA"/>
        </w:rPr>
        <w:lastRenderedPageBreak/>
        <w:t>deviennent</w:t>
      </w:r>
      <w:r w:rsidRPr="007B324D">
        <w:rPr>
          <w:rStyle w:val="normaltextrun"/>
          <w:rFonts w:ascii="72 Light" w:hAnsi="72 Light" w:cs="72 Light"/>
          <w:lang w:val="fr-CA"/>
        </w:rPr>
        <w:t xml:space="preserve"> une solution de rechange viable pour les Premières Nations. Le gouvernement du Canada est tenu, en vertu du droit international et du droit national, de fournir une restitution adéquate et efficace aux Premières Nations </w:t>
      </w:r>
      <w:r w:rsidR="00027204" w:rsidRPr="007B324D">
        <w:rPr>
          <w:rStyle w:val="normaltextrun"/>
          <w:rFonts w:ascii="72 Light" w:hAnsi="72 Light" w:cs="72 Light"/>
          <w:lang w:val="fr-CA"/>
        </w:rPr>
        <w:t>ayant</w:t>
      </w:r>
      <w:r w:rsidRPr="007B324D">
        <w:rPr>
          <w:rStyle w:val="normaltextrun"/>
          <w:rFonts w:ascii="72 Light" w:hAnsi="72 Light" w:cs="72 Light"/>
          <w:lang w:val="fr-CA"/>
        </w:rPr>
        <w:t xml:space="preserve"> été dépossédées de leurs terres, de leurs ressources et de leurs territoires. En ne mettant pas en place des mécanismes efficaces permettant de dédommager les Premières Nations, le gouvernement du Canada se trouve actuellement</w:t>
      </w:r>
      <w:r w:rsidR="00027204" w:rsidRPr="007B324D">
        <w:rPr>
          <w:rStyle w:val="normaltextrun"/>
          <w:rFonts w:ascii="72 Light" w:hAnsi="72 Light" w:cs="72 Light"/>
          <w:lang w:val="fr-CA"/>
        </w:rPr>
        <w:t xml:space="preserve"> en situation de</w:t>
      </w:r>
      <w:r w:rsidRPr="007B324D">
        <w:rPr>
          <w:rStyle w:val="normaltextrun"/>
          <w:rFonts w:ascii="72 Light" w:hAnsi="72 Light" w:cs="72 Light"/>
          <w:lang w:val="fr-CA"/>
        </w:rPr>
        <w:t xml:space="preserve"> non-conformité avec la </w:t>
      </w:r>
      <w:r w:rsidR="00027204" w:rsidRPr="007B324D">
        <w:rPr>
          <w:rStyle w:val="normaltextrun"/>
          <w:rFonts w:ascii="72 Light" w:hAnsi="72 Light" w:cs="72 Light"/>
          <w:lang w:val="fr-CA"/>
        </w:rPr>
        <w:t>DNUDPA</w:t>
      </w:r>
      <w:r w:rsidRPr="007B324D">
        <w:rPr>
          <w:rStyle w:val="normaltextrun"/>
          <w:rFonts w:ascii="72 Light" w:hAnsi="72 Light" w:cs="72 Light"/>
          <w:lang w:val="fr-CA"/>
        </w:rPr>
        <w:t xml:space="preserve"> et les normes fondamentales du droit international coutumier. </w:t>
      </w:r>
    </w:p>
    <w:p w14:paraId="09CA3BA7" w14:textId="77777777" w:rsidR="00BF3013" w:rsidRPr="007B324D" w:rsidRDefault="00BF3013" w:rsidP="00F62155">
      <w:pPr>
        <w:tabs>
          <w:tab w:val="left" w:pos="3544"/>
        </w:tabs>
        <w:spacing w:before="120" w:line="276" w:lineRule="auto"/>
        <w:jc w:val="both"/>
        <w:rPr>
          <w:rFonts w:ascii="72 Light" w:eastAsia="72 Light" w:hAnsi="72 Light" w:cs="72 Light"/>
          <w:i/>
          <w:iCs/>
          <w:sz w:val="24"/>
          <w:szCs w:val="24"/>
          <w:lang w:val="fr-CA"/>
        </w:rPr>
      </w:pPr>
      <w:r w:rsidRPr="007B324D">
        <w:rPr>
          <w:rFonts w:ascii="72 Light" w:hAnsi="72 Light" w:cs="72 Light"/>
          <w:i/>
          <w:iCs/>
          <w:sz w:val="24"/>
          <w:szCs w:val="24"/>
          <w:lang w:val="fr-CA"/>
        </w:rPr>
        <w:t xml:space="preserve">Relations fiscales </w:t>
      </w:r>
    </w:p>
    <w:p w14:paraId="2E5F2865" w14:textId="196F0D42" w:rsidR="00BF3013" w:rsidRPr="007B324D" w:rsidRDefault="008C4B3E" w:rsidP="00F62155">
      <w:pPr>
        <w:tabs>
          <w:tab w:val="left" w:pos="3544"/>
        </w:tabs>
        <w:spacing w:before="120" w:line="276" w:lineRule="auto"/>
        <w:ind w:left="0" w:firstLine="0"/>
        <w:jc w:val="both"/>
        <w:rPr>
          <w:rFonts w:ascii="72 Light" w:eastAsia="72 Light" w:hAnsi="72 Light" w:cs="72 Light"/>
          <w:sz w:val="24"/>
          <w:szCs w:val="24"/>
          <w:lang w:val="fr-CA"/>
        </w:rPr>
      </w:pPr>
      <w:r w:rsidRPr="007B324D">
        <w:rPr>
          <w:rStyle w:val="ui-provider"/>
          <w:rFonts w:ascii="72 Light" w:hAnsi="72 Light" w:cs="72 Light"/>
          <w:sz w:val="24"/>
          <w:szCs w:val="24"/>
          <w:lang w:val="fr-CA"/>
        </w:rPr>
        <w:t>L’A</w:t>
      </w:r>
      <w:r w:rsidR="003758E9" w:rsidRPr="007B324D">
        <w:rPr>
          <w:rStyle w:val="ui-provider"/>
          <w:rFonts w:ascii="72 Light" w:hAnsi="72 Light" w:cs="72 Light"/>
          <w:sz w:val="24"/>
          <w:szCs w:val="24"/>
          <w:lang w:val="fr-CA"/>
        </w:rPr>
        <w:t xml:space="preserve">ssemblée </w:t>
      </w:r>
      <w:r w:rsidR="00BF3013" w:rsidRPr="007B324D">
        <w:rPr>
          <w:rStyle w:val="ui-provider"/>
          <w:rFonts w:ascii="72 Light" w:hAnsi="72 Light" w:cs="72 Light"/>
          <w:sz w:val="24"/>
          <w:szCs w:val="24"/>
          <w:lang w:val="fr-CA"/>
        </w:rPr>
        <w:t>et le Canada continuent d’élaborer des pistes pour</w:t>
      </w:r>
      <w:r w:rsidR="00027204" w:rsidRPr="007B324D">
        <w:rPr>
          <w:rStyle w:val="ui-provider"/>
          <w:rFonts w:ascii="72 Light" w:hAnsi="72 Light" w:cs="72 Light"/>
          <w:sz w:val="24"/>
          <w:szCs w:val="24"/>
          <w:lang w:val="fr-CA"/>
        </w:rPr>
        <w:t xml:space="preserve"> l’établissement d’</w:t>
      </w:r>
      <w:r w:rsidR="00BF3013" w:rsidRPr="007B324D">
        <w:rPr>
          <w:rStyle w:val="ui-provider"/>
          <w:rFonts w:ascii="72 Light" w:hAnsi="72 Light" w:cs="72 Light"/>
          <w:sz w:val="24"/>
          <w:szCs w:val="24"/>
          <w:lang w:val="fr-CA"/>
        </w:rPr>
        <w:t xml:space="preserve">une nouvelle relation fiscale entre les gouvernements des Premières Nations et le Canada. L’objectif de ce travail est de s’assurer que les gouvernements des Premières Nations bénéficient d’un soutien adéquat pour fournir des services essentiels à leurs citoyens et disposent des capacités nécessaires pour concevoir, fournir et contrôler tous les programmes et services qui relèvent de leur compétence ou qu’ils souhaiteraient prendre en charge. L’établissement d’une nouvelle relation fiscale entre les Premières Nations et le Canada permettra de s’attaquer à des problèmes de longue date qui </w:t>
      </w:r>
      <w:r w:rsidR="00027204" w:rsidRPr="007B324D">
        <w:rPr>
          <w:rStyle w:val="ui-provider"/>
          <w:rFonts w:ascii="72 Light" w:hAnsi="72 Light" w:cs="72 Light"/>
          <w:sz w:val="24"/>
          <w:szCs w:val="24"/>
          <w:lang w:val="fr-CA"/>
        </w:rPr>
        <w:t>nuisent aux</w:t>
      </w:r>
      <w:r w:rsidR="00BF3013" w:rsidRPr="007B324D">
        <w:rPr>
          <w:rStyle w:val="ui-provider"/>
          <w:rFonts w:ascii="72 Light" w:hAnsi="72 Light" w:cs="72 Light"/>
          <w:sz w:val="24"/>
          <w:szCs w:val="24"/>
          <w:lang w:val="fr-CA"/>
        </w:rPr>
        <w:t xml:space="preserve"> résultats socioéconomiques et </w:t>
      </w:r>
      <w:r w:rsidR="00027204" w:rsidRPr="007B324D">
        <w:rPr>
          <w:rStyle w:val="ui-provider"/>
          <w:rFonts w:ascii="72 Light" w:hAnsi="72 Light" w:cs="72 Light"/>
          <w:sz w:val="24"/>
          <w:szCs w:val="24"/>
          <w:lang w:val="fr-CA"/>
        </w:rPr>
        <w:t xml:space="preserve">à </w:t>
      </w:r>
      <w:r w:rsidR="00BF3013" w:rsidRPr="007B324D">
        <w:rPr>
          <w:rStyle w:val="ui-provider"/>
          <w:rFonts w:ascii="72 Light" w:hAnsi="72 Light" w:cs="72 Light"/>
          <w:sz w:val="24"/>
          <w:szCs w:val="24"/>
          <w:lang w:val="fr-CA"/>
        </w:rPr>
        <w:t xml:space="preserve">l’innovation. </w:t>
      </w:r>
      <w:r w:rsidR="00027204" w:rsidRPr="007B324D">
        <w:rPr>
          <w:rStyle w:val="ui-provider"/>
          <w:rFonts w:ascii="72 Light" w:hAnsi="72 Light" w:cs="72 Light"/>
          <w:sz w:val="24"/>
          <w:szCs w:val="24"/>
          <w:lang w:val="fr-CA"/>
        </w:rPr>
        <w:t>Il</w:t>
      </w:r>
      <w:r w:rsidR="00BF3013" w:rsidRPr="007B324D">
        <w:rPr>
          <w:rStyle w:val="ui-provider"/>
          <w:rFonts w:ascii="72 Light" w:hAnsi="72 Light" w:cs="72 Light"/>
          <w:sz w:val="24"/>
          <w:szCs w:val="24"/>
          <w:lang w:val="fr-CA"/>
        </w:rPr>
        <w:t xml:space="preserve"> renforcera également la gestion financière, les ressources humaines, les systèmes informatiques et d’autres structures essentielles nécessaires à une bonne gouvernance et à des services qui reflètent les priorités de chaque Première Nation. Bien que ce travail ait été lent, la réduction de l’écart socioéconomique entre les Premières Nations et les autres Canadiens a conduit à un travail conjoint entre </w:t>
      </w:r>
      <w:r w:rsidRPr="007B324D">
        <w:rPr>
          <w:rStyle w:val="ui-provider"/>
          <w:rFonts w:ascii="72 Light" w:hAnsi="72 Light" w:cs="72 Light"/>
          <w:sz w:val="24"/>
          <w:szCs w:val="24"/>
          <w:lang w:val="fr-CA"/>
        </w:rPr>
        <w:t>l’Assemblée</w:t>
      </w:r>
      <w:r w:rsidR="00BF3013" w:rsidRPr="007B324D">
        <w:rPr>
          <w:rStyle w:val="ui-provider"/>
          <w:rFonts w:ascii="72 Light" w:hAnsi="72 Light" w:cs="72 Light"/>
          <w:sz w:val="24"/>
          <w:szCs w:val="24"/>
          <w:lang w:val="fr-CA"/>
        </w:rPr>
        <w:t xml:space="preserve">, SAC et d’autres partenaires autochtones dans le cadre de groupes de travail techniques. </w:t>
      </w:r>
      <w:r w:rsidRPr="007B324D">
        <w:rPr>
          <w:rStyle w:val="ui-provider"/>
          <w:rFonts w:ascii="72 Light" w:hAnsi="72 Light" w:cs="72 Light"/>
          <w:sz w:val="24"/>
          <w:szCs w:val="24"/>
          <w:lang w:val="fr-CA"/>
        </w:rPr>
        <w:t>L’A</w:t>
      </w:r>
      <w:r w:rsidR="00784B2A" w:rsidRPr="007B324D">
        <w:rPr>
          <w:rStyle w:val="ui-provider"/>
          <w:rFonts w:ascii="72 Light" w:hAnsi="72 Light" w:cs="72 Light"/>
          <w:sz w:val="24"/>
          <w:szCs w:val="24"/>
          <w:lang w:val="fr-CA"/>
        </w:rPr>
        <w:t>ssemblée</w:t>
      </w:r>
      <w:r w:rsidR="00BF3013" w:rsidRPr="007B324D">
        <w:rPr>
          <w:rStyle w:val="ui-provider"/>
          <w:rFonts w:ascii="72 Light" w:hAnsi="72 Light" w:cs="72 Light"/>
          <w:sz w:val="24"/>
          <w:szCs w:val="24"/>
          <w:lang w:val="fr-CA"/>
        </w:rPr>
        <w:t xml:space="preserve"> continue de faire progresser les soutiens à la gouvernance et les soutiens institutionnels afin de garantir la transparence, la </w:t>
      </w:r>
      <w:r w:rsidR="00027204" w:rsidRPr="007B324D">
        <w:rPr>
          <w:rStyle w:val="ui-provider"/>
          <w:rFonts w:ascii="72 Light" w:hAnsi="72 Light" w:cs="72 Light"/>
          <w:sz w:val="24"/>
          <w:szCs w:val="24"/>
          <w:lang w:val="fr-CA"/>
        </w:rPr>
        <w:t>reddition de comptes</w:t>
      </w:r>
      <w:r w:rsidR="00BF3013" w:rsidRPr="007B324D">
        <w:rPr>
          <w:rStyle w:val="ui-provider"/>
          <w:rFonts w:ascii="72 Light" w:hAnsi="72 Light" w:cs="72 Light"/>
          <w:sz w:val="24"/>
          <w:szCs w:val="24"/>
          <w:lang w:val="fr-CA"/>
        </w:rPr>
        <w:t xml:space="preserve"> et la suffisance du financement pour les Premières Nations grâce à de nouveaux mécanismes fiscaux tels qu’un transfert législatif remis aux gouvernements des Premières Nations. </w:t>
      </w:r>
    </w:p>
    <w:p w14:paraId="139D8369" w14:textId="77777777" w:rsidR="00BF3013" w:rsidRPr="007B324D" w:rsidRDefault="00BF3013" w:rsidP="00F62155">
      <w:pPr>
        <w:tabs>
          <w:tab w:val="left" w:pos="3544"/>
        </w:tabs>
        <w:spacing w:before="120" w:line="276" w:lineRule="auto"/>
        <w:jc w:val="both"/>
        <w:rPr>
          <w:rFonts w:ascii="72 Light" w:eastAsia="72 Light" w:hAnsi="72 Light" w:cs="72 Light"/>
          <w:i/>
          <w:iCs/>
          <w:sz w:val="24"/>
          <w:szCs w:val="24"/>
          <w:lang w:val="fr-CA"/>
        </w:rPr>
      </w:pPr>
      <w:r w:rsidRPr="007B324D">
        <w:rPr>
          <w:rFonts w:ascii="72 Light" w:hAnsi="72 Light" w:cs="72 Light"/>
          <w:i/>
          <w:iCs/>
          <w:sz w:val="24"/>
          <w:szCs w:val="24"/>
          <w:lang w:val="fr-CA"/>
        </w:rPr>
        <w:t>Droits de récolte protégés par les traités</w:t>
      </w:r>
    </w:p>
    <w:p w14:paraId="1CC70905" w14:textId="77777777" w:rsidR="00BF3013" w:rsidRPr="007B324D" w:rsidRDefault="00BF3013" w:rsidP="00F62155">
      <w:pPr>
        <w:pStyle w:val="xmsonormal"/>
        <w:tabs>
          <w:tab w:val="left" w:pos="3544"/>
        </w:tabs>
        <w:spacing w:before="120" w:after="120" w:line="276" w:lineRule="auto"/>
        <w:jc w:val="both"/>
        <w:rPr>
          <w:rFonts w:ascii="72 Light" w:hAnsi="72 Light" w:cs="72 Light"/>
          <w:sz w:val="24"/>
          <w:szCs w:val="24"/>
        </w:rPr>
      </w:pPr>
      <w:r w:rsidRPr="007B324D">
        <w:rPr>
          <w:rFonts w:ascii="72 Light" w:hAnsi="72 Light" w:cs="72 Light"/>
          <w:sz w:val="24"/>
          <w:szCs w:val="24"/>
        </w:rPr>
        <w:t xml:space="preserve">Les Premières Nations ont un droit inhérent à la récolte pour leur subsistance, conformément à leurs activités et pratiques traditionnelles. Ce droit, parmi beaucoup d’autres, est reconnu et affirmé par l’article 35 de la </w:t>
      </w:r>
      <w:r w:rsidRPr="007B324D">
        <w:rPr>
          <w:rFonts w:ascii="72 Light" w:hAnsi="72 Light" w:cs="72 Light"/>
          <w:i/>
          <w:iCs/>
          <w:sz w:val="24"/>
          <w:szCs w:val="24"/>
        </w:rPr>
        <w:t>Loi constitutionnelle de 1982</w:t>
      </w:r>
      <w:r w:rsidRPr="007B324D">
        <w:rPr>
          <w:rFonts w:ascii="72 Light" w:hAnsi="72 Light" w:cs="72 Light"/>
          <w:sz w:val="24"/>
          <w:szCs w:val="24"/>
        </w:rPr>
        <w:t xml:space="preserve">. En outre, dans le cadre des traités établis – tant historiques que modernes – le gouvernement du Canada a accepté de préserver et de renforcer la culture, l’identité et les valeurs des Premières Nations. Le gouvernement du Canada, ainsi que les gouvernements provinciaux et territoriaux, ont également garanti aux Premières Nations le droit de récolter des aliments traditionnels pour leur subsistance et à des fins sociales et rituelles. La récolte en tant qu’activité comprend la chasse, le piégeage, la pêche et la cueillette. </w:t>
      </w:r>
    </w:p>
    <w:p w14:paraId="326A5F37" w14:textId="2C0C0E71" w:rsidR="00BF3013" w:rsidRPr="007B324D" w:rsidRDefault="00027204" w:rsidP="00F62155">
      <w:pPr>
        <w:pStyle w:val="xmsonormal"/>
        <w:tabs>
          <w:tab w:val="left" w:pos="3544"/>
        </w:tabs>
        <w:spacing w:before="120" w:after="120" w:line="276" w:lineRule="auto"/>
        <w:jc w:val="both"/>
        <w:rPr>
          <w:rFonts w:ascii="72 Light" w:hAnsi="72 Light" w:cs="72 Light"/>
          <w:sz w:val="24"/>
          <w:szCs w:val="24"/>
        </w:rPr>
      </w:pPr>
      <w:r w:rsidRPr="007B324D">
        <w:rPr>
          <w:rFonts w:ascii="72 Light" w:hAnsi="72 Light" w:cs="72 Light"/>
          <w:sz w:val="24"/>
          <w:szCs w:val="24"/>
        </w:rPr>
        <w:t>Devant</w:t>
      </w:r>
      <w:r w:rsidR="00BF3013" w:rsidRPr="007B324D">
        <w:rPr>
          <w:rFonts w:ascii="72 Light" w:hAnsi="72 Light" w:cs="72 Light"/>
          <w:sz w:val="24"/>
          <w:szCs w:val="24"/>
        </w:rPr>
        <w:t xml:space="preserve"> la menace croissante des changements climatiques et </w:t>
      </w:r>
      <w:r w:rsidRPr="007B324D">
        <w:rPr>
          <w:rFonts w:ascii="72 Light" w:hAnsi="72 Light" w:cs="72 Light"/>
          <w:sz w:val="24"/>
          <w:szCs w:val="24"/>
        </w:rPr>
        <w:t>le</w:t>
      </w:r>
      <w:r w:rsidR="00BF3013" w:rsidRPr="007B324D">
        <w:rPr>
          <w:rFonts w:ascii="72 Light" w:hAnsi="72 Light" w:cs="72 Light"/>
          <w:sz w:val="24"/>
          <w:szCs w:val="24"/>
        </w:rPr>
        <w:t xml:space="preserve"> déclin général de la santé et de l’abondance des populations de poissons et d’animaux sauvages, les Premières Nations récoltent </w:t>
      </w:r>
      <w:r w:rsidR="00BF3013" w:rsidRPr="007B324D">
        <w:rPr>
          <w:rFonts w:ascii="72 Light" w:hAnsi="72 Light" w:cs="72 Light"/>
          <w:sz w:val="24"/>
          <w:szCs w:val="24"/>
        </w:rPr>
        <w:lastRenderedPageBreak/>
        <w:t xml:space="preserve">moins et consomment moins d’aliments traditionnels. Il en résulte un déclin à la fois de la santé </w:t>
      </w:r>
      <w:r w:rsidRPr="007B324D">
        <w:rPr>
          <w:rFonts w:ascii="72 Light" w:hAnsi="72 Light" w:cs="72 Light"/>
          <w:sz w:val="24"/>
          <w:szCs w:val="24"/>
        </w:rPr>
        <w:t>de leurs membres</w:t>
      </w:r>
      <w:r w:rsidR="00BF3013" w:rsidRPr="007B324D">
        <w:rPr>
          <w:rFonts w:ascii="72 Light" w:hAnsi="72 Light" w:cs="72 Light"/>
          <w:sz w:val="24"/>
          <w:szCs w:val="24"/>
        </w:rPr>
        <w:t xml:space="preserve"> (dont il existe de nombreux exemples, comme le diabète) et de leurs activités et pratiques traditionnelles. Cela met en évidence l’insécurité alimentaire et la dépendance croissante à l’égard des aliments achetés en magasin et importés. Les activités traditionnelles, telles que la récolte pour la subsistance, doivent </w:t>
      </w:r>
      <w:r w:rsidRPr="007B324D">
        <w:rPr>
          <w:rFonts w:ascii="72 Light" w:hAnsi="72 Light" w:cs="72 Light"/>
          <w:sz w:val="24"/>
          <w:szCs w:val="24"/>
        </w:rPr>
        <w:t>être visées par</w:t>
      </w:r>
      <w:r w:rsidR="00BF3013" w:rsidRPr="007B324D">
        <w:rPr>
          <w:rFonts w:ascii="72 Light" w:hAnsi="72 Light" w:cs="72 Light"/>
          <w:sz w:val="24"/>
          <w:szCs w:val="24"/>
        </w:rPr>
        <w:t xml:space="preserve"> l’</w:t>
      </w:r>
      <w:r w:rsidRPr="007B324D">
        <w:rPr>
          <w:rFonts w:ascii="72 Light" w:hAnsi="72 Light" w:cs="72 Light"/>
          <w:sz w:val="24"/>
          <w:szCs w:val="24"/>
        </w:rPr>
        <w:t>EPU</w:t>
      </w:r>
      <w:r w:rsidR="00BF3013" w:rsidRPr="007B324D">
        <w:rPr>
          <w:rFonts w:ascii="72 Light" w:hAnsi="72 Light" w:cs="72 Light"/>
          <w:sz w:val="24"/>
          <w:szCs w:val="24"/>
        </w:rPr>
        <w:t xml:space="preserve">, car ces pratiques sont directement liées à la santé et au bien-être des citoyens des Premières Nations. </w:t>
      </w:r>
    </w:p>
    <w:p w14:paraId="35D39B32" w14:textId="77777777" w:rsidR="00BF3013" w:rsidRPr="007B324D" w:rsidRDefault="00BF3013" w:rsidP="00F62155">
      <w:pPr>
        <w:tabs>
          <w:tab w:val="left" w:pos="3544"/>
        </w:tabs>
        <w:spacing w:before="120" w:line="276" w:lineRule="auto"/>
        <w:ind w:left="0" w:firstLine="0"/>
        <w:jc w:val="both"/>
        <w:rPr>
          <w:rFonts w:ascii="72 Light" w:hAnsi="72 Light" w:cs="72 Light"/>
          <w:i/>
          <w:iCs/>
          <w:sz w:val="24"/>
          <w:szCs w:val="24"/>
          <w:lang w:val="fr-CA"/>
        </w:rPr>
      </w:pPr>
      <w:r w:rsidRPr="007B324D">
        <w:rPr>
          <w:rFonts w:ascii="72 Light" w:hAnsi="72 Light" w:cs="72 Light"/>
          <w:i/>
          <w:iCs/>
          <w:sz w:val="24"/>
          <w:szCs w:val="24"/>
          <w:lang w:val="fr-CA"/>
        </w:rPr>
        <w:t>Eau</w:t>
      </w:r>
    </w:p>
    <w:p w14:paraId="11F59B51" w14:textId="5294B1D3"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L’eau propre est un droit humain fondamental</w:t>
      </w:r>
      <w:r w:rsidR="00027204" w:rsidRPr="007B324D">
        <w:rPr>
          <w:rFonts w:ascii="72 Light" w:hAnsi="72 Light" w:cs="72 Light"/>
          <w:sz w:val="24"/>
          <w:szCs w:val="24"/>
          <w:lang w:val="fr-CA"/>
        </w:rPr>
        <w:t>,</w:t>
      </w:r>
      <w:r w:rsidRPr="007B324D">
        <w:rPr>
          <w:rFonts w:ascii="72 Light" w:hAnsi="72 Light" w:cs="72 Light"/>
          <w:sz w:val="24"/>
          <w:szCs w:val="24"/>
          <w:lang w:val="fr-CA"/>
        </w:rPr>
        <w:t xml:space="preserve"> directement inscrit dans la </w:t>
      </w:r>
      <w:r w:rsidRPr="007B324D">
        <w:rPr>
          <w:rFonts w:ascii="72 Light" w:hAnsi="72 Light" w:cs="72 Light"/>
          <w:i/>
          <w:iCs/>
          <w:sz w:val="24"/>
          <w:szCs w:val="24"/>
          <w:lang w:val="fr-CA"/>
        </w:rPr>
        <w:t>Loi constitutionnelle de 1982</w:t>
      </w:r>
      <w:r w:rsidRPr="007B324D">
        <w:rPr>
          <w:rFonts w:ascii="72 Light" w:hAnsi="72 Light" w:cs="72 Light"/>
          <w:sz w:val="24"/>
          <w:szCs w:val="24"/>
          <w:lang w:val="fr-CA"/>
        </w:rPr>
        <w:t xml:space="preserve"> et dans la D</w:t>
      </w:r>
      <w:r w:rsidR="00027204" w:rsidRPr="007B324D">
        <w:rPr>
          <w:rFonts w:ascii="72 Light" w:hAnsi="72 Light" w:cs="72 Light"/>
          <w:sz w:val="24"/>
          <w:szCs w:val="24"/>
          <w:lang w:val="fr-CA"/>
        </w:rPr>
        <w:t>NUDPA</w:t>
      </w:r>
      <w:r w:rsidRPr="007B324D">
        <w:rPr>
          <w:rFonts w:ascii="72 Light" w:hAnsi="72 Light" w:cs="72 Light"/>
          <w:i/>
          <w:iCs/>
          <w:sz w:val="24"/>
          <w:szCs w:val="24"/>
          <w:lang w:val="fr-CA"/>
        </w:rPr>
        <w:t xml:space="preserve">. </w:t>
      </w:r>
      <w:r w:rsidRPr="007B324D">
        <w:rPr>
          <w:rFonts w:ascii="72 Light" w:hAnsi="72 Light" w:cs="72 Light"/>
          <w:sz w:val="24"/>
          <w:szCs w:val="24"/>
          <w:lang w:val="fr-CA"/>
        </w:rPr>
        <w:t xml:space="preserve">Le gouvernement du Canada a la responsabilité et l’obligation fiduciaire de veiller à ce que les écosystèmes marins et d’eau douce soient protégés, assainis et entretenus de manière à permettre aux Premières Nations de prospérer et d’être autonomes sur leurs terres et territoires. Les Premières Nations </w:t>
      </w:r>
      <w:r w:rsidR="00027204" w:rsidRPr="007B324D">
        <w:rPr>
          <w:rFonts w:ascii="72 Light" w:hAnsi="72 Light" w:cs="72 Light"/>
          <w:sz w:val="24"/>
          <w:szCs w:val="24"/>
          <w:lang w:val="fr-CA"/>
        </w:rPr>
        <w:t xml:space="preserve">subissent </w:t>
      </w:r>
      <w:r w:rsidRPr="007B324D">
        <w:rPr>
          <w:rFonts w:ascii="72 Light" w:hAnsi="72 Light" w:cs="72 Light"/>
          <w:sz w:val="24"/>
          <w:szCs w:val="24"/>
          <w:lang w:val="fr-CA"/>
        </w:rPr>
        <w:t>divers problèmes liés à l’eau qui vont bien au-delà de l’eau potable et des eaux usées. Une source d’eau propre, saine et protégée est une condition essentielle pour garantir la salubrité de l’eau potable. Les Premières Nations dépendent également d’une source d’eau protégée pour s’assurer que leurs rivières, lacs et océans sont capables de soutenir les organismes aquatiques, tels que les poissons, dont les Premières Nations dépendent pour leur subsistance. Les Premières Nations ont toujours entretenu une relation réciproque avec l’eau, qu’elles considèrent comme une «</w:t>
      </w:r>
      <w:r w:rsidR="00042C3C" w:rsidRPr="007B324D">
        <w:rPr>
          <w:rFonts w:ascii="Arial" w:hAnsi="Arial" w:cs="Arial"/>
          <w:sz w:val="24"/>
          <w:szCs w:val="24"/>
          <w:lang w:val="fr-CA"/>
        </w:rPr>
        <w:t> </w:t>
      </w:r>
      <w:r w:rsidRPr="007B324D">
        <w:rPr>
          <w:rFonts w:ascii="72 Light" w:hAnsi="72 Light" w:cs="72 Light"/>
          <w:sz w:val="24"/>
          <w:szCs w:val="24"/>
          <w:lang w:val="fr-CA"/>
        </w:rPr>
        <w:t>personne plus qu’humaine</w:t>
      </w:r>
      <w:r w:rsidR="00042C3C" w:rsidRPr="007B324D">
        <w:rPr>
          <w:rFonts w:ascii="Arial" w:hAnsi="Arial" w:cs="Arial"/>
          <w:sz w:val="24"/>
          <w:szCs w:val="24"/>
          <w:lang w:val="fr-CA"/>
        </w:rPr>
        <w:t> </w:t>
      </w:r>
      <w:r w:rsidRPr="007B324D">
        <w:rPr>
          <w:rFonts w:ascii="72 Light" w:hAnsi="72 Light" w:cs="72 Light"/>
          <w:sz w:val="24"/>
          <w:szCs w:val="24"/>
          <w:lang w:val="fr-CA"/>
        </w:rPr>
        <w:t>»</w:t>
      </w:r>
      <w:r w:rsidR="00027204" w:rsidRPr="007B324D">
        <w:rPr>
          <w:rFonts w:ascii="72 Light" w:hAnsi="72 Light" w:cs="72 Light"/>
          <w:sz w:val="24"/>
          <w:szCs w:val="24"/>
          <w:lang w:val="fr-CA"/>
        </w:rPr>
        <w:t xml:space="preserve"> devant être </w:t>
      </w:r>
      <w:r w:rsidRPr="007B324D">
        <w:rPr>
          <w:rFonts w:ascii="72 Light" w:hAnsi="72 Light" w:cs="72 Light"/>
          <w:sz w:val="24"/>
          <w:szCs w:val="24"/>
          <w:lang w:val="fr-CA"/>
        </w:rPr>
        <w:t>nourrie, protégée et respectée.</w:t>
      </w:r>
    </w:p>
    <w:p w14:paraId="16543736" w14:textId="7E477F15"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À ce jour, le gouvernement du Canada n’a pas été en mesure de s’attaquer de manière adéquate aux répercussions des changements climatiques, de la pollution industrielle et du racisme environnemental et, par corrélation directe, de veiller à la santé et au bien-être des Premières Nations. </w:t>
      </w:r>
      <w:r w:rsidR="00027204" w:rsidRPr="007B324D">
        <w:rPr>
          <w:rFonts w:ascii="72 Light" w:hAnsi="72 Light" w:cs="72 Light"/>
          <w:sz w:val="24"/>
          <w:szCs w:val="24"/>
          <w:lang w:val="fr-CA"/>
        </w:rPr>
        <w:t>Ces dernières</w:t>
      </w:r>
      <w:r w:rsidRPr="007B324D">
        <w:rPr>
          <w:rFonts w:ascii="72 Light" w:hAnsi="72 Light" w:cs="72 Light"/>
          <w:sz w:val="24"/>
          <w:szCs w:val="24"/>
          <w:lang w:val="fr-CA"/>
        </w:rPr>
        <w:t xml:space="preserve"> subissent les conséquences les plus graves des changements climatiques, de la pollution industrielle et du racisme environnemental, qui menacent leurs pratiques économiques, culturelles et spirituelles. La dégradation des eaux marines et douces a fondamentalement changé la façon dont les Premières Nations interagissent avec l’environnement. Sans la mobilisation, l’inclusion et les investissements appropriés du gouvernement canadien, </w:t>
      </w:r>
      <w:r w:rsidR="00027204" w:rsidRPr="007B324D">
        <w:rPr>
          <w:rFonts w:ascii="72 Light" w:hAnsi="72 Light" w:cs="72 Light"/>
          <w:sz w:val="24"/>
          <w:szCs w:val="24"/>
          <w:lang w:val="fr-CA"/>
        </w:rPr>
        <w:t>celles-ci sont ont du mal à gérer les</w:t>
      </w:r>
      <w:r w:rsidRPr="007B324D">
        <w:rPr>
          <w:rFonts w:ascii="72 Light" w:hAnsi="72 Light" w:cs="72 Light"/>
          <w:sz w:val="24"/>
          <w:szCs w:val="24"/>
          <w:lang w:val="fr-CA"/>
        </w:rPr>
        <w:t xml:space="preserve"> terres et l’eau sur l’ensemble de leurs territoires. </w:t>
      </w:r>
    </w:p>
    <w:p w14:paraId="37D6E2B7" w14:textId="72B516A3"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Pour les femmes des Premières Nations, le lien réciproque avec l’eau s’approfondit dans leur rôle de porteuses d’enfants, en reconnaissant que tous les aspects de la création sont interdépendants. De ce point de vue, il est essentiel de veiller à ce que le Canada utilise </w:t>
      </w:r>
      <w:r w:rsidR="00027204" w:rsidRPr="007B324D">
        <w:rPr>
          <w:rFonts w:ascii="72 Light" w:hAnsi="72 Light" w:cs="72 Light"/>
          <w:sz w:val="24"/>
          <w:szCs w:val="24"/>
          <w:lang w:val="fr-CA"/>
        </w:rPr>
        <w:t>l’</w:t>
      </w:r>
      <w:r w:rsidRPr="007B324D">
        <w:rPr>
          <w:rFonts w:ascii="72 Light" w:hAnsi="72 Light" w:cs="72 Light"/>
          <w:sz w:val="24"/>
          <w:szCs w:val="24"/>
          <w:lang w:val="fr-CA"/>
        </w:rPr>
        <w:t>optique de l’analyse comparative entre les sexes (ACS) lors de la prise de décisions concernant l’eau. L’ACS est insuffisante lorsque le Canada utilise une approche pan</w:t>
      </w:r>
      <w:r w:rsidR="00F4734D" w:rsidRPr="007B324D">
        <w:rPr>
          <w:rFonts w:ascii="72 Light" w:hAnsi="72 Light" w:cs="72 Light"/>
          <w:sz w:val="24"/>
          <w:szCs w:val="24"/>
          <w:lang w:val="fr-CA"/>
        </w:rPr>
        <w:t>-</w:t>
      </w:r>
      <w:r w:rsidRPr="007B324D">
        <w:rPr>
          <w:rFonts w:ascii="72 Light" w:hAnsi="72 Light" w:cs="72 Light"/>
          <w:sz w:val="24"/>
          <w:szCs w:val="24"/>
          <w:lang w:val="fr-CA"/>
        </w:rPr>
        <w:t xml:space="preserve">autochtone, qui considère les Premières Nations, les Métis et les Inuit comme un groupe homogène plutôt que de les considérer comme étant distincts les uns des autres. L’application de l’optique de l’ACS permet d’envisager une approche plus équitable et plus inclusive entre les sexes, les femmes </w:t>
      </w:r>
      <w:r w:rsidR="00027204" w:rsidRPr="007B324D">
        <w:rPr>
          <w:rFonts w:ascii="72 Light" w:hAnsi="72 Light" w:cs="72 Light"/>
          <w:sz w:val="24"/>
          <w:szCs w:val="24"/>
          <w:lang w:val="fr-CA"/>
        </w:rPr>
        <w:t>étant</w:t>
      </w:r>
      <w:r w:rsidRPr="007B324D">
        <w:rPr>
          <w:rFonts w:ascii="72 Light" w:hAnsi="72 Light" w:cs="72 Light"/>
          <w:sz w:val="24"/>
          <w:szCs w:val="24"/>
          <w:lang w:val="fr-CA"/>
        </w:rPr>
        <w:t xml:space="preserve"> considérées en relation avec les hommes dans la société plutôt que de manière isolée. La mise </w:t>
      </w:r>
      <w:r w:rsidRPr="007B324D">
        <w:rPr>
          <w:rFonts w:ascii="72 Light" w:hAnsi="72 Light" w:cs="72 Light"/>
          <w:sz w:val="24"/>
          <w:szCs w:val="24"/>
          <w:lang w:val="fr-CA"/>
        </w:rPr>
        <w:lastRenderedPageBreak/>
        <w:t xml:space="preserve">en place d’un tel processus serait conforme à la </w:t>
      </w:r>
      <w:r w:rsidRPr="007B324D">
        <w:rPr>
          <w:rFonts w:ascii="72 Light" w:hAnsi="72 Light" w:cs="72 Light"/>
          <w:i/>
          <w:iCs/>
          <w:sz w:val="24"/>
          <w:szCs w:val="24"/>
          <w:lang w:val="fr-CA"/>
        </w:rPr>
        <w:t>Charte canadienne des droits et libertés</w:t>
      </w:r>
      <w:r w:rsidRPr="007B324D">
        <w:rPr>
          <w:rFonts w:ascii="72 Light" w:hAnsi="72 Light" w:cs="72 Light"/>
          <w:sz w:val="24"/>
          <w:szCs w:val="24"/>
          <w:lang w:val="fr-CA"/>
        </w:rPr>
        <w:t xml:space="preserve"> et à la </w:t>
      </w:r>
      <w:r w:rsidRPr="007B324D">
        <w:rPr>
          <w:rFonts w:ascii="72 Light" w:hAnsi="72 Light" w:cs="72 Light"/>
          <w:i/>
          <w:iCs/>
          <w:sz w:val="24"/>
          <w:szCs w:val="24"/>
          <w:lang w:val="fr-CA"/>
        </w:rPr>
        <w:t>Loi canadienne sur les droits de la personne</w:t>
      </w:r>
      <w:r w:rsidRPr="007B324D">
        <w:rPr>
          <w:rFonts w:ascii="72 Light" w:hAnsi="72 Light" w:cs="72 Light"/>
          <w:sz w:val="24"/>
          <w:szCs w:val="24"/>
          <w:lang w:val="fr-CA"/>
        </w:rPr>
        <w:t xml:space="preserve">. En 1995, le gouvernement du Canada s’est engagé à intégrer l’ACS dans l’ensemble des politiques et programmes gouvernementaux de tous les ministères et organismes fédéraux, mais il n’a pas réussi à le faire de manière cohérente et </w:t>
      </w:r>
      <w:r w:rsidR="00027204" w:rsidRPr="007B324D">
        <w:rPr>
          <w:rFonts w:ascii="72 Light" w:hAnsi="72 Light" w:cs="72 Light"/>
          <w:sz w:val="24"/>
          <w:szCs w:val="24"/>
          <w:lang w:val="fr-CA"/>
        </w:rPr>
        <w:t>véritable</w:t>
      </w:r>
      <w:r w:rsidRPr="007B324D">
        <w:rPr>
          <w:rFonts w:ascii="72 Light" w:hAnsi="72 Light" w:cs="72 Light"/>
          <w:sz w:val="24"/>
          <w:szCs w:val="24"/>
          <w:lang w:val="fr-CA"/>
        </w:rPr>
        <w:t xml:space="preserve">. </w:t>
      </w:r>
    </w:p>
    <w:p w14:paraId="49C466FD" w14:textId="77777777" w:rsidR="00BF3013" w:rsidRPr="007B324D" w:rsidRDefault="00BF3013" w:rsidP="00F62155">
      <w:pPr>
        <w:tabs>
          <w:tab w:val="left" w:pos="3544"/>
        </w:tabs>
        <w:spacing w:before="120" w:line="276" w:lineRule="auto"/>
        <w:ind w:left="0" w:firstLine="0"/>
        <w:jc w:val="both"/>
        <w:rPr>
          <w:rFonts w:ascii="72 Light" w:hAnsi="72 Light" w:cs="72 Light"/>
          <w:i/>
          <w:iCs/>
          <w:sz w:val="24"/>
          <w:szCs w:val="24"/>
          <w:lang w:val="fr-CA"/>
        </w:rPr>
      </w:pPr>
      <w:r w:rsidRPr="007B324D">
        <w:rPr>
          <w:rFonts w:ascii="72 Light" w:hAnsi="72 Light" w:cs="72 Light"/>
          <w:i/>
          <w:iCs/>
          <w:sz w:val="24"/>
          <w:szCs w:val="24"/>
          <w:lang w:val="fr-CA"/>
        </w:rPr>
        <w:t xml:space="preserve">Souveraineté des données </w:t>
      </w:r>
    </w:p>
    <w:p w14:paraId="0EAFCFF4" w14:textId="7E1BD938" w:rsidR="00BF3013" w:rsidRPr="007B324D" w:rsidRDefault="00BF3013" w:rsidP="00F62155">
      <w:pPr>
        <w:pStyle w:val="paragraph"/>
        <w:tabs>
          <w:tab w:val="left" w:pos="3544"/>
        </w:tabs>
        <w:spacing w:before="120" w:beforeAutospacing="0" w:after="120" w:afterAutospacing="0" w:line="276" w:lineRule="auto"/>
        <w:jc w:val="both"/>
        <w:textAlignment w:val="baseline"/>
        <w:rPr>
          <w:rStyle w:val="normaltextrun"/>
          <w:rFonts w:ascii="72 Light" w:hAnsi="72 Light" w:cs="72 Light"/>
          <w:lang w:val="fr-CA"/>
        </w:rPr>
      </w:pPr>
      <w:r w:rsidRPr="007B324D">
        <w:rPr>
          <w:rStyle w:val="normaltextrun"/>
          <w:rFonts w:ascii="72 Light" w:hAnsi="72 Light" w:cs="72 Light"/>
          <w:lang w:val="fr-CA"/>
        </w:rPr>
        <w:t>Les données sont l’outil fondamental utilisé par les États prospères pour évaluer</w:t>
      </w:r>
      <w:r w:rsidR="00027204" w:rsidRPr="007B324D">
        <w:rPr>
          <w:rStyle w:val="normaltextrun"/>
          <w:rFonts w:ascii="72 Light" w:hAnsi="72 Light" w:cs="72 Light"/>
          <w:lang w:val="fr-CA"/>
        </w:rPr>
        <w:t>, planifier et mesurer</w:t>
      </w:r>
      <w:r w:rsidRPr="007B324D">
        <w:rPr>
          <w:rStyle w:val="normaltextrun"/>
          <w:rFonts w:ascii="72 Light" w:hAnsi="72 Light" w:cs="72 Light"/>
          <w:lang w:val="fr-CA"/>
        </w:rPr>
        <w:t xml:space="preserve"> les progrès, et faire rapport à leurs citoyens à ce sujet. Globalement, la collecte et l’analyse d’information sur le public sont nécessaires pour assurer une bonne gouvernance. Les Premières Nations du Canada ont le droit à l’autodétermination et à l’autonomie dans les questions relatives à leurs affaires intérieures et locales, mais elles n’ont pas le privilège de recueillir et d’analyser des renseignements de qualité sur leurs citoyens, ce qui limite leur capacité à exercer une bonne gouvernance et à </w:t>
      </w:r>
      <w:r w:rsidR="00027204" w:rsidRPr="007B324D">
        <w:rPr>
          <w:rStyle w:val="normaltextrun"/>
          <w:rFonts w:ascii="72 Light" w:hAnsi="72 Light" w:cs="72 Light"/>
          <w:lang w:val="fr-CA"/>
        </w:rPr>
        <w:t>rendre des comptes</w:t>
      </w:r>
      <w:r w:rsidRPr="007B324D">
        <w:rPr>
          <w:rStyle w:val="normaltextrun"/>
          <w:rFonts w:ascii="72 Light" w:hAnsi="72 Light" w:cs="72 Light"/>
          <w:lang w:val="fr-CA"/>
        </w:rPr>
        <w:t>.</w:t>
      </w:r>
    </w:p>
    <w:p w14:paraId="13610F40" w14:textId="2C1DC0DC" w:rsidR="00BF3013" w:rsidRPr="007B324D" w:rsidRDefault="00027204" w:rsidP="00F62155">
      <w:pPr>
        <w:pStyle w:val="paragraph"/>
        <w:tabs>
          <w:tab w:val="left" w:pos="3544"/>
        </w:tabs>
        <w:spacing w:before="120" w:beforeAutospacing="0" w:after="120" w:afterAutospacing="0" w:line="276" w:lineRule="auto"/>
        <w:jc w:val="both"/>
        <w:textAlignment w:val="baseline"/>
        <w:rPr>
          <w:rStyle w:val="eop"/>
          <w:rFonts w:ascii="72 Light" w:hAnsi="72 Light" w:cs="72 Light"/>
          <w:lang w:val="fr-CA"/>
        </w:rPr>
      </w:pPr>
      <w:r w:rsidRPr="007B324D">
        <w:rPr>
          <w:rStyle w:val="normaltextrun"/>
          <w:rFonts w:ascii="72 Light" w:hAnsi="72 Light" w:cs="72 Light"/>
          <w:lang w:val="fr-CA"/>
        </w:rPr>
        <w:t>En ce moment</w:t>
      </w:r>
      <w:r w:rsidR="00BF3013" w:rsidRPr="007B324D">
        <w:rPr>
          <w:rStyle w:val="normaltextrun"/>
          <w:rFonts w:ascii="72 Light" w:hAnsi="72 Light" w:cs="72 Light"/>
          <w:lang w:val="fr-CA"/>
        </w:rPr>
        <w:t xml:space="preserve">, au Canada, le manque de données disponibles </w:t>
      </w:r>
      <w:r w:rsidRPr="007B324D">
        <w:rPr>
          <w:rStyle w:val="normaltextrun"/>
          <w:rFonts w:ascii="72 Light" w:hAnsi="72 Light" w:cs="72 Light"/>
          <w:lang w:val="fr-CA"/>
        </w:rPr>
        <w:t>sur les membres des</w:t>
      </w:r>
      <w:r w:rsidR="00BF3013" w:rsidRPr="007B324D">
        <w:rPr>
          <w:rStyle w:val="normaltextrun"/>
          <w:rFonts w:ascii="72 Light" w:hAnsi="72 Light" w:cs="72 Light"/>
          <w:lang w:val="fr-CA"/>
        </w:rPr>
        <w:t xml:space="preserve"> Premières Nations entrave leur droit de participer </w:t>
      </w:r>
      <w:r w:rsidRPr="007B324D">
        <w:rPr>
          <w:rStyle w:val="normaltextrun"/>
          <w:rFonts w:ascii="72 Light" w:hAnsi="72 Light" w:cs="72 Light"/>
          <w:lang w:val="fr-CA"/>
        </w:rPr>
        <w:t xml:space="preserve">à la </w:t>
      </w:r>
      <w:r w:rsidR="00BF3013" w:rsidRPr="007B324D">
        <w:rPr>
          <w:rStyle w:val="normaltextrun"/>
          <w:rFonts w:ascii="72 Light" w:hAnsi="72 Light" w:cs="72 Light"/>
          <w:lang w:val="fr-CA"/>
        </w:rPr>
        <w:t>prise de</w:t>
      </w:r>
      <w:r w:rsidRPr="007B324D">
        <w:rPr>
          <w:rStyle w:val="normaltextrun"/>
          <w:rFonts w:ascii="72 Light" w:hAnsi="72 Light" w:cs="72 Light"/>
          <w:lang w:val="fr-CA"/>
        </w:rPr>
        <w:t>s</w:t>
      </w:r>
      <w:r w:rsidR="00BF3013" w:rsidRPr="007B324D">
        <w:rPr>
          <w:rStyle w:val="normaltextrun"/>
          <w:rFonts w:ascii="72 Light" w:hAnsi="72 Light" w:cs="72 Light"/>
          <w:lang w:val="fr-CA"/>
        </w:rPr>
        <w:t xml:space="preserve"> décisions qui les concernent. L’information </w:t>
      </w:r>
      <w:r w:rsidRPr="007B324D">
        <w:rPr>
          <w:rStyle w:val="normaltextrun"/>
          <w:rFonts w:ascii="72 Light" w:hAnsi="72 Light" w:cs="72 Light"/>
          <w:lang w:val="fr-CA"/>
        </w:rPr>
        <w:t>a une incidence sur</w:t>
      </w:r>
      <w:r w:rsidR="00BF3013" w:rsidRPr="007B324D">
        <w:rPr>
          <w:rStyle w:val="normaltextrun"/>
          <w:rFonts w:ascii="72 Light" w:hAnsi="72 Light" w:cs="72 Light"/>
          <w:lang w:val="fr-CA"/>
        </w:rPr>
        <w:t xml:space="preserve"> la politique et l’attitude du public. La désinformation et d’autres types de propagande sur les Premières Nations </w:t>
      </w:r>
      <w:r w:rsidRPr="007B324D">
        <w:rPr>
          <w:rStyle w:val="normaltextrun"/>
          <w:rFonts w:ascii="72 Light" w:hAnsi="72 Light" w:cs="72 Light"/>
          <w:lang w:val="fr-CA"/>
        </w:rPr>
        <w:t>comme sur</w:t>
      </w:r>
      <w:r w:rsidR="00BF3013" w:rsidRPr="007B324D">
        <w:rPr>
          <w:rStyle w:val="normaltextrun"/>
          <w:rFonts w:ascii="72 Light" w:hAnsi="72 Light" w:cs="72 Light"/>
          <w:lang w:val="fr-CA"/>
        </w:rPr>
        <w:t xml:space="preserve"> leurs droits sont des facteurs clés qui </w:t>
      </w:r>
      <w:r w:rsidRPr="007B324D">
        <w:rPr>
          <w:rStyle w:val="normaltextrun"/>
          <w:rFonts w:ascii="72 Light" w:hAnsi="72 Light" w:cs="72 Light"/>
          <w:lang w:val="fr-CA"/>
        </w:rPr>
        <w:t>jouent sur</w:t>
      </w:r>
      <w:r w:rsidR="00BF3013" w:rsidRPr="007B324D">
        <w:rPr>
          <w:rStyle w:val="normaltextrun"/>
          <w:rFonts w:ascii="72 Light" w:hAnsi="72 Light" w:cs="72 Light"/>
          <w:lang w:val="fr-CA"/>
        </w:rPr>
        <w:t xml:space="preserve"> la discrimination dont les Premières Nations font l’objet dans le</w:t>
      </w:r>
      <w:r w:rsidR="00C85D13" w:rsidRPr="007B324D">
        <w:rPr>
          <w:rStyle w:val="normaltextrun"/>
          <w:rFonts w:ascii="72 Light" w:hAnsi="72 Light" w:cs="72 Light"/>
          <w:lang w:val="fr-CA"/>
        </w:rPr>
        <w:t xml:space="preserve"> cadre des</w:t>
      </w:r>
      <w:r w:rsidR="00BF3013" w:rsidRPr="007B324D">
        <w:rPr>
          <w:rStyle w:val="normaltextrun"/>
          <w:rFonts w:ascii="72 Light" w:hAnsi="72 Light" w:cs="72 Light"/>
          <w:lang w:val="fr-CA"/>
        </w:rPr>
        <w:t xml:space="preserve"> politiques publiques canadiennes </w:t>
      </w:r>
      <w:r w:rsidR="00C85D13" w:rsidRPr="007B324D">
        <w:rPr>
          <w:rStyle w:val="normaltextrun"/>
          <w:rFonts w:ascii="72 Light" w:hAnsi="72 Light" w:cs="72 Light"/>
          <w:lang w:val="fr-CA"/>
        </w:rPr>
        <w:t xml:space="preserve">et dans leurs rapports avec </w:t>
      </w:r>
      <w:r w:rsidR="00BF3013" w:rsidRPr="007B324D">
        <w:rPr>
          <w:rStyle w:val="normaltextrun"/>
          <w:rFonts w:ascii="72 Light" w:hAnsi="72 Light" w:cs="72 Light"/>
          <w:lang w:val="fr-CA"/>
        </w:rPr>
        <w:t xml:space="preserve">le grand public. </w:t>
      </w:r>
    </w:p>
    <w:p w14:paraId="542E9B97" w14:textId="545C619C" w:rsidR="00BF3013" w:rsidRPr="007B324D" w:rsidRDefault="00BF3013" w:rsidP="00F62155">
      <w:pPr>
        <w:pStyle w:val="paragraph"/>
        <w:tabs>
          <w:tab w:val="left" w:pos="3544"/>
        </w:tabs>
        <w:spacing w:before="120" w:beforeAutospacing="0" w:after="120" w:afterAutospacing="0" w:line="276" w:lineRule="auto"/>
        <w:jc w:val="both"/>
        <w:textAlignment w:val="baseline"/>
        <w:rPr>
          <w:rStyle w:val="eop"/>
          <w:rFonts w:ascii="72 Light" w:hAnsi="72 Light" w:cs="72 Light"/>
          <w:lang w:val="fr-CA"/>
        </w:rPr>
      </w:pPr>
      <w:r w:rsidRPr="007B324D">
        <w:rPr>
          <w:rStyle w:val="normaltextrun"/>
          <w:rFonts w:ascii="72 Light" w:hAnsi="72 Light" w:cs="72 Light"/>
          <w:lang w:val="fr-CA"/>
        </w:rPr>
        <w:t>En raison d’un manque d’investissement de la part du Canada, les Premières Nations ne sont pas en mesure de recueillir des données sociales et administratives au niveau du recensement. Cette situation a suscité l’inquiétude des dirigeants des Premières Nations. Sans sources appropriées et précises de données sur les Premières Nations, il est impossible de mesurer avec exactitude l’inégalité et l’iniquité de l</w:t>
      </w:r>
      <w:r w:rsidR="00C85D13" w:rsidRPr="007B324D">
        <w:rPr>
          <w:rStyle w:val="normaltextrun"/>
          <w:rFonts w:ascii="72 Light" w:hAnsi="72 Light" w:cs="72 Light"/>
          <w:lang w:val="fr-CA"/>
        </w:rPr>
        <w:t xml:space="preserve">eur </w:t>
      </w:r>
      <w:r w:rsidRPr="007B324D">
        <w:rPr>
          <w:rStyle w:val="normaltextrun"/>
          <w:rFonts w:ascii="72 Light" w:hAnsi="72 Light" w:cs="72 Light"/>
          <w:lang w:val="fr-CA"/>
        </w:rPr>
        <w:t xml:space="preserve">expérience au Canada. Cela contribue en outre à une conception erronée de l’écart de bien-être entre les Canadiens et les Premières Nations. Il devient </w:t>
      </w:r>
      <w:r w:rsidR="00C85D13" w:rsidRPr="007B324D">
        <w:rPr>
          <w:rStyle w:val="normaltextrun"/>
          <w:rFonts w:ascii="72 Light" w:hAnsi="72 Light" w:cs="72 Light"/>
          <w:lang w:val="fr-CA"/>
        </w:rPr>
        <w:t>aussi</w:t>
      </w:r>
      <w:r w:rsidRPr="007B324D">
        <w:rPr>
          <w:rStyle w:val="normaltextrun"/>
          <w:rFonts w:ascii="72 Light" w:hAnsi="72 Light" w:cs="72 Light"/>
          <w:lang w:val="fr-CA"/>
        </w:rPr>
        <w:t xml:space="preserve"> impossible de prévoir si les gouvernements des Premières Nations seront en mesure de fournir des services adéquats et accessibles à leurs citoyens. La définition de cet écart est essentielle </w:t>
      </w:r>
      <w:r w:rsidR="00C85D13" w:rsidRPr="007B324D">
        <w:rPr>
          <w:rStyle w:val="normaltextrun"/>
          <w:rFonts w:ascii="72 Light" w:hAnsi="72 Light" w:cs="72 Light"/>
          <w:lang w:val="fr-CA"/>
        </w:rPr>
        <w:t>si l’on veut</w:t>
      </w:r>
      <w:r w:rsidRPr="007B324D">
        <w:rPr>
          <w:rStyle w:val="normaltextrun"/>
          <w:rFonts w:ascii="72 Light" w:hAnsi="72 Light" w:cs="72 Light"/>
          <w:lang w:val="fr-CA"/>
        </w:rPr>
        <w:t xml:space="preserve"> mesurer les progrès réalisés dans la mise en œuvre de la </w:t>
      </w:r>
      <w:r w:rsidR="00CB4EBD" w:rsidRPr="007B324D">
        <w:rPr>
          <w:rStyle w:val="normaltextrun"/>
          <w:rFonts w:ascii="72 Light" w:hAnsi="72 Light" w:cs="72 Light"/>
          <w:lang w:val="fr-CA"/>
        </w:rPr>
        <w:t>D</w:t>
      </w:r>
      <w:r w:rsidRPr="007B324D">
        <w:rPr>
          <w:rStyle w:val="normaltextrun"/>
          <w:rFonts w:ascii="72 Light" w:hAnsi="72 Light" w:cs="72 Light"/>
          <w:lang w:val="fr-CA"/>
        </w:rPr>
        <w:t xml:space="preserve">éclaration </w:t>
      </w:r>
      <w:r w:rsidR="00CB4EBD" w:rsidRPr="007B324D">
        <w:rPr>
          <w:rStyle w:val="normaltextrun"/>
          <w:rFonts w:ascii="72 Light" w:hAnsi="72 Light" w:cs="72 Light"/>
          <w:lang w:val="fr-CA"/>
        </w:rPr>
        <w:t xml:space="preserve">des Nations Unies </w:t>
      </w:r>
      <w:r w:rsidRPr="007B324D">
        <w:rPr>
          <w:rStyle w:val="normaltextrun"/>
          <w:rFonts w:ascii="72 Light" w:hAnsi="72 Light" w:cs="72 Light"/>
          <w:lang w:val="fr-CA"/>
        </w:rPr>
        <w:t>et les effets escomptés.</w:t>
      </w:r>
      <w:r w:rsidRPr="007B324D">
        <w:rPr>
          <w:rStyle w:val="eop"/>
          <w:rFonts w:ascii="72 Light" w:hAnsi="72 Light" w:cs="72 Light"/>
          <w:lang w:val="fr-CA"/>
        </w:rPr>
        <w:t> </w:t>
      </w:r>
    </w:p>
    <w:p w14:paraId="64388049" w14:textId="21B4B26E" w:rsidR="00BF3013" w:rsidRPr="007B324D" w:rsidRDefault="00BF3013" w:rsidP="00F62155">
      <w:pPr>
        <w:pStyle w:val="paragraph"/>
        <w:tabs>
          <w:tab w:val="left" w:pos="3544"/>
        </w:tabs>
        <w:spacing w:before="120" w:beforeAutospacing="0" w:after="120" w:afterAutospacing="0" w:line="276" w:lineRule="auto"/>
        <w:jc w:val="both"/>
        <w:textAlignment w:val="baseline"/>
        <w:rPr>
          <w:rStyle w:val="eop"/>
          <w:rFonts w:ascii="72 Light" w:hAnsi="72 Light" w:cs="72 Light"/>
          <w:lang w:val="fr-CA"/>
        </w:rPr>
      </w:pPr>
      <w:r w:rsidRPr="007B324D">
        <w:rPr>
          <w:rStyle w:val="normaltextrun"/>
          <w:rFonts w:ascii="72 Light" w:hAnsi="72 Light" w:cs="72 Light"/>
          <w:lang w:val="fr-CA"/>
        </w:rPr>
        <w:t xml:space="preserve">En ce qui concerne le financement adéquat, durable et prévisible de la gouvernance des Premières Nations, le Canada doit reconnaître que ses méthodes de </w:t>
      </w:r>
      <w:r w:rsidR="00C85D13" w:rsidRPr="007B324D">
        <w:rPr>
          <w:rStyle w:val="normaltextrun"/>
          <w:rFonts w:ascii="72 Light" w:hAnsi="72 Light" w:cs="72 Light"/>
          <w:lang w:val="fr-CA"/>
        </w:rPr>
        <w:t>dénombrement</w:t>
      </w:r>
      <w:r w:rsidRPr="007B324D">
        <w:rPr>
          <w:rStyle w:val="normaltextrun"/>
          <w:rFonts w:ascii="72 Light" w:hAnsi="72 Light" w:cs="72 Light"/>
          <w:lang w:val="fr-CA"/>
        </w:rPr>
        <w:t xml:space="preserve"> des citoyens des Premières Nations ne tiennent pas compte d</w:t>
      </w:r>
      <w:r w:rsidR="00C85D13" w:rsidRPr="007B324D">
        <w:rPr>
          <w:rStyle w:val="normaltextrun"/>
          <w:rFonts w:ascii="72 Light" w:hAnsi="72 Light" w:cs="72 Light"/>
          <w:lang w:val="fr-CA"/>
        </w:rPr>
        <w:t>u</w:t>
      </w:r>
      <w:r w:rsidRPr="007B324D">
        <w:rPr>
          <w:rStyle w:val="normaltextrun"/>
          <w:rFonts w:ascii="72 Light" w:hAnsi="72 Light" w:cs="72 Light"/>
          <w:lang w:val="fr-CA"/>
        </w:rPr>
        <w:t xml:space="preserve"> droit de</w:t>
      </w:r>
      <w:r w:rsidR="00C85D13" w:rsidRPr="007B324D">
        <w:rPr>
          <w:rStyle w:val="normaltextrun"/>
          <w:rFonts w:ascii="72 Light" w:hAnsi="72 Light" w:cs="72 Light"/>
          <w:lang w:val="fr-CA"/>
        </w:rPr>
        <w:t xml:space="preserve"> ce</w:t>
      </w:r>
      <w:r w:rsidRPr="007B324D">
        <w:rPr>
          <w:rStyle w:val="normaltextrun"/>
          <w:rFonts w:ascii="72 Light" w:hAnsi="72 Light" w:cs="72 Light"/>
          <w:lang w:val="fr-CA"/>
        </w:rPr>
        <w:t xml:space="preserve">s </w:t>
      </w:r>
      <w:r w:rsidR="00C85D13" w:rsidRPr="007B324D">
        <w:rPr>
          <w:rStyle w:val="normaltextrun"/>
          <w:rFonts w:ascii="72 Light" w:hAnsi="72 Light" w:cs="72 Light"/>
          <w:lang w:val="fr-CA"/>
        </w:rPr>
        <w:t>dernières</w:t>
      </w:r>
      <w:r w:rsidRPr="007B324D">
        <w:rPr>
          <w:rStyle w:val="normaltextrun"/>
          <w:rFonts w:ascii="72 Light" w:hAnsi="72 Light" w:cs="72 Light"/>
          <w:lang w:val="fr-CA"/>
        </w:rPr>
        <w:t xml:space="preserve"> à déterminer leur propre citoyenneté. Les gouvernements des Premières Nations ont la responsabilité de fournir des programmes et des services à leur</w:t>
      </w:r>
      <w:r w:rsidR="00C85D13" w:rsidRPr="007B324D">
        <w:rPr>
          <w:rStyle w:val="normaltextrun"/>
          <w:rFonts w:ascii="72 Light" w:hAnsi="72 Light" w:cs="72 Light"/>
          <w:lang w:val="fr-CA"/>
        </w:rPr>
        <w:t>s citoyens</w:t>
      </w:r>
      <w:r w:rsidRPr="007B324D">
        <w:rPr>
          <w:rStyle w:val="normaltextrun"/>
          <w:rFonts w:ascii="72 Light" w:hAnsi="72 Light" w:cs="72 Light"/>
          <w:lang w:val="fr-CA"/>
        </w:rPr>
        <w:t xml:space="preserve">, quelle que soit leur ascendance. Le Canada ne doit pas continuer à quantifier les montants de financement des Premières Nations en fonction du nombre de citoyens admissibles en vertu de la </w:t>
      </w:r>
      <w:r w:rsidRPr="007B324D">
        <w:rPr>
          <w:rStyle w:val="normaltextrun"/>
          <w:rFonts w:ascii="72 Light" w:hAnsi="72 Light" w:cs="72 Light"/>
          <w:i/>
          <w:iCs/>
          <w:lang w:val="fr-CA"/>
        </w:rPr>
        <w:t>Loi sur les Indiens</w:t>
      </w:r>
      <w:r w:rsidRPr="007B324D">
        <w:rPr>
          <w:rStyle w:val="normaltextrun"/>
          <w:rFonts w:ascii="72 Light" w:hAnsi="72 Light" w:cs="72 Light"/>
          <w:lang w:val="fr-CA"/>
        </w:rPr>
        <w:t>. Pour les Premières Nations, le Registre des Indiens tenu par le Canada n’est pas un outil précis pour calculer</w:t>
      </w:r>
      <w:r w:rsidR="00C85D13" w:rsidRPr="007B324D">
        <w:rPr>
          <w:rStyle w:val="normaltextrun"/>
          <w:rFonts w:ascii="72 Light" w:hAnsi="72 Light" w:cs="72 Light"/>
          <w:lang w:val="fr-CA"/>
        </w:rPr>
        <w:t xml:space="preserve"> combien il en </w:t>
      </w:r>
      <w:r w:rsidR="00C85D13" w:rsidRPr="007B324D">
        <w:rPr>
          <w:rStyle w:val="normaltextrun"/>
          <w:rFonts w:ascii="72 Light" w:hAnsi="72 Light" w:cs="72 Light"/>
          <w:lang w:val="fr-CA"/>
        </w:rPr>
        <w:lastRenderedPageBreak/>
        <w:t xml:space="preserve">coûterait pour fournir le </w:t>
      </w:r>
      <w:r w:rsidRPr="007B324D">
        <w:rPr>
          <w:rStyle w:val="normaltextrun"/>
          <w:rFonts w:ascii="72 Light" w:hAnsi="72 Light" w:cs="72 Light"/>
          <w:lang w:val="fr-CA"/>
        </w:rPr>
        <w:t xml:space="preserve">niveau de vie promis aux Canadiens. Le modèle de financement actuel du Canada ne tient pas compte du fait que les Premières Nations sont également tenues de respecter les normes canadiennes en matière de droits de la personne et d’assurer </w:t>
      </w:r>
      <w:r w:rsidR="00C85D13" w:rsidRPr="007B324D">
        <w:rPr>
          <w:rStyle w:val="normaltextrun"/>
          <w:rFonts w:ascii="72 Light" w:hAnsi="72 Light" w:cs="72 Light"/>
          <w:lang w:val="fr-CA"/>
        </w:rPr>
        <w:t xml:space="preserve">un </w:t>
      </w:r>
      <w:r w:rsidRPr="007B324D">
        <w:rPr>
          <w:rStyle w:val="normaltextrun"/>
          <w:rFonts w:ascii="72 Light" w:hAnsi="72 Light" w:cs="72 Light"/>
          <w:lang w:val="fr-CA"/>
        </w:rPr>
        <w:t xml:space="preserve">accès aux programmes et aux services </w:t>
      </w:r>
      <w:r w:rsidR="00C85D13" w:rsidRPr="007B324D">
        <w:rPr>
          <w:rStyle w:val="normaltextrun"/>
          <w:rFonts w:ascii="72 Light" w:hAnsi="72 Light" w:cs="72 Light"/>
          <w:lang w:val="fr-CA"/>
        </w:rPr>
        <w:t xml:space="preserve">de même qualité que celui dont bénéficient </w:t>
      </w:r>
      <w:r w:rsidRPr="007B324D">
        <w:rPr>
          <w:rStyle w:val="normaltextrun"/>
          <w:rFonts w:ascii="72 Light" w:hAnsi="72 Light" w:cs="72 Light"/>
          <w:lang w:val="fr-CA"/>
        </w:rPr>
        <w:t xml:space="preserve">tous les autres Canadiens. </w:t>
      </w:r>
    </w:p>
    <w:p w14:paraId="66A22306" w14:textId="507177D8" w:rsidR="00BF3013" w:rsidRPr="007B324D" w:rsidRDefault="00BF3013" w:rsidP="00F62155">
      <w:pPr>
        <w:pStyle w:val="paragraph"/>
        <w:tabs>
          <w:tab w:val="left" w:pos="3544"/>
        </w:tabs>
        <w:spacing w:before="120" w:beforeAutospacing="0" w:after="120" w:afterAutospacing="0" w:line="276" w:lineRule="auto"/>
        <w:jc w:val="both"/>
        <w:textAlignment w:val="baseline"/>
        <w:rPr>
          <w:rStyle w:val="eop"/>
          <w:rFonts w:ascii="72 Light" w:hAnsi="72 Light" w:cs="72 Light"/>
          <w:lang w:val="fr-CA"/>
        </w:rPr>
      </w:pPr>
      <w:r w:rsidRPr="007B324D">
        <w:rPr>
          <w:rStyle w:val="normaltextrun"/>
          <w:rFonts w:ascii="72 Light" w:hAnsi="72 Light" w:cs="72 Light"/>
          <w:lang w:val="fr-CA"/>
        </w:rPr>
        <w:t xml:space="preserve">Les institutions canadiennes et les chercheurs universitaires et scientifiques qui y sont associés utilisent les données sur les Premières Nations qui sont recueillies, avec ou sans consentement, pour tirer des conclusions, éclairer les politiques et façonner les perceptions du public à l’égard des Premières Nations. Les </w:t>
      </w:r>
      <w:r w:rsidR="00C85D13" w:rsidRPr="007B324D">
        <w:rPr>
          <w:rStyle w:val="normaltextrun"/>
          <w:rFonts w:ascii="72 Light" w:hAnsi="72 Light" w:cs="72 Light"/>
          <w:lang w:val="fr-CA"/>
        </w:rPr>
        <w:t xml:space="preserve">produits </w:t>
      </w:r>
      <w:r w:rsidRPr="007B324D">
        <w:rPr>
          <w:rStyle w:val="normaltextrun"/>
          <w:rFonts w:ascii="72 Light" w:hAnsi="72 Light" w:cs="72 Light"/>
          <w:lang w:val="fr-CA"/>
        </w:rPr>
        <w:t>dérivés de ces études et analyses causent un préjudice supplémentaire aux Premières Nations et ont conduit l</w:t>
      </w:r>
      <w:r w:rsidR="00C85D13" w:rsidRPr="007B324D">
        <w:rPr>
          <w:rStyle w:val="normaltextrun"/>
          <w:rFonts w:ascii="72 Light" w:hAnsi="72 Light" w:cs="72 Light"/>
          <w:lang w:val="fr-CA"/>
        </w:rPr>
        <w:t>es Premières Nations en assemblée</w:t>
      </w:r>
      <w:r w:rsidRPr="007B324D">
        <w:rPr>
          <w:rStyle w:val="normaltextrun"/>
          <w:rFonts w:ascii="72 Light" w:hAnsi="72 Light" w:cs="72 Light"/>
          <w:lang w:val="fr-CA"/>
        </w:rPr>
        <w:t xml:space="preserve"> à mandater le Centre de gouvernance de l’information des Premières Nations pour mener des études sociales indépendantes et apolitiques sur les Premières Nations au Canada. Alors que le Canada investit dans la collecte de données de recensement à son profit, les Premières Nations ne bénéficient pas d’un investissement équivalent, malgré</w:t>
      </w:r>
      <w:r w:rsidR="00C85D13" w:rsidRPr="007B324D">
        <w:rPr>
          <w:rStyle w:val="normaltextrun"/>
          <w:rFonts w:ascii="72 Light" w:hAnsi="72 Light" w:cs="72 Light"/>
          <w:lang w:val="fr-CA"/>
        </w:rPr>
        <w:t xml:space="preserve"> tous</w:t>
      </w:r>
      <w:r w:rsidRPr="007B324D">
        <w:rPr>
          <w:rStyle w:val="normaltextrun"/>
          <w:rFonts w:ascii="72 Light" w:hAnsi="72 Light" w:cs="72 Light"/>
          <w:lang w:val="fr-CA"/>
        </w:rPr>
        <w:t xml:space="preserve"> les efforts </w:t>
      </w:r>
      <w:r w:rsidR="00C85D13" w:rsidRPr="007B324D">
        <w:rPr>
          <w:rStyle w:val="normaltextrun"/>
          <w:rFonts w:ascii="72 Light" w:hAnsi="72 Light" w:cs="72 Light"/>
          <w:lang w:val="fr-CA"/>
        </w:rPr>
        <w:t>faits</w:t>
      </w:r>
      <w:r w:rsidRPr="007B324D">
        <w:rPr>
          <w:rStyle w:val="normaltextrun"/>
          <w:rFonts w:ascii="72 Light" w:hAnsi="72 Light" w:cs="72 Light"/>
          <w:lang w:val="fr-CA"/>
        </w:rPr>
        <w:t xml:space="preserve"> pour que le Canada reconnaisse cette inégalité. </w:t>
      </w:r>
    </w:p>
    <w:p w14:paraId="64093A70" w14:textId="465E352A" w:rsidR="00BF3013" w:rsidRPr="007B324D" w:rsidRDefault="00BF3013" w:rsidP="00F62155">
      <w:pPr>
        <w:pStyle w:val="paragraph"/>
        <w:tabs>
          <w:tab w:val="left" w:pos="3544"/>
        </w:tabs>
        <w:spacing w:before="120" w:beforeAutospacing="0" w:after="120" w:afterAutospacing="0" w:line="276" w:lineRule="auto"/>
        <w:jc w:val="both"/>
        <w:textAlignment w:val="baseline"/>
        <w:rPr>
          <w:rStyle w:val="eop"/>
          <w:rFonts w:ascii="72 Light" w:hAnsi="72 Light" w:cs="72 Light"/>
          <w:lang w:val="fr-CA"/>
        </w:rPr>
      </w:pPr>
      <w:r w:rsidRPr="007B324D">
        <w:rPr>
          <w:rStyle w:val="normaltextrun"/>
          <w:rFonts w:ascii="72 Light" w:hAnsi="72 Light" w:cs="72 Light"/>
          <w:lang w:val="fr-CA"/>
        </w:rPr>
        <w:t xml:space="preserve">La souveraineté des données dans un contexte autochtone signifie se réapproprier les </w:t>
      </w:r>
      <w:r w:rsidR="00C85D13" w:rsidRPr="007B324D">
        <w:rPr>
          <w:rStyle w:val="normaltextrun"/>
          <w:rFonts w:ascii="72 Light" w:hAnsi="72 Light" w:cs="72 Light"/>
          <w:lang w:val="fr-CA"/>
        </w:rPr>
        <w:t>récits</w:t>
      </w:r>
      <w:r w:rsidRPr="007B324D">
        <w:rPr>
          <w:rStyle w:val="normaltextrun"/>
          <w:rFonts w:ascii="72 Light" w:hAnsi="72 Light" w:cs="72 Light"/>
          <w:lang w:val="fr-CA"/>
        </w:rPr>
        <w:t xml:space="preserve"> et l’histoire</w:t>
      </w:r>
      <w:r w:rsidR="00C85D13" w:rsidRPr="007B324D">
        <w:rPr>
          <w:rStyle w:val="normaltextrun"/>
          <w:rFonts w:ascii="72 Light" w:hAnsi="72 Light" w:cs="72 Light"/>
          <w:lang w:val="fr-CA"/>
        </w:rPr>
        <w:t>,</w:t>
      </w:r>
      <w:r w:rsidRPr="007B324D">
        <w:rPr>
          <w:rStyle w:val="normaltextrun"/>
          <w:rFonts w:ascii="72 Light" w:hAnsi="72 Light" w:cs="72 Light"/>
          <w:lang w:val="fr-CA"/>
        </w:rPr>
        <w:t xml:space="preserve"> et raconter </w:t>
      </w:r>
      <w:r w:rsidR="00C85D13" w:rsidRPr="007B324D">
        <w:rPr>
          <w:rStyle w:val="normaltextrun"/>
          <w:rFonts w:ascii="72 Light" w:hAnsi="72 Light" w:cs="72 Light"/>
          <w:lang w:val="fr-CA"/>
        </w:rPr>
        <w:t xml:space="preserve">ceux-ci </w:t>
      </w:r>
      <w:r w:rsidRPr="007B324D">
        <w:rPr>
          <w:rStyle w:val="normaltextrun"/>
          <w:rFonts w:ascii="72 Light" w:hAnsi="72 Light" w:cs="72 Light"/>
          <w:lang w:val="fr-CA"/>
        </w:rPr>
        <w:t>à partir d’un lieu de savoir et d’être qui tient compte des coutumes, des traditions, des pratiques et de l’identité des Premières Nations</w:t>
      </w:r>
      <w:r w:rsidR="00C85D13" w:rsidRPr="007B324D">
        <w:rPr>
          <w:rStyle w:val="normaltextrun"/>
          <w:rFonts w:ascii="72 Light" w:hAnsi="72 Light" w:cs="72 Light"/>
          <w:lang w:val="fr-CA"/>
        </w:rPr>
        <w:t>. Cela permet aussi de veiller</w:t>
      </w:r>
      <w:r w:rsidRPr="007B324D">
        <w:rPr>
          <w:rStyle w:val="normaltextrun"/>
          <w:rFonts w:ascii="72 Light" w:hAnsi="72 Light" w:cs="72 Light"/>
          <w:lang w:val="fr-CA"/>
        </w:rPr>
        <w:t xml:space="preserve"> à ce que les stéréotypes négatifs sur les</w:t>
      </w:r>
      <w:r w:rsidR="00C85D13" w:rsidRPr="007B324D">
        <w:rPr>
          <w:rStyle w:val="normaltextrun"/>
          <w:rFonts w:ascii="72 Light" w:hAnsi="72 Light" w:cs="72 Light"/>
          <w:lang w:val="fr-CA"/>
        </w:rPr>
        <w:t xml:space="preserve"> membres</w:t>
      </w:r>
      <w:r w:rsidRPr="007B324D">
        <w:rPr>
          <w:rStyle w:val="normaltextrun"/>
          <w:rFonts w:ascii="72 Light" w:hAnsi="72 Light" w:cs="72 Light"/>
          <w:lang w:val="fr-CA"/>
        </w:rPr>
        <w:t xml:space="preserve"> des Premières Nations ne soient pas propagés davantage et ne continuent pas à entraver leurs progrès. À ce jour, le Canada n’a pas investi les ressources nécessaires pour réparer les préjudices qu’il a causés en </w:t>
      </w:r>
      <w:r w:rsidR="00C85D13" w:rsidRPr="007B324D">
        <w:rPr>
          <w:rStyle w:val="normaltextrun"/>
          <w:rFonts w:ascii="72 Light" w:hAnsi="72 Light" w:cs="72 Light"/>
          <w:lang w:val="fr-CA"/>
        </w:rPr>
        <w:t>isolant</w:t>
      </w:r>
      <w:r w:rsidRPr="007B324D">
        <w:rPr>
          <w:rStyle w:val="normaltextrun"/>
          <w:rFonts w:ascii="72 Light" w:hAnsi="72 Light" w:cs="72 Light"/>
          <w:lang w:val="fr-CA"/>
        </w:rPr>
        <w:t xml:space="preserve"> les récits des Premières Nations concernant leurs droits inhérents, ancestraux et issus de traités.</w:t>
      </w:r>
      <w:r w:rsidRPr="007B324D">
        <w:rPr>
          <w:rStyle w:val="eop"/>
          <w:rFonts w:ascii="72 Light" w:hAnsi="72 Light" w:cs="72 Light"/>
          <w:lang w:val="fr-CA"/>
        </w:rPr>
        <w:t> </w:t>
      </w:r>
    </w:p>
    <w:p w14:paraId="7E689509" w14:textId="7CC16039" w:rsidR="00BF3013" w:rsidRPr="007B324D" w:rsidRDefault="00BF3013" w:rsidP="00F62155">
      <w:pPr>
        <w:pStyle w:val="paragraph"/>
        <w:tabs>
          <w:tab w:val="left" w:pos="3544"/>
        </w:tabs>
        <w:spacing w:before="120" w:beforeAutospacing="0" w:after="120" w:afterAutospacing="0" w:line="276" w:lineRule="auto"/>
        <w:jc w:val="both"/>
        <w:textAlignment w:val="baseline"/>
        <w:rPr>
          <w:rFonts w:ascii="72 Light" w:hAnsi="72 Light" w:cs="72 Light"/>
          <w:lang w:val="fr-CA"/>
        </w:rPr>
      </w:pPr>
      <w:r w:rsidRPr="007B324D">
        <w:rPr>
          <w:rStyle w:val="normaltextrun"/>
          <w:rFonts w:ascii="72 Light" w:hAnsi="72 Light" w:cs="72 Light"/>
          <w:lang w:val="fr-CA"/>
        </w:rPr>
        <w:t xml:space="preserve">Dans le plan d’action de la </w:t>
      </w:r>
      <w:r w:rsidR="00C85D13" w:rsidRPr="007B324D">
        <w:rPr>
          <w:rStyle w:val="normaltextrun"/>
          <w:rFonts w:ascii="72 Light" w:hAnsi="72 Light" w:cs="72 Light"/>
          <w:lang w:val="fr-CA"/>
        </w:rPr>
        <w:t>L</w:t>
      </w:r>
      <w:r w:rsidRPr="007B324D">
        <w:rPr>
          <w:rStyle w:val="normaltextrun"/>
          <w:rFonts w:ascii="72 Light" w:hAnsi="72 Light" w:cs="72 Light"/>
          <w:lang w:val="fr-CA"/>
        </w:rPr>
        <w:t>DNUDPA, le Canada affirme qu’il créera</w:t>
      </w:r>
      <w:r w:rsidR="00C85D13" w:rsidRPr="007B324D">
        <w:rPr>
          <w:rStyle w:val="normaltextrun"/>
          <w:rFonts w:ascii="72 Light" w:hAnsi="72 Light" w:cs="72 Light"/>
          <w:lang w:val="fr-CA"/>
        </w:rPr>
        <w:t>,</w:t>
      </w:r>
      <w:r w:rsidRPr="007B324D">
        <w:rPr>
          <w:rStyle w:val="normaltextrun"/>
          <w:rFonts w:ascii="72 Light" w:hAnsi="72 Light" w:cs="72 Light"/>
          <w:lang w:val="fr-CA"/>
        </w:rPr>
        <w:t xml:space="preserve"> en collaboration</w:t>
      </w:r>
      <w:r w:rsidR="00C85D13" w:rsidRPr="007B324D">
        <w:rPr>
          <w:rStyle w:val="normaltextrun"/>
          <w:rFonts w:ascii="72 Light" w:hAnsi="72 Light" w:cs="72 Light"/>
          <w:lang w:val="fr-CA"/>
        </w:rPr>
        <w:t>,</w:t>
      </w:r>
      <w:r w:rsidRPr="007B324D">
        <w:rPr>
          <w:rStyle w:val="normaltextrun"/>
          <w:rFonts w:ascii="72 Light" w:hAnsi="72 Light" w:cs="72 Light"/>
          <w:lang w:val="fr-CA"/>
        </w:rPr>
        <w:t xml:space="preserve"> des mécanismes de </w:t>
      </w:r>
      <w:r w:rsidR="00C85D13" w:rsidRPr="007B324D">
        <w:rPr>
          <w:rStyle w:val="normaltextrun"/>
          <w:rFonts w:ascii="72 Light" w:hAnsi="72 Light" w:cs="72 Light"/>
          <w:lang w:val="fr-CA"/>
        </w:rPr>
        <w:t>reddition de comptes comme</w:t>
      </w:r>
      <w:r w:rsidRPr="007B324D">
        <w:rPr>
          <w:rStyle w:val="normaltextrun"/>
          <w:rFonts w:ascii="72 Light" w:hAnsi="72 Light" w:cs="72 Light"/>
          <w:lang w:val="fr-CA"/>
        </w:rPr>
        <w:t xml:space="preserve"> des outils et des cadres d’évaluation conçus dans une optique autochtone. Il reconnaît que</w:t>
      </w:r>
      <w:r w:rsidR="00C85D13" w:rsidRPr="007B324D">
        <w:rPr>
          <w:rStyle w:val="normaltextrun"/>
          <w:rFonts w:ascii="72 Light" w:hAnsi="72 Light" w:cs="72 Light"/>
          <w:lang w:val="fr-CA"/>
        </w:rPr>
        <w:t xml:space="preserve"> la méthodologie utilisée pour mesurer les progrès accomplis dans la mise en œuvre des mesures de son plan d’action doit prendre en compte</w:t>
      </w:r>
      <w:r w:rsidRPr="007B324D">
        <w:rPr>
          <w:rStyle w:val="normaltextrun"/>
          <w:rFonts w:ascii="72 Light" w:hAnsi="72 Light" w:cs="72 Light"/>
          <w:lang w:val="fr-CA"/>
        </w:rPr>
        <w:t xml:space="preserve"> les indicateurs, les modèles logiques et les cadres d’interprétation pertinents des Premières Nations. </w:t>
      </w:r>
      <w:r w:rsidR="00C85D13" w:rsidRPr="007B324D">
        <w:rPr>
          <w:rStyle w:val="normaltextrun"/>
          <w:rFonts w:ascii="72 Light" w:hAnsi="72 Light" w:cs="72 Light"/>
          <w:lang w:val="fr-CA"/>
        </w:rPr>
        <w:t>Ces dernières</w:t>
      </w:r>
      <w:r w:rsidRPr="007B324D">
        <w:rPr>
          <w:rStyle w:val="normaltextrun"/>
          <w:rFonts w:ascii="72 Light" w:hAnsi="72 Light" w:cs="72 Light"/>
          <w:lang w:val="fr-CA"/>
        </w:rPr>
        <w:t xml:space="preserve"> croient fermement en leurs droits en tant que peuples autochtones et affirment qu’il </w:t>
      </w:r>
      <w:r w:rsidR="00C85D13" w:rsidRPr="007B324D">
        <w:rPr>
          <w:rStyle w:val="normaltextrun"/>
          <w:rFonts w:ascii="72 Light" w:hAnsi="72 Light" w:cs="72 Light"/>
          <w:lang w:val="fr-CA"/>
        </w:rPr>
        <w:t>leur revient</w:t>
      </w:r>
      <w:r w:rsidRPr="007B324D">
        <w:rPr>
          <w:rStyle w:val="normaltextrun"/>
          <w:rFonts w:ascii="72 Light" w:hAnsi="72 Light" w:cs="72 Light"/>
          <w:lang w:val="fr-CA"/>
        </w:rPr>
        <w:t xml:space="preserve"> de </w:t>
      </w:r>
      <w:r w:rsidR="00C85D13" w:rsidRPr="007B324D">
        <w:rPr>
          <w:rStyle w:val="normaltextrun"/>
          <w:rFonts w:ascii="72 Light" w:hAnsi="72 Light" w:cs="72 Light"/>
          <w:lang w:val="fr-CA"/>
        </w:rPr>
        <w:t xml:space="preserve">préserver et d’améliorer </w:t>
      </w:r>
      <w:r w:rsidRPr="007B324D">
        <w:rPr>
          <w:rStyle w:val="normaltextrun"/>
          <w:rFonts w:ascii="72 Light" w:hAnsi="72 Light" w:cs="72 Light"/>
          <w:lang w:val="fr-CA"/>
        </w:rPr>
        <w:t xml:space="preserve">leurs sciences d’une manière qui reflète leurs </w:t>
      </w:r>
      <w:r w:rsidR="00C85D13" w:rsidRPr="007B324D">
        <w:rPr>
          <w:rStyle w:val="normaltextrun"/>
          <w:rFonts w:ascii="72 Light" w:hAnsi="72 Light" w:cs="72 Light"/>
          <w:lang w:val="fr-CA"/>
        </w:rPr>
        <w:t>modes</w:t>
      </w:r>
      <w:r w:rsidRPr="007B324D">
        <w:rPr>
          <w:rStyle w:val="normaltextrun"/>
          <w:rFonts w:ascii="72 Light" w:hAnsi="72 Light" w:cs="72 Light"/>
          <w:lang w:val="fr-CA"/>
        </w:rPr>
        <w:t xml:space="preserve"> de savoir et d’être</w:t>
      </w:r>
      <w:r w:rsidR="00C85D13" w:rsidRPr="007B324D">
        <w:rPr>
          <w:rStyle w:val="normaltextrun"/>
          <w:rFonts w:ascii="72 Light" w:hAnsi="72 Light" w:cs="72 Light"/>
          <w:lang w:val="fr-CA"/>
        </w:rPr>
        <w:t>. Il faut donc</w:t>
      </w:r>
      <w:r w:rsidRPr="007B324D">
        <w:rPr>
          <w:rStyle w:val="normaltextrun"/>
          <w:rFonts w:ascii="72 Light" w:hAnsi="72 Light" w:cs="72 Light"/>
          <w:lang w:val="fr-CA"/>
        </w:rPr>
        <w:t xml:space="preserve"> que les Premières Nations prennent l’initiative d</w:t>
      </w:r>
      <w:r w:rsidR="00C85D13" w:rsidRPr="007B324D">
        <w:rPr>
          <w:rStyle w:val="normaltextrun"/>
          <w:rFonts w:ascii="72 Light" w:hAnsi="72 Light" w:cs="72 Light"/>
          <w:lang w:val="fr-CA"/>
        </w:rPr>
        <w:t>e l’élaboration</w:t>
      </w:r>
      <w:r w:rsidRPr="007B324D">
        <w:rPr>
          <w:rStyle w:val="normaltextrun"/>
          <w:rFonts w:ascii="72 Light" w:hAnsi="72 Light" w:cs="72 Light"/>
          <w:lang w:val="fr-CA"/>
        </w:rPr>
        <w:t xml:space="preserve"> de ces outils. Les capacités des Premières Nations en matière de statistiques progressent</w:t>
      </w:r>
      <w:r w:rsidR="00C85D13" w:rsidRPr="007B324D">
        <w:rPr>
          <w:rStyle w:val="normaltextrun"/>
          <w:rFonts w:ascii="72 Light" w:hAnsi="72 Light" w:cs="72 Light"/>
          <w:lang w:val="fr-CA"/>
        </w:rPr>
        <w:t>,</w:t>
      </w:r>
      <w:r w:rsidRPr="007B324D">
        <w:rPr>
          <w:rStyle w:val="normaltextrun"/>
          <w:rFonts w:ascii="72 Light" w:hAnsi="72 Light" w:cs="72 Light"/>
          <w:lang w:val="fr-CA"/>
        </w:rPr>
        <w:t xml:space="preserve"> et il existe un vivier de talents. Le Canada doit </w:t>
      </w:r>
      <w:r w:rsidR="00C85D13" w:rsidRPr="007B324D">
        <w:rPr>
          <w:rStyle w:val="normaltextrun"/>
          <w:rFonts w:ascii="72 Light" w:hAnsi="72 Light" w:cs="72 Light"/>
          <w:lang w:val="fr-CA"/>
        </w:rPr>
        <w:t>faire</w:t>
      </w:r>
      <w:r w:rsidRPr="007B324D">
        <w:rPr>
          <w:rStyle w:val="normaltextrun"/>
          <w:rFonts w:ascii="72 Light" w:hAnsi="72 Light" w:cs="72 Light"/>
          <w:lang w:val="fr-CA"/>
        </w:rPr>
        <w:t xml:space="preserve"> les investissements appropriés pour que les Premières Nations puissent diriger l</w:t>
      </w:r>
      <w:r w:rsidR="00C85D13" w:rsidRPr="007B324D">
        <w:rPr>
          <w:rStyle w:val="normaltextrun"/>
          <w:rFonts w:ascii="72 Light" w:hAnsi="72 Light" w:cs="72 Light"/>
          <w:lang w:val="fr-CA"/>
        </w:rPr>
        <w:t>’élaboration</w:t>
      </w:r>
      <w:r w:rsidRPr="007B324D">
        <w:rPr>
          <w:rStyle w:val="normaltextrun"/>
          <w:rFonts w:ascii="72 Light" w:hAnsi="72 Light" w:cs="72 Light"/>
          <w:lang w:val="fr-CA"/>
        </w:rPr>
        <w:t xml:space="preserve"> de ces outils indépendamment du gouvernement canadien. </w:t>
      </w:r>
    </w:p>
    <w:p w14:paraId="0D2A7A7A" w14:textId="237E3E87" w:rsidR="00BF3013" w:rsidRPr="007B324D" w:rsidRDefault="00BF3013" w:rsidP="005D1236">
      <w:pPr>
        <w:pStyle w:val="Heading2"/>
        <w:rPr>
          <w:rFonts w:ascii="72 Light" w:hAnsi="72 Light" w:cs="72 Light"/>
          <w:color w:val="2F5496" w:themeColor="accent5" w:themeShade="BF"/>
          <w:sz w:val="28"/>
          <w:szCs w:val="28"/>
          <w:lang w:val="fr-CA"/>
        </w:rPr>
      </w:pPr>
      <w:bookmarkStart w:id="8" w:name="_Toc147829624"/>
      <w:r w:rsidRPr="007B324D">
        <w:rPr>
          <w:rFonts w:ascii="72 Light" w:hAnsi="72 Light" w:cs="72 Light"/>
          <w:color w:val="2F5496" w:themeColor="accent5" w:themeShade="BF"/>
          <w:sz w:val="28"/>
          <w:szCs w:val="28"/>
          <w:lang w:val="fr-CA"/>
        </w:rPr>
        <w:t>Contribution de l’Inuit Tapiriit Kanatami</w:t>
      </w:r>
      <w:bookmarkEnd w:id="8"/>
      <w:r w:rsidRPr="007B324D">
        <w:rPr>
          <w:rFonts w:ascii="72 Light" w:hAnsi="72 Light" w:cs="72 Light"/>
          <w:color w:val="2F5496" w:themeColor="accent5" w:themeShade="BF"/>
          <w:sz w:val="28"/>
          <w:szCs w:val="28"/>
          <w:lang w:val="fr-CA"/>
        </w:rPr>
        <w:t xml:space="preserve"> </w:t>
      </w:r>
    </w:p>
    <w:p w14:paraId="31A945B4" w14:textId="0EBD0597" w:rsidR="00BF3013" w:rsidRPr="007B324D" w:rsidRDefault="00BF3013" w:rsidP="00145E2D">
      <w:pPr>
        <w:ind w:left="0" w:firstLine="0"/>
        <w:rPr>
          <w:rFonts w:ascii="72 Light" w:hAnsi="72 Light" w:cs="72 Light"/>
          <w:i/>
          <w:iCs/>
          <w:sz w:val="24"/>
          <w:szCs w:val="24"/>
          <w:lang w:val="fr-CA"/>
        </w:rPr>
      </w:pPr>
      <w:r w:rsidRPr="007B324D">
        <w:rPr>
          <w:rFonts w:ascii="72 Light" w:hAnsi="72 Light" w:cs="72 Light"/>
          <w:i/>
          <w:iCs/>
          <w:sz w:val="24"/>
          <w:szCs w:val="24"/>
          <w:lang w:val="fr-CA"/>
        </w:rPr>
        <w:t xml:space="preserve">L’Inuit Tapiriit Kanatami (ITK) a proposé l’ajout suivant à la section sur les initiatives de réconciliation dans </w:t>
      </w:r>
      <w:r w:rsidR="00D03BAE" w:rsidRPr="007B324D">
        <w:rPr>
          <w:rFonts w:ascii="72 Light" w:hAnsi="72 Light" w:cs="72 Light"/>
          <w:i/>
          <w:iCs/>
          <w:sz w:val="24"/>
          <w:szCs w:val="24"/>
          <w:lang w:val="fr-CA"/>
        </w:rPr>
        <w:t>l’ébauche du</w:t>
      </w:r>
      <w:r w:rsidRPr="007B324D">
        <w:rPr>
          <w:rFonts w:ascii="72 Light" w:hAnsi="72 Light" w:cs="72 Light"/>
          <w:i/>
          <w:iCs/>
          <w:sz w:val="24"/>
          <w:szCs w:val="24"/>
          <w:lang w:val="fr-CA"/>
        </w:rPr>
        <w:t xml:space="preserve"> rapport du Canada</w:t>
      </w:r>
      <w:r w:rsidR="001328B2" w:rsidRPr="007B324D">
        <w:rPr>
          <w:rFonts w:ascii="72 Light" w:hAnsi="72 Light" w:cs="72 Light"/>
          <w:i/>
          <w:iCs/>
          <w:sz w:val="24"/>
          <w:szCs w:val="24"/>
          <w:lang w:val="fr-CA"/>
        </w:rPr>
        <w:t> :</w:t>
      </w:r>
    </w:p>
    <w:p w14:paraId="45E3EAC0" w14:textId="021A8027"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lastRenderedPageBreak/>
        <w:t>Le gouvernement du Canada a mis en place des mécanismes bilatéraux permanents avec les dirigeants des Premières Nations, des Inuit et des Métis afin d</w:t>
      </w:r>
      <w:r w:rsidR="00953A07" w:rsidRPr="007B324D">
        <w:rPr>
          <w:rFonts w:ascii="72 Light" w:hAnsi="72 Light" w:cs="72 Light"/>
          <w:sz w:val="24"/>
          <w:szCs w:val="24"/>
          <w:lang w:val="fr-CA"/>
        </w:rPr>
        <w:t>’établir</w:t>
      </w:r>
      <w:r w:rsidRPr="007B324D">
        <w:rPr>
          <w:rFonts w:ascii="72 Light" w:hAnsi="72 Light" w:cs="72 Light"/>
          <w:sz w:val="24"/>
          <w:szCs w:val="24"/>
          <w:lang w:val="fr-CA"/>
        </w:rPr>
        <w:t xml:space="preserve"> des priorités communes, d’élaborer conjointement des politiques et de </w:t>
      </w:r>
      <w:r w:rsidR="00953A07" w:rsidRPr="007B324D">
        <w:rPr>
          <w:rFonts w:ascii="72 Light" w:hAnsi="72 Light" w:cs="72 Light"/>
          <w:sz w:val="24"/>
          <w:szCs w:val="24"/>
          <w:lang w:val="fr-CA"/>
        </w:rPr>
        <w:t>faire le suivi d</w:t>
      </w:r>
      <w:r w:rsidRPr="007B324D">
        <w:rPr>
          <w:rFonts w:ascii="72 Light" w:hAnsi="72 Light" w:cs="72 Light"/>
          <w:sz w:val="24"/>
          <w:szCs w:val="24"/>
          <w:lang w:val="fr-CA"/>
        </w:rPr>
        <w:t>es progrès accomplis.</w:t>
      </w:r>
    </w:p>
    <w:p w14:paraId="53B191DA" w14:textId="761F5BEF"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Style w:val="eop"/>
          <w:rFonts w:ascii="72 Light" w:hAnsi="72 Light" w:cs="72 Light"/>
          <w:sz w:val="24"/>
          <w:szCs w:val="24"/>
          <w:lang w:val="fr-CA"/>
        </w:rPr>
        <w:t xml:space="preserve">En juin 2017, le </w:t>
      </w:r>
      <w:r w:rsidR="00953A07" w:rsidRPr="007B324D">
        <w:rPr>
          <w:rStyle w:val="eop"/>
          <w:rFonts w:ascii="72 Light" w:hAnsi="72 Light" w:cs="72 Light"/>
          <w:sz w:val="24"/>
          <w:szCs w:val="24"/>
          <w:lang w:val="fr-CA"/>
        </w:rPr>
        <w:t>p</w:t>
      </w:r>
      <w:r w:rsidRPr="007B324D">
        <w:rPr>
          <w:rStyle w:val="eop"/>
          <w:rFonts w:ascii="72 Light" w:hAnsi="72 Light" w:cs="72 Light"/>
          <w:sz w:val="24"/>
          <w:szCs w:val="24"/>
          <w:lang w:val="fr-CA"/>
        </w:rPr>
        <w:t xml:space="preserve">remier ministre et le chef national de l’Assemblée des Premières Nations ont signé un protocole d’entente sur les priorités communes et ont discuté des prochaines étapes du mécanisme bilatéral permanent. </w:t>
      </w:r>
      <w:r w:rsidRPr="007B324D">
        <w:rPr>
          <w:rFonts w:ascii="72 Light" w:hAnsi="72 Light" w:cs="72 Light"/>
          <w:sz w:val="24"/>
          <w:szCs w:val="24"/>
          <w:lang w:val="fr-CA"/>
        </w:rPr>
        <w:t>Cinq ans après la création du Comité de partenariat entre les Inuit</w:t>
      </w:r>
      <w:r w:rsidR="00A27906" w:rsidRPr="007B324D">
        <w:rPr>
          <w:rFonts w:ascii="72 Light" w:hAnsi="72 Light" w:cs="72 Light"/>
          <w:sz w:val="24"/>
          <w:szCs w:val="24"/>
          <w:lang w:val="fr-CA"/>
        </w:rPr>
        <w:t>s</w:t>
      </w:r>
      <w:r w:rsidRPr="007B324D">
        <w:rPr>
          <w:rFonts w:ascii="72 Light" w:hAnsi="72 Light" w:cs="72 Light"/>
          <w:sz w:val="24"/>
          <w:szCs w:val="24"/>
          <w:lang w:val="fr-CA"/>
        </w:rPr>
        <w:t xml:space="preserve"> et la Couronne (CPIC), les membres ont commandé conjointement une évaluation interne afin de recueillir des renseignements susceptibles d’être utilisés pour améliorer les progrès du CPIC. L’I</w:t>
      </w:r>
      <w:r w:rsidR="00953A07" w:rsidRPr="007B324D">
        <w:rPr>
          <w:rFonts w:ascii="72 Light" w:hAnsi="72 Light" w:cs="72 Light"/>
          <w:sz w:val="24"/>
          <w:szCs w:val="24"/>
          <w:lang w:val="fr-CA"/>
        </w:rPr>
        <w:t>TK</w:t>
      </w:r>
      <w:r w:rsidRPr="007B324D">
        <w:rPr>
          <w:rFonts w:ascii="72 Light" w:hAnsi="72 Light" w:cs="72 Light"/>
          <w:sz w:val="24"/>
          <w:szCs w:val="24"/>
          <w:lang w:val="fr-CA"/>
        </w:rPr>
        <w:t xml:space="preserve"> et Relations Couronne-Autochtones et Affaires du Nord Canada ont formé une équipe d’évaluation conjointe qui a mené 66 entrevues </w:t>
      </w:r>
      <w:r w:rsidR="00953A07" w:rsidRPr="007B324D">
        <w:rPr>
          <w:rFonts w:ascii="72 Light" w:hAnsi="72 Light" w:cs="72 Light"/>
          <w:sz w:val="24"/>
          <w:szCs w:val="24"/>
          <w:lang w:val="fr-CA"/>
        </w:rPr>
        <w:t>auprès de</w:t>
      </w:r>
      <w:r w:rsidRPr="007B324D">
        <w:rPr>
          <w:rFonts w:ascii="72 Light" w:hAnsi="72 Light" w:cs="72 Light"/>
          <w:sz w:val="24"/>
          <w:szCs w:val="24"/>
          <w:lang w:val="fr-CA"/>
        </w:rPr>
        <w:t xml:space="preserve"> dirigeants et de fonctionnaires inuits et fédéraux, interrogé 247 membres du groupe de travail du CPIC, examiné 231 documents et effectué une recherche documentaire pour l’évaluation.</w:t>
      </w:r>
    </w:p>
    <w:p w14:paraId="5E354AAF" w14:textId="52605FDB" w:rsidR="00BF3013" w:rsidRPr="007B324D" w:rsidRDefault="00BF3013" w:rsidP="00F62155">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 xml:space="preserve">Pour un mécanisme relativement nouveau, le CPIC fonctionne remarquablement bien, </w:t>
      </w:r>
      <w:r w:rsidR="00953A07" w:rsidRPr="007B324D">
        <w:rPr>
          <w:rStyle w:val="eop"/>
          <w:rFonts w:ascii="72 Light" w:hAnsi="72 Light" w:cs="72 Light"/>
          <w:sz w:val="24"/>
          <w:szCs w:val="24"/>
          <w:lang w:val="fr-CA"/>
        </w:rPr>
        <w:t xml:space="preserve">même s’il demeure </w:t>
      </w:r>
      <w:r w:rsidRPr="007B324D">
        <w:rPr>
          <w:rStyle w:val="eop"/>
          <w:rFonts w:ascii="72 Light" w:hAnsi="72 Light" w:cs="72 Light"/>
          <w:sz w:val="24"/>
          <w:szCs w:val="24"/>
          <w:lang w:val="fr-CA"/>
        </w:rPr>
        <w:t xml:space="preserve">une marge d’amélioration considérable. Il s’agit d’un mécanisme </w:t>
      </w:r>
      <w:r w:rsidR="00953A07" w:rsidRPr="007B324D">
        <w:rPr>
          <w:rStyle w:val="eop"/>
          <w:rFonts w:ascii="72 Light" w:hAnsi="72 Light" w:cs="72 Light"/>
          <w:sz w:val="24"/>
          <w:szCs w:val="24"/>
          <w:lang w:val="fr-CA"/>
        </w:rPr>
        <w:t>utile</w:t>
      </w:r>
      <w:r w:rsidRPr="007B324D">
        <w:rPr>
          <w:rStyle w:val="eop"/>
          <w:rFonts w:ascii="72 Light" w:hAnsi="72 Light" w:cs="72 Light"/>
          <w:sz w:val="24"/>
          <w:szCs w:val="24"/>
          <w:lang w:val="fr-CA"/>
        </w:rPr>
        <w:t xml:space="preserve"> qui redéfinit les relations entre les Inuit et la Couronne. Par l’intermédiaire du CPIC, les Inuit et le gouvernement fédéral ont établi des règles de base pour travailler en partenariat afin de faire avancer les </w:t>
      </w:r>
      <w:r w:rsidR="00953A07" w:rsidRPr="007B324D">
        <w:rPr>
          <w:rStyle w:val="eop"/>
          <w:rFonts w:ascii="72 Light" w:hAnsi="72 Light" w:cs="72 Light"/>
          <w:sz w:val="24"/>
          <w:szCs w:val="24"/>
          <w:lang w:val="fr-CA"/>
        </w:rPr>
        <w:t>mesures sur des questions majeures</w:t>
      </w:r>
      <w:r w:rsidRPr="007B324D">
        <w:rPr>
          <w:rStyle w:val="eop"/>
          <w:rFonts w:ascii="72 Light" w:hAnsi="72 Light" w:cs="72 Light"/>
          <w:sz w:val="24"/>
          <w:szCs w:val="24"/>
          <w:lang w:val="fr-CA"/>
        </w:rPr>
        <w:t xml:space="preserve">, y compris la budgétisation propre aux Inuit et fondée sur les distinctions. Le processus de partenariat a créé de nouvelles relations interpersonnelles </w:t>
      </w:r>
      <w:r w:rsidR="00953A07" w:rsidRPr="007B324D">
        <w:rPr>
          <w:rStyle w:val="eop"/>
          <w:rFonts w:ascii="72 Light" w:hAnsi="72 Light" w:cs="72 Light"/>
          <w:sz w:val="24"/>
          <w:szCs w:val="24"/>
          <w:lang w:val="fr-CA"/>
        </w:rPr>
        <w:t xml:space="preserve">entre les </w:t>
      </w:r>
      <w:r w:rsidRPr="007B324D">
        <w:rPr>
          <w:rStyle w:val="eop"/>
          <w:rFonts w:ascii="72 Light" w:hAnsi="72 Light" w:cs="72 Light"/>
          <w:sz w:val="24"/>
          <w:szCs w:val="24"/>
          <w:lang w:val="fr-CA"/>
        </w:rPr>
        <w:t xml:space="preserve">dirigeants et </w:t>
      </w:r>
      <w:r w:rsidR="00953A07" w:rsidRPr="007B324D">
        <w:rPr>
          <w:rStyle w:val="eop"/>
          <w:rFonts w:ascii="72 Light" w:hAnsi="72 Light" w:cs="72 Light"/>
          <w:sz w:val="24"/>
          <w:szCs w:val="24"/>
          <w:lang w:val="fr-CA"/>
        </w:rPr>
        <w:t>l</w:t>
      </w:r>
      <w:r w:rsidRPr="007B324D">
        <w:rPr>
          <w:rStyle w:val="eop"/>
          <w:rFonts w:ascii="72 Light" w:hAnsi="72 Light" w:cs="72 Light"/>
          <w:sz w:val="24"/>
          <w:szCs w:val="24"/>
          <w:lang w:val="fr-CA"/>
        </w:rPr>
        <w:t>es techniciens, qui ont bénéficié au travail des partenaires au sein du CPIC et au-delà.</w:t>
      </w:r>
    </w:p>
    <w:p w14:paraId="4DBE90F8" w14:textId="74351464" w:rsidR="00BF3013" w:rsidRPr="007B324D" w:rsidRDefault="00BF3013" w:rsidP="00F62155">
      <w:pPr>
        <w:tabs>
          <w:tab w:val="left" w:pos="3544"/>
        </w:tabs>
        <w:spacing w:before="120" w:line="276" w:lineRule="auto"/>
        <w:ind w:left="0" w:firstLine="0"/>
        <w:jc w:val="both"/>
        <w:rPr>
          <w:rFonts w:ascii="72 Light" w:hAnsi="72 Light" w:cs="72 Light"/>
          <w:i/>
          <w:iCs/>
          <w:sz w:val="24"/>
          <w:szCs w:val="24"/>
          <w:lang w:val="fr-CA"/>
        </w:rPr>
      </w:pPr>
      <w:r w:rsidRPr="007B324D">
        <w:rPr>
          <w:rFonts w:ascii="72 Light" w:hAnsi="72 Light" w:cs="72 Light"/>
          <w:i/>
          <w:iCs/>
          <w:sz w:val="24"/>
          <w:szCs w:val="24"/>
          <w:lang w:val="fr-CA"/>
        </w:rPr>
        <w:t xml:space="preserve">L’ITK a proposé l’ajout suivant à la section sur les initiatives sociales et </w:t>
      </w:r>
      <w:r w:rsidR="00710E3F" w:rsidRPr="007B324D">
        <w:rPr>
          <w:rFonts w:ascii="72 Light" w:hAnsi="72 Light" w:cs="72 Light"/>
          <w:i/>
          <w:iCs/>
          <w:sz w:val="24"/>
          <w:szCs w:val="24"/>
          <w:lang w:val="fr-CA"/>
        </w:rPr>
        <w:t xml:space="preserve">de santé </w:t>
      </w:r>
      <w:r w:rsidRPr="007B324D">
        <w:rPr>
          <w:rFonts w:ascii="72 Light" w:hAnsi="72 Light" w:cs="72 Light"/>
          <w:i/>
          <w:iCs/>
          <w:sz w:val="24"/>
          <w:szCs w:val="24"/>
          <w:lang w:val="fr-CA"/>
        </w:rPr>
        <w:t>dans l</w:t>
      </w:r>
      <w:r w:rsidR="00935587" w:rsidRPr="007B324D">
        <w:rPr>
          <w:rFonts w:ascii="72 Light" w:hAnsi="72 Light" w:cs="72 Light"/>
          <w:i/>
          <w:iCs/>
          <w:sz w:val="24"/>
          <w:szCs w:val="24"/>
          <w:lang w:val="fr-CA"/>
        </w:rPr>
        <w:t xml:space="preserve">’ébauche du </w:t>
      </w:r>
      <w:r w:rsidRPr="007B324D">
        <w:rPr>
          <w:rFonts w:ascii="72 Light" w:hAnsi="72 Light" w:cs="72 Light"/>
          <w:i/>
          <w:iCs/>
          <w:sz w:val="24"/>
          <w:szCs w:val="24"/>
          <w:lang w:val="fr-CA"/>
        </w:rPr>
        <w:t>rapport du Canada</w:t>
      </w:r>
      <w:r w:rsidR="00F36CDB" w:rsidRPr="007B324D">
        <w:rPr>
          <w:rFonts w:ascii="72 Light" w:hAnsi="72 Light" w:cs="72 Light"/>
          <w:i/>
          <w:iCs/>
          <w:sz w:val="24"/>
          <w:szCs w:val="24"/>
          <w:lang w:val="fr-CA"/>
        </w:rPr>
        <w:t> :</w:t>
      </w:r>
    </w:p>
    <w:p w14:paraId="22CC507D" w14:textId="74A7B9C8" w:rsidR="00BF3013" w:rsidRPr="007B324D" w:rsidRDefault="00BF3013" w:rsidP="00F62155">
      <w:pPr>
        <w:tabs>
          <w:tab w:val="left" w:pos="3544"/>
        </w:tabs>
        <w:spacing w:before="120" w:line="276" w:lineRule="auto"/>
        <w:ind w:left="0" w:firstLine="0"/>
        <w:jc w:val="both"/>
        <w:rPr>
          <w:rFonts w:ascii="72 Light" w:eastAsia="72 Light" w:hAnsi="72 Light" w:cs="72 Light"/>
          <w:sz w:val="24"/>
          <w:szCs w:val="24"/>
          <w:lang w:val="fr-CA"/>
        </w:rPr>
      </w:pPr>
      <w:r w:rsidRPr="007B324D">
        <w:rPr>
          <w:rFonts w:ascii="72 Light" w:hAnsi="72 Light" w:cs="72 Light"/>
          <w:sz w:val="24"/>
          <w:szCs w:val="24"/>
          <w:shd w:val="clear" w:color="auto" w:fill="FFFFFF" w:themeFill="background1"/>
          <w:lang w:val="fr-CA"/>
        </w:rPr>
        <w:t xml:space="preserve">Pour faire avancer les mesures </w:t>
      </w:r>
      <w:r w:rsidR="00953A07" w:rsidRPr="007B324D">
        <w:rPr>
          <w:rFonts w:ascii="72 Light" w:hAnsi="72 Light" w:cs="72 Light"/>
          <w:sz w:val="24"/>
          <w:szCs w:val="24"/>
          <w:shd w:val="clear" w:color="auto" w:fill="FFFFFF" w:themeFill="background1"/>
          <w:lang w:val="fr-CA"/>
        </w:rPr>
        <w:t>mentionnées</w:t>
      </w:r>
      <w:r w:rsidRPr="007B324D">
        <w:rPr>
          <w:rFonts w:ascii="72 Light" w:hAnsi="72 Light" w:cs="72 Light"/>
          <w:sz w:val="24"/>
          <w:szCs w:val="24"/>
          <w:shd w:val="clear" w:color="auto" w:fill="FFFFFF" w:themeFill="background1"/>
          <w:lang w:val="fr-CA"/>
        </w:rPr>
        <w:t xml:space="preserve"> dans les appels à l’action de la Commission de vérité et réconciliation</w:t>
      </w:r>
      <w:r w:rsidR="00953A07" w:rsidRPr="007B324D">
        <w:rPr>
          <w:rFonts w:ascii="72 Light" w:hAnsi="72 Light" w:cs="72 Light"/>
          <w:sz w:val="24"/>
          <w:szCs w:val="24"/>
          <w:shd w:val="clear" w:color="auto" w:fill="FFFFFF" w:themeFill="background1"/>
          <w:lang w:val="fr-CA"/>
        </w:rPr>
        <w:t xml:space="preserve"> </w:t>
      </w:r>
      <w:r w:rsidR="003B2B32" w:rsidRPr="007B324D">
        <w:rPr>
          <w:rFonts w:ascii="72 Light" w:hAnsi="72 Light" w:cs="72 Light"/>
          <w:sz w:val="24"/>
          <w:szCs w:val="24"/>
          <w:shd w:val="clear" w:color="auto" w:fill="FFFFFF" w:themeFill="background1"/>
          <w:lang w:val="fr-CA"/>
        </w:rPr>
        <w:t xml:space="preserve">(CVR), </w:t>
      </w:r>
      <w:r w:rsidR="00953A07" w:rsidRPr="007B324D">
        <w:rPr>
          <w:rFonts w:ascii="72 Light" w:hAnsi="72 Light" w:cs="72 Light"/>
          <w:sz w:val="24"/>
          <w:szCs w:val="24"/>
          <w:shd w:val="clear" w:color="auto" w:fill="FFFFFF" w:themeFill="background1"/>
          <w:lang w:val="fr-CA"/>
        </w:rPr>
        <w:t>ainsi que dans</w:t>
      </w:r>
      <w:r w:rsidRPr="007B324D">
        <w:rPr>
          <w:rFonts w:ascii="72 Light" w:hAnsi="72 Light" w:cs="72 Light"/>
          <w:sz w:val="24"/>
          <w:szCs w:val="24"/>
          <w:shd w:val="clear" w:color="auto" w:fill="FFFFFF" w:themeFill="background1"/>
          <w:lang w:val="fr-CA"/>
        </w:rPr>
        <w:t xml:space="preserve"> les appels à la justice relatifs à l’Enquête nationale sur les femmes et les filles autochtones disparues et assassinées (FFADA), et en accord avec la </w:t>
      </w:r>
      <w:r w:rsidRPr="007B324D">
        <w:rPr>
          <w:rFonts w:ascii="72 Light" w:hAnsi="72 Light" w:cs="72 Light"/>
          <w:i/>
          <w:iCs/>
          <w:sz w:val="24"/>
          <w:szCs w:val="24"/>
          <w:shd w:val="clear" w:color="auto" w:fill="FFFFFF" w:themeFill="background1"/>
          <w:lang w:val="fr-CA"/>
        </w:rPr>
        <w:t>Déclaration des Nations Unies sur les droits des peuples autochtones</w:t>
      </w:r>
      <w:r w:rsidRPr="007B324D">
        <w:rPr>
          <w:rFonts w:ascii="72 Light" w:hAnsi="72 Light" w:cs="72 Light"/>
          <w:sz w:val="24"/>
          <w:szCs w:val="24"/>
          <w:shd w:val="clear" w:color="auto" w:fill="FFFFFF" w:themeFill="background1"/>
          <w:lang w:val="fr-CA"/>
        </w:rPr>
        <w:t xml:space="preserve">, le gouvernement du Canada a élaboré conjointement </w:t>
      </w:r>
      <w:r w:rsidR="00953A07" w:rsidRPr="007B324D">
        <w:rPr>
          <w:rFonts w:ascii="72 Light" w:hAnsi="72 Light" w:cs="72 Light"/>
          <w:sz w:val="24"/>
          <w:szCs w:val="24"/>
          <w:shd w:val="clear" w:color="auto" w:fill="FFFFFF" w:themeFill="background1"/>
          <w:lang w:val="fr-CA"/>
        </w:rPr>
        <w:t>la</w:t>
      </w:r>
      <w:r w:rsidRPr="007B324D">
        <w:rPr>
          <w:rFonts w:ascii="72 Light" w:hAnsi="72 Light" w:cs="72 Light"/>
          <w:sz w:val="24"/>
          <w:szCs w:val="24"/>
          <w:shd w:val="clear" w:color="auto" w:fill="FFFFFF" w:themeFill="background1"/>
          <w:lang w:val="fr-CA"/>
        </w:rPr>
        <w:t xml:space="preserve"> </w:t>
      </w:r>
      <w:r w:rsidRPr="007B324D">
        <w:rPr>
          <w:rFonts w:ascii="72 Light" w:hAnsi="72 Light" w:cs="72 Light"/>
          <w:i/>
          <w:iCs/>
          <w:sz w:val="24"/>
          <w:szCs w:val="24"/>
          <w:shd w:val="clear" w:color="auto" w:fill="FFFFFF" w:themeFill="background1"/>
          <w:lang w:val="fr-CA"/>
        </w:rPr>
        <w:t>Loi concernant les enfants, les jeunes et les familles des Premières Nations, des Inuit et des Métis</w:t>
      </w:r>
      <w:r w:rsidRPr="007B324D">
        <w:rPr>
          <w:rFonts w:ascii="72 Light" w:hAnsi="72 Light" w:cs="72 Light"/>
          <w:sz w:val="24"/>
          <w:szCs w:val="24"/>
          <w:shd w:val="clear" w:color="auto" w:fill="FFFFFF" w:themeFill="background1"/>
          <w:lang w:val="fr-CA"/>
        </w:rPr>
        <w:t xml:space="preserve">. </w:t>
      </w:r>
      <w:r w:rsidRPr="007B324D">
        <w:rPr>
          <w:rFonts w:ascii="72 Light" w:hAnsi="72 Light" w:cs="72 Light"/>
          <w:sz w:val="24"/>
          <w:szCs w:val="24"/>
          <w:lang w:val="fr-CA"/>
        </w:rPr>
        <w:t>Cette Loi met en œuvre et affirme le droit inhérent des Premières Nations, des Inuit et des Métis à exercer leur compétence en matière de services à l’enfance et à la famille. Grâce à cette législation, le gouvernement du Canada aide les peuples autochtones à concevoir et à fournir des modèles de services à l’enfance et à la famille qui répondent le mieux à leurs besoins. En outre, la législation établit des principes nationaux tels que l’intérêt supérieur de l’enfant, la continuité culturelle et l’égalité concrète, et vise à réduire le nombre d’enfants et de jeunes autochtones pris en charge</w:t>
      </w:r>
      <w:r w:rsidR="00953A07" w:rsidRPr="007B324D">
        <w:rPr>
          <w:rFonts w:ascii="72 Light" w:hAnsi="72 Light" w:cs="72 Light"/>
          <w:sz w:val="24"/>
          <w:szCs w:val="24"/>
          <w:lang w:val="fr-CA"/>
        </w:rPr>
        <w:t xml:space="preserve"> par le système</w:t>
      </w:r>
      <w:r w:rsidRPr="007B324D">
        <w:rPr>
          <w:rFonts w:ascii="72 Light" w:hAnsi="72 Light" w:cs="72 Light"/>
          <w:sz w:val="24"/>
          <w:szCs w:val="24"/>
          <w:lang w:val="fr-CA"/>
        </w:rPr>
        <w:t>.</w:t>
      </w:r>
    </w:p>
    <w:p w14:paraId="7BE3DF8D" w14:textId="025CD63D" w:rsidR="00BF3013" w:rsidRPr="007B324D" w:rsidRDefault="00BF3013" w:rsidP="00F62155">
      <w:pPr>
        <w:tabs>
          <w:tab w:val="left" w:pos="3544"/>
        </w:tabs>
        <w:spacing w:before="120" w:line="276" w:lineRule="auto"/>
        <w:ind w:left="0" w:firstLine="0"/>
        <w:jc w:val="both"/>
        <w:rPr>
          <w:rFonts w:ascii="72 Light" w:hAnsi="72 Light" w:cs="72 Light"/>
          <w:i/>
          <w:iCs/>
          <w:sz w:val="24"/>
          <w:szCs w:val="24"/>
          <w:lang w:val="fr-CA"/>
        </w:rPr>
      </w:pPr>
      <w:r w:rsidRPr="007B324D">
        <w:rPr>
          <w:rFonts w:ascii="72 Light" w:hAnsi="72 Light" w:cs="72 Light"/>
          <w:i/>
          <w:iCs/>
          <w:sz w:val="24"/>
          <w:szCs w:val="24"/>
          <w:lang w:val="fr-CA"/>
        </w:rPr>
        <w:t>L’ITK a proposé l’ajout suivant à la section sur l’éducation et l’emploi dans l</w:t>
      </w:r>
      <w:r w:rsidR="00935587" w:rsidRPr="007B324D">
        <w:rPr>
          <w:rFonts w:ascii="72 Light" w:hAnsi="72 Light" w:cs="72 Light"/>
          <w:i/>
          <w:iCs/>
          <w:sz w:val="24"/>
          <w:szCs w:val="24"/>
          <w:lang w:val="fr-CA"/>
        </w:rPr>
        <w:t>’ébauche du</w:t>
      </w:r>
      <w:r w:rsidRPr="007B324D">
        <w:rPr>
          <w:rFonts w:ascii="72 Light" w:hAnsi="72 Light" w:cs="72 Light"/>
          <w:i/>
          <w:iCs/>
          <w:sz w:val="24"/>
          <w:szCs w:val="24"/>
          <w:lang w:val="fr-CA"/>
        </w:rPr>
        <w:t xml:space="preserve"> rapport du Canada :</w:t>
      </w:r>
    </w:p>
    <w:p w14:paraId="70042DF0" w14:textId="28163A17" w:rsidR="00BF3013" w:rsidRPr="007B324D" w:rsidRDefault="00BF3013" w:rsidP="00F62155">
      <w:pPr>
        <w:tabs>
          <w:tab w:val="left" w:pos="3544"/>
        </w:tabs>
        <w:spacing w:before="120" w:line="276" w:lineRule="auto"/>
        <w:ind w:left="0" w:firstLine="0"/>
        <w:jc w:val="both"/>
        <w:rPr>
          <w:rStyle w:val="normaltextrun"/>
          <w:rFonts w:ascii="72 Light" w:eastAsia="72 Light" w:hAnsi="72 Light" w:cs="72 Light"/>
          <w:sz w:val="24"/>
          <w:szCs w:val="24"/>
          <w:lang w:val="fr-CA"/>
        </w:rPr>
      </w:pPr>
      <w:r w:rsidRPr="007B324D">
        <w:rPr>
          <w:rStyle w:val="normaltextrun"/>
          <w:rFonts w:ascii="72 Light" w:hAnsi="72 Light" w:cs="72 Light"/>
          <w:sz w:val="24"/>
          <w:szCs w:val="24"/>
          <w:lang w:val="fr-CA"/>
        </w:rPr>
        <w:lastRenderedPageBreak/>
        <w:t>Le gouvernement du Canada a mis en œuvre trois stratégies fondées sur les distinctions pour soutenir l’enseignement post</w:t>
      </w:r>
      <w:r w:rsidR="009E3A22" w:rsidRPr="007B324D">
        <w:rPr>
          <w:rStyle w:val="normaltextrun"/>
          <w:rFonts w:ascii="72 Light" w:hAnsi="72 Light" w:cs="72 Light"/>
          <w:sz w:val="24"/>
          <w:szCs w:val="24"/>
          <w:lang w:val="fr-CA"/>
        </w:rPr>
        <w:t>-</w:t>
      </w:r>
      <w:r w:rsidRPr="007B324D">
        <w:rPr>
          <w:rStyle w:val="normaltextrun"/>
          <w:rFonts w:ascii="72 Light" w:hAnsi="72 Light" w:cs="72 Light"/>
          <w:sz w:val="24"/>
          <w:szCs w:val="24"/>
          <w:lang w:val="fr-CA"/>
        </w:rPr>
        <w:t>secondaire </w:t>
      </w:r>
      <w:r w:rsidR="00F674B8" w:rsidRPr="007B324D">
        <w:rPr>
          <w:rStyle w:val="normaltextrun"/>
          <w:rFonts w:ascii="72 Light" w:hAnsi="72 Light" w:cs="72 Light"/>
          <w:sz w:val="24"/>
          <w:szCs w:val="24"/>
          <w:lang w:val="fr-CA"/>
        </w:rPr>
        <w:t>des A</w:t>
      </w:r>
      <w:r w:rsidRPr="007B324D">
        <w:rPr>
          <w:rStyle w:val="normaltextrun"/>
          <w:rFonts w:ascii="72 Light" w:hAnsi="72 Light" w:cs="72 Light"/>
          <w:sz w:val="24"/>
          <w:szCs w:val="24"/>
          <w:lang w:val="fr-CA"/>
        </w:rPr>
        <w:t>utochtone</w:t>
      </w:r>
      <w:r w:rsidR="00F674B8" w:rsidRPr="007B324D">
        <w:rPr>
          <w:rStyle w:val="normaltextrun"/>
          <w:rFonts w:ascii="72 Light" w:hAnsi="72 Light" w:cs="72 Light"/>
          <w:sz w:val="24"/>
          <w:szCs w:val="24"/>
          <w:lang w:val="fr-CA"/>
        </w:rPr>
        <w:t>s</w:t>
      </w:r>
      <w:r w:rsidRPr="007B324D">
        <w:rPr>
          <w:rStyle w:val="normaltextrun"/>
          <w:rFonts w:ascii="72 Light" w:hAnsi="72 Light" w:cs="72 Light"/>
          <w:sz w:val="24"/>
          <w:szCs w:val="24"/>
          <w:lang w:val="fr-CA"/>
        </w:rPr>
        <w:t>. Ces stratégies d’enseignement post</w:t>
      </w:r>
      <w:r w:rsidR="009E3A22" w:rsidRPr="007B324D">
        <w:rPr>
          <w:rStyle w:val="normaltextrun"/>
          <w:rFonts w:ascii="72 Light" w:hAnsi="72 Light" w:cs="72 Light"/>
          <w:sz w:val="24"/>
          <w:szCs w:val="24"/>
          <w:lang w:val="fr-CA"/>
        </w:rPr>
        <w:t>-</w:t>
      </w:r>
      <w:r w:rsidRPr="007B324D">
        <w:rPr>
          <w:rStyle w:val="normaltextrun"/>
          <w:rFonts w:ascii="72 Light" w:hAnsi="72 Light" w:cs="72 Light"/>
          <w:sz w:val="24"/>
          <w:szCs w:val="24"/>
          <w:lang w:val="fr-CA"/>
        </w:rPr>
        <w:t xml:space="preserve">secondaire des Premières Nations, des Inuit et des Métis offrent aux bénéficiaires la possibilité de financer des étudiants, des établissements, ainsi que des programmes et des services, </w:t>
      </w:r>
      <w:r w:rsidR="00F674B8" w:rsidRPr="007B324D">
        <w:rPr>
          <w:rStyle w:val="normaltextrun"/>
          <w:rFonts w:ascii="72 Light" w:hAnsi="72 Light" w:cs="72 Light"/>
          <w:sz w:val="24"/>
          <w:szCs w:val="24"/>
          <w:lang w:val="fr-CA"/>
        </w:rPr>
        <w:t xml:space="preserve">notamment en élaborant </w:t>
      </w:r>
      <w:r w:rsidRPr="007B324D">
        <w:rPr>
          <w:rStyle w:val="normaltextrun"/>
          <w:rFonts w:ascii="72 Light" w:hAnsi="72 Light" w:cs="72 Light"/>
          <w:sz w:val="24"/>
          <w:szCs w:val="24"/>
          <w:lang w:val="fr-CA"/>
        </w:rPr>
        <w:t>de</w:t>
      </w:r>
      <w:r w:rsidR="00F674B8" w:rsidRPr="007B324D">
        <w:rPr>
          <w:rStyle w:val="normaltextrun"/>
          <w:rFonts w:ascii="72 Light" w:hAnsi="72 Light" w:cs="72 Light"/>
          <w:sz w:val="24"/>
          <w:szCs w:val="24"/>
          <w:lang w:val="fr-CA"/>
        </w:rPr>
        <w:t>s</w:t>
      </w:r>
      <w:r w:rsidRPr="007B324D">
        <w:rPr>
          <w:rStyle w:val="normaltextrun"/>
          <w:rFonts w:ascii="72 Light" w:hAnsi="72 Light" w:cs="72 Light"/>
          <w:sz w:val="24"/>
          <w:szCs w:val="24"/>
          <w:lang w:val="fr-CA"/>
        </w:rPr>
        <w:t xml:space="preserve"> programmes d’enseignement</w:t>
      </w:r>
      <w:r w:rsidR="00F674B8" w:rsidRPr="007B324D">
        <w:rPr>
          <w:rStyle w:val="normaltextrun"/>
          <w:rFonts w:ascii="72 Light" w:hAnsi="72 Light" w:cs="72 Light"/>
          <w:sz w:val="24"/>
          <w:szCs w:val="24"/>
          <w:lang w:val="fr-CA"/>
        </w:rPr>
        <w:t xml:space="preserve"> et en menant </w:t>
      </w:r>
      <w:r w:rsidRPr="007B324D">
        <w:rPr>
          <w:rStyle w:val="normaltextrun"/>
          <w:rFonts w:ascii="72 Light" w:hAnsi="72 Light" w:cs="72 Light"/>
          <w:sz w:val="24"/>
          <w:szCs w:val="24"/>
          <w:lang w:val="fr-CA"/>
        </w:rPr>
        <w:t>d’autres initiatives prioritaires pour répondre à</w:t>
      </w:r>
      <w:r w:rsidR="00F674B8" w:rsidRPr="007B324D">
        <w:rPr>
          <w:rStyle w:val="normaltextrun"/>
          <w:rFonts w:ascii="72 Light" w:hAnsi="72 Light" w:cs="72 Light"/>
          <w:sz w:val="24"/>
          <w:szCs w:val="24"/>
          <w:lang w:val="fr-CA"/>
        </w:rPr>
        <w:t xml:space="preserve"> des</w:t>
      </w:r>
      <w:r w:rsidRPr="007B324D">
        <w:rPr>
          <w:rStyle w:val="normaltextrun"/>
          <w:rFonts w:ascii="72 Light" w:hAnsi="72 Light" w:cs="72 Light"/>
          <w:sz w:val="24"/>
          <w:szCs w:val="24"/>
          <w:lang w:val="fr-CA"/>
        </w:rPr>
        <w:t xml:space="preserve"> besoins particuliers (p. ex.</w:t>
      </w:r>
      <w:r w:rsidR="00F674B8" w:rsidRPr="007B324D">
        <w:rPr>
          <w:rStyle w:val="normaltextrun"/>
          <w:rFonts w:ascii="72 Light" w:hAnsi="72 Light" w:cs="72 Light"/>
          <w:sz w:val="24"/>
          <w:szCs w:val="24"/>
          <w:lang w:val="fr-CA"/>
        </w:rPr>
        <w:t>,</w:t>
      </w:r>
      <w:r w:rsidRPr="007B324D">
        <w:rPr>
          <w:rStyle w:val="normaltextrun"/>
          <w:rFonts w:ascii="72 Light" w:hAnsi="72 Light" w:cs="72 Light"/>
          <w:sz w:val="24"/>
          <w:szCs w:val="24"/>
          <w:lang w:val="fr-CA"/>
        </w:rPr>
        <w:t xml:space="preserve"> augmenter le nombre de diplômés dans des domaines précis pour combler les lacunes du marché du travail local)</w:t>
      </w:r>
      <w:r w:rsidRPr="007B324D">
        <w:rPr>
          <w:rFonts w:ascii="72 Light" w:hAnsi="72 Light" w:cs="72 Light"/>
          <w:sz w:val="24"/>
          <w:szCs w:val="24"/>
          <w:lang w:val="fr-CA"/>
        </w:rPr>
        <w:t>.</w:t>
      </w:r>
    </w:p>
    <w:p w14:paraId="5B40E763" w14:textId="009F017C" w:rsidR="00BF3013" w:rsidRPr="007B324D" w:rsidRDefault="00BF3013" w:rsidP="00F62155">
      <w:pPr>
        <w:tabs>
          <w:tab w:val="left" w:pos="3544"/>
        </w:tabs>
        <w:spacing w:before="120" w:line="276" w:lineRule="auto"/>
        <w:ind w:left="0" w:firstLine="0"/>
        <w:jc w:val="both"/>
        <w:rPr>
          <w:rFonts w:ascii="72 Light" w:hAnsi="72 Light" w:cs="72 Light"/>
          <w:i/>
          <w:iCs/>
          <w:sz w:val="24"/>
          <w:szCs w:val="24"/>
          <w:lang w:val="fr-CA"/>
        </w:rPr>
      </w:pPr>
      <w:r w:rsidRPr="007B324D">
        <w:rPr>
          <w:rFonts w:ascii="72 Light" w:hAnsi="72 Light" w:cs="72 Light"/>
          <w:i/>
          <w:iCs/>
          <w:sz w:val="24"/>
          <w:szCs w:val="24"/>
          <w:lang w:val="fr-CA"/>
        </w:rPr>
        <w:t xml:space="preserve">L’ITK a proposé l’ajout suivant à la section sur la lutte contre le racisme </w:t>
      </w:r>
      <w:r w:rsidR="00710E3F" w:rsidRPr="007B324D">
        <w:rPr>
          <w:rFonts w:ascii="72 Light" w:hAnsi="72 Light" w:cs="72 Light"/>
          <w:i/>
          <w:iCs/>
          <w:sz w:val="24"/>
          <w:szCs w:val="24"/>
          <w:lang w:val="fr-CA"/>
        </w:rPr>
        <w:t>anti-</w:t>
      </w:r>
      <w:r w:rsidRPr="007B324D">
        <w:rPr>
          <w:rFonts w:ascii="72 Light" w:hAnsi="72 Light" w:cs="72 Light"/>
          <w:i/>
          <w:iCs/>
          <w:sz w:val="24"/>
          <w:szCs w:val="24"/>
          <w:lang w:val="fr-CA"/>
        </w:rPr>
        <w:t xml:space="preserve"> Autochtone dans l</w:t>
      </w:r>
      <w:r w:rsidR="00935587" w:rsidRPr="007B324D">
        <w:rPr>
          <w:rFonts w:ascii="72 Light" w:hAnsi="72 Light" w:cs="72 Light"/>
          <w:i/>
          <w:iCs/>
          <w:sz w:val="24"/>
          <w:szCs w:val="24"/>
          <w:lang w:val="fr-CA"/>
        </w:rPr>
        <w:t>’ébauche du</w:t>
      </w:r>
      <w:r w:rsidRPr="007B324D">
        <w:rPr>
          <w:rFonts w:ascii="72 Light" w:hAnsi="72 Light" w:cs="72 Light"/>
          <w:i/>
          <w:iCs/>
          <w:sz w:val="24"/>
          <w:szCs w:val="24"/>
          <w:lang w:val="fr-CA"/>
        </w:rPr>
        <w:t xml:space="preserve"> rapport du Canada</w:t>
      </w:r>
      <w:r w:rsidR="00F674B8" w:rsidRPr="007B324D">
        <w:rPr>
          <w:rFonts w:ascii="72 Light" w:hAnsi="72 Light" w:cs="72 Light"/>
          <w:i/>
          <w:iCs/>
          <w:sz w:val="24"/>
          <w:szCs w:val="24"/>
          <w:lang w:val="fr-CA"/>
        </w:rPr>
        <w:t>.</w:t>
      </w:r>
    </w:p>
    <w:p w14:paraId="63F99735" w14:textId="42397CAC" w:rsidR="00BF3013" w:rsidRPr="007B324D" w:rsidRDefault="00BF3013" w:rsidP="00F62155">
      <w:pPr>
        <w:tabs>
          <w:tab w:val="left" w:pos="3544"/>
        </w:tabs>
        <w:spacing w:before="120" w:line="276" w:lineRule="auto"/>
        <w:ind w:left="0" w:firstLine="0"/>
        <w:jc w:val="both"/>
        <w:rPr>
          <w:rFonts w:ascii="72 Light" w:hAnsi="72 Light" w:cs="72 Light"/>
          <w:i/>
          <w:iCs/>
          <w:sz w:val="24"/>
          <w:szCs w:val="24"/>
          <w:lang w:val="fr-CA"/>
        </w:rPr>
      </w:pPr>
      <w:r w:rsidRPr="007B324D">
        <w:rPr>
          <w:rFonts w:ascii="72 Light" w:hAnsi="72 Light" w:cs="72 Light"/>
          <w:i/>
          <w:iCs/>
          <w:sz w:val="24"/>
          <w:szCs w:val="24"/>
          <w:lang w:val="fr-CA"/>
        </w:rPr>
        <w:t>Le paragraphe 11</w:t>
      </w:r>
      <w:r w:rsidR="00690178" w:rsidRPr="007B324D">
        <w:rPr>
          <w:rFonts w:ascii="72 Light" w:hAnsi="72 Light" w:cs="72 Light"/>
          <w:i/>
          <w:iCs/>
          <w:sz w:val="24"/>
          <w:szCs w:val="24"/>
          <w:lang w:val="fr-CA"/>
        </w:rPr>
        <w:t>6</w:t>
      </w:r>
      <w:r w:rsidRPr="007B324D">
        <w:rPr>
          <w:rFonts w:ascii="72 Light" w:hAnsi="72 Light" w:cs="72 Light"/>
          <w:i/>
          <w:iCs/>
          <w:sz w:val="24"/>
          <w:szCs w:val="24"/>
          <w:lang w:val="fr-CA"/>
        </w:rPr>
        <w:t xml:space="preserve"> </w:t>
      </w:r>
      <w:r w:rsidR="00690178" w:rsidRPr="007B324D">
        <w:rPr>
          <w:rFonts w:ascii="72 Light" w:hAnsi="72 Light" w:cs="72 Light"/>
          <w:i/>
          <w:iCs/>
          <w:sz w:val="24"/>
          <w:szCs w:val="24"/>
          <w:lang w:val="fr-CA"/>
        </w:rPr>
        <w:t xml:space="preserve">de la version française </w:t>
      </w:r>
      <w:r w:rsidRPr="007B324D">
        <w:rPr>
          <w:rFonts w:ascii="72 Light" w:hAnsi="72 Light" w:cs="72 Light"/>
          <w:i/>
          <w:iCs/>
          <w:sz w:val="24"/>
          <w:szCs w:val="24"/>
          <w:lang w:val="fr-CA"/>
        </w:rPr>
        <w:t>du rapport se lit comme suit :</w:t>
      </w:r>
    </w:p>
    <w:p w14:paraId="792AA8B6" w14:textId="4E4385A8" w:rsidR="00BF3013" w:rsidRPr="007B324D" w:rsidRDefault="00FC456C" w:rsidP="00F62155">
      <w:pPr>
        <w:tabs>
          <w:tab w:val="left" w:pos="3544"/>
        </w:tabs>
        <w:spacing w:before="120" w:line="276" w:lineRule="auto"/>
        <w:ind w:left="0" w:firstLine="0"/>
        <w:jc w:val="both"/>
        <w:rPr>
          <w:rFonts w:ascii="72 Light" w:eastAsia="72 Light" w:hAnsi="72 Light" w:cs="72 Light"/>
          <w:sz w:val="24"/>
          <w:szCs w:val="24"/>
          <w:lang w:val="fr-CA"/>
        </w:rPr>
      </w:pPr>
      <w:r w:rsidRPr="007B324D">
        <w:rPr>
          <w:rFonts w:ascii="72 Light" w:hAnsi="72 Light" w:cs="72 Light"/>
          <w:sz w:val="24"/>
          <w:szCs w:val="24"/>
          <w:lang w:val="fr-CA"/>
        </w:rPr>
        <w:t>Afin de continuer à soutenir l’engagement et l’élaboration de mesures transformatrice pour aider à éliminer le racisme anti-Autochtone, quatre dialogues nationaux sur les données, qui s’est tenu en janvier 2023. Ce dialogue a réuni des organisations autochtones nationales, des organisations de professionnels de la santé Autochtones, des partenaires du système de santé, de représentants des PT et des experts en la matière pour discuter de la manière dont les données peuvent soutenir l’élimination du racisme anti-Autochtone dans les systèmes de santé</w:t>
      </w:r>
      <w:r w:rsidR="00BF3013" w:rsidRPr="007B324D">
        <w:rPr>
          <w:rFonts w:ascii="72 Light" w:hAnsi="72 Light" w:cs="72 Light"/>
          <w:sz w:val="24"/>
          <w:szCs w:val="24"/>
          <w:lang w:val="fr-CA"/>
        </w:rPr>
        <w:t xml:space="preserve">. </w:t>
      </w:r>
    </w:p>
    <w:p w14:paraId="749753DC" w14:textId="0F6B5C98" w:rsidR="00BF3013" w:rsidRPr="007B324D" w:rsidRDefault="00BF3013" w:rsidP="00F62155">
      <w:pPr>
        <w:tabs>
          <w:tab w:val="left" w:pos="3544"/>
        </w:tabs>
        <w:spacing w:before="120" w:line="276" w:lineRule="auto"/>
        <w:ind w:left="0" w:firstLine="0"/>
        <w:jc w:val="both"/>
        <w:rPr>
          <w:rFonts w:ascii="72 Light" w:hAnsi="72 Light" w:cs="72 Light"/>
          <w:i/>
          <w:iCs/>
          <w:sz w:val="24"/>
          <w:szCs w:val="24"/>
          <w:lang w:val="fr-CA"/>
        </w:rPr>
      </w:pPr>
      <w:r w:rsidRPr="007B324D">
        <w:rPr>
          <w:rFonts w:ascii="72 Light" w:hAnsi="72 Light" w:cs="72 Light"/>
          <w:i/>
          <w:iCs/>
          <w:sz w:val="24"/>
          <w:szCs w:val="24"/>
          <w:lang w:val="fr-CA"/>
        </w:rPr>
        <w:t>L’ITK a proposé d’ajouter cette précision supplémentaire</w:t>
      </w:r>
      <w:r w:rsidR="00710E3F" w:rsidRPr="007B324D">
        <w:rPr>
          <w:rFonts w:ascii="72 Light" w:hAnsi="72 Light" w:cs="72 Light"/>
          <w:i/>
          <w:iCs/>
          <w:sz w:val="24"/>
          <w:szCs w:val="24"/>
          <w:lang w:val="fr-CA"/>
        </w:rPr>
        <w:t> :</w:t>
      </w:r>
    </w:p>
    <w:p w14:paraId="6C7927F7" w14:textId="57A34F46" w:rsidR="00BF3013" w:rsidRPr="007B324D" w:rsidRDefault="00BF3013" w:rsidP="00F62155">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Ces dialogues ont débouché sur des initiatives fédérales axées sur l’amélioration de l’accès à des services culturellement sûrs, l’adaptation des systèmes de santé, l’amélioration du soutien et de la </w:t>
      </w:r>
      <w:r w:rsidR="00F674B8" w:rsidRPr="007B324D">
        <w:rPr>
          <w:rFonts w:ascii="72 Light" w:hAnsi="72 Light" w:cs="72 Light"/>
          <w:sz w:val="24"/>
          <w:szCs w:val="24"/>
          <w:lang w:val="fr-CA"/>
        </w:rPr>
        <w:t>reddition de comptes</w:t>
      </w:r>
      <w:r w:rsidRPr="007B324D">
        <w:rPr>
          <w:rFonts w:ascii="72 Light" w:hAnsi="72 Light" w:cs="72 Light"/>
          <w:sz w:val="24"/>
          <w:szCs w:val="24"/>
          <w:lang w:val="fr-CA"/>
        </w:rPr>
        <w:t xml:space="preserve">, et la mise en place d’un leadership fédéral grâce à un dialogue et à une évaluation continus. </w:t>
      </w:r>
    </w:p>
    <w:p w14:paraId="1A404C0C" w14:textId="77777777" w:rsidR="00BF3013" w:rsidRPr="007B324D" w:rsidRDefault="00BF3013" w:rsidP="005D1236">
      <w:pPr>
        <w:pStyle w:val="Heading2"/>
        <w:rPr>
          <w:rFonts w:ascii="72 Light" w:hAnsi="72 Light" w:cs="72 Light"/>
          <w:color w:val="2F5496" w:themeColor="accent5" w:themeShade="BF"/>
          <w:sz w:val="24"/>
          <w:szCs w:val="24"/>
          <w:lang w:val="fr-CA"/>
        </w:rPr>
      </w:pPr>
      <w:bookmarkStart w:id="9" w:name="_Toc147829625"/>
      <w:r w:rsidRPr="007B324D">
        <w:rPr>
          <w:rFonts w:ascii="72 Light" w:hAnsi="72 Light" w:cs="72 Light"/>
          <w:color w:val="2F5496" w:themeColor="accent5" w:themeShade="BF"/>
          <w:sz w:val="28"/>
          <w:szCs w:val="28"/>
          <w:lang w:val="fr-CA"/>
        </w:rPr>
        <w:t>Contribution du Ralliement national des Métis</w:t>
      </w:r>
      <w:bookmarkEnd w:id="9"/>
    </w:p>
    <w:p w14:paraId="2FB218FD" w14:textId="24CBEF8A" w:rsidR="00BF3013" w:rsidRPr="007B324D" w:rsidRDefault="00BF3013" w:rsidP="00145E2D">
      <w:pPr>
        <w:tabs>
          <w:tab w:val="left" w:pos="3544"/>
        </w:tabs>
        <w:spacing w:before="120" w:line="276" w:lineRule="auto"/>
        <w:ind w:left="0" w:firstLine="0"/>
        <w:jc w:val="both"/>
        <w:rPr>
          <w:rFonts w:ascii="72 Light" w:hAnsi="72 Light" w:cs="72 Light"/>
          <w:i/>
          <w:iCs/>
          <w:sz w:val="24"/>
          <w:szCs w:val="24"/>
          <w:lang w:val="fr-CA"/>
        </w:rPr>
      </w:pPr>
      <w:r w:rsidRPr="007B324D">
        <w:rPr>
          <w:rFonts w:ascii="72 Light" w:hAnsi="72 Light" w:cs="72 Light"/>
          <w:i/>
          <w:iCs/>
          <w:sz w:val="24"/>
          <w:szCs w:val="24"/>
          <w:lang w:val="fr-CA"/>
        </w:rPr>
        <w:t xml:space="preserve">Le Ralliement national des Métis (RNM) a proposé l’ajout suivant au rapport du Canada dans la section sur les instruments internationaux </w:t>
      </w:r>
      <w:r w:rsidR="00B52CE7" w:rsidRPr="007B324D">
        <w:rPr>
          <w:rFonts w:ascii="72 Light" w:hAnsi="72 Light" w:cs="72 Light"/>
          <w:i/>
          <w:iCs/>
          <w:sz w:val="24"/>
          <w:szCs w:val="24"/>
          <w:lang w:val="fr-CA"/>
        </w:rPr>
        <w:t>relatifs aux</w:t>
      </w:r>
      <w:r w:rsidR="00F674B8" w:rsidRPr="007B324D">
        <w:rPr>
          <w:rFonts w:ascii="72 Light" w:hAnsi="72 Light" w:cs="72 Light"/>
          <w:i/>
          <w:iCs/>
          <w:sz w:val="24"/>
          <w:szCs w:val="24"/>
          <w:lang w:val="fr-CA"/>
        </w:rPr>
        <w:t xml:space="preserve"> </w:t>
      </w:r>
      <w:r w:rsidRPr="007B324D">
        <w:rPr>
          <w:rFonts w:ascii="72 Light" w:hAnsi="72 Light" w:cs="72 Light"/>
          <w:i/>
          <w:iCs/>
          <w:sz w:val="24"/>
          <w:szCs w:val="24"/>
          <w:lang w:val="fr-CA"/>
        </w:rPr>
        <w:t>droits de la personne</w:t>
      </w:r>
      <w:r w:rsidR="003B2B32" w:rsidRPr="007B324D">
        <w:rPr>
          <w:rFonts w:ascii="72 Light" w:hAnsi="72 Light" w:cs="72 Light"/>
          <w:i/>
          <w:iCs/>
          <w:sz w:val="24"/>
          <w:szCs w:val="24"/>
          <w:lang w:val="fr-CA"/>
        </w:rPr>
        <w:t> :</w:t>
      </w:r>
    </w:p>
    <w:p w14:paraId="5E757754" w14:textId="3080E7BB" w:rsidR="00BF3013" w:rsidRPr="007B324D" w:rsidRDefault="00BF3013" w:rsidP="00145E2D">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Le Canada a déposé le </w:t>
      </w:r>
      <w:r w:rsidR="00F674B8" w:rsidRPr="007B324D">
        <w:rPr>
          <w:rFonts w:ascii="72 Light" w:hAnsi="72 Light" w:cs="72 Light"/>
          <w:i/>
          <w:iCs/>
          <w:sz w:val="24"/>
          <w:szCs w:val="24"/>
          <w:lang w:val="fr-CA"/>
        </w:rPr>
        <w:t>P</w:t>
      </w:r>
      <w:r w:rsidRPr="007B324D">
        <w:rPr>
          <w:rFonts w:ascii="72 Light" w:hAnsi="72 Light" w:cs="72 Light"/>
          <w:i/>
          <w:iCs/>
          <w:sz w:val="24"/>
          <w:szCs w:val="24"/>
          <w:lang w:val="fr-CA"/>
        </w:rPr>
        <w:t>lan d’action de la Déclaration des Nations Unies sur les droits des peuples autochtones</w:t>
      </w:r>
      <w:r w:rsidRPr="007B324D">
        <w:rPr>
          <w:rStyle w:val="apple-converted-space"/>
          <w:rFonts w:ascii="72 Light" w:hAnsi="72 Light" w:cs="72 Light"/>
          <w:i/>
          <w:iCs/>
          <w:sz w:val="24"/>
          <w:szCs w:val="24"/>
          <w:lang w:val="fr-CA"/>
        </w:rPr>
        <w:t xml:space="preserve"> </w:t>
      </w:r>
      <w:r w:rsidRPr="007B324D">
        <w:rPr>
          <w:rFonts w:ascii="72 Light" w:hAnsi="72 Light" w:cs="72 Light"/>
          <w:sz w:val="24"/>
          <w:szCs w:val="24"/>
          <w:lang w:val="fr-CA"/>
        </w:rPr>
        <w:t>au Parlement</w:t>
      </w:r>
      <w:r w:rsidRPr="007B324D">
        <w:rPr>
          <w:rStyle w:val="apple-converted-space"/>
          <w:rFonts w:ascii="72 Light" w:hAnsi="72 Light" w:cs="72 Light"/>
          <w:sz w:val="24"/>
          <w:szCs w:val="24"/>
          <w:lang w:val="fr-CA"/>
        </w:rPr>
        <w:t xml:space="preserve"> </w:t>
      </w:r>
      <w:r w:rsidRPr="007B324D">
        <w:rPr>
          <w:rFonts w:ascii="72 Light" w:hAnsi="72 Light" w:cs="72 Light"/>
          <w:sz w:val="24"/>
          <w:szCs w:val="24"/>
          <w:lang w:val="fr-CA"/>
        </w:rPr>
        <w:t xml:space="preserve">en </w:t>
      </w:r>
      <w:r w:rsidRPr="007B324D">
        <w:rPr>
          <w:rFonts w:ascii="72 Light" w:hAnsi="72 Light" w:cs="72 Light"/>
          <w:color w:val="000000"/>
          <w:sz w:val="24"/>
          <w:szCs w:val="24"/>
          <w:lang w:val="fr-CA"/>
        </w:rPr>
        <w:t>juin 2023.</w:t>
      </w:r>
      <w:r w:rsidRPr="007B324D">
        <w:rPr>
          <w:rStyle w:val="apple-converted-space"/>
          <w:rFonts w:ascii="72 Light" w:hAnsi="72 Light" w:cs="72 Light"/>
          <w:color w:val="000000"/>
          <w:sz w:val="24"/>
          <w:szCs w:val="24"/>
          <w:lang w:val="fr-CA"/>
        </w:rPr>
        <w:t xml:space="preserve"> </w:t>
      </w:r>
      <w:r w:rsidRPr="007B324D">
        <w:rPr>
          <w:rFonts w:ascii="72 Light" w:hAnsi="72 Light" w:cs="72 Light"/>
          <w:color w:val="000000"/>
          <w:sz w:val="24"/>
          <w:szCs w:val="24"/>
          <w:lang w:val="fr-CA"/>
        </w:rPr>
        <w:t xml:space="preserve">Le </w:t>
      </w:r>
      <w:r w:rsidR="00F674B8" w:rsidRPr="007B324D">
        <w:rPr>
          <w:rFonts w:ascii="72 Light" w:hAnsi="72 Light" w:cs="72 Light"/>
          <w:color w:val="000000"/>
          <w:sz w:val="24"/>
          <w:szCs w:val="24"/>
          <w:lang w:val="fr-CA"/>
        </w:rPr>
        <w:t>P</w:t>
      </w:r>
      <w:r w:rsidRPr="007B324D">
        <w:rPr>
          <w:rFonts w:ascii="72 Light" w:hAnsi="72 Light" w:cs="72 Light"/>
          <w:color w:val="000000"/>
          <w:sz w:val="24"/>
          <w:szCs w:val="24"/>
          <w:lang w:val="fr-CA"/>
        </w:rPr>
        <w:t xml:space="preserve">lan d’action comprend un engagement à mettre au point des mécanismes fondés sur les distinctions pour officialiser la participation des institutions représentatives des peuples autochtones tout au long des processus du gouvernement du Canada pour : la mise en œuvre continue des obligations du Canada en vertu des traités internationaux sur les droits de la personne; la surveillance </w:t>
      </w:r>
      <w:r w:rsidR="00F674B8" w:rsidRPr="007B324D">
        <w:rPr>
          <w:rFonts w:ascii="72 Light" w:hAnsi="72 Light" w:cs="72 Light"/>
          <w:color w:val="000000"/>
          <w:sz w:val="24"/>
          <w:szCs w:val="24"/>
          <w:lang w:val="fr-CA"/>
        </w:rPr>
        <w:t>des</w:t>
      </w:r>
      <w:r w:rsidRPr="007B324D">
        <w:rPr>
          <w:rFonts w:ascii="72 Light" w:hAnsi="72 Light" w:cs="72 Light"/>
          <w:color w:val="000000"/>
          <w:sz w:val="24"/>
          <w:szCs w:val="24"/>
          <w:lang w:val="fr-CA"/>
        </w:rPr>
        <w:t xml:space="preserve"> obligations du Canada en vertu de ces traités</w:t>
      </w:r>
      <w:r w:rsidR="00F674B8" w:rsidRPr="007B324D">
        <w:rPr>
          <w:rFonts w:ascii="72 Light" w:hAnsi="72 Light" w:cs="72 Light"/>
          <w:color w:val="000000"/>
          <w:sz w:val="24"/>
          <w:szCs w:val="24"/>
          <w:lang w:val="fr-CA"/>
        </w:rPr>
        <w:t xml:space="preserve"> et l’établissement de rapports connexes</w:t>
      </w:r>
      <w:r w:rsidRPr="007B324D">
        <w:rPr>
          <w:rFonts w:ascii="72 Light" w:hAnsi="72 Light" w:cs="72 Light"/>
          <w:color w:val="000000"/>
          <w:sz w:val="24"/>
          <w:szCs w:val="24"/>
          <w:lang w:val="fr-CA"/>
        </w:rPr>
        <w:t>; le suivi des recommandations des organes internationaux de défense des droits de la personne; et l’</w:t>
      </w:r>
      <w:r w:rsidR="00A27906" w:rsidRPr="007B324D">
        <w:rPr>
          <w:rFonts w:ascii="72 Light" w:hAnsi="72 Light" w:cs="72 Light"/>
          <w:color w:val="000000"/>
          <w:sz w:val="24"/>
          <w:szCs w:val="24"/>
          <w:lang w:val="fr-CA"/>
        </w:rPr>
        <w:t xml:space="preserve">étude de la possibilité d’adhérer </w:t>
      </w:r>
      <w:r w:rsidRPr="007B324D">
        <w:rPr>
          <w:rFonts w:ascii="72 Light" w:hAnsi="72 Light" w:cs="72 Light"/>
          <w:color w:val="000000"/>
          <w:sz w:val="24"/>
          <w:szCs w:val="24"/>
          <w:lang w:val="fr-CA"/>
        </w:rPr>
        <w:t xml:space="preserve">aux traités internationaux sur les droits de la personne </w:t>
      </w:r>
      <w:r w:rsidR="00A27906" w:rsidRPr="007B324D">
        <w:rPr>
          <w:rFonts w:ascii="72 Light" w:hAnsi="72 Light" w:cs="72 Light"/>
          <w:color w:val="000000"/>
          <w:sz w:val="24"/>
          <w:szCs w:val="24"/>
          <w:lang w:val="fr-CA"/>
        </w:rPr>
        <w:t xml:space="preserve">dont </w:t>
      </w:r>
      <w:r w:rsidRPr="007B324D">
        <w:rPr>
          <w:rFonts w:ascii="72 Light" w:hAnsi="72 Light" w:cs="72 Light"/>
          <w:color w:val="000000"/>
          <w:sz w:val="24"/>
          <w:szCs w:val="24"/>
          <w:lang w:val="fr-CA"/>
        </w:rPr>
        <w:t>le Canada n</w:t>
      </w:r>
      <w:r w:rsidR="00A27906" w:rsidRPr="007B324D">
        <w:rPr>
          <w:rFonts w:ascii="72 Light" w:hAnsi="72 Light" w:cs="72 Light"/>
          <w:color w:val="000000"/>
          <w:sz w:val="24"/>
          <w:szCs w:val="24"/>
          <w:lang w:val="fr-CA"/>
        </w:rPr>
        <w:t>’est pas encore signataire</w:t>
      </w:r>
      <w:r w:rsidRPr="007B324D">
        <w:rPr>
          <w:rFonts w:ascii="72 Light" w:hAnsi="72 Light" w:cs="72 Light"/>
          <w:color w:val="000000"/>
          <w:sz w:val="24"/>
          <w:szCs w:val="24"/>
          <w:lang w:val="fr-CA"/>
        </w:rPr>
        <w:t>.</w:t>
      </w:r>
    </w:p>
    <w:p w14:paraId="5B6FAE0D" w14:textId="2CBB6189" w:rsidR="00BF3013" w:rsidRPr="007B324D" w:rsidRDefault="00BF3013" w:rsidP="00145E2D">
      <w:pPr>
        <w:tabs>
          <w:tab w:val="left" w:pos="3544"/>
        </w:tabs>
        <w:spacing w:before="120" w:line="276" w:lineRule="auto"/>
        <w:ind w:left="0" w:firstLine="0"/>
        <w:jc w:val="both"/>
        <w:rPr>
          <w:rFonts w:ascii="72 Light" w:hAnsi="72 Light" w:cs="72 Light"/>
          <w:i/>
          <w:iCs/>
          <w:sz w:val="24"/>
          <w:szCs w:val="24"/>
          <w:lang w:val="fr-CA"/>
        </w:rPr>
      </w:pPr>
      <w:r w:rsidRPr="007B324D">
        <w:rPr>
          <w:rFonts w:ascii="72 Light" w:hAnsi="72 Light" w:cs="72 Light"/>
          <w:i/>
          <w:iCs/>
          <w:sz w:val="24"/>
          <w:szCs w:val="24"/>
          <w:lang w:val="fr-CA"/>
        </w:rPr>
        <w:t xml:space="preserve">Le </w:t>
      </w:r>
      <w:r w:rsidR="00A27906" w:rsidRPr="007B324D">
        <w:rPr>
          <w:rFonts w:ascii="72 Light" w:hAnsi="72 Light" w:cs="72 Light"/>
          <w:i/>
          <w:iCs/>
          <w:sz w:val="24"/>
          <w:szCs w:val="24"/>
          <w:lang w:val="fr-CA"/>
        </w:rPr>
        <w:t>RNM</w:t>
      </w:r>
      <w:r w:rsidRPr="007B324D">
        <w:rPr>
          <w:rFonts w:ascii="72 Light" w:hAnsi="72 Light" w:cs="72 Light"/>
          <w:i/>
          <w:iCs/>
          <w:sz w:val="24"/>
          <w:szCs w:val="24"/>
          <w:lang w:val="fr-CA"/>
        </w:rPr>
        <w:t xml:space="preserve"> a proposé l’ajout suivant au rapport du Canada dans la section sur les initiatives de réconciliation</w:t>
      </w:r>
      <w:r w:rsidR="003B2B32" w:rsidRPr="007B324D">
        <w:rPr>
          <w:rFonts w:ascii="72 Light" w:hAnsi="72 Light" w:cs="72 Light"/>
          <w:i/>
          <w:iCs/>
          <w:sz w:val="24"/>
          <w:szCs w:val="24"/>
          <w:lang w:val="fr-CA"/>
        </w:rPr>
        <w:t> :</w:t>
      </w:r>
    </w:p>
    <w:p w14:paraId="66750F13" w14:textId="044B73D9" w:rsidR="00BF3013" w:rsidRPr="007B324D" w:rsidRDefault="00BF3013" w:rsidP="00145E2D">
      <w:pPr>
        <w:tabs>
          <w:tab w:val="left" w:pos="3544"/>
        </w:tabs>
        <w:spacing w:before="120" w:line="276" w:lineRule="auto"/>
        <w:ind w:left="0" w:firstLine="0"/>
        <w:jc w:val="both"/>
        <w:rPr>
          <w:rFonts w:ascii="72 Light" w:hAnsi="72 Light" w:cs="72 Light"/>
          <w:color w:val="333333"/>
          <w:sz w:val="24"/>
          <w:szCs w:val="24"/>
          <w:lang w:val="fr-CA"/>
        </w:rPr>
      </w:pPr>
      <w:r w:rsidRPr="007B324D">
        <w:rPr>
          <w:rFonts w:ascii="72 Light" w:hAnsi="72 Light" w:cs="72 Light"/>
          <w:sz w:val="24"/>
          <w:szCs w:val="24"/>
          <w:lang w:val="fr-CA"/>
        </w:rPr>
        <w:lastRenderedPageBreak/>
        <w:t xml:space="preserve">En 2016, le gouvernement du Canada a annoncé la mise en place de nouveaux mécanismes bilatéraux permanents </w:t>
      </w:r>
      <w:r w:rsidR="00A27906" w:rsidRPr="007B324D">
        <w:rPr>
          <w:rFonts w:ascii="72 Light" w:hAnsi="72 Light" w:cs="72 Light"/>
          <w:sz w:val="24"/>
          <w:szCs w:val="24"/>
          <w:lang w:val="fr-CA"/>
        </w:rPr>
        <w:t>auxquels participeront</w:t>
      </w:r>
      <w:r w:rsidRPr="007B324D">
        <w:rPr>
          <w:rFonts w:ascii="72 Light" w:hAnsi="72 Light" w:cs="72 Light"/>
          <w:sz w:val="24"/>
          <w:szCs w:val="24"/>
          <w:lang w:val="fr-CA"/>
        </w:rPr>
        <w:t xml:space="preserve"> </w:t>
      </w:r>
      <w:r w:rsidR="00A27906" w:rsidRPr="007B324D">
        <w:rPr>
          <w:rFonts w:ascii="72 Light" w:hAnsi="72 Light" w:cs="72 Light"/>
          <w:sz w:val="24"/>
          <w:szCs w:val="24"/>
          <w:lang w:val="fr-CA"/>
        </w:rPr>
        <w:t>d</w:t>
      </w:r>
      <w:r w:rsidRPr="007B324D">
        <w:rPr>
          <w:rFonts w:ascii="72 Light" w:hAnsi="72 Light" w:cs="72 Light"/>
          <w:sz w:val="24"/>
          <w:szCs w:val="24"/>
          <w:lang w:val="fr-CA"/>
        </w:rPr>
        <w:t>es dirigeants des Premières Nations, des Inuit et de la Nation métisse afin d</w:t>
      </w:r>
      <w:r w:rsidR="00A27906" w:rsidRPr="007B324D">
        <w:rPr>
          <w:rFonts w:ascii="72 Light" w:hAnsi="72 Light" w:cs="72 Light"/>
          <w:sz w:val="24"/>
          <w:szCs w:val="24"/>
          <w:lang w:val="fr-CA"/>
        </w:rPr>
        <w:t>’établir</w:t>
      </w:r>
      <w:r w:rsidRPr="007B324D">
        <w:rPr>
          <w:rFonts w:ascii="72 Light" w:hAnsi="72 Light" w:cs="72 Light"/>
          <w:sz w:val="24"/>
          <w:szCs w:val="24"/>
          <w:lang w:val="fr-CA"/>
        </w:rPr>
        <w:t xml:space="preserve"> des priorités communes, d’élaborer conjointement des politiques et de suivre les progrès réalisés. </w:t>
      </w:r>
      <w:r w:rsidRPr="007B324D">
        <w:rPr>
          <w:rFonts w:ascii="72 Light" w:hAnsi="72 Light" w:cs="72 Light"/>
          <w:color w:val="333333"/>
          <w:sz w:val="24"/>
          <w:szCs w:val="24"/>
          <w:lang w:val="fr-CA"/>
        </w:rPr>
        <w:t xml:space="preserve">En février 2017, le </w:t>
      </w:r>
      <w:r w:rsidR="00A27906" w:rsidRPr="007B324D">
        <w:rPr>
          <w:rFonts w:ascii="72 Light" w:hAnsi="72 Light" w:cs="72 Light"/>
          <w:color w:val="333333"/>
          <w:sz w:val="24"/>
          <w:szCs w:val="24"/>
          <w:lang w:val="fr-CA"/>
        </w:rPr>
        <w:t>p</w:t>
      </w:r>
      <w:r w:rsidRPr="007B324D">
        <w:rPr>
          <w:rFonts w:ascii="72 Light" w:hAnsi="72 Light" w:cs="72 Light"/>
          <w:color w:val="333333"/>
          <w:sz w:val="24"/>
          <w:szCs w:val="24"/>
          <w:lang w:val="fr-CA"/>
        </w:rPr>
        <w:t xml:space="preserve">remier ministre et le président de l’Inuit Tapiriit Kanatami se sont réunis et ont signé une déclaration </w:t>
      </w:r>
      <w:hyperlink r:id="rId11" w:history="1">
        <w:r w:rsidRPr="007B324D">
          <w:rPr>
            <w:rStyle w:val="Hyperlink"/>
            <w:rFonts w:ascii="72 Light" w:hAnsi="72 Light" w:cs="72 Light"/>
            <w:color w:val="284162"/>
            <w:sz w:val="24"/>
            <w:szCs w:val="24"/>
            <w:lang w:val="fr-CA"/>
          </w:rPr>
          <w:t>annonçant l</w:t>
        </w:r>
        <w:r w:rsidR="00A27906" w:rsidRPr="007B324D">
          <w:rPr>
            <w:rStyle w:val="Hyperlink"/>
            <w:rFonts w:ascii="72 Light" w:hAnsi="72 Light" w:cs="72 Light"/>
            <w:color w:val="284162"/>
            <w:sz w:val="24"/>
            <w:szCs w:val="24"/>
            <w:lang w:val="fr-CA"/>
          </w:rPr>
          <w:t>a création du</w:t>
        </w:r>
        <w:r w:rsidRPr="007B324D">
          <w:rPr>
            <w:rStyle w:val="Hyperlink"/>
            <w:rFonts w:ascii="72 Light" w:hAnsi="72 Light" w:cs="72 Light"/>
            <w:color w:val="284162"/>
            <w:sz w:val="24"/>
            <w:szCs w:val="24"/>
            <w:lang w:val="fr-CA"/>
          </w:rPr>
          <w:t xml:space="preserve"> Comité de partenariat entre les Inuit</w:t>
        </w:r>
        <w:r w:rsidR="00A27906" w:rsidRPr="007B324D">
          <w:rPr>
            <w:rStyle w:val="Hyperlink"/>
            <w:rFonts w:ascii="72 Light" w:hAnsi="72 Light" w:cs="72 Light"/>
            <w:color w:val="284162"/>
            <w:sz w:val="24"/>
            <w:szCs w:val="24"/>
            <w:lang w:val="fr-CA"/>
          </w:rPr>
          <w:t>s</w:t>
        </w:r>
        <w:r w:rsidRPr="007B324D">
          <w:rPr>
            <w:rStyle w:val="Hyperlink"/>
            <w:rFonts w:ascii="72 Light" w:hAnsi="72 Light" w:cs="72 Light"/>
            <w:color w:val="284162"/>
            <w:sz w:val="24"/>
            <w:szCs w:val="24"/>
            <w:lang w:val="fr-CA"/>
          </w:rPr>
          <w:t xml:space="preserve"> et la Couronne</w:t>
        </w:r>
      </w:hyperlink>
      <w:r w:rsidRPr="007B324D">
        <w:rPr>
          <w:rFonts w:ascii="72 Light" w:hAnsi="72 Light" w:cs="72 Light"/>
          <w:color w:val="333333"/>
          <w:sz w:val="24"/>
          <w:szCs w:val="24"/>
          <w:lang w:val="fr-CA"/>
        </w:rPr>
        <w:t>.</w:t>
      </w:r>
    </w:p>
    <w:p w14:paraId="72EDD3E1" w14:textId="77777777" w:rsidR="00A27906" w:rsidRPr="007B324D" w:rsidRDefault="00BF3013" w:rsidP="00145E2D">
      <w:pPr>
        <w:shd w:val="clear" w:color="auto" w:fill="FFFFFF"/>
        <w:tabs>
          <w:tab w:val="left" w:pos="3544"/>
        </w:tabs>
        <w:spacing w:before="120" w:line="276" w:lineRule="auto"/>
        <w:ind w:left="0" w:firstLine="0"/>
        <w:jc w:val="both"/>
        <w:rPr>
          <w:rFonts w:ascii="72 Light" w:hAnsi="72 Light" w:cs="72 Light"/>
          <w:color w:val="333333"/>
          <w:sz w:val="24"/>
          <w:szCs w:val="24"/>
          <w:lang w:val="fr-CA"/>
        </w:rPr>
      </w:pPr>
      <w:r w:rsidRPr="007B324D">
        <w:rPr>
          <w:rFonts w:ascii="72 Light" w:hAnsi="72 Light" w:cs="72 Light"/>
          <w:color w:val="333333"/>
          <w:sz w:val="24"/>
          <w:szCs w:val="24"/>
          <w:lang w:val="fr-CA"/>
        </w:rPr>
        <w:t xml:space="preserve">En avril 2017, le </w:t>
      </w:r>
      <w:r w:rsidR="00A27906" w:rsidRPr="007B324D">
        <w:rPr>
          <w:rFonts w:ascii="72 Light" w:hAnsi="72 Light" w:cs="72 Light"/>
          <w:color w:val="333333"/>
          <w:sz w:val="24"/>
          <w:szCs w:val="24"/>
          <w:lang w:val="fr-CA"/>
        </w:rPr>
        <w:t>p</w:t>
      </w:r>
      <w:r w:rsidRPr="007B324D">
        <w:rPr>
          <w:rFonts w:ascii="72 Light" w:hAnsi="72 Light" w:cs="72 Light"/>
          <w:color w:val="333333"/>
          <w:sz w:val="24"/>
          <w:szCs w:val="24"/>
          <w:lang w:val="fr-CA"/>
        </w:rPr>
        <w:t xml:space="preserve">remier ministre </w:t>
      </w:r>
      <w:r w:rsidR="00A27906" w:rsidRPr="007B324D">
        <w:rPr>
          <w:rFonts w:ascii="72 Light" w:hAnsi="72 Light" w:cs="72 Light"/>
          <w:color w:val="333333"/>
          <w:sz w:val="24"/>
          <w:szCs w:val="24"/>
          <w:lang w:val="fr-CA"/>
        </w:rPr>
        <w:t>ainsi que</w:t>
      </w:r>
      <w:r w:rsidRPr="007B324D">
        <w:rPr>
          <w:rFonts w:ascii="72 Light" w:hAnsi="72 Light" w:cs="72 Light"/>
          <w:color w:val="333333"/>
          <w:sz w:val="24"/>
          <w:szCs w:val="24"/>
          <w:lang w:val="fr-CA"/>
        </w:rPr>
        <w:t xml:space="preserve"> le président </w:t>
      </w:r>
      <w:r w:rsidR="00A27906" w:rsidRPr="007B324D">
        <w:rPr>
          <w:rFonts w:ascii="72 Light" w:hAnsi="72 Light" w:cs="72 Light"/>
          <w:color w:val="333333"/>
          <w:sz w:val="24"/>
          <w:szCs w:val="24"/>
          <w:lang w:val="fr-CA"/>
        </w:rPr>
        <w:t xml:space="preserve">et les membres dirigeants </w:t>
      </w:r>
      <w:r w:rsidRPr="007B324D">
        <w:rPr>
          <w:rFonts w:ascii="72 Light" w:hAnsi="72 Light" w:cs="72 Light"/>
          <w:color w:val="333333"/>
          <w:sz w:val="24"/>
          <w:szCs w:val="24"/>
          <w:lang w:val="fr-CA"/>
        </w:rPr>
        <w:t>du R</w:t>
      </w:r>
      <w:r w:rsidR="00A27906" w:rsidRPr="007B324D">
        <w:rPr>
          <w:rFonts w:ascii="72 Light" w:hAnsi="72 Light" w:cs="72 Light"/>
          <w:color w:val="333333"/>
          <w:sz w:val="24"/>
          <w:szCs w:val="24"/>
          <w:lang w:val="fr-CA"/>
        </w:rPr>
        <w:t>NM</w:t>
      </w:r>
      <w:r w:rsidRPr="007B324D">
        <w:rPr>
          <w:rFonts w:ascii="72 Light" w:hAnsi="72 Light" w:cs="72 Light"/>
          <w:color w:val="333333"/>
          <w:sz w:val="24"/>
          <w:szCs w:val="24"/>
          <w:lang w:val="fr-CA"/>
        </w:rPr>
        <w:t xml:space="preserve"> </w:t>
      </w:r>
      <w:hyperlink r:id="rId12" w:history="1">
        <w:r w:rsidRPr="007B324D">
          <w:rPr>
            <w:rStyle w:val="Hyperlink"/>
            <w:rFonts w:ascii="72 Light" w:hAnsi="72 Light" w:cs="72 Light"/>
            <w:color w:val="284162"/>
            <w:sz w:val="24"/>
            <w:szCs w:val="24"/>
            <w:lang w:val="fr-CA"/>
          </w:rPr>
          <w:t>ont signé l’Accord Canada-Nation métisse</w:t>
        </w:r>
      </w:hyperlink>
      <w:r w:rsidRPr="007B324D">
        <w:rPr>
          <w:rFonts w:ascii="72 Light" w:hAnsi="72 Light" w:cs="72 Light"/>
          <w:color w:val="333333"/>
          <w:sz w:val="24"/>
          <w:szCs w:val="24"/>
          <w:lang w:val="fr-CA"/>
        </w:rPr>
        <w:t xml:space="preserve"> lors du premier Sommet entre la Nation métisse et la Couronne</w:t>
      </w:r>
      <w:r w:rsidR="00A27906" w:rsidRPr="007B324D">
        <w:rPr>
          <w:rFonts w:ascii="72 Light" w:hAnsi="72 Light" w:cs="72 Light"/>
          <w:color w:val="333333"/>
          <w:sz w:val="24"/>
          <w:szCs w:val="24"/>
          <w:lang w:val="fr-CA"/>
        </w:rPr>
        <w:t>.</w:t>
      </w:r>
    </w:p>
    <w:p w14:paraId="69B7F423" w14:textId="77777777" w:rsidR="00A27906" w:rsidRPr="007B324D" w:rsidRDefault="00A27906" w:rsidP="00145E2D">
      <w:pPr>
        <w:shd w:val="clear" w:color="auto" w:fill="FFFFFF"/>
        <w:tabs>
          <w:tab w:val="left" w:pos="3544"/>
        </w:tabs>
        <w:spacing w:before="120" w:line="276" w:lineRule="auto"/>
        <w:ind w:left="0" w:firstLine="0"/>
        <w:jc w:val="both"/>
        <w:rPr>
          <w:rStyle w:val="eop"/>
          <w:rFonts w:ascii="72 Light" w:hAnsi="72 Light" w:cs="72 Light"/>
          <w:color w:val="333333"/>
          <w:sz w:val="24"/>
          <w:szCs w:val="24"/>
          <w:lang w:val="fr-CA"/>
        </w:rPr>
      </w:pPr>
      <w:r w:rsidRPr="007B324D">
        <w:rPr>
          <w:rStyle w:val="eop"/>
          <w:rFonts w:ascii="72 Light" w:hAnsi="72 Light" w:cs="72 Light"/>
          <w:sz w:val="24"/>
          <w:szCs w:val="24"/>
          <w:lang w:val="fr-CA"/>
        </w:rPr>
        <w:t xml:space="preserve">En juin 2017, le premier ministre et le chef national de l’Assemblée des Premières Nations ont signé un protocole d’entente sur les priorités communes et ont discuté des prochaines étapes du mécanisme bilatéral permanent. </w:t>
      </w:r>
    </w:p>
    <w:p w14:paraId="69013D4C" w14:textId="61978DE7" w:rsidR="00A27906" w:rsidRPr="007B324D" w:rsidRDefault="00A27906" w:rsidP="00145E2D">
      <w:pPr>
        <w:shd w:val="clear" w:color="auto" w:fill="FFFFFF"/>
        <w:tabs>
          <w:tab w:val="left" w:pos="3544"/>
        </w:tabs>
        <w:spacing w:before="120" w:line="276" w:lineRule="auto"/>
        <w:ind w:left="0" w:firstLine="0"/>
        <w:jc w:val="both"/>
        <w:rPr>
          <w:rFonts w:ascii="72 Light" w:hAnsi="72 Light" w:cs="72 Light"/>
          <w:color w:val="333333"/>
          <w:sz w:val="24"/>
          <w:szCs w:val="24"/>
          <w:lang w:val="fr-CA"/>
        </w:rPr>
      </w:pPr>
      <w:r w:rsidRPr="007B324D">
        <w:rPr>
          <w:rFonts w:ascii="72 Light" w:hAnsi="72 Light" w:cs="72 Light"/>
          <w:sz w:val="24"/>
          <w:szCs w:val="24"/>
          <w:lang w:val="fr-CA"/>
        </w:rPr>
        <w:t>Cinq ans après la création du Comité de partenariat entre les Inuits et la Couronne (CPIC), les membres ont commandé conjointement une évaluation interne afin de recueillir des renseignements susceptibles d’être utilisés pour améliorer les progrès du CPIC. L’ITK et Relations Couronne-Autochtones et Affaires du Nord Canada ont formé une équipe d’évaluation conjointe qui a mené 66 entrevues auprès de dirigeants et de fonctionnaires inuits et fédéraux, interrogé 247 membres du groupe de travail du CPIC, examiné 231 documents et effectué une recherche documentaire pour l’évaluation.</w:t>
      </w:r>
    </w:p>
    <w:p w14:paraId="5C677DE8" w14:textId="5C277FA5" w:rsidR="00A27906" w:rsidRPr="007B324D" w:rsidRDefault="00A27906" w:rsidP="00145E2D">
      <w:pPr>
        <w:shd w:val="clear" w:color="auto" w:fill="FFFFFF"/>
        <w:tabs>
          <w:tab w:val="left" w:pos="3544"/>
        </w:tabs>
        <w:spacing w:before="120" w:line="276" w:lineRule="auto"/>
        <w:ind w:left="0" w:firstLine="0"/>
        <w:jc w:val="both"/>
        <w:rPr>
          <w:rStyle w:val="eop"/>
          <w:rFonts w:ascii="72 Light" w:hAnsi="72 Light" w:cs="72 Light"/>
          <w:color w:val="333333"/>
          <w:sz w:val="24"/>
          <w:szCs w:val="24"/>
          <w:lang w:val="fr-CA"/>
        </w:rPr>
      </w:pPr>
      <w:r w:rsidRPr="007B324D">
        <w:rPr>
          <w:rStyle w:val="eop"/>
          <w:rFonts w:ascii="72 Light" w:hAnsi="72 Light" w:cs="72 Light"/>
          <w:sz w:val="24"/>
          <w:szCs w:val="24"/>
          <w:lang w:val="fr-CA"/>
        </w:rPr>
        <w:t>Pour un mécanisme relativement nouveau, le CPIC fonctionne remarquablement bien, même s’il demeure une marge d’amélioration considérable. Il s’agit d’un mécanisme utile qui redéfinit les relations entre les Inuit et la Couronne. Par l’intermédiaire du CPIC, les Inuit et le gouvernement fédéral ont établi des règles de base pour travailler en partenariat afin de faire avancer les mesures sur des questions majeures, y compris la budgétisation propre aux Inuit et fondée sur les distinctions. Le processus de partenariat a créé de nouvelles relations interpersonnelles entre les dirigeants et les techniciens, qui ont bénéficié au travail des partenaires au sein du CPIC et au-delà.</w:t>
      </w:r>
    </w:p>
    <w:p w14:paraId="2E26B9B2" w14:textId="5C46C500" w:rsidR="00BF3013" w:rsidRPr="007B324D" w:rsidRDefault="00BF3013" w:rsidP="00145E2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 xml:space="preserve">Depuis 2017, le processus du mécanisme bilatéral permanent Canada-Nation métisse, une série de réunions entre les représentants du Canada et de la Nation métisse, a permis aux gouvernements canadien et métis de </w:t>
      </w:r>
      <w:r w:rsidR="003B2B32" w:rsidRPr="007B324D">
        <w:rPr>
          <w:rStyle w:val="eop"/>
          <w:rFonts w:ascii="72 Light" w:hAnsi="72 Light" w:cs="72 Light"/>
          <w:sz w:val="24"/>
          <w:szCs w:val="24"/>
          <w:lang w:val="fr-CA"/>
        </w:rPr>
        <w:t>progresser</w:t>
      </w:r>
      <w:r w:rsidRPr="007B324D">
        <w:rPr>
          <w:rStyle w:val="eop"/>
          <w:rFonts w:ascii="72 Light" w:hAnsi="72 Light" w:cs="72 Light"/>
          <w:sz w:val="24"/>
          <w:szCs w:val="24"/>
          <w:lang w:val="fr-CA"/>
        </w:rPr>
        <w:t xml:space="preserve"> dans des domaines tels que le logement, l’enseignement postsecondaire et le développement économique. Ce processus fondé sur les distinctions, de nation à nation et de gouvernement à gouvernement, permet aux deux parties de parvenir à une compréhension commune et de trouver des solutions pour résoudre des problèmes politiques difficiles.</w:t>
      </w:r>
    </w:p>
    <w:p w14:paraId="3EA6BA48" w14:textId="7B31E1FE" w:rsidR="00F95E3B" w:rsidRPr="007B324D" w:rsidRDefault="00F95E3B" w:rsidP="002E7263">
      <w:pPr>
        <w:pStyle w:val="Heading2"/>
        <w:rPr>
          <w:rFonts w:ascii="72 Light" w:hAnsi="72 Light" w:cs="72 Light"/>
          <w:color w:val="2F5496" w:themeColor="accent5" w:themeShade="BF"/>
          <w:sz w:val="28"/>
          <w:szCs w:val="28"/>
          <w:lang w:val="fr-CA"/>
        </w:rPr>
      </w:pPr>
      <w:bookmarkStart w:id="10" w:name="_Toc147829626"/>
      <w:r w:rsidRPr="007B324D">
        <w:rPr>
          <w:rFonts w:ascii="72 Light" w:hAnsi="72 Light" w:cs="72 Light"/>
          <w:color w:val="2F5496" w:themeColor="accent5" w:themeShade="BF"/>
          <w:sz w:val="28"/>
          <w:szCs w:val="28"/>
          <w:lang w:val="fr-CA"/>
        </w:rPr>
        <w:lastRenderedPageBreak/>
        <w:t xml:space="preserve">Contribution du Congrès des peuples </w:t>
      </w:r>
      <w:r w:rsidR="007E5833" w:rsidRPr="007B324D">
        <w:rPr>
          <w:rFonts w:ascii="72 Light" w:hAnsi="72 Light" w:cs="72 Light"/>
          <w:color w:val="2F5496" w:themeColor="accent5" w:themeShade="BF"/>
          <w:sz w:val="28"/>
          <w:szCs w:val="28"/>
          <w:lang w:val="fr-CA"/>
        </w:rPr>
        <w:t>autochtones</w:t>
      </w:r>
      <w:bookmarkEnd w:id="10"/>
    </w:p>
    <w:p w14:paraId="77F7FBC1" w14:textId="31CB1DFD" w:rsidR="000B36FF" w:rsidRPr="007B324D" w:rsidRDefault="000B36FF" w:rsidP="00C57EB3">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 xml:space="preserve">Le Congrès des peuples autochtones (« CPA » ou « Congrès ») est une organisation nationale au Canada, qui a pour mandat d’être la voix nationale des Indiens inscrits et </w:t>
      </w:r>
      <w:r w:rsidR="00C57EB3" w:rsidRPr="007B324D">
        <w:rPr>
          <w:rStyle w:val="eop"/>
          <w:rFonts w:ascii="72 Light" w:hAnsi="72 Light" w:cs="72 Light"/>
          <w:sz w:val="24"/>
          <w:szCs w:val="24"/>
          <w:lang w:val="fr-CA"/>
        </w:rPr>
        <w:t>non-inscrits</w:t>
      </w:r>
      <w:r w:rsidRPr="007B324D">
        <w:rPr>
          <w:rStyle w:val="eop"/>
          <w:rFonts w:ascii="72 Light" w:hAnsi="72 Light" w:cs="72 Light"/>
          <w:sz w:val="24"/>
          <w:szCs w:val="24"/>
          <w:lang w:val="fr-CA"/>
        </w:rPr>
        <w:t xml:space="preserve"> vivant à l’extérieur des réserves, des Métis, et des Inuit du Sud.</w:t>
      </w:r>
    </w:p>
    <w:p w14:paraId="7F8219F7" w14:textId="50E7CD4C"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Le CPA est l’une des cinq organisations représentatives autochtones nationales reconnues par le gouvernement fédéral canadien. Le CPA est la deuxième plus ancienne organisation nationale représentative autochtone du Canada, créée en 1971 (à l’époque le nom du Congrès était le « Conseil des autochtones du Canada ») pour représenter les intérêts des peuples autochtones hors réserve du Canada. Le CPA a également un statut consultatif auprès du Conseil économique et social (« ECOSOC ») des Nations Unies.</w:t>
      </w:r>
    </w:p>
    <w:p w14:paraId="3D2B0680" w14:textId="12B1C529"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 xml:space="preserve">Le CPA représente principalement les Indiens </w:t>
      </w:r>
      <w:r w:rsidR="00ED517D" w:rsidRPr="007B324D">
        <w:rPr>
          <w:rStyle w:val="eop"/>
          <w:rFonts w:ascii="72 Light" w:hAnsi="72 Light" w:cs="72 Light"/>
          <w:sz w:val="24"/>
          <w:szCs w:val="24"/>
          <w:lang w:val="fr-CA"/>
        </w:rPr>
        <w:t>non-inscrits</w:t>
      </w:r>
      <w:r w:rsidRPr="007B324D">
        <w:rPr>
          <w:rStyle w:val="eop"/>
          <w:rFonts w:ascii="72 Light" w:hAnsi="72 Light" w:cs="72 Light"/>
          <w:sz w:val="24"/>
          <w:szCs w:val="24"/>
          <w:lang w:val="fr-CA"/>
        </w:rPr>
        <w:t xml:space="preserve"> (Premières Nations), les Métis,</w:t>
      </w:r>
      <w:r w:rsidR="00ED517D" w:rsidRPr="007B324D">
        <w:rPr>
          <w:rStyle w:val="eop"/>
          <w:rFonts w:ascii="72 Light" w:hAnsi="72 Light" w:cs="72 Light"/>
          <w:sz w:val="24"/>
          <w:szCs w:val="24"/>
          <w:lang w:val="fr-CA"/>
        </w:rPr>
        <w:t xml:space="preserve"> </w:t>
      </w:r>
      <w:r w:rsidRPr="007B324D">
        <w:rPr>
          <w:rStyle w:val="eop"/>
          <w:rFonts w:ascii="72 Light" w:hAnsi="72 Light" w:cs="72 Light"/>
          <w:sz w:val="24"/>
          <w:szCs w:val="24"/>
          <w:lang w:val="fr-CA"/>
        </w:rPr>
        <w:t>et les Inuit du Sud qui ne sont pas représentés par les autres organisations autochtones nationales.</w:t>
      </w:r>
    </w:p>
    <w:p w14:paraId="36A53A63" w14:textId="62300BB0" w:rsidR="000B36FF" w:rsidRPr="007B324D" w:rsidRDefault="00ED517D" w:rsidP="000B36FF">
      <w:pPr>
        <w:rPr>
          <w:rStyle w:val="eop"/>
          <w:rFonts w:ascii="72 Light" w:hAnsi="72 Light" w:cs="72 Light"/>
          <w:sz w:val="24"/>
          <w:szCs w:val="24"/>
          <w:u w:val="single"/>
          <w:lang w:val="fr-CA"/>
        </w:rPr>
      </w:pPr>
      <w:r w:rsidRPr="007B324D">
        <w:rPr>
          <w:rStyle w:val="eop"/>
          <w:rFonts w:ascii="72 Light" w:hAnsi="72 Light" w:cs="72 Light"/>
          <w:sz w:val="24"/>
          <w:szCs w:val="24"/>
          <w:u w:val="single"/>
          <w:lang w:val="fr-CA"/>
        </w:rPr>
        <w:t>Quatrième Examen Périodique Universel du Canada</w:t>
      </w:r>
    </w:p>
    <w:p w14:paraId="7BBDB24A" w14:textId="69D2EBE6"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 xml:space="preserve">Le CPA n’a pas été suffisamment consulté en ce qui a trait à l’EPU du Canada. Le rapport du Canada a été soumis et approuvé avant d’être transmis à notre collectivité. L’omission avouée du fait qu’ils n’ont pas consulté le CPA dans l’examen confirme notre préoccupation au sujet de l’approche du Canada concernant nos droits de la personne et les droits des collectivités que nous représentons. L’approche du Canada à l’égard des peuples représentés par le CPA est celle de l’exclusion et de l’assimilation. Son orientation consistant à travailler avec certains peuples autochtones a exclu nos communautés des lois et des processus essentiels, comme la DNUDPA (« </w:t>
      </w:r>
      <w:r w:rsidR="00B82090" w:rsidRPr="007B324D">
        <w:rPr>
          <w:rStyle w:val="eop"/>
          <w:rFonts w:ascii="72 Light" w:hAnsi="72 Light" w:cs="72 Light"/>
          <w:sz w:val="24"/>
          <w:szCs w:val="24"/>
          <w:lang w:val="fr-CA"/>
        </w:rPr>
        <w:t xml:space="preserve">la </w:t>
      </w:r>
      <w:r w:rsidRPr="007B324D">
        <w:rPr>
          <w:rStyle w:val="eop"/>
          <w:rFonts w:ascii="72 Light" w:hAnsi="72 Light" w:cs="72 Light"/>
          <w:sz w:val="24"/>
          <w:szCs w:val="24"/>
          <w:lang w:val="fr-CA"/>
        </w:rPr>
        <w:t>Déclaration</w:t>
      </w:r>
      <w:r w:rsidR="00B82090" w:rsidRPr="007B324D">
        <w:rPr>
          <w:rStyle w:val="eop"/>
          <w:rFonts w:ascii="72 Light" w:hAnsi="72 Light" w:cs="72 Light"/>
          <w:sz w:val="24"/>
          <w:szCs w:val="24"/>
          <w:lang w:val="fr-CA"/>
        </w:rPr>
        <w:t xml:space="preserve"> </w:t>
      </w:r>
      <w:r w:rsidRPr="007B324D">
        <w:rPr>
          <w:rStyle w:val="eop"/>
          <w:rFonts w:ascii="72 Light" w:hAnsi="72 Light" w:cs="72 Light"/>
          <w:sz w:val="24"/>
          <w:szCs w:val="24"/>
          <w:lang w:val="fr-CA"/>
        </w:rPr>
        <w:t>»). Les problèmes relevés dans le présent rapport mettent en évidence nos nombreuses préoccupations et représentent des enjeux qui sont devenus critiques pour les collectivités autochtones urbaines, éloignées, rurales et hors réserve.</w:t>
      </w:r>
    </w:p>
    <w:p w14:paraId="376DC847" w14:textId="77777777" w:rsidR="000B36FF" w:rsidRPr="007B324D" w:rsidRDefault="000B36FF" w:rsidP="000B36FF">
      <w:pPr>
        <w:rPr>
          <w:rStyle w:val="eop"/>
          <w:rFonts w:ascii="72 Light" w:hAnsi="72 Light" w:cs="72 Light"/>
          <w:sz w:val="24"/>
          <w:szCs w:val="24"/>
          <w:u w:val="single"/>
          <w:lang w:val="fr-CA"/>
        </w:rPr>
      </w:pPr>
      <w:r w:rsidRPr="007B324D">
        <w:rPr>
          <w:rStyle w:val="eop"/>
          <w:rFonts w:ascii="72 Light" w:hAnsi="72 Light" w:cs="72 Light"/>
          <w:sz w:val="24"/>
          <w:szCs w:val="24"/>
          <w:u w:val="single"/>
          <w:lang w:val="fr-CA"/>
        </w:rPr>
        <w:t>FFADA</w:t>
      </w:r>
    </w:p>
    <w:p w14:paraId="09A92E54" w14:textId="2BF1A8D7"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Le CPA a élaboré son propre plan d’action national pour appuyer et traiter les nombreux appels à la justice demandés par le rapport final de l’Enquête nationale sur les femmes, les filles et les personnes 2ELGBTQQIA+ autochtones disparues et assassinées. Nous sommes déçus par les progrès longs et fastidieux réalisés par le Canada dans la mise en œuvre des 231 appels. Les femmes, les filles et les personnes 2ELGBTQQIA+ autochtones disparues et assassinées vivent une crise et les recommandations devraient être mises en œuvre aujourd’hui. Bien que le Canada ait pris certaines mesures, son retard dans la mise en œuvre de la plupart des appels entraîne des difficultés excessives pour les victimes, les familles et les survivants qui se trouvent déjà dans des postes vulnérables.</w:t>
      </w:r>
    </w:p>
    <w:p w14:paraId="3A62FA86" w14:textId="6993D059" w:rsidR="000B36FF" w:rsidRPr="007B324D" w:rsidRDefault="00ED517D" w:rsidP="000B36FF">
      <w:pPr>
        <w:rPr>
          <w:rStyle w:val="eop"/>
          <w:rFonts w:ascii="72 Light" w:hAnsi="72 Light" w:cs="72 Light"/>
          <w:sz w:val="24"/>
          <w:szCs w:val="24"/>
          <w:u w:val="single"/>
          <w:lang w:val="fr-CA"/>
        </w:rPr>
      </w:pPr>
      <w:r w:rsidRPr="007B324D">
        <w:rPr>
          <w:rStyle w:val="eop"/>
          <w:rFonts w:ascii="72 Light" w:hAnsi="72 Light" w:cs="72 Light"/>
          <w:sz w:val="24"/>
          <w:szCs w:val="24"/>
          <w:u w:val="single"/>
          <w:lang w:val="fr-CA"/>
        </w:rPr>
        <w:t>Langues Autochtones</w:t>
      </w:r>
    </w:p>
    <w:p w14:paraId="0231AE64" w14:textId="66ACCDF5"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lastRenderedPageBreak/>
        <w:t>Les langues autochtones sont essentielles pour que les peuples du CPA puissent revitaliser, utiliser, développer et transmettre leur culture aux générations futures. Les langues soutiennent notre histoire, nos traditions, nos croyances et nos systèmes et sont essentielles à la protection de nos identités.</w:t>
      </w:r>
    </w:p>
    <w:p w14:paraId="46FBDF49" w14:textId="20CD01C5"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Même si la majorité des peuples autochtones vivent dans des centres urbains et que les langues autochtones y présentent des distinctions multiples, le financement de diverses initiatives linguistiques est limité et inégalement distribué. Il n’est pas égal à celui offert aux groupes fondés sur les distinctions. Il est nécessaire de faire de plus grands investissements dans les programmes de langues fondés sur des distinctions multiples.</w:t>
      </w:r>
    </w:p>
    <w:p w14:paraId="47B1CCC3" w14:textId="7CE3758F" w:rsidR="000B36FF" w:rsidRPr="007B324D" w:rsidRDefault="00ED517D" w:rsidP="000B36FF">
      <w:pPr>
        <w:rPr>
          <w:rStyle w:val="eop"/>
          <w:rFonts w:ascii="72 Light" w:hAnsi="72 Light" w:cs="72 Light"/>
          <w:sz w:val="24"/>
          <w:szCs w:val="24"/>
          <w:u w:val="single"/>
          <w:lang w:val="fr-CA"/>
        </w:rPr>
      </w:pPr>
      <w:r w:rsidRPr="007B324D">
        <w:rPr>
          <w:rStyle w:val="eop"/>
          <w:rFonts w:ascii="72 Light" w:hAnsi="72 Light" w:cs="72 Light"/>
          <w:sz w:val="24"/>
          <w:szCs w:val="24"/>
          <w:u w:val="single"/>
          <w:lang w:val="fr-CA"/>
        </w:rPr>
        <w:t xml:space="preserve">Approche stratégique fondée sur les distinctions </w:t>
      </w:r>
    </w:p>
    <w:p w14:paraId="0B092C23" w14:textId="3D21EB55"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Les Autochtones hors réserve du Canada font depuis longtemps l’objet de discrimination et d’iniquités en raison de leur appartenance autochtone et de l’hypothèse inexacte et stéréotypée selon laquelle ils sont « moins autochtones » que leurs homologues dans les réserves.</w:t>
      </w:r>
    </w:p>
    <w:p w14:paraId="79EEDF47" w14:textId="5F4BE649"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 xml:space="preserve">Pendant les décennies qui ont précédé la décision rendue par la Cour suprême du Canada dans l’affaire </w:t>
      </w:r>
      <w:r w:rsidRPr="007B324D">
        <w:rPr>
          <w:rStyle w:val="eop"/>
          <w:rFonts w:ascii="72 Light" w:hAnsi="72 Light" w:cs="72 Light"/>
          <w:i/>
          <w:iCs/>
          <w:sz w:val="24"/>
          <w:szCs w:val="24"/>
          <w:lang w:val="fr-CA"/>
        </w:rPr>
        <w:t>Daniels c. Canada</w:t>
      </w:r>
      <w:r w:rsidRPr="007B324D">
        <w:rPr>
          <w:rStyle w:val="eop"/>
          <w:rFonts w:ascii="72 Light" w:hAnsi="72 Light" w:cs="72 Light"/>
          <w:sz w:val="24"/>
          <w:szCs w:val="24"/>
          <w:lang w:val="fr-CA"/>
        </w:rPr>
        <w:t xml:space="preserve"> (Affaires indiennes et du Nord canadien), en 2016, le Canada a adopté la position selon laquelle il n’avait pas compétence sur les peuples autochtones hors réserve, et en particulier les Indiens </w:t>
      </w:r>
      <w:r w:rsidR="00ED517D" w:rsidRPr="007B324D">
        <w:rPr>
          <w:rStyle w:val="eop"/>
          <w:rFonts w:ascii="72 Light" w:hAnsi="72 Light" w:cs="72 Light"/>
          <w:sz w:val="24"/>
          <w:szCs w:val="24"/>
          <w:lang w:val="fr-CA"/>
        </w:rPr>
        <w:t>non-inscrits</w:t>
      </w:r>
      <w:r w:rsidRPr="007B324D">
        <w:rPr>
          <w:rStyle w:val="eop"/>
          <w:rFonts w:ascii="72 Light" w:hAnsi="72 Light" w:cs="72 Light"/>
          <w:sz w:val="24"/>
          <w:szCs w:val="24"/>
          <w:lang w:val="fr-CA"/>
        </w:rPr>
        <w:t>, les Métis et les Inuit du Sud. Il faisait plutôt valoir plutôt que ces peuples autochtones étaient une responsabilité provinciale.</w:t>
      </w:r>
    </w:p>
    <w:p w14:paraId="5BF89935" w14:textId="0493CB41"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Lorsque la Cour suprême s’est prononcée contre la position du Canada dans l’affaire Daniels, le Canada a changé sa position, et accepte sa responsabilité pour les Indiens inscrits (du moins dans les réserves), certains Métis et les Inuit qui sont des bénéficiaires inscrits d’accords de revendications territoriales, mais établit des distinctions arbitraires entre et parmi les peuples et les communautés autochtones.</w:t>
      </w:r>
    </w:p>
    <w:p w14:paraId="6B1A6E2D" w14:textId="5F1ED6AD"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L’approche fondée sur les distinctions adoptée par le Canada à l’égard de l’élaboration des politiques autochtones est en place depuis environ 2016. Dans le cadre de la politique, le Canada a choisi de se livrer à des consultations et à des négociations avec trois groupes politiques « reconnus », dont aucun ne représente les intérêts ou la voix de tous les groupes autochtones hors réserve. En particulier, le Canada n’a pas réussi à collaborer avec ses populations autochtones urbaines ou à répondre à leurs besoins.</w:t>
      </w:r>
    </w:p>
    <w:p w14:paraId="7001B213" w14:textId="3D1E82E4"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 xml:space="preserve">Le Canada reconnaît qu’il a des obligations constitutionnelles internationales et nationales pour faciliter l’autodétermination des Autochtones et qu’il est nécessaire de négocier directement avec les communautés autochtones pour atteindre cet objectif. En dépit de ces reconnaissances explicites, le Canada refuse ce droit au CPA et à ses membres en ne les impliquant pas adéquatement ou pas du tout dans la consultation ou les négociations sur l’autonomie gouvernementale, les revendications territoriales, les soins de santé, l’éducation, l’infrastructure, ou les ressources naturelles – le fondement sur lequel les peuples hors réserve peuvent </w:t>
      </w:r>
      <w:r w:rsidRPr="007B324D">
        <w:rPr>
          <w:rStyle w:val="eop"/>
          <w:rFonts w:ascii="72 Light" w:hAnsi="72 Light" w:cs="72 Light"/>
          <w:sz w:val="24"/>
          <w:szCs w:val="24"/>
          <w:lang w:val="fr-CA"/>
        </w:rPr>
        <w:lastRenderedPageBreak/>
        <w:t>progresser vers l’autonomie gouvernementale et dont la sécurité permet aux peuples autochtones d’exercer et d’exprimer leur culture.</w:t>
      </w:r>
    </w:p>
    <w:p w14:paraId="489C8201" w14:textId="612B0FF1"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L’élaboration des politiques du Canada est axée sur les bandes « indiennes » de réserve établies légalement en vertu de la Loi sur les Indiens, les bénéficiaires d’ententes de revendications territoriales conclues avec des organisations inuites du Grand Nord canadien et les organisations métisses actuellement ou auparavant affiliées au Ralliement national des Métis (RNM), dans la « patrie métisse » du centre ouest de l’Amérique du Nord. En pratique, cela exclut un grand nombre de peuples autochtones hors réserve, y compris de nombreux Indiens hors réserve, des Métis qui ne sont pas membres des affiliés du RNM (à l’intérieur et à l’extérieur du centre ouest de l’Amérique du Nord) et des Inuit du Sud. L’élaboration des politiques du Canada ignore souvent, en particulier, les peuples autochtones urbains qui sont représentés par le CPA et ses organisations autochtones provinciales et territoriales (OAPT).</w:t>
      </w:r>
    </w:p>
    <w:p w14:paraId="37344751" w14:textId="3ADA3B10"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 xml:space="preserve">Bien que le Canada ait éliminé bon nombre des inégalités qui existaient dans la loi, il n’a pas abordé la question de la « Règle d’inadmissibilité de la seconde génération ». Le droit à l’inscription en vertu de la </w:t>
      </w:r>
      <w:r w:rsidRPr="007B324D">
        <w:rPr>
          <w:rStyle w:val="eop"/>
          <w:rFonts w:ascii="72 Light" w:hAnsi="72 Light" w:cs="72 Light"/>
          <w:i/>
          <w:iCs/>
          <w:sz w:val="24"/>
          <w:szCs w:val="24"/>
          <w:lang w:val="fr-CA"/>
        </w:rPr>
        <w:t>Loi sur les Indiens</w:t>
      </w:r>
      <w:r w:rsidRPr="007B324D">
        <w:rPr>
          <w:rStyle w:val="eop"/>
          <w:rFonts w:ascii="72 Light" w:hAnsi="72 Light" w:cs="72 Light"/>
          <w:sz w:val="24"/>
          <w:szCs w:val="24"/>
          <w:lang w:val="fr-CA"/>
        </w:rPr>
        <w:t xml:space="preserve"> est perdu après deux générations consécutives de mariage avec une personne qui n’a pas le droit d’être inscrite. La règle était incluse dans les amendements au projet de loi C 31 de 1985. Lorsque le statut est perdu, les peuples autochtones deviennent des non-Indiens et le Canada ne leur permet pas d’avoir accès aux programmes ou aux processus offerts à leurs homologues. Essentiellement, ils perdent tous leurs droits en tant que peuples autochtones reconnus, ainsi que les protections offertes par ces droits.</w:t>
      </w:r>
    </w:p>
    <w:p w14:paraId="6BA0B7EE" w14:textId="4EF3481F"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 xml:space="preserve">Le statut d’Indien au titre de la </w:t>
      </w:r>
      <w:r w:rsidRPr="007B324D">
        <w:rPr>
          <w:rStyle w:val="eop"/>
          <w:rFonts w:ascii="72 Light" w:hAnsi="72 Light" w:cs="72 Light"/>
          <w:i/>
          <w:iCs/>
          <w:sz w:val="24"/>
          <w:szCs w:val="24"/>
          <w:lang w:val="fr-CA"/>
        </w:rPr>
        <w:t>Loi sur les Indiens</w:t>
      </w:r>
      <w:r w:rsidRPr="007B324D">
        <w:rPr>
          <w:rStyle w:val="eop"/>
          <w:rFonts w:ascii="72 Light" w:hAnsi="72 Light" w:cs="72 Light"/>
          <w:sz w:val="24"/>
          <w:szCs w:val="24"/>
          <w:lang w:val="fr-CA"/>
        </w:rPr>
        <w:t xml:space="preserve"> au Canada est souvent exigé pour avoir accès à des services essentiels, comme des prestations de santé et d’éducation. Les personnes considérées comme sans statut sont souvent laissées pour compte et ne peuvent pas accéder aux services essentiels. La suppression de processus discriminatoires comme la Règle d’inadmissibilité de la seconde génération est essentielle à la protection des droits des peuples autochtones </w:t>
      </w:r>
      <w:r w:rsidR="00ED517D" w:rsidRPr="007B324D">
        <w:rPr>
          <w:rStyle w:val="eop"/>
          <w:rFonts w:ascii="72 Light" w:hAnsi="72 Light" w:cs="72 Light"/>
          <w:sz w:val="24"/>
          <w:szCs w:val="24"/>
          <w:lang w:val="fr-CA"/>
        </w:rPr>
        <w:t>non-inscrits</w:t>
      </w:r>
      <w:r w:rsidRPr="007B324D">
        <w:rPr>
          <w:rStyle w:val="eop"/>
          <w:rFonts w:ascii="72 Light" w:hAnsi="72 Light" w:cs="72 Light"/>
          <w:sz w:val="24"/>
          <w:szCs w:val="24"/>
          <w:lang w:val="fr-CA"/>
        </w:rPr>
        <w:t>. Le Canada doit cesser de déterminer qui est une personne autochtone. Seules les communautés elles-mêmes peuvent en décider.</w:t>
      </w:r>
    </w:p>
    <w:p w14:paraId="0FBD0692" w14:textId="56D686CB" w:rsidR="000B36FF" w:rsidRPr="007B324D" w:rsidRDefault="00ED517D" w:rsidP="000B36FF">
      <w:pPr>
        <w:rPr>
          <w:rStyle w:val="eop"/>
          <w:rFonts w:ascii="72 Light" w:hAnsi="72 Light" w:cs="72 Light"/>
          <w:sz w:val="24"/>
          <w:szCs w:val="24"/>
          <w:u w:val="single"/>
          <w:lang w:val="fr-CA"/>
        </w:rPr>
      </w:pPr>
      <w:r w:rsidRPr="007B324D">
        <w:rPr>
          <w:rStyle w:val="eop"/>
          <w:rFonts w:ascii="72 Light" w:hAnsi="72 Light" w:cs="72 Light"/>
          <w:sz w:val="24"/>
          <w:szCs w:val="24"/>
          <w:u w:val="single"/>
          <w:lang w:val="fr-CA"/>
        </w:rPr>
        <w:t>Accord politique entre le CPA et le Canada</w:t>
      </w:r>
    </w:p>
    <w:p w14:paraId="61B1D219" w14:textId="1C4C68EB"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Le 5 décembre 2018, le Canada et le Congrès des peuples autochtones ont signé l’Accord politique Canada Congrès des peuples autochtones. L’Accord représente une entente de collaboration avec le CPA et l’accent est placé sur les domaines prioritaires qui touchent les membres du CPA. L’Accord affirme que le CPA représente les peuples autochtones détenant des droits au Canada et qu’il est reconnu comme l’une des cinq organisations autochtones nationales.</w:t>
      </w:r>
    </w:p>
    <w:p w14:paraId="7DD5F8B9" w14:textId="0B299D6F" w:rsidR="000B36FF" w:rsidRPr="007B324D" w:rsidRDefault="00ED517D"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B</w:t>
      </w:r>
      <w:r w:rsidR="000B36FF" w:rsidRPr="007B324D">
        <w:rPr>
          <w:rStyle w:val="eop"/>
          <w:rFonts w:ascii="72 Light" w:hAnsi="72 Light" w:cs="72 Light"/>
          <w:sz w:val="24"/>
          <w:szCs w:val="24"/>
          <w:lang w:val="fr-CA"/>
        </w:rPr>
        <w:t>ien que ce processus ait débuté il y a cinq ans, très peu d’efforts ont été entrepris par le Canada pour cibler des fonds, des programmes ou des politiques en vue de soutenir les membres du CPA ou les domaines prioritaires, et aucun accès n’a été accordé aux programmes existants pour soutenir notre communauté.</w:t>
      </w:r>
    </w:p>
    <w:p w14:paraId="14B3C3C6" w14:textId="76E81BA6"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lastRenderedPageBreak/>
        <w:t>Dans le cadre de cet accord politique, le Canada a pris plusieurs engagements, notamment ceux de tenir des réunions avec le Cabinet, d’offrir des ressources durables à long terme et d’établir des politiques visant notre communauté dans le but de mettre en œuvre l’arrêt Daniels. Malgré ces engagements, notre communauté n’a constaté aucun progrès dans ces domaines à ce jour.</w:t>
      </w:r>
    </w:p>
    <w:p w14:paraId="4F6A526E" w14:textId="77777777" w:rsidR="000B36FF" w:rsidRPr="007B324D" w:rsidRDefault="000B36FF" w:rsidP="000B36FF">
      <w:pPr>
        <w:rPr>
          <w:rStyle w:val="eop"/>
          <w:rFonts w:ascii="72 Light" w:hAnsi="72 Light" w:cs="72 Light"/>
          <w:sz w:val="24"/>
          <w:szCs w:val="24"/>
          <w:u w:val="single"/>
          <w:lang w:val="fr-CA"/>
        </w:rPr>
      </w:pPr>
      <w:r w:rsidRPr="007B324D">
        <w:rPr>
          <w:rStyle w:val="eop"/>
          <w:rFonts w:ascii="72 Light" w:hAnsi="72 Light" w:cs="72 Light"/>
          <w:sz w:val="24"/>
          <w:szCs w:val="24"/>
          <w:u w:val="single"/>
          <w:lang w:val="fr-CA"/>
        </w:rPr>
        <w:t>La DNUDPA au Canada</w:t>
      </w:r>
    </w:p>
    <w:p w14:paraId="54DABFA3" w14:textId="6615046C"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L’abandon de l’approche politique fondée sur les distinctions est essentiel pour</w:t>
      </w:r>
      <w:r w:rsidR="00ED517D" w:rsidRPr="007B324D">
        <w:rPr>
          <w:rStyle w:val="eop"/>
          <w:rFonts w:ascii="72 Light" w:hAnsi="72 Light" w:cs="72 Light"/>
          <w:sz w:val="24"/>
          <w:szCs w:val="24"/>
          <w:lang w:val="fr-CA"/>
        </w:rPr>
        <w:t xml:space="preserve"> </w:t>
      </w:r>
      <w:r w:rsidRPr="007B324D">
        <w:rPr>
          <w:rStyle w:val="eop"/>
          <w:rFonts w:ascii="72 Light" w:hAnsi="72 Light" w:cs="72 Light"/>
          <w:sz w:val="24"/>
          <w:szCs w:val="24"/>
          <w:lang w:val="fr-CA"/>
        </w:rPr>
        <w:t>donner la garantie sans équivoque d’égalité à tous les Autochtones et assurer la mise en œuvre complète et efficace de la DNUDPA au Canada.</w:t>
      </w:r>
    </w:p>
    <w:p w14:paraId="66F6B777" w14:textId="06E631F2"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 xml:space="preserve">L’approche fondée sur les distinctions est une politique du gouvernement fédéral qui offre de façon inégale des accès, des ressources et des activités de consultation en fonction de l’appartenance à un groupe. Cette politique reconnaît seulement les groupes de prédilection du gouvernement fédéral, ce qui ne comprend pas la représentation nationale des Autochtones inscrits et </w:t>
      </w:r>
      <w:r w:rsidR="00ED517D" w:rsidRPr="007B324D">
        <w:rPr>
          <w:rStyle w:val="eop"/>
          <w:rFonts w:ascii="72 Light" w:hAnsi="72 Light" w:cs="72 Light"/>
          <w:sz w:val="24"/>
          <w:szCs w:val="24"/>
          <w:lang w:val="fr-CA"/>
        </w:rPr>
        <w:t>non-inscrits</w:t>
      </w:r>
      <w:r w:rsidRPr="007B324D">
        <w:rPr>
          <w:rStyle w:val="eop"/>
          <w:rFonts w:ascii="72 Light" w:hAnsi="72 Light" w:cs="72 Light"/>
          <w:sz w:val="24"/>
          <w:szCs w:val="24"/>
          <w:lang w:val="fr-CA"/>
        </w:rPr>
        <w:t xml:space="preserve"> vivant hors réserve du Canada. La politique fondée sur les distinctions a donc pour effet d’isoler, de dévaloriser ou d’ignorer les Autochtones inscrits et </w:t>
      </w:r>
      <w:r w:rsidR="00ED517D" w:rsidRPr="007B324D">
        <w:rPr>
          <w:rStyle w:val="eop"/>
          <w:rFonts w:ascii="72 Light" w:hAnsi="72 Light" w:cs="72 Light"/>
          <w:sz w:val="24"/>
          <w:szCs w:val="24"/>
          <w:lang w:val="fr-CA"/>
        </w:rPr>
        <w:t>non-inscrits</w:t>
      </w:r>
      <w:r w:rsidRPr="007B324D">
        <w:rPr>
          <w:rStyle w:val="eop"/>
          <w:rFonts w:ascii="72 Light" w:hAnsi="72 Light" w:cs="72 Light"/>
          <w:sz w:val="24"/>
          <w:szCs w:val="24"/>
          <w:lang w:val="fr-CA"/>
        </w:rPr>
        <w:t xml:space="preserve"> vivant hors réserve. Elle permet également d’imposer aux Autochtones les représentants choisis par le gouvernement, au lieu de reconnaître les représentants qu’ils ont choisis librement.</w:t>
      </w:r>
    </w:p>
    <w:p w14:paraId="21E9359C" w14:textId="6ACCAAB2"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 xml:space="preserve">L’approche fondée sur les distinctions demeure le principal obstacle à l’atteinte de l’égalité pour les Indiens inscrits et </w:t>
      </w:r>
      <w:r w:rsidR="00ED517D" w:rsidRPr="007B324D">
        <w:rPr>
          <w:rStyle w:val="eop"/>
          <w:rFonts w:ascii="72 Light" w:hAnsi="72 Light" w:cs="72 Light"/>
          <w:sz w:val="24"/>
          <w:szCs w:val="24"/>
          <w:lang w:val="fr-CA"/>
        </w:rPr>
        <w:t>non-inscrits</w:t>
      </w:r>
      <w:r w:rsidRPr="007B324D">
        <w:rPr>
          <w:rStyle w:val="eop"/>
          <w:rFonts w:ascii="72 Light" w:hAnsi="72 Light" w:cs="72 Light"/>
          <w:sz w:val="24"/>
          <w:szCs w:val="24"/>
          <w:lang w:val="fr-CA"/>
        </w:rPr>
        <w:t xml:space="preserve"> vivant hors réserve, les Métis et les Inuit du Sud appartenant au CPA.</w:t>
      </w:r>
    </w:p>
    <w:p w14:paraId="0ABA724C" w14:textId="1E386064"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Cette approche mène à la mise en place de lois, de programmes et d’initiatives de financement qui tiennent peu compte ou ignorent la plus grande partie de la population autochtone au Canada, ce qui est contraire à la DNUDPA, qui garantit l’égalité à tous les Autochtones, peu importe leur origine ou leur identité. L’approche actuelle ne correspond pas à la réalité de nombreux Autochtones vivant hors réserve qui, en raison des forces coloniales visant l’assimilation et la réinstallation, n’ont plus de lien avec les communautés vivant dans les réserves dans lesquelles ils ont été inscrits en vertu de la Loi sur les Indiens.</w:t>
      </w:r>
    </w:p>
    <w:p w14:paraId="2DBF922C" w14:textId="7C48A035"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 xml:space="preserve">L’adoption d’une approche politique qui démontre une meilleure compréhension des peuples autochtones du Canada, tels qu’ils le sont définis dans la Constitution (ce qui comprend les Indiens </w:t>
      </w:r>
      <w:r w:rsidR="00ED517D" w:rsidRPr="007B324D">
        <w:rPr>
          <w:rStyle w:val="eop"/>
          <w:rFonts w:ascii="72 Light" w:hAnsi="72 Light" w:cs="72 Light"/>
          <w:sz w:val="24"/>
          <w:szCs w:val="24"/>
          <w:lang w:val="fr-CA"/>
        </w:rPr>
        <w:t>non-inscrits</w:t>
      </w:r>
      <w:r w:rsidRPr="007B324D">
        <w:rPr>
          <w:rStyle w:val="eop"/>
          <w:rFonts w:ascii="72 Light" w:hAnsi="72 Light" w:cs="72 Light"/>
          <w:sz w:val="24"/>
          <w:szCs w:val="24"/>
          <w:lang w:val="fr-CA"/>
        </w:rPr>
        <w:t xml:space="preserve"> et de la liste générale, les Inuit du Sud et les Métis non représentés par le RNM) et de l’histoire coloniale du Canada, est essentielle pour la mise en œuvre de la Déclaration. L’ensemble des lois et des programmes actuels et futurs devraient tenir compte des organismes qui représentent les Autochtones et qui parlent au nom de leurs membres, et pas seulement des organisations autochtones que le gouvernement a lui-même imposées aux Autochtones dans le cadre de son approche « fondée sur les distinctions ».</w:t>
      </w:r>
    </w:p>
    <w:p w14:paraId="29575D2E" w14:textId="3EA3633C"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 xml:space="preserve">De plus, le traitement des peuples autochtones par le gouvernement fédéral correspond de plus en plus aux catégories « fondées sur les distinctions », notamment celles de « corps dirigeant </w:t>
      </w:r>
      <w:r w:rsidRPr="007B324D">
        <w:rPr>
          <w:rStyle w:val="eop"/>
          <w:rFonts w:ascii="72 Light" w:hAnsi="72 Light" w:cs="72 Light"/>
          <w:sz w:val="24"/>
          <w:szCs w:val="24"/>
          <w:lang w:val="fr-CA"/>
        </w:rPr>
        <w:lastRenderedPageBreak/>
        <w:t xml:space="preserve">autochtone » (ou CDA) et </w:t>
      </w:r>
      <w:r w:rsidR="00B82090" w:rsidRPr="007B324D">
        <w:rPr>
          <w:rStyle w:val="eop"/>
          <w:rFonts w:ascii="72 Light" w:hAnsi="72 Light" w:cs="72 Light"/>
          <w:sz w:val="24"/>
          <w:szCs w:val="24"/>
          <w:lang w:val="fr-CA"/>
        </w:rPr>
        <w:t>d’ «</w:t>
      </w:r>
      <w:r w:rsidRPr="007B324D">
        <w:rPr>
          <w:rStyle w:val="eop"/>
          <w:rFonts w:ascii="72 Light" w:hAnsi="72 Light" w:cs="72 Light"/>
          <w:sz w:val="24"/>
          <w:szCs w:val="24"/>
          <w:lang w:val="fr-CA"/>
        </w:rPr>
        <w:t xml:space="preserve"> organisation autochtone ». Par exemple, la </w:t>
      </w:r>
      <w:r w:rsidRPr="007B324D">
        <w:rPr>
          <w:rStyle w:val="eop"/>
          <w:rFonts w:ascii="72 Light" w:hAnsi="72 Light" w:cs="72 Light"/>
          <w:i/>
          <w:iCs/>
          <w:sz w:val="24"/>
          <w:szCs w:val="24"/>
          <w:lang w:val="fr-CA"/>
        </w:rPr>
        <w:t xml:space="preserve">Loi sur le ministère des Relations Couronne Autochtones et des Affaires du Nord </w:t>
      </w:r>
      <w:r w:rsidRPr="007B324D">
        <w:rPr>
          <w:rStyle w:val="eop"/>
          <w:rFonts w:ascii="72 Light" w:hAnsi="72 Light" w:cs="72 Light"/>
          <w:sz w:val="24"/>
          <w:szCs w:val="24"/>
          <w:lang w:val="fr-CA"/>
        </w:rPr>
        <w:t xml:space="preserve">et la </w:t>
      </w:r>
      <w:r w:rsidRPr="007B324D">
        <w:rPr>
          <w:rStyle w:val="eop"/>
          <w:rFonts w:ascii="72 Light" w:hAnsi="72 Light" w:cs="72 Light"/>
          <w:i/>
          <w:iCs/>
          <w:sz w:val="24"/>
          <w:szCs w:val="24"/>
          <w:lang w:val="fr-CA"/>
        </w:rPr>
        <w:t>Loi sur le ministère des Services aux Autochtones</w:t>
      </w:r>
      <w:r w:rsidRPr="007B324D">
        <w:rPr>
          <w:rStyle w:val="eop"/>
          <w:rFonts w:ascii="72 Light" w:hAnsi="72 Light" w:cs="72 Light"/>
          <w:sz w:val="24"/>
          <w:szCs w:val="24"/>
          <w:lang w:val="fr-CA"/>
        </w:rPr>
        <w:t xml:space="preserve"> sont organisées d’après ces catégories, et d’autres lois fédérales utilisent la définition de « corps dirigeants autochtones ».</w:t>
      </w:r>
    </w:p>
    <w:p w14:paraId="179E7439" w14:textId="210D0299"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Même si de nombreuses organisations autochtones correspondent à la définition des CDA aux termes de ces lois, le gouvernement fédéral a essentiellement défini et imposé ces catégories par l’entremise de ses propres lois et de ses pratiques administratives. Par exemple, le gouvernement considère les bandes visées par la Loi sur les Indiens, les membres dirigeants du RNM (anciens ou actuels) et les organisations de revendications territoriales appartenant à l’Inuit Tapiriit Kanatami comme des CDA, bien que ce statut témoigne et découle des propres choix du gouvernement et qu’il lui permette d’imposer aux Autochtones les structures de représentation de son choix. Ainsi, la classification des groupes autochtones dans les catégories des CDA ou des organisations autochtones est un prolongement de l’approche fondée sur les distinctions et contribue à perpétuer son usage.</w:t>
      </w:r>
    </w:p>
    <w:p w14:paraId="34DD5F43" w14:textId="0B2966AD"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 xml:space="preserve">En outre, l’importance excessive accordée à ce que le gouvernement a (incorrectement) classé dans la catégorie des communautés titulaires de droits (dans de nombreux cas, en faisant fi de leur manque de représentativité réelle ou en ignorant les revendications d’autres organisations tout aussi représentatives, sinon plus) </w:t>
      </w:r>
      <w:proofErr w:type="gramStart"/>
      <w:r w:rsidRPr="007B324D">
        <w:rPr>
          <w:rStyle w:val="eop"/>
          <w:rFonts w:ascii="72 Light" w:hAnsi="72 Light" w:cs="72 Light"/>
          <w:sz w:val="24"/>
          <w:szCs w:val="24"/>
          <w:lang w:val="fr-CA"/>
        </w:rPr>
        <w:t>a</w:t>
      </w:r>
      <w:proofErr w:type="gramEnd"/>
      <w:r w:rsidRPr="007B324D">
        <w:rPr>
          <w:rStyle w:val="eop"/>
          <w:rFonts w:ascii="72 Light" w:hAnsi="72 Light" w:cs="72 Light"/>
          <w:sz w:val="24"/>
          <w:szCs w:val="24"/>
          <w:lang w:val="fr-CA"/>
        </w:rPr>
        <w:t xml:space="preserve"> empêché le gouvernement de répondre aux véritables besoins de plusieurs milliers d’Autochtones. La Déclaration prévoit un droit au développement (article 23), lequel est particulièrement important pour les Autochtones vivant hors réserve et les Autochtones des milieux urbains, qui souvent ne sont pas représentés ou mal servis par les organisations que le gouvernement reconnaît comme des CDA.</w:t>
      </w:r>
    </w:p>
    <w:p w14:paraId="2B9C5BCB" w14:textId="4E54AC13"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Puisque les Autochtones vivant hors réserve constituent la plus grande partie de la population autochtone au Canada, le CPA recommande de tenir compte de leurs besoins dans tous les aspects du plan d’action de la DNUDPA, peu importe sa structure.</w:t>
      </w:r>
    </w:p>
    <w:p w14:paraId="287A350B" w14:textId="215A3BB5"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Un comité indépendant de supervision et de surveillance de la Loi sur la DNUDPA devrait être mis sur pied pour surveiller la mise en œuvre du plan d’action et de la Déclaration de manière générale. Ce comité devrait, au minimum, comprendre des membres de chacune des cinq organisations autochtones nationales reconnues par le gouvernement du Canada.</w:t>
      </w:r>
    </w:p>
    <w:p w14:paraId="7351A69B" w14:textId="1DB14A53"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 xml:space="preserve">Une commission ou un tribunal indépendant devrait être créé pour permettre aux personnes et aux groupes autochtones d’avoir accès à des recours et à des mesures de redressement en cas de violation par le gouvernement fédéral de leurs droits prévus dans la DNUDPA. Ce tribunal devrait être dirigé par un commissaire en chef autochtone possédant une expertise relative à la Déclaration et une bonne compréhension des diverses répercussions du colonialisme sur l’identité autochtone au Canada. De plus, le tribunal devrait offrir aux Autochtones des mesures de redressement rapides et rentables et avoir compétence pour faire des déclarations sur la validité/l’applicabilité des lois fédérales. Le tribunal pourrait être un forum de collaboration sans </w:t>
      </w:r>
      <w:r w:rsidRPr="007B324D">
        <w:rPr>
          <w:rStyle w:val="eop"/>
          <w:rFonts w:ascii="72 Light" w:hAnsi="72 Light" w:cs="72 Light"/>
          <w:sz w:val="24"/>
          <w:szCs w:val="24"/>
          <w:lang w:val="fr-CA"/>
        </w:rPr>
        <w:lastRenderedPageBreak/>
        <w:t>affrontement permettant aux Autochtones et au gouvernement fédéral de trouver des solutions aux questions liées à la Déclaration, et cet aspect devrait être stipulé dans la loi habilitante du tribunal.</w:t>
      </w:r>
    </w:p>
    <w:p w14:paraId="1E7190AE" w14:textId="357D1524"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Les Autochtones non-inscrits et les Autochtones vivant hors réserve ont en grande partie été exclus des programmes et des politiques du Canada. Malgré les décisions de tribunaux et le fait que le CPA soit le représentant reconnu par le gouvernement fédéral des Autochtones vivant hors réserve du Canada, cette organisation continue d’être mise à l’écart des politiques et des programmes importants visant à améliorer les conditions des Autochtones. De nos jours, la plupart des Autochtones vivent à l’extérieur des réserves et dans les centres urbains. Le Canada reconnaît rarement ce fait et ne collabore pas directement avec les organisations qui les représentent.</w:t>
      </w:r>
    </w:p>
    <w:p w14:paraId="6B7988CF" w14:textId="2D291B79" w:rsidR="000B36FF" w:rsidRPr="007B324D" w:rsidRDefault="000B36FF"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Style w:val="eop"/>
          <w:rFonts w:ascii="72 Light" w:hAnsi="72 Light" w:cs="72 Light"/>
          <w:sz w:val="24"/>
          <w:szCs w:val="24"/>
          <w:lang w:val="fr-CA"/>
        </w:rPr>
        <w:t>Le refus du Canada de travailler honnêtement et sérieusement avec les communautés urbaines a entraîné l’assimilation accrue d’Autochtones, car on ne soutient pas leurs droits ou leurs expressions culturelles dans ce milieu. Cette assimilation forcée perpétue les anciennes approches coloniales, et les Autochtones ont du mal à préserver leur identité et à se sentir pleinement autochtones.</w:t>
      </w:r>
    </w:p>
    <w:p w14:paraId="253474A7" w14:textId="7C7462E0" w:rsidR="00ED517D" w:rsidRPr="007B324D" w:rsidRDefault="00A07A3F" w:rsidP="009169F6">
      <w:pPr>
        <w:pStyle w:val="Heading2"/>
        <w:ind w:left="0" w:firstLine="0"/>
        <w:rPr>
          <w:rFonts w:ascii="72 Light" w:hAnsi="72 Light" w:cs="72 Light"/>
          <w:color w:val="2F5496" w:themeColor="accent5" w:themeShade="BF"/>
          <w:sz w:val="28"/>
          <w:szCs w:val="28"/>
          <w:lang w:val="fr-CA"/>
        </w:rPr>
      </w:pPr>
      <w:bookmarkStart w:id="11" w:name="_Toc147829627"/>
      <w:r w:rsidRPr="007B324D">
        <w:rPr>
          <w:rFonts w:ascii="72 Light" w:hAnsi="72 Light" w:cs="72 Light"/>
          <w:color w:val="2F5496" w:themeColor="accent5" w:themeShade="BF"/>
          <w:sz w:val="28"/>
          <w:szCs w:val="28"/>
          <w:lang w:val="fr-CA"/>
        </w:rPr>
        <w:t xml:space="preserve">Contributions du </w:t>
      </w:r>
      <w:r w:rsidR="00783ECF" w:rsidRPr="007B324D">
        <w:rPr>
          <w:rFonts w:ascii="72 Light" w:hAnsi="72 Light" w:cs="72 Light"/>
          <w:color w:val="2F5496" w:themeColor="accent5" w:themeShade="BF"/>
          <w:sz w:val="28"/>
          <w:szCs w:val="28"/>
          <w:lang w:val="fr-CA"/>
        </w:rPr>
        <w:t xml:space="preserve">Conseil autochtone de l’Île-du-Prince-Édouard </w:t>
      </w:r>
      <w:r w:rsidR="00C1475F" w:rsidRPr="007B324D">
        <w:rPr>
          <w:rFonts w:ascii="72 Light" w:hAnsi="72 Light" w:cs="72 Light"/>
          <w:color w:val="2F5496" w:themeColor="accent5" w:themeShade="BF"/>
          <w:sz w:val="28"/>
          <w:szCs w:val="28"/>
          <w:lang w:val="fr-CA"/>
        </w:rPr>
        <w:t>(</w:t>
      </w:r>
      <w:r w:rsidR="00B701D6" w:rsidRPr="007B324D">
        <w:rPr>
          <w:rFonts w:ascii="72 Light" w:hAnsi="72 Light" w:cs="72 Light"/>
          <w:color w:val="2F5496" w:themeColor="accent5" w:themeShade="BF"/>
          <w:sz w:val="28"/>
          <w:szCs w:val="28"/>
          <w:lang w:val="fr-CA"/>
        </w:rPr>
        <w:t>affilié au CPA)</w:t>
      </w:r>
      <w:bookmarkEnd w:id="11"/>
    </w:p>
    <w:p w14:paraId="4719EC6A" w14:textId="39678666" w:rsidR="00A07A3F" w:rsidRPr="007B324D" w:rsidRDefault="00A07A3F" w:rsidP="00ED517D">
      <w:pPr>
        <w:tabs>
          <w:tab w:val="left" w:pos="3544"/>
        </w:tabs>
        <w:spacing w:before="120" w:line="276" w:lineRule="auto"/>
        <w:ind w:left="0" w:firstLine="0"/>
        <w:jc w:val="both"/>
        <w:rPr>
          <w:rStyle w:val="eop"/>
          <w:rFonts w:ascii="72 Light" w:hAnsi="72 Light" w:cs="72 Light"/>
          <w:i/>
          <w:iCs/>
          <w:sz w:val="24"/>
          <w:szCs w:val="24"/>
          <w:lang w:val="fr-CA"/>
        </w:rPr>
      </w:pPr>
      <w:r w:rsidRPr="007B324D">
        <w:rPr>
          <w:rStyle w:val="eop"/>
          <w:rFonts w:ascii="72 Light" w:hAnsi="72 Light" w:cs="72 Light"/>
          <w:i/>
          <w:iCs/>
          <w:sz w:val="24"/>
          <w:szCs w:val="24"/>
          <w:lang w:val="fr-CA"/>
        </w:rPr>
        <w:t xml:space="preserve">Le </w:t>
      </w:r>
      <w:r w:rsidR="00783ECF" w:rsidRPr="007B324D">
        <w:rPr>
          <w:rFonts w:ascii="72 Light" w:hAnsi="72 Light" w:cs="72 Light"/>
          <w:i/>
          <w:iCs/>
          <w:sz w:val="24"/>
          <w:szCs w:val="24"/>
          <w:lang w:val="fr-CA"/>
        </w:rPr>
        <w:t xml:space="preserve">Conseil autochtone de l’Île-du-Prince-Édouard </w:t>
      </w:r>
      <w:r w:rsidRPr="007B324D">
        <w:rPr>
          <w:rStyle w:val="eop"/>
          <w:rFonts w:ascii="72 Light" w:hAnsi="72 Light" w:cs="72 Light"/>
          <w:i/>
          <w:iCs/>
          <w:sz w:val="24"/>
          <w:szCs w:val="24"/>
          <w:lang w:val="fr-CA"/>
        </w:rPr>
        <w:t>(</w:t>
      </w:r>
      <w:r w:rsidR="00783ECF" w:rsidRPr="007B324D">
        <w:rPr>
          <w:rStyle w:val="eop"/>
          <w:rFonts w:ascii="72 Light" w:hAnsi="72 Light" w:cs="72 Light"/>
          <w:i/>
          <w:iCs/>
          <w:sz w:val="24"/>
          <w:szCs w:val="24"/>
          <w:lang w:val="fr-CA"/>
        </w:rPr>
        <w:t>CAIPE</w:t>
      </w:r>
      <w:r w:rsidRPr="007B324D">
        <w:rPr>
          <w:rStyle w:val="eop"/>
          <w:rFonts w:ascii="72 Light" w:hAnsi="72 Light" w:cs="72 Light"/>
          <w:i/>
          <w:iCs/>
          <w:sz w:val="24"/>
          <w:szCs w:val="24"/>
          <w:lang w:val="fr-CA"/>
        </w:rPr>
        <w:t>) est une organisation provinciale/territoriale (OPT) affiliée au Congrès des peuples autochtones (CPA).</w:t>
      </w:r>
      <w:r w:rsidR="000927A1" w:rsidRPr="007B324D">
        <w:rPr>
          <w:rStyle w:val="eop"/>
          <w:rFonts w:ascii="72 Light" w:hAnsi="72 Light" w:cs="72 Light"/>
          <w:i/>
          <w:iCs/>
          <w:sz w:val="24"/>
          <w:szCs w:val="24"/>
          <w:lang w:val="fr-CA"/>
        </w:rPr>
        <w:t xml:space="preserve"> Le CPA a demandé</w:t>
      </w:r>
      <w:r w:rsidR="00B00F29" w:rsidRPr="007B324D">
        <w:rPr>
          <w:rStyle w:val="eop"/>
          <w:rFonts w:ascii="72 Light" w:hAnsi="72 Light" w:cs="72 Light"/>
          <w:i/>
          <w:iCs/>
          <w:sz w:val="24"/>
          <w:szCs w:val="24"/>
          <w:lang w:val="fr-CA"/>
        </w:rPr>
        <w:t xml:space="preserve"> </w:t>
      </w:r>
      <w:r w:rsidR="008539DA" w:rsidRPr="007B324D">
        <w:rPr>
          <w:rStyle w:val="eop"/>
          <w:rFonts w:ascii="72 Light" w:hAnsi="72 Light" w:cs="72 Light"/>
          <w:i/>
          <w:iCs/>
          <w:sz w:val="24"/>
          <w:szCs w:val="24"/>
          <w:lang w:val="fr-CA"/>
        </w:rPr>
        <w:t xml:space="preserve">que cette contribution du CAIPE soit inclue comme partie intégrante de la contribution du CPA. </w:t>
      </w:r>
    </w:p>
    <w:p w14:paraId="733385E5"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u w:val="single"/>
          <w:lang w:val="fr-CA"/>
        </w:rPr>
      </w:pPr>
      <w:r w:rsidRPr="007B324D">
        <w:rPr>
          <w:rFonts w:ascii="72 Light" w:hAnsi="72 Light" w:cs="72 Light"/>
          <w:sz w:val="24"/>
          <w:szCs w:val="24"/>
          <w:u w:val="single"/>
          <w:lang w:val="fr-CA"/>
        </w:rPr>
        <w:t>Point n</w:t>
      </w:r>
      <w:r w:rsidRPr="007B324D">
        <w:rPr>
          <w:rFonts w:ascii="72 Light" w:hAnsi="72 Light" w:cs="72 Light"/>
          <w:sz w:val="24"/>
          <w:szCs w:val="24"/>
          <w:u w:val="single"/>
          <w:vertAlign w:val="superscript"/>
          <w:lang w:val="fr-CA"/>
        </w:rPr>
        <w:t>o</w:t>
      </w:r>
      <w:r w:rsidRPr="007B324D">
        <w:rPr>
          <w:rFonts w:ascii="72 Light" w:hAnsi="72 Light" w:cs="72 Light"/>
          <w:sz w:val="24"/>
          <w:szCs w:val="24"/>
          <w:u w:val="single"/>
          <w:lang w:val="fr-CA"/>
        </w:rPr>
        <w:t xml:space="preserve"> 15 (Vérité et réconciliation) </w:t>
      </w:r>
    </w:p>
    <w:p w14:paraId="1AA4961C" w14:textId="26A38528"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Certaines déclarations du rapport sur l’EPU sont très trompeuses. On y indique que 85 % des appels à l’action de la Commission de vérité et réconciliation (CVR) ont été menés à terme, ou sont en bonne voie de l’être. Cependant, un </w:t>
      </w:r>
      <w:hyperlink r:id="rId13" w:history="1">
        <w:r w:rsidRPr="007B324D">
          <w:rPr>
            <w:rStyle w:val="Hyperlink"/>
            <w:rFonts w:ascii="72 Light" w:hAnsi="72 Light" w:cs="72 Light"/>
            <w:sz w:val="24"/>
            <w:szCs w:val="24"/>
            <w:lang w:val="fr-CA"/>
          </w:rPr>
          <w:t>article</w:t>
        </w:r>
        <w:r w:rsidR="00E307FB" w:rsidRPr="007B324D">
          <w:rPr>
            <w:rStyle w:val="Hyperlink"/>
            <w:rFonts w:ascii="72 Light" w:hAnsi="72 Light" w:cs="72 Light"/>
            <w:sz w:val="24"/>
            <w:szCs w:val="24"/>
            <w:vertAlign w:val="superscript"/>
            <w:lang w:val="fr-CA"/>
          </w:rPr>
          <w:t xml:space="preserve"> </w:t>
        </w:r>
        <w:r w:rsidRPr="007B324D">
          <w:rPr>
            <w:rStyle w:val="Hyperlink"/>
            <w:rFonts w:ascii="72 Light" w:hAnsi="72 Light" w:cs="72 Light"/>
            <w:sz w:val="24"/>
            <w:szCs w:val="24"/>
            <w:lang w:val="fr-CA"/>
          </w:rPr>
          <w:t>publié par l’</w:t>
        </w:r>
        <w:r w:rsidRPr="007B324D">
          <w:rPr>
            <w:rStyle w:val="Hyperlink"/>
            <w:rFonts w:ascii="72 Light" w:hAnsi="72 Light" w:cs="72 Light"/>
            <w:i/>
            <w:iCs/>
            <w:sz w:val="24"/>
            <w:szCs w:val="24"/>
            <w:lang w:val="fr-CA"/>
          </w:rPr>
          <w:t xml:space="preserve">Alberta </w:t>
        </w:r>
        <w:proofErr w:type="spellStart"/>
        <w:r w:rsidRPr="007B324D">
          <w:rPr>
            <w:rStyle w:val="Hyperlink"/>
            <w:rFonts w:ascii="72 Light" w:hAnsi="72 Light" w:cs="72 Light"/>
            <w:i/>
            <w:iCs/>
            <w:sz w:val="24"/>
            <w:szCs w:val="24"/>
            <w:lang w:val="fr-CA"/>
          </w:rPr>
          <w:t>Worker</w:t>
        </w:r>
        <w:proofErr w:type="spellEnd"/>
        <w:r w:rsidRPr="007B324D">
          <w:rPr>
            <w:rStyle w:val="Hyperlink"/>
            <w:rFonts w:ascii="72 Light" w:hAnsi="72 Light" w:cs="72 Light"/>
            <w:sz w:val="24"/>
            <w:szCs w:val="24"/>
            <w:lang w:val="fr-CA"/>
          </w:rPr>
          <w:t xml:space="preserve"> en avril 2023</w:t>
        </w:r>
      </w:hyperlink>
      <w:r w:rsidRPr="007B324D">
        <w:rPr>
          <w:rFonts w:ascii="72 Light" w:hAnsi="72 Light" w:cs="72 Light"/>
          <w:sz w:val="24"/>
          <w:szCs w:val="24"/>
          <w:lang w:val="fr-CA"/>
        </w:rPr>
        <w:t xml:space="preserve"> </w:t>
      </w:r>
      <w:r w:rsidR="00B11217" w:rsidRPr="007B324D">
        <w:rPr>
          <w:rFonts w:ascii="72 Light" w:hAnsi="72 Light" w:cs="72 Light"/>
          <w:sz w:val="24"/>
          <w:szCs w:val="24"/>
          <w:lang w:val="fr-CA"/>
        </w:rPr>
        <w:t xml:space="preserve">(en anglais) </w:t>
      </w:r>
      <w:r w:rsidRPr="007B324D">
        <w:rPr>
          <w:rFonts w:ascii="72 Light" w:hAnsi="72 Light" w:cs="72 Light"/>
          <w:sz w:val="24"/>
          <w:szCs w:val="24"/>
          <w:lang w:val="fr-CA"/>
        </w:rPr>
        <w:t>indique que seuls deux des objectifs de la CVR ont été atteints au cours de 2022, ce qui porte le total à 13 (ou 14 % de tous les objectifs). Le Canada est encore loin d’avoir réalisé des progrès satisfaisants en ce qui a trait aux appels à l’action du rapport final de la CVR malgré le fait que ce dernier a été publié il y a huit ans maintenant.</w:t>
      </w:r>
    </w:p>
    <w:p w14:paraId="371F63A6"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u w:val="single"/>
          <w:lang w:val="fr-CA"/>
        </w:rPr>
      </w:pPr>
      <w:r w:rsidRPr="007B324D">
        <w:rPr>
          <w:rFonts w:ascii="72 Light" w:hAnsi="72 Light" w:cs="72 Light"/>
          <w:sz w:val="24"/>
          <w:szCs w:val="24"/>
          <w:u w:val="single"/>
          <w:lang w:val="fr-CA"/>
        </w:rPr>
        <w:t>Point n</w:t>
      </w:r>
      <w:r w:rsidRPr="007B324D">
        <w:rPr>
          <w:rFonts w:ascii="72 Light" w:hAnsi="72 Light" w:cs="72 Light"/>
          <w:sz w:val="24"/>
          <w:szCs w:val="24"/>
          <w:u w:val="single"/>
          <w:vertAlign w:val="superscript"/>
          <w:lang w:val="fr-CA"/>
        </w:rPr>
        <w:t>o</w:t>
      </w:r>
      <w:r w:rsidRPr="007B324D">
        <w:rPr>
          <w:rFonts w:ascii="72 Light" w:hAnsi="72 Light" w:cs="72 Light"/>
          <w:sz w:val="24"/>
          <w:szCs w:val="24"/>
          <w:u w:val="single"/>
          <w:lang w:val="fr-CA"/>
        </w:rPr>
        <w:t xml:space="preserve"> 16 (Enquête nationale sur les femmes et filles autochtones disparues et assassinées [FFADA]) </w:t>
      </w:r>
    </w:p>
    <w:p w14:paraId="4A3EA8FA" w14:textId="5C02EDD8"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Le CAIPE est aussi déçu de la lenteur des progrès réalisés par le Canada dans le cadre des 231 appels à la justice compris dans le rapport final de l’Enquête nationale sur les FFADA. Selon un </w:t>
      </w:r>
      <w:hyperlink r:id="rId14" w:history="1">
        <w:r w:rsidRPr="007B324D">
          <w:rPr>
            <w:rStyle w:val="Hyperlink"/>
            <w:rFonts w:ascii="72 Light" w:hAnsi="72 Light" w:cs="72 Light"/>
            <w:sz w:val="24"/>
            <w:szCs w:val="24"/>
            <w:lang w:val="fr-CA"/>
          </w:rPr>
          <w:t>article de CBC/Radio-Canada</w:t>
        </w:r>
      </w:hyperlink>
      <w:r w:rsidR="00B11217" w:rsidRPr="007B324D">
        <w:rPr>
          <w:rFonts w:ascii="72 Light" w:hAnsi="72 Light" w:cs="72 Light"/>
          <w:sz w:val="24"/>
          <w:szCs w:val="24"/>
          <w:lang w:val="fr-CA"/>
        </w:rPr>
        <w:t xml:space="preserve"> (en anglais)</w:t>
      </w:r>
      <w:r w:rsidRPr="007B324D">
        <w:rPr>
          <w:rFonts w:ascii="72 Light" w:hAnsi="72 Light" w:cs="72 Light"/>
          <w:sz w:val="24"/>
          <w:szCs w:val="24"/>
          <w:lang w:val="fr-CA"/>
        </w:rPr>
        <w:t>, en date du mois de juin 2023, seulement deux des 231 appels à la justice ont été menés à bien, et plus de la moitié n’ont pas encore été commencés.</w:t>
      </w:r>
    </w:p>
    <w:p w14:paraId="60E55835"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lastRenderedPageBreak/>
        <w:t>Le rapport devrait indiquer (peut-être dans un nouveau point) que l’Île-du-Prince-Édouard a créé un groupe de travail autochtone sur les FFADA qui est composé de cinq organisations autochtones de la province. Un financement annuel destiné aux projets liés aux FFADA (50</w:t>
      </w:r>
      <w:r w:rsidRPr="007B324D">
        <w:rPr>
          <w:rFonts w:ascii="Arial" w:hAnsi="Arial" w:cs="Arial"/>
          <w:sz w:val="24"/>
          <w:szCs w:val="24"/>
          <w:lang w:val="fr-CA"/>
        </w:rPr>
        <w:t> </w:t>
      </w:r>
      <w:r w:rsidRPr="007B324D">
        <w:rPr>
          <w:rFonts w:ascii="72 Light" w:hAnsi="72 Light" w:cs="72 Light"/>
          <w:sz w:val="24"/>
          <w:szCs w:val="24"/>
          <w:lang w:val="fr-CA"/>
        </w:rPr>
        <w:t>000 $ par organisation) est octroyé depuis 2021. La province s’est récemment engagée à fournir ce financement pendant une période de quatre ans à chacune des cinq organisations membres du groupe de travail autochtone afin de favoriser une planification des programmes durable.</w:t>
      </w:r>
    </w:p>
    <w:p w14:paraId="5975DDD7"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Le gouvernement fédéral ne s’est pas encore engagé à signer un accord de financement pluriannuel semblable avec le CAIPE.</w:t>
      </w:r>
    </w:p>
    <w:p w14:paraId="19CC7339"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u w:val="single"/>
          <w:lang w:val="fr-CA"/>
        </w:rPr>
      </w:pPr>
      <w:r w:rsidRPr="007B324D">
        <w:rPr>
          <w:rFonts w:ascii="72 Light" w:hAnsi="72 Light" w:cs="72 Light"/>
          <w:sz w:val="24"/>
          <w:szCs w:val="24"/>
          <w:u w:val="single"/>
          <w:lang w:val="fr-CA"/>
        </w:rPr>
        <w:t>Point n</w:t>
      </w:r>
      <w:r w:rsidRPr="007B324D">
        <w:rPr>
          <w:rFonts w:ascii="72 Light" w:hAnsi="72 Light" w:cs="72 Light"/>
          <w:sz w:val="24"/>
          <w:szCs w:val="24"/>
          <w:u w:val="single"/>
          <w:vertAlign w:val="superscript"/>
          <w:lang w:val="fr-CA"/>
        </w:rPr>
        <w:t>o</w:t>
      </w:r>
      <w:r w:rsidRPr="007B324D">
        <w:rPr>
          <w:rFonts w:ascii="72 Light" w:hAnsi="72 Light" w:cs="72 Light"/>
          <w:sz w:val="24"/>
          <w:szCs w:val="24"/>
          <w:u w:val="single"/>
          <w:lang w:val="fr-CA"/>
        </w:rPr>
        <w:t> 17 (</w:t>
      </w:r>
      <w:r w:rsidRPr="007B324D">
        <w:rPr>
          <w:rFonts w:ascii="72 Light" w:hAnsi="72 Light" w:cs="72 Light"/>
          <w:i/>
          <w:iCs/>
          <w:sz w:val="24"/>
          <w:szCs w:val="24"/>
          <w:u w:val="single"/>
          <w:lang w:val="fr-CA"/>
        </w:rPr>
        <w:t>Loi sur les langues autochtones</w:t>
      </w:r>
      <w:r w:rsidRPr="007B324D">
        <w:rPr>
          <w:rFonts w:ascii="72 Light" w:hAnsi="72 Light" w:cs="72 Light"/>
          <w:sz w:val="24"/>
          <w:szCs w:val="24"/>
          <w:u w:val="single"/>
          <w:lang w:val="fr-CA"/>
        </w:rPr>
        <w:t>)</w:t>
      </w:r>
    </w:p>
    <w:p w14:paraId="536D1DAF"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La </w:t>
      </w:r>
      <w:r w:rsidRPr="007B324D">
        <w:rPr>
          <w:rFonts w:ascii="72 Light" w:hAnsi="72 Light" w:cs="72 Light"/>
          <w:i/>
          <w:iCs/>
          <w:sz w:val="24"/>
          <w:szCs w:val="24"/>
          <w:lang w:val="fr-CA"/>
        </w:rPr>
        <w:t>Loi sur les langues autochtones</w:t>
      </w:r>
      <w:r w:rsidRPr="007B324D">
        <w:rPr>
          <w:rFonts w:ascii="72 Light" w:hAnsi="72 Light" w:cs="72 Light"/>
          <w:sz w:val="24"/>
          <w:szCs w:val="24"/>
          <w:lang w:val="fr-CA"/>
        </w:rPr>
        <w:t xml:space="preserve"> adopte une approche fondée sur les distinctions qui exclut de nombreuses communautés autochtones hors réserve représentée par le CAIPE. La </w:t>
      </w:r>
      <w:r w:rsidRPr="007B324D">
        <w:rPr>
          <w:rFonts w:ascii="72 Light" w:hAnsi="72 Light" w:cs="72 Light"/>
          <w:i/>
          <w:iCs/>
          <w:sz w:val="24"/>
          <w:szCs w:val="24"/>
          <w:lang w:val="fr-CA"/>
        </w:rPr>
        <w:t>Loi</w:t>
      </w:r>
      <w:r w:rsidRPr="007B324D">
        <w:rPr>
          <w:rFonts w:ascii="72 Light" w:hAnsi="72 Light" w:cs="72 Light"/>
          <w:sz w:val="24"/>
          <w:szCs w:val="24"/>
          <w:lang w:val="fr-CA"/>
        </w:rPr>
        <w:t xml:space="preserve"> énonce également que la ministre du Patrimoine canadien doit consulter une variété d’organisations et d’organes directeurs autochtones pour atteindre les objectifs de la </w:t>
      </w:r>
      <w:r w:rsidRPr="007B324D">
        <w:rPr>
          <w:rFonts w:ascii="72 Light" w:hAnsi="72 Light" w:cs="72 Light"/>
          <w:i/>
          <w:iCs/>
          <w:sz w:val="24"/>
          <w:szCs w:val="24"/>
          <w:lang w:val="fr-CA"/>
        </w:rPr>
        <w:t>Loi</w:t>
      </w:r>
      <w:r w:rsidRPr="007B324D">
        <w:rPr>
          <w:rFonts w:ascii="72 Light" w:hAnsi="72 Light" w:cs="72 Light"/>
          <w:sz w:val="24"/>
          <w:szCs w:val="24"/>
          <w:lang w:val="fr-CA"/>
        </w:rPr>
        <w:t>, mais la Ministre n’a pas encore organisé une rencontre avec une des organisations provinciales/territoriales du Congrès des peuples autochtones (CPA), et ce, malgré notre participation au groupe de travail sur le domaine prioritaire des langues de l’accord politique entre le CPA et le Canada.</w:t>
      </w:r>
    </w:p>
    <w:p w14:paraId="1C18A376"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u w:val="single"/>
          <w:lang w:val="fr-CA"/>
        </w:rPr>
      </w:pPr>
      <w:r w:rsidRPr="007B324D">
        <w:rPr>
          <w:rFonts w:ascii="72 Light" w:hAnsi="72 Light" w:cs="72 Light"/>
          <w:sz w:val="24"/>
          <w:szCs w:val="24"/>
          <w:u w:val="single"/>
          <w:lang w:val="fr-CA"/>
        </w:rPr>
        <w:t>Point n</w:t>
      </w:r>
      <w:r w:rsidRPr="007B324D">
        <w:rPr>
          <w:rFonts w:ascii="72 Light" w:hAnsi="72 Light" w:cs="72 Light"/>
          <w:sz w:val="24"/>
          <w:szCs w:val="24"/>
          <w:u w:val="single"/>
          <w:vertAlign w:val="superscript"/>
          <w:lang w:val="fr-CA"/>
        </w:rPr>
        <w:t>o</w:t>
      </w:r>
      <w:r w:rsidRPr="007B324D">
        <w:rPr>
          <w:rFonts w:ascii="72 Light" w:hAnsi="72 Light" w:cs="72 Light"/>
          <w:sz w:val="24"/>
          <w:szCs w:val="24"/>
          <w:u w:val="single"/>
          <w:lang w:val="fr-CA"/>
        </w:rPr>
        <w:t xml:space="preserve"> 20 (Plan d’action de la </w:t>
      </w:r>
      <w:r w:rsidRPr="007B324D">
        <w:rPr>
          <w:rFonts w:ascii="72 Light" w:hAnsi="72 Light" w:cs="72 Light"/>
          <w:i/>
          <w:iCs/>
          <w:sz w:val="24"/>
          <w:szCs w:val="24"/>
          <w:u w:val="single"/>
          <w:lang w:val="fr-CA"/>
        </w:rPr>
        <w:t>Loi sur la Déclaration des Nations Unies sur les droits des peuples autochtones</w:t>
      </w:r>
      <w:r w:rsidRPr="007B324D">
        <w:rPr>
          <w:rFonts w:ascii="72 Light" w:hAnsi="72 Light" w:cs="72 Light"/>
          <w:sz w:val="24"/>
          <w:szCs w:val="24"/>
          <w:u w:val="single"/>
          <w:lang w:val="fr-CA"/>
        </w:rPr>
        <w:t xml:space="preserve"> [LDNUDPA]) </w:t>
      </w:r>
    </w:p>
    <w:p w14:paraId="78439405"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Des 181 mesures précises comprises dans le Plan d’action, seulement quatre font référence aux peuples autochtones vivant en milieu urbain ou hors réserve, et une fait référence aux peuples autochtones « peu importe où ils résident ». Au mieux, seulement 3 % du Plan d’action de la LDNUDPA s’adresse expressément aux peuples autochtones vivant hors réserve.</w:t>
      </w:r>
    </w:p>
    <w:p w14:paraId="53927FD2"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L’introduction du Plan d’action souligne que les mesures des Priorités partagées incluent les « organisations urbaines et hors réserve » (p. 18). Le Plan d’action indique également que le travail de mise en œuvre de la Déclaration des Nations Unies doit garantir l’inclusion intentionnelle et significative des peuples autochtones « résidant dans des zones urbaines ou hors réserve » (p. 21). Ces mots d’introduction sont fondés sur de bonnes intentions, mais ils sont minés par la terminologie et les chapitres qui mettent l’accent sur une approche fondée sur les distinctions en ce qui concerne le renforcement des relations avec les peuples autochtones. Le CAIPE et le CPA ont exprimé des préoccupations majeures au cours des étapes de consultation qui ont précédé la publication du Plan d’action final et sont encore d’avis que ce Plan d’action ne tient pas compte réellement des droits et des besoins de notre communauté.</w:t>
      </w:r>
    </w:p>
    <w:p w14:paraId="363E8CCE"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u w:val="single"/>
          <w:lang w:val="fr-CA"/>
        </w:rPr>
      </w:pPr>
      <w:r w:rsidRPr="007B324D">
        <w:rPr>
          <w:rFonts w:ascii="72 Light" w:hAnsi="72 Light" w:cs="72 Light"/>
          <w:sz w:val="24"/>
          <w:szCs w:val="24"/>
          <w:u w:val="single"/>
          <w:lang w:val="fr-CA"/>
        </w:rPr>
        <w:t>Point n</w:t>
      </w:r>
      <w:r w:rsidRPr="007B324D">
        <w:rPr>
          <w:rFonts w:ascii="72 Light" w:hAnsi="72 Light" w:cs="72 Light"/>
          <w:sz w:val="24"/>
          <w:szCs w:val="24"/>
          <w:u w:val="single"/>
          <w:vertAlign w:val="superscript"/>
          <w:lang w:val="fr-CA"/>
        </w:rPr>
        <w:t>o</w:t>
      </w:r>
      <w:r w:rsidRPr="007B324D">
        <w:rPr>
          <w:rFonts w:ascii="72 Light" w:hAnsi="72 Light" w:cs="72 Light"/>
          <w:sz w:val="24"/>
          <w:szCs w:val="24"/>
          <w:u w:val="single"/>
          <w:lang w:val="fr-CA"/>
        </w:rPr>
        <w:t> 22 (</w:t>
      </w:r>
      <w:r w:rsidRPr="007B324D">
        <w:rPr>
          <w:rFonts w:ascii="72 Light" w:hAnsi="72 Light" w:cs="72 Light"/>
          <w:i/>
          <w:iCs/>
          <w:sz w:val="24"/>
          <w:szCs w:val="24"/>
          <w:u w:val="single"/>
          <w:lang w:val="fr-CA"/>
        </w:rPr>
        <w:t>Loi sur les Indiens</w:t>
      </w:r>
      <w:r w:rsidRPr="007B324D">
        <w:rPr>
          <w:rFonts w:ascii="72 Light" w:hAnsi="72 Light" w:cs="72 Light"/>
          <w:sz w:val="24"/>
          <w:szCs w:val="24"/>
          <w:u w:val="single"/>
          <w:lang w:val="fr-CA"/>
        </w:rPr>
        <w:t>)</w:t>
      </w:r>
    </w:p>
    <w:p w14:paraId="18AC9BCC"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Le rapport comprend l’énoncé suivant, qui est exact : « toutes les inégalités connues fondées sur le sexe ont été retirées des dispositions de la </w:t>
      </w:r>
      <w:r w:rsidRPr="007B324D">
        <w:rPr>
          <w:rFonts w:ascii="72 Light" w:hAnsi="72 Light" w:cs="72 Light"/>
          <w:i/>
          <w:iCs/>
          <w:sz w:val="24"/>
          <w:szCs w:val="24"/>
          <w:lang w:val="fr-CA"/>
        </w:rPr>
        <w:t>Loi</w:t>
      </w:r>
      <w:r w:rsidRPr="007B324D">
        <w:rPr>
          <w:rFonts w:ascii="72 Light" w:hAnsi="72 Light" w:cs="72 Light"/>
          <w:sz w:val="24"/>
          <w:szCs w:val="24"/>
          <w:lang w:val="fr-CA"/>
        </w:rPr>
        <w:t xml:space="preserve"> concernant l’inscription ». Cependant, le Canada cherche encore à remédier aux préjudices causés par les inégalités fondées sur le sexe au moyen </w:t>
      </w:r>
      <w:r w:rsidRPr="007B324D">
        <w:rPr>
          <w:rFonts w:ascii="72 Light" w:hAnsi="72 Light" w:cs="72 Light"/>
          <w:sz w:val="24"/>
          <w:szCs w:val="24"/>
          <w:lang w:val="fr-CA"/>
        </w:rPr>
        <w:lastRenderedPageBreak/>
        <w:t xml:space="preserve">du projet de loi C-38 : </w:t>
      </w:r>
      <w:r w:rsidRPr="007B324D">
        <w:rPr>
          <w:rFonts w:ascii="72 Light" w:hAnsi="72 Light" w:cs="72 Light"/>
          <w:i/>
          <w:iCs/>
          <w:sz w:val="24"/>
          <w:szCs w:val="24"/>
          <w:lang w:val="fr-CA"/>
        </w:rPr>
        <w:t>Loi modifiant la Loi sur les Indiens (nouveaux droits d’inscription)</w:t>
      </w:r>
      <w:r w:rsidRPr="007B324D">
        <w:rPr>
          <w:rFonts w:ascii="72 Light" w:hAnsi="72 Light" w:cs="72 Light"/>
          <w:sz w:val="24"/>
          <w:szCs w:val="24"/>
          <w:lang w:val="fr-CA"/>
        </w:rPr>
        <w:t>. Cela comprend les inégalités fondées sur le sexe découlant de la perte du droit à l’inscription des femmes autochtones en raison du mariage et de l’élaboration d’un processus permettant aux femmes autochtones de se joindre à leur bande prénatale après s’être mariées avec un homme autochtone. Le CAIPE appuie le projet de loi C-38, mais note que le rapport indique faussement que le Canada déploie encore des efforts continus pour aborder les répercussions intergénérationnelles.</w:t>
      </w:r>
    </w:p>
    <w:p w14:paraId="30E1963C"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u w:val="single"/>
          <w:lang w:val="fr-CA"/>
        </w:rPr>
      </w:pPr>
      <w:r w:rsidRPr="007B324D">
        <w:rPr>
          <w:rFonts w:ascii="72 Light" w:hAnsi="72 Light" w:cs="72 Light"/>
          <w:sz w:val="24"/>
          <w:szCs w:val="24"/>
          <w:u w:val="single"/>
          <w:lang w:val="fr-CA"/>
        </w:rPr>
        <w:t>Point n</w:t>
      </w:r>
      <w:r w:rsidRPr="007B324D">
        <w:rPr>
          <w:rFonts w:ascii="72 Light" w:hAnsi="72 Light" w:cs="72 Light"/>
          <w:sz w:val="24"/>
          <w:szCs w:val="24"/>
          <w:u w:val="single"/>
          <w:vertAlign w:val="superscript"/>
          <w:lang w:val="fr-CA"/>
        </w:rPr>
        <w:t>o</w:t>
      </w:r>
      <w:r w:rsidRPr="007B324D">
        <w:rPr>
          <w:rFonts w:ascii="72 Light" w:hAnsi="72 Light" w:cs="72 Light"/>
          <w:sz w:val="24"/>
          <w:szCs w:val="24"/>
          <w:u w:val="single"/>
          <w:lang w:val="fr-CA"/>
        </w:rPr>
        <w:t> 24 (</w:t>
      </w:r>
      <w:r w:rsidRPr="007B324D">
        <w:rPr>
          <w:rFonts w:ascii="72 Light" w:hAnsi="72 Light" w:cs="72 Light"/>
          <w:i/>
          <w:iCs/>
          <w:sz w:val="24"/>
          <w:szCs w:val="24"/>
          <w:u w:val="single"/>
          <w:lang w:val="fr-CA"/>
        </w:rPr>
        <w:t>Santé des Autochtones</w:t>
      </w:r>
      <w:r w:rsidRPr="007B324D">
        <w:rPr>
          <w:rFonts w:ascii="72 Light" w:hAnsi="72 Light" w:cs="72 Light"/>
          <w:sz w:val="24"/>
          <w:szCs w:val="24"/>
          <w:u w:val="single"/>
          <w:lang w:val="fr-CA"/>
        </w:rPr>
        <w:t>)</w:t>
      </w:r>
    </w:p>
    <w:p w14:paraId="594D4D51"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Le principe de Jordan continue d’être fondamentalement discriminatoire, malgré l’affirmation du gouvernement selon laquelle il tenterait de lutter contre la discrimination cernée par le Tribunal canadien des droits de la personne. Bien que le principe de Jordan vise à éliminer les iniquités créées par les conflits de compétence liés aux responsabilités en matière de paiement, il sera difficile de mesurer l’atteinte de cet objectif. Comme il est noté dans le rapport final du projet de mise en œuvre du principe de Jordan à l’échelle du Canada du Consortium sur la santé des Premières Nations : « les processus actuels du principe de Jordan ne précisent pas assez clairement la façon dont les questions directrices seront utilisées pour veiller à l’application et à l’évaluation uniformes de l’égalité réelle entre les cas et les administrations. Cela fait en sorte qu’il est difficile d’évaluer si l’objectif de résultats égaux est atteint. » </w:t>
      </w:r>
    </w:p>
    <w:p w14:paraId="059C0E3F" w14:textId="20A17E58"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Tout comme le principe de Jordan, l’initiative Les enfants d’abord pour les Inuit est également mise en œuvre dans une optique fondée sur les distinctions et fait face à des difficultés similaires dans l’atteinte de ses objectifs. Comme le </w:t>
      </w:r>
      <w:hyperlink r:id="rId15" w:history="1">
        <w:r w:rsidRPr="007B324D">
          <w:rPr>
            <w:rStyle w:val="Hyperlink"/>
            <w:rFonts w:ascii="72 Light" w:hAnsi="72 Light" w:cs="72 Light"/>
            <w:sz w:val="24"/>
            <w:szCs w:val="24"/>
            <w:lang w:val="fr-CA"/>
          </w:rPr>
          <w:t>Réseau de télévision des peuples autochtones</w:t>
        </w:r>
      </w:hyperlink>
      <w:r w:rsidRPr="007B324D">
        <w:rPr>
          <w:rFonts w:ascii="72 Light" w:hAnsi="72 Light" w:cs="72 Light"/>
          <w:sz w:val="24"/>
          <w:szCs w:val="24"/>
          <w:lang w:val="fr-CA"/>
        </w:rPr>
        <w:t xml:space="preserve"> </w:t>
      </w:r>
      <w:r w:rsidR="00754C96" w:rsidRPr="007B324D">
        <w:rPr>
          <w:rFonts w:ascii="72 Light" w:hAnsi="72 Light" w:cs="72 Light"/>
          <w:sz w:val="24"/>
          <w:szCs w:val="24"/>
          <w:lang w:val="fr-CA"/>
        </w:rPr>
        <w:t xml:space="preserve">(en anglais) </w:t>
      </w:r>
      <w:r w:rsidRPr="007B324D">
        <w:rPr>
          <w:rFonts w:ascii="72 Light" w:hAnsi="72 Light" w:cs="72 Light"/>
          <w:sz w:val="24"/>
          <w:szCs w:val="24"/>
          <w:lang w:val="fr-CA"/>
        </w:rPr>
        <w:t>l’a signalé le mois dernier, les communautés inuit qui tentent d’accéder à de l’aide dans le cadre de l’initiative Les enfants d’abord pour les Inuit sont aux prises avec de sérieux retards. Entre le principe de Jordan et l’initiative Les enfants d’abord pour les Inuit, il existe également une lacune dans les services offerts aux enfants métis et aux autres enfants autochtones qui ne sont pas reconnus dans le cadre de l’approche fondée sur les distinctions.</w:t>
      </w:r>
    </w:p>
    <w:p w14:paraId="4EDB36FD"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Les dispositions législatives sur la santé des Autochtones fondées sur les distinctions, comme leur nom l’indique, utilisent une optique fondée sur les distinctions qui continue d’exclure la communauté autochtone hors réserve du CAIPE. Qui pis est, les dispositions législatives sur la santé des Autochtones tentent de redéfinir et de mettre en œuvre une version déformée du principe de Joyce. Le principe de Joyce original était enraciné dans la LDNUDPA (en particulier l’article 24) et utilisait la terminologie inclusive pour tous les « peuples autochtones ». Le principe de Joyce n’a jamais été conçu pour être fondé sur les distinctions, ce que les nouvelles dispositions législatives sur la santé des Autochtones tentent de mettre en œuvre.</w:t>
      </w:r>
    </w:p>
    <w:p w14:paraId="4AD97947"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u w:val="single"/>
          <w:lang w:val="fr-CA"/>
        </w:rPr>
      </w:pPr>
      <w:r w:rsidRPr="007B324D">
        <w:rPr>
          <w:rFonts w:ascii="72 Light" w:hAnsi="72 Light" w:cs="72 Light"/>
          <w:sz w:val="24"/>
          <w:szCs w:val="24"/>
          <w:u w:val="single"/>
          <w:lang w:val="fr-CA"/>
        </w:rPr>
        <w:t>Point n</w:t>
      </w:r>
      <w:r w:rsidRPr="007B324D">
        <w:rPr>
          <w:rFonts w:ascii="72 Light" w:hAnsi="72 Light" w:cs="72 Light"/>
          <w:sz w:val="24"/>
          <w:szCs w:val="24"/>
          <w:u w:val="single"/>
          <w:vertAlign w:val="superscript"/>
          <w:lang w:val="fr-CA"/>
        </w:rPr>
        <w:t>o</w:t>
      </w:r>
      <w:r w:rsidRPr="007B324D">
        <w:rPr>
          <w:rFonts w:ascii="72 Light" w:hAnsi="72 Light" w:cs="72 Light"/>
          <w:sz w:val="24"/>
          <w:szCs w:val="24"/>
          <w:u w:val="single"/>
          <w:lang w:val="fr-CA"/>
        </w:rPr>
        <w:t> 25 (</w:t>
      </w:r>
      <w:r w:rsidRPr="007B324D">
        <w:rPr>
          <w:rFonts w:ascii="72 Light" w:hAnsi="72 Light" w:cs="72 Light"/>
          <w:i/>
          <w:iCs/>
          <w:sz w:val="24"/>
          <w:szCs w:val="24"/>
          <w:u w:val="single"/>
          <w:lang w:val="fr-CA"/>
        </w:rPr>
        <w:t>Loi concernant les enfants, les jeunes et les familles des Premières Nations, des Inuits et des Métis</w:t>
      </w:r>
      <w:r w:rsidRPr="007B324D">
        <w:rPr>
          <w:rFonts w:ascii="72 Light" w:hAnsi="72 Light" w:cs="72 Light"/>
          <w:sz w:val="24"/>
          <w:szCs w:val="24"/>
          <w:u w:val="single"/>
          <w:lang w:val="fr-CA"/>
        </w:rPr>
        <w:t>)</w:t>
      </w:r>
    </w:p>
    <w:p w14:paraId="140E6BD1"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lastRenderedPageBreak/>
        <w:t xml:space="preserve">La </w:t>
      </w:r>
      <w:r w:rsidRPr="007B324D">
        <w:rPr>
          <w:rFonts w:ascii="72 Light" w:hAnsi="72 Light" w:cs="72 Light"/>
          <w:i/>
          <w:iCs/>
          <w:sz w:val="24"/>
          <w:szCs w:val="24"/>
          <w:lang w:val="fr-CA"/>
        </w:rPr>
        <w:t>Loi concernant les enfants, les jeunes et les familles des Premières Nations, des Inuits et des Métis</w:t>
      </w:r>
      <w:r w:rsidRPr="007B324D">
        <w:rPr>
          <w:rFonts w:ascii="72 Light" w:hAnsi="72 Light" w:cs="72 Light"/>
          <w:sz w:val="24"/>
          <w:szCs w:val="24"/>
          <w:lang w:val="fr-CA"/>
        </w:rPr>
        <w:t xml:space="preserve"> utilise une approche fondée sur les distinctions qui exclut bon nombre des communautés autochtones hors réserve représentées par le CAIPE. Le CAIPE fait aussi face à des défis pour déterminer les avantages de la </w:t>
      </w:r>
      <w:r w:rsidRPr="007B324D">
        <w:rPr>
          <w:rFonts w:ascii="72 Light" w:hAnsi="72 Light" w:cs="72 Light"/>
          <w:i/>
          <w:iCs/>
          <w:sz w:val="24"/>
          <w:szCs w:val="24"/>
          <w:lang w:val="fr-CA"/>
        </w:rPr>
        <w:t>Loi</w:t>
      </w:r>
      <w:r w:rsidRPr="007B324D">
        <w:rPr>
          <w:rFonts w:ascii="72 Light" w:hAnsi="72 Light" w:cs="72 Light"/>
          <w:sz w:val="24"/>
          <w:szCs w:val="24"/>
          <w:lang w:val="fr-CA"/>
        </w:rPr>
        <w:t xml:space="preserve"> à l’Île-du-Prince-Édouard, car il n’y a pas d’accord de coordination signé par un corps dirigeant autochtone dans la province et le gouvernement provincial ne publie pas le nombre d’enfants autochtones pris en charge (malgré l’appel à l’action n</w:t>
      </w:r>
      <w:r w:rsidRPr="007B324D">
        <w:rPr>
          <w:rFonts w:ascii="72 Light" w:hAnsi="72 Light" w:cs="72 Light"/>
          <w:sz w:val="24"/>
          <w:szCs w:val="24"/>
          <w:vertAlign w:val="superscript"/>
          <w:lang w:val="fr-CA"/>
        </w:rPr>
        <w:t>o</w:t>
      </w:r>
      <w:r w:rsidRPr="007B324D">
        <w:rPr>
          <w:rFonts w:ascii="72 Light" w:hAnsi="72 Light" w:cs="72 Light"/>
          <w:sz w:val="24"/>
          <w:szCs w:val="24"/>
          <w:lang w:val="fr-CA"/>
        </w:rPr>
        <w:t> 2 de la CVR).</w:t>
      </w:r>
    </w:p>
    <w:p w14:paraId="084AEE4C"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u w:val="single"/>
          <w:lang w:val="fr-CA"/>
        </w:rPr>
      </w:pPr>
      <w:r w:rsidRPr="007B324D">
        <w:rPr>
          <w:rFonts w:ascii="72 Light" w:hAnsi="72 Light" w:cs="72 Light"/>
          <w:sz w:val="24"/>
          <w:szCs w:val="24"/>
          <w:u w:val="single"/>
          <w:lang w:val="fr-CA"/>
        </w:rPr>
        <w:t>Point n</w:t>
      </w:r>
      <w:r w:rsidRPr="007B324D">
        <w:rPr>
          <w:rFonts w:ascii="72 Light" w:hAnsi="72 Light" w:cs="72 Light"/>
          <w:sz w:val="24"/>
          <w:szCs w:val="24"/>
          <w:u w:val="single"/>
          <w:vertAlign w:val="superscript"/>
          <w:lang w:val="fr-CA"/>
        </w:rPr>
        <w:t>o</w:t>
      </w:r>
      <w:r w:rsidRPr="007B324D">
        <w:rPr>
          <w:rFonts w:ascii="72 Light" w:hAnsi="72 Light" w:cs="72 Light"/>
          <w:sz w:val="24"/>
          <w:szCs w:val="24"/>
          <w:u w:val="single"/>
          <w:lang w:val="fr-CA"/>
        </w:rPr>
        <w:t xml:space="preserve"> 27 (Stratégies sur le logement fondées sur les distinctions) </w:t>
      </w:r>
    </w:p>
    <w:p w14:paraId="3DA48405" w14:textId="366CEE66"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Comme c’est le cas pour beaucoup d’autres points susmentionnés, ces stratégies sur le logement, parce qu’elles sont fondées sur les distinctions, sont discriminatoires à l’égard des Autochtones vivant hors réserve et des Autochtones </w:t>
      </w:r>
      <w:r w:rsidR="00754C96" w:rsidRPr="007B324D">
        <w:rPr>
          <w:rFonts w:ascii="72 Light" w:hAnsi="72 Light" w:cs="72 Light"/>
          <w:sz w:val="24"/>
          <w:szCs w:val="24"/>
          <w:lang w:val="fr-CA"/>
        </w:rPr>
        <w:t>non-inscrits</w:t>
      </w:r>
      <w:r w:rsidRPr="007B324D">
        <w:rPr>
          <w:rFonts w:ascii="72 Light" w:hAnsi="72 Light" w:cs="72 Light"/>
          <w:sz w:val="24"/>
          <w:szCs w:val="24"/>
          <w:lang w:val="fr-CA"/>
        </w:rPr>
        <w:t>, ainsi que de certains Inuits et Métis. Le rapport sur l’EPU indique à juste titre que les stratégies sur le logement ont été élaborées en collaboration avec les organisations nationales des Premières Nations, des Inuits et des Métis, mais le Congrès des peuples autochtones n’est pas inclus dans ce financement. Par conséquent, ces trois stratégies ne répondront pas aux besoins des Autochtones vivant hors réserve.</w:t>
      </w:r>
    </w:p>
    <w:p w14:paraId="6B69864F"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u w:val="single"/>
          <w:lang w:val="fr-CA"/>
        </w:rPr>
      </w:pPr>
      <w:r w:rsidRPr="007B324D">
        <w:rPr>
          <w:rFonts w:ascii="72 Light" w:hAnsi="72 Light" w:cs="72 Light"/>
          <w:sz w:val="24"/>
          <w:szCs w:val="24"/>
          <w:u w:val="single"/>
          <w:lang w:val="fr-CA"/>
        </w:rPr>
        <w:t>Point n</w:t>
      </w:r>
      <w:r w:rsidRPr="007B324D">
        <w:rPr>
          <w:rFonts w:ascii="72 Light" w:hAnsi="72 Light" w:cs="72 Light"/>
          <w:sz w:val="24"/>
          <w:szCs w:val="24"/>
          <w:u w:val="single"/>
          <w:vertAlign w:val="superscript"/>
          <w:lang w:val="fr-CA"/>
        </w:rPr>
        <w:t>o</w:t>
      </w:r>
      <w:r w:rsidRPr="007B324D">
        <w:rPr>
          <w:rFonts w:ascii="72 Light" w:hAnsi="72 Light" w:cs="72 Light"/>
          <w:sz w:val="24"/>
          <w:szCs w:val="24"/>
          <w:u w:val="single"/>
          <w:lang w:val="fr-CA"/>
        </w:rPr>
        <w:t xml:space="preserve"> 31 (Éducation postsecondaire) </w:t>
      </w:r>
    </w:p>
    <w:p w14:paraId="4A528460" w14:textId="44857514"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Les trois stratégies sur l’éducation postsecondaire, qui sont fondées sur les distinctions, excluent un grand nombre de membres représentés par le Congrès des peuples autochtones. Le Congrès des peuples autochtones a même intenté une action en justice contre le Canada pour cette raison précise. Cette affaire est </w:t>
      </w:r>
      <w:r w:rsidR="00CC0402" w:rsidRPr="007B324D">
        <w:rPr>
          <w:rFonts w:ascii="72 Light" w:hAnsi="72 Light" w:cs="72 Light"/>
          <w:sz w:val="24"/>
          <w:szCs w:val="24"/>
          <w:lang w:val="fr-CA"/>
        </w:rPr>
        <w:t>en cours</w:t>
      </w:r>
      <w:r w:rsidRPr="007B324D">
        <w:rPr>
          <w:rFonts w:ascii="72 Light" w:hAnsi="72 Light" w:cs="72 Light"/>
          <w:sz w:val="24"/>
          <w:szCs w:val="24"/>
          <w:lang w:val="fr-CA"/>
        </w:rPr>
        <w:t>. Le CAIPE est solidaire et soutient cette action en justice au nom de ses membres. Pour des raisons juridiques, les commentaires à ce sujet seront limités.</w:t>
      </w:r>
    </w:p>
    <w:p w14:paraId="5AAD447E"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b/>
          <w:bCs/>
          <w:sz w:val="24"/>
          <w:szCs w:val="24"/>
          <w:lang w:val="fr-CA"/>
        </w:rPr>
        <w:t>IL EST PRIMORDIAL</w:t>
      </w:r>
      <w:r w:rsidRPr="007B324D">
        <w:rPr>
          <w:rFonts w:ascii="72 Light" w:hAnsi="72 Light" w:cs="72 Light"/>
          <w:sz w:val="24"/>
          <w:szCs w:val="24"/>
          <w:lang w:val="fr-CA"/>
        </w:rPr>
        <w:t xml:space="preserve"> que cette action en justice soit mentionnée dans le rapport sur l’EPU, que ce soit dans le rapport principal ou dans l’annexe 2, dans le but de faire connaître clairement notre position sur la façon dont le Canada traite les droits de la personne des Autochtones.</w:t>
      </w:r>
    </w:p>
    <w:p w14:paraId="44298C03"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u w:val="single"/>
          <w:lang w:val="fr-CA"/>
        </w:rPr>
      </w:pPr>
      <w:r w:rsidRPr="007B324D">
        <w:rPr>
          <w:rFonts w:ascii="72 Light" w:hAnsi="72 Light" w:cs="72 Light"/>
          <w:sz w:val="24"/>
          <w:szCs w:val="24"/>
          <w:u w:val="single"/>
          <w:lang w:val="fr-CA"/>
        </w:rPr>
        <w:t>Point n</w:t>
      </w:r>
      <w:r w:rsidRPr="007B324D">
        <w:rPr>
          <w:rFonts w:ascii="72 Light" w:hAnsi="72 Light" w:cs="72 Light"/>
          <w:sz w:val="24"/>
          <w:szCs w:val="24"/>
          <w:u w:val="single"/>
          <w:vertAlign w:val="superscript"/>
          <w:lang w:val="fr-CA"/>
        </w:rPr>
        <w:t>o</w:t>
      </w:r>
      <w:r w:rsidRPr="007B324D">
        <w:rPr>
          <w:rFonts w:ascii="72 Light" w:hAnsi="72 Light" w:cs="72 Light"/>
          <w:sz w:val="24"/>
          <w:szCs w:val="24"/>
          <w:u w:val="single"/>
          <w:lang w:val="fr-CA"/>
        </w:rPr>
        <w:t> 32 (Éducation des adultes des Premières Nations)</w:t>
      </w:r>
    </w:p>
    <w:p w14:paraId="08ED1AB2"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Ce programme répond aux besoins des membres des Premières Nations vivant dans les réserves uniquement. Les Métis, les Inuits et les Autochtones vivant hors réserve n’ont pas accès à ce soutien pour l’éducation des adultes. Même si le Programme de formation pour les compétences et l’emploi destiné aux Autochtones (PFCEA) aide les Autochtones, peu importe la distinction et le lieu de résidence, à acquérir des compétences précieuses, notamment en matière de recherche d’emploi, les Autochtones vivant hors réserve doivent également avoir accès aux programmes qui leur permettent de terminer leur formation générale d’une manière adaptée à leur culture et à leurs besoins. Ainsi, le financement devrait être étendu aux programmes de formation générale pour les Autochtones vivant hors réserve, tant dans les milieux urbains que dans les milieux ruraux. Ces programmes devraient aussi être offerts aux Inuits qui vivent à l’extérieur des régions faisant l’objet des revendications territoriales inuites et aux Métis, peu importe leur lieu de résidence.</w:t>
      </w:r>
    </w:p>
    <w:p w14:paraId="0B25DCB5"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u w:val="single"/>
          <w:lang w:val="fr-CA"/>
        </w:rPr>
      </w:pPr>
      <w:r w:rsidRPr="007B324D">
        <w:rPr>
          <w:rFonts w:ascii="72 Light" w:hAnsi="72 Light" w:cs="72 Light"/>
          <w:sz w:val="24"/>
          <w:szCs w:val="24"/>
          <w:u w:val="single"/>
          <w:lang w:val="fr-CA"/>
        </w:rPr>
        <w:lastRenderedPageBreak/>
        <w:t>Point n</w:t>
      </w:r>
      <w:r w:rsidRPr="007B324D">
        <w:rPr>
          <w:rFonts w:ascii="72 Light" w:hAnsi="72 Light" w:cs="72 Light"/>
          <w:sz w:val="24"/>
          <w:szCs w:val="24"/>
          <w:u w:val="single"/>
          <w:vertAlign w:val="superscript"/>
          <w:lang w:val="fr-CA"/>
        </w:rPr>
        <w:t>o</w:t>
      </w:r>
      <w:r w:rsidRPr="007B324D">
        <w:rPr>
          <w:rFonts w:ascii="72 Light" w:hAnsi="72 Light" w:cs="72 Light"/>
          <w:sz w:val="24"/>
          <w:szCs w:val="24"/>
          <w:u w:val="single"/>
          <w:lang w:val="fr-CA"/>
        </w:rPr>
        <w:t xml:space="preserve"> 38 (PFCEA) </w:t>
      </w:r>
    </w:p>
    <w:p w14:paraId="4690CE84"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Le CAIPE soutient pleinement les objectifs et la volonté d’inclusion du PFCEA. Cependant, il convient de souligner qu’une grande partie du financement est allouée au volet Premières Nations, même si la majeure partie de la population autochtone appartient au volet Autochtones en milieu urbain et non affiliés. Il s’agit là d’un autre cas où l’on privilégie une approche fondée sur les distinctions au détriment de la population autochtone vivant hors réserve, qui est plus nombreuse.</w:t>
      </w:r>
    </w:p>
    <w:p w14:paraId="3C4F71B9"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u w:val="single"/>
          <w:lang w:val="fr-CA"/>
        </w:rPr>
      </w:pPr>
      <w:r w:rsidRPr="007B324D">
        <w:rPr>
          <w:rFonts w:ascii="72 Light" w:hAnsi="72 Light" w:cs="72 Light"/>
          <w:sz w:val="24"/>
          <w:szCs w:val="24"/>
          <w:u w:val="single"/>
          <w:lang w:val="fr-CA"/>
        </w:rPr>
        <w:t>Point n</w:t>
      </w:r>
      <w:r w:rsidRPr="007B324D">
        <w:rPr>
          <w:rFonts w:ascii="72 Light" w:hAnsi="72 Light" w:cs="72 Light"/>
          <w:sz w:val="24"/>
          <w:szCs w:val="24"/>
          <w:u w:val="single"/>
          <w:vertAlign w:val="superscript"/>
          <w:lang w:val="fr-CA"/>
        </w:rPr>
        <w:t>o</w:t>
      </w:r>
      <w:r w:rsidRPr="007B324D">
        <w:rPr>
          <w:rFonts w:ascii="72 Light" w:hAnsi="72 Light" w:cs="72 Light"/>
          <w:sz w:val="24"/>
          <w:szCs w:val="24"/>
          <w:u w:val="single"/>
          <w:lang w:val="fr-CA"/>
        </w:rPr>
        <w:t> 46 (Stratégie nationale sur le logement)</w:t>
      </w:r>
    </w:p>
    <w:p w14:paraId="4ECAA2E5"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Le défenseur fédéral du logement et le Conseil national du logement ont demandé les commentaires des personnes touchées par les lacunes et les obstacles de la </w:t>
      </w:r>
      <w:r w:rsidRPr="007B324D">
        <w:rPr>
          <w:rFonts w:ascii="72 Light" w:hAnsi="72 Light" w:cs="72 Light"/>
          <w:i/>
          <w:iCs/>
          <w:sz w:val="24"/>
          <w:szCs w:val="24"/>
          <w:lang w:val="fr-CA"/>
        </w:rPr>
        <w:t>Loi sur la stratégie nationale sur le logement</w:t>
      </w:r>
      <w:r w:rsidRPr="007B324D">
        <w:rPr>
          <w:rFonts w:ascii="72 Light" w:hAnsi="72 Light" w:cs="72 Light"/>
          <w:sz w:val="24"/>
          <w:szCs w:val="24"/>
          <w:lang w:val="fr-CA"/>
        </w:rPr>
        <w:t>, y compris les Autochtones et les personnes ayant été en situation d’itinérance. Toutefois, il reste à voir si les conseils donnés par les groupes en quête d’équité, dont le CAIPE, seront mis en œuvre ou inclus dans les changements politiques.</w:t>
      </w:r>
    </w:p>
    <w:p w14:paraId="4ED7F91E"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Plus particulièrement, le gouvernement fédéral doit reconnaître que plusieurs des mesures qu’il a prises dans le cadre de la Stratégie nationale sur le logement contribuent à la crise du logement et à la financialisation du logement, surtout à la financialisation des logements locatifs abordables spécialement conçus à cet effet. L’offre insuffisante de logements de ce type a contribué à faire augmenter le nombre de Canadiens, y compris les Autochtones vivant hors réserve, qui éprouvent des besoins impérieux en matière de logement (ce qui signifie que leur habitation n’est pas abordable, ou que la qualité ou la taille de leur habitation n’est pas convenable) et à faire augmenter le nombre de personnes en situation d’itinérance en raison du manque de logements abordables.</w:t>
      </w:r>
    </w:p>
    <w:p w14:paraId="4E7CCA24"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Des normes nationales devraient être créées afin d’imposer des exigences minimales pour les lois provinciales sur la location. Les mesures de protection de ce type devraient comprendre des mesures de prévention contre les « rénovictions », pour ne citer qu’un exemple. Aussi, le gouvernement fédéral doit de nouveau s’engager à offrir des logements locatifs hors marché, ainsi que du financement aux communautés autochtones rurales et urbaines hors réserve, afin de répondre à la demande actuelle en matière de logements abordables et à loyer indexé sur le revenu. Ce financement ne doit pas prendre la forme de prêts à faible taux d’intérêt, qui constituent un obstacle pour de nombreuses communautés et organisations autochtones hors réserve. </w:t>
      </w:r>
    </w:p>
    <w:p w14:paraId="2463A38B"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En outre, les programmes fédéraux doivent faire en sorte que les communautés les plus susceptibles de perdre leurs logements ou d’éprouver des besoins impérieux en matière de logement reçoivent du financement continu à long terme pour soutenir les programmes de logement à loyer indexé sur le revenu. Les loyers doivent correspondre à la valeur locative réelle du marché, aux coûts d’entretien et à l’inflation dans la région, et ne doivent pas être établis au moyen d’un calcul basé sur des chiffres périmés.</w:t>
      </w:r>
    </w:p>
    <w:p w14:paraId="1D85C485"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u w:val="single"/>
          <w:lang w:val="fr-CA"/>
        </w:rPr>
      </w:pPr>
      <w:r w:rsidRPr="007B324D">
        <w:rPr>
          <w:rFonts w:ascii="72 Light" w:hAnsi="72 Light" w:cs="72 Light"/>
          <w:sz w:val="24"/>
          <w:szCs w:val="24"/>
          <w:u w:val="single"/>
          <w:lang w:val="fr-CA"/>
        </w:rPr>
        <w:lastRenderedPageBreak/>
        <w:t>Point n</w:t>
      </w:r>
      <w:r w:rsidRPr="007B324D">
        <w:rPr>
          <w:rFonts w:ascii="72 Light" w:hAnsi="72 Light" w:cs="72 Light"/>
          <w:sz w:val="24"/>
          <w:szCs w:val="24"/>
          <w:u w:val="single"/>
          <w:vertAlign w:val="superscript"/>
          <w:lang w:val="fr-CA"/>
        </w:rPr>
        <w:t>o</w:t>
      </w:r>
      <w:r w:rsidRPr="007B324D">
        <w:rPr>
          <w:rFonts w:ascii="72 Light" w:hAnsi="72 Light" w:cs="72 Light"/>
          <w:sz w:val="24"/>
          <w:szCs w:val="24"/>
          <w:u w:val="single"/>
          <w:lang w:val="fr-CA"/>
        </w:rPr>
        <w:t> 49 (Plan national d’action consacré aux femmes, à la paix et à la sécurité)</w:t>
      </w:r>
    </w:p>
    <w:p w14:paraId="2FD0DE8F"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En juin 2021, la Société canadienne d’hypothèques et de logement et Services aux Autochtones Canada (SAC) ont annoncé conjointement un investissement de 85,6 millions de dollars pour financer la construction et appuyer les activités de 12 nouveaux refuges d’urgence dans des communautés autochtones partout au Canada. Cependant, ces refuges sont situés dans des communautés fondées sur les distinctions, et il sera difficile pour les Autochtones vivant hors réserve d’y avoir accès. De plus, aucun des 12 refuges ne sera situé à l’Île-du-Prince-Édouard, même si le CAIPE a ouvert un refuge pour hommes cette année et qu’il prévoit ouvrir un refuge pour femmes et une maison de chambres pour hommes dans l’année à venir. Le CAIPE porte une attention particulière à la Stratégie sur le logement des Autochtones en milieux urbain, rural et nordique et aux fonds alloués pour s’assurer que les communautés autochtones hors réserve peuvent avoir un accès équitable aux ressources en matière de logement.</w:t>
      </w:r>
    </w:p>
    <w:p w14:paraId="7AF6EF49"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SAC a mis sur pied un comité consultatif sur le bien-être des femmes autochtones qui est chargé de « fournir de l’orientation et des conseils fondés sur [...] les distinctions » sur les questions touchant la santé et le bien-être des femmes des Premières Nations, des Inuits et des Métis. Le CAIPE s’oppose fermement à l’utilisation continue des approches fondées sur les distinctions dans les lois et les politiques, puisque ces approches ne représentent pas les divers groupes démographiques autochtones des communautés urbaines et vivant hors réserve.</w:t>
      </w:r>
    </w:p>
    <w:p w14:paraId="6E46AD77"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u w:val="single"/>
          <w:lang w:val="fr-CA"/>
        </w:rPr>
      </w:pPr>
      <w:r w:rsidRPr="007B324D">
        <w:rPr>
          <w:rFonts w:ascii="72 Light" w:hAnsi="72 Light" w:cs="72 Light"/>
          <w:sz w:val="24"/>
          <w:szCs w:val="24"/>
          <w:u w:val="single"/>
          <w:lang w:val="fr-CA"/>
        </w:rPr>
        <w:t>Point n</w:t>
      </w:r>
      <w:r w:rsidRPr="007B324D">
        <w:rPr>
          <w:rFonts w:ascii="72 Light" w:hAnsi="72 Light" w:cs="72 Light"/>
          <w:sz w:val="24"/>
          <w:szCs w:val="24"/>
          <w:u w:val="single"/>
          <w:vertAlign w:val="superscript"/>
          <w:lang w:val="fr-CA"/>
        </w:rPr>
        <w:t>o</w:t>
      </w:r>
      <w:r w:rsidRPr="007B324D">
        <w:rPr>
          <w:rFonts w:ascii="72 Light" w:hAnsi="72 Light" w:cs="72 Light"/>
          <w:sz w:val="24"/>
          <w:szCs w:val="24"/>
          <w:u w:val="single"/>
          <w:lang w:val="fr-CA"/>
        </w:rPr>
        <w:t> 54 (Service d’information juridique communautaire de l’Î.-P.-É.)</w:t>
      </w:r>
    </w:p>
    <w:p w14:paraId="2879A871" w14:textId="4033D128"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Le CAIPE soutient le programme RISE et son approche tenant compte des traumatismes. Le CAIPE tient également à mettre l’accent sur le plus récent programme de l’organisme, soit </w:t>
      </w:r>
      <w:hyperlink r:id="rId16" w:history="1">
        <w:r w:rsidRPr="007B324D">
          <w:rPr>
            <w:rStyle w:val="Hyperlink"/>
            <w:rFonts w:ascii="72 Light" w:hAnsi="72 Light" w:cs="72 Light"/>
            <w:sz w:val="24"/>
            <w:szCs w:val="24"/>
            <w:lang w:val="fr-CA"/>
          </w:rPr>
          <w:t>Justice Avenues</w:t>
        </w:r>
      </w:hyperlink>
      <w:r w:rsidR="0053749C" w:rsidRPr="007B324D">
        <w:rPr>
          <w:rFonts w:ascii="72 Light" w:hAnsi="72 Light" w:cs="72 Light"/>
          <w:sz w:val="24"/>
          <w:szCs w:val="24"/>
          <w:lang w:val="fr-CA"/>
        </w:rPr>
        <w:t xml:space="preserve"> (en anglais)</w:t>
      </w:r>
      <w:r w:rsidRPr="007B324D">
        <w:rPr>
          <w:rFonts w:ascii="72 Light" w:hAnsi="72 Light" w:cs="72 Light"/>
          <w:sz w:val="24"/>
          <w:szCs w:val="24"/>
          <w:lang w:val="fr-CA"/>
        </w:rPr>
        <w:t xml:space="preserve"> qui permet d’améliorer l’accès à des services de soutien juridique gratuits pour les personnes racialisées, y compris les Autochtones.</w:t>
      </w:r>
    </w:p>
    <w:p w14:paraId="5E3FB46A"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u w:val="single"/>
          <w:lang w:val="fr-CA"/>
        </w:rPr>
      </w:pPr>
      <w:r w:rsidRPr="007B324D">
        <w:rPr>
          <w:rFonts w:ascii="72 Light" w:hAnsi="72 Light" w:cs="72 Light"/>
          <w:sz w:val="24"/>
          <w:szCs w:val="24"/>
          <w:u w:val="single"/>
          <w:lang w:val="fr-CA"/>
        </w:rPr>
        <w:t>Point n</w:t>
      </w:r>
      <w:r w:rsidRPr="007B324D">
        <w:rPr>
          <w:rFonts w:ascii="72 Light" w:hAnsi="72 Light" w:cs="72 Light"/>
          <w:sz w:val="24"/>
          <w:szCs w:val="24"/>
          <w:u w:val="single"/>
          <w:vertAlign w:val="superscript"/>
          <w:lang w:val="fr-CA"/>
        </w:rPr>
        <w:t>o</w:t>
      </w:r>
      <w:r w:rsidRPr="007B324D">
        <w:rPr>
          <w:rFonts w:ascii="72 Light" w:hAnsi="72 Light" w:cs="72 Light"/>
          <w:sz w:val="24"/>
          <w:szCs w:val="24"/>
          <w:u w:val="single"/>
          <w:lang w:val="fr-CA"/>
        </w:rPr>
        <w:t> 62 (Créer une culture de bienveillance de l’Î.-P.É)</w:t>
      </w:r>
    </w:p>
    <w:p w14:paraId="4CF93DA5"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Le CAIPE appuie le plan intitulé </w:t>
      </w:r>
      <w:proofErr w:type="spellStart"/>
      <w:r w:rsidRPr="007B324D">
        <w:rPr>
          <w:rFonts w:ascii="72 Light" w:hAnsi="72 Light" w:cs="72 Light"/>
          <w:i/>
          <w:iCs/>
          <w:sz w:val="24"/>
          <w:szCs w:val="24"/>
          <w:lang w:val="fr-CA"/>
        </w:rPr>
        <w:t>Creating</w:t>
      </w:r>
      <w:proofErr w:type="spellEnd"/>
      <w:r w:rsidRPr="007B324D">
        <w:rPr>
          <w:rFonts w:ascii="72 Light" w:hAnsi="72 Light" w:cs="72 Light"/>
          <w:i/>
          <w:iCs/>
          <w:sz w:val="24"/>
          <w:szCs w:val="24"/>
          <w:lang w:val="fr-CA"/>
        </w:rPr>
        <w:t xml:space="preserve"> a Culture of Care</w:t>
      </w:r>
      <w:r w:rsidRPr="007B324D">
        <w:rPr>
          <w:rFonts w:ascii="72 Light" w:hAnsi="72 Light" w:cs="72 Light"/>
          <w:sz w:val="24"/>
          <w:szCs w:val="24"/>
          <w:lang w:val="fr-CA"/>
        </w:rPr>
        <w:t xml:space="preserve"> (Créer une culture de soins) de l’Île-du-Prince-Édouard, mais observe que de nombreux engagements figurant dans le rapport sont vagues et difficiles à imaginer concrètement pour les intégrer dans un plan. De plus, le CAIPE s’inquiète de la composition des membres de l’organe consultatif communautaire, qui n’a pas encore été annoncée.</w:t>
      </w:r>
    </w:p>
    <w:p w14:paraId="10BEB571"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u w:val="single"/>
          <w:lang w:val="fr-CA"/>
        </w:rPr>
      </w:pPr>
      <w:r w:rsidRPr="007B324D">
        <w:rPr>
          <w:rFonts w:ascii="72 Light" w:hAnsi="72 Light" w:cs="72 Light"/>
          <w:sz w:val="24"/>
          <w:szCs w:val="24"/>
          <w:u w:val="single"/>
          <w:lang w:val="fr-CA"/>
        </w:rPr>
        <w:t>Point n</w:t>
      </w:r>
      <w:r w:rsidRPr="007B324D">
        <w:rPr>
          <w:rFonts w:ascii="72 Light" w:hAnsi="72 Light" w:cs="72 Light"/>
          <w:sz w:val="24"/>
          <w:szCs w:val="24"/>
          <w:u w:val="single"/>
          <w:vertAlign w:val="superscript"/>
          <w:lang w:val="fr-CA"/>
        </w:rPr>
        <w:t>o</w:t>
      </w:r>
      <w:r w:rsidRPr="007B324D">
        <w:rPr>
          <w:rFonts w:ascii="72 Light" w:hAnsi="72 Light" w:cs="72 Light"/>
          <w:sz w:val="24"/>
          <w:szCs w:val="24"/>
          <w:u w:val="single"/>
          <w:lang w:val="fr-CA"/>
        </w:rPr>
        <w:t xml:space="preserve"> 65 (Fonds national de </w:t>
      </w:r>
      <w:proofErr w:type="spellStart"/>
      <w:r w:rsidRPr="007B324D">
        <w:rPr>
          <w:rFonts w:ascii="72 Light" w:hAnsi="72 Light" w:cs="72 Light"/>
          <w:sz w:val="24"/>
          <w:szCs w:val="24"/>
          <w:u w:val="single"/>
          <w:lang w:val="fr-CA"/>
        </w:rPr>
        <w:t>co</w:t>
      </w:r>
      <w:proofErr w:type="spellEnd"/>
      <w:r w:rsidRPr="007B324D">
        <w:rPr>
          <w:rFonts w:ascii="72 Light" w:hAnsi="72 Light" w:cs="72 Light"/>
          <w:sz w:val="24"/>
          <w:szCs w:val="24"/>
          <w:u w:val="single"/>
          <w:lang w:val="fr-CA"/>
        </w:rPr>
        <w:t>-investissement pour le logement)</w:t>
      </w:r>
    </w:p>
    <w:p w14:paraId="7F436300"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Les 4 000 places dans les refuges d’urgence contribueront sans aucun doute à répondre aux besoins des victimes de la violence fondée sur le sexe ou le genre; cependant, pour bénéficier du Fonds national de </w:t>
      </w:r>
      <w:proofErr w:type="spellStart"/>
      <w:r w:rsidRPr="007B324D">
        <w:rPr>
          <w:rFonts w:ascii="72 Light" w:hAnsi="72 Light" w:cs="72 Light"/>
          <w:sz w:val="24"/>
          <w:szCs w:val="24"/>
          <w:lang w:val="fr-CA"/>
        </w:rPr>
        <w:t>co</w:t>
      </w:r>
      <w:proofErr w:type="spellEnd"/>
      <w:r w:rsidRPr="007B324D">
        <w:rPr>
          <w:rFonts w:ascii="72 Light" w:hAnsi="72 Light" w:cs="72 Light"/>
          <w:sz w:val="24"/>
          <w:szCs w:val="24"/>
          <w:lang w:val="fr-CA"/>
        </w:rPr>
        <w:t xml:space="preserve">-investissement pour le logement, les organismes communautaires autochtones et les fournisseurs de logements doivent s’associer à un promoteur, ce qui n’est pas toujours possible. Par ailleurs, la plus grande part des fonds du programme sont fournis sous </w:t>
      </w:r>
      <w:r w:rsidRPr="007B324D">
        <w:rPr>
          <w:rFonts w:ascii="72 Light" w:hAnsi="72 Light" w:cs="72 Light"/>
          <w:sz w:val="24"/>
          <w:szCs w:val="24"/>
          <w:lang w:val="fr-CA"/>
        </w:rPr>
        <w:lastRenderedPageBreak/>
        <w:t>forme de prêts à faible taux d’intérêt, ce qui constitue un obstacle pour de nombreuses communautés et organisations autochtones hors réserve.</w:t>
      </w:r>
    </w:p>
    <w:p w14:paraId="5739E49E"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u w:val="single"/>
          <w:lang w:val="fr-CA"/>
        </w:rPr>
      </w:pPr>
      <w:r w:rsidRPr="007B324D">
        <w:rPr>
          <w:rFonts w:ascii="72 Light" w:hAnsi="72 Light" w:cs="72 Light"/>
          <w:sz w:val="24"/>
          <w:szCs w:val="24"/>
          <w:u w:val="single"/>
          <w:lang w:val="fr-CA"/>
        </w:rPr>
        <w:t>Point n</w:t>
      </w:r>
      <w:r w:rsidRPr="007B324D">
        <w:rPr>
          <w:rFonts w:ascii="72 Light" w:hAnsi="72 Light" w:cs="72 Light"/>
          <w:sz w:val="24"/>
          <w:szCs w:val="24"/>
          <w:u w:val="single"/>
          <w:vertAlign w:val="superscript"/>
          <w:lang w:val="fr-CA"/>
        </w:rPr>
        <w:t>o</w:t>
      </w:r>
      <w:r w:rsidRPr="007B324D">
        <w:rPr>
          <w:rFonts w:ascii="72 Light" w:hAnsi="72 Light" w:cs="72 Light"/>
          <w:sz w:val="24"/>
          <w:szCs w:val="24"/>
          <w:u w:val="single"/>
          <w:lang w:val="fr-CA"/>
        </w:rPr>
        <w:t> 66 (Initiative de maisons d’hébergement et de logements de transition pour les Autochtones)</w:t>
      </w:r>
    </w:p>
    <w:p w14:paraId="630477B5"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Bien que le besoin soit grand pour ces initiatives en aval en réponse au problème de la violence fondée sur le sexe ou le genre, le gouvernement doit également financer des programmes en amont (c.-à-d. des programmes visant à prévenir la violence, et non pas simplement à répondre à la crise de la violence une fois l’action faite). À ce titre, les initiatives en amont peuvent comprendre notamment des programmes d’enseignement traditionnel pour hommes et garçons autochtones afin de les sensibiliser à la violence fondée sur le sexe ou le genre et de les aider à prévenir cette violence dans les communautés autochtones; ainsi que des programmes qui abordent le racisme envers les Autochtones, la misogynie et le sexisme et sont destinés aux hommes et aux garçons non autochtones.</w:t>
      </w:r>
    </w:p>
    <w:p w14:paraId="3D7153B0"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u w:val="single"/>
          <w:lang w:val="fr-CA"/>
        </w:rPr>
      </w:pPr>
      <w:r w:rsidRPr="007B324D">
        <w:rPr>
          <w:rFonts w:ascii="72 Light" w:hAnsi="72 Light" w:cs="72 Light"/>
          <w:sz w:val="24"/>
          <w:szCs w:val="24"/>
          <w:u w:val="single"/>
          <w:lang w:val="fr-CA"/>
        </w:rPr>
        <w:t>Point n</w:t>
      </w:r>
      <w:r w:rsidRPr="007B324D">
        <w:rPr>
          <w:rFonts w:ascii="72 Light" w:hAnsi="72 Light" w:cs="72 Light"/>
          <w:sz w:val="24"/>
          <w:szCs w:val="24"/>
          <w:u w:val="single"/>
          <w:vertAlign w:val="superscript"/>
          <w:lang w:val="fr-CA"/>
        </w:rPr>
        <w:t>o</w:t>
      </w:r>
      <w:r w:rsidRPr="007B324D">
        <w:rPr>
          <w:rFonts w:ascii="72 Light" w:hAnsi="72 Light" w:cs="72 Light"/>
          <w:sz w:val="24"/>
          <w:szCs w:val="24"/>
          <w:u w:val="single"/>
          <w:lang w:val="fr-CA"/>
        </w:rPr>
        <w:t> 72 (Cadre d’apprentissage et de garde des jeunes enfants autochtones)</w:t>
      </w:r>
    </w:p>
    <w:p w14:paraId="3FA46738"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Dans le préambule du présent Cadre, on relève une contradiction fondamentale : la formulation fondée sur les distinctions, y compris l’utilisation du terme « Premières Nations » faisant habituellement référence aux Autochtones inscrits, est contraire à l’objectif énoncé qui est de bénéficier à tous les « peuples autochtones ». Le Cadre ne mentionne pas non plus le mot « hors réserve », mais utilise le mot « urbain » 10 fois, principalement dans la section intitulée « Au service des familles où elles vivent ». Le CAIPE craint que ce Cadre fondé sur les distinctions soit mis en œuvre de manière à exclure de nombreux Autochtones hors réserve, y compris ceux qui vivent dans des régions rurales ou éloignées.</w:t>
      </w:r>
    </w:p>
    <w:p w14:paraId="2118B8D8"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Le CAIPE est également préoccupé par le financement à long terme et les engagements à prendre pour appuyer l’apprentissage et la garde des jeunes enfants gérés par des Autochtones à l’échelle locale. Le financement accordé par le programme d’amélioration de la qualité pour l’apprentissage et la garde des jeunes enfants autochtones d’Emploi et Développement social Canada a été offert aux projets qui ne durent pas plus de 36 mois, et seulement aux communautés autochtones qui offraient déjà des programmes d’apprentissage et de garde des jeunes enfants. Même pour ces communautés, le financement était souvent limité à un petit nombre d’enfants autochtones.</w:t>
      </w:r>
    </w:p>
    <w:p w14:paraId="4C7806B7"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u w:val="single"/>
          <w:lang w:val="fr-CA"/>
        </w:rPr>
      </w:pPr>
      <w:r w:rsidRPr="007B324D">
        <w:rPr>
          <w:rFonts w:ascii="72 Light" w:hAnsi="72 Light" w:cs="72 Light"/>
          <w:sz w:val="24"/>
          <w:szCs w:val="24"/>
          <w:u w:val="single"/>
          <w:lang w:val="fr-CA"/>
        </w:rPr>
        <w:t>Point n</w:t>
      </w:r>
      <w:r w:rsidRPr="007B324D">
        <w:rPr>
          <w:rFonts w:ascii="72 Light" w:hAnsi="72 Light" w:cs="72 Light"/>
          <w:sz w:val="24"/>
          <w:szCs w:val="24"/>
          <w:u w:val="single"/>
          <w:vertAlign w:val="superscript"/>
          <w:lang w:val="fr-CA"/>
        </w:rPr>
        <w:t>o</w:t>
      </w:r>
      <w:r w:rsidRPr="007B324D">
        <w:rPr>
          <w:rFonts w:ascii="72 Light" w:hAnsi="72 Light" w:cs="72 Light"/>
          <w:sz w:val="24"/>
          <w:szCs w:val="24"/>
          <w:u w:val="single"/>
          <w:lang w:val="fr-CA"/>
        </w:rPr>
        <w:t> 77 (Stratégie emploi et compétences jeunesse)</w:t>
      </w:r>
    </w:p>
    <w:p w14:paraId="33A688ED" w14:textId="4452D8C1"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La refonte de la Stratégie emploi et compétences jeunesse en 2019 a constitué un pas dans la bonne direction, mais n’a pas permis de lever tous les obstacles et de combler toutes les lacunes qui doivent être corrigées au niveau des programmes. En effectuant une recherche de tous les programmes filtrés par « Services et soutien pour les jeunes Autochtones » sur le site Web d’Emploi et Développement Canada consacré à la </w:t>
      </w:r>
      <w:hyperlink r:id="rId17" w:history="1">
        <w:r w:rsidRPr="007B324D">
          <w:rPr>
            <w:rStyle w:val="Hyperlink"/>
            <w:rFonts w:ascii="72 Light" w:hAnsi="72 Light" w:cs="72 Light"/>
            <w:sz w:val="24"/>
            <w:szCs w:val="24"/>
            <w:lang w:val="fr-CA"/>
          </w:rPr>
          <w:t>Stratégie emploi et compétences jeunesse</w:t>
        </w:r>
      </w:hyperlink>
      <w:r w:rsidRPr="007B324D">
        <w:rPr>
          <w:rFonts w:ascii="72 Light" w:hAnsi="72 Light" w:cs="72 Light"/>
          <w:sz w:val="24"/>
          <w:szCs w:val="24"/>
          <w:lang w:val="fr-CA"/>
        </w:rPr>
        <w:t xml:space="preserve">, on n’obtient que quatre résultats, dont trois se limitent aux membres des Premières Nations dans </w:t>
      </w:r>
      <w:r w:rsidRPr="007B324D">
        <w:rPr>
          <w:rFonts w:ascii="72 Light" w:hAnsi="72 Light" w:cs="72 Light"/>
          <w:sz w:val="24"/>
          <w:szCs w:val="24"/>
          <w:lang w:val="fr-CA"/>
        </w:rPr>
        <w:lastRenderedPageBreak/>
        <w:t xml:space="preserve">les réserves et à quelques jeunes Inuit. Ces programmes excluent les jeunes Autochtones hors réserve, les jeunes Autochtones </w:t>
      </w:r>
      <w:r w:rsidR="0053749C" w:rsidRPr="007B324D">
        <w:rPr>
          <w:rFonts w:ascii="72 Light" w:hAnsi="72 Light" w:cs="72 Light"/>
          <w:sz w:val="24"/>
          <w:szCs w:val="24"/>
          <w:lang w:val="fr-CA"/>
        </w:rPr>
        <w:t>non-inscrits</w:t>
      </w:r>
      <w:r w:rsidRPr="007B324D">
        <w:rPr>
          <w:rFonts w:ascii="72 Light" w:hAnsi="72 Light" w:cs="72 Light"/>
          <w:sz w:val="24"/>
          <w:szCs w:val="24"/>
          <w:lang w:val="fr-CA"/>
        </w:rPr>
        <w:t xml:space="preserve"> et les Métis. Deux solutions sont possibles : rendre ces programmes plus inclusifs ou créer des programmes distincts pour les jeunes qui ne peuvent pas participer à ces programmes, et les financer de manière durable.</w:t>
      </w:r>
    </w:p>
    <w:p w14:paraId="16DFBBE6"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u w:val="single"/>
          <w:lang w:val="fr-CA"/>
        </w:rPr>
      </w:pPr>
      <w:r w:rsidRPr="007B324D">
        <w:rPr>
          <w:rFonts w:ascii="72 Light" w:hAnsi="72 Light" w:cs="72 Light"/>
          <w:sz w:val="24"/>
          <w:szCs w:val="24"/>
          <w:u w:val="single"/>
          <w:lang w:val="fr-CA"/>
        </w:rPr>
        <w:t>Point n</w:t>
      </w:r>
      <w:r w:rsidRPr="007B324D">
        <w:rPr>
          <w:rFonts w:ascii="72 Light" w:hAnsi="72 Light" w:cs="72 Light"/>
          <w:sz w:val="24"/>
          <w:szCs w:val="24"/>
          <w:u w:val="single"/>
          <w:vertAlign w:val="superscript"/>
          <w:lang w:val="fr-CA"/>
        </w:rPr>
        <w:t>o</w:t>
      </w:r>
      <w:r w:rsidRPr="007B324D">
        <w:rPr>
          <w:rFonts w:ascii="72 Light" w:hAnsi="72 Light" w:cs="72 Light"/>
          <w:sz w:val="24"/>
          <w:szCs w:val="24"/>
          <w:u w:val="single"/>
          <w:lang w:val="fr-CA"/>
        </w:rPr>
        <w:t> 105 (Racisme envers les Autochtones)</w:t>
      </w:r>
    </w:p>
    <w:p w14:paraId="20382B31"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Rien n’indique dans ce point de l’Examen périodique universel que les peuples autochtones vivant hors réserve ont été consultés. Pour avoir un portrait représentatif des conséquences du racisme à l’égard des Autochtones sur leur accès aux systèmes de santé, il faut que le travail de collecte de données tienne également compte des besoins et des droits des Autochtones vivant hors réserve. De plus, les principes de propriété, de contrôle, d’accès et de possession (PCAP) doivent être élargis à tous les peuples et communautés autochtones, que leurs membres vivent dans une réserve, hors réserve ou dans leurs territoires traditionnels revendiqués (p. ex. les Inuit). Il faut également fournir des fonds pour faciliter la collecte de données non regroupées qui permettent d’évaluer l’efficacité des efforts déployés pour lutter contre le racisme envers les Autochtones.</w:t>
      </w:r>
    </w:p>
    <w:p w14:paraId="25DDB8F7"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u w:val="single"/>
          <w:lang w:val="fr-CA"/>
        </w:rPr>
      </w:pPr>
      <w:r w:rsidRPr="007B324D">
        <w:rPr>
          <w:rFonts w:ascii="72 Light" w:hAnsi="72 Light" w:cs="72 Light"/>
          <w:sz w:val="24"/>
          <w:szCs w:val="24"/>
          <w:u w:val="single"/>
          <w:lang w:val="fr-CA"/>
        </w:rPr>
        <w:t>Point n</w:t>
      </w:r>
      <w:r w:rsidRPr="007B324D">
        <w:rPr>
          <w:rFonts w:ascii="72 Light" w:hAnsi="72 Light" w:cs="72 Light"/>
          <w:sz w:val="24"/>
          <w:szCs w:val="24"/>
          <w:u w:val="single"/>
          <w:vertAlign w:val="superscript"/>
          <w:lang w:val="fr-CA"/>
        </w:rPr>
        <w:t>o</w:t>
      </w:r>
      <w:r w:rsidRPr="007B324D">
        <w:rPr>
          <w:rFonts w:ascii="72 Light" w:hAnsi="72 Light" w:cs="72 Light"/>
          <w:sz w:val="24"/>
          <w:szCs w:val="24"/>
          <w:u w:val="single"/>
          <w:lang w:val="fr-CA"/>
        </w:rPr>
        <w:t> 107 (Plan d’action provincial pour les aînés et les aidants – Î.-P.-É.)</w:t>
      </w:r>
    </w:p>
    <w:p w14:paraId="460D9E1E"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Le plan favorise toutes les personnes âgées en général, mais ne précise pas ou ne reconnaît pas les soins adaptés à la culture pour les Aînés autochtones ou leurs aidants, plus particulièrement. Par exemple, de nombreux foyers de soins et autres établissements de l’Île-du-Prince-Édouard continuent d’appliquer la politique d’interdiction de fumer, prohibant ainsi aux Aînés autochtones de pratiquer des cérémonies de purification par la fumée ou de porter leur remèdes sacrés.</w:t>
      </w:r>
    </w:p>
    <w:p w14:paraId="1377BC31"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u w:val="single"/>
          <w:lang w:val="fr-CA"/>
        </w:rPr>
      </w:pPr>
      <w:r w:rsidRPr="007B324D">
        <w:rPr>
          <w:rFonts w:ascii="72 Light" w:hAnsi="72 Light" w:cs="72 Light"/>
          <w:sz w:val="24"/>
          <w:szCs w:val="24"/>
          <w:u w:val="single"/>
          <w:lang w:val="fr-CA"/>
        </w:rPr>
        <w:t>Point n</w:t>
      </w:r>
      <w:r w:rsidRPr="007B324D">
        <w:rPr>
          <w:rFonts w:ascii="72 Light" w:hAnsi="72 Light" w:cs="72 Light"/>
          <w:sz w:val="24"/>
          <w:szCs w:val="24"/>
          <w:u w:val="single"/>
          <w:vertAlign w:val="superscript"/>
          <w:lang w:val="fr-CA"/>
        </w:rPr>
        <w:t>o</w:t>
      </w:r>
      <w:r w:rsidRPr="007B324D">
        <w:rPr>
          <w:rFonts w:ascii="72 Light" w:hAnsi="72 Light" w:cs="72 Light"/>
          <w:sz w:val="24"/>
          <w:szCs w:val="24"/>
          <w:u w:val="single"/>
          <w:lang w:val="fr-CA"/>
        </w:rPr>
        <w:t> 113 (Lignes directrices sur les services aux clients)</w:t>
      </w:r>
    </w:p>
    <w:p w14:paraId="737B6EBA"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lang w:val="fr-CA"/>
        </w:rPr>
      </w:pPr>
      <w:r w:rsidRPr="007B324D">
        <w:rPr>
          <w:rFonts w:ascii="72 Light" w:hAnsi="72 Light" w:cs="72 Light"/>
          <w:sz w:val="24"/>
          <w:szCs w:val="24"/>
          <w:lang w:val="fr-CA"/>
        </w:rPr>
        <w:t xml:space="preserve">Le rapport de l’Examen périodique universel mentionne des lignes directrices sur les services aux clients, mais l’équipe du CAIPE n’a pas pu les trouver et de les récupérer en ligne. Nous supposons, sans pouvoir le prouver, que ce document ne contient probablement pas la terminologie permettant de refléter l’inclusivité bispirituelle (2S). Toute « mise à jour » aux lignes directrices devrait se faire en collaboration avec des membres de la communauté autochtone bispirituelle et d’autres Autochtones ayant diverses intersectionnalités liées au genre et à la sexualité. </w:t>
      </w:r>
    </w:p>
    <w:p w14:paraId="6153C7FC" w14:textId="77777777" w:rsidR="00B73718" w:rsidRPr="007B324D" w:rsidRDefault="00B73718" w:rsidP="00B73718">
      <w:pPr>
        <w:tabs>
          <w:tab w:val="left" w:pos="3544"/>
        </w:tabs>
        <w:spacing w:before="120" w:line="276" w:lineRule="auto"/>
        <w:ind w:left="0" w:firstLine="0"/>
        <w:jc w:val="both"/>
        <w:rPr>
          <w:rFonts w:ascii="72 Light" w:hAnsi="72 Light" w:cs="72 Light"/>
          <w:sz w:val="24"/>
          <w:szCs w:val="24"/>
          <w:u w:val="single"/>
          <w:lang w:val="fr-CA"/>
        </w:rPr>
      </w:pPr>
      <w:r w:rsidRPr="007B324D">
        <w:rPr>
          <w:rFonts w:ascii="72 Light" w:hAnsi="72 Light" w:cs="72 Light"/>
          <w:sz w:val="24"/>
          <w:szCs w:val="24"/>
          <w:u w:val="single"/>
          <w:lang w:val="fr-CA"/>
        </w:rPr>
        <w:t>Éléments manquants ou ajouts</w:t>
      </w:r>
    </w:p>
    <w:p w14:paraId="25ECEB22" w14:textId="4BB90153" w:rsidR="00362600" w:rsidRPr="007B324D" w:rsidRDefault="00B73718" w:rsidP="00ED517D">
      <w:pPr>
        <w:tabs>
          <w:tab w:val="left" w:pos="3544"/>
        </w:tabs>
        <w:spacing w:before="120" w:line="276" w:lineRule="auto"/>
        <w:ind w:left="0" w:firstLine="0"/>
        <w:jc w:val="both"/>
        <w:rPr>
          <w:rStyle w:val="eop"/>
          <w:rFonts w:ascii="72 Light" w:hAnsi="72 Light" w:cs="72 Light"/>
          <w:sz w:val="24"/>
          <w:szCs w:val="24"/>
          <w:lang w:val="fr-CA"/>
        </w:rPr>
      </w:pPr>
      <w:r w:rsidRPr="007B324D">
        <w:rPr>
          <w:rFonts w:ascii="72 Light" w:hAnsi="72 Light" w:cs="72 Light"/>
          <w:sz w:val="24"/>
          <w:szCs w:val="24"/>
          <w:lang w:val="fr-CA"/>
        </w:rPr>
        <w:t>Le rapport de l’Examen périodique universel comporte des sections consacrées à la surreprésentation des Autochtones au sein du système de justice pénale et des services de police (points n</w:t>
      </w:r>
      <w:r w:rsidRPr="007B324D">
        <w:rPr>
          <w:rFonts w:ascii="72 Light" w:hAnsi="72 Light" w:cs="72 Light"/>
          <w:sz w:val="24"/>
          <w:szCs w:val="24"/>
          <w:vertAlign w:val="superscript"/>
          <w:lang w:val="fr-CA"/>
        </w:rPr>
        <w:t>os</w:t>
      </w:r>
      <w:r w:rsidRPr="007B324D">
        <w:rPr>
          <w:rFonts w:ascii="72 Light" w:hAnsi="72 Light" w:cs="72 Light"/>
          <w:sz w:val="24"/>
          <w:szCs w:val="24"/>
          <w:lang w:val="fr-CA"/>
        </w:rPr>
        <w:t xml:space="preserve"> 125 à 131). Cependant, aucun point de cette catégorie ne mentionne expressément l’Île-du-Prince-Édouard. Cette province continue de rencontrer des problèmes au niveau des services de soutien judiciaire pour les Autochtones, y compris notre Programme d’assistance </w:t>
      </w:r>
      <w:r w:rsidRPr="007B324D">
        <w:rPr>
          <w:rFonts w:ascii="72 Light" w:hAnsi="72 Light" w:cs="72 Light"/>
          <w:sz w:val="24"/>
          <w:szCs w:val="24"/>
          <w:lang w:val="fr-CA"/>
        </w:rPr>
        <w:lastRenderedPageBreak/>
        <w:t>parajudiciaire aux Autochtones. Le CAIPE participe à la Stratégie en matière de justice autochtone du gouvernement du Canada et à l’élaboration des normes en matière de services de police de l’Île-du-Prince-Édouard, et prend position sur les deux consultations afin d’éviter la terminologie fondée sur les distinctions et d’inclure les Autochtones vivant hors réserve.</w:t>
      </w:r>
    </w:p>
    <w:p w14:paraId="2C8DA161" w14:textId="17991B8C" w:rsidR="00BF3013" w:rsidRPr="007B324D" w:rsidRDefault="00BF3013" w:rsidP="00842C4C">
      <w:pPr>
        <w:pStyle w:val="Heading2"/>
        <w:ind w:left="0" w:firstLine="0"/>
        <w:rPr>
          <w:rFonts w:ascii="72 Light" w:hAnsi="72 Light" w:cs="72 Light"/>
          <w:color w:val="2F5496" w:themeColor="accent5" w:themeShade="BF"/>
          <w:sz w:val="28"/>
          <w:szCs w:val="28"/>
          <w:lang w:val="fr-CA"/>
        </w:rPr>
      </w:pPr>
      <w:bookmarkStart w:id="12" w:name="_Toc147829628"/>
      <w:r w:rsidRPr="007B324D">
        <w:rPr>
          <w:rFonts w:ascii="72 Light" w:hAnsi="72 Light" w:cs="72 Light"/>
          <w:color w:val="2F5496" w:themeColor="accent5" w:themeShade="BF"/>
          <w:sz w:val="28"/>
          <w:szCs w:val="28"/>
          <w:lang w:val="fr-CA"/>
        </w:rPr>
        <w:t>Résumé des contributions de la société civile, des organisations autochtones et de la Commission des droits de la personne</w:t>
      </w:r>
      <w:r w:rsidR="00842C4C" w:rsidRPr="007B324D">
        <w:rPr>
          <w:rFonts w:ascii="72 Light" w:hAnsi="72 Light" w:cs="72 Light"/>
          <w:color w:val="2F5496" w:themeColor="accent5" w:themeShade="BF"/>
          <w:sz w:val="28"/>
          <w:szCs w:val="28"/>
          <w:lang w:val="fr-CA"/>
        </w:rPr>
        <w:t xml:space="preserve"> de l’Ontario</w:t>
      </w:r>
      <w:bookmarkEnd w:id="12"/>
    </w:p>
    <w:p w14:paraId="0200241F" w14:textId="0D750C1A" w:rsidR="00E44068" w:rsidRPr="007B324D" w:rsidRDefault="003D61C0" w:rsidP="00F62155">
      <w:pPr>
        <w:tabs>
          <w:tab w:val="left" w:pos="3544"/>
        </w:tabs>
        <w:spacing w:before="120" w:line="276" w:lineRule="auto"/>
        <w:ind w:left="0" w:firstLine="0"/>
        <w:jc w:val="both"/>
        <w:rPr>
          <w:rFonts w:ascii="72 Light" w:hAnsi="72 Light" w:cs="72 Light"/>
          <w:sz w:val="24"/>
          <w:szCs w:val="24"/>
          <w:lang w:val="fr-CA"/>
        </w:rPr>
      </w:pPr>
      <w:bookmarkStart w:id="13" w:name="lt_pId005"/>
      <w:bookmarkEnd w:id="3"/>
      <w:r w:rsidRPr="007B324D">
        <w:rPr>
          <w:rFonts w:ascii="72 Light" w:hAnsi="72 Light" w:cs="72 Light"/>
          <w:sz w:val="24"/>
          <w:szCs w:val="24"/>
          <w:lang w:val="fr-CA"/>
        </w:rPr>
        <w:t xml:space="preserve">La présente </w:t>
      </w:r>
      <w:r w:rsidR="00BF3013" w:rsidRPr="007B324D">
        <w:rPr>
          <w:rFonts w:ascii="72 Light" w:hAnsi="72 Light" w:cs="72 Light"/>
          <w:sz w:val="24"/>
          <w:szCs w:val="24"/>
          <w:lang w:val="fr-CA"/>
        </w:rPr>
        <w:t>section fait le résumé des contributions que le Canada a reçues</w:t>
      </w:r>
      <w:r w:rsidR="009840ED" w:rsidRPr="007B324D">
        <w:rPr>
          <w:rFonts w:ascii="72 Light" w:hAnsi="72 Light" w:cs="72 Light"/>
          <w:sz w:val="24"/>
          <w:szCs w:val="24"/>
          <w:lang w:val="fr-CA"/>
        </w:rPr>
        <w:t xml:space="preserve"> de la société civile</w:t>
      </w:r>
      <w:r w:rsidR="003B6B6A" w:rsidRPr="007B324D">
        <w:rPr>
          <w:rFonts w:ascii="72 Light" w:hAnsi="72 Light" w:cs="72 Light"/>
          <w:sz w:val="24"/>
          <w:szCs w:val="24"/>
          <w:lang w:val="fr-CA"/>
        </w:rPr>
        <w:t xml:space="preserve">, </w:t>
      </w:r>
      <w:r w:rsidR="009840ED" w:rsidRPr="007B324D">
        <w:rPr>
          <w:rFonts w:ascii="72 Light" w:hAnsi="72 Light" w:cs="72 Light"/>
          <w:sz w:val="24"/>
          <w:szCs w:val="24"/>
          <w:lang w:val="fr-CA"/>
        </w:rPr>
        <w:t>des organisations autochtones</w:t>
      </w:r>
      <w:r w:rsidR="003B6B6A" w:rsidRPr="007B324D">
        <w:rPr>
          <w:rFonts w:ascii="72 Light" w:hAnsi="72 Light" w:cs="72 Light"/>
          <w:sz w:val="24"/>
          <w:szCs w:val="24"/>
          <w:lang w:val="fr-CA"/>
        </w:rPr>
        <w:t xml:space="preserve"> et les commissions </w:t>
      </w:r>
      <w:r w:rsidR="00F84ABB" w:rsidRPr="007B324D">
        <w:rPr>
          <w:rFonts w:ascii="72 Light" w:hAnsi="72 Light" w:cs="72 Light"/>
          <w:sz w:val="24"/>
          <w:szCs w:val="24"/>
          <w:lang w:val="fr-CA"/>
        </w:rPr>
        <w:t>des droits de la personne</w:t>
      </w:r>
      <w:r w:rsidR="00BF3013" w:rsidRPr="007B324D">
        <w:rPr>
          <w:rFonts w:ascii="72 Light" w:hAnsi="72 Light" w:cs="72 Light"/>
          <w:sz w:val="24"/>
          <w:szCs w:val="24"/>
          <w:lang w:val="fr-CA"/>
        </w:rPr>
        <w:t xml:space="preserve"> concernant </w:t>
      </w:r>
      <w:r w:rsidR="007F260F" w:rsidRPr="007B324D">
        <w:rPr>
          <w:rFonts w:ascii="72 Light" w:hAnsi="72 Light" w:cs="72 Light"/>
          <w:sz w:val="24"/>
          <w:szCs w:val="24"/>
          <w:lang w:val="fr-CA"/>
        </w:rPr>
        <w:t xml:space="preserve">l’ébauche du rapport </w:t>
      </w:r>
      <w:r w:rsidR="00BF3013" w:rsidRPr="007B324D">
        <w:rPr>
          <w:rFonts w:ascii="72 Light" w:hAnsi="72 Light" w:cs="72 Light"/>
          <w:sz w:val="24"/>
          <w:szCs w:val="24"/>
          <w:lang w:val="fr-CA"/>
        </w:rPr>
        <w:t>national</w:t>
      </w:r>
      <w:r w:rsidR="00D4122B" w:rsidRPr="007B324D">
        <w:rPr>
          <w:rFonts w:ascii="72 Light" w:hAnsi="72 Light" w:cs="72 Light"/>
          <w:sz w:val="24"/>
          <w:szCs w:val="24"/>
          <w:lang w:val="fr-CA"/>
        </w:rPr>
        <w:t>.</w:t>
      </w:r>
      <w:bookmarkEnd w:id="13"/>
      <w:r w:rsidR="00D4122B" w:rsidRPr="007B324D">
        <w:rPr>
          <w:rFonts w:ascii="72 Light" w:hAnsi="72 Light" w:cs="72 Light"/>
          <w:sz w:val="24"/>
          <w:szCs w:val="24"/>
          <w:lang w:val="fr-CA"/>
        </w:rPr>
        <w:t xml:space="preserve"> </w:t>
      </w:r>
      <w:bookmarkStart w:id="14" w:name="lt_pId006"/>
      <w:r w:rsidR="00F96363" w:rsidRPr="007B324D">
        <w:rPr>
          <w:rFonts w:ascii="72 Light" w:hAnsi="72 Light" w:cs="72 Light"/>
          <w:sz w:val="24"/>
          <w:szCs w:val="24"/>
          <w:lang w:val="fr-CA"/>
        </w:rPr>
        <w:t>L</w:t>
      </w:r>
      <w:r w:rsidR="00D4122B" w:rsidRPr="007B324D">
        <w:rPr>
          <w:rFonts w:ascii="72 Light" w:hAnsi="72 Light" w:cs="72 Light"/>
          <w:sz w:val="24"/>
          <w:szCs w:val="24"/>
          <w:lang w:val="fr-CA"/>
        </w:rPr>
        <w:t xml:space="preserve">e résumé ne prétend pas être exhaustif, mais </w:t>
      </w:r>
      <w:r w:rsidR="00B7009E" w:rsidRPr="007B324D">
        <w:rPr>
          <w:rFonts w:ascii="72 Light" w:hAnsi="72 Light" w:cs="72 Light"/>
          <w:sz w:val="24"/>
          <w:szCs w:val="24"/>
          <w:lang w:val="fr-CA"/>
        </w:rPr>
        <w:t xml:space="preserve">vise </w:t>
      </w:r>
      <w:r w:rsidR="00F96363" w:rsidRPr="007B324D">
        <w:rPr>
          <w:rFonts w:ascii="72 Light" w:hAnsi="72 Light" w:cs="72 Light"/>
          <w:sz w:val="24"/>
          <w:szCs w:val="24"/>
          <w:lang w:val="fr-CA"/>
        </w:rPr>
        <w:t>plutôt</w:t>
      </w:r>
      <w:r w:rsidR="00D4122B" w:rsidRPr="007B324D">
        <w:rPr>
          <w:rFonts w:ascii="72 Light" w:hAnsi="72 Light" w:cs="72 Light"/>
          <w:sz w:val="24"/>
          <w:szCs w:val="24"/>
          <w:lang w:val="fr-CA"/>
        </w:rPr>
        <w:t xml:space="preserve"> </w:t>
      </w:r>
      <w:r w:rsidR="00B7009E" w:rsidRPr="007B324D">
        <w:rPr>
          <w:rFonts w:ascii="72 Light" w:hAnsi="72 Light" w:cs="72 Light"/>
          <w:sz w:val="24"/>
          <w:szCs w:val="24"/>
          <w:lang w:val="fr-CA"/>
        </w:rPr>
        <w:t xml:space="preserve">à donner </w:t>
      </w:r>
      <w:r w:rsidR="00D4122B" w:rsidRPr="007B324D">
        <w:rPr>
          <w:rFonts w:ascii="72 Light" w:hAnsi="72 Light" w:cs="72 Light"/>
          <w:sz w:val="24"/>
          <w:szCs w:val="24"/>
          <w:lang w:val="fr-CA"/>
        </w:rPr>
        <w:t>des exemples de</w:t>
      </w:r>
      <w:r w:rsidR="00B7009E" w:rsidRPr="007B324D">
        <w:rPr>
          <w:rFonts w:ascii="72 Light" w:hAnsi="72 Light" w:cs="72 Light"/>
          <w:sz w:val="24"/>
          <w:szCs w:val="24"/>
          <w:lang w:val="fr-CA"/>
        </w:rPr>
        <w:t>s</w:t>
      </w:r>
      <w:r w:rsidR="00D4122B" w:rsidRPr="007B324D">
        <w:rPr>
          <w:rFonts w:ascii="72 Light" w:hAnsi="72 Light" w:cs="72 Light"/>
          <w:sz w:val="24"/>
          <w:szCs w:val="24"/>
          <w:lang w:val="fr-CA"/>
        </w:rPr>
        <w:t xml:space="preserve"> priorités</w:t>
      </w:r>
      <w:r w:rsidR="00B7009E" w:rsidRPr="007B324D">
        <w:rPr>
          <w:rFonts w:ascii="72 Light" w:hAnsi="72 Light" w:cs="72 Light"/>
          <w:sz w:val="24"/>
          <w:szCs w:val="24"/>
          <w:lang w:val="fr-CA"/>
        </w:rPr>
        <w:t xml:space="preserve"> </w:t>
      </w:r>
      <w:r w:rsidR="00D4122B" w:rsidRPr="007B324D">
        <w:rPr>
          <w:rFonts w:ascii="72 Light" w:hAnsi="72 Light" w:cs="72 Light"/>
          <w:sz w:val="24"/>
          <w:szCs w:val="24"/>
          <w:lang w:val="fr-CA"/>
        </w:rPr>
        <w:t xml:space="preserve">en matière de </w:t>
      </w:r>
      <w:r w:rsidR="00E33B57" w:rsidRPr="007B324D">
        <w:rPr>
          <w:rFonts w:ascii="72 Light" w:hAnsi="72 Light" w:cs="72 Light"/>
          <w:sz w:val="24"/>
          <w:szCs w:val="24"/>
          <w:lang w:val="fr-CA"/>
        </w:rPr>
        <w:t>droits de la personne</w:t>
      </w:r>
      <w:r w:rsidR="00D4122B" w:rsidRPr="007B324D">
        <w:rPr>
          <w:rFonts w:ascii="72 Light" w:hAnsi="72 Light" w:cs="72 Light"/>
          <w:sz w:val="24"/>
          <w:szCs w:val="24"/>
          <w:lang w:val="fr-CA"/>
        </w:rPr>
        <w:t xml:space="preserve"> des organisations qui ont comment</w:t>
      </w:r>
      <w:r w:rsidR="00285B50" w:rsidRPr="007B324D">
        <w:rPr>
          <w:rFonts w:ascii="72 Light" w:hAnsi="72 Light" w:cs="72 Light"/>
          <w:sz w:val="24"/>
          <w:szCs w:val="24"/>
          <w:lang w:val="fr-CA"/>
        </w:rPr>
        <w:t>é</w:t>
      </w:r>
      <w:r w:rsidR="00D4122B" w:rsidRPr="007B324D">
        <w:rPr>
          <w:rFonts w:ascii="72 Light" w:hAnsi="72 Light" w:cs="72 Light"/>
          <w:sz w:val="24"/>
          <w:szCs w:val="24"/>
          <w:lang w:val="fr-CA"/>
        </w:rPr>
        <w:t>.</w:t>
      </w:r>
      <w:bookmarkEnd w:id="14"/>
      <w:r w:rsidR="00D4122B" w:rsidRPr="007B324D">
        <w:rPr>
          <w:rFonts w:ascii="72 Light" w:hAnsi="72 Light" w:cs="72 Light"/>
          <w:sz w:val="24"/>
          <w:szCs w:val="24"/>
          <w:lang w:val="fr-CA"/>
        </w:rPr>
        <w:t xml:space="preserve"> </w:t>
      </w:r>
      <w:bookmarkStart w:id="15" w:name="lt_pId007"/>
      <w:r w:rsidR="00BF3013" w:rsidRPr="007B324D">
        <w:rPr>
          <w:rFonts w:ascii="72 Light" w:hAnsi="72 Light" w:cs="72 Light"/>
          <w:sz w:val="24"/>
          <w:szCs w:val="24"/>
          <w:lang w:val="fr-CA"/>
        </w:rPr>
        <w:t xml:space="preserve">Il convient de noter que ce résumé n’inclut pas les commentaires formulés par les organisations directement auprès des Nations Unies dans le cadre du processus de rapport parallèle, car </w:t>
      </w:r>
      <w:r w:rsidRPr="007B324D">
        <w:rPr>
          <w:rFonts w:ascii="72 Light" w:hAnsi="72 Light" w:cs="72 Light"/>
          <w:sz w:val="24"/>
          <w:szCs w:val="24"/>
          <w:lang w:val="fr-CA"/>
        </w:rPr>
        <w:t>ces commentaires</w:t>
      </w:r>
      <w:r w:rsidR="00BF3013" w:rsidRPr="007B324D">
        <w:rPr>
          <w:rFonts w:ascii="72 Light" w:hAnsi="72 Light" w:cs="72 Light"/>
          <w:sz w:val="24"/>
          <w:szCs w:val="24"/>
          <w:lang w:val="fr-CA"/>
        </w:rPr>
        <w:t xml:space="preserve"> n’étaient pas encore disponibles au moment de la rédaction de la présente annexe</w:t>
      </w:r>
      <w:r w:rsidR="00D4122B" w:rsidRPr="007B324D">
        <w:rPr>
          <w:rFonts w:ascii="72 Light" w:hAnsi="72 Light" w:cs="72 Light"/>
          <w:sz w:val="24"/>
          <w:szCs w:val="24"/>
          <w:lang w:val="fr-CA"/>
        </w:rPr>
        <w:t>.</w:t>
      </w:r>
      <w:bookmarkEnd w:id="15"/>
      <w:r w:rsidR="00D4122B" w:rsidRPr="007B324D">
        <w:rPr>
          <w:rFonts w:ascii="72 Light" w:hAnsi="72 Light" w:cs="72 Light"/>
          <w:sz w:val="24"/>
          <w:szCs w:val="24"/>
          <w:lang w:val="fr-CA"/>
        </w:rPr>
        <w:t xml:space="preserve"> </w:t>
      </w:r>
      <w:bookmarkStart w:id="16" w:name="lt_pId008"/>
      <w:r w:rsidR="00D4122B" w:rsidRPr="007B324D">
        <w:rPr>
          <w:rFonts w:ascii="72 Light" w:hAnsi="72 Light" w:cs="72 Light"/>
          <w:sz w:val="24"/>
          <w:szCs w:val="24"/>
          <w:lang w:val="fr-CA"/>
        </w:rPr>
        <w:t xml:space="preserve">Par souci de commodité, </w:t>
      </w:r>
      <w:r w:rsidRPr="007B324D">
        <w:rPr>
          <w:rFonts w:ascii="72 Light" w:hAnsi="72 Light" w:cs="72 Light"/>
          <w:sz w:val="24"/>
          <w:szCs w:val="24"/>
          <w:lang w:val="fr-CA"/>
        </w:rPr>
        <w:t>l’</w:t>
      </w:r>
      <w:r w:rsidR="00D4122B" w:rsidRPr="007B324D">
        <w:rPr>
          <w:rFonts w:ascii="72 Light" w:hAnsi="72 Light" w:cs="72 Light"/>
          <w:sz w:val="24"/>
          <w:szCs w:val="24"/>
          <w:lang w:val="fr-CA"/>
        </w:rPr>
        <w:t xml:space="preserve">annexe est organisée </w:t>
      </w:r>
      <w:r w:rsidR="00B7009E" w:rsidRPr="007B324D">
        <w:rPr>
          <w:rFonts w:ascii="72 Light" w:hAnsi="72 Light" w:cs="72 Light"/>
          <w:sz w:val="24"/>
          <w:szCs w:val="24"/>
          <w:lang w:val="fr-CA"/>
        </w:rPr>
        <w:t>de manière à refléter les</w:t>
      </w:r>
      <w:r w:rsidR="00F96363" w:rsidRPr="007B324D">
        <w:rPr>
          <w:rFonts w:ascii="72 Light" w:hAnsi="72 Light" w:cs="72 Light"/>
          <w:sz w:val="24"/>
          <w:szCs w:val="24"/>
          <w:lang w:val="fr-CA"/>
        </w:rPr>
        <w:t xml:space="preserve"> rubriques thématiques telles qu</w:t>
      </w:r>
      <w:r w:rsidR="00935A6C" w:rsidRPr="007B324D">
        <w:rPr>
          <w:rFonts w:ascii="72 Light" w:hAnsi="72 Light" w:cs="72 Light"/>
          <w:sz w:val="24"/>
          <w:szCs w:val="24"/>
          <w:lang w:val="fr-CA"/>
        </w:rPr>
        <w:t>’</w:t>
      </w:r>
      <w:r w:rsidR="00F96363" w:rsidRPr="007B324D">
        <w:rPr>
          <w:rFonts w:ascii="72 Light" w:hAnsi="72 Light" w:cs="72 Light"/>
          <w:sz w:val="24"/>
          <w:szCs w:val="24"/>
          <w:lang w:val="fr-CA"/>
        </w:rPr>
        <w:t>elles figurent</w:t>
      </w:r>
      <w:r w:rsidR="00D4122B" w:rsidRPr="007B324D">
        <w:rPr>
          <w:rFonts w:ascii="72 Light" w:hAnsi="72 Light" w:cs="72 Light"/>
          <w:sz w:val="24"/>
          <w:szCs w:val="24"/>
          <w:lang w:val="fr-CA"/>
        </w:rPr>
        <w:t xml:space="preserve"> dans le quatrième rapport na</w:t>
      </w:r>
      <w:r w:rsidR="00E33B57" w:rsidRPr="007B324D">
        <w:rPr>
          <w:rFonts w:ascii="72 Light" w:hAnsi="72 Light" w:cs="72 Light"/>
          <w:sz w:val="24"/>
          <w:szCs w:val="24"/>
          <w:lang w:val="fr-CA"/>
        </w:rPr>
        <w:t xml:space="preserve">tional du Canada </w:t>
      </w:r>
      <w:r w:rsidR="00B7009E" w:rsidRPr="007B324D">
        <w:rPr>
          <w:rFonts w:ascii="72 Light" w:hAnsi="72 Light" w:cs="72 Light"/>
          <w:sz w:val="24"/>
          <w:szCs w:val="24"/>
          <w:lang w:val="fr-CA"/>
        </w:rPr>
        <w:t>pour l</w:t>
      </w:r>
      <w:r w:rsidR="00935A6C" w:rsidRPr="007B324D">
        <w:rPr>
          <w:rFonts w:ascii="72 Light" w:hAnsi="72 Light" w:cs="72 Light"/>
          <w:sz w:val="24"/>
          <w:szCs w:val="24"/>
          <w:lang w:val="fr-CA"/>
        </w:rPr>
        <w:t>’</w:t>
      </w:r>
      <w:r w:rsidR="00B7009E" w:rsidRPr="007B324D">
        <w:rPr>
          <w:rFonts w:ascii="72 Light" w:hAnsi="72 Light" w:cs="72 Light"/>
          <w:sz w:val="24"/>
          <w:szCs w:val="24"/>
          <w:lang w:val="fr-CA"/>
        </w:rPr>
        <w:t>EPU.</w:t>
      </w:r>
      <w:bookmarkEnd w:id="16"/>
    </w:p>
    <w:p w14:paraId="6430E483" w14:textId="6B418BE5" w:rsidR="00A83E7C" w:rsidRPr="007B324D" w:rsidRDefault="00B7009E" w:rsidP="00F62155">
      <w:pPr>
        <w:tabs>
          <w:tab w:val="left" w:pos="3544"/>
        </w:tabs>
        <w:spacing w:before="120" w:line="276" w:lineRule="auto"/>
        <w:ind w:left="0" w:firstLine="0"/>
        <w:jc w:val="both"/>
        <w:rPr>
          <w:rFonts w:ascii="72 Light" w:hAnsi="72 Light" w:cs="72 Light"/>
          <w:sz w:val="24"/>
          <w:szCs w:val="24"/>
          <w:lang w:val="fr-CA"/>
        </w:rPr>
      </w:pPr>
      <w:bookmarkStart w:id="17" w:name="lt_pId009"/>
      <w:r w:rsidRPr="007B324D">
        <w:rPr>
          <w:rFonts w:ascii="72 Light" w:hAnsi="72 Light" w:cs="72 Light"/>
          <w:sz w:val="24"/>
          <w:szCs w:val="24"/>
          <w:lang w:val="fr-CA"/>
        </w:rPr>
        <w:t>Bien que l</w:t>
      </w:r>
      <w:r w:rsidR="168A69F6" w:rsidRPr="007B324D">
        <w:rPr>
          <w:rFonts w:ascii="72 Light" w:hAnsi="72 Light" w:cs="72 Light"/>
          <w:sz w:val="24"/>
          <w:szCs w:val="24"/>
          <w:lang w:val="fr-CA"/>
        </w:rPr>
        <w:t xml:space="preserve">es organisations </w:t>
      </w:r>
      <w:r w:rsidR="00285B50" w:rsidRPr="007B324D">
        <w:rPr>
          <w:rFonts w:ascii="72 Light" w:hAnsi="72 Light" w:cs="72 Light"/>
          <w:sz w:val="24"/>
          <w:szCs w:val="24"/>
          <w:lang w:val="fr-CA"/>
        </w:rPr>
        <w:t>étaient reconnaissantes d</w:t>
      </w:r>
      <w:r w:rsidR="00935A6C" w:rsidRPr="007B324D">
        <w:rPr>
          <w:rFonts w:ascii="72 Light" w:hAnsi="72 Light" w:cs="72 Light"/>
          <w:sz w:val="24"/>
          <w:szCs w:val="24"/>
          <w:lang w:val="fr-CA"/>
        </w:rPr>
        <w:t>’</w:t>
      </w:r>
      <w:r w:rsidR="00285B50" w:rsidRPr="007B324D">
        <w:rPr>
          <w:rFonts w:ascii="72 Light" w:hAnsi="72 Light" w:cs="72 Light"/>
          <w:sz w:val="24"/>
          <w:szCs w:val="24"/>
          <w:lang w:val="fr-CA"/>
        </w:rPr>
        <w:t>avoir eu</w:t>
      </w:r>
      <w:r w:rsidR="168A69F6" w:rsidRPr="007B324D">
        <w:rPr>
          <w:rFonts w:ascii="72 Light" w:hAnsi="72 Light" w:cs="72 Light"/>
          <w:sz w:val="24"/>
          <w:szCs w:val="24"/>
          <w:lang w:val="fr-CA"/>
        </w:rPr>
        <w:t xml:space="preserve"> l</w:t>
      </w:r>
      <w:r w:rsidR="00935A6C" w:rsidRPr="007B324D">
        <w:rPr>
          <w:rFonts w:ascii="72 Light" w:hAnsi="72 Light" w:cs="72 Light"/>
          <w:sz w:val="24"/>
          <w:szCs w:val="24"/>
          <w:lang w:val="fr-CA"/>
        </w:rPr>
        <w:t>’</w:t>
      </w:r>
      <w:r w:rsidR="168A69F6" w:rsidRPr="007B324D">
        <w:rPr>
          <w:rFonts w:ascii="72 Light" w:hAnsi="72 Light" w:cs="72 Light"/>
          <w:sz w:val="24"/>
          <w:szCs w:val="24"/>
          <w:lang w:val="fr-CA"/>
        </w:rPr>
        <w:t>o</w:t>
      </w:r>
      <w:r w:rsidR="00285B50" w:rsidRPr="007B324D">
        <w:rPr>
          <w:rFonts w:ascii="72 Light" w:hAnsi="72 Light" w:cs="72 Light"/>
          <w:sz w:val="24"/>
          <w:szCs w:val="24"/>
          <w:lang w:val="fr-CA"/>
        </w:rPr>
        <w:t>ccasion</w:t>
      </w:r>
      <w:r w:rsidR="168A69F6" w:rsidRPr="007B324D">
        <w:rPr>
          <w:rFonts w:ascii="72 Light" w:hAnsi="72 Light" w:cs="72 Light"/>
          <w:sz w:val="24"/>
          <w:szCs w:val="24"/>
          <w:lang w:val="fr-CA"/>
        </w:rPr>
        <w:t xml:space="preserve"> de </w:t>
      </w:r>
      <w:r w:rsidR="00285B50" w:rsidRPr="007B324D">
        <w:rPr>
          <w:rFonts w:ascii="72 Light" w:hAnsi="72 Light" w:cs="72 Light"/>
          <w:sz w:val="24"/>
          <w:szCs w:val="24"/>
          <w:lang w:val="fr-CA"/>
        </w:rPr>
        <w:t>commenter</w:t>
      </w:r>
      <w:r w:rsidR="168A69F6" w:rsidRPr="007B324D">
        <w:rPr>
          <w:rFonts w:ascii="72 Light" w:hAnsi="72 Light" w:cs="72 Light"/>
          <w:sz w:val="24"/>
          <w:szCs w:val="24"/>
          <w:lang w:val="fr-CA"/>
        </w:rPr>
        <w:t xml:space="preserve"> </w:t>
      </w:r>
      <w:r w:rsidR="007F260F" w:rsidRPr="007B324D">
        <w:rPr>
          <w:rFonts w:ascii="72 Light" w:hAnsi="72 Light" w:cs="72 Light"/>
          <w:sz w:val="24"/>
          <w:szCs w:val="24"/>
          <w:lang w:val="fr-CA"/>
        </w:rPr>
        <w:t>l’ébauche du rapport</w:t>
      </w:r>
      <w:r w:rsidR="00F96363" w:rsidRPr="007B324D">
        <w:rPr>
          <w:rFonts w:ascii="72 Light" w:hAnsi="72 Light" w:cs="72 Light"/>
          <w:sz w:val="24"/>
          <w:szCs w:val="24"/>
          <w:lang w:val="fr-CA"/>
        </w:rPr>
        <w:t xml:space="preserve"> national</w:t>
      </w:r>
      <w:r w:rsidR="168A69F6" w:rsidRPr="007B324D">
        <w:rPr>
          <w:rFonts w:ascii="72 Light" w:hAnsi="72 Light" w:cs="72 Light"/>
          <w:sz w:val="24"/>
          <w:szCs w:val="24"/>
          <w:lang w:val="fr-CA"/>
        </w:rPr>
        <w:t xml:space="preserve"> du Canada pour </w:t>
      </w:r>
      <w:r w:rsidR="00285B50" w:rsidRPr="007B324D">
        <w:rPr>
          <w:rFonts w:ascii="72 Light" w:hAnsi="72 Light" w:cs="72 Light"/>
          <w:sz w:val="24"/>
          <w:szCs w:val="24"/>
          <w:lang w:val="fr-CA"/>
        </w:rPr>
        <w:t>le quatrième cycle de l</w:t>
      </w:r>
      <w:r w:rsidR="00935A6C" w:rsidRPr="007B324D">
        <w:rPr>
          <w:rFonts w:ascii="72 Light" w:hAnsi="72 Light" w:cs="72 Light"/>
          <w:sz w:val="24"/>
          <w:szCs w:val="24"/>
          <w:lang w:val="fr-CA"/>
        </w:rPr>
        <w:t>’</w:t>
      </w:r>
      <w:r w:rsidR="00285B50" w:rsidRPr="007B324D">
        <w:rPr>
          <w:rFonts w:ascii="72 Light" w:hAnsi="72 Light" w:cs="72 Light"/>
          <w:sz w:val="24"/>
          <w:szCs w:val="24"/>
          <w:lang w:val="fr-CA"/>
        </w:rPr>
        <w:t>Examen p</w:t>
      </w:r>
      <w:r w:rsidR="168A69F6" w:rsidRPr="007B324D">
        <w:rPr>
          <w:rFonts w:ascii="72 Light" w:hAnsi="72 Light" w:cs="72 Light"/>
          <w:sz w:val="24"/>
          <w:szCs w:val="24"/>
          <w:lang w:val="fr-CA"/>
        </w:rPr>
        <w:t xml:space="preserve">ériodique </w:t>
      </w:r>
      <w:r w:rsidR="00285B50" w:rsidRPr="007B324D">
        <w:rPr>
          <w:rFonts w:ascii="72 Light" w:hAnsi="72 Light" w:cs="72 Light"/>
          <w:sz w:val="24"/>
          <w:szCs w:val="24"/>
          <w:lang w:val="fr-CA"/>
        </w:rPr>
        <w:t>u</w:t>
      </w:r>
      <w:r w:rsidR="168A69F6" w:rsidRPr="007B324D">
        <w:rPr>
          <w:rFonts w:ascii="72 Light" w:hAnsi="72 Light" w:cs="72 Light"/>
          <w:sz w:val="24"/>
          <w:szCs w:val="24"/>
          <w:lang w:val="fr-CA"/>
        </w:rPr>
        <w:t xml:space="preserve">niversel, beaucoup </w:t>
      </w:r>
      <w:r w:rsidR="00C90ACD" w:rsidRPr="007B324D">
        <w:rPr>
          <w:rFonts w:ascii="72 Light" w:hAnsi="72 Light" w:cs="72 Light"/>
          <w:sz w:val="24"/>
          <w:szCs w:val="24"/>
          <w:lang w:val="fr-CA"/>
        </w:rPr>
        <w:t xml:space="preserve">ont </w:t>
      </w:r>
      <w:r w:rsidRPr="007B324D">
        <w:rPr>
          <w:rFonts w:ascii="72 Light" w:hAnsi="72 Light" w:cs="72 Light"/>
          <w:sz w:val="24"/>
          <w:szCs w:val="24"/>
          <w:lang w:val="fr-CA"/>
        </w:rPr>
        <w:t xml:space="preserve">critiqué </w:t>
      </w:r>
      <w:r w:rsidR="00C90ACD" w:rsidRPr="007B324D">
        <w:rPr>
          <w:rFonts w:ascii="72 Light" w:hAnsi="72 Light" w:cs="72 Light"/>
          <w:sz w:val="24"/>
          <w:szCs w:val="24"/>
          <w:lang w:val="fr-CA"/>
        </w:rPr>
        <w:t>les possibilités limitées qui leur étaient offertes</w:t>
      </w:r>
      <w:r w:rsidR="168A69F6" w:rsidRPr="007B324D">
        <w:rPr>
          <w:rFonts w:ascii="72 Light" w:hAnsi="72 Light" w:cs="72 Light"/>
          <w:sz w:val="24"/>
          <w:szCs w:val="24"/>
          <w:lang w:val="fr-CA"/>
        </w:rPr>
        <w:t xml:space="preserve"> </w:t>
      </w:r>
      <w:r w:rsidR="00C90ACD" w:rsidRPr="007B324D">
        <w:rPr>
          <w:rFonts w:ascii="72 Light" w:hAnsi="72 Light" w:cs="72 Light"/>
          <w:sz w:val="24"/>
          <w:szCs w:val="24"/>
          <w:lang w:val="fr-CA"/>
        </w:rPr>
        <w:t>d</w:t>
      </w:r>
      <w:r w:rsidR="00935A6C" w:rsidRPr="007B324D">
        <w:rPr>
          <w:rFonts w:ascii="72 Light" w:hAnsi="72 Light" w:cs="72 Light"/>
          <w:sz w:val="24"/>
          <w:szCs w:val="24"/>
          <w:lang w:val="fr-CA"/>
        </w:rPr>
        <w:t>’</w:t>
      </w:r>
      <w:r w:rsidR="00C90ACD" w:rsidRPr="007B324D">
        <w:rPr>
          <w:rFonts w:ascii="72 Light" w:hAnsi="72 Light" w:cs="72 Light"/>
          <w:sz w:val="24"/>
          <w:szCs w:val="24"/>
          <w:lang w:val="fr-CA"/>
        </w:rPr>
        <w:t>exprimer leur point de vue</w:t>
      </w:r>
      <w:r w:rsidR="168A69F6" w:rsidRPr="007B324D">
        <w:rPr>
          <w:rFonts w:ascii="72 Light" w:hAnsi="72 Light" w:cs="72 Light"/>
          <w:sz w:val="24"/>
          <w:szCs w:val="24"/>
          <w:lang w:val="fr-CA"/>
        </w:rPr>
        <w:t xml:space="preserve"> tout au long de l</w:t>
      </w:r>
      <w:r w:rsidR="00935A6C" w:rsidRPr="007B324D">
        <w:rPr>
          <w:rFonts w:ascii="72 Light" w:hAnsi="72 Light" w:cs="72 Light"/>
          <w:sz w:val="24"/>
          <w:szCs w:val="24"/>
          <w:lang w:val="fr-CA"/>
        </w:rPr>
        <w:t>’</w:t>
      </w:r>
      <w:r w:rsidR="168A69F6" w:rsidRPr="007B324D">
        <w:rPr>
          <w:rFonts w:ascii="72 Light" w:hAnsi="72 Light" w:cs="72 Light"/>
          <w:sz w:val="24"/>
          <w:szCs w:val="24"/>
          <w:lang w:val="fr-CA"/>
        </w:rPr>
        <w:t>élaboration du rapport et ont recommandé la mise en place d</w:t>
      </w:r>
      <w:r w:rsidR="00935A6C" w:rsidRPr="007B324D">
        <w:rPr>
          <w:rFonts w:ascii="72 Light" w:hAnsi="72 Light" w:cs="72 Light"/>
          <w:sz w:val="24"/>
          <w:szCs w:val="24"/>
          <w:lang w:val="fr-CA"/>
        </w:rPr>
        <w:t>’</w:t>
      </w:r>
      <w:r w:rsidR="168A69F6" w:rsidRPr="007B324D">
        <w:rPr>
          <w:rFonts w:ascii="72 Light" w:hAnsi="72 Light" w:cs="72 Light"/>
          <w:sz w:val="24"/>
          <w:szCs w:val="24"/>
          <w:lang w:val="fr-CA"/>
        </w:rPr>
        <w:t>un processus de consultation plus solide.</w:t>
      </w:r>
      <w:bookmarkEnd w:id="17"/>
      <w:r w:rsidR="168A69F6" w:rsidRPr="007B324D">
        <w:rPr>
          <w:rFonts w:ascii="72 Light" w:hAnsi="72 Light" w:cs="72 Light"/>
          <w:sz w:val="24"/>
          <w:szCs w:val="24"/>
          <w:lang w:val="fr-CA"/>
        </w:rPr>
        <w:t xml:space="preserve"> </w:t>
      </w:r>
      <w:r w:rsidR="006D5444" w:rsidRPr="007B324D">
        <w:rPr>
          <w:rFonts w:ascii="72 Light" w:hAnsi="72 Light" w:cs="72 Light"/>
          <w:sz w:val="24"/>
          <w:szCs w:val="24"/>
          <w:lang w:val="fr-CA"/>
        </w:rPr>
        <w:t>Plusieurs organisations ont d</w:t>
      </w:r>
      <w:r w:rsidR="00935A6C" w:rsidRPr="007B324D">
        <w:rPr>
          <w:rFonts w:ascii="72 Light" w:hAnsi="72 Light" w:cs="72 Light"/>
          <w:sz w:val="24"/>
          <w:szCs w:val="24"/>
          <w:lang w:val="fr-CA"/>
        </w:rPr>
        <w:t>’</w:t>
      </w:r>
      <w:r w:rsidR="006D5444" w:rsidRPr="007B324D">
        <w:rPr>
          <w:rFonts w:ascii="72 Light" w:hAnsi="72 Light" w:cs="72 Light"/>
          <w:sz w:val="24"/>
          <w:szCs w:val="24"/>
          <w:lang w:val="fr-CA"/>
        </w:rPr>
        <w:t xml:space="preserve">ailleurs </w:t>
      </w:r>
      <w:r w:rsidR="00A352BC" w:rsidRPr="007B324D">
        <w:rPr>
          <w:rFonts w:ascii="72 Light" w:hAnsi="72 Light" w:cs="72 Light"/>
          <w:sz w:val="24"/>
          <w:szCs w:val="24"/>
          <w:lang w:val="fr-CA"/>
        </w:rPr>
        <w:t xml:space="preserve">salué </w:t>
      </w:r>
      <w:r w:rsidR="005E6FE5" w:rsidRPr="007B324D">
        <w:rPr>
          <w:rFonts w:ascii="72 Light" w:hAnsi="72 Light" w:cs="72 Light"/>
          <w:sz w:val="24"/>
          <w:szCs w:val="24"/>
          <w:lang w:val="fr-CA"/>
        </w:rPr>
        <w:t>l</w:t>
      </w:r>
      <w:r w:rsidR="00935A6C" w:rsidRPr="007B324D">
        <w:rPr>
          <w:rFonts w:ascii="72 Light" w:hAnsi="72 Light" w:cs="72 Light"/>
          <w:sz w:val="24"/>
          <w:szCs w:val="24"/>
          <w:lang w:val="fr-CA"/>
        </w:rPr>
        <w:t>’</w:t>
      </w:r>
      <w:r w:rsidR="005E6FE5" w:rsidRPr="007B324D">
        <w:rPr>
          <w:rFonts w:ascii="72 Light" w:hAnsi="72 Light" w:cs="72 Light"/>
          <w:sz w:val="24"/>
          <w:szCs w:val="24"/>
          <w:lang w:val="fr-CA"/>
        </w:rPr>
        <w:t>engagement du Canada à entreprendre de vastes consultations auprès des partenaires et des intervenants tout au long du processus de l</w:t>
      </w:r>
      <w:r w:rsidR="00935A6C" w:rsidRPr="007B324D">
        <w:rPr>
          <w:rFonts w:ascii="72 Light" w:hAnsi="72 Light" w:cs="72 Light"/>
          <w:sz w:val="24"/>
          <w:szCs w:val="24"/>
          <w:lang w:val="fr-CA"/>
        </w:rPr>
        <w:t>’</w:t>
      </w:r>
      <w:r w:rsidR="005E6FE5" w:rsidRPr="007B324D">
        <w:rPr>
          <w:rFonts w:ascii="72 Light" w:hAnsi="72 Light" w:cs="72 Light"/>
          <w:sz w:val="24"/>
          <w:szCs w:val="24"/>
          <w:lang w:val="fr-CA"/>
        </w:rPr>
        <w:t>EPU.</w:t>
      </w:r>
    </w:p>
    <w:p w14:paraId="1F63F8D4" w14:textId="2C5FAEB1" w:rsidR="00835EDE" w:rsidRPr="007B324D" w:rsidRDefault="00D4122B" w:rsidP="00F62155">
      <w:pPr>
        <w:keepNext/>
        <w:tabs>
          <w:tab w:val="left" w:pos="3544"/>
        </w:tabs>
        <w:spacing w:before="120" w:line="276" w:lineRule="auto"/>
        <w:ind w:left="0" w:firstLine="0"/>
        <w:jc w:val="both"/>
        <w:rPr>
          <w:rFonts w:ascii="72 Light" w:hAnsi="72 Light" w:cs="72 Light"/>
          <w:b/>
          <w:sz w:val="24"/>
          <w:szCs w:val="24"/>
          <w:lang w:val="fr-CA"/>
        </w:rPr>
      </w:pPr>
      <w:bookmarkStart w:id="18" w:name="lt_pId016"/>
      <w:r w:rsidRPr="007B324D">
        <w:rPr>
          <w:rFonts w:ascii="72 Light" w:hAnsi="72 Light" w:cs="72 Light"/>
          <w:b/>
          <w:sz w:val="24"/>
          <w:szCs w:val="24"/>
          <w:lang w:val="fr-CA"/>
        </w:rPr>
        <w:t xml:space="preserve">Mise en œuvre </w:t>
      </w:r>
      <w:r w:rsidR="00F96363" w:rsidRPr="007B324D">
        <w:rPr>
          <w:rFonts w:ascii="72 Light" w:hAnsi="72 Light" w:cs="72 Light"/>
          <w:b/>
          <w:sz w:val="24"/>
          <w:szCs w:val="24"/>
          <w:lang w:val="fr-CA"/>
        </w:rPr>
        <w:t>–</w:t>
      </w:r>
      <w:r w:rsidRPr="007B324D">
        <w:rPr>
          <w:rFonts w:ascii="72 Light" w:hAnsi="72 Light" w:cs="72 Light"/>
          <w:b/>
          <w:sz w:val="24"/>
          <w:szCs w:val="24"/>
          <w:lang w:val="fr-CA"/>
        </w:rPr>
        <w:t xml:space="preserve"> Développements, réalisations et défis depuis le troisième </w:t>
      </w:r>
      <w:r w:rsidR="00F96363" w:rsidRPr="007B324D">
        <w:rPr>
          <w:rFonts w:ascii="72 Light" w:hAnsi="72 Light" w:cs="72 Light"/>
          <w:b/>
          <w:sz w:val="24"/>
          <w:szCs w:val="24"/>
          <w:lang w:val="fr-CA"/>
        </w:rPr>
        <w:t>Examen périodique universe</w:t>
      </w:r>
      <w:r w:rsidR="00344BD1" w:rsidRPr="007B324D">
        <w:rPr>
          <w:rFonts w:ascii="72 Light" w:hAnsi="72 Light" w:cs="72 Light"/>
          <w:b/>
          <w:sz w:val="24"/>
          <w:szCs w:val="24"/>
          <w:lang w:val="fr-CA"/>
        </w:rPr>
        <w:t>l</w:t>
      </w:r>
      <w:r w:rsidRPr="007B324D">
        <w:rPr>
          <w:rFonts w:ascii="72 Light" w:hAnsi="72 Light" w:cs="72 Light"/>
          <w:b/>
          <w:sz w:val="24"/>
          <w:szCs w:val="24"/>
          <w:lang w:val="fr-CA"/>
        </w:rPr>
        <w:t xml:space="preserve"> du Canada</w:t>
      </w:r>
      <w:bookmarkEnd w:id="18"/>
    </w:p>
    <w:p w14:paraId="1F4A21B7" w14:textId="031A47F9" w:rsidR="00AE7400" w:rsidRPr="007B324D" w:rsidRDefault="00D4122B" w:rsidP="000814A3">
      <w:pPr>
        <w:pStyle w:val="ListParagraph"/>
        <w:numPr>
          <w:ilvl w:val="0"/>
          <w:numId w:val="1"/>
        </w:numPr>
        <w:tabs>
          <w:tab w:val="left" w:pos="3544"/>
        </w:tabs>
        <w:spacing w:before="120" w:line="276" w:lineRule="auto"/>
        <w:ind w:left="284" w:hanging="567"/>
        <w:contextualSpacing w:val="0"/>
        <w:jc w:val="both"/>
        <w:rPr>
          <w:rFonts w:ascii="72 Light" w:hAnsi="72 Light" w:cs="72 Light"/>
          <w:b/>
          <w:sz w:val="24"/>
          <w:szCs w:val="24"/>
          <w:lang w:val="fr-CA"/>
        </w:rPr>
      </w:pPr>
      <w:bookmarkStart w:id="19" w:name="lt_pId017"/>
      <w:r w:rsidRPr="007B324D">
        <w:rPr>
          <w:rFonts w:ascii="72 Light" w:hAnsi="72 Light" w:cs="72 Light"/>
          <w:b/>
          <w:sz w:val="24"/>
          <w:szCs w:val="24"/>
          <w:lang w:val="fr-CA"/>
        </w:rPr>
        <w:t>Instruments internationaux relatifs aux droits de la personne</w:t>
      </w:r>
      <w:bookmarkEnd w:id="19"/>
      <w:r w:rsidRPr="007B324D">
        <w:rPr>
          <w:rFonts w:ascii="72 Light" w:hAnsi="72 Light" w:cs="72 Light"/>
          <w:b/>
          <w:sz w:val="24"/>
          <w:szCs w:val="24"/>
          <w:lang w:val="fr-CA"/>
        </w:rPr>
        <w:t xml:space="preserve"> </w:t>
      </w:r>
    </w:p>
    <w:p w14:paraId="54675DB3" w14:textId="57A90754" w:rsidR="000B4F35" w:rsidRPr="007B324D" w:rsidRDefault="00F96363" w:rsidP="00F62155">
      <w:pPr>
        <w:tabs>
          <w:tab w:val="left" w:pos="3544"/>
        </w:tabs>
        <w:spacing w:before="120" w:line="276" w:lineRule="auto"/>
        <w:ind w:left="284" w:firstLine="0"/>
        <w:jc w:val="both"/>
        <w:rPr>
          <w:rFonts w:ascii="72 Light" w:hAnsi="72 Light" w:cs="72 Light"/>
          <w:bCs/>
          <w:sz w:val="24"/>
          <w:szCs w:val="24"/>
          <w:lang w:val="fr-CA"/>
        </w:rPr>
      </w:pPr>
      <w:bookmarkStart w:id="20" w:name="lt_pId018"/>
      <w:r w:rsidRPr="007B324D">
        <w:rPr>
          <w:rFonts w:ascii="72 Light" w:hAnsi="72 Light" w:cs="72 Light"/>
          <w:bCs/>
          <w:sz w:val="24"/>
          <w:szCs w:val="24"/>
          <w:lang w:val="fr-CA"/>
        </w:rPr>
        <w:t>Le Canada a été encouragé à participer pleinement au système international des droits de la personne, en particulier par la ratification de traités.</w:t>
      </w:r>
      <w:bookmarkEnd w:id="20"/>
      <w:r w:rsidR="00D4122B" w:rsidRPr="007B324D">
        <w:rPr>
          <w:rFonts w:ascii="72 Light" w:hAnsi="72 Light" w:cs="72 Light"/>
          <w:bCs/>
          <w:sz w:val="24"/>
          <w:szCs w:val="24"/>
          <w:lang w:val="fr-CA"/>
        </w:rPr>
        <w:t xml:space="preserve"> </w:t>
      </w:r>
      <w:bookmarkStart w:id="21" w:name="lt_pId019"/>
      <w:r w:rsidR="00C90ACD" w:rsidRPr="007B324D">
        <w:rPr>
          <w:rFonts w:ascii="72 Light" w:hAnsi="72 Light" w:cs="72 Light"/>
          <w:bCs/>
          <w:sz w:val="24"/>
          <w:szCs w:val="24"/>
          <w:lang w:val="fr-CA"/>
        </w:rPr>
        <w:t>Certaines organisations ont noté l</w:t>
      </w:r>
      <w:r w:rsidR="00935A6C" w:rsidRPr="007B324D">
        <w:rPr>
          <w:rFonts w:ascii="72 Light" w:hAnsi="72 Light" w:cs="72 Light"/>
          <w:bCs/>
          <w:sz w:val="24"/>
          <w:szCs w:val="24"/>
          <w:lang w:val="fr-CA"/>
        </w:rPr>
        <w:t>’</w:t>
      </w:r>
      <w:r w:rsidR="00C90ACD" w:rsidRPr="007B324D">
        <w:rPr>
          <w:rFonts w:ascii="72 Light" w:hAnsi="72 Light" w:cs="72 Light"/>
          <w:bCs/>
          <w:sz w:val="24"/>
          <w:szCs w:val="24"/>
          <w:lang w:val="fr-CA"/>
        </w:rPr>
        <w:t>absence d</w:t>
      </w:r>
      <w:r w:rsidR="00935A6C" w:rsidRPr="007B324D">
        <w:rPr>
          <w:rFonts w:ascii="72 Light" w:hAnsi="72 Light" w:cs="72 Light"/>
          <w:bCs/>
          <w:sz w:val="24"/>
          <w:szCs w:val="24"/>
          <w:lang w:val="fr-CA"/>
        </w:rPr>
        <w:t>’</w:t>
      </w:r>
      <w:r w:rsidR="00C90ACD" w:rsidRPr="007B324D">
        <w:rPr>
          <w:rFonts w:ascii="72 Light" w:hAnsi="72 Light" w:cs="72 Light"/>
          <w:bCs/>
          <w:sz w:val="24"/>
          <w:szCs w:val="24"/>
          <w:lang w:val="fr-CA"/>
        </w:rPr>
        <w:t>une mise à jour détaillée sur l</w:t>
      </w:r>
      <w:r w:rsidR="00935A6C" w:rsidRPr="007B324D">
        <w:rPr>
          <w:rFonts w:ascii="72 Light" w:hAnsi="72 Light" w:cs="72 Light"/>
          <w:bCs/>
          <w:sz w:val="24"/>
          <w:szCs w:val="24"/>
          <w:lang w:val="fr-CA"/>
        </w:rPr>
        <w:t>’</w:t>
      </w:r>
      <w:r w:rsidR="00C90ACD" w:rsidRPr="007B324D">
        <w:rPr>
          <w:rFonts w:ascii="72 Light" w:hAnsi="72 Light" w:cs="72 Light"/>
          <w:bCs/>
          <w:sz w:val="24"/>
          <w:szCs w:val="24"/>
          <w:lang w:val="fr-CA"/>
        </w:rPr>
        <w:t>état d</w:t>
      </w:r>
      <w:r w:rsidR="00935A6C" w:rsidRPr="007B324D">
        <w:rPr>
          <w:rFonts w:ascii="72 Light" w:hAnsi="72 Light" w:cs="72 Light"/>
          <w:bCs/>
          <w:sz w:val="24"/>
          <w:szCs w:val="24"/>
          <w:lang w:val="fr-CA"/>
        </w:rPr>
        <w:t>’</w:t>
      </w:r>
      <w:r w:rsidR="00C90ACD" w:rsidRPr="007B324D">
        <w:rPr>
          <w:rFonts w:ascii="72 Light" w:hAnsi="72 Light" w:cs="72 Light"/>
          <w:bCs/>
          <w:sz w:val="24"/>
          <w:szCs w:val="24"/>
          <w:lang w:val="fr-CA"/>
        </w:rPr>
        <w:t>avancement de l</w:t>
      </w:r>
      <w:r w:rsidR="00935A6C" w:rsidRPr="007B324D">
        <w:rPr>
          <w:rFonts w:ascii="72 Light" w:hAnsi="72 Light" w:cs="72 Light"/>
          <w:bCs/>
          <w:sz w:val="24"/>
          <w:szCs w:val="24"/>
          <w:lang w:val="fr-CA"/>
        </w:rPr>
        <w:t>’</w:t>
      </w:r>
      <w:r w:rsidR="00C90ACD" w:rsidRPr="007B324D">
        <w:rPr>
          <w:rFonts w:ascii="72 Light" w:hAnsi="72 Light" w:cs="72 Light"/>
          <w:bCs/>
          <w:sz w:val="24"/>
          <w:szCs w:val="24"/>
          <w:lang w:val="fr-CA"/>
        </w:rPr>
        <w:t>éventuelle adhésion du Canada aux instruments internationaux relatifs aux droits de la personne auxquels le Canada n</w:t>
      </w:r>
      <w:r w:rsidR="00935A6C" w:rsidRPr="007B324D">
        <w:rPr>
          <w:rFonts w:ascii="72 Light" w:hAnsi="72 Light" w:cs="72 Light"/>
          <w:bCs/>
          <w:sz w:val="24"/>
          <w:szCs w:val="24"/>
          <w:lang w:val="fr-CA"/>
        </w:rPr>
        <w:t>’</w:t>
      </w:r>
      <w:r w:rsidR="00C90ACD" w:rsidRPr="007B324D">
        <w:rPr>
          <w:rFonts w:ascii="72 Light" w:hAnsi="72 Light" w:cs="72 Light"/>
          <w:bCs/>
          <w:sz w:val="24"/>
          <w:szCs w:val="24"/>
          <w:lang w:val="fr-CA"/>
        </w:rPr>
        <w:t xml:space="preserve">est pas encore partie, soit le </w:t>
      </w:r>
      <w:r w:rsidR="00C90ACD" w:rsidRPr="007B324D">
        <w:rPr>
          <w:rFonts w:ascii="72 Light" w:hAnsi="72 Light" w:cs="72 Light"/>
          <w:bCs/>
          <w:iCs/>
          <w:sz w:val="24"/>
          <w:szCs w:val="24"/>
          <w:lang w:val="fr-CA"/>
        </w:rPr>
        <w:t>Protocole facultatif se rapportant à la</w:t>
      </w:r>
      <w:r w:rsidR="00C90ACD" w:rsidRPr="007B324D">
        <w:rPr>
          <w:rFonts w:ascii="72 Light" w:hAnsi="72 Light" w:cs="72 Light"/>
          <w:bCs/>
          <w:i/>
          <w:sz w:val="24"/>
          <w:szCs w:val="24"/>
          <w:lang w:val="fr-CA"/>
        </w:rPr>
        <w:t xml:space="preserve"> Convention contre la torture et autres peines ou traitements cruels ou dégradants</w:t>
      </w:r>
      <w:r w:rsidR="00C90ACD" w:rsidRPr="007B324D">
        <w:rPr>
          <w:rFonts w:ascii="72 Light" w:hAnsi="72 Light" w:cs="72 Light"/>
          <w:bCs/>
          <w:sz w:val="24"/>
          <w:szCs w:val="24"/>
          <w:lang w:val="fr-CA"/>
        </w:rPr>
        <w:t xml:space="preserve">, la </w:t>
      </w:r>
      <w:r w:rsidR="00C90ACD" w:rsidRPr="007B324D">
        <w:rPr>
          <w:rFonts w:ascii="72 Light" w:hAnsi="72 Light" w:cs="72 Light"/>
          <w:bCs/>
          <w:i/>
          <w:sz w:val="24"/>
          <w:szCs w:val="24"/>
          <w:lang w:val="fr-CA"/>
        </w:rPr>
        <w:t>Convention internationale pour la protection de toutes les personnes contre les disparitions forcées</w:t>
      </w:r>
      <w:r w:rsidR="00C90ACD" w:rsidRPr="007B324D">
        <w:rPr>
          <w:rFonts w:ascii="72 Light" w:hAnsi="72 Light" w:cs="72 Light"/>
          <w:bCs/>
          <w:sz w:val="24"/>
          <w:szCs w:val="24"/>
          <w:lang w:val="fr-CA"/>
        </w:rPr>
        <w:t xml:space="preserve"> (CPDF) et la </w:t>
      </w:r>
      <w:r w:rsidR="00C90ACD" w:rsidRPr="007B324D">
        <w:rPr>
          <w:rFonts w:ascii="72 Light" w:hAnsi="72 Light" w:cs="72 Light"/>
          <w:bCs/>
          <w:i/>
          <w:sz w:val="24"/>
          <w:szCs w:val="24"/>
          <w:lang w:val="fr-CA"/>
        </w:rPr>
        <w:t>Convention interaméricaine sur la prévention, la sanction et l</w:t>
      </w:r>
      <w:r w:rsidR="00935A6C" w:rsidRPr="007B324D">
        <w:rPr>
          <w:rFonts w:ascii="72 Light" w:hAnsi="72 Light" w:cs="72 Light"/>
          <w:bCs/>
          <w:i/>
          <w:sz w:val="24"/>
          <w:szCs w:val="24"/>
          <w:lang w:val="fr-CA"/>
        </w:rPr>
        <w:t>’</w:t>
      </w:r>
      <w:r w:rsidR="00C90ACD" w:rsidRPr="007B324D">
        <w:rPr>
          <w:rFonts w:ascii="72 Light" w:hAnsi="72 Light" w:cs="72 Light"/>
          <w:bCs/>
          <w:i/>
          <w:sz w:val="24"/>
          <w:szCs w:val="24"/>
          <w:lang w:val="fr-CA"/>
        </w:rPr>
        <w:t>élimination de la violence faite aux femmes (Belém do Pará)</w:t>
      </w:r>
      <w:r w:rsidR="00C90ACD" w:rsidRPr="007B324D">
        <w:rPr>
          <w:rFonts w:ascii="72 Light" w:hAnsi="72 Light" w:cs="72 Light"/>
          <w:bCs/>
          <w:sz w:val="24"/>
          <w:szCs w:val="24"/>
          <w:lang w:val="fr-CA"/>
        </w:rPr>
        <w:t>.</w:t>
      </w:r>
      <w:bookmarkEnd w:id="21"/>
      <w:r w:rsidR="00D4122B" w:rsidRPr="007B324D">
        <w:rPr>
          <w:rFonts w:ascii="72 Light" w:hAnsi="72 Light" w:cs="72 Light"/>
          <w:bCs/>
          <w:sz w:val="24"/>
          <w:szCs w:val="24"/>
          <w:lang w:val="fr-CA"/>
        </w:rPr>
        <w:t xml:space="preserve"> </w:t>
      </w:r>
      <w:bookmarkStart w:id="22" w:name="lt_pId020"/>
    </w:p>
    <w:p w14:paraId="08501CF5" w14:textId="789C216A" w:rsidR="0024161A" w:rsidRPr="007B324D" w:rsidRDefault="00C15E0F" w:rsidP="00F62155">
      <w:pPr>
        <w:tabs>
          <w:tab w:val="left" w:pos="3544"/>
        </w:tabs>
        <w:spacing w:before="120" w:line="276" w:lineRule="auto"/>
        <w:ind w:left="284" w:firstLine="0"/>
        <w:jc w:val="both"/>
        <w:rPr>
          <w:rFonts w:ascii="72 Light" w:hAnsi="72 Light" w:cs="72 Light"/>
          <w:bCs/>
          <w:sz w:val="24"/>
          <w:szCs w:val="24"/>
          <w:lang w:val="fr-CA"/>
        </w:rPr>
      </w:pPr>
      <w:r w:rsidRPr="007B324D">
        <w:rPr>
          <w:rFonts w:ascii="72 Light" w:hAnsi="72 Light" w:cs="72 Light"/>
          <w:bCs/>
          <w:sz w:val="24"/>
          <w:szCs w:val="24"/>
          <w:lang w:val="fr-CA"/>
        </w:rPr>
        <w:t>On a également demandé au Canada d</w:t>
      </w:r>
      <w:r w:rsidR="00935A6C" w:rsidRPr="007B324D">
        <w:rPr>
          <w:rFonts w:ascii="72 Light" w:hAnsi="72 Light" w:cs="72 Light"/>
          <w:bCs/>
          <w:sz w:val="24"/>
          <w:szCs w:val="24"/>
          <w:lang w:val="fr-CA"/>
        </w:rPr>
        <w:t>’</w:t>
      </w:r>
      <w:r w:rsidRPr="007B324D">
        <w:rPr>
          <w:rFonts w:ascii="72 Light" w:hAnsi="72 Light" w:cs="72 Light"/>
          <w:bCs/>
          <w:sz w:val="24"/>
          <w:szCs w:val="24"/>
          <w:lang w:val="fr-CA"/>
        </w:rPr>
        <w:t xml:space="preserve">adhérer à la </w:t>
      </w:r>
      <w:r w:rsidRPr="007B324D">
        <w:rPr>
          <w:rFonts w:ascii="72 Light" w:hAnsi="72 Light" w:cs="72 Light"/>
          <w:bCs/>
          <w:i/>
          <w:sz w:val="24"/>
          <w:szCs w:val="24"/>
          <w:lang w:val="fr-CA"/>
        </w:rPr>
        <w:t>Convention américaine relative aux droits de l</w:t>
      </w:r>
      <w:r w:rsidR="00935A6C" w:rsidRPr="007B324D">
        <w:rPr>
          <w:rFonts w:ascii="72 Light" w:hAnsi="72 Light" w:cs="72 Light"/>
          <w:bCs/>
          <w:i/>
          <w:sz w:val="24"/>
          <w:szCs w:val="24"/>
          <w:lang w:val="fr-CA"/>
        </w:rPr>
        <w:t>’</w:t>
      </w:r>
      <w:r w:rsidRPr="007B324D">
        <w:rPr>
          <w:rFonts w:ascii="72 Light" w:hAnsi="72 Light" w:cs="72 Light"/>
          <w:bCs/>
          <w:i/>
          <w:sz w:val="24"/>
          <w:szCs w:val="24"/>
          <w:lang w:val="fr-CA"/>
        </w:rPr>
        <w:t>homme</w:t>
      </w:r>
      <w:r w:rsidR="008764E3" w:rsidRPr="007B324D">
        <w:rPr>
          <w:rFonts w:ascii="72 Light" w:hAnsi="72 Light" w:cs="72 Light"/>
          <w:bCs/>
          <w:sz w:val="24"/>
          <w:szCs w:val="24"/>
          <w:lang w:val="fr-CA"/>
        </w:rPr>
        <w:t xml:space="preserve"> et </w:t>
      </w:r>
      <w:r w:rsidR="004C38AD" w:rsidRPr="007B324D">
        <w:rPr>
          <w:rFonts w:ascii="72 Light" w:hAnsi="72 Light" w:cs="72 Light"/>
          <w:bCs/>
          <w:sz w:val="24"/>
          <w:szCs w:val="24"/>
          <w:lang w:val="fr-CA"/>
        </w:rPr>
        <w:t xml:space="preserve">au Protocole facultatif </w:t>
      </w:r>
      <w:r w:rsidR="00ED757F" w:rsidRPr="007B324D">
        <w:rPr>
          <w:rFonts w:ascii="72 Light" w:hAnsi="72 Light" w:cs="72 Light"/>
          <w:bCs/>
          <w:sz w:val="24"/>
          <w:szCs w:val="24"/>
          <w:lang w:val="fr-CA"/>
        </w:rPr>
        <w:t xml:space="preserve">se rapportant </w:t>
      </w:r>
      <w:r w:rsidR="004C38AD" w:rsidRPr="007B324D">
        <w:rPr>
          <w:rFonts w:ascii="72 Light" w:hAnsi="72 Light" w:cs="72 Light"/>
          <w:bCs/>
          <w:sz w:val="24"/>
          <w:szCs w:val="24"/>
          <w:lang w:val="fr-CA"/>
        </w:rPr>
        <w:t xml:space="preserve">à la </w:t>
      </w:r>
      <w:r w:rsidR="004C38AD" w:rsidRPr="007B324D">
        <w:rPr>
          <w:rFonts w:ascii="72 Light" w:hAnsi="72 Light" w:cs="72 Light"/>
          <w:bCs/>
          <w:i/>
          <w:iCs/>
          <w:sz w:val="24"/>
          <w:szCs w:val="24"/>
          <w:lang w:val="fr-CA"/>
        </w:rPr>
        <w:t xml:space="preserve">Convention relative aux droits de </w:t>
      </w:r>
      <w:r w:rsidR="004C38AD" w:rsidRPr="007B324D">
        <w:rPr>
          <w:rFonts w:ascii="72 Light" w:hAnsi="72 Light" w:cs="72 Light"/>
          <w:bCs/>
          <w:i/>
          <w:iCs/>
          <w:sz w:val="24"/>
          <w:szCs w:val="24"/>
          <w:lang w:val="fr-CA"/>
        </w:rPr>
        <w:lastRenderedPageBreak/>
        <w:t>l</w:t>
      </w:r>
      <w:r w:rsidR="00935A6C" w:rsidRPr="007B324D">
        <w:rPr>
          <w:rFonts w:ascii="72 Light" w:hAnsi="72 Light" w:cs="72 Light"/>
          <w:bCs/>
          <w:i/>
          <w:iCs/>
          <w:sz w:val="24"/>
          <w:szCs w:val="24"/>
          <w:lang w:val="fr-CA"/>
        </w:rPr>
        <w:t>’</w:t>
      </w:r>
      <w:r w:rsidR="004C38AD" w:rsidRPr="007B324D">
        <w:rPr>
          <w:rFonts w:ascii="72 Light" w:hAnsi="72 Light" w:cs="72 Light"/>
          <w:bCs/>
          <w:i/>
          <w:iCs/>
          <w:sz w:val="24"/>
          <w:szCs w:val="24"/>
          <w:lang w:val="fr-CA"/>
        </w:rPr>
        <w:t>enfant</w:t>
      </w:r>
      <w:r w:rsidR="004C38AD" w:rsidRPr="007B324D">
        <w:rPr>
          <w:rFonts w:ascii="72 Light" w:hAnsi="72 Light" w:cs="72 Light"/>
          <w:bCs/>
          <w:sz w:val="24"/>
          <w:szCs w:val="24"/>
          <w:lang w:val="fr-CA"/>
        </w:rPr>
        <w:t xml:space="preserve"> (</w:t>
      </w:r>
      <w:r w:rsidR="008764E3" w:rsidRPr="007B324D">
        <w:rPr>
          <w:rFonts w:ascii="72 Light" w:hAnsi="72 Light" w:cs="72 Light"/>
          <w:bCs/>
          <w:sz w:val="24"/>
          <w:szCs w:val="24"/>
          <w:lang w:val="fr-CA"/>
        </w:rPr>
        <w:t xml:space="preserve">mécanisme de communications). De plus, les gouvernements ont été encouragés à </w:t>
      </w:r>
      <w:r w:rsidR="00ED757F" w:rsidRPr="007B324D">
        <w:rPr>
          <w:rFonts w:ascii="72 Light" w:hAnsi="72 Light" w:cs="72 Light"/>
          <w:bCs/>
          <w:sz w:val="24"/>
          <w:szCs w:val="24"/>
          <w:lang w:val="fr-CA"/>
        </w:rPr>
        <w:t xml:space="preserve">évaluer la ratification potentielle de la </w:t>
      </w:r>
      <w:r w:rsidR="00ED757F" w:rsidRPr="007B324D">
        <w:rPr>
          <w:rFonts w:ascii="72 Light" w:hAnsi="72 Light" w:cs="72 Light"/>
          <w:bCs/>
          <w:i/>
          <w:iCs/>
          <w:sz w:val="24"/>
          <w:szCs w:val="24"/>
          <w:lang w:val="fr-CA"/>
        </w:rPr>
        <w:t xml:space="preserve">Convention internationale </w:t>
      </w:r>
      <w:r w:rsidR="000A33FA" w:rsidRPr="007B324D">
        <w:rPr>
          <w:rFonts w:ascii="72 Light" w:hAnsi="72 Light" w:cs="72 Light"/>
          <w:bCs/>
          <w:i/>
          <w:iCs/>
          <w:sz w:val="24"/>
          <w:szCs w:val="24"/>
          <w:lang w:val="fr-CA"/>
        </w:rPr>
        <w:t>sur la protection des droits de tous les travailleurs migrants et des membres de leur famille</w:t>
      </w:r>
      <w:r w:rsidR="000A33FA" w:rsidRPr="007B324D">
        <w:rPr>
          <w:rFonts w:ascii="72 Light" w:hAnsi="72 Light" w:cs="72 Light"/>
          <w:bCs/>
          <w:sz w:val="24"/>
          <w:szCs w:val="24"/>
          <w:lang w:val="fr-CA"/>
        </w:rPr>
        <w:t>.</w:t>
      </w:r>
      <w:bookmarkEnd w:id="22"/>
    </w:p>
    <w:p w14:paraId="7465CCBF" w14:textId="3F348FF7" w:rsidR="002F6D57" w:rsidRPr="007B324D" w:rsidRDefault="00D4122B" w:rsidP="00F62155">
      <w:pPr>
        <w:tabs>
          <w:tab w:val="left" w:pos="3544"/>
        </w:tabs>
        <w:spacing w:before="120" w:line="276" w:lineRule="auto"/>
        <w:ind w:left="284" w:firstLine="0"/>
        <w:jc w:val="both"/>
        <w:rPr>
          <w:rFonts w:ascii="72 Light" w:hAnsi="72 Light" w:cs="72 Light"/>
          <w:bCs/>
          <w:sz w:val="24"/>
          <w:szCs w:val="24"/>
          <w:lang w:val="fr-CA"/>
        </w:rPr>
      </w:pPr>
      <w:bookmarkStart w:id="23" w:name="lt_pId021"/>
      <w:r w:rsidRPr="007B324D">
        <w:rPr>
          <w:rFonts w:ascii="72 Light" w:hAnsi="72 Light" w:cs="72 Light"/>
          <w:bCs/>
          <w:sz w:val="24"/>
          <w:szCs w:val="24"/>
          <w:lang w:val="fr-CA"/>
        </w:rPr>
        <w:t xml:space="preserve">Faisant écho aux appels lancés à la suite de la visite de </w:t>
      </w:r>
      <w:r w:rsidR="00B030AD" w:rsidRPr="007B324D">
        <w:rPr>
          <w:rFonts w:ascii="72 Light" w:hAnsi="72 Light" w:cs="72 Light"/>
          <w:bCs/>
          <w:sz w:val="24"/>
          <w:szCs w:val="24"/>
          <w:lang w:val="fr-CA"/>
        </w:rPr>
        <w:t>la R</w:t>
      </w:r>
      <w:r w:rsidRPr="007B324D">
        <w:rPr>
          <w:rFonts w:ascii="72 Light" w:hAnsi="72 Light" w:cs="72 Light"/>
          <w:bCs/>
          <w:sz w:val="24"/>
          <w:szCs w:val="24"/>
          <w:lang w:val="fr-CA"/>
        </w:rPr>
        <w:t xml:space="preserve">apporteuse spéciale sur la violence </w:t>
      </w:r>
      <w:r w:rsidR="00B030AD" w:rsidRPr="007B324D">
        <w:rPr>
          <w:rFonts w:ascii="72 Light" w:hAnsi="72 Light" w:cs="72 Light"/>
          <w:bCs/>
          <w:sz w:val="24"/>
          <w:szCs w:val="24"/>
          <w:lang w:val="fr-CA"/>
        </w:rPr>
        <w:t>contre</w:t>
      </w:r>
      <w:r w:rsidRPr="007B324D">
        <w:rPr>
          <w:rFonts w:ascii="72 Light" w:hAnsi="72 Light" w:cs="72 Light"/>
          <w:bCs/>
          <w:sz w:val="24"/>
          <w:szCs w:val="24"/>
          <w:lang w:val="fr-CA"/>
        </w:rPr>
        <w:t xml:space="preserve"> </w:t>
      </w:r>
      <w:r w:rsidR="00B030AD" w:rsidRPr="007B324D">
        <w:rPr>
          <w:rFonts w:ascii="72 Light" w:hAnsi="72 Light" w:cs="72 Light"/>
          <w:bCs/>
          <w:sz w:val="24"/>
          <w:szCs w:val="24"/>
          <w:lang w:val="fr-CA"/>
        </w:rPr>
        <w:t>l</w:t>
      </w:r>
      <w:r w:rsidRPr="007B324D">
        <w:rPr>
          <w:rFonts w:ascii="72 Light" w:hAnsi="72 Light" w:cs="72 Light"/>
          <w:bCs/>
          <w:sz w:val="24"/>
          <w:szCs w:val="24"/>
          <w:lang w:val="fr-CA"/>
        </w:rPr>
        <w:t>es femmes au Cana</w:t>
      </w:r>
      <w:r w:rsidR="00B030AD" w:rsidRPr="007B324D">
        <w:rPr>
          <w:rFonts w:ascii="72 Light" w:hAnsi="72 Light" w:cs="72 Light"/>
          <w:bCs/>
          <w:sz w:val="24"/>
          <w:szCs w:val="24"/>
          <w:lang w:val="fr-CA"/>
        </w:rPr>
        <w:t>da en 2018, qui a constaté que «</w:t>
      </w:r>
      <w:r w:rsidR="00042C3C" w:rsidRPr="007B324D">
        <w:rPr>
          <w:rFonts w:ascii="Arial" w:hAnsi="Arial" w:cs="Arial"/>
          <w:bCs/>
          <w:sz w:val="24"/>
          <w:szCs w:val="24"/>
          <w:lang w:val="fr-CA"/>
        </w:rPr>
        <w:t> </w:t>
      </w:r>
      <w:r w:rsidR="00B030AD" w:rsidRPr="007B324D">
        <w:rPr>
          <w:rFonts w:ascii="72 Light" w:hAnsi="72 Light" w:cs="72 Light"/>
          <w:bCs/>
          <w:sz w:val="24"/>
          <w:szCs w:val="24"/>
          <w:lang w:val="fr-CA"/>
        </w:rPr>
        <w:t>s</w:t>
      </w:r>
      <w:r w:rsidRPr="007B324D">
        <w:rPr>
          <w:rFonts w:ascii="72 Light" w:hAnsi="72 Light" w:cs="72 Light"/>
          <w:bCs/>
          <w:sz w:val="24"/>
          <w:szCs w:val="24"/>
          <w:lang w:val="fr-CA"/>
        </w:rPr>
        <w:t>es dispositions ne sont pas pleinement in</w:t>
      </w:r>
      <w:r w:rsidR="00B030AD" w:rsidRPr="007B324D">
        <w:rPr>
          <w:rFonts w:ascii="72 Light" w:hAnsi="72 Light" w:cs="72 Light"/>
          <w:bCs/>
          <w:sz w:val="24"/>
          <w:szCs w:val="24"/>
          <w:lang w:val="fr-CA"/>
        </w:rPr>
        <w:t>tégrées</w:t>
      </w:r>
      <w:r w:rsidRPr="007B324D">
        <w:rPr>
          <w:rFonts w:ascii="72 Light" w:hAnsi="72 Light" w:cs="72 Light"/>
          <w:bCs/>
          <w:sz w:val="24"/>
          <w:szCs w:val="24"/>
          <w:lang w:val="fr-CA"/>
        </w:rPr>
        <w:t xml:space="preserve"> </w:t>
      </w:r>
      <w:r w:rsidR="00B030AD" w:rsidRPr="007B324D">
        <w:rPr>
          <w:rFonts w:ascii="72 Light" w:hAnsi="72 Light" w:cs="72 Light"/>
          <w:bCs/>
          <w:sz w:val="24"/>
          <w:szCs w:val="24"/>
          <w:lang w:val="fr-CA"/>
        </w:rPr>
        <w:t>au</w:t>
      </w:r>
      <w:r w:rsidRPr="007B324D">
        <w:rPr>
          <w:rFonts w:ascii="72 Light" w:hAnsi="72 Light" w:cs="72 Light"/>
          <w:bCs/>
          <w:sz w:val="24"/>
          <w:szCs w:val="24"/>
          <w:lang w:val="fr-CA"/>
        </w:rPr>
        <w:t xml:space="preserve"> système juridique national</w:t>
      </w:r>
      <w:r w:rsidR="00042C3C" w:rsidRPr="007B324D">
        <w:rPr>
          <w:rFonts w:ascii="Arial" w:hAnsi="Arial" w:cs="Arial"/>
          <w:bCs/>
          <w:sz w:val="24"/>
          <w:szCs w:val="24"/>
          <w:lang w:val="fr-CA"/>
        </w:rPr>
        <w:t> </w:t>
      </w:r>
      <w:r w:rsidR="00B030AD" w:rsidRPr="007B324D">
        <w:rPr>
          <w:rFonts w:ascii="72 Light" w:hAnsi="72 Light" w:cs="72 Light"/>
          <w:bCs/>
          <w:sz w:val="24"/>
          <w:szCs w:val="24"/>
          <w:lang w:val="fr-CA"/>
        </w:rPr>
        <w:t>»</w:t>
      </w:r>
      <w:r w:rsidRPr="007B324D">
        <w:rPr>
          <w:rFonts w:ascii="72 Light" w:hAnsi="72 Light" w:cs="72 Light"/>
          <w:bCs/>
          <w:sz w:val="24"/>
          <w:szCs w:val="24"/>
          <w:lang w:val="fr-CA"/>
        </w:rPr>
        <w:t xml:space="preserve">, les organisations ont recommandé que le Canada mette pleinement en œuvre la </w:t>
      </w:r>
      <w:r w:rsidRPr="007B324D">
        <w:rPr>
          <w:rFonts w:ascii="72 Light" w:hAnsi="72 Light" w:cs="72 Light"/>
          <w:bCs/>
          <w:i/>
          <w:sz w:val="24"/>
          <w:szCs w:val="24"/>
          <w:lang w:val="fr-CA"/>
        </w:rPr>
        <w:t>Convention sur l</w:t>
      </w:r>
      <w:r w:rsidR="00935A6C" w:rsidRPr="007B324D">
        <w:rPr>
          <w:rFonts w:ascii="72 Light" w:hAnsi="72 Light" w:cs="72 Light"/>
          <w:bCs/>
          <w:i/>
          <w:sz w:val="24"/>
          <w:szCs w:val="24"/>
          <w:lang w:val="fr-CA"/>
        </w:rPr>
        <w:t>’</w:t>
      </w:r>
      <w:r w:rsidRPr="007B324D">
        <w:rPr>
          <w:rFonts w:ascii="72 Light" w:hAnsi="72 Light" w:cs="72 Light"/>
          <w:bCs/>
          <w:i/>
          <w:sz w:val="24"/>
          <w:szCs w:val="24"/>
          <w:lang w:val="fr-CA"/>
        </w:rPr>
        <w:t>élimination de toutes les formes de discrimination à l</w:t>
      </w:r>
      <w:r w:rsidR="00935A6C" w:rsidRPr="007B324D">
        <w:rPr>
          <w:rFonts w:ascii="72 Light" w:hAnsi="72 Light" w:cs="72 Light"/>
          <w:bCs/>
          <w:i/>
          <w:sz w:val="24"/>
          <w:szCs w:val="24"/>
          <w:lang w:val="fr-CA"/>
        </w:rPr>
        <w:t>’</w:t>
      </w:r>
      <w:r w:rsidRPr="007B324D">
        <w:rPr>
          <w:rFonts w:ascii="72 Light" w:hAnsi="72 Light" w:cs="72 Light"/>
          <w:bCs/>
          <w:i/>
          <w:sz w:val="24"/>
          <w:szCs w:val="24"/>
          <w:lang w:val="fr-CA"/>
        </w:rPr>
        <w:t>égard des femmes</w:t>
      </w:r>
      <w:r w:rsidRPr="007B324D">
        <w:rPr>
          <w:rFonts w:ascii="72 Light" w:hAnsi="72 Light" w:cs="72 Light"/>
          <w:bCs/>
          <w:sz w:val="24"/>
          <w:szCs w:val="24"/>
          <w:lang w:val="fr-CA"/>
        </w:rPr>
        <w:t>.</w:t>
      </w:r>
      <w:bookmarkEnd w:id="23"/>
    </w:p>
    <w:p w14:paraId="666672C3" w14:textId="7D929631" w:rsidR="00A16311" w:rsidRPr="007B324D" w:rsidRDefault="005D0F85" w:rsidP="00F62155">
      <w:pPr>
        <w:tabs>
          <w:tab w:val="left" w:pos="3544"/>
        </w:tabs>
        <w:spacing w:before="120" w:line="276" w:lineRule="auto"/>
        <w:ind w:left="284" w:firstLine="0"/>
        <w:jc w:val="both"/>
        <w:rPr>
          <w:rFonts w:ascii="72 Light" w:hAnsi="72 Light" w:cs="72 Light"/>
          <w:bCs/>
          <w:sz w:val="24"/>
          <w:szCs w:val="24"/>
          <w:lang w:val="fr-CA"/>
        </w:rPr>
      </w:pPr>
      <w:bookmarkStart w:id="24" w:name="lt_pId023"/>
      <w:r w:rsidRPr="007B324D">
        <w:rPr>
          <w:rFonts w:ascii="72 Light" w:hAnsi="72 Light" w:cs="72 Light"/>
          <w:bCs/>
          <w:sz w:val="24"/>
          <w:szCs w:val="24"/>
          <w:lang w:val="fr-CA"/>
        </w:rPr>
        <w:t xml:space="preserve">Les organisations ont observé que </w:t>
      </w:r>
      <w:r w:rsidR="007F260F" w:rsidRPr="007B324D">
        <w:rPr>
          <w:rFonts w:ascii="72 Light" w:hAnsi="72 Light" w:cs="72 Light"/>
          <w:bCs/>
          <w:sz w:val="24"/>
          <w:szCs w:val="24"/>
          <w:lang w:val="fr-CA"/>
        </w:rPr>
        <w:t>l’ébauche du rapport</w:t>
      </w:r>
      <w:r w:rsidRPr="007B324D">
        <w:rPr>
          <w:rFonts w:ascii="72 Light" w:hAnsi="72 Light" w:cs="72 Light"/>
          <w:bCs/>
          <w:sz w:val="24"/>
          <w:szCs w:val="24"/>
          <w:lang w:val="fr-CA"/>
        </w:rPr>
        <w:t xml:space="preserve"> </w:t>
      </w:r>
      <w:r w:rsidR="009840ED" w:rsidRPr="007B324D">
        <w:rPr>
          <w:rFonts w:ascii="72 Light" w:hAnsi="72 Light" w:cs="72 Light"/>
          <w:bCs/>
          <w:sz w:val="24"/>
          <w:szCs w:val="24"/>
          <w:lang w:val="fr-CA"/>
        </w:rPr>
        <w:t xml:space="preserve">n’a </w:t>
      </w:r>
      <w:r w:rsidRPr="007B324D">
        <w:rPr>
          <w:rFonts w:ascii="72 Light" w:hAnsi="72 Light" w:cs="72 Light"/>
          <w:bCs/>
          <w:sz w:val="24"/>
          <w:szCs w:val="24"/>
          <w:lang w:val="fr-CA"/>
        </w:rPr>
        <w:t>pas</w:t>
      </w:r>
      <w:r w:rsidR="009840ED" w:rsidRPr="007B324D">
        <w:rPr>
          <w:rFonts w:ascii="72 Light" w:hAnsi="72 Light" w:cs="72 Light"/>
          <w:bCs/>
          <w:sz w:val="24"/>
          <w:szCs w:val="24"/>
          <w:lang w:val="fr-CA"/>
        </w:rPr>
        <w:t xml:space="preserve"> fait</w:t>
      </w:r>
      <w:r w:rsidRPr="007B324D">
        <w:rPr>
          <w:rFonts w:ascii="72 Light" w:hAnsi="72 Light" w:cs="72 Light"/>
          <w:bCs/>
          <w:sz w:val="24"/>
          <w:szCs w:val="24"/>
          <w:lang w:val="fr-CA"/>
        </w:rPr>
        <w:t xml:space="preserve"> de </w:t>
      </w:r>
      <w:r w:rsidR="009117D9" w:rsidRPr="007B324D">
        <w:rPr>
          <w:rFonts w:ascii="72 Light" w:hAnsi="72 Light" w:cs="72 Light"/>
          <w:bCs/>
          <w:sz w:val="24"/>
          <w:szCs w:val="24"/>
          <w:lang w:val="fr-CA"/>
        </w:rPr>
        <w:t>liens</w:t>
      </w:r>
      <w:r w:rsidR="009840ED" w:rsidRPr="007B324D">
        <w:rPr>
          <w:rFonts w:ascii="72 Light" w:hAnsi="72 Light" w:cs="72 Light"/>
          <w:bCs/>
          <w:sz w:val="24"/>
          <w:szCs w:val="24"/>
          <w:lang w:val="fr-CA"/>
        </w:rPr>
        <w:t xml:space="preserve"> explicites</w:t>
      </w:r>
      <w:r w:rsidR="009117D9" w:rsidRPr="007B324D">
        <w:rPr>
          <w:rFonts w:ascii="72 Light" w:hAnsi="72 Light" w:cs="72 Light"/>
          <w:bCs/>
          <w:sz w:val="24"/>
          <w:szCs w:val="24"/>
          <w:lang w:val="fr-CA"/>
        </w:rPr>
        <w:t xml:space="preserve"> </w:t>
      </w:r>
      <w:r w:rsidRPr="007B324D">
        <w:rPr>
          <w:rFonts w:ascii="72 Light" w:hAnsi="72 Light" w:cs="72 Light"/>
          <w:bCs/>
          <w:sz w:val="24"/>
          <w:szCs w:val="24"/>
          <w:lang w:val="fr-CA"/>
        </w:rPr>
        <w:t>entre la question d</w:t>
      </w:r>
      <w:r w:rsidR="00935A6C" w:rsidRPr="007B324D">
        <w:rPr>
          <w:rFonts w:ascii="72 Light" w:hAnsi="72 Light" w:cs="72 Light"/>
          <w:bCs/>
          <w:sz w:val="24"/>
          <w:szCs w:val="24"/>
          <w:lang w:val="fr-CA"/>
        </w:rPr>
        <w:t>’</w:t>
      </w:r>
      <w:r w:rsidR="00A504EF" w:rsidRPr="007B324D">
        <w:rPr>
          <w:rFonts w:ascii="72 Light" w:hAnsi="72 Light" w:cs="72 Light"/>
          <w:bCs/>
          <w:sz w:val="24"/>
          <w:szCs w:val="24"/>
          <w:lang w:val="fr-CA"/>
        </w:rPr>
        <w:t>un</w:t>
      </w:r>
      <w:r w:rsidRPr="007B324D">
        <w:rPr>
          <w:rFonts w:ascii="72 Light" w:hAnsi="72 Light" w:cs="72 Light"/>
          <w:bCs/>
          <w:sz w:val="24"/>
          <w:szCs w:val="24"/>
          <w:lang w:val="fr-CA"/>
        </w:rPr>
        <w:t xml:space="preserve">e </w:t>
      </w:r>
      <w:r w:rsidR="00A504EF" w:rsidRPr="007B324D">
        <w:rPr>
          <w:rFonts w:ascii="72 Light" w:hAnsi="72 Light" w:cs="72 Light"/>
          <w:bCs/>
          <w:sz w:val="24"/>
          <w:szCs w:val="24"/>
          <w:lang w:val="fr-CA"/>
        </w:rPr>
        <w:t xml:space="preserve">possible </w:t>
      </w:r>
      <w:r w:rsidRPr="007B324D">
        <w:rPr>
          <w:rFonts w:ascii="72 Light" w:hAnsi="72 Light" w:cs="72 Light"/>
          <w:bCs/>
          <w:sz w:val="24"/>
          <w:szCs w:val="24"/>
          <w:lang w:val="fr-CA"/>
        </w:rPr>
        <w:t xml:space="preserve">adhésion à la </w:t>
      </w:r>
      <w:r w:rsidR="00BA66FE" w:rsidRPr="007B324D">
        <w:rPr>
          <w:rFonts w:ascii="72 Light" w:hAnsi="72 Light" w:cs="72 Light"/>
          <w:bCs/>
          <w:sz w:val="24"/>
          <w:szCs w:val="24"/>
          <w:lang w:val="fr-CA"/>
        </w:rPr>
        <w:t>CPDF</w:t>
      </w:r>
      <w:r w:rsidRPr="007B324D">
        <w:rPr>
          <w:rFonts w:ascii="72 Light" w:hAnsi="72 Light" w:cs="72 Light"/>
          <w:bCs/>
          <w:sz w:val="24"/>
          <w:szCs w:val="24"/>
          <w:lang w:val="fr-CA"/>
        </w:rPr>
        <w:t xml:space="preserve"> et les initiatives mentionnées pour</w:t>
      </w:r>
      <w:r w:rsidR="00A504EF" w:rsidRPr="007B324D">
        <w:rPr>
          <w:rFonts w:ascii="72 Light" w:hAnsi="72 Light" w:cs="72 Light"/>
          <w:bCs/>
          <w:sz w:val="24"/>
          <w:szCs w:val="24"/>
          <w:lang w:val="fr-CA"/>
        </w:rPr>
        <w:t xml:space="preserve"> lutte</w:t>
      </w:r>
      <w:r w:rsidR="00B21D04" w:rsidRPr="007B324D">
        <w:rPr>
          <w:rFonts w:ascii="72 Light" w:hAnsi="72 Light" w:cs="72 Light"/>
          <w:bCs/>
          <w:sz w:val="24"/>
          <w:szCs w:val="24"/>
          <w:lang w:val="fr-CA"/>
        </w:rPr>
        <w:t>r</w:t>
      </w:r>
      <w:r w:rsidR="00A504EF" w:rsidRPr="007B324D">
        <w:rPr>
          <w:rFonts w:ascii="72 Light" w:hAnsi="72 Light" w:cs="72 Light"/>
          <w:bCs/>
          <w:sz w:val="24"/>
          <w:szCs w:val="24"/>
          <w:lang w:val="fr-CA"/>
        </w:rPr>
        <w:t xml:space="preserve"> contre les </w:t>
      </w:r>
      <w:r w:rsidRPr="007B324D">
        <w:rPr>
          <w:rFonts w:ascii="72 Light" w:hAnsi="72 Light" w:cs="72 Light"/>
          <w:bCs/>
          <w:sz w:val="24"/>
          <w:szCs w:val="24"/>
          <w:lang w:val="fr-CA"/>
        </w:rPr>
        <w:t xml:space="preserve">autres formes de violence </w:t>
      </w:r>
      <w:r w:rsidR="00A504EF" w:rsidRPr="007B324D">
        <w:rPr>
          <w:rFonts w:ascii="72 Light" w:hAnsi="72 Light" w:cs="72 Light"/>
          <w:bCs/>
          <w:sz w:val="24"/>
          <w:szCs w:val="24"/>
          <w:lang w:val="fr-CA"/>
        </w:rPr>
        <w:t>faite aux</w:t>
      </w:r>
      <w:r w:rsidRPr="007B324D">
        <w:rPr>
          <w:rFonts w:ascii="72 Light" w:hAnsi="72 Light" w:cs="72 Light"/>
          <w:bCs/>
          <w:sz w:val="24"/>
          <w:szCs w:val="24"/>
          <w:lang w:val="fr-CA"/>
        </w:rPr>
        <w:t xml:space="preserve"> femmes et </w:t>
      </w:r>
      <w:r w:rsidR="00A504EF" w:rsidRPr="007B324D">
        <w:rPr>
          <w:rFonts w:ascii="72 Light" w:hAnsi="72 Light" w:cs="72 Light"/>
          <w:bCs/>
          <w:sz w:val="24"/>
          <w:szCs w:val="24"/>
          <w:lang w:val="fr-CA"/>
        </w:rPr>
        <w:t>aux</w:t>
      </w:r>
      <w:r w:rsidRPr="007B324D">
        <w:rPr>
          <w:rFonts w:ascii="72 Light" w:hAnsi="72 Light" w:cs="72 Light"/>
          <w:bCs/>
          <w:sz w:val="24"/>
          <w:szCs w:val="24"/>
          <w:lang w:val="fr-CA"/>
        </w:rPr>
        <w:t xml:space="preserve"> filles ou </w:t>
      </w:r>
      <w:r w:rsidR="00A504EF" w:rsidRPr="007B324D">
        <w:rPr>
          <w:rFonts w:ascii="72 Light" w:hAnsi="72 Light" w:cs="72 Light"/>
          <w:bCs/>
          <w:sz w:val="24"/>
          <w:szCs w:val="24"/>
          <w:lang w:val="fr-CA"/>
        </w:rPr>
        <w:t xml:space="preserve">contre la </w:t>
      </w:r>
      <w:r w:rsidRPr="007B324D">
        <w:rPr>
          <w:rFonts w:ascii="72 Light" w:hAnsi="72 Light" w:cs="72 Light"/>
          <w:bCs/>
          <w:sz w:val="24"/>
          <w:szCs w:val="24"/>
          <w:lang w:val="fr-CA"/>
        </w:rPr>
        <w:t>discrimination à l</w:t>
      </w:r>
      <w:r w:rsidR="00935A6C" w:rsidRPr="007B324D">
        <w:rPr>
          <w:rFonts w:ascii="72 Light" w:hAnsi="72 Light" w:cs="72 Light"/>
          <w:bCs/>
          <w:sz w:val="24"/>
          <w:szCs w:val="24"/>
          <w:lang w:val="fr-CA"/>
        </w:rPr>
        <w:t>’</w:t>
      </w:r>
      <w:r w:rsidR="00A504EF" w:rsidRPr="007B324D">
        <w:rPr>
          <w:rFonts w:ascii="72 Light" w:hAnsi="72 Light" w:cs="72 Light"/>
          <w:bCs/>
          <w:sz w:val="24"/>
          <w:szCs w:val="24"/>
          <w:lang w:val="fr-CA"/>
        </w:rPr>
        <w:t>égard</w:t>
      </w:r>
      <w:r w:rsidRPr="007B324D">
        <w:rPr>
          <w:rFonts w:ascii="72 Light" w:hAnsi="72 Light" w:cs="72 Light"/>
          <w:bCs/>
          <w:sz w:val="24"/>
          <w:szCs w:val="24"/>
          <w:lang w:val="fr-CA"/>
        </w:rPr>
        <w:t xml:space="preserve"> des peuples </w:t>
      </w:r>
      <w:r w:rsidR="00C2534B" w:rsidRPr="007B324D">
        <w:rPr>
          <w:rFonts w:ascii="72 Light" w:hAnsi="72 Light" w:cs="72 Light"/>
          <w:bCs/>
          <w:sz w:val="24"/>
          <w:szCs w:val="24"/>
          <w:lang w:val="fr-CA"/>
        </w:rPr>
        <w:t>a</w:t>
      </w:r>
      <w:r w:rsidRPr="007B324D">
        <w:rPr>
          <w:rFonts w:ascii="72 Light" w:hAnsi="72 Light" w:cs="72 Light"/>
          <w:bCs/>
          <w:sz w:val="24"/>
          <w:szCs w:val="24"/>
          <w:lang w:val="fr-CA"/>
        </w:rPr>
        <w:t>utochtones.</w:t>
      </w:r>
      <w:bookmarkEnd w:id="24"/>
      <w:r w:rsidRPr="007B324D">
        <w:rPr>
          <w:rFonts w:ascii="72 Light" w:hAnsi="72 Light" w:cs="72 Light"/>
          <w:bCs/>
          <w:sz w:val="24"/>
          <w:szCs w:val="24"/>
          <w:lang w:val="fr-CA"/>
        </w:rPr>
        <w:t xml:space="preserve"> </w:t>
      </w:r>
    </w:p>
    <w:p w14:paraId="24063D60" w14:textId="1CCBFAFF" w:rsidR="00BF3013" w:rsidRPr="007B324D" w:rsidRDefault="00D4122B" w:rsidP="00FC456C">
      <w:pPr>
        <w:tabs>
          <w:tab w:val="left" w:pos="3544"/>
        </w:tabs>
        <w:spacing w:before="120" w:line="276" w:lineRule="auto"/>
        <w:ind w:left="284" w:firstLine="0"/>
        <w:jc w:val="both"/>
        <w:rPr>
          <w:rFonts w:ascii="72 Light" w:hAnsi="72 Light" w:cs="72 Light"/>
          <w:bCs/>
          <w:sz w:val="24"/>
          <w:szCs w:val="24"/>
          <w:lang w:val="fr-CA"/>
        </w:rPr>
      </w:pPr>
      <w:bookmarkStart w:id="25" w:name="lt_pId024"/>
      <w:r w:rsidRPr="007B324D">
        <w:rPr>
          <w:rFonts w:ascii="72 Light" w:hAnsi="72 Light" w:cs="72 Light"/>
          <w:bCs/>
          <w:sz w:val="24"/>
          <w:szCs w:val="24"/>
          <w:lang w:val="fr-CA"/>
        </w:rPr>
        <w:t>Les organisations ont demandé au Canada d</w:t>
      </w:r>
      <w:r w:rsidR="00935A6C" w:rsidRPr="007B324D">
        <w:rPr>
          <w:rFonts w:ascii="72 Light" w:hAnsi="72 Light" w:cs="72 Light"/>
          <w:bCs/>
          <w:sz w:val="24"/>
          <w:szCs w:val="24"/>
          <w:lang w:val="fr-CA"/>
        </w:rPr>
        <w:t>’</w:t>
      </w:r>
      <w:r w:rsidRPr="007B324D">
        <w:rPr>
          <w:rFonts w:ascii="72 Light" w:hAnsi="72 Light" w:cs="72 Light"/>
          <w:bCs/>
          <w:sz w:val="24"/>
          <w:szCs w:val="24"/>
          <w:lang w:val="fr-CA"/>
        </w:rPr>
        <w:t>établir un calendrier pour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 xml:space="preserve">adhésion à la </w:t>
      </w:r>
      <w:r w:rsidR="00BA66FE" w:rsidRPr="007B324D">
        <w:rPr>
          <w:rFonts w:ascii="72 Light" w:hAnsi="72 Light" w:cs="72 Light"/>
          <w:bCs/>
          <w:sz w:val="24"/>
          <w:szCs w:val="24"/>
          <w:lang w:val="fr-CA"/>
        </w:rPr>
        <w:t>CPDF</w:t>
      </w:r>
      <w:r w:rsidRPr="007B324D">
        <w:rPr>
          <w:rFonts w:ascii="72 Light" w:hAnsi="72 Light" w:cs="72 Light"/>
          <w:bCs/>
          <w:sz w:val="24"/>
          <w:szCs w:val="24"/>
          <w:lang w:val="fr-CA"/>
        </w:rPr>
        <w:t xml:space="preserve">, </w:t>
      </w:r>
      <w:r w:rsidR="00A504EF" w:rsidRPr="007B324D">
        <w:rPr>
          <w:rFonts w:ascii="72 Light" w:hAnsi="72 Light" w:cs="72 Light"/>
          <w:bCs/>
          <w:sz w:val="24"/>
          <w:szCs w:val="24"/>
          <w:lang w:val="fr-CA"/>
        </w:rPr>
        <w:t>en prévoyant</w:t>
      </w:r>
      <w:r w:rsidRPr="007B324D">
        <w:rPr>
          <w:rFonts w:ascii="72 Light" w:hAnsi="72 Light" w:cs="72 Light"/>
          <w:bCs/>
          <w:sz w:val="24"/>
          <w:szCs w:val="24"/>
          <w:lang w:val="fr-CA"/>
        </w:rPr>
        <w:t xml:space="preserve"> des consultations accélérées avec les </w:t>
      </w:r>
      <w:r w:rsidR="007065D8" w:rsidRPr="007B324D">
        <w:rPr>
          <w:rFonts w:ascii="72 Light" w:hAnsi="72 Light" w:cs="72 Light"/>
          <w:bCs/>
          <w:sz w:val="24"/>
          <w:szCs w:val="24"/>
          <w:lang w:val="fr-CA"/>
        </w:rPr>
        <w:t>gouvernements FPT</w:t>
      </w:r>
      <w:r w:rsidR="00B52CE7" w:rsidRPr="007B324D">
        <w:rPr>
          <w:rFonts w:ascii="72 Light" w:hAnsi="72 Light" w:cs="72 Light"/>
          <w:bCs/>
          <w:sz w:val="24"/>
          <w:szCs w:val="24"/>
          <w:lang w:val="fr-CA"/>
        </w:rPr>
        <w:t>,</w:t>
      </w:r>
      <w:r w:rsidRPr="007B324D">
        <w:rPr>
          <w:rFonts w:ascii="72 Light" w:hAnsi="72 Light" w:cs="72 Light"/>
          <w:bCs/>
          <w:sz w:val="24"/>
          <w:szCs w:val="24"/>
          <w:lang w:val="fr-CA"/>
        </w:rPr>
        <w:t xml:space="preserve"> les municipalités, les peuples autochtones et la société civile.</w:t>
      </w:r>
      <w:bookmarkEnd w:id="25"/>
    </w:p>
    <w:p w14:paraId="4E0DBDE4" w14:textId="07F2C0AA" w:rsidR="00DD18F6" w:rsidRPr="007B324D" w:rsidRDefault="00A3440B" w:rsidP="00F62155">
      <w:pPr>
        <w:pStyle w:val="ListParagraph"/>
        <w:numPr>
          <w:ilvl w:val="0"/>
          <w:numId w:val="1"/>
        </w:numPr>
        <w:tabs>
          <w:tab w:val="left" w:pos="3544"/>
        </w:tabs>
        <w:spacing w:before="120" w:line="276" w:lineRule="auto"/>
        <w:ind w:left="284" w:hanging="567"/>
        <w:contextualSpacing w:val="0"/>
        <w:jc w:val="both"/>
        <w:rPr>
          <w:rFonts w:ascii="72 Light" w:hAnsi="72 Light" w:cs="72 Light"/>
          <w:b/>
          <w:sz w:val="24"/>
          <w:szCs w:val="24"/>
          <w:lang w:val="fr-CA"/>
        </w:rPr>
      </w:pPr>
      <w:bookmarkStart w:id="26" w:name="lt_pId025"/>
      <w:r w:rsidRPr="007B324D">
        <w:rPr>
          <w:rFonts w:ascii="72 Light" w:hAnsi="72 Light" w:cs="72 Light"/>
          <w:b/>
          <w:sz w:val="24"/>
          <w:szCs w:val="24"/>
          <w:lang w:val="fr-CA"/>
        </w:rPr>
        <w:t>Droits des peuples autochtones</w:t>
      </w:r>
      <w:bookmarkEnd w:id="26"/>
      <w:r w:rsidRPr="007B324D">
        <w:rPr>
          <w:rFonts w:ascii="72 Light" w:hAnsi="72 Light" w:cs="72 Light"/>
          <w:b/>
          <w:sz w:val="24"/>
          <w:szCs w:val="24"/>
          <w:lang w:val="fr-CA"/>
        </w:rPr>
        <w:t xml:space="preserve"> </w:t>
      </w:r>
    </w:p>
    <w:p w14:paraId="56D52B9B" w14:textId="320984C5" w:rsidR="007065D8" w:rsidRPr="007B324D" w:rsidRDefault="006435EA" w:rsidP="00F62155">
      <w:pPr>
        <w:tabs>
          <w:tab w:val="left" w:pos="3544"/>
        </w:tabs>
        <w:spacing w:before="120" w:line="276" w:lineRule="auto"/>
        <w:ind w:left="284" w:firstLine="0"/>
        <w:jc w:val="both"/>
        <w:rPr>
          <w:rFonts w:ascii="72 Light" w:hAnsi="72 Light" w:cs="72 Light"/>
          <w:bCs/>
          <w:sz w:val="24"/>
          <w:szCs w:val="24"/>
          <w:lang w:val="fr-CA"/>
        </w:rPr>
      </w:pPr>
      <w:bookmarkStart w:id="27" w:name="lt_pId026"/>
      <w:r w:rsidRPr="007B324D">
        <w:rPr>
          <w:rFonts w:ascii="72 Light" w:hAnsi="72 Light" w:cs="72 Light"/>
          <w:bCs/>
          <w:sz w:val="24"/>
          <w:szCs w:val="24"/>
          <w:lang w:val="fr-CA"/>
        </w:rPr>
        <w:t xml:space="preserve">Les organisations ont recommandé que le rapport du Canada </w:t>
      </w:r>
      <w:r w:rsidR="009A1724" w:rsidRPr="007B324D">
        <w:rPr>
          <w:rFonts w:ascii="72 Light" w:hAnsi="72 Light" w:cs="72 Light"/>
          <w:bCs/>
          <w:sz w:val="24"/>
          <w:szCs w:val="24"/>
          <w:lang w:val="fr-CA"/>
        </w:rPr>
        <w:t xml:space="preserve">dépeigne plus en détail </w:t>
      </w:r>
      <w:r w:rsidRPr="007B324D">
        <w:rPr>
          <w:rFonts w:ascii="72 Light" w:hAnsi="72 Light" w:cs="72 Light"/>
          <w:bCs/>
          <w:sz w:val="24"/>
          <w:szCs w:val="24"/>
          <w:lang w:val="fr-CA"/>
        </w:rPr>
        <w:t>la réalité de l</w:t>
      </w:r>
      <w:r w:rsidR="00935A6C" w:rsidRPr="007B324D">
        <w:rPr>
          <w:rFonts w:ascii="72 Light" w:hAnsi="72 Light" w:cs="72 Light"/>
          <w:bCs/>
          <w:sz w:val="24"/>
          <w:szCs w:val="24"/>
          <w:lang w:val="fr-CA"/>
        </w:rPr>
        <w:t>’</w:t>
      </w:r>
      <w:r w:rsidR="009A1724" w:rsidRPr="007B324D">
        <w:rPr>
          <w:rFonts w:ascii="72 Light" w:hAnsi="72 Light" w:cs="72 Light"/>
          <w:bCs/>
          <w:sz w:val="24"/>
          <w:szCs w:val="24"/>
          <w:lang w:val="fr-CA"/>
        </w:rPr>
        <w:t>état</w:t>
      </w:r>
      <w:r w:rsidRPr="007B324D">
        <w:rPr>
          <w:rFonts w:ascii="72 Light" w:hAnsi="72 Light" w:cs="72 Light"/>
          <w:bCs/>
          <w:sz w:val="24"/>
          <w:szCs w:val="24"/>
          <w:lang w:val="fr-CA"/>
        </w:rPr>
        <w:t xml:space="preserve"> des </w:t>
      </w:r>
      <w:r w:rsidR="00E33B57" w:rsidRPr="007B324D">
        <w:rPr>
          <w:rFonts w:ascii="72 Light" w:hAnsi="72 Light" w:cs="72 Light"/>
          <w:bCs/>
          <w:sz w:val="24"/>
          <w:szCs w:val="24"/>
          <w:lang w:val="fr-CA"/>
        </w:rPr>
        <w:t>droits de la personne</w:t>
      </w:r>
      <w:r w:rsidRPr="007B324D">
        <w:rPr>
          <w:rFonts w:ascii="72 Light" w:hAnsi="72 Light" w:cs="72 Light"/>
          <w:bCs/>
          <w:sz w:val="24"/>
          <w:szCs w:val="24"/>
          <w:lang w:val="fr-CA"/>
        </w:rPr>
        <w:t xml:space="preserve"> en ce qui concerne la réconciliation avec les peuples autochtones, la justice pénale, la pandémie de COVID-19, la pauvreté,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 xml:space="preserve">éducation, </w:t>
      </w:r>
      <w:r w:rsidR="00532D8D" w:rsidRPr="007B324D">
        <w:rPr>
          <w:rFonts w:ascii="72 Light" w:hAnsi="72 Light" w:cs="72 Light"/>
          <w:bCs/>
          <w:sz w:val="24"/>
          <w:szCs w:val="24"/>
          <w:lang w:val="fr-CA"/>
        </w:rPr>
        <w:t>les actes motivés par la haine</w:t>
      </w:r>
      <w:r w:rsidR="00532D8D" w:rsidRPr="007B324D" w:rsidDel="00532D8D">
        <w:rPr>
          <w:rFonts w:ascii="72 Light" w:hAnsi="72 Light" w:cs="72 Light"/>
          <w:bCs/>
          <w:sz w:val="24"/>
          <w:szCs w:val="24"/>
          <w:lang w:val="fr-CA"/>
        </w:rPr>
        <w:t xml:space="preserve"> </w:t>
      </w:r>
      <w:r w:rsidRPr="007B324D">
        <w:rPr>
          <w:rFonts w:ascii="72 Light" w:hAnsi="72 Light" w:cs="72 Light"/>
          <w:bCs/>
          <w:sz w:val="24"/>
          <w:szCs w:val="24"/>
          <w:lang w:val="fr-CA"/>
        </w:rPr>
        <w:t>et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accessibilité pour les personnes handicapées.</w:t>
      </w:r>
      <w:bookmarkEnd w:id="27"/>
      <w:r w:rsidRPr="007B324D">
        <w:rPr>
          <w:rFonts w:ascii="72 Light" w:hAnsi="72 Light" w:cs="72 Light"/>
          <w:bCs/>
          <w:sz w:val="24"/>
          <w:szCs w:val="24"/>
          <w:lang w:val="fr-CA"/>
        </w:rPr>
        <w:t xml:space="preserve"> </w:t>
      </w:r>
      <w:bookmarkStart w:id="28" w:name="lt_pId027"/>
    </w:p>
    <w:p w14:paraId="684523E1" w14:textId="77777777" w:rsidR="009840ED" w:rsidRPr="007B324D" w:rsidRDefault="009840ED" w:rsidP="009840ED">
      <w:pPr>
        <w:tabs>
          <w:tab w:val="left" w:pos="3544"/>
        </w:tabs>
        <w:spacing w:before="120" w:line="276" w:lineRule="auto"/>
        <w:ind w:left="284" w:firstLine="0"/>
        <w:jc w:val="both"/>
        <w:rPr>
          <w:rFonts w:ascii="72 Light" w:hAnsi="72 Light" w:cs="72 Light"/>
          <w:bCs/>
          <w:sz w:val="24"/>
          <w:szCs w:val="24"/>
          <w:lang w:val="fr-CA"/>
        </w:rPr>
      </w:pPr>
      <w:r w:rsidRPr="007B324D">
        <w:rPr>
          <w:rFonts w:ascii="72 Light" w:hAnsi="72 Light" w:cs="72 Light"/>
          <w:bCs/>
          <w:sz w:val="24"/>
          <w:szCs w:val="24"/>
          <w:lang w:val="fr-CA"/>
        </w:rPr>
        <w:t>En outre, elles ont recommandé d’inclure des renseignements sur les initiatives que les gouvernements FPT ont prises pour résoudre les problèmes et concrétiser progressivement les droits, conformément aux obligations nationales et internationales en matière de droits de la personne.</w:t>
      </w:r>
    </w:p>
    <w:p w14:paraId="5E8FC8D5" w14:textId="77777777" w:rsidR="009840ED" w:rsidRPr="007B324D" w:rsidRDefault="009840ED" w:rsidP="009840ED">
      <w:pPr>
        <w:tabs>
          <w:tab w:val="left" w:pos="3544"/>
        </w:tabs>
        <w:spacing w:before="120" w:line="276" w:lineRule="auto"/>
        <w:ind w:left="284" w:firstLine="0"/>
        <w:jc w:val="both"/>
        <w:rPr>
          <w:rFonts w:ascii="72 Light" w:hAnsi="72 Light" w:cs="72 Light"/>
          <w:bCs/>
          <w:sz w:val="24"/>
          <w:szCs w:val="24"/>
          <w:lang w:val="fr-CA"/>
        </w:rPr>
      </w:pPr>
      <w:r w:rsidRPr="007B324D">
        <w:rPr>
          <w:rFonts w:ascii="72 Light" w:hAnsi="72 Light" w:cs="72 Light"/>
          <w:bCs/>
          <w:sz w:val="24"/>
          <w:szCs w:val="24"/>
          <w:lang w:val="fr-CA"/>
        </w:rPr>
        <w:t xml:space="preserve">Les organisations ont demandé aux gouvernements provinciaux et territoriaux de rendre obligatoire l’adoption des principes énoncés dans la </w:t>
      </w:r>
      <w:r w:rsidRPr="007B324D">
        <w:rPr>
          <w:rFonts w:ascii="72 Light" w:hAnsi="72 Light" w:cs="72 Light"/>
          <w:bCs/>
          <w:i/>
          <w:iCs/>
          <w:sz w:val="24"/>
          <w:szCs w:val="24"/>
          <w:lang w:val="fr-CA"/>
        </w:rPr>
        <w:t xml:space="preserve">Déclaration des Nations Unies sur les droits des peuples autochtones </w:t>
      </w:r>
      <w:r w:rsidRPr="007B324D">
        <w:rPr>
          <w:rFonts w:ascii="72 Light" w:hAnsi="72 Light" w:cs="72 Light"/>
          <w:bCs/>
          <w:sz w:val="24"/>
          <w:szCs w:val="24"/>
          <w:lang w:val="fr-CA"/>
        </w:rPr>
        <w:t>sur leur territoire respectif.</w:t>
      </w:r>
    </w:p>
    <w:p w14:paraId="7CBAD3D4" w14:textId="3FB0DE27" w:rsidR="00BF3013" w:rsidRPr="007B324D" w:rsidRDefault="00BF3013" w:rsidP="00F62155">
      <w:pPr>
        <w:tabs>
          <w:tab w:val="left" w:pos="3544"/>
        </w:tabs>
        <w:spacing w:before="120" w:line="276" w:lineRule="auto"/>
        <w:ind w:left="284" w:firstLine="0"/>
        <w:jc w:val="both"/>
        <w:rPr>
          <w:rFonts w:ascii="72 Light" w:hAnsi="72 Light" w:cs="72 Light"/>
          <w:bCs/>
          <w:sz w:val="24"/>
          <w:szCs w:val="24"/>
          <w:lang w:val="fr-CA"/>
        </w:rPr>
      </w:pPr>
      <w:r w:rsidRPr="007B324D">
        <w:rPr>
          <w:rFonts w:ascii="72 Light" w:hAnsi="72 Light" w:cs="72 Light"/>
          <w:bCs/>
          <w:sz w:val="24"/>
          <w:szCs w:val="24"/>
          <w:lang w:val="fr-CA"/>
        </w:rPr>
        <w:t xml:space="preserve">Les organisations </w:t>
      </w:r>
      <w:r w:rsidR="00162D69" w:rsidRPr="007B324D">
        <w:rPr>
          <w:rFonts w:ascii="72 Light" w:hAnsi="72 Light" w:cs="72 Light"/>
          <w:bCs/>
          <w:sz w:val="24"/>
          <w:szCs w:val="24"/>
          <w:lang w:val="fr-CA"/>
        </w:rPr>
        <w:t>ont</w:t>
      </w:r>
      <w:r w:rsidR="00DF556B" w:rsidRPr="007B324D">
        <w:rPr>
          <w:rFonts w:ascii="72 Light" w:hAnsi="72 Light" w:cs="72 Light"/>
          <w:bCs/>
          <w:sz w:val="24"/>
          <w:szCs w:val="24"/>
          <w:lang w:val="fr-CA"/>
        </w:rPr>
        <w:t xml:space="preserve"> célébré</w:t>
      </w:r>
      <w:r w:rsidRPr="007B324D">
        <w:rPr>
          <w:rFonts w:ascii="72 Light" w:hAnsi="72 Light" w:cs="72 Light"/>
          <w:bCs/>
          <w:sz w:val="24"/>
          <w:szCs w:val="24"/>
          <w:lang w:val="fr-CA"/>
        </w:rPr>
        <w:t xml:space="preserve"> l’entrée en vigueur de la </w:t>
      </w:r>
      <w:r w:rsidRPr="007B324D">
        <w:rPr>
          <w:rFonts w:ascii="72 Light" w:hAnsi="72 Light" w:cs="72 Light"/>
          <w:bCs/>
          <w:i/>
          <w:iCs/>
          <w:sz w:val="24"/>
          <w:szCs w:val="24"/>
          <w:lang w:val="fr-CA"/>
        </w:rPr>
        <w:t>Loi sur la déclaration des Nations Unies</w:t>
      </w:r>
      <w:r w:rsidR="00B52CE7" w:rsidRPr="007B324D">
        <w:rPr>
          <w:rFonts w:ascii="72 Light" w:hAnsi="72 Light" w:cs="72 Light"/>
          <w:bCs/>
          <w:i/>
          <w:iCs/>
          <w:sz w:val="24"/>
          <w:szCs w:val="24"/>
          <w:lang w:val="fr-CA"/>
        </w:rPr>
        <w:t xml:space="preserve"> sur les droits des peuples autochtones</w:t>
      </w:r>
      <w:r w:rsidRPr="007B324D">
        <w:rPr>
          <w:rFonts w:ascii="72 Light" w:hAnsi="72 Light" w:cs="72 Light"/>
          <w:bCs/>
          <w:sz w:val="24"/>
          <w:szCs w:val="24"/>
          <w:lang w:val="fr-CA"/>
        </w:rPr>
        <w:t>, mais ont fait remarquer que les délais imposés par les gouvernements n’étaient pas assez longs pour permettre une véritable consultation.</w:t>
      </w:r>
    </w:p>
    <w:bookmarkEnd w:id="28"/>
    <w:p w14:paraId="06D0D6B5" w14:textId="5BA58800" w:rsidR="00F14094" w:rsidRPr="007B324D" w:rsidRDefault="00F14094" w:rsidP="00F62155">
      <w:pPr>
        <w:tabs>
          <w:tab w:val="left" w:pos="3544"/>
        </w:tabs>
        <w:spacing w:before="120" w:line="276" w:lineRule="auto"/>
        <w:ind w:left="284" w:firstLine="0"/>
        <w:jc w:val="both"/>
        <w:rPr>
          <w:rFonts w:ascii="72 Light" w:hAnsi="72 Light" w:cs="72 Light"/>
          <w:bCs/>
          <w:sz w:val="24"/>
          <w:szCs w:val="24"/>
          <w:lang w:val="fr-CA"/>
        </w:rPr>
      </w:pPr>
      <w:r w:rsidRPr="007B324D">
        <w:rPr>
          <w:rFonts w:ascii="72 Light" w:hAnsi="72 Light" w:cs="72 Light"/>
          <w:bCs/>
          <w:sz w:val="24"/>
          <w:szCs w:val="24"/>
          <w:lang w:val="fr-CA"/>
        </w:rPr>
        <w:t>Les organisations ont demandé aux gouvernements de fournir des renseignements détaillés sur les mesures concrètes qu</w:t>
      </w:r>
      <w:r w:rsidR="00935A6C" w:rsidRPr="007B324D">
        <w:rPr>
          <w:rFonts w:ascii="72 Light" w:hAnsi="72 Light" w:cs="72 Light"/>
          <w:bCs/>
          <w:sz w:val="24"/>
          <w:szCs w:val="24"/>
          <w:lang w:val="fr-CA"/>
        </w:rPr>
        <w:t>’</w:t>
      </w:r>
      <w:r w:rsidRPr="007B324D">
        <w:rPr>
          <w:rFonts w:ascii="72 Light" w:hAnsi="72 Light" w:cs="72 Light"/>
          <w:bCs/>
          <w:sz w:val="24"/>
          <w:szCs w:val="24"/>
          <w:lang w:val="fr-CA"/>
        </w:rPr>
        <w:t>ils ont prises pour fournir des soins de santé</w:t>
      </w:r>
      <w:r w:rsidR="00271069" w:rsidRPr="007B324D">
        <w:rPr>
          <w:rFonts w:ascii="72 Light" w:hAnsi="72 Light" w:cs="72 Light"/>
          <w:bCs/>
          <w:sz w:val="24"/>
          <w:szCs w:val="24"/>
          <w:lang w:val="fr-CA"/>
        </w:rPr>
        <w:t xml:space="preserve">, </w:t>
      </w:r>
      <w:r w:rsidRPr="007B324D">
        <w:rPr>
          <w:rFonts w:ascii="72 Light" w:hAnsi="72 Light" w:cs="72 Light"/>
          <w:bCs/>
          <w:sz w:val="24"/>
          <w:szCs w:val="24"/>
          <w:lang w:val="fr-CA"/>
        </w:rPr>
        <w:t xml:space="preserve">des remèdes efficaces et des mesures concrètes </w:t>
      </w:r>
      <w:r w:rsidR="00271069" w:rsidRPr="007B324D">
        <w:rPr>
          <w:rFonts w:ascii="72 Light" w:hAnsi="72 Light" w:cs="72 Light"/>
          <w:bCs/>
          <w:sz w:val="24"/>
          <w:szCs w:val="24"/>
          <w:lang w:val="fr-CA"/>
        </w:rPr>
        <w:t>aux communautés autochtones touchées par l</w:t>
      </w:r>
      <w:r w:rsidR="00935A6C" w:rsidRPr="007B324D">
        <w:rPr>
          <w:rFonts w:ascii="72 Light" w:hAnsi="72 Light" w:cs="72 Light"/>
          <w:bCs/>
          <w:sz w:val="24"/>
          <w:szCs w:val="24"/>
          <w:lang w:val="fr-CA"/>
        </w:rPr>
        <w:t>’</w:t>
      </w:r>
      <w:r w:rsidR="00271069" w:rsidRPr="007B324D">
        <w:rPr>
          <w:rFonts w:ascii="72 Light" w:hAnsi="72 Light" w:cs="72 Light"/>
          <w:bCs/>
          <w:sz w:val="24"/>
          <w:szCs w:val="24"/>
          <w:lang w:val="fr-CA"/>
        </w:rPr>
        <w:t xml:space="preserve">empoisonnement au mercure </w:t>
      </w:r>
      <w:r w:rsidR="00B52CE7" w:rsidRPr="007B324D">
        <w:rPr>
          <w:rFonts w:ascii="72 Light" w:hAnsi="72 Light" w:cs="72 Light"/>
          <w:bCs/>
          <w:sz w:val="24"/>
          <w:szCs w:val="24"/>
          <w:lang w:val="fr-CA"/>
        </w:rPr>
        <w:t>afin de</w:t>
      </w:r>
      <w:r w:rsidRPr="007B324D">
        <w:rPr>
          <w:rFonts w:ascii="72 Light" w:hAnsi="72 Light" w:cs="72 Light"/>
          <w:bCs/>
          <w:sz w:val="24"/>
          <w:szCs w:val="24"/>
          <w:lang w:val="fr-CA"/>
        </w:rPr>
        <w:t xml:space="preserve"> sauvegarder les droits culturels de pratiquer la pêche en toute sécurité dans les rivières contaminées.</w:t>
      </w:r>
    </w:p>
    <w:p w14:paraId="5272530E" w14:textId="10B00760" w:rsidR="00D02C9A" w:rsidRPr="007B324D" w:rsidRDefault="00EB4EBC" w:rsidP="00F62155">
      <w:pPr>
        <w:tabs>
          <w:tab w:val="left" w:pos="3544"/>
        </w:tabs>
        <w:spacing w:before="120" w:line="276" w:lineRule="auto"/>
        <w:ind w:left="284" w:firstLine="0"/>
        <w:jc w:val="both"/>
        <w:rPr>
          <w:rFonts w:ascii="72 Light" w:hAnsi="72 Light" w:cs="72 Light"/>
          <w:bCs/>
          <w:sz w:val="24"/>
          <w:szCs w:val="24"/>
          <w:lang w:val="fr-CA"/>
        </w:rPr>
      </w:pPr>
      <w:r w:rsidRPr="007B324D">
        <w:rPr>
          <w:rFonts w:ascii="72 Light" w:hAnsi="72 Light" w:cs="72 Light"/>
          <w:bCs/>
          <w:sz w:val="24"/>
          <w:szCs w:val="24"/>
          <w:lang w:val="fr-CA"/>
        </w:rPr>
        <w:lastRenderedPageBreak/>
        <w:t>Les organisations ont aussi critiqué le manque d</w:t>
      </w:r>
      <w:r w:rsidR="00935A6C" w:rsidRPr="007B324D">
        <w:rPr>
          <w:rFonts w:ascii="72 Light" w:hAnsi="72 Light" w:cs="72 Light"/>
          <w:bCs/>
          <w:sz w:val="24"/>
          <w:szCs w:val="24"/>
          <w:lang w:val="fr-CA"/>
        </w:rPr>
        <w:t>’</w:t>
      </w:r>
      <w:r w:rsidRPr="007B324D">
        <w:rPr>
          <w:rFonts w:ascii="72 Light" w:hAnsi="72 Light" w:cs="72 Light"/>
          <w:bCs/>
          <w:sz w:val="24"/>
          <w:szCs w:val="24"/>
          <w:lang w:val="fr-CA"/>
        </w:rPr>
        <w:t>information</w:t>
      </w:r>
      <w:r w:rsidR="00B52CE7" w:rsidRPr="007B324D">
        <w:rPr>
          <w:rFonts w:ascii="72 Light" w:hAnsi="72 Light" w:cs="72 Light"/>
          <w:bCs/>
          <w:sz w:val="24"/>
          <w:szCs w:val="24"/>
          <w:lang w:val="fr-CA"/>
        </w:rPr>
        <w:t>, dans le rapport,</w:t>
      </w:r>
      <w:r w:rsidRPr="007B324D">
        <w:rPr>
          <w:rFonts w:ascii="72 Light" w:hAnsi="72 Light" w:cs="72 Light"/>
          <w:bCs/>
          <w:sz w:val="24"/>
          <w:szCs w:val="24"/>
          <w:lang w:val="fr-CA"/>
        </w:rPr>
        <w:t xml:space="preserve"> </w:t>
      </w:r>
      <w:r w:rsidR="00D471AF" w:rsidRPr="007B324D">
        <w:rPr>
          <w:rFonts w:ascii="72 Light" w:hAnsi="72 Light" w:cs="72 Light"/>
          <w:bCs/>
          <w:sz w:val="24"/>
          <w:szCs w:val="24"/>
          <w:lang w:val="fr-CA"/>
        </w:rPr>
        <w:t xml:space="preserve">sur </w:t>
      </w:r>
      <w:r w:rsidRPr="007B324D">
        <w:rPr>
          <w:rFonts w:ascii="72 Light" w:hAnsi="72 Light" w:cs="72 Light"/>
          <w:bCs/>
          <w:sz w:val="24"/>
          <w:szCs w:val="24"/>
          <w:lang w:val="fr-CA"/>
        </w:rPr>
        <w:t xml:space="preserve">la stérilisation forcée et sous la contrainte subie par les femmes </w:t>
      </w:r>
      <w:r w:rsidR="00C2534B" w:rsidRPr="007B324D">
        <w:rPr>
          <w:rFonts w:ascii="72 Light" w:hAnsi="72 Light" w:cs="72 Light"/>
          <w:bCs/>
          <w:sz w:val="24"/>
          <w:szCs w:val="24"/>
          <w:lang w:val="fr-CA"/>
        </w:rPr>
        <w:t>a</w:t>
      </w:r>
      <w:r w:rsidRPr="007B324D">
        <w:rPr>
          <w:rFonts w:ascii="72 Light" w:hAnsi="72 Light" w:cs="72 Light"/>
          <w:bCs/>
          <w:sz w:val="24"/>
          <w:szCs w:val="24"/>
          <w:lang w:val="fr-CA"/>
        </w:rPr>
        <w:t>utochtones</w:t>
      </w:r>
      <w:r w:rsidR="00B52CE7" w:rsidRPr="007B324D">
        <w:rPr>
          <w:rFonts w:ascii="72 Light" w:hAnsi="72 Light" w:cs="72 Light"/>
          <w:bCs/>
          <w:sz w:val="24"/>
          <w:szCs w:val="24"/>
          <w:lang w:val="fr-CA"/>
        </w:rPr>
        <w:t xml:space="preserve">, </w:t>
      </w:r>
      <w:r w:rsidRPr="007B324D">
        <w:rPr>
          <w:rFonts w:ascii="72 Light" w:hAnsi="72 Light" w:cs="72 Light"/>
          <w:bCs/>
          <w:sz w:val="24"/>
          <w:szCs w:val="24"/>
          <w:lang w:val="fr-CA"/>
        </w:rPr>
        <w:t>et ont demandé aux gouvernements FPT de mettre en œuvre les recommandations</w:t>
      </w:r>
      <w:r w:rsidR="00141DF8" w:rsidRPr="007B324D">
        <w:rPr>
          <w:rFonts w:ascii="72 Light" w:hAnsi="72 Light" w:cs="72 Light"/>
          <w:bCs/>
          <w:sz w:val="24"/>
          <w:szCs w:val="24"/>
          <w:lang w:val="fr-CA"/>
        </w:rPr>
        <w:t xml:space="preserve"> </w:t>
      </w:r>
      <w:r w:rsidR="00B52CE7" w:rsidRPr="007B324D">
        <w:rPr>
          <w:rFonts w:ascii="72 Light" w:hAnsi="72 Light" w:cs="72 Light"/>
          <w:bCs/>
          <w:sz w:val="24"/>
          <w:szCs w:val="24"/>
          <w:lang w:val="fr-CA"/>
        </w:rPr>
        <w:t xml:space="preserve">à ce sujet </w:t>
      </w:r>
      <w:r w:rsidR="00141DF8" w:rsidRPr="007B324D">
        <w:rPr>
          <w:rFonts w:ascii="72 Light" w:hAnsi="72 Light" w:cs="72 Light"/>
          <w:bCs/>
          <w:sz w:val="24"/>
          <w:szCs w:val="24"/>
          <w:lang w:val="fr-CA"/>
        </w:rPr>
        <w:t xml:space="preserve">de la </w:t>
      </w:r>
      <w:r w:rsidRPr="007B324D">
        <w:rPr>
          <w:rFonts w:ascii="72 Light" w:hAnsi="72 Light" w:cs="72 Light"/>
          <w:bCs/>
          <w:sz w:val="24"/>
          <w:szCs w:val="24"/>
          <w:lang w:val="fr-CA"/>
        </w:rPr>
        <w:t>Rapporteu</w:t>
      </w:r>
      <w:r w:rsidR="00141DF8" w:rsidRPr="007B324D">
        <w:rPr>
          <w:rFonts w:ascii="72 Light" w:hAnsi="72 Light" w:cs="72 Light"/>
          <w:bCs/>
          <w:sz w:val="24"/>
          <w:szCs w:val="24"/>
          <w:lang w:val="fr-CA"/>
        </w:rPr>
        <w:t>se</w:t>
      </w:r>
      <w:r w:rsidRPr="007B324D">
        <w:rPr>
          <w:rFonts w:ascii="72 Light" w:hAnsi="72 Light" w:cs="72 Light"/>
          <w:bCs/>
          <w:sz w:val="24"/>
          <w:szCs w:val="24"/>
          <w:lang w:val="fr-CA"/>
        </w:rPr>
        <w:t xml:space="preserve"> spécial</w:t>
      </w:r>
      <w:r w:rsidR="00141DF8" w:rsidRPr="007B324D">
        <w:rPr>
          <w:rFonts w:ascii="72 Light" w:hAnsi="72 Light" w:cs="72 Light"/>
          <w:bCs/>
          <w:sz w:val="24"/>
          <w:szCs w:val="24"/>
          <w:lang w:val="fr-CA"/>
        </w:rPr>
        <w:t>e</w:t>
      </w:r>
      <w:r w:rsidRPr="007B324D">
        <w:rPr>
          <w:rFonts w:ascii="72 Light" w:hAnsi="72 Light" w:cs="72 Light"/>
          <w:bCs/>
          <w:sz w:val="24"/>
          <w:szCs w:val="24"/>
          <w:lang w:val="fr-CA"/>
        </w:rPr>
        <w:t xml:space="preserve"> sur la violence faite aux femmes.</w:t>
      </w:r>
    </w:p>
    <w:p w14:paraId="0E83B73F" w14:textId="1711F3F0" w:rsidR="00BF3013" w:rsidRPr="007B324D" w:rsidRDefault="00BF3013" w:rsidP="00F62155">
      <w:pPr>
        <w:tabs>
          <w:tab w:val="left" w:pos="3544"/>
        </w:tabs>
        <w:spacing w:before="120" w:line="276" w:lineRule="auto"/>
        <w:ind w:left="284" w:firstLine="0"/>
        <w:jc w:val="both"/>
        <w:rPr>
          <w:rFonts w:ascii="72 Light" w:hAnsi="72 Light" w:cs="72 Light"/>
          <w:bCs/>
          <w:sz w:val="24"/>
          <w:szCs w:val="24"/>
          <w:lang w:val="fr-CA"/>
        </w:rPr>
      </w:pPr>
      <w:r w:rsidRPr="007B324D">
        <w:rPr>
          <w:rFonts w:ascii="72 Light" w:hAnsi="72 Light" w:cs="72 Light"/>
          <w:bCs/>
          <w:sz w:val="24"/>
          <w:szCs w:val="24"/>
          <w:lang w:val="fr-CA"/>
        </w:rPr>
        <w:t xml:space="preserve">Bien que les organisations aient accueilli favorablement les changements apportés à la </w:t>
      </w:r>
      <w:r w:rsidRPr="007B324D">
        <w:rPr>
          <w:rFonts w:ascii="72 Light" w:hAnsi="72 Light" w:cs="72 Light"/>
          <w:bCs/>
          <w:i/>
          <w:iCs/>
          <w:sz w:val="24"/>
          <w:szCs w:val="24"/>
          <w:lang w:val="fr-CA"/>
        </w:rPr>
        <w:t>Loi sur les Indiens</w:t>
      </w:r>
      <w:r w:rsidRPr="007B324D">
        <w:rPr>
          <w:rFonts w:ascii="72 Light" w:hAnsi="72 Light" w:cs="72 Light"/>
          <w:bCs/>
          <w:sz w:val="24"/>
          <w:szCs w:val="24"/>
          <w:lang w:val="fr-CA"/>
        </w:rPr>
        <w:t xml:space="preserve"> pour supprimer les inégalités fondées sur le sexe, il a été noté que le projet de loi</w:t>
      </w:r>
      <w:r w:rsidR="00042C3C" w:rsidRPr="007B324D">
        <w:rPr>
          <w:rFonts w:ascii="72 Light" w:hAnsi="72 Light" w:cs="72 Light"/>
          <w:bCs/>
          <w:sz w:val="24"/>
          <w:szCs w:val="24"/>
          <w:lang w:val="fr-CA"/>
        </w:rPr>
        <w:t> </w:t>
      </w:r>
      <w:r w:rsidRPr="007B324D">
        <w:rPr>
          <w:rFonts w:ascii="72 Light" w:hAnsi="72 Light" w:cs="72 Light"/>
          <w:bCs/>
          <w:sz w:val="24"/>
          <w:szCs w:val="24"/>
          <w:lang w:val="fr-CA"/>
        </w:rPr>
        <w:t>C-38</w:t>
      </w:r>
      <w:r w:rsidR="002D75C0" w:rsidRPr="007B324D">
        <w:rPr>
          <w:rFonts w:ascii="72 Light" w:hAnsi="72 Light" w:cs="72 Light"/>
          <w:bCs/>
          <w:sz w:val="24"/>
          <w:szCs w:val="24"/>
          <w:lang w:val="fr-CA"/>
        </w:rPr>
        <w:t xml:space="preserve"> </w:t>
      </w:r>
      <w:r w:rsidRPr="007B324D">
        <w:rPr>
          <w:rFonts w:ascii="72 Light" w:hAnsi="72 Light" w:cs="72 Light"/>
          <w:bCs/>
          <w:sz w:val="24"/>
          <w:szCs w:val="24"/>
          <w:lang w:val="fr-CA"/>
        </w:rPr>
        <w:t xml:space="preserve">n’allaient pas assez loin pour apporter un changement </w:t>
      </w:r>
      <w:r w:rsidR="00B52CE7" w:rsidRPr="007B324D">
        <w:rPr>
          <w:rFonts w:ascii="72 Light" w:hAnsi="72 Light" w:cs="72 Light"/>
          <w:bCs/>
          <w:sz w:val="24"/>
          <w:szCs w:val="24"/>
          <w:lang w:val="fr-CA"/>
        </w:rPr>
        <w:t>véritable</w:t>
      </w:r>
      <w:r w:rsidRPr="007B324D">
        <w:rPr>
          <w:rFonts w:ascii="72 Light" w:hAnsi="72 Light" w:cs="72 Light"/>
          <w:bCs/>
          <w:sz w:val="24"/>
          <w:szCs w:val="24"/>
          <w:lang w:val="fr-CA"/>
        </w:rPr>
        <w:t xml:space="preserve"> en ce qui concerne le droit à l’inscription</w:t>
      </w:r>
      <w:r w:rsidR="009840ED" w:rsidRPr="007B324D">
        <w:rPr>
          <w:rFonts w:ascii="72 Light" w:hAnsi="72 Light" w:cs="72 Light"/>
          <w:bCs/>
          <w:sz w:val="24"/>
          <w:szCs w:val="24"/>
          <w:lang w:val="fr-CA"/>
        </w:rPr>
        <w:t>, ce qui a été note pendant la période de consultation pour le projet de loi</w:t>
      </w:r>
      <w:r w:rsidRPr="007B324D">
        <w:rPr>
          <w:rFonts w:ascii="72 Light" w:hAnsi="72 Light" w:cs="72 Light"/>
          <w:bCs/>
          <w:sz w:val="24"/>
          <w:szCs w:val="24"/>
          <w:lang w:val="fr-CA"/>
        </w:rPr>
        <w:t>.</w:t>
      </w:r>
    </w:p>
    <w:p w14:paraId="6E19B6E3" w14:textId="41847CDC" w:rsidR="00BF3013" w:rsidRPr="007B324D" w:rsidRDefault="00BF3013" w:rsidP="00F62155">
      <w:pPr>
        <w:tabs>
          <w:tab w:val="left" w:pos="3544"/>
        </w:tabs>
        <w:spacing w:before="120" w:line="276" w:lineRule="auto"/>
        <w:ind w:left="284" w:firstLine="0"/>
        <w:jc w:val="both"/>
        <w:rPr>
          <w:rFonts w:ascii="72 Light" w:hAnsi="72 Light" w:cs="72 Light"/>
          <w:bCs/>
          <w:sz w:val="24"/>
          <w:szCs w:val="24"/>
          <w:lang w:val="fr-CA"/>
        </w:rPr>
      </w:pPr>
      <w:r w:rsidRPr="007B324D">
        <w:rPr>
          <w:rFonts w:ascii="72 Light" w:hAnsi="72 Light" w:cs="72 Light"/>
          <w:bCs/>
          <w:sz w:val="24"/>
          <w:szCs w:val="24"/>
          <w:lang w:val="fr-CA"/>
        </w:rPr>
        <w:t xml:space="preserve">Les organisations ont recommandé </w:t>
      </w:r>
      <w:r w:rsidR="00C87B88" w:rsidRPr="007B324D">
        <w:rPr>
          <w:rFonts w:ascii="72 Light" w:hAnsi="72 Light" w:cs="72 Light"/>
          <w:bCs/>
          <w:sz w:val="24"/>
          <w:szCs w:val="24"/>
          <w:lang w:val="fr-CA"/>
        </w:rPr>
        <w:t>que</w:t>
      </w:r>
      <w:r w:rsidR="002D29B9" w:rsidRPr="007B324D">
        <w:rPr>
          <w:rFonts w:ascii="72 Light" w:hAnsi="72 Light" w:cs="72 Light"/>
          <w:bCs/>
          <w:sz w:val="24"/>
          <w:szCs w:val="24"/>
          <w:lang w:val="fr-CA"/>
        </w:rPr>
        <w:t xml:space="preserve"> le</w:t>
      </w:r>
      <w:r w:rsidR="000A6E52" w:rsidRPr="007B324D">
        <w:rPr>
          <w:rFonts w:ascii="72 Light" w:hAnsi="72 Light" w:cs="72 Light"/>
          <w:bCs/>
          <w:sz w:val="24"/>
          <w:szCs w:val="24"/>
          <w:lang w:val="fr-CA"/>
        </w:rPr>
        <w:t xml:space="preserve"> rapport national du</w:t>
      </w:r>
      <w:r w:rsidR="002D29B9" w:rsidRPr="007B324D">
        <w:rPr>
          <w:rFonts w:ascii="72 Light" w:hAnsi="72 Light" w:cs="72 Light"/>
          <w:bCs/>
          <w:sz w:val="24"/>
          <w:szCs w:val="24"/>
          <w:lang w:val="fr-CA"/>
        </w:rPr>
        <w:t xml:space="preserve"> Canada </w:t>
      </w:r>
      <w:r w:rsidR="000A6E52" w:rsidRPr="007B324D">
        <w:rPr>
          <w:rFonts w:ascii="72 Light" w:hAnsi="72 Light" w:cs="72 Light"/>
          <w:bCs/>
          <w:sz w:val="24"/>
          <w:szCs w:val="24"/>
          <w:lang w:val="fr-CA"/>
        </w:rPr>
        <w:t>mentionne</w:t>
      </w:r>
      <w:r w:rsidR="00C87B88" w:rsidRPr="007B324D">
        <w:rPr>
          <w:rFonts w:ascii="72 Light" w:hAnsi="72 Light" w:cs="72 Light"/>
          <w:bCs/>
          <w:sz w:val="24"/>
          <w:szCs w:val="24"/>
          <w:lang w:val="fr-CA"/>
        </w:rPr>
        <w:t xml:space="preserve"> le </w:t>
      </w:r>
      <w:r w:rsidR="00B52CE7" w:rsidRPr="007B324D">
        <w:rPr>
          <w:rFonts w:ascii="72 Light" w:hAnsi="72 Light" w:cs="72 Light"/>
          <w:bCs/>
          <w:sz w:val="24"/>
          <w:szCs w:val="24"/>
          <w:lang w:val="fr-CA"/>
        </w:rPr>
        <w:t xml:space="preserve">fait que les </w:t>
      </w:r>
      <w:r w:rsidRPr="007B324D">
        <w:rPr>
          <w:rFonts w:ascii="72 Light" w:hAnsi="72 Light" w:cs="72 Light"/>
          <w:bCs/>
          <w:sz w:val="24"/>
          <w:szCs w:val="24"/>
          <w:lang w:val="fr-CA"/>
        </w:rPr>
        <w:t xml:space="preserve">gouvernements et </w:t>
      </w:r>
      <w:r w:rsidR="00B52CE7" w:rsidRPr="007B324D">
        <w:rPr>
          <w:rFonts w:ascii="72 Light" w:hAnsi="72 Light" w:cs="72 Light"/>
          <w:bCs/>
          <w:sz w:val="24"/>
          <w:szCs w:val="24"/>
          <w:lang w:val="fr-CA"/>
        </w:rPr>
        <w:t>l</w:t>
      </w:r>
      <w:r w:rsidRPr="007B324D">
        <w:rPr>
          <w:rFonts w:ascii="72 Light" w:hAnsi="72 Light" w:cs="72 Light"/>
          <w:bCs/>
          <w:sz w:val="24"/>
          <w:szCs w:val="24"/>
          <w:lang w:val="fr-CA"/>
        </w:rPr>
        <w:t xml:space="preserve">es organisations autochtones </w:t>
      </w:r>
      <w:r w:rsidR="00B52CE7" w:rsidRPr="007B324D">
        <w:rPr>
          <w:rFonts w:ascii="72 Light" w:hAnsi="72 Light" w:cs="72 Light"/>
          <w:bCs/>
          <w:sz w:val="24"/>
          <w:szCs w:val="24"/>
          <w:lang w:val="fr-CA"/>
        </w:rPr>
        <w:t>ont</w:t>
      </w:r>
      <w:r w:rsidRPr="007B324D">
        <w:rPr>
          <w:rFonts w:ascii="72 Light" w:hAnsi="72 Light" w:cs="72 Light"/>
          <w:bCs/>
          <w:sz w:val="24"/>
          <w:szCs w:val="24"/>
          <w:lang w:val="fr-CA"/>
        </w:rPr>
        <w:t xml:space="preserve"> le pouvoir de </w:t>
      </w:r>
      <w:r w:rsidR="00B52CE7" w:rsidRPr="007B324D">
        <w:rPr>
          <w:rFonts w:ascii="72 Light" w:hAnsi="72 Light" w:cs="72 Light"/>
          <w:bCs/>
          <w:sz w:val="24"/>
          <w:szCs w:val="24"/>
          <w:lang w:val="fr-CA"/>
        </w:rPr>
        <w:t>décider des</w:t>
      </w:r>
      <w:r w:rsidRPr="007B324D">
        <w:rPr>
          <w:rFonts w:ascii="72 Light" w:hAnsi="72 Light" w:cs="72 Light"/>
          <w:bCs/>
          <w:sz w:val="24"/>
          <w:szCs w:val="24"/>
          <w:lang w:val="fr-CA"/>
        </w:rPr>
        <w:t xml:space="preserve"> services qu’ils fourniront aux Autochtones purgeant des peines, conformément à l’article 81</w:t>
      </w:r>
      <w:r w:rsidRPr="007B324D">
        <w:rPr>
          <w:rFonts w:ascii="72 Light" w:hAnsi="72 Light" w:cs="72 Light"/>
          <w:sz w:val="24"/>
          <w:szCs w:val="24"/>
          <w:lang w:val="fr-CA"/>
        </w:rPr>
        <w:t xml:space="preserve"> </w:t>
      </w:r>
      <w:r w:rsidRPr="007B324D">
        <w:rPr>
          <w:rFonts w:ascii="72 Light" w:hAnsi="72 Light" w:cs="72 Light"/>
          <w:bCs/>
          <w:sz w:val="24"/>
          <w:szCs w:val="24"/>
          <w:lang w:val="fr-CA"/>
        </w:rPr>
        <w:t xml:space="preserve">du plan d’action de la </w:t>
      </w:r>
      <w:r w:rsidRPr="007B324D">
        <w:rPr>
          <w:rFonts w:ascii="72 Light" w:hAnsi="72 Light" w:cs="72 Light"/>
          <w:bCs/>
          <w:i/>
          <w:iCs/>
          <w:sz w:val="24"/>
          <w:szCs w:val="24"/>
          <w:lang w:val="fr-CA"/>
        </w:rPr>
        <w:t>Loi sur la Déclaration des Nations Unies sur les droits des peuples autochtones</w:t>
      </w:r>
      <w:r w:rsidRPr="007B324D">
        <w:rPr>
          <w:rFonts w:ascii="72 Light" w:hAnsi="72 Light" w:cs="72 Light"/>
          <w:bCs/>
          <w:sz w:val="24"/>
          <w:szCs w:val="24"/>
          <w:lang w:val="fr-CA"/>
        </w:rPr>
        <w:t xml:space="preserve"> du gouvernement fédéral.</w:t>
      </w:r>
    </w:p>
    <w:p w14:paraId="470CA15F" w14:textId="06FED670" w:rsidR="00F25625" w:rsidRPr="007B324D" w:rsidRDefault="00D4122B" w:rsidP="00F62155">
      <w:pPr>
        <w:pStyle w:val="ListParagraph"/>
        <w:numPr>
          <w:ilvl w:val="0"/>
          <w:numId w:val="1"/>
        </w:numPr>
        <w:tabs>
          <w:tab w:val="left" w:pos="3544"/>
        </w:tabs>
        <w:spacing w:before="120" w:line="276" w:lineRule="auto"/>
        <w:ind w:left="284" w:hanging="567"/>
        <w:contextualSpacing w:val="0"/>
        <w:jc w:val="both"/>
        <w:rPr>
          <w:rFonts w:ascii="72 Light" w:hAnsi="72 Light" w:cs="72 Light"/>
          <w:b/>
          <w:sz w:val="24"/>
          <w:szCs w:val="24"/>
          <w:lang w:val="fr-CA"/>
        </w:rPr>
      </w:pPr>
      <w:bookmarkStart w:id="29" w:name="lt_pId028"/>
      <w:r w:rsidRPr="007B324D">
        <w:rPr>
          <w:rFonts w:ascii="72 Light" w:hAnsi="72 Light" w:cs="72 Light"/>
          <w:b/>
          <w:sz w:val="24"/>
          <w:szCs w:val="24"/>
          <w:lang w:val="fr-CA"/>
        </w:rPr>
        <w:t>Emploi et éducation</w:t>
      </w:r>
      <w:bookmarkEnd w:id="29"/>
      <w:r w:rsidRPr="007B324D">
        <w:rPr>
          <w:rFonts w:ascii="72 Light" w:hAnsi="72 Light" w:cs="72 Light"/>
          <w:b/>
          <w:sz w:val="24"/>
          <w:szCs w:val="24"/>
          <w:lang w:val="fr-CA"/>
        </w:rPr>
        <w:t xml:space="preserve"> </w:t>
      </w:r>
    </w:p>
    <w:p w14:paraId="5808614D" w14:textId="1A772BE0" w:rsidR="00EB5E0B" w:rsidRPr="007B324D" w:rsidRDefault="004518D8" w:rsidP="00F62155">
      <w:pPr>
        <w:tabs>
          <w:tab w:val="left" w:pos="3544"/>
        </w:tabs>
        <w:spacing w:before="120" w:line="276" w:lineRule="auto"/>
        <w:ind w:left="284" w:firstLine="0"/>
        <w:jc w:val="both"/>
        <w:rPr>
          <w:rFonts w:ascii="72 Light" w:hAnsi="72 Light" w:cs="72 Light"/>
          <w:bCs/>
          <w:sz w:val="24"/>
          <w:szCs w:val="24"/>
          <w:lang w:val="fr-CA"/>
        </w:rPr>
      </w:pPr>
      <w:bookmarkStart w:id="30" w:name="lt_pId029"/>
      <w:r w:rsidRPr="007B324D">
        <w:rPr>
          <w:rFonts w:ascii="72 Light" w:hAnsi="72 Light" w:cs="72 Light"/>
          <w:bCs/>
          <w:sz w:val="24"/>
          <w:szCs w:val="24"/>
          <w:lang w:val="fr-CA"/>
        </w:rPr>
        <w:t>Les organisations ont souligné l</w:t>
      </w:r>
      <w:r w:rsidR="00935A6C" w:rsidRPr="007B324D">
        <w:rPr>
          <w:rFonts w:ascii="72 Light" w:hAnsi="72 Light" w:cs="72 Light"/>
          <w:bCs/>
          <w:sz w:val="24"/>
          <w:szCs w:val="24"/>
          <w:lang w:val="fr-CA"/>
        </w:rPr>
        <w:t>’</w:t>
      </w:r>
      <w:r w:rsidR="008A46D0" w:rsidRPr="007B324D">
        <w:rPr>
          <w:rFonts w:ascii="72 Light" w:hAnsi="72 Light" w:cs="72 Light"/>
          <w:bCs/>
          <w:sz w:val="24"/>
          <w:szCs w:val="24"/>
          <w:lang w:val="fr-CA"/>
        </w:rPr>
        <w:t>insuffisance</w:t>
      </w:r>
      <w:r w:rsidRPr="007B324D">
        <w:rPr>
          <w:rFonts w:ascii="72 Light" w:hAnsi="72 Light" w:cs="72 Light"/>
          <w:bCs/>
          <w:sz w:val="24"/>
          <w:szCs w:val="24"/>
          <w:lang w:val="fr-CA"/>
        </w:rPr>
        <w:t xml:space="preserve"> des dispositions actuelles </w:t>
      </w:r>
      <w:r w:rsidR="00B52CE7" w:rsidRPr="007B324D">
        <w:rPr>
          <w:rFonts w:ascii="72 Light" w:hAnsi="72 Light" w:cs="72 Light"/>
          <w:bCs/>
          <w:sz w:val="24"/>
          <w:szCs w:val="24"/>
          <w:lang w:val="fr-CA"/>
        </w:rPr>
        <w:t>sur le</w:t>
      </w:r>
      <w:r w:rsidRPr="007B324D">
        <w:rPr>
          <w:rFonts w:ascii="72 Light" w:hAnsi="72 Light" w:cs="72 Light"/>
          <w:bCs/>
          <w:sz w:val="24"/>
          <w:szCs w:val="24"/>
          <w:lang w:val="fr-CA"/>
        </w:rPr>
        <w:t xml:space="preserve"> salaire minimum au Canada.</w:t>
      </w:r>
      <w:bookmarkStart w:id="31" w:name="lt_pId030"/>
      <w:bookmarkEnd w:id="30"/>
      <w:r w:rsidR="008A46D0" w:rsidRPr="007B324D">
        <w:rPr>
          <w:rFonts w:ascii="72 Light" w:hAnsi="72 Light" w:cs="72 Light"/>
          <w:bCs/>
          <w:sz w:val="24"/>
          <w:szCs w:val="24"/>
          <w:lang w:val="fr-CA"/>
        </w:rPr>
        <w:t xml:space="preserve"> Elles</w:t>
      </w:r>
      <w:r w:rsidRPr="007B324D">
        <w:rPr>
          <w:rFonts w:ascii="72 Light" w:hAnsi="72 Light" w:cs="72 Light"/>
          <w:bCs/>
          <w:sz w:val="24"/>
          <w:szCs w:val="24"/>
          <w:lang w:val="fr-CA"/>
        </w:rPr>
        <w:t xml:space="preserve"> ont également noté que la suppression d</w:t>
      </w:r>
      <w:r w:rsidR="00935A6C" w:rsidRPr="007B324D">
        <w:rPr>
          <w:rFonts w:ascii="72 Light" w:hAnsi="72 Light" w:cs="72 Light"/>
          <w:bCs/>
          <w:sz w:val="24"/>
          <w:szCs w:val="24"/>
          <w:lang w:val="fr-CA"/>
        </w:rPr>
        <w:t>’</w:t>
      </w:r>
      <w:r w:rsidRPr="007B324D">
        <w:rPr>
          <w:rFonts w:ascii="72 Light" w:hAnsi="72 Light" w:cs="72 Light"/>
          <w:bCs/>
          <w:sz w:val="24"/>
          <w:szCs w:val="24"/>
          <w:lang w:val="fr-CA"/>
        </w:rPr>
        <w:t xml:space="preserve">un certain nombre </w:t>
      </w:r>
      <w:r w:rsidR="008A46D0" w:rsidRPr="007B324D">
        <w:rPr>
          <w:rFonts w:ascii="72 Light" w:hAnsi="72 Light" w:cs="72 Light"/>
          <w:bCs/>
          <w:sz w:val="24"/>
          <w:szCs w:val="24"/>
          <w:lang w:val="fr-CA"/>
        </w:rPr>
        <w:t>de mesures de soutien social</w:t>
      </w:r>
      <w:r w:rsidRPr="007B324D">
        <w:rPr>
          <w:rFonts w:ascii="72 Light" w:hAnsi="72 Light" w:cs="72 Light"/>
          <w:bCs/>
          <w:sz w:val="24"/>
          <w:szCs w:val="24"/>
          <w:lang w:val="fr-CA"/>
        </w:rPr>
        <w:t xml:space="preserve"> par les</w:t>
      </w:r>
      <w:r w:rsidR="00C87B88" w:rsidRPr="007B324D">
        <w:rPr>
          <w:rFonts w:ascii="72 Light" w:hAnsi="72 Light" w:cs="72 Light"/>
          <w:bCs/>
          <w:sz w:val="24"/>
          <w:szCs w:val="24"/>
          <w:lang w:val="fr-CA"/>
        </w:rPr>
        <w:t xml:space="preserve"> </w:t>
      </w:r>
      <w:r w:rsidR="00542EA7" w:rsidRPr="007B324D">
        <w:rPr>
          <w:rFonts w:ascii="72 Light" w:hAnsi="72 Light" w:cs="72 Light"/>
          <w:bCs/>
          <w:sz w:val="24"/>
          <w:szCs w:val="24"/>
          <w:lang w:val="fr-CA"/>
        </w:rPr>
        <w:t>gouvernements</w:t>
      </w:r>
      <w:r w:rsidR="00C87B88" w:rsidRPr="007B324D">
        <w:rPr>
          <w:rFonts w:ascii="72 Light" w:hAnsi="72 Light" w:cs="72 Light"/>
          <w:bCs/>
          <w:sz w:val="24"/>
          <w:szCs w:val="24"/>
          <w:lang w:val="fr-CA"/>
        </w:rPr>
        <w:t xml:space="preserve"> provinciaux et territoriaux</w:t>
      </w:r>
      <w:r w:rsidRPr="007B324D">
        <w:rPr>
          <w:rFonts w:ascii="72 Light" w:hAnsi="72 Light" w:cs="72 Light"/>
          <w:bCs/>
          <w:sz w:val="24"/>
          <w:szCs w:val="24"/>
          <w:lang w:val="fr-CA"/>
        </w:rPr>
        <w:t xml:space="preserve"> </w:t>
      </w:r>
      <w:r w:rsidR="00C87B88" w:rsidRPr="007B324D">
        <w:rPr>
          <w:rFonts w:ascii="72 Light" w:hAnsi="72 Light" w:cs="72 Light"/>
          <w:bCs/>
          <w:sz w:val="24"/>
          <w:szCs w:val="24"/>
          <w:lang w:val="fr-CA"/>
        </w:rPr>
        <w:t>(</w:t>
      </w:r>
      <w:r w:rsidR="0060310E" w:rsidRPr="007B324D">
        <w:rPr>
          <w:rFonts w:ascii="72 Light" w:hAnsi="72 Light" w:cs="72 Light"/>
          <w:bCs/>
          <w:sz w:val="24"/>
          <w:szCs w:val="24"/>
          <w:lang w:val="fr-CA"/>
        </w:rPr>
        <w:t>PT</w:t>
      </w:r>
      <w:r w:rsidR="00C87B88" w:rsidRPr="007B324D">
        <w:rPr>
          <w:rFonts w:ascii="72 Light" w:hAnsi="72 Light" w:cs="72 Light"/>
          <w:bCs/>
          <w:sz w:val="24"/>
          <w:szCs w:val="24"/>
          <w:lang w:val="fr-CA"/>
        </w:rPr>
        <w:t>)</w:t>
      </w:r>
      <w:r w:rsidR="007065D8" w:rsidRPr="007B324D">
        <w:rPr>
          <w:rFonts w:ascii="72 Light" w:hAnsi="72 Light" w:cs="72 Light"/>
          <w:bCs/>
          <w:sz w:val="24"/>
          <w:szCs w:val="24"/>
          <w:lang w:val="fr-CA"/>
        </w:rPr>
        <w:t xml:space="preserve"> avait</w:t>
      </w:r>
      <w:r w:rsidRPr="007B324D">
        <w:rPr>
          <w:rFonts w:ascii="72 Light" w:hAnsi="72 Light" w:cs="72 Light"/>
          <w:bCs/>
          <w:sz w:val="24"/>
          <w:szCs w:val="24"/>
          <w:lang w:val="fr-CA"/>
        </w:rPr>
        <w:t xml:space="preserve"> eu </w:t>
      </w:r>
      <w:r w:rsidR="008A46D0" w:rsidRPr="007B324D">
        <w:rPr>
          <w:rFonts w:ascii="72 Light" w:hAnsi="72 Light" w:cs="72 Light"/>
          <w:bCs/>
          <w:sz w:val="24"/>
          <w:szCs w:val="24"/>
          <w:lang w:val="fr-CA"/>
        </w:rPr>
        <w:t>d</w:t>
      </w:r>
      <w:r w:rsidR="00935A6C" w:rsidRPr="007B324D">
        <w:rPr>
          <w:rFonts w:ascii="72 Light" w:hAnsi="72 Light" w:cs="72 Light"/>
          <w:bCs/>
          <w:sz w:val="24"/>
          <w:szCs w:val="24"/>
          <w:lang w:val="fr-CA"/>
        </w:rPr>
        <w:t>’</w:t>
      </w:r>
      <w:r w:rsidR="008A46D0" w:rsidRPr="007B324D">
        <w:rPr>
          <w:rFonts w:ascii="72 Light" w:hAnsi="72 Light" w:cs="72 Light"/>
          <w:bCs/>
          <w:sz w:val="24"/>
          <w:szCs w:val="24"/>
          <w:lang w:val="fr-CA"/>
        </w:rPr>
        <w:t>importantes répercussions</w:t>
      </w:r>
      <w:r w:rsidRPr="007B324D">
        <w:rPr>
          <w:rFonts w:ascii="72 Light" w:hAnsi="72 Light" w:cs="72 Light"/>
          <w:bCs/>
          <w:sz w:val="24"/>
          <w:szCs w:val="24"/>
          <w:lang w:val="fr-CA"/>
        </w:rPr>
        <w:t xml:space="preserve"> sur le droit à la protection sociale.</w:t>
      </w:r>
      <w:bookmarkEnd w:id="31"/>
      <w:r w:rsidRPr="007B324D">
        <w:rPr>
          <w:rFonts w:ascii="72 Light" w:hAnsi="72 Light" w:cs="72 Light"/>
          <w:bCs/>
          <w:sz w:val="24"/>
          <w:szCs w:val="24"/>
          <w:lang w:val="fr-CA"/>
        </w:rPr>
        <w:t xml:space="preserve"> </w:t>
      </w:r>
      <w:bookmarkStart w:id="32" w:name="lt_pId031"/>
      <w:r w:rsidR="00B52CE7" w:rsidRPr="007B324D">
        <w:rPr>
          <w:rFonts w:ascii="72 Light" w:hAnsi="72 Light" w:cs="72 Light"/>
          <w:bCs/>
          <w:sz w:val="24"/>
          <w:szCs w:val="24"/>
          <w:lang w:val="fr-CA"/>
        </w:rPr>
        <w:t>Elles</w:t>
      </w:r>
      <w:r w:rsidRPr="007B324D">
        <w:rPr>
          <w:rFonts w:ascii="72 Light" w:hAnsi="72 Light" w:cs="72 Light"/>
          <w:bCs/>
          <w:sz w:val="24"/>
          <w:szCs w:val="24"/>
          <w:lang w:val="fr-CA"/>
        </w:rPr>
        <w:t xml:space="preserve"> affirment qu</w:t>
      </w:r>
      <w:r w:rsidR="00935A6C" w:rsidRPr="007B324D">
        <w:rPr>
          <w:rFonts w:ascii="72 Light" w:hAnsi="72 Light" w:cs="72 Light"/>
          <w:bCs/>
          <w:sz w:val="24"/>
          <w:szCs w:val="24"/>
          <w:lang w:val="fr-CA"/>
        </w:rPr>
        <w:t>’</w:t>
      </w:r>
      <w:r w:rsidRPr="007B324D">
        <w:rPr>
          <w:rFonts w:ascii="72 Light" w:hAnsi="72 Light" w:cs="72 Light"/>
          <w:bCs/>
          <w:sz w:val="24"/>
          <w:szCs w:val="24"/>
          <w:lang w:val="fr-CA"/>
        </w:rPr>
        <w:t>il s</w:t>
      </w:r>
      <w:r w:rsidR="00935A6C" w:rsidRPr="007B324D">
        <w:rPr>
          <w:rFonts w:ascii="72 Light" w:hAnsi="72 Light" w:cs="72 Light"/>
          <w:bCs/>
          <w:sz w:val="24"/>
          <w:szCs w:val="24"/>
          <w:lang w:val="fr-CA"/>
        </w:rPr>
        <w:t>’</w:t>
      </w:r>
      <w:r w:rsidRPr="007B324D">
        <w:rPr>
          <w:rFonts w:ascii="72 Light" w:hAnsi="72 Light" w:cs="72 Light"/>
          <w:bCs/>
          <w:sz w:val="24"/>
          <w:szCs w:val="24"/>
          <w:lang w:val="fr-CA"/>
        </w:rPr>
        <w:t>agit d</w:t>
      </w:r>
      <w:r w:rsidR="00935A6C" w:rsidRPr="007B324D">
        <w:rPr>
          <w:rFonts w:ascii="72 Light" w:hAnsi="72 Light" w:cs="72 Light"/>
          <w:bCs/>
          <w:sz w:val="24"/>
          <w:szCs w:val="24"/>
          <w:lang w:val="fr-CA"/>
        </w:rPr>
        <w:t>’</w:t>
      </w:r>
      <w:r w:rsidRPr="007B324D">
        <w:rPr>
          <w:rFonts w:ascii="72 Light" w:hAnsi="72 Light" w:cs="72 Light"/>
          <w:bCs/>
          <w:sz w:val="24"/>
          <w:szCs w:val="24"/>
          <w:lang w:val="fr-CA"/>
        </w:rPr>
        <w:t>une violation du principe de non-régression.</w:t>
      </w:r>
      <w:bookmarkEnd w:id="32"/>
    </w:p>
    <w:p w14:paraId="0F91A268" w14:textId="7C87915F" w:rsidR="00EB5E0B" w:rsidRPr="007B324D" w:rsidRDefault="00B52CE7" w:rsidP="00F62155">
      <w:pPr>
        <w:tabs>
          <w:tab w:val="left" w:pos="3544"/>
        </w:tabs>
        <w:spacing w:before="120" w:line="276" w:lineRule="auto"/>
        <w:ind w:left="284" w:firstLine="0"/>
        <w:jc w:val="both"/>
        <w:rPr>
          <w:rFonts w:ascii="72 Light" w:hAnsi="72 Light" w:cs="72 Light"/>
          <w:bCs/>
          <w:sz w:val="24"/>
          <w:szCs w:val="24"/>
          <w:lang w:val="fr-CA"/>
        </w:rPr>
      </w:pPr>
      <w:bookmarkStart w:id="33" w:name="lt_pId032"/>
      <w:r w:rsidRPr="007B324D">
        <w:rPr>
          <w:rFonts w:ascii="72 Light" w:hAnsi="72 Light" w:cs="72 Light"/>
          <w:bCs/>
          <w:sz w:val="24"/>
          <w:szCs w:val="24"/>
          <w:lang w:val="fr-CA"/>
        </w:rPr>
        <w:t>D’après l</w:t>
      </w:r>
      <w:r w:rsidR="00D4122B" w:rsidRPr="007B324D">
        <w:rPr>
          <w:rFonts w:ascii="72 Light" w:hAnsi="72 Light" w:cs="72 Light"/>
          <w:bCs/>
          <w:sz w:val="24"/>
          <w:szCs w:val="24"/>
          <w:lang w:val="fr-CA"/>
        </w:rPr>
        <w:t>es organisations</w:t>
      </w:r>
      <w:r w:rsidRPr="007B324D">
        <w:rPr>
          <w:rFonts w:ascii="72 Light" w:hAnsi="72 Light" w:cs="72 Light"/>
          <w:bCs/>
          <w:sz w:val="24"/>
          <w:szCs w:val="24"/>
          <w:lang w:val="fr-CA"/>
        </w:rPr>
        <w:t xml:space="preserve">, </w:t>
      </w:r>
      <w:r w:rsidR="00D4122B" w:rsidRPr="007B324D">
        <w:rPr>
          <w:rFonts w:ascii="72 Light" w:hAnsi="72 Light" w:cs="72 Light"/>
          <w:bCs/>
          <w:sz w:val="24"/>
          <w:szCs w:val="24"/>
          <w:lang w:val="fr-CA"/>
        </w:rPr>
        <w:t xml:space="preserve">le rapport omettait de mentionner </w:t>
      </w:r>
      <w:r w:rsidR="008A46D0" w:rsidRPr="007B324D">
        <w:rPr>
          <w:rFonts w:ascii="72 Light" w:hAnsi="72 Light" w:cs="72 Light"/>
          <w:bCs/>
          <w:sz w:val="24"/>
          <w:szCs w:val="24"/>
          <w:lang w:val="fr-CA"/>
        </w:rPr>
        <w:t>que le gouvernement fédéral</w:t>
      </w:r>
      <w:r w:rsidR="00D4122B" w:rsidRPr="007B324D">
        <w:rPr>
          <w:rFonts w:ascii="72 Light" w:hAnsi="72 Light" w:cs="72 Light"/>
          <w:bCs/>
          <w:sz w:val="24"/>
          <w:szCs w:val="24"/>
          <w:lang w:val="fr-CA"/>
        </w:rPr>
        <w:t xml:space="preserve"> </w:t>
      </w:r>
      <w:r w:rsidR="008A46D0" w:rsidRPr="007B324D">
        <w:rPr>
          <w:rFonts w:ascii="72 Light" w:hAnsi="72 Light" w:cs="72 Light"/>
          <w:bCs/>
          <w:sz w:val="24"/>
          <w:szCs w:val="24"/>
          <w:lang w:val="fr-CA"/>
        </w:rPr>
        <w:t>s</w:t>
      </w:r>
      <w:r w:rsidR="00935A6C" w:rsidRPr="007B324D">
        <w:rPr>
          <w:rFonts w:ascii="72 Light" w:hAnsi="72 Light" w:cs="72 Light"/>
          <w:bCs/>
          <w:sz w:val="24"/>
          <w:szCs w:val="24"/>
          <w:lang w:val="fr-CA"/>
        </w:rPr>
        <w:t>’</w:t>
      </w:r>
      <w:r w:rsidR="008A46D0" w:rsidRPr="007B324D">
        <w:rPr>
          <w:rFonts w:ascii="72 Light" w:hAnsi="72 Light" w:cs="72 Light"/>
          <w:bCs/>
          <w:sz w:val="24"/>
          <w:szCs w:val="24"/>
          <w:lang w:val="fr-CA"/>
        </w:rPr>
        <w:t xml:space="preserve">affairait actuellement à </w:t>
      </w:r>
      <w:r w:rsidR="008B6A71" w:rsidRPr="007B324D">
        <w:rPr>
          <w:rFonts w:ascii="72 Light" w:hAnsi="72 Light" w:cs="72 Light"/>
          <w:bCs/>
          <w:sz w:val="24"/>
          <w:szCs w:val="24"/>
          <w:lang w:val="fr-CA"/>
        </w:rPr>
        <w:t>examin</w:t>
      </w:r>
      <w:r w:rsidR="008A46D0" w:rsidRPr="007B324D">
        <w:rPr>
          <w:rFonts w:ascii="72 Light" w:hAnsi="72 Light" w:cs="72 Light"/>
          <w:bCs/>
          <w:sz w:val="24"/>
          <w:szCs w:val="24"/>
          <w:lang w:val="fr-CA"/>
        </w:rPr>
        <w:t xml:space="preserve">er le </w:t>
      </w:r>
      <w:r w:rsidR="00D4122B" w:rsidRPr="007B324D">
        <w:rPr>
          <w:rFonts w:ascii="72 Light" w:hAnsi="72 Light" w:cs="72 Light"/>
          <w:bCs/>
          <w:i/>
          <w:sz w:val="24"/>
          <w:szCs w:val="24"/>
          <w:lang w:val="fr-CA"/>
        </w:rPr>
        <w:t>Code canadien du travail</w:t>
      </w:r>
      <w:r w:rsidR="00D4122B" w:rsidRPr="007B324D">
        <w:rPr>
          <w:rFonts w:ascii="72 Light" w:hAnsi="72 Light" w:cs="72 Light"/>
          <w:bCs/>
          <w:sz w:val="24"/>
          <w:szCs w:val="24"/>
          <w:lang w:val="fr-CA"/>
        </w:rPr>
        <w:t>, qui définit les droits et les responsabilités des travailleurs et des employeurs dans les lieux de travail réglementés par le gouvernement fédéral conformément aux lois fédérales sur le travail, dans le cadre d</w:t>
      </w:r>
      <w:r w:rsidR="00935A6C" w:rsidRPr="007B324D">
        <w:rPr>
          <w:rFonts w:ascii="72 Light" w:hAnsi="72 Light" w:cs="72 Light"/>
          <w:bCs/>
          <w:sz w:val="24"/>
          <w:szCs w:val="24"/>
          <w:lang w:val="fr-CA"/>
        </w:rPr>
        <w:t>’</w:t>
      </w:r>
      <w:r w:rsidR="00D4122B" w:rsidRPr="007B324D">
        <w:rPr>
          <w:rFonts w:ascii="72 Light" w:hAnsi="72 Light" w:cs="72 Light"/>
          <w:bCs/>
          <w:sz w:val="24"/>
          <w:szCs w:val="24"/>
          <w:lang w:val="fr-CA"/>
        </w:rPr>
        <w:t xml:space="preserve">efforts visant à résoudre les problèmes </w:t>
      </w:r>
      <w:r w:rsidR="008A46D0" w:rsidRPr="007B324D">
        <w:rPr>
          <w:rFonts w:ascii="72 Light" w:hAnsi="72 Light" w:cs="72 Light"/>
          <w:bCs/>
          <w:sz w:val="24"/>
          <w:szCs w:val="24"/>
          <w:lang w:val="fr-CA"/>
        </w:rPr>
        <w:t>de précarité d</w:t>
      </w:r>
      <w:r w:rsidR="00935A6C" w:rsidRPr="007B324D">
        <w:rPr>
          <w:rFonts w:ascii="72 Light" w:hAnsi="72 Light" w:cs="72 Light"/>
          <w:bCs/>
          <w:sz w:val="24"/>
          <w:szCs w:val="24"/>
          <w:lang w:val="fr-CA"/>
        </w:rPr>
        <w:t>’</w:t>
      </w:r>
      <w:r w:rsidR="008A46D0" w:rsidRPr="007B324D">
        <w:rPr>
          <w:rFonts w:ascii="72 Light" w:hAnsi="72 Light" w:cs="72 Light"/>
          <w:bCs/>
          <w:sz w:val="24"/>
          <w:szCs w:val="24"/>
          <w:lang w:val="fr-CA"/>
        </w:rPr>
        <w:t>emploi</w:t>
      </w:r>
      <w:r w:rsidR="00D4122B" w:rsidRPr="007B324D">
        <w:rPr>
          <w:rFonts w:ascii="72 Light" w:hAnsi="72 Light" w:cs="72 Light"/>
          <w:bCs/>
          <w:sz w:val="24"/>
          <w:szCs w:val="24"/>
          <w:lang w:val="fr-CA"/>
        </w:rPr>
        <w:t xml:space="preserve"> qui compromettent le droit au travail et à des salaires équitables.</w:t>
      </w:r>
      <w:bookmarkEnd w:id="33"/>
    </w:p>
    <w:p w14:paraId="71F858F6" w14:textId="503EFA2C" w:rsidR="00F25625" w:rsidRPr="007B324D" w:rsidRDefault="00D4122B" w:rsidP="00F62155">
      <w:pPr>
        <w:pStyle w:val="ListParagraph"/>
        <w:numPr>
          <w:ilvl w:val="0"/>
          <w:numId w:val="1"/>
        </w:numPr>
        <w:tabs>
          <w:tab w:val="left" w:pos="3544"/>
        </w:tabs>
        <w:spacing w:before="120" w:line="276" w:lineRule="auto"/>
        <w:ind w:left="284" w:hanging="567"/>
        <w:contextualSpacing w:val="0"/>
        <w:jc w:val="both"/>
        <w:rPr>
          <w:rFonts w:ascii="72 Light" w:hAnsi="72 Light" w:cs="72 Light"/>
          <w:b/>
          <w:sz w:val="24"/>
          <w:szCs w:val="24"/>
          <w:lang w:val="fr-CA"/>
        </w:rPr>
      </w:pPr>
      <w:bookmarkStart w:id="34" w:name="lt_pId033"/>
      <w:r w:rsidRPr="007B324D">
        <w:rPr>
          <w:rFonts w:ascii="72 Light" w:hAnsi="72 Light" w:cs="72 Light"/>
          <w:b/>
          <w:sz w:val="24"/>
          <w:szCs w:val="24"/>
          <w:lang w:val="fr-CA"/>
        </w:rPr>
        <w:t>Pauvreté, itinérance et sécurité alimentaire</w:t>
      </w:r>
      <w:bookmarkEnd w:id="34"/>
      <w:r w:rsidRPr="007B324D">
        <w:rPr>
          <w:rFonts w:ascii="72 Light" w:hAnsi="72 Light" w:cs="72 Light"/>
          <w:b/>
          <w:sz w:val="24"/>
          <w:szCs w:val="24"/>
          <w:lang w:val="fr-CA"/>
        </w:rPr>
        <w:t xml:space="preserve"> </w:t>
      </w:r>
    </w:p>
    <w:p w14:paraId="1DB279B4" w14:textId="42D1E45A" w:rsidR="00C009D2" w:rsidRPr="007B324D" w:rsidRDefault="005E2CD7" w:rsidP="00F62155">
      <w:pPr>
        <w:tabs>
          <w:tab w:val="left" w:pos="3544"/>
        </w:tabs>
        <w:spacing w:before="120" w:line="276" w:lineRule="auto"/>
        <w:ind w:left="284" w:firstLine="0"/>
        <w:jc w:val="both"/>
        <w:rPr>
          <w:rFonts w:ascii="72 Light" w:hAnsi="72 Light" w:cs="72 Light"/>
          <w:bCs/>
          <w:sz w:val="24"/>
          <w:szCs w:val="24"/>
          <w:lang w:val="fr-CA"/>
        </w:rPr>
      </w:pPr>
      <w:bookmarkStart w:id="35" w:name="lt_pId034"/>
      <w:r w:rsidRPr="007B324D">
        <w:rPr>
          <w:rFonts w:ascii="72 Light" w:hAnsi="72 Light" w:cs="72 Light"/>
          <w:bCs/>
          <w:sz w:val="24"/>
          <w:szCs w:val="24"/>
          <w:lang w:val="fr-CA"/>
        </w:rPr>
        <w:t>L</w:t>
      </w:r>
      <w:r w:rsidR="001B66CE" w:rsidRPr="007B324D">
        <w:rPr>
          <w:rFonts w:ascii="72 Light" w:hAnsi="72 Light" w:cs="72 Light"/>
          <w:bCs/>
          <w:sz w:val="24"/>
          <w:szCs w:val="24"/>
          <w:lang w:val="fr-CA"/>
        </w:rPr>
        <w:t xml:space="preserve">es organisations ont également </w:t>
      </w:r>
      <w:r w:rsidR="00197084" w:rsidRPr="007B324D">
        <w:rPr>
          <w:rFonts w:ascii="72 Light" w:hAnsi="72 Light" w:cs="72 Light"/>
          <w:bCs/>
          <w:sz w:val="24"/>
          <w:szCs w:val="24"/>
          <w:lang w:val="fr-CA"/>
        </w:rPr>
        <w:t xml:space="preserve">souligné </w:t>
      </w:r>
      <w:r w:rsidR="001B66CE" w:rsidRPr="007B324D">
        <w:rPr>
          <w:rFonts w:ascii="72 Light" w:hAnsi="72 Light" w:cs="72 Light"/>
          <w:bCs/>
          <w:sz w:val="24"/>
          <w:szCs w:val="24"/>
          <w:lang w:val="fr-CA"/>
        </w:rPr>
        <w:t>le manque d</w:t>
      </w:r>
      <w:r w:rsidR="00935A6C" w:rsidRPr="007B324D">
        <w:rPr>
          <w:rFonts w:ascii="72 Light" w:hAnsi="72 Light" w:cs="72 Light"/>
          <w:bCs/>
          <w:sz w:val="24"/>
          <w:szCs w:val="24"/>
          <w:lang w:val="fr-CA"/>
        </w:rPr>
        <w:t>’</w:t>
      </w:r>
      <w:r w:rsidR="001B66CE" w:rsidRPr="007B324D">
        <w:rPr>
          <w:rFonts w:ascii="72 Light" w:hAnsi="72 Light" w:cs="72 Light"/>
          <w:bCs/>
          <w:sz w:val="24"/>
          <w:szCs w:val="24"/>
          <w:lang w:val="fr-CA"/>
        </w:rPr>
        <w:t>amélioration</w:t>
      </w:r>
      <w:r w:rsidR="00B52CE7" w:rsidRPr="007B324D">
        <w:rPr>
          <w:rFonts w:ascii="72 Light" w:hAnsi="72 Light" w:cs="72 Light"/>
          <w:bCs/>
          <w:sz w:val="24"/>
          <w:szCs w:val="24"/>
          <w:lang w:val="fr-CA"/>
        </w:rPr>
        <w:t>s</w:t>
      </w:r>
      <w:r w:rsidR="001B66CE" w:rsidRPr="007B324D">
        <w:rPr>
          <w:rFonts w:ascii="72 Light" w:hAnsi="72 Light" w:cs="72 Light"/>
          <w:bCs/>
          <w:sz w:val="24"/>
          <w:szCs w:val="24"/>
          <w:lang w:val="fr-CA"/>
        </w:rPr>
        <w:t xml:space="preserve"> </w:t>
      </w:r>
      <w:r w:rsidR="00881621" w:rsidRPr="007B324D">
        <w:rPr>
          <w:rFonts w:ascii="72 Light" w:hAnsi="72 Light" w:cs="72 Light"/>
          <w:bCs/>
          <w:sz w:val="24"/>
          <w:szCs w:val="24"/>
          <w:lang w:val="fr-CA"/>
        </w:rPr>
        <w:t>relatives aux</w:t>
      </w:r>
      <w:r w:rsidR="001B66CE" w:rsidRPr="007B324D">
        <w:rPr>
          <w:rFonts w:ascii="72 Light" w:hAnsi="72 Light" w:cs="72 Light"/>
          <w:bCs/>
          <w:sz w:val="24"/>
          <w:szCs w:val="24"/>
          <w:lang w:val="fr-CA"/>
        </w:rPr>
        <w:t xml:space="preserve"> programmes d</w:t>
      </w:r>
      <w:r w:rsidR="00935A6C" w:rsidRPr="007B324D">
        <w:rPr>
          <w:rFonts w:ascii="72 Light" w:hAnsi="72 Light" w:cs="72 Light"/>
          <w:bCs/>
          <w:sz w:val="24"/>
          <w:szCs w:val="24"/>
          <w:lang w:val="fr-CA"/>
        </w:rPr>
        <w:t>’</w:t>
      </w:r>
      <w:r w:rsidR="001B66CE" w:rsidRPr="007B324D">
        <w:rPr>
          <w:rFonts w:ascii="72 Light" w:hAnsi="72 Light" w:cs="72 Light"/>
          <w:bCs/>
          <w:sz w:val="24"/>
          <w:szCs w:val="24"/>
          <w:lang w:val="fr-CA"/>
        </w:rPr>
        <w:t>a</w:t>
      </w:r>
      <w:r w:rsidR="00197084" w:rsidRPr="007B324D">
        <w:rPr>
          <w:rFonts w:ascii="72 Light" w:hAnsi="72 Light" w:cs="72 Light"/>
          <w:bCs/>
          <w:sz w:val="24"/>
          <w:szCs w:val="24"/>
          <w:lang w:val="fr-CA"/>
        </w:rPr>
        <w:t>ide</w:t>
      </w:r>
      <w:r w:rsidR="001B66CE" w:rsidRPr="007B324D">
        <w:rPr>
          <w:rFonts w:ascii="72 Light" w:hAnsi="72 Light" w:cs="72 Light"/>
          <w:bCs/>
          <w:sz w:val="24"/>
          <w:szCs w:val="24"/>
          <w:lang w:val="fr-CA"/>
        </w:rPr>
        <w:t xml:space="preserve"> sociale</w:t>
      </w:r>
      <w:r w:rsidR="00B52CE7" w:rsidRPr="007B324D">
        <w:rPr>
          <w:rFonts w:ascii="72 Light" w:hAnsi="72 Light" w:cs="72 Light"/>
          <w:bCs/>
          <w:sz w:val="24"/>
          <w:szCs w:val="24"/>
          <w:lang w:val="fr-CA"/>
        </w:rPr>
        <w:t xml:space="preserve"> à l’échelle </w:t>
      </w:r>
      <w:r w:rsidR="00881621" w:rsidRPr="007B324D">
        <w:rPr>
          <w:rFonts w:ascii="72 Light" w:hAnsi="72 Light" w:cs="72 Light"/>
          <w:bCs/>
          <w:sz w:val="24"/>
          <w:szCs w:val="24"/>
          <w:lang w:val="fr-CA"/>
        </w:rPr>
        <w:t>PT</w:t>
      </w:r>
      <w:r w:rsidR="001B66CE" w:rsidRPr="007B324D">
        <w:rPr>
          <w:rFonts w:ascii="72 Light" w:hAnsi="72 Light" w:cs="72 Light"/>
          <w:bCs/>
          <w:sz w:val="24"/>
          <w:szCs w:val="24"/>
          <w:lang w:val="fr-CA"/>
        </w:rPr>
        <w:t>.</w:t>
      </w:r>
      <w:bookmarkStart w:id="36" w:name="lt_pId035"/>
      <w:bookmarkEnd w:id="35"/>
      <w:r w:rsidR="00197084" w:rsidRPr="007B324D">
        <w:rPr>
          <w:rFonts w:ascii="72 Light" w:hAnsi="72 Light" w:cs="72 Light"/>
          <w:bCs/>
          <w:sz w:val="24"/>
          <w:szCs w:val="24"/>
          <w:lang w:val="fr-CA"/>
        </w:rPr>
        <w:t xml:space="preserve"> Elles</w:t>
      </w:r>
      <w:r w:rsidR="001B66CE" w:rsidRPr="007B324D">
        <w:rPr>
          <w:rFonts w:ascii="72 Light" w:hAnsi="72 Light" w:cs="72 Light"/>
          <w:bCs/>
          <w:sz w:val="24"/>
          <w:szCs w:val="24"/>
          <w:lang w:val="fr-CA"/>
        </w:rPr>
        <w:t xml:space="preserve"> ont précisé que dans </w:t>
      </w:r>
      <w:r w:rsidR="00197084" w:rsidRPr="007B324D">
        <w:rPr>
          <w:rFonts w:ascii="72 Light" w:hAnsi="72 Light" w:cs="72 Light"/>
          <w:bCs/>
          <w:sz w:val="24"/>
          <w:szCs w:val="24"/>
          <w:lang w:val="fr-CA"/>
        </w:rPr>
        <w:t xml:space="preserve">chaque </w:t>
      </w:r>
      <w:r w:rsidR="00881621" w:rsidRPr="007B324D">
        <w:rPr>
          <w:rFonts w:ascii="72 Light" w:hAnsi="72 Light" w:cs="72 Light"/>
          <w:bCs/>
          <w:sz w:val="24"/>
          <w:szCs w:val="24"/>
          <w:lang w:val="fr-CA"/>
        </w:rPr>
        <w:t>PT,</w:t>
      </w:r>
      <w:r w:rsidR="001B66CE" w:rsidRPr="007B324D">
        <w:rPr>
          <w:rFonts w:ascii="72 Light" w:hAnsi="72 Light" w:cs="72 Light"/>
          <w:bCs/>
          <w:sz w:val="24"/>
          <w:szCs w:val="24"/>
          <w:lang w:val="fr-CA"/>
        </w:rPr>
        <w:t xml:space="preserve"> de nombreuses personnes continuent à vivre sous </w:t>
      </w:r>
      <w:r w:rsidR="00197084" w:rsidRPr="007B324D">
        <w:rPr>
          <w:rFonts w:ascii="72 Light" w:hAnsi="72 Light" w:cs="72 Light"/>
          <w:bCs/>
          <w:sz w:val="24"/>
          <w:szCs w:val="24"/>
          <w:lang w:val="fr-CA"/>
        </w:rPr>
        <w:t>le seuil</w:t>
      </w:r>
      <w:r w:rsidR="001B66CE" w:rsidRPr="007B324D">
        <w:rPr>
          <w:rFonts w:ascii="72 Light" w:hAnsi="72 Light" w:cs="72 Light"/>
          <w:bCs/>
          <w:sz w:val="24"/>
          <w:szCs w:val="24"/>
          <w:lang w:val="fr-CA"/>
        </w:rPr>
        <w:t xml:space="preserve"> de </w:t>
      </w:r>
      <w:r w:rsidR="00197084" w:rsidRPr="007B324D">
        <w:rPr>
          <w:rFonts w:ascii="72 Light" w:hAnsi="72 Light" w:cs="72 Light"/>
          <w:bCs/>
          <w:sz w:val="24"/>
          <w:szCs w:val="24"/>
          <w:lang w:val="fr-CA"/>
        </w:rPr>
        <w:t xml:space="preserve">la </w:t>
      </w:r>
      <w:r w:rsidR="001B66CE" w:rsidRPr="007B324D">
        <w:rPr>
          <w:rFonts w:ascii="72 Light" w:hAnsi="72 Light" w:cs="72 Light"/>
          <w:bCs/>
          <w:sz w:val="24"/>
          <w:szCs w:val="24"/>
          <w:lang w:val="fr-CA"/>
        </w:rPr>
        <w:t>pauvreté.</w:t>
      </w:r>
      <w:bookmarkEnd w:id="36"/>
      <w:r w:rsidR="001B66CE" w:rsidRPr="007B324D">
        <w:rPr>
          <w:rFonts w:ascii="72 Light" w:hAnsi="72 Light" w:cs="72 Light"/>
          <w:bCs/>
          <w:sz w:val="24"/>
          <w:szCs w:val="24"/>
          <w:lang w:val="fr-CA"/>
        </w:rPr>
        <w:t xml:space="preserve"> </w:t>
      </w:r>
      <w:bookmarkStart w:id="37" w:name="lt_pId036"/>
      <w:r w:rsidR="001B66CE" w:rsidRPr="007B324D">
        <w:rPr>
          <w:rFonts w:ascii="72 Light" w:hAnsi="72 Light" w:cs="72 Light"/>
          <w:bCs/>
          <w:sz w:val="24"/>
          <w:szCs w:val="24"/>
          <w:lang w:val="fr-CA"/>
        </w:rPr>
        <w:t xml:space="preserve">Il a été noté que les progrès réalisés pour assurer le respect des normes en matière de </w:t>
      </w:r>
      <w:r w:rsidR="00E33B57" w:rsidRPr="007B324D">
        <w:rPr>
          <w:rFonts w:ascii="72 Light" w:hAnsi="72 Light" w:cs="72 Light"/>
          <w:bCs/>
          <w:sz w:val="24"/>
          <w:szCs w:val="24"/>
          <w:lang w:val="fr-CA"/>
        </w:rPr>
        <w:t>droits de la personne</w:t>
      </w:r>
      <w:r w:rsidR="001B66CE" w:rsidRPr="007B324D">
        <w:rPr>
          <w:rFonts w:ascii="72 Light" w:hAnsi="72 Light" w:cs="72 Light"/>
          <w:bCs/>
          <w:sz w:val="24"/>
          <w:szCs w:val="24"/>
          <w:lang w:val="fr-CA"/>
        </w:rPr>
        <w:t xml:space="preserve"> </w:t>
      </w:r>
      <w:r w:rsidR="00197084" w:rsidRPr="007B324D">
        <w:rPr>
          <w:rFonts w:ascii="72 Light" w:hAnsi="72 Light" w:cs="72 Light"/>
          <w:bCs/>
          <w:sz w:val="24"/>
          <w:szCs w:val="24"/>
          <w:lang w:val="fr-CA"/>
        </w:rPr>
        <w:t>au moyen</w:t>
      </w:r>
      <w:r w:rsidR="001B66CE" w:rsidRPr="007B324D">
        <w:rPr>
          <w:rFonts w:ascii="72 Light" w:hAnsi="72 Light" w:cs="72 Light"/>
          <w:bCs/>
          <w:sz w:val="24"/>
          <w:szCs w:val="24"/>
          <w:lang w:val="fr-CA"/>
        </w:rPr>
        <w:t xml:space="preserve"> de paiements de transfert, conformément à la reco</w:t>
      </w:r>
      <w:r w:rsidR="00197084" w:rsidRPr="007B324D">
        <w:rPr>
          <w:rFonts w:ascii="72 Light" w:hAnsi="72 Light" w:cs="72 Light"/>
          <w:bCs/>
          <w:sz w:val="24"/>
          <w:szCs w:val="24"/>
          <w:lang w:val="fr-CA"/>
        </w:rPr>
        <w:t>mmandation </w:t>
      </w:r>
      <w:r w:rsidR="00E33B57" w:rsidRPr="007B324D">
        <w:rPr>
          <w:rFonts w:ascii="72 Light" w:hAnsi="72 Light" w:cs="72 Light"/>
          <w:bCs/>
          <w:sz w:val="24"/>
          <w:szCs w:val="24"/>
          <w:lang w:val="fr-CA"/>
        </w:rPr>
        <w:t xml:space="preserve">142.38 du troisième </w:t>
      </w:r>
      <w:r w:rsidR="00692A5C" w:rsidRPr="007B324D">
        <w:rPr>
          <w:rFonts w:ascii="72 Light" w:hAnsi="72 Light" w:cs="72 Light"/>
          <w:bCs/>
          <w:sz w:val="24"/>
          <w:szCs w:val="24"/>
          <w:lang w:val="fr-CA"/>
        </w:rPr>
        <w:t>rapport sur l’</w:t>
      </w:r>
      <w:r w:rsidR="001A7482" w:rsidRPr="007B324D">
        <w:rPr>
          <w:rFonts w:ascii="72 Light" w:hAnsi="72 Light" w:cs="72 Light"/>
          <w:bCs/>
          <w:sz w:val="24"/>
          <w:szCs w:val="24"/>
          <w:lang w:val="fr-CA"/>
        </w:rPr>
        <w:t>EPU</w:t>
      </w:r>
      <w:r w:rsidR="001B66CE" w:rsidRPr="007B324D">
        <w:rPr>
          <w:rFonts w:ascii="72 Light" w:hAnsi="72 Light" w:cs="72 Light"/>
          <w:bCs/>
          <w:sz w:val="24"/>
          <w:szCs w:val="24"/>
          <w:lang w:val="fr-CA"/>
        </w:rPr>
        <w:t xml:space="preserve"> du Canada, n</w:t>
      </w:r>
      <w:r w:rsidR="00935A6C" w:rsidRPr="007B324D">
        <w:rPr>
          <w:rFonts w:ascii="72 Light" w:hAnsi="72 Light" w:cs="72 Light"/>
          <w:bCs/>
          <w:sz w:val="24"/>
          <w:szCs w:val="24"/>
          <w:lang w:val="fr-CA"/>
        </w:rPr>
        <w:t>’</w:t>
      </w:r>
      <w:r w:rsidR="001B66CE" w:rsidRPr="007B324D">
        <w:rPr>
          <w:rFonts w:ascii="72 Light" w:hAnsi="72 Light" w:cs="72 Light"/>
          <w:bCs/>
          <w:sz w:val="24"/>
          <w:szCs w:val="24"/>
          <w:lang w:val="fr-CA"/>
        </w:rPr>
        <w:t>étaient pas inclus dans le rapport.</w:t>
      </w:r>
      <w:bookmarkEnd w:id="37"/>
      <w:r w:rsidR="001B66CE" w:rsidRPr="007B324D">
        <w:rPr>
          <w:rFonts w:ascii="72 Light" w:hAnsi="72 Light" w:cs="72 Light"/>
          <w:bCs/>
          <w:sz w:val="24"/>
          <w:szCs w:val="24"/>
          <w:lang w:val="fr-CA"/>
        </w:rPr>
        <w:t xml:space="preserve"> </w:t>
      </w:r>
    </w:p>
    <w:p w14:paraId="6705549D" w14:textId="463F290E" w:rsidR="006218CF" w:rsidRPr="007B324D" w:rsidRDefault="00016E3F" w:rsidP="00A345C2">
      <w:pPr>
        <w:tabs>
          <w:tab w:val="left" w:pos="3544"/>
        </w:tabs>
        <w:spacing w:before="120" w:line="276" w:lineRule="auto"/>
        <w:ind w:left="284" w:firstLine="0"/>
        <w:jc w:val="both"/>
        <w:rPr>
          <w:rFonts w:ascii="72 Light" w:hAnsi="72 Light" w:cs="72 Light"/>
          <w:sz w:val="24"/>
          <w:szCs w:val="24"/>
          <w:lang w:val="fr-CA"/>
        </w:rPr>
      </w:pPr>
      <w:bookmarkStart w:id="38" w:name="lt_pId037"/>
      <w:r w:rsidRPr="007B324D">
        <w:rPr>
          <w:rFonts w:ascii="72 Light" w:hAnsi="72 Light" w:cs="72 Light"/>
          <w:sz w:val="24"/>
          <w:szCs w:val="24"/>
          <w:lang w:val="fr-CA"/>
        </w:rPr>
        <w:t xml:space="preserve">Les organisations ont constaté une </w:t>
      </w:r>
      <w:r w:rsidR="00197084" w:rsidRPr="007B324D">
        <w:rPr>
          <w:rFonts w:ascii="72 Light" w:hAnsi="72 Light" w:cs="72 Light"/>
          <w:sz w:val="24"/>
          <w:szCs w:val="24"/>
          <w:lang w:val="fr-CA"/>
        </w:rPr>
        <w:t>hausse de l</w:t>
      </w:r>
      <w:r w:rsidR="00935A6C" w:rsidRPr="007B324D">
        <w:rPr>
          <w:rFonts w:ascii="72 Light" w:hAnsi="72 Light" w:cs="72 Light"/>
          <w:sz w:val="24"/>
          <w:szCs w:val="24"/>
          <w:lang w:val="fr-CA"/>
        </w:rPr>
        <w:t>’</w:t>
      </w:r>
      <w:r w:rsidR="00197084" w:rsidRPr="007B324D">
        <w:rPr>
          <w:rFonts w:ascii="72 Light" w:hAnsi="72 Light" w:cs="72 Light"/>
          <w:sz w:val="24"/>
          <w:szCs w:val="24"/>
          <w:lang w:val="fr-CA"/>
        </w:rPr>
        <w:t>itinérance</w:t>
      </w:r>
      <w:r w:rsidRPr="007B324D">
        <w:rPr>
          <w:rFonts w:ascii="72 Light" w:hAnsi="72 Light" w:cs="72 Light"/>
          <w:sz w:val="24"/>
          <w:szCs w:val="24"/>
          <w:lang w:val="fr-CA"/>
        </w:rPr>
        <w:t xml:space="preserve"> au Canada</w:t>
      </w:r>
      <w:r w:rsidR="00197084" w:rsidRPr="007B324D">
        <w:rPr>
          <w:rFonts w:ascii="72 Light" w:hAnsi="72 Light" w:cs="72 Light"/>
          <w:sz w:val="24"/>
          <w:szCs w:val="24"/>
          <w:lang w:val="fr-CA"/>
        </w:rPr>
        <w:t xml:space="preserve"> ainsi que</w:t>
      </w:r>
      <w:r w:rsidRPr="007B324D">
        <w:rPr>
          <w:rFonts w:ascii="72 Light" w:hAnsi="72 Light" w:cs="72 Light"/>
          <w:sz w:val="24"/>
          <w:szCs w:val="24"/>
          <w:lang w:val="fr-CA"/>
        </w:rPr>
        <w:t xml:space="preserve"> l</w:t>
      </w:r>
      <w:r w:rsidR="00935A6C" w:rsidRPr="007B324D">
        <w:rPr>
          <w:rFonts w:ascii="72 Light" w:hAnsi="72 Light" w:cs="72 Light"/>
          <w:sz w:val="24"/>
          <w:szCs w:val="24"/>
          <w:lang w:val="fr-CA"/>
        </w:rPr>
        <w:t>’</w:t>
      </w:r>
      <w:r w:rsidR="00197084" w:rsidRPr="007B324D">
        <w:rPr>
          <w:rFonts w:ascii="72 Light" w:hAnsi="72 Light" w:cs="72 Light"/>
          <w:sz w:val="24"/>
          <w:szCs w:val="24"/>
          <w:lang w:val="fr-CA"/>
        </w:rPr>
        <w:t>apparition</w:t>
      </w:r>
      <w:r w:rsidRPr="007B324D">
        <w:rPr>
          <w:rFonts w:ascii="72 Light" w:hAnsi="72 Light" w:cs="72 Light"/>
          <w:sz w:val="24"/>
          <w:szCs w:val="24"/>
          <w:lang w:val="fr-CA"/>
        </w:rPr>
        <w:t xml:space="preserve"> de campements de </w:t>
      </w:r>
      <w:r w:rsidR="00197084" w:rsidRPr="007B324D">
        <w:rPr>
          <w:rFonts w:ascii="72 Light" w:hAnsi="72 Light" w:cs="72 Light"/>
          <w:sz w:val="24"/>
          <w:szCs w:val="24"/>
          <w:lang w:val="fr-CA"/>
        </w:rPr>
        <w:t xml:space="preserve">personnes </w:t>
      </w:r>
      <w:r w:rsidRPr="007B324D">
        <w:rPr>
          <w:rFonts w:ascii="72 Light" w:hAnsi="72 Light" w:cs="72 Light"/>
          <w:sz w:val="24"/>
          <w:szCs w:val="24"/>
          <w:lang w:val="fr-CA"/>
        </w:rPr>
        <w:t>sans-abri dans les zones urbaines.</w:t>
      </w:r>
      <w:bookmarkEnd w:id="38"/>
      <w:r w:rsidRPr="007B324D">
        <w:rPr>
          <w:rFonts w:ascii="72 Light" w:hAnsi="72 Light" w:cs="72 Light"/>
          <w:sz w:val="24"/>
          <w:szCs w:val="24"/>
          <w:lang w:val="fr-CA"/>
        </w:rPr>
        <w:t xml:space="preserve"> </w:t>
      </w:r>
      <w:bookmarkStart w:id="39" w:name="lt_pId038"/>
      <w:r w:rsidRPr="007B324D">
        <w:rPr>
          <w:rFonts w:ascii="72 Light" w:hAnsi="72 Light" w:cs="72 Light"/>
          <w:sz w:val="24"/>
          <w:szCs w:val="24"/>
          <w:lang w:val="fr-CA"/>
        </w:rPr>
        <w:t>Tous les</w:t>
      </w:r>
      <w:r w:rsidR="00197084" w:rsidRPr="007B324D">
        <w:rPr>
          <w:rFonts w:ascii="72 Light" w:hAnsi="72 Light" w:cs="72 Light"/>
          <w:sz w:val="24"/>
          <w:szCs w:val="24"/>
          <w:lang w:val="fr-CA"/>
        </w:rPr>
        <w:t xml:space="preserve"> ordres</w:t>
      </w:r>
      <w:r w:rsidRPr="007B324D">
        <w:rPr>
          <w:rFonts w:ascii="72 Light" w:hAnsi="72 Light" w:cs="72 Light"/>
          <w:sz w:val="24"/>
          <w:szCs w:val="24"/>
          <w:lang w:val="fr-CA"/>
        </w:rPr>
        <w:t xml:space="preserve"> de gouvernement ont été critiqués pour avoi</w:t>
      </w:r>
      <w:r w:rsidR="00197084" w:rsidRPr="007B324D">
        <w:rPr>
          <w:rFonts w:ascii="72 Light" w:hAnsi="72 Light" w:cs="72 Light"/>
          <w:sz w:val="24"/>
          <w:szCs w:val="24"/>
          <w:lang w:val="fr-CA"/>
        </w:rPr>
        <w:t xml:space="preserve">r autorisé ce </w:t>
      </w:r>
      <w:r w:rsidR="00544F87" w:rsidRPr="007B324D">
        <w:rPr>
          <w:rFonts w:ascii="72 Light" w:hAnsi="72 Light" w:cs="72 Light"/>
          <w:sz w:val="24"/>
          <w:szCs w:val="24"/>
          <w:lang w:val="fr-CA"/>
        </w:rPr>
        <w:t xml:space="preserve">que les organisations </w:t>
      </w:r>
      <w:r w:rsidR="00197084" w:rsidRPr="007B324D">
        <w:rPr>
          <w:rFonts w:ascii="72 Light" w:hAnsi="72 Light" w:cs="72 Light"/>
          <w:sz w:val="24"/>
          <w:szCs w:val="24"/>
          <w:lang w:val="fr-CA"/>
        </w:rPr>
        <w:t>percevaient comme</w:t>
      </w:r>
      <w:r w:rsidRPr="007B324D">
        <w:rPr>
          <w:rFonts w:ascii="72 Light" w:hAnsi="72 Light" w:cs="72 Light"/>
          <w:sz w:val="24"/>
          <w:szCs w:val="24"/>
          <w:lang w:val="fr-CA"/>
        </w:rPr>
        <w:t xml:space="preserve"> l</w:t>
      </w:r>
      <w:r w:rsidR="00935A6C" w:rsidRPr="007B324D">
        <w:rPr>
          <w:rFonts w:ascii="72 Light" w:hAnsi="72 Light" w:cs="72 Light"/>
          <w:sz w:val="24"/>
          <w:szCs w:val="24"/>
          <w:lang w:val="fr-CA"/>
        </w:rPr>
        <w:t>’</w:t>
      </w:r>
      <w:r w:rsidRPr="007B324D">
        <w:rPr>
          <w:rFonts w:ascii="72 Light" w:hAnsi="72 Light" w:cs="72 Light"/>
          <w:sz w:val="24"/>
          <w:szCs w:val="24"/>
          <w:lang w:val="fr-CA"/>
        </w:rPr>
        <w:t>e</w:t>
      </w:r>
      <w:r w:rsidR="00197084" w:rsidRPr="007B324D">
        <w:rPr>
          <w:rFonts w:ascii="72 Light" w:hAnsi="72 Light" w:cs="72 Light"/>
          <w:sz w:val="24"/>
          <w:szCs w:val="24"/>
          <w:lang w:val="fr-CA"/>
        </w:rPr>
        <w:t>xpulsion</w:t>
      </w:r>
      <w:r w:rsidRPr="007B324D">
        <w:rPr>
          <w:rFonts w:ascii="72 Light" w:hAnsi="72 Light" w:cs="72 Light"/>
          <w:sz w:val="24"/>
          <w:szCs w:val="24"/>
          <w:lang w:val="fr-CA"/>
        </w:rPr>
        <w:t xml:space="preserve"> forcé</w:t>
      </w:r>
      <w:r w:rsidR="00197084" w:rsidRPr="007B324D">
        <w:rPr>
          <w:rFonts w:ascii="72 Light" w:hAnsi="72 Light" w:cs="72 Light"/>
          <w:sz w:val="24"/>
          <w:szCs w:val="24"/>
          <w:lang w:val="fr-CA"/>
        </w:rPr>
        <w:t>e</w:t>
      </w:r>
      <w:r w:rsidRPr="007B324D">
        <w:rPr>
          <w:rFonts w:ascii="72 Light" w:hAnsi="72 Light" w:cs="72 Light"/>
          <w:sz w:val="24"/>
          <w:szCs w:val="24"/>
          <w:lang w:val="fr-CA"/>
        </w:rPr>
        <w:t xml:space="preserve"> des personnes </w:t>
      </w:r>
      <w:r w:rsidR="00197084" w:rsidRPr="007B324D">
        <w:rPr>
          <w:rFonts w:ascii="72 Light" w:hAnsi="72 Light" w:cs="72 Light"/>
          <w:sz w:val="24"/>
          <w:szCs w:val="24"/>
          <w:lang w:val="fr-CA"/>
        </w:rPr>
        <w:t>en situation d</w:t>
      </w:r>
      <w:r w:rsidR="00935A6C" w:rsidRPr="007B324D">
        <w:rPr>
          <w:rFonts w:ascii="72 Light" w:hAnsi="72 Light" w:cs="72 Light"/>
          <w:sz w:val="24"/>
          <w:szCs w:val="24"/>
          <w:lang w:val="fr-CA"/>
        </w:rPr>
        <w:t>’</w:t>
      </w:r>
      <w:r w:rsidR="00197084" w:rsidRPr="007B324D">
        <w:rPr>
          <w:rFonts w:ascii="72 Light" w:hAnsi="72 Light" w:cs="72 Light"/>
          <w:sz w:val="24"/>
          <w:szCs w:val="24"/>
          <w:lang w:val="fr-CA"/>
        </w:rPr>
        <w:t>itinérance</w:t>
      </w:r>
      <w:r w:rsidRPr="007B324D">
        <w:rPr>
          <w:rFonts w:ascii="72 Light" w:hAnsi="72 Light" w:cs="72 Light"/>
          <w:sz w:val="24"/>
          <w:szCs w:val="24"/>
          <w:lang w:val="fr-CA"/>
        </w:rPr>
        <w:t xml:space="preserve"> et de leurs </w:t>
      </w:r>
      <w:r w:rsidR="00197084" w:rsidRPr="007B324D">
        <w:rPr>
          <w:rFonts w:ascii="72 Light" w:hAnsi="72 Light" w:cs="72 Light"/>
          <w:sz w:val="24"/>
          <w:szCs w:val="24"/>
          <w:lang w:val="fr-CA"/>
        </w:rPr>
        <w:t>eff</w:t>
      </w:r>
      <w:r w:rsidRPr="007B324D">
        <w:rPr>
          <w:rFonts w:ascii="72 Light" w:hAnsi="72 Light" w:cs="72 Light"/>
          <w:sz w:val="24"/>
          <w:szCs w:val="24"/>
          <w:lang w:val="fr-CA"/>
        </w:rPr>
        <w:t xml:space="preserve">ets personnels </w:t>
      </w:r>
      <w:r w:rsidRPr="007B324D">
        <w:rPr>
          <w:rFonts w:ascii="72 Light" w:hAnsi="72 Light" w:cs="72 Light"/>
          <w:sz w:val="24"/>
          <w:szCs w:val="24"/>
          <w:lang w:val="fr-CA"/>
        </w:rPr>
        <w:lastRenderedPageBreak/>
        <w:t>des camp</w:t>
      </w:r>
      <w:r w:rsidR="00197084" w:rsidRPr="007B324D">
        <w:rPr>
          <w:rFonts w:ascii="72 Light" w:hAnsi="72 Light" w:cs="72 Light"/>
          <w:sz w:val="24"/>
          <w:szCs w:val="24"/>
          <w:lang w:val="fr-CA"/>
        </w:rPr>
        <w:t>ement</w:t>
      </w:r>
      <w:r w:rsidRPr="007B324D">
        <w:rPr>
          <w:rFonts w:ascii="72 Light" w:hAnsi="72 Light" w:cs="72 Light"/>
          <w:sz w:val="24"/>
          <w:szCs w:val="24"/>
          <w:lang w:val="fr-CA"/>
        </w:rPr>
        <w:t>s, violant ainsi leur droit à la sécurité.</w:t>
      </w:r>
      <w:bookmarkEnd w:id="39"/>
      <w:r w:rsidRPr="007B324D">
        <w:rPr>
          <w:rFonts w:ascii="72 Light" w:hAnsi="72 Light" w:cs="72 Light"/>
          <w:sz w:val="24"/>
          <w:szCs w:val="24"/>
          <w:lang w:val="fr-CA"/>
        </w:rPr>
        <w:t xml:space="preserve"> </w:t>
      </w:r>
      <w:bookmarkStart w:id="40" w:name="lt_pId039"/>
      <w:r w:rsidRPr="007B324D">
        <w:rPr>
          <w:rFonts w:ascii="72 Light" w:hAnsi="72 Light" w:cs="72 Light"/>
          <w:sz w:val="24"/>
          <w:szCs w:val="24"/>
          <w:lang w:val="fr-CA"/>
        </w:rPr>
        <w:t xml:space="preserve">Les organisations ont </w:t>
      </w:r>
      <w:r w:rsidR="00DB2650" w:rsidRPr="007B324D">
        <w:rPr>
          <w:rFonts w:ascii="72 Light" w:hAnsi="72 Light" w:cs="72 Light"/>
          <w:sz w:val="24"/>
          <w:szCs w:val="24"/>
          <w:lang w:val="fr-CA"/>
        </w:rPr>
        <w:t>d</w:t>
      </w:r>
      <w:r w:rsidR="00935A6C" w:rsidRPr="007B324D">
        <w:rPr>
          <w:rFonts w:ascii="72 Light" w:hAnsi="72 Light" w:cs="72 Light"/>
          <w:sz w:val="24"/>
          <w:szCs w:val="24"/>
          <w:lang w:val="fr-CA"/>
        </w:rPr>
        <w:t>’</w:t>
      </w:r>
      <w:r w:rsidR="00DB2650" w:rsidRPr="007B324D">
        <w:rPr>
          <w:rFonts w:ascii="72 Light" w:hAnsi="72 Light" w:cs="72 Light"/>
          <w:sz w:val="24"/>
          <w:szCs w:val="24"/>
          <w:lang w:val="fr-CA"/>
        </w:rPr>
        <w:t xml:space="preserve">ailleurs </w:t>
      </w:r>
      <w:r w:rsidRPr="007B324D">
        <w:rPr>
          <w:rFonts w:ascii="72 Light" w:hAnsi="72 Light" w:cs="72 Light"/>
          <w:sz w:val="24"/>
          <w:szCs w:val="24"/>
          <w:lang w:val="fr-CA"/>
        </w:rPr>
        <w:t>indiqué qu</w:t>
      </w:r>
      <w:r w:rsidR="00935A6C" w:rsidRPr="007B324D">
        <w:rPr>
          <w:rFonts w:ascii="72 Light" w:hAnsi="72 Light" w:cs="72 Light"/>
          <w:sz w:val="24"/>
          <w:szCs w:val="24"/>
          <w:lang w:val="fr-CA"/>
        </w:rPr>
        <w:t>’</w:t>
      </w:r>
      <w:r w:rsidRPr="007B324D">
        <w:rPr>
          <w:rFonts w:ascii="72 Light" w:hAnsi="72 Light" w:cs="72 Light"/>
          <w:sz w:val="24"/>
          <w:szCs w:val="24"/>
          <w:lang w:val="fr-CA"/>
        </w:rPr>
        <w:t>elles consid</w:t>
      </w:r>
      <w:r w:rsidR="00A80827" w:rsidRPr="007B324D">
        <w:rPr>
          <w:rFonts w:ascii="72 Light" w:hAnsi="72 Light" w:cs="72 Light"/>
          <w:sz w:val="24"/>
          <w:szCs w:val="24"/>
          <w:lang w:val="fr-CA"/>
        </w:rPr>
        <w:t>èrent</w:t>
      </w:r>
      <w:r w:rsidRPr="007B324D">
        <w:rPr>
          <w:rFonts w:ascii="72 Light" w:hAnsi="72 Light" w:cs="72 Light"/>
          <w:sz w:val="24"/>
          <w:szCs w:val="24"/>
          <w:lang w:val="fr-CA"/>
        </w:rPr>
        <w:t xml:space="preserve"> que les gouvernements canadiens </w:t>
      </w:r>
      <w:r w:rsidR="00692A5C" w:rsidRPr="007B324D">
        <w:rPr>
          <w:rFonts w:ascii="72 Light" w:hAnsi="72 Light" w:cs="72 Light"/>
          <w:sz w:val="24"/>
          <w:szCs w:val="24"/>
          <w:lang w:val="fr-CA"/>
        </w:rPr>
        <w:t>ayant</w:t>
      </w:r>
      <w:r w:rsidR="00197084" w:rsidRPr="007B324D">
        <w:rPr>
          <w:rFonts w:ascii="72 Light" w:hAnsi="72 Light" w:cs="72 Light"/>
          <w:sz w:val="24"/>
          <w:szCs w:val="24"/>
          <w:lang w:val="fr-CA"/>
        </w:rPr>
        <w:t xml:space="preserve"> commis ces actes</w:t>
      </w:r>
      <w:r w:rsidRPr="007B324D">
        <w:rPr>
          <w:rFonts w:ascii="72 Light" w:hAnsi="72 Light" w:cs="72 Light"/>
          <w:sz w:val="24"/>
          <w:szCs w:val="24"/>
          <w:lang w:val="fr-CA"/>
        </w:rPr>
        <w:t xml:space="preserve"> </w:t>
      </w:r>
      <w:r w:rsidR="00197084" w:rsidRPr="007B324D">
        <w:rPr>
          <w:rFonts w:ascii="72 Light" w:hAnsi="72 Light" w:cs="72 Light"/>
          <w:sz w:val="24"/>
          <w:szCs w:val="24"/>
          <w:lang w:val="fr-CA"/>
        </w:rPr>
        <w:t>port</w:t>
      </w:r>
      <w:r w:rsidRPr="007B324D">
        <w:rPr>
          <w:rFonts w:ascii="72 Light" w:hAnsi="72 Light" w:cs="72 Light"/>
          <w:sz w:val="24"/>
          <w:szCs w:val="24"/>
          <w:lang w:val="fr-CA"/>
        </w:rPr>
        <w:t xml:space="preserve">aient </w:t>
      </w:r>
      <w:r w:rsidR="00197084" w:rsidRPr="007B324D">
        <w:rPr>
          <w:rFonts w:ascii="72 Light" w:hAnsi="72 Light" w:cs="72 Light"/>
          <w:sz w:val="24"/>
          <w:szCs w:val="24"/>
          <w:lang w:val="fr-CA"/>
        </w:rPr>
        <w:t xml:space="preserve">atteinte aux </w:t>
      </w:r>
      <w:r w:rsidRPr="007B324D">
        <w:rPr>
          <w:rFonts w:ascii="72 Light" w:hAnsi="72 Light" w:cs="72 Light"/>
          <w:sz w:val="24"/>
          <w:szCs w:val="24"/>
          <w:lang w:val="fr-CA"/>
        </w:rPr>
        <w:t xml:space="preserve">droits protégés par la </w:t>
      </w:r>
      <w:r w:rsidRPr="007B324D">
        <w:rPr>
          <w:rFonts w:ascii="72 Light" w:hAnsi="72 Light" w:cs="72 Light"/>
          <w:i/>
          <w:sz w:val="24"/>
          <w:szCs w:val="24"/>
          <w:lang w:val="fr-CA"/>
        </w:rPr>
        <w:t>Charte canadienne des droits et libertés</w:t>
      </w:r>
      <w:r w:rsidRPr="007B324D">
        <w:rPr>
          <w:rFonts w:ascii="72 Light" w:hAnsi="72 Light" w:cs="72 Light"/>
          <w:sz w:val="24"/>
          <w:szCs w:val="24"/>
          <w:lang w:val="fr-CA"/>
        </w:rPr>
        <w:t xml:space="preserve">, </w:t>
      </w:r>
      <w:r w:rsidR="00197084" w:rsidRPr="007B324D">
        <w:rPr>
          <w:rFonts w:ascii="72 Light" w:hAnsi="72 Light" w:cs="72 Light"/>
          <w:sz w:val="24"/>
          <w:szCs w:val="24"/>
          <w:lang w:val="fr-CA"/>
        </w:rPr>
        <w:t>plus précisé</w:t>
      </w:r>
      <w:r w:rsidRPr="007B324D">
        <w:rPr>
          <w:rFonts w:ascii="72 Light" w:hAnsi="72 Light" w:cs="72 Light"/>
          <w:sz w:val="24"/>
          <w:szCs w:val="24"/>
          <w:lang w:val="fr-CA"/>
        </w:rPr>
        <w:t>ment l</w:t>
      </w:r>
      <w:r w:rsidR="00935A6C" w:rsidRPr="007B324D">
        <w:rPr>
          <w:rFonts w:ascii="72 Light" w:hAnsi="72 Light" w:cs="72 Light"/>
          <w:sz w:val="24"/>
          <w:szCs w:val="24"/>
          <w:lang w:val="fr-CA"/>
        </w:rPr>
        <w:t>’</w:t>
      </w:r>
      <w:r w:rsidRPr="007B324D">
        <w:rPr>
          <w:rFonts w:ascii="72 Light" w:hAnsi="72 Light" w:cs="72 Light"/>
          <w:sz w:val="24"/>
          <w:szCs w:val="24"/>
          <w:lang w:val="fr-CA"/>
        </w:rPr>
        <w:t>article</w:t>
      </w:r>
      <w:r w:rsidR="00197084" w:rsidRPr="007B324D">
        <w:rPr>
          <w:rFonts w:ascii="72 Light" w:hAnsi="72 Light" w:cs="72 Light"/>
          <w:sz w:val="24"/>
          <w:szCs w:val="24"/>
          <w:lang w:val="fr-CA"/>
        </w:rPr>
        <w:t> </w:t>
      </w:r>
      <w:r w:rsidRPr="007B324D">
        <w:rPr>
          <w:rFonts w:ascii="72 Light" w:hAnsi="72 Light" w:cs="72 Light"/>
          <w:sz w:val="24"/>
          <w:szCs w:val="24"/>
          <w:lang w:val="fr-CA"/>
        </w:rPr>
        <w:t>7 (droit à la vie, à la liberté et à la sécurité de la personne).</w:t>
      </w:r>
      <w:bookmarkEnd w:id="40"/>
    </w:p>
    <w:p w14:paraId="6796DEB3" w14:textId="2DE2EB32" w:rsidR="00BF3013" w:rsidRPr="007B324D" w:rsidRDefault="00BF3013" w:rsidP="00F62155">
      <w:pPr>
        <w:tabs>
          <w:tab w:val="left" w:pos="3544"/>
        </w:tabs>
        <w:spacing w:before="120" w:line="276" w:lineRule="auto"/>
        <w:ind w:left="284" w:firstLine="0"/>
        <w:jc w:val="both"/>
        <w:rPr>
          <w:rFonts w:ascii="72 Light" w:hAnsi="72 Light" w:cs="72 Light"/>
          <w:bCs/>
          <w:sz w:val="24"/>
          <w:szCs w:val="24"/>
          <w:lang w:val="fr-CA"/>
        </w:rPr>
      </w:pPr>
      <w:r w:rsidRPr="007B324D">
        <w:rPr>
          <w:rFonts w:ascii="72 Light" w:hAnsi="72 Light" w:cs="72 Light"/>
          <w:sz w:val="24"/>
          <w:szCs w:val="24"/>
          <w:lang w:val="fr-CA"/>
        </w:rPr>
        <w:t>Les organisations ont également noté que la stratégie fédérale de lutte contre l</w:t>
      </w:r>
      <w:r w:rsidR="00692A5C" w:rsidRPr="007B324D">
        <w:rPr>
          <w:rFonts w:ascii="72 Light" w:hAnsi="72 Light" w:cs="72 Light"/>
          <w:sz w:val="24"/>
          <w:szCs w:val="24"/>
          <w:lang w:val="fr-CA"/>
        </w:rPr>
        <w:t>’itinérance</w:t>
      </w:r>
      <w:r w:rsidRPr="007B324D">
        <w:rPr>
          <w:rFonts w:ascii="72 Light" w:hAnsi="72 Light" w:cs="72 Light"/>
          <w:sz w:val="24"/>
          <w:szCs w:val="24"/>
          <w:lang w:val="fr-CA"/>
        </w:rPr>
        <w:t xml:space="preserve"> ne prévoit pas de financement fondé sur les distinctions pour les populations autochtones, qui sont les plus touchées par la crise du logement.</w:t>
      </w:r>
    </w:p>
    <w:p w14:paraId="4A929694" w14:textId="2257CDA6" w:rsidR="00105996" w:rsidRPr="007B324D" w:rsidRDefault="008D7562" w:rsidP="00F62155">
      <w:pPr>
        <w:tabs>
          <w:tab w:val="left" w:pos="3544"/>
        </w:tabs>
        <w:spacing w:before="120" w:line="276" w:lineRule="auto"/>
        <w:ind w:left="284" w:firstLine="0"/>
        <w:jc w:val="both"/>
        <w:rPr>
          <w:rFonts w:ascii="72 Light" w:hAnsi="72 Light" w:cs="72 Light"/>
          <w:bCs/>
          <w:sz w:val="24"/>
          <w:szCs w:val="24"/>
          <w:lang w:val="fr-CA"/>
        </w:rPr>
      </w:pPr>
      <w:bookmarkStart w:id="41" w:name="lt_pId040"/>
      <w:r w:rsidRPr="007B324D">
        <w:rPr>
          <w:rFonts w:ascii="72 Light" w:hAnsi="72 Light" w:cs="72 Light"/>
          <w:bCs/>
          <w:sz w:val="24"/>
          <w:szCs w:val="24"/>
          <w:lang w:val="fr-CA"/>
        </w:rPr>
        <w:t xml:space="preserve">Les organisations ont commenté le manque </w:t>
      </w:r>
      <w:r w:rsidR="00197084" w:rsidRPr="007B324D">
        <w:rPr>
          <w:rFonts w:ascii="72 Light" w:hAnsi="72 Light" w:cs="72 Light"/>
          <w:bCs/>
          <w:sz w:val="24"/>
          <w:szCs w:val="24"/>
          <w:lang w:val="fr-CA"/>
        </w:rPr>
        <w:t>d</w:t>
      </w:r>
      <w:r w:rsidR="00935A6C" w:rsidRPr="007B324D">
        <w:rPr>
          <w:rFonts w:ascii="72 Light" w:hAnsi="72 Light" w:cs="72 Light"/>
          <w:bCs/>
          <w:sz w:val="24"/>
          <w:szCs w:val="24"/>
          <w:lang w:val="fr-CA"/>
        </w:rPr>
        <w:t>’</w:t>
      </w:r>
      <w:r w:rsidR="00197084" w:rsidRPr="007B324D">
        <w:rPr>
          <w:rFonts w:ascii="72 Light" w:hAnsi="72 Light" w:cs="72 Light"/>
          <w:bCs/>
          <w:sz w:val="24"/>
          <w:szCs w:val="24"/>
          <w:lang w:val="fr-CA"/>
        </w:rPr>
        <w:t>information</w:t>
      </w:r>
      <w:r w:rsidRPr="007B324D">
        <w:rPr>
          <w:rFonts w:ascii="72 Light" w:hAnsi="72 Light" w:cs="72 Light"/>
          <w:bCs/>
          <w:sz w:val="24"/>
          <w:szCs w:val="24"/>
          <w:lang w:val="fr-CA"/>
        </w:rPr>
        <w:t xml:space="preserve"> concernant les efforts en cours pour mettre en œuvre le droit à la santé, compte tenu des pressions actuelles </w:t>
      </w:r>
      <w:r w:rsidR="00197084" w:rsidRPr="007B324D">
        <w:rPr>
          <w:rFonts w:ascii="72 Light" w:hAnsi="72 Light" w:cs="72 Light"/>
          <w:bCs/>
          <w:sz w:val="24"/>
          <w:szCs w:val="24"/>
          <w:lang w:val="fr-CA"/>
        </w:rPr>
        <w:t xml:space="preserve">exercées </w:t>
      </w:r>
      <w:r w:rsidRPr="007B324D">
        <w:rPr>
          <w:rFonts w:ascii="72 Light" w:hAnsi="72 Light" w:cs="72 Light"/>
          <w:bCs/>
          <w:sz w:val="24"/>
          <w:szCs w:val="24"/>
          <w:lang w:val="fr-CA"/>
        </w:rPr>
        <w:t xml:space="preserve">sur le système de santé </w:t>
      </w:r>
      <w:r w:rsidR="00197084" w:rsidRPr="007B324D">
        <w:rPr>
          <w:rFonts w:ascii="72 Light" w:hAnsi="72 Light" w:cs="72 Light"/>
          <w:bCs/>
          <w:sz w:val="24"/>
          <w:szCs w:val="24"/>
          <w:lang w:val="fr-CA"/>
        </w:rPr>
        <w:t xml:space="preserve">par </w:t>
      </w:r>
      <w:r w:rsidRPr="007B324D">
        <w:rPr>
          <w:rFonts w:ascii="72 Light" w:hAnsi="72 Light" w:cs="72 Light"/>
          <w:bCs/>
          <w:sz w:val="24"/>
          <w:szCs w:val="24"/>
          <w:lang w:val="fr-CA"/>
        </w:rPr>
        <w:t>la pandémie de COVID-19.</w:t>
      </w:r>
      <w:bookmarkEnd w:id="41"/>
      <w:r w:rsidRPr="007B324D">
        <w:rPr>
          <w:rFonts w:ascii="72 Light" w:hAnsi="72 Light" w:cs="72 Light"/>
          <w:bCs/>
          <w:sz w:val="24"/>
          <w:szCs w:val="24"/>
          <w:lang w:val="fr-CA"/>
        </w:rPr>
        <w:t xml:space="preserve"> </w:t>
      </w:r>
      <w:bookmarkStart w:id="42" w:name="lt_pId041"/>
      <w:r w:rsidR="00AF2972" w:rsidRPr="007B324D">
        <w:rPr>
          <w:rFonts w:ascii="72 Light" w:hAnsi="72 Light" w:cs="72 Light"/>
          <w:bCs/>
          <w:sz w:val="24"/>
          <w:szCs w:val="24"/>
          <w:lang w:val="fr-CA"/>
        </w:rPr>
        <w:t>Ell</w:t>
      </w:r>
      <w:r w:rsidRPr="007B324D">
        <w:rPr>
          <w:rFonts w:ascii="72 Light" w:hAnsi="72 Light" w:cs="72 Light"/>
          <w:bCs/>
          <w:sz w:val="24"/>
          <w:szCs w:val="24"/>
          <w:lang w:val="fr-CA"/>
        </w:rPr>
        <w:t xml:space="preserve">es ont également soulevé le fait que certaines </w:t>
      </w:r>
      <w:r w:rsidR="00AF2972" w:rsidRPr="007B324D">
        <w:rPr>
          <w:rFonts w:ascii="72 Light" w:hAnsi="72 Light" w:cs="72 Light"/>
          <w:bCs/>
          <w:sz w:val="24"/>
          <w:szCs w:val="24"/>
          <w:lang w:val="fr-CA"/>
        </w:rPr>
        <w:t>provinces et certains territoires</w:t>
      </w:r>
      <w:r w:rsidRPr="007B324D">
        <w:rPr>
          <w:rFonts w:ascii="72 Light" w:hAnsi="72 Light" w:cs="72 Light"/>
          <w:bCs/>
          <w:sz w:val="24"/>
          <w:szCs w:val="24"/>
          <w:lang w:val="fr-CA"/>
        </w:rPr>
        <w:t xml:space="preserve"> semblent </w:t>
      </w:r>
      <w:r w:rsidR="00AF2972" w:rsidRPr="007B324D">
        <w:rPr>
          <w:rFonts w:ascii="72 Light" w:hAnsi="72 Light" w:cs="72 Light"/>
          <w:bCs/>
          <w:sz w:val="24"/>
          <w:szCs w:val="24"/>
          <w:lang w:val="fr-CA"/>
        </w:rPr>
        <w:t>se dirig</w:t>
      </w:r>
      <w:r w:rsidRPr="007B324D">
        <w:rPr>
          <w:rFonts w:ascii="72 Light" w:hAnsi="72 Light" w:cs="72 Light"/>
          <w:bCs/>
          <w:sz w:val="24"/>
          <w:szCs w:val="24"/>
          <w:lang w:val="fr-CA"/>
        </w:rPr>
        <w:t xml:space="preserve">er vers </w:t>
      </w:r>
      <w:r w:rsidR="00AF2972" w:rsidRPr="007B324D">
        <w:rPr>
          <w:rFonts w:ascii="72 Light" w:hAnsi="72 Light" w:cs="72 Light"/>
          <w:bCs/>
          <w:sz w:val="24"/>
          <w:szCs w:val="24"/>
          <w:lang w:val="fr-CA"/>
        </w:rPr>
        <w:t xml:space="preserve">une </w:t>
      </w:r>
      <w:r w:rsidRPr="007B324D">
        <w:rPr>
          <w:rFonts w:ascii="72 Light" w:hAnsi="72 Light" w:cs="72 Light"/>
          <w:bCs/>
          <w:sz w:val="24"/>
          <w:szCs w:val="24"/>
          <w:lang w:val="fr-CA"/>
        </w:rPr>
        <w:t xml:space="preserve">privatisation du système de santé, ce qui, </w:t>
      </w:r>
      <w:r w:rsidR="00AF2972" w:rsidRPr="007B324D">
        <w:rPr>
          <w:rFonts w:ascii="72 Light" w:hAnsi="72 Light" w:cs="72 Light"/>
          <w:bCs/>
          <w:sz w:val="24"/>
          <w:szCs w:val="24"/>
          <w:lang w:val="fr-CA"/>
        </w:rPr>
        <w:t>de leur avis</w:t>
      </w:r>
      <w:r w:rsidRPr="007B324D">
        <w:rPr>
          <w:rFonts w:ascii="72 Light" w:hAnsi="72 Light" w:cs="72 Light"/>
          <w:bCs/>
          <w:sz w:val="24"/>
          <w:szCs w:val="24"/>
          <w:lang w:val="fr-CA"/>
        </w:rPr>
        <w:t>, finira par</w:t>
      </w:r>
      <w:r w:rsidR="00AF2972" w:rsidRPr="007B324D">
        <w:rPr>
          <w:rFonts w:ascii="72 Light" w:hAnsi="72 Light" w:cs="72 Light"/>
          <w:bCs/>
          <w:sz w:val="24"/>
          <w:szCs w:val="24"/>
          <w:lang w:val="fr-CA"/>
        </w:rPr>
        <w:t xml:space="preserve"> compromettre</w:t>
      </w:r>
      <w:r w:rsidRPr="007B324D">
        <w:rPr>
          <w:rFonts w:ascii="72 Light" w:hAnsi="72 Light" w:cs="72 Light"/>
          <w:bCs/>
          <w:sz w:val="24"/>
          <w:szCs w:val="24"/>
          <w:lang w:val="fr-CA"/>
        </w:rPr>
        <w:t xml:space="preserve"> le système de santé public au Canada.</w:t>
      </w:r>
      <w:bookmarkEnd w:id="42"/>
      <w:r w:rsidRPr="007B324D">
        <w:rPr>
          <w:rFonts w:ascii="72 Light" w:hAnsi="72 Light" w:cs="72 Light"/>
          <w:bCs/>
          <w:sz w:val="24"/>
          <w:szCs w:val="24"/>
          <w:lang w:val="fr-CA"/>
        </w:rPr>
        <w:t xml:space="preserve"> </w:t>
      </w:r>
    </w:p>
    <w:p w14:paraId="24E40C2C" w14:textId="4C3F7852" w:rsidR="000654F2" w:rsidRPr="007B324D" w:rsidRDefault="000D2AE3" w:rsidP="00F62155">
      <w:pPr>
        <w:tabs>
          <w:tab w:val="left" w:pos="3544"/>
        </w:tabs>
        <w:spacing w:before="120" w:line="276" w:lineRule="auto"/>
        <w:ind w:left="284" w:firstLine="0"/>
        <w:jc w:val="both"/>
        <w:rPr>
          <w:rFonts w:ascii="72 Light" w:hAnsi="72 Light" w:cs="72 Light"/>
          <w:bCs/>
          <w:sz w:val="24"/>
          <w:szCs w:val="24"/>
          <w:lang w:val="fr-CA"/>
        </w:rPr>
      </w:pPr>
      <w:bookmarkStart w:id="43" w:name="lt_pId042"/>
      <w:r w:rsidRPr="007B324D">
        <w:rPr>
          <w:rFonts w:ascii="72 Light" w:hAnsi="72 Light" w:cs="72 Light"/>
          <w:bCs/>
          <w:sz w:val="24"/>
          <w:szCs w:val="24"/>
          <w:lang w:val="fr-CA"/>
        </w:rPr>
        <w:t xml:space="preserve">Les organisations ont également </w:t>
      </w:r>
      <w:r w:rsidR="002618FA" w:rsidRPr="007B324D">
        <w:rPr>
          <w:rFonts w:ascii="72 Light" w:hAnsi="72 Light" w:cs="72 Light"/>
          <w:bCs/>
          <w:sz w:val="24"/>
          <w:szCs w:val="24"/>
          <w:lang w:val="fr-CA"/>
        </w:rPr>
        <w:t xml:space="preserve">souligné </w:t>
      </w:r>
      <w:r w:rsidRPr="007B324D">
        <w:rPr>
          <w:rFonts w:ascii="72 Light" w:hAnsi="72 Light" w:cs="72 Light"/>
          <w:bCs/>
          <w:sz w:val="24"/>
          <w:szCs w:val="24"/>
          <w:lang w:val="fr-CA"/>
        </w:rPr>
        <w:t>d</w:t>
      </w:r>
      <w:r w:rsidR="00935A6C" w:rsidRPr="007B324D">
        <w:rPr>
          <w:rFonts w:ascii="72 Light" w:hAnsi="72 Light" w:cs="72 Light"/>
          <w:bCs/>
          <w:sz w:val="24"/>
          <w:szCs w:val="24"/>
          <w:lang w:val="fr-CA"/>
        </w:rPr>
        <w:t>’</w:t>
      </w:r>
      <w:r w:rsidRPr="007B324D">
        <w:rPr>
          <w:rFonts w:ascii="72 Light" w:hAnsi="72 Light" w:cs="72 Light"/>
          <w:bCs/>
          <w:sz w:val="24"/>
          <w:szCs w:val="24"/>
          <w:lang w:val="fr-CA"/>
        </w:rPr>
        <w:t>autres difficultés concernant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accès aux produits pharmaceutiques pour les Canadiens à faible revenu et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absence persistante d</w:t>
      </w:r>
      <w:r w:rsidR="00935A6C" w:rsidRPr="007B324D">
        <w:rPr>
          <w:rFonts w:ascii="72 Light" w:hAnsi="72 Light" w:cs="72 Light"/>
          <w:bCs/>
          <w:sz w:val="24"/>
          <w:szCs w:val="24"/>
          <w:lang w:val="fr-CA"/>
        </w:rPr>
        <w:t>’</w:t>
      </w:r>
      <w:r w:rsidRPr="007B324D">
        <w:rPr>
          <w:rFonts w:ascii="72 Light" w:hAnsi="72 Light" w:cs="72 Light"/>
          <w:bCs/>
          <w:sz w:val="24"/>
          <w:szCs w:val="24"/>
          <w:lang w:val="fr-CA"/>
        </w:rPr>
        <w:t>un régime national d</w:t>
      </w:r>
      <w:r w:rsidR="00935A6C" w:rsidRPr="007B324D">
        <w:rPr>
          <w:rFonts w:ascii="72 Light" w:hAnsi="72 Light" w:cs="72 Light"/>
          <w:bCs/>
          <w:sz w:val="24"/>
          <w:szCs w:val="24"/>
          <w:lang w:val="fr-CA"/>
        </w:rPr>
        <w:t>’</w:t>
      </w:r>
      <w:r w:rsidRPr="007B324D">
        <w:rPr>
          <w:rFonts w:ascii="72 Light" w:hAnsi="72 Light" w:cs="72 Light"/>
          <w:bCs/>
          <w:sz w:val="24"/>
          <w:szCs w:val="24"/>
          <w:lang w:val="fr-CA"/>
        </w:rPr>
        <w:t>assurance-médicaments.</w:t>
      </w:r>
      <w:bookmarkEnd w:id="43"/>
    </w:p>
    <w:p w14:paraId="3540A7C7" w14:textId="72AE820A" w:rsidR="00251FC6" w:rsidRPr="007B324D" w:rsidRDefault="00D4122B" w:rsidP="00F62155">
      <w:pPr>
        <w:tabs>
          <w:tab w:val="left" w:pos="3544"/>
        </w:tabs>
        <w:spacing w:before="120" w:line="276" w:lineRule="auto"/>
        <w:ind w:left="284" w:firstLine="0"/>
        <w:jc w:val="both"/>
        <w:rPr>
          <w:rFonts w:ascii="72 Light" w:hAnsi="72 Light" w:cs="72 Light"/>
          <w:bCs/>
          <w:sz w:val="24"/>
          <w:szCs w:val="24"/>
          <w:lang w:val="fr-CA"/>
        </w:rPr>
      </w:pPr>
      <w:bookmarkStart w:id="44" w:name="lt_pId043"/>
      <w:r w:rsidRPr="007B324D">
        <w:rPr>
          <w:rFonts w:ascii="72 Light" w:hAnsi="72 Light" w:cs="72 Light"/>
          <w:bCs/>
          <w:sz w:val="24"/>
          <w:szCs w:val="24"/>
          <w:lang w:val="fr-CA"/>
        </w:rPr>
        <w:t xml:space="preserve">Les organisations estiment que </w:t>
      </w:r>
      <w:r w:rsidR="002618FA" w:rsidRPr="007B324D">
        <w:rPr>
          <w:rFonts w:ascii="72 Light" w:hAnsi="72 Light" w:cs="72 Light"/>
          <w:bCs/>
          <w:sz w:val="24"/>
          <w:szCs w:val="24"/>
          <w:lang w:val="fr-CA"/>
        </w:rPr>
        <w:t>l</w:t>
      </w:r>
      <w:r w:rsidR="00935A6C" w:rsidRPr="007B324D">
        <w:rPr>
          <w:rFonts w:ascii="72 Light" w:hAnsi="72 Light" w:cs="72 Light"/>
          <w:bCs/>
          <w:sz w:val="24"/>
          <w:szCs w:val="24"/>
          <w:lang w:val="fr-CA"/>
        </w:rPr>
        <w:t>’</w:t>
      </w:r>
      <w:r w:rsidR="002618FA" w:rsidRPr="007B324D">
        <w:rPr>
          <w:rFonts w:ascii="72 Light" w:hAnsi="72 Light" w:cs="72 Light"/>
          <w:bCs/>
          <w:sz w:val="24"/>
          <w:szCs w:val="24"/>
          <w:lang w:val="fr-CA"/>
        </w:rPr>
        <w:t>augmentation fulgurante</w:t>
      </w:r>
      <w:r w:rsidRPr="007B324D">
        <w:rPr>
          <w:rFonts w:ascii="72 Light" w:hAnsi="72 Light" w:cs="72 Light"/>
          <w:bCs/>
          <w:sz w:val="24"/>
          <w:szCs w:val="24"/>
          <w:lang w:val="fr-CA"/>
        </w:rPr>
        <w:t xml:space="preserve"> des prix des </w:t>
      </w:r>
      <w:r w:rsidR="00AF2972" w:rsidRPr="007B324D">
        <w:rPr>
          <w:rFonts w:ascii="72 Light" w:hAnsi="72 Light" w:cs="72 Light"/>
          <w:bCs/>
          <w:sz w:val="24"/>
          <w:szCs w:val="24"/>
          <w:lang w:val="fr-CA"/>
        </w:rPr>
        <w:t>aliments</w:t>
      </w:r>
      <w:r w:rsidRPr="007B324D">
        <w:rPr>
          <w:rFonts w:ascii="72 Light" w:hAnsi="72 Light" w:cs="72 Light"/>
          <w:bCs/>
          <w:sz w:val="24"/>
          <w:szCs w:val="24"/>
          <w:lang w:val="fr-CA"/>
        </w:rPr>
        <w:t xml:space="preserve"> et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augmentation de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insécurité alimentaire au Canada constituent une lacune thématique du rapport.</w:t>
      </w:r>
      <w:bookmarkEnd w:id="44"/>
      <w:r w:rsidRPr="007B324D">
        <w:rPr>
          <w:rFonts w:ascii="72 Light" w:hAnsi="72 Light" w:cs="72 Light"/>
          <w:bCs/>
          <w:sz w:val="24"/>
          <w:szCs w:val="24"/>
          <w:lang w:val="fr-CA"/>
        </w:rPr>
        <w:t xml:space="preserve"> </w:t>
      </w:r>
      <w:bookmarkStart w:id="45" w:name="lt_pId044"/>
      <w:r w:rsidR="00AF2972" w:rsidRPr="007B324D">
        <w:rPr>
          <w:rFonts w:ascii="72 Light" w:hAnsi="72 Light" w:cs="72 Light"/>
          <w:bCs/>
          <w:sz w:val="24"/>
          <w:szCs w:val="24"/>
          <w:lang w:val="fr-CA"/>
        </w:rPr>
        <w:t>Elle</w:t>
      </w:r>
      <w:r w:rsidRPr="007B324D">
        <w:rPr>
          <w:rFonts w:ascii="72 Light" w:hAnsi="72 Light" w:cs="72 Light"/>
          <w:bCs/>
          <w:sz w:val="24"/>
          <w:szCs w:val="24"/>
          <w:lang w:val="fr-CA"/>
        </w:rPr>
        <w:t xml:space="preserve">s ont demandé une mise à jour </w:t>
      </w:r>
      <w:r w:rsidR="00AF2972" w:rsidRPr="007B324D">
        <w:rPr>
          <w:rFonts w:ascii="72 Light" w:hAnsi="72 Light" w:cs="72 Light"/>
          <w:bCs/>
          <w:sz w:val="24"/>
          <w:szCs w:val="24"/>
          <w:lang w:val="fr-CA"/>
        </w:rPr>
        <w:t>sur</w:t>
      </w:r>
      <w:r w:rsidRPr="007B324D">
        <w:rPr>
          <w:rFonts w:ascii="72 Light" w:hAnsi="72 Light" w:cs="72 Light"/>
          <w:bCs/>
          <w:sz w:val="24"/>
          <w:szCs w:val="24"/>
          <w:lang w:val="fr-CA"/>
        </w:rPr>
        <w:t xml:space="preserve"> la politique alimentaire du Canada et </w:t>
      </w:r>
      <w:r w:rsidR="00AF2972" w:rsidRPr="007B324D">
        <w:rPr>
          <w:rFonts w:ascii="72 Light" w:hAnsi="72 Light" w:cs="72 Light"/>
          <w:bCs/>
          <w:sz w:val="24"/>
          <w:szCs w:val="24"/>
          <w:lang w:val="fr-CA"/>
        </w:rPr>
        <w:t>l</w:t>
      </w:r>
      <w:r w:rsidRPr="007B324D">
        <w:rPr>
          <w:rFonts w:ascii="72 Light" w:hAnsi="72 Light" w:cs="72 Light"/>
          <w:bCs/>
          <w:sz w:val="24"/>
          <w:szCs w:val="24"/>
          <w:lang w:val="fr-CA"/>
        </w:rPr>
        <w:t>es autres mesures prises</w:t>
      </w:r>
      <w:r w:rsidR="00692A5C" w:rsidRPr="007B324D">
        <w:rPr>
          <w:rFonts w:ascii="72 Light" w:hAnsi="72 Light" w:cs="72 Light"/>
          <w:bCs/>
          <w:sz w:val="24"/>
          <w:szCs w:val="24"/>
          <w:lang w:val="fr-CA"/>
        </w:rPr>
        <w:t xml:space="preserve"> pour</w:t>
      </w:r>
      <w:r w:rsidRPr="007B324D">
        <w:rPr>
          <w:rFonts w:ascii="72 Light" w:hAnsi="72 Light" w:cs="72 Light"/>
          <w:bCs/>
          <w:sz w:val="24"/>
          <w:szCs w:val="24"/>
          <w:lang w:val="fr-CA"/>
        </w:rPr>
        <w:t xml:space="preserve"> garantir le droit à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alimentation</w:t>
      </w:r>
      <w:bookmarkEnd w:id="45"/>
      <w:r w:rsidR="000859DA" w:rsidRPr="007B324D">
        <w:rPr>
          <w:rFonts w:ascii="72 Light" w:hAnsi="72 Light" w:cs="72 Light"/>
          <w:bCs/>
          <w:sz w:val="24"/>
          <w:szCs w:val="24"/>
          <w:lang w:val="fr-CA"/>
        </w:rPr>
        <w:t xml:space="preserve">. </w:t>
      </w:r>
    </w:p>
    <w:p w14:paraId="7C38A199" w14:textId="68C7EEA3" w:rsidR="00F9153E" w:rsidRPr="007B324D" w:rsidRDefault="00FA2856" w:rsidP="00F62155">
      <w:pPr>
        <w:tabs>
          <w:tab w:val="left" w:pos="3544"/>
        </w:tabs>
        <w:spacing w:before="120" w:line="276" w:lineRule="auto"/>
        <w:ind w:left="284" w:firstLine="0"/>
        <w:jc w:val="both"/>
        <w:rPr>
          <w:rFonts w:ascii="72 Light" w:hAnsi="72 Light" w:cs="72 Light"/>
          <w:bCs/>
          <w:sz w:val="24"/>
          <w:szCs w:val="24"/>
          <w:lang w:val="fr-CA"/>
        </w:rPr>
      </w:pPr>
      <w:bookmarkStart w:id="46" w:name="lt_pId045"/>
      <w:r w:rsidRPr="007B324D">
        <w:rPr>
          <w:rFonts w:ascii="72 Light" w:hAnsi="72 Light" w:cs="72 Light"/>
          <w:bCs/>
          <w:sz w:val="24"/>
          <w:szCs w:val="24"/>
          <w:lang w:val="fr-CA"/>
        </w:rPr>
        <w:t>Les organisations ont salué les progrès réalisés en matière de réduction de la pauvreté grâce à des mécanismes de soutien au revenu tels que l</w:t>
      </w:r>
      <w:r w:rsidR="00935A6C" w:rsidRPr="007B324D">
        <w:rPr>
          <w:rFonts w:ascii="72 Light" w:hAnsi="72 Light" w:cs="72 Light"/>
          <w:bCs/>
          <w:sz w:val="24"/>
          <w:szCs w:val="24"/>
          <w:lang w:val="fr-CA"/>
        </w:rPr>
        <w:t>’</w:t>
      </w:r>
      <w:r w:rsidR="00AF2972" w:rsidRPr="007B324D">
        <w:rPr>
          <w:rFonts w:ascii="72 Light" w:hAnsi="72 Light" w:cs="72 Light"/>
          <w:bCs/>
          <w:sz w:val="24"/>
          <w:szCs w:val="24"/>
          <w:lang w:val="fr-CA"/>
        </w:rPr>
        <w:t>Allocation canadienne pour les travailleurs</w:t>
      </w:r>
      <w:r w:rsidRPr="007B324D">
        <w:rPr>
          <w:rFonts w:ascii="72 Light" w:hAnsi="72 Light" w:cs="72 Light"/>
          <w:bCs/>
          <w:sz w:val="24"/>
          <w:szCs w:val="24"/>
          <w:lang w:val="fr-CA"/>
        </w:rPr>
        <w:t xml:space="preserve"> et la </w:t>
      </w:r>
      <w:r w:rsidR="00AF2972" w:rsidRPr="007B324D">
        <w:rPr>
          <w:rFonts w:ascii="72 Light" w:hAnsi="72 Light" w:cs="72 Light"/>
          <w:bCs/>
          <w:sz w:val="24"/>
          <w:szCs w:val="24"/>
          <w:lang w:val="fr-CA"/>
        </w:rPr>
        <w:t>Prestation canadienne d</w:t>
      </w:r>
      <w:r w:rsidR="00935A6C" w:rsidRPr="007B324D">
        <w:rPr>
          <w:rFonts w:ascii="72 Light" w:hAnsi="72 Light" w:cs="72 Light"/>
          <w:bCs/>
          <w:sz w:val="24"/>
          <w:szCs w:val="24"/>
          <w:lang w:val="fr-CA"/>
        </w:rPr>
        <w:t>’</w:t>
      </w:r>
      <w:r w:rsidR="00AF2972" w:rsidRPr="007B324D">
        <w:rPr>
          <w:rFonts w:ascii="72 Light" w:hAnsi="72 Light" w:cs="72 Light"/>
          <w:bCs/>
          <w:sz w:val="24"/>
          <w:szCs w:val="24"/>
          <w:lang w:val="fr-CA"/>
        </w:rPr>
        <w:t>urgence</w:t>
      </w:r>
      <w:r w:rsidRPr="007B324D">
        <w:rPr>
          <w:rFonts w:ascii="72 Light" w:hAnsi="72 Light" w:cs="72 Light"/>
          <w:bCs/>
          <w:sz w:val="24"/>
          <w:szCs w:val="24"/>
          <w:lang w:val="fr-CA"/>
        </w:rPr>
        <w:t xml:space="preserve">, tout en notant que le rapport ne fait aucune </w:t>
      </w:r>
      <w:r w:rsidR="002E09DB" w:rsidRPr="007B324D">
        <w:rPr>
          <w:rFonts w:ascii="72 Light" w:hAnsi="72 Light" w:cs="72 Light"/>
          <w:bCs/>
          <w:sz w:val="24"/>
          <w:szCs w:val="24"/>
          <w:lang w:val="fr-CA"/>
        </w:rPr>
        <w:t>mention d</w:t>
      </w:r>
      <w:r w:rsidR="00692A5C" w:rsidRPr="007B324D">
        <w:rPr>
          <w:rFonts w:ascii="72 Light" w:hAnsi="72 Light" w:cs="72 Light"/>
          <w:bCs/>
          <w:sz w:val="24"/>
          <w:szCs w:val="24"/>
          <w:lang w:val="fr-CA"/>
        </w:rPr>
        <w:t>’</w:t>
      </w:r>
      <w:r w:rsidR="00AF2972" w:rsidRPr="007B324D">
        <w:rPr>
          <w:rFonts w:ascii="72 Light" w:hAnsi="72 Light" w:cs="72 Light"/>
          <w:bCs/>
          <w:sz w:val="24"/>
          <w:szCs w:val="24"/>
          <w:lang w:val="fr-CA"/>
        </w:rPr>
        <w:t>«</w:t>
      </w:r>
      <w:r w:rsidR="00042C3C" w:rsidRPr="007B324D">
        <w:rPr>
          <w:rFonts w:ascii="Arial" w:hAnsi="Arial" w:cs="Arial"/>
          <w:bCs/>
          <w:sz w:val="24"/>
          <w:szCs w:val="24"/>
          <w:lang w:val="fr-CA"/>
        </w:rPr>
        <w:t> </w:t>
      </w:r>
      <w:r w:rsidR="00AF2972" w:rsidRPr="007B324D">
        <w:rPr>
          <w:rFonts w:ascii="72 Light" w:hAnsi="72 Light" w:cs="72 Light"/>
          <w:bCs/>
          <w:sz w:val="24"/>
          <w:szCs w:val="24"/>
          <w:lang w:val="fr-CA"/>
        </w:rPr>
        <w:t>Une chance pour tous</w:t>
      </w:r>
      <w:r w:rsidR="00042C3C" w:rsidRPr="007B324D">
        <w:rPr>
          <w:rFonts w:ascii="Arial" w:hAnsi="Arial" w:cs="Arial"/>
          <w:bCs/>
          <w:sz w:val="24"/>
          <w:szCs w:val="24"/>
          <w:lang w:val="fr-CA"/>
        </w:rPr>
        <w:t> </w:t>
      </w:r>
      <w:r w:rsidR="00AF2972" w:rsidRPr="007B324D">
        <w:rPr>
          <w:rFonts w:ascii="72 Light" w:hAnsi="72 Light" w:cs="72 Light"/>
          <w:bCs/>
          <w:sz w:val="24"/>
          <w:szCs w:val="24"/>
          <w:lang w:val="fr-CA"/>
        </w:rPr>
        <w:t>»</w:t>
      </w:r>
      <w:r w:rsidR="00B376C6" w:rsidRPr="007B324D">
        <w:rPr>
          <w:rFonts w:ascii="72 Light" w:hAnsi="72 Light" w:cs="72 Light"/>
          <w:bCs/>
          <w:sz w:val="24"/>
          <w:szCs w:val="24"/>
          <w:lang w:val="fr-CA"/>
        </w:rPr>
        <w:t>, la première S</w:t>
      </w:r>
      <w:r w:rsidRPr="007B324D">
        <w:rPr>
          <w:rFonts w:ascii="72 Light" w:hAnsi="72 Light" w:cs="72 Light"/>
          <w:bCs/>
          <w:sz w:val="24"/>
          <w:szCs w:val="24"/>
          <w:lang w:val="fr-CA"/>
        </w:rPr>
        <w:t xml:space="preserve">tratégie </w:t>
      </w:r>
      <w:r w:rsidR="00B376C6" w:rsidRPr="007B324D">
        <w:rPr>
          <w:rFonts w:ascii="72 Light" w:hAnsi="72 Light" w:cs="72 Light"/>
          <w:bCs/>
          <w:sz w:val="24"/>
          <w:szCs w:val="24"/>
          <w:lang w:val="fr-CA"/>
        </w:rPr>
        <w:t xml:space="preserve">canadienne </w:t>
      </w:r>
      <w:r w:rsidRPr="007B324D">
        <w:rPr>
          <w:rFonts w:ascii="72 Light" w:hAnsi="72 Light" w:cs="72 Light"/>
          <w:bCs/>
          <w:sz w:val="24"/>
          <w:szCs w:val="24"/>
          <w:lang w:val="fr-CA"/>
        </w:rPr>
        <w:t>officielle de réduction de la pauvreté, bien que cette politique constitue un</w:t>
      </w:r>
      <w:r w:rsidR="0030286C" w:rsidRPr="007B324D">
        <w:rPr>
          <w:rFonts w:ascii="72 Light" w:hAnsi="72 Light" w:cs="72 Light"/>
          <w:bCs/>
          <w:sz w:val="24"/>
          <w:szCs w:val="24"/>
          <w:lang w:val="fr-CA"/>
        </w:rPr>
        <w:t>e</w:t>
      </w:r>
      <w:r w:rsidRPr="007B324D">
        <w:rPr>
          <w:rFonts w:ascii="72 Light" w:hAnsi="72 Light" w:cs="72 Light"/>
          <w:bCs/>
          <w:sz w:val="24"/>
          <w:szCs w:val="24"/>
          <w:lang w:val="fr-CA"/>
        </w:rPr>
        <w:t xml:space="preserve"> </w:t>
      </w:r>
      <w:r w:rsidR="0030286C" w:rsidRPr="007B324D">
        <w:rPr>
          <w:rFonts w:ascii="72 Light" w:hAnsi="72 Light" w:cs="72 Light"/>
          <w:bCs/>
          <w:sz w:val="24"/>
          <w:szCs w:val="24"/>
          <w:lang w:val="fr-CA"/>
        </w:rPr>
        <w:t xml:space="preserve">avancée </w:t>
      </w:r>
      <w:r w:rsidRPr="007B324D">
        <w:rPr>
          <w:rFonts w:ascii="72 Light" w:hAnsi="72 Light" w:cs="72 Light"/>
          <w:bCs/>
          <w:sz w:val="24"/>
          <w:szCs w:val="24"/>
          <w:lang w:val="fr-CA"/>
        </w:rPr>
        <w:t>important</w:t>
      </w:r>
      <w:r w:rsidR="00340844" w:rsidRPr="007B324D">
        <w:rPr>
          <w:rFonts w:ascii="72 Light" w:hAnsi="72 Light" w:cs="72 Light"/>
          <w:bCs/>
          <w:sz w:val="24"/>
          <w:szCs w:val="24"/>
          <w:lang w:val="fr-CA"/>
        </w:rPr>
        <w:t>e</w:t>
      </w:r>
      <w:r w:rsidRPr="007B324D">
        <w:rPr>
          <w:rFonts w:ascii="72 Light" w:hAnsi="72 Light" w:cs="72 Light"/>
          <w:bCs/>
          <w:sz w:val="24"/>
          <w:szCs w:val="24"/>
          <w:lang w:val="fr-CA"/>
        </w:rPr>
        <w:t xml:space="preserve"> qui répond directement aux recommand</w:t>
      </w:r>
      <w:r w:rsidR="002E09DB" w:rsidRPr="007B324D">
        <w:rPr>
          <w:rFonts w:ascii="72 Light" w:hAnsi="72 Light" w:cs="72 Light"/>
          <w:bCs/>
          <w:sz w:val="24"/>
          <w:szCs w:val="24"/>
          <w:lang w:val="fr-CA"/>
        </w:rPr>
        <w:t>ations antérieures des Nations U</w:t>
      </w:r>
      <w:r w:rsidRPr="007B324D">
        <w:rPr>
          <w:rFonts w:ascii="72 Light" w:hAnsi="72 Light" w:cs="72 Light"/>
          <w:bCs/>
          <w:sz w:val="24"/>
          <w:szCs w:val="24"/>
          <w:lang w:val="fr-CA"/>
        </w:rPr>
        <w:t>nies.</w:t>
      </w:r>
      <w:bookmarkEnd w:id="46"/>
      <w:r w:rsidRPr="007B324D">
        <w:rPr>
          <w:rFonts w:ascii="72 Light" w:hAnsi="72 Light" w:cs="72 Light"/>
          <w:bCs/>
          <w:sz w:val="24"/>
          <w:szCs w:val="24"/>
          <w:lang w:val="fr-CA"/>
        </w:rPr>
        <w:t xml:space="preserve"> </w:t>
      </w:r>
    </w:p>
    <w:p w14:paraId="419C8762" w14:textId="51432E5E" w:rsidR="00F25625" w:rsidRPr="007B324D" w:rsidRDefault="00D4122B" w:rsidP="00F62155">
      <w:pPr>
        <w:pStyle w:val="ListParagraph"/>
        <w:numPr>
          <w:ilvl w:val="0"/>
          <w:numId w:val="1"/>
        </w:numPr>
        <w:tabs>
          <w:tab w:val="left" w:pos="3544"/>
        </w:tabs>
        <w:spacing w:before="120" w:line="276" w:lineRule="auto"/>
        <w:ind w:left="284" w:hanging="567"/>
        <w:contextualSpacing w:val="0"/>
        <w:jc w:val="both"/>
        <w:rPr>
          <w:rFonts w:ascii="72 Light" w:hAnsi="72 Light" w:cs="72 Light"/>
          <w:b/>
          <w:sz w:val="24"/>
          <w:szCs w:val="24"/>
          <w:lang w:val="fr-CA"/>
        </w:rPr>
      </w:pPr>
      <w:bookmarkStart w:id="47" w:name="lt_pId046"/>
      <w:r w:rsidRPr="007B324D">
        <w:rPr>
          <w:rFonts w:ascii="72 Light" w:hAnsi="72 Light" w:cs="72 Light"/>
          <w:b/>
          <w:sz w:val="24"/>
          <w:szCs w:val="24"/>
          <w:lang w:val="fr-CA"/>
        </w:rPr>
        <w:t>Femmes et filles</w:t>
      </w:r>
      <w:bookmarkEnd w:id="47"/>
      <w:r w:rsidRPr="007B324D">
        <w:rPr>
          <w:rFonts w:ascii="72 Light" w:hAnsi="72 Light" w:cs="72 Light"/>
          <w:b/>
          <w:sz w:val="24"/>
          <w:szCs w:val="24"/>
          <w:lang w:val="fr-CA"/>
        </w:rPr>
        <w:t xml:space="preserve"> </w:t>
      </w:r>
    </w:p>
    <w:p w14:paraId="7BF0AF1B" w14:textId="1366EA8E" w:rsidR="00D02547" w:rsidRPr="007B324D" w:rsidRDefault="000F5745" w:rsidP="00F62155">
      <w:pPr>
        <w:tabs>
          <w:tab w:val="left" w:pos="3544"/>
        </w:tabs>
        <w:spacing w:before="120" w:line="276" w:lineRule="auto"/>
        <w:ind w:left="284" w:firstLine="0"/>
        <w:jc w:val="both"/>
        <w:rPr>
          <w:rFonts w:ascii="72 Light" w:hAnsi="72 Light" w:cs="72 Light"/>
          <w:bCs/>
          <w:sz w:val="24"/>
          <w:szCs w:val="24"/>
          <w:lang w:val="fr-CA"/>
        </w:rPr>
      </w:pPr>
      <w:bookmarkStart w:id="48" w:name="lt_pId047"/>
      <w:r w:rsidRPr="007B324D">
        <w:rPr>
          <w:rFonts w:ascii="72 Light" w:hAnsi="72 Light" w:cs="72 Light"/>
          <w:bCs/>
          <w:sz w:val="24"/>
          <w:szCs w:val="24"/>
          <w:lang w:val="fr-CA"/>
        </w:rPr>
        <w:t xml:space="preserve">Les organisations ont </w:t>
      </w:r>
      <w:r w:rsidR="004537E9" w:rsidRPr="007B324D">
        <w:rPr>
          <w:rFonts w:ascii="72 Light" w:hAnsi="72 Light" w:cs="72 Light"/>
          <w:bCs/>
          <w:sz w:val="24"/>
          <w:szCs w:val="24"/>
          <w:lang w:val="fr-CA"/>
        </w:rPr>
        <w:t xml:space="preserve">demandé </w:t>
      </w:r>
      <w:r w:rsidR="00692A5C" w:rsidRPr="007B324D">
        <w:rPr>
          <w:rFonts w:ascii="72 Light" w:hAnsi="72 Light" w:cs="72 Light"/>
          <w:bCs/>
          <w:sz w:val="24"/>
          <w:szCs w:val="24"/>
          <w:lang w:val="fr-CA"/>
        </w:rPr>
        <w:t xml:space="preserve">la prise de </w:t>
      </w:r>
      <w:r w:rsidRPr="007B324D">
        <w:rPr>
          <w:rFonts w:ascii="72 Light" w:hAnsi="72 Light" w:cs="72 Light"/>
          <w:bCs/>
          <w:sz w:val="24"/>
          <w:szCs w:val="24"/>
          <w:lang w:val="fr-CA"/>
        </w:rPr>
        <w:t xml:space="preserve">mesures plus </w:t>
      </w:r>
      <w:r w:rsidR="0060614F" w:rsidRPr="007B324D">
        <w:rPr>
          <w:rFonts w:ascii="72 Light" w:hAnsi="72 Light" w:cs="72 Light"/>
          <w:bCs/>
          <w:sz w:val="24"/>
          <w:szCs w:val="24"/>
          <w:lang w:val="fr-CA"/>
        </w:rPr>
        <w:t>fermes</w:t>
      </w:r>
      <w:r w:rsidR="004537E9" w:rsidRPr="007B324D">
        <w:rPr>
          <w:rFonts w:ascii="72 Light" w:hAnsi="72 Light" w:cs="72 Light"/>
          <w:bCs/>
          <w:sz w:val="24"/>
          <w:szCs w:val="24"/>
          <w:lang w:val="fr-CA"/>
        </w:rPr>
        <w:t xml:space="preserve"> </w:t>
      </w:r>
      <w:r w:rsidRPr="007B324D">
        <w:rPr>
          <w:rFonts w:ascii="72 Light" w:hAnsi="72 Light" w:cs="72 Light"/>
          <w:bCs/>
          <w:sz w:val="24"/>
          <w:szCs w:val="24"/>
          <w:lang w:val="fr-CA"/>
        </w:rPr>
        <w:t>pour lever les obstacles à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accès aux soins, en particulier à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utilisation en temps utile des services de santé personnels afin d</w:t>
      </w:r>
      <w:r w:rsidR="00935A6C" w:rsidRPr="007B324D">
        <w:rPr>
          <w:rFonts w:ascii="72 Light" w:hAnsi="72 Light" w:cs="72 Light"/>
          <w:bCs/>
          <w:sz w:val="24"/>
          <w:szCs w:val="24"/>
          <w:lang w:val="fr-CA"/>
        </w:rPr>
        <w:t>’</w:t>
      </w:r>
      <w:r w:rsidRPr="007B324D">
        <w:rPr>
          <w:rFonts w:ascii="72 Light" w:hAnsi="72 Light" w:cs="72 Light"/>
          <w:bCs/>
          <w:sz w:val="24"/>
          <w:szCs w:val="24"/>
          <w:lang w:val="fr-CA"/>
        </w:rPr>
        <w:t xml:space="preserve">obtenir les meilleurs résultats </w:t>
      </w:r>
      <w:r w:rsidR="004537E9" w:rsidRPr="007B324D">
        <w:rPr>
          <w:rFonts w:ascii="72 Light" w:hAnsi="72 Light" w:cs="72 Light"/>
          <w:bCs/>
          <w:sz w:val="24"/>
          <w:szCs w:val="24"/>
          <w:lang w:val="fr-CA"/>
        </w:rPr>
        <w:t xml:space="preserve">possibles </w:t>
      </w:r>
      <w:r w:rsidRPr="007B324D">
        <w:rPr>
          <w:rFonts w:ascii="72 Light" w:hAnsi="72 Light" w:cs="72 Light"/>
          <w:bCs/>
          <w:sz w:val="24"/>
          <w:szCs w:val="24"/>
          <w:lang w:val="fr-CA"/>
        </w:rPr>
        <w:t>en matière de santé, au motif qu</w:t>
      </w:r>
      <w:r w:rsidR="00D512ED" w:rsidRPr="007B324D">
        <w:rPr>
          <w:rFonts w:ascii="72 Light" w:hAnsi="72 Light" w:cs="72 Light"/>
          <w:bCs/>
          <w:sz w:val="24"/>
          <w:szCs w:val="24"/>
          <w:lang w:val="fr-CA"/>
        </w:rPr>
        <w:t>e ces obstacles</w:t>
      </w:r>
      <w:r w:rsidRPr="007B324D">
        <w:rPr>
          <w:rFonts w:ascii="72 Light" w:hAnsi="72 Light" w:cs="72 Light"/>
          <w:bCs/>
          <w:sz w:val="24"/>
          <w:szCs w:val="24"/>
          <w:lang w:val="fr-CA"/>
        </w:rPr>
        <w:t xml:space="preserve"> sont actuellement inégaux et amplifiés pour les Canadiens marginalisés.</w:t>
      </w:r>
      <w:bookmarkStart w:id="49" w:name="lt_pId048"/>
      <w:bookmarkEnd w:id="48"/>
    </w:p>
    <w:p w14:paraId="2DDE21C2" w14:textId="1A24FFEE" w:rsidR="0025599C" w:rsidRPr="007B324D" w:rsidRDefault="004537E9" w:rsidP="00F62155">
      <w:pPr>
        <w:tabs>
          <w:tab w:val="left" w:pos="3544"/>
        </w:tabs>
        <w:spacing w:before="120" w:line="276" w:lineRule="auto"/>
        <w:ind w:left="284" w:firstLine="0"/>
        <w:jc w:val="both"/>
        <w:rPr>
          <w:rFonts w:ascii="72 Light" w:hAnsi="72 Light" w:cs="72 Light"/>
          <w:bCs/>
          <w:sz w:val="24"/>
          <w:szCs w:val="24"/>
          <w:lang w:val="fr-CA"/>
        </w:rPr>
      </w:pPr>
      <w:r w:rsidRPr="007B324D">
        <w:rPr>
          <w:rFonts w:ascii="72 Light" w:hAnsi="72 Light" w:cs="72 Light"/>
          <w:bCs/>
          <w:sz w:val="24"/>
          <w:szCs w:val="24"/>
          <w:lang w:val="fr-CA"/>
        </w:rPr>
        <w:t>D</w:t>
      </w:r>
      <w:r w:rsidR="00935A6C" w:rsidRPr="007B324D">
        <w:rPr>
          <w:rFonts w:ascii="72 Light" w:hAnsi="72 Light" w:cs="72 Light"/>
          <w:bCs/>
          <w:sz w:val="24"/>
          <w:szCs w:val="24"/>
          <w:lang w:val="fr-CA"/>
        </w:rPr>
        <w:t>’</w:t>
      </w:r>
      <w:r w:rsidRPr="007B324D">
        <w:rPr>
          <w:rFonts w:ascii="72 Light" w:hAnsi="72 Light" w:cs="72 Light"/>
          <w:bCs/>
          <w:sz w:val="24"/>
          <w:szCs w:val="24"/>
          <w:lang w:val="fr-CA"/>
        </w:rPr>
        <w:t>après l</w:t>
      </w:r>
      <w:r w:rsidR="000F5745" w:rsidRPr="007B324D">
        <w:rPr>
          <w:rFonts w:ascii="72 Light" w:hAnsi="72 Light" w:cs="72 Light"/>
          <w:bCs/>
          <w:sz w:val="24"/>
          <w:szCs w:val="24"/>
          <w:lang w:val="fr-CA"/>
        </w:rPr>
        <w:t xml:space="preserve">es </w:t>
      </w:r>
      <w:r w:rsidR="00320AB1" w:rsidRPr="007B324D">
        <w:rPr>
          <w:rFonts w:ascii="72 Light" w:hAnsi="72 Light" w:cs="72 Light"/>
          <w:bCs/>
          <w:sz w:val="24"/>
          <w:szCs w:val="24"/>
          <w:lang w:val="fr-CA"/>
        </w:rPr>
        <w:t>commentaire</w:t>
      </w:r>
      <w:r w:rsidR="000F5745" w:rsidRPr="007B324D">
        <w:rPr>
          <w:rFonts w:ascii="72 Light" w:hAnsi="72 Light" w:cs="72 Light"/>
          <w:bCs/>
          <w:sz w:val="24"/>
          <w:szCs w:val="24"/>
          <w:lang w:val="fr-CA"/>
        </w:rPr>
        <w:t>s reçus</w:t>
      </w:r>
      <w:r w:rsidRPr="007B324D">
        <w:rPr>
          <w:rFonts w:ascii="72 Light" w:hAnsi="72 Light" w:cs="72 Light"/>
          <w:bCs/>
          <w:sz w:val="24"/>
          <w:szCs w:val="24"/>
          <w:lang w:val="fr-CA"/>
        </w:rPr>
        <w:t>,</w:t>
      </w:r>
      <w:r w:rsidR="000F5745" w:rsidRPr="007B324D">
        <w:rPr>
          <w:rFonts w:ascii="72 Light" w:hAnsi="72 Light" w:cs="72 Light"/>
          <w:bCs/>
          <w:sz w:val="24"/>
          <w:szCs w:val="24"/>
          <w:lang w:val="fr-CA"/>
        </w:rPr>
        <w:t xml:space="preserve"> les efforts déployés pour remédier à </w:t>
      </w:r>
      <w:r w:rsidRPr="007B324D">
        <w:rPr>
          <w:rFonts w:ascii="72 Light" w:hAnsi="72 Light" w:cs="72 Light"/>
          <w:bCs/>
          <w:sz w:val="24"/>
          <w:szCs w:val="24"/>
          <w:lang w:val="fr-CA"/>
        </w:rPr>
        <w:t>l</w:t>
      </w:r>
      <w:r w:rsidR="00935A6C" w:rsidRPr="007B324D">
        <w:rPr>
          <w:rFonts w:ascii="72 Light" w:hAnsi="72 Light" w:cs="72 Light"/>
          <w:bCs/>
          <w:sz w:val="24"/>
          <w:szCs w:val="24"/>
          <w:lang w:val="fr-CA"/>
        </w:rPr>
        <w:t>’</w:t>
      </w:r>
      <w:r w:rsidR="000F5745" w:rsidRPr="007B324D">
        <w:rPr>
          <w:rFonts w:ascii="72 Light" w:hAnsi="72 Light" w:cs="72 Light"/>
          <w:bCs/>
          <w:sz w:val="24"/>
          <w:szCs w:val="24"/>
          <w:lang w:val="fr-CA"/>
        </w:rPr>
        <w:t xml:space="preserve">accès </w:t>
      </w:r>
      <w:r w:rsidRPr="007B324D">
        <w:rPr>
          <w:rFonts w:ascii="72 Light" w:hAnsi="72 Light" w:cs="72 Light"/>
          <w:bCs/>
          <w:sz w:val="24"/>
          <w:szCs w:val="24"/>
          <w:lang w:val="fr-CA"/>
        </w:rPr>
        <w:t xml:space="preserve">inégal </w:t>
      </w:r>
      <w:r w:rsidR="000F5745" w:rsidRPr="007B324D">
        <w:rPr>
          <w:rFonts w:ascii="72 Light" w:hAnsi="72 Light" w:cs="72 Light"/>
          <w:bCs/>
          <w:sz w:val="24"/>
          <w:szCs w:val="24"/>
          <w:lang w:val="fr-CA"/>
        </w:rPr>
        <w:t>sont in</w:t>
      </w:r>
      <w:r w:rsidRPr="007B324D">
        <w:rPr>
          <w:rFonts w:ascii="72 Light" w:hAnsi="72 Light" w:cs="72 Light"/>
          <w:bCs/>
          <w:sz w:val="24"/>
          <w:szCs w:val="24"/>
          <w:lang w:val="fr-CA"/>
        </w:rPr>
        <w:t>suffisants</w:t>
      </w:r>
      <w:r w:rsidR="000F5745" w:rsidRPr="007B324D">
        <w:rPr>
          <w:rFonts w:ascii="72 Light" w:hAnsi="72 Light" w:cs="72 Light"/>
          <w:bCs/>
          <w:sz w:val="24"/>
          <w:szCs w:val="24"/>
          <w:lang w:val="fr-CA"/>
        </w:rPr>
        <w:t xml:space="preserve"> et constituent des exemples de mise en œuvre incomplète des recommandations d</w:t>
      </w:r>
      <w:r w:rsidR="0060614F" w:rsidRPr="007B324D">
        <w:rPr>
          <w:rFonts w:ascii="72 Light" w:hAnsi="72 Light" w:cs="72 Light"/>
          <w:bCs/>
          <w:sz w:val="24"/>
          <w:szCs w:val="24"/>
          <w:lang w:val="fr-CA"/>
        </w:rPr>
        <w:t xml:space="preserve">u rapport sur </w:t>
      </w:r>
      <w:r w:rsidR="00D02547" w:rsidRPr="007B324D">
        <w:rPr>
          <w:rFonts w:ascii="72 Light" w:hAnsi="72 Light" w:cs="72 Light"/>
          <w:bCs/>
          <w:sz w:val="24"/>
          <w:szCs w:val="24"/>
          <w:lang w:val="fr-CA"/>
        </w:rPr>
        <w:t>l</w:t>
      </w:r>
      <w:r w:rsidR="00935A6C" w:rsidRPr="007B324D">
        <w:rPr>
          <w:rFonts w:ascii="72 Light" w:hAnsi="72 Light" w:cs="72 Light"/>
          <w:bCs/>
          <w:sz w:val="24"/>
          <w:szCs w:val="24"/>
          <w:lang w:val="fr-CA"/>
        </w:rPr>
        <w:t>’</w:t>
      </w:r>
      <w:r w:rsidR="00D02547" w:rsidRPr="007B324D">
        <w:rPr>
          <w:rFonts w:ascii="72 Light" w:hAnsi="72 Light" w:cs="72 Light"/>
          <w:bCs/>
          <w:sz w:val="24"/>
          <w:szCs w:val="24"/>
          <w:lang w:val="fr-CA"/>
        </w:rPr>
        <w:t>EPU</w:t>
      </w:r>
      <w:r w:rsidR="000F5745" w:rsidRPr="007B324D">
        <w:rPr>
          <w:rFonts w:ascii="72 Light" w:hAnsi="72 Light" w:cs="72 Light"/>
          <w:bCs/>
          <w:sz w:val="24"/>
          <w:szCs w:val="24"/>
          <w:lang w:val="fr-CA"/>
        </w:rPr>
        <w:t xml:space="preserve"> </w:t>
      </w:r>
      <w:r w:rsidRPr="007B324D">
        <w:rPr>
          <w:rFonts w:ascii="72 Light" w:hAnsi="72 Light" w:cs="72 Light"/>
          <w:bCs/>
          <w:sz w:val="24"/>
          <w:szCs w:val="24"/>
          <w:lang w:val="fr-CA"/>
        </w:rPr>
        <w:t xml:space="preserve">précédent </w:t>
      </w:r>
      <w:r w:rsidR="0060614F" w:rsidRPr="007B324D">
        <w:rPr>
          <w:rFonts w:ascii="72 Light" w:hAnsi="72 Light" w:cs="72 Light"/>
          <w:bCs/>
          <w:sz w:val="24"/>
          <w:szCs w:val="24"/>
          <w:lang w:val="fr-CA"/>
        </w:rPr>
        <w:t>ainsi que</w:t>
      </w:r>
      <w:r w:rsidR="000F5745" w:rsidRPr="007B324D">
        <w:rPr>
          <w:rFonts w:ascii="72 Light" w:hAnsi="72 Light" w:cs="72 Light"/>
          <w:bCs/>
          <w:sz w:val="24"/>
          <w:szCs w:val="24"/>
          <w:lang w:val="fr-CA"/>
        </w:rPr>
        <w:t xml:space="preserve"> de non-respect de</w:t>
      </w:r>
      <w:r w:rsidRPr="007B324D">
        <w:rPr>
          <w:rFonts w:ascii="72 Light" w:hAnsi="72 Light" w:cs="72 Light"/>
          <w:bCs/>
          <w:sz w:val="24"/>
          <w:szCs w:val="24"/>
          <w:lang w:val="fr-CA"/>
        </w:rPr>
        <w:t>s</w:t>
      </w:r>
      <w:r w:rsidR="000F5745" w:rsidRPr="007B324D">
        <w:rPr>
          <w:rFonts w:ascii="72 Light" w:hAnsi="72 Light" w:cs="72 Light"/>
          <w:bCs/>
          <w:sz w:val="24"/>
          <w:szCs w:val="24"/>
          <w:lang w:val="fr-CA"/>
        </w:rPr>
        <w:t xml:space="preserve"> </w:t>
      </w:r>
      <w:r w:rsidRPr="007B324D">
        <w:rPr>
          <w:rFonts w:ascii="72 Light" w:hAnsi="72 Light" w:cs="72 Light"/>
          <w:bCs/>
          <w:sz w:val="24"/>
          <w:szCs w:val="24"/>
          <w:lang w:val="fr-CA"/>
        </w:rPr>
        <w:t xml:space="preserve">lois </w:t>
      </w:r>
      <w:r w:rsidR="000F5745" w:rsidRPr="007B324D">
        <w:rPr>
          <w:rFonts w:ascii="72 Light" w:hAnsi="72 Light" w:cs="72 Light"/>
          <w:bCs/>
          <w:sz w:val="24"/>
          <w:szCs w:val="24"/>
          <w:lang w:val="fr-CA"/>
        </w:rPr>
        <w:t>internationale</w:t>
      </w:r>
      <w:r w:rsidRPr="007B324D">
        <w:rPr>
          <w:rFonts w:ascii="72 Light" w:hAnsi="72 Light" w:cs="72 Light"/>
          <w:bCs/>
          <w:sz w:val="24"/>
          <w:szCs w:val="24"/>
          <w:lang w:val="fr-CA"/>
        </w:rPr>
        <w:t>s</w:t>
      </w:r>
      <w:r w:rsidR="000F5745" w:rsidRPr="007B324D">
        <w:rPr>
          <w:rFonts w:ascii="72 Light" w:hAnsi="72 Light" w:cs="72 Light"/>
          <w:bCs/>
          <w:sz w:val="24"/>
          <w:szCs w:val="24"/>
          <w:lang w:val="fr-CA"/>
        </w:rPr>
        <w:t xml:space="preserve"> en matière de </w:t>
      </w:r>
      <w:r w:rsidR="00E33B57" w:rsidRPr="007B324D">
        <w:rPr>
          <w:rFonts w:ascii="72 Light" w:hAnsi="72 Light" w:cs="72 Light"/>
          <w:bCs/>
          <w:sz w:val="24"/>
          <w:szCs w:val="24"/>
          <w:lang w:val="fr-CA"/>
        </w:rPr>
        <w:t>droits de la personne</w:t>
      </w:r>
      <w:r w:rsidR="000F5745" w:rsidRPr="007B324D">
        <w:rPr>
          <w:rFonts w:ascii="72 Light" w:hAnsi="72 Light" w:cs="72 Light"/>
          <w:bCs/>
          <w:sz w:val="24"/>
          <w:szCs w:val="24"/>
          <w:lang w:val="fr-CA"/>
        </w:rPr>
        <w:t>.</w:t>
      </w:r>
      <w:bookmarkEnd w:id="49"/>
      <w:r w:rsidR="000F5745" w:rsidRPr="007B324D">
        <w:rPr>
          <w:rFonts w:ascii="72 Light" w:hAnsi="72 Light" w:cs="72 Light"/>
          <w:bCs/>
          <w:sz w:val="24"/>
          <w:szCs w:val="24"/>
          <w:lang w:val="fr-CA"/>
        </w:rPr>
        <w:t xml:space="preserve"> </w:t>
      </w:r>
    </w:p>
    <w:p w14:paraId="5D9210EB" w14:textId="40D8C5E9" w:rsidR="00105996" w:rsidRPr="007B324D" w:rsidRDefault="00CB0DD5" w:rsidP="00F62155">
      <w:pPr>
        <w:tabs>
          <w:tab w:val="left" w:pos="3544"/>
        </w:tabs>
        <w:spacing w:before="120" w:line="276" w:lineRule="auto"/>
        <w:ind w:left="284" w:firstLine="0"/>
        <w:jc w:val="both"/>
        <w:rPr>
          <w:rFonts w:ascii="72 Light" w:hAnsi="72 Light" w:cs="72 Light"/>
          <w:bCs/>
          <w:sz w:val="24"/>
          <w:szCs w:val="24"/>
          <w:lang w:val="fr-CA"/>
        </w:rPr>
      </w:pPr>
      <w:bookmarkStart w:id="50" w:name="lt_pId049"/>
      <w:r w:rsidRPr="007B324D">
        <w:rPr>
          <w:rFonts w:ascii="72 Light" w:hAnsi="72 Light" w:cs="72 Light"/>
          <w:bCs/>
          <w:sz w:val="24"/>
          <w:szCs w:val="24"/>
          <w:lang w:val="fr-CA"/>
        </w:rPr>
        <w:lastRenderedPageBreak/>
        <w:t>Les organisati</w:t>
      </w:r>
      <w:r w:rsidR="00D512ED" w:rsidRPr="007B324D">
        <w:rPr>
          <w:rFonts w:ascii="72 Light" w:hAnsi="72 Light" w:cs="72 Light"/>
          <w:bCs/>
          <w:sz w:val="24"/>
          <w:szCs w:val="24"/>
          <w:lang w:val="fr-CA"/>
        </w:rPr>
        <w:t>ons ont noté que les travailleuse</w:t>
      </w:r>
      <w:r w:rsidRPr="007B324D">
        <w:rPr>
          <w:rFonts w:ascii="72 Light" w:hAnsi="72 Light" w:cs="72 Light"/>
          <w:bCs/>
          <w:sz w:val="24"/>
          <w:szCs w:val="24"/>
          <w:lang w:val="fr-CA"/>
        </w:rPr>
        <w:t xml:space="preserve">s </w:t>
      </w:r>
      <w:r w:rsidR="00D512ED" w:rsidRPr="007B324D">
        <w:rPr>
          <w:rFonts w:ascii="72 Light" w:hAnsi="72 Light" w:cs="72 Light"/>
          <w:bCs/>
          <w:sz w:val="24"/>
          <w:szCs w:val="24"/>
          <w:lang w:val="fr-CA"/>
        </w:rPr>
        <w:t xml:space="preserve">et travailleurs </w:t>
      </w:r>
      <w:r w:rsidRPr="007B324D">
        <w:rPr>
          <w:rFonts w:ascii="72 Light" w:hAnsi="72 Light" w:cs="72 Light"/>
          <w:bCs/>
          <w:sz w:val="24"/>
          <w:szCs w:val="24"/>
          <w:lang w:val="fr-CA"/>
        </w:rPr>
        <w:t xml:space="preserve">du sexe </w:t>
      </w:r>
      <w:r w:rsidR="0060614F" w:rsidRPr="007B324D">
        <w:rPr>
          <w:rFonts w:ascii="72 Light" w:hAnsi="72 Light" w:cs="72 Light"/>
          <w:bCs/>
          <w:sz w:val="24"/>
          <w:szCs w:val="24"/>
          <w:lang w:val="fr-CA"/>
        </w:rPr>
        <w:t xml:space="preserve">demeurent aux prises avec </w:t>
      </w:r>
      <w:r w:rsidRPr="007B324D">
        <w:rPr>
          <w:rFonts w:ascii="72 Light" w:hAnsi="72 Light" w:cs="72 Light"/>
          <w:bCs/>
          <w:sz w:val="24"/>
          <w:szCs w:val="24"/>
          <w:lang w:val="fr-CA"/>
        </w:rPr>
        <w:t>la marginalisation et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 xml:space="preserve">exclusion financière, y compris dans les secteurs du logement et des soins de santé, et </w:t>
      </w:r>
      <w:r w:rsidR="00D512ED" w:rsidRPr="007B324D">
        <w:rPr>
          <w:rFonts w:ascii="72 Light" w:hAnsi="72 Light" w:cs="72 Light"/>
          <w:bCs/>
          <w:sz w:val="24"/>
          <w:szCs w:val="24"/>
          <w:lang w:val="fr-CA"/>
        </w:rPr>
        <w:t>ne peuvent</w:t>
      </w:r>
      <w:r w:rsidRPr="007B324D">
        <w:rPr>
          <w:rFonts w:ascii="72 Light" w:hAnsi="72 Light" w:cs="72 Light"/>
          <w:bCs/>
          <w:sz w:val="24"/>
          <w:szCs w:val="24"/>
          <w:lang w:val="fr-CA"/>
        </w:rPr>
        <w:t xml:space="preserve"> en outre </w:t>
      </w:r>
      <w:r w:rsidR="00D512ED" w:rsidRPr="007B324D">
        <w:rPr>
          <w:rFonts w:ascii="72 Light" w:hAnsi="72 Light" w:cs="72 Light"/>
          <w:bCs/>
          <w:sz w:val="24"/>
          <w:szCs w:val="24"/>
          <w:lang w:val="fr-CA"/>
        </w:rPr>
        <w:t>pas</w:t>
      </w:r>
      <w:r w:rsidRPr="007B324D">
        <w:rPr>
          <w:rFonts w:ascii="72 Light" w:hAnsi="72 Light" w:cs="72 Light"/>
          <w:bCs/>
          <w:sz w:val="24"/>
          <w:szCs w:val="24"/>
          <w:lang w:val="fr-CA"/>
        </w:rPr>
        <w:t xml:space="preserve"> participer à la prise de décision sur des questions </w:t>
      </w:r>
      <w:r w:rsidR="00D512ED" w:rsidRPr="007B324D">
        <w:rPr>
          <w:rFonts w:ascii="72 Light" w:hAnsi="72 Light" w:cs="72 Light"/>
          <w:bCs/>
          <w:sz w:val="24"/>
          <w:szCs w:val="24"/>
          <w:lang w:val="fr-CA"/>
        </w:rPr>
        <w:t xml:space="preserve">qui les </w:t>
      </w:r>
      <w:r w:rsidR="004537E9" w:rsidRPr="007B324D">
        <w:rPr>
          <w:rFonts w:ascii="72 Light" w:hAnsi="72 Light" w:cs="72 Light"/>
          <w:bCs/>
          <w:sz w:val="24"/>
          <w:szCs w:val="24"/>
          <w:lang w:val="fr-CA"/>
        </w:rPr>
        <w:t>touch</w:t>
      </w:r>
      <w:r w:rsidR="00D512ED" w:rsidRPr="007B324D">
        <w:rPr>
          <w:rFonts w:ascii="72 Light" w:hAnsi="72 Light" w:cs="72 Light"/>
          <w:bCs/>
          <w:sz w:val="24"/>
          <w:szCs w:val="24"/>
          <w:lang w:val="fr-CA"/>
        </w:rPr>
        <w:t>e</w:t>
      </w:r>
      <w:r w:rsidR="004537E9" w:rsidRPr="007B324D">
        <w:rPr>
          <w:rFonts w:ascii="72 Light" w:hAnsi="72 Light" w:cs="72 Light"/>
          <w:bCs/>
          <w:sz w:val="24"/>
          <w:szCs w:val="24"/>
          <w:lang w:val="fr-CA"/>
        </w:rPr>
        <w:t xml:space="preserve">nt </w:t>
      </w:r>
      <w:r w:rsidRPr="007B324D">
        <w:rPr>
          <w:rFonts w:ascii="72 Light" w:hAnsi="72 Light" w:cs="72 Light"/>
          <w:bCs/>
          <w:sz w:val="24"/>
          <w:szCs w:val="24"/>
          <w:lang w:val="fr-CA"/>
        </w:rPr>
        <w:t>direct</w:t>
      </w:r>
      <w:r w:rsidR="004537E9" w:rsidRPr="007B324D">
        <w:rPr>
          <w:rFonts w:ascii="72 Light" w:hAnsi="72 Light" w:cs="72 Light"/>
          <w:bCs/>
          <w:sz w:val="24"/>
          <w:szCs w:val="24"/>
          <w:lang w:val="fr-CA"/>
        </w:rPr>
        <w:t>ement</w:t>
      </w:r>
      <w:r w:rsidR="0060614F" w:rsidRPr="007B324D">
        <w:rPr>
          <w:rFonts w:ascii="72 Light" w:hAnsi="72 Light" w:cs="72 Light"/>
          <w:bCs/>
          <w:sz w:val="24"/>
          <w:szCs w:val="24"/>
          <w:lang w:val="fr-CA"/>
        </w:rPr>
        <w:t>. Elles</w:t>
      </w:r>
      <w:r w:rsidR="00C02751" w:rsidRPr="007B324D">
        <w:rPr>
          <w:rFonts w:ascii="72 Light" w:hAnsi="72 Light" w:cs="72 Light"/>
          <w:bCs/>
          <w:sz w:val="24"/>
          <w:szCs w:val="24"/>
          <w:lang w:val="fr-CA"/>
        </w:rPr>
        <w:t xml:space="preserve"> ont demandé aux gouvernements de fournir davantage de détails concernant les étapes concrètes </w:t>
      </w:r>
      <w:r w:rsidR="00ED5436" w:rsidRPr="007B324D">
        <w:rPr>
          <w:rFonts w:ascii="72 Light" w:hAnsi="72 Light" w:cs="72 Light"/>
          <w:bCs/>
          <w:sz w:val="24"/>
          <w:szCs w:val="24"/>
          <w:lang w:val="fr-CA"/>
        </w:rPr>
        <w:t>prises pour abroger les lois qui criminalisent l</w:t>
      </w:r>
      <w:r w:rsidR="00935A6C" w:rsidRPr="007B324D">
        <w:rPr>
          <w:rFonts w:ascii="72 Light" w:hAnsi="72 Light" w:cs="72 Light"/>
          <w:bCs/>
          <w:sz w:val="24"/>
          <w:szCs w:val="24"/>
          <w:lang w:val="fr-CA"/>
        </w:rPr>
        <w:t>’</w:t>
      </w:r>
      <w:r w:rsidR="00ED5436" w:rsidRPr="007B324D">
        <w:rPr>
          <w:rFonts w:ascii="72 Light" w:hAnsi="72 Light" w:cs="72 Light"/>
          <w:bCs/>
          <w:sz w:val="24"/>
          <w:szCs w:val="24"/>
          <w:lang w:val="fr-CA"/>
        </w:rPr>
        <w:t>échange de services sexuels entre adultes consentants</w:t>
      </w:r>
      <w:r w:rsidRPr="007B324D">
        <w:rPr>
          <w:rFonts w:ascii="72 Light" w:hAnsi="72 Light" w:cs="72 Light"/>
          <w:bCs/>
          <w:sz w:val="24"/>
          <w:szCs w:val="24"/>
          <w:lang w:val="fr-CA"/>
        </w:rPr>
        <w:t>.</w:t>
      </w:r>
      <w:bookmarkEnd w:id="50"/>
      <w:r w:rsidRPr="007B324D">
        <w:rPr>
          <w:rFonts w:ascii="72 Light" w:hAnsi="72 Light" w:cs="72 Light"/>
          <w:bCs/>
          <w:sz w:val="24"/>
          <w:szCs w:val="24"/>
          <w:lang w:val="fr-CA"/>
        </w:rPr>
        <w:t xml:space="preserve"> </w:t>
      </w:r>
      <w:bookmarkStart w:id="51" w:name="lt_pId050"/>
      <w:r w:rsidRPr="007B324D">
        <w:rPr>
          <w:rFonts w:ascii="72 Light" w:hAnsi="72 Light" w:cs="72 Light"/>
          <w:bCs/>
          <w:sz w:val="24"/>
          <w:szCs w:val="24"/>
          <w:lang w:val="fr-CA"/>
        </w:rPr>
        <w:t xml:space="preserve">Faisant écho aux appels des Nations Unies en faveur de la décriminalisation du </w:t>
      </w:r>
      <w:r w:rsidR="00D512ED" w:rsidRPr="007B324D">
        <w:rPr>
          <w:rFonts w:ascii="72 Light" w:hAnsi="72 Light" w:cs="72 Light"/>
          <w:bCs/>
          <w:sz w:val="24"/>
          <w:szCs w:val="24"/>
          <w:lang w:val="fr-CA"/>
        </w:rPr>
        <w:t>travail du sexe</w:t>
      </w:r>
      <w:r w:rsidRPr="007B324D">
        <w:rPr>
          <w:rFonts w:ascii="72 Light" w:hAnsi="72 Light" w:cs="72 Light"/>
          <w:bCs/>
          <w:sz w:val="24"/>
          <w:szCs w:val="24"/>
          <w:lang w:val="fr-CA"/>
        </w:rPr>
        <w:t xml:space="preserve">, les organisations ont </w:t>
      </w:r>
      <w:r w:rsidR="007D68AF" w:rsidRPr="007B324D">
        <w:rPr>
          <w:rFonts w:ascii="72 Light" w:hAnsi="72 Light" w:cs="72 Light"/>
          <w:bCs/>
          <w:sz w:val="24"/>
          <w:szCs w:val="24"/>
          <w:lang w:val="fr-CA"/>
        </w:rPr>
        <w:t xml:space="preserve">déploré </w:t>
      </w:r>
      <w:r w:rsidR="00D512ED" w:rsidRPr="007B324D">
        <w:rPr>
          <w:rFonts w:ascii="72 Light" w:hAnsi="72 Light" w:cs="72 Light"/>
          <w:bCs/>
          <w:sz w:val="24"/>
          <w:szCs w:val="24"/>
          <w:lang w:val="fr-CA"/>
        </w:rPr>
        <w:t>l</w:t>
      </w:r>
      <w:r w:rsidR="00935A6C" w:rsidRPr="007B324D">
        <w:rPr>
          <w:rFonts w:ascii="72 Light" w:hAnsi="72 Light" w:cs="72 Light"/>
          <w:bCs/>
          <w:sz w:val="24"/>
          <w:szCs w:val="24"/>
          <w:lang w:val="fr-CA"/>
        </w:rPr>
        <w:t>’</w:t>
      </w:r>
      <w:r w:rsidR="00D512ED" w:rsidRPr="007B324D">
        <w:rPr>
          <w:rFonts w:ascii="72 Light" w:hAnsi="72 Light" w:cs="72 Light"/>
          <w:bCs/>
          <w:sz w:val="24"/>
          <w:szCs w:val="24"/>
          <w:lang w:val="fr-CA"/>
        </w:rPr>
        <w:t>in</w:t>
      </w:r>
      <w:r w:rsidRPr="007B324D">
        <w:rPr>
          <w:rFonts w:ascii="72 Light" w:hAnsi="72 Light" w:cs="72 Light"/>
          <w:bCs/>
          <w:sz w:val="24"/>
          <w:szCs w:val="24"/>
          <w:lang w:val="fr-CA"/>
        </w:rPr>
        <w:t xml:space="preserve">action du gouvernement fédéral </w:t>
      </w:r>
      <w:r w:rsidR="0060614F" w:rsidRPr="007B324D">
        <w:rPr>
          <w:rFonts w:ascii="72 Light" w:hAnsi="72 Light" w:cs="72 Light"/>
          <w:bCs/>
          <w:sz w:val="24"/>
          <w:szCs w:val="24"/>
          <w:lang w:val="fr-CA"/>
        </w:rPr>
        <w:t>en matière de reconnaissance</w:t>
      </w:r>
      <w:r w:rsidR="00884E33" w:rsidRPr="007B324D">
        <w:rPr>
          <w:rFonts w:ascii="72 Light" w:hAnsi="72 Light" w:cs="72 Light"/>
          <w:bCs/>
          <w:sz w:val="24"/>
          <w:szCs w:val="24"/>
          <w:lang w:val="fr-CA"/>
        </w:rPr>
        <w:t>,</w:t>
      </w:r>
      <w:r w:rsidR="0060614F" w:rsidRPr="007B324D">
        <w:rPr>
          <w:rFonts w:ascii="72 Light" w:hAnsi="72 Light" w:cs="72 Light"/>
          <w:bCs/>
          <w:sz w:val="24"/>
          <w:szCs w:val="24"/>
          <w:lang w:val="fr-CA"/>
        </w:rPr>
        <w:t xml:space="preserve"> les </w:t>
      </w:r>
      <w:r w:rsidR="00D512ED" w:rsidRPr="007B324D">
        <w:rPr>
          <w:rFonts w:ascii="72 Light" w:hAnsi="72 Light" w:cs="72 Light"/>
          <w:bCs/>
          <w:sz w:val="24"/>
          <w:szCs w:val="24"/>
          <w:lang w:val="fr-CA"/>
        </w:rPr>
        <w:t xml:space="preserve">répercussions </w:t>
      </w:r>
      <w:r w:rsidR="0060614F" w:rsidRPr="007B324D">
        <w:rPr>
          <w:rFonts w:ascii="72 Light" w:hAnsi="72 Light" w:cs="72 Light"/>
          <w:bCs/>
          <w:sz w:val="24"/>
          <w:szCs w:val="24"/>
          <w:lang w:val="fr-CA"/>
        </w:rPr>
        <w:t>élargies</w:t>
      </w:r>
      <w:r w:rsidRPr="007B324D">
        <w:rPr>
          <w:rFonts w:ascii="72 Light" w:hAnsi="72 Light" w:cs="72 Light"/>
          <w:bCs/>
          <w:sz w:val="24"/>
          <w:szCs w:val="24"/>
          <w:lang w:val="fr-CA"/>
        </w:rPr>
        <w:t xml:space="preserve"> et </w:t>
      </w:r>
      <w:r w:rsidR="00D512ED" w:rsidRPr="007B324D">
        <w:rPr>
          <w:rFonts w:ascii="72 Light" w:hAnsi="72 Light" w:cs="72 Light"/>
          <w:bCs/>
          <w:sz w:val="24"/>
          <w:szCs w:val="24"/>
          <w:lang w:val="fr-CA"/>
        </w:rPr>
        <w:t xml:space="preserve">générales </w:t>
      </w:r>
      <w:r w:rsidRPr="007B324D">
        <w:rPr>
          <w:rFonts w:ascii="72 Light" w:hAnsi="72 Light" w:cs="72 Light"/>
          <w:bCs/>
          <w:sz w:val="24"/>
          <w:szCs w:val="24"/>
          <w:lang w:val="fr-CA"/>
        </w:rPr>
        <w:t xml:space="preserve">de la criminalisation </w:t>
      </w:r>
      <w:r w:rsidR="00D512ED" w:rsidRPr="007B324D">
        <w:rPr>
          <w:rFonts w:ascii="72 Light" w:hAnsi="72 Light" w:cs="72 Light"/>
          <w:bCs/>
          <w:sz w:val="24"/>
          <w:szCs w:val="24"/>
          <w:lang w:val="fr-CA"/>
        </w:rPr>
        <w:t>persistant</w:t>
      </w:r>
      <w:r w:rsidRPr="007B324D">
        <w:rPr>
          <w:rFonts w:ascii="72 Light" w:hAnsi="72 Light" w:cs="72 Light"/>
          <w:bCs/>
          <w:sz w:val="24"/>
          <w:szCs w:val="24"/>
          <w:lang w:val="fr-CA"/>
        </w:rPr>
        <w:t xml:space="preserve">e </w:t>
      </w:r>
      <w:r w:rsidR="00D512ED" w:rsidRPr="007B324D">
        <w:rPr>
          <w:rFonts w:ascii="72 Light" w:hAnsi="72 Light" w:cs="72 Light"/>
          <w:bCs/>
          <w:sz w:val="24"/>
          <w:szCs w:val="24"/>
          <w:lang w:val="fr-CA"/>
        </w:rPr>
        <w:t>de cette industrie</w:t>
      </w:r>
      <w:r w:rsidRPr="007B324D">
        <w:rPr>
          <w:rFonts w:ascii="72 Light" w:hAnsi="72 Light" w:cs="72 Light"/>
          <w:bCs/>
          <w:sz w:val="24"/>
          <w:szCs w:val="24"/>
          <w:lang w:val="fr-CA"/>
        </w:rPr>
        <w:t xml:space="preserve"> sur les </w:t>
      </w:r>
      <w:r w:rsidR="00E33B57" w:rsidRPr="007B324D">
        <w:rPr>
          <w:rFonts w:ascii="72 Light" w:hAnsi="72 Light" w:cs="72 Light"/>
          <w:bCs/>
          <w:sz w:val="24"/>
          <w:szCs w:val="24"/>
          <w:lang w:val="fr-CA"/>
        </w:rPr>
        <w:t xml:space="preserve">droits </w:t>
      </w:r>
      <w:r w:rsidR="00D512ED" w:rsidRPr="007B324D">
        <w:rPr>
          <w:rFonts w:ascii="72 Light" w:hAnsi="72 Light" w:cs="72 Light"/>
          <w:bCs/>
          <w:sz w:val="24"/>
          <w:szCs w:val="24"/>
          <w:lang w:val="fr-CA"/>
        </w:rPr>
        <w:t>fondamentaux</w:t>
      </w:r>
      <w:r w:rsidRPr="007B324D">
        <w:rPr>
          <w:rFonts w:ascii="72 Light" w:hAnsi="72 Light" w:cs="72 Light"/>
          <w:bCs/>
          <w:sz w:val="24"/>
          <w:szCs w:val="24"/>
          <w:lang w:val="fr-CA"/>
        </w:rPr>
        <w:t xml:space="preserve"> de</w:t>
      </w:r>
      <w:r w:rsidR="00C51AE9" w:rsidRPr="007B324D">
        <w:rPr>
          <w:rFonts w:ascii="72 Light" w:hAnsi="72 Light" w:cs="72 Light"/>
          <w:bCs/>
          <w:sz w:val="24"/>
          <w:szCs w:val="24"/>
          <w:lang w:val="fr-CA"/>
        </w:rPr>
        <w:t>s travailleuses et travailleurs du sexe</w:t>
      </w:r>
      <w:r w:rsidRPr="007B324D">
        <w:rPr>
          <w:rFonts w:ascii="72 Light" w:hAnsi="72 Light" w:cs="72 Light"/>
          <w:bCs/>
          <w:sz w:val="24"/>
          <w:szCs w:val="24"/>
          <w:lang w:val="fr-CA"/>
        </w:rPr>
        <w:t>.</w:t>
      </w:r>
      <w:bookmarkEnd w:id="51"/>
      <w:r w:rsidRPr="007B324D">
        <w:rPr>
          <w:rFonts w:ascii="72 Light" w:hAnsi="72 Light" w:cs="72 Light"/>
          <w:bCs/>
          <w:sz w:val="24"/>
          <w:szCs w:val="24"/>
          <w:lang w:val="fr-CA"/>
        </w:rPr>
        <w:t xml:space="preserve"> </w:t>
      </w:r>
    </w:p>
    <w:p w14:paraId="3E52D75A" w14:textId="3A9E0821" w:rsidR="00A27520" w:rsidRPr="007B324D" w:rsidRDefault="00A91FB5" w:rsidP="00F62155">
      <w:pPr>
        <w:tabs>
          <w:tab w:val="left" w:pos="3544"/>
        </w:tabs>
        <w:spacing w:before="120" w:line="276" w:lineRule="auto"/>
        <w:ind w:left="284" w:firstLine="0"/>
        <w:jc w:val="both"/>
        <w:rPr>
          <w:rFonts w:ascii="72 Light" w:hAnsi="72 Light" w:cs="72 Light"/>
          <w:bCs/>
          <w:sz w:val="24"/>
          <w:szCs w:val="24"/>
          <w:lang w:val="fr-CA"/>
        </w:rPr>
      </w:pPr>
      <w:bookmarkStart w:id="52" w:name="lt_pId051"/>
      <w:r w:rsidRPr="007B324D">
        <w:rPr>
          <w:rFonts w:ascii="72 Light" w:hAnsi="72 Light" w:cs="72 Light"/>
          <w:bCs/>
          <w:sz w:val="24"/>
          <w:szCs w:val="24"/>
          <w:lang w:val="fr-CA"/>
        </w:rPr>
        <w:t>Les organisations ont également</w:t>
      </w:r>
      <w:r w:rsidR="00B26E15" w:rsidRPr="007B324D">
        <w:rPr>
          <w:rFonts w:ascii="72 Light" w:hAnsi="72 Light" w:cs="72 Light"/>
          <w:bCs/>
          <w:sz w:val="24"/>
          <w:szCs w:val="24"/>
          <w:lang w:val="fr-CA"/>
        </w:rPr>
        <w:t xml:space="preserve"> encouragé </w:t>
      </w:r>
      <w:r w:rsidRPr="007B324D">
        <w:rPr>
          <w:rFonts w:ascii="72 Light" w:hAnsi="72 Light" w:cs="72 Light"/>
          <w:bCs/>
          <w:sz w:val="24"/>
          <w:szCs w:val="24"/>
          <w:lang w:val="fr-CA"/>
        </w:rPr>
        <w:t xml:space="preserve">les gouvernements </w:t>
      </w:r>
      <w:r w:rsidR="00466AD4" w:rsidRPr="007B324D">
        <w:rPr>
          <w:rFonts w:ascii="72 Light" w:hAnsi="72 Light" w:cs="72 Light"/>
          <w:bCs/>
          <w:sz w:val="24"/>
          <w:szCs w:val="24"/>
          <w:lang w:val="fr-CA"/>
        </w:rPr>
        <w:t>FPT</w:t>
      </w:r>
      <w:r w:rsidR="00B26E15" w:rsidRPr="007B324D">
        <w:rPr>
          <w:rFonts w:ascii="72 Light" w:hAnsi="72 Light" w:cs="72 Light"/>
          <w:bCs/>
          <w:sz w:val="24"/>
          <w:szCs w:val="24"/>
          <w:lang w:val="fr-CA"/>
        </w:rPr>
        <w:t xml:space="preserve"> </w:t>
      </w:r>
      <w:r w:rsidRPr="007B324D">
        <w:rPr>
          <w:rFonts w:ascii="72 Light" w:hAnsi="72 Light" w:cs="72 Light"/>
          <w:bCs/>
          <w:sz w:val="24"/>
          <w:szCs w:val="24"/>
          <w:lang w:val="fr-CA"/>
        </w:rPr>
        <w:t xml:space="preserve">à </w:t>
      </w:r>
      <w:r w:rsidR="00D512ED" w:rsidRPr="007B324D">
        <w:rPr>
          <w:rFonts w:ascii="72 Light" w:hAnsi="72 Light" w:cs="72 Light"/>
          <w:bCs/>
          <w:sz w:val="24"/>
          <w:szCs w:val="24"/>
          <w:lang w:val="fr-CA"/>
        </w:rPr>
        <w:t>souligner</w:t>
      </w:r>
      <w:r w:rsidR="00C51AE9" w:rsidRPr="007B324D">
        <w:rPr>
          <w:rFonts w:ascii="72 Light" w:hAnsi="72 Light" w:cs="72 Light"/>
          <w:bCs/>
          <w:sz w:val="24"/>
          <w:szCs w:val="24"/>
          <w:lang w:val="fr-CA"/>
        </w:rPr>
        <w:t xml:space="preserve"> au moins</w:t>
      </w:r>
      <w:r w:rsidR="00D512ED" w:rsidRPr="007B324D">
        <w:rPr>
          <w:rFonts w:ascii="72 Light" w:hAnsi="72 Light" w:cs="72 Light"/>
          <w:bCs/>
          <w:sz w:val="24"/>
          <w:szCs w:val="24"/>
          <w:lang w:val="fr-CA"/>
        </w:rPr>
        <w:t xml:space="preserve"> </w:t>
      </w:r>
      <w:r w:rsidRPr="007B324D">
        <w:rPr>
          <w:rFonts w:ascii="72 Light" w:hAnsi="72 Light" w:cs="72 Light"/>
          <w:bCs/>
          <w:sz w:val="24"/>
          <w:szCs w:val="24"/>
          <w:lang w:val="fr-CA"/>
        </w:rPr>
        <w:t xml:space="preserve">une des trois journées de commémoration et de deuil </w:t>
      </w:r>
      <w:r w:rsidR="00D512ED" w:rsidRPr="007B324D">
        <w:rPr>
          <w:rFonts w:ascii="72 Light" w:hAnsi="72 Light" w:cs="72 Light"/>
          <w:bCs/>
          <w:sz w:val="24"/>
          <w:szCs w:val="24"/>
          <w:lang w:val="fr-CA"/>
        </w:rPr>
        <w:t>reconnues à l</w:t>
      </w:r>
      <w:r w:rsidR="00935A6C" w:rsidRPr="007B324D">
        <w:rPr>
          <w:rFonts w:ascii="72 Light" w:hAnsi="72 Light" w:cs="72 Light"/>
          <w:bCs/>
          <w:sz w:val="24"/>
          <w:szCs w:val="24"/>
          <w:lang w:val="fr-CA"/>
        </w:rPr>
        <w:t>’</w:t>
      </w:r>
      <w:r w:rsidR="00D512ED" w:rsidRPr="007B324D">
        <w:rPr>
          <w:rFonts w:ascii="72 Light" w:hAnsi="72 Light" w:cs="72 Light"/>
          <w:bCs/>
          <w:sz w:val="24"/>
          <w:szCs w:val="24"/>
          <w:lang w:val="fr-CA"/>
        </w:rPr>
        <w:t xml:space="preserve">échelle internationale </w:t>
      </w:r>
      <w:r w:rsidRPr="007B324D">
        <w:rPr>
          <w:rFonts w:ascii="72 Light" w:hAnsi="72 Light" w:cs="72 Light"/>
          <w:bCs/>
          <w:sz w:val="24"/>
          <w:szCs w:val="24"/>
          <w:lang w:val="fr-CA"/>
        </w:rPr>
        <w:t xml:space="preserve">pour les </w:t>
      </w:r>
      <w:r w:rsidR="00D512ED" w:rsidRPr="007B324D">
        <w:rPr>
          <w:rFonts w:ascii="72 Light" w:hAnsi="72 Light" w:cs="72 Light"/>
          <w:bCs/>
          <w:sz w:val="24"/>
          <w:szCs w:val="24"/>
          <w:lang w:val="fr-CA"/>
        </w:rPr>
        <w:t xml:space="preserve">travailleuses et travailleurs </w:t>
      </w:r>
      <w:r w:rsidRPr="007B324D">
        <w:rPr>
          <w:rFonts w:ascii="72 Light" w:hAnsi="72 Light" w:cs="72 Light"/>
          <w:bCs/>
          <w:sz w:val="24"/>
          <w:szCs w:val="24"/>
          <w:lang w:val="fr-CA"/>
        </w:rPr>
        <w:t>du sexe assassinés.</w:t>
      </w:r>
      <w:bookmarkEnd w:id="52"/>
    </w:p>
    <w:p w14:paraId="6C6DB624" w14:textId="47A1B152" w:rsidR="00F25625" w:rsidRPr="007B324D" w:rsidRDefault="00D4122B" w:rsidP="00F62155">
      <w:pPr>
        <w:pStyle w:val="ListParagraph"/>
        <w:numPr>
          <w:ilvl w:val="0"/>
          <w:numId w:val="1"/>
        </w:numPr>
        <w:tabs>
          <w:tab w:val="left" w:pos="3544"/>
        </w:tabs>
        <w:spacing w:before="120" w:line="276" w:lineRule="auto"/>
        <w:ind w:left="284" w:hanging="567"/>
        <w:contextualSpacing w:val="0"/>
        <w:jc w:val="both"/>
        <w:rPr>
          <w:rFonts w:ascii="72 Light" w:hAnsi="72 Light" w:cs="72 Light"/>
          <w:b/>
          <w:sz w:val="24"/>
          <w:szCs w:val="24"/>
          <w:lang w:val="fr-CA"/>
        </w:rPr>
      </w:pPr>
      <w:bookmarkStart w:id="53" w:name="lt_pId052"/>
      <w:r w:rsidRPr="007B324D">
        <w:rPr>
          <w:rFonts w:ascii="72 Light" w:hAnsi="72 Light" w:cs="72 Light"/>
          <w:b/>
          <w:sz w:val="24"/>
          <w:szCs w:val="24"/>
          <w:lang w:val="fr-CA"/>
        </w:rPr>
        <w:t>Violence faite aux femmes et aux enfants</w:t>
      </w:r>
      <w:bookmarkEnd w:id="53"/>
      <w:r w:rsidRPr="007B324D">
        <w:rPr>
          <w:rFonts w:ascii="72 Light" w:hAnsi="72 Light" w:cs="72 Light"/>
          <w:b/>
          <w:sz w:val="24"/>
          <w:szCs w:val="24"/>
          <w:lang w:val="fr-CA"/>
        </w:rPr>
        <w:t xml:space="preserve"> </w:t>
      </w:r>
    </w:p>
    <w:p w14:paraId="7509A2CB" w14:textId="23077F82" w:rsidR="00A16311" w:rsidRPr="007B324D" w:rsidRDefault="007779C3" w:rsidP="00F62155">
      <w:pPr>
        <w:tabs>
          <w:tab w:val="left" w:pos="3544"/>
        </w:tabs>
        <w:spacing w:before="120" w:line="276" w:lineRule="auto"/>
        <w:ind w:left="284" w:firstLine="0"/>
        <w:jc w:val="both"/>
        <w:rPr>
          <w:rFonts w:ascii="72 Light" w:hAnsi="72 Light" w:cs="72 Light"/>
          <w:sz w:val="24"/>
          <w:szCs w:val="24"/>
          <w:lang w:val="fr-CA"/>
        </w:rPr>
      </w:pPr>
      <w:bookmarkStart w:id="54" w:name="lt_pId053"/>
      <w:r w:rsidRPr="007B324D">
        <w:rPr>
          <w:rFonts w:ascii="72 Light" w:hAnsi="72 Light" w:cs="72 Light"/>
          <w:bCs/>
          <w:sz w:val="24"/>
          <w:szCs w:val="24"/>
          <w:lang w:val="fr-CA"/>
        </w:rPr>
        <w:t xml:space="preserve">Les organisations reconnaissent que le </w:t>
      </w:r>
      <w:r w:rsidR="00D512ED" w:rsidRPr="007B324D">
        <w:rPr>
          <w:rFonts w:ascii="72 Light" w:hAnsi="72 Light" w:cs="72 Light"/>
          <w:bCs/>
          <w:sz w:val="24"/>
          <w:szCs w:val="24"/>
          <w:lang w:val="fr-CA"/>
        </w:rPr>
        <w:t>Plan d</w:t>
      </w:r>
      <w:r w:rsidR="00935A6C" w:rsidRPr="007B324D">
        <w:rPr>
          <w:rFonts w:ascii="72 Light" w:hAnsi="72 Light" w:cs="72 Light"/>
          <w:bCs/>
          <w:sz w:val="24"/>
          <w:szCs w:val="24"/>
          <w:lang w:val="fr-CA"/>
        </w:rPr>
        <w:t>’</w:t>
      </w:r>
      <w:r w:rsidR="00D512ED" w:rsidRPr="007B324D">
        <w:rPr>
          <w:rFonts w:ascii="72 Light" w:hAnsi="72 Light" w:cs="72 Light"/>
          <w:bCs/>
          <w:sz w:val="24"/>
          <w:szCs w:val="24"/>
          <w:lang w:val="fr-CA"/>
        </w:rPr>
        <w:t>action national pour mettre fin à la violence fondée sur le sexe</w:t>
      </w:r>
      <w:r w:rsidRPr="007B324D">
        <w:rPr>
          <w:rFonts w:ascii="72 Light" w:hAnsi="72 Light" w:cs="72 Light"/>
          <w:bCs/>
          <w:sz w:val="24"/>
          <w:szCs w:val="24"/>
          <w:lang w:val="fr-CA"/>
        </w:rPr>
        <w:t xml:space="preserve"> apportera un soutien à de nombreuses communautés, notamment en offrant des services juridiques, une représentation, des </w:t>
      </w:r>
      <w:r w:rsidR="00D512ED" w:rsidRPr="007B324D">
        <w:rPr>
          <w:rFonts w:ascii="72 Light" w:hAnsi="72 Light" w:cs="72 Light"/>
          <w:bCs/>
          <w:sz w:val="24"/>
          <w:szCs w:val="24"/>
          <w:lang w:val="fr-CA"/>
        </w:rPr>
        <w:t xml:space="preserve">services de counseling </w:t>
      </w:r>
      <w:r w:rsidRPr="007B324D">
        <w:rPr>
          <w:rFonts w:ascii="72 Light" w:hAnsi="72 Light" w:cs="72 Light"/>
          <w:bCs/>
          <w:sz w:val="24"/>
          <w:szCs w:val="24"/>
          <w:lang w:val="fr-CA"/>
        </w:rPr>
        <w:t>tenant compte des trauma</w:t>
      </w:r>
      <w:r w:rsidR="00D512ED" w:rsidRPr="007B324D">
        <w:rPr>
          <w:rFonts w:ascii="72 Light" w:hAnsi="72 Light" w:cs="72 Light"/>
          <w:bCs/>
          <w:sz w:val="24"/>
          <w:szCs w:val="24"/>
          <w:lang w:val="fr-CA"/>
        </w:rPr>
        <w:t>tismes et des services</w:t>
      </w:r>
      <w:r w:rsidRPr="007B324D">
        <w:rPr>
          <w:rFonts w:ascii="72 Light" w:hAnsi="72 Light" w:cs="72 Light"/>
          <w:bCs/>
          <w:sz w:val="24"/>
          <w:szCs w:val="24"/>
          <w:lang w:val="fr-CA"/>
        </w:rPr>
        <w:t xml:space="preserve"> </w:t>
      </w:r>
      <w:r w:rsidR="00D512ED" w:rsidRPr="007B324D">
        <w:rPr>
          <w:rFonts w:ascii="72 Light" w:hAnsi="72 Light" w:cs="72 Light"/>
          <w:bCs/>
          <w:sz w:val="24"/>
          <w:szCs w:val="24"/>
          <w:lang w:val="fr-CA"/>
        </w:rPr>
        <w:t>d</w:t>
      </w:r>
      <w:r w:rsidR="00935A6C" w:rsidRPr="007B324D">
        <w:rPr>
          <w:rFonts w:ascii="72 Light" w:hAnsi="72 Light" w:cs="72 Light"/>
          <w:bCs/>
          <w:sz w:val="24"/>
          <w:szCs w:val="24"/>
          <w:lang w:val="fr-CA"/>
        </w:rPr>
        <w:t>’</w:t>
      </w:r>
      <w:r w:rsidRPr="007B324D">
        <w:rPr>
          <w:rFonts w:ascii="72 Light" w:hAnsi="72 Light" w:cs="72 Light"/>
          <w:bCs/>
          <w:sz w:val="24"/>
          <w:szCs w:val="24"/>
          <w:lang w:val="fr-CA"/>
        </w:rPr>
        <w:t>interprétation multilingue a</w:t>
      </w:r>
      <w:r w:rsidR="00D512ED" w:rsidRPr="007B324D">
        <w:rPr>
          <w:rFonts w:ascii="72 Light" w:hAnsi="72 Light" w:cs="72 Light"/>
          <w:bCs/>
          <w:sz w:val="24"/>
          <w:szCs w:val="24"/>
          <w:lang w:val="fr-CA"/>
        </w:rPr>
        <w:t>ux femmes marginalisées et raci</w:t>
      </w:r>
      <w:r w:rsidRPr="007B324D">
        <w:rPr>
          <w:rFonts w:ascii="72 Light" w:hAnsi="72 Light" w:cs="72 Light"/>
          <w:bCs/>
          <w:sz w:val="24"/>
          <w:szCs w:val="24"/>
          <w:lang w:val="fr-CA"/>
        </w:rPr>
        <w:t>sées ainsi qu</w:t>
      </w:r>
      <w:r w:rsidR="00935A6C" w:rsidRPr="007B324D">
        <w:rPr>
          <w:rFonts w:ascii="72 Light" w:hAnsi="72 Light" w:cs="72 Light"/>
          <w:bCs/>
          <w:sz w:val="24"/>
          <w:szCs w:val="24"/>
          <w:lang w:val="fr-CA"/>
        </w:rPr>
        <w:t>’</w:t>
      </w:r>
      <w:r w:rsidRPr="007B324D">
        <w:rPr>
          <w:rFonts w:ascii="72 Light" w:hAnsi="72 Light" w:cs="72 Light"/>
          <w:bCs/>
          <w:sz w:val="24"/>
          <w:szCs w:val="24"/>
          <w:lang w:val="fr-CA"/>
        </w:rPr>
        <w:t xml:space="preserve">aux personnes </w:t>
      </w:r>
      <w:r w:rsidR="0060614F" w:rsidRPr="007B324D">
        <w:rPr>
          <w:rFonts w:ascii="72 Light" w:hAnsi="72 Light" w:cs="72 Light"/>
          <w:bCs/>
          <w:sz w:val="24"/>
          <w:szCs w:val="24"/>
          <w:lang w:val="fr-CA"/>
        </w:rPr>
        <w:t>de diverses identités de genre</w:t>
      </w:r>
      <w:r w:rsidRPr="007B324D">
        <w:rPr>
          <w:rFonts w:ascii="72 Light" w:hAnsi="72 Light" w:cs="72 Light"/>
          <w:bCs/>
          <w:sz w:val="24"/>
          <w:szCs w:val="24"/>
          <w:lang w:val="fr-CA"/>
        </w:rPr>
        <w:t xml:space="preserve"> </w:t>
      </w:r>
      <w:r w:rsidR="00D512ED" w:rsidRPr="007B324D">
        <w:rPr>
          <w:rFonts w:ascii="72 Light" w:hAnsi="72 Light" w:cs="72 Light"/>
          <w:bCs/>
          <w:sz w:val="24"/>
          <w:szCs w:val="24"/>
          <w:lang w:val="fr-CA"/>
        </w:rPr>
        <w:t>ayant été victimes de violence</w:t>
      </w:r>
      <w:r w:rsidRPr="007B324D">
        <w:rPr>
          <w:rFonts w:ascii="72 Light" w:hAnsi="72 Light" w:cs="72 Light"/>
          <w:bCs/>
          <w:sz w:val="24"/>
          <w:szCs w:val="24"/>
          <w:lang w:val="fr-CA"/>
        </w:rPr>
        <w:t>.</w:t>
      </w:r>
      <w:bookmarkEnd w:id="54"/>
      <w:r w:rsidRPr="007B324D">
        <w:rPr>
          <w:rFonts w:ascii="72 Light" w:hAnsi="72 Light" w:cs="72 Light"/>
          <w:bCs/>
          <w:sz w:val="24"/>
          <w:szCs w:val="24"/>
          <w:lang w:val="fr-CA"/>
        </w:rPr>
        <w:t xml:space="preserve"> </w:t>
      </w:r>
    </w:p>
    <w:p w14:paraId="2248D10D" w14:textId="212DAFE0" w:rsidR="0042426C" w:rsidRPr="007B324D" w:rsidRDefault="00D4122B" w:rsidP="00F62155">
      <w:pPr>
        <w:tabs>
          <w:tab w:val="left" w:pos="3544"/>
        </w:tabs>
        <w:spacing w:before="120" w:line="276" w:lineRule="auto"/>
        <w:ind w:left="284" w:firstLine="0"/>
        <w:jc w:val="both"/>
        <w:rPr>
          <w:rFonts w:ascii="72 Light" w:hAnsi="72 Light" w:cs="72 Light"/>
          <w:bCs/>
          <w:sz w:val="24"/>
          <w:szCs w:val="24"/>
          <w:lang w:val="fr-CA"/>
        </w:rPr>
      </w:pPr>
      <w:bookmarkStart w:id="55" w:name="lt_pId054"/>
      <w:r w:rsidRPr="007B324D">
        <w:rPr>
          <w:rFonts w:ascii="72 Light" w:hAnsi="72 Light" w:cs="72 Light"/>
          <w:sz w:val="24"/>
          <w:szCs w:val="24"/>
          <w:lang w:val="fr-CA"/>
        </w:rPr>
        <w:t>Les organisations ont demandé que le Canada aborde les questions liées au</w:t>
      </w:r>
      <w:r w:rsidR="009910C7" w:rsidRPr="007B324D">
        <w:rPr>
          <w:rFonts w:ascii="72 Light" w:hAnsi="72 Light" w:cs="72 Light"/>
          <w:sz w:val="24"/>
          <w:szCs w:val="24"/>
          <w:lang w:val="fr-CA"/>
        </w:rPr>
        <w:t>x expériences de violence fondée sur le sexe</w:t>
      </w:r>
      <w:r w:rsidRPr="007B324D">
        <w:rPr>
          <w:rFonts w:ascii="72 Light" w:hAnsi="72 Light" w:cs="72 Light"/>
          <w:sz w:val="24"/>
          <w:szCs w:val="24"/>
          <w:lang w:val="fr-CA"/>
        </w:rPr>
        <w:t xml:space="preserve"> </w:t>
      </w:r>
      <w:r w:rsidR="009910C7" w:rsidRPr="007B324D">
        <w:rPr>
          <w:rFonts w:ascii="72 Light" w:hAnsi="72 Light" w:cs="72 Light"/>
          <w:sz w:val="24"/>
          <w:szCs w:val="24"/>
          <w:lang w:val="fr-CA"/>
        </w:rPr>
        <w:t>vécues par l</w:t>
      </w:r>
      <w:r w:rsidRPr="007B324D">
        <w:rPr>
          <w:rFonts w:ascii="72 Light" w:hAnsi="72 Light" w:cs="72 Light"/>
          <w:sz w:val="24"/>
          <w:szCs w:val="24"/>
          <w:lang w:val="fr-CA"/>
        </w:rPr>
        <w:t xml:space="preserve">es </w:t>
      </w:r>
      <w:r w:rsidR="009910C7" w:rsidRPr="007B324D">
        <w:rPr>
          <w:rFonts w:ascii="72 Light" w:hAnsi="72 Light" w:cs="72 Light"/>
          <w:sz w:val="24"/>
          <w:szCs w:val="24"/>
          <w:lang w:val="fr-CA"/>
        </w:rPr>
        <w:t>Canadienne</w:t>
      </w:r>
      <w:r w:rsidRPr="007B324D">
        <w:rPr>
          <w:rFonts w:ascii="72 Light" w:hAnsi="72 Light" w:cs="72 Light"/>
          <w:sz w:val="24"/>
          <w:szCs w:val="24"/>
          <w:lang w:val="fr-CA"/>
        </w:rPr>
        <w:t xml:space="preserve">s </w:t>
      </w:r>
      <w:r w:rsidR="009910C7" w:rsidRPr="007B324D">
        <w:rPr>
          <w:rFonts w:ascii="72 Light" w:hAnsi="72 Light" w:cs="72 Light"/>
          <w:sz w:val="24"/>
          <w:szCs w:val="24"/>
          <w:lang w:val="fr-CA"/>
        </w:rPr>
        <w:t xml:space="preserve">racisées, aux femmes </w:t>
      </w:r>
      <w:r w:rsidRPr="007B324D">
        <w:rPr>
          <w:rFonts w:ascii="72 Light" w:hAnsi="72 Light" w:cs="72 Light"/>
          <w:sz w:val="24"/>
          <w:szCs w:val="24"/>
          <w:lang w:val="fr-CA"/>
        </w:rPr>
        <w:t xml:space="preserve">autochtones au Canada et </w:t>
      </w:r>
      <w:r w:rsidR="009910C7" w:rsidRPr="007B324D">
        <w:rPr>
          <w:rFonts w:ascii="72 Light" w:hAnsi="72 Light" w:cs="72 Light"/>
          <w:sz w:val="24"/>
          <w:szCs w:val="24"/>
          <w:lang w:val="fr-CA"/>
        </w:rPr>
        <w:t xml:space="preserve">aux </w:t>
      </w:r>
      <w:r w:rsidRPr="007B324D">
        <w:rPr>
          <w:rFonts w:ascii="72 Light" w:hAnsi="72 Light" w:cs="72 Light"/>
          <w:sz w:val="24"/>
          <w:szCs w:val="24"/>
          <w:lang w:val="fr-CA"/>
        </w:rPr>
        <w:t xml:space="preserve">droits des réfugiés, des migrants et des personnes </w:t>
      </w:r>
      <w:r w:rsidR="0060614F" w:rsidRPr="007B324D">
        <w:rPr>
          <w:rFonts w:ascii="72 Light" w:hAnsi="72 Light" w:cs="72 Light"/>
          <w:sz w:val="24"/>
          <w:szCs w:val="24"/>
          <w:lang w:val="fr-CA"/>
        </w:rPr>
        <w:t>ayant un</w:t>
      </w:r>
      <w:r w:rsidRPr="007B324D">
        <w:rPr>
          <w:rFonts w:ascii="72 Light" w:hAnsi="72 Light" w:cs="72 Light"/>
          <w:sz w:val="24"/>
          <w:szCs w:val="24"/>
          <w:lang w:val="fr-CA"/>
        </w:rPr>
        <w:t xml:space="preserve"> statut précaire ou temporaire.</w:t>
      </w:r>
      <w:bookmarkEnd w:id="55"/>
      <w:r w:rsidRPr="007B324D">
        <w:rPr>
          <w:rFonts w:ascii="72 Light" w:hAnsi="72 Light" w:cs="72 Light"/>
          <w:sz w:val="24"/>
          <w:szCs w:val="24"/>
          <w:lang w:val="fr-CA"/>
        </w:rPr>
        <w:t xml:space="preserve"> </w:t>
      </w:r>
    </w:p>
    <w:p w14:paraId="5B682C82" w14:textId="0BD0392B" w:rsidR="009A1B37" w:rsidRPr="007B324D" w:rsidRDefault="00E16B4C" w:rsidP="00F62155">
      <w:pPr>
        <w:tabs>
          <w:tab w:val="left" w:pos="3544"/>
        </w:tabs>
        <w:spacing w:before="120" w:line="276" w:lineRule="auto"/>
        <w:ind w:left="284" w:firstLine="0"/>
        <w:jc w:val="both"/>
        <w:rPr>
          <w:rFonts w:ascii="72 Light" w:hAnsi="72 Light" w:cs="72 Light"/>
          <w:bCs/>
          <w:sz w:val="24"/>
          <w:szCs w:val="24"/>
          <w:lang w:val="fr-CA"/>
        </w:rPr>
      </w:pPr>
      <w:bookmarkStart w:id="56" w:name="lt_pId055"/>
      <w:r w:rsidRPr="007B324D">
        <w:rPr>
          <w:rFonts w:ascii="72 Light" w:hAnsi="72 Light" w:cs="72 Light"/>
          <w:bCs/>
          <w:sz w:val="24"/>
          <w:szCs w:val="24"/>
          <w:lang w:val="fr-CA"/>
        </w:rPr>
        <w:t xml:space="preserve">Les organisations ont également </w:t>
      </w:r>
      <w:r w:rsidR="009910C7" w:rsidRPr="007B324D">
        <w:rPr>
          <w:rFonts w:ascii="72 Light" w:hAnsi="72 Light" w:cs="72 Light"/>
          <w:bCs/>
          <w:sz w:val="24"/>
          <w:szCs w:val="24"/>
          <w:lang w:val="fr-CA"/>
        </w:rPr>
        <w:t>souligné</w:t>
      </w:r>
      <w:r w:rsidRPr="007B324D">
        <w:rPr>
          <w:rFonts w:ascii="72 Light" w:hAnsi="72 Light" w:cs="72 Light"/>
          <w:bCs/>
          <w:sz w:val="24"/>
          <w:szCs w:val="24"/>
          <w:lang w:val="fr-CA"/>
        </w:rPr>
        <w:t xml:space="preserve"> les effets négatifs des mesures de confinement </w:t>
      </w:r>
      <w:r w:rsidR="009910C7" w:rsidRPr="007B324D">
        <w:rPr>
          <w:rFonts w:ascii="72 Light" w:hAnsi="72 Light" w:cs="72 Light"/>
          <w:bCs/>
          <w:sz w:val="24"/>
          <w:szCs w:val="24"/>
          <w:lang w:val="fr-CA"/>
        </w:rPr>
        <w:t xml:space="preserve">relatives à la </w:t>
      </w:r>
      <w:r w:rsidRPr="007B324D">
        <w:rPr>
          <w:rFonts w:ascii="72 Light" w:hAnsi="72 Light" w:cs="72 Light"/>
          <w:bCs/>
          <w:sz w:val="24"/>
          <w:szCs w:val="24"/>
          <w:lang w:val="fr-CA"/>
        </w:rPr>
        <w:t xml:space="preserve">COVID-19 sur la violence fondée sur le </w:t>
      </w:r>
      <w:r w:rsidR="009910C7" w:rsidRPr="007B324D">
        <w:rPr>
          <w:rFonts w:ascii="72 Light" w:hAnsi="72 Light" w:cs="72 Light"/>
          <w:bCs/>
          <w:sz w:val="24"/>
          <w:szCs w:val="24"/>
          <w:lang w:val="fr-CA"/>
        </w:rPr>
        <w:t>sexe et la perte de</w:t>
      </w:r>
      <w:r w:rsidRPr="007B324D">
        <w:rPr>
          <w:rFonts w:ascii="72 Light" w:hAnsi="72 Light" w:cs="72 Light"/>
          <w:bCs/>
          <w:sz w:val="24"/>
          <w:szCs w:val="24"/>
          <w:lang w:val="fr-CA"/>
        </w:rPr>
        <w:t xml:space="preserve"> </w:t>
      </w:r>
      <w:r w:rsidR="009910C7" w:rsidRPr="007B324D">
        <w:rPr>
          <w:rFonts w:ascii="72 Light" w:hAnsi="72 Light" w:cs="72 Light"/>
          <w:bCs/>
          <w:sz w:val="24"/>
          <w:szCs w:val="24"/>
          <w:lang w:val="fr-CA"/>
        </w:rPr>
        <w:t>mesures de soutien social</w:t>
      </w:r>
      <w:r w:rsidRPr="007B324D">
        <w:rPr>
          <w:rFonts w:ascii="72 Light" w:hAnsi="72 Light" w:cs="72 Light"/>
          <w:bCs/>
          <w:sz w:val="24"/>
          <w:szCs w:val="24"/>
          <w:lang w:val="fr-CA"/>
        </w:rPr>
        <w:t xml:space="preserve"> destiné</w:t>
      </w:r>
      <w:r w:rsidR="009910C7" w:rsidRPr="007B324D">
        <w:rPr>
          <w:rFonts w:ascii="72 Light" w:hAnsi="72 Light" w:cs="72 Light"/>
          <w:bCs/>
          <w:sz w:val="24"/>
          <w:szCs w:val="24"/>
          <w:lang w:val="fr-CA"/>
        </w:rPr>
        <w:t>e</w:t>
      </w:r>
      <w:r w:rsidRPr="007B324D">
        <w:rPr>
          <w:rFonts w:ascii="72 Light" w:hAnsi="72 Light" w:cs="72 Light"/>
          <w:bCs/>
          <w:sz w:val="24"/>
          <w:szCs w:val="24"/>
          <w:lang w:val="fr-CA"/>
        </w:rPr>
        <w:t>s aux survivant</w:t>
      </w:r>
      <w:r w:rsidR="009910C7" w:rsidRPr="007B324D">
        <w:rPr>
          <w:rFonts w:ascii="72 Light" w:hAnsi="72 Light" w:cs="72 Light"/>
          <w:bCs/>
          <w:sz w:val="24"/>
          <w:szCs w:val="24"/>
          <w:lang w:val="fr-CA"/>
        </w:rPr>
        <w:t>e</w:t>
      </w:r>
      <w:r w:rsidRPr="007B324D">
        <w:rPr>
          <w:rFonts w:ascii="72 Light" w:hAnsi="72 Light" w:cs="72 Light"/>
          <w:bCs/>
          <w:sz w:val="24"/>
          <w:szCs w:val="24"/>
          <w:lang w:val="fr-CA"/>
        </w:rPr>
        <w:t>s.</w:t>
      </w:r>
      <w:bookmarkEnd w:id="56"/>
      <w:r w:rsidRPr="007B324D">
        <w:rPr>
          <w:rFonts w:ascii="72 Light" w:hAnsi="72 Light" w:cs="72 Light"/>
          <w:bCs/>
          <w:sz w:val="24"/>
          <w:szCs w:val="24"/>
          <w:lang w:val="fr-CA"/>
        </w:rPr>
        <w:t xml:space="preserve"> </w:t>
      </w:r>
      <w:bookmarkStart w:id="57" w:name="lt_pId056"/>
      <w:r w:rsidRPr="007B324D">
        <w:rPr>
          <w:rFonts w:ascii="72 Light" w:hAnsi="72 Light" w:cs="72 Light"/>
          <w:bCs/>
          <w:sz w:val="24"/>
          <w:szCs w:val="24"/>
          <w:lang w:val="fr-CA"/>
        </w:rPr>
        <w:t>Il a été recommandé que le Canada s</w:t>
      </w:r>
      <w:r w:rsidR="00935A6C" w:rsidRPr="007B324D">
        <w:rPr>
          <w:rFonts w:ascii="72 Light" w:hAnsi="72 Light" w:cs="72 Light"/>
          <w:bCs/>
          <w:sz w:val="24"/>
          <w:szCs w:val="24"/>
          <w:lang w:val="fr-CA"/>
        </w:rPr>
        <w:t>’</w:t>
      </w:r>
      <w:r w:rsidRPr="007B324D">
        <w:rPr>
          <w:rFonts w:ascii="72 Light" w:hAnsi="72 Light" w:cs="72 Light"/>
          <w:bCs/>
          <w:sz w:val="24"/>
          <w:szCs w:val="24"/>
          <w:lang w:val="fr-CA"/>
        </w:rPr>
        <w:t xml:space="preserve">engage à </w:t>
      </w:r>
      <w:r w:rsidR="009910C7" w:rsidRPr="007B324D">
        <w:rPr>
          <w:rFonts w:ascii="72 Light" w:hAnsi="72 Light" w:cs="72 Light"/>
          <w:bCs/>
          <w:sz w:val="24"/>
          <w:szCs w:val="24"/>
          <w:lang w:val="fr-CA"/>
        </w:rPr>
        <w:t xml:space="preserve">procéder à une enquête et à une évaluation complètes </w:t>
      </w:r>
      <w:r w:rsidR="0060614F" w:rsidRPr="007B324D">
        <w:rPr>
          <w:rFonts w:ascii="72 Light" w:hAnsi="72 Light" w:cs="72 Light"/>
          <w:bCs/>
          <w:sz w:val="24"/>
          <w:szCs w:val="24"/>
          <w:lang w:val="fr-CA"/>
        </w:rPr>
        <w:t>de</w:t>
      </w:r>
      <w:r w:rsidR="009910C7" w:rsidRPr="007B324D">
        <w:rPr>
          <w:rFonts w:ascii="72 Light" w:hAnsi="72 Light" w:cs="72 Light"/>
          <w:bCs/>
          <w:sz w:val="24"/>
          <w:szCs w:val="24"/>
          <w:lang w:val="fr-CA"/>
        </w:rPr>
        <w:t xml:space="preserve"> la manière dont l</w:t>
      </w:r>
      <w:r w:rsidR="00935A6C" w:rsidRPr="007B324D">
        <w:rPr>
          <w:rFonts w:ascii="72 Light" w:hAnsi="72 Light" w:cs="72 Light"/>
          <w:bCs/>
          <w:sz w:val="24"/>
          <w:szCs w:val="24"/>
          <w:lang w:val="fr-CA"/>
        </w:rPr>
        <w:t>’</w:t>
      </w:r>
      <w:r w:rsidR="009910C7" w:rsidRPr="007B324D">
        <w:rPr>
          <w:rFonts w:ascii="72 Light" w:hAnsi="72 Light" w:cs="72 Light"/>
          <w:bCs/>
          <w:sz w:val="24"/>
          <w:szCs w:val="24"/>
          <w:lang w:val="fr-CA"/>
        </w:rPr>
        <w:t>intervention des gouvernements pendant la pandémie a pu contribuer directement ou indirectement à une augmentation de la violence fondée sur le sexe</w:t>
      </w:r>
      <w:r w:rsidRPr="007B324D">
        <w:rPr>
          <w:rFonts w:ascii="72 Light" w:hAnsi="72 Light" w:cs="72 Light"/>
          <w:bCs/>
          <w:sz w:val="24"/>
          <w:szCs w:val="24"/>
          <w:lang w:val="fr-CA"/>
        </w:rPr>
        <w:t xml:space="preserve">, </w:t>
      </w:r>
      <w:r w:rsidR="009910C7" w:rsidRPr="007B324D">
        <w:rPr>
          <w:rFonts w:ascii="72 Light" w:hAnsi="72 Light" w:cs="72 Light"/>
          <w:bCs/>
          <w:sz w:val="24"/>
          <w:szCs w:val="24"/>
          <w:lang w:val="fr-CA"/>
        </w:rPr>
        <w:t>ainsi qu</w:t>
      </w:r>
      <w:r w:rsidR="00935A6C" w:rsidRPr="007B324D">
        <w:rPr>
          <w:rFonts w:ascii="72 Light" w:hAnsi="72 Light" w:cs="72 Light"/>
          <w:bCs/>
          <w:sz w:val="24"/>
          <w:szCs w:val="24"/>
          <w:lang w:val="fr-CA"/>
        </w:rPr>
        <w:t>’</w:t>
      </w:r>
      <w:r w:rsidRPr="007B324D">
        <w:rPr>
          <w:rFonts w:ascii="72 Light" w:hAnsi="72 Light" w:cs="72 Light"/>
          <w:bCs/>
          <w:sz w:val="24"/>
          <w:szCs w:val="24"/>
          <w:lang w:val="fr-CA"/>
        </w:rPr>
        <w:t>à corriger</w:t>
      </w:r>
      <w:r w:rsidR="009910C7" w:rsidRPr="007B324D">
        <w:rPr>
          <w:rFonts w:ascii="72 Light" w:hAnsi="72 Light" w:cs="72 Light"/>
          <w:bCs/>
          <w:sz w:val="24"/>
          <w:szCs w:val="24"/>
          <w:lang w:val="fr-CA"/>
        </w:rPr>
        <w:t xml:space="preserve"> le problème.</w:t>
      </w:r>
      <w:r w:rsidRPr="007B324D">
        <w:rPr>
          <w:rFonts w:ascii="72 Light" w:hAnsi="72 Light" w:cs="72 Light"/>
          <w:bCs/>
          <w:sz w:val="24"/>
          <w:szCs w:val="24"/>
          <w:lang w:val="fr-CA"/>
        </w:rPr>
        <w:t xml:space="preserve"> </w:t>
      </w:r>
      <w:bookmarkEnd w:id="57"/>
    </w:p>
    <w:p w14:paraId="30DB8C80" w14:textId="1F68051C" w:rsidR="00DE6C60" w:rsidRPr="007B324D" w:rsidRDefault="00F90E43" w:rsidP="00F62155">
      <w:pPr>
        <w:tabs>
          <w:tab w:val="left" w:pos="3544"/>
        </w:tabs>
        <w:spacing w:before="120" w:line="276" w:lineRule="auto"/>
        <w:ind w:left="284" w:firstLine="0"/>
        <w:jc w:val="both"/>
        <w:rPr>
          <w:rFonts w:ascii="72 Light" w:hAnsi="72 Light" w:cs="72 Light"/>
          <w:bCs/>
          <w:sz w:val="24"/>
          <w:szCs w:val="24"/>
          <w:lang w:val="fr-CA"/>
        </w:rPr>
      </w:pPr>
      <w:bookmarkStart w:id="58" w:name="lt_pId057"/>
      <w:r w:rsidRPr="007B324D">
        <w:rPr>
          <w:rFonts w:ascii="72 Light" w:hAnsi="72 Light" w:cs="72 Light"/>
          <w:bCs/>
          <w:sz w:val="24"/>
          <w:szCs w:val="24"/>
          <w:lang w:val="fr-CA"/>
        </w:rPr>
        <w:t xml:space="preserve">La ratification par le gouvernement fédéral de la </w:t>
      </w:r>
      <w:r w:rsidRPr="007B324D">
        <w:rPr>
          <w:rFonts w:ascii="72 Light" w:hAnsi="72 Light" w:cs="72 Light"/>
          <w:bCs/>
          <w:i/>
          <w:sz w:val="24"/>
          <w:szCs w:val="24"/>
          <w:lang w:val="fr-CA"/>
        </w:rPr>
        <w:t>Convention sur la violence et le harcèlement</w:t>
      </w:r>
      <w:r w:rsidR="001C3FEF" w:rsidRPr="007B324D">
        <w:rPr>
          <w:rFonts w:ascii="72 Light" w:hAnsi="72 Light" w:cs="72 Light"/>
          <w:bCs/>
          <w:sz w:val="24"/>
          <w:szCs w:val="24"/>
          <w:lang w:val="fr-CA"/>
        </w:rPr>
        <w:t xml:space="preserve"> (Convention </w:t>
      </w:r>
      <w:r w:rsidRPr="007B324D">
        <w:rPr>
          <w:rFonts w:ascii="72 Light" w:hAnsi="72 Light" w:cs="72 Light"/>
          <w:bCs/>
          <w:sz w:val="24"/>
          <w:szCs w:val="24"/>
          <w:lang w:val="fr-CA"/>
        </w:rPr>
        <w:t>190) de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 xml:space="preserve">Organisation internationale du travail a été saluée par les organisations, qui ont </w:t>
      </w:r>
      <w:r w:rsidR="00DF6A6F" w:rsidRPr="007B324D">
        <w:rPr>
          <w:rFonts w:ascii="72 Light" w:hAnsi="72 Light" w:cs="72 Light"/>
          <w:bCs/>
          <w:sz w:val="24"/>
          <w:szCs w:val="24"/>
          <w:lang w:val="fr-CA"/>
        </w:rPr>
        <w:t>en outre</w:t>
      </w:r>
      <w:r w:rsidRPr="007B324D">
        <w:rPr>
          <w:rFonts w:ascii="72 Light" w:hAnsi="72 Light" w:cs="72 Light"/>
          <w:bCs/>
          <w:sz w:val="24"/>
          <w:szCs w:val="24"/>
          <w:lang w:val="fr-CA"/>
        </w:rPr>
        <w:t xml:space="preserve"> appelé le Canada à reconnaître la prévalence de</w:t>
      </w:r>
      <w:r w:rsidR="001C3FEF" w:rsidRPr="007B324D">
        <w:rPr>
          <w:rFonts w:ascii="72 Light" w:hAnsi="72 Light" w:cs="72 Light"/>
          <w:bCs/>
          <w:sz w:val="24"/>
          <w:szCs w:val="24"/>
          <w:lang w:val="fr-CA"/>
        </w:rPr>
        <w:t>s</w:t>
      </w:r>
      <w:r w:rsidRPr="007B324D">
        <w:rPr>
          <w:rFonts w:ascii="72 Light" w:hAnsi="72 Light" w:cs="72 Light"/>
          <w:bCs/>
          <w:sz w:val="24"/>
          <w:szCs w:val="24"/>
          <w:lang w:val="fr-CA"/>
        </w:rPr>
        <w:t xml:space="preserve"> agression</w:t>
      </w:r>
      <w:r w:rsidR="001C3FEF" w:rsidRPr="007B324D">
        <w:rPr>
          <w:rFonts w:ascii="72 Light" w:hAnsi="72 Light" w:cs="72 Light"/>
          <w:bCs/>
          <w:sz w:val="24"/>
          <w:szCs w:val="24"/>
          <w:lang w:val="fr-CA"/>
        </w:rPr>
        <w:t>s</w:t>
      </w:r>
      <w:r w:rsidRPr="007B324D">
        <w:rPr>
          <w:rFonts w:ascii="72 Light" w:hAnsi="72 Light" w:cs="72 Light"/>
          <w:bCs/>
          <w:sz w:val="24"/>
          <w:szCs w:val="24"/>
          <w:lang w:val="fr-CA"/>
        </w:rPr>
        <w:t xml:space="preserve"> sexuelle</w:t>
      </w:r>
      <w:r w:rsidR="001C3FEF" w:rsidRPr="007B324D">
        <w:rPr>
          <w:rFonts w:ascii="72 Light" w:hAnsi="72 Light" w:cs="72 Light"/>
          <w:bCs/>
          <w:sz w:val="24"/>
          <w:szCs w:val="24"/>
          <w:lang w:val="fr-CA"/>
        </w:rPr>
        <w:t>s et de la coercition dont sont victimes l</w:t>
      </w:r>
      <w:r w:rsidRPr="007B324D">
        <w:rPr>
          <w:rFonts w:ascii="72 Light" w:hAnsi="72 Light" w:cs="72 Light"/>
          <w:bCs/>
          <w:sz w:val="24"/>
          <w:szCs w:val="24"/>
          <w:lang w:val="fr-CA"/>
        </w:rPr>
        <w:t xml:space="preserve">es personnes </w:t>
      </w:r>
      <w:r w:rsidR="001C3FEF" w:rsidRPr="007B324D">
        <w:rPr>
          <w:rFonts w:ascii="72 Light" w:hAnsi="72 Light" w:cs="72 Light"/>
          <w:bCs/>
          <w:sz w:val="24"/>
          <w:szCs w:val="24"/>
          <w:lang w:val="fr-CA"/>
        </w:rPr>
        <w:t>en</w:t>
      </w:r>
      <w:r w:rsidRPr="007B324D">
        <w:rPr>
          <w:rFonts w:ascii="72 Light" w:hAnsi="72 Light" w:cs="72 Light"/>
          <w:bCs/>
          <w:sz w:val="24"/>
          <w:szCs w:val="24"/>
          <w:lang w:val="fr-CA"/>
        </w:rPr>
        <w:t xml:space="preserve"> s</w:t>
      </w:r>
      <w:r w:rsidR="001C3FEF" w:rsidRPr="007B324D">
        <w:rPr>
          <w:rFonts w:ascii="72 Light" w:hAnsi="72 Light" w:cs="72 Light"/>
          <w:bCs/>
          <w:sz w:val="24"/>
          <w:szCs w:val="24"/>
          <w:lang w:val="fr-CA"/>
        </w:rPr>
        <w:t>ituation</w:t>
      </w:r>
      <w:r w:rsidRPr="007B324D">
        <w:rPr>
          <w:rFonts w:ascii="72 Light" w:hAnsi="72 Light" w:cs="72 Light"/>
          <w:bCs/>
          <w:sz w:val="24"/>
          <w:szCs w:val="24"/>
          <w:lang w:val="fr-CA"/>
        </w:rPr>
        <w:t xml:space="preserve"> d</w:t>
      </w:r>
      <w:r w:rsidR="00935A6C" w:rsidRPr="007B324D">
        <w:rPr>
          <w:rFonts w:ascii="72 Light" w:hAnsi="72 Light" w:cs="72 Light"/>
          <w:bCs/>
          <w:sz w:val="24"/>
          <w:szCs w:val="24"/>
          <w:lang w:val="fr-CA"/>
        </w:rPr>
        <w:t>’</w:t>
      </w:r>
      <w:r w:rsidRPr="007B324D">
        <w:rPr>
          <w:rFonts w:ascii="72 Light" w:hAnsi="72 Light" w:cs="72 Light"/>
          <w:bCs/>
          <w:sz w:val="24"/>
          <w:szCs w:val="24"/>
          <w:lang w:val="fr-CA"/>
        </w:rPr>
        <w:t xml:space="preserve">immigration ou </w:t>
      </w:r>
      <w:r w:rsidR="001C3FEF" w:rsidRPr="007B324D">
        <w:rPr>
          <w:rFonts w:ascii="72 Light" w:hAnsi="72 Light" w:cs="72 Light"/>
          <w:bCs/>
          <w:sz w:val="24"/>
          <w:szCs w:val="24"/>
          <w:lang w:val="fr-CA"/>
        </w:rPr>
        <w:t>d</w:t>
      </w:r>
      <w:r w:rsidR="00935A6C" w:rsidRPr="007B324D">
        <w:rPr>
          <w:rFonts w:ascii="72 Light" w:hAnsi="72 Light" w:cs="72 Light"/>
          <w:bCs/>
          <w:sz w:val="24"/>
          <w:szCs w:val="24"/>
          <w:lang w:val="fr-CA"/>
        </w:rPr>
        <w:t>’</w:t>
      </w:r>
      <w:r w:rsidRPr="007B324D">
        <w:rPr>
          <w:rFonts w:ascii="72 Light" w:hAnsi="72 Light" w:cs="72 Light"/>
          <w:bCs/>
          <w:sz w:val="24"/>
          <w:szCs w:val="24"/>
          <w:lang w:val="fr-CA"/>
        </w:rPr>
        <w:t>emploi précaire, pour lesquelles il est difficile, voire impossible, de parler des expériences de violence sexu</w:t>
      </w:r>
      <w:r w:rsidR="001C3FEF" w:rsidRPr="007B324D">
        <w:rPr>
          <w:rFonts w:ascii="72 Light" w:hAnsi="72 Light" w:cs="72 Light"/>
          <w:bCs/>
          <w:sz w:val="24"/>
          <w:szCs w:val="24"/>
          <w:lang w:val="fr-CA"/>
        </w:rPr>
        <w:t>elle</w:t>
      </w:r>
      <w:r w:rsidRPr="007B324D">
        <w:rPr>
          <w:rFonts w:ascii="72 Light" w:hAnsi="72 Light" w:cs="72 Light"/>
          <w:bCs/>
          <w:sz w:val="24"/>
          <w:szCs w:val="24"/>
          <w:lang w:val="fr-CA"/>
        </w:rPr>
        <w:t xml:space="preserve"> ou de coercition économique </w:t>
      </w:r>
      <w:r w:rsidR="00DF6A6F" w:rsidRPr="007B324D">
        <w:rPr>
          <w:rFonts w:ascii="72 Light" w:hAnsi="72 Light" w:cs="72 Light"/>
          <w:bCs/>
          <w:sz w:val="24"/>
          <w:szCs w:val="24"/>
          <w:lang w:val="fr-CA"/>
        </w:rPr>
        <w:t xml:space="preserve">survenant </w:t>
      </w:r>
      <w:r w:rsidRPr="007B324D">
        <w:rPr>
          <w:rFonts w:ascii="72 Light" w:hAnsi="72 Light" w:cs="72 Light"/>
          <w:bCs/>
          <w:sz w:val="24"/>
          <w:szCs w:val="24"/>
          <w:lang w:val="fr-CA"/>
        </w:rPr>
        <w:t>sur le lieu de travail.</w:t>
      </w:r>
      <w:bookmarkEnd w:id="58"/>
      <w:r w:rsidR="00D4122B" w:rsidRPr="007B324D">
        <w:rPr>
          <w:rFonts w:ascii="72 Light" w:hAnsi="72 Light" w:cs="72 Light"/>
          <w:bCs/>
          <w:sz w:val="24"/>
          <w:szCs w:val="24"/>
          <w:lang w:val="fr-CA"/>
        </w:rPr>
        <w:t xml:space="preserve"> </w:t>
      </w:r>
    </w:p>
    <w:p w14:paraId="38A314CA" w14:textId="68832E27" w:rsidR="002D4E69" w:rsidRPr="007B324D" w:rsidRDefault="00D4122B" w:rsidP="00F62155">
      <w:pPr>
        <w:pStyle w:val="ListParagraph"/>
        <w:numPr>
          <w:ilvl w:val="0"/>
          <w:numId w:val="1"/>
        </w:numPr>
        <w:tabs>
          <w:tab w:val="left" w:pos="3544"/>
        </w:tabs>
        <w:spacing w:before="120" w:line="276" w:lineRule="auto"/>
        <w:ind w:left="284" w:hanging="567"/>
        <w:contextualSpacing w:val="0"/>
        <w:jc w:val="both"/>
        <w:rPr>
          <w:rFonts w:ascii="72 Light" w:hAnsi="72 Light" w:cs="72 Light"/>
          <w:b/>
          <w:sz w:val="24"/>
          <w:szCs w:val="24"/>
          <w:lang w:val="fr-CA"/>
        </w:rPr>
      </w:pPr>
      <w:bookmarkStart w:id="59" w:name="lt_pId058"/>
      <w:r w:rsidRPr="007B324D">
        <w:rPr>
          <w:rFonts w:ascii="72 Light" w:hAnsi="72 Light" w:cs="72 Light"/>
          <w:b/>
          <w:sz w:val="24"/>
          <w:szCs w:val="24"/>
          <w:lang w:val="fr-CA"/>
        </w:rPr>
        <w:t>Enfants et jeunes</w:t>
      </w:r>
      <w:bookmarkEnd w:id="59"/>
    </w:p>
    <w:p w14:paraId="7194E242" w14:textId="68299BC8" w:rsidR="00EE476D" w:rsidRPr="007B324D" w:rsidRDefault="00D4122B" w:rsidP="00F62155">
      <w:pPr>
        <w:tabs>
          <w:tab w:val="left" w:pos="3544"/>
        </w:tabs>
        <w:spacing w:before="120" w:line="276" w:lineRule="auto"/>
        <w:ind w:left="284" w:firstLine="0"/>
        <w:jc w:val="both"/>
        <w:rPr>
          <w:rFonts w:ascii="72 Light" w:hAnsi="72 Light" w:cs="72 Light"/>
          <w:bCs/>
          <w:sz w:val="24"/>
          <w:szCs w:val="24"/>
          <w:lang w:val="fr-CA"/>
        </w:rPr>
      </w:pPr>
      <w:bookmarkStart w:id="60" w:name="lt_pId059"/>
      <w:r w:rsidRPr="007B324D">
        <w:rPr>
          <w:rFonts w:ascii="72 Light" w:hAnsi="72 Light" w:cs="72 Light"/>
          <w:bCs/>
          <w:sz w:val="24"/>
          <w:szCs w:val="24"/>
          <w:lang w:val="fr-CA"/>
        </w:rPr>
        <w:lastRenderedPageBreak/>
        <w:t>Certaines organisations ont recommandé d</w:t>
      </w:r>
      <w:r w:rsidR="00935A6C" w:rsidRPr="007B324D">
        <w:rPr>
          <w:rFonts w:ascii="72 Light" w:hAnsi="72 Light" w:cs="72 Light"/>
          <w:bCs/>
          <w:sz w:val="24"/>
          <w:szCs w:val="24"/>
          <w:lang w:val="fr-CA"/>
        </w:rPr>
        <w:t>’</w:t>
      </w:r>
      <w:r w:rsidRPr="007B324D">
        <w:rPr>
          <w:rFonts w:ascii="72 Light" w:hAnsi="72 Light" w:cs="72 Light"/>
          <w:bCs/>
          <w:sz w:val="24"/>
          <w:szCs w:val="24"/>
          <w:lang w:val="fr-CA"/>
        </w:rPr>
        <w:t xml:space="preserve">inclure dans le rapport une </w:t>
      </w:r>
      <w:r w:rsidR="00033A37" w:rsidRPr="007B324D">
        <w:rPr>
          <w:rFonts w:ascii="72 Light" w:hAnsi="72 Light" w:cs="72 Light"/>
          <w:bCs/>
          <w:sz w:val="24"/>
          <w:szCs w:val="24"/>
          <w:lang w:val="fr-CA"/>
        </w:rPr>
        <w:t>mention de</w:t>
      </w:r>
      <w:r w:rsidRPr="007B324D">
        <w:rPr>
          <w:rFonts w:ascii="72 Light" w:hAnsi="72 Light" w:cs="72 Light"/>
          <w:bCs/>
          <w:sz w:val="24"/>
          <w:szCs w:val="24"/>
          <w:lang w:val="fr-CA"/>
        </w:rPr>
        <w:t xml:space="preserve"> la nouvelle prestation fédérale </w:t>
      </w:r>
      <w:r w:rsidR="001C3FEF" w:rsidRPr="007B324D">
        <w:rPr>
          <w:rFonts w:ascii="72 Light" w:hAnsi="72 Light" w:cs="72 Light"/>
          <w:bCs/>
          <w:sz w:val="24"/>
          <w:szCs w:val="24"/>
          <w:lang w:val="fr-CA"/>
        </w:rPr>
        <w:t xml:space="preserve">de soins dentaires </w:t>
      </w:r>
      <w:r w:rsidRPr="007B324D">
        <w:rPr>
          <w:rFonts w:ascii="72 Light" w:hAnsi="72 Light" w:cs="72 Light"/>
          <w:bCs/>
          <w:sz w:val="24"/>
          <w:szCs w:val="24"/>
          <w:lang w:val="fr-CA"/>
        </w:rPr>
        <w:t>pour les enfants, car elle représente une avancée importante pour le droit à la santé des enfants et des jeunes.</w:t>
      </w:r>
      <w:bookmarkEnd w:id="60"/>
      <w:r w:rsidRPr="007B324D">
        <w:rPr>
          <w:rFonts w:ascii="72 Light" w:hAnsi="72 Light" w:cs="72 Light"/>
          <w:bCs/>
          <w:sz w:val="24"/>
          <w:szCs w:val="24"/>
          <w:lang w:val="fr-CA"/>
        </w:rPr>
        <w:t xml:space="preserve"> </w:t>
      </w:r>
    </w:p>
    <w:p w14:paraId="2C1369B5" w14:textId="3D75EE85" w:rsidR="00F25625" w:rsidRPr="007B324D" w:rsidRDefault="001C3FEF" w:rsidP="00F62155">
      <w:pPr>
        <w:pStyle w:val="ListParagraph"/>
        <w:numPr>
          <w:ilvl w:val="0"/>
          <w:numId w:val="1"/>
        </w:numPr>
        <w:tabs>
          <w:tab w:val="left" w:pos="3544"/>
        </w:tabs>
        <w:spacing w:before="120" w:line="276" w:lineRule="auto"/>
        <w:ind w:left="284" w:hanging="567"/>
        <w:contextualSpacing w:val="0"/>
        <w:jc w:val="both"/>
        <w:rPr>
          <w:rFonts w:ascii="72 Light" w:hAnsi="72 Light" w:cs="72 Light"/>
          <w:b/>
          <w:sz w:val="24"/>
          <w:szCs w:val="24"/>
          <w:lang w:val="fr-CA"/>
        </w:rPr>
      </w:pPr>
      <w:bookmarkStart w:id="61" w:name="lt_pId060"/>
      <w:r w:rsidRPr="007B324D">
        <w:rPr>
          <w:rFonts w:ascii="72 Light" w:hAnsi="72 Light" w:cs="72 Light"/>
          <w:b/>
          <w:sz w:val="24"/>
          <w:szCs w:val="24"/>
          <w:lang w:val="fr-CA"/>
        </w:rPr>
        <w:t xml:space="preserve">Personnes </w:t>
      </w:r>
      <w:bookmarkEnd w:id="61"/>
      <w:r w:rsidR="002406CC" w:rsidRPr="007B324D">
        <w:rPr>
          <w:rFonts w:ascii="72 Light" w:hAnsi="72 Light" w:cs="72 Light"/>
          <w:b/>
          <w:sz w:val="24"/>
          <w:szCs w:val="24"/>
          <w:lang w:val="fr-CA"/>
        </w:rPr>
        <w:t>en situation de handicap</w:t>
      </w:r>
    </w:p>
    <w:p w14:paraId="65FC9DDB" w14:textId="34D8DDAB" w:rsidR="00E92AA3" w:rsidRPr="007B324D" w:rsidRDefault="0060614F" w:rsidP="00F62155">
      <w:pPr>
        <w:tabs>
          <w:tab w:val="left" w:pos="3544"/>
        </w:tabs>
        <w:spacing w:before="120" w:line="276" w:lineRule="auto"/>
        <w:ind w:left="284" w:firstLine="0"/>
        <w:jc w:val="both"/>
        <w:rPr>
          <w:rFonts w:ascii="72 Light" w:hAnsi="72 Light" w:cs="72 Light"/>
          <w:sz w:val="24"/>
          <w:szCs w:val="24"/>
          <w:lang w:val="fr-CA"/>
        </w:rPr>
      </w:pPr>
      <w:bookmarkStart w:id="62" w:name="lt_pId061"/>
      <w:r w:rsidRPr="007B324D">
        <w:rPr>
          <w:rFonts w:ascii="72 Light" w:hAnsi="72 Light" w:cs="72 Light"/>
          <w:sz w:val="24"/>
          <w:szCs w:val="24"/>
          <w:lang w:val="fr-CA"/>
        </w:rPr>
        <w:t>Les organisations ont recommandé que le rapport dépeigne plus en détail la réalité de l’état des droits de la personne en ce qui concerne la nécessité de garantir l’accessibilité aux personnes en situation de handicap</w:t>
      </w:r>
      <w:r w:rsidR="00BF3013" w:rsidRPr="007B324D">
        <w:rPr>
          <w:rFonts w:ascii="72 Light" w:hAnsi="72 Light" w:cs="72 Light"/>
          <w:sz w:val="24"/>
          <w:szCs w:val="24"/>
          <w:lang w:val="fr-CA"/>
        </w:rPr>
        <w:t xml:space="preserve">. Elles se sont inquiétées du fait que les préjudices subis par </w:t>
      </w:r>
      <w:r w:rsidRPr="007B324D">
        <w:rPr>
          <w:rFonts w:ascii="72 Light" w:hAnsi="72 Light" w:cs="72 Light"/>
          <w:sz w:val="24"/>
          <w:szCs w:val="24"/>
          <w:lang w:val="fr-CA"/>
        </w:rPr>
        <w:t xml:space="preserve">ces personnes </w:t>
      </w:r>
      <w:r w:rsidR="00BF3013" w:rsidRPr="007B324D">
        <w:rPr>
          <w:rFonts w:ascii="72 Light" w:hAnsi="72 Light" w:cs="72 Light"/>
          <w:sz w:val="24"/>
          <w:szCs w:val="24"/>
          <w:lang w:val="fr-CA"/>
        </w:rPr>
        <w:t xml:space="preserve">dans les prisons, notamment le recours à la force et à l’isolement à l’égard d’une personne en détresse émotionnelle, la non-reconnaissance des effets psychologiques de l’isolement cellulaire et l’utilisation de symptômes de santé mentale pour justifier des niveaux de sécurité plus élevés, ne sont pas inclus dans le rapport. </w:t>
      </w:r>
      <w:bookmarkEnd w:id="62"/>
    </w:p>
    <w:p w14:paraId="3365F62F" w14:textId="18848B93" w:rsidR="00F25625" w:rsidRPr="007B324D" w:rsidRDefault="29A1ACE0" w:rsidP="00F62155">
      <w:pPr>
        <w:pStyle w:val="ListParagraph"/>
        <w:numPr>
          <w:ilvl w:val="0"/>
          <w:numId w:val="1"/>
        </w:numPr>
        <w:tabs>
          <w:tab w:val="left" w:pos="3544"/>
        </w:tabs>
        <w:spacing w:before="120" w:line="276" w:lineRule="auto"/>
        <w:ind w:left="284" w:hanging="567"/>
        <w:contextualSpacing w:val="0"/>
        <w:jc w:val="both"/>
        <w:rPr>
          <w:rFonts w:ascii="72 Light" w:hAnsi="72 Light" w:cs="72 Light"/>
          <w:b/>
          <w:sz w:val="24"/>
          <w:szCs w:val="24"/>
          <w:lang w:val="fr-CA"/>
        </w:rPr>
      </w:pPr>
      <w:bookmarkStart w:id="63" w:name="lt_pId062"/>
      <w:r w:rsidRPr="007B324D">
        <w:rPr>
          <w:rFonts w:ascii="72 Light" w:hAnsi="72 Light" w:cs="72 Light"/>
          <w:b/>
          <w:bCs/>
          <w:sz w:val="24"/>
          <w:szCs w:val="24"/>
          <w:lang w:val="fr-CA"/>
        </w:rPr>
        <w:t>Migrants et réfugiés</w:t>
      </w:r>
      <w:bookmarkEnd w:id="63"/>
    </w:p>
    <w:p w14:paraId="129B2273" w14:textId="1C2CACCF" w:rsidR="00A91FB5" w:rsidRPr="007B324D" w:rsidRDefault="007604E4" w:rsidP="00F62155">
      <w:pPr>
        <w:tabs>
          <w:tab w:val="left" w:pos="3544"/>
        </w:tabs>
        <w:spacing w:before="120" w:line="276" w:lineRule="auto"/>
        <w:ind w:left="284" w:firstLine="0"/>
        <w:jc w:val="both"/>
        <w:rPr>
          <w:rFonts w:ascii="72 Light" w:hAnsi="72 Light" w:cs="72 Light"/>
          <w:bCs/>
          <w:sz w:val="24"/>
          <w:szCs w:val="24"/>
          <w:lang w:val="fr-CA"/>
        </w:rPr>
      </w:pPr>
      <w:bookmarkStart w:id="64" w:name="lt_pId063"/>
      <w:r w:rsidRPr="007B324D">
        <w:rPr>
          <w:rFonts w:ascii="72 Light" w:hAnsi="72 Light" w:cs="72 Light"/>
          <w:bCs/>
          <w:sz w:val="24"/>
          <w:szCs w:val="24"/>
          <w:lang w:val="fr-CA"/>
        </w:rPr>
        <w:t xml:space="preserve">Les organisations ont recommandé que le Canada offre des </w:t>
      </w:r>
      <w:r w:rsidR="00F7764C" w:rsidRPr="007B324D">
        <w:rPr>
          <w:rFonts w:ascii="72 Light" w:hAnsi="72 Light" w:cs="72 Light"/>
          <w:bCs/>
          <w:sz w:val="24"/>
          <w:szCs w:val="24"/>
          <w:lang w:val="fr-CA"/>
        </w:rPr>
        <w:t>solutions</w:t>
      </w:r>
      <w:r w:rsidRPr="007B324D">
        <w:rPr>
          <w:rFonts w:ascii="72 Light" w:hAnsi="72 Light" w:cs="72 Light"/>
          <w:bCs/>
          <w:sz w:val="24"/>
          <w:szCs w:val="24"/>
          <w:lang w:val="fr-CA"/>
        </w:rPr>
        <w:t xml:space="preserve"> et des voies pour la migration régulière, tout en fournissant des protections</w:t>
      </w:r>
      <w:bookmarkEnd w:id="64"/>
      <w:r w:rsidR="0079357E" w:rsidRPr="007B324D">
        <w:rPr>
          <w:rFonts w:ascii="72 Light" w:hAnsi="72 Light" w:cs="72 Light"/>
          <w:bCs/>
          <w:sz w:val="24"/>
          <w:szCs w:val="24"/>
          <w:lang w:val="fr-CA"/>
        </w:rPr>
        <w:t xml:space="preserve"> en vue</w:t>
      </w:r>
      <w:r w:rsidRPr="007B324D">
        <w:rPr>
          <w:rFonts w:ascii="72 Light" w:hAnsi="72 Light" w:cs="72 Light"/>
          <w:bCs/>
          <w:sz w:val="24"/>
          <w:szCs w:val="24"/>
          <w:lang w:val="fr-CA"/>
        </w:rPr>
        <w:t xml:space="preserve"> </w:t>
      </w:r>
      <w:bookmarkStart w:id="65" w:name="lt_pId064"/>
      <w:r w:rsidR="0079357E" w:rsidRPr="007B324D">
        <w:rPr>
          <w:rFonts w:ascii="72 Light" w:hAnsi="72 Light" w:cs="72 Light"/>
          <w:bCs/>
          <w:sz w:val="24"/>
          <w:szCs w:val="24"/>
          <w:lang w:val="fr-CA"/>
        </w:rPr>
        <w:t>d</w:t>
      </w:r>
      <w:r w:rsidR="00935A6C" w:rsidRPr="007B324D">
        <w:rPr>
          <w:rFonts w:ascii="72 Light" w:hAnsi="72 Light" w:cs="72 Light"/>
          <w:bCs/>
          <w:sz w:val="24"/>
          <w:szCs w:val="24"/>
          <w:lang w:val="fr-CA"/>
        </w:rPr>
        <w:t>’</w:t>
      </w:r>
      <w:r w:rsidRPr="007B324D">
        <w:rPr>
          <w:rFonts w:ascii="72 Light" w:hAnsi="72 Light" w:cs="72 Light"/>
          <w:bCs/>
          <w:sz w:val="24"/>
          <w:szCs w:val="24"/>
          <w:lang w:val="fr-CA"/>
        </w:rPr>
        <w:t xml:space="preserve">assurer </w:t>
      </w:r>
      <w:r w:rsidR="00F7764C" w:rsidRPr="007B324D">
        <w:rPr>
          <w:rFonts w:ascii="72 Light" w:hAnsi="72 Light" w:cs="72 Light"/>
          <w:bCs/>
          <w:sz w:val="24"/>
          <w:szCs w:val="24"/>
          <w:lang w:val="fr-CA"/>
        </w:rPr>
        <w:t>des</w:t>
      </w:r>
      <w:r w:rsidRPr="007B324D">
        <w:rPr>
          <w:rFonts w:ascii="72 Light" w:hAnsi="72 Light" w:cs="72 Light"/>
          <w:bCs/>
          <w:sz w:val="24"/>
          <w:szCs w:val="24"/>
          <w:lang w:val="fr-CA"/>
        </w:rPr>
        <w:t xml:space="preserve"> conditions d</w:t>
      </w:r>
      <w:r w:rsidR="00F7764C" w:rsidRPr="007B324D">
        <w:rPr>
          <w:rFonts w:ascii="72 Light" w:hAnsi="72 Light" w:cs="72 Light"/>
          <w:bCs/>
          <w:sz w:val="24"/>
          <w:szCs w:val="24"/>
          <w:lang w:val="fr-CA"/>
        </w:rPr>
        <w:t>e</w:t>
      </w:r>
      <w:r w:rsidRPr="007B324D">
        <w:rPr>
          <w:rFonts w:ascii="72 Light" w:hAnsi="72 Light" w:cs="72 Light"/>
          <w:bCs/>
          <w:sz w:val="24"/>
          <w:szCs w:val="24"/>
          <w:lang w:val="fr-CA"/>
        </w:rPr>
        <w:t xml:space="preserve"> travail décent</w:t>
      </w:r>
      <w:r w:rsidR="00F7764C" w:rsidRPr="007B324D">
        <w:rPr>
          <w:rFonts w:ascii="72 Light" w:hAnsi="72 Light" w:cs="72 Light"/>
          <w:bCs/>
          <w:sz w:val="24"/>
          <w:szCs w:val="24"/>
          <w:lang w:val="fr-CA"/>
        </w:rPr>
        <w:t>es</w:t>
      </w:r>
      <w:r w:rsidRPr="007B324D">
        <w:rPr>
          <w:rFonts w:ascii="72 Light" w:hAnsi="72 Light" w:cs="72 Light"/>
          <w:bCs/>
          <w:sz w:val="24"/>
          <w:szCs w:val="24"/>
          <w:lang w:val="fr-CA"/>
        </w:rPr>
        <w:t xml:space="preserve">, </w:t>
      </w:r>
      <w:r w:rsidR="0079357E" w:rsidRPr="007B324D">
        <w:rPr>
          <w:rFonts w:ascii="72 Light" w:hAnsi="72 Light" w:cs="72 Light"/>
          <w:bCs/>
          <w:sz w:val="24"/>
          <w:szCs w:val="24"/>
          <w:lang w:val="fr-CA"/>
        </w:rPr>
        <w:t xml:space="preserve">de </w:t>
      </w:r>
      <w:r w:rsidRPr="007B324D">
        <w:rPr>
          <w:rFonts w:ascii="72 Light" w:hAnsi="72 Light" w:cs="72 Light"/>
          <w:bCs/>
          <w:sz w:val="24"/>
          <w:szCs w:val="24"/>
          <w:lang w:val="fr-CA"/>
        </w:rPr>
        <w:t>garantir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 xml:space="preserve">accès aux services de base, </w:t>
      </w:r>
      <w:r w:rsidR="0079357E" w:rsidRPr="007B324D">
        <w:rPr>
          <w:rFonts w:ascii="72 Light" w:hAnsi="72 Light" w:cs="72 Light"/>
          <w:bCs/>
          <w:sz w:val="24"/>
          <w:szCs w:val="24"/>
          <w:lang w:val="fr-CA"/>
        </w:rPr>
        <w:t xml:space="preserve">de </w:t>
      </w:r>
      <w:r w:rsidRPr="007B324D">
        <w:rPr>
          <w:rFonts w:ascii="72 Light" w:hAnsi="72 Light" w:cs="72 Light"/>
          <w:bCs/>
          <w:sz w:val="24"/>
          <w:szCs w:val="24"/>
          <w:lang w:val="fr-CA"/>
        </w:rPr>
        <w:t>fournir une preuve d</w:t>
      </w:r>
      <w:r w:rsidR="00935A6C" w:rsidRPr="007B324D">
        <w:rPr>
          <w:rFonts w:ascii="72 Light" w:hAnsi="72 Light" w:cs="72 Light"/>
          <w:bCs/>
          <w:sz w:val="24"/>
          <w:szCs w:val="24"/>
          <w:lang w:val="fr-CA"/>
        </w:rPr>
        <w:t>’</w:t>
      </w:r>
      <w:r w:rsidRPr="007B324D">
        <w:rPr>
          <w:rFonts w:ascii="72 Light" w:hAnsi="72 Light" w:cs="72 Light"/>
          <w:bCs/>
          <w:sz w:val="24"/>
          <w:szCs w:val="24"/>
          <w:lang w:val="fr-CA"/>
        </w:rPr>
        <w:t>identité l</w:t>
      </w:r>
      <w:r w:rsidR="0079357E" w:rsidRPr="007B324D">
        <w:rPr>
          <w:rFonts w:ascii="72 Light" w:hAnsi="72 Light" w:cs="72 Light"/>
          <w:bCs/>
          <w:sz w:val="24"/>
          <w:szCs w:val="24"/>
          <w:lang w:val="fr-CA"/>
        </w:rPr>
        <w:t>égale et des documents adéquats</w:t>
      </w:r>
      <w:r w:rsidRPr="007B324D">
        <w:rPr>
          <w:rFonts w:ascii="72 Light" w:hAnsi="72 Light" w:cs="72 Light"/>
          <w:bCs/>
          <w:sz w:val="24"/>
          <w:szCs w:val="24"/>
          <w:lang w:val="fr-CA"/>
        </w:rPr>
        <w:t xml:space="preserve"> </w:t>
      </w:r>
      <w:r w:rsidR="00F7764C" w:rsidRPr="007B324D">
        <w:rPr>
          <w:rFonts w:ascii="72 Light" w:hAnsi="72 Light" w:cs="72 Light"/>
          <w:bCs/>
          <w:sz w:val="24"/>
          <w:szCs w:val="24"/>
          <w:lang w:val="fr-CA"/>
        </w:rPr>
        <w:t>ainsi que</w:t>
      </w:r>
      <w:r w:rsidRPr="007B324D">
        <w:rPr>
          <w:rFonts w:ascii="72 Light" w:hAnsi="72 Light" w:cs="72 Light"/>
          <w:bCs/>
          <w:sz w:val="24"/>
          <w:szCs w:val="24"/>
          <w:lang w:val="fr-CA"/>
        </w:rPr>
        <w:t xml:space="preserve"> de prévenir, combattre et éliminer la traite de</w:t>
      </w:r>
      <w:r w:rsidR="0079357E" w:rsidRPr="007B324D">
        <w:rPr>
          <w:rFonts w:ascii="72 Light" w:hAnsi="72 Light" w:cs="72 Light"/>
          <w:bCs/>
          <w:sz w:val="24"/>
          <w:szCs w:val="24"/>
          <w:lang w:val="fr-CA"/>
        </w:rPr>
        <w:t xml:space="preserve"> personnes</w:t>
      </w:r>
      <w:r w:rsidRPr="007B324D">
        <w:rPr>
          <w:rFonts w:ascii="72 Light" w:hAnsi="72 Light" w:cs="72 Light"/>
          <w:bCs/>
          <w:sz w:val="24"/>
          <w:szCs w:val="24"/>
          <w:lang w:val="fr-CA"/>
        </w:rPr>
        <w:t>.</w:t>
      </w:r>
      <w:bookmarkEnd w:id="65"/>
      <w:r w:rsidRPr="007B324D">
        <w:rPr>
          <w:rFonts w:ascii="72 Light" w:hAnsi="72 Light" w:cs="72 Light"/>
          <w:bCs/>
          <w:sz w:val="24"/>
          <w:szCs w:val="24"/>
          <w:lang w:val="fr-CA"/>
        </w:rPr>
        <w:t xml:space="preserve"> </w:t>
      </w:r>
    </w:p>
    <w:p w14:paraId="08A92D15" w14:textId="287E771C" w:rsidR="009E28F7" w:rsidRPr="007B324D" w:rsidRDefault="009E28F7" w:rsidP="00F62155">
      <w:pPr>
        <w:tabs>
          <w:tab w:val="left" w:pos="3544"/>
        </w:tabs>
        <w:spacing w:before="120" w:line="276" w:lineRule="auto"/>
        <w:ind w:left="284" w:firstLine="0"/>
        <w:jc w:val="both"/>
        <w:rPr>
          <w:rFonts w:ascii="72 Light" w:hAnsi="72 Light" w:cs="72 Light"/>
          <w:iCs/>
          <w:sz w:val="24"/>
          <w:szCs w:val="24"/>
          <w:lang w:val="fr-CA"/>
        </w:rPr>
      </w:pPr>
      <w:r w:rsidRPr="007B324D">
        <w:rPr>
          <w:rFonts w:ascii="72 Light" w:hAnsi="72 Light" w:cs="72 Light"/>
          <w:iCs/>
          <w:sz w:val="24"/>
          <w:szCs w:val="24"/>
          <w:lang w:val="fr-CA"/>
        </w:rPr>
        <w:t>Les organisations ont également fait remarquer que les détails concernant les mesures visant à mettre fin à la détention liée à l</w:t>
      </w:r>
      <w:r w:rsidR="00935A6C" w:rsidRPr="007B324D">
        <w:rPr>
          <w:rFonts w:ascii="72 Light" w:hAnsi="72 Light" w:cs="72 Light"/>
          <w:iCs/>
          <w:sz w:val="24"/>
          <w:szCs w:val="24"/>
          <w:lang w:val="fr-CA"/>
        </w:rPr>
        <w:t>’</w:t>
      </w:r>
      <w:r w:rsidRPr="007B324D">
        <w:rPr>
          <w:rFonts w:ascii="72 Light" w:hAnsi="72 Light" w:cs="72 Light"/>
          <w:iCs/>
          <w:sz w:val="24"/>
          <w:szCs w:val="24"/>
          <w:lang w:val="fr-CA"/>
        </w:rPr>
        <w:t>immigration et à élargir les solutions de rechange à la détention, par rapport aux recommandations formulées</w:t>
      </w:r>
      <w:r w:rsidR="00C51AE9" w:rsidRPr="007B324D">
        <w:rPr>
          <w:rFonts w:ascii="72 Light" w:hAnsi="72 Light" w:cs="72 Light"/>
          <w:iCs/>
          <w:sz w:val="24"/>
          <w:szCs w:val="24"/>
          <w:lang w:val="fr-CA"/>
        </w:rPr>
        <w:t xml:space="preserve"> au Canada</w:t>
      </w:r>
      <w:r w:rsidRPr="007B324D">
        <w:rPr>
          <w:rFonts w:ascii="72 Light" w:hAnsi="72 Light" w:cs="72 Light"/>
          <w:iCs/>
          <w:sz w:val="24"/>
          <w:szCs w:val="24"/>
          <w:lang w:val="fr-CA"/>
        </w:rPr>
        <w:t xml:space="preserve"> par les organes des traités et les procédures spéciales des Nations Unies, ne sont pas mentionnés dans le rapport.</w:t>
      </w:r>
    </w:p>
    <w:p w14:paraId="6B2C4C3B" w14:textId="76D667DA" w:rsidR="00F25625" w:rsidRPr="007B324D" w:rsidRDefault="00D4122B" w:rsidP="00F62155">
      <w:pPr>
        <w:pStyle w:val="ListParagraph"/>
        <w:numPr>
          <w:ilvl w:val="0"/>
          <w:numId w:val="1"/>
        </w:numPr>
        <w:tabs>
          <w:tab w:val="left" w:pos="3544"/>
        </w:tabs>
        <w:spacing w:before="120" w:line="276" w:lineRule="auto"/>
        <w:ind w:left="284" w:hanging="567"/>
        <w:contextualSpacing w:val="0"/>
        <w:jc w:val="both"/>
        <w:rPr>
          <w:rFonts w:ascii="72 Light" w:hAnsi="72 Light" w:cs="72 Light"/>
          <w:b/>
          <w:sz w:val="24"/>
          <w:szCs w:val="24"/>
          <w:lang w:val="fr-CA"/>
        </w:rPr>
      </w:pPr>
      <w:bookmarkStart w:id="66" w:name="lt_pId065"/>
      <w:r w:rsidRPr="007B324D">
        <w:rPr>
          <w:rFonts w:ascii="72 Light" w:hAnsi="72 Light" w:cs="72 Light"/>
          <w:b/>
          <w:sz w:val="24"/>
          <w:szCs w:val="24"/>
          <w:lang w:val="fr-CA"/>
        </w:rPr>
        <w:t>Diversité, équité et inclusion</w:t>
      </w:r>
      <w:bookmarkEnd w:id="66"/>
      <w:r w:rsidRPr="007B324D">
        <w:rPr>
          <w:rFonts w:ascii="72 Light" w:hAnsi="72 Light" w:cs="72 Light"/>
          <w:b/>
          <w:sz w:val="24"/>
          <w:szCs w:val="24"/>
          <w:lang w:val="fr-CA"/>
        </w:rPr>
        <w:t xml:space="preserve"> </w:t>
      </w:r>
    </w:p>
    <w:p w14:paraId="2235FF2F" w14:textId="4B9FFF13" w:rsidR="001A619F" w:rsidRPr="007B324D" w:rsidRDefault="004E5476" w:rsidP="00F62155">
      <w:pPr>
        <w:tabs>
          <w:tab w:val="left" w:pos="3544"/>
        </w:tabs>
        <w:spacing w:before="120" w:line="276" w:lineRule="auto"/>
        <w:ind w:left="284" w:firstLine="0"/>
        <w:jc w:val="both"/>
        <w:rPr>
          <w:rFonts w:ascii="72 Light" w:hAnsi="72 Light" w:cs="72 Light"/>
          <w:bCs/>
          <w:sz w:val="24"/>
          <w:szCs w:val="24"/>
          <w:lang w:val="fr-CA"/>
        </w:rPr>
      </w:pPr>
      <w:bookmarkStart w:id="67" w:name="lt_pId066"/>
      <w:r w:rsidRPr="007B324D">
        <w:rPr>
          <w:rFonts w:ascii="72 Light" w:hAnsi="72 Light" w:cs="72 Light"/>
          <w:bCs/>
          <w:sz w:val="24"/>
          <w:szCs w:val="24"/>
          <w:lang w:val="fr-CA"/>
        </w:rPr>
        <w:t>Les organisations ont déclaré que les Canadiens juifs sont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 xml:space="preserve">une des minorités religieuses les plus </w:t>
      </w:r>
      <w:r w:rsidR="00070750" w:rsidRPr="007B324D">
        <w:rPr>
          <w:rFonts w:ascii="72 Light" w:hAnsi="72 Light" w:cs="72 Light"/>
          <w:bCs/>
          <w:sz w:val="24"/>
          <w:szCs w:val="24"/>
          <w:lang w:val="fr-CA"/>
        </w:rPr>
        <w:t>cibl</w:t>
      </w:r>
      <w:r w:rsidR="00033A37" w:rsidRPr="007B324D">
        <w:rPr>
          <w:rFonts w:ascii="72 Light" w:hAnsi="72 Light" w:cs="72 Light"/>
          <w:bCs/>
          <w:sz w:val="24"/>
          <w:szCs w:val="24"/>
          <w:lang w:val="fr-CA"/>
        </w:rPr>
        <w:t>é</w:t>
      </w:r>
      <w:r w:rsidR="00070750" w:rsidRPr="007B324D">
        <w:rPr>
          <w:rFonts w:ascii="72 Light" w:hAnsi="72 Light" w:cs="72 Light"/>
          <w:bCs/>
          <w:sz w:val="24"/>
          <w:szCs w:val="24"/>
          <w:lang w:val="fr-CA"/>
        </w:rPr>
        <w:t>e</w:t>
      </w:r>
      <w:r w:rsidR="00033A37" w:rsidRPr="007B324D">
        <w:rPr>
          <w:rFonts w:ascii="72 Light" w:hAnsi="72 Light" w:cs="72 Light"/>
          <w:bCs/>
          <w:sz w:val="24"/>
          <w:szCs w:val="24"/>
          <w:lang w:val="fr-CA"/>
        </w:rPr>
        <w:t>s</w:t>
      </w:r>
      <w:r w:rsidR="00070750" w:rsidRPr="007B324D">
        <w:rPr>
          <w:rFonts w:ascii="72 Light" w:hAnsi="72 Light" w:cs="72 Light"/>
          <w:bCs/>
          <w:sz w:val="24"/>
          <w:szCs w:val="24"/>
          <w:lang w:val="fr-CA"/>
        </w:rPr>
        <w:t xml:space="preserve"> </w:t>
      </w:r>
      <w:r w:rsidRPr="007B324D">
        <w:rPr>
          <w:rFonts w:ascii="72 Light" w:hAnsi="72 Light" w:cs="72 Light"/>
          <w:bCs/>
          <w:sz w:val="24"/>
          <w:szCs w:val="24"/>
          <w:lang w:val="fr-CA"/>
        </w:rPr>
        <w:t>au Canada.</w:t>
      </w:r>
      <w:bookmarkEnd w:id="67"/>
      <w:r w:rsidRPr="007B324D">
        <w:rPr>
          <w:rFonts w:ascii="72 Light" w:hAnsi="72 Light" w:cs="72 Light"/>
          <w:bCs/>
          <w:sz w:val="24"/>
          <w:szCs w:val="24"/>
          <w:lang w:val="fr-CA"/>
        </w:rPr>
        <w:t xml:space="preserve"> </w:t>
      </w:r>
      <w:bookmarkStart w:id="68" w:name="lt_pId067"/>
      <w:r w:rsidRPr="007B324D">
        <w:rPr>
          <w:rFonts w:ascii="72 Light" w:hAnsi="72 Light" w:cs="72 Light"/>
          <w:bCs/>
          <w:sz w:val="24"/>
          <w:szCs w:val="24"/>
          <w:lang w:val="fr-CA"/>
        </w:rPr>
        <w:t>On a constaté une augmentation des incidents haineux en ligne et en personne au Canada, notamment une montée de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 xml:space="preserve">antisémitisme, de la haine transphobe et </w:t>
      </w:r>
      <w:r w:rsidR="00070750" w:rsidRPr="007B324D">
        <w:rPr>
          <w:rFonts w:ascii="72 Light" w:hAnsi="72 Light" w:cs="72 Light"/>
          <w:bCs/>
          <w:sz w:val="24"/>
          <w:szCs w:val="24"/>
          <w:lang w:val="fr-CA"/>
        </w:rPr>
        <w:t>de l</w:t>
      </w:r>
      <w:r w:rsidR="00935A6C" w:rsidRPr="007B324D">
        <w:rPr>
          <w:rFonts w:ascii="72 Light" w:hAnsi="72 Light" w:cs="72 Light"/>
          <w:bCs/>
          <w:sz w:val="24"/>
          <w:szCs w:val="24"/>
          <w:lang w:val="fr-CA"/>
        </w:rPr>
        <w:t>’</w:t>
      </w:r>
      <w:r w:rsidR="00070750" w:rsidRPr="007B324D">
        <w:rPr>
          <w:rFonts w:ascii="72 Light" w:hAnsi="72 Light" w:cs="72 Light"/>
          <w:bCs/>
          <w:sz w:val="24"/>
          <w:szCs w:val="24"/>
          <w:lang w:val="fr-CA"/>
        </w:rPr>
        <w:t>hostilité envers les immigrants</w:t>
      </w:r>
      <w:r w:rsidRPr="007B324D">
        <w:rPr>
          <w:rFonts w:ascii="72 Light" w:hAnsi="72 Light" w:cs="72 Light"/>
          <w:bCs/>
          <w:sz w:val="24"/>
          <w:szCs w:val="24"/>
          <w:lang w:val="fr-CA"/>
        </w:rPr>
        <w:t>.</w:t>
      </w:r>
      <w:bookmarkEnd w:id="68"/>
      <w:r w:rsidRPr="007B324D">
        <w:rPr>
          <w:rFonts w:ascii="72 Light" w:hAnsi="72 Light" w:cs="72 Light"/>
          <w:bCs/>
          <w:sz w:val="24"/>
          <w:szCs w:val="24"/>
          <w:lang w:val="fr-CA"/>
        </w:rPr>
        <w:t xml:space="preserve"> </w:t>
      </w:r>
      <w:bookmarkStart w:id="69" w:name="lt_pId068"/>
      <w:r w:rsidRPr="007B324D">
        <w:rPr>
          <w:rFonts w:ascii="72 Light" w:hAnsi="72 Light" w:cs="72 Light"/>
          <w:bCs/>
          <w:sz w:val="24"/>
          <w:szCs w:val="24"/>
          <w:lang w:val="fr-CA"/>
        </w:rPr>
        <w:t xml:space="preserve">Les organisations ont </w:t>
      </w:r>
      <w:r w:rsidR="00FA139F" w:rsidRPr="007B324D">
        <w:rPr>
          <w:rFonts w:ascii="72 Light" w:hAnsi="72 Light" w:cs="72 Light"/>
          <w:bCs/>
          <w:sz w:val="24"/>
          <w:szCs w:val="24"/>
          <w:lang w:val="fr-CA"/>
        </w:rPr>
        <w:t xml:space="preserve">également </w:t>
      </w:r>
      <w:r w:rsidRPr="007B324D">
        <w:rPr>
          <w:rFonts w:ascii="72 Light" w:hAnsi="72 Light" w:cs="72 Light"/>
          <w:bCs/>
          <w:sz w:val="24"/>
          <w:szCs w:val="24"/>
          <w:lang w:val="fr-CA"/>
        </w:rPr>
        <w:t>indiqué que le rapport mettait fortement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accent sur les questions d</w:t>
      </w:r>
      <w:r w:rsidR="00935A6C" w:rsidRPr="007B324D">
        <w:rPr>
          <w:rFonts w:ascii="72 Light" w:hAnsi="72 Light" w:cs="72 Light"/>
          <w:bCs/>
          <w:sz w:val="24"/>
          <w:szCs w:val="24"/>
          <w:lang w:val="fr-CA"/>
        </w:rPr>
        <w:t>’</w:t>
      </w:r>
      <w:r w:rsidRPr="007B324D">
        <w:rPr>
          <w:rFonts w:ascii="72 Light" w:hAnsi="72 Light" w:cs="72 Light"/>
          <w:bCs/>
          <w:sz w:val="24"/>
          <w:szCs w:val="24"/>
          <w:lang w:val="fr-CA"/>
        </w:rPr>
        <w:t>égali</w:t>
      </w:r>
      <w:r w:rsidR="00033A37" w:rsidRPr="007B324D">
        <w:rPr>
          <w:rFonts w:ascii="72 Light" w:hAnsi="72 Light" w:cs="72 Light"/>
          <w:bCs/>
          <w:sz w:val="24"/>
          <w:szCs w:val="24"/>
          <w:lang w:val="fr-CA"/>
        </w:rPr>
        <w:t>té et ont recommandé d</w:t>
      </w:r>
      <w:r w:rsidR="00935A6C" w:rsidRPr="007B324D">
        <w:rPr>
          <w:rFonts w:ascii="72 Light" w:hAnsi="72 Light" w:cs="72 Light"/>
          <w:bCs/>
          <w:sz w:val="24"/>
          <w:szCs w:val="24"/>
          <w:lang w:val="fr-CA"/>
        </w:rPr>
        <w:t>’</w:t>
      </w:r>
      <w:r w:rsidR="00033A37" w:rsidRPr="007B324D">
        <w:rPr>
          <w:rFonts w:ascii="72 Light" w:hAnsi="72 Light" w:cs="72 Light"/>
          <w:bCs/>
          <w:sz w:val="24"/>
          <w:szCs w:val="24"/>
          <w:lang w:val="fr-CA"/>
        </w:rPr>
        <w:t xml:space="preserve">y </w:t>
      </w:r>
      <w:r w:rsidRPr="007B324D">
        <w:rPr>
          <w:rFonts w:ascii="72 Light" w:hAnsi="72 Light" w:cs="72 Light"/>
          <w:bCs/>
          <w:sz w:val="24"/>
          <w:szCs w:val="24"/>
          <w:lang w:val="fr-CA"/>
        </w:rPr>
        <w:t>inclu</w:t>
      </w:r>
      <w:r w:rsidR="00033A37" w:rsidRPr="007B324D">
        <w:rPr>
          <w:rFonts w:ascii="72 Light" w:hAnsi="72 Light" w:cs="72 Light"/>
          <w:bCs/>
          <w:sz w:val="24"/>
          <w:szCs w:val="24"/>
          <w:lang w:val="fr-CA"/>
        </w:rPr>
        <w:t>re</w:t>
      </w:r>
      <w:r w:rsidRPr="007B324D">
        <w:rPr>
          <w:rFonts w:ascii="72 Light" w:hAnsi="72 Light" w:cs="72 Light"/>
          <w:bCs/>
          <w:sz w:val="24"/>
          <w:szCs w:val="24"/>
          <w:lang w:val="fr-CA"/>
        </w:rPr>
        <w:t xml:space="preserve"> un</w:t>
      </w:r>
      <w:r w:rsidR="00033A37" w:rsidRPr="007B324D">
        <w:rPr>
          <w:rFonts w:ascii="72 Light" w:hAnsi="72 Light" w:cs="72 Light"/>
          <w:bCs/>
          <w:sz w:val="24"/>
          <w:szCs w:val="24"/>
          <w:lang w:val="fr-CA"/>
        </w:rPr>
        <w:t>e</w:t>
      </w:r>
      <w:r w:rsidRPr="007B324D">
        <w:rPr>
          <w:rFonts w:ascii="72 Light" w:hAnsi="72 Light" w:cs="72 Light"/>
          <w:bCs/>
          <w:sz w:val="24"/>
          <w:szCs w:val="24"/>
          <w:lang w:val="fr-CA"/>
        </w:rPr>
        <w:t xml:space="preserve"> plus </w:t>
      </w:r>
      <w:r w:rsidR="00033A37" w:rsidRPr="007B324D">
        <w:rPr>
          <w:rFonts w:ascii="72 Light" w:hAnsi="72 Light" w:cs="72 Light"/>
          <w:bCs/>
          <w:sz w:val="24"/>
          <w:szCs w:val="24"/>
          <w:lang w:val="fr-CA"/>
        </w:rPr>
        <w:t xml:space="preserve">grande </w:t>
      </w:r>
      <w:r w:rsidRPr="007B324D">
        <w:rPr>
          <w:rFonts w:ascii="72 Light" w:hAnsi="72 Light" w:cs="72 Light"/>
          <w:bCs/>
          <w:sz w:val="24"/>
          <w:szCs w:val="24"/>
          <w:lang w:val="fr-CA"/>
        </w:rPr>
        <w:t>diversi</w:t>
      </w:r>
      <w:r w:rsidR="00033A37" w:rsidRPr="007B324D">
        <w:rPr>
          <w:rFonts w:ascii="72 Light" w:hAnsi="72 Light" w:cs="72 Light"/>
          <w:bCs/>
          <w:sz w:val="24"/>
          <w:szCs w:val="24"/>
          <w:lang w:val="fr-CA"/>
        </w:rPr>
        <w:t>té</w:t>
      </w:r>
      <w:r w:rsidRPr="007B324D">
        <w:rPr>
          <w:rFonts w:ascii="72 Light" w:hAnsi="72 Light" w:cs="72 Light"/>
          <w:bCs/>
          <w:sz w:val="24"/>
          <w:szCs w:val="24"/>
          <w:lang w:val="fr-CA"/>
        </w:rPr>
        <w:t xml:space="preserve"> de </w:t>
      </w:r>
      <w:r w:rsidR="00E33B57" w:rsidRPr="007B324D">
        <w:rPr>
          <w:rFonts w:ascii="72 Light" w:hAnsi="72 Light" w:cs="72 Light"/>
          <w:bCs/>
          <w:sz w:val="24"/>
          <w:szCs w:val="24"/>
          <w:lang w:val="fr-CA"/>
        </w:rPr>
        <w:t>droits de la personne</w:t>
      </w:r>
      <w:r w:rsidRPr="007B324D">
        <w:rPr>
          <w:rFonts w:ascii="72 Light" w:hAnsi="72 Light" w:cs="72 Light"/>
          <w:bCs/>
          <w:sz w:val="24"/>
          <w:szCs w:val="24"/>
          <w:lang w:val="fr-CA"/>
        </w:rPr>
        <w:t>.</w:t>
      </w:r>
      <w:bookmarkEnd w:id="69"/>
    </w:p>
    <w:p w14:paraId="5D9211D7" w14:textId="0DE8CE4A" w:rsidR="00BF3013" w:rsidRPr="007B324D" w:rsidRDefault="00BF3013" w:rsidP="00F62155">
      <w:pPr>
        <w:tabs>
          <w:tab w:val="left" w:pos="3544"/>
        </w:tabs>
        <w:spacing w:before="120" w:line="276" w:lineRule="auto"/>
        <w:ind w:left="284" w:firstLine="0"/>
        <w:jc w:val="both"/>
        <w:rPr>
          <w:rFonts w:ascii="72 Light" w:hAnsi="72 Light" w:cs="72 Light"/>
          <w:bCs/>
          <w:sz w:val="24"/>
          <w:szCs w:val="24"/>
          <w:lang w:val="fr-CA"/>
        </w:rPr>
      </w:pPr>
      <w:r w:rsidRPr="007B324D">
        <w:rPr>
          <w:rFonts w:ascii="72 Light" w:hAnsi="72 Light" w:cs="72 Light"/>
          <w:bCs/>
          <w:sz w:val="24"/>
          <w:szCs w:val="24"/>
          <w:lang w:val="fr-CA"/>
        </w:rPr>
        <w:t xml:space="preserve">Elles ont félicité le gouvernement du Canada d’avoir signé la </w:t>
      </w:r>
      <w:r w:rsidRPr="007B324D">
        <w:rPr>
          <w:rFonts w:ascii="72 Light" w:hAnsi="72 Light" w:cs="72 Light"/>
          <w:bCs/>
          <w:i/>
          <w:iCs/>
          <w:sz w:val="24"/>
          <w:szCs w:val="24"/>
          <w:lang w:val="fr-CA"/>
        </w:rPr>
        <w:t xml:space="preserve">Déclaration sur le Partenariat nord-américain pour l’équité et la justice raciale </w:t>
      </w:r>
      <w:r w:rsidRPr="007B324D">
        <w:rPr>
          <w:rFonts w:ascii="72 Light" w:hAnsi="72 Light" w:cs="72 Light"/>
          <w:bCs/>
          <w:sz w:val="24"/>
          <w:szCs w:val="24"/>
          <w:lang w:val="fr-CA"/>
        </w:rPr>
        <w:t xml:space="preserve">et ont recommandé que cette </w:t>
      </w:r>
      <w:r w:rsidR="00F7764C" w:rsidRPr="007B324D">
        <w:rPr>
          <w:rFonts w:ascii="72 Light" w:hAnsi="72 Light" w:cs="72 Light"/>
          <w:bCs/>
          <w:sz w:val="24"/>
          <w:szCs w:val="24"/>
          <w:lang w:val="fr-CA"/>
        </w:rPr>
        <w:t>avancée</w:t>
      </w:r>
      <w:r w:rsidRPr="007B324D">
        <w:rPr>
          <w:rFonts w:ascii="72 Light" w:hAnsi="72 Light" w:cs="72 Light"/>
          <w:bCs/>
          <w:sz w:val="24"/>
          <w:szCs w:val="24"/>
          <w:lang w:val="fr-CA"/>
        </w:rPr>
        <w:t xml:space="preserve"> soit incluse dans le rapport.</w:t>
      </w:r>
    </w:p>
    <w:p w14:paraId="57D16610" w14:textId="2277C287" w:rsidR="00F25625" w:rsidRPr="007B324D" w:rsidRDefault="00D4122B" w:rsidP="00F62155">
      <w:pPr>
        <w:pStyle w:val="ListParagraph"/>
        <w:keepNext/>
        <w:numPr>
          <w:ilvl w:val="0"/>
          <w:numId w:val="1"/>
        </w:numPr>
        <w:tabs>
          <w:tab w:val="left" w:pos="3544"/>
        </w:tabs>
        <w:spacing w:before="120" w:line="276" w:lineRule="auto"/>
        <w:ind w:left="283" w:hanging="567"/>
        <w:contextualSpacing w:val="0"/>
        <w:jc w:val="both"/>
        <w:rPr>
          <w:rFonts w:ascii="72 Light" w:hAnsi="72 Light" w:cs="72 Light"/>
          <w:b/>
          <w:sz w:val="24"/>
          <w:szCs w:val="24"/>
          <w:lang w:val="fr-CA"/>
        </w:rPr>
      </w:pPr>
      <w:bookmarkStart w:id="70" w:name="lt_pId069"/>
      <w:r w:rsidRPr="007B324D">
        <w:rPr>
          <w:rFonts w:ascii="72 Light" w:hAnsi="72 Light" w:cs="72 Light"/>
          <w:b/>
          <w:sz w:val="24"/>
          <w:szCs w:val="24"/>
          <w:lang w:val="fr-CA"/>
        </w:rPr>
        <w:t>Personnes âgées</w:t>
      </w:r>
      <w:bookmarkEnd w:id="70"/>
      <w:r w:rsidRPr="007B324D">
        <w:rPr>
          <w:rFonts w:ascii="72 Light" w:hAnsi="72 Light" w:cs="72 Light"/>
          <w:b/>
          <w:sz w:val="24"/>
          <w:szCs w:val="24"/>
          <w:lang w:val="fr-CA"/>
        </w:rPr>
        <w:t xml:space="preserve"> </w:t>
      </w:r>
    </w:p>
    <w:p w14:paraId="71236CAF" w14:textId="1334A753" w:rsidR="00430552" w:rsidRPr="007B324D" w:rsidRDefault="00D4122B" w:rsidP="00F62155">
      <w:pPr>
        <w:tabs>
          <w:tab w:val="left" w:pos="3544"/>
        </w:tabs>
        <w:spacing w:before="120" w:line="276" w:lineRule="auto"/>
        <w:ind w:left="0" w:firstLine="284"/>
        <w:jc w:val="both"/>
        <w:rPr>
          <w:rFonts w:ascii="72 Light" w:hAnsi="72 Light" w:cs="72 Light"/>
          <w:sz w:val="24"/>
          <w:szCs w:val="24"/>
          <w:lang w:val="fr-CA"/>
        </w:rPr>
      </w:pPr>
      <w:bookmarkStart w:id="71" w:name="lt_pId070"/>
      <w:r w:rsidRPr="007B324D">
        <w:rPr>
          <w:rFonts w:ascii="72 Light" w:hAnsi="72 Light" w:cs="72 Light"/>
          <w:sz w:val="24"/>
          <w:szCs w:val="24"/>
          <w:lang w:val="fr-CA"/>
        </w:rPr>
        <w:t>Aucun commentaire n</w:t>
      </w:r>
      <w:r w:rsidR="00935A6C" w:rsidRPr="007B324D">
        <w:rPr>
          <w:rFonts w:ascii="72 Light" w:hAnsi="72 Light" w:cs="72 Light"/>
          <w:sz w:val="24"/>
          <w:szCs w:val="24"/>
          <w:lang w:val="fr-CA"/>
        </w:rPr>
        <w:t>’</w:t>
      </w:r>
      <w:r w:rsidRPr="007B324D">
        <w:rPr>
          <w:rFonts w:ascii="72 Light" w:hAnsi="72 Light" w:cs="72 Light"/>
          <w:sz w:val="24"/>
          <w:szCs w:val="24"/>
          <w:lang w:val="fr-CA"/>
        </w:rPr>
        <w:t>a été reçu sur ce thème.</w:t>
      </w:r>
      <w:bookmarkEnd w:id="71"/>
      <w:r w:rsidRPr="007B324D">
        <w:rPr>
          <w:rFonts w:ascii="72 Light" w:hAnsi="72 Light" w:cs="72 Light"/>
          <w:sz w:val="24"/>
          <w:szCs w:val="24"/>
          <w:lang w:val="fr-CA"/>
        </w:rPr>
        <w:t xml:space="preserve"> </w:t>
      </w:r>
    </w:p>
    <w:p w14:paraId="45C4920D" w14:textId="3A0AC957" w:rsidR="00F25625" w:rsidRPr="007B324D" w:rsidRDefault="00D4122B" w:rsidP="00F62155">
      <w:pPr>
        <w:pStyle w:val="ListParagraph"/>
        <w:keepNext/>
        <w:numPr>
          <w:ilvl w:val="0"/>
          <w:numId w:val="1"/>
        </w:numPr>
        <w:tabs>
          <w:tab w:val="left" w:pos="3544"/>
        </w:tabs>
        <w:spacing w:before="120" w:line="276" w:lineRule="auto"/>
        <w:ind w:left="283" w:hanging="567"/>
        <w:contextualSpacing w:val="0"/>
        <w:jc w:val="both"/>
        <w:rPr>
          <w:rFonts w:ascii="72 Light" w:hAnsi="72 Light" w:cs="72 Light"/>
          <w:b/>
          <w:sz w:val="24"/>
          <w:szCs w:val="24"/>
          <w:lang w:val="fr-CA"/>
        </w:rPr>
      </w:pPr>
      <w:bookmarkStart w:id="72" w:name="lt_pId071"/>
      <w:r w:rsidRPr="007B324D">
        <w:rPr>
          <w:rFonts w:ascii="72 Light" w:hAnsi="72 Light" w:cs="72 Light"/>
          <w:b/>
          <w:sz w:val="24"/>
          <w:szCs w:val="24"/>
          <w:lang w:val="fr-CA"/>
        </w:rPr>
        <w:lastRenderedPageBreak/>
        <w:t>2ELGBTQ</w:t>
      </w:r>
      <w:r w:rsidR="00FA139F" w:rsidRPr="007B324D">
        <w:rPr>
          <w:rFonts w:ascii="72 Light" w:hAnsi="72 Light" w:cs="72 Light"/>
          <w:b/>
          <w:sz w:val="24"/>
          <w:szCs w:val="24"/>
          <w:lang w:val="fr-CA"/>
        </w:rPr>
        <w:t>Q</w:t>
      </w:r>
      <w:r w:rsidRPr="007B324D">
        <w:rPr>
          <w:rFonts w:ascii="72 Light" w:hAnsi="72 Light" w:cs="72 Light"/>
          <w:b/>
          <w:sz w:val="24"/>
          <w:szCs w:val="24"/>
          <w:lang w:val="fr-CA"/>
        </w:rPr>
        <w:t>I</w:t>
      </w:r>
      <w:r w:rsidR="00FA139F" w:rsidRPr="007B324D">
        <w:rPr>
          <w:rFonts w:ascii="72 Light" w:hAnsi="72 Light" w:cs="72 Light"/>
          <w:b/>
          <w:sz w:val="24"/>
          <w:szCs w:val="24"/>
          <w:lang w:val="fr-CA"/>
        </w:rPr>
        <w:t>A</w:t>
      </w:r>
      <w:r w:rsidRPr="007B324D">
        <w:rPr>
          <w:rFonts w:ascii="72 Light" w:hAnsi="72 Light" w:cs="72 Light"/>
          <w:b/>
          <w:sz w:val="24"/>
          <w:szCs w:val="24"/>
          <w:lang w:val="fr-CA"/>
        </w:rPr>
        <w:t>+</w:t>
      </w:r>
      <w:bookmarkEnd w:id="72"/>
    </w:p>
    <w:p w14:paraId="5E814846" w14:textId="2E933977" w:rsidR="00D02547" w:rsidRPr="007B324D" w:rsidRDefault="00D4122B" w:rsidP="00F62155">
      <w:pPr>
        <w:tabs>
          <w:tab w:val="left" w:pos="3544"/>
        </w:tabs>
        <w:spacing w:before="120" w:line="276" w:lineRule="auto"/>
        <w:ind w:left="284" w:firstLine="0"/>
        <w:jc w:val="both"/>
        <w:rPr>
          <w:rFonts w:ascii="72 Light" w:eastAsia="72 Light" w:hAnsi="72 Light" w:cs="72 Light"/>
          <w:sz w:val="24"/>
          <w:szCs w:val="24"/>
          <w:lang w:val="fr-CA"/>
        </w:rPr>
      </w:pPr>
      <w:bookmarkStart w:id="73" w:name="lt_pId072"/>
      <w:r w:rsidRPr="007B324D">
        <w:rPr>
          <w:rFonts w:ascii="72 Light" w:hAnsi="72 Light" w:cs="72 Light"/>
          <w:sz w:val="24"/>
          <w:szCs w:val="24"/>
          <w:lang w:val="fr-CA"/>
        </w:rPr>
        <w:t>Les organisatio</w:t>
      </w:r>
      <w:r w:rsidR="00A632E7" w:rsidRPr="007B324D">
        <w:rPr>
          <w:rFonts w:ascii="72 Light" w:hAnsi="72 Light" w:cs="72 Light"/>
          <w:sz w:val="24"/>
          <w:szCs w:val="24"/>
          <w:lang w:val="fr-CA"/>
        </w:rPr>
        <w:t>ns ont noté que les taux d</w:t>
      </w:r>
      <w:r w:rsidR="00935A6C" w:rsidRPr="007B324D">
        <w:rPr>
          <w:rFonts w:ascii="72 Light" w:hAnsi="72 Light" w:cs="72 Light"/>
          <w:sz w:val="24"/>
          <w:szCs w:val="24"/>
          <w:lang w:val="fr-CA"/>
        </w:rPr>
        <w:t>’</w:t>
      </w:r>
      <w:r w:rsidR="00A632E7" w:rsidRPr="007B324D">
        <w:rPr>
          <w:rFonts w:ascii="72 Light" w:hAnsi="72 Light" w:cs="72 Light"/>
          <w:sz w:val="24"/>
          <w:szCs w:val="24"/>
          <w:lang w:val="fr-CA"/>
        </w:rPr>
        <w:t xml:space="preserve">itinérance </w:t>
      </w:r>
      <w:r w:rsidR="00F7764C" w:rsidRPr="007B324D">
        <w:rPr>
          <w:rFonts w:ascii="72 Light" w:hAnsi="72 Light" w:cs="72 Light"/>
          <w:sz w:val="24"/>
          <w:szCs w:val="24"/>
          <w:lang w:val="fr-CA"/>
        </w:rPr>
        <w:t xml:space="preserve">demeuraient </w:t>
      </w:r>
      <w:r w:rsidR="00A632E7" w:rsidRPr="007B324D">
        <w:rPr>
          <w:rFonts w:ascii="72 Light" w:hAnsi="72 Light" w:cs="72 Light"/>
          <w:sz w:val="24"/>
          <w:szCs w:val="24"/>
          <w:lang w:val="fr-CA"/>
        </w:rPr>
        <w:t>plus élevés chez les personnes</w:t>
      </w:r>
      <w:r w:rsidR="00042C3C" w:rsidRPr="007B324D">
        <w:rPr>
          <w:rFonts w:ascii="72 Light" w:hAnsi="72 Light" w:cs="72 Light"/>
          <w:sz w:val="24"/>
          <w:szCs w:val="24"/>
          <w:lang w:val="fr-CA"/>
        </w:rPr>
        <w:t> </w:t>
      </w:r>
      <w:r w:rsidR="00A632E7" w:rsidRPr="007B324D">
        <w:rPr>
          <w:rFonts w:ascii="72 Light" w:hAnsi="72 Light" w:cs="72 Light"/>
          <w:sz w:val="24"/>
          <w:szCs w:val="24"/>
          <w:lang w:val="fr-CA"/>
        </w:rPr>
        <w:t>2E</w:t>
      </w:r>
      <w:r w:rsidRPr="007B324D">
        <w:rPr>
          <w:rFonts w:ascii="72 Light" w:hAnsi="72 Light" w:cs="72 Light"/>
          <w:sz w:val="24"/>
          <w:szCs w:val="24"/>
          <w:lang w:val="fr-CA"/>
        </w:rPr>
        <w:t>LGBTQ</w:t>
      </w:r>
      <w:r w:rsidR="00FA139F" w:rsidRPr="007B324D">
        <w:rPr>
          <w:rFonts w:ascii="72 Light" w:hAnsi="72 Light" w:cs="72 Light"/>
          <w:sz w:val="24"/>
          <w:szCs w:val="24"/>
          <w:lang w:val="fr-CA"/>
        </w:rPr>
        <w:t>Q</w:t>
      </w:r>
      <w:r w:rsidRPr="007B324D">
        <w:rPr>
          <w:rFonts w:ascii="72 Light" w:hAnsi="72 Light" w:cs="72 Light"/>
          <w:sz w:val="24"/>
          <w:szCs w:val="24"/>
          <w:lang w:val="fr-CA"/>
        </w:rPr>
        <w:t>I</w:t>
      </w:r>
      <w:r w:rsidR="00FA139F" w:rsidRPr="007B324D">
        <w:rPr>
          <w:rFonts w:ascii="72 Light" w:hAnsi="72 Light" w:cs="72 Light"/>
          <w:sz w:val="24"/>
          <w:szCs w:val="24"/>
          <w:lang w:val="fr-CA"/>
        </w:rPr>
        <w:t>A</w:t>
      </w:r>
      <w:r w:rsidRPr="007B324D">
        <w:rPr>
          <w:rFonts w:ascii="72 Light" w:hAnsi="72 Light" w:cs="72 Light"/>
          <w:sz w:val="24"/>
          <w:szCs w:val="24"/>
          <w:lang w:val="fr-CA"/>
        </w:rPr>
        <w:t xml:space="preserve">+ en raison de la discrimination subie sur le marché </w:t>
      </w:r>
      <w:r w:rsidR="00A632E7" w:rsidRPr="007B324D">
        <w:rPr>
          <w:rFonts w:ascii="72 Light" w:hAnsi="72 Light" w:cs="72 Light"/>
          <w:sz w:val="24"/>
          <w:szCs w:val="24"/>
          <w:lang w:val="fr-CA"/>
        </w:rPr>
        <w:t>locatif</w:t>
      </w:r>
      <w:r w:rsidRPr="007B324D">
        <w:rPr>
          <w:rFonts w:ascii="72 Light" w:hAnsi="72 Light" w:cs="72 Light"/>
          <w:sz w:val="24"/>
          <w:szCs w:val="24"/>
          <w:lang w:val="fr-CA"/>
        </w:rPr>
        <w:t xml:space="preserve"> et lors</w:t>
      </w:r>
      <w:r w:rsidR="00033A37" w:rsidRPr="007B324D">
        <w:rPr>
          <w:rFonts w:ascii="72 Light" w:hAnsi="72 Light" w:cs="72 Light"/>
          <w:sz w:val="24"/>
          <w:szCs w:val="24"/>
          <w:lang w:val="fr-CA"/>
        </w:rPr>
        <w:t>que vient le temps</w:t>
      </w:r>
      <w:r w:rsidRPr="007B324D">
        <w:rPr>
          <w:rFonts w:ascii="72 Light" w:hAnsi="72 Light" w:cs="72 Light"/>
          <w:sz w:val="24"/>
          <w:szCs w:val="24"/>
          <w:lang w:val="fr-CA"/>
        </w:rPr>
        <w:t xml:space="preserve"> </w:t>
      </w:r>
      <w:r w:rsidR="00A632E7" w:rsidRPr="007B324D">
        <w:rPr>
          <w:rFonts w:ascii="72 Light" w:hAnsi="72 Light" w:cs="72 Light"/>
          <w:sz w:val="24"/>
          <w:szCs w:val="24"/>
          <w:lang w:val="fr-CA"/>
        </w:rPr>
        <w:t>d</w:t>
      </w:r>
      <w:r w:rsidR="00935A6C" w:rsidRPr="007B324D">
        <w:rPr>
          <w:rFonts w:ascii="72 Light" w:hAnsi="72 Light" w:cs="72 Light"/>
          <w:sz w:val="24"/>
          <w:szCs w:val="24"/>
          <w:lang w:val="fr-CA"/>
        </w:rPr>
        <w:t>’</w:t>
      </w:r>
      <w:r w:rsidR="0027139F" w:rsidRPr="007B324D">
        <w:rPr>
          <w:rFonts w:ascii="72 Light" w:hAnsi="72 Light" w:cs="72 Light"/>
          <w:sz w:val="24"/>
          <w:szCs w:val="24"/>
          <w:lang w:val="fr-CA"/>
        </w:rPr>
        <w:t xml:space="preserve">accéder </w:t>
      </w:r>
      <w:r w:rsidRPr="007B324D">
        <w:rPr>
          <w:rFonts w:ascii="72 Light" w:hAnsi="72 Light" w:cs="72 Light"/>
          <w:sz w:val="24"/>
          <w:szCs w:val="24"/>
          <w:lang w:val="fr-CA"/>
        </w:rPr>
        <w:t xml:space="preserve">aux services dans le </w:t>
      </w:r>
      <w:r w:rsidR="00A632E7" w:rsidRPr="007B324D">
        <w:rPr>
          <w:rFonts w:ascii="72 Light" w:hAnsi="72 Light" w:cs="72 Light"/>
          <w:sz w:val="24"/>
          <w:szCs w:val="24"/>
          <w:lang w:val="fr-CA"/>
        </w:rPr>
        <w:t>réseau</w:t>
      </w:r>
      <w:r w:rsidRPr="007B324D">
        <w:rPr>
          <w:rFonts w:ascii="72 Light" w:hAnsi="72 Light" w:cs="72 Light"/>
          <w:sz w:val="24"/>
          <w:szCs w:val="24"/>
          <w:lang w:val="fr-CA"/>
        </w:rPr>
        <w:t xml:space="preserve"> des refuges.</w:t>
      </w:r>
      <w:bookmarkEnd w:id="73"/>
      <w:r w:rsidR="05FA8BE1" w:rsidRPr="007B324D">
        <w:rPr>
          <w:rFonts w:ascii="72 Light" w:eastAsia="72 Light" w:hAnsi="72 Light" w:cs="72 Light"/>
          <w:sz w:val="24"/>
          <w:szCs w:val="24"/>
          <w:lang w:val="fr-CA"/>
        </w:rPr>
        <w:t xml:space="preserve"> </w:t>
      </w:r>
      <w:bookmarkStart w:id="74" w:name="lt_pId073"/>
      <w:r w:rsidR="05FA8BE1" w:rsidRPr="007B324D">
        <w:rPr>
          <w:rFonts w:ascii="72 Light" w:eastAsia="72 Light" w:hAnsi="72 Light" w:cs="72 Light"/>
          <w:sz w:val="24"/>
          <w:szCs w:val="24"/>
          <w:lang w:val="fr-CA"/>
        </w:rPr>
        <w:t xml:space="preserve">Les organisations ont également noté des écarts de soutien entre les prestations fédérales et provinciales </w:t>
      </w:r>
      <w:r w:rsidR="0027139F" w:rsidRPr="007B324D">
        <w:rPr>
          <w:rFonts w:ascii="72 Light" w:eastAsia="72 Light" w:hAnsi="72 Light" w:cs="72 Light"/>
          <w:sz w:val="24"/>
          <w:szCs w:val="24"/>
          <w:lang w:val="fr-CA"/>
        </w:rPr>
        <w:t xml:space="preserve">prévues </w:t>
      </w:r>
      <w:r w:rsidR="05FA8BE1" w:rsidRPr="007B324D">
        <w:rPr>
          <w:rFonts w:ascii="72 Light" w:eastAsia="72 Light" w:hAnsi="72 Light" w:cs="72 Light"/>
          <w:sz w:val="24"/>
          <w:szCs w:val="24"/>
          <w:lang w:val="fr-CA"/>
        </w:rPr>
        <w:t xml:space="preserve">dans le cadre de la </w:t>
      </w:r>
      <w:r w:rsidR="00B376C6" w:rsidRPr="007B324D">
        <w:rPr>
          <w:rFonts w:ascii="72 Light" w:eastAsia="72 Light" w:hAnsi="72 Light" w:cs="72 Light"/>
          <w:sz w:val="24"/>
          <w:szCs w:val="24"/>
          <w:lang w:val="fr-CA"/>
        </w:rPr>
        <w:t>S</w:t>
      </w:r>
      <w:r w:rsidR="05FA8BE1" w:rsidRPr="007B324D">
        <w:rPr>
          <w:rFonts w:ascii="72 Light" w:eastAsia="72 Light" w:hAnsi="72 Light" w:cs="72 Light"/>
          <w:sz w:val="24"/>
          <w:szCs w:val="24"/>
          <w:lang w:val="fr-CA"/>
        </w:rPr>
        <w:t xml:space="preserve">tratégie </w:t>
      </w:r>
      <w:r w:rsidR="0027139F" w:rsidRPr="007B324D">
        <w:rPr>
          <w:rFonts w:ascii="72 Light" w:eastAsia="72 Light" w:hAnsi="72 Light" w:cs="72 Light"/>
          <w:sz w:val="24"/>
          <w:szCs w:val="24"/>
          <w:lang w:val="fr-CA"/>
        </w:rPr>
        <w:t xml:space="preserve">canadienne </w:t>
      </w:r>
      <w:r w:rsidR="05FA8BE1" w:rsidRPr="007B324D">
        <w:rPr>
          <w:rFonts w:ascii="72 Light" w:eastAsia="72 Light" w:hAnsi="72 Light" w:cs="72 Light"/>
          <w:sz w:val="24"/>
          <w:szCs w:val="24"/>
          <w:lang w:val="fr-CA"/>
        </w:rPr>
        <w:t xml:space="preserve">de réduction de la pauvreté. </w:t>
      </w:r>
      <w:r w:rsidR="0027139F" w:rsidRPr="007B324D">
        <w:rPr>
          <w:rFonts w:ascii="72 Light" w:eastAsia="72 Light" w:hAnsi="72 Light" w:cs="72 Light"/>
          <w:sz w:val="24"/>
          <w:szCs w:val="24"/>
          <w:lang w:val="fr-CA"/>
        </w:rPr>
        <w:t>De plus, elles</w:t>
      </w:r>
      <w:r w:rsidR="05FA8BE1" w:rsidRPr="007B324D">
        <w:rPr>
          <w:rFonts w:ascii="72 Light" w:eastAsia="72 Light" w:hAnsi="72 Light" w:cs="72 Light"/>
          <w:sz w:val="24"/>
          <w:szCs w:val="24"/>
          <w:lang w:val="fr-CA"/>
        </w:rPr>
        <w:t xml:space="preserve"> ont évoqué la nécessité d</w:t>
      </w:r>
      <w:r w:rsidR="00935A6C" w:rsidRPr="007B324D">
        <w:rPr>
          <w:rFonts w:ascii="72 Light" w:eastAsia="72 Light" w:hAnsi="72 Light" w:cs="72 Light"/>
          <w:sz w:val="24"/>
          <w:szCs w:val="24"/>
          <w:lang w:val="fr-CA"/>
        </w:rPr>
        <w:t>’</w:t>
      </w:r>
      <w:r w:rsidR="05FA8BE1" w:rsidRPr="007B324D">
        <w:rPr>
          <w:rFonts w:ascii="72 Light" w:eastAsia="72 Light" w:hAnsi="72 Light" w:cs="72 Light"/>
          <w:sz w:val="24"/>
          <w:szCs w:val="24"/>
          <w:lang w:val="fr-CA"/>
        </w:rPr>
        <w:t>allouer des fonds à des services de logement ciblés pour les populations vulnérables, y compris les jeunes et les personnes âgées de la communauté</w:t>
      </w:r>
      <w:r w:rsidR="00042C3C" w:rsidRPr="007B324D">
        <w:rPr>
          <w:rFonts w:ascii="72 Light" w:eastAsia="72 Light" w:hAnsi="72 Light" w:cs="72 Light"/>
          <w:sz w:val="24"/>
          <w:szCs w:val="24"/>
          <w:lang w:val="fr-CA"/>
        </w:rPr>
        <w:t> </w:t>
      </w:r>
      <w:r w:rsidR="0027139F" w:rsidRPr="007B324D">
        <w:rPr>
          <w:rFonts w:ascii="72 Light" w:hAnsi="72 Light" w:cs="72 Light"/>
          <w:sz w:val="24"/>
          <w:szCs w:val="24"/>
          <w:lang w:val="fr-CA"/>
        </w:rPr>
        <w:t>2ELGBTQ</w:t>
      </w:r>
      <w:r w:rsidR="002C0D6D" w:rsidRPr="007B324D">
        <w:rPr>
          <w:rFonts w:ascii="72 Light" w:hAnsi="72 Light" w:cs="72 Light"/>
          <w:sz w:val="24"/>
          <w:szCs w:val="24"/>
          <w:lang w:val="fr-CA"/>
        </w:rPr>
        <w:t>Q</w:t>
      </w:r>
      <w:r w:rsidR="0027139F" w:rsidRPr="007B324D">
        <w:rPr>
          <w:rFonts w:ascii="72 Light" w:hAnsi="72 Light" w:cs="72 Light"/>
          <w:sz w:val="24"/>
          <w:szCs w:val="24"/>
          <w:lang w:val="fr-CA"/>
        </w:rPr>
        <w:t>I</w:t>
      </w:r>
      <w:r w:rsidR="002C0D6D" w:rsidRPr="007B324D">
        <w:rPr>
          <w:rFonts w:ascii="72 Light" w:hAnsi="72 Light" w:cs="72 Light"/>
          <w:sz w:val="24"/>
          <w:szCs w:val="24"/>
          <w:lang w:val="fr-CA"/>
        </w:rPr>
        <w:t>A</w:t>
      </w:r>
      <w:r w:rsidR="0027139F" w:rsidRPr="007B324D">
        <w:rPr>
          <w:rFonts w:ascii="72 Light" w:hAnsi="72 Light" w:cs="72 Light"/>
          <w:sz w:val="24"/>
          <w:szCs w:val="24"/>
          <w:lang w:val="fr-CA"/>
        </w:rPr>
        <w:t>+</w:t>
      </w:r>
      <w:r w:rsidR="05FA8BE1" w:rsidRPr="007B324D">
        <w:rPr>
          <w:rFonts w:ascii="72 Light" w:eastAsia="72 Light" w:hAnsi="72 Light" w:cs="72 Light"/>
          <w:sz w:val="24"/>
          <w:szCs w:val="24"/>
          <w:lang w:val="fr-CA"/>
        </w:rPr>
        <w:t>.</w:t>
      </w:r>
      <w:bookmarkEnd w:id="74"/>
      <w:r w:rsidR="05FA8BE1" w:rsidRPr="007B324D">
        <w:rPr>
          <w:rFonts w:ascii="72 Light" w:eastAsia="72 Light" w:hAnsi="72 Light" w:cs="72 Light"/>
          <w:sz w:val="24"/>
          <w:szCs w:val="24"/>
          <w:lang w:val="fr-CA"/>
        </w:rPr>
        <w:t xml:space="preserve"> </w:t>
      </w:r>
      <w:bookmarkStart w:id="75" w:name="lt_pId074"/>
    </w:p>
    <w:p w14:paraId="3B6F54D5" w14:textId="1DDE318A" w:rsidR="00D53869" w:rsidRPr="007B324D" w:rsidRDefault="05FA8BE1" w:rsidP="00F62155">
      <w:pPr>
        <w:tabs>
          <w:tab w:val="left" w:pos="3544"/>
        </w:tabs>
        <w:spacing w:before="120" w:line="276" w:lineRule="auto"/>
        <w:ind w:left="284" w:firstLine="0"/>
        <w:jc w:val="both"/>
        <w:rPr>
          <w:rFonts w:ascii="72 Light" w:eastAsia="72 Light" w:hAnsi="72 Light" w:cs="72 Light"/>
          <w:sz w:val="24"/>
          <w:szCs w:val="24"/>
          <w:lang w:val="fr-CA"/>
        </w:rPr>
      </w:pPr>
      <w:r w:rsidRPr="007B324D">
        <w:rPr>
          <w:rFonts w:ascii="72 Light" w:eastAsia="72 Light" w:hAnsi="72 Light" w:cs="72 Light"/>
          <w:sz w:val="24"/>
          <w:szCs w:val="24"/>
          <w:lang w:val="fr-CA"/>
        </w:rPr>
        <w:t>Les organisations ont suggéré au gouvernement du Canad</w:t>
      </w:r>
      <w:r w:rsidR="007A3515" w:rsidRPr="007B324D">
        <w:rPr>
          <w:rFonts w:ascii="72 Light" w:eastAsia="72 Light" w:hAnsi="72 Light" w:cs="72 Light"/>
          <w:sz w:val="24"/>
          <w:szCs w:val="24"/>
          <w:lang w:val="fr-CA"/>
        </w:rPr>
        <w:t>a de continuer à développer sa S</w:t>
      </w:r>
      <w:r w:rsidRPr="007B324D">
        <w:rPr>
          <w:rFonts w:ascii="72 Light" w:eastAsia="72 Light" w:hAnsi="72 Light" w:cs="72 Light"/>
          <w:sz w:val="24"/>
          <w:szCs w:val="24"/>
          <w:lang w:val="fr-CA"/>
        </w:rPr>
        <w:t xml:space="preserve">tratégie nationale </w:t>
      </w:r>
      <w:r w:rsidR="00B376C6" w:rsidRPr="007B324D">
        <w:rPr>
          <w:rFonts w:ascii="72 Light" w:eastAsia="72 Light" w:hAnsi="72 Light" w:cs="72 Light"/>
          <w:sz w:val="24"/>
          <w:szCs w:val="24"/>
          <w:lang w:val="fr-CA"/>
        </w:rPr>
        <w:t>sur</w:t>
      </w:r>
      <w:r w:rsidRPr="007B324D">
        <w:rPr>
          <w:rFonts w:ascii="72 Light" w:eastAsia="72 Light" w:hAnsi="72 Light" w:cs="72 Light"/>
          <w:sz w:val="24"/>
          <w:szCs w:val="24"/>
          <w:lang w:val="fr-CA"/>
        </w:rPr>
        <w:t xml:space="preserve"> </w:t>
      </w:r>
      <w:r w:rsidR="00B376C6" w:rsidRPr="007B324D">
        <w:rPr>
          <w:rFonts w:ascii="72 Light" w:eastAsia="72 Light" w:hAnsi="72 Light" w:cs="72 Light"/>
          <w:sz w:val="24"/>
          <w:szCs w:val="24"/>
          <w:lang w:val="fr-CA"/>
        </w:rPr>
        <w:t>l</w:t>
      </w:r>
      <w:r w:rsidRPr="007B324D">
        <w:rPr>
          <w:rFonts w:ascii="72 Light" w:eastAsia="72 Light" w:hAnsi="72 Light" w:cs="72 Light"/>
          <w:sz w:val="24"/>
          <w:szCs w:val="24"/>
          <w:lang w:val="fr-CA"/>
        </w:rPr>
        <w:t xml:space="preserve">e logement, qui devrait </w:t>
      </w:r>
      <w:r w:rsidR="00B376C6" w:rsidRPr="007B324D">
        <w:rPr>
          <w:rFonts w:ascii="72 Light" w:eastAsia="72 Light" w:hAnsi="72 Light" w:cs="72 Light"/>
          <w:sz w:val="24"/>
          <w:szCs w:val="24"/>
          <w:lang w:val="fr-CA"/>
        </w:rPr>
        <w:t>comprendr</w:t>
      </w:r>
      <w:r w:rsidRPr="007B324D">
        <w:rPr>
          <w:rFonts w:ascii="72 Light" w:eastAsia="72 Light" w:hAnsi="72 Light" w:cs="72 Light"/>
          <w:sz w:val="24"/>
          <w:szCs w:val="24"/>
          <w:lang w:val="fr-CA"/>
        </w:rPr>
        <w:t xml:space="preserve">e des ressources </w:t>
      </w:r>
      <w:r w:rsidR="00B376C6" w:rsidRPr="007B324D">
        <w:rPr>
          <w:rFonts w:ascii="72 Light" w:eastAsia="72 Light" w:hAnsi="72 Light" w:cs="72 Light"/>
          <w:sz w:val="24"/>
          <w:szCs w:val="24"/>
          <w:lang w:val="fr-CA"/>
        </w:rPr>
        <w:t>destinées expressément aux</w:t>
      </w:r>
      <w:r w:rsidRPr="007B324D">
        <w:rPr>
          <w:rFonts w:ascii="72 Light" w:eastAsia="72 Light" w:hAnsi="72 Light" w:cs="72 Light"/>
          <w:sz w:val="24"/>
          <w:szCs w:val="24"/>
          <w:lang w:val="fr-CA"/>
        </w:rPr>
        <w:t xml:space="preserve"> Canadiens</w:t>
      </w:r>
      <w:r w:rsidR="00042C3C" w:rsidRPr="007B324D">
        <w:rPr>
          <w:rFonts w:ascii="72 Light" w:eastAsia="72 Light" w:hAnsi="72 Light" w:cs="72 Light"/>
          <w:sz w:val="24"/>
          <w:szCs w:val="24"/>
          <w:lang w:val="fr-CA"/>
        </w:rPr>
        <w:t> </w:t>
      </w:r>
      <w:r w:rsidR="0027139F" w:rsidRPr="007B324D">
        <w:rPr>
          <w:rFonts w:ascii="72 Light" w:hAnsi="72 Light" w:cs="72 Light"/>
          <w:sz w:val="24"/>
          <w:szCs w:val="24"/>
          <w:lang w:val="fr-CA"/>
        </w:rPr>
        <w:t>2ELGBTQ</w:t>
      </w:r>
      <w:r w:rsidR="002C0D6D" w:rsidRPr="007B324D">
        <w:rPr>
          <w:rFonts w:ascii="72 Light" w:hAnsi="72 Light" w:cs="72 Light"/>
          <w:sz w:val="24"/>
          <w:szCs w:val="24"/>
          <w:lang w:val="fr-CA"/>
        </w:rPr>
        <w:t>Q</w:t>
      </w:r>
      <w:r w:rsidR="0027139F" w:rsidRPr="007B324D">
        <w:rPr>
          <w:rFonts w:ascii="72 Light" w:hAnsi="72 Light" w:cs="72 Light"/>
          <w:sz w:val="24"/>
          <w:szCs w:val="24"/>
          <w:lang w:val="fr-CA"/>
        </w:rPr>
        <w:t>I</w:t>
      </w:r>
      <w:r w:rsidR="002C0D6D" w:rsidRPr="007B324D">
        <w:rPr>
          <w:rFonts w:ascii="72 Light" w:hAnsi="72 Light" w:cs="72 Light"/>
          <w:sz w:val="24"/>
          <w:szCs w:val="24"/>
          <w:lang w:val="fr-CA"/>
        </w:rPr>
        <w:t>A</w:t>
      </w:r>
      <w:r w:rsidR="0027139F" w:rsidRPr="007B324D">
        <w:rPr>
          <w:rFonts w:ascii="72 Light" w:hAnsi="72 Light" w:cs="72 Light"/>
          <w:sz w:val="24"/>
          <w:szCs w:val="24"/>
          <w:lang w:val="fr-CA"/>
        </w:rPr>
        <w:t>+</w:t>
      </w:r>
      <w:r w:rsidRPr="007B324D">
        <w:rPr>
          <w:rFonts w:ascii="72 Light" w:eastAsia="72 Light" w:hAnsi="72 Light" w:cs="72 Light"/>
          <w:sz w:val="24"/>
          <w:szCs w:val="24"/>
          <w:lang w:val="fr-CA"/>
        </w:rPr>
        <w:t xml:space="preserve">, et de veiller à ce que les services destinés aux </w:t>
      </w:r>
      <w:r w:rsidR="00B376C6" w:rsidRPr="007B324D">
        <w:rPr>
          <w:rFonts w:ascii="72 Light" w:eastAsia="72 Light" w:hAnsi="72 Light" w:cs="72 Light"/>
          <w:sz w:val="24"/>
          <w:szCs w:val="24"/>
          <w:lang w:val="fr-CA"/>
        </w:rPr>
        <w:t>personnes en situation d</w:t>
      </w:r>
      <w:r w:rsidR="00935A6C" w:rsidRPr="007B324D">
        <w:rPr>
          <w:rFonts w:ascii="72 Light" w:eastAsia="72 Light" w:hAnsi="72 Light" w:cs="72 Light"/>
          <w:sz w:val="24"/>
          <w:szCs w:val="24"/>
          <w:lang w:val="fr-CA"/>
        </w:rPr>
        <w:t>’</w:t>
      </w:r>
      <w:r w:rsidR="00B376C6" w:rsidRPr="007B324D">
        <w:rPr>
          <w:rFonts w:ascii="72 Light" w:eastAsia="72 Light" w:hAnsi="72 Light" w:cs="72 Light"/>
          <w:sz w:val="24"/>
          <w:szCs w:val="24"/>
          <w:lang w:val="fr-CA"/>
        </w:rPr>
        <w:t>itinérance ou de logement précaire</w:t>
      </w:r>
      <w:r w:rsidRPr="007B324D">
        <w:rPr>
          <w:rFonts w:ascii="72 Light" w:eastAsia="72 Light" w:hAnsi="72 Light" w:cs="72 Light"/>
          <w:sz w:val="24"/>
          <w:szCs w:val="24"/>
          <w:lang w:val="fr-CA"/>
        </w:rPr>
        <w:t xml:space="preserve"> soient inclusifs et respectueux des personnes</w:t>
      </w:r>
      <w:r w:rsidR="00042C3C" w:rsidRPr="007B324D">
        <w:rPr>
          <w:rFonts w:ascii="72 Light" w:eastAsia="72 Light" w:hAnsi="72 Light" w:cs="72 Light"/>
          <w:sz w:val="24"/>
          <w:szCs w:val="24"/>
          <w:lang w:val="fr-CA"/>
        </w:rPr>
        <w:t> </w:t>
      </w:r>
      <w:r w:rsidR="0027139F" w:rsidRPr="007B324D">
        <w:rPr>
          <w:rFonts w:ascii="72 Light" w:hAnsi="72 Light" w:cs="72 Light"/>
          <w:sz w:val="24"/>
          <w:szCs w:val="24"/>
          <w:lang w:val="fr-CA"/>
        </w:rPr>
        <w:t>2ELGBTQ</w:t>
      </w:r>
      <w:r w:rsidR="002C0D6D" w:rsidRPr="007B324D">
        <w:rPr>
          <w:rFonts w:ascii="72 Light" w:hAnsi="72 Light" w:cs="72 Light"/>
          <w:sz w:val="24"/>
          <w:szCs w:val="24"/>
          <w:lang w:val="fr-CA"/>
        </w:rPr>
        <w:t>Q</w:t>
      </w:r>
      <w:r w:rsidR="0027139F" w:rsidRPr="007B324D">
        <w:rPr>
          <w:rFonts w:ascii="72 Light" w:hAnsi="72 Light" w:cs="72 Light"/>
          <w:sz w:val="24"/>
          <w:szCs w:val="24"/>
          <w:lang w:val="fr-CA"/>
        </w:rPr>
        <w:t>I</w:t>
      </w:r>
      <w:r w:rsidR="002C0D6D" w:rsidRPr="007B324D">
        <w:rPr>
          <w:rFonts w:ascii="72 Light" w:hAnsi="72 Light" w:cs="72 Light"/>
          <w:sz w:val="24"/>
          <w:szCs w:val="24"/>
          <w:lang w:val="fr-CA"/>
        </w:rPr>
        <w:t>A</w:t>
      </w:r>
      <w:r w:rsidR="0027139F" w:rsidRPr="007B324D">
        <w:rPr>
          <w:rFonts w:ascii="72 Light" w:hAnsi="72 Light" w:cs="72 Light"/>
          <w:sz w:val="24"/>
          <w:szCs w:val="24"/>
          <w:lang w:val="fr-CA"/>
        </w:rPr>
        <w:t>+</w:t>
      </w:r>
      <w:r w:rsidRPr="007B324D">
        <w:rPr>
          <w:rFonts w:ascii="72 Light" w:eastAsia="72 Light" w:hAnsi="72 Light" w:cs="72 Light"/>
          <w:sz w:val="24"/>
          <w:szCs w:val="24"/>
          <w:lang w:val="fr-CA"/>
        </w:rPr>
        <w:t>.</w:t>
      </w:r>
      <w:bookmarkEnd w:id="75"/>
    </w:p>
    <w:p w14:paraId="612EFA8D" w14:textId="0A118D67" w:rsidR="0057432D" w:rsidRPr="007B324D" w:rsidRDefault="0057432D" w:rsidP="00F62155">
      <w:pPr>
        <w:tabs>
          <w:tab w:val="left" w:pos="3544"/>
        </w:tabs>
        <w:spacing w:before="120" w:line="276" w:lineRule="auto"/>
        <w:ind w:left="284" w:firstLine="0"/>
        <w:jc w:val="both"/>
        <w:rPr>
          <w:rFonts w:ascii="72 Light" w:eastAsia="72 Light" w:hAnsi="72 Light" w:cs="72 Light"/>
          <w:sz w:val="24"/>
          <w:szCs w:val="24"/>
          <w:lang w:val="fr-CA"/>
        </w:rPr>
      </w:pPr>
      <w:r w:rsidRPr="007B324D">
        <w:rPr>
          <w:rFonts w:ascii="72 Light" w:hAnsi="72 Light" w:cs="72 Light"/>
          <w:sz w:val="24"/>
          <w:szCs w:val="24"/>
          <w:lang w:val="fr-CA"/>
        </w:rPr>
        <w:t xml:space="preserve">Les organisations se sont inquiété du fait que le rapport ne mentionne pas </w:t>
      </w:r>
      <w:r w:rsidR="00F7764C" w:rsidRPr="007B324D">
        <w:rPr>
          <w:rFonts w:ascii="72 Light" w:hAnsi="72 Light" w:cs="72 Light"/>
          <w:sz w:val="24"/>
          <w:szCs w:val="24"/>
          <w:lang w:val="fr-CA"/>
        </w:rPr>
        <w:t>comment</w:t>
      </w:r>
      <w:r w:rsidRPr="007B324D">
        <w:rPr>
          <w:rFonts w:ascii="72 Light" w:hAnsi="72 Light" w:cs="72 Light"/>
          <w:sz w:val="24"/>
          <w:szCs w:val="24"/>
          <w:lang w:val="fr-CA"/>
        </w:rPr>
        <w:t xml:space="preserve"> les gouvernements comptent adopter des mesures de protection pour éviter que les femmes trans et bispirituelles soient hébergées dans des établissements réservés aux hommes, où elles sont victimes d’agressions physiques et sexuelles, de harcèlement</w:t>
      </w:r>
      <w:r w:rsidR="00F7764C" w:rsidRPr="007B324D">
        <w:rPr>
          <w:rFonts w:ascii="72 Light" w:hAnsi="72 Light" w:cs="72 Light"/>
          <w:sz w:val="24"/>
          <w:szCs w:val="24"/>
          <w:lang w:val="fr-CA"/>
        </w:rPr>
        <w:t xml:space="preserve"> et d’injures</w:t>
      </w:r>
      <w:r w:rsidRPr="007B324D">
        <w:rPr>
          <w:rFonts w:ascii="72 Light" w:hAnsi="72 Light" w:cs="72 Light"/>
          <w:sz w:val="24"/>
          <w:szCs w:val="24"/>
          <w:lang w:val="fr-CA"/>
        </w:rPr>
        <w:t xml:space="preserve"> transphobe</w:t>
      </w:r>
      <w:r w:rsidR="00F7764C" w:rsidRPr="007B324D">
        <w:rPr>
          <w:rFonts w:ascii="72 Light" w:hAnsi="72 Light" w:cs="72 Light"/>
          <w:sz w:val="24"/>
          <w:szCs w:val="24"/>
          <w:lang w:val="fr-CA"/>
        </w:rPr>
        <w:t>s</w:t>
      </w:r>
      <w:r w:rsidRPr="007B324D">
        <w:rPr>
          <w:rFonts w:ascii="72 Light" w:hAnsi="72 Light" w:cs="72 Light"/>
          <w:sz w:val="24"/>
          <w:szCs w:val="24"/>
          <w:lang w:val="fr-CA"/>
        </w:rPr>
        <w:t>, de fouilles déshumanisantes effectuées par des agents masculins, de morinommage, de violations de leur vie privée</w:t>
      </w:r>
      <w:r w:rsidR="0088343D" w:rsidRPr="007B324D">
        <w:rPr>
          <w:rFonts w:ascii="72 Light" w:hAnsi="72 Light" w:cs="72 Light"/>
          <w:sz w:val="24"/>
          <w:szCs w:val="24"/>
          <w:lang w:val="fr-CA"/>
        </w:rPr>
        <w:t>,</w:t>
      </w:r>
      <w:r w:rsidRPr="007B324D">
        <w:rPr>
          <w:rFonts w:ascii="72 Light" w:hAnsi="72 Light" w:cs="72 Light"/>
          <w:sz w:val="24"/>
          <w:szCs w:val="24"/>
          <w:lang w:val="fr-CA"/>
        </w:rPr>
        <w:t xml:space="preserve"> de la divulgation de leur identité de genre à d’autres personnes incarcérées, d’un manque de vêtements adaptés à leur sexe et d’un refus de programmes adaptés à leur sexe. </w:t>
      </w:r>
    </w:p>
    <w:p w14:paraId="6475833D" w14:textId="6D4D272E" w:rsidR="0057432D" w:rsidRPr="007B324D" w:rsidRDefault="0057432D" w:rsidP="00263C16">
      <w:pPr>
        <w:tabs>
          <w:tab w:val="left" w:pos="3544"/>
        </w:tabs>
        <w:spacing w:before="120" w:line="276" w:lineRule="auto"/>
        <w:ind w:left="284" w:firstLine="0"/>
        <w:jc w:val="both"/>
        <w:rPr>
          <w:rFonts w:ascii="72 Light" w:eastAsia="72 Light" w:hAnsi="72 Light" w:cs="72 Light"/>
          <w:sz w:val="24"/>
          <w:szCs w:val="24"/>
          <w:lang w:val="fr-CA"/>
        </w:rPr>
      </w:pPr>
      <w:r w:rsidRPr="007B324D">
        <w:rPr>
          <w:rFonts w:ascii="72 Light" w:hAnsi="72 Light" w:cs="72 Light"/>
          <w:sz w:val="24"/>
          <w:szCs w:val="24"/>
          <w:lang w:val="fr-CA"/>
        </w:rPr>
        <w:t xml:space="preserve">Elles ont noté que l’orientation politique de 2018 sur les pratiques d’information sur le sexe et le genre pour le gouvernement du Canada, soulignée dans le Plan d’action fédéral 2ELGBTQI+, n’a pas été mise en œuvre par le </w:t>
      </w:r>
      <w:r w:rsidRPr="007B324D">
        <w:rPr>
          <w:rFonts w:ascii="72 Light" w:hAnsi="72 Light" w:cs="72 Light"/>
          <w:bCs/>
          <w:sz w:val="24"/>
          <w:szCs w:val="24"/>
          <w:lang w:val="fr-CA"/>
        </w:rPr>
        <w:t>Service correctionnel du Canada, qui interdit</w:t>
      </w:r>
      <w:r w:rsidR="00C51AE9" w:rsidRPr="007B324D">
        <w:rPr>
          <w:rFonts w:ascii="72 Light" w:hAnsi="72 Light" w:cs="72 Light"/>
          <w:bCs/>
          <w:sz w:val="24"/>
          <w:szCs w:val="24"/>
          <w:lang w:val="fr-CA"/>
        </w:rPr>
        <w:t xml:space="preserve"> toujours</w:t>
      </w:r>
      <w:r w:rsidRPr="007B324D">
        <w:rPr>
          <w:rFonts w:ascii="72 Light" w:hAnsi="72 Light" w:cs="72 Light"/>
          <w:bCs/>
          <w:sz w:val="24"/>
          <w:szCs w:val="24"/>
          <w:lang w:val="fr-CA"/>
        </w:rPr>
        <w:t xml:space="preserve"> aux </w:t>
      </w:r>
      <w:r w:rsidR="0088343D" w:rsidRPr="007B324D">
        <w:rPr>
          <w:rFonts w:ascii="72 Light" w:hAnsi="72 Light" w:cs="72 Light"/>
          <w:bCs/>
          <w:sz w:val="24"/>
          <w:szCs w:val="24"/>
          <w:lang w:val="fr-CA"/>
        </w:rPr>
        <w:t>détenus</w:t>
      </w:r>
      <w:r w:rsidRPr="007B324D">
        <w:rPr>
          <w:rFonts w:ascii="72 Light" w:hAnsi="72 Light" w:cs="72 Light"/>
          <w:bCs/>
          <w:sz w:val="24"/>
          <w:szCs w:val="24"/>
          <w:lang w:val="fr-CA"/>
        </w:rPr>
        <w:t xml:space="preserve"> de changer leur marqueur de sexe dans le Système de gestion des délinquants à moins qu’ils subissent une chirurgie génitale, </w:t>
      </w:r>
      <w:r w:rsidR="0088343D" w:rsidRPr="007B324D">
        <w:rPr>
          <w:rFonts w:ascii="72 Light" w:hAnsi="72 Light" w:cs="72 Light"/>
          <w:bCs/>
          <w:sz w:val="24"/>
          <w:szCs w:val="24"/>
          <w:lang w:val="fr-CA"/>
        </w:rPr>
        <w:t>ce qui enfreint</w:t>
      </w:r>
      <w:r w:rsidRPr="007B324D">
        <w:rPr>
          <w:rFonts w:ascii="72 Light" w:hAnsi="72 Light" w:cs="72 Light"/>
          <w:bCs/>
          <w:sz w:val="24"/>
          <w:szCs w:val="24"/>
          <w:lang w:val="fr-CA"/>
        </w:rPr>
        <w:t xml:space="preserve"> l’orientation politique.</w:t>
      </w:r>
    </w:p>
    <w:p w14:paraId="748562C2" w14:textId="3ADFBB8B" w:rsidR="000417F3" w:rsidRPr="007B324D" w:rsidRDefault="00D4122B" w:rsidP="00F62155">
      <w:pPr>
        <w:pStyle w:val="ListParagraph"/>
        <w:numPr>
          <w:ilvl w:val="0"/>
          <w:numId w:val="1"/>
        </w:numPr>
        <w:tabs>
          <w:tab w:val="left" w:pos="3544"/>
        </w:tabs>
        <w:spacing w:before="120" w:line="276" w:lineRule="auto"/>
        <w:ind w:left="284" w:hanging="644"/>
        <w:contextualSpacing w:val="0"/>
        <w:jc w:val="both"/>
        <w:rPr>
          <w:rFonts w:ascii="72 Light" w:hAnsi="72 Light" w:cs="72 Light"/>
          <w:b/>
          <w:sz w:val="24"/>
          <w:szCs w:val="24"/>
          <w:lang w:val="fr-CA"/>
        </w:rPr>
      </w:pPr>
      <w:bookmarkStart w:id="76" w:name="lt_pId075"/>
      <w:r w:rsidRPr="007B324D">
        <w:rPr>
          <w:rFonts w:ascii="72 Light" w:hAnsi="72 Light" w:cs="72 Light"/>
          <w:b/>
          <w:sz w:val="24"/>
          <w:szCs w:val="24"/>
          <w:lang w:val="fr-CA"/>
        </w:rPr>
        <w:t>Sécurité publique et application de la loi</w:t>
      </w:r>
      <w:bookmarkEnd w:id="76"/>
    </w:p>
    <w:p w14:paraId="64002875" w14:textId="1F8AB42D" w:rsidR="00B63238" w:rsidRPr="007B324D" w:rsidRDefault="00252A2D" w:rsidP="00F62155">
      <w:pPr>
        <w:tabs>
          <w:tab w:val="left" w:pos="3544"/>
        </w:tabs>
        <w:spacing w:before="120" w:line="276" w:lineRule="auto"/>
        <w:ind w:left="284" w:firstLine="0"/>
        <w:jc w:val="both"/>
        <w:rPr>
          <w:rFonts w:ascii="72 Light" w:hAnsi="72 Light" w:cs="72 Light"/>
          <w:bCs/>
          <w:sz w:val="24"/>
          <w:szCs w:val="24"/>
          <w:lang w:val="fr-CA"/>
        </w:rPr>
      </w:pPr>
      <w:bookmarkStart w:id="77" w:name="lt_pId076"/>
      <w:r w:rsidRPr="007B324D">
        <w:rPr>
          <w:rFonts w:ascii="72 Light" w:hAnsi="72 Light" w:cs="72 Light"/>
          <w:bCs/>
          <w:sz w:val="24"/>
          <w:szCs w:val="24"/>
          <w:lang w:val="fr-CA"/>
        </w:rPr>
        <w:t xml:space="preserve">Les organisations ont </w:t>
      </w:r>
      <w:r w:rsidR="004E0AC5" w:rsidRPr="007B324D">
        <w:rPr>
          <w:rFonts w:ascii="72 Light" w:hAnsi="72 Light" w:cs="72 Light"/>
          <w:bCs/>
          <w:sz w:val="24"/>
          <w:szCs w:val="24"/>
          <w:lang w:val="fr-CA"/>
        </w:rPr>
        <w:t>demand</w:t>
      </w:r>
      <w:r w:rsidRPr="007B324D">
        <w:rPr>
          <w:rFonts w:ascii="72 Light" w:hAnsi="72 Light" w:cs="72 Light"/>
          <w:bCs/>
          <w:sz w:val="24"/>
          <w:szCs w:val="24"/>
          <w:lang w:val="fr-CA"/>
        </w:rPr>
        <w:t>é un changement systémique au sein des forces de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ordre, en particulier de</w:t>
      </w:r>
      <w:r w:rsidR="004E0AC5" w:rsidRPr="007B324D">
        <w:rPr>
          <w:rFonts w:ascii="72 Light" w:hAnsi="72 Light" w:cs="72 Light"/>
          <w:bCs/>
          <w:sz w:val="24"/>
          <w:szCs w:val="24"/>
          <w:lang w:val="fr-CA"/>
        </w:rPr>
        <w:t xml:space="preserve"> la Gendarmerie royale du Canada</w:t>
      </w:r>
      <w:r w:rsidRPr="007B324D">
        <w:rPr>
          <w:rFonts w:ascii="72 Light" w:hAnsi="72 Light" w:cs="72 Light"/>
          <w:bCs/>
          <w:sz w:val="24"/>
          <w:szCs w:val="24"/>
          <w:lang w:val="fr-CA"/>
        </w:rPr>
        <w:t xml:space="preserve">, afin de lutter contre les préjugés sexistes et la misogynie </w:t>
      </w:r>
      <w:r w:rsidR="004E0AC5" w:rsidRPr="007B324D">
        <w:rPr>
          <w:rFonts w:ascii="72 Light" w:hAnsi="72 Light" w:cs="72 Light"/>
          <w:bCs/>
          <w:sz w:val="24"/>
          <w:szCs w:val="24"/>
          <w:lang w:val="fr-CA"/>
        </w:rPr>
        <w:t xml:space="preserve">présents chez </w:t>
      </w:r>
      <w:r w:rsidRPr="007B324D">
        <w:rPr>
          <w:rFonts w:ascii="72 Light" w:hAnsi="72 Light" w:cs="72 Light"/>
          <w:bCs/>
          <w:sz w:val="24"/>
          <w:szCs w:val="24"/>
          <w:lang w:val="fr-CA"/>
        </w:rPr>
        <w:t xml:space="preserve">les forces </w:t>
      </w:r>
      <w:r w:rsidR="004E0AC5" w:rsidRPr="007B324D">
        <w:rPr>
          <w:rFonts w:ascii="72 Light" w:hAnsi="72 Light" w:cs="72 Light"/>
          <w:bCs/>
          <w:sz w:val="24"/>
          <w:szCs w:val="24"/>
          <w:lang w:val="fr-CA"/>
        </w:rPr>
        <w:t xml:space="preserve">policières </w:t>
      </w:r>
      <w:r w:rsidRPr="007B324D">
        <w:rPr>
          <w:rFonts w:ascii="72 Light" w:hAnsi="72 Light" w:cs="72 Light"/>
          <w:bCs/>
          <w:sz w:val="24"/>
          <w:szCs w:val="24"/>
          <w:lang w:val="fr-CA"/>
        </w:rPr>
        <w:t xml:space="preserve">à </w:t>
      </w:r>
      <w:r w:rsidR="004E0AC5" w:rsidRPr="007B324D">
        <w:rPr>
          <w:rFonts w:ascii="72 Light" w:hAnsi="72 Light" w:cs="72 Light"/>
          <w:bCs/>
          <w:sz w:val="24"/>
          <w:szCs w:val="24"/>
          <w:lang w:val="fr-CA"/>
        </w:rPr>
        <w:t>l</w:t>
      </w:r>
      <w:r w:rsidR="00935A6C" w:rsidRPr="007B324D">
        <w:rPr>
          <w:rFonts w:ascii="72 Light" w:hAnsi="72 Light" w:cs="72 Light"/>
          <w:bCs/>
          <w:sz w:val="24"/>
          <w:szCs w:val="24"/>
          <w:lang w:val="fr-CA"/>
        </w:rPr>
        <w:t>’</w:t>
      </w:r>
      <w:r w:rsidR="004E0AC5" w:rsidRPr="007B324D">
        <w:rPr>
          <w:rFonts w:ascii="72 Light" w:hAnsi="72 Light" w:cs="72 Light"/>
          <w:bCs/>
          <w:sz w:val="24"/>
          <w:szCs w:val="24"/>
          <w:lang w:val="fr-CA"/>
        </w:rPr>
        <w:t xml:space="preserve">échelle du </w:t>
      </w:r>
      <w:r w:rsidRPr="007B324D">
        <w:rPr>
          <w:rFonts w:ascii="72 Light" w:hAnsi="72 Light" w:cs="72 Light"/>
          <w:bCs/>
          <w:sz w:val="24"/>
          <w:szCs w:val="24"/>
          <w:lang w:val="fr-CA"/>
        </w:rPr>
        <w:t>pays.</w:t>
      </w:r>
      <w:bookmarkEnd w:id="77"/>
      <w:r w:rsidRPr="007B324D">
        <w:rPr>
          <w:rFonts w:ascii="72 Light" w:hAnsi="72 Light" w:cs="72 Light"/>
          <w:bCs/>
          <w:sz w:val="24"/>
          <w:szCs w:val="24"/>
          <w:lang w:val="fr-CA"/>
        </w:rPr>
        <w:t xml:space="preserve"> </w:t>
      </w:r>
    </w:p>
    <w:p w14:paraId="4A6B81DE" w14:textId="1259D834" w:rsidR="00C93AEF" w:rsidRPr="007B324D" w:rsidRDefault="00A77AF9" w:rsidP="00F62155">
      <w:pPr>
        <w:tabs>
          <w:tab w:val="left" w:pos="3544"/>
        </w:tabs>
        <w:spacing w:before="120" w:line="276" w:lineRule="auto"/>
        <w:ind w:left="284" w:firstLine="0"/>
        <w:jc w:val="both"/>
        <w:rPr>
          <w:rFonts w:ascii="72 Light" w:hAnsi="72 Light" w:cs="72 Light"/>
          <w:bCs/>
          <w:sz w:val="24"/>
          <w:szCs w:val="24"/>
          <w:lang w:val="fr-CA"/>
        </w:rPr>
      </w:pPr>
      <w:bookmarkStart w:id="78" w:name="lt_pId077"/>
      <w:r w:rsidRPr="007B324D">
        <w:rPr>
          <w:rFonts w:ascii="72 Light" w:hAnsi="72 Light" w:cs="72 Light"/>
          <w:bCs/>
          <w:sz w:val="24"/>
          <w:szCs w:val="24"/>
          <w:lang w:val="fr-CA"/>
        </w:rPr>
        <w:t>Les organisations ont noté</w:t>
      </w:r>
      <w:r w:rsidR="0088343D" w:rsidRPr="007B324D">
        <w:rPr>
          <w:rFonts w:ascii="72 Light" w:hAnsi="72 Light" w:cs="72 Light"/>
          <w:bCs/>
          <w:sz w:val="24"/>
          <w:szCs w:val="24"/>
          <w:lang w:val="fr-CA"/>
        </w:rPr>
        <w:t xml:space="preserve"> </w:t>
      </w:r>
      <w:r w:rsidR="00C51AE9" w:rsidRPr="007B324D">
        <w:rPr>
          <w:rFonts w:ascii="72 Light" w:hAnsi="72 Light" w:cs="72 Light"/>
          <w:bCs/>
          <w:sz w:val="24"/>
          <w:szCs w:val="24"/>
          <w:lang w:val="fr-CA"/>
        </w:rPr>
        <w:t>une manque des</w:t>
      </w:r>
      <w:r w:rsidR="0088343D" w:rsidRPr="007B324D">
        <w:rPr>
          <w:rFonts w:ascii="72 Light" w:hAnsi="72 Light" w:cs="72 Light"/>
          <w:bCs/>
          <w:sz w:val="24"/>
          <w:szCs w:val="24"/>
          <w:lang w:val="fr-CA"/>
        </w:rPr>
        <w:t xml:space="preserve"> </w:t>
      </w:r>
      <w:r w:rsidRPr="007B324D">
        <w:rPr>
          <w:rFonts w:ascii="72 Light" w:hAnsi="72 Light" w:cs="72 Light"/>
          <w:bCs/>
          <w:sz w:val="24"/>
          <w:szCs w:val="24"/>
          <w:lang w:val="fr-CA"/>
        </w:rPr>
        <w:t xml:space="preserve">droits </w:t>
      </w:r>
      <w:r w:rsidR="004E0AC5" w:rsidRPr="007B324D">
        <w:rPr>
          <w:rFonts w:ascii="72 Light" w:hAnsi="72 Light" w:cs="72 Light"/>
          <w:bCs/>
          <w:sz w:val="24"/>
          <w:szCs w:val="24"/>
          <w:lang w:val="fr-CA"/>
        </w:rPr>
        <w:t>fond</w:t>
      </w:r>
      <w:r w:rsidR="00344BD1" w:rsidRPr="007B324D">
        <w:rPr>
          <w:rFonts w:ascii="72 Light" w:hAnsi="72 Light" w:cs="72 Light"/>
          <w:bCs/>
          <w:sz w:val="24"/>
          <w:szCs w:val="24"/>
          <w:lang w:val="fr-CA"/>
        </w:rPr>
        <w:t>a</w:t>
      </w:r>
      <w:r w:rsidR="004E0AC5" w:rsidRPr="007B324D">
        <w:rPr>
          <w:rFonts w:ascii="72 Light" w:hAnsi="72 Light" w:cs="72 Light"/>
          <w:bCs/>
          <w:sz w:val="24"/>
          <w:szCs w:val="24"/>
          <w:lang w:val="fr-CA"/>
        </w:rPr>
        <w:t>mentaux</w:t>
      </w:r>
      <w:r w:rsidRPr="007B324D">
        <w:rPr>
          <w:rFonts w:ascii="72 Light" w:hAnsi="72 Light" w:cs="72 Light"/>
          <w:bCs/>
          <w:sz w:val="24"/>
          <w:szCs w:val="24"/>
          <w:lang w:val="fr-CA"/>
        </w:rPr>
        <w:t xml:space="preserve"> des </w:t>
      </w:r>
      <w:r w:rsidR="004E0AC5" w:rsidRPr="007B324D">
        <w:rPr>
          <w:rFonts w:ascii="72 Light" w:hAnsi="72 Light" w:cs="72 Light"/>
          <w:bCs/>
          <w:sz w:val="24"/>
          <w:szCs w:val="24"/>
          <w:lang w:val="fr-CA"/>
        </w:rPr>
        <w:t xml:space="preserve">travailleuses et </w:t>
      </w:r>
      <w:r w:rsidRPr="007B324D">
        <w:rPr>
          <w:rFonts w:ascii="72 Light" w:hAnsi="72 Light" w:cs="72 Light"/>
          <w:bCs/>
          <w:sz w:val="24"/>
          <w:szCs w:val="24"/>
          <w:lang w:val="fr-CA"/>
        </w:rPr>
        <w:t xml:space="preserve">travailleurs du sexe dans </w:t>
      </w:r>
      <w:r w:rsidR="007F260F" w:rsidRPr="007B324D">
        <w:rPr>
          <w:rFonts w:ascii="72 Light" w:hAnsi="72 Light" w:cs="72 Light"/>
          <w:bCs/>
          <w:sz w:val="24"/>
          <w:szCs w:val="24"/>
          <w:lang w:val="fr-CA"/>
        </w:rPr>
        <w:t>l’ébauche du rapport</w:t>
      </w:r>
      <w:r w:rsidRPr="007B324D">
        <w:rPr>
          <w:rFonts w:ascii="72 Light" w:hAnsi="72 Light" w:cs="72 Light"/>
          <w:bCs/>
          <w:sz w:val="24"/>
          <w:szCs w:val="24"/>
          <w:lang w:val="fr-CA"/>
        </w:rPr>
        <w:t>, ce qui, selon elles, est un problème récurrent dans les rapports internationaux du Canada sur les droits</w:t>
      </w:r>
      <w:r w:rsidR="004E0AC5" w:rsidRPr="007B324D">
        <w:rPr>
          <w:rFonts w:ascii="72 Light" w:hAnsi="72 Light" w:cs="72 Light"/>
          <w:bCs/>
          <w:sz w:val="24"/>
          <w:szCs w:val="24"/>
          <w:lang w:val="fr-CA"/>
        </w:rPr>
        <w:t xml:space="preserve"> de la personne</w:t>
      </w:r>
      <w:r w:rsidRPr="007B324D">
        <w:rPr>
          <w:rFonts w:ascii="72 Light" w:hAnsi="72 Light" w:cs="72 Light"/>
          <w:bCs/>
          <w:sz w:val="24"/>
          <w:szCs w:val="24"/>
          <w:lang w:val="fr-CA"/>
        </w:rPr>
        <w:t>.</w:t>
      </w:r>
      <w:bookmarkEnd w:id="78"/>
      <w:r w:rsidRPr="007B324D">
        <w:rPr>
          <w:rFonts w:ascii="72 Light" w:hAnsi="72 Light" w:cs="72 Light"/>
          <w:bCs/>
          <w:sz w:val="24"/>
          <w:szCs w:val="24"/>
          <w:lang w:val="fr-CA"/>
        </w:rPr>
        <w:t xml:space="preserve"> </w:t>
      </w:r>
      <w:bookmarkStart w:id="79" w:name="lt_pId078"/>
      <w:r w:rsidRPr="007B324D">
        <w:rPr>
          <w:rFonts w:ascii="72 Light" w:hAnsi="72 Light" w:cs="72 Light"/>
          <w:bCs/>
          <w:sz w:val="24"/>
          <w:szCs w:val="24"/>
          <w:lang w:val="fr-CA"/>
        </w:rPr>
        <w:t xml:space="preserve">Rappelant les difficultés rencontrées par les </w:t>
      </w:r>
      <w:r w:rsidR="004E0AC5" w:rsidRPr="007B324D">
        <w:rPr>
          <w:rFonts w:ascii="72 Light" w:hAnsi="72 Light" w:cs="72 Light"/>
          <w:bCs/>
          <w:sz w:val="24"/>
          <w:szCs w:val="24"/>
          <w:lang w:val="fr-CA"/>
        </w:rPr>
        <w:t xml:space="preserve">travailleuses et </w:t>
      </w:r>
      <w:r w:rsidRPr="007B324D">
        <w:rPr>
          <w:rFonts w:ascii="72 Light" w:hAnsi="72 Light" w:cs="72 Light"/>
          <w:bCs/>
          <w:sz w:val="24"/>
          <w:szCs w:val="24"/>
          <w:lang w:val="fr-CA"/>
        </w:rPr>
        <w:t xml:space="preserve">travailleurs du sexe, les organisations ont encouragé le gouvernement à abroger la </w:t>
      </w:r>
      <w:r w:rsidR="004E0AC5" w:rsidRPr="007B324D">
        <w:rPr>
          <w:rFonts w:ascii="72 Light" w:hAnsi="72 Light" w:cs="72 Light"/>
          <w:bCs/>
          <w:i/>
          <w:sz w:val="24"/>
          <w:szCs w:val="24"/>
          <w:lang w:val="fr-CA"/>
        </w:rPr>
        <w:t>Loi sur la protection des collectivités et des personnes victimes d</w:t>
      </w:r>
      <w:r w:rsidR="00935A6C" w:rsidRPr="007B324D">
        <w:rPr>
          <w:rFonts w:ascii="72 Light" w:hAnsi="72 Light" w:cs="72 Light"/>
          <w:bCs/>
          <w:i/>
          <w:sz w:val="24"/>
          <w:szCs w:val="24"/>
          <w:lang w:val="fr-CA"/>
        </w:rPr>
        <w:t>’</w:t>
      </w:r>
      <w:r w:rsidR="004E0AC5" w:rsidRPr="007B324D">
        <w:rPr>
          <w:rFonts w:ascii="72 Light" w:hAnsi="72 Light" w:cs="72 Light"/>
          <w:bCs/>
          <w:i/>
          <w:sz w:val="24"/>
          <w:szCs w:val="24"/>
          <w:lang w:val="fr-CA"/>
        </w:rPr>
        <w:t>exploitation</w:t>
      </w:r>
      <w:r w:rsidRPr="007B324D">
        <w:rPr>
          <w:rFonts w:ascii="72 Light" w:hAnsi="72 Light" w:cs="72 Light"/>
          <w:bCs/>
          <w:sz w:val="24"/>
          <w:szCs w:val="24"/>
          <w:lang w:val="fr-CA"/>
        </w:rPr>
        <w:t xml:space="preserve"> (projet de loi</w:t>
      </w:r>
      <w:r w:rsidR="00042C3C" w:rsidRPr="007B324D">
        <w:rPr>
          <w:rFonts w:ascii="72 Light" w:hAnsi="72 Light" w:cs="72 Light"/>
          <w:bCs/>
          <w:sz w:val="24"/>
          <w:szCs w:val="24"/>
          <w:lang w:val="fr-CA"/>
        </w:rPr>
        <w:t> </w:t>
      </w:r>
      <w:r w:rsidRPr="007B324D">
        <w:rPr>
          <w:rFonts w:ascii="72 Light" w:hAnsi="72 Light" w:cs="72 Light"/>
          <w:bCs/>
          <w:sz w:val="24"/>
          <w:szCs w:val="24"/>
          <w:lang w:val="fr-CA"/>
        </w:rPr>
        <w:t>C-36), qui interdit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achat de services sexuels.</w:t>
      </w:r>
      <w:bookmarkEnd w:id="79"/>
    </w:p>
    <w:p w14:paraId="67E566F6" w14:textId="312A3B69" w:rsidR="00FD502F" w:rsidRPr="007B324D" w:rsidRDefault="009D0B1F" w:rsidP="00F62155">
      <w:pPr>
        <w:tabs>
          <w:tab w:val="left" w:pos="3544"/>
        </w:tabs>
        <w:spacing w:before="120" w:line="276" w:lineRule="auto"/>
        <w:ind w:left="284" w:firstLine="0"/>
        <w:jc w:val="both"/>
        <w:rPr>
          <w:rFonts w:ascii="72 Light" w:hAnsi="72 Light" w:cs="72 Light"/>
          <w:sz w:val="24"/>
          <w:szCs w:val="24"/>
          <w:lang w:val="fr-CA"/>
        </w:rPr>
      </w:pPr>
      <w:bookmarkStart w:id="80" w:name="lt_pId079"/>
      <w:r w:rsidRPr="007B324D">
        <w:rPr>
          <w:rFonts w:ascii="72 Light" w:hAnsi="72 Light" w:cs="72 Light"/>
          <w:sz w:val="24"/>
          <w:szCs w:val="24"/>
          <w:lang w:val="fr-CA"/>
        </w:rPr>
        <w:lastRenderedPageBreak/>
        <w:t>Les organisations ont recommandé au Canada d</w:t>
      </w:r>
      <w:r w:rsidR="00935A6C" w:rsidRPr="007B324D">
        <w:rPr>
          <w:rFonts w:ascii="72 Light" w:hAnsi="72 Light" w:cs="72 Light"/>
          <w:sz w:val="24"/>
          <w:szCs w:val="24"/>
          <w:lang w:val="fr-CA"/>
        </w:rPr>
        <w:t>’</w:t>
      </w:r>
      <w:r w:rsidRPr="007B324D">
        <w:rPr>
          <w:rFonts w:ascii="72 Light" w:hAnsi="72 Light" w:cs="72 Light"/>
          <w:sz w:val="24"/>
          <w:szCs w:val="24"/>
          <w:lang w:val="fr-CA"/>
        </w:rPr>
        <w:t>élaborer un plan d</w:t>
      </w:r>
      <w:r w:rsidR="00935A6C" w:rsidRPr="007B324D">
        <w:rPr>
          <w:rFonts w:ascii="72 Light" w:hAnsi="72 Light" w:cs="72 Light"/>
          <w:sz w:val="24"/>
          <w:szCs w:val="24"/>
          <w:lang w:val="fr-CA"/>
        </w:rPr>
        <w:t>’</w:t>
      </w:r>
      <w:r w:rsidRPr="007B324D">
        <w:rPr>
          <w:rFonts w:ascii="72 Light" w:hAnsi="72 Light" w:cs="72 Light"/>
          <w:sz w:val="24"/>
          <w:szCs w:val="24"/>
          <w:lang w:val="fr-CA"/>
        </w:rPr>
        <w:t xml:space="preserve">action national assorti </w:t>
      </w:r>
      <w:r w:rsidR="004E0AC5" w:rsidRPr="007B324D">
        <w:rPr>
          <w:rFonts w:ascii="72 Light" w:hAnsi="72 Light" w:cs="72 Light"/>
          <w:sz w:val="24"/>
          <w:szCs w:val="24"/>
          <w:lang w:val="fr-CA"/>
        </w:rPr>
        <w:t>de délais précis</w:t>
      </w:r>
      <w:r w:rsidRPr="007B324D">
        <w:rPr>
          <w:rFonts w:ascii="72 Light" w:hAnsi="72 Light" w:cs="72 Light"/>
          <w:sz w:val="24"/>
          <w:szCs w:val="24"/>
          <w:lang w:val="fr-CA"/>
        </w:rPr>
        <w:t xml:space="preserve">, en consultation avec les </w:t>
      </w:r>
      <w:r w:rsidR="004E0AC5" w:rsidRPr="007B324D">
        <w:rPr>
          <w:rFonts w:ascii="72 Light" w:hAnsi="72 Light" w:cs="72 Light"/>
          <w:sz w:val="24"/>
          <w:szCs w:val="24"/>
          <w:lang w:val="fr-CA"/>
        </w:rPr>
        <w:t xml:space="preserve">gouvernements </w:t>
      </w:r>
      <w:r w:rsidR="0088343D" w:rsidRPr="007B324D">
        <w:rPr>
          <w:rFonts w:ascii="72 Light" w:hAnsi="72 Light" w:cs="72 Light"/>
          <w:sz w:val="24"/>
          <w:szCs w:val="24"/>
          <w:lang w:val="fr-CA"/>
        </w:rPr>
        <w:t>FPT</w:t>
      </w:r>
      <w:r w:rsidR="004E0AC5" w:rsidRPr="007B324D">
        <w:rPr>
          <w:rFonts w:ascii="72 Light" w:hAnsi="72 Light" w:cs="72 Light"/>
          <w:sz w:val="24"/>
          <w:szCs w:val="24"/>
          <w:lang w:val="fr-CA"/>
        </w:rPr>
        <w:t>,</w:t>
      </w:r>
      <w:r w:rsidRPr="007B324D">
        <w:rPr>
          <w:rFonts w:ascii="72 Light" w:hAnsi="72 Light" w:cs="72 Light"/>
          <w:sz w:val="24"/>
          <w:szCs w:val="24"/>
          <w:lang w:val="fr-CA"/>
        </w:rPr>
        <w:t xml:space="preserve"> </w:t>
      </w:r>
      <w:r w:rsidR="004E0AC5" w:rsidRPr="007B324D">
        <w:rPr>
          <w:rFonts w:ascii="72 Light" w:hAnsi="72 Light" w:cs="72 Light"/>
          <w:sz w:val="24"/>
          <w:szCs w:val="24"/>
          <w:lang w:val="fr-CA"/>
        </w:rPr>
        <w:t xml:space="preserve">les administrations </w:t>
      </w:r>
      <w:r w:rsidRPr="007B324D">
        <w:rPr>
          <w:rFonts w:ascii="72 Light" w:hAnsi="72 Light" w:cs="72 Light"/>
          <w:sz w:val="24"/>
          <w:szCs w:val="24"/>
          <w:lang w:val="fr-CA"/>
        </w:rPr>
        <w:t>municipales, les peuples autochtones et la société civile, afin de veiller à ce que la police et les autres fonc</w:t>
      </w:r>
      <w:r w:rsidR="004E0AC5" w:rsidRPr="007B324D">
        <w:rPr>
          <w:rFonts w:ascii="72 Light" w:hAnsi="72 Light" w:cs="72 Light"/>
          <w:sz w:val="24"/>
          <w:szCs w:val="24"/>
          <w:lang w:val="fr-CA"/>
        </w:rPr>
        <w:t>tionnaires mettent en œuvre le P</w:t>
      </w:r>
      <w:r w:rsidRPr="007B324D">
        <w:rPr>
          <w:rFonts w:ascii="72 Light" w:hAnsi="72 Light" w:cs="72 Light"/>
          <w:sz w:val="24"/>
          <w:szCs w:val="24"/>
          <w:lang w:val="fr-CA"/>
        </w:rPr>
        <w:t xml:space="preserve">rotocole de Minnesota pour enquêter sur les crimes graves sans discrimination, y compris sur tous les </w:t>
      </w:r>
      <w:r w:rsidR="004E0AC5" w:rsidRPr="007B324D">
        <w:rPr>
          <w:rFonts w:ascii="72 Light" w:hAnsi="72 Light" w:cs="72 Light"/>
          <w:sz w:val="24"/>
          <w:szCs w:val="24"/>
          <w:lang w:val="fr-CA"/>
        </w:rPr>
        <w:t>homicides</w:t>
      </w:r>
      <w:r w:rsidRPr="007B324D">
        <w:rPr>
          <w:rFonts w:ascii="72 Light" w:hAnsi="72 Light" w:cs="72 Light"/>
          <w:sz w:val="24"/>
          <w:szCs w:val="24"/>
          <w:lang w:val="fr-CA"/>
        </w:rPr>
        <w:t xml:space="preserve"> </w:t>
      </w:r>
      <w:r w:rsidR="004E0AC5" w:rsidRPr="007B324D">
        <w:rPr>
          <w:rFonts w:ascii="72 Light" w:hAnsi="72 Light" w:cs="72 Light"/>
          <w:sz w:val="24"/>
          <w:szCs w:val="24"/>
          <w:lang w:val="fr-CA"/>
        </w:rPr>
        <w:t>et</w:t>
      </w:r>
      <w:r w:rsidRPr="007B324D">
        <w:rPr>
          <w:rFonts w:ascii="72 Light" w:hAnsi="72 Light" w:cs="72 Light"/>
          <w:sz w:val="24"/>
          <w:szCs w:val="24"/>
          <w:lang w:val="fr-CA"/>
        </w:rPr>
        <w:t xml:space="preserve"> </w:t>
      </w:r>
      <w:r w:rsidR="004E0AC5" w:rsidRPr="007B324D">
        <w:rPr>
          <w:rFonts w:ascii="72 Light" w:hAnsi="72 Light" w:cs="72 Light"/>
          <w:sz w:val="24"/>
          <w:szCs w:val="24"/>
          <w:lang w:val="fr-CA"/>
        </w:rPr>
        <w:t xml:space="preserve">toutes les </w:t>
      </w:r>
      <w:r w:rsidRPr="007B324D">
        <w:rPr>
          <w:rFonts w:ascii="72 Light" w:hAnsi="72 Light" w:cs="72 Light"/>
          <w:sz w:val="24"/>
          <w:szCs w:val="24"/>
          <w:lang w:val="fr-CA"/>
        </w:rPr>
        <w:t>disparitions.</w:t>
      </w:r>
      <w:bookmarkEnd w:id="80"/>
    </w:p>
    <w:p w14:paraId="30753743" w14:textId="2E201757" w:rsidR="0057432D" w:rsidRPr="007B324D" w:rsidRDefault="0057432D" w:rsidP="00F62155">
      <w:pPr>
        <w:tabs>
          <w:tab w:val="left" w:pos="3544"/>
        </w:tabs>
        <w:spacing w:before="120" w:line="276" w:lineRule="auto"/>
        <w:ind w:left="284" w:firstLine="0"/>
        <w:jc w:val="both"/>
        <w:rPr>
          <w:rFonts w:ascii="72 Light" w:hAnsi="72 Light" w:cs="72 Light"/>
          <w:sz w:val="24"/>
          <w:szCs w:val="24"/>
          <w:lang w:val="fr-CA"/>
        </w:rPr>
      </w:pPr>
      <w:r w:rsidRPr="007B324D">
        <w:rPr>
          <w:rFonts w:ascii="72 Light" w:hAnsi="72 Light" w:cs="72 Light"/>
          <w:sz w:val="24"/>
          <w:szCs w:val="24"/>
          <w:lang w:val="fr-CA"/>
        </w:rPr>
        <w:t xml:space="preserve">Le paragraphe du rapport consacré aux travaux en cours pour lutter contre l’incarcération massive des </w:t>
      </w:r>
      <w:r w:rsidR="0088343D" w:rsidRPr="007B324D">
        <w:rPr>
          <w:rFonts w:ascii="72 Light" w:hAnsi="72 Light" w:cs="72 Light"/>
          <w:sz w:val="24"/>
          <w:szCs w:val="24"/>
          <w:lang w:val="fr-CA"/>
        </w:rPr>
        <w:t>A</w:t>
      </w:r>
      <w:r w:rsidRPr="007B324D">
        <w:rPr>
          <w:rFonts w:ascii="72 Light" w:hAnsi="72 Light" w:cs="72 Light"/>
          <w:sz w:val="24"/>
          <w:szCs w:val="24"/>
          <w:lang w:val="fr-CA"/>
        </w:rPr>
        <w:t>utochtones a été bien accueilli par les organisations, même si certaines ont qualifié les mesures décrites (p. ex.</w:t>
      </w:r>
      <w:r w:rsidR="0088343D" w:rsidRPr="007B324D">
        <w:rPr>
          <w:rFonts w:ascii="72 Light" w:hAnsi="72 Light" w:cs="72 Light"/>
          <w:sz w:val="24"/>
          <w:szCs w:val="24"/>
          <w:lang w:val="fr-CA"/>
        </w:rPr>
        <w:t>,</w:t>
      </w:r>
      <w:r w:rsidRPr="007B324D">
        <w:rPr>
          <w:rFonts w:ascii="72 Light" w:hAnsi="72 Light" w:cs="72 Light"/>
          <w:sz w:val="24"/>
          <w:szCs w:val="24"/>
          <w:lang w:val="fr-CA"/>
        </w:rPr>
        <w:t xml:space="preserve"> nomination d’un sous-commissaire pour les services correctionnels autochtones, mise en place d’un groupe de travail national sur les aînés et création de centres d’intervention autochtones) de </w:t>
      </w:r>
      <w:r w:rsidR="0088343D" w:rsidRPr="007B324D">
        <w:rPr>
          <w:rFonts w:ascii="72 Light" w:hAnsi="72 Light" w:cs="72 Light"/>
          <w:sz w:val="24"/>
          <w:szCs w:val="24"/>
          <w:lang w:val="fr-CA"/>
        </w:rPr>
        <w:t>mesures de façade.</w:t>
      </w:r>
    </w:p>
    <w:p w14:paraId="1BD5DBE2" w14:textId="7531DDD2" w:rsidR="0057432D" w:rsidRPr="007B324D" w:rsidRDefault="0057432D" w:rsidP="00F62155">
      <w:pPr>
        <w:tabs>
          <w:tab w:val="left" w:pos="3544"/>
        </w:tabs>
        <w:spacing w:before="120" w:line="276" w:lineRule="auto"/>
        <w:ind w:left="284" w:firstLine="0"/>
        <w:jc w:val="both"/>
        <w:rPr>
          <w:rFonts w:ascii="72 Light" w:hAnsi="72 Light" w:cs="72 Light"/>
          <w:bCs/>
          <w:sz w:val="24"/>
          <w:szCs w:val="24"/>
          <w:lang w:val="fr-CA"/>
        </w:rPr>
      </w:pPr>
      <w:r w:rsidRPr="007B324D">
        <w:rPr>
          <w:rFonts w:ascii="72 Light" w:hAnsi="72 Light" w:cs="72 Light"/>
          <w:sz w:val="24"/>
          <w:szCs w:val="24"/>
          <w:lang w:val="fr-CA"/>
        </w:rPr>
        <w:t xml:space="preserve">Les organisations ont appelé </w:t>
      </w:r>
      <w:r w:rsidRPr="007B324D">
        <w:rPr>
          <w:rFonts w:ascii="72 Light" w:hAnsi="72 Light" w:cs="72 Light"/>
          <w:bCs/>
          <w:sz w:val="24"/>
          <w:szCs w:val="24"/>
          <w:lang w:val="fr-CA"/>
        </w:rPr>
        <w:t xml:space="preserve">le gouvernement fédéral à reconnaître l’autodétermination autochtone et à </w:t>
      </w:r>
      <w:r w:rsidR="00C006A6" w:rsidRPr="007B324D">
        <w:rPr>
          <w:rFonts w:ascii="72 Light" w:hAnsi="72 Light" w:cs="72 Light"/>
          <w:bCs/>
          <w:sz w:val="24"/>
          <w:szCs w:val="24"/>
          <w:lang w:val="fr-CA"/>
        </w:rPr>
        <w:t xml:space="preserve">transférer </w:t>
      </w:r>
      <w:r w:rsidRPr="007B324D">
        <w:rPr>
          <w:rFonts w:ascii="72 Light" w:hAnsi="72 Light" w:cs="72 Light"/>
          <w:bCs/>
          <w:sz w:val="24"/>
          <w:szCs w:val="24"/>
          <w:lang w:val="fr-CA"/>
        </w:rPr>
        <w:t>le financement et l</w:t>
      </w:r>
      <w:r w:rsidR="00C006A6" w:rsidRPr="007B324D">
        <w:rPr>
          <w:rFonts w:ascii="72 Light" w:hAnsi="72 Light" w:cs="72 Light"/>
          <w:bCs/>
          <w:sz w:val="24"/>
          <w:szCs w:val="24"/>
          <w:lang w:val="fr-CA"/>
        </w:rPr>
        <w:t>es pouvoirs</w:t>
      </w:r>
      <w:r w:rsidRPr="007B324D">
        <w:rPr>
          <w:rFonts w:ascii="72 Light" w:hAnsi="72 Light" w:cs="72 Light"/>
          <w:bCs/>
          <w:sz w:val="24"/>
          <w:szCs w:val="24"/>
          <w:lang w:val="fr-CA"/>
        </w:rPr>
        <w:t xml:space="preserve"> </w:t>
      </w:r>
      <w:r w:rsidR="00C006A6" w:rsidRPr="007B324D">
        <w:rPr>
          <w:rFonts w:ascii="72 Light" w:hAnsi="72 Light" w:cs="72 Light"/>
          <w:bCs/>
          <w:sz w:val="24"/>
          <w:szCs w:val="24"/>
          <w:lang w:val="fr-CA"/>
        </w:rPr>
        <w:t>aux</w:t>
      </w:r>
      <w:r w:rsidRPr="007B324D">
        <w:rPr>
          <w:rFonts w:ascii="72 Light" w:hAnsi="72 Light" w:cs="72 Light"/>
          <w:bCs/>
          <w:sz w:val="24"/>
          <w:szCs w:val="24"/>
          <w:lang w:val="fr-CA"/>
        </w:rPr>
        <w:t xml:space="preserve"> gouvernements et </w:t>
      </w:r>
      <w:r w:rsidR="00C006A6" w:rsidRPr="007B324D">
        <w:rPr>
          <w:rFonts w:ascii="72 Light" w:hAnsi="72 Light" w:cs="72 Light"/>
          <w:bCs/>
          <w:sz w:val="24"/>
          <w:szCs w:val="24"/>
          <w:lang w:val="fr-CA"/>
        </w:rPr>
        <w:t>aux</w:t>
      </w:r>
      <w:r w:rsidRPr="007B324D">
        <w:rPr>
          <w:rFonts w:ascii="72 Light" w:hAnsi="72 Light" w:cs="72 Light"/>
          <w:bCs/>
          <w:sz w:val="24"/>
          <w:szCs w:val="24"/>
          <w:lang w:val="fr-CA"/>
        </w:rPr>
        <w:t xml:space="preserve"> organisations autochtones afin de fournir des solutions de rechange, basées sur le droit autochtone, qui </w:t>
      </w:r>
      <w:r w:rsidR="00C006A6" w:rsidRPr="007B324D">
        <w:rPr>
          <w:rFonts w:ascii="72 Light" w:hAnsi="72 Light" w:cs="72 Light"/>
          <w:bCs/>
          <w:sz w:val="24"/>
          <w:szCs w:val="24"/>
          <w:lang w:val="fr-CA"/>
        </w:rPr>
        <w:t xml:space="preserve">auraient un meilleur effet sur </w:t>
      </w:r>
      <w:r w:rsidRPr="007B324D">
        <w:rPr>
          <w:rFonts w:ascii="72 Light" w:hAnsi="72 Light" w:cs="72 Light"/>
          <w:bCs/>
          <w:sz w:val="24"/>
          <w:szCs w:val="24"/>
          <w:lang w:val="fr-CA"/>
        </w:rPr>
        <w:t xml:space="preserve">la décarcération des </w:t>
      </w:r>
      <w:r w:rsidR="00C006A6" w:rsidRPr="007B324D">
        <w:rPr>
          <w:rFonts w:ascii="72 Light" w:hAnsi="72 Light" w:cs="72 Light"/>
          <w:bCs/>
          <w:sz w:val="24"/>
          <w:szCs w:val="24"/>
          <w:lang w:val="fr-CA"/>
        </w:rPr>
        <w:t>A</w:t>
      </w:r>
      <w:r w:rsidRPr="007B324D">
        <w:rPr>
          <w:rFonts w:ascii="72 Light" w:hAnsi="72 Light" w:cs="72 Light"/>
          <w:bCs/>
          <w:sz w:val="24"/>
          <w:szCs w:val="24"/>
          <w:lang w:val="fr-CA"/>
        </w:rPr>
        <w:t xml:space="preserve">utochtones </w:t>
      </w:r>
      <w:r w:rsidR="00C006A6" w:rsidRPr="007B324D">
        <w:rPr>
          <w:rFonts w:ascii="72 Light" w:hAnsi="72 Light" w:cs="72 Light"/>
          <w:bCs/>
          <w:sz w:val="24"/>
          <w:szCs w:val="24"/>
          <w:lang w:val="fr-CA"/>
        </w:rPr>
        <w:t xml:space="preserve">conformément à </w:t>
      </w:r>
      <w:r w:rsidRPr="007B324D">
        <w:rPr>
          <w:rFonts w:ascii="72 Light" w:hAnsi="72 Light" w:cs="72 Light"/>
          <w:bCs/>
          <w:sz w:val="24"/>
          <w:szCs w:val="24"/>
          <w:lang w:val="fr-CA"/>
        </w:rPr>
        <w:t xml:space="preserve">la </w:t>
      </w:r>
      <w:r w:rsidRPr="007B324D">
        <w:rPr>
          <w:rFonts w:ascii="72 Light" w:hAnsi="72 Light" w:cs="72 Light"/>
          <w:bCs/>
          <w:i/>
          <w:iCs/>
          <w:sz w:val="24"/>
          <w:szCs w:val="24"/>
          <w:lang w:val="fr-CA"/>
        </w:rPr>
        <w:t>Déclaration des Nations Unies sur les droits des peuples autochtones</w:t>
      </w:r>
      <w:r w:rsidRPr="007B324D">
        <w:rPr>
          <w:rFonts w:ascii="72 Light" w:hAnsi="72 Light" w:cs="72 Light"/>
          <w:bCs/>
          <w:sz w:val="24"/>
          <w:szCs w:val="24"/>
          <w:lang w:val="fr-CA"/>
        </w:rPr>
        <w:t xml:space="preserve">. Des appels ont également été lancés pour que l’on </w:t>
      </w:r>
      <w:r w:rsidRPr="007B324D">
        <w:rPr>
          <w:rFonts w:ascii="72 Light" w:hAnsi="72 Light" w:cs="72 Light"/>
          <w:sz w:val="24"/>
          <w:szCs w:val="24"/>
          <w:lang w:val="fr-CA"/>
        </w:rPr>
        <w:t xml:space="preserve">retire </w:t>
      </w:r>
      <w:r w:rsidRPr="007B324D">
        <w:rPr>
          <w:rFonts w:ascii="72 Light" w:hAnsi="72 Light" w:cs="72 Light"/>
          <w:bCs/>
          <w:sz w:val="24"/>
          <w:szCs w:val="24"/>
          <w:lang w:val="fr-CA"/>
        </w:rPr>
        <w:t>le Service correctionnel du Canada</w:t>
      </w:r>
      <w:r w:rsidR="001252B4" w:rsidRPr="007B324D">
        <w:rPr>
          <w:rFonts w:ascii="72 Light" w:hAnsi="72 Light" w:cs="72 Light"/>
          <w:bCs/>
          <w:sz w:val="24"/>
          <w:szCs w:val="24"/>
          <w:lang w:val="fr-CA"/>
        </w:rPr>
        <w:t xml:space="preserve"> de ces efforts</w:t>
      </w:r>
      <w:r w:rsidRPr="007B324D">
        <w:rPr>
          <w:rFonts w:ascii="72 Light" w:hAnsi="72 Light" w:cs="72 Light"/>
          <w:bCs/>
          <w:sz w:val="24"/>
          <w:szCs w:val="24"/>
          <w:lang w:val="fr-CA"/>
        </w:rPr>
        <w:t>, dont le</w:t>
      </w:r>
      <w:r w:rsidR="00C51AE9" w:rsidRPr="007B324D">
        <w:rPr>
          <w:rFonts w:ascii="72 Light" w:hAnsi="72 Light" w:cs="72 Light"/>
          <w:bCs/>
          <w:sz w:val="24"/>
          <w:szCs w:val="24"/>
          <w:lang w:val="fr-CA"/>
        </w:rPr>
        <w:t>ur</w:t>
      </w:r>
      <w:r w:rsidRPr="007B324D">
        <w:rPr>
          <w:rFonts w:ascii="72 Light" w:hAnsi="72 Light" w:cs="72 Light"/>
          <w:bCs/>
          <w:sz w:val="24"/>
          <w:szCs w:val="24"/>
          <w:lang w:val="fr-CA"/>
        </w:rPr>
        <w:t xml:space="preserve">s activités </w:t>
      </w:r>
      <w:r w:rsidR="00C006A6" w:rsidRPr="007B324D">
        <w:rPr>
          <w:rFonts w:ascii="72 Light" w:hAnsi="72 Light" w:cs="72 Light"/>
          <w:bCs/>
          <w:sz w:val="24"/>
          <w:szCs w:val="24"/>
          <w:lang w:val="fr-CA"/>
        </w:rPr>
        <w:t xml:space="preserve">enfreignent toujours </w:t>
      </w:r>
      <w:r w:rsidR="00884E33" w:rsidRPr="007B324D">
        <w:rPr>
          <w:rFonts w:ascii="72 Light" w:hAnsi="72 Light" w:cs="72 Light"/>
          <w:bCs/>
          <w:sz w:val="24"/>
          <w:szCs w:val="24"/>
          <w:lang w:val="fr-CA"/>
        </w:rPr>
        <w:t xml:space="preserve">les </w:t>
      </w:r>
      <w:r w:rsidRPr="007B324D">
        <w:rPr>
          <w:rFonts w:ascii="72 Light" w:hAnsi="72 Light" w:cs="72 Light"/>
          <w:bCs/>
          <w:sz w:val="24"/>
          <w:szCs w:val="24"/>
          <w:lang w:val="fr-CA"/>
        </w:rPr>
        <w:t xml:space="preserve">droits des personnes autochtones, trans, bispirituelles et </w:t>
      </w:r>
      <w:r w:rsidR="00C006A6" w:rsidRPr="007B324D">
        <w:rPr>
          <w:rFonts w:ascii="72 Light" w:hAnsi="72 Light" w:cs="72 Light"/>
          <w:bCs/>
          <w:sz w:val="24"/>
          <w:szCs w:val="24"/>
          <w:lang w:val="fr-CA"/>
        </w:rPr>
        <w:t>en situation de handicap</w:t>
      </w:r>
      <w:r w:rsidRPr="007B324D">
        <w:rPr>
          <w:rFonts w:ascii="72 Light" w:hAnsi="72 Light" w:cs="72 Light"/>
          <w:bCs/>
          <w:sz w:val="24"/>
          <w:szCs w:val="24"/>
          <w:lang w:val="fr-CA"/>
        </w:rPr>
        <w:t>.</w:t>
      </w:r>
    </w:p>
    <w:p w14:paraId="4775A740" w14:textId="164366BE" w:rsidR="0057432D" w:rsidRPr="007B324D" w:rsidRDefault="0057432D" w:rsidP="006C051B">
      <w:pPr>
        <w:tabs>
          <w:tab w:val="left" w:pos="3544"/>
        </w:tabs>
        <w:spacing w:before="120" w:line="276" w:lineRule="auto"/>
        <w:ind w:left="284" w:firstLine="0"/>
        <w:jc w:val="both"/>
        <w:rPr>
          <w:rFonts w:ascii="72 Light" w:hAnsi="72 Light" w:cs="72 Light"/>
          <w:bCs/>
          <w:sz w:val="24"/>
          <w:szCs w:val="24"/>
          <w:lang w:val="fr-CA"/>
        </w:rPr>
      </w:pPr>
      <w:r w:rsidRPr="007B324D">
        <w:rPr>
          <w:rFonts w:ascii="72 Light" w:hAnsi="72 Light" w:cs="72 Light"/>
          <w:bCs/>
          <w:sz w:val="24"/>
          <w:szCs w:val="24"/>
          <w:lang w:val="fr-CA"/>
        </w:rPr>
        <w:t>Les organisations se sont inquiété du fait que le rapport n’indique pas si les gouvernements prévoient d’éliminer, ou ont éliminé, l’isolement cellulaire dans les prisons et les pénitenciers.</w:t>
      </w:r>
    </w:p>
    <w:p w14:paraId="7701E6A3" w14:textId="3F114A9D" w:rsidR="00F25625" w:rsidRPr="007B324D" w:rsidRDefault="00E22881" w:rsidP="00F62155">
      <w:pPr>
        <w:pStyle w:val="ListParagraph"/>
        <w:keepNext/>
        <w:numPr>
          <w:ilvl w:val="0"/>
          <w:numId w:val="1"/>
        </w:numPr>
        <w:tabs>
          <w:tab w:val="left" w:pos="3544"/>
        </w:tabs>
        <w:spacing w:before="120" w:line="276" w:lineRule="auto"/>
        <w:ind w:left="283" w:hanging="567"/>
        <w:contextualSpacing w:val="0"/>
        <w:jc w:val="both"/>
        <w:rPr>
          <w:rFonts w:ascii="72 Light" w:hAnsi="72 Light" w:cs="72 Light"/>
          <w:b/>
          <w:sz w:val="24"/>
          <w:szCs w:val="24"/>
          <w:lang w:val="fr-CA"/>
        </w:rPr>
      </w:pPr>
      <w:bookmarkStart w:id="81" w:name="lt_pId080"/>
      <w:r w:rsidRPr="007B324D">
        <w:rPr>
          <w:rFonts w:ascii="72 Light" w:hAnsi="72 Light" w:cs="72 Light"/>
          <w:b/>
          <w:sz w:val="24"/>
          <w:szCs w:val="24"/>
          <w:lang w:val="fr-CA"/>
        </w:rPr>
        <w:t xml:space="preserve">Entreprises </w:t>
      </w:r>
      <w:r w:rsidR="00D4122B" w:rsidRPr="007B324D">
        <w:rPr>
          <w:rFonts w:ascii="72 Light" w:hAnsi="72 Light" w:cs="72 Light"/>
          <w:b/>
          <w:sz w:val="24"/>
          <w:szCs w:val="24"/>
          <w:lang w:val="fr-CA"/>
        </w:rPr>
        <w:t>et droits de la personne</w:t>
      </w:r>
      <w:bookmarkEnd w:id="81"/>
      <w:r w:rsidR="00D4122B" w:rsidRPr="007B324D">
        <w:rPr>
          <w:rFonts w:ascii="72 Light" w:hAnsi="72 Light" w:cs="72 Light"/>
          <w:b/>
          <w:sz w:val="24"/>
          <w:szCs w:val="24"/>
          <w:lang w:val="fr-CA"/>
        </w:rPr>
        <w:t xml:space="preserve"> </w:t>
      </w:r>
    </w:p>
    <w:p w14:paraId="2468E6D6" w14:textId="31DF9C45" w:rsidR="00293DA2" w:rsidRPr="007B324D" w:rsidRDefault="00723E45" w:rsidP="00F62155">
      <w:pPr>
        <w:tabs>
          <w:tab w:val="left" w:pos="3544"/>
        </w:tabs>
        <w:spacing w:before="120" w:line="276" w:lineRule="auto"/>
        <w:ind w:left="284" w:firstLine="0"/>
        <w:jc w:val="both"/>
        <w:rPr>
          <w:rFonts w:ascii="72 Light" w:hAnsi="72 Light" w:cs="72 Light"/>
          <w:bCs/>
          <w:sz w:val="24"/>
          <w:szCs w:val="24"/>
          <w:lang w:val="fr-CA"/>
        </w:rPr>
      </w:pPr>
      <w:bookmarkStart w:id="82" w:name="lt_pId081"/>
      <w:r w:rsidRPr="007B324D">
        <w:rPr>
          <w:rFonts w:ascii="72 Light" w:hAnsi="72 Light" w:cs="72 Light"/>
          <w:bCs/>
          <w:sz w:val="24"/>
          <w:szCs w:val="24"/>
          <w:lang w:val="fr-CA"/>
        </w:rPr>
        <w:t xml:space="preserve">Les organisations </w:t>
      </w:r>
      <w:r w:rsidR="00C006A6" w:rsidRPr="007B324D">
        <w:rPr>
          <w:rFonts w:ascii="72 Light" w:hAnsi="72 Light" w:cs="72 Light"/>
          <w:bCs/>
          <w:sz w:val="24"/>
          <w:szCs w:val="24"/>
          <w:lang w:val="fr-CA"/>
        </w:rPr>
        <w:t xml:space="preserve">se sont </w:t>
      </w:r>
      <w:proofErr w:type="gramStart"/>
      <w:r w:rsidR="00C006A6" w:rsidRPr="007B324D">
        <w:rPr>
          <w:rFonts w:ascii="72 Light" w:hAnsi="72 Light" w:cs="72 Light"/>
          <w:bCs/>
          <w:sz w:val="24"/>
          <w:szCs w:val="24"/>
          <w:lang w:val="fr-CA"/>
        </w:rPr>
        <w:t>dites</w:t>
      </w:r>
      <w:proofErr w:type="gramEnd"/>
      <w:r w:rsidR="00C006A6" w:rsidRPr="007B324D">
        <w:rPr>
          <w:rFonts w:ascii="72 Light" w:hAnsi="72 Light" w:cs="72 Light"/>
          <w:bCs/>
          <w:sz w:val="24"/>
          <w:szCs w:val="24"/>
          <w:lang w:val="fr-CA"/>
        </w:rPr>
        <w:t xml:space="preserve"> préoccupées</w:t>
      </w:r>
      <w:r w:rsidR="0074631F" w:rsidRPr="007B324D">
        <w:rPr>
          <w:rFonts w:ascii="72 Light" w:hAnsi="72 Light" w:cs="72 Light"/>
          <w:bCs/>
          <w:sz w:val="24"/>
          <w:szCs w:val="24"/>
          <w:lang w:val="fr-CA"/>
        </w:rPr>
        <w:t xml:space="preserve"> par le fait</w:t>
      </w:r>
      <w:r w:rsidRPr="007B324D">
        <w:rPr>
          <w:rFonts w:ascii="72 Light" w:hAnsi="72 Light" w:cs="72 Light"/>
          <w:bCs/>
          <w:sz w:val="24"/>
          <w:szCs w:val="24"/>
          <w:lang w:val="fr-CA"/>
        </w:rPr>
        <w:t xml:space="preserve"> que </w:t>
      </w:r>
      <w:r w:rsidR="0074631F" w:rsidRPr="007B324D">
        <w:rPr>
          <w:rFonts w:ascii="72 Light" w:hAnsi="72 Light" w:cs="72 Light"/>
          <w:bCs/>
          <w:sz w:val="24"/>
          <w:szCs w:val="24"/>
          <w:lang w:val="fr-CA"/>
        </w:rPr>
        <w:t>certaines</w:t>
      </w:r>
      <w:r w:rsidRPr="007B324D">
        <w:rPr>
          <w:rFonts w:ascii="72 Light" w:hAnsi="72 Light" w:cs="72 Light"/>
          <w:bCs/>
          <w:sz w:val="24"/>
          <w:szCs w:val="24"/>
          <w:lang w:val="fr-CA"/>
        </w:rPr>
        <w:t xml:space="preserve"> entreprises canadiennes </w:t>
      </w:r>
      <w:r w:rsidR="007E1F58" w:rsidRPr="007B324D">
        <w:rPr>
          <w:rFonts w:ascii="72 Light" w:hAnsi="72 Light" w:cs="72 Light"/>
          <w:bCs/>
          <w:sz w:val="24"/>
          <w:szCs w:val="24"/>
          <w:lang w:val="fr-CA"/>
        </w:rPr>
        <w:t>menant des activités à l</w:t>
      </w:r>
      <w:r w:rsidR="00935A6C" w:rsidRPr="007B324D">
        <w:rPr>
          <w:rFonts w:ascii="72 Light" w:hAnsi="72 Light" w:cs="72 Light"/>
          <w:bCs/>
          <w:sz w:val="24"/>
          <w:szCs w:val="24"/>
          <w:lang w:val="fr-CA"/>
        </w:rPr>
        <w:t>’</w:t>
      </w:r>
      <w:r w:rsidR="007E1F58" w:rsidRPr="007B324D">
        <w:rPr>
          <w:rFonts w:ascii="72 Light" w:hAnsi="72 Light" w:cs="72 Light"/>
          <w:bCs/>
          <w:sz w:val="24"/>
          <w:szCs w:val="24"/>
          <w:lang w:val="fr-CA"/>
        </w:rPr>
        <w:t>étranger ne s</w:t>
      </w:r>
      <w:r w:rsidR="00935A6C" w:rsidRPr="007B324D">
        <w:rPr>
          <w:rFonts w:ascii="72 Light" w:hAnsi="72 Light" w:cs="72 Light"/>
          <w:bCs/>
          <w:sz w:val="24"/>
          <w:szCs w:val="24"/>
          <w:lang w:val="fr-CA"/>
        </w:rPr>
        <w:t>’</w:t>
      </w:r>
      <w:r w:rsidR="007E1F58" w:rsidRPr="007B324D">
        <w:rPr>
          <w:rFonts w:ascii="72 Light" w:hAnsi="72 Light" w:cs="72 Light"/>
          <w:bCs/>
          <w:sz w:val="24"/>
          <w:szCs w:val="24"/>
          <w:lang w:val="fr-CA"/>
        </w:rPr>
        <w:t>acquitt</w:t>
      </w:r>
      <w:r w:rsidRPr="007B324D">
        <w:rPr>
          <w:rFonts w:ascii="72 Light" w:hAnsi="72 Light" w:cs="72 Light"/>
          <w:bCs/>
          <w:sz w:val="24"/>
          <w:szCs w:val="24"/>
          <w:lang w:val="fr-CA"/>
        </w:rPr>
        <w:t xml:space="preserve">ent pas de leurs responsabilités </w:t>
      </w:r>
      <w:r w:rsidR="007E1F58" w:rsidRPr="007B324D">
        <w:rPr>
          <w:rFonts w:ascii="72 Light" w:hAnsi="72 Light" w:cs="72 Light"/>
          <w:bCs/>
          <w:sz w:val="24"/>
          <w:szCs w:val="24"/>
          <w:lang w:val="fr-CA"/>
        </w:rPr>
        <w:t>relatives au respect des</w:t>
      </w:r>
      <w:r w:rsidRPr="007B324D">
        <w:rPr>
          <w:rFonts w:ascii="72 Light" w:hAnsi="72 Light" w:cs="72 Light"/>
          <w:bCs/>
          <w:sz w:val="24"/>
          <w:szCs w:val="24"/>
          <w:lang w:val="fr-CA"/>
        </w:rPr>
        <w:t xml:space="preserve"> </w:t>
      </w:r>
      <w:r w:rsidR="00E33B57" w:rsidRPr="007B324D">
        <w:rPr>
          <w:rFonts w:ascii="72 Light" w:hAnsi="72 Light" w:cs="72 Light"/>
          <w:bCs/>
          <w:sz w:val="24"/>
          <w:szCs w:val="24"/>
          <w:lang w:val="fr-CA"/>
        </w:rPr>
        <w:t>droits de la personne</w:t>
      </w:r>
      <w:r w:rsidRPr="007B324D">
        <w:rPr>
          <w:rFonts w:ascii="72 Light" w:hAnsi="72 Light" w:cs="72 Light"/>
          <w:bCs/>
          <w:sz w:val="24"/>
          <w:szCs w:val="24"/>
          <w:lang w:val="fr-CA"/>
        </w:rPr>
        <w:t xml:space="preserve"> et </w:t>
      </w:r>
      <w:r w:rsidR="007E1F58" w:rsidRPr="007B324D">
        <w:rPr>
          <w:rFonts w:ascii="72 Light" w:hAnsi="72 Light" w:cs="72 Light"/>
          <w:bCs/>
          <w:sz w:val="24"/>
          <w:szCs w:val="24"/>
          <w:lang w:val="fr-CA"/>
        </w:rPr>
        <w:t xml:space="preserve">à la </w:t>
      </w:r>
      <w:r w:rsidRPr="007B324D">
        <w:rPr>
          <w:rFonts w:ascii="72 Light" w:hAnsi="72 Light" w:cs="72 Light"/>
          <w:bCs/>
          <w:sz w:val="24"/>
          <w:szCs w:val="24"/>
          <w:lang w:val="fr-CA"/>
        </w:rPr>
        <w:t>protection de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environnement.</w:t>
      </w:r>
      <w:bookmarkEnd w:id="82"/>
      <w:r w:rsidRPr="007B324D">
        <w:rPr>
          <w:rFonts w:ascii="72 Light" w:hAnsi="72 Light" w:cs="72 Light"/>
          <w:bCs/>
          <w:sz w:val="24"/>
          <w:szCs w:val="24"/>
          <w:lang w:val="fr-CA"/>
        </w:rPr>
        <w:t xml:space="preserve"> </w:t>
      </w:r>
      <w:bookmarkStart w:id="83" w:name="lt_pId082"/>
      <w:r w:rsidR="007E1F58" w:rsidRPr="007B324D">
        <w:rPr>
          <w:rFonts w:ascii="72 Light" w:hAnsi="72 Light" w:cs="72 Light"/>
          <w:bCs/>
          <w:sz w:val="24"/>
          <w:szCs w:val="24"/>
          <w:lang w:val="fr-CA"/>
        </w:rPr>
        <w:t>Elles</w:t>
      </w:r>
      <w:r w:rsidRPr="007B324D">
        <w:rPr>
          <w:rFonts w:ascii="72 Light" w:hAnsi="72 Light" w:cs="72 Light"/>
          <w:bCs/>
          <w:sz w:val="24"/>
          <w:szCs w:val="24"/>
          <w:lang w:val="fr-CA"/>
        </w:rPr>
        <w:t xml:space="preserve"> ont fait état de</w:t>
      </w:r>
      <w:r w:rsidR="007E1F58" w:rsidRPr="007B324D">
        <w:rPr>
          <w:rFonts w:ascii="72 Light" w:hAnsi="72 Light" w:cs="72 Light"/>
          <w:bCs/>
          <w:sz w:val="24"/>
          <w:szCs w:val="24"/>
          <w:lang w:val="fr-CA"/>
        </w:rPr>
        <w:t>s</w:t>
      </w:r>
      <w:r w:rsidRPr="007B324D">
        <w:rPr>
          <w:rFonts w:ascii="72 Light" w:hAnsi="72 Light" w:cs="72 Light"/>
          <w:bCs/>
          <w:sz w:val="24"/>
          <w:szCs w:val="24"/>
          <w:lang w:val="fr-CA"/>
        </w:rPr>
        <w:t xml:space="preserve"> </w:t>
      </w:r>
      <w:r w:rsidR="007E1F58" w:rsidRPr="007B324D">
        <w:rPr>
          <w:rFonts w:ascii="72 Light" w:hAnsi="72 Light" w:cs="72 Light"/>
          <w:bCs/>
          <w:sz w:val="24"/>
          <w:szCs w:val="24"/>
          <w:lang w:val="fr-CA"/>
        </w:rPr>
        <w:t xml:space="preserve">cas </w:t>
      </w:r>
      <w:r w:rsidRPr="007B324D">
        <w:rPr>
          <w:rFonts w:ascii="72 Light" w:hAnsi="72 Light" w:cs="72 Light"/>
          <w:bCs/>
          <w:sz w:val="24"/>
          <w:szCs w:val="24"/>
          <w:lang w:val="fr-CA"/>
        </w:rPr>
        <w:t xml:space="preserve">nombreux </w:t>
      </w:r>
      <w:r w:rsidR="007E1F58" w:rsidRPr="007B324D">
        <w:rPr>
          <w:rFonts w:ascii="72 Light" w:hAnsi="72 Light" w:cs="72 Light"/>
          <w:bCs/>
          <w:sz w:val="24"/>
          <w:szCs w:val="24"/>
          <w:lang w:val="fr-CA"/>
        </w:rPr>
        <w:t xml:space="preserve">et récurrents </w:t>
      </w:r>
      <w:r w:rsidRPr="007B324D">
        <w:rPr>
          <w:rFonts w:ascii="72 Light" w:hAnsi="72 Light" w:cs="72 Light"/>
          <w:bCs/>
          <w:sz w:val="24"/>
          <w:szCs w:val="24"/>
          <w:lang w:val="fr-CA"/>
        </w:rPr>
        <w:t xml:space="preserve">de graves violations des </w:t>
      </w:r>
      <w:r w:rsidR="00E33B57" w:rsidRPr="007B324D">
        <w:rPr>
          <w:rFonts w:ascii="72 Light" w:hAnsi="72 Light" w:cs="72 Light"/>
          <w:bCs/>
          <w:sz w:val="24"/>
          <w:szCs w:val="24"/>
          <w:lang w:val="fr-CA"/>
        </w:rPr>
        <w:t>droits de la personne</w:t>
      </w:r>
      <w:r w:rsidRPr="007B324D">
        <w:rPr>
          <w:rFonts w:ascii="72 Light" w:hAnsi="72 Light" w:cs="72 Light"/>
          <w:bCs/>
          <w:sz w:val="24"/>
          <w:szCs w:val="24"/>
          <w:lang w:val="fr-CA"/>
        </w:rPr>
        <w:t xml:space="preserve"> et de dommages environnementaux liés aux activités à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étranger d</w:t>
      </w:r>
      <w:r w:rsidR="00935A6C" w:rsidRPr="007B324D">
        <w:rPr>
          <w:rFonts w:ascii="72 Light" w:hAnsi="72 Light" w:cs="72 Light"/>
          <w:bCs/>
          <w:sz w:val="24"/>
          <w:szCs w:val="24"/>
          <w:lang w:val="fr-CA"/>
        </w:rPr>
        <w:t>’</w:t>
      </w:r>
      <w:r w:rsidRPr="007B324D">
        <w:rPr>
          <w:rFonts w:ascii="72 Light" w:hAnsi="72 Light" w:cs="72 Light"/>
          <w:bCs/>
          <w:sz w:val="24"/>
          <w:szCs w:val="24"/>
          <w:lang w:val="fr-CA"/>
        </w:rPr>
        <w:t>entreprises et de chaînes d</w:t>
      </w:r>
      <w:r w:rsidR="00935A6C" w:rsidRPr="007B324D">
        <w:rPr>
          <w:rFonts w:ascii="72 Light" w:hAnsi="72 Light" w:cs="72 Light"/>
          <w:bCs/>
          <w:sz w:val="24"/>
          <w:szCs w:val="24"/>
          <w:lang w:val="fr-CA"/>
        </w:rPr>
        <w:t>’</w:t>
      </w:r>
      <w:r w:rsidRPr="007B324D">
        <w:rPr>
          <w:rFonts w:ascii="72 Light" w:hAnsi="72 Light" w:cs="72 Light"/>
          <w:bCs/>
          <w:sz w:val="24"/>
          <w:szCs w:val="24"/>
          <w:lang w:val="fr-CA"/>
        </w:rPr>
        <w:t>approvisionnement canadiennes.</w:t>
      </w:r>
      <w:bookmarkEnd w:id="83"/>
      <w:r w:rsidR="0074631F" w:rsidRPr="007B324D">
        <w:rPr>
          <w:rFonts w:ascii="72 Light" w:hAnsi="72 Light" w:cs="72 Light"/>
          <w:bCs/>
          <w:sz w:val="24"/>
          <w:szCs w:val="24"/>
          <w:lang w:val="fr-CA"/>
        </w:rPr>
        <w:t xml:space="preserve"> Elles</w:t>
      </w:r>
      <w:bookmarkStart w:id="84" w:name="lt_pId083"/>
      <w:r w:rsidRPr="007B324D">
        <w:rPr>
          <w:rFonts w:ascii="72 Light" w:hAnsi="72 Light" w:cs="72 Light"/>
          <w:bCs/>
          <w:sz w:val="24"/>
          <w:szCs w:val="24"/>
          <w:lang w:val="fr-CA"/>
        </w:rPr>
        <w:t xml:space="preserve"> ont appelé le gouvernement du Canada à respecter son engagement </w:t>
      </w:r>
      <w:r w:rsidR="007E1F58" w:rsidRPr="007B324D">
        <w:rPr>
          <w:rFonts w:ascii="72 Light" w:hAnsi="72 Light" w:cs="72 Light"/>
          <w:bCs/>
          <w:sz w:val="24"/>
          <w:szCs w:val="24"/>
          <w:lang w:val="fr-CA"/>
        </w:rPr>
        <w:t xml:space="preserve">à </w:t>
      </w:r>
      <w:r w:rsidRPr="007B324D">
        <w:rPr>
          <w:rFonts w:ascii="72 Light" w:hAnsi="72 Light" w:cs="72 Light"/>
          <w:bCs/>
          <w:sz w:val="24"/>
          <w:szCs w:val="24"/>
          <w:lang w:val="fr-CA"/>
        </w:rPr>
        <w:t xml:space="preserve">créer </w:t>
      </w:r>
      <w:r w:rsidR="007E1F58" w:rsidRPr="007B324D">
        <w:rPr>
          <w:rFonts w:ascii="72 Light" w:hAnsi="72 Light" w:cs="72 Light"/>
          <w:bCs/>
          <w:sz w:val="24"/>
          <w:szCs w:val="24"/>
          <w:lang w:val="fr-CA"/>
        </w:rPr>
        <w:t>un poste</w:t>
      </w:r>
      <w:r w:rsidRPr="007B324D">
        <w:rPr>
          <w:rFonts w:ascii="72 Light" w:hAnsi="72 Light" w:cs="72 Light"/>
          <w:bCs/>
          <w:sz w:val="24"/>
          <w:szCs w:val="24"/>
          <w:lang w:val="fr-CA"/>
        </w:rPr>
        <w:t xml:space="preserve"> </w:t>
      </w:r>
      <w:r w:rsidR="007E1F58" w:rsidRPr="007B324D">
        <w:rPr>
          <w:rFonts w:ascii="72 Light" w:hAnsi="72 Light" w:cs="72 Light"/>
          <w:bCs/>
          <w:sz w:val="24"/>
          <w:szCs w:val="24"/>
          <w:lang w:val="fr-CA"/>
        </w:rPr>
        <w:t>d</w:t>
      </w:r>
      <w:r w:rsidR="00935A6C" w:rsidRPr="007B324D">
        <w:rPr>
          <w:rFonts w:ascii="72 Light" w:hAnsi="72 Light" w:cs="72 Light"/>
          <w:bCs/>
          <w:sz w:val="24"/>
          <w:szCs w:val="24"/>
          <w:lang w:val="fr-CA"/>
        </w:rPr>
        <w:t>’</w:t>
      </w:r>
      <w:r w:rsidR="007E1F58" w:rsidRPr="007B324D">
        <w:rPr>
          <w:rFonts w:ascii="72 Light" w:hAnsi="72 Light" w:cs="72 Light"/>
          <w:bCs/>
          <w:sz w:val="24"/>
          <w:szCs w:val="24"/>
          <w:lang w:val="fr-CA"/>
        </w:rPr>
        <w:t xml:space="preserve">ombudsman </w:t>
      </w:r>
      <w:r w:rsidRPr="007B324D">
        <w:rPr>
          <w:rFonts w:ascii="72 Light" w:hAnsi="72 Light" w:cs="72 Light"/>
          <w:bCs/>
          <w:sz w:val="24"/>
          <w:szCs w:val="24"/>
          <w:lang w:val="fr-CA"/>
        </w:rPr>
        <w:t xml:space="preserve">indépendant et efficace, doté de </w:t>
      </w:r>
      <w:r w:rsidR="007E1F58" w:rsidRPr="007B324D">
        <w:rPr>
          <w:rFonts w:ascii="72 Light" w:hAnsi="72 Light" w:cs="72 Light"/>
          <w:bCs/>
          <w:sz w:val="24"/>
          <w:szCs w:val="24"/>
          <w:lang w:val="fr-CA"/>
        </w:rPr>
        <w:t xml:space="preserve">vastes </w:t>
      </w:r>
      <w:r w:rsidRPr="007B324D">
        <w:rPr>
          <w:rFonts w:ascii="72 Light" w:hAnsi="72 Light" w:cs="72 Light"/>
          <w:bCs/>
          <w:sz w:val="24"/>
          <w:szCs w:val="24"/>
          <w:lang w:val="fr-CA"/>
        </w:rPr>
        <w:t>pouvoirs d</w:t>
      </w:r>
      <w:r w:rsidR="00935A6C" w:rsidRPr="007B324D">
        <w:rPr>
          <w:rFonts w:ascii="72 Light" w:hAnsi="72 Light" w:cs="72 Light"/>
          <w:bCs/>
          <w:sz w:val="24"/>
          <w:szCs w:val="24"/>
          <w:lang w:val="fr-CA"/>
        </w:rPr>
        <w:t>’</w:t>
      </w:r>
      <w:r w:rsidR="007E1F58" w:rsidRPr="007B324D">
        <w:rPr>
          <w:rFonts w:ascii="72 Light" w:hAnsi="72 Light" w:cs="72 Light"/>
          <w:bCs/>
          <w:sz w:val="24"/>
          <w:szCs w:val="24"/>
          <w:lang w:val="fr-CA"/>
        </w:rPr>
        <w:t>enquête</w:t>
      </w:r>
      <w:r w:rsidRPr="007B324D">
        <w:rPr>
          <w:rFonts w:ascii="72 Light" w:hAnsi="72 Light" w:cs="72 Light"/>
          <w:bCs/>
          <w:sz w:val="24"/>
          <w:szCs w:val="24"/>
          <w:lang w:val="fr-CA"/>
        </w:rPr>
        <w:t xml:space="preserve">, </w:t>
      </w:r>
      <w:r w:rsidR="007E1F58" w:rsidRPr="007B324D">
        <w:rPr>
          <w:rFonts w:ascii="72 Light" w:hAnsi="72 Light" w:cs="72 Light"/>
          <w:bCs/>
          <w:sz w:val="24"/>
          <w:szCs w:val="24"/>
          <w:lang w:val="fr-CA"/>
        </w:rPr>
        <w:t>pour répondre</w:t>
      </w:r>
      <w:r w:rsidRPr="007B324D">
        <w:rPr>
          <w:rFonts w:ascii="72 Light" w:hAnsi="72 Light" w:cs="72 Light"/>
          <w:bCs/>
          <w:sz w:val="24"/>
          <w:szCs w:val="24"/>
          <w:lang w:val="fr-CA"/>
        </w:rPr>
        <w:t xml:space="preserve"> aux préoccupations des défenseurs des </w:t>
      </w:r>
      <w:r w:rsidR="00E33B57" w:rsidRPr="007B324D">
        <w:rPr>
          <w:rFonts w:ascii="72 Light" w:hAnsi="72 Light" w:cs="72 Light"/>
          <w:bCs/>
          <w:sz w:val="24"/>
          <w:szCs w:val="24"/>
          <w:lang w:val="fr-CA"/>
        </w:rPr>
        <w:t>droits de la personne</w:t>
      </w:r>
      <w:r w:rsidRPr="007B324D">
        <w:rPr>
          <w:rFonts w:ascii="72 Light" w:hAnsi="72 Light" w:cs="72 Light"/>
          <w:bCs/>
          <w:sz w:val="24"/>
          <w:szCs w:val="24"/>
          <w:lang w:val="fr-CA"/>
        </w:rPr>
        <w:t xml:space="preserve"> et de la société civile canadienne.</w:t>
      </w:r>
      <w:bookmarkEnd w:id="84"/>
      <w:r w:rsidRPr="007B324D">
        <w:rPr>
          <w:rFonts w:ascii="72 Light" w:hAnsi="72 Light" w:cs="72 Light"/>
          <w:bCs/>
          <w:sz w:val="24"/>
          <w:szCs w:val="24"/>
          <w:lang w:val="fr-CA"/>
        </w:rPr>
        <w:t xml:space="preserve"> </w:t>
      </w:r>
    </w:p>
    <w:p w14:paraId="4D37A857" w14:textId="6E3735C7" w:rsidR="00CE30A4" w:rsidRPr="007B324D" w:rsidRDefault="002914AD" w:rsidP="00F62155">
      <w:pPr>
        <w:tabs>
          <w:tab w:val="left" w:pos="3544"/>
        </w:tabs>
        <w:spacing w:before="120" w:line="276" w:lineRule="auto"/>
        <w:ind w:left="284" w:firstLine="0"/>
        <w:jc w:val="both"/>
        <w:rPr>
          <w:rFonts w:ascii="72 Light" w:hAnsi="72 Light" w:cs="72 Light"/>
          <w:bCs/>
          <w:sz w:val="24"/>
          <w:szCs w:val="24"/>
          <w:lang w:val="fr-CA"/>
        </w:rPr>
      </w:pPr>
      <w:bookmarkStart w:id="85" w:name="lt_pId084"/>
      <w:r w:rsidRPr="007B324D">
        <w:rPr>
          <w:rFonts w:ascii="72 Light" w:hAnsi="72 Light" w:cs="72 Light"/>
          <w:bCs/>
          <w:sz w:val="24"/>
          <w:szCs w:val="24"/>
          <w:lang w:val="fr-CA"/>
        </w:rPr>
        <w:t xml:space="preserve">Les organisations ont également noté que les communautés et les travailleurs qui subissent des préjudices </w:t>
      </w:r>
      <w:r w:rsidR="007E1F58" w:rsidRPr="007B324D">
        <w:rPr>
          <w:rFonts w:ascii="72 Light" w:hAnsi="72 Light" w:cs="72 Light"/>
          <w:bCs/>
          <w:sz w:val="24"/>
          <w:szCs w:val="24"/>
          <w:lang w:val="fr-CA"/>
        </w:rPr>
        <w:t xml:space="preserve">ne parviennent souvent pas à </w:t>
      </w:r>
      <w:r w:rsidRPr="007B324D">
        <w:rPr>
          <w:rFonts w:ascii="72 Light" w:hAnsi="72 Light" w:cs="72 Light"/>
          <w:bCs/>
          <w:sz w:val="24"/>
          <w:szCs w:val="24"/>
          <w:lang w:val="fr-CA"/>
        </w:rPr>
        <w:t xml:space="preserve">accéder à la justice et </w:t>
      </w:r>
      <w:r w:rsidR="0074631F" w:rsidRPr="007B324D">
        <w:rPr>
          <w:rFonts w:ascii="72 Light" w:hAnsi="72 Light" w:cs="72 Light"/>
          <w:bCs/>
          <w:sz w:val="24"/>
          <w:szCs w:val="24"/>
          <w:lang w:val="fr-CA"/>
        </w:rPr>
        <w:t xml:space="preserve">n’ont aucun </w:t>
      </w:r>
      <w:r w:rsidRPr="007B324D">
        <w:rPr>
          <w:rFonts w:ascii="72 Light" w:hAnsi="72 Light" w:cs="72 Light"/>
          <w:bCs/>
          <w:sz w:val="24"/>
          <w:szCs w:val="24"/>
          <w:lang w:val="fr-CA"/>
        </w:rPr>
        <w:t>recours.</w:t>
      </w:r>
      <w:bookmarkEnd w:id="85"/>
      <w:r w:rsidRPr="007B324D">
        <w:rPr>
          <w:rFonts w:ascii="72 Light" w:hAnsi="72 Light" w:cs="72 Light"/>
          <w:bCs/>
          <w:sz w:val="24"/>
          <w:szCs w:val="24"/>
          <w:lang w:val="fr-CA"/>
        </w:rPr>
        <w:t xml:space="preserve"> </w:t>
      </w:r>
      <w:bookmarkStart w:id="86" w:name="lt_pId085"/>
      <w:r w:rsidRPr="007B324D">
        <w:rPr>
          <w:rFonts w:ascii="72 Light" w:hAnsi="72 Light" w:cs="72 Light"/>
          <w:bCs/>
          <w:sz w:val="24"/>
          <w:szCs w:val="24"/>
          <w:lang w:val="fr-CA"/>
        </w:rPr>
        <w:t xml:space="preserve">Les défenseurs des </w:t>
      </w:r>
      <w:r w:rsidR="00E33B57" w:rsidRPr="007B324D">
        <w:rPr>
          <w:rFonts w:ascii="72 Light" w:hAnsi="72 Light" w:cs="72 Light"/>
          <w:bCs/>
          <w:sz w:val="24"/>
          <w:szCs w:val="24"/>
          <w:lang w:val="fr-CA"/>
        </w:rPr>
        <w:t>droits de la personne</w:t>
      </w:r>
      <w:r w:rsidRPr="007B324D">
        <w:rPr>
          <w:rFonts w:ascii="72 Light" w:hAnsi="72 Light" w:cs="72 Light"/>
          <w:bCs/>
          <w:sz w:val="24"/>
          <w:szCs w:val="24"/>
          <w:lang w:val="fr-CA"/>
        </w:rPr>
        <w:t xml:space="preserve"> et de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environnement qui s</w:t>
      </w:r>
      <w:r w:rsidR="00935A6C" w:rsidRPr="007B324D">
        <w:rPr>
          <w:rFonts w:ascii="72 Light" w:hAnsi="72 Light" w:cs="72 Light"/>
          <w:bCs/>
          <w:sz w:val="24"/>
          <w:szCs w:val="24"/>
          <w:lang w:val="fr-CA"/>
        </w:rPr>
        <w:t>’</w:t>
      </w:r>
      <w:r w:rsidRPr="007B324D">
        <w:rPr>
          <w:rFonts w:ascii="72 Light" w:hAnsi="72 Light" w:cs="72 Light"/>
          <w:bCs/>
          <w:sz w:val="24"/>
          <w:szCs w:val="24"/>
          <w:lang w:val="fr-CA"/>
        </w:rPr>
        <w:t xml:space="preserve">opposent aux entreprises sont souvent </w:t>
      </w:r>
      <w:r w:rsidR="007E1F58" w:rsidRPr="007B324D">
        <w:rPr>
          <w:rFonts w:ascii="72 Light" w:hAnsi="72 Light" w:cs="72 Light"/>
          <w:bCs/>
          <w:sz w:val="24"/>
          <w:szCs w:val="24"/>
          <w:lang w:val="fr-CA"/>
        </w:rPr>
        <w:t>victimes de</w:t>
      </w:r>
      <w:r w:rsidRPr="007B324D">
        <w:rPr>
          <w:rFonts w:ascii="72 Light" w:hAnsi="72 Light" w:cs="72 Light"/>
          <w:bCs/>
          <w:sz w:val="24"/>
          <w:szCs w:val="24"/>
          <w:lang w:val="fr-CA"/>
        </w:rPr>
        <w:t xml:space="preserve"> violence</w:t>
      </w:r>
      <w:r w:rsidR="0074631F" w:rsidRPr="007B324D">
        <w:rPr>
          <w:rFonts w:ascii="72 Light" w:hAnsi="72 Light" w:cs="72 Light"/>
          <w:bCs/>
          <w:sz w:val="24"/>
          <w:szCs w:val="24"/>
          <w:lang w:val="fr-CA"/>
        </w:rPr>
        <w:t xml:space="preserve"> ou</w:t>
      </w:r>
      <w:r w:rsidRPr="007B324D">
        <w:rPr>
          <w:rFonts w:ascii="72 Light" w:hAnsi="72 Light" w:cs="72 Light"/>
          <w:bCs/>
          <w:sz w:val="24"/>
          <w:szCs w:val="24"/>
          <w:lang w:val="fr-CA"/>
        </w:rPr>
        <w:t xml:space="preserve"> </w:t>
      </w:r>
      <w:r w:rsidR="007E1F58" w:rsidRPr="007B324D">
        <w:rPr>
          <w:rFonts w:ascii="72 Light" w:hAnsi="72 Light" w:cs="72 Light"/>
          <w:bCs/>
          <w:sz w:val="24"/>
          <w:szCs w:val="24"/>
          <w:lang w:val="fr-CA"/>
        </w:rPr>
        <w:t>d</w:t>
      </w:r>
      <w:r w:rsidR="00935A6C" w:rsidRPr="007B324D">
        <w:rPr>
          <w:rFonts w:ascii="72 Light" w:hAnsi="72 Light" w:cs="72 Light"/>
          <w:bCs/>
          <w:sz w:val="24"/>
          <w:szCs w:val="24"/>
          <w:lang w:val="fr-CA"/>
        </w:rPr>
        <w:t>’</w:t>
      </w:r>
      <w:r w:rsidRPr="007B324D">
        <w:rPr>
          <w:rFonts w:ascii="72 Light" w:hAnsi="72 Light" w:cs="72 Light"/>
          <w:bCs/>
          <w:sz w:val="24"/>
          <w:szCs w:val="24"/>
          <w:lang w:val="fr-CA"/>
        </w:rPr>
        <w:t>intimidation</w:t>
      </w:r>
      <w:r w:rsidR="0074631F" w:rsidRPr="007B324D">
        <w:rPr>
          <w:rFonts w:ascii="72 Light" w:hAnsi="72 Light" w:cs="72 Light"/>
          <w:bCs/>
          <w:sz w:val="24"/>
          <w:szCs w:val="24"/>
          <w:lang w:val="fr-CA"/>
        </w:rPr>
        <w:t>, ou criminalisés</w:t>
      </w:r>
      <w:r w:rsidRPr="007B324D">
        <w:rPr>
          <w:rFonts w:ascii="72 Light" w:hAnsi="72 Light" w:cs="72 Light"/>
          <w:bCs/>
          <w:sz w:val="24"/>
          <w:szCs w:val="24"/>
          <w:lang w:val="fr-CA"/>
        </w:rPr>
        <w:t>.</w:t>
      </w:r>
      <w:bookmarkEnd w:id="86"/>
      <w:r w:rsidRPr="007B324D">
        <w:rPr>
          <w:rFonts w:ascii="72 Light" w:hAnsi="72 Light" w:cs="72 Light"/>
          <w:bCs/>
          <w:sz w:val="24"/>
          <w:szCs w:val="24"/>
          <w:lang w:val="fr-CA"/>
        </w:rPr>
        <w:t xml:space="preserve"> </w:t>
      </w:r>
      <w:bookmarkStart w:id="87" w:name="lt_pId086"/>
      <w:r w:rsidR="007E1F58" w:rsidRPr="007B324D">
        <w:rPr>
          <w:rFonts w:ascii="72 Light" w:hAnsi="72 Light" w:cs="72 Light"/>
          <w:bCs/>
          <w:sz w:val="24"/>
          <w:szCs w:val="24"/>
          <w:lang w:val="fr-CA"/>
        </w:rPr>
        <w:t>On indique</w:t>
      </w:r>
      <w:r w:rsidRPr="007B324D">
        <w:rPr>
          <w:rFonts w:ascii="72 Light" w:hAnsi="72 Light" w:cs="72 Light"/>
          <w:bCs/>
          <w:sz w:val="24"/>
          <w:szCs w:val="24"/>
          <w:lang w:val="fr-CA"/>
        </w:rPr>
        <w:t xml:space="preserve"> </w:t>
      </w:r>
      <w:r w:rsidR="007E1F58" w:rsidRPr="007B324D">
        <w:rPr>
          <w:rFonts w:ascii="72 Light" w:hAnsi="72 Light" w:cs="72 Light"/>
          <w:bCs/>
          <w:sz w:val="24"/>
          <w:szCs w:val="24"/>
          <w:lang w:val="fr-CA"/>
        </w:rPr>
        <w:t>également</w:t>
      </w:r>
      <w:r w:rsidRPr="007B324D">
        <w:rPr>
          <w:rFonts w:ascii="72 Light" w:hAnsi="72 Light" w:cs="72 Light"/>
          <w:bCs/>
          <w:sz w:val="24"/>
          <w:szCs w:val="24"/>
          <w:lang w:val="fr-CA"/>
        </w:rPr>
        <w:t xml:space="preserve"> que les risques et les vulnérabilités </w:t>
      </w:r>
      <w:r w:rsidR="0074631F" w:rsidRPr="007B324D">
        <w:rPr>
          <w:rFonts w:ascii="72 Light" w:hAnsi="72 Light" w:cs="72 Light"/>
          <w:bCs/>
          <w:sz w:val="24"/>
          <w:szCs w:val="24"/>
          <w:lang w:val="fr-CA"/>
        </w:rPr>
        <w:t>avec lesquels ils sont aux prises</w:t>
      </w:r>
      <w:r w:rsidRPr="007B324D">
        <w:rPr>
          <w:rFonts w:ascii="72 Light" w:hAnsi="72 Light" w:cs="72 Light"/>
          <w:bCs/>
          <w:sz w:val="24"/>
          <w:szCs w:val="24"/>
          <w:lang w:val="fr-CA"/>
        </w:rPr>
        <w:t xml:space="preserve"> se sont aggravés avec la crise sanitaire mondiale</w:t>
      </w:r>
      <w:r w:rsidR="007E1F58" w:rsidRPr="007B324D">
        <w:rPr>
          <w:rFonts w:ascii="72 Light" w:hAnsi="72 Light" w:cs="72 Light"/>
          <w:bCs/>
          <w:sz w:val="24"/>
          <w:szCs w:val="24"/>
          <w:lang w:val="fr-CA"/>
        </w:rPr>
        <w:t xml:space="preserve"> liée à la COVID-19</w:t>
      </w:r>
      <w:r w:rsidRPr="007B324D">
        <w:rPr>
          <w:rFonts w:ascii="72 Light" w:hAnsi="72 Light" w:cs="72 Light"/>
          <w:bCs/>
          <w:sz w:val="24"/>
          <w:szCs w:val="24"/>
          <w:lang w:val="fr-CA"/>
        </w:rPr>
        <w:t>.</w:t>
      </w:r>
      <w:bookmarkEnd w:id="87"/>
      <w:r w:rsidRPr="007B324D">
        <w:rPr>
          <w:rFonts w:ascii="72 Light" w:hAnsi="72 Light" w:cs="72 Light"/>
          <w:bCs/>
          <w:sz w:val="24"/>
          <w:szCs w:val="24"/>
          <w:lang w:val="fr-CA"/>
        </w:rPr>
        <w:t xml:space="preserve"> </w:t>
      </w:r>
    </w:p>
    <w:p w14:paraId="70DDA661" w14:textId="6FACFCB0" w:rsidR="00F25625" w:rsidRPr="007B324D" w:rsidRDefault="00D4122B" w:rsidP="00F62155">
      <w:pPr>
        <w:pStyle w:val="ListParagraph"/>
        <w:numPr>
          <w:ilvl w:val="0"/>
          <w:numId w:val="1"/>
        </w:numPr>
        <w:tabs>
          <w:tab w:val="left" w:pos="3544"/>
        </w:tabs>
        <w:spacing w:before="120" w:line="276" w:lineRule="auto"/>
        <w:ind w:left="284" w:hanging="644"/>
        <w:contextualSpacing w:val="0"/>
        <w:jc w:val="both"/>
        <w:rPr>
          <w:rFonts w:ascii="72 Light" w:hAnsi="72 Light" w:cs="72 Light"/>
          <w:b/>
          <w:sz w:val="24"/>
          <w:szCs w:val="24"/>
          <w:lang w:val="fr-CA"/>
        </w:rPr>
      </w:pPr>
      <w:bookmarkStart w:id="88" w:name="lt_pId087"/>
      <w:r w:rsidRPr="007B324D">
        <w:rPr>
          <w:rFonts w:ascii="72 Light" w:hAnsi="72 Light" w:cs="72 Light"/>
          <w:b/>
          <w:sz w:val="24"/>
          <w:szCs w:val="24"/>
          <w:lang w:val="fr-CA"/>
        </w:rPr>
        <w:t>Autres recommandations</w:t>
      </w:r>
      <w:bookmarkEnd w:id="88"/>
      <w:r w:rsidRPr="007B324D">
        <w:rPr>
          <w:rFonts w:ascii="72 Light" w:hAnsi="72 Light" w:cs="72 Light"/>
          <w:b/>
          <w:sz w:val="24"/>
          <w:szCs w:val="24"/>
          <w:lang w:val="fr-CA"/>
        </w:rPr>
        <w:t xml:space="preserve"> </w:t>
      </w:r>
    </w:p>
    <w:p w14:paraId="3F70CBEA" w14:textId="7A2C4EC3" w:rsidR="006A1EA8" w:rsidRPr="007B324D" w:rsidRDefault="00D4122B" w:rsidP="00F62155">
      <w:pPr>
        <w:tabs>
          <w:tab w:val="left" w:pos="3544"/>
        </w:tabs>
        <w:spacing w:before="120" w:line="276" w:lineRule="auto"/>
        <w:ind w:left="284" w:firstLine="0"/>
        <w:jc w:val="both"/>
        <w:rPr>
          <w:rFonts w:ascii="72 Light" w:hAnsi="72 Light" w:cs="72 Light"/>
          <w:bCs/>
          <w:sz w:val="24"/>
          <w:szCs w:val="24"/>
          <w:u w:val="single"/>
          <w:lang w:val="fr-CA"/>
        </w:rPr>
      </w:pPr>
      <w:bookmarkStart w:id="89" w:name="lt_pId088"/>
      <w:r w:rsidRPr="007B324D">
        <w:rPr>
          <w:rFonts w:ascii="72 Light" w:hAnsi="72 Light" w:cs="72 Light"/>
          <w:bCs/>
          <w:sz w:val="24"/>
          <w:szCs w:val="24"/>
          <w:u w:val="single"/>
          <w:lang w:val="fr-CA"/>
        </w:rPr>
        <w:lastRenderedPageBreak/>
        <w:t>Changements climatiques</w:t>
      </w:r>
      <w:bookmarkEnd w:id="89"/>
      <w:r w:rsidRPr="007B324D">
        <w:rPr>
          <w:rFonts w:ascii="72 Light" w:hAnsi="72 Light" w:cs="72 Light"/>
          <w:bCs/>
          <w:sz w:val="24"/>
          <w:szCs w:val="24"/>
          <w:u w:val="single"/>
          <w:lang w:val="fr-CA"/>
        </w:rPr>
        <w:t xml:space="preserve"> </w:t>
      </w:r>
    </w:p>
    <w:p w14:paraId="637B9C31" w14:textId="4513C326" w:rsidR="0038163B" w:rsidRPr="007B324D" w:rsidRDefault="00C51AE9" w:rsidP="00F62155">
      <w:pPr>
        <w:tabs>
          <w:tab w:val="left" w:pos="284"/>
          <w:tab w:val="left" w:pos="3544"/>
        </w:tabs>
        <w:spacing w:before="120" w:line="276" w:lineRule="auto"/>
        <w:ind w:left="284" w:firstLine="0"/>
        <w:jc w:val="both"/>
        <w:rPr>
          <w:rFonts w:ascii="72 Light" w:eastAsia="72 Light" w:hAnsi="72 Light" w:cs="72 Light"/>
          <w:sz w:val="24"/>
          <w:szCs w:val="24"/>
          <w:lang w:val="fr-CA"/>
        </w:rPr>
      </w:pPr>
      <w:bookmarkStart w:id="90" w:name="lt_pId089"/>
      <w:r w:rsidRPr="007B324D">
        <w:rPr>
          <w:rFonts w:ascii="72 Light" w:eastAsia="72 Light" w:hAnsi="72 Light" w:cs="72 Light"/>
          <w:sz w:val="24"/>
          <w:szCs w:val="24"/>
          <w:lang w:val="fr-CA"/>
        </w:rPr>
        <w:t xml:space="preserve">Même si </w:t>
      </w:r>
      <w:r w:rsidR="001C7712" w:rsidRPr="007B324D">
        <w:rPr>
          <w:rFonts w:ascii="72 Light" w:eastAsia="72 Light" w:hAnsi="72 Light" w:cs="72 Light"/>
          <w:sz w:val="24"/>
          <w:szCs w:val="24"/>
          <w:lang w:val="fr-CA"/>
        </w:rPr>
        <w:t xml:space="preserve">les organisations </w:t>
      </w:r>
      <w:r w:rsidR="00907DBF" w:rsidRPr="007B324D">
        <w:rPr>
          <w:rFonts w:ascii="72 Light" w:eastAsia="72 Light" w:hAnsi="72 Light" w:cs="72 Light"/>
          <w:sz w:val="24"/>
          <w:szCs w:val="24"/>
          <w:lang w:val="fr-CA"/>
        </w:rPr>
        <w:t>o</w:t>
      </w:r>
      <w:r w:rsidR="001C7712" w:rsidRPr="007B324D">
        <w:rPr>
          <w:rFonts w:ascii="72 Light" w:eastAsia="72 Light" w:hAnsi="72 Light" w:cs="72 Light"/>
          <w:sz w:val="24"/>
          <w:szCs w:val="24"/>
          <w:lang w:val="fr-CA"/>
        </w:rPr>
        <w:t>nt salué les initiatives</w:t>
      </w:r>
      <w:r w:rsidRPr="007B324D">
        <w:rPr>
          <w:rFonts w:ascii="72 Light" w:eastAsia="72 Light" w:hAnsi="72 Light" w:cs="72 Light"/>
          <w:sz w:val="24"/>
          <w:szCs w:val="24"/>
          <w:lang w:val="fr-CA"/>
        </w:rPr>
        <w:t xml:space="preserve"> </w:t>
      </w:r>
      <w:r w:rsidR="0001631B" w:rsidRPr="007B324D">
        <w:rPr>
          <w:rFonts w:ascii="72 Light" w:eastAsia="72 Light" w:hAnsi="72 Light" w:cs="72 Light"/>
          <w:sz w:val="24"/>
          <w:szCs w:val="24"/>
          <w:lang w:val="fr-CA"/>
        </w:rPr>
        <w:t>fédérales</w:t>
      </w:r>
      <w:r w:rsidRPr="007B324D">
        <w:rPr>
          <w:rFonts w:ascii="72 Light" w:eastAsia="72 Light" w:hAnsi="72 Light" w:cs="72 Light"/>
          <w:sz w:val="24"/>
          <w:szCs w:val="24"/>
          <w:lang w:val="fr-CA"/>
        </w:rPr>
        <w:t xml:space="preserve"> visant </w:t>
      </w:r>
      <w:r w:rsidR="0001631B" w:rsidRPr="007B324D">
        <w:rPr>
          <w:rFonts w:ascii="72 Light" w:eastAsia="72 Light" w:hAnsi="72 Light" w:cs="72 Light"/>
          <w:sz w:val="24"/>
          <w:szCs w:val="24"/>
          <w:lang w:val="fr-CA"/>
        </w:rPr>
        <w:t>à</w:t>
      </w:r>
      <w:r w:rsidRPr="007B324D">
        <w:rPr>
          <w:rFonts w:ascii="72 Light" w:eastAsia="72 Light" w:hAnsi="72 Light" w:cs="72 Light"/>
          <w:sz w:val="24"/>
          <w:szCs w:val="24"/>
          <w:lang w:val="fr-CA"/>
        </w:rPr>
        <w:t xml:space="preserve"> lutter contre </w:t>
      </w:r>
      <w:proofErr w:type="gramStart"/>
      <w:r w:rsidRPr="007B324D">
        <w:rPr>
          <w:rFonts w:ascii="72 Light" w:eastAsia="72 Light" w:hAnsi="72 Light" w:cs="72 Light"/>
          <w:sz w:val="24"/>
          <w:szCs w:val="24"/>
          <w:lang w:val="fr-CA"/>
        </w:rPr>
        <w:t>les changement climatiques</w:t>
      </w:r>
      <w:proofErr w:type="gramEnd"/>
      <w:r w:rsidRPr="007B324D">
        <w:rPr>
          <w:rFonts w:ascii="72 Light" w:eastAsia="72 Light" w:hAnsi="72 Light" w:cs="72 Light"/>
          <w:sz w:val="24"/>
          <w:szCs w:val="24"/>
          <w:lang w:val="fr-CA"/>
        </w:rPr>
        <w:t>, y compris les efforts</w:t>
      </w:r>
      <w:r w:rsidR="001C7712" w:rsidRPr="007B324D">
        <w:rPr>
          <w:rFonts w:ascii="72 Light" w:eastAsia="72 Light" w:hAnsi="72 Light" w:cs="72 Light"/>
          <w:sz w:val="24"/>
          <w:szCs w:val="24"/>
          <w:lang w:val="fr-CA"/>
        </w:rPr>
        <w:t xml:space="preserve"> visant à combler le</w:t>
      </w:r>
      <w:r w:rsidR="007E1F58" w:rsidRPr="007B324D">
        <w:rPr>
          <w:rFonts w:ascii="72 Light" w:eastAsia="72 Light" w:hAnsi="72 Light" w:cs="72 Light"/>
          <w:sz w:val="24"/>
          <w:szCs w:val="24"/>
          <w:lang w:val="fr-CA"/>
        </w:rPr>
        <w:t>s</w:t>
      </w:r>
      <w:r w:rsidR="001C7712" w:rsidRPr="007B324D">
        <w:rPr>
          <w:rFonts w:ascii="72 Light" w:eastAsia="72 Light" w:hAnsi="72 Light" w:cs="72 Light"/>
          <w:sz w:val="24"/>
          <w:szCs w:val="24"/>
          <w:lang w:val="fr-CA"/>
        </w:rPr>
        <w:t xml:space="preserve"> </w:t>
      </w:r>
      <w:r w:rsidR="007E1F58" w:rsidRPr="007B324D">
        <w:rPr>
          <w:rFonts w:ascii="72 Light" w:eastAsia="72 Light" w:hAnsi="72 Light" w:cs="72 Light"/>
          <w:sz w:val="24"/>
          <w:szCs w:val="24"/>
          <w:lang w:val="fr-CA"/>
        </w:rPr>
        <w:t xml:space="preserve">lacunes en matière </w:t>
      </w:r>
      <w:r w:rsidR="00907DBF" w:rsidRPr="007B324D">
        <w:rPr>
          <w:rFonts w:ascii="72 Light" w:eastAsia="72 Light" w:hAnsi="72 Light" w:cs="72 Light"/>
          <w:sz w:val="24"/>
          <w:szCs w:val="24"/>
          <w:lang w:val="fr-CA"/>
        </w:rPr>
        <w:t>de protection d</w:t>
      </w:r>
      <w:r w:rsidR="00935A6C" w:rsidRPr="007B324D">
        <w:rPr>
          <w:rFonts w:ascii="72 Light" w:eastAsia="72 Light" w:hAnsi="72 Light" w:cs="72 Light"/>
          <w:sz w:val="24"/>
          <w:szCs w:val="24"/>
          <w:lang w:val="fr-CA"/>
        </w:rPr>
        <w:t>’</w:t>
      </w:r>
      <w:r w:rsidR="00907DBF" w:rsidRPr="007B324D">
        <w:rPr>
          <w:rFonts w:ascii="72 Light" w:eastAsia="72 Light" w:hAnsi="72 Light" w:cs="72 Light"/>
          <w:sz w:val="24"/>
          <w:szCs w:val="24"/>
          <w:lang w:val="fr-CA"/>
        </w:rPr>
        <w:t xml:space="preserve">assurance et </w:t>
      </w:r>
      <w:r w:rsidR="001C7712" w:rsidRPr="007B324D">
        <w:rPr>
          <w:rFonts w:ascii="72 Light" w:eastAsia="72 Light" w:hAnsi="72 Light" w:cs="72 Light"/>
          <w:sz w:val="24"/>
          <w:szCs w:val="24"/>
          <w:lang w:val="fr-CA"/>
        </w:rPr>
        <w:t>à lutter contre la pauvreté énergétique</w:t>
      </w:r>
      <w:r w:rsidRPr="007B324D">
        <w:rPr>
          <w:rFonts w:ascii="72 Light" w:eastAsia="72 Light" w:hAnsi="72 Light" w:cs="72 Light"/>
          <w:sz w:val="24"/>
          <w:szCs w:val="24"/>
          <w:lang w:val="fr-CA"/>
        </w:rPr>
        <w:t>, ils ont notées que les mesures ne traitent pas spécifiquement des répercussions des changements climatiques sur les ménages et les collectivités à faible revenu ou vulnérables</w:t>
      </w:r>
      <w:r w:rsidR="001C7712" w:rsidRPr="007B324D">
        <w:rPr>
          <w:rFonts w:ascii="72 Light" w:eastAsia="72 Light" w:hAnsi="72 Light" w:cs="72 Light"/>
          <w:sz w:val="24"/>
          <w:szCs w:val="24"/>
          <w:lang w:val="fr-CA"/>
        </w:rPr>
        <w:t>.</w:t>
      </w:r>
      <w:bookmarkEnd w:id="90"/>
    </w:p>
    <w:p w14:paraId="75D44AA2" w14:textId="7EE8690E" w:rsidR="00CB0CE7" w:rsidRPr="007B324D" w:rsidRDefault="00CB0CE7" w:rsidP="00F62155">
      <w:pPr>
        <w:tabs>
          <w:tab w:val="left" w:pos="284"/>
          <w:tab w:val="left" w:pos="3544"/>
        </w:tabs>
        <w:spacing w:before="120" w:line="276" w:lineRule="auto"/>
        <w:ind w:left="284" w:firstLine="0"/>
        <w:jc w:val="both"/>
        <w:rPr>
          <w:rFonts w:ascii="72 Light" w:eastAsia="72 Light" w:hAnsi="72 Light" w:cs="72 Light"/>
          <w:sz w:val="24"/>
          <w:szCs w:val="24"/>
          <w:lang w:val="fr-CA"/>
        </w:rPr>
      </w:pPr>
      <w:r w:rsidRPr="007B324D">
        <w:rPr>
          <w:rFonts w:ascii="72 Light" w:eastAsia="72 Light" w:hAnsi="72 Light" w:cs="72 Light"/>
          <w:sz w:val="24"/>
          <w:szCs w:val="24"/>
          <w:lang w:val="fr-CA"/>
        </w:rPr>
        <w:t>Les organisations ont aussi demandé aux gouvernements d</w:t>
      </w:r>
      <w:r w:rsidR="00935A6C" w:rsidRPr="007B324D">
        <w:rPr>
          <w:rFonts w:ascii="72 Light" w:eastAsia="72 Light" w:hAnsi="72 Light" w:cs="72 Light"/>
          <w:sz w:val="24"/>
          <w:szCs w:val="24"/>
          <w:lang w:val="fr-CA"/>
        </w:rPr>
        <w:t>’</w:t>
      </w:r>
      <w:r w:rsidRPr="007B324D">
        <w:rPr>
          <w:rFonts w:ascii="72 Light" w:eastAsia="72 Light" w:hAnsi="72 Light" w:cs="72 Light"/>
          <w:sz w:val="24"/>
          <w:szCs w:val="24"/>
          <w:lang w:val="fr-CA"/>
        </w:rPr>
        <w:t>examiner comment les enjeux environnementaux</w:t>
      </w:r>
      <w:r w:rsidR="0074631F" w:rsidRPr="007B324D">
        <w:rPr>
          <w:rFonts w:ascii="72 Light" w:eastAsia="72 Light" w:hAnsi="72 Light" w:cs="72 Light"/>
          <w:sz w:val="24"/>
          <w:szCs w:val="24"/>
          <w:lang w:val="fr-CA"/>
        </w:rPr>
        <w:t xml:space="preserve">, </w:t>
      </w:r>
      <w:r w:rsidRPr="007B324D">
        <w:rPr>
          <w:rFonts w:ascii="72 Light" w:eastAsia="72 Light" w:hAnsi="72 Light" w:cs="72 Light"/>
          <w:sz w:val="24"/>
          <w:szCs w:val="24"/>
          <w:lang w:val="fr-CA"/>
        </w:rPr>
        <w:t>dont les changements climatiques et l</w:t>
      </w:r>
      <w:r w:rsidR="00935A6C" w:rsidRPr="007B324D">
        <w:rPr>
          <w:rFonts w:ascii="72 Light" w:eastAsia="72 Light" w:hAnsi="72 Light" w:cs="72 Light"/>
          <w:sz w:val="24"/>
          <w:szCs w:val="24"/>
          <w:lang w:val="fr-CA"/>
        </w:rPr>
        <w:t>’</w:t>
      </w:r>
      <w:r w:rsidRPr="007B324D">
        <w:rPr>
          <w:rFonts w:ascii="72 Light" w:eastAsia="72 Light" w:hAnsi="72 Light" w:cs="72 Light"/>
          <w:sz w:val="24"/>
          <w:szCs w:val="24"/>
          <w:lang w:val="fr-CA"/>
        </w:rPr>
        <w:t>extraction des ressources</w:t>
      </w:r>
      <w:r w:rsidR="0074631F" w:rsidRPr="007B324D">
        <w:rPr>
          <w:rFonts w:ascii="72 Light" w:eastAsia="72 Light" w:hAnsi="72 Light" w:cs="72 Light"/>
          <w:sz w:val="24"/>
          <w:szCs w:val="24"/>
          <w:lang w:val="fr-CA"/>
        </w:rPr>
        <w:t xml:space="preserve">, </w:t>
      </w:r>
      <w:r w:rsidRPr="007B324D">
        <w:rPr>
          <w:rFonts w:ascii="72 Light" w:eastAsia="72 Light" w:hAnsi="72 Light" w:cs="72 Light"/>
          <w:sz w:val="24"/>
          <w:szCs w:val="24"/>
          <w:lang w:val="fr-CA"/>
        </w:rPr>
        <w:t>recoupent directement la violence sexuelle et fondée sur le sexe dont sont victimes les femmes, les filles, les personnes bispirituelles et les personnes de diverses identités de genre autochtones. Les commentaires reçus ont soulevé le manque d</w:t>
      </w:r>
      <w:r w:rsidR="00935A6C" w:rsidRPr="007B324D">
        <w:rPr>
          <w:rFonts w:ascii="72 Light" w:eastAsia="72 Light" w:hAnsi="72 Light" w:cs="72 Light"/>
          <w:sz w:val="24"/>
          <w:szCs w:val="24"/>
          <w:lang w:val="fr-CA"/>
        </w:rPr>
        <w:t>’</w:t>
      </w:r>
      <w:r w:rsidRPr="007B324D">
        <w:rPr>
          <w:rFonts w:ascii="72 Light" w:eastAsia="72 Light" w:hAnsi="72 Light" w:cs="72 Light"/>
          <w:sz w:val="24"/>
          <w:szCs w:val="24"/>
          <w:lang w:val="fr-CA"/>
        </w:rPr>
        <w:t>information détaillée sur la façon dont les gouvernements FPT mettent en œuvre les appels</w:t>
      </w:r>
      <w:r w:rsidR="0050342B" w:rsidRPr="007B324D">
        <w:rPr>
          <w:rFonts w:ascii="72 Light" w:eastAsia="72 Light" w:hAnsi="72 Light" w:cs="72 Light"/>
          <w:sz w:val="24"/>
          <w:szCs w:val="24"/>
          <w:lang w:val="fr-CA"/>
        </w:rPr>
        <w:t xml:space="preserve"> visant</w:t>
      </w:r>
      <w:r w:rsidRPr="007B324D">
        <w:rPr>
          <w:rFonts w:ascii="72 Light" w:eastAsia="72 Light" w:hAnsi="72 Light" w:cs="72 Light"/>
          <w:sz w:val="24"/>
          <w:szCs w:val="24"/>
          <w:lang w:val="fr-CA"/>
        </w:rPr>
        <w:t xml:space="preserve"> l</w:t>
      </w:r>
      <w:r w:rsidR="00935A6C" w:rsidRPr="007B324D">
        <w:rPr>
          <w:rFonts w:ascii="72 Light" w:eastAsia="72 Light" w:hAnsi="72 Light" w:cs="72 Light"/>
          <w:sz w:val="24"/>
          <w:szCs w:val="24"/>
          <w:lang w:val="fr-CA"/>
        </w:rPr>
        <w:t>’</w:t>
      </w:r>
      <w:r w:rsidRPr="007B324D">
        <w:rPr>
          <w:rFonts w:ascii="72 Light" w:eastAsia="72 Light" w:hAnsi="72 Light" w:cs="72 Light"/>
          <w:sz w:val="24"/>
          <w:szCs w:val="24"/>
          <w:lang w:val="fr-CA"/>
        </w:rPr>
        <w:t>industrie extractive et l</w:t>
      </w:r>
      <w:r w:rsidR="00935A6C" w:rsidRPr="007B324D">
        <w:rPr>
          <w:rFonts w:ascii="72 Light" w:eastAsia="72 Light" w:hAnsi="72 Light" w:cs="72 Light"/>
          <w:sz w:val="24"/>
          <w:szCs w:val="24"/>
          <w:lang w:val="fr-CA"/>
        </w:rPr>
        <w:t>’</w:t>
      </w:r>
      <w:r w:rsidRPr="007B324D">
        <w:rPr>
          <w:rFonts w:ascii="72 Light" w:eastAsia="72 Light" w:hAnsi="72 Light" w:cs="72 Light"/>
          <w:sz w:val="24"/>
          <w:szCs w:val="24"/>
          <w:lang w:val="fr-CA"/>
        </w:rPr>
        <w:t xml:space="preserve">industrie du développement </w:t>
      </w:r>
      <w:r w:rsidR="0074631F" w:rsidRPr="007B324D">
        <w:rPr>
          <w:rFonts w:ascii="72 Light" w:eastAsia="72 Light" w:hAnsi="72 Light" w:cs="72 Light"/>
          <w:sz w:val="24"/>
          <w:szCs w:val="24"/>
          <w:lang w:val="fr-CA"/>
        </w:rPr>
        <w:t xml:space="preserve">de même que </w:t>
      </w:r>
      <w:r w:rsidRPr="007B324D">
        <w:rPr>
          <w:rFonts w:ascii="72 Light" w:eastAsia="72 Light" w:hAnsi="72 Light" w:cs="72 Light"/>
          <w:sz w:val="24"/>
          <w:szCs w:val="24"/>
          <w:lang w:val="fr-CA"/>
        </w:rPr>
        <w:t xml:space="preserve">les appels à la justice </w:t>
      </w:r>
      <w:r w:rsidR="0074631F" w:rsidRPr="007B324D">
        <w:rPr>
          <w:rFonts w:ascii="72 Light" w:eastAsia="72 Light" w:hAnsi="72 Light" w:cs="72 Light"/>
          <w:sz w:val="24"/>
          <w:szCs w:val="24"/>
          <w:lang w:val="fr-CA"/>
        </w:rPr>
        <w:t xml:space="preserve">connexes </w:t>
      </w:r>
      <w:r w:rsidRPr="007B324D">
        <w:rPr>
          <w:rFonts w:ascii="72 Light" w:eastAsia="72 Light" w:hAnsi="72 Light" w:cs="72 Light"/>
          <w:sz w:val="24"/>
          <w:szCs w:val="24"/>
          <w:lang w:val="fr-CA"/>
        </w:rPr>
        <w:t>décrits par l</w:t>
      </w:r>
      <w:r w:rsidR="00935A6C" w:rsidRPr="007B324D">
        <w:rPr>
          <w:rFonts w:ascii="72 Light" w:eastAsia="72 Light" w:hAnsi="72 Light" w:cs="72 Light"/>
          <w:sz w:val="24"/>
          <w:szCs w:val="24"/>
          <w:lang w:val="fr-CA"/>
        </w:rPr>
        <w:t>’</w:t>
      </w:r>
      <w:r w:rsidRPr="007B324D">
        <w:rPr>
          <w:rFonts w:ascii="72 Light" w:eastAsia="72 Light" w:hAnsi="72 Light" w:cs="72 Light"/>
          <w:sz w:val="24"/>
          <w:szCs w:val="24"/>
          <w:lang w:val="fr-CA"/>
        </w:rPr>
        <w:t xml:space="preserve">Enquête nationale sur les femmes </w:t>
      </w:r>
      <w:r w:rsidR="00C2534B" w:rsidRPr="007B324D">
        <w:rPr>
          <w:rFonts w:ascii="72 Light" w:eastAsia="72 Light" w:hAnsi="72 Light" w:cs="72 Light"/>
          <w:sz w:val="24"/>
          <w:szCs w:val="24"/>
          <w:lang w:val="fr-CA"/>
        </w:rPr>
        <w:t>a</w:t>
      </w:r>
      <w:r w:rsidRPr="007B324D">
        <w:rPr>
          <w:rFonts w:ascii="72 Light" w:eastAsia="72 Light" w:hAnsi="72 Light" w:cs="72 Light"/>
          <w:sz w:val="24"/>
          <w:szCs w:val="24"/>
          <w:lang w:val="fr-CA"/>
        </w:rPr>
        <w:t xml:space="preserve">utochtones disparues et assassinées pour lutter contre la violence </w:t>
      </w:r>
      <w:r w:rsidR="00F40075" w:rsidRPr="007B324D">
        <w:rPr>
          <w:rFonts w:ascii="72 Light" w:eastAsia="72 Light" w:hAnsi="72 Light" w:cs="72 Light"/>
          <w:sz w:val="24"/>
          <w:szCs w:val="24"/>
          <w:lang w:val="fr-CA"/>
        </w:rPr>
        <w:t>envers les</w:t>
      </w:r>
      <w:r w:rsidRPr="007B324D">
        <w:rPr>
          <w:rFonts w:ascii="72 Light" w:eastAsia="72 Light" w:hAnsi="72 Light" w:cs="72 Light"/>
          <w:sz w:val="24"/>
          <w:szCs w:val="24"/>
          <w:lang w:val="fr-CA"/>
        </w:rPr>
        <w:t xml:space="preserve"> femmes</w:t>
      </w:r>
      <w:r w:rsidR="00CC2B64" w:rsidRPr="007B324D">
        <w:rPr>
          <w:rFonts w:ascii="72 Light" w:eastAsia="72 Light" w:hAnsi="72 Light" w:cs="72 Light"/>
          <w:sz w:val="24"/>
          <w:szCs w:val="24"/>
          <w:lang w:val="fr-CA"/>
        </w:rPr>
        <w:t xml:space="preserve">, </w:t>
      </w:r>
      <w:r w:rsidR="00F40075" w:rsidRPr="007B324D">
        <w:rPr>
          <w:rFonts w:ascii="72 Light" w:eastAsia="72 Light" w:hAnsi="72 Light" w:cs="72 Light"/>
          <w:sz w:val="24"/>
          <w:szCs w:val="24"/>
          <w:lang w:val="fr-CA"/>
        </w:rPr>
        <w:t xml:space="preserve">les </w:t>
      </w:r>
      <w:r w:rsidR="00CC2B64" w:rsidRPr="007B324D">
        <w:rPr>
          <w:rFonts w:ascii="72 Light" w:eastAsia="72 Light" w:hAnsi="72 Light" w:cs="72 Light"/>
          <w:sz w:val="24"/>
          <w:szCs w:val="24"/>
          <w:lang w:val="fr-CA"/>
        </w:rPr>
        <w:t xml:space="preserve">personnes bispirituelles et </w:t>
      </w:r>
      <w:r w:rsidR="00F40075" w:rsidRPr="007B324D">
        <w:rPr>
          <w:rFonts w:ascii="72 Light" w:eastAsia="72 Light" w:hAnsi="72 Light" w:cs="72 Light"/>
          <w:sz w:val="24"/>
          <w:szCs w:val="24"/>
          <w:lang w:val="fr-CA"/>
        </w:rPr>
        <w:t>les</w:t>
      </w:r>
      <w:r w:rsidR="00CC2B64" w:rsidRPr="007B324D">
        <w:rPr>
          <w:rFonts w:ascii="72 Light" w:eastAsia="72 Light" w:hAnsi="72 Light" w:cs="72 Light"/>
          <w:sz w:val="24"/>
          <w:szCs w:val="24"/>
          <w:lang w:val="fr-CA"/>
        </w:rPr>
        <w:t xml:space="preserve"> personnes</w:t>
      </w:r>
      <w:r w:rsidR="00804614" w:rsidRPr="007B324D">
        <w:rPr>
          <w:rFonts w:ascii="72 Light" w:eastAsia="72 Light" w:hAnsi="72 Light" w:cs="72 Light"/>
          <w:sz w:val="24"/>
          <w:szCs w:val="24"/>
          <w:lang w:val="fr-CA"/>
        </w:rPr>
        <w:t xml:space="preserve"> appartenant</w:t>
      </w:r>
      <w:r w:rsidR="00CC2B64" w:rsidRPr="007B324D">
        <w:rPr>
          <w:rFonts w:ascii="72 Light" w:eastAsia="72 Light" w:hAnsi="72 Light" w:cs="72 Light"/>
          <w:sz w:val="24"/>
          <w:szCs w:val="24"/>
          <w:lang w:val="fr-CA"/>
        </w:rPr>
        <w:t xml:space="preserve"> </w:t>
      </w:r>
      <w:r w:rsidR="00804614" w:rsidRPr="007B324D">
        <w:rPr>
          <w:rFonts w:ascii="72 Light" w:eastAsia="72 Light" w:hAnsi="72 Light" w:cs="72 Light"/>
          <w:sz w:val="24"/>
          <w:szCs w:val="24"/>
          <w:lang w:val="fr-CA"/>
        </w:rPr>
        <w:t>à diverses identités de genre</w:t>
      </w:r>
      <w:r w:rsidR="00F50EC4" w:rsidRPr="007B324D">
        <w:rPr>
          <w:rFonts w:ascii="72 Light" w:eastAsia="72 Light" w:hAnsi="72 Light" w:cs="72 Light"/>
          <w:sz w:val="24"/>
          <w:szCs w:val="24"/>
          <w:lang w:val="fr-CA"/>
        </w:rPr>
        <w:t xml:space="preserve"> </w:t>
      </w:r>
      <w:r w:rsidR="0074631F" w:rsidRPr="007B324D">
        <w:rPr>
          <w:rFonts w:ascii="72 Light" w:eastAsia="72 Light" w:hAnsi="72 Light" w:cs="72 Light"/>
          <w:sz w:val="24"/>
          <w:szCs w:val="24"/>
          <w:lang w:val="fr-CA"/>
        </w:rPr>
        <w:t>qui se portent à la défense</w:t>
      </w:r>
      <w:r w:rsidRPr="007B324D">
        <w:rPr>
          <w:rFonts w:ascii="72 Light" w:eastAsia="72 Light" w:hAnsi="72 Light" w:cs="72 Light"/>
          <w:sz w:val="24"/>
          <w:szCs w:val="24"/>
          <w:lang w:val="fr-CA"/>
        </w:rPr>
        <w:t xml:space="preserve"> de l</w:t>
      </w:r>
      <w:r w:rsidR="00935A6C" w:rsidRPr="007B324D">
        <w:rPr>
          <w:rFonts w:ascii="72 Light" w:eastAsia="72 Light" w:hAnsi="72 Light" w:cs="72 Light"/>
          <w:sz w:val="24"/>
          <w:szCs w:val="24"/>
          <w:lang w:val="fr-CA"/>
        </w:rPr>
        <w:t>’</w:t>
      </w:r>
      <w:r w:rsidRPr="007B324D">
        <w:rPr>
          <w:rFonts w:ascii="72 Light" w:eastAsia="72 Light" w:hAnsi="72 Light" w:cs="72 Light"/>
          <w:sz w:val="24"/>
          <w:szCs w:val="24"/>
          <w:lang w:val="fr-CA"/>
        </w:rPr>
        <w:t>eau et des terres</w:t>
      </w:r>
      <w:r w:rsidR="00804614" w:rsidRPr="007B324D">
        <w:rPr>
          <w:rFonts w:ascii="72 Light" w:eastAsia="72 Light" w:hAnsi="72 Light" w:cs="72 Light"/>
          <w:sz w:val="24"/>
          <w:szCs w:val="24"/>
          <w:lang w:val="fr-CA"/>
        </w:rPr>
        <w:t>.</w:t>
      </w:r>
    </w:p>
    <w:p w14:paraId="180FACFC" w14:textId="4745A6A0" w:rsidR="009E28F7" w:rsidRPr="007B324D" w:rsidRDefault="00CB0CE7" w:rsidP="00F62155">
      <w:pPr>
        <w:tabs>
          <w:tab w:val="left" w:pos="284"/>
          <w:tab w:val="left" w:pos="3544"/>
        </w:tabs>
        <w:spacing w:before="120" w:line="276" w:lineRule="auto"/>
        <w:ind w:left="284" w:firstLine="0"/>
        <w:jc w:val="both"/>
        <w:rPr>
          <w:rFonts w:ascii="72 Light" w:eastAsia="72 Light" w:hAnsi="72 Light" w:cs="72 Light"/>
          <w:sz w:val="24"/>
          <w:szCs w:val="24"/>
          <w:lang w:val="fr-CA"/>
        </w:rPr>
      </w:pPr>
      <w:r w:rsidRPr="007B324D">
        <w:rPr>
          <w:rFonts w:ascii="72 Light" w:eastAsia="72 Light" w:hAnsi="72 Light" w:cs="72 Light"/>
          <w:sz w:val="24"/>
          <w:szCs w:val="24"/>
          <w:lang w:val="fr-CA"/>
        </w:rPr>
        <w:t xml:space="preserve">Bien que les organisations </w:t>
      </w:r>
      <w:r w:rsidR="002E43B9" w:rsidRPr="007B324D">
        <w:rPr>
          <w:rFonts w:ascii="72 Light" w:eastAsia="72 Light" w:hAnsi="72 Light" w:cs="72 Light"/>
          <w:sz w:val="24"/>
          <w:szCs w:val="24"/>
          <w:lang w:val="fr-CA"/>
        </w:rPr>
        <w:t>aient</w:t>
      </w:r>
      <w:r w:rsidR="00AD3946" w:rsidRPr="007B324D">
        <w:rPr>
          <w:rFonts w:ascii="72 Light" w:eastAsia="72 Light" w:hAnsi="72 Light" w:cs="72 Light"/>
          <w:sz w:val="24"/>
          <w:szCs w:val="24"/>
          <w:lang w:val="fr-CA"/>
        </w:rPr>
        <w:t xml:space="preserve"> salué</w:t>
      </w:r>
      <w:r w:rsidRPr="007B324D">
        <w:rPr>
          <w:rFonts w:ascii="72 Light" w:eastAsia="72 Light" w:hAnsi="72 Light" w:cs="72 Light"/>
          <w:sz w:val="24"/>
          <w:szCs w:val="24"/>
          <w:lang w:val="fr-CA"/>
        </w:rPr>
        <w:t xml:space="preserve"> l</w:t>
      </w:r>
      <w:r w:rsidR="00935A6C" w:rsidRPr="007B324D">
        <w:rPr>
          <w:rFonts w:ascii="72 Light" w:eastAsia="72 Light" w:hAnsi="72 Light" w:cs="72 Light"/>
          <w:sz w:val="24"/>
          <w:szCs w:val="24"/>
          <w:lang w:val="fr-CA"/>
        </w:rPr>
        <w:t>’</w:t>
      </w:r>
      <w:r w:rsidRPr="007B324D">
        <w:rPr>
          <w:rFonts w:ascii="72 Light" w:eastAsia="72 Light" w:hAnsi="72 Light" w:cs="72 Light"/>
          <w:sz w:val="24"/>
          <w:szCs w:val="24"/>
          <w:lang w:val="fr-CA"/>
        </w:rPr>
        <w:t>engagement du Canada à soutenir les mesures</w:t>
      </w:r>
      <w:r w:rsidR="00E43855" w:rsidRPr="007B324D">
        <w:rPr>
          <w:rFonts w:ascii="72 Light" w:eastAsia="72 Light" w:hAnsi="72 Light" w:cs="72 Light"/>
          <w:sz w:val="24"/>
          <w:szCs w:val="24"/>
          <w:lang w:val="fr-CA"/>
        </w:rPr>
        <w:t xml:space="preserve"> d</w:t>
      </w:r>
      <w:r w:rsidR="00935A6C" w:rsidRPr="007B324D">
        <w:rPr>
          <w:rFonts w:ascii="72 Light" w:eastAsia="72 Light" w:hAnsi="72 Light" w:cs="72 Light"/>
          <w:sz w:val="24"/>
          <w:szCs w:val="24"/>
          <w:lang w:val="fr-CA"/>
        </w:rPr>
        <w:t>’</w:t>
      </w:r>
      <w:r w:rsidR="00E43855" w:rsidRPr="007B324D">
        <w:rPr>
          <w:rFonts w:ascii="72 Light" w:eastAsia="72 Light" w:hAnsi="72 Light" w:cs="72 Light"/>
          <w:sz w:val="24"/>
          <w:szCs w:val="24"/>
          <w:lang w:val="fr-CA"/>
        </w:rPr>
        <w:t>autodétermination liées à la</w:t>
      </w:r>
      <w:r w:rsidRPr="007B324D">
        <w:rPr>
          <w:rFonts w:ascii="72 Light" w:eastAsia="72 Light" w:hAnsi="72 Light" w:cs="72 Light"/>
          <w:sz w:val="24"/>
          <w:szCs w:val="24"/>
          <w:lang w:val="fr-CA"/>
        </w:rPr>
        <w:t xml:space="preserve"> lutte contre les changements climatiques des peuples autochtones, </w:t>
      </w:r>
      <w:r w:rsidR="00E43855" w:rsidRPr="007B324D">
        <w:rPr>
          <w:rFonts w:ascii="72 Light" w:eastAsia="72 Light" w:hAnsi="72 Light" w:cs="72 Light"/>
          <w:sz w:val="24"/>
          <w:szCs w:val="24"/>
          <w:lang w:val="fr-CA"/>
        </w:rPr>
        <w:t xml:space="preserve">elles ont </w:t>
      </w:r>
      <w:r w:rsidR="002E43B9" w:rsidRPr="007B324D">
        <w:rPr>
          <w:rFonts w:ascii="72 Light" w:eastAsia="72 Light" w:hAnsi="72 Light" w:cs="72 Light"/>
          <w:sz w:val="24"/>
          <w:szCs w:val="24"/>
          <w:lang w:val="fr-CA"/>
        </w:rPr>
        <w:t>souligné</w:t>
      </w:r>
      <w:r w:rsidRPr="007B324D">
        <w:rPr>
          <w:rFonts w:ascii="72 Light" w:eastAsia="72 Light" w:hAnsi="72 Light" w:cs="72 Light"/>
          <w:sz w:val="24"/>
          <w:szCs w:val="24"/>
          <w:lang w:val="fr-CA"/>
        </w:rPr>
        <w:t xml:space="preserve"> que les gouvernements FPT ont de la difficulté à obtenir</w:t>
      </w:r>
      <w:r w:rsidR="0074631F" w:rsidRPr="007B324D">
        <w:rPr>
          <w:rFonts w:ascii="72 Light" w:eastAsia="72 Light" w:hAnsi="72 Light" w:cs="72 Light"/>
          <w:sz w:val="24"/>
          <w:szCs w:val="24"/>
          <w:lang w:val="fr-CA"/>
        </w:rPr>
        <w:t>, de façon uniforme,</w:t>
      </w:r>
      <w:r w:rsidRPr="007B324D">
        <w:rPr>
          <w:rFonts w:ascii="72 Light" w:eastAsia="72 Light" w:hAnsi="72 Light" w:cs="72 Light"/>
          <w:sz w:val="24"/>
          <w:szCs w:val="24"/>
          <w:lang w:val="fr-CA"/>
        </w:rPr>
        <w:t xml:space="preserve"> le consentement préalable</w:t>
      </w:r>
      <w:r w:rsidR="002E43B9" w:rsidRPr="007B324D">
        <w:rPr>
          <w:rFonts w:ascii="72 Light" w:eastAsia="72 Light" w:hAnsi="72 Light" w:cs="72 Light"/>
          <w:sz w:val="24"/>
          <w:szCs w:val="24"/>
          <w:lang w:val="fr-CA"/>
        </w:rPr>
        <w:t>, libre</w:t>
      </w:r>
      <w:r w:rsidRPr="007B324D">
        <w:rPr>
          <w:rFonts w:ascii="72 Light" w:eastAsia="72 Light" w:hAnsi="72 Light" w:cs="72 Light"/>
          <w:sz w:val="24"/>
          <w:szCs w:val="24"/>
          <w:lang w:val="fr-CA"/>
        </w:rPr>
        <w:t xml:space="preserve"> et éclairé des peuples autochtones pour les projets de développement et l</w:t>
      </w:r>
      <w:r w:rsidR="00935A6C" w:rsidRPr="007B324D">
        <w:rPr>
          <w:rFonts w:ascii="72 Light" w:eastAsia="72 Light" w:hAnsi="72 Light" w:cs="72 Light"/>
          <w:sz w:val="24"/>
          <w:szCs w:val="24"/>
          <w:lang w:val="fr-CA"/>
        </w:rPr>
        <w:t>’</w:t>
      </w:r>
      <w:r w:rsidRPr="007B324D">
        <w:rPr>
          <w:rFonts w:ascii="72 Light" w:eastAsia="72 Light" w:hAnsi="72 Light" w:cs="72 Light"/>
          <w:sz w:val="24"/>
          <w:szCs w:val="24"/>
          <w:lang w:val="fr-CA"/>
        </w:rPr>
        <w:t>extraction des ressources sur leurs territoires.</w:t>
      </w:r>
    </w:p>
    <w:p w14:paraId="11228C0D" w14:textId="427DFA42" w:rsidR="00902F02" w:rsidRPr="007B324D" w:rsidRDefault="00D4122B" w:rsidP="00F62155">
      <w:pPr>
        <w:tabs>
          <w:tab w:val="left" w:pos="3544"/>
        </w:tabs>
        <w:spacing w:before="120" w:line="276" w:lineRule="auto"/>
        <w:ind w:left="284" w:firstLine="0"/>
        <w:jc w:val="both"/>
        <w:rPr>
          <w:rFonts w:ascii="72 Light" w:hAnsi="72 Light" w:cs="72 Light"/>
          <w:bCs/>
          <w:sz w:val="24"/>
          <w:szCs w:val="24"/>
          <w:u w:val="single"/>
          <w:lang w:val="fr-CA"/>
        </w:rPr>
      </w:pPr>
      <w:bookmarkStart w:id="91" w:name="lt_pId090"/>
      <w:r w:rsidRPr="007B324D">
        <w:rPr>
          <w:rFonts w:ascii="72 Light" w:hAnsi="72 Light" w:cs="72 Light"/>
          <w:bCs/>
          <w:sz w:val="24"/>
          <w:szCs w:val="24"/>
          <w:u w:val="single"/>
          <w:lang w:val="fr-CA"/>
        </w:rPr>
        <w:t>Accès à l</w:t>
      </w:r>
      <w:r w:rsidR="00935A6C" w:rsidRPr="007B324D">
        <w:rPr>
          <w:rFonts w:ascii="72 Light" w:hAnsi="72 Light" w:cs="72 Light"/>
          <w:bCs/>
          <w:sz w:val="24"/>
          <w:szCs w:val="24"/>
          <w:u w:val="single"/>
          <w:lang w:val="fr-CA"/>
        </w:rPr>
        <w:t>’</w:t>
      </w:r>
      <w:r w:rsidRPr="007B324D">
        <w:rPr>
          <w:rFonts w:ascii="72 Light" w:hAnsi="72 Light" w:cs="72 Light"/>
          <w:bCs/>
          <w:sz w:val="24"/>
          <w:szCs w:val="24"/>
          <w:u w:val="single"/>
          <w:lang w:val="fr-CA"/>
        </w:rPr>
        <w:t>information</w:t>
      </w:r>
      <w:bookmarkEnd w:id="91"/>
    </w:p>
    <w:p w14:paraId="7F73A6CB" w14:textId="686BA9A9" w:rsidR="0038163B" w:rsidRPr="007B324D" w:rsidRDefault="00A07C5E" w:rsidP="00F62155">
      <w:pPr>
        <w:tabs>
          <w:tab w:val="left" w:pos="3544"/>
        </w:tabs>
        <w:spacing w:before="120" w:line="276" w:lineRule="auto"/>
        <w:ind w:left="284" w:firstLine="0"/>
        <w:jc w:val="both"/>
        <w:rPr>
          <w:rFonts w:ascii="72 Light" w:eastAsia="72 Light" w:hAnsi="72 Light" w:cs="72 Light"/>
          <w:sz w:val="24"/>
          <w:szCs w:val="24"/>
          <w:lang w:val="fr-CA"/>
        </w:rPr>
      </w:pPr>
      <w:bookmarkStart w:id="92" w:name="lt_pId091"/>
      <w:r w:rsidRPr="007B324D">
        <w:rPr>
          <w:rFonts w:ascii="72 Light" w:eastAsia="72 Light" w:hAnsi="72 Light" w:cs="72 Light"/>
          <w:sz w:val="24"/>
          <w:szCs w:val="24"/>
          <w:lang w:val="fr-CA"/>
        </w:rPr>
        <w:t>Les organisations ont noté l</w:t>
      </w:r>
      <w:r w:rsidR="00935A6C" w:rsidRPr="007B324D">
        <w:rPr>
          <w:rFonts w:ascii="72 Light" w:eastAsia="72 Light" w:hAnsi="72 Light" w:cs="72 Light"/>
          <w:sz w:val="24"/>
          <w:szCs w:val="24"/>
          <w:lang w:val="fr-CA"/>
        </w:rPr>
        <w:t>’</w:t>
      </w:r>
      <w:r w:rsidRPr="007B324D">
        <w:rPr>
          <w:rFonts w:ascii="72 Light" w:eastAsia="72 Light" w:hAnsi="72 Light" w:cs="72 Light"/>
          <w:sz w:val="24"/>
          <w:szCs w:val="24"/>
          <w:lang w:val="fr-CA"/>
        </w:rPr>
        <w:t>omission des questions liées au droit d</w:t>
      </w:r>
      <w:r w:rsidR="00935A6C" w:rsidRPr="007B324D">
        <w:rPr>
          <w:rFonts w:ascii="72 Light" w:eastAsia="72 Light" w:hAnsi="72 Light" w:cs="72 Light"/>
          <w:sz w:val="24"/>
          <w:szCs w:val="24"/>
          <w:lang w:val="fr-CA"/>
        </w:rPr>
        <w:t>’</w:t>
      </w:r>
      <w:r w:rsidRPr="007B324D">
        <w:rPr>
          <w:rFonts w:ascii="72 Light" w:eastAsia="72 Light" w:hAnsi="72 Light" w:cs="72 Light"/>
          <w:sz w:val="24"/>
          <w:szCs w:val="24"/>
          <w:lang w:val="fr-CA"/>
        </w:rPr>
        <w:t>accès à l</w:t>
      </w:r>
      <w:r w:rsidR="00935A6C" w:rsidRPr="007B324D">
        <w:rPr>
          <w:rFonts w:ascii="72 Light" w:eastAsia="72 Light" w:hAnsi="72 Light" w:cs="72 Light"/>
          <w:sz w:val="24"/>
          <w:szCs w:val="24"/>
          <w:lang w:val="fr-CA"/>
        </w:rPr>
        <w:t>’</w:t>
      </w:r>
      <w:r w:rsidRPr="007B324D">
        <w:rPr>
          <w:rFonts w:ascii="72 Light" w:eastAsia="72 Light" w:hAnsi="72 Light" w:cs="72 Light"/>
          <w:sz w:val="24"/>
          <w:szCs w:val="24"/>
          <w:lang w:val="fr-CA"/>
        </w:rPr>
        <w:t>information dans le rapport.</w:t>
      </w:r>
      <w:bookmarkEnd w:id="92"/>
      <w:r w:rsidRPr="007B324D">
        <w:rPr>
          <w:rFonts w:ascii="72 Light" w:eastAsia="72 Light" w:hAnsi="72 Light" w:cs="72 Light"/>
          <w:sz w:val="24"/>
          <w:szCs w:val="24"/>
          <w:lang w:val="fr-CA"/>
        </w:rPr>
        <w:t xml:space="preserve"> </w:t>
      </w:r>
      <w:bookmarkStart w:id="93" w:name="lt_pId092"/>
      <w:r w:rsidR="00907DBF" w:rsidRPr="007B324D">
        <w:rPr>
          <w:rFonts w:ascii="72 Light" w:eastAsia="72 Light" w:hAnsi="72 Light" w:cs="72 Light"/>
          <w:sz w:val="24"/>
          <w:szCs w:val="24"/>
          <w:lang w:val="fr-CA"/>
        </w:rPr>
        <w:t>Bien qu</w:t>
      </w:r>
      <w:r w:rsidR="00935A6C" w:rsidRPr="007B324D">
        <w:rPr>
          <w:rFonts w:ascii="72 Light" w:eastAsia="72 Light" w:hAnsi="72 Light" w:cs="72 Light"/>
          <w:sz w:val="24"/>
          <w:szCs w:val="24"/>
          <w:lang w:val="fr-CA"/>
        </w:rPr>
        <w:t>’</w:t>
      </w:r>
      <w:r w:rsidR="00907DBF" w:rsidRPr="007B324D">
        <w:rPr>
          <w:rFonts w:ascii="72 Light" w:eastAsia="72 Light" w:hAnsi="72 Light" w:cs="72 Light"/>
          <w:sz w:val="24"/>
          <w:szCs w:val="24"/>
          <w:lang w:val="fr-CA"/>
        </w:rPr>
        <w:t>elles saluent</w:t>
      </w:r>
      <w:r w:rsidRPr="007B324D">
        <w:rPr>
          <w:rFonts w:ascii="72 Light" w:eastAsia="72 Light" w:hAnsi="72 Light" w:cs="72 Light"/>
          <w:sz w:val="24"/>
          <w:szCs w:val="24"/>
          <w:lang w:val="fr-CA"/>
        </w:rPr>
        <w:t xml:space="preserve"> l</w:t>
      </w:r>
      <w:r w:rsidR="00935A6C" w:rsidRPr="007B324D">
        <w:rPr>
          <w:rFonts w:ascii="72 Light" w:eastAsia="72 Light" w:hAnsi="72 Light" w:cs="72 Light"/>
          <w:sz w:val="24"/>
          <w:szCs w:val="24"/>
          <w:lang w:val="fr-CA"/>
        </w:rPr>
        <w:t>’</w:t>
      </w:r>
      <w:r w:rsidRPr="007B324D">
        <w:rPr>
          <w:rFonts w:ascii="72 Light" w:eastAsia="72 Light" w:hAnsi="72 Light" w:cs="72 Light"/>
          <w:sz w:val="24"/>
          <w:szCs w:val="24"/>
          <w:lang w:val="fr-CA"/>
        </w:rPr>
        <w:t xml:space="preserve">examen en cours de la </w:t>
      </w:r>
      <w:r w:rsidR="00907DBF" w:rsidRPr="007B324D">
        <w:rPr>
          <w:rFonts w:ascii="72 Light" w:eastAsia="72 Light" w:hAnsi="72 Light" w:cs="72 Light"/>
          <w:i/>
          <w:sz w:val="24"/>
          <w:szCs w:val="24"/>
          <w:lang w:val="fr-CA"/>
        </w:rPr>
        <w:t>L</w:t>
      </w:r>
      <w:r w:rsidRPr="007B324D">
        <w:rPr>
          <w:rFonts w:ascii="72 Light" w:eastAsia="72 Light" w:hAnsi="72 Light" w:cs="72 Light"/>
          <w:i/>
          <w:sz w:val="24"/>
          <w:szCs w:val="24"/>
          <w:lang w:val="fr-CA"/>
        </w:rPr>
        <w:t>oi sur l</w:t>
      </w:r>
      <w:r w:rsidR="00935A6C" w:rsidRPr="007B324D">
        <w:rPr>
          <w:rFonts w:ascii="72 Light" w:eastAsia="72 Light" w:hAnsi="72 Light" w:cs="72 Light"/>
          <w:i/>
          <w:sz w:val="24"/>
          <w:szCs w:val="24"/>
          <w:lang w:val="fr-CA"/>
        </w:rPr>
        <w:t>’</w:t>
      </w:r>
      <w:r w:rsidRPr="007B324D">
        <w:rPr>
          <w:rFonts w:ascii="72 Light" w:eastAsia="72 Light" w:hAnsi="72 Light" w:cs="72 Light"/>
          <w:i/>
          <w:sz w:val="24"/>
          <w:szCs w:val="24"/>
          <w:lang w:val="fr-CA"/>
        </w:rPr>
        <w:t>accès à l</w:t>
      </w:r>
      <w:r w:rsidR="00935A6C" w:rsidRPr="007B324D">
        <w:rPr>
          <w:rFonts w:ascii="72 Light" w:eastAsia="72 Light" w:hAnsi="72 Light" w:cs="72 Light"/>
          <w:i/>
          <w:sz w:val="24"/>
          <w:szCs w:val="24"/>
          <w:lang w:val="fr-CA"/>
        </w:rPr>
        <w:t>’</w:t>
      </w:r>
      <w:r w:rsidRPr="007B324D">
        <w:rPr>
          <w:rFonts w:ascii="72 Light" w:eastAsia="72 Light" w:hAnsi="72 Light" w:cs="72 Light"/>
          <w:i/>
          <w:sz w:val="24"/>
          <w:szCs w:val="24"/>
          <w:lang w:val="fr-CA"/>
        </w:rPr>
        <w:t>information</w:t>
      </w:r>
      <w:r w:rsidRPr="007B324D">
        <w:rPr>
          <w:rFonts w:ascii="72 Light" w:eastAsia="72 Light" w:hAnsi="72 Light" w:cs="72 Light"/>
          <w:sz w:val="24"/>
          <w:szCs w:val="24"/>
          <w:lang w:val="fr-CA"/>
        </w:rPr>
        <w:t xml:space="preserve"> par le Parlement, elles ont fait valoir que </w:t>
      </w:r>
      <w:r w:rsidR="007F260F" w:rsidRPr="007B324D">
        <w:rPr>
          <w:rFonts w:ascii="72 Light" w:eastAsia="72 Light" w:hAnsi="72 Light" w:cs="72 Light"/>
          <w:sz w:val="24"/>
          <w:szCs w:val="24"/>
          <w:lang w:val="fr-CA"/>
        </w:rPr>
        <w:t>l’ébauche du rapport</w:t>
      </w:r>
      <w:r w:rsidRPr="007B324D">
        <w:rPr>
          <w:rFonts w:ascii="72 Light" w:eastAsia="72 Light" w:hAnsi="72 Light" w:cs="72 Light"/>
          <w:sz w:val="24"/>
          <w:szCs w:val="24"/>
          <w:lang w:val="fr-CA"/>
        </w:rPr>
        <w:t xml:space="preserve"> ne reflétait pas </w:t>
      </w:r>
      <w:r w:rsidR="002204F8" w:rsidRPr="007B324D">
        <w:rPr>
          <w:rFonts w:ascii="72 Light" w:eastAsia="72 Light" w:hAnsi="72 Light" w:cs="72 Light"/>
          <w:sz w:val="24"/>
          <w:szCs w:val="24"/>
          <w:lang w:val="fr-CA"/>
        </w:rPr>
        <w:t>plein</w:t>
      </w:r>
      <w:r w:rsidRPr="007B324D">
        <w:rPr>
          <w:rFonts w:ascii="72 Light" w:eastAsia="72 Light" w:hAnsi="72 Light" w:cs="72 Light"/>
          <w:sz w:val="24"/>
          <w:szCs w:val="24"/>
          <w:lang w:val="fr-CA"/>
        </w:rPr>
        <w:t xml:space="preserve">ement les problèmes </w:t>
      </w:r>
      <w:r w:rsidR="002204F8" w:rsidRPr="007B324D">
        <w:rPr>
          <w:rFonts w:ascii="72 Light" w:eastAsia="72 Light" w:hAnsi="72 Light" w:cs="72 Light"/>
          <w:sz w:val="24"/>
          <w:szCs w:val="24"/>
          <w:lang w:val="fr-CA"/>
        </w:rPr>
        <w:t>relev</w:t>
      </w:r>
      <w:r w:rsidRPr="007B324D">
        <w:rPr>
          <w:rFonts w:ascii="72 Light" w:eastAsia="72 Light" w:hAnsi="72 Light" w:cs="72 Light"/>
          <w:sz w:val="24"/>
          <w:szCs w:val="24"/>
          <w:lang w:val="fr-CA"/>
        </w:rPr>
        <w:t xml:space="preserve">és dans la </w:t>
      </w:r>
      <w:r w:rsidR="008B6A71" w:rsidRPr="007B324D">
        <w:rPr>
          <w:rFonts w:ascii="72 Light" w:eastAsia="72 Light" w:hAnsi="72 Light" w:cs="72 Light"/>
          <w:i/>
          <w:iCs/>
          <w:sz w:val="24"/>
          <w:szCs w:val="24"/>
          <w:lang w:val="fr-CA"/>
        </w:rPr>
        <w:t>L</w:t>
      </w:r>
      <w:r w:rsidRPr="007B324D">
        <w:rPr>
          <w:rFonts w:ascii="72 Light" w:eastAsia="72 Light" w:hAnsi="72 Light" w:cs="72 Light"/>
          <w:i/>
          <w:iCs/>
          <w:sz w:val="24"/>
          <w:szCs w:val="24"/>
          <w:lang w:val="fr-CA"/>
        </w:rPr>
        <w:t>oi</w:t>
      </w:r>
      <w:r w:rsidRPr="007B324D">
        <w:rPr>
          <w:rFonts w:ascii="72 Light" w:eastAsia="72 Light" w:hAnsi="72 Light" w:cs="72 Light"/>
          <w:sz w:val="24"/>
          <w:szCs w:val="24"/>
          <w:lang w:val="fr-CA"/>
        </w:rPr>
        <w:t xml:space="preserve"> et dans sa mise en œuvre.</w:t>
      </w:r>
      <w:bookmarkEnd w:id="93"/>
    </w:p>
    <w:p w14:paraId="2CF411E0" w14:textId="6CA97F0F" w:rsidR="005C364F" w:rsidRPr="007B324D" w:rsidRDefault="002204F8" w:rsidP="00F62155">
      <w:pPr>
        <w:keepNext/>
        <w:tabs>
          <w:tab w:val="left" w:pos="3544"/>
        </w:tabs>
        <w:spacing w:before="120" w:line="276" w:lineRule="auto"/>
        <w:ind w:left="284" w:firstLine="0"/>
        <w:jc w:val="both"/>
        <w:rPr>
          <w:rFonts w:ascii="72 Light" w:hAnsi="72 Light" w:cs="72 Light"/>
          <w:bCs/>
          <w:sz w:val="24"/>
          <w:szCs w:val="24"/>
          <w:u w:val="single"/>
          <w:lang w:val="fr-CA"/>
        </w:rPr>
      </w:pPr>
      <w:bookmarkStart w:id="94" w:name="lt_pId093"/>
      <w:r w:rsidRPr="007B324D">
        <w:rPr>
          <w:rFonts w:ascii="72 Light" w:hAnsi="72 Light" w:cs="72 Light"/>
          <w:bCs/>
          <w:sz w:val="24"/>
          <w:szCs w:val="24"/>
          <w:u w:val="single"/>
          <w:lang w:val="fr-CA"/>
        </w:rPr>
        <w:t>Liberté d</w:t>
      </w:r>
      <w:r w:rsidR="00935A6C" w:rsidRPr="007B324D">
        <w:rPr>
          <w:rFonts w:ascii="72 Light" w:hAnsi="72 Light" w:cs="72 Light"/>
          <w:bCs/>
          <w:sz w:val="24"/>
          <w:szCs w:val="24"/>
          <w:u w:val="single"/>
          <w:lang w:val="fr-CA"/>
        </w:rPr>
        <w:t>’</w:t>
      </w:r>
      <w:r w:rsidRPr="007B324D">
        <w:rPr>
          <w:rFonts w:ascii="72 Light" w:hAnsi="72 Light" w:cs="72 Light"/>
          <w:bCs/>
          <w:sz w:val="24"/>
          <w:szCs w:val="24"/>
          <w:u w:val="single"/>
          <w:lang w:val="fr-CA"/>
        </w:rPr>
        <w:t>expression</w:t>
      </w:r>
      <w:bookmarkEnd w:id="94"/>
    </w:p>
    <w:p w14:paraId="5F70DAE2" w14:textId="632C59DE" w:rsidR="00437D20" w:rsidRPr="007B324D" w:rsidRDefault="002A08B3" w:rsidP="00F62155">
      <w:pPr>
        <w:tabs>
          <w:tab w:val="left" w:pos="3544"/>
        </w:tabs>
        <w:spacing w:before="120" w:line="276" w:lineRule="auto"/>
        <w:ind w:left="284" w:firstLine="0"/>
        <w:jc w:val="both"/>
        <w:rPr>
          <w:rFonts w:ascii="72 Light" w:hAnsi="72 Light" w:cs="72 Light"/>
          <w:bCs/>
          <w:sz w:val="24"/>
          <w:szCs w:val="24"/>
          <w:lang w:val="fr-CA"/>
        </w:rPr>
      </w:pPr>
      <w:bookmarkStart w:id="95" w:name="lt_pId094"/>
      <w:r w:rsidRPr="007B324D">
        <w:rPr>
          <w:rFonts w:ascii="72 Light" w:hAnsi="72 Light" w:cs="72 Light"/>
          <w:bCs/>
          <w:sz w:val="24"/>
          <w:szCs w:val="24"/>
          <w:lang w:val="fr-CA"/>
        </w:rPr>
        <w:t>Le Canada a également été encouragé à aborder les questions relatives à la liberté d</w:t>
      </w:r>
      <w:r w:rsidR="00935A6C" w:rsidRPr="007B324D">
        <w:rPr>
          <w:rFonts w:ascii="72 Light" w:hAnsi="72 Light" w:cs="72 Light"/>
          <w:bCs/>
          <w:sz w:val="24"/>
          <w:szCs w:val="24"/>
          <w:lang w:val="fr-CA"/>
        </w:rPr>
        <w:t>’</w:t>
      </w:r>
      <w:r w:rsidRPr="007B324D">
        <w:rPr>
          <w:rFonts w:ascii="72 Light" w:hAnsi="72 Light" w:cs="72 Light"/>
          <w:bCs/>
          <w:sz w:val="24"/>
          <w:szCs w:val="24"/>
          <w:lang w:val="fr-CA"/>
        </w:rPr>
        <w:t>expression</w:t>
      </w:r>
      <w:r w:rsidR="00C51AE9" w:rsidRPr="007B324D">
        <w:rPr>
          <w:rFonts w:ascii="72 Light" w:hAnsi="72 Light" w:cs="72 Light"/>
          <w:bCs/>
          <w:sz w:val="24"/>
          <w:szCs w:val="24"/>
          <w:lang w:val="fr-CA"/>
        </w:rPr>
        <w:t>, particulièrement en ce qui concerne l’exercice de la liberté d’expression par des manifestations pacifiques</w:t>
      </w:r>
      <w:r w:rsidRPr="007B324D">
        <w:rPr>
          <w:rFonts w:ascii="72 Light" w:hAnsi="72 Light" w:cs="72 Light"/>
          <w:bCs/>
          <w:sz w:val="24"/>
          <w:szCs w:val="24"/>
          <w:lang w:val="fr-CA"/>
        </w:rPr>
        <w:t>.</w:t>
      </w:r>
      <w:bookmarkEnd w:id="95"/>
      <w:r w:rsidRPr="007B324D">
        <w:rPr>
          <w:rFonts w:ascii="72 Light" w:hAnsi="72 Light" w:cs="72 Light"/>
          <w:bCs/>
          <w:sz w:val="24"/>
          <w:szCs w:val="24"/>
          <w:lang w:val="fr-CA"/>
        </w:rPr>
        <w:t xml:space="preserve"> </w:t>
      </w:r>
    </w:p>
    <w:p w14:paraId="42DFD30A" w14:textId="165D7A03" w:rsidR="002E43B9" w:rsidRPr="007B324D" w:rsidRDefault="001201CF" w:rsidP="00F62155">
      <w:pPr>
        <w:tabs>
          <w:tab w:val="left" w:pos="3544"/>
        </w:tabs>
        <w:spacing w:before="120" w:line="276" w:lineRule="auto"/>
        <w:ind w:left="284" w:firstLine="0"/>
        <w:jc w:val="both"/>
        <w:rPr>
          <w:rFonts w:ascii="72 Light" w:hAnsi="72 Light" w:cs="72 Light"/>
          <w:bCs/>
          <w:sz w:val="24"/>
          <w:szCs w:val="24"/>
          <w:lang w:val="fr-CA"/>
        </w:rPr>
      </w:pPr>
      <w:r w:rsidRPr="007B324D">
        <w:rPr>
          <w:rFonts w:ascii="72 Light" w:hAnsi="72 Light" w:cs="72 Light"/>
          <w:bCs/>
          <w:sz w:val="24"/>
          <w:szCs w:val="24"/>
          <w:lang w:val="fr-CA"/>
        </w:rPr>
        <w:t>Les organisations ont aussi soulevé des préoccupations accrues à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 xml:space="preserve">égard de la criminalisation des défenseurs autochtones des terres et des eaux qui expriment leur opposition à la construction du pipeline Coastal </w:t>
      </w:r>
      <w:proofErr w:type="spellStart"/>
      <w:r w:rsidRPr="007B324D">
        <w:rPr>
          <w:rFonts w:ascii="72 Light" w:hAnsi="72 Light" w:cs="72 Light"/>
          <w:bCs/>
          <w:sz w:val="24"/>
          <w:szCs w:val="24"/>
          <w:lang w:val="fr-CA"/>
        </w:rPr>
        <w:t>GasLink</w:t>
      </w:r>
      <w:proofErr w:type="spellEnd"/>
      <w:r w:rsidRPr="007B324D">
        <w:rPr>
          <w:rFonts w:ascii="72 Light" w:hAnsi="72 Light" w:cs="72 Light"/>
          <w:bCs/>
          <w:sz w:val="24"/>
          <w:szCs w:val="24"/>
          <w:lang w:val="fr-CA"/>
        </w:rPr>
        <w:t xml:space="preserve"> (CGL), </w:t>
      </w:r>
      <w:r w:rsidR="0074631F" w:rsidRPr="007B324D">
        <w:rPr>
          <w:rFonts w:ascii="72 Light" w:hAnsi="72 Light" w:cs="72 Light"/>
          <w:bCs/>
          <w:sz w:val="24"/>
          <w:szCs w:val="24"/>
          <w:lang w:val="fr-CA"/>
        </w:rPr>
        <w:t>lequel</w:t>
      </w:r>
      <w:r w:rsidRPr="007B324D">
        <w:rPr>
          <w:rFonts w:ascii="72 Light" w:hAnsi="72 Light" w:cs="72 Light"/>
          <w:bCs/>
          <w:sz w:val="24"/>
          <w:szCs w:val="24"/>
          <w:lang w:val="fr-CA"/>
        </w:rPr>
        <w:t xml:space="preserve"> cause des dommages aux rivières de frai du saumon de la Nation des Wet</w:t>
      </w:r>
      <w:r w:rsidR="00935A6C" w:rsidRPr="007B324D">
        <w:rPr>
          <w:rFonts w:ascii="72 Light" w:hAnsi="72 Light" w:cs="72 Light"/>
          <w:bCs/>
          <w:sz w:val="24"/>
          <w:szCs w:val="24"/>
          <w:lang w:val="fr-CA"/>
        </w:rPr>
        <w:t>’</w:t>
      </w:r>
      <w:r w:rsidRPr="007B324D">
        <w:rPr>
          <w:rFonts w:ascii="72 Light" w:hAnsi="72 Light" w:cs="72 Light"/>
          <w:bCs/>
          <w:sz w:val="24"/>
          <w:szCs w:val="24"/>
          <w:lang w:val="fr-CA"/>
        </w:rPr>
        <w:t>suwet</w:t>
      </w:r>
      <w:r w:rsidR="00935A6C" w:rsidRPr="007B324D">
        <w:rPr>
          <w:rFonts w:ascii="72 Light" w:hAnsi="72 Light" w:cs="72 Light"/>
          <w:bCs/>
          <w:sz w:val="24"/>
          <w:szCs w:val="24"/>
          <w:lang w:val="fr-CA"/>
        </w:rPr>
        <w:t>’</w:t>
      </w:r>
      <w:r w:rsidRPr="007B324D">
        <w:rPr>
          <w:rFonts w:ascii="72 Light" w:hAnsi="72 Light" w:cs="72 Light"/>
          <w:bCs/>
          <w:sz w:val="24"/>
          <w:szCs w:val="24"/>
          <w:lang w:val="fr-CA"/>
        </w:rPr>
        <w:t xml:space="preserve">en. Faisant écho aux demandes formulées par les </w:t>
      </w:r>
      <w:r w:rsidR="00C51AE9" w:rsidRPr="007B324D">
        <w:rPr>
          <w:rFonts w:ascii="72 Light" w:hAnsi="72 Light" w:cs="72 Light"/>
          <w:bCs/>
          <w:sz w:val="24"/>
          <w:szCs w:val="24"/>
          <w:lang w:val="fr-CA"/>
        </w:rPr>
        <w:t xml:space="preserve">mécanismes des droits de l’homme </w:t>
      </w:r>
      <w:r w:rsidRPr="007B324D">
        <w:rPr>
          <w:rFonts w:ascii="72 Light" w:hAnsi="72 Light" w:cs="72 Light"/>
          <w:bCs/>
          <w:sz w:val="24"/>
          <w:szCs w:val="24"/>
          <w:lang w:val="fr-CA"/>
        </w:rPr>
        <w:t>de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ONU, y compris le Comité pour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 xml:space="preserve">élimination de la discrimination raciale, </w:t>
      </w:r>
      <w:r w:rsidR="0074631F" w:rsidRPr="007B324D">
        <w:rPr>
          <w:rFonts w:ascii="72 Light" w:hAnsi="72 Light" w:cs="72 Light"/>
          <w:bCs/>
          <w:sz w:val="24"/>
          <w:szCs w:val="24"/>
          <w:lang w:val="fr-CA"/>
        </w:rPr>
        <w:t>elles</w:t>
      </w:r>
      <w:r w:rsidRPr="007B324D">
        <w:rPr>
          <w:rFonts w:ascii="72 Light" w:hAnsi="72 Light" w:cs="72 Light"/>
          <w:bCs/>
          <w:sz w:val="24"/>
          <w:szCs w:val="24"/>
          <w:lang w:val="fr-CA"/>
        </w:rPr>
        <w:t xml:space="preserve"> ont demandé au Canada de retirer les forces policières et de </w:t>
      </w:r>
      <w:r w:rsidRPr="007B324D">
        <w:rPr>
          <w:rFonts w:ascii="72 Light" w:hAnsi="72 Light" w:cs="72 Light"/>
          <w:bCs/>
          <w:sz w:val="24"/>
          <w:szCs w:val="24"/>
          <w:lang w:val="fr-CA"/>
        </w:rPr>
        <w:lastRenderedPageBreak/>
        <w:t>sécurité du territoire des Wet</w:t>
      </w:r>
      <w:r w:rsidR="00935A6C" w:rsidRPr="007B324D">
        <w:rPr>
          <w:rFonts w:ascii="72 Light" w:hAnsi="72 Light" w:cs="72 Light"/>
          <w:bCs/>
          <w:sz w:val="24"/>
          <w:szCs w:val="24"/>
          <w:lang w:val="fr-CA"/>
        </w:rPr>
        <w:t>’</w:t>
      </w:r>
      <w:r w:rsidRPr="007B324D">
        <w:rPr>
          <w:rFonts w:ascii="72 Light" w:hAnsi="72 Light" w:cs="72 Light"/>
          <w:bCs/>
          <w:sz w:val="24"/>
          <w:szCs w:val="24"/>
          <w:lang w:val="fr-CA"/>
        </w:rPr>
        <w:t>suwet</w:t>
      </w:r>
      <w:r w:rsidR="00935A6C" w:rsidRPr="007B324D">
        <w:rPr>
          <w:rFonts w:ascii="72 Light" w:hAnsi="72 Light" w:cs="72 Light"/>
          <w:bCs/>
          <w:sz w:val="24"/>
          <w:szCs w:val="24"/>
          <w:lang w:val="fr-CA"/>
        </w:rPr>
        <w:t>’</w:t>
      </w:r>
      <w:r w:rsidRPr="007B324D">
        <w:rPr>
          <w:rFonts w:ascii="72 Light" w:hAnsi="72 Light" w:cs="72 Light"/>
          <w:bCs/>
          <w:sz w:val="24"/>
          <w:szCs w:val="24"/>
          <w:lang w:val="fr-CA"/>
        </w:rPr>
        <w:t>en afin de protéger les droits des défenseurs des terres et des eaux</w:t>
      </w:r>
      <w:r w:rsidR="0074631F" w:rsidRPr="007B324D">
        <w:rPr>
          <w:rFonts w:ascii="72 Light" w:hAnsi="72 Light" w:cs="72 Light"/>
          <w:bCs/>
          <w:sz w:val="24"/>
          <w:szCs w:val="24"/>
          <w:lang w:val="fr-CA"/>
        </w:rPr>
        <w:t>,</w:t>
      </w:r>
      <w:r w:rsidRPr="007B324D">
        <w:rPr>
          <w:rFonts w:ascii="72 Light" w:hAnsi="72 Light" w:cs="72 Light"/>
          <w:bCs/>
          <w:sz w:val="24"/>
          <w:szCs w:val="24"/>
          <w:lang w:val="fr-CA"/>
        </w:rPr>
        <w:t xml:space="preserve"> et de fournir des renseignements détaillés sur les mesures concrètes qu</w:t>
      </w:r>
      <w:r w:rsidR="00935A6C" w:rsidRPr="007B324D">
        <w:rPr>
          <w:rFonts w:ascii="72 Light" w:hAnsi="72 Light" w:cs="72 Light"/>
          <w:bCs/>
          <w:sz w:val="24"/>
          <w:szCs w:val="24"/>
          <w:lang w:val="fr-CA"/>
        </w:rPr>
        <w:t>’</w:t>
      </w:r>
      <w:r w:rsidRPr="007B324D">
        <w:rPr>
          <w:rFonts w:ascii="72 Light" w:hAnsi="72 Light" w:cs="72 Light"/>
          <w:bCs/>
          <w:sz w:val="24"/>
          <w:szCs w:val="24"/>
          <w:lang w:val="fr-CA"/>
        </w:rPr>
        <w:t>il a prises pour mettre en œuvre les recommandations du Comité pour l</w:t>
      </w:r>
      <w:r w:rsidR="00935A6C" w:rsidRPr="007B324D">
        <w:rPr>
          <w:rFonts w:ascii="72 Light" w:hAnsi="72 Light" w:cs="72 Light"/>
          <w:bCs/>
          <w:sz w:val="24"/>
          <w:szCs w:val="24"/>
          <w:lang w:val="fr-CA"/>
        </w:rPr>
        <w:t>’</w:t>
      </w:r>
      <w:r w:rsidRPr="007B324D">
        <w:rPr>
          <w:rFonts w:ascii="72 Light" w:hAnsi="72 Light" w:cs="72 Light"/>
          <w:bCs/>
          <w:sz w:val="24"/>
          <w:szCs w:val="24"/>
          <w:lang w:val="fr-CA"/>
        </w:rPr>
        <w:t>élimination de discrimination raciale à ce sujet.</w:t>
      </w:r>
    </w:p>
    <w:p w14:paraId="3CA0C52D" w14:textId="42209B06" w:rsidR="008F6576" w:rsidRPr="007B324D" w:rsidRDefault="00D4122B" w:rsidP="00F62155">
      <w:pPr>
        <w:keepNext/>
        <w:tabs>
          <w:tab w:val="left" w:pos="3544"/>
        </w:tabs>
        <w:spacing w:before="120" w:line="276" w:lineRule="auto"/>
        <w:ind w:left="284" w:firstLine="0"/>
        <w:jc w:val="both"/>
        <w:rPr>
          <w:rFonts w:ascii="72 Light" w:hAnsi="72 Light" w:cs="72 Light"/>
          <w:bCs/>
          <w:sz w:val="24"/>
          <w:szCs w:val="24"/>
          <w:u w:val="single"/>
          <w:lang w:val="fr-CA"/>
        </w:rPr>
      </w:pPr>
      <w:bookmarkStart w:id="96" w:name="lt_pId096"/>
      <w:r w:rsidRPr="007B324D">
        <w:rPr>
          <w:rFonts w:ascii="72 Light" w:hAnsi="72 Light" w:cs="72 Light"/>
          <w:bCs/>
          <w:sz w:val="24"/>
          <w:szCs w:val="24"/>
          <w:u w:val="single"/>
          <w:lang w:val="fr-CA"/>
        </w:rPr>
        <w:t xml:space="preserve">Le Canada sur la scène internationale </w:t>
      </w:r>
      <w:r w:rsidR="00E22881" w:rsidRPr="007B324D">
        <w:rPr>
          <w:rFonts w:ascii="72 Light" w:hAnsi="72 Light" w:cs="72 Light"/>
          <w:bCs/>
          <w:sz w:val="24"/>
          <w:szCs w:val="24"/>
          <w:u w:val="single"/>
          <w:lang w:val="fr-CA"/>
        </w:rPr>
        <w:t xml:space="preserve">et les </w:t>
      </w:r>
      <w:r w:rsidR="00E33B57" w:rsidRPr="007B324D">
        <w:rPr>
          <w:rFonts w:ascii="72 Light" w:hAnsi="72 Light" w:cs="72 Light"/>
          <w:bCs/>
          <w:sz w:val="24"/>
          <w:szCs w:val="24"/>
          <w:u w:val="single"/>
          <w:lang w:val="fr-CA"/>
        </w:rPr>
        <w:t>droits de la personne</w:t>
      </w:r>
      <w:bookmarkEnd w:id="96"/>
    </w:p>
    <w:p w14:paraId="7EB9121B" w14:textId="02585F50" w:rsidR="008F6576" w:rsidRPr="007B324D" w:rsidRDefault="00D4122B" w:rsidP="00F62155">
      <w:pPr>
        <w:tabs>
          <w:tab w:val="left" w:pos="3544"/>
        </w:tabs>
        <w:spacing w:before="120" w:line="276" w:lineRule="auto"/>
        <w:ind w:left="284" w:firstLine="0"/>
        <w:jc w:val="both"/>
        <w:rPr>
          <w:rFonts w:ascii="72 Light" w:hAnsi="72 Light" w:cs="72 Light"/>
          <w:bCs/>
          <w:sz w:val="24"/>
          <w:szCs w:val="24"/>
          <w:lang w:val="fr-CA"/>
        </w:rPr>
      </w:pPr>
      <w:bookmarkStart w:id="97" w:name="lt_pId097"/>
      <w:r w:rsidRPr="007B324D">
        <w:rPr>
          <w:rFonts w:ascii="72 Light" w:hAnsi="72 Light" w:cs="72 Light"/>
          <w:bCs/>
          <w:sz w:val="24"/>
          <w:szCs w:val="24"/>
          <w:lang w:val="fr-CA"/>
        </w:rPr>
        <w:t>Le Canada a été encouragé à</w:t>
      </w:r>
      <w:r w:rsidR="004237C5" w:rsidRPr="007B324D">
        <w:rPr>
          <w:rFonts w:ascii="72 Light" w:hAnsi="72 Light" w:cs="72 Light"/>
          <w:bCs/>
          <w:sz w:val="24"/>
          <w:szCs w:val="24"/>
          <w:lang w:val="fr-CA"/>
        </w:rPr>
        <w:t xml:space="preserve"> mettre en œuvre une politique d</w:t>
      </w:r>
      <w:r w:rsidR="00935A6C" w:rsidRPr="007B324D">
        <w:rPr>
          <w:rFonts w:ascii="72 Light" w:hAnsi="72 Light" w:cs="72 Light"/>
          <w:bCs/>
          <w:sz w:val="24"/>
          <w:szCs w:val="24"/>
          <w:lang w:val="fr-CA"/>
        </w:rPr>
        <w:t>’</w:t>
      </w:r>
      <w:r w:rsidRPr="007B324D">
        <w:rPr>
          <w:rFonts w:ascii="72 Light" w:hAnsi="72 Light" w:cs="72 Light"/>
          <w:bCs/>
          <w:sz w:val="24"/>
          <w:szCs w:val="24"/>
          <w:lang w:val="fr-CA"/>
        </w:rPr>
        <w:t xml:space="preserve">aide au développement fondée sur une vision à long terme afin de renforcer la protection des </w:t>
      </w:r>
      <w:r w:rsidR="00E33B57" w:rsidRPr="007B324D">
        <w:rPr>
          <w:rFonts w:ascii="72 Light" w:hAnsi="72 Light" w:cs="72 Light"/>
          <w:bCs/>
          <w:sz w:val="24"/>
          <w:szCs w:val="24"/>
          <w:lang w:val="fr-CA"/>
        </w:rPr>
        <w:t>droits de la personne</w:t>
      </w:r>
      <w:r w:rsidRPr="007B324D">
        <w:rPr>
          <w:rFonts w:ascii="72 Light" w:hAnsi="72 Light" w:cs="72 Light"/>
          <w:bCs/>
          <w:sz w:val="24"/>
          <w:szCs w:val="24"/>
          <w:lang w:val="fr-CA"/>
        </w:rPr>
        <w:t xml:space="preserve"> dans les États fragiles et touchés par des conflits, en particulier les droits des femmes.</w:t>
      </w:r>
      <w:bookmarkEnd w:id="97"/>
    </w:p>
    <w:p w14:paraId="37B52D89" w14:textId="23501EF7" w:rsidR="00437D20" w:rsidRPr="007B324D" w:rsidRDefault="00437D20" w:rsidP="00F62155">
      <w:pPr>
        <w:tabs>
          <w:tab w:val="left" w:pos="3544"/>
        </w:tabs>
        <w:spacing w:before="120" w:line="276" w:lineRule="auto"/>
        <w:jc w:val="both"/>
        <w:rPr>
          <w:rFonts w:ascii="72 Light" w:hAnsi="72 Light" w:cs="72 Light"/>
          <w:sz w:val="24"/>
          <w:szCs w:val="24"/>
          <w:lang w:val="fr-CA"/>
        </w:rPr>
      </w:pPr>
    </w:p>
    <w:sectPr w:rsidR="00437D20" w:rsidRPr="007B324D" w:rsidSect="00AF3D29">
      <w:footerReference w:type="default" r:id="rId18"/>
      <w:endnotePr>
        <w:numFmt w:val="decimal"/>
      </w:endnotePr>
      <w:pgSz w:w="12240" w:h="15840"/>
      <w:pgMar w:top="993"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862AA" w14:textId="77777777" w:rsidR="002B2F57" w:rsidRDefault="002B2F57" w:rsidP="00C6396D">
      <w:pPr>
        <w:spacing w:after="0"/>
      </w:pPr>
      <w:r>
        <w:separator/>
      </w:r>
    </w:p>
  </w:endnote>
  <w:endnote w:type="continuationSeparator" w:id="0">
    <w:p w14:paraId="7850C18C" w14:textId="77777777" w:rsidR="002B2F57" w:rsidRDefault="002B2F57" w:rsidP="00C6396D">
      <w:pPr>
        <w:spacing w:after="0"/>
      </w:pPr>
      <w:r>
        <w:continuationSeparator/>
      </w:r>
    </w:p>
  </w:endnote>
  <w:endnote w:type="continuationNotice" w:id="1">
    <w:p w14:paraId="13F5ED5D" w14:textId="77777777" w:rsidR="002B2F57" w:rsidRDefault="002B2F5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72 Light">
    <w:altName w:val="Calibri"/>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72 Light" w:hAnsi="72 Light" w:cs="72 Light"/>
        <w:sz w:val="20"/>
        <w:szCs w:val="20"/>
      </w:rPr>
      <w:id w:val="-1576963328"/>
      <w:docPartObj>
        <w:docPartGallery w:val="Page Numbers (Bottom of Page)"/>
        <w:docPartUnique/>
      </w:docPartObj>
    </w:sdtPr>
    <w:sdtEndPr>
      <w:rPr>
        <w:noProof/>
      </w:rPr>
    </w:sdtEndPr>
    <w:sdtContent>
      <w:p w14:paraId="67BF61FB" w14:textId="0F580D09" w:rsidR="002831FE" w:rsidRPr="0089644A" w:rsidRDefault="00D4122B" w:rsidP="0089644A">
        <w:pPr>
          <w:pStyle w:val="Footer"/>
          <w:jc w:val="center"/>
          <w:rPr>
            <w:rFonts w:ascii="72 Light" w:hAnsi="72 Light" w:cs="72 Light"/>
            <w:sz w:val="20"/>
            <w:szCs w:val="20"/>
          </w:rPr>
        </w:pPr>
        <w:r w:rsidRPr="0089644A">
          <w:rPr>
            <w:rFonts w:ascii="72 Light" w:hAnsi="72 Light" w:cs="72 Light"/>
            <w:sz w:val="20"/>
            <w:szCs w:val="20"/>
          </w:rPr>
          <w:fldChar w:fldCharType="begin"/>
        </w:r>
        <w:r w:rsidRPr="0089644A">
          <w:rPr>
            <w:rFonts w:ascii="72 Light" w:hAnsi="72 Light" w:cs="72 Light"/>
            <w:sz w:val="20"/>
            <w:szCs w:val="20"/>
          </w:rPr>
          <w:instrText xml:space="preserve"> PAGE   \* MERGEFORMAT </w:instrText>
        </w:r>
        <w:r w:rsidRPr="0089644A">
          <w:rPr>
            <w:rFonts w:ascii="72 Light" w:hAnsi="72 Light" w:cs="72 Light"/>
            <w:sz w:val="20"/>
            <w:szCs w:val="20"/>
          </w:rPr>
          <w:fldChar w:fldCharType="separate"/>
        </w:r>
        <w:r w:rsidR="003934D9" w:rsidRPr="0089644A">
          <w:rPr>
            <w:rFonts w:ascii="72 Light" w:hAnsi="72 Light" w:cs="72 Light"/>
            <w:noProof/>
            <w:sz w:val="20"/>
            <w:szCs w:val="20"/>
          </w:rPr>
          <w:t>9</w:t>
        </w:r>
        <w:r w:rsidRPr="0089644A">
          <w:rPr>
            <w:rFonts w:ascii="72 Light" w:hAnsi="72 Light" w:cs="72 Light"/>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E17C" w14:textId="77777777" w:rsidR="002B2F57" w:rsidRDefault="002B2F57" w:rsidP="00C6396D">
      <w:pPr>
        <w:spacing w:after="0"/>
      </w:pPr>
      <w:r>
        <w:separator/>
      </w:r>
    </w:p>
  </w:footnote>
  <w:footnote w:type="continuationSeparator" w:id="0">
    <w:p w14:paraId="7CF7F8C1" w14:textId="77777777" w:rsidR="002B2F57" w:rsidRDefault="002B2F57" w:rsidP="00C6396D">
      <w:pPr>
        <w:spacing w:after="0"/>
      </w:pPr>
      <w:r>
        <w:continuationSeparator/>
      </w:r>
    </w:p>
  </w:footnote>
  <w:footnote w:type="continuationNotice" w:id="1">
    <w:p w14:paraId="6B1FA96E" w14:textId="77777777" w:rsidR="002B2F57" w:rsidRDefault="002B2F57">
      <w:pPr>
        <w:spacing w:before="0" w:after="0"/>
      </w:pPr>
    </w:p>
  </w:footnote>
  <w:footnote w:id="2">
    <w:p w14:paraId="5EF947CE" w14:textId="13F9D94A" w:rsidR="00D95F73" w:rsidRPr="00B52CE7" w:rsidRDefault="00D95F73" w:rsidP="00D95F73">
      <w:pPr>
        <w:pStyle w:val="FootnoteText"/>
        <w:spacing w:line="276" w:lineRule="auto"/>
        <w:ind w:left="284" w:hanging="284"/>
        <w:jc w:val="both"/>
        <w:rPr>
          <w:rFonts w:ascii="72 Light" w:hAnsi="72 Light" w:cs="72 Light"/>
          <w:lang w:val="fr-CA"/>
        </w:rPr>
      </w:pPr>
      <w:r>
        <w:rPr>
          <w:rStyle w:val="FootnoteReference"/>
        </w:rPr>
        <w:footnoteRef/>
      </w:r>
      <w:r w:rsidRPr="00884E33">
        <w:rPr>
          <w:rFonts w:ascii="72 Light" w:hAnsi="72 Light" w:cs="72 Light"/>
          <w:lang w:val="fr-CA"/>
        </w:rPr>
        <w:t xml:space="preserve"> </w:t>
      </w:r>
      <w:r w:rsidRPr="00B52CE7">
        <w:rPr>
          <w:rFonts w:ascii="72 Light" w:hAnsi="72 Light" w:cs="72 Light"/>
          <w:lang w:val="fr-CA"/>
        </w:rPr>
        <w:tab/>
      </w:r>
      <w:r w:rsidRPr="00B52CE7">
        <w:rPr>
          <w:rFonts w:ascii="72 Light" w:hAnsi="72 Light"/>
          <w:lang w:val="fr-CA"/>
        </w:rPr>
        <w:t>Organisations qui ont soumis des commentaires, par ordre alphabétique : Amnistie Internationale Canada, Amnistie Internationale Francophone, Avocats sans frontières Canada, Barbra Schlifer Commemorative Clinic, Coalition of Experiential Communities de la Colombie-Britannique, Canadian Network on Corporate Accountability, Canadian Poverty Institute, Centre for Israel and Jewish Affairs, Centre for Law and Democracy, Commission ontarienne des droits de la personne</w:t>
      </w:r>
      <w:r>
        <w:rPr>
          <w:rFonts w:ascii="72 Light" w:hAnsi="72 Light"/>
          <w:lang w:val="fr-CA"/>
        </w:rPr>
        <w:t xml:space="preserve">, </w:t>
      </w:r>
      <w:r w:rsidRPr="00B52CE7">
        <w:rPr>
          <w:rFonts w:ascii="72 Light" w:hAnsi="72 Light"/>
          <w:lang w:val="fr-CA"/>
        </w:rPr>
        <w:t>Femmes Autochtones du Québec Inc., Fondation Émergence, Mosaic Institute, Peacemakers Trust Canada</w:t>
      </w:r>
      <w:r w:rsidR="001E702F">
        <w:rPr>
          <w:rFonts w:ascii="72 Light" w:hAnsi="72 Light"/>
          <w:lang w:val="fr-CA"/>
        </w:rPr>
        <w:t>,</w:t>
      </w:r>
      <w:r w:rsidRPr="00B52CE7">
        <w:rPr>
          <w:rFonts w:ascii="72 Light" w:hAnsi="72 Light"/>
          <w:lang w:val="fr-CA"/>
        </w:rPr>
        <w:t xml:space="preserve"> et Prisoners’ Legal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DD8"/>
    <w:multiLevelType w:val="hybridMultilevel"/>
    <w:tmpl w:val="5366C6FE"/>
    <w:lvl w:ilvl="0" w:tplc="71927A84">
      <w:start w:val="1"/>
      <w:numFmt w:val="bullet"/>
      <w:pStyle w:val="Point12"/>
      <w:lvlText w:val="●"/>
      <w:lvlJc w:val="left"/>
      <w:pPr>
        <w:ind w:left="360" w:hanging="360"/>
      </w:pPr>
      <w:rPr>
        <w:rFonts w:ascii="Times New Roman" w:hAnsi="Times New Roman" w:cs="Times New Roman" w:hint="default"/>
      </w:rPr>
    </w:lvl>
    <w:lvl w:ilvl="1" w:tplc="C0DAFEF8" w:tentative="1">
      <w:start w:val="1"/>
      <w:numFmt w:val="bullet"/>
      <w:lvlText w:val="o"/>
      <w:lvlJc w:val="left"/>
      <w:pPr>
        <w:ind w:left="1080" w:hanging="360"/>
      </w:pPr>
      <w:rPr>
        <w:rFonts w:ascii="Courier New" w:hAnsi="Courier New" w:cs="Courier New" w:hint="default"/>
      </w:rPr>
    </w:lvl>
    <w:lvl w:ilvl="2" w:tplc="3C923366" w:tentative="1">
      <w:start w:val="1"/>
      <w:numFmt w:val="bullet"/>
      <w:lvlText w:val=""/>
      <w:lvlJc w:val="left"/>
      <w:pPr>
        <w:ind w:left="1800" w:hanging="360"/>
      </w:pPr>
      <w:rPr>
        <w:rFonts w:ascii="Wingdings" w:hAnsi="Wingdings" w:hint="default"/>
      </w:rPr>
    </w:lvl>
    <w:lvl w:ilvl="3" w:tplc="50EAA638" w:tentative="1">
      <w:start w:val="1"/>
      <w:numFmt w:val="bullet"/>
      <w:lvlText w:val=""/>
      <w:lvlJc w:val="left"/>
      <w:pPr>
        <w:ind w:left="2520" w:hanging="360"/>
      </w:pPr>
      <w:rPr>
        <w:rFonts w:ascii="Symbol" w:hAnsi="Symbol" w:hint="default"/>
      </w:rPr>
    </w:lvl>
    <w:lvl w:ilvl="4" w:tplc="1B00556C" w:tentative="1">
      <w:start w:val="1"/>
      <w:numFmt w:val="bullet"/>
      <w:lvlText w:val="o"/>
      <w:lvlJc w:val="left"/>
      <w:pPr>
        <w:ind w:left="3240" w:hanging="360"/>
      </w:pPr>
      <w:rPr>
        <w:rFonts w:ascii="Courier New" w:hAnsi="Courier New" w:cs="Courier New" w:hint="default"/>
      </w:rPr>
    </w:lvl>
    <w:lvl w:ilvl="5" w:tplc="6DDE3B50" w:tentative="1">
      <w:start w:val="1"/>
      <w:numFmt w:val="bullet"/>
      <w:lvlText w:val=""/>
      <w:lvlJc w:val="left"/>
      <w:pPr>
        <w:ind w:left="3960" w:hanging="360"/>
      </w:pPr>
      <w:rPr>
        <w:rFonts w:ascii="Wingdings" w:hAnsi="Wingdings" w:hint="default"/>
      </w:rPr>
    </w:lvl>
    <w:lvl w:ilvl="6" w:tplc="CD3C2F98" w:tentative="1">
      <w:start w:val="1"/>
      <w:numFmt w:val="bullet"/>
      <w:lvlText w:val=""/>
      <w:lvlJc w:val="left"/>
      <w:pPr>
        <w:ind w:left="4680" w:hanging="360"/>
      </w:pPr>
      <w:rPr>
        <w:rFonts w:ascii="Symbol" w:hAnsi="Symbol" w:hint="default"/>
      </w:rPr>
    </w:lvl>
    <w:lvl w:ilvl="7" w:tplc="2DE6550A" w:tentative="1">
      <w:start w:val="1"/>
      <w:numFmt w:val="bullet"/>
      <w:lvlText w:val="o"/>
      <w:lvlJc w:val="left"/>
      <w:pPr>
        <w:ind w:left="5400" w:hanging="360"/>
      </w:pPr>
      <w:rPr>
        <w:rFonts w:ascii="Courier New" w:hAnsi="Courier New" w:cs="Courier New" w:hint="default"/>
      </w:rPr>
    </w:lvl>
    <w:lvl w:ilvl="8" w:tplc="EB98E5DA" w:tentative="1">
      <w:start w:val="1"/>
      <w:numFmt w:val="bullet"/>
      <w:lvlText w:val=""/>
      <w:lvlJc w:val="left"/>
      <w:pPr>
        <w:ind w:left="6120" w:hanging="360"/>
      </w:pPr>
      <w:rPr>
        <w:rFonts w:ascii="Wingdings" w:hAnsi="Wingdings" w:hint="default"/>
      </w:rPr>
    </w:lvl>
  </w:abstractNum>
  <w:abstractNum w:abstractNumId="1" w15:restartNumberingAfterBreak="0">
    <w:nsid w:val="7A986908"/>
    <w:multiLevelType w:val="hybridMultilevel"/>
    <w:tmpl w:val="98160C18"/>
    <w:lvl w:ilvl="0" w:tplc="FB7A065E">
      <w:start w:val="1"/>
      <w:numFmt w:val="decimal"/>
      <w:lvlText w:val="%1)"/>
      <w:lvlJc w:val="left"/>
      <w:pPr>
        <w:ind w:left="643" w:hanging="360"/>
      </w:pPr>
      <w:rPr>
        <w:rFonts w:hint="default"/>
      </w:rPr>
    </w:lvl>
    <w:lvl w:ilvl="1" w:tplc="94DEA310">
      <w:start w:val="1"/>
      <w:numFmt w:val="lowerLetter"/>
      <w:lvlText w:val="%2."/>
      <w:lvlJc w:val="left"/>
      <w:pPr>
        <w:ind w:left="1363" w:hanging="360"/>
      </w:pPr>
    </w:lvl>
    <w:lvl w:ilvl="2" w:tplc="2A626764">
      <w:start w:val="1"/>
      <w:numFmt w:val="lowerRoman"/>
      <w:lvlText w:val="%3."/>
      <w:lvlJc w:val="right"/>
      <w:pPr>
        <w:ind w:left="2083" w:hanging="180"/>
      </w:pPr>
    </w:lvl>
    <w:lvl w:ilvl="3" w:tplc="C882AC2C" w:tentative="1">
      <w:start w:val="1"/>
      <w:numFmt w:val="decimal"/>
      <w:lvlText w:val="%4."/>
      <w:lvlJc w:val="left"/>
      <w:pPr>
        <w:ind w:left="2803" w:hanging="360"/>
      </w:pPr>
    </w:lvl>
    <w:lvl w:ilvl="4" w:tplc="95BA8014" w:tentative="1">
      <w:start w:val="1"/>
      <w:numFmt w:val="lowerLetter"/>
      <w:lvlText w:val="%5."/>
      <w:lvlJc w:val="left"/>
      <w:pPr>
        <w:ind w:left="3523" w:hanging="360"/>
      </w:pPr>
    </w:lvl>
    <w:lvl w:ilvl="5" w:tplc="0212D736" w:tentative="1">
      <w:start w:val="1"/>
      <w:numFmt w:val="lowerRoman"/>
      <w:lvlText w:val="%6."/>
      <w:lvlJc w:val="right"/>
      <w:pPr>
        <w:ind w:left="4243" w:hanging="180"/>
      </w:pPr>
    </w:lvl>
    <w:lvl w:ilvl="6" w:tplc="DA7ED654" w:tentative="1">
      <w:start w:val="1"/>
      <w:numFmt w:val="decimal"/>
      <w:lvlText w:val="%7."/>
      <w:lvlJc w:val="left"/>
      <w:pPr>
        <w:ind w:left="4963" w:hanging="360"/>
      </w:pPr>
    </w:lvl>
    <w:lvl w:ilvl="7" w:tplc="FA1E066E" w:tentative="1">
      <w:start w:val="1"/>
      <w:numFmt w:val="lowerLetter"/>
      <w:lvlText w:val="%8."/>
      <w:lvlJc w:val="left"/>
      <w:pPr>
        <w:ind w:left="5683" w:hanging="360"/>
      </w:pPr>
    </w:lvl>
    <w:lvl w:ilvl="8" w:tplc="FA3EDDD2" w:tentative="1">
      <w:start w:val="1"/>
      <w:numFmt w:val="lowerRoman"/>
      <w:lvlText w:val="%9."/>
      <w:lvlJc w:val="right"/>
      <w:pPr>
        <w:ind w:left="6403" w:hanging="180"/>
      </w:pPr>
    </w:lvl>
  </w:abstractNum>
  <w:num w:numId="1" w16cid:durableId="769202088">
    <w:abstractNumId w:val="1"/>
  </w:num>
  <w:num w:numId="2" w16cid:durableId="150878552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2E"/>
    <w:rsid w:val="00000437"/>
    <w:rsid w:val="0000076E"/>
    <w:rsid w:val="00000C72"/>
    <w:rsid w:val="00001833"/>
    <w:rsid w:val="00001B17"/>
    <w:rsid w:val="00002A73"/>
    <w:rsid w:val="000031EF"/>
    <w:rsid w:val="000034AF"/>
    <w:rsid w:val="00003E13"/>
    <w:rsid w:val="0000413C"/>
    <w:rsid w:val="000048CB"/>
    <w:rsid w:val="00004BFD"/>
    <w:rsid w:val="0000553E"/>
    <w:rsid w:val="00005B25"/>
    <w:rsid w:val="000065FF"/>
    <w:rsid w:val="00006DA4"/>
    <w:rsid w:val="000076B2"/>
    <w:rsid w:val="00007FD1"/>
    <w:rsid w:val="000102B0"/>
    <w:rsid w:val="000114AA"/>
    <w:rsid w:val="0001299F"/>
    <w:rsid w:val="00012B1B"/>
    <w:rsid w:val="00012FCD"/>
    <w:rsid w:val="0001332F"/>
    <w:rsid w:val="00016189"/>
    <w:rsid w:val="0001631B"/>
    <w:rsid w:val="000165E7"/>
    <w:rsid w:val="00016642"/>
    <w:rsid w:val="00016E3F"/>
    <w:rsid w:val="0001702D"/>
    <w:rsid w:val="00020679"/>
    <w:rsid w:val="00021B99"/>
    <w:rsid w:val="00022EA5"/>
    <w:rsid w:val="00022EDB"/>
    <w:rsid w:val="00023A24"/>
    <w:rsid w:val="00023AC7"/>
    <w:rsid w:val="00024558"/>
    <w:rsid w:val="00026166"/>
    <w:rsid w:val="0002670B"/>
    <w:rsid w:val="00026C0A"/>
    <w:rsid w:val="00027204"/>
    <w:rsid w:val="00030CED"/>
    <w:rsid w:val="00031989"/>
    <w:rsid w:val="00031A5F"/>
    <w:rsid w:val="00031BBA"/>
    <w:rsid w:val="00032237"/>
    <w:rsid w:val="00032F89"/>
    <w:rsid w:val="00033284"/>
    <w:rsid w:val="00033471"/>
    <w:rsid w:val="00033A37"/>
    <w:rsid w:val="00033E4C"/>
    <w:rsid w:val="00035026"/>
    <w:rsid w:val="000353DB"/>
    <w:rsid w:val="0003679A"/>
    <w:rsid w:val="0004073E"/>
    <w:rsid w:val="00040D9A"/>
    <w:rsid w:val="0004152C"/>
    <w:rsid w:val="00041614"/>
    <w:rsid w:val="000417F3"/>
    <w:rsid w:val="00042681"/>
    <w:rsid w:val="000429E8"/>
    <w:rsid w:val="00042C3C"/>
    <w:rsid w:val="00043253"/>
    <w:rsid w:val="00044F95"/>
    <w:rsid w:val="00045BDF"/>
    <w:rsid w:val="000517CE"/>
    <w:rsid w:val="00051A38"/>
    <w:rsid w:val="00051B1B"/>
    <w:rsid w:val="000522F1"/>
    <w:rsid w:val="000527F7"/>
    <w:rsid w:val="00053193"/>
    <w:rsid w:val="0005392C"/>
    <w:rsid w:val="00053FCD"/>
    <w:rsid w:val="000544D3"/>
    <w:rsid w:val="000546A5"/>
    <w:rsid w:val="0005478C"/>
    <w:rsid w:val="00054D95"/>
    <w:rsid w:val="000554A3"/>
    <w:rsid w:val="00055C14"/>
    <w:rsid w:val="000568AD"/>
    <w:rsid w:val="0005717D"/>
    <w:rsid w:val="000573C6"/>
    <w:rsid w:val="00057B4D"/>
    <w:rsid w:val="00057F2D"/>
    <w:rsid w:val="0006041E"/>
    <w:rsid w:val="00060B00"/>
    <w:rsid w:val="00060F16"/>
    <w:rsid w:val="00061F06"/>
    <w:rsid w:val="00064B99"/>
    <w:rsid w:val="00064CED"/>
    <w:rsid w:val="00064D6A"/>
    <w:rsid w:val="000654F2"/>
    <w:rsid w:val="000669D0"/>
    <w:rsid w:val="00066A75"/>
    <w:rsid w:val="00067044"/>
    <w:rsid w:val="00067E3E"/>
    <w:rsid w:val="00067E72"/>
    <w:rsid w:val="00070750"/>
    <w:rsid w:val="00071666"/>
    <w:rsid w:val="000723B4"/>
    <w:rsid w:val="00072485"/>
    <w:rsid w:val="0007262E"/>
    <w:rsid w:val="000727B6"/>
    <w:rsid w:val="00073119"/>
    <w:rsid w:val="00073B51"/>
    <w:rsid w:val="000749F9"/>
    <w:rsid w:val="00074EC4"/>
    <w:rsid w:val="00075717"/>
    <w:rsid w:val="000759C3"/>
    <w:rsid w:val="00075A08"/>
    <w:rsid w:val="0007715A"/>
    <w:rsid w:val="000772A6"/>
    <w:rsid w:val="00077F46"/>
    <w:rsid w:val="000801B3"/>
    <w:rsid w:val="000805A3"/>
    <w:rsid w:val="00080A2C"/>
    <w:rsid w:val="0008146B"/>
    <w:rsid w:val="000814A3"/>
    <w:rsid w:val="00081608"/>
    <w:rsid w:val="0008446F"/>
    <w:rsid w:val="00084905"/>
    <w:rsid w:val="00085763"/>
    <w:rsid w:val="000859DA"/>
    <w:rsid w:val="00086826"/>
    <w:rsid w:val="000868F1"/>
    <w:rsid w:val="0009018E"/>
    <w:rsid w:val="00090308"/>
    <w:rsid w:val="00091030"/>
    <w:rsid w:val="0009164C"/>
    <w:rsid w:val="00091F48"/>
    <w:rsid w:val="00092678"/>
    <w:rsid w:val="000927A1"/>
    <w:rsid w:val="00092918"/>
    <w:rsid w:val="00095A63"/>
    <w:rsid w:val="000961B8"/>
    <w:rsid w:val="000969FB"/>
    <w:rsid w:val="00096D94"/>
    <w:rsid w:val="0009711B"/>
    <w:rsid w:val="00097311"/>
    <w:rsid w:val="000979AC"/>
    <w:rsid w:val="00097C52"/>
    <w:rsid w:val="00097ECD"/>
    <w:rsid w:val="000A07FF"/>
    <w:rsid w:val="000A15DA"/>
    <w:rsid w:val="000A15F7"/>
    <w:rsid w:val="000A1A86"/>
    <w:rsid w:val="000A1DEE"/>
    <w:rsid w:val="000A2C89"/>
    <w:rsid w:val="000A2D13"/>
    <w:rsid w:val="000A2F90"/>
    <w:rsid w:val="000A2FBF"/>
    <w:rsid w:val="000A3277"/>
    <w:rsid w:val="000A33FA"/>
    <w:rsid w:val="000A3D48"/>
    <w:rsid w:val="000A4216"/>
    <w:rsid w:val="000A5080"/>
    <w:rsid w:val="000A5171"/>
    <w:rsid w:val="000A537A"/>
    <w:rsid w:val="000A5D13"/>
    <w:rsid w:val="000A6038"/>
    <w:rsid w:val="000A6D0D"/>
    <w:rsid w:val="000A6E52"/>
    <w:rsid w:val="000A77F2"/>
    <w:rsid w:val="000A78C8"/>
    <w:rsid w:val="000A7ABD"/>
    <w:rsid w:val="000A7BF1"/>
    <w:rsid w:val="000B1C04"/>
    <w:rsid w:val="000B1FBE"/>
    <w:rsid w:val="000B2A59"/>
    <w:rsid w:val="000B309A"/>
    <w:rsid w:val="000B36FB"/>
    <w:rsid w:val="000B36FF"/>
    <w:rsid w:val="000B376F"/>
    <w:rsid w:val="000B3B7C"/>
    <w:rsid w:val="000B442F"/>
    <w:rsid w:val="000B451F"/>
    <w:rsid w:val="000B4F35"/>
    <w:rsid w:val="000B57D6"/>
    <w:rsid w:val="000B7054"/>
    <w:rsid w:val="000B7521"/>
    <w:rsid w:val="000B7CBF"/>
    <w:rsid w:val="000C0A24"/>
    <w:rsid w:val="000C1329"/>
    <w:rsid w:val="000C1C0D"/>
    <w:rsid w:val="000C1D96"/>
    <w:rsid w:val="000C1F00"/>
    <w:rsid w:val="000C2706"/>
    <w:rsid w:val="000C35A0"/>
    <w:rsid w:val="000C3695"/>
    <w:rsid w:val="000C36AC"/>
    <w:rsid w:val="000C3CFD"/>
    <w:rsid w:val="000C47FF"/>
    <w:rsid w:val="000C683A"/>
    <w:rsid w:val="000C69A6"/>
    <w:rsid w:val="000C7130"/>
    <w:rsid w:val="000C7395"/>
    <w:rsid w:val="000C7B57"/>
    <w:rsid w:val="000D11B0"/>
    <w:rsid w:val="000D16D5"/>
    <w:rsid w:val="000D1F3A"/>
    <w:rsid w:val="000D1F47"/>
    <w:rsid w:val="000D2AE3"/>
    <w:rsid w:val="000D2AE6"/>
    <w:rsid w:val="000D3027"/>
    <w:rsid w:val="000D43FC"/>
    <w:rsid w:val="000D4AEC"/>
    <w:rsid w:val="000D4D20"/>
    <w:rsid w:val="000D5650"/>
    <w:rsid w:val="000D57E3"/>
    <w:rsid w:val="000D5BB8"/>
    <w:rsid w:val="000D5ED3"/>
    <w:rsid w:val="000D7319"/>
    <w:rsid w:val="000D75A4"/>
    <w:rsid w:val="000E136F"/>
    <w:rsid w:val="000E187F"/>
    <w:rsid w:val="000E3794"/>
    <w:rsid w:val="000E4478"/>
    <w:rsid w:val="000E4FF6"/>
    <w:rsid w:val="000E5023"/>
    <w:rsid w:val="000E516B"/>
    <w:rsid w:val="000E5A4C"/>
    <w:rsid w:val="000E5B68"/>
    <w:rsid w:val="000E7E8A"/>
    <w:rsid w:val="000F0792"/>
    <w:rsid w:val="000F0F06"/>
    <w:rsid w:val="000F1509"/>
    <w:rsid w:val="000F1522"/>
    <w:rsid w:val="000F2054"/>
    <w:rsid w:val="000F24C1"/>
    <w:rsid w:val="000F29B3"/>
    <w:rsid w:val="000F2A8D"/>
    <w:rsid w:val="000F37B9"/>
    <w:rsid w:val="000F394F"/>
    <w:rsid w:val="000F460D"/>
    <w:rsid w:val="000F5745"/>
    <w:rsid w:val="000F5948"/>
    <w:rsid w:val="000F5B83"/>
    <w:rsid w:val="000F60FE"/>
    <w:rsid w:val="000F6117"/>
    <w:rsid w:val="000F7918"/>
    <w:rsid w:val="000F7AA2"/>
    <w:rsid w:val="001009D9"/>
    <w:rsid w:val="00100CA9"/>
    <w:rsid w:val="001015A9"/>
    <w:rsid w:val="00102DB3"/>
    <w:rsid w:val="00102EDA"/>
    <w:rsid w:val="0010360F"/>
    <w:rsid w:val="00104096"/>
    <w:rsid w:val="00104280"/>
    <w:rsid w:val="00104321"/>
    <w:rsid w:val="00104510"/>
    <w:rsid w:val="00104A89"/>
    <w:rsid w:val="00105155"/>
    <w:rsid w:val="00105262"/>
    <w:rsid w:val="00105996"/>
    <w:rsid w:val="00105CAA"/>
    <w:rsid w:val="001063F0"/>
    <w:rsid w:val="00106CB8"/>
    <w:rsid w:val="00106E8D"/>
    <w:rsid w:val="00106FAF"/>
    <w:rsid w:val="00107EBD"/>
    <w:rsid w:val="0011016D"/>
    <w:rsid w:val="00110701"/>
    <w:rsid w:val="0011086C"/>
    <w:rsid w:val="00110A2F"/>
    <w:rsid w:val="00111F17"/>
    <w:rsid w:val="00112C96"/>
    <w:rsid w:val="00112F00"/>
    <w:rsid w:val="0011306C"/>
    <w:rsid w:val="00113495"/>
    <w:rsid w:val="00113E77"/>
    <w:rsid w:val="00113F2E"/>
    <w:rsid w:val="001143CC"/>
    <w:rsid w:val="00115124"/>
    <w:rsid w:val="001163CA"/>
    <w:rsid w:val="00116624"/>
    <w:rsid w:val="00116C98"/>
    <w:rsid w:val="00116E43"/>
    <w:rsid w:val="001171E1"/>
    <w:rsid w:val="00117407"/>
    <w:rsid w:val="00120029"/>
    <w:rsid w:val="001201CF"/>
    <w:rsid w:val="00120CA0"/>
    <w:rsid w:val="00122C39"/>
    <w:rsid w:val="001239FB"/>
    <w:rsid w:val="00124047"/>
    <w:rsid w:val="00124903"/>
    <w:rsid w:val="00124C65"/>
    <w:rsid w:val="00124DB4"/>
    <w:rsid w:val="00124F24"/>
    <w:rsid w:val="001250B6"/>
    <w:rsid w:val="001252B4"/>
    <w:rsid w:val="0012564C"/>
    <w:rsid w:val="0012570D"/>
    <w:rsid w:val="00126B0F"/>
    <w:rsid w:val="00127C33"/>
    <w:rsid w:val="001301F4"/>
    <w:rsid w:val="00130696"/>
    <w:rsid w:val="001311B9"/>
    <w:rsid w:val="00131CC1"/>
    <w:rsid w:val="001328B2"/>
    <w:rsid w:val="001336DF"/>
    <w:rsid w:val="00133892"/>
    <w:rsid w:val="00133E68"/>
    <w:rsid w:val="0013502C"/>
    <w:rsid w:val="001362DF"/>
    <w:rsid w:val="00136738"/>
    <w:rsid w:val="0014019D"/>
    <w:rsid w:val="00141C71"/>
    <w:rsid w:val="00141CEB"/>
    <w:rsid w:val="00141DF8"/>
    <w:rsid w:val="00143A3F"/>
    <w:rsid w:val="00144603"/>
    <w:rsid w:val="00144EA7"/>
    <w:rsid w:val="001455CE"/>
    <w:rsid w:val="00145E2D"/>
    <w:rsid w:val="00146DCA"/>
    <w:rsid w:val="0014792E"/>
    <w:rsid w:val="0015077B"/>
    <w:rsid w:val="00151491"/>
    <w:rsid w:val="00151F66"/>
    <w:rsid w:val="001531C6"/>
    <w:rsid w:val="00153D28"/>
    <w:rsid w:val="00154D5E"/>
    <w:rsid w:val="001559E8"/>
    <w:rsid w:val="00155A82"/>
    <w:rsid w:val="00155B76"/>
    <w:rsid w:val="00155F81"/>
    <w:rsid w:val="0015732A"/>
    <w:rsid w:val="00157889"/>
    <w:rsid w:val="00160929"/>
    <w:rsid w:val="00160A33"/>
    <w:rsid w:val="00161606"/>
    <w:rsid w:val="001617ED"/>
    <w:rsid w:val="001626F9"/>
    <w:rsid w:val="00162B25"/>
    <w:rsid w:val="00162D69"/>
    <w:rsid w:val="0016385B"/>
    <w:rsid w:val="00166379"/>
    <w:rsid w:val="0016651F"/>
    <w:rsid w:val="001671E7"/>
    <w:rsid w:val="00167661"/>
    <w:rsid w:val="00167BCB"/>
    <w:rsid w:val="00170122"/>
    <w:rsid w:val="00170AB3"/>
    <w:rsid w:val="001720BA"/>
    <w:rsid w:val="00173403"/>
    <w:rsid w:val="00173AEB"/>
    <w:rsid w:val="001743EC"/>
    <w:rsid w:val="001744E8"/>
    <w:rsid w:val="00174FAE"/>
    <w:rsid w:val="001757FD"/>
    <w:rsid w:val="00175863"/>
    <w:rsid w:val="0017620F"/>
    <w:rsid w:val="00177309"/>
    <w:rsid w:val="001777A2"/>
    <w:rsid w:val="00177A14"/>
    <w:rsid w:val="00177AA3"/>
    <w:rsid w:val="00177BC3"/>
    <w:rsid w:val="00181CFC"/>
    <w:rsid w:val="0018269E"/>
    <w:rsid w:val="00182711"/>
    <w:rsid w:val="0018419F"/>
    <w:rsid w:val="001848F3"/>
    <w:rsid w:val="00186411"/>
    <w:rsid w:val="0018641F"/>
    <w:rsid w:val="00186479"/>
    <w:rsid w:val="00187C5F"/>
    <w:rsid w:val="00190C71"/>
    <w:rsid w:val="00190CF5"/>
    <w:rsid w:val="00190DD4"/>
    <w:rsid w:val="00191D45"/>
    <w:rsid w:val="001926F4"/>
    <w:rsid w:val="001927D7"/>
    <w:rsid w:val="00193803"/>
    <w:rsid w:val="00193E3C"/>
    <w:rsid w:val="00194AFF"/>
    <w:rsid w:val="00195B7F"/>
    <w:rsid w:val="00196451"/>
    <w:rsid w:val="00196749"/>
    <w:rsid w:val="00196B6E"/>
    <w:rsid w:val="00197084"/>
    <w:rsid w:val="001A0B52"/>
    <w:rsid w:val="001A144A"/>
    <w:rsid w:val="001A2127"/>
    <w:rsid w:val="001A3109"/>
    <w:rsid w:val="001A3164"/>
    <w:rsid w:val="001A3A45"/>
    <w:rsid w:val="001A5656"/>
    <w:rsid w:val="001A5BB0"/>
    <w:rsid w:val="001A5EE1"/>
    <w:rsid w:val="001A619F"/>
    <w:rsid w:val="001A65C1"/>
    <w:rsid w:val="001A71E3"/>
    <w:rsid w:val="001A72FE"/>
    <w:rsid w:val="001A7482"/>
    <w:rsid w:val="001A78C1"/>
    <w:rsid w:val="001A7A72"/>
    <w:rsid w:val="001B0357"/>
    <w:rsid w:val="001B17F3"/>
    <w:rsid w:val="001B23EB"/>
    <w:rsid w:val="001B2503"/>
    <w:rsid w:val="001B2896"/>
    <w:rsid w:val="001B2AE7"/>
    <w:rsid w:val="001B2C5A"/>
    <w:rsid w:val="001B2D42"/>
    <w:rsid w:val="001B3B13"/>
    <w:rsid w:val="001B4199"/>
    <w:rsid w:val="001B4623"/>
    <w:rsid w:val="001B46E6"/>
    <w:rsid w:val="001B5703"/>
    <w:rsid w:val="001B590B"/>
    <w:rsid w:val="001B614F"/>
    <w:rsid w:val="001B6310"/>
    <w:rsid w:val="001B66CE"/>
    <w:rsid w:val="001B7819"/>
    <w:rsid w:val="001C102B"/>
    <w:rsid w:val="001C1160"/>
    <w:rsid w:val="001C176A"/>
    <w:rsid w:val="001C1A0C"/>
    <w:rsid w:val="001C2B72"/>
    <w:rsid w:val="001C3FEF"/>
    <w:rsid w:val="001C4335"/>
    <w:rsid w:val="001C501D"/>
    <w:rsid w:val="001C51F0"/>
    <w:rsid w:val="001C581D"/>
    <w:rsid w:val="001C620D"/>
    <w:rsid w:val="001C6512"/>
    <w:rsid w:val="001C6D1A"/>
    <w:rsid w:val="001C6E66"/>
    <w:rsid w:val="001C745A"/>
    <w:rsid w:val="001C7712"/>
    <w:rsid w:val="001C7E6E"/>
    <w:rsid w:val="001D0315"/>
    <w:rsid w:val="001D03DB"/>
    <w:rsid w:val="001D0D2C"/>
    <w:rsid w:val="001D0FA9"/>
    <w:rsid w:val="001D1A0E"/>
    <w:rsid w:val="001D29C9"/>
    <w:rsid w:val="001D37CC"/>
    <w:rsid w:val="001D497E"/>
    <w:rsid w:val="001D5342"/>
    <w:rsid w:val="001D67F1"/>
    <w:rsid w:val="001D6B6D"/>
    <w:rsid w:val="001D740D"/>
    <w:rsid w:val="001D7A26"/>
    <w:rsid w:val="001D7E98"/>
    <w:rsid w:val="001E00D2"/>
    <w:rsid w:val="001E0A46"/>
    <w:rsid w:val="001E2524"/>
    <w:rsid w:val="001E38C0"/>
    <w:rsid w:val="001E3B82"/>
    <w:rsid w:val="001E4895"/>
    <w:rsid w:val="001E702F"/>
    <w:rsid w:val="001E77D7"/>
    <w:rsid w:val="001E7973"/>
    <w:rsid w:val="001E7FF9"/>
    <w:rsid w:val="001F0194"/>
    <w:rsid w:val="001F071A"/>
    <w:rsid w:val="001F080D"/>
    <w:rsid w:val="001F2AEF"/>
    <w:rsid w:val="001F2B26"/>
    <w:rsid w:val="001F3AD0"/>
    <w:rsid w:val="001F4665"/>
    <w:rsid w:val="001F5A88"/>
    <w:rsid w:val="001F6092"/>
    <w:rsid w:val="001F6B80"/>
    <w:rsid w:val="002002D9"/>
    <w:rsid w:val="00200475"/>
    <w:rsid w:val="002007E7"/>
    <w:rsid w:val="002040AB"/>
    <w:rsid w:val="0020454B"/>
    <w:rsid w:val="00205D40"/>
    <w:rsid w:val="00207046"/>
    <w:rsid w:val="002074CD"/>
    <w:rsid w:val="00207531"/>
    <w:rsid w:val="00207E78"/>
    <w:rsid w:val="00210330"/>
    <w:rsid w:val="002111CA"/>
    <w:rsid w:val="0021676F"/>
    <w:rsid w:val="00220104"/>
    <w:rsid w:val="00220302"/>
    <w:rsid w:val="002204F8"/>
    <w:rsid w:val="00220DE3"/>
    <w:rsid w:val="00220DE7"/>
    <w:rsid w:val="0022257D"/>
    <w:rsid w:val="00223F30"/>
    <w:rsid w:val="00224175"/>
    <w:rsid w:val="0022449D"/>
    <w:rsid w:val="00224F25"/>
    <w:rsid w:val="00226059"/>
    <w:rsid w:val="002265F1"/>
    <w:rsid w:val="00226861"/>
    <w:rsid w:val="002272A3"/>
    <w:rsid w:val="00227349"/>
    <w:rsid w:val="00227E6E"/>
    <w:rsid w:val="002325B1"/>
    <w:rsid w:val="0023295C"/>
    <w:rsid w:val="00234226"/>
    <w:rsid w:val="00234A8C"/>
    <w:rsid w:val="00235310"/>
    <w:rsid w:val="002356E7"/>
    <w:rsid w:val="00236C46"/>
    <w:rsid w:val="00236E48"/>
    <w:rsid w:val="00237560"/>
    <w:rsid w:val="00240525"/>
    <w:rsid w:val="0024059B"/>
    <w:rsid w:val="002406CC"/>
    <w:rsid w:val="0024161A"/>
    <w:rsid w:val="00241B05"/>
    <w:rsid w:val="002427D0"/>
    <w:rsid w:val="00243617"/>
    <w:rsid w:val="00244509"/>
    <w:rsid w:val="002449D4"/>
    <w:rsid w:val="002450D0"/>
    <w:rsid w:val="00245C21"/>
    <w:rsid w:val="00245C96"/>
    <w:rsid w:val="002469E8"/>
    <w:rsid w:val="00246A5E"/>
    <w:rsid w:val="00247AF2"/>
    <w:rsid w:val="002506B6"/>
    <w:rsid w:val="00250C3F"/>
    <w:rsid w:val="002514F7"/>
    <w:rsid w:val="00251C7C"/>
    <w:rsid w:val="00251FC6"/>
    <w:rsid w:val="00252494"/>
    <w:rsid w:val="00252656"/>
    <w:rsid w:val="00252A2D"/>
    <w:rsid w:val="00252C65"/>
    <w:rsid w:val="00252E83"/>
    <w:rsid w:val="00252EBD"/>
    <w:rsid w:val="00253420"/>
    <w:rsid w:val="002534CD"/>
    <w:rsid w:val="0025448C"/>
    <w:rsid w:val="0025599C"/>
    <w:rsid w:val="0025672B"/>
    <w:rsid w:val="00257135"/>
    <w:rsid w:val="002577CC"/>
    <w:rsid w:val="002578D5"/>
    <w:rsid w:val="002618FA"/>
    <w:rsid w:val="0026208C"/>
    <w:rsid w:val="00262251"/>
    <w:rsid w:val="00263788"/>
    <w:rsid w:val="00263C16"/>
    <w:rsid w:val="00264652"/>
    <w:rsid w:val="00265101"/>
    <w:rsid w:val="00265C50"/>
    <w:rsid w:val="00266385"/>
    <w:rsid w:val="0027028C"/>
    <w:rsid w:val="00270926"/>
    <w:rsid w:val="00270BD7"/>
    <w:rsid w:val="00271069"/>
    <w:rsid w:val="002711F5"/>
    <w:rsid w:val="0027139F"/>
    <w:rsid w:val="002719C1"/>
    <w:rsid w:val="00271A2C"/>
    <w:rsid w:val="00272D3B"/>
    <w:rsid w:val="00272D74"/>
    <w:rsid w:val="00272F8E"/>
    <w:rsid w:val="0027366A"/>
    <w:rsid w:val="00273BCE"/>
    <w:rsid w:val="00274A3B"/>
    <w:rsid w:val="002766F0"/>
    <w:rsid w:val="00276A0C"/>
    <w:rsid w:val="00276C91"/>
    <w:rsid w:val="00276D91"/>
    <w:rsid w:val="00277D55"/>
    <w:rsid w:val="00280210"/>
    <w:rsid w:val="0028036D"/>
    <w:rsid w:val="00280EEA"/>
    <w:rsid w:val="0028124C"/>
    <w:rsid w:val="00281664"/>
    <w:rsid w:val="00281D78"/>
    <w:rsid w:val="00282166"/>
    <w:rsid w:val="002829AF"/>
    <w:rsid w:val="00282F58"/>
    <w:rsid w:val="00283150"/>
    <w:rsid w:val="002831FE"/>
    <w:rsid w:val="00285855"/>
    <w:rsid w:val="002858FF"/>
    <w:rsid w:val="00285B50"/>
    <w:rsid w:val="00285BA1"/>
    <w:rsid w:val="002861E1"/>
    <w:rsid w:val="00287166"/>
    <w:rsid w:val="002875C2"/>
    <w:rsid w:val="002876E5"/>
    <w:rsid w:val="00287F63"/>
    <w:rsid w:val="002901D4"/>
    <w:rsid w:val="00290BEB"/>
    <w:rsid w:val="00290BFF"/>
    <w:rsid w:val="002914AD"/>
    <w:rsid w:val="0029336C"/>
    <w:rsid w:val="0029349F"/>
    <w:rsid w:val="00293AE0"/>
    <w:rsid w:val="00293DA2"/>
    <w:rsid w:val="00293E51"/>
    <w:rsid w:val="002943E0"/>
    <w:rsid w:val="002947E2"/>
    <w:rsid w:val="002954A9"/>
    <w:rsid w:val="002958EC"/>
    <w:rsid w:val="00295B34"/>
    <w:rsid w:val="0029607F"/>
    <w:rsid w:val="002969E0"/>
    <w:rsid w:val="00296AE3"/>
    <w:rsid w:val="00296B6D"/>
    <w:rsid w:val="0029712A"/>
    <w:rsid w:val="002973F3"/>
    <w:rsid w:val="00297DFB"/>
    <w:rsid w:val="002A0195"/>
    <w:rsid w:val="002A08B3"/>
    <w:rsid w:val="002A1DFF"/>
    <w:rsid w:val="002A25B6"/>
    <w:rsid w:val="002A2AF6"/>
    <w:rsid w:val="002A3762"/>
    <w:rsid w:val="002A4DC8"/>
    <w:rsid w:val="002A4E99"/>
    <w:rsid w:val="002A54DD"/>
    <w:rsid w:val="002A6491"/>
    <w:rsid w:val="002A6631"/>
    <w:rsid w:val="002A676E"/>
    <w:rsid w:val="002A6FB3"/>
    <w:rsid w:val="002A6FEB"/>
    <w:rsid w:val="002A7DED"/>
    <w:rsid w:val="002B0CB2"/>
    <w:rsid w:val="002B217B"/>
    <w:rsid w:val="002B2C4C"/>
    <w:rsid w:val="002B2F57"/>
    <w:rsid w:val="002B354E"/>
    <w:rsid w:val="002B3A2E"/>
    <w:rsid w:val="002B40A7"/>
    <w:rsid w:val="002B463C"/>
    <w:rsid w:val="002B4B30"/>
    <w:rsid w:val="002B59D6"/>
    <w:rsid w:val="002B59F0"/>
    <w:rsid w:val="002B62FC"/>
    <w:rsid w:val="002B66EE"/>
    <w:rsid w:val="002B7D62"/>
    <w:rsid w:val="002C076C"/>
    <w:rsid w:val="002C0963"/>
    <w:rsid w:val="002C0D6D"/>
    <w:rsid w:val="002C197A"/>
    <w:rsid w:val="002C1DF5"/>
    <w:rsid w:val="002C2C82"/>
    <w:rsid w:val="002C2E18"/>
    <w:rsid w:val="002C30F0"/>
    <w:rsid w:val="002C34F4"/>
    <w:rsid w:val="002C37C6"/>
    <w:rsid w:val="002C3F82"/>
    <w:rsid w:val="002C494B"/>
    <w:rsid w:val="002C56FC"/>
    <w:rsid w:val="002C5CEF"/>
    <w:rsid w:val="002C67F5"/>
    <w:rsid w:val="002C6993"/>
    <w:rsid w:val="002C7213"/>
    <w:rsid w:val="002C794B"/>
    <w:rsid w:val="002C7B68"/>
    <w:rsid w:val="002C7BAC"/>
    <w:rsid w:val="002D012C"/>
    <w:rsid w:val="002D06EF"/>
    <w:rsid w:val="002D122A"/>
    <w:rsid w:val="002D1269"/>
    <w:rsid w:val="002D1B8F"/>
    <w:rsid w:val="002D1EA5"/>
    <w:rsid w:val="002D26D0"/>
    <w:rsid w:val="002D29B9"/>
    <w:rsid w:val="002D2AD7"/>
    <w:rsid w:val="002D32C8"/>
    <w:rsid w:val="002D3C68"/>
    <w:rsid w:val="002D3E6F"/>
    <w:rsid w:val="002D3EEE"/>
    <w:rsid w:val="002D42B9"/>
    <w:rsid w:val="002D498F"/>
    <w:rsid w:val="002D4BCF"/>
    <w:rsid w:val="002D4E69"/>
    <w:rsid w:val="002D5B6A"/>
    <w:rsid w:val="002D5F04"/>
    <w:rsid w:val="002D75C0"/>
    <w:rsid w:val="002D7D13"/>
    <w:rsid w:val="002D7EAE"/>
    <w:rsid w:val="002E0038"/>
    <w:rsid w:val="002E05F7"/>
    <w:rsid w:val="002E09DB"/>
    <w:rsid w:val="002E10E8"/>
    <w:rsid w:val="002E1149"/>
    <w:rsid w:val="002E1CE4"/>
    <w:rsid w:val="002E1CF6"/>
    <w:rsid w:val="002E1E23"/>
    <w:rsid w:val="002E265F"/>
    <w:rsid w:val="002E2F4E"/>
    <w:rsid w:val="002E43B9"/>
    <w:rsid w:val="002E47F8"/>
    <w:rsid w:val="002E4904"/>
    <w:rsid w:val="002E4B9B"/>
    <w:rsid w:val="002E4FD4"/>
    <w:rsid w:val="002E62FA"/>
    <w:rsid w:val="002E7263"/>
    <w:rsid w:val="002E7491"/>
    <w:rsid w:val="002E774C"/>
    <w:rsid w:val="002E789C"/>
    <w:rsid w:val="002F01BF"/>
    <w:rsid w:val="002F0E35"/>
    <w:rsid w:val="002F1D9B"/>
    <w:rsid w:val="002F1E18"/>
    <w:rsid w:val="002F2A7A"/>
    <w:rsid w:val="002F2D8B"/>
    <w:rsid w:val="002F30A6"/>
    <w:rsid w:val="002F3D89"/>
    <w:rsid w:val="002F460A"/>
    <w:rsid w:val="002F485A"/>
    <w:rsid w:val="002F5B6D"/>
    <w:rsid w:val="002F5C1A"/>
    <w:rsid w:val="002F5E20"/>
    <w:rsid w:val="002F6D57"/>
    <w:rsid w:val="002F75EC"/>
    <w:rsid w:val="002F7969"/>
    <w:rsid w:val="002F7F77"/>
    <w:rsid w:val="003005FA"/>
    <w:rsid w:val="00300F52"/>
    <w:rsid w:val="00301063"/>
    <w:rsid w:val="003014FE"/>
    <w:rsid w:val="00301513"/>
    <w:rsid w:val="00301FED"/>
    <w:rsid w:val="003023B0"/>
    <w:rsid w:val="003025FA"/>
    <w:rsid w:val="00302826"/>
    <w:rsid w:val="0030286C"/>
    <w:rsid w:val="00302873"/>
    <w:rsid w:val="00302FBF"/>
    <w:rsid w:val="00303204"/>
    <w:rsid w:val="00303A48"/>
    <w:rsid w:val="00303E3B"/>
    <w:rsid w:val="00304128"/>
    <w:rsid w:val="00304CA4"/>
    <w:rsid w:val="00305E3D"/>
    <w:rsid w:val="00307B36"/>
    <w:rsid w:val="00307C0A"/>
    <w:rsid w:val="003103DA"/>
    <w:rsid w:val="003108F0"/>
    <w:rsid w:val="00310CE5"/>
    <w:rsid w:val="0031131A"/>
    <w:rsid w:val="0031135D"/>
    <w:rsid w:val="00311646"/>
    <w:rsid w:val="0031199D"/>
    <w:rsid w:val="0031228D"/>
    <w:rsid w:val="00312BD7"/>
    <w:rsid w:val="00313CBC"/>
    <w:rsid w:val="00314BBE"/>
    <w:rsid w:val="00314F82"/>
    <w:rsid w:val="00315BF5"/>
    <w:rsid w:val="003161EA"/>
    <w:rsid w:val="003208D3"/>
    <w:rsid w:val="00320AB1"/>
    <w:rsid w:val="00320DE3"/>
    <w:rsid w:val="003218D4"/>
    <w:rsid w:val="00322944"/>
    <w:rsid w:val="00322A73"/>
    <w:rsid w:val="003233EB"/>
    <w:rsid w:val="003238F5"/>
    <w:rsid w:val="00323E18"/>
    <w:rsid w:val="00323EC7"/>
    <w:rsid w:val="00324166"/>
    <w:rsid w:val="003242FA"/>
    <w:rsid w:val="00324E33"/>
    <w:rsid w:val="0032612F"/>
    <w:rsid w:val="00326620"/>
    <w:rsid w:val="00326C2A"/>
    <w:rsid w:val="00326F25"/>
    <w:rsid w:val="00327CDA"/>
    <w:rsid w:val="0033171C"/>
    <w:rsid w:val="00332E58"/>
    <w:rsid w:val="00333256"/>
    <w:rsid w:val="00333DA2"/>
    <w:rsid w:val="00333DBC"/>
    <w:rsid w:val="00333DC1"/>
    <w:rsid w:val="003340CB"/>
    <w:rsid w:val="0033488C"/>
    <w:rsid w:val="00334D29"/>
    <w:rsid w:val="00336051"/>
    <w:rsid w:val="0033614C"/>
    <w:rsid w:val="00336EFB"/>
    <w:rsid w:val="00336FA7"/>
    <w:rsid w:val="0033704E"/>
    <w:rsid w:val="00340844"/>
    <w:rsid w:val="003417B2"/>
    <w:rsid w:val="00342D3D"/>
    <w:rsid w:val="0034317C"/>
    <w:rsid w:val="0034393E"/>
    <w:rsid w:val="0034426D"/>
    <w:rsid w:val="003446E2"/>
    <w:rsid w:val="00344BD1"/>
    <w:rsid w:val="0034588C"/>
    <w:rsid w:val="00345C04"/>
    <w:rsid w:val="00345E25"/>
    <w:rsid w:val="00345FE4"/>
    <w:rsid w:val="003461D6"/>
    <w:rsid w:val="003470DB"/>
    <w:rsid w:val="0035078D"/>
    <w:rsid w:val="00350821"/>
    <w:rsid w:val="00351C51"/>
    <w:rsid w:val="00353B7B"/>
    <w:rsid w:val="00354E95"/>
    <w:rsid w:val="003553E5"/>
    <w:rsid w:val="003557A1"/>
    <w:rsid w:val="00355EF2"/>
    <w:rsid w:val="00356143"/>
    <w:rsid w:val="00356357"/>
    <w:rsid w:val="00356CD2"/>
    <w:rsid w:val="00357EF5"/>
    <w:rsid w:val="0036095D"/>
    <w:rsid w:val="00360D56"/>
    <w:rsid w:val="00361669"/>
    <w:rsid w:val="00361C70"/>
    <w:rsid w:val="00362600"/>
    <w:rsid w:val="003641C0"/>
    <w:rsid w:val="00364CB3"/>
    <w:rsid w:val="00365075"/>
    <w:rsid w:val="0036573C"/>
    <w:rsid w:val="00365AA3"/>
    <w:rsid w:val="0036684E"/>
    <w:rsid w:val="003704DE"/>
    <w:rsid w:val="00370AA9"/>
    <w:rsid w:val="0037220E"/>
    <w:rsid w:val="003722DE"/>
    <w:rsid w:val="0037297E"/>
    <w:rsid w:val="003729AF"/>
    <w:rsid w:val="00373411"/>
    <w:rsid w:val="003734CB"/>
    <w:rsid w:val="00374816"/>
    <w:rsid w:val="00374B63"/>
    <w:rsid w:val="00374EE2"/>
    <w:rsid w:val="00375295"/>
    <w:rsid w:val="003758E9"/>
    <w:rsid w:val="00375D64"/>
    <w:rsid w:val="00375F27"/>
    <w:rsid w:val="00376CA4"/>
    <w:rsid w:val="0037730B"/>
    <w:rsid w:val="003806A5"/>
    <w:rsid w:val="00381426"/>
    <w:rsid w:val="0038163B"/>
    <w:rsid w:val="003824C5"/>
    <w:rsid w:val="00382CE7"/>
    <w:rsid w:val="00382EA5"/>
    <w:rsid w:val="003835E7"/>
    <w:rsid w:val="00383D14"/>
    <w:rsid w:val="00385B39"/>
    <w:rsid w:val="00385F23"/>
    <w:rsid w:val="00386932"/>
    <w:rsid w:val="00386B87"/>
    <w:rsid w:val="00387A1D"/>
    <w:rsid w:val="0039054C"/>
    <w:rsid w:val="003923A1"/>
    <w:rsid w:val="00392ECC"/>
    <w:rsid w:val="003934D9"/>
    <w:rsid w:val="00394129"/>
    <w:rsid w:val="003943A9"/>
    <w:rsid w:val="00394575"/>
    <w:rsid w:val="0039544B"/>
    <w:rsid w:val="00395747"/>
    <w:rsid w:val="003968E2"/>
    <w:rsid w:val="00397935"/>
    <w:rsid w:val="00397952"/>
    <w:rsid w:val="003A0812"/>
    <w:rsid w:val="003A0A6E"/>
    <w:rsid w:val="003A1696"/>
    <w:rsid w:val="003A1833"/>
    <w:rsid w:val="003A1A1D"/>
    <w:rsid w:val="003A2CEE"/>
    <w:rsid w:val="003A2DFF"/>
    <w:rsid w:val="003A382E"/>
    <w:rsid w:val="003A48E6"/>
    <w:rsid w:val="003A6173"/>
    <w:rsid w:val="003A6D07"/>
    <w:rsid w:val="003B0D2A"/>
    <w:rsid w:val="003B0E0A"/>
    <w:rsid w:val="003B2001"/>
    <w:rsid w:val="003B264A"/>
    <w:rsid w:val="003B2911"/>
    <w:rsid w:val="003B2B32"/>
    <w:rsid w:val="003B2B9E"/>
    <w:rsid w:val="003B2DD5"/>
    <w:rsid w:val="003B3623"/>
    <w:rsid w:val="003B3FE9"/>
    <w:rsid w:val="003B5576"/>
    <w:rsid w:val="003B5B17"/>
    <w:rsid w:val="003B6B6A"/>
    <w:rsid w:val="003B72F0"/>
    <w:rsid w:val="003C20B9"/>
    <w:rsid w:val="003C2471"/>
    <w:rsid w:val="003C305C"/>
    <w:rsid w:val="003C3211"/>
    <w:rsid w:val="003C352D"/>
    <w:rsid w:val="003C468D"/>
    <w:rsid w:val="003C5757"/>
    <w:rsid w:val="003C6181"/>
    <w:rsid w:val="003C75B9"/>
    <w:rsid w:val="003D0151"/>
    <w:rsid w:val="003D20BE"/>
    <w:rsid w:val="003D21E2"/>
    <w:rsid w:val="003D2495"/>
    <w:rsid w:val="003D48D8"/>
    <w:rsid w:val="003D4F31"/>
    <w:rsid w:val="003D5187"/>
    <w:rsid w:val="003D5345"/>
    <w:rsid w:val="003D57FD"/>
    <w:rsid w:val="003D594A"/>
    <w:rsid w:val="003D5FDC"/>
    <w:rsid w:val="003D61C0"/>
    <w:rsid w:val="003D6786"/>
    <w:rsid w:val="003D77AA"/>
    <w:rsid w:val="003D7E2F"/>
    <w:rsid w:val="003E0DF6"/>
    <w:rsid w:val="003E1A5A"/>
    <w:rsid w:val="003E3959"/>
    <w:rsid w:val="003E3B0F"/>
    <w:rsid w:val="003E3B73"/>
    <w:rsid w:val="003E3DA5"/>
    <w:rsid w:val="003E4279"/>
    <w:rsid w:val="003E451A"/>
    <w:rsid w:val="003E46CC"/>
    <w:rsid w:val="003E4C2D"/>
    <w:rsid w:val="003E4CB5"/>
    <w:rsid w:val="003E51E5"/>
    <w:rsid w:val="003E649A"/>
    <w:rsid w:val="003E76D7"/>
    <w:rsid w:val="003E7CCA"/>
    <w:rsid w:val="003F2D7C"/>
    <w:rsid w:val="003F324C"/>
    <w:rsid w:val="003F4ED8"/>
    <w:rsid w:val="003F55E3"/>
    <w:rsid w:val="003F6568"/>
    <w:rsid w:val="003F788C"/>
    <w:rsid w:val="003F7E26"/>
    <w:rsid w:val="004006DC"/>
    <w:rsid w:val="004026E0"/>
    <w:rsid w:val="00402997"/>
    <w:rsid w:val="00402C14"/>
    <w:rsid w:val="00402CD4"/>
    <w:rsid w:val="0040300E"/>
    <w:rsid w:val="00403A5C"/>
    <w:rsid w:val="00404C18"/>
    <w:rsid w:val="00404F25"/>
    <w:rsid w:val="0040518B"/>
    <w:rsid w:val="0040578F"/>
    <w:rsid w:val="00405E21"/>
    <w:rsid w:val="0040676D"/>
    <w:rsid w:val="00406ABB"/>
    <w:rsid w:val="00406D28"/>
    <w:rsid w:val="00410D93"/>
    <w:rsid w:val="00411241"/>
    <w:rsid w:val="004116B6"/>
    <w:rsid w:val="0041263A"/>
    <w:rsid w:val="00412965"/>
    <w:rsid w:val="00412DB9"/>
    <w:rsid w:val="00412EAC"/>
    <w:rsid w:val="00413806"/>
    <w:rsid w:val="00413FAD"/>
    <w:rsid w:val="00414728"/>
    <w:rsid w:val="004149B7"/>
    <w:rsid w:val="00414A65"/>
    <w:rsid w:val="00414C84"/>
    <w:rsid w:val="00414ECB"/>
    <w:rsid w:val="00415402"/>
    <w:rsid w:val="0041628F"/>
    <w:rsid w:val="004167D3"/>
    <w:rsid w:val="00416980"/>
    <w:rsid w:val="00416ED4"/>
    <w:rsid w:val="00416FE4"/>
    <w:rsid w:val="0041701D"/>
    <w:rsid w:val="0041730B"/>
    <w:rsid w:val="004173BD"/>
    <w:rsid w:val="004175EE"/>
    <w:rsid w:val="004178D3"/>
    <w:rsid w:val="00417E54"/>
    <w:rsid w:val="0042058F"/>
    <w:rsid w:val="004206B1"/>
    <w:rsid w:val="00420819"/>
    <w:rsid w:val="00420848"/>
    <w:rsid w:val="004217B1"/>
    <w:rsid w:val="004237C5"/>
    <w:rsid w:val="004241C9"/>
    <w:rsid w:val="0042426C"/>
    <w:rsid w:val="0042571C"/>
    <w:rsid w:val="00426598"/>
    <w:rsid w:val="004268FF"/>
    <w:rsid w:val="00426D30"/>
    <w:rsid w:val="00427F30"/>
    <w:rsid w:val="00430552"/>
    <w:rsid w:val="00430D7E"/>
    <w:rsid w:val="00432837"/>
    <w:rsid w:val="00432B0A"/>
    <w:rsid w:val="004335F2"/>
    <w:rsid w:val="004339B3"/>
    <w:rsid w:val="00433DD3"/>
    <w:rsid w:val="00434743"/>
    <w:rsid w:val="004363E3"/>
    <w:rsid w:val="00437B53"/>
    <w:rsid w:val="00437BA6"/>
    <w:rsid w:val="00437D20"/>
    <w:rsid w:val="00437D44"/>
    <w:rsid w:val="00441BFA"/>
    <w:rsid w:val="00442EF9"/>
    <w:rsid w:val="004430D8"/>
    <w:rsid w:val="0044382D"/>
    <w:rsid w:val="0044481C"/>
    <w:rsid w:val="00444BAC"/>
    <w:rsid w:val="004453AC"/>
    <w:rsid w:val="0044541F"/>
    <w:rsid w:val="00445501"/>
    <w:rsid w:val="00446B47"/>
    <w:rsid w:val="00446BA4"/>
    <w:rsid w:val="00447CAD"/>
    <w:rsid w:val="00451106"/>
    <w:rsid w:val="0045116F"/>
    <w:rsid w:val="00451695"/>
    <w:rsid w:val="004518D8"/>
    <w:rsid w:val="00452298"/>
    <w:rsid w:val="004528FD"/>
    <w:rsid w:val="004537E9"/>
    <w:rsid w:val="004545F6"/>
    <w:rsid w:val="00454886"/>
    <w:rsid w:val="00455191"/>
    <w:rsid w:val="00455545"/>
    <w:rsid w:val="0045562C"/>
    <w:rsid w:val="004558D7"/>
    <w:rsid w:val="00455C27"/>
    <w:rsid w:val="00455E10"/>
    <w:rsid w:val="00456377"/>
    <w:rsid w:val="004565C4"/>
    <w:rsid w:val="00456C94"/>
    <w:rsid w:val="00456DB3"/>
    <w:rsid w:val="004573C1"/>
    <w:rsid w:val="0046051E"/>
    <w:rsid w:val="0046093A"/>
    <w:rsid w:val="0046158A"/>
    <w:rsid w:val="00461C96"/>
    <w:rsid w:val="00461D95"/>
    <w:rsid w:val="00464A64"/>
    <w:rsid w:val="0046529F"/>
    <w:rsid w:val="004661DA"/>
    <w:rsid w:val="00466AD4"/>
    <w:rsid w:val="00466FB2"/>
    <w:rsid w:val="00471B77"/>
    <w:rsid w:val="00472050"/>
    <w:rsid w:val="00472614"/>
    <w:rsid w:val="004726D0"/>
    <w:rsid w:val="004734C6"/>
    <w:rsid w:val="00473709"/>
    <w:rsid w:val="004745DA"/>
    <w:rsid w:val="00475B34"/>
    <w:rsid w:val="00475C0C"/>
    <w:rsid w:val="00476DAB"/>
    <w:rsid w:val="00477D2B"/>
    <w:rsid w:val="004805B7"/>
    <w:rsid w:val="0048104A"/>
    <w:rsid w:val="0048188F"/>
    <w:rsid w:val="00481A6F"/>
    <w:rsid w:val="00482003"/>
    <w:rsid w:val="00482AD7"/>
    <w:rsid w:val="00483181"/>
    <w:rsid w:val="004840C6"/>
    <w:rsid w:val="00485BAC"/>
    <w:rsid w:val="004863E3"/>
    <w:rsid w:val="0048688A"/>
    <w:rsid w:val="00486F45"/>
    <w:rsid w:val="00486F9E"/>
    <w:rsid w:val="00486FDC"/>
    <w:rsid w:val="00487DC7"/>
    <w:rsid w:val="00490468"/>
    <w:rsid w:val="00490A08"/>
    <w:rsid w:val="00491677"/>
    <w:rsid w:val="00492205"/>
    <w:rsid w:val="0049231C"/>
    <w:rsid w:val="004923D1"/>
    <w:rsid w:val="00492746"/>
    <w:rsid w:val="004931A5"/>
    <w:rsid w:val="00493C09"/>
    <w:rsid w:val="00494C50"/>
    <w:rsid w:val="00495277"/>
    <w:rsid w:val="004969B2"/>
    <w:rsid w:val="00497282"/>
    <w:rsid w:val="004A1161"/>
    <w:rsid w:val="004A2B07"/>
    <w:rsid w:val="004A3C04"/>
    <w:rsid w:val="004A4CB6"/>
    <w:rsid w:val="004A5166"/>
    <w:rsid w:val="004A57FE"/>
    <w:rsid w:val="004A6672"/>
    <w:rsid w:val="004A683A"/>
    <w:rsid w:val="004A7CA5"/>
    <w:rsid w:val="004B0183"/>
    <w:rsid w:val="004B0C51"/>
    <w:rsid w:val="004B0C86"/>
    <w:rsid w:val="004B1312"/>
    <w:rsid w:val="004B2055"/>
    <w:rsid w:val="004B24CA"/>
    <w:rsid w:val="004B34D2"/>
    <w:rsid w:val="004B507D"/>
    <w:rsid w:val="004B5A57"/>
    <w:rsid w:val="004B7ACE"/>
    <w:rsid w:val="004C0825"/>
    <w:rsid w:val="004C2032"/>
    <w:rsid w:val="004C2567"/>
    <w:rsid w:val="004C373D"/>
    <w:rsid w:val="004C3778"/>
    <w:rsid w:val="004C38AD"/>
    <w:rsid w:val="004C39C8"/>
    <w:rsid w:val="004C48D6"/>
    <w:rsid w:val="004C70F9"/>
    <w:rsid w:val="004C726E"/>
    <w:rsid w:val="004C7788"/>
    <w:rsid w:val="004C7D18"/>
    <w:rsid w:val="004C7E4C"/>
    <w:rsid w:val="004D03AF"/>
    <w:rsid w:val="004D0C72"/>
    <w:rsid w:val="004D0CAB"/>
    <w:rsid w:val="004D10FD"/>
    <w:rsid w:val="004D1403"/>
    <w:rsid w:val="004D2043"/>
    <w:rsid w:val="004D282D"/>
    <w:rsid w:val="004D2CE2"/>
    <w:rsid w:val="004D2E4C"/>
    <w:rsid w:val="004D3487"/>
    <w:rsid w:val="004D365A"/>
    <w:rsid w:val="004D479D"/>
    <w:rsid w:val="004D4C10"/>
    <w:rsid w:val="004D555C"/>
    <w:rsid w:val="004D645E"/>
    <w:rsid w:val="004D6BFA"/>
    <w:rsid w:val="004D7438"/>
    <w:rsid w:val="004D757E"/>
    <w:rsid w:val="004D77EE"/>
    <w:rsid w:val="004E06BF"/>
    <w:rsid w:val="004E0950"/>
    <w:rsid w:val="004E0AC5"/>
    <w:rsid w:val="004E1DA6"/>
    <w:rsid w:val="004E1F41"/>
    <w:rsid w:val="004E1FE2"/>
    <w:rsid w:val="004E3072"/>
    <w:rsid w:val="004E44BB"/>
    <w:rsid w:val="004E53F6"/>
    <w:rsid w:val="004E5476"/>
    <w:rsid w:val="004E5B54"/>
    <w:rsid w:val="004E6957"/>
    <w:rsid w:val="004E6B00"/>
    <w:rsid w:val="004E6F2D"/>
    <w:rsid w:val="004E6F64"/>
    <w:rsid w:val="004E7A7B"/>
    <w:rsid w:val="004F109C"/>
    <w:rsid w:val="004F1525"/>
    <w:rsid w:val="004F1886"/>
    <w:rsid w:val="004F2251"/>
    <w:rsid w:val="004F24CC"/>
    <w:rsid w:val="004F2EE7"/>
    <w:rsid w:val="004F3677"/>
    <w:rsid w:val="004F3A9F"/>
    <w:rsid w:val="004F3EBD"/>
    <w:rsid w:val="004F41D0"/>
    <w:rsid w:val="004F52DF"/>
    <w:rsid w:val="004F5D36"/>
    <w:rsid w:val="004F66A8"/>
    <w:rsid w:val="004F6D18"/>
    <w:rsid w:val="004F6D90"/>
    <w:rsid w:val="00501D59"/>
    <w:rsid w:val="005031ED"/>
    <w:rsid w:val="0050342B"/>
    <w:rsid w:val="0050344F"/>
    <w:rsid w:val="00505B3F"/>
    <w:rsid w:val="00505DCD"/>
    <w:rsid w:val="00506A1F"/>
    <w:rsid w:val="00506C06"/>
    <w:rsid w:val="00507329"/>
    <w:rsid w:val="005100B5"/>
    <w:rsid w:val="005109D4"/>
    <w:rsid w:val="005110CD"/>
    <w:rsid w:val="00511730"/>
    <w:rsid w:val="00511BD9"/>
    <w:rsid w:val="00512345"/>
    <w:rsid w:val="005137C9"/>
    <w:rsid w:val="00515855"/>
    <w:rsid w:val="00515C0E"/>
    <w:rsid w:val="00515EFB"/>
    <w:rsid w:val="0051609E"/>
    <w:rsid w:val="00516652"/>
    <w:rsid w:val="00516898"/>
    <w:rsid w:val="00517F16"/>
    <w:rsid w:val="005200D8"/>
    <w:rsid w:val="005202EA"/>
    <w:rsid w:val="005204AB"/>
    <w:rsid w:val="005219F0"/>
    <w:rsid w:val="00521E5E"/>
    <w:rsid w:val="00521EA5"/>
    <w:rsid w:val="005237CD"/>
    <w:rsid w:val="005238BB"/>
    <w:rsid w:val="00523984"/>
    <w:rsid w:val="00523A25"/>
    <w:rsid w:val="00523A30"/>
    <w:rsid w:val="005248F2"/>
    <w:rsid w:val="00524E73"/>
    <w:rsid w:val="005250E1"/>
    <w:rsid w:val="00525227"/>
    <w:rsid w:val="005253A6"/>
    <w:rsid w:val="005253F0"/>
    <w:rsid w:val="005257A3"/>
    <w:rsid w:val="00525D1F"/>
    <w:rsid w:val="00526B92"/>
    <w:rsid w:val="0052767B"/>
    <w:rsid w:val="00531539"/>
    <w:rsid w:val="005318CF"/>
    <w:rsid w:val="005324BE"/>
    <w:rsid w:val="00532AA9"/>
    <w:rsid w:val="00532D8D"/>
    <w:rsid w:val="00533F00"/>
    <w:rsid w:val="00534260"/>
    <w:rsid w:val="00535D7A"/>
    <w:rsid w:val="00536FE0"/>
    <w:rsid w:val="0053749C"/>
    <w:rsid w:val="0053798C"/>
    <w:rsid w:val="005379BB"/>
    <w:rsid w:val="005379E8"/>
    <w:rsid w:val="00537CB6"/>
    <w:rsid w:val="005413DA"/>
    <w:rsid w:val="0054193D"/>
    <w:rsid w:val="00541C14"/>
    <w:rsid w:val="00541FE5"/>
    <w:rsid w:val="0054213A"/>
    <w:rsid w:val="005422CA"/>
    <w:rsid w:val="005429CE"/>
    <w:rsid w:val="00542EA7"/>
    <w:rsid w:val="005436EA"/>
    <w:rsid w:val="005437A0"/>
    <w:rsid w:val="00543E87"/>
    <w:rsid w:val="00543FEF"/>
    <w:rsid w:val="00544003"/>
    <w:rsid w:val="00544B3B"/>
    <w:rsid w:val="00544F87"/>
    <w:rsid w:val="0054691A"/>
    <w:rsid w:val="005469F2"/>
    <w:rsid w:val="005472C9"/>
    <w:rsid w:val="00547B7A"/>
    <w:rsid w:val="005512D0"/>
    <w:rsid w:val="00551517"/>
    <w:rsid w:val="005515E1"/>
    <w:rsid w:val="005519EE"/>
    <w:rsid w:val="00552376"/>
    <w:rsid w:val="00552A7D"/>
    <w:rsid w:val="00552BBF"/>
    <w:rsid w:val="00552E41"/>
    <w:rsid w:val="00553130"/>
    <w:rsid w:val="0055392D"/>
    <w:rsid w:val="005539B3"/>
    <w:rsid w:val="00554317"/>
    <w:rsid w:val="0055569F"/>
    <w:rsid w:val="00555B0C"/>
    <w:rsid w:val="0055643A"/>
    <w:rsid w:val="0055672F"/>
    <w:rsid w:val="005577DD"/>
    <w:rsid w:val="00557E89"/>
    <w:rsid w:val="00561B83"/>
    <w:rsid w:val="005627FA"/>
    <w:rsid w:val="005631A6"/>
    <w:rsid w:val="0056451F"/>
    <w:rsid w:val="0056588C"/>
    <w:rsid w:val="00565D72"/>
    <w:rsid w:val="0056608F"/>
    <w:rsid w:val="00566090"/>
    <w:rsid w:val="005665FE"/>
    <w:rsid w:val="00566A39"/>
    <w:rsid w:val="00566E79"/>
    <w:rsid w:val="00566F6E"/>
    <w:rsid w:val="005704CE"/>
    <w:rsid w:val="00570630"/>
    <w:rsid w:val="005707D4"/>
    <w:rsid w:val="00570E44"/>
    <w:rsid w:val="00570E88"/>
    <w:rsid w:val="00572A49"/>
    <w:rsid w:val="00573F4F"/>
    <w:rsid w:val="0057432D"/>
    <w:rsid w:val="0057459B"/>
    <w:rsid w:val="00574F18"/>
    <w:rsid w:val="005767F3"/>
    <w:rsid w:val="00576E84"/>
    <w:rsid w:val="005778FA"/>
    <w:rsid w:val="005800C5"/>
    <w:rsid w:val="00580164"/>
    <w:rsid w:val="00580D62"/>
    <w:rsid w:val="0058106F"/>
    <w:rsid w:val="0058118A"/>
    <w:rsid w:val="00582809"/>
    <w:rsid w:val="00584772"/>
    <w:rsid w:val="0058544F"/>
    <w:rsid w:val="005862E9"/>
    <w:rsid w:val="00586429"/>
    <w:rsid w:val="00586A7B"/>
    <w:rsid w:val="00587FFE"/>
    <w:rsid w:val="00591245"/>
    <w:rsid w:val="00591B34"/>
    <w:rsid w:val="005921F9"/>
    <w:rsid w:val="00592BE2"/>
    <w:rsid w:val="00594A36"/>
    <w:rsid w:val="00594C07"/>
    <w:rsid w:val="00595A50"/>
    <w:rsid w:val="00596376"/>
    <w:rsid w:val="005977ED"/>
    <w:rsid w:val="005A0D52"/>
    <w:rsid w:val="005A103B"/>
    <w:rsid w:val="005A1612"/>
    <w:rsid w:val="005A16EE"/>
    <w:rsid w:val="005A186E"/>
    <w:rsid w:val="005A2542"/>
    <w:rsid w:val="005A26AA"/>
    <w:rsid w:val="005A2953"/>
    <w:rsid w:val="005A2D75"/>
    <w:rsid w:val="005A35B6"/>
    <w:rsid w:val="005A4AE0"/>
    <w:rsid w:val="005A56FD"/>
    <w:rsid w:val="005A5AE3"/>
    <w:rsid w:val="005A7102"/>
    <w:rsid w:val="005B0849"/>
    <w:rsid w:val="005B1830"/>
    <w:rsid w:val="005B18C9"/>
    <w:rsid w:val="005B1EAF"/>
    <w:rsid w:val="005B2207"/>
    <w:rsid w:val="005B3266"/>
    <w:rsid w:val="005B35DD"/>
    <w:rsid w:val="005B3B9D"/>
    <w:rsid w:val="005B4EB5"/>
    <w:rsid w:val="005B54EF"/>
    <w:rsid w:val="005B5AB6"/>
    <w:rsid w:val="005B5B0C"/>
    <w:rsid w:val="005B5CB0"/>
    <w:rsid w:val="005B70FB"/>
    <w:rsid w:val="005C0316"/>
    <w:rsid w:val="005C0A51"/>
    <w:rsid w:val="005C0E15"/>
    <w:rsid w:val="005C197D"/>
    <w:rsid w:val="005C1C83"/>
    <w:rsid w:val="005C1D98"/>
    <w:rsid w:val="005C1E09"/>
    <w:rsid w:val="005C1ED3"/>
    <w:rsid w:val="005C2B18"/>
    <w:rsid w:val="005C2BCD"/>
    <w:rsid w:val="005C30C9"/>
    <w:rsid w:val="005C364F"/>
    <w:rsid w:val="005C4529"/>
    <w:rsid w:val="005C4C5E"/>
    <w:rsid w:val="005C50E7"/>
    <w:rsid w:val="005C51A2"/>
    <w:rsid w:val="005C5C62"/>
    <w:rsid w:val="005C663A"/>
    <w:rsid w:val="005C6644"/>
    <w:rsid w:val="005C755A"/>
    <w:rsid w:val="005D00CE"/>
    <w:rsid w:val="005D0F85"/>
    <w:rsid w:val="005D1236"/>
    <w:rsid w:val="005D174E"/>
    <w:rsid w:val="005D235F"/>
    <w:rsid w:val="005D4006"/>
    <w:rsid w:val="005D506E"/>
    <w:rsid w:val="005D5392"/>
    <w:rsid w:val="005D5CA8"/>
    <w:rsid w:val="005D674E"/>
    <w:rsid w:val="005D6C0B"/>
    <w:rsid w:val="005D7C77"/>
    <w:rsid w:val="005E055E"/>
    <w:rsid w:val="005E2414"/>
    <w:rsid w:val="005E2467"/>
    <w:rsid w:val="005E2CD7"/>
    <w:rsid w:val="005E351C"/>
    <w:rsid w:val="005E36D0"/>
    <w:rsid w:val="005E4376"/>
    <w:rsid w:val="005E5583"/>
    <w:rsid w:val="005E61D2"/>
    <w:rsid w:val="005E66A2"/>
    <w:rsid w:val="005E6747"/>
    <w:rsid w:val="005E6FE5"/>
    <w:rsid w:val="005E733D"/>
    <w:rsid w:val="005F04D5"/>
    <w:rsid w:val="005F0D59"/>
    <w:rsid w:val="005F0D63"/>
    <w:rsid w:val="005F3B22"/>
    <w:rsid w:val="005F4192"/>
    <w:rsid w:val="005F554E"/>
    <w:rsid w:val="005F5F87"/>
    <w:rsid w:val="005F66F9"/>
    <w:rsid w:val="005F7099"/>
    <w:rsid w:val="005F787A"/>
    <w:rsid w:val="005F7BE5"/>
    <w:rsid w:val="005F7CE3"/>
    <w:rsid w:val="006001B8"/>
    <w:rsid w:val="006008EA"/>
    <w:rsid w:val="00600E4C"/>
    <w:rsid w:val="006017EA"/>
    <w:rsid w:val="0060310E"/>
    <w:rsid w:val="0060338E"/>
    <w:rsid w:val="00603977"/>
    <w:rsid w:val="00605092"/>
    <w:rsid w:val="0060517E"/>
    <w:rsid w:val="006058F5"/>
    <w:rsid w:val="0060614F"/>
    <w:rsid w:val="00607741"/>
    <w:rsid w:val="00610333"/>
    <w:rsid w:val="0061046C"/>
    <w:rsid w:val="0061094A"/>
    <w:rsid w:val="00610E9D"/>
    <w:rsid w:val="006112D4"/>
    <w:rsid w:val="006125C6"/>
    <w:rsid w:val="00612897"/>
    <w:rsid w:val="00612C24"/>
    <w:rsid w:val="00612CD1"/>
    <w:rsid w:val="0061343B"/>
    <w:rsid w:val="0061391F"/>
    <w:rsid w:val="0061475B"/>
    <w:rsid w:val="006147A2"/>
    <w:rsid w:val="00614F8F"/>
    <w:rsid w:val="0062048A"/>
    <w:rsid w:val="006218CF"/>
    <w:rsid w:val="00621C7B"/>
    <w:rsid w:val="00621C99"/>
    <w:rsid w:val="00621DDD"/>
    <w:rsid w:val="00622120"/>
    <w:rsid w:val="00622486"/>
    <w:rsid w:val="006227FB"/>
    <w:rsid w:val="00622A12"/>
    <w:rsid w:val="00622C89"/>
    <w:rsid w:val="00622C8F"/>
    <w:rsid w:val="00622D4E"/>
    <w:rsid w:val="00622ECB"/>
    <w:rsid w:val="006251B3"/>
    <w:rsid w:val="0062636E"/>
    <w:rsid w:val="006267B8"/>
    <w:rsid w:val="00626E95"/>
    <w:rsid w:val="0062769D"/>
    <w:rsid w:val="00627E70"/>
    <w:rsid w:val="00630148"/>
    <w:rsid w:val="00630536"/>
    <w:rsid w:val="00630815"/>
    <w:rsid w:val="00631470"/>
    <w:rsid w:val="00631BE5"/>
    <w:rsid w:val="00632A25"/>
    <w:rsid w:val="00632DCA"/>
    <w:rsid w:val="00633592"/>
    <w:rsid w:val="00633C89"/>
    <w:rsid w:val="006340F1"/>
    <w:rsid w:val="0063483C"/>
    <w:rsid w:val="00635211"/>
    <w:rsid w:val="00635589"/>
    <w:rsid w:val="006357A8"/>
    <w:rsid w:val="006360CA"/>
    <w:rsid w:val="006365F0"/>
    <w:rsid w:val="00636642"/>
    <w:rsid w:val="006368F1"/>
    <w:rsid w:val="00636BD7"/>
    <w:rsid w:val="00636D8A"/>
    <w:rsid w:val="006372AC"/>
    <w:rsid w:val="006373EE"/>
    <w:rsid w:val="006407E0"/>
    <w:rsid w:val="00640C22"/>
    <w:rsid w:val="006414CF"/>
    <w:rsid w:val="006417B2"/>
    <w:rsid w:val="00642017"/>
    <w:rsid w:val="006422F4"/>
    <w:rsid w:val="006435EA"/>
    <w:rsid w:val="0064385B"/>
    <w:rsid w:val="006449D6"/>
    <w:rsid w:val="00644D7A"/>
    <w:rsid w:val="00644F46"/>
    <w:rsid w:val="006456E6"/>
    <w:rsid w:val="006457F2"/>
    <w:rsid w:val="00645EF7"/>
    <w:rsid w:val="00646652"/>
    <w:rsid w:val="0064690B"/>
    <w:rsid w:val="00647845"/>
    <w:rsid w:val="006500B3"/>
    <w:rsid w:val="00650D52"/>
    <w:rsid w:val="006516A9"/>
    <w:rsid w:val="00651914"/>
    <w:rsid w:val="00651E89"/>
    <w:rsid w:val="006524B2"/>
    <w:rsid w:val="00653195"/>
    <w:rsid w:val="00653B94"/>
    <w:rsid w:val="00653D8D"/>
    <w:rsid w:val="006571E7"/>
    <w:rsid w:val="006575C5"/>
    <w:rsid w:val="00663912"/>
    <w:rsid w:val="006650BF"/>
    <w:rsid w:val="00666A7A"/>
    <w:rsid w:val="0066709E"/>
    <w:rsid w:val="006671DF"/>
    <w:rsid w:val="006676FE"/>
    <w:rsid w:val="00670049"/>
    <w:rsid w:val="00671D54"/>
    <w:rsid w:val="0067235D"/>
    <w:rsid w:val="00672CE9"/>
    <w:rsid w:val="00672F2D"/>
    <w:rsid w:val="006738B0"/>
    <w:rsid w:val="00674527"/>
    <w:rsid w:val="0067458E"/>
    <w:rsid w:val="00674DDF"/>
    <w:rsid w:val="006750AF"/>
    <w:rsid w:val="00675437"/>
    <w:rsid w:val="00676124"/>
    <w:rsid w:val="00677213"/>
    <w:rsid w:val="0067792F"/>
    <w:rsid w:val="00677A10"/>
    <w:rsid w:val="00677A6D"/>
    <w:rsid w:val="00677F15"/>
    <w:rsid w:val="00680166"/>
    <w:rsid w:val="00680A9F"/>
    <w:rsid w:val="006819D2"/>
    <w:rsid w:val="0068238A"/>
    <w:rsid w:val="0068255F"/>
    <w:rsid w:val="006849E8"/>
    <w:rsid w:val="00684AC7"/>
    <w:rsid w:val="00686516"/>
    <w:rsid w:val="006871C2"/>
    <w:rsid w:val="00687E39"/>
    <w:rsid w:val="00690178"/>
    <w:rsid w:val="00690C8B"/>
    <w:rsid w:val="006924A3"/>
    <w:rsid w:val="00692A5C"/>
    <w:rsid w:val="00693FCC"/>
    <w:rsid w:val="00694004"/>
    <w:rsid w:val="006943D2"/>
    <w:rsid w:val="00694725"/>
    <w:rsid w:val="00695386"/>
    <w:rsid w:val="006956C2"/>
    <w:rsid w:val="006962B1"/>
    <w:rsid w:val="00696A48"/>
    <w:rsid w:val="00696F75"/>
    <w:rsid w:val="00696FD9"/>
    <w:rsid w:val="006976BB"/>
    <w:rsid w:val="006A0D81"/>
    <w:rsid w:val="006A0DEB"/>
    <w:rsid w:val="006A13C0"/>
    <w:rsid w:val="006A13F9"/>
    <w:rsid w:val="006A1EA8"/>
    <w:rsid w:val="006A2BBA"/>
    <w:rsid w:val="006A3DC7"/>
    <w:rsid w:val="006A482B"/>
    <w:rsid w:val="006A4AC5"/>
    <w:rsid w:val="006A4BAA"/>
    <w:rsid w:val="006A4F3C"/>
    <w:rsid w:val="006A6460"/>
    <w:rsid w:val="006A6B24"/>
    <w:rsid w:val="006A70E0"/>
    <w:rsid w:val="006A7945"/>
    <w:rsid w:val="006B047E"/>
    <w:rsid w:val="006B09A7"/>
    <w:rsid w:val="006B152B"/>
    <w:rsid w:val="006B4E83"/>
    <w:rsid w:val="006C0291"/>
    <w:rsid w:val="006C03CB"/>
    <w:rsid w:val="006C051B"/>
    <w:rsid w:val="006C0A92"/>
    <w:rsid w:val="006C492F"/>
    <w:rsid w:val="006C497C"/>
    <w:rsid w:val="006C4B94"/>
    <w:rsid w:val="006C4DCB"/>
    <w:rsid w:val="006C5BAB"/>
    <w:rsid w:val="006C6D8B"/>
    <w:rsid w:val="006C6FDF"/>
    <w:rsid w:val="006D04E6"/>
    <w:rsid w:val="006D07FA"/>
    <w:rsid w:val="006D108B"/>
    <w:rsid w:val="006D1E1E"/>
    <w:rsid w:val="006D2001"/>
    <w:rsid w:val="006D2551"/>
    <w:rsid w:val="006D276E"/>
    <w:rsid w:val="006D2BA9"/>
    <w:rsid w:val="006D3259"/>
    <w:rsid w:val="006D3B2A"/>
    <w:rsid w:val="006D3C30"/>
    <w:rsid w:val="006D4DAA"/>
    <w:rsid w:val="006D5444"/>
    <w:rsid w:val="006D6079"/>
    <w:rsid w:val="006D6741"/>
    <w:rsid w:val="006D6DB3"/>
    <w:rsid w:val="006D759F"/>
    <w:rsid w:val="006E1EF9"/>
    <w:rsid w:val="006E2872"/>
    <w:rsid w:val="006E290C"/>
    <w:rsid w:val="006E3C98"/>
    <w:rsid w:val="006E604E"/>
    <w:rsid w:val="006E6522"/>
    <w:rsid w:val="006E6BCC"/>
    <w:rsid w:val="006E6F35"/>
    <w:rsid w:val="006E708B"/>
    <w:rsid w:val="006E76DB"/>
    <w:rsid w:val="006E7813"/>
    <w:rsid w:val="006E7A55"/>
    <w:rsid w:val="006E7F01"/>
    <w:rsid w:val="006E7FC3"/>
    <w:rsid w:val="006F17E3"/>
    <w:rsid w:val="006F2E58"/>
    <w:rsid w:val="006F3485"/>
    <w:rsid w:val="006F42CC"/>
    <w:rsid w:val="006F4418"/>
    <w:rsid w:val="006F46F5"/>
    <w:rsid w:val="006F5FFB"/>
    <w:rsid w:val="006F73CD"/>
    <w:rsid w:val="006F7616"/>
    <w:rsid w:val="006F769C"/>
    <w:rsid w:val="006F7793"/>
    <w:rsid w:val="0070069B"/>
    <w:rsid w:val="007014F5"/>
    <w:rsid w:val="00701FD1"/>
    <w:rsid w:val="00702AF1"/>
    <w:rsid w:val="007041CB"/>
    <w:rsid w:val="00704ED8"/>
    <w:rsid w:val="007060C5"/>
    <w:rsid w:val="0070623C"/>
    <w:rsid w:val="007065D8"/>
    <w:rsid w:val="00706C6D"/>
    <w:rsid w:val="00707281"/>
    <w:rsid w:val="007072E7"/>
    <w:rsid w:val="0070775C"/>
    <w:rsid w:val="00710297"/>
    <w:rsid w:val="00710E3F"/>
    <w:rsid w:val="0071133A"/>
    <w:rsid w:val="007119A9"/>
    <w:rsid w:val="00712C5C"/>
    <w:rsid w:val="00713263"/>
    <w:rsid w:val="00713DB0"/>
    <w:rsid w:val="00714E82"/>
    <w:rsid w:val="007162F9"/>
    <w:rsid w:val="0071650C"/>
    <w:rsid w:val="0071771F"/>
    <w:rsid w:val="007215F2"/>
    <w:rsid w:val="007216FF"/>
    <w:rsid w:val="00721C21"/>
    <w:rsid w:val="00722B17"/>
    <w:rsid w:val="007237F3"/>
    <w:rsid w:val="00723E45"/>
    <w:rsid w:val="00724F83"/>
    <w:rsid w:val="007251E2"/>
    <w:rsid w:val="00726811"/>
    <w:rsid w:val="00730010"/>
    <w:rsid w:val="00730433"/>
    <w:rsid w:val="007305D8"/>
    <w:rsid w:val="007317EA"/>
    <w:rsid w:val="007318C1"/>
    <w:rsid w:val="007318DA"/>
    <w:rsid w:val="00732B58"/>
    <w:rsid w:val="0073309A"/>
    <w:rsid w:val="007330B6"/>
    <w:rsid w:val="00734ACB"/>
    <w:rsid w:val="00736211"/>
    <w:rsid w:val="007371E0"/>
    <w:rsid w:val="00737489"/>
    <w:rsid w:val="00737604"/>
    <w:rsid w:val="00737626"/>
    <w:rsid w:val="00740793"/>
    <w:rsid w:val="00740C84"/>
    <w:rsid w:val="00741A34"/>
    <w:rsid w:val="00741BC5"/>
    <w:rsid w:val="00742CB8"/>
    <w:rsid w:val="00743998"/>
    <w:rsid w:val="00743E07"/>
    <w:rsid w:val="007442FD"/>
    <w:rsid w:val="00744402"/>
    <w:rsid w:val="007448F4"/>
    <w:rsid w:val="00744F75"/>
    <w:rsid w:val="00745133"/>
    <w:rsid w:val="0074597E"/>
    <w:rsid w:val="0074631F"/>
    <w:rsid w:val="00746458"/>
    <w:rsid w:val="00747158"/>
    <w:rsid w:val="007474C4"/>
    <w:rsid w:val="00747EF2"/>
    <w:rsid w:val="007507E8"/>
    <w:rsid w:val="007512B5"/>
    <w:rsid w:val="0075142C"/>
    <w:rsid w:val="007519E4"/>
    <w:rsid w:val="00751B7A"/>
    <w:rsid w:val="0075216A"/>
    <w:rsid w:val="0075245D"/>
    <w:rsid w:val="00752A07"/>
    <w:rsid w:val="00752B9B"/>
    <w:rsid w:val="00752DB3"/>
    <w:rsid w:val="00752F25"/>
    <w:rsid w:val="00753EFE"/>
    <w:rsid w:val="007548FC"/>
    <w:rsid w:val="00754C96"/>
    <w:rsid w:val="007564A2"/>
    <w:rsid w:val="007565A1"/>
    <w:rsid w:val="00756BC5"/>
    <w:rsid w:val="0075713E"/>
    <w:rsid w:val="00757313"/>
    <w:rsid w:val="007604E4"/>
    <w:rsid w:val="007607BE"/>
    <w:rsid w:val="007611A7"/>
    <w:rsid w:val="00761C6A"/>
    <w:rsid w:val="007626FF"/>
    <w:rsid w:val="00762809"/>
    <w:rsid w:val="00762B6D"/>
    <w:rsid w:val="00764E90"/>
    <w:rsid w:val="00765627"/>
    <w:rsid w:val="00766939"/>
    <w:rsid w:val="00766986"/>
    <w:rsid w:val="007672C4"/>
    <w:rsid w:val="007673C9"/>
    <w:rsid w:val="0077079C"/>
    <w:rsid w:val="00770B5B"/>
    <w:rsid w:val="00773052"/>
    <w:rsid w:val="00773932"/>
    <w:rsid w:val="00773CF0"/>
    <w:rsid w:val="0077422B"/>
    <w:rsid w:val="0077562D"/>
    <w:rsid w:val="007759C3"/>
    <w:rsid w:val="0077738C"/>
    <w:rsid w:val="007774E5"/>
    <w:rsid w:val="0077780D"/>
    <w:rsid w:val="007779C3"/>
    <w:rsid w:val="0078024F"/>
    <w:rsid w:val="00780469"/>
    <w:rsid w:val="00783E49"/>
    <w:rsid w:val="00783ECF"/>
    <w:rsid w:val="00784B2A"/>
    <w:rsid w:val="0078700E"/>
    <w:rsid w:val="00787760"/>
    <w:rsid w:val="00787FB2"/>
    <w:rsid w:val="00790222"/>
    <w:rsid w:val="00790339"/>
    <w:rsid w:val="00790670"/>
    <w:rsid w:val="00790E45"/>
    <w:rsid w:val="00792609"/>
    <w:rsid w:val="00792729"/>
    <w:rsid w:val="0079357E"/>
    <w:rsid w:val="00793880"/>
    <w:rsid w:val="00793CC2"/>
    <w:rsid w:val="00796682"/>
    <w:rsid w:val="007971F7"/>
    <w:rsid w:val="00797DB7"/>
    <w:rsid w:val="00797E7A"/>
    <w:rsid w:val="007A0691"/>
    <w:rsid w:val="007A0940"/>
    <w:rsid w:val="007A158C"/>
    <w:rsid w:val="007A1804"/>
    <w:rsid w:val="007A1F67"/>
    <w:rsid w:val="007A226C"/>
    <w:rsid w:val="007A278D"/>
    <w:rsid w:val="007A3149"/>
    <w:rsid w:val="007A3515"/>
    <w:rsid w:val="007A3E4E"/>
    <w:rsid w:val="007A5101"/>
    <w:rsid w:val="007A515D"/>
    <w:rsid w:val="007A5212"/>
    <w:rsid w:val="007A5D49"/>
    <w:rsid w:val="007A6316"/>
    <w:rsid w:val="007A6DD8"/>
    <w:rsid w:val="007A79FD"/>
    <w:rsid w:val="007B0DCF"/>
    <w:rsid w:val="007B2771"/>
    <w:rsid w:val="007B295F"/>
    <w:rsid w:val="007B2E1F"/>
    <w:rsid w:val="007B324D"/>
    <w:rsid w:val="007B367B"/>
    <w:rsid w:val="007B3958"/>
    <w:rsid w:val="007B4926"/>
    <w:rsid w:val="007B5A47"/>
    <w:rsid w:val="007B5ACD"/>
    <w:rsid w:val="007B62B7"/>
    <w:rsid w:val="007B74AD"/>
    <w:rsid w:val="007C00FD"/>
    <w:rsid w:val="007C03B1"/>
    <w:rsid w:val="007C0480"/>
    <w:rsid w:val="007C196F"/>
    <w:rsid w:val="007C1D95"/>
    <w:rsid w:val="007C26CD"/>
    <w:rsid w:val="007C41AC"/>
    <w:rsid w:val="007C4C4B"/>
    <w:rsid w:val="007C5250"/>
    <w:rsid w:val="007C64D7"/>
    <w:rsid w:val="007C66AF"/>
    <w:rsid w:val="007C68B9"/>
    <w:rsid w:val="007C6BF6"/>
    <w:rsid w:val="007C6F8A"/>
    <w:rsid w:val="007C75D0"/>
    <w:rsid w:val="007D04C6"/>
    <w:rsid w:val="007D06B1"/>
    <w:rsid w:val="007D11D5"/>
    <w:rsid w:val="007D152E"/>
    <w:rsid w:val="007D1F1C"/>
    <w:rsid w:val="007D2F44"/>
    <w:rsid w:val="007D3109"/>
    <w:rsid w:val="007D346C"/>
    <w:rsid w:val="007D3F30"/>
    <w:rsid w:val="007D4D54"/>
    <w:rsid w:val="007D561E"/>
    <w:rsid w:val="007D68AF"/>
    <w:rsid w:val="007D77F4"/>
    <w:rsid w:val="007D7EB1"/>
    <w:rsid w:val="007E02FE"/>
    <w:rsid w:val="007E0B05"/>
    <w:rsid w:val="007E1F58"/>
    <w:rsid w:val="007E35EE"/>
    <w:rsid w:val="007E3B2B"/>
    <w:rsid w:val="007E4F7B"/>
    <w:rsid w:val="007E5833"/>
    <w:rsid w:val="007E658F"/>
    <w:rsid w:val="007E6B15"/>
    <w:rsid w:val="007E6F09"/>
    <w:rsid w:val="007E72A2"/>
    <w:rsid w:val="007E74D2"/>
    <w:rsid w:val="007E7554"/>
    <w:rsid w:val="007E7D2B"/>
    <w:rsid w:val="007F0619"/>
    <w:rsid w:val="007F0B93"/>
    <w:rsid w:val="007F10CF"/>
    <w:rsid w:val="007F234C"/>
    <w:rsid w:val="007F2465"/>
    <w:rsid w:val="007F260F"/>
    <w:rsid w:val="007F2AF8"/>
    <w:rsid w:val="007F30CC"/>
    <w:rsid w:val="007F3EDD"/>
    <w:rsid w:val="007F55C5"/>
    <w:rsid w:val="007F5F6C"/>
    <w:rsid w:val="007F6823"/>
    <w:rsid w:val="007F726D"/>
    <w:rsid w:val="007F7892"/>
    <w:rsid w:val="007F7AFD"/>
    <w:rsid w:val="00800081"/>
    <w:rsid w:val="00800148"/>
    <w:rsid w:val="00800A7E"/>
    <w:rsid w:val="00801E3E"/>
    <w:rsid w:val="00802512"/>
    <w:rsid w:val="008032D0"/>
    <w:rsid w:val="008038E1"/>
    <w:rsid w:val="00803C7E"/>
    <w:rsid w:val="00804614"/>
    <w:rsid w:val="008049FA"/>
    <w:rsid w:val="00805B3E"/>
    <w:rsid w:val="00806689"/>
    <w:rsid w:val="00806D7B"/>
    <w:rsid w:val="00807046"/>
    <w:rsid w:val="0080729A"/>
    <w:rsid w:val="00807A05"/>
    <w:rsid w:val="0081017C"/>
    <w:rsid w:val="0081076C"/>
    <w:rsid w:val="0081079D"/>
    <w:rsid w:val="008119A4"/>
    <w:rsid w:val="00811A6E"/>
    <w:rsid w:val="00811EAB"/>
    <w:rsid w:val="00813703"/>
    <w:rsid w:val="0081414A"/>
    <w:rsid w:val="008141AC"/>
    <w:rsid w:val="0081517D"/>
    <w:rsid w:val="00815819"/>
    <w:rsid w:val="008167F0"/>
    <w:rsid w:val="008176D9"/>
    <w:rsid w:val="0082072C"/>
    <w:rsid w:val="0082098B"/>
    <w:rsid w:val="00821574"/>
    <w:rsid w:val="008217FD"/>
    <w:rsid w:val="008219A6"/>
    <w:rsid w:val="00821B97"/>
    <w:rsid w:val="00821DD2"/>
    <w:rsid w:val="008220B5"/>
    <w:rsid w:val="00822AA2"/>
    <w:rsid w:val="00823A80"/>
    <w:rsid w:val="0082412C"/>
    <w:rsid w:val="0082438E"/>
    <w:rsid w:val="0082476F"/>
    <w:rsid w:val="00824D19"/>
    <w:rsid w:val="00825113"/>
    <w:rsid w:val="00825E44"/>
    <w:rsid w:val="008260F7"/>
    <w:rsid w:val="008263DB"/>
    <w:rsid w:val="00826A30"/>
    <w:rsid w:val="008270BD"/>
    <w:rsid w:val="008274FD"/>
    <w:rsid w:val="00830A90"/>
    <w:rsid w:val="00831437"/>
    <w:rsid w:val="008314FB"/>
    <w:rsid w:val="00833523"/>
    <w:rsid w:val="00833607"/>
    <w:rsid w:val="00833AB7"/>
    <w:rsid w:val="00833E63"/>
    <w:rsid w:val="008342C6"/>
    <w:rsid w:val="008346CD"/>
    <w:rsid w:val="00834BD1"/>
    <w:rsid w:val="00834FCD"/>
    <w:rsid w:val="008355F7"/>
    <w:rsid w:val="008358F6"/>
    <w:rsid w:val="00835A59"/>
    <w:rsid w:val="00835CAD"/>
    <w:rsid w:val="00835EDE"/>
    <w:rsid w:val="00835F29"/>
    <w:rsid w:val="008360FF"/>
    <w:rsid w:val="0083620E"/>
    <w:rsid w:val="00842C4C"/>
    <w:rsid w:val="00843941"/>
    <w:rsid w:val="00843F23"/>
    <w:rsid w:val="00844ECA"/>
    <w:rsid w:val="008450DE"/>
    <w:rsid w:val="008451E5"/>
    <w:rsid w:val="00845A7A"/>
    <w:rsid w:val="00845EB7"/>
    <w:rsid w:val="00845EB9"/>
    <w:rsid w:val="008469AB"/>
    <w:rsid w:val="0085095C"/>
    <w:rsid w:val="0085121F"/>
    <w:rsid w:val="008519EF"/>
    <w:rsid w:val="00851FB4"/>
    <w:rsid w:val="00852404"/>
    <w:rsid w:val="0085259B"/>
    <w:rsid w:val="008533A6"/>
    <w:rsid w:val="00853846"/>
    <w:rsid w:val="008539DA"/>
    <w:rsid w:val="00853F23"/>
    <w:rsid w:val="008545E6"/>
    <w:rsid w:val="00854F00"/>
    <w:rsid w:val="0085509F"/>
    <w:rsid w:val="0085563F"/>
    <w:rsid w:val="00855936"/>
    <w:rsid w:val="008563B3"/>
    <w:rsid w:val="00856598"/>
    <w:rsid w:val="008576E3"/>
    <w:rsid w:val="00860CA9"/>
    <w:rsid w:val="00861A90"/>
    <w:rsid w:val="00861AE9"/>
    <w:rsid w:val="008626A8"/>
    <w:rsid w:val="0086323E"/>
    <w:rsid w:val="00863305"/>
    <w:rsid w:val="00863651"/>
    <w:rsid w:val="0086387B"/>
    <w:rsid w:val="00863A0D"/>
    <w:rsid w:val="0086453C"/>
    <w:rsid w:val="008647F2"/>
    <w:rsid w:val="00864BF8"/>
    <w:rsid w:val="008652C5"/>
    <w:rsid w:val="00865BA2"/>
    <w:rsid w:val="00866FCC"/>
    <w:rsid w:val="008670AB"/>
    <w:rsid w:val="008672F9"/>
    <w:rsid w:val="008676EC"/>
    <w:rsid w:val="00867F8D"/>
    <w:rsid w:val="00867FBE"/>
    <w:rsid w:val="008704B2"/>
    <w:rsid w:val="00870672"/>
    <w:rsid w:val="008707D0"/>
    <w:rsid w:val="00870F0C"/>
    <w:rsid w:val="00871735"/>
    <w:rsid w:val="00872190"/>
    <w:rsid w:val="008724A8"/>
    <w:rsid w:val="008727BE"/>
    <w:rsid w:val="00872FEF"/>
    <w:rsid w:val="00873262"/>
    <w:rsid w:val="00873457"/>
    <w:rsid w:val="00873B3D"/>
    <w:rsid w:val="00873CBB"/>
    <w:rsid w:val="00873DAC"/>
    <w:rsid w:val="00874263"/>
    <w:rsid w:val="00875353"/>
    <w:rsid w:val="008755B9"/>
    <w:rsid w:val="00875652"/>
    <w:rsid w:val="00875C47"/>
    <w:rsid w:val="008764E3"/>
    <w:rsid w:val="00877AF9"/>
    <w:rsid w:val="00877C87"/>
    <w:rsid w:val="00877E6C"/>
    <w:rsid w:val="0088043F"/>
    <w:rsid w:val="00881621"/>
    <w:rsid w:val="00881E94"/>
    <w:rsid w:val="00882164"/>
    <w:rsid w:val="0088343D"/>
    <w:rsid w:val="0088396D"/>
    <w:rsid w:val="008846AB"/>
    <w:rsid w:val="00884E33"/>
    <w:rsid w:val="008853DB"/>
    <w:rsid w:val="00885675"/>
    <w:rsid w:val="00886399"/>
    <w:rsid w:val="008863C3"/>
    <w:rsid w:val="00887A81"/>
    <w:rsid w:val="00890111"/>
    <w:rsid w:val="00890706"/>
    <w:rsid w:val="008907E9"/>
    <w:rsid w:val="00890D24"/>
    <w:rsid w:val="00891D79"/>
    <w:rsid w:val="00891F92"/>
    <w:rsid w:val="008943B5"/>
    <w:rsid w:val="008960BF"/>
    <w:rsid w:val="0089644A"/>
    <w:rsid w:val="008A0B3D"/>
    <w:rsid w:val="008A1356"/>
    <w:rsid w:val="008A1F18"/>
    <w:rsid w:val="008A306E"/>
    <w:rsid w:val="008A32A5"/>
    <w:rsid w:val="008A351D"/>
    <w:rsid w:val="008A46D0"/>
    <w:rsid w:val="008A492E"/>
    <w:rsid w:val="008A5317"/>
    <w:rsid w:val="008A5411"/>
    <w:rsid w:val="008A54F9"/>
    <w:rsid w:val="008A5A95"/>
    <w:rsid w:val="008A5AC9"/>
    <w:rsid w:val="008A6312"/>
    <w:rsid w:val="008A7388"/>
    <w:rsid w:val="008A7B0A"/>
    <w:rsid w:val="008B0502"/>
    <w:rsid w:val="008B0924"/>
    <w:rsid w:val="008B532C"/>
    <w:rsid w:val="008B5972"/>
    <w:rsid w:val="008B5ABD"/>
    <w:rsid w:val="008B5C3E"/>
    <w:rsid w:val="008B5C81"/>
    <w:rsid w:val="008B687D"/>
    <w:rsid w:val="008B6A71"/>
    <w:rsid w:val="008C0C48"/>
    <w:rsid w:val="008C1884"/>
    <w:rsid w:val="008C27D9"/>
    <w:rsid w:val="008C28DD"/>
    <w:rsid w:val="008C2AE9"/>
    <w:rsid w:val="008C4B3E"/>
    <w:rsid w:val="008C4B85"/>
    <w:rsid w:val="008C4C98"/>
    <w:rsid w:val="008C5627"/>
    <w:rsid w:val="008C5CA4"/>
    <w:rsid w:val="008C5E89"/>
    <w:rsid w:val="008C6A80"/>
    <w:rsid w:val="008C7BCF"/>
    <w:rsid w:val="008C7DF3"/>
    <w:rsid w:val="008D24A7"/>
    <w:rsid w:val="008D268E"/>
    <w:rsid w:val="008D36FD"/>
    <w:rsid w:val="008D3813"/>
    <w:rsid w:val="008D4B1A"/>
    <w:rsid w:val="008D4B24"/>
    <w:rsid w:val="008D5C58"/>
    <w:rsid w:val="008D7562"/>
    <w:rsid w:val="008D76F4"/>
    <w:rsid w:val="008D7B05"/>
    <w:rsid w:val="008E0037"/>
    <w:rsid w:val="008E0A00"/>
    <w:rsid w:val="008E11ED"/>
    <w:rsid w:val="008E1975"/>
    <w:rsid w:val="008E1C9E"/>
    <w:rsid w:val="008E2D8A"/>
    <w:rsid w:val="008E4428"/>
    <w:rsid w:val="008E5004"/>
    <w:rsid w:val="008E5D95"/>
    <w:rsid w:val="008E68A5"/>
    <w:rsid w:val="008E6CE2"/>
    <w:rsid w:val="008E7B18"/>
    <w:rsid w:val="008E7F60"/>
    <w:rsid w:val="008F085E"/>
    <w:rsid w:val="008F08F7"/>
    <w:rsid w:val="008F1274"/>
    <w:rsid w:val="008F1716"/>
    <w:rsid w:val="008F2B36"/>
    <w:rsid w:val="008F32FA"/>
    <w:rsid w:val="008F3589"/>
    <w:rsid w:val="008F3696"/>
    <w:rsid w:val="008F58E7"/>
    <w:rsid w:val="008F5B8E"/>
    <w:rsid w:val="008F61AF"/>
    <w:rsid w:val="008F6576"/>
    <w:rsid w:val="008F68AB"/>
    <w:rsid w:val="009003B6"/>
    <w:rsid w:val="009006D7"/>
    <w:rsid w:val="0090234C"/>
    <w:rsid w:val="0090297F"/>
    <w:rsid w:val="00902E73"/>
    <w:rsid w:val="00902F02"/>
    <w:rsid w:val="00902F23"/>
    <w:rsid w:val="009039AA"/>
    <w:rsid w:val="00903F86"/>
    <w:rsid w:val="00903FF2"/>
    <w:rsid w:val="00904E14"/>
    <w:rsid w:val="00904E81"/>
    <w:rsid w:val="009053DE"/>
    <w:rsid w:val="009055D1"/>
    <w:rsid w:val="00905A7A"/>
    <w:rsid w:val="00905C35"/>
    <w:rsid w:val="00905CC8"/>
    <w:rsid w:val="00905D49"/>
    <w:rsid w:val="00906484"/>
    <w:rsid w:val="0090658F"/>
    <w:rsid w:val="00906C14"/>
    <w:rsid w:val="009072CF"/>
    <w:rsid w:val="00907DBF"/>
    <w:rsid w:val="00910542"/>
    <w:rsid w:val="0091058B"/>
    <w:rsid w:val="009117D9"/>
    <w:rsid w:val="00912661"/>
    <w:rsid w:val="009137F1"/>
    <w:rsid w:val="00913A08"/>
    <w:rsid w:val="009146C7"/>
    <w:rsid w:val="00914BEF"/>
    <w:rsid w:val="00914D7E"/>
    <w:rsid w:val="009169F6"/>
    <w:rsid w:val="00916EC2"/>
    <w:rsid w:val="00920FF7"/>
    <w:rsid w:val="009210DD"/>
    <w:rsid w:val="00923AD2"/>
    <w:rsid w:val="00925A17"/>
    <w:rsid w:val="00925A23"/>
    <w:rsid w:val="00926424"/>
    <w:rsid w:val="00926870"/>
    <w:rsid w:val="009273D8"/>
    <w:rsid w:val="0092766E"/>
    <w:rsid w:val="00930DB7"/>
    <w:rsid w:val="00930FC0"/>
    <w:rsid w:val="009314B9"/>
    <w:rsid w:val="0093275C"/>
    <w:rsid w:val="0093297B"/>
    <w:rsid w:val="00932A9D"/>
    <w:rsid w:val="00932D32"/>
    <w:rsid w:val="00934148"/>
    <w:rsid w:val="00934B7C"/>
    <w:rsid w:val="00934CC3"/>
    <w:rsid w:val="00934FE0"/>
    <w:rsid w:val="00935587"/>
    <w:rsid w:val="00935A6C"/>
    <w:rsid w:val="00935E98"/>
    <w:rsid w:val="009379C4"/>
    <w:rsid w:val="00937CFD"/>
    <w:rsid w:val="00940726"/>
    <w:rsid w:val="00941081"/>
    <w:rsid w:val="0094152F"/>
    <w:rsid w:val="00941775"/>
    <w:rsid w:val="00941E12"/>
    <w:rsid w:val="00942289"/>
    <w:rsid w:val="00942A2D"/>
    <w:rsid w:val="00943F22"/>
    <w:rsid w:val="00945652"/>
    <w:rsid w:val="009465B4"/>
    <w:rsid w:val="00946785"/>
    <w:rsid w:val="00946B83"/>
    <w:rsid w:val="009477B4"/>
    <w:rsid w:val="009479CA"/>
    <w:rsid w:val="00947BC4"/>
    <w:rsid w:val="00952C33"/>
    <w:rsid w:val="00952EE9"/>
    <w:rsid w:val="00953183"/>
    <w:rsid w:val="00953A07"/>
    <w:rsid w:val="00954C31"/>
    <w:rsid w:val="00955601"/>
    <w:rsid w:val="00955841"/>
    <w:rsid w:val="0095615B"/>
    <w:rsid w:val="00956CF9"/>
    <w:rsid w:val="0095728C"/>
    <w:rsid w:val="009600AD"/>
    <w:rsid w:val="00960CBC"/>
    <w:rsid w:val="00960D9C"/>
    <w:rsid w:val="00961531"/>
    <w:rsid w:val="00961B5A"/>
    <w:rsid w:val="00961CD9"/>
    <w:rsid w:val="0096215D"/>
    <w:rsid w:val="00962440"/>
    <w:rsid w:val="00962528"/>
    <w:rsid w:val="00962E21"/>
    <w:rsid w:val="0096356D"/>
    <w:rsid w:val="00963D7D"/>
    <w:rsid w:val="00964D57"/>
    <w:rsid w:val="009670B5"/>
    <w:rsid w:val="009703CB"/>
    <w:rsid w:val="00970D29"/>
    <w:rsid w:val="00971B23"/>
    <w:rsid w:val="00971CF7"/>
    <w:rsid w:val="0097209B"/>
    <w:rsid w:val="009722E9"/>
    <w:rsid w:val="0097336B"/>
    <w:rsid w:val="00973500"/>
    <w:rsid w:val="0097450A"/>
    <w:rsid w:val="009750C1"/>
    <w:rsid w:val="00976B8A"/>
    <w:rsid w:val="00980EBF"/>
    <w:rsid w:val="00981B47"/>
    <w:rsid w:val="00982C46"/>
    <w:rsid w:val="00982F5D"/>
    <w:rsid w:val="00983A62"/>
    <w:rsid w:val="009840ED"/>
    <w:rsid w:val="00984400"/>
    <w:rsid w:val="0098489D"/>
    <w:rsid w:val="009856D5"/>
    <w:rsid w:val="00985D50"/>
    <w:rsid w:val="00986688"/>
    <w:rsid w:val="0098669A"/>
    <w:rsid w:val="00986EC6"/>
    <w:rsid w:val="009872F7"/>
    <w:rsid w:val="0099102A"/>
    <w:rsid w:val="009910C7"/>
    <w:rsid w:val="00991AA3"/>
    <w:rsid w:val="00991B01"/>
    <w:rsid w:val="009921C3"/>
    <w:rsid w:val="0099232A"/>
    <w:rsid w:val="00992611"/>
    <w:rsid w:val="0099285A"/>
    <w:rsid w:val="00993633"/>
    <w:rsid w:val="0099575F"/>
    <w:rsid w:val="009969C3"/>
    <w:rsid w:val="00997C95"/>
    <w:rsid w:val="00997DCD"/>
    <w:rsid w:val="009A0426"/>
    <w:rsid w:val="009A0711"/>
    <w:rsid w:val="009A12C6"/>
    <w:rsid w:val="009A1724"/>
    <w:rsid w:val="009A1B37"/>
    <w:rsid w:val="009A2407"/>
    <w:rsid w:val="009A2BF0"/>
    <w:rsid w:val="009A303E"/>
    <w:rsid w:val="009A4220"/>
    <w:rsid w:val="009A4788"/>
    <w:rsid w:val="009A6247"/>
    <w:rsid w:val="009A64C3"/>
    <w:rsid w:val="009A661C"/>
    <w:rsid w:val="009B0419"/>
    <w:rsid w:val="009B0775"/>
    <w:rsid w:val="009B1BBC"/>
    <w:rsid w:val="009B3C9A"/>
    <w:rsid w:val="009B435F"/>
    <w:rsid w:val="009B5E67"/>
    <w:rsid w:val="009B6EB1"/>
    <w:rsid w:val="009B7CC9"/>
    <w:rsid w:val="009C0BE6"/>
    <w:rsid w:val="009C0C90"/>
    <w:rsid w:val="009C0C98"/>
    <w:rsid w:val="009C2542"/>
    <w:rsid w:val="009C4704"/>
    <w:rsid w:val="009C4A90"/>
    <w:rsid w:val="009D022F"/>
    <w:rsid w:val="009D03C9"/>
    <w:rsid w:val="009D06DE"/>
    <w:rsid w:val="009D0834"/>
    <w:rsid w:val="009D0B1F"/>
    <w:rsid w:val="009D1F9E"/>
    <w:rsid w:val="009D2A79"/>
    <w:rsid w:val="009D314F"/>
    <w:rsid w:val="009D382A"/>
    <w:rsid w:val="009D48BB"/>
    <w:rsid w:val="009D49B0"/>
    <w:rsid w:val="009D5A83"/>
    <w:rsid w:val="009D61D3"/>
    <w:rsid w:val="009D6762"/>
    <w:rsid w:val="009E0565"/>
    <w:rsid w:val="009E10A3"/>
    <w:rsid w:val="009E11A8"/>
    <w:rsid w:val="009E19F0"/>
    <w:rsid w:val="009E1CDE"/>
    <w:rsid w:val="009E1D50"/>
    <w:rsid w:val="009E20AD"/>
    <w:rsid w:val="009E20B5"/>
    <w:rsid w:val="009E25E3"/>
    <w:rsid w:val="009E28A9"/>
    <w:rsid w:val="009E28F7"/>
    <w:rsid w:val="009E2AB6"/>
    <w:rsid w:val="009E2D7D"/>
    <w:rsid w:val="009E3074"/>
    <w:rsid w:val="009E37BE"/>
    <w:rsid w:val="009E3A22"/>
    <w:rsid w:val="009E41C1"/>
    <w:rsid w:val="009E43A3"/>
    <w:rsid w:val="009E4A06"/>
    <w:rsid w:val="009E5223"/>
    <w:rsid w:val="009E5373"/>
    <w:rsid w:val="009E5BFD"/>
    <w:rsid w:val="009E67B1"/>
    <w:rsid w:val="009E70F9"/>
    <w:rsid w:val="009E7BE0"/>
    <w:rsid w:val="009F0F3F"/>
    <w:rsid w:val="009F15BD"/>
    <w:rsid w:val="009F1898"/>
    <w:rsid w:val="009F2011"/>
    <w:rsid w:val="009F399D"/>
    <w:rsid w:val="009F510C"/>
    <w:rsid w:val="009F555D"/>
    <w:rsid w:val="009F609B"/>
    <w:rsid w:val="009F6ED3"/>
    <w:rsid w:val="00A0196B"/>
    <w:rsid w:val="00A0312A"/>
    <w:rsid w:val="00A03969"/>
    <w:rsid w:val="00A06453"/>
    <w:rsid w:val="00A06E32"/>
    <w:rsid w:val="00A071C4"/>
    <w:rsid w:val="00A07A3F"/>
    <w:rsid w:val="00A07C5E"/>
    <w:rsid w:val="00A07FC3"/>
    <w:rsid w:val="00A108E8"/>
    <w:rsid w:val="00A10B78"/>
    <w:rsid w:val="00A11F66"/>
    <w:rsid w:val="00A12D7A"/>
    <w:rsid w:val="00A142CB"/>
    <w:rsid w:val="00A1437A"/>
    <w:rsid w:val="00A14F89"/>
    <w:rsid w:val="00A16059"/>
    <w:rsid w:val="00A16311"/>
    <w:rsid w:val="00A17002"/>
    <w:rsid w:val="00A20060"/>
    <w:rsid w:val="00A20537"/>
    <w:rsid w:val="00A20B50"/>
    <w:rsid w:val="00A22532"/>
    <w:rsid w:val="00A22F60"/>
    <w:rsid w:val="00A233D6"/>
    <w:rsid w:val="00A23857"/>
    <w:rsid w:val="00A24009"/>
    <w:rsid w:val="00A25116"/>
    <w:rsid w:val="00A26ED0"/>
    <w:rsid w:val="00A2750B"/>
    <w:rsid w:val="00A27520"/>
    <w:rsid w:val="00A27906"/>
    <w:rsid w:val="00A27E27"/>
    <w:rsid w:val="00A302CA"/>
    <w:rsid w:val="00A30731"/>
    <w:rsid w:val="00A31135"/>
    <w:rsid w:val="00A31E41"/>
    <w:rsid w:val="00A324E6"/>
    <w:rsid w:val="00A3260F"/>
    <w:rsid w:val="00A32D13"/>
    <w:rsid w:val="00A32D26"/>
    <w:rsid w:val="00A33959"/>
    <w:rsid w:val="00A3440B"/>
    <w:rsid w:val="00A345C2"/>
    <w:rsid w:val="00A352BC"/>
    <w:rsid w:val="00A3547E"/>
    <w:rsid w:val="00A358C9"/>
    <w:rsid w:val="00A365BE"/>
    <w:rsid w:val="00A36A70"/>
    <w:rsid w:val="00A403F3"/>
    <w:rsid w:val="00A41824"/>
    <w:rsid w:val="00A419CF"/>
    <w:rsid w:val="00A41F1E"/>
    <w:rsid w:val="00A42C05"/>
    <w:rsid w:val="00A43908"/>
    <w:rsid w:val="00A44D99"/>
    <w:rsid w:val="00A45651"/>
    <w:rsid w:val="00A45F1B"/>
    <w:rsid w:val="00A472CD"/>
    <w:rsid w:val="00A50378"/>
    <w:rsid w:val="00A504EF"/>
    <w:rsid w:val="00A51E2D"/>
    <w:rsid w:val="00A521E3"/>
    <w:rsid w:val="00A5278A"/>
    <w:rsid w:val="00A52CD9"/>
    <w:rsid w:val="00A52D8A"/>
    <w:rsid w:val="00A53A89"/>
    <w:rsid w:val="00A53AE7"/>
    <w:rsid w:val="00A53D1B"/>
    <w:rsid w:val="00A53D30"/>
    <w:rsid w:val="00A54299"/>
    <w:rsid w:val="00A5460D"/>
    <w:rsid w:val="00A55F69"/>
    <w:rsid w:val="00A5708D"/>
    <w:rsid w:val="00A5753A"/>
    <w:rsid w:val="00A606B3"/>
    <w:rsid w:val="00A60838"/>
    <w:rsid w:val="00A6083E"/>
    <w:rsid w:val="00A60902"/>
    <w:rsid w:val="00A60C0B"/>
    <w:rsid w:val="00A610BB"/>
    <w:rsid w:val="00A61358"/>
    <w:rsid w:val="00A62601"/>
    <w:rsid w:val="00A632E7"/>
    <w:rsid w:val="00A6382B"/>
    <w:rsid w:val="00A640C4"/>
    <w:rsid w:val="00A651AC"/>
    <w:rsid w:val="00A65462"/>
    <w:rsid w:val="00A66BF5"/>
    <w:rsid w:val="00A67712"/>
    <w:rsid w:val="00A704A0"/>
    <w:rsid w:val="00A70711"/>
    <w:rsid w:val="00A70AD3"/>
    <w:rsid w:val="00A714F3"/>
    <w:rsid w:val="00A717D0"/>
    <w:rsid w:val="00A71AB6"/>
    <w:rsid w:val="00A723E8"/>
    <w:rsid w:val="00A724A5"/>
    <w:rsid w:val="00A73163"/>
    <w:rsid w:val="00A73CEE"/>
    <w:rsid w:val="00A73DFA"/>
    <w:rsid w:val="00A75E7C"/>
    <w:rsid w:val="00A76247"/>
    <w:rsid w:val="00A76559"/>
    <w:rsid w:val="00A769A1"/>
    <w:rsid w:val="00A77AF9"/>
    <w:rsid w:val="00A806EC"/>
    <w:rsid w:val="00A80827"/>
    <w:rsid w:val="00A80E45"/>
    <w:rsid w:val="00A80FBB"/>
    <w:rsid w:val="00A81014"/>
    <w:rsid w:val="00A8134C"/>
    <w:rsid w:val="00A8285C"/>
    <w:rsid w:val="00A83E7C"/>
    <w:rsid w:val="00A84039"/>
    <w:rsid w:val="00A84694"/>
    <w:rsid w:val="00A847E9"/>
    <w:rsid w:val="00A84E9D"/>
    <w:rsid w:val="00A858D4"/>
    <w:rsid w:val="00A85962"/>
    <w:rsid w:val="00A8669E"/>
    <w:rsid w:val="00A86993"/>
    <w:rsid w:val="00A8709C"/>
    <w:rsid w:val="00A90A48"/>
    <w:rsid w:val="00A90BFF"/>
    <w:rsid w:val="00A90C11"/>
    <w:rsid w:val="00A9154A"/>
    <w:rsid w:val="00A915DC"/>
    <w:rsid w:val="00A91B4B"/>
    <w:rsid w:val="00A91B76"/>
    <w:rsid w:val="00A91D1C"/>
    <w:rsid w:val="00A91FB5"/>
    <w:rsid w:val="00A93341"/>
    <w:rsid w:val="00A93900"/>
    <w:rsid w:val="00A93BCF"/>
    <w:rsid w:val="00A9420B"/>
    <w:rsid w:val="00A96990"/>
    <w:rsid w:val="00A970FE"/>
    <w:rsid w:val="00AA0024"/>
    <w:rsid w:val="00AA0C65"/>
    <w:rsid w:val="00AA0CB8"/>
    <w:rsid w:val="00AA1894"/>
    <w:rsid w:val="00AA1D5E"/>
    <w:rsid w:val="00AA2754"/>
    <w:rsid w:val="00AA2CE6"/>
    <w:rsid w:val="00AA3941"/>
    <w:rsid w:val="00AA45B7"/>
    <w:rsid w:val="00AA482C"/>
    <w:rsid w:val="00AA491D"/>
    <w:rsid w:val="00AA5AEF"/>
    <w:rsid w:val="00AA7B1A"/>
    <w:rsid w:val="00AA7E86"/>
    <w:rsid w:val="00AB113E"/>
    <w:rsid w:val="00AB1183"/>
    <w:rsid w:val="00AB1694"/>
    <w:rsid w:val="00AB2675"/>
    <w:rsid w:val="00AB2940"/>
    <w:rsid w:val="00AB3D6C"/>
    <w:rsid w:val="00AB55B0"/>
    <w:rsid w:val="00AB5708"/>
    <w:rsid w:val="00AB6E1B"/>
    <w:rsid w:val="00AC2437"/>
    <w:rsid w:val="00AC2552"/>
    <w:rsid w:val="00AC2A84"/>
    <w:rsid w:val="00AC3C7B"/>
    <w:rsid w:val="00AC4059"/>
    <w:rsid w:val="00AC439C"/>
    <w:rsid w:val="00AC4534"/>
    <w:rsid w:val="00AC57F1"/>
    <w:rsid w:val="00AC5D21"/>
    <w:rsid w:val="00AC60B0"/>
    <w:rsid w:val="00AC6EBD"/>
    <w:rsid w:val="00AC78E7"/>
    <w:rsid w:val="00AC7B31"/>
    <w:rsid w:val="00AD144F"/>
    <w:rsid w:val="00AD3508"/>
    <w:rsid w:val="00AD3946"/>
    <w:rsid w:val="00AD6358"/>
    <w:rsid w:val="00AD6C9F"/>
    <w:rsid w:val="00AE0057"/>
    <w:rsid w:val="00AE0820"/>
    <w:rsid w:val="00AE1308"/>
    <w:rsid w:val="00AE21B5"/>
    <w:rsid w:val="00AE2327"/>
    <w:rsid w:val="00AE2F97"/>
    <w:rsid w:val="00AE32A3"/>
    <w:rsid w:val="00AE38A3"/>
    <w:rsid w:val="00AE3A1C"/>
    <w:rsid w:val="00AE42E6"/>
    <w:rsid w:val="00AE44B7"/>
    <w:rsid w:val="00AE5221"/>
    <w:rsid w:val="00AE5367"/>
    <w:rsid w:val="00AE5A73"/>
    <w:rsid w:val="00AE677B"/>
    <w:rsid w:val="00AE7400"/>
    <w:rsid w:val="00AE7416"/>
    <w:rsid w:val="00AE7962"/>
    <w:rsid w:val="00AE7F09"/>
    <w:rsid w:val="00AF0077"/>
    <w:rsid w:val="00AF1E65"/>
    <w:rsid w:val="00AF28D2"/>
    <w:rsid w:val="00AF2972"/>
    <w:rsid w:val="00AF2F1A"/>
    <w:rsid w:val="00AF3880"/>
    <w:rsid w:val="00AF3B90"/>
    <w:rsid w:val="00AF3D29"/>
    <w:rsid w:val="00AF49C6"/>
    <w:rsid w:val="00AF5775"/>
    <w:rsid w:val="00AF6716"/>
    <w:rsid w:val="00AF68E3"/>
    <w:rsid w:val="00AF725C"/>
    <w:rsid w:val="00AF7C3D"/>
    <w:rsid w:val="00AF7D31"/>
    <w:rsid w:val="00B001E5"/>
    <w:rsid w:val="00B004CC"/>
    <w:rsid w:val="00B005CD"/>
    <w:rsid w:val="00B00CFF"/>
    <w:rsid w:val="00B00F29"/>
    <w:rsid w:val="00B01ACA"/>
    <w:rsid w:val="00B02982"/>
    <w:rsid w:val="00B030AD"/>
    <w:rsid w:val="00B053DB"/>
    <w:rsid w:val="00B05DA0"/>
    <w:rsid w:val="00B07A82"/>
    <w:rsid w:val="00B10653"/>
    <w:rsid w:val="00B10687"/>
    <w:rsid w:val="00B1077A"/>
    <w:rsid w:val="00B10E78"/>
    <w:rsid w:val="00B11217"/>
    <w:rsid w:val="00B11620"/>
    <w:rsid w:val="00B11940"/>
    <w:rsid w:val="00B11A8B"/>
    <w:rsid w:val="00B11C08"/>
    <w:rsid w:val="00B128F3"/>
    <w:rsid w:val="00B12A11"/>
    <w:rsid w:val="00B13491"/>
    <w:rsid w:val="00B14242"/>
    <w:rsid w:val="00B14615"/>
    <w:rsid w:val="00B169E5"/>
    <w:rsid w:val="00B16A93"/>
    <w:rsid w:val="00B1737D"/>
    <w:rsid w:val="00B177E1"/>
    <w:rsid w:val="00B17D54"/>
    <w:rsid w:val="00B2030D"/>
    <w:rsid w:val="00B21D04"/>
    <w:rsid w:val="00B22308"/>
    <w:rsid w:val="00B22489"/>
    <w:rsid w:val="00B22578"/>
    <w:rsid w:val="00B23CD9"/>
    <w:rsid w:val="00B24C8C"/>
    <w:rsid w:val="00B25F79"/>
    <w:rsid w:val="00B26610"/>
    <w:rsid w:val="00B26E15"/>
    <w:rsid w:val="00B26F80"/>
    <w:rsid w:val="00B2773A"/>
    <w:rsid w:val="00B27C48"/>
    <w:rsid w:val="00B27D7D"/>
    <w:rsid w:val="00B32537"/>
    <w:rsid w:val="00B3257B"/>
    <w:rsid w:val="00B34080"/>
    <w:rsid w:val="00B340A1"/>
    <w:rsid w:val="00B34A44"/>
    <w:rsid w:val="00B351F8"/>
    <w:rsid w:val="00B35CD2"/>
    <w:rsid w:val="00B35F8E"/>
    <w:rsid w:val="00B35FDC"/>
    <w:rsid w:val="00B365B1"/>
    <w:rsid w:val="00B36DB8"/>
    <w:rsid w:val="00B36EDE"/>
    <w:rsid w:val="00B3733F"/>
    <w:rsid w:val="00B376C6"/>
    <w:rsid w:val="00B402DD"/>
    <w:rsid w:val="00B40738"/>
    <w:rsid w:val="00B4139E"/>
    <w:rsid w:val="00B42A83"/>
    <w:rsid w:val="00B42B97"/>
    <w:rsid w:val="00B42BE6"/>
    <w:rsid w:val="00B43191"/>
    <w:rsid w:val="00B437A8"/>
    <w:rsid w:val="00B43C55"/>
    <w:rsid w:val="00B43C80"/>
    <w:rsid w:val="00B43E03"/>
    <w:rsid w:val="00B440D3"/>
    <w:rsid w:val="00B44C74"/>
    <w:rsid w:val="00B44F4E"/>
    <w:rsid w:val="00B45A41"/>
    <w:rsid w:val="00B4612B"/>
    <w:rsid w:val="00B465DD"/>
    <w:rsid w:val="00B46746"/>
    <w:rsid w:val="00B4773F"/>
    <w:rsid w:val="00B502C6"/>
    <w:rsid w:val="00B504AB"/>
    <w:rsid w:val="00B519C1"/>
    <w:rsid w:val="00B51A88"/>
    <w:rsid w:val="00B51E9F"/>
    <w:rsid w:val="00B52254"/>
    <w:rsid w:val="00B522DF"/>
    <w:rsid w:val="00B52797"/>
    <w:rsid w:val="00B528BE"/>
    <w:rsid w:val="00B52CE7"/>
    <w:rsid w:val="00B52D40"/>
    <w:rsid w:val="00B53E2F"/>
    <w:rsid w:val="00B559DF"/>
    <w:rsid w:val="00B55E55"/>
    <w:rsid w:val="00B5762F"/>
    <w:rsid w:val="00B57E39"/>
    <w:rsid w:val="00B60DD9"/>
    <w:rsid w:val="00B610CC"/>
    <w:rsid w:val="00B6117C"/>
    <w:rsid w:val="00B63238"/>
    <w:rsid w:val="00B64182"/>
    <w:rsid w:val="00B64FB7"/>
    <w:rsid w:val="00B653D0"/>
    <w:rsid w:val="00B65448"/>
    <w:rsid w:val="00B6627B"/>
    <w:rsid w:val="00B66A38"/>
    <w:rsid w:val="00B67287"/>
    <w:rsid w:val="00B7009E"/>
    <w:rsid w:val="00B701D6"/>
    <w:rsid w:val="00B701F7"/>
    <w:rsid w:val="00B707C4"/>
    <w:rsid w:val="00B70F46"/>
    <w:rsid w:val="00B716A8"/>
    <w:rsid w:val="00B717A9"/>
    <w:rsid w:val="00B71DE0"/>
    <w:rsid w:val="00B7242B"/>
    <w:rsid w:val="00B7262D"/>
    <w:rsid w:val="00B73630"/>
    <w:rsid w:val="00B73718"/>
    <w:rsid w:val="00B741E6"/>
    <w:rsid w:val="00B747B4"/>
    <w:rsid w:val="00B769E5"/>
    <w:rsid w:val="00B80CDC"/>
    <w:rsid w:val="00B8183C"/>
    <w:rsid w:val="00B819ED"/>
    <w:rsid w:val="00B82090"/>
    <w:rsid w:val="00B82375"/>
    <w:rsid w:val="00B825C5"/>
    <w:rsid w:val="00B83042"/>
    <w:rsid w:val="00B8365A"/>
    <w:rsid w:val="00B83759"/>
    <w:rsid w:val="00B83EF7"/>
    <w:rsid w:val="00B84EEE"/>
    <w:rsid w:val="00B8537F"/>
    <w:rsid w:val="00B86332"/>
    <w:rsid w:val="00B8635E"/>
    <w:rsid w:val="00B864B8"/>
    <w:rsid w:val="00B865ED"/>
    <w:rsid w:val="00B86A7C"/>
    <w:rsid w:val="00B86B6B"/>
    <w:rsid w:val="00B9089C"/>
    <w:rsid w:val="00B91C2E"/>
    <w:rsid w:val="00B92859"/>
    <w:rsid w:val="00B92A2C"/>
    <w:rsid w:val="00B9334E"/>
    <w:rsid w:val="00B944CB"/>
    <w:rsid w:val="00B97059"/>
    <w:rsid w:val="00BA040A"/>
    <w:rsid w:val="00BA09FE"/>
    <w:rsid w:val="00BA1B85"/>
    <w:rsid w:val="00BA1EA5"/>
    <w:rsid w:val="00BA23AF"/>
    <w:rsid w:val="00BA3ABB"/>
    <w:rsid w:val="00BA3DCC"/>
    <w:rsid w:val="00BA5B2F"/>
    <w:rsid w:val="00BA628B"/>
    <w:rsid w:val="00BA6566"/>
    <w:rsid w:val="00BA66FE"/>
    <w:rsid w:val="00BA7A3D"/>
    <w:rsid w:val="00BB13A0"/>
    <w:rsid w:val="00BB1A3A"/>
    <w:rsid w:val="00BB1F93"/>
    <w:rsid w:val="00BB24B2"/>
    <w:rsid w:val="00BB2C4D"/>
    <w:rsid w:val="00BB2F8B"/>
    <w:rsid w:val="00BB321C"/>
    <w:rsid w:val="00BB383D"/>
    <w:rsid w:val="00BB38AF"/>
    <w:rsid w:val="00BB4828"/>
    <w:rsid w:val="00BB4AE0"/>
    <w:rsid w:val="00BB53EE"/>
    <w:rsid w:val="00BB5567"/>
    <w:rsid w:val="00BB6BBD"/>
    <w:rsid w:val="00BB7568"/>
    <w:rsid w:val="00BB7CD3"/>
    <w:rsid w:val="00BC0D74"/>
    <w:rsid w:val="00BC1A33"/>
    <w:rsid w:val="00BC1B8C"/>
    <w:rsid w:val="00BC22A2"/>
    <w:rsid w:val="00BC292C"/>
    <w:rsid w:val="00BC2CD8"/>
    <w:rsid w:val="00BC332F"/>
    <w:rsid w:val="00BC374E"/>
    <w:rsid w:val="00BC3A50"/>
    <w:rsid w:val="00BC4467"/>
    <w:rsid w:val="00BC44C7"/>
    <w:rsid w:val="00BC495C"/>
    <w:rsid w:val="00BC68D7"/>
    <w:rsid w:val="00BC6B7C"/>
    <w:rsid w:val="00BC700A"/>
    <w:rsid w:val="00BC721E"/>
    <w:rsid w:val="00BC74F6"/>
    <w:rsid w:val="00BC752E"/>
    <w:rsid w:val="00BC7E50"/>
    <w:rsid w:val="00BD1326"/>
    <w:rsid w:val="00BD2431"/>
    <w:rsid w:val="00BD344D"/>
    <w:rsid w:val="00BD38A4"/>
    <w:rsid w:val="00BD38CC"/>
    <w:rsid w:val="00BD3B56"/>
    <w:rsid w:val="00BD40A6"/>
    <w:rsid w:val="00BD57DA"/>
    <w:rsid w:val="00BD7084"/>
    <w:rsid w:val="00BD7502"/>
    <w:rsid w:val="00BD7E3E"/>
    <w:rsid w:val="00BE0607"/>
    <w:rsid w:val="00BE1ABE"/>
    <w:rsid w:val="00BE1BC7"/>
    <w:rsid w:val="00BE3740"/>
    <w:rsid w:val="00BE3A3A"/>
    <w:rsid w:val="00BE4D48"/>
    <w:rsid w:val="00BE5E14"/>
    <w:rsid w:val="00BE6492"/>
    <w:rsid w:val="00BE79D2"/>
    <w:rsid w:val="00BF0E57"/>
    <w:rsid w:val="00BF113C"/>
    <w:rsid w:val="00BF114D"/>
    <w:rsid w:val="00BF140B"/>
    <w:rsid w:val="00BF197C"/>
    <w:rsid w:val="00BF1F8C"/>
    <w:rsid w:val="00BF1F93"/>
    <w:rsid w:val="00BF20EB"/>
    <w:rsid w:val="00BF227F"/>
    <w:rsid w:val="00BF2DCE"/>
    <w:rsid w:val="00BF3013"/>
    <w:rsid w:val="00BF3931"/>
    <w:rsid w:val="00BF48B8"/>
    <w:rsid w:val="00BF4DF1"/>
    <w:rsid w:val="00BF4E89"/>
    <w:rsid w:val="00BF51DD"/>
    <w:rsid w:val="00BF6312"/>
    <w:rsid w:val="00BF69F0"/>
    <w:rsid w:val="00BF6F4D"/>
    <w:rsid w:val="00BF7377"/>
    <w:rsid w:val="00BF782B"/>
    <w:rsid w:val="00C00139"/>
    <w:rsid w:val="00C002FE"/>
    <w:rsid w:val="00C006A6"/>
    <w:rsid w:val="00C009D2"/>
    <w:rsid w:val="00C00D10"/>
    <w:rsid w:val="00C026D6"/>
    <w:rsid w:val="00C02751"/>
    <w:rsid w:val="00C02E05"/>
    <w:rsid w:val="00C038B7"/>
    <w:rsid w:val="00C04EFC"/>
    <w:rsid w:val="00C05A2F"/>
    <w:rsid w:val="00C06B19"/>
    <w:rsid w:val="00C0709E"/>
    <w:rsid w:val="00C07337"/>
    <w:rsid w:val="00C0756B"/>
    <w:rsid w:val="00C07806"/>
    <w:rsid w:val="00C103D2"/>
    <w:rsid w:val="00C10DAA"/>
    <w:rsid w:val="00C119E9"/>
    <w:rsid w:val="00C11C10"/>
    <w:rsid w:val="00C12263"/>
    <w:rsid w:val="00C124A0"/>
    <w:rsid w:val="00C13CC8"/>
    <w:rsid w:val="00C1475F"/>
    <w:rsid w:val="00C147A0"/>
    <w:rsid w:val="00C14F68"/>
    <w:rsid w:val="00C1574A"/>
    <w:rsid w:val="00C15E0F"/>
    <w:rsid w:val="00C163F8"/>
    <w:rsid w:val="00C1658B"/>
    <w:rsid w:val="00C1714F"/>
    <w:rsid w:val="00C17AD3"/>
    <w:rsid w:val="00C20242"/>
    <w:rsid w:val="00C20E3A"/>
    <w:rsid w:val="00C21492"/>
    <w:rsid w:val="00C21AD2"/>
    <w:rsid w:val="00C220BB"/>
    <w:rsid w:val="00C230E2"/>
    <w:rsid w:val="00C24263"/>
    <w:rsid w:val="00C24837"/>
    <w:rsid w:val="00C249AC"/>
    <w:rsid w:val="00C25189"/>
    <w:rsid w:val="00C2534B"/>
    <w:rsid w:val="00C25404"/>
    <w:rsid w:val="00C25819"/>
    <w:rsid w:val="00C26494"/>
    <w:rsid w:val="00C27052"/>
    <w:rsid w:val="00C2783E"/>
    <w:rsid w:val="00C27AFF"/>
    <w:rsid w:val="00C30649"/>
    <w:rsid w:val="00C311EA"/>
    <w:rsid w:val="00C312E6"/>
    <w:rsid w:val="00C32D56"/>
    <w:rsid w:val="00C367A2"/>
    <w:rsid w:val="00C37956"/>
    <w:rsid w:val="00C40138"/>
    <w:rsid w:val="00C4139B"/>
    <w:rsid w:val="00C422B9"/>
    <w:rsid w:val="00C424C7"/>
    <w:rsid w:val="00C42C89"/>
    <w:rsid w:val="00C438D1"/>
    <w:rsid w:val="00C44545"/>
    <w:rsid w:val="00C447B3"/>
    <w:rsid w:val="00C44C8E"/>
    <w:rsid w:val="00C45719"/>
    <w:rsid w:val="00C4571C"/>
    <w:rsid w:val="00C46878"/>
    <w:rsid w:val="00C478B6"/>
    <w:rsid w:val="00C513C4"/>
    <w:rsid w:val="00C51AE9"/>
    <w:rsid w:val="00C51ECC"/>
    <w:rsid w:val="00C52275"/>
    <w:rsid w:val="00C52878"/>
    <w:rsid w:val="00C5307F"/>
    <w:rsid w:val="00C53315"/>
    <w:rsid w:val="00C53C8A"/>
    <w:rsid w:val="00C54219"/>
    <w:rsid w:val="00C54ECC"/>
    <w:rsid w:val="00C5610B"/>
    <w:rsid w:val="00C562F1"/>
    <w:rsid w:val="00C568AE"/>
    <w:rsid w:val="00C5732A"/>
    <w:rsid w:val="00C5764D"/>
    <w:rsid w:val="00C57EB3"/>
    <w:rsid w:val="00C6014D"/>
    <w:rsid w:val="00C611E8"/>
    <w:rsid w:val="00C61229"/>
    <w:rsid w:val="00C61CBC"/>
    <w:rsid w:val="00C62505"/>
    <w:rsid w:val="00C62719"/>
    <w:rsid w:val="00C6396D"/>
    <w:rsid w:val="00C64344"/>
    <w:rsid w:val="00C645EA"/>
    <w:rsid w:val="00C64877"/>
    <w:rsid w:val="00C649AB"/>
    <w:rsid w:val="00C64ACA"/>
    <w:rsid w:val="00C65ADF"/>
    <w:rsid w:val="00C66F83"/>
    <w:rsid w:val="00C6787F"/>
    <w:rsid w:val="00C679AD"/>
    <w:rsid w:val="00C67A73"/>
    <w:rsid w:val="00C67F4A"/>
    <w:rsid w:val="00C70A4F"/>
    <w:rsid w:val="00C725BE"/>
    <w:rsid w:val="00C728F9"/>
    <w:rsid w:val="00C72C2B"/>
    <w:rsid w:val="00C73593"/>
    <w:rsid w:val="00C736D8"/>
    <w:rsid w:val="00C73B51"/>
    <w:rsid w:val="00C740DE"/>
    <w:rsid w:val="00C742EB"/>
    <w:rsid w:val="00C74FB2"/>
    <w:rsid w:val="00C76067"/>
    <w:rsid w:val="00C7635D"/>
    <w:rsid w:val="00C7700B"/>
    <w:rsid w:val="00C77549"/>
    <w:rsid w:val="00C77C0C"/>
    <w:rsid w:val="00C80F31"/>
    <w:rsid w:val="00C8163C"/>
    <w:rsid w:val="00C82F33"/>
    <w:rsid w:val="00C831CF"/>
    <w:rsid w:val="00C833A9"/>
    <w:rsid w:val="00C8449A"/>
    <w:rsid w:val="00C84667"/>
    <w:rsid w:val="00C85059"/>
    <w:rsid w:val="00C8545F"/>
    <w:rsid w:val="00C85D13"/>
    <w:rsid w:val="00C878CF"/>
    <w:rsid w:val="00C87B88"/>
    <w:rsid w:val="00C90A3B"/>
    <w:rsid w:val="00C90ACD"/>
    <w:rsid w:val="00C92EFA"/>
    <w:rsid w:val="00C933F9"/>
    <w:rsid w:val="00C93ADB"/>
    <w:rsid w:val="00C93AEF"/>
    <w:rsid w:val="00C93C90"/>
    <w:rsid w:val="00C93DA7"/>
    <w:rsid w:val="00C9420B"/>
    <w:rsid w:val="00C95772"/>
    <w:rsid w:val="00C95881"/>
    <w:rsid w:val="00C95FD4"/>
    <w:rsid w:val="00C97D8C"/>
    <w:rsid w:val="00CA105F"/>
    <w:rsid w:val="00CA125F"/>
    <w:rsid w:val="00CA2CFB"/>
    <w:rsid w:val="00CA2F93"/>
    <w:rsid w:val="00CA3E9C"/>
    <w:rsid w:val="00CA5A99"/>
    <w:rsid w:val="00CA6C34"/>
    <w:rsid w:val="00CA7435"/>
    <w:rsid w:val="00CA7626"/>
    <w:rsid w:val="00CA7686"/>
    <w:rsid w:val="00CA772E"/>
    <w:rsid w:val="00CA7F40"/>
    <w:rsid w:val="00CB0694"/>
    <w:rsid w:val="00CB0CE7"/>
    <w:rsid w:val="00CB0DD5"/>
    <w:rsid w:val="00CB3585"/>
    <w:rsid w:val="00CB3B2F"/>
    <w:rsid w:val="00CB3F78"/>
    <w:rsid w:val="00CB4936"/>
    <w:rsid w:val="00CB4EBD"/>
    <w:rsid w:val="00CB503D"/>
    <w:rsid w:val="00CB570D"/>
    <w:rsid w:val="00CB6421"/>
    <w:rsid w:val="00CB64D1"/>
    <w:rsid w:val="00CB6835"/>
    <w:rsid w:val="00CB782D"/>
    <w:rsid w:val="00CB7913"/>
    <w:rsid w:val="00CC0402"/>
    <w:rsid w:val="00CC192E"/>
    <w:rsid w:val="00CC1988"/>
    <w:rsid w:val="00CC2B64"/>
    <w:rsid w:val="00CC3017"/>
    <w:rsid w:val="00CC3357"/>
    <w:rsid w:val="00CC37F4"/>
    <w:rsid w:val="00CC38D7"/>
    <w:rsid w:val="00CC4722"/>
    <w:rsid w:val="00CC540E"/>
    <w:rsid w:val="00CC57C4"/>
    <w:rsid w:val="00CC7217"/>
    <w:rsid w:val="00CC72E8"/>
    <w:rsid w:val="00CC7602"/>
    <w:rsid w:val="00CD073B"/>
    <w:rsid w:val="00CD1BFA"/>
    <w:rsid w:val="00CD2108"/>
    <w:rsid w:val="00CD293A"/>
    <w:rsid w:val="00CD2DCA"/>
    <w:rsid w:val="00CD45F0"/>
    <w:rsid w:val="00CD4A08"/>
    <w:rsid w:val="00CD5A53"/>
    <w:rsid w:val="00CD658B"/>
    <w:rsid w:val="00CD6B0F"/>
    <w:rsid w:val="00CD7C3E"/>
    <w:rsid w:val="00CD7C71"/>
    <w:rsid w:val="00CE091E"/>
    <w:rsid w:val="00CE2C50"/>
    <w:rsid w:val="00CE30A4"/>
    <w:rsid w:val="00CE3758"/>
    <w:rsid w:val="00CE3784"/>
    <w:rsid w:val="00CE5257"/>
    <w:rsid w:val="00CE5DE5"/>
    <w:rsid w:val="00CE6317"/>
    <w:rsid w:val="00CE6E03"/>
    <w:rsid w:val="00CE74D1"/>
    <w:rsid w:val="00CE7B1A"/>
    <w:rsid w:val="00CF26A6"/>
    <w:rsid w:val="00CF28D1"/>
    <w:rsid w:val="00CF3343"/>
    <w:rsid w:val="00CF34E3"/>
    <w:rsid w:val="00CF3D18"/>
    <w:rsid w:val="00CF4D62"/>
    <w:rsid w:val="00CF7EAE"/>
    <w:rsid w:val="00D011A0"/>
    <w:rsid w:val="00D01419"/>
    <w:rsid w:val="00D015F3"/>
    <w:rsid w:val="00D01A02"/>
    <w:rsid w:val="00D02051"/>
    <w:rsid w:val="00D02547"/>
    <w:rsid w:val="00D02B78"/>
    <w:rsid w:val="00D02C9A"/>
    <w:rsid w:val="00D031A4"/>
    <w:rsid w:val="00D03242"/>
    <w:rsid w:val="00D03B04"/>
    <w:rsid w:val="00D03BAE"/>
    <w:rsid w:val="00D03C6C"/>
    <w:rsid w:val="00D041A2"/>
    <w:rsid w:val="00D041D4"/>
    <w:rsid w:val="00D044AB"/>
    <w:rsid w:val="00D04701"/>
    <w:rsid w:val="00D0527B"/>
    <w:rsid w:val="00D061C0"/>
    <w:rsid w:val="00D06602"/>
    <w:rsid w:val="00D06846"/>
    <w:rsid w:val="00D0737A"/>
    <w:rsid w:val="00D07688"/>
    <w:rsid w:val="00D07A5B"/>
    <w:rsid w:val="00D106B5"/>
    <w:rsid w:val="00D10A22"/>
    <w:rsid w:val="00D10B2E"/>
    <w:rsid w:val="00D10F51"/>
    <w:rsid w:val="00D11734"/>
    <w:rsid w:val="00D120CC"/>
    <w:rsid w:val="00D1414B"/>
    <w:rsid w:val="00D1494D"/>
    <w:rsid w:val="00D15447"/>
    <w:rsid w:val="00D157E3"/>
    <w:rsid w:val="00D15FCC"/>
    <w:rsid w:val="00D1607E"/>
    <w:rsid w:val="00D17264"/>
    <w:rsid w:val="00D1740C"/>
    <w:rsid w:val="00D17BF4"/>
    <w:rsid w:val="00D17CBE"/>
    <w:rsid w:val="00D205DD"/>
    <w:rsid w:val="00D20CB4"/>
    <w:rsid w:val="00D210FA"/>
    <w:rsid w:val="00D21B93"/>
    <w:rsid w:val="00D21C41"/>
    <w:rsid w:val="00D22524"/>
    <w:rsid w:val="00D23794"/>
    <w:rsid w:val="00D24371"/>
    <w:rsid w:val="00D2473B"/>
    <w:rsid w:val="00D25D6E"/>
    <w:rsid w:val="00D26711"/>
    <w:rsid w:val="00D26FA2"/>
    <w:rsid w:val="00D27D17"/>
    <w:rsid w:val="00D27D3A"/>
    <w:rsid w:val="00D27F38"/>
    <w:rsid w:val="00D27F9B"/>
    <w:rsid w:val="00D3088A"/>
    <w:rsid w:val="00D30C2C"/>
    <w:rsid w:val="00D3122A"/>
    <w:rsid w:val="00D31CDC"/>
    <w:rsid w:val="00D321AB"/>
    <w:rsid w:val="00D32820"/>
    <w:rsid w:val="00D329BC"/>
    <w:rsid w:val="00D3336D"/>
    <w:rsid w:val="00D3341C"/>
    <w:rsid w:val="00D33F8F"/>
    <w:rsid w:val="00D3499C"/>
    <w:rsid w:val="00D354DF"/>
    <w:rsid w:val="00D36345"/>
    <w:rsid w:val="00D36A8D"/>
    <w:rsid w:val="00D36CE6"/>
    <w:rsid w:val="00D40777"/>
    <w:rsid w:val="00D40974"/>
    <w:rsid w:val="00D40C45"/>
    <w:rsid w:val="00D4122B"/>
    <w:rsid w:val="00D41AFF"/>
    <w:rsid w:val="00D42542"/>
    <w:rsid w:val="00D429C9"/>
    <w:rsid w:val="00D433C8"/>
    <w:rsid w:val="00D43BF0"/>
    <w:rsid w:val="00D4479F"/>
    <w:rsid w:val="00D4553D"/>
    <w:rsid w:val="00D45CED"/>
    <w:rsid w:val="00D46D0D"/>
    <w:rsid w:val="00D47139"/>
    <w:rsid w:val="00D471AF"/>
    <w:rsid w:val="00D47375"/>
    <w:rsid w:val="00D47455"/>
    <w:rsid w:val="00D474ED"/>
    <w:rsid w:val="00D47D01"/>
    <w:rsid w:val="00D51182"/>
    <w:rsid w:val="00D512ED"/>
    <w:rsid w:val="00D51AE4"/>
    <w:rsid w:val="00D52110"/>
    <w:rsid w:val="00D52FB0"/>
    <w:rsid w:val="00D531AD"/>
    <w:rsid w:val="00D537F3"/>
    <w:rsid w:val="00D53869"/>
    <w:rsid w:val="00D542E6"/>
    <w:rsid w:val="00D54356"/>
    <w:rsid w:val="00D54560"/>
    <w:rsid w:val="00D551D8"/>
    <w:rsid w:val="00D55548"/>
    <w:rsid w:val="00D561A7"/>
    <w:rsid w:val="00D56985"/>
    <w:rsid w:val="00D5740B"/>
    <w:rsid w:val="00D5743A"/>
    <w:rsid w:val="00D57560"/>
    <w:rsid w:val="00D575CC"/>
    <w:rsid w:val="00D60A5C"/>
    <w:rsid w:val="00D617B0"/>
    <w:rsid w:val="00D61924"/>
    <w:rsid w:val="00D61BB7"/>
    <w:rsid w:val="00D636F3"/>
    <w:rsid w:val="00D6409F"/>
    <w:rsid w:val="00D64E85"/>
    <w:rsid w:val="00D65132"/>
    <w:rsid w:val="00D66673"/>
    <w:rsid w:val="00D67828"/>
    <w:rsid w:val="00D67BF2"/>
    <w:rsid w:val="00D717C4"/>
    <w:rsid w:val="00D724A9"/>
    <w:rsid w:val="00D72970"/>
    <w:rsid w:val="00D72DC3"/>
    <w:rsid w:val="00D73A58"/>
    <w:rsid w:val="00D7516B"/>
    <w:rsid w:val="00D75F25"/>
    <w:rsid w:val="00D76F31"/>
    <w:rsid w:val="00D77399"/>
    <w:rsid w:val="00D773EF"/>
    <w:rsid w:val="00D777A5"/>
    <w:rsid w:val="00D829B9"/>
    <w:rsid w:val="00D834DA"/>
    <w:rsid w:val="00D836E6"/>
    <w:rsid w:val="00D8380C"/>
    <w:rsid w:val="00D8419C"/>
    <w:rsid w:val="00D843DC"/>
    <w:rsid w:val="00D84F70"/>
    <w:rsid w:val="00D858DF"/>
    <w:rsid w:val="00D85AC9"/>
    <w:rsid w:val="00D85BE6"/>
    <w:rsid w:val="00D86649"/>
    <w:rsid w:val="00D867EA"/>
    <w:rsid w:val="00D86C86"/>
    <w:rsid w:val="00D86CC4"/>
    <w:rsid w:val="00D86F5C"/>
    <w:rsid w:val="00D910E0"/>
    <w:rsid w:val="00D91C3C"/>
    <w:rsid w:val="00D940AD"/>
    <w:rsid w:val="00D941C1"/>
    <w:rsid w:val="00D947CE"/>
    <w:rsid w:val="00D9487C"/>
    <w:rsid w:val="00D94B11"/>
    <w:rsid w:val="00D95F73"/>
    <w:rsid w:val="00D96DF6"/>
    <w:rsid w:val="00D97917"/>
    <w:rsid w:val="00D97BB8"/>
    <w:rsid w:val="00DA2A34"/>
    <w:rsid w:val="00DA341C"/>
    <w:rsid w:val="00DA37FF"/>
    <w:rsid w:val="00DA3CF4"/>
    <w:rsid w:val="00DA5F83"/>
    <w:rsid w:val="00DA609D"/>
    <w:rsid w:val="00DA6467"/>
    <w:rsid w:val="00DA6899"/>
    <w:rsid w:val="00DA6CFE"/>
    <w:rsid w:val="00DA6E37"/>
    <w:rsid w:val="00DA7839"/>
    <w:rsid w:val="00DA7B6F"/>
    <w:rsid w:val="00DB024E"/>
    <w:rsid w:val="00DB052A"/>
    <w:rsid w:val="00DB0A57"/>
    <w:rsid w:val="00DB1F82"/>
    <w:rsid w:val="00DB2208"/>
    <w:rsid w:val="00DB2650"/>
    <w:rsid w:val="00DB2A42"/>
    <w:rsid w:val="00DB2B7A"/>
    <w:rsid w:val="00DB3A7D"/>
    <w:rsid w:val="00DB5211"/>
    <w:rsid w:val="00DB69CE"/>
    <w:rsid w:val="00DB6CD3"/>
    <w:rsid w:val="00DB7592"/>
    <w:rsid w:val="00DC0772"/>
    <w:rsid w:val="00DC1840"/>
    <w:rsid w:val="00DC1BE4"/>
    <w:rsid w:val="00DC22EB"/>
    <w:rsid w:val="00DC24F3"/>
    <w:rsid w:val="00DC3221"/>
    <w:rsid w:val="00DC3A7E"/>
    <w:rsid w:val="00DC4160"/>
    <w:rsid w:val="00DC42B2"/>
    <w:rsid w:val="00DC4358"/>
    <w:rsid w:val="00DC4C4E"/>
    <w:rsid w:val="00DD09DC"/>
    <w:rsid w:val="00DD0F8E"/>
    <w:rsid w:val="00DD18F6"/>
    <w:rsid w:val="00DD1D20"/>
    <w:rsid w:val="00DD24A1"/>
    <w:rsid w:val="00DD360D"/>
    <w:rsid w:val="00DD372D"/>
    <w:rsid w:val="00DD497E"/>
    <w:rsid w:val="00DD585F"/>
    <w:rsid w:val="00DD6AC0"/>
    <w:rsid w:val="00DD6BC7"/>
    <w:rsid w:val="00DD7C44"/>
    <w:rsid w:val="00DE05E3"/>
    <w:rsid w:val="00DE1843"/>
    <w:rsid w:val="00DE23F2"/>
    <w:rsid w:val="00DE2AA6"/>
    <w:rsid w:val="00DE343A"/>
    <w:rsid w:val="00DE3F1E"/>
    <w:rsid w:val="00DE46F7"/>
    <w:rsid w:val="00DE4A03"/>
    <w:rsid w:val="00DE5436"/>
    <w:rsid w:val="00DE591F"/>
    <w:rsid w:val="00DE5EED"/>
    <w:rsid w:val="00DE6C60"/>
    <w:rsid w:val="00DF1032"/>
    <w:rsid w:val="00DF19B2"/>
    <w:rsid w:val="00DF1CBC"/>
    <w:rsid w:val="00DF3CE2"/>
    <w:rsid w:val="00DF42D3"/>
    <w:rsid w:val="00DF4949"/>
    <w:rsid w:val="00DF5336"/>
    <w:rsid w:val="00DF556B"/>
    <w:rsid w:val="00DF5F75"/>
    <w:rsid w:val="00DF699F"/>
    <w:rsid w:val="00DF6A6F"/>
    <w:rsid w:val="00DF7453"/>
    <w:rsid w:val="00E01116"/>
    <w:rsid w:val="00E0290B"/>
    <w:rsid w:val="00E03174"/>
    <w:rsid w:val="00E0335F"/>
    <w:rsid w:val="00E033CF"/>
    <w:rsid w:val="00E03B9F"/>
    <w:rsid w:val="00E03D97"/>
    <w:rsid w:val="00E053AD"/>
    <w:rsid w:val="00E054A5"/>
    <w:rsid w:val="00E05962"/>
    <w:rsid w:val="00E0613C"/>
    <w:rsid w:val="00E06287"/>
    <w:rsid w:val="00E063EA"/>
    <w:rsid w:val="00E07573"/>
    <w:rsid w:val="00E07CF5"/>
    <w:rsid w:val="00E10222"/>
    <w:rsid w:val="00E10432"/>
    <w:rsid w:val="00E10D99"/>
    <w:rsid w:val="00E1233E"/>
    <w:rsid w:val="00E132C0"/>
    <w:rsid w:val="00E13E6E"/>
    <w:rsid w:val="00E1465B"/>
    <w:rsid w:val="00E14B40"/>
    <w:rsid w:val="00E16B39"/>
    <w:rsid w:val="00E16B4C"/>
    <w:rsid w:val="00E16BDD"/>
    <w:rsid w:val="00E16C84"/>
    <w:rsid w:val="00E20910"/>
    <w:rsid w:val="00E20EB3"/>
    <w:rsid w:val="00E2111E"/>
    <w:rsid w:val="00E211B3"/>
    <w:rsid w:val="00E224CA"/>
    <w:rsid w:val="00E22881"/>
    <w:rsid w:val="00E23129"/>
    <w:rsid w:val="00E23AF7"/>
    <w:rsid w:val="00E23FA4"/>
    <w:rsid w:val="00E25149"/>
    <w:rsid w:val="00E25BCA"/>
    <w:rsid w:val="00E26590"/>
    <w:rsid w:val="00E2755B"/>
    <w:rsid w:val="00E275D7"/>
    <w:rsid w:val="00E2791F"/>
    <w:rsid w:val="00E27DE0"/>
    <w:rsid w:val="00E3038A"/>
    <w:rsid w:val="00E307FB"/>
    <w:rsid w:val="00E32790"/>
    <w:rsid w:val="00E335E6"/>
    <w:rsid w:val="00E339D7"/>
    <w:rsid w:val="00E33B57"/>
    <w:rsid w:val="00E3431D"/>
    <w:rsid w:val="00E36DC6"/>
    <w:rsid w:val="00E405EB"/>
    <w:rsid w:val="00E4089C"/>
    <w:rsid w:val="00E411EF"/>
    <w:rsid w:val="00E42500"/>
    <w:rsid w:val="00E4267C"/>
    <w:rsid w:val="00E434CD"/>
    <w:rsid w:val="00E43855"/>
    <w:rsid w:val="00E438DD"/>
    <w:rsid w:val="00E43C33"/>
    <w:rsid w:val="00E44068"/>
    <w:rsid w:val="00E44D78"/>
    <w:rsid w:val="00E463E6"/>
    <w:rsid w:val="00E4655F"/>
    <w:rsid w:val="00E4684E"/>
    <w:rsid w:val="00E46CBE"/>
    <w:rsid w:val="00E47361"/>
    <w:rsid w:val="00E47C9F"/>
    <w:rsid w:val="00E503A2"/>
    <w:rsid w:val="00E50583"/>
    <w:rsid w:val="00E51EA9"/>
    <w:rsid w:val="00E52454"/>
    <w:rsid w:val="00E526FE"/>
    <w:rsid w:val="00E52AEC"/>
    <w:rsid w:val="00E52CE9"/>
    <w:rsid w:val="00E52D05"/>
    <w:rsid w:val="00E53453"/>
    <w:rsid w:val="00E5392C"/>
    <w:rsid w:val="00E53DED"/>
    <w:rsid w:val="00E540F6"/>
    <w:rsid w:val="00E54D9B"/>
    <w:rsid w:val="00E5510C"/>
    <w:rsid w:val="00E551B1"/>
    <w:rsid w:val="00E553D7"/>
    <w:rsid w:val="00E562DF"/>
    <w:rsid w:val="00E60F8A"/>
    <w:rsid w:val="00E62604"/>
    <w:rsid w:val="00E63F04"/>
    <w:rsid w:val="00E63F08"/>
    <w:rsid w:val="00E66DA6"/>
    <w:rsid w:val="00E6763B"/>
    <w:rsid w:val="00E67C8A"/>
    <w:rsid w:val="00E67EC6"/>
    <w:rsid w:val="00E70141"/>
    <w:rsid w:val="00E71DF8"/>
    <w:rsid w:val="00E73CC5"/>
    <w:rsid w:val="00E74326"/>
    <w:rsid w:val="00E75231"/>
    <w:rsid w:val="00E7599B"/>
    <w:rsid w:val="00E75E73"/>
    <w:rsid w:val="00E762E0"/>
    <w:rsid w:val="00E7697D"/>
    <w:rsid w:val="00E76A12"/>
    <w:rsid w:val="00E7733F"/>
    <w:rsid w:val="00E800D9"/>
    <w:rsid w:val="00E807C9"/>
    <w:rsid w:val="00E82D46"/>
    <w:rsid w:val="00E830FF"/>
    <w:rsid w:val="00E83550"/>
    <w:rsid w:val="00E83AD4"/>
    <w:rsid w:val="00E83BC2"/>
    <w:rsid w:val="00E84406"/>
    <w:rsid w:val="00E8450E"/>
    <w:rsid w:val="00E84543"/>
    <w:rsid w:val="00E84F7B"/>
    <w:rsid w:val="00E864DE"/>
    <w:rsid w:val="00E86777"/>
    <w:rsid w:val="00E86CC5"/>
    <w:rsid w:val="00E86D92"/>
    <w:rsid w:val="00E8702C"/>
    <w:rsid w:val="00E873A2"/>
    <w:rsid w:val="00E87ACD"/>
    <w:rsid w:val="00E90241"/>
    <w:rsid w:val="00E90CC9"/>
    <w:rsid w:val="00E91205"/>
    <w:rsid w:val="00E92334"/>
    <w:rsid w:val="00E92AA3"/>
    <w:rsid w:val="00E932D2"/>
    <w:rsid w:val="00E93941"/>
    <w:rsid w:val="00E93A8A"/>
    <w:rsid w:val="00E93EE0"/>
    <w:rsid w:val="00E93F80"/>
    <w:rsid w:val="00E95A07"/>
    <w:rsid w:val="00E95A23"/>
    <w:rsid w:val="00E95F31"/>
    <w:rsid w:val="00E9600A"/>
    <w:rsid w:val="00E9734F"/>
    <w:rsid w:val="00EA03CA"/>
    <w:rsid w:val="00EA3327"/>
    <w:rsid w:val="00EA3457"/>
    <w:rsid w:val="00EA3BD3"/>
    <w:rsid w:val="00EA4174"/>
    <w:rsid w:val="00EA42E3"/>
    <w:rsid w:val="00EA46E5"/>
    <w:rsid w:val="00EA5634"/>
    <w:rsid w:val="00EA584B"/>
    <w:rsid w:val="00EA5B24"/>
    <w:rsid w:val="00EA71DB"/>
    <w:rsid w:val="00EA764F"/>
    <w:rsid w:val="00EB121D"/>
    <w:rsid w:val="00EB13AF"/>
    <w:rsid w:val="00EB1987"/>
    <w:rsid w:val="00EB4D5D"/>
    <w:rsid w:val="00EB4EBC"/>
    <w:rsid w:val="00EB5866"/>
    <w:rsid w:val="00EB5E0B"/>
    <w:rsid w:val="00EB7FE8"/>
    <w:rsid w:val="00EC1403"/>
    <w:rsid w:val="00EC153B"/>
    <w:rsid w:val="00EC15EC"/>
    <w:rsid w:val="00EC16AC"/>
    <w:rsid w:val="00EC2401"/>
    <w:rsid w:val="00EC3360"/>
    <w:rsid w:val="00EC4C66"/>
    <w:rsid w:val="00EC6A5C"/>
    <w:rsid w:val="00EC7187"/>
    <w:rsid w:val="00ED0347"/>
    <w:rsid w:val="00ED0B05"/>
    <w:rsid w:val="00ED149E"/>
    <w:rsid w:val="00ED1923"/>
    <w:rsid w:val="00ED1BD9"/>
    <w:rsid w:val="00ED22EB"/>
    <w:rsid w:val="00ED29A1"/>
    <w:rsid w:val="00ED2AB0"/>
    <w:rsid w:val="00ED2B3A"/>
    <w:rsid w:val="00ED35CD"/>
    <w:rsid w:val="00ED3E5C"/>
    <w:rsid w:val="00ED49D4"/>
    <w:rsid w:val="00ED4D65"/>
    <w:rsid w:val="00ED517D"/>
    <w:rsid w:val="00ED5436"/>
    <w:rsid w:val="00ED60B6"/>
    <w:rsid w:val="00ED6548"/>
    <w:rsid w:val="00ED6D8D"/>
    <w:rsid w:val="00ED6E60"/>
    <w:rsid w:val="00ED757F"/>
    <w:rsid w:val="00ED7EDE"/>
    <w:rsid w:val="00EE0391"/>
    <w:rsid w:val="00EE2414"/>
    <w:rsid w:val="00EE3D98"/>
    <w:rsid w:val="00EE4445"/>
    <w:rsid w:val="00EE476D"/>
    <w:rsid w:val="00EE4D3D"/>
    <w:rsid w:val="00EE5595"/>
    <w:rsid w:val="00EE5BDD"/>
    <w:rsid w:val="00EE697C"/>
    <w:rsid w:val="00EE6F69"/>
    <w:rsid w:val="00EE7422"/>
    <w:rsid w:val="00EE745F"/>
    <w:rsid w:val="00EF01CE"/>
    <w:rsid w:val="00EF1CDB"/>
    <w:rsid w:val="00EF2175"/>
    <w:rsid w:val="00EF24EB"/>
    <w:rsid w:val="00EF2785"/>
    <w:rsid w:val="00EF30F1"/>
    <w:rsid w:val="00EF366A"/>
    <w:rsid w:val="00EF39FF"/>
    <w:rsid w:val="00EF4464"/>
    <w:rsid w:val="00EF464C"/>
    <w:rsid w:val="00EF525E"/>
    <w:rsid w:val="00EF5648"/>
    <w:rsid w:val="00EF5952"/>
    <w:rsid w:val="00EF60AA"/>
    <w:rsid w:val="00EF60BF"/>
    <w:rsid w:val="00EF6AC0"/>
    <w:rsid w:val="00EF7766"/>
    <w:rsid w:val="00F0012F"/>
    <w:rsid w:val="00F0196D"/>
    <w:rsid w:val="00F01A20"/>
    <w:rsid w:val="00F021A0"/>
    <w:rsid w:val="00F02243"/>
    <w:rsid w:val="00F025D2"/>
    <w:rsid w:val="00F02725"/>
    <w:rsid w:val="00F04640"/>
    <w:rsid w:val="00F05374"/>
    <w:rsid w:val="00F067FE"/>
    <w:rsid w:val="00F06845"/>
    <w:rsid w:val="00F06910"/>
    <w:rsid w:val="00F0697F"/>
    <w:rsid w:val="00F06E85"/>
    <w:rsid w:val="00F07080"/>
    <w:rsid w:val="00F07276"/>
    <w:rsid w:val="00F1099D"/>
    <w:rsid w:val="00F10D57"/>
    <w:rsid w:val="00F10EA0"/>
    <w:rsid w:val="00F111E3"/>
    <w:rsid w:val="00F11953"/>
    <w:rsid w:val="00F11D68"/>
    <w:rsid w:val="00F121AA"/>
    <w:rsid w:val="00F14094"/>
    <w:rsid w:val="00F14B0D"/>
    <w:rsid w:val="00F16349"/>
    <w:rsid w:val="00F168E7"/>
    <w:rsid w:val="00F17095"/>
    <w:rsid w:val="00F20057"/>
    <w:rsid w:val="00F20A18"/>
    <w:rsid w:val="00F21D24"/>
    <w:rsid w:val="00F243CE"/>
    <w:rsid w:val="00F25625"/>
    <w:rsid w:val="00F26609"/>
    <w:rsid w:val="00F26BCF"/>
    <w:rsid w:val="00F27054"/>
    <w:rsid w:val="00F27468"/>
    <w:rsid w:val="00F276C4"/>
    <w:rsid w:val="00F27C0E"/>
    <w:rsid w:val="00F27F2B"/>
    <w:rsid w:val="00F27FB4"/>
    <w:rsid w:val="00F27FF6"/>
    <w:rsid w:val="00F30A06"/>
    <w:rsid w:val="00F30E7F"/>
    <w:rsid w:val="00F313DD"/>
    <w:rsid w:val="00F31914"/>
    <w:rsid w:val="00F31DF6"/>
    <w:rsid w:val="00F31FB1"/>
    <w:rsid w:val="00F32494"/>
    <w:rsid w:val="00F32CDB"/>
    <w:rsid w:val="00F331F6"/>
    <w:rsid w:val="00F333B7"/>
    <w:rsid w:val="00F33897"/>
    <w:rsid w:val="00F33F2C"/>
    <w:rsid w:val="00F342ED"/>
    <w:rsid w:val="00F344DA"/>
    <w:rsid w:val="00F346F4"/>
    <w:rsid w:val="00F34991"/>
    <w:rsid w:val="00F354BF"/>
    <w:rsid w:val="00F35630"/>
    <w:rsid w:val="00F368E1"/>
    <w:rsid w:val="00F36B13"/>
    <w:rsid w:val="00F36CDB"/>
    <w:rsid w:val="00F36F30"/>
    <w:rsid w:val="00F37363"/>
    <w:rsid w:val="00F37C7D"/>
    <w:rsid w:val="00F37F3C"/>
    <w:rsid w:val="00F40075"/>
    <w:rsid w:val="00F40F54"/>
    <w:rsid w:val="00F4134A"/>
    <w:rsid w:val="00F43F7C"/>
    <w:rsid w:val="00F43FF3"/>
    <w:rsid w:val="00F44B12"/>
    <w:rsid w:val="00F44EF3"/>
    <w:rsid w:val="00F4599B"/>
    <w:rsid w:val="00F468DA"/>
    <w:rsid w:val="00F46A11"/>
    <w:rsid w:val="00F4734D"/>
    <w:rsid w:val="00F4784F"/>
    <w:rsid w:val="00F50EC4"/>
    <w:rsid w:val="00F510CC"/>
    <w:rsid w:val="00F51B60"/>
    <w:rsid w:val="00F52DAD"/>
    <w:rsid w:val="00F531CC"/>
    <w:rsid w:val="00F536B0"/>
    <w:rsid w:val="00F538BF"/>
    <w:rsid w:val="00F5647A"/>
    <w:rsid w:val="00F570FF"/>
    <w:rsid w:val="00F57169"/>
    <w:rsid w:val="00F575E9"/>
    <w:rsid w:val="00F57696"/>
    <w:rsid w:val="00F57D29"/>
    <w:rsid w:val="00F6153B"/>
    <w:rsid w:val="00F615D9"/>
    <w:rsid w:val="00F61E4F"/>
    <w:rsid w:val="00F62155"/>
    <w:rsid w:val="00F62FAB"/>
    <w:rsid w:val="00F642CC"/>
    <w:rsid w:val="00F64BF2"/>
    <w:rsid w:val="00F64C1F"/>
    <w:rsid w:val="00F64ED4"/>
    <w:rsid w:val="00F65B53"/>
    <w:rsid w:val="00F65C86"/>
    <w:rsid w:val="00F65E76"/>
    <w:rsid w:val="00F65EAF"/>
    <w:rsid w:val="00F6662C"/>
    <w:rsid w:val="00F674B8"/>
    <w:rsid w:val="00F675E2"/>
    <w:rsid w:val="00F677F2"/>
    <w:rsid w:val="00F70364"/>
    <w:rsid w:val="00F7041C"/>
    <w:rsid w:val="00F710BF"/>
    <w:rsid w:val="00F76624"/>
    <w:rsid w:val="00F76A1B"/>
    <w:rsid w:val="00F77557"/>
    <w:rsid w:val="00F7764C"/>
    <w:rsid w:val="00F77A27"/>
    <w:rsid w:val="00F80202"/>
    <w:rsid w:val="00F805C6"/>
    <w:rsid w:val="00F80CB2"/>
    <w:rsid w:val="00F80FAA"/>
    <w:rsid w:val="00F81BA9"/>
    <w:rsid w:val="00F822B1"/>
    <w:rsid w:val="00F83F05"/>
    <w:rsid w:val="00F8403C"/>
    <w:rsid w:val="00F8455E"/>
    <w:rsid w:val="00F846C6"/>
    <w:rsid w:val="00F84867"/>
    <w:rsid w:val="00F84A93"/>
    <w:rsid w:val="00F84ABB"/>
    <w:rsid w:val="00F861A2"/>
    <w:rsid w:val="00F874DB"/>
    <w:rsid w:val="00F8792C"/>
    <w:rsid w:val="00F90635"/>
    <w:rsid w:val="00F909D0"/>
    <w:rsid w:val="00F90E43"/>
    <w:rsid w:val="00F91046"/>
    <w:rsid w:val="00F9153E"/>
    <w:rsid w:val="00F924F1"/>
    <w:rsid w:val="00F925A7"/>
    <w:rsid w:val="00F9476F"/>
    <w:rsid w:val="00F94EE7"/>
    <w:rsid w:val="00F95E3B"/>
    <w:rsid w:val="00F96363"/>
    <w:rsid w:val="00F975A0"/>
    <w:rsid w:val="00FA0644"/>
    <w:rsid w:val="00FA1186"/>
    <w:rsid w:val="00FA139F"/>
    <w:rsid w:val="00FA16BF"/>
    <w:rsid w:val="00FA1E45"/>
    <w:rsid w:val="00FA23F5"/>
    <w:rsid w:val="00FA271E"/>
    <w:rsid w:val="00FA27AD"/>
    <w:rsid w:val="00FA2856"/>
    <w:rsid w:val="00FA29B9"/>
    <w:rsid w:val="00FA2DE5"/>
    <w:rsid w:val="00FA3978"/>
    <w:rsid w:val="00FA3CAB"/>
    <w:rsid w:val="00FA3E98"/>
    <w:rsid w:val="00FA3ED2"/>
    <w:rsid w:val="00FA40C4"/>
    <w:rsid w:val="00FA4652"/>
    <w:rsid w:val="00FA4C9E"/>
    <w:rsid w:val="00FA5332"/>
    <w:rsid w:val="00FA5E97"/>
    <w:rsid w:val="00FA67BA"/>
    <w:rsid w:val="00FA73D1"/>
    <w:rsid w:val="00FA7779"/>
    <w:rsid w:val="00FB0496"/>
    <w:rsid w:val="00FB049D"/>
    <w:rsid w:val="00FB1EC1"/>
    <w:rsid w:val="00FB273F"/>
    <w:rsid w:val="00FB2D8B"/>
    <w:rsid w:val="00FB313F"/>
    <w:rsid w:val="00FB34E3"/>
    <w:rsid w:val="00FB42CC"/>
    <w:rsid w:val="00FB4683"/>
    <w:rsid w:val="00FB47EA"/>
    <w:rsid w:val="00FB4983"/>
    <w:rsid w:val="00FB4A4C"/>
    <w:rsid w:val="00FB51D8"/>
    <w:rsid w:val="00FB6381"/>
    <w:rsid w:val="00FB64C7"/>
    <w:rsid w:val="00FB7C6F"/>
    <w:rsid w:val="00FC046F"/>
    <w:rsid w:val="00FC08A4"/>
    <w:rsid w:val="00FC0902"/>
    <w:rsid w:val="00FC0B6F"/>
    <w:rsid w:val="00FC118D"/>
    <w:rsid w:val="00FC173E"/>
    <w:rsid w:val="00FC2902"/>
    <w:rsid w:val="00FC292E"/>
    <w:rsid w:val="00FC3C3C"/>
    <w:rsid w:val="00FC456C"/>
    <w:rsid w:val="00FC4647"/>
    <w:rsid w:val="00FC58EE"/>
    <w:rsid w:val="00FC5D74"/>
    <w:rsid w:val="00FC66F5"/>
    <w:rsid w:val="00FC6FEA"/>
    <w:rsid w:val="00FC72EF"/>
    <w:rsid w:val="00FC73E6"/>
    <w:rsid w:val="00FC79E3"/>
    <w:rsid w:val="00FC7B03"/>
    <w:rsid w:val="00FD03D2"/>
    <w:rsid w:val="00FD0935"/>
    <w:rsid w:val="00FD1DE9"/>
    <w:rsid w:val="00FD2584"/>
    <w:rsid w:val="00FD2F27"/>
    <w:rsid w:val="00FD30C5"/>
    <w:rsid w:val="00FD335C"/>
    <w:rsid w:val="00FD3C52"/>
    <w:rsid w:val="00FD3D0F"/>
    <w:rsid w:val="00FD3E39"/>
    <w:rsid w:val="00FD3EDE"/>
    <w:rsid w:val="00FD4242"/>
    <w:rsid w:val="00FD502F"/>
    <w:rsid w:val="00FD63F2"/>
    <w:rsid w:val="00FD7373"/>
    <w:rsid w:val="00FD7FCF"/>
    <w:rsid w:val="00FE0B33"/>
    <w:rsid w:val="00FE165A"/>
    <w:rsid w:val="00FE170C"/>
    <w:rsid w:val="00FE22F3"/>
    <w:rsid w:val="00FE25F7"/>
    <w:rsid w:val="00FE2E70"/>
    <w:rsid w:val="00FE2ECA"/>
    <w:rsid w:val="00FE37E2"/>
    <w:rsid w:val="00FE4BAB"/>
    <w:rsid w:val="00FE5968"/>
    <w:rsid w:val="00FE5B4A"/>
    <w:rsid w:val="00FE6EF3"/>
    <w:rsid w:val="00FE789C"/>
    <w:rsid w:val="00FE7A22"/>
    <w:rsid w:val="00FF0AA1"/>
    <w:rsid w:val="00FF148B"/>
    <w:rsid w:val="00FF2240"/>
    <w:rsid w:val="00FF2688"/>
    <w:rsid w:val="00FF302E"/>
    <w:rsid w:val="00FF30CC"/>
    <w:rsid w:val="00FF43F5"/>
    <w:rsid w:val="00FF4986"/>
    <w:rsid w:val="00FF517A"/>
    <w:rsid w:val="00FF551B"/>
    <w:rsid w:val="00FF573C"/>
    <w:rsid w:val="00FF588D"/>
    <w:rsid w:val="00FF62ED"/>
    <w:rsid w:val="00FF645C"/>
    <w:rsid w:val="00FF7130"/>
    <w:rsid w:val="01440E58"/>
    <w:rsid w:val="01BDEE7E"/>
    <w:rsid w:val="020F635B"/>
    <w:rsid w:val="0215FD62"/>
    <w:rsid w:val="021CCF92"/>
    <w:rsid w:val="0250A4DE"/>
    <w:rsid w:val="025F9492"/>
    <w:rsid w:val="0274C353"/>
    <w:rsid w:val="02D5C36D"/>
    <w:rsid w:val="02D9AAFD"/>
    <w:rsid w:val="02E4B5C6"/>
    <w:rsid w:val="0349A43D"/>
    <w:rsid w:val="03850A43"/>
    <w:rsid w:val="03B2CFAA"/>
    <w:rsid w:val="03B87A91"/>
    <w:rsid w:val="03D9FE7D"/>
    <w:rsid w:val="03FD8632"/>
    <w:rsid w:val="044AC896"/>
    <w:rsid w:val="0467B2CB"/>
    <w:rsid w:val="048A2472"/>
    <w:rsid w:val="049A8F50"/>
    <w:rsid w:val="049AEAC0"/>
    <w:rsid w:val="04CDD827"/>
    <w:rsid w:val="04F656AD"/>
    <w:rsid w:val="052066B2"/>
    <w:rsid w:val="0539F89E"/>
    <w:rsid w:val="054B3CCB"/>
    <w:rsid w:val="0569DEB5"/>
    <w:rsid w:val="057E20AA"/>
    <w:rsid w:val="05A3FD03"/>
    <w:rsid w:val="05AAD7D8"/>
    <w:rsid w:val="05ADA6B4"/>
    <w:rsid w:val="05FA8BE1"/>
    <w:rsid w:val="0619261B"/>
    <w:rsid w:val="061A48E8"/>
    <w:rsid w:val="061BEF48"/>
    <w:rsid w:val="069768E4"/>
    <w:rsid w:val="06A41E24"/>
    <w:rsid w:val="06BFDEF9"/>
    <w:rsid w:val="06D1FE98"/>
    <w:rsid w:val="06F6E142"/>
    <w:rsid w:val="07169C39"/>
    <w:rsid w:val="071A26B6"/>
    <w:rsid w:val="07529BFB"/>
    <w:rsid w:val="077DD434"/>
    <w:rsid w:val="07C243F8"/>
    <w:rsid w:val="07DB773C"/>
    <w:rsid w:val="080FCC31"/>
    <w:rsid w:val="08587B66"/>
    <w:rsid w:val="088DF981"/>
    <w:rsid w:val="08DAC775"/>
    <w:rsid w:val="08E48C96"/>
    <w:rsid w:val="09012959"/>
    <w:rsid w:val="0919806A"/>
    <w:rsid w:val="093E04EF"/>
    <w:rsid w:val="0958A5E0"/>
    <w:rsid w:val="0989A359"/>
    <w:rsid w:val="09A3D27F"/>
    <w:rsid w:val="09BC2E49"/>
    <w:rsid w:val="09DB9353"/>
    <w:rsid w:val="0A0591AB"/>
    <w:rsid w:val="0A781AA4"/>
    <w:rsid w:val="0A8F3534"/>
    <w:rsid w:val="0B70E4EB"/>
    <w:rsid w:val="0B972056"/>
    <w:rsid w:val="0BE7E896"/>
    <w:rsid w:val="0BF8EDD7"/>
    <w:rsid w:val="0C57BB3B"/>
    <w:rsid w:val="0C8285AC"/>
    <w:rsid w:val="0CB9A76F"/>
    <w:rsid w:val="0CCA4DEF"/>
    <w:rsid w:val="0CCCEEE7"/>
    <w:rsid w:val="0D2430D4"/>
    <w:rsid w:val="0D559274"/>
    <w:rsid w:val="0D69389F"/>
    <w:rsid w:val="0DE19816"/>
    <w:rsid w:val="0DFD60D1"/>
    <w:rsid w:val="0E1F9DDB"/>
    <w:rsid w:val="0E21900B"/>
    <w:rsid w:val="0E695A91"/>
    <w:rsid w:val="0E72BE86"/>
    <w:rsid w:val="0E94D1B1"/>
    <w:rsid w:val="0EC90ACA"/>
    <w:rsid w:val="0EF9648B"/>
    <w:rsid w:val="0F2B4D7F"/>
    <w:rsid w:val="0F77982E"/>
    <w:rsid w:val="0FC2062E"/>
    <w:rsid w:val="0FC918B4"/>
    <w:rsid w:val="0FCC5FC4"/>
    <w:rsid w:val="0FE0B9D4"/>
    <w:rsid w:val="0FE56103"/>
    <w:rsid w:val="1000A8A2"/>
    <w:rsid w:val="108BB4A7"/>
    <w:rsid w:val="10B4EE21"/>
    <w:rsid w:val="10B77359"/>
    <w:rsid w:val="10BE8FC9"/>
    <w:rsid w:val="10CFDBEB"/>
    <w:rsid w:val="10D4754C"/>
    <w:rsid w:val="1106346F"/>
    <w:rsid w:val="1111D99D"/>
    <w:rsid w:val="111BFFD5"/>
    <w:rsid w:val="1133FAAE"/>
    <w:rsid w:val="115B5789"/>
    <w:rsid w:val="115EC4D5"/>
    <w:rsid w:val="117929FF"/>
    <w:rsid w:val="11C0F5A3"/>
    <w:rsid w:val="12365CDA"/>
    <w:rsid w:val="123C2435"/>
    <w:rsid w:val="125492F7"/>
    <w:rsid w:val="126BAC4C"/>
    <w:rsid w:val="12770D01"/>
    <w:rsid w:val="128693B7"/>
    <w:rsid w:val="12881EE4"/>
    <w:rsid w:val="12D397F2"/>
    <w:rsid w:val="12EF25D9"/>
    <w:rsid w:val="1335D58E"/>
    <w:rsid w:val="13413C63"/>
    <w:rsid w:val="13B3A301"/>
    <w:rsid w:val="13CB09C1"/>
    <w:rsid w:val="13FA85E6"/>
    <w:rsid w:val="1403D5FF"/>
    <w:rsid w:val="14077CAD"/>
    <w:rsid w:val="14192550"/>
    <w:rsid w:val="141DE2EB"/>
    <w:rsid w:val="1487815F"/>
    <w:rsid w:val="149B27C7"/>
    <w:rsid w:val="14D34C01"/>
    <w:rsid w:val="14F2A6B5"/>
    <w:rsid w:val="14F8E7EA"/>
    <w:rsid w:val="14FC61AC"/>
    <w:rsid w:val="15593686"/>
    <w:rsid w:val="1562522E"/>
    <w:rsid w:val="156F36E7"/>
    <w:rsid w:val="1588C158"/>
    <w:rsid w:val="1597D938"/>
    <w:rsid w:val="15A34D0E"/>
    <w:rsid w:val="15B9FB58"/>
    <w:rsid w:val="15C1D121"/>
    <w:rsid w:val="15DE2E92"/>
    <w:rsid w:val="16003D6A"/>
    <w:rsid w:val="16284154"/>
    <w:rsid w:val="16385A38"/>
    <w:rsid w:val="1663BF65"/>
    <w:rsid w:val="16816253"/>
    <w:rsid w:val="168A69F6"/>
    <w:rsid w:val="16A9E9A5"/>
    <w:rsid w:val="16B28335"/>
    <w:rsid w:val="16D80CCE"/>
    <w:rsid w:val="16DDCF2E"/>
    <w:rsid w:val="16EA3546"/>
    <w:rsid w:val="16F5DE93"/>
    <w:rsid w:val="16F68EDC"/>
    <w:rsid w:val="173D9BB4"/>
    <w:rsid w:val="173E3DBE"/>
    <w:rsid w:val="179A6E90"/>
    <w:rsid w:val="17AD460F"/>
    <w:rsid w:val="17C592E6"/>
    <w:rsid w:val="17C6315D"/>
    <w:rsid w:val="17D90B2C"/>
    <w:rsid w:val="17F08605"/>
    <w:rsid w:val="17FD6815"/>
    <w:rsid w:val="180A2324"/>
    <w:rsid w:val="181E9C42"/>
    <w:rsid w:val="184E5396"/>
    <w:rsid w:val="184F74CA"/>
    <w:rsid w:val="185EE957"/>
    <w:rsid w:val="185EFFAB"/>
    <w:rsid w:val="18973864"/>
    <w:rsid w:val="18A3887E"/>
    <w:rsid w:val="18A6D7A9"/>
    <w:rsid w:val="18C31F6B"/>
    <w:rsid w:val="1928F692"/>
    <w:rsid w:val="192D50D0"/>
    <w:rsid w:val="1964AE62"/>
    <w:rsid w:val="196FCF74"/>
    <w:rsid w:val="19967033"/>
    <w:rsid w:val="19BE2931"/>
    <w:rsid w:val="19D1D750"/>
    <w:rsid w:val="1A28AD6E"/>
    <w:rsid w:val="1A525CB3"/>
    <w:rsid w:val="1ABE8A2F"/>
    <w:rsid w:val="1AF742AE"/>
    <w:rsid w:val="1AFB4BC5"/>
    <w:rsid w:val="1B85F458"/>
    <w:rsid w:val="1B9F520A"/>
    <w:rsid w:val="1BC921E3"/>
    <w:rsid w:val="1BDD5227"/>
    <w:rsid w:val="1C00B207"/>
    <w:rsid w:val="1C17B425"/>
    <w:rsid w:val="1C5BC053"/>
    <w:rsid w:val="1C74E56A"/>
    <w:rsid w:val="1CB307FE"/>
    <w:rsid w:val="1D20A200"/>
    <w:rsid w:val="1D236AE6"/>
    <w:rsid w:val="1D41B761"/>
    <w:rsid w:val="1D44C6BA"/>
    <w:rsid w:val="1D60227F"/>
    <w:rsid w:val="1DB17CEF"/>
    <w:rsid w:val="1DFBCFAE"/>
    <w:rsid w:val="1E36C4B4"/>
    <w:rsid w:val="1E41AF92"/>
    <w:rsid w:val="1EADD0A3"/>
    <w:rsid w:val="1ECB80AF"/>
    <w:rsid w:val="1ECE5098"/>
    <w:rsid w:val="1EFA1914"/>
    <w:rsid w:val="1EFF64F4"/>
    <w:rsid w:val="1F0389A2"/>
    <w:rsid w:val="1F49072A"/>
    <w:rsid w:val="1F8FF53A"/>
    <w:rsid w:val="1FA58712"/>
    <w:rsid w:val="1FB8C2C9"/>
    <w:rsid w:val="1FD91AA4"/>
    <w:rsid w:val="2012D40B"/>
    <w:rsid w:val="201FA0E4"/>
    <w:rsid w:val="20621AEE"/>
    <w:rsid w:val="207492EC"/>
    <w:rsid w:val="208E8D01"/>
    <w:rsid w:val="2092704A"/>
    <w:rsid w:val="20AFFC4A"/>
    <w:rsid w:val="20D70950"/>
    <w:rsid w:val="20E71C15"/>
    <w:rsid w:val="20EC1558"/>
    <w:rsid w:val="213597F9"/>
    <w:rsid w:val="216C1DCB"/>
    <w:rsid w:val="2181B64C"/>
    <w:rsid w:val="21BA1887"/>
    <w:rsid w:val="21D00BB6"/>
    <w:rsid w:val="21DF37B8"/>
    <w:rsid w:val="222887E9"/>
    <w:rsid w:val="2268A8E9"/>
    <w:rsid w:val="22C43664"/>
    <w:rsid w:val="22F9F53F"/>
    <w:rsid w:val="230D21F9"/>
    <w:rsid w:val="236BDD1D"/>
    <w:rsid w:val="23732D5F"/>
    <w:rsid w:val="23A8D7D4"/>
    <w:rsid w:val="23AF017A"/>
    <w:rsid w:val="23BFAE09"/>
    <w:rsid w:val="240DA779"/>
    <w:rsid w:val="2412E761"/>
    <w:rsid w:val="247E51B4"/>
    <w:rsid w:val="24CDD839"/>
    <w:rsid w:val="252C0F13"/>
    <w:rsid w:val="252CA5A4"/>
    <w:rsid w:val="25809296"/>
    <w:rsid w:val="258BDECE"/>
    <w:rsid w:val="25C83D6F"/>
    <w:rsid w:val="2648C110"/>
    <w:rsid w:val="26940B6E"/>
    <w:rsid w:val="26A7DEF7"/>
    <w:rsid w:val="2749AFA2"/>
    <w:rsid w:val="27741292"/>
    <w:rsid w:val="2789A74B"/>
    <w:rsid w:val="27DA1396"/>
    <w:rsid w:val="280DE02D"/>
    <w:rsid w:val="286E6B86"/>
    <w:rsid w:val="286F5753"/>
    <w:rsid w:val="28B3E54C"/>
    <w:rsid w:val="28B9D184"/>
    <w:rsid w:val="28CE3F1F"/>
    <w:rsid w:val="28FBD946"/>
    <w:rsid w:val="28FD081C"/>
    <w:rsid w:val="290D1C89"/>
    <w:rsid w:val="291E387B"/>
    <w:rsid w:val="2921A688"/>
    <w:rsid w:val="293D71D3"/>
    <w:rsid w:val="29A1ACE0"/>
    <w:rsid w:val="29E87EFB"/>
    <w:rsid w:val="29F592A0"/>
    <w:rsid w:val="2A3EFD2E"/>
    <w:rsid w:val="2A67A23B"/>
    <w:rsid w:val="2A708CB6"/>
    <w:rsid w:val="2A79DD76"/>
    <w:rsid w:val="2A852E98"/>
    <w:rsid w:val="2A9EA64C"/>
    <w:rsid w:val="2AB3BAA9"/>
    <w:rsid w:val="2AE37EDF"/>
    <w:rsid w:val="2AF01ED9"/>
    <w:rsid w:val="2B0F2541"/>
    <w:rsid w:val="2C342342"/>
    <w:rsid w:val="2C54133C"/>
    <w:rsid w:val="2C6E5E4C"/>
    <w:rsid w:val="2CE0A9F8"/>
    <w:rsid w:val="2CE587EF"/>
    <w:rsid w:val="2D52396A"/>
    <w:rsid w:val="2D7DC800"/>
    <w:rsid w:val="2D97D144"/>
    <w:rsid w:val="2DB16A04"/>
    <w:rsid w:val="2E2BFDFF"/>
    <w:rsid w:val="2E83C04A"/>
    <w:rsid w:val="2E9609BA"/>
    <w:rsid w:val="2EF6C0F7"/>
    <w:rsid w:val="2F18AC16"/>
    <w:rsid w:val="2F4F63CF"/>
    <w:rsid w:val="2F619794"/>
    <w:rsid w:val="2FB576B7"/>
    <w:rsid w:val="2FE63258"/>
    <w:rsid w:val="2FF9F2D4"/>
    <w:rsid w:val="3050F68C"/>
    <w:rsid w:val="30571A7B"/>
    <w:rsid w:val="306224AD"/>
    <w:rsid w:val="30929158"/>
    <w:rsid w:val="30C85956"/>
    <w:rsid w:val="30FAB0E5"/>
    <w:rsid w:val="310DB474"/>
    <w:rsid w:val="310DF156"/>
    <w:rsid w:val="31537B0A"/>
    <w:rsid w:val="3179D3D7"/>
    <w:rsid w:val="317F9670"/>
    <w:rsid w:val="31AB9E6C"/>
    <w:rsid w:val="31B5F185"/>
    <w:rsid w:val="31CA4307"/>
    <w:rsid w:val="31D6BE15"/>
    <w:rsid w:val="323A46BF"/>
    <w:rsid w:val="3288A310"/>
    <w:rsid w:val="328D6E94"/>
    <w:rsid w:val="32BDCE25"/>
    <w:rsid w:val="334FDB86"/>
    <w:rsid w:val="335F8D54"/>
    <w:rsid w:val="337E8EF3"/>
    <w:rsid w:val="3399CAE2"/>
    <w:rsid w:val="339E4352"/>
    <w:rsid w:val="34329F2A"/>
    <w:rsid w:val="3444684F"/>
    <w:rsid w:val="345470BB"/>
    <w:rsid w:val="347386B9"/>
    <w:rsid w:val="34CE95B9"/>
    <w:rsid w:val="34DBFAAF"/>
    <w:rsid w:val="3530C2F6"/>
    <w:rsid w:val="3536CD71"/>
    <w:rsid w:val="35718AE0"/>
    <w:rsid w:val="368EF706"/>
    <w:rsid w:val="36B05DA8"/>
    <w:rsid w:val="36BF63B3"/>
    <w:rsid w:val="36E4BF53"/>
    <w:rsid w:val="3716CD12"/>
    <w:rsid w:val="3747E76D"/>
    <w:rsid w:val="376859FC"/>
    <w:rsid w:val="3857960D"/>
    <w:rsid w:val="38CA16DE"/>
    <w:rsid w:val="39107B77"/>
    <w:rsid w:val="3924AC9B"/>
    <w:rsid w:val="39644683"/>
    <w:rsid w:val="397E4752"/>
    <w:rsid w:val="399EBB3E"/>
    <w:rsid w:val="39A0D51A"/>
    <w:rsid w:val="39AE39DC"/>
    <w:rsid w:val="39BEC384"/>
    <w:rsid w:val="39DFD3E3"/>
    <w:rsid w:val="39E2D077"/>
    <w:rsid w:val="39E9BD80"/>
    <w:rsid w:val="39EE76CA"/>
    <w:rsid w:val="3A270B06"/>
    <w:rsid w:val="3A4115E2"/>
    <w:rsid w:val="3A41E711"/>
    <w:rsid w:val="3AA4251B"/>
    <w:rsid w:val="3AE1E226"/>
    <w:rsid w:val="3AE5A3FC"/>
    <w:rsid w:val="3AEE1CAF"/>
    <w:rsid w:val="3B27AA91"/>
    <w:rsid w:val="3B69E8E2"/>
    <w:rsid w:val="3B69EE58"/>
    <w:rsid w:val="3BAA54D9"/>
    <w:rsid w:val="3BDB0A6E"/>
    <w:rsid w:val="3BE623CB"/>
    <w:rsid w:val="3BF653EA"/>
    <w:rsid w:val="3C07E526"/>
    <w:rsid w:val="3C14BDAC"/>
    <w:rsid w:val="3C646C87"/>
    <w:rsid w:val="3CC68806"/>
    <w:rsid w:val="3CD2B544"/>
    <w:rsid w:val="3D251ADA"/>
    <w:rsid w:val="3D253863"/>
    <w:rsid w:val="3D2629C9"/>
    <w:rsid w:val="3D5D57FC"/>
    <w:rsid w:val="3E022055"/>
    <w:rsid w:val="3E04A1A8"/>
    <w:rsid w:val="3E0F803E"/>
    <w:rsid w:val="3E1E83BB"/>
    <w:rsid w:val="3E37B7A6"/>
    <w:rsid w:val="3E9BF6EA"/>
    <w:rsid w:val="3EBD9AC5"/>
    <w:rsid w:val="3EC0480A"/>
    <w:rsid w:val="3EC717E1"/>
    <w:rsid w:val="3F5534B4"/>
    <w:rsid w:val="3F790E16"/>
    <w:rsid w:val="3F9BE810"/>
    <w:rsid w:val="3F9F7DDA"/>
    <w:rsid w:val="3FA5854E"/>
    <w:rsid w:val="3FD38807"/>
    <w:rsid w:val="3FD863AD"/>
    <w:rsid w:val="3FE0E220"/>
    <w:rsid w:val="3FEA12D9"/>
    <w:rsid w:val="4017DDEC"/>
    <w:rsid w:val="404A2D1D"/>
    <w:rsid w:val="4111509C"/>
    <w:rsid w:val="4137DDAA"/>
    <w:rsid w:val="4156F1CF"/>
    <w:rsid w:val="4169D71C"/>
    <w:rsid w:val="417E902E"/>
    <w:rsid w:val="41829BBB"/>
    <w:rsid w:val="41A90934"/>
    <w:rsid w:val="41D726A3"/>
    <w:rsid w:val="42771357"/>
    <w:rsid w:val="42C16C7D"/>
    <w:rsid w:val="42E1E979"/>
    <w:rsid w:val="4304058C"/>
    <w:rsid w:val="43050358"/>
    <w:rsid w:val="434851B1"/>
    <w:rsid w:val="435D3D08"/>
    <w:rsid w:val="436A6564"/>
    <w:rsid w:val="4370BA02"/>
    <w:rsid w:val="43777769"/>
    <w:rsid w:val="4396744C"/>
    <w:rsid w:val="43A5A77C"/>
    <w:rsid w:val="43BAAF60"/>
    <w:rsid w:val="43FA1660"/>
    <w:rsid w:val="4420DE9D"/>
    <w:rsid w:val="442D47F9"/>
    <w:rsid w:val="4477A2F2"/>
    <w:rsid w:val="447D71B7"/>
    <w:rsid w:val="44826AF7"/>
    <w:rsid w:val="44A9D205"/>
    <w:rsid w:val="44D1ADDC"/>
    <w:rsid w:val="44E77C5B"/>
    <w:rsid w:val="4509CD2D"/>
    <w:rsid w:val="455B7258"/>
    <w:rsid w:val="45B630B9"/>
    <w:rsid w:val="45BC6558"/>
    <w:rsid w:val="45DB1458"/>
    <w:rsid w:val="4607F413"/>
    <w:rsid w:val="463B4571"/>
    <w:rsid w:val="4642C98B"/>
    <w:rsid w:val="464A9A41"/>
    <w:rsid w:val="46A59D8E"/>
    <w:rsid w:val="477B61C6"/>
    <w:rsid w:val="477E3EA5"/>
    <w:rsid w:val="47C060A9"/>
    <w:rsid w:val="47C0EC87"/>
    <w:rsid w:val="47E3046E"/>
    <w:rsid w:val="4817946D"/>
    <w:rsid w:val="481EE213"/>
    <w:rsid w:val="483451B3"/>
    <w:rsid w:val="4838B3B7"/>
    <w:rsid w:val="48416DEF"/>
    <w:rsid w:val="4843662D"/>
    <w:rsid w:val="489253F0"/>
    <w:rsid w:val="491BD02F"/>
    <w:rsid w:val="494B49DE"/>
    <w:rsid w:val="4954B05C"/>
    <w:rsid w:val="498F3F5D"/>
    <w:rsid w:val="49BAC7A7"/>
    <w:rsid w:val="49DD3E50"/>
    <w:rsid w:val="4A41C156"/>
    <w:rsid w:val="4A50BCAC"/>
    <w:rsid w:val="4AB35605"/>
    <w:rsid w:val="4AD8D819"/>
    <w:rsid w:val="4B5E4E9B"/>
    <w:rsid w:val="4B880EC7"/>
    <w:rsid w:val="4B8DA5CF"/>
    <w:rsid w:val="4BB2CF36"/>
    <w:rsid w:val="4BE7A583"/>
    <w:rsid w:val="4C00CC68"/>
    <w:rsid w:val="4C0BC880"/>
    <w:rsid w:val="4C0DC27C"/>
    <w:rsid w:val="4C3D77F7"/>
    <w:rsid w:val="4CA6E027"/>
    <w:rsid w:val="4CD8C54E"/>
    <w:rsid w:val="4D81B80C"/>
    <w:rsid w:val="4D937E37"/>
    <w:rsid w:val="4DA7F5CD"/>
    <w:rsid w:val="4DB11DD5"/>
    <w:rsid w:val="4DEB4536"/>
    <w:rsid w:val="4DEED213"/>
    <w:rsid w:val="4DEFB4BC"/>
    <w:rsid w:val="4E0808CF"/>
    <w:rsid w:val="4E253EDC"/>
    <w:rsid w:val="4E4C1DC6"/>
    <w:rsid w:val="4E71F400"/>
    <w:rsid w:val="4E78A6F7"/>
    <w:rsid w:val="4E8CA3B5"/>
    <w:rsid w:val="4F02A6A9"/>
    <w:rsid w:val="4F3E1E5A"/>
    <w:rsid w:val="4F632E08"/>
    <w:rsid w:val="4F666B6D"/>
    <w:rsid w:val="4F7F0C73"/>
    <w:rsid w:val="4FEB370F"/>
    <w:rsid w:val="4FF47920"/>
    <w:rsid w:val="5099B210"/>
    <w:rsid w:val="50A69995"/>
    <w:rsid w:val="50CC3501"/>
    <w:rsid w:val="50DD6EC4"/>
    <w:rsid w:val="50FC66E0"/>
    <w:rsid w:val="5128F42B"/>
    <w:rsid w:val="514F72B1"/>
    <w:rsid w:val="5197CEA4"/>
    <w:rsid w:val="51BA41DB"/>
    <w:rsid w:val="51E297DE"/>
    <w:rsid w:val="5209A18B"/>
    <w:rsid w:val="520DC04E"/>
    <w:rsid w:val="525EF764"/>
    <w:rsid w:val="5269B6BA"/>
    <w:rsid w:val="52771AA3"/>
    <w:rsid w:val="52E7D426"/>
    <w:rsid w:val="530F950F"/>
    <w:rsid w:val="531966B3"/>
    <w:rsid w:val="5341F32F"/>
    <w:rsid w:val="535B61B7"/>
    <w:rsid w:val="537A5451"/>
    <w:rsid w:val="53853BD8"/>
    <w:rsid w:val="538D428C"/>
    <w:rsid w:val="53B4B640"/>
    <w:rsid w:val="53D50BD7"/>
    <w:rsid w:val="53DCA87B"/>
    <w:rsid w:val="53F778EF"/>
    <w:rsid w:val="54510BDC"/>
    <w:rsid w:val="546BA3F4"/>
    <w:rsid w:val="5474119F"/>
    <w:rsid w:val="551DBD4D"/>
    <w:rsid w:val="55227C0D"/>
    <w:rsid w:val="5534EE0C"/>
    <w:rsid w:val="5574D137"/>
    <w:rsid w:val="557BA349"/>
    <w:rsid w:val="55898816"/>
    <w:rsid w:val="55D2F1D1"/>
    <w:rsid w:val="55E0BB9B"/>
    <w:rsid w:val="56046B38"/>
    <w:rsid w:val="562B5415"/>
    <w:rsid w:val="5704A17A"/>
    <w:rsid w:val="5741D86F"/>
    <w:rsid w:val="574DD1ED"/>
    <w:rsid w:val="577E57E9"/>
    <w:rsid w:val="578577B2"/>
    <w:rsid w:val="57C60A91"/>
    <w:rsid w:val="57EDA446"/>
    <w:rsid w:val="5850B45B"/>
    <w:rsid w:val="5886D81A"/>
    <w:rsid w:val="5897DD8E"/>
    <w:rsid w:val="58C123C5"/>
    <w:rsid w:val="59449392"/>
    <w:rsid w:val="5962FFB8"/>
    <w:rsid w:val="59D0B416"/>
    <w:rsid w:val="59D0B6BC"/>
    <w:rsid w:val="59EF7EFD"/>
    <w:rsid w:val="59FD5735"/>
    <w:rsid w:val="5ACB3228"/>
    <w:rsid w:val="5AD4575B"/>
    <w:rsid w:val="5AD773CF"/>
    <w:rsid w:val="5B2EA135"/>
    <w:rsid w:val="5B314176"/>
    <w:rsid w:val="5B57B238"/>
    <w:rsid w:val="5B98D660"/>
    <w:rsid w:val="5BEFBBE5"/>
    <w:rsid w:val="5C0BE3BD"/>
    <w:rsid w:val="5C90946A"/>
    <w:rsid w:val="5C9F876C"/>
    <w:rsid w:val="5CD59DCD"/>
    <w:rsid w:val="5CE4DBE0"/>
    <w:rsid w:val="5D37FC2A"/>
    <w:rsid w:val="5D530142"/>
    <w:rsid w:val="5D70D0D4"/>
    <w:rsid w:val="5D737945"/>
    <w:rsid w:val="5DA096C5"/>
    <w:rsid w:val="5DA24427"/>
    <w:rsid w:val="5DCE4A71"/>
    <w:rsid w:val="5E02060A"/>
    <w:rsid w:val="5E43D160"/>
    <w:rsid w:val="5E5BF4DE"/>
    <w:rsid w:val="5E81FBC2"/>
    <w:rsid w:val="5E96E7ED"/>
    <w:rsid w:val="5E9DCD07"/>
    <w:rsid w:val="5EC4ACD7"/>
    <w:rsid w:val="5F1C4D1F"/>
    <w:rsid w:val="5F3AF7D0"/>
    <w:rsid w:val="5F54E17B"/>
    <w:rsid w:val="602939BC"/>
    <w:rsid w:val="60347737"/>
    <w:rsid w:val="605C402F"/>
    <w:rsid w:val="607EB0A5"/>
    <w:rsid w:val="608193DF"/>
    <w:rsid w:val="60A1D804"/>
    <w:rsid w:val="6100C768"/>
    <w:rsid w:val="6118CC2E"/>
    <w:rsid w:val="611F1319"/>
    <w:rsid w:val="6130BBFB"/>
    <w:rsid w:val="613C0E22"/>
    <w:rsid w:val="6146B8D1"/>
    <w:rsid w:val="614BA5ED"/>
    <w:rsid w:val="61780F10"/>
    <w:rsid w:val="61781E15"/>
    <w:rsid w:val="61C477F5"/>
    <w:rsid w:val="61FD9256"/>
    <w:rsid w:val="6204684C"/>
    <w:rsid w:val="624FC73E"/>
    <w:rsid w:val="62517AD4"/>
    <w:rsid w:val="6283D406"/>
    <w:rsid w:val="62B1590C"/>
    <w:rsid w:val="63191783"/>
    <w:rsid w:val="63369B28"/>
    <w:rsid w:val="6352CA22"/>
    <w:rsid w:val="638B01C7"/>
    <w:rsid w:val="63A96AB2"/>
    <w:rsid w:val="6474DEF6"/>
    <w:rsid w:val="64D19E4A"/>
    <w:rsid w:val="65165260"/>
    <w:rsid w:val="6526D228"/>
    <w:rsid w:val="654AF6AB"/>
    <w:rsid w:val="656E8BB6"/>
    <w:rsid w:val="65847294"/>
    <w:rsid w:val="6589E7D5"/>
    <w:rsid w:val="6596F710"/>
    <w:rsid w:val="65B3CF60"/>
    <w:rsid w:val="65CC5093"/>
    <w:rsid w:val="65E46DDF"/>
    <w:rsid w:val="65F25771"/>
    <w:rsid w:val="65F25BED"/>
    <w:rsid w:val="66283B65"/>
    <w:rsid w:val="663CB2C5"/>
    <w:rsid w:val="66483803"/>
    <w:rsid w:val="66F2FF1D"/>
    <w:rsid w:val="670E4BB3"/>
    <w:rsid w:val="6737A528"/>
    <w:rsid w:val="67AB9C6F"/>
    <w:rsid w:val="67F24190"/>
    <w:rsid w:val="680F5FF2"/>
    <w:rsid w:val="6835E499"/>
    <w:rsid w:val="687DB1CC"/>
    <w:rsid w:val="6882976D"/>
    <w:rsid w:val="68A92976"/>
    <w:rsid w:val="68E2CFC9"/>
    <w:rsid w:val="6924FA75"/>
    <w:rsid w:val="69278B5C"/>
    <w:rsid w:val="693F9A16"/>
    <w:rsid w:val="694FD572"/>
    <w:rsid w:val="6990E74F"/>
    <w:rsid w:val="69ADDFEC"/>
    <w:rsid w:val="69F21DBC"/>
    <w:rsid w:val="6A19D700"/>
    <w:rsid w:val="6A3F6D56"/>
    <w:rsid w:val="6A7ED083"/>
    <w:rsid w:val="6A88EE22"/>
    <w:rsid w:val="6A904436"/>
    <w:rsid w:val="6A99748D"/>
    <w:rsid w:val="6AF3019A"/>
    <w:rsid w:val="6B3AB07C"/>
    <w:rsid w:val="6B82A841"/>
    <w:rsid w:val="6B873876"/>
    <w:rsid w:val="6B92DA86"/>
    <w:rsid w:val="6B9613AC"/>
    <w:rsid w:val="6BBA382F"/>
    <w:rsid w:val="6BD4F844"/>
    <w:rsid w:val="6BED8FA0"/>
    <w:rsid w:val="6C0CA4CB"/>
    <w:rsid w:val="6C2B2F7A"/>
    <w:rsid w:val="6C487098"/>
    <w:rsid w:val="6C61FCB9"/>
    <w:rsid w:val="6C6D4277"/>
    <w:rsid w:val="6C7C0126"/>
    <w:rsid w:val="6C982B42"/>
    <w:rsid w:val="6CA127AE"/>
    <w:rsid w:val="6CB267B8"/>
    <w:rsid w:val="6CBEFB74"/>
    <w:rsid w:val="6D7221DD"/>
    <w:rsid w:val="6DB8B1B5"/>
    <w:rsid w:val="6E5411BE"/>
    <w:rsid w:val="6EAF6CC4"/>
    <w:rsid w:val="6ECDB46E"/>
    <w:rsid w:val="6ED5FF76"/>
    <w:rsid w:val="6EFCB578"/>
    <w:rsid w:val="701FF6EA"/>
    <w:rsid w:val="703DA5CA"/>
    <w:rsid w:val="7043A18F"/>
    <w:rsid w:val="705E33D1"/>
    <w:rsid w:val="70774C0B"/>
    <w:rsid w:val="707F60EC"/>
    <w:rsid w:val="70BDF97C"/>
    <w:rsid w:val="7140B49A"/>
    <w:rsid w:val="71BDAAC7"/>
    <w:rsid w:val="71C6E9C7"/>
    <w:rsid w:val="71E773D8"/>
    <w:rsid w:val="722368E1"/>
    <w:rsid w:val="72364AC3"/>
    <w:rsid w:val="723A0EB5"/>
    <w:rsid w:val="727A6B1D"/>
    <w:rsid w:val="72850AAA"/>
    <w:rsid w:val="728A328F"/>
    <w:rsid w:val="7298ED41"/>
    <w:rsid w:val="72E1DD72"/>
    <w:rsid w:val="72E5B4BF"/>
    <w:rsid w:val="7360BF8C"/>
    <w:rsid w:val="73753E9D"/>
    <w:rsid w:val="7380DFE0"/>
    <w:rsid w:val="738B72C5"/>
    <w:rsid w:val="73C07EA9"/>
    <w:rsid w:val="73F4643A"/>
    <w:rsid w:val="74030772"/>
    <w:rsid w:val="7416F3E6"/>
    <w:rsid w:val="745C0508"/>
    <w:rsid w:val="747A9345"/>
    <w:rsid w:val="747EEAB1"/>
    <w:rsid w:val="74C2044B"/>
    <w:rsid w:val="74FA4D83"/>
    <w:rsid w:val="75002C1E"/>
    <w:rsid w:val="7519EA29"/>
    <w:rsid w:val="7554C8A1"/>
    <w:rsid w:val="75659D56"/>
    <w:rsid w:val="7574D93E"/>
    <w:rsid w:val="75C4C967"/>
    <w:rsid w:val="75D4B515"/>
    <w:rsid w:val="75EF99E4"/>
    <w:rsid w:val="75F78E23"/>
    <w:rsid w:val="76214644"/>
    <w:rsid w:val="7648C0D5"/>
    <w:rsid w:val="77200F4C"/>
    <w:rsid w:val="7752AD11"/>
    <w:rsid w:val="77697113"/>
    <w:rsid w:val="778D51BE"/>
    <w:rsid w:val="77F0ADC9"/>
    <w:rsid w:val="78B9E89D"/>
    <w:rsid w:val="7911CA7C"/>
    <w:rsid w:val="791D3EE6"/>
    <w:rsid w:val="794F513D"/>
    <w:rsid w:val="7973E6A2"/>
    <w:rsid w:val="79EB3AF3"/>
    <w:rsid w:val="7A223C1F"/>
    <w:rsid w:val="7A430956"/>
    <w:rsid w:val="7A568A46"/>
    <w:rsid w:val="7A611F26"/>
    <w:rsid w:val="7A7B339F"/>
    <w:rsid w:val="7ABCF2C0"/>
    <w:rsid w:val="7AE57205"/>
    <w:rsid w:val="7B13017A"/>
    <w:rsid w:val="7B7489B8"/>
    <w:rsid w:val="7B9DDC19"/>
    <w:rsid w:val="7BDB86C6"/>
    <w:rsid w:val="7BFDD6AE"/>
    <w:rsid w:val="7C0A401E"/>
    <w:rsid w:val="7C8C8EFE"/>
    <w:rsid w:val="7CAE7948"/>
    <w:rsid w:val="7CDA57D7"/>
    <w:rsid w:val="7CE3E8FD"/>
    <w:rsid w:val="7CEBF8F9"/>
    <w:rsid w:val="7CFF2346"/>
    <w:rsid w:val="7D20DE4B"/>
    <w:rsid w:val="7D3E1F1D"/>
    <w:rsid w:val="7D9CEB48"/>
    <w:rsid w:val="7DAA9F3C"/>
    <w:rsid w:val="7DAD1435"/>
    <w:rsid w:val="7DAF3DB6"/>
    <w:rsid w:val="7DB2BCC0"/>
    <w:rsid w:val="7DBBDCB1"/>
    <w:rsid w:val="7DF675C2"/>
    <w:rsid w:val="7E0F3702"/>
    <w:rsid w:val="7E2959D8"/>
    <w:rsid w:val="7E52F386"/>
    <w:rsid w:val="7E65871A"/>
    <w:rsid w:val="7E7EA08B"/>
    <w:rsid w:val="7EA0A4AE"/>
    <w:rsid w:val="7EAF33CA"/>
    <w:rsid w:val="7EB2B8A1"/>
    <w:rsid w:val="7EC02347"/>
    <w:rsid w:val="7EF0CE82"/>
    <w:rsid w:val="7EFD380E"/>
    <w:rsid w:val="7F6326A7"/>
    <w:rsid w:val="7F6E0F32"/>
    <w:rsid w:val="7F9E22AA"/>
    <w:rsid w:val="7FA91F5D"/>
    <w:rsid w:val="7FBE72CE"/>
    <w:rsid w:val="7FBFDF20"/>
    <w:rsid w:val="7FE0FF9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C4B80"/>
  <w15:docId w15:val="{F70B4D7A-E0EC-461B-8F4F-628B9069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CA" w:eastAsia="en-US" w:bidi="ar-SA"/>
      </w:rPr>
    </w:rPrDefault>
    <w:pPrDefault>
      <w:pPr>
        <w:spacing w:before="240" w:after="120"/>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263"/>
  </w:style>
  <w:style w:type="paragraph" w:styleId="Heading1">
    <w:name w:val="heading 1"/>
    <w:basedOn w:val="Normal"/>
    <w:next w:val="Normal"/>
    <w:link w:val="Heading1Char"/>
    <w:uiPriority w:val="9"/>
    <w:qFormat/>
    <w:rsid w:val="00BF3013"/>
    <w:pPr>
      <w:keepNext/>
      <w:keepLines/>
      <w:spacing w:after="0"/>
      <w:outlineLvl w:val="0"/>
    </w:pPr>
    <w:rPr>
      <w:rFonts w:asciiTheme="majorHAnsi" w:eastAsiaTheme="majorEastAsia" w:hAnsiTheme="majorHAnsi" w:cstheme="majorBidi"/>
      <w:color w:val="2E74B5" w:themeColor="accent1" w:themeShade="BF"/>
      <w:sz w:val="32"/>
      <w:szCs w:val="32"/>
      <w:lang w:val="fr-CA"/>
    </w:rPr>
  </w:style>
  <w:style w:type="paragraph" w:styleId="Heading2">
    <w:name w:val="heading 2"/>
    <w:basedOn w:val="Normal"/>
    <w:next w:val="Normal"/>
    <w:link w:val="Heading2Char"/>
    <w:uiPriority w:val="9"/>
    <w:unhideWhenUsed/>
    <w:qFormat/>
    <w:rsid w:val="00BF3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N 1,Bullet 1,Bullet Points,Colorful List - Accent 11,Dot pt,F5 List Paragraph,Indicator Text,L,List Paragraph Char Char Char,List Paragraph1,List Paragraph12,List Paragraph2,MAIN CONTENT,No Spacing1,Normal numbered,Numbered Para 1"/>
    <w:basedOn w:val="Normal"/>
    <w:link w:val="ListParagraphChar"/>
    <w:uiPriority w:val="34"/>
    <w:qFormat/>
    <w:rsid w:val="00333DC1"/>
    <w:pPr>
      <w:ind w:left="720"/>
      <w:contextualSpacing/>
    </w:pPr>
  </w:style>
  <w:style w:type="paragraph" w:styleId="Header">
    <w:name w:val="header"/>
    <w:basedOn w:val="Normal"/>
    <w:link w:val="HeaderChar"/>
    <w:uiPriority w:val="99"/>
    <w:unhideWhenUsed/>
    <w:rsid w:val="00C6396D"/>
    <w:pPr>
      <w:tabs>
        <w:tab w:val="center" w:pos="4680"/>
        <w:tab w:val="right" w:pos="9360"/>
      </w:tabs>
      <w:spacing w:after="0"/>
    </w:pPr>
  </w:style>
  <w:style w:type="character" w:customStyle="1" w:styleId="HeaderChar">
    <w:name w:val="Header Char"/>
    <w:basedOn w:val="DefaultParagraphFont"/>
    <w:link w:val="Header"/>
    <w:uiPriority w:val="99"/>
    <w:rsid w:val="00C6396D"/>
  </w:style>
  <w:style w:type="paragraph" w:styleId="Footer">
    <w:name w:val="footer"/>
    <w:basedOn w:val="Normal"/>
    <w:link w:val="FooterChar"/>
    <w:uiPriority w:val="99"/>
    <w:unhideWhenUsed/>
    <w:rsid w:val="00C6396D"/>
    <w:pPr>
      <w:tabs>
        <w:tab w:val="center" w:pos="4680"/>
        <w:tab w:val="right" w:pos="9360"/>
      </w:tabs>
      <w:spacing w:after="0"/>
    </w:pPr>
  </w:style>
  <w:style w:type="character" w:customStyle="1" w:styleId="FooterChar">
    <w:name w:val="Footer Char"/>
    <w:basedOn w:val="DefaultParagraphFont"/>
    <w:link w:val="Footer"/>
    <w:uiPriority w:val="99"/>
    <w:rsid w:val="00C6396D"/>
  </w:style>
  <w:style w:type="character" w:styleId="Hyperlink">
    <w:name w:val="Hyperlink"/>
    <w:basedOn w:val="DefaultParagraphFont"/>
    <w:uiPriority w:val="99"/>
    <w:unhideWhenUsed/>
    <w:rsid w:val="00D17BF4"/>
    <w:rPr>
      <w:color w:val="0563C1" w:themeColor="hyperlink"/>
      <w:u w:val="single"/>
    </w:rPr>
  </w:style>
  <w:style w:type="paragraph" w:customStyle="1" w:styleId="Point12">
    <w:name w:val="Point 12"/>
    <w:basedOn w:val="Normal"/>
    <w:rsid w:val="00C27AFF"/>
    <w:pPr>
      <w:numPr>
        <w:numId w:val="2"/>
      </w:numPr>
    </w:pPr>
  </w:style>
  <w:style w:type="paragraph" w:styleId="EndnoteText">
    <w:name w:val="endnote text"/>
    <w:basedOn w:val="Normal"/>
    <w:link w:val="EndnoteTextChar"/>
    <w:uiPriority w:val="99"/>
    <w:semiHidden/>
    <w:unhideWhenUsed/>
    <w:rsid w:val="005422CA"/>
    <w:pPr>
      <w:spacing w:after="0"/>
    </w:pPr>
    <w:rPr>
      <w:sz w:val="20"/>
      <w:szCs w:val="20"/>
    </w:rPr>
  </w:style>
  <w:style w:type="character" w:customStyle="1" w:styleId="EndnoteTextChar">
    <w:name w:val="Endnote Text Char"/>
    <w:basedOn w:val="DefaultParagraphFont"/>
    <w:link w:val="EndnoteText"/>
    <w:uiPriority w:val="99"/>
    <w:semiHidden/>
    <w:rsid w:val="005422CA"/>
    <w:rPr>
      <w:sz w:val="20"/>
      <w:szCs w:val="20"/>
    </w:rPr>
  </w:style>
  <w:style w:type="character" w:styleId="EndnoteReference">
    <w:name w:val="endnote reference"/>
    <w:basedOn w:val="DefaultParagraphFont"/>
    <w:uiPriority w:val="99"/>
    <w:semiHidden/>
    <w:unhideWhenUsed/>
    <w:rsid w:val="005422CA"/>
    <w:rPr>
      <w:vertAlign w:val="superscript"/>
    </w:rPr>
  </w:style>
  <w:style w:type="paragraph" w:styleId="BalloonText">
    <w:name w:val="Balloon Text"/>
    <w:basedOn w:val="Normal"/>
    <w:link w:val="BalloonTextChar"/>
    <w:uiPriority w:val="99"/>
    <w:semiHidden/>
    <w:unhideWhenUsed/>
    <w:rsid w:val="0026225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251"/>
    <w:rPr>
      <w:rFonts w:ascii="Segoe UI" w:hAnsi="Segoe UI" w:cs="Segoe UI"/>
      <w:sz w:val="18"/>
      <w:szCs w:val="18"/>
    </w:rPr>
  </w:style>
  <w:style w:type="character" w:styleId="CommentReference">
    <w:name w:val="annotation reference"/>
    <w:basedOn w:val="DefaultParagraphFont"/>
    <w:uiPriority w:val="99"/>
    <w:semiHidden/>
    <w:unhideWhenUsed/>
    <w:rsid w:val="00F61E4F"/>
    <w:rPr>
      <w:sz w:val="16"/>
      <w:szCs w:val="16"/>
    </w:rPr>
  </w:style>
  <w:style w:type="paragraph" w:styleId="CommentText">
    <w:name w:val="annotation text"/>
    <w:basedOn w:val="Normal"/>
    <w:link w:val="CommentTextChar"/>
    <w:uiPriority w:val="99"/>
    <w:unhideWhenUsed/>
    <w:rsid w:val="00F61E4F"/>
    <w:rPr>
      <w:sz w:val="20"/>
      <w:szCs w:val="20"/>
    </w:rPr>
  </w:style>
  <w:style w:type="character" w:customStyle="1" w:styleId="CommentTextChar">
    <w:name w:val="Comment Text Char"/>
    <w:basedOn w:val="DefaultParagraphFont"/>
    <w:link w:val="CommentText"/>
    <w:uiPriority w:val="99"/>
    <w:rsid w:val="00F61E4F"/>
    <w:rPr>
      <w:sz w:val="20"/>
      <w:szCs w:val="20"/>
    </w:rPr>
  </w:style>
  <w:style w:type="paragraph" w:styleId="CommentSubject">
    <w:name w:val="annotation subject"/>
    <w:basedOn w:val="CommentText"/>
    <w:next w:val="CommentText"/>
    <w:link w:val="CommentSubjectChar"/>
    <w:uiPriority w:val="99"/>
    <w:semiHidden/>
    <w:unhideWhenUsed/>
    <w:rsid w:val="00F61E4F"/>
    <w:rPr>
      <w:b/>
      <w:bCs/>
    </w:rPr>
  </w:style>
  <w:style w:type="character" w:customStyle="1" w:styleId="CommentSubjectChar">
    <w:name w:val="Comment Subject Char"/>
    <w:basedOn w:val="CommentTextChar"/>
    <w:link w:val="CommentSubject"/>
    <w:uiPriority w:val="99"/>
    <w:semiHidden/>
    <w:rsid w:val="00F61E4F"/>
    <w:rPr>
      <w:b/>
      <w:bCs/>
      <w:sz w:val="20"/>
      <w:szCs w:val="20"/>
    </w:rPr>
  </w:style>
  <w:style w:type="paragraph" w:styleId="NormalWeb">
    <w:name w:val="Normal (Web)"/>
    <w:basedOn w:val="Normal"/>
    <w:uiPriority w:val="99"/>
    <w:unhideWhenUsed/>
    <w:rsid w:val="007F0B93"/>
    <w:pPr>
      <w:spacing w:before="100" w:beforeAutospacing="1" w:after="100" w:afterAutospacing="1"/>
      <w:ind w:left="0" w:firstLine="0"/>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7F0B93"/>
    <w:rPr>
      <w:i/>
      <w:iCs/>
    </w:rPr>
  </w:style>
  <w:style w:type="paragraph" w:styleId="Revision">
    <w:name w:val="Revision"/>
    <w:hidden/>
    <w:uiPriority w:val="99"/>
    <w:semiHidden/>
    <w:rsid w:val="000031EF"/>
    <w:pPr>
      <w:spacing w:before="0" w:after="0"/>
      <w:ind w:left="0" w:firstLine="0"/>
    </w:pPr>
  </w:style>
  <w:style w:type="character" w:styleId="FollowedHyperlink">
    <w:name w:val="FollowedHyperlink"/>
    <w:basedOn w:val="DefaultParagraphFont"/>
    <w:uiPriority w:val="99"/>
    <w:semiHidden/>
    <w:unhideWhenUsed/>
    <w:rsid w:val="00290BFF"/>
    <w:rPr>
      <w:color w:val="954F72" w:themeColor="followedHyperlink"/>
      <w:u w:val="single"/>
    </w:rPr>
  </w:style>
  <w:style w:type="paragraph" w:customStyle="1" w:styleId="SingleTxtG">
    <w:name w:val="_ Single Txt_G"/>
    <w:basedOn w:val="Normal"/>
    <w:rsid w:val="000165E7"/>
    <w:pPr>
      <w:suppressAutoHyphens/>
      <w:spacing w:before="0" w:line="240" w:lineRule="atLeast"/>
      <w:ind w:left="1134" w:right="1134" w:firstLine="0"/>
      <w:jc w:val="both"/>
    </w:pPr>
    <w:rPr>
      <w:rFonts w:ascii="Times New Roman" w:eastAsia="Times New Roman" w:hAnsi="Times New Roman" w:cs="Times New Roman"/>
      <w:sz w:val="20"/>
      <w:szCs w:val="20"/>
      <w:lang w:val="en-GB"/>
    </w:rPr>
  </w:style>
  <w:style w:type="character" w:customStyle="1" w:styleId="ListParagraphChar">
    <w:name w:val="List Paragraph Char"/>
    <w:aliases w:val="3 Char,BN 1 Char,Bullet 1 Char,Bullet Points Char,Colorful List - Accent 11 Char,Dot pt Char,F5 List Paragraph Char,Indicator Text Char,L Char,List Paragraph Char Char Char Char,List Paragraph1 Char,List Paragraph12 Char"/>
    <w:basedOn w:val="DefaultParagraphFont"/>
    <w:link w:val="ListParagraph"/>
    <w:uiPriority w:val="34"/>
    <w:qFormat/>
    <w:locked/>
    <w:rsid w:val="00EE4D3D"/>
  </w:style>
  <w:style w:type="paragraph" w:customStyle="1" w:styleId="paragraph">
    <w:name w:val="paragraph"/>
    <w:basedOn w:val="Normal"/>
    <w:rsid w:val="00E762E0"/>
    <w:pPr>
      <w:spacing w:before="100" w:beforeAutospacing="1" w:after="100" w:afterAutospacing="1"/>
      <w:ind w:left="0" w:firstLine="0"/>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E762E0"/>
  </w:style>
  <w:style w:type="character" w:customStyle="1" w:styleId="eop">
    <w:name w:val="eop"/>
    <w:basedOn w:val="DefaultParagraphFont"/>
    <w:rsid w:val="00E762E0"/>
  </w:style>
  <w:style w:type="paragraph" w:styleId="NoSpacing">
    <w:name w:val="No Spacing"/>
    <w:uiPriority w:val="1"/>
    <w:qFormat/>
    <w:rsid w:val="00302873"/>
    <w:pPr>
      <w:spacing w:before="0" w:after="0"/>
      <w:ind w:left="0" w:firstLine="0"/>
    </w:pPr>
    <w:rPr>
      <w:rFonts w:eastAsiaTheme="minorHAnsi"/>
    </w:rPr>
  </w:style>
  <w:style w:type="character" w:customStyle="1" w:styleId="Mentionnonrsolue1">
    <w:name w:val="Mention non résolue1"/>
    <w:basedOn w:val="DefaultParagraphFont"/>
    <w:uiPriority w:val="99"/>
    <w:semiHidden/>
    <w:unhideWhenUsed/>
    <w:rsid w:val="00FA1186"/>
    <w:rPr>
      <w:color w:val="605E5C"/>
      <w:shd w:val="clear" w:color="auto" w:fill="E1DFDD"/>
    </w:rPr>
  </w:style>
  <w:style w:type="paragraph" w:customStyle="1" w:styleId="Default">
    <w:name w:val="Default"/>
    <w:rsid w:val="00A717D0"/>
    <w:pPr>
      <w:autoSpaceDE w:val="0"/>
      <w:autoSpaceDN w:val="0"/>
      <w:adjustRightInd w:val="0"/>
      <w:spacing w:before="0" w:after="0"/>
      <w:ind w:left="0" w:firstLine="0"/>
    </w:pPr>
    <w:rPr>
      <w:rFonts w:ascii="Times New Roman" w:eastAsiaTheme="minorHAnsi" w:hAnsi="Times New Roman" w:cs="Times New Roman"/>
      <w:color w:val="000000"/>
      <w:sz w:val="24"/>
      <w:szCs w:val="24"/>
    </w:rPr>
  </w:style>
  <w:style w:type="paragraph" w:styleId="FootnoteText">
    <w:name w:val="footnote text"/>
    <w:basedOn w:val="Normal"/>
    <w:link w:val="FootnoteTextChar"/>
    <w:uiPriority w:val="99"/>
    <w:semiHidden/>
    <w:unhideWhenUsed/>
    <w:rsid w:val="00E44068"/>
    <w:pPr>
      <w:spacing w:before="0" w:after="0"/>
      <w:ind w:left="0" w:firstLine="0"/>
    </w:pPr>
    <w:rPr>
      <w:rFonts w:eastAsiaTheme="minorHAnsi"/>
      <w:sz w:val="20"/>
      <w:szCs w:val="20"/>
    </w:rPr>
  </w:style>
  <w:style w:type="character" w:customStyle="1" w:styleId="FootnoteTextChar">
    <w:name w:val="Footnote Text Char"/>
    <w:basedOn w:val="DefaultParagraphFont"/>
    <w:link w:val="FootnoteText"/>
    <w:uiPriority w:val="99"/>
    <w:semiHidden/>
    <w:rsid w:val="00E44068"/>
    <w:rPr>
      <w:rFonts w:eastAsiaTheme="minorHAnsi"/>
      <w:sz w:val="20"/>
      <w:szCs w:val="20"/>
    </w:rPr>
  </w:style>
  <w:style w:type="character" w:styleId="FootnoteReference">
    <w:name w:val="footnote reference"/>
    <w:basedOn w:val="DefaultParagraphFont"/>
    <w:uiPriority w:val="99"/>
    <w:semiHidden/>
    <w:unhideWhenUsed/>
    <w:rsid w:val="00E44068"/>
    <w:rPr>
      <w:vertAlign w:val="superscript"/>
    </w:rPr>
  </w:style>
  <w:style w:type="table" w:styleId="TableGrid">
    <w:name w:val="Table Grid"/>
    <w:basedOn w:val="TableNormal"/>
    <w:uiPriority w:val="39"/>
    <w:rsid w:val="00F9153E"/>
    <w:pPr>
      <w:spacing w:before="0" w:after="0"/>
      <w:ind w:left="0" w:firstLine="0"/>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3013"/>
    <w:rPr>
      <w:rFonts w:asciiTheme="majorHAnsi" w:eastAsiaTheme="majorEastAsia" w:hAnsiTheme="majorHAnsi" w:cstheme="majorBidi"/>
      <w:color w:val="2E74B5" w:themeColor="accent1" w:themeShade="BF"/>
      <w:sz w:val="32"/>
      <w:szCs w:val="32"/>
      <w:lang w:val="fr-CA"/>
    </w:rPr>
  </w:style>
  <w:style w:type="character" w:customStyle="1" w:styleId="Heading2Char">
    <w:name w:val="Heading 2 Char"/>
    <w:basedOn w:val="DefaultParagraphFont"/>
    <w:link w:val="Heading2"/>
    <w:uiPriority w:val="9"/>
    <w:rsid w:val="00BF3013"/>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BF3013"/>
    <w:rPr>
      <w:color w:val="605E5C"/>
      <w:shd w:val="clear" w:color="auto" w:fill="E1DFDD"/>
    </w:rPr>
  </w:style>
  <w:style w:type="paragraph" w:customStyle="1" w:styleId="pf0">
    <w:name w:val="pf0"/>
    <w:basedOn w:val="Normal"/>
    <w:rsid w:val="00BF3013"/>
    <w:pPr>
      <w:spacing w:before="100" w:beforeAutospacing="1" w:after="100" w:afterAutospacing="1"/>
      <w:ind w:left="0" w:firstLine="0"/>
    </w:pPr>
    <w:rPr>
      <w:rFonts w:ascii="Times New Roman" w:eastAsia="Times New Roman" w:hAnsi="Times New Roman" w:cs="Times New Roman"/>
      <w:sz w:val="24"/>
      <w:szCs w:val="24"/>
      <w:lang w:val="fr-CA"/>
    </w:rPr>
  </w:style>
  <w:style w:type="character" w:customStyle="1" w:styleId="cf01">
    <w:name w:val="cf01"/>
    <w:basedOn w:val="DefaultParagraphFont"/>
    <w:rsid w:val="00BF3013"/>
    <w:rPr>
      <w:rFonts w:ascii="Segoe UI" w:hAnsi="Segoe UI" w:cs="Segoe UI" w:hint="default"/>
      <w:sz w:val="18"/>
      <w:szCs w:val="18"/>
    </w:rPr>
  </w:style>
  <w:style w:type="paragraph" w:customStyle="1" w:styleId="xmsonormal">
    <w:name w:val="x_msonormal"/>
    <w:basedOn w:val="Normal"/>
    <w:rsid w:val="00BF3013"/>
    <w:pPr>
      <w:spacing w:before="0" w:after="0"/>
      <w:ind w:left="0" w:firstLine="0"/>
    </w:pPr>
    <w:rPr>
      <w:rFonts w:ascii="Calibri" w:eastAsiaTheme="minorHAnsi" w:hAnsi="Calibri" w:cs="Calibri"/>
      <w:lang w:val="fr-CA" w:eastAsia="en-CA"/>
    </w:rPr>
  </w:style>
  <w:style w:type="character" w:customStyle="1" w:styleId="ui-provider">
    <w:name w:val="ui-provider"/>
    <w:basedOn w:val="DefaultParagraphFont"/>
    <w:rsid w:val="00BF3013"/>
  </w:style>
  <w:style w:type="character" w:customStyle="1" w:styleId="apple-converted-space">
    <w:name w:val="apple-converted-space"/>
    <w:basedOn w:val="DefaultParagraphFont"/>
    <w:rsid w:val="00BF3013"/>
  </w:style>
  <w:style w:type="paragraph" w:styleId="TOCHeading">
    <w:name w:val="TOC Heading"/>
    <w:basedOn w:val="Heading1"/>
    <w:next w:val="Normal"/>
    <w:uiPriority w:val="39"/>
    <w:unhideWhenUsed/>
    <w:qFormat/>
    <w:rsid w:val="005D1236"/>
    <w:pPr>
      <w:spacing w:line="259" w:lineRule="auto"/>
      <w:ind w:left="0" w:firstLine="0"/>
      <w:outlineLvl w:val="9"/>
    </w:pPr>
    <w:rPr>
      <w:lang w:val="en-CA" w:eastAsia="en-CA"/>
    </w:rPr>
  </w:style>
  <w:style w:type="paragraph" w:styleId="TOC1">
    <w:name w:val="toc 1"/>
    <w:basedOn w:val="Normal"/>
    <w:next w:val="Normal"/>
    <w:autoRedefine/>
    <w:uiPriority w:val="39"/>
    <w:unhideWhenUsed/>
    <w:rsid w:val="00677A6D"/>
    <w:pPr>
      <w:tabs>
        <w:tab w:val="right" w:leader="dot" w:pos="9350"/>
      </w:tabs>
      <w:spacing w:after="100"/>
      <w:ind w:left="0" w:firstLine="0"/>
    </w:pPr>
  </w:style>
  <w:style w:type="paragraph" w:styleId="TOC2">
    <w:name w:val="toc 2"/>
    <w:basedOn w:val="Normal"/>
    <w:next w:val="Normal"/>
    <w:autoRedefine/>
    <w:uiPriority w:val="39"/>
    <w:unhideWhenUsed/>
    <w:rsid w:val="00EA764F"/>
    <w:pPr>
      <w:tabs>
        <w:tab w:val="right" w:leader="dot" w:pos="9350"/>
      </w:tabs>
      <w:spacing w:after="100"/>
      <w:ind w:left="142"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lbertaworker.ca/news/canada-completed-2-of-trcs-94-calls-to-action-in-2022/"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m.gc.ca/fr/accord-canada-nation-metisse" TargetMode="External"/><Relationship Id="rId17" Type="http://schemas.openxmlformats.org/officeDocument/2006/relationships/hyperlink" Target="https://www.canada.ca/fr/emploi-developpement-social/services/financement/strategie-emploi-jeunesse.html" TargetMode="External"/><Relationship Id="rId2" Type="http://schemas.openxmlformats.org/officeDocument/2006/relationships/customXml" Target="../customXml/item2.xml"/><Relationship Id="rId16" Type="http://schemas.openxmlformats.org/officeDocument/2006/relationships/hyperlink" Target="https://legalinfopei.ca/justice-avenu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m.gc.ca/fr/nouvelles/communiques/2017/02/09/premier-ministre-du-canada-et-president-de-linuit-tapiriit" TargetMode="External"/><Relationship Id="rId5" Type="http://schemas.openxmlformats.org/officeDocument/2006/relationships/numbering" Target="numbering.xml"/><Relationship Id="rId15" Type="http://schemas.openxmlformats.org/officeDocument/2006/relationships/hyperlink" Target="https://www.aptnnews.ca/national-news/inuit-child-first-initiative-provides-everything-from-food-to-bed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c.ca/news/canada/manitoba/mmiwg-inquiry-anniversary-reaction-2023-1.6866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0 xmlns="cb66cd4b-a5a1-48c6-9285-ace6e0d5d96e" xsi:nil="true"/>
    <Status xmlns="cb66cd4b-a5a1-48c6-9285-ace6e0d5d96e">Draft</Status>
    <_x0023_ofquestions xmlns="cb66cd4b-a5a1-48c6-9285-ace6e0d5d96e" xsi:nil="true"/>
    <PTsmentioned xmlns="cb66cd4b-a5a1-48c6-9285-ace6e0d5d96e" xsi:nil="true"/>
    <PolicyOfficer xmlns="cb66cd4b-a5a1-48c6-9285-ace6e0d5d96e" xsi:nil="true"/>
    <Status0 xmlns="cb66cd4b-a5a1-48c6-9285-ace6e0d5d96e" xsi:nil="true"/>
    <Lead xmlns="cb66cd4b-a5a1-48c6-9285-ace6e0d5d96e" xsi:nil="true"/>
    <WordCount xmlns="cb66cd4b-a5a1-48c6-9285-ace6e0d5d96e" xsi:nil="true"/>
    <SharedWithUsers xmlns="13e8906b-5626-4887-bf4a-3c880e266ec0">
      <UserInfo>
        <DisplayName>Dominique Gervais (elle, la | she, her)</DisplayName>
        <AccountId>127</AccountId>
        <AccountType/>
      </UserInfo>
      <UserInfo>
        <DisplayName>Corinne Laporte (elle, la | she, her)</DisplayName>
        <AccountId>15</AccountId>
        <AccountType/>
      </UserInfo>
      <UserInfo>
        <DisplayName>Ian Brown (il, lui | he, him)</DisplayName>
        <AccountId>54</AccountId>
        <AccountType/>
      </UserInfo>
      <UserInfo>
        <DisplayName>Annik Lussier (elle, la | she, her)</DisplayName>
        <AccountId>19</AccountId>
        <AccountType/>
      </UserInfo>
      <UserInfo>
        <DisplayName>Katherine Raghunandan</DisplayName>
        <AccountId>215</AccountId>
        <AccountType/>
      </UserInfo>
      <UserInfo>
        <DisplayName>Lova Ramandimbiarison (elle, la | she, her)</DisplayName>
        <AccountId>130</AccountId>
        <AccountType/>
      </UserInfo>
      <UserInfo>
        <DisplayName>Flavie Major</DisplayName>
        <AccountId>50</AccountId>
        <AccountType/>
      </UserInfo>
      <UserInfo>
        <DisplayName>EPU Droits de la personne / UPR Human Rights (PCH)</DisplayName>
        <AccountId>225</AccountId>
        <AccountType/>
      </UserInfo>
      <UserInfo>
        <DisplayName>Anne Lagacé (elle, la | she, her)</DisplayName>
        <AccountId>63</AccountId>
        <AccountType/>
      </UserInfo>
    </SharedWithUsers>
    <TaxCatchAll xmlns="13e8906b-5626-4887-bf4a-3c880e266ec0" xsi:nil="true"/>
    <lcf76f155ced4ddcb4097134ff3c332f xmlns="cb66cd4b-a5a1-48c6-9285-ace6e0d5d9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9EE04ED9D11448A0EAD2A9C6D909FA" ma:contentTypeVersion="22" ma:contentTypeDescription="Create a new document." ma:contentTypeScope="" ma:versionID="40cc14296c984d9fcc032246055fe7d6">
  <xsd:schema xmlns:xsd="http://www.w3.org/2001/XMLSchema" xmlns:xs="http://www.w3.org/2001/XMLSchema" xmlns:p="http://schemas.microsoft.com/office/2006/metadata/properties" xmlns:ns2="cb66cd4b-a5a1-48c6-9285-ace6e0d5d96e" xmlns:ns3="13e8906b-5626-4887-bf4a-3c880e266ec0" targetNamespace="http://schemas.microsoft.com/office/2006/metadata/properties" ma:root="true" ma:fieldsID="29c61677ce2262640e1539ba28a7595c" ns2:_="" ns3:_="">
    <xsd:import namespace="cb66cd4b-a5a1-48c6-9285-ace6e0d5d96e"/>
    <xsd:import namespace="13e8906b-5626-4887-bf4a-3c880e266ec0"/>
    <xsd:element name="properties">
      <xsd:complexType>
        <xsd:sequence>
          <xsd:element name="documentManagement">
            <xsd:complexType>
              <xsd:all>
                <xsd:element ref="ns2:Notes0" minOccurs="0"/>
                <xsd:element ref="ns2:MediaServiceMetadata" minOccurs="0"/>
                <xsd:element ref="ns2:MediaServiceFastMetadata" minOccurs="0"/>
                <xsd:element ref="ns3:SharedWithUsers" minOccurs="0"/>
                <xsd:element ref="ns3:SharedWithDetails" minOccurs="0"/>
                <xsd:element ref="ns2:WordCount" minOccurs="0"/>
                <xsd:element ref="ns2:PolicyOfficer" minOccurs="0"/>
                <xsd:element ref="ns2:PTsmentioned" minOccurs="0"/>
                <xsd:element ref="ns2:_x0023_ofquestions" minOccurs="0"/>
                <xsd:element ref="ns2:Status" minOccurs="0"/>
                <xsd:element ref="ns2:Lead" minOccurs="0"/>
                <xsd:element ref="ns2:Status0"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6cd4b-a5a1-48c6-9285-ace6e0d5d96e" elementFormDefault="qualified">
    <xsd:import namespace="http://schemas.microsoft.com/office/2006/documentManagement/types"/>
    <xsd:import namespace="http://schemas.microsoft.com/office/infopath/2007/PartnerControls"/>
    <xsd:element name="Notes0" ma:index="8" nillable="true" ma:displayName="Notes" ma:format="Dropdown" ma:internalName="Notes0">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WordCount" ma:index="13" nillable="true" ma:displayName="Word Count" ma:format="Dropdown" ma:internalName="WordCount" ma:percentage="FALSE">
      <xsd:simpleType>
        <xsd:restriction base="dms:Number"/>
      </xsd:simpleType>
    </xsd:element>
    <xsd:element name="PolicyOfficer" ma:index="14" nillable="true" ma:displayName="Policy Officer" ma:format="Dropdown" ma:internalName="PolicyOfficer">
      <xsd:simpleType>
        <xsd:restriction base="dms:Choice">
          <xsd:enumeration value="Dominique"/>
          <xsd:enumeration value="Ian"/>
          <xsd:enumeration value="Corinne"/>
        </xsd:restriction>
      </xsd:simpleType>
    </xsd:element>
    <xsd:element name="PTsmentioned" ma:index="15" nillable="true" ma:displayName="PTs mentioned" ma:format="Dropdown" ma:internalName="PTsmentioned">
      <xsd:simpleType>
        <xsd:restriction base="dms:Note">
          <xsd:maxLength value="255"/>
        </xsd:restriction>
      </xsd:simpleType>
    </xsd:element>
    <xsd:element name="_x0023_ofquestions" ma:index="16" nillable="true" ma:displayName="Questions" ma:format="Dropdown" ma:internalName="_x0023_ofquestions">
      <xsd:simpleType>
        <xsd:restriction base="dms:Text">
          <xsd:maxLength value="255"/>
        </xsd:restriction>
      </xsd:simpleType>
    </xsd:element>
    <xsd:element name="Status" ma:index="17" nillable="true" ma:displayName="Status" ma:format="Dropdown" ma:internalName="Status">
      <xsd:simpleType>
        <xsd:restriction base="dms:Choice">
          <xsd:enumeration value="Draft"/>
          <xsd:enumeration value="Ready for review"/>
          <xsd:enumeration value="Ready for approval"/>
          <xsd:enumeration value="Approved"/>
          <xsd:enumeration value="Not Started"/>
          <xsd:enumeration value="Awaiting Input"/>
          <xsd:enumeration value="Obsolete"/>
          <xsd:enumeration value="Complete"/>
          <xsd:enumeration value="Ongoing"/>
          <xsd:enumeration value="Moved to G"/>
          <xsd:enumeration value="Evergreen"/>
        </xsd:restriction>
      </xsd:simpleType>
    </xsd:element>
    <xsd:element name="Lead" ma:index="18" nillable="true" ma:displayName="Lead" ma:format="Dropdown" ma:internalName="Lead">
      <xsd:simpleType>
        <xsd:restriction base="dms:Text">
          <xsd:maxLength value="255"/>
        </xsd:restriction>
      </xsd:simpleType>
    </xsd:element>
    <xsd:element name="Status0" ma:index="19" nillable="true" ma:displayName="Status " ma:format="Dropdown" ma:internalName="Status0">
      <xsd:simpleType>
        <xsd:restriction base="dms:Text">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a28693-5a28-4a4d-bc3d-8334bb0f731a"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e8906b-5626-4887-bf4a-3c880e266e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27785c-2827-4345-9643-bec643f451f6}" ma:internalName="TaxCatchAll" ma:showField="CatchAllData" ma:web="13e8906b-5626-4887-bf4a-3c880e266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FF2A3-77DE-4ED3-A272-E9CF4D19279D}">
  <ds:schemaRefs>
    <ds:schemaRef ds:uri="http://schemas.openxmlformats.org/officeDocument/2006/bibliography"/>
  </ds:schemaRefs>
</ds:datastoreItem>
</file>

<file path=customXml/itemProps2.xml><?xml version="1.0" encoding="utf-8"?>
<ds:datastoreItem xmlns:ds="http://schemas.openxmlformats.org/officeDocument/2006/customXml" ds:itemID="{594DC06A-13C5-448D-930A-3D5D8BCC6060}">
  <ds:schemaRefs>
    <ds:schemaRef ds:uri="http://schemas.microsoft.com/office/2006/metadata/properties"/>
    <ds:schemaRef ds:uri="http://schemas.microsoft.com/office/infopath/2007/PartnerControls"/>
    <ds:schemaRef ds:uri="cb66cd4b-a5a1-48c6-9285-ace6e0d5d96e"/>
    <ds:schemaRef ds:uri="13e8906b-5626-4887-bf4a-3c880e266ec0"/>
  </ds:schemaRefs>
</ds:datastoreItem>
</file>

<file path=customXml/itemProps3.xml><?xml version="1.0" encoding="utf-8"?>
<ds:datastoreItem xmlns:ds="http://schemas.openxmlformats.org/officeDocument/2006/customXml" ds:itemID="{593B086F-BB33-4183-98D0-6A9BA5F5A6E8}">
  <ds:schemaRefs>
    <ds:schemaRef ds:uri="http://schemas.microsoft.com/sharepoint/v3/contenttype/forms"/>
  </ds:schemaRefs>
</ds:datastoreItem>
</file>

<file path=customXml/itemProps4.xml><?xml version="1.0" encoding="utf-8"?>
<ds:datastoreItem xmlns:ds="http://schemas.openxmlformats.org/officeDocument/2006/customXml" ds:itemID="{7ED381A0-B78A-4724-ABE1-DBBF19F01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6cd4b-a5a1-48c6-9285-ace6e0d5d96e"/>
    <ds:schemaRef ds:uri="13e8906b-5626-4887-bf4a-3c880e266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23109</Words>
  <Characters>131726</Characters>
  <Application>Microsoft Office Word</Application>
  <DocSecurity>4</DocSecurity>
  <Lines>1097</Lines>
  <Paragraphs>309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PCH</Company>
  <LinksUpToDate>false</LinksUpToDate>
  <CharactersWithSpaces>154526</CharactersWithSpaces>
  <SharedDoc>false</SharedDoc>
  <HLinks>
    <vt:vector size="42" baseType="variant">
      <vt:variant>
        <vt:i4>65624</vt:i4>
      </vt:variant>
      <vt:variant>
        <vt:i4>36</vt:i4>
      </vt:variant>
      <vt:variant>
        <vt:i4>0</vt:i4>
      </vt:variant>
      <vt:variant>
        <vt:i4>5</vt:i4>
      </vt:variant>
      <vt:variant>
        <vt:lpwstr>https://www.pm.gc.ca/fr/accord-canada-nation-metisse</vt:lpwstr>
      </vt:variant>
      <vt:variant>
        <vt:lpwstr/>
      </vt:variant>
      <vt:variant>
        <vt:i4>3801205</vt:i4>
      </vt:variant>
      <vt:variant>
        <vt:i4>33</vt:i4>
      </vt:variant>
      <vt:variant>
        <vt:i4>0</vt:i4>
      </vt:variant>
      <vt:variant>
        <vt:i4>5</vt:i4>
      </vt:variant>
      <vt:variant>
        <vt:lpwstr>https://www.pm.gc.ca/fr/nouvelles/communiques/2017/02/09/premier-ministre-du-canada-et-president-de-linuit-tapiriit</vt:lpwstr>
      </vt:variant>
      <vt:variant>
        <vt:lpwstr/>
      </vt:variant>
      <vt:variant>
        <vt:i4>1638457</vt:i4>
      </vt:variant>
      <vt:variant>
        <vt:i4>26</vt:i4>
      </vt:variant>
      <vt:variant>
        <vt:i4>0</vt:i4>
      </vt:variant>
      <vt:variant>
        <vt:i4>5</vt:i4>
      </vt:variant>
      <vt:variant>
        <vt:lpwstr/>
      </vt:variant>
      <vt:variant>
        <vt:lpwstr>_Toc143083399</vt:lpwstr>
      </vt:variant>
      <vt:variant>
        <vt:i4>1638457</vt:i4>
      </vt:variant>
      <vt:variant>
        <vt:i4>20</vt:i4>
      </vt:variant>
      <vt:variant>
        <vt:i4>0</vt:i4>
      </vt:variant>
      <vt:variant>
        <vt:i4>5</vt:i4>
      </vt:variant>
      <vt:variant>
        <vt:lpwstr/>
      </vt:variant>
      <vt:variant>
        <vt:lpwstr>_Toc143083398</vt:lpwstr>
      </vt:variant>
      <vt:variant>
        <vt:i4>1638457</vt:i4>
      </vt:variant>
      <vt:variant>
        <vt:i4>14</vt:i4>
      </vt:variant>
      <vt:variant>
        <vt:i4>0</vt:i4>
      </vt:variant>
      <vt:variant>
        <vt:i4>5</vt:i4>
      </vt:variant>
      <vt:variant>
        <vt:lpwstr/>
      </vt:variant>
      <vt:variant>
        <vt:lpwstr>_Toc143083397</vt:lpwstr>
      </vt:variant>
      <vt:variant>
        <vt:i4>1638457</vt:i4>
      </vt:variant>
      <vt:variant>
        <vt:i4>8</vt:i4>
      </vt:variant>
      <vt:variant>
        <vt:i4>0</vt:i4>
      </vt:variant>
      <vt:variant>
        <vt:i4>5</vt:i4>
      </vt:variant>
      <vt:variant>
        <vt:lpwstr/>
      </vt:variant>
      <vt:variant>
        <vt:lpwstr>_Toc143083396</vt:lpwstr>
      </vt:variant>
      <vt:variant>
        <vt:i4>1638457</vt:i4>
      </vt:variant>
      <vt:variant>
        <vt:i4>2</vt:i4>
      </vt:variant>
      <vt:variant>
        <vt:i4>0</vt:i4>
      </vt:variant>
      <vt:variant>
        <vt:i4>5</vt:i4>
      </vt:variant>
      <vt:variant>
        <vt:lpwstr/>
      </vt:variant>
      <vt:variant>
        <vt:lpwstr>_Toc143083395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Venasse</dc:creator>
  <cp:keywords/>
  <cp:lastModifiedBy>Sumiko</cp:lastModifiedBy>
  <cp:revision>2</cp:revision>
  <cp:lastPrinted>2023-08-30T15:23:00Z</cp:lastPrinted>
  <dcterms:created xsi:type="dcterms:W3CDTF">2023-10-16T15:39:00Z</dcterms:created>
  <dcterms:modified xsi:type="dcterms:W3CDTF">2023-10-16T15:39:00Z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0x010100089EE04ED9D11448A0EAD2A9C6D909FA</vt:lpwstr>
  </property>
  <property fmtid="{D5CDD505-2E9C-101B-9397-08002B2CF9AE}" pid="3" name="MSIP_Label_adb4b7a6-9caa-4b32-95da-d5cfefd952da_ActionId">
    <vt:lpwstr>a28d240d-9ea0-465d-b957-379f791c697e</vt:lpwstr>
  </property>
  <property fmtid="{D5CDD505-2E9C-101B-9397-08002B2CF9AE}" pid="4" name="MSIP_Label_adb4b7a6-9caa-4b32-95da-d5cfefd952da_ContentBits">
    <vt:lpwstr>0</vt:lpwstr>
  </property>
  <property fmtid="{D5CDD505-2E9C-101B-9397-08002B2CF9AE}" pid="5" name="MSIP_Label_adb4b7a6-9caa-4b32-95da-d5cfefd952da_Enabled">
    <vt:lpwstr>true</vt:lpwstr>
  </property>
  <property fmtid="{D5CDD505-2E9C-101B-9397-08002B2CF9AE}" pid="6" name="MSIP_Label_adb4b7a6-9caa-4b32-95da-d5cfefd952da_Method">
    <vt:lpwstr>Standard</vt:lpwstr>
  </property>
  <property fmtid="{D5CDD505-2E9C-101B-9397-08002B2CF9AE}" pid="7" name="MSIP_Label_adb4b7a6-9caa-4b32-95da-d5cfefd952da_Name">
    <vt:lpwstr>Unclassified</vt:lpwstr>
  </property>
  <property fmtid="{D5CDD505-2E9C-101B-9397-08002B2CF9AE}" pid="8" name="MSIP_Label_adb4b7a6-9caa-4b32-95da-d5cfefd952da_SetDate">
    <vt:lpwstr>2023-01-09T03:19:59Z</vt:lpwstr>
  </property>
  <property fmtid="{D5CDD505-2E9C-101B-9397-08002B2CF9AE}" pid="9" name="MSIP_Label_adb4b7a6-9caa-4b32-95da-d5cfefd952da_SiteId">
    <vt:lpwstr>7969f40a-ef10-4cad-a9c2-ea2ca603743a</vt:lpwstr>
  </property>
  <property fmtid="{D5CDD505-2E9C-101B-9397-08002B2CF9AE}" pid="10" name="MSIP_Label_834ed4f5-eae4-40c7-82be-b1cdf720a1b9_Enabled">
    <vt:lpwstr>true</vt:lpwstr>
  </property>
  <property fmtid="{D5CDD505-2E9C-101B-9397-08002B2CF9AE}" pid="11" name="MSIP_Label_834ed4f5-eae4-40c7-82be-b1cdf720a1b9_SetDate">
    <vt:lpwstr>2023-08-10T21:49:18Z</vt:lpwstr>
  </property>
  <property fmtid="{D5CDD505-2E9C-101B-9397-08002B2CF9AE}" pid="12" name="MSIP_Label_834ed4f5-eae4-40c7-82be-b1cdf720a1b9_Method">
    <vt:lpwstr>Standard</vt:lpwstr>
  </property>
  <property fmtid="{D5CDD505-2E9C-101B-9397-08002B2CF9AE}" pid="13" name="MSIP_Label_834ed4f5-eae4-40c7-82be-b1cdf720a1b9_Name">
    <vt:lpwstr>Unclassified - Non classifié</vt:lpwstr>
  </property>
  <property fmtid="{D5CDD505-2E9C-101B-9397-08002B2CF9AE}" pid="14" name="MSIP_Label_834ed4f5-eae4-40c7-82be-b1cdf720a1b9_SiteId">
    <vt:lpwstr>e0d54a3c-7bbe-4a64-9d46-f9f84a41c833</vt:lpwstr>
  </property>
  <property fmtid="{D5CDD505-2E9C-101B-9397-08002B2CF9AE}" pid="15" name="MSIP_Label_834ed4f5-eae4-40c7-82be-b1cdf720a1b9_ActionId">
    <vt:lpwstr>f4e4a13c-f5d6-498a-8c47-2c046f385893</vt:lpwstr>
  </property>
  <property fmtid="{D5CDD505-2E9C-101B-9397-08002B2CF9AE}" pid="16" name="MSIP_Label_834ed4f5-eae4-40c7-82be-b1cdf720a1b9_ContentBits">
    <vt:lpwstr>0</vt:lpwstr>
  </property>
  <property fmtid="{D5CDD505-2E9C-101B-9397-08002B2CF9AE}" pid="17" name="MediaServiceImageTags">
    <vt:lpwstr/>
  </property>
</Properties>
</file>