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750E421" w14:textId="77777777" w:rsidTr="00865660">
        <w:trPr>
          <w:trHeight w:hRule="exact" w:val="851"/>
        </w:trPr>
        <w:tc>
          <w:tcPr>
            <w:tcW w:w="142" w:type="dxa"/>
            <w:tcBorders>
              <w:bottom w:val="single" w:sz="4" w:space="0" w:color="auto"/>
            </w:tcBorders>
          </w:tcPr>
          <w:p w14:paraId="76E0472D" w14:textId="532D74B5" w:rsidR="002D5AAC" w:rsidRPr="001217EF" w:rsidRDefault="001217EF" w:rsidP="000805EC">
            <w:pPr>
              <w:kinsoku w:val="0"/>
              <w:overflowPunct w:val="0"/>
              <w:autoSpaceDE w:val="0"/>
              <w:autoSpaceDN w:val="0"/>
              <w:adjustRightInd w:val="0"/>
              <w:snapToGrid w:val="0"/>
              <w:rPr>
                <w:lang w:val="en-GB"/>
              </w:rPr>
            </w:pPr>
            <w:r>
              <w:rPr>
                <w:lang w:val="en-GB"/>
              </w:rPr>
              <w:t xml:space="preserve"> </w:t>
            </w:r>
          </w:p>
        </w:tc>
        <w:tc>
          <w:tcPr>
            <w:tcW w:w="4536" w:type="dxa"/>
            <w:gridSpan w:val="2"/>
            <w:tcBorders>
              <w:bottom w:val="single" w:sz="4" w:space="0" w:color="auto"/>
            </w:tcBorders>
            <w:vAlign w:val="bottom"/>
          </w:tcPr>
          <w:p w14:paraId="151793F8" w14:textId="34699EFA" w:rsidR="002D5AAC" w:rsidRPr="00BD33EE" w:rsidRDefault="002D5AAC" w:rsidP="00782C09">
            <w:pPr>
              <w:spacing w:after="80" w:line="300" w:lineRule="exact"/>
              <w:rPr>
                <w:sz w:val="28"/>
              </w:rPr>
            </w:pPr>
          </w:p>
        </w:tc>
        <w:tc>
          <w:tcPr>
            <w:tcW w:w="4961" w:type="dxa"/>
            <w:gridSpan w:val="2"/>
            <w:tcBorders>
              <w:bottom w:val="single" w:sz="4" w:space="0" w:color="auto"/>
            </w:tcBorders>
            <w:vAlign w:val="bottom"/>
          </w:tcPr>
          <w:p w14:paraId="44944611" w14:textId="328BB9AA" w:rsidR="002D5AAC" w:rsidRDefault="000805EC" w:rsidP="000805EC">
            <w:pPr>
              <w:jc w:val="right"/>
            </w:pPr>
            <w:r w:rsidRPr="000805EC">
              <w:rPr>
                <w:sz w:val="40"/>
              </w:rPr>
              <w:t>A</w:t>
            </w:r>
            <w:r>
              <w:t>/HRC/WG.6/</w:t>
            </w:r>
            <w:r w:rsidR="004F26E1">
              <w:rPr>
                <w:lang w:val="en-GB"/>
              </w:rPr>
              <w:t>44/</w:t>
            </w:r>
            <w:r w:rsidR="004C40AD">
              <w:rPr>
                <w:lang w:val="en-GB"/>
              </w:rPr>
              <w:t>AZE</w:t>
            </w:r>
            <w:r>
              <w:t>/1</w:t>
            </w:r>
          </w:p>
        </w:tc>
      </w:tr>
      <w:tr w:rsidR="002D5AAC" w:rsidRPr="004D5964" w14:paraId="1233E24D" w14:textId="77777777" w:rsidTr="00782C09">
        <w:trPr>
          <w:trHeight w:hRule="exact" w:val="2835"/>
        </w:trPr>
        <w:tc>
          <w:tcPr>
            <w:tcW w:w="1280" w:type="dxa"/>
            <w:gridSpan w:val="2"/>
            <w:tcBorders>
              <w:top w:val="single" w:sz="4" w:space="0" w:color="auto"/>
              <w:bottom w:val="single" w:sz="12" w:space="0" w:color="auto"/>
            </w:tcBorders>
          </w:tcPr>
          <w:p w14:paraId="454C7352" w14:textId="5304B409" w:rsidR="002D5AAC" w:rsidRDefault="002D5AAC" w:rsidP="00782C09">
            <w:pPr>
              <w:spacing w:before="120"/>
              <w:jc w:val="center"/>
            </w:pPr>
          </w:p>
        </w:tc>
        <w:tc>
          <w:tcPr>
            <w:tcW w:w="5540" w:type="dxa"/>
            <w:gridSpan w:val="2"/>
            <w:tcBorders>
              <w:top w:val="single" w:sz="4" w:space="0" w:color="auto"/>
              <w:bottom w:val="single" w:sz="12" w:space="0" w:color="auto"/>
            </w:tcBorders>
          </w:tcPr>
          <w:p w14:paraId="20F0E682" w14:textId="0AFAD87E" w:rsidR="002D5AAC" w:rsidRPr="00C82B5D" w:rsidRDefault="00C82B5D" w:rsidP="00782C09">
            <w:pPr>
              <w:spacing w:before="120" w:line="360" w:lineRule="exact"/>
              <w:rPr>
                <w:b/>
                <w:sz w:val="34"/>
                <w:szCs w:val="34"/>
                <w:lang w:val="en-GB"/>
              </w:rPr>
            </w:pPr>
            <w:r>
              <w:rPr>
                <w:b/>
                <w:spacing w:val="-4"/>
                <w:sz w:val="40"/>
                <w:szCs w:val="40"/>
                <w:lang w:val="en-GB"/>
              </w:rPr>
              <w:t>Advance Unedited Version</w:t>
            </w:r>
          </w:p>
        </w:tc>
        <w:tc>
          <w:tcPr>
            <w:tcW w:w="2819" w:type="dxa"/>
            <w:tcBorders>
              <w:top w:val="single" w:sz="4" w:space="0" w:color="auto"/>
              <w:bottom w:val="single" w:sz="12" w:space="0" w:color="auto"/>
            </w:tcBorders>
          </w:tcPr>
          <w:p w14:paraId="364DDE18" w14:textId="77777777" w:rsidR="002D5AAC" w:rsidRDefault="000805EC" w:rsidP="00782C09">
            <w:pPr>
              <w:spacing w:before="240"/>
              <w:rPr>
                <w:lang w:val="en-US"/>
              </w:rPr>
            </w:pPr>
            <w:r>
              <w:rPr>
                <w:lang w:val="en-US"/>
              </w:rPr>
              <w:t>Distr.: General</w:t>
            </w:r>
          </w:p>
          <w:p w14:paraId="008AB17B" w14:textId="3F06F205" w:rsidR="000805EC" w:rsidRPr="0067435C" w:rsidRDefault="004C40AD" w:rsidP="000805EC">
            <w:pPr>
              <w:spacing w:line="240" w:lineRule="exact"/>
              <w:rPr>
                <w:lang w:val="en-US"/>
              </w:rPr>
            </w:pPr>
            <w:r>
              <w:rPr>
                <w:lang w:val="en-US"/>
              </w:rPr>
              <w:t>1</w:t>
            </w:r>
            <w:r w:rsidR="00B003FF">
              <w:rPr>
                <w:lang w:val="en-US"/>
              </w:rPr>
              <w:t>9</w:t>
            </w:r>
            <w:r>
              <w:rPr>
                <w:lang w:val="en-US"/>
              </w:rPr>
              <w:t xml:space="preserve"> September </w:t>
            </w:r>
            <w:r w:rsidR="00CF3907" w:rsidRPr="0067435C">
              <w:rPr>
                <w:lang w:val="en-US"/>
              </w:rPr>
              <w:t>2023</w:t>
            </w:r>
          </w:p>
          <w:p w14:paraId="21203E20" w14:textId="7EA5077C" w:rsidR="000805EC" w:rsidRDefault="000805EC" w:rsidP="000805EC">
            <w:pPr>
              <w:spacing w:line="240" w:lineRule="exact"/>
              <w:rPr>
                <w:lang w:val="en-US"/>
              </w:rPr>
            </w:pPr>
          </w:p>
          <w:p w14:paraId="54C7DB46" w14:textId="1BAB4955" w:rsidR="000805EC" w:rsidRPr="00E71476" w:rsidRDefault="000805EC" w:rsidP="000805EC">
            <w:pPr>
              <w:spacing w:line="240" w:lineRule="exact"/>
              <w:rPr>
                <w:lang w:val="en-US"/>
              </w:rPr>
            </w:pPr>
            <w:r>
              <w:rPr>
                <w:lang w:val="en-US"/>
              </w:rPr>
              <w:t xml:space="preserve">Original: </w:t>
            </w:r>
            <w:r w:rsidR="004F26E1">
              <w:rPr>
                <w:lang w:val="en-US"/>
              </w:rPr>
              <w:t>Russian</w:t>
            </w:r>
          </w:p>
        </w:tc>
      </w:tr>
    </w:tbl>
    <w:p w14:paraId="6B7D5D97" w14:textId="77777777" w:rsidR="00DF71B9" w:rsidRPr="0067435C" w:rsidRDefault="00DF71B9" w:rsidP="006F0B59">
      <w:pPr>
        <w:spacing w:before="120"/>
        <w:rPr>
          <w:b/>
          <w:sz w:val="24"/>
          <w:szCs w:val="24"/>
        </w:rPr>
      </w:pPr>
      <w:r w:rsidRPr="001313C8">
        <w:rPr>
          <w:b/>
          <w:sz w:val="24"/>
          <w:szCs w:val="24"/>
        </w:rPr>
        <w:t>Совет по правам человека</w:t>
      </w:r>
    </w:p>
    <w:p w14:paraId="0D79582F" w14:textId="44E5F9FB" w:rsidR="000805EC" w:rsidRPr="00955F5F" w:rsidRDefault="000805EC" w:rsidP="000805EC">
      <w:pPr>
        <w:rPr>
          <w:rFonts w:eastAsia="MS Mincho"/>
          <w:b/>
        </w:rPr>
      </w:pPr>
      <w:r>
        <w:rPr>
          <w:b/>
          <w:bCs/>
        </w:rPr>
        <w:t>Рабочая группа по универсальному</w:t>
      </w:r>
      <w:r w:rsidR="00345D38">
        <w:rPr>
          <w:b/>
          <w:bCs/>
        </w:rPr>
        <w:br/>
      </w:r>
      <w:r>
        <w:rPr>
          <w:b/>
          <w:bCs/>
        </w:rPr>
        <w:t>периодическому обзору</w:t>
      </w:r>
    </w:p>
    <w:p w14:paraId="0338A83E" w14:textId="74AFF75A" w:rsidR="000805EC" w:rsidRPr="00955F5F" w:rsidRDefault="004F26E1" w:rsidP="000805EC">
      <w:pPr>
        <w:rPr>
          <w:rFonts w:eastAsia="MS Mincho"/>
          <w:b/>
        </w:rPr>
      </w:pPr>
      <w:r w:rsidRPr="004F26E1">
        <w:rPr>
          <w:rFonts w:eastAsia="MS Mincho"/>
          <w:b/>
          <w:bCs/>
        </w:rPr>
        <w:t>Сорок четвертая сессия</w:t>
      </w:r>
    </w:p>
    <w:p w14:paraId="2F9B0999" w14:textId="74569A5A" w:rsidR="000805EC" w:rsidRPr="00955F5F" w:rsidRDefault="004F26E1" w:rsidP="000805EC">
      <w:pPr>
        <w:rPr>
          <w:rFonts w:eastAsia="MS Mincho"/>
        </w:rPr>
      </w:pPr>
      <w:r w:rsidRPr="004F26E1">
        <w:t>6</w:t>
      </w:r>
      <w:bookmarkStart w:id="0" w:name="_Hlk145931639"/>
      <w:r w:rsidR="000805EC">
        <w:t>–</w:t>
      </w:r>
      <w:bookmarkEnd w:id="0"/>
      <w:r w:rsidR="000805EC">
        <w:t>1</w:t>
      </w:r>
      <w:r w:rsidRPr="004F26E1">
        <w:t>7</w:t>
      </w:r>
      <w:r w:rsidR="000805EC">
        <w:t xml:space="preserve"> </w:t>
      </w:r>
      <w:r w:rsidRPr="004F26E1">
        <w:t>ноября</w:t>
      </w:r>
      <w:r w:rsidR="000805EC">
        <w:t xml:space="preserve"> 2023 года</w:t>
      </w:r>
      <w:bookmarkStart w:id="1" w:name="_Hlk127441126"/>
      <w:bookmarkEnd w:id="1"/>
    </w:p>
    <w:p w14:paraId="69CBF977" w14:textId="27F6D5FC" w:rsidR="000805EC" w:rsidRPr="00955F5F" w:rsidRDefault="000805EC" w:rsidP="00570AD9">
      <w:pPr>
        <w:pStyle w:val="HChG"/>
        <w:rPr>
          <w:rFonts w:eastAsia="MS Mincho"/>
        </w:rPr>
      </w:pPr>
      <w:r>
        <w:tab/>
      </w:r>
      <w:r>
        <w:tab/>
        <w:t>Национальный доклад, представленный в соответствии с</w:t>
      </w:r>
      <w:r>
        <w:rPr>
          <w:lang w:val="en-US"/>
        </w:rPr>
        <w:t> </w:t>
      </w:r>
      <w:r>
        <w:t>резолюциями Совета по правам человека 5/1 и 16/21</w:t>
      </w:r>
      <w:r w:rsidRPr="000805EC">
        <w:rPr>
          <w:rFonts w:eastAsia="MS Mincho"/>
          <w:b w:val="0"/>
          <w:bCs/>
          <w:sz w:val="20"/>
        </w:rPr>
        <w:footnoteReference w:customMarkFollows="1" w:id="1"/>
        <w:t>*</w:t>
      </w:r>
    </w:p>
    <w:p w14:paraId="0436DCDA" w14:textId="70180C39" w:rsidR="00A720DD" w:rsidRDefault="000805EC" w:rsidP="000805EC">
      <w:pPr>
        <w:pStyle w:val="HChG"/>
      </w:pPr>
      <w:r>
        <w:tab/>
      </w:r>
      <w:r>
        <w:tab/>
      </w:r>
      <w:r w:rsidR="0061726D" w:rsidRPr="0061726D">
        <w:rPr>
          <w:bCs/>
        </w:rPr>
        <w:t>Азербайджан</w:t>
      </w:r>
    </w:p>
    <w:p w14:paraId="2C6A5F42" w14:textId="77777777" w:rsidR="00A720DD" w:rsidRDefault="00A720DD">
      <w:pPr>
        <w:suppressAutoHyphens w:val="0"/>
        <w:spacing w:line="240" w:lineRule="auto"/>
        <w:rPr>
          <w:rFonts w:eastAsia="Times New Roman" w:cs="Times New Roman"/>
          <w:b/>
          <w:sz w:val="28"/>
          <w:szCs w:val="20"/>
          <w:lang w:eastAsia="ru-RU"/>
        </w:rPr>
      </w:pPr>
      <w:r>
        <w:br w:type="page"/>
      </w:r>
    </w:p>
    <w:p w14:paraId="09F97CF6" w14:textId="7145AF4E" w:rsidR="004C40AD" w:rsidRPr="004C40AD" w:rsidRDefault="004C40AD" w:rsidP="004C40AD">
      <w:pPr>
        <w:pStyle w:val="HChG"/>
      </w:pPr>
      <w:r>
        <w:lastRenderedPageBreak/>
        <w:tab/>
      </w:r>
      <w:r>
        <w:rPr>
          <w:lang w:val="en-GB"/>
        </w:rPr>
        <w:t>I</w:t>
      </w:r>
      <w:r w:rsidRPr="004C40AD">
        <w:t>.</w:t>
      </w:r>
      <w:r w:rsidRPr="004C40AD">
        <w:tab/>
        <w:t>Процесс подготовки доклада</w:t>
      </w:r>
    </w:p>
    <w:p w14:paraId="61C61316" w14:textId="124EBA83" w:rsidR="004C40AD" w:rsidRPr="004C40AD" w:rsidRDefault="004C40AD" w:rsidP="004C40AD">
      <w:pPr>
        <w:pStyle w:val="SingleTxtG"/>
      </w:pPr>
      <w:r w:rsidRPr="004C40AD">
        <w:t>1.</w:t>
      </w:r>
      <w:r>
        <w:tab/>
      </w:r>
      <w:r w:rsidRPr="004C40AD">
        <w:t>Для обеспечения дальнейших мер по поощрению и защите прав и основных свобод человека, повышения эффективности сотрудничества с действующими в этой сфере механизмами ООН, а также принимая во внимание рекомендации механизма Универсального Периодического Обзора (УПО) Совета по правам человека ООН о создании национального механизма координации, реализации, отчетности и последующей деятельности по вопросам прав человека, Президентом Азербайджанской Республики 20 сентября 2018 года было подписано Распоряжение, в соответствии с которым была создана Рабочая группа в составе представителей ряда министерств и ведомств. Генеральной Прокуратуре и Аппарату Уполномоченного по правам человека (Омбудсман) было рекомендовано обеспечить свое участие в ее работе.</w:t>
      </w:r>
    </w:p>
    <w:p w14:paraId="05C5FA04" w14:textId="79AC0884" w:rsidR="004C40AD" w:rsidRPr="004C40AD" w:rsidRDefault="004C40AD" w:rsidP="004C40AD">
      <w:pPr>
        <w:pStyle w:val="SingleTxtG"/>
      </w:pPr>
      <w:r w:rsidRPr="004C40AD">
        <w:t>2.</w:t>
      </w:r>
      <w:r w:rsidRPr="004C40AD">
        <w:tab/>
        <w:t>В компетенцию данной Рабочей группы входит подготовка всех периодических докладов, представляемых Правительством в рамках договорных органов ООН по правам человека и механизма УПО Совета по правам человека ООН. Рабочая группа также осуществляет контроль над реализацией рекомендаций, принятых в отношении Азербайджана.</w:t>
      </w:r>
    </w:p>
    <w:p w14:paraId="2181146D" w14:textId="5CE17839" w:rsidR="004C40AD" w:rsidRPr="004C40AD" w:rsidRDefault="004C40AD" w:rsidP="004C40AD">
      <w:pPr>
        <w:pStyle w:val="SingleTxtG"/>
      </w:pPr>
      <w:r w:rsidRPr="004C40AD">
        <w:t>3.</w:t>
      </w:r>
      <w:r w:rsidRPr="004C40AD">
        <w:tab/>
        <w:t>В соответствии с вышеуказанным Распоряжением был подготовлен четвертый национальный доклад Азербайджанской Республики в рамках механизма УПО. Согласно Распоряжению Президента от 20 сентября 2018 года Министерство иностранных дел координировало работу по подготовке доклада.</w:t>
      </w:r>
    </w:p>
    <w:p w14:paraId="4D83FBBE" w14:textId="221F02CF" w:rsidR="004C40AD" w:rsidRPr="004C40AD" w:rsidRDefault="004C40AD" w:rsidP="004C40AD">
      <w:pPr>
        <w:pStyle w:val="SingleTxtG"/>
      </w:pPr>
      <w:r w:rsidRPr="004C40AD">
        <w:t>4.</w:t>
      </w:r>
      <w:r w:rsidRPr="004C40AD">
        <w:tab/>
        <w:t>В соответствии с руководящими указаниями, содержащимися в резолюции 5/1 Совета по правам человека и Общими руководящими принципами подготовки информации в рамках УПО, содержащимися в документе A/HRC/DEC/17/119 Генеральной Ассамблеи ООН, в четвертом национальном докладе содержится информация о выполнении рекомендаций, принятых в ходе третьего УПО в 2018 году, а также информация о развитии ситуации с правами человека в Азербайджане с указанного времени.</w:t>
      </w:r>
    </w:p>
    <w:p w14:paraId="2CC1D32B" w14:textId="4B9DD679" w:rsidR="004C40AD" w:rsidRPr="004C40AD" w:rsidRDefault="004C40AD" w:rsidP="004C40AD">
      <w:pPr>
        <w:pStyle w:val="SingleTxtG"/>
      </w:pPr>
      <w:r w:rsidRPr="004C40AD">
        <w:t>5.</w:t>
      </w:r>
      <w:r w:rsidRPr="004C40AD">
        <w:tab/>
        <w:t>В 2022 году Управлению Верховного комиссара ООН по правам человека был представлен добровольный промежуточный доклад Азербайджанской Республики по выполнению рекомендаций, которые были приняты в отношении Азербайджана в ходе третьего УПО.</w:t>
      </w:r>
    </w:p>
    <w:p w14:paraId="734D632E" w14:textId="7BC65B83" w:rsidR="004C40AD" w:rsidRPr="004C40AD" w:rsidRDefault="004C40AD" w:rsidP="004C40AD">
      <w:pPr>
        <w:pStyle w:val="SingleTxtG"/>
      </w:pPr>
      <w:r w:rsidRPr="004C40AD">
        <w:t>6.</w:t>
      </w:r>
      <w:r w:rsidRPr="004C40AD">
        <w:tab/>
        <w:t>Проект четвертого национального доклада был размещен на веб-сайте Министерства иностранных дел для получения комментариев со стороны гражданского общества и неправительственных организаций (НПО) по данному документу.</w:t>
      </w:r>
    </w:p>
    <w:p w14:paraId="6C54EF2A" w14:textId="66ED42A4" w:rsidR="004C40AD" w:rsidRPr="004C40AD" w:rsidRDefault="004C40AD" w:rsidP="004C40AD">
      <w:pPr>
        <w:pStyle w:val="HChG"/>
      </w:pPr>
      <w:r>
        <w:tab/>
      </w:r>
      <w:r>
        <w:rPr>
          <w:lang w:val="en-GB"/>
        </w:rPr>
        <w:t>II</w:t>
      </w:r>
      <w:r w:rsidRPr="004C40AD">
        <w:t>.</w:t>
      </w:r>
      <w:r w:rsidRPr="004C40AD">
        <w:tab/>
        <w:t>Меры в области прав человека и выполнение рекомендаций</w:t>
      </w:r>
    </w:p>
    <w:p w14:paraId="6287E50F" w14:textId="7AB1400A" w:rsidR="004C40AD" w:rsidRPr="004C40AD" w:rsidRDefault="004C40AD" w:rsidP="004C40AD">
      <w:pPr>
        <w:pStyle w:val="SingleTxtG"/>
      </w:pPr>
      <w:r w:rsidRPr="004C40AD">
        <w:t>7.</w:t>
      </w:r>
      <w:r w:rsidRPr="004C40AD">
        <w:tab/>
        <w:t>Выполнение рекомендаций, поддержанных в ходе предыдущего цикла, в настоящем докладе будет рассматриваться в комплексе.</w:t>
      </w:r>
    </w:p>
    <w:p w14:paraId="606B2687" w14:textId="0A207120" w:rsidR="004C40AD" w:rsidRPr="004C40AD" w:rsidRDefault="004C40AD" w:rsidP="004C40AD">
      <w:pPr>
        <w:pStyle w:val="H1G"/>
      </w:pPr>
      <w:r>
        <w:tab/>
      </w:r>
      <w:r>
        <w:tab/>
      </w:r>
      <w:r w:rsidRPr="004C40AD">
        <w:t>Сотрудничество с международными механизмами по правам человека</w:t>
      </w:r>
    </w:p>
    <w:p w14:paraId="0AA9EF23" w14:textId="790F50D6" w:rsidR="004C40AD" w:rsidRPr="004C40AD" w:rsidRDefault="004C40AD" w:rsidP="004C40AD">
      <w:pPr>
        <w:pStyle w:val="SingleTxtG"/>
      </w:pPr>
      <w:r w:rsidRPr="004C40AD">
        <w:t>8.</w:t>
      </w:r>
      <w:r w:rsidRPr="004C40AD">
        <w:tab/>
        <w:t>Азербайджанская Республика плодотворно сотрудничает с мандатариями специальных процедур Совета по правам человека ООН. В апреле 2013 года Правительство направило постоянное приглашение всем мандатариям, желающим посетить Азербайджан. Открытость и конструктивное сотрудничество Азербайджана с мандатариями специальных процедур были положительно отмечены Верховным комиссаром ООН по правам человека в его устном выступлении на 38-й сессии Совета по правам человека (18 июня - 06 июля 2018 г.), где он упомянул Азербайджан среди 19 стран, активно сотрудничающих со специальными процедурами.</w:t>
      </w:r>
    </w:p>
    <w:p w14:paraId="3F95C3C9" w14:textId="66B62B14" w:rsidR="004C40AD" w:rsidRPr="004C40AD" w:rsidRDefault="004C40AD" w:rsidP="004C40AD">
      <w:pPr>
        <w:pStyle w:val="SingleTxtG"/>
      </w:pPr>
      <w:r w:rsidRPr="004C40AD">
        <w:lastRenderedPageBreak/>
        <w:t>9.</w:t>
      </w:r>
      <w:r>
        <w:tab/>
      </w:r>
      <w:r w:rsidRPr="004C40AD">
        <w:t>За прошедший период Правительство представило в договорные органы ООН соответствующие периодические доклады (смотреть п.1 Приложения).</w:t>
      </w:r>
    </w:p>
    <w:p w14:paraId="538ECEF5" w14:textId="568E3924" w:rsidR="004C40AD" w:rsidRPr="004C40AD" w:rsidRDefault="004C40AD" w:rsidP="004C40AD">
      <w:pPr>
        <w:pStyle w:val="SingleTxtG"/>
      </w:pPr>
      <w:r w:rsidRPr="004C40AD">
        <w:t>10.</w:t>
      </w:r>
      <w:r>
        <w:tab/>
      </w:r>
      <w:r w:rsidRPr="004C40AD">
        <w:t>За прошедший период в договорных органах ООН состоялись презентации периодических докладов Правительства (смотреть п.2 Приложения).</w:t>
      </w:r>
    </w:p>
    <w:p w14:paraId="77AC0EE8" w14:textId="1B9E5C86" w:rsidR="004C40AD" w:rsidRPr="004C40AD" w:rsidRDefault="004C40AD" w:rsidP="004C40AD">
      <w:pPr>
        <w:pStyle w:val="SingleTxtG"/>
      </w:pPr>
      <w:r w:rsidRPr="004C40AD">
        <w:t>11.</w:t>
      </w:r>
      <w:r>
        <w:tab/>
      </w:r>
      <w:r w:rsidRPr="004C40AD">
        <w:t>Азербайджан продолжает выдвигать национальных кандидатов на выборные должности в договорных органах ООН. На данный момент граждане Азербайджана представлены в 4-х из 10-ти договорных органов ООН (смотреть п.3 Приложения).</w:t>
      </w:r>
    </w:p>
    <w:p w14:paraId="00777ECD" w14:textId="75C424EF" w:rsidR="004C40AD" w:rsidRPr="004C40AD" w:rsidRDefault="004C40AD" w:rsidP="004C40AD">
      <w:pPr>
        <w:pStyle w:val="SingleTxtG"/>
      </w:pPr>
      <w:r w:rsidRPr="004C40AD">
        <w:t>12.</w:t>
      </w:r>
      <w:r>
        <w:tab/>
      </w:r>
      <w:r w:rsidRPr="004C40AD">
        <w:t>Азербайджанская Республика привержена своим обязательствам, вытекающим из Европейской конвенции по правам человека и подписала и ратифицировала 67 договоров Совета Европы (СЕ). Правительство принимает меры на национальном уровне для выполнения решений Европейского суда по правам человека (ЕСПЧ). Улучшение исполнения решений ЕСПЧ является одним из основных направлений сотрудничества в рамках Плана действий СЕ для Азербайджана на 2022-2025 годы, в настоящее время реализуется проект под названием «Поддержка улучшения исполнения решений ЕСПЧ Азербайджаном».</w:t>
      </w:r>
    </w:p>
    <w:p w14:paraId="03E7A67F" w14:textId="0D816298" w:rsidR="004C40AD" w:rsidRPr="004C40AD" w:rsidRDefault="004C40AD" w:rsidP="004C40AD">
      <w:pPr>
        <w:pStyle w:val="SingleTxtG"/>
      </w:pPr>
      <w:r w:rsidRPr="004C40AD">
        <w:t>13.</w:t>
      </w:r>
      <w:r>
        <w:tab/>
      </w:r>
      <w:r w:rsidRPr="004C40AD">
        <w:t xml:space="preserve">В последние годы наблюдается положительная динамика в исполнении решений ЕСПЧ. В целом с 2018 года до середины 2023 года было исполнено 102 судебных решений, связанных с Азербайджаном и выведены из-под контроля Комитета Министров СЕ, из которых 15 </w:t>
      </w:r>
      <w:r w:rsidR="00684E6B" w:rsidRPr="00684E6B">
        <w:t>–</w:t>
      </w:r>
      <w:r w:rsidRPr="004C40AD">
        <w:t xml:space="preserve"> в 2023 году, 35 </w:t>
      </w:r>
      <w:r w:rsidR="00684E6B" w:rsidRPr="00684E6B">
        <w:t>–</w:t>
      </w:r>
      <w:r w:rsidRPr="004C40AD">
        <w:t xml:space="preserve"> в 2022 году, 12 </w:t>
      </w:r>
      <w:r w:rsidR="00684E6B" w:rsidRPr="00684E6B">
        <w:t>–</w:t>
      </w:r>
      <w:r w:rsidRPr="004C40AD">
        <w:t xml:space="preserve"> в 2021 году, 6 </w:t>
      </w:r>
      <w:r w:rsidR="00E65019" w:rsidRPr="00E65019">
        <w:t>–</w:t>
      </w:r>
      <w:r w:rsidRPr="004C40AD">
        <w:t xml:space="preserve"> в 2020 году, 16 </w:t>
      </w:r>
      <w:r w:rsidR="00E65019" w:rsidRPr="00E65019">
        <w:t>–</w:t>
      </w:r>
      <w:r w:rsidRPr="004C40AD">
        <w:t xml:space="preserve"> в 2019 году и 18 </w:t>
      </w:r>
      <w:r w:rsidR="00E65019" w:rsidRPr="00E65019">
        <w:t>–</w:t>
      </w:r>
      <w:r w:rsidRPr="004C40AD">
        <w:t xml:space="preserve"> в 2018 году. С 2022 года со стороны государства было представлено более 50 планов действий, отчетов о действиях и коммуникаций, охватывающих более 150 дел.</w:t>
      </w:r>
    </w:p>
    <w:p w14:paraId="1D48265B" w14:textId="10F3422C" w:rsidR="004C40AD" w:rsidRPr="004C40AD" w:rsidRDefault="004C40AD" w:rsidP="004C40AD">
      <w:pPr>
        <w:pStyle w:val="SingleTxtG"/>
      </w:pPr>
      <w:r w:rsidRPr="004C40AD">
        <w:t>14.</w:t>
      </w:r>
      <w:r>
        <w:tab/>
      </w:r>
      <w:r w:rsidRPr="004C40AD">
        <w:t>На международном уровне страна представила 3 добровольных национальных доклада по Целям устойчивого развития (ЦУР) на Политических Форумах Высокого Уровня «Преобразование нашего мира: Повестка дня в области устойчивого развития на период до 2030 года», проведенных в 2017, 2019 и 2021 годах в Генеральном штабе ООН.</w:t>
      </w:r>
    </w:p>
    <w:p w14:paraId="7B3B2A22" w14:textId="21A6378C" w:rsidR="004C40AD" w:rsidRPr="004C40AD" w:rsidRDefault="004C40AD" w:rsidP="004C40AD">
      <w:pPr>
        <w:pStyle w:val="SingleTxtG"/>
      </w:pPr>
      <w:r w:rsidRPr="004C40AD">
        <w:t>15.</w:t>
      </w:r>
      <w:r>
        <w:tab/>
      </w:r>
      <w:r w:rsidRPr="004C40AD">
        <w:t>На национальном уровне Президенту Азербайджанской Республики были представлены 6 национальных докладов по ЦУР под названием «Преобразование нашего мира: Повестка дня в области устойчивого развития на период до 2030 года».</w:t>
      </w:r>
    </w:p>
    <w:p w14:paraId="63CC6193" w14:textId="55A2332A" w:rsidR="004C40AD" w:rsidRPr="004C40AD" w:rsidRDefault="004C40AD" w:rsidP="004C40AD">
      <w:pPr>
        <w:pStyle w:val="SingleTxtG"/>
      </w:pPr>
      <w:r w:rsidRPr="004C40AD">
        <w:t>16.</w:t>
      </w:r>
      <w:r>
        <w:tab/>
      </w:r>
      <w:r w:rsidRPr="004C40AD">
        <w:t>В докладе по «Индексу ЦУР» ООН Азербайджан занял 50-е место среди 163 стран, набрав 73,5 балла из 100 возможных. По сравнению с позицией в докладе за 2021 год, в докладе за 2022 год Азербайджан поднялся на 5 позиций.</w:t>
      </w:r>
    </w:p>
    <w:p w14:paraId="45F47763" w14:textId="741ADA89" w:rsidR="004C40AD" w:rsidRPr="004C40AD" w:rsidRDefault="004C40AD" w:rsidP="004C40AD">
      <w:pPr>
        <w:pStyle w:val="SingleTxtG"/>
      </w:pPr>
      <w:r w:rsidRPr="004C40AD">
        <w:t>17.</w:t>
      </w:r>
      <w:r w:rsidRPr="004C40AD">
        <w:tab/>
        <w:t>В 2022 году Национальный Координационный Совет по Устойчивому Развитию утвердил «План мероприятий по реализации ЦУР на 2022 год». В 2023 году Национальный Координационный Совет утвердил «План мероприятий по организации образовательной деятельности в направлении реализации ЦУР на 2023 год». На данном заседании Совета соответствующим органам было рекомендовано провести информационно-просветительские мероприятия в целях продвижения 16-ой цели ЦУР: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14:paraId="447BF5ED" w14:textId="57C2026A" w:rsidR="004C40AD" w:rsidRPr="004C40AD" w:rsidRDefault="004C40AD" w:rsidP="004C40AD">
      <w:pPr>
        <w:pStyle w:val="H1G"/>
      </w:pPr>
      <w:r>
        <w:tab/>
      </w:r>
      <w:r>
        <w:tab/>
      </w:r>
      <w:r w:rsidRPr="004C40AD">
        <w:t>Участие в международных инструментах в области прав человека</w:t>
      </w:r>
    </w:p>
    <w:p w14:paraId="3F31FE6F" w14:textId="7351D354" w:rsidR="004C40AD" w:rsidRPr="004C40AD" w:rsidRDefault="004C40AD" w:rsidP="004C40AD">
      <w:pPr>
        <w:pStyle w:val="SingleTxtG"/>
      </w:pPr>
      <w:r w:rsidRPr="004C40AD">
        <w:t>18.</w:t>
      </w:r>
      <w:r>
        <w:tab/>
      </w:r>
      <w:r w:rsidRPr="004C40AD">
        <w:t>Азербайджан ратифицировал почти все основные международные и региональные инструменты в области прав человека и постоянно расширяет свои договорные обязательства.</w:t>
      </w:r>
    </w:p>
    <w:p w14:paraId="5FF4600A" w14:textId="453EA36B" w:rsidR="004C40AD" w:rsidRPr="004C40AD" w:rsidRDefault="004C40AD" w:rsidP="004C40AD">
      <w:pPr>
        <w:pStyle w:val="SingleTxtG"/>
      </w:pPr>
      <w:r w:rsidRPr="004C40AD">
        <w:t>19.</w:t>
      </w:r>
      <w:r>
        <w:tab/>
      </w:r>
      <w:r w:rsidRPr="004C40AD">
        <w:t>За отчетный период Азербайджанской Республикой были ратифицированы или подписаны соответствующие международные документы (смотреть п.4 Приложения).</w:t>
      </w:r>
    </w:p>
    <w:p w14:paraId="72282A2E" w14:textId="19C41849" w:rsidR="004C40AD" w:rsidRPr="004C40AD" w:rsidRDefault="004C40AD" w:rsidP="004C40AD">
      <w:pPr>
        <w:pStyle w:val="SingleTxtG"/>
      </w:pPr>
      <w:r w:rsidRPr="004C40AD">
        <w:t>20.</w:t>
      </w:r>
      <w:r w:rsidRPr="004C40AD">
        <w:tab/>
        <w:t xml:space="preserve">Вопрос об участии в Факультативном протоколе к Конвенции о правах ребенка и Факультативном протоколе к Международному пакту об экономических, </w:t>
      </w:r>
      <w:r w:rsidRPr="004C40AD">
        <w:lastRenderedPageBreak/>
        <w:t>социальных и культурных правах, касающиеся процедуры сообщений, Конвенции о защите всех лиц от принудительного исчезновения, а также Конвенции СЕ о предотвращении и пресечении насилия в отношении женщин и бытового насилия требует дальнейшего внутригосударственного согласования.</w:t>
      </w:r>
    </w:p>
    <w:p w14:paraId="7FA5209A" w14:textId="34B76C2C" w:rsidR="004C40AD" w:rsidRPr="004C40AD" w:rsidRDefault="004C40AD" w:rsidP="004C40AD">
      <w:pPr>
        <w:pStyle w:val="SingleTxtG"/>
      </w:pPr>
      <w:r w:rsidRPr="004C40AD">
        <w:t>21.</w:t>
      </w:r>
      <w:r>
        <w:tab/>
      </w:r>
      <w:r w:rsidRPr="004C40AD">
        <w:t>Азербайджан не является участником Римского статута Международного Уголовного Суда (МУС), но вместе с тем исходит из того понимания, что защита гражданского населения, уважение прав человека и гуманитарного права, а также борьба с безнаказанностью за международные преступления содействуют поддержанию международного мира и безопасности и, таким образом, является ответственностью международного сообщества в целом. По данной причине, Азербайджанская Республика была представлена на Дипломатической конференции полномочных представителей под эгидой ООН по созданию МУС, прошедшей 15 июня – 17 июля 1998 года в Риме и участвовала в принятии заключительного акта Конференции. Азербайджанская Республика продолжает наблюдать за процессом деятельности МУС и всесторонне изучает возможность принятия правовых механизмов по обеспечению эффективного сотрудничества с МУС с целью содействия выполнению обязательств, возлагаемых на государства-участники Римского Статута.</w:t>
      </w:r>
    </w:p>
    <w:p w14:paraId="52F04D09" w14:textId="55DE10C4" w:rsidR="004C40AD" w:rsidRPr="004C40AD" w:rsidRDefault="004C40AD" w:rsidP="004C40AD">
      <w:pPr>
        <w:pStyle w:val="H1G"/>
      </w:pPr>
      <w:r>
        <w:tab/>
      </w:r>
      <w:r>
        <w:tab/>
      </w:r>
      <w:r w:rsidRPr="004C40AD">
        <w:t>Совершенствование национального законодательства</w:t>
      </w:r>
    </w:p>
    <w:p w14:paraId="08D1D77F" w14:textId="703157E9" w:rsidR="004C40AD" w:rsidRPr="004C40AD" w:rsidRDefault="004C40AD" w:rsidP="004C40AD">
      <w:pPr>
        <w:pStyle w:val="SingleTxtG"/>
      </w:pPr>
      <w:r w:rsidRPr="004C40AD">
        <w:t>22.</w:t>
      </w:r>
      <w:r w:rsidRPr="004C40AD">
        <w:tab/>
        <w:t>С учетом международных обязательств разработано и приведено к международным стандартам национальное законодательство в области защиты основных прав и свобод человека. Рекомендации международных организаций и соответствующих механизмов ООН также учитывались при совершенствовании законодательства.</w:t>
      </w:r>
    </w:p>
    <w:p w14:paraId="6FA1B768" w14:textId="4327BA82" w:rsidR="004C40AD" w:rsidRPr="004C40AD" w:rsidRDefault="004C40AD" w:rsidP="004C40AD">
      <w:pPr>
        <w:pStyle w:val="SingleTxtG"/>
      </w:pPr>
      <w:r w:rsidRPr="004C40AD">
        <w:t>23.</w:t>
      </w:r>
      <w:r>
        <w:tab/>
      </w:r>
      <w:r w:rsidRPr="004C40AD">
        <w:t>С целью приведения законодательства страны в соответствие с международными обязательствами, за отчетный период были приняты соответствующие нормативно-правовые акты (смотреть п.5 Приложения).</w:t>
      </w:r>
    </w:p>
    <w:p w14:paraId="45BAE5D0" w14:textId="0F101E36" w:rsidR="004C40AD" w:rsidRPr="004C40AD" w:rsidRDefault="004C40AD" w:rsidP="004C40AD">
      <w:pPr>
        <w:pStyle w:val="SingleTxtG"/>
      </w:pPr>
      <w:r w:rsidRPr="004C40AD">
        <w:t>24.</w:t>
      </w:r>
      <w:r>
        <w:tab/>
      </w:r>
      <w:r w:rsidRPr="004C40AD">
        <w:t>Принятая в 2011 году «Национальная программа действий по повышению эффективности защиты прав и свобод человека» остается важным документом в этой области. В рамках данной программы была проделана работа по усовершенствованию нормативно-правовой базы, деятельности государственных органов, защите прав различных групп населения, организованы учебные, научно-аналитические и просветительские мероприятия в области прав человека.</w:t>
      </w:r>
    </w:p>
    <w:p w14:paraId="1659999B" w14:textId="77E55342" w:rsidR="004C40AD" w:rsidRPr="004C40AD" w:rsidRDefault="004C40AD" w:rsidP="004C40AD">
      <w:pPr>
        <w:pStyle w:val="SingleTxtG"/>
      </w:pPr>
      <w:r w:rsidRPr="004C40AD">
        <w:t>25.</w:t>
      </w:r>
      <w:r>
        <w:tab/>
      </w:r>
      <w:r w:rsidRPr="004C40AD">
        <w:t>Омбудсман является координатором по осуществлению Национальной программы. Вместе с тем, Омбудсман продолжает действовать как механизм контроля по защите прав и свобод человека в стране.</w:t>
      </w:r>
    </w:p>
    <w:p w14:paraId="25C28A0C" w14:textId="4362F045" w:rsidR="004C40AD" w:rsidRPr="004C40AD" w:rsidRDefault="004C40AD" w:rsidP="004C40AD">
      <w:pPr>
        <w:pStyle w:val="SingleTxtG"/>
      </w:pPr>
      <w:r w:rsidRPr="004C40AD">
        <w:t>26.</w:t>
      </w:r>
      <w:r>
        <w:tab/>
      </w:r>
      <w:r w:rsidRPr="004C40AD">
        <w:t>Омбудсманом в 2022 году были подготовлены, представлены на рассмотрение и последующего утверждения новый Национальный план (программа) в области прав человека, принятие которого заменит Национальную программу 2011 года.</w:t>
      </w:r>
    </w:p>
    <w:p w14:paraId="5483628A" w14:textId="38ED3C72" w:rsidR="004C40AD" w:rsidRPr="004C40AD" w:rsidRDefault="004C40AD" w:rsidP="004C40AD">
      <w:pPr>
        <w:pStyle w:val="SingleTxtG"/>
      </w:pPr>
      <w:r w:rsidRPr="004C40AD">
        <w:t>27.</w:t>
      </w:r>
      <w:r>
        <w:tab/>
      </w:r>
      <w:r w:rsidRPr="004C40AD">
        <w:t>Наряду с национальными инициативами, по согласованию с соответствующими государственными органами страны между СЕ и Азербайджаном был принят «План действий для Азербайджана на 2022-2025 годы», целью которого является дальнейшая адаптация к стандартам СЕ законодательства, институтов и опыта Азербайджана в области прав человека, а также обеспечение верховенства права и поддержка демократии.</w:t>
      </w:r>
    </w:p>
    <w:p w14:paraId="69EBF39E" w14:textId="54822C12" w:rsidR="004C40AD" w:rsidRPr="004C40AD" w:rsidRDefault="004C40AD" w:rsidP="004C40AD">
      <w:pPr>
        <w:pStyle w:val="H1G"/>
      </w:pPr>
      <w:r>
        <w:tab/>
      </w:r>
      <w:r>
        <w:tab/>
      </w:r>
      <w:r w:rsidRPr="004C40AD">
        <w:t>Повышение осведомленности в области прав человека, профессиональная подготовка и обучение</w:t>
      </w:r>
    </w:p>
    <w:p w14:paraId="0F834F83" w14:textId="2499B4DA" w:rsidR="004C40AD" w:rsidRPr="004C40AD" w:rsidRDefault="004C40AD" w:rsidP="004C40AD">
      <w:pPr>
        <w:pStyle w:val="SingleTxtG"/>
      </w:pPr>
      <w:r w:rsidRPr="004C40AD">
        <w:t>28.</w:t>
      </w:r>
      <w:r>
        <w:tab/>
      </w:r>
      <w:r w:rsidRPr="004C40AD">
        <w:t xml:space="preserve">В соответствии с Указом Президента от 2022 года был создан Центр Правовой Экспертизы и Законодательных Инициатив, который является публичным юридическим лицом и действует в сферах повышения качества нормотворческой деятельности, развития знаний, навыков и компетенций работников государственных органов в области применения правовых норм, осуществления юридического </w:t>
      </w:r>
      <w:r w:rsidRPr="004C40AD">
        <w:lastRenderedPageBreak/>
        <w:t>просвещения, проведения правовой экспертизы, оценки влияния правового регулирования, а также разработки предложений по осуществлению правовых реформ в стране с учетом передовой международной практики и эффективной координации работы, связанной с ними.</w:t>
      </w:r>
    </w:p>
    <w:p w14:paraId="55818732" w14:textId="3A39A536" w:rsidR="004C40AD" w:rsidRPr="004C40AD" w:rsidRDefault="00961330" w:rsidP="00961330">
      <w:pPr>
        <w:pStyle w:val="SingleTxtG"/>
      </w:pPr>
      <w:r w:rsidRPr="00961330">
        <w:t>29.</w:t>
      </w:r>
      <w:r w:rsidRPr="00961330">
        <w:tab/>
      </w:r>
      <w:r w:rsidR="004C40AD" w:rsidRPr="004C40AD">
        <w:t>Институт Права и Прав Человека,</w:t>
      </w:r>
      <w:r w:rsidR="004C40AD" w:rsidRPr="004C40AD">
        <w:rPr>
          <w:b/>
        </w:rPr>
        <w:t xml:space="preserve"> </w:t>
      </w:r>
      <w:r w:rsidR="004C40AD" w:rsidRPr="004C40AD">
        <w:t>входивший ранее в структуру Национальной Академии Наук Азербайджана, также был реорганизован в соответствии с Указом Президента от 2022 года и в настоящее время действует как публичное юридическое лицо при вышеуказанном Центре. Данный Институт, наряду с обеспечением деятельности Центра, функционирует с целью проведения правового анализа существующих нормативных правовых актов для устранения пробелов, коллизий и случаев злоупотреблений в нормативных правовых актах и совершенствования законодательства, а также осуществления сравнительного анализа национального законодательства с законодательством зарубежных стран, проведения прикладных научно-экспериментальных исследований и подготовки научно-практических рекомендаций по отдельным отраслям права, включая сферу прав и свобод человека.</w:t>
      </w:r>
    </w:p>
    <w:p w14:paraId="75E9EBFC" w14:textId="2F66C990" w:rsidR="004C40AD" w:rsidRPr="004C40AD" w:rsidRDefault="00961330" w:rsidP="00961330">
      <w:pPr>
        <w:pStyle w:val="SingleTxtG"/>
      </w:pPr>
      <w:r w:rsidRPr="00961330">
        <w:t>30.</w:t>
      </w:r>
      <w:r>
        <w:tab/>
      </w:r>
      <w:r w:rsidR="004C40AD" w:rsidRPr="004C40AD">
        <w:t>Подробная информация о проведенных тренингах и семинарах отражена в п.6 Приложения.</w:t>
      </w:r>
    </w:p>
    <w:p w14:paraId="20FFD992" w14:textId="14628CC2" w:rsidR="004C40AD" w:rsidRPr="004C40AD" w:rsidRDefault="00961330" w:rsidP="00961330">
      <w:pPr>
        <w:pStyle w:val="H1G"/>
      </w:pPr>
      <w:r>
        <w:tab/>
      </w:r>
      <w:r>
        <w:tab/>
      </w:r>
      <w:r w:rsidR="004C40AD" w:rsidRPr="004C40AD">
        <w:t>Гражданские и политические права</w:t>
      </w:r>
    </w:p>
    <w:p w14:paraId="50172C93" w14:textId="0A8E6218" w:rsidR="004C40AD" w:rsidRPr="004C40AD" w:rsidRDefault="00961330" w:rsidP="00961330">
      <w:pPr>
        <w:pStyle w:val="H23G"/>
      </w:pPr>
      <w:r>
        <w:tab/>
      </w:r>
      <w:r>
        <w:tab/>
      </w:r>
      <w:r w:rsidR="004C40AD" w:rsidRPr="004C40AD">
        <w:t>Свобода мысли и слова, свобода информации</w:t>
      </w:r>
    </w:p>
    <w:p w14:paraId="7839A9A5" w14:textId="03E30542" w:rsidR="004C40AD" w:rsidRPr="004C40AD" w:rsidRDefault="00961330" w:rsidP="00961330">
      <w:pPr>
        <w:pStyle w:val="SingleTxtG"/>
      </w:pPr>
      <w:r w:rsidRPr="00961330">
        <w:t>31.</w:t>
      </w:r>
      <w:r w:rsidRPr="00961330">
        <w:tab/>
      </w:r>
      <w:r w:rsidR="004C40AD" w:rsidRPr="004C40AD">
        <w:t>В Азербайджане созданы все условия для свободной деятельности представителей СМИ, правозащитников и представителей гражданского общества, в полном объеме обеспечиваются их права и свободы, они не подвергаются каким-либо притеснениям.</w:t>
      </w:r>
    </w:p>
    <w:p w14:paraId="200BB927" w14:textId="6454FB9C" w:rsidR="004C40AD" w:rsidRPr="004C40AD" w:rsidRDefault="00961330" w:rsidP="00961330">
      <w:pPr>
        <w:pStyle w:val="SingleTxtG"/>
      </w:pPr>
      <w:r w:rsidRPr="00961330">
        <w:t>32.</w:t>
      </w:r>
      <w:r>
        <w:tab/>
      </w:r>
      <w:r w:rsidR="004C40AD" w:rsidRPr="004C40AD">
        <w:t>Согласно Закону «О медиа» от 2021 года массовая информация в Азербайджанской Республике свободна. Государственная цензура в сфере СМИ, а также создание и финансирование с этой целью государственных органов или должностей запрещается. СМИ основывается на гарантировании государством права всех на поиск, получение, подготовку, передачу, производство и распространение информации законным путем.</w:t>
      </w:r>
    </w:p>
    <w:p w14:paraId="0BD9CE43" w14:textId="2880DBF9" w:rsidR="004C40AD" w:rsidRPr="004C40AD" w:rsidRDefault="00961330" w:rsidP="00961330">
      <w:pPr>
        <w:pStyle w:val="SingleTxtG"/>
      </w:pPr>
      <w:r w:rsidRPr="00961330">
        <w:t>33.</w:t>
      </w:r>
      <w:r>
        <w:tab/>
      </w:r>
      <w:r w:rsidR="004C40AD" w:rsidRPr="004C40AD">
        <w:t>Согласно вышеуказанному Закону, журналисты имеют право на независимость, личную неприкосновенность, право на защиту своей чести и достоинства при исполнении своих профессиональных обязанностей. Не допускается незаконное вмешательство в профессиональную деятельность журналистов, притеснение журналистов и оказание на них давления в отношении сбора, подготовки, редактирования и производства, передачи информации, а также выражение мнения об этой информации не ограниченной национальным законодательством и предназначенной для общего пользования. В Азербайджане правозащитники, журналисты и блогеры не подвергаются угрозам и уголовному преследованию в связи со своей деятельностью. Руководствуясь принципом равенства всех перед законом, к уголовной ответственности привлекаются лишь лица, подозреваемые в совершении конкретного преступления, независимо от занимаемого им положения или рода деятельности. В 2019-2022 годах только один сотрудник СМИ был осужден по статьям 147 (клевета) и 148 (оскорбление) Уголовного Кодекса (приговорен к исправительным работам).</w:t>
      </w:r>
    </w:p>
    <w:p w14:paraId="1D50E4B9" w14:textId="3478B866" w:rsidR="004C40AD" w:rsidRPr="004C40AD" w:rsidRDefault="00961330" w:rsidP="00961330">
      <w:pPr>
        <w:pStyle w:val="SingleTxtG"/>
      </w:pPr>
      <w:r w:rsidRPr="00961330">
        <w:t>34.</w:t>
      </w:r>
      <w:r>
        <w:tab/>
      </w:r>
      <w:r w:rsidR="004C40AD" w:rsidRPr="004C40AD">
        <w:t xml:space="preserve">В целях поддержки СМИ, продолжения работы по институциональному строительству в этой области и стимулирования применения новых информационно-коммуникационных технологий и инноваций, в соответствии с Указом Президента от 2021 года «Об углублении реформ в области средств массовой информации в Азербайджанской Республике» на базе Фонда Государственной поддержки развития средств массовой информации при Президенте создано публичное юридическое лицо «Агентство развития медиа». В задачи Агентства включены обеспечение свободы мысли, слова и информации, плюрализма, подготовка предложений по совершенствованию нормативно-правовой базы в целях регулирования отношений </w:t>
      </w:r>
      <w:r w:rsidR="004C40AD" w:rsidRPr="004C40AD">
        <w:lastRenderedPageBreak/>
        <w:t>между субъектами СМИ и общества и государства, укрепление экономической самостоятельности субъектов СМИ, повышение профессионализма и ответственности журналистов, в том числе реализация мер, направленных на их социальную защиту.</w:t>
      </w:r>
    </w:p>
    <w:p w14:paraId="55A91DB9" w14:textId="7DC35BDE" w:rsidR="004C40AD" w:rsidRPr="004C40AD" w:rsidRDefault="00961330" w:rsidP="00961330">
      <w:pPr>
        <w:pStyle w:val="SingleTxtG"/>
      </w:pPr>
      <w:r w:rsidRPr="00961330">
        <w:t>35.</w:t>
      </w:r>
      <w:r>
        <w:tab/>
      </w:r>
      <w:r w:rsidR="004C40AD" w:rsidRPr="004C40AD">
        <w:t>В Законе от 7 марта 2023 года о внесении изменений в Кодекс об административных правонарушениях, предусмотрено усиление административной ответственности за незаконное вмешательство в профессиональную деятельность журналистов, в том числе за преследование и давление на журналистов в связи со сбором, подготовкой, редактированием и изготовлением информации, предназначенной для общего пользования, а также передачи такой информации, не ограниченной законами.</w:t>
      </w:r>
    </w:p>
    <w:p w14:paraId="3ED17E64" w14:textId="7192BD66" w:rsidR="004C40AD" w:rsidRPr="004C40AD" w:rsidRDefault="00961330" w:rsidP="00961330">
      <w:pPr>
        <w:pStyle w:val="H23G"/>
      </w:pPr>
      <w:r>
        <w:tab/>
      </w:r>
      <w:r>
        <w:tab/>
      </w:r>
      <w:r w:rsidR="004C40AD" w:rsidRPr="004C40AD">
        <w:t>Свобода собраний</w:t>
      </w:r>
    </w:p>
    <w:p w14:paraId="164D5A16" w14:textId="64A00183" w:rsidR="004C40AD" w:rsidRPr="004C40AD" w:rsidRDefault="00961330" w:rsidP="00961330">
      <w:pPr>
        <w:pStyle w:val="SingleTxtG"/>
      </w:pPr>
      <w:r w:rsidRPr="00961330">
        <w:t>36.</w:t>
      </w:r>
      <w:r w:rsidRPr="00961330">
        <w:tab/>
      </w:r>
      <w:r w:rsidR="004C40AD" w:rsidRPr="004C40AD">
        <w:t>Право на свободу собраний гарантируется Конституцией, международными соглашениями, участником которых является Азербайджанская Республика, а правила проведения собраний (митингов, демонстраций, уличных шествий, пикетирований) регулируются Законом от 1998 года «О свободе собраний».</w:t>
      </w:r>
    </w:p>
    <w:p w14:paraId="161841B2" w14:textId="5F37A03A" w:rsidR="004C40AD" w:rsidRPr="004C40AD" w:rsidRDefault="00961330" w:rsidP="00961330">
      <w:pPr>
        <w:pStyle w:val="SingleTxtG"/>
      </w:pPr>
      <w:r w:rsidRPr="00961330">
        <w:t>37.</w:t>
      </w:r>
      <w:r>
        <w:tab/>
      </w:r>
      <w:r w:rsidR="004C40AD" w:rsidRPr="004C40AD">
        <w:t>За последние 25 лет в вышеуказанный Закон были внесены многочисленные изменения согласно соответствующим международным обязательствам. В соответствии с официальной позицией Венецианской комиссии СЕ данный нормативно-правовой акт полностью соответствует европейским стандартам.</w:t>
      </w:r>
    </w:p>
    <w:p w14:paraId="13FAF979" w14:textId="636AE42D" w:rsidR="004C40AD" w:rsidRPr="004C40AD" w:rsidRDefault="00961330" w:rsidP="00961330">
      <w:pPr>
        <w:pStyle w:val="SingleTxtG"/>
      </w:pPr>
      <w:r w:rsidRPr="00961330">
        <w:t>38.</w:t>
      </w:r>
      <w:r>
        <w:tab/>
      </w:r>
      <w:r w:rsidR="004C40AD" w:rsidRPr="004C40AD">
        <w:t>Административно-правовая практика в отношении свободы собраний полностью соответствует национальному законодательству и основывается на статье 49 Конституции и статье 5 Закона «О свободе собраний». В соответствии с данной статьей Закона предусмотрено, что «местным органам исполнительной власти должно быть направлено письменное уведомление о маршруте уличного шествия, месте и времени проведения собрания в целях их координации и принятия необходимых мер. Обоснованное решение в отношении проведения собрания направляется организаторам в течение трех рабочих дней. В то же время, согласно национальному законодательству могут применяться ограничения, необходимые в демократическом обществе и предусмотренные законом».</w:t>
      </w:r>
    </w:p>
    <w:p w14:paraId="4AEB0952" w14:textId="65CBC6BB" w:rsidR="004C40AD" w:rsidRPr="004C40AD" w:rsidRDefault="00961330" w:rsidP="00961330">
      <w:pPr>
        <w:pStyle w:val="H23G"/>
      </w:pPr>
      <w:r>
        <w:tab/>
      </w:r>
      <w:r>
        <w:tab/>
      </w:r>
      <w:r w:rsidR="004C40AD" w:rsidRPr="004C40AD">
        <w:t>Свобода совести</w:t>
      </w:r>
    </w:p>
    <w:p w14:paraId="404E1BA4" w14:textId="2B6DDF87" w:rsidR="004C40AD" w:rsidRPr="004C40AD" w:rsidRDefault="00961330" w:rsidP="00961330">
      <w:pPr>
        <w:pStyle w:val="SingleTxtG"/>
      </w:pPr>
      <w:r w:rsidRPr="00961330">
        <w:t>39.</w:t>
      </w:r>
      <w:r w:rsidRPr="00961330">
        <w:tab/>
      </w:r>
      <w:r w:rsidR="004C40AD" w:rsidRPr="004C40AD">
        <w:t>Политика в области религии в стране основывается на Конституции и международных договорах, участницей которых является Азербайджанская Республика.</w:t>
      </w:r>
    </w:p>
    <w:p w14:paraId="500EFE99" w14:textId="13833C45" w:rsidR="004C40AD" w:rsidRPr="004C40AD" w:rsidRDefault="00961330" w:rsidP="00961330">
      <w:pPr>
        <w:pStyle w:val="SingleTxtG"/>
      </w:pPr>
      <w:r w:rsidRPr="00961330">
        <w:t>40.</w:t>
      </w:r>
      <w:r w:rsidRPr="00961330">
        <w:tab/>
      </w:r>
      <w:r w:rsidR="004C40AD" w:rsidRPr="004C40AD">
        <w:t>Законом от 2021 года были внесены изменения в Закон «О свободе вероисповедания», в соответствии с которыми деятельность, направленная на пропаганду религиозного экстремизма, а также использование межрелигиозных и внутри-религиозных различий в политических целях были запрещены.</w:t>
      </w:r>
    </w:p>
    <w:p w14:paraId="35C3BBFA" w14:textId="498AF77A" w:rsidR="004C40AD" w:rsidRPr="004C40AD" w:rsidRDefault="00961330" w:rsidP="00961330">
      <w:pPr>
        <w:pStyle w:val="SingleTxtG"/>
      </w:pPr>
      <w:r w:rsidRPr="00961330">
        <w:t>41.</w:t>
      </w:r>
      <w:r>
        <w:tab/>
      </w:r>
      <w:r w:rsidR="004C40AD" w:rsidRPr="004C40AD">
        <w:t xml:space="preserve">По приблизительным подсчётам, 96% населения Азербайджана составляют мусульмане, 4% </w:t>
      </w:r>
      <w:r w:rsidR="00454D8E" w:rsidRPr="00454D8E">
        <w:t>–</w:t>
      </w:r>
      <w:r w:rsidR="004C40AD" w:rsidRPr="004C40AD">
        <w:t xml:space="preserve"> представители других религий (иудаизм, христианство, бахаи и сознание Кришны) (статистические данные о религиозных общинах и центрах приведены в п.7 Приложения).</w:t>
      </w:r>
    </w:p>
    <w:p w14:paraId="2F5ADB77" w14:textId="3EAD4728" w:rsidR="004C40AD" w:rsidRPr="004C40AD" w:rsidRDefault="00961330" w:rsidP="00961330">
      <w:pPr>
        <w:pStyle w:val="SingleTxtG"/>
      </w:pPr>
      <w:r w:rsidRPr="00961330">
        <w:t>42.</w:t>
      </w:r>
      <w:r>
        <w:tab/>
      </w:r>
      <w:r w:rsidR="004C40AD" w:rsidRPr="004C40AD">
        <w:t>С 2011 года государство оказывает финансовую помощь как исламским, так и неисламским религиозным общинам. В последний раз с целью поддержки религиозных конфессий в стране и улучшения их финансового положения, в соответствии с Распоряжением Президента от 2023 года, из резервного фонда Президента в целом были выделены средства в размере 3100 000,0 манатов (смотреть п.8 Приложения).</w:t>
      </w:r>
    </w:p>
    <w:p w14:paraId="2AC9837D" w14:textId="5ABB8816" w:rsidR="004C40AD" w:rsidRPr="004C40AD" w:rsidRDefault="00961330" w:rsidP="00961330">
      <w:pPr>
        <w:pStyle w:val="SingleTxtG"/>
      </w:pPr>
      <w:r w:rsidRPr="00961330">
        <w:t>43.</w:t>
      </w:r>
      <w:r>
        <w:tab/>
      </w:r>
      <w:r w:rsidR="004C40AD" w:rsidRPr="004C40AD">
        <w:t xml:space="preserve">За истекший период правительство продолжило уделять особое внимание ремонту и реставрации мечетей и святилищ, а также церквей и синагог, и других молитвенных домов. В Азербайджане осуществляется ряд мероприятий по ремонту и реставрации историко-религиозных памятников и церквей, принадлежащих Албано-Удинской Христианской религиозной общине. Фонд Гейдара Алиева с 2019 года начал работы по капитальному восстановлению албанской церкви Святой Марии, </w:t>
      </w:r>
      <w:r w:rsidR="004C40AD" w:rsidRPr="004C40AD">
        <w:lastRenderedPageBreak/>
        <w:t>расположенной в поселке Нидж Габалинского района, где компактно проживают удины. 7 ноября 2020 года церковь была открыта после реставрации.</w:t>
      </w:r>
    </w:p>
    <w:p w14:paraId="3D2CCC7F" w14:textId="34E6B0E4" w:rsidR="004C40AD" w:rsidRPr="004C40AD" w:rsidRDefault="00961330" w:rsidP="00961330">
      <w:pPr>
        <w:pStyle w:val="SingleTxtG"/>
      </w:pPr>
      <w:r w:rsidRPr="00961330">
        <w:t>44.</w:t>
      </w:r>
      <w:r>
        <w:tab/>
      </w:r>
      <w:r w:rsidR="004C40AD" w:rsidRPr="004C40AD">
        <w:t>19 мая 2022 года в городе Баку, в рамках региональной подготовительной встречи Межконфессионального форума G20 прошла международная конференция «Мультикультурный взгляд на приоритетные глобальные вопросы», где было вновь подчеркнуто отсутствие в стране религиозной дискриминации и антисемитизма.</w:t>
      </w:r>
    </w:p>
    <w:p w14:paraId="7F263ACD" w14:textId="4753F216" w:rsidR="004C40AD" w:rsidRPr="004C40AD" w:rsidRDefault="00961330" w:rsidP="00961330">
      <w:pPr>
        <w:pStyle w:val="H23G"/>
        <w:rPr>
          <w:bCs/>
        </w:rPr>
      </w:pPr>
      <w:r>
        <w:tab/>
      </w:r>
      <w:r>
        <w:tab/>
      </w:r>
      <w:r w:rsidR="004C40AD" w:rsidRPr="004C40AD">
        <w:t>Право на объединение</w:t>
      </w:r>
    </w:p>
    <w:p w14:paraId="499BB2B3" w14:textId="62013B99" w:rsidR="004C40AD" w:rsidRPr="004C40AD" w:rsidRDefault="00961330" w:rsidP="00961330">
      <w:pPr>
        <w:pStyle w:val="SingleTxtG"/>
      </w:pPr>
      <w:r w:rsidRPr="00961330">
        <w:t>45.</w:t>
      </w:r>
      <w:r w:rsidRPr="00961330">
        <w:tab/>
      </w:r>
      <w:r w:rsidR="004C40AD" w:rsidRPr="004C40AD">
        <w:t>Согласно Конституции каждый вправе создавать любое объединение, в том числе политическую партию, профессиональный союз и другое общественное объединение, или вступать в существующее объединение. С целью обеспечения данного права приняты соответствующие нормативные акты, в том числе законы о политических партиях, профсоюзах, неправительственных организациях.</w:t>
      </w:r>
    </w:p>
    <w:p w14:paraId="68FEC65A" w14:textId="001D185C" w:rsidR="004C40AD" w:rsidRPr="004C40AD" w:rsidRDefault="00961330" w:rsidP="00961330">
      <w:pPr>
        <w:pStyle w:val="SingleTxtG"/>
      </w:pPr>
      <w:r w:rsidRPr="00961330">
        <w:t>46.</w:t>
      </w:r>
      <w:r>
        <w:tab/>
      </w:r>
      <w:r w:rsidR="004C40AD" w:rsidRPr="004C40AD">
        <w:t>Создание, деятельность, правила реорганизации и ликвидации неправительственных организаций (НПО) как юридических лиц, деятельность НПО, управление ими, их отношения с органами государственной власти регулируются Законом «О НПО (общественных объединениях и фондах)» от 2000 года. Согласно изменениям, внесенным в Закон «О НПО» Законом от 2020, договоры (решения) о предоставлении гранта также могут заключаться на основе электронной заявки.</w:t>
      </w:r>
    </w:p>
    <w:p w14:paraId="20ECF394" w14:textId="2745345F" w:rsidR="004C40AD" w:rsidRPr="004C40AD" w:rsidRDefault="00961330" w:rsidP="00961330">
      <w:pPr>
        <w:pStyle w:val="SingleTxtG"/>
      </w:pPr>
      <w:r w:rsidRPr="00961330">
        <w:t>47.</w:t>
      </w:r>
      <w:r>
        <w:tab/>
      </w:r>
      <w:r w:rsidR="004C40AD" w:rsidRPr="004C40AD">
        <w:t>Продолжается работа по упрощению, электронизации и совершенствованию государственной регистрации НПО. В связи с исполнением «Национального плана действий по содействию открытому правительству на 2020-2022 годы», утвержденного Распоряжением Президента от 2020 года, в электронную информационную систему «Индивидуальное электронное окно» внесены соответствующие изменения, и созданы условия для электронной подачи документов для регистрации НПО.</w:t>
      </w:r>
    </w:p>
    <w:p w14:paraId="3D7F42D4" w14:textId="53D0B4EC" w:rsidR="004C40AD" w:rsidRPr="004C40AD" w:rsidRDefault="00961330" w:rsidP="00961330">
      <w:pPr>
        <w:pStyle w:val="SingleTxtG"/>
      </w:pPr>
      <w:r w:rsidRPr="00961330">
        <w:t>48.</w:t>
      </w:r>
      <w:r>
        <w:tab/>
      </w:r>
      <w:r w:rsidR="004C40AD" w:rsidRPr="004C40AD">
        <w:t>Требование регистрации каждого изменения, вносимого в учредительные документы юридических лиц, представительств или филиалов иностранного юридического лица, а также регистрации каждого последующего изменения зафиксированных фактов, предусмотренное статьей 9.1 Закона «О государственной регистрации и государственном реестре юридических лиц», не включает перерегистрацию. Требования указанной статьи предусматривает лишь обновление имеющихся сведений в случае внесения изменений в учредительные документы, что соответствует международной практике.</w:t>
      </w:r>
    </w:p>
    <w:p w14:paraId="160E4921" w14:textId="0E0BCD33" w:rsidR="004C40AD" w:rsidRPr="004C40AD" w:rsidRDefault="00961330" w:rsidP="00961330">
      <w:pPr>
        <w:pStyle w:val="SingleTxtG"/>
      </w:pPr>
      <w:r w:rsidRPr="00961330">
        <w:t>49.</w:t>
      </w:r>
      <w:r>
        <w:tab/>
      </w:r>
      <w:r w:rsidR="004C40AD" w:rsidRPr="004C40AD">
        <w:t>В рамках реализации «Национального плана действий по содействию открытому правительству на 2020-2022 годы», в электронную информационную систему «Индивидуальное электронное окно» были внесены соответствующие изменения: разработано и внедрено программное обеспечение для учета финансовых средств, выделяемых негосударственным организациям, на основе электронного заявления.</w:t>
      </w:r>
    </w:p>
    <w:p w14:paraId="62D72C43" w14:textId="6AE71086" w:rsidR="004C40AD" w:rsidRPr="004C40AD" w:rsidRDefault="00961330" w:rsidP="00961330">
      <w:pPr>
        <w:pStyle w:val="SingleTxtG"/>
      </w:pPr>
      <w:r w:rsidRPr="00961330">
        <w:t>50.</w:t>
      </w:r>
      <w:r>
        <w:tab/>
      </w:r>
      <w:r w:rsidR="004C40AD" w:rsidRPr="004C40AD">
        <w:t>За последние пять лет зафиксированы финансовые средства в размере около 200 миллионов манатов, выделенные институтам гражданского общества из зарубежных финансовых источников.</w:t>
      </w:r>
    </w:p>
    <w:p w14:paraId="2727E2A7" w14:textId="5E0A7CF9" w:rsidR="004C40AD" w:rsidRPr="004C40AD" w:rsidRDefault="00961330" w:rsidP="00961330">
      <w:pPr>
        <w:pStyle w:val="SingleTxtG"/>
      </w:pPr>
      <w:r w:rsidRPr="00961330">
        <w:t>51.</w:t>
      </w:r>
      <w:r>
        <w:tab/>
      </w:r>
      <w:r w:rsidR="004C40AD" w:rsidRPr="004C40AD">
        <w:t>Количество зарегистрированных организаций по состоянию на 1 января 2023 года в Азербайджане указано в п.9 Приложения.</w:t>
      </w:r>
    </w:p>
    <w:p w14:paraId="656F9D58" w14:textId="717AF1A0" w:rsidR="004C40AD" w:rsidRPr="004C40AD" w:rsidRDefault="00961330" w:rsidP="00961330">
      <w:pPr>
        <w:pStyle w:val="SingleTxtG"/>
      </w:pPr>
      <w:r w:rsidRPr="00961330">
        <w:t>52.</w:t>
      </w:r>
      <w:r>
        <w:tab/>
      </w:r>
      <w:r w:rsidR="004C40AD" w:rsidRPr="004C40AD">
        <w:t>В рамках исполнения «Национального плана действий по содействию открытому правительству на 2020-2022 годы», в целях расширения участия институтов гражданского общества в процедурах принятия коллегиальных решений в государственных органах, был подготовлен проект о внесении изменений в Закон «Об общественном участии» и представлен в соответствующую структуру.</w:t>
      </w:r>
    </w:p>
    <w:p w14:paraId="03877294" w14:textId="5ACBC9F4" w:rsidR="004C40AD" w:rsidRPr="004C40AD" w:rsidRDefault="00961330" w:rsidP="00961330">
      <w:pPr>
        <w:pStyle w:val="SingleTxtG"/>
      </w:pPr>
      <w:r w:rsidRPr="00961330">
        <w:t>53.</w:t>
      </w:r>
      <w:r>
        <w:tab/>
      </w:r>
      <w:r w:rsidR="004C40AD" w:rsidRPr="004C40AD">
        <w:t>В «Государственной программе по развитию азербайджанской юстиции на 2019-2023 годы», утвержденной Распоряжением Президента от 2018 года, выделен отдельный раздел, определяющий меры по расширению сотрудничества с институтами гражданского общества.</w:t>
      </w:r>
    </w:p>
    <w:p w14:paraId="73F87A3B" w14:textId="16FC85F5" w:rsidR="004C40AD" w:rsidRPr="004C40AD" w:rsidRDefault="00961330" w:rsidP="00961330">
      <w:pPr>
        <w:pStyle w:val="SingleTxtG"/>
      </w:pPr>
      <w:r w:rsidRPr="00961330">
        <w:lastRenderedPageBreak/>
        <w:t>54.</w:t>
      </w:r>
      <w:r>
        <w:tab/>
      </w:r>
      <w:r w:rsidR="004C40AD" w:rsidRPr="004C40AD">
        <w:t>Правительство продолжает принимать последовательные меры по развитию гражданского общества в стране. В соответствии с Указом Президента от 2021 года «Об улучшении управления в сфере государственной поддержки НПО в Азербайджанской Республике», на базе Совета государственной поддержки НПО при Президенте Азербайджанской Республики было создано публичное юридическое лицо «Агентство государственной поддержки НПО Азербайджанской Республики» и принят его устав (информация о деятельности Агентства и соответствующих Фондов приводится в п.10 Приложения).</w:t>
      </w:r>
    </w:p>
    <w:p w14:paraId="34DAB2F7" w14:textId="40A6BA94" w:rsidR="004C40AD" w:rsidRPr="004C40AD" w:rsidRDefault="00961330" w:rsidP="00961330">
      <w:pPr>
        <w:pStyle w:val="H23G"/>
      </w:pPr>
      <w:r>
        <w:tab/>
      </w:r>
      <w:r>
        <w:tab/>
      </w:r>
      <w:r w:rsidR="004C40AD" w:rsidRPr="004C40AD">
        <w:t>Избирательное право</w:t>
      </w:r>
    </w:p>
    <w:p w14:paraId="240E7628" w14:textId="49F05FCD" w:rsidR="004C40AD" w:rsidRPr="004C40AD" w:rsidRDefault="00961330" w:rsidP="00961330">
      <w:pPr>
        <w:pStyle w:val="SingleTxtG"/>
      </w:pPr>
      <w:r w:rsidRPr="00961330">
        <w:t>55.</w:t>
      </w:r>
      <w:r w:rsidRPr="00961330">
        <w:tab/>
      </w:r>
      <w:r w:rsidR="004C40AD" w:rsidRPr="004C40AD">
        <w:t>В соответствии с национальным законодательством всем политическим силам и гражданам создаются все условия для участия в выборах и выдвижении кандидатур. Активность различных политических сил в широкой политической среде также наблюдалась при каждом из 3 выборов, проведенных в 2018-2022 годах в Азербайджане – Президентские выборы 11 апреля 2018 года, муниципальные выборы 23 декабря 2019 года и выборы в Милли Меджлис (Парламент) 9 февраля 2020 года (смотреть п.11 Приложения).</w:t>
      </w:r>
    </w:p>
    <w:p w14:paraId="3F68BB21" w14:textId="58A3D04D" w:rsidR="004C40AD" w:rsidRPr="004C40AD" w:rsidRDefault="00961330" w:rsidP="00961330">
      <w:pPr>
        <w:pStyle w:val="SingleTxtG"/>
      </w:pPr>
      <w:r w:rsidRPr="00961330">
        <w:t>56.</w:t>
      </w:r>
      <w:r>
        <w:tab/>
      </w:r>
      <w:r w:rsidR="004C40AD" w:rsidRPr="004C40AD">
        <w:t>На всех трех выборах была создана атмосфера предвыборной агитации, основанная на равных условиях. На выборах кандидаты также без каких-либо препятствий проводили свободную и широкую агитацию через социальные сети, веб-порталы и онлайн медиа платформы. Реализация обширной программы действий была направлена на проведение выборов в условиях плюрализма и явной конкуренции и обеспечение политического участия граждан.</w:t>
      </w:r>
    </w:p>
    <w:p w14:paraId="34F549DA" w14:textId="1126D9A6" w:rsidR="004C40AD" w:rsidRPr="004C40AD" w:rsidRDefault="00961330" w:rsidP="00961330">
      <w:pPr>
        <w:pStyle w:val="H23G"/>
      </w:pPr>
      <w:r>
        <w:tab/>
      </w:r>
      <w:r>
        <w:tab/>
      </w:r>
      <w:r w:rsidR="004C40AD" w:rsidRPr="004C40AD">
        <w:t>Реформы судебно-правовой системы</w:t>
      </w:r>
    </w:p>
    <w:p w14:paraId="5E8EAFEA" w14:textId="2FB4058D" w:rsidR="004C40AD" w:rsidRPr="004C40AD" w:rsidRDefault="00961330" w:rsidP="00961330">
      <w:pPr>
        <w:pStyle w:val="SingleTxtG"/>
      </w:pPr>
      <w:r w:rsidRPr="00961330">
        <w:t>57.</w:t>
      </w:r>
      <w:r w:rsidRPr="00961330">
        <w:tab/>
      </w:r>
      <w:r w:rsidR="004C40AD" w:rsidRPr="004C40AD">
        <w:t>Адвокатская деятельность осуществляется независимо от расы, национальности, вероисповедания, языка, пола, происхождения, имущественного положения, занимаемой должности, убеждений, принадлежности к политическим партиям, профессиональным союзам и иным общественным объединениям, на основе верховенства прав и свобод человека и гражданина, закона, независимости адвокатов, добровольности отношений между ними и обратившимися за юридической помощью, соблюдения адвокатской этики.</w:t>
      </w:r>
    </w:p>
    <w:p w14:paraId="412F411D" w14:textId="3C246390" w:rsidR="004C40AD" w:rsidRPr="004C40AD" w:rsidRDefault="00961330" w:rsidP="00961330">
      <w:pPr>
        <w:pStyle w:val="SingleTxtG"/>
      </w:pPr>
      <w:r w:rsidRPr="00961330">
        <w:t>58.</w:t>
      </w:r>
      <w:r>
        <w:tab/>
      </w:r>
      <w:r w:rsidR="004C40AD" w:rsidRPr="004C40AD">
        <w:t>Согласно законодательству, независимо от организационной формы, учреждения, предприятия и организации обязаны оказывать содействие адвокатам в выполнении ими своих профессиональных обязанностей.</w:t>
      </w:r>
    </w:p>
    <w:p w14:paraId="0C64D87E" w14:textId="5029DAB5" w:rsidR="004C40AD" w:rsidRPr="004C40AD" w:rsidRDefault="00961330" w:rsidP="00961330">
      <w:pPr>
        <w:pStyle w:val="SingleTxtG"/>
      </w:pPr>
      <w:r w:rsidRPr="00961330">
        <w:t>59.</w:t>
      </w:r>
      <w:r>
        <w:tab/>
      </w:r>
      <w:r w:rsidR="004C40AD" w:rsidRPr="004C40AD">
        <w:t>Основания для приостановления деятельности адвокатов или исключения их из числа членов Коллегии адвокатов определены в Законе «Об адвокатуре и адвокатской деятельности» от 1999 года. Согласно данному Закону создана Коллегия адвокатов – неправительственная, независимая, самоуправляемая организация, в которую входят все адвокаты страны. Коллегия Адвокатов не имеет полномочий исключать адвоката из Коллегии Адвокатов. В качестве наиболее сурового наказания Коллегия приостанавливает деятельность адвоката и обращается в суд о его исключении. Если суд удовлетворит иск, адвокат исключается из Коллегии. В противном случае адвокат продолжает свою деятельность.</w:t>
      </w:r>
    </w:p>
    <w:p w14:paraId="7CAC3DE9" w14:textId="7E0F1D6B" w:rsidR="004C40AD" w:rsidRPr="004C40AD" w:rsidRDefault="00961330" w:rsidP="00961330">
      <w:pPr>
        <w:pStyle w:val="SingleTxtG"/>
      </w:pPr>
      <w:r w:rsidRPr="00961330">
        <w:t>60.</w:t>
      </w:r>
      <w:r>
        <w:tab/>
      </w:r>
      <w:r w:rsidR="004C40AD" w:rsidRPr="004C40AD">
        <w:t>Закон «Об адвокатах и адвокатской деятельности» соответствует требованиям основных принципов, касающихся роли юристов и рекомендации № R (2000) 21 СЕ о свободе осуществления профессии адвоката. Адвокаты подвержены дисциплинарной ответственности в случаях обнаружения нарушений требований законодательных актов, Положения о правилах поведения адвокатов, включая дела, касающиеся нарушения норм адвокатской этики. За последние 5 лет в Президиум Коллегии Адвокатов поступило в общей сложности 3267 обращений, подавляющее большинство из которых поступило от граждан. По результатам предварительного расследования Президиума 915 (28,9%) обращений были признаны основанием для дисциплинарного производства и направлены в Дисциплинарную Комиссию Адвокатов для расследования.</w:t>
      </w:r>
    </w:p>
    <w:p w14:paraId="259F3423" w14:textId="328E0221" w:rsidR="004C40AD" w:rsidRPr="004C40AD" w:rsidRDefault="00961330" w:rsidP="00961330">
      <w:pPr>
        <w:pStyle w:val="SingleTxtG"/>
      </w:pPr>
      <w:r w:rsidRPr="00961330">
        <w:lastRenderedPageBreak/>
        <w:t>61.</w:t>
      </w:r>
      <w:r>
        <w:tab/>
      </w:r>
      <w:r w:rsidR="004C40AD" w:rsidRPr="004C40AD">
        <w:t>В ходе расследования Дисциплинарной Комиссии в 183 из 915 дисциплинарных производств (20%) было установлено, что адвокаты не выполнили требования Закона «Об адвокатуре и адвокатской деятельности», других законодательных актов, «Положения о правилах поведения адвокатов», в том числе нормы адвокатской этики.</w:t>
      </w:r>
    </w:p>
    <w:p w14:paraId="7E723339" w14:textId="4EBFD74E" w:rsidR="004C40AD" w:rsidRPr="004C40AD" w:rsidRDefault="00961330" w:rsidP="00961330">
      <w:pPr>
        <w:pStyle w:val="SingleTxtG"/>
      </w:pPr>
      <w:r w:rsidRPr="00961330">
        <w:t>62.</w:t>
      </w:r>
      <w:r w:rsidRPr="00961330">
        <w:tab/>
      </w:r>
      <w:r w:rsidR="004C40AD" w:rsidRPr="004C40AD">
        <w:t>В 2017 году начались масштабные реформы в сфере адвокатуры. Законом от 2019 года внесены изменения в Закон «Об адвокатуре и адвокатской деятельности». В соответствии с новыми изменениями проведение квалификационных экзаменов, связанных с адвокатской деятельностью планируется не реже двух раз в год (смотреть п.12 Приложения).</w:t>
      </w:r>
    </w:p>
    <w:p w14:paraId="4674448D" w14:textId="3ADCAE77" w:rsidR="004C40AD" w:rsidRPr="004C40AD" w:rsidRDefault="00961330" w:rsidP="00961330">
      <w:pPr>
        <w:pStyle w:val="SingleTxtG"/>
      </w:pPr>
      <w:r w:rsidRPr="00961330">
        <w:t>63.</w:t>
      </w:r>
      <w:r>
        <w:tab/>
      </w:r>
      <w:r w:rsidR="004C40AD" w:rsidRPr="004C40AD">
        <w:t>Одним из направлений реформ в адвокатуре является обеспечение оплаты гарантированной государственной правовой помощи. Ежегодно в бюджете республики предусматривается сумма, выделяемая на такие расходы. В соответствии с Указом Президента от 2019 года «Об углублении реформ в судебной системе» в целях обеспечения централизованного учета и точного прогнозирования средств, выделенных на юридическую помощь за счет государства, с 2020 года оплату адвокатам за оказание гарантированной государством юридической помощи осуществляет Правление Коллегии Адвокатов.</w:t>
      </w:r>
    </w:p>
    <w:p w14:paraId="639A1C54" w14:textId="49FFE091" w:rsidR="004C40AD" w:rsidRPr="004C40AD" w:rsidRDefault="00961330" w:rsidP="00961330">
      <w:pPr>
        <w:pStyle w:val="SingleTxtG"/>
      </w:pPr>
      <w:r w:rsidRPr="00961330">
        <w:t>64.</w:t>
      </w:r>
      <w:r>
        <w:tab/>
      </w:r>
      <w:r w:rsidR="004C40AD" w:rsidRPr="004C40AD">
        <w:t>Законом от 9 июня 2023 года в Гражданский Процессуальный Кодекс Азербайджанской Республики внесены изменения, расширяющие возможность предоставления адвоката за государственный счет в гражданском процессе.</w:t>
      </w:r>
    </w:p>
    <w:p w14:paraId="1D4FEAEF" w14:textId="4911F1FD" w:rsidR="004C40AD" w:rsidRPr="004C40AD" w:rsidRDefault="00961330" w:rsidP="00961330">
      <w:pPr>
        <w:pStyle w:val="SingleTxtG"/>
      </w:pPr>
      <w:r w:rsidRPr="00961330">
        <w:t>65.</w:t>
      </w:r>
      <w:r>
        <w:tab/>
      </w:r>
      <w:r w:rsidR="004C40AD" w:rsidRPr="004C40AD">
        <w:t>Распоряжением Президента «О дополнительных мерах, связанных с развитием адвокатуры в Азербайджанской Республике» от 2018 года Коллегии Адвокатов было рекомендовано применение современных информационных и коммуникационных технологий в деятельности адвокатов и расширение опыта оказания юридических услуг в электронной форме. В рамках реализации данной рекомендации в 2022 году запущено мобильное приложение электронной юридической помощи «LegalAid», которое обеспечивает доступ граждан к онлайн, удобной и качественной юридической помощи в любое время суток и в любом месте.</w:t>
      </w:r>
    </w:p>
    <w:p w14:paraId="4A8BB5BA" w14:textId="3D82E1A5" w:rsidR="004C40AD" w:rsidRPr="004C40AD" w:rsidRDefault="00961330" w:rsidP="00961330">
      <w:pPr>
        <w:pStyle w:val="SingleTxtG"/>
      </w:pPr>
      <w:r w:rsidRPr="00961330">
        <w:t>66.</w:t>
      </w:r>
      <w:r>
        <w:tab/>
      </w:r>
      <w:r w:rsidR="004C40AD" w:rsidRPr="004C40AD">
        <w:t>Активно используется система «Электронный суд», в которой у каждого адвоката имеется личный кабинет. Все процессуальные документы в электронном формате можно не только направлять в суды посредством этого кабинета, но и получать от других участников процесса, если они также направили их в суд.</w:t>
      </w:r>
    </w:p>
    <w:p w14:paraId="3E3F4255" w14:textId="6195901D" w:rsidR="004C40AD" w:rsidRPr="004C40AD" w:rsidRDefault="00961330" w:rsidP="00961330">
      <w:pPr>
        <w:pStyle w:val="SingleTxtG"/>
      </w:pPr>
      <w:r w:rsidRPr="00961330">
        <w:t>67.</w:t>
      </w:r>
      <w:r>
        <w:tab/>
      </w:r>
      <w:r w:rsidR="004C40AD" w:rsidRPr="004C40AD">
        <w:t>Коллегия адвокатов ведет работу по увеличению числа адвокатов в стране. Число адвокатов в 2004-2018 годах составляло 931 человек, за последние 5 лет число адвокатов увеличилось более чем в 2,5 раза до 2.323, в том числе многократно возросло количество молодых адвокатов, женщин-адвокатов и адвокатов в регионах страны.</w:t>
      </w:r>
    </w:p>
    <w:p w14:paraId="0E3CD5A0" w14:textId="157375D7" w:rsidR="004C40AD" w:rsidRPr="004C40AD" w:rsidRDefault="00961330" w:rsidP="00961330">
      <w:pPr>
        <w:pStyle w:val="SingleTxtG"/>
      </w:pPr>
      <w:r w:rsidRPr="00961330">
        <w:t>68.</w:t>
      </w:r>
      <w:r>
        <w:tab/>
      </w:r>
      <w:r w:rsidR="004C40AD" w:rsidRPr="004C40AD">
        <w:t>Коллегия адвокатов была принята в члены CCBE (Совет адвокатур и юридических обществ Европы), UIA (Международная ассоциация адвокатов), AEA-EAL (Европейская ассоциация юристов), EYBA (Европейская ассоциация молодых юристов) и LAWASIA (Ассоциация юристов Азии и Тихого океана).</w:t>
      </w:r>
    </w:p>
    <w:p w14:paraId="6DF79B49" w14:textId="4ED5D390" w:rsidR="004C40AD" w:rsidRPr="004C40AD" w:rsidRDefault="00961330" w:rsidP="00961330">
      <w:pPr>
        <w:pStyle w:val="SingleTxtG"/>
      </w:pPr>
      <w:r w:rsidRPr="00961330">
        <w:t>69.</w:t>
      </w:r>
      <w:r>
        <w:tab/>
      </w:r>
      <w:r w:rsidR="004C40AD" w:rsidRPr="004C40AD">
        <w:t>Для обеспечения продолжительности реформ в сфере юстиции, усовершенствования деятельности органов юстиции и судов, Распоряжением Президента от 2018 года была утверждена «Государственная программа по развитию азербайджанской юстиции в 2019-2023 годах». В программе основными направлениями по развитию юстиции определены прозрачность и обеспечение прав и свобод человека в рамках деятельности органов юстиции, а также укрепление сотрудничества с институтами гражданского общества. С целью усовершенствования предоставления безвозмездной юридической помощи малообеспеченным слоям населения в Государственной программе предусмотрена подготовка с участием международных экспертов проекта Закона «О безвозмездной юридической помощи». В настоящее время проводится доработка законопроекта на основе предложений эксперта Европейского Союза и членов Рабочей группы, разрабатывающей законопроект, и соответствующих государственных структур.</w:t>
      </w:r>
    </w:p>
    <w:p w14:paraId="45562760" w14:textId="79250AF6" w:rsidR="004C40AD" w:rsidRPr="004C40AD" w:rsidRDefault="00961330" w:rsidP="00961330">
      <w:pPr>
        <w:pStyle w:val="SingleTxtG"/>
      </w:pPr>
      <w:r w:rsidRPr="00961330">
        <w:lastRenderedPageBreak/>
        <w:t>70.</w:t>
      </w:r>
      <w:r>
        <w:tab/>
      </w:r>
      <w:r w:rsidR="004C40AD" w:rsidRPr="004C40AD">
        <w:t>Коллегия адвокатов организует не только мероприятия по оказанию бесплатной юридической помощи, но и посещения мест лишения свободы, где также предоставляется бесплатная юридическая помощь осужденным.</w:t>
      </w:r>
    </w:p>
    <w:p w14:paraId="229E5214" w14:textId="09167767" w:rsidR="004C40AD" w:rsidRPr="004C40AD" w:rsidRDefault="00961330" w:rsidP="00961330">
      <w:pPr>
        <w:pStyle w:val="SingleTxtG"/>
      </w:pPr>
      <w:r w:rsidRPr="00961330">
        <w:t>71.</w:t>
      </w:r>
      <w:r>
        <w:tab/>
      </w:r>
      <w:r w:rsidR="004C40AD" w:rsidRPr="004C40AD">
        <w:t>Указ Президента «Об углублении реформ в судебно-правовой системе» от 2019 года заложил основу для комплексных реформ судебной системы и выступает в роли стратегической дорожной карты. Одним из основных направлений Указа стало расширение доступа к суду и повышение эффективности правосудия.</w:t>
      </w:r>
    </w:p>
    <w:p w14:paraId="056E9C30" w14:textId="1673D021" w:rsidR="004C40AD" w:rsidRPr="004C40AD" w:rsidRDefault="00961330" w:rsidP="00961330">
      <w:pPr>
        <w:pStyle w:val="SingleTxtG"/>
      </w:pPr>
      <w:r w:rsidRPr="00961330">
        <w:t>72.</w:t>
      </w:r>
      <w:r>
        <w:tab/>
      </w:r>
      <w:r w:rsidR="004C40AD" w:rsidRPr="004C40AD">
        <w:t>В связи с данным Указом в целях продолжения мер по гуманизации законодательства и декриминализации преступлений, а также дальнейшего повышения доступности и прозрачности правосудия в Уголовный, Уголовно-процессуальный, Административный и Уголовно-исполнительный кодексы было внесено до 400 изменений.</w:t>
      </w:r>
    </w:p>
    <w:p w14:paraId="361554E1" w14:textId="4AA6618F" w:rsidR="004C40AD" w:rsidRPr="004C40AD" w:rsidRDefault="00961330" w:rsidP="00961330">
      <w:pPr>
        <w:pStyle w:val="SingleTxtG"/>
      </w:pPr>
      <w:r w:rsidRPr="00961330">
        <w:t>73.</w:t>
      </w:r>
      <w:r>
        <w:tab/>
      </w:r>
      <w:r w:rsidR="004C40AD" w:rsidRPr="004C40AD">
        <w:t>С 2019 года процесс отбора судей проводится с помощью прозрачных процедур с новыми правилами, которые были введены со стороны Избирательного Комитета Судей (смотреть п.13 Приложения).</w:t>
      </w:r>
    </w:p>
    <w:p w14:paraId="45486C98" w14:textId="5C0083BA" w:rsidR="004C40AD" w:rsidRPr="004C40AD" w:rsidRDefault="00961330" w:rsidP="00961330">
      <w:pPr>
        <w:pStyle w:val="SingleTxtG"/>
      </w:pPr>
      <w:r w:rsidRPr="00961330">
        <w:t>74.</w:t>
      </w:r>
      <w:r>
        <w:tab/>
      </w:r>
      <w:r w:rsidR="004C40AD" w:rsidRPr="004C40AD">
        <w:t>Достигнутые положительные результаты в сфере судебной реформы, а также отбора судей в Азербайджане привлекли внимание международных организаций. Комиссия СЕ по эффективности правосудия (СЕРЕJ), проявив интерес к отбору судей в Азербайджане, специально сформировала экспертную группу, которая посетила Азербайджан и непосредственно наблюдала за процессом отбора. Европейские эксперты в своём отчете отметили прозрачность, объективность и честность процесса.</w:t>
      </w:r>
    </w:p>
    <w:p w14:paraId="32FDD46F" w14:textId="6EFB017C" w:rsidR="004C40AD" w:rsidRPr="004C40AD" w:rsidRDefault="00961330" w:rsidP="00961330">
      <w:pPr>
        <w:pStyle w:val="SingleTxtG"/>
      </w:pPr>
      <w:r w:rsidRPr="00961330">
        <w:t>75.</w:t>
      </w:r>
      <w:r>
        <w:tab/>
      </w:r>
      <w:r w:rsidR="004C40AD" w:rsidRPr="004C40AD">
        <w:t>С целью облегчения доступа в суд создано удовлетворяющее современным требованиям программное приложение «Мобильный суд» с широкими функциональными возможностями и удобным для использования дизайном.</w:t>
      </w:r>
    </w:p>
    <w:p w14:paraId="6BC20DD0" w14:textId="2CFAA600" w:rsidR="004C40AD" w:rsidRPr="004C40AD" w:rsidRDefault="00961330" w:rsidP="00961330">
      <w:pPr>
        <w:pStyle w:val="SingleTxtG"/>
      </w:pPr>
      <w:r w:rsidRPr="00961330">
        <w:t>76.</w:t>
      </w:r>
      <w:r>
        <w:tab/>
      </w:r>
      <w:r w:rsidR="004C40AD" w:rsidRPr="004C40AD">
        <w:t>В 2021 году в Гражданско-Процессуальный Кодекс были внесены до 350 изменений, направленных на обеспечение гибкости в ходе судебного разбирательства, недопущение волокиты, в том числе возможных случаев злоупотребления, более эффективное рассмотрение дел, а также более широкое применение современных информационных технологий в ходе судопроизводства, служащих повышению качества юстиции в целом.</w:t>
      </w:r>
    </w:p>
    <w:p w14:paraId="18371FDA" w14:textId="1646E04C" w:rsidR="004C40AD" w:rsidRPr="004C40AD" w:rsidRDefault="00961330" w:rsidP="00961330">
      <w:pPr>
        <w:pStyle w:val="SingleTxtG"/>
      </w:pPr>
      <w:r w:rsidRPr="00961330">
        <w:t>77.</w:t>
      </w:r>
      <w:r>
        <w:tab/>
      </w:r>
      <w:r w:rsidR="004C40AD" w:rsidRPr="004C40AD">
        <w:t>В рамках реформ, проведенных в судебно-правовой системе, в 2023 году был усовершенствован Закон «О Судебно-правовом совете». В целях более эффективного обеспечения независимости судебной власти, в Совете увеличено количество судей и сокращено число представителей органов исполнительной власти. В соответствии с изменениями, Председатель Судебно-правового совета избирается из числа судей-членов Совета простым большинством голосов членов Совета.</w:t>
      </w:r>
    </w:p>
    <w:p w14:paraId="0FB41326" w14:textId="13D1074E" w:rsidR="004C40AD" w:rsidRPr="004C40AD" w:rsidRDefault="00961330" w:rsidP="00961330">
      <w:pPr>
        <w:pStyle w:val="H23G"/>
      </w:pPr>
      <w:r>
        <w:tab/>
      </w:r>
      <w:r>
        <w:tab/>
      </w:r>
      <w:r w:rsidR="004C40AD" w:rsidRPr="004C40AD">
        <w:t>Улучшение условий тюремного заключения</w:t>
      </w:r>
    </w:p>
    <w:p w14:paraId="1DAA294A" w14:textId="1D0166C0" w:rsidR="004C40AD" w:rsidRPr="004C40AD" w:rsidRDefault="00961330" w:rsidP="00961330">
      <w:pPr>
        <w:pStyle w:val="SingleTxtG"/>
      </w:pPr>
      <w:r w:rsidRPr="00961330">
        <w:t>78.</w:t>
      </w:r>
      <w:r w:rsidRPr="00961330">
        <w:tab/>
      </w:r>
      <w:r w:rsidR="004C40AD" w:rsidRPr="004C40AD">
        <w:t>В соответствии с Распоряжением Президента от 2017 года «О совершенствовании деятельности в пенитенциарной сфере, гуманизации политики наказания и расширении применения альтернативных видов наказания и процессуальных мер принуждения, не связанных с изоляцией от общества» за 2018-2022 годы была проделана работа по модернизации деятельности в пенитенциарной сфере, обновлению инфраструктуры, усилению контроля над условиями содержания осужденных, формированию профессионального кадрового корпуса, организации надежной охраны учреждений, повышению прозрачности, предупреждению случаев, создающих условия для коррупции и других негативных явлений.</w:t>
      </w:r>
    </w:p>
    <w:p w14:paraId="7F6BADA1" w14:textId="347F4346" w:rsidR="004C40AD" w:rsidRPr="004C40AD" w:rsidRDefault="00961330" w:rsidP="00961330">
      <w:pPr>
        <w:pStyle w:val="SingleTxtG"/>
      </w:pPr>
      <w:r w:rsidRPr="00961330">
        <w:t>79.</w:t>
      </w:r>
      <w:r>
        <w:tab/>
      </w:r>
      <w:r w:rsidR="004C40AD" w:rsidRPr="004C40AD">
        <w:t>В «Государственной Программе по развитию азербайджанской юстиции на 2019-2023 годы», совершенствование системы исполнения наказаний, повышение эффективности коррекционной работы было отмечено как одно из основных направлений деятельности в пенитенциарной сфере.</w:t>
      </w:r>
    </w:p>
    <w:p w14:paraId="17CD2B4B" w14:textId="4FEC3A9C" w:rsidR="004C40AD" w:rsidRPr="004C40AD" w:rsidRDefault="00961330" w:rsidP="00961330">
      <w:pPr>
        <w:pStyle w:val="SingleTxtG"/>
      </w:pPr>
      <w:r w:rsidRPr="00961330">
        <w:t>80.</w:t>
      </w:r>
      <w:r>
        <w:tab/>
      </w:r>
      <w:r w:rsidR="004C40AD" w:rsidRPr="004C40AD">
        <w:t xml:space="preserve">В 2022 году сдан в эксплуатацию новый пенитенциарный комплекс для женщин и несовершеннолетних, в настоящее время продолжаются работы в тюрьме, </w:t>
      </w:r>
      <w:r w:rsidR="004C40AD" w:rsidRPr="004C40AD">
        <w:lastRenderedPageBreak/>
        <w:t>построенной в поселке Умбаки, а также в пенитенциарных комплексах, построенных в Гяндже и Лянкяране.</w:t>
      </w:r>
    </w:p>
    <w:p w14:paraId="41B776B1" w14:textId="142CF60F" w:rsidR="004C40AD" w:rsidRPr="004C40AD" w:rsidRDefault="00961330" w:rsidP="00961330">
      <w:pPr>
        <w:pStyle w:val="SingleTxtG"/>
      </w:pPr>
      <w:r w:rsidRPr="00961330">
        <w:t>81.</w:t>
      </w:r>
      <w:r w:rsidRPr="00961330">
        <w:tab/>
      </w:r>
      <w:r w:rsidR="004C40AD" w:rsidRPr="004C40AD">
        <w:t>В целях более надежной защиты прав и свобод, законных интересов осужденных, а также их условно-досрочного освобождения от наказания, замены наказания более легким видом наказания, в том числе перевода в пенитенциарное учреждение участкового типа, обеспечения прозрачности, объективности, общественного участия при Министерстве Юстиции функционирует Специальная Комиссия.</w:t>
      </w:r>
    </w:p>
    <w:p w14:paraId="68507FA6" w14:textId="2BBA3836" w:rsidR="004C40AD" w:rsidRPr="004C40AD" w:rsidRDefault="00961330" w:rsidP="00961330">
      <w:pPr>
        <w:pStyle w:val="SingleTxtG"/>
      </w:pPr>
      <w:r w:rsidRPr="00961330">
        <w:t>82.</w:t>
      </w:r>
      <w:r>
        <w:tab/>
      </w:r>
      <w:r w:rsidR="004C40AD" w:rsidRPr="004C40AD">
        <w:t>Законом 2020 года в Уголовно-Процессуальный Кодекс Азербайджанской Республики добавлена новая статья (ведение уголовного судопроизводства в электронном виде), в связи с чем были приняты необходимые меры, в том числе в СИЗО созданы специальные кабинеты, оборудованные соответствующими техническими средствами.</w:t>
      </w:r>
    </w:p>
    <w:p w14:paraId="2C0E0FED" w14:textId="16A196ED" w:rsidR="004C40AD" w:rsidRPr="004C40AD" w:rsidRDefault="00961330" w:rsidP="00961330">
      <w:pPr>
        <w:pStyle w:val="SingleTxtG"/>
      </w:pPr>
      <w:r w:rsidRPr="00961330">
        <w:t>83.</w:t>
      </w:r>
      <w:r>
        <w:tab/>
      </w:r>
      <w:r w:rsidR="004C40AD" w:rsidRPr="004C40AD">
        <w:t>Права арестованных или задержанных лиц закреплены в Уголовно-процессуальном кодексе и Законе «Об обеспечении прав и свобод лиц, содержащихся в местах лишения свободы», а оказание медицинской и психологической помощи им - в Постановлении Кабинета Министров от 2013 года.</w:t>
      </w:r>
    </w:p>
    <w:p w14:paraId="52909A27" w14:textId="4B6B748A" w:rsidR="004C40AD" w:rsidRPr="004C40AD" w:rsidRDefault="00961330" w:rsidP="00961330">
      <w:pPr>
        <w:pStyle w:val="SingleTxtG"/>
      </w:pPr>
      <w:r w:rsidRPr="00961330">
        <w:t>84.</w:t>
      </w:r>
      <w:r>
        <w:tab/>
      </w:r>
      <w:r w:rsidR="004C40AD" w:rsidRPr="004C40AD">
        <w:t>В соответствии с законодательством организуется и осуществляется работа по психологической помощи осужденным и арестованным лицам. Во всех пенитенциарных учреждениях работает психолог.</w:t>
      </w:r>
    </w:p>
    <w:p w14:paraId="32DAAE43" w14:textId="14ABD8B6" w:rsidR="004C40AD" w:rsidRPr="004C40AD" w:rsidRDefault="00961330" w:rsidP="00961330">
      <w:pPr>
        <w:pStyle w:val="SingleTxtG"/>
      </w:pPr>
      <w:r w:rsidRPr="00961330">
        <w:t>85.</w:t>
      </w:r>
      <w:r>
        <w:tab/>
      </w:r>
      <w:r w:rsidR="004C40AD" w:rsidRPr="004C40AD">
        <w:t>Жалобы на жестокое обращение с осужденными и арестованными в пенитенциарных учреждениях рассматриваются незамедлительно, обеспечивается их тщательное и объективное расследование, а при необходимости собранные материалы направляются в прокуратуру для правовой оценки. При этом были приняты серьезные меры в отношении сотрудников, допустивших ошибки в своей деятельности при проведении внутренних расследований (статистические данные отражены в п.14 Приложения).</w:t>
      </w:r>
    </w:p>
    <w:p w14:paraId="07D00622" w14:textId="43A00F33" w:rsidR="004C40AD" w:rsidRPr="004C40AD" w:rsidRDefault="00961330" w:rsidP="00961330">
      <w:pPr>
        <w:pStyle w:val="SingleTxtG"/>
      </w:pPr>
      <w:r w:rsidRPr="00961330">
        <w:t>86.</w:t>
      </w:r>
      <w:r>
        <w:tab/>
      </w:r>
      <w:r w:rsidR="004C40AD" w:rsidRPr="004C40AD">
        <w:t>Омбудсману, членам его Национальной превентивной группы, представителям Общественного Совета при Министерстве Юстиции, Международному комитету Красного Креста предоставлена возможность в любое время, без препятствий и предварительного уведомления, посещать пенитенциарные учреждения.</w:t>
      </w:r>
    </w:p>
    <w:p w14:paraId="43C79FDD" w14:textId="026A3B24" w:rsidR="004C40AD" w:rsidRPr="004C40AD" w:rsidRDefault="00961330" w:rsidP="00961330">
      <w:pPr>
        <w:pStyle w:val="SingleTxtG"/>
      </w:pPr>
      <w:r w:rsidRPr="00961330">
        <w:t>87.</w:t>
      </w:r>
      <w:r>
        <w:tab/>
      </w:r>
      <w:r w:rsidR="004C40AD" w:rsidRPr="004C40AD">
        <w:t>Решением Коллегии Министерства Юстиции от 2021 года внесены изменения в «Правила участия общественности в исправительном учреждении для осужденных и осуществлении общественного контроля за деятельностью учреждений, исполняющих наказание», расширены полномочия Общественного совета при Министерстве Юстиции.</w:t>
      </w:r>
    </w:p>
    <w:p w14:paraId="053DDD1D" w14:textId="272A2D46" w:rsidR="004C40AD" w:rsidRPr="004C40AD" w:rsidRDefault="00961330" w:rsidP="00961330">
      <w:pPr>
        <w:pStyle w:val="SingleTxtG"/>
      </w:pPr>
      <w:r w:rsidRPr="00961330">
        <w:t>88.</w:t>
      </w:r>
      <w:r>
        <w:tab/>
      </w:r>
      <w:r w:rsidR="004C40AD" w:rsidRPr="004C40AD">
        <w:t>Осуществляется непрерывное сотрудничество c соответствующими международными организациями по борьбе с пытками, в том числе с Комитетом по предупреждению пыток СЕ (ЕКПП).</w:t>
      </w:r>
    </w:p>
    <w:p w14:paraId="247D28DE" w14:textId="6F1096D6" w:rsidR="004C40AD" w:rsidRPr="004C40AD" w:rsidRDefault="00961330" w:rsidP="00961330">
      <w:pPr>
        <w:pStyle w:val="SingleTxtG"/>
      </w:pPr>
      <w:r w:rsidRPr="00961330">
        <w:t>89.</w:t>
      </w:r>
      <w:r>
        <w:tab/>
      </w:r>
      <w:r w:rsidR="004C40AD" w:rsidRPr="004C40AD">
        <w:t>В 2019 году была начата реализация совместного проекта СЕ и Европейского союза «Дополнительная поддержка пенитенциарной реформы в Азербайджане-2» (SPERA-2).</w:t>
      </w:r>
    </w:p>
    <w:p w14:paraId="35A2B7CB" w14:textId="7A4D1BD7" w:rsidR="004C40AD" w:rsidRPr="004C40AD" w:rsidRDefault="00961330" w:rsidP="00961330">
      <w:pPr>
        <w:pStyle w:val="SingleTxtG"/>
      </w:pPr>
      <w:r w:rsidRPr="00961330">
        <w:t>90.</w:t>
      </w:r>
      <w:r>
        <w:tab/>
      </w:r>
      <w:r w:rsidR="004C40AD" w:rsidRPr="004C40AD">
        <w:t>В 2022 году в пенитенциарных учреждениях при поддержке Верховного комиссара ООН по правам человека началась реализация проекта «Мониторинг мест содержания под стражей», организованного «Фондом Конституционных Исследований».</w:t>
      </w:r>
    </w:p>
    <w:p w14:paraId="2C049707" w14:textId="381782C6" w:rsidR="004C40AD" w:rsidRPr="004C40AD" w:rsidRDefault="00961330" w:rsidP="00961330">
      <w:pPr>
        <w:pStyle w:val="SingleTxtG"/>
      </w:pPr>
      <w:bookmarkStart w:id="2" w:name="_Hlk144224330"/>
      <w:r w:rsidRPr="00961330">
        <w:t>91.</w:t>
      </w:r>
      <w:r>
        <w:tab/>
      </w:r>
      <w:r w:rsidR="004C40AD" w:rsidRPr="004C40AD">
        <w:t>Азербайджан продолжает прилагать свои усилия в рамках сотрудничества с СЕ для реализации постановлений ЕСПЧ. В десяти постановлениях ЕСПЧ в отношении Азербайджана было признано нарушение статьи 18 Конвенции (Пределы использования ограничений в отношении прав) в совокупности со статьей 5 (право на свободу и личную неприкосновенность).</w:t>
      </w:r>
    </w:p>
    <w:p w14:paraId="1B72DD80" w14:textId="09FF293E" w:rsidR="004C40AD" w:rsidRPr="004C40AD" w:rsidRDefault="00961330" w:rsidP="00961330">
      <w:pPr>
        <w:pStyle w:val="SingleTxtG"/>
      </w:pPr>
      <w:r w:rsidRPr="00961330">
        <w:t>92.</w:t>
      </w:r>
      <w:r>
        <w:tab/>
      </w:r>
      <w:r w:rsidR="004C40AD" w:rsidRPr="004C40AD">
        <w:t xml:space="preserve">В связи с тем, что судимости заявителей Ильгара Мамедова и Расула Джафарова были отменены на основании приговоров, вынесенных Верховным Судом </w:t>
      </w:r>
      <w:r w:rsidR="004C40AD" w:rsidRPr="004C40AD">
        <w:lastRenderedPageBreak/>
        <w:t>Азербайджанской Республики им была выплачена компенсация и приняты меры индивидуального характера (2020 г.). Уголовное дело в отношении заявителя Натига Джафарова было прекращено (2021 г.). Верховным Судом принято постановление о прекращении уголовного дела и назначении компенсации в отношении заявителей Рашада Гасанова и других (2021 г.), а также с учетом оправдательного приговора Верховного Суда по делу Азизова и Новрузлу 2022 г.), все эти дела были закрыты и выведены из-под контроля Комитета Министров СЕ.</w:t>
      </w:r>
    </w:p>
    <w:p w14:paraId="707F73BA" w14:textId="526D42DB" w:rsidR="004C40AD" w:rsidRPr="004C40AD" w:rsidRDefault="00961330" w:rsidP="00961330">
      <w:pPr>
        <w:pStyle w:val="SingleTxtG"/>
      </w:pPr>
      <w:r w:rsidRPr="00961330">
        <w:t>93.</w:t>
      </w:r>
      <w:r>
        <w:tab/>
      </w:r>
      <w:r w:rsidR="004C40AD" w:rsidRPr="004C40AD">
        <w:t>В настоящее время Комитет Министров продолжает следить за выполнением пяти постановлений ЕСПЧ в отношении семи заявителей, в которых признано нарушение статьи 18. Азербайджан, в свою очередь продолжает свои усилия для реализации оставшихся постановлений в соответствии с предыдущим опытом.</w:t>
      </w:r>
    </w:p>
    <w:bookmarkEnd w:id="2"/>
    <w:p w14:paraId="438E863F" w14:textId="5CF251B0" w:rsidR="004C40AD" w:rsidRPr="004C40AD" w:rsidRDefault="00961330" w:rsidP="00961330">
      <w:pPr>
        <w:pStyle w:val="H23G"/>
      </w:pPr>
      <w:r>
        <w:tab/>
      </w:r>
      <w:r>
        <w:tab/>
      </w:r>
      <w:r w:rsidR="004C40AD" w:rsidRPr="004C40AD">
        <w:t>Борьба с коррупцией</w:t>
      </w:r>
    </w:p>
    <w:p w14:paraId="7D1BBFDF" w14:textId="1631B429" w:rsidR="004C40AD" w:rsidRPr="004C40AD" w:rsidRDefault="00961330" w:rsidP="00961330">
      <w:pPr>
        <w:pStyle w:val="SingleTxtG"/>
      </w:pPr>
      <w:r w:rsidRPr="00961330">
        <w:t>94.</w:t>
      </w:r>
      <w:r w:rsidRPr="00961330">
        <w:tab/>
      </w:r>
      <w:r w:rsidR="004C40AD" w:rsidRPr="004C40AD">
        <w:t>Распоряжением Президента от 2022 года был утвержден «Национальный план действий по усилению борьбы с коррупцией на 2022-2026 годы».</w:t>
      </w:r>
    </w:p>
    <w:p w14:paraId="156693E7" w14:textId="6D999FDE" w:rsidR="004C40AD" w:rsidRPr="004C40AD" w:rsidRDefault="00961330" w:rsidP="00961330">
      <w:pPr>
        <w:pStyle w:val="SingleTxtG"/>
      </w:pPr>
      <w:r w:rsidRPr="00961330">
        <w:t>95.</w:t>
      </w:r>
      <w:r>
        <w:tab/>
      </w:r>
      <w:r w:rsidR="004C40AD" w:rsidRPr="004C40AD">
        <w:t>В 2022 году была принята новая редакция Закона «О противодействии легализации имущества, нажитого преступным путем, и финансированию терроризма».</w:t>
      </w:r>
    </w:p>
    <w:p w14:paraId="36BBE85B" w14:textId="745BDA0B" w:rsidR="004C40AD" w:rsidRPr="004C40AD" w:rsidRDefault="00961330" w:rsidP="00961330">
      <w:pPr>
        <w:pStyle w:val="SingleTxtG"/>
      </w:pPr>
      <w:r w:rsidRPr="00961330">
        <w:t>96.</w:t>
      </w:r>
      <w:r>
        <w:tab/>
      </w:r>
      <w:r w:rsidR="004C40AD" w:rsidRPr="004C40AD">
        <w:t>В целях усиления борьбы с легализацией имущества, полученного преступным путем, и финансированием терроризма, а также обеспечения преемственности системных и комплексных мер, реализуемых в данной сфере, Указом Президента 2023 года утвержден «Национальный план действий по борьбе с легализацией имущества нажитого преступным путем и финансированием терроризма на 2023-2025 годы».</w:t>
      </w:r>
    </w:p>
    <w:p w14:paraId="2C1073DC" w14:textId="455FFC92" w:rsidR="004C40AD" w:rsidRPr="004C40AD" w:rsidRDefault="00961330" w:rsidP="00961330">
      <w:pPr>
        <w:pStyle w:val="SingleTxtG"/>
      </w:pPr>
      <w:r w:rsidRPr="00961330">
        <w:t>97.</w:t>
      </w:r>
      <w:r>
        <w:tab/>
      </w:r>
      <w:r w:rsidR="004C40AD" w:rsidRPr="004C40AD">
        <w:t>Придается особое значение Международному сотрудничеству в области борьбы с коррупцией. Азербайджан, являясь одним из соучредителей Международной Ассоциации Антикоррупционных Органов (IAACA), созданной в 2006 году при поддержке ООН, постоянно принимает активное участие в ее работе, министр юстиции является вице-президентом организации и координатором по региону Восточной Европы.</w:t>
      </w:r>
    </w:p>
    <w:p w14:paraId="516CF09C" w14:textId="731714E2" w:rsidR="004C40AD" w:rsidRPr="004C40AD" w:rsidRDefault="00961330" w:rsidP="00961330">
      <w:pPr>
        <w:pStyle w:val="SingleTxtG"/>
      </w:pPr>
      <w:r w:rsidRPr="00961330">
        <w:t>98.</w:t>
      </w:r>
      <w:r>
        <w:tab/>
      </w:r>
      <w:r w:rsidR="004C40AD" w:rsidRPr="004C40AD">
        <w:t>В настоящее время осуществляются дополнительные организационно-практические мероприятия в направлении скорейшего и качественного выполнения рекомендаций ГРЕКО в рамках «Национального плана действий по усилению борьбы с коррупцией на 2022-2026 годы».</w:t>
      </w:r>
    </w:p>
    <w:p w14:paraId="41E0694F" w14:textId="063681C1" w:rsidR="004C40AD" w:rsidRPr="004C40AD" w:rsidRDefault="00961330" w:rsidP="00961330">
      <w:pPr>
        <w:pStyle w:val="SingleTxtG"/>
      </w:pPr>
      <w:r w:rsidRPr="00961330">
        <w:t>99.</w:t>
      </w:r>
      <w:r>
        <w:tab/>
      </w:r>
      <w:r w:rsidR="004C40AD" w:rsidRPr="004C40AD">
        <w:t>В 2018-2022 годах в Министерстве внутренних дел в сфере антикоррупционного внутреннего контроля выявлено 392 факта и привлечено к ответственности 548 сотрудников. 247 из них были уволены со службы, 154 освобождены от занимаемых должностей, 22 понижены на одну ступень в специальном звании, 125 привлечены к другим мерам ответственности.</w:t>
      </w:r>
    </w:p>
    <w:p w14:paraId="58DD18BB" w14:textId="17772D5F" w:rsidR="004C40AD" w:rsidRPr="004C40AD" w:rsidRDefault="00961330" w:rsidP="00961330">
      <w:pPr>
        <w:pStyle w:val="SingleTxtG"/>
      </w:pPr>
      <w:r w:rsidRPr="00961330">
        <w:t>100.</w:t>
      </w:r>
      <w:r w:rsidRPr="00961330">
        <w:tab/>
      </w:r>
      <w:r w:rsidR="004C40AD" w:rsidRPr="004C40AD">
        <w:t>За соответствующий период главным следственным управлением Службы Государственной Безопасности проведено предварительное следствие 55 уголовных дел по фактам присвоения или растраты в отношении 76 лиц, 11 уголовных дел по фактам злоупотребления должностными полномочиями в отношении 6 лиц, 9 уголовных дел по фактам получения взятки и 2 уголовных дела по фактам о служебном подлоге в отношении 12 лиц, 1 уголовного дела по фактам присвоения полномочий должностного лица в отношении 1 лица.</w:t>
      </w:r>
    </w:p>
    <w:p w14:paraId="71A141C8" w14:textId="55F00781" w:rsidR="004C40AD" w:rsidRPr="004C40AD" w:rsidRDefault="00961330" w:rsidP="00961330">
      <w:pPr>
        <w:pStyle w:val="SingleTxtG"/>
      </w:pPr>
      <w:r w:rsidRPr="00961330">
        <w:t>101.</w:t>
      </w:r>
      <w:r w:rsidRPr="00961330">
        <w:tab/>
      </w:r>
      <w:r w:rsidR="004C40AD" w:rsidRPr="004C40AD">
        <w:t>Для того чтобы адаптировать прокуратуру к новым вызовам в обществе, повысить гибкость и эффективность ее работы, а также преобразовать ее в профессиональное государственное учреждение, отвечающее современным требованиям, Распоряжением Президента от 2020 года была утверждена новая структура Генеральной Прокуратуры.</w:t>
      </w:r>
    </w:p>
    <w:p w14:paraId="1BFCA439" w14:textId="198C0B07" w:rsidR="004C40AD" w:rsidRPr="004C40AD" w:rsidRDefault="00961330" w:rsidP="00961330">
      <w:pPr>
        <w:pStyle w:val="SingleTxtG"/>
      </w:pPr>
      <w:r w:rsidRPr="00961330">
        <w:t>102.</w:t>
      </w:r>
      <w:r w:rsidRPr="00961330">
        <w:tab/>
      </w:r>
      <w:r w:rsidR="004C40AD" w:rsidRPr="004C40AD">
        <w:t xml:space="preserve">В целях обеспечения регулирования единым нормативным документом различных сфер деятельности прокуратуры, включая управленческую деятельность, исполнительную и трудовую дисциплину, кадровое обеспечение, документооборот, </w:t>
      </w:r>
      <w:r w:rsidR="004C40AD" w:rsidRPr="004C40AD">
        <w:lastRenderedPageBreak/>
        <w:t>организацию процессуального руководства и надзорной деятельности в 2020 году были утверждены «Правила организации работы» Генеральной Прокуратуры.</w:t>
      </w:r>
    </w:p>
    <w:p w14:paraId="766424BB" w14:textId="0D4DB753" w:rsidR="004C40AD" w:rsidRPr="004C40AD" w:rsidRDefault="00FB4101" w:rsidP="00961330">
      <w:pPr>
        <w:pStyle w:val="SingleTxtG"/>
      </w:pPr>
      <w:r w:rsidRPr="00FB4101">
        <w:t>103.</w:t>
      </w:r>
      <w:r w:rsidRPr="00FB4101">
        <w:tab/>
      </w:r>
      <w:r w:rsidR="004C40AD" w:rsidRPr="004C40AD">
        <w:t>В течение 2020-2022 годов в Генеральную Прокуратуру Азербайджанской Республики были направлены материалы, собранные по 13 делам, с целью выдачи правовой оценки действиям лиц, совершивших правонарушения, и принятия необходимых мер по привлечению виновных лиц к ответственности.</w:t>
      </w:r>
    </w:p>
    <w:p w14:paraId="4D8D73D8" w14:textId="22E9F603" w:rsidR="004C40AD" w:rsidRPr="004C40AD" w:rsidRDefault="00FB4101" w:rsidP="00961330">
      <w:pPr>
        <w:pStyle w:val="SingleTxtG"/>
      </w:pPr>
      <w:r w:rsidRPr="00FB4101">
        <w:t>104.</w:t>
      </w:r>
      <w:r w:rsidRPr="00FB4101">
        <w:tab/>
      </w:r>
      <w:r w:rsidR="004C40AD" w:rsidRPr="004C40AD">
        <w:t>В январе 2022 года Государственная служба инспекции труда при Министерстве труда и социальной защиты населения Азербайджанской Республики осуществила мероприятия по внедрению стандарта «ISO 37001» (антикоррупционная политика и система управления по борьбе с коррупцией) и получила соответствующий сертификат.</w:t>
      </w:r>
    </w:p>
    <w:p w14:paraId="52A0AAC8" w14:textId="2A32A9C5" w:rsidR="004C40AD" w:rsidRPr="004C40AD" w:rsidRDefault="00FB4101" w:rsidP="00FB4101">
      <w:pPr>
        <w:pStyle w:val="H23G"/>
      </w:pPr>
      <w:r>
        <w:tab/>
      </w:r>
      <w:r>
        <w:tab/>
      </w:r>
      <w:r w:rsidR="004C40AD" w:rsidRPr="004C40AD">
        <w:t>Выполнение Национального плана действий по борьбе с торговлей людьми</w:t>
      </w:r>
    </w:p>
    <w:p w14:paraId="2808E33E" w14:textId="60A80F4F" w:rsidR="004C40AD" w:rsidRPr="004C40AD" w:rsidRDefault="00FB4101" w:rsidP="00FB4101">
      <w:pPr>
        <w:pStyle w:val="SingleTxtG"/>
        <w:rPr>
          <w:b/>
        </w:rPr>
      </w:pPr>
      <w:r w:rsidRPr="00FB4101">
        <w:t>105.</w:t>
      </w:r>
      <w:r w:rsidRPr="00FB4101">
        <w:tab/>
      </w:r>
      <w:r w:rsidR="004C40AD" w:rsidRPr="004C40AD">
        <w:t>Распоряжением Президента Азербайджанской Республики от 2020 года был утвержден «Национальный План Действий по борьбе с торговлей людьми в Азербайджанской Республике на 2020-2024 годы» в целях обеспечения эффективной системы, позволяющей взаимодействие соответствующих учреждений в борьбе с торговлей людьми и в настоящее время продолжаются работы по его реализации (статистические данные в сфере борьбы с торговлей людьми и защиты жертв данных преступлений отражены в п.15 Приложения).</w:t>
      </w:r>
    </w:p>
    <w:p w14:paraId="142F3191" w14:textId="620576E4" w:rsidR="004C40AD" w:rsidRPr="004C40AD" w:rsidRDefault="00FB4101" w:rsidP="00FB4101">
      <w:pPr>
        <w:pStyle w:val="H1G"/>
      </w:pPr>
      <w:r>
        <w:tab/>
      </w:r>
      <w:r>
        <w:tab/>
      </w:r>
      <w:r w:rsidR="004C40AD" w:rsidRPr="004C40AD">
        <w:t>Экономические, социальные и культурные права</w:t>
      </w:r>
    </w:p>
    <w:p w14:paraId="54F77840" w14:textId="762EE205" w:rsidR="004C40AD" w:rsidRPr="004C40AD" w:rsidRDefault="00FB4101" w:rsidP="00FB4101">
      <w:pPr>
        <w:pStyle w:val="H23G"/>
      </w:pPr>
      <w:r>
        <w:tab/>
      </w:r>
      <w:r>
        <w:tab/>
      </w:r>
      <w:r w:rsidR="004C40AD" w:rsidRPr="004C40AD">
        <w:t>Экономическое развитие и социальная политика</w:t>
      </w:r>
    </w:p>
    <w:p w14:paraId="386F8E33" w14:textId="064EF343" w:rsidR="004C40AD" w:rsidRPr="004C40AD" w:rsidRDefault="00267CF1" w:rsidP="00FB4101">
      <w:pPr>
        <w:pStyle w:val="SingleTxtG"/>
      </w:pPr>
      <w:r w:rsidRPr="00267CF1">
        <w:t>106.</w:t>
      </w:r>
      <w:r>
        <w:tab/>
      </w:r>
      <w:r w:rsidR="004C40AD" w:rsidRPr="004C40AD">
        <w:t>За последние годы в результате значительных структурных изменений в экономике страны и успешной реализации политики диверсификации, ненефтегазовый сектор стал основным фактором роста и развития национальной экономики.</w:t>
      </w:r>
    </w:p>
    <w:p w14:paraId="1B50D8F1" w14:textId="48646C82" w:rsidR="004C40AD" w:rsidRPr="004C40AD" w:rsidRDefault="00267CF1" w:rsidP="00FB4101">
      <w:pPr>
        <w:pStyle w:val="SingleTxtG"/>
      </w:pPr>
      <w:r w:rsidRPr="00267CF1">
        <w:t>107.</w:t>
      </w:r>
      <w:r w:rsidRPr="00267CF1">
        <w:tab/>
      </w:r>
      <w:r w:rsidR="004C40AD" w:rsidRPr="004C40AD">
        <w:t>В целях ускорения социально-экономического развития регионов, в том числе улучшения инфраструктуры и социальных услуг Указом Президента от 2019 года утверждена «Государственная программа социально-экономического развития регионов Азербайджанской Республики на 2019-2023 годы». В целях реализации данной Государственной программы в 2021 году был подписан Указ Президента «О новом делении экономических районов в Азербайджанской Республике». Указом было утверждено деление экономических районов Азербайджанской Республики на Бакинский, Нахчыванский, Абшерон-Хызинский, Горно-Ширванский, Гянджа-Дашкесанский, Карабахский, Газах-Товузский, Губа-Хачмазский, Лянкяран-Астаринский, Центрально-Аранский, Миль-Муганский, Шеки-Загатальский, Восточно-Зангезурский и Ширван-Сальянский.</w:t>
      </w:r>
    </w:p>
    <w:p w14:paraId="0681CF0B" w14:textId="1A2632AE" w:rsidR="004C40AD" w:rsidRPr="004C40AD" w:rsidRDefault="00267CF1" w:rsidP="00FB4101">
      <w:pPr>
        <w:pStyle w:val="SingleTxtG"/>
      </w:pPr>
      <w:r w:rsidRPr="00267CF1">
        <w:t>108.</w:t>
      </w:r>
      <w:r w:rsidRPr="00267CF1">
        <w:tab/>
      </w:r>
      <w:r w:rsidR="004C40AD" w:rsidRPr="004C40AD">
        <w:t>Распоряжением Президента от 2021 года утверждены «Национальные приоритеты социально-экономического развития: Азербайджан 2030», где определены основные приоритеты развития страны на ближайшее будущее. На основании данного документа в «Стратегии социально-экономического развития Азербайджанской Республики на 2022-2026 годы», предусмотрено ускорение развития частного сектора, в том числе микро, малого и среднего предпринимательства, за счет новых, более эффективных стимулов и условий развития, повышение активности частных и иностранных инвесторов в экономике страны и расширение несырьевого экспорта.</w:t>
      </w:r>
    </w:p>
    <w:p w14:paraId="749D005E" w14:textId="731F02E1" w:rsidR="004C40AD" w:rsidRPr="004C40AD" w:rsidRDefault="00267CF1" w:rsidP="00FB4101">
      <w:pPr>
        <w:pStyle w:val="SingleTxtG"/>
      </w:pPr>
      <w:r w:rsidRPr="00267CF1">
        <w:t>109.</w:t>
      </w:r>
      <w:r w:rsidRPr="00267CF1">
        <w:tab/>
      </w:r>
      <w:r w:rsidR="004C40AD" w:rsidRPr="004C40AD">
        <w:t xml:space="preserve">Предпринимаются меры, направленные на дальнейшее совершенствование национального законодательства в сфере обеспечения занятости населения. В 2018 году была утверждена «Стратегия занятости населения Азербайджанской Республики на 2019-2030 годы». Среди целей, предусмотренных для реализации данной Стратегии, указано снижение к 2030 году уровня безработицы до 4%, в том числе снижение безработицы среди женщин и молодежи до минимального уровня, и </w:t>
      </w:r>
      <w:r w:rsidR="004C40AD" w:rsidRPr="004C40AD">
        <w:lastRenderedPageBreak/>
        <w:t>достижение к 2025 году эффективной занятости и достойной работы для всех групп населения (особенно молодежи, женщин и людей с инвалидностью).</w:t>
      </w:r>
    </w:p>
    <w:p w14:paraId="6D8679F6" w14:textId="17689FC2" w:rsidR="004C40AD" w:rsidRPr="004C40AD" w:rsidRDefault="00267CF1" w:rsidP="00FB4101">
      <w:pPr>
        <w:pStyle w:val="SingleTxtG"/>
      </w:pPr>
      <w:r w:rsidRPr="00267CF1">
        <w:t>110.</w:t>
      </w:r>
      <w:r w:rsidRPr="00267CF1">
        <w:tab/>
      </w:r>
      <w:r w:rsidR="004C40AD" w:rsidRPr="004C40AD">
        <w:t>Для обеспечения прозрачности, полной электронизации государственных услуг в сфере труда, занятости, социальной защиты, а также инновационного управления с использованием информационных технологий и оказания населению услуг на основе единой платформы была создана «Централизованная электронная информационная система» (MEIS) на базе информационных систем Министерства труда и социальной защиты населения.</w:t>
      </w:r>
    </w:p>
    <w:p w14:paraId="6FDE1E06" w14:textId="187B1502" w:rsidR="004C40AD" w:rsidRPr="004C40AD" w:rsidRDefault="00267CF1" w:rsidP="00FB4101">
      <w:pPr>
        <w:pStyle w:val="SingleTxtG"/>
      </w:pPr>
      <w:r w:rsidRPr="00267CF1">
        <w:t>111.</w:t>
      </w:r>
      <w:r w:rsidRPr="00267CF1">
        <w:tab/>
      </w:r>
      <w:r w:rsidR="004C40AD" w:rsidRPr="004C40AD">
        <w:t>Электронная подсистема «Труд и Занятость» (EMAS) была запущена в мае 2022 года. Подсистема обеспечивает предоставление безработным и ищущим работу гражданам, а также работодателям услуг в сфере занятости на электронной платформе.</w:t>
      </w:r>
    </w:p>
    <w:p w14:paraId="2EEC6A8F" w14:textId="2994E543" w:rsidR="004C40AD" w:rsidRPr="004C40AD" w:rsidRDefault="00267CF1" w:rsidP="00FB4101">
      <w:pPr>
        <w:pStyle w:val="SingleTxtG"/>
      </w:pPr>
      <w:r w:rsidRPr="00267CF1">
        <w:t>112.</w:t>
      </w:r>
      <w:r w:rsidRPr="00267CF1">
        <w:tab/>
      </w:r>
      <w:r w:rsidR="004C40AD" w:rsidRPr="004C40AD">
        <w:t>Статистические данные в сфере борьбы с бедностью, увеличения занятости и улучшения социального обеспечения населения приведены в п.16 Приложения.</w:t>
      </w:r>
    </w:p>
    <w:p w14:paraId="04214689" w14:textId="3F223062" w:rsidR="004C40AD" w:rsidRPr="004C40AD" w:rsidRDefault="00267CF1" w:rsidP="00FB4101">
      <w:pPr>
        <w:pStyle w:val="SingleTxtG"/>
      </w:pPr>
      <w:r w:rsidRPr="00267CF1">
        <w:t>113.</w:t>
      </w:r>
      <w:r w:rsidRPr="00267CF1">
        <w:tab/>
      </w:r>
      <w:r w:rsidR="004C40AD" w:rsidRPr="004C40AD">
        <w:t>Фонд «YAŞAT» был основан для оказания поддержки семьям раненых и погибших в связи с защитой территориальной целостности Азербайджанской Республики. В течение отчётного периода было привлечено более 75 млн. денежных средств и обработано более 30 000 заявок от свыше 13 000 граждан.</w:t>
      </w:r>
    </w:p>
    <w:p w14:paraId="6BEF9C1E" w14:textId="0313365C" w:rsidR="004C40AD" w:rsidRPr="004C40AD" w:rsidRDefault="00267CF1" w:rsidP="00FB4101">
      <w:pPr>
        <w:pStyle w:val="SingleTxtG"/>
      </w:pPr>
      <w:r w:rsidRPr="00267CF1">
        <w:t>114.</w:t>
      </w:r>
      <w:r w:rsidRPr="00267CF1">
        <w:tab/>
      </w:r>
      <w:r w:rsidR="004C40AD" w:rsidRPr="004C40AD">
        <w:t>Согласно «Примерному Уставу о центрах развития малого и среднего бизнеса», утвержденного решением Коллегии Министерства Экономики от 2019 года, продвижение стартапов, семейного бизнеса, развитие предпринимательства среди женщин, людей с инвалидностью и молодежи также относится к деятельности указанных центров.</w:t>
      </w:r>
    </w:p>
    <w:p w14:paraId="12F7F1BE" w14:textId="5DFB170D" w:rsidR="004C40AD" w:rsidRPr="004C40AD" w:rsidRDefault="00267CF1" w:rsidP="00FB4101">
      <w:pPr>
        <w:pStyle w:val="SingleTxtG"/>
      </w:pPr>
      <w:r w:rsidRPr="00267CF1">
        <w:t>115.</w:t>
      </w:r>
      <w:r w:rsidRPr="00267CF1">
        <w:tab/>
      </w:r>
      <w:r w:rsidR="004C40AD" w:rsidRPr="004C40AD">
        <w:t>В соответствии с «Положениями о финансировании проектов образования, науки, исследований и поддержки, связанных с развитием микро, малого и среднего предпринимательства», утвержденного Решением Кабинета Министров от 2020 года, Агентство Развития Малого и Среднего бизнеса Азербайджанской Республики финансирует образовательные проекты в области организации мероприятий и передачи знаний для продвижения предпринимательства среди стартаперов, женщин-предпринимателей, людей с ограниченными возможностями и молодежи.</w:t>
      </w:r>
    </w:p>
    <w:p w14:paraId="599D2DFC" w14:textId="485F3EDC" w:rsidR="004C40AD" w:rsidRPr="004C40AD" w:rsidRDefault="00267CF1" w:rsidP="00FB4101">
      <w:pPr>
        <w:pStyle w:val="SingleTxtG"/>
      </w:pPr>
      <w:r w:rsidRPr="00267CF1">
        <w:t>116.</w:t>
      </w:r>
      <w:r w:rsidRPr="00267CF1">
        <w:tab/>
      </w:r>
      <w:r w:rsidR="004C40AD" w:rsidRPr="004C40AD">
        <w:t>В 2022 году был принят Закон «О развитии микро, малого и среднего предпринимательства», в соответствии с которым государственная поддержка в сфере подготовки, переподготовки и повышения квалификации работников субъектов микро, малых и средних предприятий осуществляется в форме овладения основами предпринимательской деятельности лиц, ищущих работу, продвижения предпринимательской деятельности среди молодежи, также продвижения семейного и женского предпринимательства.</w:t>
      </w:r>
    </w:p>
    <w:p w14:paraId="7BF4C889" w14:textId="741B9E00" w:rsidR="004C40AD" w:rsidRPr="004C40AD" w:rsidRDefault="00267CF1" w:rsidP="00FB4101">
      <w:pPr>
        <w:pStyle w:val="SingleTxtG"/>
      </w:pPr>
      <w:r w:rsidRPr="00267CF1">
        <w:t>117.</w:t>
      </w:r>
      <w:r w:rsidRPr="00267CF1">
        <w:tab/>
      </w:r>
      <w:r w:rsidR="004C40AD" w:rsidRPr="004C40AD">
        <w:t>Одной из основных целей вышеуказанного Закона является обеспечение Руководящих принципов ООН в области бизнеса и прав человека. Концепция Закона основывается на условиях и порядке реализации мер поддержки субъектов микро, малого и среднего предпринимательства, развитии инфраструктуры поддержки данных субъектов, защите их интересов, повышении роли объединений, представляющих их интересы в сфере регулирования предпринимательской деятельности.</w:t>
      </w:r>
    </w:p>
    <w:p w14:paraId="323AC11A" w14:textId="138726FD" w:rsidR="004C40AD" w:rsidRPr="004C40AD" w:rsidRDefault="00267CF1" w:rsidP="00FB4101">
      <w:pPr>
        <w:pStyle w:val="SingleTxtG"/>
      </w:pPr>
      <w:r w:rsidRPr="00267CF1">
        <w:t>118.</w:t>
      </w:r>
      <w:r w:rsidRPr="00267CF1">
        <w:tab/>
      </w:r>
      <w:r w:rsidR="004C40AD" w:rsidRPr="004C40AD">
        <w:t>Распоряжением Президента от 2015 года была утверждена «Стратегия развития азербайджанской молодежи в 2015-2025 годах». В документе нашли отражения вопросы поддержки занятости молодежи и их предпринимательской деятельности.</w:t>
      </w:r>
    </w:p>
    <w:p w14:paraId="3C762A92" w14:textId="797816BA" w:rsidR="004C40AD" w:rsidRPr="004C40AD" w:rsidRDefault="00267CF1" w:rsidP="00FB4101">
      <w:pPr>
        <w:pStyle w:val="SingleTxtG"/>
      </w:pPr>
      <w:r w:rsidRPr="00267CF1">
        <w:t>119.</w:t>
      </w:r>
      <w:r w:rsidRPr="00267CF1">
        <w:tab/>
      </w:r>
      <w:r w:rsidR="004C40AD" w:rsidRPr="004C40AD">
        <w:t>В 2022 году в регионах Азербайджана были проведены различные проекты в области занятости молодежи, проживающих в сельских районах (информация о проектах, тренингах и семинарах приводится в п.17 Приложения).</w:t>
      </w:r>
    </w:p>
    <w:p w14:paraId="2A1456B4" w14:textId="3BFFA63C" w:rsidR="004C40AD" w:rsidRPr="004C40AD" w:rsidRDefault="00267CF1" w:rsidP="00267CF1">
      <w:pPr>
        <w:pStyle w:val="H23G"/>
      </w:pPr>
      <w:r>
        <w:tab/>
      </w:r>
      <w:r>
        <w:tab/>
      </w:r>
      <w:r w:rsidR="004C40AD" w:rsidRPr="004C40AD">
        <w:t>Здравоохранение</w:t>
      </w:r>
    </w:p>
    <w:p w14:paraId="19B0D1F8" w14:textId="73B1C3FE" w:rsidR="004C40AD" w:rsidRPr="004C40AD" w:rsidRDefault="00267CF1" w:rsidP="00267CF1">
      <w:pPr>
        <w:pStyle w:val="SingleTxtG"/>
      </w:pPr>
      <w:r w:rsidRPr="00267CF1">
        <w:t>120.</w:t>
      </w:r>
      <w:r w:rsidRPr="00267CF1">
        <w:tab/>
      </w:r>
      <w:r w:rsidR="004C40AD" w:rsidRPr="004C40AD">
        <w:t xml:space="preserve">За отчетный период был осуществлен ряд мер, направленных на дальнейшее повышение доступности и качества медицинских услуг, предоставляемых населению, укрепления финансово-технической устойчивости в сфере здравоохранения, </w:t>
      </w:r>
      <w:r w:rsidR="004C40AD" w:rsidRPr="004C40AD">
        <w:lastRenderedPageBreak/>
        <w:t>строительства, ремонта и реконструкции медицинских учреждений по всему Азербайджану.</w:t>
      </w:r>
    </w:p>
    <w:p w14:paraId="0B59B03F" w14:textId="3D463BB7" w:rsidR="004C40AD" w:rsidRPr="004C40AD" w:rsidRDefault="00267CF1" w:rsidP="00267CF1">
      <w:pPr>
        <w:pStyle w:val="SingleTxtG"/>
      </w:pPr>
      <w:r w:rsidRPr="00267CF1">
        <w:t>121.</w:t>
      </w:r>
      <w:r>
        <w:tab/>
      </w:r>
      <w:r w:rsidR="004C40AD" w:rsidRPr="004C40AD">
        <w:t>В декабре 2018 года было основано Объединение по управлению медицинскими территориальными подразделениями Азербайджана (ТАБИБ) – государственный орган по управлению всеми медицинскими учреждениями на территории страны, кроме оставленных в ведении Министерства Здравоохранения.</w:t>
      </w:r>
    </w:p>
    <w:p w14:paraId="2A1899A2" w14:textId="5F372065" w:rsidR="004C40AD" w:rsidRPr="004C40AD" w:rsidRDefault="00267CF1" w:rsidP="00267CF1">
      <w:pPr>
        <w:pStyle w:val="SingleTxtG"/>
      </w:pPr>
      <w:r w:rsidRPr="00267CF1">
        <w:t>122.</w:t>
      </w:r>
      <w:r w:rsidRPr="00267CF1">
        <w:tab/>
      </w:r>
      <w:r w:rsidR="004C40AD" w:rsidRPr="004C40AD">
        <w:t>С целью расширения объема оказываемых специализированных медицинских услуг за 2018-2022 годы были проведены строительные и основательные ремонтные работы, обеспечены современным оборудованием и передовыми технологиями 25 медицинских учреждений в столице и регионах страны.</w:t>
      </w:r>
    </w:p>
    <w:p w14:paraId="563369C9" w14:textId="568BE086" w:rsidR="004C40AD" w:rsidRPr="004C40AD" w:rsidRDefault="00267CF1" w:rsidP="00267CF1">
      <w:pPr>
        <w:pStyle w:val="SingleTxtG"/>
      </w:pPr>
      <w:r w:rsidRPr="00267CF1">
        <w:t>123.</w:t>
      </w:r>
      <w:r w:rsidRPr="00267CF1">
        <w:tab/>
      </w:r>
      <w:r w:rsidR="004C40AD" w:rsidRPr="004C40AD">
        <w:t>Обеспечивается постоянный рост средств, выделяемых на обязательное медицинское страхование (ОМС) населения. С 1 апреля 2021 года обязательное медицинское страхование охватывает всю территорию страны. Согласно данным на декабрь 2022 года, 2550 медицинских услуг предоставляются населению в рамках страхового пакета ОМС.</w:t>
      </w:r>
    </w:p>
    <w:p w14:paraId="543755B2" w14:textId="2A9F4E7D" w:rsidR="004C40AD" w:rsidRPr="004C40AD" w:rsidRDefault="00267CF1" w:rsidP="00267CF1">
      <w:pPr>
        <w:pStyle w:val="SingleTxtG"/>
      </w:pPr>
      <w:r w:rsidRPr="00267CF1">
        <w:t>124.</w:t>
      </w:r>
      <w:r w:rsidRPr="00267CF1">
        <w:tab/>
      </w:r>
      <w:r w:rsidR="004C40AD" w:rsidRPr="004C40AD">
        <w:t>Государственные программы по охране здоровья матери и ребенка направлены на улучшение репродуктивного здоровья женщин и планирования семьи, выполнение задач по безопасному материнству, снижение заболеваемости, инвалидности и смертности среди детей, повышение качества перинатальной службы, своевременную генетическую диагностику врожденной патологии у беременных. С усовершенствованием клинических протоколов по акушерству и уходу за новорожденными, организацией более интенсивного образовательного процесса и обмена опытом с участием международных экспертов достигнуто значительное снижение смертности новорожденных за последние 5 лет. В результате принятых мер показатель младенческой смертности стабильно снизился и в 2022 году составил 7,8 на 1000 живорожденных, а показатель материнской смертности за указанный период составил 14,7.</w:t>
      </w:r>
    </w:p>
    <w:p w14:paraId="3DD42C08" w14:textId="5FAC9E56" w:rsidR="004C40AD" w:rsidRPr="004C40AD" w:rsidRDefault="00267CF1" w:rsidP="00267CF1">
      <w:pPr>
        <w:pStyle w:val="SingleTxtG"/>
      </w:pPr>
      <w:r w:rsidRPr="00267CF1">
        <w:t>125.</w:t>
      </w:r>
      <w:r w:rsidRPr="00267CF1">
        <w:tab/>
      </w:r>
      <w:r w:rsidR="004C40AD" w:rsidRPr="004C40AD">
        <w:t>Проект Закона «Об охране репродуктивного здоровья и планировании семьи» представлен в Парламент Азербайджанской Республики. Наряду с этим, вопросы, связанные с репродуктивным здоровьем, отражены в Государственных программах «Здоровье матери и ребенка на 2014-2022 годы», «Молодежь Азербайджана на 2017-2021 годы», а также в «Национальной стратегии по репродуктивному здоровью 2018-2025 годы» и «Плане мероприятий на 2020-2025 годы по предотвращению селективных абортов по признаку пола».</w:t>
      </w:r>
    </w:p>
    <w:p w14:paraId="082CE3ED" w14:textId="75165B82" w:rsidR="004C40AD" w:rsidRPr="004C40AD" w:rsidRDefault="00267CF1" w:rsidP="00267CF1">
      <w:pPr>
        <w:pStyle w:val="SingleTxtG"/>
      </w:pPr>
      <w:r w:rsidRPr="00267CF1">
        <w:t>126.</w:t>
      </w:r>
      <w:r w:rsidRPr="00267CF1">
        <w:tab/>
      </w:r>
      <w:r w:rsidR="004C40AD" w:rsidRPr="004C40AD">
        <w:t>За отчетный период был осуществлен ряд проектов в рамках сотрудничества с Детским фондом ООН (UNICEF), Фондом ООН в области народонаселения (UNFPA), Всемирной организацией здравоохранения (WHO), Агентством США по международному развитию (USAID) и соответствующими структурами партнерских государств.</w:t>
      </w:r>
    </w:p>
    <w:p w14:paraId="0643A0A4" w14:textId="0097DB3B" w:rsidR="004C40AD" w:rsidRPr="004C40AD" w:rsidRDefault="00267CF1" w:rsidP="00267CF1">
      <w:pPr>
        <w:pStyle w:val="SingleTxtG"/>
      </w:pPr>
      <w:r w:rsidRPr="00267CF1">
        <w:t>127.</w:t>
      </w:r>
      <w:r w:rsidRPr="00267CF1">
        <w:tab/>
      </w:r>
      <w:r w:rsidR="004C40AD" w:rsidRPr="004C40AD">
        <w:t>В рамках принятой Кабинетом Министров в январе 2021 года «Стратегии вакцинации населения против COVID-19», Азербайджан в числе первых стран начал вакцинацию взрослого населения. В стране в проведении вакцинационных мероприятий против COVID-19 были использованы вакцины 4-х разных платформ и по настоящее время полным курсом вакцинации охвачено более 67% целевой группы населения. В результате продолжающейся широкомасштабной вакцинационной компании против COVID-19 по всей стране достигнута эпидемиологическая стабильность по заболеваемости.</w:t>
      </w:r>
    </w:p>
    <w:p w14:paraId="36F505ED" w14:textId="53832030" w:rsidR="004C40AD" w:rsidRPr="004C40AD" w:rsidRDefault="00267CF1" w:rsidP="00267CF1">
      <w:pPr>
        <w:pStyle w:val="H23G"/>
      </w:pPr>
      <w:r>
        <w:tab/>
      </w:r>
      <w:r>
        <w:tab/>
      </w:r>
      <w:r w:rsidR="004C40AD" w:rsidRPr="004C40AD">
        <w:t>Образование</w:t>
      </w:r>
    </w:p>
    <w:p w14:paraId="6C49E565" w14:textId="7B36AFB0" w:rsidR="004C40AD" w:rsidRPr="004C40AD" w:rsidRDefault="00267CF1" w:rsidP="00267CF1">
      <w:pPr>
        <w:pStyle w:val="SingleTxtG"/>
      </w:pPr>
      <w:r w:rsidRPr="00267CF1">
        <w:t>128.</w:t>
      </w:r>
      <w:r w:rsidRPr="00267CF1">
        <w:tab/>
      </w:r>
      <w:r w:rsidR="004C40AD" w:rsidRPr="004C40AD">
        <w:t>Принятый в 2019 году «Закон об общем образовании» определяет основные принципы государственной политики, организационно-правовые и экономические основы в области общего образования.</w:t>
      </w:r>
    </w:p>
    <w:p w14:paraId="108949F1" w14:textId="3D1F6192" w:rsidR="004C40AD" w:rsidRPr="004C40AD" w:rsidRDefault="00267CF1" w:rsidP="00267CF1">
      <w:pPr>
        <w:pStyle w:val="SingleTxtG"/>
      </w:pPr>
      <w:r w:rsidRPr="00267CF1">
        <w:t>129.</w:t>
      </w:r>
      <w:r w:rsidRPr="00267CF1">
        <w:tab/>
      </w:r>
      <w:r w:rsidR="004C40AD" w:rsidRPr="004C40AD">
        <w:t xml:space="preserve">В 2018 году был принят закон «О профессиональном образовании», в котором отражена политика государства в соответствующей сфере, предусматривающая соблюдение основных прав граждан, с целью обеспечения возможности получения </w:t>
      </w:r>
      <w:r w:rsidR="004C40AD" w:rsidRPr="004C40AD">
        <w:lastRenderedPageBreak/>
        <w:t>профессионального образования всеми слоями населения, независимо от расы, национальности, религии, языка, пола, происхождения, имущественного положения, служебного положения, убеждений, принадлежности к политическим партиям, профсоюзным и другим общественным объединениям.</w:t>
      </w:r>
    </w:p>
    <w:p w14:paraId="097930F8" w14:textId="1E5B982A" w:rsidR="004C40AD" w:rsidRPr="004C40AD" w:rsidRDefault="00267CF1" w:rsidP="00267CF1">
      <w:pPr>
        <w:pStyle w:val="SingleTxtG"/>
      </w:pPr>
      <w:r w:rsidRPr="00267CF1">
        <w:t>130.</w:t>
      </w:r>
      <w:r w:rsidRPr="00267CF1">
        <w:tab/>
      </w:r>
      <w:r w:rsidR="004C40AD" w:rsidRPr="004C40AD">
        <w:t>Подробная информация о проведенной в сфере образования работе за отчетный период приведена в п.18 Приложения.</w:t>
      </w:r>
    </w:p>
    <w:p w14:paraId="2F9B6C46" w14:textId="17AE1E3B" w:rsidR="004C40AD" w:rsidRPr="004C40AD" w:rsidRDefault="00267CF1" w:rsidP="00267CF1">
      <w:pPr>
        <w:pStyle w:val="H1G"/>
      </w:pPr>
      <w:r>
        <w:tab/>
      </w:r>
      <w:r>
        <w:tab/>
      </w:r>
      <w:r w:rsidR="004C40AD" w:rsidRPr="004C40AD">
        <w:t>Межцивилизационный и межкультурный диалог, борьба с дискриминацией</w:t>
      </w:r>
    </w:p>
    <w:p w14:paraId="1A401245" w14:textId="4F435729" w:rsidR="004C40AD" w:rsidRPr="004C40AD" w:rsidRDefault="00267CF1" w:rsidP="00267CF1">
      <w:pPr>
        <w:pStyle w:val="SingleTxtG"/>
      </w:pPr>
      <w:r w:rsidRPr="00267CF1">
        <w:t>131.</w:t>
      </w:r>
      <w:r w:rsidRPr="00267CF1">
        <w:tab/>
      </w:r>
      <w:r w:rsidR="004C40AD" w:rsidRPr="004C40AD">
        <w:t>Азербайджанская Республика является многонациональным и многоконфессиональным государством, где представители всех национальностей и религий проживают в условиях мира, согласия и дружбы, и данная традиция поддерживается государственной политикой.</w:t>
      </w:r>
    </w:p>
    <w:p w14:paraId="39713DAE" w14:textId="7900C47C" w:rsidR="004C40AD" w:rsidRPr="004C40AD" w:rsidRDefault="00267CF1" w:rsidP="00267CF1">
      <w:pPr>
        <w:pStyle w:val="SingleTxtG"/>
      </w:pPr>
      <w:r w:rsidRPr="00267CF1">
        <w:t>132.</w:t>
      </w:r>
      <w:r>
        <w:tab/>
      </w:r>
      <w:r w:rsidR="004C40AD" w:rsidRPr="004C40AD">
        <w:t>Одной из приоритетных задач государства является обеспечение прав и свобод человека, а также свобод национальных меньшинств. Эти основные принципы и права закреплены и охраняются на законодательном уровне, содержатся в Конституции страны и других законодательных актах.</w:t>
      </w:r>
    </w:p>
    <w:p w14:paraId="76868010" w14:textId="3689B983" w:rsidR="004C40AD" w:rsidRPr="004C40AD" w:rsidRDefault="00267CF1" w:rsidP="00267CF1">
      <w:pPr>
        <w:pStyle w:val="SingleTxtG"/>
      </w:pPr>
      <w:r w:rsidRPr="00267CF1">
        <w:t>133.</w:t>
      </w:r>
      <w:r w:rsidRPr="00267CF1">
        <w:tab/>
      </w:r>
      <w:r w:rsidR="004C40AD" w:rsidRPr="004C40AD">
        <w:t>В стране обеспечиваются права национальных меньшинств на обучение и на преподавание их родных языков. Данные о преподавании языков национальных меньшинств в 2022-2023 учебном году отражены в п.19 Приложения.</w:t>
      </w:r>
    </w:p>
    <w:p w14:paraId="15347595" w14:textId="03867C2D" w:rsidR="004C40AD" w:rsidRPr="004C40AD" w:rsidRDefault="00267CF1" w:rsidP="00267CF1">
      <w:pPr>
        <w:pStyle w:val="SingleTxtG"/>
      </w:pPr>
      <w:r w:rsidRPr="00267CF1">
        <w:t>134.</w:t>
      </w:r>
      <w:r w:rsidRPr="00267CF1">
        <w:tab/>
      </w:r>
      <w:r w:rsidR="004C40AD" w:rsidRPr="004C40AD">
        <w:t>Одним из важных примеров азербайджанской государственной политики мультикультурализма является высокий уровень отношений между государством и религией. Бакинский Международный Центр Мультикультурализма был создан Указом Президента от 2014 года.</w:t>
      </w:r>
    </w:p>
    <w:p w14:paraId="5667093F" w14:textId="74C6CC8D" w:rsidR="004C40AD" w:rsidRPr="004C40AD" w:rsidRDefault="00267CF1" w:rsidP="00267CF1">
      <w:pPr>
        <w:pStyle w:val="SingleTxtG"/>
      </w:pPr>
      <w:r w:rsidRPr="00267CF1">
        <w:t>135.</w:t>
      </w:r>
      <w:r w:rsidRPr="00267CF1">
        <w:tab/>
      </w:r>
      <w:r w:rsidR="004C40AD" w:rsidRPr="004C40AD">
        <w:t>В Бакинском Международном Центре Мультикультурализма действует Координационный Совет, представляющий этнокультурные организации лиц, принадлежащих к национальным меньшинствам. Основной деятельностью общин и организаций меньшинств является организация различных общественно-культурных мероприятий представляемых ими народов, распространение информации об этой деятельности в СМИ, издаваемых на их родных языках, а также организация обучения на родном языке в средних школах.</w:t>
      </w:r>
    </w:p>
    <w:p w14:paraId="6132FF75" w14:textId="200B398B" w:rsidR="004C40AD" w:rsidRPr="004C40AD" w:rsidRDefault="00267CF1" w:rsidP="00267CF1">
      <w:pPr>
        <w:pStyle w:val="SingleTxtG"/>
      </w:pPr>
      <w:r w:rsidRPr="00267CF1">
        <w:t>136.</w:t>
      </w:r>
      <w:r w:rsidRPr="00267CF1">
        <w:tab/>
      </w:r>
      <w:r w:rsidR="004C40AD" w:rsidRPr="004C40AD">
        <w:t>С окончанием армяно-азербайджанского конфликта страна вступила в новый этап постконфликтной реабилитации, реконструкции и реинтеграции. В постконфликтный период поддержание мира, восстановительные работы и возвращение вынужденных переселенцев на свои земли, реинтеграция всех граждан в политическую, правовую, экономическую и социальную системы страны на основе равноправия и в рамках Конституции Азербайджанской Республики является одним из основных приоритетов постконфликтной политики. Конституция Азербайджанской Республики обеспечивает прочную правовую основу в этом отношении.</w:t>
      </w:r>
    </w:p>
    <w:p w14:paraId="3010F1BD" w14:textId="59E62F1F" w:rsidR="004C40AD" w:rsidRPr="004C40AD" w:rsidRDefault="00267CF1" w:rsidP="00267CF1">
      <w:pPr>
        <w:pStyle w:val="SingleTxtG"/>
      </w:pPr>
      <w:r w:rsidRPr="00267CF1">
        <w:t>137.</w:t>
      </w:r>
      <w:r w:rsidRPr="00267CF1">
        <w:tab/>
      </w:r>
      <w:r w:rsidR="004C40AD" w:rsidRPr="004C40AD">
        <w:t>Министерством Юстиции подготовлен законопроект «О предупреждении и ликвидации расовой дискриминации» и представлен на рассмотрение соответствующему органу. Проект определяет меры, направленные на предупреждение и ликвидацию всех форм расовой дискриминации в целях обеспечения равных возможностей для реализации прав и свобод человека и гражданина.</w:t>
      </w:r>
    </w:p>
    <w:p w14:paraId="1F76279C" w14:textId="2BE048F3" w:rsidR="004C40AD" w:rsidRPr="004C40AD" w:rsidRDefault="00267CF1" w:rsidP="00267CF1">
      <w:pPr>
        <w:pStyle w:val="SingleTxtG"/>
      </w:pPr>
      <w:r w:rsidRPr="00267CF1">
        <w:t>138.</w:t>
      </w:r>
      <w:r>
        <w:tab/>
      </w:r>
      <w:r w:rsidR="004C40AD" w:rsidRPr="004C40AD">
        <w:t>«Государственные стандарты образования детей дошкольного возраста с ограниченными возможностями здоровья», утвержденные решением Кабинета Министров от 2018 года, создают благоприятные условия для оказания соответствующей ранней профилактической помощи на основе качественного образования детей с ограниченными возможностями без условий и дискриминации, диагностики и коррекции нарушений, социальной адаптации детей, специальных психолого-педагогических подходов.</w:t>
      </w:r>
    </w:p>
    <w:p w14:paraId="5EC8AC05" w14:textId="28485E9C" w:rsidR="004C40AD" w:rsidRPr="004C40AD" w:rsidRDefault="00267CF1" w:rsidP="00267CF1">
      <w:pPr>
        <w:pStyle w:val="SingleTxtG"/>
      </w:pPr>
      <w:r w:rsidRPr="00267CF1">
        <w:lastRenderedPageBreak/>
        <w:t>139.</w:t>
      </w:r>
      <w:r>
        <w:tab/>
      </w:r>
      <w:r w:rsidR="004C40AD" w:rsidRPr="004C40AD">
        <w:t>В 2022 году вступил в силу новый Закон «О политических партиях», в котором закреплены положения, запрещающие ограничение членства в политической партии по признаку расы, этнической принадлежности, религии, языка, пола, происхождения, убеждений и социальной принадлежности, также не допускающие создание и действие политических партий, деятельность которых направлена на изменение насильственным образом Конституционного строя Азербайджанской Республики, нарушение ее территориальной целостности, захват или удержание власти силой, открытые призывы к массовым беспорядкам, терроризм, пропаганда терроризма, религиозного экстремизма, насилия и жестокости, а также дискриминации по признаку расы, религии, происхождения, пола, этнической принадлежности и иной дискриминации, а также действий, противоречащих охране здоровья и окружающей среды, разжигание расовой, религиозной или национальной вражды.</w:t>
      </w:r>
    </w:p>
    <w:p w14:paraId="5CD5C2FE" w14:textId="09E90366" w:rsidR="004C40AD" w:rsidRPr="004C40AD" w:rsidRDefault="00267CF1" w:rsidP="00267CF1">
      <w:pPr>
        <w:pStyle w:val="SingleTxtG"/>
      </w:pPr>
      <w:r w:rsidRPr="00267CF1">
        <w:t>140.</w:t>
      </w:r>
      <w:r w:rsidRPr="00267CF1">
        <w:tab/>
      </w:r>
      <w:r w:rsidR="004C40AD" w:rsidRPr="004C40AD">
        <w:t>В статью 283 Уголовного Кодекса были внесены изменения и дополнения, и ужесточены меры наказания за национальную, расовую, социальную или религиозную вражду или ненависть. Согласно статьям 283.1-1 и 283.3, дополненным к Кодексу Законом от 2016 года, совершение указанных выше деяний на почве религиозной вражды, религиозного радикализма или религиозного фанатизма, их финансирование также подлежит уголовной ответственности.</w:t>
      </w:r>
    </w:p>
    <w:p w14:paraId="7E2A74E4" w14:textId="0517B4EE" w:rsidR="004C40AD" w:rsidRPr="004C40AD" w:rsidRDefault="00267CF1" w:rsidP="00267CF1">
      <w:pPr>
        <w:pStyle w:val="H1G"/>
      </w:pPr>
      <w:r w:rsidRPr="00B003FF">
        <w:tab/>
      </w:r>
      <w:r w:rsidRPr="00B003FF">
        <w:tab/>
      </w:r>
      <w:r w:rsidR="004C40AD" w:rsidRPr="004C40AD">
        <w:t>Права отдельных групп или лиц</w:t>
      </w:r>
    </w:p>
    <w:p w14:paraId="700166D7" w14:textId="0B479367" w:rsidR="004C40AD" w:rsidRPr="004C40AD" w:rsidRDefault="00267CF1" w:rsidP="00267CF1">
      <w:pPr>
        <w:pStyle w:val="H23G"/>
      </w:pPr>
      <w:r>
        <w:tab/>
      </w:r>
      <w:r>
        <w:tab/>
      </w:r>
      <w:r w:rsidR="004C40AD" w:rsidRPr="004C40AD">
        <w:t>Поощрение и защита прав женщин и обеспечение гендерного равенства</w:t>
      </w:r>
    </w:p>
    <w:p w14:paraId="3FAB2B02" w14:textId="6D2C3B31" w:rsidR="004C40AD" w:rsidRPr="004C40AD" w:rsidRDefault="00267CF1" w:rsidP="00267CF1">
      <w:pPr>
        <w:pStyle w:val="SingleTxtG"/>
      </w:pPr>
      <w:r w:rsidRPr="00267CF1">
        <w:t>141.</w:t>
      </w:r>
      <w:r>
        <w:tab/>
      </w:r>
      <w:r w:rsidR="004C40AD" w:rsidRPr="004C40AD">
        <w:t>Закон «Об обеспечении гендерного (мужского и женского) равенства» гарантирует недопущение неравенства между мужчинами и женщинами и включение гендерного фактора во все сферы жизни общества.</w:t>
      </w:r>
    </w:p>
    <w:p w14:paraId="5204DC15" w14:textId="157BD083" w:rsidR="004C40AD" w:rsidRPr="004C40AD" w:rsidRDefault="00267CF1" w:rsidP="00267CF1">
      <w:pPr>
        <w:pStyle w:val="SingleTxtG"/>
      </w:pPr>
      <w:r w:rsidRPr="00267CF1">
        <w:t>142.</w:t>
      </w:r>
      <w:r w:rsidRPr="00267CF1">
        <w:tab/>
      </w:r>
      <w:r w:rsidR="004C40AD" w:rsidRPr="004C40AD">
        <w:t>Проведенные экономические реформы и реализация соответствующих государственных программ, а также работа в области повышения занятости населения стимулировали развитие женского предпринимательства, привели к увеличению доли женщин среди малых и средних предпринимателей, расширили возможности трудоустройства женщин, проживающих в сельской и городской местностях.</w:t>
      </w:r>
    </w:p>
    <w:p w14:paraId="6EC8FA7D" w14:textId="2022F4B9" w:rsidR="004C40AD" w:rsidRPr="004C40AD" w:rsidRDefault="00267CF1" w:rsidP="00267CF1">
      <w:pPr>
        <w:pStyle w:val="SingleTxtG"/>
      </w:pPr>
      <w:r w:rsidRPr="00267CF1">
        <w:t>143.</w:t>
      </w:r>
      <w:r>
        <w:tab/>
      </w:r>
      <w:r w:rsidR="004C40AD" w:rsidRPr="004C40AD">
        <w:t>Согласно базе данных учета Государственной налоговой службы по состоянию на февраль 2023 года из числа зарегистрированных индивидуальных предпринимателей более 22% составляют женщины.</w:t>
      </w:r>
    </w:p>
    <w:p w14:paraId="0CAC1EB8" w14:textId="579D4253" w:rsidR="004C40AD" w:rsidRPr="004C40AD" w:rsidRDefault="00267CF1" w:rsidP="00267CF1">
      <w:pPr>
        <w:pStyle w:val="SingleTxtG"/>
      </w:pPr>
      <w:r w:rsidRPr="00267CF1">
        <w:t>144.</w:t>
      </w:r>
      <w:r w:rsidRPr="00267CF1">
        <w:tab/>
      </w:r>
      <w:r w:rsidR="004C40AD" w:rsidRPr="004C40AD">
        <w:t>В целях совершенствования государственных услуг для предпринимателей, в том числе женщин-предпринимателей, обеспечения комфортного, беспрепятственного и прозрачного доступа к услугам, продолжения работы по предоставлению государственных и необходимых бизнес-услуг, основанных на современных инновациях, Государственным Комитетом по проблемам семьи, женщин и детей (ГКДСЖД) был подготовлен план «Национальная деятельность по гендерному равенству в Азербайджанской Республике на 2022-2025 годы».</w:t>
      </w:r>
    </w:p>
    <w:p w14:paraId="59E6BD48" w14:textId="248DA36A" w:rsidR="004C40AD" w:rsidRPr="004C40AD" w:rsidRDefault="00267CF1" w:rsidP="00267CF1">
      <w:pPr>
        <w:pStyle w:val="SingleTxtG"/>
      </w:pPr>
      <w:r w:rsidRPr="00267CF1">
        <w:t>145.</w:t>
      </w:r>
      <w:r w:rsidRPr="00267CF1">
        <w:tab/>
      </w:r>
      <w:r w:rsidR="004C40AD" w:rsidRPr="004C40AD">
        <w:t>При Министерстве труда и социальной защиты населения функционирует Государственная служба инспекции труда, которая является органом исполнительной власти, осуществляющим государственный контроль за соблюдением требований Трудового Кодекса Азербайджанской Республики и других нормативно-правовых актов (отчет по обращениям граждан отражен в п.20 Приложения).</w:t>
      </w:r>
    </w:p>
    <w:p w14:paraId="66A91013" w14:textId="3F4AF5A3" w:rsidR="004C40AD" w:rsidRPr="004C40AD" w:rsidRDefault="00267CF1" w:rsidP="00267CF1">
      <w:pPr>
        <w:pStyle w:val="SingleTxtG"/>
      </w:pPr>
      <w:r w:rsidRPr="00267CF1">
        <w:t>146.</w:t>
      </w:r>
      <w:r w:rsidRPr="00267CF1">
        <w:tab/>
      </w:r>
      <w:r w:rsidR="004C40AD" w:rsidRPr="004C40AD">
        <w:t>С целью предотвращения дискриминации по половой принадлежности и расширения возможностей занятости среди женщин разработан проект Закона о внесении изменений в Трудовой Кодекс Азербайджанской Республики, экспертиза которого была проведена в рамках проекта технической поддержки Всемирного Банка «Устранение правовых препятствий для занятости женщин в Азербайджане». Проект Закона о внесении изменений в Трудовой Кодекс был согласован с соответствующими государственными органами, социальными партнерами и представлен в Кабинет Министров.</w:t>
      </w:r>
    </w:p>
    <w:p w14:paraId="243A7222" w14:textId="184F52C1" w:rsidR="004C40AD" w:rsidRPr="004C40AD" w:rsidRDefault="00267CF1" w:rsidP="00267CF1">
      <w:pPr>
        <w:pStyle w:val="SingleTxtG"/>
      </w:pPr>
      <w:r w:rsidRPr="00267CF1">
        <w:lastRenderedPageBreak/>
        <w:t>147.</w:t>
      </w:r>
      <w:r w:rsidRPr="00267CF1">
        <w:tab/>
      </w:r>
      <w:r w:rsidR="004C40AD" w:rsidRPr="004C40AD">
        <w:t>Продолжается осуществление реформ с целью устранения разницы в размере средней заработной платы между мужчинами и женщинами. Реформы с целью повышения заработной платы, проведенные в начале 2022 года, направлены как на повышение удельного веса минимальной зарплаты в среднемесячной зарплате, так и на устранение разницы в размере средней заработной платы между мужчинами и женщинами.</w:t>
      </w:r>
    </w:p>
    <w:p w14:paraId="3AC19877" w14:textId="463BBDB6" w:rsidR="004C40AD" w:rsidRPr="004C40AD" w:rsidRDefault="00267CF1" w:rsidP="00267CF1">
      <w:pPr>
        <w:pStyle w:val="SingleTxtG"/>
      </w:pPr>
      <w:r w:rsidRPr="00267CF1">
        <w:t>148.</w:t>
      </w:r>
      <w:r w:rsidRPr="00267CF1">
        <w:tab/>
      </w:r>
      <w:r w:rsidR="004C40AD" w:rsidRPr="004C40AD">
        <w:t>В 2018 году средняя заработная плата женщин составляла 54% от средней заработной платы мужчин, в 2020 году этот показатель составил 63,3%. В результате проведенных в 2021 году реформ указанный показатель доведен до 64,8%.</w:t>
      </w:r>
    </w:p>
    <w:p w14:paraId="784B0785" w14:textId="4A1043E0" w:rsidR="004C40AD" w:rsidRPr="004C40AD" w:rsidRDefault="00267CF1" w:rsidP="00267CF1">
      <w:pPr>
        <w:pStyle w:val="SingleTxtG"/>
      </w:pPr>
      <w:r w:rsidRPr="00267CF1">
        <w:t>149.</w:t>
      </w:r>
      <w:r w:rsidRPr="00267CF1">
        <w:tab/>
      </w:r>
      <w:r w:rsidR="004C40AD" w:rsidRPr="004C40AD">
        <w:t>Правительство придает большое значение защите, обеспечению и поощрению гендерного равенства в системе образования. В столице и регионах осуществляется широкий спектр мероприятий и просветительских программ в сфере создания гендерно-чувствительной среды в образовании, увеличения количества девочек, посещающих школу, и их посещаемости, организации механизмов поддержки для молодых мам, вовлечения девочек в систему профессионального образования и продолжение ими своего среднего и высшего образования.</w:t>
      </w:r>
    </w:p>
    <w:p w14:paraId="6A8CE8E7" w14:textId="788ED87A" w:rsidR="004C40AD" w:rsidRPr="004C40AD" w:rsidRDefault="00267CF1" w:rsidP="00267CF1">
      <w:pPr>
        <w:pStyle w:val="SingleTxtG"/>
      </w:pPr>
      <w:r w:rsidRPr="00267CF1">
        <w:t>150.</w:t>
      </w:r>
      <w:r w:rsidRPr="00267CF1">
        <w:tab/>
      </w:r>
      <w:r w:rsidR="004C40AD" w:rsidRPr="004C40AD">
        <w:t>В 2022-2023 учебном году в общеобразовательных учреждениях страны обучается 795 463 девочек, что составляет 47% от общего числа школьников. В текущем учебном году из 194 011 студентов высших учебных заведений 99 829 – девочки (51,4%). Доля женщин занятых в сфере науки также увеличивается с каждым годом. Из 3321 докторантов 1807 (54,4%) составляют женщины.</w:t>
      </w:r>
    </w:p>
    <w:p w14:paraId="55294005" w14:textId="2D7ED218" w:rsidR="004C40AD" w:rsidRPr="004C40AD" w:rsidRDefault="00267CF1" w:rsidP="00267CF1">
      <w:pPr>
        <w:pStyle w:val="SingleTxtG"/>
      </w:pPr>
      <w:r w:rsidRPr="00267CF1">
        <w:t>151.</w:t>
      </w:r>
      <w:r w:rsidRPr="00267CF1">
        <w:tab/>
      </w:r>
      <w:r w:rsidR="004C40AD" w:rsidRPr="004C40AD">
        <w:t>В продолжение реализации мер по выполнению обязательств по «Положению о просвещении о негативных последствиях ранних браков и браков между родственниками в целях защиты и укрепления значения семьи и брака среди молодежи», утвержденному Постановлением Кабинета Министров от 2020 года, ГКДСЖД, Аппаратом Омбудсмана систематически проводятся мероприятия в сельских районах страны с целью повышения уровня информированности подростков и молодежи о негативных последствиях ранних браков и браков между родственниками.</w:t>
      </w:r>
    </w:p>
    <w:p w14:paraId="04E5D9EA" w14:textId="195E5373" w:rsidR="004C40AD" w:rsidRPr="004C40AD" w:rsidRDefault="00267CF1" w:rsidP="00267CF1">
      <w:pPr>
        <w:pStyle w:val="SingleTxtG"/>
      </w:pPr>
      <w:r w:rsidRPr="00267CF1">
        <w:t>152.</w:t>
      </w:r>
      <w:r w:rsidRPr="00267CF1">
        <w:tab/>
      </w:r>
      <w:r w:rsidR="004C40AD" w:rsidRPr="004C40AD">
        <w:t>В Плане мероприятий по осуществлению «Стратегии Азербайджанской Республики в интересах детей на 2020-2025 годы» предусмотрено усиление мер и организация воспитательной работы в сфере профилактики ранних браков и браков между родственниками.</w:t>
      </w:r>
    </w:p>
    <w:p w14:paraId="0412B227" w14:textId="7CC58228" w:rsidR="004C40AD" w:rsidRPr="004C40AD" w:rsidRDefault="00267CF1" w:rsidP="00267CF1">
      <w:pPr>
        <w:pStyle w:val="SingleTxtG"/>
      </w:pPr>
      <w:r w:rsidRPr="00267CF1">
        <w:t>153.</w:t>
      </w:r>
      <w:r w:rsidRPr="00267CF1">
        <w:tab/>
      </w:r>
      <w:r w:rsidR="004C40AD" w:rsidRPr="004C40AD">
        <w:t>ГКДСЖД был подготовлен и представлен Кабинету Министров проект «Национального Плана Действий по гендерному равенству в Азербайджанской Республике на 2023-2025 годы».</w:t>
      </w:r>
    </w:p>
    <w:p w14:paraId="7FD55585" w14:textId="5205E527" w:rsidR="004C40AD" w:rsidRPr="004C40AD" w:rsidRDefault="00267CF1" w:rsidP="00267CF1">
      <w:pPr>
        <w:pStyle w:val="SingleTxtG"/>
      </w:pPr>
      <w:r w:rsidRPr="00267CF1">
        <w:t>154.</w:t>
      </w:r>
      <w:r w:rsidRPr="00267CF1">
        <w:tab/>
      </w:r>
      <w:r w:rsidR="004C40AD" w:rsidRPr="004C40AD">
        <w:t>Сотрудники органов общественной безопасности, следствия, дознания, уголовного розыска и по делам несовершеннолетних участвуют в курсах повышения квалификации и семинарах, организуемых с целью обеспечения специализации в области предотвращения насилия в отношении женщин. Утверждение «Национального плана действия на 2020-2025 годы по предотвращению выбора пола ребенка до рождения» Постановлением Кабинета Министров от 2020 года направлено на обеспечение интенсивности демографических процессов и предотвращение гендерного дисбаланса в стране. Согласно данному документу ГКДСЖД совместно с Центром Общественного Здоровья и Реформ Министерства Здравоохранения ежегодно проводят серии просветительских мероприятий по репродуктивному здоровью и планированию семьи.</w:t>
      </w:r>
    </w:p>
    <w:p w14:paraId="22CE7183" w14:textId="0A97516C" w:rsidR="004C40AD" w:rsidRPr="004C40AD" w:rsidRDefault="00267CF1" w:rsidP="00267CF1">
      <w:pPr>
        <w:pStyle w:val="SingleTxtG"/>
      </w:pPr>
      <w:r w:rsidRPr="00267CF1">
        <w:t>155.</w:t>
      </w:r>
      <w:r w:rsidRPr="00267CF1">
        <w:tab/>
      </w:r>
      <w:r w:rsidR="004C40AD" w:rsidRPr="004C40AD">
        <w:t>Информация о занимаемых женщинами руководящих должностях в стране на январь 2023 года приведена в п.21 Приложения.</w:t>
      </w:r>
    </w:p>
    <w:p w14:paraId="2D10A5E9" w14:textId="409854AF" w:rsidR="004C40AD" w:rsidRPr="004C40AD" w:rsidRDefault="00267CF1" w:rsidP="00267CF1">
      <w:pPr>
        <w:pStyle w:val="H23G"/>
      </w:pPr>
      <w:r>
        <w:tab/>
      </w:r>
      <w:r>
        <w:tab/>
      </w:r>
      <w:r w:rsidR="004C40AD" w:rsidRPr="004C40AD">
        <w:t>Борьба с бытовым насилием</w:t>
      </w:r>
    </w:p>
    <w:p w14:paraId="5A09A0FE" w14:textId="402C5513" w:rsidR="004C40AD" w:rsidRPr="004C40AD" w:rsidRDefault="00267CF1" w:rsidP="00267CF1">
      <w:pPr>
        <w:pStyle w:val="SingleTxtG"/>
      </w:pPr>
      <w:r w:rsidRPr="00267CF1">
        <w:t>156.</w:t>
      </w:r>
      <w:r w:rsidRPr="00267CF1">
        <w:tab/>
      </w:r>
      <w:r w:rsidR="004C40AD" w:rsidRPr="004C40AD">
        <w:t>Особое внимание в стране уделяется деятельности по предотвращению насилия в отношении женщин и детей. Правительство Азербайджана продолжает принимать необходимые меры в сфере борьбы с домашним насилием, направленную на обеспечение соблюдения Закона «О предотвращении бытового насилия».</w:t>
      </w:r>
    </w:p>
    <w:p w14:paraId="3A50B14F" w14:textId="642C7F17" w:rsidR="004C40AD" w:rsidRPr="004C40AD" w:rsidRDefault="00267CF1" w:rsidP="00267CF1">
      <w:pPr>
        <w:pStyle w:val="SingleTxtG"/>
      </w:pPr>
      <w:r w:rsidRPr="00267CF1">
        <w:lastRenderedPageBreak/>
        <w:t>157.</w:t>
      </w:r>
      <w:r>
        <w:tab/>
      </w:r>
      <w:r w:rsidR="004C40AD" w:rsidRPr="004C40AD">
        <w:t>Указом Президента от 2020 года был утвержден «Национальный план действий по борьбе с бытовым насилием в Азербайджанской Республике на 2020-2023 годы», основной целью которого является адаптация мер по предупреждению бытового насилия в стране к международным стандартам, оказание семьям своевременной и всесторонней помощи. ГКДСЖД в рамках сотрудничества с Фондом ООН в области народонаселения, Министерством цифрового развития и транспорта с 1 ноября 2020 года началась реализация пилотного проекта «Линия поддержки 860 по вопросам гендерного насилия», которая работает с 1 декабря 2020 года и принимает звонки от жертв домашнего насилия.</w:t>
      </w:r>
    </w:p>
    <w:p w14:paraId="06364059" w14:textId="2A8788F2" w:rsidR="004C40AD" w:rsidRPr="004C40AD" w:rsidRDefault="00267CF1" w:rsidP="00267CF1">
      <w:pPr>
        <w:pStyle w:val="SingleTxtG"/>
      </w:pPr>
      <w:r w:rsidRPr="00267CF1">
        <w:t>158.</w:t>
      </w:r>
      <w:r w:rsidRPr="00267CF1">
        <w:tab/>
      </w:r>
      <w:r w:rsidR="004C40AD" w:rsidRPr="004C40AD">
        <w:t>В 2022 году ГКДСЖД совместно с представительством ООН в Азербайджане провели в 16 сельских районах просветительские мероприятия в рамках 16-дневной кампании против гендерного насилия. В соответствии с Указом Президента от 2019 года при Министерстве труда и социальной защиты населения был создан Приют и центр реабилитации для уязвимых групп населения Агентства социальных услуг.</w:t>
      </w:r>
    </w:p>
    <w:p w14:paraId="7C28FA63" w14:textId="7C075D09" w:rsidR="004C40AD" w:rsidRPr="004C40AD" w:rsidRDefault="00267CF1" w:rsidP="00267CF1">
      <w:pPr>
        <w:pStyle w:val="H23G"/>
      </w:pPr>
      <w:r>
        <w:tab/>
      </w:r>
      <w:r>
        <w:tab/>
      </w:r>
      <w:r w:rsidR="004C40AD" w:rsidRPr="004C40AD">
        <w:t>Поощрение и защита прав детей</w:t>
      </w:r>
    </w:p>
    <w:p w14:paraId="5AA674DD" w14:textId="04D06EA3" w:rsidR="004C40AD" w:rsidRPr="004C40AD" w:rsidRDefault="00267CF1" w:rsidP="00267CF1">
      <w:pPr>
        <w:pStyle w:val="SingleTxtG"/>
      </w:pPr>
      <w:r w:rsidRPr="00267CF1">
        <w:t>159.</w:t>
      </w:r>
      <w:r w:rsidRPr="00267CF1">
        <w:tab/>
      </w:r>
      <w:r w:rsidR="004C40AD" w:rsidRPr="004C40AD">
        <w:t>В Азербайджане сформирована законодательная база всестороннего развития и защиты детей. Законом от 2019 года Азербайджанская Республика присоединилась к Конвенции СЕ «О защите детей от сексуальной эксплуатации и сексуального насилия».</w:t>
      </w:r>
    </w:p>
    <w:p w14:paraId="6CAA099C" w14:textId="6D69E979" w:rsidR="004C40AD" w:rsidRPr="004C40AD" w:rsidRDefault="005F1A1D" w:rsidP="005F1A1D">
      <w:pPr>
        <w:pStyle w:val="SingleTxtG"/>
      </w:pPr>
      <w:r w:rsidRPr="005F1A1D">
        <w:t>160.</w:t>
      </w:r>
      <w:r>
        <w:tab/>
      </w:r>
      <w:r w:rsidR="004C40AD" w:rsidRPr="004C40AD">
        <w:t>Распоряжением Президента от 2020 года была утверждена «Стратегия Азербайджанской Республики относительно детей на 2020-2030 годы». Данный стратегический документ направлен на совершенствование действующей нормативно-правовой базы в области прав ребенка, создание эффективного механизма защиты детей, оказание государственной поддержки их развитию в раннем возрасте, защиту детей, находящихся в трудных жизненных условиях.</w:t>
      </w:r>
    </w:p>
    <w:p w14:paraId="6CE58A0D" w14:textId="6177D26C" w:rsidR="004C40AD" w:rsidRPr="004C40AD" w:rsidRDefault="005F1A1D" w:rsidP="005F1A1D">
      <w:pPr>
        <w:pStyle w:val="SingleTxtG"/>
      </w:pPr>
      <w:r w:rsidRPr="005F1A1D">
        <w:t>161.</w:t>
      </w:r>
      <w:r w:rsidRPr="005F1A1D">
        <w:tab/>
      </w:r>
      <w:r w:rsidR="004C40AD" w:rsidRPr="004C40AD">
        <w:t>В 2022 году был утвержден Указ Президента «О некоторых вопросах, связанных с предотвращением лишения родительской опеки детей и усилением защиты их прав». Согласно данному Указу с 1 ноября 2022 года Министерству труда и социальной защиты населения переданы полномочия по подготовке и осуществлению политики, регулированию и государственному контролю по вопросам усыновления (удочерения). В результате мероприятий по социальной поддержке, проведенных Министерством 274 ребенка реинтегрированы в семьи.</w:t>
      </w:r>
    </w:p>
    <w:p w14:paraId="11CE5AA4" w14:textId="25BEC6C3" w:rsidR="004C40AD" w:rsidRPr="004C40AD" w:rsidRDefault="005F1A1D" w:rsidP="005F1A1D">
      <w:pPr>
        <w:pStyle w:val="SingleTxtG"/>
      </w:pPr>
      <w:r w:rsidRPr="005F1A1D">
        <w:t>162.</w:t>
      </w:r>
      <w:r w:rsidRPr="005F1A1D">
        <w:tab/>
      </w:r>
      <w:r w:rsidR="004C40AD" w:rsidRPr="004C40AD">
        <w:t>В соответствии с данным Указом с целью совершенствования нормативно-правовой базы в области развития и поощрения института приемных родителей, подготовлены соответствующие проекты законодательных актов.</w:t>
      </w:r>
    </w:p>
    <w:p w14:paraId="7CA55CB5" w14:textId="4DDB06EA" w:rsidR="004C40AD" w:rsidRPr="004C40AD" w:rsidRDefault="005F1A1D" w:rsidP="005F1A1D">
      <w:pPr>
        <w:pStyle w:val="SingleTxtG"/>
      </w:pPr>
      <w:r w:rsidRPr="005F1A1D">
        <w:t>163.</w:t>
      </w:r>
      <w:r w:rsidRPr="005F1A1D">
        <w:tab/>
      </w:r>
      <w:r w:rsidR="004C40AD" w:rsidRPr="004C40AD">
        <w:t>Уголовным Кодексом категорически запрещается детская порнография. Согласно требованиям соответствующей статьи за создание условий для распространения, рекламы, продажи, передачи, отправки и предложения другому лицу детской порнографии, за ее распространение или изготовление с целью рекламы, приобретение или хранение предусматривается наказание в виде лишения свободы сроком до пяти лет.</w:t>
      </w:r>
    </w:p>
    <w:p w14:paraId="036AEFD4" w14:textId="3DDCEED6" w:rsidR="004C40AD" w:rsidRPr="004C40AD" w:rsidRDefault="005F1A1D" w:rsidP="005F1A1D">
      <w:pPr>
        <w:pStyle w:val="SingleTxtG"/>
      </w:pPr>
      <w:r w:rsidRPr="005F1A1D">
        <w:t>164.</w:t>
      </w:r>
      <w:r w:rsidRPr="005F1A1D">
        <w:tab/>
      </w:r>
      <w:r w:rsidR="004C40AD" w:rsidRPr="004C40AD">
        <w:t>Нормы об ответственности за телесное наказание в отношении детей нашли отражение в Уголовном Кодексе и Кодексе об административных правонарушениях. Наряду с этим, в Законе «О предотвращении бытового насилия» предусмотрены меры по устранению психологических, физических и других правонарушений в отношении детей. Закон «Об образовании» запрещает физическое и психологическое насилие со стороны преподавателей в отношении учащихся.</w:t>
      </w:r>
    </w:p>
    <w:p w14:paraId="051B827C" w14:textId="038F8384" w:rsidR="004C40AD" w:rsidRPr="004C40AD" w:rsidRDefault="005F1A1D" w:rsidP="005F1A1D">
      <w:pPr>
        <w:pStyle w:val="SingleTxtG"/>
      </w:pPr>
      <w:r w:rsidRPr="005F1A1D">
        <w:t>165.</w:t>
      </w:r>
      <w:r w:rsidRPr="005F1A1D">
        <w:tab/>
      </w:r>
      <w:r w:rsidR="004C40AD" w:rsidRPr="004C40AD">
        <w:t>Согласно «Плану мероприятий по реализации детской стратегии на 2020-2025 годы» в отношении детей во всех сферах общественной жизни ГКДСЖД и Аппаратом Омбудсмана регулярно подготавливаются и направляются в компетентные органы предложения по совершенствованию нормативно-правовых актов о запрете насилия, проводятся правовые просветительские мероприятия по предотвращению насилия в отношении детей.</w:t>
      </w:r>
    </w:p>
    <w:p w14:paraId="6B874BEA" w14:textId="330A959A" w:rsidR="004C40AD" w:rsidRPr="004C40AD" w:rsidRDefault="005F1A1D" w:rsidP="005F1A1D">
      <w:pPr>
        <w:pStyle w:val="H23G"/>
      </w:pPr>
      <w:r>
        <w:lastRenderedPageBreak/>
        <w:tab/>
      </w:r>
      <w:r>
        <w:tab/>
      </w:r>
      <w:r w:rsidR="004C40AD" w:rsidRPr="004C40AD">
        <w:t>Поощрение и защита прав лиц с инвалидностью</w:t>
      </w:r>
    </w:p>
    <w:p w14:paraId="62C0F854" w14:textId="7778B1F4" w:rsidR="004C40AD" w:rsidRPr="004C40AD" w:rsidRDefault="005F1A1D" w:rsidP="005F1A1D">
      <w:pPr>
        <w:pStyle w:val="SingleTxtG"/>
      </w:pPr>
      <w:r w:rsidRPr="005F1A1D">
        <w:t>166.</w:t>
      </w:r>
      <w:r w:rsidRPr="005F1A1D">
        <w:tab/>
      </w:r>
      <w:r w:rsidR="004C40AD" w:rsidRPr="004C40AD">
        <w:t>В 2018 году был принят Закон «О правах лиц с инвалидностью». Настоящий Закон обеспечивает все права и свободы, предусмотренные Конвенцией ООН «О правах лиц с инвалидностью» и охватывает основные принципы государственной политики в данной сфере, вопросы предотвращения инвалидности, государственные гарантии и социальное обеспечение, реабилитацию, занятость и другие.</w:t>
      </w:r>
    </w:p>
    <w:p w14:paraId="445BE82B" w14:textId="09DB6BA9" w:rsidR="004C40AD" w:rsidRPr="004C40AD" w:rsidRDefault="005F1A1D" w:rsidP="005F1A1D">
      <w:pPr>
        <w:pStyle w:val="SingleTxtG"/>
      </w:pPr>
      <w:r w:rsidRPr="005F1A1D">
        <w:t>167.</w:t>
      </w:r>
      <w:r w:rsidRPr="005F1A1D">
        <w:tab/>
      </w:r>
      <w:r w:rsidR="004C40AD" w:rsidRPr="004C40AD">
        <w:t>В связи с применением данного Закона Указом Президента от 2018 года было подготовлено около 20 проектов законодательных актов. Путем внесения соответствующих изменений в ряд действующих законодательных актов, выражения «инвалид», «калека», «лицо с физическим недостатками», а также иные подобные неприемлемые уничижительные выражения, основанные на медицинской модели инвалидности, были заменены новыми терминами.</w:t>
      </w:r>
    </w:p>
    <w:p w14:paraId="6C2CCD9D" w14:textId="37E80008" w:rsidR="004C40AD" w:rsidRPr="004C40AD" w:rsidRDefault="005F1A1D" w:rsidP="005F1A1D">
      <w:pPr>
        <w:pStyle w:val="SingleTxtG"/>
      </w:pPr>
      <w:r w:rsidRPr="005F1A1D">
        <w:t>168.</w:t>
      </w:r>
      <w:r w:rsidRPr="005F1A1D">
        <w:tab/>
      </w:r>
      <w:r w:rsidR="004C40AD" w:rsidRPr="004C40AD">
        <w:t>В 2022 году Государственным агентством медико-социальной экспертизы и реабилитации при Министерстве труда и социальной защиты населения были проведены последовательные реформы по обеспечению прозрачности процесса оценки инвалидности, мероприятия по повышению качества услуг и уровня удовлетворенности граждан, а также меры по расширению возможностей прохождения реабилитации гражданами с инвалидностью. Проекты, нововведения и изменения в данной сфере разработаны в соответствии с положениями Конвенции ООН «О правах лиц с инвалидностью» и охватывают основные принципы государственной политики в вопросах обеспечения гарантий, прав и свобод лиц с инвалидностью.</w:t>
      </w:r>
    </w:p>
    <w:p w14:paraId="59219386" w14:textId="58C18EA5" w:rsidR="004C40AD" w:rsidRPr="004C40AD" w:rsidRDefault="005F1A1D" w:rsidP="005F1A1D">
      <w:pPr>
        <w:pStyle w:val="SingleTxtG"/>
      </w:pPr>
      <w:r w:rsidRPr="005F1A1D">
        <w:t>169.</w:t>
      </w:r>
      <w:r w:rsidRPr="005F1A1D">
        <w:tab/>
      </w:r>
      <w:r w:rsidR="004C40AD" w:rsidRPr="004C40AD">
        <w:t>Важнейшей из проведенных реформ стало утверждение «Критериев определения инвалидности» Постановлением Кабинета Министров от 2022 года, согласно которым инвалидность определяется в пределах от 35 до 100%, в зависимости от степени ограничения функций жизнедеятельности организма. Совершенствование этих критериев оценки инвалидности было проведено согласно Международной Классификации Функционирования, Ограничений Жизнедеятельности и Здоровья.</w:t>
      </w:r>
    </w:p>
    <w:p w14:paraId="4D17AC6D" w14:textId="1BE434C8" w:rsidR="004C40AD" w:rsidRPr="004C40AD" w:rsidRDefault="005F1A1D" w:rsidP="005F1A1D">
      <w:pPr>
        <w:pStyle w:val="SingleTxtG"/>
      </w:pPr>
      <w:r w:rsidRPr="005F1A1D">
        <w:t>170.</w:t>
      </w:r>
      <w:r w:rsidRPr="005F1A1D">
        <w:tab/>
      </w:r>
      <w:r w:rsidR="004C40AD" w:rsidRPr="004C40AD">
        <w:t>Внедряются в активное использование и совершенствуются новые технологии, включая информационно-коммуникационные, а также направленные на облегчение взаимодействия лиц с инвалидностью с государством. С января 2022 года обновлен портал онлайн-регистрации на обследование в Государственном агентстве медико-социальной экспертизы и реабилитации, созданный в сентябре 2021 года в целях обеспечения беспрепятственного последовательного приема граждан, а также повышения уровня их удовлетворенности.</w:t>
      </w:r>
    </w:p>
    <w:p w14:paraId="1EBF7F50" w14:textId="78D5DEFA" w:rsidR="004C40AD" w:rsidRPr="004C40AD" w:rsidRDefault="005F1A1D" w:rsidP="005F1A1D">
      <w:pPr>
        <w:pStyle w:val="SingleTxtG"/>
      </w:pPr>
      <w:r w:rsidRPr="005F1A1D">
        <w:t>171.</w:t>
      </w:r>
      <w:r w:rsidRPr="005F1A1D">
        <w:tab/>
      </w:r>
      <w:r w:rsidR="004C40AD" w:rsidRPr="004C40AD">
        <w:t>Правительством осуществляются меры с целью предотвращения изоляции от общества лиц с инвалидностью и обеспечению беспрепятственного доступа к социальной инфраструктуре, информации о предоставляемых услугах и объектах (информация о проделанной работе отражена в п.22 Приложения).</w:t>
      </w:r>
    </w:p>
    <w:p w14:paraId="62EFAB75" w14:textId="46410EB3" w:rsidR="004C40AD" w:rsidRPr="004C40AD" w:rsidRDefault="005F1A1D" w:rsidP="005F1A1D">
      <w:pPr>
        <w:pStyle w:val="SingleTxtG"/>
      </w:pPr>
      <w:r w:rsidRPr="005F1A1D">
        <w:t>172.</w:t>
      </w:r>
      <w:r w:rsidRPr="005F1A1D">
        <w:tab/>
      </w:r>
      <w:r w:rsidR="004C40AD" w:rsidRPr="004C40AD">
        <w:t>Продолжается реализация Государственной программы развития инклюзивного образования для людей с ограниченными возможностями здоровья на 2018-2024 годы. Целью Государственной программы является предоставление равного доступа к</w:t>
      </w:r>
      <w:r w:rsidR="00454D8E" w:rsidRPr="00454D8E">
        <w:t xml:space="preserve"> </w:t>
      </w:r>
      <w:r w:rsidR="004C40AD" w:rsidRPr="004C40AD">
        <w:t>образованию на</w:t>
      </w:r>
      <w:r w:rsidR="00454D8E" w:rsidRPr="00454D8E">
        <w:t xml:space="preserve"> </w:t>
      </w:r>
      <w:r w:rsidR="004C40AD" w:rsidRPr="004C40AD">
        <w:t>всех уровнях и</w:t>
      </w:r>
      <w:r w:rsidR="00454D8E" w:rsidRPr="00454D8E">
        <w:t xml:space="preserve"> </w:t>
      </w:r>
      <w:r w:rsidR="004C40AD" w:rsidRPr="004C40AD">
        <w:t>создание беспрепятственной среды для образования лиц с ограниченными возможностями. В 2022-2023 учебном году в инклюзивных классах в 22 школах обучаются 160 учащихся.</w:t>
      </w:r>
    </w:p>
    <w:p w14:paraId="3106E5FF" w14:textId="6DF55F6C" w:rsidR="004C40AD" w:rsidRPr="004C40AD" w:rsidRDefault="005F1A1D" w:rsidP="005F1A1D">
      <w:pPr>
        <w:pStyle w:val="SingleTxtG"/>
      </w:pPr>
      <w:r w:rsidRPr="005F1A1D">
        <w:t>173.</w:t>
      </w:r>
      <w:r w:rsidRPr="005F1A1D">
        <w:tab/>
      </w:r>
      <w:r w:rsidR="004C40AD" w:rsidRPr="004C40AD">
        <w:t>В 2023 году были утверждены «Правила организации инклюзивного образования». Согласно правилам, период участия детей с ограниченными возможностями здоровья в классных, групповых и индивидуальных занятиях определяется индивидуальным учебным планом, утверждаемым руководителем учреждения, с учетом возможностей их здоровья. Учреждение гарантирует, чтоб ребенок с ограниченными возможностями здоровья проводил не менее 50% процесса обучения в классе инклюзивного образования.</w:t>
      </w:r>
    </w:p>
    <w:p w14:paraId="012ABB22" w14:textId="054B8A0D" w:rsidR="004C40AD" w:rsidRPr="004C40AD" w:rsidRDefault="005F1A1D" w:rsidP="005F1A1D">
      <w:pPr>
        <w:pStyle w:val="H23G"/>
      </w:pPr>
      <w:r>
        <w:lastRenderedPageBreak/>
        <w:tab/>
      </w:r>
      <w:r>
        <w:tab/>
      </w:r>
      <w:r w:rsidR="004C40AD" w:rsidRPr="004C40AD">
        <w:t>Поощрение и защита прав мигрантов</w:t>
      </w:r>
    </w:p>
    <w:p w14:paraId="12D98C3D" w14:textId="3AA1C483" w:rsidR="004C40AD" w:rsidRPr="004C40AD" w:rsidRDefault="005F1A1D" w:rsidP="005F1A1D">
      <w:pPr>
        <w:pStyle w:val="SingleTxtG"/>
      </w:pPr>
      <w:r w:rsidRPr="005F1A1D">
        <w:t>174.</w:t>
      </w:r>
      <w:r w:rsidRPr="005F1A1D">
        <w:tab/>
      </w:r>
      <w:r w:rsidR="004C40AD" w:rsidRPr="004C40AD">
        <w:t>В 2018-2022 годы с целью усовершенствования управления миграцией в соответствии с национальными интересами и международными обязательствами Азербайджанской Республики, а также защиты прав и свобод иностранцев и лиц без гражданства на более высоком уровне был принят ряд новых нормативно-правовых актов в сфере миграции, внесены дополнения и изменения в действующие законодательные акты.</w:t>
      </w:r>
    </w:p>
    <w:p w14:paraId="10EC3A91" w14:textId="7AB285D6" w:rsidR="004C40AD" w:rsidRPr="004C40AD" w:rsidRDefault="005F1A1D" w:rsidP="005F1A1D">
      <w:pPr>
        <w:pStyle w:val="SingleTxtG"/>
      </w:pPr>
      <w:r w:rsidRPr="005F1A1D">
        <w:t>175.</w:t>
      </w:r>
      <w:r>
        <w:tab/>
      </w:r>
      <w:r w:rsidR="004C40AD" w:rsidRPr="004C40AD">
        <w:t>Государственной Миграционной Службой (ГМС) в целях реализации миграционной политики в соответствии с ЦУР ООН, с учетом заключений и предложений компетентных государственных структур страны был подготовлен проект «Миграционной Стратегии Азербайджанской Республики». Наряду с другими направлениями, в Стратегии предусмотрена реализация мер по охране прав и свобод иностранцев и обеспечению их интеграции в местные условия, а также мер по развитию системы защиты уязвимых групп.</w:t>
      </w:r>
    </w:p>
    <w:p w14:paraId="093709B7" w14:textId="2C1AF099" w:rsidR="004C40AD" w:rsidRPr="004C40AD" w:rsidRDefault="005F1A1D" w:rsidP="005F1A1D">
      <w:pPr>
        <w:pStyle w:val="SingleTxtG"/>
      </w:pPr>
      <w:r w:rsidRPr="005F1A1D">
        <w:t>176.</w:t>
      </w:r>
      <w:r w:rsidRPr="005F1A1D">
        <w:tab/>
      </w:r>
      <w:r w:rsidR="004C40AD" w:rsidRPr="004C40AD">
        <w:t>Одним из важных шагов, предпринятых в направлении совершенствования механизма реализации прав мигрантов, особенно мигрантов из уязвимой категории, является устранение, при рассмотрении обращений иностранцев для выдачи разрешения на постоянное проживание в Азербайджанской Республике, требования проверки знания их прав и обязанностей, предусмотренных законами Азербайджанской Республики, а также знания государственного языка для детей не достигших 18 лет, иностранцев старше 65 лет или с инвалидностью из-за 81-100-процентного нарушения функций организма.</w:t>
      </w:r>
    </w:p>
    <w:p w14:paraId="018A8492" w14:textId="37279D61" w:rsidR="004C40AD" w:rsidRPr="004C40AD" w:rsidRDefault="005F1A1D" w:rsidP="005F1A1D">
      <w:pPr>
        <w:pStyle w:val="SingleTxtG"/>
      </w:pPr>
      <w:r w:rsidRPr="005F1A1D">
        <w:t>177.</w:t>
      </w:r>
      <w:r w:rsidRPr="005F1A1D">
        <w:tab/>
      </w:r>
      <w:r w:rsidR="004C40AD" w:rsidRPr="004C40AD">
        <w:t>Законом от 2020 года в соответствующую статью Миграционного Кодекса в перечень оснований для выдачи разрешения на временное проживание была добавлена «возможность обращения иностранцев и лиц без гражданства, обучающихся в профессиональных учебных заведениях».</w:t>
      </w:r>
    </w:p>
    <w:p w14:paraId="0B3A8005" w14:textId="0FD769AB" w:rsidR="004C40AD" w:rsidRPr="004C40AD" w:rsidRDefault="005F1A1D" w:rsidP="005F1A1D">
      <w:pPr>
        <w:pStyle w:val="SingleTxtG"/>
      </w:pPr>
      <w:r w:rsidRPr="005F1A1D">
        <w:t>178.</w:t>
      </w:r>
      <w:r w:rsidRPr="005F1A1D">
        <w:tab/>
      </w:r>
      <w:r w:rsidR="004C40AD" w:rsidRPr="004C40AD">
        <w:t>В целях совершенствования системы мониторинга и оценки реализации прав детей, согласно Указу Президента от 2022 года «О создании единой базы данных иностранцев не достигших 18 лет, прибывших без сопровождения на территорию Азербайджанской Республики или оставшихся без сопровождения после прибытия», в Единой миграционной информационной системе ГМС была создана подсистема «Информация о несопровождаемых иностранцах и лицах без гражданства, не достигших 18 лет» и обеспечен доступ к этой подсистеме компетентных государственных органов.</w:t>
      </w:r>
    </w:p>
    <w:p w14:paraId="728932BD" w14:textId="31D0A9E7" w:rsidR="004C40AD" w:rsidRPr="004C40AD" w:rsidRDefault="005F1A1D" w:rsidP="005F1A1D">
      <w:pPr>
        <w:pStyle w:val="SingleTxtG"/>
      </w:pPr>
      <w:r w:rsidRPr="005F1A1D">
        <w:t>179.</w:t>
      </w:r>
      <w:r w:rsidRPr="005F1A1D">
        <w:tab/>
      </w:r>
      <w:r w:rsidR="004C40AD" w:rsidRPr="004C40AD">
        <w:t>В связи с «Глобальным планом действий», принятым в рамках кампании «Конец безгражданству за 10 лет» Управления Верховного Комиссара ООН по Делам Беженцев (УВКБ ООН), в течение 2018-2022 годов была продолжена работа по выявлению и документированию проживающих на территории страны лиц, не имеющих каких-либо документов, удостоверяющих их личность, в том числе лиц, находящихся в ситуации безгражданства.</w:t>
      </w:r>
    </w:p>
    <w:p w14:paraId="1FABCB4B" w14:textId="2D9440B2" w:rsidR="004C40AD" w:rsidRPr="004C40AD" w:rsidRDefault="005F1A1D" w:rsidP="005F1A1D">
      <w:pPr>
        <w:pStyle w:val="SingleTxtG"/>
      </w:pPr>
      <w:r w:rsidRPr="005F1A1D">
        <w:t>180.</w:t>
      </w:r>
      <w:r w:rsidRPr="005F1A1D">
        <w:tab/>
      </w:r>
      <w:r w:rsidR="004C40AD" w:rsidRPr="004C40AD">
        <w:t xml:space="preserve">Ежегодно Министерство науки и образования создает для лиц, имеющих статус беженца выданного УВКБ ООН, и лиц без гражданства возможность обучения в общеобразовательных учреждениях государства. Согласно добровольному обязательству, взятому на себя Азербайджаном, лицам со статусом беженца предоставляется возможность получить высшее образование. В 2020-2021 учебном году этим правом воспользовались 2 человека, в 2021-2022 учебном году </w:t>
      </w:r>
      <w:r w:rsidR="00454D8E" w:rsidRPr="00454D8E">
        <w:t>–</w:t>
      </w:r>
      <w:r w:rsidR="004C40AD" w:rsidRPr="004C40AD">
        <w:t xml:space="preserve"> 1 человек.</w:t>
      </w:r>
    </w:p>
    <w:p w14:paraId="2D18C5E2" w14:textId="5AB9616F" w:rsidR="004C40AD" w:rsidRPr="004C40AD" w:rsidRDefault="005F1A1D" w:rsidP="005F1A1D">
      <w:pPr>
        <w:pStyle w:val="SingleTxtG"/>
      </w:pPr>
      <w:r w:rsidRPr="005F1A1D">
        <w:t>181.</w:t>
      </w:r>
      <w:r w:rsidRPr="005F1A1D">
        <w:tab/>
      </w:r>
      <w:r w:rsidR="004C40AD" w:rsidRPr="004C40AD">
        <w:t>В 2022-2023 учебном году в высших и средних учебных заведениях страны обучается около 8900 иностранцев (из 110 стран) и лиц без гражданства. По сравнению с прошлым учебным годом (7332 человека) этот показатель увеличился на 20%, а по сравнению с 2015-2016 учебным годом (4326 человек) на 103%.</w:t>
      </w:r>
    </w:p>
    <w:p w14:paraId="1431DA04" w14:textId="3B398D98" w:rsidR="004C40AD" w:rsidRPr="004C40AD" w:rsidRDefault="005F1A1D" w:rsidP="005F1A1D">
      <w:pPr>
        <w:pStyle w:val="SingleTxtG"/>
      </w:pPr>
      <w:r w:rsidRPr="005F1A1D">
        <w:t>182.</w:t>
      </w:r>
      <w:r w:rsidRPr="005F1A1D">
        <w:tab/>
      </w:r>
      <w:r w:rsidR="004C40AD" w:rsidRPr="004C40AD">
        <w:t xml:space="preserve">В 2022 году в целях более активного вовлечения мигрантов в миграционное управление страны, повышения эффективности защиты их прав и свобод, качества услуг, оказываемых иностранцам и лицам без гражданства, а также оценки влияния решений, принимаемых в сфере миграции, на повседневную жизнь иностранцев был </w:t>
      </w:r>
      <w:r w:rsidR="004C40AD" w:rsidRPr="004C40AD">
        <w:lastRenderedPageBreak/>
        <w:t>создан состоящий из 8 членов, являющихся гражданами разных стран, Совет мигрантов при ГМС.</w:t>
      </w:r>
    </w:p>
    <w:p w14:paraId="36B9A9C4" w14:textId="1A148BAB" w:rsidR="004C40AD" w:rsidRPr="004C40AD" w:rsidRDefault="005F1A1D" w:rsidP="005F1A1D">
      <w:pPr>
        <w:pStyle w:val="SingleTxtG"/>
      </w:pPr>
      <w:r w:rsidRPr="005F1A1D">
        <w:t>183.</w:t>
      </w:r>
      <w:r w:rsidRPr="005F1A1D">
        <w:tab/>
      </w:r>
      <w:r w:rsidR="004C40AD" w:rsidRPr="004C40AD">
        <w:t>В ежедневной переписке ГМС и в выступлениях сотрудников Службы в отношении иностранцев, нарушивших требования миграционного законодательства страны, используются выражения «незаконный или неурегулированный мигрант». Также термин «нерегулируемая миграция» был использован в подготовленных в последнее время проектах законодательных актов, в том числе в проекте «Миграционной стратегии Азербайджанской Республики». Планируется расширение использования данного термина.</w:t>
      </w:r>
    </w:p>
    <w:p w14:paraId="5A862A49" w14:textId="3EAFE8C5" w:rsidR="004C40AD" w:rsidRPr="004C40AD" w:rsidRDefault="005F1A1D" w:rsidP="005F1A1D">
      <w:pPr>
        <w:pStyle w:val="H23G"/>
      </w:pPr>
      <w:r>
        <w:tab/>
      </w:r>
      <w:r>
        <w:tab/>
      </w:r>
      <w:r w:rsidR="004C40AD" w:rsidRPr="004C40AD">
        <w:t>Беженцы и внутренне перемещенные лица</w:t>
      </w:r>
    </w:p>
    <w:p w14:paraId="715BD3DC" w14:textId="14377BE1" w:rsidR="004C40AD" w:rsidRPr="004C40AD" w:rsidRDefault="005F1A1D" w:rsidP="005F1A1D">
      <w:pPr>
        <w:pStyle w:val="SingleTxtG"/>
      </w:pPr>
      <w:r w:rsidRPr="005F1A1D">
        <w:t>184.</w:t>
      </w:r>
      <w:r>
        <w:tab/>
      </w:r>
      <w:r w:rsidR="004C40AD" w:rsidRPr="004C40AD">
        <w:t>Обращения беженцев и лиц, ищущих убежища в Азербайджанской Республике рассматриваются в соответствии с Законом «О статусе беженцев и вынужденных переселенцев (лиц, перемещенных в пределах страны)», «Порядком рассмотрения ходатайства о предоставлении статуса беженца», утвержденного Указом Президента от 2000 года, а также Конвенцией о статусе беженцев от 1951 года и Протоколом, касающимся статуса беженцев от 1967 года.</w:t>
      </w:r>
    </w:p>
    <w:p w14:paraId="02722E9F" w14:textId="6A82F6C2" w:rsidR="004C40AD" w:rsidRPr="004C40AD" w:rsidRDefault="005F1A1D" w:rsidP="005F1A1D">
      <w:pPr>
        <w:pStyle w:val="SingleTxtG"/>
      </w:pPr>
      <w:r w:rsidRPr="005F1A1D">
        <w:t>185.</w:t>
      </w:r>
      <w:r w:rsidRPr="005F1A1D">
        <w:tab/>
      </w:r>
      <w:r w:rsidR="004C40AD" w:rsidRPr="004C40AD">
        <w:t>Ходатайства о предоставлении убежища всех лиц, ищущих убежища, принимаются независимо от их гражданства, вероисповедания, расы, национальности, принадлежности к социальной группе, и соответствующие решения о них принимаются в рамках требований законодательства.</w:t>
      </w:r>
    </w:p>
    <w:p w14:paraId="6B4C327D" w14:textId="4C26B338" w:rsidR="004C40AD" w:rsidRPr="004C40AD" w:rsidRDefault="005F1A1D" w:rsidP="005F1A1D">
      <w:pPr>
        <w:pStyle w:val="SingleTxtG"/>
      </w:pPr>
      <w:r w:rsidRPr="005F1A1D">
        <w:t>186.</w:t>
      </w:r>
      <w:r w:rsidRPr="005F1A1D">
        <w:tab/>
      </w:r>
      <w:r w:rsidR="004C40AD" w:rsidRPr="004C40AD">
        <w:t>В целях реализации законных трудовых прав беженцев и ищущих убежища лиц, наравне с гражданами страны, обеспечения их занятости, а также улучшения их доступа к легальному рынку труда, Правительство предприняло важные шаги в направлении усовершенствования правовой базы, а также формирования необходимой материально-технической базы. Согласно Миграционному Кодексу «лицам, обратившимся за статусом беженца, получившим статус беженца или получившим политическое убежище», не требуется разрешение на работу для осуществления трудовой деятельности.</w:t>
      </w:r>
    </w:p>
    <w:p w14:paraId="78B1CF36" w14:textId="0E88B3A6" w:rsidR="004C40AD" w:rsidRPr="004C40AD" w:rsidRDefault="005F1A1D" w:rsidP="005F1A1D">
      <w:pPr>
        <w:pStyle w:val="SingleTxtG"/>
      </w:pPr>
      <w:r w:rsidRPr="005F1A1D">
        <w:t>187.</w:t>
      </w:r>
      <w:r w:rsidRPr="005F1A1D">
        <w:tab/>
      </w:r>
      <w:r w:rsidR="004C40AD" w:rsidRPr="004C40AD">
        <w:t>В результате принятых мер беженцы и лица, находящиеся под опекой УВКБ ООН в Азербайджане, получили право на работу на основании соответствующих справок, выданных ГМС. Эти лица могут регистрировать трудовые договоры путём подачи заявления на основании выданного им персонального идентификационного номера и полноценно заниматься трудовой деятельностью. Согласно изменению, внесённому в Закон от 2018 года «О Государственном реестре населения Азербайджанской Республики» сведения об иностранцах, получивших статус беженца в Азербайджанской Республике, были внесены в Государственный реестр населения.</w:t>
      </w:r>
    </w:p>
    <w:p w14:paraId="0BD9A10B" w14:textId="4ED9158F" w:rsidR="004C40AD" w:rsidRPr="004C40AD" w:rsidRDefault="005F1A1D" w:rsidP="005F1A1D">
      <w:pPr>
        <w:pStyle w:val="SingleTxtG"/>
      </w:pPr>
      <w:r w:rsidRPr="005F1A1D">
        <w:t>188.</w:t>
      </w:r>
      <w:r w:rsidRPr="005F1A1D">
        <w:tab/>
      </w:r>
      <w:r w:rsidR="004C40AD" w:rsidRPr="004C40AD">
        <w:t>Согласно Закону «О статусе беженцев и вынужденных переселенцев (лиц, перемещенных в пределах страны)», лицо, незаконно прибывшее в Азербайджанскую Республику из другого государства и как можно скорее обратившееся в соответствующий полномочный орган, освобождается обоснованным решением этого органа от ответственности, предусмотренной законодательством Азербайджанской Республики, также он ни при каких обстоятельствах не может быть направлен или принудительно возвращен в страну, где его жизнь или свобода окажутся под угрозой. Заявления всех въехавших нелегально на территорию страны иностранцев регистрируются наравне с другими, на их имя заводится личное дело и им выдается Временное удостоверение, подтверждающее их законное проживание на территории страны. Такие лица пользуются всеми правами и обязанностями, которыми наделены лица, подавшие заявление о предоставлении статуса беженца. Созданы условия для подавших ходатайство о предоставлении убежища лиц для подачи апелляционного заявления, обладающего приостанавливающим действием. С целью обеспечения права на подачу жалобы иностранцы не выдворяются с территории страны в установленный срок. Срок действия их временных свидетельств с истекшим сроком действия продлевается.</w:t>
      </w:r>
    </w:p>
    <w:p w14:paraId="2C24B0A7" w14:textId="59A2A591" w:rsidR="004C40AD" w:rsidRPr="004C40AD" w:rsidRDefault="005F1A1D" w:rsidP="005F1A1D">
      <w:pPr>
        <w:pStyle w:val="SingleTxtG"/>
      </w:pPr>
      <w:r w:rsidRPr="005F1A1D">
        <w:t>189.</w:t>
      </w:r>
      <w:r w:rsidRPr="005F1A1D">
        <w:tab/>
      </w:r>
      <w:r w:rsidR="004C40AD" w:rsidRPr="004C40AD">
        <w:t xml:space="preserve">Согласно Закону «О социальной защите вынужденных переселенцев и приравненных к ним лиц» от 1999 года, дети вынужденных переселенцев, </w:t>
      </w:r>
      <w:r w:rsidR="004C40AD" w:rsidRPr="004C40AD">
        <w:lastRenderedPageBreak/>
        <w:t>обучающиеся в общеобразовательных школах, обеспечиваются учебниками и школьными принадлежностями в порядке, установленном соответствующим органом исполнительной власти. Образование детей-вынужденных переселенцев организуется в соответствии с действующими законодательными актами страны. Дети-вынужденные переселенцы имеют право на обучение как в любой школе, расположенной на территории их временного проживания, так и в образовательных учреждениях, отвечающих самым современным требованиям, расположенных в поселках и городках, созданных с целью улучшения жилищно-бытовых условий вынужденных переселенцев.</w:t>
      </w:r>
      <w:r w:rsidR="008505EC" w:rsidRPr="008505EC">
        <w:t xml:space="preserve"> </w:t>
      </w:r>
      <w:r w:rsidR="004C40AD" w:rsidRPr="004C40AD">
        <w:t>В течение 2018-2022 годов, государство покрывало расходы на образование в среднем около 12 тысяч студентов со статусом вынужденных переселенцев, поступивших в государственные высшие и средние специальные учебные заведения на платной основе в год, размер которых составил 20 млн. манат.</w:t>
      </w:r>
    </w:p>
    <w:p w14:paraId="238DD7AC" w14:textId="4CEC062D" w:rsidR="004C40AD" w:rsidRPr="004C40AD" w:rsidRDefault="005F1A1D" w:rsidP="005F1A1D">
      <w:pPr>
        <w:pStyle w:val="SingleTxtG"/>
      </w:pPr>
      <w:r w:rsidRPr="005F1A1D">
        <w:t>190.</w:t>
      </w:r>
      <w:r w:rsidRPr="005F1A1D">
        <w:tab/>
      </w:r>
      <w:r w:rsidR="004C40AD" w:rsidRPr="004C40AD">
        <w:t>Подробная информация о проводимой на освобожденных от оккупации территориях Азербайджанской Республики работе приведена в п.23 Приложения.</w:t>
      </w:r>
    </w:p>
    <w:p w14:paraId="4004A4F8" w14:textId="0D8E8E58" w:rsidR="004C40AD" w:rsidRPr="004C40AD" w:rsidRDefault="005F1A1D" w:rsidP="005F1A1D">
      <w:pPr>
        <w:pStyle w:val="HChG"/>
      </w:pPr>
      <w:r>
        <w:tab/>
      </w:r>
      <w:r w:rsidR="004C40AD" w:rsidRPr="004C40AD">
        <w:t>III.</w:t>
      </w:r>
      <w:r>
        <w:tab/>
      </w:r>
      <w:r w:rsidR="004C40AD" w:rsidRPr="004C40AD">
        <w:t>Достижения, виды передовой практики и проблемы</w:t>
      </w:r>
    </w:p>
    <w:p w14:paraId="74CE85C5" w14:textId="388AFEC6" w:rsidR="004C40AD" w:rsidRPr="004C40AD" w:rsidRDefault="008505EC" w:rsidP="005F1A1D">
      <w:pPr>
        <w:pStyle w:val="SingleTxtG"/>
      </w:pPr>
      <w:r w:rsidRPr="008505EC">
        <w:t>191.</w:t>
      </w:r>
      <w:r>
        <w:tab/>
      </w:r>
      <w:r w:rsidR="004C40AD" w:rsidRPr="004C40AD">
        <w:t>Одним из символов инноваций в государственном управлении считается деятельность центров Службы АSAN при Государственном Агентстве по услугам гражданам и социальным инновациям. Служба АSAN, действующая на основе «концепции единого окна» представляет собой централизованную площадку, где комплексным образом гражданам страны предоставляются государственные услуги, охватывающие практически все сферы жизнедеятельности граждан.</w:t>
      </w:r>
    </w:p>
    <w:p w14:paraId="31E8DE5E" w14:textId="68F61894" w:rsidR="004C40AD" w:rsidRPr="004C40AD" w:rsidRDefault="008505EC" w:rsidP="005F1A1D">
      <w:pPr>
        <w:pStyle w:val="SingleTxtG"/>
      </w:pPr>
      <w:r w:rsidRPr="008505EC">
        <w:t>192.</w:t>
      </w:r>
      <w:r w:rsidRPr="008505EC">
        <w:tab/>
      </w:r>
      <w:r w:rsidR="004C40AD" w:rsidRPr="004C40AD">
        <w:t>Подробная информация о достижениях и передовой практике в сфере оказания государственных услуг приведена в п.24 Приложения.</w:t>
      </w:r>
    </w:p>
    <w:p w14:paraId="2F68D125" w14:textId="26ED83EB" w:rsidR="004C40AD" w:rsidRPr="004C40AD" w:rsidRDefault="008505EC" w:rsidP="005F1A1D">
      <w:pPr>
        <w:pStyle w:val="SingleTxtG"/>
      </w:pPr>
      <w:r w:rsidRPr="008505EC">
        <w:t>193.</w:t>
      </w:r>
      <w:r w:rsidRPr="008505EC">
        <w:tab/>
      </w:r>
      <w:r w:rsidR="004C40AD" w:rsidRPr="004C40AD">
        <w:t>В целях достижения более эффективной организации защиты прав человека с учетом международного опыта и современных реалий проводятся последовательные реформы в направлении совершенствования деятельности института Омбудсмана. Для адаптации деятельности Омбудсмана к Парижским принципам и принимая во внимание ряд рекомендаций, выдвинутых Международным координационным комитетом национальных институтов по правам человека и его правопреемником, Подкомитетом по аккредитации Глобального альянса национальных институтов по правам человека (GANHRI) на основании законодательной инициативы Президента</w:t>
      </w:r>
      <w:r w:rsidR="004C40AD" w:rsidRPr="004C40AD" w:rsidDel="00216D5C">
        <w:t xml:space="preserve"> </w:t>
      </w:r>
      <w:r w:rsidR="004C40AD" w:rsidRPr="004C40AD">
        <w:t>Азербайджанской Республики были внесены изменения в Конституционный закон «Об Уполномоченном по правам человека (Омбудсмане) Азербайджанской Республики».</w:t>
      </w:r>
    </w:p>
    <w:p w14:paraId="36C2014D" w14:textId="6008FC21" w:rsidR="004C40AD" w:rsidRPr="004C40AD" w:rsidRDefault="008505EC" w:rsidP="005F1A1D">
      <w:pPr>
        <w:pStyle w:val="SingleTxtG"/>
      </w:pPr>
      <w:r w:rsidRPr="008505EC">
        <w:t>194.</w:t>
      </w:r>
      <w:r w:rsidRPr="008505EC">
        <w:tab/>
      </w:r>
      <w:r w:rsidR="004C40AD" w:rsidRPr="004C40AD">
        <w:t>Одной из главных причин необходимых изменений является снижение статуса института Омбудсмана с «А» до «Б» со стороны GANHRI, поддерживаемый Верховным Комиссариатом ООН по правам человека. Восстановление статуса «А» позволит Омбудсману участвовать в работе ООН и других международных и региональных организаций, а также возобновит право Азербайджана на подачу письменных и устных заявлений на соответствующих сессиях Совета ООН по правам человека.</w:t>
      </w:r>
    </w:p>
    <w:p w14:paraId="0B1A0E1B" w14:textId="66E0064E" w:rsidR="004C40AD" w:rsidRPr="004C40AD" w:rsidRDefault="008505EC" w:rsidP="005F1A1D">
      <w:pPr>
        <w:pStyle w:val="SingleTxtG"/>
      </w:pPr>
      <w:r w:rsidRPr="008505EC">
        <w:t>195.</w:t>
      </w:r>
      <w:r w:rsidRPr="008505EC">
        <w:tab/>
      </w:r>
      <w:r w:rsidR="004C40AD" w:rsidRPr="004C40AD">
        <w:t>Изменения, предусматривающие социальные, финансовые и иные гарантии Омбудсмана с учетом международного опыта, устранят необходимость внесения периодических изменений в Конституционный закон и потребность регулирования возникающих в этой сфере отношений в соответствии с требованиями времени.</w:t>
      </w:r>
    </w:p>
    <w:p w14:paraId="54BC2763" w14:textId="0D978ED7" w:rsidR="004C40AD" w:rsidRPr="004C40AD" w:rsidRDefault="008505EC" w:rsidP="005F1A1D">
      <w:pPr>
        <w:pStyle w:val="SingleTxtG"/>
      </w:pPr>
      <w:r w:rsidRPr="008505EC">
        <w:t>196.</w:t>
      </w:r>
      <w:r w:rsidRPr="008505EC">
        <w:tab/>
      </w:r>
      <w:r w:rsidR="004C40AD" w:rsidRPr="004C40AD">
        <w:t>Азербайджанская Республика и в дальнейшем полна решимости защищать и поощрять на самом высоком уровне права и свободы человека, выполнять международные обязательства, вытекающие из международных договоров, стороной которых она является, тесно сотрудничать с международными организациями, продолжать вносить свой вклад в развитие мультикультурализма.</w:t>
      </w:r>
    </w:p>
    <w:p w14:paraId="191BD516" w14:textId="213EF1B2" w:rsidR="004C40AD" w:rsidRPr="004C40AD" w:rsidRDefault="008505EC" w:rsidP="005F1A1D">
      <w:pPr>
        <w:pStyle w:val="SingleTxtG"/>
      </w:pPr>
      <w:r w:rsidRPr="008505EC">
        <w:t>197.</w:t>
      </w:r>
      <w:r w:rsidRPr="008505EC">
        <w:tab/>
      </w:r>
      <w:r w:rsidR="004C40AD" w:rsidRPr="004C40AD">
        <w:t xml:space="preserve">В качестве проблем, с которыми страна сталкивалась на протяжении 30 лет в первую очередь следует отметить вооруженную агрессию Армении против </w:t>
      </w:r>
      <w:r w:rsidR="004C40AD" w:rsidRPr="004C40AD">
        <w:lastRenderedPageBreak/>
        <w:t>Азербайджана. В конце 1991-в начале 1992 года Армения развязала против Азербайджана полномасштабную войну. В результате агрессии Армении было оккупировано около 20% территории Азербайджана, были совершены серьезные нарушения международного гуманитарного права, включая военные преступления, преступления против человечности и акты геноцида, что привело к гибели десятков тысяч людей, этнической чистке на всех захваченных районах, где проживало более 700 000 азербайджанцев, а также к разрушению и разграблению сотен городов, поселков и сел Азербайджана, а также его культурного и религиозного наследия. Армянская сторона широко применяла внесудебные казни и массовые расстрелы, наказания, пытки и другие виды жестокого и бесчеловечного обращения в отношении мирных граждан Азербайджана, заложников и военнопленных. 3890 граждан всё ещё считается без вести пропавшими.</w:t>
      </w:r>
    </w:p>
    <w:p w14:paraId="01D77FBF" w14:textId="55C028AF" w:rsidR="004C40AD" w:rsidRPr="004C40AD" w:rsidRDefault="008505EC" w:rsidP="005F1A1D">
      <w:pPr>
        <w:pStyle w:val="SingleTxtG"/>
      </w:pPr>
      <w:r w:rsidRPr="008505EC">
        <w:t>198.</w:t>
      </w:r>
      <w:r w:rsidRPr="008505EC">
        <w:tab/>
      </w:r>
      <w:r w:rsidR="004C40AD" w:rsidRPr="004C40AD">
        <w:t>Незаконная деятельность на оккупированных территориях сопровождалась провокациями в политической и военной плоскостях, которые особенно участились за последние годы, предшествующие началу Второй Карабахской войны. Вооруженные провокации приводили к жертвам не только среди военнослужащих, но и мирных жителей. В апреле 2016 года Армения, спровоцировав широкомасштабные боевые действия вдоль линии фронта на территории Азербайджана, совершила убийства 6 мирных граждан Азербайджана, нанесла серьезные разрушения гражданской инфраструктуре, частной и государственной собственности, включая жилым домам, школам и детским садам. 4 июля 2017 года в результате целенаправленной и преднамеренной атаки со стороны вооруженных сил Армении в селе Алханлы Физулинского района Азербайджана были убиты двухлетняя девочка и ее бабушка, одна женщина получила ранения. В июле 2020 года была совершена атака на позиции Азербайджанской Армии на государственной границе между Арменией и Азербайджаном, в результате чего погибли и были ранены десятки военнослужащих, а также убит один мирный житель Азербайджана. В августе 2020 года Армения отправила диверсионно-разведывательную группу в Геранбойский район Азербайджана, которая была обезврежена. Все это свидетельствовало о подготовке новой фазы военной агрессии Армении против Азербайджана.</w:t>
      </w:r>
    </w:p>
    <w:p w14:paraId="68552551" w14:textId="06CAF396" w:rsidR="004C40AD" w:rsidRPr="004C40AD" w:rsidRDefault="008505EC" w:rsidP="005F1A1D">
      <w:pPr>
        <w:pStyle w:val="SingleTxtG"/>
      </w:pPr>
      <w:r w:rsidRPr="008505EC">
        <w:t>199.</w:t>
      </w:r>
      <w:r w:rsidRPr="008505EC">
        <w:tab/>
      </w:r>
      <w:r w:rsidR="004C40AD" w:rsidRPr="004C40AD">
        <w:t>27 сентября 2020 года Армения предприняла очередное широкомасштабное военное наступление против подразделений азербайджанских вооруженных сил, населенных пунктов и гражданской инфраструктуры. В ходе военных действий, крупные города Азербайджана, такие как Гянджа и Барда, были атакованы баллистическими ракетами и кассетными боеприпасами, как с позиции оккупированных территорий, так и с территории самой Армении. В результате прямых и неизбирательных нападений на жилые кварталы были убиты более 101 азербайджанских мирных жителей, в том числе 12 детей. 423 гражданских лица получили ранения. Почти 84 000 человек были вынуждены покинуть свои дома и более 4300 частных домов и многоквартирных зданий, а также 548 других гражданских объектов были либо разрушены, либо серьезно повреждены. Подверглись разрушениям больницы, медпункты, службы скорой помощи, школы, детские сады, религиозные объекты, памятники культуры.</w:t>
      </w:r>
    </w:p>
    <w:p w14:paraId="102DDB77" w14:textId="6EE59A93" w:rsidR="004C40AD" w:rsidRPr="004C40AD" w:rsidRDefault="008505EC" w:rsidP="005F1A1D">
      <w:pPr>
        <w:pStyle w:val="SingleTxtG"/>
      </w:pPr>
      <w:r w:rsidRPr="008505EC">
        <w:t>200.</w:t>
      </w:r>
      <w:r w:rsidRPr="008505EC">
        <w:tab/>
      </w:r>
      <w:r w:rsidR="004C40AD" w:rsidRPr="004C40AD">
        <w:t>В целом, в ходе 30-летней оккупации, сотни культурных учреждений, в том числе около 1000 библиотек, в которых хранились около 4,6 миллиона книг, более 800 объектов культуры, 22 музея и их филиалы с более чем 100 000 артефактов и около 700 памятников истории и культуры, были разрушены, разграблены или присвоены Арменией. Подвергнуты вандализму и религиозные памятники. Из 67 мечетей и исламских религиозных святынь 65 были полностью разрушены, а остальные 2 значительно повреждены и осквернены, их использовали как хлев для содержания свиней и коров. На этих территориях были уничтожены и подверглись вандализму более 900 кладбищ.</w:t>
      </w:r>
    </w:p>
    <w:p w14:paraId="7361126E" w14:textId="582EDB94" w:rsidR="004C40AD" w:rsidRPr="004C40AD" w:rsidRDefault="008505EC" w:rsidP="005F1A1D">
      <w:pPr>
        <w:pStyle w:val="SingleTxtG"/>
      </w:pPr>
      <w:r w:rsidRPr="008505EC">
        <w:t>201.</w:t>
      </w:r>
      <w:r w:rsidRPr="008505EC">
        <w:tab/>
      </w:r>
      <w:r w:rsidR="004C40AD" w:rsidRPr="004C40AD">
        <w:t xml:space="preserve">С целью отражения вооруженной агрессии Армении и обеспечения безопасности своего гражданского населения, Азербайджан в порядке осуществления своего неотъемлемого права на самооборону в соответствии с Уставом ООН провел контрнаступательную операцию, действуя исключительно на своей суверенной земле в рамках международно признанных границ. В результате 44-дневной Отечественной </w:t>
      </w:r>
      <w:r w:rsidR="004C40AD" w:rsidRPr="004C40AD">
        <w:lastRenderedPageBreak/>
        <w:t>войны были освобождены находившиеся долгие годы под оккупацией вооруженных сил Армении более 300 городов, поселков и сел Азербайджана, а Армения была принуждена к миру.</w:t>
      </w:r>
    </w:p>
    <w:p w14:paraId="013A130C" w14:textId="08437C3A" w:rsidR="004C40AD" w:rsidRPr="004C40AD" w:rsidRDefault="008505EC" w:rsidP="005F1A1D">
      <w:pPr>
        <w:pStyle w:val="SingleTxtG"/>
      </w:pPr>
      <w:r w:rsidRPr="008505EC">
        <w:t>202.</w:t>
      </w:r>
      <w:r w:rsidRPr="008505EC">
        <w:tab/>
      </w:r>
      <w:r w:rsidR="004C40AD" w:rsidRPr="004C40AD">
        <w:t>Подписанное 10 ноября 2020 года Заявление Президента Азербайджанской Республики, Премьер-министра Республики Армения и Президента Российской Федерации положило конец длившемуся почти три десятилетия конфликту между Арменией и Азербайджаном. Армения обязалась вывести свои войска с территории Азербайджана и прекратить все военные действия. В Заявление также включен ряд элементов, связанных с поддержанием мира, таких как открытие всех коммуникаций в регионе, беспрепятственное сообщение между основной частью Азербайджана и его Нахчыванской Автономной Республикой, и возвращение внутренне перемещенных лиц. С подписанием Трехстороннего Заявления Азербайджан приступил к процессу постконфликтной реабилитации, реконструкции и реинтеграции внутри страны, а также к постконфликтной нормализации отношений с Арменией на межгосударственном уровне.</w:t>
      </w:r>
    </w:p>
    <w:p w14:paraId="17500F6C" w14:textId="14A305BC" w:rsidR="004C40AD" w:rsidRPr="004C40AD" w:rsidRDefault="008505EC" w:rsidP="005F1A1D">
      <w:pPr>
        <w:pStyle w:val="SingleTxtG"/>
      </w:pPr>
      <w:r w:rsidRPr="008505EC">
        <w:t>203.</w:t>
      </w:r>
      <w:r w:rsidRPr="008505EC">
        <w:tab/>
      </w:r>
      <w:r w:rsidR="004C40AD" w:rsidRPr="004C40AD">
        <w:t>Серьезной проблемой остается очистка освобожденных территорий от мин и неразорвавшихся боеприпасов. Вооруженные силы Армении проводили интенсивное минирование территории Агдамского, Кельбаджарского и Лачинского районов даже после подписания Трехстороннего Заявления, что является грубым нарушением данного документа, предусматривающего, среди прочего, прекращение всех военных действий. В результате чего на освобожденных территориях от взрыва мин продолжают погибать военнослужащие и гражданские лица. В целом, в период с начала военной агрессии Армении в 1990-х годах более трех тысяч человек стали жертвами мин. Среди них имеются более трехсот человек, которые стали жертвами мин в постконфликтный период после подписания Трехстороннего Заявления. Только лишь в период с августа 2022 года по сегодняшний день на территории Азербайджана было обнаружено 3166 противопехотных мин, произведенных в Армении в 2021 году. Эти мины создают насущную гуманитарную угрозу для людей, надеющихся на скорейшее возвращение в свои дома и восстановление нормальной мирной жизни.</w:t>
      </w:r>
    </w:p>
    <w:p w14:paraId="5955FAE3" w14:textId="41260F3C" w:rsidR="004C40AD" w:rsidRPr="004C40AD" w:rsidRDefault="008505EC" w:rsidP="005F1A1D">
      <w:pPr>
        <w:pStyle w:val="SingleTxtG"/>
      </w:pPr>
      <w:r w:rsidRPr="008505EC">
        <w:t>204.</w:t>
      </w:r>
      <w:r w:rsidRPr="008505EC">
        <w:tab/>
      </w:r>
      <w:r w:rsidR="004C40AD" w:rsidRPr="004C40AD">
        <w:t>Особое беспокойство вызывало использование армянской стороной Лачинской дороги в незаконных военных целях, в том числе для ротации состава своих незаконных вооруженных формирований, переброски и установления новых противопехотных мин, а также для перевозки незаконно эксплуатируемых природных ресурсов с территории Азербайджана и незаконного проезда на территорию Азербайджана граждан третьих стран с неблаговидными целями.</w:t>
      </w:r>
    </w:p>
    <w:p w14:paraId="13D035E4" w14:textId="1CBFEBB2" w:rsidR="004C40AD" w:rsidRPr="004C40AD" w:rsidRDefault="008505EC" w:rsidP="005F1A1D">
      <w:pPr>
        <w:pStyle w:val="SingleTxtG"/>
      </w:pPr>
      <w:r w:rsidRPr="008505EC">
        <w:t>205.</w:t>
      </w:r>
      <w:r w:rsidRPr="008505EC">
        <w:tab/>
      </w:r>
      <w:r w:rsidR="004C40AD" w:rsidRPr="004C40AD">
        <w:t>Азербайджан представил Армении проект мирного соглашения и переговорный процесс в этом направлении продолжается. Прямые двусторонние переговоры по различным измерениям межгосударственных отношений между двумя странами являются наилучшим путем для продвижения этого процесса. Он включает в себя три трека – подписание мирного договора; делимитация границы; и открытие региональных коммуникаций.</w:t>
      </w:r>
    </w:p>
    <w:p w14:paraId="169B5C40" w14:textId="651B2835" w:rsidR="004C40AD" w:rsidRDefault="008505EC" w:rsidP="004C40AD">
      <w:pPr>
        <w:pStyle w:val="SingleTxtG"/>
        <w:rPr>
          <w:bCs/>
        </w:rPr>
      </w:pPr>
      <w:r w:rsidRPr="008505EC">
        <w:rPr>
          <w:bCs/>
        </w:rPr>
        <w:t>206.</w:t>
      </w:r>
      <w:r w:rsidRPr="008505EC">
        <w:rPr>
          <w:bCs/>
        </w:rPr>
        <w:tab/>
      </w:r>
      <w:r w:rsidR="004C40AD" w:rsidRPr="004C40AD">
        <w:rPr>
          <w:bCs/>
        </w:rPr>
        <w:t>Армения не выполняет взятые на себя обязательства, закрепленные как Трехсторонним Заявлением от 10 ноября 2020 года, так и в рамках процесса по нормализации отношений. Армения все еще полностью не вывела свои вооруженные силы и незаконные военные формирования с суверенных территорий Азербайджана в соответствии с пунктом 4 Трехстороннего Заявления, что является основной причиной периодической напряженности в регионе.</w:t>
      </w:r>
    </w:p>
    <w:p w14:paraId="5DE255F0" w14:textId="4F07CC7A" w:rsidR="008505EC" w:rsidRPr="008505EC" w:rsidRDefault="008505EC" w:rsidP="008505EC">
      <w:pPr>
        <w:pStyle w:val="SingleTxtG"/>
        <w:spacing w:before="240" w:after="0"/>
        <w:jc w:val="center"/>
        <w:rPr>
          <w:u w:val="single"/>
        </w:rPr>
      </w:pPr>
      <w:r>
        <w:rPr>
          <w:bCs/>
          <w:u w:val="single"/>
        </w:rPr>
        <w:tab/>
      </w:r>
      <w:r>
        <w:rPr>
          <w:bCs/>
          <w:u w:val="single"/>
        </w:rPr>
        <w:tab/>
      </w:r>
      <w:r>
        <w:rPr>
          <w:bCs/>
          <w:u w:val="single"/>
        </w:rPr>
        <w:tab/>
      </w:r>
    </w:p>
    <w:sectPr w:rsidR="008505EC" w:rsidRPr="008505EC" w:rsidSect="000805EC">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5918" w14:textId="77777777" w:rsidR="006E573A" w:rsidRPr="00A312BC" w:rsidRDefault="006E573A" w:rsidP="00A312BC"/>
  </w:endnote>
  <w:endnote w:type="continuationSeparator" w:id="0">
    <w:p w14:paraId="331802CE" w14:textId="77777777" w:rsidR="006E573A" w:rsidRPr="00A312BC" w:rsidRDefault="006E573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0C07" w14:textId="66E1CC82" w:rsidR="004D5964" w:rsidRPr="000805EC" w:rsidRDefault="004D5964">
    <w:pPr>
      <w:pStyle w:val="Footer"/>
    </w:pPr>
    <w:r w:rsidRPr="000805EC">
      <w:rPr>
        <w:b/>
        <w:sz w:val="18"/>
      </w:rPr>
      <w:fldChar w:fldCharType="begin"/>
    </w:r>
    <w:r w:rsidRPr="000805EC">
      <w:rPr>
        <w:b/>
        <w:sz w:val="18"/>
      </w:rPr>
      <w:instrText xml:space="preserve"> PAGE  \* MERGEFORMAT </w:instrText>
    </w:r>
    <w:r w:rsidRPr="000805EC">
      <w:rPr>
        <w:b/>
        <w:sz w:val="18"/>
      </w:rPr>
      <w:fldChar w:fldCharType="separate"/>
    </w:r>
    <w:r w:rsidR="00903C25">
      <w:rPr>
        <w:b/>
        <w:noProof/>
        <w:sz w:val="18"/>
      </w:rPr>
      <w:t>30</w:t>
    </w:r>
    <w:r w:rsidRPr="000805E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06A7" w14:textId="3686670D" w:rsidR="004D5964" w:rsidRPr="000805EC" w:rsidRDefault="004D5964" w:rsidP="000805EC">
    <w:pPr>
      <w:pStyle w:val="Footer"/>
      <w:tabs>
        <w:tab w:val="clear" w:pos="9639"/>
        <w:tab w:val="right" w:pos="9638"/>
      </w:tabs>
      <w:rPr>
        <w:b/>
        <w:sz w:val="18"/>
      </w:rPr>
    </w:pPr>
    <w:r>
      <w:tab/>
    </w:r>
    <w:r w:rsidRPr="000805EC">
      <w:rPr>
        <w:b/>
        <w:sz w:val="18"/>
      </w:rPr>
      <w:fldChar w:fldCharType="begin"/>
    </w:r>
    <w:r w:rsidRPr="000805EC">
      <w:rPr>
        <w:b/>
        <w:sz w:val="18"/>
      </w:rPr>
      <w:instrText xml:space="preserve"> PAGE  \* MERGEFORMAT </w:instrText>
    </w:r>
    <w:r w:rsidRPr="000805EC">
      <w:rPr>
        <w:b/>
        <w:sz w:val="18"/>
      </w:rPr>
      <w:fldChar w:fldCharType="separate"/>
    </w:r>
    <w:r w:rsidR="00903C25">
      <w:rPr>
        <w:b/>
        <w:noProof/>
        <w:sz w:val="18"/>
      </w:rPr>
      <w:t>29</w:t>
    </w:r>
    <w:r w:rsidRPr="000805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D5AD" w14:textId="77777777" w:rsidR="00C82B5D" w:rsidRDefault="00C8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EF05" w14:textId="77777777" w:rsidR="006E573A" w:rsidRPr="001075E9" w:rsidRDefault="006E573A" w:rsidP="001075E9">
      <w:pPr>
        <w:tabs>
          <w:tab w:val="right" w:pos="2155"/>
        </w:tabs>
        <w:spacing w:after="80" w:line="240" w:lineRule="auto"/>
        <w:ind w:left="680"/>
        <w:rPr>
          <w:u w:val="single"/>
        </w:rPr>
      </w:pPr>
      <w:r>
        <w:rPr>
          <w:u w:val="single"/>
        </w:rPr>
        <w:tab/>
      </w:r>
    </w:p>
  </w:footnote>
  <w:footnote w:type="continuationSeparator" w:id="0">
    <w:p w14:paraId="2B3477B1" w14:textId="77777777" w:rsidR="006E573A" w:rsidRDefault="006E573A" w:rsidP="00407B78">
      <w:pPr>
        <w:tabs>
          <w:tab w:val="right" w:pos="2155"/>
        </w:tabs>
        <w:spacing w:after="80"/>
        <w:ind w:left="680"/>
        <w:rPr>
          <w:u w:val="single"/>
        </w:rPr>
      </w:pPr>
      <w:r>
        <w:rPr>
          <w:u w:val="single"/>
        </w:rPr>
        <w:tab/>
      </w:r>
    </w:p>
  </w:footnote>
  <w:footnote w:id="1">
    <w:p w14:paraId="56FF9C6F" w14:textId="77777777" w:rsidR="004D5964" w:rsidRPr="007B2ADC" w:rsidRDefault="004D5964" w:rsidP="000805EC">
      <w:pPr>
        <w:pStyle w:val="FootnoteText"/>
        <w:rPr>
          <w:szCs w:val="18"/>
        </w:rPr>
      </w:pPr>
      <w:r>
        <w:tab/>
      </w:r>
      <w:r w:rsidRPr="00570AD9">
        <w:rPr>
          <w:sz w:val="20"/>
        </w:rPr>
        <w:t>*</w:t>
      </w:r>
      <w: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98A7" w14:textId="11152F38" w:rsidR="004D5964" w:rsidRPr="000805EC" w:rsidRDefault="00C82B5D">
    <w:pPr>
      <w:pStyle w:val="Header"/>
    </w:pPr>
    <w:r>
      <w:rPr>
        <w:noProof/>
      </w:rPr>
      <w:pict w14:anchorId="3777F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77751" o:spid="_x0000_s1026" type="#_x0000_t136" style="position:absolute;margin-left:0;margin-top:0;width:784.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r w:rsidR="004D5964">
      <w:t>A/HRC/WG.6/44/</w:t>
    </w:r>
    <w:r w:rsidR="00B003FF">
      <w:t>AZE</w:t>
    </w:r>
    <w:r w:rsidR="004D5964">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87C6" w14:textId="63596473" w:rsidR="004D5964" w:rsidRPr="000805EC" w:rsidRDefault="00C82B5D" w:rsidP="000805EC">
    <w:pPr>
      <w:pStyle w:val="Header"/>
      <w:jc w:val="right"/>
    </w:pPr>
    <w:r>
      <w:rPr>
        <w:noProof/>
      </w:rPr>
      <w:pict w14:anchorId="2A7B9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77752" o:spid="_x0000_s1027" type="#_x0000_t136" style="position:absolute;left:0;text-align:left;margin-left:0;margin-top:0;width:784.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r w:rsidR="004D5964">
      <w:t>A/HRC/WG.6/44/</w:t>
    </w:r>
    <w:r w:rsidR="00B003FF">
      <w:t>AZE</w:t>
    </w:r>
    <w:r w:rsidR="004D5964">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1CEE" w14:textId="5A5131EC" w:rsidR="004D5964" w:rsidRDefault="00C82B5D" w:rsidP="000805EC">
    <w:pPr>
      <w:pStyle w:val="Header"/>
      <w:pBdr>
        <w:bottom w:val="none" w:sz="0" w:space="0" w:color="auto"/>
      </w:pBdr>
    </w:pPr>
    <w:r>
      <w:rPr>
        <w:noProof/>
      </w:rPr>
      <w:pict w14:anchorId="29B33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77750" o:spid="_x0000_s1025" type="#_x0000_t136" style="position:absolute;margin-left:0;margin-top:0;width:784.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98E58C6"/>
    <w:multiLevelType w:val="hybridMultilevel"/>
    <w:tmpl w:val="F410AE40"/>
    <w:lvl w:ilvl="0" w:tplc="252455FA">
      <w:start w:val="2"/>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F3226E1"/>
    <w:multiLevelType w:val="hybridMultilevel"/>
    <w:tmpl w:val="18643C94"/>
    <w:lvl w:ilvl="0" w:tplc="774C1156">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91DED"/>
    <w:multiLevelType w:val="hybridMultilevel"/>
    <w:tmpl w:val="FE2A3C1A"/>
    <w:lvl w:ilvl="0" w:tplc="0409000F">
      <w:start w:val="1"/>
      <w:numFmt w:val="decimal"/>
      <w:lvlText w:val="%1."/>
      <w:lvlJc w:val="left"/>
      <w:pPr>
        <w:ind w:left="720" w:hanging="360"/>
      </w:pPr>
    </w:lvl>
    <w:lvl w:ilvl="1" w:tplc="0692747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3118343">
    <w:abstractNumId w:val="7"/>
  </w:num>
  <w:num w:numId="2" w16cid:durableId="811097999">
    <w:abstractNumId w:val="4"/>
  </w:num>
  <w:num w:numId="3" w16cid:durableId="328599956">
    <w:abstractNumId w:val="5"/>
  </w:num>
  <w:num w:numId="4" w16cid:durableId="1887374616">
    <w:abstractNumId w:val="0"/>
  </w:num>
  <w:num w:numId="5" w16cid:durableId="1822036732">
    <w:abstractNumId w:val="6"/>
  </w:num>
  <w:num w:numId="6" w16cid:durableId="1378050599">
    <w:abstractNumId w:val="8"/>
  </w:num>
  <w:num w:numId="7" w16cid:durableId="794983867">
    <w:abstractNumId w:val="3"/>
  </w:num>
  <w:num w:numId="8" w16cid:durableId="1379209076">
    <w:abstractNumId w:val="1"/>
  </w:num>
  <w:num w:numId="9" w16cid:durableId="21092254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E0"/>
    <w:rsid w:val="000073A2"/>
    <w:rsid w:val="00033EE1"/>
    <w:rsid w:val="00040272"/>
    <w:rsid w:val="00041EA6"/>
    <w:rsid w:val="00042B72"/>
    <w:rsid w:val="000558BD"/>
    <w:rsid w:val="00055C52"/>
    <w:rsid w:val="0007217C"/>
    <w:rsid w:val="000805EC"/>
    <w:rsid w:val="000842B4"/>
    <w:rsid w:val="00091CDE"/>
    <w:rsid w:val="000B57E7"/>
    <w:rsid w:val="000B6373"/>
    <w:rsid w:val="000C35C4"/>
    <w:rsid w:val="000F09DF"/>
    <w:rsid w:val="000F61B2"/>
    <w:rsid w:val="001075E9"/>
    <w:rsid w:val="00114D80"/>
    <w:rsid w:val="001217EF"/>
    <w:rsid w:val="0012691B"/>
    <w:rsid w:val="00180183"/>
    <w:rsid w:val="0018024D"/>
    <w:rsid w:val="0018649F"/>
    <w:rsid w:val="00196389"/>
    <w:rsid w:val="001B3EF6"/>
    <w:rsid w:val="001C7A89"/>
    <w:rsid w:val="001E6012"/>
    <w:rsid w:val="0020590A"/>
    <w:rsid w:val="00233B5D"/>
    <w:rsid w:val="002501D7"/>
    <w:rsid w:val="00251CFD"/>
    <w:rsid w:val="0025583C"/>
    <w:rsid w:val="00267CF1"/>
    <w:rsid w:val="00272A35"/>
    <w:rsid w:val="002951ED"/>
    <w:rsid w:val="002A2EFC"/>
    <w:rsid w:val="002C0E18"/>
    <w:rsid w:val="002D5AAC"/>
    <w:rsid w:val="002E5067"/>
    <w:rsid w:val="002F405F"/>
    <w:rsid w:val="002F7EEC"/>
    <w:rsid w:val="00301299"/>
    <w:rsid w:val="00305C08"/>
    <w:rsid w:val="00307FB6"/>
    <w:rsid w:val="00312B45"/>
    <w:rsid w:val="00316C97"/>
    <w:rsid w:val="00317339"/>
    <w:rsid w:val="00322004"/>
    <w:rsid w:val="003334ED"/>
    <w:rsid w:val="003402C2"/>
    <w:rsid w:val="00345D38"/>
    <w:rsid w:val="00365C84"/>
    <w:rsid w:val="00381C24"/>
    <w:rsid w:val="00391694"/>
    <w:rsid w:val="003958D0"/>
    <w:rsid w:val="003B00E5"/>
    <w:rsid w:val="003B3FBC"/>
    <w:rsid w:val="003F3C6A"/>
    <w:rsid w:val="00407B78"/>
    <w:rsid w:val="00424203"/>
    <w:rsid w:val="00452493"/>
    <w:rsid w:val="00454D8E"/>
    <w:rsid w:val="00454E07"/>
    <w:rsid w:val="004554F5"/>
    <w:rsid w:val="00472C5C"/>
    <w:rsid w:val="00484B62"/>
    <w:rsid w:val="00493AD6"/>
    <w:rsid w:val="00493B8F"/>
    <w:rsid w:val="00496DAF"/>
    <w:rsid w:val="004B0030"/>
    <w:rsid w:val="004B3C1D"/>
    <w:rsid w:val="004C40AD"/>
    <w:rsid w:val="004D37E7"/>
    <w:rsid w:val="004D5964"/>
    <w:rsid w:val="004F26E1"/>
    <w:rsid w:val="0050108D"/>
    <w:rsid w:val="00513081"/>
    <w:rsid w:val="005133D3"/>
    <w:rsid w:val="00517901"/>
    <w:rsid w:val="00526683"/>
    <w:rsid w:val="0054169F"/>
    <w:rsid w:val="00541726"/>
    <w:rsid w:val="00550C4B"/>
    <w:rsid w:val="00552336"/>
    <w:rsid w:val="005709E0"/>
    <w:rsid w:val="00570AD9"/>
    <w:rsid w:val="00572E19"/>
    <w:rsid w:val="005961C8"/>
    <w:rsid w:val="005B40E2"/>
    <w:rsid w:val="005D7914"/>
    <w:rsid w:val="005E2B41"/>
    <w:rsid w:val="005E48E9"/>
    <w:rsid w:val="005F0B42"/>
    <w:rsid w:val="005F1A1D"/>
    <w:rsid w:val="0061726D"/>
    <w:rsid w:val="00634707"/>
    <w:rsid w:val="0064253F"/>
    <w:rsid w:val="006675B4"/>
    <w:rsid w:val="00671000"/>
    <w:rsid w:val="0067435C"/>
    <w:rsid w:val="00681A10"/>
    <w:rsid w:val="00684E6B"/>
    <w:rsid w:val="006A1ED8"/>
    <w:rsid w:val="006B7092"/>
    <w:rsid w:val="006C2031"/>
    <w:rsid w:val="006C6883"/>
    <w:rsid w:val="006D461A"/>
    <w:rsid w:val="006E573A"/>
    <w:rsid w:val="006F0B59"/>
    <w:rsid w:val="006F35EE"/>
    <w:rsid w:val="006F37B2"/>
    <w:rsid w:val="007021FF"/>
    <w:rsid w:val="00705B25"/>
    <w:rsid w:val="00707123"/>
    <w:rsid w:val="00712895"/>
    <w:rsid w:val="007545C9"/>
    <w:rsid w:val="00757357"/>
    <w:rsid w:val="007619EB"/>
    <w:rsid w:val="00763803"/>
    <w:rsid w:val="00780573"/>
    <w:rsid w:val="00782C09"/>
    <w:rsid w:val="007B08F3"/>
    <w:rsid w:val="007B5529"/>
    <w:rsid w:val="007D3BD5"/>
    <w:rsid w:val="007D5A02"/>
    <w:rsid w:val="00825F8D"/>
    <w:rsid w:val="0083155C"/>
    <w:rsid w:val="00834B71"/>
    <w:rsid w:val="008505EC"/>
    <w:rsid w:val="0086445C"/>
    <w:rsid w:val="00865660"/>
    <w:rsid w:val="0088449B"/>
    <w:rsid w:val="008878BF"/>
    <w:rsid w:val="00894693"/>
    <w:rsid w:val="008A08D7"/>
    <w:rsid w:val="008B2EA9"/>
    <w:rsid w:val="008B6909"/>
    <w:rsid w:val="008D261C"/>
    <w:rsid w:val="00902880"/>
    <w:rsid w:val="00902EE3"/>
    <w:rsid w:val="00903C25"/>
    <w:rsid w:val="00905427"/>
    <w:rsid w:val="00906890"/>
    <w:rsid w:val="00911BE4"/>
    <w:rsid w:val="009275CF"/>
    <w:rsid w:val="00936A21"/>
    <w:rsid w:val="00951972"/>
    <w:rsid w:val="009604DF"/>
    <w:rsid w:val="009608F3"/>
    <w:rsid w:val="00961330"/>
    <w:rsid w:val="009675B6"/>
    <w:rsid w:val="00977D96"/>
    <w:rsid w:val="00994272"/>
    <w:rsid w:val="009A24AC"/>
    <w:rsid w:val="009B65CD"/>
    <w:rsid w:val="009C0718"/>
    <w:rsid w:val="00A01942"/>
    <w:rsid w:val="00A10122"/>
    <w:rsid w:val="00A17D02"/>
    <w:rsid w:val="00A17FCB"/>
    <w:rsid w:val="00A312BC"/>
    <w:rsid w:val="00A5469B"/>
    <w:rsid w:val="00A7014C"/>
    <w:rsid w:val="00A720DD"/>
    <w:rsid w:val="00A7521C"/>
    <w:rsid w:val="00A84021"/>
    <w:rsid w:val="00A84D35"/>
    <w:rsid w:val="00A917B3"/>
    <w:rsid w:val="00A951A2"/>
    <w:rsid w:val="00AB4B51"/>
    <w:rsid w:val="00B003FF"/>
    <w:rsid w:val="00B10CC7"/>
    <w:rsid w:val="00B16191"/>
    <w:rsid w:val="00B166F0"/>
    <w:rsid w:val="00B25BD7"/>
    <w:rsid w:val="00B303E0"/>
    <w:rsid w:val="00B5162C"/>
    <w:rsid w:val="00B539E7"/>
    <w:rsid w:val="00B62458"/>
    <w:rsid w:val="00B73FB9"/>
    <w:rsid w:val="00B82BE6"/>
    <w:rsid w:val="00B85C58"/>
    <w:rsid w:val="00BB1133"/>
    <w:rsid w:val="00BB3AF8"/>
    <w:rsid w:val="00BC18B2"/>
    <w:rsid w:val="00BD33EE"/>
    <w:rsid w:val="00BD7152"/>
    <w:rsid w:val="00BE0674"/>
    <w:rsid w:val="00C059BC"/>
    <w:rsid w:val="00C106D6"/>
    <w:rsid w:val="00C32A4C"/>
    <w:rsid w:val="00C60F0C"/>
    <w:rsid w:val="00C805C9"/>
    <w:rsid w:val="00C82B5D"/>
    <w:rsid w:val="00C92939"/>
    <w:rsid w:val="00CA1679"/>
    <w:rsid w:val="00CB0692"/>
    <w:rsid w:val="00CB151C"/>
    <w:rsid w:val="00CB42D0"/>
    <w:rsid w:val="00CE5A1A"/>
    <w:rsid w:val="00CF3907"/>
    <w:rsid w:val="00CF3B59"/>
    <w:rsid w:val="00CF55F6"/>
    <w:rsid w:val="00D27B55"/>
    <w:rsid w:val="00D329CB"/>
    <w:rsid w:val="00D3335C"/>
    <w:rsid w:val="00D33D63"/>
    <w:rsid w:val="00D90028"/>
    <w:rsid w:val="00D90138"/>
    <w:rsid w:val="00DB2CE5"/>
    <w:rsid w:val="00DC2121"/>
    <w:rsid w:val="00DD2C82"/>
    <w:rsid w:val="00DD6FD3"/>
    <w:rsid w:val="00DD78D1"/>
    <w:rsid w:val="00DF71B9"/>
    <w:rsid w:val="00E30BD6"/>
    <w:rsid w:val="00E36918"/>
    <w:rsid w:val="00E37A48"/>
    <w:rsid w:val="00E53F02"/>
    <w:rsid w:val="00E5692B"/>
    <w:rsid w:val="00E65019"/>
    <w:rsid w:val="00E71476"/>
    <w:rsid w:val="00E73F76"/>
    <w:rsid w:val="00E83CA8"/>
    <w:rsid w:val="00E842F5"/>
    <w:rsid w:val="00EA2AAD"/>
    <w:rsid w:val="00EA2C9F"/>
    <w:rsid w:val="00EA420E"/>
    <w:rsid w:val="00EC27E8"/>
    <w:rsid w:val="00EC3F0F"/>
    <w:rsid w:val="00EC7C0E"/>
    <w:rsid w:val="00ED0852"/>
    <w:rsid w:val="00ED0BDA"/>
    <w:rsid w:val="00ED3A00"/>
    <w:rsid w:val="00EF1360"/>
    <w:rsid w:val="00EF3220"/>
    <w:rsid w:val="00F06E76"/>
    <w:rsid w:val="00F24109"/>
    <w:rsid w:val="00F43903"/>
    <w:rsid w:val="00F525BC"/>
    <w:rsid w:val="00F540A0"/>
    <w:rsid w:val="00F66666"/>
    <w:rsid w:val="00F8185C"/>
    <w:rsid w:val="00F94155"/>
    <w:rsid w:val="00F9783F"/>
    <w:rsid w:val="00FB4101"/>
    <w:rsid w:val="00FC7691"/>
    <w:rsid w:val="00FD057A"/>
    <w:rsid w:val="00FD2EF7"/>
    <w:rsid w:val="00FE447E"/>
    <w:rsid w:val="00FF1EC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7E396"/>
  <w15:docId w15:val="{407649A3-9E74-4E87-8D3B-AC8D935E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7E8"/>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BE0674"/>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
    <w:semiHidden/>
    <w:qFormat/>
    <w:rsid w:val="009604DF"/>
    <w:pPr>
      <w:keepNext/>
      <w:outlineLvl w:val="1"/>
    </w:pPr>
    <w:rPr>
      <w:rFonts w:cs="Arial"/>
      <w:bCs/>
      <w:iCs/>
      <w:szCs w:val="28"/>
    </w:rPr>
  </w:style>
  <w:style w:type="paragraph" w:styleId="Heading3">
    <w:name w:val="heading 3"/>
    <w:basedOn w:val="Normal"/>
    <w:next w:val="Normal"/>
    <w:link w:val="Heading3Char"/>
    <w:semiHidden/>
    <w:qFormat/>
    <w:rsid w:val="009604D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qFormat/>
    <w:rsid w:val="009604DF"/>
    <w:pPr>
      <w:keepNext/>
      <w:spacing w:before="240" w:after="60"/>
      <w:outlineLvl w:val="3"/>
    </w:pPr>
    <w:rPr>
      <w:b/>
      <w:bCs/>
      <w:sz w:val="28"/>
      <w:szCs w:val="28"/>
    </w:rPr>
  </w:style>
  <w:style w:type="paragraph" w:styleId="Heading5">
    <w:name w:val="heading 5"/>
    <w:basedOn w:val="Normal"/>
    <w:next w:val="Normal"/>
    <w:link w:val="Heading5Char"/>
    <w:semiHidden/>
    <w:qFormat/>
    <w:rsid w:val="009604DF"/>
    <w:pPr>
      <w:spacing w:before="240" w:after="60"/>
      <w:outlineLvl w:val="4"/>
    </w:pPr>
    <w:rPr>
      <w:b/>
      <w:bCs/>
      <w:i/>
      <w:iCs/>
      <w:sz w:val="26"/>
      <w:szCs w:val="26"/>
    </w:rPr>
  </w:style>
  <w:style w:type="paragraph" w:styleId="Heading6">
    <w:name w:val="heading 6"/>
    <w:basedOn w:val="Normal"/>
    <w:next w:val="Normal"/>
    <w:link w:val="Heading6Char"/>
    <w:semiHidden/>
    <w:qFormat/>
    <w:rsid w:val="009604DF"/>
    <w:pPr>
      <w:spacing w:before="240" w:after="60"/>
      <w:outlineLvl w:val="5"/>
    </w:pPr>
    <w:rPr>
      <w:b/>
      <w:bCs/>
      <w:sz w:val="22"/>
    </w:rPr>
  </w:style>
  <w:style w:type="paragraph" w:styleId="Heading7">
    <w:name w:val="heading 7"/>
    <w:basedOn w:val="Normal"/>
    <w:next w:val="Normal"/>
    <w:link w:val="Heading7Char"/>
    <w:semiHidden/>
    <w:qFormat/>
    <w:rsid w:val="009604DF"/>
    <w:pPr>
      <w:spacing w:before="240" w:after="60"/>
      <w:outlineLvl w:val="6"/>
    </w:pPr>
    <w:rPr>
      <w:sz w:val="24"/>
      <w:szCs w:val="24"/>
    </w:rPr>
  </w:style>
  <w:style w:type="paragraph" w:styleId="Heading8">
    <w:name w:val="heading 8"/>
    <w:basedOn w:val="Normal"/>
    <w:next w:val="Normal"/>
    <w:link w:val="Heading8Char"/>
    <w:semiHidden/>
    <w:qFormat/>
    <w:rsid w:val="009604DF"/>
    <w:pPr>
      <w:spacing w:before="240" w:after="60"/>
      <w:outlineLvl w:val="7"/>
    </w:pPr>
    <w:rPr>
      <w:i/>
      <w:iCs/>
      <w:sz w:val="24"/>
      <w:szCs w:val="24"/>
    </w:rPr>
  </w:style>
  <w:style w:type="paragraph" w:styleId="Heading9">
    <w:name w:val="heading 9"/>
    <w:basedOn w:val="Normal"/>
    <w:next w:val="Normal"/>
    <w:link w:val="Heading9Char"/>
    <w:semiHidden/>
    <w:qFormat/>
    <w:rsid w:val="009604DF"/>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04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21"/>
    <w:rPr>
      <w:rFonts w:ascii="Tahoma" w:eastAsiaTheme="minorHAnsi" w:hAnsi="Tahoma" w:cs="Tahoma"/>
      <w:sz w:val="16"/>
      <w:szCs w:val="16"/>
      <w:lang w:val="ru-RU" w:eastAsia="en-US"/>
    </w:rPr>
  </w:style>
  <w:style w:type="paragraph" w:customStyle="1" w:styleId="HMG">
    <w:name w:val="_ H __M_G"/>
    <w:basedOn w:val="Normal"/>
    <w:next w:val="Normal"/>
    <w:qFormat/>
    <w:rsid w:val="00BE0674"/>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BE0674"/>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BE0674"/>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BE0674"/>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BE0674"/>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BE0674"/>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qFormat/>
    <w:rsid w:val="00DC212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BE0674"/>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BE0674"/>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DC2121"/>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BE0674"/>
    <w:rPr>
      <w:b/>
      <w:sz w:val="18"/>
      <w:lang w:val="en-GB" w:eastAsia="ru-RU"/>
    </w:rPr>
  </w:style>
  <w:style w:type="character" w:styleId="PageNumber">
    <w:name w:val="page number"/>
    <w:aliases w:val="7_G"/>
    <w:basedOn w:val="DefaultParagraphFont"/>
    <w:qFormat/>
    <w:rsid w:val="00BE0674"/>
    <w:rPr>
      <w:rFonts w:ascii="Times New Roman" w:hAnsi="Times New Roman"/>
      <w:b/>
      <w:sz w:val="18"/>
    </w:rPr>
  </w:style>
  <w:style w:type="paragraph" w:styleId="Footer">
    <w:name w:val="footer"/>
    <w:aliases w:val="3_G"/>
    <w:basedOn w:val="Normal"/>
    <w:link w:val="FooterChar"/>
    <w:qFormat/>
    <w:rsid w:val="00BE0674"/>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BE0674"/>
    <w:rPr>
      <w:sz w:val="16"/>
      <w:lang w:val="en-GB" w:eastAsia="ru-RU"/>
    </w:rPr>
  </w:style>
  <w:style w:type="character" w:styleId="FootnoteReference">
    <w:name w:val="footnote reference"/>
    <w:aliases w:val="4_G,ftref,BVI fnr,Footnote text,Ref. de nota al pie1,Times 10 Point, Exposant 3 Point,Footnote symbol,Footnote reference number,Exposant 3 Point,EN Footnote Reference,note TESI,16 Point,Superscript 6 Point,(NECG) Footnote Reference"/>
    <w:basedOn w:val="DefaultParagraphFont"/>
    <w:link w:val="BVIfnrCarCar"/>
    <w:qFormat/>
    <w:rsid w:val="00BE0674"/>
    <w:rPr>
      <w:rFonts w:ascii="Times New Roman" w:hAnsi="Times New Roman"/>
      <w:dstrike w:val="0"/>
      <w:sz w:val="18"/>
      <w:vertAlign w:val="superscript"/>
    </w:rPr>
  </w:style>
  <w:style w:type="character" w:styleId="EndnoteReference">
    <w:name w:val="endnote reference"/>
    <w:aliases w:val="1_G"/>
    <w:basedOn w:val="FootnoteReference"/>
    <w:qFormat/>
    <w:rsid w:val="00BE0674"/>
    <w:rPr>
      <w:rFonts w:ascii="Times New Roman" w:hAnsi="Times New Roman"/>
      <w:dstrike w:val="0"/>
      <w:sz w:val="18"/>
      <w:vertAlign w:val="superscript"/>
    </w:rPr>
  </w:style>
  <w:style w:type="table" w:styleId="TableGrid">
    <w:name w:val="Table Grid"/>
    <w:basedOn w:val="TableNormal"/>
    <w:rsid w:val="00EC27E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BE0674"/>
    <w:rPr>
      <w:sz w:val="18"/>
      <w:lang w:val="ru-RU" w:eastAsia="ru-RU"/>
    </w:rPr>
  </w:style>
  <w:style w:type="paragraph" w:styleId="EndnoteText">
    <w:name w:val="endnote text"/>
    <w:aliases w:val="2_G"/>
    <w:basedOn w:val="FootnoteText"/>
    <w:link w:val="EndnoteTextChar"/>
    <w:qFormat/>
    <w:rsid w:val="00BE0674"/>
  </w:style>
  <w:style w:type="character" w:customStyle="1" w:styleId="EndnoteTextChar">
    <w:name w:val="Endnote Text Char"/>
    <w:aliases w:val="2_G Char"/>
    <w:basedOn w:val="DefaultParagraphFont"/>
    <w:link w:val="EndnoteText"/>
    <w:rsid w:val="00BE0674"/>
    <w:rPr>
      <w:sz w:val="18"/>
      <w:lang w:val="ru-RU" w:eastAsia="ru-RU"/>
    </w:rPr>
  </w:style>
  <w:style w:type="character" w:customStyle="1" w:styleId="Heading1Char">
    <w:name w:val="Heading 1 Char"/>
    <w:aliases w:val="Table_G Char"/>
    <w:basedOn w:val="DefaultParagraphFont"/>
    <w:link w:val="Heading1"/>
    <w:rsid w:val="00BE0674"/>
    <w:rPr>
      <w:rFonts w:cs="Arial"/>
      <w:b/>
      <w:bCs/>
      <w:szCs w:val="32"/>
      <w:lang w:val="ru-RU" w:eastAsia="ru-RU"/>
    </w:rPr>
  </w:style>
  <w:style w:type="character" w:styleId="Hyperlink">
    <w:name w:val="Hyperlink"/>
    <w:basedOn w:val="DefaultParagraphFont"/>
    <w:uiPriority w:val="99"/>
    <w:rsid w:val="00BE0674"/>
    <w:rPr>
      <w:color w:val="0000FF" w:themeColor="hyperlink"/>
      <w:u w:val="none"/>
    </w:rPr>
  </w:style>
  <w:style w:type="character" w:styleId="FollowedHyperlink">
    <w:name w:val="FollowedHyperlink"/>
    <w:basedOn w:val="DefaultParagraphFont"/>
    <w:rsid w:val="00BE0674"/>
    <w:rPr>
      <w:color w:val="800080" w:themeColor="followedHyperlink"/>
      <w:u w:val="none"/>
    </w:rPr>
  </w:style>
  <w:style w:type="character" w:customStyle="1" w:styleId="Heading2Char">
    <w:name w:val="Heading 2 Char"/>
    <w:basedOn w:val="DefaultParagraphFont"/>
    <w:link w:val="Heading2"/>
    <w:uiPriority w:val="9"/>
    <w:semiHidden/>
    <w:rsid w:val="000805EC"/>
    <w:rPr>
      <w:rFonts w:eastAsiaTheme="minorHAnsi" w:cs="Arial"/>
      <w:bCs/>
      <w:iCs/>
      <w:szCs w:val="28"/>
      <w:lang w:val="ru-RU" w:eastAsia="en-US"/>
    </w:rPr>
  </w:style>
  <w:style w:type="character" w:customStyle="1" w:styleId="Heading3Char">
    <w:name w:val="Heading 3 Char"/>
    <w:basedOn w:val="DefaultParagraphFont"/>
    <w:link w:val="Heading3"/>
    <w:semiHidden/>
    <w:rsid w:val="000805EC"/>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semiHidden/>
    <w:rsid w:val="000805EC"/>
    <w:rPr>
      <w:rFonts w:eastAsiaTheme="minorHAnsi" w:cstheme="minorBidi"/>
      <w:b/>
      <w:bCs/>
      <w:sz w:val="28"/>
      <w:szCs w:val="28"/>
      <w:lang w:val="ru-RU" w:eastAsia="en-US"/>
    </w:rPr>
  </w:style>
  <w:style w:type="character" w:customStyle="1" w:styleId="Heading5Char">
    <w:name w:val="Heading 5 Char"/>
    <w:basedOn w:val="DefaultParagraphFont"/>
    <w:link w:val="Heading5"/>
    <w:semiHidden/>
    <w:rsid w:val="000805EC"/>
    <w:rPr>
      <w:rFonts w:eastAsiaTheme="minorHAnsi" w:cstheme="minorBidi"/>
      <w:b/>
      <w:bCs/>
      <w:i/>
      <w:iCs/>
      <w:sz w:val="26"/>
      <w:szCs w:val="26"/>
      <w:lang w:val="ru-RU" w:eastAsia="en-US"/>
    </w:rPr>
  </w:style>
  <w:style w:type="character" w:customStyle="1" w:styleId="Heading6Char">
    <w:name w:val="Heading 6 Char"/>
    <w:basedOn w:val="DefaultParagraphFont"/>
    <w:link w:val="Heading6"/>
    <w:semiHidden/>
    <w:rsid w:val="000805EC"/>
    <w:rPr>
      <w:rFonts w:eastAsiaTheme="minorHAnsi" w:cstheme="minorBidi"/>
      <w:b/>
      <w:bCs/>
      <w:sz w:val="22"/>
      <w:szCs w:val="22"/>
      <w:lang w:val="ru-RU" w:eastAsia="en-US"/>
    </w:rPr>
  </w:style>
  <w:style w:type="character" w:customStyle="1" w:styleId="Heading7Char">
    <w:name w:val="Heading 7 Char"/>
    <w:basedOn w:val="DefaultParagraphFont"/>
    <w:link w:val="Heading7"/>
    <w:semiHidden/>
    <w:rsid w:val="000805EC"/>
    <w:rPr>
      <w:rFonts w:eastAsiaTheme="minorHAnsi" w:cstheme="minorBidi"/>
      <w:sz w:val="24"/>
      <w:szCs w:val="24"/>
      <w:lang w:val="ru-RU" w:eastAsia="en-US"/>
    </w:rPr>
  </w:style>
  <w:style w:type="character" w:customStyle="1" w:styleId="Heading8Char">
    <w:name w:val="Heading 8 Char"/>
    <w:basedOn w:val="DefaultParagraphFont"/>
    <w:link w:val="Heading8"/>
    <w:semiHidden/>
    <w:rsid w:val="000805EC"/>
    <w:rPr>
      <w:rFonts w:eastAsiaTheme="minorHAnsi" w:cstheme="minorBidi"/>
      <w:i/>
      <w:iCs/>
      <w:sz w:val="24"/>
      <w:szCs w:val="24"/>
      <w:lang w:val="ru-RU" w:eastAsia="en-US"/>
    </w:rPr>
  </w:style>
  <w:style w:type="character" w:customStyle="1" w:styleId="Heading9Char">
    <w:name w:val="Heading 9 Char"/>
    <w:basedOn w:val="DefaultParagraphFont"/>
    <w:link w:val="Heading9"/>
    <w:semiHidden/>
    <w:rsid w:val="000805EC"/>
    <w:rPr>
      <w:rFonts w:ascii="Arial" w:eastAsiaTheme="minorHAnsi" w:hAnsi="Arial" w:cs="Arial"/>
      <w:sz w:val="22"/>
      <w:szCs w:val="22"/>
      <w:lang w:val="ru-RU" w:eastAsia="en-US"/>
    </w:rPr>
  </w:style>
  <w:style w:type="paragraph" w:customStyle="1" w:styleId="ParNoG">
    <w:name w:val="_ParNo_G"/>
    <w:basedOn w:val="SingleTxtG"/>
    <w:qFormat/>
    <w:rsid w:val="000805EC"/>
    <w:pPr>
      <w:numPr>
        <w:numId w:val="4"/>
      </w:numPr>
      <w:tabs>
        <w:tab w:val="clear" w:pos="2268"/>
        <w:tab w:val="clear" w:pos="2835"/>
      </w:tabs>
      <w:kinsoku w:val="0"/>
      <w:overflowPunct w:val="0"/>
      <w:autoSpaceDE w:val="0"/>
      <w:autoSpaceDN w:val="0"/>
      <w:adjustRightInd w:val="0"/>
      <w:snapToGrid w:val="0"/>
    </w:pPr>
    <w:rPr>
      <w:lang w:val="en-GB"/>
    </w:rPr>
  </w:style>
  <w:style w:type="character" w:customStyle="1" w:styleId="UnresolvedMention1">
    <w:name w:val="Unresolved Mention1"/>
    <w:basedOn w:val="DefaultParagraphFont"/>
    <w:uiPriority w:val="99"/>
    <w:semiHidden/>
    <w:unhideWhenUsed/>
    <w:rsid w:val="000805EC"/>
    <w:rPr>
      <w:color w:val="605E5C"/>
      <w:shd w:val="clear" w:color="auto" w:fill="E1DFDD"/>
    </w:rPr>
  </w:style>
  <w:style w:type="paragraph" w:styleId="Revision">
    <w:name w:val="Revision"/>
    <w:hidden/>
    <w:uiPriority w:val="99"/>
    <w:semiHidden/>
    <w:rsid w:val="000805EC"/>
    <w:rPr>
      <w:lang w:val="en-GB" w:eastAsia="en-US"/>
    </w:rPr>
  </w:style>
  <w:style w:type="character" w:styleId="CommentReference">
    <w:name w:val="annotation reference"/>
    <w:basedOn w:val="DefaultParagraphFont"/>
    <w:uiPriority w:val="99"/>
    <w:semiHidden/>
    <w:unhideWhenUsed/>
    <w:rsid w:val="000805EC"/>
    <w:rPr>
      <w:sz w:val="16"/>
      <w:szCs w:val="16"/>
    </w:rPr>
  </w:style>
  <w:style w:type="paragraph" w:styleId="CommentText">
    <w:name w:val="annotation text"/>
    <w:basedOn w:val="Normal"/>
    <w:link w:val="CommentTextChar"/>
    <w:uiPriority w:val="99"/>
    <w:unhideWhenUsed/>
    <w:rsid w:val="000805EC"/>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uiPriority w:val="99"/>
    <w:rsid w:val="000805EC"/>
    <w:rPr>
      <w:lang w:val="en-GB" w:eastAsia="en-US"/>
    </w:rPr>
  </w:style>
  <w:style w:type="paragraph" w:styleId="CommentSubject">
    <w:name w:val="annotation subject"/>
    <w:basedOn w:val="CommentText"/>
    <w:next w:val="CommentText"/>
    <w:link w:val="CommentSubjectChar"/>
    <w:uiPriority w:val="99"/>
    <w:semiHidden/>
    <w:unhideWhenUsed/>
    <w:rsid w:val="000805EC"/>
    <w:rPr>
      <w:b/>
      <w:bCs/>
    </w:rPr>
  </w:style>
  <w:style w:type="character" w:customStyle="1" w:styleId="CommentSubjectChar">
    <w:name w:val="Comment Subject Char"/>
    <w:basedOn w:val="CommentTextChar"/>
    <w:link w:val="CommentSubject"/>
    <w:uiPriority w:val="99"/>
    <w:semiHidden/>
    <w:rsid w:val="000805EC"/>
    <w:rPr>
      <w:b/>
      <w:bCs/>
      <w:lang w:val="en-GB" w:eastAsia="en-US"/>
    </w:rPr>
  </w:style>
  <w:style w:type="numbering" w:customStyle="1" w:styleId="1">
    <w:name w:val="Нет списка1"/>
    <w:next w:val="NoList"/>
    <w:uiPriority w:val="99"/>
    <w:semiHidden/>
    <w:unhideWhenUsed/>
    <w:rsid w:val="00CF3B59"/>
  </w:style>
  <w:style w:type="numbering" w:styleId="111111">
    <w:name w:val="Outline List 2"/>
    <w:basedOn w:val="NoList"/>
    <w:semiHidden/>
    <w:rsid w:val="00CF3B59"/>
    <w:pPr>
      <w:numPr>
        <w:numId w:val="5"/>
      </w:numPr>
    </w:pPr>
  </w:style>
  <w:style w:type="numbering" w:styleId="1ai">
    <w:name w:val="Outline List 1"/>
    <w:basedOn w:val="NoList"/>
    <w:semiHidden/>
    <w:rsid w:val="00CF3B59"/>
    <w:pPr>
      <w:numPr>
        <w:numId w:val="6"/>
      </w:numPr>
    </w:pPr>
  </w:style>
  <w:style w:type="character" w:styleId="BookTitle">
    <w:name w:val="Book Title"/>
    <w:basedOn w:val="DefaultParagraphFont"/>
    <w:uiPriority w:val="33"/>
    <w:rsid w:val="00CF3B59"/>
    <w:rPr>
      <w:b/>
      <w:bCs/>
      <w:smallCaps/>
      <w:spacing w:val="5"/>
    </w:rPr>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CF3B59"/>
    <w:pPr>
      <w:ind w:left="720"/>
      <w:contextualSpacing/>
    </w:pPr>
    <w:rPr>
      <w:rFonts w:eastAsiaTheme="minorEastAsia" w:cs="Times New Roman"/>
      <w:szCs w:val="20"/>
      <w:lang w:val="en-GB"/>
    </w:rPr>
  </w:style>
  <w:style w:type="character" w:customStyle="1" w:styleId="csd4c7bd78">
    <w:name w:val="csd4c7bd78"/>
    <w:basedOn w:val="DefaultParagraphFont"/>
    <w:rsid w:val="00CF3B59"/>
  </w:style>
  <w:style w:type="paragraph" w:styleId="TOCHeading">
    <w:name w:val="TOC Heading"/>
    <w:basedOn w:val="Heading1"/>
    <w:next w:val="Normal"/>
    <w:uiPriority w:val="39"/>
    <w:unhideWhenUsed/>
    <w:qFormat/>
    <w:rsid w:val="00CF3B59"/>
    <w:pPr>
      <w:keepLines/>
      <w:tabs>
        <w:tab w:val="clear" w:pos="567"/>
      </w:tab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lang w:val="en-US" w:eastAsia="en-US"/>
    </w:rPr>
  </w:style>
  <w:style w:type="paragraph" w:styleId="TOC1">
    <w:name w:val="toc 1"/>
    <w:basedOn w:val="Normal"/>
    <w:next w:val="Normal"/>
    <w:autoRedefine/>
    <w:uiPriority w:val="39"/>
    <w:unhideWhenUsed/>
    <w:rsid w:val="00CF3B59"/>
    <w:pPr>
      <w:kinsoku w:val="0"/>
      <w:overflowPunct w:val="0"/>
      <w:autoSpaceDE w:val="0"/>
      <w:autoSpaceDN w:val="0"/>
      <w:adjustRightInd w:val="0"/>
      <w:snapToGrid w:val="0"/>
      <w:spacing w:after="100"/>
    </w:pPr>
    <w:rPr>
      <w:rFonts w:cs="Times New Roman"/>
      <w:szCs w:val="20"/>
      <w:lang w:val="en-GB"/>
    </w:rPr>
  </w:style>
  <w:style w:type="paragraph" w:styleId="TOC2">
    <w:name w:val="toc 2"/>
    <w:basedOn w:val="Normal"/>
    <w:next w:val="Normal"/>
    <w:autoRedefine/>
    <w:uiPriority w:val="39"/>
    <w:unhideWhenUsed/>
    <w:rsid w:val="00CF3B59"/>
    <w:pPr>
      <w:kinsoku w:val="0"/>
      <w:overflowPunct w:val="0"/>
      <w:autoSpaceDE w:val="0"/>
      <w:autoSpaceDN w:val="0"/>
      <w:adjustRightInd w:val="0"/>
      <w:snapToGrid w:val="0"/>
      <w:spacing w:after="100"/>
      <w:ind w:left="200"/>
    </w:pPr>
    <w:rPr>
      <w:rFonts w:cs="Times New Roman"/>
      <w:szCs w:val="20"/>
      <w:lang w:val="en-GB"/>
    </w:rPr>
  </w:style>
  <w:style w:type="paragraph" w:styleId="TOC3">
    <w:name w:val="toc 3"/>
    <w:basedOn w:val="Normal"/>
    <w:next w:val="Normal"/>
    <w:autoRedefine/>
    <w:uiPriority w:val="39"/>
    <w:unhideWhenUsed/>
    <w:rsid w:val="00CF3B59"/>
    <w:pPr>
      <w:kinsoku w:val="0"/>
      <w:overflowPunct w:val="0"/>
      <w:autoSpaceDE w:val="0"/>
      <w:autoSpaceDN w:val="0"/>
      <w:adjustRightInd w:val="0"/>
      <w:snapToGrid w:val="0"/>
      <w:spacing w:after="100"/>
      <w:ind w:left="400"/>
    </w:pPr>
    <w:rPr>
      <w:rFonts w:cs="Times New Roman"/>
      <w:szCs w:val="20"/>
      <w:lang w:val="en-GB"/>
    </w:rPr>
  </w:style>
  <w:style w:type="paragraph" w:customStyle="1" w:styleId="Default">
    <w:name w:val="Default"/>
    <w:rsid w:val="00CF3B59"/>
    <w:pPr>
      <w:autoSpaceDE w:val="0"/>
      <w:autoSpaceDN w:val="0"/>
      <w:adjustRightInd w:val="0"/>
    </w:pPr>
    <w:rPr>
      <w:rFonts w:eastAsiaTheme="minorHAnsi"/>
      <w:color w:val="000000"/>
      <w:sz w:val="24"/>
      <w:szCs w:val="24"/>
      <w:lang w:val="ru-RU" w:eastAsia="en-US"/>
    </w:r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link w:val="ListParagraph"/>
    <w:uiPriority w:val="34"/>
    <w:qFormat/>
    <w:locked/>
    <w:rsid w:val="00CF3B59"/>
    <w:rPr>
      <w:rFonts w:eastAsiaTheme="minorEastAsia"/>
      <w:lang w:val="en-GB" w:eastAsia="en-US"/>
    </w:rPr>
  </w:style>
  <w:style w:type="paragraph" w:styleId="NoSpacing">
    <w:name w:val="No Spacing"/>
    <w:link w:val="NoSpacingChar"/>
    <w:uiPriority w:val="1"/>
    <w:qFormat/>
    <w:rsid w:val="00CF3B59"/>
    <w:rPr>
      <w:rFonts w:ascii="Calibri" w:eastAsia="Calibri" w:hAnsi="Calibri"/>
      <w:sz w:val="22"/>
      <w:szCs w:val="22"/>
      <w:lang w:val="ru-RU" w:eastAsia="en-US"/>
    </w:rPr>
  </w:style>
  <w:style w:type="character" w:customStyle="1" w:styleId="NoSpacingChar">
    <w:name w:val="No Spacing Char"/>
    <w:link w:val="NoSpacing"/>
    <w:uiPriority w:val="1"/>
    <w:rsid w:val="00CF3B59"/>
    <w:rPr>
      <w:rFonts w:ascii="Calibri" w:eastAsia="Calibri" w:hAnsi="Calibri"/>
      <w:sz w:val="22"/>
      <w:szCs w:val="22"/>
      <w:lang w:val="ru-RU" w:eastAsia="en-US"/>
    </w:rPr>
  </w:style>
  <w:style w:type="character" w:customStyle="1" w:styleId="cs3b0a1abe">
    <w:name w:val="cs3b0a1abe"/>
    <w:basedOn w:val="DefaultParagraphFont"/>
    <w:rsid w:val="00CF3B59"/>
  </w:style>
  <w:style w:type="paragraph" w:customStyle="1" w:styleId="cs10b6a95d">
    <w:name w:val="cs10b6a95d"/>
    <w:basedOn w:val="Normal"/>
    <w:rsid w:val="00CF3B59"/>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cse547e71d">
    <w:name w:val="cse547e71d"/>
    <w:basedOn w:val="DefaultParagraphFont"/>
    <w:rsid w:val="00CF3B59"/>
  </w:style>
  <w:style w:type="character" w:styleId="Strong">
    <w:name w:val="Strong"/>
    <w:basedOn w:val="DefaultParagraphFont"/>
    <w:uiPriority w:val="22"/>
    <w:qFormat/>
    <w:rsid w:val="00CF3B59"/>
    <w:rPr>
      <w:rFonts w:ascii="Times New Roman" w:hAnsi="Times New Roman" w:cs="Times New Roman"/>
      <w:b/>
    </w:rPr>
  </w:style>
  <w:style w:type="paragraph" w:styleId="Caption">
    <w:name w:val="caption"/>
    <w:basedOn w:val="Normal"/>
    <w:next w:val="Normal"/>
    <w:uiPriority w:val="35"/>
    <w:unhideWhenUsed/>
    <w:qFormat/>
    <w:rsid w:val="00CF3B59"/>
    <w:pPr>
      <w:suppressAutoHyphens w:val="0"/>
      <w:spacing w:after="200" w:line="240" w:lineRule="auto"/>
    </w:pPr>
    <w:rPr>
      <w:rFonts w:ascii="Calibri" w:eastAsia="Calibri" w:hAnsi="Calibri" w:cs="Calibri"/>
      <w:b/>
      <w:bCs/>
      <w:color w:val="4F81BD" w:themeColor="accent1"/>
      <w:sz w:val="18"/>
      <w:szCs w:val="18"/>
      <w:lang w:val="ru"/>
    </w:rPr>
  </w:style>
  <w:style w:type="paragraph" w:customStyle="1" w:styleId="BVIfnrCarCar">
    <w:name w:val="BVI fnr Car Car"/>
    <w:aliases w:val="BVI fnr Car,BVI fnr Car Car Car Car,BVI fnr Char Char Char Char Char Char Char"/>
    <w:basedOn w:val="Normal"/>
    <w:link w:val="FootnoteReference"/>
    <w:rsid w:val="00CF3B59"/>
    <w:pPr>
      <w:suppressAutoHyphens w:val="0"/>
      <w:spacing w:before="120" w:after="160" w:line="240" w:lineRule="exact"/>
    </w:pPr>
    <w:rPr>
      <w:rFonts w:eastAsia="Times New Roman" w:cs="Times New Roman"/>
      <w:sz w:val="18"/>
      <w:szCs w:val="20"/>
      <w:vertAlign w:val="superscript"/>
      <w:lang w:val="es-ES" w:eastAsia="es-ES"/>
    </w:rPr>
  </w:style>
  <w:style w:type="paragraph" w:styleId="NormalWeb">
    <w:name w:val="Normal (Web)"/>
    <w:basedOn w:val="Normal"/>
    <w:uiPriority w:val="99"/>
    <w:unhideWhenUsed/>
    <w:rsid w:val="00CF3B59"/>
    <w:pPr>
      <w:suppressAutoHyphens w:val="0"/>
      <w:spacing w:before="100" w:beforeAutospacing="1" w:after="100" w:afterAutospacing="1" w:line="240" w:lineRule="auto"/>
    </w:pPr>
    <w:rPr>
      <w:rFonts w:eastAsia="Times New Roman" w:cs="Times New Roman"/>
      <w:sz w:val="24"/>
      <w:szCs w:val="24"/>
      <w:lang w:val="en-US"/>
    </w:rPr>
  </w:style>
  <w:style w:type="character" w:customStyle="1" w:styleId="a">
    <w:name w:val="Основной текст_"/>
    <w:basedOn w:val="DefaultParagraphFont"/>
    <w:link w:val="10"/>
    <w:rsid w:val="00CF3B59"/>
    <w:rPr>
      <w:sz w:val="30"/>
      <w:szCs w:val="30"/>
    </w:rPr>
  </w:style>
  <w:style w:type="paragraph" w:customStyle="1" w:styleId="10">
    <w:name w:val="Основной текст1"/>
    <w:basedOn w:val="Normal"/>
    <w:link w:val="a"/>
    <w:rsid w:val="00CF3B59"/>
    <w:pPr>
      <w:widowControl w:val="0"/>
      <w:suppressAutoHyphens w:val="0"/>
      <w:spacing w:line="257" w:lineRule="auto"/>
      <w:ind w:firstLine="400"/>
    </w:pPr>
    <w:rPr>
      <w:rFonts w:eastAsia="Times New Roman" w:cs="Times New Roman"/>
      <w:sz w:val="30"/>
      <w:szCs w:val="30"/>
      <w:lang w:val="es-ES" w:eastAsia="es-ES"/>
    </w:rPr>
  </w:style>
  <w:style w:type="paragraph" w:customStyle="1" w:styleId="OsnTimes">
    <w:name w:val="Osn &quot;Times&quot;"/>
    <w:uiPriority w:val="99"/>
    <w:rsid w:val="00CF3B59"/>
    <w:pPr>
      <w:autoSpaceDE w:val="0"/>
      <w:autoSpaceDN w:val="0"/>
      <w:adjustRightInd w:val="0"/>
      <w:ind w:firstLine="227"/>
      <w:jc w:val="both"/>
    </w:pPr>
    <w:rPr>
      <w:rFonts w:ascii="Times New Roman CYR" w:hAnsi="Times New Roman CYR" w:cs="Times New Roman CYR"/>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1</TotalTime>
  <Pages>25</Pages>
  <Words>12910</Words>
  <Characters>73587</Characters>
  <Application>Microsoft Office Word</Application>
  <DocSecurity>0</DocSecurity>
  <Lines>613</Lines>
  <Paragraphs>172</Paragraphs>
  <ScaleCrop>false</ScaleCrop>
  <HeadingPairs>
    <vt:vector size="10" baseType="variant">
      <vt:variant>
        <vt:lpstr>Title</vt:lpstr>
      </vt:variant>
      <vt:variant>
        <vt:i4>1</vt:i4>
      </vt:variant>
      <vt:variant>
        <vt:lpstr>Название</vt:lpstr>
      </vt:variant>
      <vt:variant>
        <vt:i4>1</vt:i4>
      </vt:variant>
      <vt:variant>
        <vt:lpstr>Заголовки</vt:lpstr>
      </vt:variant>
      <vt:variant>
        <vt:i4>41</vt:i4>
      </vt:variant>
      <vt:variant>
        <vt:lpstr>Titre</vt:lpstr>
      </vt:variant>
      <vt:variant>
        <vt:i4>1</vt:i4>
      </vt:variant>
      <vt:variant>
        <vt:lpstr>Título</vt:lpstr>
      </vt:variant>
      <vt:variant>
        <vt:i4>1</vt:i4>
      </vt:variant>
    </vt:vector>
  </HeadingPairs>
  <TitlesOfParts>
    <vt:vector size="45" baseType="lpstr">
      <vt:lpstr>A/HRC/WG.6/43/BHS/1</vt:lpstr>
      <vt:lpstr>A/HRC/WG.6/43/BHS/1</vt:lpstr>
      <vt:lpstr>    Национальный доклад, представленный в соответствии с резолюциями Совета по пра</vt:lpstr>
      <vt:lpstr>    Багамские Острова</vt:lpstr>
      <vt:lpstr>    Введение</vt:lpstr>
      <vt:lpstr>    I.		Методология и процесс консультаций</vt:lpstr>
      <vt:lpstr>    II.		События, произошедшие со времени проведения предыдущего обзора</vt:lpstr>
      <vt:lpstr>        Ураган «Дориан»</vt:lpstr>
      <vt:lpstr>        Пандемия COVID-19</vt:lpstr>
      <vt:lpstr>        Снижение уровня преступности</vt:lpstr>
      <vt:lpstr>        Изменение климата и устойчивость к стихийным бедствиям</vt:lpstr>
      <vt:lpstr>        Содействие устойчивому развитию</vt:lpstr>
      <vt:lpstr>        Роль прав человека в законодательстве</vt:lpstr>
      <vt:lpstr>    III.		Поощрение и защита прав человека на Багамских Островах</vt:lpstr>
      <vt:lpstr>        Международные документы по правам человека (Рекомендации 105.3, 105.4, 105.9, </vt:lpstr>
      <vt:lpstr>        Сотрудничество с международными правозащитными механизмами и органами  (Рекоме</vt:lpstr>
      <vt:lpstr>        Национальное законодательство</vt:lpstr>
      <vt:lpstr>        Предлагаемые национальные законы и нормативно-правовые акты  (Рекомендации 105</vt:lpstr>
      <vt:lpstr>        Смягчение последствий изменения климата и адаптация к ним (Рекомендации 105.49</vt:lpstr>
      <vt:lpstr>        Багамский департамент исправительных учреждений (БДИУ) (Рекомендация 105.62)</vt:lpstr>
      <vt:lpstr>        Торговля людьми (ТЛ) (Рекомендации 105.63–69, 105.71)</vt:lpstr>
      <vt:lpstr>        Гражданское общество (Рекомендация 105.73)</vt:lpstr>
      <vt:lpstr>        Свобода информации (СИ) (Рекомендация 105.74)</vt:lpstr>
      <vt:lpstr>        Ответственность, транспарентность и эффективность в оказании государственных у</vt:lpstr>
      <vt:lpstr>        Ликвидация нищеты (Рекомендация 105.80)</vt:lpstr>
      <vt:lpstr>        Труд (Рекомендации 105.81, 105.89)</vt:lpstr>
      <vt:lpstr>        Здравоохранение</vt:lpstr>
      <vt:lpstr>        Образование</vt:lpstr>
      <vt:lpstr>        Женщины (Рекомендации 105.91, 105.93, 105.95, 105.98—100, 105.103, 105.104)</vt:lpstr>
      <vt:lpstr>        Дети (Рекомендация 105.110)</vt:lpstr>
      <vt:lpstr>        Лица с инвалидностью (Рекомендации 105.113—121)</vt:lpstr>
      <vt:lpstr>        Миграция (Рекомендации 105.124, 105.126, 105.127, 105.129, 105.130, 105.132)</vt:lpstr>
      <vt:lpstr>        Доступ к правосудию (Рекомендация 105.76)</vt:lpstr>
      <vt:lpstr>        Расизм</vt:lpstr>
      <vt:lpstr>    IV.		Национальные приоритеты и обязательства Багамских Островов</vt:lpstr>
      <vt:lpstr>        Членство в СПЧ и добровольные обязательства </vt:lpstr>
      <vt:lpstr>        Багамский институт сельского хозяйства и морских наук (БИСХМН)</vt:lpstr>
      <vt:lpstr>        Национальное агентство по профессиональной подготовке (НАПП)</vt:lpstr>
      <vt:lpstr>    V.		Трудности и ограничения</vt:lpstr>
      <vt:lpstr>        Ожидания государства</vt:lpstr>
      <vt:lpstr>        Наращивание потенциала</vt:lpstr>
      <vt:lpstr>        Просьбы о технической помощи</vt:lpstr>
      <vt:lpstr>    Вывод</vt:lpstr>
      <vt:lpstr>A/</vt:lpstr>
      <vt:lpstr>A/</vt:lpstr>
    </vt:vector>
  </TitlesOfParts>
  <Company>DCM</Company>
  <LinksUpToDate>false</LinksUpToDate>
  <CharactersWithSpaces>86325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A/HRC/WG.6/43/BHS/1</dc:title>
  <dc:subject/>
  <dc:creator>Olga OVTCHINNIKOVA</dc:creator>
  <cp:keywords/>
  <cp:lastModifiedBy>Juan Luis Barea Saavedra</cp:lastModifiedBy>
  <cp:revision>2</cp:revision>
  <cp:lastPrinted>2023-09-20T12:37:00Z</cp:lastPrinted>
  <dcterms:created xsi:type="dcterms:W3CDTF">2023-10-11T13:13:00Z</dcterms:created>
  <dcterms:modified xsi:type="dcterms:W3CDTF">2023-10-11T13:13:00Z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