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3ACA9A4" w14:textId="77777777" w:rsidTr="00562621">
        <w:trPr>
          <w:trHeight w:val="851"/>
        </w:trPr>
        <w:tc>
          <w:tcPr>
            <w:tcW w:w="1259" w:type="dxa"/>
            <w:tcBorders>
              <w:top w:val="nil"/>
              <w:left w:val="nil"/>
              <w:bottom w:val="single" w:sz="4" w:space="0" w:color="auto"/>
              <w:right w:val="nil"/>
            </w:tcBorders>
          </w:tcPr>
          <w:p w14:paraId="5EAAD62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AE60C80" w14:textId="219A45D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67A7A25" w14:textId="0F30736F" w:rsidR="00446DE4" w:rsidRPr="00DE3EC0" w:rsidRDefault="008054BB" w:rsidP="008054BB">
            <w:pPr>
              <w:jc w:val="right"/>
            </w:pPr>
            <w:r w:rsidRPr="008054BB">
              <w:rPr>
                <w:sz w:val="40"/>
              </w:rPr>
              <w:t>A</w:t>
            </w:r>
            <w:r>
              <w:t>/HRC/54/18/Add.1</w:t>
            </w:r>
          </w:p>
        </w:tc>
      </w:tr>
      <w:tr w:rsidR="003107FA" w14:paraId="14BDAB32" w14:textId="77777777" w:rsidTr="00562621">
        <w:trPr>
          <w:trHeight w:val="2835"/>
        </w:trPr>
        <w:tc>
          <w:tcPr>
            <w:tcW w:w="1259" w:type="dxa"/>
            <w:tcBorders>
              <w:top w:val="single" w:sz="4" w:space="0" w:color="auto"/>
              <w:left w:val="nil"/>
              <w:bottom w:val="single" w:sz="12" w:space="0" w:color="auto"/>
              <w:right w:val="nil"/>
            </w:tcBorders>
          </w:tcPr>
          <w:p w14:paraId="71F4EE5D" w14:textId="367636F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C69544E" w14:textId="4F080BC9" w:rsidR="003107FA" w:rsidRPr="00B3317B" w:rsidRDefault="0016096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1129FEED" w14:textId="77777777" w:rsidR="003107FA" w:rsidRDefault="008054BB" w:rsidP="008054BB">
            <w:pPr>
              <w:spacing w:before="240" w:line="240" w:lineRule="exact"/>
            </w:pPr>
            <w:r>
              <w:t>Distr.: General</w:t>
            </w:r>
          </w:p>
          <w:p w14:paraId="3F19D883" w14:textId="6472E7DD" w:rsidR="008054BB" w:rsidRDefault="008054BB" w:rsidP="008054BB">
            <w:pPr>
              <w:spacing w:line="240" w:lineRule="exact"/>
            </w:pPr>
            <w:r>
              <w:t xml:space="preserve">1 </w:t>
            </w:r>
            <w:r w:rsidR="005766BC">
              <w:t>September</w:t>
            </w:r>
            <w:r>
              <w:t xml:space="preserve"> 2023</w:t>
            </w:r>
          </w:p>
          <w:p w14:paraId="0E1449FA" w14:textId="77777777" w:rsidR="008054BB" w:rsidRDefault="008054BB" w:rsidP="008054BB">
            <w:pPr>
              <w:spacing w:line="240" w:lineRule="exact"/>
            </w:pPr>
          </w:p>
          <w:p w14:paraId="4FD40B2D" w14:textId="3B66A448" w:rsidR="008054BB" w:rsidRDefault="008054BB" w:rsidP="008054BB">
            <w:pPr>
              <w:spacing w:line="240" w:lineRule="exact"/>
            </w:pPr>
            <w:r>
              <w:t>Original: English</w:t>
            </w:r>
          </w:p>
        </w:tc>
      </w:tr>
    </w:tbl>
    <w:p w14:paraId="06831536" w14:textId="77777777" w:rsidR="008054BB" w:rsidRPr="006C7248" w:rsidRDefault="008054BB" w:rsidP="008054BB">
      <w:pPr>
        <w:spacing w:before="120"/>
        <w:rPr>
          <w:b/>
          <w:bCs/>
          <w:sz w:val="24"/>
          <w:szCs w:val="24"/>
        </w:rPr>
      </w:pPr>
      <w:r w:rsidRPr="006C7248">
        <w:rPr>
          <w:b/>
          <w:bCs/>
          <w:sz w:val="24"/>
          <w:szCs w:val="24"/>
        </w:rPr>
        <w:t>Human Rights Council</w:t>
      </w:r>
      <w:r>
        <w:rPr>
          <w:noProof/>
          <w:lang w:val="en-US"/>
        </w:rPr>
        <mc:AlternateContent>
          <mc:Choice Requires="wps">
            <w:drawing>
              <wp:anchor distT="0" distB="0" distL="114300" distR="114300" simplePos="0" relativeHeight="251659264" behindDoc="0" locked="0" layoutInCell="1" allowOverlap="0" wp14:anchorId="587042DE" wp14:editId="65C21676">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14DE"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6DD16D11" w14:textId="77777777" w:rsidR="008054BB" w:rsidRDefault="008054BB" w:rsidP="008054BB">
      <w:pPr>
        <w:rPr>
          <w:b/>
          <w:bCs/>
        </w:rPr>
      </w:pPr>
      <w:r>
        <w:rPr>
          <w:b/>
          <w:bCs/>
        </w:rPr>
        <w:t>Fifty-fourth</w:t>
      </w:r>
      <w:r w:rsidRPr="006C7248">
        <w:rPr>
          <w:b/>
          <w:bCs/>
        </w:rPr>
        <w:t xml:space="preserve"> session</w:t>
      </w:r>
    </w:p>
    <w:p w14:paraId="165204B6" w14:textId="68FE8250" w:rsidR="008054BB" w:rsidRPr="00E8346E" w:rsidRDefault="008054BB" w:rsidP="008054BB">
      <w:pPr>
        <w:rPr>
          <w:bCs/>
        </w:rPr>
      </w:pPr>
      <w:r>
        <w:rPr>
          <w:bCs/>
        </w:rPr>
        <w:t>11 September–</w:t>
      </w:r>
      <w:r w:rsidR="008651F4">
        <w:rPr>
          <w:bCs/>
        </w:rPr>
        <w:t>6</w:t>
      </w:r>
      <w:r>
        <w:rPr>
          <w:bCs/>
        </w:rPr>
        <w:t xml:space="preserve"> October 2023</w:t>
      </w:r>
    </w:p>
    <w:p w14:paraId="638B845F" w14:textId="77777777" w:rsidR="008054BB" w:rsidRPr="006C7248" w:rsidRDefault="008054BB" w:rsidP="008054BB">
      <w:r w:rsidRPr="006C7248">
        <w:t>Agenda item 6</w:t>
      </w:r>
    </w:p>
    <w:p w14:paraId="7A620A93" w14:textId="77777777" w:rsidR="008054BB" w:rsidRPr="006C7248" w:rsidRDefault="008054BB" w:rsidP="008054BB">
      <w:pPr>
        <w:rPr>
          <w:b/>
        </w:rPr>
      </w:pPr>
      <w:r>
        <w:rPr>
          <w:b/>
        </w:rPr>
        <w:t>Universal periodic r</w:t>
      </w:r>
      <w:r w:rsidRPr="006C7248">
        <w:rPr>
          <w:b/>
        </w:rPr>
        <w:t>eview</w:t>
      </w:r>
    </w:p>
    <w:p w14:paraId="1E3C8FFB" w14:textId="77777777" w:rsidR="008054BB" w:rsidRPr="006C7248" w:rsidRDefault="008054BB" w:rsidP="008054BB">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146C5D4A" w14:textId="32F7231A" w:rsidR="008054BB" w:rsidRPr="006C7248" w:rsidRDefault="008054BB" w:rsidP="008054BB">
      <w:pPr>
        <w:keepNext/>
        <w:keepLines/>
        <w:tabs>
          <w:tab w:val="right" w:pos="851"/>
        </w:tabs>
        <w:spacing w:before="360" w:after="240" w:line="300" w:lineRule="exact"/>
        <w:ind w:left="1134" w:right="1134" w:hanging="1134"/>
        <w:rPr>
          <w:b/>
          <w:sz w:val="28"/>
        </w:rPr>
      </w:pPr>
      <w:r>
        <w:rPr>
          <w:b/>
          <w:sz w:val="28"/>
        </w:rPr>
        <w:tab/>
      </w:r>
      <w:r>
        <w:rPr>
          <w:b/>
          <w:sz w:val="28"/>
        </w:rPr>
        <w:tab/>
        <w:t>Serbia</w:t>
      </w:r>
    </w:p>
    <w:p w14:paraId="1C438FD7" w14:textId="77777777" w:rsidR="008054BB" w:rsidRPr="006C7248" w:rsidRDefault="008054BB" w:rsidP="008054B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66F1E82C" w14:textId="77777777" w:rsidR="008054BB" w:rsidRPr="006C7248" w:rsidRDefault="008054BB" w:rsidP="008054B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 xml:space="preserve">Views on conclusions and/or recommendations, voluntary commitments and replies presented by the State under </w:t>
      </w:r>
      <w:proofErr w:type="gramStart"/>
      <w:r w:rsidRPr="006C7248">
        <w:rPr>
          <w:b/>
          <w:sz w:val="24"/>
        </w:rPr>
        <w:t>review</w:t>
      </w:r>
      <w:proofErr w:type="gramEnd"/>
    </w:p>
    <w:p w14:paraId="48E53057" w14:textId="77777777" w:rsidR="008054BB" w:rsidRDefault="008054BB" w:rsidP="008054BB">
      <w:r w:rsidRPr="006C7248">
        <w:br w:type="page"/>
      </w:r>
    </w:p>
    <w:tbl>
      <w:tblPr>
        <w:tblW w:w="8505" w:type="dxa"/>
        <w:tblInd w:w="1134" w:type="dxa"/>
        <w:tblLayout w:type="fixed"/>
        <w:tblCellMar>
          <w:left w:w="0" w:type="dxa"/>
          <w:right w:w="0" w:type="dxa"/>
        </w:tblCellMar>
        <w:tblLook w:val="04A0" w:firstRow="1" w:lastRow="0" w:firstColumn="1" w:lastColumn="0" w:noHBand="0" w:noVBand="1"/>
      </w:tblPr>
      <w:tblGrid>
        <w:gridCol w:w="1312"/>
        <w:gridCol w:w="2063"/>
        <w:gridCol w:w="5130"/>
      </w:tblGrid>
      <w:tr w:rsidR="008054BB" w:rsidRPr="008054BB" w14:paraId="1FE0D1AD" w14:textId="77777777" w:rsidTr="008054BB">
        <w:trPr>
          <w:tblHeader/>
        </w:trPr>
        <w:tc>
          <w:tcPr>
            <w:tcW w:w="771" w:type="pct"/>
            <w:tcBorders>
              <w:top w:val="single" w:sz="4" w:space="0" w:color="auto"/>
              <w:bottom w:val="single" w:sz="12" w:space="0" w:color="auto"/>
            </w:tcBorders>
            <w:shd w:val="clear" w:color="auto" w:fill="auto"/>
            <w:vAlign w:val="bottom"/>
          </w:tcPr>
          <w:p w14:paraId="186EBEDF" w14:textId="2DAAF04F" w:rsidR="008054BB" w:rsidRPr="008054BB" w:rsidRDefault="008054BB" w:rsidP="00087B19">
            <w:pPr>
              <w:spacing w:before="80" w:after="80" w:line="200" w:lineRule="exact"/>
              <w:ind w:right="113"/>
              <w:rPr>
                <w:i/>
                <w:sz w:val="16"/>
              </w:rPr>
            </w:pPr>
            <w:r w:rsidRPr="008054BB">
              <w:rPr>
                <w:i/>
                <w:sz w:val="16"/>
              </w:rPr>
              <w:lastRenderedPageBreak/>
              <w:t>Recommendation Number</w:t>
            </w:r>
          </w:p>
        </w:tc>
        <w:tc>
          <w:tcPr>
            <w:tcW w:w="1213" w:type="pct"/>
            <w:tcBorders>
              <w:top w:val="single" w:sz="4" w:space="0" w:color="auto"/>
              <w:bottom w:val="single" w:sz="12" w:space="0" w:color="auto"/>
            </w:tcBorders>
            <w:shd w:val="clear" w:color="auto" w:fill="auto"/>
            <w:vAlign w:val="bottom"/>
          </w:tcPr>
          <w:p w14:paraId="061AA642" w14:textId="11D1E51D" w:rsidR="008054BB" w:rsidRPr="008054BB" w:rsidRDefault="008054BB" w:rsidP="00087B19">
            <w:pPr>
              <w:spacing w:before="80" w:after="80" w:line="200" w:lineRule="exact"/>
              <w:ind w:right="113"/>
              <w:rPr>
                <w:i/>
                <w:sz w:val="16"/>
              </w:rPr>
            </w:pPr>
            <w:r w:rsidRPr="008054BB">
              <w:rPr>
                <w:i/>
                <w:sz w:val="16"/>
              </w:rPr>
              <w:t>Recommendation status</w:t>
            </w:r>
          </w:p>
        </w:tc>
        <w:tc>
          <w:tcPr>
            <w:tcW w:w="3016" w:type="pct"/>
            <w:tcBorders>
              <w:top w:val="single" w:sz="4" w:space="0" w:color="auto"/>
              <w:bottom w:val="single" w:sz="12" w:space="0" w:color="auto"/>
            </w:tcBorders>
            <w:shd w:val="clear" w:color="auto" w:fill="auto"/>
            <w:vAlign w:val="bottom"/>
          </w:tcPr>
          <w:p w14:paraId="4768F08B" w14:textId="77777777" w:rsidR="008054BB" w:rsidRPr="008054BB" w:rsidRDefault="008054BB" w:rsidP="008054BB">
            <w:pPr>
              <w:spacing w:before="80" w:after="80" w:line="200" w:lineRule="exact"/>
              <w:ind w:right="113"/>
              <w:rPr>
                <w:i/>
                <w:sz w:val="16"/>
              </w:rPr>
            </w:pPr>
            <w:r w:rsidRPr="008054BB">
              <w:rPr>
                <w:i/>
                <w:sz w:val="16"/>
              </w:rPr>
              <w:t>Rationale</w:t>
            </w:r>
          </w:p>
        </w:tc>
      </w:tr>
      <w:tr w:rsidR="008054BB" w:rsidRPr="008054BB" w14:paraId="4E685DF6" w14:textId="77777777" w:rsidTr="008054BB">
        <w:trPr>
          <w:trHeight w:hRule="exact" w:val="113"/>
        </w:trPr>
        <w:tc>
          <w:tcPr>
            <w:tcW w:w="771" w:type="pct"/>
            <w:tcBorders>
              <w:top w:val="single" w:sz="12" w:space="0" w:color="auto"/>
            </w:tcBorders>
            <w:shd w:val="clear" w:color="auto" w:fill="auto"/>
          </w:tcPr>
          <w:p w14:paraId="232FDE21" w14:textId="77777777" w:rsidR="008054BB" w:rsidRPr="008054BB" w:rsidRDefault="008054BB" w:rsidP="008054BB">
            <w:pPr>
              <w:spacing w:before="40" w:after="120"/>
              <w:ind w:right="113"/>
            </w:pPr>
          </w:p>
        </w:tc>
        <w:tc>
          <w:tcPr>
            <w:tcW w:w="1213" w:type="pct"/>
            <w:tcBorders>
              <w:top w:val="single" w:sz="12" w:space="0" w:color="auto"/>
            </w:tcBorders>
            <w:shd w:val="clear" w:color="auto" w:fill="auto"/>
          </w:tcPr>
          <w:p w14:paraId="7E6952A7" w14:textId="77777777" w:rsidR="008054BB" w:rsidRPr="008054BB" w:rsidRDefault="008054BB" w:rsidP="008054BB">
            <w:pPr>
              <w:spacing w:before="40" w:after="120"/>
              <w:ind w:right="113"/>
            </w:pPr>
          </w:p>
        </w:tc>
        <w:tc>
          <w:tcPr>
            <w:tcW w:w="3016" w:type="pct"/>
            <w:tcBorders>
              <w:top w:val="single" w:sz="12" w:space="0" w:color="auto"/>
            </w:tcBorders>
            <w:shd w:val="clear" w:color="auto" w:fill="auto"/>
          </w:tcPr>
          <w:p w14:paraId="2994D97D" w14:textId="77777777" w:rsidR="008054BB" w:rsidRPr="008054BB" w:rsidRDefault="008054BB" w:rsidP="008054BB">
            <w:pPr>
              <w:spacing w:before="40" w:after="120"/>
              <w:ind w:right="113"/>
            </w:pPr>
          </w:p>
        </w:tc>
      </w:tr>
      <w:tr w:rsidR="008054BB" w:rsidRPr="008054BB" w14:paraId="3FA5CC75" w14:textId="77777777" w:rsidTr="008054BB">
        <w:tc>
          <w:tcPr>
            <w:tcW w:w="771" w:type="pct"/>
            <w:shd w:val="clear" w:color="auto" w:fill="auto"/>
          </w:tcPr>
          <w:p w14:paraId="0ED890C6" w14:textId="5295D8F7" w:rsidR="008054BB" w:rsidRPr="008054BB" w:rsidRDefault="00087B19" w:rsidP="00100218">
            <w:pPr>
              <w:spacing w:before="40" w:after="120"/>
              <w:ind w:right="113"/>
            </w:pPr>
            <w:r>
              <w:t>131</w:t>
            </w:r>
            <w:r w:rsidR="008054BB" w:rsidRPr="008054BB">
              <w:t>.1.</w:t>
            </w:r>
          </w:p>
        </w:tc>
        <w:tc>
          <w:tcPr>
            <w:tcW w:w="1213" w:type="pct"/>
            <w:shd w:val="clear" w:color="auto" w:fill="auto"/>
          </w:tcPr>
          <w:p w14:paraId="2536B4E1" w14:textId="77777777" w:rsidR="008054BB" w:rsidRPr="008054BB" w:rsidRDefault="008054BB" w:rsidP="008054BB">
            <w:pPr>
              <w:spacing w:before="40" w:after="120"/>
              <w:ind w:right="113"/>
            </w:pPr>
            <w:r w:rsidRPr="008054BB">
              <w:t>NOTED</w:t>
            </w:r>
          </w:p>
        </w:tc>
        <w:tc>
          <w:tcPr>
            <w:tcW w:w="3016" w:type="pct"/>
            <w:shd w:val="clear" w:color="auto" w:fill="auto"/>
          </w:tcPr>
          <w:p w14:paraId="4769C48A" w14:textId="044E4F2B" w:rsidR="008054BB" w:rsidRPr="008054BB" w:rsidRDefault="008054BB" w:rsidP="008054BB">
            <w:pPr>
              <w:spacing w:before="40" w:after="120"/>
              <w:ind w:right="113"/>
            </w:pPr>
            <w:r w:rsidRPr="008054BB">
              <w:t>There are no objective conditions for fulfilling the recommendation during the term of the cycle. It should be noted here that the domestic legislation provides an adequate framework for the protection of migrant workers, since the same rights as those enjoyed by the domestic workers are guaranteed to them therein.</w:t>
            </w:r>
          </w:p>
        </w:tc>
      </w:tr>
      <w:tr w:rsidR="008054BB" w:rsidRPr="008054BB" w14:paraId="65F1B569" w14:textId="77777777" w:rsidTr="008054BB">
        <w:tc>
          <w:tcPr>
            <w:tcW w:w="771" w:type="pct"/>
            <w:shd w:val="clear" w:color="auto" w:fill="auto"/>
          </w:tcPr>
          <w:p w14:paraId="0B05F854" w14:textId="50C9985F" w:rsidR="008054BB" w:rsidRPr="008054BB" w:rsidRDefault="00087B19" w:rsidP="00100218">
            <w:pPr>
              <w:spacing w:before="40" w:after="120"/>
              <w:ind w:right="113"/>
            </w:pPr>
            <w:r>
              <w:t>131</w:t>
            </w:r>
            <w:r w:rsidR="008054BB" w:rsidRPr="008054BB">
              <w:t>.2.</w:t>
            </w:r>
          </w:p>
        </w:tc>
        <w:tc>
          <w:tcPr>
            <w:tcW w:w="1213" w:type="pct"/>
            <w:shd w:val="clear" w:color="auto" w:fill="auto"/>
          </w:tcPr>
          <w:p w14:paraId="7F145C12" w14:textId="77777777" w:rsidR="008054BB" w:rsidRPr="008054BB" w:rsidRDefault="008054BB" w:rsidP="008054BB">
            <w:pPr>
              <w:spacing w:before="40" w:after="120"/>
              <w:ind w:right="113"/>
            </w:pPr>
            <w:r w:rsidRPr="008054BB">
              <w:t>NOTED</w:t>
            </w:r>
          </w:p>
        </w:tc>
        <w:tc>
          <w:tcPr>
            <w:tcW w:w="3016" w:type="pct"/>
            <w:shd w:val="clear" w:color="auto" w:fill="auto"/>
          </w:tcPr>
          <w:p w14:paraId="33F55604" w14:textId="09082F64" w:rsidR="008054BB" w:rsidRPr="008054BB" w:rsidRDefault="008054BB" w:rsidP="008054BB">
            <w:pPr>
              <w:spacing w:before="40" w:after="120"/>
              <w:ind w:right="113"/>
            </w:pPr>
            <w:r w:rsidRPr="008054BB">
              <w:t xml:space="preserve">See </w:t>
            </w:r>
            <w:r w:rsidR="00087B19">
              <w:t>131</w:t>
            </w:r>
            <w:r w:rsidRPr="008054BB">
              <w:t>.1</w:t>
            </w:r>
            <w:r w:rsidR="00087B19">
              <w:t>.</w:t>
            </w:r>
          </w:p>
        </w:tc>
      </w:tr>
      <w:tr w:rsidR="008054BB" w:rsidRPr="008054BB" w14:paraId="51E69C87" w14:textId="77777777" w:rsidTr="008054BB">
        <w:tc>
          <w:tcPr>
            <w:tcW w:w="771" w:type="pct"/>
            <w:shd w:val="clear" w:color="auto" w:fill="auto"/>
          </w:tcPr>
          <w:p w14:paraId="3F92DFBF" w14:textId="60E75072" w:rsidR="008054BB" w:rsidRPr="008054BB" w:rsidRDefault="00087B19" w:rsidP="00100218">
            <w:pPr>
              <w:spacing w:before="40" w:after="120"/>
              <w:ind w:right="113"/>
            </w:pPr>
            <w:r>
              <w:t>131</w:t>
            </w:r>
            <w:r w:rsidR="008054BB" w:rsidRPr="008054BB">
              <w:t>.3.</w:t>
            </w:r>
          </w:p>
        </w:tc>
        <w:tc>
          <w:tcPr>
            <w:tcW w:w="1213" w:type="pct"/>
            <w:shd w:val="clear" w:color="auto" w:fill="auto"/>
          </w:tcPr>
          <w:p w14:paraId="009E8539" w14:textId="77777777" w:rsidR="008054BB" w:rsidRPr="008054BB" w:rsidRDefault="008054BB" w:rsidP="008054BB">
            <w:pPr>
              <w:spacing w:before="40" w:after="120"/>
              <w:ind w:right="113"/>
            </w:pPr>
            <w:r w:rsidRPr="008054BB">
              <w:t>NOTED</w:t>
            </w:r>
          </w:p>
        </w:tc>
        <w:tc>
          <w:tcPr>
            <w:tcW w:w="3016" w:type="pct"/>
            <w:shd w:val="clear" w:color="auto" w:fill="auto"/>
          </w:tcPr>
          <w:p w14:paraId="56428B4B" w14:textId="1BE9827E" w:rsidR="008054BB" w:rsidRPr="008054BB" w:rsidRDefault="008054BB" w:rsidP="008054BB">
            <w:pPr>
              <w:spacing w:before="40" w:after="120"/>
              <w:ind w:right="113"/>
            </w:pPr>
            <w:r w:rsidRPr="008054BB">
              <w:t xml:space="preserve">See </w:t>
            </w:r>
            <w:r w:rsidR="00087B19">
              <w:t>131</w:t>
            </w:r>
            <w:r w:rsidRPr="008054BB">
              <w:t>.1</w:t>
            </w:r>
            <w:r w:rsidR="00087B19">
              <w:t>.</w:t>
            </w:r>
          </w:p>
        </w:tc>
      </w:tr>
      <w:tr w:rsidR="008054BB" w:rsidRPr="008054BB" w14:paraId="08D93B14" w14:textId="77777777" w:rsidTr="008054BB">
        <w:tc>
          <w:tcPr>
            <w:tcW w:w="771" w:type="pct"/>
            <w:vMerge w:val="restart"/>
            <w:shd w:val="clear" w:color="auto" w:fill="auto"/>
          </w:tcPr>
          <w:p w14:paraId="54C034BE" w14:textId="250620BF" w:rsidR="008054BB" w:rsidRPr="008054BB" w:rsidRDefault="00087B19" w:rsidP="00100218">
            <w:pPr>
              <w:spacing w:before="40" w:after="120"/>
              <w:ind w:right="113"/>
            </w:pPr>
            <w:r>
              <w:t>131</w:t>
            </w:r>
            <w:r w:rsidR="008054BB" w:rsidRPr="008054BB">
              <w:t>.4.</w:t>
            </w:r>
          </w:p>
        </w:tc>
        <w:tc>
          <w:tcPr>
            <w:tcW w:w="1213" w:type="pct"/>
            <w:vMerge w:val="restart"/>
            <w:shd w:val="clear" w:color="auto" w:fill="auto"/>
          </w:tcPr>
          <w:p w14:paraId="5BC00A64" w14:textId="18D105CA" w:rsidR="008054BB" w:rsidRPr="008054BB" w:rsidRDefault="008054BB" w:rsidP="00D14822">
            <w:pPr>
              <w:spacing w:before="40" w:after="120"/>
              <w:ind w:right="113"/>
            </w:pPr>
            <w:r w:rsidRPr="008054BB">
              <w:t>NOTED/SUPPORTED</w:t>
            </w:r>
          </w:p>
        </w:tc>
        <w:tc>
          <w:tcPr>
            <w:tcW w:w="3016" w:type="pct"/>
            <w:shd w:val="clear" w:color="auto" w:fill="auto"/>
          </w:tcPr>
          <w:p w14:paraId="70B5C87C" w14:textId="5CBEAC6C" w:rsidR="008054BB" w:rsidRPr="008054BB" w:rsidRDefault="008054BB" w:rsidP="008054BB">
            <w:pPr>
              <w:spacing w:before="40" w:after="120"/>
              <w:ind w:right="113"/>
            </w:pPr>
            <w:r w:rsidRPr="008054BB">
              <w:t xml:space="preserve">See </w:t>
            </w:r>
            <w:r w:rsidR="00087B19">
              <w:t>131</w:t>
            </w:r>
            <w:r w:rsidRPr="008054BB">
              <w:t>.1</w:t>
            </w:r>
            <w:r w:rsidR="00087B19">
              <w:t>.</w:t>
            </w:r>
          </w:p>
        </w:tc>
      </w:tr>
      <w:tr w:rsidR="008054BB" w:rsidRPr="008054BB" w14:paraId="4FB44AA7" w14:textId="77777777" w:rsidTr="008054BB">
        <w:tc>
          <w:tcPr>
            <w:tcW w:w="771" w:type="pct"/>
            <w:vMerge/>
            <w:shd w:val="clear" w:color="auto" w:fill="auto"/>
          </w:tcPr>
          <w:p w14:paraId="10BC35D3" w14:textId="77777777" w:rsidR="008054BB" w:rsidRPr="008054BB" w:rsidRDefault="008054BB" w:rsidP="008054BB">
            <w:pPr>
              <w:spacing w:before="40" w:after="120"/>
              <w:ind w:right="113"/>
            </w:pPr>
          </w:p>
        </w:tc>
        <w:tc>
          <w:tcPr>
            <w:tcW w:w="1213" w:type="pct"/>
            <w:vMerge/>
            <w:shd w:val="clear" w:color="auto" w:fill="auto"/>
          </w:tcPr>
          <w:p w14:paraId="1F69A50A" w14:textId="77777777" w:rsidR="008054BB" w:rsidRPr="008054BB" w:rsidRDefault="008054BB" w:rsidP="008054BB">
            <w:pPr>
              <w:spacing w:before="40" w:after="120"/>
              <w:ind w:right="113"/>
            </w:pPr>
          </w:p>
        </w:tc>
        <w:tc>
          <w:tcPr>
            <w:tcW w:w="3016" w:type="pct"/>
            <w:shd w:val="clear" w:color="auto" w:fill="auto"/>
          </w:tcPr>
          <w:p w14:paraId="32ED2BC1" w14:textId="0C411E6E" w:rsidR="008054BB" w:rsidRPr="008054BB" w:rsidRDefault="003E1F54" w:rsidP="008054BB">
            <w:pPr>
              <w:spacing w:before="40" w:after="120"/>
              <w:ind w:right="113"/>
            </w:pPr>
            <w:r>
              <w:t>Supported in</w:t>
            </w:r>
            <w:r w:rsidR="008054BB" w:rsidRPr="008054BB">
              <w:t xml:space="preserve"> the part relating to ratification of the Optional Protocol to the Convention on the Rights of the Child on a Communications Procedure; ratification procedures are in progress for the Optional Protocol to the Convention on the Rights of the Child in conformity with the Government Plan for 2023. </w:t>
            </w:r>
          </w:p>
        </w:tc>
      </w:tr>
      <w:tr w:rsidR="008054BB" w:rsidRPr="008054BB" w14:paraId="1610F7A0" w14:textId="77777777" w:rsidTr="008054BB">
        <w:trPr>
          <w:trHeight w:val="360"/>
        </w:trPr>
        <w:tc>
          <w:tcPr>
            <w:tcW w:w="771" w:type="pct"/>
            <w:vMerge w:val="restart"/>
            <w:shd w:val="clear" w:color="auto" w:fill="auto"/>
          </w:tcPr>
          <w:p w14:paraId="7C80C4D3" w14:textId="77231879" w:rsidR="008054BB" w:rsidRPr="008054BB" w:rsidRDefault="00087B19" w:rsidP="00100218">
            <w:pPr>
              <w:spacing w:before="40" w:after="120"/>
              <w:ind w:right="113"/>
            </w:pPr>
            <w:r>
              <w:t>131</w:t>
            </w:r>
            <w:r w:rsidR="008054BB" w:rsidRPr="008054BB">
              <w:t>.5.</w:t>
            </w:r>
          </w:p>
        </w:tc>
        <w:tc>
          <w:tcPr>
            <w:tcW w:w="1213" w:type="pct"/>
            <w:vMerge w:val="restart"/>
            <w:shd w:val="clear" w:color="auto" w:fill="auto"/>
          </w:tcPr>
          <w:p w14:paraId="29319B76" w14:textId="0C3997F7" w:rsidR="008054BB" w:rsidRPr="008054BB" w:rsidRDefault="008054BB" w:rsidP="00233143">
            <w:pPr>
              <w:spacing w:before="40" w:after="120"/>
              <w:ind w:right="113"/>
            </w:pPr>
            <w:r w:rsidRPr="008054BB">
              <w:t>NOTED/SUPPORTED</w:t>
            </w:r>
          </w:p>
        </w:tc>
        <w:tc>
          <w:tcPr>
            <w:tcW w:w="3016" w:type="pct"/>
            <w:vMerge w:val="restart"/>
            <w:shd w:val="clear" w:color="auto" w:fill="auto"/>
          </w:tcPr>
          <w:p w14:paraId="6F25BEAD" w14:textId="0EDE9653" w:rsidR="008054BB" w:rsidRPr="008054BB" w:rsidRDefault="008054BB" w:rsidP="008054BB">
            <w:pPr>
              <w:spacing w:before="40" w:after="120"/>
              <w:ind w:right="113"/>
            </w:pPr>
            <w:r w:rsidRPr="008054BB">
              <w:t xml:space="preserve">See </w:t>
            </w:r>
            <w:r w:rsidR="00087B19">
              <w:t>131</w:t>
            </w:r>
            <w:r w:rsidRPr="008054BB">
              <w:t>.4</w:t>
            </w:r>
            <w:r w:rsidR="00233143">
              <w:t>.</w:t>
            </w:r>
          </w:p>
        </w:tc>
      </w:tr>
      <w:tr w:rsidR="008054BB" w:rsidRPr="008054BB" w14:paraId="2A6848D2" w14:textId="77777777" w:rsidTr="008054BB">
        <w:trPr>
          <w:trHeight w:val="400"/>
        </w:trPr>
        <w:tc>
          <w:tcPr>
            <w:tcW w:w="771" w:type="pct"/>
            <w:vMerge/>
            <w:shd w:val="clear" w:color="auto" w:fill="auto"/>
          </w:tcPr>
          <w:p w14:paraId="23F86382" w14:textId="77777777" w:rsidR="008054BB" w:rsidRPr="008054BB" w:rsidRDefault="008054BB" w:rsidP="008054BB">
            <w:pPr>
              <w:spacing w:before="40" w:after="120"/>
              <w:ind w:right="113"/>
            </w:pPr>
          </w:p>
        </w:tc>
        <w:tc>
          <w:tcPr>
            <w:tcW w:w="1213" w:type="pct"/>
            <w:vMerge/>
            <w:shd w:val="clear" w:color="auto" w:fill="auto"/>
          </w:tcPr>
          <w:p w14:paraId="0B0E366A" w14:textId="77777777" w:rsidR="008054BB" w:rsidRPr="008054BB" w:rsidRDefault="008054BB" w:rsidP="008054BB">
            <w:pPr>
              <w:spacing w:before="40" w:after="120"/>
              <w:ind w:right="113"/>
            </w:pPr>
          </w:p>
        </w:tc>
        <w:tc>
          <w:tcPr>
            <w:tcW w:w="3016" w:type="pct"/>
            <w:vMerge/>
            <w:shd w:val="clear" w:color="auto" w:fill="auto"/>
          </w:tcPr>
          <w:p w14:paraId="3B4A3F39" w14:textId="77777777" w:rsidR="008054BB" w:rsidRPr="008054BB" w:rsidRDefault="008054BB" w:rsidP="008054BB">
            <w:pPr>
              <w:spacing w:before="40" w:after="120"/>
              <w:ind w:right="113"/>
            </w:pPr>
          </w:p>
        </w:tc>
      </w:tr>
      <w:tr w:rsidR="008054BB" w:rsidRPr="008054BB" w14:paraId="78D92805" w14:textId="77777777" w:rsidTr="008054BB">
        <w:tc>
          <w:tcPr>
            <w:tcW w:w="771" w:type="pct"/>
            <w:shd w:val="clear" w:color="auto" w:fill="auto"/>
          </w:tcPr>
          <w:p w14:paraId="0EA81DF1" w14:textId="186ED90A" w:rsidR="008054BB" w:rsidRPr="008054BB" w:rsidRDefault="00087B19" w:rsidP="00100218">
            <w:pPr>
              <w:spacing w:before="40" w:after="120"/>
              <w:ind w:right="113"/>
            </w:pPr>
            <w:r>
              <w:t>131</w:t>
            </w:r>
            <w:r w:rsidR="008054BB" w:rsidRPr="008054BB">
              <w:t>.6.</w:t>
            </w:r>
          </w:p>
        </w:tc>
        <w:tc>
          <w:tcPr>
            <w:tcW w:w="1213" w:type="pct"/>
            <w:shd w:val="clear" w:color="auto" w:fill="auto"/>
          </w:tcPr>
          <w:p w14:paraId="629154EE" w14:textId="77777777" w:rsidR="008054BB" w:rsidRPr="008054BB" w:rsidRDefault="008054BB" w:rsidP="008054BB">
            <w:pPr>
              <w:spacing w:before="40" w:after="120"/>
              <w:ind w:right="113"/>
            </w:pPr>
            <w:r w:rsidRPr="008054BB">
              <w:t>SUPPORTED</w:t>
            </w:r>
          </w:p>
        </w:tc>
        <w:tc>
          <w:tcPr>
            <w:tcW w:w="3016" w:type="pct"/>
            <w:shd w:val="clear" w:color="auto" w:fill="auto"/>
          </w:tcPr>
          <w:p w14:paraId="0CF046CF" w14:textId="77777777" w:rsidR="008054BB" w:rsidRPr="008054BB" w:rsidRDefault="008054BB" w:rsidP="008054BB">
            <w:pPr>
              <w:spacing w:before="40" w:after="120"/>
              <w:ind w:right="113"/>
            </w:pPr>
          </w:p>
        </w:tc>
      </w:tr>
      <w:tr w:rsidR="008054BB" w:rsidRPr="008054BB" w14:paraId="0492837C" w14:textId="77777777" w:rsidTr="008054BB">
        <w:tc>
          <w:tcPr>
            <w:tcW w:w="771" w:type="pct"/>
            <w:shd w:val="clear" w:color="auto" w:fill="auto"/>
          </w:tcPr>
          <w:p w14:paraId="06E815BE" w14:textId="6F890A81" w:rsidR="008054BB" w:rsidRPr="008054BB" w:rsidRDefault="00087B19" w:rsidP="00100218">
            <w:pPr>
              <w:spacing w:before="40" w:after="120"/>
              <w:ind w:right="113"/>
            </w:pPr>
            <w:r>
              <w:t>131</w:t>
            </w:r>
            <w:r w:rsidR="008054BB" w:rsidRPr="008054BB">
              <w:t>.7.</w:t>
            </w:r>
          </w:p>
        </w:tc>
        <w:tc>
          <w:tcPr>
            <w:tcW w:w="1213" w:type="pct"/>
            <w:shd w:val="clear" w:color="auto" w:fill="auto"/>
          </w:tcPr>
          <w:p w14:paraId="1096C8A2" w14:textId="77777777" w:rsidR="008054BB" w:rsidRPr="008054BB" w:rsidRDefault="008054BB" w:rsidP="008054BB">
            <w:pPr>
              <w:spacing w:before="40" w:after="120"/>
              <w:ind w:right="113"/>
            </w:pPr>
            <w:r w:rsidRPr="008054BB">
              <w:t>SUPPORTED</w:t>
            </w:r>
          </w:p>
        </w:tc>
        <w:tc>
          <w:tcPr>
            <w:tcW w:w="3016" w:type="pct"/>
            <w:shd w:val="clear" w:color="auto" w:fill="auto"/>
          </w:tcPr>
          <w:p w14:paraId="039BA195" w14:textId="77777777" w:rsidR="008054BB" w:rsidRPr="008054BB" w:rsidRDefault="008054BB" w:rsidP="008054BB">
            <w:pPr>
              <w:spacing w:before="40" w:after="120"/>
              <w:ind w:right="113"/>
            </w:pPr>
          </w:p>
        </w:tc>
      </w:tr>
      <w:tr w:rsidR="008054BB" w:rsidRPr="008054BB" w14:paraId="70BEA0E7" w14:textId="77777777" w:rsidTr="008054BB">
        <w:tc>
          <w:tcPr>
            <w:tcW w:w="771" w:type="pct"/>
            <w:shd w:val="clear" w:color="auto" w:fill="auto"/>
          </w:tcPr>
          <w:p w14:paraId="1949E537" w14:textId="7764E7B4" w:rsidR="008054BB" w:rsidRPr="008054BB" w:rsidRDefault="00087B19" w:rsidP="00100218">
            <w:pPr>
              <w:spacing w:before="40" w:after="120"/>
              <w:ind w:right="113"/>
            </w:pPr>
            <w:r>
              <w:t>131</w:t>
            </w:r>
            <w:r w:rsidR="008054BB" w:rsidRPr="008054BB">
              <w:t>.8.</w:t>
            </w:r>
          </w:p>
        </w:tc>
        <w:tc>
          <w:tcPr>
            <w:tcW w:w="1213" w:type="pct"/>
            <w:shd w:val="clear" w:color="auto" w:fill="auto"/>
          </w:tcPr>
          <w:p w14:paraId="42EB3796" w14:textId="77777777" w:rsidR="008054BB" w:rsidRPr="008054BB" w:rsidRDefault="008054BB" w:rsidP="008054BB">
            <w:pPr>
              <w:spacing w:before="40" w:after="120"/>
              <w:ind w:right="113"/>
            </w:pPr>
            <w:r w:rsidRPr="008054BB">
              <w:t>SUPPORTED</w:t>
            </w:r>
          </w:p>
        </w:tc>
        <w:tc>
          <w:tcPr>
            <w:tcW w:w="3016" w:type="pct"/>
            <w:shd w:val="clear" w:color="auto" w:fill="auto"/>
          </w:tcPr>
          <w:p w14:paraId="54C04FB4" w14:textId="77777777" w:rsidR="008054BB" w:rsidRPr="008054BB" w:rsidRDefault="008054BB" w:rsidP="008054BB">
            <w:pPr>
              <w:spacing w:before="40" w:after="120"/>
              <w:ind w:right="113"/>
            </w:pPr>
          </w:p>
        </w:tc>
      </w:tr>
      <w:tr w:rsidR="008054BB" w:rsidRPr="008054BB" w14:paraId="143938BA" w14:textId="77777777" w:rsidTr="008054BB">
        <w:tc>
          <w:tcPr>
            <w:tcW w:w="771" w:type="pct"/>
            <w:shd w:val="clear" w:color="auto" w:fill="auto"/>
          </w:tcPr>
          <w:p w14:paraId="2B75C16D" w14:textId="7519D382" w:rsidR="008054BB" w:rsidRPr="008054BB" w:rsidRDefault="00087B19" w:rsidP="00100218">
            <w:pPr>
              <w:spacing w:before="40" w:after="120"/>
              <w:ind w:right="113"/>
            </w:pPr>
            <w:r>
              <w:t>131</w:t>
            </w:r>
            <w:r w:rsidR="008054BB" w:rsidRPr="008054BB">
              <w:t>.9.</w:t>
            </w:r>
          </w:p>
        </w:tc>
        <w:tc>
          <w:tcPr>
            <w:tcW w:w="1213" w:type="pct"/>
            <w:shd w:val="clear" w:color="auto" w:fill="auto"/>
          </w:tcPr>
          <w:p w14:paraId="5F8A3AAD" w14:textId="59CB3F4A" w:rsidR="00577ABD" w:rsidRPr="00577ABD" w:rsidRDefault="008054BB" w:rsidP="005766BC">
            <w:pPr>
              <w:spacing w:before="40" w:after="120"/>
              <w:ind w:right="113"/>
            </w:pPr>
            <w:r w:rsidRPr="008054BB">
              <w:t>SUPPORTED</w:t>
            </w:r>
          </w:p>
        </w:tc>
        <w:tc>
          <w:tcPr>
            <w:tcW w:w="3016" w:type="pct"/>
            <w:shd w:val="clear" w:color="auto" w:fill="auto"/>
          </w:tcPr>
          <w:p w14:paraId="54F9F502" w14:textId="088096FC" w:rsidR="008054BB" w:rsidRPr="008054BB" w:rsidRDefault="008054BB" w:rsidP="004A7A7B">
            <w:pPr>
              <w:spacing w:before="40" w:after="120"/>
              <w:ind w:right="113"/>
            </w:pPr>
            <w:r w:rsidRPr="008054BB">
              <w:t xml:space="preserve">By accepting such a recommendation, the Republic of Serbia does not acknowledge any existence of nationalistic hate speech, but we have had in mind that the similar recommendations have already been accepted in a previous UPR cycle, as well as that the term “prevention” implies measures and activities of preventive character that are taken before commission of any offence, prior to the occurrence of any events during which the nationalistic hate speech is used, while the use of the term “suppression” would indicate the post-festum actions whereby responsibility of a person is to be established in the events during which hate speech was used. In addition to that, </w:t>
            </w:r>
            <w:r w:rsidRPr="007B1C4D">
              <w:rPr>
                <w:b/>
                <w:bCs/>
              </w:rPr>
              <w:t>the fact is that taking preventive measures to suppress</w:t>
            </w:r>
            <w:r w:rsidRPr="008054BB">
              <w:t xml:space="preserve"> the nationalistic hate speech is an obligation from the </w:t>
            </w:r>
            <w:r w:rsidR="004A7A7B" w:rsidRPr="004A7A7B">
              <w:t xml:space="preserve">Action Plan for the Chapter 23 </w:t>
            </w:r>
            <w:r w:rsidR="00EA55D1">
              <w:t>“</w:t>
            </w:r>
            <w:r w:rsidR="004A7A7B" w:rsidRPr="004A7A7B">
              <w:t>Judiciary and Fundamental Rights</w:t>
            </w:r>
            <w:r w:rsidR="00EA55D1">
              <w:t>”</w:t>
            </w:r>
            <w:r w:rsidR="004A7A7B" w:rsidRPr="004A7A7B">
              <w:t xml:space="preserve"> in  the </w:t>
            </w:r>
            <w:r w:rsidR="00AE1C84">
              <w:t xml:space="preserve">accession </w:t>
            </w:r>
            <w:r w:rsidR="004A7A7B" w:rsidRPr="004A7A7B">
              <w:t xml:space="preserve">process </w:t>
            </w:r>
            <w:r w:rsidR="00AE1C84">
              <w:t xml:space="preserve">of the </w:t>
            </w:r>
            <w:r w:rsidR="004A7A7B" w:rsidRPr="004A7A7B">
              <w:t>Republic of Serbia to the E</w:t>
            </w:r>
            <w:r w:rsidR="006941E1">
              <w:t xml:space="preserve">uropean </w:t>
            </w:r>
            <w:r w:rsidR="004A7A7B" w:rsidRPr="004A7A7B">
              <w:t>U</w:t>
            </w:r>
            <w:r w:rsidR="006941E1">
              <w:t>nion</w:t>
            </w:r>
            <w:r w:rsidR="004A7A7B" w:rsidRPr="005766BC">
              <w:t xml:space="preserve"> </w:t>
            </w:r>
            <w:r w:rsidRPr="008054BB">
              <w:t xml:space="preserve">(the measures against racism and xenophobia, </w:t>
            </w:r>
            <w:r w:rsidR="004A7A7B" w:rsidRPr="004A7A7B">
              <w:t xml:space="preserve">interim benchmark </w:t>
            </w:r>
            <w:r w:rsidRPr="005766BC">
              <w:t>3.8.1</w:t>
            </w:r>
            <w:r w:rsidRPr="008054BB">
              <w:t xml:space="preserve">), and that shall by all means have a positive impact on the condition of interethnic relations in </w:t>
            </w:r>
            <w:proofErr w:type="spellStart"/>
            <w:r w:rsidRPr="008054BB">
              <w:t>multiethnic</w:t>
            </w:r>
            <w:proofErr w:type="spellEnd"/>
            <w:r w:rsidRPr="008054BB">
              <w:t xml:space="preserve"> communities in the Republic of Serbia.</w:t>
            </w:r>
          </w:p>
        </w:tc>
      </w:tr>
      <w:tr w:rsidR="008054BB" w:rsidRPr="008054BB" w14:paraId="599D896E" w14:textId="77777777" w:rsidTr="008054BB">
        <w:tc>
          <w:tcPr>
            <w:tcW w:w="771" w:type="pct"/>
            <w:shd w:val="clear" w:color="auto" w:fill="auto"/>
          </w:tcPr>
          <w:p w14:paraId="681663AE" w14:textId="7AD40A73" w:rsidR="008054BB" w:rsidRPr="008054BB" w:rsidRDefault="00087B19" w:rsidP="00100218">
            <w:pPr>
              <w:spacing w:before="40" w:after="120"/>
              <w:ind w:right="113"/>
            </w:pPr>
            <w:r>
              <w:t>131</w:t>
            </w:r>
            <w:r w:rsidR="008054BB" w:rsidRPr="008054BB">
              <w:t>.10.</w:t>
            </w:r>
          </w:p>
        </w:tc>
        <w:tc>
          <w:tcPr>
            <w:tcW w:w="1213" w:type="pct"/>
            <w:shd w:val="clear" w:color="auto" w:fill="auto"/>
          </w:tcPr>
          <w:p w14:paraId="3DFB0804" w14:textId="77777777" w:rsidR="008054BB" w:rsidRPr="008054BB" w:rsidRDefault="008054BB" w:rsidP="008054BB">
            <w:pPr>
              <w:spacing w:before="40" w:after="120"/>
              <w:ind w:right="113"/>
            </w:pPr>
            <w:r w:rsidRPr="008054BB">
              <w:t>NOTED</w:t>
            </w:r>
          </w:p>
        </w:tc>
        <w:tc>
          <w:tcPr>
            <w:tcW w:w="3016" w:type="pct"/>
            <w:shd w:val="clear" w:color="auto" w:fill="auto"/>
          </w:tcPr>
          <w:p w14:paraId="64E8BF99" w14:textId="77777777" w:rsidR="008054BB" w:rsidRPr="008054BB" w:rsidRDefault="008054BB" w:rsidP="008054BB">
            <w:pPr>
              <w:spacing w:before="40" w:after="120"/>
              <w:ind w:right="113"/>
            </w:pPr>
            <w:r w:rsidRPr="008054BB">
              <w:t xml:space="preserve">It should be noted here that ethnic intolerance and hate speech are not defined as institutes in the Criminal Code by using these same terms, and are instead qualified differently as criminal offences, specifically in Article 317 as the criminal offence of “Instigating national, racial and religious hatred and intolerance”, in a part thereof in Article 344a as the criminal offence of “Violent behaviour in sports events or public gatherings”, as an attribute of a criminal offence: “Whoever ... by his/her behaviour or slogans during a sports </w:t>
            </w:r>
            <w:r w:rsidRPr="008054BB">
              <w:lastRenderedPageBreak/>
              <w:t>event or a public gathering provokes national, racial, religious or other hatred or intolerance on a discriminatory basis due to which violence or physical fight is caused with participants” and in Article 387 as the criminal offence of “Racial and other discrimination”, where paragraph 3 of which reads as follows: “Whoever disseminates ideas of superiority of one race over another or promotes racial hatred or instigates racial discrimination shall be punished by imprisonment of the duration from three months to three years”, and where paragraph 4 of which reads as follows: “Whoever disseminates or otherwise makes publicly available any texts, images or any other representation of ideas or theories which are advocating or instigating hatred, discrimination or violence, against any person or group of persons, which are based on race, colour of the skin, religious affiliation, nationality, ethnic origin or another similar personal characteristic, shall be punished by imprisonment of the duration from three months to three years”.</w:t>
            </w:r>
          </w:p>
          <w:p w14:paraId="500B392E" w14:textId="77777777" w:rsidR="008054BB" w:rsidRPr="008054BB" w:rsidRDefault="008054BB" w:rsidP="008054BB">
            <w:pPr>
              <w:spacing w:before="40" w:after="120"/>
              <w:ind w:right="113"/>
            </w:pPr>
            <w:r w:rsidRPr="008054BB">
              <w:t xml:space="preserve">In addition to the above, it should also be noted here that a special circumstance is prescribed in Article 54a of the Criminal Code for determining the sentence for the criminal offences committed from hatred, </w:t>
            </w:r>
            <w:bookmarkStart w:id="0" w:name="clan_54a"/>
            <w:bookmarkEnd w:id="0"/>
            <w:r w:rsidRPr="008054BB">
              <w:t xml:space="preserve">i.e. if a criminal offence is committed from hatred due to another person’s affiliation to a race or a denomination, their national or ethnic affiliation, sexual orientation or gender identity, such a circumstance shall be taken into account by the court as an aggravated circumstance, unless where it is prescribed as a characteristic of a criminal offence. Consequently, the existence of such a circumstance shall be taken into account by the court when determining the sentence for perpetrators of all the criminal offences prescribed by that Code, unless where it is prescribed as a </w:t>
            </w:r>
            <w:proofErr w:type="gramStart"/>
            <w:r w:rsidRPr="008054BB">
              <w:t>characteristics of the criminal offences</w:t>
            </w:r>
            <w:proofErr w:type="gramEnd"/>
            <w:r w:rsidRPr="008054BB">
              <w:t>, in the above stated criminal offences.</w:t>
            </w:r>
          </w:p>
        </w:tc>
      </w:tr>
      <w:tr w:rsidR="008054BB" w:rsidRPr="008054BB" w14:paraId="6075CB38" w14:textId="77777777" w:rsidTr="008054BB">
        <w:tc>
          <w:tcPr>
            <w:tcW w:w="771" w:type="pct"/>
            <w:shd w:val="clear" w:color="auto" w:fill="auto"/>
          </w:tcPr>
          <w:p w14:paraId="304727A8" w14:textId="33A1D118" w:rsidR="008054BB" w:rsidRPr="008054BB" w:rsidRDefault="00087B19" w:rsidP="00100218">
            <w:pPr>
              <w:spacing w:before="40" w:after="120"/>
              <w:ind w:right="113"/>
            </w:pPr>
            <w:r>
              <w:lastRenderedPageBreak/>
              <w:t>131</w:t>
            </w:r>
            <w:r w:rsidR="008054BB" w:rsidRPr="008054BB">
              <w:t>.11.</w:t>
            </w:r>
          </w:p>
        </w:tc>
        <w:tc>
          <w:tcPr>
            <w:tcW w:w="1213" w:type="pct"/>
            <w:shd w:val="clear" w:color="auto" w:fill="auto"/>
          </w:tcPr>
          <w:p w14:paraId="34C92090" w14:textId="77777777" w:rsidR="008054BB" w:rsidRPr="008054BB" w:rsidRDefault="008054BB" w:rsidP="008054BB">
            <w:pPr>
              <w:spacing w:before="40" w:after="120"/>
              <w:ind w:right="113"/>
            </w:pPr>
            <w:r w:rsidRPr="008054BB">
              <w:t>SUPPORTED</w:t>
            </w:r>
          </w:p>
        </w:tc>
        <w:tc>
          <w:tcPr>
            <w:tcW w:w="3016" w:type="pct"/>
            <w:shd w:val="clear" w:color="auto" w:fill="auto"/>
          </w:tcPr>
          <w:p w14:paraId="22F3078F" w14:textId="77777777" w:rsidR="008054BB" w:rsidRPr="008054BB" w:rsidRDefault="008054BB" w:rsidP="008054BB">
            <w:pPr>
              <w:spacing w:before="40" w:after="120"/>
              <w:ind w:right="113"/>
            </w:pPr>
          </w:p>
        </w:tc>
      </w:tr>
      <w:tr w:rsidR="008054BB" w:rsidRPr="008054BB" w14:paraId="417794BE" w14:textId="77777777" w:rsidTr="008054BB">
        <w:tc>
          <w:tcPr>
            <w:tcW w:w="771" w:type="pct"/>
            <w:shd w:val="clear" w:color="auto" w:fill="auto"/>
          </w:tcPr>
          <w:p w14:paraId="43E46885" w14:textId="61DF4E2C" w:rsidR="008054BB" w:rsidRPr="008054BB" w:rsidRDefault="00087B19" w:rsidP="00100218">
            <w:pPr>
              <w:spacing w:before="40" w:after="120"/>
              <w:ind w:right="113"/>
            </w:pPr>
            <w:r>
              <w:t>131</w:t>
            </w:r>
            <w:r w:rsidR="008054BB" w:rsidRPr="008054BB">
              <w:t>.12.</w:t>
            </w:r>
          </w:p>
        </w:tc>
        <w:tc>
          <w:tcPr>
            <w:tcW w:w="1213" w:type="pct"/>
            <w:shd w:val="clear" w:color="auto" w:fill="auto"/>
          </w:tcPr>
          <w:p w14:paraId="2C8A8511"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3E5AEE5F" w14:textId="77777777" w:rsidR="008054BB" w:rsidRPr="008054BB" w:rsidRDefault="008054BB" w:rsidP="008054BB">
            <w:pPr>
              <w:spacing w:before="40" w:after="120"/>
              <w:ind w:right="113"/>
            </w:pPr>
          </w:p>
        </w:tc>
      </w:tr>
      <w:tr w:rsidR="008054BB" w:rsidRPr="008054BB" w14:paraId="300441D9" w14:textId="77777777" w:rsidTr="008054BB">
        <w:tc>
          <w:tcPr>
            <w:tcW w:w="771" w:type="pct"/>
            <w:shd w:val="clear" w:color="auto" w:fill="auto"/>
          </w:tcPr>
          <w:p w14:paraId="3744854B" w14:textId="4EC6E0A0" w:rsidR="008054BB" w:rsidRPr="008054BB" w:rsidRDefault="00087B19" w:rsidP="00100218">
            <w:pPr>
              <w:spacing w:before="40" w:after="120"/>
              <w:ind w:right="113"/>
            </w:pPr>
            <w:r>
              <w:t>131</w:t>
            </w:r>
            <w:r w:rsidR="008054BB" w:rsidRPr="008054BB">
              <w:t>.13.</w:t>
            </w:r>
          </w:p>
        </w:tc>
        <w:tc>
          <w:tcPr>
            <w:tcW w:w="1213" w:type="pct"/>
            <w:shd w:val="clear" w:color="auto" w:fill="auto"/>
          </w:tcPr>
          <w:p w14:paraId="5ABA6011" w14:textId="77777777" w:rsidR="008054BB" w:rsidRPr="008054BB" w:rsidRDefault="008054BB" w:rsidP="008054BB">
            <w:pPr>
              <w:spacing w:before="40" w:after="120"/>
              <w:ind w:right="113"/>
            </w:pPr>
            <w:r w:rsidRPr="008054BB">
              <w:t>NOTED</w:t>
            </w:r>
          </w:p>
        </w:tc>
        <w:tc>
          <w:tcPr>
            <w:tcW w:w="3016" w:type="pct"/>
            <w:shd w:val="clear" w:color="auto" w:fill="auto"/>
          </w:tcPr>
          <w:p w14:paraId="3B045381" w14:textId="7844F104" w:rsidR="008054BB" w:rsidRPr="008054BB" w:rsidRDefault="008054BB" w:rsidP="008054BB">
            <w:pPr>
              <w:spacing w:before="40" w:after="120"/>
              <w:ind w:right="113"/>
            </w:pPr>
            <w:r w:rsidRPr="008054BB">
              <w:t xml:space="preserve">In the legislation of the Republic of Serbia, </w:t>
            </w:r>
            <w:r w:rsidRPr="007B1C4D">
              <w:rPr>
                <w:b/>
                <w:bCs/>
              </w:rPr>
              <w:t>the enforced disappearances</w:t>
            </w:r>
            <w:r w:rsidRPr="008054BB">
              <w:t xml:space="preserve"> are, according to Article 371 of the Criminal Code, envisaged as a crime against humanity. Thus, in that context, the provisions of the International Convention for the Protection of All Persons from Enforced Disappearance are being directly applied. In respect of all the other statements, the absence of a specific criminal offence does not prevent criminal prosecution of persons responsible for serious infringements of international criminal law for the crimes committed in 1990s. The generally accepted rules of the international law and the ratified international treaties are integral parts of the legal order of the Republic of Serbia and are being directly applied. (Article 16 of the Constitution).</w:t>
            </w:r>
          </w:p>
        </w:tc>
      </w:tr>
      <w:tr w:rsidR="008054BB" w:rsidRPr="008054BB" w14:paraId="6FEABDE4" w14:textId="77777777" w:rsidTr="008054BB">
        <w:tc>
          <w:tcPr>
            <w:tcW w:w="771" w:type="pct"/>
            <w:shd w:val="clear" w:color="auto" w:fill="auto"/>
          </w:tcPr>
          <w:p w14:paraId="0AEA1E2E" w14:textId="3EA43085" w:rsidR="008054BB" w:rsidRPr="008054BB" w:rsidRDefault="00087B19" w:rsidP="00100218">
            <w:pPr>
              <w:spacing w:before="40" w:after="120"/>
              <w:ind w:right="113"/>
            </w:pPr>
            <w:r>
              <w:t>131</w:t>
            </w:r>
            <w:r w:rsidR="008054BB" w:rsidRPr="008054BB">
              <w:t>.14.</w:t>
            </w:r>
          </w:p>
        </w:tc>
        <w:tc>
          <w:tcPr>
            <w:tcW w:w="1213" w:type="pct"/>
            <w:shd w:val="clear" w:color="auto" w:fill="auto"/>
          </w:tcPr>
          <w:p w14:paraId="52948262" w14:textId="77777777" w:rsidR="008054BB" w:rsidRPr="008054BB" w:rsidRDefault="008054BB" w:rsidP="008054BB">
            <w:pPr>
              <w:spacing w:before="40" w:after="120"/>
              <w:ind w:right="113"/>
            </w:pPr>
            <w:r w:rsidRPr="008054BB">
              <w:t>NOTED</w:t>
            </w:r>
          </w:p>
        </w:tc>
        <w:tc>
          <w:tcPr>
            <w:tcW w:w="3016" w:type="pct"/>
            <w:shd w:val="clear" w:color="auto" w:fill="auto"/>
          </w:tcPr>
          <w:p w14:paraId="02CC3A71" w14:textId="25D7D1F4" w:rsidR="008054BB" w:rsidRPr="008054BB" w:rsidRDefault="008054BB" w:rsidP="008054BB">
            <w:pPr>
              <w:spacing w:before="40" w:after="120"/>
              <w:ind w:right="113"/>
            </w:pPr>
            <w:r w:rsidRPr="008054BB">
              <w:t xml:space="preserve">See </w:t>
            </w:r>
            <w:r w:rsidR="00087B19">
              <w:t>131</w:t>
            </w:r>
            <w:r w:rsidRPr="008054BB">
              <w:t>.13</w:t>
            </w:r>
            <w:r w:rsidR="00D14822">
              <w:t>.</w:t>
            </w:r>
          </w:p>
        </w:tc>
      </w:tr>
      <w:tr w:rsidR="008054BB" w:rsidRPr="008054BB" w14:paraId="1F6D138B" w14:textId="77777777" w:rsidTr="008054BB">
        <w:tc>
          <w:tcPr>
            <w:tcW w:w="771" w:type="pct"/>
            <w:shd w:val="clear" w:color="auto" w:fill="auto"/>
          </w:tcPr>
          <w:p w14:paraId="287EC135" w14:textId="3BE6225A" w:rsidR="008054BB" w:rsidRPr="008054BB" w:rsidRDefault="00087B19" w:rsidP="00100218">
            <w:pPr>
              <w:spacing w:before="40" w:after="120"/>
              <w:ind w:right="113"/>
            </w:pPr>
            <w:r>
              <w:t>131</w:t>
            </w:r>
            <w:r w:rsidR="008054BB" w:rsidRPr="008054BB">
              <w:t>.15.</w:t>
            </w:r>
          </w:p>
        </w:tc>
        <w:tc>
          <w:tcPr>
            <w:tcW w:w="1213" w:type="pct"/>
            <w:shd w:val="clear" w:color="auto" w:fill="auto"/>
          </w:tcPr>
          <w:p w14:paraId="21C6DBE2"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64EE2778" w14:textId="77777777" w:rsidR="008054BB" w:rsidRPr="008054BB" w:rsidRDefault="008054BB" w:rsidP="008054BB">
            <w:pPr>
              <w:spacing w:before="40" w:after="120"/>
              <w:ind w:right="113"/>
            </w:pPr>
          </w:p>
        </w:tc>
      </w:tr>
      <w:tr w:rsidR="008054BB" w:rsidRPr="008054BB" w14:paraId="19E58510" w14:textId="77777777" w:rsidTr="008054BB">
        <w:tc>
          <w:tcPr>
            <w:tcW w:w="771" w:type="pct"/>
            <w:shd w:val="clear" w:color="auto" w:fill="auto"/>
          </w:tcPr>
          <w:p w14:paraId="51B05125" w14:textId="06C0ADD7" w:rsidR="008054BB" w:rsidRPr="008054BB" w:rsidRDefault="00087B19" w:rsidP="00100218">
            <w:pPr>
              <w:spacing w:before="40" w:after="120"/>
              <w:ind w:right="113"/>
            </w:pPr>
            <w:r>
              <w:t>131</w:t>
            </w:r>
            <w:r w:rsidR="008054BB" w:rsidRPr="008054BB">
              <w:t>.16.</w:t>
            </w:r>
          </w:p>
        </w:tc>
        <w:tc>
          <w:tcPr>
            <w:tcW w:w="1213" w:type="pct"/>
            <w:shd w:val="clear" w:color="auto" w:fill="auto"/>
          </w:tcPr>
          <w:p w14:paraId="7425D978"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6B14D969" w14:textId="77777777" w:rsidR="008054BB" w:rsidRPr="008054BB" w:rsidRDefault="008054BB" w:rsidP="008054BB">
            <w:pPr>
              <w:spacing w:before="40" w:after="120"/>
              <w:ind w:right="113"/>
            </w:pPr>
          </w:p>
        </w:tc>
      </w:tr>
      <w:tr w:rsidR="008054BB" w:rsidRPr="008054BB" w14:paraId="242989A0" w14:textId="77777777" w:rsidTr="008054BB">
        <w:tc>
          <w:tcPr>
            <w:tcW w:w="771" w:type="pct"/>
            <w:shd w:val="clear" w:color="auto" w:fill="auto"/>
          </w:tcPr>
          <w:p w14:paraId="30B06A8E" w14:textId="28D9CE19" w:rsidR="008054BB" w:rsidRPr="008054BB" w:rsidRDefault="00087B19" w:rsidP="00100218">
            <w:pPr>
              <w:spacing w:before="40" w:after="120"/>
              <w:ind w:right="113"/>
            </w:pPr>
            <w:r>
              <w:lastRenderedPageBreak/>
              <w:t>131</w:t>
            </w:r>
            <w:r w:rsidR="008054BB" w:rsidRPr="008054BB">
              <w:t>.17.</w:t>
            </w:r>
          </w:p>
        </w:tc>
        <w:tc>
          <w:tcPr>
            <w:tcW w:w="1213" w:type="pct"/>
            <w:shd w:val="clear" w:color="auto" w:fill="auto"/>
          </w:tcPr>
          <w:p w14:paraId="161D1F0C" w14:textId="77777777" w:rsidR="008054BB" w:rsidRPr="008054BB" w:rsidRDefault="008054BB" w:rsidP="008054BB">
            <w:pPr>
              <w:spacing w:before="40" w:after="120"/>
              <w:ind w:right="113"/>
            </w:pPr>
            <w:r w:rsidRPr="008054BB">
              <w:t>SUPPORTED</w:t>
            </w:r>
          </w:p>
        </w:tc>
        <w:tc>
          <w:tcPr>
            <w:tcW w:w="3016" w:type="pct"/>
            <w:shd w:val="clear" w:color="auto" w:fill="auto"/>
          </w:tcPr>
          <w:p w14:paraId="763CDB1C" w14:textId="0773292E" w:rsidR="008054BB" w:rsidRPr="008054BB" w:rsidRDefault="008054BB" w:rsidP="008054BB">
            <w:pPr>
              <w:spacing w:before="40" w:after="120"/>
              <w:ind w:right="113"/>
            </w:pPr>
            <w:r w:rsidRPr="008054BB">
              <w:t>The recommendation is acceptable in the part thereof relating to effective implementation of the National Strategy for the Prosecution of War Crimes and in the part thereof relating to the regional and broader international cooperation in these proceedings.</w:t>
            </w:r>
            <w:r w:rsidRPr="008054BB">
              <w:rPr>
                <w:noProof/>
                <w:lang w:val="en-US"/>
              </w:rPr>
              <w:drawing>
                <wp:inline distT="0" distB="0" distL="0" distR="0" wp14:anchorId="1B7C552C" wp14:editId="31398A16">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7AEB384" w14:textId="77777777" w:rsidR="008054BB" w:rsidRPr="008054BB" w:rsidRDefault="008054BB" w:rsidP="008054BB">
            <w:pPr>
              <w:spacing w:before="40" w:after="120"/>
              <w:ind w:right="113"/>
            </w:pPr>
            <w:r w:rsidRPr="008054BB">
              <w:t>It should be noted here that the Strategy does not define the priority procedures or cases, and that it instead envisages activities aimed at general efficiently increasing in these proceedings and also that it provides a broader framework for passing further, concrete strategic documents in the field of war crimes, such as the revised Prosecution Strategy for Investigating and Prosecution of War Crimes.</w:t>
            </w:r>
          </w:p>
        </w:tc>
      </w:tr>
      <w:tr w:rsidR="008054BB" w:rsidRPr="008054BB" w14:paraId="7F46C831" w14:textId="77777777" w:rsidTr="008054BB">
        <w:tc>
          <w:tcPr>
            <w:tcW w:w="771" w:type="pct"/>
            <w:shd w:val="clear" w:color="auto" w:fill="auto"/>
          </w:tcPr>
          <w:p w14:paraId="3030E0BF" w14:textId="46C46960" w:rsidR="008054BB" w:rsidRPr="008054BB" w:rsidRDefault="00087B19" w:rsidP="00100218">
            <w:pPr>
              <w:spacing w:before="40" w:after="120"/>
              <w:ind w:right="113"/>
            </w:pPr>
            <w:r>
              <w:t>131</w:t>
            </w:r>
            <w:r w:rsidR="008054BB" w:rsidRPr="008054BB">
              <w:t>.18.</w:t>
            </w:r>
          </w:p>
        </w:tc>
        <w:tc>
          <w:tcPr>
            <w:tcW w:w="1213" w:type="pct"/>
            <w:shd w:val="clear" w:color="auto" w:fill="auto"/>
          </w:tcPr>
          <w:p w14:paraId="2AC2CFED" w14:textId="77777777" w:rsidR="008054BB" w:rsidRPr="008054BB" w:rsidRDefault="008054BB" w:rsidP="008054BB">
            <w:pPr>
              <w:spacing w:before="40" w:after="120"/>
              <w:ind w:right="113"/>
            </w:pPr>
            <w:r w:rsidRPr="008054BB">
              <w:t>SUPPORTED/ NOTED</w:t>
            </w:r>
          </w:p>
        </w:tc>
        <w:tc>
          <w:tcPr>
            <w:tcW w:w="3016" w:type="pct"/>
            <w:shd w:val="clear" w:color="auto" w:fill="auto"/>
          </w:tcPr>
          <w:p w14:paraId="1B78AB0D" w14:textId="70659662" w:rsidR="008054BB" w:rsidRPr="008054BB" w:rsidRDefault="008054BB" w:rsidP="008054BB">
            <w:pPr>
              <w:spacing w:before="40" w:after="120"/>
              <w:ind w:right="113"/>
            </w:pPr>
            <w:r w:rsidRPr="008054BB">
              <w:t xml:space="preserve">The part of the recommendation relating to reparations to the victims is not completely clear, bearing in mind that the reparations are paid between two states, and in that part this recommendation </w:t>
            </w:r>
            <w:r w:rsidRPr="008054BB">
              <w:rPr>
                <w:u w:val="single"/>
              </w:rPr>
              <w:t>does not enjoy support</w:t>
            </w:r>
            <w:r w:rsidRPr="008054BB">
              <w:t xml:space="preserve"> from the Republic of Serbia.</w:t>
            </w:r>
          </w:p>
        </w:tc>
      </w:tr>
      <w:tr w:rsidR="008054BB" w:rsidRPr="008054BB" w14:paraId="59544A3A" w14:textId="77777777" w:rsidTr="008054BB">
        <w:tc>
          <w:tcPr>
            <w:tcW w:w="771" w:type="pct"/>
            <w:shd w:val="clear" w:color="auto" w:fill="auto"/>
          </w:tcPr>
          <w:p w14:paraId="60C2D0BA" w14:textId="780B6EF9" w:rsidR="008054BB" w:rsidRPr="008054BB" w:rsidRDefault="00087B19" w:rsidP="00100218">
            <w:pPr>
              <w:spacing w:before="40" w:after="120"/>
              <w:ind w:right="113"/>
            </w:pPr>
            <w:r>
              <w:t>131</w:t>
            </w:r>
            <w:r w:rsidR="008054BB" w:rsidRPr="008054BB">
              <w:t>.19.</w:t>
            </w:r>
          </w:p>
        </w:tc>
        <w:tc>
          <w:tcPr>
            <w:tcW w:w="1213" w:type="pct"/>
            <w:shd w:val="clear" w:color="auto" w:fill="auto"/>
          </w:tcPr>
          <w:p w14:paraId="04D9C52B" w14:textId="04471C59" w:rsidR="008054BB" w:rsidRPr="008054BB" w:rsidRDefault="008054BB" w:rsidP="008054BB">
            <w:pPr>
              <w:spacing w:before="40" w:after="120"/>
              <w:ind w:right="113"/>
            </w:pPr>
            <w:r w:rsidRPr="008054BB">
              <w:t>SUPPORTED/NOTED</w:t>
            </w:r>
          </w:p>
        </w:tc>
        <w:tc>
          <w:tcPr>
            <w:tcW w:w="3016" w:type="pct"/>
            <w:shd w:val="clear" w:color="auto" w:fill="auto"/>
          </w:tcPr>
          <w:p w14:paraId="316DB8B8" w14:textId="639E40A0" w:rsidR="008054BB" w:rsidRPr="008054BB" w:rsidRDefault="008054BB" w:rsidP="008054BB">
            <w:pPr>
              <w:spacing w:before="40" w:after="120"/>
              <w:ind w:right="113"/>
            </w:pPr>
            <w:r w:rsidRPr="008054BB">
              <w:t xml:space="preserve">See </w:t>
            </w:r>
            <w:r w:rsidR="00087B19">
              <w:t>131</w:t>
            </w:r>
            <w:r w:rsidRPr="008054BB">
              <w:t>.18</w:t>
            </w:r>
            <w:r w:rsidR="00D14822">
              <w:t>.</w:t>
            </w:r>
          </w:p>
        </w:tc>
      </w:tr>
      <w:tr w:rsidR="008054BB" w:rsidRPr="008054BB" w14:paraId="13C678C5" w14:textId="77777777" w:rsidTr="008054BB">
        <w:tc>
          <w:tcPr>
            <w:tcW w:w="771" w:type="pct"/>
            <w:shd w:val="clear" w:color="auto" w:fill="auto"/>
          </w:tcPr>
          <w:p w14:paraId="399F4930" w14:textId="69AD4442" w:rsidR="008054BB" w:rsidRPr="008054BB" w:rsidRDefault="00087B19" w:rsidP="00100218">
            <w:pPr>
              <w:spacing w:before="40" w:after="120"/>
              <w:ind w:right="113"/>
            </w:pPr>
            <w:r>
              <w:t>131</w:t>
            </w:r>
            <w:r w:rsidR="008054BB" w:rsidRPr="008054BB">
              <w:t>.20.</w:t>
            </w:r>
          </w:p>
        </w:tc>
        <w:tc>
          <w:tcPr>
            <w:tcW w:w="1213" w:type="pct"/>
            <w:shd w:val="clear" w:color="auto" w:fill="auto"/>
          </w:tcPr>
          <w:p w14:paraId="2EC77A06" w14:textId="77777777" w:rsidR="008054BB" w:rsidRPr="008054BB" w:rsidRDefault="008054BB" w:rsidP="008054BB">
            <w:pPr>
              <w:spacing w:before="40" w:after="120"/>
              <w:ind w:right="113"/>
            </w:pPr>
            <w:r w:rsidRPr="008054BB">
              <w:t>NOTED</w:t>
            </w:r>
          </w:p>
        </w:tc>
        <w:tc>
          <w:tcPr>
            <w:tcW w:w="3016" w:type="pct"/>
            <w:shd w:val="clear" w:color="auto" w:fill="auto"/>
          </w:tcPr>
          <w:p w14:paraId="35A10BE0" w14:textId="3D9DE2CC" w:rsidR="008054BB" w:rsidRPr="008054BB" w:rsidRDefault="008054BB" w:rsidP="008054BB">
            <w:pPr>
              <w:spacing w:before="40" w:after="120"/>
              <w:ind w:right="113"/>
            </w:pPr>
            <w:r w:rsidRPr="008054BB">
              <w:t>The part of the recommendation relating to education –</w:t>
            </w:r>
            <w:r w:rsidR="00D14822">
              <w:t xml:space="preserve"> </w:t>
            </w:r>
            <w:r w:rsidRPr="007B1C4D">
              <w:rPr>
                <w:b/>
              </w:rPr>
              <w:t>shall be duly noted, with the following explanation</w:t>
            </w:r>
            <w:r w:rsidRPr="008054BB">
              <w:t>: It is not completely clear what educational programmes were mentioned here, a clarification will need to be provided here. If it is a case of educational contents and topics for further professional training of staff in the field of human rights, non-discrimination policies, learning about the Holocaust and suffering of other nations in armed conflicts, we can accept the recommendation. This part of the recommendation needs to be specified in more detail.</w:t>
            </w:r>
          </w:p>
          <w:p w14:paraId="7E516617" w14:textId="77777777" w:rsidR="008054BB" w:rsidRPr="008054BB" w:rsidRDefault="008054BB" w:rsidP="008054BB">
            <w:pPr>
              <w:spacing w:before="40" w:after="120"/>
              <w:ind w:right="113"/>
            </w:pPr>
            <w:r w:rsidRPr="008054BB">
              <w:t xml:space="preserve">The part of the recommendation relating to reparations for victims is not completely clear, bearing in mind that the reparations are paid between two states, and in that part this recommendation </w:t>
            </w:r>
            <w:r w:rsidRPr="008054BB">
              <w:rPr>
                <w:u w:val="single"/>
              </w:rPr>
              <w:t>does not enjoy support</w:t>
            </w:r>
            <w:r w:rsidRPr="008054BB">
              <w:t xml:space="preserve"> from the Republic of Serbia.</w:t>
            </w:r>
          </w:p>
        </w:tc>
      </w:tr>
      <w:tr w:rsidR="008054BB" w:rsidRPr="008054BB" w14:paraId="3FD1A67E" w14:textId="77777777" w:rsidTr="008054BB">
        <w:tc>
          <w:tcPr>
            <w:tcW w:w="771" w:type="pct"/>
            <w:shd w:val="clear" w:color="auto" w:fill="auto"/>
          </w:tcPr>
          <w:p w14:paraId="52B1EB64" w14:textId="37209748" w:rsidR="008054BB" w:rsidRPr="008054BB" w:rsidRDefault="00087B19" w:rsidP="00100218">
            <w:pPr>
              <w:spacing w:before="40" w:after="120"/>
              <w:ind w:right="113"/>
            </w:pPr>
            <w:r>
              <w:t>131</w:t>
            </w:r>
            <w:r w:rsidR="008054BB" w:rsidRPr="008054BB">
              <w:t>.21.</w:t>
            </w:r>
          </w:p>
        </w:tc>
        <w:tc>
          <w:tcPr>
            <w:tcW w:w="1213" w:type="pct"/>
            <w:shd w:val="clear" w:color="auto" w:fill="auto"/>
          </w:tcPr>
          <w:p w14:paraId="0EA04B33" w14:textId="77777777" w:rsidR="008054BB" w:rsidRPr="008054BB" w:rsidRDefault="008054BB" w:rsidP="008054BB">
            <w:pPr>
              <w:spacing w:before="40" w:after="120"/>
              <w:ind w:right="113"/>
            </w:pPr>
            <w:r w:rsidRPr="008054BB">
              <w:t>NOTED</w:t>
            </w:r>
          </w:p>
        </w:tc>
        <w:tc>
          <w:tcPr>
            <w:tcW w:w="3016" w:type="pct"/>
            <w:shd w:val="clear" w:color="auto" w:fill="auto"/>
          </w:tcPr>
          <w:p w14:paraId="36719E46" w14:textId="77777777" w:rsidR="008054BB" w:rsidRPr="008054BB" w:rsidRDefault="008054BB" w:rsidP="008054BB">
            <w:pPr>
              <w:spacing w:before="40" w:after="120"/>
              <w:ind w:right="113"/>
            </w:pPr>
            <w:r w:rsidRPr="008054BB">
              <w:t xml:space="preserve">Bearing in mind that the reparations are paid between two states, and in that part this recommendation </w:t>
            </w:r>
            <w:r w:rsidRPr="008054BB">
              <w:rPr>
                <w:u w:val="single"/>
              </w:rPr>
              <w:t>does not enjoy support</w:t>
            </w:r>
            <w:r w:rsidRPr="008054BB">
              <w:t xml:space="preserve"> from the Republic of Serbia.</w:t>
            </w:r>
          </w:p>
        </w:tc>
      </w:tr>
      <w:tr w:rsidR="008054BB" w:rsidRPr="008054BB" w14:paraId="794B6507" w14:textId="77777777" w:rsidTr="008054BB">
        <w:tc>
          <w:tcPr>
            <w:tcW w:w="771" w:type="pct"/>
            <w:shd w:val="clear" w:color="auto" w:fill="auto"/>
          </w:tcPr>
          <w:p w14:paraId="661B5A49" w14:textId="78586FEE" w:rsidR="008054BB" w:rsidRPr="008054BB" w:rsidRDefault="00087B19" w:rsidP="00100218">
            <w:pPr>
              <w:spacing w:before="40" w:after="120"/>
              <w:ind w:right="113"/>
            </w:pPr>
            <w:r>
              <w:t>131</w:t>
            </w:r>
            <w:r w:rsidR="008054BB" w:rsidRPr="008054BB">
              <w:t>.22.</w:t>
            </w:r>
          </w:p>
        </w:tc>
        <w:tc>
          <w:tcPr>
            <w:tcW w:w="1213" w:type="pct"/>
            <w:shd w:val="clear" w:color="auto" w:fill="auto"/>
          </w:tcPr>
          <w:p w14:paraId="4263984F" w14:textId="77777777" w:rsidR="008054BB" w:rsidRPr="008054BB" w:rsidRDefault="008054BB" w:rsidP="008054BB">
            <w:pPr>
              <w:spacing w:before="40" w:after="120"/>
              <w:ind w:right="113"/>
            </w:pPr>
            <w:r w:rsidRPr="008054BB">
              <w:t>NOTED</w:t>
            </w:r>
          </w:p>
        </w:tc>
        <w:tc>
          <w:tcPr>
            <w:tcW w:w="3016" w:type="pct"/>
            <w:shd w:val="clear" w:color="auto" w:fill="auto"/>
          </w:tcPr>
          <w:p w14:paraId="29FD6654" w14:textId="27D276D6" w:rsidR="008054BB" w:rsidRPr="008054BB" w:rsidRDefault="00233143" w:rsidP="008054BB">
            <w:pPr>
              <w:spacing w:before="40" w:after="120"/>
              <w:ind w:right="113"/>
            </w:pPr>
            <w:r>
              <w:t>“</w:t>
            </w:r>
            <w:r w:rsidR="008054BB" w:rsidRPr="008054BB">
              <w:t>Avoiding conflict of jurisdictions</w:t>
            </w:r>
            <w:r>
              <w:t>”</w:t>
            </w:r>
            <w:r w:rsidR="008054BB" w:rsidRPr="008054BB">
              <w:t xml:space="preserve"> in relation to war crimes can be interpreted as a renewed introduction of the issue of “universal jurisdiction”, which is a legacy of the international humanitarian law. It should be noted here that that type of jurisdiction is recognized in the legal system of Croatia, and in the legal systems of other EU Member States as well, and Croatia has been increasingly insisting on abolition in Serbian legal order. The recommendation is imprecise in the part where “and related issues”</w:t>
            </w:r>
            <w:r w:rsidR="008054BB" w:rsidRPr="008054BB">
              <w:rPr>
                <w:bCs/>
              </w:rPr>
              <w:t xml:space="preserve"> are mentioned.</w:t>
            </w:r>
          </w:p>
        </w:tc>
      </w:tr>
      <w:tr w:rsidR="008054BB" w:rsidRPr="008054BB" w14:paraId="750F036E" w14:textId="77777777" w:rsidTr="008054BB">
        <w:tc>
          <w:tcPr>
            <w:tcW w:w="771" w:type="pct"/>
            <w:shd w:val="clear" w:color="auto" w:fill="auto"/>
          </w:tcPr>
          <w:p w14:paraId="45C39AA7" w14:textId="73CB084D" w:rsidR="008054BB" w:rsidRPr="008054BB" w:rsidRDefault="00087B19" w:rsidP="00100218">
            <w:pPr>
              <w:spacing w:before="40" w:after="120"/>
              <w:ind w:right="113"/>
            </w:pPr>
            <w:r>
              <w:t>131</w:t>
            </w:r>
            <w:r w:rsidR="008054BB" w:rsidRPr="008054BB">
              <w:t>.23.</w:t>
            </w:r>
          </w:p>
        </w:tc>
        <w:tc>
          <w:tcPr>
            <w:tcW w:w="1213" w:type="pct"/>
            <w:shd w:val="clear" w:color="auto" w:fill="auto"/>
          </w:tcPr>
          <w:p w14:paraId="7C10C325" w14:textId="50B0F8F8" w:rsidR="008054BB" w:rsidRPr="008054BB" w:rsidRDefault="008054BB" w:rsidP="008054BB">
            <w:pPr>
              <w:spacing w:before="40" w:after="120"/>
              <w:ind w:right="113"/>
            </w:pPr>
            <w:r w:rsidRPr="008054BB">
              <w:t>SUPPORTED/NOTED</w:t>
            </w:r>
          </w:p>
        </w:tc>
        <w:tc>
          <w:tcPr>
            <w:tcW w:w="3016" w:type="pct"/>
            <w:shd w:val="clear" w:color="auto" w:fill="auto"/>
          </w:tcPr>
          <w:p w14:paraId="2A1B5169" w14:textId="49222DAB" w:rsidR="008054BB" w:rsidRPr="008054BB" w:rsidRDefault="008054BB" w:rsidP="008054BB">
            <w:pPr>
              <w:spacing w:before="40" w:after="120"/>
              <w:ind w:right="113"/>
            </w:pPr>
            <w:r w:rsidRPr="007B1C4D">
              <w:rPr>
                <w:b/>
                <w:bCs/>
              </w:rPr>
              <w:t>With a note</w:t>
            </w:r>
            <w:r w:rsidRPr="008054BB">
              <w:t xml:space="preserve"> that in the part “guarantee the freedom of the press by discontinuing direct government influence on the press” this recommendation does not enjoy support from our country since we are of the opinion that the Government does not exert any direct influence on media or on the press for that matter.</w:t>
            </w:r>
          </w:p>
        </w:tc>
      </w:tr>
      <w:tr w:rsidR="008054BB" w:rsidRPr="008054BB" w14:paraId="782059BD" w14:textId="77777777" w:rsidTr="008054BB">
        <w:tc>
          <w:tcPr>
            <w:tcW w:w="771" w:type="pct"/>
            <w:shd w:val="clear" w:color="auto" w:fill="auto"/>
          </w:tcPr>
          <w:p w14:paraId="0F7C6C15" w14:textId="4F0A6224" w:rsidR="008054BB" w:rsidRPr="008054BB" w:rsidRDefault="00087B19" w:rsidP="00100218">
            <w:pPr>
              <w:spacing w:before="40" w:after="120"/>
              <w:ind w:right="113"/>
            </w:pPr>
            <w:r>
              <w:lastRenderedPageBreak/>
              <w:t>131</w:t>
            </w:r>
            <w:r w:rsidR="008054BB" w:rsidRPr="008054BB">
              <w:t>.24.</w:t>
            </w:r>
          </w:p>
        </w:tc>
        <w:tc>
          <w:tcPr>
            <w:tcW w:w="1213" w:type="pct"/>
            <w:shd w:val="clear" w:color="auto" w:fill="auto"/>
          </w:tcPr>
          <w:p w14:paraId="334B0BBD"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610E2EA5" w14:textId="77777777" w:rsidR="008054BB" w:rsidRPr="008054BB" w:rsidRDefault="008054BB" w:rsidP="008054BB">
            <w:pPr>
              <w:spacing w:before="40" w:after="120"/>
              <w:ind w:right="113"/>
            </w:pPr>
          </w:p>
        </w:tc>
      </w:tr>
      <w:tr w:rsidR="008054BB" w:rsidRPr="008054BB" w14:paraId="53CC166A" w14:textId="77777777" w:rsidTr="008054BB">
        <w:tc>
          <w:tcPr>
            <w:tcW w:w="771" w:type="pct"/>
            <w:shd w:val="clear" w:color="auto" w:fill="auto"/>
          </w:tcPr>
          <w:p w14:paraId="32753DB1" w14:textId="5C63D5C5" w:rsidR="008054BB" w:rsidRPr="008054BB" w:rsidRDefault="00087B19" w:rsidP="00100218">
            <w:pPr>
              <w:spacing w:before="40" w:after="120"/>
              <w:ind w:right="113"/>
            </w:pPr>
            <w:r>
              <w:t>131</w:t>
            </w:r>
            <w:r w:rsidR="008054BB" w:rsidRPr="008054BB">
              <w:t>.25.</w:t>
            </w:r>
          </w:p>
        </w:tc>
        <w:tc>
          <w:tcPr>
            <w:tcW w:w="1213" w:type="pct"/>
            <w:shd w:val="clear" w:color="auto" w:fill="auto"/>
          </w:tcPr>
          <w:p w14:paraId="56CC8791"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46B9750C" w14:textId="77777777" w:rsidR="008054BB" w:rsidRPr="008054BB" w:rsidRDefault="008054BB" w:rsidP="008054BB">
            <w:pPr>
              <w:spacing w:before="40" w:after="120"/>
              <w:ind w:right="113"/>
            </w:pPr>
          </w:p>
        </w:tc>
      </w:tr>
      <w:tr w:rsidR="008054BB" w:rsidRPr="008054BB" w14:paraId="1C55282E" w14:textId="77777777" w:rsidTr="008054BB">
        <w:tc>
          <w:tcPr>
            <w:tcW w:w="771" w:type="pct"/>
            <w:shd w:val="clear" w:color="auto" w:fill="auto"/>
          </w:tcPr>
          <w:p w14:paraId="1A805369" w14:textId="7D0CC679" w:rsidR="008054BB" w:rsidRPr="008054BB" w:rsidRDefault="00087B19" w:rsidP="00100218">
            <w:pPr>
              <w:spacing w:before="40" w:after="120"/>
              <w:ind w:right="113"/>
            </w:pPr>
            <w:r>
              <w:t>131</w:t>
            </w:r>
            <w:r w:rsidR="008054BB" w:rsidRPr="008054BB">
              <w:t>.26.</w:t>
            </w:r>
          </w:p>
        </w:tc>
        <w:tc>
          <w:tcPr>
            <w:tcW w:w="1213" w:type="pct"/>
            <w:shd w:val="clear" w:color="auto" w:fill="auto"/>
          </w:tcPr>
          <w:p w14:paraId="480CAA2D"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28E961AE" w14:textId="77777777" w:rsidR="008054BB" w:rsidRPr="008054BB" w:rsidRDefault="008054BB" w:rsidP="008054BB">
            <w:pPr>
              <w:spacing w:before="40" w:after="120"/>
              <w:ind w:right="113"/>
            </w:pPr>
          </w:p>
        </w:tc>
      </w:tr>
      <w:tr w:rsidR="008054BB" w:rsidRPr="008054BB" w14:paraId="72EEE660" w14:textId="77777777" w:rsidTr="008054BB">
        <w:tc>
          <w:tcPr>
            <w:tcW w:w="771" w:type="pct"/>
            <w:shd w:val="clear" w:color="auto" w:fill="auto"/>
          </w:tcPr>
          <w:p w14:paraId="5090D2D0" w14:textId="6E26FCFA" w:rsidR="008054BB" w:rsidRPr="008054BB" w:rsidRDefault="00087B19" w:rsidP="00100218">
            <w:pPr>
              <w:spacing w:before="40" w:after="120"/>
              <w:ind w:right="113"/>
            </w:pPr>
            <w:r>
              <w:t>131</w:t>
            </w:r>
            <w:r w:rsidR="008054BB" w:rsidRPr="008054BB">
              <w:t>.27.</w:t>
            </w:r>
          </w:p>
        </w:tc>
        <w:tc>
          <w:tcPr>
            <w:tcW w:w="1213" w:type="pct"/>
            <w:shd w:val="clear" w:color="auto" w:fill="auto"/>
          </w:tcPr>
          <w:p w14:paraId="5EF460C9"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6031D616" w14:textId="77777777" w:rsidR="008054BB" w:rsidRPr="008054BB" w:rsidRDefault="008054BB" w:rsidP="008054BB">
            <w:pPr>
              <w:spacing w:before="40" w:after="120"/>
              <w:ind w:right="113"/>
            </w:pPr>
          </w:p>
        </w:tc>
      </w:tr>
      <w:tr w:rsidR="008054BB" w:rsidRPr="008054BB" w14:paraId="41303017" w14:textId="77777777" w:rsidTr="008054BB">
        <w:tc>
          <w:tcPr>
            <w:tcW w:w="771" w:type="pct"/>
            <w:shd w:val="clear" w:color="auto" w:fill="auto"/>
          </w:tcPr>
          <w:p w14:paraId="3BDEC065" w14:textId="68C3E7BF" w:rsidR="008054BB" w:rsidRPr="008054BB" w:rsidRDefault="00087B19" w:rsidP="00100218">
            <w:pPr>
              <w:spacing w:before="40" w:after="120"/>
              <w:ind w:right="113"/>
            </w:pPr>
            <w:r>
              <w:t>131</w:t>
            </w:r>
            <w:r w:rsidR="008054BB" w:rsidRPr="008054BB">
              <w:t>.28.</w:t>
            </w:r>
          </w:p>
        </w:tc>
        <w:tc>
          <w:tcPr>
            <w:tcW w:w="1213" w:type="pct"/>
            <w:shd w:val="clear" w:color="auto" w:fill="auto"/>
          </w:tcPr>
          <w:p w14:paraId="6B87BDA7"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51839D23" w14:textId="77777777" w:rsidR="008054BB" w:rsidRPr="008054BB" w:rsidRDefault="008054BB" w:rsidP="008054BB">
            <w:pPr>
              <w:spacing w:before="40" w:after="120"/>
              <w:ind w:right="113"/>
            </w:pPr>
          </w:p>
        </w:tc>
      </w:tr>
      <w:tr w:rsidR="008054BB" w:rsidRPr="008054BB" w14:paraId="72DC072B" w14:textId="77777777" w:rsidTr="008054BB">
        <w:tc>
          <w:tcPr>
            <w:tcW w:w="771" w:type="pct"/>
            <w:shd w:val="clear" w:color="auto" w:fill="auto"/>
          </w:tcPr>
          <w:p w14:paraId="6DB2FA27" w14:textId="0FEC467D" w:rsidR="008054BB" w:rsidRPr="008054BB" w:rsidRDefault="00087B19" w:rsidP="00100218">
            <w:pPr>
              <w:spacing w:before="40" w:after="120"/>
              <w:ind w:right="113"/>
            </w:pPr>
            <w:r>
              <w:t>131</w:t>
            </w:r>
            <w:r w:rsidR="008054BB" w:rsidRPr="008054BB">
              <w:t>.29.</w:t>
            </w:r>
          </w:p>
        </w:tc>
        <w:tc>
          <w:tcPr>
            <w:tcW w:w="1213" w:type="pct"/>
            <w:shd w:val="clear" w:color="auto" w:fill="auto"/>
          </w:tcPr>
          <w:p w14:paraId="06339ACA"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37DB4B14" w14:textId="4C3BE529" w:rsidR="008054BB" w:rsidRPr="008054BB" w:rsidRDefault="008054BB" w:rsidP="008054BB">
            <w:pPr>
              <w:spacing w:before="40" w:after="120"/>
              <w:ind w:right="113"/>
            </w:pPr>
            <w:r w:rsidRPr="007B1C4D">
              <w:rPr>
                <w:b/>
                <w:bCs/>
              </w:rPr>
              <w:t>NOTE</w:t>
            </w:r>
            <w:r w:rsidRPr="008054BB">
              <w:t>: The provisions of the Inter-Church Agreement between the Serbian Orthodox Church (The SOC) and the Romanian Orthodox Church (the ROC) from 2006, and on the occasion of registration of the “</w:t>
            </w:r>
            <w:proofErr w:type="spellStart"/>
            <w:r w:rsidRPr="008054BB">
              <w:t>Dakia</w:t>
            </w:r>
            <w:proofErr w:type="spellEnd"/>
            <w:r w:rsidRPr="008054BB">
              <w:t xml:space="preserve"> Felix” Eparchy of the ROC in the Register of Churches and Religious Communities of the Ministry of Justice, in April 2009, based on the (canonical) consent of the SOC, it was prescribed that that organisational unit of the ROC should have the competence to act exclusively in the territory of the Serbian part of Banat. The issue of extension of its competences (the church jurisdiction) to Eastern Serbia (the </w:t>
            </w:r>
            <w:proofErr w:type="spellStart"/>
            <w:r w:rsidRPr="008054BB">
              <w:t>Timok</w:t>
            </w:r>
            <w:proofErr w:type="spellEnd"/>
            <w:r w:rsidRPr="008054BB">
              <w:t xml:space="preserve"> Valley) falls within the exclusive church jurisdiction, where, as a secular state, the Republic of Serbia may not interfere.</w:t>
            </w:r>
          </w:p>
        </w:tc>
      </w:tr>
      <w:tr w:rsidR="008054BB" w:rsidRPr="008054BB" w14:paraId="162B730A" w14:textId="77777777" w:rsidTr="008054BB">
        <w:tc>
          <w:tcPr>
            <w:tcW w:w="771" w:type="pct"/>
            <w:shd w:val="clear" w:color="auto" w:fill="auto"/>
          </w:tcPr>
          <w:p w14:paraId="2B6AEDC9" w14:textId="7658DEFB" w:rsidR="008054BB" w:rsidRPr="008054BB" w:rsidRDefault="00087B19" w:rsidP="00100218">
            <w:pPr>
              <w:spacing w:before="40" w:after="120"/>
              <w:ind w:right="113"/>
            </w:pPr>
            <w:r>
              <w:t>131</w:t>
            </w:r>
            <w:r w:rsidR="008054BB" w:rsidRPr="008054BB">
              <w:t>.30.</w:t>
            </w:r>
          </w:p>
        </w:tc>
        <w:tc>
          <w:tcPr>
            <w:tcW w:w="1213" w:type="pct"/>
            <w:shd w:val="clear" w:color="auto" w:fill="auto"/>
          </w:tcPr>
          <w:p w14:paraId="4030FE61"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329B9838" w14:textId="77777777" w:rsidR="008054BB" w:rsidRPr="008054BB" w:rsidRDefault="008054BB" w:rsidP="008054BB">
            <w:pPr>
              <w:spacing w:before="40" w:after="120"/>
              <w:ind w:right="113"/>
            </w:pPr>
          </w:p>
        </w:tc>
      </w:tr>
      <w:tr w:rsidR="008054BB" w:rsidRPr="008054BB" w14:paraId="308DE872" w14:textId="77777777" w:rsidTr="008054BB">
        <w:tc>
          <w:tcPr>
            <w:tcW w:w="771" w:type="pct"/>
            <w:shd w:val="clear" w:color="auto" w:fill="auto"/>
          </w:tcPr>
          <w:p w14:paraId="54B8AB5E" w14:textId="4A6F3E84" w:rsidR="008054BB" w:rsidRPr="008054BB" w:rsidRDefault="00087B19" w:rsidP="00100218">
            <w:pPr>
              <w:spacing w:before="40" w:after="120"/>
              <w:ind w:right="113"/>
            </w:pPr>
            <w:r>
              <w:t>131</w:t>
            </w:r>
            <w:r w:rsidR="008054BB" w:rsidRPr="008054BB">
              <w:t>.31.</w:t>
            </w:r>
          </w:p>
        </w:tc>
        <w:tc>
          <w:tcPr>
            <w:tcW w:w="1213" w:type="pct"/>
            <w:shd w:val="clear" w:color="auto" w:fill="auto"/>
          </w:tcPr>
          <w:p w14:paraId="4B931A00" w14:textId="77777777" w:rsidR="008054BB" w:rsidRPr="008054BB" w:rsidRDefault="008054BB" w:rsidP="008054BB">
            <w:pPr>
              <w:spacing w:before="40" w:after="120"/>
              <w:ind w:right="113"/>
            </w:pPr>
            <w:r w:rsidRPr="008054BB">
              <w:t>NOTED</w:t>
            </w:r>
          </w:p>
        </w:tc>
        <w:tc>
          <w:tcPr>
            <w:tcW w:w="3016" w:type="pct"/>
            <w:shd w:val="clear" w:color="auto" w:fill="auto"/>
          </w:tcPr>
          <w:p w14:paraId="65595E92" w14:textId="77777777" w:rsidR="008054BB" w:rsidRPr="008054BB" w:rsidRDefault="008054BB" w:rsidP="008054BB">
            <w:pPr>
              <w:spacing w:before="40" w:after="120"/>
              <w:ind w:right="113"/>
            </w:pPr>
            <w:r w:rsidRPr="008054BB">
              <w:t xml:space="preserve">The Republic of Serbia condemns infringement of the provisions of international law, as well as all kinds of violence and the use of sanctions when resolving political problems. </w:t>
            </w:r>
          </w:p>
        </w:tc>
      </w:tr>
      <w:tr w:rsidR="008054BB" w:rsidRPr="008054BB" w14:paraId="60799DD1" w14:textId="77777777" w:rsidTr="008054BB">
        <w:tc>
          <w:tcPr>
            <w:tcW w:w="771" w:type="pct"/>
            <w:shd w:val="clear" w:color="auto" w:fill="auto"/>
          </w:tcPr>
          <w:p w14:paraId="62E7017D" w14:textId="28BE2732" w:rsidR="008054BB" w:rsidRPr="008054BB" w:rsidRDefault="00087B19" w:rsidP="00100218">
            <w:pPr>
              <w:spacing w:before="40" w:after="120"/>
              <w:ind w:right="113"/>
            </w:pPr>
            <w:r>
              <w:t>131</w:t>
            </w:r>
            <w:r w:rsidR="008054BB" w:rsidRPr="008054BB">
              <w:t>.32.</w:t>
            </w:r>
          </w:p>
        </w:tc>
        <w:tc>
          <w:tcPr>
            <w:tcW w:w="1213" w:type="pct"/>
            <w:shd w:val="clear" w:color="auto" w:fill="auto"/>
          </w:tcPr>
          <w:p w14:paraId="53310C79" w14:textId="77777777" w:rsidR="008054BB" w:rsidRPr="008054BB" w:rsidRDefault="008054BB" w:rsidP="008054BB">
            <w:pPr>
              <w:spacing w:before="40" w:after="120"/>
              <w:ind w:right="113"/>
            </w:pPr>
            <w:r w:rsidRPr="008054BB">
              <w:t>NOTED</w:t>
            </w:r>
          </w:p>
        </w:tc>
        <w:tc>
          <w:tcPr>
            <w:tcW w:w="3016" w:type="pct"/>
            <w:shd w:val="clear" w:color="auto" w:fill="auto"/>
          </w:tcPr>
          <w:p w14:paraId="1BB865A9" w14:textId="77777777" w:rsidR="008054BB" w:rsidRPr="008054BB" w:rsidRDefault="008054BB" w:rsidP="008054BB">
            <w:pPr>
              <w:spacing w:before="40" w:after="120"/>
              <w:ind w:right="113"/>
            </w:pPr>
            <w:r w:rsidRPr="008054BB">
              <w:t>“Within bilateral and regional cooperation mechanisms on missing persons, ensure full access to relevant information, including to state and military archives” should be noted, with the explanation that Croatia is treating the afore mentioned as open issues, by using, in doing that, untrue and incomplete, as well as malicious facts.</w:t>
            </w:r>
          </w:p>
          <w:p w14:paraId="0C20C6DC" w14:textId="77777777" w:rsidR="008054BB" w:rsidRPr="008054BB" w:rsidRDefault="008054BB" w:rsidP="008054BB">
            <w:pPr>
              <w:spacing w:before="40" w:after="120"/>
              <w:ind w:right="113"/>
            </w:pPr>
            <w:r w:rsidRPr="008054BB">
              <w:t>The Republic of Serbia condemns war crimes and crimes against humanity and is completely dedicated to establishing the fate of the missing persons.</w:t>
            </w:r>
          </w:p>
        </w:tc>
      </w:tr>
      <w:tr w:rsidR="008054BB" w:rsidRPr="008054BB" w14:paraId="537B4BEA" w14:textId="77777777" w:rsidTr="008054BB">
        <w:tc>
          <w:tcPr>
            <w:tcW w:w="771" w:type="pct"/>
            <w:shd w:val="clear" w:color="auto" w:fill="auto"/>
          </w:tcPr>
          <w:p w14:paraId="36E2B383" w14:textId="21F26974" w:rsidR="008054BB" w:rsidRPr="008054BB" w:rsidRDefault="00087B19" w:rsidP="00100218">
            <w:pPr>
              <w:spacing w:before="40" w:after="120"/>
              <w:ind w:right="113"/>
            </w:pPr>
            <w:r>
              <w:t>131</w:t>
            </w:r>
            <w:r w:rsidR="008054BB" w:rsidRPr="008054BB">
              <w:t>.33.</w:t>
            </w:r>
          </w:p>
        </w:tc>
        <w:tc>
          <w:tcPr>
            <w:tcW w:w="1213" w:type="pct"/>
            <w:shd w:val="clear" w:color="auto" w:fill="auto"/>
          </w:tcPr>
          <w:p w14:paraId="320D668F"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472437BE" w14:textId="77777777" w:rsidR="008054BB" w:rsidRPr="008054BB" w:rsidRDefault="008054BB" w:rsidP="008054BB">
            <w:pPr>
              <w:spacing w:before="40" w:after="120"/>
              <w:ind w:right="113"/>
            </w:pPr>
          </w:p>
        </w:tc>
      </w:tr>
      <w:tr w:rsidR="008054BB" w:rsidRPr="008054BB" w14:paraId="62848B1C" w14:textId="77777777" w:rsidTr="008054BB">
        <w:tc>
          <w:tcPr>
            <w:tcW w:w="771" w:type="pct"/>
            <w:shd w:val="clear" w:color="auto" w:fill="auto"/>
          </w:tcPr>
          <w:p w14:paraId="1FDD173D" w14:textId="6BC45B22" w:rsidR="008054BB" w:rsidRPr="008054BB" w:rsidRDefault="00087B19" w:rsidP="00100218">
            <w:pPr>
              <w:spacing w:before="40" w:after="120"/>
              <w:ind w:right="113"/>
            </w:pPr>
            <w:r>
              <w:t>131</w:t>
            </w:r>
            <w:r w:rsidR="008054BB" w:rsidRPr="008054BB">
              <w:t>.34.</w:t>
            </w:r>
          </w:p>
        </w:tc>
        <w:tc>
          <w:tcPr>
            <w:tcW w:w="1213" w:type="pct"/>
            <w:shd w:val="clear" w:color="auto" w:fill="auto"/>
          </w:tcPr>
          <w:p w14:paraId="7FD143A4" w14:textId="77777777" w:rsidR="008054BB" w:rsidRPr="008054BB" w:rsidRDefault="008054BB" w:rsidP="008054BB">
            <w:pPr>
              <w:spacing w:before="40" w:after="120"/>
              <w:ind w:right="113"/>
            </w:pPr>
            <w:r w:rsidRPr="008054BB">
              <w:t>SUPPORTED</w:t>
            </w:r>
          </w:p>
        </w:tc>
        <w:tc>
          <w:tcPr>
            <w:tcW w:w="3016" w:type="pct"/>
            <w:shd w:val="clear" w:color="auto" w:fill="auto"/>
          </w:tcPr>
          <w:p w14:paraId="1A1CEB88" w14:textId="77777777" w:rsidR="008054BB" w:rsidRPr="008054BB" w:rsidRDefault="008054BB" w:rsidP="008054BB">
            <w:pPr>
              <w:spacing w:before="40" w:after="120"/>
              <w:ind w:right="113"/>
            </w:pPr>
          </w:p>
        </w:tc>
      </w:tr>
      <w:tr w:rsidR="008054BB" w:rsidRPr="008054BB" w14:paraId="28863A3B" w14:textId="77777777" w:rsidTr="008054BB">
        <w:tc>
          <w:tcPr>
            <w:tcW w:w="771" w:type="pct"/>
            <w:shd w:val="clear" w:color="auto" w:fill="auto"/>
          </w:tcPr>
          <w:p w14:paraId="62439D6C" w14:textId="66E918F1" w:rsidR="008054BB" w:rsidRPr="008054BB" w:rsidRDefault="00087B19" w:rsidP="00100218">
            <w:pPr>
              <w:spacing w:before="40" w:after="120"/>
              <w:ind w:right="113"/>
            </w:pPr>
            <w:r>
              <w:t>131</w:t>
            </w:r>
            <w:r w:rsidR="008054BB" w:rsidRPr="008054BB">
              <w:t>.35.</w:t>
            </w:r>
          </w:p>
        </w:tc>
        <w:tc>
          <w:tcPr>
            <w:tcW w:w="1213" w:type="pct"/>
            <w:shd w:val="clear" w:color="auto" w:fill="auto"/>
          </w:tcPr>
          <w:p w14:paraId="56FB2DDF"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7D1BA497" w14:textId="30D3314F" w:rsidR="008054BB" w:rsidRPr="008054BB" w:rsidRDefault="008054BB" w:rsidP="008054BB">
            <w:pPr>
              <w:spacing w:before="40" w:after="120"/>
              <w:ind w:right="113"/>
            </w:pPr>
          </w:p>
        </w:tc>
      </w:tr>
      <w:tr w:rsidR="008054BB" w:rsidRPr="008054BB" w14:paraId="5354206F" w14:textId="77777777" w:rsidTr="008054BB">
        <w:tc>
          <w:tcPr>
            <w:tcW w:w="771" w:type="pct"/>
            <w:shd w:val="clear" w:color="auto" w:fill="auto"/>
          </w:tcPr>
          <w:p w14:paraId="568BD31B" w14:textId="176EBD7B" w:rsidR="008054BB" w:rsidRPr="008054BB" w:rsidRDefault="00087B19" w:rsidP="00100218">
            <w:pPr>
              <w:spacing w:before="40" w:after="120"/>
              <w:ind w:right="113"/>
            </w:pPr>
            <w:r>
              <w:t>131</w:t>
            </w:r>
            <w:r w:rsidR="008054BB" w:rsidRPr="008054BB">
              <w:t>.36.</w:t>
            </w:r>
          </w:p>
        </w:tc>
        <w:tc>
          <w:tcPr>
            <w:tcW w:w="1213" w:type="pct"/>
            <w:shd w:val="clear" w:color="auto" w:fill="auto"/>
          </w:tcPr>
          <w:p w14:paraId="4D2E9AE2"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0FF8B568" w14:textId="77777777" w:rsidR="008054BB" w:rsidRPr="008054BB" w:rsidRDefault="008054BB" w:rsidP="008054BB">
            <w:pPr>
              <w:spacing w:before="40" w:after="120"/>
              <w:ind w:right="113"/>
            </w:pPr>
          </w:p>
        </w:tc>
      </w:tr>
      <w:tr w:rsidR="008054BB" w:rsidRPr="008054BB" w14:paraId="1559CAFF" w14:textId="77777777" w:rsidTr="008054BB">
        <w:tc>
          <w:tcPr>
            <w:tcW w:w="771" w:type="pct"/>
            <w:shd w:val="clear" w:color="auto" w:fill="auto"/>
          </w:tcPr>
          <w:p w14:paraId="410BC455" w14:textId="0E67C8B1" w:rsidR="008054BB" w:rsidRPr="008054BB" w:rsidRDefault="00087B19" w:rsidP="00100218">
            <w:pPr>
              <w:spacing w:before="40" w:after="120"/>
              <w:ind w:right="113"/>
            </w:pPr>
            <w:r>
              <w:t>131</w:t>
            </w:r>
            <w:r w:rsidR="008054BB" w:rsidRPr="008054BB">
              <w:t>.37.</w:t>
            </w:r>
          </w:p>
        </w:tc>
        <w:tc>
          <w:tcPr>
            <w:tcW w:w="1213" w:type="pct"/>
            <w:shd w:val="clear" w:color="auto" w:fill="auto"/>
          </w:tcPr>
          <w:p w14:paraId="7B77BAE8" w14:textId="74C9BB1F" w:rsidR="008054BB" w:rsidRPr="008054BB" w:rsidRDefault="008054BB" w:rsidP="008054BB">
            <w:pPr>
              <w:spacing w:before="40" w:after="120"/>
              <w:ind w:right="113"/>
            </w:pPr>
            <w:r w:rsidRPr="008054BB">
              <w:t>SUPPORTED/NOTED</w:t>
            </w:r>
          </w:p>
        </w:tc>
        <w:tc>
          <w:tcPr>
            <w:tcW w:w="3016" w:type="pct"/>
            <w:shd w:val="clear" w:color="auto" w:fill="auto"/>
          </w:tcPr>
          <w:p w14:paraId="3B4A41CE" w14:textId="77777777" w:rsidR="008054BB" w:rsidRPr="008054BB" w:rsidRDefault="008054BB" w:rsidP="008054BB">
            <w:pPr>
              <w:spacing w:before="40" w:after="120"/>
              <w:ind w:right="113"/>
            </w:pPr>
            <w:r w:rsidRPr="008054BB">
              <w:t>To be supported with a reservation relating to the mechanism for establishment of victim-friendly centres at police stations.</w:t>
            </w:r>
          </w:p>
          <w:p w14:paraId="0A65BDF4" w14:textId="77777777" w:rsidR="008054BB" w:rsidRPr="008054BB" w:rsidRDefault="008054BB" w:rsidP="008054BB">
            <w:pPr>
              <w:spacing w:before="40" w:after="120"/>
              <w:ind w:right="113"/>
            </w:pPr>
            <w:r w:rsidRPr="008054BB">
              <w:t xml:space="preserve">In the Operational Centre of the Republic of Serbia </w:t>
            </w:r>
            <w:proofErr w:type="spellStart"/>
            <w:r w:rsidRPr="008054BB">
              <w:t>MoI</w:t>
            </w:r>
            <w:proofErr w:type="spellEnd"/>
            <w:r w:rsidRPr="008054BB">
              <w:t>, a telephone line 0800 100 600 has been opened, which can be called free of charge and which is available 24 hours a day, to which the occurrences of domestic violence on the level of the entire Republic of Serbia can be reported. Any person reporting a domestic violence occurrence is entitled to report the violence anonymously.</w:t>
            </w:r>
          </w:p>
          <w:p w14:paraId="7C34EC4A" w14:textId="77777777" w:rsidR="008054BB" w:rsidRPr="008054BB" w:rsidRDefault="008054BB" w:rsidP="008054BB">
            <w:pPr>
              <w:spacing w:before="40" w:after="120"/>
              <w:ind w:right="113"/>
            </w:pPr>
          </w:p>
        </w:tc>
      </w:tr>
      <w:tr w:rsidR="008054BB" w:rsidRPr="008054BB" w14:paraId="22F925D9" w14:textId="77777777" w:rsidTr="008054BB">
        <w:tc>
          <w:tcPr>
            <w:tcW w:w="771" w:type="pct"/>
            <w:shd w:val="clear" w:color="auto" w:fill="auto"/>
          </w:tcPr>
          <w:p w14:paraId="4FEABAD3" w14:textId="3E8AD9D6" w:rsidR="008054BB" w:rsidRPr="008054BB" w:rsidRDefault="00087B19" w:rsidP="00100218">
            <w:pPr>
              <w:spacing w:before="40" w:after="120"/>
              <w:ind w:right="113"/>
            </w:pPr>
            <w:r>
              <w:lastRenderedPageBreak/>
              <w:t>131</w:t>
            </w:r>
            <w:r w:rsidR="008054BB" w:rsidRPr="008054BB">
              <w:t>.38.</w:t>
            </w:r>
          </w:p>
        </w:tc>
        <w:tc>
          <w:tcPr>
            <w:tcW w:w="1213" w:type="pct"/>
            <w:shd w:val="clear" w:color="auto" w:fill="auto"/>
          </w:tcPr>
          <w:p w14:paraId="7B0E1F05"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67C8F202" w14:textId="77777777" w:rsidR="008054BB" w:rsidRPr="008054BB" w:rsidRDefault="008054BB" w:rsidP="008054BB">
            <w:pPr>
              <w:spacing w:before="40" w:after="120"/>
              <w:ind w:right="113"/>
            </w:pPr>
          </w:p>
        </w:tc>
      </w:tr>
      <w:tr w:rsidR="008054BB" w:rsidRPr="008054BB" w14:paraId="0B1B00AD" w14:textId="77777777" w:rsidTr="008054BB">
        <w:tc>
          <w:tcPr>
            <w:tcW w:w="771" w:type="pct"/>
            <w:shd w:val="clear" w:color="auto" w:fill="auto"/>
          </w:tcPr>
          <w:p w14:paraId="33EA14AC" w14:textId="6FD3AEAC" w:rsidR="008054BB" w:rsidRPr="008054BB" w:rsidRDefault="00087B19" w:rsidP="00100218">
            <w:pPr>
              <w:spacing w:before="40" w:after="120"/>
              <w:ind w:right="113"/>
            </w:pPr>
            <w:r>
              <w:t>131</w:t>
            </w:r>
            <w:r w:rsidR="008054BB" w:rsidRPr="008054BB">
              <w:t>.39.</w:t>
            </w:r>
          </w:p>
        </w:tc>
        <w:tc>
          <w:tcPr>
            <w:tcW w:w="1213" w:type="pct"/>
            <w:shd w:val="clear" w:color="auto" w:fill="auto"/>
          </w:tcPr>
          <w:p w14:paraId="3627D005"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306418DF" w14:textId="77777777" w:rsidR="008054BB" w:rsidRPr="008054BB" w:rsidRDefault="008054BB" w:rsidP="008054BB">
            <w:pPr>
              <w:spacing w:before="40" w:after="120"/>
              <w:ind w:right="113"/>
            </w:pPr>
          </w:p>
        </w:tc>
      </w:tr>
      <w:tr w:rsidR="008054BB" w:rsidRPr="008054BB" w14:paraId="19937735" w14:textId="77777777" w:rsidTr="008054BB">
        <w:tc>
          <w:tcPr>
            <w:tcW w:w="771" w:type="pct"/>
            <w:shd w:val="clear" w:color="auto" w:fill="auto"/>
          </w:tcPr>
          <w:p w14:paraId="5B5F1E76" w14:textId="26E0E4B6" w:rsidR="008054BB" w:rsidRPr="008054BB" w:rsidRDefault="00087B19" w:rsidP="00100218">
            <w:pPr>
              <w:spacing w:before="40" w:after="120"/>
              <w:ind w:right="113"/>
            </w:pPr>
            <w:r>
              <w:t>131</w:t>
            </w:r>
            <w:r w:rsidR="008054BB" w:rsidRPr="008054BB">
              <w:t>.40.</w:t>
            </w:r>
          </w:p>
        </w:tc>
        <w:tc>
          <w:tcPr>
            <w:tcW w:w="1213" w:type="pct"/>
            <w:shd w:val="clear" w:color="auto" w:fill="auto"/>
          </w:tcPr>
          <w:p w14:paraId="6B207632"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57635A7E" w14:textId="77777777" w:rsidR="008054BB" w:rsidRPr="008054BB" w:rsidRDefault="008054BB" w:rsidP="008054BB">
            <w:pPr>
              <w:spacing w:before="40" w:after="120"/>
              <w:ind w:right="113"/>
            </w:pPr>
          </w:p>
        </w:tc>
      </w:tr>
      <w:tr w:rsidR="008054BB" w:rsidRPr="008054BB" w14:paraId="602F2F60" w14:textId="77777777" w:rsidTr="008054BB">
        <w:tc>
          <w:tcPr>
            <w:tcW w:w="771" w:type="pct"/>
            <w:shd w:val="clear" w:color="auto" w:fill="auto"/>
          </w:tcPr>
          <w:p w14:paraId="3EDA7826" w14:textId="1CB2E712" w:rsidR="008054BB" w:rsidRPr="008054BB" w:rsidRDefault="00087B19" w:rsidP="00100218">
            <w:pPr>
              <w:spacing w:before="40" w:after="120"/>
              <w:ind w:right="113"/>
            </w:pPr>
            <w:r>
              <w:t>131</w:t>
            </w:r>
            <w:r w:rsidR="008054BB" w:rsidRPr="008054BB">
              <w:t>.41.</w:t>
            </w:r>
          </w:p>
        </w:tc>
        <w:tc>
          <w:tcPr>
            <w:tcW w:w="1213" w:type="pct"/>
            <w:shd w:val="clear" w:color="auto" w:fill="auto"/>
          </w:tcPr>
          <w:p w14:paraId="5E40219E"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5D56A61B" w14:textId="77777777" w:rsidR="008054BB" w:rsidRPr="008054BB" w:rsidRDefault="008054BB" w:rsidP="008054BB">
            <w:pPr>
              <w:spacing w:before="40" w:after="120"/>
              <w:ind w:right="113"/>
            </w:pPr>
          </w:p>
        </w:tc>
      </w:tr>
      <w:tr w:rsidR="008054BB" w:rsidRPr="008054BB" w14:paraId="6B687503" w14:textId="77777777" w:rsidTr="008054BB">
        <w:tc>
          <w:tcPr>
            <w:tcW w:w="771" w:type="pct"/>
            <w:shd w:val="clear" w:color="auto" w:fill="auto"/>
          </w:tcPr>
          <w:p w14:paraId="6D321471" w14:textId="0BA45941" w:rsidR="008054BB" w:rsidRPr="008054BB" w:rsidRDefault="00087B19" w:rsidP="00100218">
            <w:pPr>
              <w:spacing w:before="40" w:after="120"/>
              <w:ind w:right="113"/>
            </w:pPr>
            <w:r>
              <w:t>131</w:t>
            </w:r>
            <w:r w:rsidR="008054BB" w:rsidRPr="008054BB">
              <w:t>.42.</w:t>
            </w:r>
          </w:p>
        </w:tc>
        <w:tc>
          <w:tcPr>
            <w:tcW w:w="1213" w:type="pct"/>
            <w:shd w:val="clear" w:color="auto" w:fill="auto"/>
          </w:tcPr>
          <w:p w14:paraId="35471249" w14:textId="77777777" w:rsidR="008054BB" w:rsidRPr="008054BB" w:rsidRDefault="008054BB" w:rsidP="008054BB">
            <w:pPr>
              <w:spacing w:before="40" w:after="120"/>
              <w:ind w:right="113"/>
            </w:pPr>
            <w:r w:rsidRPr="008054BB">
              <w:t>NOTED</w:t>
            </w:r>
          </w:p>
        </w:tc>
        <w:tc>
          <w:tcPr>
            <w:tcW w:w="3016" w:type="pct"/>
            <w:shd w:val="clear" w:color="auto" w:fill="auto"/>
          </w:tcPr>
          <w:p w14:paraId="048E8A9E" w14:textId="6D723FBB" w:rsidR="008054BB" w:rsidRPr="008054BB" w:rsidRDefault="008054BB" w:rsidP="008054BB">
            <w:pPr>
              <w:spacing w:before="40" w:after="120"/>
              <w:ind w:right="113"/>
            </w:pPr>
            <w:r w:rsidRPr="008054BB">
              <w:t xml:space="preserve">Following the establishing of the Ministry of Family Welfare and Demography towards the end of October 2020, work on Draft Law on the Rights of the Child and on the ombudsman for children was not continued, and instead amendments and supplements to the Law on Family (Official Gazette of the RS, No. 18/05, 72/11 </w:t>
            </w:r>
            <w:r w:rsidR="00233143">
              <w:t xml:space="preserve">– </w:t>
            </w:r>
            <w:r w:rsidRPr="008054BB">
              <w:t>other law and 6/15) were prepared, which have envisaged new solutions relating to the definition of the child and explicit prohibition of physical disciplining of children, which was initially to be regulated by the provisions of the afore mentioned Draft. In the past period, there has been no unified position in respect of the establishing of an Ombudsman for the Rights of the Child in the Republic of Serbia. The Protector of Citizens (Ombudsman) of the Republic of Serbia, which is a full and an active member of the European Network of Ombudsmen for Children, now has the position of a special body which is protecting, promoting and furthering the rights of the child in accordance with the provisions of Article 2, paragraph 4 of the Law on the Protector of Citizens.</w:t>
            </w:r>
          </w:p>
        </w:tc>
      </w:tr>
      <w:tr w:rsidR="008054BB" w:rsidRPr="008054BB" w14:paraId="12DF94E5" w14:textId="77777777" w:rsidTr="008054BB">
        <w:tc>
          <w:tcPr>
            <w:tcW w:w="771" w:type="pct"/>
            <w:shd w:val="clear" w:color="auto" w:fill="auto"/>
          </w:tcPr>
          <w:p w14:paraId="27C0290E" w14:textId="3B00C6EA" w:rsidR="008054BB" w:rsidRPr="008054BB" w:rsidRDefault="00087B19" w:rsidP="00100218">
            <w:pPr>
              <w:spacing w:before="40" w:after="120"/>
              <w:ind w:right="113"/>
            </w:pPr>
            <w:r>
              <w:t>131</w:t>
            </w:r>
            <w:r w:rsidR="008054BB" w:rsidRPr="008054BB">
              <w:t>.43.</w:t>
            </w:r>
          </w:p>
        </w:tc>
        <w:tc>
          <w:tcPr>
            <w:tcW w:w="1213" w:type="pct"/>
            <w:shd w:val="clear" w:color="auto" w:fill="auto"/>
          </w:tcPr>
          <w:p w14:paraId="11F3B456"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4D5A0E33" w14:textId="77777777" w:rsidR="008054BB" w:rsidRPr="008054BB" w:rsidRDefault="008054BB" w:rsidP="008054BB">
            <w:pPr>
              <w:spacing w:before="40" w:after="120"/>
              <w:ind w:right="113"/>
            </w:pPr>
          </w:p>
        </w:tc>
      </w:tr>
      <w:tr w:rsidR="008054BB" w:rsidRPr="008054BB" w14:paraId="37FD2C60" w14:textId="77777777" w:rsidTr="008054BB">
        <w:tc>
          <w:tcPr>
            <w:tcW w:w="771" w:type="pct"/>
            <w:shd w:val="clear" w:color="auto" w:fill="auto"/>
          </w:tcPr>
          <w:p w14:paraId="43F855EA" w14:textId="27DBD09B" w:rsidR="008054BB" w:rsidRPr="008054BB" w:rsidRDefault="00087B19" w:rsidP="00100218">
            <w:pPr>
              <w:spacing w:before="40" w:after="120"/>
              <w:ind w:right="113"/>
            </w:pPr>
            <w:r>
              <w:t>131</w:t>
            </w:r>
            <w:r w:rsidR="008054BB" w:rsidRPr="008054BB">
              <w:t>.44.</w:t>
            </w:r>
          </w:p>
        </w:tc>
        <w:tc>
          <w:tcPr>
            <w:tcW w:w="1213" w:type="pct"/>
            <w:shd w:val="clear" w:color="auto" w:fill="auto"/>
          </w:tcPr>
          <w:p w14:paraId="2904C2DB" w14:textId="77777777" w:rsidR="008054BB" w:rsidRPr="008054BB" w:rsidRDefault="008054BB" w:rsidP="008054BB">
            <w:pPr>
              <w:spacing w:before="40" w:after="120"/>
              <w:ind w:right="113"/>
            </w:pPr>
            <w:r w:rsidRPr="008054BB">
              <w:t>NOTED</w:t>
            </w:r>
          </w:p>
        </w:tc>
        <w:tc>
          <w:tcPr>
            <w:tcW w:w="3016" w:type="pct"/>
            <w:shd w:val="clear" w:color="auto" w:fill="auto"/>
          </w:tcPr>
          <w:p w14:paraId="36B42506" w14:textId="5303D79A" w:rsidR="008054BB" w:rsidRPr="008054BB" w:rsidRDefault="008054BB" w:rsidP="008054BB">
            <w:pPr>
              <w:spacing w:before="40" w:after="120"/>
              <w:ind w:right="113"/>
            </w:pPr>
            <w:r w:rsidRPr="008054BB">
              <w:t xml:space="preserve">See </w:t>
            </w:r>
            <w:r w:rsidR="00087B19">
              <w:t>131</w:t>
            </w:r>
            <w:r w:rsidRPr="008054BB">
              <w:t>.42</w:t>
            </w:r>
            <w:r w:rsidR="00233143">
              <w:t>.</w:t>
            </w:r>
          </w:p>
        </w:tc>
      </w:tr>
      <w:tr w:rsidR="008054BB" w:rsidRPr="008054BB" w14:paraId="3063CE6F" w14:textId="77777777" w:rsidTr="008054BB">
        <w:tc>
          <w:tcPr>
            <w:tcW w:w="771" w:type="pct"/>
            <w:shd w:val="clear" w:color="auto" w:fill="auto"/>
          </w:tcPr>
          <w:p w14:paraId="2F7E1594" w14:textId="36DE9CBB" w:rsidR="008054BB" w:rsidRPr="008054BB" w:rsidRDefault="00087B19" w:rsidP="00100218">
            <w:pPr>
              <w:spacing w:before="40" w:after="120"/>
              <w:ind w:right="113"/>
            </w:pPr>
            <w:r>
              <w:t>131</w:t>
            </w:r>
            <w:r w:rsidR="008054BB" w:rsidRPr="008054BB">
              <w:t>.45.</w:t>
            </w:r>
          </w:p>
        </w:tc>
        <w:tc>
          <w:tcPr>
            <w:tcW w:w="1213" w:type="pct"/>
            <w:shd w:val="clear" w:color="auto" w:fill="auto"/>
          </w:tcPr>
          <w:p w14:paraId="130EAC21"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34EE2DE7" w14:textId="77777777" w:rsidR="008054BB" w:rsidRPr="008054BB" w:rsidRDefault="008054BB" w:rsidP="008054BB">
            <w:pPr>
              <w:spacing w:before="40" w:after="120"/>
              <w:ind w:right="113"/>
            </w:pPr>
          </w:p>
        </w:tc>
      </w:tr>
      <w:tr w:rsidR="008054BB" w:rsidRPr="008054BB" w14:paraId="35196A4A" w14:textId="77777777" w:rsidTr="008054BB">
        <w:tc>
          <w:tcPr>
            <w:tcW w:w="771" w:type="pct"/>
            <w:shd w:val="clear" w:color="auto" w:fill="auto"/>
          </w:tcPr>
          <w:p w14:paraId="3589DC96" w14:textId="152F8448" w:rsidR="008054BB" w:rsidRPr="008054BB" w:rsidRDefault="00087B19" w:rsidP="00100218">
            <w:pPr>
              <w:spacing w:before="40" w:after="120"/>
              <w:ind w:right="113"/>
            </w:pPr>
            <w:r>
              <w:t>131</w:t>
            </w:r>
            <w:r w:rsidR="008054BB" w:rsidRPr="008054BB">
              <w:t>.46.</w:t>
            </w:r>
          </w:p>
        </w:tc>
        <w:tc>
          <w:tcPr>
            <w:tcW w:w="1213" w:type="pct"/>
            <w:shd w:val="clear" w:color="auto" w:fill="auto"/>
          </w:tcPr>
          <w:p w14:paraId="04E02942"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269B7663" w14:textId="77777777" w:rsidR="008054BB" w:rsidRPr="008054BB" w:rsidRDefault="008054BB" w:rsidP="008054BB">
            <w:pPr>
              <w:spacing w:before="40" w:after="120"/>
              <w:ind w:right="113"/>
            </w:pPr>
          </w:p>
        </w:tc>
      </w:tr>
      <w:tr w:rsidR="008054BB" w:rsidRPr="008054BB" w14:paraId="01C533D5" w14:textId="77777777" w:rsidTr="008054BB">
        <w:tc>
          <w:tcPr>
            <w:tcW w:w="771" w:type="pct"/>
            <w:shd w:val="clear" w:color="auto" w:fill="auto"/>
          </w:tcPr>
          <w:p w14:paraId="08E7E972" w14:textId="5AF28988" w:rsidR="008054BB" w:rsidRPr="008054BB" w:rsidRDefault="00087B19" w:rsidP="00100218">
            <w:pPr>
              <w:spacing w:before="40" w:after="120"/>
              <w:ind w:right="113"/>
            </w:pPr>
            <w:r>
              <w:t>131</w:t>
            </w:r>
            <w:r w:rsidR="008054BB" w:rsidRPr="008054BB">
              <w:t>.47.</w:t>
            </w:r>
          </w:p>
        </w:tc>
        <w:tc>
          <w:tcPr>
            <w:tcW w:w="1213" w:type="pct"/>
            <w:shd w:val="clear" w:color="auto" w:fill="auto"/>
          </w:tcPr>
          <w:p w14:paraId="43F37083"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0E237827" w14:textId="77777777" w:rsidR="008054BB" w:rsidRPr="008054BB" w:rsidRDefault="008054BB" w:rsidP="008054BB">
            <w:pPr>
              <w:spacing w:before="40" w:after="120"/>
              <w:ind w:right="113"/>
            </w:pPr>
          </w:p>
        </w:tc>
      </w:tr>
      <w:tr w:rsidR="008054BB" w:rsidRPr="008054BB" w14:paraId="1129961F" w14:textId="77777777" w:rsidTr="008054BB">
        <w:tc>
          <w:tcPr>
            <w:tcW w:w="771" w:type="pct"/>
            <w:shd w:val="clear" w:color="auto" w:fill="auto"/>
          </w:tcPr>
          <w:p w14:paraId="2172B2D0" w14:textId="25931C45" w:rsidR="008054BB" w:rsidRPr="008054BB" w:rsidRDefault="00087B19" w:rsidP="00100218">
            <w:pPr>
              <w:spacing w:before="40" w:after="120"/>
              <w:ind w:right="113"/>
            </w:pPr>
            <w:r>
              <w:t>131</w:t>
            </w:r>
            <w:r w:rsidR="008054BB" w:rsidRPr="008054BB">
              <w:t>.48.</w:t>
            </w:r>
          </w:p>
        </w:tc>
        <w:tc>
          <w:tcPr>
            <w:tcW w:w="1213" w:type="pct"/>
            <w:shd w:val="clear" w:color="auto" w:fill="auto"/>
          </w:tcPr>
          <w:p w14:paraId="4842989D"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2D221FC5" w14:textId="77777777" w:rsidR="008054BB" w:rsidRPr="008054BB" w:rsidRDefault="008054BB" w:rsidP="008054BB">
            <w:pPr>
              <w:spacing w:before="40" w:after="120"/>
              <w:ind w:right="113"/>
            </w:pPr>
          </w:p>
        </w:tc>
      </w:tr>
      <w:tr w:rsidR="008054BB" w:rsidRPr="008054BB" w14:paraId="616DD08C" w14:textId="77777777" w:rsidTr="008054BB">
        <w:tc>
          <w:tcPr>
            <w:tcW w:w="771" w:type="pct"/>
            <w:shd w:val="clear" w:color="auto" w:fill="auto"/>
          </w:tcPr>
          <w:p w14:paraId="1AE80277" w14:textId="30CB7F23" w:rsidR="008054BB" w:rsidRPr="008054BB" w:rsidRDefault="00087B19" w:rsidP="00100218">
            <w:pPr>
              <w:spacing w:before="40" w:after="120"/>
              <w:ind w:right="113"/>
            </w:pPr>
            <w:r>
              <w:t>131</w:t>
            </w:r>
            <w:r w:rsidR="008054BB" w:rsidRPr="008054BB">
              <w:t>.49.</w:t>
            </w:r>
          </w:p>
        </w:tc>
        <w:tc>
          <w:tcPr>
            <w:tcW w:w="1213" w:type="pct"/>
            <w:shd w:val="clear" w:color="auto" w:fill="auto"/>
          </w:tcPr>
          <w:p w14:paraId="51B34660" w14:textId="77777777" w:rsidR="008054BB" w:rsidRPr="008054BB" w:rsidRDefault="008054BB" w:rsidP="008054BB">
            <w:pPr>
              <w:spacing w:before="40" w:after="120"/>
              <w:ind w:right="113"/>
            </w:pPr>
            <w:r w:rsidRPr="008054BB">
              <w:t>NOTED</w:t>
            </w:r>
          </w:p>
        </w:tc>
        <w:tc>
          <w:tcPr>
            <w:tcW w:w="3016" w:type="pct"/>
            <w:shd w:val="clear" w:color="auto" w:fill="auto"/>
          </w:tcPr>
          <w:p w14:paraId="13954B13" w14:textId="2C939B6B" w:rsidR="008054BB" w:rsidRPr="008054BB" w:rsidRDefault="008054BB" w:rsidP="008054BB">
            <w:pPr>
              <w:spacing w:before="40" w:after="120"/>
              <w:ind w:right="113"/>
            </w:pPr>
            <w:r w:rsidRPr="008054BB">
              <w:t>The same-sex partnerships have not been legally regulated in the Republic of Serbia, and such legal regulation would imply the systemic resolving of a completely new legal institute, which by all means requires time and serious, systematic and analytical approach. Bearing in mind the new character of this institute and its contents, in respect of which there is no unified practice or standards on the international level, in respect of which the comparative legal solutions are significantly differing, it will be necessary to achieve a broad social consensus with various social subjects in respect of that issue. In addition to that, it is necessary to seriously analyse the effects of such regulations in other spheres of the law and other legal regulations, as well as the scope of their harmonisation, which, taken all together, requires certain time to be done.</w:t>
            </w:r>
          </w:p>
        </w:tc>
      </w:tr>
      <w:tr w:rsidR="008054BB" w:rsidRPr="008054BB" w14:paraId="7AA557D7" w14:textId="77777777" w:rsidTr="008054BB">
        <w:tc>
          <w:tcPr>
            <w:tcW w:w="771" w:type="pct"/>
            <w:shd w:val="clear" w:color="auto" w:fill="auto"/>
          </w:tcPr>
          <w:p w14:paraId="3F89637D" w14:textId="09D93257" w:rsidR="008054BB" w:rsidRPr="008054BB" w:rsidRDefault="00087B19" w:rsidP="00100218">
            <w:pPr>
              <w:spacing w:before="40" w:after="120"/>
              <w:ind w:right="113"/>
            </w:pPr>
            <w:r>
              <w:t>131</w:t>
            </w:r>
            <w:r w:rsidR="008054BB" w:rsidRPr="008054BB">
              <w:t>.50.</w:t>
            </w:r>
          </w:p>
        </w:tc>
        <w:tc>
          <w:tcPr>
            <w:tcW w:w="1213" w:type="pct"/>
            <w:shd w:val="clear" w:color="auto" w:fill="auto"/>
          </w:tcPr>
          <w:p w14:paraId="14BA9A7D" w14:textId="77777777" w:rsidR="008054BB" w:rsidRPr="008054BB" w:rsidRDefault="008054BB" w:rsidP="008054BB">
            <w:pPr>
              <w:spacing w:before="40" w:after="120"/>
              <w:ind w:right="113"/>
            </w:pPr>
            <w:r w:rsidRPr="008054BB">
              <w:t>NOTED</w:t>
            </w:r>
          </w:p>
        </w:tc>
        <w:tc>
          <w:tcPr>
            <w:tcW w:w="3016" w:type="pct"/>
            <w:shd w:val="clear" w:color="auto" w:fill="auto"/>
          </w:tcPr>
          <w:p w14:paraId="11DA825A" w14:textId="794B3F51" w:rsidR="008054BB" w:rsidRPr="008054BB" w:rsidRDefault="008054BB" w:rsidP="008054BB">
            <w:pPr>
              <w:spacing w:before="40" w:after="120"/>
              <w:ind w:right="113"/>
            </w:pPr>
            <w:r w:rsidRPr="008054BB">
              <w:t xml:space="preserve">See </w:t>
            </w:r>
            <w:r w:rsidR="00087B19">
              <w:t>131</w:t>
            </w:r>
            <w:r w:rsidRPr="008054BB">
              <w:t>.49</w:t>
            </w:r>
            <w:r>
              <w:t>.</w:t>
            </w:r>
          </w:p>
          <w:p w14:paraId="5C74747A" w14:textId="557313B9" w:rsidR="008054BB" w:rsidRPr="008054BB" w:rsidRDefault="008054BB" w:rsidP="00233143">
            <w:pPr>
              <w:spacing w:before="40" w:after="120"/>
              <w:ind w:right="113"/>
            </w:pPr>
            <w:r w:rsidRPr="007B1C4D">
              <w:rPr>
                <w:b/>
                <w:bCs/>
              </w:rPr>
              <w:t>NOTE</w:t>
            </w:r>
            <w:r w:rsidRPr="008054BB">
              <w:t xml:space="preserve">: For the part of the recommendation relating to protection of LGBTI persons in the Republic of Serbia, the legal protection has already been established through the </w:t>
            </w:r>
            <w:r w:rsidRPr="008054BB">
              <w:lastRenderedPageBreak/>
              <w:t>Criminal Code and through the Law on Prohibition of Discrimination.</w:t>
            </w:r>
          </w:p>
        </w:tc>
      </w:tr>
      <w:tr w:rsidR="008054BB" w:rsidRPr="008054BB" w14:paraId="25A61308" w14:textId="77777777" w:rsidTr="008054BB">
        <w:tc>
          <w:tcPr>
            <w:tcW w:w="771" w:type="pct"/>
            <w:shd w:val="clear" w:color="auto" w:fill="auto"/>
          </w:tcPr>
          <w:p w14:paraId="74E58669" w14:textId="6C6CF82A" w:rsidR="008054BB" w:rsidRPr="008054BB" w:rsidRDefault="00087B19" w:rsidP="00100218">
            <w:pPr>
              <w:spacing w:before="40" w:after="120"/>
              <w:ind w:right="113"/>
            </w:pPr>
            <w:r>
              <w:lastRenderedPageBreak/>
              <w:t>131</w:t>
            </w:r>
            <w:r w:rsidR="008054BB" w:rsidRPr="008054BB">
              <w:t>.51.</w:t>
            </w:r>
          </w:p>
        </w:tc>
        <w:tc>
          <w:tcPr>
            <w:tcW w:w="1213" w:type="pct"/>
            <w:shd w:val="clear" w:color="auto" w:fill="auto"/>
          </w:tcPr>
          <w:p w14:paraId="246251FF" w14:textId="77777777" w:rsidR="008054BB" w:rsidRPr="008054BB" w:rsidRDefault="008054BB" w:rsidP="008054BB">
            <w:pPr>
              <w:spacing w:before="40" w:after="120"/>
              <w:ind w:right="113"/>
            </w:pPr>
            <w:r w:rsidRPr="008054BB">
              <w:t>SUPPORTED</w:t>
            </w:r>
          </w:p>
        </w:tc>
        <w:tc>
          <w:tcPr>
            <w:tcW w:w="3016" w:type="pct"/>
            <w:shd w:val="clear" w:color="auto" w:fill="auto"/>
          </w:tcPr>
          <w:p w14:paraId="6AF0742F" w14:textId="77777777" w:rsidR="008054BB" w:rsidRPr="008054BB" w:rsidRDefault="008054BB" w:rsidP="008054BB">
            <w:pPr>
              <w:spacing w:before="40" w:after="120"/>
              <w:ind w:right="113"/>
            </w:pPr>
          </w:p>
        </w:tc>
      </w:tr>
      <w:tr w:rsidR="008054BB" w:rsidRPr="008054BB" w14:paraId="3765D887" w14:textId="77777777" w:rsidTr="008054BB">
        <w:tc>
          <w:tcPr>
            <w:tcW w:w="771" w:type="pct"/>
            <w:shd w:val="clear" w:color="auto" w:fill="auto"/>
          </w:tcPr>
          <w:p w14:paraId="5983E594" w14:textId="1F230DC2" w:rsidR="008054BB" w:rsidRPr="008054BB" w:rsidRDefault="00087B19" w:rsidP="00100218">
            <w:pPr>
              <w:spacing w:before="40" w:after="120"/>
              <w:ind w:right="113"/>
            </w:pPr>
            <w:r>
              <w:t>131</w:t>
            </w:r>
            <w:r w:rsidR="008054BB" w:rsidRPr="008054BB">
              <w:t>.52.</w:t>
            </w:r>
          </w:p>
        </w:tc>
        <w:tc>
          <w:tcPr>
            <w:tcW w:w="1213" w:type="pct"/>
            <w:shd w:val="clear" w:color="auto" w:fill="auto"/>
          </w:tcPr>
          <w:p w14:paraId="340B577A" w14:textId="39C23BBA" w:rsidR="008054BB" w:rsidRPr="008054BB" w:rsidRDefault="008054BB" w:rsidP="008054BB">
            <w:pPr>
              <w:spacing w:before="40" w:after="120"/>
              <w:ind w:right="113"/>
            </w:pPr>
            <w:r w:rsidRPr="008054BB">
              <w:t>SUPPORTED/NOTED</w:t>
            </w:r>
          </w:p>
        </w:tc>
        <w:tc>
          <w:tcPr>
            <w:tcW w:w="3016" w:type="pct"/>
            <w:shd w:val="clear" w:color="auto" w:fill="auto"/>
          </w:tcPr>
          <w:p w14:paraId="3227AEB3" w14:textId="3F3EDB81" w:rsidR="008054BB" w:rsidRPr="008054BB" w:rsidRDefault="008054BB" w:rsidP="008054BB">
            <w:pPr>
              <w:spacing w:before="40" w:after="120"/>
              <w:ind w:right="113"/>
            </w:pPr>
            <w:r w:rsidRPr="008054BB">
              <w:t xml:space="preserve">The recommendation is duly noted in the part relating to adoption of a law on same-sex partnership with the explanation stated in the recommendation </w:t>
            </w:r>
            <w:r w:rsidR="00087B19">
              <w:t>131</w:t>
            </w:r>
            <w:r w:rsidRPr="008054BB">
              <w:t>.49.</w:t>
            </w:r>
          </w:p>
        </w:tc>
      </w:tr>
      <w:tr w:rsidR="008054BB" w:rsidRPr="008054BB" w14:paraId="4940FA9C" w14:textId="77777777" w:rsidTr="008054BB">
        <w:tc>
          <w:tcPr>
            <w:tcW w:w="771" w:type="pct"/>
            <w:shd w:val="clear" w:color="auto" w:fill="auto"/>
          </w:tcPr>
          <w:p w14:paraId="34FE7E45" w14:textId="1ED38699" w:rsidR="008054BB" w:rsidRPr="008054BB" w:rsidRDefault="00087B19" w:rsidP="00100218">
            <w:pPr>
              <w:spacing w:before="40" w:after="120"/>
              <w:ind w:right="113"/>
            </w:pPr>
            <w:r>
              <w:t>131</w:t>
            </w:r>
            <w:r w:rsidR="008054BB" w:rsidRPr="008054BB">
              <w:t>.53.</w:t>
            </w:r>
          </w:p>
        </w:tc>
        <w:tc>
          <w:tcPr>
            <w:tcW w:w="1213" w:type="pct"/>
            <w:shd w:val="clear" w:color="auto" w:fill="auto"/>
          </w:tcPr>
          <w:p w14:paraId="223EDDF5" w14:textId="77777777" w:rsidR="008054BB" w:rsidRPr="008054BB" w:rsidRDefault="008054BB" w:rsidP="008054BB">
            <w:pPr>
              <w:spacing w:before="40" w:after="120"/>
              <w:ind w:right="113"/>
            </w:pPr>
            <w:r w:rsidRPr="008054BB">
              <w:t>NOTED</w:t>
            </w:r>
          </w:p>
        </w:tc>
        <w:tc>
          <w:tcPr>
            <w:tcW w:w="3016" w:type="pct"/>
            <w:shd w:val="clear" w:color="auto" w:fill="auto"/>
          </w:tcPr>
          <w:p w14:paraId="030DF371" w14:textId="0D053F12" w:rsidR="008054BB" w:rsidRPr="008054BB" w:rsidRDefault="008054BB" w:rsidP="008054BB">
            <w:pPr>
              <w:spacing w:before="40" w:after="120"/>
              <w:ind w:right="113"/>
            </w:pPr>
            <w:r w:rsidRPr="008054BB">
              <w:t xml:space="preserve">See </w:t>
            </w:r>
            <w:r w:rsidR="00087B19">
              <w:t>131</w:t>
            </w:r>
            <w:r w:rsidRPr="008054BB">
              <w:t>.49</w:t>
            </w:r>
            <w:r>
              <w:t>.</w:t>
            </w:r>
          </w:p>
        </w:tc>
      </w:tr>
      <w:tr w:rsidR="008054BB" w:rsidRPr="008054BB" w14:paraId="0967EFEE" w14:textId="77777777" w:rsidTr="008054BB">
        <w:tc>
          <w:tcPr>
            <w:tcW w:w="771" w:type="pct"/>
            <w:shd w:val="clear" w:color="auto" w:fill="auto"/>
          </w:tcPr>
          <w:p w14:paraId="5BA3F8F1" w14:textId="33DF5B1F" w:rsidR="008054BB" w:rsidRPr="008054BB" w:rsidRDefault="00087B19" w:rsidP="00100218">
            <w:pPr>
              <w:spacing w:before="40" w:after="120"/>
              <w:ind w:right="113"/>
            </w:pPr>
            <w:r>
              <w:t>131</w:t>
            </w:r>
            <w:r w:rsidR="008054BB" w:rsidRPr="008054BB">
              <w:t>.54.</w:t>
            </w:r>
          </w:p>
        </w:tc>
        <w:tc>
          <w:tcPr>
            <w:tcW w:w="1213" w:type="pct"/>
            <w:shd w:val="clear" w:color="auto" w:fill="auto"/>
          </w:tcPr>
          <w:p w14:paraId="3C9229C4" w14:textId="77777777" w:rsidR="008054BB" w:rsidRPr="008054BB" w:rsidRDefault="008054BB" w:rsidP="008054BB">
            <w:pPr>
              <w:spacing w:before="40" w:after="120"/>
              <w:ind w:right="113"/>
            </w:pPr>
            <w:r w:rsidRPr="008054BB">
              <w:t>NOTED</w:t>
            </w:r>
          </w:p>
        </w:tc>
        <w:tc>
          <w:tcPr>
            <w:tcW w:w="3016" w:type="pct"/>
            <w:shd w:val="clear" w:color="auto" w:fill="auto"/>
          </w:tcPr>
          <w:p w14:paraId="4A4D0FE7" w14:textId="51D4809F" w:rsidR="008054BB" w:rsidRPr="008054BB" w:rsidRDefault="008054BB" w:rsidP="008054BB">
            <w:pPr>
              <w:spacing w:before="40" w:after="120"/>
              <w:ind w:right="113"/>
            </w:pPr>
            <w:r w:rsidRPr="008054BB">
              <w:t xml:space="preserve">See </w:t>
            </w:r>
            <w:r w:rsidR="00087B19">
              <w:t>131</w:t>
            </w:r>
            <w:r w:rsidRPr="008054BB">
              <w:t>.49</w:t>
            </w:r>
            <w:r>
              <w:t>.</w:t>
            </w:r>
          </w:p>
        </w:tc>
      </w:tr>
      <w:tr w:rsidR="008054BB" w:rsidRPr="008054BB" w14:paraId="47B10041" w14:textId="77777777" w:rsidTr="008054BB">
        <w:tc>
          <w:tcPr>
            <w:tcW w:w="771" w:type="pct"/>
            <w:shd w:val="clear" w:color="auto" w:fill="auto"/>
          </w:tcPr>
          <w:p w14:paraId="1A75A3A7" w14:textId="0F014B0D" w:rsidR="008054BB" w:rsidRPr="008054BB" w:rsidRDefault="00087B19" w:rsidP="00100218">
            <w:pPr>
              <w:spacing w:before="40" w:after="120"/>
              <w:ind w:right="113"/>
            </w:pPr>
            <w:r>
              <w:t>131</w:t>
            </w:r>
            <w:r w:rsidR="008054BB" w:rsidRPr="008054BB">
              <w:t>.55.</w:t>
            </w:r>
          </w:p>
        </w:tc>
        <w:tc>
          <w:tcPr>
            <w:tcW w:w="1213" w:type="pct"/>
            <w:shd w:val="clear" w:color="auto" w:fill="auto"/>
          </w:tcPr>
          <w:p w14:paraId="2E13FF88" w14:textId="77777777" w:rsidR="008054BB" w:rsidRPr="008054BB" w:rsidRDefault="008054BB" w:rsidP="008054BB">
            <w:pPr>
              <w:spacing w:before="40" w:after="120"/>
              <w:ind w:right="113"/>
            </w:pPr>
            <w:r w:rsidRPr="008054BB">
              <w:t>NOTED</w:t>
            </w:r>
          </w:p>
        </w:tc>
        <w:tc>
          <w:tcPr>
            <w:tcW w:w="3016" w:type="pct"/>
            <w:shd w:val="clear" w:color="auto" w:fill="auto"/>
          </w:tcPr>
          <w:p w14:paraId="14EF9EEF" w14:textId="40337896" w:rsidR="008054BB" w:rsidRPr="008054BB" w:rsidRDefault="008054BB" w:rsidP="008054BB">
            <w:pPr>
              <w:spacing w:before="40" w:after="120"/>
              <w:ind w:right="113"/>
            </w:pPr>
            <w:r w:rsidRPr="008054BB">
              <w:t xml:space="preserve">See </w:t>
            </w:r>
            <w:r w:rsidR="00087B19">
              <w:t>131</w:t>
            </w:r>
            <w:r w:rsidRPr="008054BB">
              <w:t>.49</w:t>
            </w:r>
            <w:r>
              <w:t>.</w:t>
            </w:r>
          </w:p>
        </w:tc>
      </w:tr>
      <w:tr w:rsidR="008054BB" w:rsidRPr="008054BB" w14:paraId="65D7C72A" w14:textId="77777777" w:rsidTr="008054BB">
        <w:tc>
          <w:tcPr>
            <w:tcW w:w="771" w:type="pct"/>
            <w:shd w:val="clear" w:color="auto" w:fill="auto"/>
          </w:tcPr>
          <w:p w14:paraId="43C18E4C" w14:textId="3FA8EF8A" w:rsidR="008054BB" w:rsidRPr="008054BB" w:rsidRDefault="00087B19" w:rsidP="00100218">
            <w:pPr>
              <w:spacing w:before="40" w:after="120"/>
              <w:ind w:right="113"/>
            </w:pPr>
            <w:r>
              <w:t>131</w:t>
            </w:r>
            <w:r w:rsidR="008054BB" w:rsidRPr="008054BB">
              <w:t>.56.</w:t>
            </w:r>
          </w:p>
        </w:tc>
        <w:tc>
          <w:tcPr>
            <w:tcW w:w="1213" w:type="pct"/>
            <w:shd w:val="clear" w:color="auto" w:fill="auto"/>
          </w:tcPr>
          <w:p w14:paraId="737CC2A9" w14:textId="77777777" w:rsidR="008054BB" w:rsidRPr="008054BB" w:rsidRDefault="008054BB" w:rsidP="008054BB">
            <w:pPr>
              <w:spacing w:before="40" w:after="120"/>
              <w:ind w:right="113"/>
            </w:pPr>
            <w:r w:rsidRPr="008054BB">
              <w:t>NOTED</w:t>
            </w:r>
          </w:p>
        </w:tc>
        <w:tc>
          <w:tcPr>
            <w:tcW w:w="3016" w:type="pct"/>
            <w:shd w:val="clear" w:color="auto" w:fill="auto"/>
          </w:tcPr>
          <w:p w14:paraId="2F22D1CF" w14:textId="035E406F" w:rsidR="008054BB" w:rsidRPr="008054BB" w:rsidRDefault="008054BB" w:rsidP="008054BB">
            <w:pPr>
              <w:spacing w:before="40" w:after="120"/>
              <w:ind w:right="113"/>
            </w:pPr>
            <w:r w:rsidRPr="008054BB">
              <w:t xml:space="preserve">See </w:t>
            </w:r>
            <w:r w:rsidR="00087B19">
              <w:t>131</w:t>
            </w:r>
            <w:r w:rsidRPr="008054BB">
              <w:t>.49</w:t>
            </w:r>
            <w:r>
              <w:t>.</w:t>
            </w:r>
          </w:p>
        </w:tc>
      </w:tr>
      <w:tr w:rsidR="008054BB" w:rsidRPr="008054BB" w14:paraId="76D03557" w14:textId="77777777" w:rsidTr="008054BB">
        <w:tc>
          <w:tcPr>
            <w:tcW w:w="771" w:type="pct"/>
            <w:shd w:val="clear" w:color="auto" w:fill="auto"/>
          </w:tcPr>
          <w:p w14:paraId="0B7C3FD6" w14:textId="4EFA555A" w:rsidR="008054BB" w:rsidRPr="008054BB" w:rsidRDefault="00087B19" w:rsidP="00100218">
            <w:pPr>
              <w:spacing w:before="40" w:after="120"/>
              <w:ind w:right="113"/>
            </w:pPr>
            <w:r>
              <w:t>131</w:t>
            </w:r>
            <w:r w:rsidR="008054BB" w:rsidRPr="008054BB">
              <w:t>.57.</w:t>
            </w:r>
          </w:p>
        </w:tc>
        <w:tc>
          <w:tcPr>
            <w:tcW w:w="1213" w:type="pct"/>
            <w:shd w:val="clear" w:color="auto" w:fill="auto"/>
          </w:tcPr>
          <w:p w14:paraId="38A9AA9E" w14:textId="07DF0F18" w:rsidR="008054BB" w:rsidRPr="008054BB" w:rsidRDefault="008054BB" w:rsidP="008054BB">
            <w:pPr>
              <w:spacing w:before="40" w:after="120"/>
              <w:ind w:right="113"/>
            </w:pPr>
            <w:r w:rsidRPr="008054BB">
              <w:t>SUPPORTED</w:t>
            </w:r>
          </w:p>
        </w:tc>
        <w:tc>
          <w:tcPr>
            <w:tcW w:w="3016" w:type="pct"/>
            <w:shd w:val="clear" w:color="auto" w:fill="auto"/>
          </w:tcPr>
          <w:p w14:paraId="600339E0" w14:textId="77777777" w:rsidR="008054BB" w:rsidRPr="008054BB" w:rsidRDefault="008054BB" w:rsidP="008054BB">
            <w:pPr>
              <w:spacing w:before="40" w:after="120"/>
              <w:ind w:right="113"/>
            </w:pPr>
          </w:p>
        </w:tc>
      </w:tr>
      <w:tr w:rsidR="008054BB" w:rsidRPr="008054BB" w14:paraId="05C1892D" w14:textId="77777777" w:rsidTr="008054BB">
        <w:tc>
          <w:tcPr>
            <w:tcW w:w="771" w:type="pct"/>
            <w:shd w:val="clear" w:color="auto" w:fill="auto"/>
          </w:tcPr>
          <w:p w14:paraId="5CA01839" w14:textId="74A93DD3" w:rsidR="008054BB" w:rsidRPr="008054BB" w:rsidRDefault="00087B19" w:rsidP="00100218">
            <w:pPr>
              <w:spacing w:before="40" w:after="120"/>
              <w:ind w:right="113"/>
            </w:pPr>
            <w:r>
              <w:t>131</w:t>
            </w:r>
            <w:r w:rsidR="008054BB" w:rsidRPr="008054BB">
              <w:t>.58.</w:t>
            </w:r>
          </w:p>
        </w:tc>
        <w:tc>
          <w:tcPr>
            <w:tcW w:w="1213" w:type="pct"/>
            <w:shd w:val="clear" w:color="auto" w:fill="auto"/>
          </w:tcPr>
          <w:p w14:paraId="04CE2DDC" w14:textId="77777777" w:rsidR="008054BB" w:rsidRPr="008054BB" w:rsidRDefault="008054BB" w:rsidP="008054BB">
            <w:pPr>
              <w:spacing w:before="40" w:after="120"/>
              <w:ind w:right="113"/>
            </w:pPr>
            <w:r w:rsidRPr="008054BB">
              <w:t>NOTED</w:t>
            </w:r>
          </w:p>
        </w:tc>
        <w:tc>
          <w:tcPr>
            <w:tcW w:w="3016" w:type="pct"/>
            <w:shd w:val="clear" w:color="auto" w:fill="auto"/>
          </w:tcPr>
          <w:p w14:paraId="50B9DF8A" w14:textId="4CFF29B4" w:rsidR="008054BB" w:rsidRPr="008054BB" w:rsidRDefault="008054BB" w:rsidP="008054BB">
            <w:pPr>
              <w:spacing w:before="40" w:after="120"/>
              <w:ind w:right="113"/>
            </w:pPr>
            <w:r w:rsidRPr="008054BB">
              <w:t xml:space="preserve">See </w:t>
            </w:r>
            <w:r w:rsidR="00087B19">
              <w:t>131</w:t>
            </w:r>
            <w:r w:rsidRPr="008054BB">
              <w:t>.49</w:t>
            </w:r>
            <w:r>
              <w:t>.</w:t>
            </w:r>
          </w:p>
        </w:tc>
      </w:tr>
      <w:tr w:rsidR="008054BB" w:rsidRPr="008054BB" w14:paraId="26897D88" w14:textId="77777777" w:rsidTr="008054BB">
        <w:tc>
          <w:tcPr>
            <w:tcW w:w="771" w:type="pct"/>
            <w:shd w:val="clear" w:color="auto" w:fill="auto"/>
          </w:tcPr>
          <w:p w14:paraId="74919200" w14:textId="1BB5C995" w:rsidR="008054BB" w:rsidRPr="008054BB" w:rsidRDefault="00087B19" w:rsidP="00100218">
            <w:pPr>
              <w:spacing w:before="40" w:after="120"/>
              <w:ind w:right="113"/>
            </w:pPr>
            <w:r>
              <w:t>131</w:t>
            </w:r>
            <w:r w:rsidR="008054BB" w:rsidRPr="008054BB">
              <w:t>.59.</w:t>
            </w:r>
          </w:p>
        </w:tc>
        <w:tc>
          <w:tcPr>
            <w:tcW w:w="1213" w:type="pct"/>
            <w:shd w:val="clear" w:color="auto" w:fill="auto"/>
          </w:tcPr>
          <w:p w14:paraId="0F9AF5AD"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46CFA213" w14:textId="77777777" w:rsidR="008054BB" w:rsidRPr="008054BB" w:rsidRDefault="008054BB" w:rsidP="008054BB">
            <w:pPr>
              <w:spacing w:before="40" w:after="120"/>
              <w:ind w:right="113"/>
            </w:pPr>
          </w:p>
        </w:tc>
      </w:tr>
      <w:tr w:rsidR="008054BB" w:rsidRPr="008054BB" w14:paraId="0C1BBAE6" w14:textId="77777777" w:rsidTr="008054BB">
        <w:tc>
          <w:tcPr>
            <w:tcW w:w="771" w:type="pct"/>
            <w:shd w:val="clear" w:color="auto" w:fill="auto"/>
          </w:tcPr>
          <w:p w14:paraId="6AA85C3F" w14:textId="28030B68" w:rsidR="008054BB" w:rsidRPr="008054BB" w:rsidRDefault="00087B19" w:rsidP="00100218">
            <w:pPr>
              <w:spacing w:before="40" w:after="120"/>
              <w:ind w:right="113"/>
            </w:pPr>
            <w:r>
              <w:t>131</w:t>
            </w:r>
            <w:r w:rsidR="008054BB" w:rsidRPr="008054BB">
              <w:t>.60.</w:t>
            </w:r>
          </w:p>
        </w:tc>
        <w:tc>
          <w:tcPr>
            <w:tcW w:w="1213" w:type="pct"/>
            <w:shd w:val="clear" w:color="auto" w:fill="auto"/>
          </w:tcPr>
          <w:p w14:paraId="57E7D226" w14:textId="77777777" w:rsidR="008054BB" w:rsidRPr="008054BB" w:rsidRDefault="008054BB" w:rsidP="008054BB">
            <w:pPr>
              <w:spacing w:before="40" w:after="120"/>
              <w:ind w:right="113"/>
            </w:pPr>
            <w:r w:rsidRPr="008054BB">
              <w:t>SUPPORTED</w:t>
            </w:r>
          </w:p>
        </w:tc>
        <w:tc>
          <w:tcPr>
            <w:tcW w:w="3016" w:type="pct"/>
            <w:shd w:val="clear" w:color="auto" w:fill="auto"/>
          </w:tcPr>
          <w:p w14:paraId="7375DFE8" w14:textId="77777777" w:rsidR="008054BB" w:rsidRPr="008054BB" w:rsidRDefault="008054BB" w:rsidP="008054BB">
            <w:pPr>
              <w:spacing w:before="40" w:after="120"/>
              <w:ind w:right="113"/>
            </w:pPr>
          </w:p>
        </w:tc>
      </w:tr>
      <w:tr w:rsidR="008054BB" w:rsidRPr="008054BB" w14:paraId="0F5FA1E4" w14:textId="77777777" w:rsidTr="008054BB">
        <w:tc>
          <w:tcPr>
            <w:tcW w:w="771" w:type="pct"/>
            <w:shd w:val="clear" w:color="auto" w:fill="auto"/>
          </w:tcPr>
          <w:p w14:paraId="3D3C1B79" w14:textId="17D96A0D" w:rsidR="008054BB" w:rsidRPr="008054BB" w:rsidRDefault="00087B19" w:rsidP="00100218">
            <w:pPr>
              <w:spacing w:before="40" w:after="120"/>
              <w:ind w:right="113"/>
            </w:pPr>
            <w:r>
              <w:t>131</w:t>
            </w:r>
            <w:r w:rsidR="008054BB" w:rsidRPr="008054BB">
              <w:t>.61.</w:t>
            </w:r>
          </w:p>
        </w:tc>
        <w:tc>
          <w:tcPr>
            <w:tcW w:w="1213" w:type="pct"/>
            <w:shd w:val="clear" w:color="auto" w:fill="auto"/>
          </w:tcPr>
          <w:p w14:paraId="45F6C8D9" w14:textId="77777777" w:rsidR="008054BB" w:rsidRPr="008054BB" w:rsidRDefault="008054BB" w:rsidP="008054BB">
            <w:pPr>
              <w:spacing w:before="40" w:after="120"/>
              <w:ind w:right="113"/>
            </w:pPr>
            <w:r w:rsidRPr="008054BB">
              <w:t>SUPPORTED</w:t>
            </w:r>
          </w:p>
        </w:tc>
        <w:tc>
          <w:tcPr>
            <w:tcW w:w="3016" w:type="pct"/>
            <w:shd w:val="clear" w:color="auto" w:fill="auto"/>
          </w:tcPr>
          <w:p w14:paraId="27840925" w14:textId="77777777" w:rsidR="008054BB" w:rsidRPr="008054BB" w:rsidRDefault="008054BB" w:rsidP="008054BB">
            <w:pPr>
              <w:spacing w:before="40" w:after="120"/>
              <w:ind w:right="113"/>
            </w:pPr>
          </w:p>
        </w:tc>
      </w:tr>
      <w:tr w:rsidR="008054BB" w:rsidRPr="008054BB" w14:paraId="322C3424" w14:textId="77777777" w:rsidTr="008054BB">
        <w:tc>
          <w:tcPr>
            <w:tcW w:w="771" w:type="pct"/>
            <w:shd w:val="clear" w:color="auto" w:fill="auto"/>
          </w:tcPr>
          <w:p w14:paraId="3D9213A7" w14:textId="0AC64353" w:rsidR="008054BB" w:rsidRPr="008054BB" w:rsidRDefault="00087B19" w:rsidP="00100218">
            <w:pPr>
              <w:spacing w:before="40" w:after="120"/>
              <w:ind w:right="113"/>
            </w:pPr>
            <w:r>
              <w:t>131</w:t>
            </w:r>
            <w:r w:rsidR="008054BB" w:rsidRPr="008054BB">
              <w:t>.62.</w:t>
            </w:r>
          </w:p>
        </w:tc>
        <w:tc>
          <w:tcPr>
            <w:tcW w:w="1213" w:type="pct"/>
            <w:shd w:val="clear" w:color="auto" w:fill="auto"/>
          </w:tcPr>
          <w:p w14:paraId="2808B84C" w14:textId="77777777" w:rsidR="008054BB" w:rsidRPr="008054BB" w:rsidRDefault="008054BB" w:rsidP="008054BB">
            <w:pPr>
              <w:spacing w:before="40" w:after="120"/>
              <w:ind w:right="113"/>
            </w:pPr>
            <w:r w:rsidRPr="008054BB">
              <w:t xml:space="preserve">SUPPORTED </w:t>
            </w:r>
          </w:p>
        </w:tc>
        <w:tc>
          <w:tcPr>
            <w:tcW w:w="3016" w:type="pct"/>
            <w:shd w:val="clear" w:color="auto" w:fill="auto"/>
          </w:tcPr>
          <w:p w14:paraId="71931226" w14:textId="77777777" w:rsidR="008054BB" w:rsidRPr="008054BB" w:rsidRDefault="008054BB" w:rsidP="008054BB">
            <w:pPr>
              <w:spacing w:before="40" w:after="120"/>
              <w:ind w:right="113"/>
            </w:pPr>
          </w:p>
        </w:tc>
      </w:tr>
      <w:tr w:rsidR="008054BB" w:rsidRPr="008054BB" w14:paraId="7310185C" w14:textId="77777777" w:rsidTr="008054BB">
        <w:tc>
          <w:tcPr>
            <w:tcW w:w="771" w:type="pct"/>
            <w:tcBorders>
              <w:bottom w:val="single" w:sz="12" w:space="0" w:color="auto"/>
            </w:tcBorders>
            <w:shd w:val="clear" w:color="auto" w:fill="auto"/>
          </w:tcPr>
          <w:p w14:paraId="777F75AA" w14:textId="73118F61" w:rsidR="008054BB" w:rsidRPr="008054BB" w:rsidRDefault="00087B19" w:rsidP="00100218">
            <w:pPr>
              <w:spacing w:before="40" w:after="120"/>
              <w:ind w:right="113"/>
            </w:pPr>
            <w:r>
              <w:t>131</w:t>
            </w:r>
            <w:r w:rsidR="008054BB" w:rsidRPr="008054BB">
              <w:t>.63.</w:t>
            </w:r>
          </w:p>
        </w:tc>
        <w:tc>
          <w:tcPr>
            <w:tcW w:w="1213" w:type="pct"/>
            <w:tcBorders>
              <w:bottom w:val="single" w:sz="12" w:space="0" w:color="auto"/>
            </w:tcBorders>
            <w:shd w:val="clear" w:color="auto" w:fill="auto"/>
          </w:tcPr>
          <w:p w14:paraId="6FD1E621" w14:textId="77777777" w:rsidR="008054BB" w:rsidRPr="008054BB" w:rsidRDefault="008054BB" w:rsidP="008054BB">
            <w:pPr>
              <w:spacing w:before="40" w:after="120"/>
              <w:ind w:right="113"/>
            </w:pPr>
            <w:r w:rsidRPr="008054BB">
              <w:t xml:space="preserve">SUPPORTED </w:t>
            </w:r>
          </w:p>
        </w:tc>
        <w:tc>
          <w:tcPr>
            <w:tcW w:w="3016" w:type="pct"/>
            <w:tcBorders>
              <w:bottom w:val="single" w:sz="12" w:space="0" w:color="auto"/>
            </w:tcBorders>
            <w:shd w:val="clear" w:color="auto" w:fill="auto"/>
          </w:tcPr>
          <w:p w14:paraId="62766511" w14:textId="77777777" w:rsidR="008054BB" w:rsidRPr="008054BB" w:rsidRDefault="008054BB" w:rsidP="008054BB">
            <w:pPr>
              <w:spacing w:before="40" w:after="120"/>
              <w:ind w:right="113"/>
            </w:pPr>
          </w:p>
        </w:tc>
      </w:tr>
    </w:tbl>
    <w:p w14:paraId="2B8E168D" w14:textId="06DA2B94" w:rsidR="00CF586F" w:rsidRPr="00233143" w:rsidRDefault="00233143" w:rsidP="00233143">
      <w:pPr>
        <w:spacing w:before="240"/>
        <w:ind w:left="1134" w:right="1134"/>
        <w:jc w:val="center"/>
        <w:rPr>
          <w:u w:val="single"/>
        </w:rPr>
      </w:pPr>
      <w:r>
        <w:rPr>
          <w:u w:val="single"/>
        </w:rPr>
        <w:tab/>
      </w:r>
      <w:r>
        <w:rPr>
          <w:u w:val="single"/>
        </w:rPr>
        <w:tab/>
      </w:r>
      <w:r>
        <w:rPr>
          <w:u w:val="single"/>
        </w:rPr>
        <w:tab/>
      </w:r>
      <w:r w:rsidR="008651F4">
        <w:rPr>
          <w:u w:val="single"/>
        </w:rPr>
        <w:tab/>
      </w:r>
    </w:p>
    <w:sectPr w:rsidR="00CF586F" w:rsidRPr="00233143" w:rsidSect="008054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CAE9" w14:textId="77777777" w:rsidR="0079025C" w:rsidRDefault="0079025C"/>
  </w:endnote>
  <w:endnote w:type="continuationSeparator" w:id="0">
    <w:p w14:paraId="6623CDF4" w14:textId="77777777" w:rsidR="0079025C" w:rsidRDefault="0079025C"/>
  </w:endnote>
  <w:endnote w:type="continuationNotice" w:id="1">
    <w:p w14:paraId="65E4B01C" w14:textId="77777777" w:rsidR="0079025C" w:rsidRDefault="00790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B718" w14:textId="0116AEDD" w:rsidR="008054BB" w:rsidRPr="008054BB" w:rsidRDefault="008054BB" w:rsidP="008054BB">
    <w:pPr>
      <w:pStyle w:val="Footer"/>
      <w:tabs>
        <w:tab w:val="right" w:pos="9638"/>
      </w:tabs>
      <w:rPr>
        <w:sz w:val="18"/>
      </w:rPr>
    </w:pPr>
    <w:r w:rsidRPr="008054BB">
      <w:rPr>
        <w:b/>
        <w:sz w:val="18"/>
      </w:rPr>
      <w:fldChar w:fldCharType="begin"/>
    </w:r>
    <w:r w:rsidRPr="008054BB">
      <w:rPr>
        <w:b/>
        <w:sz w:val="18"/>
      </w:rPr>
      <w:instrText xml:space="preserve"> PAGE  \* MERGEFORMAT </w:instrText>
    </w:r>
    <w:r w:rsidRPr="008054BB">
      <w:rPr>
        <w:b/>
        <w:sz w:val="18"/>
      </w:rPr>
      <w:fldChar w:fldCharType="separate"/>
    </w:r>
    <w:r w:rsidR="00244968">
      <w:rPr>
        <w:b/>
        <w:noProof/>
        <w:sz w:val="18"/>
      </w:rPr>
      <w:t>2</w:t>
    </w:r>
    <w:r w:rsidRPr="008054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66D9" w14:textId="356F7A9D" w:rsidR="008054BB" w:rsidRPr="008054BB" w:rsidRDefault="008054BB" w:rsidP="008054BB">
    <w:pPr>
      <w:pStyle w:val="Footer"/>
      <w:tabs>
        <w:tab w:val="right" w:pos="9638"/>
      </w:tabs>
      <w:rPr>
        <w:b/>
        <w:sz w:val="18"/>
      </w:rPr>
    </w:pPr>
    <w:r>
      <w:tab/>
    </w:r>
    <w:r w:rsidRPr="008054BB">
      <w:rPr>
        <w:b/>
        <w:sz w:val="18"/>
      </w:rPr>
      <w:fldChar w:fldCharType="begin"/>
    </w:r>
    <w:r w:rsidRPr="008054BB">
      <w:rPr>
        <w:b/>
        <w:sz w:val="18"/>
      </w:rPr>
      <w:instrText xml:space="preserve"> PAGE  \* MERGEFORMAT </w:instrText>
    </w:r>
    <w:r w:rsidRPr="008054BB">
      <w:rPr>
        <w:b/>
        <w:sz w:val="18"/>
      </w:rPr>
      <w:fldChar w:fldCharType="separate"/>
    </w:r>
    <w:r w:rsidR="00244968">
      <w:rPr>
        <w:b/>
        <w:noProof/>
        <w:sz w:val="18"/>
      </w:rPr>
      <w:t>7</w:t>
    </w:r>
    <w:r w:rsidRPr="008054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89E9" w14:textId="77777777" w:rsidR="00160964" w:rsidRDefault="0016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08F2" w14:textId="77777777" w:rsidR="0079025C" w:rsidRPr="000B175B" w:rsidRDefault="0079025C" w:rsidP="000B175B">
      <w:pPr>
        <w:tabs>
          <w:tab w:val="right" w:pos="2155"/>
        </w:tabs>
        <w:spacing w:after="80"/>
        <w:ind w:left="680"/>
        <w:rPr>
          <w:u w:val="single"/>
        </w:rPr>
      </w:pPr>
      <w:r>
        <w:rPr>
          <w:u w:val="single"/>
        </w:rPr>
        <w:tab/>
      </w:r>
    </w:p>
  </w:footnote>
  <w:footnote w:type="continuationSeparator" w:id="0">
    <w:p w14:paraId="1DE4FBD5" w14:textId="77777777" w:rsidR="0079025C" w:rsidRPr="00FC68B7" w:rsidRDefault="0079025C" w:rsidP="00FC68B7">
      <w:pPr>
        <w:tabs>
          <w:tab w:val="left" w:pos="2155"/>
        </w:tabs>
        <w:spacing w:after="80"/>
        <w:ind w:left="680"/>
        <w:rPr>
          <w:u w:val="single"/>
        </w:rPr>
      </w:pPr>
      <w:r>
        <w:rPr>
          <w:u w:val="single"/>
        </w:rPr>
        <w:tab/>
      </w:r>
    </w:p>
  </w:footnote>
  <w:footnote w:type="continuationNotice" w:id="1">
    <w:p w14:paraId="67B7FC28" w14:textId="77777777" w:rsidR="0079025C" w:rsidRDefault="0079025C"/>
  </w:footnote>
  <w:footnote w:id="2">
    <w:p w14:paraId="61E4A892" w14:textId="77777777" w:rsidR="008054BB" w:rsidRPr="00904B47" w:rsidRDefault="008054BB" w:rsidP="008054BB">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B901" w14:textId="43D808C8" w:rsidR="008054BB" w:rsidRPr="008054BB" w:rsidRDefault="00160964">
    <w:pPr>
      <w:pStyle w:val="Header"/>
    </w:pPr>
    <w:r>
      <w:rPr>
        <w:noProof/>
      </w:rPr>
      <w:pict w14:anchorId="08266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0516" o:spid="_x0000_s14338"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D14822">
      <w:t>A/HRC/54/18/Add.1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C580" w14:textId="3421EDE5" w:rsidR="008054BB" w:rsidRPr="008054BB" w:rsidRDefault="00160964" w:rsidP="008054BB">
    <w:pPr>
      <w:pStyle w:val="Header"/>
      <w:jc w:val="right"/>
    </w:pPr>
    <w:r>
      <w:rPr>
        <w:noProof/>
      </w:rPr>
      <w:pict w14:anchorId="6D280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0517" o:spid="_x0000_s14339"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D14822">
      <w:t>A/HRC/54/18/Add.1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1BA8" w14:textId="6021BCA2" w:rsidR="00160964" w:rsidRDefault="00160964">
    <w:pPr>
      <w:pStyle w:val="Header"/>
    </w:pPr>
    <w:r>
      <w:rPr>
        <w:noProof/>
      </w:rPr>
      <w:pict w14:anchorId="1B5D2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0515" o:spid="_x0000_s14337"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37809577">
    <w:abstractNumId w:val="5"/>
  </w:num>
  <w:num w:numId="2" w16cid:durableId="206260807">
    <w:abstractNumId w:val="4"/>
  </w:num>
  <w:num w:numId="3" w16cid:durableId="2107144201">
    <w:abstractNumId w:val="7"/>
  </w:num>
  <w:num w:numId="4" w16cid:durableId="1282028017">
    <w:abstractNumId w:val="3"/>
  </w:num>
  <w:num w:numId="5" w16cid:durableId="775322310">
    <w:abstractNumId w:val="0"/>
  </w:num>
  <w:num w:numId="6" w16cid:durableId="797601796">
    <w:abstractNumId w:val="1"/>
  </w:num>
  <w:num w:numId="7" w16cid:durableId="385564849">
    <w:abstractNumId w:val="6"/>
  </w:num>
  <w:num w:numId="8" w16cid:durableId="103731289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40"/>
    <o:shapelayout v:ext="edit">
      <o:idmap v:ext="edit" data="14"/>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BB"/>
    <w:rsid w:val="00007F7F"/>
    <w:rsid w:val="00022DB5"/>
    <w:rsid w:val="000403D1"/>
    <w:rsid w:val="000449AA"/>
    <w:rsid w:val="00050F6B"/>
    <w:rsid w:val="0005662A"/>
    <w:rsid w:val="0006433B"/>
    <w:rsid w:val="00072C8C"/>
    <w:rsid w:val="00073E70"/>
    <w:rsid w:val="00082BCA"/>
    <w:rsid w:val="000876EB"/>
    <w:rsid w:val="00087B19"/>
    <w:rsid w:val="00091419"/>
    <w:rsid w:val="000931C0"/>
    <w:rsid w:val="000B175B"/>
    <w:rsid w:val="000B2851"/>
    <w:rsid w:val="000B3A0F"/>
    <w:rsid w:val="000B4A3B"/>
    <w:rsid w:val="000C59D8"/>
    <w:rsid w:val="000D1851"/>
    <w:rsid w:val="000E0415"/>
    <w:rsid w:val="00100218"/>
    <w:rsid w:val="00146D32"/>
    <w:rsid w:val="001509BA"/>
    <w:rsid w:val="00160964"/>
    <w:rsid w:val="001B4B04"/>
    <w:rsid w:val="001C6663"/>
    <w:rsid w:val="001C7895"/>
    <w:rsid w:val="001D26DF"/>
    <w:rsid w:val="001E2790"/>
    <w:rsid w:val="00211E0B"/>
    <w:rsid w:val="00211E72"/>
    <w:rsid w:val="00214047"/>
    <w:rsid w:val="0022130F"/>
    <w:rsid w:val="00233143"/>
    <w:rsid w:val="00237785"/>
    <w:rsid w:val="002410DD"/>
    <w:rsid w:val="00241466"/>
    <w:rsid w:val="00244968"/>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E1F54"/>
    <w:rsid w:val="00414923"/>
    <w:rsid w:val="00424C80"/>
    <w:rsid w:val="004325CB"/>
    <w:rsid w:val="0044503A"/>
    <w:rsid w:val="00446DE4"/>
    <w:rsid w:val="00447761"/>
    <w:rsid w:val="00451EC3"/>
    <w:rsid w:val="004721B1"/>
    <w:rsid w:val="004859EC"/>
    <w:rsid w:val="00496A15"/>
    <w:rsid w:val="004A7A7B"/>
    <w:rsid w:val="004B75D2"/>
    <w:rsid w:val="004D1140"/>
    <w:rsid w:val="004F55ED"/>
    <w:rsid w:val="0052176C"/>
    <w:rsid w:val="005261E5"/>
    <w:rsid w:val="00536ECD"/>
    <w:rsid w:val="005420F2"/>
    <w:rsid w:val="00542574"/>
    <w:rsid w:val="005436AB"/>
    <w:rsid w:val="00546924"/>
    <w:rsid w:val="00546DBF"/>
    <w:rsid w:val="00553D76"/>
    <w:rsid w:val="005552B5"/>
    <w:rsid w:val="0056117B"/>
    <w:rsid w:val="00562621"/>
    <w:rsid w:val="00571365"/>
    <w:rsid w:val="005766BC"/>
    <w:rsid w:val="00577ABD"/>
    <w:rsid w:val="005A0E16"/>
    <w:rsid w:val="005B3DB3"/>
    <w:rsid w:val="005B6E48"/>
    <w:rsid w:val="005D53BE"/>
    <w:rsid w:val="005E1712"/>
    <w:rsid w:val="00611FC4"/>
    <w:rsid w:val="006176FB"/>
    <w:rsid w:val="00640B26"/>
    <w:rsid w:val="00655B60"/>
    <w:rsid w:val="00670741"/>
    <w:rsid w:val="006941E1"/>
    <w:rsid w:val="00696BD6"/>
    <w:rsid w:val="006A6B9D"/>
    <w:rsid w:val="006A7392"/>
    <w:rsid w:val="006B3189"/>
    <w:rsid w:val="006B7D65"/>
    <w:rsid w:val="006D6DA6"/>
    <w:rsid w:val="006E564B"/>
    <w:rsid w:val="006F13F0"/>
    <w:rsid w:val="006F5035"/>
    <w:rsid w:val="007065EB"/>
    <w:rsid w:val="00720183"/>
    <w:rsid w:val="0072632A"/>
    <w:rsid w:val="0074200B"/>
    <w:rsid w:val="0079025C"/>
    <w:rsid w:val="007A6296"/>
    <w:rsid w:val="007A79E4"/>
    <w:rsid w:val="007B1C4D"/>
    <w:rsid w:val="007B6BA5"/>
    <w:rsid w:val="007C1B62"/>
    <w:rsid w:val="007C3390"/>
    <w:rsid w:val="007C4F4B"/>
    <w:rsid w:val="007D2CDC"/>
    <w:rsid w:val="007D5327"/>
    <w:rsid w:val="007F6611"/>
    <w:rsid w:val="008054BB"/>
    <w:rsid w:val="008152B7"/>
    <w:rsid w:val="008155C3"/>
    <w:rsid w:val="008175E9"/>
    <w:rsid w:val="0082243E"/>
    <w:rsid w:val="008242D7"/>
    <w:rsid w:val="00842BC9"/>
    <w:rsid w:val="00856CD2"/>
    <w:rsid w:val="00861BC6"/>
    <w:rsid w:val="008651F4"/>
    <w:rsid w:val="00871FD5"/>
    <w:rsid w:val="008847BB"/>
    <w:rsid w:val="008979B1"/>
    <w:rsid w:val="008A6B25"/>
    <w:rsid w:val="008A6C4F"/>
    <w:rsid w:val="008C1E4D"/>
    <w:rsid w:val="008E0E46"/>
    <w:rsid w:val="0090452C"/>
    <w:rsid w:val="00907C3F"/>
    <w:rsid w:val="0092237C"/>
    <w:rsid w:val="00932A18"/>
    <w:rsid w:val="0093707B"/>
    <w:rsid w:val="009400EB"/>
    <w:rsid w:val="009427E3"/>
    <w:rsid w:val="00946575"/>
    <w:rsid w:val="009466DA"/>
    <w:rsid w:val="00956D9B"/>
    <w:rsid w:val="00963CBA"/>
    <w:rsid w:val="009654B7"/>
    <w:rsid w:val="00991261"/>
    <w:rsid w:val="009A0B83"/>
    <w:rsid w:val="009B3800"/>
    <w:rsid w:val="009D22AC"/>
    <w:rsid w:val="009D50DB"/>
    <w:rsid w:val="009E1C4E"/>
    <w:rsid w:val="00A0036A"/>
    <w:rsid w:val="00A05E0B"/>
    <w:rsid w:val="00A1427D"/>
    <w:rsid w:val="00A34082"/>
    <w:rsid w:val="00A4634F"/>
    <w:rsid w:val="00A51CF3"/>
    <w:rsid w:val="00A72F22"/>
    <w:rsid w:val="00A73D32"/>
    <w:rsid w:val="00A748A6"/>
    <w:rsid w:val="00A879A4"/>
    <w:rsid w:val="00A87E95"/>
    <w:rsid w:val="00A92E29"/>
    <w:rsid w:val="00AA1801"/>
    <w:rsid w:val="00AC5AE2"/>
    <w:rsid w:val="00AD09E9"/>
    <w:rsid w:val="00AE1C84"/>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14822"/>
    <w:rsid w:val="00D2031B"/>
    <w:rsid w:val="00D22332"/>
    <w:rsid w:val="00D25FE2"/>
    <w:rsid w:val="00D43252"/>
    <w:rsid w:val="00D550F9"/>
    <w:rsid w:val="00D572B0"/>
    <w:rsid w:val="00D62E90"/>
    <w:rsid w:val="00D76BE5"/>
    <w:rsid w:val="00D90E55"/>
    <w:rsid w:val="00D978C6"/>
    <w:rsid w:val="00DA67AD"/>
    <w:rsid w:val="00DB18CE"/>
    <w:rsid w:val="00DB5566"/>
    <w:rsid w:val="00DC3251"/>
    <w:rsid w:val="00DE02ED"/>
    <w:rsid w:val="00DE3EC0"/>
    <w:rsid w:val="00E11593"/>
    <w:rsid w:val="00E12B6B"/>
    <w:rsid w:val="00E130AB"/>
    <w:rsid w:val="00E438D9"/>
    <w:rsid w:val="00E44C77"/>
    <w:rsid w:val="00E5644E"/>
    <w:rsid w:val="00E7260F"/>
    <w:rsid w:val="00E806EE"/>
    <w:rsid w:val="00E96630"/>
    <w:rsid w:val="00EA55D1"/>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91C9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E4A4FA8"/>
  <w15:docId w15:val="{396B83BC-8062-443A-B1E6-78606AA3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054BB"/>
    <w:rPr>
      <w:sz w:val="18"/>
      <w:lang w:val="en-GB" w:eastAsia="en-US"/>
    </w:rPr>
  </w:style>
  <w:style w:type="paragraph" w:styleId="Revision">
    <w:name w:val="Revision"/>
    <w:hidden/>
    <w:uiPriority w:val="99"/>
    <w:semiHidden/>
    <w:rsid w:val="00577ABD"/>
    <w:rPr>
      <w:lang w:val="en-GB" w:eastAsia="en-US"/>
    </w:rPr>
  </w:style>
  <w:style w:type="character" w:styleId="CommentReference">
    <w:name w:val="annotation reference"/>
    <w:basedOn w:val="DefaultParagraphFont"/>
    <w:semiHidden/>
    <w:unhideWhenUsed/>
    <w:rsid w:val="004A7A7B"/>
    <w:rPr>
      <w:sz w:val="16"/>
      <w:szCs w:val="16"/>
    </w:rPr>
  </w:style>
  <w:style w:type="paragraph" w:styleId="CommentText">
    <w:name w:val="annotation text"/>
    <w:basedOn w:val="Normal"/>
    <w:link w:val="CommentTextChar"/>
    <w:semiHidden/>
    <w:unhideWhenUsed/>
    <w:rsid w:val="004A7A7B"/>
    <w:pPr>
      <w:spacing w:line="240" w:lineRule="auto"/>
    </w:pPr>
  </w:style>
  <w:style w:type="character" w:customStyle="1" w:styleId="CommentTextChar">
    <w:name w:val="Comment Text Char"/>
    <w:basedOn w:val="DefaultParagraphFont"/>
    <w:link w:val="CommentText"/>
    <w:semiHidden/>
    <w:rsid w:val="004A7A7B"/>
    <w:rPr>
      <w:lang w:val="en-GB" w:eastAsia="en-US"/>
    </w:rPr>
  </w:style>
  <w:style w:type="paragraph" w:styleId="CommentSubject">
    <w:name w:val="annotation subject"/>
    <w:basedOn w:val="CommentText"/>
    <w:next w:val="CommentText"/>
    <w:link w:val="CommentSubjectChar"/>
    <w:semiHidden/>
    <w:unhideWhenUsed/>
    <w:rsid w:val="004A7A7B"/>
    <w:rPr>
      <w:b/>
      <w:bCs/>
    </w:rPr>
  </w:style>
  <w:style w:type="character" w:customStyle="1" w:styleId="CommentSubjectChar">
    <w:name w:val="Comment Subject Char"/>
    <w:basedOn w:val="CommentTextChar"/>
    <w:link w:val="CommentSubject"/>
    <w:semiHidden/>
    <w:rsid w:val="004A7A7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6907-2E90-415F-9B88-FDA3C082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2133</Words>
  <Characters>11733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A/HRC/54/18/Add.1</vt:lpstr>
      <vt:lpstr/>
    </vt:vector>
  </TitlesOfParts>
  <Company>CSD</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A/HRC/54/18/Add.1</dc:title>
  <dc:creator>IHARA Sumiko</dc:creator>
  <cp:lastModifiedBy>Veronique</cp:lastModifiedBy>
  <cp:revision>2</cp:revision>
  <cp:lastPrinted>2008-01-29T08:30:00Z</cp:lastPrinted>
  <dcterms:created xsi:type="dcterms:W3CDTF">2023-09-13T09:41:00Z</dcterms:created>
  <dcterms:modified xsi:type="dcterms:W3CDTF">2023-09-13T09:41:00Z</dcterms:modified>
</cp:coreProperties>
</file>