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35937" w14:textId="77777777" w:rsidR="00A27888" w:rsidRPr="00A27888" w:rsidRDefault="00A27888" w:rsidP="00A27888">
      <w:pPr>
        <w:jc w:val="center"/>
        <w:rPr>
          <w:b/>
          <w:sz w:val="28"/>
          <w:szCs w:val="28"/>
        </w:rPr>
      </w:pPr>
      <w:r w:rsidRPr="00A27888">
        <w:rPr>
          <w:b/>
          <w:color w:val="000000"/>
          <w:sz w:val="28"/>
          <w:szCs w:val="28"/>
        </w:rPr>
        <w:t xml:space="preserve">Annex </w:t>
      </w:r>
      <w:r w:rsidRPr="00A27888">
        <w:rPr>
          <w:color w:val="000000"/>
          <w:sz w:val="28"/>
          <w:szCs w:val="28"/>
        </w:rPr>
        <w:t xml:space="preserve">to the </w:t>
      </w:r>
      <w:r w:rsidRPr="00A27888">
        <w:rPr>
          <w:sz w:val="28"/>
          <w:szCs w:val="28"/>
        </w:rPr>
        <w:t>National report submitted by Romania in accordance with paragraph 5 of the annex to Human Rights Council resolution 16/21*</w:t>
      </w:r>
    </w:p>
    <w:p w14:paraId="11C294E9" w14:textId="77777777" w:rsidR="00A27888" w:rsidRDefault="00A27888" w:rsidP="00EE79C5">
      <w:pPr>
        <w:spacing w:line="240" w:lineRule="auto"/>
        <w:jc w:val="both"/>
        <w:rPr>
          <w:color w:val="000000"/>
          <w:sz w:val="22"/>
          <w:szCs w:val="22"/>
        </w:rPr>
      </w:pPr>
    </w:p>
    <w:p w14:paraId="70D760EB" w14:textId="77777777" w:rsidR="00EE79C5" w:rsidRPr="00A27888" w:rsidRDefault="00A27888" w:rsidP="00EE79C5">
      <w:pPr>
        <w:spacing w:line="240" w:lineRule="auto"/>
        <w:jc w:val="both"/>
        <w:rPr>
          <w:b/>
          <w:i/>
          <w:color w:val="000000"/>
          <w:sz w:val="22"/>
          <w:szCs w:val="22"/>
        </w:rPr>
      </w:pPr>
      <w:r w:rsidRPr="00A27888">
        <w:rPr>
          <w:b/>
          <w:i/>
          <w:color w:val="000000"/>
          <w:sz w:val="22"/>
          <w:szCs w:val="22"/>
        </w:rPr>
        <w:t xml:space="preserve">Endnotes to the national Report </w:t>
      </w:r>
    </w:p>
    <w:p w14:paraId="11AE1302" w14:textId="46033813" w:rsidR="00A27888" w:rsidRDefault="00080586" w:rsidP="00EE79C5">
      <w:pPr>
        <w:spacing w:line="240" w:lineRule="auto"/>
        <w:jc w:val="both"/>
        <w:rPr>
          <w:color w:val="000000"/>
          <w:sz w:val="22"/>
          <w:szCs w:val="22"/>
        </w:rPr>
      </w:pPr>
      <w:r>
        <w:rPr>
          <w:color w:val="000000"/>
          <w:sz w:val="22"/>
          <w:szCs w:val="22"/>
        </w:rPr>
        <w:t>3</w:t>
      </w:r>
      <w:r w:rsidR="00A27888">
        <w:rPr>
          <w:color w:val="000000"/>
          <w:sz w:val="22"/>
          <w:szCs w:val="22"/>
        </w:rPr>
        <w:t xml:space="preserve">. </w:t>
      </w:r>
    </w:p>
    <w:tbl>
      <w:tblPr>
        <w:tblW w:w="878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20"/>
      </w:tblGrid>
      <w:tr w:rsidR="00A27888" w:rsidRPr="00154AD7" w14:paraId="168540E3" w14:textId="77777777" w:rsidTr="00A27888">
        <w:tc>
          <w:tcPr>
            <w:tcW w:w="1368" w:type="dxa"/>
            <w:shd w:val="clear" w:color="auto" w:fill="auto"/>
          </w:tcPr>
          <w:p w14:paraId="5E1BDC1D" w14:textId="77777777" w:rsidR="00A27888" w:rsidRPr="00154AD7" w:rsidRDefault="00A27888" w:rsidP="00EF65A2">
            <w:pPr>
              <w:spacing w:line="240" w:lineRule="auto"/>
              <w:rPr>
                <w:sz w:val="22"/>
                <w:szCs w:val="22"/>
              </w:rPr>
            </w:pPr>
            <w:r w:rsidRPr="00154AD7">
              <w:rPr>
                <w:sz w:val="22"/>
                <w:szCs w:val="22"/>
              </w:rPr>
              <w:t>Acronym</w:t>
            </w:r>
          </w:p>
        </w:tc>
        <w:tc>
          <w:tcPr>
            <w:tcW w:w="7420" w:type="dxa"/>
            <w:shd w:val="clear" w:color="auto" w:fill="auto"/>
          </w:tcPr>
          <w:p w14:paraId="6DD81AB3" w14:textId="77777777" w:rsidR="00A27888" w:rsidRPr="00154AD7" w:rsidRDefault="00A27888" w:rsidP="00EF65A2">
            <w:pPr>
              <w:spacing w:line="240" w:lineRule="auto"/>
              <w:rPr>
                <w:sz w:val="22"/>
                <w:szCs w:val="22"/>
              </w:rPr>
            </w:pPr>
            <w:r w:rsidRPr="00154AD7">
              <w:rPr>
                <w:sz w:val="22"/>
                <w:szCs w:val="22"/>
              </w:rPr>
              <w:t>Institution</w:t>
            </w:r>
          </w:p>
        </w:tc>
      </w:tr>
      <w:tr w:rsidR="00A27888" w:rsidRPr="00154AD7" w14:paraId="677AEBE1" w14:textId="77777777" w:rsidTr="00A27888">
        <w:tc>
          <w:tcPr>
            <w:tcW w:w="1368" w:type="dxa"/>
            <w:shd w:val="clear" w:color="auto" w:fill="auto"/>
          </w:tcPr>
          <w:p w14:paraId="111701AF" w14:textId="77777777" w:rsidR="00A27888" w:rsidRPr="00154AD7" w:rsidRDefault="00A27888" w:rsidP="00EF65A2">
            <w:pPr>
              <w:spacing w:line="240" w:lineRule="auto"/>
              <w:rPr>
                <w:sz w:val="22"/>
                <w:szCs w:val="22"/>
              </w:rPr>
            </w:pPr>
            <w:r w:rsidRPr="00154AD7">
              <w:rPr>
                <w:noProof/>
                <w:sz w:val="22"/>
                <w:szCs w:val="22"/>
                <w:lang w:val="en-US"/>
              </w:rPr>
              <w:t>ANABI</w:t>
            </w:r>
          </w:p>
        </w:tc>
        <w:tc>
          <w:tcPr>
            <w:tcW w:w="7420" w:type="dxa"/>
            <w:shd w:val="clear" w:color="auto" w:fill="auto"/>
          </w:tcPr>
          <w:p w14:paraId="3AA85969" w14:textId="77777777" w:rsidR="00A27888" w:rsidRPr="00154AD7" w:rsidRDefault="00A27888" w:rsidP="00EF65A2">
            <w:pPr>
              <w:spacing w:line="240" w:lineRule="auto"/>
              <w:rPr>
                <w:sz w:val="22"/>
                <w:szCs w:val="22"/>
              </w:rPr>
            </w:pPr>
            <w:r w:rsidRPr="00154AD7">
              <w:rPr>
                <w:noProof/>
                <w:sz w:val="22"/>
                <w:szCs w:val="22"/>
                <w:lang w:val="en-US"/>
              </w:rPr>
              <w:t>National Agency for the Management of Seized Assets</w:t>
            </w:r>
          </w:p>
        </w:tc>
      </w:tr>
      <w:tr w:rsidR="00A27888" w:rsidRPr="00154AD7" w14:paraId="08707509" w14:textId="77777777" w:rsidTr="00A27888">
        <w:tc>
          <w:tcPr>
            <w:tcW w:w="1368" w:type="dxa"/>
            <w:shd w:val="clear" w:color="auto" w:fill="auto"/>
          </w:tcPr>
          <w:p w14:paraId="71B815AA" w14:textId="77777777" w:rsidR="00A27888" w:rsidRPr="00154AD7" w:rsidRDefault="00A27888" w:rsidP="00EF65A2">
            <w:pPr>
              <w:spacing w:line="240" w:lineRule="auto"/>
              <w:rPr>
                <w:sz w:val="22"/>
                <w:szCs w:val="22"/>
              </w:rPr>
            </w:pPr>
            <w:proofErr w:type="spellStart"/>
            <w:r w:rsidRPr="00154AD7">
              <w:rPr>
                <w:sz w:val="22"/>
                <w:szCs w:val="22"/>
              </w:rPr>
              <w:t>CoE</w:t>
            </w:r>
            <w:proofErr w:type="spellEnd"/>
          </w:p>
        </w:tc>
        <w:tc>
          <w:tcPr>
            <w:tcW w:w="7420" w:type="dxa"/>
            <w:shd w:val="clear" w:color="auto" w:fill="auto"/>
          </w:tcPr>
          <w:p w14:paraId="3E240F6C" w14:textId="77777777" w:rsidR="00A27888" w:rsidRPr="00154AD7" w:rsidRDefault="00A27888" w:rsidP="00EF65A2">
            <w:pPr>
              <w:spacing w:line="240" w:lineRule="auto"/>
              <w:rPr>
                <w:sz w:val="22"/>
                <w:szCs w:val="22"/>
              </w:rPr>
            </w:pPr>
            <w:r w:rsidRPr="00154AD7">
              <w:rPr>
                <w:sz w:val="22"/>
                <w:szCs w:val="22"/>
              </w:rPr>
              <w:t>Council of Europe</w:t>
            </w:r>
          </w:p>
        </w:tc>
      </w:tr>
      <w:tr w:rsidR="00A27888" w:rsidRPr="00154AD7" w14:paraId="52F20CE9" w14:textId="77777777" w:rsidTr="00A27888">
        <w:tc>
          <w:tcPr>
            <w:tcW w:w="1368" w:type="dxa"/>
            <w:shd w:val="clear" w:color="auto" w:fill="auto"/>
          </w:tcPr>
          <w:p w14:paraId="5D4682BB" w14:textId="77777777" w:rsidR="00A27888" w:rsidRPr="00154AD7" w:rsidRDefault="00A27888" w:rsidP="00EF65A2">
            <w:pPr>
              <w:spacing w:line="240" w:lineRule="auto"/>
              <w:rPr>
                <w:sz w:val="22"/>
                <w:szCs w:val="22"/>
              </w:rPr>
            </w:pPr>
            <w:r w:rsidRPr="00154AD7">
              <w:rPr>
                <w:sz w:val="22"/>
                <w:szCs w:val="22"/>
              </w:rPr>
              <w:t>COM</w:t>
            </w:r>
          </w:p>
        </w:tc>
        <w:tc>
          <w:tcPr>
            <w:tcW w:w="7420" w:type="dxa"/>
            <w:shd w:val="clear" w:color="auto" w:fill="auto"/>
          </w:tcPr>
          <w:p w14:paraId="75121D11" w14:textId="77777777" w:rsidR="00A27888" w:rsidRPr="00154AD7" w:rsidRDefault="00A27888" w:rsidP="00EF65A2">
            <w:pPr>
              <w:spacing w:line="240" w:lineRule="auto"/>
              <w:rPr>
                <w:sz w:val="22"/>
                <w:szCs w:val="22"/>
              </w:rPr>
            </w:pPr>
            <w:r w:rsidRPr="00154AD7">
              <w:rPr>
                <w:sz w:val="22"/>
                <w:szCs w:val="22"/>
              </w:rPr>
              <w:t>The European Commission</w:t>
            </w:r>
          </w:p>
        </w:tc>
      </w:tr>
      <w:tr w:rsidR="00A27888" w:rsidRPr="00154AD7" w14:paraId="286BDB5D" w14:textId="77777777" w:rsidTr="00A27888">
        <w:tc>
          <w:tcPr>
            <w:tcW w:w="1368" w:type="dxa"/>
            <w:shd w:val="clear" w:color="auto" w:fill="auto"/>
          </w:tcPr>
          <w:p w14:paraId="2AE62AAD" w14:textId="77777777" w:rsidR="00A27888" w:rsidRPr="00154AD7" w:rsidRDefault="00A27888" w:rsidP="00EF65A2">
            <w:pPr>
              <w:spacing w:line="240" w:lineRule="auto"/>
              <w:rPr>
                <w:sz w:val="22"/>
                <w:szCs w:val="22"/>
              </w:rPr>
            </w:pPr>
            <w:r w:rsidRPr="00154AD7">
              <w:rPr>
                <w:iCs/>
                <w:color w:val="000000"/>
                <w:sz w:val="22"/>
                <w:szCs w:val="22"/>
                <w:lang w:val="en-US" w:eastAsia="en-GB"/>
              </w:rPr>
              <w:t>CVM</w:t>
            </w:r>
          </w:p>
        </w:tc>
        <w:tc>
          <w:tcPr>
            <w:tcW w:w="7420" w:type="dxa"/>
            <w:shd w:val="clear" w:color="auto" w:fill="auto"/>
          </w:tcPr>
          <w:p w14:paraId="5AFFF521" w14:textId="77777777" w:rsidR="00A27888" w:rsidRPr="00154AD7" w:rsidRDefault="00A27888" w:rsidP="00EF65A2">
            <w:pPr>
              <w:spacing w:line="240" w:lineRule="auto"/>
              <w:rPr>
                <w:sz w:val="22"/>
                <w:szCs w:val="22"/>
              </w:rPr>
            </w:pPr>
            <w:r w:rsidRPr="00154AD7">
              <w:rPr>
                <w:sz w:val="22"/>
                <w:szCs w:val="22"/>
                <w:lang w:val="en-US"/>
              </w:rPr>
              <w:t xml:space="preserve">Cooperation and Verification Mechanism </w:t>
            </w:r>
          </w:p>
        </w:tc>
      </w:tr>
      <w:tr w:rsidR="00A27888" w:rsidRPr="00154AD7" w14:paraId="1ADEA314" w14:textId="77777777" w:rsidTr="00A27888">
        <w:tc>
          <w:tcPr>
            <w:tcW w:w="1368" w:type="dxa"/>
            <w:shd w:val="clear" w:color="auto" w:fill="auto"/>
          </w:tcPr>
          <w:p w14:paraId="4CCB5999" w14:textId="77777777" w:rsidR="00A27888" w:rsidRPr="00154AD7" w:rsidRDefault="00A27888" w:rsidP="00EF65A2">
            <w:pPr>
              <w:spacing w:line="240" w:lineRule="auto"/>
              <w:rPr>
                <w:iCs/>
                <w:color w:val="000000"/>
                <w:sz w:val="22"/>
                <w:szCs w:val="22"/>
                <w:lang w:val="en-US" w:eastAsia="en-GB"/>
              </w:rPr>
            </w:pPr>
            <w:r w:rsidRPr="00154AD7">
              <w:rPr>
                <w:color w:val="000000"/>
                <w:sz w:val="22"/>
                <w:szCs w:val="22"/>
                <w:lang w:val="en-US" w:eastAsia="en-GB"/>
              </w:rPr>
              <w:t>DGASPC</w:t>
            </w:r>
          </w:p>
        </w:tc>
        <w:tc>
          <w:tcPr>
            <w:tcW w:w="7420" w:type="dxa"/>
            <w:shd w:val="clear" w:color="auto" w:fill="auto"/>
          </w:tcPr>
          <w:p w14:paraId="3039221E" w14:textId="77777777" w:rsidR="00A27888" w:rsidRPr="00154AD7" w:rsidRDefault="00A27888" w:rsidP="00EF65A2">
            <w:pPr>
              <w:spacing w:line="240" w:lineRule="auto"/>
              <w:rPr>
                <w:sz w:val="22"/>
                <w:szCs w:val="22"/>
                <w:lang w:val="en-US"/>
              </w:rPr>
            </w:pPr>
            <w:r w:rsidRPr="00154AD7">
              <w:rPr>
                <w:color w:val="000000"/>
                <w:sz w:val="22"/>
                <w:szCs w:val="22"/>
                <w:lang w:val="en-US" w:eastAsia="en-GB"/>
              </w:rPr>
              <w:t>General Directorates for Social Assistance and Child Protection</w:t>
            </w:r>
          </w:p>
        </w:tc>
      </w:tr>
      <w:tr w:rsidR="00A27888" w:rsidRPr="00154AD7" w14:paraId="54A3E6EA" w14:textId="77777777" w:rsidTr="00A27888">
        <w:tc>
          <w:tcPr>
            <w:tcW w:w="1368" w:type="dxa"/>
            <w:shd w:val="clear" w:color="auto" w:fill="auto"/>
          </w:tcPr>
          <w:p w14:paraId="6A23095C" w14:textId="77777777" w:rsidR="00A27888" w:rsidRPr="00154AD7" w:rsidRDefault="00A27888" w:rsidP="00EF65A2">
            <w:pPr>
              <w:spacing w:line="240" w:lineRule="auto"/>
              <w:rPr>
                <w:sz w:val="22"/>
                <w:szCs w:val="22"/>
              </w:rPr>
            </w:pPr>
            <w:r w:rsidRPr="00154AD7">
              <w:rPr>
                <w:sz w:val="22"/>
                <w:szCs w:val="22"/>
              </w:rPr>
              <w:t>DIR</w:t>
            </w:r>
          </w:p>
        </w:tc>
        <w:tc>
          <w:tcPr>
            <w:tcW w:w="7420" w:type="dxa"/>
            <w:shd w:val="clear" w:color="auto" w:fill="auto"/>
          </w:tcPr>
          <w:p w14:paraId="5D2AF91E" w14:textId="77777777" w:rsidR="00A27888" w:rsidRPr="00154AD7" w:rsidRDefault="00A27888" w:rsidP="00EF65A2">
            <w:pPr>
              <w:spacing w:line="240" w:lineRule="auto"/>
              <w:rPr>
                <w:sz w:val="22"/>
                <w:szCs w:val="22"/>
              </w:rPr>
            </w:pPr>
            <w:r w:rsidRPr="00154AD7">
              <w:rPr>
                <w:sz w:val="22"/>
                <w:szCs w:val="22"/>
              </w:rPr>
              <w:t>Department for Interethnic Relations</w:t>
            </w:r>
          </w:p>
        </w:tc>
      </w:tr>
      <w:tr w:rsidR="00A27888" w:rsidRPr="00154AD7" w14:paraId="390C2C6C" w14:textId="77777777" w:rsidTr="00A27888">
        <w:tc>
          <w:tcPr>
            <w:tcW w:w="1368" w:type="dxa"/>
            <w:shd w:val="clear" w:color="auto" w:fill="auto"/>
          </w:tcPr>
          <w:p w14:paraId="2EDE71E1" w14:textId="77777777" w:rsidR="00A27888" w:rsidRPr="00154AD7" w:rsidRDefault="00A27888" w:rsidP="00EF65A2">
            <w:pPr>
              <w:spacing w:line="240" w:lineRule="auto"/>
              <w:rPr>
                <w:sz w:val="22"/>
                <w:szCs w:val="22"/>
              </w:rPr>
            </w:pPr>
            <w:r w:rsidRPr="00154AD7">
              <w:rPr>
                <w:sz w:val="22"/>
                <w:szCs w:val="22"/>
              </w:rPr>
              <w:t>ECJ</w:t>
            </w:r>
          </w:p>
        </w:tc>
        <w:tc>
          <w:tcPr>
            <w:tcW w:w="7420" w:type="dxa"/>
            <w:shd w:val="clear" w:color="auto" w:fill="auto"/>
          </w:tcPr>
          <w:p w14:paraId="26C39A88" w14:textId="77777777" w:rsidR="00A27888" w:rsidRPr="00154AD7" w:rsidRDefault="00A27888" w:rsidP="00EF65A2">
            <w:pPr>
              <w:spacing w:line="240" w:lineRule="auto"/>
              <w:rPr>
                <w:sz w:val="22"/>
                <w:szCs w:val="22"/>
              </w:rPr>
            </w:pPr>
            <w:r w:rsidRPr="00154AD7">
              <w:rPr>
                <w:sz w:val="22"/>
                <w:szCs w:val="22"/>
              </w:rPr>
              <w:t>Court of Justice of the European Union</w:t>
            </w:r>
          </w:p>
        </w:tc>
      </w:tr>
      <w:tr w:rsidR="00A27888" w:rsidRPr="00154AD7" w14:paraId="1168E39A" w14:textId="77777777" w:rsidTr="00A27888">
        <w:tc>
          <w:tcPr>
            <w:tcW w:w="1368" w:type="dxa"/>
            <w:shd w:val="clear" w:color="auto" w:fill="auto"/>
          </w:tcPr>
          <w:p w14:paraId="2310FCFC" w14:textId="77777777" w:rsidR="00A27888" w:rsidRPr="00154AD7" w:rsidRDefault="00A27888" w:rsidP="00EF65A2">
            <w:pPr>
              <w:spacing w:line="240" w:lineRule="auto"/>
              <w:rPr>
                <w:sz w:val="22"/>
                <w:szCs w:val="22"/>
              </w:rPr>
            </w:pPr>
            <w:r w:rsidRPr="00154AD7">
              <w:rPr>
                <w:sz w:val="22"/>
                <w:szCs w:val="22"/>
              </w:rPr>
              <w:t>EU</w:t>
            </w:r>
          </w:p>
        </w:tc>
        <w:tc>
          <w:tcPr>
            <w:tcW w:w="7420" w:type="dxa"/>
            <w:shd w:val="clear" w:color="auto" w:fill="auto"/>
          </w:tcPr>
          <w:p w14:paraId="5DC6098A" w14:textId="77777777" w:rsidR="00A27888" w:rsidRPr="00154AD7" w:rsidRDefault="00A27888" w:rsidP="00EF65A2">
            <w:pPr>
              <w:spacing w:line="240" w:lineRule="auto"/>
              <w:rPr>
                <w:sz w:val="22"/>
                <w:szCs w:val="22"/>
              </w:rPr>
            </w:pPr>
            <w:r w:rsidRPr="00154AD7">
              <w:rPr>
                <w:sz w:val="22"/>
                <w:szCs w:val="22"/>
              </w:rPr>
              <w:t>European Union</w:t>
            </w:r>
          </w:p>
        </w:tc>
      </w:tr>
      <w:tr w:rsidR="00A27888" w:rsidRPr="00154AD7" w14:paraId="0E9D61C7" w14:textId="77777777" w:rsidTr="00A27888">
        <w:tc>
          <w:tcPr>
            <w:tcW w:w="1368" w:type="dxa"/>
            <w:shd w:val="clear" w:color="auto" w:fill="auto"/>
          </w:tcPr>
          <w:p w14:paraId="7FF05712" w14:textId="77777777" w:rsidR="00A27888" w:rsidRPr="00154AD7" w:rsidRDefault="00A27888" w:rsidP="00EF65A2">
            <w:pPr>
              <w:spacing w:line="240" w:lineRule="auto"/>
              <w:rPr>
                <w:sz w:val="22"/>
                <w:szCs w:val="22"/>
              </w:rPr>
            </w:pPr>
            <w:proofErr w:type="spellStart"/>
            <w:r w:rsidRPr="00154AD7">
              <w:rPr>
                <w:sz w:val="22"/>
                <w:szCs w:val="22"/>
              </w:rPr>
              <w:t>MoC</w:t>
            </w:r>
            <w:proofErr w:type="spellEnd"/>
          </w:p>
        </w:tc>
        <w:tc>
          <w:tcPr>
            <w:tcW w:w="7420" w:type="dxa"/>
            <w:shd w:val="clear" w:color="auto" w:fill="auto"/>
          </w:tcPr>
          <w:p w14:paraId="42493C5C" w14:textId="77777777" w:rsidR="00A27888" w:rsidRPr="00154AD7" w:rsidRDefault="00A27888" w:rsidP="00EF65A2">
            <w:pPr>
              <w:spacing w:line="240" w:lineRule="auto"/>
              <w:rPr>
                <w:sz w:val="22"/>
                <w:szCs w:val="22"/>
              </w:rPr>
            </w:pPr>
            <w:r w:rsidRPr="00154AD7">
              <w:rPr>
                <w:sz w:val="22"/>
                <w:szCs w:val="22"/>
              </w:rPr>
              <w:t>Ministry of Culture</w:t>
            </w:r>
          </w:p>
        </w:tc>
      </w:tr>
      <w:tr w:rsidR="00A27888" w:rsidRPr="00154AD7" w14:paraId="24BD5B6A" w14:textId="77777777" w:rsidTr="00A27888">
        <w:tc>
          <w:tcPr>
            <w:tcW w:w="1368" w:type="dxa"/>
            <w:shd w:val="clear" w:color="auto" w:fill="auto"/>
          </w:tcPr>
          <w:p w14:paraId="46BCC64A" w14:textId="77777777" w:rsidR="00A27888" w:rsidRPr="00154AD7" w:rsidRDefault="00A27888" w:rsidP="00EF65A2">
            <w:pPr>
              <w:spacing w:line="240" w:lineRule="auto"/>
              <w:rPr>
                <w:sz w:val="22"/>
                <w:szCs w:val="22"/>
              </w:rPr>
            </w:pPr>
            <w:proofErr w:type="spellStart"/>
            <w:r w:rsidRPr="00154AD7">
              <w:rPr>
                <w:sz w:val="22"/>
                <w:szCs w:val="22"/>
              </w:rPr>
              <w:t>MoDPWA</w:t>
            </w:r>
            <w:proofErr w:type="spellEnd"/>
          </w:p>
        </w:tc>
        <w:tc>
          <w:tcPr>
            <w:tcW w:w="7420" w:type="dxa"/>
            <w:shd w:val="clear" w:color="auto" w:fill="auto"/>
          </w:tcPr>
          <w:p w14:paraId="530FEB29" w14:textId="77777777" w:rsidR="00A27888" w:rsidRPr="00154AD7" w:rsidRDefault="00A27888" w:rsidP="00EF65A2">
            <w:pPr>
              <w:spacing w:line="240" w:lineRule="auto"/>
              <w:rPr>
                <w:sz w:val="22"/>
                <w:szCs w:val="22"/>
              </w:rPr>
            </w:pPr>
            <w:r w:rsidRPr="00154AD7">
              <w:rPr>
                <w:sz w:val="22"/>
                <w:szCs w:val="22"/>
              </w:rPr>
              <w:t>Ministry of Development, Public Works and Administration</w:t>
            </w:r>
          </w:p>
        </w:tc>
      </w:tr>
      <w:tr w:rsidR="00A27888" w:rsidRPr="00154AD7" w14:paraId="2AD139FD" w14:textId="77777777" w:rsidTr="00A27888">
        <w:tc>
          <w:tcPr>
            <w:tcW w:w="1368" w:type="dxa"/>
            <w:shd w:val="clear" w:color="auto" w:fill="auto"/>
          </w:tcPr>
          <w:p w14:paraId="0F68AAFB" w14:textId="77777777" w:rsidR="00A27888" w:rsidRPr="00154AD7" w:rsidRDefault="00A27888" w:rsidP="00EF65A2">
            <w:pPr>
              <w:spacing w:line="240" w:lineRule="auto"/>
              <w:rPr>
                <w:sz w:val="22"/>
                <w:szCs w:val="22"/>
              </w:rPr>
            </w:pPr>
            <w:proofErr w:type="spellStart"/>
            <w:r w:rsidRPr="00154AD7">
              <w:rPr>
                <w:sz w:val="22"/>
                <w:szCs w:val="22"/>
              </w:rPr>
              <w:t>MoE</w:t>
            </w:r>
            <w:proofErr w:type="spellEnd"/>
          </w:p>
        </w:tc>
        <w:tc>
          <w:tcPr>
            <w:tcW w:w="7420" w:type="dxa"/>
            <w:shd w:val="clear" w:color="auto" w:fill="auto"/>
          </w:tcPr>
          <w:p w14:paraId="3D741EE0" w14:textId="77777777" w:rsidR="00A27888" w:rsidRPr="00154AD7" w:rsidRDefault="00A27888" w:rsidP="00EF65A2">
            <w:pPr>
              <w:spacing w:line="240" w:lineRule="auto"/>
              <w:rPr>
                <w:sz w:val="22"/>
                <w:szCs w:val="22"/>
              </w:rPr>
            </w:pPr>
            <w:r w:rsidRPr="00154AD7">
              <w:rPr>
                <w:sz w:val="22"/>
                <w:szCs w:val="22"/>
              </w:rPr>
              <w:t>Ministry of Education</w:t>
            </w:r>
          </w:p>
        </w:tc>
      </w:tr>
      <w:tr w:rsidR="00A27888" w:rsidRPr="00154AD7" w14:paraId="39A2AAD1" w14:textId="77777777" w:rsidTr="00A27888">
        <w:tc>
          <w:tcPr>
            <w:tcW w:w="1368" w:type="dxa"/>
            <w:shd w:val="clear" w:color="auto" w:fill="auto"/>
          </w:tcPr>
          <w:p w14:paraId="37AA64BF" w14:textId="77777777" w:rsidR="00A27888" w:rsidRPr="00154AD7" w:rsidRDefault="00A27888" w:rsidP="00EF65A2">
            <w:pPr>
              <w:spacing w:line="240" w:lineRule="auto"/>
              <w:rPr>
                <w:sz w:val="22"/>
                <w:szCs w:val="22"/>
              </w:rPr>
            </w:pPr>
            <w:r w:rsidRPr="00154AD7">
              <w:rPr>
                <w:sz w:val="22"/>
                <w:szCs w:val="22"/>
              </w:rPr>
              <w:t>MoH</w:t>
            </w:r>
          </w:p>
        </w:tc>
        <w:tc>
          <w:tcPr>
            <w:tcW w:w="7420" w:type="dxa"/>
            <w:shd w:val="clear" w:color="auto" w:fill="auto"/>
          </w:tcPr>
          <w:p w14:paraId="1EE7B1F4" w14:textId="77777777" w:rsidR="00A27888" w:rsidRPr="00154AD7" w:rsidRDefault="00A27888" w:rsidP="00EF65A2">
            <w:pPr>
              <w:spacing w:line="240" w:lineRule="auto"/>
              <w:rPr>
                <w:sz w:val="22"/>
                <w:szCs w:val="22"/>
              </w:rPr>
            </w:pPr>
            <w:r w:rsidRPr="00154AD7">
              <w:rPr>
                <w:sz w:val="22"/>
                <w:szCs w:val="22"/>
              </w:rPr>
              <w:t>Ministry of Health</w:t>
            </w:r>
          </w:p>
        </w:tc>
      </w:tr>
      <w:tr w:rsidR="00A27888" w:rsidRPr="00154AD7" w14:paraId="66B2F6BC" w14:textId="77777777" w:rsidTr="00A27888">
        <w:tc>
          <w:tcPr>
            <w:tcW w:w="1368" w:type="dxa"/>
            <w:shd w:val="clear" w:color="auto" w:fill="auto"/>
          </w:tcPr>
          <w:p w14:paraId="307FF136" w14:textId="77777777" w:rsidR="00A27888" w:rsidRPr="00154AD7" w:rsidRDefault="00A27888" w:rsidP="00EF65A2">
            <w:pPr>
              <w:spacing w:line="240" w:lineRule="auto"/>
              <w:rPr>
                <w:sz w:val="22"/>
                <w:szCs w:val="22"/>
              </w:rPr>
            </w:pPr>
            <w:proofErr w:type="spellStart"/>
            <w:r w:rsidRPr="00154AD7">
              <w:rPr>
                <w:sz w:val="22"/>
                <w:szCs w:val="22"/>
              </w:rPr>
              <w:t>MoIA</w:t>
            </w:r>
            <w:proofErr w:type="spellEnd"/>
          </w:p>
        </w:tc>
        <w:tc>
          <w:tcPr>
            <w:tcW w:w="7420" w:type="dxa"/>
            <w:shd w:val="clear" w:color="auto" w:fill="auto"/>
          </w:tcPr>
          <w:p w14:paraId="375583ED" w14:textId="77777777" w:rsidR="00A27888" w:rsidRPr="00154AD7" w:rsidRDefault="00A27888" w:rsidP="00EF65A2">
            <w:pPr>
              <w:spacing w:line="240" w:lineRule="auto"/>
              <w:rPr>
                <w:sz w:val="22"/>
                <w:szCs w:val="22"/>
              </w:rPr>
            </w:pPr>
            <w:r w:rsidRPr="00154AD7">
              <w:rPr>
                <w:sz w:val="22"/>
                <w:szCs w:val="22"/>
              </w:rPr>
              <w:t>Ministry of Internal Affairs</w:t>
            </w:r>
          </w:p>
        </w:tc>
      </w:tr>
      <w:tr w:rsidR="00A27888" w:rsidRPr="00154AD7" w14:paraId="17FF093B" w14:textId="77777777" w:rsidTr="00A27888">
        <w:tc>
          <w:tcPr>
            <w:tcW w:w="1368" w:type="dxa"/>
            <w:shd w:val="clear" w:color="auto" w:fill="auto"/>
          </w:tcPr>
          <w:p w14:paraId="7AB069C1" w14:textId="77777777" w:rsidR="00A27888" w:rsidRPr="00154AD7" w:rsidRDefault="00A27888" w:rsidP="00EF65A2">
            <w:pPr>
              <w:spacing w:line="240" w:lineRule="auto"/>
              <w:rPr>
                <w:sz w:val="22"/>
                <w:szCs w:val="22"/>
              </w:rPr>
            </w:pPr>
            <w:proofErr w:type="spellStart"/>
            <w:r w:rsidRPr="00154AD7">
              <w:rPr>
                <w:sz w:val="22"/>
                <w:szCs w:val="22"/>
              </w:rPr>
              <w:t>MoIEP</w:t>
            </w:r>
            <w:proofErr w:type="spellEnd"/>
          </w:p>
        </w:tc>
        <w:tc>
          <w:tcPr>
            <w:tcW w:w="7420" w:type="dxa"/>
            <w:shd w:val="clear" w:color="auto" w:fill="auto"/>
          </w:tcPr>
          <w:p w14:paraId="5CD5FAB0" w14:textId="77777777" w:rsidR="00A27888" w:rsidRPr="00154AD7" w:rsidRDefault="00A27888" w:rsidP="00EF65A2">
            <w:pPr>
              <w:spacing w:line="240" w:lineRule="auto"/>
              <w:rPr>
                <w:sz w:val="22"/>
                <w:szCs w:val="22"/>
              </w:rPr>
            </w:pPr>
            <w:r w:rsidRPr="00154AD7">
              <w:rPr>
                <w:sz w:val="22"/>
                <w:szCs w:val="22"/>
              </w:rPr>
              <w:t>Ministry of Investments and European Projects</w:t>
            </w:r>
          </w:p>
        </w:tc>
      </w:tr>
      <w:tr w:rsidR="00A27888" w:rsidRPr="00154AD7" w14:paraId="283E4798" w14:textId="77777777" w:rsidTr="00A27888">
        <w:tc>
          <w:tcPr>
            <w:tcW w:w="1368" w:type="dxa"/>
            <w:shd w:val="clear" w:color="auto" w:fill="auto"/>
          </w:tcPr>
          <w:p w14:paraId="2E11E75D" w14:textId="77777777" w:rsidR="00A27888" w:rsidRPr="00154AD7" w:rsidRDefault="00A27888" w:rsidP="00EF65A2">
            <w:pPr>
              <w:spacing w:line="240" w:lineRule="auto"/>
              <w:rPr>
                <w:sz w:val="22"/>
                <w:szCs w:val="22"/>
              </w:rPr>
            </w:pPr>
            <w:proofErr w:type="spellStart"/>
            <w:r w:rsidRPr="00154AD7">
              <w:rPr>
                <w:sz w:val="22"/>
                <w:szCs w:val="22"/>
              </w:rPr>
              <w:t>MoJ</w:t>
            </w:r>
            <w:proofErr w:type="spellEnd"/>
          </w:p>
        </w:tc>
        <w:tc>
          <w:tcPr>
            <w:tcW w:w="7420" w:type="dxa"/>
            <w:shd w:val="clear" w:color="auto" w:fill="auto"/>
          </w:tcPr>
          <w:p w14:paraId="7FE5A6D5" w14:textId="77777777" w:rsidR="00A27888" w:rsidRPr="00154AD7" w:rsidRDefault="00A27888" w:rsidP="00EF65A2">
            <w:pPr>
              <w:spacing w:line="240" w:lineRule="auto"/>
              <w:rPr>
                <w:sz w:val="22"/>
                <w:szCs w:val="22"/>
              </w:rPr>
            </w:pPr>
            <w:r w:rsidRPr="00154AD7">
              <w:rPr>
                <w:sz w:val="22"/>
                <w:szCs w:val="22"/>
              </w:rPr>
              <w:t>Ministry of Justice</w:t>
            </w:r>
          </w:p>
        </w:tc>
      </w:tr>
      <w:tr w:rsidR="00A27888" w:rsidRPr="00154AD7" w14:paraId="737B2D5B" w14:textId="77777777" w:rsidTr="00A27888">
        <w:tc>
          <w:tcPr>
            <w:tcW w:w="1368" w:type="dxa"/>
            <w:shd w:val="clear" w:color="auto" w:fill="auto"/>
          </w:tcPr>
          <w:p w14:paraId="784D62C3" w14:textId="77777777" w:rsidR="00A27888" w:rsidRPr="00154AD7" w:rsidRDefault="00A27888" w:rsidP="00EF65A2">
            <w:pPr>
              <w:spacing w:line="240" w:lineRule="auto"/>
              <w:rPr>
                <w:sz w:val="22"/>
                <w:szCs w:val="22"/>
              </w:rPr>
            </w:pPr>
            <w:proofErr w:type="spellStart"/>
            <w:r w:rsidRPr="00154AD7">
              <w:rPr>
                <w:sz w:val="22"/>
                <w:szCs w:val="22"/>
              </w:rPr>
              <w:t>MoLSS</w:t>
            </w:r>
            <w:proofErr w:type="spellEnd"/>
          </w:p>
        </w:tc>
        <w:tc>
          <w:tcPr>
            <w:tcW w:w="7420" w:type="dxa"/>
            <w:shd w:val="clear" w:color="auto" w:fill="auto"/>
          </w:tcPr>
          <w:p w14:paraId="4BD2DD28" w14:textId="77777777" w:rsidR="00A27888" w:rsidRPr="00154AD7" w:rsidRDefault="00A27888" w:rsidP="00EF65A2">
            <w:pPr>
              <w:spacing w:line="240" w:lineRule="auto"/>
              <w:rPr>
                <w:sz w:val="22"/>
                <w:szCs w:val="22"/>
              </w:rPr>
            </w:pPr>
            <w:r w:rsidRPr="00154AD7">
              <w:rPr>
                <w:sz w:val="22"/>
                <w:szCs w:val="22"/>
              </w:rPr>
              <w:t>Ministry of Labour and Social Solidarity</w:t>
            </w:r>
          </w:p>
        </w:tc>
      </w:tr>
      <w:tr w:rsidR="00A27888" w:rsidRPr="00154AD7" w14:paraId="4EABFAA4" w14:textId="77777777" w:rsidTr="00A27888">
        <w:tc>
          <w:tcPr>
            <w:tcW w:w="1368" w:type="dxa"/>
            <w:shd w:val="clear" w:color="auto" w:fill="auto"/>
          </w:tcPr>
          <w:p w14:paraId="5787F67E" w14:textId="77777777" w:rsidR="00A27888" w:rsidRPr="00154AD7" w:rsidRDefault="00A27888" w:rsidP="00EF65A2">
            <w:pPr>
              <w:spacing w:line="240" w:lineRule="auto"/>
              <w:rPr>
                <w:sz w:val="22"/>
                <w:szCs w:val="22"/>
              </w:rPr>
            </w:pPr>
            <w:r w:rsidRPr="00154AD7">
              <w:rPr>
                <w:sz w:val="22"/>
                <w:szCs w:val="22"/>
              </w:rPr>
              <w:t>NAC</w:t>
            </w:r>
          </w:p>
        </w:tc>
        <w:tc>
          <w:tcPr>
            <w:tcW w:w="7420" w:type="dxa"/>
            <w:shd w:val="clear" w:color="auto" w:fill="auto"/>
          </w:tcPr>
          <w:p w14:paraId="1608121F" w14:textId="77777777" w:rsidR="00A27888" w:rsidRPr="00154AD7" w:rsidRDefault="00A27888" w:rsidP="00EF65A2">
            <w:pPr>
              <w:spacing w:line="240" w:lineRule="auto"/>
              <w:rPr>
                <w:sz w:val="22"/>
                <w:szCs w:val="22"/>
              </w:rPr>
            </w:pPr>
            <w:r w:rsidRPr="00154AD7">
              <w:rPr>
                <w:sz w:val="22"/>
                <w:szCs w:val="22"/>
              </w:rPr>
              <w:t>National Audio-Visual Council</w:t>
            </w:r>
          </w:p>
        </w:tc>
      </w:tr>
      <w:tr w:rsidR="00A27888" w:rsidRPr="00154AD7" w14:paraId="028B41FA" w14:textId="77777777" w:rsidTr="00A27888">
        <w:tc>
          <w:tcPr>
            <w:tcW w:w="1368" w:type="dxa"/>
            <w:shd w:val="clear" w:color="auto" w:fill="auto"/>
          </w:tcPr>
          <w:p w14:paraId="36BB3514" w14:textId="77777777" w:rsidR="00A27888" w:rsidRPr="00154AD7" w:rsidRDefault="00A27888" w:rsidP="00EF65A2">
            <w:pPr>
              <w:spacing w:line="240" w:lineRule="auto"/>
              <w:rPr>
                <w:sz w:val="22"/>
                <w:szCs w:val="22"/>
              </w:rPr>
            </w:pPr>
            <w:r w:rsidRPr="00154AD7">
              <w:rPr>
                <w:sz w:val="22"/>
                <w:szCs w:val="22"/>
              </w:rPr>
              <w:t>NAD</w:t>
            </w:r>
          </w:p>
        </w:tc>
        <w:tc>
          <w:tcPr>
            <w:tcW w:w="7420" w:type="dxa"/>
            <w:shd w:val="clear" w:color="auto" w:fill="auto"/>
          </w:tcPr>
          <w:p w14:paraId="46F00F64" w14:textId="77777777" w:rsidR="00A27888" w:rsidRPr="00154AD7" w:rsidRDefault="00A27888" w:rsidP="00EF65A2">
            <w:pPr>
              <w:spacing w:line="240" w:lineRule="auto"/>
              <w:rPr>
                <w:sz w:val="22"/>
                <w:szCs w:val="22"/>
              </w:rPr>
            </w:pPr>
            <w:r w:rsidRPr="00154AD7">
              <w:rPr>
                <w:sz w:val="22"/>
                <w:szCs w:val="22"/>
                <w:lang w:val="en-US"/>
              </w:rPr>
              <w:t xml:space="preserve">National Anti-corruption Directorate </w:t>
            </w:r>
          </w:p>
        </w:tc>
      </w:tr>
      <w:tr w:rsidR="00A27888" w:rsidRPr="00154AD7" w14:paraId="49E244FA" w14:textId="77777777" w:rsidTr="00A27888">
        <w:tc>
          <w:tcPr>
            <w:tcW w:w="1368" w:type="dxa"/>
            <w:shd w:val="clear" w:color="auto" w:fill="auto"/>
          </w:tcPr>
          <w:p w14:paraId="336ED4B6" w14:textId="77777777" w:rsidR="00A27888" w:rsidRPr="00154AD7" w:rsidRDefault="00A27888" w:rsidP="00EF65A2">
            <w:pPr>
              <w:spacing w:line="240" w:lineRule="auto"/>
              <w:rPr>
                <w:sz w:val="22"/>
                <w:szCs w:val="22"/>
              </w:rPr>
            </w:pPr>
            <w:r w:rsidRPr="00154AD7">
              <w:rPr>
                <w:color w:val="000000"/>
                <w:sz w:val="22"/>
                <w:szCs w:val="22"/>
                <w:lang w:eastAsia="en-GB"/>
              </w:rPr>
              <w:t>NAE</w:t>
            </w:r>
          </w:p>
        </w:tc>
        <w:tc>
          <w:tcPr>
            <w:tcW w:w="7420" w:type="dxa"/>
            <w:shd w:val="clear" w:color="auto" w:fill="auto"/>
          </w:tcPr>
          <w:p w14:paraId="3DE30922" w14:textId="77777777" w:rsidR="00A27888" w:rsidRPr="00154AD7" w:rsidRDefault="00A27888" w:rsidP="00EF65A2">
            <w:pPr>
              <w:spacing w:line="240" w:lineRule="auto"/>
              <w:rPr>
                <w:sz w:val="22"/>
                <w:szCs w:val="22"/>
              </w:rPr>
            </w:pPr>
            <w:r w:rsidRPr="00154AD7">
              <w:rPr>
                <w:color w:val="000000"/>
                <w:sz w:val="22"/>
                <w:szCs w:val="22"/>
                <w:lang w:eastAsia="en-GB"/>
              </w:rPr>
              <w:t>National Agency for Employment</w:t>
            </w:r>
          </w:p>
        </w:tc>
      </w:tr>
      <w:tr w:rsidR="00A27888" w:rsidRPr="00154AD7" w14:paraId="2AF33CDE" w14:textId="77777777" w:rsidTr="00A27888">
        <w:tc>
          <w:tcPr>
            <w:tcW w:w="1368" w:type="dxa"/>
            <w:shd w:val="clear" w:color="auto" w:fill="auto"/>
          </w:tcPr>
          <w:p w14:paraId="087D0CAE" w14:textId="77777777" w:rsidR="00A27888" w:rsidRPr="00154AD7" w:rsidRDefault="00A27888" w:rsidP="00EF65A2">
            <w:pPr>
              <w:spacing w:line="240" w:lineRule="auto"/>
              <w:rPr>
                <w:sz w:val="22"/>
                <w:szCs w:val="22"/>
              </w:rPr>
            </w:pPr>
            <w:r w:rsidRPr="00154AD7">
              <w:rPr>
                <w:sz w:val="22"/>
                <w:szCs w:val="22"/>
              </w:rPr>
              <w:t>NAEO</w:t>
            </w:r>
          </w:p>
        </w:tc>
        <w:tc>
          <w:tcPr>
            <w:tcW w:w="7420" w:type="dxa"/>
            <w:shd w:val="clear" w:color="auto" w:fill="auto"/>
          </w:tcPr>
          <w:p w14:paraId="405C2B3B" w14:textId="77777777" w:rsidR="00A27888" w:rsidRPr="00154AD7" w:rsidRDefault="00A27888" w:rsidP="00EF65A2">
            <w:pPr>
              <w:spacing w:line="240" w:lineRule="auto"/>
              <w:rPr>
                <w:sz w:val="22"/>
                <w:szCs w:val="22"/>
              </w:rPr>
            </w:pPr>
            <w:r w:rsidRPr="00154AD7">
              <w:rPr>
                <w:sz w:val="22"/>
                <w:szCs w:val="22"/>
              </w:rPr>
              <w:t>National Agency for Equal Opportunities</w:t>
            </w:r>
          </w:p>
        </w:tc>
      </w:tr>
      <w:tr w:rsidR="00A27888" w:rsidRPr="00154AD7" w14:paraId="5F215873" w14:textId="77777777" w:rsidTr="00A27888">
        <w:tc>
          <w:tcPr>
            <w:tcW w:w="1368" w:type="dxa"/>
            <w:shd w:val="clear" w:color="auto" w:fill="auto"/>
          </w:tcPr>
          <w:p w14:paraId="5072E099" w14:textId="77777777" w:rsidR="00A27888" w:rsidRPr="00154AD7" w:rsidRDefault="00A27888" w:rsidP="00EF65A2">
            <w:pPr>
              <w:spacing w:line="240" w:lineRule="auto"/>
              <w:rPr>
                <w:sz w:val="22"/>
                <w:szCs w:val="22"/>
              </w:rPr>
            </w:pPr>
            <w:r w:rsidRPr="00154AD7">
              <w:rPr>
                <w:sz w:val="22"/>
                <w:szCs w:val="22"/>
              </w:rPr>
              <w:t>NAPRCA</w:t>
            </w:r>
          </w:p>
        </w:tc>
        <w:tc>
          <w:tcPr>
            <w:tcW w:w="7420" w:type="dxa"/>
            <w:shd w:val="clear" w:color="auto" w:fill="auto"/>
          </w:tcPr>
          <w:p w14:paraId="621F2027" w14:textId="77777777" w:rsidR="00A27888" w:rsidRPr="00154AD7" w:rsidRDefault="00A27888" w:rsidP="00EF65A2">
            <w:pPr>
              <w:spacing w:line="240" w:lineRule="auto"/>
              <w:rPr>
                <w:sz w:val="22"/>
                <w:szCs w:val="22"/>
              </w:rPr>
            </w:pPr>
            <w:r w:rsidRPr="00154AD7">
              <w:rPr>
                <w:sz w:val="22"/>
                <w:szCs w:val="22"/>
              </w:rPr>
              <w:t>National Authority for the Protection for the Rights of the Child and Adoption</w:t>
            </w:r>
          </w:p>
        </w:tc>
      </w:tr>
      <w:tr w:rsidR="00A27888" w:rsidRPr="00154AD7" w14:paraId="052E5715" w14:textId="77777777" w:rsidTr="00A27888">
        <w:tc>
          <w:tcPr>
            <w:tcW w:w="1368" w:type="dxa"/>
            <w:shd w:val="clear" w:color="auto" w:fill="auto"/>
          </w:tcPr>
          <w:p w14:paraId="1D4B1D47" w14:textId="77777777" w:rsidR="00A27888" w:rsidRPr="00154AD7" w:rsidRDefault="00A27888" w:rsidP="00EF65A2">
            <w:pPr>
              <w:spacing w:line="240" w:lineRule="auto"/>
              <w:rPr>
                <w:sz w:val="22"/>
                <w:szCs w:val="22"/>
              </w:rPr>
            </w:pPr>
            <w:r w:rsidRPr="00154AD7">
              <w:rPr>
                <w:sz w:val="22"/>
                <w:szCs w:val="22"/>
              </w:rPr>
              <w:t>NAR</w:t>
            </w:r>
          </w:p>
        </w:tc>
        <w:tc>
          <w:tcPr>
            <w:tcW w:w="7420" w:type="dxa"/>
            <w:shd w:val="clear" w:color="auto" w:fill="auto"/>
          </w:tcPr>
          <w:p w14:paraId="65AEFD0A" w14:textId="77777777" w:rsidR="00A27888" w:rsidRPr="00154AD7" w:rsidRDefault="00A27888" w:rsidP="00EF65A2">
            <w:pPr>
              <w:spacing w:line="240" w:lineRule="auto"/>
              <w:rPr>
                <w:sz w:val="22"/>
                <w:szCs w:val="22"/>
              </w:rPr>
            </w:pPr>
            <w:r w:rsidRPr="00154AD7">
              <w:rPr>
                <w:sz w:val="22"/>
                <w:szCs w:val="22"/>
              </w:rPr>
              <w:t>National Agency for Roma</w:t>
            </w:r>
          </w:p>
        </w:tc>
      </w:tr>
      <w:tr w:rsidR="00A27888" w:rsidRPr="00154AD7" w14:paraId="14B837BA" w14:textId="77777777" w:rsidTr="00A27888">
        <w:tc>
          <w:tcPr>
            <w:tcW w:w="1368" w:type="dxa"/>
            <w:shd w:val="clear" w:color="auto" w:fill="auto"/>
          </w:tcPr>
          <w:p w14:paraId="5DCF6A10" w14:textId="77777777" w:rsidR="00A27888" w:rsidRPr="00154AD7" w:rsidRDefault="00A27888" w:rsidP="00EF65A2">
            <w:pPr>
              <w:spacing w:line="240" w:lineRule="auto"/>
              <w:rPr>
                <w:sz w:val="22"/>
                <w:szCs w:val="22"/>
              </w:rPr>
            </w:pPr>
            <w:r w:rsidRPr="00154AD7">
              <w:rPr>
                <w:color w:val="000000"/>
                <w:sz w:val="22"/>
                <w:szCs w:val="22"/>
                <w:lang w:val="en-US" w:eastAsia="en-GB"/>
              </w:rPr>
              <w:t>NAS</w:t>
            </w:r>
          </w:p>
        </w:tc>
        <w:tc>
          <w:tcPr>
            <w:tcW w:w="7420" w:type="dxa"/>
            <w:shd w:val="clear" w:color="auto" w:fill="auto"/>
          </w:tcPr>
          <w:p w14:paraId="7924D2CF" w14:textId="77777777" w:rsidR="00A27888" w:rsidRPr="00154AD7" w:rsidRDefault="00A27888" w:rsidP="00EF65A2">
            <w:pPr>
              <w:spacing w:line="240" w:lineRule="auto"/>
              <w:rPr>
                <w:sz w:val="22"/>
                <w:szCs w:val="22"/>
              </w:rPr>
            </w:pPr>
            <w:r w:rsidRPr="00154AD7">
              <w:rPr>
                <w:color w:val="000000"/>
                <w:sz w:val="22"/>
                <w:szCs w:val="22"/>
                <w:lang w:val="en-US" w:eastAsia="en-GB"/>
              </w:rPr>
              <w:t xml:space="preserve">National Anticorruption Strategy </w:t>
            </w:r>
          </w:p>
        </w:tc>
      </w:tr>
      <w:tr w:rsidR="00A27888" w:rsidRPr="00154AD7" w14:paraId="5DC7AA94" w14:textId="77777777" w:rsidTr="00A27888">
        <w:tc>
          <w:tcPr>
            <w:tcW w:w="1368" w:type="dxa"/>
            <w:shd w:val="clear" w:color="auto" w:fill="auto"/>
          </w:tcPr>
          <w:p w14:paraId="7A3E9D07" w14:textId="77777777" w:rsidR="00A27888" w:rsidRPr="00154AD7" w:rsidRDefault="00A27888" w:rsidP="00EF65A2">
            <w:pPr>
              <w:spacing w:line="240" w:lineRule="auto"/>
              <w:rPr>
                <w:color w:val="000000"/>
                <w:sz w:val="22"/>
                <w:szCs w:val="22"/>
                <w:lang w:val="en-US" w:eastAsia="en-GB"/>
              </w:rPr>
            </w:pPr>
            <w:r w:rsidRPr="00154AD7">
              <w:rPr>
                <w:color w:val="000000"/>
                <w:sz w:val="22"/>
                <w:szCs w:val="22"/>
                <w:lang w:eastAsia="en-GB"/>
              </w:rPr>
              <w:t>NATIP</w:t>
            </w:r>
          </w:p>
        </w:tc>
        <w:tc>
          <w:tcPr>
            <w:tcW w:w="7420" w:type="dxa"/>
            <w:shd w:val="clear" w:color="auto" w:fill="auto"/>
          </w:tcPr>
          <w:p w14:paraId="4F1B1A2A" w14:textId="77777777" w:rsidR="00A27888" w:rsidRPr="00154AD7" w:rsidRDefault="00A27888" w:rsidP="00EF65A2">
            <w:pPr>
              <w:spacing w:line="240" w:lineRule="auto"/>
              <w:rPr>
                <w:color w:val="000000"/>
                <w:sz w:val="22"/>
                <w:szCs w:val="22"/>
                <w:lang w:eastAsia="en-GB"/>
              </w:rPr>
            </w:pPr>
            <w:r w:rsidRPr="00154AD7">
              <w:rPr>
                <w:color w:val="000000"/>
                <w:sz w:val="22"/>
                <w:szCs w:val="22"/>
                <w:lang w:eastAsia="en-GB"/>
              </w:rPr>
              <w:t xml:space="preserve">National Agency Against Trafficking in Persons </w:t>
            </w:r>
          </w:p>
        </w:tc>
      </w:tr>
      <w:tr w:rsidR="00A27888" w:rsidRPr="00154AD7" w14:paraId="283B2BCF" w14:textId="77777777" w:rsidTr="00A27888">
        <w:tc>
          <w:tcPr>
            <w:tcW w:w="1368" w:type="dxa"/>
            <w:shd w:val="clear" w:color="auto" w:fill="auto"/>
          </w:tcPr>
          <w:p w14:paraId="4FE7CA21" w14:textId="77777777" w:rsidR="00A27888" w:rsidRPr="00154AD7" w:rsidRDefault="00A27888" w:rsidP="00EF65A2">
            <w:pPr>
              <w:spacing w:line="240" w:lineRule="auto"/>
              <w:rPr>
                <w:sz w:val="22"/>
                <w:szCs w:val="22"/>
              </w:rPr>
            </w:pPr>
            <w:r w:rsidRPr="00154AD7">
              <w:rPr>
                <w:sz w:val="22"/>
                <w:szCs w:val="22"/>
              </w:rPr>
              <w:t>NCCD</w:t>
            </w:r>
          </w:p>
        </w:tc>
        <w:tc>
          <w:tcPr>
            <w:tcW w:w="7420" w:type="dxa"/>
            <w:shd w:val="clear" w:color="auto" w:fill="auto"/>
          </w:tcPr>
          <w:p w14:paraId="0A423014" w14:textId="77777777" w:rsidR="00A27888" w:rsidRPr="00154AD7" w:rsidRDefault="00A27888" w:rsidP="00EF65A2">
            <w:pPr>
              <w:spacing w:line="240" w:lineRule="auto"/>
              <w:rPr>
                <w:sz w:val="22"/>
                <w:szCs w:val="22"/>
              </w:rPr>
            </w:pPr>
            <w:r w:rsidRPr="00154AD7">
              <w:rPr>
                <w:sz w:val="22"/>
                <w:szCs w:val="22"/>
              </w:rPr>
              <w:t>National Council for Combating Discrimination</w:t>
            </w:r>
          </w:p>
        </w:tc>
      </w:tr>
      <w:tr w:rsidR="00A27888" w:rsidRPr="00154AD7" w14:paraId="6C2541D8" w14:textId="77777777" w:rsidTr="00A27888">
        <w:tc>
          <w:tcPr>
            <w:tcW w:w="1368" w:type="dxa"/>
            <w:shd w:val="clear" w:color="auto" w:fill="auto"/>
          </w:tcPr>
          <w:p w14:paraId="010C750D" w14:textId="77777777" w:rsidR="00A27888" w:rsidRPr="00154AD7" w:rsidRDefault="00A27888" w:rsidP="00EF65A2">
            <w:pPr>
              <w:spacing w:line="240" w:lineRule="auto"/>
              <w:rPr>
                <w:sz w:val="22"/>
                <w:szCs w:val="22"/>
              </w:rPr>
            </w:pPr>
            <w:r w:rsidRPr="00154AD7">
              <w:rPr>
                <w:sz w:val="22"/>
                <w:szCs w:val="22"/>
              </w:rPr>
              <w:t>NIM</w:t>
            </w:r>
          </w:p>
        </w:tc>
        <w:tc>
          <w:tcPr>
            <w:tcW w:w="7420" w:type="dxa"/>
            <w:shd w:val="clear" w:color="auto" w:fill="auto"/>
          </w:tcPr>
          <w:p w14:paraId="55F326D3" w14:textId="77777777" w:rsidR="00A27888" w:rsidRPr="00154AD7" w:rsidRDefault="00A27888" w:rsidP="00EF65A2">
            <w:pPr>
              <w:spacing w:line="240" w:lineRule="auto"/>
              <w:rPr>
                <w:sz w:val="22"/>
                <w:szCs w:val="22"/>
              </w:rPr>
            </w:pPr>
            <w:r w:rsidRPr="00154AD7">
              <w:rPr>
                <w:sz w:val="22"/>
                <w:szCs w:val="22"/>
              </w:rPr>
              <w:t>National Institute for Magistracy</w:t>
            </w:r>
          </w:p>
        </w:tc>
      </w:tr>
      <w:tr w:rsidR="00A27888" w:rsidRPr="00154AD7" w14:paraId="2F70C8B5" w14:textId="77777777" w:rsidTr="00A27888">
        <w:tc>
          <w:tcPr>
            <w:tcW w:w="1368" w:type="dxa"/>
            <w:shd w:val="clear" w:color="auto" w:fill="auto"/>
          </w:tcPr>
          <w:p w14:paraId="6C5BF4ED" w14:textId="77777777" w:rsidR="00A27888" w:rsidRPr="00154AD7" w:rsidRDefault="00A27888" w:rsidP="00EF65A2">
            <w:pPr>
              <w:spacing w:line="240" w:lineRule="auto"/>
              <w:rPr>
                <w:sz w:val="22"/>
                <w:szCs w:val="22"/>
              </w:rPr>
            </w:pPr>
            <w:r w:rsidRPr="00154AD7">
              <w:rPr>
                <w:sz w:val="22"/>
                <w:szCs w:val="22"/>
                <w:lang w:val="en-US"/>
              </w:rPr>
              <w:t>NRRP</w:t>
            </w:r>
          </w:p>
        </w:tc>
        <w:tc>
          <w:tcPr>
            <w:tcW w:w="7420" w:type="dxa"/>
            <w:shd w:val="clear" w:color="auto" w:fill="auto"/>
          </w:tcPr>
          <w:p w14:paraId="1ED012DF" w14:textId="77777777" w:rsidR="00A27888" w:rsidRPr="00154AD7" w:rsidRDefault="00A27888" w:rsidP="00EF65A2">
            <w:pPr>
              <w:spacing w:line="240" w:lineRule="auto"/>
              <w:rPr>
                <w:sz w:val="22"/>
                <w:szCs w:val="22"/>
                <w:lang w:val="en-US"/>
              </w:rPr>
            </w:pPr>
            <w:r w:rsidRPr="00154AD7">
              <w:rPr>
                <w:sz w:val="22"/>
                <w:szCs w:val="22"/>
                <w:lang w:val="en-US"/>
              </w:rPr>
              <w:t>National Recovery and Resilience Plan</w:t>
            </w:r>
          </w:p>
        </w:tc>
      </w:tr>
      <w:tr w:rsidR="00A27888" w:rsidRPr="00154AD7" w14:paraId="0C37E53C" w14:textId="77777777" w:rsidTr="00A27888">
        <w:tc>
          <w:tcPr>
            <w:tcW w:w="1368" w:type="dxa"/>
            <w:shd w:val="clear" w:color="auto" w:fill="auto"/>
          </w:tcPr>
          <w:p w14:paraId="14D09D7A" w14:textId="77777777" w:rsidR="00A27888" w:rsidRPr="00154AD7" w:rsidRDefault="00A27888" w:rsidP="00EF65A2">
            <w:pPr>
              <w:spacing w:line="240" w:lineRule="auto"/>
              <w:rPr>
                <w:sz w:val="22"/>
                <w:szCs w:val="22"/>
              </w:rPr>
            </w:pPr>
            <w:r w:rsidRPr="00154AD7">
              <w:rPr>
                <w:sz w:val="22"/>
                <w:szCs w:val="22"/>
              </w:rPr>
              <w:t>POHCCJ</w:t>
            </w:r>
          </w:p>
        </w:tc>
        <w:tc>
          <w:tcPr>
            <w:tcW w:w="7420" w:type="dxa"/>
            <w:shd w:val="clear" w:color="auto" w:fill="auto"/>
          </w:tcPr>
          <w:p w14:paraId="2235FD01" w14:textId="77777777" w:rsidR="00A27888" w:rsidRPr="00154AD7" w:rsidRDefault="00A27888" w:rsidP="00EF65A2">
            <w:pPr>
              <w:spacing w:line="240" w:lineRule="auto"/>
              <w:rPr>
                <w:sz w:val="22"/>
                <w:szCs w:val="22"/>
              </w:rPr>
            </w:pPr>
            <w:r w:rsidRPr="00154AD7">
              <w:rPr>
                <w:sz w:val="22"/>
                <w:szCs w:val="22"/>
              </w:rPr>
              <w:t>Prosecutor’s Office attached to the High Court of Cassation and Justice</w:t>
            </w:r>
          </w:p>
        </w:tc>
      </w:tr>
      <w:tr w:rsidR="00A27888" w:rsidRPr="00154AD7" w14:paraId="3884CEDF" w14:textId="77777777" w:rsidTr="00A27888">
        <w:tc>
          <w:tcPr>
            <w:tcW w:w="1368" w:type="dxa"/>
            <w:shd w:val="clear" w:color="auto" w:fill="auto"/>
          </w:tcPr>
          <w:p w14:paraId="5761E86A" w14:textId="77777777" w:rsidR="00A27888" w:rsidRPr="00154AD7" w:rsidRDefault="00A27888" w:rsidP="00EF65A2">
            <w:pPr>
              <w:spacing w:line="240" w:lineRule="auto"/>
              <w:rPr>
                <w:sz w:val="22"/>
                <w:szCs w:val="22"/>
              </w:rPr>
            </w:pPr>
            <w:r w:rsidRPr="00154AD7">
              <w:rPr>
                <w:sz w:val="22"/>
                <w:szCs w:val="22"/>
              </w:rPr>
              <w:t>RIHR</w:t>
            </w:r>
          </w:p>
        </w:tc>
        <w:tc>
          <w:tcPr>
            <w:tcW w:w="7420" w:type="dxa"/>
            <w:shd w:val="clear" w:color="auto" w:fill="auto"/>
          </w:tcPr>
          <w:p w14:paraId="621E1E7F" w14:textId="77777777" w:rsidR="00A27888" w:rsidRPr="00154AD7" w:rsidRDefault="00A27888" w:rsidP="00EF65A2">
            <w:pPr>
              <w:spacing w:line="240" w:lineRule="auto"/>
              <w:rPr>
                <w:sz w:val="22"/>
                <w:szCs w:val="22"/>
              </w:rPr>
            </w:pPr>
            <w:r w:rsidRPr="00154AD7">
              <w:rPr>
                <w:sz w:val="22"/>
                <w:szCs w:val="22"/>
              </w:rPr>
              <w:t>Romanian Institute for Human Rights</w:t>
            </w:r>
          </w:p>
        </w:tc>
      </w:tr>
      <w:tr w:rsidR="00A27888" w:rsidRPr="00154AD7" w14:paraId="677B4623" w14:textId="77777777" w:rsidTr="00A27888">
        <w:tc>
          <w:tcPr>
            <w:tcW w:w="1368" w:type="dxa"/>
            <w:shd w:val="clear" w:color="auto" w:fill="auto"/>
          </w:tcPr>
          <w:p w14:paraId="5A010798" w14:textId="77777777" w:rsidR="00A27888" w:rsidRPr="00154AD7" w:rsidRDefault="00A27888" w:rsidP="00EF65A2">
            <w:pPr>
              <w:spacing w:line="240" w:lineRule="auto"/>
              <w:rPr>
                <w:sz w:val="22"/>
                <w:szCs w:val="22"/>
              </w:rPr>
            </w:pPr>
            <w:r w:rsidRPr="00154AD7">
              <w:rPr>
                <w:sz w:val="22"/>
                <w:szCs w:val="22"/>
              </w:rPr>
              <w:t>SCM</w:t>
            </w:r>
          </w:p>
        </w:tc>
        <w:tc>
          <w:tcPr>
            <w:tcW w:w="7420" w:type="dxa"/>
            <w:shd w:val="clear" w:color="auto" w:fill="auto"/>
          </w:tcPr>
          <w:p w14:paraId="748D301A" w14:textId="77777777" w:rsidR="00A27888" w:rsidRPr="00154AD7" w:rsidRDefault="00A27888" w:rsidP="00EF65A2">
            <w:pPr>
              <w:spacing w:line="240" w:lineRule="auto"/>
              <w:rPr>
                <w:sz w:val="22"/>
                <w:szCs w:val="22"/>
              </w:rPr>
            </w:pPr>
            <w:r w:rsidRPr="00154AD7">
              <w:rPr>
                <w:sz w:val="22"/>
                <w:szCs w:val="22"/>
              </w:rPr>
              <w:t>Superior Council of Magistracy</w:t>
            </w:r>
          </w:p>
        </w:tc>
      </w:tr>
      <w:tr w:rsidR="00A27888" w:rsidRPr="00154AD7" w14:paraId="6B9CBE04" w14:textId="77777777" w:rsidTr="00A27888">
        <w:tc>
          <w:tcPr>
            <w:tcW w:w="1368" w:type="dxa"/>
            <w:shd w:val="clear" w:color="auto" w:fill="auto"/>
          </w:tcPr>
          <w:p w14:paraId="7F3E8DBE" w14:textId="77777777" w:rsidR="00A27888" w:rsidRPr="00154AD7" w:rsidRDefault="00A27888" w:rsidP="00EF65A2">
            <w:pPr>
              <w:spacing w:line="240" w:lineRule="auto"/>
              <w:rPr>
                <w:sz w:val="22"/>
                <w:szCs w:val="22"/>
              </w:rPr>
            </w:pPr>
            <w:r w:rsidRPr="00154AD7">
              <w:rPr>
                <w:rStyle w:val="y2iqfc"/>
                <w:sz w:val="22"/>
                <w:szCs w:val="22"/>
                <w:lang w:val="en"/>
              </w:rPr>
              <w:t>SNIR</w:t>
            </w:r>
          </w:p>
        </w:tc>
        <w:tc>
          <w:tcPr>
            <w:tcW w:w="7420" w:type="dxa"/>
            <w:shd w:val="clear" w:color="auto" w:fill="auto"/>
          </w:tcPr>
          <w:p w14:paraId="1DD0BAD8" w14:textId="77777777" w:rsidR="00A27888" w:rsidRPr="00154AD7" w:rsidRDefault="00A27888" w:rsidP="00EF65A2">
            <w:pPr>
              <w:spacing w:line="240" w:lineRule="auto"/>
              <w:rPr>
                <w:sz w:val="22"/>
                <w:szCs w:val="22"/>
              </w:rPr>
            </w:pPr>
            <w:r w:rsidRPr="00154AD7">
              <w:rPr>
                <w:rStyle w:val="y2iqfc"/>
                <w:sz w:val="22"/>
                <w:szCs w:val="22"/>
                <w:lang w:val="en"/>
              </w:rPr>
              <w:t>Strategy for the inclusion of Romanian citizens belonging to the Roma minority</w:t>
            </w:r>
          </w:p>
        </w:tc>
      </w:tr>
    </w:tbl>
    <w:p w14:paraId="77329F94" w14:textId="77777777" w:rsidR="00A27888" w:rsidRDefault="00A27888" w:rsidP="00EE79C5">
      <w:pPr>
        <w:pStyle w:val="ListParagraph"/>
        <w:spacing w:line="240" w:lineRule="auto"/>
        <w:ind w:left="0"/>
        <w:jc w:val="both"/>
        <w:rPr>
          <w:color w:val="000000"/>
          <w:sz w:val="22"/>
          <w:szCs w:val="22"/>
        </w:rPr>
      </w:pPr>
    </w:p>
    <w:p w14:paraId="6C20E1FB" w14:textId="048B12FD" w:rsidR="00EE79C5" w:rsidRPr="00EE79C5" w:rsidRDefault="00263DE2" w:rsidP="00EE79C5">
      <w:pPr>
        <w:pStyle w:val="ListParagraph"/>
        <w:spacing w:line="240" w:lineRule="auto"/>
        <w:ind w:left="0"/>
        <w:jc w:val="both"/>
        <w:rPr>
          <w:color w:val="000000"/>
          <w:sz w:val="22"/>
          <w:szCs w:val="22"/>
        </w:rPr>
      </w:pPr>
      <w:r>
        <w:rPr>
          <w:color w:val="000000"/>
          <w:sz w:val="22"/>
          <w:szCs w:val="22"/>
        </w:rPr>
        <w:t>4</w:t>
      </w:r>
      <w:r w:rsidR="00EE79C5">
        <w:rPr>
          <w:color w:val="000000"/>
          <w:sz w:val="22"/>
          <w:szCs w:val="22"/>
        </w:rPr>
        <w:t xml:space="preserve">. </w:t>
      </w:r>
      <w:r w:rsidR="00EE79C5" w:rsidRPr="00EE79C5">
        <w:rPr>
          <w:color w:val="000000"/>
          <w:sz w:val="22"/>
          <w:szCs w:val="22"/>
        </w:rPr>
        <w:t xml:space="preserve">Examples of online messages include the marking of the International Roma Day (by generating some topics for discussions in our society where the speech motivated by hatred against some social categories and ethnic communities, including the Roma community, had a growing tendency in last period). </w:t>
      </w:r>
    </w:p>
    <w:p w14:paraId="448A45B5" w14:textId="77777777" w:rsidR="00EE79C5" w:rsidRPr="00EE79C5" w:rsidRDefault="00EE79C5" w:rsidP="00EE79C5">
      <w:pPr>
        <w:pStyle w:val="ListParagraph"/>
        <w:spacing w:before="120" w:line="240" w:lineRule="auto"/>
        <w:ind w:left="0"/>
        <w:contextualSpacing w:val="0"/>
        <w:jc w:val="both"/>
        <w:rPr>
          <w:color w:val="000000"/>
          <w:sz w:val="22"/>
          <w:szCs w:val="22"/>
        </w:rPr>
      </w:pPr>
      <w:r w:rsidRPr="00EE79C5">
        <w:rPr>
          <w:color w:val="000000"/>
          <w:sz w:val="22"/>
          <w:szCs w:val="22"/>
        </w:rPr>
        <w:t>DIR continues to work on the</w:t>
      </w:r>
      <w:r w:rsidRPr="00EE79C5">
        <w:rPr>
          <w:i/>
          <w:color w:val="000000"/>
          <w:sz w:val="22"/>
          <w:szCs w:val="22"/>
        </w:rPr>
        <w:t xml:space="preserve"> Compendium of good practices regarding addressing, preventing and combating the phenomenon of hate speech</w:t>
      </w:r>
      <w:r w:rsidRPr="00EE79C5">
        <w:rPr>
          <w:color w:val="000000"/>
          <w:sz w:val="22"/>
          <w:szCs w:val="22"/>
        </w:rPr>
        <w:t>. At the beginning of 2023, DIR is planning to organize the conference to present the Compendium, a thematic session aimed at identifying the most opportune mechanisms to prevent and combat hate speech.</w:t>
      </w:r>
    </w:p>
    <w:p w14:paraId="07A0FD69" w14:textId="77777777" w:rsidR="00EE79C5" w:rsidRDefault="00EE79C5" w:rsidP="00EE79C5">
      <w:pPr>
        <w:pStyle w:val="ListParagraph"/>
        <w:spacing w:before="120" w:line="240" w:lineRule="auto"/>
        <w:ind w:left="0"/>
        <w:contextualSpacing w:val="0"/>
        <w:jc w:val="both"/>
        <w:rPr>
          <w:sz w:val="22"/>
          <w:szCs w:val="22"/>
        </w:rPr>
      </w:pPr>
      <w:r w:rsidRPr="00EE79C5">
        <w:rPr>
          <w:sz w:val="22"/>
          <w:szCs w:val="22"/>
        </w:rPr>
        <w:t xml:space="preserve">DIR developed and submitted the project proposal entitled Youth Matter – Enhancing youth participation in the strengthening of effective implementation of policies addressing discrimination, xenophobia and hate </w:t>
      </w:r>
      <w:r w:rsidRPr="00EE79C5">
        <w:rPr>
          <w:sz w:val="22"/>
          <w:szCs w:val="22"/>
        </w:rPr>
        <w:lastRenderedPageBreak/>
        <w:t>speech, within the Technical Assistance Instrument 2023 Flagship technical support project on PACE - Public Administration Cooperation Exchange developed by DG REFORM – EC.</w:t>
      </w:r>
    </w:p>
    <w:p w14:paraId="462651A7" w14:textId="77777777" w:rsidR="00EE79C5" w:rsidRPr="00EE79C5" w:rsidRDefault="00EE79C5" w:rsidP="00EE79C5">
      <w:pPr>
        <w:pStyle w:val="ListParagraph"/>
        <w:spacing w:line="240" w:lineRule="auto"/>
        <w:ind w:left="0"/>
        <w:jc w:val="both"/>
        <w:rPr>
          <w:color w:val="000000"/>
          <w:sz w:val="22"/>
          <w:szCs w:val="22"/>
        </w:rPr>
      </w:pPr>
    </w:p>
    <w:p w14:paraId="47174976" w14:textId="66641E78" w:rsidR="00EE79C5" w:rsidRPr="00EE79C5" w:rsidRDefault="00263DE2" w:rsidP="00EE79C5">
      <w:pPr>
        <w:pStyle w:val="ListParagraph"/>
        <w:suppressAutoHyphens w:val="0"/>
        <w:spacing w:line="240" w:lineRule="auto"/>
        <w:ind w:left="0"/>
        <w:rPr>
          <w:color w:val="000000"/>
          <w:sz w:val="22"/>
          <w:szCs w:val="22"/>
          <w:lang w:eastAsia="en-GB"/>
        </w:rPr>
      </w:pPr>
      <w:r>
        <w:rPr>
          <w:sz w:val="22"/>
          <w:szCs w:val="22"/>
        </w:rPr>
        <w:t>5.</w:t>
      </w:r>
      <w:r w:rsidR="00EE79C5">
        <w:rPr>
          <w:sz w:val="22"/>
          <w:szCs w:val="22"/>
        </w:rPr>
        <w:t xml:space="preserve"> </w:t>
      </w:r>
      <w:r w:rsidR="00EE79C5" w:rsidRPr="00EE79C5">
        <w:rPr>
          <w:sz w:val="22"/>
          <w:szCs w:val="22"/>
        </w:rPr>
        <w:t xml:space="preserve">The Strategy is accompanied by </w:t>
      </w:r>
      <w:r w:rsidR="00EE79C5" w:rsidRPr="00EE79C5">
        <w:rPr>
          <w:color w:val="000000"/>
          <w:sz w:val="22"/>
          <w:szCs w:val="22"/>
          <w:lang w:eastAsia="en-GB"/>
        </w:rPr>
        <w:t xml:space="preserve">a dedicated Action Plan on </w:t>
      </w:r>
      <w:r w:rsidR="00EE79C5" w:rsidRPr="00EE79C5">
        <w:rPr>
          <w:i/>
          <w:color w:val="000000"/>
          <w:sz w:val="22"/>
          <w:szCs w:val="22"/>
          <w:lang w:eastAsia="en-GB"/>
        </w:rPr>
        <w:t xml:space="preserve">Combating discrimination, hate speech and anti-Roma attitude or racially motivated hate crimes, with </w:t>
      </w:r>
      <w:r w:rsidR="00EE79C5" w:rsidRPr="00EE79C5">
        <w:rPr>
          <w:color w:val="000000"/>
          <w:sz w:val="22"/>
          <w:szCs w:val="22"/>
          <w:lang w:eastAsia="en-GB"/>
        </w:rPr>
        <w:t>10 action directions, with a set of concrete measures , indicators and institutions responsible with their implementation:</w:t>
      </w:r>
    </w:p>
    <w:p w14:paraId="636A0CE1" w14:textId="77777777" w:rsidR="00EE79C5" w:rsidRPr="00154AD7" w:rsidRDefault="00EE79C5" w:rsidP="00EE79C5">
      <w:pPr>
        <w:pStyle w:val="ListParagraph1"/>
        <w:numPr>
          <w:ilvl w:val="0"/>
          <w:numId w:val="3"/>
        </w:numPr>
        <w:suppressAutoHyphens w:val="0"/>
        <w:spacing w:line="240" w:lineRule="auto"/>
        <w:jc w:val="both"/>
        <w:rPr>
          <w:color w:val="000000"/>
          <w:sz w:val="22"/>
          <w:szCs w:val="22"/>
          <w:lang w:eastAsia="en-GB"/>
        </w:rPr>
      </w:pPr>
      <w:r w:rsidRPr="00154AD7">
        <w:rPr>
          <w:color w:val="000000"/>
          <w:sz w:val="22"/>
          <w:szCs w:val="22"/>
          <w:lang w:eastAsia="en-GB"/>
        </w:rPr>
        <w:t>Combating hate speech and Anti-Roma attitudes generating racially motivated hate speech or racially hate crimes;</w:t>
      </w:r>
    </w:p>
    <w:p w14:paraId="767D0BD8" w14:textId="77777777" w:rsidR="00EE79C5" w:rsidRPr="00154AD7" w:rsidRDefault="00EE79C5" w:rsidP="00EE79C5">
      <w:pPr>
        <w:pStyle w:val="ListParagraph1"/>
        <w:numPr>
          <w:ilvl w:val="0"/>
          <w:numId w:val="3"/>
        </w:numPr>
        <w:suppressAutoHyphens w:val="0"/>
        <w:spacing w:line="240" w:lineRule="auto"/>
        <w:jc w:val="both"/>
        <w:rPr>
          <w:color w:val="000000"/>
          <w:sz w:val="22"/>
          <w:szCs w:val="22"/>
          <w:lang w:eastAsia="en-GB"/>
        </w:rPr>
      </w:pPr>
      <w:r w:rsidRPr="00154AD7">
        <w:rPr>
          <w:color w:val="000000"/>
          <w:sz w:val="22"/>
          <w:szCs w:val="22"/>
          <w:lang w:eastAsia="en-GB"/>
        </w:rPr>
        <w:t>Public Information-Awareness on Anti-Roma attitudes generating racially motivated hate speech;</w:t>
      </w:r>
    </w:p>
    <w:p w14:paraId="363C6431" w14:textId="77777777" w:rsidR="00EE79C5" w:rsidRPr="00154AD7" w:rsidRDefault="00EE79C5" w:rsidP="00EE79C5">
      <w:pPr>
        <w:pStyle w:val="ListParagraph1"/>
        <w:numPr>
          <w:ilvl w:val="0"/>
          <w:numId w:val="3"/>
        </w:numPr>
        <w:suppressAutoHyphens w:val="0"/>
        <w:spacing w:line="240" w:lineRule="auto"/>
        <w:jc w:val="both"/>
        <w:rPr>
          <w:color w:val="000000"/>
          <w:sz w:val="22"/>
          <w:szCs w:val="22"/>
          <w:lang w:eastAsia="en-GB"/>
        </w:rPr>
      </w:pPr>
      <w:r w:rsidRPr="00154AD7">
        <w:rPr>
          <w:color w:val="000000"/>
          <w:sz w:val="22"/>
          <w:szCs w:val="22"/>
          <w:lang w:eastAsia="en-GB"/>
        </w:rPr>
        <w:t>Analysis of the sanctioning cases in the field of combating racially motivated hate speech with potential of generating hate crimes;</w:t>
      </w:r>
    </w:p>
    <w:p w14:paraId="45DC760E" w14:textId="77777777" w:rsidR="00EE79C5" w:rsidRPr="00154AD7" w:rsidRDefault="00EE79C5" w:rsidP="00EE79C5">
      <w:pPr>
        <w:pStyle w:val="ListParagraph1"/>
        <w:numPr>
          <w:ilvl w:val="0"/>
          <w:numId w:val="3"/>
        </w:numPr>
        <w:suppressAutoHyphens w:val="0"/>
        <w:spacing w:line="240" w:lineRule="auto"/>
        <w:jc w:val="both"/>
        <w:rPr>
          <w:color w:val="000000"/>
          <w:sz w:val="22"/>
          <w:szCs w:val="22"/>
          <w:lang w:eastAsia="en-GB"/>
        </w:rPr>
      </w:pPr>
      <w:r w:rsidRPr="00154AD7">
        <w:rPr>
          <w:color w:val="000000"/>
          <w:sz w:val="22"/>
          <w:szCs w:val="22"/>
          <w:lang w:eastAsia="en-GB"/>
        </w:rPr>
        <w:t>Continuous training for law enforcers in the field of anti-Roma racism;</w:t>
      </w:r>
    </w:p>
    <w:p w14:paraId="35A9D127" w14:textId="77777777" w:rsidR="00EE79C5" w:rsidRPr="00154AD7" w:rsidRDefault="00EE79C5" w:rsidP="00EE79C5">
      <w:pPr>
        <w:pStyle w:val="ListParagraph1"/>
        <w:numPr>
          <w:ilvl w:val="0"/>
          <w:numId w:val="3"/>
        </w:numPr>
        <w:suppressAutoHyphens w:val="0"/>
        <w:spacing w:line="240" w:lineRule="auto"/>
        <w:jc w:val="both"/>
        <w:rPr>
          <w:color w:val="000000"/>
          <w:sz w:val="22"/>
          <w:szCs w:val="22"/>
          <w:lang w:eastAsia="en-GB"/>
        </w:rPr>
      </w:pPr>
      <w:r w:rsidRPr="00154AD7">
        <w:rPr>
          <w:color w:val="000000"/>
          <w:sz w:val="22"/>
          <w:szCs w:val="22"/>
          <w:lang w:eastAsia="en-GB"/>
        </w:rPr>
        <w:t>Creating and disseminating educational resources in the field of prevention and combating anti-Roma attitudes for both public and private employers;</w:t>
      </w:r>
    </w:p>
    <w:p w14:paraId="4EC98562" w14:textId="77777777" w:rsidR="00EE79C5" w:rsidRPr="00154AD7" w:rsidRDefault="00EE79C5" w:rsidP="00EE79C5">
      <w:pPr>
        <w:pStyle w:val="ListParagraph1"/>
        <w:numPr>
          <w:ilvl w:val="0"/>
          <w:numId w:val="3"/>
        </w:numPr>
        <w:suppressAutoHyphens w:val="0"/>
        <w:spacing w:line="240" w:lineRule="auto"/>
        <w:jc w:val="both"/>
        <w:rPr>
          <w:color w:val="000000"/>
          <w:sz w:val="22"/>
          <w:szCs w:val="22"/>
          <w:lang w:eastAsia="en-GB"/>
        </w:rPr>
      </w:pPr>
      <w:r w:rsidRPr="00154AD7">
        <w:rPr>
          <w:color w:val="000000"/>
          <w:sz w:val="22"/>
          <w:szCs w:val="22"/>
          <w:lang w:eastAsia="en-GB"/>
        </w:rPr>
        <w:t>Organising of training courses for civil servants and employees in the public administration in the field of prevention and combating discrimination;</w:t>
      </w:r>
    </w:p>
    <w:p w14:paraId="240ECDA1" w14:textId="77777777" w:rsidR="00EE79C5" w:rsidRPr="00154AD7" w:rsidRDefault="00EE79C5" w:rsidP="00EE79C5">
      <w:pPr>
        <w:pStyle w:val="ListParagraph1"/>
        <w:numPr>
          <w:ilvl w:val="0"/>
          <w:numId w:val="3"/>
        </w:numPr>
        <w:suppressAutoHyphens w:val="0"/>
        <w:spacing w:line="240" w:lineRule="auto"/>
        <w:jc w:val="both"/>
        <w:rPr>
          <w:color w:val="000000"/>
          <w:sz w:val="22"/>
          <w:szCs w:val="22"/>
          <w:lang w:eastAsia="en-GB"/>
        </w:rPr>
      </w:pPr>
      <w:r w:rsidRPr="00154AD7">
        <w:rPr>
          <w:color w:val="000000"/>
          <w:sz w:val="22"/>
          <w:szCs w:val="22"/>
          <w:lang w:eastAsia="en-GB"/>
        </w:rPr>
        <w:t>Analysis of the use of anti-discrimination legislation in exam reading lists or continuous training courses for the public administration employees;</w:t>
      </w:r>
    </w:p>
    <w:p w14:paraId="66F368D6" w14:textId="77777777" w:rsidR="00EE79C5" w:rsidRPr="00154AD7" w:rsidRDefault="00EE79C5" w:rsidP="00EE79C5">
      <w:pPr>
        <w:pStyle w:val="ListParagraph1"/>
        <w:numPr>
          <w:ilvl w:val="0"/>
          <w:numId w:val="3"/>
        </w:numPr>
        <w:suppressAutoHyphens w:val="0"/>
        <w:spacing w:line="240" w:lineRule="auto"/>
        <w:jc w:val="both"/>
        <w:rPr>
          <w:color w:val="000000"/>
          <w:sz w:val="22"/>
          <w:szCs w:val="22"/>
          <w:lang w:eastAsia="en-GB"/>
        </w:rPr>
      </w:pPr>
      <w:r w:rsidRPr="00154AD7">
        <w:rPr>
          <w:color w:val="000000"/>
          <w:sz w:val="22"/>
          <w:szCs w:val="22"/>
          <w:lang w:eastAsia="en-GB"/>
        </w:rPr>
        <w:t>Information and awareness in public administration realising public services in the fields of education, health, employment, housing.</w:t>
      </w:r>
    </w:p>
    <w:p w14:paraId="2309C14C" w14:textId="77777777" w:rsidR="00EE79C5" w:rsidRPr="00154AD7" w:rsidRDefault="00EE79C5" w:rsidP="00EE79C5">
      <w:pPr>
        <w:pStyle w:val="ListParagraph1"/>
        <w:numPr>
          <w:ilvl w:val="0"/>
          <w:numId w:val="3"/>
        </w:numPr>
        <w:suppressAutoHyphens w:val="0"/>
        <w:spacing w:line="240" w:lineRule="auto"/>
        <w:jc w:val="both"/>
        <w:rPr>
          <w:color w:val="000000"/>
          <w:sz w:val="22"/>
          <w:szCs w:val="22"/>
          <w:lang w:eastAsia="en-GB"/>
        </w:rPr>
      </w:pPr>
      <w:r w:rsidRPr="00154AD7">
        <w:rPr>
          <w:color w:val="000000"/>
          <w:sz w:val="22"/>
          <w:szCs w:val="22"/>
          <w:lang w:eastAsia="en-GB"/>
        </w:rPr>
        <w:t>Mainstreaming the anti-discrimination legislation into internal by-laws and regulations of the public and private employers of elements of racial discrimination, multiple discrimination, intersectional discrimination.</w:t>
      </w:r>
    </w:p>
    <w:p w14:paraId="48493522" w14:textId="77777777" w:rsidR="00EE79C5" w:rsidRPr="00154AD7" w:rsidRDefault="00EE79C5" w:rsidP="00EE79C5">
      <w:pPr>
        <w:pStyle w:val="ListParagraph1"/>
        <w:numPr>
          <w:ilvl w:val="0"/>
          <w:numId w:val="3"/>
        </w:numPr>
        <w:suppressAutoHyphens w:val="0"/>
        <w:spacing w:line="240" w:lineRule="auto"/>
        <w:jc w:val="both"/>
        <w:rPr>
          <w:color w:val="000000"/>
          <w:sz w:val="22"/>
          <w:szCs w:val="22"/>
          <w:lang w:eastAsia="en-GB"/>
        </w:rPr>
      </w:pPr>
      <w:r w:rsidRPr="00154AD7">
        <w:rPr>
          <w:color w:val="000000"/>
          <w:sz w:val="22"/>
          <w:szCs w:val="22"/>
          <w:lang w:eastAsia="en-GB"/>
        </w:rPr>
        <w:t>Creation of a tool for dissemination of best practices of public and private employers in the field of combating racial discrimination, multiple discrimination and intersectional discrimination.</w:t>
      </w:r>
    </w:p>
    <w:p w14:paraId="3B883FDB" w14:textId="77777777" w:rsidR="00EE79C5" w:rsidRDefault="00EE79C5" w:rsidP="00EE79C5">
      <w:pPr>
        <w:pStyle w:val="ListParagraph"/>
        <w:suppressAutoHyphens w:val="0"/>
        <w:spacing w:before="120" w:line="240" w:lineRule="auto"/>
        <w:ind w:left="0"/>
        <w:jc w:val="both"/>
        <w:rPr>
          <w:color w:val="000000"/>
          <w:sz w:val="22"/>
          <w:szCs w:val="22"/>
          <w:lang w:val="en-US" w:eastAsia="en-GB"/>
        </w:rPr>
      </w:pPr>
      <w:r w:rsidRPr="00EE79C5">
        <w:rPr>
          <w:color w:val="000000"/>
          <w:sz w:val="22"/>
          <w:szCs w:val="22"/>
          <w:lang w:eastAsia="en-GB"/>
        </w:rPr>
        <w:t>The action plan is implemented by the Romania</w:t>
      </w:r>
      <w:r w:rsidRPr="00EE79C5">
        <w:rPr>
          <w:color w:val="000000"/>
          <w:sz w:val="22"/>
          <w:szCs w:val="22"/>
          <w:lang w:val="en-US" w:eastAsia="en-GB"/>
        </w:rPr>
        <w:t xml:space="preserve">’s Equality Body (NCCD) in partnership with NAR, DIR, </w:t>
      </w:r>
      <w:proofErr w:type="spellStart"/>
      <w:r w:rsidRPr="00EE79C5">
        <w:rPr>
          <w:color w:val="000000"/>
          <w:sz w:val="22"/>
          <w:szCs w:val="22"/>
          <w:lang w:val="en-US" w:eastAsia="en-GB"/>
        </w:rPr>
        <w:t>MoIA</w:t>
      </w:r>
      <w:proofErr w:type="spellEnd"/>
      <w:r w:rsidRPr="00EE79C5">
        <w:rPr>
          <w:color w:val="000000"/>
          <w:sz w:val="22"/>
          <w:szCs w:val="22"/>
          <w:lang w:val="en-US" w:eastAsia="en-GB"/>
        </w:rPr>
        <w:t xml:space="preserve">, </w:t>
      </w:r>
      <w:proofErr w:type="spellStart"/>
      <w:r w:rsidRPr="00EE79C5">
        <w:rPr>
          <w:color w:val="000000"/>
          <w:sz w:val="22"/>
          <w:szCs w:val="22"/>
          <w:lang w:val="en-US" w:eastAsia="en-GB"/>
        </w:rPr>
        <w:t>Labour</w:t>
      </w:r>
      <w:proofErr w:type="spellEnd"/>
      <w:r w:rsidRPr="00EE79C5">
        <w:rPr>
          <w:color w:val="000000"/>
          <w:sz w:val="22"/>
          <w:szCs w:val="22"/>
          <w:lang w:val="en-US" w:eastAsia="en-GB"/>
        </w:rPr>
        <w:t xml:space="preserve"> Inspection, other line ministries and public authorities, Trade Chambers, Business associations, trade unions and interested NGOs.</w:t>
      </w:r>
    </w:p>
    <w:p w14:paraId="75067A9D" w14:textId="77777777" w:rsidR="00EE79C5" w:rsidRDefault="00EE79C5" w:rsidP="00EE79C5">
      <w:pPr>
        <w:pStyle w:val="ListParagraph"/>
        <w:suppressAutoHyphens w:val="0"/>
        <w:spacing w:before="120" w:line="240" w:lineRule="auto"/>
        <w:ind w:left="0"/>
        <w:jc w:val="both"/>
        <w:rPr>
          <w:color w:val="000000"/>
          <w:sz w:val="22"/>
          <w:szCs w:val="22"/>
          <w:lang w:val="en-US" w:eastAsia="en-GB"/>
        </w:rPr>
      </w:pPr>
    </w:p>
    <w:p w14:paraId="149AD2DF" w14:textId="29F1C207" w:rsidR="00EE79C5" w:rsidRPr="00EE79C5" w:rsidRDefault="00263DE2" w:rsidP="00EE79C5">
      <w:pPr>
        <w:pStyle w:val="ListParagraph"/>
        <w:suppressAutoHyphens w:val="0"/>
        <w:spacing w:before="120" w:line="240" w:lineRule="auto"/>
        <w:ind w:left="0"/>
        <w:jc w:val="both"/>
        <w:rPr>
          <w:rStyle w:val="Hyperlink"/>
          <w:color w:val="000000"/>
          <w:sz w:val="22"/>
          <w:szCs w:val="22"/>
          <w:u w:val="none"/>
          <w:lang w:val="en-US" w:eastAsia="en-GB"/>
        </w:rPr>
      </w:pPr>
      <w:r>
        <w:rPr>
          <w:color w:val="000000"/>
          <w:sz w:val="22"/>
          <w:szCs w:val="22"/>
          <w:lang w:val="en-US" w:eastAsia="en-GB"/>
        </w:rPr>
        <w:t>6.</w:t>
      </w:r>
      <w:r w:rsidR="00EE79C5">
        <w:rPr>
          <w:color w:val="000000"/>
          <w:sz w:val="22"/>
          <w:szCs w:val="22"/>
          <w:lang w:val="en-US" w:eastAsia="en-GB"/>
        </w:rPr>
        <w:t xml:space="preserve"> </w:t>
      </w:r>
      <w:r w:rsidR="00EE79C5" w:rsidRPr="00154AD7">
        <w:rPr>
          <w:sz w:val="22"/>
          <w:szCs w:val="22"/>
          <w:lang w:val="en"/>
        </w:rPr>
        <w:t xml:space="preserve">For an extensive statistical information on complaints disaggregated by discrimination, scope, grounds, and other relevant elements addressed by the NCCD and outcomes of decisions finding a breach of the law against discrimination and fines imposed by the NCCD, see the NCCD Annual Reports (2021, available at </w:t>
      </w:r>
      <w:bookmarkStart w:id="0" w:name="_Hlk123112378"/>
      <w:r w:rsidR="00EE79C5" w:rsidRPr="00154AD7">
        <w:fldChar w:fldCharType="begin"/>
      </w:r>
      <w:r w:rsidR="00EE79C5" w:rsidRPr="00154AD7">
        <w:rPr>
          <w:sz w:val="22"/>
          <w:szCs w:val="22"/>
          <w:lang w:val="en"/>
        </w:rPr>
        <w:instrText>HYPERLINK "https://www.cncd.ro/wp-content/uploads/2022/06/Activity-report-CNCD-2021-EN-.pdf"</w:instrText>
      </w:r>
      <w:r w:rsidR="00EE79C5" w:rsidRPr="00154AD7">
        <w:fldChar w:fldCharType="separate"/>
      </w:r>
      <w:r w:rsidR="00EE79C5" w:rsidRPr="00154AD7">
        <w:rPr>
          <w:rStyle w:val="Hyperlink"/>
          <w:sz w:val="22"/>
          <w:szCs w:val="22"/>
          <w:lang w:val="en"/>
        </w:rPr>
        <w:t>https://www.CNCD.ro/wp-content/uploads/2022/06/Activity-report-CNCD-2021-EN-.pdf</w:t>
      </w:r>
      <w:r w:rsidR="00EE79C5" w:rsidRPr="00154AD7">
        <w:rPr>
          <w:rStyle w:val="Hyperlink"/>
          <w:sz w:val="22"/>
          <w:szCs w:val="22"/>
          <w:lang w:val="en"/>
        </w:rPr>
        <w:fldChar w:fldCharType="end"/>
      </w:r>
      <w:bookmarkEnd w:id="0"/>
      <w:r w:rsidR="00EE79C5" w:rsidRPr="00154AD7">
        <w:rPr>
          <w:rStyle w:val="Hyperlink"/>
          <w:sz w:val="22"/>
          <w:szCs w:val="22"/>
          <w:lang w:val="en"/>
        </w:rPr>
        <w:t xml:space="preserve">; </w:t>
      </w:r>
      <w:r w:rsidR="00EE79C5" w:rsidRPr="00154AD7">
        <w:rPr>
          <w:sz w:val="22"/>
          <w:szCs w:val="22"/>
          <w:lang w:val="en"/>
        </w:rPr>
        <w:t xml:space="preserve">2020, available at </w:t>
      </w:r>
      <w:bookmarkStart w:id="1" w:name="_Hlk123112392"/>
      <w:r w:rsidR="00EE79C5" w:rsidRPr="00154AD7">
        <w:fldChar w:fldCharType="begin"/>
      </w:r>
      <w:r w:rsidR="00EE79C5" w:rsidRPr="00154AD7">
        <w:rPr>
          <w:sz w:val="22"/>
          <w:szCs w:val="22"/>
          <w:lang w:val="en"/>
        </w:rPr>
        <w:instrText>HYPERLINK "https://www.cncd.ro/wp-content/uploads/2021/06/Raport-de-activitate-CNCD-2020-EN.pdf"</w:instrText>
      </w:r>
      <w:r w:rsidR="00EE79C5" w:rsidRPr="00154AD7">
        <w:fldChar w:fldCharType="separate"/>
      </w:r>
      <w:r w:rsidR="00EE79C5" w:rsidRPr="00154AD7">
        <w:rPr>
          <w:rStyle w:val="Hyperlink"/>
          <w:sz w:val="22"/>
          <w:szCs w:val="22"/>
          <w:lang w:val="en"/>
        </w:rPr>
        <w:t>https://www.CNCD.ro/wp-content/uploads/2021/06/Raport-de-activitate-CNCD-2020-EN.pdf</w:t>
      </w:r>
      <w:r w:rsidR="00EE79C5" w:rsidRPr="00154AD7">
        <w:rPr>
          <w:rStyle w:val="Hyperlink"/>
          <w:sz w:val="22"/>
          <w:szCs w:val="22"/>
          <w:lang w:val="en"/>
        </w:rPr>
        <w:fldChar w:fldCharType="end"/>
      </w:r>
      <w:r w:rsidR="00EE79C5" w:rsidRPr="00154AD7">
        <w:rPr>
          <w:rStyle w:val="Hyperlink"/>
          <w:sz w:val="22"/>
          <w:szCs w:val="22"/>
          <w:lang w:val="en"/>
        </w:rPr>
        <w:t xml:space="preserve">; </w:t>
      </w:r>
      <w:bookmarkEnd w:id="1"/>
      <w:r w:rsidR="00EE79C5" w:rsidRPr="00154AD7">
        <w:rPr>
          <w:sz w:val="22"/>
          <w:szCs w:val="22"/>
          <w:lang w:val="en"/>
        </w:rPr>
        <w:t xml:space="preserve">2019, available at </w:t>
      </w:r>
      <w:bookmarkStart w:id="2" w:name="_Hlk123112403"/>
      <w:r w:rsidR="00EE79C5" w:rsidRPr="00154AD7">
        <w:fldChar w:fldCharType="begin"/>
      </w:r>
      <w:r w:rsidR="00EE79C5" w:rsidRPr="00154AD7">
        <w:rPr>
          <w:sz w:val="22"/>
          <w:szCs w:val="22"/>
          <w:lang w:val="en"/>
        </w:rPr>
        <w:instrText>HYPERLINK "https://www.cncd.ro/wp-content/uploads/2021/01/activity-report-cncd-2019.pdf"</w:instrText>
      </w:r>
      <w:r w:rsidR="00EE79C5" w:rsidRPr="00154AD7">
        <w:fldChar w:fldCharType="separate"/>
      </w:r>
      <w:r w:rsidR="00EE79C5" w:rsidRPr="00154AD7">
        <w:rPr>
          <w:rStyle w:val="Hyperlink"/>
          <w:sz w:val="22"/>
          <w:szCs w:val="22"/>
          <w:lang w:val="en"/>
        </w:rPr>
        <w:t>https://www.CNCD.ro/wp-content/uploads/2021/01/activity-report-CNCD-2019.pdf</w:t>
      </w:r>
      <w:r w:rsidR="00EE79C5" w:rsidRPr="00154AD7">
        <w:rPr>
          <w:rStyle w:val="Hyperlink"/>
          <w:sz w:val="22"/>
          <w:szCs w:val="22"/>
          <w:lang w:val="en"/>
        </w:rPr>
        <w:fldChar w:fldCharType="end"/>
      </w:r>
      <w:bookmarkEnd w:id="2"/>
      <w:r w:rsidR="00EE79C5" w:rsidRPr="00154AD7">
        <w:rPr>
          <w:sz w:val="22"/>
          <w:szCs w:val="22"/>
          <w:lang w:val="en"/>
        </w:rPr>
        <w:t xml:space="preserve"> and 2018, available in Romanian at </w:t>
      </w:r>
      <w:hyperlink r:id="rId5" w:history="1">
        <w:r w:rsidR="00EE79C5" w:rsidRPr="00154AD7">
          <w:rPr>
            <w:rStyle w:val="Hyperlink"/>
            <w:sz w:val="22"/>
            <w:szCs w:val="22"/>
            <w:lang w:val="en"/>
          </w:rPr>
          <w:t>https://www.CNCD.ro/wp-content/uploads/2020/12/Raport_de_activitate_CNCD_2018.pdf</w:t>
        </w:r>
      </w:hyperlink>
    </w:p>
    <w:p w14:paraId="129875FA" w14:textId="77777777" w:rsidR="00EE79C5" w:rsidRDefault="00EE79C5" w:rsidP="00EE79C5">
      <w:pPr>
        <w:pStyle w:val="ListParagraph"/>
        <w:spacing w:before="120" w:after="120" w:line="240" w:lineRule="auto"/>
        <w:ind w:left="0"/>
        <w:contextualSpacing w:val="0"/>
        <w:jc w:val="both"/>
        <w:rPr>
          <w:color w:val="000000"/>
          <w:sz w:val="22"/>
          <w:szCs w:val="22"/>
          <w:lang w:val="en"/>
        </w:rPr>
      </w:pPr>
      <w:r w:rsidRPr="00EE79C5">
        <w:rPr>
          <w:color w:val="000000"/>
          <w:sz w:val="22"/>
          <w:szCs w:val="22"/>
          <w:lang w:val="en"/>
        </w:rPr>
        <w:t xml:space="preserve">The number of complaints about discrimination on the grounds of sexual orientation including gender identity remains relatively low compared to other criteria. As such, the number of decisions finding a violation of the non-discrimination legislation based on this ground, as </w:t>
      </w:r>
      <w:proofErr w:type="gramStart"/>
      <w:r w:rsidRPr="00EE79C5">
        <w:rPr>
          <w:color w:val="000000"/>
          <w:sz w:val="22"/>
          <w:szCs w:val="22"/>
          <w:lang w:val="en"/>
        </w:rPr>
        <w:t>compare</w:t>
      </w:r>
      <w:proofErr w:type="gramEnd"/>
      <w:r w:rsidRPr="00EE79C5">
        <w:rPr>
          <w:color w:val="000000"/>
          <w:sz w:val="22"/>
          <w:szCs w:val="22"/>
          <w:lang w:val="en"/>
        </w:rPr>
        <w:t xml:space="preserve"> to ethnic origin (Roma) or national origin is also lower.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1114"/>
        <w:gridCol w:w="1114"/>
        <w:gridCol w:w="979"/>
        <w:gridCol w:w="1085"/>
      </w:tblGrid>
      <w:tr w:rsidR="00EE79C5" w:rsidRPr="00154AD7" w14:paraId="446F3875" w14:textId="77777777" w:rsidTr="00EF65A2">
        <w:tc>
          <w:tcPr>
            <w:tcW w:w="5211" w:type="dxa"/>
            <w:shd w:val="clear" w:color="auto" w:fill="auto"/>
          </w:tcPr>
          <w:p w14:paraId="7DF2BDCD" w14:textId="77777777" w:rsidR="00EE79C5" w:rsidRPr="00EE79C5" w:rsidRDefault="00EE79C5" w:rsidP="00EE79C5">
            <w:pPr>
              <w:pStyle w:val="ListParagraph"/>
              <w:spacing w:before="120" w:line="240" w:lineRule="auto"/>
              <w:ind w:left="0"/>
              <w:rPr>
                <w:b/>
                <w:i/>
                <w:color w:val="000000"/>
                <w:sz w:val="22"/>
                <w:szCs w:val="22"/>
                <w:lang w:val="en"/>
              </w:rPr>
            </w:pPr>
            <w:r w:rsidRPr="00EE79C5">
              <w:rPr>
                <w:b/>
                <w:i/>
                <w:color w:val="000000"/>
                <w:sz w:val="22"/>
                <w:szCs w:val="22"/>
                <w:lang w:val="en"/>
              </w:rPr>
              <w:t>Finding of discrimination based on:</w:t>
            </w:r>
          </w:p>
        </w:tc>
        <w:tc>
          <w:tcPr>
            <w:tcW w:w="1134" w:type="dxa"/>
            <w:shd w:val="clear" w:color="auto" w:fill="auto"/>
          </w:tcPr>
          <w:p w14:paraId="64685456" w14:textId="77777777" w:rsidR="00EE79C5" w:rsidRPr="00EE79C5" w:rsidRDefault="00EE79C5" w:rsidP="00EE79C5">
            <w:pPr>
              <w:pStyle w:val="ListParagraph"/>
              <w:spacing w:before="120" w:line="240" w:lineRule="auto"/>
              <w:ind w:left="0"/>
              <w:rPr>
                <w:b/>
                <w:i/>
                <w:color w:val="000000"/>
                <w:sz w:val="22"/>
                <w:szCs w:val="22"/>
                <w:lang w:val="en"/>
              </w:rPr>
            </w:pPr>
            <w:r w:rsidRPr="00EE79C5">
              <w:rPr>
                <w:b/>
                <w:i/>
                <w:color w:val="000000"/>
                <w:sz w:val="22"/>
                <w:szCs w:val="22"/>
                <w:lang w:val="en"/>
              </w:rPr>
              <w:t>2018</w:t>
            </w:r>
          </w:p>
        </w:tc>
        <w:tc>
          <w:tcPr>
            <w:tcW w:w="1134" w:type="dxa"/>
            <w:shd w:val="clear" w:color="auto" w:fill="auto"/>
          </w:tcPr>
          <w:p w14:paraId="1178529E" w14:textId="77777777" w:rsidR="00EE79C5" w:rsidRPr="00EE79C5" w:rsidRDefault="00EE79C5" w:rsidP="00EE79C5">
            <w:pPr>
              <w:pStyle w:val="ListParagraph"/>
              <w:spacing w:before="120" w:line="240" w:lineRule="auto"/>
              <w:ind w:left="0"/>
              <w:rPr>
                <w:b/>
                <w:i/>
                <w:color w:val="000000"/>
                <w:sz w:val="22"/>
                <w:szCs w:val="22"/>
                <w:lang w:val="en"/>
              </w:rPr>
            </w:pPr>
            <w:r w:rsidRPr="00EE79C5">
              <w:rPr>
                <w:b/>
                <w:i/>
                <w:color w:val="000000"/>
                <w:sz w:val="22"/>
                <w:szCs w:val="22"/>
                <w:lang w:val="en"/>
              </w:rPr>
              <w:t>2019</w:t>
            </w:r>
          </w:p>
        </w:tc>
        <w:tc>
          <w:tcPr>
            <w:tcW w:w="993" w:type="dxa"/>
            <w:shd w:val="clear" w:color="auto" w:fill="auto"/>
          </w:tcPr>
          <w:p w14:paraId="5006360A" w14:textId="77777777" w:rsidR="00EE79C5" w:rsidRPr="00EE79C5" w:rsidRDefault="00EE79C5" w:rsidP="00EE79C5">
            <w:pPr>
              <w:pStyle w:val="ListParagraph"/>
              <w:spacing w:before="120" w:line="240" w:lineRule="auto"/>
              <w:ind w:left="0"/>
              <w:rPr>
                <w:b/>
                <w:i/>
                <w:color w:val="000000"/>
                <w:sz w:val="22"/>
                <w:szCs w:val="22"/>
                <w:lang w:val="en"/>
              </w:rPr>
            </w:pPr>
            <w:r w:rsidRPr="00EE79C5">
              <w:rPr>
                <w:b/>
                <w:i/>
                <w:color w:val="000000"/>
                <w:sz w:val="22"/>
                <w:szCs w:val="22"/>
                <w:lang w:val="en"/>
              </w:rPr>
              <w:t>2020</w:t>
            </w:r>
          </w:p>
        </w:tc>
        <w:tc>
          <w:tcPr>
            <w:tcW w:w="1104" w:type="dxa"/>
            <w:shd w:val="clear" w:color="auto" w:fill="auto"/>
          </w:tcPr>
          <w:p w14:paraId="1953F1C8" w14:textId="77777777" w:rsidR="00EE79C5" w:rsidRPr="00EE79C5" w:rsidRDefault="00EE79C5" w:rsidP="00EE79C5">
            <w:pPr>
              <w:pStyle w:val="ListParagraph"/>
              <w:spacing w:before="120" w:line="240" w:lineRule="auto"/>
              <w:ind w:left="0"/>
              <w:rPr>
                <w:b/>
                <w:i/>
                <w:color w:val="000000"/>
                <w:sz w:val="22"/>
                <w:szCs w:val="22"/>
                <w:lang w:val="en"/>
              </w:rPr>
            </w:pPr>
            <w:r w:rsidRPr="00EE79C5">
              <w:rPr>
                <w:b/>
                <w:i/>
                <w:color w:val="000000"/>
                <w:sz w:val="22"/>
                <w:szCs w:val="22"/>
                <w:lang w:val="en"/>
              </w:rPr>
              <w:t>2021</w:t>
            </w:r>
          </w:p>
        </w:tc>
      </w:tr>
      <w:tr w:rsidR="00EE79C5" w:rsidRPr="00154AD7" w14:paraId="2C0A7B2D" w14:textId="77777777" w:rsidTr="00EF65A2">
        <w:tc>
          <w:tcPr>
            <w:tcW w:w="5211" w:type="dxa"/>
            <w:shd w:val="clear" w:color="auto" w:fill="auto"/>
          </w:tcPr>
          <w:p w14:paraId="79D5C02F" w14:textId="77777777" w:rsidR="00EE79C5" w:rsidRPr="00EE79C5" w:rsidRDefault="00EE79C5" w:rsidP="00EE79C5">
            <w:pPr>
              <w:spacing w:line="240" w:lineRule="auto"/>
              <w:jc w:val="both"/>
              <w:rPr>
                <w:color w:val="000000"/>
                <w:sz w:val="22"/>
                <w:szCs w:val="22"/>
                <w:lang w:val="en"/>
              </w:rPr>
            </w:pPr>
            <w:r w:rsidRPr="00EE79C5">
              <w:rPr>
                <w:color w:val="000000"/>
                <w:sz w:val="22"/>
                <w:szCs w:val="22"/>
                <w:lang w:val="en"/>
              </w:rPr>
              <w:t>Ethnic origin (Roma) /</w:t>
            </w:r>
            <w:proofErr w:type="spellStart"/>
            <w:r w:rsidRPr="00EE79C5">
              <w:rPr>
                <w:color w:val="000000"/>
                <w:sz w:val="22"/>
                <w:szCs w:val="22"/>
                <w:lang w:val="en"/>
              </w:rPr>
              <w:t>rasial</w:t>
            </w:r>
            <w:proofErr w:type="spellEnd"/>
            <w:r w:rsidRPr="00EE79C5">
              <w:rPr>
                <w:color w:val="000000"/>
                <w:sz w:val="22"/>
                <w:szCs w:val="22"/>
                <w:lang w:val="en"/>
              </w:rPr>
              <w:t xml:space="preserve"> origin</w:t>
            </w:r>
          </w:p>
        </w:tc>
        <w:tc>
          <w:tcPr>
            <w:tcW w:w="1134" w:type="dxa"/>
            <w:shd w:val="clear" w:color="auto" w:fill="auto"/>
          </w:tcPr>
          <w:p w14:paraId="183AC98E" w14:textId="77777777" w:rsidR="00EE79C5" w:rsidRPr="00EE79C5" w:rsidRDefault="00EE79C5" w:rsidP="00EE79C5">
            <w:pPr>
              <w:spacing w:line="240" w:lineRule="auto"/>
              <w:jc w:val="center"/>
              <w:rPr>
                <w:color w:val="000000"/>
                <w:sz w:val="22"/>
                <w:szCs w:val="22"/>
                <w:lang w:val="en"/>
              </w:rPr>
            </w:pPr>
            <w:r w:rsidRPr="00EE79C5">
              <w:rPr>
                <w:color w:val="000000"/>
                <w:sz w:val="22"/>
                <w:szCs w:val="22"/>
                <w:lang w:val="en"/>
              </w:rPr>
              <w:t>9</w:t>
            </w:r>
          </w:p>
        </w:tc>
        <w:tc>
          <w:tcPr>
            <w:tcW w:w="1134" w:type="dxa"/>
            <w:shd w:val="clear" w:color="auto" w:fill="auto"/>
          </w:tcPr>
          <w:p w14:paraId="22531771" w14:textId="77777777" w:rsidR="00EE79C5" w:rsidRPr="00EE79C5" w:rsidRDefault="00EE79C5" w:rsidP="00EE79C5">
            <w:pPr>
              <w:spacing w:line="240" w:lineRule="auto"/>
              <w:jc w:val="center"/>
              <w:rPr>
                <w:color w:val="000000"/>
                <w:sz w:val="22"/>
                <w:szCs w:val="22"/>
                <w:lang w:val="en"/>
              </w:rPr>
            </w:pPr>
            <w:r w:rsidRPr="00EE79C5">
              <w:rPr>
                <w:color w:val="000000"/>
                <w:sz w:val="22"/>
                <w:szCs w:val="22"/>
                <w:lang w:val="en"/>
              </w:rPr>
              <w:t>22</w:t>
            </w:r>
          </w:p>
        </w:tc>
        <w:tc>
          <w:tcPr>
            <w:tcW w:w="993" w:type="dxa"/>
            <w:shd w:val="clear" w:color="auto" w:fill="auto"/>
          </w:tcPr>
          <w:p w14:paraId="68B70F22" w14:textId="77777777" w:rsidR="00EE79C5" w:rsidRPr="00EE79C5" w:rsidRDefault="00EE79C5" w:rsidP="00EE79C5">
            <w:pPr>
              <w:spacing w:line="240" w:lineRule="auto"/>
              <w:jc w:val="center"/>
              <w:rPr>
                <w:color w:val="000000"/>
                <w:sz w:val="22"/>
                <w:szCs w:val="22"/>
                <w:lang w:val="en"/>
              </w:rPr>
            </w:pPr>
            <w:r w:rsidRPr="00EE79C5">
              <w:rPr>
                <w:color w:val="000000"/>
                <w:sz w:val="22"/>
                <w:szCs w:val="22"/>
                <w:lang w:val="en"/>
              </w:rPr>
              <w:t>30</w:t>
            </w:r>
          </w:p>
        </w:tc>
        <w:tc>
          <w:tcPr>
            <w:tcW w:w="1104" w:type="dxa"/>
            <w:shd w:val="clear" w:color="auto" w:fill="auto"/>
          </w:tcPr>
          <w:p w14:paraId="51CC7753" w14:textId="77777777" w:rsidR="00EE79C5" w:rsidRPr="00EE79C5" w:rsidRDefault="00EE79C5" w:rsidP="00EE79C5">
            <w:pPr>
              <w:spacing w:line="240" w:lineRule="auto"/>
              <w:jc w:val="center"/>
              <w:rPr>
                <w:color w:val="000000"/>
                <w:sz w:val="22"/>
                <w:szCs w:val="22"/>
                <w:lang w:val="en"/>
              </w:rPr>
            </w:pPr>
            <w:r w:rsidRPr="00EE79C5">
              <w:rPr>
                <w:color w:val="000000"/>
                <w:sz w:val="22"/>
                <w:szCs w:val="22"/>
                <w:lang w:val="en"/>
              </w:rPr>
              <w:t>17</w:t>
            </w:r>
          </w:p>
        </w:tc>
      </w:tr>
      <w:tr w:rsidR="00EE79C5" w:rsidRPr="00154AD7" w14:paraId="77867AB4" w14:textId="77777777" w:rsidTr="00EF65A2">
        <w:tc>
          <w:tcPr>
            <w:tcW w:w="5211" w:type="dxa"/>
            <w:shd w:val="clear" w:color="auto" w:fill="auto"/>
          </w:tcPr>
          <w:p w14:paraId="292446E4" w14:textId="77777777" w:rsidR="00EE79C5" w:rsidRPr="00EE79C5" w:rsidRDefault="00EE79C5" w:rsidP="00EE79C5">
            <w:pPr>
              <w:spacing w:line="240" w:lineRule="auto"/>
              <w:jc w:val="both"/>
              <w:rPr>
                <w:color w:val="000000"/>
                <w:sz w:val="22"/>
                <w:szCs w:val="22"/>
                <w:lang w:val="en"/>
              </w:rPr>
            </w:pPr>
            <w:r w:rsidRPr="00EE79C5">
              <w:rPr>
                <w:color w:val="000000"/>
                <w:sz w:val="22"/>
                <w:szCs w:val="22"/>
                <w:lang w:val="en"/>
              </w:rPr>
              <w:t>national origin</w:t>
            </w:r>
          </w:p>
        </w:tc>
        <w:tc>
          <w:tcPr>
            <w:tcW w:w="1134" w:type="dxa"/>
            <w:shd w:val="clear" w:color="auto" w:fill="auto"/>
          </w:tcPr>
          <w:p w14:paraId="6FC04EA0" w14:textId="77777777" w:rsidR="00EE79C5" w:rsidRPr="00EE79C5" w:rsidRDefault="00EE79C5" w:rsidP="00EE79C5">
            <w:pPr>
              <w:spacing w:line="240" w:lineRule="auto"/>
              <w:jc w:val="center"/>
              <w:rPr>
                <w:color w:val="000000"/>
                <w:sz w:val="22"/>
                <w:szCs w:val="22"/>
                <w:lang w:val="en"/>
              </w:rPr>
            </w:pPr>
            <w:r w:rsidRPr="00EE79C5">
              <w:rPr>
                <w:color w:val="000000"/>
                <w:sz w:val="22"/>
                <w:szCs w:val="22"/>
                <w:lang w:val="en"/>
              </w:rPr>
              <w:t>12</w:t>
            </w:r>
          </w:p>
        </w:tc>
        <w:tc>
          <w:tcPr>
            <w:tcW w:w="1134" w:type="dxa"/>
            <w:shd w:val="clear" w:color="auto" w:fill="auto"/>
          </w:tcPr>
          <w:p w14:paraId="3F953A00" w14:textId="77777777" w:rsidR="00EE79C5" w:rsidRPr="00EE79C5" w:rsidRDefault="00EE79C5" w:rsidP="00EE79C5">
            <w:pPr>
              <w:spacing w:line="240" w:lineRule="auto"/>
              <w:jc w:val="center"/>
              <w:rPr>
                <w:color w:val="000000"/>
                <w:sz w:val="22"/>
                <w:szCs w:val="22"/>
                <w:lang w:val="en"/>
              </w:rPr>
            </w:pPr>
            <w:r w:rsidRPr="00EE79C5">
              <w:rPr>
                <w:color w:val="000000"/>
                <w:sz w:val="22"/>
                <w:szCs w:val="22"/>
                <w:lang w:val="en"/>
              </w:rPr>
              <w:t>29</w:t>
            </w:r>
          </w:p>
        </w:tc>
        <w:tc>
          <w:tcPr>
            <w:tcW w:w="993" w:type="dxa"/>
            <w:shd w:val="clear" w:color="auto" w:fill="auto"/>
          </w:tcPr>
          <w:p w14:paraId="5ADEDECD" w14:textId="77777777" w:rsidR="00EE79C5" w:rsidRPr="00EE79C5" w:rsidRDefault="00EE79C5" w:rsidP="00EE79C5">
            <w:pPr>
              <w:spacing w:line="240" w:lineRule="auto"/>
              <w:jc w:val="center"/>
              <w:rPr>
                <w:color w:val="000000"/>
                <w:sz w:val="22"/>
                <w:szCs w:val="22"/>
                <w:lang w:val="en"/>
              </w:rPr>
            </w:pPr>
            <w:r w:rsidRPr="00EE79C5">
              <w:rPr>
                <w:color w:val="000000"/>
                <w:sz w:val="22"/>
                <w:szCs w:val="22"/>
                <w:lang w:val="en"/>
              </w:rPr>
              <w:t>27</w:t>
            </w:r>
          </w:p>
        </w:tc>
        <w:tc>
          <w:tcPr>
            <w:tcW w:w="1104" w:type="dxa"/>
            <w:shd w:val="clear" w:color="auto" w:fill="auto"/>
          </w:tcPr>
          <w:p w14:paraId="33163F48" w14:textId="77777777" w:rsidR="00EE79C5" w:rsidRPr="00EE79C5" w:rsidRDefault="00EE79C5" w:rsidP="00EE79C5">
            <w:pPr>
              <w:spacing w:line="240" w:lineRule="auto"/>
              <w:jc w:val="center"/>
              <w:rPr>
                <w:color w:val="000000"/>
                <w:sz w:val="22"/>
                <w:szCs w:val="22"/>
                <w:lang w:val="en"/>
              </w:rPr>
            </w:pPr>
            <w:r w:rsidRPr="00EE79C5">
              <w:rPr>
                <w:color w:val="000000"/>
                <w:sz w:val="22"/>
                <w:szCs w:val="22"/>
                <w:lang w:val="en"/>
              </w:rPr>
              <w:t>22</w:t>
            </w:r>
          </w:p>
        </w:tc>
      </w:tr>
      <w:tr w:rsidR="00EE79C5" w:rsidRPr="00154AD7" w14:paraId="33634CC2" w14:textId="77777777" w:rsidTr="00EF65A2">
        <w:tc>
          <w:tcPr>
            <w:tcW w:w="5211" w:type="dxa"/>
            <w:shd w:val="clear" w:color="auto" w:fill="auto"/>
          </w:tcPr>
          <w:p w14:paraId="7D1E4B84" w14:textId="77777777" w:rsidR="00EE79C5" w:rsidRPr="00EE79C5" w:rsidRDefault="00EE79C5" w:rsidP="00EE79C5">
            <w:pPr>
              <w:spacing w:line="240" w:lineRule="auto"/>
              <w:jc w:val="both"/>
              <w:rPr>
                <w:color w:val="000000"/>
                <w:sz w:val="22"/>
                <w:szCs w:val="22"/>
                <w:lang w:val="en"/>
              </w:rPr>
            </w:pPr>
            <w:r w:rsidRPr="00EE79C5">
              <w:rPr>
                <w:color w:val="000000"/>
                <w:sz w:val="22"/>
                <w:szCs w:val="22"/>
                <w:lang w:val="en"/>
              </w:rPr>
              <w:t>sexual orientation</w:t>
            </w:r>
          </w:p>
        </w:tc>
        <w:tc>
          <w:tcPr>
            <w:tcW w:w="1134" w:type="dxa"/>
            <w:shd w:val="clear" w:color="auto" w:fill="auto"/>
          </w:tcPr>
          <w:p w14:paraId="0E43F82C" w14:textId="77777777" w:rsidR="00EE79C5" w:rsidRPr="00EE79C5" w:rsidRDefault="00EE79C5" w:rsidP="00EE79C5">
            <w:pPr>
              <w:spacing w:line="240" w:lineRule="auto"/>
              <w:jc w:val="center"/>
              <w:rPr>
                <w:color w:val="000000"/>
                <w:sz w:val="22"/>
                <w:szCs w:val="22"/>
                <w:lang w:val="en"/>
              </w:rPr>
            </w:pPr>
            <w:r w:rsidRPr="00EE79C5">
              <w:rPr>
                <w:color w:val="000000"/>
                <w:sz w:val="22"/>
                <w:szCs w:val="22"/>
                <w:lang w:val="en"/>
              </w:rPr>
              <w:t>13</w:t>
            </w:r>
          </w:p>
        </w:tc>
        <w:tc>
          <w:tcPr>
            <w:tcW w:w="1134" w:type="dxa"/>
            <w:shd w:val="clear" w:color="auto" w:fill="auto"/>
          </w:tcPr>
          <w:p w14:paraId="60947524" w14:textId="77777777" w:rsidR="00EE79C5" w:rsidRPr="00EE79C5" w:rsidRDefault="00EE79C5" w:rsidP="00EE79C5">
            <w:pPr>
              <w:spacing w:line="240" w:lineRule="auto"/>
              <w:jc w:val="center"/>
              <w:rPr>
                <w:color w:val="000000"/>
                <w:sz w:val="22"/>
                <w:szCs w:val="22"/>
                <w:lang w:val="en"/>
              </w:rPr>
            </w:pPr>
            <w:r w:rsidRPr="00EE79C5">
              <w:rPr>
                <w:color w:val="000000"/>
                <w:sz w:val="22"/>
                <w:szCs w:val="22"/>
                <w:lang w:val="en"/>
              </w:rPr>
              <w:t>13</w:t>
            </w:r>
          </w:p>
        </w:tc>
        <w:tc>
          <w:tcPr>
            <w:tcW w:w="993" w:type="dxa"/>
            <w:shd w:val="clear" w:color="auto" w:fill="auto"/>
          </w:tcPr>
          <w:p w14:paraId="3A5ED905" w14:textId="77777777" w:rsidR="00EE79C5" w:rsidRPr="00EE79C5" w:rsidRDefault="00EE79C5" w:rsidP="00EE79C5">
            <w:pPr>
              <w:spacing w:line="240" w:lineRule="auto"/>
              <w:jc w:val="center"/>
              <w:rPr>
                <w:color w:val="000000"/>
                <w:sz w:val="22"/>
                <w:szCs w:val="22"/>
                <w:lang w:val="en"/>
              </w:rPr>
            </w:pPr>
            <w:r w:rsidRPr="00EE79C5">
              <w:rPr>
                <w:color w:val="000000"/>
                <w:sz w:val="22"/>
                <w:szCs w:val="22"/>
                <w:lang w:val="en"/>
              </w:rPr>
              <w:t>11</w:t>
            </w:r>
          </w:p>
        </w:tc>
        <w:tc>
          <w:tcPr>
            <w:tcW w:w="1104" w:type="dxa"/>
            <w:shd w:val="clear" w:color="auto" w:fill="auto"/>
          </w:tcPr>
          <w:p w14:paraId="63B860B8" w14:textId="77777777" w:rsidR="00EE79C5" w:rsidRPr="00EE79C5" w:rsidRDefault="00EE79C5" w:rsidP="00EE79C5">
            <w:pPr>
              <w:spacing w:line="240" w:lineRule="auto"/>
              <w:jc w:val="center"/>
              <w:rPr>
                <w:color w:val="000000"/>
                <w:sz w:val="22"/>
                <w:szCs w:val="22"/>
                <w:lang w:val="en"/>
              </w:rPr>
            </w:pPr>
            <w:r w:rsidRPr="00EE79C5">
              <w:rPr>
                <w:color w:val="000000"/>
                <w:sz w:val="22"/>
                <w:szCs w:val="22"/>
                <w:lang w:val="en"/>
              </w:rPr>
              <w:t>11</w:t>
            </w:r>
          </w:p>
        </w:tc>
      </w:tr>
    </w:tbl>
    <w:p w14:paraId="0384871F" w14:textId="77777777" w:rsidR="00EE79C5" w:rsidRPr="00EE79C5" w:rsidRDefault="00EE79C5" w:rsidP="00EE79C5">
      <w:pPr>
        <w:spacing w:before="120" w:line="240" w:lineRule="auto"/>
        <w:jc w:val="both"/>
        <w:rPr>
          <w:sz w:val="22"/>
          <w:szCs w:val="22"/>
          <w:lang w:val="en"/>
        </w:rPr>
      </w:pPr>
      <w:r w:rsidRPr="00EE79C5">
        <w:rPr>
          <w:color w:val="000000"/>
          <w:sz w:val="22"/>
          <w:szCs w:val="22"/>
          <w:lang w:val="en"/>
        </w:rPr>
        <w:t>In 2022, 13 complaints on discrimination based were addressed to the CNCD.</w:t>
      </w:r>
      <w:r w:rsidRPr="00EE79C5">
        <w:rPr>
          <w:color w:val="000000"/>
          <w:sz w:val="22"/>
          <w:szCs w:val="22"/>
          <w:lang w:val="ro-RO"/>
        </w:rPr>
        <w:t xml:space="preserve"> </w:t>
      </w:r>
      <w:r w:rsidRPr="00EE79C5">
        <w:rPr>
          <w:sz w:val="22"/>
          <w:szCs w:val="22"/>
          <w:lang w:val="en"/>
        </w:rPr>
        <w:t xml:space="preserve">The most recent complaints to the CNCD regarding discrimination on the basis of sexual orientation have raised issues of achieving personal dignity through statements, statements or expressions made through various means of communication, including the media, radio, social networks, carried out, for example, in virtual, private </w:t>
      </w:r>
      <w:r w:rsidRPr="00EE79C5">
        <w:rPr>
          <w:sz w:val="22"/>
          <w:szCs w:val="22"/>
          <w:lang w:val="en"/>
        </w:rPr>
        <w:lastRenderedPageBreak/>
        <w:t>spaces (</w:t>
      </w:r>
      <w:proofErr w:type="gramStart"/>
      <w:r w:rsidRPr="00EE79C5">
        <w:rPr>
          <w:sz w:val="22"/>
          <w:szCs w:val="22"/>
          <w:lang w:val="en"/>
        </w:rPr>
        <w:t>e.g.</w:t>
      </w:r>
      <w:proofErr w:type="gramEnd"/>
      <w:r w:rsidRPr="00EE79C5">
        <w:rPr>
          <w:sz w:val="22"/>
          <w:szCs w:val="22"/>
          <w:lang w:val="en"/>
        </w:rPr>
        <w:t xml:space="preserve"> groups within social networks or communication applications) or public spaces. In general, no complaints of discrimination based on sexual orientation were addressed to the CNCD, which raised facts of violence motivated by sexual orientation in conjunction with acts of incitement to hatred. </w:t>
      </w:r>
    </w:p>
    <w:p w14:paraId="0E405F2C" w14:textId="77777777" w:rsidR="00EE79C5" w:rsidRDefault="00EE79C5" w:rsidP="00EE79C5">
      <w:pPr>
        <w:pStyle w:val="ListParagraph"/>
        <w:suppressAutoHyphens w:val="0"/>
        <w:spacing w:line="240" w:lineRule="auto"/>
        <w:ind w:left="0"/>
        <w:jc w:val="both"/>
        <w:rPr>
          <w:color w:val="000000"/>
          <w:sz w:val="22"/>
          <w:szCs w:val="22"/>
          <w:lang w:eastAsia="en-GB"/>
        </w:rPr>
      </w:pPr>
    </w:p>
    <w:p w14:paraId="568FC338" w14:textId="3AAD579E" w:rsidR="00EE79C5" w:rsidRPr="00EE79C5" w:rsidRDefault="00200B54" w:rsidP="00EE79C5">
      <w:pPr>
        <w:pStyle w:val="ListParagraph"/>
        <w:suppressAutoHyphens w:val="0"/>
        <w:spacing w:line="240" w:lineRule="auto"/>
        <w:ind w:left="0"/>
        <w:jc w:val="both"/>
        <w:rPr>
          <w:color w:val="000000"/>
          <w:sz w:val="22"/>
          <w:szCs w:val="22"/>
          <w:lang w:eastAsia="en-GB"/>
        </w:rPr>
      </w:pPr>
      <w:r>
        <w:rPr>
          <w:color w:val="000000"/>
          <w:sz w:val="22"/>
          <w:szCs w:val="22"/>
          <w:lang w:eastAsia="en-GB"/>
        </w:rPr>
        <w:t>8</w:t>
      </w:r>
      <w:r w:rsidR="00EE79C5">
        <w:rPr>
          <w:color w:val="000000"/>
          <w:sz w:val="22"/>
          <w:szCs w:val="22"/>
          <w:lang w:eastAsia="en-GB"/>
        </w:rPr>
        <w:t xml:space="preserve">. </w:t>
      </w:r>
      <w:r w:rsidR="00EE79C5" w:rsidRPr="00EE79C5">
        <w:rPr>
          <w:color w:val="000000"/>
          <w:sz w:val="22"/>
          <w:szCs w:val="22"/>
          <w:lang w:eastAsia="en-GB"/>
        </w:rPr>
        <w:t>Some of the most important preventive actions in 2018 – 2022 period include:</w:t>
      </w:r>
    </w:p>
    <w:p w14:paraId="644129F0" w14:textId="77777777" w:rsidR="00EE79C5" w:rsidRDefault="00EE79C5" w:rsidP="00EE79C5">
      <w:pPr>
        <w:pStyle w:val="ListParagraph"/>
        <w:numPr>
          <w:ilvl w:val="1"/>
          <w:numId w:val="2"/>
        </w:numPr>
        <w:suppressAutoHyphens w:val="0"/>
        <w:spacing w:before="120" w:line="240" w:lineRule="auto"/>
        <w:ind w:left="0" w:firstLine="0"/>
        <w:contextualSpacing w:val="0"/>
        <w:jc w:val="both"/>
        <w:rPr>
          <w:color w:val="000000"/>
          <w:sz w:val="22"/>
          <w:szCs w:val="22"/>
          <w:lang w:eastAsia="en-GB"/>
        </w:rPr>
      </w:pPr>
      <w:r w:rsidRPr="00EE79C5">
        <w:rPr>
          <w:color w:val="000000"/>
          <w:sz w:val="22"/>
          <w:szCs w:val="22"/>
          <w:lang w:eastAsia="en-GB"/>
        </w:rPr>
        <w:t xml:space="preserve">Three national prevention campaigns within the "Reducing the amplitude of trafficking in persons through better information of citizens" project, financed through the Internal Security Fund – Police Cooperation Component. The campaigns were carried out in partnership </w:t>
      </w:r>
      <w:proofErr w:type="gramStart"/>
      <w:r w:rsidRPr="00EE79C5">
        <w:rPr>
          <w:color w:val="000000"/>
          <w:sz w:val="22"/>
          <w:szCs w:val="22"/>
          <w:lang w:eastAsia="en-GB"/>
        </w:rPr>
        <w:t>with:</w:t>
      </w:r>
      <w:proofErr w:type="gramEnd"/>
      <w:r w:rsidRPr="00EE79C5">
        <w:rPr>
          <w:color w:val="000000"/>
          <w:sz w:val="22"/>
          <w:szCs w:val="22"/>
          <w:lang w:eastAsia="en-GB"/>
        </w:rPr>
        <w:t xml:space="preserve"> the Ministry of Foreign Affairs, the </w:t>
      </w:r>
      <w:proofErr w:type="spellStart"/>
      <w:r w:rsidRPr="00EE79C5">
        <w:rPr>
          <w:color w:val="000000"/>
          <w:sz w:val="22"/>
          <w:szCs w:val="22"/>
          <w:lang w:eastAsia="en-GB"/>
        </w:rPr>
        <w:t>MoE</w:t>
      </w:r>
      <w:proofErr w:type="spellEnd"/>
      <w:r w:rsidRPr="00EE79C5">
        <w:rPr>
          <w:color w:val="000000"/>
          <w:sz w:val="22"/>
          <w:szCs w:val="22"/>
          <w:lang w:eastAsia="en-GB"/>
        </w:rPr>
        <w:t xml:space="preserve">, the Ministry for Romanians Abroad, </w:t>
      </w:r>
      <w:proofErr w:type="spellStart"/>
      <w:r w:rsidRPr="00EE79C5">
        <w:rPr>
          <w:color w:val="000000"/>
          <w:sz w:val="22"/>
          <w:szCs w:val="22"/>
          <w:lang w:eastAsia="en-GB"/>
        </w:rPr>
        <w:t>eLiberare</w:t>
      </w:r>
      <w:proofErr w:type="spellEnd"/>
      <w:r w:rsidRPr="00EE79C5">
        <w:rPr>
          <w:color w:val="000000"/>
          <w:sz w:val="22"/>
          <w:szCs w:val="22"/>
          <w:lang w:eastAsia="en-GB"/>
        </w:rPr>
        <w:t xml:space="preserve"> Association, </w:t>
      </w:r>
      <w:proofErr w:type="spellStart"/>
      <w:r w:rsidRPr="00EE79C5">
        <w:rPr>
          <w:color w:val="000000"/>
          <w:sz w:val="22"/>
          <w:szCs w:val="22"/>
          <w:lang w:eastAsia="en-GB"/>
        </w:rPr>
        <w:t>AIDRom</w:t>
      </w:r>
      <w:proofErr w:type="spellEnd"/>
      <w:r w:rsidRPr="00EE79C5">
        <w:rPr>
          <w:color w:val="000000"/>
          <w:sz w:val="22"/>
          <w:szCs w:val="22"/>
          <w:lang w:eastAsia="en-GB"/>
        </w:rPr>
        <w:t xml:space="preserve"> Association, World Vision Foundation and INCA Romania Association and addressed the main forms of exploitation</w:t>
      </w:r>
    </w:p>
    <w:p w14:paraId="32F2B9ED" w14:textId="77777777" w:rsidR="00EE79C5" w:rsidRPr="00EE79C5" w:rsidRDefault="00EE79C5" w:rsidP="00EE79C5">
      <w:pPr>
        <w:pStyle w:val="ListParagraph"/>
        <w:numPr>
          <w:ilvl w:val="1"/>
          <w:numId w:val="2"/>
        </w:numPr>
        <w:suppressAutoHyphens w:val="0"/>
        <w:spacing w:before="120" w:line="240" w:lineRule="auto"/>
        <w:ind w:left="0" w:firstLine="0"/>
        <w:contextualSpacing w:val="0"/>
        <w:jc w:val="both"/>
        <w:rPr>
          <w:color w:val="000000"/>
          <w:sz w:val="22"/>
          <w:szCs w:val="22"/>
          <w:lang w:eastAsia="en-GB"/>
        </w:rPr>
      </w:pPr>
      <w:r w:rsidRPr="00EE79C5">
        <w:rPr>
          <w:color w:val="000000"/>
          <w:sz w:val="22"/>
          <w:szCs w:val="22"/>
          <w:lang w:eastAsia="en-GB"/>
        </w:rPr>
        <w:t>"Know your rights! Respect your duties!" –a national campaign aimed at preventing trafficking in persons for forced labour.</w:t>
      </w:r>
    </w:p>
    <w:p w14:paraId="24D3757E" w14:textId="77777777" w:rsidR="00EE79C5" w:rsidRDefault="00EE79C5" w:rsidP="00EE79C5">
      <w:pPr>
        <w:pStyle w:val="ListParagraph"/>
        <w:suppressAutoHyphens w:val="0"/>
        <w:spacing w:line="240" w:lineRule="auto"/>
        <w:ind w:left="0"/>
        <w:jc w:val="both"/>
        <w:rPr>
          <w:color w:val="000000"/>
          <w:sz w:val="22"/>
          <w:szCs w:val="22"/>
          <w:lang w:eastAsia="en-GB"/>
        </w:rPr>
      </w:pPr>
    </w:p>
    <w:p w14:paraId="5F4F25AF" w14:textId="27071068" w:rsidR="00EE79C5" w:rsidRPr="00EE79C5" w:rsidRDefault="00BC1252" w:rsidP="00EE79C5">
      <w:pPr>
        <w:pStyle w:val="ListParagraph"/>
        <w:suppressAutoHyphens w:val="0"/>
        <w:spacing w:line="240" w:lineRule="auto"/>
        <w:ind w:left="0"/>
        <w:jc w:val="both"/>
        <w:rPr>
          <w:color w:val="000000"/>
          <w:sz w:val="22"/>
          <w:szCs w:val="22"/>
          <w:lang w:eastAsia="en-GB"/>
        </w:rPr>
      </w:pPr>
      <w:r>
        <w:rPr>
          <w:color w:val="000000"/>
          <w:sz w:val="22"/>
          <w:szCs w:val="22"/>
          <w:lang w:eastAsia="en-GB"/>
        </w:rPr>
        <w:t>9</w:t>
      </w:r>
      <w:r w:rsidR="00EE79C5">
        <w:rPr>
          <w:color w:val="000000"/>
          <w:sz w:val="22"/>
          <w:szCs w:val="22"/>
          <w:lang w:eastAsia="en-GB"/>
        </w:rPr>
        <w:t xml:space="preserve">. </w:t>
      </w:r>
      <w:r w:rsidR="00EE79C5" w:rsidRPr="00EE79C5">
        <w:rPr>
          <w:color w:val="000000"/>
          <w:sz w:val="22"/>
          <w:szCs w:val="22"/>
          <w:lang w:eastAsia="en-GB"/>
        </w:rPr>
        <w:t>As regards juvenile defendants (7), in 2021 the courts ordered the following educational measures: detention in a detention centre - 8 years; educational measure of placement in an educational centre - 2 years and 6 months; educational measure of daily attendance - 6 months; educational measure of supervision - 6 months;</w:t>
      </w:r>
    </w:p>
    <w:p w14:paraId="7A658C47" w14:textId="77777777" w:rsidR="00EE79C5" w:rsidRPr="00EE79C5" w:rsidRDefault="00EE79C5" w:rsidP="00EE79C5">
      <w:pPr>
        <w:pStyle w:val="ListParagraph"/>
        <w:suppressAutoHyphens w:val="0"/>
        <w:spacing w:before="120" w:line="240" w:lineRule="auto"/>
        <w:ind w:left="0"/>
        <w:contextualSpacing w:val="0"/>
        <w:jc w:val="both"/>
        <w:rPr>
          <w:color w:val="000000"/>
          <w:sz w:val="22"/>
          <w:szCs w:val="22"/>
          <w:lang w:eastAsia="en-GB"/>
        </w:rPr>
      </w:pPr>
      <w:r w:rsidRPr="00EE79C5">
        <w:rPr>
          <w:color w:val="000000"/>
          <w:sz w:val="22"/>
          <w:szCs w:val="22"/>
          <w:lang w:eastAsia="en-GB"/>
        </w:rPr>
        <w:t>Three defendants, legal persons, were sentenced to a fine totalling 1,300. 000 lei, fines ordered as follows: one defendant, a legal entity, was sentenced to 250 days fine, the amount corresponding to one day fine being 2000 lei (total 500 000 lei); one defendant, a legal entity, was sentenced to 200 days fine, the amount corresponding to one day fine being 2000 lei (total 400 000 lei); one defendant, a legal person, was sentenced to a fine of 200 days, the amount corresponding to one day's fine being 2000 lei (in total 400 000 lei).</w:t>
      </w:r>
    </w:p>
    <w:p w14:paraId="24C37A9A" w14:textId="77777777" w:rsidR="00EE79C5" w:rsidRDefault="00EE79C5" w:rsidP="00EE79C5">
      <w:pPr>
        <w:pStyle w:val="HTMLPreformatted"/>
        <w:jc w:val="both"/>
        <w:rPr>
          <w:rStyle w:val="y2iqfc"/>
          <w:rFonts w:ascii="Times New Roman" w:hAnsi="Times New Roman" w:cs="Times New Roman"/>
          <w:color w:val="202124"/>
          <w:sz w:val="22"/>
          <w:szCs w:val="22"/>
          <w:lang w:val="en-US"/>
        </w:rPr>
      </w:pPr>
    </w:p>
    <w:p w14:paraId="7A4334B1" w14:textId="550D2E9C" w:rsidR="00EE79C5" w:rsidRPr="00154AD7" w:rsidRDefault="00BC1252" w:rsidP="00EE79C5">
      <w:pPr>
        <w:pStyle w:val="HTMLPreformatted"/>
        <w:jc w:val="both"/>
        <w:rPr>
          <w:rStyle w:val="y2iqfc"/>
          <w:rFonts w:ascii="Times New Roman" w:hAnsi="Times New Roman" w:cs="Times New Roman"/>
          <w:color w:val="202124"/>
          <w:sz w:val="22"/>
          <w:szCs w:val="22"/>
          <w:lang w:val="en-US"/>
        </w:rPr>
      </w:pPr>
      <w:r>
        <w:rPr>
          <w:rStyle w:val="y2iqfc"/>
          <w:rFonts w:ascii="Times New Roman" w:hAnsi="Times New Roman" w:cs="Times New Roman"/>
          <w:color w:val="202124"/>
          <w:sz w:val="22"/>
          <w:szCs w:val="22"/>
          <w:lang w:val="en-US"/>
        </w:rPr>
        <w:t>10</w:t>
      </w:r>
      <w:r w:rsidR="00EE79C5">
        <w:rPr>
          <w:rStyle w:val="y2iqfc"/>
          <w:rFonts w:ascii="Times New Roman" w:hAnsi="Times New Roman" w:cs="Times New Roman"/>
          <w:color w:val="202124"/>
          <w:sz w:val="22"/>
          <w:szCs w:val="22"/>
          <w:lang w:val="en-US"/>
        </w:rPr>
        <w:t xml:space="preserve">. </w:t>
      </w:r>
      <w:r w:rsidR="00EE79C5" w:rsidRPr="00154AD7">
        <w:rPr>
          <w:rStyle w:val="y2iqfc"/>
          <w:rFonts w:ascii="Times New Roman" w:hAnsi="Times New Roman" w:cs="Times New Roman"/>
          <w:color w:val="202124"/>
          <w:sz w:val="22"/>
          <w:szCs w:val="22"/>
          <w:lang w:val="en-US"/>
        </w:rPr>
        <w:t xml:space="preserve">A national program called “ORA DE NET” (Net Hour) is implemented by Save the Children and ANAPRCA as one of the major partners. The program has 3 components: </w:t>
      </w:r>
    </w:p>
    <w:p w14:paraId="7F4966D4" w14:textId="77777777" w:rsidR="00EE79C5" w:rsidRPr="00154AD7" w:rsidRDefault="00EE79C5" w:rsidP="00EE79C5">
      <w:pPr>
        <w:pStyle w:val="HTMLPreformatted"/>
        <w:numPr>
          <w:ilvl w:val="1"/>
          <w:numId w:val="2"/>
        </w:numPr>
        <w:ind w:left="0" w:firstLine="0"/>
        <w:jc w:val="both"/>
        <w:rPr>
          <w:rStyle w:val="y2iqfc"/>
          <w:rFonts w:ascii="Times New Roman" w:hAnsi="Times New Roman" w:cs="Times New Roman"/>
          <w:color w:val="202124"/>
          <w:sz w:val="22"/>
          <w:szCs w:val="22"/>
          <w:lang w:val="en-US"/>
        </w:rPr>
      </w:pPr>
      <w:r w:rsidRPr="00154AD7">
        <w:rPr>
          <w:rStyle w:val="y2iqfc"/>
          <w:rFonts w:ascii="Times New Roman" w:hAnsi="Times New Roman" w:cs="Times New Roman"/>
          <w:color w:val="202124"/>
          <w:sz w:val="22"/>
          <w:szCs w:val="22"/>
          <w:lang w:val="en-US"/>
        </w:rPr>
        <w:t xml:space="preserve">awareness of the safe Internet, </w:t>
      </w:r>
    </w:p>
    <w:p w14:paraId="3DFACF06" w14:textId="77777777" w:rsidR="00EE79C5" w:rsidRPr="00154AD7" w:rsidRDefault="00EE79C5" w:rsidP="00EE79C5">
      <w:pPr>
        <w:pStyle w:val="HTMLPreformatted"/>
        <w:numPr>
          <w:ilvl w:val="1"/>
          <w:numId w:val="2"/>
        </w:numPr>
        <w:ind w:left="0" w:firstLine="0"/>
        <w:jc w:val="both"/>
        <w:rPr>
          <w:rStyle w:val="y2iqfc"/>
          <w:rFonts w:ascii="Times New Roman" w:hAnsi="Times New Roman" w:cs="Times New Roman"/>
          <w:color w:val="202124"/>
          <w:sz w:val="22"/>
          <w:szCs w:val="22"/>
          <w:lang w:val="en-US"/>
        </w:rPr>
      </w:pPr>
      <w:r w:rsidRPr="00154AD7">
        <w:rPr>
          <w:rStyle w:val="y2iqfc"/>
          <w:rFonts w:ascii="Times New Roman" w:hAnsi="Times New Roman" w:cs="Times New Roman"/>
          <w:color w:val="202124"/>
          <w:sz w:val="22"/>
          <w:szCs w:val="22"/>
          <w:lang w:val="en-US"/>
        </w:rPr>
        <w:t>helpline - children, teenagers and parents can ask for help or advice when they face a difficult situation online www.ctrl_AJUTOR (by phone and online)</w:t>
      </w:r>
    </w:p>
    <w:p w14:paraId="59E4E455" w14:textId="77777777" w:rsidR="00EE79C5" w:rsidRPr="00154AD7" w:rsidRDefault="00EE79C5" w:rsidP="00EE79C5">
      <w:pPr>
        <w:pStyle w:val="HTMLPreformatted"/>
        <w:numPr>
          <w:ilvl w:val="1"/>
          <w:numId w:val="2"/>
        </w:numPr>
        <w:ind w:left="0" w:firstLine="0"/>
        <w:jc w:val="both"/>
        <w:rPr>
          <w:rStyle w:val="y2iqfc"/>
          <w:rFonts w:ascii="Times New Roman" w:hAnsi="Times New Roman" w:cs="Times New Roman"/>
          <w:color w:val="202124"/>
          <w:sz w:val="22"/>
          <w:szCs w:val="22"/>
          <w:lang w:val="en-US"/>
        </w:rPr>
      </w:pPr>
      <w:r w:rsidRPr="00154AD7">
        <w:rPr>
          <w:rStyle w:val="y2iqfc"/>
          <w:rFonts w:ascii="Times New Roman" w:hAnsi="Times New Roman" w:cs="Times New Roman"/>
          <w:color w:val="202124"/>
          <w:sz w:val="22"/>
          <w:szCs w:val="22"/>
          <w:lang w:val="en-US"/>
        </w:rPr>
        <w:t xml:space="preserve">hotline - reporting line </w:t>
      </w:r>
      <w:hyperlink r:id="rId6" w:history="1">
        <w:r w:rsidRPr="00154AD7">
          <w:rPr>
            <w:rStyle w:val="Hyperlink"/>
            <w:rFonts w:ascii="Times New Roman" w:hAnsi="Times New Roman" w:cs="Times New Roman"/>
            <w:sz w:val="22"/>
            <w:szCs w:val="22"/>
            <w:lang w:val="en-US"/>
          </w:rPr>
          <w:t>www.esc_ABUZ</w:t>
        </w:r>
      </w:hyperlink>
      <w:r w:rsidRPr="00154AD7">
        <w:rPr>
          <w:rStyle w:val="y2iqfc"/>
          <w:rFonts w:ascii="Times New Roman" w:hAnsi="Times New Roman" w:cs="Times New Roman"/>
          <w:color w:val="202124"/>
          <w:sz w:val="22"/>
          <w:szCs w:val="22"/>
          <w:lang w:val="en-US"/>
        </w:rPr>
        <w:t xml:space="preserve"> offers to its users the possibility to inform the competent authorities about images of child sexual abuse that they may encounter online, while maintaining their anonymity. </w:t>
      </w:r>
    </w:p>
    <w:p w14:paraId="3D1871D6" w14:textId="77777777" w:rsidR="00EE79C5" w:rsidRPr="00154AD7" w:rsidRDefault="00EE79C5" w:rsidP="00EE79C5">
      <w:pPr>
        <w:pStyle w:val="HTMLPreformatted"/>
        <w:jc w:val="both"/>
        <w:rPr>
          <w:rFonts w:ascii="Times New Roman" w:hAnsi="Times New Roman" w:cs="Times New Roman"/>
          <w:color w:val="202124"/>
          <w:sz w:val="22"/>
          <w:szCs w:val="22"/>
          <w:lang w:val="en-US"/>
        </w:rPr>
      </w:pPr>
      <w:r w:rsidRPr="00154AD7">
        <w:rPr>
          <w:rStyle w:val="y2iqfc"/>
          <w:rFonts w:ascii="Times New Roman" w:hAnsi="Times New Roman" w:cs="Times New Roman"/>
          <w:color w:val="202124"/>
          <w:sz w:val="22"/>
          <w:szCs w:val="22"/>
          <w:lang w:val="en-US"/>
        </w:rPr>
        <w:t>Since 2015, www.esc</w:t>
      </w:r>
      <w:r w:rsidRPr="00154AD7">
        <w:rPr>
          <w:rStyle w:val="y2iqfc"/>
          <w:rFonts w:ascii="Times New Roman" w:hAnsi="Times New Roman" w:cs="Times New Roman"/>
          <w:color w:val="202124"/>
          <w:sz w:val="22"/>
          <w:szCs w:val="22"/>
          <w:lang w:val="en-US"/>
        </w:rPr>
        <w:softHyphen/>
      </w:r>
      <w:r w:rsidRPr="00154AD7">
        <w:rPr>
          <w:rStyle w:val="y2iqfc"/>
          <w:rFonts w:ascii="Times New Roman" w:hAnsi="Times New Roman" w:cs="Times New Roman"/>
          <w:color w:val="202124"/>
          <w:sz w:val="22"/>
          <w:szCs w:val="22"/>
          <w:lang w:val="en-US"/>
        </w:rPr>
        <w:softHyphen/>
        <w:t>_ABUZ has been a member of INHOPE, the global network of helplines to combat the online promotion of child sexual abuse materials.</w:t>
      </w:r>
    </w:p>
    <w:p w14:paraId="6DD3FA3A" w14:textId="77777777" w:rsidR="00EE79C5" w:rsidRDefault="00EE79C5" w:rsidP="00EE79C5">
      <w:pPr>
        <w:pStyle w:val="ListParagraph"/>
        <w:suppressAutoHyphens w:val="0"/>
        <w:spacing w:line="240" w:lineRule="auto"/>
        <w:ind w:left="0"/>
        <w:jc w:val="both"/>
        <w:rPr>
          <w:color w:val="000000"/>
          <w:sz w:val="22"/>
          <w:szCs w:val="22"/>
          <w:lang w:val="en-US" w:eastAsia="en-GB"/>
        </w:rPr>
      </w:pPr>
    </w:p>
    <w:p w14:paraId="78337AF4" w14:textId="75C205CA" w:rsidR="00EE79C5" w:rsidRPr="00EE79C5" w:rsidRDefault="00343618" w:rsidP="00EE79C5">
      <w:pPr>
        <w:pStyle w:val="ListParagraph"/>
        <w:suppressAutoHyphens w:val="0"/>
        <w:spacing w:line="240" w:lineRule="auto"/>
        <w:ind w:left="0"/>
        <w:jc w:val="both"/>
        <w:rPr>
          <w:color w:val="000000"/>
          <w:sz w:val="22"/>
          <w:szCs w:val="22"/>
          <w:lang w:val="en-US" w:eastAsia="en-GB"/>
        </w:rPr>
      </w:pPr>
      <w:r>
        <w:rPr>
          <w:color w:val="000000"/>
          <w:sz w:val="22"/>
          <w:szCs w:val="22"/>
          <w:lang w:val="en-US" w:eastAsia="en-GB"/>
        </w:rPr>
        <w:t>11</w:t>
      </w:r>
      <w:r w:rsidR="00EE79C5">
        <w:rPr>
          <w:color w:val="000000"/>
          <w:sz w:val="22"/>
          <w:szCs w:val="22"/>
          <w:lang w:val="en-US" w:eastAsia="en-GB"/>
        </w:rPr>
        <w:t xml:space="preserve">. </w:t>
      </w:r>
      <w:r w:rsidR="00EE79C5" w:rsidRPr="00EE79C5">
        <w:rPr>
          <w:color w:val="000000"/>
          <w:sz w:val="22"/>
          <w:szCs w:val="22"/>
          <w:lang w:val="en-US" w:eastAsia="en-GB"/>
        </w:rPr>
        <w:t>Implemented from 1</w:t>
      </w:r>
      <w:r w:rsidR="00EE79C5" w:rsidRPr="00EE79C5">
        <w:rPr>
          <w:color w:val="000000"/>
          <w:sz w:val="22"/>
          <w:szCs w:val="22"/>
          <w:vertAlign w:val="superscript"/>
          <w:lang w:val="en-US" w:eastAsia="en-GB"/>
        </w:rPr>
        <w:t>st</w:t>
      </w:r>
      <w:r w:rsidR="00EE79C5" w:rsidRPr="00EE79C5">
        <w:rPr>
          <w:color w:val="000000"/>
          <w:sz w:val="22"/>
          <w:szCs w:val="22"/>
          <w:lang w:val="en-US" w:eastAsia="en-GB"/>
        </w:rPr>
        <w:t xml:space="preserve"> of January 2021 to 31</w:t>
      </w:r>
      <w:r w:rsidR="00EE79C5" w:rsidRPr="00EE79C5">
        <w:rPr>
          <w:color w:val="000000"/>
          <w:sz w:val="22"/>
          <w:szCs w:val="22"/>
          <w:vertAlign w:val="superscript"/>
          <w:lang w:val="en-US" w:eastAsia="en-GB"/>
        </w:rPr>
        <w:t>st</w:t>
      </w:r>
      <w:r w:rsidR="00EE79C5" w:rsidRPr="00EE79C5">
        <w:rPr>
          <w:color w:val="000000"/>
          <w:sz w:val="22"/>
          <w:szCs w:val="22"/>
          <w:lang w:val="en-US" w:eastAsia="en-GB"/>
        </w:rPr>
        <w:t xml:space="preserve"> of December 2022, .it sought </w:t>
      </w:r>
      <w:r w:rsidR="00EE79C5" w:rsidRPr="00EE79C5">
        <w:rPr>
          <w:color w:val="000000"/>
          <w:sz w:val="22"/>
          <w:szCs w:val="22"/>
          <w:lang w:eastAsia="en-GB"/>
        </w:rPr>
        <w:t xml:space="preserve">to build upon the results of WESTEROS (2018-2020) - </w:t>
      </w:r>
      <w:r w:rsidR="00EE79C5" w:rsidRPr="00EE79C5">
        <w:rPr>
          <w:i/>
          <w:iCs/>
          <w:color w:val="000000"/>
          <w:sz w:val="22"/>
          <w:szCs w:val="22"/>
          <w:lang w:eastAsia="en-GB"/>
        </w:rPr>
        <w:t xml:space="preserve">Enhancing the fight against trafficking of human beings and its proceeds through advanced financial </w:t>
      </w:r>
      <w:proofErr w:type="gramStart"/>
      <w:r w:rsidR="00EE79C5" w:rsidRPr="00EE79C5">
        <w:rPr>
          <w:i/>
          <w:iCs/>
          <w:color w:val="000000"/>
          <w:sz w:val="22"/>
          <w:szCs w:val="22"/>
          <w:lang w:eastAsia="en-GB"/>
        </w:rPr>
        <w:t>investigation</w:t>
      </w:r>
      <w:r w:rsidR="00EE79C5" w:rsidRPr="00EE79C5">
        <w:rPr>
          <w:color w:val="000000"/>
          <w:sz w:val="22"/>
          <w:szCs w:val="22"/>
          <w:lang w:eastAsia="en-GB"/>
        </w:rPr>
        <w:t>, and</w:t>
      </w:r>
      <w:proofErr w:type="gramEnd"/>
      <w:r w:rsidR="00EE79C5" w:rsidRPr="00EE79C5">
        <w:rPr>
          <w:color w:val="000000"/>
          <w:sz w:val="22"/>
          <w:szCs w:val="22"/>
          <w:lang w:eastAsia="en-GB"/>
        </w:rPr>
        <w:t xml:space="preserve"> facilitate and enhance the exchange of knowledge at strategic, operational and policy level among partners following the most recent trends in the Trafficking in human beings (THB) area. It used the same proven successful partner scheme, connected to the criminal pattern: source, transit and demand country. The structure of the partnership covers the important actors involved in the prevention and combating of THB - </w:t>
      </w:r>
      <w:r w:rsidR="00EE79C5" w:rsidRPr="00EE79C5">
        <w:rPr>
          <w:i/>
          <w:iCs/>
          <w:color w:val="000000"/>
          <w:sz w:val="22"/>
          <w:szCs w:val="22"/>
          <w:lang w:eastAsia="en-GB"/>
        </w:rPr>
        <w:t>prevention</w:t>
      </w:r>
      <w:r w:rsidR="00EE79C5" w:rsidRPr="00EE79C5">
        <w:rPr>
          <w:b/>
          <w:bCs/>
          <w:color w:val="000000"/>
          <w:sz w:val="22"/>
          <w:szCs w:val="22"/>
          <w:lang w:eastAsia="en-GB"/>
        </w:rPr>
        <w:t xml:space="preserve"> - </w:t>
      </w:r>
      <w:r w:rsidR="00EE79C5" w:rsidRPr="00EE79C5">
        <w:rPr>
          <w:bCs/>
          <w:color w:val="000000"/>
          <w:sz w:val="22"/>
          <w:szCs w:val="22"/>
          <w:lang w:eastAsia="en-GB"/>
        </w:rPr>
        <w:t>the NATIP – (RO)</w:t>
      </w:r>
      <w:r w:rsidR="00EE79C5" w:rsidRPr="00EE79C5">
        <w:rPr>
          <w:color w:val="000000"/>
          <w:sz w:val="22"/>
          <w:szCs w:val="22"/>
          <w:lang w:eastAsia="en-GB"/>
        </w:rPr>
        <w:t>,</w:t>
      </w:r>
      <w:r w:rsidR="00EE79C5" w:rsidRPr="00EE79C5">
        <w:rPr>
          <w:i/>
          <w:iCs/>
          <w:color w:val="000000"/>
          <w:sz w:val="22"/>
          <w:szCs w:val="22"/>
          <w:lang w:eastAsia="en-GB"/>
        </w:rPr>
        <w:t xml:space="preserve"> investigation</w:t>
      </w:r>
      <w:r w:rsidR="00EE79C5" w:rsidRPr="00EE79C5">
        <w:rPr>
          <w:color w:val="000000"/>
          <w:sz w:val="22"/>
          <w:szCs w:val="22"/>
          <w:lang w:eastAsia="en-GB"/>
        </w:rPr>
        <w:t xml:space="preserve"> – </w:t>
      </w:r>
      <w:r w:rsidR="00EE79C5" w:rsidRPr="00EE79C5">
        <w:rPr>
          <w:bCs/>
          <w:color w:val="000000"/>
          <w:sz w:val="22"/>
          <w:szCs w:val="22"/>
          <w:lang w:eastAsia="en-GB"/>
        </w:rPr>
        <w:t>the Belgian Federal Police (BE)</w:t>
      </w:r>
      <w:r w:rsidR="00EE79C5" w:rsidRPr="00EE79C5">
        <w:rPr>
          <w:color w:val="000000"/>
          <w:sz w:val="22"/>
          <w:szCs w:val="22"/>
          <w:lang w:eastAsia="en-GB"/>
        </w:rPr>
        <w:t xml:space="preserve">, </w:t>
      </w:r>
      <w:r w:rsidR="00EE79C5" w:rsidRPr="00EE79C5">
        <w:rPr>
          <w:i/>
          <w:iCs/>
          <w:color w:val="000000"/>
          <w:sz w:val="22"/>
          <w:szCs w:val="22"/>
          <w:lang w:eastAsia="en-GB"/>
        </w:rPr>
        <w:t>prosecution</w:t>
      </w:r>
      <w:r w:rsidR="00EE79C5" w:rsidRPr="00EE79C5">
        <w:rPr>
          <w:color w:val="000000"/>
          <w:sz w:val="22"/>
          <w:szCs w:val="22"/>
          <w:lang w:eastAsia="en-GB"/>
        </w:rPr>
        <w:t xml:space="preserve"> – </w:t>
      </w:r>
      <w:r w:rsidR="00EE79C5" w:rsidRPr="00EE79C5">
        <w:rPr>
          <w:bCs/>
          <w:color w:val="000000"/>
          <w:sz w:val="22"/>
          <w:szCs w:val="22"/>
          <w:lang w:eastAsia="en-GB"/>
        </w:rPr>
        <w:t>the POHCCJ and the Directorate for</w:t>
      </w:r>
      <w:r w:rsidR="00EE79C5" w:rsidRPr="00EE79C5">
        <w:rPr>
          <w:b/>
          <w:bCs/>
          <w:color w:val="000000"/>
          <w:sz w:val="22"/>
          <w:szCs w:val="22"/>
          <w:lang w:eastAsia="en-GB"/>
        </w:rPr>
        <w:t xml:space="preserve"> Investigating Organised Crime and Terrorism (DIICOT) </w:t>
      </w:r>
      <w:r w:rsidR="00EE79C5" w:rsidRPr="00EE79C5">
        <w:rPr>
          <w:bCs/>
          <w:color w:val="000000"/>
          <w:sz w:val="22"/>
          <w:szCs w:val="22"/>
          <w:lang w:eastAsia="en-GB"/>
        </w:rPr>
        <w:t>(RO)</w:t>
      </w:r>
      <w:r w:rsidR="00EE79C5" w:rsidRPr="00EE79C5">
        <w:rPr>
          <w:color w:val="000000"/>
          <w:sz w:val="22"/>
          <w:szCs w:val="22"/>
          <w:lang w:eastAsia="en-GB"/>
        </w:rPr>
        <w:t xml:space="preserve">, </w:t>
      </w:r>
      <w:r w:rsidR="00EE79C5" w:rsidRPr="00EE79C5">
        <w:rPr>
          <w:i/>
          <w:iCs/>
          <w:color w:val="000000"/>
          <w:sz w:val="22"/>
          <w:szCs w:val="22"/>
          <w:lang w:eastAsia="en-GB"/>
        </w:rPr>
        <w:t>trial phase</w:t>
      </w:r>
      <w:r w:rsidR="00EE79C5" w:rsidRPr="00EE79C5">
        <w:rPr>
          <w:color w:val="000000"/>
          <w:sz w:val="22"/>
          <w:szCs w:val="22"/>
          <w:lang w:eastAsia="en-GB"/>
        </w:rPr>
        <w:t xml:space="preserve"> – Polish judges through</w:t>
      </w:r>
      <w:r w:rsidR="00EE79C5" w:rsidRPr="00EE79C5">
        <w:rPr>
          <w:b/>
          <w:bCs/>
          <w:color w:val="000000"/>
          <w:sz w:val="22"/>
          <w:szCs w:val="22"/>
          <w:lang w:eastAsia="en-GB"/>
        </w:rPr>
        <w:t xml:space="preserve"> the National School of Judiciary and Public Prosecution</w:t>
      </w:r>
      <w:r w:rsidR="00EE79C5" w:rsidRPr="00EE79C5">
        <w:rPr>
          <w:color w:val="000000"/>
          <w:sz w:val="22"/>
          <w:szCs w:val="22"/>
          <w:lang w:eastAsia="en-GB"/>
        </w:rPr>
        <w:t xml:space="preserve">, </w:t>
      </w:r>
      <w:r w:rsidR="00EE79C5" w:rsidRPr="00EE79C5">
        <w:rPr>
          <w:i/>
          <w:iCs/>
          <w:color w:val="000000"/>
          <w:sz w:val="22"/>
          <w:szCs w:val="22"/>
          <w:lang w:eastAsia="en-GB"/>
        </w:rPr>
        <w:t>recovery of assets</w:t>
      </w:r>
      <w:r w:rsidR="00EE79C5" w:rsidRPr="00EE79C5">
        <w:rPr>
          <w:b/>
          <w:bCs/>
          <w:color w:val="000000"/>
          <w:sz w:val="22"/>
          <w:szCs w:val="22"/>
          <w:lang w:eastAsia="en-GB"/>
        </w:rPr>
        <w:t xml:space="preserve"> </w:t>
      </w:r>
      <w:r w:rsidR="00EE79C5" w:rsidRPr="00EE79C5">
        <w:rPr>
          <w:color w:val="000000"/>
          <w:sz w:val="22"/>
          <w:szCs w:val="22"/>
          <w:lang w:eastAsia="en-GB"/>
        </w:rPr>
        <w:t xml:space="preserve">- </w:t>
      </w:r>
      <w:r w:rsidR="00EE79C5" w:rsidRPr="00EE79C5">
        <w:rPr>
          <w:b/>
          <w:bCs/>
          <w:color w:val="000000"/>
          <w:sz w:val="22"/>
          <w:szCs w:val="22"/>
          <w:lang w:eastAsia="en-GB"/>
        </w:rPr>
        <w:t xml:space="preserve">the National Agency for the Management of Seized Assets –ANABI </w:t>
      </w:r>
      <w:r w:rsidR="00EE79C5" w:rsidRPr="00EE79C5">
        <w:rPr>
          <w:bCs/>
          <w:color w:val="000000"/>
          <w:sz w:val="22"/>
          <w:szCs w:val="22"/>
          <w:lang w:eastAsia="en-GB"/>
        </w:rPr>
        <w:t>(RO).</w:t>
      </w:r>
      <w:r w:rsidR="00EE79C5" w:rsidRPr="00EE79C5">
        <w:rPr>
          <w:color w:val="000000"/>
          <w:sz w:val="22"/>
          <w:szCs w:val="22"/>
          <w:lang w:val="en-US" w:eastAsia="en-GB"/>
        </w:rPr>
        <w:t xml:space="preserve"> </w:t>
      </w:r>
    </w:p>
    <w:p w14:paraId="6A00D474" w14:textId="77777777" w:rsidR="00EE79C5" w:rsidRPr="00EE79C5" w:rsidRDefault="00EE79C5" w:rsidP="00EE79C5">
      <w:pPr>
        <w:pStyle w:val="ListParagraph"/>
        <w:suppressAutoHyphens w:val="0"/>
        <w:spacing w:before="120" w:line="240" w:lineRule="auto"/>
        <w:ind w:left="0"/>
        <w:contextualSpacing w:val="0"/>
        <w:jc w:val="both"/>
        <w:rPr>
          <w:color w:val="000000"/>
          <w:sz w:val="22"/>
          <w:szCs w:val="22"/>
          <w:lang w:val="en-US" w:eastAsia="en-GB"/>
        </w:rPr>
      </w:pPr>
      <w:r w:rsidRPr="00EE79C5">
        <w:rPr>
          <w:color w:val="000000"/>
          <w:sz w:val="22"/>
          <w:szCs w:val="22"/>
          <w:lang w:eastAsia="en-GB"/>
        </w:rPr>
        <w:t>To improve the preparedness of the authorities to investigate and trial THB cases, 144 practitioners from 3 EU MS (RO, BE, PL) benefited from specialized trainings in matters related to THB</w:t>
      </w:r>
      <w:r w:rsidRPr="00EE79C5">
        <w:rPr>
          <w:color w:val="000000"/>
          <w:sz w:val="22"/>
          <w:szCs w:val="22"/>
          <w:lang w:val="en-US" w:eastAsia="en-GB"/>
        </w:rPr>
        <w:br/>
      </w:r>
      <w:r w:rsidRPr="00EE79C5">
        <w:rPr>
          <w:color w:val="000000"/>
          <w:sz w:val="22"/>
          <w:szCs w:val="22"/>
          <w:lang w:eastAsia="en-GB"/>
        </w:rPr>
        <w:t xml:space="preserve">activities: on management of complex THB cases, each session attended by 22 practitioners from RO, BE </w:t>
      </w:r>
      <w:r w:rsidRPr="00EE79C5">
        <w:rPr>
          <w:color w:val="000000"/>
          <w:sz w:val="22"/>
          <w:szCs w:val="22"/>
          <w:lang w:eastAsia="en-GB"/>
        </w:rPr>
        <w:lastRenderedPageBreak/>
        <w:t>and PL (prosecutors, judges, Police officers);</w:t>
      </w:r>
      <w:r w:rsidRPr="00EE79C5">
        <w:rPr>
          <w:color w:val="000000"/>
          <w:sz w:val="22"/>
          <w:szCs w:val="22"/>
          <w:lang w:val="en-US" w:eastAsia="en-GB"/>
        </w:rPr>
        <w:t xml:space="preserve"> </w:t>
      </w:r>
      <w:r w:rsidRPr="00EE79C5">
        <w:rPr>
          <w:color w:val="000000"/>
          <w:sz w:val="22"/>
          <w:szCs w:val="22"/>
          <w:lang w:eastAsia="en-GB"/>
        </w:rPr>
        <w:t>on the limits of investigation/prosecution of THB cases, each session attended by 22 practitioners from RO, BE and PL (prosecutors, judges, Police officers)</w:t>
      </w:r>
      <w:r w:rsidRPr="00EE79C5">
        <w:rPr>
          <w:color w:val="000000"/>
          <w:sz w:val="22"/>
          <w:szCs w:val="22"/>
          <w:lang w:val="en-US" w:eastAsia="en-GB"/>
        </w:rPr>
        <w:t xml:space="preserve">; </w:t>
      </w:r>
      <w:r w:rsidRPr="00EE79C5">
        <w:rPr>
          <w:color w:val="000000"/>
          <w:sz w:val="22"/>
          <w:szCs w:val="22"/>
          <w:lang w:eastAsia="en-GB"/>
        </w:rPr>
        <w:t xml:space="preserve">on hearing techniques focused on hearing THB victims, each session attended by 22 practitioners from RO, BE and PL (prosecutors, judges, Police officers; </w:t>
      </w:r>
      <w:proofErr w:type="spellStart"/>
      <w:r w:rsidRPr="00EE79C5">
        <w:rPr>
          <w:color w:val="000000"/>
          <w:sz w:val="22"/>
          <w:szCs w:val="22"/>
          <w:lang w:eastAsia="en-GB"/>
        </w:rPr>
        <w:t>dDrafting</w:t>
      </w:r>
      <w:proofErr w:type="spellEnd"/>
      <w:r w:rsidRPr="00EE79C5">
        <w:rPr>
          <w:color w:val="000000"/>
          <w:sz w:val="22"/>
          <w:szCs w:val="22"/>
          <w:lang w:eastAsia="en-GB"/>
        </w:rPr>
        <w:t xml:space="preserve"> Guidelines on hearing techniques of THB victims, a methodology on organizing JOINT DAY type operations and a three-fold collection of judicial practice on THB matters.</w:t>
      </w:r>
    </w:p>
    <w:p w14:paraId="3CE3630C" w14:textId="77777777" w:rsidR="00EE79C5" w:rsidRPr="00EE79C5" w:rsidRDefault="00EE79C5" w:rsidP="00EE79C5">
      <w:pPr>
        <w:pStyle w:val="ListParagraph"/>
        <w:suppressAutoHyphens w:val="0"/>
        <w:spacing w:before="120" w:line="240" w:lineRule="auto"/>
        <w:ind w:left="0"/>
        <w:contextualSpacing w:val="0"/>
        <w:jc w:val="both"/>
        <w:rPr>
          <w:color w:val="000000"/>
          <w:sz w:val="22"/>
          <w:szCs w:val="22"/>
          <w:lang w:val="en-US" w:eastAsia="en-GB"/>
        </w:rPr>
      </w:pPr>
      <w:r w:rsidRPr="00EE79C5">
        <w:rPr>
          <w:color w:val="000000"/>
          <w:sz w:val="22"/>
          <w:szCs w:val="22"/>
          <w:lang w:eastAsia="en-GB"/>
        </w:rPr>
        <w:t>To improve the financial investigating capacity of practitioners in the 3 applicant EU MS by providing them with the most recent practical and theoretical developments in the field, training sessions on financial investigation and assets recovery were provided. Each training session was attended by 25 practitioners from RO, BE and PL.</w:t>
      </w:r>
      <w:r w:rsidRPr="00EE79C5">
        <w:rPr>
          <w:color w:val="000000"/>
          <w:sz w:val="22"/>
          <w:szCs w:val="22"/>
          <w:lang w:val="en-US" w:eastAsia="en-GB"/>
        </w:rPr>
        <w:t xml:space="preserve"> </w:t>
      </w:r>
    </w:p>
    <w:p w14:paraId="7A5B9554" w14:textId="77777777" w:rsidR="00A27888" w:rsidRDefault="00A27888" w:rsidP="00A27888">
      <w:pPr>
        <w:pStyle w:val="ListParagraph1"/>
        <w:shd w:val="clear" w:color="auto" w:fill="FFFFFF"/>
        <w:tabs>
          <w:tab w:val="left" w:pos="709"/>
        </w:tabs>
        <w:suppressAutoHyphens w:val="0"/>
        <w:autoSpaceDE w:val="0"/>
        <w:autoSpaceDN w:val="0"/>
        <w:adjustRightInd w:val="0"/>
        <w:spacing w:line="240" w:lineRule="auto"/>
        <w:ind w:left="0"/>
        <w:contextualSpacing w:val="0"/>
        <w:jc w:val="both"/>
        <w:rPr>
          <w:bCs/>
          <w:iCs/>
          <w:sz w:val="22"/>
          <w:szCs w:val="22"/>
        </w:rPr>
      </w:pPr>
    </w:p>
    <w:p w14:paraId="267CACC8" w14:textId="2F64FE89" w:rsidR="00EE79C5" w:rsidRPr="00154AD7" w:rsidRDefault="00427A41" w:rsidP="00A27888">
      <w:pPr>
        <w:pStyle w:val="ListParagraph1"/>
        <w:shd w:val="clear" w:color="auto" w:fill="FFFFFF"/>
        <w:tabs>
          <w:tab w:val="left" w:pos="709"/>
        </w:tabs>
        <w:suppressAutoHyphens w:val="0"/>
        <w:autoSpaceDE w:val="0"/>
        <w:autoSpaceDN w:val="0"/>
        <w:adjustRightInd w:val="0"/>
        <w:spacing w:line="240" w:lineRule="auto"/>
        <w:ind w:left="0"/>
        <w:contextualSpacing w:val="0"/>
        <w:jc w:val="both"/>
        <w:rPr>
          <w:bCs/>
          <w:iCs/>
          <w:sz w:val="22"/>
          <w:szCs w:val="22"/>
        </w:rPr>
      </w:pPr>
      <w:r>
        <w:rPr>
          <w:bCs/>
          <w:iCs/>
          <w:sz w:val="22"/>
          <w:szCs w:val="22"/>
        </w:rPr>
        <w:t>12</w:t>
      </w:r>
      <w:r w:rsidR="00A27888">
        <w:rPr>
          <w:bCs/>
          <w:iCs/>
          <w:sz w:val="22"/>
          <w:szCs w:val="22"/>
        </w:rPr>
        <w:t>.</w:t>
      </w:r>
      <w:r w:rsidR="00EE79C5">
        <w:rPr>
          <w:bCs/>
          <w:iCs/>
          <w:sz w:val="22"/>
          <w:szCs w:val="22"/>
        </w:rPr>
        <w:t xml:space="preserve"> </w:t>
      </w:r>
      <w:r w:rsidR="00EE79C5" w:rsidRPr="00154AD7">
        <w:rPr>
          <w:bCs/>
          <w:iCs/>
          <w:sz w:val="22"/>
          <w:szCs w:val="22"/>
        </w:rPr>
        <w:t xml:space="preserve">Within the " </w:t>
      </w:r>
      <w:r w:rsidR="00EE79C5" w:rsidRPr="00154AD7">
        <w:rPr>
          <w:bCs/>
          <w:i/>
          <w:sz w:val="22"/>
          <w:szCs w:val="22"/>
        </w:rPr>
        <w:t>Family Law " discipline</w:t>
      </w:r>
      <w:r w:rsidR="00EE79C5" w:rsidRPr="00154AD7">
        <w:rPr>
          <w:bCs/>
          <w:iCs/>
          <w:sz w:val="22"/>
          <w:szCs w:val="22"/>
        </w:rPr>
        <w:t xml:space="preserve">, 1 conference and 2 seminars are dedicated exclusively to combating domestic violence, in which issues related to the provisional protection order, the appeal filed against it and the protection order are discussed. The topic is also addressed in other seminars, whose object is closely related, such as: the seminar with the theme of divorce due to the fault of the spouses - the possibility of the court to order the participation of the aggressor husband in psychological counselling programs, or the seminar dedicated to parental authority - violence between spouses, as a valid reason for ordering the exclusive exercise of judicial authority. Within the human sciences - the discipline " </w:t>
      </w:r>
      <w:r w:rsidR="00EE79C5" w:rsidRPr="00154AD7">
        <w:rPr>
          <w:bCs/>
          <w:i/>
          <w:sz w:val="22"/>
          <w:szCs w:val="22"/>
        </w:rPr>
        <w:t xml:space="preserve">Psychology </w:t>
      </w:r>
      <w:r w:rsidR="00EE79C5" w:rsidRPr="00154AD7">
        <w:rPr>
          <w:bCs/>
          <w:iCs/>
          <w:sz w:val="22"/>
          <w:szCs w:val="22"/>
        </w:rPr>
        <w:t>", the auditors of justice benefit from a conference with the theme "Domestic Violence", in which issues regarding its causes, the types of domestic violence and their specifics from a psychological perspective are addressed.</w:t>
      </w:r>
    </w:p>
    <w:p w14:paraId="17FD327A" w14:textId="77777777" w:rsidR="00A27888" w:rsidRDefault="00A27888" w:rsidP="00A27888">
      <w:pPr>
        <w:pStyle w:val="FootnoteText"/>
        <w:tabs>
          <w:tab w:val="right" w:pos="0"/>
          <w:tab w:val="left" w:pos="9639"/>
        </w:tabs>
        <w:jc w:val="both"/>
        <w:rPr>
          <w:sz w:val="22"/>
          <w:szCs w:val="22"/>
        </w:rPr>
      </w:pPr>
    </w:p>
    <w:p w14:paraId="6786202D" w14:textId="508593D4" w:rsidR="00A27888" w:rsidRDefault="00781472" w:rsidP="00A27888">
      <w:pPr>
        <w:pStyle w:val="FootnoteText"/>
        <w:tabs>
          <w:tab w:val="right" w:pos="0"/>
          <w:tab w:val="left" w:pos="9639"/>
        </w:tabs>
        <w:jc w:val="both"/>
        <w:rPr>
          <w:sz w:val="22"/>
          <w:szCs w:val="22"/>
        </w:rPr>
      </w:pPr>
      <w:r>
        <w:rPr>
          <w:sz w:val="22"/>
          <w:szCs w:val="22"/>
        </w:rPr>
        <w:t>13</w:t>
      </w:r>
      <w:r w:rsidR="00A27888">
        <w:rPr>
          <w:sz w:val="22"/>
          <w:szCs w:val="22"/>
        </w:rPr>
        <w:t xml:space="preserve">. </w:t>
      </w:r>
      <w:r w:rsidR="00EE79C5" w:rsidRPr="00154AD7">
        <w:rPr>
          <w:sz w:val="22"/>
          <w:szCs w:val="22"/>
        </w:rPr>
        <w:t>Social aid, family support allowance, minimum threshold of the child raising indemnity, accommodation allowance (adoption), social benefits for the disabled, monthly placement allowance, aid for refugee</w:t>
      </w:r>
      <w:r w:rsidR="00A27888">
        <w:rPr>
          <w:sz w:val="22"/>
          <w:szCs w:val="22"/>
        </w:rPr>
        <w:t>.</w:t>
      </w:r>
    </w:p>
    <w:p w14:paraId="1F8D3E7C" w14:textId="77777777" w:rsidR="00A27888" w:rsidRDefault="00A27888" w:rsidP="00A27888">
      <w:pPr>
        <w:pStyle w:val="FootnoteText"/>
        <w:tabs>
          <w:tab w:val="right" w:pos="0"/>
          <w:tab w:val="left" w:pos="9639"/>
        </w:tabs>
        <w:jc w:val="both"/>
        <w:rPr>
          <w:sz w:val="22"/>
          <w:szCs w:val="22"/>
        </w:rPr>
      </w:pPr>
    </w:p>
    <w:p w14:paraId="08A2D040" w14:textId="2F84FF7D" w:rsidR="00A27888" w:rsidRDefault="00FE6418" w:rsidP="00A27888">
      <w:pPr>
        <w:pStyle w:val="FootnoteText"/>
        <w:tabs>
          <w:tab w:val="right" w:pos="0"/>
          <w:tab w:val="left" w:pos="9639"/>
        </w:tabs>
        <w:jc w:val="both"/>
        <w:rPr>
          <w:sz w:val="22"/>
          <w:szCs w:val="22"/>
        </w:rPr>
      </w:pPr>
      <w:r>
        <w:rPr>
          <w:sz w:val="22"/>
          <w:szCs w:val="22"/>
        </w:rPr>
        <w:t>14</w:t>
      </w:r>
      <w:r w:rsidR="00A27888">
        <w:rPr>
          <w:sz w:val="22"/>
          <w:szCs w:val="22"/>
        </w:rPr>
        <w:t xml:space="preserve">. </w:t>
      </w:r>
      <w:r w:rsidR="00EE79C5" w:rsidRPr="00154AD7">
        <w:rPr>
          <w:sz w:val="22"/>
          <w:szCs w:val="22"/>
        </w:rPr>
        <w:t>MII will represent the main supporting instrument/program for preventing and combating poverty and the risk of social exclusion, being granted from the State budget, as a difference between the level of benefits regulated by the law and the net income of the family or single person, earned during a certain period of time. The implementation of the Minimum Inclusion Income (MII) is currently postponed.</w:t>
      </w:r>
    </w:p>
    <w:p w14:paraId="691BD960" w14:textId="77777777" w:rsidR="00A27888" w:rsidRDefault="00A27888" w:rsidP="00A27888">
      <w:pPr>
        <w:pStyle w:val="FootnoteText"/>
        <w:tabs>
          <w:tab w:val="right" w:pos="0"/>
          <w:tab w:val="left" w:pos="9639"/>
        </w:tabs>
        <w:jc w:val="both"/>
        <w:rPr>
          <w:sz w:val="22"/>
          <w:szCs w:val="22"/>
        </w:rPr>
      </w:pPr>
    </w:p>
    <w:p w14:paraId="6C6F2591" w14:textId="1C4A1F3A" w:rsidR="00EE79C5" w:rsidRPr="00A27888" w:rsidRDefault="00080586" w:rsidP="00A27888">
      <w:pPr>
        <w:pStyle w:val="FootnoteText"/>
        <w:tabs>
          <w:tab w:val="right" w:pos="0"/>
          <w:tab w:val="left" w:pos="9639"/>
        </w:tabs>
        <w:jc w:val="both"/>
        <w:rPr>
          <w:sz w:val="22"/>
          <w:szCs w:val="22"/>
          <w:lang w:val="en-US"/>
        </w:rPr>
      </w:pPr>
      <w:r>
        <w:rPr>
          <w:sz w:val="22"/>
          <w:szCs w:val="22"/>
        </w:rPr>
        <w:t>15</w:t>
      </w:r>
      <w:r w:rsidR="00A27888">
        <w:rPr>
          <w:sz w:val="22"/>
          <w:szCs w:val="22"/>
        </w:rPr>
        <w:t xml:space="preserve">. </w:t>
      </w:r>
      <w:r w:rsidR="00EE79C5" w:rsidRPr="00154AD7">
        <w:rPr>
          <w:sz w:val="22"/>
          <w:szCs w:val="22"/>
        </w:rPr>
        <w:t>The " Educated Romania " project defines the following ten priority areas: (1) Teaching career and professional pathway, (2) Management and governance of the education system, (3) Financing of the education system, (4) Infrastructure of the education system, (5) Competency-based curriculum and assessment, (6) Quality inclusive education for all children, (7) Functional literacy, (8) Promotion of STEAM education, (9) Digitisation, (10) Resilience. These areas represent the major action tracks to transform the education system and overcome existing challenges.</w:t>
      </w:r>
    </w:p>
    <w:p w14:paraId="7F0128E1" w14:textId="77777777" w:rsidR="00A27888" w:rsidRDefault="00A27888" w:rsidP="00A27888">
      <w:pPr>
        <w:pStyle w:val="ListParagraph"/>
        <w:spacing w:line="240" w:lineRule="auto"/>
        <w:ind w:left="0"/>
        <w:jc w:val="both"/>
        <w:rPr>
          <w:sz w:val="22"/>
          <w:szCs w:val="22"/>
        </w:rPr>
      </w:pPr>
    </w:p>
    <w:p w14:paraId="6A8A2DA8" w14:textId="629CAC1D" w:rsidR="00EE79C5" w:rsidRPr="00EE79C5" w:rsidRDefault="00080586" w:rsidP="00A27888">
      <w:pPr>
        <w:pStyle w:val="ListParagraph"/>
        <w:spacing w:line="240" w:lineRule="auto"/>
        <w:ind w:left="0"/>
        <w:jc w:val="both"/>
        <w:rPr>
          <w:sz w:val="22"/>
          <w:szCs w:val="22"/>
        </w:rPr>
      </w:pPr>
      <w:r>
        <w:rPr>
          <w:sz w:val="22"/>
          <w:szCs w:val="22"/>
        </w:rPr>
        <w:t>16</w:t>
      </w:r>
      <w:r w:rsidR="00A27888">
        <w:rPr>
          <w:sz w:val="22"/>
          <w:szCs w:val="22"/>
        </w:rPr>
        <w:t xml:space="preserve">. </w:t>
      </w:r>
      <w:r w:rsidR="00EE79C5" w:rsidRPr="00EE79C5">
        <w:rPr>
          <w:sz w:val="22"/>
          <w:szCs w:val="22"/>
        </w:rPr>
        <w:t xml:space="preserve">The </w:t>
      </w:r>
      <w:r w:rsidR="00EE79C5" w:rsidRPr="00EE79C5">
        <w:rPr>
          <w:i/>
          <w:iCs/>
          <w:sz w:val="22"/>
          <w:szCs w:val="22"/>
        </w:rPr>
        <w:t>Education</w:t>
      </w:r>
      <w:r w:rsidR="00EE79C5" w:rsidRPr="00EE79C5">
        <w:rPr>
          <w:sz w:val="22"/>
          <w:szCs w:val="22"/>
        </w:rPr>
        <w:t xml:space="preserve"> component of the PRRN comprises seven reforms, to which a total of 18 investments are associated, aiming to: (1) develop an early childhood education and care system that is unified, supportive inclusive and  of quality, capable of improving the access and participation of children aged 0-6 years, based on an effective inter-institutional cooperation and inter-sectoral coordination mechanism; (2) reform compulsory education by increasing school autonomy to prevent and reduce early school leaving, through social inclusion programmes and ensuring equal opportunities; (3) creation of a comprehensive vocational route for higher technical education; (4) realize the digitalization of the education process, including through changes to the legal framework, to enable integrated approaches and improved digital skills for both pupils and teachers; (5) modernise school and university infrastructure in urban and rural areas, including by amending and streamlining the regulatory framework to ensure safety and quality standards that are also environmentally friendly; and (6) reform the governance of the pre-university </w:t>
      </w:r>
      <w:r w:rsidR="00EE79C5" w:rsidRPr="00EE79C5">
        <w:rPr>
          <w:sz w:val="22"/>
          <w:szCs w:val="22"/>
        </w:rPr>
        <w:lastRenderedPageBreak/>
        <w:t>education system and professionalize management, with increased autonomy for schools to ensure stability, coherence and competence in their organisation.</w:t>
      </w:r>
    </w:p>
    <w:p w14:paraId="520671DA" w14:textId="77777777" w:rsidR="00A27888" w:rsidRDefault="00A27888" w:rsidP="00A27888">
      <w:pPr>
        <w:pStyle w:val="ListParagraph1"/>
        <w:shd w:val="clear" w:color="auto" w:fill="FFFFFF"/>
        <w:tabs>
          <w:tab w:val="left" w:pos="709"/>
        </w:tabs>
        <w:suppressAutoHyphens w:val="0"/>
        <w:autoSpaceDE w:val="0"/>
        <w:autoSpaceDN w:val="0"/>
        <w:adjustRightInd w:val="0"/>
        <w:spacing w:line="240" w:lineRule="auto"/>
        <w:ind w:left="0"/>
        <w:contextualSpacing w:val="0"/>
        <w:jc w:val="both"/>
        <w:rPr>
          <w:sz w:val="22"/>
          <w:szCs w:val="22"/>
        </w:rPr>
      </w:pPr>
    </w:p>
    <w:p w14:paraId="5C4AA0A5" w14:textId="2F83CFA5" w:rsidR="00A27888" w:rsidRDefault="00080586" w:rsidP="00A27888">
      <w:pPr>
        <w:pStyle w:val="ListParagraph1"/>
        <w:shd w:val="clear" w:color="auto" w:fill="FFFFFF"/>
        <w:tabs>
          <w:tab w:val="left" w:pos="709"/>
        </w:tabs>
        <w:suppressAutoHyphens w:val="0"/>
        <w:autoSpaceDE w:val="0"/>
        <w:autoSpaceDN w:val="0"/>
        <w:adjustRightInd w:val="0"/>
        <w:spacing w:line="240" w:lineRule="auto"/>
        <w:ind w:left="0"/>
        <w:contextualSpacing w:val="0"/>
        <w:jc w:val="both"/>
        <w:rPr>
          <w:sz w:val="22"/>
          <w:szCs w:val="22"/>
        </w:rPr>
      </w:pPr>
      <w:r>
        <w:rPr>
          <w:sz w:val="22"/>
          <w:szCs w:val="22"/>
        </w:rPr>
        <w:t>18</w:t>
      </w:r>
      <w:r w:rsidR="00A27888">
        <w:rPr>
          <w:sz w:val="22"/>
          <w:szCs w:val="22"/>
        </w:rPr>
        <w:t xml:space="preserve">. </w:t>
      </w:r>
      <w:r w:rsidR="00EE79C5" w:rsidRPr="00154AD7">
        <w:rPr>
          <w:sz w:val="22"/>
          <w:szCs w:val="22"/>
        </w:rPr>
        <w:t>The project benefits from a loan of €100 million and runs from 2022-2027. The project aims to directly benefit 17,500 pupils and teachers in approximately 55 schools (approximately 95 buildings are targeted) through structural and functional improvements to school infrastructure and classrooms. Through the interventions planned, the beneficiary schools will provide universal access for disabled pupils. It is envisaged that this project can form the basis for further investment in educational infrastructure through other funding sources.</w:t>
      </w:r>
    </w:p>
    <w:p w14:paraId="3601BBB9" w14:textId="77777777" w:rsidR="00A27888" w:rsidRDefault="00A27888" w:rsidP="00A27888">
      <w:pPr>
        <w:pStyle w:val="ListParagraph1"/>
        <w:shd w:val="clear" w:color="auto" w:fill="FFFFFF"/>
        <w:tabs>
          <w:tab w:val="left" w:pos="709"/>
        </w:tabs>
        <w:suppressAutoHyphens w:val="0"/>
        <w:autoSpaceDE w:val="0"/>
        <w:autoSpaceDN w:val="0"/>
        <w:adjustRightInd w:val="0"/>
        <w:spacing w:line="240" w:lineRule="auto"/>
        <w:ind w:left="0"/>
        <w:contextualSpacing w:val="0"/>
        <w:jc w:val="both"/>
        <w:rPr>
          <w:sz w:val="22"/>
          <w:szCs w:val="22"/>
        </w:rPr>
      </w:pPr>
    </w:p>
    <w:p w14:paraId="7B8B839E" w14:textId="6EC1B120" w:rsidR="00EE79C5" w:rsidRPr="007A65A1" w:rsidRDefault="00080586" w:rsidP="00A27888">
      <w:pPr>
        <w:pStyle w:val="ListParagraph1"/>
        <w:shd w:val="clear" w:color="auto" w:fill="FFFFFF"/>
        <w:tabs>
          <w:tab w:val="left" w:pos="709"/>
        </w:tabs>
        <w:suppressAutoHyphens w:val="0"/>
        <w:autoSpaceDE w:val="0"/>
        <w:autoSpaceDN w:val="0"/>
        <w:adjustRightInd w:val="0"/>
        <w:spacing w:line="240" w:lineRule="auto"/>
        <w:ind w:left="0"/>
        <w:contextualSpacing w:val="0"/>
        <w:jc w:val="both"/>
        <w:rPr>
          <w:sz w:val="22"/>
          <w:szCs w:val="22"/>
        </w:rPr>
      </w:pPr>
      <w:r>
        <w:rPr>
          <w:sz w:val="22"/>
          <w:szCs w:val="22"/>
        </w:rPr>
        <w:t>19</w:t>
      </w:r>
      <w:r w:rsidR="00A27888">
        <w:rPr>
          <w:sz w:val="22"/>
          <w:szCs w:val="22"/>
        </w:rPr>
        <w:t xml:space="preserve">. </w:t>
      </w:r>
      <w:r w:rsidR="00EE79C5" w:rsidRPr="00154AD7">
        <w:rPr>
          <w:sz w:val="22"/>
          <w:szCs w:val="22"/>
          <w:lang w:val="en-US"/>
        </w:rPr>
        <w:t>The initial assessment form for the situation of violence against children, plan of rehabilitation and social reintegration for the child victim of violence and plan of rehabilitation and social reintegration for the child offender in cases that are not crimes</w:t>
      </w:r>
      <w:r w:rsidR="00EE79C5">
        <w:rPr>
          <w:sz w:val="22"/>
          <w:szCs w:val="22"/>
          <w:lang w:val="en-US"/>
        </w:rPr>
        <w:t>.</w:t>
      </w:r>
    </w:p>
    <w:p w14:paraId="32453551" w14:textId="77777777" w:rsidR="00493A3F" w:rsidRDefault="00E77623"/>
    <w:sectPr w:rsidR="00493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7477"/>
    <w:multiLevelType w:val="hybridMultilevel"/>
    <w:tmpl w:val="95684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D3169F"/>
    <w:multiLevelType w:val="hybridMultilevel"/>
    <w:tmpl w:val="6E74E184"/>
    <w:lvl w:ilvl="0" w:tplc="13666FE0">
      <w:start w:val="1"/>
      <w:numFmt w:val="lowerRoman"/>
      <w:lvlText w:val="%1."/>
      <w:lvlJc w:val="left"/>
      <w:pPr>
        <w:ind w:left="720" w:hanging="360"/>
      </w:pPr>
      <w:rPr>
        <w:rFonts w:hint="default"/>
      </w:rPr>
    </w:lvl>
    <w:lvl w:ilvl="1" w:tplc="BCF8F048">
      <w:start w:val="11"/>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8C093F"/>
    <w:multiLevelType w:val="hybridMultilevel"/>
    <w:tmpl w:val="488A5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2474957">
    <w:abstractNumId w:val="2"/>
  </w:num>
  <w:num w:numId="2" w16cid:durableId="1277521700">
    <w:abstractNumId w:val="1"/>
  </w:num>
  <w:num w:numId="3" w16cid:durableId="2117140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9C5"/>
    <w:rsid w:val="00080586"/>
    <w:rsid w:val="00200B54"/>
    <w:rsid w:val="00263DE2"/>
    <w:rsid w:val="00325391"/>
    <w:rsid w:val="00343618"/>
    <w:rsid w:val="003733ED"/>
    <w:rsid w:val="00427A41"/>
    <w:rsid w:val="005012FB"/>
    <w:rsid w:val="00616419"/>
    <w:rsid w:val="00781472"/>
    <w:rsid w:val="00A27888"/>
    <w:rsid w:val="00AC6C32"/>
    <w:rsid w:val="00BA37C8"/>
    <w:rsid w:val="00BC1252"/>
    <w:rsid w:val="00D839D6"/>
    <w:rsid w:val="00E77623"/>
    <w:rsid w:val="00EE79C5"/>
    <w:rsid w:val="00FE64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99F7"/>
  <w15:docId w15:val="{739EE347-773C-49C4-AE40-147E6C3C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9C5"/>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3,Bullet 1,Bullet Points,Colorful List - Accent 11,Dot pt,F5 List Paragraph,Indicator Text,Issue Action POC,List Paragraph Char Char Char,List Paragraph2,MAIN CONTENT,Normal numbered,Numbered Para 1,POCG Table Text,LISTA,L"/>
    <w:basedOn w:val="Normal"/>
    <w:link w:val="ListParagraphChar"/>
    <w:uiPriority w:val="34"/>
    <w:qFormat/>
    <w:rsid w:val="00EE79C5"/>
    <w:pPr>
      <w:ind w:left="720"/>
      <w:contextualSpacing/>
    </w:pPr>
  </w:style>
  <w:style w:type="paragraph" w:styleId="FootnoteText">
    <w:name w:val="footnote text"/>
    <w:aliases w:val="5_G,Fußnotentext Char,ft,Footnote Text Char Char, Char, Char Char Char,Char,Caracter Char Char,Caracter Char,Caracter,Caracter1"/>
    <w:basedOn w:val="Normal"/>
    <w:link w:val="FootnoteTextChar"/>
    <w:uiPriority w:val="99"/>
    <w:unhideWhenUsed/>
    <w:rsid w:val="00EE79C5"/>
    <w:pPr>
      <w:spacing w:line="240" w:lineRule="auto"/>
    </w:pPr>
  </w:style>
  <w:style w:type="character" w:customStyle="1" w:styleId="FootnoteTextChar">
    <w:name w:val="Footnote Text Char"/>
    <w:aliases w:val="5_G Char,Fußnotentext Char Char,ft Char,Footnote Text Char Char Char, Char Char, Char Char Char Char,Char Char,Caracter Char Char Char,Caracter Char Char1,Caracter Char1,Caracter1 Char"/>
    <w:basedOn w:val="DefaultParagraphFont"/>
    <w:link w:val="FootnoteText"/>
    <w:uiPriority w:val="99"/>
    <w:rsid w:val="00EE79C5"/>
    <w:rPr>
      <w:rFonts w:ascii="Times New Roman" w:eastAsia="Times New Roman" w:hAnsi="Times New Roman" w:cs="Times New Roman"/>
      <w:sz w:val="20"/>
      <w:szCs w:val="20"/>
      <w:lang w:val="en-GB"/>
    </w:rPr>
  </w:style>
  <w:style w:type="character" w:styleId="Hyperlink">
    <w:name w:val="Hyperlink"/>
    <w:uiPriority w:val="99"/>
    <w:unhideWhenUsed/>
    <w:rsid w:val="00EE79C5"/>
    <w:rPr>
      <w:color w:val="0000FF"/>
      <w:u w:val="single"/>
    </w:rPr>
  </w:style>
  <w:style w:type="character" w:customStyle="1" w:styleId="ListParagraphChar">
    <w:name w:val="List Paragraph Char"/>
    <w:aliases w:val="3 Char,Bullet 1 Char,Bullet Points Char,Colorful List - Accent 11 Char,Dot pt Char,F5 List Paragraph Char,Indicator Text Char,Issue Action POC Char,List Paragraph Char Char Char Char,List Paragraph1 Char,List Paragraph2 Char,L Char"/>
    <w:link w:val="ListParagraph1"/>
    <w:uiPriority w:val="34"/>
    <w:qFormat/>
    <w:locked/>
    <w:rsid w:val="00EE79C5"/>
    <w:rPr>
      <w:rFonts w:ascii="Times New Roman" w:eastAsia="Times New Roman" w:hAnsi="Times New Roman" w:cs="Times New Roman"/>
      <w:sz w:val="20"/>
      <w:szCs w:val="20"/>
      <w:lang w:val="en-GB"/>
    </w:rPr>
  </w:style>
  <w:style w:type="paragraph" w:styleId="EndnoteText">
    <w:name w:val="endnote text"/>
    <w:basedOn w:val="Normal"/>
    <w:link w:val="EndnoteTextChar"/>
    <w:uiPriority w:val="99"/>
    <w:semiHidden/>
    <w:unhideWhenUsed/>
    <w:rsid w:val="00EE79C5"/>
    <w:pPr>
      <w:spacing w:line="240" w:lineRule="auto"/>
    </w:pPr>
  </w:style>
  <w:style w:type="character" w:customStyle="1" w:styleId="EndnoteTextChar">
    <w:name w:val="Endnote Text Char"/>
    <w:basedOn w:val="DefaultParagraphFont"/>
    <w:link w:val="EndnoteText"/>
    <w:uiPriority w:val="99"/>
    <w:semiHidden/>
    <w:rsid w:val="00EE79C5"/>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EE79C5"/>
    <w:rPr>
      <w:vertAlign w:val="superscript"/>
    </w:rPr>
  </w:style>
  <w:style w:type="character" w:customStyle="1" w:styleId="y2iqfc">
    <w:name w:val="y2iqfc"/>
    <w:basedOn w:val="DefaultParagraphFont"/>
    <w:rsid w:val="00EE79C5"/>
  </w:style>
  <w:style w:type="paragraph" w:styleId="HTMLPreformatted">
    <w:name w:val="HTML Preformatted"/>
    <w:basedOn w:val="Normal"/>
    <w:link w:val="HTMLPreformattedChar"/>
    <w:uiPriority w:val="99"/>
    <w:unhideWhenUsed/>
    <w:rsid w:val="00EE7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ro-RO" w:eastAsia="ro-RO"/>
    </w:rPr>
  </w:style>
  <w:style w:type="character" w:customStyle="1" w:styleId="HTMLPreformattedChar">
    <w:name w:val="HTML Preformatted Char"/>
    <w:basedOn w:val="DefaultParagraphFont"/>
    <w:link w:val="HTMLPreformatted"/>
    <w:uiPriority w:val="99"/>
    <w:rsid w:val="00EE79C5"/>
    <w:rPr>
      <w:rFonts w:ascii="Courier New" w:eastAsia="Times New Roman" w:hAnsi="Courier New" w:cs="Courier New"/>
      <w:sz w:val="20"/>
      <w:szCs w:val="20"/>
      <w:lang w:val="ro-RO" w:eastAsia="ro-RO"/>
    </w:rPr>
  </w:style>
  <w:style w:type="paragraph" w:styleId="ListParagraph">
    <w:name w:val="List Paragraph"/>
    <w:basedOn w:val="Normal"/>
    <w:uiPriority w:val="34"/>
    <w:qFormat/>
    <w:rsid w:val="00EE79C5"/>
    <w:pPr>
      <w:ind w:left="720"/>
      <w:contextualSpacing/>
    </w:pPr>
  </w:style>
  <w:style w:type="paragraph" w:styleId="Revision">
    <w:name w:val="Revision"/>
    <w:hidden/>
    <w:uiPriority w:val="99"/>
    <w:semiHidden/>
    <w:rsid w:val="00263DE2"/>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c_ABUZ" TargetMode="External"/><Relationship Id="rId5" Type="http://schemas.openxmlformats.org/officeDocument/2006/relationships/hyperlink" Target="https://www.cncd.ro/wp-content/uploads/2020/12/Raport_de_activitate_CNCD_201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2336</Words>
  <Characters>13318</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Catrinel Brumar</dc:creator>
  <cp:lastModifiedBy>Sumiko</cp:lastModifiedBy>
  <cp:revision>2</cp:revision>
  <dcterms:created xsi:type="dcterms:W3CDTF">2023-04-06T13:12:00Z</dcterms:created>
  <dcterms:modified xsi:type="dcterms:W3CDTF">2023-04-06T13:12:00Z</dcterms:modified>
</cp:coreProperties>
</file>