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3CF346CA" w:rsidR="00A02BFB" w:rsidRPr="00E06AB0"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2268C7">
        <w:rPr>
          <w:lang w:val="fr-CH"/>
        </w:rPr>
        <w:t>Mali</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060690">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060690">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060690">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407CF6B3" w14:textId="56D724FC" w:rsidR="009B3476" w:rsidRPr="00A02BFB" w:rsidRDefault="009B3476" w:rsidP="008B4D7D">
            <w:pPr>
              <w:spacing w:before="40" w:after="120"/>
              <w:ind w:right="113"/>
            </w:pPr>
            <w:r w:rsidRPr="00A02BFB">
              <w:t>ICERD (</w:t>
            </w:r>
            <w:r w:rsidR="00E06AB0">
              <w:t>1974</w:t>
            </w:r>
            <w:r w:rsidRPr="00A02BFB">
              <w:t>)</w:t>
            </w:r>
          </w:p>
          <w:p w14:paraId="151113C9" w14:textId="56EB0D25" w:rsidR="009B3476" w:rsidRDefault="009B3476" w:rsidP="008B4D7D">
            <w:pPr>
              <w:spacing w:before="40" w:after="120"/>
              <w:ind w:right="113"/>
            </w:pPr>
            <w:r w:rsidRPr="00A02BFB">
              <w:t>ICESCR (</w:t>
            </w:r>
            <w:r w:rsidR="00362560">
              <w:t>1974</w:t>
            </w:r>
            <w:r w:rsidRPr="00A02BFB">
              <w:t>)</w:t>
            </w:r>
          </w:p>
          <w:p w14:paraId="4B30C8EE" w14:textId="56E8B264" w:rsidR="009B3476" w:rsidRPr="00A02BFB" w:rsidRDefault="009B3476" w:rsidP="008B4D7D">
            <w:pPr>
              <w:spacing w:before="40" w:after="120"/>
              <w:ind w:right="113"/>
            </w:pPr>
            <w:r>
              <w:t>ICCPR (</w:t>
            </w:r>
            <w:r w:rsidR="00561E5B">
              <w:t>1974</w:t>
            </w:r>
            <w:r>
              <w:t>)</w:t>
            </w:r>
          </w:p>
          <w:p w14:paraId="75732A10" w14:textId="74810D00" w:rsidR="009B3476" w:rsidRPr="00A02BFB" w:rsidRDefault="009B3476" w:rsidP="008B4D7D">
            <w:pPr>
              <w:spacing w:before="40" w:after="120"/>
              <w:ind w:right="113"/>
            </w:pPr>
            <w:r w:rsidRPr="00A02BFB">
              <w:t>CEDAW (</w:t>
            </w:r>
            <w:r w:rsidR="000732F6">
              <w:t>1985</w:t>
            </w:r>
            <w:r w:rsidRPr="00A02BFB">
              <w:t>)</w:t>
            </w:r>
          </w:p>
          <w:p w14:paraId="5E219CD9" w14:textId="605A5B5A" w:rsidR="009B3476" w:rsidRPr="00A02BFB" w:rsidRDefault="009B3476" w:rsidP="008B4D7D">
            <w:pPr>
              <w:spacing w:before="40" w:after="120"/>
              <w:ind w:right="113"/>
            </w:pPr>
            <w:r w:rsidRPr="00A02BFB">
              <w:t>CAT (</w:t>
            </w:r>
            <w:r w:rsidR="001D6322">
              <w:t>1999</w:t>
            </w:r>
            <w:r w:rsidRPr="00A02BFB">
              <w:t>)</w:t>
            </w:r>
          </w:p>
          <w:p w14:paraId="4A8B268B" w14:textId="70843273" w:rsidR="009B3476" w:rsidRPr="00A02BFB" w:rsidRDefault="009B3476" w:rsidP="008B4D7D">
            <w:pPr>
              <w:spacing w:before="40" w:after="120"/>
              <w:ind w:right="113"/>
            </w:pPr>
            <w:r w:rsidRPr="00A02BFB">
              <w:t>OP-CAT (</w:t>
            </w:r>
            <w:r w:rsidR="00806993">
              <w:t>2005</w:t>
            </w:r>
            <w:r w:rsidRPr="00A02BFB">
              <w:t>)</w:t>
            </w:r>
          </w:p>
          <w:p w14:paraId="57528A0C" w14:textId="23AE1CA0" w:rsidR="009B3476" w:rsidRPr="00A02BFB" w:rsidRDefault="009B3476" w:rsidP="008B4D7D">
            <w:pPr>
              <w:spacing w:before="40" w:after="120"/>
              <w:ind w:right="113"/>
            </w:pPr>
            <w:r w:rsidRPr="00A02BFB">
              <w:t>CRC (</w:t>
            </w:r>
            <w:r w:rsidR="004A317E">
              <w:t>1990</w:t>
            </w:r>
            <w:r w:rsidRPr="00A02BFB">
              <w:t>)</w:t>
            </w:r>
          </w:p>
          <w:p w14:paraId="1486C940" w14:textId="0E053BBD" w:rsidR="009B3476" w:rsidRPr="00A02BFB" w:rsidRDefault="009B3476" w:rsidP="008B4D7D">
            <w:pPr>
              <w:spacing w:before="40" w:after="120"/>
              <w:ind w:right="113"/>
            </w:pPr>
            <w:r w:rsidRPr="00A02BFB">
              <w:t>OP-CRC-AC (</w:t>
            </w:r>
            <w:r w:rsidR="004D0A1C">
              <w:t>2002</w:t>
            </w:r>
            <w:r w:rsidRPr="00A02BFB">
              <w:t>)</w:t>
            </w:r>
          </w:p>
          <w:p w14:paraId="11E35C64" w14:textId="40460AE0" w:rsidR="009B3476" w:rsidRPr="00A02BFB" w:rsidRDefault="009B3476" w:rsidP="008B4D7D">
            <w:pPr>
              <w:spacing w:before="40" w:after="120"/>
              <w:ind w:right="113"/>
            </w:pPr>
            <w:r w:rsidRPr="00A02BFB">
              <w:t>OP-CRC-SC (</w:t>
            </w:r>
            <w:r w:rsidR="00D6481E">
              <w:t>2002</w:t>
            </w:r>
            <w:r w:rsidRPr="00A02BFB">
              <w:t>)</w:t>
            </w:r>
          </w:p>
          <w:p w14:paraId="5A5C2E63" w14:textId="430697D3" w:rsidR="009B3476" w:rsidRPr="00A02BFB" w:rsidRDefault="009B3476" w:rsidP="008B4D7D">
            <w:pPr>
              <w:spacing w:before="40" w:after="120"/>
              <w:ind w:right="113"/>
            </w:pPr>
            <w:r w:rsidRPr="00A02BFB">
              <w:t>ICRMW (</w:t>
            </w:r>
            <w:r w:rsidR="00A34472">
              <w:t>2003</w:t>
            </w:r>
            <w:r w:rsidRPr="00A02BFB">
              <w:t>)</w:t>
            </w:r>
          </w:p>
          <w:p w14:paraId="1D6C5F70" w14:textId="1DC156CC" w:rsidR="009B3476" w:rsidRPr="00A02BFB" w:rsidRDefault="009B3476" w:rsidP="008B4D7D">
            <w:pPr>
              <w:spacing w:before="40" w:after="120"/>
              <w:ind w:right="113"/>
            </w:pPr>
            <w:r w:rsidRPr="00A02BFB">
              <w:t>CRPD (</w:t>
            </w:r>
            <w:r w:rsidR="00740458">
              <w:t>2008</w:t>
            </w:r>
            <w:r w:rsidRPr="00A02BFB">
              <w:t>)</w:t>
            </w:r>
          </w:p>
          <w:p w14:paraId="61960C80" w14:textId="4DC70853" w:rsidR="009B3476" w:rsidRPr="00A02BFB" w:rsidRDefault="009B3476" w:rsidP="008B4D7D">
            <w:pPr>
              <w:spacing w:before="40" w:after="120"/>
              <w:ind w:right="113"/>
            </w:pPr>
            <w:r w:rsidRPr="00A02BFB">
              <w:t>ICPPED (</w:t>
            </w:r>
            <w:r w:rsidR="00481052">
              <w:t>2009</w:t>
            </w:r>
            <w:r w:rsidRPr="00A02BFB">
              <w:t>)</w:t>
            </w:r>
          </w:p>
        </w:tc>
        <w:tc>
          <w:tcPr>
            <w:tcW w:w="3213" w:type="dxa"/>
            <w:shd w:val="clear" w:color="auto" w:fill="auto"/>
          </w:tcPr>
          <w:p w14:paraId="11478764" w14:textId="401C7ED9" w:rsidR="009B3476" w:rsidRPr="00A02BFB" w:rsidRDefault="00A34472" w:rsidP="008B4D7D">
            <w:pPr>
              <w:spacing w:before="40" w:after="120"/>
              <w:ind w:right="113"/>
            </w:pPr>
            <w:r w:rsidRPr="00A02BFB">
              <w:t>ICCPR-OP 2</w:t>
            </w:r>
          </w:p>
        </w:tc>
      </w:tr>
      <w:tr w:rsidR="009B3476" w:rsidRPr="00A02BFB" w14:paraId="54551BAC" w14:textId="77777777" w:rsidTr="00060690">
        <w:tc>
          <w:tcPr>
            <w:tcW w:w="3212" w:type="dxa"/>
            <w:tcBorders>
              <w:bottom w:val="single" w:sz="12" w:space="0" w:color="auto"/>
            </w:tcBorders>
            <w:shd w:val="clear" w:color="auto" w:fill="auto"/>
          </w:tcPr>
          <w:p w14:paraId="2B8945AB" w14:textId="63D8F8F7" w:rsidR="009B3476" w:rsidRPr="00A02BFB" w:rsidRDefault="009B3476" w:rsidP="008B4D7D">
            <w:pPr>
              <w:spacing w:before="40" w:after="120"/>
              <w:ind w:right="113"/>
            </w:pPr>
            <w:r w:rsidRPr="008B4D7D">
              <w:rPr>
                <w:i/>
              </w:rPr>
              <w:t xml:space="preserve">Complaints procedures, inquiries </w:t>
            </w:r>
            <w:r w:rsidR="00060690">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4DACE0DC" w14:textId="7E3928BB" w:rsidR="009B3476" w:rsidRPr="00A02BFB" w:rsidRDefault="009B3476" w:rsidP="008B4D7D">
            <w:pPr>
              <w:spacing w:before="40" w:after="120"/>
              <w:ind w:right="113"/>
            </w:pPr>
            <w:r w:rsidRPr="00A02BFB">
              <w:t>ICCPR-OP 1 (</w:t>
            </w:r>
            <w:r w:rsidR="0099121F">
              <w:t>2001</w:t>
            </w:r>
            <w:r w:rsidRPr="00A02BFB">
              <w:t>)</w:t>
            </w:r>
          </w:p>
          <w:p w14:paraId="7C3B2FBC" w14:textId="2EDDCBF9" w:rsidR="009B3476" w:rsidRPr="00A02BFB" w:rsidRDefault="009B3476" w:rsidP="008B4D7D">
            <w:pPr>
              <w:spacing w:before="40" w:after="120"/>
              <w:ind w:right="113"/>
            </w:pPr>
            <w:r w:rsidRPr="00A02BFB">
              <w:t>OP-CEDAW, art. 8 (</w:t>
            </w:r>
            <w:r w:rsidR="009C1995">
              <w:t>2000</w:t>
            </w:r>
            <w:r w:rsidRPr="00A02BFB">
              <w:t>)</w:t>
            </w:r>
          </w:p>
          <w:p w14:paraId="05A33B02" w14:textId="5D4373BC" w:rsidR="009B3476" w:rsidRPr="00A02BFB" w:rsidRDefault="009B3476" w:rsidP="008B4D7D">
            <w:pPr>
              <w:spacing w:before="40" w:after="120"/>
              <w:ind w:right="113"/>
            </w:pPr>
            <w:r w:rsidRPr="00A02BFB">
              <w:t>CAT, art. 20 (</w:t>
            </w:r>
            <w:r w:rsidR="00F06954">
              <w:t>1999</w:t>
            </w:r>
            <w:r w:rsidRPr="00A02BFB">
              <w:t>)</w:t>
            </w:r>
          </w:p>
          <w:p w14:paraId="7ADD16D2" w14:textId="1306DE2C" w:rsidR="009B3476" w:rsidRPr="00A02BFB" w:rsidRDefault="009B3476" w:rsidP="008B4D7D">
            <w:pPr>
              <w:spacing w:before="40" w:after="120"/>
              <w:ind w:right="113"/>
            </w:pPr>
            <w:r w:rsidRPr="00A02BFB">
              <w:t>OP-CRPD, art. 6 (</w:t>
            </w:r>
            <w:r w:rsidR="00FD390D">
              <w:t>2008</w:t>
            </w:r>
            <w:r w:rsidRPr="00A02BFB">
              <w:t>)</w:t>
            </w:r>
          </w:p>
          <w:p w14:paraId="0EC17C44" w14:textId="7920A345" w:rsidR="009B3476" w:rsidRPr="00A02BFB" w:rsidRDefault="009B3476" w:rsidP="008B4D7D">
            <w:pPr>
              <w:spacing w:before="40" w:after="120"/>
              <w:ind w:right="113"/>
            </w:pPr>
            <w:r w:rsidRPr="00A02BFB">
              <w:t>ICPPED, arts. 31 and 32 (</w:t>
            </w:r>
            <w:r w:rsidR="003F4790">
              <w:t>2010</w:t>
            </w:r>
            <w:r w:rsidRPr="00A02BFB">
              <w:t>)</w:t>
            </w:r>
          </w:p>
        </w:tc>
        <w:tc>
          <w:tcPr>
            <w:tcW w:w="3213" w:type="dxa"/>
            <w:tcBorders>
              <w:bottom w:val="single" w:sz="12" w:space="0" w:color="auto"/>
            </w:tcBorders>
            <w:shd w:val="clear" w:color="auto" w:fill="auto"/>
          </w:tcPr>
          <w:p w14:paraId="20158C9C" w14:textId="77777777" w:rsidR="009B3476" w:rsidRDefault="00E06AB0" w:rsidP="008B4D7D">
            <w:pPr>
              <w:spacing w:before="40" w:after="120"/>
              <w:ind w:right="113"/>
            </w:pPr>
            <w:r w:rsidRPr="00A02BFB">
              <w:t>ICERD, art. 14</w:t>
            </w:r>
          </w:p>
          <w:p w14:paraId="75BFF577" w14:textId="0E16BFAB" w:rsidR="00362560" w:rsidRDefault="00362560" w:rsidP="00362560">
            <w:pPr>
              <w:spacing w:before="40" w:after="120"/>
              <w:ind w:right="113"/>
            </w:pPr>
            <w:r w:rsidRPr="00A02BFB">
              <w:t>OP-ICESCR (</w:t>
            </w:r>
            <w:r>
              <w:t>signature, 2009</w:t>
            </w:r>
            <w:r w:rsidRPr="00A02BFB">
              <w:t>)</w:t>
            </w:r>
          </w:p>
          <w:p w14:paraId="19C3B540" w14:textId="24A452BE" w:rsidR="006B5D69" w:rsidRDefault="006B5D69" w:rsidP="00362560">
            <w:pPr>
              <w:spacing w:before="40" w:after="120"/>
              <w:ind w:right="113"/>
            </w:pPr>
            <w:r w:rsidRPr="00A02BFB">
              <w:t>ICCPR, art. 41</w:t>
            </w:r>
          </w:p>
          <w:p w14:paraId="4F07173E" w14:textId="36A630C7" w:rsidR="00F06954" w:rsidRDefault="00F06954" w:rsidP="00362560">
            <w:pPr>
              <w:spacing w:before="40" w:after="120"/>
              <w:ind w:right="113"/>
            </w:pPr>
            <w:r w:rsidRPr="00A02BFB">
              <w:t>CAT, arts. 21 and 22</w:t>
            </w:r>
          </w:p>
          <w:p w14:paraId="36EC8E35" w14:textId="77777777" w:rsidR="00377701" w:rsidRPr="00A02BFB" w:rsidRDefault="00377701" w:rsidP="00377701">
            <w:pPr>
              <w:spacing w:before="40" w:after="120"/>
              <w:ind w:right="113"/>
            </w:pPr>
            <w:r w:rsidRPr="00A02BFB">
              <w:t>OP-CRC-IC (</w:t>
            </w:r>
            <w:r>
              <w:t>signature, 2012</w:t>
            </w:r>
            <w:r w:rsidRPr="00A02BFB">
              <w:t>)</w:t>
            </w:r>
          </w:p>
          <w:p w14:paraId="49657562" w14:textId="4CA13595" w:rsidR="00362560" w:rsidRPr="00A02BFB" w:rsidRDefault="00316195" w:rsidP="003F4790">
            <w:pPr>
              <w:spacing w:before="40" w:after="120"/>
              <w:ind w:right="113"/>
            </w:pPr>
            <w:r w:rsidRPr="00A02BFB">
              <w:t>ICRMW, arts. 76 and 77</w:t>
            </w:r>
          </w:p>
        </w:tc>
      </w:tr>
    </w:tbl>
    <w:p w14:paraId="422D5E9C" w14:textId="19771FA8" w:rsidR="008E5EA4" w:rsidRDefault="008E5EA4" w:rsidP="00060690">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060690" w:rsidRPr="00060690" w14:paraId="55367993" w14:textId="77777777" w:rsidTr="00060690">
        <w:tc>
          <w:tcPr>
            <w:tcW w:w="4818" w:type="dxa"/>
            <w:tcBorders>
              <w:top w:val="single" w:sz="4" w:space="0" w:color="auto"/>
              <w:bottom w:val="single" w:sz="12" w:space="0" w:color="auto"/>
            </w:tcBorders>
            <w:shd w:val="clear" w:color="auto" w:fill="auto"/>
          </w:tcPr>
          <w:p w14:paraId="78022919" w14:textId="19EF048B" w:rsidR="00060690" w:rsidRPr="00060690" w:rsidRDefault="00060690" w:rsidP="00060690">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05EFA26A" w14:textId="018E0125" w:rsidR="00060690" w:rsidRPr="00060690" w:rsidRDefault="00060690" w:rsidP="00060690">
            <w:pPr>
              <w:spacing w:before="80" w:after="80" w:line="200" w:lineRule="exact"/>
              <w:ind w:right="113"/>
              <w:rPr>
                <w:i/>
                <w:sz w:val="16"/>
              </w:rPr>
            </w:pPr>
            <w:r>
              <w:rPr>
                <w:i/>
                <w:sz w:val="16"/>
              </w:rPr>
              <w:t xml:space="preserve">Current Status </w:t>
            </w:r>
          </w:p>
        </w:tc>
      </w:tr>
      <w:tr w:rsidR="00060690" w:rsidRPr="00060690" w14:paraId="27A99F76" w14:textId="77777777" w:rsidTr="00060690">
        <w:trPr>
          <w:trHeight w:hRule="exact" w:val="113"/>
        </w:trPr>
        <w:tc>
          <w:tcPr>
            <w:tcW w:w="4818" w:type="dxa"/>
            <w:tcBorders>
              <w:top w:val="single" w:sz="12" w:space="0" w:color="auto"/>
            </w:tcBorders>
            <w:shd w:val="clear" w:color="auto" w:fill="auto"/>
          </w:tcPr>
          <w:p w14:paraId="72EADF93" w14:textId="77777777" w:rsidR="00060690" w:rsidRPr="00060690" w:rsidRDefault="00060690" w:rsidP="00060690">
            <w:pPr>
              <w:spacing w:before="80" w:after="80" w:line="200" w:lineRule="exact"/>
              <w:ind w:right="113"/>
              <w:rPr>
                <w:i/>
                <w:sz w:val="16"/>
              </w:rPr>
            </w:pPr>
          </w:p>
        </w:tc>
        <w:tc>
          <w:tcPr>
            <w:tcW w:w="4819" w:type="dxa"/>
            <w:tcBorders>
              <w:top w:val="single" w:sz="12" w:space="0" w:color="auto"/>
            </w:tcBorders>
            <w:shd w:val="clear" w:color="auto" w:fill="auto"/>
          </w:tcPr>
          <w:p w14:paraId="378FEDFC" w14:textId="77777777" w:rsidR="00060690" w:rsidRPr="00060690" w:rsidRDefault="00060690" w:rsidP="00060690">
            <w:pPr>
              <w:spacing w:before="80" w:after="80" w:line="200" w:lineRule="exact"/>
              <w:ind w:right="113"/>
              <w:rPr>
                <w:i/>
                <w:sz w:val="16"/>
              </w:rPr>
            </w:pPr>
          </w:p>
        </w:tc>
      </w:tr>
      <w:tr w:rsidR="00060690" w:rsidRPr="00060690" w14:paraId="4A96657A" w14:textId="77777777" w:rsidTr="00060690">
        <w:tc>
          <w:tcPr>
            <w:tcW w:w="4818" w:type="dxa"/>
            <w:shd w:val="clear" w:color="auto" w:fill="auto"/>
          </w:tcPr>
          <w:p w14:paraId="25E2D7AB" w14:textId="77777777" w:rsidR="00060690" w:rsidRPr="00060690" w:rsidRDefault="00060690" w:rsidP="00060690">
            <w:pPr>
              <w:spacing w:before="40" w:after="120"/>
              <w:ind w:right="113"/>
            </w:pPr>
          </w:p>
        </w:tc>
        <w:tc>
          <w:tcPr>
            <w:tcW w:w="4819" w:type="dxa"/>
            <w:shd w:val="clear" w:color="auto" w:fill="auto"/>
          </w:tcPr>
          <w:p w14:paraId="0A7877BE" w14:textId="3FCEA835" w:rsidR="00060690" w:rsidRPr="00060690" w:rsidRDefault="00060690" w:rsidP="00060690">
            <w:pPr>
              <w:spacing w:before="40" w:after="120"/>
              <w:ind w:right="113"/>
            </w:pPr>
            <w:r w:rsidRPr="001E4465">
              <w:t>CRC (Reservation, art. 16)</w:t>
            </w:r>
          </w:p>
        </w:tc>
      </w:tr>
      <w:tr w:rsidR="00060690" w:rsidRPr="00060690" w14:paraId="416CCBA0" w14:textId="77777777" w:rsidTr="00060690">
        <w:tc>
          <w:tcPr>
            <w:tcW w:w="4818" w:type="dxa"/>
            <w:tcBorders>
              <w:bottom w:val="single" w:sz="12" w:space="0" w:color="auto"/>
            </w:tcBorders>
            <w:shd w:val="clear" w:color="auto" w:fill="auto"/>
          </w:tcPr>
          <w:p w14:paraId="06BFCEAB" w14:textId="77777777" w:rsidR="00060690" w:rsidRPr="00060690" w:rsidRDefault="00060690" w:rsidP="00060690">
            <w:pPr>
              <w:spacing w:before="40" w:after="120"/>
              <w:ind w:right="113"/>
            </w:pPr>
          </w:p>
        </w:tc>
        <w:tc>
          <w:tcPr>
            <w:tcW w:w="4819" w:type="dxa"/>
            <w:tcBorders>
              <w:bottom w:val="single" w:sz="12" w:space="0" w:color="auto"/>
            </w:tcBorders>
            <w:shd w:val="clear" w:color="auto" w:fill="auto"/>
          </w:tcPr>
          <w:p w14:paraId="07682554" w14:textId="1CF9537D" w:rsidR="00060690" w:rsidRPr="00060690" w:rsidRDefault="00060690" w:rsidP="00060690">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250F32">
              <w:br/>
            </w:r>
            <w:r w:rsidRPr="00031AC4">
              <w:t>of</w:t>
            </w:r>
            <w:r>
              <w:t xml:space="preserve"> voluntary military</w:t>
            </w:r>
            <w:r w:rsidRPr="00031AC4">
              <w:t xml:space="preserve"> recruitment</w:t>
            </w:r>
            <w:r>
              <w:t xml:space="preserve"> at</w:t>
            </w:r>
            <w:r w:rsidRPr="00031AC4">
              <w:t xml:space="preserve"> 1</w:t>
            </w:r>
            <w:r>
              <w:t>8</w:t>
            </w:r>
            <w:r w:rsidRPr="00031AC4">
              <w:t xml:space="preserve"> years)</w:t>
            </w:r>
          </w:p>
        </w:tc>
      </w:tr>
    </w:tbl>
    <w:p w14:paraId="2652E5B8" w14:textId="77777777" w:rsidR="008F362B" w:rsidRDefault="00060690" w:rsidP="00060690">
      <w:pPr>
        <w:pStyle w:val="H1G"/>
      </w:pPr>
      <w:r>
        <w:tab/>
      </w:r>
    </w:p>
    <w:p w14:paraId="1BA96F68" w14:textId="77777777" w:rsidR="008F362B" w:rsidRDefault="008F362B">
      <w:pPr>
        <w:suppressAutoHyphens w:val="0"/>
        <w:spacing w:line="240" w:lineRule="auto"/>
        <w:rPr>
          <w:b/>
          <w:sz w:val="24"/>
        </w:rPr>
      </w:pPr>
      <w:r>
        <w:br w:type="page"/>
      </w:r>
    </w:p>
    <w:p w14:paraId="1F353718" w14:textId="4E23B13D" w:rsidR="00A02BFB" w:rsidRDefault="008F362B" w:rsidP="00060690">
      <w:pPr>
        <w:pStyle w:val="H1G"/>
      </w:pPr>
      <w:r>
        <w:lastRenderedPageBreak/>
        <w:tab/>
      </w:r>
      <w:r w:rsidR="00A02BFB">
        <w:t>B</w:t>
      </w:r>
      <w:r w:rsidR="00A02BFB" w:rsidRPr="00A02BFB">
        <w:t>.</w:t>
      </w:r>
      <w:r w:rsidR="00A02BFB" w:rsidRPr="00A02BFB">
        <w:tab/>
        <w:t xml:space="preserve">Other main relevant </w:t>
      </w:r>
      <w:r w:rsidR="00A02BFB" w:rsidRPr="00060690">
        <w:t>international</w:t>
      </w:r>
      <w:r w:rsidR="00A02BFB" w:rsidRPr="00A02BFB">
        <w:t xml:space="preserve">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8F362B" w:rsidRPr="00A02BFB" w14:paraId="2E9D4C73" w14:textId="77777777" w:rsidTr="00F25422">
        <w:tc>
          <w:tcPr>
            <w:tcW w:w="2410" w:type="dxa"/>
            <w:tcBorders>
              <w:top w:val="single" w:sz="4" w:space="0" w:color="auto"/>
              <w:bottom w:val="single" w:sz="12" w:space="0" w:color="auto"/>
            </w:tcBorders>
            <w:shd w:val="clear" w:color="auto" w:fill="auto"/>
            <w:vAlign w:val="bottom"/>
          </w:tcPr>
          <w:p w14:paraId="578F5940" w14:textId="77777777" w:rsidR="008F362B" w:rsidRPr="008B4D7D" w:rsidRDefault="008F362B" w:rsidP="008B4D7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315FDBAB" w14:textId="1EF3D940" w:rsidR="008F362B" w:rsidRPr="008B4D7D" w:rsidRDefault="008F362B"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8F362B" w:rsidRPr="008B4D7D" w:rsidRDefault="008F362B" w:rsidP="008B4D7D">
            <w:pPr>
              <w:spacing w:before="80" w:after="80" w:line="200" w:lineRule="exact"/>
              <w:ind w:right="113"/>
              <w:rPr>
                <w:i/>
                <w:sz w:val="16"/>
              </w:rPr>
            </w:pPr>
            <w:r w:rsidRPr="008B4D7D">
              <w:rPr>
                <w:i/>
                <w:sz w:val="16"/>
              </w:rPr>
              <w:t>Not ratified</w:t>
            </w:r>
          </w:p>
        </w:tc>
      </w:tr>
      <w:tr w:rsidR="008F362B" w:rsidRPr="00A02BFB" w14:paraId="59EB46AA" w14:textId="77777777" w:rsidTr="00F25422">
        <w:trPr>
          <w:trHeight w:hRule="exact" w:val="113"/>
        </w:trPr>
        <w:tc>
          <w:tcPr>
            <w:tcW w:w="2410" w:type="dxa"/>
            <w:shd w:val="clear" w:color="auto" w:fill="auto"/>
            <w:vAlign w:val="bottom"/>
          </w:tcPr>
          <w:p w14:paraId="638A92BE" w14:textId="77777777" w:rsidR="008F362B" w:rsidRPr="008B4D7D" w:rsidRDefault="008F362B" w:rsidP="008B4D7D">
            <w:pPr>
              <w:spacing w:before="80" w:after="80" w:line="200" w:lineRule="exact"/>
              <w:ind w:right="113"/>
              <w:rPr>
                <w:i/>
                <w:sz w:val="16"/>
              </w:rPr>
            </w:pPr>
          </w:p>
        </w:tc>
        <w:tc>
          <w:tcPr>
            <w:tcW w:w="2408" w:type="dxa"/>
            <w:shd w:val="clear" w:color="auto" w:fill="auto"/>
            <w:vAlign w:val="bottom"/>
          </w:tcPr>
          <w:p w14:paraId="562C815A" w14:textId="77777777" w:rsidR="008F362B" w:rsidRPr="008B4D7D" w:rsidRDefault="008F362B" w:rsidP="008B4D7D">
            <w:pPr>
              <w:spacing w:before="80" w:after="80" w:line="200" w:lineRule="exact"/>
              <w:ind w:right="113"/>
              <w:rPr>
                <w:i/>
                <w:sz w:val="16"/>
              </w:rPr>
            </w:pPr>
          </w:p>
        </w:tc>
        <w:tc>
          <w:tcPr>
            <w:tcW w:w="2410" w:type="dxa"/>
            <w:shd w:val="clear" w:color="auto" w:fill="auto"/>
            <w:vAlign w:val="bottom"/>
          </w:tcPr>
          <w:p w14:paraId="210F1026" w14:textId="77777777" w:rsidR="008F362B" w:rsidRPr="008B4D7D" w:rsidRDefault="008F362B" w:rsidP="008B4D7D">
            <w:pPr>
              <w:spacing w:before="80" w:after="80" w:line="200" w:lineRule="exact"/>
              <w:ind w:right="113"/>
              <w:rPr>
                <w:i/>
                <w:sz w:val="16"/>
              </w:rPr>
            </w:pPr>
          </w:p>
        </w:tc>
      </w:tr>
      <w:tr w:rsidR="008F362B" w:rsidRPr="00A02BFB" w14:paraId="72D9CAF4" w14:textId="77777777" w:rsidTr="00F25422">
        <w:tc>
          <w:tcPr>
            <w:tcW w:w="2410" w:type="dxa"/>
            <w:shd w:val="clear" w:color="auto" w:fill="auto"/>
          </w:tcPr>
          <w:p w14:paraId="3202BED3" w14:textId="77777777" w:rsidR="008F362B" w:rsidRPr="008B4D7D" w:rsidRDefault="008F362B" w:rsidP="008B4D7D">
            <w:pPr>
              <w:spacing w:before="40" w:after="120"/>
              <w:ind w:right="113"/>
              <w:rPr>
                <w:i/>
              </w:rPr>
            </w:pPr>
            <w:r w:rsidRPr="008B4D7D">
              <w:rPr>
                <w:i/>
              </w:rPr>
              <w:t>Ratification, accession or succession</w:t>
            </w:r>
          </w:p>
        </w:tc>
        <w:tc>
          <w:tcPr>
            <w:tcW w:w="2408" w:type="dxa"/>
            <w:shd w:val="clear" w:color="auto" w:fill="auto"/>
          </w:tcPr>
          <w:p w14:paraId="2E5F810A" w14:textId="77777777" w:rsidR="008F362B" w:rsidRPr="00A02BFB" w:rsidRDefault="008F362B" w:rsidP="008B4D7D">
            <w:pPr>
              <w:spacing w:before="40" w:after="120"/>
              <w:ind w:right="113"/>
            </w:pPr>
            <w:r w:rsidRPr="00A02BFB">
              <w:t>Convention on the Prevention and Punishment of the Crime of Genocide</w:t>
            </w:r>
          </w:p>
        </w:tc>
        <w:tc>
          <w:tcPr>
            <w:tcW w:w="2410" w:type="dxa"/>
            <w:shd w:val="clear" w:color="auto" w:fill="auto"/>
          </w:tcPr>
          <w:p w14:paraId="3A8DF416" w14:textId="77777777" w:rsidR="008F362B" w:rsidRPr="00A02BFB" w:rsidRDefault="008F362B" w:rsidP="008B4D7D">
            <w:pPr>
              <w:spacing w:before="40" w:after="120"/>
              <w:ind w:right="113"/>
            </w:pPr>
          </w:p>
        </w:tc>
      </w:tr>
      <w:tr w:rsidR="008F362B" w:rsidRPr="00A02BFB" w14:paraId="26448E00" w14:textId="77777777" w:rsidTr="00F25422">
        <w:tc>
          <w:tcPr>
            <w:tcW w:w="2410" w:type="dxa"/>
            <w:shd w:val="clear" w:color="auto" w:fill="auto"/>
          </w:tcPr>
          <w:p w14:paraId="284BE01D" w14:textId="77777777" w:rsidR="008F362B" w:rsidRPr="00A02BFB" w:rsidRDefault="008F362B" w:rsidP="008B4D7D">
            <w:pPr>
              <w:spacing w:before="40" w:after="120"/>
              <w:ind w:right="113"/>
            </w:pPr>
          </w:p>
        </w:tc>
        <w:tc>
          <w:tcPr>
            <w:tcW w:w="2408" w:type="dxa"/>
            <w:shd w:val="clear" w:color="auto" w:fill="auto"/>
          </w:tcPr>
          <w:p w14:paraId="01E17A8D" w14:textId="502F5A8F" w:rsidR="008F362B" w:rsidRPr="00A02BFB" w:rsidRDefault="008F362B" w:rsidP="008B4D7D">
            <w:pPr>
              <w:spacing w:before="40" w:after="120"/>
              <w:ind w:right="113"/>
            </w:pPr>
            <w:r w:rsidRPr="00A02BFB">
              <w:t xml:space="preserve">Geneva Conventions </w:t>
            </w:r>
            <w:r w:rsidR="00F25422">
              <w:br/>
            </w:r>
            <w:r w:rsidRPr="00A02BFB">
              <w:t>of 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7329D104" w14:textId="77777777" w:rsidR="008F362B" w:rsidRPr="00A02BFB" w:rsidRDefault="008F362B" w:rsidP="008B4D7D">
            <w:pPr>
              <w:spacing w:before="40" w:after="120"/>
              <w:ind w:right="113"/>
            </w:pPr>
          </w:p>
        </w:tc>
      </w:tr>
      <w:tr w:rsidR="008F362B" w:rsidRPr="00A02BFB" w14:paraId="46E89CF9" w14:textId="77777777" w:rsidTr="00F25422">
        <w:tc>
          <w:tcPr>
            <w:tcW w:w="2410" w:type="dxa"/>
            <w:shd w:val="clear" w:color="auto" w:fill="auto"/>
          </w:tcPr>
          <w:p w14:paraId="3FD2EA96" w14:textId="77777777" w:rsidR="008F362B" w:rsidRPr="00A02BFB" w:rsidRDefault="008F362B" w:rsidP="008B4D7D">
            <w:pPr>
              <w:spacing w:before="40" w:after="120"/>
              <w:ind w:right="113"/>
            </w:pPr>
          </w:p>
        </w:tc>
        <w:tc>
          <w:tcPr>
            <w:tcW w:w="2408" w:type="dxa"/>
            <w:shd w:val="clear" w:color="auto" w:fill="auto"/>
          </w:tcPr>
          <w:p w14:paraId="197E5403" w14:textId="2B0C90AE" w:rsidR="00F25422" w:rsidRPr="00A02BFB" w:rsidRDefault="008F362B" w:rsidP="008B4D7D">
            <w:pPr>
              <w:spacing w:before="40" w:after="120"/>
              <w:ind w:right="113"/>
            </w:pPr>
            <w:r w:rsidRPr="00A02BFB">
              <w:t>Rome Statute of the International Criminal Court</w:t>
            </w:r>
          </w:p>
        </w:tc>
        <w:tc>
          <w:tcPr>
            <w:tcW w:w="2410" w:type="dxa"/>
            <w:shd w:val="clear" w:color="auto" w:fill="auto"/>
          </w:tcPr>
          <w:p w14:paraId="57A74400" w14:textId="77777777" w:rsidR="008F362B" w:rsidRPr="00A02BFB" w:rsidRDefault="008F362B" w:rsidP="008B4D7D">
            <w:pPr>
              <w:spacing w:before="40" w:after="120"/>
              <w:ind w:right="113"/>
            </w:pPr>
          </w:p>
        </w:tc>
      </w:tr>
      <w:tr w:rsidR="008F362B" w:rsidRPr="00A02BFB" w14:paraId="6AA3F439" w14:textId="77777777" w:rsidTr="00F25422">
        <w:tc>
          <w:tcPr>
            <w:tcW w:w="2410" w:type="dxa"/>
            <w:shd w:val="clear" w:color="auto" w:fill="auto"/>
          </w:tcPr>
          <w:p w14:paraId="64DAE8A7" w14:textId="77777777" w:rsidR="008F362B" w:rsidRPr="00A02BFB" w:rsidRDefault="008F362B" w:rsidP="008B4D7D">
            <w:pPr>
              <w:spacing w:before="40" w:after="120"/>
              <w:ind w:right="113"/>
            </w:pPr>
          </w:p>
        </w:tc>
        <w:tc>
          <w:tcPr>
            <w:tcW w:w="2408" w:type="dxa"/>
            <w:shd w:val="clear" w:color="auto" w:fill="auto"/>
          </w:tcPr>
          <w:p w14:paraId="3D1C3399" w14:textId="1C173722" w:rsidR="008F362B" w:rsidRPr="00A02BFB" w:rsidRDefault="008F362B" w:rsidP="008B4D7D">
            <w:pPr>
              <w:spacing w:before="40" w:after="120"/>
              <w:ind w:right="113"/>
            </w:pPr>
            <w:r w:rsidRPr="00A02BFB">
              <w:t xml:space="preserve">Conventions on refugees and </w:t>
            </w:r>
            <w:r w:rsidR="00F25422">
              <w:br/>
            </w:r>
            <w:r w:rsidRPr="00A02BFB">
              <w:t>stateless persons</w:t>
            </w:r>
            <w:r w:rsidRPr="005534E1">
              <w:rPr>
                <w:rStyle w:val="EndnoteReference"/>
              </w:rPr>
              <w:endnoteReference w:id="6"/>
            </w:r>
          </w:p>
        </w:tc>
        <w:tc>
          <w:tcPr>
            <w:tcW w:w="2410" w:type="dxa"/>
            <w:shd w:val="clear" w:color="auto" w:fill="auto"/>
          </w:tcPr>
          <w:p w14:paraId="1E8B8CC4" w14:textId="77777777" w:rsidR="008F362B" w:rsidRPr="00A02BFB" w:rsidRDefault="008F362B" w:rsidP="008B4D7D">
            <w:pPr>
              <w:spacing w:before="40" w:after="120"/>
              <w:ind w:right="113"/>
            </w:pPr>
          </w:p>
        </w:tc>
      </w:tr>
      <w:tr w:rsidR="008F362B" w:rsidRPr="00A02BFB" w14:paraId="5040CAE8" w14:textId="77777777" w:rsidTr="00F25422">
        <w:tc>
          <w:tcPr>
            <w:tcW w:w="2410" w:type="dxa"/>
            <w:shd w:val="clear" w:color="auto" w:fill="auto"/>
          </w:tcPr>
          <w:p w14:paraId="2EDD1150" w14:textId="77777777" w:rsidR="008F362B" w:rsidRPr="00A02BFB" w:rsidRDefault="008F362B" w:rsidP="008B4D7D">
            <w:pPr>
              <w:spacing w:before="40" w:after="120"/>
              <w:ind w:right="113"/>
            </w:pPr>
          </w:p>
        </w:tc>
        <w:tc>
          <w:tcPr>
            <w:tcW w:w="2408" w:type="dxa"/>
            <w:shd w:val="clear" w:color="auto" w:fill="auto"/>
          </w:tcPr>
          <w:p w14:paraId="71EE0566" w14:textId="77777777" w:rsidR="008F362B" w:rsidRPr="00A02BFB" w:rsidRDefault="008F362B"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0C706E36" w14:textId="77777777" w:rsidR="008F362B" w:rsidRPr="00A02BFB" w:rsidRDefault="008F362B" w:rsidP="008B4D7D">
            <w:pPr>
              <w:spacing w:before="40" w:after="120"/>
              <w:ind w:right="113"/>
            </w:pPr>
          </w:p>
        </w:tc>
      </w:tr>
      <w:tr w:rsidR="008F362B" w:rsidRPr="00A02BFB" w14:paraId="19C0951F" w14:textId="77777777" w:rsidTr="00F25422">
        <w:tc>
          <w:tcPr>
            <w:tcW w:w="2410" w:type="dxa"/>
            <w:shd w:val="clear" w:color="auto" w:fill="auto"/>
          </w:tcPr>
          <w:p w14:paraId="60B51672" w14:textId="77777777" w:rsidR="008F362B" w:rsidRPr="00A02BFB" w:rsidRDefault="008F362B" w:rsidP="008B4D7D">
            <w:pPr>
              <w:spacing w:before="40" w:after="120"/>
              <w:ind w:right="113"/>
            </w:pPr>
          </w:p>
        </w:tc>
        <w:tc>
          <w:tcPr>
            <w:tcW w:w="2408" w:type="dxa"/>
            <w:shd w:val="clear" w:color="auto" w:fill="auto"/>
          </w:tcPr>
          <w:p w14:paraId="1E2B1066" w14:textId="77777777" w:rsidR="008F362B" w:rsidRPr="00A02BFB" w:rsidRDefault="008F362B" w:rsidP="008B4D7D">
            <w:pPr>
              <w:spacing w:before="40" w:after="120"/>
              <w:ind w:right="113"/>
            </w:pPr>
            <w:r w:rsidRPr="00A02BFB">
              <w:t>ILO fundamental Conventions</w:t>
            </w:r>
            <w:r w:rsidRPr="005534E1">
              <w:rPr>
                <w:rStyle w:val="EndnoteReference"/>
              </w:rPr>
              <w:endnoteReference w:id="8"/>
            </w:r>
          </w:p>
        </w:tc>
        <w:tc>
          <w:tcPr>
            <w:tcW w:w="2410" w:type="dxa"/>
            <w:shd w:val="clear" w:color="auto" w:fill="auto"/>
          </w:tcPr>
          <w:p w14:paraId="0630D0A2" w14:textId="77777777" w:rsidR="008F362B" w:rsidRPr="00A02BFB" w:rsidRDefault="008F362B" w:rsidP="008B4D7D">
            <w:pPr>
              <w:spacing w:before="40" w:after="120"/>
              <w:ind w:right="113"/>
            </w:pPr>
          </w:p>
        </w:tc>
      </w:tr>
      <w:tr w:rsidR="008F362B" w:rsidRPr="00A02BFB" w14:paraId="6AABD42C" w14:textId="77777777" w:rsidTr="00F25422">
        <w:tc>
          <w:tcPr>
            <w:tcW w:w="2410" w:type="dxa"/>
            <w:tcBorders>
              <w:bottom w:val="single" w:sz="12" w:space="0" w:color="auto"/>
            </w:tcBorders>
            <w:shd w:val="clear" w:color="auto" w:fill="auto"/>
          </w:tcPr>
          <w:p w14:paraId="2954E0B1" w14:textId="77777777" w:rsidR="008F362B" w:rsidRPr="00A02BFB" w:rsidRDefault="008F362B" w:rsidP="008B4D7D">
            <w:pPr>
              <w:spacing w:before="40" w:after="120"/>
              <w:ind w:right="113"/>
            </w:pPr>
          </w:p>
        </w:tc>
        <w:tc>
          <w:tcPr>
            <w:tcW w:w="2408" w:type="dxa"/>
            <w:tcBorders>
              <w:bottom w:val="single" w:sz="12" w:space="0" w:color="auto"/>
            </w:tcBorders>
            <w:shd w:val="clear" w:color="auto" w:fill="auto"/>
          </w:tcPr>
          <w:p w14:paraId="637F046A" w14:textId="77777777" w:rsidR="008F362B" w:rsidRDefault="008F362B" w:rsidP="00574F7B">
            <w:pPr>
              <w:spacing w:before="40" w:after="120"/>
              <w:ind w:right="113"/>
              <w:rPr>
                <w:lang w:val="en"/>
              </w:rPr>
            </w:pPr>
            <w:r>
              <w:t xml:space="preserve">ILO Conventions Nos. 169, </w:t>
            </w:r>
            <w:r w:rsidRPr="00A02BFB">
              <w:t>189</w:t>
            </w:r>
            <w:r>
              <w:t xml:space="preserve"> and 190 and Protocol </w:t>
            </w:r>
            <w:r>
              <w:rPr>
                <w:lang w:val="en"/>
              </w:rPr>
              <w:t>029</w:t>
            </w:r>
            <w:r w:rsidRPr="005534E1">
              <w:rPr>
                <w:rStyle w:val="EndnoteReference"/>
              </w:rPr>
              <w:endnoteReference w:id="9"/>
            </w:r>
          </w:p>
          <w:p w14:paraId="383CB739" w14:textId="6B525262" w:rsidR="008F362B" w:rsidRPr="00574F7B" w:rsidRDefault="008F362B" w:rsidP="00574F7B">
            <w:pPr>
              <w:spacing w:before="40" w:after="120"/>
              <w:ind w:right="113"/>
            </w:pPr>
            <w:r w:rsidRPr="000156D7">
              <w:t xml:space="preserve">Convention against Discrimination </w:t>
            </w:r>
            <w:r w:rsidR="00F25422">
              <w:br/>
            </w:r>
            <w:r w:rsidRPr="000156D7">
              <w:t>in Education</w:t>
            </w:r>
          </w:p>
        </w:tc>
        <w:tc>
          <w:tcPr>
            <w:tcW w:w="2410" w:type="dxa"/>
            <w:tcBorders>
              <w:bottom w:val="single" w:sz="12" w:space="0" w:color="auto"/>
            </w:tcBorders>
            <w:shd w:val="clear" w:color="auto" w:fill="auto"/>
          </w:tcPr>
          <w:p w14:paraId="2382C427" w14:textId="77777777" w:rsidR="008F362B" w:rsidRPr="00A02BFB" w:rsidRDefault="008F362B" w:rsidP="008B4D7D">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126A93EA"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250F32" w14:paraId="53E27A3F" w14:textId="77777777" w:rsidTr="00355C8D">
        <w:tc>
          <w:tcPr>
            <w:tcW w:w="1928" w:type="dxa"/>
            <w:tcBorders>
              <w:top w:val="single" w:sz="4" w:space="0" w:color="auto"/>
              <w:bottom w:val="single" w:sz="12" w:space="0" w:color="auto"/>
            </w:tcBorders>
            <w:shd w:val="clear" w:color="auto" w:fill="auto"/>
            <w:vAlign w:val="bottom"/>
          </w:tcPr>
          <w:p w14:paraId="27EDAA83" w14:textId="77777777" w:rsidR="00A02BFB" w:rsidRPr="00250F32" w:rsidRDefault="00A02BFB" w:rsidP="00250F32">
            <w:pPr>
              <w:spacing w:before="80" w:after="80" w:line="200" w:lineRule="exact"/>
              <w:ind w:right="113"/>
              <w:rPr>
                <w:i/>
                <w:sz w:val="16"/>
              </w:rPr>
            </w:pPr>
            <w:r w:rsidRPr="00250F32">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250F32" w:rsidRDefault="00A02BFB" w:rsidP="00250F32">
            <w:pPr>
              <w:spacing w:before="80" w:after="80" w:line="200" w:lineRule="exact"/>
              <w:ind w:right="113"/>
              <w:rPr>
                <w:i/>
                <w:sz w:val="16"/>
              </w:rPr>
            </w:pPr>
            <w:r w:rsidRPr="00250F32">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250F32" w:rsidRDefault="00A02BFB" w:rsidP="00250F32">
            <w:pPr>
              <w:spacing w:before="80" w:after="80" w:line="200" w:lineRule="exact"/>
              <w:ind w:right="113"/>
              <w:rPr>
                <w:i/>
                <w:sz w:val="16"/>
              </w:rPr>
            </w:pPr>
            <w:r w:rsidRPr="00250F32">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250F32" w:rsidRDefault="00A02BFB" w:rsidP="00250F32">
            <w:pPr>
              <w:spacing w:before="80" w:after="80" w:line="200" w:lineRule="exact"/>
              <w:ind w:right="113"/>
              <w:rPr>
                <w:i/>
                <w:sz w:val="16"/>
              </w:rPr>
            </w:pPr>
            <w:r w:rsidRPr="00250F32">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250F32" w:rsidRDefault="00A02BFB" w:rsidP="00250F32">
            <w:pPr>
              <w:spacing w:before="80" w:after="80" w:line="200" w:lineRule="exact"/>
              <w:ind w:right="113"/>
              <w:rPr>
                <w:i/>
                <w:sz w:val="16"/>
              </w:rPr>
            </w:pPr>
            <w:r w:rsidRPr="00250F32">
              <w:rPr>
                <w:i/>
                <w:sz w:val="16"/>
              </w:rPr>
              <w:t>Reporting status</w:t>
            </w:r>
          </w:p>
        </w:tc>
      </w:tr>
      <w:tr w:rsidR="00250F32" w:rsidRPr="00250F32" w14:paraId="324FFD68" w14:textId="77777777" w:rsidTr="00355C8D">
        <w:trPr>
          <w:trHeight w:hRule="exact" w:val="113"/>
        </w:trPr>
        <w:tc>
          <w:tcPr>
            <w:tcW w:w="1928" w:type="dxa"/>
            <w:tcBorders>
              <w:top w:val="single" w:sz="12" w:space="0" w:color="auto"/>
            </w:tcBorders>
            <w:shd w:val="clear" w:color="auto" w:fill="auto"/>
          </w:tcPr>
          <w:p w14:paraId="66099FE3" w14:textId="77777777" w:rsidR="00250F32" w:rsidRPr="00250F32" w:rsidRDefault="00250F32" w:rsidP="00250F32">
            <w:pPr>
              <w:spacing w:before="40" w:after="120"/>
              <w:ind w:right="113"/>
            </w:pPr>
          </w:p>
        </w:tc>
        <w:tc>
          <w:tcPr>
            <w:tcW w:w="1928" w:type="dxa"/>
            <w:tcBorders>
              <w:top w:val="single" w:sz="12" w:space="0" w:color="auto"/>
            </w:tcBorders>
            <w:shd w:val="clear" w:color="auto" w:fill="auto"/>
          </w:tcPr>
          <w:p w14:paraId="1A47C02D" w14:textId="77777777" w:rsidR="00250F32" w:rsidRPr="00250F32" w:rsidRDefault="00250F32" w:rsidP="00250F32">
            <w:pPr>
              <w:spacing w:before="40" w:after="120"/>
              <w:ind w:right="113"/>
            </w:pPr>
          </w:p>
        </w:tc>
        <w:tc>
          <w:tcPr>
            <w:tcW w:w="1927" w:type="dxa"/>
            <w:tcBorders>
              <w:top w:val="single" w:sz="12" w:space="0" w:color="auto"/>
            </w:tcBorders>
            <w:shd w:val="clear" w:color="auto" w:fill="auto"/>
          </w:tcPr>
          <w:p w14:paraId="4DA449BA" w14:textId="77777777" w:rsidR="00250F32" w:rsidRPr="00250F32" w:rsidRDefault="00250F32" w:rsidP="00250F32">
            <w:pPr>
              <w:spacing w:before="40" w:after="120"/>
              <w:ind w:right="113"/>
            </w:pPr>
          </w:p>
        </w:tc>
        <w:tc>
          <w:tcPr>
            <w:tcW w:w="1927" w:type="dxa"/>
            <w:tcBorders>
              <w:top w:val="single" w:sz="12" w:space="0" w:color="auto"/>
            </w:tcBorders>
            <w:shd w:val="clear" w:color="auto" w:fill="auto"/>
          </w:tcPr>
          <w:p w14:paraId="32AD3412" w14:textId="77777777" w:rsidR="00250F32" w:rsidRPr="00250F32" w:rsidRDefault="00250F32" w:rsidP="00250F32">
            <w:pPr>
              <w:spacing w:before="40" w:after="120"/>
              <w:ind w:right="113"/>
            </w:pPr>
          </w:p>
        </w:tc>
        <w:tc>
          <w:tcPr>
            <w:tcW w:w="1927" w:type="dxa"/>
            <w:tcBorders>
              <w:top w:val="single" w:sz="12" w:space="0" w:color="auto"/>
            </w:tcBorders>
            <w:shd w:val="clear" w:color="auto" w:fill="auto"/>
          </w:tcPr>
          <w:p w14:paraId="39B365AA" w14:textId="77777777" w:rsidR="00250F32" w:rsidRPr="00250F32" w:rsidRDefault="00250F32" w:rsidP="00250F32">
            <w:pPr>
              <w:spacing w:before="40" w:after="120"/>
              <w:ind w:right="113"/>
            </w:pPr>
          </w:p>
        </w:tc>
      </w:tr>
      <w:tr w:rsidR="008B4D7D" w:rsidRPr="00250F32" w14:paraId="1E4DE53B" w14:textId="77777777" w:rsidTr="00355C8D">
        <w:tc>
          <w:tcPr>
            <w:tcW w:w="1928" w:type="dxa"/>
            <w:shd w:val="clear" w:color="auto" w:fill="auto"/>
          </w:tcPr>
          <w:p w14:paraId="6EC3F4DD" w14:textId="77777777" w:rsidR="00A02BFB" w:rsidRPr="00250F32" w:rsidRDefault="00A02BFB" w:rsidP="00250F32">
            <w:pPr>
              <w:spacing w:before="40" w:after="120"/>
              <w:ind w:right="113"/>
            </w:pPr>
            <w:r w:rsidRPr="00250F32">
              <w:t>CERD</w:t>
            </w:r>
          </w:p>
        </w:tc>
        <w:tc>
          <w:tcPr>
            <w:tcW w:w="1928" w:type="dxa"/>
            <w:shd w:val="clear" w:color="auto" w:fill="auto"/>
          </w:tcPr>
          <w:p w14:paraId="6E95AD6E" w14:textId="76279E6B" w:rsidR="00A02BFB" w:rsidRPr="00250F32" w:rsidRDefault="006D76FD" w:rsidP="00250F32">
            <w:pPr>
              <w:spacing w:before="40" w:after="120"/>
              <w:ind w:right="113"/>
            </w:pPr>
            <w:r w:rsidRPr="00250F32">
              <w:t>--</w:t>
            </w:r>
          </w:p>
        </w:tc>
        <w:tc>
          <w:tcPr>
            <w:tcW w:w="1927" w:type="dxa"/>
            <w:shd w:val="clear" w:color="auto" w:fill="auto"/>
          </w:tcPr>
          <w:p w14:paraId="7F2B4B92" w14:textId="3DC494C0" w:rsidR="00A02BFB" w:rsidRPr="00250F32" w:rsidRDefault="006D76FD" w:rsidP="00250F32">
            <w:pPr>
              <w:spacing w:before="40" w:after="120"/>
              <w:ind w:right="113"/>
            </w:pPr>
            <w:r w:rsidRPr="00250F32">
              <w:t>--</w:t>
            </w:r>
          </w:p>
        </w:tc>
        <w:tc>
          <w:tcPr>
            <w:tcW w:w="1927" w:type="dxa"/>
            <w:shd w:val="clear" w:color="auto" w:fill="auto"/>
          </w:tcPr>
          <w:p w14:paraId="3AFF0E8F" w14:textId="179083E1" w:rsidR="00A02BFB" w:rsidRPr="00250F32" w:rsidRDefault="006D76FD" w:rsidP="00250F32">
            <w:pPr>
              <w:spacing w:before="40" w:after="120"/>
              <w:ind w:right="113"/>
            </w:pPr>
            <w:r w:rsidRPr="00250F32">
              <w:t>--</w:t>
            </w:r>
          </w:p>
        </w:tc>
        <w:tc>
          <w:tcPr>
            <w:tcW w:w="1927" w:type="dxa"/>
            <w:shd w:val="clear" w:color="auto" w:fill="auto"/>
          </w:tcPr>
          <w:p w14:paraId="65DE5ACA" w14:textId="35E64665" w:rsidR="00A02BFB" w:rsidRPr="00250F32" w:rsidRDefault="00A72160" w:rsidP="00250F32">
            <w:pPr>
              <w:spacing w:before="40" w:after="120"/>
              <w:ind w:right="113"/>
            </w:pPr>
            <w:r w:rsidRPr="00250F32">
              <w:t xml:space="preserve">Fifteenth </w:t>
            </w:r>
            <w:r w:rsidR="00EE128E" w:rsidRPr="00250F32">
              <w:t>to twenty-second</w:t>
            </w:r>
            <w:r w:rsidRPr="00250F32">
              <w:t xml:space="preserve"> reports overdue since 20</w:t>
            </w:r>
            <w:r w:rsidR="00EE128E" w:rsidRPr="00250F32">
              <w:t>17. Initially due in 20</w:t>
            </w:r>
            <w:r w:rsidRPr="00250F32">
              <w:t>05</w:t>
            </w:r>
            <w:r w:rsidR="00EE128E" w:rsidRPr="00250F32">
              <w:t>.</w:t>
            </w:r>
          </w:p>
        </w:tc>
      </w:tr>
      <w:tr w:rsidR="008B4D7D" w:rsidRPr="00250F32" w14:paraId="58AC300D" w14:textId="77777777" w:rsidTr="00355C8D">
        <w:tc>
          <w:tcPr>
            <w:tcW w:w="1928" w:type="dxa"/>
            <w:shd w:val="clear" w:color="auto" w:fill="auto"/>
          </w:tcPr>
          <w:p w14:paraId="2D5FC6DA" w14:textId="77777777" w:rsidR="00A02BFB" w:rsidRPr="00250F32" w:rsidRDefault="00A02BFB" w:rsidP="00250F32">
            <w:pPr>
              <w:spacing w:before="40" w:after="120"/>
              <w:ind w:right="113"/>
            </w:pPr>
            <w:r w:rsidRPr="00250F32">
              <w:t>CESCR</w:t>
            </w:r>
          </w:p>
        </w:tc>
        <w:tc>
          <w:tcPr>
            <w:tcW w:w="1928" w:type="dxa"/>
            <w:shd w:val="clear" w:color="auto" w:fill="auto"/>
          </w:tcPr>
          <w:p w14:paraId="4E5C586F" w14:textId="27BA756B" w:rsidR="00A02BFB" w:rsidRPr="00250F32" w:rsidRDefault="005A7B75" w:rsidP="00250F32">
            <w:pPr>
              <w:spacing w:before="40" w:after="120"/>
              <w:ind w:right="113"/>
            </w:pPr>
            <w:r w:rsidRPr="00250F32">
              <w:t>--</w:t>
            </w:r>
          </w:p>
        </w:tc>
        <w:tc>
          <w:tcPr>
            <w:tcW w:w="1927" w:type="dxa"/>
            <w:shd w:val="clear" w:color="auto" w:fill="auto"/>
          </w:tcPr>
          <w:p w14:paraId="47B97FDA" w14:textId="28806A4E" w:rsidR="00A02BFB" w:rsidRPr="00250F32" w:rsidRDefault="005A7B75" w:rsidP="00250F32">
            <w:pPr>
              <w:spacing w:before="40" w:after="120"/>
              <w:ind w:right="113"/>
            </w:pPr>
            <w:r w:rsidRPr="00250F32">
              <w:t>2018</w:t>
            </w:r>
          </w:p>
        </w:tc>
        <w:tc>
          <w:tcPr>
            <w:tcW w:w="1927" w:type="dxa"/>
            <w:shd w:val="clear" w:color="auto" w:fill="auto"/>
          </w:tcPr>
          <w:p w14:paraId="326AACC2" w14:textId="0633F4ED" w:rsidR="00A02BFB" w:rsidRPr="00250F32" w:rsidRDefault="00CC5BF1" w:rsidP="00250F32">
            <w:pPr>
              <w:spacing w:before="40" w:after="120"/>
              <w:ind w:right="113"/>
            </w:pPr>
            <w:r w:rsidRPr="00250F32">
              <w:t>October 2018</w:t>
            </w:r>
          </w:p>
        </w:tc>
        <w:tc>
          <w:tcPr>
            <w:tcW w:w="1927" w:type="dxa"/>
            <w:shd w:val="clear" w:color="auto" w:fill="auto"/>
          </w:tcPr>
          <w:p w14:paraId="41724ACB" w14:textId="563EF035" w:rsidR="00A02BFB" w:rsidRPr="00250F32" w:rsidRDefault="00DE67FE" w:rsidP="00250F32">
            <w:pPr>
              <w:spacing w:before="40" w:after="120"/>
              <w:ind w:right="113"/>
            </w:pPr>
            <w:r w:rsidRPr="00250F32">
              <w:t xml:space="preserve">Second report due </w:t>
            </w:r>
            <w:r w:rsidR="00355C8D">
              <w:br/>
            </w:r>
            <w:r w:rsidRPr="00250F32">
              <w:t>in October 2023.</w:t>
            </w:r>
          </w:p>
        </w:tc>
      </w:tr>
      <w:tr w:rsidR="008B4D7D" w:rsidRPr="00250F32" w14:paraId="21E3975A" w14:textId="77777777" w:rsidTr="00355C8D">
        <w:tc>
          <w:tcPr>
            <w:tcW w:w="1928" w:type="dxa"/>
            <w:shd w:val="clear" w:color="auto" w:fill="auto"/>
          </w:tcPr>
          <w:p w14:paraId="60BC488C" w14:textId="77777777" w:rsidR="00A02BFB" w:rsidRPr="00250F32" w:rsidRDefault="00A02BFB" w:rsidP="00250F32">
            <w:pPr>
              <w:spacing w:before="40" w:after="120"/>
              <w:ind w:right="113"/>
            </w:pPr>
            <w:r w:rsidRPr="00250F32">
              <w:t>HR Committee</w:t>
            </w:r>
          </w:p>
        </w:tc>
        <w:tc>
          <w:tcPr>
            <w:tcW w:w="1928" w:type="dxa"/>
            <w:shd w:val="clear" w:color="auto" w:fill="auto"/>
          </w:tcPr>
          <w:p w14:paraId="32381D4B" w14:textId="0129BE70" w:rsidR="00A02BFB" w:rsidRPr="00250F32" w:rsidRDefault="00FE4AFB" w:rsidP="00250F32">
            <w:pPr>
              <w:spacing w:before="40" w:after="120"/>
              <w:ind w:right="113"/>
            </w:pPr>
            <w:r w:rsidRPr="00250F32">
              <w:t>--</w:t>
            </w:r>
          </w:p>
        </w:tc>
        <w:tc>
          <w:tcPr>
            <w:tcW w:w="1927" w:type="dxa"/>
            <w:shd w:val="clear" w:color="auto" w:fill="auto"/>
          </w:tcPr>
          <w:p w14:paraId="2DC89872" w14:textId="5093F591" w:rsidR="00A02BFB" w:rsidRPr="00250F32" w:rsidRDefault="00FE4AFB" w:rsidP="00250F32">
            <w:pPr>
              <w:spacing w:before="40" w:after="120"/>
              <w:ind w:right="113"/>
            </w:pPr>
            <w:r w:rsidRPr="00250F32">
              <w:t>--</w:t>
            </w:r>
          </w:p>
        </w:tc>
        <w:tc>
          <w:tcPr>
            <w:tcW w:w="1927" w:type="dxa"/>
            <w:shd w:val="clear" w:color="auto" w:fill="auto"/>
          </w:tcPr>
          <w:p w14:paraId="038D0ADC" w14:textId="678EAE44" w:rsidR="00A02BFB" w:rsidRPr="00250F32" w:rsidRDefault="00FE4AFB" w:rsidP="00250F32">
            <w:pPr>
              <w:spacing w:before="40" w:after="120"/>
              <w:ind w:right="113"/>
            </w:pPr>
            <w:r w:rsidRPr="00250F32">
              <w:t>--</w:t>
            </w:r>
          </w:p>
        </w:tc>
        <w:tc>
          <w:tcPr>
            <w:tcW w:w="1927" w:type="dxa"/>
            <w:shd w:val="clear" w:color="auto" w:fill="auto"/>
          </w:tcPr>
          <w:p w14:paraId="54E64B4C" w14:textId="36AEF51E" w:rsidR="00A02BFB" w:rsidRPr="00250F32" w:rsidRDefault="00FE4AFB" w:rsidP="00250F32">
            <w:pPr>
              <w:spacing w:before="40" w:after="120"/>
              <w:ind w:right="113"/>
            </w:pPr>
            <w:r w:rsidRPr="00250F32">
              <w:t>Third report overdue since 2005.</w:t>
            </w:r>
          </w:p>
        </w:tc>
      </w:tr>
      <w:tr w:rsidR="008B4D7D" w:rsidRPr="00250F32" w14:paraId="360016ED" w14:textId="77777777" w:rsidTr="00355C8D">
        <w:tc>
          <w:tcPr>
            <w:tcW w:w="1928" w:type="dxa"/>
            <w:shd w:val="clear" w:color="auto" w:fill="auto"/>
          </w:tcPr>
          <w:p w14:paraId="33320B06" w14:textId="77777777" w:rsidR="00A02BFB" w:rsidRPr="00250F32" w:rsidRDefault="00A02BFB" w:rsidP="00250F32">
            <w:pPr>
              <w:spacing w:before="40" w:after="120"/>
              <w:ind w:right="113"/>
            </w:pPr>
            <w:r w:rsidRPr="00250F32">
              <w:t>CEDAW</w:t>
            </w:r>
          </w:p>
        </w:tc>
        <w:tc>
          <w:tcPr>
            <w:tcW w:w="1928" w:type="dxa"/>
            <w:shd w:val="clear" w:color="auto" w:fill="auto"/>
          </w:tcPr>
          <w:p w14:paraId="21DDA8EB" w14:textId="4A3F11E5" w:rsidR="00A02BFB" w:rsidRPr="00250F32" w:rsidRDefault="001B790E" w:rsidP="00250F32">
            <w:pPr>
              <w:spacing w:before="40" w:after="120"/>
              <w:ind w:right="113"/>
            </w:pPr>
            <w:r w:rsidRPr="00250F32">
              <w:t xml:space="preserve">July </w:t>
            </w:r>
            <w:r w:rsidR="006C6484" w:rsidRPr="00250F32">
              <w:t>2016</w:t>
            </w:r>
          </w:p>
        </w:tc>
        <w:tc>
          <w:tcPr>
            <w:tcW w:w="1927" w:type="dxa"/>
            <w:shd w:val="clear" w:color="auto" w:fill="auto"/>
          </w:tcPr>
          <w:p w14:paraId="4FA5FAA4" w14:textId="4DF92962" w:rsidR="00A02BFB" w:rsidRPr="00250F32" w:rsidRDefault="00BD251D" w:rsidP="00250F32">
            <w:pPr>
              <w:spacing w:before="40" w:after="120"/>
              <w:ind w:right="113"/>
            </w:pPr>
            <w:r w:rsidRPr="00250F32">
              <w:t>--</w:t>
            </w:r>
          </w:p>
        </w:tc>
        <w:tc>
          <w:tcPr>
            <w:tcW w:w="1927" w:type="dxa"/>
            <w:shd w:val="clear" w:color="auto" w:fill="auto"/>
          </w:tcPr>
          <w:p w14:paraId="2D8D330E" w14:textId="50EFB8EE" w:rsidR="00A02BFB" w:rsidRPr="00250F32" w:rsidRDefault="00BD251D" w:rsidP="00250F32">
            <w:pPr>
              <w:spacing w:before="40" w:after="120"/>
              <w:ind w:right="113"/>
            </w:pPr>
            <w:r w:rsidRPr="00250F32">
              <w:t>--</w:t>
            </w:r>
          </w:p>
        </w:tc>
        <w:tc>
          <w:tcPr>
            <w:tcW w:w="1927" w:type="dxa"/>
            <w:shd w:val="clear" w:color="auto" w:fill="auto"/>
          </w:tcPr>
          <w:p w14:paraId="1CEC72E2" w14:textId="43122B2F" w:rsidR="00A02BFB" w:rsidRPr="00250F32" w:rsidRDefault="001B790E" w:rsidP="00250F32">
            <w:pPr>
              <w:spacing w:before="40" w:after="120"/>
              <w:ind w:right="113"/>
            </w:pPr>
            <w:r w:rsidRPr="00250F32">
              <w:rPr>
                <w:bCs/>
              </w:rPr>
              <w:t xml:space="preserve">Eighth </w:t>
            </w:r>
            <w:r w:rsidR="006C6484" w:rsidRPr="00250F32">
              <w:rPr>
                <w:bCs/>
              </w:rPr>
              <w:t xml:space="preserve">report </w:t>
            </w:r>
            <w:r w:rsidRPr="00250F32">
              <w:rPr>
                <w:bCs/>
              </w:rPr>
              <w:t>overdue s</w:t>
            </w:r>
            <w:r w:rsidR="006C6484" w:rsidRPr="00250F32">
              <w:rPr>
                <w:bCs/>
              </w:rPr>
              <w:t>in</w:t>
            </w:r>
            <w:r w:rsidRPr="00250F32">
              <w:rPr>
                <w:bCs/>
              </w:rPr>
              <w:t>ce</w:t>
            </w:r>
            <w:r w:rsidR="006C6484" w:rsidRPr="00250F32">
              <w:rPr>
                <w:bCs/>
              </w:rPr>
              <w:t xml:space="preserve"> 2020</w:t>
            </w:r>
            <w:r w:rsidRPr="00250F32">
              <w:rPr>
                <w:bCs/>
              </w:rPr>
              <w:t>.</w:t>
            </w:r>
          </w:p>
        </w:tc>
      </w:tr>
      <w:tr w:rsidR="008B4D7D" w:rsidRPr="00250F32" w14:paraId="0EB4D214" w14:textId="77777777" w:rsidTr="00355C8D">
        <w:tc>
          <w:tcPr>
            <w:tcW w:w="1928" w:type="dxa"/>
            <w:shd w:val="clear" w:color="auto" w:fill="auto"/>
          </w:tcPr>
          <w:p w14:paraId="3C7C5F3C" w14:textId="77777777" w:rsidR="00A02BFB" w:rsidRPr="00250F32" w:rsidRDefault="00A02BFB" w:rsidP="00250F32">
            <w:pPr>
              <w:spacing w:before="40" w:after="120"/>
              <w:ind w:right="113"/>
            </w:pPr>
            <w:r w:rsidRPr="00250F32">
              <w:t>CAT</w:t>
            </w:r>
          </w:p>
        </w:tc>
        <w:tc>
          <w:tcPr>
            <w:tcW w:w="1928" w:type="dxa"/>
            <w:shd w:val="clear" w:color="auto" w:fill="auto"/>
          </w:tcPr>
          <w:p w14:paraId="0A5E522C" w14:textId="52E24749" w:rsidR="00A02BFB" w:rsidRPr="00250F32" w:rsidRDefault="00130EC9" w:rsidP="00250F32">
            <w:pPr>
              <w:spacing w:before="40" w:after="120"/>
              <w:ind w:right="113"/>
            </w:pPr>
            <w:r w:rsidRPr="00250F32">
              <w:t>--</w:t>
            </w:r>
          </w:p>
        </w:tc>
        <w:tc>
          <w:tcPr>
            <w:tcW w:w="1927" w:type="dxa"/>
            <w:shd w:val="clear" w:color="auto" w:fill="auto"/>
          </w:tcPr>
          <w:p w14:paraId="5F831F80" w14:textId="17B8661C" w:rsidR="00A02BFB" w:rsidRPr="00250F32" w:rsidRDefault="00130EC9" w:rsidP="00250F32">
            <w:pPr>
              <w:spacing w:before="40" w:after="120"/>
              <w:ind w:right="113"/>
            </w:pPr>
            <w:r w:rsidRPr="00250F32">
              <w:t>--</w:t>
            </w:r>
          </w:p>
        </w:tc>
        <w:tc>
          <w:tcPr>
            <w:tcW w:w="1927" w:type="dxa"/>
            <w:shd w:val="clear" w:color="auto" w:fill="auto"/>
          </w:tcPr>
          <w:p w14:paraId="445C5036" w14:textId="538A48DE" w:rsidR="00A02BFB" w:rsidRPr="00250F32" w:rsidRDefault="00130EC9" w:rsidP="00250F32">
            <w:pPr>
              <w:spacing w:before="40" w:after="120"/>
              <w:ind w:right="113"/>
            </w:pPr>
            <w:r w:rsidRPr="00250F32">
              <w:t>--</w:t>
            </w:r>
          </w:p>
        </w:tc>
        <w:tc>
          <w:tcPr>
            <w:tcW w:w="1927" w:type="dxa"/>
            <w:shd w:val="clear" w:color="auto" w:fill="auto"/>
          </w:tcPr>
          <w:p w14:paraId="247DF1E0" w14:textId="67F5A6E1" w:rsidR="00A02BFB" w:rsidRPr="00250F32" w:rsidRDefault="00130EC9" w:rsidP="00250F32">
            <w:pPr>
              <w:spacing w:before="40" w:after="120"/>
              <w:ind w:right="113"/>
            </w:pPr>
            <w:r w:rsidRPr="00250F32">
              <w:t>Initial report overdue since 2000.</w:t>
            </w:r>
          </w:p>
        </w:tc>
      </w:tr>
      <w:tr w:rsidR="008B4D7D" w:rsidRPr="00250F32" w14:paraId="23C350E4" w14:textId="77777777" w:rsidTr="00355C8D">
        <w:tc>
          <w:tcPr>
            <w:tcW w:w="1928" w:type="dxa"/>
            <w:shd w:val="clear" w:color="auto" w:fill="auto"/>
          </w:tcPr>
          <w:p w14:paraId="49EC097B" w14:textId="77777777" w:rsidR="00A02BFB" w:rsidRPr="00250F32" w:rsidRDefault="00A02BFB" w:rsidP="00250F32">
            <w:pPr>
              <w:spacing w:before="40" w:after="120"/>
              <w:ind w:right="113"/>
            </w:pPr>
            <w:r w:rsidRPr="00250F32">
              <w:t>CRC</w:t>
            </w:r>
          </w:p>
        </w:tc>
        <w:tc>
          <w:tcPr>
            <w:tcW w:w="1928" w:type="dxa"/>
            <w:shd w:val="clear" w:color="auto" w:fill="auto"/>
          </w:tcPr>
          <w:p w14:paraId="7F3480B5" w14:textId="2023C0E2" w:rsidR="00A02BFB" w:rsidRPr="00250F32" w:rsidRDefault="005939D4" w:rsidP="00250F32">
            <w:pPr>
              <w:spacing w:before="40" w:after="120"/>
              <w:ind w:right="113"/>
            </w:pPr>
            <w:r w:rsidRPr="00250F32">
              <w:t>--</w:t>
            </w:r>
          </w:p>
        </w:tc>
        <w:tc>
          <w:tcPr>
            <w:tcW w:w="1927" w:type="dxa"/>
            <w:shd w:val="clear" w:color="auto" w:fill="auto"/>
          </w:tcPr>
          <w:p w14:paraId="1C3A9578" w14:textId="7330FE03" w:rsidR="00A02BFB" w:rsidRPr="00250F32" w:rsidRDefault="005939D4" w:rsidP="00250F32">
            <w:pPr>
              <w:spacing w:before="40" w:after="120"/>
              <w:ind w:right="113"/>
            </w:pPr>
            <w:r w:rsidRPr="00250F32">
              <w:t>2020</w:t>
            </w:r>
          </w:p>
        </w:tc>
        <w:tc>
          <w:tcPr>
            <w:tcW w:w="1927" w:type="dxa"/>
            <w:shd w:val="clear" w:color="auto" w:fill="auto"/>
          </w:tcPr>
          <w:p w14:paraId="0E84DDDC" w14:textId="0DAE1C8D" w:rsidR="00A02BFB" w:rsidRPr="00250F32" w:rsidRDefault="005939D4" w:rsidP="00250F32">
            <w:pPr>
              <w:spacing w:before="40" w:after="120"/>
              <w:ind w:right="113"/>
            </w:pPr>
            <w:r w:rsidRPr="00250F32">
              <w:t>--</w:t>
            </w:r>
          </w:p>
        </w:tc>
        <w:tc>
          <w:tcPr>
            <w:tcW w:w="1927" w:type="dxa"/>
            <w:shd w:val="clear" w:color="auto" w:fill="auto"/>
          </w:tcPr>
          <w:p w14:paraId="1A3FFC6B" w14:textId="501E6B88" w:rsidR="00A02BFB" w:rsidRPr="00250F32" w:rsidRDefault="008D570C" w:rsidP="00250F32">
            <w:pPr>
              <w:spacing w:before="40" w:after="120"/>
              <w:ind w:right="113"/>
            </w:pPr>
            <w:r w:rsidRPr="00250F32">
              <w:t xml:space="preserve">Third to fifth reports pending </w:t>
            </w:r>
            <w:r w:rsidRPr="00250F32">
              <w:lastRenderedPageBreak/>
              <w:t>consideration</w:t>
            </w:r>
            <w:r w:rsidR="001B1A71" w:rsidRPr="00250F32">
              <w:t>.</w:t>
            </w:r>
            <w:r w:rsidR="004D5FD1" w:rsidRPr="00250F32">
              <w:t xml:space="preserve"> Initial reports to OP-CRC-AC and OP-CRC-SC overdue since 2004.</w:t>
            </w:r>
          </w:p>
        </w:tc>
      </w:tr>
      <w:tr w:rsidR="008B4D7D" w:rsidRPr="00250F32" w14:paraId="2627FA8C" w14:textId="77777777" w:rsidTr="00355C8D">
        <w:tc>
          <w:tcPr>
            <w:tcW w:w="1928" w:type="dxa"/>
            <w:shd w:val="clear" w:color="auto" w:fill="auto"/>
          </w:tcPr>
          <w:p w14:paraId="17030143" w14:textId="77777777" w:rsidR="00A02BFB" w:rsidRPr="00250F32" w:rsidRDefault="00A02BFB" w:rsidP="00250F32">
            <w:pPr>
              <w:spacing w:before="40" w:after="120"/>
              <w:ind w:right="113"/>
            </w:pPr>
            <w:r w:rsidRPr="00250F32">
              <w:lastRenderedPageBreak/>
              <w:t>CMW</w:t>
            </w:r>
          </w:p>
        </w:tc>
        <w:tc>
          <w:tcPr>
            <w:tcW w:w="1928" w:type="dxa"/>
            <w:shd w:val="clear" w:color="auto" w:fill="auto"/>
          </w:tcPr>
          <w:p w14:paraId="69543749" w14:textId="685D2DEF" w:rsidR="00A02BFB" w:rsidRPr="00250F32" w:rsidRDefault="0076446A" w:rsidP="00250F32">
            <w:pPr>
              <w:spacing w:before="40" w:after="120"/>
              <w:ind w:right="113"/>
            </w:pPr>
            <w:r w:rsidRPr="00250F32">
              <w:t>April 2014</w:t>
            </w:r>
          </w:p>
        </w:tc>
        <w:tc>
          <w:tcPr>
            <w:tcW w:w="1927" w:type="dxa"/>
            <w:shd w:val="clear" w:color="auto" w:fill="auto"/>
          </w:tcPr>
          <w:p w14:paraId="5ED9E474" w14:textId="44CF1449" w:rsidR="00A02BFB" w:rsidRPr="00250F32" w:rsidRDefault="00D81AF5" w:rsidP="00250F32">
            <w:pPr>
              <w:spacing w:before="40" w:after="120"/>
              <w:ind w:right="113"/>
            </w:pPr>
            <w:r w:rsidRPr="00250F32">
              <w:t>--</w:t>
            </w:r>
          </w:p>
        </w:tc>
        <w:tc>
          <w:tcPr>
            <w:tcW w:w="1927" w:type="dxa"/>
            <w:shd w:val="clear" w:color="auto" w:fill="auto"/>
          </w:tcPr>
          <w:p w14:paraId="681E166C" w14:textId="5154973A" w:rsidR="00A02BFB" w:rsidRPr="00250F32" w:rsidRDefault="00D81AF5" w:rsidP="00250F32">
            <w:pPr>
              <w:spacing w:before="40" w:after="120"/>
              <w:ind w:right="113"/>
            </w:pPr>
            <w:r w:rsidRPr="00250F32">
              <w:t>--</w:t>
            </w:r>
          </w:p>
        </w:tc>
        <w:tc>
          <w:tcPr>
            <w:tcW w:w="1927" w:type="dxa"/>
            <w:shd w:val="clear" w:color="auto" w:fill="auto"/>
          </w:tcPr>
          <w:p w14:paraId="654F16BB" w14:textId="235D5A45" w:rsidR="00A02BFB" w:rsidRPr="00250F32" w:rsidRDefault="00D81AF5" w:rsidP="00250F32">
            <w:pPr>
              <w:spacing w:before="40" w:after="120"/>
              <w:ind w:right="113"/>
            </w:pPr>
            <w:r w:rsidRPr="00250F32">
              <w:t>Third report overdue since 2019.</w:t>
            </w:r>
          </w:p>
        </w:tc>
      </w:tr>
      <w:tr w:rsidR="008B4D7D" w:rsidRPr="00250F32" w14:paraId="68E6CC0A" w14:textId="77777777" w:rsidTr="00355C8D">
        <w:tc>
          <w:tcPr>
            <w:tcW w:w="1928" w:type="dxa"/>
            <w:shd w:val="clear" w:color="auto" w:fill="auto"/>
          </w:tcPr>
          <w:p w14:paraId="66C394F0" w14:textId="77777777" w:rsidR="00A02BFB" w:rsidRPr="00250F32" w:rsidRDefault="00A02BFB" w:rsidP="00250F32">
            <w:pPr>
              <w:spacing w:before="40" w:after="120"/>
              <w:ind w:right="113"/>
            </w:pPr>
            <w:r w:rsidRPr="00250F32">
              <w:t>CRPD</w:t>
            </w:r>
          </w:p>
        </w:tc>
        <w:tc>
          <w:tcPr>
            <w:tcW w:w="1928" w:type="dxa"/>
            <w:shd w:val="clear" w:color="auto" w:fill="auto"/>
          </w:tcPr>
          <w:p w14:paraId="7835B159" w14:textId="67E1AEFF" w:rsidR="00A02BFB" w:rsidRPr="00250F32" w:rsidRDefault="00801179" w:rsidP="00250F32">
            <w:pPr>
              <w:spacing w:before="40" w:after="120"/>
              <w:ind w:right="113"/>
            </w:pPr>
            <w:r w:rsidRPr="00250F32">
              <w:t>--</w:t>
            </w:r>
          </w:p>
        </w:tc>
        <w:tc>
          <w:tcPr>
            <w:tcW w:w="1927" w:type="dxa"/>
            <w:shd w:val="clear" w:color="auto" w:fill="auto"/>
          </w:tcPr>
          <w:p w14:paraId="3EE18E54" w14:textId="120305F1" w:rsidR="00A02BFB" w:rsidRPr="00250F32" w:rsidRDefault="00801179" w:rsidP="00250F32">
            <w:pPr>
              <w:spacing w:before="40" w:after="120"/>
              <w:ind w:right="113"/>
            </w:pPr>
            <w:r w:rsidRPr="00250F32">
              <w:t>2019</w:t>
            </w:r>
          </w:p>
        </w:tc>
        <w:tc>
          <w:tcPr>
            <w:tcW w:w="1927" w:type="dxa"/>
            <w:shd w:val="clear" w:color="auto" w:fill="auto"/>
          </w:tcPr>
          <w:p w14:paraId="6E1E150A" w14:textId="14346B1A" w:rsidR="00A02BFB" w:rsidRPr="00250F32" w:rsidRDefault="00801179" w:rsidP="00250F32">
            <w:pPr>
              <w:spacing w:before="40" w:after="120"/>
              <w:ind w:right="113"/>
            </w:pPr>
            <w:r w:rsidRPr="00250F32">
              <w:t>--</w:t>
            </w:r>
          </w:p>
        </w:tc>
        <w:tc>
          <w:tcPr>
            <w:tcW w:w="1927" w:type="dxa"/>
            <w:shd w:val="clear" w:color="auto" w:fill="auto"/>
          </w:tcPr>
          <w:p w14:paraId="131A0963" w14:textId="07BBBFA8" w:rsidR="00A02BFB" w:rsidRPr="00250F32" w:rsidRDefault="00801179" w:rsidP="00250F32">
            <w:pPr>
              <w:spacing w:before="40" w:after="120"/>
              <w:ind w:right="113"/>
            </w:pPr>
            <w:r w:rsidRPr="00250F32">
              <w:t>Initial report pending consideration.</w:t>
            </w:r>
          </w:p>
        </w:tc>
      </w:tr>
      <w:tr w:rsidR="008B4D7D" w:rsidRPr="00250F32" w14:paraId="5F824C9D" w14:textId="77777777" w:rsidTr="00355C8D">
        <w:tc>
          <w:tcPr>
            <w:tcW w:w="1928" w:type="dxa"/>
            <w:tcBorders>
              <w:bottom w:val="single" w:sz="12" w:space="0" w:color="auto"/>
            </w:tcBorders>
            <w:shd w:val="clear" w:color="auto" w:fill="auto"/>
          </w:tcPr>
          <w:p w14:paraId="792E9ADC" w14:textId="77777777" w:rsidR="00A02BFB" w:rsidRPr="00250F32" w:rsidRDefault="00A02BFB" w:rsidP="00250F32">
            <w:pPr>
              <w:spacing w:before="40" w:after="120"/>
              <w:ind w:right="113"/>
            </w:pPr>
            <w:r w:rsidRPr="00250F32">
              <w:t>CED</w:t>
            </w:r>
          </w:p>
        </w:tc>
        <w:tc>
          <w:tcPr>
            <w:tcW w:w="1928" w:type="dxa"/>
            <w:tcBorders>
              <w:bottom w:val="single" w:sz="12" w:space="0" w:color="auto"/>
            </w:tcBorders>
            <w:shd w:val="clear" w:color="auto" w:fill="auto"/>
          </w:tcPr>
          <w:p w14:paraId="0BF7D419" w14:textId="0960D7E3" w:rsidR="00A02BFB" w:rsidRPr="00250F32" w:rsidRDefault="00AA666A" w:rsidP="00250F32">
            <w:pPr>
              <w:spacing w:before="40" w:after="120"/>
              <w:ind w:right="113"/>
            </w:pPr>
            <w:r w:rsidRPr="00250F32">
              <w:t>--</w:t>
            </w:r>
          </w:p>
        </w:tc>
        <w:tc>
          <w:tcPr>
            <w:tcW w:w="1927" w:type="dxa"/>
            <w:tcBorders>
              <w:bottom w:val="single" w:sz="12" w:space="0" w:color="auto"/>
            </w:tcBorders>
            <w:shd w:val="clear" w:color="auto" w:fill="auto"/>
          </w:tcPr>
          <w:p w14:paraId="3D908565" w14:textId="59342C00" w:rsidR="00A02BFB" w:rsidRPr="00250F32" w:rsidRDefault="00AA666A" w:rsidP="00250F32">
            <w:pPr>
              <w:spacing w:before="40" w:after="120"/>
              <w:ind w:right="113"/>
            </w:pPr>
            <w:r w:rsidRPr="00250F32">
              <w:t>2020</w:t>
            </w:r>
          </w:p>
        </w:tc>
        <w:tc>
          <w:tcPr>
            <w:tcW w:w="1927" w:type="dxa"/>
            <w:tcBorders>
              <w:bottom w:val="single" w:sz="12" w:space="0" w:color="auto"/>
            </w:tcBorders>
            <w:shd w:val="clear" w:color="auto" w:fill="auto"/>
          </w:tcPr>
          <w:p w14:paraId="6C5A4403" w14:textId="5E4E1F98" w:rsidR="00A02BFB" w:rsidRPr="00250F32" w:rsidRDefault="0032511C" w:rsidP="00250F32">
            <w:pPr>
              <w:spacing w:before="40" w:after="120"/>
              <w:ind w:right="113"/>
            </w:pPr>
            <w:r w:rsidRPr="00250F32">
              <w:t>September 2022</w:t>
            </w:r>
          </w:p>
        </w:tc>
        <w:tc>
          <w:tcPr>
            <w:tcW w:w="1927" w:type="dxa"/>
            <w:tcBorders>
              <w:bottom w:val="single" w:sz="12" w:space="0" w:color="auto"/>
            </w:tcBorders>
            <w:shd w:val="clear" w:color="auto" w:fill="auto"/>
          </w:tcPr>
          <w:p w14:paraId="5DF01C80" w14:textId="5A94E1B2" w:rsidR="00A02BFB" w:rsidRPr="00250F32" w:rsidRDefault="00451328" w:rsidP="00250F32">
            <w:pPr>
              <w:spacing w:before="40" w:after="120"/>
              <w:ind w:right="113"/>
            </w:pPr>
            <w:r w:rsidRPr="00250F32">
              <w:t xml:space="preserve">Next report due </w:t>
            </w:r>
            <w:r w:rsidR="00355C8D">
              <w:br/>
            </w:r>
            <w:r w:rsidRPr="00250F32">
              <w:t>in 2025.</w:t>
            </w:r>
          </w:p>
        </w:tc>
      </w:tr>
    </w:tbl>
    <w:p w14:paraId="67A01BB5" w14:textId="1DA5904C" w:rsidR="00A02BFB" w:rsidRPr="00A02BFB" w:rsidRDefault="00DE4620" w:rsidP="00355C8D">
      <w:pPr>
        <w:pStyle w:val="H23G"/>
      </w:pPr>
      <w:r>
        <w:tab/>
      </w:r>
      <w:r w:rsidR="0022777B">
        <w:tab/>
      </w:r>
      <w:r w:rsidR="00A02BFB" w:rsidRPr="00A02BFB">
        <w:t xml:space="preserve">Country visits and/or inquiries by treaty bodies </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55C8D" w14:paraId="7F18180F" w14:textId="77777777" w:rsidTr="00355C8D">
        <w:trPr>
          <w:tblHeader/>
        </w:trPr>
        <w:tc>
          <w:tcPr>
            <w:tcW w:w="3211" w:type="dxa"/>
            <w:tcBorders>
              <w:top w:val="single" w:sz="4" w:space="0" w:color="auto"/>
              <w:bottom w:val="single" w:sz="12" w:space="0" w:color="auto"/>
            </w:tcBorders>
            <w:shd w:val="clear" w:color="auto" w:fill="auto"/>
            <w:vAlign w:val="bottom"/>
          </w:tcPr>
          <w:p w14:paraId="0453E0CC" w14:textId="77777777" w:rsidR="00A02BFB" w:rsidRPr="00355C8D" w:rsidRDefault="00A02BFB" w:rsidP="00355C8D">
            <w:pPr>
              <w:spacing w:before="80" w:after="80" w:line="200" w:lineRule="exact"/>
              <w:ind w:right="113"/>
              <w:rPr>
                <w:i/>
                <w:sz w:val="16"/>
              </w:rPr>
            </w:pPr>
            <w:r w:rsidRPr="00355C8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355C8D" w:rsidRDefault="00A02BFB" w:rsidP="00355C8D">
            <w:pPr>
              <w:spacing w:before="80" w:after="80" w:line="200" w:lineRule="exact"/>
              <w:ind w:right="113"/>
              <w:rPr>
                <w:i/>
                <w:sz w:val="16"/>
              </w:rPr>
            </w:pPr>
            <w:r w:rsidRPr="00355C8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355C8D" w:rsidRDefault="00A02BFB" w:rsidP="00355C8D">
            <w:pPr>
              <w:spacing w:before="80" w:after="80" w:line="200" w:lineRule="exact"/>
              <w:ind w:right="113"/>
              <w:rPr>
                <w:i/>
                <w:sz w:val="16"/>
              </w:rPr>
            </w:pPr>
            <w:r w:rsidRPr="00355C8D">
              <w:rPr>
                <w:i/>
                <w:sz w:val="16"/>
              </w:rPr>
              <w:t>Subject matter</w:t>
            </w:r>
          </w:p>
        </w:tc>
      </w:tr>
      <w:tr w:rsidR="00355C8D" w:rsidRPr="00355C8D" w14:paraId="55408CBC" w14:textId="77777777" w:rsidTr="00355C8D">
        <w:trPr>
          <w:trHeight w:hRule="exact" w:val="113"/>
        </w:trPr>
        <w:tc>
          <w:tcPr>
            <w:tcW w:w="3211" w:type="dxa"/>
            <w:tcBorders>
              <w:top w:val="single" w:sz="12" w:space="0" w:color="auto"/>
            </w:tcBorders>
            <w:shd w:val="clear" w:color="auto" w:fill="auto"/>
          </w:tcPr>
          <w:p w14:paraId="7CA1E0A7" w14:textId="77777777" w:rsidR="00355C8D" w:rsidRPr="00355C8D" w:rsidRDefault="00355C8D" w:rsidP="00355C8D">
            <w:pPr>
              <w:spacing w:before="40" w:after="120"/>
              <w:ind w:right="113"/>
            </w:pPr>
          </w:p>
        </w:tc>
        <w:tc>
          <w:tcPr>
            <w:tcW w:w="3213" w:type="dxa"/>
            <w:tcBorders>
              <w:top w:val="single" w:sz="12" w:space="0" w:color="auto"/>
            </w:tcBorders>
            <w:shd w:val="clear" w:color="auto" w:fill="auto"/>
          </w:tcPr>
          <w:p w14:paraId="6934593B" w14:textId="77777777" w:rsidR="00355C8D" w:rsidRPr="00355C8D" w:rsidRDefault="00355C8D" w:rsidP="00355C8D">
            <w:pPr>
              <w:spacing w:before="40" w:after="120"/>
              <w:ind w:right="113"/>
            </w:pPr>
          </w:p>
        </w:tc>
        <w:tc>
          <w:tcPr>
            <w:tcW w:w="3213" w:type="dxa"/>
            <w:tcBorders>
              <w:top w:val="single" w:sz="12" w:space="0" w:color="auto"/>
            </w:tcBorders>
            <w:shd w:val="clear" w:color="auto" w:fill="auto"/>
          </w:tcPr>
          <w:p w14:paraId="1850224C" w14:textId="77777777" w:rsidR="00355C8D" w:rsidRPr="00355C8D" w:rsidRDefault="00355C8D" w:rsidP="00355C8D">
            <w:pPr>
              <w:spacing w:before="40" w:after="120"/>
              <w:ind w:right="113"/>
            </w:pPr>
          </w:p>
        </w:tc>
      </w:tr>
      <w:tr w:rsidR="00F7206F" w:rsidRPr="00355C8D" w14:paraId="4650925A" w14:textId="77777777" w:rsidTr="00355C8D">
        <w:tc>
          <w:tcPr>
            <w:tcW w:w="3211" w:type="dxa"/>
            <w:tcBorders>
              <w:bottom w:val="single" w:sz="12" w:space="0" w:color="auto"/>
            </w:tcBorders>
            <w:shd w:val="clear" w:color="auto" w:fill="auto"/>
          </w:tcPr>
          <w:p w14:paraId="148E2F4E" w14:textId="32E433BA" w:rsidR="00F7206F" w:rsidRPr="00355C8D" w:rsidRDefault="00F7206F" w:rsidP="00355C8D">
            <w:pPr>
              <w:spacing w:before="40" w:after="120"/>
              <w:ind w:right="113"/>
            </w:pPr>
            <w:r w:rsidRPr="00355C8D">
              <w:t>CEDAW</w:t>
            </w:r>
          </w:p>
        </w:tc>
        <w:tc>
          <w:tcPr>
            <w:tcW w:w="3213" w:type="dxa"/>
            <w:tcBorders>
              <w:bottom w:val="single" w:sz="12" w:space="0" w:color="auto"/>
            </w:tcBorders>
            <w:shd w:val="clear" w:color="auto" w:fill="auto"/>
          </w:tcPr>
          <w:p w14:paraId="2DB98726" w14:textId="77A125A8" w:rsidR="00F7206F" w:rsidRPr="00355C8D" w:rsidRDefault="00F7206F" w:rsidP="00355C8D">
            <w:pPr>
              <w:spacing w:before="40" w:after="120"/>
              <w:ind w:right="113"/>
            </w:pPr>
            <w:r w:rsidRPr="00355C8D">
              <w:t>December 2018</w:t>
            </w:r>
          </w:p>
        </w:tc>
        <w:tc>
          <w:tcPr>
            <w:tcW w:w="3213" w:type="dxa"/>
            <w:tcBorders>
              <w:bottom w:val="single" w:sz="12" w:space="0" w:color="auto"/>
            </w:tcBorders>
            <w:shd w:val="clear" w:color="auto" w:fill="auto"/>
          </w:tcPr>
          <w:p w14:paraId="41827F0B" w14:textId="634A1776" w:rsidR="00F7206F" w:rsidRPr="00355C8D" w:rsidRDefault="00F7206F" w:rsidP="00355C8D">
            <w:pPr>
              <w:spacing w:before="40" w:after="120"/>
              <w:ind w:right="113"/>
            </w:pPr>
            <w:r w:rsidRPr="00355C8D">
              <w:t>Harmful practice of genital mutilation.</w:t>
            </w:r>
            <w:r w:rsidRPr="00355C8D">
              <w:rPr>
                <w:rStyle w:val="EndnoteReference"/>
                <w:sz w:val="20"/>
              </w:rPr>
              <w:endnoteReference w:id="11"/>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355C8D" w:rsidRPr="00355C8D" w14:paraId="792A5DB4" w14:textId="77777777" w:rsidTr="000E5297">
        <w:trPr>
          <w:tblHeader/>
        </w:trPr>
        <w:tc>
          <w:tcPr>
            <w:tcW w:w="3684" w:type="dxa"/>
            <w:tcBorders>
              <w:top w:val="single" w:sz="4" w:space="0" w:color="auto"/>
              <w:bottom w:val="single" w:sz="12" w:space="0" w:color="auto"/>
            </w:tcBorders>
            <w:shd w:val="clear" w:color="auto" w:fill="auto"/>
            <w:vAlign w:val="bottom"/>
          </w:tcPr>
          <w:p w14:paraId="7A8364F3" w14:textId="77777777" w:rsidR="00355C8D" w:rsidRPr="00355C8D" w:rsidRDefault="00355C8D" w:rsidP="00355C8D">
            <w:pPr>
              <w:spacing w:before="80" w:after="80" w:line="200" w:lineRule="exact"/>
              <w:ind w:right="113"/>
              <w:rPr>
                <w:i/>
                <w:sz w:val="16"/>
              </w:rPr>
            </w:pPr>
          </w:p>
        </w:tc>
        <w:tc>
          <w:tcPr>
            <w:tcW w:w="3686" w:type="dxa"/>
            <w:tcBorders>
              <w:top w:val="single" w:sz="4" w:space="0" w:color="auto"/>
              <w:bottom w:val="single" w:sz="12" w:space="0" w:color="auto"/>
            </w:tcBorders>
            <w:shd w:val="clear" w:color="auto" w:fill="auto"/>
            <w:vAlign w:val="bottom"/>
          </w:tcPr>
          <w:p w14:paraId="1D34443B" w14:textId="3ED6EB05" w:rsidR="00355C8D" w:rsidRPr="00355C8D" w:rsidRDefault="00355C8D" w:rsidP="00355C8D">
            <w:pPr>
              <w:spacing w:before="80" w:after="80" w:line="200" w:lineRule="exact"/>
              <w:ind w:right="113"/>
              <w:rPr>
                <w:i/>
                <w:sz w:val="16"/>
              </w:rPr>
            </w:pPr>
            <w:r w:rsidRPr="00355C8D">
              <w:rPr>
                <w:i/>
                <w:sz w:val="16"/>
              </w:rPr>
              <w:t>Status during the Period Under Review</w:t>
            </w:r>
          </w:p>
        </w:tc>
      </w:tr>
      <w:tr w:rsidR="00355C8D" w:rsidRPr="00355C8D" w14:paraId="75C4FB21" w14:textId="77777777" w:rsidTr="000E5297">
        <w:trPr>
          <w:trHeight w:hRule="exact" w:val="113"/>
        </w:trPr>
        <w:tc>
          <w:tcPr>
            <w:tcW w:w="3684" w:type="dxa"/>
            <w:tcBorders>
              <w:top w:val="single" w:sz="12" w:space="0" w:color="auto"/>
            </w:tcBorders>
            <w:shd w:val="clear" w:color="auto" w:fill="auto"/>
          </w:tcPr>
          <w:p w14:paraId="4FA83AF9" w14:textId="77777777" w:rsidR="00355C8D" w:rsidRPr="00355C8D" w:rsidRDefault="00355C8D" w:rsidP="00355C8D">
            <w:pPr>
              <w:spacing w:before="40" w:after="120"/>
              <w:ind w:right="113"/>
            </w:pPr>
          </w:p>
        </w:tc>
        <w:tc>
          <w:tcPr>
            <w:tcW w:w="3686" w:type="dxa"/>
            <w:tcBorders>
              <w:top w:val="single" w:sz="12" w:space="0" w:color="auto"/>
            </w:tcBorders>
            <w:shd w:val="clear" w:color="auto" w:fill="auto"/>
          </w:tcPr>
          <w:p w14:paraId="03EB5267" w14:textId="77777777" w:rsidR="00355C8D" w:rsidRPr="00355C8D" w:rsidRDefault="00355C8D" w:rsidP="00355C8D">
            <w:pPr>
              <w:spacing w:before="40" w:after="120"/>
              <w:ind w:right="113"/>
            </w:pPr>
          </w:p>
        </w:tc>
      </w:tr>
      <w:tr w:rsidR="00355C8D" w:rsidRPr="00355C8D" w14:paraId="74EB9C05" w14:textId="77777777" w:rsidTr="000E5297">
        <w:tc>
          <w:tcPr>
            <w:tcW w:w="3684" w:type="dxa"/>
            <w:shd w:val="clear" w:color="auto" w:fill="auto"/>
          </w:tcPr>
          <w:p w14:paraId="3A830976" w14:textId="77777777" w:rsidR="00355C8D" w:rsidRPr="001A7F3C" w:rsidRDefault="00355C8D" w:rsidP="00355C8D">
            <w:pPr>
              <w:spacing w:before="40" w:after="120"/>
              <w:ind w:right="113"/>
              <w:rPr>
                <w:i/>
                <w:iCs/>
              </w:rPr>
            </w:pPr>
            <w:r w:rsidRPr="001A7F3C">
              <w:rPr>
                <w:i/>
                <w:iCs/>
              </w:rPr>
              <w:t>Standing invitations</w:t>
            </w:r>
          </w:p>
        </w:tc>
        <w:tc>
          <w:tcPr>
            <w:tcW w:w="3686" w:type="dxa"/>
            <w:shd w:val="clear" w:color="auto" w:fill="auto"/>
          </w:tcPr>
          <w:p w14:paraId="63E21FD2" w14:textId="3BE29A95" w:rsidR="00355C8D" w:rsidRPr="00355C8D" w:rsidRDefault="00355C8D" w:rsidP="00355C8D">
            <w:pPr>
              <w:spacing w:before="40" w:after="120"/>
              <w:ind w:right="113"/>
            </w:pPr>
            <w:r w:rsidRPr="00355C8D">
              <w:t>NO</w:t>
            </w:r>
          </w:p>
        </w:tc>
      </w:tr>
      <w:tr w:rsidR="00355C8D" w:rsidRPr="00355C8D" w14:paraId="320EF477" w14:textId="77777777" w:rsidTr="000E5297">
        <w:tc>
          <w:tcPr>
            <w:tcW w:w="3684" w:type="dxa"/>
            <w:shd w:val="clear" w:color="auto" w:fill="auto"/>
          </w:tcPr>
          <w:p w14:paraId="0DCD58C4" w14:textId="4CECF160" w:rsidR="00355C8D" w:rsidRPr="001A7F3C" w:rsidRDefault="00355C8D" w:rsidP="00355C8D">
            <w:pPr>
              <w:spacing w:before="40" w:after="120"/>
              <w:ind w:right="113"/>
              <w:rPr>
                <w:i/>
                <w:iCs/>
              </w:rPr>
            </w:pPr>
            <w:r w:rsidRPr="001A7F3C">
              <w:rPr>
                <w:i/>
                <w:iCs/>
              </w:rPr>
              <w:t>Visits undertaken during the period under review</w:t>
            </w:r>
          </w:p>
        </w:tc>
        <w:tc>
          <w:tcPr>
            <w:tcW w:w="3686" w:type="dxa"/>
            <w:shd w:val="clear" w:color="auto" w:fill="auto"/>
          </w:tcPr>
          <w:p w14:paraId="59191387" w14:textId="06493E32" w:rsidR="00355C8D" w:rsidRPr="00355C8D" w:rsidRDefault="00355C8D" w:rsidP="00355C8D">
            <w:pPr>
              <w:spacing w:before="40" w:after="120"/>
              <w:ind w:right="113"/>
            </w:pPr>
            <w:r w:rsidRPr="00355C8D">
              <w:t>Mali (2019, 2020, 2021, 202</w:t>
            </w:r>
            <w:r w:rsidR="00E87554">
              <w:t>2</w:t>
            </w:r>
            <w:r w:rsidRPr="00355C8D">
              <w:t>)</w:t>
            </w:r>
          </w:p>
        </w:tc>
      </w:tr>
      <w:tr w:rsidR="00355C8D" w:rsidRPr="00355C8D" w14:paraId="28AF975B" w14:textId="77777777" w:rsidTr="000E5297">
        <w:tc>
          <w:tcPr>
            <w:tcW w:w="3684" w:type="dxa"/>
            <w:shd w:val="clear" w:color="auto" w:fill="auto"/>
          </w:tcPr>
          <w:p w14:paraId="02C54B95" w14:textId="73C3EA23" w:rsidR="00355C8D" w:rsidRPr="001A7F3C" w:rsidRDefault="00355C8D" w:rsidP="00355C8D">
            <w:pPr>
              <w:spacing w:before="40" w:after="120"/>
              <w:ind w:right="113"/>
              <w:rPr>
                <w:i/>
                <w:iCs/>
              </w:rPr>
            </w:pPr>
            <w:r w:rsidRPr="001A7F3C">
              <w:rPr>
                <w:i/>
                <w:iCs/>
              </w:rPr>
              <w:t xml:space="preserve">Visits agreed to in principle during the period </w:t>
            </w:r>
            <w:r w:rsidR="001A7F3C">
              <w:rPr>
                <w:i/>
                <w:iCs/>
              </w:rPr>
              <w:br/>
            </w:r>
            <w:r w:rsidRPr="001A7F3C">
              <w:rPr>
                <w:i/>
                <w:iCs/>
              </w:rPr>
              <w:t>under review</w:t>
            </w:r>
          </w:p>
        </w:tc>
        <w:tc>
          <w:tcPr>
            <w:tcW w:w="3686" w:type="dxa"/>
            <w:shd w:val="clear" w:color="auto" w:fill="auto"/>
          </w:tcPr>
          <w:p w14:paraId="7EDF4623" w14:textId="3C0B7334" w:rsidR="00355C8D" w:rsidRPr="00355C8D" w:rsidRDefault="00355C8D" w:rsidP="00355C8D">
            <w:pPr>
              <w:spacing w:before="40" w:after="120"/>
              <w:ind w:right="113"/>
              <w:rPr>
                <w:rFonts w:eastAsia="Calibri"/>
                <w:lang w:eastAsia="en-GB"/>
              </w:rPr>
            </w:pPr>
            <w:r w:rsidRPr="00355C8D">
              <w:rPr>
                <w:rFonts w:eastAsia="Calibri"/>
                <w:lang w:eastAsia="en-GB"/>
              </w:rPr>
              <w:t>Mali</w:t>
            </w:r>
          </w:p>
          <w:p w14:paraId="1E4F788B" w14:textId="7F2E9C61" w:rsidR="00355C8D" w:rsidRPr="00355C8D" w:rsidRDefault="00355C8D" w:rsidP="00355C8D">
            <w:pPr>
              <w:spacing w:before="40" w:after="120"/>
              <w:ind w:right="113"/>
              <w:rPr>
                <w:rFonts w:eastAsia="Calibri"/>
                <w:lang w:eastAsia="en-GB"/>
              </w:rPr>
            </w:pPr>
            <w:r w:rsidRPr="00355C8D">
              <w:rPr>
                <w:rFonts w:eastAsia="Calibri"/>
                <w:lang w:eastAsia="en-GB"/>
              </w:rPr>
              <w:t>Migrants</w:t>
            </w:r>
          </w:p>
          <w:p w14:paraId="57D1DA46" w14:textId="55A32B4D" w:rsidR="00355C8D" w:rsidRPr="00355C8D" w:rsidRDefault="00355C8D" w:rsidP="00355C8D">
            <w:pPr>
              <w:spacing w:before="40" w:after="120"/>
              <w:ind w:right="113"/>
              <w:rPr>
                <w:rFonts w:eastAsia="Calibri"/>
                <w:lang w:eastAsia="en-GB"/>
              </w:rPr>
            </w:pPr>
            <w:r w:rsidRPr="00355C8D">
              <w:rPr>
                <w:rFonts w:eastAsia="Calibri"/>
                <w:lang w:eastAsia="en-GB"/>
              </w:rPr>
              <w:t>Disappearances</w:t>
            </w:r>
          </w:p>
        </w:tc>
      </w:tr>
      <w:tr w:rsidR="00355C8D" w:rsidRPr="00355C8D" w14:paraId="5C005308" w14:textId="77777777" w:rsidTr="000E5297">
        <w:tc>
          <w:tcPr>
            <w:tcW w:w="3684" w:type="dxa"/>
            <w:tcBorders>
              <w:bottom w:val="single" w:sz="12" w:space="0" w:color="auto"/>
            </w:tcBorders>
            <w:shd w:val="clear" w:color="auto" w:fill="auto"/>
          </w:tcPr>
          <w:p w14:paraId="734E556C" w14:textId="5963E9AD" w:rsidR="00355C8D" w:rsidRPr="001A7F3C" w:rsidRDefault="00355C8D" w:rsidP="00355C8D">
            <w:pPr>
              <w:spacing w:before="40" w:after="120"/>
              <w:ind w:right="113"/>
              <w:rPr>
                <w:i/>
                <w:iCs/>
              </w:rPr>
            </w:pPr>
            <w:r w:rsidRPr="001A7F3C">
              <w:rPr>
                <w:i/>
                <w:iCs/>
              </w:rPr>
              <w:t>Visits requested during the period under review</w:t>
            </w:r>
          </w:p>
        </w:tc>
        <w:tc>
          <w:tcPr>
            <w:tcW w:w="3686" w:type="dxa"/>
            <w:tcBorders>
              <w:bottom w:val="single" w:sz="12" w:space="0" w:color="auto"/>
            </w:tcBorders>
            <w:shd w:val="clear" w:color="auto" w:fill="auto"/>
          </w:tcPr>
          <w:p w14:paraId="02F28B1C" w14:textId="7A6859FC" w:rsidR="00355C8D" w:rsidRPr="00355C8D" w:rsidRDefault="00355C8D" w:rsidP="00355C8D">
            <w:pPr>
              <w:spacing w:before="40" w:after="120"/>
              <w:ind w:right="113"/>
            </w:pPr>
            <w:r w:rsidRPr="00355C8D">
              <w:t>Torture (2019)</w:t>
            </w:r>
          </w:p>
          <w:p w14:paraId="2DCF66F9" w14:textId="10ADBAC5" w:rsidR="00355C8D" w:rsidRPr="00355C8D" w:rsidRDefault="00355C8D" w:rsidP="00355C8D">
            <w:pPr>
              <w:spacing w:before="40" w:after="120"/>
              <w:ind w:right="113"/>
            </w:pPr>
            <w:r w:rsidRPr="00355C8D">
              <w:t>Internally Displaced Persons (2019)</w:t>
            </w:r>
          </w:p>
          <w:p w14:paraId="0BE08EB1" w14:textId="2ECB1DA1" w:rsidR="00355C8D" w:rsidRPr="00355C8D" w:rsidRDefault="00355C8D" w:rsidP="00355C8D">
            <w:pPr>
              <w:spacing w:before="40" w:after="120"/>
              <w:ind w:right="113"/>
            </w:pPr>
            <w:r w:rsidRPr="00355C8D">
              <w:t>Terrorism (2021)</w:t>
            </w:r>
          </w:p>
          <w:p w14:paraId="7BCF5517" w14:textId="19A302B1" w:rsidR="00355C8D" w:rsidRPr="00355C8D" w:rsidRDefault="00355C8D" w:rsidP="00355C8D">
            <w:pPr>
              <w:spacing w:before="40" w:after="120"/>
              <w:ind w:right="113"/>
            </w:pPr>
            <w:r w:rsidRPr="00355C8D">
              <w:t>Mercenaries (2022)</w:t>
            </w:r>
          </w:p>
        </w:tc>
      </w:tr>
      <w:tr w:rsidR="00355C8D" w:rsidRPr="00355C8D" w14:paraId="4A8D8824" w14:textId="77777777" w:rsidTr="000E5297">
        <w:tc>
          <w:tcPr>
            <w:tcW w:w="3684" w:type="dxa"/>
            <w:tcBorders>
              <w:top w:val="single" w:sz="12" w:space="0" w:color="auto"/>
              <w:bottom w:val="single" w:sz="12" w:space="0" w:color="auto"/>
            </w:tcBorders>
            <w:shd w:val="clear" w:color="auto" w:fill="auto"/>
          </w:tcPr>
          <w:p w14:paraId="666F5FEA" w14:textId="37F0961A" w:rsidR="00355C8D" w:rsidRPr="001A7F3C" w:rsidRDefault="00355C8D" w:rsidP="00355C8D">
            <w:pPr>
              <w:spacing w:before="40" w:after="120"/>
              <w:ind w:right="113"/>
              <w:rPr>
                <w:i/>
                <w:iCs/>
              </w:rPr>
            </w:pPr>
            <w:r w:rsidRPr="001A7F3C">
              <w:rPr>
                <w:i/>
                <w:iCs/>
              </w:rPr>
              <w:t>Responses to letters of allegation and urgent appeal</w:t>
            </w:r>
          </w:p>
        </w:tc>
        <w:tc>
          <w:tcPr>
            <w:tcW w:w="3686" w:type="dxa"/>
            <w:tcBorders>
              <w:top w:val="single" w:sz="12" w:space="0" w:color="auto"/>
              <w:bottom w:val="single" w:sz="12" w:space="0" w:color="auto"/>
            </w:tcBorders>
            <w:shd w:val="clear" w:color="auto" w:fill="auto"/>
          </w:tcPr>
          <w:p w14:paraId="241EBEE1" w14:textId="0AD6F1A1" w:rsidR="00355C8D" w:rsidRPr="00355C8D" w:rsidRDefault="00355C8D" w:rsidP="00355C8D">
            <w:pPr>
              <w:spacing w:before="40" w:after="120"/>
              <w:ind w:right="113"/>
            </w:pPr>
            <w:r w:rsidRPr="00355C8D">
              <w:t>During the period under review 5 communications were sent. The Government replied to none communications</w:t>
            </w:r>
            <w:r w:rsidR="00102B91">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4"/>
            </w:r>
          </w:p>
        </w:tc>
      </w:tr>
      <w:tr w:rsidR="00A02BFB" w:rsidRPr="00A02BFB" w14:paraId="3410E32E" w14:textId="77777777" w:rsidTr="004E141B">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4E141B">
        <w:tc>
          <w:tcPr>
            <w:tcW w:w="3211" w:type="dxa"/>
            <w:tcBorders>
              <w:bottom w:val="single" w:sz="12" w:space="0" w:color="auto"/>
            </w:tcBorders>
            <w:shd w:val="clear" w:color="auto" w:fill="auto"/>
          </w:tcPr>
          <w:p w14:paraId="06E83687" w14:textId="77777777" w:rsidR="00A02BFB" w:rsidRPr="00A02BFB" w:rsidRDefault="00A02BFB" w:rsidP="008B4D7D">
            <w:pPr>
              <w:spacing w:before="40" w:after="120"/>
              <w:ind w:right="113"/>
            </w:pPr>
          </w:p>
        </w:tc>
        <w:tc>
          <w:tcPr>
            <w:tcW w:w="3213" w:type="dxa"/>
            <w:tcBorders>
              <w:bottom w:val="single" w:sz="12" w:space="0" w:color="auto"/>
            </w:tcBorders>
            <w:shd w:val="clear" w:color="auto" w:fill="auto"/>
          </w:tcPr>
          <w:p w14:paraId="15809237" w14:textId="0BCA392E" w:rsidR="00A02BFB" w:rsidRPr="00A02BFB" w:rsidRDefault="004F4544" w:rsidP="008B4D7D">
            <w:pPr>
              <w:spacing w:before="40" w:after="120"/>
              <w:ind w:right="113"/>
            </w:pPr>
            <w:r>
              <w:t>B</w:t>
            </w:r>
          </w:p>
        </w:tc>
        <w:tc>
          <w:tcPr>
            <w:tcW w:w="3213" w:type="dxa"/>
            <w:tcBorders>
              <w:bottom w:val="single" w:sz="12" w:space="0" w:color="auto"/>
            </w:tcBorders>
            <w:shd w:val="clear" w:color="auto" w:fill="auto"/>
          </w:tcPr>
          <w:p w14:paraId="0076122A" w14:textId="076CDAF2" w:rsidR="00A02BFB" w:rsidRPr="00A02BFB" w:rsidRDefault="004F4544" w:rsidP="008B4D7D">
            <w:pPr>
              <w:spacing w:before="40" w:after="120"/>
              <w:ind w:right="113"/>
            </w:pPr>
            <w:r>
              <w:t>A (2022)</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0EAD" w14:textId="77777777" w:rsidR="002F6C50" w:rsidRDefault="002F6C50"/>
  </w:endnote>
  <w:endnote w:type="continuationSeparator" w:id="0">
    <w:p w14:paraId="4C3ED3ED" w14:textId="77777777" w:rsidR="002F6C50" w:rsidRDefault="002F6C50"/>
  </w:endnote>
  <w:endnote w:type="continuationNotice" w:id="1">
    <w:p w14:paraId="564675E0" w14:textId="77777777" w:rsidR="002F6C50" w:rsidRDefault="002F6C50"/>
  </w:endnote>
  <w:endnote w:id="2">
    <w:p w14:paraId="1A0043D0" w14:textId="1F364C1E" w:rsidR="00A02BFB" w:rsidRDefault="00A02BFB" w:rsidP="00A02BFB">
      <w:pPr>
        <w:pStyle w:val="H4G"/>
      </w:pPr>
      <w:r>
        <w:t>Notes</w:t>
      </w:r>
    </w:p>
    <w:p w14:paraId="17364194" w14:textId="36778A5A"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61403C">
        <w:t>Mali</w:t>
      </w:r>
      <w:r w:rsidRPr="008B4D7D">
        <w:rPr>
          <w:color w:val="4F81BD"/>
        </w:rPr>
        <w:t xml:space="preserve"> </w:t>
      </w:r>
      <w:r w:rsidRPr="00806A55">
        <w:t>from the previous cycle (A/HRC/WG.6/</w:t>
      </w:r>
      <w:r w:rsidR="0061403C">
        <w:t>29/MLI</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13C64D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560F57">
        <w:rPr>
          <w:szCs w:val="18"/>
        </w:rPr>
        <w:br/>
      </w:r>
      <w:r w:rsidRPr="00174744">
        <w:rPr>
          <w:szCs w:val="18"/>
        </w:rPr>
        <w:t>of Racial Discrimination</w:t>
      </w:r>
      <w:r w:rsidR="00813931">
        <w:rPr>
          <w:szCs w:val="18"/>
        </w:rPr>
        <w:t>;</w:t>
      </w:r>
    </w:p>
    <w:p w14:paraId="229A5906" w14:textId="44F4D063"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560F57">
        <w:rPr>
          <w:szCs w:val="18"/>
        </w:rPr>
        <w:br/>
      </w:r>
      <w:r w:rsidRPr="00174744">
        <w:rPr>
          <w:szCs w:val="18"/>
        </w:rPr>
        <w:t>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7EEB48B8"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560F57">
        <w:rPr>
          <w:szCs w:val="18"/>
        </w:rPr>
        <w:br/>
      </w:r>
      <w:r w:rsidRPr="00174744">
        <w:rPr>
          <w:szCs w:val="18"/>
        </w:rPr>
        <w:t>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351A41F"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560F57">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78E9506A"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w:t>
      </w:r>
      <w:r w:rsidR="004E141B">
        <w:rPr>
          <w:szCs w:val="18"/>
        </w:rPr>
        <w:br/>
      </w:r>
      <w:r w:rsidRPr="00174744">
        <w:rPr>
          <w:szCs w:val="18"/>
        </w:rPr>
        <w:t>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6DBDE342"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B452DB">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C304B6C" w:rsidR="008F362B" w:rsidRPr="002F00E4" w:rsidRDefault="008F362B"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2F00E4">
        <w:rPr>
          <w:szCs w:val="18"/>
        </w:rPr>
        <w:t xml:space="preserve">Geneva Convention for the Amelioration of the Condition of the Wounded and Sick in Armed Forces in the Field (First Convention); Geneva Convention for the Amelioration of the Condition </w:t>
      </w:r>
      <w:r w:rsidR="002C52F4">
        <w:rPr>
          <w:szCs w:val="18"/>
        </w:rPr>
        <w:br/>
      </w:r>
      <w:r w:rsidRPr="002F00E4">
        <w:rPr>
          <w:szCs w:val="18"/>
        </w:rPr>
        <w:t xml:space="preserve">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w:t>
      </w:r>
      <w:r w:rsidR="002C52F4">
        <w:rPr>
          <w:szCs w:val="18"/>
        </w:rPr>
        <w:br/>
      </w:r>
      <w:r w:rsidRPr="002F00E4">
        <w:rPr>
          <w:szCs w:val="18"/>
        </w:rPr>
        <w:t xml:space="preserve">of International Armed Conflicts (Protocol I); Protocol Additional to the Geneva Conventions </w:t>
      </w:r>
      <w:r w:rsidR="002C52F4">
        <w:rPr>
          <w:szCs w:val="18"/>
        </w:rPr>
        <w:br/>
      </w:r>
      <w:r w:rsidRPr="002F00E4">
        <w:rPr>
          <w:szCs w:val="18"/>
        </w:rPr>
        <w:t>of 12 August 1949, and relating to the Protection of Victims of Non-International Armed Conflicts (Protocol II); Protocol Additional to the Geneva Conventions of 12 August 1949, and relating to the Adoption of an Additional Distinctive Emblem (Protocol III).</w:t>
      </w:r>
      <w:r w:rsidR="00B452DB" w:rsidRPr="002F00E4">
        <w:rPr>
          <w:szCs w:val="18"/>
        </w:rPr>
        <w:t xml:space="preserve"> </w:t>
      </w:r>
      <w:r w:rsidRPr="002F00E4">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087FD216" w:rsidR="008F362B" w:rsidRPr="002F00E4" w:rsidRDefault="008F362B" w:rsidP="00A02BFB">
      <w:pPr>
        <w:pStyle w:val="EndnoteText"/>
        <w:widowControl w:val="0"/>
        <w:rPr>
          <w:szCs w:val="18"/>
        </w:rPr>
      </w:pPr>
      <w:r w:rsidRPr="002F00E4">
        <w:rPr>
          <w:szCs w:val="18"/>
        </w:rPr>
        <w:tab/>
      </w:r>
      <w:r w:rsidRPr="002F00E4">
        <w:rPr>
          <w:rStyle w:val="EndnoteReference"/>
          <w:szCs w:val="18"/>
        </w:rPr>
        <w:endnoteRef/>
      </w:r>
      <w:r w:rsidRPr="002F00E4">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8F362B" w:rsidRPr="00A82F81" w:rsidRDefault="008F362B" w:rsidP="00A02BFB">
      <w:pPr>
        <w:pStyle w:val="EndnoteText"/>
        <w:widowControl w:val="0"/>
        <w:tabs>
          <w:tab w:val="clear" w:pos="1021"/>
          <w:tab w:val="right" w:pos="1020"/>
        </w:tabs>
        <w:rPr>
          <w:szCs w:val="18"/>
          <w:lang w:val="en-US"/>
        </w:rPr>
      </w:pPr>
      <w:r w:rsidRPr="002F00E4">
        <w:rPr>
          <w:szCs w:val="18"/>
        </w:rPr>
        <w:tab/>
      </w:r>
      <w:r w:rsidRPr="002F00E4">
        <w:rPr>
          <w:rStyle w:val="EndnoteReference"/>
          <w:szCs w:val="18"/>
        </w:rPr>
        <w:endnoteRef/>
      </w:r>
      <w:r w:rsidRPr="002F00E4">
        <w:rPr>
          <w:szCs w:val="18"/>
        </w:rPr>
        <w:tab/>
      </w:r>
      <w:r w:rsidRPr="002F00E4">
        <w:rPr>
          <w:szCs w:val="18"/>
          <w:lang w:val="en-US"/>
        </w:rPr>
        <w:t>Protocol to Prevent, Suppress and Punish Trafficking in Persons</w:t>
      </w:r>
      <w:r w:rsidRPr="00A82F81">
        <w:rPr>
          <w:szCs w:val="18"/>
          <w:lang w:val="en-US"/>
        </w:rPr>
        <w:t>, Especially Women and Children, supplementing the United Nations Convention against Transnational Organized Crime.</w:t>
      </w:r>
    </w:p>
  </w:endnote>
  <w:endnote w:id="8">
    <w:p w14:paraId="7FAD82F3" w14:textId="593D14F4" w:rsidR="008F362B" w:rsidRPr="00302381" w:rsidRDefault="008F362B" w:rsidP="00A02BFB">
      <w:pPr>
        <w:pStyle w:val="EndnoteText"/>
        <w:rPr>
          <w:szCs w:val="18"/>
        </w:rPr>
      </w:pPr>
      <w:r w:rsidRPr="00A82F81">
        <w:rPr>
          <w:szCs w:val="18"/>
        </w:rPr>
        <w:tab/>
      </w:r>
      <w:r w:rsidRPr="00A82F81">
        <w:rPr>
          <w:rStyle w:val="EndnoteReference"/>
          <w:szCs w:val="18"/>
        </w:rPr>
        <w:endnoteRef/>
      </w:r>
      <w:r w:rsidRPr="00A82F81">
        <w:rPr>
          <w:szCs w:val="18"/>
        </w:rPr>
        <w:tab/>
      </w:r>
      <w:r w:rsidRPr="00302381">
        <w:rPr>
          <w:szCs w:val="18"/>
        </w:rPr>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w:t>
      </w:r>
      <w:r w:rsidR="00302381">
        <w:rPr>
          <w:szCs w:val="18"/>
        </w:rPr>
        <w:br/>
      </w:r>
      <w:r w:rsidRPr="00302381">
        <w:rPr>
          <w:szCs w:val="18"/>
        </w:rPr>
        <w:t xml:space="preserve">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w:t>
      </w:r>
      <w:r w:rsidR="00302381">
        <w:rPr>
          <w:szCs w:val="18"/>
        </w:rPr>
        <w:br/>
      </w:r>
      <w:r w:rsidRPr="00302381">
        <w:rPr>
          <w:szCs w:val="18"/>
        </w:rPr>
        <w:t>of Child Labour.</w:t>
      </w:r>
    </w:p>
  </w:endnote>
  <w:endnote w:id="9">
    <w:p w14:paraId="20D72452" w14:textId="4C8FD439" w:rsidR="008F362B" w:rsidRPr="00302381" w:rsidRDefault="008F362B" w:rsidP="00124DDE">
      <w:pPr>
        <w:pStyle w:val="EndnoteText"/>
        <w:rPr>
          <w:szCs w:val="18"/>
        </w:rPr>
      </w:pPr>
      <w:r w:rsidRPr="00302381">
        <w:rPr>
          <w:szCs w:val="18"/>
        </w:rPr>
        <w:tab/>
      </w:r>
      <w:r w:rsidRPr="00302381">
        <w:rPr>
          <w:rStyle w:val="EndnoteReference"/>
          <w:szCs w:val="18"/>
        </w:rPr>
        <w:endnoteRef/>
      </w:r>
      <w:r w:rsidRPr="00302381">
        <w:rPr>
          <w:szCs w:val="18"/>
        </w:rPr>
        <w:tab/>
        <w:t>ILO</w:t>
      </w:r>
      <w:r w:rsidRPr="00302381">
        <w:rPr>
          <w:szCs w:val="18"/>
          <w:lang w:val="en-US"/>
        </w:rPr>
        <w:t xml:space="preserve"> Indigenous and Tribal Peoples Convention, 1989 (No. 169), </w:t>
      </w:r>
      <w:r w:rsidRPr="00302381">
        <w:rPr>
          <w:szCs w:val="18"/>
        </w:rPr>
        <w:t xml:space="preserve">Domestic Workers </w:t>
      </w:r>
      <w:r w:rsidRPr="00302381">
        <w:rPr>
          <w:szCs w:val="18"/>
          <w:lang w:val="en-US"/>
        </w:rPr>
        <w:t xml:space="preserve">Convention, 2011 (No. 189) and Violence and Harassment Convention, 2019 (No. 190) and </w:t>
      </w:r>
      <w:r w:rsidRPr="00302381">
        <w:rPr>
          <w:lang w:val="en"/>
        </w:rPr>
        <w:t xml:space="preserve">- Protocol of 2014 to the Forced </w:t>
      </w:r>
      <w:proofErr w:type="spellStart"/>
      <w:r w:rsidRPr="00302381">
        <w:rPr>
          <w:lang w:val="en"/>
        </w:rPr>
        <w:t>Labour</w:t>
      </w:r>
      <w:proofErr w:type="spellEnd"/>
      <w:r w:rsidRPr="00302381">
        <w:rPr>
          <w:lang w:val="en"/>
        </w:rPr>
        <w:t xml:space="preserve"> Convention, 1930</w:t>
      </w:r>
      <w:r w:rsidRPr="00302381">
        <w:rPr>
          <w:szCs w:val="18"/>
        </w:rPr>
        <w:t>.</w:t>
      </w:r>
    </w:p>
  </w:endnote>
  <w:endnote w:id="10">
    <w:p w14:paraId="27E9F5AC" w14:textId="44CD7FA0"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1385C9E2"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w:t>
      </w:r>
      <w:r w:rsidR="00FB0C80">
        <w:rPr>
          <w:szCs w:val="18"/>
        </w:rPr>
        <w:br/>
      </w:r>
      <w:r w:rsidRPr="00A82F81">
        <w:rPr>
          <w:szCs w:val="18"/>
        </w:rPr>
        <w:t>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DAA22CD" w14:textId="22E3CAFE"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F7206F">
        <w:rPr>
          <w:szCs w:val="18"/>
        </w:rPr>
        <w:t>.</w:t>
      </w:r>
    </w:p>
  </w:endnote>
  <w:endnote w:id="11">
    <w:p w14:paraId="2C730833" w14:textId="6F688D79" w:rsidR="00F7206F" w:rsidRPr="000156D7" w:rsidRDefault="00B452DB" w:rsidP="00B452DB">
      <w:pPr>
        <w:pStyle w:val="EndnoteText"/>
      </w:pPr>
      <w:r w:rsidRPr="004961C4">
        <w:tab/>
      </w:r>
      <w:r w:rsidR="00F7206F" w:rsidRPr="002B3C93">
        <w:rPr>
          <w:rStyle w:val="EndnoteReference"/>
          <w:szCs w:val="18"/>
        </w:rPr>
        <w:endnoteRef/>
      </w:r>
      <w:r>
        <w:rPr>
          <w:lang w:val="es-MX"/>
        </w:rPr>
        <w:tab/>
      </w:r>
      <w:r w:rsidR="00F7206F" w:rsidRPr="000156D7">
        <w:rPr>
          <w:lang w:val="es-MX"/>
        </w:rPr>
        <w:t xml:space="preserve">CEDAW/C/IR/MLI/1, para. </w:t>
      </w:r>
      <w:r w:rsidR="00F7206F" w:rsidRPr="000156D7">
        <w:t>3.</w:t>
      </w:r>
    </w:p>
  </w:endnote>
  <w:endnote w:id="12">
    <w:p w14:paraId="33060DF5" w14:textId="39D1861B" w:rsidR="00A02BFB" w:rsidRPr="00A82F81" w:rsidRDefault="00A02BFB" w:rsidP="00A02BFB">
      <w:pPr>
        <w:pStyle w:val="EndnoteText"/>
        <w:rPr>
          <w:szCs w:val="18"/>
        </w:rPr>
      </w:pPr>
      <w:r w:rsidRPr="000156D7">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2D46E32C"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FB0C80">
        <w:br/>
      </w:r>
      <w:r w:rsidR="00C81253" w:rsidRPr="00C81253">
        <w:t>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5EE6B25E"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5F6D7EE8" w:rsidR="00674A7D" w:rsidRDefault="00674A7D">
    <w:pPr>
      <w:pStyle w:val="Footer"/>
      <w:jc w:val="right"/>
    </w:pPr>
    <w:r>
      <w:fldChar w:fldCharType="begin"/>
    </w:r>
    <w:r>
      <w:instrText xml:space="preserve"> PAGE   \* MERGEFORMAT </w:instrText>
    </w:r>
    <w:r>
      <w:fldChar w:fldCharType="separate"/>
    </w:r>
    <w:r w:rsidR="00E87554">
      <w:rPr>
        <w:noProof/>
      </w:rPr>
      <w:t>4</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82DE" w14:textId="77777777" w:rsidR="002F6C50" w:rsidRPr="000B175B" w:rsidRDefault="002F6C50" w:rsidP="000B175B">
      <w:pPr>
        <w:tabs>
          <w:tab w:val="right" w:pos="2155"/>
        </w:tabs>
        <w:spacing w:after="80"/>
        <w:ind w:left="680"/>
        <w:rPr>
          <w:u w:val="single"/>
        </w:rPr>
      </w:pPr>
      <w:r>
        <w:rPr>
          <w:u w:val="single"/>
        </w:rPr>
        <w:tab/>
      </w:r>
    </w:p>
  </w:footnote>
  <w:footnote w:type="continuationSeparator" w:id="0">
    <w:p w14:paraId="1C28516E" w14:textId="77777777" w:rsidR="002F6C50" w:rsidRPr="00FC68B7" w:rsidRDefault="002F6C50" w:rsidP="00FC68B7">
      <w:pPr>
        <w:tabs>
          <w:tab w:val="left" w:pos="2155"/>
        </w:tabs>
        <w:spacing w:after="80"/>
        <w:ind w:left="680"/>
        <w:rPr>
          <w:u w:val="single"/>
        </w:rPr>
      </w:pPr>
      <w:r>
        <w:rPr>
          <w:u w:val="single"/>
        </w:rPr>
        <w:tab/>
      </w:r>
    </w:p>
  </w:footnote>
  <w:footnote w:type="continuationNotice" w:id="1">
    <w:p w14:paraId="194E590B" w14:textId="77777777" w:rsidR="002F6C50" w:rsidRDefault="002F6C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402601548">
    <w:abstractNumId w:val="4"/>
  </w:num>
  <w:num w:numId="2" w16cid:durableId="975601242">
    <w:abstractNumId w:val="3"/>
  </w:num>
  <w:num w:numId="3" w16cid:durableId="398672809">
    <w:abstractNumId w:val="6"/>
  </w:num>
  <w:num w:numId="4" w16cid:durableId="1944535191">
    <w:abstractNumId w:val="2"/>
  </w:num>
  <w:num w:numId="5" w16cid:durableId="1715422113">
    <w:abstractNumId w:val="0"/>
  </w:num>
  <w:num w:numId="6" w16cid:durableId="1540163940">
    <w:abstractNumId w:val="1"/>
  </w:num>
  <w:num w:numId="7" w16cid:durableId="31584534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MX" w:vendorID="64" w:dllVersion="6" w:nlCheck="1" w:checkStyle="0"/>
  <w:activeWritingStyle w:appName="MSWord" w:lang="es-MX"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56D7"/>
    <w:rsid w:val="00022DB5"/>
    <w:rsid w:val="0002432F"/>
    <w:rsid w:val="000344CE"/>
    <w:rsid w:val="000403D1"/>
    <w:rsid w:val="000449AA"/>
    <w:rsid w:val="00050F6B"/>
    <w:rsid w:val="00060690"/>
    <w:rsid w:val="00072C8C"/>
    <w:rsid w:val="000732F6"/>
    <w:rsid w:val="00073E70"/>
    <w:rsid w:val="00075368"/>
    <w:rsid w:val="0008769F"/>
    <w:rsid w:val="000876EB"/>
    <w:rsid w:val="00091419"/>
    <w:rsid w:val="000931C0"/>
    <w:rsid w:val="000A27ED"/>
    <w:rsid w:val="000B175B"/>
    <w:rsid w:val="000B3A0F"/>
    <w:rsid w:val="000B4A3B"/>
    <w:rsid w:val="000C49B2"/>
    <w:rsid w:val="000D0709"/>
    <w:rsid w:val="000D1851"/>
    <w:rsid w:val="000D73DE"/>
    <w:rsid w:val="000E0415"/>
    <w:rsid w:val="000E5297"/>
    <w:rsid w:val="000F61E0"/>
    <w:rsid w:val="000F63EB"/>
    <w:rsid w:val="00101E4D"/>
    <w:rsid w:val="00102B91"/>
    <w:rsid w:val="00116E64"/>
    <w:rsid w:val="00124DDE"/>
    <w:rsid w:val="0013065A"/>
    <w:rsid w:val="00130EC9"/>
    <w:rsid w:val="0013136E"/>
    <w:rsid w:val="00132BC7"/>
    <w:rsid w:val="00146D32"/>
    <w:rsid w:val="001509BA"/>
    <w:rsid w:val="00157983"/>
    <w:rsid w:val="001614E7"/>
    <w:rsid w:val="00172B31"/>
    <w:rsid w:val="001A469C"/>
    <w:rsid w:val="001A4E3C"/>
    <w:rsid w:val="001A73FD"/>
    <w:rsid w:val="001A7F3C"/>
    <w:rsid w:val="001B1A71"/>
    <w:rsid w:val="001B4B04"/>
    <w:rsid w:val="001B790E"/>
    <w:rsid w:val="001C0706"/>
    <w:rsid w:val="001C215C"/>
    <w:rsid w:val="001C6663"/>
    <w:rsid w:val="001C7895"/>
    <w:rsid w:val="001D26DF"/>
    <w:rsid w:val="001D6322"/>
    <w:rsid w:val="001E2790"/>
    <w:rsid w:val="001E5256"/>
    <w:rsid w:val="0020250C"/>
    <w:rsid w:val="0021130C"/>
    <w:rsid w:val="00211E0B"/>
    <w:rsid w:val="00211E72"/>
    <w:rsid w:val="00214047"/>
    <w:rsid w:val="0022130F"/>
    <w:rsid w:val="002268C7"/>
    <w:rsid w:val="0022777B"/>
    <w:rsid w:val="00237785"/>
    <w:rsid w:val="002410DD"/>
    <w:rsid w:val="00241466"/>
    <w:rsid w:val="00247132"/>
    <w:rsid w:val="00250F32"/>
    <w:rsid w:val="00253D58"/>
    <w:rsid w:val="00254654"/>
    <w:rsid w:val="00261572"/>
    <w:rsid w:val="00264FA3"/>
    <w:rsid w:val="00274EA9"/>
    <w:rsid w:val="0027725F"/>
    <w:rsid w:val="00283347"/>
    <w:rsid w:val="002858F8"/>
    <w:rsid w:val="00296EB7"/>
    <w:rsid w:val="002B3C93"/>
    <w:rsid w:val="002B4713"/>
    <w:rsid w:val="002B4DD8"/>
    <w:rsid w:val="002B645A"/>
    <w:rsid w:val="002C21F0"/>
    <w:rsid w:val="002C4587"/>
    <w:rsid w:val="002C52F4"/>
    <w:rsid w:val="002D152D"/>
    <w:rsid w:val="002E2D43"/>
    <w:rsid w:val="002E646B"/>
    <w:rsid w:val="002F00E4"/>
    <w:rsid w:val="002F6C50"/>
    <w:rsid w:val="00302381"/>
    <w:rsid w:val="003107FA"/>
    <w:rsid w:val="00316195"/>
    <w:rsid w:val="00317977"/>
    <w:rsid w:val="00317E7B"/>
    <w:rsid w:val="003229D8"/>
    <w:rsid w:val="00324383"/>
    <w:rsid w:val="0032511C"/>
    <w:rsid w:val="003260EF"/>
    <w:rsid w:val="003314D1"/>
    <w:rsid w:val="00335A2F"/>
    <w:rsid w:val="00341937"/>
    <w:rsid w:val="00341D5E"/>
    <w:rsid w:val="00350CFD"/>
    <w:rsid w:val="00352BFF"/>
    <w:rsid w:val="00354E8D"/>
    <w:rsid w:val="00355C8D"/>
    <w:rsid w:val="00362560"/>
    <w:rsid w:val="0037215F"/>
    <w:rsid w:val="00377701"/>
    <w:rsid w:val="00380822"/>
    <w:rsid w:val="0038287A"/>
    <w:rsid w:val="00383BE1"/>
    <w:rsid w:val="00386AC0"/>
    <w:rsid w:val="0039277A"/>
    <w:rsid w:val="003930E5"/>
    <w:rsid w:val="003932E2"/>
    <w:rsid w:val="003972E0"/>
    <w:rsid w:val="003975ED"/>
    <w:rsid w:val="003A4E25"/>
    <w:rsid w:val="003B2E78"/>
    <w:rsid w:val="003B3425"/>
    <w:rsid w:val="003C2CC4"/>
    <w:rsid w:val="003D4B23"/>
    <w:rsid w:val="003E03C5"/>
    <w:rsid w:val="003E065C"/>
    <w:rsid w:val="003E19D9"/>
    <w:rsid w:val="003E33AE"/>
    <w:rsid w:val="003E591C"/>
    <w:rsid w:val="003E6998"/>
    <w:rsid w:val="003F4790"/>
    <w:rsid w:val="00400E06"/>
    <w:rsid w:val="00402E7F"/>
    <w:rsid w:val="00420F8B"/>
    <w:rsid w:val="00423836"/>
    <w:rsid w:val="00424C80"/>
    <w:rsid w:val="00426371"/>
    <w:rsid w:val="00431A65"/>
    <w:rsid w:val="004325CB"/>
    <w:rsid w:val="00437326"/>
    <w:rsid w:val="0044503A"/>
    <w:rsid w:val="00446DE4"/>
    <w:rsid w:val="00447195"/>
    <w:rsid w:val="00447761"/>
    <w:rsid w:val="00451328"/>
    <w:rsid w:val="00451629"/>
    <w:rsid w:val="00451EC3"/>
    <w:rsid w:val="00452768"/>
    <w:rsid w:val="00454454"/>
    <w:rsid w:val="0045636B"/>
    <w:rsid w:val="004565E6"/>
    <w:rsid w:val="0045749E"/>
    <w:rsid w:val="004721B1"/>
    <w:rsid w:val="004722FF"/>
    <w:rsid w:val="004756E0"/>
    <w:rsid w:val="004766F2"/>
    <w:rsid w:val="004776AD"/>
    <w:rsid w:val="00481052"/>
    <w:rsid w:val="004859EC"/>
    <w:rsid w:val="00493CFF"/>
    <w:rsid w:val="004961C4"/>
    <w:rsid w:val="00496A15"/>
    <w:rsid w:val="004A1AA5"/>
    <w:rsid w:val="004A317E"/>
    <w:rsid w:val="004A76BD"/>
    <w:rsid w:val="004A7EE3"/>
    <w:rsid w:val="004B75D2"/>
    <w:rsid w:val="004C3361"/>
    <w:rsid w:val="004C739D"/>
    <w:rsid w:val="004D0A1C"/>
    <w:rsid w:val="004D1140"/>
    <w:rsid w:val="004D5FD1"/>
    <w:rsid w:val="004E01CE"/>
    <w:rsid w:val="004E141B"/>
    <w:rsid w:val="004E25CB"/>
    <w:rsid w:val="004F15C4"/>
    <w:rsid w:val="004F4544"/>
    <w:rsid w:val="004F55ED"/>
    <w:rsid w:val="004F6BCA"/>
    <w:rsid w:val="00505C67"/>
    <w:rsid w:val="0052176C"/>
    <w:rsid w:val="00521D8F"/>
    <w:rsid w:val="005261E5"/>
    <w:rsid w:val="005420F2"/>
    <w:rsid w:val="00542574"/>
    <w:rsid w:val="005436AB"/>
    <w:rsid w:val="005457B9"/>
    <w:rsid w:val="00546DBF"/>
    <w:rsid w:val="005512BA"/>
    <w:rsid w:val="005534E1"/>
    <w:rsid w:val="005538F6"/>
    <w:rsid w:val="00553D76"/>
    <w:rsid w:val="005551EC"/>
    <w:rsid w:val="005552B5"/>
    <w:rsid w:val="00560F57"/>
    <w:rsid w:val="0056117B"/>
    <w:rsid w:val="005615E8"/>
    <w:rsid w:val="00561E5B"/>
    <w:rsid w:val="005620C3"/>
    <w:rsid w:val="0057084A"/>
    <w:rsid w:val="00571365"/>
    <w:rsid w:val="00574F7B"/>
    <w:rsid w:val="00592E55"/>
    <w:rsid w:val="005939D4"/>
    <w:rsid w:val="005A22DB"/>
    <w:rsid w:val="005A288A"/>
    <w:rsid w:val="005A7B75"/>
    <w:rsid w:val="005B3DB3"/>
    <w:rsid w:val="005B6E48"/>
    <w:rsid w:val="005D56FC"/>
    <w:rsid w:val="005E1712"/>
    <w:rsid w:val="005F6E73"/>
    <w:rsid w:val="00605153"/>
    <w:rsid w:val="00607C5F"/>
    <w:rsid w:val="006116A3"/>
    <w:rsid w:val="00611FC4"/>
    <w:rsid w:val="0061403C"/>
    <w:rsid w:val="006176FB"/>
    <w:rsid w:val="006259EA"/>
    <w:rsid w:val="00626E6C"/>
    <w:rsid w:val="0063060D"/>
    <w:rsid w:val="00640B26"/>
    <w:rsid w:val="00644301"/>
    <w:rsid w:val="006525EF"/>
    <w:rsid w:val="00663367"/>
    <w:rsid w:val="00670741"/>
    <w:rsid w:val="00674A7D"/>
    <w:rsid w:val="0067630F"/>
    <w:rsid w:val="00676C10"/>
    <w:rsid w:val="006778E7"/>
    <w:rsid w:val="006808A9"/>
    <w:rsid w:val="00681571"/>
    <w:rsid w:val="00696BD6"/>
    <w:rsid w:val="006A18AC"/>
    <w:rsid w:val="006A6B9D"/>
    <w:rsid w:val="006A7392"/>
    <w:rsid w:val="006B3189"/>
    <w:rsid w:val="006B5D69"/>
    <w:rsid w:val="006B7D65"/>
    <w:rsid w:val="006C6484"/>
    <w:rsid w:val="006D6DA6"/>
    <w:rsid w:val="006D76FD"/>
    <w:rsid w:val="006E564B"/>
    <w:rsid w:val="006F13F0"/>
    <w:rsid w:val="006F5035"/>
    <w:rsid w:val="007065EB"/>
    <w:rsid w:val="00720183"/>
    <w:rsid w:val="0072612C"/>
    <w:rsid w:val="0072632A"/>
    <w:rsid w:val="00740458"/>
    <w:rsid w:val="00741A0B"/>
    <w:rsid w:val="0074200B"/>
    <w:rsid w:val="00754BEF"/>
    <w:rsid w:val="00757201"/>
    <w:rsid w:val="0076416B"/>
    <w:rsid w:val="0076446A"/>
    <w:rsid w:val="007722EB"/>
    <w:rsid w:val="007953F7"/>
    <w:rsid w:val="007A6296"/>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1179"/>
    <w:rsid w:val="00801B5C"/>
    <w:rsid w:val="00802FBE"/>
    <w:rsid w:val="00806993"/>
    <w:rsid w:val="00813931"/>
    <w:rsid w:val="008155C3"/>
    <w:rsid w:val="008175E9"/>
    <w:rsid w:val="0082243E"/>
    <w:rsid w:val="008242D7"/>
    <w:rsid w:val="00856CD2"/>
    <w:rsid w:val="00861BC6"/>
    <w:rsid w:val="00871FD5"/>
    <w:rsid w:val="008741DC"/>
    <w:rsid w:val="0087536D"/>
    <w:rsid w:val="00875FCF"/>
    <w:rsid w:val="008979B1"/>
    <w:rsid w:val="008A6B25"/>
    <w:rsid w:val="008A6C4F"/>
    <w:rsid w:val="008A7AD8"/>
    <w:rsid w:val="008B097E"/>
    <w:rsid w:val="008B4D7D"/>
    <w:rsid w:val="008B781D"/>
    <w:rsid w:val="008C0466"/>
    <w:rsid w:val="008C1E4D"/>
    <w:rsid w:val="008D1CFB"/>
    <w:rsid w:val="008D363E"/>
    <w:rsid w:val="008D570C"/>
    <w:rsid w:val="008E0E46"/>
    <w:rsid w:val="008E5D82"/>
    <w:rsid w:val="008E5EA4"/>
    <w:rsid w:val="008F08BC"/>
    <w:rsid w:val="008F362B"/>
    <w:rsid w:val="008F51A8"/>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9121F"/>
    <w:rsid w:val="00991261"/>
    <w:rsid w:val="009A0B83"/>
    <w:rsid w:val="009B123A"/>
    <w:rsid w:val="009B3476"/>
    <w:rsid w:val="009B3800"/>
    <w:rsid w:val="009C1995"/>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4472"/>
    <w:rsid w:val="00A3619D"/>
    <w:rsid w:val="00A425D0"/>
    <w:rsid w:val="00A433B2"/>
    <w:rsid w:val="00A4634F"/>
    <w:rsid w:val="00A51CF3"/>
    <w:rsid w:val="00A63DA6"/>
    <w:rsid w:val="00A67EFD"/>
    <w:rsid w:val="00A712AF"/>
    <w:rsid w:val="00A72160"/>
    <w:rsid w:val="00A72F22"/>
    <w:rsid w:val="00A73042"/>
    <w:rsid w:val="00A748A6"/>
    <w:rsid w:val="00A75300"/>
    <w:rsid w:val="00A879A4"/>
    <w:rsid w:val="00A87E95"/>
    <w:rsid w:val="00A91390"/>
    <w:rsid w:val="00A92E29"/>
    <w:rsid w:val="00AA666A"/>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452DB"/>
    <w:rsid w:val="00B53013"/>
    <w:rsid w:val="00B56317"/>
    <w:rsid w:val="00B67F5E"/>
    <w:rsid w:val="00B70ED5"/>
    <w:rsid w:val="00B73E65"/>
    <w:rsid w:val="00B81E12"/>
    <w:rsid w:val="00B842F6"/>
    <w:rsid w:val="00B87110"/>
    <w:rsid w:val="00B90627"/>
    <w:rsid w:val="00B97FA8"/>
    <w:rsid w:val="00BA6FAF"/>
    <w:rsid w:val="00BA7D66"/>
    <w:rsid w:val="00BB2720"/>
    <w:rsid w:val="00BC1385"/>
    <w:rsid w:val="00BC74E9"/>
    <w:rsid w:val="00BD0F02"/>
    <w:rsid w:val="00BD251D"/>
    <w:rsid w:val="00BE274F"/>
    <w:rsid w:val="00BE618E"/>
    <w:rsid w:val="00BE6A87"/>
    <w:rsid w:val="00BF07FE"/>
    <w:rsid w:val="00BF7F28"/>
    <w:rsid w:val="00C05762"/>
    <w:rsid w:val="00C159F1"/>
    <w:rsid w:val="00C163EA"/>
    <w:rsid w:val="00C2053A"/>
    <w:rsid w:val="00C207EF"/>
    <w:rsid w:val="00C22D6C"/>
    <w:rsid w:val="00C23386"/>
    <w:rsid w:val="00C24693"/>
    <w:rsid w:val="00C257B1"/>
    <w:rsid w:val="00C3427B"/>
    <w:rsid w:val="00C35F0B"/>
    <w:rsid w:val="00C463DD"/>
    <w:rsid w:val="00C55FAB"/>
    <w:rsid w:val="00C62B61"/>
    <w:rsid w:val="00C64458"/>
    <w:rsid w:val="00C67D1E"/>
    <w:rsid w:val="00C745C3"/>
    <w:rsid w:val="00C81253"/>
    <w:rsid w:val="00C8450C"/>
    <w:rsid w:val="00C85F14"/>
    <w:rsid w:val="00CA2A58"/>
    <w:rsid w:val="00CA2E07"/>
    <w:rsid w:val="00CA6DE7"/>
    <w:rsid w:val="00CB7662"/>
    <w:rsid w:val="00CC03CC"/>
    <w:rsid w:val="00CC0B55"/>
    <w:rsid w:val="00CC5BF1"/>
    <w:rsid w:val="00CD6995"/>
    <w:rsid w:val="00CE4A8F"/>
    <w:rsid w:val="00CE6667"/>
    <w:rsid w:val="00CF0214"/>
    <w:rsid w:val="00CF586F"/>
    <w:rsid w:val="00CF7D43"/>
    <w:rsid w:val="00D06FA7"/>
    <w:rsid w:val="00D07CB4"/>
    <w:rsid w:val="00D11129"/>
    <w:rsid w:val="00D174D1"/>
    <w:rsid w:val="00D2031B"/>
    <w:rsid w:val="00D22332"/>
    <w:rsid w:val="00D226FD"/>
    <w:rsid w:val="00D25FE2"/>
    <w:rsid w:val="00D26E89"/>
    <w:rsid w:val="00D312C7"/>
    <w:rsid w:val="00D43252"/>
    <w:rsid w:val="00D47642"/>
    <w:rsid w:val="00D550F9"/>
    <w:rsid w:val="00D572B0"/>
    <w:rsid w:val="00D57EDC"/>
    <w:rsid w:val="00D62E90"/>
    <w:rsid w:val="00D6481E"/>
    <w:rsid w:val="00D6573E"/>
    <w:rsid w:val="00D725F7"/>
    <w:rsid w:val="00D7541C"/>
    <w:rsid w:val="00D75C61"/>
    <w:rsid w:val="00D76BE5"/>
    <w:rsid w:val="00D8128F"/>
    <w:rsid w:val="00D81AF5"/>
    <w:rsid w:val="00D82670"/>
    <w:rsid w:val="00D96AE6"/>
    <w:rsid w:val="00D978C6"/>
    <w:rsid w:val="00DA2197"/>
    <w:rsid w:val="00DA67AD"/>
    <w:rsid w:val="00DB18CE"/>
    <w:rsid w:val="00DD3674"/>
    <w:rsid w:val="00DE3EC0"/>
    <w:rsid w:val="00DE4620"/>
    <w:rsid w:val="00DE67FE"/>
    <w:rsid w:val="00DE7BF3"/>
    <w:rsid w:val="00E0348D"/>
    <w:rsid w:val="00E06AB0"/>
    <w:rsid w:val="00E11593"/>
    <w:rsid w:val="00E12B6B"/>
    <w:rsid w:val="00E130AB"/>
    <w:rsid w:val="00E170D4"/>
    <w:rsid w:val="00E3102C"/>
    <w:rsid w:val="00E37EB2"/>
    <w:rsid w:val="00E438D9"/>
    <w:rsid w:val="00E5644E"/>
    <w:rsid w:val="00E66B4F"/>
    <w:rsid w:val="00E7260F"/>
    <w:rsid w:val="00E806EE"/>
    <w:rsid w:val="00E83FD4"/>
    <w:rsid w:val="00E86049"/>
    <w:rsid w:val="00E87554"/>
    <w:rsid w:val="00E87FFD"/>
    <w:rsid w:val="00E95296"/>
    <w:rsid w:val="00E96630"/>
    <w:rsid w:val="00E96891"/>
    <w:rsid w:val="00EB0EF8"/>
    <w:rsid w:val="00EB0FB9"/>
    <w:rsid w:val="00EC65B4"/>
    <w:rsid w:val="00ED0835"/>
    <w:rsid w:val="00ED0CA9"/>
    <w:rsid w:val="00ED7A2A"/>
    <w:rsid w:val="00EE128E"/>
    <w:rsid w:val="00EE41AB"/>
    <w:rsid w:val="00EE41E7"/>
    <w:rsid w:val="00EE7D5F"/>
    <w:rsid w:val="00EF1D7F"/>
    <w:rsid w:val="00EF5BDB"/>
    <w:rsid w:val="00F06954"/>
    <w:rsid w:val="00F07FD9"/>
    <w:rsid w:val="00F217E9"/>
    <w:rsid w:val="00F21C38"/>
    <w:rsid w:val="00F238A8"/>
    <w:rsid w:val="00F23933"/>
    <w:rsid w:val="00F24119"/>
    <w:rsid w:val="00F25422"/>
    <w:rsid w:val="00F30B7B"/>
    <w:rsid w:val="00F34950"/>
    <w:rsid w:val="00F40E75"/>
    <w:rsid w:val="00F42CD9"/>
    <w:rsid w:val="00F52936"/>
    <w:rsid w:val="00F63CF0"/>
    <w:rsid w:val="00F677CB"/>
    <w:rsid w:val="00F71571"/>
    <w:rsid w:val="00F715B8"/>
    <w:rsid w:val="00F7206F"/>
    <w:rsid w:val="00F72113"/>
    <w:rsid w:val="00F723A2"/>
    <w:rsid w:val="00F76CA4"/>
    <w:rsid w:val="00F97C5D"/>
    <w:rsid w:val="00FA1AE7"/>
    <w:rsid w:val="00FA7DF3"/>
    <w:rsid w:val="00FB0C80"/>
    <w:rsid w:val="00FB389C"/>
    <w:rsid w:val="00FC68B7"/>
    <w:rsid w:val="00FD268F"/>
    <w:rsid w:val="00FD390D"/>
    <w:rsid w:val="00FD7C12"/>
    <w:rsid w:val="00FE384E"/>
    <w:rsid w:val="00FE4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6815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6DAB-3A30-47C5-BDC2-D7ECEDEC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5</Pages>
  <Words>470</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2023-03-10T15:51:00Z</dcterms:created>
  <dcterms:modified xsi:type="dcterms:W3CDTF">2023-03-10T15:55:00Z</dcterms:modified>
</cp:coreProperties>
</file>