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5EEF8546" w:rsidR="00A02BFB" w:rsidRPr="0057791F" w:rsidRDefault="005512BA" w:rsidP="005512BA">
      <w:pPr>
        <w:pStyle w:val="HChG"/>
        <w:rPr>
          <w:lang w:val="fr-FR"/>
        </w:rPr>
      </w:pPr>
      <w:r>
        <w:tab/>
      </w:r>
      <w:r>
        <w:tab/>
      </w:r>
      <w:r w:rsidRPr="00E170D4">
        <w:rPr>
          <w:lang w:val="fr-CH"/>
        </w:rPr>
        <w:t xml:space="preserve">Tables for UN </w:t>
      </w:r>
      <w:r w:rsidR="00A02BFB" w:rsidRPr="00E170D4">
        <w:rPr>
          <w:lang w:val="fr-CH"/>
        </w:rPr>
        <w:t xml:space="preserve">Compilation on </w:t>
      </w:r>
      <w:r w:rsidR="009C23EA">
        <w:rPr>
          <w:lang w:val="fr-CH"/>
        </w:rPr>
        <w:t>Zambia</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40"/>
        <w:gridCol w:w="3184"/>
        <w:gridCol w:w="3213"/>
      </w:tblGrid>
      <w:tr w:rsidR="009B3476" w:rsidRPr="00A02BFB" w14:paraId="54E70C6F" w14:textId="77777777" w:rsidTr="00084554">
        <w:tc>
          <w:tcPr>
            <w:tcW w:w="3240" w:type="dxa"/>
            <w:tcBorders>
              <w:top w:val="single" w:sz="4" w:space="0" w:color="auto"/>
              <w:bottom w:val="single" w:sz="12" w:space="0" w:color="auto"/>
            </w:tcBorders>
            <w:shd w:val="clear" w:color="auto" w:fill="auto"/>
            <w:vAlign w:val="bottom"/>
          </w:tcPr>
          <w:p w14:paraId="07D59C85" w14:textId="77777777" w:rsidR="009B3476" w:rsidRPr="008B4D7D" w:rsidRDefault="009B3476" w:rsidP="008B4D7D">
            <w:pPr>
              <w:spacing w:before="80" w:after="80" w:line="200" w:lineRule="exact"/>
              <w:ind w:right="113"/>
              <w:rPr>
                <w:i/>
                <w:sz w:val="16"/>
              </w:rPr>
            </w:pPr>
          </w:p>
        </w:tc>
        <w:tc>
          <w:tcPr>
            <w:tcW w:w="3184" w:type="dxa"/>
            <w:tcBorders>
              <w:top w:val="single" w:sz="4" w:space="0" w:color="auto"/>
              <w:bottom w:val="single" w:sz="12" w:space="0" w:color="auto"/>
            </w:tcBorders>
            <w:shd w:val="clear" w:color="auto" w:fill="auto"/>
            <w:vAlign w:val="bottom"/>
          </w:tcPr>
          <w:p w14:paraId="28E25523" w14:textId="56135D7F" w:rsidR="009B3476" w:rsidRPr="008B4D7D" w:rsidRDefault="009B3476" w:rsidP="008B4D7D">
            <w:pPr>
              <w:spacing w:before="80" w:after="80" w:line="200" w:lineRule="exact"/>
              <w:ind w:right="113"/>
              <w:rPr>
                <w:i/>
                <w:sz w:val="16"/>
              </w:rPr>
            </w:pPr>
            <w:r>
              <w:rPr>
                <w:i/>
                <w:sz w:val="16"/>
              </w:rPr>
              <w:t>Ratified</w:t>
            </w:r>
          </w:p>
        </w:tc>
        <w:tc>
          <w:tcPr>
            <w:tcW w:w="3213" w:type="dxa"/>
            <w:tcBorders>
              <w:top w:val="single" w:sz="4" w:space="0" w:color="auto"/>
              <w:bottom w:val="single" w:sz="12" w:space="0" w:color="auto"/>
            </w:tcBorders>
            <w:shd w:val="clear" w:color="auto" w:fill="auto"/>
            <w:vAlign w:val="bottom"/>
          </w:tcPr>
          <w:p w14:paraId="3B5C098C" w14:textId="77777777" w:rsidR="009B3476" w:rsidRPr="008B4D7D" w:rsidRDefault="009B3476" w:rsidP="008B4D7D">
            <w:pPr>
              <w:spacing w:before="80" w:after="80" w:line="200" w:lineRule="exact"/>
              <w:ind w:right="113"/>
              <w:rPr>
                <w:i/>
                <w:sz w:val="16"/>
              </w:rPr>
            </w:pPr>
            <w:r w:rsidRPr="008B4D7D">
              <w:rPr>
                <w:i/>
                <w:sz w:val="16"/>
              </w:rPr>
              <w:t>Not ratified/not accepted</w:t>
            </w:r>
          </w:p>
        </w:tc>
      </w:tr>
      <w:tr w:rsidR="009B3476" w:rsidRPr="00A02BFB" w14:paraId="0A23F148" w14:textId="77777777" w:rsidTr="00084554">
        <w:trPr>
          <w:trHeight w:hRule="exact" w:val="113"/>
        </w:trPr>
        <w:tc>
          <w:tcPr>
            <w:tcW w:w="3240" w:type="dxa"/>
            <w:tcBorders>
              <w:top w:val="single" w:sz="12" w:space="0" w:color="auto"/>
            </w:tcBorders>
            <w:shd w:val="clear" w:color="auto" w:fill="auto"/>
            <w:vAlign w:val="bottom"/>
          </w:tcPr>
          <w:p w14:paraId="3ED4F097" w14:textId="77777777" w:rsidR="009B3476" w:rsidRPr="008B4D7D" w:rsidRDefault="009B3476" w:rsidP="008B4D7D">
            <w:pPr>
              <w:spacing w:before="80" w:after="80" w:line="200" w:lineRule="exact"/>
              <w:ind w:right="113"/>
              <w:rPr>
                <w:i/>
                <w:sz w:val="16"/>
              </w:rPr>
            </w:pPr>
          </w:p>
        </w:tc>
        <w:tc>
          <w:tcPr>
            <w:tcW w:w="3184" w:type="dxa"/>
            <w:tcBorders>
              <w:top w:val="single" w:sz="12" w:space="0" w:color="auto"/>
            </w:tcBorders>
            <w:shd w:val="clear" w:color="auto" w:fill="auto"/>
            <w:vAlign w:val="bottom"/>
          </w:tcPr>
          <w:p w14:paraId="0A1EAAC6" w14:textId="77777777" w:rsidR="009B3476" w:rsidRPr="008B4D7D" w:rsidRDefault="009B3476"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2F026686" w14:textId="77777777" w:rsidR="009B3476" w:rsidRPr="008B4D7D" w:rsidRDefault="009B3476" w:rsidP="008B4D7D">
            <w:pPr>
              <w:spacing w:before="80" w:after="80" w:line="200" w:lineRule="exact"/>
              <w:ind w:right="113"/>
              <w:rPr>
                <w:i/>
                <w:sz w:val="16"/>
              </w:rPr>
            </w:pPr>
          </w:p>
        </w:tc>
      </w:tr>
      <w:tr w:rsidR="009B3476" w:rsidRPr="00A02BFB" w14:paraId="0021CB84" w14:textId="77777777" w:rsidTr="00084554">
        <w:tc>
          <w:tcPr>
            <w:tcW w:w="3240" w:type="dxa"/>
            <w:shd w:val="clear" w:color="auto" w:fill="auto"/>
          </w:tcPr>
          <w:p w14:paraId="1FEC1F64" w14:textId="77777777" w:rsidR="009B3476" w:rsidRPr="008B4D7D" w:rsidRDefault="009B3476" w:rsidP="008B4D7D">
            <w:pPr>
              <w:spacing w:before="40" w:after="120"/>
              <w:ind w:right="113"/>
              <w:rPr>
                <w:i/>
              </w:rPr>
            </w:pPr>
            <w:r w:rsidRPr="008B4D7D">
              <w:rPr>
                <w:i/>
              </w:rPr>
              <w:t>Ratification, accession or succession</w:t>
            </w:r>
          </w:p>
        </w:tc>
        <w:tc>
          <w:tcPr>
            <w:tcW w:w="3184" w:type="dxa"/>
            <w:shd w:val="clear" w:color="auto" w:fill="auto"/>
          </w:tcPr>
          <w:p w14:paraId="407CF6B3" w14:textId="23D62251" w:rsidR="009B3476" w:rsidRPr="00A02BFB" w:rsidRDefault="009B3476" w:rsidP="008B4D7D">
            <w:pPr>
              <w:spacing w:before="40" w:after="120"/>
              <w:ind w:right="113"/>
            </w:pPr>
            <w:r w:rsidRPr="00A02BFB">
              <w:t>ICERD (</w:t>
            </w:r>
            <w:r w:rsidR="00454950">
              <w:t>1972</w:t>
            </w:r>
            <w:r w:rsidRPr="00A02BFB">
              <w:t>)</w:t>
            </w:r>
          </w:p>
          <w:p w14:paraId="151113C9" w14:textId="138AED03" w:rsidR="009B3476" w:rsidRDefault="009B3476" w:rsidP="008B4D7D">
            <w:pPr>
              <w:spacing w:before="40" w:after="120"/>
              <w:ind w:right="113"/>
            </w:pPr>
            <w:r w:rsidRPr="00A02BFB">
              <w:t>ICESCR (</w:t>
            </w:r>
            <w:r w:rsidR="0036635E">
              <w:t>1984</w:t>
            </w:r>
            <w:r w:rsidRPr="00A02BFB">
              <w:t>)</w:t>
            </w:r>
          </w:p>
          <w:p w14:paraId="4B30C8EE" w14:textId="7498EDCC" w:rsidR="009B3476" w:rsidRPr="00A02BFB" w:rsidRDefault="009B3476" w:rsidP="008B4D7D">
            <w:pPr>
              <w:spacing w:before="40" w:after="120"/>
              <w:ind w:right="113"/>
            </w:pPr>
            <w:r>
              <w:t>ICCPR (</w:t>
            </w:r>
            <w:r w:rsidR="00011071">
              <w:t>1984</w:t>
            </w:r>
            <w:r>
              <w:t>)</w:t>
            </w:r>
          </w:p>
          <w:p w14:paraId="75732A10" w14:textId="413E6B6B" w:rsidR="009B3476" w:rsidRPr="00A02BFB" w:rsidRDefault="009B3476" w:rsidP="008B4D7D">
            <w:pPr>
              <w:spacing w:before="40" w:after="120"/>
              <w:ind w:right="113"/>
            </w:pPr>
            <w:r w:rsidRPr="00A02BFB">
              <w:t>CEDAW (</w:t>
            </w:r>
            <w:r w:rsidR="00011071">
              <w:t>1985</w:t>
            </w:r>
            <w:r w:rsidRPr="00A02BFB">
              <w:t>)</w:t>
            </w:r>
          </w:p>
          <w:p w14:paraId="5E219CD9" w14:textId="33955A08" w:rsidR="009B3476" w:rsidRPr="00A02BFB" w:rsidRDefault="009B3476" w:rsidP="008B4D7D">
            <w:pPr>
              <w:spacing w:before="40" w:after="120"/>
              <w:ind w:right="113"/>
            </w:pPr>
            <w:r w:rsidRPr="00A02BFB">
              <w:t>CAT (</w:t>
            </w:r>
            <w:r w:rsidR="00813478">
              <w:t>1998</w:t>
            </w:r>
            <w:r w:rsidRPr="00A02BFB">
              <w:t>)</w:t>
            </w:r>
          </w:p>
          <w:p w14:paraId="57528A0C" w14:textId="682AC244" w:rsidR="009B3476" w:rsidRPr="00A02BFB" w:rsidRDefault="009B3476" w:rsidP="008B4D7D">
            <w:pPr>
              <w:spacing w:before="40" w:after="120"/>
              <w:ind w:right="113"/>
            </w:pPr>
            <w:r w:rsidRPr="00A02BFB">
              <w:t>CRC (</w:t>
            </w:r>
            <w:r w:rsidR="00FD70A1">
              <w:t>1991)</w:t>
            </w:r>
          </w:p>
          <w:p w14:paraId="1D6C5F70" w14:textId="48CC1C6E" w:rsidR="009B3476" w:rsidRPr="00A02BFB" w:rsidRDefault="009B3476" w:rsidP="008B4D7D">
            <w:pPr>
              <w:spacing w:before="40" w:after="120"/>
              <w:ind w:right="113"/>
            </w:pPr>
            <w:r w:rsidRPr="00A02BFB">
              <w:t>CRPD (</w:t>
            </w:r>
            <w:r w:rsidR="007C2548">
              <w:t>2010</w:t>
            </w:r>
            <w:r w:rsidRPr="00A02BFB">
              <w:t>)</w:t>
            </w:r>
          </w:p>
          <w:p w14:paraId="61960C80" w14:textId="1E33339B" w:rsidR="009B3476" w:rsidRPr="00A02BFB" w:rsidRDefault="009B3476" w:rsidP="007C2548">
            <w:pPr>
              <w:spacing w:before="40" w:after="120"/>
              <w:ind w:right="113"/>
            </w:pPr>
            <w:r w:rsidRPr="00A02BFB">
              <w:t>ICPPED (</w:t>
            </w:r>
            <w:r w:rsidR="007C2548">
              <w:t>2011</w:t>
            </w:r>
            <w:r w:rsidRPr="00A02BFB">
              <w:t>)</w:t>
            </w:r>
          </w:p>
        </w:tc>
        <w:tc>
          <w:tcPr>
            <w:tcW w:w="3213" w:type="dxa"/>
            <w:shd w:val="clear" w:color="auto" w:fill="auto"/>
          </w:tcPr>
          <w:p w14:paraId="518539C0" w14:textId="7F055FF9" w:rsidR="007C2548" w:rsidRDefault="007C2548" w:rsidP="00FD70A1">
            <w:pPr>
              <w:spacing w:before="40" w:after="120"/>
              <w:ind w:right="113"/>
            </w:pPr>
            <w:r w:rsidRPr="00A02BFB">
              <w:t>ICCPR-OP 2</w:t>
            </w:r>
          </w:p>
          <w:p w14:paraId="270ABD65" w14:textId="7637B0C4" w:rsidR="00FD70A1" w:rsidRDefault="00FD70A1" w:rsidP="00FD70A1">
            <w:pPr>
              <w:spacing w:before="40" w:after="120"/>
              <w:ind w:right="113"/>
            </w:pPr>
            <w:r w:rsidRPr="00A02BFB">
              <w:t>OP-CAT (</w:t>
            </w:r>
            <w:r>
              <w:t>signature, 2010</w:t>
            </w:r>
            <w:r w:rsidRPr="00A02BFB">
              <w:t>)</w:t>
            </w:r>
          </w:p>
          <w:p w14:paraId="70C8D580" w14:textId="10975F94" w:rsidR="00FD70A1" w:rsidRDefault="00FD70A1" w:rsidP="00FD70A1">
            <w:pPr>
              <w:spacing w:before="40" w:after="120"/>
              <w:ind w:right="113"/>
            </w:pPr>
            <w:r w:rsidRPr="00A02BFB">
              <w:t>OP-CRC-AC (</w:t>
            </w:r>
            <w:r>
              <w:t>signature, 2008</w:t>
            </w:r>
            <w:r w:rsidRPr="00A02BFB">
              <w:t>)</w:t>
            </w:r>
          </w:p>
          <w:p w14:paraId="4DC848D3" w14:textId="3A32BDBD" w:rsidR="00FD70A1" w:rsidRDefault="00FD70A1" w:rsidP="00FD70A1">
            <w:pPr>
              <w:spacing w:before="40" w:after="120"/>
              <w:ind w:right="113"/>
            </w:pPr>
            <w:r>
              <w:t>OP-CRC-S</w:t>
            </w:r>
            <w:r w:rsidRPr="00A02BFB">
              <w:t>C (</w:t>
            </w:r>
            <w:r>
              <w:t>signature, 2008</w:t>
            </w:r>
            <w:r w:rsidRPr="00A02BFB">
              <w:t>)</w:t>
            </w:r>
          </w:p>
          <w:p w14:paraId="11478764" w14:textId="4C917607" w:rsidR="009B3476" w:rsidRPr="00A02BFB" w:rsidRDefault="007C2548" w:rsidP="008B4D7D">
            <w:pPr>
              <w:spacing w:before="40" w:after="120"/>
              <w:ind w:right="113"/>
            </w:pPr>
            <w:r w:rsidRPr="00A02BFB">
              <w:t>ICRMW</w:t>
            </w:r>
          </w:p>
        </w:tc>
      </w:tr>
      <w:tr w:rsidR="009B3476" w:rsidRPr="00A02BFB" w14:paraId="54551BAC" w14:textId="77777777" w:rsidTr="00084554">
        <w:tc>
          <w:tcPr>
            <w:tcW w:w="3240" w:type="dxa"/>
            <w:tcBorders>
              <w:bottom w:val="single" w:sz="12" w:space="0" w:color="auto"/>
            </w:tcBorders>
            <w:shd w:val="clear" w:color="auto" w:fill="auto"/>
          </w:tcPr>
          <w:p w14:paraId="2B8945AB" w14:textId="659C6A8B" w:rsidR="009B3476" w:rsidRPr="00A02BFB" w:rsidRDefault="009B3476" w:rsidP="008B4D7D">
            <w:pPr>
              <w:spacing w:before="40" w:after="120"/>
              <w:ind w:right="113"/>
            </w:pPr>
            <w:r w:rsidRPr="008B4D7D">
              <w:rPr>
                <w:i/>
              </w:rPr>
              <w:t xml:space="preserve">Complaints procedures, inquiries </w:t>
            </w:r>
            <w:r w:rsidR="00B43574">
              <w:rPr>
                <w:i/>
              </w:rPr>
              <w:br/>
            </w:r>
            <w:r w:rsidRPr="008B4D7D">
              <w:rPr>
                <w:i/>
              </w:rPr>
              <w:t>and urgent action</w:t>
            </w:r>
            <w:r w:rsidRPr="005534E1">
              <w:rPr>
                <w:rStyle w:val="EndnoteReference"/>
                <w:iCs/>
              </w:rPr>
              <w:endnoteReference w:id="4"/>
            </w:r>
          </w:p>
        </w:tc>
        <w:tc>
          <w:tcPr>
            <w:tcW w:w="3184" w:type="dxa"/>
            <w:tcBorders>
              <w:bottom w:val="single" w:sz="12" w:space="0" w:color="auto"/>
            </w:tcBorders>
            <w:shd w:val="clear" w:color="auto" w:fill="auto"/>
          </w:tcPr>
          <w:p w14:paraId="4DACE0DC" w14:textId="6C55892C" w:rsidR="009B3476" w:rsidRPr="00A02BFB" w:rsidRDefault="009B3476" w:rsidP="008B4D7D">
            <w:pPr>
              <w:spacing w:before="40" w:after="120"/>
              <w:ind w:right="113"/>
            </w:pPr>
            <w:r w:rsidRPr="00A02BFB">
              <w:t>ICCPR-OP 1 (</w:t>
            </w:r>
            <w:r w:rsidR="00011071">
              <w:t>1984</w:t>
            </w:r>
            <w:r w:rsidRPr="00A02BFB">
              <w:t>)</w:t>
            </w:r>
          </w:p>
          <w:p w14:paraId="0EC17C44" w14:textId="67038E06" w:rsidR="009B3476" w:rsidRPr="00A02BFB" w:rsidRDefault="009B3476" w:rsidP="008B4D7D">
            <w:pPr>
              <w:spacing w:before="40" w:after="120"/>
              <w:ind w:right="113"/>
            </w:pPr>
            <w:r w:rsidRPr="00A02BFB">
              <w:t>CAT, art. 20 (</w:t>
            </w:r>
            <w:r w:rsidR="00813478">
              <w:t>1999</w:t>
            </w:r>
            <w:r w:rsidRPr="00A02BFB">
              <w:t>)</w:t>
            </w:r>
          </w:p>
        </w:tc>
        <w:tc>
          <w:tcPr>
            <w:tcW w:w="3213" w:type="dxa"/>
            <w:tcBorders>
              <w:bottom w:val="single" w:sz="12" w:space="0" w:color="auto"/>
            </w:tcBorders>
            <w:shd w:val="clear" w:color="auto" w:fill="auto"/>
          </w:tcPr>
          <w:p w14:paraId="5C07B958" w14:textId="77777777" w:rsidR="009B3476" w:rsidRDefault="00454950" w:rsidP="008B4D7D">
            <w:pPr>
              <w:spacing w:before="40" w:after="120"/>
              <w:ind w:right="113"/>
            </w:pPr>
            <w:r w:rsidRPr="00A02BFB">
              <w:t>ICERD, art. 14</w:t>
            </w:r>
          </w:p>
          <w:p w14:paraId="608B5631" w14:textId="77777777" w:rsidR="00011071" w:rsidRDefault="00011071" w:rsidP="008B4D7D">
            <w:pPr>
              <w:spacing w:before="40" w:after="120"/>
              <w:ind w:right="113"/>
            </w:pPr>
            <w:r w:rsidRPr="00A02BFB">
              <w:t>OP-ICESCR</w:t>
            </w:r>
          </w:p>
          <w:p w14:paraId="51EC0E62" w14:textId="77777777" w:rsidR="00011071" w:rsidRDefault="00011071" w:rsidP="008B4D7D">
            <w:pPr>
              <w:spacing w:before="40" w:after="120"/>
              <w:ind w:right="113"/>
            </w:pPr>
            <w:r w:rsidRPr="00A02BFB">
              <w:t>ICCPR, art. 41</w:t>
            </w:r>
          </w:p>
          <w:p w14:paraId="01A8A226" w14:textId="77777777" w:rsidR="00EE33B5" w:rsidRDefault="00EE33B5" w:rsidP="008B4D7D">
            <w:pPr>
              <w:spacing w:before="40" w:after="120"/>
              <w:ind w:right="113"/>
            </w:pPr>
            <w:r w:rsidRPr="00A02BFB">
              <w:t>OP-CEDAW (</w:t>
            </w:r>
            <w:r>
              <w:t>signature, 2008</w:t>
            </w:r>
            <w:r w:rsidRPr="00A02BFB">
              <w:t>)</w:t>
            </w:r>
          </w:p>
          <w:p w14:paraId="274B5C4E" w14:textId="77777777" w:rsidR="00813478" w:rsidRDefault="00813478" w:rsidP="008B4D7D">
            <w:pPr>
              <w:spacing w:before="40" w:after="120"/>
              <w:ind w:right="113"/>
            </w:pPr>
            <w:r>
              <w:t xml:space="preserve">CAT, art. </w:t>
            </w:r>
            <w:r w:rsidRPr="00A02BFB">
              <w:t>21 and 22</w:t>
            </w:r>
          </w:p>
          <w:p w14:paraId="1B11359F" w14:textId="77777777" w:rsidR="00FD70A1" w:rsidRDefault="00FD70A1" w:rsidP="008B4D7D">
            <w:pPr>
              <w:spacing w:before="40" w:after="120"/>
              <w:ind w:right="113"/>
            </w:pPr>
            <w:r w:rsidRPr="00A02BFB">
              <w:t>OP-CRC-IC</w:t>
            </w:r>
          </w:p>
          <w:p w14:paraId="62DBFFFD" w14:textId="77777777" w:rsidR="007C2548" w:rsidRDefault="007C2548" w:rsidP="008B4D7D">
            <w:pPr>
              <w:spacing w:before="40" w:after="120"/>
              <w:ind w:right="113"/>
            </w:pPr>
            <w:r w:rsidRPr="00A02BFB">
              <w:t>ICRMW</w:t>
            </w:r>
          </w:p>
          <w:p w14:paraId="2CF88998" w14:textId="77777777" w:rsidR="007C2548" w:rsidRPr="00A02BFB" w:rsidRDefault="007C2548" w:rsidP="007C2548">
            <w:pPr>
              <w:spacing w:before="40" w:after="120"/>
              <w:ind w:right="113"/>
            </w:pPr>
            <w:r w:rsidRPr="00A02BFB">
              <w:t>OP-CRPD (</w:t>
            </w:r>
            <w:r>
              <w:t>signature, 2008</w:t>
            </w:r>
            <w:r w:rsidRPr="00A02BFB">
              <w:t>)</w:t>
            </w:r>
          </w:p>
          <w:p w14:paraId="49657562" w14:textId="7C9A0314" w:rsidR="007C2548" w:rsidRPr="00A02BFB" w:rsidRDefault="000103BE" w:rsidP="008B4D7D">
            <w:pPr>
              <w:spacing w:before="40" w:after="120"/>
              <w:ind w:right="113"/>
            </w:pPr>
            <w:r w:rsidRPr="00A02BFB">
              <w:t>ICPPED, arts. 31 and 32</w:t>
            </w:r>
          </w:p>
        </w:tc>
      </w:tr>
    </w:tbl>
    <w:p w14:paraId="139D1983" w14:textId="511A04EB" w:rsidR="009B1638" w:rsidRDefault="009B1638" w:rsidP="00084554">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084554" w:rsidRPr="00084554" w14:paraId="1D051FE8" w14:textId="77777777" w:rsidTr="00084554">
        <w:tc>
          <w:tcPr>
            <w:tcW w:w="3685" w:type="dxa"/>
            <w:tcBorders>
              <w:top w:val="single" w:sz="4" w:space="0" w:color="auto"/>
              <w:bottom w:val="single" w:sz="12" w:space="0" w:color="auto"/>
            </w:tcBorders>
            <w:shd w:val="clear" w:color="auto" w:fill="auto"/>
          </w:tcPr>
          <w:p w14:paraId="0D4301E6" w14:textId="7352F463" w:rsidR="00084554" w:rsidRPr="00084554" w:rsidRDefault="00084554" w:rsidP="00084554">
            <w:pPr>
              <w:spacing w:before="80" w:after="80" w:line="200" w:lineRule="exact"/>
              <w:ind w:right="113"/>
              <w:rPr>
                <w:i/>
                <w:sz w:val="16"/>
              </w:rPr>
            </w:pPr>
            <w:r w:rsidRPr="008B4D7D">
              <w:rPr>
                <w:i/>
                <w:sz w:val="16"/>
              </w:rPr>
              <w:t>Reservations and / or declarations</w:t>
            </w:r>
          </w:p>
        </w:tc>
        <w:tc>
          <w:tcPr>
            <w:tcW w:w="3685" w:type="dxa"/>
            <w:tcBorders>
              <w:top w:val="single" w:sz="4" w:space="0" w:color="auto"/>
              <w:bottom w:val="single" w:sz="12" w:space="0" w:color="auto"/>
            </w:tcBorders>
            <w:shd w:val="clear" w:color="auto" w:fill="auto"/>
          </w:tcPr>
          <w:p w14:paraId="5EAC8F5F" w14:textId="50766F4D" w:rsidR="00084554" w:rsidRPr="00084554" w:rsidRDefault="00084554" w:rsidP="00084554">
            <w:pPr>
              <w:spacing w:before="80" w:after="80" w:line="200" w:lineRule="exact"/>
              <w:ind w:right="113"/>
              <w:rPr>
                <w:i/>
                <w:sz w:val="16"/>
              </w:rPr>
            </w:pPr>
            <w:r>
              <w:rPr>
                <w:i/>
                <w:sz w:val="16"/>
              </w:rPr>
              <w:t xml:space="preserve">Current Status </w:t>
            </w:r>
          </w:p>
        </w:tc>
      </w:tr>
      <w:tr w:rsidR="00084554" w:rsidRPr="00084554" w14:paraId="27E43111" w14:textId="77777777" w:rsidTr="00084554">
        <w:trPr>
          <w:trHeight w:hRule="exact" w:val="113"/>
        </w:trPr>
        <w:tc>
          <w:tcPr>
            <w:tcW w:w="3685" w:type="dxa"/>
            <w:tcBorders>
              <w:top w:val="single" w:sz="12" w:space="0" w:color="auto"/>
            </w:tcBorders>
            <w:shd w:val="clear" w:color="auto" w:fill="auto"/>
          </w:tcPr>
          <w:p w14:paraId="64120099" w14:textId="77777777" w:rsidR="00084554" w:rsidRPr="00084554" w:rsidRDefault="00084554" w:rsidP="00084554">
            <w:pPr>
              <w:spacing w:before="80" w:after="80" w:line="200" w:lineRule="exact"/>
              <w:ind w:right="113"/>
              <w:rPr>
                <w:i/>
                <w:sz w:val="16"/>
              </w:rPr>
            </w:pPr>
          </w:p>
        </w:tc>
        <w:tc>
          <w:tcPr>
            <w:tcW w:w="3685" w:type="dxa"/>
            <w:tcBorders>
              <w:top w:val="single" w:sz="12" w:space="0" w:color="auto"/>
            </w:tcBorders>
            <w:shd w:val="clear" w:color="auto" w:fill="auto"/>
          </w:tcPr>
          <w:p w14:paraId="21ADE984" w14:textId="77777777" w:rsidR="00084554" w:rsidRPr="00084554" w:rsidRDefault="00084554" w:rsidP="00084554">
            <w:pPr>
              <w:spacing w:before="80" w:after="80" w:line="200" w:lineRule="exact"/>
              <w:ind w:right="113"/>
              <w:rPr>
                <w:i/>
                <w:sz w:val="16"/>
              </w:rPr>
            </w:pPr>
          </w:p>
        </w:tc>
      </w:tr>
      <w:tr w:rsidR="00084554" w:rsidRPr="00084554" w14:paraId="247D0765" w14:textId="77777777" w:rsidTr="00084554">
        <w:tc>
          <w:tcPr>
            <w:tcW w:w="3685" w:type="dxa"/>
            <w:tcBorders>
              <w:bottom w:val="single" w:sz="12" w:space="0" w:color="auto"/>
            </w:tcBorders>
            <w:shd w:val="clear" w:color="auto" w:fill="auto"/>
          </w:tcPr>
          <w:p w14:paraId="68A5CC70" w14:textId="77777777" w:rsidR="00084554" w:rsidRPr="00084554" w:rsidRDefault="00084554" w:rsidP="00084554">
            <w:pPr>
              <w:spacing w:before="40" w:after="120"/>
              <w:ind w:right="113"/>
            </w:pPr>
          </w:p>
        </w:tc>
        <w:tc>
          <w:tcPr>
            <w:tcW w:w="3685" w:type="dxa"/>
            <w:tcBorders>
              <w:bottom w:val="single" w:sz="12" w:space="0" w:color="auto"/>
            </w:tcBorders>
            <w:shd w:val="clear" w:color="auto" w:fill="auto"/>
          </w:tcPr>
          <w:p w14:paraId="3BA0D7A1" w14:textId="3E93E4CE" w:rsidR="00084554" w:rsidRPr="00084554" w:rsidRDefault="00084554" w:rsidP="00084554">
            <w:pPr>
              <w:spacing w:before="40" w:after="120"/>
              <w:ind w:right="113"/>
            </w:pPr>
            <w:r w:rsidRPr="0036635E">
              <w:t>ICESCR (Reservation, art. 13(2)(a))</w:t>
            </w:r>
          </w:p>
        </w:tc>
      </w:tr>
    </w:tbl>
    <w:p w14:paraId="1F353718" w14:textId="5EED4FC4" w:rsidR="00A02BFB" w:rsidRPr="00084554" w:rsidRDefault="009B1638" w:rsidP="00084554">
      <w:pPr>
        <w:pStyle w:val="H1G"/>
      </w:pPr>
      <w:r w:rsidRPr="00084554">
        <w:tab/>
      </w:r>
      <w:r w:rsidR="00A02BFB" w:rsidRPr="00084554">
        <w:t>B.</w:t>
      </w:r>
      <w:r w:rsidR="00A02BFB" w:rsidRPr="00084554">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58"/>
        <w:gridCol w:w="3966"/>
        <w:gridCol w:w="3213"/>
      </w:tblGrid>
      <w:tr w:rsidR="00084554" w:rsidRPr="004516C6" w14:paraId="2E9D4C73" w14:textId="77777777" w:rsidTr="00D8433E">
        <w:tc>
          <w:tcPr>
            <w:tcW w:w="2458" w:type="dxa"/>
            <w:tcBorders>
              <w:top w:val="single" w:sz="4" w:space="0" w:color="auto"/>
              <w:bottom w:val="single" w:sz="12" w:space="0" w:color="auto"/>
            </w:tcBorders>
            <w:shd w:val="clear" w:color="auto" w:fill="auto"/>
            <w:vAlign w:val="bottom"/>
          </w:tcPr>
          <w:p w14:paraId="578F5940" w14:textId="77777777" w:rsidR="00084554" w:rsidRPr="004516C6" w:rsidRDefault="00084554" w:rsidP="004516C6">
            <w:pPr>
              <w:spacing w:before="80" w:after="80" w:line="200" w:lineRule="exact"/>
              <w:ind w:right="113"/>
              <w:rPr>
                <w:i/>
                <w:sz w:val="16"/>
              </w:rPr>
            </w:pPr>
          </w:p>
        </w:tc>
        <w:tc>
          <w:tcPr>
            <w:tcW w:w="3966" w:type="dxa"/>
            <w:tcBorders>
              <w:top w:val="single" w:sz="4" w:space="0" w:color="auto"/>
              <w:bottom w:val="single" w:sz="12" w:space="0" w:color="auto"/>
            </w:tcBorders>
            <w:shd w:val="clear" w:color="auto" w:fill="auto"/>
            <w:vAlign w:val="bottom"/>
          </w:tcPr>
          <w:p w14:paraId="315FDBAB" w14:textId="1EF3D940" w:rsidR="00084554" w:rsidRPr="004516C6" w:rsidRDefault="00084554" w:rsidP="004516C6">
            <w:pPr>
              <w:spacing w:before="80" w:after="80" w:line="200" w:lineRule="exact"/>
              <w:ind w:right="113"/>
              <w:rPr>
                <w:i/>
                <w:sz w:val="16"/>
              </w:rPr>
            </w:pPr>
            <w:r w:rsidRPr="004516C6">
              <w:rPr>
                <w:i/>
                <w:sz w:val="16"/>
              </w:rPr>
              <w:t>Ratified</w:t>
            </w:r>
          </w:p>
        </w:tc>
        <w:tc>
          <w:tcPr>
            <w:tcW w:w="3213" w:type="dxa"/>
            <w:tcBorders>
              <w:top w:val="single" w:sz="4" w:space="0" w:color="auto"/>
              <w:bottom w:val="single" w:sz="12" w:space="0" w:color="auto"/>
            </w:tcBorders>
            <w:shd w:val="clear" w:color="auto" w:fill="auto"/>
            <w:vAlign w:val="bottom"/>
          </w:tcPr>
          <w:p w14:paraId="1CA63072" w14:textId="77777777" w:rsidR="00084554" w:rsidRPr="004516C6" w:rsidRDefault="00084554" w:rsidP="004516C6">
            <w:pPr>
              <w:spacing w:before="80" w:after="80" w:line="200" w:lineRule="exact"/>
              <w:ind w:right="113"/>
              <w:rPr>
                <w:i/>
                <w:sz w:val="16"/>
              </w:rPr>
            </w:pPr>
            <w:r w:rsidRPr="004516C6">
              <w:rPr>
                <w:i/>
                <w:sz w:val="16"/>
              </w:rPr>
              <w:t>Not ratified</w:t>
            </w:r>
          </w:p>
        </w:tc>
      </w:tr>
      <w:tr w:rsidR="004516C6" w:rsidRPr="004516C6" w14:paraId="710369DE" w14:textId="77777777" w:rsidTr="004516C6">
        <w:trPr>
          <w:trHeight w:hRule="exact" w:val="113"/>
        </w:trPr>
        <w:tc>
          <w:tcPr>
            <w:tcW w:w="2458" w:type="dxa"/>
            <w:tcBorders>
              <w:top w:val="single" w:sz="12" w:space="0" w:color="auto"/>
            </w:tcBorders>
            <w:shd w:val="clear" w:color="auto" w:fill="auto"/>
          </w:tcPr>
          <w:p w14:paraId="5C0B8E72" w14:textId="77777777" w:rsidR="004516C6" w:rsidRPr="004516C6" w:rsidRDefault="004516C6" w:rsidP="004516C6">
            <w:pPr>
              <w:spacing w:before="40" w:after="120"/>
              <w:ind w:right="113"/>
            </w:pPr>
          </w:p>
        </w:tc>
        <w:tc>
          <w:tcPr>
            <w:tcW w:w="3966" w:type="dxa"/>
            <w:tcBorders>
              <w:top w:val="single" w:sz="12" w:space="0" w:color="auto"/>
            </w:tcBorders>
            <w:shd w:val="clear" w:color="auto" w:fill="auto"/>
          </w:tcPr>
          <w:p w14:paraId="4264919E" w14:textId="77777777" w:rsidR="004516C6" w:rsidRPr="004516C6" w:rsidRDefault="004516C6" w:rsidP="004516C6">
            <w:pPr>
              <w:spacing w:before="40" w:after="120"/>
              <w:ind w:right="113"/>
            </w:pPr>
          </w:p>
        </w:tc>
        <w:tc>
          <w:tcPr>
            <w:tcW w:w="3213" w:type="dxa"/>
            <w:tcBorders>
              <w:top w:val="single" w:sz="12" w:space="0" w:color="auto"/>
            </w:tcBorders>
            <w:shd w:val="clear" w:color="auto" w:fill="auto"/>
          </w:tcPr>
          <w:p w14:paraId="27332AF3" w14:textId="77777777" w:rsidR="004516C6" w:rsidRPr="004516C6" w:rsidRDefault="004516C6" w:rsidP="004516C6">
            <w:pPr>
              <w:spacing w:before="40" w:after="120"/>
              <w:ind w:right="113"/>
            </w:pPr>
          </w:p>
        </w:tc>
      </w:tr>
      <w:tr w:rsidR="00084554" w:rsidRPr="004516C6" w14:paraId="72D9CAF4" w14:textId="77777777" w:rsidTr="004516C6">
        <w:tc>
          <w:tcPr>
            <w:tcW w:w="2458" w:type="dxa"/>
            <w:shd w:val="clear" w:color="auto" w:fill="auto"/>
          </w:tcPr>
          <w:p w14:paraId="3202BED3" w14:textId="5FA22E97" w:rsidR="00084554" w:rsidRPr="004516C6" w:rsidRDefault="00084554" w:rsidP="004516C6">
            <w:pPr>
              <w:spacing w:before="40" w:after="120"/>
              <w:ind w:right="113"/>
              <w:rPr>
                <w:i/>
              </w:rPr>
            </w:pPr>
            <w:r w:rsidRPr="004516C6">
              <w:rPr>
                <w:i/>
              </w:rPr>
              <w:t xml:space="preserve">Ratification, accession </w:t>
            </w:r>
            <w:r w:rsidR="00D8433E">
              <w:rPr>
                <w:i/>
              </w:rPr>
              <w:br/>
            </w:r>
            <w:r w:rsidRPr="004516C6">
              <w:rPr>
                <w:i/>
              </w:rPr>
              <w:t>or succession</w:t>
            </w:r>
          </w:p>
        </w:tc>
        <w:tc>
          <w:tcPr>
            <w:tcW w:w="3966" w:type="dxa"/>
            <w:shd w:val="clear" w:color="auto" w:fill="auto"/>
          </w:tcPr>
          <w:p w14:paraId="2E5F810A" w14:textId="734EEED8" w:rsidR="00084554" w:rsidRPr="004516C6" w:rsidRDefault="00084554" w:rsidP="004516C6">
            <w:pPr>
              <w:spacing w:before="40" w:after="120"/>
              <w:ind w:right="113"/>
              <w:rPr>
                <w:strike/>
              </w:rPr>
            </w:pPr>
            <w:r w:rsidRPr="004516C6">
              <w:t>Convention on the Prevention and Punishment of the Crime of Genocide</w:t>
            </w:r>
            <w:r w:rsidRPr="004516C6">
              <w:rPr>
                <w:vertAlign w:val="superscript"/>
              </w:rPr>
              <w:endnoteReference w:id="5"/>
            </w:r>
          </w:p>
        </w:tc>
        <w:tc>
          <w:tcPr>
            <w:tcW w:w="3213" w:type="dxa"/>
            <w:shd w:val="clear" w:color="auto" w:fill="auto"/>
          </w:tcPr>
          <w:p w14:paraId="68601868" w14:textId="77777777" w:rsidR="00084554" w:rsidRPr="004516C6" w:rsidRDefault="00084554" w:rsidP="004516C6">
            <w:pPr>
              <w:spacing w:before="40" w:after="120"/>
              <w:ind w:right="113"/>
              <w:rPr>
                <w:lang w:val="en"/>
              </w:rPr>
            </w:pPr>
            <w:r w:rsidRPr="004516C6">
              <w:t xml:space="preserve">ILO Conventions Nos. 169, 189 and 190 and Protocol </w:t>
            </w:r>
            <w:r w:rsidRPr="004516C6">
              <w:rPr>
                <w:lang w:val="en"/>
              </w:rPr>
              <w:t>029</w:t>
            </w:r>
            <w:r w:rsidRPr="004516C6">
              <w:rPr>
                <w:vertAlign w:val="superscript"/>
              </w:rPr>
              <w:endnoteReference w:id="6"/>
            </w:r>
          </w:p>
          <w:p w14:paraId="72EA87C0" w14:textId="7126268F" w:rsidR="00084554" w:rsidRPr="004516C6" w:rsidRDefault="00084554" w:rsidP="004516C6">
            <w:pPr>
              <w:spacing w:before="40" w:after="120"/>
              <w:ind w:right="113"/>
            </w:pPr>
            <w:r w:rsidRPr="004516C6">
              <w:t xml:space="preserve">Convention against Discrimination </w:t>
            </w:r>
            <w:r w:rsidR="00D8433E">
              <w:br/>
            </w:r>
            <w:r w:rsidRPr="004516C6">
              <w:t>in Education</w:t>
            </w:r>
            <w:r w:rsidRPr="004516C6">
              <w:rPr>
                <w:vertAlign w:val="superscript"/>
              </w:rPr>
              <w:endnoteReference w:id="7"/>
            </w:r>
          </w:p>
          <w:p w14:paraId="3A8DF416" w14:textId="6BE22D65" w:rsidR="00084554" w:rsidRPr="004516C6" w:rsidRDefault="00084554" w:rsidP="004516C6">
            <w:pPr>
              <w:spacing w:before="40" w:after="120"/>
              <w:ind w:right="113"/>
              <w:rPr>
                <w:lang w:val="en"/>
              </w:rPr>
            </w:pPr>
            <w:r w:rsidRPr="004516C6">
              <w:lastRenderedPageBreak/>
              <w:t xml:space="preserve">ILO Conventions Nos. 169, 189 </w:t>
            </w:r>
            <w:r w:rsidR="00D8433E">
              <w:br/>
            </w:r>
            <w:r w:rsidRPr="004516C6">
              <w:t>and 190</w:t>
            </w:r>
            <w:r w:rsidRPr="004516C6">
              <w:rPr>
                <w:rStyle w:val="EndnoteReference"/>
                <w:sz w:val="20"/>
              </w:rPr>
              <w:endnoteReference w:id="8"/>
            </w:r>
          </w:p>
        </w:tc>
      </w:tr>
      <w:tr w:rsidR="00084554" w:rsidRPr="004516C6" w14:paraId="26448E00" w14:textId="77777777" w:rsidTr="004516C6">
        <w:tc>
          <w:tcPr>
            <w:tcW w:w="2458" w:type="dxa"/>
            <w:shd w:val="clear" w:color="auto" w:fill="auto"/>
          </w:tcPr>
          <w:p w14:paraId="284BE01D" w14:textId="77777777" w:rsidR="00084554" w:rsidRPr="004516C6" w:rsidRDefault="00084554" w:rsidP="004516C6">
            <w:pPr>
              <w:spacing w:before="40" w:after="120"/>
              <w:ind w:right="113"/>
            </w:pPr>
          </w:p>
        </w:tc>
        <w:tc>
          <w:tcPr>
            <w:tcW w:w="3966" w:type="dxa"/>
            <w:shd w:val="clear" w:color="auto" w:fill="auto"/>
          </w:tcPr>
          <w:p w14:paraId="01E17A8D" w14:textId="77777777" w:rsidR="00084554" w:rsidRPr="004516C6" w:rsidRDefault="00084554" w:rsidP="004516C6">
            <w:pPr>
              <w:spacing w:before="40" w:after="120"/>
              <w:ind w:right="113"/>
            </w:pPr>
            <w:r w:rsidRPr="004516C6">
              <w:t>Geneva Conventions of 12 August 1949 and Additional Protocols thereto</w:t>
            </w:r>
            <w:r w:rsidRPr="004516C6">
              <w:rPr>
                <w:rStyle w:val="EndnoteReference"/>
                <w:sz w:val="20"/>
              </w:rPr>
              <w:endnoteReference w:id="9"/>
            </w:r>
          </w:p>
        </w:tc>
        <w:tc>
          <w:tcPr>
            <w:tcW w:w="3213" w:type="dxa"/>
            <w:shd w:val="clear" w:color="auto" w:fill="auto"/>
          </w:tcPr>
          <w:p w14:paraId="7329D104" w14:textId="77777777" w:rsidR="00084554" w:rsidRPr="004516C6" w:rsidRDefault="00084554" w:rsidP="004516C6">
            <w:pPr>
              <w:spacing w:before="40" w:after="120"/>
              <w:ind w:right="113"/>
            </w:pPr>
          </w:p>
        </w:tc>
      </w:tr>
      <w:tr w:rsidR="00084554" w:rsidRPr="004516C6" w14:paraId="46E89CF9" w14:textId="77777777" w:rsidTr="004516C6">
        <w:tc>
          <w:tcPr>
            <w:tcW w:w="2458" w:type="dxa"/>
            <w:shd w:val="clear" w:color="auto" w:fill="auto"/>
          </w:tcPr>
          <w:p w14:paraId="3FD2EA96" w14:textId="77777777" w:rsidR="00084554" w:rsidRPr="004516C6" w:rsidRDefault="00084554" w:rsidP="004516C6">
            <w:pPr>
              <w:spacing w:before="40" w:after="120"/>
              <w:ind w:right="113"/>
            </w:pPr>
          </w:p>
        </w:tc>
        <w:tc>
          <w:tcPr>
            <w:tcW w:w="3966" w:type="dxa"/>
            <w:shd w:val="clear" w:color="auto" w:fill="auto"/>
          </w:tcPr>
          <w:p w14:paraId="197E5403" w14:textId="2787CF74" w:rsidR="00084554" w:rsidRPr="004516C6" w:rsidRDefault="00084554" w:rsidP="004516C6">
            <w:pPr>
              <w:spacing w:before="40" w:after="120"/>
              <w:ind w:right="113"/>
            </w:pPr>
            <w:r w:rsidRPr="004516C6">
              <w:t xml:space="preserve">Rome Statute of the International </w:t>
            </w:r>
            <w:r w:rsidR="00A2010B">
              <w:br/>
            </w:r>
            <w:r w:rsidRPr="004516C6">
              <w:t>Criminal Court</w:t>
            </w:r>
            <w:r w:rsidRPr="004516C6">
              <w:rPr>
                <w:rStyle w:val="EndnoteReference"/>
                <w:sz w:val="20"/>
              </w:rPr>
              <w:endnoteReference w:id="10"/>
            </w:r>
          </w:p>
        </w:tc>
        <w:tc>
          <w:tcPr>
            <w:tcW w:w="3213" w:type="dxa"/>
            <w:shd w:val="clear" w:color="auto" w:fill="auto"/>
          </w:tcPr>
          <w:p w14:paraId="57A74400" w14:textId="77777777" w:rsidR="00084554" w:rsidRPr="004516C6" w:rsidRDefault="00084554" w:rsidP="004516C6">
            <w:pPr>
              <w:spacing w:before="40" w:after="120"/>
              <w:ind w:right="113"/>
            </w:pPr>
          </w:p>
        </w:tc>
      </w:tr>
      <w:tr w:rsidR="00084554" w:rsidRPr="004516C6" w14:paraId="6AA3F439" w14:textId="77777777" w:rsidTr="004516C6">
        <w:tc>
          <w:tcPr>
            <w:tcW w:w="2458" w:type="dxa"/>
            <w:shd w:val="clear" w:color="auto" w:fill="auto"/>
          </w:tcPr>
          <w:p w14:paraId="64DAE8A7" w14:textId="77777777" w:rsidR="00084554" w:rsidRPr="004516C6" w:rsidRDefault="00084554" w:rsidP="004516C6">
            <w:pPr>
              <w:spacing w:before="40" w:after="120"/>
              <w:ind w:right="113"/>
            </w:pPr>
          </w:p>
        </w:tc>
        <w:tc>
          <w:tcPr>
            <w:tcW w:w="3966" w:type="dxa"/>
            <w:shd w:val="clear" w:color="auto" w:fill="auto"/>
          </w:tcPr>
          <w:p w14:paraId="3D1C3399" w14:textId="202E5941" w:rsidR="00084554" w:rsidRPr="004516C6" w:rsidRDefault="00084554" w:rsidP="004516C6">
            <w:pPr>
              <w:spacing w:before="40" w:after="120"/>
              <w:ind w:right="113"/>
            </w:pPr>
            <w:r w:rsidRPr="004516C6">
              <w:t xml:space="preserve">Conventions on refugees and stateless </w:t>
            </w:r>
            <w:r w:rsidR="00A2010B">
              <w:br/>
            </w:r>
            <w:r w:rsidRPr="004516C6">
              <w:t>persons</w:t>
            </w:r>
            <w:r w:rsidRPr="004516C6">
              <w:rPr>
                <w:rStyle w:val="EndnoteReference"/>
                <w:sz w:val="20"/>
              </w:rPr>
              <w:endnoteReference w:id="11"/>
            </w:r>
          </w:p>
        </w:tc>
        <w:tc>
          <w:tcPr>
            <w:tcW w:w="3213" w:type="dxa"/>
            <w:shd w:val="clear" w:color="auto" w:fill="auto"/>
          </w:tcPr>
          <w:p w14:paraId="1E8B8CC4" w14:textId="77777777" w:rsidR="00084554" w:rsidRPr="004516C6" w:rsidRDefault="00084554" w:rsidP="004516C6">
            <w:pPr>
              <w:spacing w:before="40" w:after="120"/>
              <w:ind w:right="113"/>
            </w:pPr>
          </w:p>
        </w:tc>
      </w:tr>
      <w:tr w:rsidR="00084554" w:rsidRPr="004516C6" w14:paraId="5040CAE8" w14:textId="77777777" w:rsidTr="00A2010B">
        <w:tc>
          <w:tcPr>
            <w:tcW w:w="2458" w:type="dxa"/>
            <w:shd w:val="clear" w:color="auto" w:fill="auto"/>
          </w:tcPr>
          <w:p w14:paraId="2EDD1150" w14:textId="77777777" w:rsidR="00084554" w:rsidRPr="004516C6" w:rsidRDefault="00084554" w:rsidP="004516C6">
            <w:pPr>
              <w:spacing w:before="40" w:after="120"/>
              <w:ind w:right="113"/>
            </w:pPr>
          </w:p>
        </w:tc>
        <w:tc>
          <w:tcPr>
            <w:tcW w:w="3966" w:type="dxa"/>
            <w:shd w:val="clear" w:color="auto" w:fill="auto"/>
          </w:tcPr>
          <w:p w14:paraId="71EE0566" w14:textId="77777777" w:rsidR="00084554" w:rsidRPr="004516C6" w:rsidRDefault="00084554" w:rsidP="004516C6">
            <w:pPr>
              <w:spacing w:before="40" w:after="120"/>
              <w:ind w:right="113"/>
            </w:pPr>
            <w:r w:rsidRPr="004516C6">
              <w:t>Palermo Protocol</w:t>
            </w:r>
            <w:r w:rsidRPr="004516C6">
              <w:rPr>
                <w:rStyle w:val="EndnoteReference"/>
                <w:sz w:val="20"/>
              </w:rPr>
              <w:endnoteReference w:id="12"/>
            </w:r>
          </w:p>
        </w:tc>
        <w:tc>
          <w:tcPr>
            <w:tcW w:w="3213" w:type="dxa"/>
            <w:shd w:val="clear" w:color="auto" w:fill="auto"/>
          </w:tcPr>
          <w:p w14:paraId="0C706E36" w14:textId="77777777" w:rsidR="00084554" w:rsidRPr="004516C6" w:rsidRDefault="00084554" w:rsidP="004516C6">
            <w:pPr>
              <w:spacing w:before="40" w:after="120"/>
              <w:ind w:right="113"/>
            </w:pPr>
          </w:p>
        </w:tc>
      </w:tr>
      <w:tr w:rsidR="00084554" w:rsidRPr="004516C6" w14:paraId="19C0951F" w14:textId="77777777" w:rsidTr="00A2010B">
        <w:tc>
          <w:tcPr>
            <w:tcW w:w="2458" w:type="dxa"/>
            <w:tcBorders>
              <w:bottom w:val="single" w:sz="12" w:space="0" w:color="auto"/>
            </w:tcBorders>
            <w:shd w:val="clear" w:color="auto" w:fill="auto"/>
          </w:tcPr>
          <w:p w14:paraId="60B51672" w14:textId="77777777" w:rsidR="00084554" w:rsidRPr="004516C6" w:rsidRDefault="00084554" w:rsidP="004516C6">
            <w:pPr>
              <w:spacing w:before="40" w:after="120"/>
              <w:ind w:right="113"/>
            </w:pPr>
          </w:p>
        </w:tc>
        <w:tc>
          <w:tcPr>
            <w:tcW w:w="3966" w:type="dxa"/>
            <w:tcBorders>
              <w:bottom w:val="single" w:sz="12" w:space="0" w:color="auto"/>
            </w:tcBorders>
            <w:shd w:val="clear" w:color="auto" w:fill="auto"/>
          </w:tcPr>
          <w:p w14:paraId="1E2B1066" w14:textId="39497153" w:rsidR="00084554" w:rsidRPr="004516C6" w:rsidRDefault="00084554" w:rsidP="004516C6">
            <w:pPr>
              <w:spacing w:before="40" w:after="120"/>
              <w:ind w:right="113"/>
            </w:pPr>
            <w:r w:rsidRPr="004516C6">
              <w:t>ILO fundamental Conventions</w:t>
            </w:r>
            <w:r w:rsidRPr="004516C6">
              <w:rPr>
                <w:rStyle w:val="EndnoteReference"/>
                <w:sz w:val="20"/>
              </w:rPr>
              <w:endnoteReference w:id="13"/>
            </w:r>
            <w:r w:rsidRPr="004516C6">
              <w:t xml:space="preserve"> </w:t>
            </w:r>
            <w:r w:rsidRPr="004516C6">
              <w:rPr>
                <w:rStyle w:val="EndnoteReference"/>
                <w:sz w:val="20"/>
              </w:rPr>
              <w:endnoteReference w:id="14"/>
            </w:r>
          </w:p>
        </w:tc>
        <w:tc>
          <w:tcPr>
            <w:tcW w:w="3213" w:type="dxa"/>
            <w:tcBorders>
              <w:bottom w:val="single" w:sz="12" w:space="0" w:color="auto"/>
            </w:tcBorders>
            <w:shd w:val="clear" w:color="auto" w:fill="auto"/>
          </w:tcPr>
          <w:p w14:paraId="0630D0A2" w14:textId="77777777" w:rsidR="00084554" w:rsidRPr="004516C6" w:rsidRDefault="00084554" w:rsidP="004516C6">
            <w:pPr>
              <w:spacing w:before="40" w:after="120"/>
              <w:ind w:right="113"/>
            </w:pPr>
          </w:p>
        </w:tc>
      </w:tr>
    </w:tbl>
    <w:p w14:paraId="5CF78B2D" w14:textId="6DA26849" w:rsidR="00A02BFB" w:rsidRPr="00A02BFB" w:rsidRDefault="00274EA9" w:rsidP="00EE5AAE">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EE5AAE">
      <w:pPr>
        <w:pStyle w:val="H1G"/>
      </w:pPr>
      <w:r w:rsidRPr="00A02BFB">
        <w:tab/>
      </w:r>
      <w:bookmarkStart w:id="1" w:name="II_A_Cooperation_with_treaty_bodies"/>
      <w:r w:rsidRPr="00A02BFB">
        <w:t>A.</w:t>
      </w:r>
      <w:r w:rsidRPr="00A02BFB">
        <w:tab/>
      </w:r>
      <w:bookmarkEnd w:id="1"/>
      <w:r w:rsidRPr="00A02BFB">
        <w:t xml:space="preserve">Cooperation </w:t>
      </w:r>
      <w:r w:rsidRPr="00EE5AAE">
        <w:t>with</w:t>
      </w:r>
      <w:r w:rsidRPr="00A02BFB">
        <w:t xml:space="preserve"> treaty bodies</w:t>
      </w:r>
      <w:r w:rsidRPr="005534E1">
        <w:rPr>
          <w:rStyle w:val="EndnoteReference"/>
          <w:b w:val="0"/>
          <w:bCs/>
        </w:rPr>
        <w:endnoteReference w:id="15"/>
      </w:r>
    </w:p>
    <w:p w14:paraId="51EDB961" w14:textId="3754A73F" w:rsidR="00A02BFB" w:rsidRPr="00A02BFB" w:rsidRDefault="00A02BFB" w:rsidP="00EE5AAE">
      <w:pPr>
        <w:pStyle w:val="H23G"/>
      </w:pPr>
      <w:r w:rsidRPr="00A02BFB">
        <w:tab/>
      </w:r>
      <w:bookmarkStart w:id="2" w:name="Table_TB_reporting_status"/>
      <w:r w:rsidR="00CA2E07">
        <w:tab/>
      </w:r>
      <w:r w:rsidRPr="00EE5AAE">
        <w:t>Reporting</w:t>
      </w:r>
      <w:r w:rsidRPr="00A02BFB">
        <w:t xml:space="preserve">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9D3F21" w14:paraId="53E27A3F" w14:textId="77777777" w:rsidTr="009D3F21">
        <w:trPr>
          <w:tblHeader/>
        </w:trPr>
        <w:tc>
          <w:tcPr>
            <w:tcW w:w="1928" w:type="dxa"/>
            <w:tcBorders>
              <w:top w:val="single" w:sz="4" w:space="0" w:color="auto"/>
              <w:bottom w:val="single" w:sz="12" w:space="0" w:color="auto"/>
            </w:tcBorders>
            <w:shd w:val="clear" w:color="auto" w:fill="auto"/>
            <w:vAlign w:val="bottom"/>
          </w:tcPr>
          <w:p w14:paraId="27EDAA83" w14:textId="77777777" w:rsidR="00A02BFB" w:rsidRPr="009D3F21" w:rsidRDefault="00A02BFB" w:rsidP="009D3F21">
            <w:pPr>
              <w:spacing w:before="80" w:after="80" w:line="200" w:lineRule="exact"/>
              <w:ind w:right="113"/>
              <w:rPr>
                <w:i/>
                <w:sz w:val="16"/>
              </w:rPr>
            </w:pPr>
            <w:r w:rsidRPr="009D3F21">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9D3F21" w:rsidRDefault="00A02BFB" w:rsidP="009D3F21">
            <w:pPr>
              <w:spacing w:before="80" w:after="80" w:line="200" w:lineRule="exact"/>
              <w:ind w:right="113"/>
              <w:rPr>
                <w:i/>
                <w:sz w:val="16"/>
              </w:rPr>
            </w:pPr>
            <w:r w:rsidRPr="009D3F21">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9D3F21" w:rsidRDefault="00A02BFB" w:rsidP="009D3F21">
            <w:pPr>
              <w:spacing w:before="80" w:after="80" w:line="200" w:lineRule="exact"/>
              <w:ind w:right="113"/>
              <w:rPr>
                <w:i/>
                <w:sz w:val="16"/>
              </w:rPr>
            </w:pPr>
            <w:r w:rsidRPr="009D3F21">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9D3F21" w:rsidRDefault="00A02BFB" w:rsidP="009D3F21">
            <w:pPr>
              <w:spacing w:before="80" w:after="80" w:line="200" w:lineRule="exact"/>
              <w:ind w:right="113"/>
              <w:rPr>
                <w:i/>
                <w:sz w:val="16"/>
              </w:rPr>
            </w:pPr>
            <w:r w:rsidRPr="009D3F21">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9D3F21" w:rsidRDefault="00A02BFB" w:rsidP="009D3F21">
            <w:pPr>
              <w:spacing w:before="80" w:after="80" w:line="200" w:lineRule="exact"/>
              <w:ind w:right="113"/>
              <w:rPr>
                <w:i/>
                <w:sz w:val="16"/>
              </w:rPr>
            </w:pPr>
            <w:r w:rsidRPr="009D3F21">
              <w:rPr>
                <w:i/>
                <w:sz w:val="16"/>
              </w:rPr>
              <w:t>Reporting status</w:t>
            </w:r>
          </w:p>
        </w:tc>
      </w:tr>
      <w:tr w:rsidR="009D3F21" w:rsidRPr="009D3F21" w14:paraId="44887AA9" w14:textId="77777777" w:rsidTr="009D3F21">
        <w:trPr>
          <w:trHeight w:hRule="exact" w:val="113"/>
        </w:trPr>
        <w:tc>
          <w:tcPr>
            <w:tcW w:w="1928" w:type="dxa"/>
            <w:tcBorders>
              <w:top w:val="single" w:sz="12" w:space="0" w:color="auto"/>
            </w:tcBorders>
            <w:shd w:val="clear" w:color="auto" w:fill="auto"/>
          </w:tcPr>
          <w:p w14:paraId="44C68B5F" w14:textId="77777777" w:rsidR="009D3F21" w:rsidRPr="009D3F21" w:rsidRDefault="009D3F21" w:rsidP="009D3F21">
            <w:pPr>
              <w:spacing w:before="40" w:after="120"/>
              <w:ind w:right="113"/>
            </w:pPr>
          </w:p>
        </w:tc>
        <w:tc>
          <w:tcPr>
            <w:tcW w:w="1928" w:type="dxa"/>
            <w:tcBorders>
              <w:top w:val="single" w:sz="12" w:space="0" w:color="auto"/>
            </w:tcBorders>
            <w:shd w:val="clear" w:color="auto" w:fill="auto"/>
          </w:tcPr>
          <w:p w14:paraId="0FDD8911" w14:textId="77777777" w:rsidR="009D3F21" w:rsidRPr="009D3F21" w:rsidRDefault="009D3F21" w:rsidP="009D3F21">
            <w:pPr>
              <w:spacing w:before="40" w:after="120"/>
              <w:ind w:right="113"/>
            </w:pPr>
          </w:p>
        </w:tc>
        <w:tc>
          <w:tcPr>
            <w:tcW w:w="1927" w:type="dxa"/>
            <w:tcBorders>
              <w:top w:val="single" w:sz="12" w:space="0" w:color="auto"/>
            </w:tcBorders>
            <w:shd w:val="clear" w:color="auto" w:fill="auto"/>
          </w:tcPr>
          <w:p w14:paraId="40E00494" w14:textId="77777777" w:rsidR="009D3F21" w:rsidRPr="009D3F21" w:rsidRDefault="009D3F21" w:rsidP="009D3F21">
            <w:pPr>
              <w:spacing w:before="40" w:after="120"/>
              <w:ind w:right="113"/>
            </w:pPr>
          </w:p>
        </w:tc>
        <w:tc>
          <w:tcPr>
            <w:tcW w:w="1927" w:type="dxa"/>
            <w:tcBorders>
              <w:top w:val="single" w:sz="12" w:space="0" w:color="auto"/>
            </w:tcBorders>
            <w:shd w:val="clear" w:color="auto" w:fill="auto"/>
          </w:tcPr>
          <w:p w14:paraId="6D1C6C77" w14:textId="77777777" w:rsidR="009D3F21" w:rsidRPr="009D3F21" w:rsidRDefault="009D3F21" w:rsidP="009D3F21">
            <w:pPr>
              <w:spacing w:before="40" w:after="120"/>
              <w:ind w:right="113"/>
            </w:pPr>
          </w:p>
        </w:tc>
        <w:tc>
          <w:tcPr>
            <w:tcW w:w="1927" w:type="dxa"/>
            <w:tcBorders>
              <w:top w:val="single" w:sz="12" w:space="0" w:color="auto"/>
            </w:tcBorders>
            <w:shd w:val="clear" w:color="auto" w:fill="auto"/>
          </w:tcPr>
          <w:p w14:paraId="767A151A" w14:textId="77777777" w:rsidR="009D3F21" w:rsidRPr="009D3F21" w:rsidRDefault="009D3F21" w:rsidP="009D3F21">
            <w:pPr>
              <w:spacing w:before="40" w:after="120"/>
              <w:ind w:right="113"/>
            </w:pPr>
          </w:p>
        </w:tc>
      </w:tr>
      <w:tr w:rsidR="008B4D7D" w:rsidRPr="009D3F21" w14:paraId="1E4DE53B" w14:textId="77777777" w:rsidTr="009D3F21">
        <w:tc>
          <w:tcPr>
            <w:tcW w:w="1928" w:type="dxa"/>
            <w:shd w:val="clear" w:color="auto" w:fill="auto"/>
          </w:tcPr>
          <w:p w14:paraId="6EC3F4DD" w14:textId="77777777" w:rsidR="00A02BFB" w:rsidRPr="009D3F21" w:rsidRDefault="00A02BFB" w:rsidP="009D3F21">
            <w:pPr>
              <w:spacing w:before="40" w:after="120"/>
              <w:ind w:right="113"/>
            </w:pPr>
            <w:r w:rsidRPr="009D3F21">
              <w:t>CERD</w:t>
            </w:r>
          </w:p>
        </w:tc>
        <w:tc>
          <w:tcPr>
            <w:tcW w:w="1928" w:type="dxa"/>
            <w:shd w:val="clear" w:color="auto" w:fill="auto"/>
          </w:tcPr>
          <w:p w14:paraId="6E95AD6E" w14:textId="542F318F" w:rsidR="00A02BFB" w:rsidRPr="009D3F21" w:rsidRDefault="00614615" w:rsidP="009D3F21">
            <w:pPr>
              <w:spacing w:before="40" w:after="120"/>
              <w:ind w:right="113"/>
            </w:pPr>
            <w:r w:rsidRPr="009D3F21">
              <w:t>--</w:t>
            </w:r>
          </w:p>
        </w:tc>
        <w:tc>
          <w:tcPr>
            <w:tcW w:w="1927" w:type="dxa"/>
            <w:shd w:val="clear" w:color="auto" w:fill="auto"/>
          </w:tcPr>
          <w:p w14:paraId="7F2B4B92" w14:textId="5A1D45C8" w:rsidR="00A02BFB" w:rsidRPr="009D3F21" w:rsidRDefault="00081AA4" w:rsidP="009D3F21">
            <w:pPr>
              <w:spacing w:before="40" w:after="120"/>
              <w:ind w:right="113"/>
            </w:pPr>
            <w:r w:rsidRPr="009D3F21">
              <w:t>2018</w:t>
            </w:r>
          </w:p>
        </w:tc>
        <w:tc>
          <w:tcPr>
            <w:tcW w:w="1927" w:type="dxa"/>
            <w:shd w:val="clear" w:color="auto" w:fill="auto"/>
          </w:tcPr>
          <w:p w14:paraId="3AFF0E8F" w14:textId="1FC154FE" w:rsidR="00A02BFB" w:rsidRPr="009D3F21" w:rsidRDefault="00081AA4" w:rsidP="009D3F21">
            <w:pPr>
              <w:spacing w:before="40" w:after="120"/>
              <w:ind w:right="113"/>
            </w:pPr>
            <w:r w:rsidRPr="009D3F21">
              <w:t>May 2019</w:t>
            </w:r>
          </w:p>
        </w:tc>
        <w:tc>
          <w:tcPr>
            <w:tcW w:w="1927" w:type="dxa"/>
            <w:shd w:val="clear" w:color="auto" w:fill="auto"/>
          </w:tcPr>
          <w:p w14:paraId="65DE5ACA" w14:textId="148A795B" w:rsidR="00A02BFB" w:rsidRPr="009D3F21" w:rsidRDefault="00081AA4" w:rsidP="009D3F21">
            <w:pPr>
              <w:spacing w:before="40" w:after="120"/>
              <w:ind w:right="113"/>
            </w:pPr>
            <w:r w:rsidRPr="009D3F21">
              <w:t xml:space="preserve">Twentieth to twenty-sixth reports due </w:t>
            </w:r>
            <w:r w:rsidR="009D3F21">
              <w:br/>
            </w:r>
            <w:r w:rsidRPr="009D3F21">
              <w:t>in 2023.</w:t>
            </w:r>
          </w:p>
        </w:tc>
      </w:tr>
      <w:tr w:rsidR="008B4D7D" w:rsidRPr="009D3F21" w14:paraId="58AC300D" w14:textId="77777777" w:rsidTr="009D3F21">
        <w:tc>
          <w:tcPr>
            <w:tcW w:w="1928" w:type="dxa"/>
            <w:shd w:val="clear" w:color="auto" w:fill="auto"/>
          </w:tcPr>
          <w:p w14:paraId="2D5FC6DA" w14:textId="77777777" w:rsidR="00A02BFB" w:rsidRPr="009D3F21" w:rsidRDefault="00A02BFB" w:rsidP="009D3F21">
            <w:pPr>
              <w:spacing w:before="40" w:after="120"/>
              <w:ind w:right="113"/>
            </w:pPr>
            <w:r w:rsidRPr="009D3F21">
              <w:t>CESCR</w:t>
            </w:r>
          </w:p>
        </w:tc>
        <w:tc>
          <w:tcPr>
            <w:tcW w:w="1928" w:type="dxa"/>
            <w:shd w:val="clear" w:color="auto" w:fill="auto"/>
          </w:tcPr>
          <w:p w14:paraId="4E5C586F" w14:textId="2A8682CF" w:rsidR="00A02BFB" w:rsidRPr="009D3F21" w:rsidRDefault="00614615" w:rsidP="009D3F21">
            <w:pPr>
              <w:spacing w:before="40" w:after="120"/>
              <w:ind w:right="113"/>
            </w:pPr>
            <w:r w:rsidRPr="009D3F21">
              <w:t>--</w:t>
            </w:r>
          </w:p>
        </w:tc>
        <w:tc>
          <w:tcPr>
            <w:tcW w:w="1927" w:type="dxa"/>
            <w:shd w:val="clear" w:color="auto" w:fill="auto"/>
          </w:tcPr>
          <w:p w14:paraId="47B97FDA" w14:textId="013DE29C" w:rsidR="00A02BFB" w:rsidRPr="009D3F21" w:rsidRDefault="009737E2" w:rsidP="009D3F21">
            <w:pPr>
              <w:spacing w:before="40" w:after="120"/>
              <w:ind w:right="113"/>
            </w:pPr>
            <w:r w:rsidRPr="009D3F21">
              <w:t>--</w:t>
            </w:r>
          </w:p>
        </w:tc>
        <w:tc>
          <w:tcPr>
            <w:tcW w:w="1927" w:type="dxa"/>
            <w:shd w:val="clear" w:color="auto" w:fill="auto"/>
          </w:tcPr>
          <w:p w14:paraId="326AACC2" w14:textId="03C30F22" w:rsidR="00A02BFB" w:rsidRPr="009D3F21" w:rsidRDefault="009737E2" w:rsidP="009D3F21">
            <w:pPr>
              <w:spacing w:before="40" w:after="120"/>
              <w:ind w:right="113"/>
            </w:pPr>
            <w:r w:rsidRPr="009D3F21">
              <w:t>--</w:t>
            </w:r>
          </w:p>
        </w:tc>
        <w:tc>
          <w:tcPr>
            <w:tcW w:w="1927" w:type="dxa"/>
            <w:shd w:val="clear" w:color="auto" w:fill="auto"/>
          </w:tcPr>
          <w:p w14:paraId="41724ACB" w14:textId="12AF14B1" w:rsidR="00A02BFB" w:rsidRPr="009D3F21" w:rsidRDefault="009737E2" w:rsidP="009D3F21">
            <w:pPr>
              <w:spacing w:before="40" w:after="120"/>
              <w:ind w:right="113"/>
            </w:pPr>
            <w:r w:rsidRPr="009D3F21">
              <w:t>Second report overdue since 2010.</w:t>
            </w:r>
          </w:p>
        </w:tc>
      </w:tr>
      <w:tr w:rsidR="008B4D7D" w:rsidRPr="009D3F21" w14:paraId="21E3975A" w14:textId="77777777" w:rsidTr="009D3F21">
        <w:tc>
          <w:tcPr>
            <w:tcW w:w="1928" w:type="dxa"/>
            <w:shd w:val="clear" w:color="auto" w:fill="auto"/>
          </w:tcPr>
          <w:p w14:paraId="60BC488C" w14:textId="77777777" w:rsidR="00A02BFB" w:rsidRPr="009D3F21" w:rsidRDefault="00A02BFB" w:rsidP="009D3F21">
            <w:pPr>
              <w:spacing w:before="40" w:after="120"/>
              <w:ind w:right="113"/>
            </w:pPr>
            <w:r w:rsidRPr="009D3F21">
              <w:t>HR Committee</w:t>
            </w:r>
          </w:p>
        </w:tc>
        <w:tc>
          <w:tcPr>
            <w:tcW w:w="1928" w:type="dxa"/>
            <w:shd w:val="clear" w:color="auto" w:fill="auto"/>
          </w:tcPr>
          <w:p w14:paraId="32381D4B" w14:textId="160B12CC" w:rsidR="00A02BFB" w:rsidRPr="009D3F21" w:rsidRDefault="00614615" w:rsidP="009D3F21">
            <w:pPr>
              <w:spacing w:before="40" w:after="120"/>
              <w:ind w:right="113"/>
            </w:pPr>
            <w:r w:rsidRPr="009D3F21">
              <w:t>--</w:t>
            </w:r>
          </w:p>
        </w:tc>
        <w:tc>
          <w:tcPr>
            <w:tcW w:w="1927" w:type="dxa"/>
            <w:shd w:val="clear" w:color="auto" w:fill="auto"/>
          </w:tcPr>
          <w:p w14:paraId="2DC89872" w14:textId="51C72F0A" w:rsidR="00A02BFB" w:rsidRPr="009D3F21" w:rsidRDefault="001A342F" w:rsidP="009D3F21">
            <w:pPr>
              <w:spacing w:before="40" w:after="120"/>
              <w:ind w:right="113"/>
            </w:pPr>
            <w:r w:rsidRPr="009D3F21">
              <w:t>2020</w:t>
            </w:r>
          </w:p>
        </w:tc>
        <w:tc>
          <w:tcPr>
            <w:tcW w:w="1927" w:type="dxa"/>
            <w:shd w:val="clear" w:color="auto" w:fill="auto"/>
          </w:tcPr>
          <w:p w14:paraId="038D0ADC" w14:textId="00260379" w:rsidR="00A02BFB" w:rsidRPr="009D3F21" w:rsidRDefault="001A342F" w:rsidP="009D3F21">
            <w:pPr>
              <w:spacing w:before="40" w:after="120"/>
              <w:ind w:right="113"/>
            </w:pPr>
            <w:r w:rsidRPr="009D3F21">
              <w:t>--</w:t>
            </w:r>
          </w:p>
        </w:tc>
        <w:tc>
          <w:tcPr>
            <w:tcW w:w="1927" w:type="dxa"/>
            <w:shd w:val="clear" w:color="auto" w:fill="auto"/>
          </w:tcPr>
          <w:p w14:paraId="54E64B4C" w14:textId="31280C3A" w:rsidR="00A02BFB" w:rsidRPr="009D3F21" w:rsidRDefault="001A342F" w:rsidP="009D3F21">
            <w:pPr>
              <w:spacing w:before="40" w:after="120"/>
              <w:ind w:right="113"/>
            </w:pPr>
            <w:r w:rsidRPr="009D3F21">
              <w:t>Fourth repo</w:t>
            </w:r>
            <w:r w:rsidR="00106868">
              <w:t>r</w:t>
            </w:r>
            <w:r w:rsidRPr="009D3F21">
              <w:t>t pending consideration</w:t>
            </w:r>
            <w:r w:rsidR="00106868">
              <w:t xml:space="preserve"> in 2023</w:t>
            </w:r>
            <w:r w:rsidRPr="009D3F21">
              <w:t>.</w:t>
            </w:r>
          </w:p>
        </w:tc>
      </w:tr>
      <w:tr w:rsidR="008B4D7D" w:rsidRPr="009D3F21" w14:paraId="360016ED" w14:textId="77777777" w:rsidTr="009D3F21">
        <w:tc>
          <w:tcPr>
            <w:tcW w:w="1928" w:type="dxa"/>
            <w:shd w:val="clear" w:color="auto" w:fill="auto"/>
          </w:tcPr>
          <w:p w14:paraId="33320B06" w14:textId="77777777" w:rsidR="00A02BFB" w:rsidRPr="009D3F21" w:rsidRDefault="00A02BFB" w:rsidP="009D3F21">
            <w:pPr>
              <w:spacing w:before="40" w:after="120"/>
              <w:ind w:right="113"/>
            </w:pPr>
            <w:r w:rsidRPr="009D3F21">
              <w:t>CEDAW</w:t>
            </w:r>
          </w:p>
        </w:tc>
        <w:tc>
          <w:tcPr>
            <w:tcW w:w="1928" w:type="dxa"/>
            <w:shd w:val="clear" w:color="auto" w:fill="auto"/>
          </w:tcPr>
          <w:p w14:paraId="21DDA8EB" w14:textId="1CD4A659" w:rsidR="00A02BFB" w:rsidRPr="009D3F21" w:rsidRDefault="00614615" w:rsidP="009D3F21">
            <w:pPr>
              <w:spacing w:before="40" w:after="120"/>
              <w:ind w:right="113"/>
            </w:pPr>
            <w:r w:rsidRPr="009D3F21">
              <w:t>--</w:t>
            </w:r>
          </w:p>
        </w:tc>
        <w:tc>
          <w:tcPr>
            <w:tcW w:w="1927" w:type="dxa"/>
            <w:shd w:val="clear" w:color="auto" w:fill="auto"/>
          </w:tcPr>
          <w:p w14:paraId="4FA5FAA4" w14:textId="64D090D8" w:rsidR="00A02BFB" w:rsidRPr="009D3F21" w:rsidRDefault="00C01C7D" w:rsidP="009D3F21">
            <w:pPr>
              <w:spacing w:before="40" w:after="120"/>
              <w:ind w:right="113"/>
            </w:pPr>
            <w:r w:rsidRPr="009D3F21">
              <w:t>--</w:t>
            </w:r>
          </w:p>
        </w:tc>
        <w:tc>
          <w:tcPr>
            <w:tcW w:w="1927" w:type="dxa"/>
            <w:shd w:val="clear" w:color="auto" w:fill="auto"/>
          </w:tcPr>
          <w:p w14:paraId="2D8D330E" w14:textId="73AE4A61" w:rsidR="00A02BFB" w:rsidRPr="009D3F21" w:rsidRDefault="00C01C7D" w:rsidP="009D3F21">
            <w:pPr>
              <w:spacing w:before="40" w:after="120"/>
              <w:ind w:right="113"/>
            </w:pPr>
            <w:r w:rsidRPr="009D3F21">
              <w:t>--</w:t>
            </w:r>
          </w:p>
        </w:tc>
        <w:tc>
          <w:tcPr>
            <w:tcW w:w="1927" w:type="dxa"/>
            <w:shd w:val="clear" w:color="auto" w:fill="auto"/>
          </w:tcPr>
          <w:p w14:paraId="1CEC72E2" w14:textId="67B9525B" w:rsidR="00A02BFB" w:rsidRPr="009D3F21" w:rsidRDefault="00C01C7D" w:rsidP="009D3F21">
            <w:pPr>
              <w:spacing w:before="40" w:after="120"/>
              <w:ind w:right="113"/>
            </w:pPr>
            <w:r w:rsidRPr="009D3F21">
              <w:t>Seventh periodic report overdue since 2015.</w:t>
            </w:r>
          </w:p>
        </w:tc>
      </w:tr>
      <w:tr w:rsidR="008B4D7D" w:rsidRPr="009D3F21" w14:paraId="0EB4D214" w14:textId="77777777" w:rsidTr="009D3F21">
        <w:tc>
          <w:tcPr>
            <w:tcW w:w="1928" w:type="dxa"/>
            <w:shd w:val="clear" w:color="auto" w:fill="auto"/>
          </w:tcPr>
          <w:p w14:paraId="3C7C5F3C" w14:textId="77777777" w:rsidR="00A02BFB" w:rsidRPr="009D3F21" w:rsidRDefault="00A02BFB" w:rsidP="009D3F21">
            <w:pPr>
              <w:spacing w:before="40" w:after="120"/>
              <w:ind w:right="113"/>
            </w:pPr>
            <w:r w:rsidRPr="009D3F21">
              <w:t>CAT</w:t>
            </w:r>
          </w:p>
        </w:tc>
        <w:tc>
          <w:tcPr>
            <w:tcW w:w="1928" w:type="dxa"/>
            <w:shd w:val="clear" w:color="auto" w:fill="auto"/>
          </w:tcPr>
          <w:p w14:paraId="0A5E522C" w14:textId="27F26B7E" w:rsidR="00A02BFB" w:rsidRPr="009D3F21" w:rsidRDefault="00614615" w:rsidP="009D3F21">
            <w:pPr>
              <w:spacing w:before="40" w:after="120"/>
              <w:ind w:right="113"/>
            </w:pPr>
            <w:r w:rsidRPr="009D3F21">
              <w:t>--</w:t>
            </w:r>
          </w:p>
        </w:tc>
        <w:tc>
          <w:tcPr>
            <w:tcW w:w="1927" w:type="dxa"/>
            <w:shd w:val="clear" w:color="auto" w:fill="auto"/>
          </w:tcPr>
          <w:p w14:paraId="5F831F80" w14:textId="440EC756" w:rsidR="00A02BFB" w:rsidRPr="009D3F21" w:rsidRDefault="001A342F" w:rsidP="009D3F21">
            <w:pPr>
              <w:spacing w:before="40" w:after="120"/>
              <w:ind w:right="113"/>
            </w:pPr>
            <w:r w:rsidRPr="009D3F21">
              <w:t>--</w:t>
            </w:r>
          </w:p>
        </w:tc>
        <w:tc>
          <w:tcPr>
            <w:tcW w:w="1927" w:type="dxa"/>
            <w:shd w:val="clear" w:color="auto" w:fill="auto"/>
          </w:tcPr>
          <w:p w14:paraId="445C5036" w14:textId="3B27CDBD" w:rsidR="00A02BFB" w:rsidRPr="009D3F21" w:rsidRDefault="001A342F" w:rsidP="009D3F21">
            <w:pPr>
              <w:spacing w:before="40" w:after="120"/>
              <w:ind w:right="113"/>
            </w:pPr>
            <w:r w:rsidRPr="009D3F21">
              <w:t>--</w:t>
            </w:r>
          </w:p>
        </w:tc>
        <w:tc>
          <w:tcPr>
            <w:tcW w:w="1927" w:type="dxa"/>
            <w:shd w:val="clear" w:color="auto" w:fill="auto"/>
          </w:tcPr>
          <w:p w14:paraId="247DF1E0" w14:textId="35EC4F66" w:rsidR="00A02BFB" w:rsidRPr="009D3F21" w:rsidRDefault="001A342F" w:rsidP="009D3F21">
            <w:pPr>
              <w:spacing w:before="40" w:after="120"/>
              <w:ind w:right="113"/>
            </w:pPr>
            <w:r w:rsidRPr="009D3F21">
              <w:t>Third periodic report overdue since 2016. Initially overdue since 2012.</w:t>
            </w:r>
          </w:p>
        </w:tc>
      </w:tr>
      <w:tr w:rsidR="008B4D7D" w:rsidRPr="009D3F21" w14:paraId="23C350E4" w14:textId="77777777" w:rsidTr="009D3F21">
        <w:tc>
          <w:tcPr>
            <w:tcW w:w="1928" w:type="dxa"/>
            <w:shd w:val="clear" w:color="auto" w:fill="auto"/>
          </w:tcPr>
          <w:p w14:paraId="49EC097B" w14:textId="77777777" w:rsidR="00A02BFB" w:rsidRPr="009D3F21" w:rsidRDefault="00A02BFB" w:rsidP="009D3F21">
            <w:pPr>
              <w:spacing w:before="40" w:after="120"/>
              <w:ind w:right="113"/>
            </w:pPr>
            <w:r w:rsidRPr="009D3F21">
              <w:t>CRC</w:t>
            </w:r>
          </w:p>
        </w:tc>
        <w:tc>
          <w:tcPr>
            <w:tcW w:w="1928" w:type="dxa"/>
            <w:shd w:val="clear" w:color="auto" w:fill="auto"/>
          </w:tcPr>
          <w:p w14:paraId="7F3480B5" w14:textId="09F3846D" w:rsidR="00A02BFB" w:rsidRPr="009D3F21" w:rsidRDefault="009737E2" w:rsidP="009D3F21">
            <w:pPr>
              <w:spacing w:before="40" w:after="120"/>
              <w:ind w:right="113"/>
            </w:pPr>
            <w:r w:rsidRPr="009D3F21">
              <w:t>January 2016</w:t>
            </w:r>
          </w:p>
        </w:tc>
        <w:tc>
          <w:tcPr>
            <w:tcW w:w="1927" w:type="dxa"/>
            <w:shd w:val="clear" w:color="auto" w:fill="auto"/>
          </w:tcPr>
          <w:p w14:paraId="1C3A9578" w14:textId="4795CE2D" w:rsidR="00A02BFB" w:rsidRPr="009D3F21" w:rsidRDefault="009737E2" w:rsidP="009D3F21">
            <w:pPr>
              <w:spacing w:before="40" w:after="120"/>
              <w:ind w:right="113"/>
            </w:pPr>
            <w:r w:rsidRPr="009D3F21">
              <w:t>2021</w:t>
            </w:r>
          </w:p>
        </w:tc>
        <w:tc>
          <w:tcPr>
            <w:tcW w:w="1927" w:type="dxa"/>
            <w:shd w:val="clear" w:color="auto" w:fill="auto"/>
          </w:tcPr>
          <w:p w14:paraId="0E84DDDC" w14:textId="1F4F6847" w:rsidR="00A02BFB" w:rsidRPr="009D3F21" w:rsidRDefault="00106868" w:rsidP="009D3F21">
            <w:pPr>
              <w:spacing w:before="40" w:after="120"/>
              <w:ind w:right="113"/>
            </w:pPr>
            <w:r>
              <w:t>June 2022</w:t>
            </w:r>
          </w:p>
        </w:tc>
        <w:tc>
          <w:tcPr>
            <w:tcW w:w="1927" w:type="dxa"/>
            <w:shd w:val="clear" w:color="auto" w:fill="auto"/>
          </w:tcPr>
          <w:p w14:paraId="1A3FFC6B" w14:textId="798F1FA1" w:rsidR="00A02BFB" w:rsidRPr="009D3F21" w:rsidRDefault="00106868" w:rsidP="009D3F21">
            <w:pPr>
              <w:spacing w:before="40" w:after="120"/>
              <w:ind w:right="113"/>
            </w:pPr>
            <w:r>
              <w:t xml:space="preserve">Eighth </w:t>
            </w:r>
            <w:r w:rsidR="009737E2" w:rsidRPr="009D3F21">
              <w:t xml:space="preserve">report </w:t>
            </w:r>
            <w:r>
              <w:t xml:space="preserve">due </w:t>
            </w:r>
            <w:r w:rsidR="009737E2" w:rsidRPr="009D3F21">
              <w:t>in 202</w:t>
            </w:r>
            <w:r>
              <w:t>7</w:t>
            </w:r>
            <w:r w:rsidR="009737E2" w:rsidRPr="009D3F21">
              <w:t>.</w:t>
            </w:r>
          </w:p>
        </w:tc>
      </w:tr>
      <w:tr w:rsidR="008B4D7D" w:rsidRPr="009D3F21" w14:paraId="68E6CC0A" w14:textId="77777777" w:rsidTr="009D3F21">
        <w:tc>
          <w:tcPr>
            <w:tcW w:w="1928" w:type="dxa"/>
            <w:shd w:val="clear" w:color="auto" w:fill="auto"/>
          </w:tcPr>
          <w:p w14:paraId="66C394F0" w14:textId="77777777" w:rsidR="00A02BFB" w:rsidRPr="009D3F21" w:rsidRDefault="00A02BFB" w:rsidP="009D3F21">
            <w:pPr>
              <w:spacing w:before="40" w:after="120"/>
              <w:ind w:right="113"/>
            </w:pPr>
            <w:r w:rsidRPr="009D3F21">
              <w:t>CRPD</w:t>
            </w:r>
          </w:p>
        </w:tc>
        <w:tc>
          <w:tcPr>
            <w:tcW w:w="1928" w:type="dxa"/>
            <w:shd w:val="clear" w:color="auto" w:fill="auto"/>
          </w:tcPr>
          <w:p w14:paraId="7835B159" w14:textId="19854B1F" w:rsidR="00A02BFB" w:rsidRPr="009D3F21" w:rsidRDefault="001B1A59" w:rsidP="009D3F21">
            <w:pPr>
              <w:spacing w:before="40" w:after="120"/>
              <w:ind w:right="113"/>
            </w:pPr>
            <w:r w:rsidRPr="009D3F21">
              <w:t>--</w:t>
            </w:r>
          </w:p>
        </w:tc>
        <w:tc>
          <w:tcPr>
            <w:tcW w:w="1927" w:type="dxa"/>
            <w:shd w:val="clear" w:color="auto" w:fill="auto"/>
          </w:tcPr>
          <w:p w14:paraId="3EE18E54" w14:textId="5A53E0A6" w:rsidR="00A02BFB" w:rsidRPr="009D3F21" w:rsidRDefault="001B1A59" w:rsidP="009D3F21">
            <w:pPr>
              <w:spacing w:before="40" w:after="120"/>
              <w:ind w:right="113"/>
            </w:pPr>
            <w:r w:rsidRPr="009D3F21">
              <w:t>2017</w:t>
            </w:r>
          </w:p>
        </w:tc>
        <w:tc>
          <w:tcPr>
            <w:tcW w:w="1927" w:type="dxa"/>
            <w:shd w:val="clear" w:color="auto" w:fill="auto"/>
          </w:tcPr>
          <w:p w14:paraId="6E1E150A" w14:textId="366592AC" w:rsidR="00A02BFB" w:rsidRPr="009D3F21" w:rsidRDefault="001B1A59" w:rsidP="009D3F21">
            <w:pPr>
              <w:spacing w:before="40" w:after="120"/>
              <w:ind w:right="113"/>
            </w:pPr>
            <w:r w:rsidRPr="009D3F21">
              <w:t>--</w:t>
            </w:r>
          </w:p>
        </w:tc>
        <w:tc>
          <w:tcPr>
            <w:tcW w:w="1927" w:type="dxa"/>
            <w:shd w:val="clear" w:color="auto" w:fill="auto"/>
          </w:tcPr>
          <w:p w14:paraId="131A0963" w14:textId="495E02F3" w:rsidR="00A02BFB" w:rsidRPr="009D3F21" w:rsidRDefault="001B1A59" w:rsidP="009D3F21">
            <w:pPr>
              <w:spacing w:before="40" w:after="120"/>
              <w:ind w:right="113"/>
            </w:pPr>
            <w:r w:rsidRPr="009D3F21">
              <w:t>Initial report pending consideration.</w:t>
            </w:r>
          </w:p>
        </w:tc>
      </w:tr>
      <w:tr w:rsidR="008B4D7D" w:rsidRPr="009D3F21" w14:paraId="5F824C9D" w14:textId="77777777" w:rsidTr="009D3F21">
        <w:tc>
          <w:tcPr>
            <w:tcW w:w="1928" w:type="dxa"/>
            <w:tcBorders>
              <w:bottom w:val="single" w:sz="12" w:space="0" w:color="auto"/>
            </w:tcBorders>
            <w:shd w:val="clear" w:color="auto" w:fill="auto"/>
          </w:tcPr>
          <w:p w14:paraId="792E9ADC" w14:textId="77777777" w:rsidR="00A02BFB" w:rsidRPr="009D3F21" w:rsidRDefault="00A02BFB" w:rsidP="009D3F21">
            <w:pPr>
              <w:spacing w:before="40" w:after="120"/>
              <w:ind w:right="113"/>
            </w:pPr>
            <w:r w:rsidRPr="009D3F21">
              <w:t>CED</w:t>
            </w:r>
          </w:p>
        </w:tc>
        <w:tc>
          <w:tcPr>
            <w:tcW w:w="1928" w:type="dxa"/>
            <w:tcBorders>
              <w:bottom w:val="single" w:sz="12" w:space="0" w:color="auto"/>
            </w:tcBorders>
            <w:shd w:val="clear" w:color="auto" w:fill="auto"/>
          </w:tcPr>
          <w:p w14:paraId="0BF7D419" w14:textId="0B379EE5" w:rsidR="00A02BFB" w:rsidRPr="009D3F21" w:rsidRDefault="00C01C7D" w:rsidP="009D3F21">
            <w:pPr>
              <w:spacing w:before="40" w:after="120"/>
              <w:ind w:right="113"/>
            </w:pPr>
            <w:r w:rsidRPr="009D3F21">
              <w:t>--</w:t>
            </w:r>
          </w:p>
        </w:tc>
        <w:tc>
          <w:tcPr>
            <w:tcW w:w="1927" w:type="dxa"/>
            <w:tcBorders>
              <w:bottom w:val="single" w:sz="12" w:space="0" w:color="auto"/>
            </w:tcBorders>
            <w:shd w:val="clear" w:color="auto" w:fill="auto"/>
          </w:tcPr>
          <w:p w14:paraId="3D908565" w14:textId="28A9D86D" w:rsidR="00A02BFB" w:rsidRPr="009D3F21" w:rsidRDefault="00C01C7D" w:rsidP="009D3F21">
            <w:pPr>
              <w:spacing w:before="40" w:after="120"/>
              <w:ind w:right="113"/>
            </w:pPr>
            <w:r w:rsidRPr="009D3F21">
              <w:t>--</w:t>
            </w:r>
          </w:p>
        </w:tc>
        <w:tc>
          <w:tcPr>
            <w:tcW w:w="1927" w:type="dxa"/>
            <w:tcBorders>
              <w:bottom w:val="single" w:sz="12" w:space="0" w:color="auto"/>
            </w:tcBorders>
            <w:shd w:val="clear" w:color="auto" w:fill="auto"/>
          </w:tcPr>
          <w:p w14:paraId="6C5A4403" w14:textId="3BCF11DE" w:rsidR="00A02BFB" w:rsidRPr="009D3F21" w:rsidRDefault="00C01C7D" w:rsidP="009D3F21">
            <w:pPr>
              <w:spacing w:before="40" w:after="120"/>
              <w:ind w:right="113"/>
            </w:pPr>
            <w:r w:rsidRPr="009D3F21">
              <w:t>--</w:t>
            </w:r>
          </w:p>
        </w:tc>
        <w:tc>
          <w:tcPr>
            <w:tcW w:w="1927" w:type="dxa"/>
            <w:tcBorders>
              <w:bottom w:val="single" w:sz="12" w:space="0" w:color="auto"/>
            </w:tcBorders>
            <w:shd w:val="clear" w:color="auto" w:fill="auto"/>
          </w:tcPr>
          <w:p w14:paraId="5DF01C80" w14:textId="6645C364" w:rsidR="00A02BFB" w:rsidRPr="009D3F21" w:rsidRDefault="00C01C7D" w:rsidP="009D3F21">
            <w:pPr>
              <w:spacing w:before="40" w:after="120"/>
              <w:ind w:right="113"/>
            </w:pPr>
            <w:r w:rsidRPr="009D3F21">
              <w:t>Initial report overdue since 2013.</w:t>
            </w:r>
          </w:p>
        </w:tc>
      </w:tr>
    </w:tbl>
    <w:p w14:paraId="1C0B59DE" w14:textId="06749C7D" w:rsidR="00A02BFB" w:rsidRDefault="00DE4620" w:rsidP="00EE5AAE">
      <w:pPr>
        <w:pStyle w:val="H1G"/>
      </w:pPr>
      <w:r>
        <w:lastRenderedPageBreak/>
        <w:tab/>
      </w:r>
      <w:r w:rsidR="00A02BFB" w:rsidRPr="00A02BFB">
        <w:tab/>
        <w:t>B.</w:t>
      </w:r>
      <w:r w:rsidR="00A02BFB" w:rsidRPr="00A02BFB">
        <w:tab/>
        <w:t>Cooperation with special procedures</w:t>
      </w:r>
      <w:r w:rsidR="00A02BFB" w:rsidRPr="005534E1">
        <w:rPr>
          <w:rStyle w:val="EndnoteReference"/>
          <w:b w:val="0"/>
          <w:bCs/>
        </w:rPr>
        <w:endnoteReference w:id="16"/>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EE5AAE" w:rsidRPr="00670B4D" w14:paraId="792A5DB4" w14:textId="77777777" w:rsidTr="00670B4D">
        <w:trPr>
          <w:tblHeader/>
        </w:trPr>
        <w:tc>
          <w:tcPr>
            <w:tcW w:w="4817" w:type="dxa"/>
            <w:tcBorders>
              <w:top w:val="single" w:sz="4" w:space="0" w:color="auto"/>
              <w:bottom w:val="single" w:sz="12" w:space="0" w:color="auto"/>
            </w:tcBorders>
            <w:shd w:val="clear" w:color="auto" w:fill="auto"/>
            <w:vAlign w:val="bottom"/>
          </w:tcPr>
          <w:p w14:paraId="7A8364F3" w14:textId="77777777" w:rsidR="00EE5AAE" w:rsidRPr="00670B4D" w:rsidRDefault="00EE5AAE" w:rsidP="00670B4D">
            <w:pPr>
              <w:spacing w:before="80" w:after="80" w:line="200" w:lineRule="exact"/>
              <w:ind w:right="113"/>
              <w:rPr>
                <w:i/>
                <w:sz w:val="16"/>
              </w:rPr>
            </w:pPr>
          </w:p>
        </w:tc>
        <w:tc>
          <w:tcPr>
            <w:tcW w:w="4820" w:type="dxa"/>
            <w:tcBorders>
              <w:top w:val="single" w:sz="4" w:space="0" w:color="auto"/>
              <w:bottom w:val="single" w:sz="12" w:space="0" w:color="auto"/>
            </w:tcBorders>
            <w:shd w:val="clear" w:color="auto" w:fill="auto"/>
            <w:vAlign w:val="bottom"/>
          </w:tcPr>
          <w:p w14:paraId="1D34443B" w14:textId="3ED6EB05" w:rsidR="00EE5AAE" w:rsidRPr="00670B4D" w:rsidRDefault="00EE5AAE" w:rsidP="00670B4D">
            <w:pPr>
              <w:spacing w:before="80" w:after="80" w:line="200" w:lineRule="exact"/>
              <w:ind w:right="113"/>
              <w:rPr>
                <w:i/>
                <w:sz w:val="16"/>
              </w:rPr>
            </w:pPr>
            <w:r w:rsidRPr="00670B4D">
              <w:rPr>
                <w:i/>
                <w:sz w:val="16"/>
              </w:rPr>
              <w:t>Status during the Period Under Review</w:t>
            </w:r>
          </w:p>
        </w:tc>
      </w:tr>
      <w:tr w:rsidR="00670B4D" w:rsidRPr="00670B4D" w14:paraId="6E519726" w14:textId="77777777" w:rsidTr="00670B4D">
        <w:trPr>
          <w:trHeight w:hRule="exact" w:val="113"/>
        </w:trPr>
        <w:tc>
          <w:tcPr>
            <w:tcW w:w="4817" w:type="dxa"/>
            <w:tcBorders>
              <w:top w:val="single" w:sz="12" w:space="0" w:color="auto"/>
            </w:tcBorders>
            <w:shd w:val="clear" w:color="auto" w:fill="auto"/>
          </w:tcPr>
          <w:p w14:paraId="4974CC15" w14:textId="77777777" w:rsidR="00670B4D" w:rsidRPr="00670B4D" w:rsidRDefault="00670B4D" w:rsidP="00670B4D">
            <w:pPr>
              <w:spacing w:before="40" w:after="120"/>
              <w:ind w:right="113"/>
            </w:pPr>
          </w:p>
        </w:tc>
        <w:tc>
          <w:tcPr>
            <w:tcW w:w="4820" w:type="dxa"/>
            <w:tcBorders>
              <w:top w:val="single" w:sz="12" w:space="0" w:color="auto"/>
            </w:tcBorders>
            <w:shd w:val="clear" w:color="auto" w:fill="auto"/>
          </w:tcPr>
          <w:p w14:paraId="20C630F9" w14:textId="77777777" w:rsidR="00670B4D" w:rsidRPr="00670B4D" w:rsidRDefault="00670B4D" w:rsidP="00670B4D">
            <w:pPr>
              <w:spacing w:before="40" w:after="120"/>
              <w:ind w:right="113"/>
            </w:pPr>
          </w:p>
        </w:tc>
      </w:tr>
      <w:tr w:rsidR="00EE5AAE" w:rsidRPr="00670B4D" w14:paraId="74EB9C05" w14:textId="77777777" w:rsidTr="00670B4D">
        <w:tc>
          <w:tcPr>
            <w:tcW w:w="4817" w:type="dxa"/>
            <w:shd w:val="clear" w:color="auto" w:fill="auto"/>
          </w:tcPr>
          <w:p w14:paraId="3A830976" w14:textId="77777777" w:rsidR="00EE5AAE" w:rsidRPr="00670B4D" w:rsidRDefault="00EE5AAE" w:rsidP="00670B4D">
            <w:pPr>
              <w:spacing w:before="40" w:after="120"/>
              <w:ind w:right="113"/>
            </w:pPr>
            <w:r w:rsidRPr="00670B4D">
              <w:t>Standing invitations</w:t>
            </w:r>
          </w:p>
        </w:tc>
        <w:tc>
          <w:tcPr>
            <w:tcW w:w="4820" w:type="dxa"/>
            <w:shd w:val="clear" w:color="auto" w:fill="auto"/>
          </w:tcPr>
          <w:p w14:paraId="63E21FD2" w14:textId="190DF726" w:rsidR="00EE5AAE" w:rsidRPr="00670B4D" w:rsidRDefault="00EE5AAE" w:rsidP="00670B4D">
            <w:pPr>
              <w:spacing w:before="40" w:after="120"/>
              <w:ind w:right="113"/>
            </w:pPr>
            <w:r w:rsidRPr="00670B4D">
              <w:t>Yes (16 July 2008)</w:t>
            </w:r>
            <w:r w:rsidRPr="00670B4D">
              <w:rPr>
                <w:rStyle w:val="EndnoteReference"/>
                <w:bCs/>
                <w:sz w:val="20"/>
              </w:rPr>
              <w:endnoteReference w:id="17"/>
            </w:r>
          </w:p>
        </w:tc>
      </w:tr>
      <w:tr w:rsidR="00EE5AAE" w:rsidRPr="00670B4D" w14:paraId="320EF477" w14:textId="77777777" w:rsidTr="00670B4D">
        <w:tc>
          <w:tcPr>
            <w:tcW w:w="4817" w:type="dxa"/>
            <w:shd w:val="clear" w:color="auto" w:fill="auto"/>
          </w:tcPr>
          <w:p w14:paraId="0DCD58C4" w14:textId="4CECF160" w:rsidR="00EE5AAE" w:rsidRPr="00670B4D" w:rsidRDefault="00EE5AAE" w:rsidP="00670B4D">
            <w:pPr>
              <w:spacing w:before="40" w:after="120"/>
              <w:ind w:right="113"/>
            </w:pPr>
            <w:r w:rsidRPr="00670B4D">
              <w:t>Visits undertaken during the period under review</w:t>
            </w:r>
          </w:p>
        </w:tc>
        <w:tc>
          <w:tcPr>
            <w:tcW w:w="4820" w:type="dxa"/>
            <w:shd w:val="clear" w:color="auto" w:fill="auto"/>
          </w:tcPr>
          <w:p w14:paraId="59191387" w14:textId="1581B9F9" w:rsidR="00EE5AAE" w:rsidRPr="00670B4D" w:rsidRDefault="00EE5AAE" w:rsidP="00670B4D">
            <w:pPr>
              <w:spacing w:before="40" w:after="120"/>
              <w:ind w:right="113"/>
            </w:pPr>
            <w:r w:rsidRPr="00670B4D">
              <w:t>Food (2017)</w:t>
            </w:r>
          </w:p>
        </w:tc>
      </w:tr>
      <w:tr w:rsidR="00EE5AAE" w:rsidRPr="00670B4D" w14:paraId="28AF975B" w14:textId="77777777" w:rsidTr="00670B4D">
        <w:tc>
          <w:tcPr>
            <w:tcW w:w="4817" w:type="dxa"/>
            <w:shd w:val="clear" w:color="auto" w:fill="auto"/>
          </w:tcPr>
          <w:p w14:paraId="02C54B95" w14:textId="7685EB25" w:rsidR="00EE5AAE" w:rsidRPr="00670B4D" w:rsidRDefault="00EE5AAE" w:rsidP="00670B4D">
            <w:pPr>
              <w:spacing w:before="40" w:after="120"/>
              <w:ind w:right="113"/>
            </w:pPr>
            <w:r w:rsidRPr="00670B4D">
              <w:t xml:space="preserve">Visits agreed to in principle during the period </w:t>
            </w:r>
            <w:r w:rsidR="00670B4D">
              <w:br/>
            </w:r>
            <w:r w:rsidRPr="00670B4D">
              <w:t>under review</w:t>
            </w:r>
          </w:p>
        </w:tc>
        <w:tc>
          <w:tcPr>
            <w:tcW w:w="4820" w:type="dxa"/>
            <w:shd w:val="clear" w:color="auto" w:fill="auto"/>
          </w:tcPr>
          <w:p w14:paraId="57D1DA46" w14:textId="7B606490" w:rsidR="00EE5AAE" w:rsidRPr="00670B4D" w:rsidRDefault="00EE5AAE" w:rsidP="00670B4D">
            <w:pPr>
              <w:spacing w:before="40" w:after="120"/>
              <w:ind w:right="113"/>
              <w:rPr>
                <w:rFonts w:eastAsia="Calibri"/>
                <w:lang w:eastAsia="en-GB"/>
              </w:rPr>
            </w:pPr>
            <w:r w:rsidRPr="00670B4D">
              <w:rPr>
                <w:rFonts w:eastAsia="Calibri"/>
                <w:lang w:eastAsia="en-GB"/>
              </w:rPr>
              <w:t>Albinism</w:t>
            </w:r>
          </w:p>
        </w:tc>
      </w:tr>
      <w:tr w:rsidR="00EE5AAE" w:rsidRPr="00670B4D" w14:paraId="5C005308" w14:textId="77777777" w:rsidTr="00670B4D">
        <w:tc>
          <w:tcPr>
            <w:tcW w:w="4817" w:type="dxa"/>
            <w:tcBorders>
              <w:bottom w:val="single" w:sz="12" w:space="0" w:color="auto"/>
            </w:tcBorders>
            <w:shd w:val="clear" w:color="auto" w:fill="auto"/>
          </w:tcPr>
          <w:p w14:paraId="734E556C" w14:textId="5963E9AD" w:rsidR="00EE5AAE" w:rsidRPr="00670B4D" w:rsidRDefault="00EE5AAE" w:rsidP="00670B4D">
            <w:pPr>
              <w:spacing w:before="40" w:after="120"/>
              <w:ind w:right="113"/>
            </w:pPr>
            <w:r w:rsidRPr="00670B4D">
              <w:rPr>
                <w:iCs/>
              </w:rPr>
              <w:t>Visits requested</w:t>
            </w:r>
            <w:r w:rsidRPr="00670B4D">
              <w:t xml:space="preserve"> during the period under review</w:t>
            </w:r>
          </w:p>
        </w:tc>
        <w:tc>
          <w:tcPr>
            <w:tcW w:w="4820" w:type="dxa"/>
            <w:tcBorders>
              <w:bottom w:val="single" w:sz="12" w:space="0" w:color="auto"/>
            </w:tcBorders>
            <w:shd w:val="clear" w:color="auto" w:fill="auto"/>
          </w:tcPr>
          <w:p w14:paraId="38666724" w14:textId="10F7540E" w:rsidR="00EE5AAE" w:rsidRPr="00670B4D" w:rsidRDefault="00EE5AAE" w:rsidP="00670B4D">
            <w:pPr>
              <w:spacing w:before="40" w:after="120"/>
              <w:ind w:right="113"/>
            </w:pPr>
            <w:r w:rsidRPr="00670B4D">
              <w:t>Hazardous substance</w:t>
            </w:r>
          </w:p>
          <w:p w14:paraId="7BCF5517" w14:textId="6CA35938" w:rsidR="00EE5AAE" w:rsidRPr="00670B4D" w:rsidRDefault="00EE5AAE" w:rsidP="00670B4D">
            <w:pPr>
              <w:spacing w:before="40" w:after="120"/>
              <w:ind w:right="113"/>
            </w:pPr>
            <w:r w:rsidRPr="00670B4D">
              <w:t>Foreign debt</w:t>
            </w:r>
          </w:p>
        </w:tc>
      </w:tr>
      <w:tr w:rsidR="00EE5AAE" w:rsidRPr="00670B4D" w14:paraId="4A8D8824" w14:textId="77777777" w:rsidTr="00670B4D">
        <w:tc>
          <w:tcPr>
            <w:tcW w:w="4817" w:type="dxa"/>
            <w:tcBorders>
              <w:top w:val="single" w:sz="12" w:space="0" w:color="auto"/>
              <w:bottom w:val="single" w:sz="12" w:space="0" w:color="auto"/>
            </w:tcBorders>
            <w:shd w:val="clear" w:color="auto" w:fill="auto"/>
          </w:tcPr>
          <w:p w14:paraId="666F5FEA" w14:textId="45A0DA27" w:rsidR="00EE5AAE" w:rsidRPr="00670B4D" w:rsidRDefault="00EE5AAE" w:rsidP="00670B4D">
            <w:pPr>
              <w:spacing w:before="40" w:after="120"/>
              <w:ind w:right="113"/>
            </w:pPr>
            <w:r w:rsidRPr="00670B4D">
              <w:t>Responses to letters of allegation and urgent appeal</w:t>
            </w:r>
          </w:p>
        </w:tc>
        <w:tc>
          <w:tcPr>
            <w:tcW w:w="4820" w:type="dxa"/>
            <w:tcBorders>
              <w:top w:val="single" w:sz="12" w:space="0" w:color="auto"/>
              <w:bottom w:val="single" w:sz="12" w:space="0" w:color="auto"/>
            </w:tcBorders>
            <w:shd w:val="clear" w:color="auto" w:fill="auto"/>
          </w:tcPr>
          <w:p w14:paraId="241EBEE1" w14:textId="01A5A38D" w:rsidR="00EE5AAE" w:rsidRPr="00670B4D" w:rsidRDefault="00EE5AAE" w:rsidP="00670B4D">
            <w:pPr>
              <w:spacing w:before="40" w:after="120"/>
              <w:ind w:right="113"/>
            </w:pPr>
            <w:r w:rsidRPr="00670B4D">
              <w:t>During the period under review 8 communications were sent. The Government replied to 0 communications.</w:t>
            </w:r>
            <w:r w:rsidRPr="00670B4D">
              <w:rPr>
                <w:rStyle w:val="EndnoteReference"/>
                <w:bCs/>
                <w:sz w:val="20"/>
              </w:rPr>
              <w:endnoteReference w:id="18"/>
            </w: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9"/>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A847BE" w14:paraId="72BEAE01" w14:textId="77777777" w:rsidTr="00FC6CB9">
        <w:trPr>
          <w:tblHeader/>
        </w:trPr>
        <w:tc>
          <w:tcPr>
            <w:tcW w:w="3211" w:type="dxa"/>
            <w:tcBorders>
              <w:top w:val="single" w:sz="4" w:space="0" w:color="auto"/>
              <w:bottom w:val="single" w:sz="12" w:space="0" w:color="auto"/>
            </w:tcBorders>
            <w:shd w:val="clear" w:color="auto" w:fill="auto"/>
            <w:vAlign w:val="bottom"/>
          </w:tcPr>
          <w:p w14:paraId="240075E2" w14:textId="77777777" w:rsidR="00A02BFB" w:rsidRPr="00A847BE" w:rsidRDefault="00A02BFB" w:rsidP="00A847BE">
            <w:pPr>
              <w:spacing w:before="80" w:after="80" w:line="200" w:lineRule="exact"/>
              <w:ind w:right="113"/>
              <w:rPr>
                <w:i/>
                <w:sz w:val="16"/>
              </w:rPr>
            </w:pPr>
            <w:r w:rsidRPr="00A847BE">
              <w:rPr>
                <w:i/>
                <w:sz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A847BE" w:rsidRDefault="00A02BFB" w:rsidP="00A847BE">
            <w:pPr>
              <w:spacing w:before="80" w:after="80" w:line="200" w:lineRule="exact"/>
              <w:ind w:right="113"/>
              <w:rPr>
                <w:i/>
                <w:sz w:val="16"/>
              </w:rPr>
            </w:pPr>
            <w:r w:rsidRPr="00A847BE">
              <w:rPr>
                <w:i/>
                <w:sz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A847BE" w:rsidRDefault="00A02BFB" w:rsidP="00A847BE">
            <w:pPr>
              <w:spacing w:before="80" w:after="80" w:line="200" w:lineRule="exact"/>
              <w:ind w:right="113"/>
              <w:rPr>
                <w:i/>
                <w:sz w:val="16"/>
              </w:rPr>
            </w:pPr>
            <w:r w:rsidRPr="00A847BE">
              <w:rPr>
                <w:i/>
                <w:sz w:val="16"/>
              </w:rPr>
              <w:t>Status during present cycle</w:t>
            </w:r>
            <w:r w:rsidR="00BF07FE" w:rsidRPr="00A847BE">
              <w:rPr>
                <w:rStyle w:val="EndnoteReference"/>
                <w:i/>
                <w:sz w:val="16"/>
                <w:szCs w:val="16"/>
              </w:rPr>
              <w:endnoteReference w:id="20"/>
            </w:r>
          </w:p>
        </w:tc>
      </w:tr>
      <w:tr w:rsidR="00A847BE" w:rsidRPr="00A847BE" w14:paraId="473FEB5D" w14:textId="77777777" w:rsidTr="00FC6CB9">
        <w:trPr>
          <w:trHeight w:hRule="exact" w:val="113"/>
        </w:trPr>
        <w:tc>
          <w:tcPr>
            <w:tcW w:w="3211" w:type="dxa"/>
            <w:tcBorders>
              <w:top w:val="single" w:sz="12" w:space="0" w:color="auto"/>
            </w:tcBorders>
            <w:shd w:val="clear" w:color="auto" w:fill="auto"/>
          </w:tcPr>
          <w:p w14:paraId="3DA9FB4E" w14:textId="77777777" w:rsidR="00A847BE" w:rsidRPr="00A847BE" w:rsidRDefault="00A847BE" w:rsidP="00A847BE">
            <w:pPr>
              <w:spacing w:before="40" w:after="120"/>
              <w:ind w:right="113"/>
            </w:pPr>
          </w:p>
        </w:tc>
        <w:tc>
          <w:tcPr>
            <w:tcW w:w="3213" w:type="dxa"/>
            <w:tcBorders>
              <w:top w:val="single" w:sz="12" w:space="0" w:color="auto"/>
            </w:tcBorders>
            <w:shd w:val="clear" w:color="auto" w:fill="auto"/>
          </w:tcPr>
          <w:p w14:paraId="3D1ABB20" w14:textId="77777777" w:rsidR="00A847BE" w:rsidRPr="00A847BE" w:rsidRDefault="00A847BE" w:rsidP="00A847BE">
            <w:pPr>
              <w:spacing w:before="40" w:after="120"/>
              <w:ind w:right="113"/>
            </w:pPr>
          </w:p>
        </w:tc>
        <w:tc>
          <w:tcPr>
            <w:tcW w:w="3213" w:type="dxa"/>
            <w:tcBorders>
              <w:top w:val="single" w:sz="12" w:space="0" w:color="auto"/>
            </w:tcBorders>
            <w:shd w:val="clear" w:color="auto" w:fill="auto"/>
          </w:tcPr>
          <w:p w14:paraId="458981A8" w14:textId="77777777" w:rsidR="00A847BE" w:rsidRPr="00A847BE" w:rsidRDefault="00A847BE" w:rsidP="00A847BE">
            <w:pPr>
              <w:spacing w:before="40" w:after="120"/>
              <w:ind w:right="113"/>
            </w:pPr>
          </w:p>
        </w:tc>
      </w:tr>
      <w:tr w:rsidR="00A02BFB" w:rsidRPr="00A847BE" w14:paraId="4CA381FD" w14:textId="77777777" w:rsidTr="00FC6CB9">
        <w:tc>
          <w:tcPr>
            <w:tcW w:w="3211" w:type="dxa"/>
            <w:tcBorders>
              <w:bottom w:val="single" w:sz="12" w:space="0" w:color="auto"/>
            </w:tcBorders>
            <w:shd w:val="clear" w:color="auto" w:fill="auto"/>
          </w:tcPr>
          <w:p w14:paraId="06E83687" w14:textId="55F772AE" w:rsidR="00A02BFB" w:rsidRPr="00A847BE" w:rsidRDefault="00FF55B7" w:rsidP="00A847BE">
            <w:pPr>
              <w:spacing w:before="40" w:after="120"/>
              <w:ind w:right="113"/>
            </w:pPr>
            <w:r w:rsidRPr="00A847BE">
              <w:t>Zambia Human Rights Commission</w:t>
            </w:r>
          </w:p>
        </w:tc>
        <w:tc>
          <w:tcPr>
            <w:tcW w:w="3213" w:type="dxa"/>
            <w:tcBorders>
              <w:bottom w:val="single" w:sz="12" w:space="0" w:color="auto"/>
            </w:tcBorders>
            <w:shd w:val="clear" w:color="auto" w:fill="auto"/>
          </w:tcPr>
          <w:p w14:paraId="15809237" w14:textId="5D1869D7" w:rsidR="00A02BFB" w:rsidRPr="00A847BE" w:rsidRDefault="00FF55B7" w:rsidP="00A847BE">
            <w:pPr>
              <w:spacing w:before="40" w:after="120"/>
              <w:ind w:right="113"/>
            </w:pPr>
            <w:r w:rsidRPr="00A847BE">
              <w:t>A</w:t>
            </w:r>
          </w:p>
        </w:tc>
        <w:tc>
          <w:tcPr>
            <w:tcW w:w="3213" w:type="dxa"/>
            <w:tcBorders>
              <w:bottom w:val="single" w:sz="12" w:space="0" w:color="auto"/>
            </w:tcBorders>
            <w:shd w:val="clear" w:color="auto" w:fill="auto"/>
          </w:tcPr>
          <w:p w14:paraId="0076122A" w14:textId="1E5E20C6" w:rsidR="00A02BFB" w:rsidRPr="00A847BE" w:rsidRDefault="00FF55B7" w:rsidP="00A847BE">
            <w:pPr>
              <w:spacing w:before="40" w:after="120"/>
              <w:ind w:right="113"/>
            </w:pPr>
            <w:r w:rsidRPr="00A847BE">
              <w:t>A</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262C1" w14:textId="77777777" w:rsidR="008479C4" w:rsidRDefault="008479C4"/>
  </w:endnote>
  <w:endnote w:type="continuationSeparator" w:id="0">
    <w:p w14:paraId="4FA97AA2" w14:textId="77777777" w:rsidR="008479C4" w:rsidRDefault="008479C4"/>
  </w:endnote>
  <w:endnote w:type="continuationNotice" w:id="1">
    <w:p w14:paraId="2EA01E48" w14:textId="77777777" w:rsidR="008479C4" w:rsidRDefault="008479C4"/>
  </w:endnote>
  <w:endnote w:id="2">
    <w:p w14:paraId="1A0043D0" w14:textId="1F364C1E" w:rsidR="00A02BFB" w:rsidRDefault="00A02BFB" w:rsidP="00A02BFB">
      <w:pPr>
        <w:pStyle w:val="H4G"/>
      </w:pPr>
      <w:r>
        <w:t>Notes</w:t>
      </w:r>
    </w:p>
    <w:p w14:paraId="17364194" w14:textId="063F78C3"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w:t>
      </w:r>
      <w:r w:rsidR="005476FD">
        <w:t xml:space="preserve"> Zambia</w:t>
      </w:r>
      <w:r w:rsidRPr="008B4D7D">
        <w:rPr>
          <w:color w:val="4F81BD"/>
        </w:rPr>
        <w:t xml:space="preserve"> </w:t>
      </w:r>
      <w:r w:rsidRPr="00806A55">
        <w:t>from the previous cycle (A/HRC/WG.6/</w:t>
      </w:r>
      <w:r w:rsidR="00551DB6">
        <w:t>28/ZMB</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C0878ED"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 xml:space="preserve">International Convention on the Elimination of All Forms </w:t>
      </w:r>
      <w:r w:rsidR="0012601B">
        <w:rPr>
          <w:szCs w:val="18"/>
        </w:rPr>
        <w:br/>
      </w:r>
      <w:r w:rsidRPr="00174744">
        <w:rPr>
          <w:szCs w:val="18"/>
        </w:rPr>
        <w:t>of Racial Discrimination</w:t>
      </w:r>
      <w:r w:rsidR="00813931">
        <w:rPr>
          <w:szCs w:val="18"/>
        </w:rPr>
        <w:t>;</w:t>
      </w:r>
    </w:p>
    <w:p w14:paraId="229A5906" w14:textId="24A8405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813931">
        <w:rPr>
          <w:szCs w:val="18"/>
        </w:rPr>
        <w:t>;</w:t>
      </w:r>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587DC482" w:rsidR="00A02BFB" w:rsidRPr="00174744" w:rsidRDefault="00A02BFB" w:rsidP="00D47642">
      <w:pPr>
        <w:pStyle w:val="EndnoteText"/>
        <w:widowControl w:val="0"/>
        <w:ind w:left="3969" w:hanging="2269"/>
        <w:rPr>
          <w:szCs w:val="18"/>
        </w:rPr>
      </w:pPr>
      <w:r w:rsidRPr="00174744">
        <w:rPr>
          <w:szCs w:val="18"/>
        </w:rPr>
        <w:t>CAT</w:t>
      </w:r>
      <w:r w:rsidRPr="00174744">
        <w:rPr>
          <w:szCs w:val="18"/>
        </w:rPr>
        <w:tab/>
        <w:t xml:space="preserve">Convention against Torture and Other Cruel, Inhuman </w:t>
      </w:r>
      <w:r w:rsidR="00537E44">
        <w:rPr>
          <w:szCs w:val="18"/>
        </w:rPr>
        <w:br/>
      </w:r>
      <w:r w:rsidRPr="00174744">
        <w:rPr>
          <w:szCs w:val="18"/>
        </w:rPr>
        <w:t>or Degrading Treatment or Punishment</w:t>
      </w:r>
      <w:r w:rsidR="00813931">
        <w:rPr>
          <w:szCs w:val="18"/>
        </w:rPr>
        <w:t>;</w:t>
      </w:r>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2DD9400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362DD3C6" w14:textId="54FB8A89" w:rsidR="00084554" w:rsidRPr="007E0772" w:rsidRDefault="00084554" w:rsidP="00B02240">
      <w:pPr>
        <w:pStyle w:val="EndnoteText"/>
      </w:pPr>
      <w:r w:rsidRPr="00A82F81">
        <w:rPr>
          <w:szCs w:val="18"/>
        </w:rPr>
        <w:tab/>
      </w:r>
      <w:r w:rsidRPr="00A82F81">
        <w:rPr>
          <w:rStyle w:val="EndnoteReference"/>
          <w:szCs w:val="18"/>
        </w:rPr>
        <w:endnoteRef/>
      </w:r>
      <w:r w:rsidRPr="00A82F81">
        <w:rPr>
          <w:szCs w:val="18"/>
        </w:rPr>
        <w:tab/>
      </w:r>
      <w:r>
        <w:rPr>
          <w:szCs w:val="18"/>
        </w:rPr>
        <w:t xml:space="preserve">See: </w:t>
      </w:r>
      <w:r w:rsidRPr="00B02240">
        <w:rPr>
          <w:szCs w:val="18"/>
        </w:rPr>
        <w:t>https://treaties.un.org/pages/ViewDetails.aspx?src=IND&amp;mtdsg_no=IV-1&amp;chapter=4&amp;clang=_en</w:t>
      </w:r>
    </w:p>
  </w:endnote>
  <w:endnote w:id="6">
    <w:p w14:paraId="49954A63" w14:textId="57BC6503" w:rsidR="00084554" w:rsidRPr="007E0772" w:rsidRDefault="00084554" w:rsidP="007E0772">
      <w:pPr>
        <w:pStyle w:val="EndnoteText"/>
      </w:pPr>
      <w:r w:rsidRPr="00A82F81">
        <w:rPr>
          <w:szCs w:val="18"/>
        </w:rPr>
        <w:tab/>
      </w:r>
      <w:r w:rsidRPr="00A82F81">
        <w:rPr>
          <w:rStyle w:val="EndnoteReference"/>
          <w:szCs w:val="18"/>
        </w:rPr>
        <w:endnoteRef/>
      </w:r>
      <w:r w:rsidRPr="00A82F81">
        <w:rPr>
          <w:szCs w:val="18"/>
        </w:rPr>
        <w:tab/>
      </w:r>
      <w:r w:rsidRPr="007E0772">
        <w:t>ILO Indigenous and Tribal Peoples Convention, 1989 (No. 169), Domestic Workers Convention, 2011 (No. 189) and Violence and Harassment Convention, 2019 (No. 190) and - Protocol of 2014 to the Forced Labour Convention, 1930. See: https://www.ilo.org/dyn/normlex/en/f?p=1000:11210:0::NO:11210:P11210_COUNTRY_ID:103264</w:t>
      </w:r>
    </w:p>
  </w:endnote>
  <w:endnote w:id="7">
    <w:p w14:paraId="3C71D47D" w14:textId="459D09BB" w:rsidR="00084554" w:rsidRPr="00A82F81" w:rsidRDefault="00084554" w:rsidP="00B02240">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Pr>
          <w:szCs w:val="18"/>
        </w:rPr>
        <w:t>See:</w:t>
      </w:r>
      <w:r w:rsidRPr="00B02240">
        <w:t xml:space="preserve"> </w:t>
      </w:r>
      <w:r w:rsidRPr="00B02240">
        <w:rPr>
          <w:szCs w:val="18"/>
        </w:rPr>
        <w:t>https://treaties.un.org/pages/showDetails.aspx?objid=0800000280134150</w:t>
      </w:r>
    </w:p>
  </w:endnote>
  <w:endnote w:id="8">
    <w:p w14:paraId="3DD40EA3" w14:textId="348B188F" w:rsidR="00084554" w:rsidRPr="00764FE9" w:rsidRDefault="00084554" w:rsidP="00764FE9">
      <w:pPr>
        <w:pStyle w:val="EndnoteText"/>
      </w:pPr>
      <w:r w:rsidRPr="00A82F81">
        <w:rPr>
          <w:szCs w:val="18"/>
        </w:rPr>
        <w:tab/>
      </w:r>
      <w:r w:rsidRPr="00A82F81">
        <w:rPr>
          <w:rStyle w:val="EndnoteReference"/>
          <w:szCs w:val="18"/>
        </w:rPr>
        <w:endnoteRef/>
      </w:r>
      <w:r w:rsidRPr="00A82F81">
        <w:rPr>
          <w:szCs w:val="18"/>
        </w:rPr>
        <w:tab/>
      </w:r>
      <w:r w:rsidRPr="00764FE9">
        <w:t>International Labour Organization Convention No. 169 concerning Indigenous and Tribal Peoples, Convention No. 189 concerning Domestic Workers and Convention No. 190 concerning Violence and Harassment. See: https://www.ilo.org/dyn/normlex/en/f?p=1000:11210:0::NO:11210:P11210_COUNTRY_ID:103264</w:t>
      </w:r>
    </w:p>
  </w:endnote>
  <w:endnote w:id="9">
    <w:p w14:paraId="44EDEE73" w14:textId="573A06AE" w:rsidR="00084554" w:rsidRPr="00174744" w:rsidRDefault="00084554"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5B3428">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and Protocol Additional to the Geneva Conventions of 12 August 1949, and relating to the Protection of Victims of Non-International Armed Conflicts (Protocol II). See:</w:t>
      </w:r>
      <w:r>
        <w:rPr>
          <w:color w:val="4F81BD"/>
          <w:szCs w:val="18"/>
        </w:rPr>
        <w:t xml:space="preserve"> </w:t>
      </w:r>
      <w:hyperlink r:id="rId1" w:history="1">
        <w:r w:rsidRPr="009F6E78">
          <w:rPr>
            <w:rStyle w:val="Hyperlink"/>
            <w:szCs w:val="18"/>
          </w:rPr>
          <w:t>https://ihl-databases.icrc.org/applic/ihl/ihl.nsf/vwTreatiesByCountrySelected.xsp?xp_countrySelected=ZM</w:t>
        </w:r>
      </w:hyperlink>
      <w:r>
        <w:rPr>
          <w:color w:val="4F81BD"/>
          <w:szCs w:val="18"/>
        </w:rPr>
        <w:t>.</w:t>
      </w:r>
    </w:p>
  </w:endnote>
  <w:endnote w:id="10">
    <w:p w14:paraId="71DFEE06" w14:textId="39B85499" w:rsidR="00084554" w:rsidRPr="00A82F81" w:rsidRDefault="00084554" w:rsidP="005B3428">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Pr>
          <w:szCs w:val="18"/>
        </w:rPr>
        <w:t xml:space="preserve">See: </w:t>
      </w:r>
      <w:hyperlink r:id="rId2" w:history="1">
        <w:r w:rsidRPr="009F6E78">
          <w:rPr>
            <w:rStyle w:val="Hyperlink"/>
            <w:szCs w:val="18"/>
          </w:rPr>
          <w:t>https://asp.icc-cpi.int/states-parties/african-states/zambia</w:t>
        </w:r>
      </w:hyperlink>
      <w:r w:rsidRPr="00A82F81">
        <w:rPr>
          <w:szCs w:val="18"/>
          <w:lang w:val="en-US"/>
        </w:rPr>
        <w:t>.</w:t>
      </w:r>
    </w:p>
  </w:endnote>
  <w:endnote w:id="11">
    <w:p w14:paraId="76E18B04" w14:textId="0F3A926B" w:rsidR="00084554" w:rsidRPr="007E0772" w:rsidRDefault="00084554" w:rsidP="00A02BFB">
      <w:pPr>
        <w:pStyle w:val="EndnoteText"/>
        <w:widowControl w:val="0"/>
      </w:pPr>
      <w:r w:rsidRPr="00A82F81">
        <w:rPr>
          <w:szCs w:val="18"/>
        </w:rPr>
        <w:tab/>
      </w:r>
      <w:r w:rsidRPr="00A82F81">
        <w:rPr>
          <w:rStyle w:val="EndnoteReference"/>
          <w:szCs w:val="18"/>
        </w:rPr>
        <w:endnoteRef/>
      </w:r>
      <w:r w:rsidRPr="00A82F81">
        <w:rPr>
          <w:szCs w:val="18"/>
        </w:rPr>
        <w:tab/>
      </w:r>
      <w:r w:rsidRPr="007E0772">
        <w:t>1951 Convention relating to the Status of Refugees and its 1967 Protocol and 1954 Convention relating to the Status of Stateless Persons.</w:t>
      </w:r>
    </w:p>
  </w:endnote>
  <w:endnote w:id="12">
    <w:p w14:paraId="459EFF1B" w14:textId="77777777" w:rsidR="00084554" w:rsidRPr="00A82F81" w:rsidRDefault="00084554"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13">
    <w:p w14:paraId="7FAD82F3" w14:textId="550FDD33" w:rsidR="00084554" w:rsidRPr="007E0772" w:rsidRDefault="00084554" w:rsidP="00A02BFB">
      <w:pPr>
        <w:pStyle w:val="EndnoteText"/>
        <w:rPr>
          <w:szCs w:val="18"/>
          <w:lang w:val="en-US"/>
        </w:rPr>
      </w:pPr>
      <w:r w:rsidRPr="00A82F81">
        <w:rPr>
          <w:szCs w:val="18"/>
        </w:rPr>
        <w:tab/>
      </w:r>
      <w:r w:rsidRPr="00A82F81">
        <w:rPr>
          <w:rStyle w:val="EndnoteReference"/>
          <w:szCs w:val="18"/>
        </w:rPr>
        <w:endnoteRef/>
      </w:r>
      <w:r w:rsidRPr="00A82F81">
        <w:rPr>
          <w:szCs w:val="18"/>
        </w:rPr>
        <w:tab/>
      </w:r>
      <w:r w:rsidRPr="007E0772">
        <w:rPr>
          <w:szCs w:val="18"/>
          <w:lang w:val="en-US"/>
        </w:rPr>
        <w:t xml:space="preserve">International Labour Organization Convention No. 29 concerning Forced or Compulsory Labour; Convention No. 105 concerning the Abolition of Forced Labour; Convention No. 87 concerning Freedom of Association and Protection of the Right to Organise; Convention No. 98 concerning </w:t>
      </w:r>
      <w:r w:rsidR="00537E44">
        <w:rPr>
          <w:szCs w:val="18"/>
          <w:lang w:val="en-US"/>
        </w:rPr>
        <w:br/>
      </w:r>
      <w:r w:rsidRPr="007E0772">
        <w:rPr>
          <w:szCs w:val="18"/>
          <w:lang w:val="en-US"/>
        </w:rPr>
        <w:t>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 See: https://www.ilo.org/dyn/normlex/en/f?p=1000:11200:0::NO:11200:P11200_COUNTRY_ID:103264</w:t>
      </w:r>
    </w:p>
  </w:endnote>
  <w:endnote w:id="14">
    <w:p w14:paraId="34D690E3" w14:textId="17C510F5" w:rsidR="00084554" w:rsidRPr="00764FE9" w:rsidRDefault="00084554" w:rsidP="00764FE9">
      <w:pPr>
        <w:pStyle w:val="EndnoteText"/>
        <w:rPr>
          <w:szCs w:val="18"/>
          <w:lang w:val="en-US"/>
        </w:rPr>
      </w:pPr>
      <w:r w:rsidRPr="00A82F81">
        <w:rPr>
          <w:szCs w:val="18"/>
        </w:rPr>
        <w:tab/>
      </w:r>
      <w:r w:rsidRPr="00A82F81">
        <w:rPr>
          <w:rStyle w:val="EndnoteReference"/>
          <w:szCs w:val="18"/>
        </w:rPr>
        <w:endnoteRef/>
      </w:r>
      <w:r w:rsidRPr="00A82F81">
        <w:rPr>
          <w:szCs w:val="18"/>
        </w:rPr>
        <w:tab/>
      </w:r>
      <w:r w:rsidRPr="00764FE9">
        <w:rPr>
          <w:szCs w:val="18"/>
          <w:lang w:val="en-US"/>
        </w:rPr>
        <w:t xml:space="preserve">International Labour Organization Convention No. 29 concerning Forced or Compulsory Labour; Protocol of 2014 to Convention No. 29 concerning Forced or Compulsory Labour; Convention </w:t>
      </w:r>
      <w:r w:rsidR="00EC3CD1">
        <w:rPr>
          <w:szCs w:val="18"/>
          <w:lang w:val="en-US"/>
        </w:rPr>
        <w:br/>
      </w:r>
      <w:r w:rsidRPr="00764FE9">
        <w:rPr>
          <w:szCs w:val="18"/>
          <w:lang w:val="en-US"/>
        </w:rPr>
        <w:t xml:space="preserve">No. 105 concerning the Abolition of Forced Labour; Convention No. 87 concerning Freedom </w:t>
      </w:r>
      <w:r w:rsidR="00EC3CD1">
        <w:rPr>
          <w:szCs w:val="18"/>
          <w:lang w:val="en-US"/>
        </w:rPr>
        <w:br/>
      </w:r>
      <w:r w:rsidRPr="00764FE9">
        <w:rPr>
          <w:szCs w:val="18"/>
          <w:lang w:val="en-US"/>
        </w:rPr>
        <w:t>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 Convention No. 155 concerning Occupational Safety and Health; and Convention No. 187 concerning Promotional Framework for Occupational Safety and Health. See: https://www.ilo.org/dyn/normlex/en/f?p=1000:11200:0::NO:11200:P11200_COUNTRY_ID:103264</w:t>
      </w:r>
    </w:p>
  </w:endnote>
  <w:endnote w:id="15">
    <w:p w14:paraId="27E9F5AC" w14:textId="7E28485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F08BC">
        <w:rPr>
          <w:szCs w:val="18"/>
        </w:rPr>
        <w:t>;</w:t>
      </w:r>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6A6C1A6E"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 xml:space="preserve">Committee on the Elimination of Discrimination </w:t>
      </w:r>
      <w:r w:rsidR="00EC3CD1">
        <w:rPr>
          <w:szCs w:val="18"/>
        </w:rPr>
        <w:br/>
      </w:r>
      <w:r w:rsidRPr="00A82F81">
        <w:rPr>
          <w:szCs w:val="18"/>
        </w:rPr>
        <w:t>against Women</w:t>
      </w:r>
      <w:r w:rsidR="008F08BC">
        <w:rPr>
          <w:szCs w:val="18"/>
        </w:rPr>
        <w:t>;</w:t>
      </w:r>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2A1E1BFC" w14:textId="6CDCCF20"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8F08BC">
        <w:rPr>
          <w:szCs w:val="18"/>
        </w:rPr>
        <w:t>;</w:t>
      </w:r>
    </w:p>
    <w:p w14:paraId="6DAA22CD" w14:textId="4C6450AC"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7C05F2">
        <w:rPr>
          <w:szCs w:val="18"/>
        </w:rPr>
        <w:t>.</w:t>
      </w:r>
    </w:p>
  </w:endnote>
  <w:endnote w:id="16">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7">
    <w:p w14:paraId="4F70356E" w14:textId="64759BA4" w:rsidR="00EE5AAE" w:rsidRPr="00A82F81" w:rsidRDefault="00EE5AAE" w:rsidP="003A1A1E">
      <w:pPr>
        <w:pStyle w:val="EndnoteText"/>
        <w:rPr>
          <w:szCs w:val="18"/>
        </w:rPr>
      </w:pPr>
      <w:r w:rsidRPr="00A82F81">
        <w:tab/>
      </w:r>
      <w:r w:rsidRPr="00A82F81">
        <w:rPr>
          <w:rStyle w:val="EndnoteReference"/>
        </w:rPr>
        <w:endnoteRef/>
      </w:r>
      <w:r w:rsidRPr="00A82F81">
        <w:tab/>
      </w:r>
      <w:r>
        <w:t xml:space="preserve">See:  </w:t>
      </w:r>
      <w:r w:rsidRPr="003A1A1E">
        <w:t>https://spinternet.ohchr.org/StandingInvitations.aspx</w:t>
      </w:r>
    </w:p>
  </w:endnote>
  <w:endnote w:id="18">
    <w:p w14:paraId="4A80124B" w14:textId="77777777" w:rsidR="00EE5AAE" w:rsidRPr="00A82F81" w:rsidRDefault="00EE5AAE" w:rsidP="00EE5AAE">
      <w:pPr>
        <w:pStyle w:val="EndnoteText"/>
        <w:rPr>
          <w:szCs w:val="18"/>
        </w:rPr>
      </w:pPr>
      <w:r w:rsidRPr="00A82F81">
        <w:tab/>
      </w:r>
      <w:r w:rsidRPr="00A82F81">
        <w:rPr>
          <w:rStyle w:val="EndnoteReference"/>
        </w:rPr>
        <w:endnoteRef/>
      </w:r>
      <w:r w:rsidRPr="00A82F81">
        <w:tab/>
      </w:r>
      <w:r>
        <w:t xml:space="preserve">See: </w:t>
      </w:r>
      <w:r w:rsidRPr="00551DB6">
        <w:t>https://spcommreports.ohchr.org/TmSearch/Results</w:t>
      </w:r>
    </w:p>
  </w:endnote>
  <w:endnote w:id="19">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0">
    <w:p w14:paraId="43D335C3" w14:textId="503ECC4C"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FF55B7" w:rsidRPr="00FF55B7">
        <w:t xml:space="preserve"> </w:t>
      </w:r>
      <w:hyperlink r:id="rId3" w:history="1">
        <w:r w:rsidR="00FF55B7" w:rsidRPr="009F6E78">
          <w:rPr>
            <w:rStyle w:val="Hyperlink"/>
            <w:szCs w:val="18"/>
          </w:rPr>
          <w:t>https://ganhri.org/wp-content/uploads/2022/08/StatusAccreditationChartNHRIs_July-2022.pdf</w:t>
        </w:r>
      </w:hyperlink>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721E9EF6" w:rsidR="00674A7D" w:rsidRDefault="00674A7D">
    <w:pPr>
      <w:pStyle w:val="Footer"/>
      <w:jc w:val="right"/>
    </w:pPr>
    <w:r>
      <w:fldChar w:fldCharType="begin"/>
    </w:r>
    <w:r>
      <w:instrText xml:space="preserve"> PAGE   \* MERGEFORMAT </w:instrText>
    </w:r>
    <w:r>
      <w:fldChar w:fldCharType="separate"/>
    </w:r>
    <w:r w:rsidR="009C23EA">
      <w:rPr>
        <w:noProof/>
      </w:rPr>
      <w:t>5</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D699" w14:textId="77777777" w:rsidR="008479C4" w:rsidRPr="000B175B" w:rsidRDefault="008479C4" w:rsidP="000B175B">
      <w:pPr>
        <w:tabs>
          <w:tab w:val="right" w:pos="2155"/>
        </w:tabs>
        <w:spacing w:after="80"/>
        <w:ind w:left="680"/>
        <w:rPr>
          <w:u w:val="single"/>
        </w:rPr>
      </w:pPr>
      <w:r>
        <w:rPr>
          <w:u w:val="single"/>
        </w:rPr>
        <w:tab/>
      </w:r>
    </w:p>
  </w:footnote>
  <w:footnote w:type="continuationSeparator" w:id="0">
    <w:p w14:paraId="3F791AD9" w14:textId="77777777" w:rsidR="008479C4" w:rsidRPr="00FC68B7" w:rsidRDefault="008479C4" w:rsidP="00FC68B7">
      <w:pPr>
        <w:tabs>
          <w:tab w:val="left" w:pos="2155"/>
        </w:tabs>
        <w:spacing w:after="80"/>
        <w:ind w:left="680"/>
        <w:rPr>
          <w:u w:val="single"/>
        </w:rPr>
      </w:pPr>
      <w:r>
        <w:rPr>
          <w:u w:val="single"/>
        </w:rPr>
        <w:tab/>
      </w:r>
    </w:p>
  </w:footnote>
  <w:footnote w:type="continuationNotice" w:id="1">
    <w:p w14:paraId="586A8459" w14:textId="77777777" w:rsidR="008479C4" w:rsidRDefault="008479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103BE"/>
    <w:rsid w:val="00011071"/>
    <w:rsid w:val="00022DB5"/>
    <w:rsid w:val="0002432F"/>
    <w:rsid w:val="000344CE"/>
    <w:rsid w:val="000403D1"/>
    <w:rsid w:val="000449AA"/>
    <w:rsid w:val="00050F6B"/>
    <w:rsid w:val="00072C8C"/>
    <w:rsid w:val="00073E70"/>
    <w:rsid w:val="00075368"/>
    <w:rsid w:val="00081AA4"/>
    <w:rsid w:val="00084554"/>
    <w:rsid w:val="000876EB"/>
    <w:rsid w:val="00091419"/>
    <w:rsid w:val="000931C0"/>
    <w:rsid w:val="000A27ED"/>
    <w:rsid w:val="000B175B"/>
    <w:rsid w:val="000B3A0F"/>
    <w:rsid w:val="000B4A3B"/>
    <w:rsid w:val="000C49B2"/>
    <w:rsid w:val="000D0709"/>
    <w:rsid w:val="000D1851"/>
    <w:rsid w:val="000D73DE"/>
    <w:rsid w:val="000E0415"/>
    <w:rsid w:val="000F61E0"/>
    <w:rsid w:val="000F63EB"/>
    <w:rsid w:val="00101E4D"/>
    <w:rsid w:val="00106868"/>
    <w:rsid w:val="00116E64"/>
    <w:rsid w:val="00124DDE"/>
    <w:rsid w:val="0012601B"/>
    <w:rsid w:val="0013065A"/>
    <w:rsid w:val="0013136E"/>
    <w:rsid w:val="00132BC7"/>
    <w:rsid w:val="00146D32"/>
    <w:rsid w:val="001509BA"/>
    <w:rsid w:val="00152993"/>
    <w:rsid w:val="00157983"/>
    <w:rsid w:val="001614E7"/>
    <w:rsid w:val="001A342F"/>
    <w:rsid w:val="001A469C"/>
    <w:rsid w:val="001A4E3C"/>
    <w:rsid w:val="001A73FD"/>
    <w:rsid w:val="001B1A59"/>
    <w:rsid w:val="001B4B04"/>
    <w:rsid w:val="001C0706"/>
    <w:rsid w:val="001C215C"/>
    <w:rsid w:val="001C6663"/>
    <w:rsid w:val="001C7895"/>
    <w:rsid w:val="001D26DF"/>
    <w:rsid w:val="001E2790"/>
    <w:rsid w:val="001E5256"/>
    <w:rsid w:val="0020250C"/>
    <w:rsid w:val="00210B1C"/>
    <w:rsid w:val="0021130C"/>
    <w:rsid w:val="00211E0B"/>
    <w:rsid w:val="00211E72"/>
    <w:rsid w:val="00214047"/>
    <w:rsid w:val="0022130F"/>
    <w:rsid w:val="0022777B"/>
    <w:rsid w:val="00237785"/>
    <w:rsid w:val="002410DD"/>
    <w:rsid w:val="00241466"/>
    <w:rsid w:val="00253D58"/>
    <w:rsid w:val="00254654"/>
    <w:rsid w:val="00261572"/>
    <w:rsid w:val="00264FA3"/>
    <w:rsid w:val="00274EA9"/>
    <w:rsid w:val="0027725F"/>
    <w:rsid w:val="00283347"/>
    <w:rsid w:val="00296EB7"/>
    <w:rsid w:val="002B4713"/>
    <w:rsid w:val="002B4DD8"/>
    <w:rsid w:val="002C21F0"/>
    <w:rsid w:val="002C4587"/>
    <w:rsid w:val="002D152D"/>
    <w:rsid w:val="002E646B"/>
    <w:rsid w:val="003107FA"/>
    <w:rsid w:val="00317977"/>
    <w:rsid w:val="00317E7B"/>
    <w:rsid w:val="003229D8"/>
    <w:rsid w:val="00324383"/>
    <w:rsid w:val="003260EF"/>
    <w:rsid w:val="003314D1"/>
    <w:rsid w:val="00335A2F"/>
    <w:rsid w:val="00341937"/>
    <w:rsid w:val="00341D5E"/>
    <w:rsid w:val="00350CFD"/>
    <w:rsid w:val="00352BFF"/>
    <w:rsid w:val="00354E8D"/>
    <w:rsid w:val="0036635E"/>
    <w:rsid w:val="003719F2"/>
    <w:rsid w:val="0037215F"/>
    <w:rsid w:val="00380822"/>
    <w:rsid w:val="0038287A"/>
    <w:rsid w:val="00383BE1"/>
    <w:rsid w:val="00386AC0"/>
    <w:rsid w:val="0039277A"/>
    <w:rsid w:val="003930E5"/>
    <w:rsid w:val="003932E2"/>
    <w:rsid w:val="003972E0"/>
    <w:rsid w:val="003975ED"/>
    <w:rsid w:val="003A1A1E"/>
    <w:rsid w:val="003A4E25"/>
    <w:rsid w:val="003B2E78"/>
    <w:rsid w:val="003C2CC4"/>
    <w:rsid w:val="003D4B23"/>
    <w:rsid w:val="003E03C5"/>
    <w:rsid w:val="003E065C"/>
    <w:rsid w:val="003E19D9"/>
    <w:rsid w:val="003E33AE"/>
    <w:rsid w:val="003E591C"/>
    <w:rsid w:val="003E6998"/>
    <w:rsid w:val="00400E06"/>
    <w:rsid w:val="00402E7F"/>
    <w:rsid w:val="00420F8B"/>
    <w:rsid w:val="00424C80"/>
    <w:rsid w:val="00431A65"/>
    <w:rsid w:val="004325CB"/>
    <w:rsid w:val="00437326"/>
    <w:rsid w:val="0044503A"/>
    <w:rsid w:val="00446DE4"/>
    <w:rsid w:val="00447195"/>
    <w:rsid w:val="00447761"/>
    <w:rsid w:val="00451629"/>
    <w:rsid w:val="004516C6"/>
    <w:rsid w:val="00451EC3"/>
    <w:rsid w:val="00452768"/>
    <w:rsid w:val="00454454"/>
    <w:rsid w:val="00454950"/>
    <w:rsid w:val="00455E47"/>
    <w:rsid w:val="0045636B"/>
    <w:rsid w:val="004565E6"/>
    <w:rsid w:val="0045749E"/>
    <w:rsid w:val="00461BB5"/>
    <w:rsid w:val="004721B1"/>
    <w:rsid w:val="004722FF"/>
    <w:rsid w:val="004766F2"/>
    <w:rsid w:val="004776AD"/>
    <w:rsid w:val="004859EC"/>
    <w:rsid w:val="00493CFF"/>
    <w:rsid w:val="00496A15"/>
    <w:rsid w:val="004A1AA5"/>
    <w:rsid w:val="004A76BD"/>
    <w:rsid w:val="004A7EE3"/>
    <w:rsid w:val="004B75D2"/>
    <w:rsid w:val="004C12E1"/>
    <w:rsid w:val="004D1140"/>
    <w:rsid w:val="004E01CE"/>
    <w:rsid w:val="004E25CB"/>
    <w:rsid w:val="004F15C4"/>
    <w:rsid w:val="004F55ED"/>
    <w:rsid w:val="004F6BCA"/>
    <w:rsid w:val="00505C67"/>
    <w:rsid w:val="0052176C"/>
    <w:rsid w:val="00521D8F"/>
    <w:rsid w:val="005261E5"/>
    <w:rsid w:val="00537E44"/>
    <w:rsid w:val="005420F2"/>
    <w:rsid w:val="00542574"/>
    <w:rsid w:val="005436AB"/>
    <w:rsid w:val="005457B9"/>
    <w:rsid w:val="00546DBF"/>
    <w:rsid w:val="005476FD"/>
    <w:rsid w:val="005512BA"/>
    <w:rsid w:val="00551DB6"/>
    <w:rsid w:val="005534E1"/>
    <w:rsid w:val="00553D76"/>
    <w:rsid w:val="005551EC"/>
    <w:rsid w:val="005552B5"/>
    <w:rsid w:val="0056117B"/>
    <w:rsid w:val="005615E8"/>
    <w:rsid w:val="005620C3"/>
    <w:rsid w:val="0057084A"/>
    <w:rsid w:val="00571365"/>
    <w:rsid w:val="00574F7B"/>
    <w:rsid w:val="0057791F"/>
    <w:rsid w:val="00592E55"/>
    <w:rsid w:val="005A22DB"/>
    <w:rsid w:val="005A288A"/>
    <w:rsid w:val="005B3428"/>
    <w:rsid w:val="005B3DB3"/>
    <w:rsid w:val="005B6E48"/>
    <w:rsid w:val="005B7662"/>
    <w:rsid w:val="005D56FC"/>
    <w:rsid w:val="005E1712"/>
    <w:rsid w:val="005F6B2A"/>
    <w:rsid w:val="005F6E73"/>
    <w:rsid w:val="006116A3"/>
    <w:rsid w:val="00611FC4"/>
    <w:rsid w:val="00614615"/>
    <w:rsid w:val="006176FB"/>
    <w:rsid w:val="00626E6C"/>
    <w:rsid w:val="0063060D"/>
    <w:rsid w:val="00640B26"/>
    <w:rsid w:val="00644301"/>
    <w:rsid w:val="006525EF"/>
    <w:rsid w:val="00663367"/>
    <w:rsid w:val="00670741"/>
    <w:rsid w:val="00670B4D"/>
    <w:rsid w:val="00674A7D"/>
    <w:rsid w:val="0067630F"/>
    <w:rsid w:val="00676C10"/>
    <w:rsid w:val="006778E7"/>
    <w:rsid w:val="006808A9"/>
    <w:rsid w:val="00696BD6"/>
    <w:rsid w:val="006A18AC"/>
    <w:rsid w:val="006A6B9D"/>
    <w:rsid w:val="006A7392"/>
    <w:rsid w:val="006B3189"/>
    <w:rsid w:val="006B7D65"/>
    <w:rsid w:val="006B7DC9"/>
    <w:rsid w:val="006D6DA6"/>
    <w:rsid w:val="006E564B"/>
    <w:rsid w:val="006F13F0"/>
    <w:rsid w:val="006F5035"/>
    <w:rsid w:val="007065EB"/>
    <w:rsid w:val="00720183"/>
    <w:rsid w:val="0072612C"/>
    <w:rsid w:val="0072632A"/>
    <w:rsid w:val="00741A0B"/>
    <w:rsid w:val="0074200B"/>
    <w:rsid w:val="00754BEF"/>
    <w:rsid w:val="00757201"/>
    <w:rsid w:val="0076416B"/>
    <w:rsid w:val="00764FE9"/>
    <w:rsid w:val="007722EB"/>
    <w:rsid w:val="007953F7"/>
    <w:rsid w:val="007A6296"/>
    <w:rsid w:val="007B6BA5"/>
    <w:rsid w:val="007C05F2"/>
    <w:rsid w:val="007C1B62"/>
    <w:rsid w:val="007C2548"/>
    <w:rsid w:val="007C3390"/>
    <w:rsid w:val="007C4F4B"/>
    <w:rsid w:val="007D2CDC"/>
    <w:rsid w:val="007D5213"/>
    <w:rsid w:val="007D5327"/>
    <w:rsid w:val="007D5B48"/>
    <w:rsid w:val="007E0772"/>
    <w:rsid w:val="007E2C3B"/>
    <w:rsid w:val="007E55A4"/>
    <w:rsid w:val="007E5B90"/>
    <w:rsid w:val="007E75F7"/>
    <w:rsid w:val="007F085C"/>
    <w:rsid w:val="007F6611"/>
    <w:rsid w:val="00802FBE"/>
    <w:rsid w:val="00813478"/>
    <w:rsid w:val="00813931"/>
    <w:rsid w:val="008155C3"/>
    <w:rsid w:val="008175E9"/>
    <w:rsid w:val="0082243E"/>
    <w:rsid w:val="008242D7"/>
    <w:rsid w:val="00840553"/>
    <w:rsid w:val="008479C4"/>
    <w:rsid w:val="00856CD2"/>
    <w:rsid w:val="00861BC6"/>
    <w:rsid w:val="00871FD5"/>
    <w:rsid w:val="008741DC"/>
    <w:rsid w:val="00875FCF"/>
    <w:rsid w:val="0088609C"/>
    <w:rsid w:val="008979B1"/>
    <w:rsid w:val="008A6B25"/>
    <w:rsid w:val="008A6C4F"/>
    <w:rsid w:val="008A7AD8"/>
    <w:rsid w:val="008B4D7D"/>
    <w:rsid w:val="008B781D"/>
    <w:rsid w:val="008C0466"/>
    <w:rsid w:val="008C1421"/>
    <w:rsid w:val="008C1E4D"/>
    <w:rsid w:val="008D1CFB"/>
    <w:rsid w:val="008D363E"/>
    <w:rsid w:val="008E0E46"/>
    <w:rsid w:val="008E5D82"/>
    <w:rsid w:val="008F08BC"/>
    <w:rsid w:val="008F51A8"/>
    <w:rsid w:val="0090452C"/>
    <w:rsid w:val="009045C9"/>
    <w:rsid w:val="00907C3F"/>
    <w:rsid w:val="0091458B"/>
    <w:rsid w:val="0092237C"/>
    <w:rsid w:val="0093707B"/>
    <w:rsid w:val="009400EB"/>
    <w:rsid w:val="00941383"/>
    <w:rsid w:val="009427E3"/>
    <w:rsid w:val="009436DA"/>
    <w:rsid w:val="0094563C"/>
    <w:rsid w:val="00956D9B"/>
    <w:rsid w:val="0096139A"/>
    <w:rsid w:val="0096330A"/>
    <w:rsid w:val="00963CBA"/>
    <w:rsid w:val="009654B7"/>
    <w:rsid w:val="00967FA4"/>
    <w:rsid w:val="009737E2"/>
    <w:rsid w:val="00975459"/>
    <w:rsid w:val="009822C1"/>
    <w:rsid w:val="00991261"/>
    <w:rsid w:val="009A0B83"/>
    <w:rsid w:val="009B123A"/>
    <w:rsid w:val="009B1638"/>
    <w:rsid w:val="009B3476"/>
    <w:rsid w:val="009B3800"/>
    <w:rsid w:val="009C23EA"/>
    <w:rsid w:val="009D22AC"/>
    <w:rsid w:val="009D3F21"/>
    <w:rsid w:val="009D3FA1"/>
    <w:rsid w:val="009D50DB"/>
    <w:rsid w:val="009E1C4E"/>
    <w:rsid w:val="009E78E3"/>
    <w:rsid w:val="009F0B0E"/>
    <w:rsid w:val="009F2C8D"/>
    <w:rsid w:val="009F3953"/>
    <w:rsid w:val="009F407E"/>
    <w:rsid w:val="00A02BFB"/>
    <w:rsid w:val="00A02F74"/>
    <w:rsid w:val="00A03F9D"/>
    <w:rsid w:val="00A05E0B"/>
    <w:rsid w:val="00A074DD"/>
    <w:rsid w:val="00A1427D"/>
    <w:rsid w:val="00A2010B"/>
    <w:rsid w:val="00A21DE3"/>
    <w:rsid w:val="00A30C51"/>
    <w:rsid w:val="00A3619D"/>
    <w:rsid w:val="00A425D0"/>
    <w:rsid w:val="00A433B2"/>
    <w:rsid w:val="00A4634F"/>
    <w:rsid w:val="00A51CF3"/>
    <w:rsid w:val="00A63DA6"/>
    <w:rsid w:val="00A67EFD"/>
    <w:rsid w:val="00A712AF"/>
    <w:rsid w:val="00A72F22"/>
    <w:rsid w:val="00A73042"/>
    <w:rsid w:val="00A748A6"/>
    <w:rsid w:val="00A75300"/>
    <w:rsid w:val="00A77492"/>
    <w:rsid w:val="00A847BE"/>
    <w:rsid w:val="00A879A4"/>
    <w:rsid w:val="00A87E95"/>
    <w:rsid w:val="00A91390"/>
    <w:rsid w:val="00A92E29"/>
    <w:rsid w:val="00A93ADC"/>
    <w:rsid w:val="00AC2000"/>
    <w:rsid w:val="00AC3A03"/>
    <w:rsid w:val="00AC57AF"/>
    <w:rsid w:val="00AD09E9"/>
    <w:rsid w:val="00AD104C"/>
    <w:rsid w:val="00AD3D48"/>
    <w:rsid w:val="00AD7B29"/>
    <w:rsid w:val="00AF0576"/>
    <w:rsid w:val="00AF3829"/>
    <w:rsid w:val="00AF387A"/>
    <w:rsid w:val="00B02240"/>
    <w:rsid w:val="00B037F0"/>
    <w:rsid w:val="00B043F7"/>
    <w:rsid w:val="00B04819"/>
    <w:rsid w:val="00B14190"/>
    <w:rsid w:val="00B2327D"/>
    <w:rsid w:val="00B2718F"/>
    <w:rsid w:val="00B30179"/>
    <w:rsid w:val="00B3317B"/>
    <w:rsid w:val="00B334DC"/>
    <w:rsid w:val="00B3631A"/>
    <w:rsid w:val="00B43574"/>
    <w:rsid w:val="00B44A97"/>
    <w:rsid w:val="00B44CAA"/>
    <w:rsid w:val="00B53013"/>
    <w:rsid w:val="00B56317"/>
    <w:rsid w:val="00B67F5E"/>
    <w:rsid w:val="00B73E65"/>
    <w:rsid w:val="00B81E12"/>
    <w:rsid w:val="00B87110"/>
    <w:rsid w:val="00B90627"/>
    <w:rsid w:val="00B97FA8"/>
    <w:rsid w:val="00BA6FAF"/>
    <w:rsid w:val="00BA7D66"/>
    <w:rsid w:val="00BB2720"/>
    <w:rsid w:val="00BC1385"/>
    <w:rsid w:val="00BC74E9"/>
    <w:rsid w:val="00BE618E"/>
    <w:rsid w:val="00BE6A87"/>
    <w:rsid w:val="00BF07FE"/>
    <w:rsid w:val="00BF7F28"/>
    <w:rsid w:val="00C01C7D"/>
    <w:rsid w:val="00C05762"/>
    <w:rsid w:val="00C12C23"/>
    <w:rsid w:val="00C163EA"/>
    <w:rsid w:val="00C2053A"/>
    <w:rsid w:val="00C207EF"/>
    <w:rsid w:val="00C22D6C"/>
    <w:rsid w:val="00C24693"/>
    <w:rsid w:val="00C3313B"/>
    <w:rsid w:val="00C3427B"/>
    <w:rsid w:val="00C35F0B"/>
    <w:rsid w:val="00C463DD"/>
    <w:rsid w:val="00C55FAB"/>
    <w:rsid w:val="00C62B61"/>
    <w:rsid w:val="00C64458"/>
    <w:rsid w:val="00C67D1E"/>
    <w:rsid w:val="00C745C3"/>
    <w:rsid w:val="00C81253"/>
    <w:rsid w:val="00C8450C"/>
    <w:rsid w:val="00C85F14"/>
    <w:rsid w:val="00CA2A58"/>
    <w:rsid w:val="00CA2E07"/>
    <w:rsid w:val="00CA6DE7"/>
    <w:rsid w:val="00CB7662"/>
    <w:rsid w:val="00CC03CC"/>
    <w:rsid w:val="00CC0B55"/>
    <w:rsid w:val="00CD6995"/>
    <w:rsid w:val="00CE4A8F"/>
    <w:rsid w:val="00CF0214"/>
    <w:rsid w:val="00CF586F"/>
    <w:rsid w:val="00CF7D43"/>
    <w:rsid w:val="00D06FA7"/>
    <w:rsid w:val="00D07CB4"/>
    <w:rsid w:val="00D11129"/>
    <w:rsid w:val="00D174D1"/>
    <w:rsid w:val="00D2031B"/>
    <w:rsid w:val="00D22332"/>
    <w:rsid w:val="00D226FD"/>
    <w:rsid w:val="00D25FE2"/>
    <w:rsid w:val="00D312C7"/>
    <w:rsid w:val="00D43252"/>
    <w:rsid w:val="00D47642"/>
    <w:rsid w:val="00D550F9"/>
    <w:rsid w:val="00D572B0"/>
    <w:rsid w:val="00D57EDC"/>
    <w:rsid w:val="00D62E90"/>
    <w:rsid w:val="00D6573E"/>
    <w:rsid w:val="00D725F7"/>
    <w:rsid w:val="00D7541C"/>
    <w:rsid w:val="00D75C61"/>
    <w:rsid w:val="00D76BE5"/>
    <w:rsid w:val="00D8128F"/>
    <w:rsid w:val="00D82670"/>
    <w:rsid w:val="00D8433E"/>
    <w:rsid w:val="00D96AE6"/>
    <w:rsid w:val="00D978C6"/>
    <w:rsid w:val="00DA2197"/>
    <w:rsid w:val="00DA67AD"/>
    <w:rsid w:val="00DB18CE"/>
    <w:rsid w:val="00DB591F"/>
    <w:rsid w:val="00DC7726"/>
    <w:rsid w:val="00DD3674"/>
    <w:rsid w:val="00DE3EC0"/>
    <w:rsid w:val="00DE4620"/>
    <w:rsid w:val="00DE7BF3"/>
    <w:rsid w:val="00DF7D82"/>
    <w:rsid w:val="00E0348D"/>
    <w:rsid w:val="00E11593"/>
    <w:rsid w:val="00E12B6B"/>
    <w:rsid w:val="00E130AB"/>
    <w:rsid w:val="00E170D4"/>
    <w:rsid w:val="00E3102C"/>
    <w:rsid w:val="00E37EB2"/>
    <w:rsid w:val="00E438D9"/>
    <w:rsid w:val="00E5644E"/>
    <w:rsid w:val="00E57F22"/>
    <w:rsid w:val="00E66B4F"/>
    <w:rsid w:val="00E7260F"/>
    <w:rsid w:val="00E806EE"/>
    <w:rsid w:val="00E83FD4"/>
    <w:rsid w:val="00E86049"/>
    <w:rsid w:val="00E87FFD"/>
    <w:rsid w:val="00E95296"/>
    <w:rsid w:val="00E96630"/>
    <w:rsid w:val="00E96891"/>
    <w:rsid w:val="00EB0984"/>
    <w:rsid w:val="00EB0EF8"/>
    <w:rsid w:val="00EB0FB9"/>
    <w:rsid w:val="00EC3CD1"/>
    <w:rsid w:val="00EC65B4"/>
    <w:rsid w:val="00ED0CA9"/>
    <w:rsid w:val="00ED7A2A"/>
    <w:rsid w:val="00EE33B5"/>
    <w:rsid w:val="00EE41AB"/>
    <w:rsid w:val="00EE41E7"/>
    <w:rsid w:val="00EE5AAE"/>
    <w:rsid w:val="00EE7D5F"/>
    <w:rsid w:val="00EF1D7F"/>
    <w:rsid w:val="00EF5BDB"/>
    <w:rsid w:val="00F02A1B"/>
    <w:rsid w:val="00F07FD9"/>
    <w:rsid w:val="00F217E9"/>
    <w:rsid w:val="00F21C38"/>
    <w:rsid w:val="00F238A8"/>
    <w:rsid w:val="00F23933"/>
    <w:rsid w:val="00F24119"/>
    <w:rsid w:val="00F30B7B"/>
    <w:rsid w:val="00F34950"/>
    <w:rsid w:val="00F40E75"/>
    <w:rsid w:val="00F42CD9"/>
    <w:rsid w:val="00F52936"/>
    <w:rsid w:val="00F63CF0"/>
    <w:rsid w:val="00F677CB"/>
    <w:rsid w:val="00F71571"/>
    <w:rsid w:val="00F715B8"/>
    <w:rsid w:val="00F72113"/>
    <w:rsid w:val="00F723A2"/>
    <w:rsid w:val="00F7330F"/>
    <w:rsid w:val="00F76CA4"/>
    <w:rsid w:val="00F97C5D"/>
    <w:rsid w:val="00FA1AE7"/>
    <w:rsid w:val="00FA7DF3"/>
    <w:rsid w:val="00FC68B7"/>
    <w:rsid w:val="00FC6CB9"/>
    <w:rsid w:val="00FD268F"/>
    <w:rsid w:val="00FD70A1"/>
    <w:rsid w:val="00FD7C12"/>
    <w:rsid w:val="00FE384E"/>
    <w:rsid w:val="00FF55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ganhri.org/wp-content/uploads/2022/08/StatusAccreditationChartNHRIs_July-2022.pdf" TargetMode="External"/><Relationship Id="rId2" Type="http://schemas.openxmlformats.org/officeDocument/2006/relationships/hyperlink" Target="https://asp.icc-cpi.int/states-parties/african-states/zambia" TargetMode="External"/><Relationship Id="rId1" Type="http://schemas.openxmlformats.org/officeDocument/2006/relationships/hyperlink" Target="https://ihl-databases.icrc.org/applic/ihl/ihl.nsf/vwTreatiesByCountrySelected.xsp?xp_countrySelected=Z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B9A77-D772-4C92-B001-D67BB9E3F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34</TotalTime>
  <Pages>5</Pages>
  <Words>412</Words>
  <Characters>2354</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5</cp:revision>
  <cp:lastPrinted>2008-01-29T07:30:00Z</cp:lastPrinted>
  <dcterms:created xsi:type="dcterms:W3CDTF">2022-12-12T09:11:00Z</dcterms:created>
  <dcterms:modified xsi:type="dcterms:W3CDTF">2022-12-12T11:58:00Z</dcterms:modified>
</cp:coreProperties>
</file>