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56B7" w14:textId="7D3449B5" w:rsidR="008A7E3C" w:rsidRPr="008A7E3C" w:rsidRDefault="008A7E3C" w:rsidP="008A7E3C">
      <w:pPr>
        <w:spacing w:line="360" w:lineRule="auto"/>
        <w:rPr>
          <w:rFonts w:ascii="Arial" w:hAnsi="Arial" w:cs="Arial"/>
          <w:b/>
          <w:bCs/>
          <w:sz w:val="24"/>
          <w:szCs w:val="24"/>
        </w:rPr>
      </w:pPr>
      <w:r w:rsidRPr="008A7E3C">
        <w:rPr>
          <w:rFonts w:ascii="Arial" w:hAnsi="Arial" w:cs="Arial"/>
          <w:b/>
          <w:bCs/>
          <w:sz w:val="24"/>
          <w:szCs w:val="24"/>
        </w:rPr>
        <w:t xml:space="preserve">ANNEXURE </w:t>
      </w:r>
      <w:r w:rsidR="004B332D">
        <w:rPr>
          <w:rFonts w:ascii="Arial" w:hAnsi="Arial" w:cs="Arial"/>
          <w:b/>
          <w:bCs/>
          <w:sz w:val="24"/>
          <w:szCs w:val="24"/>
        </w:rPr>
        <w:t>I</w:t>
      </w:r>
      <w:r w:rsidRPr="008A7E3C">
        <w:rPr>
          <w:rFonts w:ascii="Arial" w:hAnsi="Arial" w:cs="Arial"/>
          <w:b/>
          <w:bCs/>
          <w:sz w:val="24"/>
          <w:szCs w:val="24"/>
        </w:rPr>
        <w:t xml:space="preserve"> ENGAGEMENT WITH THE HUMAN RIGHTS MECHANISMS</w:t>
      </w:r>
    </w:p>
    <w:p w14:paraId="3388A9DC" w14:textId="77777777" w:rsidR="008A7E3C" w:rsidRPr="00CE159B" w:rsidRDefault="008A7E3C" w:rsidP="008A7E3C">
      <w:pPr>
        <w:spacing w:line="360" w:lineRule="auto"/>
        <w:jc w:val="both"/>
        <w:rPr>
          <w:rFonts w:ascii="Arial" w:hAnsi="Arial" w:cs="Arial"/>
        </w:rPr>
      </w:pPr>
      <w:r w:rsidRPr="00CE159B">
        <w:rPr>
          <w:rFonts w:ascii="Arial" w:hAnsi="Arial" w:cs="Arial"/>
        </w:rPr>
        <w:t>South Africa continues to receive (without restrictions and impediments) the Special Procedures and Mechanisms of the Human Rights Council such as Special Rapporteurs wishing to visit the country in keeping with their various mandates (consistent with its standing invitation to all thematic Special Procedures of 22 October 2002). For instance, the South African Government received the following visits by the Special Procedures of the Commission of Human Rights/Human Rights Council:</w:t>
      </w:r>
    </w:p>
    <w:p w14:paraId="1CE92EAC" w14:textId="77777777" w:rsidR="008A7E3C" w:rsidRPr="00CE159B" w:rsidRDefault="008A7E3C" w:rsidP="008A7E3C">
      <w:pPr>
        <w:pStyle w:val="ListParagraph"/>
        <w:numPr>
          <w:ilvl w:val="0"/>
          <w:numId w:val="1"/>
        </w:numPr>
        <w:spacing w:line="360" w:lineRule="auto"/>
        <w:jc w:val="both"/>
        <w:rPr>
          <w:rFonts w:ascii="Arial" w:hAnsi="Arial" w:cs="Arial"/>
        </w:rPr>
      </w:pPr>
      <w:r w:rsidRPr="00CE159B">
        <w:rPr>
          <w:rFonts w:ascii="Arial" w:hAnsi="Arial" w:cs="Arial"/>
        </w:rPr>
        <w:t>the Special Rapporteur on violence against women, its causes and consequences (1996);</w:t>
      </w:r>
    </w:p>
    <w:p w14:paraId="38B0367B"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toxic wastes (1997);</w:t>
      </w:r>
    </w:p>
    <w:p w14:paraId="5B26D6C9"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Contemporary Forms of Racism, Racial Discrimination, Xenophobia and Related Intolerance (1998);</w:t>
      </w:r>
    </w:p>
    <w:p w14:paraId="7C0ACF82"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the sale of children, child prostitution and child pornography (2002);</w:t>
      </w:r>
    </w:p>
    <w:p w14:paraId="45C79D0C"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Working Group on Arbitrary Detention (2005);</w:t>
      </w:r>
    </w:p>
    <w:p w14:paraId="15E0A1B7"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the situation of human rights and fundamental freedoms of indigenous people (2005);</w:t>
      </w:r>
    </w:p>
    <w:p w14:paraId="65A8A07A"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the Right to adequate housing (2007);</w:t>
      </w:r>
    </w:p>
    <w:p w14:paraId="11214E9A"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the promotion and protection of human rights and fundamental freedoms while countering terrorism (2007);</w:t>
      </w:r>
    </w:p>
    <w:p w14:paraId="45D11B19"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of the African Commission on Human and Peoples Rights on Prisons and Conditions of Detention (2004);</w:t>
      </w:r>
    </w:p>
    <w:p w14:paraId="02096DEB"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Working Group on the use of mercenaries as a means of violating human rights and impeding the exercise of the right of peoples to self-determination (2010);</w:t>
      </w:r>
    </w:p>
    <w:p w14:paraId="3ECA900F"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the human rights of migrants (2011); and</w:t>
      </w:r>
    </w:p>
    <w:p w14:paraId="7C05786C"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Special Rapporteur on the right to food (2012);</w:t>
      </w:r>
    </w:p>
    <w:p w14:paraId="78E9CA6E" w14:textId="77777777" w:rsidR="008A7E3C"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the Confidential Inquiry Visit by the Committee on Elimination of Discrimination Against Women (CEDAW) from 09 to 20 September 2019 and</w:t>
      </w:r>
    </w:p>
    <w:p w14:paraId="3C07E043" w14:textId="0F972195" w:rsidR="008B2972" w:rsidRPr="00CE159B" w:rsidRDefault="008A7E3C" w:rsidP="008A7E3C">
      <w:pPr>
        <w:pStyle w:val="ListParagraph"/>
        <w:numPr>
          <w:ilvl w:val="0"/>
          <w:numId w:val="1"/>
        </w:numPr>
        <w:spacing w:line="360" w:lineRule="auto"/>
        <w:rPr>
          <w:rFonts w:ascii="Arial" w:hAnsi="Arial" w:cs="Arial"/>
        </w:rPr>
      </w:pPr>
      <w:r w:rsidRPr="00CE159B">
        <w:rPr>
          <w:rFonts w:ascii="Arial" w:hAnsi="Arial" w:cs="Arial"/>
        </w:rPr>
        <w:t xml:space="preserve">the UN Independent Expert on the enjoyment of human rights by persons with albinism Ms. </w:t>
      </w:r>
      <w:proofErr w:type="spellStart"/>
      <w:r w:rsidRPr="00CE159B">
        <w:rPr>
          <w:rFonts w:ascii="Arial" w:hAnsi="Arial" w:cs="Arial"/>
        </w:rPr>
        <w:t>Ikponwosa</w:t>
      </w:r>
      <w:proofErr w:type="spellEnd"/>
      <w:r w:rsidRPr="00CE159B">
        <w:rPr>
          <w:rFonts w:ascii="Arial" w:hAnsi="Arial" w:cs="Arial"/>
        </w:rPr>
        <w:t xml:space="preserve"> </w:t>
      </w:r>
      <w:proofErr w:type="spellStart"/>
      <w:r w:rsidRPr="00CE159B">
        <w:rPr>
          <w:rFonts w:ascii="Arial" w:hAnsi="Arial" w:cs="Arial"/>
        </w:rPr>
        <w:t>Ero</w:t>
      </w:r>
      <w:proofErr w:type="spellEnd"/>
      <w:r w:rsidRPr="00CE159B">
        <w:rPr>
          <w:rFonts w:ascii="Arial" w:hAnsi="Arial" w:cs="Arial"/>
        </w:rPr>
        <w:t xml:space="preserve"> from 16 to 26 September 2019.</w:t>
      </w:r>
    </w:p>
    <w:p w14:paraId="33F006DB" w14:textId="025AA32C" w:rsidR="00CD24B8" w:rsidRPr="00CE159B" w:rsidRDefault="00CD24B8" w:rsidP="008A7E3C">
      <w:pPr>
        <w:pStyle w:val="ListParagraph"/>
        <w:numPr>
          <w:ilvl w:val="0"/>
          <w:numId w:val="1"/>
        </w:numPr>
        <w:spacing w:line="360" w:lineRule="auto"/>
        <w:rPr>
          <w:rFonts w:ascii="Arial" w:hAnsi="Arial" w:cs="Arial"/>
        </w:rPr>
      </w:pPr>
      <w:r w:rsidRPr="00CE159B">
        <w:rPr>
          <w:rFonts w:ascii="Arial" w:hAnsi="Arial" w:cs="Arial"/>
        </w:rPr>
        <w:t>The African Commission</w:t>
      </w:r>
      <w:r w:rsidRPr="00CE159B">
        <w:t xml:space="preserve"> </w:t>
      </w:r>
      <w:r w:rsidRPr="00CE159B">
        <w:rPr>
          <w:rFonts w:ascii="Arial" w:hAnsi="Arial" w:cs="Arial"/>
        </w:rPr>
        <w:t xml:space="preserve">Joint Promotion Mission on the human rights situation in the Republic of South 2018. </w:t>
      </w:r>
    </w:p>
    <w:sectPr w:rsidR="00CD24B8" w:rsidRPr="00CE1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D3"/>
    <w:multiLevelType w:val="hybridMultilevel"/>
    <w:tmpl w:val="7578E2F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3C"/>
    <w:rsid w:val="004B332D"/>
    <w:rsid w:val="008A7E3C"/>
    <w:rsid w:val="008B2972"/>
    <w:rsid w:val="00907C91"/>
    <w:rsid w:val="00BE1688"/>
    <w:rsid w:val="00CD24B8"/>
    <w:rsid w:val="00CE159B"/>
    <w:rsid w:val="00EB5EA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72A8"/>
  <w15:chartTrackingRefBased/>
  <w15:docId w15:val="{28F6E205-4BCE-48A5-B3B2-11DF00A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3C"/>
    <w:pPr>
      <w:ind w:left="720"/>
      <w:contextualSpacing/>
    </w:pPr>
  </w:style>
  <w:style w:type="paragraph" w:styleId="BalloonText">
    <w:name w:val="Balloon Text"/>
    <w:basedOn w:val="Normal"/>
    <w:link w:val="BalloonTextChar"/>
    <w:uiPriority w:val="99"/>
    <w:semiHidden/>
    <w:unhideWhenUsed/>
    <w:rsid w:val="008A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1776</Characters>
  <Application>Microsoft Office Word</Application>
  <DocSecurity>4</DocSecurity>
  <Lines>444</Lines>
  <Paragraphs>135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 Malesela</dc:creator>
  <cp:keywords/>
  <dc:description/>
  <cp:lastModifiedBy>Sumiko</cp:lastModifiedBy>
  <cp:revision>2</cp:revision>
  <dcterms:created xsi:type="dcterms:W3CDTF">2022-08-23T14:12:00Z</dcterms:created>
  <dcterms:modified xsi:type="dcterms:W3CDTF">2022-08-23T14:12:00Z</dcterms:modified>
</cp:coreProperties>
</file>