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60845C2B" w:rsidR="00A02BFB" w:rsidRPr="00947CFF" w:rsidRDefault="005512BA" w:rsidP="005512BA">
      <w:pPr>
        <w:pStyle w:val="HChG"/>
      </w:pPr>
      <w:r>
        <w:tab/>
      </w:r>
      <w:r>
        <w:tab/>
      </w:r>
      <w:r w:rsidRPr="00947CFF">
        <w:t xml:space="preserve">Tables for UN </w:t>
      </w:r>
      <w:r w:rsidR="00A02BFB" w:rsidRPr="00947CFF">
        <w:t xml:space="preserve">Compilation on </w:t>
      </w:r>
      <w:r w:rsidR="00637F34">
        <w:t>t</w:t>
      </w:r>
      <w:r w:rsidR="00031946" w:rsidRPr="00947CFF">
        <w:t>he Philippines</w:t>
      </w:r>
    </w:p>
    <w:p w14:paraId="49F6625E" w14:textId="77777777" w:rsidR="00A02BFB" w:rsidRPr="00A02BFB" w:rsidRDefault="005512BA" w:rsidP="005512BA">
      <w:pPr>
        <w:pStyle w:val="HChG"/>
      </w:pPr>
      <w:r w:rsidRPr="00947CFF">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9C5335">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9C5335">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9C5335">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3212" w:type="dxa"/>
            <w:shd w:val="clear" w:color="auto" w:fill="auto"/>
          </w:tcPr>
          <w:p w14:paraId="407CF6B3" w14:textId="105CA05C" w:rsidR="009B3476" w:rsidRPr="00F54817" w:rsidRDefault="009B3476" w:rsidP="008B4D7D">
            <w:pPr>
              <w:spacing w:before="40" w:after="120"/>
              <w:ind w:right="113"/>
              <w:rPr>
                <w:lang w:val="fr-FR"/>
              </w:rPr>
            </w:pPr>
            <w:r w:rsidRPr="00F54817">
              <w:rPr>
                <w:lang w:val="fr-FR"/>
              </w:rPr>
              <w:t>ICERD (</w:t>
            </w:r>
            <w:r w:rsidR="00031946" w:rsidRPr="00F54817">
              <w:rPr>
                <w:lang w:val="fr-FR"/>
              </w:rPr>
              <w:t>1967</w:t>
            </w:r>
            <w:r w:rsidRPr="00F54817">
              <w:rPr>
                <w:lang w:val="fr-FR"/>
              </w:rPr>
              <w:t>)</w:t>
            </w:r>
          </w:p>
          <w:p w14:paraId="151113C9" w14:textId="282E016D" w:rsidR="009B3476" w:rsidRPr="00F54817" w:rsidRDefault="009B3476" w:rsidP="008B4D7D">
            <w:pPr>
              <w:spacing w:before="40" w:after="120"/>
              <w:ind w:right="113"/>
              <w:rPr>
                <w:lang w:val="fr-FR"/>
              </w:rPr>
            </w:pPr>
            <w:r w:rsidRPr="00F54817">
              <w:rPr>
                <w:lang w:val="fr-FR"/>
              </w:rPr>
              <w:t>ICESCR (</w:t>
            </w:r>
            <w:r w:rsidR="00031946" w:rsidRPr="00F54817">
              <w:rPr>
                <w:lang w:val="fr-FR"/>
              </w:rPr>
              <w:t>1974</w:t>
            </w:r>
            <w:r w:rsidRPr="00F54817">
              <w:rPr>
                <w:lang w:val="fr-FR"/>
              </w:rPr>
              <w:t>)</w:t>
            </w:r>
          </w:p>
          <w:p w14:paraId="4B30C8EE" w14:textId="0BB9D397" w:rsidR="009B3476" w:rsidRPr="00F54817" w:rsidRDefault="009B3476" w:rsidP="008B4D7D">
            <w:pPr>
              <w:spacing w:before="40" w:after="120"/>
              <w:ind w:right="113"/>
              <w:rPr>
                <w:lang w:val="fr-FR"/>
              </w:rPr>
            </w:pPr>
            <w:r w:rsidRPr="00F54817">
              <w:rPr>
                <w:lang w:val="fr-FR"/>
              </w:rPr>
              <w:t>ICCPR (</w:t>
            </w:r>
            <w:r w:rsidR="00031946" w:rsidRPr="00F54817">
              <w:rPr>
                <w:lang w:val="fr-FR"/>
              </w:rPr>
              <w:t>1986</w:t>
            </w:r>
            <w:r w:rsidRPr="00F54817">
              <w:rPr>
                <w:lang w:val="fr-FR"/>
              </w:rPr>
              <w:t>)</w:t>
            </w:r>
          </w:p>
          <w:p w14:paraId="2999342B" w14:textId="6C28EE24" w:rsidR="009B3476" w:rsidRPr="00F54817" w:rsidRDefault="009B3476" w:rsidP="008B4D7D">
            <w:pPr>
              <w:spacing w:before="40" w:after="120"/>
              <w:ind w:right="113"/>
              <w:rPr>
                <w:lang w:val="fr-FR"/>
              </w:rPr>
            </w:pPr>
            <w:r w:rsidRPr="00F54817">
              <w:rPr>
                <w:lang w:val="fr-FR"/>
              </w:rPr>
              <w:t>ICCPR-OP 2 (</w:t>
            </w:r>
            <w:r w:rsidR="003B4787" w:rsidRPr="00F54817">
              <w:rPr>
                <w:lang w:val="fr-FR"/>
              </w:rPr>
              <w:t>2007</w:t>
            </w:r>
            <w:r w:rsidRPr="00F54817">
              <w:rPr>
                <w:lang w:val="fr-FR"/>
              </w:rPr>
              <w:t>)</w:t>
            </w:r>
          </w:p>
          <w:p w14:paraId="75732A10" w14:textId="30C8D18F" w:rsidR="009B3476" w:rsidRPr="00A02BFB" w:rsidRDefault="009B3476" w:rsidP="008B4D7D">
            <w:pPr>
              <w:spacing w:before="40" w:after="120"/>
              <w:ind w:right="113"/>
            </w:pPr>
            <w:r w:rsidRPr="00A02BFB">
              <w:t>CEDAW (</w:t>
            </w:r>
            <w:r w:rsidR="00031946">
              <w:t>1981</w:t>
            </w:r>
            <w:r w:rsidRPr="00A02BFB">
              <w:t>)</w:t>
            </w:r>
          </w:p>
          <w:p w14:paraId="5E219CD9" w14:textId="041DE56E" w:rsidR="009B3476" w:rsidRPr="00A02BFB" w:rsidRDefault="009B3476" w:rsidP="008B4D7D">
            <w:pPr>
              <w:spacing w:before="40" w:after="120"/>
              <w:ind w:right="113"/>
            </w:pPr>
            <w:r w:rsidRPr="00A02BFB">
              <w:t>CAT (</w:t>
            </w:r>
            <w:r w:rsidR="00B46A2E">
              <w:t>1986</w:t>
            </w:r>
            <w:r w:rsidRPr="00A02BFB">
              <w:t>)</w:t>
            </w:r>
          </w:p>
          <w:p w14:paraId="4A8B268B" w14:textId="65BE1C81" w:rsidR="009B3476" w:rsidRPr="00A02BFB" w:rsidRDefault="009B3476" w:rsidP="008B4D7D">
            <w:pPr>
              <w:spacing w:before="40" w:after="120"/>
              <w:ind w:right="113"/>
            </w:pPr>
            <w:r w:rsidRPr="00A02BFB">
              <w:t>OP-CAT (</w:t>
            </w:r>
            <w:r w:rsidR="00420F46">
              <w:t>2012</w:t>
            </w:r>
            <w:r w:rsidRPr="00A02BFB">
              <w:t>)</w:t>
            </w:r>
          </w:p>
          <w:p w14:paraId="57528A0C" w14:textId="5542478A" w:rsidR="009B3476" w:rsidRPr="00A02BFB" w:rsidRDefault="009B3476" w:rsidP="008B4D7D">
            <w:pPr>
              <w:spacing w:before="40" w:after="120"/>
              <w:ind w:right="113"/>
            </w:pPr>
            <w:r w:rsidRPr="00A02BFB">
              <w:t>CRC (</w:t>
            </w:r>
            <w:r w:rsidR="00555342">
              <w:t>1990</w:t>
            </w:r>
            <w:r w:rsidRPr="00A02BFB">
              <w:t>)</w:t>
            </w:r>
          </w:p>
          <w:p w14:paraId="1486C940" w14:textId="2416CD7E" w:rsidR="009B3476" w:rsidRPr="00A02BFB" w:rsidRDefault="009B3476" w:rsidP="008B4D7D">
            <w:pPr>
              <w:spacing w:before="40" w:after="120"/>
              <w:ind w:right="113"/>
            </w:pPr>
            <w:r w:rsidRPr="00A02BFB">
              <w:t>OP-CRC-AC (</w:t>
            </w:r>
            <w:r w:rsidR="00555342">
              <w:t>2003</w:t>
            </w:r>
            <w:r w:rsidRPr="00A02BFB">
              <w:t>)</w:t>
            </w:r>
          </w:p>
          <w:p w14:paraId="11E35C64" w14:textId="15501C17" w:rsidR="009B3476" w:rsidRPr="00A02BFB" w:rsidRDefault="009B3476" w:rsidP="008B4D7D">
            <w:pPr>
              <w:spacing w:before="40" w:after="120"/>
              <w:ind w:right="113"/>
            </w:pPr>
            <w:r w:rsidRPr="00A02BFB">
              <w:t>OP-CRC-SC (</w:t>
            </w:r>
            <w:r w:rsidR="00555342">
              <w:t>2002</w:t>
            </w:r>
            <w:r w:rsidRPr="00A02BFB">
              <w:t>)</w:t>
            </w:r>
          </w:p>
          <w:p w14:paraId="5A5C2E63" w14:textId="6CE7F08E" w:rsidR="009B3476" w:rsidRPr="00A02BFB" w:rsidRDefault="009B3476" w:rsidP="008B4D7D">
            <w:pPr>
              <w:spacing w:before="40" w:after="120"/>
              <w:ind w:right="113"/>
            </w:pPr>
            <w:r w:rsidRPr="00A02BFB">
              <w:t>ICRMW (</w:t>
            </w:r>
            <w:r w:rsidR="003B4787">
              <w:t>1995</w:t>
            </w:r>
            <w:r w:rsidRPr="00A02BFB">
              <w:t>)</w:t>
            </w:r>
          </w:p>
          <w:p w14:paraId="61960C80" w14:textId="760BA89D" w:rsidR="009B3476" w:rsidRPr="00A02BFB" w:rsidRDefault="009B3476" w:rsidP="001479AD">
            <w:pPr>
              <w:spacing w:before="40" w:after="120"/>
              <w:ind w:right="113"/>
            </w:pPr>
            <w:r w:rsidRPr="00A02BFB">
              <w:t>CRPD (</w:t>
            </w:r>
            <w:r w:rsidR="00DF18EB">
              <w:t>2008</w:t>
            </w:r>
            <w:r w:rsidRPr="00A02BFB">
              <w:t>)</w:t>
            </w:r>
          </w:p>
        </w:tc>
        <w:tc>
          <w:tcPr>
            <w:tcW w:w="3213" w:type="dxa"/>
            <w:shd w:val="clear" w:color="auto" w:fill="auto"/>
          </w:tcPr>
          <w:p w14:paraId="11478764" w14:textId="750E8C7E" w:rsidR="009B3476" w:rsidRPr="00A02BFB" w:rsidRDefault="001479AD" w:rsidP="008B4D7D">
            <w:pPr>
              <w:spacing w:before="40" w:after="120"/>
              <w:ind w:right="113"/>
            </w:pPr>
            <w:r w:rsidRPr="00A02BFB">
              <w:t>ICPPED</w:t>
            </w:r>
          </w:p>
        </w:tc>
      </w:tr>
      <w:tr w:rsidR="009B3476" w:rsidRPr="00A02BFB" w14:paraId="54551BAC" w14:textId="77777777" w:rsidTr="009C5335">
        <w:tc>
          <w:tcPr>
            <w:tcW w:w="3212" w:type="dxa"/>
            <w:tcBorders>
              <w:bottom w:val="single" w:sz="12" w:space="0" w:color="auto"/>
            </w:tcBorders>
            <w:shd w:val="clear" w:color="auto" w:fill="auto"/>
          </w:tcPr>
          <w:p w14:paraId="2B8945AB" w14:textId="73929CDC" w:rsidR="009B3476" w:rsidRPr="00A02BFB" w:rsidRDefault="009B3476" w:rsidP="008B4D7D">
            <w:pPr>
              <w:spacing w:before="40" w:after="120"/>
              <w:ind w:right="113"/>
            </w:pPr>
            <w:proofErr w:type="gramStart"/>
            <w:r w:rsidRPr="008B4D7D">
              <w:rPr>
                <w:i/>
              </w:rPr>
              <w:t>Complaints</w:t>
            </w:r>
            <w:proofErr w:type="gramEnd"/>
            <w:r w:rsidRPr="008B4D7D">
              <w:rPr>
                <w:i/>
              </w:rPr>
              <w:t xml:space="preserve"> procedures, inquiries </w:t>
            </w:r>
            <w:r w:rsidR="00362256">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270A3556" w14:textId="64061EF4" w:rsidR="009B3476" w:rsidRPr="00A02BFB" w:rsidRDefault="009B3476" w:rsidP="008B4D7D">
            <w:pPr>
              <w:spacing w:before="40" w:after="120"/>
              <w:ind w:right="113"/>
            </w:pPr>
            <w:r w:rsidRPr="00A02BFB">
              <w:t>ICCPR, art. 41 (</w:t>
            </w:r>
            <w:r w:rsidR="00031946">
              <w:t>1986</w:t>
            </w:r>
            <w:r w:rsidRPr="00A02BFB">
              <w:t>)</w:t>
            </w:r>
          </w:p>
          <w:p w14:paraId="4DACE0DC" w14:textId="15277B8A" w:rsidR="009B3476" w:rsidRPr="00A02BFB" w:rsidRDefault="009B3476" w:rsidP="008B4D7D">
            <w:pPr>
              <w:spacing w:before="40" w:after="120"/>
              <w:ind w:right="113"/>
            </w:pPr>
            <w:r w:rsidRPr="00A02BFB">
              <w:t>ICCPR-OP 1 (</w:t>
            </w:r>
            <w:r w:rsidR="00031946">
              <w:t>1989</w:t>
            </w:r>
            <w:r w:rsidRPr="00A02BFB">
              <w:t>)</w:t>
            </w:r>
          </w:p>
          <w:p w14:paraId="7C3B2FBC" w14:textId="34B189FA" w:rsidR="009B3476" w:rsidRPr="00A02BFB" w:rsidRDefault="009B3476" w:rsidP="008B4D7D">
            <w:pPr>
              <w:spacing w:before="40" w:after="120"/>
              <w:ind w:right="113"/>
            </w:pPr>
            <w:r w:rsidRPr="00A02BFB">
              <w:t>OP-CEDAW, art. 8 (</w:t>
            </w:r>
            <w:r w:rsidR="00031946">
              <w:t>2003</w:t>
            </w:r>
            <w:r w:rsidRPr="00A02BFB">
              <w:t>)</w:t>
            </w:r>
          </w:p>
          <w:p w14:paraId="0EC17C44" w14:textId="4F35CF8E" w:rsidR="009B3476" w:rsidRPr="00A02BFB" w:rsidRDefault="00B46A2E" w:rsidP="001479AD">
            <w:pPr>
              <w:spacing w:before="40" w:after="120"/>
              <w:ind w:right="113"/>
            </w:pPr>
            <w:r>
              <w:t>CAT, art</w:t>
            </w:r>
            <w:r w:rsidR="009B3476" w:rsidRPr="00A02BFB">
              <w:t>. 20 (</w:t>
            </w:r>
            <w:r>
              <w:t>1986</w:t>
            </w:r>
            <w:r w:rsidR="009B3476" w:rsidRPr="00A02BFB">
              <w:t>)</w:t>
            </w:r>
          </w:p>
        </w:tc>
        <w:tc>
          <w:tcPr>
            <w:tcW w:w="3213" w:type="dxa"/>
            <w:tcBorders>
              <w:bottom w:val="single" w:sz="12" w:space="0" w:color="auto"/>
            </w:tcBorders>
            <w:shd w:val="clear" w:color="auto" w:fill="auto"/>
          </w:tcPr>
          <w:p w14:paraId="7471F717" w14:textId="77777777" w:rsidR="009B3476" w:rsidRDefault="00031946" w:rsidP="008B4D7D">
            <w:pPr>
              <w:spacing w:before="40" w:after="120"/>
              <w:ind w:right="113"/>
            </w:pPr>
            <w:r w:rsidRPr="00A02BFB">
              <w:t>ICERD, art. 14</w:t>
            </w:r>
          </w:p>
          <w:p w14:paraId="1A68DC4B" w14:textId="77777777" w:rsidR="00031946" w:rsidRDefault="00031946" w:rsidP="008B4D7D">
            <w:pPr>
              <w:spacing w:before="40" w:after="120"/>
              <w:ind w:right="113"/>
            </w:pPr>
            <w:r w:rsidRPr="00A02BFB">
              <w:t>OP-ICESCR</w:t>
            </w:r>
          </w:p>
          <w:p w14:paraId="677B9774" w14:textId="77777777" w:rsidR="00B46A2E" w:rsidRDefault="00B46A2E" w:rsidP="008B4D7D">
            <w:pPr>
              <w:spacing w:before="40" w:after="120"/>
              <w:ind w:right="113"/>
            </w:pPr>
            <w:r>
              <w:t xml:space="preserve">CAT, arts. </w:t>
            </w:r>
            <w:r w:rsidRPr="00A02BFB">
              <w:t>21 and 22</w:t>
            </w:r>
          </w:p>
          <w:p w14:paraId="6328B7C9" w14:textId="77777777" w:rsidR="003B4787" w:rsidRDefault="003B4787" w:rsidP="008B4D7D">
            <w:pPr>
              <w:spacing w:before="40" w:after="120"/>
              <w:ind w:right="113"/>
            </w:pPr>
            <w:r w:rsidRPr="00A02BFB">
              <w:t>OP-CRC-IC</w:t>
            </w:r>
          </w:p>
          <w:p w14:paraId="068A5367" w14:textId="77777777" w:rsidR="003B4787" w:rsidRDefault="003B4787" w:rsidP="008B4D7D">
            <w:pPr>
              <w:spacing w:before="40" w:after="120"/>
              <w:ind w:right="113"/>
            </w:pPr>
            <w:r w:rsidRPr="00A02BFB">
              <w:t>ICRMW, arts. 76 and 77</w:t>
            </w:r>
          </w:p>
          <w:p w14:paraId="10B47BA0" w14:textId="77777777" w:rsidR="001479AD" w:rsidRDefault="001479AD" w:rsidP="008B4D7D">
            <w:pPr>
              <w:spacing w:before="40" w:after="120"/>
              <w:ind w:right="113"/>
            </w:pPr>
            <w:r w:rsidRPr="00A02BFB">
              <w:t>OP-CRPD</w:t>
            </w:r>
          </w:p>
          <w:p w14:paraId="49657562" w14:textId="76F77001" w:rsidR="001479AD" w:rsidRPr="003B4787" w:rsidRDefault="001479AD" w:rsidP="008B4D7D">
            <w:pPr>
              <w:spacing w:before="40" w:after="120"/>
              <w:ind w:right="113"/>
              <w:rPr>
                <w:b/>
              </w:rPr>
            </w:pPr>
            <w:r w:rsidRPr="00A02BFB">
              <w:t>ICPPED</w:t>
            </w:r>
          </w:p>
        </w:tc>
      </w:tr>
    </w:tbl>
    <w:p w14:paraId="2D1BE482" w14:textId="69A994C6" w:rsidR="002C3520" w:rsidRDefault="002C3520" w:rsidP="007E3094">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9C5335" w:rsidRPr="009C5335" w14:paraId="626C3DD5" w14:textId="77777777" w:rsidTr="002E114D">
        <w:trPr>
          <w:cantSplit/>
        </w:trPr>
        <w:tc>
          <w:tcPr>
            <w:tcW w:w="4818" w:type="dxa"/>
            <w:tcBorders>
              <w:top w:val="single" w:sz="4" w:space="0" w:color="auto"/>
              <w:bottom w:val="single" w:sz="12" w:space="0" w:color="auto"/>
            </w:tcBorders>
            <w:shd w:val="clear" w:color="auto" w:fill="auto"/>
          </w:tcPr>
          <w:p w14:paraId="799A55E7" w14:textId="7C069305" w:rsidR="009C5335" w:rsidRPr="009C5335" w:rsidRDefault="009C5335" w:rsidP="009C5335">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30DE7CF3" w14:textId="23432D77" w:rsidR="009C5335" w:rsidRPr="009C5335" w:rsidRDefault="009C5335" w:rsidP="009C5335">
            <w:pPr>
              <w:spacing w:before="80" w:after="80" w:line="200" w:lineRule="exact"/>
              <w:ind w:right="113"/>
              <w:rPr>
                <w:i/>
                <w:sz w:val="16"/>
              </w:rPr>
            </w:pPr>
            <w:r>
              <w:rPr>
                <w:i/>
                <w:sz w:val="16"/>
              </w:rPr>
              <w:t xml:space="preserve">Current Status </w:t>
            </w:r>
          </w:p>
        </w:tc>
      </w:tr>
      <w:tr w:rsidR="009C5335" w:rsidRPr="009C5335" w14:paraId="3C1D2612" w14:textId="77777777" w:rsidTr="009C5335">
        <w:trPr>
          <w:trHeight w:hRule="exact" w:val="113"/>
        </w:trPr>
        <w:tc>
          <w:tcPr>
            <w:tcW w:w="4818" w:type="dxa"/>
            <w:tcBorders>
              <w:top w:val="single" w:sz="12" w:space="0" w:color="auto"/>
            </w:tcBorders>
            <w:shd w:val="clear" w:color="auto" w:fill="auto"/>
            <w:vAlign w:val="bottom"/>
          </w:tcPr>
          <w:p w14:paraId="0FF31F7B" w14:textId="77777777" w:rsidR="009C5335" w:rsidRPr="009C5335" w:rsidRDefault="009C5335" w:rsidP="009C5335">
            <w:pPr>
              <w:spacing w:before="80" w:after="80" w:line="200" w:lineRule="exact"/>
              <w:ind w:right="113"/>
              <w:rPr>
                <w:i/>
                <w:sz w:val="16"/>
              </w:rPr>
            </w:pPr>
          </w:p>
        </w:tc>
        <w:tc>
          <w:tcPr>
            <w:tcW w:w="4819" w:type="dxa"/>
            <w:tcBorders>
              <w:top w:val="single" w:sz="12" w:space="0" w:color="auto"/>
            </w:tcBorders>
            <w:shd w:val="clear" w:color="auto" w:fill="auto"/>
            <w:vAlign w:val="bottom"/>
          </w:tcPr>
          <w:p w14:paraId="7D0B7890" w14:textId="77777777" w:rsidR="009C5335" w:rsidRPr="009C5335" w:rsidRDefault="009C5335" w:rsidP="009C5335">
            <w:pPr>
              <w:spacing w:before="80" w:after="80" w:line="200" w:lineRule="exact"/>
              <w:ind w:right="113"/>
              <w:rPr>
                <w:i/>
                <w:sz w:val="16"/>
              </w:rPr>
            </w:pPr>
          </w:p>
        </w:tc>
      </w:tr>
      <w:tr w:rsidR="009C5335" w:rsidRPr="009C5335" w14:paraId="2CDFCACA" w14:textId="77777777" w:rsidTr="009C5335">
        <w:tc>
          <w:tcPr>
            <w:tcW w:w="4818" w:type="dxa"/>
            <w:shd w:val="clear" w:color="auto" w:fill="auto"/>
          </w:tcPr>
          <w:p w14:paraId="6D8D0020" w14:textId="77777777" w:rsidR="009C5335" w:rsidRPr="009C5335" w:rsidRDefault="009C5335" w:rsidP="009C5335">
            <w:pPr>
              <w:spacing w:before="40" w:after="120"/>
              <w:ind w:right="113"/>
            </w:pPr>
          </w:p>
        </w:tc>
        <w:tc>
          <w:tcPr>
            <w:tcW w:w="4819" w:type="dxa"/>
            <w:shd w:val="clear" w:color="auto" w:fill="auto"/>
          </w:tcPr>
          <w:p w14:paraId="554AAD1B" w14:textId="2A5D6E1E" w:rsidR="009C5335" w:rsidRPr="009C5335" w:rsidRDefault="009C5335" w:rsidP="009C5335">
            <w:pPr>
              <w:spacing w:before="40" w:after="120"/>
              <w:ind w:right="113"/>
            </w:pPr>
            <w:r w:rsidRPr="00A02BFB">
              <w:t>OP-CAT (</w:t>
            </w:r>
            <w:r>
              <w:t>Declaration, art. 11(1)(a), 2012</w:t>
            </w:r>
            <w:r w:rsidRPr="00A02BFB">
              <w:t>)</w:t>
            </w:r>
          </w:p>
        </w:tc>
      </w:tr>
      <w:tr w:rsidR="009C5335" w:rsidRPr="009C5335" w14:paraId="049A65B2" w14:textId="77777777" w:rsidTr="009C5335">
        <w:tc>
          <w:tcPr>
            <w:tcW w:w="4818" w:type="dxa"/>
            <w:tcBorders>
              <w:bottom w:val="single" w:sz="12" w:space="0" w:color="auto"/>
            </w:tcBorders>
            <w:shd w:val="clear" w:color="auto" w:fill="auto"/>
          </w:tcPr>
          <w:p w14:paraId="20736307" w14:textId="77777777" w:rsidR="009C5335" w:rsidRPr="009C5335" w:rsidRDefault="009C5335" w:rsidP="009C5335">
            <w:pPr>
              <w:spacing w:before="40" w:after="120"/>
              <w:ind w:right="113"/>
            </w:pPr>
          </w:p>
        </w:tc>
        <w:tc>
          <w:tcPr>
            <w:tcW w:w="4819" w:type="dxa"/>
            <w:tcBorders>
              <w:bottom w:val="single" w:sz="12" w:space="0" w:color="auto"/>
            </w:tcBorders>
            <w:shd w:val="clear" w:color="auto" w:fill="auto"/>
          </w:tcPr>
          <w:p w14:paraId="05AACD80" w14:textId="645AEC53" w:rsidR="009C5335" w:rsidRPr="009C5335" w:rsidRDefault="009C5335" w:rsidP="009C5335">
            <w:pPr>
              <w:spacing w:before="40" w:after="120"/>
              <w:ind w:right="113"/>
            </w:pPr>
            <w:r w:rsidRPr="00031AC4">
              <w:t>OP-CRC-AC (Declaration, art.</w:t>
            </w:r>
            <w:r>
              <w:t xml:space="preserve"> </w:t>
            </w:r>
            <w:r w:rsidRPr="00031AC4">
              <w:t>3</w:t>
            </w:r>
            <w:r>
              <w:t>(</w:t>
            </w:r>
            <w:r w:rsidRPr="00031AC4">
              <w:t>2</w:t>
            </w:r>
            <w:r>
              <w:t>)</w:t>
            </w:r>
            <w:r w:rsidRPr="00031AC4">
              <w:t xml:space="preserve">, minimum age of </w:t>
            </w:r>
            <w:r w:rsidR="00755B00">
              <w:t xml:space="preserve">voluntary </w:t>
            </w:r>
            <w:r>
              <w:t xml:space="preserve">military </w:t>
            </w:r>
            <w:r w:rsidRPr="00031AC4">
              <w:t>recruitment</w:t>
            </w:r>
            <w:r>
              <w:t xml:space="preserve"> at</w:t>
            </w:r>
            <w:r w:rsidRPr="00031AC4">
              <w:t xml:space="preserve"> 1</w:t>
            </w:r>
            <w:r>
              <w:t>8</w:t>
            </w:r>
            <w:r w:rsidRPr="00031AC4">
              <w:t xml:space="preserve"> years, </w:t>
            </w:r>
            <w:r>
              <w:t>2003</w:t>
            </w:r>
            <w:r w:rsidRPr="00031AC4">
              <w:t>)</w:t>
            </w:r>
          </w:p>
        </w:tc>
      </w:tr>
    </w:tbl>
    <w:p w14:paraId="1F353718" w14:textId="221A1AFB" w:rsidR="00A02BFB" w:rsidRPr="009C5335" w:rsidRDefault="00A02BFB" w:rsidP="009C5335">
      <w:pPr>
        <w:pStyle w:val="H1G"/>
      </w:pPr>
      <w:r w:rsidRPr="009C5335">
        <w:lastRenderedPageBreak/>
        <w:t>B.</w:t>
      </w:r>
      <w:r w:rsidRPr="009C5335">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C70B3E" w:rsidRPr="00E21F57" w14:paraId="2E9D4C73" w14:textId="77777777" w:rsidTr="00C70B3E">
        <w:trPr>
          <w:tblHeader/>
        </w:trPr>
        <w:tc>
          <w:tcPr>
            <w:tcW w:w="3212" w:type="dxa"/>
            <w:tcBorders>
              <w:top w:val="single" w:sz="4" w:space="0" w:color="auto"/>
              <w:bottom w:val="single" w:sz="12" w:space="0" w:color="auto"/>
            </w:tcBorders>
            <w:shd w:val="clear" w:color="auto" w:fill="auto"/>
            <w:vAlign w:val="bottom"/>
          </w:tcPr>
          <w:p w14:paraId="578F5940" w14:textId="77777777" w:rsidR="00C70B3E" w:rsidRPr="00E21F57" w:rsidRDefault="00C70B3E" w:rsidP="00E21F57">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315FDBAB" w14:textId="1EF3D940" w:rsidR="00C70B3E" w:rsidRPr="00E21F57" w:rsidRDefault="00C70B3E" w:rsidP="00E21F57">
            <w:pPr>
              <w:spacing w:before="80" w:after="80" w:line="200" w:lineRule="exact"/>
              <w:ind w:right="113"/>
              <w:rPr>
                <w:i/>
                <w:sz w:val="16"/>
              </w:rPr>
            </w:pPr>
            <w:r w:rsidRPr="00E21F57">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C70B3E" w:rsidRPr="00E21F57" w:rsidRDefault="00C70B3E" w:rsidP="00E21F57">
            <w:pPr>
              <w:spacing w:before="80" w:after="80" w:line="200" w:lineRule="exact"/>
              <w:ind w:right="113"/>
              <w:rPr>
                <w:i/>
                <w:sz w:val="16"/>
              </w:rPr>
            </w:pPr>
            <w:r w:rsidRPr="00E21F57">
              <w:rPr>
                <w:i/>
                <w:sz w:val="16"/>
              </w:rPr>
              <w:t>Not ratified</w:t>
            </w:r>
          </w:p>
        </w:tc>
      </w:tr>
      <w:tr w:rsidR="00C70B3E" w:rsidRPr="00E21F57" w14:paraId="0FCC6439" w14:textId="77777777" w:rsidTr="00C70B3E">
        <w:trPr>
          <w:trHeight w:hRule="exact" w:val="113"/>
        </w:trPr>
        <w:tc>
          <w:tcPr>
            <w:tcW w:w="3212" w:type="dxa"/>
            <w:tcBorders>
              <w:top w:val="single" w:sz="12" w:space="0" w:color="auto"/>
            </w:tcBorders>
            <w:shd w:val="clear" w:color="auto" w:fill="auto"/>
          </w:tcPr>
          <w:p w14:paraId="61799A49" w14:textId="77777777" w:rsidR="00C70B3E" w:rsidRPr="00E21F57" w:rsidRDefault="00C70B3E" w:rsidP="00E21F57">
            <w:pPr>
              <w:spacing w:before="40" w:after="120"/>
              <w:ind w:right="113"/>
            </w:pPr>
          </w:p>
        </w:tc>
        <w:tc>
          <w:tcPr>
            <w:tcW w:w="3212" w:type="dxa"/>
            <w:tcBorders>
              <w:top w:val="single" w:sz="12" w:space="0" w:color="auto"/>
            </w:tcBorders>
            <w:shd w:val="clear" w:color="auto" w:fill="auto"/>
          </w:tcPr>
          <w:p w14:paraId="1120D803" w14:textId="77777777" w:rsidR="00C70B3E" w:rsidRPr="00E21F57" w:rsidRDefault="00C70B3E" w:rsidP="00E21F57">
            <w:pPr>
              <w:spacing w:before="40" w:after="120"/>
              <w:ind w:right="113"/>
            </w:pPr>
          </w:p>
        </w:tc>
        <w:tc>
          <w:tcPr>
            <w:tcW w:w="3213" w:type="dxa"/>
            <w:tcBorders>
              <w:top w:val="single" w:sz="12" w:space="0" w:color="auto"/>
            </w:tcBorders>
            <w:shd w:val="clear" w:color="auto" w:fill="auto"/>
          </w:tcPr>
          <w:p w14:paraId="3BBAFEC3" w14:textId="77777777" w:rsidR="00C70B3E" w:rsidRPr="00E21F57" w:rsidRDefault="00C70B3E" w:rsidP="00E21F57">
            <w:pPr>
              <w:spacing w:before="40" w:after="120"/>
              <w:ind w:right="113"/>
            </w:pPr>
          </w:p>
        </w:tc>
      </w:tr>
      <w:tr w:rsidR="00C70B3E" w:rsidRPr="00E21F57" w14:paraId="72D9CAF4" w14:textId="77777777" w:rsidTr="00C70B3E">
        <w:tc>
          <w:tcPr>
            <w:tcW w:w="3212" w:type="dxa"/>
            <w:shd w:val="clear" w:color="auto" w:fill="auto"/>
          </w:tcPr>
          <w:p w14:paraId="3202BED3" w14:textId="77777777" w:rsidR="00C70B3E" w:rsidRPr="00E21F57" w:rsidRDefault="00C70B3E" w:rsidP="00E21F57">
            <w:pPr>
              <w:spacing w:before="40" w:after="120"/>
              <w:ind w:right="113"/>
              <w:rPr>
                <w:i/>
              </w:rPr>
            </w:pPr>
            <w:r w:rsidRPr="00E21F57">
              <w:rPr>
                <w:i/>
              </w:rPr>
              <w:t xml:space="preserve">Ratification, </w:t>
            </w:r>
            <w:proofErr w:type="gramStart"/>
            <w:r w:rsidRPr="00E21F57">
              <w:rPr>
                <w:i/>
              </w:rPr>
              <w:t>accession</w:t>
            </w:r>
            <w:proofErr w:type="gramEnd"/>
            <w:r w:rsidRPr="00E21F57">
              <w:rPr>
                <w:i/>
              </w:rPr>
              <w:t xml:space="preserve"> or succession</w:t>
            </w:r>
          </w:p>
        </w:tc>
        <w:tc>
          <w:tcPr>
            <w:tcW w:w="3212" w:type="dxa"/>
            <w:shd w:val="clear" w:color="auto" w:fill="auto"/>
          </w:tcPr>
          <w:p w14:paraId="2E5F810A" w14:textId="77777777" w:rsidR="00C70B3E" w:rsidRPr="00E21F57" w:rsidRDefault="00C70B3E" w:rsidP="00E21F57">
            <w:pPr>
              <w:spacing w:before="40" w:after="120"/>
              <w:ind w:right="113"/>
              <w:rPr>
                <w:highlight w:val="yellow"/>
              </w:rPr>
            </w:pPr>
            <w:r w:rsidRPr="00E21F57">
              <w:t>Convention on the Prevention and Punishment of the Crime of Genocide</w:t>
            </w:r>
          </w:p>
        </w:tc>
        <w:tc>
          <w:tcPr>
            <w:tcW w:w="3213" w:type="dxa"/>
            <w:shd w:val="clear" w:color="auto" w:fill="auto"/>
          </w:tcPr>
          <w:p w14:paraId="3A8DF416" w14:textId="77777777" w:rsidR="00C70B3E" w:rsidRPr="00E21F57" w:rsidRDefault="00C70B3E" w:rsidP="00E21F57">
            <w:pPr>
              <w:spacing w:before="40" w:after="120"/>
              <w:ind w:right="113"/>
            </w:pPr>
          </w:p>
        </w:tc>
      </w:tr>
      <w:tr w:rsidR="00C70B3E" w:rsidRPr="00E21F57" w14:paraId="26448E00" w14:textId="77777777" w:rsidTr="00C70B3E">
        <w:tc>
          <w:tcPr>
            <w:tcW w:w="3212" w:type="dxa"/>
            <w:shd w:val="clear" w:color="auto" w:fill="auto"/>
          </w:tcPr>
          <w:p w14:paraId="284BE01D" w14:textId="77777777" w:rsidR="00C70B3E" w:rsidRPr="00E21F57" w:rsidRDefault="00C70B3E" w:rsidP="00E21F57">
            <w:pPr>
              <w:spacing w:before="40" w:after="120"/>
              <w:ind w:right="113"/>
            </w:pPr>
          </w:p>
        </w:tc>
        <w:tc>
          <w:tcPr>
            <w:tcW w:w="3212" w:type="dxa"/>
            <w:shd w:val="clear" w:color="auto" w:fill="auto"/>
          </w:tcPr>
          <w:p w14:paraId="01E17A8D" w14:textId="2629CE1A" w:rsidR="00C70B3E" w:rsidRPr="00E21F57" w:rsidRDefault="00C70B3E" w:rsidP="00E21F57">
            <w:pPr>
              <w:spacing w:before="40" w:after="120"/>
              <w:ind w:right="113"/>
              <w:rPr>
                <w:highlight w:val="yellow"/>
              </w:rPr>
            </w:pPr>
            <w:r w:rsidRPr="00E21F57">
              <w:t xml:space="preserve">Geneva Conventions </w:t>
            </w:r>
            <w:r w:rsidR="008B18B7">
              <w:br/>
            </w:r>
            <w:r w:rsidRPr="00E21F57">
              <w:t xml:space="preserve">of 12 August 1949 and </w:t>
            </w:r>
            <w:r w:rsidR="009841C7">
              <w:br/>
            </w:r>
            <w:r w:rsidRPr="00E21F57">
              <w:t>Additional Protocols thereto</w:t>
            </w:r>
            <w:r w:rsidRPr="00E21F57">
              <w:rPr>
                <w:rStyle w:val="EndnoteReference"/>
                <w:sz w:val="20"/>
              </w:rPr>
              <w:endnoteReference w:id="5"/>
            </w:r>
          </w:p>
        </w:tc>
        <w:tc>
          <w:tcPr>
            <w:tcW w:w="3213" w:type="dxa"/>
            <w:shd w:val="clear" w:color="auto" w:fill="auto"/>
          </w:tcPr>
          <w:p w14:paraId="7329D104" w14:textId="77777777" w:rsidR="00C70B3E" w:rsidRPr="00E21F57" w:rsidRDefault="00C70B3E" w:rsidP="00E21F57">
            <w:pPr>
              <w:spacing w:before="40" w:after="120"/>
              <w:ind w:right="113"/>
            </w:pPr>
          </w:p>
        </w:tc>
      </w:tr>
      <w:tr w:rsidR="00C70B3E" w:rsidRPr="00E21F57" w14:paraId="6AA3F439" w14:textId="77777777" w:rsidTr="00C70B3E">
        <w:tc>
          <w:tcPr>
            <w:tcW w:w="3212" w:type="dxa"/>
            <w:shd w:val="clear" w:color="auto" w:fill="auto"/>
          </w:tcPr>
          <w:p w14:paraId="64DAE8A7" w14:textId="77777777" w:rsidR="00C70B3E" w:rsidRPr="00E21F57" w:rsidRDefault="00C70B3E" w:rsidP="00E21F57">
            <w:pPr>
              <w:spacing w:before="40" w:after="120"/>
              <w:ind w:right="113"/>
            </w:pPr>
          </w:p>
        </w:tc>
        <w:tc>
          <w:tcPr>
            <w:tcW w:w="3212" w:type="dxa"/>
            <w:shd w:val="clear" w:color="auto" w:fill="auto"/>
          </w:tcPr>
          <w:p w14:paraId="3D1C3399" w14:textId="2CD48926" w:rsidR="00C70B3E" w:rsidRPr="00E21F57" w:rsidRDefault="00C70B3E" w:rsidP="00E21F57">
            <w:pPr>
              <w:spacing w:before="40" w:after="120"/>
              <w:ind w:right="113"/>
            </w:pPr>
            <w:r w:rsidRPr="00E21F57">
              <w:t xml:space="preserve">Conventions on refugees and </w:t>
            </w:r>
            <w:r w:rsidR="009841C7">
              <w:br/>
            </w:r>
            <w:r w:rsidRPr="00E21F57">
              <w:t>stateless persons</w:t>
            </w:r>
            <w:r w:rsidRPr="00E21F57">
              <w:rPr>
                <w:rStyle w:val="EndnoteReference"/>
                <w:sz w:val="20"/>
              </w:rPr>
              <w:endnoteReference w:id="6"/>
            </w:r>
          </w:p>
        </w:tc>
        <w:tc>
          <w:tcPr>
            <w:tcW w:w="3213" w:type="dxa"/>
            <w:shd w:val="clear" w:color="auto" w:fill="auto"/>
          </w:tcPr>
          <w:p w14:paraId="1E8B8CC4" w14:textId="77777777" w:rsidR="00C70B3E" w:rsidRPr="00E21F57" w:rsidRDefault="00C70B3E" w:rsidP="00E21F57">
            <w:pPr>
              <w:spacing w:before="40" w:after="120"/>
              <w:ind w:right="113"/>
            </w:pPr>
          </w:p>
        </w:tc>
      </w:tr>
      <w:tr w:rsidR="00C70B3E" w:rsidRPr="00E21F57" w14:paraId="5040CAE8" w14:textId="77777777" w:rsidTr="00C70B3E">
        <w:tc>
          <w:tcPr>
            <w:tcW w:w="3212" w:type="dxa"/>
            <w:shd w:val="clear" w:color="auto" w:fill="auto"/>
          </w:tcPr>
          <w:p w14:paraId="2EDD1150" w14:textId="77777777" w:rsidR="00C70B3E" w:rsidRPr="00E21F57" w:rsidRDefault="00C70B3E" w:rsidP="00E21F57">
            <w:pPr>
              <w:spacing w:before="40" w:after="120"/>
              <w:ind w:right="113"/>
            </w:pPr>
          </w:p>
        </w:tc>
        <w:tc>
          <w:tcPr>
            <w:tcW w:w="3212" w:type="dxa"/>
            <w:shd w:val="clear" w:color="auto" w:fill="auto"/>
          </w:tcPr>
          <w:p w14:paraId="71EE0566" w14:textId="77777777" w:rsidR="00C70B3E" w:rsidRPr="00E21F57" w:rsidRDefault="00C70B3E" w:rsidP="00E21F57">
            <w:pPr>
              <w:spacing w:before="40" w:after="120"/>
              <w:ind w:right="113"/>
            </w:pPr>
            <w:r w:rsidRPr="00E21F57">
              <w:t>Palermo Protocol</w:t>
            </w:r>
            <w:r w:rsidRPr="00E21F57">
              <w:rPr>
                <w:rStyle w:val="EndnoteReference"/>
                <w:sz w:val="20"/>
              </w:rPr>
              <w:endnoteReference w:id="7"/>
            </w:r>
          </w:p>
        </w:tc>
        <w:tc>
          <w:tcPr>
            <w:tcW w:w="3213" w:type="dxa"/>
            <w:shd w:val="clear" w:color="auto" w:fill="auto"/>
          </w:tcPr>
          <w:p w14:paraId="0C706E36" w14:textId="77777777" w:rsidR="00C70B3E" w:rsidRPr="00E21F57" w:rsidRDefault="00C70B3E" w:rsidP="00E21F57">
            <w:pPr>
              <w:spacing w:before="40" w:after="120"/>
              <w:ind w:right="113"/>
            </w:pPr>
          </w:p>
        </w:tc>
      </w:tr>
      <w:tr w:rsidR="00C70B3E" w:rsidRPr="00E21F57" w14:paraId="19C0951F" w14:textId="77777777" w:rsidTr="00C70B3E">
        <w:tc>
          <w:tcPr>
            <w:tcW w:w="3212" w:type="dxa"/>
            <w:shd w:val="clear" w:color="auto" w:fill="auto"/>
          </w:tcPr>
          <w:p w14:paraId="60B51672" w14:textId="77777777" w:rsidR="00C70B3E" w:rsidRPr="00E21F57" w:rsidRDefault="00C70B3E" w:rsidP="00E21F57">
            <w:pPr>
              <w:spacing w:before="40" w:after="120"/>
              <w:ind w:right="113"/>
            </w:pPr>
          </w:p>
        </w:tc>
        <w:tc>
          <w:tcPr>
            <w:tcW w:w="3212" w:type="dxa"/>
            <w:shd w:val="clear" w:color="auto" w:fill="auto"/>
          </w:tcPr>
          <w:p w14:paraId="1E2B1066" w14:textId="77777777" w:rsidR="00C70B3E" w:rsidRPr="00E21F57" w:rsidRDefault="00C70B3E" w:rsidP="00E21F57">
            <w:pPr>
              <w:spacing w:before="40" w:after="120"/>
              <w:ind w:right="113"/>
              <w:rPr>
                <w:highlight w:val="yellow"/>
              </w:rPr>
            </w:pPr>
            <w:r w:rsidRPr="00E21F57">
              <w:t>ILO fundamental Conventions</w:t>
            </w:r>
            <w:r w:rsidRPr="00E21F57">
              <w:rPr>
                <w:rStyle w:val="EndnoteReference"/>
                <w:sz w:val="20"/>
              </w:rPr>
              <w:endnoteReference w:id="8"/>
            </w:r>
          </w:p>
        </w:tc>
        <w:tc>
          <w:tcPr>
            <w:tcW w:w="3213" w:type="dxa"/>
            <w:shd w:val="clear" w:color="auto" w:fill="auto"/>
          </w:tcPr>
          <w:p w14:paraId="0630D0A2" w14:textId="77777777" w:rsidR="00C70B3E" w:rsidRPr="00E21F57" w:rsidRDefault="00C70B3E" w:rsidP="00E21F57">
            <w:pPr>
              <w:spacing w:before="40" w:after="120"/>
              <w:ind w:right="113"/>
            </w:pPr>
          </w:p>
        </w:tc>
      </w:tr>
      <w:tr w:rsidR="00C70B3E" w:rsidRPr="00E21F57" w14:paraId="6AABD42C" w14:textId="77777777" w:rsidTr="00C70B3E">
        <w:tc>
          <w:tcPr>
            <w:tcW w:w="3212" w:type="dxa"/>
            <w:tcBorders>
              <w:bottom w:val="single" w:sz="12" w:space="0" w:color="auto"/>
            </w:tcBorders>
            <w:shd w:val="clear" w:color="auto" w:fill="auto"/>
          </w:tcPr>
          <w:p w14:paraId="2954E0B1" w14:textId="77777777" w:rsidR="00C70B3E" w:rsidRPr="00E21F57" w:rsidRDefault="00C70B3E" w:rsidP="00E21F57">
            <w:pPr>
              <w:spacing w:before="40" w:after="120"/>
              <w:ind w:right="113"/>
            </w:pPr>
          </w:p>
        </w:tc>
        <w:tc>
          <w:tcPr>
            <w:tcW w:w="3212" w:type="dxa"/>
            <w:tcBorders>
              <w:bottom w:val="single" w:sz="12" w:space="0" w:color="auto"/>
            </w:tcBorders>
            <w:shd w:val="clear" w:color="auto" w:fill="auto"/>
          </w:tcPr>
          <w:p w14:paraId="383CB739" w14:textId="56AC0BD2" w:rsidR="00C70B3E" w:rsidRPr="00E21F57" w:rsidRDefault="00C70B3E" w:rsidP="00E21F57">
            <w:pPr>
              <w:spacing w:before="40" w:after="120"/>
              <w:ind w:right="113"/>
              <w:rPr>
                <w:highlight w:val="yellow"/>
              </w:rPr>
            </w:pPr>
            <w:r w:rsidRPr="00E21F57">
              <w:t>ILO Convention No. 189</w:t>
            </w:r>
            <w:r w:rsidRPr="00E21F57">
              <w:rPr>
                <w:rStyle w:val="EndnoteReference"/>
                <w:sz w:val="20"/>
              </w:rPr>
              <w:endnoteReference w:id="9"/>
            </w:r>
          </w:p>
        </w:tc>
        <w:tc>
          <w:tcPr>
            <w:tcW w:w="3213" w:type="dxa"/>
            <w:tcBorders>
              <w:bottom w:val="single" w:sz="12" w:space="0" w:color="auto"/>
            </w:tcBorders>
            <w:shd w:val="clear" w:color="auto" w:fill="auto"/>
          </w:tcPr>
          <w:p w14:paraId="2382C427" w14:textId="1F7C5AD1" w:rsidR="00C70B3E" w:rsidRPr="00E21F57" w:rsidRDefault="00C70B3E" w:rsidP="00E21F57">
            <w:pPr>
              <w:spacing w:before="40" w:after="120"/>
              <w:ind w:right="113"/>
            </w:pPr>
            <w:r w:rsidRPr="00E21F57">
              <w:t xml:space="preserve">ILO Conventions Nos. 169 and 190, and Protocol </w:t>
            </w:r>
            <w:r w:rsidRPr="00E21F57">
              <w:rPr>
                <w:lang w:val="en"/>
              </w:rPr>
              <w:t>029</w:t>
            </w:r>
            <w:r w:rsidRPr="00E21F57">
              <w:rPr>
                <w:vertAlign w:val="superscript"/>
              </w:rPr>
              <w:endnoteReference w:id="10"/>
            </w:r>
          </w:p>
        </w:tc>
      </w:tr>
    </w:tbl>
    <w:p w14:paraId="3EA96B1C" w14:textId="77777777" w:rsidR="004522E5" w:rsidRDefault="004522E5" w:rsidP="004522E5">
      <w:pPr>
        <w:pStyle w:val="SingleTxtG"/>
      </w:pPr>
    </w:p>
    <w:p w14:paraId="5C8118BC" w14:textId="709E3824" w:rsidR="00F97C5D" w:rsidRPr="007E55A4" w:rsidRDefault="00D07CB4" w:rsidP="004522E5">
      <w:pPr>
        <w:pStyle w:val="SingleTxtG"/>
        <w:rPr>
          <w:b/>
        </w:rPr>
      </w:pPr>
      <w:r w:rsidRPr="00443D57">
        <w:t>D</w:t>
      </w:r>
      <w:r w:rsidR="00F97C5D" w:rsidRPr="00443D57">
        <w:t xml:space="preserve">uring the period under review </w:t>
      </w:r>
      <w:r w:rsidR="00BB4127" w:rsidRPr="00443D57">
        <w:t xml:space="preserve">the Philippines withdrew from the Rome Statute of </w:t>
      </w:r>
      <w:r w:rsidR="009841C7">
        <w:br/>
      </w:r>
      <w:r w:rsidR="00BB4127" w:rsidRPr="00443D57">
        <w:t xml:space="preserve">the International Criminal Court </w:t>
      </w:r>
    </w:p>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1"/>
      </w:r>
    </w:p>
    <w:p w14:paraId="51EDB961" w14:textId="2A363EE1"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4522E5" w14:paraId="53E27A3F" w14:textId="77777777" w:rsidTr="004522E5">
        <w:tc>
          <w:tcPr>
            <w:tcW w:w="1928" w:type="dxa"/>
            <w:tcBorders>
              <w:top w:val="single" w:sz="4" w:space="0" w:color="auto"/>
              <w:bottom w:val="single" w:sz="12" w:space="0" w:color="auto"/>
            </w:tcBorders>
            <w:shd w:val="clear" w:color="auto" w:fill="auto"/>
            <w:vAlign w:val="bottom"/>
          </w:tcPr>
          <w:p w14:paraId="27EDAA83" w14:textId="77777777" w:rsidR="00A02BFB" w:rsidRPr="004522E5" w:rsidRDefault="00A02BFB" w:rsidP="004522E5">
            <w:pPr>
              <w:spacing w:before="80" w:after="80" w:line="200" w:lineRule="exact"/>
              <w:ind w:right="113"/>
              <w:rPr>
                <w:i/>
                <w:sz w:val="16"/>
              </w:rPr>
            </w:pPr>
            <w:r w:rsidRPr="004522E5">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4522E5" w:rsidRDefault="00A02BFB" w:rsidP="004522E5">
            <w:pPr>
              <w:spacing w:before="80" w:after="80" w:line="200" w:lineRule="exact"/>
              <w:ind w:right="113"/>
              <w:rPr>
                <w:i/>
                <w:sz w:val="16"/>
              </w:rPr>
            </w:pPr>
            <w:r w:rsidRPr="004522E5">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4522E5" w:rsidRDefault="00A02BFB" w:rsidP="004522E5">
            <w:pPr>
              <w:spacing w:before="80" w:after="80" w:line="200" w:lineRule="exact"/>
              <w:ind w:right="113"/>
              <w:rPr>
                <w:i/>
                <w:sz w:val="16"/>
              </w:rPr>
            </w:pPr>
            <w:r w:rsidRPr="004522E5">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4522E5" w:rsidRDefault="00A02BFB" w:rsidP="004522E5">
            <w:pPr>
              <w:spacing w:before="80" w:after="80" w:line="200" w:lineRule="exact"/>
              <w:ind w:right="113"/>
              <w:rPr>
                <w:i/>
                <w:sz w:val="16"/>
              </w:rPr>
            </w:pPr>
            <w:r w:rsidRPr="004522E5">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4522E5" w:rsidRDefault="00A02BFB" w:rsidP="004522E5">
            <w:pPr>
              <w:spacing w:before="80" w:after="80" w:line="200" w:lineRule="exact"/>
              <w:ind w:right="113"/>
              <w:rPr>
                <w:i/>
                <w:sz w:val="16"/>
              </w:rPr>
            </w:pPr>
            <w:r w:rsidRPr="004522E5">
              <w:rPr>
                <w:i/>
                <w:sz w:val="16"/>
              </w:rPr>
              <w:t>Reporting status</w:t>
            </w:r>
          </w:p>
        </w:tc>
      </w:tr>
      <w:tr w:rsidR="004522E5" w:rsidRPr="004522E5" w14:paraId="262B443E" w14:textId="77777777" w:rsidTr="004522E5">
        <w:trPr>
          <w:trHeight w:hRule="exact" w:val="113"/>
        </w:trPr>
        <w:tc>
          <w:tcPr>
            <w:tcW w:w="1928" w:type="dxa"/>
            <w:tcBorders>
              <w:top w:val="single" w:sz="12" w:space="0" w:color="auto"/>
            </w:tcBorders>
            <w:shd w:val="clear" w:color="auto" w:fill="auto"/>
          </w:tcPr>
          <w:p w14:paraId="25AB0C2A" w14:textId="77777777" w:rsidR="004522E5" w:rsidRPr="004522E5" w:rsidRDefault="004522E5" w:rsidP="004522E5">
            <w:pPr>
              <w:spacing w:before="40" w:after="120"/>
              <w:ind w:right="113"/>
            </w:pPr>
          </w:p>
        </w:tc>
        <w:tc>
          <w:tcPr>
            <w:tcW w:w="1928" w:type="dxa"/>
            <w:tcBorders>
              <w:top w:val="single" w:sz="12" w:space="0" w:color="auto"/>
            </w:tcBorders>
            <w:shd w:val="clear" w:color="auto" w:fill="auto"/>
          </w:tcPr>
          <w:p w14:paraId="2DFE6FDD" w14:textId="77777777" w:rsidR="004522E5" w:rsidRPr="004522E5" w:rsidRDefault="004522E5" w:rsidP="004522E5">
            <w:pPr>
              <w:spacing w:before="40" w:after="120"/>
              <w:ind w:right="113"/>
            </w:pPr>
          </w:p>
        </w:tc>
        <w:tc>
          <w:tcPr>
            <w:tcW w:w="1927" w:type="dxa"/>
            <w:tcBorders>
              <w:top w:val="single" w:sz="12" w:space="0" w:color="auto"/>
            </w:tcBorders>
            <w:shd w:val="clear" w:color="auto" w:fill="auto"/>
          </w:tcPr>
          <w:p w14:paraId="15164B80" w14:textId="77777777" w:rsidR="004522E5" w:rsidRPr="004522E5" w:rsidRDefault="004522E5" w:rsidP="004522E5">
            <w:pPr>
              <w:spacing w:before="40" w:after="120"/>
              <w:ind w:right="113"/>
            </w:pPr>
          </w:p>
        </w:tc>
        <w:tc>
          <w:tcPr>
            <w:tcW w:w="1927" w:type="dxa"/>
            <w:tcBorders>
              <w:top w:val="single" w:sz="12" w:space="0" w:color="auto"/>
            </w:tcBorders>
            <w:shd w:val="clear" w:color="auto" w:fill="auto"/>
          </w:tcPr>
          <w:p w14:paraId="135B3BA7" w14:textId="77777777" w:rsidR="004522E5" w:rsidRPr="004522E5" w:rsidRDefault="004522E5" w:rsidP="004522E5">
            <w:pPr>
              <w:spacing w:before="40" w:after="120"/>
              <w:ind w:right="113"/>
            </w:pPr>
          </w:p>
        </w:tc>
        <w:tc>
          <w:tcPr>
            <w:tcW w:w="1927" w:type="dxa"/>
            <w:tcBorders>
              <w:top w:val="single" w:sz="12" w:space="0" w:color="auto"/>
            </w:tcBorders>
            <w:shd w:val="clear" w:color="auto" w:fill="auto"/>
          </w:tcPr>
          <w:p w14:paraId="2E0C3A74" w14:textId="77777777" w:rsidR="004522E5" w:rsidRPr="004522E5" w:rsidRDefault="004522E5" w:rsidP="004522E5">
            <w:pPr>
              <w:spacing w:before="40" w:after="120"/>
              <w:ind w:right="113"/>
            </w:pPr>
          </w:p>
        </w:tc>
      </w:tr>
      <w:tr w:rsidR="008B4D7D" w:rsidRPr="004522E5" w14:paraId="1E4DE53B" w14:textId="77777777" w:rsidTr="004522E5">
        <w:tc>
          <w:tcPr>
            <w:tcW w:w="1928" w:type="dxa"/>
            <w:shd w:val="clear" w:color="auto" w:fill="auto"/>
          </w:tcPr>
          <w:p w14:paraId="6EC3F4DD" w14:textId="77777777" w:rsidR="00A02BFB" w:rsidRPr="004522E5" w:rsidRDefault="00A02BFB" w:rsidP="004522E5">
            <w:pPr>
              <w:spacing w:before="40" w:after="120"/>
              <w:ind w:right="113"/>
            </w:pPr>
            <w:r w:rsidRPr="004522E5">
              <w:t>CERD</w:t>
            </w:r>
          </w:p>
        </w:tc>
        <w:tc>
          <w:tcPr>
            <w:tcW w:w="1928" w:type="dxa"/>
            <w:shd w:val="clear" w:color="auto" w:fill="auto"/>
          </w:tcPr>
          <w:p w14:paraId="6E95AD6E" w14:textId="1EDE72B0" w:rsidR="00A02BFB" w:rsidRPr="004522E5" w:rsidRDefault="00634D5D" w:rsidP="004522E5">
            <w:pPr>
              <w:spacing w:before="40" w:after="120"/>
              <w:ind w:right="113"/>
            </w:pPr>
            <w:r w:rsidRPr="004522E5">
              <w:t>--</w:t>
            </w:r>
          </w:p>
        </w:tc>
        <w:tc>
          <w:tcPr>
            <w:tcW w:w="1927" w:type="dxa"/>
            <w:shd w:val="clear" w:color="auto" w:fill="auto"/>
          </w:tcPr>
          <w:p w14:paraId="7F2B4B92" w14:textId="327C6092" w:rsidR="00A02BFB" w:rsidRPr="004522E5" w:rsidRDefault="00634D5D" w:rsidP="004522E5">
            <w:pPr>
              <w:spacing w:before="40" w:after="120"/>
              <w:ind w:right="113"/>
            </w:pPr>
            <w:r w:rsidRPr="004522E5">
              <w:t>2021</w:t>
            </w:r>
          </w:p>
        </w:tc>
        <w:tc>
          <w:tcPr>
            <w:tcW w:w="1927" w:type="dxa"/>
            <w:shd w:val="clear" w:color="auto" w:fill="auto"/>
          </w:tcPr>
          <w:p w14:paraId="3AFF0E8F" w14:textId="1F6993D2" w:rsidR="00A02BFB" w:rsidRPr="004522E5" w:rsidRDefault="00634D5D" w:rsidP="004522E5">
            <w:pPr>
              <w:spacing w:before="40" w:after="120"/>
              <w:ind w:right="113"/>
            </w:pPr>
            <w:r w:rsidRPr="004522E5">
              <w:t>--</w:t>
            </w:r>
          </w:p>
        </w:tc>
        <w:tc>
          <w:tcPr>
            <w:tcW w:w="1927" w:type="dxa"/>
            <w:shd w:val="clear" w:color="auto" w:fill="auto"/>
          </w:tcPr>
          <w:p w14:paraId="65DE5ACA" w14:textId="664E2BD5" w:rsidR="00A02BFB" w:rsidRPr="004522E5" w:rsidRDefault="00634D5D" w:rsidP="004522E5">
            <w:pPr>
              <w:spacing w:before="40" w:after="120"/>
              <w:ind w:right="113"/>
            </w:pPr>
            <w:r w:rsidRPr="004522E5">
              <w:t xml:space="preserve">Twenty-first to twenty-fifth reports pending </w:t>
            </w:r>
            <w:r w:rsidR="00AB0D4C" w:rsidRPr="004522E5">
              <w:t>considerat</w:t>
            </w:r>
            <w:r w:rsidRPr="004522E5">
              <w:t>ion.</w:t>
            </w:r>
          </w:p>
        </w:tc>
      </w:tr>
      <w:tr w:rsidR="008B4D7D" w:rsidRPr="004522E5" w14:paraId="58AC300D" w14:textId="77777777" w:rsidTr="004522E5">
        <w:tc>
          <w:tcPr>
            <w:tcW w:w="1928" w:type="dxa"/>
            <w:shd w:val="clear" w:color="auto" w:fill="auto"/>
          </w:tcPr>
          <w:p w14:paraId="2D5FC6DA" w14:textId="77777777" w:rsidR="00A02BFB" w:rsidRPr="004522E5" w:rsidRDefault="00A02BFB" w:rsidP="004522E5">
            <w:pPr>
              <w:spacing w:before="40" w:after="120"/>
              <w:ind w:right="113"/>
            </w:pPr>
            <w:r w:rsidRPr="004522E5">
              <w:t>CESCR</w:t>
            </w:r>
          </w:p>
        </w:tc>
        <w:tc>
          <w:tcPr>
            <w:tcW w:w="1928" w:type="dxa"/>
            <w:shd w:val="clear" w:color="auto" w:fill="auto"/>
          </w:tcPr>
          <w:p w14:paraId="4E5C586F" w14:textId="4944F5D4" w:rsidR="00A02BFB" w:rsidRPr="004522E5" w:rsidRDefault="00AB0D4C" w:rsidP="004522E5">
            <w:pPr>
              <w:spacing w:before="40" w:after="120"/>
              <w:ind w:right="113"/>
            </w:pPr>
            <w:r w:rsidRPr="004522E5">
              <w:t>--</w:t>
            </w:r>
          </w:p>
        </w:tc>
        <w:tc>
          <w:tcPr>
            <w:tcW w:w="1927" w:type="dxa"/>
            <w:shd w:val="clear" w:color="auto" w:fill="auto"/>
          </w:tcPr>
          <w:p w14:paraId="47B97FDA" w14:textId="6818867E" w:rsidR="00A02BFB" w:rsidRPr="004522E5" w:rsidRDefault="00AB0D4C" w:rsidP="004522E5">
            <w:pPr>
              <w:spacing w:before="40" w:after="120"/>
              <w:ind w:right="113"/>
            </w:pPr>
            <w:r w:rsidRPr="004522E5">
              <w:t>2014/2022</w:t>
            </w:r>
          </w:p>
        </w:tc>
        <w:tc>
          <w:tcPr>
            <w:tcW w:w="1927" w:type="dxa"/>
            <w:shd w:val="clear" w:color="auto" w:fill="auto"/>
          </w:tcPr>
          <w:p w14:paraId="326AACC2" w14:textId="5FA83A7B" w:rsidR="00A02BFB" w:rsidRPr="004522E5" w:rsidRDefault="00AB0D4C" w:rsidP="004522E5">
            <w:pPr>
              <w:spacing w:before="40" w:after="120"/>
              <w:ind w:right="113"/>
            </w:pPr>
            <w:r w:rsidRPr="004522E5">
              <w:t>October 2016</w:t>
            </w:r>
          </w:p>
        </w:tc>
        <w:tc>
          <w:tcPr>
            <w:tcW w:w="1927" w:type="dxa"/>
            <w:shd w:val="clear" w:color="auto" w:fill="auto"/>
          </w:tcPr>
          <w:p w14:paraId="41724ACB" w14:textId="66A2D345" w:rsidR="00A02BFB" w:rsidRPr="004522E5" w:rsidRDefault="00AB0D4C" w:rsidP="004522E5">
            <w:pPr>
              <w:spacing w:before="40" w:after="120"/>
              <w:ind w:right="113"/>
            </w:pPr>
            <w:r w:rsidRPr="004522E5">
              <w:t>Seventh report pending consideration.</w:t>
            </w:r>
          </w:p>
        </w:tc>
      </w:tr>
      <w:tr w:rsidR="008B4D7D" w:rsidRPr="004522E5" w14:paraId="21E3975A" w14:textId="77777777" w:rsidTr="004522E5">
        <w:tc>
          <w:tcPr>
            <w:tcW w:w="1928" w:type="dxa"/>
            <w:shd w:val="clear" w:color="auto" w:fill="auto"/>
          </w:tcPr>
          <w:p w14:paraId="60BC488C" w14:textId="77777777" w:rsidR="00A02BFB" w:rsidRPr="004522E5" w:rsidRDefault="00A02BFB" w:rsidP="004522E5">
            <w:pPr>
              <w:spacing w:before="40" w:after="120"/>
              <w:ind w:right="113"/>
            </w:pPr>
            <w:r w:rsidRPr="004522E5">
              <w:t>HR Committee</w:t>
            </w:r>
          </w:p>
        </w:tc>
        <w:tc>
          <w:tcPr>
            <w:tcW w:w="1928" w:type="dxa"/>
            <w:shd w:val="clear" w:color="auto" w:fill="auto"/>
          </w:tcPr>
          <w:p w14:paraId="32381D4B" w14:textId="360DFD83" w:rsidR="00A02BFB" w:rsidRPr="004522E5" w:rsidRDefault="003C7617" w:rsidP="004522E5">
            <w:pPr>
              <w:spacing w:before="40" w:after="120"/>
              <w:ind w:right="113"/>
            </w:pPr>
            <w:r w:rsidRPr="004522E5">
              <w:t>October 2012</w:t>
            </w:r>
          </w:p>
        </w:tc>
        <w:tc>
          <w:tcPr>
            <w:tcW w:w="1927" w:type="dxa"/>
            <w:shd w:val="clear" w:color="auto" w:fill="auto"/>
          </w:tcPr>
          <w:p w14:paraId="2DC89872" w14:textId="427259E1" w:rsidR="00A02BFB" w:rsidRPr="004522E5" w:rsidRDefault="003C7617" w:rsidP="004522E5">
            <w:pPr>
              <w:spacing w:before="40" w:after="120"/>
              <w:ind w:right="113"/>
            </w:pPr>
            <w:r w:rsidRPr="004522E5">
              <w:t>2019</w:t>
            </w:r>
          </w:p>
        </w:tc>
        <w:tc>
          <w:tcPr>
            <w:tcW w:w="1927" w:type="dxa"/>
            <w:shd w:val="clear" w:color="auto" w:fill="auto"/>
          </w:tcPr>
          <w:p w14:paraId="038D0ADC" w14:textId="209A8BA1" w:rsidR="00A02BFB" w:rsidRPr="004522E5" w:rsidRDefault="003C7617" w:rsidP="004522E5">
            <w:pPr>
              <w:spacing w:before="40" w:after="120"/>
              <w:ind w:right="113"/>
            </w:pPr>
            <w:r w:rsidRPr="004522E5">
              <w:t>--</w:t>
            </w:r>
          </w:p>
        </w:tc>
        <w:tc>
          <w:tcPr>
            <w:tcW w:w="1927" w:type="dxa"/>
            <w:shd w:val="clear" w:color="auto" w:fill="auto"/>
          </w:tcPr>
          <w:p w14:paraId="54E64B4C" w14:textId="7769609B" w:rsidR="00A02BFB" w:rsidRPr="004522E5" w:rsidRDefault="003C7617" w:rsidP="004522E5">
            <w:pPr>
              <w:spacing w:before="40" w:after="120"/>
              <w:ind w:right="113"/>
            </w:pPr>
            <w:r w:rsidRPr="004522E5">
              <w:t xml:space="preserve">Fifth report pending consideration </w:t>
            </w:r>
            <w:r w:rsidR="00920A33">
              <w:br/>
            </w:r>
            <w:r w:rsidRPr="004522E5">
              <w:t>in October 2022.</w:t>
            </w:r>
          </w:p>
        </w:tc>
      </w:tr>
      <w:tr w:rsidR="008B4D7D" w:rsidRPr="004522E5" w14:paraId="360016ED" w14:textId="77777777" w:rsidTr="004522E5">
        <w:tc>
          <w:tcPr>
            <w:tcW w:w="1928" w:type="dxa"/>
            <w:shd w:val="clear" w:color="auto" w:fill="auto"/>
          </w:tcPr>
          <w:p w14:paraId="33320B06" w14:textId="77777777" w:rsidR="00A02BFB" w:rsidRPr="004522E5" w:rsidRDefault="00A02BFB" w:rsidP="004522E5">
            <w:pPr>
              <w:spacing w:before="40" w:after="120"/>
              <w:ind w:right="113"/>
            </w:pPr>
            <w:r w:rsidRPr="004522E5">
              <w:t>CEDAW</w:t>
            </w:r>
          </w:p>
        </w:tc>
        <w:tc>
          <w:tcPr>
            <w:tcW w:w="1928" w:type="dxa"/>
            <w:shd w:val="clear" w:color="auto" w:fill="auto"/>
          </w:tcPr>
          <w:p w14:paraId="21DDA8EB" w14:textId="06342572" w:rsidR="00A02BFB" w:rsidRPr="004522E5" w:rsidRDefault="001B44EB" w:rsidP="004522E5">
            <w:pPr>
              <w:spacing w:before="40" w:after="120"/>
              <w:ind w:right="113"/>
            </w:pPr>
            <w:r w:rsidRPr="004522E5">
              <w:t>July 2016</w:t>
            </w:r>
          </w:p>
        </w:tc>
        <w:tc>
          <w:tcPr>
            <w:tcW w:w="1927" w:type="dxa"/>
            <w:shd w:val="clear" w:color="auto" w:fill="auto"/>
          </w:tcPr>
          <w:p w14:paraId="4FA5FAA4" w14:textId="0E5AF621" w:rsidR="00A02BFB" w:rsidRPr="004522E5" w:rsidRDefault="001B44EB" w:rsidP="004522E5">
            <w:pPr>
              <w:spacing w:before="40" w:after="120"/>
              <w:ind w:right="113"/>
            </w:pPr>
            <w:r w:rsidRPr="004522E5">
              <w:t>2021</w:t>
            </w:r>
          </w:p>
        </w:tc>
        <w:tc>
          <w:tcPr>
            <w:tcW w:w="1927" w:type="dxa"/>
            <w:shd w:val="clear" w:color="auto" w:fill="auto"/>
          </w:tcPr>
          <w:p w14:paraId="2D8D330E" w14:textId="453C7E61" w:rsidR="00A02BFB" w:rsidRPr="004522E5" w:rsidRDefault="001B44EB" w:rsidP="004522E5">
            <w:pPr>
              <w:spacing w:before="40" w:after="120"/>
              <w:ind w:right="113"/>
            </w:pPr>
            <w:r w:rsidRPr="004522E5">
              <w:t>--</w:t>
            </w:r>
          </w:p>
        </w:tc>
        <w:tc>
          <w:tcPr>
            <w:tcW w:w="1927" w:type="dxa"/>
            <w:shd w:val="clear" w:color="auto" w:fill="auto"/>
          </w:tcPr>
          <w:p w14:paraId="1CEC72E2" w14:textId="78718071" w:rsidR="00A02BFB" w:rsidRPr="004522E5" w:rsidRDefault="001B44EB" w:rsidP="004522E5">
            <w:pPr>
              <w:spacing w:before="40" w:after="120"/>
              <w:ind w:right="113"/>
            </w:pPr>
            <w:r w:rsidRPr="004522E5">
              <w:t>Ninth report pending consideration.</w:t>
            </w:r>
          </w:p>
        </w:tc>
      </w:tr>
      <w:tr w:rsidR="008B4D7D" w:rsidRPr="004522E5" w14:paraId="0EB4D214" w14:textId="77777777" w:rsidTr="004522E5">
        <w:tc>
          <w:tcPr>
            <w:tcW w:w="1928" w:type="dxa"/>
            <w:shd w:val="clear" w:color="auto" w:fill="auto"/>
          </w:tcPr>
          <w:p w14:paraId="3C7C5F3C" w14:textId="77777777" w:rsidR="00A02BFB" w:rsidRPr="004522E5" w:rsidRDefault="00A02BFB" w:rsidP="004522E5">
            <w:pPr>
              <w:spacing w:before="40" w:after="120"/>
              <w:ind w:right="113"/>
            </w:pPr>
            <w:r w:rsidRPr="004522E5">
              <w:t>CAT</w:t>
            </w:r>
          </w:p>
        </w:tc>
        <w:tc>
          <w:tcPr>
            <w:tcW w:w="1928" w:type="dxa"/>
            <w:shd w:val="clear" w:color="auto" w:fill="auto"/>
          </w:tcPr>
          <w:p w14:paraId="0A5E522C" w14:textId="66B8056A" w:rsidR="00A02BFB" w:rsidRPr="004522E5" w:rsidRDefault="000362E0" w:rsidP="004522E5">
            <w:pPr>
              <w:spacing w:before="40" w:after="120"/>
              <w:ind w:right="113"/>
            </w:pPr>
            <w:r w:rsidRPr="004522E5">
              <w:t>May 2016</w:t>
            </w:r>
          </w:p>
        </w:tc>
        <w:tc>
          <w:tcPr>
            <w:tcW w:w="1927" w:type="dxa"/>
            <w:shd w:val="clear" w:color="auto" w:fill="auto"/>
          </w:tcPr>
          <w:p w14:paraId="5F831F80" w14:textId="3A5FA80D" w:rsidR="00A02BFB" w:rsidRPr="004522E5" w:rsidRDefault="00AB50D2" w:rsidP="004522E5">
            <w:pPr>
              <w:spacing w:before="40" w:after="120"/>
              <w:ind w:right="113"/>
            </w:pPr>
            <w:r>
              <w:t>2022</w:t>
            </w:r>
          </w:p>
        </w:tc>
        <w:tc>
          <w:tcPr>
            <w:tcW w:w="1927" w:type="dxa"/>
            <w:shd w:val="clear" w:color="auto" w:fill="auto"/>
          </w:tcPr>
          <w:p w14:paraId="445C5036" w14:textId="2E0CA35D" w:rsidR="00A02BFB" w:rsidRPr="004522E5" w:rsidRDefault="003C7617" w:rsidP="004522E5">
            <w:pPr>
              <w:spacing w:before="40" w:after="120"/>
              <w:ind w:right="113"/>
            </w:pPr>
            <w:r w:rsidRPr="004522E5">
              <w:t>--</w:t>
            </w:r>
          </w:p>
        </w:tc>
        <w:tc>
          <w:tcPr>
            <w:tcW w:w="1927" w:type="dxa"/>
            <w:shd w:val="clear" w:color="auto" w:fill="auto"/>
          </w:tcPr>
          <w:p w14:paraId="247DF1E0" w14:textId="6B8C0566" w:rsidR="00A02BFB" w:rsidRPr="004522E5" w:rsidRDefault="000362E0" w:rsidP="004522E5">
            <w:pPr>
              <w:spacing w:before="40" w:after="120"/>
              <w:ind w:right="113"/>
            </w:pPr>
            <w:r w:rsidRPr="004522E5">
              <w:t xml:space="preserve">Fourth report </w:t>
            </w:r>
            <w:r w:rsidR="00AB50D2">
              <w:t>pending consideration</w:t>
            </w:r>
            <w:r w:rsidRPr="004522E5">
              <w:t>.</w:t>
            </w:r>
          </w:p>
        </w:tc>
      </w:tr>
      <w:tr w:rsidR="008B4D7D" w:rsidRPr="004522E5" w14:paraId="23C350E4" w14:textId="77777777" w:rsidTr="004522E5">
        <w:tc>
          <w:tcPr>
            <w:tcW w:w="1928" w:type="dxa"/>
            <w:shd w:val="clear" w:color="auto" w:fill="auto"/>
          </w:tcPr>
          <w:p w14:paraId="49EC097B" w14:textId="77777777" w:rsidR="00A02BFB" w:rsidRPr="004522E5" w:rsidRDefault="00A02BFB" w:rsidP="004522E5">
            <w:pPr>
              <w:spacing w:before="40" w:after="120"/>
              <w:ind w:right="113"/>
            </w:pPr>
            <w:r w:rsidRPr="004522E5">
              <w:t>CRC</w:t>
            </w:r>
          </w:p>
        </w:tc>
        <w:tc>
          <w:tcPr>
            <w:tcW w:w="1928" w:type="dxa"/>
            <w:shd w:val="clear" w:color="auto" w:fill="auto"/>
          </w:tcPr>
          <w:p w14:paraId="7F3480B5" w14:textId="2C79C946" w:rsidR="00A02BFB" w:rsidRPr="004522E5" w:rsidRDefault="00A32DD6" w:rsidP="004522E5">
            <w:pPr>
              <w:spacing w:before="40" w:after="120"/>
              <w:ind w:right="113"/>
            </w:pPr>
            <w:r w:rsidRPr="004522E5">
              <w:t>February 2013 (on OP-CRC-SC)</w:t>
            </w:r>
          </w:p>
        </w:tc>
        <w:tc>
          <w:tcPr>
            <w:tcW w:w="1927" w:type="dxa"/>
            <w:shd w:val="clear" w:color="auto" w:fill="auto"/>
          </w:tcPr>
          <w:p w14:paraId="1C3A9578" w14:textId="20F79CCD" w:rsidR="00A02BFB" w:rsidRPr="004522E5" w:rsidRDefault="00E73CDB" w:rsidP="004522E5">
            <w:pPr>
              <w:spacing w:before="40" w:after="120"/>
              <w:ind w:right="113"/>
            </w:pPr>
            <w:r w:rsidRPr="004522E5">
              <w:t>2019</w:t>
            </w:r>
          </w:p>
        </w:tc>
        <w:tc>
          <w:tcPr>
            <w:tcW w:w="1927" w:type="dxa"/>
            <w:shd w:val="clear" w:color="auto" w:fill="auto"/>
          </w:tcPr>
          <w:p w14:paraId="0E84DDDC" w14:textId="75B8111D" w:rsidR="00A02BFB" w:rsidRPr="004522E5" w:rsidRDefault="00E04BAF" w:rsidP="004522E5">
            <w:pPr>
              <w:spacing w:before="40" w:after="120"/>
              <w:ind w:right="113"/>
            </w:pPr>
            <w:r>
              <w:t>September 2022</w:t>
            </w:r>
          </w:p>
        </w:tc>
        <w:tc>
          <w:tcPr>
            <w:tcW w:w="1927" w:type="dxa"/>
            <w:shd w:val="clear" w:color="auto" w:fill="auto"/>
          </w:tcPr>
          <w:p w14:paraId="1A3FFC6B" w14:textId="7052BED1" w:rsidR="00A02BFB" w:rsidRPr="004522E5" w:rsidRDefault="00E04BAF" w:rsidP="004522E5">
            <w:pPr>
              <w:spacing w:before="40" w:after="120"/>
              <w:ind w:right="113"/>
            </w:pPr>
            <w:r>
              <w:t xml:space="preserve">Seventh and eighth </w:t>
            </w:r>
            <w:r w:rsidR="00E73CDB" w:rsidRPr="004522E5">
              <w:t xml:space="preserve">reports </w:t>
            </w:r>
            <w:r>
              <w:t xml:space="preserve">due </w:t>
            </w:r>
            <w:r w:rsidR="00E73CDB" w:rsidRPr="004522E5">
              <w:t>in 202</w:t>
            </w:r>
            <w:r>
              <w:t>7</w:t>
            </w:r>
            <w:r w:rsidR="00E73CDB" w:rsidRPr="004522E5">
              <w:t>.</w:t>
            </w:r>
          </w:p>
        </w:tc>
      </w:tr>
      <w:tr w:rsidR="008B4D7D" w:rsidRPr="004522E5" w14:paraId="2627FA8C" w14:textId="77777777" w:rsidTr="004522E5">
        <w:tc>
          <w:tcPr>
            <w:tcW w:w="1928" w:type="dxa"/>
            <w:shd w:val="clear" w:color="auto" w:fill="auto"/>
          </w:tcPr>
          <w:p w14:paraId="17030143" w14:textId="77777777" w:rsidR="00A02BFB" w:rsidRPr="004522E5" w:rsidRDefault="00A02BFB" w:rsidP="004522E5">
            <w:pPr>
              <w:spacing w:before="40" w:after="120"/>
              <w:ind w:right="113"/>
            </w:pPr>
            <w:r w:rsidRPr="004522E5">
              <w:lastRenderedPageBreak/>
              <w:t>CMW</w:t>
            </w:r>
          </w:p>
        </w:tc>
        <w:tc>
          <w:tcPr>
            <w:tcW w:w="1928" w:type="dxa"/>
            <w:shd w:val="clear" w:color="auto" w:fill="auto"/>
          </w:tcPr>
          <w:p w14:paraId="69543749" w14:textId="1802D264" w:rsidR="00A02BFB" w:rsidRPr="004522E5" w:rsidRDefault="0018054B" w:rsidP="004522E5">
            <w:pPr>
              <w:spacing w:before="40" w:after="120"/>
              <w:ind w:right="113"/>
            </w:pPr>
            <w:r w:rsidRPr="004522E5">
              <w:t>April 2014</w:t>
            </w:r>
          </w:p>
        </w:tc>
        <w:tc>
          <w:tcPr>
            <w:tcW w:w="1927" w:type="dxa"/>
            <w:shd w:val="clear" w:color="auto" w:fill="auto"/>
          </w:tcPr>
          <w:p w14:paraId="5ED9E474" w14:textId="03AC301A" w:rsidR="00A02BFB" w:rsidRPr="004522E5" w:rsidRDefault="0018054B" w:rsidP="004522E5">
            <w:pPr>
              <w:spacing w:before="40" w:after="120"/>
              <w:ind w:right="113"/>
            </w:pPr>
            <w:r w:rsidRPr="004522E5">
              <w:t>--</w:t>
            </w:r>
          </w:p>
        </w:tc>
        <w:tc>
          <w:tcPr>
            <w:tcW w:w="1927" w:type="dxa"/>
            <w:shd w:val="clear" w:color="auto" w:fill="auto"/>
          </w:tcPr>
          <w:p w14:paraId="681E166C" w14:textId="15BEAB5B" w:rsidR="00A02BFB" w:rsidRPr="004522E5" w:rsidRDefault="0018054B" w:rsidP="004522E5">
            <w:pPr>
              <w:spacing w:before="40" w:after="120"/>
              <w:ind w:right="113"/>
            </w:pPr>
            <w:r w:rsidRPr="004522E5">
              <w:t>--</w:t>
            </w:r>
          </w:p>
        </w:tc>
        <w:tc>
          <w:tcPr>
            <w:tcW w:w="1927" w:type="dxa"/>
            <w:shd w:val="clear" w:color="auto" w:fill="auto"/>
          </w:tcPr>
          <w:p w14:paraId="654F16BB" w14:textId="69A993FA" w:rsidR="00A02BFB" w:rsidRPr="004522E5" w:rsidRDefault="0018054B" w:rsidP="004522E5">
            <w:pPr>
              <w:spacing w:before="40" w:after="120"/>
              <w:ind w:right="113"/>
            </w:pPr>
            <w:r w:rsidRPr="004522E5">
              <w:t xml:space="preserve">Third report </w:t>
            </w:r>
            <w:r w:rsidR="00015BC9">
              <w:br/>
            </w:r>
            <w:r w:rsidR="00E04BAF">
              <w:t>over</w:t>
            </w:r>
            <w:r w:rsidRPr="004522E5">
              <w:t xml:space="preserve">due </w:t>
            </w:r>
            <w:r w:rsidR="00E04BAF">
              <w:t>si</w:t>
            </w:r>
            <w:r w:rsidRPr="004522E5">
              <w:t>n</w:t>
            </w:r>
            <w:r w:rsidR="00E04BAF">
              <w:t>ce</w:t>
            </w:r>
            <w:r w:rsidRPr="004522E5">
              <w:t xml:space="preserve"> </w:t>
            </w:r>
            <w:r w:rsidR="00015BC9">
              <w:br/>
            </w:r>
            <w:r w:rsidRPr="004522E5">
              <w:t>1 October 2022/</w:t>
            </w:r>
            <w:r w:rsidR="00015BC9">
              <w:br/>
            </w:r>
            <w:r w:rsidRPr="004522E5">
              <w:t>Initially due in 2019.</w:t>
            </w:r>
          </w:p>
        </w:tc>
      </w:tr>
      <w:tr w:rsidR="008B4D7D" w:rsidRPr="004522E5" w14:paraId="5F824C9D" w14:textId="77777777" w:rsidTr="004522E5">
        <w:tc>
          <w:tcPr>
            <w:tcW w:w="1928" w:type="dxa"/>
            <w:tcBorders>
              <w:bottom w:val="single" w:sz="12" w:space="0" w:color="auto"/>
            </w:tcBorders>
            <w:shd w:val="clear" w:color="auto" w:fill="auto"/>
          </w:tcPr>
          <w:p w14:paraId="792E9ADC" w14:textId="333CDD8B" w:rsidR="00A02BFB" w:rsidRPr="004522E5" w:rsidRDefault="000362E0" w:rsidP="004522E5">
            <w:pPr>
              <w:spacing w:before="40" w:after="120"/>
              <w:ind w:right="113"/>
            </w:pPr>
            <w:r w:rsidRPr="004522E5">
              <w:t>CRPD</w:t>
            </w:r>
          </w:p>
        </w:tc>
        <w:tc>
          <w:tcPr>
            <w:tcW w:w="1928" w:type="dxa"/>
            <w:tcBorders>
              <w:bottom w:val="single" w:sz="12" w:space="0" w:color="auto"/>
            </w:tcBorders>
            <w:shd w:val="clear" w:color="auto" w:fill="auto"/>
          </w:tcPr>
          <w:p w14:paraId="0BF7D419" w14:textId="7B3F211E" w:rsidR="00A02BFB" w:rsidRPr="004522E5" w:rsidRDefault="0035656B" w:rsidP="004522E5">
            <w:pPr>
              <w:spacing w:before="40" w:after="120"/>
              <w:ind w:right="113"/>
            </w:pPr>
            <w:r w:rsidRPr="004522E5">
              <w:t>--</w:t>
            </w:r>
          </w:p>
        </w:tc>
        <w:tc>
          <w:tcPr>
            <w:tcW w:w="1927" w:type="dxa"/>
            <w:tcBorders>
              <w:bottom w:val="single" w:sz="12" w:space="0" w:color="auto"/>
            </w:tcBorders>
            <w:shd w:val="clear" w:color="auto" w:fill="auto"/>
          </w:tcPr>
          <w:p w14:paraId="3D908565" w14:textId="51A8A86A" w:rsidR="00A02BFB" w:rsidRPr="004522E5" w:rsidRDefault="0035656B" w:rsidP="004522E5">
            <w:pPr>
              <w:spacing w:before="40" w:after="120"/>
              <w:ind w:right="113"/>
            </w:pPr>
            <w:r w:rsidRPr="004522E5">
              <w:t>2014</w:t>
            </w:r>
          </w:p>
        </w:tc>
        <w:tc>
          <w:tcPr>
            <w:tcW w:w="1927" w:type="dxa"/>
            <w:tcBorders>
              <w:bottom w:val="single" w:sz="12" w:space="0" w:color="auto"/>
            </w:tcBorders>
            <w:shd w:val="clear" w:color="auto" w:fill="auto"/>
          </w:tcPr>
          <w:p w14:paraId="6C5A4403" w14:textId="7CBD067D" w:rsidR="00A02BFB" w:rsidRPr="004522E5" w:rsidRDefault="0035656B" w:rsidP="004522E5">
            <w:pPr>
              <w:spacing w:before="40" w:after="120"/>
              <w:ind w:right="113"/>
            </w:pPr>
            <w:r w:rsidRPr="004522E5">
              <w:t>September 2018</w:t>
            </w:r>
          </w:p>
        </w:tc>
        <w:tc>
          <w:tcPr>
            <w:tcW w:w="1927" w:type="dxa"/>
            <w:tcBorders>
              <w:bottom w:val="single" w:sz="12" w:space="0" w:color="auto"/>
            </w:tcBorders>
            <w:shd w:val="clear" w:color="auto" w:fill="auto"/>
          </w:tcPr>
          <w:p w14:paraId="5DF01C80" w14:textId="21F4FC87" w:rsidR="00A02BFB" w:rsidRPr="004522E5" w:rsidRDefault="0046479D" w:rsidP="004522E5">
            <w:pPr>
              <w:spacing w:before="40" w:after="120"/>
              <w:ind w:right="113"/>
            </w:pPr>
            <w:r w:rsidRPr="004522E5">
              <w:t xml:space="preserve">Second, third and fourth reports due </w:t>
            </w:r>
            <w:r w:rsidR="00920A33">
              <w:br/>
            </w:r>
            <w:r w:rsidR="00B42F43">
              <w:t>in 2023</w:t>
            </w:r>
            <w:r w:rsidR="009F414E">
              <w:t xml:space="preserve">/Initially due in </w:t>
            </w:r>
            <w:r w:rsidRPr="004522E5">
              <w:t>2022.</w:t>
            </w:r>
          </w:p>
        </w:tc>
      </w:tr>
    </w:tbl>
    <w:p w14:paraId="1C0B59DE" w14:textId="0D6AA61A" w:rsidR="00A02BFB" w:rsidRDefault="00DE4620" w:rsidP="00874CFB">
      <w:pPr>
        <w:pStyle w:val="H1G"/>
      </w:pPr>
      <w:r>
        <w:tab/>
      </w:r>
      <w:r w:rsidR="0022777B">
        <w:tab/>
      </w:r>
      <w:r w:rsidR="00A02BFB" w:rsidRPr="00A02BFB">
        <w:tab/>
        <w:t>B.</w:t>
      </w:r>
      <w:r w:rsidR="00A02BFB" w:rsidRPr="00A02BFB">
        <w:tab/>
        <w:t>Cooperation with special procedures</w:t>
      </w:r>
      <w:r w:rsidR="00A02BFB"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1A5FF3" w:rsidRPr="004C2B25" w14:paraId="792A5DB4" w14:textId="77777777" w:rsidTr="004C2B25">
        <w:trPr>
          <w:tblHeader/>
        </w:trPr>
        <w:tc>
          <w:tcPr>
            <w:tcW w:w="4817" w:type="dxa"/>
            <w:tcBorders>
              <w:top w:val="single" w:sz="4" w:space="0" w:color="auto"/>
              <w:bottom w:val="single" w:sz="12" w:space="0" w:color="auto"/>
            </w:tcBorders>
            <w:shd w:val="clear" w:color="auto" w:fill="auto"/>
            <w:vAlign w:val="bottom"/>
          </w:tcPr>
          <w:p w14:paraId="7A8364F3" w14:textId="77777777" w:rsidR="001A5FF3" w:rsidRPr="004C2B25" w:rsidRDefault="001A5FF3" w:rsidP="004C2B25">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1A5FF3" w:rsidRPr="004C2B25" w:rsidRDefault="001A5FF3" w:rsidP="004C2B25">
            <w:pPr>
              <w:spacing w:before="80" w:after="80" w:line="200" w:lineRule="exact"/>
              <w:ind w:right="113"/>
              <w:rPr>
                <w:i/>
                <w:sz w:val="16"/>
              </w:rPr>
            </w:pPr>
            <w:r w:rsidRPr="004C2B25">
              <w:rPr>
                <w:i/>
                <w:sz w:val="16"/>
              </w:rPr>
              <w:t>Status during the Period Under Review</w:t>
            </w:r>
          </w:p>
        </w:tc>
      </w:tr>
      <w:tr w:rsidR="004C2B25" w:rsidRPr="004C2B25" w14:paraId="6D4A0712" w14:textId="77777777" w:rsidTr="004C2B25">
        <w:trPr>
          <w:trHeight w:hRule="exact" w:val="113"/>
        </w:trPr>
        <w:tc>
          <w:tcPr>
            <w:tcW w:w="4817" w:type="dxa"/>
            <w:tcBorders>
              <w:top w:val="single" w:sz="12" w:space="0" w:color="auto"/>
            </w:tcBorders>
            <w:shd w:val="clear" w:color="auto" w:fill="auto"/>
          </w:tcPr>
          <w:p w14:paraId="413DA90B" w14:textId="77777777" w:rsidR="004C2B25" w:rsidRPr="004C2B25" w:rsidRDefault="004C2B25" w:rsidP="004C2B25">
            <w:pPr>
              <w:spacing w:before="40" w:after="120"/>
              <w:ind w:right="113"/>
            </w:pPr>
          </w:p>
        </w:tc>
        <w:tc>
          <w:tcPr>
            <w:tcW w:w="4820" w:type="dxa"/>
            <w:tcBorders>
              <w:top w:val="single" w:sz="12" w:space="0" w:color="auto"/>
            </w:tcBorders>
            <w:shd w:val="clear" w:color="auto" w:fill="auto"/>
          </w:tcPr>
          <w:p w14:paraId="758AEA43" w14:textId="77777777" w:rsidR="004C2B25" w:rsidRPr="004C2B25" w:rsidRDefault="004C2B25" w:rsidP="004C2B25">
            <w:pPr>
              <w:spacing w:before="40" w:after="120"/>
              <w:ind w:right="113"/>
            </w:pPr>
          </w:p>
        </w:tc>
      </w:tr>
      <w:tr w:rsidR="001A5FF3" w:rsidRPr="004C2B25" w14:paraId="74EB9C05" w14:textId="77777777" w:rsidTr="004C2B25">
        <w:tc>
          <w:tcPr>
            <w:tcW w:w="4817" w:type="dxa"/>
            <w:shd w:val="clear" w:color="auto" w:fill="auto"/>
          </w:tcPr>
          <w:p w14:paraId="3A830976" w14:textId="77777777" w:rsidR="001A5FF3" w:rsidRPr="004C2B25" w:rsidRDefault="001A5FF3" w:rsidP="004C2B25">
            <w:pPr>
              <w:spacing w:before="40" w:after="120"/>
              <w:ind w:right="113"/>
              <w:rPr>
                <w:i/>
                <w:iCs/>
              </w:rPr>
            </w:pPr>
            <w:r w:rsidRPr="004C2B25">
              <w:rPr>
                <w:i/>
                <w:iCs/>
              </w:rPr>
              <w:t>Standing invitations</w:t>
            </w:r>
          </w:p>
        </w:tc>
        <w:tc>
          <w:tcPr>
            <w:tcW w:w="4820" w:type="dxa"/>
            <w:shd w:val="clear" w:color="auto" w:fill="auto"/>
          </w:tcPr>
          <w:p w14:paraId="63E21FD2" w14:textId="67CE104D" w:rsidR="001A5FF3" w:rsidRPr="004C2B25" w:rsidRDefault="001A5FF3" w:rsidP="004C2B25">
            <w:pPr>
              <w:spacing w:before="40" w:after="120"/>
              <w:ind w:right="113"/>
            </w:pPr>
            <w:r w:rsidRPr="004C2B25">
              <w:t>No</w:t>
            </w:r>
          </w:p>
        </w:tc>
      </w:tr>
      <w:tr w:rsidR="001A5FF3" w:rsidRPr="004C2B25" w14:paraId="320EF477" w14:textId="77777777" w:rsidTr="004C2B25">
        <w:tc>
          <w:tcPr>
            <w:tcW w:w="4817" w:type="dxa"/>
            <w:shd w:val="clear" w:color="auto" w:fill="auto"/>
          </w:tcPr>
          <w:p w14:paraId="0DCD58C4" w14:textId="4CECF160" w:rsidR="001A5FF3" w:rsidRPr="004C2B25" w:rsidRDefault="001A5FF3" w:rsidP="004C2B25">
            <w:pPr>
              <w:spacing w:before="40" w:after="120"/>
              <w:ind w:right="113"/>
              <w:rPr>
                <w:i/>
                <w:iCs/>
              </w:rPr>
            </w:pPr>
            <w:r w:rsidRPr="004C2B25">
              <w:rPr>
                <w:i/>
                <w:iCs/>
              </w:rPr>
              <w:t>Visits undertaken during the period under review</w:t>
            </w:r>
          </w:p>
        </w:tc>
        <w:tc>
          <w:tcPr>
            <w:tcW w:w="4820" w:type="dxa"/>
            <w:shd w:val="clear" w:color="auto" w:fill="auto"/>
          </w:tcPr>
          <w:p w14:paraId="59191387" w14:textId="04EE9BB8" w:rsidR="001A5FF3" w:rsidRPr="004C2B25" w:rsidRDefault="001A5FF3" w:rsidP="004C2B25">
            <w:pPr>
              <w:spacing w:before="40" w:after="120"/>
              <w:ind w:right="113"/>
            </w:pPr>
          </w:p>
        </w:tc>
      </w:tr>
      <w:tr w:rsidR="001A5FF3" w:rsidRPr="004C2B25" w14:paraId="28AF975B" w14:textId="77777777" w:rsidTr="004C2B25">
        <w:tc>
          <w:tcPr>
            <w:tcW w:w="4817" w:type="dxa"/>
            <w:shd w:val="clear" w:color="auto" w:fill="auto"/>
          </w:tcPr>
          <w:p w14:paraId="02C54B95" w14:textId="7C93775A" w:rsidR="001A5FF3" w:rsidRPr="004C2B25" w:rsidRDefault="001A5FF3" w:rsidP="004C2B25">
            <w:pPr>
              <w:spacing w:before="40" w:after="120"/>
              <w:ind w:right="113"/>
              <w:rPr>
                <w:i/>
                <w:iCs/>
              </w:rPr>
            </w:pPr>
            <w:r w:rsidRPr="004C2B25">
              <w:rPr>
                <w:i/>
                <w:iCs/>
              </w:rPr>
              <w:t>Visits agreed to in principle during the period under review</w:t>
            </w:r>
          </w:p>
        </w:tc>
        <w:tc>
          <w:tcPr>
            <w:tcW w:w="4820" w:type="dxa"/>
            <w:shd w:val="clear" w:color="auto" w:fill="auto"/>
          </w:tcPr>
          <w:p w14:paraId="7EDF4623" w14:textId="1D4C5633" w:rsidR="001A5FF3" w:rsidRPr="004C2B25" w:rsidRDefault="001A5FF3" w:rsidP="004C2B25">
            <w:pPr>
              <w:spacing w:before="40" w:after="120"/>
              <w:ind w:right="113"/>
              <w:rPr>
                <w:rFonts w:eastAsia="Calibri"/>
                <w:lang w:eastAsia="en-GB"/>
              </w:rPr>
            </w:pPr>
            <w:r w:rsidRPr="004C2B25">
              <w:rPr>
                <w:rFonts w:eastAsia="Calibri"/>
                <w:lang w:eastAsia="en-GB"/>
              </w:rPr>
              <w:t>Sale of children</w:t>
            </w:r>
          </w:p>
          <w:p w14:paraId="57D1DA46" w14:textId="096171AE" w:rsidR="001A5FF3" w:rsidRPr="004C2B25" w:rsidRDefault="001A5FF3" w:rsidP="004C2B25">
            <w:pPr>
              <w:spacing w:before="40" w:after="120"/>
              <w:ind w:right="113"/>
              <w:rPr>
                <w:rFonts w:eastAsia="Calibri"/>
                <w:lang w:eastAsia="en-GB"/>
              </w:rPr>
            </w:pPr>
            <w:r w:rsidRPr="004C2B25">
              <w:rPr>
                <w:rFonts w:eastAsia="Calibri"/>
                <w:lang w:eastAsia="en-GB"/>
              </w:rPr>
              <w:t>Freedom of expression</w:t>
            </w:r>
          </w:p>
        </w:tc>
      </w:tr>
      <w:tr w:rsidR="001A5FF3" w:rsidRPr="004C2B25" w14:paraId="5C005308" w14:textId="77777777" w:rsidTr="00292174">
        <w:tc>
          <w:tcPr>
            <w:tcW w:w="4817" w:type="dxa"/>
            <w:tcBorders>
              <w:bottom w:val="single" w:sz="12" w:space="0" w:color="auto"/>
            </w:tcBorders>
            <w:shd w:val="clear" w:color="auto" w:fill="auto"/>
          </w:tcPr>
          <w:p w14:paraId="734E556C" w14:textId="5963E9AD" w:rsidR="001A5FF3" w:rsidRPr="004C2B25" w:rsidRDefault="001A5FF3" w:rsidP="004C2B25">
            <w:pPr>
              <w:spacing w:before="40" w:after="120"/>
              <w:ind w:right="113"/>
              <w:rPr>
                <w:i/>
                <w:iCs/>
              </w:rPr>
            </w:pPr>
            <w:r w:rsidRPr="004C2B25">
              <w:rPr>
                <w:i/>
                <w:iCs/>
              </w:rPr>
              <w:t>Visits requested during the period under review</w:t>
            </w:r>
          </w:p>
        </w:tc>
        <w:tc>
          <w:tcPr>
            <w:tcW w:w="4820" w:type="dxa"/>
            <w:tcBorders>
              <w:bottom w:val="single" w:sz="12" w:space="0" w:color="auto"/>
            </w:tcBorders>
            <w:shd w:val="clear" w:color="auto" w:fill="auto"/>
          </w:tcPr>
          <w:p w14:paraId="02F28B1C" w14:textId="1226B518" w:rsidR="001A5FF3" w:rsidRPr="004C2B25" w:rsidRDefault="001A5FF3" w:rsidP="004C2B25">
            <w:pPr>
              <w:spacing w:before="40" w:after="120"/>
              <w:ind w:right="113"/>
            </w:pPr>
            <w:r w:rsidRPr="004C2B25">
              <w:t>Leprosy</w:t>
            </w:r>
          </w:p>
          <w:p w14:paraId="71FE179B" w14:textId="1207A14F" w:rsidR="001A5FF3" w:rsidRPr="004C2B25" w:rsidRDefault="001A5FF3" w:rsidP="004C2B25">
            <w:pPr>
              <w:spacing w:before="40" w:after="120"/>
              <w:ind w:right="113"/>
            </w:pPr>
            <w:r w:rsidRPr="004C2B25">
              <w:t>Extreme poverty</w:t>
            </w:r>
          </w:p>
          <w:p w14:paraId="49C406F3" w14:textId="7D230D1A" w:rsidR="001A5FF3" w:rsidRPr="004C2B25" w:rsidRDefault="001A5FF3" w:rsidP="004C2B25">
            <w:pPr>
              <w:spacing w:before="40" w:after="120"/>
              <w:ind w:right="113"/>
            </w:pPr>
            <w:r w:rsidRPr="004C2B25">
              <w:t xml:space="preserve">Counter terrorism </w:t>
            </w:r>
          </w:p>
          <w:p w14:paraId="44BA8DB7" w14:textId="1ACEDF37" w:rsidR="001A5FF3" w:rsidRPr="004C2B25" w:rsidRDefault="001A5FF3" w:rsidP="004C2B25">
            <w:pPr>
              <w:spacing w:before="40" w:after="120"/>
              <w:ind w:right="113"/>
            </w:pPr>
            <w:r w:rsidRPr="004C2B25">
              <w:t xml:space="preserve">Torture </w:t>
            </w:r>
          </w:p>
          <w:p w14:paraId="0D560BB0" w14:textId="72D53799" w:rsidR="001A5FF3" w:rsidRPr="004C2B25" w:rsidRDefault="001A5FF3" w:rsidP="004C2B25">
            <w:pPr>
              <w:spacing w:before="40" w:after="120"/>
              <w:ind w:right="113"/>
            </w:pPr>
            <w:r w:rsidRPr="004C2B25">
              <w:t>Toxics</w:t>
            </w:r>
          </w:p>
          <w:p w14:paraId="78C2CA83" w14:textId="5CB57F0F" w:rsidR="001A5FF3" w:rsidRPr="004C2B25" w:rsidRDefault="001A5FF3" w:rsidP="004C2B25">
            <w:pPr>
              <w:spacing w:before="40" w:after="120"/>
              <w:ind w:right="113"/>
            </w:pPr>
            <w:r w:rsidRPr="004C2B25">
              <w:t>Extrajudicial executions</w:t>
            </w:r>
          </w:p>
          <w:p w14:paraId="2DCF66F9" w14:textId="53E0FA47" w:rsidR="001A5FF3" w:rsidRPr="004C2B25" w:rsidRDefault="001A5FF3" w:rsidP="004C2B25">
            <w:pPr>
              <w:spacing w:before="40" w:after="120"/>
              <w:ind w:right="113"/>
            </w:pPr>
            <w:r w:rsidRPr="004C2B25">
              <w:t>Slavery</w:t>
            </w:r>
          </w:p>
          <w:p w14:paraId="377927E5" w14:textId="77777777" w:rsidR="001A5FF3" w:rsidRPr="004C2B25" w:rsidRDefault="001A5FF3" w:rsidP="004C2B25">
            <w:pPr>
              <w:spacing w:before="40" w:after="120"/>
              <w:ind w:right="113"/>
            </w:pPr>
            <w:r w:rsidRPr="004C2B25">
              <w:t>Health</w:t>
            </w:r>
          </w:p>
          <w:p w14:paraId="363FC838" w14:textId="77777777" w:rsidR="001A5FF3" w:rsidRPr="004C2B25" w:rsidRDefault="001A5FF3" w:rsidP="004C2B25">
            <w:pPr>
              <w:spacing w:before="40" w:after="120"/>
              <w:ind w:right="113"/>
            </w:pPr>
            <w:r w:rsidRPr="004C2B25">
              <w:t>Disappearances</w:t>
            </w:r>
          </w:p>
          <w:p w14:paraId="54FBFA42" w14:textId="77777777" w:rsidR="001A5FF3" w:rsidRPr="004C2B25" w:rsidRDefault="001A5FF3" w:rsidP="004C2B25">
            <w:pPr>
              <w:spacing w:before="40" w:after="120"/>
              <w:ind w:right="113"/>
            </w:pPr>
            <w:r w:rsidRPr="004C2B25">
              <w:t>Arbitrary detention</w:t>
            </w:r>
          </w:p>
          <w:p w14:paraId="7BCF5517" w14:textId="7517BB26" w:rsidR="001A5FF3" w:rsidRPr="004C2B25" w:rsidRDefault="001A5FF3" w:rsidP="004C2B25">
            <w:pPr>
              <w:spacing w:before="40" w:after="120"/>
              <w:ind w:right="113"/>
            </w:pPr>
            <w:r w:rsidRPr="004C2B25">
              <w:t>Assembly</w:t>
            </w:r>
          </w:p>
        </w:tc>
      </w:tr>
      <w:tr w:rsidR="001A5FF3" w:rsidRPr="004C2B25" w14:paraId="4A8D8824" w14:textId="77777777" w:rsidTr="00292174">
        <w:tc>
          <w:tcPr>
            <w:tcW w:w="4817" w:type="dxa"/>
            <w:tcBorders>
              <w:top w:val="single" w:sz="12" w:space="0" w:color="auto"/>
              <w:bottom w:val="single" w:sz="12" w:space="0" w:color="auto"/>
            </w:tcBorders>
            <w:shd w:val="clear" w:color="auto" w:fill="auto"/>
          </w:tcPr>
          <w:p w14:paraId="666F5FEA" w14:textId="11122E0C" w:rsidR="001A5FF3" w:rsidRPr="004C2B25" w:rsidRDefault="001A5FF3" w:rsidP="004C2B25">
            <w:pPr>
              <w:spacing w:before="40" w:after="120"/>
              <w:ind w:right="113"/>
              <w:rPr>
                <w:i/>
                <w:iCs/>
              </w:rPr>
            </w:pPr>
            <w:r w:rsidRPr="004C2B25">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62D37C34" w:rsidR="001A5FF3" w:rsidRPr="004C2B25" w:rsidRDefault="00130E35" w:rsidP="004C2B25">
            <w:pPr>
              <w:spacing w:before="40" w:after="120"/>
              <w:ind w:right="113"/>
            </w:pPr>
            <w:r>
              <w:t xml:space="preserve">During the period under review </w:t>
            </w:r>
            <w:r w:rsidRPr="009E599C">
              <w:t>46</w:t>
            </w:r>
            <w:r>
              <w:t xml:space="preserve"> communications were sent. The Government replied to 32 communications</w:t>
            </w:r>
            <w:r>
              <w:rPr>
                <w:rStyle w:val="EndnoteReference"/>
              </w:rPr>
              <w:endnoteReference w:id="13"/>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5"/>
            </w:r>
          </w:p>
        </w:tc>
      </w:tr>
      <w:tr w:rsidR="00A02BFB" w:rsidRPr="00A02BFB" w14:paraId="3410E32E" w14:textId="77777777" w:rsidTr="00493CFF">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493CFF">
        <w:tc>
          <w:tcPr>
            <w:tcW w:w="3211" w:type="dxa"/>
            <w:tcBorders>
              <w:bottom w:val="single" w:sz="4" w:space="0" w:color="auto"/>
            </w:tcBorders>
            <w:shd w:val="clear" w:color="auto" w:fill="auto"/>
          </w:tcPr>
          <w:p w14:paraId="06E83687" w14:textId="288E8F93" w:rsidR="00A02BFB" w:rsidRPr="00A02BFB" w:rsidRDefault="009E599C" w:rsidP="008B4D7D">
            <w:pPr>
              <w:spacing w:before="40" w:after="120"/>
              <w:ind w:right="113"/>
            </w:pPr>
            <w:r>
              <w:t>Commission on Human Rights</w:t>
            </w:r>
          </w:p>
        </w:tc>
        <w:tc>
          <w:tcPr>
            <w:tcW w:w="3213" w:type="dxa"/>
            <w:tcBorders>
              <w:bottom w:val="single" w:sz="4" w:space="0" w:color="auto"/>
            </w:tcBorders>
            <w:shd w:val="clear" w:color="auto" w:fill="auto"/>
          </w:tcPr>
          <w:p w14:paraId="15809237" w14:textId="2F9E3A55" w:rsidR="00A02BFB" w:rsidRPr="00A02BFB" w:rsidRDefault="009E599C" w:rsidP="008B4D7D">
            <w:pPr>
              <w:spacing w:before="40" w:after="120"/>
              <w:ind w:right="113"/>
            </w:pPr>
            <w:r>
              <w:t xml:space="preserve">A </w:t>
            </w:r>
          </w:p>
        </w:tc>
        <w:tc>
          <w:tcPr>
            <w:tcW w:w="3213" w:type="dxa"/>
            <w:tcBorders>
              <w:bottom w:val="single" w:sz="4" w:space="0" w:color="auto"/>
            </w:tcBorders>
            <w:shd w:val="clear" w:color="auto" w:fill="auto"/>
          </w:tcPr>
          <w:p w14:paraId="0076122A" w14:textId="233781A0" w:rsidR="00A02BFB" w:rsidRPr="00A02BFB" w:rsidRDefault="009E599C" w:rsidP="008B4D7D">
            <w:pPr>
              <w:spacing w:before="40" w:after="120"/>
              <w:ind w:right="113"/>
            </w:pPr>
            <w:r>
              <w:t>A (March 2017)</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E1FD" w14:textId="77777777" w:rsidR="008F6422" w:rsidRDefault="008F6422"/>
  </w:endnote>
  <w:endnote w:type="continuationSeparator" w:id="0">
    <w:p w14:paraId="0B23F475" w14:textId="77777777" w:rsidR="008F6422" w:rsidRDefault="008F6422"/>
  </w:endnote>
  <w:endnote w:type="continuationNotice" w:id="1">
    <w:p w14:paraId="46012C5E" w14:textId="77777777" w:rsidR="008F6422" w:rsidRDefault="008F6422"/>
  </w:endnote>
  <w:endnote w:id="2">
    <w:p w14:paraId="1A0043D0" w14:textId="1F364C1E" w:rsidR="00A02BFB" w:rsidRDefault="00A02BFB" w:rsidP="00A02BFB">
      <w:pPr>
        <w:pStyle w:val="H4G"/>
      </w:pPr>
      <w:r>
        <w:t>Notes</w:t>
      </w:r>
    </w:p>
    <w:p w14:paraId="17364194" w14:textId="3DE322CE" w:rsidR="00A02BFB" w:rsidRPr="00174744" w:rsidRDefault="00A02BFB" w:rsidP="008740D6">
      <w:pPr>
        <w:pStyle w:val="EndnoteText"/>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031946">
        <w:t>The Philippines</w:t>
      </w:r>
      <w:r w:rsidRPr="008B4D7D">
        <w:rPr>
          <w:color w:val="4F81BD"/>
        </w:rPr>
        <w:t xml:space="preserve"> </w:t>
      </w:r>
      <w:r w:rsidRPr="00806A55">
        <w:t>from the previous cycle (A/HRC/WG.6/</w:t>
      </w:r>
      <w:r w:rsidR="008741DC" w:rsidRPr="008740D6">
        <w:t>Acronym</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6B348A60" w:rsidR="00C70B3E" w:rsidRPr="00174744" w:rsidRDefault="00C70B3E" w:rsidP="008740D6">
      <w:pPr>
        <w:pStyle w:val="EndnoteText"/>
      </w:pPr>
      <w:r w:rsidRPr="00174744">
        <w:tab/>
      </w:r>
      <w:r w:rsidRPr="00174744">
        <w:rPr>
          <w:rStyle w:val="EndnoteReference"/>
          <w:szCs w:val="18"/>
        </w:rPr>
        <w:endnoteRef/>
      </w:r>
      <w:r w:rsidRPr="00174744">
        <w:tab/>
      </w:r>
      <w:r w:rsidRPr="008B4D7D">
        <w:t xml:space="preserve">Geneva Convention for the Amelioration of the Condition of the Wounded and Sick in Armed Forces in the Field (First Convention); Geneva Convention for the </w:t>
      </w:r>
      <w:r w:rsidRPr="008740D6">
        <w:t>Amelioration</w:t>
      </w:r>
      <w:r w:rsidRPr="008B4D7D">
        <w:t xml:space="preserve">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Pr="00874CFB">
        <w:t xml:space="preserve"> </w:t>
      </w:r>
      <w:r w:rsidRPr="008B4D7D">
        <w:rPr>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6E18B04" w14:textId="3494DEE3" w:rsidR="00C70B3E" w:rsidRPr="00BB4127" w:rsidRDefault="00C70B3E" w:rsidP="00A02BFB">
      <w:pPr>
        <w:pStyle w:val="EndnoteText"/>
        <w:widowControl w:val="0"/>
      </w:pPr>
      <w:r w:rsidRPr="00A82F81">
        <w:rPr>
          <w:szCs w:val="18"/>
        </w:rPr>
        <w:tab/>
      </w:r>
      <w:r w:rsidRPr="00A82F81">
        <w:rPr>
          <w:rStyle w:val="EndnoteReference"/>
          <w:szCs w:val="18"/>
        </w:rPr>
        <w:endnoteRef/>
      </w:r>
      <w:r w:rsidRPr="00A82F81">
        <w:rPr>
          <w:szCs w:val="18"/>
        </w:rPr>
        <w:tab/>
      </w:r>
      <w:r w:rsidRPr="00174744">
        <w:rPr>
          <w:color w:val="548DD4"/>
          <w:szCs w:val="18"/>
        </w:rPr>
        <w:t xml:space="preserve"> </w:t>
      </w:r>
      <w:r w:rsidRPr="00BB4127">
        <w:t>1951 Convention relating to the Status of Refugees and its 1967 Protocol, and 1954 Convention relating to the Status of Stateless Persons.</w:t>
      </w:r>
    </w:p>
  </w:endnote>
  <w:endnote w:id="7">
    <w:p w14:paraId="459EFF1B" w14:textId="77777777" w:rsidR="00C70B3E" w:rsidRPr="00A82F81" w:rsidRDefault="00C70B3E"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56AC8C72" w:rsidR="00C70B3E" w:rsidRPr="00E95F52" w:rsidRDefault="00C70B3E" w:rsidP="00A02BFB">
      <w:pPr>
        <w:pStyle w:val="EndnoteText"/>
      </w:pPr>
      <w:r w:rsidRPr="00A82F81">
        <w:rPr>
          <w:szCs w:val="18"/>
        </w:rPr>
        <w:tab/>
      </w:r>
      <w:r w:rsidRPr="00A82F81">
        <w:rPr>
          <w:rStyle w:val="EndnoteReference"/>
          <w:szCs w:val="18"/>
        </w:rPr>
        <w:endnoteRef/>
      </w:r>
      <w:r w:rsidRPr="00A82F81">
        <w:rPr>
          <w:szCs w:val="18"/>
        </w:rPr>
        <w:tab/>
      </w:r>
      <w:r w:rsidRPr="00470E9A">
        <w:rPr>
          <w:szCs w:val="18"/>
          <w:lang w:val="en-US"/>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and Convention No 187  Promotional Framework for Occupational Safety and Health Convention, 2006 (No. 187</w:t>
      </w:r>
      <w:r w:rsidRPr="00E95F52">
        <w:t>).</w:t>
      </w:r>
    </w:p>
  </w:endnote>
  <w:endnote w:id="9">
    <w:p w14:paraId="20D72452" w14:textId="46CADF87" w:rsidR="00C70B3E" w:rsidRPr="00470E9A" w:rsidRDefault="00C70B3E" w:rsidP="00124DDE">
      <w:pPr>
        <w:pStyle w:val="EndnoteText"/>
      </w:pPr>
      <w:r w:rsidRPr="00A82F81">
        <w:rPr>
          <w:szCs w:val="18"/>
        </w:rPr>
        <w:tab/>
      </w:r>
      <w:r w:rsidRPr="00A82F81">
        <w:rPr>
          <w:rStyle w:val="EndnoteReference"/>
          <w:szCs w:val="18"/>
        </w:rPr>
        <w:endnoteRef/>
      </w:r>
      <w:r w:rsidRPr="00A82F81">
        <w:rPr>
          <w:szCs w:val="18"/>
        </w:rPr>
        <w:tab/>
      </w:r>
      <w:r w:rsidRPr="00470E9A">
        <w:t>Domestic Workers Convention, 2011 (No. 189)</w:t>
      </w:r>
    </w:p>
  </w:endnote>
  <w:endnote w:id="10">
    <w:p w14:paraId="04B42DE9" w14:textId="0628E660" w:rsidR="00C70B3E" w:rsidRPr="00470E9A" w:rsidRDefault="00C70B3E" w:rsidP="00470E9A">
      <w:pPr>
        <w:pStyle w:val="EndnoteText"/>
      </w:pPr>
      <w:r w:rsidRPr="00A82F81">
        <w:rPr>
          <w:szCs w:val="18"/>
        </w:rPr>
        <w:tab/>
      </w:r>
      <w:r w:rsidRPr="00A82F81">
        <w:rPr>
          <w:rStyle w:val="EndnoteReference"/>
          <w:szCs w:val="18"/>
        </w:rPr>
        <w:endnoteRef/>
      </w:r>
      <w:r w:rsidRPr="00A82F81">
        <w:rPr>
          <w:szCs w:val="18"/>
        </w:rPr>
        <w:tab/>
      </w:r>
      <w:r w:rsidRPr="00470E9A">
        <w:t>ILO Indigenous and Tribal Peoples Convention, 1989 (No. 169), and Violence and Harassment Convention, 2019 (No. 190) and - Protocol of 2014 to the Forced Labour Convention, 1930.</w:t>
      </w:r>
    </w:p>
  </w:endnote>
  <w:endnote w:id="11">
    <w:p w14:paraId="27E9F5AC" w14:textId="7EBB105D"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6DAA22CD" w14:textId="21812EE7"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FF3DE3">
        <w:rPr>
          <w:szCs w:val="18"/>
        </w:rPr>
        <w:t>.</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6650B7B2" w14:textId="0070CEEE" w:rsidR="00130E35" w:rsidRDefault="009F54DA" w:rsidP="009F54DA">
      <w:pPr>
        <w:pStyle w:val="EndnoteText"/>
      </w:pPr>
      <w:r>
        <w:rPr>
          <w:szCs w:val="18"/>
        </w:rPr>
        <w:tab/>
      </w:r>
      <w:r w:rsidR="00130E35">
        <w:rPr>
          <w:rStyle w:val="EndnoteReference"/>
        </w:rPr>
        <w:endnoteRef/>
      </w:r>
      <w:r>
        <w:rPr>
          <w:szCs w:val="18"/>
        </w:rPr>
        <w:tab/>
      </w:r>
      <w:r w:rsidR="00130E35" w:rsidRPr="009E599C">
        <w:rPr>
          <w:szCs w:val="18"/>
        </w:rPr>
        <w:t>See</w:t>
      </w:r>
      <w:r w:rsidR="00130E35">
        <w:t xml:space="preserve"> </w:t>
      </w:r>
      <w:r w:rsidR="00130E35" w:rsidRPr="009E599C">
        <w:t>https://</w:t>
      </w:r>
      <w:r w:rsidR="00130E35" w:rsidRPr="009F54DA">
        <w:t>spcommreports</w:t>
      </w:r>
      <w:r w:rsidR="00130E35" w:rsidRPr="009E599C">
        <w:t>.ohchr.org/TmSearch/Results?page=1</w:t>
      </w:r>
    </w:p>
  </w:endnote>
  <w:endnote w:id="14">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5">
    <w:p w14:paraId="43D335C3" w14:textId="5E047C13"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468B718E" w:rsidR="00674A7D" w:rsidRDefault="00674A7D">
    <w:pPr>
      <w:pStyle w:val="Footer"/>
      <w:jc w:val="right"/>
    </w:pPr>
    <w:r>
      <w:fldChar w:fldCharType="begin"/>
    </w:r>
    <w:r>
      <w:instrText xml:space="preserve"> PAGE   \* MERGEFORMAT </w:instrText>
    </w:r>
    <w:r>
      <w:fldChar w:fldCharType="separate"/>
    </w:r>
    <w:r w:rsidR="00874CFB">
      <w:rPr>
        <w:noProof/>
      </w:rPr>
      <w:t>2</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A4F1" w14:textId="77777777" w:rsidR="008F6422" w:rsidRPr="000B175B" w:rsidRDefault="008F6422" w:rsidP="000B175B">
      <w:pPr>
        <w:tabs>
          <w:tab w:val="right" w:pos="2155"/>
        </w:tabs>
        <w:spacing w:after="80"/>
        <w:ind w:left="680"/>
        <w:rPr>
          <w:u w:val="single"/>
        </w:rPr>
      </w:pPr>
      <w:r>
        <w:rPr>
          <w:u w:val="single"/>
        </w:rPr>
        <w:tab/>
      </w:r>
    </w:p>
  </w:footnote>
  <w:footnote w:type="continuationSeparator" w:id="0">
    <w:p w14:paraId="604B2ACD" w14:textId="77777777" w:rsidR="008F6422" w:rsidRPr="00FC68B7" w:rsidRDefault="008F6422" w:rsidP="00FC68B7">
      <w:pPr>
        <w:tabs>
          <w:tab w:val="left" w:pos="2155"/>
        </w:tabs>
        <w:spacing w:after="80"/>
        <w:ind w:left="680"/>
        <w:rPr>
          <w:u w:val="single"/>
        </w:rPr>
      </w:pPr>
      <w:r>
        <w:rPr>
          <w:u w:val="single"/>
        </w:rPr>
        <w:tab/>
      </w:r>
    </w:p>
  </w:footnote>
  <w:footnote w:type="continuationNotice" w:id="1">
    <w:p w14:paraId="618D6800" w14:textId="77777777" w:rsidR="008F6422" w:rsidRDefault="008F6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15D8"/>
    <w:rsid w:val="00007F7F"/>
    <w:rsid w:val="00015BC9"/>
    <w:rsid w:val="00022DB5"/>
    <w:rsid w:val="0002432F"/>
    <w:rsid w:val="00031946"/>
    <w:rsid w:val="000344CE"/>
    <w:rsid w:val="000362E0"/>
    <w:rsid w:val="000403D1"/>
    <w:rsid w:val="000449AA"/>
    <w:rsid w:val="00050F6B"/>
    <w:rsid w:val="00072C8C"/>
    <w:rsid w:val="00073E70"/>
    <w:rsid w:val="00075368"/>
    <w:rsid w:val="00085943"/>
    <w:rsid w:val="000876EB"/>
    <w:rsid w:val="00091419"/>
    <w:rsid w:val="000931C0"/>
    <w:rsid w:val="000A27ED"/>
    <w:rsid w:val="000B175B"/>
    <w:rsid w:val="000B3A0F"/>
    <w:rsid w:val="000B4A3B"/>
    <w:rsid w:val="000D0709"/>
    <w:rsid w:val="000D1851"/>
    <w:rsid w:val="000D73DE"/>
    <w:rsid w:val="000E0415"/>
    <w:rsid w:val="000F61E0"/>
    <w:rsid w:val="000F63EB"/>
    <w:rsid w:val="00101E4D"/>
    <w:rsid w:val="00116E64"/>
    <w:rsid w:val="00124DDE"/>
    <w:rsid w:val="0013065A"/>
    <w:rsid w:val="00130E35"/>
    <w:rsid w:val="0013136E"/>
    <w:rsid w:val="00132BC7"/>
    <w:rsid w:val="00146D32"/>
    <w:rsid w:val="001479AD"/>
    <w:rsid w:val="00147D55"/>
    <w:rsid w:val="001509BA"/>
    <w:rsid w:val="00157983"/>
    <w:rsid w:val="001614E7"/>
    <w:rsid w:val="00165EF2"/>
    <w:rsid w:val="0018054B"/>
    <w:rsid w:val="001A469C"/>
    <w:rsid w:val="001A4E3C"/>
    <w:rsid w:val="001A5FF3"/>
    <w:rsid w:val="001A73FD"/>
    <w:rsid w:val="001B44EB"/>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4EA9"/>
    <w:rsid w:val="0027725F"/>
    <w:rsid w:val="00283347"/>
    <w:rsid w:val="00292174"/>
    <w:rsid w:val="00296EB7"/>
    <w:rsid w:val="002B4713"/>
    <w:rsid w:val="002B4DD8"/>
    <w:rsid w:val="002C21F0"/>
    <w:rsid w:val="002C3520"/>
    <w:rsid w:val="002C4587"/>
    <w:rsid w:val="002D152D"/>
    <w:rsid w:val="002E114D"/>
    <w:rsid w:val="002E14AA"/>
    <w:rsid w:val="002E646B"/>
    <w:rsid w:val="003107FA"/>
    <w:rsid w:val="00317977"/>
    <w:rsid w:val="00317E7B"/>
    <w:rsid w:val="003229D8"/>
    <w:rsid w:val="00324383"/>
    <w:rsid w:val="003260EF"/>
    <w:rsid w:val="003314D1"/>
    <w:rsid w:val="00335A2F"/>
    <w:rsid w:val="00341937"/>
    <w:rsid w:val="00341D5E"/>
    <w:rsid w:val="00350CFD"/>
    <w:rsid w:val="00352BFF"/>
    <w:rsid w:val="00354E8D"/>
    <w:rsid w:val="0035656B"/>
    <w:rsid w:val="00362256"/>
    <w:rsid w:val="0037215F"/>
    <w:rsid w:val="00380822"/>
    <w:rsid w:val="0038287A"/>
    <w:rsid w:val="00383BE1"/>
    <w:rsid w:val="00386AC0"/>
    <w:rsid w:val="0039277A"/>
    <w:rsid w:val="003930E5"/>
    <w:rsid w:val="003932E2"/>
    <w:rsid w:val="003972E0"/>
    <w:rsid w:val="003975ED"/>
    <w:rsid w:val="003A4E25"/>
    <w:rsid w:val="003B2E78"/>
    <w:rsid w:val="003B4787"/>
    <w:rsid w:val="003C2CC4"/>
    <w:rsid w:val="003C7617"/>
    <w:rsid w:val="003D4B23"/>
    <w:rsid w:val="003E03C5"/>
    <w:rsid w:val="003E065C"/>
    <w:rsid w:val="003E19D9"/>
    <w:rsid w:val="003E33AE"/>
    <w:rsid w:val="003E591C"/>
    <w:rsid w:val="003E6998"/>
    <w:rsid w:val="00400E06"/>
    <w:rsid w:val="00402E7F"/>
    <w:rsid w:val="00403DEE"/>
    <w:rsid w:val="00420F46"/>
    <w:rsid w:val="00420F8B"/>
    <w:rsid w:val="00424C80"/>
    <w:rsid w:val="00431A65"/>
    <w:rsid w:val="004325CB"/>
    <w:rsid w:val="00443D57"/>
    <w:rsid w:val="0044503A"/>
    <w:rsid w:val="00446DE4"/>
    <w:rsid w:val="00447195"/>
    <w:rsid w:val="00447761"/>
    <w:rsid w:val="00451629"/>
    <w:rsid w:val="00451EC3"/>
    <w:rsid w:val="004522E5"/>
    <w:rsid w:val="00452559"/>
    <w:rsid w:val="00452768"/>
    <w:rsid w:val="0045636B"/>
    <w:rsid w:val="004565E6"/>
    <w:rsid w:val="0045749E"/>
    <w:rsid w:val="0046479D"/>
    <w:rsid w:val="00470E9A"/>
    <w:rsid w:val="004721B1"/>
    <w:rsid w:val="004722FF"/>
    <w:rsid w:val="004766F2"/>
    <w:rsid w:val="004776AD"/>
    <w:rsid w:val="004859EC"/>
    <w:rsid w:val="00493CFF"/>
    <w:rsid w:val="00496A15"/>
    <w:rsid w:val="004A1AA5"/>
    <w:rsid w:val="004A76BD"/>
    <w:rsid w:val="004A7EE3"/>
    <w:rsid w:val="004B75D2"/>
    <w:rsid w:val="004C2B25"/>
    <w:rsid w:val="004C74B8"/>
    <w:rsid w:val="004D1140"/>
    <w:rsid w:val="004E01CE"/>
    <w:rsid w:val="004E25CB"/>
    <w:rsid w:val="004F15C4"/>
    <w:rsid w:val="004F55ED"/>
    <w:rsid w:val="004F6BCA"/>
    <w:rsid w:val="00505C67"/>
    <w:rsid w:val="0052176C"/>
    <w:rsid w:val="00521D8F"/>
    <w:rsid w:val="005261E5"/>
    <w:rsid w:val="005420F2"/>
    <w:rsid w:val="00542574"/>
    <w:rsid w:val="005436AB"/>
    <w:rsid w:val="005457B9"/>
    <w:rsid w:val="00546DBF"/>
    <w:rsid w:val="005512BA"/>
    <w:rsid w:val="005534E1"/>
    <w:rsid w:val="00553D76"/>
    <w:rsid w:val="005551EC"/>
    <w:rsid w:val="005552B5"/>
    <w:rsid w:val="00555342"/>
    <w:rsid w:val="0056117B"/>
    <w:rsid w:val="005615E8"/>
    <w:rsid w:val="005620C3"/>
    <w:rsid w:val="0057084A"/>
    <w:rsid w:val="00571365"/>
    <w:rsid w:val="00574F7B"/>
    <w:rsid w:val="00592BF5"/>
    <w:rsid w:val="00592E55"/>
    <w:rsid w:val="005A22DB"/>
    <w:rsid w:val="005A288A"/>
    <w:rsid w:val="005B3DB3"/>
    <w:rsid w:val="005B6E48"/>
    <w:rsid w:val="005D56FC"/>
    <w:rsid w:val="005E1712"/>
    <w:rsid w:val="005F6E73"/>
    <w:rsid w:val="006116A3"/>
    <w:rsid w:val="00611FC4"/>
    <w:rsid w:val="006176FB"/>
    <w:rsid w:val="00626E6C"/>
    <w:rsid w:val="0063060D"/>
    <w:rsid w:val="00634D5D"/>
    <w:rsid w:val="00637F34"/>
    <w:rsid w:val="00640B26"/>
    <w:rsid w:val="00644301"/>
    <w:rsid w:val="006525EF"/>
    <w:rsid w:val="00663367"/>
    <w:rsid w:val="00670741"/>
    <w:rsid w:val="00674A7D"/>
    <w:rsid w:val="0067630F"/>
    <w:rsid w:val="00676C10"/>
    <w:rsid w:val="006778E7"/>
    <w:rsid w:val="006808A9"/>
    <w:rsid w:val="00696BD6"/>
    <w:rsid w:val="006A18AC"/>
    <w:rsid w:val="006A6B9D"/>
    <w:rsid w:val="006A7392"/>
    <w:rsid w:val="006B3189"/>
    <w:rsid w:val="006B7D65"/>
    <w:rsid w:val="006D6DA6"/>
    <w:rsid w:val="006E564B"/>
    <w:rsid w:val="006F13F0"/>
    <w:rsid w:val="006F5035"/>
    <w:rsid w:val="007065EB"/>
    <w:rsid w:val="00720183"/>
    <w:rsid w:val="0072632A"/>
    <w:rsid w:val="00741A0B"/>
    <w:rsid w:val="0074200B"/>
    <w:rsid w:val="00754BEF"/>
    <w:rsid w:val="00755B00"/>
    <w:rsid w:val="00757201"/>
    <w:rsid w:val="0076416B"/>
    <w:rsid w:val="007722EB"/>
    <w:rsid w:val="00772921"/>
    <w:rsid w:val="007953F7"/>
    <w:rsid w:val="007A6296"/>
    <w:rsid w:val="007B6BA5"/>
    <w:rsid w:val="007C1B62"/>
    <w:rsid w:val="007C3390"/>
    <w:rsid w:val="007C4F4B"/>
    <w:rsid w:val="007D2CDC"/>
    <w:rsid w:val="007D5213"/>
    <w:rsid w:val="007D5327"/>
    <w:rsid w:val="007E2C3B"/>
    <w:rsid w:val="007E3094"/>
    <w:rsid w:val="007E55A4"/>
    <w:rsid w:val="007E5B90"/>
    <w:rsid w:val="007E75F7"/>
    <w:rsid w:val="007F085C"/>
    <w:rsid w:val="007F6611"/>
    <w:rsid w:val="00802FBE"/>
    <w:rsid w:val="00813931"/>
    <w:rsid w:val="008155C3"/>
    <w:rsid w:val="008175E9"/>
    <w:rsid w:val="0082243E"/>
    <w:rsid w:val="008242D7"/>
    <w:rsid w:val="00856CD2"/>
    <w:rsid w:val="00861BC6"/>
    <w:rsid w:val="00871FD5"/>
    <w:rsid w:val="008740D6"/>
    <w:rsid w:val="008741DC"/>
    <w:rsid w:val="00874CFB"/>
    <w:rsid w:val="00875FCF"/>
    <w:rsid w:val="008979B1"/>
    <w:rsid w:val="008A6B25"/>
    <w:rsid w:val="008A6C4F"/>
    <w:rsid w:val="008A7AD8"/>
    <w:rsid w:val="008B18B7"/>
    <w:rsid w:val="008B4D7D"/>
    <w:rsid w:val="008B781D"/>
    <w:rsid w:val="008C0466"/>
    <w:rsid w:val="008C1E4D"/>
    <w:rsid w:val="008C5576"/>
    <w:rsid w:val="008D1CFB"/>
    <w:rsid w:val="008D363E"/>
    <w:rsid w:val="008E0E46"/>
    <w:rsid w:val="008E5D82"/>
    <w:rsid w:val="008F08BC"/>
    <w:rsid w:val="008F51A8"/>
    <w:rsid w:val="008F6422"/>
    <w:rsid w:val="008F71D6"/>
    <w:rsid w:val="0090452C"/>
    <w:rsid w:val="009045C9"/>
    <w:rsid w:val="00907C3F"/>
    <w:rsid w:val="0091458B"/>
    <w:rsid w:val="00920A33"/>
    <w:rsid w:val="0092237C"/>
    <w:rsid w:val="00926FF1"/>
    <w:rsid w:val="0093707B"/>
    <w:rsid w:val="009400EB"/>
    <w:rsid w:val="00941383"/>
    <w:rsid w:val="009427E3"/>
    <w:rsid w:val="0094563C"/>
    <w:rsid w:val="00947CFF"/>
    <w:rsid w:val="00956D9B"/>
    <w:rsid w:val="0096139A"/>
    <w:rsid w:val="0096330A"/>
    <w:rsid w:val="00963CBA"/>
    <w:rsid w:val="009654B7"/>
    <w:rsid w:val="00967FA4"/>
    <w:rsid w:val="009740EE"/>
    <w:rsid w:val="00975459"/>
    <w:rsid w:val="009822C1"/>
    <w:rsid w:val="009841C7"/>
    <w:rsid w:val="00991261"/>
    <w:rsid w:val="009A0B83"/>
    <w:rsid w:val="009B123A"/>
    <w:rsid w:val="009B3476"/>
    <w:rsid w:val="009B3800"/>
    <w:rsid w:val="009C5335"/>
    <w:rsid w:val="009D22AC"/>
    <w:rsid w:val="009D3FA1"/>
    <w:rsid w:val="009D50DB"/>
    <w:rsid w:val="009E1C4E"/>
    <w:rsid w:val="009E599C"/>
    <w:rsid w:val="009E78E3"/>
    <w:rsid w:val="009F0B0E"/>
    <w:rsid w:val="009F2C8D"/>
    <w:rsid w:val="009F3953"/>
    <w:rsid w:val="009F407E"/>
    <w:rsid w:val="009F414E"/>
    <w:rsid w:val="009F54DA"/>
    <w:rsid w:val="00A02BFB"/>
    <w:rsid w:val="00A02F74"/>
    <w:rsid w:val="00A03F9D"/>
    <w:rsid w:val="00A05E0B"/>
    <w:rsid w:val="00A074DD"/>
    <w:rsid w:val="00A1427D"/>
    <w:rsid w:val="00A14E4B"/>
    <w:rsid w:val="00A14EAC"/>
    <w:rsid w:val="00A21DE3"/>
    <w:rsid w:val="00A30B48"/>
    <w:rsid w:val="00A30C51"/>
    <w:rsid w:val="00A32DD6"/>
    <w:rsid w:val="00A3619D"/>
    <w:rsid w:val="00A425D0"/>
    <w:rsid w:val="00A433B2"/>
    <w:rsid w:val="00A4634F"/>
    <w:rsid w:val="00A51CF3"/>
    <w:rsid w:val="00A61D9A"/>
    <w:rsid w:val="00A63125"/>
    <w:rsid w:val="00A63DA6"/>
    <w:rsid w:val="00A67EFD"/>
    <w:rsid w:val="00A712AF"/>
    <w:rsid w:val="00A72F22"/>
    <w:rsid w:val="00A73042"/>
    <w:rsid w:val="00A748A6"/>
    <w:rsid w:val="00A75300"/>
    <w:rsid w:val="00A879A4"/>
    <w:rsid w:val="00A87E95"/>
    <w:rsid w:val="00A91390"/>
    <w:rsid w:val="00A92E29"/>
    <w:rsid w:val="00AB0D4C"/>
    <w:rsid w:val="00AB50D2"/>
    <w:rsid w:val="00AC16B2"/>
    <w:rsid w:val="00AC2000"/>
    <w:rsid w:val="00AC57AF"/>
    <w:rsid w:val="00AD09E9"/>
    <w:rsid w:val="00AD104C"/>
    <w:rsid w:val="00AD1B54"/>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2F43"/>
    <w:rsid w:val="00B44A97"/>
    <w:rsid w:val="00B44CAA"/>
    <w:rsid w:val="00B46A2E"/>
    <w:rsid w:val="00B53013"/>
    <w:rsid w:val="00B56317"/>
    <w:rsid w:val="00B67F5E"/>
    <w:rsid w:val="00B73E65"/>
    <w:rsid w:val="00B81E12"/>
    <w:rsid w:val="00B87110"/>
    <w:rsid w:val="00B90627"/>
    <w:rsid w:val="00B97FA8"/>
    <w:rsid w:val="00BA6FAF"/>
    <w:rsid w:val="00BA7D66"/>
    <w:rsid w:val="00BB2720"/>
    <w:rsid w:val="00BB4127"/>
    <w:rsid w:val="00BC1385"/>
    <w:rsid w:val="00BC74E9"/>
    <w:rsid w:val="00BE618E"/>
    <w:rsid w:val="00BE6A87"/>
    <w:rsid w:val="00BF07FE"/>
    <w:rsid w:val="00BF7F28"/>
    <w:rsid w:val="00C05762"/>
    <w:rsid w:val="00C163EA"/>
    <w:rsid w:val="00C2053A"/>
    <w:rsid w:val="00C207EF"/>
    <w:rsid w:val="00C22D6C"/>
    <w:rsid w:val="00C24693"/>
    <w:rsid w:val="00C3427B"/>
    <w:rsid w:val="00C35F0B"/>
    <w:rsid w:val="00C463DD"/>
    <w:rsid w:val="00C548FC"/>
    <w:rsid w:val="00C55FAB"/>
    <w:rsid w:val="00C62B61"/>
    <w:rsid w:val="00C64458"/>
    <w:rsid w:val="00C67D1E"/>
    <w:rsid w:val="00C70B3E"/>
    <w:rsid w:val="00C745C3"/>
    <w:rsid w:val="00C81253"/>
    <w:rsid w:val="00C8450C"/>
    <w:rsid w:val="00C85F14"/>
    <w:rsid w:val="00CA2A58"/>
    <w:rsid w:val="00CA2E07"/>
    <w:rsid w:val="00CA6DE7"/>
    <w:rsid w:val="00CC03CC"/>
    <w:rsid w:val="00CC0B55"/>
    <w:rsid w:val="00CD6995"/>
    <w:rsid w:val="00CE4A8F"/>
    <w:rsid w:val="00CE7DAB"/>
    <w:rsid w:val="00CF0214"/>
    <w:rsid w:val="00CF586F"/>
    <w:rsid w:val="00CF7D43"/>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DC3"/>
    <w:rsid w:val="00D62E90"/>
    <w:rsid w:val="00D6573E"/>
    <w:rsid w:val="00D725F7"/>
    <w:rsid w:val="00D7541C"/>
    <w:rsid w:val="00D75C61"/>
    <w:rsid w:val="00D76BE5"/>
    <w:rsid w:val="00D8128F"/>
    <w:rsid w:val="00D82670"/>
    <w:rsid w:val="00D96AE6"/>
    <w:rsid w:val="00D978C6"/>
    <w:rsid w:val="00DA2197"/>
    <w:rsid w:val="00DA67AD"/>
    <w:rsid w:val="00DB18CE"/>
    <w:rsid w:val="00DC2B79"/>
    <w:rsid w:val="00DD3674"/>
    <w:rsid w:val="00DE3EC0"/>
    <w:rsid w:val="00DE4620"/>
    <w:rsid w:val="00DE62A5"/>
    <w:rsid w:val="00DE7BF3"/>
    <w:rsid w:val="00DF18EB"/>
    <w:rsid w:val="00E0348D"/>
    <w:rsid w:val="00E04BAF"/>
    <w:rsid w:val="00E11593"/>
    <w:rsid w:val="00E12B6B"/>
    <w:rsid w:val="00E130AB"/>
    <w:rsid w:val="00E170D4"/>
    <w:rsid w:val="00E21F57"/>
    <w:rsid w:val="00E3102C"/>
    <w:rsid w:val="00E37EB2"/>
    <w:rsid w:val="00E438D9"/>
    <w:rsid w:val="00E5644E"/>
    <w:rsid w:val="00E66B4F"/>
    <w:rsid w:val="00E7260F"/>
    <w:rsid w:val="00E73CDB"/>
    <w:rsid w:val="00E73CFF"/>
    <w:rsid w:val="00E806EE"/>
    <w:rsid w:val="00E83FD4"/>
    <w:rsid w:val="00E86049"/>
    <w:rsid w:val="00E87FFD"/>
    <w:rsid w:val="00E95296"/>
    <w:rsid w:val="00E95F52"/>
    <w:rsid w:val="00E96630"/>
    <w:rsid w:val="00E96891"/>
    <w:rsid w:val="00EB0946"/>
    <w:rsid w:val="00EB0EF8"/>
    <w:rsid w:val="00EB0FB9"/>
    <w:rsid w:val="00EC65B4"/>
    <w:rsid w:val="00ED0CA9"/>
    <w:rsid w:val="00ED7A2A"/>
    <w:rsid w:val="00EE41AB"/>
    <w:rsid w:val="00EE41E7"/>
    <w:rsid w:val="00EE7D5F"/>
    <w:rsid w:val="00EF1D7F"/>
    <w:rsid w:val="00EF5BDB"/>
    <w:rsid w:val="00F07FD9"/>
    <w:rsid w:val="00F21C38"/>
    <w:rsid w:val="00F238A8"/>
    <w:rsid w:val="00F23933"/>
    <w:rsid w:val="00F24119"/>
    <w:rsid w:val="00F30B7B"/>
    <w:rsid w:val="00F34950"/>
    <w:rsid w:val="00F40E75"/>
    <w:rsid w:val="00F42CD9"/>
    <w:rsid w:val="00F456F5"/>
    <w:rsid w:val="00F52936"/>
    <w:rsid w:val="00F54817"/>
    <w:rsid w:val="00F63CF0"/>
    <w:rsid w:val="00F677CB"/>
    <w:rsid w:val="00F71571"/>
    <w:rsid w:val="00F715B8"/>
    <w:rsid w:val="00F72113"/>
    <w:rsid w:val="00F723A2"/>
    <w:rsid w:val="00F76CA4"/>
    <w:rsid w:val="00F97C5D"/>
    <w:rsid w:val="00FA1AE7"/>
    <w:rsid w:val="00FA7DF3"/>
    <w:rsid w:val="00FC68B7"/>
    <w:rsid w:val="00FD268F"/>
    <w:rsid w:val="00FD7C12"/>
    <w:rsid w:val="00FE384E"/>
    <w:rsid w:val="00FF3DE3"/>
    <w:rsid w:val="00FF4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9CF7-B2DF-4A0D-8512-3B00AB5D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6</TotalTime>
  <Pages>5</Pages>
  <Words>387</Words>
  <Characters>2712</Characters>
  <Application>Microsoft Office Word</Application>
  <DocSecurity>0</DocSecurity>
  <Lines>678</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7</cp:revision>
  <cp:lastPrinted>2008-01-29T07:30:00Z</cp:lastPrinted>
  <dcterms:created xsi:type="dcterms:W3CDTF">2022-10-05T13:31:00Z</dcterms:created>
  <dcterms:modified xsi:type="dcterms:W3CDTF">2022-10-05T15:16:00Z</dcterms:modified>
</cp:coreProperties>
</file>