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1DDC1D26" w:rsidR="00A02BFB" w:rsidRPr="00B068CF"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B068CF">
        <w:rPr>
          <w:lang w:val="fr-CH"/>
        </w:rPr>
        <w:t>B</w:t>
      </w:r>
      <w:r w:rsidR="00C369E3">
        <w:rPr>
          <w:lang w:val="fr-CH"/>
        </w:rPr>
        <w:t>razil</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8B3A06" w14:paraId="54E70C6F" w14:textId="77777777" w:rsidTr="008B3A06">
        <w:trPr>
          <w:tblHeader/>
        </w:trPr>
        <w:tc>
          <w:tcPr>
            <w:tcW w:w="3213" w:type="dxa"/>
            <w:tcBorders>
              <w:top w:val="single" w:sz="4" w:space="0" w:color="auto"/>
              <w:bottom w:val="single" w:sz="12" w:space="0" w:color="auto"/>
            </w:tcBorders>
            <w:shd w:val="clear" w:color="auto" w:fill="auto"/>
            <w:vAlign w:val="bottom"/>
          </w:tcPr>
          <w:p w14:paraId="07D59C85" w14:textId="77777777" w:rsidR="009B3476" w:rsidRPr="008B3A06" w:rsidRDefault="009B3476" w:rsidP="008B3A06">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28E25523" w14:textId="56135D7F" w:rsidR="009B3476" w:rsidRPr="008B3A06" w:rsidRDefault="009B3476" w:rsidP="008B3A06">
            <w:pPr>
              <w:spacing w:before="80" w:after="80" w:line="200" w:lineRule="exact"/>
              <w:ind w:right="113"/>
              <w:rPr>
                <w:i/>
                <w:sz w:val="16"/>
              </w:rPr>
            </w:pPr>
            <w:r w:rsidRPr="008B3A06">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3A06" w:rsidRDefault="009B3476" w:rsidP="008B3A06">
            <w:pPr>
              <w:spacing w:before="80" w:after="80" w:line="200" w:lineRule="exact"/>
              <w:ind w:right="113"/>
              <w:rPr>
                <w:i/>
                <w:sz w:val="16"/>
              </w:rPr>
            </w:pPr>
            <w:r w:rsidRPr="008B3A06">
              <w:rPr>
                <w:i/>
                <w:sz w:val="16"/>
              </w:rPr>
              <w:t>Not ratified/not accepted</w:t>
            </w:r>
          </w:p>
        </w:tc>
      </w:tr>
      <w:tr w:rsidR="008B3A06" w:rsidRPr="008B3A06" w14:paraId="4F9FDA33" w14:textId="77777777" w:rsidTr="008B3A06">
        <w:trPr>
          <w:trHeight w:hRule="exact" w:val="113"/>
        </w:trPr>
        <w:tc>
          <w:tcPr>
            <w:tcW w:w="3213" w:type="dxa"/>
            <w:tcBorders>
              <w:top w:val="single" w:sz="12" w:space="0" w:color="auto"/>
            </w:tcBorders>
            <w:shd w:val="clear" w:color="auto" w:fill="auto"/>
          </w:tcPr>
          <w:p w14:paraId="67A8C243" w14:textId="77777777" w:rsidR="008B3A06" w:rsidRPr="008B3A06" w:rsidRDefault="008B3A06" w:rsidP="008B3A06">
            <w:pPr>
              <w:spacing w:before="40" w:after="120"/>
              <w:ind w:right="113"/>
            </w:pPr>
          </w:p>
        </w:tc>
        <w:tc>
          <w:tcPr>
            <w:tcW w:w="3211" w:type="dxa"/>
            <w:tcBorders>
              <w:top w:val="single" w:sz="12" w:space="0" w:color="auto"/>
            </w:tcBorders>
            <w:shd w:val="clear" w:color="auto" w:fill="auto"/>
          </w:tcPr>
          <w:p w14:paraId="503166F2" w14:textId="77777777" w:rsidR="008B3A06" w:rsidRPr="008B3A06" w:rsidRDefault="008B3A06" w:rsidP="008B3A06">
            <w:pPr>
              <w:spacing w:before="40" w:after="120"/>
              <w:ind w:right="113"/>
            </w:pPr>
          </w:p>
        </w:tc>
        <w:tc>
          <w:tcPr>
            <w:tcW w:w="3213" w:type="dxa"/>
            <w:tcBorders>
              <w:top w:val="single" w:sz="12" w:space="0" w:color="auto"/>
            </w:tcBorders>
            <w:shd w:val="clear" w:color="auto" w:fill="auto"/>
          </w:tcPr>
          <w:p w14:paraId="12472D41" w14:textId="77777777" w:rsidR="008B3A06" w:rsidRPr="008B3A06" w:rsidRDefault="008B3A06" w:rsidP="008B3A06">
            <w:pPr>
              <w:spacing w:before="40" w:after="120"/>
              <w:ind w:right="113"/>
            </w:pPr>
          </w:p>
        </w:tc>
      </w:tr>
      <w:tr w:rsidR="009B3476" w:rsidRPr="008B3A06" w14:paraId="0021CB84" w14:textId="77777777" w:rsidTr="008B3A06">
        <w:tc>
          <w:tcPr>
            <w:tcW w:w="3213" w:type="dxa"/>
            <w:shd w:val="clear" w:color="auto" w:fill="auto"/>
          </w:tcPr>
          <w:p w14:paraId="1FEC1F64" w14:textId="77777777" w:rsidR="009B3476" w:rsidRPr="008B3A06" w:rsidRDefault="009B3476" w:rsidP="008B3A06">
            <w:pPr>
              <w:spacing w:before="40" w:after="120"/>
              <w:ind w:right="113"/>
              <w:rPr>
                <w:i/>
                <w:iCs/>
              </w:rPr>
            </w:pPr>
            <w:r w:rsidRPr="008B3A06">
              <w:rPr>
                <w:i/>
                <w:iCs/>
              </w:rPr>
              <w:t>Ratification, accession or succession</w:t>
            </w:r>
          </w:p>
        </w:tc>
        <w:tc>
          <w:tcPr>
            <w:tcW w:w="3211" w:type="dxa"/>
            <w:shd w:val="clear" w:color="auto" w:fill="auto"/>
          </w:tcPr>
          <w:p w14:paraId="407CF6B3" w14:textId="633FB272" w:rsidR="009B3476" w:rsidRPr="00230C0A" w:rsidRDefault="009B3476" w:rsidP="008B3A06">
            <w:pPr>
              <w:spacing w:before="40" w:after="120"/>
              <w:ind w:right="113"/>
              <w:rPr>
                <w:lang w:val="fr-CH"/>
              </w:rPr>
            </w:pPr>
            <w:r w:rsidRPr="00230C0A">
              <w:rPr>
                <w:lang w:val="fr-CH"/>
              </w:rPr>
              <w:t>ICERD (</w:t>
            </w:r>
            <w:r w:rsidR="00A57381" w:rsidRPr="00230C0A">
              <w:rPr>
                <w:lang w:val="fr-CH"/>
              </w:rPr>
              <w:t>1968</w:t>
            </w:r>
            <w:r w:rsidRPr="00230C0A">
              <w:rPr>
                <w:lang w:val="fr-CH"/>
              </w:rPr>
              <w:t>)</w:t>
            </w:r>
          </w:p>
          <w:p w14:paraId="151113C9" w14:textId="5C4C0C29" w:rsidR="009B3476" w:rsidRPr="00230C0A" w:rsidRDefault="009B3476" w:rsidP="008B3A06">
            <w:pPr>
              <w:spacing w:before="40" w:after="120"/>
              <w:ind w:right="113"/>
              <w:rPr>
                <w:lang w:val="fr-CH"/>
              </w:rPr>
            </w:pPr>
            <w:r w:rsidRPr="00230C0A">
              <w:rPr>
                <w:lang w:val="fr-CH"/>
              </w:rPr>
              <w:t>ICESCR (</w:t>
            </w:r>
            <w:r w:rsidR="00A57381" w:rsidRPr="00230C0A">
              <w:rPr>
                <w:lang w:val="fr-CH"/>
              </w:rPr>
              <w:t>1992</w:t>
            </w:r>
            <w:r w:rsidRPr="00230C0A">
              <w:rPr>
                <w:lang w:val="fr-CH"/>
              </w:rPr>
              <w:t>)</w:t>
            </w:r>
          </w:p>
          <w:p w14:paraId="4B30C8EE" w14:textId="719F336E" w:rsidR="009B3476" w:rsidRPr="00230C0A" w:rsidRDefault="009B3476" w:rsidP="008B3A06">
            <w:pPr>
              <w:spacing w:before="40" w:after="120"/>
              <w:ind w:right="113"/>
              <w:rPr>
                <w:lang w:val="fr-CH"/>
              </w:rPr>
            </w:pPr>
            <w:r w:rsidRPr="00230C0A">
              <w:rPr>
                <w:lang w:val="fr-CH"/>
              </w:rPr>
              <w:t>ICCPR (</w:t>
            </w:r>
            <w:r w:rsidR="00A57381" w:rsidRPr="00230C0A">
              <w:rPr>
                <w:lang w:val="fr-CH"/>
              </w:rPr>
              <w:t>1992</w:t>
            </w:r>
            <w:r w:rsidRPr="00230C0A">
              <w:rPr>
                <w:lang w:val="fr-CH"/>
              </w:rPr>
              <w:t>)</w:t>
            </w:r>
          </w:p>
          <w:p w14:paraId="2999342B" w14:textId="09023A62" w:rsidR="009B3476" w:rsidRPr="00230C0A" w:rsidRDefault="009B3476" w:rsidP="008B3A06">
            <w:pPr>
              <w:spacing w:before="40" w:after="120"/>
              <w:ind w:right="113"/>
              <w:rPr>
                <w:lang w:val="fr-CH"/>
              </w:rPr>
            </w:pPr>
            <w:r w:rsidRPr="00230C0A">
              <w:rPr>
                <w:lang w:val="fr-CH"/>
              </w:rPr>
              <w:t>ICCPR-OP 2 (</w:t>
            </w:r>
            <w:r w:rsidR="00A0429A" w:rsidRPr="00230C0A">
              <w:rPr>
                <w:lang w:val="fr-CH"/>
              </w:rPr>
              <w:t>2009</w:t>
            </w:r>
            <w:r w:rsidRPr="00230C0A">
              <w:rPr>
                <w:lang w:val="fr-CH"/>
              </w:rPr>
              <w:t>)</w:t>
            </w:r>
          </w:p>
          <w:p w14:paraId="75732A10" w14:textId="1319DA0A" w:rsidR="009B3476" w:rsidRPr="008B3A06" w:rsidRDefault="009B3476" w:rsidP="008B3A06">
            <w:pPr>
              <w:spacing w:before="40" w:after="120"/>
              <w:ind w:right="113"/>
            </w:pPr>
            <w:r w:rsidRPr="008B3A06">
              <w:t>CEDAW (</w:t>
            </w:r>
            <w:r w:rsidR="00A57381" w:rsidRPr="008B3A06">
              <w:t>1984</w:t>
            </w:r>
            <w:r w:rsidRPr="008B3A06">
              <w:t>)</w:t>
            </w:r>
          </w:p>
          <w:p w14:paraId="5E219CD9" w14:textId="5E7B1C0A" w:rsidR="009B3476" w:rsidRPr="008B3A06" w:rsidRDefault="009B3476" w:rsidP="008B3A06">
            <w:pPr>
              <w:spacing w:before="40" w:after="120"/>
              <w:ind w:right="113"/>
            </w:pPr>
            <w:r w:rsidRPr="008B3A06">
              <w:t>CAT (</w:t>
            </w:r>
            <w:r w:rsidR="00A57381" w:rsidRPr="008B3A06">
              <w:t>1989</w:t>
            </w:r>
            <w:r w:rsidRPr="008B3A06">
              <w:t>)</w:t>
            </w:r>
          </w:p>
          <w:p w14:paraId="4A8B268B" w14:textId="05B82BAD" w:rsidR="009B3476" w:rsidRPr="008B3A06" w:rsidRDefault="009B3476" w:rsidP="008B3A06">
            <w:pPr>
              <w:spacing w:before="40" w:after="120"/>
              <w:ind w:right="113"/>
            </w:pPr>
            <w:r w:rsidRPr="008B3A06">
              <w:t>OP-CAT (</w:t>
            </w:r>
            <w:r w:rsidR="00A57381" w:rsidRPr="008B3A06">
              <w:t>2007</w:t>
            </w:r>
            <w:r w:rsidRPr="008B3A06">
              <w:t>)</w:t>
            </w:r>
          </w:p>
          <w:p w14:paraId="57528A0C" w14:textId="41BA6F87" w:rsidR="009B3476" w:rsidRPr="008B3A06" w:rsidRDefault="009B3476" w:rsidP="008B3A06">
            <w:pPr>
              <w:spacing w:before="40" w:after="120"/>
              <w:ind w:right="113"/>
            </w:pPr>
            <w:r w:rsidRPr="008B3A06">
              <w:t>CRC (</w:t>
            </w:r>
            <w:r w:rsidR="00502EE5" w:rsidRPr="008B3A06">
              <w:t>1990</w:t>
            </w:r>
            <w:r w:rsidRPr="008B3A06">
              <w:t>)</w:t>
            </w:r>
          </w:p>
          <w:p w14:paraId="1486C940" w14:textId="5C9F14F2" w:rsidR="009B3476" w:rsidRPr="008B3A06" w:rsidRDefault="009B3476" w:rsidP="008B3A06">
            <w:pPr>
              <w:spacing w:before="40" w:after="120"/>
              <w:ind w:right="113"/>
            </w:pPr>
            <w:r w:rsidRPr="008B3A06">
              <w:t>OP-CRC-AC (</w:t>
            </w:r>
            <w:r w:rsidR="00502EE5" w:rsidRPr="008B3A06">
              <w:t>2004</w:t>
            </w:r>
            <w:r w:rsidRPr="008B3A06">
              <w:t>)</w:t>
            </w:r>
          </w:p>
          <w:p w14:paraId="11E35C64" w14:textId="125BDCB6" w:rsidR="009B3476" w:rsidRPr="008B3A06" w:rsidRDefault="009B3476" w:rsidP="008B3A06">
            <w:pPr>
              <w:spacing w:before="40" w:after="120"/>
              <w:ind w:right="113"/>
            </w:pPr>
            <w:r w:rsidRPr="008B3A06">
              <w:t>OP-CRC-SC (</w:t>
            </w:r>
            <w:r w:rsidR="00A028C8" w:rsidRPr="008B3A06">
              <w:t>2004</w:t>
            </w:r>
            <w:r w:rsidRPr="008B3A06">
              <w:t>)</w:t>
            </w:r>
          </w:p>
          <w:p w14:paraId="1D6C5F70" w14:textId="5289D604" w:rsidR="009B3476" w:rsidRPr="008B3A06" w:rsidRDefault="009B3476" w:rsidP="008B3A06">
            <w:pPr>
              <w:spacing w:before="40" w:after="120"/>
              <w:ind w:right="113"/>
            </w:pPr>
            <w:r w:rsidRPr="008B3A06">
              <w:t>CRPD (</w:t>
            </w:r>
            <w:r w:rsidR="00A0429A" w:rsidRPr="008B3A06">
              <w:t>2008</w:t>
            </w:r>
            <w:r w:rsidRPr="008B3A06">
              <w:t>)</w:t>
            </w:r>
          </w:p>
          <w:p w14:paraId="61960C80" w14:textId="7F61084B" w:rsidR="009B3476" w:rsidRPr="008B3A06" w:rsidRDefault="009B3476" w:rsidP="008B3A06">
            <w:pPr>
              <w:spacing w:before="40" w:after="120"/>
              <w:ind w:right="113"/>
            </w:pPr>
            <w:r w:rsidRPr="008B3A06">
              <w:t>ICPPED (</w:t>
            </w:r>
            <w:r w:rsidR="00A0429A" w:rsidRPr="008B3A06">
              <w:t>2010</w:t>
            </w:r>
            <w:r w:rsidRPr="008B3A06">
              <w:t>)</w:t>
            </w:r>
          </w:p>
        </w:tc>
        <w:tc>
          <w:tcPr>
            <w:tcW w:w="3213" w:type="dxa"/>
            <w:shd w:val="clear" w:color="auto" w:fill="auto"/>
          </w:tcPr>
          <w:p w14:paraId="11478764" w14:textId="1C5B7DC4" w:rsidR="009B3476" w:rsidRPr="008B3A06" w:rsidRDefault="00A0429A" w:rsidP="008B3A06">
            <w:pPr>
              <w:spacing w:before="40" w:after="120"/>
              <w:ind w:right="113"/>
            </w:pPr>
            <w:r w:rsidRPr="008B3A06">
              <w:t>ICRMW</w:t>
            </w:r>
          </w:p>
        </w:tc>
      </w:tr>
      <w:tr w:rsidR="009B3476" w:rsidRPr="008B3A06" w14:paraId="54551BAC" w14:textId="77777777" w:rsidTr="008B3A06">
        <w:tc>
          <w:tcPr>
            <w:tcW w:w="3213" w:type="dxa"/>
            <w:tcBorders>
              <w:bottom w:val="single" w:sz="12" w:space="0" w:color="auto"/>
            </w:tcBorders>
            <w:shd w:val="clear" w:color="auto" w:fill="auto"/>
          </w:tcPr>
          <w:p w14:paraId="2B8945AB" w14:textId="4A96FCA5" w:rsidR="009B3476" w:rsidRPr="008B3A06" w:rsidRDefault="009B3476" w:rsidP="008B3A06">
            <w:pPr>
              <w:spacing w:before="40" w:after="120"/>
              <w:ind w:right="113"/>
              <w:rPr>
                <w:i/>
                <w:iCs/>
              </w:rPr>
            </w:pPr>
            <w:r w:rsidRPr="008B3A06">
              <w:rPr>
                <w:i/>
                <w:iCs/>
              </w:rPr>
              <w:t xml:space="preserve">Complaints procedures, inquiries </w:t>
            </w:r>
            <w:r w:rsidR="003C0A9A">
              <w:rPr>
                <w:i/>
                <w:iCs/>
              </w:rPr>
              <w:br/>
            </w:r>
            <w:r w:rsidRPr="008B3A06">
              <w:rPr>
                <w:i/>
                <w:iCs/>
              </w:rPr>
              <w:t>and urgent action</w:t>
            </w:r>
            <w:r w:rsidRPr="008B3A06">
              <w:rPr>
                <w:rStyle w:val="EndnoteReference"/>
                <w:i/>
                <w:iCs/>
                <w:sz w:val="20"/>
              </w:rPr>
              <w:endnoteReference w:id="4"/>
            </w:r>
          </w:p>
        </w:tc>
        <w:tc>
          <w:tcPr>
            <w:tcW w:w="3211" w:type="dxa"/>
            <w:tcBorders>
              <w:bottom w:val="single" w:sz="12" w:space="0" w:color="auto"/>
            </w:tcBorders>
            <w:shd w:val="clear" w:color="auto" w:fill="auto"/>
          </w:tcPr>
          <w:p w14:paraId="4C428C3C" w14:textId="64872A4B" w:rsidR="009B3476" w:rsidRPr="008B3A06" w:rsidRDefault="009B3476" w:rsidP="008B3A06">
            <w:pPr>
              <w:spacing w:before="40" w:after="120"/>
              <w:ind w:right="113"/>
            </w:pPr>
            <w:r w:rsidRPr="008B3A06">
              <w:t>ICERD, art. 14 (</w:t>
            </w:r>
            <w:r w:rsidR="00A57381" w:rsidRPr="008B3A06">
              <w:t>2022</w:t>
            </w:r>
            <w:r w:rsidRPr="008B3A06">
              <w:t>)</w:t>
            </w:r>
          </w:p>
          <w:p w14:paraId="4DACE0DC" w14:textId="1B827477" w:rsidR="009B3476" w:rsidRPr="008B3A06" w:rsidRDefault="009B3476" w:rsidP="008B3A06">
            <w:pPr>
              <w:spacing w:before="40" w:after="120"/>
              <w:ind w:right="113"/>
            </w:pPr>
            <w:r w:rsidRPr="008B3A06">
              <w:t>ICCPR-OP 1 (</w:t>
            </w:r>
            <w:r w:rsidR="00A57381" w:rsidRPr="008B3A06">
              <w:t>2009</w:t>
            </w:r>
            <w:r w:rsidRPr="008B3A06">
              <w:t>)</w:t>
            </w:r>
          </w:p>
          <w:p w14:paraId="7C3B2FBC" w14:textId="784C8B10" w:rsidR="009B3476" w:rsidRPr="008B3A06" w:rsidRDefault="009B3476" w:rsidP="008B3A06">
            <w:pPr>
              <w:spacing w:before="40" w:after="120"/>
              <w:ind w:right="113"/>
            </w:pPr>
            <w:r w:rsidRPr="008B3A06">
              <w:t>OP-CEDAW, art. 8 (</w:t>
            </w:r>
            <w:r w:rsidR="00A57381" w:rsidRPr="008B3A06">
              <w:t>2002</w:t>
            </w:r>
            <w:r w:rsidRPr="008B3A06">
              <w:t>)</w:t>
            </w:r>
          </w:p>
          <w:p w14:paraId="05A33B02" w14:textId="7E7A0D41" w:rsidR="009B3476" w:rsidRPr="008B3A06" w:rsidRDefault="009B3476" w:rsidP="008B3A06">
            <w:pPr>
              <w:spacing w:before="40" w:after="120"/>
              <w:ind w:right="113"/>
            </w:pPr>
            <w:r w:rsidRPr="008B3A06">
              <w:t xml:space="preserve">CAT, arts. 20 </w:t>
            </w:r>
            <w:r w:rsidR="00A57381" w:rsidRPr="008B3A06">
              <w:t xml:space="preserve">(1989) </w:t>
            </w:r>
            <w:r w:rsidRPr="008B3A06">
              <w:t>and 22 (</w:t>
            </w:r>
            <w:r w:rsidR="00A57381" w:rsidRPr="008B3A06">
              <w:t>2006</w:t>
            </w:r>
            <w:r w:rsidRPr="008B3A06">
              <w:t>)</w:t>
            </w:r>
          </w:p>
          <w:p w14:paraId="621B6B01" w14:textId="21676993" w:rsidR="009B3476" w:rsidRPr="008B3A06" w:rsidRDefault="009B3476" w:rsidP="008B3A06">
            <w:pPr>
              <w:spacing w:before="40" w:after="120"/>
              <w:ind w:right="113"/>
            </w:pPr>
            <w:r w:rsidRPr="008B3A06">
              <w:t>OP-CRC-IC, art. 13 (</w:t>
            </w:r>
            <w:r w:rsidR="00A028C8" w:rsidRPr="008B3A06">
              <w:t>2017</w:t>
            </w:r>
            <w:r w:rsidRPr="008B3A06">
              <w:t>)</w:t>
            </w:r>
          </w:p>
          <w:p w14:paraId="0EC17C44" w14:textId="1128D811" w:rsidR="009B3476" w:rsidRPr="008B3A06" w:rsidRDefault="009B3476" w:rsidP="008B3A06">
            <w:pPr>
              <w:spacing w:before="40" w:after="120"/>
              <w:ind w:right="113"/>
            </w:pPr>
            <w:r w:rsidRPr="008B3A06">
              <w:t>OP-CRPD, art. 6 (</w:t>
            </w:r>
            <w:r w:rsidR="00A0429A" w:rsidRPr="008B3A06">
              <w:t>2008</w:t>
            </w:r>
            <w:r w:rsidRPr="008B3A06">
              <w:t>)</w:t>
            </w:r>
          </w:p>
        </w:tc>
        <w:tc>
          <w:tcPr>
            <w:tcW w:w="3213" w:type="dxa"/>
            <w:tcBorders>
              <w:bottom w:val="single" w:sz="12" w:space="0" w:color="auto"/>
            </w:tcBorders>
            <w:shd w:val="clear" w:color="auto" w:fill="auto"/>
          </w:tcPr>
          <w:p w14:paraId="67EA2A3C" w14:textId="77777777" w:rsidR="009B3476" w:rsidRPr="008B3A06" w:rsidRDefault="00A57381" w:rsidP="008B3A06">
            <w:pPr>
              <w:spacing w:before="40" w:after="120"/>
              <w:ind w:right="113"/>
            </w:pPr>
            <w:r w:rsidRPr="008B3A06">
              <w:t>OP-ICESCR</w:t>
            </w:r>
          </w:p>
          <w:p w14:paraId="1D6325DA" w14:textId="44D54455" w:rsidR="00A57381" w:rsidRPr="008B3A06" w:rsidRDefault="00A57381" w:rsidP="008B3A06">
            <w:pPr>
              <w:spacing w:before="40" w:after="120"/>
              <w:ind w:right="113"/>
            </w:pPr>
            <w:r w:rsidRPr="008B3A06">
              <w:t>ICCPR, art. 41</w:t>
            </w:r>
          </w:p>
          <w:p w14:paraId="1EF3AC70" w14:textId="77777777" w:rsidR="00A57381" w:rsidRPr="008B3A06" w:rsidRDefault="00A57381" w:rsidP="008B3A06">
            <w:pPr>
              <w:spacing w:before="40" w:after="120"/>
              <w:ind w:right="113"/>
            </w:pPr>
            <w:r w:rsidRPr="008B3A06">
              <w:t>CAT, art. 21</w:t>
            </w:r>
          </w:p>
          <w:p w14:paraId="77231763" w14:textId="77777777" w:rsidR="00A028C8" w:rsidRPr="008B3A06" w:rsidRDefault="00A028C8" w:rsidP="008B3A06">
            <w:pPr>
              <w:spacing w:before="40" w:after="120"/>
              <w:ind w:right="113"/>
            </w:pPr>
            <w:r w:rsidRPr="008B3A06">
              <w:t>OP-CRC-IC, art. 12</w:t>
            </w:r>
          </w:p>
          <w:p w14:paraId="7025C08F" w14:textId="77777777" w:rsidR="00A0429A" w:rsidRPr="008B3A06" w:rsidRDefault="00A0429A" w:rsidP="008B3A06">
            <w:pPr>
              <w:spacing w:before="40" w:after="120"/>
              <w:ind w:right="113"/>
            </w:pPr>
            <w:r w:rsidRPr="008B3A06">
              <w:t>ICRMW</w:t>
            </w:r>
          </w:p>
          <w:p w14:paraId="49657562" w14:textId="73591CEA" w:rsidR="00A0429A" w:rsidRPr="008B3A06" w:rsidRDefault="00A0429A" w:rsidP="008B3A06">
            <w:pPr>
              <w:spacing w:before="40" w:after="120"/>
              <w:ind w:right="113"/>
            </w:pPr>
            <w:r w:rsidRPr="008B3A06">
              <w:t>ICPPED, arts. 31 and 32</w:t>
            </w:r>
          </w:p>
        </w:tc>
      </w:tr>
    </w:tbl>
    <w:p w14:paraId="3CA3F3E8" w14:textId="78D0DA67" w:rsidR="00727B52" w:rsidRDefault="00727B52" w:rsidP="004400D4">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7724FD" w:rsidRPr="007724FD" w14:paraId="38515F4B" w14:textId="77777777" w:rsidTr="007724FD">
        <w:tc>
          <w:tcPr>
            <w:tcW w:w="4818" w:type="dxa"/>
            <w:tcBorders>
              <w:top w:val="single" w:sz="4" w:space="0" w:color="auto"/>
              <w:bottom w:val="single" w:sz="12" w:space="0" w:color="auto"/>
            </w:tcBorders>
            <w:shd w:val="clear" w:color="auto" w:fill="auto"/>
          </w:tcPr>
          <w:p w14:paraId="4E587F39" w14:textId="0F0E0951" w:rsidR="007724FD" w:rsidRPr="007724FD" w:rsidRDefault="007724FD" w:rsidP="007724FD">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3415830D" w14:textId="2888244C" w:rsidR="007724FD" w:rsidRPr="007724FD" w:rsidRDefault="007724FD" w:rsidP="007724FD">
            <w:pPr>
              <w:spacing w:before="80" w:after="80" w:line="200" w:lineRule="exact"/>
              <w:ind w:right="113"/>
              <w:rPr>
                <w:i/>
                <w:sz w:val="16"/>
              </w:rPr>
            </w:pPr>
            <w:r>
              <w:rPr>
                <w:i/>
                <w:sz w:val="16"/>
              </w:rPr>
              <w:t>Current Status</w:t>
            </w:r>
          </w:p>
        </w:tc>
      </w:tr>
      <w:tr w:rsidR="007724FD" w:rsidRPr="007724FD" w14:paraId="2E50A140" w14:textId="77777777" w:rsidTr="007724FD">
        <w:trPr>
          <w:trHeight w:hRule="exact" w:val="113"/>
        </w:trPr>
        <w:tc>
          <w:tcPr>
            <w:tcW w:w="4818" w:type="dxa"/>
            <w:tcBorders>
              <w:top w:val="single" w:sz="12" w:space="0" w:color="auto"/>
            </w:tcBorders>
            <w:shd w:val="clear" w:color="auto" w:fill="auto"/>
            <w:vAlign w:val="bottom"/>
          </w:tcPr>
          <w:p w14:paraId="4891BC86" w14:textId="77777777" w:rsidR="007724FD" w:rsidRPr="007724FD" w:rsidRDefault="007724FD" w:rsidP="007724FD">
            <w:pPr>
              <w:spacing w:before="80" w:after="80" w:line="200" w:lineRule="exact"/>
              <w:ind w:right="113"/>
              <w:rPr>
                <w:i/>
                <w:sz w:val="16"/>
              </w:rPr>
            </w:pPr>
          </w:p>
        </w:tc>
        <w:tc>
          <w:tcPr>
            <w:tcW w:w="4819" w:type="dxa"/>
            <w:tcBorders>
              <w:top w:val="single" w:sz="12" w:space="0" w:color="auto"/>
            </w:tcBorders>
            <w:shd w:val="clear" w:color="auto" w:fill="auto"/>
            <w:vAlign w:val="bottom"/>
          </w:tcPr>
          <w:p w14:paraId="19FA31AE" w14:textId="77777777" w:rsidR="007724FD" w:rsidRPr="007724FD" w:rsidRDefault="007724FD" w:rsidP="007724FD">
            <w:pPr>
              <w:spacing w:before="80" w:after="80" w:line="200" w:lineRule="exact"/>
              <w:ind w:right="113"/>
              <w:rPr>
                <w:i/>
                <w:sz w:val="16"/>
              </w:rPr>
            </w:pPr>
          </w:p>
        </w:tc>
      </w:tr>
      <w:tr w:rsidR="007724FD" w:rsidRPr="007724FD" w14:paraId="193ED1DC" w14:textId="77777777" w:rsidTr="007724FD">
        <w:tc>
          <w:tcPr>
            <w:tcW w:w="4818" w:type="dxa"/>
            <w:shd w:val="clear" w:color="auto" w:fill="auto"/>
          </w:tcPr>
          <w:p w14:paraId="24C1845C" w14:textId="77777777" w:rsidR="007724FD" w:rsidRPr="007724FD" w:rsidRDefault="007724FD" w:rsidP="007724FD">
            <w:pPr>
              <w:spacing w:before="40" w:after="120"/>
              <w:ind w:right="113"/>
            </w:pPr>
          </w:p>
        </w:tc>
        <w:tc>
          <w:tcPr>
            <w:tcW w:w="4819" w:type="dxa"/>
            <w:shd w:val="clear" w:color="auto" w:fill="auto"/>
          </w:tcPr>
          <w:p w14:paraId="2EFF752B" w14:textId="124384B6" w:rsidR="007724FD" w:rsidRPr="007724FD" w:rsidRDefault="007724FD" w:rsidP="007724FD">
            <w:pPr>
              <w:spacing w:before="40" w:after="120"/>
              <w:ind w:right="113"/>
            </w:pPr>
            <w:r w:rsidRPr="00A0429A">
              <w:rPr>
                <w:lang w:val="fr-CH"/>
              </w:rPr>
              <w:t>ICCPR-OP 2 (</w:t>
            </w:r>
            <w:r>
              <w:rPr>
                <w:lang w:val="fr-CH"/>
              </w:rPr>
              <w:t>Reservation, art. 2</w:t>
            </w:r>
            <w:r w:rsidRPr="00A0429A">
              <w:rPr>
                <w:lang w:val="fr-CH"/>
              </w:rPr>
              <w:t>)</w:t>
            </w:r>
          </w:p>
        </w:tc>
      </w:tr>
      <w:tr w:rsidR="007724FD" w:rsidRPr="007724FD" w14:paraId="5EDBF881" w14:textId="77777777" w:rsidTr="007724FD">
        <w:tc>
          <w:tcPr>
            <w:tcW w:w="4818" w:type="dxa"/>
            <w:shd w:val="clear" w:color="auto" w:fill="auto"/>
          </w:tcPr>
          <w:p w14:paraId="1A05933B" w14:textId="77777777" w:rsidR="007724FD" w:rsidRPr="007724FD" w:rsidRDefault="007724FD" w:rsidP="007724FD">
            <w:pPr>
              <w:spacing w:before="40" w:after="120"/>
              <w:ind w:right="113"/>
            </w:pPr>
          </w:p>
        </w:tc>
        <w:tc>
          <w:tcPr>
            <w:tcW w:w="4819" w:type="dxa"/>
            <w:shd w:val="clear" w:color="auto" w:fill="auto"/>
          </w:tcPr>
          <w:p w14:paraId="62EDFBA6" w14:textId="4A40393E" w:rsidR="007724FD" w:rsidRPr="007724FD" w:rsidRDefault="007724FD" w:rsidP="007724FD">
            <w:pPr>
              <w:spacing w:before="40" w:after="120"/>
              <w:ind w:right="113"/>
            </w:pPr>
            <w:r w:rsidRPr="00A02BFB">
              <w:t>CEDAW (</w:t>
            </w:r>
            <w:r>
              <w:t>Reservation, art. 29(1)</w:t>
            </w:r>
            <w:r w:rsidRPr="00A02BFB">
              <w:t>)</w:t>
            </w:r>
          </w:p>
        </w:tc>
      </w:tr>
      <w:tr w:rsidR="007724FD" w:rsidRPr="007724FD" w14:paraId="0838EAE5" w14:textId="77777777" w:rsidTr="007724FD">
        <w:tc>
          <w:tcPr>
            <w:tcW w:w="4818" w:type="dxa"/>
            <w:tcBorders>
              <w:bottom w:val="single" w:sz="12" w:space="0" w:color="auto"/>
            </w:tcBorders>
            <w:shd w:val="clear" w:color="auto" w:fill="auto"/>
          </w:tcPr>
          <w:p w14:paraId="37D9479A" w14:textId="77777777" w:rsidR="007724FD" w:rsidRPr="007724FD" w:rsidRDefault="007724FD" w:rsidP="007724FD">
            <w:pPr>
              <w:spacing w:before="40" w:after="120"/>
              <w:ind w:right="113"/>
            </w:pPr>
          </w:p>
        </w:tc>
        <w:tc>
          <w:tcPr>
            <w:tcW w:w="4819" w:type="dxa"/>
            <w:tcBorders>
              <w:bottom w:val="single" w:sz="12" w:space="0" w:color="auto"/>
            </w:tcBorders>
            <w:shd w:val="clear" w:color="auto" w:fill="auto"/>
          </w:tcPr>
          <w:p w14:paraId="259CB783" w14:textId="64C8E5C2" w:rsidR="007724FD" w:rsidRPr="007724FD" w:rsidRDefault="007724FD" w:rsidP="007724FD">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8B3A06">
              <w:br/>
            </w:r>
            <w:r w:rsidRPr="00031AC4">
              <w:t>of</w:t>
            </w:r>
            <w:r>
              <w:t xml:space="preserve"> military</w:t>
            </w:r>
            <w:r w:rsidRPr="00031AC4">
              <w:t xml:space="preserve"> recruitment</w:t>
            </w:r>
            <w:r>
              <w:t xml:space="preserve"> at</w:t>
            </w:r>
            <w:r w:rsidRPr="00031AC4">
              <w:t xml:space="preserve"> 1</w:t>
            </w:r>
            <w:r>
              <w:t>8</w:t>
            </w:r>
            <w:r w:rsidRPr="00031AC4">
              <w:t xml:space="preserve"> years)</w:t>
            </w:r>
          </w:p>
        </w:tc>
      </w:tr>
    </w:tbl>
    <w:p w14:paraId="5A310028" w14:textId="77777777" w:rsidR="00727B52" w:rsidRPr="007724FD" w:rsidRDefault="00727B52" w:rsidP="00C3174D">
      <w:pPr>
        <w:pStyle w:val="SingleTxtG"/>
      </w:pPr>
    </w:p>
    <w:p w14:paraId="339535F3" w14:textId="577B9F87" w:rsidR="00E3102C" w:rsidRPr="007724FD" w:rsidRDefault="00F97C5D" w:rsidP="00C3174D">
      <w:pPr>
        <w:pStyle w:val="SingleTxtG"/>
        <w:rPr>
          <w:b/>
        </w:rPr>
      </w:pPr>
      <w:r w:rsidRPr="007724FD">
        <w:t>During</w:t>
      </w:r>
      <w:r w:rsidR="00E3102C" w:rsidRPr="007724FD">
        <w:t xml:space="preserve"> the period under review</w:t>
      </w:r>
      <w:r w:rsidR="001A73FD" w:rsidRPr="007724FD">
        <w:t>,</w:t>
      </w:r>
      <w:r w:rsidR="00E3102C" w:rsidRPr="007724FD">
        <w:t xml:space="preserve"> </w:t>
      </w:r>
      <w:r w:rsidR="00B2463F" w:rsidRPr="007724FD">
        <w:t xml:space="preserve">Brazil </w:t>
      </w:r>
      <w:r w:rsidR="00E3102C" w:rsidRPr="007724FD">
        <w:t>became a party to</w:t>
      </w:r>
      <w:r w:rsidR="00A028C8" w:rsidRPr="007724FD">
        <w:t xml:space="preserve"> OP-CRC-IC</w:t>
      </w:r>
      <w:r w:rsidR="00B2463F" w:rsidRPr="007724FD">
        <w:t>.</w:t>
      </w:r>
    </w:p>
    <w:p w14:paraId="1F353718" w14:textId="1BD1443A" w:rsidR="00A02BFB" w:rsidRDefault="00A02BFB" w:rsidP="007724FD">
      <w:pPr>
        <w:pStyle w:val="H1G"/>
        <w:spacing w:before="40" w:after="120" w:line="240" w:lineRule="atLeast"/>
        <w:ind w:left="0" w:right="113"/>
      </w:pPr>
      <w:r w:rsidRPr="007724FD">
        <w:lastRenderedPageBreak/>
        <w:tab/>
        <w:t>B.</w:t>
      </w:r>
      <w:r w:rsidRPr="007724FD">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8B3A06" w:rsidRPr="008B3A06" w14:paraId="2E9D4C73" w14:textId="77777777" w:rsidTr="00B870FE">
        <w:tc>
          <w:tcPr>
            <w:tcW w:w="3213" w:type="dxa"/>
            <w:tcBorders>
              <w:top w:val="single" w:sz="4" w:space="0" w:color="auto"/>
              <w:bottom w:val="single" w:sz="12" w:space="0" w:color="auto"/>
            </w:tcBorders>
            <w:shd w:val="clear" w:color="auto" w:fill="auto"/>
            <w:vAlign w:val="bottom"/>
          </w:tcPr>
          <w:p w14:paraId="578F5940" w14:textId="77777777" w:rsidR="008B3A06" w:rsidRPr="008B3A06" w:rsidRDefault="008B3A06" w:rsidP="008B3A06">
            <w:pPr>
              <w:spacing w:before="80" w:after="80" w:line="200" w:lineRule="exact"/>
              <w:ind w:right="113"/>
              <w:rPr>
                <w:i/>
                <w:sz w:val="16"/>
              </w:rPr>
            </w:pPr>
          </w:p>
        </w:tc>
        <w:tc>
          <w:tcPr>
            <w:tcW w:w="3211" w:type="dxa"/>
            <w:tcBorders>
              <w:top w:val="single" w:sz="4" w:space="0" w:color="auto"/>
              <w:bottom w:val="single" w:sz="12" w:space="0" w:color="auto"/>
            </w:tcBorders>
            <w:shd w:val="clear" w:color="auto" w:fill="auto"/>
            <w:vAlign w:val="bottom"/>
          </w:tcPr>
          <w:p w14:paraId="315FDBAB" w14:textId="1EF3D940" w:rsidR="008B3A06" w:rsidRPr="008B3A06" w:rsidRDefault="008B3A06" w:rsidP="008B3A06">
            <w:pPr>
              <w:spacing w:before="80" w:after="80" w:line="200" w:lineRule="exact"/>
              <w:ind w:right="113"/>
              <w:rPr>
                <w:i/>
                <w:sz w:val="16"/>
              </w:rPr>
            </w:pPr>
            <w:r w:rsidRPr="008B3A06">
              <w:rPr>
                <w:i/>
                <w:sz w:val="16"/>
              </w:rPr>
              <w:t>Ratified</w:t>
            </w:r>
          </w:p>
        </w:tc>
        <w:tc>
          <w:tcPr>
            <w:tcW w:w="3213" w:type="dxa"/>
            <w:tcBorders>
              <w:top w:val="single" w:sz="4" w:space="0" w:color="auto"/>
              <w:bottom w:val="single" w:sz="12" w:space="0" w:color="auto"/>
            </w:tcBorders>
            <w:shd w:val="clear" w:color="auto" w:fill="auto"/>
            <w:vAlign w:val="bottom"/>
          </w:tcPr>
          <w:p w14:paraId="1CA63072" w14:textId="77777777" w:rsidR="008B3A06" w:rsidRPr="008B3A06" w:rsidRDefault="008B3A06" w:rsidP="008B3A06">
            <w:pPr>
              <w:spacing w:before="80" w:after="80" w:line="200" w:lineRule="exact"/>
              <w:ind w:right="113"/>
              <w:rPr>
                <w:i/>
                <w:sz w:val="16"/>
              </w:rPr>
            </w:pPr>
            <w:r w:rsidRPr="008B3A06">
              <w:rPr>
                <w:i/>
                <w:sz w:val="16"/>
              </w:rPr>
              <w:t>Not ratified</w:t>
            </w:r>
          </w:p>
        </w:tc>
      </w:tr>
      <w:tr w:rsidR="008B3A06" w:rsidRPr="008B3A06" w14:paraId="0E06D3A2" w14:textId="77777777" w:rsidTr="00B870FE">
        <w:trPr>
          <w:trHeight w:hRule="exact" w:val="113"/>
        </w:trPr>
        <w:tc>
          <w:tcPr>
            <w:tcW w:w="3213" w:type="dxa"/>
            <w:tcBorders>
              <w:top w:val="single" w:sz="12" w:space="0" w:color="auto"/>
            </w:tcBorders>
            <w:shd w:val="clear" w:color="auto" w:fill="auto"/>
          </w:tcPr>
          <w:p w14:paraId="657F6F4C" w14:textId="77777777" w:rsidR="008B3A06" w:rsidRPr="008B3A06" w:rsidRDefault="008B3A06" w:rsidP="008B3A06">
            <w:pPr>
              <w:spacing w:before="40" w:after="120"/>
              <w:ind w:right="113"/>
            </w:pPr>
          </w:p>
        </w:tc>
        <w:tc>
          <w:tcPr>
            <w:tcW w:w="3211" w:type="dxa"/>
            <w:tcBorders>
              <w:top w:val="single" w:sz="12" w:space="0" w:color="auto"/>
            </w:tcBorders>
            <w:shd w:val="clear" w:color="auto" w:fill="auto"/>
          </w:tcPr>
          <w:p w14:paraId="64DDA401" w14:textId="77777777" w:rsidR="008B3A06" w:rsidRPr="008B3A06" w:rsidRDefault="008B3A06" w:rsidP="008B3A06">
            <w:pPr>
              <w:spacing w:before="40" w:after="120"/>
              <w:ind w:right="113"/>
            </w:pPr>
          </w:p>
        </w:tc>
        <w:tc>
          <w:tcPr>
            <w:tcW w:w="3213" w:type="dxa"/>
            <w:tcBorders>
              <w:top w:val="single" w:sz="12" w:space="0" w:color="auto"/>
            </w:tcBorders>
            <w:shd w:val="clear" w:color="auto" w:fill="auto"/>
          </w:tcPr>
          <w:p w14:paraId="25E99BB2" w14:textId="77777777" w:rsidR="008B3A06" w:rsidRPr="008B3A06" w:rsidRDefault="008B3A06" w:rsidP="008B3A06">
            <w:pPr>
              <w:spacing w:before="40" w:after="120"/>
              <w:ind w:right="113"/>
            </w:pPr>
          </w:p>
        </w:tc>
      </w:tr>
      <w:tr w:rsidR="008B3A06" w:rsidRPr="008B3A06" w14:paraId="72D9CAF4" w14:textId="77777777" w:rsidTr="00B870FE">
        <w:tc>
          <w:tcPr>
            <w:tcW w:w="3213" w:type="dxa"/>
            <w:shd w:val="clear" w:color="auto" w:fill="auto"/>
          </w:tcPr>
          <w:p w14:paraId="3202BED3" w14:textId="77777777" w:rsidR="008B3A06" w:rsidRPr="008B3A06" w:rsidRDefault="008B3A06" w:rsidP="008B3A06">
            <w:pPr>
              <w:spacing w:before="40" w:after="120"/>
              <w:ind w:right="113"/>
              <w:rPr>
                <w:i/>
                <w:iCs/>
              </w:rPr>
            </w:pPr>
            <w:r w:rsidRPr="008B3A06">
              <w:rPr>
                <w:i/>
                <w:iCs/>
              </w:rPr>
              <w:t>Ratification, accession or succession</w:t>
            </w:r>
          </w:p>
        </w:tc>
        <w:tc>
          <w:tcPr>
            <w:tcW w:w="3211" w:type="dxa"/>
            <w:shd w:val="clear" w:color="auto" w:fill="auto"/>
          </w:tcPr>
          <w:p w14:paraId="2E5F810A" w14:textId="77777777" w:rsidR="008B3A06" w:rsidRPr="008B3A06" w:rsidRDefault="008B3A06" w:rsidP="008B3A06">
            <w:pPr>
              <w:spacing w:before="40" w:after="120"/>
              <w:ind w:right="113"/>
            </w:pPr>
            <w:r w:rsidRPr="008B3A06">
              <w:t>Convention on the Prevention and Punishment of the Crime of Genocide</w:t>
            </w:r>
          </w:p>
        </w:tc>
        <w:tc>
          <w:tcPr>
            <w:tcW w:w="3213" w:type="dxa"/>
            <w:shd w:val="clear" w:color="auto" w:fill="auto"/>
          </w:tcPr>
          <w:p w14:paraId="3A8DF416" w14:textId="77777777" w:rsidR="008B3A06" w:rsidRPr="008B3A06" w:rsidRDefault="008B3A06" w:rsidP="008B3A06">
            <w:pPr>
              <w:spacing w:before="40" w:after="120"/>
              <w:ind w:right="113"/>
            </w:pPr>
          </w:p>
        </w:tc>
      </w:tr>
      <w:tr w:rsidR="008B3A06" w:rsidRPr="008B3A06" w14:paraId="26448E00" w14:textId="77777777" w:rsidTr="00B870FE">
        <w:tc>
          <w:tcPr>
            <w:tcW w:w="3213" w:type="dxa"/>
            <w:shd w:val="clear" w:color="auto" w:fill="auto"/>
          </w:tcPr>
          <w:p w14:paraId="284BE01D" w14:textId="77777777" w:rsidR="008B3A06" w:rsidRPr="008B3A06" w:rsidRDefault="008B3A06" w:rsidP="008B3A06">
            <w:pPr>
              <w:spacing w:before="40" w:after="120"/>
              <w:ind w:right="113"/>
            </w:pPr>
          </w:p>
        </w:tc>
        <w:tc>
          <w:tcPr>
            <w:tcW w:w="3211" w:type="dxa"/>
            <w:shd w:val="clear" w:color="auto" w:fill="auto"/>
          </w:tcPr>
          <w:p w14:paraId="01E17A8D" w14:textId="77777777" w:rsidR="008B3A06" w:rsidRPr="008B3A06" w:rsidRDefault="008B3A06" w:rsidP="008B3A06">
            <w:pPr>
              <w:spacing w:before="40" w:after="120"/>
              <w:ind w:right="113"/>
            </w:pPr>
            <w:r w:rsidRPr="008B3A06">
              <w:t>Geneva Conventions of 12 August 1949 and Additional Protocols thereto</w:t>
            </w:r>
            <w:r w:rsidRPr="008B3A06">
              <w:rPr>
                <w:rStyle w:val="EndnoteReference"/>
                <w:sz w:val="20"/>
              </w:rPr>
              <w:endnoteReference w:id="5"/>
            </w:r>
          </w:p>
        </w:tc>
        <w:tc>
          <w:tcPr>
            <w:tcW w:w="3213" w:type="dxa"/>
            <w:shd w:val="clear" w:color="auto" w:fill="auto"/>
          </w:tcPr>
          <w:p w14:paraId="7329D104" w14:textId="77777777" w:rsidR="008B3A06" w:rsidRPr="008B3A06" w:rsidRDefault="008B3A06" w:rsidP="008B3A06">
            <w:pPr>
              <w:spacing w:before="40" w:after="120"/>
              <w:ind w:right="113"/>
            </w:pPr>
          </w:p>
        </w:tc>
      </w:tr>
      <w:tr w:rsidR="008B3A06" w:rsidRPr="008B3A06" w14:paraId="46E89CF9" w14:textId="77777777" w:rsidTr="00B870FE">
        <w:tc>
          <w:tcPr>
            <w:tcW w:w="3213" w:type="dxa"/>
            <w:shd w:val="clear" w:color="auto" w:fill="auto"/>
          </w:tcPr>
          <w:p w14:paraId="3FD2EA96" w14:textId="77777777" w:rsidR="008B3A06" w:rsidRPr="008B3A06" w:rsidRDefault="008B3A06" w:rsidP="008B3A06">
            <w:pPr>
              <w:spacing w:before="40" w:after="120"/>
              <w:ind w:right="113"/>
            </w:pPr>
          </w:p>
        </w:tc>
        <w:tc>
          <w:tcPr>
            <w:tcW w:w="3211" w:type="dxa"/>
            <w:shd w:val="clear" w:color="auto" w:fill="auto"/>
          </w:tcPr>
          <w:p w14:paraId="197E5403" w14:textId="77777777" w:rsidR="008B3A06" w:rsidRPr="008B3A06" w:rsidRDefault="008B3A06" w:rsidP="008B3A06">
            <w:pPr>
              <w:spacing w:before="40" w:after="120"/>
              <w:ind w:right="113"/>
            </w:pPr>
            <w:r w:rsidRPr="008B3A06">
              <w:t>Rome Statute of the International Criminal Court</w:t>
            </w:r>
          </w:p>
        </w:tc>
        <w:tc>
          <w:tcPr>
            <w:tcW w:w="3213" w:type="dxa"/>
            <w:shd w:val="clear" w:color="auto" w:fill="auto"/>
          </w:tcPr>
          <w:p w14:paraId="57A74400" w14:textId="77777777" w:rsidR="008B3A06" w:rsidRPr="008B3A06" w:rsidRDefault="008B3A06" w:rsidP="008B3A06">
            <w:pPr>
              <w:spacing w:before="40" w:after="120"/>
              <w:ind w:right="113"/>
            </w:pPr>
          </w:p>
        </w:tc>
      </w:tr>
      <w:tr w:rsidR="008B3A06" w:rsidRPr="008B3A06" w14:paraId="6AA3F439" w14:textId="77777777" w:rsidTr="00B870FE">
        <w:tc>
          <w:tcPr>
            <w:tcW w:w="3213" w:type="dxa"/>
            <w:shd w:val="clear" w:color="auto" w:fill="auto"/>
          </w:tcPr>
          <w:p w14:paraId="64DAE8A7" w14:textId="77777777" w:rsidR="008B3A06" w:rsidRPr="008B3A06" w:rsidRDefault="008B3A06" w:rsidP="008B3A06">
            <w:pPr>
              <w:spacing w:before="40" w:after="120"/>
              <w:ind w:right="113"/>
            </w:pPr>
          </w:p>
        </w:tc>
        <w:tc>
          <w:tcPr>
            <w:tcW w:w="3211" w:type="dxa"/>
            <w:shd w:val="clear" w:color="auto" w:fill="auto"/>
          </w:tcPr>
          <w:p w14:paraId="3D1C3399" w14:textId="77777777" w:rsidR="008B3A06" w:rsidRPr="008B3A06" w:rsidRDefault="008B3A06" w:rsidP="008B3A06">
            <w:pPr>
              <w:spacing w:before="40" w:after="120"/>
              <w:ind w:right="113"/>
            </w:pPr>
            <w:r w:rsidRPr="008B3A06">
              <w:t>Conventions on refugees and stateless persons</w:t>
            </w:r>
            <w:r w:rsidRPr="008B3A06">
              <w:rPr>
                <w:rStyle w:val="EndnoteReference"/>
                <w:sz w:val="20"/>
              </w:rPr>
              <w:endnoteReference w:id="6"/>
            </w:r>
          </w:p>
        </w:tc>
        <w:tc>
          <w:tcPr>
            <w:tcW w:w="3213" w:type="dxa"/>
            <w:shd w:val="clear" w:color="auto" w:fill="auto"/>
          </w:tcPr>
          <w:p w14:paraId="1E8B8CC4" w14:textId="77777777" w:rsidR="008B3A06" w:rsidRPr="008B3A06" w:rsidRDefault="008B3A06" w:rsidP="008B3A06">
            <w:pPr>
              <w:spacing w:before="40" w:after="120"/>
              <w:ind w:right="113"/>
            </w:pPr>
          </w:p>
        </w:tc>
      </w:tr>
      <w:tr w:rsidR="008B3A06" w:rsidRPr="008B3A06" w14:paraId="5040CAE8" w14:textId="77777777" w:rsidTr="00B870FE">
        <w:tc>
          <w:tcPr>
            <w:tcW w:w="3213" w:type="dxa"/>
            <w:shd w:val="clear" w:color="auto" w:fill="auto"/>
          </w:tcPr>
          <w:p w14:paraId="2EDD1150" w14:textId="77777777" w:rsidR="008B3A06" w:rsidRPr="008B3A06" w:rsidRDefault="008B3A06" w:rsidP="008B3A06">
            <w:pPr>
              <w:spacing w:before="40" w:after="120"/>
              <w:ind w:right="113"/>
            </w:pPr>
          </w:p>
        </w:tc>
        <w:tc>
          <w:tcPr>
            <w:tcW w:w="3211" w:type="dxa"/>
            <w:shd w:val="clear" w:color="auto" w:fill="auto"/>
          </w:tcPr>
          <w:p w14:paraId="71EE0566" w14:textId="77777777" w:rsidR="008B3A06" w:rsidRPr="008B3A06" w:rsidRDefault="008B3A06" w:rsidP="008B3A06">
            <w:pPr>
              <w:spacing w:before="40" w:after="120"/>
              <w:ind w:right="113"/>
            </w:pPr>
            <w:r w:rsidRPr="008B3A06">
              <w:t>Palermo Protocol</w:t>
            </w:r>
            <w:r w:rsidRPr="008B3A06">
              <w:rPr>
                <w:rStyle w:val="EndnoteReference"/>
                <w:sz w:val="20"/>
              </w:rPr>
              <w:endnoteReference w:id="7"/>
            </w:r>
          </w:p>
        </w:tc>
        <w:tc>
          <w:tcPr>
            <w:tcW w:w="3213" w:type="dxa"/>
            <w:shd w:val="clear" w:color="auto" w:fill="auto"/>
          </w:tcPr>
          <w:p w14:paraId="0C706E36" w14:textId="77777777" w:rsidR="008B3A06" w:rsidRPr="008B3A06" w:rsidRDefault="008B3A06" w:rsidP="008B3A06">
            <w:pPr>
              <w:spacing w:before="40" w:after="120"/>
              <w:ind w:right="113"/>
            </w:pPr>
          </w:p>
        </w:tc>
      </w:tr>
      <w:tr w:rsidR="008B3A06" w:rsidRPr="008B3A06" w14:paraId="19C0951F" w14:textId="77777777" w:rsidTr="00B870FE">
        <w:tc>
          <w:tcPr>
            <w:tcW w:w="3213" w:type="dxa"/>
            <w:shd w:val="clear" w:color="auto" w:fill="auto"/>
          </w:tcPr>
          <w:p w14:paraId="60B51672" w14:textId="77777777" w:rsidR="008B3A06" w:rsidRPr="008B3A06" w:rsidRDefault="008B3A06" w:rsidP="008B3A06">
            <w:pPr>
              <w:spacing w:before="40" w:after="120"/>
              <w:ind w:right="113"/>
            </w:pPr>
          </w:p>
        </w:tc>
        <w:tc>
          <w:tcPr>
            <w:tcW w:w="3211" w:type="dxa"/>
            <w:shd w:val="clear" w:color="auto" w:fill="auto"/>
          </w:tcPr>
          <w:p w14:paraId="1E2B1066" w14:textId="77777777" w:rsidR="008B3A06" w:rsidRPr="008B3A06" w:rsidRDefault="008B3A06" w:rsidP="008B3A06">
            <w:pPr>
              <w:spacing w:before="40" w:after="120"/>
              <w:ind w:right="113"/>
            </w:pPr>
            <w:r w:rsidRPr="008B3A06">
              <w:t>ILO fundamental Conventions</w:t>
            </w:r>
            <w:r w:rsidRPr="008B3A06">
              <w:rPr>
                <w:rStyle w:val="EndnoteReference"/>
                <w:sz w:val="20"/>
              </w:rPr>
              <w:endnoteReference w:id="8"/>
            </w:r>
          </w:p>
        </w:tc>
        <w:tc>
          <w:tcPr>
            <w:tcW w:w="3213" w:type="dxa"/>
            <w:shd w:val="clear" w:color="auto" w:fill="auto"/>
          </w:tcPr>
          <w:p w14:paraId="3DD46BEF" w14:textId="77777777" w:rsidR="008B3A06" w:rsidRPr="008B3A06" w:rsidRDefault="00014913" w:rsidP="008B3A06">
            <w:pPr>
              <w:spacing w:before="40" w:after="120"/>
              <w:ind w:right="113"/>
            </w:pPr>
            <w:hyperlink r:id="rId8" w:history="1">
              <w:r w:rsidR="008B3A06" w:rsidRPr="008B3A06">
                <w:rPr>
                  <w:rStyle w:val="Hyperlink"/>
                </w:rPr>
                <w:t>Freedom of Association and Protection of the Right to Organise Convention, 1948 (No. 87)</w:t>
              </w:r>
            </w:hyperlink>
            <w:r w:rsidR="008B3A06" w:rsidRPr="008B3A06">
              <w:t>.</w:t>
            </w:r>
          </w:p>
          <w:p w14:paraId="0630D0A2" w14:textId="6B3B24BE" w:rsidR="008B3A06" w:rsidRPr="008B3A06" w:rsidRDefault="008B3A06" w:rsidP="008B3A06">
            <w:pPr>
              <w:spacing w:before="40" w:after="120"/>
              <w:ind w:right="113"/>
            </w:pPr>
            <w:r w:rsidRPr="008B3A06">
              <w:t>Protocol to the Convention on Forced Labour Convention (No. 29).</w:t>
            </w:r>
          </w:p>
        </w:tc>
      </w:tr>
      <w:tr w:rsidR="008B3A06" w:rsidRPr="008B3A06" w14:paraId="6AABD42C" w14:textId="77777777" w:rsidTr="00B870FE">
        <w:tc>
          <w:tcPr>
            <w:tcW w:w="3213" w:type="dxa"/>
            <w:tcBorders>
              <w:bottom w:val="single" w:sz="12" w:space="0" w:color="auto"/>
            </w:tcBorders>
            <w:shd w:val="clear" w:color="auto" w:fill="auto"/>
          </w:tcPr>
          <w:p w14:paraId="2954E0B1" w14:textId="77777777" w:rsidR="008B3A06" w:rsidRPr="008B3A06" w:rsidRDefault="008B3A06" w:rsidP="008B3A06">
            <w:pPr>
              <w:spacing w:before="40" w:after="120"/>
              <w:ind w:right="113"/>
            </w:pPr>
          </w:p>
        </w:tc>
        <w:tc>
          <w:tcPr>
            <w:tcW w:w="3211" w:type="dxa"/>
            <w:tcBorders>
              <w:bottom w:val="single" w:sz="12" w:space="0" w:color="auto"/>
            </w:tcBorders>
            <w:shd w:val="clear" w:color="auto" w:fill="auto"/>
          </w:tcPr>
          <w:p w14:paraId="383CB739" w14:textId="57598884" w:rsidR="008B3A06" w:rsidRPr="008B3A06" w:rsidRDefault="008B3A06" w:rsidP="008B3A06">
            <w:pPr>
              <w:spacing w:before="40" w:after="120"/>
              <w:ind w:right="113"/>
            </w:pPr>
            <w:r w:rsidRPr="008B3A06">
              <w:t xml:space="preserve">ILO Conventions Nos. 169, 189 and 190 and Protocol </w:t>
            </w:r>
            <w:r w:rsidRPr="008B3A06">
              <w:rPr>
                <w:lang w:val="en"/>
              </w:rPr>
              <w:t>029</w:t>
            </w:r>
            <w:r w:rsidRPr="008B3A06">
              <w:rPr>
                <w:rStyle w:val="EndnoteReference"/>
                <w:sz w:val="20"/>
              </w:rPr>
              <w:endnoteReference w:id="9"/>
            </w:r>
          </w:p>
        </w:tc>
        <w:tc>
          <w:tcPr>
            <w:tcW w:w="3213" w:type="dxa"/>
            <w:tcBorders>
              <w:bottom w:val="single" w:sz="12" w:space="0" w:color="auto"/>
            </w:tcBorders>
            <w:shd w:val="clear" w:color="auto" w:fill="auto"/>
          </w:tcPr>
          <w:p w14:paraId="2382C427" w14:textId="77777777" w:rsidR="008B3A06" w:rsidRPr="008B3A06" w:rsidRDefault="008B3A06" w:rsidP="008B3A06">
            <w:pPr>
              <w:spacing w:before="40" w:after="120"/>
              <w:ind w:right="113"/>
            </w:pPr>
          </w:p>
        </w:tc>
      </w:tr>
    </w:tbl>
    <w:p w14:paraId="0254177B" w14:textId="77777777" w:rsidR="00766258" w:rsidRDefault="00766258" w:rsidP="002B04C3">
      <w:pPr>
        <w:pStyle w:val="SingleTxtG"/>
      </w:pPr>
    </w:p>
    <w:p w14:paraId="5C8118BC" w14:textId="0882C971" w:rsidR="00F97C5D" w:rsidRPr="007E55A4" w:rsidRDefault="00D07CB4" w:rsidP="00C3174D">
      <w:pPr>
        <w:pStyle w:val="SingleTxtG"/>
        <w:rPr>
          <w:b/>
        </w:rPr>
      </w:pPr>
      <w:r w:rsidRPr="002C11D1">
        <w:t>D</w:t>
      </w:r>
      <w:r w:rsidR="00F97C5D" w:rsidRPr="002C11D1">
        <w:t>uring the period under review</w:t>
      </w:r>
      <w:r w:rsidR="002C11D1" w:rsidRPr="002C11D1">
        <w:t>,</w:t>
      </w:r>
      <w:r w:rsidR="002C11D1" w:rsidRPr="002C11D1">
        <w:rPr>
          <w:lang w:val="pt-BR"/>
        </w:rPr>
        <w:t xml:space="preserve"> </w:t>
      </w:r>
      <w:r w:rsidR="000B062D" w:rsidRPr="002C11D1">
        <w:rPr>
          <w:lang w:val="pt-BR"/>
        </w:rPr>
        <w:t>a bill authorizing the President to denounce the 169 ILO Convention was presented</w:t>
      </w:r>
      <w:r w:rsidR="00766258">
        <w:rPr>
          <w:lang w:val="pt-BR"/>
        </w:rPr>
        <w:t xml:space="preserve"> </w:t>
      </w:r>
      <w:r w:rsidR="000B062D" w:rsidRPr="002C11D1">
        <w:rPr>
          <w:lang w:val="pt-BR"/>
        </w:rPr>
        <w:t>in April 2021</w:t>
      </w:r>
      <w:r w:rsidR="007730C3">
        <w:t xml:space="preserve">. </w:t>
      </w:r>
      <w:r w:rsidR="007730C3" w:rsidRPr="007730C3">
        <w:t xml:space="preserve">On 31 January 2018, the Government of Brazil deposited the formal </w:t>
      </w:r>
      <w:r w:rsidR="007730C3" w:rsidRPr="00766258">
        <w:t>instrument of ratification with the International Labour Office for ratification of the</w:t>
      </w:r>
      <w:r w:rsidR="0042040E">
        <w:t xml:space="preserve"> </w:t>
      </w:r>
      <w:hyperlink r:id="rId9" w:history="1">
        <w:r w:rsidR="007730C3" w:rsidRPr="00766258">
          <w:t>Convention on Decent Work for Domestic Workers, 2011 (No. 189)</w:t>
        </w:r>
      </w:hyperlink>
      <w:r w:rsidR="007730C3" w:rsidRPr="00766258">
        <w:t>. Accordingly, Brazil became the</w:t>
      </w:r>
      <w:r w:rsidR="00847CAB">
        <w:t xml:space="preserve"> </w:t>
      </w:r>
      <w:hyperlink r:id="rId10" w:history="1">
        <w:r w:rsidR="007730C3" w:rsidRPr="00766258">
          <w:t>twenty-fifth member State of the ILO</w:t>
        </w:r>
        <w:r w:rsidR="00847CAB">
          <w:t xml:space="preserve"> </w:t>
        </w:r>
      </w:hyperlink>
      <w:r w:rsidR="007730C3" w:rsidRPr="00766258">
        <w:t>and the fourteenth member State in the Americas</w:t>
      </w:r>
      <w:r w:rsidR="007730C3" w:rsidRPr="007730C3">
        <w:t xml:space="preserve"> region to ratify this Convention.</w:t>
      </w:r>
      <w:r w:rsidR="00780E42">
        <w:rPr>
          <w:rStyle w:val="EndnoteReference"/>
          <w:szCs w:val="22"/>
        </w:rPr>
        <w:endnoteReference w:id="10"/>
      </w:r>
    </w:p>
    <w:p w14:paraId="5CF78B2D" w14:textId="6DA26849" w:rsidR="00A02BFB" w:rsidRPr="00A02BFB" w:rsidRDefault="00274EA9" w:rsidP="006330A4">
      <w:pPr>
        <w:pStyle w:val="HChG"/>
      </w:pPr>
      <w:r>
        <w:rPr>
          <w:szCs w:val="24"/>
        </w:rPr>
        <w:tab/>
      </w:r>
      <w:r w:rsidR="00A02BFB" w:rsidRPr="00A02BFB">
        <w:rPr>
          <w:szCs w:val="24"/>
        </w:rPr>
        <w:t>II.</w:t>
      </w:r>
      <w:r w:rsidR="00A02BFB" w:rsidRPr="00A02BFB">
        <w:rPr>
          <w:szCs w:val="24"/>
        </w:rPr>
        <w:tab/>
      </w:r>
      <w:r w:rsidR="00A02BFB" w:rsidRPr="00A02BFB">
        <w:t xml:space="preserve">Cooperation with human rights </w:t>
      </w:r>
      <w:r w:rsidR="00A02BFB" w:rsidRPr="006330A4">
        <w:t>mechanisms</w:t>
      </w:r>
      <w:r w:rsidR="00A3619D">
        <w:t xml:space="preserve"> and bodies</w:t>
      </w:r>
    </w:p>
    <w:p w14:paraId="1FA32C78" w14:textId="77777777" w:rsidR="00A02BFB" w:rsidRPr="00A02BFB" w:rsidRDefault="00A02BFB" w:rsidP="006330A4">
      <w:pPr>
        <w:pStyle w:val="H1G"/>
      </w:pPr>
      <w:r w:rsidRPr="00A02BFB">
        <w:tab/>
      </w:r>
      <w:bookmarkStart w:id="1" w:name="II_A_Cooperation_with_treaty_bodies"/>
      <w:r w:rsidRPr="00A02BFB">
        <w:t>A.</w:t>
      </w:r>
      <w:r w:rsidRPr="00A02BFB">
        <w:tab/>
      </w:r>
      <w:bookmarkEnd w:id="1"/>
      <w:r w:rsidRPr="00A02BFB">
        <w:t xml:space="preserve">Cooperation with </w:t>
      </w:r>
      <w:r w:rsidRPr="006330A4">
        <w:t>treaty</w:t>
      </w:r>
      <w:r w:rsidRPr="00A02BFB">
        <w:t xml:space="preserve"> bodies</w:t>
      </w:r>
      <w:r w:rsidRPr="005534E1">
        <w:rPr>
          <w:rStyle w:val="EndnoteReference"/>
          <w:b w:val="0"/>
          <w:bCs/>
        </w:rPr>
        <w:endnoteReference w:id="11"/>
      </w:r>
    </w:p>
    <w:p w14:paraId="51EDB961" w14:textId="4FC424EF" w:rsidR="00A02BFB" w:rsidRPr="00A02BFB" w:rsidRDefault="00A02BFB" w:rsidP="006330A4">
      <w:pPr>
        <w:pStyle w:val="H23G"/>
      </w:pPr>
      <w:r w:rsidRPr="00A02BFB">
        <w:tab/>
      </w:r>
      <w:bookmarkStart w:id="2" w:name="Table_TB_reporting_status"/>
      <w:r w:rsidR="00CA2E07">
        <w:tab/>
      </w:r>
      <w:r w:rsidRPr="00A02BFB">
        <w:t xml:space="preserve">Reporting </w:t>
      </w:r>
      <w:r w:rsidRPr="006330A4">
        <w:t>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8B6E70" w14:paraId="53E27A3F" w14:textId="77777777" w:rsidTr="008B6E70">
        <w:tc>
          <w:tcPr>
            <w:tcW w:w="1928" w:type="dxa"/>
            <w:tcBorders>
              <w:top w:val="single" w:sz="4" w:space="0" w:color="auto"/>
              <w:bottom w:val="single" w:sz="12" w:space="0" w:color="auto"/>
            </w:tcBorders>
            <w:shd w:val="clear" w:color="auto" w:fill="auto"/>
            <w:vAlign w:val="bottom"/>
          </w:tcPr>
          <w:p w14:paraId="27EDAA83" w14:textId="77777777" w:rsidR="00A02BFB" w:rsidRPr="008B6E70" w:rsidRDefault="00A02BFB" w:rsidP="008B6E70">
            <w:pPr>
              <w:spacing w:before="80" w:after="80" w:line="200" w:lineRule="exact"/>
              <w:ind w:right="113"/>
              <w:rPr>
                <w:i/>
                <w:sz w:val="16"/>
              </w:rPr>
            </w:pPr>
            <w:r w:rsidRPr="008B6E70">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6E70" w:rsidRDefault="00A02BFB" w:rsidP="008B6E70">
            <w:pPr>
              <w:spacing w:before="80" w:after="80" w:line="200" w:lineRule="exact"/>
              <w:ind w:right="113"/>
              <w:rPr>
                <w:i/>
                <w:sz w:val="16"/>
              </w:rPr>
            </w:pPr>
            <w:r w:rsidRPr="008B6E70">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6E70" w:rsidRDefault="00A02BFB" w:rsidP="008B6E70">
            <w:pPr>
              <w:spacing w:before="80" w:after="80" w:line="200" w:lineRule="exact"/>
              <w:ind w:right="113"/>
              <w:rPr>
                <w:i/>
                <w:sz w:val="16"/>
              </w:rPr>
            </w:pPr>
            <w:r w:rsidRPr="008B6E70">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6E70" w:rsidRDefault="00A02BFB" w:rsidP="008B6E70">
            <w:pPr>
              <w:spacing w:before="80" w:after="80" w:line="200" w:lineRule="exact"/>
              <w:ind w:right="113"/>
              <w:rPr>
                <w:i/>
                <w:sz w:val="16"/>
              </w:rPr>
            </w:pPr>
            <w:r w:rsidRPr="008B6E70">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6E70" w:rsidRDefault="00A02BFB" w:rsidP="008B6E70">
            <w:pPr>
              <w:spacing w:before="80" w:after="80" w:line="200" w:lineRule="exact"/>
              <w:ind w:right="113"/>
              <w:rPr>
                <w:i/>
                <w:sz w:val="16"/>
              </w:rPr>
            </w:pPr>
            <w:r w:rsidRPr="008B6E70">
              <w:rPr>
                <w:i/>
                <w:sz w:val="16"/>
              </w:rPr>
              <w:t>Reporting status</w:t>
            </w:r>
          </w:p>
        </w:tc>
      </w:tr>
      <w:tr w:rsidR="008B6E70" w:rsidRPr="008B6E70" w14:paraId="19B64A9D" w14:textId="77777777" w:rsidTr="008B6E70">
        <w:trPr>
          <w:trHeight w:hRule="exact" w:val="113"/>
        </w:trPr>
        <w:tc>
          <w:tcPr>
            <w:tcW w:w="1928" w:type="dxa"/>
            <w:tcBorders>
              <w:top w:val="single" w:sz="12" w:space="0" w:color="auto"/>
            </w:tcBorders>
            <w:shd w:val="clear" w:color="auto" w:fill="auto"/>
          </w:tcPr>
          <w:p w14:paraId="2672662F" w14:textId="77777777" w:rsidR="008B6E70" w:rsidRPr="008B6E70" w:rsidRDefault="008B6E70" w:rsidP="008B6E70">
            <w:pPr>
              <w:spacing w:before="40" w:after="120"/>
              <w:ind w:right="113"/>
            </w:pPr>
          </w:p>
        </w:tc>
        <w:tc>
          <w:tcPr>
            <w:tcW w:w="1928" w:type="dxa"/>
            <w:tcBorders>
              <w:top w:val="single" w:sz="12" w:space="0" w:color="auto"/>
            </w:tcBorders>
            <w:shd w:val="clear" w:color="auto" w:fill="auto"/>
          </w:tcPr>
          <w:p w14:paraId="0DC6DB8A" w14:textId="77777777" w:rsidR="008B6E70" w:rsidRPr="008B6E70" w:rsidRDefault="008B6E70" w:rsidP="008B6E70">
            <w:pPr>
              <w:spacing w:before="40" w:after="120"/>
              <w:ind w:right="113"/>
            </w:pPr>
          </w:p>
        </w:tc>
        <w:tc>
          <w:tcPr>
            <w:tcW w:w="1927" w:type="dxa"/>
            <w:tcBorders>
              <w:top w:val="single" w:sz="12" w:space="0" w:color="auto"/>
            </w:tcBorders>
            <w:shd w:val="clear" w:color="auto" w:fill="auto"/>
          </w:tcPr>
          <w:p w14:paraId="20E0F508" w14:textId="77777777" w:rsidR="008B6E70" w:rsidRPr="008B6E70" w:rsidRDefault="008B6E70" w:rsidP="008B6E70">
            <w:pPr>
              <w:spacing w:before="40" w:after="120"/>
              <w:ind w:right="113"/>
            </w:pPr>
          </w:p>
        </w:tc>
        <w:tc>
          <w:tcPr>
            <w:tcW w:w="1927" w:type="dxa"/>
            <w:tcBorders>
              <w:top w:val="single" w:sz="12" w:space="0" w:color="auto"/>
            </w:tcBorders>
            <w:shd w:val="clear" w:color="auto" w:fill="auto"/>
          </w:tcPr>
          <w:p w14:paraId="7124FAB6" w14:textId="77777777" w:rsidR="008B6E70" w:rsidRPr="008B6E70" w:rsidRDefault="008B6E70" w:rsidP="008B6E70">
            <w:pPr>
              <w:spacing w:before="40" w:after="120"/>
              <w:ind w:right="113"/>
            </w:pPr>
          </w:p>
        </w:tc>
        <w:tc>
          <w:tcPr>
            <w:tcW w:w="1927" w:type="dxa"/>
            <w:tcBorders>
              <w:top w:val="single" w:sz="12" w:space="0" w:color="auto"/>
            </w:tcBorders>
            <w:shd w:val="clear" w:color="auto" w:fill="auto"/>
          </w:tcPr>
          <w:p w14:paraId="32B30AE9" w14:textId="77777777" w:rsidR="008B6E70" w:rsidRPr="008B6E70" w:rsidRDefault="008B6E70" w:rsidP="008B6E70">
            <w:pPr>
              <w:spacing w:before="40" w:after="120"/>
              <w:ind w:right="113"/>
            </w:pPr>
          </w:p>
        </w:tc>
      </w:tr>
      <w:tr w:rsidR="008B4D7D" w:rsidRPr="008B6E70" w14:paraId="1E4DE53B" w14:textId="77777777" w:rsidTr="008B6E70">
        <w:tc>
          <w:tcPr>
            <w:tcW w:w="1928" w:type="dxa"/>
            <w:shd w:val="clear" w:color="auto" w:fill="auto"/>
          </w:tcPr>
          <w:p w14:paraId="6EC3F4DD" w14:textId="77777777" w:rsidR="00A02BFB" w:rsidRPr="008B6E70" w:rsidRDefault="00A02BFB" w:rsidP="008B6E70">
            <w:pPr>
              <w:spacing w:before="40" w:after="120"/>
              <w:ind w:right="113"/>
            </w:pPr>
            <w:r w:rsidRPr="008B6E70">
              <w:t>CERD</w:t>
            </w:r>
          </w:p>
        </w:tc>
        <w:tc>
          <w:tcPr>
            <w:tcW w:w="1928" w:type="dxa"/>
            <w:shd w:val="clear" w:color="auto" w:fill="auto"/>
          </w:tcPr>
          <w:p w14:paraId="6E95AD6E" w14:textId="750B632C" w:rsidR="00A02BFB" w:rsidRPr="008B6E70" w:rsidRDefault="00B8549C" w:rsidP="008B6E70">
            <w:pPr>
              <w:spacing w:before="40" w:after="120"/>
              <w:ind w:right="113"/>
            </w:pPr>
            <w:r w:rsidRPr="008B6E70">
              <w:t>--</w:t>
            </w:r>
          </w:p>
        </w:tc>
        <w:tc>
          <w:tcPr>
            <w:tcW w:w="1927" w:type="dxa"/>
            <w:shd w:val="clear" w:color="auto" w:fill="auto"/>
          </w:tcPr>
          <w:p w14:paraId="7F2B4B92" w14:textId="4D51EFAD" w:rsidR="00A02BFB" w:rsidRPr="008B6E70" w:rsidRDefault="00B8549C" w:rsidP="008B6E70">
            <w:pPr>
              <w:spacing w:before="40" w:after="120"/>
              <w:ind w:right="113"/>
            </w:pPr>
            <w:r w:rsidRPr="008B6E70">
              <w:t>2020</w:t>
            </w:r>
          </w:p>
        </w:tc>
        <w:tc>
          <w:tcPr>
            <w:tcW w:w="1927" w:type="dxa"/>
            <w:shd w:val="clear" w:color="auto" w:fill="auto"/>
          </w:tcPr>
          <w:p w14:paraId="3AFF0E8F" w14:textId="444BBFA4" w:rsidR="00A02BFB" w:rsidRPr="008B6E70" w:rsidRDefault="00B8549C" w:rsidP="008B6E70">
            <w:pPr>
              <w:spacing w:before="40" w:after="120"/>
              <w:ind w:right="113"/>
            </w:pPr>
            <w:r w:rsidRPr="008B6E70">
              <w:t>--</w:t>
            </w:r>
          </w:p>
        </w:tc>
        <w:tc>
          <w:tcPr>
            <w:tcW w:w="1927" w:type="dxa"/>
            <w:shd w:val="clear" w:color="auto" w:fill="auto"/>
          </w:tcPr>
          <w:p w14:paraId="65DE5ACA" w14:textId="42C5BA53" w:rsidR="00A02BFB" w:rsidRPr="008B6E70" w:rsidRDefault="00B8549C" w:rsidP="008B6E70">
            <w:pPr>
              <w:spacing w:before="40" w:after="120"/>
              <w:ind w:right="113"/>
            </w:pPr>
            <w:r w:rsidRPr="008B6E70">
              <w:t>Eighteenth to twentieth reports pending consideration in November 2022.</w:t>
            </w:r>
          </w:p>
        </w:tc>
      </w:tr>
      <w:tr w:rsidR="008B4D7D" w:rsidRPr="008B6E70" w14:paraId="58AC300D" w14:textId="77777777" w:rsidTr="008B6E70">
        <w:tc>
          <w:tcPr>
            <w:tcW w:w="1928" w:type="dxa"/>
            <w:shd w:val="clear" w:color="auto" w:fill="auto"/>
          </w:tcPr>
          <w:p w14:paraId="2D5FC6DA" w14:textId="77777777" w:rsidR="00A02BFB" w:rsidRPr="008B6E70" w:rsidRDefault="00A02BFB" w:rsidP="008B6E70">
            <w:pPr>
              <w:spacing w:before="40" w:after="120"/>
              <w:ind w:right="113"/>
            </w:pPr>
            <w:r w:rsidRPr="008B6E70">
              <w:t>CESCR</w:t>
            </w:r>
          </w:p>
        </w:tc>
        <w:tc>
          <w:tcPr>
            <w:tcW w:w="1928" w:type="dxa"/>
            <w:shd w:val="clear" w:color="auto" w:fill="auto"/>
          </w:tcPr>
          <w:p w14:paraId="4E5C586F" w14:textId="4894F2F9" w:rsidR="00A02BFB" w:rsidRPr="008B6E70" w:rsidRDefault="001E5F5E" w:rsidP="008B6E70">
            <w:pPr>
              <w:spacing w:before="40" w:after="120"/>
              <w:ind w:right="113"/>
            </w:pPr>
            <w:r w:rsidRPr="008B6E70">
              <w:t>--</w:t>
            </w:r>
          </w:p>
        </w:tc>
        <w:tc>
          <w:tcPr>
            <w:tcW w:w="1927" w:type="dxa"/>
            <w:shd w:val="clear" w:color="auto" w:fill="auto"/>
          </w:tcPr>
          <w:p w14:paraId="47B97FDA" w14:textId="00B4CFF4" w:rsidR="00A02BFB" w:rsidRPr="008B6E70" w:rsidRDefault="001E5F5E" w:rsidP="008B6E70">
            <w:pPr>
              <w:spacing w:before="40" w:after="120"/>
              <w:ind w:right="113"/>
            </w:pPr>
            <w:r w:rsidRPr="008B6E70">
              <w:t>2020</w:t>
            </w:r>
          </w:p>
        </w:tc>
        <w:tc>
          <w:tcPr>
            <w:tcW w:w="1927" w:type="dxa"/>
            <w:shd w:val="clear" w:color="auto" w:fill="auto"/>
          </w:tcPr>
          <w:p w14:paraId="326AACC2" w14:textId="76866EB1" w:rsidR="00A02BFB" w:rsidRPr="008B6E70" w:rsidRDefault="001E5F5E" w:rsidP="008B6E70">
            <w:pPr>
              <w:spacing w:before="40" w:after="120"/>
              <w:ind w:right="113"/>
            </w:pPr>
            <w:r w:rsidRPr="008B6E70">
              <w:t>--</w:t>
            </w:r>
          </w:p>
        </w:tc>
        <w:tc>
          <w:tcPr>
            <w:tcW w:w="1927" w:type="dxa"/>
            <w:shd w:val="clear" w:color="auto" w:fill="auto"/>
          </w:tcPr>
          <w:p w14:paraId="41724ACB" w14:textId="0270FC23" w:rsidR="00A02BFB" w:rsidRPr="008B6E70" w:rsidRDefault="001E5F5E" w:rsidP="008B6E70">
            <w:pPr>
              <w:spacing w:before="40" w:after="120"/>
              <w:ind w:right="113"/>
            </w:pPr>
            <w:r w:rsidRPr="008B6E70">
              <w:t>Third report pending consideration.</w:t>
            </w:r>
          </w:p>
        </w:tc>
      </w:tr>
      <w:tr w:rsidR="008B4D7D" w:rsidRPr="008B6E70" w14:paraId="21E3975A" w14:textId="77777777" w:rsidTr="008B6E70">
        <w:tc>
          <w:tcPr>
            <w:tcW w:w="1928" w:type="dxa"/>
            <w:shd w:val="clear" w:color="auto" w:fill="auto"/>
          </w:tcPr>
          <w:p w14:paraId="60BC488C" w14:textId="77777777" w:rsidR="00A02BFB" w:rsidRPr="008B6E70" w:rsidRDefault="00A02BFB" w:rsidP="008B6E70">
            <w:pPr>
              <w:spacing w:before="40" w:after="120"/>
              <w:ind w:right="113"/>
            </w:pPr>
            <w:r w:rsidRPr="008B6E70">
              <w:lastRenderedPageBreak/>
              <w:t>HR Committee</w:t>
            </w:r>
          </w:p>
        </w:tc>
        <w:tc>
          <w:tcPr>
            <w:tcW w:w="1928" w:type="dxa"/>
            <w:shd w:val="clear" w:color="auto" w:fill="auto"/>
          </w:tcPr>
          <w:p w14:paraId="32381D4B" w14:textId="79E6CB6B" w:rsidR="00A02BFB" w:rsidRPr="008B6E70" w:rsidRDefault="008708CB" w:rsidP="008B6E70">
            <w:pPr>
              <w:spacing w:before="40" w:after="120"/>
              <w:ind w:right="113"/>
            </w:pPr>
            <w:r w:rsidRPr="008B6E70">
              <w:t>--</w:t>
            </w:r>
          </w:p>
        </w:tc>
        <w:tc>
          <w:tcPr>
            <w:tcW w:w="1927" w:type="dxa"/>
            <w:shd w:val="clear" w:color="auto" w:fill="auto"/>
          </w:tcPr>
          <w:p w14:paraId="2DC89872" w14:textId="3D60C68E" w:rsidR="00A02BFB" w:rsidRPr="008B6E70" w:rsidRDefault="008708CB" w:rsidP="008B6E70">
            <w:pPr>
              <w:spacing w:before="40" w:after="120"/>
              <w:ind w:right="113"/>
            </w:pPr>
            <w:r w:rsidRPr="008B6E70">
              <w:t>2020</w:t>
            </w:r>
          </w:p>
        </w:tc>
        <w:tc>
          <w:tcPr>
            <w:tcW w:w="1927" w:type="dxa"/>
            <w:shd w:val="clear" w:color="auto" w:fill="auto"/>
          </w:tcPr>
          <w:p w14:paraId="038D0ADC" w14:textId="06F60EF6" w:rsidR="00A02BFB" w:rsidRPr="008B6E70" w:rsidRDefault="008708CB" w:rsidP="008B6E70">
            <w:pPr>
              <w:spacing w:before="40" w:after="120"/>
              <w:ind w:right="113"/>
            </w:pPr>
            <w:r w:rsidRPr="008B6E70">
              <w:t>--</w:t>
            </w:r>
          </w:p>
        </w:tc>
        <w:tc>
          <w:tcPr>
            <w:tcW w:w="1927" w:type="dxa"/>
            <w:shd w:val="clear" w:color="auto" w:fill="auto"/>
          </w:tcPr>
          <w:p w14:paraId="54E64B4C" w14:textId="43D5E075" w:rsidR="00A02BFB" w:rsidRPr="008B6E70" w:rsidRDefault="008708CB" w:rsidP="008B6E70">
            <w:pPr>
              <w:spacing w:before="40" w:after="120"/>
              <w:ind w:right="113"/>
            </w:pPr>
            <w:r w:rsidRPr="008B6E70">
              <w:t>Third report pending consideration.</w:t>
            </w:r>
          </w:p>
        </w:tc>
      </w:tr>
      <w:tr w:rsidR="008B4D7D" w:rsidRPr="008B6E70" w14:paraId="360016ED" w14:textId="77777777" w:rsidTr="008B6E70">
        <w:tc>
          <w:tcPr>
            <w:tcW w:w="1928" w:type="dxa"/>
            <w:shd w:val="clear" w:color="auto" w:fill="auto"/>
          </w:tcPr>
          <w:p w14:paraId="33320B06" w14:textId="77777777" w:rsidR="00A02BFB" w:rsidRPr="008B6E70" w:rsidRDefault="00A02BFB" w:rsidP="008B6E70">
            <w:pPr>
              <w:spacing w:before="40" w:after="120"/>
              <w:ind w:right="113"/>
            </w:pPr>
            <w:r w:rsidRPr="008B6E70">
              <w:t>CEDAW</w:t>
            </w:r>
          </w:p>
        </w:tc>
        <w:tc>
          <w:tcPr>
            <w:tcW w:w="1928" w:type="dxa"/>
            <w:shd w:val="clear" w:color="auto" w:fill="auto"/>
          </w:tcPr>
          <w:p w14:paraId="21DDA8EB" w14:textId="4D31C6E7" w:rsidR="00A02BFB" w:rsidRPr="008B6E70" w:rsidRDefault="00E0382E" w:rsidP="008B6E70">
            <w:pPr>
              <w:spacing w:before="40" w:after="120"/>
              <w:ind w:right="113"/>
            </w:pPr>
            <w:r w:rsidRPr="008B6E70">
              <w:t>--</w:t>
            </w:r>
          </w:p>
        </w:tc>
        <w:tc>
          <w:tcPr>
            <w:tcW w:w="1927" w:type="dxa"/>
            <w:shd w:val="clear" w:color="auto" w:fill="auto"/>
          </w:tcPr>
          <w:p w14:paraId="4FA5FAA4" w14:textId="55300744" w:rsidR="00A02BFB" w:rsidRPr="008B6E70" w:rsidRDefault="00E0382E" w:rsidP="008B6E70">
            <w:pPr>
              <w:spacing w:before="40" w:after="120"/>
              <w:ind w:right="113"/>
            </w:pPr>
            <w:r w:rsidRPr="008B6E70">
              <w:t>2021</w:t>
            </w:r>
          </w:p>
        </w:tc>
        <w:tc>
          <w:tcPr>
            <w:tcW w:w="1927" w:type="dxa"/>
            <w:shd w:val="clear" w:color="auto" w:fill="auto"/>
          </w:tcPr>
          <w:p w14:paraId="2D8D330E" w14:textId="7D66C2E7" w:rsidR="00A02BFB" w:rsidRPr="008B6E70" w:rsidRDefault="00E0382E" w:rsidP="008B6E70">
            <w:pPr>
              <w:spacing w:before="40" w:after="120"/>
              <w:ind w:right="113"/>
            </w:pPr>
            <w:r w:rsidRPr="008B6E70">
              <w:t>--</w:t>
            </w:r>
          </w:p>
        </w:tc>
        <w:tc>
          <w:tcPr>
            <w:tcW w:w="1927" w:type="dxa"/>
            <w:shd w:val="clear" w:color="auto" w:fill="auto"/>
          </w:tcPr>
          <w:p w14:paraId="1CEC72E2" w14:textId="3011A9BC" w:rsidR="00A02BFB" w:rsidRPr="008B6E70" w:rsidRDefault="00E0382E" w:rsidP="008B6E70">
            <w:pPr>
              <w:spacing w:before="40" w:after="120"/>
              <w:ind w:right="113"/>
            </w:pPr>
            <w:r w:rsidRPr="008B6E70">
              <w:t>Eighth to ninth report pending consideration.</w:t>
            </w:r>
          </w:p>
        </w:tc>
      </w:tr>
      <w:tr w:rsidR="008B4D7D" w:rsidRPr="008B6E70" w14:paraId="0EB4D214" w14:textId="77777777" w:rsidTr="008B6E70">
        <w:tc>
          <w:tcPr>
            <w:tcW w:w="1928" w:type="dxa"/>
            <w:shd w:val="clear" w:color="auto" w:fill="auto"/>
          </w:tcPr>
          <w:p w14:paraId="3C7C5F3C" w14:textId="77777777" w:rsidR="00A02BFB" w:rsidRPr="008B6E70" w:rsidRDefault="00A02BFB" w:rsidP="008B6E70">
            <w:pPr>
              <w:spacing w:before="40" w:after="120"/>
              <w:ind w:right="113"/>
            </w:pPr>
            <w:r w:rsidRPr="008B6E70">
              <w:t>CAT</w:t>
            </w:r>
          </w:p>
        </w:tc>
        <w:tc>
          <w:tcPr>
            <w:tcW w:w="1928" w:type="dxa"/>
            <w:shd w:val="clear" w:color="auto" w:fill="auto"/>
          </w:tcPr>
          <w:p w14:paraId="0A5E522C" w14:textId="2BABFC1E" w:rsidR="00A02BFB" w:rsidRPr="008B6E70" w:rsidRDefault="00BB5C77" w:rsidP="008B6E70">
            <w:pPr>
              <w:spacing w:before="40" w:after="120"/>
              <w:ind w:right="113"/>
            </w:pPr>
            <w:r w:rsidRPr="008B6E70">
              <w:t>--</w:t>
            </w:r>
          </w:p>
        </w:tc>
        <w:tc>
          <w:tcPr>
            <w:tcW w:w="1927" w:type="dxa"/>
            <w:shd w:val="clear" w:color="auto" w:fill="auto"/>
          </w:tcPr>
          <w:p w14:paraId="5F831F80" w14:textId="18BF7F99" w:rsidR="00A02BFB" w:rsidRPr="008B6E70" w:rsidRDefault="00BB5C77" w:rsidP="008B6E70">
            <w:pPr>
              <w:spacing w:before="40" w:after="120"/>
              <w:ind w:right="113"/>
            </w:pPr>
            <w:r w:rsidRPr="008B6E70">
              <w:t>2020</w:t>
            </w:r>
          </w:p>
        </w:tc>
        <w:tc>
          <w:tcPr>
            <w:tcW w:w="1927" w:type="dxa"/>
            <w:shd w:val="clear" w:color="auto" w:fill="auto"/>
          </w:tcPr>
          <w:p w14:paraId="445C5036" w14:textId="357972A4" w:rsidR="00A02BFB" w:rsidRPr="008B6E70" w:rsidRDefault="00BB5C77" w:rsidP="008B6E70">
            <w:pPr>
              <w:spacing w:before="40" w:after="120"/>
              <w:ind w:right="113"/>
            </w:pPr>
            <w:r w:rsidRPr="008B6E70">
              <w:t>--</w:t>
            </w:r>
          </w:p>
        </w:tc>
        <w:tc>
          <w:tcPr>
            <w:tcW w:w="1927" w:type="dxa"/>
            <w:shd w:val="clear" w:color="auto" w:fill="auto"/>
          </w:tcPr>
          <w:p w14:paraId="247DF1E0" w14:textId="36BC26DF" w:rsidR="00A02BFB" w:rsidRPr="008B6E70" w:rsidRDefault="00BB5C77" w:rsidP="008B6E70">
            <w:pPr>
              <w:spacing w:before="40" w:after="120"/>
              <w:ind w:right="113"/>
            </w:pPr>
            <w:r w:rsidRPr="008B6E70">
              <w:t>Second report pending consideration.</w:t>
            </w:r>
          </w:p>
        </w:tc>
      </w:tr>
      <w:tr w:rsidR="008B4D7D" w:rsidRPr="008B6E70" w14:paraId="23C350E4" w14:textId="77777777" w:rsidTr="008B6E70">
        <w:tc>
          <w:tcPr>
            <w:tcW w:w="1928" w:type="dxa"/>
            <w:shd w:val="clear" w:color="auto" w:fill="auto"/>
          </w:tcPr>
          <w:p w14:paraId="49EC097B" w14:textId="77777777" w:rsidR="00A02BFB" w:rsidRPr="008B6E70" w:rsidRDefault="00A02BFB" w:rsidP="008B6E70">
            <w:pPr>
              <w:spacing w:before="40" w:after="120"/>
              <w:ind w:right="113"/>
            </w:pPr>
            <w:r w:rsidRPr="008B6E70">
              <w:t>CRC</w:t>
            </w:r>
          </w:p>
        </w:tc>
        <w:tc>
          <w:tcPr>
            <w:tcW w:w="1928" w:type="dxa"/>
            <w:shd w:val="clear" w:color="auto" w:fill="auto"/>
          </w:tcPr>
          <w:p w14:paraId="7F3480B5" w14:textId="633C239D" w:rsidR="00A02BFB" w:rsidRPr="008B6E70" w:rsidRDefault="000E6C65" w:rsidP="008B6E70">
            <w:pPr>
              <w:spacing w:before="40" w:after="120"/>
              <w:ind w:right="113"/>
            </w:pPr>
            <w:r w:rsidRPr="008B6E70">
              <w:t>October 2015 (on CRC and O-CRC-AC)</w:t>
            </w:r>
          </w:p>
        </w:tc>
        <w:tc>
          <w:tcPr>
            <w:tcW w:w="1927" w:type="dxa"/>
            <w:shd w:val="clear" w:color="auto" w:fill="auto"/>
          </w:tcPr>
          <w:p w14:paraId="1C3A9578" w14:textId="6E3888ED" w:rsidR="00A02BFB" w:rsidRPr="008B6E70" w:rsidRDefault="000E6C65" w:rsidP="008B6E70">
            <w:pPr>
              <w:spacing w:before="40" w:after="120"/>
              <w:ind w:right="113"/>
            </w:pPr>
            <w:r w:rsidRPr="008B6E70">
              <w:t>2020 (on OP-CRC-SC) / 2021 (on CRC)</w:t>
            </w:r>
          </w:p>
        </w:tc>
        <w:tc>
          <w:tcPr>
            <w:tcW w:w="1927" w:type="dxa"/>
            <w:shd w:val="clear" w:color="auto" w:fill="auto"/>
          </w:tcPr>
          <w:p w14:paraId="0E84DDDC" w14:textId="22E05812" w:rsidR="00A02BFB" w:rsidRPr="008B6E70" w:rsidRDefault="000E6C65" w:rsidP="008B6E70">
            <w:pPr>
              <w:spacing w:before="40" w:after="120"/>
              <w:ind w:right="113"/>
            </w:pPr>
            <w:r w:rsidRPr="008B6E70">
              <w:t>--</w:t>
            </w:r>
          </w:p>
        </w:tc>
        <w:tc>
          <w:tcPr>
            <w:tcW w:w="1927" w:type="dxa"/>
            <w:shd w:val="clear" w:color="auto" w:fill="auto"/>
          </w:tcPr>
          <w:p w14:paraId="1A3FFC6B" w14:textId="35D62F33" w:rsidR="00A02BFB" w:rsidRPr="008B6E70" w:rsidRDefault="000E6C65" w:rsidP="008B6E70">
            <w:pPr>
              <w:spacing w:before="40" w:after="120"/>
              <w:ind w:right="113"/>
            </w:pPr>
            <w:r w:rsidRPr="008B6E70">
              <w:t>Fifth to seventh reports pending consideration. Initial report to OP-CRC-SC pending consideration</w:t>
            </w:r>
          </w:p>
        </w:tc>
      </w:tr>
      <w:tr w:rsidR="008B4D7D" w:rsidRPr="008B6E70" w14:paraId="68E6CC0A" w14:textId="77777777" w:rsidTr="008B6E70">
        <w:tc>
          <w:tcPr>
            <w:tcW w:w="1928" w:type="dxa"/>
            <w:shd w:val="clear" w:color="auto" w:fill="auto"/>
          </w:tcPr>
          <w:p w14:paraId="66C394F0" w14:textId="77777777" w:rsidR="00A02BFB" w:rsidRPr="008B6E70" w:rsidRDefault="00A02BFB" w:rsidP="008B6E70">
            <w:pPr>
              <w:spacing w:before="40" w:after="120"/>
              <w:ind w:right="113"/>
            </w:pPr>
            <w:r w:rsidRPr="008B6E70">
              <w:t>CRPD</w:t>
            </w:r>
          </w:p>
        </w:tc>
        <w:tc>
          <w:tcPr>
            <w:tcW w:w="1928" w:type="dxa"/>
            <w:shd w:val="clear" w:color="auto" w:fill="auto"/>
          </w:tcPr>
          <w:p w14:paraId="7835B159" w14:textId="650ACE53" w:rsidR="00A02BFB" w:rsidRPr="008B6E70" w:rsidRDefault="005A4C06" w:rsidP="008B6E70">
            <w:pPr>
              <w:spacing w:before="40" w:after="120"/>
              <w:ind w:right="113"/>
            </w:pPr>
            <w:r w:rsidRPr="008B6E70">
              <w:t>September 2015</w:t>
            </w:r>
          </w:p>
        </w:tc>
        <w:tc>
          <w:tcPr>
            <w:tcW w:w="1927" w:type="dxa"/>
            <w:shd w:val="clear" w:color="auto" w:fill="auto"/>
          </w:tcPr>
          <w:p w14:paraId="3EE18E54" w14:textId="6BC9DE9B" w:rsidR="00A02BFB" w:rsidRPr="008B6E70" w:rsidRDefault="005A4C06" w:rsidP="008B6E70">
            <w:pPr>
              <w:spacing w:before="40" w:after="120"/>
              <w:ind w:right="113"/>
            </w:pPr>
            <w:r w:rsidRPr="008B6E70">
              <w:t>--</w:t>
            </w:r>
          </w:p>
        </w:tc>
        <w:tc>
          <w:tcPr>
            <w:tcW w:w="1927" w:type="dxa"/>
            <w:shd w:val="clear" w:color="auto" w:fill="auto"/>
          </w:tcPr>
          <w:p w14:paraId="6E1E150A" w14:textId="7265374D" w:rsidR="00A02BFB" w:rsidRPr="008B6E70" w:rsidRDefault="005A4C06" w:rsidP="008B6E70">
            <w:pPr>
              <w:spacing w:before="40" w:after="120"/>
              <w:ind w:right="113"/>
            </w:pPr>
            <w:r w:rsidRPr="008B6E70">
              <w:t>--</w:t>
            </w:r>
          </w:p>
        </w:tc>
        <w:tc>
          <w:tcPr>
            <w:tcW w:w="1927" w:type="dxa"/>
            <w:shd w:val="clear" w:color="auto" w:fill="auto"/>
          </w:tcPr>
          <w:p w14:paraId="131A0963" w14:textId="63F6BB78" w:rsidR="00A02BFB" w:rsidRPr="008B6E70" w:rsidRDefault="005A4C06" w:rsidP="008B6E70">
            <w:pPr>
              <w:spacing w:before="40" w:after="120"/>
              <w:ind w:right="113"/>
            </w:pPr>
            <w:r w:rsidRPr="008B6E70">
              <w:t xml:space="preserve">Second to fourth reports </w:t>
            </w:r>
            <w:r w:rsidR="00505284">
              <w:t>over</w:t>
            </w:r>
            <w:r w:rsidRPr="008B6E70">
              <w:t xml:space="preserve">due </w:t>
            </w:r>
            <w:r w:rsidR="00505284">
              <w:t xml:space="preserve">since </w:t>
            </w:r>
            <w:r w:rsidRPr="008B6E70">
              <w:t>September 2022.</w:t>
            </w:r>
          </w:p>
        </w:tc>
      </w:tr>
      <w:tr w:rsidR="008B4D7D" w:rsidRPr="008B6E70" w14:paraId="5F824C9D" w14:textId="77777777" w:rsidTr="008B6E70">
        <w:tc>
          <w:tcPr>
            <w:tcW w:w="1928" w:type="dxa"/>
            <w:tcBorders>
              <w:bottom w:val="single" w:sz="12" w:space="0" w:color="auto"/>
            </w:tcBorders>
            <w:shd w:val="clear" w:color="auto" w:fill="auto"/>
          </w:tcPr>
          <w:p w14:paraId="792E9ADC" w14:textId="77777777" w:rsidR="00A02BFB" w:rsidRPr="008B6E70" w:rsidRDefault="00A02BFB" w:rsidP="008B6E70">
            <w:pPr>
              <w:spacing w:before="40" w:after="120"/>
              <w:ind w:right="113"/>
            </w:pPr>
            <w:r w:rsidRPr="008B6E70">
              <w:t>CED</w:t>
            </w:r>
          </w:p>
        </w:tc>
        <w:tc>
          <w:tcPr>
            <w:tcW w:w="1928" w:type="dxa"/>
            <w:tcBorders>
              <w:bottom w:val="single" w:sz="12" w:space="0" w:color="auto"/>
            </w:tcBorders>
            <w:shd w:val="clear" w:color="auto" w:fill="auto"/>
          </w:tcPr>
          <w:p w14:paraId="0BF7D419" w14:textId="6D15D9D6" w:rsidR="00A02BFB" w:rsidRPr="008B6E70" w:rsidRDefault="00676982" w:rsidP="008B6E70">
            <w:pPr>
              <w:spacing w:before="40" w:after="120"/>
              <w:ind w:right="113"/>
            </w:pPr>
            <w:r w:rsidRPr="008B6E70">
              <w:t>--</w:t>
            </w:r>
          </w:p>
        </w:tc>
        <w:tc>
          <w:tcPr>
            <w:tcW w:w="1927" w:type="dxa"/>
            <w:tcBorders>
              <w:bottom w:val="single" w:sz="12" w:space="0" w:color="auto"/>
            </w:tcBorders>
            <w:shd w:val="clear" w:color="auto" w:fill="auto"/>
          </w:tcPr>
          <w:p w14:paraId="3D908565" w14:textId="2879BA95" w:rsidR="00A02BFB" w:rsidRPr="008B6E70" w:rsidRDefault="00676982" w:rsidP="008B6E70">
            <w:pPr>
              <w:spacing w:before="40" w:after="120"/>
              <w:ind w:right="113"/>
            </w:pPr>
            <w:r w:rsidRPr="008B6E70">
              <w:t>2019</w:t>
            </w:r>
          </w:p>
        </w:tc>
        <w:tc>
          <w:tcPr>
            <w:tcW w:w="1927" w:type="dxa"/>
            <w:tcBorders>
              <w:bottom w:val="single" w:sz="12" w:space="0" w:color="auto"/>
            </w:tcBorders>
            <w:shd w:val="clear" w:color="auto" w:fill="auto"/>
          </w:tcPr>
          <w:p w14:paraId="6C5A4403" w14:textId="2B33C287" w:rsidR="00A02BFB" w:rsidRPr="008B6E70" w:rsidRDefault="00676982" w:rsidP="008B6E70">
            <w:pPr>
              <w:spacing w:before="40" w:after="120"/>
              <w:ind w:right="113"/>
            </w:pPr>
            <w:r w:rsidRPr="008B6E70">
              <w:t>September 2021</w:t>
            </w:r>
          </w:p>
        </w:tc>
        <w:tc>
          <w:tcPr>
            <w:tcW w:w="1927" w:type="dxa"/>
            <w:tcBorders>
              <w:bottom w:val="single" w:sz="12" w:space="0" w:color="auto"/>
            </w:tcBorders>
            <w:shd w:val="clear" w:color="auto" w:fill="auto"/>
          </w:tcPr>
          <w:p w14:paraId="5DF01C80" w14:textId="3983501C" w:rsidR="00A02BFB" w:rsidRPr="008B6E70" w:rsidRDefault="00676982" w:rsidP="008B6E70">
            <w:pPr>
              <w:spacing w:before="40" w:after="120"/>
              <w:ind w:right="113"/>
            </w:pPr>
            <w:r w:rsidRPr="008B6E70">
              <w:t xml:space="preserve">Next report due </w:t>
            </w:r>
            <w:r w:rsidR="00E63EB3">
              <w:br/>
            </w:r>
            <w:r w:rsidRPr="008B6E70">
              <w:t>in 2027.</w:t>
            </w:r>
          </w:p>
        </w:tc>
      </w:tr>
    </w:tbl>
    <w:p w14:paraId="67A01BB5" w14:textId="0E3085CA" w:rsidR="00A02BFB" w:rsidRPr="00A02BFB" w:rsidRDefault="00DE4620" w:rsidP="008D3699">
      <w:pPr>
        <w:pStyle w:val="H23G"/>
      </w:pPr>
      <w:r>
        <w:tab/>
      </w:r>
      <w:r w:rsidR="0022777B">
        <w:tab/>
      </w:r>
      <w:r w:rsidR="00A02BFB" w:rsidRPr="00A02BFB">
        <w:t xml:space="preserve">Country visits and/or </w:t>
      </w:r>
      <w:r w:rsidR="00A02BFB" w:rsidRPr="006330A4">
        <w:t>inquiries</w:t>
      </w:r>
      <w:r w:rsidR="00A02BFB" w:rsidRPr="00A02BFB">
        <w:t xml:space="preserve"> by treaty bodies </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02BFB"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8B4D7D" w:rsidRDefault="00A02BFB" w:rsidP="008B4D7D">
            <w:pPr>
              <w:spacing w:before="80" w:after="80" w:line="200" w:lineRule="exact"/>
              <w:ind w:right="113"/>
              <w:rPr>
                <w:i/>
                <w:sz w:val="16"/>
              </w:rPr>
            </w:pPr>
            <w:r w:rsidRPr="008B4D7D">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B4D7D" w:rsidRDefault="00A02BFB" w:rsidP="008B4D7D">
            <w:pPr>
              <w:spacing w:before="80" w:after="80" w:line="200" w:lineRule="exact"/>
              <w:ind w:right="113"/>
              <w:rPr>
                <w:i/>
                <w:sz w:val="16"/>
              </w:rPr>
            </w:pPr>
            <w:r w:rsidRPr="008B4D7D">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A02BFB" w:rsidRPr="00A02BFB" w14:paraId="4650925A" w14:textId="77777777" w:rsidTr="008B4D7D">
        <w:tc>
          <w:tcPr>
            <w:tcW w:w="3211" w:type="dxa"/>
            <w:tcBorders>
              <w:bottom w:val="single" w:sz="12" w:space="0" w:color="auto"/>
            </w:tcBorders>
            <w:shd w:val="clear" w:color="auto" w:fill="auto"/>
          </w:tcPr>
          <w:p w14:paraId="148E2F4E" w14:textId="77777777" w:rsidR="00A02BFB" w:rsidRPr="00A02BFB" w:rsidRDefault="00A02BFB" w:rsidP="008B4D7D">
            <w:pPr>
              <w:spacing w:before="40" w:after="120"/>
              <w:ind w:right="113"/>
            </w:pPr>
            <w:r w:rsidRPr="00A02BFB">
              <w:t>SPT</w:t>
            </w:r>
          </w:p>
        </w:tc>
        <w:tc>
          <w:tcPr>
            <w:tcW w:w="3213" w:type="dxa"/>
            <w:tcBorders>
              <w:bottom w:val="single" w:sz="12" w:space="0" w:color="auto"/>
            </w:tcBorders>
            <w:shd w:val="clear" w:color="auto" w:fill="auto"/>
          </w:tcPr>
          <w:p w14:paraId="2DB98726" w14:textId="699886BD" w:rsidR="007644BF" w:rsidRPr="00A02BFB" w:rsidRDefault="00B068CF" w:rsidP="001812FC">
            <w:pPr>
              <w:spacing w:before="40" w:after="120"/>
              <w:ind w:right="113"/>
              <w:jc w:val="both"/>
            </w:pPr>
            <w:r>
              <w:t>February 2022</w:t>
            </w:r>
            <w:r w:rsidR="0002301D">
              <w:t>.</w:t>
            </w:r>
          </w:p>
        </w:tc>
        <w:tc>
          <w:tcPr>
            <w:tcW w:w="3213" w:type="dxa"/>
            <w:tcBorders>
              <w:bottom w:val="single" w:sz="12" w:space="0" w:color="auto"/>
            </w:tcBorders>
            <w:shd w:val="clear" w:color="auto" w:fill="auto"/>
          </w:tcPr>
          <w:p w14:paraId="41827F0B" w14:textId="1B75EF7B" w:rsidR="00A02BFB" w:rsidRPr="00A02BFB" w:rsidRDefault="000F5FF1" w:rsidP="00BB5C77">
            <w:pPr>
              <w:spacing w:before="40" w:after="120"/>
              <w:ind w:right="113"/>
              <w:jc w:val="both"/>
            </w:pPr>
            <w:r>
              <w:t>Report not available.</w:t>
            </w:r>
          </w:p>
        </w:tc>
      </w:tr>
    </w:tbl>
    <w:p w14:paraId="1C0B59DE" w14:textId="77777777" w:rsidR="00A02BFB" w:rsidRDefault="00A02BFB" w:rsidP="008D3699">
      <w:pPr>
        <w:pStyle w:val="H1G"/>
      </w:pPr>
      <w:r w:rsidRPr="00A02BFB">
        <w:tab/>
        <w:t>B.</w:t>
      </w:r>
      <w:r w:rsidRPr="00A02BFB">
        <w:tab/>
        <w:t xml:space="preserve">Cooperation with special </w:t>
      </w:r>
      <w:r w:rsidRPr="008D3699">
        <w:t>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18"/>
        <w:gridCol w:w="4819"/>
      </w:tblGrid>
      <w:tr w:rsidR="00896D02" w:rsidRPr="008B6E70" w14:paraId="792A5DB4" w14:textId="77777777" w:rsidTr="00896D02">
        <w:tc>
          <w:tcPr>
            <w:tcW w:w="3205" w:type="dxa"/>
            <w:tcBorders>
              <w:top w:val="single" w:sz="4" w:space="0" w:color="auto"/>
              <w:bottom w:val="single" w:sz="12" w:space="0" w:color="auto"/>
            </w:tcBorders>
            <w:shd w:val="clear" w:color="auto" w:fill="auto"/>
            <w:vAlign w:val="bottom"/>
          </w:tcPr>
          <w:p w14:paraId="7A8364F3" w14:textId="77777777" w:rsidR="00896D02" w:rsidRPr="008B6E70" w:rsidRDefault="00896D02" w:rsidP="008B6E70">
            <w:pPr>
              <w:spacing w:before="80" w:after="80" w:line="200" w:lineRule="exact"/>
              <w:ind w:right="113"/>
              <w:rPr>
                <w:i/>
                <w:sz w:val="16"/>
              </w:rPr>
            </w:pPr>
          </w:p>
        </w:tc>
        <w:tc>
          <w:tcPr>
            <w:tcW w:w="3206" w:type="dxa"/>
            <w:tcBorders>
              <w:top w:val="single" w:sz="4" w:space="0" w:color="auto"/>
              <w:bottom w:val="single" w:sz="12" w:space="0" w:color="auto"/>
            </w:tcBorders>
            <w:shd w:val="clear" w:color="auto" w:fill="auto"/>
            <w:vAlign w:val="bottom"/>
          </w:tcPr>
          <w:p w14:paraId="1D34443B" w14:textId="3ED6EB05" w:rsidR="00896D02" w:rsidRPr="008B6E70" w:rsidRDefault="00896D02" w:rsidP="008B6E70">
            <w:pPr>
              <w:spacing w:before="80" w:after="80" w:line="200" w:lineRule="exact"/>
              <w:ind w:right="113"/>
              <w:rPr>
                <w:i/>
                <w:sz w:val="16"/>
              </w:rPr>
            </w:pPr>
            <w:r w:rsidRPr="008B6E70">
              <w:rPr>
                <w:i/>
                <w:sz w:val="16"/>
              </w:rPr>
              <w:t>Status during the Period Under Review</w:t>
            </w:r>
          </w:p>
        </w:tc>
      </w:tr>
      <w:tr w:rsidR="00896D02" w:rsidRPr="008B6E70" w14:paraId="3FA08651" w14:textId="77777777" w:rsidTr="00896D02">
        <w:trPr>
          <w:trHeight w:hRule="exact" w:val="113"/>
        </w:trPr>
        <w:tc>
          <w:tcPr>
            <w:tcW w:w="3205" w:type="dxa"/>
            <w:tcBorders>
              <w:top w:val="single" w:sz="12" w:space="0" w:color="auto"/>
            </w:tcBorders>
            <w:shd w:val="clear" w:color="auto" w:fill="auto"/>
          </w:tcPr>
          <w:p w14:paraId="08C66B50" w14:textId="77777777" w:rsidR="00896D02" w:rsidRPr="008B6E70" w:rsidRDefault="00896D02" w:rsidP="008B6E70">
            <w:pPr>
              <w:spacing w:before="40" w:after="120"/>
              <w:ind w:right="113"/>
            </w:pPr>
          </w:p>
        </w:tc>
        <w:tc>
          <w:tcPr>
            <w:tcW w:w="3206" w:type="dxa"/>
            <w:tcBorders>
              <w:top w:val="single" w:sz="12" w:space="0" w:color="auto"/>
            </w:tcBorders>
            <w:shd w:val="clear" w:color="auto" w:fill="auto"/>
          </w:tcPr>
          <w:p w14:paraId="522DBC60" w14:textId="77777777" w:rsidR="00896D02" w:rsidRPr="008B6E70" w:rsidRDefault="00896D02" w:rsidP="008B6E70">
            <w:pPr>
              <w:spacing w:before="40" w:after="120"/>
              <w:ind w:right="113"/>
            </w:pPr>
          </w:p>
        </w:tc>
      </w:tr>
      <w:tr w:rsidR="00896D02" w:rsidRPr="008B6E70" w14:paraId="74EB9C05" w14:textId="77777777" w:rsidTr="00896D02">
        <w:tc>
          <w:tcPr>
            <w:tcW w:w="3205" w:type="dxa"/>
            <w:shd w:val="clear" w:color="auto" w:fill="auto"/>
          </w:tcPr>
          <w:p w14:paraId="3A830976" w14:textId="77777777" w:rsidR="00896D02" w:rsidRPr="00B5091F" w:rsidRDefault="00896D02" w:rsidP="008B6E70">
            <w:pPr>
              <w:spacing w:before="40" w:after="120"/>
              <w:ind w:right="113"/>
              <w:rPr>
                <w:i/>
                <w:iCs/>
              </w:rPr>
            </w:pPr>
            <w:r w:rsidRPr="00B5091F">
              <w:rPr>
                <w:i/>
                <w:iCs/>
              </w:rPr>
              <w:t>Standing invitations</w:t>
            </w:r>
          </w:p>
        </w:tc>
        <w:tc>
          <w:tcPr>
            <w:tcW w:w="3206" w:type="dxa"/>
            <w:shd w:val="clear" w:color="auto" w:fill="auto"/>
          </w:tcPr>
          <w:p w14:paraId="63E21FD2" w14:textId="1B71C0BD" w:rsidR="00896D02" w:rsidRPr="008B6E70" w:rsidRDefault="00896D02" w:rsidP="008B6E70">
            <w:pPr>
              <w:spacing w:before="40" w:after="120"/>
              <w:ind w:right="113"/>
            </w:pPr>
            <w:r w:rsidRPr="008B6E70">
              <w:t>Yes (10 December 2001)</w:t>
            </w:r>
          </w:p>
        </w:tc>
      </w:tr>
      <w:tr w:rsidR="00896D02" w:rsidRPr="008B6E70" w14:paraId="320EF477" w14:textId="77777777" w:rsidTr="00896D02">
        <w:tc>
          <w:tcPr>
            <w:tcW w:w="3205" w:type="dxa"/>
            <w:shd w:val="clear" w:color="auto" w:fill="auto"/>
          </w:tcPr>
          <w:p w14:paraId="0DCD58C4" w14:textId="4CECF160" w:rsidR="00896D02" w:rsidRPr="00B5091F" w:rsidRDefault="00896D02" w:rsidP="008B6E70">
            <w:pPr>
              <w:spacing w:before="40" w:after="120"/>
              <w:ind w:right="113"/>
              <w:rPr>
                <w:i/>
                <w:iCs/>
              </w:rPr>
            </w:pPr>
            <w:r w:rsidRPr="00B5091F">
              <w:rPr>
                <w:i/>
                <w:iCs/>
              </w:rPr>
              <w:t>Visits undertaken during the period under review</w:t>
            </w:r>
          </w:p>
        </w:tc>
        <w:tc>
          <w:tcPr>
            <w:tcW w:w="3206" w:type="dxa"/>
            <w:shd w:val="clear" w:color="auto" w:fill="auto"/>
          </w:tcPr>
          <w:p w14:paraId="4D1A17CB" w14:textId="77777777" w:rsidR="00896D02" w:rsidRPr="008B6E70" w:rsidRDefault="00896D02" w:rsidP="00A151F2">
            <w:pPr>
              <w:spacing w:before="40" w:after="120"/>
              <w:ind w:right="113"/>
            </w:pPr>
            <w:r w:rsidRPr="008B6E70">
              <w:t>Special Rapporteur on the rights to freedom of peaceful assembly and of association from 28 March to 8 April 2022;</w:t>
            </w:r>
          </w:p>
          <w:p w14:paraId="7D0FAC0C" w14:textId="77777777" w:rsidR="00896D02" w:rsidRPr="008B6E70" w:rsidRDefault="00896D02" w:rsidP="00A151F2">
            <w:pPr>
              <w:spacing w:before="40" w:after="120"/>
              <w:ind w:right="113"/>
            </w:pPr>
            <w:r w:rsidRPr="008B6E70">
              <w:t>The Independent Expert on the enjoyment of human rights by persons with albinism from 28 October to 8 November 2019;</w:t>
            </w:r>
          </w:p>
          <w:p w14:paraId="5D483860" w14:textId="77777777" w:rsidR="00896D02" w:rsidRPr="008B6E70" w:rsidRDefault="00896D02" w:rsidP="00A151F2">
            <w:pPr>
              <w:spacing w:before="40" w:after="120"/>
              <w:ind w:right="113"/>
            </w:pPr>
            <w:r w:rsidRPr="008B6E70">
              <w:t>The Special Rapporteur on toxics and human rights visited Brazil from 2 to 13 December 2019;</w:t>
            </w:r>
          </w:p>
          <w:p w14:paraId="59191387" w14:textId="36A7A9FF" w:rsidR="00896D02" w:rsidRPr="008B6E70" w:rsidRDefault="00896D02" w:rsidP="00A151F2">
            <w:pPr>
              <w:spacing w:before="40" w:after="120"/>
              <w:ind w:right="113"/>
            </w:pPr>
            <w:r w:rsidRPr="008B6E70">
              <w:t>The Special Rapporteur on the elimination of discrimination against persons affected by leprosy and their family members from 7 to 14 May 2019.</w:t>
            </w:r>
          </w:p>
        </w:tc>
      </w:tr>
      <w:tr w:rsidR="00896D02" w:rsidRPr="008B6E70" w14:paraId="28AF975B" w14:textId="77777777" w:rsidTr="00896D02">
        <w:tc>
          <w:tcPr>
            <w:tcW w:w="3205" w:type="dxa"/>
            <w:tcBorders>
              <w:bottom w:val="single" w:sz="12" w:space="0" w:color="auto"/>
            </w:tcBorders>
            <w:shd w:val="clear" w:color="auto" w:fill="auto"/>
          </w:tcPr>
          <w:p w14:paraId="02C54B95" w14:textId="7C93775A" w:rsidR="00896D02" w:rsidRPr="00B5091F" w:rsidRDefault="00896D02" w:rsidP="008B6E70">
            <w:pPr>
              <w:spacing w:before="40" w:after="120"/>
              <w:ind w:right="113"/>
              <w:rPr>
                <w:i/>
                <w:iCs/>
              </w:rPr>
            </w:pPr>
            <w:r w:rsidRPr="00B5091F">
              <w:rPr>
                <w:i/>
                <w:iCs/>
              </w:rPr>
              <w:t>Visits agreed to in principle during the period under review</w:t>
            </w:r>
          </w:p>
        </w:tc>
        <w:tc>
          <w:tcPr>
            <w:tcW w:w="3206" w:type="dxa"/>
            <w:tcBorders>
              <w:bottom w:val="single" w:sz="12" w:space="0" w:color="auto"/>
            </w:tcBorders>
            <w:shd w:val="clear" w:color="auto" w:fill="auto"/>
          </w:tcPr>
          <w:p w14:paraId="1DD79FCE" w14:textId="1D672F38" w:rsidR="00896D02" w:rsidRPr="008B6E70" w:rsidRDefault="00896D02" w:rsidP="008B6E70">
            <w:pPr>
              <w:spacing w:before="40" w:after="120"/>
              <w:ind w:right="113"/>
              <w:rPr>
                <w:rFonts w:eastAsia="Calibri"/>
                <w:lang w:eastAsia="en-GB"/>
              </w:rPr>
            </w:pPr>
            <w:r w:rsidRPr="008B6E70">
              <w:rPr>
                <w:rFonts w:eastAsia="Calibri"/>
                <w:lang w:eastAsia="en-GB"/>
              </w:rPr>
              <w:t>SR on Human Rights Defenders (2019 visit accepted but date postponed due to Covid-19);</w:t>
            </w:r>
          </w:p>
          <w:p w14:paraId="2FEF9A9E" w14:textId="3D42DEB1" w:rsidR="00896D02" w:rsidRPr="008B6E70" w:rsidRDefault="00896D02" w:rsidP="008B6E70">
            <w:pPr>
              <w:spacing w:before="40" w:after="120"/>
              <w:ind w:right="113"/>
            </w:pPr>
            <w:r w:rsidRPr="008B6E70">
              <w:t>Racism (agreed on dates in 2020 but postponed in2021);</w:t>
            </w:r>
          </w:p>
          <w:p w14:paraId="6225956C" w14:textId="2E2118C2" w:rsidR="00896D02" w:rsidRPr="008B6E70" w:rsidRDefault="00896D02" w:rsidP="008B6E70">
            <w:pPr>
              <w:spacing w:before="40" w:after="120"/>
              <w:ind w:right="113"/>
              <w:rPr>
                <w:rFonts w:eastAsia="Calibri"/>
                <w:lang w:eastAsia="en-GB"/>
              </w:rPr>
            </w:pPr>
            <w:r w:rsidRPr="008B6E70">
              <w:rPr>
                <w:rFonts w:eastAsia="Calibri"/>
                <w:lang w:eastAsia="en-GB"/>
              </w:rPr>
              <w:lastRenderedPageBreak/>
              <w:t>Foreign debt (agreed on dates in 2017, postponed in 2018, and reminder sent on 2022);</w:t>
            </w:r>
          </w:p>
          <w:p w14:paraId="78DC413F" w14:textId="68C4D0B5" w:rsidR="00896D02" w:rsidRPr="008B6E70" w:rsidRDefault="00896D02" w:rsidP="008B6E70">
            <w:pPr>
              <w:spacing w:before="40" w:after="120"/>
              <w:ind w:right="113"/>
              <w:rPr>
                <w:rFonts w:eastAsia="Calibri"/>
                <w:lang w:eastAsia="en-GB"/>
              </w:rPr>
            </w:pPr>
            <w:r w:rsidRPr="008B6E70">
              <w:rPr>
                <w:rFonts w:eastAsia="Calibri"/>
                <w:lang w:eastAsia="en-GB"/>
              </w:rPr>
              <w:t>Freedom of assembly (accepted in 2021, request to postpone in 2022 and accepted in 2022);</w:t>
            </w:r>
          </w:p>
          <w:p w14:paraId="57D1DA46" w14:textId="4E8DE23D" w:rsidR="00896D02" w:rsidRPr="00B5091F" w:rsidRDefault="00896D02" w:rsidP="008B6E70">
            <w:pPr>
              <w:spacing w:before="40" w:after="120"/>
              <w:ind w:right="113"/>
              <w:rPr>
                <w:rFonts w:eastAsia="Calibri"/>
                <w:lang w:eastAsia="en-GB"/>
              </w:rPr>
            </w:pPr>
            <w:r w:rsidRPr="008B6E70">
              <w:rPr>
                <w:rFonts w:eastAsia="Calibri"/>
                <w:lang w:eastAsia="en-GB"/>
              </w:rPr>
              <w:t>Violence against women (accepted in 2022);</w:t>
            </w:r>
          </w:p>
        </w:tc>
      </w:tr>
      <w:tr w:rsidR="00896D02" w:rsidRPr="008B6E70" w14:paraId="4A8D8824" w14:textId="77777777" w:rsidTr="00896D02">
        <w:tc>
          <w:tcPr>
            <w:tcW w:w="3205" w:type="dxa"/>
            <w:tcBorders>
              <w:top w:val="single" w:sz="12" w:space="0" w:color="auto"/>
              <w:bottom w:val="single" w:sz="12" w:space="0" w:color="auto"/>
            </w:tcBorders>
            <w:shd w:val="clear" w:color="auto" w:fill="auto"/>
          </w:tcPr>
          <w:p w14:paraId="666F5FEA" w14:textId="629C23BE" w:rsidR="00896D02" w:rsidRPr="00D17491" w:rsidRDefault="00896D02" w:rsidP="008B6E70">
            <w:pPr>
              <w:spacing w:before="40" w:after="120"/>
              <w:ind w:right="113"/>
              <w:rPr>
                <w:i/>
                <w:iCs/>
              </w:rPr>
            </w:pPr>
            <w:r w:rsidRPr="00D17491">
              <w:rPr>
                <w:i/>
                <w:iCs/>
              </w:rPr>
              <w:lastRenderedPageBreak/>
              <w:t>Responses to letters of allegation and urgent appeal</w:t>
            </w:r>
          </w:p>
        </w:tc>
        <w:tc>
          <w:tcPr>
            <w:tcW w:w="3206" w:type="dxa"/>
            <w:tcBorders>
              <w:top w:val="single" w:sz="12" w:space="0" w:color="auto"/>
              <w:bottom w:val="single" w:sz="12" w:space="0" w:color="auto"/>
            </w:tcBorders>
            <w:shd w:val="clear" w:color="auto" w:fill="auto"/>
          </w:tcPr>
          <w:p w14:paraId="241EBEE1" w14:textId="45674FE1" w:rsidR="00896D02" w:rsidRPr="008B6E70" w:rsidRDefault="00896D02" w:rsidP="008B6E70">
            <w:pPr>
              <w:spacing w:before="40" w:after="120"/>
              <w:ind w:right="113"/>
            </w:pPr>
            <w:r w:rsidRPr="008B6E70">
              <w:t>During the period under review 71 communications were sent. The Government replied to 56 communications</w:t>
            </w:r>
            <w:r w:rsidR="002D6778">
              <w:t>.</w:t>
            </w:r>
          </w:p>
        </w:tc>
      </w:tr>
    </w:tbl>
    <w:p w14:paraId="3610224B" w14:textId="6ECEABD4" w:rsidR="00A02BFB" w:rsidRDefault="00B5091F" w:rsidP="00B5091F">
      <w:pPr>
        <w:pStyle w:val="H1G"/>
      </w:pPr>
      <w:r>
        <w:tab/>
      </w:r>
      <w:r w:rsidR="00A02BFB" w:rsidRPr="009D3FA1">
        <w:t>C.</w:t>
      </w:r>
      <w:r w:rsidR="00A02BFB" w:rsidRPr="009D3FA1">
        <w:tab/>
        <w:t xml:space="preserve">Status of </w:t>
      </w:r>
      <w:r w:rsidR="00A02BFB" w:rsidRPr="00B5091F">
        <w:t>national</w:t>
      </w:r>
      <w:r w:rsidR="00A02BFB" w:rsidRPr="009D3FA1">
        <w:t xml:space="preserve"> human rights institution</w:t>
      </w:r>
      <w:r w:rsidR="00A02BFB"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D17491" w14:paraId="72BEAE01" w14:textId="77777777" w:rsidTr="006D6178">
        <w:trPr>
          <w:tblHeader/>
        </w:trPr>
        <w:tc>
          <w:tcPr>
            <w:tcW w:w="3211" w:type="dxa"/>
            <w:tcBorders>
              <w:top w:val="single" w:sz="4" w:space="0" w:color="auto"/>
              <w:bottom w:val="single" w:sz="12" w:space="0" w:color="auto"/>
            </w:tcBorders>
            <w:shd w:val="clear" w:color="auto" w:fill="auto"/>
            <w:vAlign w:val="bottom"/>
          </w:tcPr>
          <w:p w14:paraId="240075E2" w14:textId="77777777" w:rsidR="00A02BFB" w:rsidRPr="00D17491" w:rsidRDefault="00A02BFB" w:rsidP="00D17491">
            <w:pPr>
              <w:spacing w:before="80" w:after="80" w:line="200" w:lineRule="exact"/>
              <w:ind w:right="113"/>
              <w:rPr>
                <w:i/>
                <w:sz w:val="16"/>
              </w:rPr>
            </w:pPr>
            <w:r w:rsidRPr="00D17491">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D17491" w:rsidRDefault="00A02BFB" w:rsidP="00D17491">
            <w:pPr>
              <w:spacing w:before="80" w:after="80" w:line="200" w:lineRule="exact"/>
              <w:ind w:right="113"/>
              <w:rPr>
                <w:i/>
                <w:sz w:val="16"/>
              </w:rPr>
            </w:pPr>
            <w:r w:rsidRPr="00D17491">
              <w:rPr>
                <w:i/>
                <w:sz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D17491" w:rsidRDefault="00A02BFB" w:rsidP="00D17491">
            <w:pPr>
              <w:spacing w:before="80" w:after="80" w:line="200" w:lineRule="exact"/>
              <w:ind w:right="113"/>
              <w:rPr>
                <w:i/>
                <w:sz w:val="16"/>
              </w:rPr>
            </w:pPr>
            <w:r w:rsidRPr="00D17491">
              <w:rPr>
                <w:i/>
                <w:sz w:val="16"/>
              </w:rPr>
              <w:t>Status during present cycle</w:t>
            </w:r>
            <w:r w:rsidR="00BF07FE" w:rsidRPr="00D17491">
              <w:rPr>
                <w:rStyle w:val="EndnoteReference"/>
                <w:i/>
                <w:sz w:val="16"/>
                <w:szCs w:val="16"/>
              </w:rPr>
              <w:endnoteReference w:id="14"/>
            </w:r>
          </w:p>
        </w:tc>
      </w:tr>
      <w:tr w:rsidR="00D17491" w:rsidRPr="00D17491" w14:paraId="1B2B7670" w14:textId="77777777" w:rsidTr="006D6178">
        <w:trPr>
          <w:trHeight w:hRule="exact" w:val="113"/>
        </w:trPr>
        <w:tc>
          <w:tcPr>
            <w:tcW w:w="3211" w:type="dxa"/>
            <w:tcBorders>
              <w:top w:val="single" w:sz="12" w:space="0" w:color="auto"/>
            </w:tcBorders>
            <w:shd w:val="clear" w:color="auto" w:fill="auto"/>
          </w:tcPr>
          <w:p w14:paraId="235EC58A" w14:textId="77777777" w:rsidR="00D17491" w:rsidRPr="00D17491" w:rsidRDefault="00D17491" w:rsidP="00D17491">
            <w:pPr>
              <w:spacing w:before="40" w:after="120"/>
              <w:ind w:right="113"/>
            </w:pPr>
          </w:p>
        </w:tc>
        <w:tc>
          <w:tcPr>
            <w:tcW w:w="3213" w:type="dxa"/>
            <w:tcBorders>
              <w:top w:val="single" w:sz="12" w:space="0" w:color="auto"/>
            </w:tcBorders>
            <w:shd w:val="clear" w:color="auto" w:fill="auto"/>
          </w:tcPr>
          <w:p w14:paraId="05CD0D49" w14:textId="77777777" w:rsidR="00D17491" w:rsidRPr="00D17491" w:rsidRDefault="00D17491" w:rsidP="00D17491">
            <w:pPr>
              <w:spacing w:before="40" w:after="120"/>
              <w:ind w:right="113"/>
            </w:pPr>
          </w:p>
        </w:tc>
        <w:tc>
          <w:tcPr>
            <w:tcW w:w="3213" w:type="dxa"/>
            <w:tcBorders>
              <w:top w:val="single" w:sz="12" w:space="0" w:color="auto"/>
            </w:tcBorders>
            <w:shd w:val="clear" w:color="auto" w:fill="auto"/>
          </w:tcPr>
          <w:p w14:paraId="26836E4E" w14:textId="77777777" w:rsidR="00D17491" w:rsidRPr="00D17491" w:rsidRDefault="00D17491" w:rsidP="00D17491">
            <w:pPr>
              <w:spacing w:before="40" w:after="120"/>
              <w:ind w:right="113"/>
            </w:pPr>
          </w:p>
        </w:tc>
      </w:tr>
      <w:tr w:rsidR="00A02BFB" w:rsidRPr="00D17491" w14:paraId="4CA381FD" w14:textId="77777777" w:rsidTr="006D6178">
        <w:tc>
          <w:tcPr>
            <w:tcW w:w="3211" w:type="dxa"/>
            <w:tcBorders>
              <w:bottom w:val="single" w:sz="12" w:space="0" w:color="auto"/>
            </w:tcBorders>
            <w:shd w:val="clear" w:color="auto" w:fill="auto"/>
          </w:tcPr>
          <w:p w14:paraId="06E83687" w14:textId="0E26B195" w:rsidR="00A02BFB" w:rsidRPr="00D17491" w:rsidRDefault="00CA4DF4" w:rsidP="00D17491">
            <w:pPr>
              <w:spacing w:before="40" w:after="120"/>
              <w:ind w:right="113"/>
            </w:pPr>
            <w:r w:rsidRPr="00D17491">
              <w:t>N/A</w:t>
            </w:r>
          </w:p>
        </w:tc>
        <w:tc>
          <w:tcPr>
            <w:tcW w:w="3213" w:type="dxa"/>
            <w:tcBorders>
              <w:bottom w:val="single" w:sz="12" w:space="0" w:color="auto"/>
            </w:tcBorders>
            <w:shd w:val="clear" w:color="auto" w:fill="auto"/>
          </w:tcPr>
          <w:p w14:paraId="15809237" w14:textId="33E0D232" w:rsidR="00A02BFB" w:rsidRPr="00D17491" w:rsidRDefault="00A02BFB" w:rsidP="00D17491">
            <w:pPr>
              <w:spacing w:before="40" w:after="120"/>
              <w:ind w:right="113"/>
            </w:pPr>
          </w:p>
        </w:tc>
        <w:tc>
          <w:tcPr>
            <w:tcW w:w="3213" w:type="dxa"/>
            <w:tcBorders>
              <w:bottom w:val="single" w:sz="12" w:space="0" w:color="auto"/>
            </w:tcBorders>
            <w:shd w:val="clear" w:color="auto" w:fill="auto"/>
          </w:tcPr>
          <w:p w14:paraId="0076122A" w14:textId="33285633" w:rsidR="00A02BFB" w:rsidRPr="00D17491" w:rsidRDefault="00A02BFB" w:rsidP="00D17491">
            <w:pPr>
              <w:spacing w:before="40" w:after="120"/>
              <w:ind w:right="113"/>
            </w:pPr>
          </w:p>
        </w:tc>
      </w:tr>
    </w:tbl>
    <w:p w14:paraId="7F4F64BC" w14:textId="77777777" w:rsidR="00493CFF" w:rsidRDefault="00493CFF" w:rsidP="00813931"/>
    <w:sectPr w:rsidR="00493CFF" w:rsidSect="000403D1">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5F8D" w14:textId="77777777" w:rsidR="00014913" w:rsidRDefault="00014913"/>
  </w:endnote>
  <w:endnote w:type="continuationSeparator" w:id="0">
    <w:p w14:paraId="6E932BFC" w14:textId="77777777" w:rsidR="00014913" w:rsidRDefault="00014913"/>
  </w:endnote>
  <w:endnote w:type="continuationNotice" w:id="1">
    <w:p w14:paraId="0E3506FD" w14:textId="77777777" w:rsidR="00014913" w:rsidRDefault="00014913"/>
  </w:endnote>
  <w:endnote w:id="2">
    <w:p w14:paraId="1A0043D0" w14:textId="1F364C1E" w:rsidR="00A02BFB" w:rsidRDefault="00A02BFB" w:rsidP="00A02BFB">
      <w:pPr>
        <w:pStyle w:val="H4G"/>
      </w:pPr>
      <w:r>
        <w:t>Notes</w:t>
      </w:r>
    </w:p>
    <w:p w14:paraId="17364194" w14:textId="137036B5"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3F089F">
        <w:t>Brazil</w:t>
      </w:r>
      <w:r w:rsidRPr="008B4D7D">
        <w:rPr>
          <w:color w:val="4F81BD"/>
        </w:rPr>
        <w:t xml:space="preserve"> </w:t>
      </w:r>
      <w:r w:rsidRPr="00806A55">
        <w:t>from the previous cycle (A/HRC/WG.6/</w:t>
      </w:r>
      <w:r w:rsidR="0090422A">
        <w:t>BRA</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1A8B32B1" w:rsidR="008B3A06" w:rsidRPr="00174744" w:rsidRDefault="008B3A06" w:rsidP="00D967F9">
      <w:pPr>
        <w:pStyle w:val="EndnoteText"/>
      </w:pPr>
      <w:r w:rsidRPr="00174744">
        <w:tab/>
      </w:r>
      <w:r w:rsidRPr="00174744">
        <w:rPr>
          <w:rStyle w:val="EndnoteReference"/>
          <w:szCs w:val="18"/>
        </w:rPr>
        <w:endnoteRef/>
      </w:r>
      <w:r w:rsidRPr="00174744">
        <w:tab/>
      </w:r>
      <w:r w:rsidRPr="008B4D7D">
        <w:t xml:space="preserve">Geneva Convention for the Amelioration of the Condition of the Wounded and Sick in Armed Forces in the Field (First Convention); </w:t>
      </w:r>
      <w:r w:rsidRPr="006D6178">
        <w:t>Geneva</w:t>
      </w:r>
      <w:r w:rsidRPr="008B4D7D">
        <w:t xml:space="preserve"> Convention for the Amelioration of the Condition of Wounded, Sick and Shipwrecked Members of Armed Forces at Sea (Second Convention); Geneva Convention relative to the Treatment of Prisoners of War (Third Convention); Geneva Convention relative to the Protection of Civilian </w:t>
      </w:r>
      <w:r w:rsidRPr="00D967F9">
        <w:t>Persons</w:t>
      </w:r>
      <w:r w:rsidRPr="008B4D7D">
        <w:t xml:space="preserve">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8B4D7D">
        <w:rPr>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6E18B04" w14:textId="72A6FC4F" w:rsidR="008B3A06" w:rsidRPr="008B4D7D" w:rsidRDefault="008B3A06" w:rsidP="006D6178">
      <w:pPr>
        <w:pStyle w:val="EndnoteText"/>
      </w:pPr>
      <w:r w:rsidRPr="00A82F81">
        <w:tab/>
      </w:r>
      <w:r w:rsidRPr="00A82F81">
        <w:rPr>
          <w:rStyle w:val="EndnoteReference"/>
          <w:szCs w:val="18"/>
        </w:rPr>
        <w:endnoteRef/>
      </w:r>
      <w:r w:rsidRPr="00A82F81">
        <w:tab/>
      </w:r>
      <w:r w:rsidRPr="008B4D7D">
        <w:t xml:space="preserve">1951 Convention relating to the Status of Refugees and its 1967 Protocol, 1954 Convention relating to the </w:t>
      </w:r>
      <w:r w:rsidRPr="006D6178">
        <w:t>Status</w:t>
      </w:r>
      <w:r w:rsidRPr="008B4D7D">
        <w:t xml:space="preserve"> of Stateless Persons, and 1961 Convention on the Reduction of Statelessness.</w:t>
      </w:r>
    </w:p>
  </w:endnote>
  <w:endnote w:id="7">
    <w:p w14:paraId="459EFF1B" w14:textId="77777777" w:rsidR="008B3A06" w:rsidRPr="00A82F81" w:rsidRDefault="008B3A06"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25982FBE" w:rsidR="008B3A06" w:rsidRPr="008B4D7D" w:rsidRDefault="008B3A06" w:rsidP="006D6178">
      <w:pPr>
        <w:pStyle w:val="EndnoteText"/>
      </w:pPr>
      <w:r w:rsidRPr="00A82F81">
        <w:tab/>
      </w:r>
      <w:r w:rsidRPr="00A82F81">
        <w:rPr>
          <w:rStyle w:val="EndnoteReference"/>
          <w:szCs w:val="18"/>
        </w:rPr>
        <w:endnoteRef/>
      </w:r>
      <w:r w:rsidRPr="00A82F81">
        <w:tab/>
      </w:r>
      <w:r w:rsidRPr="008B4D7D">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w:t>
      </w:r>
      <w:r w:rsidRPr="006D6178">
        <w:t>Remuneration</w:t>
      </w:r>
      <w:r w:rsidRPr="008B4D7D">
        <w:t xml:space="preserve">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20D72452" w14:textId="24526493" w:rsidR="008B3A06" w:rsidRPr="006D6178" w:rsidRDefault="008B3A06" w:rsidP="006D6178">
      <w:pPr>
        <w:pStyle w:val="EndnoteText"/>
      </w:pPr>
      <w:r w:rsidRPr="00A82F81">
        <w:tab/>
      </w:r>
      <w:r w:rsidRPr="00A82F81">
        <w:rPr>
          <w:rStyle w:val="EndnoteReference"/>
          <w:szCs w:val="18"/>
        </w:rPr>
        <w:endnoteRef/>
      </w:r>
      <w:r w:rsidRPr="00A82F81">
        <w:tab/>
      </w:r>
      <w:r w:rsidRPr="008B4D7D">
        <w:t>ILO</w:t>
      </w:r>
      <w:r w:rsidRPr="008B4D7D">
        <w:rPr>
          <w:lang w:val="en-US"/>
        </w:rPr>
        <w:t xml:space="preserve"> Indigenous and Tribal Peoples</w:t>
      </w:r>
      <w:r>
        <w:rPr>
          <w:lang w:val="en-US"/>
        </w:rPr>
        <w:t xml:space="preserve"> Convention, 1989 (No. 169), </w:t>
      </w:r>
      <w:r w:rsidRPr="008B4D7D">
        <w:t xml:space="preserve">Domestic Workers </w:t>
      </w:r>
      <w:r w:rsidRPr="008B4D7D">
        <w:rPr>
          <w:lang w:val="en-US"/>
        </w:rPr>
        <w:t>Convention, 2011 (No. 189)</w:t>
      </w:r>
      <w:r>
        <w:rPr>
          <w:lang w:val="en-US"/>
        </w:rPr>
        <w:t xml:space="preserve"> and </w:t>
      </w:r>
      <w:r w:rsidRPr="006D6178">
        <w:t>Violence</w:t>
      </w:r>
      <w:r w:rsidRPr="00574F7B">
        <w:rPr>
          <w:lang w:val="en-US"/>
        </w:rPr>
        <w:t xml:space="preserve"> and Harassment Convention, 2019 (No. 190)</w:t>
      </w:r>
      <w:r>
        <w:rPr>
          <w:lang w:val="en-US"/>
        </w:rPr>
        <w:t xml:space="preserve"> an</w:t>
      </w:r>
      <w:r w:rsidRPr="006D6178">
        <w:t>d - Protocol of 2014 to the Forced Labour Convention, 1930.</w:t>
      </w:r>
    </w:p>
  </w:endnote>
  <w:endnote w:id="10">
    <w:p w14:paraId="2A5B1855" w14:textId="69245E61" w:rsidR="00780E42" w:rsidRDefault="006D6178">
      <w:pPr>
        <w:pStyle w:val="EndnoteText"/>
      </w:pPr>
      <w:r>
        <w:tab/>
      </w:r>
      <w:r w:rsidR="00780E42">
        <w:rPr>
          <w:rStyle w:val="EndnoteReference"/>
        </w:rPr>
        <w:endnoteRef/>
      </w:r>
      <w:r>
        <w:tab/>
      </w:r>
      <w:hyperlink r:id="rId1" w:history="1">
        <w:r w:rsidR="007633F5" w:rsidRPr="00985A0B">
          <w:rPr>
            <w:rStyle w:val="Hyperlink"/>
          </w:rPr>
          <w:t>https://www.ilo.org/global/about-the-ilo/newsroom/news/WCMS_616549/lang--en/index.htm</w:t>
        </w:r>
      </w:hyperlink>
    </w:p>
  </w:endnote>
  <w:endnote w:id="11">
    <w:p w14:paraId="27E9F5AC" w14:textId="3345A44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0245A54" w14:textId="6E030305"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F08BC">
        <w:rPr>
          <w:szCs w:val="18"/>
        </w:rPr>
        <w:t>;</w:t>
      </w:r>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03A8D811"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0F53C0E1" w:rsidR="00674A7D" w:rsidRDefault="00674A7D">
    <w:pPr>
      <w:pStyle w:val="Footer"/>
      <w:jc w:val="right"/>
    </w:pPr>
    <w:r>
      <w:fldChar w:fldCharType="begin"/>
    </w:r>
    <w:r>
      <w:instrText xml:space="preserve"> PAGE   \* MERGEFORMAT </w:instrText>
    </w:r>
    <w:r>
      <w:fldChar w:fldCharType="separate"/>
    </w:r>
    <w:r w:rsidR="00830FFA">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1B56" w14:textId="77777777" w:rsidR="00014913" w:rsidRPr="000B175B" w:rsidRDefault="00014913" w:rsidP="000B175B">
      <w:pPr>
        <w:tabs>
          <w:tab w:val="right" w:pos="2155"/>
        </w:tabs>
        <w:spacing w:after="80"/>
        <w:ind w:left="680"/>
        <w:rPr>
          <w:u w:val="single"/>
        </w:rPr>
      </w:pPr>
      <w:r>
        <w:rPr>
          <w:u w:val="single"/>
        </w:rPr>
        <w:tab/>
      </w:r>
    </w:p>
  </w:footnote>
  <w:footnote w:type="continuationSeparator" w:id="0">
    <w:p w14:paraId="486356EC" w14:textId="77777777" w:rsidR="00014913" w:rsidRPr="00FC68B7" w:rsidRDefault="00014913" w:rsidP="00FC68B7">
      <w:pPr>
        <w:tabs>
          <w:tab w:val="left" w:pos="2155"/>
        </w:tabs>
        <w:spacing w:after="80"/>
        <w:ind w:left="680"/>
        <w:rPr>
          <w:u w:val="single"/>
        </w:rPr>
      </w:pPr>
      <w:r>
        <w:rPr>
          <w:u w:val="single"/>
        </w:rPr>
        <w:tab/>
      </w:r>
    </w:p>
  </w:footnote>
  <w:footnote w:type="continuationNotice" w:id="1">
    <w:p w14:paraId="7A4D5A12" w14:textId="77777777" w:rsidR="00014913" w:rsidRDefault="000149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14913"/>
    <w:rsid w:val="00022DB5"/>
    <w:rsid w:val="0002301D"/>
    <w:rsid w:val="0002432F"/>
    <w:rsid w:val="000344CE"/>
    <w:rsid w:val="000403D1"/>
    <w:rsid w:val="000449AA"/>
    <w:rsid w:val="00050F6B"/>
    <w:rsid w:val="00072C8C"/>
    <w:rsid w:val="00073E70"/>
    <w:rsid w:val="00075368"/>
    <w:rsid w:val="00086731"/>
    <w:rsid w:val="000876EB"/>
    <w:rsid w:val="00091419"/>
    <w:rsid w:val="00091EEB"/>
    <w:rsid w:val="000931C0"/>
    <w:rsid w:val="000A27ED"/>
    <w:rsid w:val="000A4AFD"/>
    <w:rsid w:val="000A7554"/>
    <w:rsid w:val="000B062D"/>
    <w:rsid w:val="000B175B"/>
    <w:rsid w:val="000B3A0F"/>
    <w:rsid w:val="000B4A3B"/>
    <w:rsid w:val="000D0709"/>
    <w:rsid w:val="000D1851"/>
    <w:rsid w:val="000D73DE"/>
    <w:rsid w:val="000E0415"/>
    <w:rsid w:val="000E6C65"/>
    <w:rsid w:val="000F0F1B"/>
    <w:rsid w:val="000F4F19"/>
    <w:rsid w:val="000F5FF1"/>
    <w:rsid w:val="000F61E0"/>
    <w:rsid w:val="000F63EB"/>
    <w:rsid w:val="00101E4D"/>
    <w:rsid w:val="00116E64"/>
    <w:rsid w:val="00124DDE"/>
    <w:rsid w:val="0013065A"/>
    <w:rsid w:val="0013136E"/>
    <w:rsid w:val="00132BC7"/>
    <w:rsid w:val="00146D32"/>
    <w:rsid w:val="001509BA"/>
    <w:rsid w:val="00157983"/>
    <w:rsid w:val="001614E7"/>
    <w:rsid w:val="001812FC"/>
    <w:rsid w:val="001916E2"/>
    <w:rsid w:val="001A469C"/>
    <w:rsid w:val="001A4E3C"/>
    <w:rsid w:val="001A73FD"/>
    <w:rsid w:val="001B4B04"/>
    <w:rsid w:val="001C0706"/>
    <w:rsid w:val="001C215C"/>
    <w:rsid w:val="001C6663"/>
    <w:rsid w:val="001C7895"/>
    <w:rsid w:val="001D0729"/>
    <w:rsid w:val="001D26DF"/>
    <w:rsid w:val="001E2790"/>
    <w:rsid w:val="001E5256"/>
    <w:rsid w:val="001E5F5E"/>
    <w:rsid w:val="0020250C"/>
    <w:rsid w:val="0021130C"/>
    <w:rsid w:val="00211E0B"/>
    <w:rsid w:val="00211E72"/>
    <w:rsid w:val="00214047"/>
    <w:rsid w:val="00216592"/>
    <w:rsid w:val="0022130F"/>
    <w:rsid w:val="0022777B"/>
    <w:rsid w:val="00230C0A"/>
    <w:rsid w:val="00237785"/>
    <w:rsid w:val="002410DD"/>
    <w:rsid w:val="00241466"/>
    <w:rsid w:val="00253D58"/>
    <w:rsid w:val="00254654"/>
    <w:rsid w:val="00260114"/>
    <w:rsid w:val="00261572"/>
    <w:rsid w:val="00264FA3"/>
    <w:rsid w:val="00271B29"/>
    <w:rsid w:val="00274EA9"/>
    <w:rsid w:val="0027725F"/>
    <w:rsid w:val="00283347"/>
    <w:rsid w:val="00296EB7"/>
    <w:rsid w:val="002B04C3"/>
    <w:rsid w:val="002B4713"/>
    <w:rsid w:val="002B4DD8"/>
    <w:rsid w:val="002C11D1"/>
    <w:rsid w:val="002C21F0"/>
    <w:rsid w:val="002C4587"/>
    <w:rsid w:val="002D152D"/>
    <w:rsid w:val="002D6778"/>
    <w:rsid w:val="002E646B"/>
    <w:rsid w:val="003107FA"/>
    <w:rsid w:val="00317977"/>
    <w:rsid w:val="00317E7B"/>
    <w:rsid w:val="003229D8"/>
    <w:rsid w:val="00324383"/>
    <w:rsid w:val="003260EF"/>
    <w:rsid w:val="003314D1"/>
    <w:rsid w:val="00335A2F"/>
    <w:rsid w:val="00341937"/>
    <w:rsid w:val="00341D5E"/>
    <w:rsid w:val="003427CC"/>
    <w:rsid w:val="00350CFD"/>
    <w:rsid w:val="00352BFF"/>
    <w:rsid w:val="00354E8D"/>
    <w:rsid w:val="003617E1"/>
    <w:rsid w:val="0037215F"/>
    <w:rsid w:val="00380822"/>
    <w:rsid w:val="0038287A"/>
    <w:rsid w:val="00383BE1"/>
    <w:rsid w:val="00386AC0"/>
    <w:rsid w:val="003913C2"/>
    <w:rsid w:val="0039277A"/>
    <w:rsid w:val="003930E5"/>
    <w:rsid w:val="003932E2"/>
    <w:rsid w:val="003972E0"/>
    <w:rsid w:val="003975ED"/>
    <w:rsid w:val="003A4E25"/>
    <w:rsid w:val="003B2E78"/>
    <w:rsid w:val="003C0A9A"/>
    <w:rsid w:val="003C2CC4"/>
    <w:rsid w:val="003D4B23"/>
    <w:rsid w:val="003E03C5"/>
    <w:rsid w:val="003E065C"/>
    <w:rsid w:val="003E19D9"/>
    <w:rsid w:val="003E33AE"/>
    <w:rsid w:val="003E591C"/>
    <w:rsid w:val="003E6998"/>
    <w:rsid w:val="003F089F"/>
    <w:rsid w:val="00400E06"/>
    <w:rsid w:val="00402E7F"/>
    <w:rsid w:val="0042040E"/>
    <w:rsid w:val="00420F8B"/>
    <w:rsid w:val="00424C80"/>
    <w:rsid w:val="00431A65"/>
    <w:rsid w:val="004325CB"/>
    <w:rsid w:val="004400D4"/>
    <w:rsid w:val="0044503A"/>
    <w:rsid w:val="00446DE4"/>
    <w:rsid w:val="00447195"/>
    <w:rsid w:val="00447761"/>
    <w:rsid w:val="00451629"/>
    <w:rsid w:val="00451EC3"/>
    <w:rsid w:val="00452768"/>
    <w:rsid w:val="0045636B"/>
    <w:rsid w:val="004565E6"/>
    <w:rsid w:val="0045749E"/>
    <w:rsid w:val="004721B1"/>
    <w:rsid w:val="004722FF"/>
    <w:rsid w:val="004766F2"/>
    <w:rsid w:val="004776AD"/>
    <w:rsid w:val="004859EC"/>
    <w:rsid w:val="00493CFF"/>
    <w:rsid w:val="00496A15"/>
    <w:rsid w:val="004A1AA5"/>
    <w:rsid w:val="004A76BD"/>
    <w:rsid w:val="004A7EE3"/>
    <w:rsid w:val="004B75D2"/>
    <w:rsid w:val="004D0355"/>
    <w:rsid w:val="004D1140"/>
    <w:rsid w:val="004E01CE"/>
    <w:rsid w:val="004E25CB"/>
    <w:rsid w:val="004F15C4"/>
    <w:rsid w:val="004F423C"/>
    <w:rsid w:val="004F55ED"/>
    <w:rsid w:val="004F6BCA"/>
    <w:rsid w:val="00502EE5"/>
    <w:rsid w:val="00505284"/>
    <w:rsid w:val="00505C67"/>
    <w:rsid w:val="0052176C"/>
    <w:rsid w:val="00521D8F"/>
    <w:rsid w:val="005261E5"/>
    <w:rsid w:val="00535F51"/>
    <w:rsid w:val="005420F2"/>
    <w:rsid w:val="00542574"/>
    <w:rsid w:val="005436AB"/>
    <w:rsid w:val="005438ED"/>
    <w:rsid w:val="005457B9"/>
    <w:rsid w:val="00546DBF"/>
    <w:rsid w:val="005512BA"/>
    <w:rsid w:val="005534E1"/>
    <w:rsid w:val="00553D76"/>
    <w:rsid w:val="005551EC"/>
    <w:rsid w:val="005552B5"/>
    <w:rsid w:val="0056117B"/>
    <w:rsid w:val="005615E8"/>
    <w:rsid w:val="005620C3"/>
    <w:rsid w:val="0057084A"/>
    <w:rsid w:val="00571365"/>
    <w:rsid w:val="00574F7B"/>
    <w:rsid w:val="00592E55"/>
    <w:rsid w:val="005A22DB"/>
    <w:rsid w:val="005A288A"/>
    <w:rsid w:val="005A4C06"/>
    <w:rsid w:val="005B3DB3"/>
    <w:rsid w:val="005B6E48"/>
    <w:rsid w:val="005D56FC"/>
    <w:rsid w:val="005E1712"/>
    <w:rsid w:val="005F6E73"/>
    <w:rsid w:val="00605FE3"/>
    <w:rsid w:val="006116A3"/>
    <w:rsid w:val="00611FC4"/>
    <w:rsid w:val="006176FB"/>
    <w:rsid w:val="00626E6C"/>
    <w:rsid w:val="0063060D"/>
    <w:rsid w:val="006330A4"/>
    <w:rsid w:val="00640B26"/>
    <w:rsid w:val="00644301"/>
    <w:rsid w:val="006525EF"/>
    <w:rsid w:val="00663367"/>
    <w:rsid w:val="00670741"/>
    <w:rsid w:val="00674A7D"/>
    <w:rsid w:val="0067630F"/>
    <w:rsid w:val="00676982"/>
    <w:rsid w:val="00676C10"/>
    <w:rsid w:val="006778E7"/>
    <w:rsid w:val="006808A9"/>
    <w:rsid w:val="00696BD6"/>
    <w:rsid w:val="006A18AC"/>
    <w:rsid w:val="006A6B9D"/>
    <w:rsid w:val="006A7392"/>
    <w:rsid w:val="006B3189"/>
    <w:rsid w:val="006B7D65"/>
    <w:rsid w:val="006D6178"/>
    <w:rsid w:val="006D6DA6"/>
    <w:rsid w:val="006E564B"/>
    <w:rsid w:val="006F13F0"/>
    <w:rsid w:val="006F5035"/>
    <w:rsid w:val="007065EB"/>
    <w:rsid w:val="00720183"/>
    <w:rsid w:val="0072632A"/>
    <w:rsid w:val="00727B52"/>
    <w:rsid w:val="00741A0B"/>
    <w:rsid w:val="0074200B"/>
    <w:rsid w:val="00754BEF"/>
    <w:rsid w:val="00757201"/>
    <w:rsid w:val="007633F5"/>
    <w:rsid w:val="0076416B"/>
    <w:rsid w:val="007644BF"/>
    <w:rsid w:val="00766258"/>
    <w:rsid w:val="007722EB"/>
    <w:rsid w:val="007724FD"/>
    <w:rsid w:val="007730C3"/>
    <w:rsid w:val="00780E42"/>
    <w:rsid w:val="007953F7"/>
    <w:rsid w:val="0079662D"/>
    <w:rsid w:val="007A6296"/>
    <w:rsid w:val="007B6BA5"/>
    <w:rsid w:val="007C1B62"/>
    <w:rsid w:val="007C3390"/>
    <w:rsid w:val="007C4F4B"/>
    <w:rsid w:val="007D2CDC"/>
    <w:rsid w:val="007D5213"/>
    <w:rsid w:val="007D5327"/>
    <w:rsid w:val="007E2C3B"/>
    <w:rsid w:val="007E55A4"/>
    <w:rsid w:val="007E5B90"/>
    <w:rsid w:val="007E75F7"/>
    <w:rsid w:val="007F085C"/>
    <w:rsid w:val="007F6611"/>
    <w:rsid w:val="00802FBE"/>
    <w:rsid w:val="00813931"/>
    <w:rsid w:val="00814853"/>
    <w:rsid w:val="008155C3"/>
    <w:rsid w:val="008175E9"/>
    <w:rsid w:val="0082243E"/>
    <w:rsid w:val="008242D7"/>
    <w:rsid w:val="00826077"/>
    <w:rsid w:val="00830FFA"/>
    <w:rsid w:val="00840D97"/>
    <w:rsid w:val="008433C8"/>
    <w:rsid w:val="00845033"/>
    <w:rsid w:val="00847CAB"/>
    <w:rsid w:val="00856CD2"/>
    <w:rsid w:val="00861BC6"/>
    <w:rsid w:val="008708CB"/>
    <w:rsid w:val="00871FD5"/>
    <w:rsid w:val="008741DC"/>
    <w:rsid w:val="00875FCF"/>
    <w:rsid w:val="00896D02"/>
    <w:rsid w:val="008979B1"/>
    <w:rsid w:val="008A6B25"/>
    <w:rsid w:val="008A6C34"/>
    <w:rsid w:val="008A6C4F"/>
    <w:rsid w:val="008A7AD8"/>
    <w:rsid w:val="008B3A06"/>
    <w:rsid w:val="008B4D7D"/>
    <w:rsid w:val="008B6E70"/>
    <w:rsid w:val="008B781D"/>
    <w:rsid w:val="008C0466"/>
    <w:rsid w:val="008C06FB"/>
    <w:rsid w:val="008C1E4D"/>
    <w:rsid w:val="008D1CFB"/>
    <w:rsid w:val="008D363E"/>
    <w:rsid w:val="008D3699"/>
    <w:rsid w:val="008E0E46"/>
    <w:rsid w:val="008E5D82"/>
    <w:rsid w:val="008F08BC"/>
    <w:rsid w:val="008F51A8"/>
    <w:rsid w:val="0090422A"/>
    <w:rsid w:val="0090452C"/>
    <w:rsid w:val="009045C9"/>
    <w:rsid w:val="00907C3F"/>
    <w:rsid w:val="0091458B"/>
    <w:rsid w:val="0092237C"/>
    <w:rsid w:val="00926D4F"/>
    <w:rsid w:val="00926E50"/>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B123A"/>
    <w:rsid w:val="009B3476"/>
    <w:rsid w:val="009B3800"/>
    <w:rsid w:val="009D22AC"/>
    <w:rsid w:val="009D3D1D"/>
    <w:rsid w:val="009D3FA1"/>
    <w:rsid w:val="009D50DB"/>
    <w:rsid w:val="009E1C4E"/>
    <w:rsid w:val="009E78E3"/>
    <w:rsid w:val="009F0B0E"/>
    <w:rsid w:val="009F2C8D"/>
    <w:rsid w:val="009F3953"/>
    <w:rsid w:val="009F407E"/>
    <w:rsid w:val="00A028C8"/>
    <w:rsid w:val="00A02BFB"/>
    <w:rsid w:val="00A02F74"/>
    <w:rsid w:val="00A03F9D"/>
    <w:rsid w:val="00A0429A"/>
    <w:rsid w:val="00A05E0B"/>
    <w:rsid w:val="00A074DD"/>
    <w:rsid w:val="00A1427D"/>
    <w:rsid w:val="00A151F2"/>
    <w:rsid w:val="00A21DE3"/>
    <w:rsid w:val="00A30C51"/>
    <w:rsid w:val="00A3619D"/>
    <w:rsid w:val="00A425D0"/>
    <w:rsid w:val="00A433B2"/>
    <w:rsid w:val="00A4634F"/>
    <w:rsid w:val="00A51CF3"/>
    <w:rsid w:val="00A57381"/>
    <w:rsid w:val="00A63DA6"/>
    <w:rsid w:val="00A67EFD"/>
    <w:rsid w:val="00A712AF"/>
    <w:rsid w:val="00A72F22"/>
    <w:rsid w:val="00A73042"/>
    <w:rsid w:val="00A74865"/>
    <w:rsid w:val="00A748A6"/>
    <w:rsid w:val="00A75300"/>
    <w:rsid w:val="00A879A4"/>
    <w:rsid w:val="00A87E95"/>
    <w:rsid w:val="00A91390"/>
    <w:rsid w:val="00A92E29"/>
    <w:rsid w:val="00A97DAF"/>
    <w:rsid w:val="00AB7F1F"/>
    <w:rsid w:val="00AC2000"/>
    <w:rsid w:val="00AC57AF"/>
    <w:rsid w:val="00AD09E9"/>
    <w:rsid w:val="00AD104C"/>
    <w:rsid w:val="00AD3D48"/>
    <w:rsid w:val="00AD7B29"/>
    <w:rsid w:val="00AF0576"/>
    <w:rsid w:val="00AF3829"/>
    <w:rsid w:val="00AF387A"/>
    <w:rsid w:val="00B037F0"/>
    <w:rsid w:val="00B043F7"/>
    <w:rsid w:val="00B04819"/>
    <w:rsid w:val="00B068CF"/>
    <w:rsid w:val="00B14190"/>
    <w:rsid w:val="00B2327D"/>
    <w:rsid w:val="00B2463F"/>
    <w:rsid w:val="00B2718F"/>
    <w:rsid w:val="00B30179"/>
    <w:rsid w:val="00B3317B"/>
    <w:rsid w:val="00B334DC"/>
    <w:rsid w:val="00B344E6"/>
    <w:rsid w:val="00B3631A"/>
    <w:rsid w:val="00B41447"/>
    <w:rsid w:val="00B44A97"/>
    <w:rsid w:val="00B44CAA"/>
    <w:rsid w:val="00B5091F"/>
    <w:rsid w:val="00B53013"/>
    <w:rsid w:val="00B56317"/>
    <w:rsid w:val="00B56337"/>
    <w:rsid w:val="00B67F5E"/>
    <w:rsid w:val="00B73E65"/>
    <w:rsid w:val="00B81E12"/>
    <w:rsid w:val="00B8549C"/>
    <w:rsid w:val="00B870FE"/>
    <w:rsid w:val="00B87110"/>
    <w:rsid w:val="00B90627"/>
    <w:rsid w:val="00B97FA8"/>
    <w:rsid w:val="00BA6FAF"/>
    <w:rsid w:val="00BA7D66"/>
    <w:rsid w:val="00BB2720"/>
    <w:rsid w:val="00BB5C77"/>
    <w:rsid w:val="00BC1385"/>
    <w:rsid w:val="00BC74E9"/>
    <w:rsid w:val="00BD59A8"/>
    <w:rsid w:val="00BE618E"/>
    <w:rsid w:val="00BE6A87"/>
    <w:rsid w:val="00BF07FE"/>
    <w:rsid w:val="00BF357A"/>
    <w:rsid w:val="00BF7F28"/>
    <w:rsid w:val="00C05762"/>
    <w:rsid w:val="00C163EA"/>
    <w:rsid w:val="00C2053A"/>
    <w:rsid w:val="00C207EF"/>
    <w:rsid w:val="00C22D6C"/>
    <w:rsid w:val="00C24693"/>
    <w:rsid w:val="00C25AF0"/>
    <w:rsid w:val="00C3174D"/>
    <w:rsid w:val="00C3427B"/>
    <w:rsid w:val="00C35F0B"/>
    <w:rsid w:val="00C369E3"/>
    <w:rsid w:val="00C463DD"/>
    <w:rsid w:val="00C55FAB"/>
    <w:rsid w:val="00C62B61"/>
    <w:rsid w:val="00C64458"/>
    <w:rsid w:val="00C653CE"/>
    <w:rsid w:val="00C67D1E"/>
    <w:rsid w:val="00C745C3"/>
    <w:rsid w:val="00C81253"/>
    <w:rsid w:val="00C8450C"/>
    <w:rsid w:val="00C85F14"/>
    <w:rsid w:val="00C93AE0"/>
    <w:rsid w:val="00CA2A58"/>
    <w:rsid w:val="00CA2E07"/>
    <w:rsid w:val="00CA4DF4"/>
    <w:rsid w:val="00CA6DE7"/>
    <w:rsid w:val="00CC03CC"/>
    <w:rsid w:val="00CC0B55"/>
    <w:rsid w:val="00CD1BFB"/>
    <w:rsid w:val="00CD4B3E"/>
    <w:rsid w:val="00CD6995"/>
    <w:rsid w:val="00CE4A8F"/>
    <w:rsid w:val="00CF0214"/>
    <w:rsid w:val="00CF586F"/>
    <w:rsid w:val="00CF78FD"/>
    <w:rsid w:val="00CF7D43"/>
    <w:rsid w:val="00D06FA7"/>
    <w:rsid w:val="00D07CB4"/>
    <w:rsid w:val="00D11129"/>
    <w:rsid w:val="00D17491"/>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7F9"/>
    <w:rsid w:val="00D96AE6"/>
    <w:rsid w:val="00D978C6"/>
    <w:rsid w:val="00DA2197"/>
    <w:rsid w:val="00DA67AD"/>
    <w:rsid w:val="00DB18CE"/>
    <w:rsid w:val="00DC4C87"/>
    <w:rsid w:val="00DD3674"/>
    <w:rsid w:val="00DE3EC0"/>
    <w:rsid w:val="00DE4620"/>
    <w:rsid w:val="00DE7BF3"/>
    <w:rsid w:val="00E0348D"/>
    <w:rsid w:val="00E0382E"/>
    <w:rsid w:val="00E11593"/>
    <w:rsid w:val="00E12B6B"/>
    <w:rsid w:val="00E130AB"/>
    <w:rsid w:val="00E170D4"/>
    <w:rsid w:val="00E3102C"/>
    <w:rsid w:val="00E37EB2"/>
    <w:rsid w:val="00E438D9"/>
    <w:rsid w:val="00E5644E"/>
    <w:rsid w:val="00E63EB3"/>
    <w:rsid w:val="00E66B4F"/>
    <w:rsid w:val="00E7260F"/>
    <w:rsid w:val="00E72C2D"/>
    <w:rsid w:val="00E806EE"/>
    <w:rsid w:val="00E83FD4"/>
    <w:rsid w:val="00E86049"/>
    <w:rsid w:val="00E87FFD"/>
    <w:rsid w:val="00E95296"/>
    <w:rsid w:val="00E96630"/>
    <w:rsid w:val="00E96891"/>
    <w:rsid w:val="00EB0EF8"/>
    <w:rsid w:val="00EB0FB9"/>
    <w:rsid w:val="00EC65B4"/>
    <w:rsid w:val="00ED0CA9"/>
    <w:rsid w:val="00ED7A2A"/>
    <w:rsid w:val="00EE41AB"/>
    <w:rsid w:val="00EE41E7"/>
    <w:rsid w:val="00EE7D5F"/>
    <w:rsid w:val="00EF1D7F"/>
    <w:rsid w:val="00EF5BDB"/>
    <w:rsid w:val="00F07FD9"/>
    <w:rsid w:val="00F21108"/>
    <w:rsid w:val="00F21C38"/>
    <w:rsid w:val="00F238A8"/>
    <w:rsid w:val="00F23933"/>
    <w:rsid w:val="00F24119"/>
    <w:rsid w:val="00F30B7B"/>
    <w:rsid w:val="00F34950"/>
    <w:rsid w:val="00F40E75"/>
    <w:rsid w:val="00F42CD9"/>
    <w:rsid w:val="00F43F3B"/>
    <w:rsid w:val="00F52936"/>
    <w:rsid w:val="00F63CF0"/>
    <w:rsid w:val="00F677CB"/>
    <w:rsid w:val="00F71571"/>
    <w:rsid w:val="00F715B8"/>
    <w:rsid w:val="00F72113"/>
    <w:rsid w:val="00F723A2"/>
    <w:rsid w:val="00F76CA4"/>
    <w:rsid w:val="00F97C5D"/>
    <w:rsid w:val="00FA1AE7"/>
    <w:rsid w:val="00FA7DF3"/>
    <w:rsid w:val="00FC68B7"/>
    <w:rsid w:val="00FD268F"/>
    <w:rsid w:val="00FD7C12"/>
    <w:rsid w:val="00FE384E"/>
    <w:rsid w:val="00FF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character" w:customStyle="1" w:styleId="UnresolvedMention2">
    <w:name w:val="Unresolved Mention2"/>
    <w:basedOn w:val="DefaultParagraphFont"/>
    <w:uiPriority w:val="99"/>
    <w:semiHidden/>
    <w:unhideWhenUsed/>
    <w:rsid w:val="00763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n/f?p=NORMLEXPUB:12100:0::NO:12100:P12100_INSTRUMENT_ID:312232: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lo.org/dyn/normlex/en/f?p=NORMLEXPUB:11300:0::NO::P11300_INSTRUMENT_ID:2551460" TargetMode="External"/><Relationship Id="rId4" Type="http://schemas.openxmlformats.org/officeDocument/2006/relationships/settings" Target="settings.xml"/><Relationship Id="rId9" Type="http://schemas.openxmlformats.org/officeDocument/2006/relationships/hyperlink" Target="http://ilo.org/dyn/normlex/en/f?p=NORMLEXPUB:12100:0::NO::P12100_ILO_CODE:C189"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lo.org/global/about-the-ilo/newsroom/news/WCMS_616549/lang--en/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A618-D252-48B3-A11A-7612AF65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TotalTime>
  <Pages>5</Pages>
  <Words>718</Words>
  <Characters>4096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4</cp:revision>
  <cp:lastPrinted>2008-01-29T07:30:00Z</cp:lastPrinted>
  <dcterms:created xsi:type="dcterms:W3CDTF">2022-09-22T08:53:00Z</dcterms:created>
  <dcterms:modified xsi:type="dcterms:W3CDTF">2022-09-22T09:38:00Z</dcterms:modified>
</cp:coreProperties>
</file>