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B3F" w14:textId="77777777" w:rsidR="00D72FB6" w:rsidRDefault="00D72FB6" w:rsidP="00D72F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14:paraId="2BB23B2D" w14:textId="41EBD589" w:rsidR="00E671DA" w:rsidRDefault="00E671DA" w:rsidP="00E40F34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color w:val="000000"/>
          <w:lang w:val="es-EC"/>
        </w:rPr>
      </w:pPr>
      <w:r w:rsidRPr="00E40F34">
        <w:rPr>
          <w:rStyle w:val="normaltextrun"/>
          <w:b/>
          <w:bCs/>
          <w:lang w:val="es-US"/>
        </w:rPr>
        <w:t xml:space="preserve">Convocatoria </w:t>
      </w:r>
      <w:r w:rsidRPr="00E40F34">
        <w:rPr>
          <w:rStyle w:val="normaltextrun"/>
          <w:b/>
          <w:bCs/>
          <w:lang w:val="es-US"/>
        </w:rPr>
        <w:t xml:space="preserve">para la presentación de </w:t>
      </w:r>
      <w:r w:rsidRPr="00E40F34">
        <w:rPr>
          <w:rStyle w:val="normaltextrun"/>
          <w:b/>
          <w:bCs/>
          <w:lang w:val="es-US"/>
        </w:rPr>
        <w:t>aportaciones</w:t>
      </w:r>
      <w:r w:rsidRPr="00E40F34">
        <w:rPr>
          <w:rStyle w:val="normaltextrun"/>
          <w:b/>
          <w:bCs/>
          <w:color w:val="D13438"/>
          <w:lang w:val="es-US"/>
        </w:rPr>
        <w:t xml:space="preserve"> </w:t>
      </w:r>
      <w:r>
        <w:rPr>
          <w:rStyle w:val="normaltextrun"/>
          <w:b/>
          <w:bCs/>
          <w:color w:val="000000"/>
          <w:lang w:val="es-US"/>
        </w:rPr>
        <w:t>en relación con la</w:t>
      </w:r>
      <w:r w:rsidR="00E40F34">
        <w:rPr>
          <w:rStyle w:val="normaltextrun"/>
          <w:b/>
          <w:bCs/>
          <w:color w:val="000000"/>
          <w:lang w:val="es-US"/>
        </w:rPr>
        <w:br/>
      </w:r>
      <w:r>
        <w:rPr>
          <w:rStyle w:val="normaltextrun"/>
          <w:b/>
          <w:bCs/>
          <w:color w:val="000000"/>
          <w:lang w:val="es-US"/>
        </w:rPr>
        <w:t xml:space="preserve"> resolución 68/268 de la Asamblea General</w:t>
      </w:r>
    </w:p>
    <w:p w14:paraId="3ECC290D" w14:textId="77777777" w:rsidR="00E671DA" w:rsidRPr="00E671DA" w:rsidRDefault="00E671DA" w:rsidP="00E671D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14:paraId="6F94F3ED" w14:textId="2902561B" w:rsidR="00E671DA" w:rsidRDefault="00E671DA" w:rsidP="00E671DA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color w:val="000000"/>
          <w:lang w:val="es-EC"/>
        </w:rPr>
      </w:pPr>
      <w:r>
        <w:rPr>
          <w:rStyle w:val="normaltextrun"/>
          <w:color w:val="000000"/>
          <w:lang w:val="es-US"/>
        </w:rPr>
        <w:t xml:space="preserve">La Asamblea General, en su resolución </w:t>
      </w:r>
      <w:hyperlink r:id="rId12" w:tgtFrame="_blank" w:history="1">
        <w:r>
          <w:rPr>
            <w:rStyle w:val="normaltextrun"/>
            <w:color w:val="0000FF"/>
            <w:u w:val="single"/>
            <w:lang w:val="es-US"/>
          </w:rPr>
          <w:t>68/268</w:t>
        </w:r>
      </w:hyperlink>
      <w:r>
        <w:rPr>
          <w:rStyle w:val="normaltextrun"/>
          <w:color w:val="000000"/>
          <w:lang w:val="es-US"/>
        </w:rPr>
        <w:t xml:space="preserve"> sobre </w:t>
      </w:r>
      <w:r w:rsidRPr="00E671DA">
        <w:rPr>
          <w:rStyle w:val="normaltextrun"/>
          <w:lang w:val="es-US"/>
        </w:rPr>
        <w:t xml:space="preserve">el </w:t>
      </w:r>
      <w:r>
        <w:rPr>
          <w:rStyle w:val="normaltextrun"/>
          <w:color w:val="000000"/>
          <w:lang w:val="es-US"/>
        </w:rPr>
        <w:t>“Fortalecimiento y</w:t>
      </w:r>
      <w:r>
        <w:rPr>
          <w:rStyle w:val="normaltextrun"/>
          <w:color w:val="D13438"/>
          <w:u w:val="single"/>
          <w:lang w:val="es-US"/>
        </w:rPr>
        <w:t xml:space="preserve"> </w:t>
      </w:r>
      <w:r>
        <w:rPr>
          <w:rStyle w:val="normaltextrun"/>
          <w:color w:val="000000"/>
          <w:lang w:val="es-US"/>
        </w:rPr>
        <w:t>mejora del funcionamiento eficaz del sistema de órganos creados en virtud de tratados de derechos humanos”, adoptada el 9 de abril de 2014:</w:t>
      </w:r>
      <w:r w:rsidRPr="00E671DA">
        <w:rPr>
          <w:rStyle w:val="eop"/>
          <w:color w:val="000000"/>
          <w:lang w:val="es-EC"/>
        </w:rPr>
        <w:t> </w:t>
      </w:r>
    </w:p>
    <w:p w14:paraId="59AE1483" w14:textId="77777777" w:rsidR="00E671DA" w:rsidRPr="00E671DA" w:rsidRDefault="00E671DA" w:rsidP="00E671D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14:paraId="405ECF59" w14:textId="77777777" w:rsidR="00E671DA" w:rsidRPr="00E671DA" w:rsidRDefault="00E671DA" w:rsidP="00E671D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>
        <w:rPr>
          <w:rStyle w:val="normaltextrun"/>
          <w:i/>
          <w:iCs/>
          <w:lang w:val="es-US"/>
        </w:rPr>
        <w:t>40.</w:t>
      </w:r>
      <w:r w:rsidRPr="00E671DA">
        <w:rPr>
          <w:rStyle w:val="tabchar"/>
          <w:rFonts w:ascii="Calibri" w:hAnsi="Calibri" w:cs="Calibri"/>
          <w:lang w:val="es-EC"/>
        </w:rPr>
        <w:tab/>
      </w:r>
      <w:r>
        <w:rPr>
          <w:rStyle w:val="normaltextrun"/>
          <w:i/>
          <w:iCs/>
          <w:lang w:val="es-US"/>
        </w:rPr>
        <w:t xml:space="preserve">Solicita al </w:t>
      </w:r>
      <w:proofErr w:type="gramStart"/>
      <w:r>
        <w:rPr>
          <w:rStyle w:val="normaltextrun"/>
          <w:i/>
          <w:iCs/>
          <w:lang w:val="es-US"/>
        </w:rPr>
        <w:t>Secretario General</w:t>
      </w:r>
      <w:proofErr w:type="gramEnd"/>
      <w:r>
        <w:rPr>
          <w:rStyle w:val="normaltextrun"/>
          <w:i/>
          <w:iCs/>
          <w:lang w:val="es-US"/>
        </w:rPr>
        <w:t xml:space="preserve"> que cada dos años le presente un informe</w:t>
      </w:r>
      <w:r w:rsidRPr="00E671DA">
        <w:rPr>
          <w:rStyle w:val="eop"/>
          <w:lang w:val="es-EC"/>
        </w:rPr>
        <w:t> </w:t>
      </w:r>
    </w:p>
    <w:p w14:paraId="104553BD" w14:textId="77777777" w:rsidR="00E671DA" w:rsidRPr="00E671DA" w:rsidRDefault="00E671DA" w:rsidP="00E671D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>
        <w:rPr>
          <w:rStyle w:val="normaltextrun"/>
          <w:i/>
          <w:iCs/>
          <w:lang w:val="es-US"/>
        </w:rPr>
        <w:t>amplio sobre el estado del sistema de órganos creados en virtud de tratados de</w:t>
      </w:r>
      <w:r w:rsidRPr="00E671DA">
        <w:rPr>
          <w:rStyle w:val="eop"/>
          <w:lang w:val="es-EC"/>
        </w:rPr>
        <w:t> </w:t>
      </w:r>
    </w:p>
    <w:p w14:paraId="4EAA3B4C" w14:textId="77777777" w:rsidR="00E671DA" w:rsidRPr="00E671DA" w:rsidRDefault="00E671DA" w:rsidP="00E671D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>
        <w:rPr>
          <w:rStyle w:val="normaltextrun"/>
          <w:i/>
          <w:iCs/>
          <w:lang w:val="es-US"/>
        </w:rPr>
        <w:t>derechos humanos y sobre los progresos realizados por esos órganos hacia el logro de una mayor eficiencia y eficacia de su trabajo que incluya el número de informes presentados y examinados por los comités, las visitas realizadas y las</w:t>
      </w:r>
      <w:r w:rsidRPr="00E671DA">
        <w:rPr>
          <w:rStyle w:val="eop"/>
          <w:lang w:val="es-EC"/>
        </w:rPr>
        <w:t> </w:t>
      </w:r>
    </w:p>
    <w:p w14:paraId="6D380B49" w14:textId="080BECAA" w:rsidR="00E671DA" w:rsidRDefault="00E671DA" w:rsidP="00E671D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lang w:val="es-EC"/>
        </w:rPr>
      </w:pPr>
      <w:r>
        <w:rPr>
          <w:rStyle w:val="normaltextrun"/>
          <w:i/>
          <w:iCs/>
          <w:lang w:val="es-US"/>
        </w:rPr>
        <w:t>comunicaciones individuales recibidas y examinadas, cuando proceda, el retraso</w:t>
      </w:r>
      <w:r w:rsidRPr="00E671DA">
        <w:rPr>
          <w:rStyle w:val="eop"/>
          <w:lang w:val="es-EC"/>
        </w:rPr>
        <w:t> </w:t>
      </w:r>
      <w:r>
        <w:rPr>
          <w:rStyle w:val="normaltextrun"/>
          <w:i/>
          <w:iCs/>
          <w:lang w:val="es-US"/>
        </w:rPr>
        <w:t>acumulado, las iniciativas de creación de capacidad y los resultados logrados, así</w:t>
      </w:r>
      <w:r w:rsidRPr="00E671DA">
        <w:rPr>
          <w:rStyle w:val="eop"/>
          <w:lang w:val="es-EC"/>
        </w:rPr>
        <w:t> </w:t>
      </w:r>
      <w:r>
        <w:rPr>
          <w:rStyle w:val="normaltextrun"/>
          <w:i/>
          <w:iCs/>
          <w:lang w:val="es-US"/>
        </w:rPr>
        <w:t>como la situación con respecto a las ratificaciones, el posible aumento del número</w:t>
      </w:r>
      <w:r w:rsidRPr="00E671DA">
        <w:rPr>
          <w:rStyle w:val="eop"/>
          <w:lang w:val="es-EC"/>
        </w:rPr>
        <w:t> </w:t>
      </w:r>
      <w:r>
        <w:rPr>
          <w:rStyle w:val="normaltextrun"/>
          <w:i/>
          <w:iCs/>
          <w:lang w:val="es-US"/>
        </w:rPr>
        <w:t>de informes presentados y la asignación de tiempo para las reuniones y las</w:t>
      </w:r>
      <w:r w:rsidRPr="00E671DA">
        <w:rPr>
          <w:rStyle w:val="eop"/>
          <w:lang w:val="es-EC"/>
        </w:rPr>
        <w:t> </w:t>
      </w:r>
      <w:r>
        <w:rPr>
          <w:rStyle w:val="normaltextrun"/>
          <w:i/>
          <w:iCs/>
          <w:lang w:val="es-US"/>
        </w:rPr>
        <w:t>propuestas sobre medidas, en las que se tenga en cuenta especialmente la</w:t>
      </w:r>
      <w:r w:rsidRPr="00E671DA">
        <w:rPr>
          <w:rStyle w:val="eop"/>
          <w:lang w:val="es-EC"/>
        </w:rPr>
        <w:t> </w:t>
      </w:r>
      <w:r>
        <w:rPr>
          <w:rStyle w:val="normaltextrun"/>
          <w:i/>
          <w:iCs/>
          <w:lang w:val="es-US"/>
        </w:rPr>
        <w:t>información y las observaciones de los Estados Miembros, para aumentar la</w:t>
      </w:r>
      <w:r w:rsidRPr="00E671DA">
        <w:rPr>
          <w:rStyle w:val="eop"/>
          <w:lang w:val="es-EC"/>
        </w:rPr>
        <w:t> </w:t>
      </w:r>
      <w:r>
        <w:rPr>
          <w:rStyle w:val="normaltextrun"/>
          <w:i/>
          <w:iCs/>
          <w:lang w:val="es-US"/>
        </w:rPr>
        <w:t>participación de todos los Estados partes en el diálogo con los órganos creados en</w:t>
      </w:r>
      <w:r w:rsidRPr="00E671DA">
        <w:rPr>
          <w:rStyle w:val="eop"/>
          <w:lang w:val="es-EC"/>
        </w:rPr>
        <w:t> </w:t>
      </w:r>
      <w:r>
        <w:rPr>
          <w:rStyle w:val="normaltextrun"/>
          <w:i/>
          <w:iCs/>
          <w:lang w:val="es-US"/>
        </w:rPr>
        <w:t>virtud de tratados;</w:t>
      </w:r>
      <w:r w:rsidRPr="00E671DA">
        <w:rPr>
          <w:rStyle w:val="eop"/>
          <w:lang w:val="es-EC"/>
        </w:rPr>
        <w:t> </w:t>
      </w:r>
    </w:p>
    <w:p w14:paraId="4C82F4B2" w14:textId="77777777" w:rsidR="00E671DA" w:rsidRPr="00E671DA" w:rsidRDefault="00E671DA" w:rsidP="00E671D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14:paraId="1A15E336" w14:textId="77777777" w:rsidR="00E671DA" w:rsidRPr="00E671DA" w:rsidRDefault="00E671DA" w:rsidP="00E671D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>
        <w:rPr>
          <w:rStyle w:val="normaltextrun"/>
          <w:i/>
          <w:iCs/>
          <w:lang w:val="es-US"/>
        </w:rPr>
        <w:t>41.</w:t>
      </w:r>
      <w:r w:rsidRPr="00E671DA">
        <w:rPr>
          <w:rStyle w:val="tabchar"/>
          <w:rFonts w:ascii="Calibri" w:hAnsi="Calibri" w:cs="Calibri"/>
          <w:lang w:val="es-EC"/>
        </w:rPr>
        <w:tab/>
      </w:r>
      <w:r>
        <w:rPr>
          <w:rStyle w:val="normaltextrun"/>
          <w:i/>
          <w:iCs/>
          <w:lang w:val="es-US"/>
        </w:rPr>
        <w:t>Decide examinar el estado del sistema de órganos creados en virtud de</w:t>
      </w:r>
      <w:r w:rsidRPr="00E671DA">
        <w:rPr>
          <w:rStyle w:val="eop"/>
          <w:lang w:val="es-EC"/>
        </w:rPr>
        <w:t> </w:t>
      </w:r>
    </w:p>
    <w:p w14:paraId="1696205B" w14:textId="71A3614C" w:rsidR="00E671DA" w:rsidRPr="00E671DA" w:rsidRDefault="00E671DA" w:rsidP="00E671D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>
        <w:rPr>
          <w:rStyle w:val="normaltextrun"/>
          <w:i/>
          <w:iCs/>
          <w:lang w:val="es-US"/>
        </w:rPr>
        <w:t>tratados de derechos humanos, a más tardar seis años después de la aprobación de la presente resolución, a fin de evaluar la eficacia de las medidas adoptadas para</w:t>
      </w:r>
      <w:r w:rsidRPr="00E671DA">
        <w:rPr>
          <w:rStyle w:val="eop"/>
          <w:lang w:val="es-EC"/>
        </w:rPr>
        <w:t> </w:t>
      </w:r>
      <w:r>
        <w:rPr>
          <w:rStyle w:val="normaltextrun"/>
          <w:i/>
          <w:iCs/>
          <w:lang w:val="es-US"/>
        </w:rPr>
        <w:t>asegurar su sostenibilidad y, cuando proceda, decidir qué nuevas medidas pueden</w:t>
      </w:r>
      <w:r w:rsidRPr="00E671DA">
        <w:rPr>
          <w:rStyle w:val="eop"/>
          <w:lang w:val="es-EC"/>
        </w:rPr>
        <w:t> </w:t>
      </w:r>
      <w:r>
        <w:rPr>
          <w:rStyle w:val="normaltextrun"/>
          <w:i/>
          <w:iCs/>
          <w:lang w:val="es-US"/>
        </w:rPr>
        <w:t>adoptarse para fortalecer y mejorar el funcionamiento eficaz del sistema de órganos creados en virtud de tratados de derechos humanos.</w:t>
      </w:r>
      <w:r w:rsidRPr="00E671DA">
        <w:rPr>
          <w:rStyle w:val="eop"/>
          <w:lang w:val="es-EC"/>
        </w:rPr>
        <w:t> </w:t>
      </w:r>
    </w:p>
    <w:p w14:paraId="1863F51D" w14:textId="77777777" w:rsidR="00E671DA" w:rsidRPr="00E671DA" w:rsidRDefault="00E671DA" w:rsidP="00E671D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E671DA">
        <w:rPr>
          <w:rStyle w:val="eop"/>
          <w:color w:val="000000"/>
          <w:lang w:val="es-EC"/>
        </w:rPr>
        <w:t> </w:t>
      </w:r>
    </w:p>
    <w:p w14:paraId="4DBF19E6" w14:textId="64A64C1F" w:rsidR="00E671DA" w:rsidRPr="005B7B13" w:rsidRDefault="0008127D" w:rsidP="00E671DA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lang w:val="es-EC"/>
        </w:rPr>
      </w:pPr>
      <w:r>
        <w:rPr>
          <w:rStyle w:val="normaltextrun"/>
          <w:lang w:val="es-US"/>
        </w:rPr>
        <w:t xml:space="preserve">En el párrafo 3 del preámbulo de la resolución </w:t>
      </w:r>
      <w:hyperlink r:id="rId13" w:tgtFrame="_blank" w:history="1">
        <w:r w:rsidRPr="005B7B13">
          <w:rPr>
            <w:rStyle w:val="normaltextrun"/>
            <w:shd w:val="clear" w:color="auto" w:fill="E1E3E6"/>
            <w:lang w:val="es-US"/>
          </w:rPr>
          <w:t>77/210</w:t>
        </w:r>
      </w:hyperlink>
      <w:r w:rsidRPr="005B7B13">
        <w:rPr>
          <w:lang w:val="es-EC"/>
        </w:rPr>
        <w:t xml:space="preserve">, </w:t>
      </w:r>
      <w:r>
        <w:rPr>
          <w:rStyle w:val="normaltextrun"/>
          <w:lang w:val="es-US"/>
        </w:rPr>
        <w:t xml:space="preserve"> adoptada </w:t>
      </w:r>
      <w:r w:rsidR="00E671DA" w:rsidRPr="005B7B13">
        <w:rPr>
          <w:rStyle w:val="normaltextrun"/>
          <w:lang w:val="es-US"/>
        </w:rPr>
        <w:t xml:space="preserve">el 15 de </w:t>
      </w:r>
      <w:r w:rsidR="005B7B13" w:rsidRPr="005B7B13">
        <w:rPr>
          <w:rStyle w:val="normaltextrun"/>
          <w:lang w:val="es-US"/>
        </w:rPr>
        <w:t>d</w:t>
      </w:r>
      <w:r w:rsidR="00E671DA" w:rsidRPr="005B7B13">
        <w:rPr>
          <w:rStyle w:val="normaltextrun"/>
          <w:lang w:val="es-US"/>
        </w:rPr>
        <w:t>iciembre de 2022</w:t>
      </w:r>
      <w:r w:rsidR="00E40F34">
        <w:rPr>
          <w:rStyle w:val="normaltextrun"/>
          <w:lang w:val="es-US"/>
        </w:rPr>
        <w:t xml:space="preserve">, </w:t>
      </w:r>
      <w:r w:rsidR="00E671DA" w:rsidRPr="005B7B13">
        <w:rPr>
          <w:rStyle w:val="normaltextrun"/>
          <w:lang w:val="es-US"/>
        </w:rPr>
        <w:t xml:space="preserve">sobre el “Sistema de órganos creados en virtud de tratados de derechos humanos”, </w:t>
      </w:r>
      <w:r w:rsidR="00E40F34">
        <w:rPr>
          <w:rStyle w:val="normaltextrun"/>
          <w:lang w:val="es-US"/>
        </w:rPr>
        <w:t xml:space="preserve">la Asamblea General </w:t>
      </w:r>
      <w:r w:rsidR="00E671DA" w:rsidRPr="005B7B13">
        <w:rPr>
          <w:rStyle w:val="normaltextrun"/>
          <w:lang w:val="es-US"/>
        </w:rPr>
        <w:t>afirmó:</w:t>
      </w:r>
      <w:r w:rsidR="00E671DA" w:rsidRPr="005B7B13">
        <w:rPr>
          <w:rStyle w:val="eop"/>
          <w:lang w:val="es-EC"/>
        </w:rPr>
        <w:t> </w:t>
      </w:r>
    </w:p>
    <w:p w14:paraId="7CB68950" w14:textId="77777777" w:rsidR="005B7B13" w:rsidRPr="005B7B13" w:rsidRDefault="005B7B13" w:rsidP="00E671DA">
      <w:pPr>
        <w:pStyle w:val="paragraph"/>
        <w:spacing w:before="0" w:beforeAutospacing="0" w:after="0" w:afterAutospacing="0"/>
        <w:ind w:firstLine="720"/>
        <w:textAlignment w:val="baseline"/>
        <w:rPr>
          <w:lang w:val="es-EC"/>
        </w:rPr>
      </w:pPr>
    </w:p>
    <w:p w14:paraId="37516785" w14:textId="17984236" w:rsidR="00E671DA" w:rsidRDefault="005B7B13" w:rsidP="00E671D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lang w:val="es-EC"/>
        </w:rPr>
      </w:pPr>
      <w:r>
        <w:rPr>
          <w:rStyle w:val="normaltextrun"/>
          <w:i/>
          <w:iCs/>
          <w:lang w:val="es-EC"/>
        </w:rPr>
        <w:t>3.</w:t>
      </w:r>
      <w:r>
        <w:rPr>
          <w:rStyle w:val="normaltextrun"/>
          <w:i/>
          <w:iCs/>
          <w:lang w:val="es-EC"/>
        </w:rPr>
        <w:tab/>
      </w:r>
      <w:r w:rsidR="00E671DA">
        <w:rPr>
          <w:rStyle w:val="normaltextrun"/>
          <w:i/>
          <w:iCs/>
          <w:lang w:val="es-US"/>
        </w:rPr>
        <w:t xml:space="preserve">Recordando además su resolución </w:t>
      </w:r>
      <w:hyperlink r:id="rId14" w:tgtFrame="_blank" w:history="1">
        <w:r w:rsidR="00E671DA">
          <w:rPr>
            <w:rStyle w:val="normaltextrun"/>
            <w:i/>
            <w:iCs/>
            <w:color w:val="0000FF"/>
            <w:u w:val="single"/>
            <w:lang w:val="es-US"/>
          </w:rPr>
          <w:t>68</w:t>
        </w:r>
        <w:r w:rsidR="00E671DA">
          <w:rPr>
            <w:rStyle w:val="normaltextrun"/>
            <w:i/>
            <w:iCs/>
            <w:color w:val="0000FF"/>
            <w:u w:val="single"/>
            <w:lang w:val="es-US"/>
          </w:rPr>
          <w:t>/</w:t>
        </w:r>
        <w:r w:rsidR="00E671DA">
          <w:rPr>
            <w:rStyle w:val="normaltextrun"/>
            <w:i/>
            <w:iCs/>
            <w:color w:val="0000FF"/>
            <w:u w:val="single"/>
            <w:lang w:val="es-US"/>
          </w:rPr>
          <w:t>268</w:t>
        </w:r>
      </w:hyperlink>
      <w:r w:rsidR="00E671DA">
        <w:rPr>
          <w:rStyle w:val="normaltextrun"/>
          <w:i/>
          <w:iCs/>
          <w:lang w:val="es-US"/>
        </w:rPr>
        <w:t>, de 9 de abril de 2014, relativa al fortalecimiento y la mejora del funcionamiento eficaz del sistema de órganos creados en virtud de tratados de derechos humanos”</w:t>
      </w:r>
      <w:r w:rsidR="00E671DA" w:rsidRPr="00E671DA">
        <w:rPr>
          <w:rStyle w:val="eop"/>
          <w:lang w:val="es-EC"/>
        </w:rPr>
        <w:t> </w:t>
      </w:r>
    </w:p>
    <w:p w14:paraId="4730C624" w14:textId="77777777" w:rsidR="005B7B13" w:rsidRPr="00E671DA" w:rsidRDefault="005B7B13" w:rsidP="00E671D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14:paraId="151037E9" w14:textId="77777777" w:rsidR="005B7B13" w:rsidRPr="005B7B13" w:rsidRDefault="00E671DA" w:rsidP="00E671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US"/>
        </w:rPr>
      </w:pPr>
      <w:r>
        <w:rPr>
          <w:rStyle w:val="normaltextrun"/>
          <w:lang w:val="es-US"/>
        </w:rPr>
        <w:t xml:space="preserve">y, en el párrafo </w:t>
      </w:r>
      <w:r w:rsidRPr="005B7B13">
        <w:rPr>
          <w:rStyle w:val="normaltextrun"/>
          <w:lang w:val="es-US"/>
        </w:rPr>
        <w:t>10 de la misma resolución dispuso: </w:t>
      </w:r>
    </w:p>
    <w:p w14:paraId="48FD206C" w14:textId="4963CF30" w:rsidR="00E671DA" w:rsidRPr="00E671DA" w:rsidRDefault="00E671DA" w:rsidP="00E671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E671DA">
        <w:rPr>
          <w:rStyle w:val="eop"/>
          <w:lang w:val="es-EC"/>
        </w:rPr>
        <w:t> </w:t>
      </w:r>
    </w:p>
    <w:p w14:paraId="568DD81B" w14:textId="2E212CEC" w:rsidR="00E671DA" w:rsidRDefault="00E671DA" w:rsidP="00E671D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lang w:val="es-EC"/>
        </w:rPr>
      </w:pPr>
      <w:r>
        <w:rPr>
          <w:rStyle w:val="normaltextrun"/>
          <w:i/>
          <w:iCs/>
          <w:lang w:val="es-US"/>
        </w:rPr>
        <w:t>10.</w:t>
      </w:r>
      <w:r w:rsidRPr="00E671DA">
        <w:rPr>
          <w:rStyle w:val="tabchar"/>
          <w:rFonts w:ascii="Calibri" w:hAnsi="Calibri" w:cs="Calibri"/>
          <w:lang w:val="es-EC"/>
        </w:rPr>
        <w:tab/>
      </w:r>
      <w:r>
        <w:rPr>
          <w:rStyle w:val="normaltextrun"/>
          <w:i/>
          <w:iCs/>
          <w:lang w:val="es-US"/>
        </w:rPr>
        <w:t xml:space="preserve">Reitera su solicitud, formulada en el párrafo 40 de su resolución </w:t>
      </w:r>
      <w:hyperlink r:id="rId15" w:tgtFrame="_blank" w:history="1">
        <w:r>
          <w:rPr>
            <w:rStyle w:val="normaltextrun"/>
            <w:i/>
            <w:iCs/>
            <w:color w:val="0000FF"/>
            <w:u w:val="single"/>
            <w:lang w:val="es-US"/>
          </w:rPr>
          <w:t>68/268</w:t>
        </w:r>
      </w:hyperlink>
      <w:r>
        <w:rPr>
          <w:rStyle w:val="normaltextrun"/>
          <w:i/>
          <w:iCs/>
          <w:lang w:val="es-US"/>
        </w:rPr>
        <w:t>,</w:t>
      </w:r>
      <w:r w:rsidRPr="00E671DA">
        <w:rPr>
          <w:rStyle w:val="eop"/>
          <w:lang w:val="es-EC"/>
        </w:rPr>
        <w:t> </w:t>
      </w:r>
      <w:r>
        <w:rPr>
          <w:rStyle w:val="normaltextrun"/>
          <w:i/>
          <w:iCs/>
          <w:lang w:val="es-US"/>
        </w:rPr>
        <w:t>de que el Secretario General le presente, en su septuagésimo noveno período de</w:t>
      </w:r>
      <w:r w:rsidRPr="00E671DA">
        <w:rPr>
          <w:rStyle w:val="eop"/>
          <w:lang w:val="es-EC"/>
        </w:rPr>
        <w:t> </w:t>
      </w:r>
      <w:r>
        <w:rPr>
          <w:rStyle w:val="normaltextrun"/>
          <w:i/>
          <w:iCs/>
          <w:lang w:val="es-US"/>
        </w:rPr>
        <w:t>sesiones, un informe sobre el estado del sistema de órganos creados en virtud de</w:t>
      </w:r>
      <w:r w:rsidRPr="00E671DA">
        <w:rPr>
          <w:rStyle w:val="eop"/>
          <w:lang w:val="es-EC"/>
        </w:rPr>
        <w:t> </w:t>
      </w:r>
      <w:r w:rsidRPr="00E671DA">
        <w:rPr>
          <w:rStyle w:val="normaltextrun"/>
          <w:i/>
          <w:iCs/>
          <w:lang w:val="es-EC"/>
        </w:rPr>
        <w:t>tratados de derechos humanos.</w:t>
      </w:r>
      <w:r w:rsidRPr="00E671DA">
        <w:rPr>
          <w:rStyle w:val="eop"/>
          <w:lang w:val="es-EC"/>
        </w:rPr>
        <w:t> </w:t>
      </w:r>
    </w:p>
    <w:p w14:paraId="49C53200" w14:textId="2D1C02CB" w:rsidR="005B7B13" w:rsidRDefault="005B7B13">
      <w:pPr>
        <w:rPr>
          <w:rStyle w:val="eop"/>
          <w:sz w:val="24"/>
          <w:szCs w:val="24"/>
          <w:lang w:val="es-EC" w:eastAsia="en-GB"/>
        </w:rPr>
      </w:pPr>
      <w:r>
        <w:rPr>
          <w:rStyle w:val="eop"/>
          <w:lang w:val="es-EC"/>
        </w:rPr>
        <w:br w:type="page"/>
      </w:r>
    </w:p>
    <w:p w14:paraId="26A3E297" w14:textId="77777777" w:rsidR="005B7B13" w:rsidRPr="00E671DA" w:rsidRDefault="005B7B13" w:rsidP="00E671D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14:paraId="1AA85A6E" w14:textId="457A45F3" w:rsidR="00E671DA" w:rsidRDefault="00E671DA" w:rsidP="00E671DA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color w:val="000000"/>
          <w:lang w:val="es-EC"/>
        </w:rPr>
      </w:pPr>
      <w:r>
        <w:rPr>
          <w:rStyle w:val="normaltextrun"/>
          <w:color w:val="000000"/>
          <w:lang w:val="es-EC"/>
        </w:rPr>
        <w:t xml:space="preserve">Para la preparación </w:t>
      </w:r>
      <w:r>
        <w:rPr>
          <w:rStyle w:val="normaltextrun"/>
          <w:color w:val="000000"/>
          <w:lang w:val="es-US"/>
        </w:rPr>
        <w:t xml:space="preserve">del informe mencionado anteriormente, la Oficina del Alto Comisionado de las Naciones Unidas para los Derechos Humanos (ACNUDH) agradecería recibir aportaciones de los Estados </w:t>
      </w:r>
      <w:r w:rsidR="00E40F34">
        <w:rPr>
          <w:rStyle w:val="normaltextrun"/>
          <w:color w:val="000000"/>
          <w:lang w:val="es-US"/>
        </w:rPr>
        <w:t xml:space="preserve">Parte </w:t>
      </w:r>
      <w:r>
        <w:rPr>
          <w:rStyle w:val="normaltextrun"/>
          <w:color w:val="000000"/>
          <w:lang w:val="es-US"/>
        </w:rPr>
        <w:t xml:space="preserve">sobre la </w:t>
      </w:r>
      <w:r w:rsidR="00E40F34">
        <w:rPr>
          <w:rStyle w:val="normaltextrun"/>
          <w:color w:val="000000"/>
          <w:lang w:val="es-US"/>
        </w:rPr>
        <w:t>situación</w:t>
      </w:r>
      <w:r>
        <w:rPr>
          <w:rStyle w:val="normaltextrun"/>
          <w:color w:val="000000"/>
          <w:lang w:val="es-US"/>
        </w:rPr>
        <w:t xml:space="preserve"> del sistema de órganos creados en virtud de tratados de derechos humanos, en particular sobre la implementación de la resolución de la Asamblea General </w:t>
      </w:r>
      <w:hyperlink r:id="rId16" w:tgtFrame="_blank" w:history="1">
        <w:r>
          <w:rPr>
            <w:rStyle w:val="normaltextrun"/>
            <w:color w:val="0000FF"/>
            <w:u w:val="single"/>
            <w:shd w:val="clear" w:color="auto" w:fill="E1E3E6"/>
            <w:lang w:val="es-US"/>
          </w:rPr>
          <w:t>68/268</w:t>
        </w:r>
      </w:hyperlink>
      <w:r>
        <w:rPr>
          <w:rStyle w:val="normaltextrun"/>
          <w:color w:val="000000"/>
          <w:lang w:val="es-US"/>
        </w:rPr>
        <w:t>, incluidas las disposiciones dirigidas a los Estados.</w:t>
      </w:r>
      <w:r w:rsidRPr="00E671DA">
        <w:rPr>
          <w:rStyle w:val="eop"/>
          <w:color w:val="000000"/>
          <w:lang w:val="es-EC"/>
        </w:rPr>
        <w:t> </w:t>
      </w:r>
    </w:p>
    <w:p w14:paraId="3A6E1E06" w14:textId="77777777" w:rsidR="005B7B13" w:rsidRPr="00E671DA" w:rsidRDefault="005B7B13" w:rsidP="00E671D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14:paraId="47A1E08A" w14:textId="0943A9F6" w:rsidR="00E671DA" w:rsidRPr="00E671DA" w:rsidRDefault="00E40F34" w:rsidP="00E671D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E40F34">
        <w:rPr>
          <w:rStyle w:val="normaltextrun"/>
          <w:lang w:val="es-EC"/>
        </w:rPr>
        <w:t>Sírvase</w:t>
      </w:r>
      <w:r w:rsidR="00E671DA" w:rsidRPr="00E40F34">
        <w:rPr>
          <w:rStyle w:val="normaltextrun"/>
          <w:lang w:val="es-EC"/>
        </w:rPr>
        <w:t xml:space="preserve"> enviar su aportaci</w:t>
      </w:r>
      <w:r>
        <w:rPr>
          <w:rStyle w:val="normaltextrun"/>
          <w:lang w:val="es-EC"/>
        </w:rPr>
        <w:t>ón</w:t>
      </w:r>
      <w:r w:rsidR="00E671DA" w:rsidRPr="00E40F34">
        <w:rPr>
          <w:rStyle w:val="normaltextrun"/>
          <w:lang w:val="es-EC"/>
        </w:rPr>
        <w:t xml:space="preserve"> </w:t>
      </w:r>
      <w:r w:rsidR="00E671DA" w:rsidRPr="00E40F34">
        <w:rPr>
          <w:rStyle w:val="normaltextrun"/>
          <w:b/>
          <w:bCs/>
          <w:u w:val="single"/>
          <w:lang w:val="es-EC"/>
        </w:rPr>
        <w:t>antes del 26 de febrero de 2024,</w:t>
      </w:r>
      <w:r w:rsidRPr="00E40F34">
        <w:rPr>
          <w:rStyle w:val="normaltextrun"/>
          <w:b/>
          <w:bCs/>
          <w:u w:val="single"/>
          <w:lang w:val="es-EC"/>
        </w:rPr>
        <w:t xml:space="preserve"> </w:t>
      </w:r>
      <w:r w:rsidR="00E671DA" w:rsidRPr="00E671DA">
        <w:rPr>
          <w:rStyle w:val="normaltextrun"/>
          <w:b/>
          <w:bCs/>
          <w:color w:val="000000"/>
          <w:u w:val="single"/>
          <w:lang w:val="es-EC"/>
        </w:rPr>
        <w:t>en</w:t>
      </w:r>
      <w:r w:rsidR="00E671DA">
        <w:rPr>
          <w:rStyle w:val="normaltextrun"/>
          <w:b/>
          <w:bCs/>
          <w:color w:val="000000"/>
          <w:u w:val="single"/>
          <w:lang w:val="es-US"/>
        </w:rPr>
        <w:t xml:space="preserve"> </w:t>
      </w:r>
      <w:r w:rsidR="00E671DA" w:rsidRPr="00E671DA">
        <w:rPr>
          <w:rStyle w:val="normaltextrun"/>
          <w:b/>
          <w:bCs/>
          <w:color w:val="000000"/>
          <w:u w:val="single"/>
          <w:lang w:val="es-EC"/>
        </w:rPr>
        <w:t>formato</w:t>
      </w:r>
      <w:r w:rsidR="00E671DA" w:rsidRPr="00E671DA">
        <w:rPr>
          <w:rStyle w:val="normaltextrun"/>
          <w:b/>
          <w:bCs/>
          <w:strike/>
          <w:color w:val="D13438"/>
          <w:lang w:val="es-EC"/>
        </w:rPr>
        <w:t xml:space="preserve"> </w:t>
      </w:r>
      <w:r w:rsidR="00E671DA" w:rsidRPr="00E671DA">
        <w:rPr>
          <w:rStyle w:val="normaltextrun"/>
          <w:b/>
          <w:bCs/>
          <w:color w:val="000000"/>
          <w:u w:val="single"/>
          <w:lang w:val="es-EC"/>
        </w:rPr>
        <w:t xml:space="preserve">digital </w:t>
      </w:r>
      <w:r w:rsidR="00E671DA" w:rsidRPr="00E40F34">
        <w:rPr>
          <w:rStyle w:val="normaltextrun"/>
          <w:b/>
          <w:bCs/>
          <w:u w:val="single"/>
          <w:lang w:val="es-EC"/>
        </w:rPr>
        <w:t>Word o texto, accesible</w:t>
      </w:r>
      <w:r w:rsidRPr="00E40F34">
        <w:rPr>
          <w:rStyle w:val="normaltextrun"/>
          <w:b/>
          <w:bCs/>
          <w:u w:val="single"/>
          <w:lang w:val="es-EC"/>
        </w:rPr>
        <w:t>s</w:t>
      </w:r>
      <w:r w:rsidR="00E671DA" w:rsidRPr="00E40F34">
        <w:rPr>
          <w:rStyle w:val="normaltextrun"/>
          <w:b/>
          <w:bCs/>
          <w:u w:val="single"/>
          <w:lang w:val="es-EC"/>
        </w:rPr>
        <w:t xml:space="preserve"> </w:t>
      </w:r>
      <w:r w:rsidR="00E671DA" w:rsidRPr="00E671DA">
        <w:rPr>
          <w:rStyle w:val="normaltextrun"/>
          <w:b/>
          <w:bCs/>
          <w:color w:val="000000"/>
          <w:u w:val="single"/>
          <w:lang w:val="es-EC"/>
        </w:rPr>
        <w:t>para personas con discapacidad</w:t>
      </w:r>
      <w:r w:rsidR="00E671DA">
        <w:rPr>
          <w:rStyle w:val="normaltextrun"/>
          <w:color w:val="000000"/>
          <w:lang w:val="es-US"/>
        </w:rPr>
        <w:t xml:space="preserve">, </w:t>
      </w:r>
      <w:r w:rsidR="00E671DA" w:rsidRPr="00E671DA">
        <w:rPr>
          <w:rStyle w:val="normaltextrun"/>
          <w:color w:val="000000"/>
          <w:lang w:val="es-EC"/>
        </w:rPr>
        <w:t xml:space="preserve">a la </w:t>
      </w:r>
      <w:r w:rsidRPr="00E671DA">
        <w:rPr>
          <w:rStyle w:val="normaltextrun"/>
          <w:color w:val="000000"/>
          <w:lang w:val="es-EC"/>
        </w:rPr>
        <w:t>dirección</w:t>
      </w:r>
      <w:r w:rsidR="00E671DA" w:rsidRPr="00E671DA">
        <w:rPr>
          <w:rStyle w:val="normaltextrun"/>
          <w:color w:val="000000"/>
          <w:lang w:val="es-EC"/>
        </w:rPr>
        <w:t xml:space="preserve"> </w:t>
      </w:r>
      <w:r w:rsidRPr="00E671DA">
        <w:rPr>
          <w:rStyle w:val="normaltextrun"/>
          <w:color w:val="000000"/>
          <w:lang w:val="es-EC"/>
        </w:rPr>
        <w:t>electrónica</w:t>
      </w:r>
      <w:r w:rsidR="00E671DA" w:rsidRPr="00E671DA">
        <w:rPr>
          <w:rStyle w:val="normaltextrun"/>
          <w:color w:val="000000"/>
          <w:lang w:val="es-EC"/>
        </w:rPr>
        <w:t xml:space="preserve"> </w:t>
      </w:r>
      <w:r w:rsidR="00E671DA" w:rsidRPr="00E671DA">
        <w:rPr>
          <w:rStyle w:val="normaltextrun"/>
          <w:color w:val="0000FF"/>
          <w:lang w:val="es-EC"/>
        </w:rPr>
        <w:t>ohchr-tbs@un.org.</w:t>
      </w:r>
      <w:r w:rsidR="00E671DA">
        <w:rPr>
          <w:rStyle w:val="normaltextrun"/>
          <w:color w:val="000000"/>
          <w:lang w:val="es-US"/>
        </w:rPr>
        <w:t xml:space="preserve"> La </w:t>
      </w:r>
      <w:r>
        <w:rPr>
          <w:rStyle w:val="normaltextrun"/>
          <w:color w:val="000000"/>
          <w:lang w:val="es-US"/>
        </w:rPr>
        <w:t>versión</w:t>
      </w:r>
      <w:r w:rsidR="00E671DA">
        <w:rPr>
          <w:rStyle w:val="normaltextrun"/>
          <w:color w:val="000000"/>
          <w:lang w:val="es-US"/>
        </w:rPr>
        <w:t xml:space="preserve"> original de su </w:t>
      </w:r>
      <w:r w:rsidR="00E671DA" w:rsidRPr="00E40F34">
        <w:rPr>
          <w:rStyle w:val="normaltextrun"/>
          <w:lang w:val="es-EC"/>
        </w:rPr>
        <w:t>aportaci</w:t>
      </w:r>
      <w:r w:rsidRPr="00E40F34">
        <w:rPr>
          <w:rStyle w:val="normaltextrun"/>
          <w:lang w:val="es-EC"/>
        </w:rPr>
        <w:t>ó</w:t>
      </w:r>
      <w:r w:rsidR="00E671DA" w:rsidRPr="00E40F34">
        <w:rPr>
          <w:rStyle w:val="normaltextrun"/>
          <w:lang w:val="es-EC"/>
        </w:rPr>
        <w:t>n</w:t>
      </w:r>
      <w:r w:rsidR="00E671DA" w:rsidRPr="00E40F34">
        <w:rPr>
          <w:rStyle w:val="normaltextrun"/>
          <w:color w:val="000000"/>
          <w:lang w:val="es-US"/>
        </w:rPr>
        <w:t xml:space="preserve"> </w:t>
      </w:r>
      <w:r w:rsidR="00E671DA">
        <w:rPr>
          <w:rStyle w:val="normaltextrun"/>
          <w:color w:val="000000"/>
          <w:lang w:val="es-US"/>
        </w:rPr>
        <w:t xml:space="preserve">se publicará en la página web de </w:t>
      </w:r>
      <w:proofErr w:type="gramStart"/>
      <w:r w:rsidR="00E671DA">
        <w:rPr>
          <w:rStyle w:val="normaltextrun"/>
          <w:color w:val="000000"/>
          <w:lang w:val="es-US"/>
        </w:rPr>
        <w:t>la  ACNUDH</w:t>
      </w:r>
      <w:proofErr w:type="gramEnd"/>
      <w:r w:rsidR="00E671DA">
        <w:rPr>
          <w:rStyle w:val="normaltextrun"/>
          <w:color w:val="000000"/>
          <w:lang w:val="es-US"/>
        </w:rPr>
        <w:t xml:space="preserve">, </w:t>
      </w:r>
      <w:hyperlink r:id="rId17" w:tgtFrame="_blank" w:history="1">
        <w:r w:rsidR="00E671DA">
          <w:rPr>
            <w:rStyle w:val="normaltextrun"/>
            <w:color w:val="0000FF"/>
            <w:u w:val="single"/>
            <w:shd w:val="clear" w:color="auto" w:fill="E1E3E6"/>
            <w:lang w:val="es-US"/>
          </w:rPr>
          <w:t>http://www.ohchr.org/EN/HRBodies/HRTD/Pages/TBStrengthening.aspx.</w:t>
        </w:r>
      </w:hyperlink>
      <w:r w:rsidR="00E671DA" w:rsidRPr="00E671DA">
        <w:rPr>
          <w:rStyle w:val="eop"/>
          <w:lang w:val="es-EC"/>
        </w:rPr>
        <w:t> </w:t>
      </w:r>
    </w:p>
    <w:p w14:paraId="282FD8EA" w14:textId="381883FC" w:rsidR="00E671DA" w:rsidRPr="00E40F34" w:rsidRDefault="00E671DA" w:rsidP="00E671D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  <w:lang w:val="es-EC"/>
        </w:rPr>
      </w:pPr>
    </w:p>
    <w:p w14:paraId="4EA1471F" w14:textId="77777777" w:rsidR="00E671DA" w:rsidRPr="00E40F34" w:rsidRDefault="00E671DA" w:rsidP="00E671D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  <w:lang w:val="es-EC"/>
        </w:rPr>
      </w:pPr>
      <w:r w:rsidRPr="00E40F34">
        <w:rPr>
          <w:rStyle w:val="eop"/>
          <w:color w:val="000000"/>
          <w:lang w:val="es-EC"/>
        </w:rPr>
        <w:t> </w:t>
      </w:r>
    </w:p>
    <w:p w14:paraId="1C32605B" w14:textId="2F8B7326" w:rsidR="00E671DA" w:rsidRPr="00E40F34" w:rsidRDefault="00E671DA" w:rsidP="00E671DA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E40F34">
        <w:rPr>
          <w:rStyle w:val="normaltextrun"/>
        </w:rPr>
        <w:t>2</w:t>
      </w:r>
      <w:r w:rsidR="00E40F34" w:rsidRPr="00E40F34">
        <w:rPr>
          <w:rStyle w:val="normaltextrun"/>
        </w:rPr>
        <w:t>6</w:t>
      </w:r>
      <w:r w:rsidRPr="00E40F34">
        <w:rPr>
          <w:rStyle w:val="normaltextrun"/>
        </w:rPr>
        <w:t xml:space="preserve"> de </w:t>
      </w:r>
      <w:proofErr w:type="spellStart"/>
      <w:r w:rsidRPr="00E40F34">
        <w:rPr>
          <w:rStyle w:val="normaltextrun"/>
        </w:rPr>
        <w:t>enero</w:t>
      </w:r>
      <w:proofErr w:type="spellEnd"/>
      <w:r w:rsidRPr="00E40F34">
        <w:rPr>
          <w:rStyle w:val="normaltextrun"/>
        </w:rPr>
        <w:t xml:space="preserve"> de 2024</w:t>
      </w:r>
      <w:r w:rsidRPr="00E40F34">
        <w:rPr>
          <w:rStyle w:val="eop"/>
        </w:rPr>
        <w:t> </w:t>
      </w:r>
    </w:p>
    <w:p w14:paraId="03819DF9" w14:textId="4DA41B25" w:rsidR="00C82CCE" w:rsidRPr="00D72FB6" w:rsidRDefault="00C82CCE" w:rsidP="00E671DA">
      <w:pPr>
        <w:pStyle w:val="paragraph"/>
        <w:spacing w:before="0" w:beforeAutospacing="0" w:after="0" w:afterAutospacing="0"/>
        <w:jc w:val="center"/>
        <w:textAlignment w:val="baseline"/>
      </w:pPr>
    </w:p>
    <w:sectPr w:rsidR="00C82CCE" w:rsidRPr="00D72FB6" w:rsidSect="00C772EF">
      <w:headerReference w:type="default" r:id="rId18"/>
      <w:footerReference w:type="default" r:id="rId19"/>
      <w:headerReference w:type="first" r:id="rId20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9DFC" w14:textId="77777777" w:rsidR="00395EB8" w:rsidRDefault="00395EB8">
      <w:r>
        <w:separator/>
      </w:r>
    </w:p>
  </w:endnote>
  <w:endnote w:type="continuationSeparator" w:id="0">
    <w:p w14:paraId="03819DFD" w14:textId="77777777" w:rsidR="00395EB8" w:rsidRDefault="0039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9E01" w14:textId="77777777" w:rsidR="00440E30" w:rsidRDefault="00440E30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9DFA" w14:textId="77777777" w:rsidR="00395EB8" w:rsidRDefault="00395EB8">
      <w:r>
        <w:separator/>
      </w:r>
    </w:p>
  </w:footnote>
  <w:footnote w:type="continuationSeparator" w:id="0">
    <w:p w14:paraId="03819DFB" w14:textId="77777777" w:rsidR="00395EB8" w:rsidRDefault="0039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9DFF" w14:textId="77777777" w:rsidR="00440E30" w:rsidRPr="00AD4CA9" w:rsidRDefault="00315D3C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US"/>
      </w:rPr>
      <w:drawing>
        <wp:anchor distT="0" distB="0" distL="114300" distR="114300" simplePos="0" relativeHeight="251658240" behindDoc="1" locked="0" layoutInCell="1" allowOverlap="1" wp14:anchorId="03819E06" wp14:editId="03819E07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0717"/>
              <wp:lineTo x="21372" y="20717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415EFC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9E02" w14:textId="77777777" w:rsidR="00440E30" w:rsidRPr="00925A9D" w:rsidRDefault="00315D3C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US"/>
      </w:rPr>
      <w:drawing>
        <wp:anchor distT="0" distB="0" distL="114300" distR="114300" simplePos="0" relativeHeight="251657216" behindDoc="1" locked="0" layoutInCell="1" allowOverlap="1" wp14:anchorId="03819E08" wp14:editId="03819E09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12700"/>
          <wp:wrapTight wrapText="bothSides">
            <wp:wrapPolygon edited="0">
              <wp:start x="0" y="0"/>
              <wp:lineTo x="0" y="21221"/>
              <wp:lineTo x="21462" y="21221"/>
              <wp:lineTo x="21462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03819E03" w14:textId="77777777" w:rsidR="00440E30" w:rsidRPr="00D72FB6" w:rsidRDefault="00440E30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FR"/>
      </w:rPr>
    </w:pPr>
    <w:r w:rsidRPr="00D72FB6">
      <w:rPr>
        <w:sz w:val="14"/>
        <w:szCs w:val="14"/>
        <w:lang w:val="fr-FR"/>
      </w:rPr>
      <w:t>PALAIS DES NATIONS • 1211 GENEVA 10, SWITZERLAND</w:t>
    </w:r>
  </w:p>
  <w:p w14:paraId="03819E04" w14:textId="77777777" w:rsidR="00440E30" w:rsidRPr="00D72FB6" w:rsidRDefault="00440E30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FR"/>
      </w:rPr>
    </w:pPr>
    <w:r w:rsidRPr="00D72FB6">
      <w:rPr>
        <w:sz w:val="14"/>
        <w:szCs w:val="14"/>
        <w:lang w:val="fr-FR"/>
      </w:rPr>
      <w:t xml:space="preserve">www.ohchr.org • </w:t>
    </w:r>
    <w:proofErr w:type="gramStart"/>
    <w:r w:rsidRPr="00D72FB6">
      <w:rPr>
        <w:sz w:val="14"/>
        <w:szCs w:val="14"/>
        <w:lang w:val="fr-FR"/>
      </w:rPr>
      <w:t>TEL:</w:t>
    </w:r>
    <w:proofErr w:type="gramEnd"/>
    <w:r w:rsidRPr="00D72FB6">
      <w:rPr>
        <w:sz w:val="14"/>
        <w:szCs w:val="14"/>
        <w:lang w:val="fr-FR"/>
      </w:rPr>
      <w:t xml:space="preserve">  +41 22 917 9000 • FAX:  +41 22 917 9008 • E-MAIL:  </w:t>
    </w:r>
    <w:r w:rsidR="006F0217" w:rsidRPr="00D72FB6">
      <w:rPr>
        <w:sz w:val="14"/>
        <w:szCs w:val="14"/>
        <w:lang w:val="fr-FR"/>
      </w:rPr>
      <w:t>ohchr-registry@un</w:t>
    </w:r>
    <w:r w:rsidRPr="00D72FB6">
      <w:rPr>
        <w:sz w:val="14"/>
        <w:szCs w:val="14"/>
        <w:lang w:val="fr-FR"/>
      </w:rPr>
      <w:t>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241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8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3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9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0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531624">
    <w:abstractNumId w:val="14"/>
  </w:num>
  <w:num w:numId="2" w16cid:durableId="140732814">
    <w:abstractNumId w:val="22"/>
  </w:num>
  <w:num w:numId="3" w16cid:durableId="1374502062">
    <w:abstractNumId w:val="16"/>
  </w:num>
  <w:num w:numId="4" w16cid:durableId="1621642374">
    <w:abstractNumId w:val="8"/>
  </w:num>
  <w:num w:numId="5" w16cid:durableId="1178618270">
    <w:abstractNumId w:val="17"/>
  </w:num>
  <w:num w:numId="6" w16cid:durableId="1039818550">
    <w:abstractNumId w:val="10"/>
  </w:num>
  <w:num w:numId="7" w16cid:durableId="657460980">
    <w:abstractNumId w:val="3"/>
  </w:num>
  <w:num w:numId="8" w16cid:durableId="1998141753">
    <w:abstractNumId w:val="11"/>
  </w:num>
  <w:num w:numId="9" w16cid:durableId="258684401">
    <w:abstractNumId w:val="4"/>
  </w:num>
  <w:num w:numId="10" w16cid:durableId="31922901">
    <w:abstractNumId w:val="2"/>
  </w:num>
  <w:num w:numId="11" w16cid:durableId="889809430">
    <w:abstractNumId w:val="9"/>
  </w:num>
  <w:num w:numId="12" w16cid:durableId="1971475229">
    <w:abstractNumId w:val="20"/>
  </w:num>
  <w:num w:numId="13" w16cid:durableId="379281101">
    <w:abstractNumId w:val="21"/>
  </w:num>
  <w:num w:numId="14" w16cid:durableId="353386000">
    <w:abstractNumId w:val="13"/>
  </w:num>
  <w:num w:numId="15" w16cid:durableId="312566322">
    <w:abstractNumId w:val="6"/>
  </w:num>
  <w:num w:numId="16" w16cid:durableId="1720084992">
    <w:abstractNumId w:val="1"/>
  </w:num>
  <w:num w:numId="17" w16cid:durableId="872883775">
    <w:abstractNumId w:val="19"/>
  </w:num>
  <w:num w:numId="18" w16cid:durableId="1064450068">
    <w:abstractNumId w:val="7"/>
  </w:num>
  <w:num w:numId="19" w16cid:durableId="201329866">
    <w:abstractNumId w:val="12"/>
  </w:num>
  <w:num w:numId="20" w16cid:durableId="1776706338">
    <w:abstractNumId w:val="5"/>
  </w:num>
  <w:num w:numId="21" w16cid:durableId="129715035">
    <w:abstractNumId w:val="18"/>
  </w:num>
  <w:num w:numId="22" w16cid:durableId="1121074559">
    <w:abstractNumId w:val="15"/>
  </w:num>
  <w:num w:numId="23" w16cid:durableId="151645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1C6"/>
    <w:rsid w:val="0000105C"/>
    <w:rsid w:val="000138F6"/>
    <w:rsid w:val="00026D1F"/>
    <w:rsid w:val="00077294"/>
    <w:rsid w:val="0008127D"/>
    <w:rsid w:val="000875C6"/>
    <w:rsid w:val="000A2B89"/>
    <w:rsid w:val="000A6F03"/>
    <w:rsid w:val="000D34F2"/>
    <w:rsid w:val="000E42EE"/>
    <w:rsid w:val="00106F64"/>
    <w:rsid w:val="00115798"/>
    <w:rsid w:val="001205D6"/>
    <w:rsid w:val="00194332"/>
    <w:rsid w:val="001E3384"/>
    <w:rsid w:val="002028A9"/>
    <w:rsid w:val="0021296A"/>
    <w:rsid w:val="00221893"/>
    <w:rsid w:val="00227E2F"/>
    <w:rsid w:val="00235A1A"/>
    <w:rsid w:val="00237E87"/>
    <w:rsid w:val="002431DB"/>
    <w:rsid w:val="0025174E"/>
    <w:rsid w:val="0028624E"/>
    <w:rsid w:val="002863A2"/>
    <w:rsid w:val="002E65F4"/>
    <w:rsid w:val="00315D3C"/>
    <w:rsid w:val="00335FB9"/>
    <w:rsid w:val="00356299"/>
    <w:rsid w:val="00395EB8"/>
    <w:rsid w:val="00396E4C"/>
    <w:rsid w:val="003A3957"/>
    <w:rsid w:val="003C37C3"/>
    <w:rsid w:val="003D3D66"/>
    <w:rsid w:val="00415EFC"/>
    <w:rsid w:val="00440E30"/>
    <w:rsid w:val="00443DF5"/>
    <w:rsid w:val="00447412"/>
    <w:rsid w:val="00455C6D"/>
    <w:rsid w:val="00456419"/>
    <w:rsid w:val="00460258"/>
    <w:rsid w:val="004C044F"/>
    <w:rsid w:val="004E0AB6"/>
    <w:rsid w:val="004E49EC"/>
    <w:rsid w:val="004E4D86"/>
    <w:rsid w:val="00530EF5"/>
    <w:rsid w:val="0055573E"/>
    <w:rsid w:val="00562D63"/>
    <w:rsid w:val="00570A1B"/>
    <w:rsid w:val="00576638"/>
    <w:rsid w:val="005849E6"/>
    <w:rsid w:val="00585F8E"/>
    <w:rsid w:val="005871D9"/>
    <w:rsid w:val="005957ED"/>
    <w:rsid w:val="005B7B13"/>
    <w:rsid w:val="005E7C37"/>
    <w:rsid w:val="0060068B"/>
    <w:rsid w:val="00627A52"/>
    <w:rsid w:val="00636BD7"/>
    <w:rsid w:val="006412EA"/>
    <w:rsid w:val="00645695"/>
    <w:rsid w:val="006605E5"/>
    <w:rsid w:val="006617A4"/>
    <w:rsid w:val="00667227"/>
    <w:rsid w:val="006749F6"/>
    <w:rsid w:val="00682D26"/>
    <w:rsid w:val="00682DDB"/>
    <w:rsid w:val="006834E4"/>
    <w:rsid w:val="006B5A71"/>
    <w:rsid w:val="006F0217"/>
    <w:rsid w:val="006F790C"/>
    <w:rsid w:val="00712363"/>
    <w:rsid w:val="007210F6"/>
    <w:rsid w:val="00723438"/>
    <w:rsid w:val="00733660"/>
    <w:rsid w:val="00741EBC"/>
    <w:rsid w:val="007432E5"/>
    <w:rsid w:val="007450E8"/>
    <w:rsid w:val="00776BDB"/>
    <w:rsid w:val="00790CBE"/>
    <w:rsid w:val="007C4A8E"/>
    <w:rsid w:val="007D1657"/>
    <w:rsid w:val="00842220"/>
    <w:rsid w:val="008427AA"/>
    <w:rsid w:val="008553DE"/>
    <w:rsid w:val="008568EA"/>
    <w:rsid w:val="008656FA"/>
    <w:rsid w:val="00874280"/>
    <w:rsid w:val="008774E3"/>
    <w:rsid w:val="008B4DD7"/>
    <w:rsid w:val="008C2924"/>
    <w:rsid w:val="008C60C0"/>
    <w:rsid w:val="008E46C1"/>
    <w:rsid w:val="009240B2"/>
    <w:rsid w:val="00925A9D"/>
    <w:rsid w:val="00944040"/>
    <w:rsid w:val="00944E25"/>
    <w:rsid w:val="009B459A"/>
    <w:rsid w:val="009D76A9"/>
    <w:rsid w:val="009F18EC"/>
    <w:rsid w:val="009F2043"/>
    <w:rsid w:val="00A01741"/>
    <w:rsid w:val="00A21EF1"/>
    <w:rsid w:val="00A34DA7"/>
    <w:rsid w:val="00A3761B"/>
    <w:rsid w:val="00A439B9"/>
    <w:rsid w:val="00A54482"/>
    <w:rsid w:val="00A61E26"/>
    <w:rsid w:val="00A63977"/>
    <w:rsid w:val="00A86B19"/>
    <w:rsid w:val="00AC50E4"/>
    <w:rsid w:val="00AD4CA9"/>
    <w:rsid w:val="00AF291B"/>
    <w:rsid w:val="00B04529"/>
    <w:rsid w:val="00B14752"/>
    <w:rsid w:val="00B42B30"/>
    <w:rsid w:val="00B458F6"/>
    <w:rsid w:val="00B54DD5"/>
    <w:rsid w:val="00B7425B"/>
    <w:rsid w:val="00B84F46"/>
    <w:rsid w:val="00BD6119"/>
    <w:rsid w:val="00C12BED"/>
    <w:rsid w:val="00C23DDD"/>
    <w:rsid w:val="00C35851"/>
    <w:rsid w:val="00C64254"/>
    <w:rsid w:val="00C74811"/>
    <w:rsid w:val="00C772EF"/>
    <w:rsid w:val="00C82CCE"/>
    <w:rsid w:val="00CB1C6E"/>
    <w:rsid w:val="00CC5BEF"/>
    <w:rsid w:val="00D00DDC"/>
    <w:rsid w:val="00D02F61"/>
    <w:rsid w:val="00D32E5B"/>
    <w:rsid w:val="00D3608E"/>
    <w:rsid w:val="00D36635"/>
    <w:rsid w:val="00D5082F"/>
    <w:rsid w:val="00D67524"/>
    <w:rsid w:val="00D70178"/>
    <w:rsid w:val="00D72FB6"/>
    <w:rsid w:val="00D84C7E"/>
    <w:rsid w:val="00D968C8"/>
    <w:rsid w:val="00DB5616"/>
    <w:rsid w:val="00DD4909"/>
    <w:rsid w:val="00E15347"/>
    <w:rsid w:val="00E40F34"/>
    <w:rsid w:val="00E60057"/>
    <w:rsid w:val="00E671DA"/>
    <w:rsid w:val="00E679E8"/>
    <w:rsid w:val="00EA6B3E"/>
    <w:rsid w:val="00EE5BA8"/>
    <w:rsid w:val="00F006B5"/>
    <w:rsid w:val="00F47B64"/>
    <w:rsid w:val="00F611C6"/>
    <w:rsid w:val="00F80A14"/>
    <w:rsid w:val="00F80D28"/>
    <w:rsid w:val="00FB41B6"/>
    <w:rsid w:val="00FC1DDB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3819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val="en-GB"/>
    </w:rPr>
  </w:style>
  <w:style w:type="paragraph" w:customStyle="1" w:styleId="paragraph">
    <w:name w:val="paragraph"/>
    <w:basedOn w:val="Normal"/>
    <w:rsid w:val="00D72FB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2FB6"/>
  </w:style>
  <w:style w:type="character" w:customStyle="1" w:styleId="eop">
    <w:name w:val="eop"/>
    <w:basedOn w:val="DefaultParagraphFont"/>
    <w:rsid w:val="00D72FB6"/>
  </w:style>
  <w:style w:type="character" w:customStyle="1" w:styleId="tabchar">
    <w:name w:val="tabchar"/>
    <w:basedOn w:val="DefaultParagraphFont"/>
    <w:rsid w:val="00D7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access-ods.un.org/tmp/6318444.60964203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documents-dds-ny.un.org/doc/UNDOC/GEN/N13/455/56/PDF/N1345556.pdf?OpenElement" TargetMode="External"/><Relationship Id="rId17" Type="http://schemas.openxmlformats.org/officeDocument/2006/relationships/hyperlink" Target="http://www.ohchr.org/EN/HRBodies/HRTD/Pages/TBStrengthening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uments-dds-ny.un.org/doc/UNDOC/GEN/N13/455/56/PDF/N1345556.pdf?OpenElemen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ocuments-dds-ny.un.org/doc/UNDOC/GEN/N13/455/56/PDF/N1345556.pdf?OpenElement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cuments-dds-ny.un.org/doc/UNDOC/GEN/N13/455/56/PDF/N1345556.pdf?OpenElemen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3" ma:contentTypeDescription="Create a new document." ma:contentTypeScope="" ma:versionID="8a307c0dedb1e450f07496ce655c2206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b7e4f280b4cfe014e04a9bb33d658cd4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5BAD-D0F2-45FB-B920-4587DA5C84C3}"/>
</file>

<file path=customXml/itemProps2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4BCBAB-4218-4A94-968C-A1A81E010391}">
  <ds:schemaRefs>
    <ds:schemaRef ds:uri="http://schemas.microsoft.com/office/2006/metadata/properties"/>
    <ds:schemaRef ds:uri="http://schemas.microsoft.com/office/infopath/2007/PartnerControls"/>
    <ds:schemaRef ds:uri="550e0016-64c0-45a2-85ae-4a95f1ac178a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b26a458b-4f31-4a21-8825-5297f216bdd6"/>
  </ds:schemaRefs>
</ds:datastoreItem>
</file>

<file path=customXml/itemProps5.xml><?xml version="1.0" encoding="utf-8"?>
<ds:datastoreItem xmlns:ds="http://schemas.openxmlformats.org/officeDocument/2006/customXml" ds:itemID="{944CC49A-05E9-024A-9154-BFECAA70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Letterhead_OHCHR</vt:lpstr>
    </vt:vector>
  </TitlesOfParts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Sindu Thodiyil Manoj</dc:title>
  <dc:subject/>
  <dc:creator/>
  <cp:keywords/>
  <cp:lastModifiedBy/>
  <cp:revision>1</cp:revision>
  <dcterms:created xsi:type="dcterms:W3CDTF">2024-01-26T10:13:00Z</dcterms:created>
  <dcterms:modified xsi:type="dcterms:W3CDTF">2024-01-26T10:13:00Z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Template">
    <vt:lpwstr>Letterhead (Word)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Myriam TABARD</vt:lpwstr>
  </property>
  <property fmtid="{D5CDD505-2E9C-101B-9397-08002B2CF9AE}" pid="5" name="xd_Signature">
    <vt:lpwstr/>
  </property>
  <property fmtid="{D5CDD505-2E9C-101B-9397-08002B2CF9AE}" pid="6" name="Order">
    <vt:lpwstr>1300.00000000000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Myriam TABARD</vt:lpwstr>
  </property>
  <property fmtid="{D5CDD505-2E9C-101B-9397-08002B2CF9AE}" pid="10" name="ContentTypeId">
    <vt:lpwstr>0x010100F5AB59289BFBAB4F9FD152C776C60BDD</vt:lpwstr>
  </property>
  <property fmtid="{D5CDD505-2E9C-101B-9397-08002B2CF9AE}" pid="11" name="_ExtendedDescription">
    <vt:lpwstr>RE&amp;#58; Page to be created</vt:lpwstr>
  </property>
</Properties>
</file>