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91B33" w14:textId="77777777" w:rsidR="000213BE" w:rsidRDefault="000213BE" w:rsidP="000213BE">
      <w:pPr>
        <w:jc w:val="center"/>
        <w:rPr>
          <w:rFonts w:ascii="Verdana" w:hAnsi="Verdana"/>
          <w:b/>
          <w:bCs/>
          <w:sz w:val="20"/>
          <w:szCs w:val="20"/>
          <w:lang w:val="en-US"/>
        </w:rPr>
      </w:pPr>
      <w:bookmarkStart w:id="0" w:name="_GoBack"/>
      <w:bookmarkEnd w:id="0"/>
      <w:r>
        <w:rPr>
          <w:rFonts w:ascii="Verdana" w:hAnsi="Verdana"/>
          <w:b/>
          <w:bCs/>
          <w:sz w:val="20"/>
          <w:szCs w:val="20"/>
          <w:lang w:val="en-US"/>
        </w:rPr>
        <w:t>Bilateral Meeting between the Interamerican Court of Human Rights and the Chairs of the United Nations Human Rights Treaty Bodies</w:t>
      </w:r>
    </w:p>
    <w:p w14:paraId="22E53BD6" w14:textId="77777777" w:rsidR="000213BE" w:rsidRDefault="000213BE" w:rsidP="000213BE">
      <w:pPr>
        <w:jc w:val="both"/>
        <w:rPr>
          <w:rFonts w:ascii="Verdana" w:hAnsi="Verdana"/>
          <w:sz w:val="20"/>
          <w:szCs w:val="20"/>
          <w:lang w:val="en-US"/>
        </w:rPr>
      </w:pPr>
    </w:p>
    <w:p w14:paraId="4F353F15" w14:textId="77777777" w:rsidR="000213BE" w:rsidRDefault="000213BE" w:rsidP="000213BE">
      <w:pPr>
        <w:jc w:val="both"/>
        <w:rPr>
          <w:rFonts w:ascii="Verdana" w:hAnsi="Verdana"/>
          <w:sz w:val="20"/>
          <w:szCs w:val="20"/>
          <w:lang w:val="en-US"/>
        </w:rPr>
      </w:pPr>
      <w:r>
        <w:rPr>
          <w:rFonts w:ascii="Verdana" w:hAnsi="Verdana"/>
          <w:sz w:val="20"/>
          <w:szCs w:val="20"/>
          <w:lang w:val="en-US"/>
        </w:rPr>
        <w:t>San José, Costa Rica; Geneva, Switzerland, February 24</w:t>
      </w:r>
      <w:r>
        <w:rPr>
          <w:rFonts w:ascii="Verdana" w:hAnsi="Verdana"/>
          <w:sz w:val="20"/>
          <w:szCs w:val="20"/>
          <w:vertAlign w:val="superscript"/>
          <w:lang w:val="en-US"/>
        </w:rPr>
        <w:t>th</w:t>
      </w:r>
      <w:r>
        <w:rPr>
          <w:rFonts w:ascii="Verdana" w:hAnsi="Verdana"/>
          <w:sz w:val="20"/>
          <w:szCs w:val="20"/>
          <w:lang w:val="en-US"/>
        </w:rPr>
        <w:t>, 2023.- Today the Inter-American Court of Human Rights and the Chairs of the United Nations Human Rights Treaty Bodies held a bilateral meeting to strengthen their cooperation and share experiences in defending human rights.</w:t>
      </w:r>
    </w:p>
    <w:p w14:paraId="48C1E743" w14:textId="77777777" w:rsidR="000213BE" w:rsidRDefault="000213BE" w:rsidP="000213BE">
      <w:pPr>
        <w:jc w:val="both"/>
        <w:rPr>
          <w:rFonts w:ascii="Verdana" w:hAnsi="Verdana"/>
          <w:sz w:val="20"/>
          <w:szCs w:val="20"/>
          <w:vertAlign w:val="superscript"/>
          <w:lang w:val="en-US"/>
        </w:rPr>
      </w:pPr>
    </w:p>
    <w:p w14:paraId="51D1DEFD" w14:textId="77777777" w:rsidR="000213BE" w:rsidRDefault="000213BE" w:rsidP="000213BE">
      <w:pPr>
        <w:jc w:val="both"/>
        <w:rPr>
          <w:rFonts w:ascii="Verdana" w:hAnsi="Verdana"/>
          <w:sz w:val="20"/>
          <w:szCs w:val="20"/>
          <w:lang w:val="en-US"/>
        </w:rPr>
      </w:pPr>
      <w:r>
        <w:rPr>
          <w:rFonts w:ascii="Verdana" w:hAnsi="Verdana"/>
          <w:sz w:val="20"/>
          <w:szCs w:val="20"/>
          <w:lang w:val="en-US"/>
        </w:rPr>
        <w:t xml:space="preserve">The meeting aimed to create a permanent space for sharing experiences and, at the same time, to open channels of cooperation that will allow each system to learn from the other, but also for both systems to build, when possible, common solutions. </w:t>
      </w:r>
    </w:p>
    <w:p w14:paraId="7B646E17" w14:textId="77777777" w:rsidR="000213BE" w:rsidRDefault="000213BE" w:rsidP="000213BE">
      <w:pPr>
        <w:jc w:val="both"/>
        <w:rPr>
          <w:rFonts w:ascii="Verdana" w:hAnsi="Verdana"/>
          <w:sz w:val="20"/>
          <w:szCs w:val="20"/>
          <w:lang w:val="en-US"/>
        </w:rPr>
      </w:pPr>
    </w:p>
    <w:p w14:paraId="56E074EB" w14:textId="77777777" w:rsidR="000213BE" w:rsidRDefault="000213BE" w:rsidP="000213BE">
      <w:pPr>
        <w:jc w:val="both"/>
        <w:rPr>
          <w:rFonts w:ascii="Verdana" w:hAnsi="Verdana"/>
          <w:sz w:val="20"/>
          <w:szCs w:val="20"/>
          <w:lang w:val="en-US"/>
        </w:rPr>
      </w:pPr>
      <w:r>
        <w:rPr>
          <w:rFonts w:ascii="Verdana" w:hAnsi="Verdana"/>
          <w:sz w:val="20"/>
          <w:szCs w:val="20"/>
          <w:lang w:val="en-US"/>
        </w:rPr>
        <w:t xml:space="preserve">The President of the Inter-American Court, Judge Ricardo C. Pérez Manrique, considers that: ‘‘The dialogue between human rights protection bodies is essential. Even though we have diverse mandates our common end is to protect human rights of the persons regardless of where they are located. This meeting marked the beginning of a permanent dialogue and collaboration between our two systems promoting a robust protection of human rights for all’’. </w:t>
      </w:r>
    </w:p>
    <w:p w14:paraId="7BF25247" w14:textId="77777777" w:rsidR="000213BE" w:rsidRDefault="000213BE" w:rsidP="000213BE">
      <w:pPr>
        <w:jc w:val="both"/>
        <w:rPr>
          <w:rFonts w:ascii="Verdana" w:hAnsi="Verdana"/>
          <w:sz w:val="20"/>
          <w:szCs w:val="20"/>
          <w:lang w:val="en-US"/>
        </w:rPr>
      </w:pPr>
    </w:p>
    <w:p w14:paraId="1A4B781D" w14:textId="77777777" w:rsidR="000213BE" w:rsidRDefault="000213BE" w:rsidP="000213BE">
      <w:pPr>
        <w:jc w:val="both"/>
        <w:rPr>
          <w:rFonts w:ascii="Verdana" w:hAnsi="Verdana"/>
          <w:sz w:val="20"/>
          <w:szCs w:val="20"/>
          <w:lang w:val="en-US"/>
        </w:rPr>
      </w:pPr>
      <w:r>
        <w:rPr>
          <w:rFonts w:ascii="Verdana" w:hAnsi="Verdana"/>
          <w:sz w:val="20"/>
          <w:szCs w:val="20"/>
          <w:lang w:val="en-US"/>
        </w:rPr>
        <w:t xml:space="preserve">For the chair of the ten Human Rights Treaty Bodies, Mr. Edgar </w:t>
      </w:r>
      <w:proofErr w:type="spellStart"/>
      <w:r>
        <w:rPr>
          <w:rFonts w:ascii="Verdana" w:hAnsi="Verdana"/>
          <w:sz w:val="20"/>
          <w:szCs w:val="20"/>
          <w:lang w:val="en-US"/>
        </w:rPr>
        <w:t>Corzo</w:t>
      </w:r>
      <w:proofErr w:type="spellEnd"/>
      <w:r>
        <w:rPr>
          <w:rFonts w:ascii="Verdana" w:hAnsi="Verdana"/>
          <w:sz w:val="20"/>
          <w:szCs w:val="20"/>
          <w:lang w:val="en-US"/>
        </w:rPr>
        <w:t xml:space="preserve"> Sosa: “A rapprochement between the two systems is something natural and worth </w:t>
      </w:r>
      <w:proofErr w:type="gramStart"/>
      <w:r>
        <w:rPr>
          <w:rFonts w:ascii="Verdana" w:hAnsi="Verdana"/>
          <w:sz w:val="20"/>
          <w:szCs w:val="20"/>
          <w:lang w:val="en-US"/>
        </w:rPr>
        <w:t>pursuing, since</w:t>
      </w:r>
      <w:proofErr w:type="gramEnd"/>
      <w:r>
        <w:rPr>
          <w:rFonts w:ascii="Verdana" w:hAnsi="Verdana"/>
          <w:sz w:val="20"/>
          <w:szCs w:val="20"/>
          <w:lang w:val="en-US"/>
        </w:rPr>
        <w:t xml:space="preserve"> they shared similar work but also face common challenges and problems. This is a great opportunity to lay the foundations for a dialogue that we hope will be permanent between both human rights protection systems, always seeking to strengthen the defense of human rights so that no one is left behind”.</w:t>
      </w:r>
    </w:p>
    <w:p w14:paraId="5C4BAFFF" w14:textId="77777777" w:rsidR="000213BE" w:rsidRDefault="000213BE" w:rsidP="000213BE">
      <w:pPr>
        <w:jc w:val="both"/>
        <w:rPr>
          <w:rFonts w:ascii="Verdana" w:hAnsi="Verdana"/>
          <w:sz w:val="20"/>
          <w:szCs w:val="20"/>
        </w:rPr>
      </w:pPr>
    </w:p>
    <w:p w14:paraId="5EABC411" w14:textId="77777777" w:rsidR="000213BE" w:rsidRDefault="000213BE" w:rsidP="000213BE">
      <w:pPr>
        <w:jc w:val="both"/>
        <w:rPr>
          <w:rFonts w:ascii="Verdana" w:hAnsi="Verdana"/>
          <w:sz w:val="20"/>
          <w:szCs w:val="20"/>
          <w:lang w:val="en-US"/>
        </w:rPr>
      </w:pPr>
      <w:r>
        <w:rPr>
          <w:rFonts w:ascii="Verdana" w:hAnsi="Verdana"/>
          <w:sz w:val="20"/>
          <w:szCs w:val="20"/>
          <w:lang w:val="en-US"/>
        </w:rPr>
        <w:t xml:space="preserve">The meeting resulted in several short- and long-term initiatives including an annual virtual meeting, bilateral meetings between the Treaty Bodies and the Inter-American Court, and case law and technical meetings between the staff. </w:t>
      </w:r>
    </w:p>
    <w:p w14:paraId="7E8DB8BB" w14:textId="77777777" w:rsidR="000213BE" w:rsidRDefault="000213BE" w:rsidP="000213BE">
      <w:pPr>
        <w:jc w:val="both"/>
        <w:rPr>
          <w:rFonts w:ascii="Verdana" w:hAnsi="Verdana"/>
          <w:sz w:val="20"/>
          <w:szCs w:val="20"/>
          <w:lang w:val="en-US"/>
        </w:rPr>
      </w:pPr>
    </w:p>
    <w:p w14:paraId="1DF4E81B" w14:textId="3EB8ACE9" w:rsidR="000213BE" w:rsidRDefault="000213BE" w:rsidP="000213BE">
      <w:pPr>
        <w:jc w:val="both"/>
        <w:rPr>
          <w:rFonts w:ascii="Verdana" w:hAnsi="Verdana"/>
          <w:sz w:val="20"/>
          <w:szCs w:val="20"/>
          <w:lang w:val="en-US"/>
        </w:rPr>
      </w:pPr>
      <w:r>
        <w:rPr>
          <w:noProof/>
          <w:lang w:val="es-MX"/>
        </w:rPr>
        <w:drawing>
          <wp:inline distT="0" distB="0" distL="0" distR="0" wp14:anchorId="778E636C" wp14:editId="31344E9D">
            <wp:extent cx="5610225" cy="4505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0225" cy="4505325"/>
                    </a:xfrm>
                    <a:prstGeom prst="rect">
                      <a:avLst/>
                    </a:prstGeom>
                    <a:noFill/>
                    <a:ln>
                      <a:noFill/>
                    </a:ln>
                  </pic:spPr>
                </pic:pic>
              </a:graphicData>
            </a:graphic>
          </wp:inline>
        </w:drawing>
      </w:r>
    </w:p>
    <w:p w14:paraId="5779052F" w14:textId="77777777" w:rsidR="000213BE" w:rsidRDefault="000213BE" w:rsidP="000213BE">
      <w:pPr>
        <w:jc w:val="both"/>
        <w:rPr>
          <w:rFonts w:ascii="Verdana" w:hAnsi="Verdana"/>
          <w:sz w:val="20"/>
          <w:szCs w:val="20"/>
          <w:lang w:val="en-US"/>
        </w:rPr>
      </w:pPr>
    </w:p>
    <w:p w14:paraId="58C8D0D0" w14:textId="77777777" w:rsidR="000213BE" w:rsidRDefault="000213BE" w:rsidP="000213BE">
      <w:pPr>
        <w:jc w:val="both"/>
        <w:rPr>
          <w:lang w:val="es-MX"/>
        </w:rPr>
      </w:pPr>
    </w:p>
    <w:p w14:paraId="2AFF9541" w14:textId="77777777" w:rsidR="000213BE" w:rsidRDefault="000213BE" w:rsidP="000213BE">
      <w:pPr>
        <w:jc w:val="both"/>
        <w:rPr>
          <w:rFonts w:ascii="Verdana" w:hAnsi="Verdana"/>
          <w:b/>
          <w:bCs/>
          <w:sz w:val="20"/>
          <w:szCs w:val="20"/>
          <w:lang w:val="en-US"/>
        </w:rPr>
      </w:pPr>
      <w:r>
        <w:rPr>
          <w:rFonts w:ascii="Verdana" w:hAnsi="Verdana"/>
          <w:b/>
          <w:bCs/>
          <w:sz w:val="20"/>
          <w:szCs w:val="20"/>
          <w:lang w:val="en-US"/>
        </w:rPr>
        <w:t>PARTICIPANTS</w:t>
      </w:r>
    </w:p>
    <w:p w14:paraId="2A0DA25A" w14:textId="77777777" w:rsidR="000213BE" w:rsidRDefault="000213BE" w:rsidP="000213BE">
      <w:pPr>
        <w:jc w:val="both"/>
        <w:rPr>
          <w:rFonts w:ascii="Verdana" w:hAnsi="Verdana"/>
          <w:sz w:val="20"/>
          <w:szCs w:val="20"/>
          <w:lang w:val="en-US"/>
        </w:rPr>
      </w:pPr>
    </w:p>
    <w:p w14:paraId="681A11F6" w14:textId="77777777" w:rsidR="000213BE" w:rsidRDefault="000213BE" w:rsidP="000213BE">
      <w:pPr>
        <w:jc w:val="both"/>
        <w:rPr>
          <w:rFonts w:ascii="Verdana" w:hAnsi="Verdana"/>
          <w:b/>
          <w:bCs/>
          <w:sz w:val="20"/>
          <w:szCs w:val="20"/>
          <w:lang w:val="en-US"/>
        </w:rPr>
      </w:pPr>
      <w:r>
        <w:rPr>
          <w:rFonts w:ascii="Verdana" w:hAnsi="Verdana"/>
          <w:b/>
          <w:bCs/>
          <w:sz w:val="20"/>
          <w:szCs w:val="20"/>
          <w:lang w:val="en-US"/>
        </w:rPr>
        <w:t>Judges that participated in the meeting representing the Interamerican Court of Human Rights</w:t>
      </w:r>
    </w:p>
    <w:p w14:paraId="4B2FFE35" w14:textId="77777777" w:rsidR="000213BE" w:rsidRDefault="000213BE" w:rsidP="000213BE">
      <w:pPr>
        <w:jc w:val="both"/>
        <w:rPr>
          <w:rFonts w:ascii="Verdana" w:hAnsi="Verdana"/>
          <w:b/>
          <w:bCs/>
          <w:sz w:val="20"/>
          <w:szCs w:val="20"/>
          <w:lang w:val="en-US"/>
        </w:rPr>
      </w:pPr>
    </w:p>
    <w:p w14:paraId="0B380A0E" w14:textId="77777777" w:rsidR="000213BE" w:rsidRDefault="000213BE" w:rsidP="000213BE">
      <w:pPr>
        <w:rPr>
          <w:lang w:val="en-US"/>
        </w:rPr>
      </w:pPr>
      <w:r>
        <w:t xml:space="preserve">           </w:t>
      </w:r>
      <w:r>
        <w:tab/>
        <w:t xml:space="preserve">Mr. Ricardo C. Pérez Manrique – </w:t>
      </w:r>
      <w:r>
        <w:rPr>
          <w:lang w:val="en-US"/>
        </w:rPr>
        <w:t>President, Judge, Interamerican Court of Human Rights</w:t>
      </w:r>
    </w:p>
    <w:p w14:paraId="7FE6638B" w14:textId="77777777" w:rsidR="000213BE" w:rsidRDefault="000213BE" w:rsidP="000213BE">
      <w:pPr>
        <w:ind w:firstLine="720"/>
        <w:rPr>
          <w:lang w:val="en-US"/>
        </w:rPr>
      </w:pPr>
      <w:r>
        <w:rPr>
          <w:lang w:val="en-US"/>
        </w:rPr>
        <w:t xml:space="preserve">Mr. Eduardo Ferrer Mac-Gregor </w:t>
      </w:r>
      <w:proofErr w:type="spellStart"/>
      <w:r>
        <w:rPr>
          <w:lang w:val="en-US"/>
        </w:rPr>
        <w:t>Poisot</w:t>
      </w:r>
      <w:proofErr w:type="spellEnd"/>
      <w:r>
        <w:rPr>
          <w:lang w:val="en-US"/>
        </w:rPr>
        <w:t>, Judge, Vice-President, Interamerican Court of Human Rights</w:t>
      </w:r>
    </w:p>
    <w:p w14:paraId="4485CEFF" w14:textId="77777777" w:rsidR="000213BE" w:rsidRDefault="000213BE" w:rsidP="000213BE">
      <w:pPr>
        <w:ind w:firstLine="720"/>
        <w:rPr>
          <w:lang w:val="en-US"/>
        </w:rPr>
      </w:pPr>
      <w:r>
        <w:rPr>
          <w:lang w:val="en-US"/>
        </w:rPr>
        <w:t>Mr. Humberto Antonio Sierra Porto, Judge, Interamerican Court of Human Rights</w:t>
      </w:r>
    </w:p>
    <w:p w14:paraId="5C62DE15" w14:textId="77777777" w:rsidR="000213BE" w:rsidRDefault="000213BE" w:rsidP="000213BE">
      <w:pPr>
        <w:ind w:firstLine="720"/>
        <w:rPr>
          <w:lang w:val="en-US"/>
        </w:rPr>
      </w:pPr>
      <w:r>
        <w:t xml:space="preserve">Ms. Nancy Hernández López, Judge, </w:t>
      </w:r>
      <w:r>
        <w:rPr>
          <w:lang w:val="en-US"/>
        </w:rPr>
        <w:t>Interamerican Court of Human Rights</w:t>
      </w:r>
    </w:p>
    <w:p w14:paraId="57EEB67A" w14:textId="77777777" w:rsidR="000213BE" w:rsidRDefault="000213BE" w:rsidP="000213BE">
      <w:pPr>
        <w:ind w:firstLine="720"/>
        <w:rPr>
          <w:lang w:val="en-US"/>
        </w:rPr>
      </w:pPr>
      <w:r>
        <w:rPr>
          <w:lang w:val="en-US"/>
        </w:rPr>
        <w:t xml:space="preserve">Ms. Verónica Gómez, Judge, Interamerican Court of Human Rights </w:t>
      </w:r>
    </w:p>
    <w:p w14:paraId="7BDB40E8" w14:textId="77777777" w:rsidR="000213BE" w:rsidRDefault="000213BE" w:rsidP="000213BE">
      <w:pPr>
        <w:ind w:firstLine="720"/>
        <w:rPr>
          <w:lang w:val="en-US"/>
        </w:rPr>
      </w:pPr>
      <w:r>
        <w:rPr>
          <w:lang w:val="en-US"/>
        </w:rPr>
        <w:t>Ms. Patricia Pérez Goldberg, Judge, Interamerican Court of Human Rights</w:t>
      </w:r>
    </w:p>
    <w:p w14:paraId="2555F546" w14:textId="77777777" w:rsidR="000213BE" w:rsidRDefault="000213BE" w:rsidP="000213BE">
      <w:pPr>
        <w:rPr>
          <w:rFonts w:asciiTheme="minorHAnsi" w:hAnsiTheme="minorHAnsi" w:cstheme="minorBidi"/>
          <w:sz w:val="22"/>
          <w:szCs w:val="22"/>
          <w:lang w:val="en-US"/>
        </w:rPr>
      </w:pPr>
      <w:r>
        <w:rPr>
          <w:rFonts w:asciiTheme="minorHAnsi" w:hAnsiTheme="minorHAnsi" w:cstheme="minorBidi"/>
          <w:sz w:val="22"/>
          <w:szCs w:val="22"/>
          <w:lang w:val="en-US"/>
        </w:rPr>
        <w:tab/>
        <w:t xml:space="preserve">Mr. Rodrigo </w:t>
      </w:r>
      <w:proofErr w:type="spellStart"/>
      <w:r>
        <w:rPr>
          <w:rFonts w:asciiTheme="minorHAnsi" w:hAnsiTheme="minorHAnsi" w:cstheme="minorBidi"/>
          <w:sz w:val="22"/>
          <w:szCs w:val="22"/>
          <w:lang w:val="en-US"/>
        </w:rPr>
        <w:t>Mudrovitsch</w:t>
      </w:r>
      <w:proofErr w:type="spellEnd"/>
      <w:r>
        <w:rPr>
          <w:rFonts w:asciiTheme="minorHAnsi" w:hAnsiTheme="minorHAnsi" w:cstheme="minorBidi"/>
          <w:sz w:val="22"/>
          <w:szCs w:val="22"/>
          <w:lang w:val="en-US"/>
        </w:rPr>
        <w:t xml:space="preserve">, Judge, </w:t>
      </w:r>
      <w:r>
        <w:rPr>
          <w:lang w:val="en-US"/>
        </w:rPr>
        <w:t>Interamerican Court of Human Rights</w:t>
      </w:r>
    </w:p>
    <w:p w14:paraId="6DAF54F8" w14:textId="77777777" w:rsidR="000213BE" w:rsidRDefault="000213BE" w:rsidP="000213BE">
      <w:pPr>
        <w:ind w:firstLine="720"/>
      </w:pPr>
    </w:p>
    <w:p w14:paraId="7A5BA66D" w14:textId="77777777" w:rsidR="000213BE" w:rsidRDefault="000213BE" w:rsidP="000213BE">
      <w:pPr>
        <w:rPr>
          <w:b/>
          <w:bCs/>
        </w:rPr>
      </w:pPr>
    </w:p>
    <w:p w14:paraId="290C9903" w14:textId="77777777" w:rsidR="000213BE" w:rsidRDefault="000213BE" w:rsidP="000213BE">
      <w:pPr>
        <w:rPr>
          <w:b/>
          <w:bCs/>
        </w:rPr>
      </w:pPr>
      <w:r>
        <w:rPr>
          <w:b/>
          <w:bCs/>
        </w:rPr>
        <w:t>Chairs and Committee Members that participated in the meeting representing the Human Rights Treaty Bodies</w:t>
      </w:r>
    </w:p>
    <w:p w14:paraId="6356D3D7" w14:textId="77777777" w:rsidR="000213BE" w:rsidRDefault="000213BE" w:rsidP="000213BE">
      <w:pPr>
        <w:ind w:firstLine="426"/>
      </w:pPr>
    </w:p>
    <w:p w14:paraId="1509D173" w14:textId="77777777" w:rsidR="000213BE" w:rsidRDefault="000213BE" w:rsidP="000213BE">
      <w:pPr>
        <w:ind w:firstLine="720"/>
      </w:pPr>
      <w:r>
        <w:t xml:space="preserve">Mr. Michal </w:t>
      </w:r>
      <w:proofErr w:type="spellStart"/>
      <w:r>
        <w:t>Balcerzak</w:t>
      </w:r>
      <w:proofErr w:type="spellEnd"/>
      <w:r>
        <w:t>, Vice-Chair, Committee on the Elimination of Racial Discrimination</w:t>
      </w:r>
    </w:p>
    <w:p w14:paraId="34B4E34C" w14:textId="77777777" w:rsidR="000213BE" w:rsidRDefault="000213BE" w:rsidP="000213BE">
      <w:pPr>
        <w:ind w:firstLine="720"/>
      </w:pPr>
      <w:r>
        <w:t>Ms. Marion Bethel, Vice-Chair and Rapporteur, Committee on the Elimination of Discrimination Against Women</w:t>
      </w:r>
    </w:p>
    <w:p w14:paraId="1A80AF22" w14:textId="77777777" w:rsidR="000213BE" w:rsidRDefault="000213BE" w:rsidP="000213BE">
      <w:pPr>
        <w:ind w:firstLine="720"/>
      </w:pPr>
      <w:r>
        <w:t xml:space="preserve">Mr. Edgar </w:t>
      </w:r>
      <w:proofErr w:type="spellStart"/>
      <w:r>
        <w:t>Corzo</w:t>
      </w:r>
      <w:proofErr w:type="spellEnd"/>
      <w:r>
        <w:t xml:space="preserve"> Sosa, Chairperson, Committee on Migrant Workers</w:t>
      </w:r>
    </w:p>
    <w:p w14:paraId="55CB5AA1" w14:textId="77777777" w:rsidR="000213BE" w:rsidRDefault="000213BE" w:rsidP="000213BE">
      <w:pPr>
        <w:ind w:firstLine="720"/>
      </w:pPr>
      <w:r>
        <w:rPr>
          <w:lang w:val="en-US"/>
        </w:rPr>
        <w:t xml:space="preserve">Mr. Claude Heller, </w:t>
      </w:r>
      <w:r>
        <w:t>Chairperson</w:t>
      </w:r>
      <w:r>
        <w:rPr>
          <w:lang w:val="en-US"/>
        </w:rPr>
        <w:t xml:space="preserve">, Committee </w:t>
      </w:r>
      <w:r>
        <w:t>against Torture</w:t>
      </w:r>
    </w:p>
    <w:p w14:paraId="7560C3ED" w14:textId="77777777" w:rsidR="000213BE" w:rsidRDefault="000213BE" w:rsidP="000213BE">
      <w:pPr>
        <w:ind w:firstLine="720"/>
      </w:pPr>
      <w:r>
        <w:rPr>
          <w:lang w:val="en-US"/>
        </w:rPr>
        <w:t xml:space="preserve">Ms. Rosemary </w:t>
      </w:r>
      <w:proofErr w:type="spellStart"/>
      <w:r>
        <w:rPr>
          <w:lang w:val="en-US"/>
        </w:rPr>
        <w:t>Kayess</w:t>
      </w:r>
      <w:proofErr w:type="spellEnd"/>
      <w:r>
        <w:rPr>
          <w:lang w:val="en-US"/>
        </w:rPr>
        <w:t xml:space="preserve">, Chairperson, </w:t>
      </w:r>
      <w:r>
        <w:t>Committee on the Rights of Persons with Disabilities</w:t>
      </w:r>
    </w:p>
    <w:p w14:paraId="1C495B74" w14:textId="77777777" w:rsidR="000213BE" w:rsidRDefault="000213BE" w:rsidP="000213BE">
      <w:pPr>
        <w:ind w:firstLine="720"/>
      </w:pPr>
      <w:r>
        <w:t xml:space="preserve">Ms. </w:t>
      </w:r>
      <w:proofErr w:type="spellStart"/>
      <w:r>
        <w:t>Mikiko</w:t>
      </w:r>
      <w:proofErr w:type="spellEnd"/>
      <w:r>
        <w:t xml:space="preserve"> Otani, Chairperson, Committee on the Rights of the Child</w:t>
      </w:r>
    </w:p>
    <w:p w14:paraId="45462A76" w14:textId="77777777" w:rsidR="000213BE" w:rsidRDefault="000213BE" w:rsidP="000213BE">
      <w:pPr>
        <w:ind w:firstLine="720"/>
      </w:pPr>
      <w:r>
        <w:t xml:space="preserve">Mr. </w:t>
      </w:r>
      <w:proofErr w:type="spellStart"/>
      <w:r>
        <w:t>Hernán</w:t>
      </w:r>
      <w:proofErr w:type="spellEnd"/>
      <w:r>
        <w:t xml:space="preserve"> Quezada, Focal Point for the Inter-American Human Rights System, Human Rights Committee</w:t>
      </w:r>
    </w:p>
    <w:p w14:paraId="2FD7C8FC" w14:textId="77777777" w:rsidR="000213BE" w:rsidRDefault="000213BE" w:rsidP="000213BE">
      <w:pPr>
        <w:ind w:firstLine="720"/>
      </w:pPr>
      <w:r>
        <w:t xml:space="preserve">Ms Lydia </w:t>
      </w:r>
      <w:proofErr w:type="spellStart"/>
      <w:r>
        <w:t>Ravenberg</w:t>
      </w:r>
      <w:proofErr w:type="spellEnd"/>
      <w:r>
        <w:t xml:space="preserve">, Vice-Chair, Committee on Economic, Social and Cultural Rights, </w:t>
      </w:r>
    </w:p>
    <w:p w14:paraId="235220B2" w14:textId="04463667" w:rsidR="00446FE5" w:rsidRPr="00770252" w:rsidRDefault="000213BE" w:rsidP="000213BE">
      <w:pPr>
        <w:rPr>
          <w:lang w:val="en-US"/>
        </w:rPr>
      </w:pPr>
      <w:r>
        <w:t>Ms. Carmen Rosa Villa, Chairperson, Committee on Enforced Disappearances</w:t>
      </w:r>
    </w:p>
    <w:sectPr w:rsidR="00446FE5" w:rsidRPr="00770252" w:rsidSect="00382A1F">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0F9C9" w14:textId="77777777" w:rsidR="000213BE" w:rsidRDefault="000213BE" w:rsidP="00F95C08"/>
  </w:endnote>
  <w:endnote w:type="continuationSeparator" w:id="0">
    <w:p w14:paraId="41B09AC4" w14:textId="77777777" w:rsidR="000213BE" w:rsidRPr="00AC3823" w:rsidRDefault="000213BE" w:rsidP="00AC3823">
      <w:pPr>
        <w:pStyle w:val="Footer"/>
      </w:pPr>
    </w:p>
  </w:endnote>
  <w:endnote w:type="continuationNotice" w:id="1">
    <w:p w14:paraId="1602DB87" w14:textId="77777777" w:rsidR="000213BE" w:rsidRDefault="000213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D1678" w14:textId="77777777" w:rsidR="000213BE" w:rsidRPr="00AC3823" w:rsidRDefault="000213BE" w:rsidP="00AC3823">
      <w:pPr>
        <w:pStyle w:val="Footer"/>
        <w:tabs>
          <w:tab w:val="right" w:pos="2155"/>
        </w:tabs>
        <w:spacing w:after="80" w:line="240" w:lineRule="atLeast"/>
        <w:ind w:left="680"/>
        <w:rPr>
          <w:u w:val="single"/>
        </w:rPr>
      </w:pPr>
      <w:r>
        <w:rPr>
          <w:u w:val="single"/>
        </w:rPr>
        <w:tab/>
      </w:r>
    </w:p>
  </w:footnote>
  <w:footnote w:type="continuationSeparator" w:id="0">
    <w:p w14:paraId="4027808F" w14:textId="77777777" w:rsidR="000213BE" w:rsidRPr="00AC3823" w:rsidRDefault="000213BE" w:rsidP="00AC3823">
      <w:pPr>
        <w:pStyle w:val="Footer"/>
        <w:tabs>
          <w:tab w:val="right" w:pos="2155"/>
        </w:tabs>
        <w:spacing w:after="80" w:line="240" w:lineRule="atLeast"/>
        <w:ind w:left="680"/>
        <w:rPr>
          <w:u w:val="single"/>
        </w:rPr>
      </w:pPr>
      <w:r>
        <w:rPr>
          <w:u w:val="single"/>
        </w:rPr>
        <w:tab/>
      </w:r>
    </w:p>
  </w:footnote>
  <w:footnote w:type="continuationNotice" w:id="1">
    <w:p w14:paraId="136A9C0D" w14:textId="77777777" w:rsidR="000213BE" w:rsidRPr="00AC3823" w:rsidRDefault="000213BE">
      <w:pPr>
        <w:rPr>
          <w:sz w:val="2"/>
          <w:szCs w:val="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2031368730">
    <w:abstractNumId w:val="13"/>
  </w:num>
  <w:num w:numId="2" w16cid:durableId="1120031125">
    <w:abstractNumId w:val="11"/>
  </w:num>
  <w:num w:numId="3" w16cid:durableId="258566646">
    <w:abstractNumId w:val="10"/>
  </w:num>
  <w:num w:numId="4" w16cid:durableId="161433858">
    <w:abstractNumId w:val="8"/>
  </w:num>
  <w:num w:numId="5" w16cid:durableId="1442842498">
    <w:abstractNumId w:val="3"/>
  </w:num>
  <w:num w:numId="6" w16cid:durableId="334113425">
    <w:abstractNumId w:val="2"/>
  </w:num>
  <w:num w:numId="7" w16cid:durableId="938024668">
    <w:abstractNumId w:val="1"/>
  </w:num>
  <w:num w:numId="8" w16cid:durableId="220288903">
    <w:abstractNumId w:val="0"/>
  </w:num>
  <w:num w:numId="9" w16cid:durableId="902058989">
    <w:abstractNumId w:val="9"/>
  </w:num>
  <w:num w:numId="10" w16cid:durableId="183829289">
    <w:abstractNumId w:val="7"/>
  </w:num>
  <w:num w:numId="11" w16cid:durableId="923564909">
    <w:abstractNumId w:val="6"/>
  </w:num>
  <w:num w:numId="12" w16cid:durableId="198473418">
    <w:abstractNumId w:val="5"/>
  </w:num>
  <w:num w:numId="13" w16cid:durableId="596794061">
    <w:abstractNumId w:val="4"/>
  </w:num>
  <w:num w:numId="14" w16cid:durableId="878786738">
    <w:abstractNumId w:val="12"/>
  </w:num>
  <w:num w:numId="15" w16cid:durableId="11265059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3BE"/>
    <w:rsid w:val="00017F94"/>
    <w:rsid w:val="000213BE"/>
    <w:rsid w:val="00023842"/>
    <w:rsid w:val="000334F9"/>
    <w:rsid w:val="0007796D"/>
    <w:rsid w:val="000B7790"/>
    <w:rsid w:val="000C390E"/>
    <w:rsid w:val="00111F2F"/>
    <w:rsid w:val="0014365E"/>
    <w:rsid w:val="0014660A"/>
    <w:rsid w:val="00150DB2"/>
    <w:rsid w:val="00176178"/>
    <w:rsid w:val="001F525A"/>
    <w:rsid w:val="00223272"/>
    <w:rsid w:val="0024779E"/>
    <w:rsid w:val="00291F1D"/>
    <w:rsid w:val="0029407C"/>
    <w:rsid w:val="00350987"/>
    <w:rsid w:val="00353ED5"/>
    <w:rsid w:val="00382A1F"/>
    <w:rsid w:val="00390178"/>
    <w:rsid w:val="003D1AD0"/>
    <w:rsid w:val="00446FE5"/>
    <w:rsid w:val="00452396"/>
    <w:rsid w:val="004D1CEB"/>
    <w:rsid w:val="005505B7"/>
    <w:rsid w:val="005706C8"/>
    <w:rsid w:val="00573BE5"/>
    <w:rsid w:val="00586ED3"/>
    <w:rsid w:val="00596AA9"/>
    <w:rsid w:val="006122C4"/>
    <w:rsid w:val="006E2C9B"/>
    <w:rsid w:val="0071601D"/>
    <w:rsid w:val="0076624F"/>
    <w:rsid w:val="00766CEC"/>
    <w:rsid w:val="00770252"/>
    <w:rsid w:val="007A62E6"/>
    <w:rsid w:val="0080684C"/>
    <w:rsid w:val="00815502"/>
    <w:rsid w:val="00845D2D"/>
    <w:rsid w:val="00871C75"/>
    <w:rsid w:val="008776DC"/>
    <w:rsid w:val="008F2A1D"/>
    <w:rsid w:val="00957790"/>
    <w:rsid w:val="009705C8"/>
    <w:rsid w:val="00A12AB5"/>
    <w:rsid w:val="00AC3823"/>
    <w:rsid w:val="00AE323C"/>
    <w:rsid w:val="00AE7D9F"/>
    <w:rsid w:val="00B00181"/>
    <w:rsid w:val="00B43C66"/>
    <w:rsid w:val="00B55090"/>
    <w:rsid w:val="00B765F7"/>
    <w:rsid w:val="00BA0CA9"/>
    <w:rsid w:val="00BB3E59"/>
    <w:rsid w:val="00BE1F4C"/>
    <w:rsid w:val="00BE4745"/>
    <w:rsid w:val="00BF3C2C"/>
    <w:rsid w:val="00C02897"/>
    <w:rsid w:val="00CF3AE1"/>
    <w:rsid w:val="00D3439C"/>
    <w:rsid w:val="00D40AEB"/>
    <w:rsid w:val="00DA22F4"/>
    <w:rsid w:val="00DB1831"/>
    <w:rsid w:val="00DD3BFD"/>
    <w:rsid w:val="00DF6678"/>
    <w:rsid w:val="00E22CF2"/>
    <w:rsid w:val="00E33F14"/>
    <w:rsid w:val="00E44A12"/>
    <w:rsid w:val="00E52D9F"/>
    <w:rsid w:val="00F12269"/>
    <w:rsid w:val="00F164B0"/>
    <w:rsid w:val="00F660DF"/>
    <w:rsid w:val="00F80094"/>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765DA"/>
  <w15:chartTrackingRefBased/>
  <w15:docId w15:val="{3DD435ED-091D-423F-9E42-ECE64CD39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fr-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3BE"/>
    <w:rPr>
      <w:rFonts w:ascii="Calibri" w:hAnsi="Calibri" w:cs="Calibri"/>
      <w:sz w:val="24"/>
      <w:szCs w:val="24"/>
      <w:lang w:val="en-GB"/>
    </w:rPr>
  </w:style>
  <w:style w:type="paragraph" w:styleId="Heading1">
    <w:name w:val="heading 1"/>
    <w:aliases w:val="Table_G"/>
    <w:basedOn w:val="SingleTxtG"/>
    <w:next w:val="SingleTxtG"/>
    <w:link w:val="Heading1Char"/>
    <w:qFormat/>
    <w:rsid w:val="0080684C"/>
    <w:pPr>
      <w:keepNext/>
      <w:keepLines/>
      <w:spacing w:after="0"/>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pPr>
    <w:rPr>
      <w:rFonts w:eastAsia="Times New Roman"/>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957790"/>
    <w:rPr>
      <w:color w:val="0000FF"/>
      <w:u w:val="none"/>
    </w:rPr>
  </w:style>
  <w:style w:type="character" w:styleId="FollowedHyperlink">
    <w:name w:val="FollowedHyperlink"/>
    <w:basedOn w:val="DefaultParagraphFont"/>
    <w:semiHidden/>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15"/>
      </w:numPr>
      <w:tabs>
        <w:tab w:val="clear" w:pos="1701"/>
      </w:tabs>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9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2818</Characters>
  <Application>Microsoft Office Word</Application>
  <DocSecurity>0</DocSecurity>
  <Lines>23</Lines>
  <Paragraphs>6</Paragraphs>
  <ScaleCrop>false</ScaleCrop>
  <Company>OHCHR</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Denise</cp:lastModifiedBy>
  <cp:revision>1</cp:revision>
  <cp:lastPrinted>2014-05-14T10:59:00Z</cp:lastPrinted>
  <dcterms:created xsi:type="dcterms:W3CDTF">2023-02-28T16:31:00Z</dcterms:created>
  <dcterms:modified xsi:type="dcterms:W3CDTF">2023-02-28T16:32:00Z</dcterms:modified>
</cp:coreProperties>
</file>