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14:paraId="60B46741" w14:textId="77777777" w:rsidTr="00152481">
        <w:trPr>
          <w:trHeight w:hRule="exact" w:val="851"/>
        </w:trPr>
        <w:tc>
          <w:tcPr>
            <w:tcW w:w="1276" w:type="dxa"/>
            <w:tcBorders>
              <w:bottom w:val="single" w:sz="4" w:space="0" w:color="auto"/>
            </w:tcBorders>
          </w:tcPr>
          <w:p w14:paraId="718D8549" w14:textId="77777777" w:rsidR="00B4770A" w:rsidRPr="00DB58B5" w:rsidRDefault="00B4770A" w:rsidP="00152481"/>
        </w:tc>
        <w:tc>
          <w:tcPr>
            <w:tcW w:w="2268" w:type="dxa"/>
            <w:tcBorders>
              <w:bottom w:val="single" w:sz="4" w:space="0" w:color="auto"/>
            </w:tcBorders>
            <w:vAlign w:val="bottom"/>
          </w:tcPr>
          <w:p w14:paraId="5D3F2B04" w14:textId="77777777"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622F10" w14:textId="677E734B" w:rsidR="00B4770A" w:rsidRPr="00DB58B5" w:rsidRDefault="00A45A13" w:rsidP="00A45A13">
            <w:pPr>
              <w:jc w:val="right"/>
            </w:pPr>
            <w:r w:rsidRPr="00A45A13">
              <w:rPr>
                <w:sz w:val="40"/>
              </w:rPr>
              <w:t>CAT</w:t>
            </w:r>
            <w:r>
              <w:t>/OP/SP/20/Add.1</w:t>
            </w:r>
          </w:p>
        </w:tc>
      </w:tr>
      <w:tr w:rsidR="00B4770A" w:rsidRPr="00DB58B5" w14:paraId="0FF45484" w14:textId="77777777" w:rsidTr="00152481">
        <w:trPr>
          <w:trHeight w:hRule="exact" w:val="2835"/>
        </w:trPr>
        <w:tc>
          <w:tcPr>
            <w:tcW w:w="1276" w:type="dxa"/>
            <w:tcBorders>
              <w:top w:val="single" w:sz="4" w:space="0" w:color="auto"/>
              <w:bottom w:val="single" w:sz="12" w:space="0" w:color="auto"/>
            </w:tcBorders>
          </w:tcPr>
          <w:p w14:paraId="03EA1EC7" w14:textId="77777777" w:rsidR="00B4770A" w:rsidRPr="00DB58B5" w:rsidRDefault="00B4770A" w:rsidP="00152481">
            <w:pPr>
              <w:spacing w:before="120"/>
              <w:jc w:val="center"/>
            </w:pPr>
            <w:r>
              <w:rPr>
                <w:noProof/>
                <w:lang w:eastAsia="fr-CH"/>
              </w:rPr>
              <w:drawing>
                <wp:inline distT="0" distB="0" distL="0" distR="0" wp14:anchorId="22933FF6" wp14:editId="060981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AB7CED" w14:textId="77777777"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14:paraId="5AC57EAD" w14:textId="77777777" w:rsidR="00B4770A" w:rsidRDefault="00A45A13" w:rsidP="00152481">
            <w:pPr>
              <w:spacing w:before="240"/>
            </w:pPr>
            <w:proofErr w:type="spellStart"/>
            <w:r>
              <w:t>Distr</w:t>
            </w:r>
            <w:proofErr w:type="spellEnd"/>
            <w:r>
              <w:t xml:space="preserve">. </w:t>
            </w:r>
            <w:proofErr w:type="gramStart"/>
            <w:r>
              <w:t>générale</w:t>
            </w:r>
            <w:proofErr w:type="gramEnd"/>
          </w:p>
          <w:p w14:paraId="3A18C5AC" w14:textId="77777777" w:rsidR="00A45A13" w:rsidRDefault="00A45A13" w:rsidP="00A45A13">
            <w:pPr>
              <w:spacing w:line="240" w:lineRule="exact"/>
            </w:pPr>
            <w:r>
              <w:t>7 septembre 2022</w:t>
            </w:r>
          </w:p>
          <w:p w14:paraId="43D68E0B" w14:textId="77777777" w:rsidR="00A45A13" w:rsidRDefault="00A45A13" w:rsidP="00A45A13">
            <w:pPr>
              <w:spacing w:line="240" w:lineRule="exact"/>
            </w:pPr>
            <w:r>
              <w:t>Français</w:t>
            </w:r>
          </w:p>
          <w:p w14:paraId="18E478A0" w14:textId="30D8F876" w:rsidR="00A45A13" w:rsidRPr="00DB58B5" w:rsidRDefault="00A45A13" w:rsidP="00A45A13">
            <w:pPr>
              <w:spacing w:line="240" w:lineRule="exact"/>
            </w:pPr>
            <w:r>
              <w:t>Original : anglais</w:t>
            </w:r>
          </w:p>
        </w:tc>
      </w:tr>
    </w:tbl>
    <w:p w14:paraId="6BDC9D59" w14:textId="77777777" w:rsidR="00E304F0" w:rsidRPr="00FA2C7F" w:rsidRDefault="00E304F0" w:rsidP="00E304F0">
      <w:pPr>
        <w:spacing w:before="120"/>
        <w:rPr>
          <w:b/>
          <w:bCs/>
          <w:sz w:val="24"/>
          <w:szCs w:val="24"/>
          <w:lang w:val="fr-FR"/>
        </w:rPr>
      </w:pPr>
      <w:r w:rsidRPr="00FA2C7F">
        <w:rPr>
          <w:b/>
          <w:bCs/>
          <w:sz w:val="24"/>
          <w:szCs w:val="24"/>
          <w:lang w:val="fr-FR"/>
        </w:rPr>
        <w:t>Réunion des États parties</w:t>
      </w:r>
    </w:p>
    <w:p w14:paraId="098D54F9" w14:textId="77777777" w:rsidR="00E304F0" w:rsidRPr="00FA2C7F" w:rsidRDefault="00E304F0" w:rsidP="00E304F0">
      <w:pPr>
        <w:rPr>
          <w:b/>
          <w:bCs/>
          <w:lang w:val="fr-FR"/>
        </w:rPr>
      </w:pPr>
      <w:r w:rsidRPr="00FA2C7F">
        <w:rPr>
          <w:b/>
          <w:bCs/>
          <w:lang w:val="fr-FR"/>
        </w:rPr>
        <w:t>Neuvième réunion</w:t>
      </w:r>
    </w:p>
    <w:p w14:paraId="0E018ED4" w14:textId="77777777" w:rsidR="00E304F0" w:rsidRPr="00FA2C7F" w:rsidRDefault="00E304F0" w:rsidP="00E304F0">
      <w:pPr>
        <w:rPr>
          <w:lang w:val="fr-FR"/>
        </w:rPr>
      </w:pPr>
      <w:r w:rsidRPr="00FA2C7F">
        <w:rPr>
          <w:lang w:val="fr-FR"/>
        </w:rPr>
        <w:t>Genève, 20 octobre 2022</w:t>
      </w:r>
    </w:p>
    <w:p w14:paraId="6CD12198" w14:textId="77777777" w:rsidR="00E304F0" w:rsidRPr="00FA2C7F" w:rsidRDefault="00E304F0" w:rsidP="00E304F0">
      <w:pPr>
        <w:rPr>
          <w:lang w:val="fr-FR"/>
        </w:rPr>
      </w:pPr>
      <w:r w:rsidRPr="00FA2C7F">
        <w:rPr>
          <w:lang w:val="fr-FR"/>
        </w:rPr>
        <w:t>Point 5 de l</w:t>
      </w:r>
      <w:r>
        <w:rPr>
          <w:lang w:val="fr-FR"/>
        </w:rPr>
        <w:t>’</w:t>
      </w:r>
      <w:r w:rsidRPr="00FA2C7F">
        <w:rPr>
          <w:lang w:val="fr-FR"/>
        </w:rPr>
        <w:t>ordre du jour provisoire</w:t>
      </w:r>
    </w:p>
    <w:p w14:paraId="2E02C878" w14:textId="2780DEA6" w:rsidR="00E304F0" w:rsidRPr="00FA2C7F" w:rsidRDefault="00E304F0" w:rsidP="00E304F0">
      <w:pPr>
        <w:rPr>
          <w:b/>
          <w:bCs/>
          <w:lang w:val="fr-FR"/>
        </w:rPr>
      </w:pPr>
      <w:r w:rsidRPr="00FA2C7F">
        <w:rPr>
          <w:b/>
          <w:bCs/>
          <w:lang w:val="fr-FR"/>
        </w:rPr>
        <w:t xml:space="preserve">Élection, conformément aux articles 7 et 9 du Protocole facultatif </w:t>
      </w:r>
      <w:r w:rsidRPr="00FA2C7F">
        <w:rPr>
          <w:b/>
          <w:bCs/>
          <w:lang w:val="fr-FR"/>
        </w:rPr>
        <w:br/>
        <w:t xml:space="preserve">se rapportant à la Convention contre la torture et autres peines </w:t>
      </w:r>
      <w:r w:rsidRPr="00FA2C7F">
        <w:rPr>
          <w:b/>
          <w:bCs/>
          <w:lang w:val="fr-FR"/>
        </w:rPr>
        <w:br/>
        <w:t>ou traitements cruels, inhumains ou dégradants, des 1</w:t>
      </w:r>
      <w:r w:rsidR="00F2249C">
        <w:rPr>
          <w:b/>
          <w:bCs/>
          <w:lang w:val="fr-FR"/>
        </w:rPr>
        <w:t>3</w:t>
      </w:r>
      <w:r w:rsidRPr="00FA2C7F">
        <w:rPr>
          <w:b/>
          <w:bCs/>
          <w:lang w:val="fr-FR"/>
        </w:rPr>
        <w:t xml:space="preserve"> futurs </w:t>
      </w:r>
      <w:r w:rsidRPr="00FA2C7F">
        <w:rPr>
          <w:b/>
          <w:bCs/>
          <w:lang w:val="fr-FR"/>
        </w:rPr>
        <w:br/>
        <w:t xml:space="preserve">membres du Sous-Comité pour la prévention de la torture </w:t>
      </w:r>
      <w:r w:rsidRPr="00FA2C7F">
        <w:rPr>
          <w:b/>
          <w:bCs/>
          <w:lang w:val="fr-FR"/>
        </w:rPr>
        <w:br/>
        <w:t xml:space="preserve">qui remplaceront les membres dont le mandat arrive </w:t>
      </w:r>
      <w:r w:rsidRPr="00FA2C7F">
        <w:rPr>
          <w:b/>
          <w:bCs/>
          <w:lang w:val="fr-FR"/>
        </w:rPr>
        <w:br/>
        <w:t>à expiration le 31 décembre 2022</w:t>
      </w:r>
      <w:r w:rsidRPr="00FA2C7F">
        <w:rPr>
          <w:lang w:val="fr-FR"/>
        </w:rPr>
        <w:t xml:space="preserve"> </w:t>
      </w:r>
    </w:p>
    <w:p w14:paraId="3BD16E00" w14:textId="77777777" w:rsidR="00E304F0" w:rsidRPr="00FA2C7F" w:rsidRDefault="00E304F0" w:rsidP="00F2249C">
      <w:pPr>
        <w:pStyle w:val="HChG"/>
        <w:rPr>
          <w:lang w:val="fr-FR"/>
        </w:rPr>
      </w:pPr>
      <w:r w:rsidRPr="00FA2C7F">
        <w:rPr>
          <w:lang w:val="fr-FR"/>
        </w:rPr>
        <w:tab/>
      </w:r>
      <w:r w:rsidRPr="00FA2C7F">
        <w:rPr>
          <w:lang w:val="fr-FR"/>
        </w:rPr>
        <w:tab/>
        <w:t>Élection de 13 membres du Sous-Comité pour la prévention de la torture et autres peines ou traitements cruels, inhumains ou dégradants</w:t>
      </w:r>
    </w:p>
    <w:p w14:paraId="6C75B7A3" w14:textId="77777777" w:rsidR="00E304F0" w:rsidRPr="00FA2C7F" w:rsidRDefault="00E304F0" w:rsidP="005A75E7">
      <w:pPr>
        <w:pStyle w:val="H1G"/>
        <w:rPr>
          <w:lang w:val="fr-FR"/>
        </w:rPr>
      </w:pPr>
      <w:r w:rsidRPr="00FA2C7F">
        <w:rPr>
          <w:lang w:val="fr-FR"/>
        </w:rPr>
        <w:tab/>
      </w:r>
      <w:r w:rsidRPr="00FA2C7F">
        <w:rPr>
          <w:lang w:val="fr-FR"/>
        </w:rPr>
        <w:tab/>
        <w:t>Note du Secrétaire général</w:t>
      </w:r>
    </w:p>
    <w:p w14:paraId="7B12C68C" w14:textId="77777777" w:rsidR="00E304F0" w:rsidRPr="00FA2C7F" w:rsidRDefault="00E304F0" w:rsidP="005A75E7">
      <w:pPr>
        <w:pStyle w:val="H23G"/>
        <w:rPr>
          <w:lang w:val="fr-FR"/>
        </w:rPr>
      </w:pPr>
      <w:r w:rsidRPr="00FA2C7F">
        <w:rPr>
          <w:lang w:val="fr-FR"/>
        </w:rPr>
        <w:tab/>
      </w:r>
      <w:r w:rsidRPr="00FA2C7F">
        <w:rPr>
          <w:lang w:val="fr-FR"/>
        </w:rPr>
        <w:tab/>
        <w:t xml:space="preserve">Additif </w:t>
      </w:r>
    </w:p>
    <w:p w14:paraId="1A57DD13" w14:textId="18863154" w:rsidR="00E304F0" w:rsidRPr="00FA2C7F" w:rsidRDefault="00E304F0" w:rsidP="00E304F0">
      <w:pPr>
        <w:pStyle w:val="SingleTxtG"/>
        <w:rPr>
          <w:lang w:val="fr-FR"/>
        </w:rPr>
      </w:pPr>
      <w:r w:rsidRPr="00FA2C7F">
        <w:rPr>
          <w:lang w:val="fr-FR"/>
        </w:rPr>
        <w:t>1.</w:t>
      </w:r>
      <w:r w:rsidRPr="00FA2C7F">
        <w:rPr>
          <w:lang w:val="fr-FR"/>
        </w:rPr>
        <w:tab/>
        <w:t xml:space="preserve">En application des articles 7 et 9 du Protocole facultatif se rapportant à la Convention </w:t>
      </w:r>
      <w:proofErr w:type="gramStart"/>
      <w:r w:rsidRPr="00FA2C7F">
        <w:rPr>
          <w:lang w:val="fr-FR"/>
        </w:rPr>
        <w:t>contre</w:t>
      </w:r>
      <w:proofErr w:type="gramEnd"/>
      <w:r w:rsidRPr="00FA2C7F">
        <w:rPr>
          <w:lang w:val="fr-FR"/>
        </w:rPr>
        <w:t xml:space="preserve"> la torture et autres peines ou traitements cruels, inhumains ou dégradants, le Secrétaire général convoquera à l</w:t>
      </w:r>
      <w:r>
        <w:rPr>
          <w:lang w:val="fr-FR"/>
        </w:rPr>
        <w:t>’</w:t>
      </w:r>
      <w:r w:rsidRPr="00FA2C7F">
        <w:rPr>
          <w:lang w:val="fr-FR"/>
        </w:rPr>
        <w:t>Office des Nations Unies à Genève, le 20</w:t>
      </w:r>
      <w:r w:rsidR="004C31C2">
        <w:rPr>
          <w:lang w:val="fr-FR"/>
        </w:rPr>
        <w:t> </w:t>
      </w:r>
      <w:r w:rsidRPr="00FA2C7F">
        <w:rPr>
          <w:lang w:val="fr-FR"/>
        </w:rPr>
        <w:t>octobre 2022, la neuvième réunion des États parties au Protocole facultatif, au cours de laquelle seront élus les 13</w:t>
      </w:r>
      <w:r w:rsidR="004C31C2">
        <w:rPr>
          <w:lang w:val="fr-FR"/>
        </w:rPr>
        <w:t> </w:t>
      </w:r>
      <w:r w:rsidRPr="00FA2C7F">
        <w:rPr>
          <w:lang w:val="fr-FR"/>
        </w:rPr>
        <w:t>futurs membres du Sous-Comité pour la prévention de la torture qui remplaceront ceux dont le mandat expirera le 31</w:t>
      </w:r>
      <w:r w:rsidR="004C31C2">
        <w:rPr>
          <w:lang w:val="fr-FR"/>
        </w:rPr>
        <w:t> </w:t>
      </w:r>
      <w:r w:rsidRPr="00FA2C7F">
        <w:rPr>
          <w:lang w:val="fr-FR"/>
        </w:rPr>
        <w:t>décembre 2022.</w:t>
      </w:r>
    </w:p>
    <w:p w14:paraId="37C8F141" w14:textId="1F1ECE14" w:rsidR="00E304F0" w:rsidRPr="00FA2C7F" w:rsidRDefault="00E304F0" w:rsidP="00E304F0">
      <w:pPr>
        <w:pStyle w:val="SingleTxtG"/>
        <w:rPr>
          <w:lang w:val="fr-FR"/>
        </w:rPr>
      </w:pPr>
      <w:r w:rsidRPr="00FA2C7F">
        <w:rPr>
          <w:lang w:val="fr-FR"/>
        </w:rPr>
        <w:t>2.</w:t>
      </w:r>
      <w:r w:rsidRPr="00FA2C7F">
        <w:rPr>
          <w:lang w:val="fr-FR"/>
        </w:rPr>
        <w:tab/>
        <w:t>Conformément à la procédure prévue à l</w:t>
      </w:r>
      <w:r>
        <w:rPr>
          <w:lang w:val="fr-FR"/>
        </w:rPr>
        <w:t>’</w:t>
      </w:r>
      <w:r w:rsidRPr="00FA2C7F">
        <w:rPr>
          <w:lang w:val="fr-FR"/>
        </w:rPr>
        <w:t>article</w:t>
      </w:r>
      <w:r w:rsidR="004C31C2">
        <w:rPr>
          <w:lang w:val="fr-FR"/>
        </w:rPr>
        <w:t> </w:t>
      </w:r>
      <w:r w:rsidRPr="00FA2C7F">
        <w:rPr>
          <w:lang w:val="fr-FR"/>
        </w:rPr>
        <w:t>6 (par.</w:t>
      </w:r>
      <w:r w:rsidR="004C31C2">
        <w:rPr>
          <w:lang w:val="fr-FR"/>
        </w:rPr>
        <w:t> </w:t>
      </w:r>
      <w:r w:rsidRPr="00FA2C7F">
        <w:rPr>
          <w:lang w:val="fr-FR"/>
        </w:rPr>
        <w:t>3) du Protocole facultatif, le Secrétaire général a, dans une note verbale datée du 18</w:t>
      </w:r>
      <w:r w:rsidR="004C31C2">
        <w:rPr>
          <w:lang w:val="fr-FR"/>
        </w:rPr>
        <w:t> </w:t>
      </w:r>
      <w:r w:rsidRPr="00FA2C7F">
        <w:rPr>
          <w:lang w:val="fr-FR"/>
        </w:rPr>
        <w:t>mai 2022, invité les États parties à présenter, au plus tard le 18</w:t>
      </w:r>
      <w:r w:rsidR="004C31C2">
        <w:rPr>
          <w:lang w:val="fr-FR"/>
        </w:rPr>
        <w:t> </w:t>
      </w:r>
      <w:r w:rsidRPr="00FA2C7F">
        <w:rPr>
          <w:lang w:val="fr-FR"/>
        </w:rPr>
        <w:t>août 2022, leurs candidatures pour l</w:t>
      </w:r>
      <w:r>
        <w:rPr>
          <w:lang w:val="fr-FR"/>
        </w:rPr>
        <w:t>’</w:t>
      </w:r>
      <w:r w:rsidRPr="00FA2C7F">
        <w:rPr>
          <w:lang w:val="fr-FR"/>
        </w:rPr>
        <w:t>élection des 13</w:t>
      </w:r>
      <w:r w:rsidR="00355261">
        <w:rPr>
          <w:lang w:val="fr-FR"/>
        </w:rPr>
        <w:t> </w:t>
      </w:r>
      <w:r w:rsidRPr="00FA2C7F">
        <w:rPr>
          <w:lang w:val="fr-FR"/>
        </w:rPr>
        <w:t>membres du Sous</w:t>
      </w:r>
      <w:r w:rsidR="00355261">
        <w:rPr>
          <w:lang w:val="fr-FR"/>
        </w:rPr>
        <w:noBreakHyphen/>
      </w:r>
      <w:r w:rsidRPr="00FA2C7F">
        <w:rPr>
          <w:lang w:val="fr-FR"/>
        </w:rPr>
        <w:t>Comité Les curriculum vitae des 16</w:t>
      </w:r>
      <w:r w:rsidR="004C31C2">
        <w:rPr>
          <w:lang w:val="fr-FR"/>
        </w:rPr>
        <w:t> </w:t>
      </w:r>
      <w:r w:rsidRPr="00FA2C7F">
        <w:rPr>
          <w:lang w:val="fr-FR"/>
        </w:rPr>
        <w:t xml:space="preserve">candidats reçus à cette date figurent dans le document </w:t>
      </w:r>
      <w:hyperlink r:id="rId8" w:history="1">
        <w:r w:rsidR="000C38B4" w:rsidRPr="004C31C2">
          <w:rPr>
            <w:rStyle w:val="FollowedHyperlink"/>
          </w:rPr>
          <w:t>CAT/OP/SP/20</w:t>
        </w:r>
      </w:hyperlink>
      <w:r w:rsidRPr="00FA2C7F">
        <w:rPr>
          <w:lang w:val="fr-FR"/>
        </w:rPr>
        <w:t>.</w:t>
      </w:r>
    </w:p>
    <w:p w14:paraId="32DC0BCD" w14:textId="58DC722F" w:rsidR="00E304F0" w:rsidRPr="00FA2C7F" w:rsidRDefault="00E304F0" w:rsidP="00E304F0">
      <w:pPr>
        <w:pStyle w:val="SingleTxtG"/>
        <w:spacing w:after="240"/>
        <w:rPr>
          <w:lang w:val="fr-FR"/>
        </w:rPr>
      </w:pPr>
      <w:r w:rsidRPr="00FA2C7F">
        <w:rPr>
          <w:lang w:val="fr-FR"/>
        </w:rPr>
        <w:t>3.</w:t>
      </w:r>
      <w:r w:rsidRPr="00FA2C7F">
        <w:rPr>
          <w:lang w:val="fr-FR"/>
        </w:rPr>
        <w:tab/>
        <w:t>On trouvera, en annexe à la présente note, le curriculum vitae, tel qu</w:t>
      </w:r>
      <w:r>
        <w:rPr>
          <w:lang w:val="fr-FR"/>
        </w:rPr>
        <w:t>’</w:t>
      </w:r>
      <w:r w:rsidRPr="00FA2C7F">
        <w:rPr>
          <w:lang w:val="fr-FR"/>
        </w:rPr>
        <w:t>il a été reçu par le secrétariat, de la candidate dont la candidature a été reçue après le 18</w:t>
      </w:r>
      <w:r w:rsidR="004C31C2">
        <w:rPr>
          <w:lang w:val="fr-FR"/>
        </w:rPr>
        <w:t> </w:t>
      </w:r>
      <w:r w:rsidRPr="00FA2C7F">
        <w:rPr>
          <w:lang w:val="fr-FR"/>
        </w:rPr>
        <w:t xml:space="preserve">août 2022. </w:t>
      </w:r>
    </w:p>
    <w:tbl>
      <w:tblPr>
        <w:tblW w:w="7370" w:type="dxa"/>
        <w:tblInd w:w="1134" w:type="dxa"/>
        <w:tblLayout w:type="fixed"/>
        <w:tblCellMar>
          <w:left w:w="0" w:type="dxa"/>
          <w:right w:w="0" w:type="dxa"/>
        </w:tblCellMar>
        <w:tblLook w:val="04A0" w:firstRow="1" w:lastRow="0" w:firstColumn="1" w:lastColumn="0" w:noHBand="0" w:noVBand="1"/>
      </w:tblPr>
      <w:tblGrid>
        <w:gridCol w:w="5103"/>
        <w:gridCol w:w="2267"/>
      </w:tblGrid>
      <w:tr w:rsidR="00355261" w:rsidRPr="00355261" w14:paraId="0F7D7F29" w14:textId="77777777" w:rsidTr="00355261">
        <w:trPr>
          <w:tblHeader/>
        </w:trPr>
        <w:tc>
          <w:tcPr>
            <w:tcW w:w="5103" w:type="dxa"/>
            <w:tcBorders>
              <w:top w:val="single" w:sz="4" w:space="0" w:color="auto"/>
              <w:bottom w:val="single" w:sz="12" w:space="0" w:color="auto"/>
            </w:tcBorders>
            <w:shd w:val="clear" w:color="auto" w:fill="auto"/>
            <w:vAlign w:val="bottom"/>
          </w:tcPr>
          <w:p w14:paraId="3EBD925C" w14:textId="77777777" w:rsidR="00E304F0" w:rsidRPr="00355261" w:rsidRDefault="00E304F0" w:rsidP="00355261">
            <w:pPr>
              <w:spacing w:before="80" w:after="80" w:line="200" w:lineRule="exact"/>
              <w:ind w:right="113"/>
              <w:rPr>
                <w:i/>
                <w:sz w:val="16"/>
                <w:lang w:val="fr-FR"/>
              </w:rPr>
            </w:pPr>
            <w:r w:rsidRPr="00355261">
              <w:rPr>
                <w:i/>
                <w:sz w:val="16"/>
                <w:lang w:val="fr-FR"/>
              </w:rPr>
              <w:t>Candidate</w:t>
            </w:r>
          </w:p>
        </w:tc>
        <w:tc>
          <w:tcPr>
            <w:tcW w:w="2267" w:type="dxa"/>
            <w:tcBorders>
              <w:top w:val="single" w:sz="4" w:space="0" w:color="auto"/>
              <w:bottom w:val="single" w:sz="12" w:space="0" w:color="auto"/>
            </w:tcBorders>
            <w:shd w:val="clear" w:color="auto" w:fill="auto"/>
            <w:vAlign w:val="bottom"/>
          </w:tcPr>
          <w:p w14:paraId="09A4B9ED" w14:textId="77777777" w:rsidR="00E304F0" w:rsidRPr="00355261" w:rsidRDefault="00E304F0" w:rsidP="00355261">
            <w:pPr>
              <w:spacing w:before="80" w:after="80" w:line="200" w:lineRule="exact"/>
              <w:ind w:right="113"/>
              <w:rPr>
                <w:i/>
                <w:sz w:val="16"/>
                <w:lang w:val="fr-FR"/>
              </w:rPr>
            </w:pPr>
            <w:r w:rsidRPr="00355261">
              <w:rPr>
                <w:i/>
                <w:sz w:val="16"/>
                <w:lang w:val="fr-FR"/>
              </w:rPr>
              <w:t>Désignée par</w:t>
            </w:r>
          </w:p>
        </w:tc>
      </w:tr>
      <w:tr w:rsidR="00355261" w:rsidRPr="00355261" w14:paraId="666FCE42" w14:textId="77777777" w:rsidTr="00355261">
        <w:trPr>
          <w:trHeight w:hRule="exact" w:val="113"/>
          <w:tblHeader/>
        </w:trPr>
        <w:tc>
          <w:tcPr>
            <w:tcW w:w="5103" w:type="dxa"/>
            <w:tcBorders>
              <w:top w:val="single" w:sz="12" w:space="0" w:color="auto"/>
            </w:tcBorders>
            <w:shd w:val="clear" w:color="auto" w:fill="auto"/>
          </w:tcPr>
          <w:p w14:paraId="66A977F7" w14:textId="77777777" w:rsidR="00355261" w:rsidRPr="00355261" w:rsidRDefault="00355261" w:rsidP="00355261">
            <w:pPr>
              <w:spacing w:before="40" w:after="120"/>
              <w:ind w:right="113"/>
              <w:rPr>
                <w:lang w:val="fr-FR"/>
              </w:rPr>
            </w:pPr>
          </w:p>
        </w:tc>
        <w:tc>
          <w:tcPr>
            <w:tcW w:w="2267" w:type="dxa"/>
            <w:tcBorders>
              <w:top w:val="single" w:sz="12" w:space="0" w:color="auto"/>
            </w:tcBorders>
            <w:shd w:val="clear" w:color="auto" w:fill="auto"/>
          </w:tcPr>
          <w:p w14:paraId="0E6C290F" w14:textId="77777777" w:rsidR="00355261" w:rsidRPr="00355261" w:rsidRDefault="00355261" w:rsidP="00355261">
            <w:pPr>
              <w:spacing w:before="40" w:after="120"/>
              <w:ind w:right="113"/>
              <w:rPr>
                <w:lang w:val="fr-FR"/>
              </w:rPr>
            </w:pPr>
          </w:p>
        </w:tc>
      </w:tr>
      <w:tr w:rsidR="00E304F0" w:rsidRPr="00355261" w14:paraId="3389E4C2" w14:textId="77777777" w:rsidTr="00355261">
        <w:trPr>
          <w:tblHeader/>
        </w:trPr>
        <w:tc>
          <w:tcPr>
            <w:tcW w:w="5103" w:type="dxa"/>
            <w:tcBorders>
              <w:bottom w:val="single" w:sz="12" w:space="0" w:color="auto"/>
            </w:tcBorders>
            <w:shd w:val="clear" w:color="auto" w:fill="auto"/>
          </w:tcPr>
          <w:p w14:paraId="5C83F500" w14:textId="77777777" w:rsidR="00E304F0" w:rsidRPr="00355261" w:rsidRDefault="00E304F0" w:rsidP="00355261">
            <w:pPr>
              <w:spacing w:before="40" w:after="120"/>
              <w:ind w:right="113"/>
              <w:rPr>
                <w:lang w:val="fr-FR"/>
              </w:rPr>
            </w:pPr>
            <w:r w:rsidRPr="00355261">
              <w:rPr>
                <w:lang w:val="fr-FR"/>
              </w:rPr>
              <w:t xml:space="preserve">María Luisa </w:t>
            </w:r>
            <w:r w:rsidRPr="00355261">
              <w:rPr>
                <w:b/>
                <w:bCs/>
                <w:lang w:val="fr-FR"/>
              </w:rPr>
              <w:t>Romero</w:t>
            </w:r>
          </w:p>
        </w:tc>
        <w:tc>
          <w:tcPr>
            <w:tcW w:w="2267" w:type="dxa"/>
            <w:tcBorders>
              <w:bottom w:val="single" w:sz="12" w:space="0" w:color="auto"/>
            </w:tcBorders>
            <w:shd w:val="clear" w:color="auto" w:fill="auto"/>
          </w:tcPr>
          <w:p w14:paraId="4D5AE82D" w14:textId="77777777" w:rsidR="00E304F0" w:rsidRPr="00355261" w:rsidRDefault="00E304F0" w:rsidP="00355261">
            <w:pPr>
              <w:spacing w:before="40" w:after="120"/>
              <w:ind w:right="113"/>
              <w:rPr>
                <w:lang w:val="fr-FR"/>
              </w:rPr>
            </w:pPr>
            <w:r w:rsidRPr="00355261">
              <w:rPr>
                <w:lang w:val="fr-FR"/>
              </w:rPr>
              <w:t xml:space="preserve">Panama </w:t>
            </w:r>
          </w:p>
        </w:tc>
      </w:tr>
    </w:tbl>
    <w:p w14:paraId="104D296C" w14:textId="07CFE1F3" w:rsidR="00557AFB" w:rsidRDefault="00557AFB" w:rsidP="00D86A88">
      <w:pPr>
        <w:spacing w:before="120"/>
        <w:rPr>
          <w:b/>
          <w:sz w:val="24"/>
          <w:szCs w:val="24"/>
        </w:rPr>
      </w:pPr>
    </w:p>
    <w:p w14:paraId="4D1BD61B" w14:textId="77777777" w:rsidR="00557AFB" w:rsidRDefault="00557AFB">
      <w:pPr>
        <w:suppressAutoHyphens w:val="0"/>
        <w:kinsoku/>
        <w:overflowPunct/>
        <w:autoSpaceDE/>
        <w:autoSpaceDN/>
        <w:adjustRightInd/>
        <w:snapToGrid/>
        <w:spacing w:after="200" w:line="276" w:lineRule="auto"/>
        <w:rPr>
          <w:b/>
          <w:sz w:val="24"/>
          <w:szCs w:val="24"/>
        </w:rPr>
      </w:pPr>
      <w:r>
        <w:rPr>
          <w:b/>
          <w:sz w:val="24"/>
          <w:szCs w:val="24"/>
        </w:rPr>
        <w:br w:type="page"/>
      </w:r>
    </w:p>
    <w:p w14:paraId="6817DD4A" w14:textId="77777777" w:rsidR="00557AFB" w:rsidRPr="00FA2C7F" w:rsidRDefault="00557AFB" w:rsidP="00557AFB">
      <w:pPr>
        <w:pStyle w:val="HChG"/>
        <w:rPr>
          <w:lang w:val="fr-FR"/>
        </w:rPr>
      </w:pPr>
      <w:r w:rsidRPr="00FA2C7F">
        <w:rPr>
          <w:lang w:val="fr-FR"/>
        </w:rPr>
        <w:lastRenderedPageBreak/>
        <w:t>Annexe</w:t>
      </w:r>
    </w:p>
    <w:p w14:paraId="7691494E" w14:textId="77777777" w:rsidR="00557AFB" w:rsidRPr="00FA2C7F" w:rsidRDefault="00557AFB" w:rsidP="00557AFB">
      <w:pPr>
        <w:pStyle w:val="HChG"/>
        <w:rPr>
          <w:lang w:val="fr-FR"/>
        </w:rPr>
      </w:pPr>
      <w:r w:rsidRPr="00FA2C7F">
        <w:rPr>
          <w:lang w:val="fr-FR"/>
        </w:rPr>
        <w:tab/>
      </w:r>
      <w:r w:rsidRPr="00FA2C7F">
        <w:rPr>
          <w:lang w:val="fr-FR"/>
        </w:rPr>
        <w:tab/>
        <w:t>Curriculum vitae</w:t>
      </w:r>
      <w:r w:rsidRPr="00557AFB">
        <w:rPr>
          <w:b w:val="0"/>
          <w:bCs/>
          <w:sz w:val="20"/>
          <w:lang w:val="fr-FR"/>
        </w:rPr>
        <w:footnoteReference w:customMarkFollows="1" w:id="2"/>
        <w:t>*</w:t>
      </w:r>
    </w:p>
    <w:p w14:paraId="3EB624FB" w14:textId="4D9DF67A" w:rsidR="00557AFB" w:rsidRPr="00FA2C7F" w:rsidRDefault="00557AFB" w:rsidP="00557AFB">
      <w:pPr>
        <w:pStyle w:val="SingleTxtG"/>
        <w:jc w:val="right"/>
        <w:rPr>
          <w:lang w:val="fr-FR"/>
        </w:rPr>
      </w:pPr>
      <w:r>
        <w:rPr>
          <w:lang w:val="fr-FR"/>
        </w:rPr>
        <w:t>[</w:t>
      </w:r>
      <w:r w:rsidRPr="00557AFB">
        <w:rPr>
          <w:i/>
          <w:iCs/>
          <w:lang w:val="fr-FR"/>
        </w:rPr>
        <w:t>Original</w:t>
      </w:r>
      <w:r w:rsidR="0033264B">
        <w:rPr>
          <w:i/>
          <w:iCs/>
          <w:lang w:val="fr-FR"/>
        </w:rPr>
        <w:t> </w:t>
      </w:r>
      <w:r w:rsidRPr="00557AFB">
        <w:rPr>
          <w:i/>
          <w:iCs/>
          <w:lang w:val="fr-FR"/>
        </w:rPr>
        <w:t>: espagnol</w:t>
      </w:r>
      <w:r>
        <w:rPr>
          <w:lang w:val="fr-FR"/>
        </w:rPr>
        <w:t>]</w:t>
      </w:r>
    </w:p>
    <w:p w14:paraId="6CB57D88" w14:textId="77777777" w:rsidR="00557AFB" w:rsidRPr="00FA2C7F" w:rsidRDefault="00557AFB" w:rsidP="00EB5599">
      <w:pPr>
        <w:pStyle w:val="H23G"/>
        <w:rPr>
          <w:lang w:val="fr-FR"/>
        </w:rPr>
      </w:pPr>
      <w:r w:rsidRPr="00FA2C7F">
        <w:rPr>
          <w:lang w:val="fr-FR"/>
        </w:rPr>
        <w:tab/>
      </w:r>
      <w:r w:rsidRPr="00FA2C7F">
        <w:rPr>
          <w:lang w:val="fr-FR"/>
        </w:rPr>
        <w:tab/>
        <w:t xml:space="preserve">Nom et prénom </w:t>
      </w:r>
    </w:p>
    <w:p w14:paraId="099DCE22" w14:textId="77777777" w:rsidR="00557AFB" w:rsidRPr="00FA2C7F" w:rsidRDefault="00557AFB" w:rsidP="00EB5599">
      <w:pPr>
        <w:pStyle w:val="SingleTxtG"/>
        <w:rPr>
          <w:lang w:val="fr-FR"/>
        </w:rPr>
      </w:pPr>
      <w:r w:rsidRPr="00FA2C7F">
        <w:rPr>
          <w:lang w:val="fr-FR"/>
        </w:rPr>
        <w:t>María Luisa Romero Pinto</w:t>
      </w:r>
    </w:p>
    <w:p w14:paraId="05F9AE6B" w14:textId="77777777" w:rsidR="00557AFB" w:rsidRPr="00FA2C7F" w:rsidRDefault="00557AFB" w:rsidP="00EB5599">
      <w:pPr>
        <w:pStyle w:val="H23G"/>
        <w:rPr>
          <w:lang w:val="fr-FR"/>
        </w:rPr>
      </w:pPr>
      <w:r w:rsidRPr="00FA2C7F">
        <w:rPr>
          <w:lang w:val="fr-FR"/>
        </w:rPr>
        <w:tab/>
      </w:r>
      <w:r w:rsidRPr="00FA2C7F">
        <w:rPr>
          <w:lang w:val="fr-FR"/>
        </w:rPr>
        <w:tab/>
        <w:t xml:space="preserve">Date et lieu de naissance </w:t>
      </w:r>
    </w:p>
    <w:p w14:paraId="56A4FDF6" w14:textId="77777777" w:rsidR="00557AFB" w:rsidRPr="00FA2C7F" w:rsidRDefault="00557AFB" w:rsidP="00EB5599">
      <w:pPr>
        <w:pStyle w:val="SingleTxtG"/>
        <w:rPr>
          <w:sz w:val="24"/>
          <w:lang w:val="fr-FR"/>
        </w:rPr>
      </w:pPr>
      <w:r w:rsidRPr="00FA2C7F">
        <w:rPr>
          <w:lang w:val="fr-FR"/>
        </w:rPr>
        <w:t>23 juillet 1981, à Panama (Panama)</w:t>
      </w:r>
    </w:p>
    <w:p w14:paraId="12AF9DF6" w14:textId="77777777" w:rsidR="00557AFB" w:rsidRPr="00FA2C7F" w:rsidRDefault="00557AFB" w:rsidP="00EB5599">
      <w:pPr>
        <w:pStyle w:val="H23G"/>
        <w:rPr>
          <w:lang w:val="fr-FR"/>
        </w:rPr>
      </w:pPr>
      <w:r w:rsidRPr="00FA2C7F">
        <w:rPr>
          <w:lang w:val="fr-FR"/>
        </w:rPr>
        <w:tab/>
      </w:r>
      <w:r w:rsidRPr="00FA2C7F">
        <w:rPr>
          <w:lang w:val="fr-FR"/>
        </w:rPr>
        <w:tab/>
        <w:t xml:space="preserve">Langue(s) de travail </w:t>
      </w:r>
    </w:p>
    <w:p w14:paraId="764BA6CD" w14:textId="13BAAF06" w:rsidR="00557AFB" w:rsidRPr="00FA2C7F" w:rsidRDefault="00557AFB" w:rsidP="00EB5599">
      <w:pPr>
        <w:pStyle w:val="SingleTxtG"/>
        <w:rPr>
          <w:lang w:val="fr-FR"/>
        </w:rPr>
      </w:pPr>
      <w:r w:rsidRPr="00FA2C7F">
        <w:rPr>
          <w:lang w:val="fr-FR"/>
        </w:rPr>
        <w:t>Espagnol et anglais</w:t>
      </w:r>
      <w:r w:rsidR="00EB5599">
        <w:rPr>
          <w:lang w:val="fr-FR"/>
        </w:rPr>
        <w:t> ;</w:t>
      </w:r>
      <w:r w:rsidRPr="00FA2C7F">
        <w:rPr>
          <w:lang w:val="fr-FR"/>
        </w:rPr>
        <w:t xml:space="preserve"> français (notions). </w:t>
      </w:r>
    </w:p>
    <w:p w14:paraId="4F4B0EC4" w14:textId="77777777" w:rsidR="00557AFB" w:rsidRPr="00FA2C7F" w:rsidRDefault="00557AFB" w:rsidP="00EB5599">
      <w:pPr>
        <w:pStyle w:val="H23G"/>
        <w:rPr>
          <w:lang w:val="fr-FR"/>
        </w:rPr>
      </w:pPr>
      <w:r w:rsidRPr="00FA2C7F">
        <w:rPr>
          <w:lang w:val="fr-FR"/>
        </w:rPr>
        <w:tab/>
      </w:r>
      <w:r w:rsidRPr="00FA2C7F">
        <w:rPr>
          <w:lang w:val="fr-FR"/>
        </w:rPr>
        <w:tab/>
        <w:t xml:space="preserve">Expérience professionnelle </w:t>
      </w:r>
    </w:p>
    <w:p w14:paraId="0D825EA1" w14:textId="0FADDDE6" w:rsidR="00557AFB" w:rsidRPr="00FA2C7F" w:rsidRDefault="00557AFB" w:rsidP="00EB5599">
      <w:pPr>
        <w:pStyle w:val="SingleTxtG"/>
        <w:rPr>
          <w:b/>
          <w:lang w:val="fr-FR"/>
        </w:rPr>
      </w:pPr>
      <w:r w:rsidRPr="00FA2C7F">
        <w:rPr>
          <w:lang w:val="fr-FR"/>
        </w:rPr>
        <w:t>Consultante internationale en droits de l</w:t>
      </w:r>
      <w:r>
        <w:rPr>
          <w:lang w:val="fr-FR"/>
        </w:rPr>
        <w:t>’</w:t>
      </w:r>
      <w:r w:rsidRPr="00FA2C7F">
        <w:rPr>
          <w:lang w:val="fr-FR"/>
        </w:rPr>
        <w:t>homme (2013-2014, 2019-2022)</w:t>
      </w:r>
      <w:r w:rsidR="00EB5599">
        <w:rPr>
          <w:lang w:val="fr-FR"/>
        </w:rPr>
        <w:t> ;</w:t>
      </w:r>
      <w:r w:rsidRPr="00FA2C7F">
        <w:rPr>
          <w:lang w:val="fr-FR"/>
        </w:rPr>
        <w:t xml:space="preserve"> Ministre et Vice</w:t>
      </w:r>
      <w:r w:rsidR="008F594C">
        <w:rPr>
          <w:lang w:val="fr-FR"/>
        </w:rPr>
        <w:noBreakHyphen/>
      </w:r>
      <w:r>
        <w:rPr>
          <w:lang w:val="fr-FR"/>
        </w:rPr>
        <w:t>M</w:t>
      </w:r>
      <w:r w:rsidRPr="00FA2C7F">
        <w:rPr>
          <w:lang w:val="fr-FR"/>
        </w:rPr>
        <w:t>inistre du Gouvernement panaméen (2014-2018)</w:t>
      </w:r>
      <w:r w:rsidR="00EB5599">
        <w:rPr>
          <w:lang w:val="fr-FR"/>
        </w:rPr>
        <w:t> ;</w:t>
      </w:r>
      <w:r w:rsidRPr="00FA2C7F">
        <w:rPr>
          <w:lang w:val="fr-FR"/>
        </w:rPr>
        <w:t xml:space="preserve"> </w:t>
      </w:r>
      <w:r w:rsidR="008F594C">
        <w:rPr>
          <w:lang w:val="fr-FR"/>
        </w:rPr>
        <w:t>a</w:t>
      </w:r>
      <w:r w:rsidRPr="00FA2C7F">
        <w:rPr>
          <w:lang w:val="fr-FR"/>
        </w:rPr>
        <w:t xml:space="preserve">vocate plaidante, </w:t>
      </w:r>
      <w:proofErr w:type="spellStart"/>
      <w:r w:rsidRPr="00FA2C7F">
        <w:rPr>
          <w:i/>
          <w:iCs/>
          <w:lang w:val="fr-FR"/>
        </w:rPr>
        <w:t>Debevoise</w:t>
      </w:r>
      <w:proofErr w:type="spellEnd"/>
      <w:r w:rsidRPr="00FA2C7F">
        <w:rPr>
          <w:i/>
          <w:iCs/>
          <w:lang w:val="fr-FR"/>
        </w:rPr>
        <w:t xml:space="preserve"> &amp;</w:t>
      </w:r>
      <w:r w:rsidR="008F594C">
        <w:rPr>
          <w:i/>
          <w:iCs/>
          <w:lang w:val="fr-FR"/>
        </w:rPr>
        <w:t> </w:t>
      </w:r>
      <w:proofErr w:type="spellStart"/>
      <w:r w:rsidRPr="00FA2C7F">
        <w:rPr>
          <w:i/>
          <w:iCs/>
          <w:lang w:val="fr-FR"/>
        </w:rPr>
        <w:t>Plimpton</w:t>
      </w:r>
      <w:proofErr w:type="spellEnd"/>
      <w:r w:rsidRPr="00FA2C7F">
        <w:rPr>
          <w:i/>
          <w:iCs/>
          <w:lang w:val="fr-FR"/>
        </w:rPr>
        <w:t xml:space="preserve"> LLP,</w:t>
      </w:r>
      <w:r w:rsidRPr="00FA2C7F">
        <w:rPr>
          <w:lang w:val="fr-FR"/>
        </w:rPr>
        <w:t xml:space="preserve"> New York (2010-2013)</w:t>
      </w:r>
      <w:r w:rsidR="00EB5599">
        <w:rPr>
          <w:lang w:val="fr-FR"/>
        </w:rPr>
        <w:t> ;</w:t>
      </w:r>
      <w:r w:rsidRPr="00FA2C7F">
        <w:rPr>
          <w:lang w:val="fr-FR"/>
        </w:rPr>
        <w:t xml:space="preserve"> </w:t>
      </w:r>
      <w:r w:rsidR="008F594C">
        <w:rPr>
          <w:lang w:val="fr-FR"/>
        </w:rPr>
        <w:t>a</w:t>
      </w:r>
      <w:r w:rsidRPr="00FA2C7F">
        <w:rPr>
          <w:lang w:val="fr-FR"/>
        </w:rPr>
        <w:t>vocate à la Cour interaméricaine des droits de l</w:t>
      </w:r>
      <w:r>
        <w:rPr>
          <w:lang w:val="fr-FR"/>
        </w:rPr>
        <w:t>’</w:t>
      </w:r>
      <w:r w:rsidRPr="00FA2C7F">
        <w:rPr>
          <w:lang w:val="fr-FR"/>
        </w:rPr>
        <w:t>homme au Costa Rica (2008-2009)</w:t>
      </w:r>
      <w:r w:rsidR="008F594C">
        <w:rPr>
          <w:lang w:val="fr-FR"/>
        </w:rPr>
        <w:t> ;</w:t>
      </w:r>
      <w:r w:rsidRPr="00FA2C7F">
        <w:rPr>
          <w:lang w:val="fr-FR"/>
        </w:rPr>
        <w:t xml:space="preserve"> avocate stagiaire au Bureau du Procureur du Tribunal pénal international pour le Rwanda en Tanzanie (2006)</w:t>
      </w:r>
      <w:r w:rsidR="00EB5599">
        <w:rPr>
          <w:lang w:val="fr-FR"/>
        </w:rPr>
        <w:t> ;</w:t>
      </w:r>
      <w:r w:rsidRPr="00FA2C7F">
        <w:rPr>
          <w:lang w:val="fr-FR"/>
        </w:rPr>
        <w:t xml:space="preserve"> </w:t>
      </w:r>
      <w:r w:rsidR="008F594C">
        <w:rPr>
          <w:lang w:val="fr-FR"/>
        </w:rPr>
        <w:t>a</w:t>
      </w:r>
      <w:r w:rsidRPr="00FA2C7F">
        <w:rPr>
          <w:lang w:val="fr-FR"/>
        </w:rPr>
        <w:t>ttachée diplomatique à l</w:t>
      </w:r>
      <w:r>
        <w:rPr>
          <w:lang w:val="fr-FR"/>
        </w:rPr>
        <w:t>’</w:t>
      </w:r>
      <w:r w:rsidRPr="00FA2C7F">
        <w:rPr>
          <w:lang w:val="fr-FR"/>
        </w:rPr>
        <w:t>ambassade du Panama aux États-Unis (2004-2005).</w:t>
      </w:r>
    </w:p>
    <w:p w14:paraId="5D750FC4" w14:textId="77777777" w:rsidR="00557AFB" w:rsidRPr="00FA2C7F" w:rsidRDefault="00557AFB" w:rsidP="00557AFB">
      <w:pPr>
        <w:pStyle w:val="H23G"/>
        <w:rPr>
          <w:lang w:val="fr-FR"/>
        </w:rPr>
      </w:pPr>
      <w:r w:rsidRPr="00FA2C7F">
        <w:rPr>
          <w:lang w:val="fr-FR"/>
        </w:rPr>
        <w:tab/>
      </w:r>
      <w:r w:rsidRPr="00FA2C7F">
        <w:rPr>
          <w:lang w:val="fr-FR"/>
        </w:rPr>
        <w:tab/>
      </w:r>
      <w:r w:rsidRPr="00FA2C7F">
        <w:rPr>
          <w:bCs/>
          <w:lang w:val="fr-FR"/>
        </w:rPr>
        <w:t>Études</w:t>
      </w:r>
    </w:p>
    <w:p w14:paraId="6EEAC4C4" w14:textId="3A621128" w:rsidR="00557AFB" w:rsidRPr="00FA2C7F" w:rsidRDefault="00557AFB" w:rsidP="00EB5599">
      <w:pPr>
        <w:pStyle w:val="SingleTxtG"/>
        <w:rPr>
          <w:lang w:val="fr-FR"/>
        </w:rPr>
      </w:pPr>
      <w:r w:rsidRPr="00FA2C7F">
        <w:rPr>
          <w:lang w:val="fr-FR"/>
        </w:rPr>
        <w:t>Docteur en droit (</w:t>
      </w:r>
      <w:proofErr w:type="spellStart"/>
      <w:r w:rsidRPr="008F594C">
        <w:rPr>
          <w:i/>
          <w:iCs/>
          <w:lang w:val="fr-FR"/>
        </w:rPr>
        <w:t>Juris</w:t>
      </w:r>
      <w:proofErr w:type="spellEnd"/>
      <w:r w:rsidRPr="008F594C">
        <w:rPr>
          <w:i/>
          <w:iCs/>
          <w:lang w:val="fr-FR"/>
        </w:rPr>
        <w:t xml:space="preserve"> </w:t>
      </w:r>
      <w:proofErr w:type="spellStart"/>
      <w:r w:rsidRPr="008F594C">
        <w:rPr>
          <w:i/>
          <w:iCs/>
          <w:lang w:val="fr-FR"/>
        </w:rPr>
        <w:t>Doctor</w:t>
      </w:r>
      <w:proofErr w:type="spellEnd"/>
      <w:r w:rsidRPr="00FA2C7F">
        <w:rPr>
          <w:lang w:val="fr-FR"/>
        </w:rPr>
        <w:t>, avec mention), Université de Harvard (2008)</w:t>
      </w:r>
      <w:r w:rsidR="00EB5599">
        <w:rPr>
          <w:lang w:val="fr-FR"/>
        </w:rPr>
        <w:t> ;</w:t>
      </w:r>
      <w:r w:rsidRPr="00FA2C7F">
        <w:rPr>
          <w:lang w:val="fr-FR"/>
        </w:rPr>
        <w:t xml:space="preserve"> </w:t>
      </w:r>
      <w:r w:rsidR="00611FDE">
        <w:rPr>
          <w:lang w:val="fr-FR"/>
        </w:rPr>
        <w:t>l</w:t>
      </w:r>
      <w:r w:rsidRPr="00FA2C7F">
        <w:rPr>
          <w:lang w:val="fr-FR"/>
        </w:rPr>
        <w:t>icence en sciences politiques et études latino-américaines (avec mention), Université de Harvard (2004).</w:t>
      </w:r>
    </w:p>
    <w:p w14:paraId="3F8B88FE" w14:textId="77777777" w:rsidR="00557AFB" w:rsidRPr="00FA2C7F" w:rsidRDefault="00557AFB" w:rsidP="00557AFB">
      <w:pPr>
        <w:pStyle w:val="H23G"/>
        <w:rPr>
          <w:lang w:val="fr-FR"/>
        </w:rPr>
      </w:pPr>
      <w:r w:rsidRPr="00FA2C7F">
        <w:rPr>
          <w:lang w:val="fr-FR"/>
        </w:rPr>
        <w:tab/>
      </w:r>
      <w:r w:rsidRPr="00FA2C7F">
        <w:rPr>
          <w:lang w:val="fr-FR"/>
        </w:rPr>
        <w:tab/>
      </w:r>
      <w:r w:rsidRPr="00FA2C7F">
        <w:rPr>
          <w:bCs/>
          <w:lang w:val="fr-FR"/>
        </w:rPr>
        <w:t>Situation/fonction actuelle</w:t>
      </w:r>
    </w:p>
    <w:p w14:paraId="6713406D" w14:textId="7ED4ACF4" w:rsidR="00557AFB" w:rsidRPr="00FA2C7F" w:rsidRDefault="00557AFB" w:rsidP="00EB5599">
      <w:pPr>
        <w:pStyle w:val="SingleTxtG"/>
        <w:rPr>
          <w:lang w:val="fr-FR"/>
        </w:rPr>
      </w:pPr>
      <w:r w:rsidRPr="00FA2C7F">
        <w:rPr>
          <w:lang w:val="fr-FR"/>
        </w:rPr>
        <w:t>Consultante en droit des droits de l</w:t>
      </w:r>
      <w:r>
        <w:rPr>
          <w:lang w:val="fr-FR"/>
        </w:rPr>
        <w:t>’</w:t>
      </w:r>
      <w:r w:rsidRPr="00FA2C7F">
        <w:rPr>
          <w:lang w:val="fr-FR"/>
        </w:rPr>
        <w:t>homme</w:t>
      </w:r>
      <w:r w:rsidR="00EB5599">
        <w:rPr>
          <w:lang w:val="fr-FR"/>
        </w:rPr>
        <w:t> ;</w:t>
      </w:r>
      <w:r w:rsidRPr="00FA2C7F">
        <w:rPr>
          <w:lang w:val="fr-FR"/>
        </w:rPr>
        <w:t xml:space="preserve"> </w:t>
      </w:r>
      <w:r w:rsidR="00611FDE">
        <w:rPr>
          <w:lang w:val="fr-FR"/>
        </w:rPr>
        <w:t>m</w:t>
      </w:r>
      <w:r w:rsidRPr="00FA2C7F">
        <w:rPr>
          <w:lang w:val="fr-FR"/>
        </w:rPr>
        <w:t>embre du Sous-</w:t>
      </w:r>
      <w:r w:rsidR="00611FDE">
        <w:rPr>
          <w:lang w:val="fr-FR"/>
        </w:rPr>
        <w:t>C</w:t>
      </w:r>
      <w:r w:rsidRPr="00FA2C7F">
        <w:rPr>
          <w:lang w:val="fr-FR"/>
        </w:rPr>
        <w:t xml:space="preserve">omité des Nations Unies pour la prévention de la torture et </w:t>
      </w:r>
      <w:r w:rsidR="00611FDE">
        <w:rPr>
          <w:lang w:val="fr-FR"/>
        </w:rPr>
        <w:t>c</w:t>
      </w:r>
      <w:r w:rsidRPr="00FA2C7F">
        <w:rPr>
          <w:lang w:val="fr-FR"/>
        </w:rPr>
        <w:t>hef du Groupe régional pour l</w:t>
      </w:r>
      <w:r>
        <w:rPr>
          <w:lang w:val="fr-FR"/>
        </w:rPr>
        <w:t>’</w:t>
      </w:r>
      <w:r w:rsidRPr="00FA2C7F">
        <w:rPr>
          <w:lang w:val="fr-FR"/>
        </w:rPr>
        <w:t>Europe</w:t>
      </w:r>
      <w:r w:rsidR="00EB5599">
        <w:rPr>
          <w:lang w:val="fr-FR"/>
        </w:rPr>
        <w:t> ;</w:t>
      </w:r>
      <w:r w:rsidRPr="00FA2C7F">
        <w:rPr>
          <w:lang w:val="fr-FR"/>
        </w:rPr>
        <w:t xml:space="preserve"> Directrice du conseil d</w:t>
      </w:r>
      <w:r>
        <w:rPr>
          <w:lang w:val="fr-FR"/>
        </w:rPr>
        <w:t>’</w:t>
      </w:r>
      <w:r w:rsidRPr="00FA2C7F">
        <w:rPr>
          <w:lang w:val="fr-FR"/>
        </w:rPr>
        <w:t xml:space="preserve">administration de la section panaméenne de </w:t>
      </w:r>
      <w:proofErr w:type="spellStart"/>
      <w:r w:rsidRPr="00FA2C7F">
        <w:rPr>
          <w:lang w:val="fr-FR"/>
        </w:rPr>
        <w:t>Transparency</w:t>
      </w:r>
      <w:proofErr w:type="spellEnd"/>
      <w:r w:rsidRPr="00FA2C7F">
        <w:rPr>
          <w:lang w:val="fr-FR"/>
        </w:rPr>
        <w:t xml:space="preserve"> International. </w:t>
      </w:r>
    </w:p>
    <w:p w14:paraId="689B92BA" w14:textId="77777777" w:rsidR="00557AFB" w:rsidRPr="00FA2C7F" w:rsidRDefault="00557AFB" w:rsidP="00557AFB">
      <w:pPr>
        <w:pStyle w:val="H23G"/>
        <w:rPr>
          <w:lang w:val="fr-FR"/>
        </w:rPr>
      </w:pPr>
      <w:r w:rsidRPr="00FA2C7F">
        <w:rPr>
          <w:lang w:val="fr-FR"/>
        </w:rPr>
        <w:tab/>
      </w:r>
      <w:r w:rsidRPr="00FA2C7F">
        <w:rPr>
          <w:lang w:val="fr-FR"/>
        </w:rPr>
        <w:tab/>
      </w:r>
      <w:r w:rsidRPr="00FA2C7F">
        <w:rPr>
          <w:bCs/>
          <w:lang w:val="fr-FR"/>
        </w:rPr>
        <w:t>Principales activités professionnelles</w:t>
      </w:r>
    </w:p>
    <w:p w14:paraId="3358D073" w14:textId="77777777" w:rsidR="00557AFB" w:rsidRPr="00FA2C7F" w:rsidRDefault="00557AFB" w:rsidP="00557AFB">
      <w:pPr>
        <w:pStyle w:val="SingleTxtG"/>
        <w:rPr>
          <w:color w:val="000000"/>
          <w:lang w:val="fr-FR"/>
        </w:rPr>
      </w:pPr>
      <w:r w:rsidRPr="00FA2C7F">
        <w:rPr>
          <w:lang w:val="fr-FR"/>
        </w:rPr>
        <w:t>Avocate et spécialiste des droits de l</w:t>
      </w:r>
      <w:r>
        <w:rPr>
          <w:lang w:val="fr-FR"/>
        </w:rPr>
        <w:t>’</w:t>
      </w:r>
      <w:r w:rsidRPr="00FA2C7F">
        <w:rPr>
          <w:lang w:val="fr-FR"/>
        </w:rPr>
        <w:t xml:space="preserve">homme, María Luisa Romero </w:t>
      </w:r>
      <w:r>
        <w:rPr>
          <w:lang w:val="fr-FR"/>
        </w:rPr>
        <w:t xml:space="preserve">s’est attachée, tout au long de sa carrière, à prévenir </w:t>
      </w:r>
      <w:r w:rsidRPr="00FA2C7F">
        <w:rPr>
          <w:lang w:val="fr-FR"/>
        </w:rPr>
        <w:t xml:space="preserve">la torture et </w:t>
      </w:r>
      <w:r>
        <w:rPr>
          <w:lang w:val="fr-FR"/>
        </w:rPr>
        <w:t>à promouvoir</w:t>
      </w:r>
      <w:r w:rsidRPr="00FA2C7F">
        <w:rPr>
          <w:lang w:val="fr-FR"/>
        </w:rPr>
        <w:t xml:space="preserve"> la réforme pénitentiaire et la réinsertion sociale au Panama et </w:t>
      </w:r>
      <w:r>
        <w:rPr>
          <w:lang w:val="fr-FR"/>
        </w:rPr>
        <w:t>dans d’autres pays</w:t>
      </w:r>
      <w:r w:rsidRPr="00FA2C7F">
        <w:rPr>
          <w:lang w:val="fr-FR"/>
        </w:rPr>
        <w:t>, en travaillant avec le</w:t>
      </w:r>
      <w:r>
        <w:rPr>
          <w:lang w:val="fr-FR"/>
        </w:rPr>
        <w:t>s acteurs du</w:t>
      </w:r>
      <w:r w:rsidRPr="00FA2C7F">
        <w:rPr>
          <w:lang w:val="fr-FR"/>
        </w:rPr>
        <w:t xml:space="preserve"> milieu universitaire, </w:t>
      </w:r>
      <w:r>
        <w:rPr>
          <w:lang w:val="fr-FR"/>
        </w:rPr>
        <w:t xml:space="preserve">de </w:t>
      </w:r>
      <w:r w:rsidRPr="00FA2C7F">
        <w:rPr>
          <w:lang w:val="fr-FR"/>
        </w:rPr>
        <w:t xml:space="preserve">la société civile et </w:t>
      </w:r>
      <w:r>
        <w:rPr>
          <w:lang w:val="fr-FR"/>
        </w:rPr>
        <w:t>du</w:t>
      </w:r>
      <w:r w:rsidRPr="00FA2C7F">
        <w:rPr>
          <w:lang w:val="fr-FR"/>
        </w:rPr>
        <w:t xml:space="preserve"> service public. Elle a récemment dirigé une enquête sur l</w:t>
      </w:r>
      <w:r>
        <w:rPr>
          <w:lang w:val="fr-FR"/>
        </w:rPr>
        <w:t>’</w:t>
      </w:r>
      <w:r w:rsidRPr="00FA2C7F">
        <w:rPr>
          <w:lang w:val="fr-FR"/>
        </w:rPr>
        <w:t>emploi de la force en Amérique latine et a publié, pendant la pandémie, à l</w:t>
      </w:r>
      <w:r>
        <w:rPr>
          <w:lang w:val="fr-FR"/>
        </w:rPr>
        <w:t>’</w:t>
      </w:r>
      <w:r w:rsidRPr="00FA2C7F">
        <w:rPr>
          <w:lang w:val="fr-FR"/>
        </w:rPr>
        <w:t>intention des États de la région, un document d</w:t>
      </w:r>
      <w:r>
        <w:rPr>
          <w:lang w:val="fr-FR"/>
        </w:rPr>
        <w:t>’</w:t>
      </w:r>
      <w:r w:rsidRPr="00FA2C7F">
        <w:rPr>
          <w:lang w:val="fr-FR"/>
        </w:rPr>
        <w:t>orientation sur la COVID-19 dans les prisons. En tant que Ministre et Vice-</w:t>
      </w:r>
      <w:r>
        <w:rPr>
          <w:lang w:val="fr-FR"/>
        </w:rPr>
        <w:t>M</w:t>
      </w:r>
      <w:r w:rsidRPr="00FA2C7F">
        <w:rPr>
          <w:lang w:val="fr-FR"/>
        </w:rPr>
        <w:t>inistre du Gouvernement panaméen, elle s</w:t>
      </w:r>
      <w:r>
        <w:rPr>
          <w:lang w:val="fr-FR"/>
        </w:rPr>
        <w:t>’</w:t>
      </w:r>
      <w:r w:rsidRPr="00FA2C7F">
        <w:rPr>
          <w:lang w:val="fr-FR"/>
        </w:rPr>
        <w:t>est occupée de questions ayant trait à la justice des mineurs, au système pénitentiaire, aux réfugiés et aux peuples autochtones. Elle a mené à bien des réformes visant à rendre le milieu carcéral plus humain, plus sûr et plus transparent, en faisant adopter une législation établissant un dispositif de carrière dans l</w:t>
      </w:r>
      <w:r>
        <w:rPr>
          <w:lang w:val="fr-FR"/>
        </w:rPr>
        <w:t>’</w:t>
      </w:r>
      <w:r w:rsidRPr="00FA2C7F">
        <w:rPr>
          <w:lang w:val="fr-FR"/>
        </w:rPr>
        <w:t xml:space="preserve">administration pénitentiaire, en ouvrant ce milieu à des groupes de la société civile et en améliorant les programmes de réadaptation. Ses efforts ont été déterminants pour la création du mécanisme national de prévention établi par la loi en 2017. </w:t>
      </w:r>
    </w:p>
    <w:p w14:paraId="1902555A" w14:textId="77777777" w:rsidR="009C4AB5" w:rsidRDefault="009C4AB5">
      <w:pPr>
        <w:suppressAutoHyphens w:val="0"/>
        <w:kinsoku/>
        <w:overflowPunct/>
        <w:autoSpaceDE/>
        <w:autoSpaceDN/>
        <w:adjustRightInd/>
        <w:snapToGrid/>
        <w:spacing w:after="200" w:line="276" w:lineRule="auto"/>
        <w:rPr>
          <w:b/>
          <w:lang w:val="fr-FR"/>
        </w:rPr>
      </w:pPr>
      <w:r>
        <w:rPr>
          <w:lang w:val="fr-FR"/>
        </w:rPr>
        <w:br w:type="page"/>
      </w:r>
    </w:p>
    <w:p w14:paraId="71418E50" w14:textId="4F555DF5" w:rsidR="00557AFB" w:rsidRPr="00FA2C7F" w:rsidRDefault="00557AFB" w:rsidP="009C4AB5">
      <w:pPr>
        <w:pStyle w:val="H23G"/>
        <w:rPr>
          <w:lang w:val="fr-FR"/>
        </w:rPr>
      </w:pPr>
      <w:r w:rsidRPr="00FA2C7F">
        <w:rPr>
          <w:lang w:val="fr-FR"/>
        </w:rPr>
        <w:lastRenderedPageBreak/>
        <w:tab/>
      </w:r>
      <w:r w:rsidRPr="00FA2C7F">
        <w:rPr>
          <w:lang w:val="fr-FR"/>
        </w:rPr>
        <w:tab/>
        <w:t xml:space="preserve">Autres activités principales dans les domaines présentant un intérêt pour le mandat </w:t>
      </w:r>
      <w:r w:rsidR="009C4AB5">
        <w:rPr>
          <w:lang w:val="fr-FR"/>
        </w:rPr>
        <w:br/>
      </w:r>
      <w:r w:rsidRPr="00FA2C7F">
        <w:rPr>
          <w:lang w:val="fr-FR"/>
        </w:rPr>
        <w:t xml:space="preserve">du Sous-Comité pour la prévention de la torture </w:t>
      </w:r>
    </w:p>
    <w:p w14:paraId="7AFD784A" w14:textId="1221E044" w:rsidR="00557AFB" w:rsidRPr="00FA2C7F" w:rsidRDefault="00557AFB" w:rsidP="00557AFB">
      <w:pPr>
        <w:pStyle w:val="SingleTxtG"/>
        <w:rPr>
          <w:rFonts w:ascii="Garamond" w:hAnsi="Garamond"/>
          <w:lang w:val="fr-FR"/>
        </w:rPr>
      </w:pPr>
      <w:r w:rsidRPr="00FA2C7F">
        <w:rPr>
          <w:lang w:val="fr-FR"/>
        </w:rPr>
        <w:t>María Luisa Romero Pinto a commencé à travailler dans le domaine des droits de l</w:t>
      </w:r>
      <w:r>
        <w:rPr>
          <w:lang w:val="fr-FR"/>
        </w:rPr>
        <w:t>’</w:t>
      </w:r>
      <w:r w:rsidRPr="00FA2C7F">
        <w:rPr>
          <w:lang w:val="fr-FR"/>
        </w:rPr>
        <w:t xml:space="preserve">homme lors des International Human </w:t>
      </w:r>
      <w:proofErr w:type="spellStart"/>
      <w:r w:rsidRPr="00FA2C7F">
        <w:rPr>
          <w:lang w:val="fr-FR"/>
        </w:rPr>
        <w:t>Rights</w:t>
      </w:r>
      <w:proofErr w:type="spellEnd"/>
      <w:r w:rsidRPr="00FA2C7F">
        <w:rPr>
          <w:lang w:val="fr-FR"/>
        </w:rPr>
        <w:t xml:space="preserve"> </w:t>
      </w:r>
      <w:proofErr w:type="spellStart"/>
      <w:r w:rsidRPr="00FA2C7F">
        <w:rPr>
          <w:lang w:val="fr-FR"/>
        </w:rPr>
        <w:t>Clinics</w:t>
      </w:r>
      <w:proofErr w:type="spellEnd"/>
      <w:r w:rsidRPr="00FA2C7F">
        <w:rPr>
          <w:lang w:val="fr-FR"/>
        </w:rPr>
        <w:t xml:space="preserve"> des universités de Harvard et de Stanford, ateliers dans le cadre desquels elle s</w:t>
      </w:r>
      <w:r>
        <w:rPr>
          <w:lang w:val="fr-FR"/>
        </w:rPr>
        <w:t>’</w:t>
      </w:r>
      <w:r w:rsidRPr="00FA2C7F">
        <w:rPr>
          <w:lang w:val="fr-FR"/>
        </w:rPr>
        <w:t>est concentrée sur l</w:t>
      </w:r>
      <w:r>
        <w:rPr>
          <w:lang w:val="fr-FR"/>
        </w:rPr>
        <w:t>’</w:t>
      </w:r>
      <w:r w:rsidRPr="00FA2C7F">
        <w:rPr>
          <w:lang w:val="fr-FR"/>
        </w:rPr>
        <w:t>Amérique centrale. En tant que consultante, elle travaille sur des questions telles que la prévention de la torture, l</w:t>
      </w:r>
      <w:r>
        <w:rPr>
          <w:lang w:val="fr-FR"/>
        </w:rPr>
        <w:t>’</w:t>
      </w:r>
      <w:r w:rsidRPr="00FA2C7F">
        <w:rPr>
          <w:lang w:val="fr-FR"/>
        </w:rPr>
        <w:t>indépendance de la justice, l</w:t>
      </w:r>
      <w:r>
        <w:rPr>
          <w:lang w:val="fr-FR"/>
        </w:rPr>
        <w:t>’</w:t>
      </w:r>
      <w:r w:rsidRPr="00FA2C7F">
        <w:rPr>
          <w:lang w:val="fr-FR"/>
        </w:rPr>
        <w:t>emploi de la force et l</w:t>
      </w:r>
      <w:r>
        <w:rPr>
          <w:lang w:val="fr-FR"/>
        </w:rPr>
        <w:t>’</w:t>
      </w:r>
      <w:r w:rsidRPr="00FA2C7F">
        <w:rPr>
          <w:lang w:val="fr-FR"/>
        </w:rPr>
        <w:t>égalité des genres. Elle a rendu des avis sur les th</w:t>
      </w:r>
      <w:r>
        <w:rPr>
          <w:lang w:val="fr-FR"/>
        </w:rPr>
        <w:t>è</w:t>
      </w:r>
      <w:r w:rsidRPr="00FA2C7F">
        <w:rPr>
          <w:lang w:val="fr-FR"/>
        </w:rPr>
        <w:t>me</w:t>
      </w:r>
      <w:r>
        <w:rPr>
          <w:lang w:val="fr-FR"/>
        </w:rPr>
        <w:t>s</w:t>
      </w:r>
      <w:r w:rsidRPr="00FA2C7F">
        <w:rPr>
          <w:lang w:val="fr-FR"/>
        </w:rPr>
        <w:t xml:space="preserve"> de la lutte contre la corruption et des droits de l</w:t>
      </w:r>
      <w:r>
        <w:rPr>
          <w:lang w:val="fr-FR"/>
        </w:rPr>
        <w:t>’</w:t>
      </w:r>
      <w:r w:rsidRPr="00FA2C7F">
        <w:rPr>
          <w:lang w:val="fr-FR"/>
        </w:rPr>
        <w:t>homme. À la Cour interaméricaine</w:t>
      </w:r>
      <w:r>
        <w:rPr>
          <w:lang w:val="fr-FR"/>
        </w:rPr>
        <w:t xml:space="preserve"> des droits de l’homme</w:t>
      </w:r>
      <w:r w:rsidRPr="00FA2C7F">
        <w:rPr>
          <w:lang w:val="fr-FR"/>
        </w:rPr>
        <w:t>, elle a été l</w:t>
      </w:r>
      <w:r>
        <w:rPr>
          <w:lang w:val="fr-FR"/>
        </w:rPr>
        <w:t>’</w:t>
      </w:r>
      <w:r w:rsidRPr="00FA2C7F">
        <w:rPr>
          <w:lang w:val="fr-FR"/>
        </w:rPr>
        <w:t>un des principaux artisans d</w:t>
      </w:r>
      <w:r>
        <w:rPr>
          <w:lang w:val="fr-FR"/>
        </w:rPr>
        <w:t>’</w:t>
      </w:r>
      <w:r w:rsidRPr="00FA2C7F">
        <w:rPr>
          <w:lang w:val="fr-FR"/>
        </w:rPr>
        <w:t>un jugement historique sur la violence contre les femmes et le féminicide</w:t>
      </w:r>
      <w:r>
        <w:rPr>
          <w:lang w:val="fr-FR"/>
        </w:rPr>
        <w:t>.</w:t>
      </w:r>
      <w:r w:rsidRPr="00FA2C7F">
        <w:rPr>
          <w:lang w:val="fr-FR"/>
        </w:rPr>
        <w:t xml:space="preserve"> En tant que conférencière invitée de la Faculté latino-américaine des sciences sociales, elle enseigne actuellement aux femmes la négociation dans le service public. Son expérience l</w:t>
      </w:r>
      <w:r>
        <w:rPr>
          <w:lang w:val="fr-FR"/>
        </w:rPr>
        <w:t>’</w:t>
      </w:r>
      <w:r w:rsidRPr="00FA2C7F">
        <w:rPr>
          <w:lang w:val="fr-FR"/>
        </w:rPr>
        <w:t>a conduit</w:t>
      </w:r>
      <w:r w:rsidR="004E277D">
        <w:rPr>
          <w:lang w:val="fr-FR"/>
        </w:rPr>
        <w:t>e</w:t>
      </w:r>
      <w:r w:rsidRPr="00FA2C7F">
        <w:rPr>
          <w:lang w:val="fr-FR"/>
        </w:rPr>
        <w:t xml:space="preserve"> à </w:t>
      </w:r>
      <w:r>
        <w:rPr>
          <w:lang w:val="fr-FR"/>
        </w:rPr>
        <w:t>collaborer avec</w:t>
      </w:r>
      <w:r w:rsidRPr="00FA2C7F">
        <w:rPr>
          <w:lang w:val="fr-FR"/>
        </w:rPr>
        <w:t xml:space="preserve"> des personnes de différents horizons, notamment des universitaires, des diplomates, des responsables politiques, des militants des droits de l</w:t>
      </w:r>
      <w:r>
        <w:rPr>
          <w:lang w:val="fr-FR"/>
        </w:rPr>
        <w:t>’</w:t>
      </w:r>
      <w:r w:rsidRPr="00FA2C7F">
        <w:rPr>
          <w:lang w:val="fr-FR"/>
        </w:rPr>
        <w:t xml:space="preserve">homme, des policiers, des agents pénitentiaires et des victimes de torture. La société civile panaméenne a salué son militantisme en faveur de la défense des droits des personnes privées de liberté. </w:t>
      </w:r>
    </w:p>
    <w:p w14:paraId="68FC9801" w14:textId="38A54767" w:rsidR="00557AFB" w:rsidRPr="00FA2C7F" w:rsidRDefault="00557AFB" w:rsidP="004E277D">
      <w:pPr>
        <w:pStyle w:val="H23G"/>
        <w:rPr>
          <w:lang w:val="fr-FR"/>
        </w:rPr>
      </w:pPr>
      <w:r w:rsidRPr="00FA2C7F">
        <w:rPr>
          <w:lang w:val="fr-FR"/>
        </w:rPr>
        <w:tab/>
      </w:r>
      <w:r w:rsidRPr="00FA2C7F">
        <w:rPr>
          <w:lang w:val="fr-FR"/>
        </w:rPr>
        <w:tab/>
        <w:t>Liste des publications les plus récentes dans les domaine</w:t>
      </w:r>
      <w:r>
        <w:rPr>
          <w:lang w:val="fr-FR"/>
        </w:rPr>
        <w:t>s</w:t>
      </w:r>
      <w:r w:rsidRPr="00FA2C7F">
        <w:rPr>
          <w:lang w:val="fr-FR"/>
        </w:rPr>
        <w:t xml:space="preserve"> présentant un intérêt </w:t>
      </w:r>
      <w:r w:rsidR="004E277D">
        <w:rPr>
          <w:lang w:val="fr-FR"/>
        </w:rPr>
        <w:br/>
      </w:r>
      <w:r w:rsidRPr="00FA2C7F">
        <w:rPr>
          <w:lang w:val="fr-FR"/>
        </w:rPr>
        <w:t>pour le mandat du Sous-Comité pour la prévention de la torture</w:t>
      </w:r>
    </w:p>
    <w:p w14:paraId="4A144CB7" w14:textId="302F194D" w:rsidR="00A45A13" w:rsidRDefault="00557AFB" w:rsidP="00557AFB">
      <w:pPr>
        <w:pStyle w:val="SingleTxtG"/>
        <w:rPr>
          <w:lang w:val="es-ES"/>
        </w:rPr>
      </w:pPr>
      <w:r w:rsidRPr="004E277D">
        <w:rPr>
          <w:i/>
          <w:iCs/>
          <w:lang w:val="es-ES"/>
        </w:rPr>
        <w:t>Uso de la fuerza en la protesta social</w:t>
      </w:r>
      <w:r w:rsidRPr="00A610D6">
        <w:rPr>
          <w:lang w:val="es-ES"/>
        </w:rPr>
        <w:t xml:space="preserve"> (Konrad Adenauer, </w:t>
      </w:r>
      <w:proofErr w:type="spellStart"/>
      <w:r w:rsidRPr="00A610D6">
        <w:rPr>
          <w:lang w:val="es-ES"/>
        </w:rPr>
        <w:t>oct</w:t>
      </w:r>
      <w:r w:rsidR="004E277D">
        <w:rPr>
          <w:lang w:val="es-ES"/>
        </w:rPr>
        <w:t>obre</w:t>
      </w:r>
      <w:proofErr w:type="spellEnd"/>
      <w:r w:rsidRPr="00A610D6">
        <w:rPr>
          <w:lang w:val="es-ES"/>
        </w:rPr>
        <w:t xml:space="preserve"> 2022</w:t>
      </w:r>
      <w:proofErr w:type="gramStart"/>
      <w:r w:rsidRPr="00A610D6">
        <w:rPr>
          <w:lang w:val="es-ES"/>
        </w:rPr>
        <w:t>)</w:t>
      </w:r>
      <w:r w:rsidR="00EB5599">
        <w:rPr>
          <w:lang w:val="es-ES"/>
        </w:rPr>
        <w:t> ;</w:t>
      </w:r>
      <w:proofErr w:type="gramEnd"/>
      <w:r w:rsidRPr="00A610D6">
        <w:rPr>
          <w:lang w:val="es-ES"/>
        </w:rPr>
        <w:t xml:space="preserve"> </w:t>
      </w:r>
      <w:r w:rsidRPr="004E277D">
        <w:rPr>
          <w:i/>
          <w:iCs/>
          <w:lang w:val="es-ES"/>
        </w:rPr>
        <w:t>La Pandemia de Covid-19 y la Política Penitenciaria en Latinoamérica</w:t>
      </w:r>
      <w:r w:rsidRPr="00A610D6">
        <w:rPr>
          <w:lang w:val="es-ES"/>
        </w:rPr>
        <w:t xml:space="preserve"> (Diálogo Interamericano 2021)</w:t>
      </w:r>
      <w:r w:rsidR="00EB5599">
        <w:rPr>
          <w:lang w:val="es-ES"/>
        </w:rPr>
        <w:t> ;</w:t>
      </w:r>
      <w:r w:rsidRPr="00A610D6">
        <w:rPr>
          <w:lang w:val="es-ES"/>
        </w:rPr>
        <w:t xml:space="preserve"> </w:t>
      </w:r>
      <w:r w:rsidRPr="00745501">
        <w:rPr>
          <w:i/>
          <w:iCs/>
          <w:lang w:val="es-ES"/>
        </w:rPr>
        <w:t>Los muros no detienen las pandemias</w:t>
      </w:r>
      <w:r w:rsidRPr="00A610D6">
        <w:rPr>
          <w:lang w:val="es-ES"/>
        </w:rPr>
        <w:t xml:space="preserve"> (Blog CEJIL 2020)</w:t>
      </w:r>
      <w:r w:rsidR="00EB5599">
        <w:rPr>
          <w:lang w:val="es-ES"/>
        </w:rPr>
        <w:t> ;</w:t>
      </w:r>
      <w:r w:rsidRPr="00A610D6">
        <w:rPr>
          <w:lang w:val="es-ES"/>
        </w:rPr>
        <w:t xml:space="preserve"> </w:t>
      </w:r>
      <w:proofErr w:type="spellStart"/>
      <w:r w:rsidRPr="00A610D6">
        <w:rPr>
          <w:lang w:val="es-ES"/>
        </w:rPr>
        <w:t>articles</w:t>
      </w:r>
      <w:proofErr w:type="spellEnd"/>
      <w:r w:rsidRPr="00A610D6">
        <w:rPr>
          <w:lang w:val="es-ES"/>
        </w:rPr>
        <w:t xml:space="preserve"> </w:t>
      </w:r>
      <w:proofErr w:type="spellStart"/>
      <w:r w:rsidRPr="00A610D6">
        <w:rPr>
          <w:lang w:val="es-ES"/>
        </w:rPr>
        <w:t>d</w:t>
      </w:r>
      <w:r>
        <w:rPr>
          <w:lang w:val="es-ES"/>
        </w:rPr>
        <w:t>’</w:t>
      </w:r>
      <w:r w:rsidRPr="00A610D6">
        <w:rPr>
          <w:lang w:val="es-ES"/>
        </w:rPr>
        <w:t>opinion</w:t>
      </w:r>
      <w:proofErr w:type="spellEnd"/>
      <w:r w:rsidRPr="00A610D6">
        <w:rPr>
          <w:lang w:val="es-ES"/>
        </w:rPr>
        <w:t xml:space="preserve"> dans </w:t>
      </w:r>
      <w:r w:rsidRPr="00745501">
        <w:rPr>
          <w:i/>
          <w:iCs/>
          <w:lang w:val="es-ES"/>
        </w:rPr>
        <w:t>La Prensa</w:t>
      </w:r>
      <w:r w:rsidRPr="00A610D6">
        <w:rPr>
          <w:lang w:val="es-ES"/>
        </w:rPr>
        <w:t xml:space="preserve"> (</w:t>
      </w:r>
      <w:proofErr w:type="spellStart"/>
      <w:r w:rsidRPr="00A610D6">
        <w:rPr>
          <w:lang w:val="es-ES"/>
        </w:rPr>
        <w:t>Panama</w:t>
      </w:r>
      <w:proofErr w:type="spellEnd"/>
      <w:r w:rsidRPr="00A610D6">
        <w:rPr>
          <w:lang w:val="es-ES"/>
        </w:rPr>
        <w:t>, 2008-</w:t>
      </w:r>
      <w:r w:rsidR="00745501">
        <w:rPr>
          <w:lang w:val="es-ES"/>
        </w:rPr>
        <w:t>20</w:t>
      </w:r>
      <w:r w:rsidRPr="00A610D6">
        <w:rPr>
          <w:lang w:val="es-ES"/>
        </w:rPr>
        <w:t>17)</w:t>
      </w:r>
      <w:r w:rsidR="00EB5599">
        <w:rPr>
          <w:lang w:val="es-ES"/>
        </w:rPr>
        <w:t> ;</w:t>
      </w:r>
      <w:r w:rsidRPr="00A610D6">
        <w:rPr>
          <w:lang w:val="es-ES"/>
        </w:rPr>
        <w:t xml:space="preserve"> </w:t>
      </w:r>
      <w:r w:rsidRPr="00745501">
        <w:rPr>
          <w:i/>
          <w:iCs/>
          <w:lang w:val="es-ES"/>
        </w:rPr>
        <w:t>La Crisis en Panamá Continúa: ¿Hacia un Sistema Penitenciario que Respete los Derechos Humanos?</w:t>
      </w:r>
      <w:r w:rsidRPr="00A610D6">
        <w:rPr>
          <w:lang w:val="es-ES"/>
        </w:rPr>
        <w:t xml:space="preserve"> (</w:t>
      </w:r>
      <w:r w:rsidR="001A0AA7">
        <w:rPr>
          <w:lang w:val="es-ES"/>
        </w:rPr>
        <w:t>f</w:t>
      </w:r>
      <w:r w:rsidRPr="00A610D6">
        <w:rPr>
          <w:lang w:val="es-ES"/>
        </w:rPr>
        <w:t xml:space="preserve">aculté de </w:t>
      </w:r>
      <w:proofErr w:type="spellStart"/>
      <w:r w:rsidRPr="00A610D6">
        <w:rPr>
          <w:lang w:val="es-ES"/>
        </w:rPr>
        <w:t>droit</w:t>
      </w:r>
      <w:proofErr w:type="spellEnd"/>
      <w:r w:rsidRPr="00A610D6">
        <w:rPr>
          <w:lang w:val="es-ES"/>
        </w:rPr>
        <w:t xml:space="preserve"> de Stanford, 2013</w:t>
      </w:r>
      <w:proofErr w:type="gramStart"/>
      <w:r w:rsidRPr="00A610D6">
        <w:rPr>
          <w:lang w:val="es-ES"/>
        </w:rPr>
        <w:t>)</w:t>
      </w:r>
      <w:r w:rsidR="00EB5599">
        <w:rPr>
          <w:lang w:val="es-ES"/>
        </w:rPr>
        <w:t> ;</w:t>
      </w:r>
      <w:proofErr w:type="gramEnd"/>
      <w:r w:rsidRPr="00A610D6">
        <w:rPr>
          <w:lang w:val="es-ES"/>
        </w:rPr>
        <w:t xml:space="preserve"> </w:t>
      </w:r>
      <w:r w:rsidRPr="001A0AA7">
        <w:rPr>
          <w:i/>
          <w:iCs/>
          <w:lang w:val="es-ES"/>
        </w:rPr>
        <w:t>« Del Portón Para Acá Se Acaban Los Derechos Humanos »</w:t>
      </w:r>
      <w:r w:rsidR="001A0AA7">
        <w:rPr>
          <w:i/>
          <w:iCs/>
          <w:lang w:val="es-ES"/>
        </w:rPr>
        <w:t> </w:t>
      </w:r>
      <w:r w:rsidRPr="001A0AA7">
        <w:rPr>
          <w:i/>
          <w:iCs/>
          <w:lang w:val="es-ES"/>
        </w:rPr>
        <w:t>: Injusticia y Desigualdad en las Cárceles Panameñas</w:t>
      </w:r>
      <w:r w:rsidRPr="00A610D6">
        <w:rPr>
          <w:lang w:val="es-ES"/>
        </w:rPr>
        <w:t xml:space="preserve"> (</w:t>
      </w:r>
      <w:r w:rsidR="001A0AA7">
        <w:rPr>
          <w:lang w:val="es-ES"/>
        </w:rPr>
        <w:t>f</w:t>
      </w:r>
      <w:r w:rsidRPr="00A610D6">
        <w:rPr>
          <w:lang w:val="es-ES"/>
        </w:rPr>
        <w:t xml:space="preserve">aculté de </w:t>
      </w:r>
      <w:proofErr w:type="spellStart"/>
      <w:r w:rsidRPr="00A610D6">
        <w:rPr>
          <w:lang w:val="es-ES"/>
        </w:rPr>
        <w:t>droit</w:t>
      </w:r>
      <w:proofErr w:type="spellEnd"/>
      <w:r w:rsidRPr="00A610D6">
        <w:rPr>
          <w:lang w:val="es-ES"/>
        </w:rPr>
        <w:t xml:space="preserve"> de Harvard, 2008).</w:t>
      </w:r>
    </w:p>
    <w:p w14:paraId="331ECBAF" w14:textId="3F78CBBF" w:rsidR="00557AFB" w:rsidRPr="00557AFB" w:rsidRDefault="00557AFB" w:rsidP="00557AFB">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557AFB" w:rsidRPr="00557AFB" w:rsidSect="00A45A1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A6BF" w14:textId="77777777" w:rsidR="00E41467" w:rsidRPr="009C4D45" w:rsidRDefault="00E41467" w:rsidP="009C4D45">
      <w:pPr>
        <w:pStyle w:val="Footer"/>
      </w:pPr>
    </w:p>
  </w:endnote>
  <w:endnote w:type="continuationSeparator" w:id="0">
    <w:p w14:paraId="635A820B" w14:textId="77777777" w:rsidR="00E41467" w:rsidRPr="009C4D45" w:rsidRDefault="00E41467" w:rsidP="009C4D45">
      <w:pPr>
        <w:pStyle w:val="Footer"/>
      </w:pPr>
    </w:p>
  </w:endnote>
  <w:endnote w:type="continuationNotice" w:id="1">
    <w:p w14:paraId="6D401FC4" w14:textId="77777777" w:rsidR="00E41467" w:rsidRDefault="00E414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A8AD" w14:textId="52B0876F" w:rsidR="00A45A13" w:rsidRPr="00A45A13" w:rsidRDefault="00A45A13" w:rsidP="00A45A13">
    <w:pPr>
      <w:pStyle w:val="Footer"/>
      <w:tabs>
        <w:tab w:val="right" w:pos="9638"/>
      </w:tabs>
    </w:pPr>
    <w:r w:rsidRPr="00A45A13">
      <w:rPr>
        <w:b/>
        <w:sz w:val="18"/>
      </w:rPr>
      <w:fldChar w:fldCharType="begin"/>
    </w:r>
    <w:r w:rsidRPr="00A45A13">
      <w:rPr>
        <w:b/>
        <w:sz w:val="18"/>
      </w:rPr>
      <w:instrText xml:space="preserve"> PAGE  \* MERGEFORMAT </w:instrText>
    </w:r>
    <w:r w:rsidRPr="00A45A13">
      <w:rPr>
        <w:b/>
        <w:sz w:val="18"/>
      </w:rPr>
      <w:fldChar w:fldCharType="separate"/>
    </w:r>
    <w:r w:rsidRPr="00A45A13">
      <w:rPr>
        <w:b/>
        <w:noProof/>
        <w:sz w:val="18"/>
      </w:rPr>
      <w:t>2</w:t>
    </w:r>
    <w:r w:rsidRPr="00A45A13">
      <w:rPr>
        <w:b/>
        <w:sz w:val="18"/>
      </w:rPr>
      <w:fldChar w:fldCharType="end"/>
    </w:r>
    <w:r>
      <w:rPr>
        <w:b/>
        <w:sz w:val="18"/>
      </w:rPr>
      <w:tab/>
    </w:r>
    <w:r>
      <w:t>GE. 22</w:t>
    </w:r>
    <w:r w:rsidR="0004496E">
      <w:t>-</w:t>
    </w:r>
    <w:r>
      <w:t>14016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7C5D" w14:textId="51A0C376" w:rsidR="00A45A13" w:rsidRPr="00A45A13" w:rsidRDefault="00A45A13" w:rsidP="00A45A13">
    <w:pPr>
      <w:pStyle w:val="Footer"/>
      <w:tabs>
        <w:tab w:val="right" w:pos="9638"/>
      </w:tabs>
      <w:rPr>
        <w:b/>
        <w:sz w:val="18"/>
      </w:rPr>
    </w:pPr>
    <w:r>
      <w:t>GE. 22</w:t>
    </w:r>
    <w:r w:rsidR="0004496E">
      <w:t>-</w:t>
    </w:r>
    <w:r>
      <w:t>14016</w:t>
    </w:r>
    <w:r>
      <w:tab/>
    </w:r>
    <w:r w:rsidRPr="00A45A13">
      <w:rPr>
        <w:b/>
        <w:sz w:val="18"/>
      </w:rPr>
      <w:fldChar w:fldCharType="begin"/>
    </w:r>
    <w:r w:rsidRPr="00A45A13">
      <w:rPr>
        <w:b/>
        <w:sz w:val="18"/>
      </w:rPr>
      <w:instrText xml:space="preserve"> PAGE  \* MERGEFORMAT </w:instrText>
    </w:r>
    <w:r w:rsidRPr="00A45A13">
      <w:rPr>
        <w:b/>
        <w:sz w:val="18"/>
      </w:rPr>
      <w:fldChar w:fldCharType="separate"/>
    </w:r>
    <w:r w:rsidRPr="00A45A13">
      <w:rPr>
        <w:b/>
        <w:noProof/>
        <w:sz w:val="18"/>
      </w:rPr>
      <w:t>3</w:t>
    </w:r>
    <w:r w:rsidRPr="00A45A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45AC" w14:textId="37925CF4" w:rsidR="00D86A88" w:rsidRPr="00A45A13" w:rsidRDefault="00A45A13" w:rsidP="00A45A13">
    <w:pPr>
      <w:pStyle w:val="Footer"/>
      <w:spacing w:before="120"/>
      <w:rPr>
        <w:sz w:val="20"/>
      </w:rPr>
    </w:pPr>
    <w:r>
      <w:rPr>
        <w:sz w:val="20"/>
      </w:rPr>
      <w:t>GE.</w:t>
    </w:r>
    <w:r w:rsidR="00D86A88">
      <w:rPr>
        <w:noProof/>
        <w:lang w:eastAsia="fr-CH"/>
      </w:rPr>
      <w:drawing>
        <wp:anchor distT="0" distB="0" distL="114300" distR="114300" simplePos="0" relativeHeight="251659264" behindDoc="0" locked="0" layoutInCell="1" allowOverlap="0" wp14:anchorId="37A13901" wp14:editId="7448943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w:t>
    </w:r>
    <w:r w:rsidR="00CA4C06">
      <w:rPr>
        <w:sz w:val="20"/>
      </w:rPr>
      <w:t>-</w:t>
    </w:r>
    <w:proofErr w:type="gramStart"/>
    <w:r>
      <w:rPr>
        <w:sz w:val="20"/>
      </w:rPr>
      <w:t>14016  (</w:t>
    </w:r>
    <w:proofErr w:type="gramEnd"/>
    <w:r>
      <w:rPr>
        <w:sz w:val="20"/>
      </w:rPr>
      <w:t>F)</w:t>
    </w:r>
    <w:r>
      <w:rPr>
        <w:noProof/>
        <w:sz w:val="20"/>
      </w:rPr>
      <w:drawing>
        <wp:anchor distT="0" distB="0" distL="114300" distR="114300" simplePos="0" relativeHeight="251660288" behindDoc="0" locked="0" layoutInCell="1" allowOverlap="1" wp14:anchorId="06D7D67F" wp14:editId="32D2DA5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270922    280922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7EF5" w14:textId="77777777" w:rsidR="00E41467" w:rsidRPr="009C4D45" w:rsidRDefault="00E41467" w:rsidP="009C4D45">
      <w:pPr>
        <w:pStyle w:val="Footer"/>
        <w:tabs>
          <w:tab w:val="right" w:pos="2155"/>
        </w:tabs>
        <w:spacing w:after="80" w:line="240" w:lineRule="atLeast"/>
        <w:ind w:left="680"/>
        <w:rPr>
          <w:u w:val="single"/>
        </w:rPr>
      </w:pPr>
      <w:r>
        <w:rPr>
          <w:u w:val="single"/>
        </w:rPr>
        <w:tab/>
      </w:r>
    </w:p>
  </w:footnote>
  <w:footnote w:type="continuationSeparator" w:id="0">
    <w:p w14:paraId="5AA3D4BC" w14:textId="77777777" w:rsidR="00E41467" w:rsidRPr="00206E84" w:rsidRDefault="00E41467" w:rsidP="00206E84">
      <w:pPr>
        <w:pStyle w:val="Footer"/>
        <w:tabs>
          <w:tab w:val="right" w:pos="2155"/>
        </w:tabs>
        <w:spacing w:after="80" w:line="240" w:lineRule="atLeast"/>
        <w:ind w:left="680"/>
        <w:rPr>
          <w:u w:val="single"/>
        </w:rPr>
      </w:pPr>
      <w:r>
        <w:rPr>
          <w:u w:val="single"/>
        </w:rPr>
        <w:tab/>
      </w:r>
    </w:p>
  </w:footnote>
  <w:footnote w:type="continuationNotice" w:id="1">
    <w:p w14:paraId="5CB1B37A" w14:textId="77777777" w:rsidR="00E41467" w:rsidRPr="00206E84" w:rsidRDefault="00E41467">
      <w:pPr>
        <w:spacing w:line="240" w:lineRule="auto"/>
        <w:rPr>
          <w:sz w:val="2"/>
          <w:szCs w:val="2"/>
        </w:rPr>
      </w:pPr>
    </w:p>
  </w:footnote>
  <w:footnote w:id="2">
    <w:p w14:paraId="3432BCB2" w14:textId="77777777" w:rsidR="00557AFB" w:rsidRPr="00FA2C7F" w:rsidRDefault="00557AFB" w:rsidP="00557AFB">
      <w:pPr>
        <w:pStyle w:val="FootnoteText"/>
        <w:rPr>
          <w:lang w:val="fr-FR"/>
        </w:rPr>
      </w:pPr>
      <w:r>
        <w:rPr>
          <w:lang w:val="fr-FR"/>
        </w:rPr>
        <w:tab/>
        <w:t>*</w:t>
      </w:r>
      <w:r>
        <w:rPr>
          <w:lang w:val="fr-FR"/>
        </w:rPr>
        <w:tab/>
        <w:t>Les curriculum vitae ne sont pas revus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E76A" w14:textId="6D6B9680" w:rsidR="00A45A13" w:rsidRPr="00A45A13" w:rsidRDefault="003776A2">
    <w:pPr>
      <w:pStyle w:val="Header"/>
    </w:pPr>
    <w:r>
      <w:fldChar w:fldCharType="begin"/>
    </w:r>
    <w:r>
      <w:instrText xml:space="preserve"> TITLE  \* MERGEFORMAT </w:instrText>
    </w:r>
    <w:r>
      <w:fldChar w:fldCharType="separate"/>
    </w:r>
    <w:r w:rsidR="00FF7CD6">
      <w:t>CAT/OP/SP/20/Add.1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BA8" w14:textId="7E6D40ED" w:rsidR="00A45A13" w:rsidRPr="00A45A13" w:rsidRDefault="003776A2" w:rsidP="00A45A13">
    <w:pPr>
      <w:pStyle w:val="Header"/>
      <w:jc w:val="right"/>
    </w:pPr>
    <w:r>
      <w:fldChar w:fldCharType="begin"/>
    </w:r>
    <w:r>
      <w:instrText xml:space="preserve"> TITLE  \* MERGEFORMAT </w:instrText>
    </w:r>
    <w:r>
      <w:fldChar w:fldCharType="separate"/>
    </w:r>
    <w:r w:rsidR="00FF7CD6">
      <w:t>CAT/OP/SP/20/Add.1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BC6D" w14:textId="77777777" w:rsidR="0004496E" w:rsidRDefault="00044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67"/>
    <w:rsid w:val="00023842"/>
    <w:rsid w:val="0004496E"/>
    <w:rsid w:val="0007796D"/>
    <w:rsid w:val="00095B2A"/>
    <w:rsid w:val="000C38B4"/>
    <w:rsid w:val="00111F2F"/>
    <w:rsid w:val="0014365E"/>
    <w:rsid w:val="00152481"/>
    <w:rsid w:val="00176178"/>
    <w:rsid w:val="001A0AA7"/>
    <w:rsid w:val="001F525A"/>
    <w:rsid w:val="00206E84"/>
    <w:rsid w:val="0033264B"/>
    <w:rsid w:val="00355261"/>
    <w:rsid w:val="003776A2"/>
    <w:rsid w:val="00446FE5"/>
    <w:rsid w:val="004C31C2"/>
    <w:rsid w:val="004E277D"/>
    <w:rsid w:val="00557AFB"/>
    <w:rsid w:val="00573BE5"/>
    <w:rsid w:val="00586ED3"/>
    <w:rsid w:val="00587A52"/>
    <w:rsid w:val="005A75E7"/>
    <w:rsid w:val="005B4E23"/>
    <w:rsid w:val="005C503D"/>
    <w:rsid w:val="005F5AC4"/>
    <w:rsid w:val="00611FDE"/>
    <w:rsid w:val="00684D6C"/>
    <w:rsid w:val="006F4F16"/>
    <w:rsid w:val="0071601D"/>
    <w:rsid w:val="00723801"/>
    <w:rsid w:val="00745501"/>
    <w:rsid w:val="0080684C"/>
    <w:rsid w:val="00834EE9"/>
    <w:rsid w:val="00871C75"/>
    <w:rsid w:val="008776DC"/>
    <w:rsid w:val="008A2636"/>
    <w:rsid w:val="008F594C"/>
    <w:rsid w:val="009705C8"/>
    <w:rsid w:val="00974DB6"/>
    <w:rsid w:val="009C4AB5"/>
    <w:rsid w:val="009C4D45"/>
    <w:rsid w:val="00A31818"/>
    <w:rsid w:val="00A45A13"/>
    <w:rsid w:val="00AA0CD3"/>
    <w:rsid w:val="00AE323C"/>
    <w:rsid w:val="00B4770A"/>
    <w:rsid w:val="00C02897"/>
    <w:rsid w:val="00C64A6D"/>
    <w:rsid w:val="00CA4C06"/>
    <w:rsid w:val="00CC6F3F"/>
    <w:rsid w:val="00D86A88"/>
    <w:rsid w:val="00DB1831"/>
    <w:rsid w:val="00DD3BFD"/>
    <w:rsid w:val="00E304F0"/>
    <w:rsid w:val="00E41467"/>
    <w:rsid w:val="00E77891"/>
    <w:rsid w:val="00E978E7"/>
    <w:rsid w:val="00EB5599"/>
    <w:rsid w:val="00F2249C"/>
    <w:rsid w:val="00F660DF"/>
    <w:rsid w:val="00F95C08"/>
    <w:rsid w:val="00FC6BF9"/>
    <w:rsid w:val="00FF7C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9E8CE"/>
  <w15:docId w15:val="{9272C5E8-F7A6-463E-98B2-6E6F14A8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C64A6D"/>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C64A6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C64A6D"/>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C64A6D"/>
    <w:pPr>
      <w:spacing w:line="240" w:lineRule="auto"/>
    </w:pPr>
    <w:rPr>
      <w:sz w:val="16"/>
    </w:rPr>
  </w:style>
  <w:style w:type="character" w:customStyle="1" w:styleId="FooterChar">
    <w:name w:val="Footer Char"/>
    <w:aliases w:val="3_G Char"/>
    <w:basedOn w:val="DefaultParagraphFont"/>
    <w:link w:val="Footer"/>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C64A6D"/>
    <w:pPr>
      <w:tabs>
        <w:tab w:val="left" w:pos="1701"/>
        <w:tab w:val="left" w:pos="2268"/>
        <w:tab w:val="left" w:pos="2835"/>
      </w:tabs>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C64A6D"/>
    <w:rPr>
      <w:rFonts w:ascii="Times New Roman" w:hAnsi="Times New Roman"/>
      <w:sz w:val="18"/>
      <w:vertAlign w:val="superscript"/>
      <w:lang w:val="fr-CH"/>
    </w:rPr>
  </w:style>
  <w:style w:type="character" w:styleId="EndnoteReference">
    <w:name w:val="endnote reference"/>
    <w:aliases w:val="1_G"/>
    <w:basedOn w:val="FootnoteReference"/>
    <w:qFormat/>
    <w:rsid w:val="00C64A6D"/>
    <w:rPr>
      <w:rFonts w:ascii="Times New Roman" w:hAnsi="Times New Roman"/>
      <w:sz w:val="18"/>
      <w:vertAlign w:val="superscript"/>
      <w:lang w:val="fr-CH"/>
    </w:rPr>
  </w:style>
  <w:style w:type="table" w:styleId="TableGrid">
    <w:name w:val="Table Grid"/>
    <w:basedOn w:val="Table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C64A6D"/>
    <w:rPr>
      <w:color w:val="0000FF"/>
      <w:u w:val="none"/>
    </w:rPr>
  </w:style>
  <w:style w:type="character" w:styleId="FollowedHyperlink">
    <w:name w:val="FollowedHyperlink"/>
    <w:basedOn w:val="DefaultParagraphFont"/>
    <w:unhideWhenUsed/>
    <w:rsid w:val="00C64A6D"/>
    <w:rPr>
      <w:color w:val="0000FF"/>
      <w:u w:val="none"/>
    </w:rPr>
  </w:style>
  <w:style w:type="paragraph" w:styleId="FootnoteText">
    <w:name w:val="footnote text"/>
    <w:aliases w:val="5_G"/>
    <w:basedOn w:val="Normal"/>
    <w:link w:val="FootnoteTextChar"/>
    <w:qFormat/>
    <w:rsid w:val="00C64A6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64A6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C64A6D"/>
  </w:style>
  <w:style w:type="character" w:customStyle="1" w:styleId="EndnoteTextChar">
    <w:name w:val="Endnote Text Char"/>
    <w:aliases w:val="2_G Char"/>
    <w:basedOn w:val="DefaultParagraphFont"/>
    <w:link w:val="EndnoteText"/>
    <w:rsid w:val="00C64A6D"/>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C64A6D"/>
    <w:rPr>
      <w:rFonts w:ascii="Times New Roman" w:hAnsi="Times New Roman"/>
      <w:b/>
      <w:sz w:val="18"/>
      <w:lang w:val="fr-CH"/>
    </w:rPr>
  </w:style>
  <w:style w:type="character" w:customStyle="1" w:styleId="Heading1Char">
    <w:name w:val="Heading 1 Char"/>
    <w:aliases w:val="Table_G Char"/>
    <w:basedOn w:val="DefaultParagraphFont"/>
    <w:link w:val="Heading1"/>
    <w:rsid w:val="00C64A6D"/>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B477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70A"/>
    <w:rPr>
      <w:rFonts w:ascii="Tahoma" w:eastAsia="Times New Roman" w:hAnsi="Tahoma" w:cs="Tahoma"/>
      <w:sz w:val="16"/>
      <w:szCs w:val="16"/>
      <w:lang w:eastAsia="en-US"/>
    </w:rPr>
  </w:style>
  <w:style w:type="character" w:styleId="UnresolvedMention">
    <w:name w:val="Unresolved Mention"/>
    <w:basedOn w:val="DefaultParagraphFont"/>
    <w:uiPriority w:val="99"/>
    <w:semiHidden/>
    <w:unhideWhenUsed/>
    <w:rsid w:val="000C3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CAT/OP/SP/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3</Pages>
  <Words>978</Words>
  <Characters>5578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CAT/OP/SP/20/Add.1</vt:lpstr>
    </vt:vector>
  </TitlesOfParts>
  <Company>DCM</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CAT/OP/SP/20/Add.1</dc:title>
  <dc:subject/>
  <dc:creator>Nathalie VITTOZ</dc:creator>
  <cp:keywords/>
  <cp:lastModifiedBy>Farida Negreche</cp:lastModifiedBy>
  <cp:revision>2</cp:revision>
  <cp:lastPrinted>2022-09-28T09:43:00Z</cp:lastPrinted>
  <dcterms:created xsi:type="dcterms:W3CDTF">2022-09-30T11:55:00Z</dcterms:created>
  <dcterms:modified xsi:type="dcterms:W3CDTF">2022-09-30T11:55:00Z</dcterms:modified>
</cp:coreProperties>
</file>