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1121509" w14:textId="77777777" w:rsidTr="00562621">
        <w:trPr>
          <w:trHeight w:val="851"/>
        </w:trPr>
        <w:tc>
          <w:tcPr>
            <w:tcW w:w="1259" w:type="dxa"/>
            <w:tcBorders>
              <w:top w:val="nil"/>
              <w:left w:val="nil"/>
              <w:bottom w:val="single" w:sz="4" w:space="0" w:color="auto"/>
              <w:right w:val="nil"/>
            </w:tcBorders>
          </w:tcPr>
          <w:p w14:paraId="2E55CE8E"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CE1D782" w14:textId="31FC2732"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F15595C" w14:textId="536CBE5A" w:rsidR="00446DE4" w:rsidRPr="00DE3EC0" w:rsidRDefault="007F6095" w:rsidP="007F6095">
            <w:pPr>
              <w:jc w:val="right"/>
            </w:pPr>
            <w:r w:rsidRPr="007F6095">
              <w:rPr>
                <w:sz w:val="40"/>
              </w:rPr>
              <w:t>A</w:t>
            </w:r>
            <w:r>
              <w:t>/HRC/57/4/Add.1</w:t>
            </w:r>
          </w:p>
        </w:tc>
      </w:tr>
      <w:tr w:rsidR="003107FA" w14:paraId="4152504B" w14:textId="77777777" w:rsidTr="00562621">
        <w:trPr>
          <w:trHeight w:val="2835"/>
        </w:trPr>
        <w:tc>
          <w:tcPr>
            <w:tcW w:w="1259" w:type="dxa"/>
            <w:tcBorders>
              <w:top w:val="single" w:sz="4" w:space="0" w:color="auto"/>
              <w:left w:val="nil"/>
              <w:bottom w:val="single" w:sz="12" w:space="0" w:color="auto"/>
              <w:right w:val="nil"/>
            </w:tcBorders>
          </w:tcPr>
          <w:p w14:paraId="4DBDC26D" w14:textId="4B91C33F"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03D8A65E" w14:textId="25BE8410" w:rsidR="003107FA" w:rsidRPr="00B3317B" w:rsidRDefault="00C91A07" w:rsidP="00562621">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14:paraId="41947882" w14:textId="77777777" w:rsidR="003107FA" w:rsidRDefault="007F6095" w:rsidP="007F6095">
            <w:pPr>
              <w:spacing w:before="240" w:line="240" w:lineRule="exact"/>
            </w:pPr>
            <w:r>
              <w:t>Distr.: General</w:t>
            </w:r>
          </w:p>
          <w:p w14:paraId="1CC76759" w14:textId="3385FF04" w:rsidR="007F6095" w:rsidRDefault="007F6095" w:rsidP="007F6095">
            <w:pPr>
              <w:spacing w:line="240" w:lineRule="exact"/>
            </w:pPr>
            <w:r>
              <w:t>2</w:t>
            </w:r>
            <w:r w:rsidR="00790244">
              <w:t>7</w:t>
            </w:r>
            <w:r>
              <w:t xml:space="preserve"> August 2024</w:t>
            </w:r>
          </w:p>
          <w:p w14:paraId="7A63D16D" w14:textId="77777777" w:rsidR="007F6095" w:rsidRDefault="007F6095" w:rsidP="007F6095">
            <w:pPr>
              <w:spacing w:line="240" w:lineRule="exact"/>
            </w:pPr>
          </w:p>
          <w:p w14:paraId="297324AA" w14:textId="6266486B" w:rsidR="007F6095" w:rsidRDefault="007F6095" w:rsidP="007F6095">
            <w:pPr>
              <w:spacing w:line="240" w:lineRule="exact"/>
            </w:pPr>
            <w:r>
              <w:t>Original: English</w:t>
            </w:r>
          </w:p>
        </w:tc>
      </w:tr>
    </w:tbl>
    <w:p w14:paraId="02BA9FE1" w14:textId="77777777" w:rsidR="007F6095" w:rsidRPr="006C7248" w:rsidRDefault="007F6095" w:rsidP="007F6095">
      <w:pPr>
        <w:spacing w:before="120"/>
        <w:rPr>
          <w:b/>
          <w:bCs/>
          <w:sz w:val="24"/>
          <w:szCs w:val="24"/>
        </w:rPr>
      </w:pPr>
      <w:r w:rsidRPr="006C7248">
        <w:rPr>
          <w:b/>
          <w:bCs/>
          <w:sz w:val="24"/>
          <w:szCs w:val="24"/>
        </w:rPr>
        <w:t>Human Rights Council</w:t>
      </w:r>
      <w:r>
        <w:rPr>
          <w:noProof/>
          <w:lang w:eastAsia="en-GB"/>
        </w:rPr>
        <mc:AlternateContent>
          <mc:Choice Requires="wps">
            <w:drawing>
              <wp:anchor distT="0" distB="0" distL="114300" distR="114300" simplePos="0" relativeHeight="251658240" behindDoc="0" locked="0" layoutInCell="1" allowOverlap="0" wp14:anchorId="3964D706" wp14:editId="6C99CECE">
                <wp:simplePos x="0" y="0"/>
                <wp:positionH relativeFrom="margin">
                  <wp:posOffset>5489575</wp:posOffset>
                </wp:positionH>
                <wp:positionV relativeFrom="margin">
                  <wp:posOffset>8027670</wp:posOffset>
                </wp:positionV>
                <wp:extent cx="638175" cy="638175"/>
                <wp:effectExtent l="0" t="0" r="0" b="9525"/>
                <wp:wrapNone/>
                <wp:docPr id="2" name="Rectangle 2"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EFBC8" id="Rectangle 2" o:spid="_x0000_s1026" alt="Add" style="position:absolute;margin-left:432.25pt;margin-top:632.1pt;width:50.25pt;height:5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" o:allowoverlap="f" filled="f" stroked="f">
                <o:lock v:ext="edit" aspectratio="t"/>
                <w10:wrap anchorx="margin" anchory="margin"/>
              </v:rect>
            </w:pict>
          </mc:Fallback>
        </mc:AlternateContent>
      </w:r>
    </w:p>
    <w:p w14:paraId="4C941BA2" w14:textId="77777777" w:rsidR="007F6095" w:rsidRDefault="007F6095" w:rsidP="007F6095">
      <w:pPr>
        <w:rPr>
          <w:b/>
          <w:bCs/>
        </w:rPr>
      </w:pPr>
      <w:r>
        <w:rPr>
          <w:b/>
          <w:bCs/>
        </w:rPr>
        <w:t>Fifty-seventh</w:t>
      </w:r>
      <w:r w:rsidRPr="006C7248">
        <w:rPr>
          <w:b/>
          <w:bCs/>
        </w:rPr>
        <w:t xml:space="preserve"> session</w:t>
      </w:r>
    </w:p>
    <w:p w14:paraId="68F4E5BA" w14:textId="77777777" w:rsidR="007F6095" w:rsidRPr="00E8346E" w:rsidRDefault="007F6095" w:rsidP="007F6095">
      <w:pPr>
        <w:rPr>
          <w:bCs/>
        </w:rPr>
      </w:pPr>
      <w:r>
        <w:rPr>
          <w:bCs/>
        </w:rPr>
        <w:t>9 September–9 October 2024</w:t>
      </w:r>
    </w:p>
    <w:p w14:paraId="161DF32E" w14:textId="77777777" w:rsidR="007F6095" w:rsidRPr="006C7248" w:rsidRDefault="007F6095" w:rsidP="007F6095">
      <w:r w:rsidRPr="006C7248">
        <w:t>Agenda item 6</w:t>
      </w:r>
    </w:p>
    <w:p w14:paraId="1606E0B0" w14:textId="77777777" w:rsidR="007F6095" w:rsidRPr="006C7248" w:rsidRDefault="007F6095" w:rsidP="007F6095">
      <w:pPr>
        <w:rPr>
          <w:b/>
        </w:rPr>
      </w:pPr>
      <w:r>
        <w:rPr>
          <w:b/>
        </w:rPr>
        <w:t>Universal periodic r</w:t>
      </w:r>
      <w:r w:rsidRPr="006C7248">
        <w:rPr>
          <w:b/>
        </w:rPr>
        <w:t>eview</w:t>
      </w:r>
    </w:p>
    <w:p w14:paraId="20E68386" w14:textId="77777777" w:rsidR="007F6095" w:rsidRPr="006C7248" w:rsidRDefault="007F6095" w:rsidP="007F6095">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221F52">
        <w:footnoteReference w:customMarkFollows="1" w:id="2"/>
        <w:t>*</w:t>
      </w:r>
    </w:p>
    <w:p w14:paraId="46507F60" w14:textId="070F498D" w:rsidR="007F6095" w:rsidRPr="006C7248" w:rsidRDefault="007F6095" w:rsidP="007F6095">
      <w:pPr>
        <w:keepNext/>
        <w:keepLines/>
        <w:tabs>
          <w:tab w:val="right" w:pos="851"/>
        </w:tabs>
        <w:spacing w:before="360" w:after="240" w:line="300" w:lineRule="exact"/>
        <w:ind w:left="1134" w:right="1134" w:hanging="1134"/>
        <w:rPr>
          <w:b/>
          <w:sz w:val="28"/>
        </w:rPr>
      </w:pPr>
      <w:r>
        <w:rPr>
          <w:b/>
          <w:sz w:val="28"/>
        </w:rPr>
        <w:tab/>
      </w:r>
      <w:r>
        <w:rPr>
          <w:b/>
          <w:sz w:val="28"/>
        </w:rPr>
        <w:tab/>
        <w:t>New Zealand</w:t>
      </w:r>
    </w:p>
    <w:p w14:paraId="19335B98" w14:textId="77777777" w:rsidR="007F6095" w:rsidRPr="006C7248" w:rsidRDefault="007F6095" w:rsidP="007F6095">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14:paraId="624DA843" w14:textId="77777777" w:rsidR="007F6095" w:rsidRPr="006C7248" w:rsidRDefault="007F6095" w:rsidP="007F6095">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 xml:space="preserve">Views on conclusions and/or recommendations, voluntary commitments and replies presented by the State under </w:t>
      </w:r>
      <w:proofErr w:type="gramStart"/>
      <w:r w:rsidRPr="006C7248">
        <w:rPr>
          <w:b/>
          <w:sz w:val="24"/>
        </w:rPr>
        <w:t>review</w:t>
      </w:r>
      <w:proofErr w:type="gramEnd"/>
    </w:p>
    <w:p w14:paraId="4993EC86" w14:textId="1A108FD1" w:rsidR="007F6095" w:rsidRPr="007F6095" w:rsidRDefault="007F6095" w:rsidP="008113F8">
      <w:pPr>
        <w:pStyle w:val="HChG"/>
        <w:rPr>
          <w:lang w:val="en-NZ"/>
        </w:rPr>
      </w:pPr>
      <w:r>
        <w:br w:type="page"/>
      </w:r>
      <w:r w:rsidR="008113F8">
        <w:lastRenderedPageBreak/>
        <w:tab/>
      </w:r>
      <w:r w:rsidR="008113F8">
        <w:tab/>
      </w:r>
      <w:r w:rsidRPr="007F6095">
        <w:rPr>
          <w:lang w:val="en-NZ"/>
        </w:rPr>
        <w:t>Formal response</w:t>
      </w:r>
    </w:p>
    <w:p w14:paraId="4AE59CF5" w14:textId="5C9EE268" w:rsidR="007F6095" w:rsidRPr="007F6095" w:rsidRDefault="008113F8" w:rsidP="008113F8">
      <w:pPr>
        <w:pStyle w:val="SingleTxtG"/>
        <w:rPr>
          <w:b/>
          <w:bCs/>
          <w:lang w:val="en-NZ"/>
        </w:rPr>
      </w:pPr>
      <w:r>
        <w:rPr>
          <w:lang w:val="en-NZ"/>
        </w:rPr>
        <w:t>1.</w:t>
      </w:r>
      <w:r>
        <w:rPr>
          <w:lang w:val="en-NZ"/>
        </w:rPr>
        <w:tab/>
      </w:r>
      <w:r w:rsidR="007F6095" w:rsidRPr="007F6095">
        <w:rPr>
          <w:lang w:val="en-NZ"/>
        </w:rPr>
        <w:t>New Zealand welcomes the 259 recommendations it received during its fourth Universal Periodic Review (UPR) on 29 April 2024. Following the review, New Zealand conducted targeted stakeholder engagement to inform the consideration of the recommendations.</w:t>
      </w:r>
    </w:p>
    <w:p w14:paraId="65C33965" w14:textId="1E424244" w:rsidR="007F6095" w:rsidRPr="007F6095" w:rsidRDefault="008113F8" w:rsidP="008113F8">
      <w:pPr>
        <w:pStyle w:val="SingleTxtG"/>
        <w:rPr>
          <w:b/>
          <w:bCs/>
          <w:lang w:val="en-NZ"/>
        </w:rPr>
      </w:pPr>
      <w:r>
        <w:rPr>
          <w:lang w:val="en-NZ"/>
        </w:rPr>
        <w:t>2.</w:t>
      </w:r>
      <w:r>
        <w:rPr>
          <w:lang w:val="en-NZ"/>
        </w:rPr>
        <w:tab/>
      </w:r>
      <w:r w:rsidR="007F6095" w:rsidRPr="007F6095">
        <w:rPr>
          <w:lang w:val="en-NZ"/>
        </w:rPr>
        <w:t>New Zealand supports 168 recommendations, partially supports 12 recommendations and notes 79 recommendations. New Zealand does not reject the intention of any recommendation but cannot support certain recommendations because they depend on future decision-making according to our constitutional processes.</w:t>
      </w:r>
    </w:p>
    <w:p w14:paraId="0D7DC218" w14:textId="2B523571" w:rsidR="007F6095" w:rsidRPr="007F6095" w:rsidRDefault="008113F8" w:rsidP="008113F8">
      <w:pPr>
        <w:pStyle w:val="SingleTxtG"/>
        <w:rPr>
          <w:lang w:val="en-NZ"/>
        </w:rPr>
      </w:pPr>
      <w:r>
        <w:rPr>
          <w:lang w:val="en-NZ"/>
        </w:rPr>
        <w:t>3.</w:t>
      </w:r>
      <w:r>
        <w:rPr>
          <w:lang w:val="en-NZ"/>
        </w:rPr>
        <w:tab/>
      </w:r>
      <w:r w:rsidR="007F6095" w:rsidRPr="007F6095">
        <w:rPr>
          <w:lang w:val="en-NZ"/>
        </w:rPr>
        <w:t xml:space="preserve">New Zealand will be launching a new online monitoring tool, </w:t>
      </w:r>
      <w:r w:rsidR="007F6095" w:rsidRPr="007F6095">
        <w:rPr>
          <w:i/>
          <w:iCs/>
          <w:lang w:val="en-NZ"/>
        </w:rPr>
        <w:t>The Human Rights Monitor</w:t>
      </w:r>
      <w:r w:rsidR="007F6095" w:rsidRPr="007F6095">
        <w:rPr>
          <w:lang w:val="en-NZ"/>
        </w:rPr>
        <w:t xml:space="preserve">, in September 2024, as part of our </w:t>
      </w:r>
      <w:r w:rsidR="007F6095" w:rsidRPr="007F6095">
        <w:rPr>
          <w:i/>
          <w:iCs/>
          <w:lang w:val="en-NZ"/>
        </w:rPr>
        <w:t>National Mechanism for Reporting and Follow-up</w:t>
      </w:r>
      <w:r w:rsidR="007F6095" w:rsidRPr="007F6095">
        <w:rPr>
          <w:lang w:val="en-NZ"/>
        </w:rPr>
        <w:t>. The UPR recommendations and the actions the Government agrees to take in response will be recorded in this tool.</w:t>
      </w:r>
    </w:p>
    <w:p w14:paraId="2C8BC380" w14:textId="39C7F5B0" w:rsidR="007F6095" w:rsidRPr="007F6095" w:rsidRDefault="008113F8" w:rsidP="008113F8">
      <w:pPr>
        <w:pStyle w:val="SingleTxtG"/>
        <w:rPr>
          <w:lang w:val="en-NZ"/>
        </w:rPr>
      </w:pPr>
      <w:r>
        <w:rPr>
          <w:lang w:val="en-NZ"/>
        </w:rPr>
        <w:t>4.</w:t>
      </w:r>
      <w:r>
        <w:rPr>
          <w:lang w:val="en-NZ"/>
        </w:rPr>
        <w:tab/>
      </w:r>
      <w:r w:rsidR="007F6095" w:rsidRPr="00733B02" w:rsidDel="00431E4C">
        <w:rPr>
          <w:b/>
          <w:bCs/>
          <w:lang w:val="en-NZ"/>
        </w:rPr>
        <w:t xml:space="preserve">Annex 1 </w:t>
      </w:r>
      <w:r w:rsidR="007F6095" w:rsidRPr="00733B02" w:rsidDel="00431E4C">
        <w:rPr>
          <w:lang w:val="en-NZ"/>
        </w:rPr>
        <w:t xml:space="preserve">details our responses to each recommendation. The actions New Zealand has committed to take in response to these recommendations are set out at </w:t>
      </w:r>
      <w:r w:rsidR="007F6095" w:rsidRPr="00733B02" w:rsidDel="00431E4C">
        <w:rPr>
          <w:b/>
          <w:bCs/>
          <w:lang w:val="en-NZ"/>
        </w:rPr>
        <w:t>Annex 2</w:t>
      </w:r>
      <w:r w:rsidR="007F6095" w:rsidRPr="00733B02" w:rsidDel="00431E4C">
        <w:rPr>
          <w:lang w:val="en-NZ"/>
        </w:rPr>
        <w:t xml:space="preserve">. </w:t>
      </w:r>
      <w:r w:rsidR="007F6095" w:rsidRPr="00733B02" w:rsidDel="00431E4C">
        <w:rPr>
          <w:iCs/>
          <w:lang w:val="en-NZ"/>
        </w:rPr>
        <w:t>We intend to submit a mid-term report in 2026.</w:t>
      </w:r>
    </w:p>
    <w:p w14:paraId="08D7C27F" w14:textId="6C7A6C03" w:rsidR="007F6095" w:rsidRPr="007F6095" w:rsidRDefault="00C43CB5" w:rsidP="00C43CB5">
      <w:pPr>
        <w:pStyle w:val="HChG"/>
        <w:rPr>
          <w:lang w:val="en-NZ"/>
        </w:rPr>
      </w:pPr>
      <w:r>
        <w:rPr>
          <w:lang w:val="en-NZ"/>
        </w:rPr>
        <w:tab/>
      </w:r>
      <w:r>
        <w:rPr>
          <w:lang w:val="en-NZ"/>
        </w:rPr>
        <w:tab/>
      </w:r>
      <w:r w:rsidR="007F6095" w:rsidRPr="007F6095">
        <w:rPr>
          <w:lang w:val="en-NZ"/>
        </w:rPr>
        <w:t>International instruments</w:t>
      </w:r>
    </w:p>
    <w:p w14:paraId="584D3011" w14:textId="596FF5DD" w:rsidR="007F6095" w:rsidRPr="007F6095" w:rsidRDefault="00C43CB5" w:rsidP="00C43CB5">
      <w:pPr>
        <w:pStyle w:val="SingleTxtG"/>
        <w:rPr>
          <w:lang w:val="en-NZ"/>
        </w:rPr>
      </w:pPr>
      <w:r>
        <w:rPr>
          <w:lang w:val="en-NZ"/>
        </w:rPr>
        <w:t>5.</w:t>
      </w:r>
      <w:r>
        <w:rPr>
          <w:lang w:val="en-NZ"/>
        </w:rPr>
        <w:tab/>
      </w:r>
      <w:r w:rsidR="007F6095" w:rsidRPr="007F6095">
        <w:rPr>
          <w:lang w:val="en-NZ"/>
        </w:rPr>
        <w:t>New Zealand values the role of international human rights treaties in our constitutional arrangements. New Zealand agrees to consider acceding to the Convention for the Protection of all Persons from Enforced Disappearance and the Optional Protocol to the International Covenant for Economic, Social and Cultural Rights. New Zealand will also consider whether to remove existing reservations.</w:t>
      </w:r>
    </w:p>
    <w:p w14:paraId="2439E347" w14:textId="39B7B7C0" w:rsidR="007F6095" w:rsidRPr="007F6095" w:rsidRDefault="00C43CB5" w:rsidP="00C43CB5">
      <w:pPr>
        <w:pStyle w:val="SingleTxtG"/>
        <w:rPr>
          <w:lang w:val="en-NZ"/>
        </w:rPr>
      </w:pPr>
      <w:r>
        <w:rPr>
          <w:lang w:val="en-NZ"/>
        </w:rPr>
        <w:t>6.</w:t>
      </w:r>
      <w:r>
        <w:rPr>
          <w:lang w:val="en-NZ"/>
        </w:rPr>
        <w:tab/>
      </w:r>
      <w:r w:rsidR="00DD7149">
        <w:rPr>
          <w:b/>
          <w:bCs/>
          <w:lang w:val="en-NZ"/>
        </w:rPr>
        <w:t>S</w:t>
      </w:r>
      <w:r w:rsidR="007F6095" w:rsidRPr="007F6095">
        <w:rPr>
          <w:b/>
          <w:bCs/>
          <w:lang w:val="en-NZ"/>
        </w:rPr>
        <w:t>upport</w:t>
      </w:r>
      <w:r w:rsidR="00DD7149">
        <w:rPr>
          <w:b/>
          <w:bCs/>
          <w:lang w:val="en-NZ"/>
        </w:rPr>
        <w:t>ed:</w:t>
      </w:r>
      <w:r w:rsidR="007F6095" w:rsidRPr="007F6095">
        <w:rPr>
          <w:lang w:val="en-NZ"/>
        </w:rPr>
        <w:t xml:space="preserve"> </w:t>
      </w:r>
      <w:r w:rsidR="00790244">
        <w:rPr>
          <w:lang w:val="en-NZ"/>
        </w:rPr>
        <w:t>132.</w:t>
      </w:r>
      <w:r w:rsidR="007F6095" w:rsidRPr="007F6095">
        <w:rPr>
          <w:lang w:val="en-NZ"/>
        </w:rPr>
        <w:t>5,</w:t>
      </w:r>
      <w:r w:rsidR="00E30FCE">
        <w:rPr>
          <w:lang w:val="en-NZ"/>
        </w:rPr>
        <w:t xml:space="preserve"> </w:t>
      </w:r>
      <w:r w:rsidR="00790244">
        <w:rPr>
          <w:lang w:val="en-NZ"/>
        </w:rPr>
        <w:t>132.</w:t>
      </w:r>
      <w:r w:rsidR="007F6095" w:rsidRPr="007F6095">
        <w:rPr>
          <w:lang w:val="en-NZ"/>
        </w:rPr>
        <w:t>12</w:t>
      </w:r>
      <w:r w:rsidR="001B5CF8">
        <w:rPr>
          <w:lang w:val="en-NZ"/>
        </w:rPr>
        <w:t>–</w:t>
      </w:r>
      <w:r w:rsidR="007F6095" w:rsidRPr="007F6095">
        <w:rPr>
          <w:lang w:val="en-NZ"/>
        </w:rPr>
        <w:t>13,</w:t>
      </w:r>
      <w:r w:rsidR="00E30FCE">
        <w:rPr>
          <w:lang w:val="en-NZ"/>
        </w:rPr>
        <w:t xml:space="preserve"> </w:t>
      </w:r>
      <w:r w:rsidR="00790244">
        <w:rPr>
          <w:lang w:val="en-NZ"/>
        </w:rPr>
        <w:t>132.</w:t>
      </w:r>
      <w:r w:rsidR="007F6095" w:rsidRPr="007F6095">
        <w:rPr>
          <w:lang w:val="en-NZ"/>
        </w:rPr>
        <w:t>15,</w:t>
      </w:r>
      <w:r w:rsidR="00E30FCE">
        <w:rPr>
          <w:lang w:val="en-NZ"/>
        </w:rPr>
        <w:t xml:space="preserve"> </w:t>
      </w:r>
      <w:r w:rsidR="00790244">
        <w:rPr>
          <w:lang w:val="en-NZ"/>
        </w:rPr>
        <w:t>132.</w:t>
      </w:r>
      <w:r w:rsidR="007F6095" w:rsidRPr="007F6095">
        <w:rPr>
          <w:lang w:val="en-NZ"/>
        </w:rPr>
        <w:t>17.</w:t>
      </w:r>
    </w:p>
    <w:p w14:paraId="5BD0F23C" w14:textId="062A87E1" w:rsidR="007F6095" w:rsidRPr="007F6095" w:rsidRDefault="00C43CB5" w:rsidP="00C43CB5">
      <w:pPr>
        <w:pStyle w:val="SingleTxtG"/>
        <w:rPr>
          <w:lang w:val="en-NZ"/>
        </w:rPr>
      </w:pPr>
      <w:r>
        <w:rPr>
          <w:lang w:val="en-NZ"/>
        </w:rPr>
        <w:t>7.</w:t>
      </w:r>
      <w:r>
        <w:rPr>
          <w:lang w:val="en-NZ"/>
        </w:rPr>
        <w:tab/>
      </w:r>
      <w:r w:rsidR="007F6095" w:rsidRPr="007F6095">
        <w:rPr>
          <w:lang w:val="en-NZ"/>
        </w:rPr>
        <w:t>The Convention against Torture and other Cruel, Inhuman or Degrading Treatment or Punishment already applies to Tokelau. New Zealand will discuss possible accession with the Cook Islands and Niue respectively.</w:t>
      </w:r>
      <w:r>
        <w:rPr>
          <w:rStyle w:val="EndnoteReference"/>
          <w:lang w:val="en-NZ"/>
        </w:rPr>
        <w:endnoteReference w:id="2"/>
      </w:r>
    </w:p>
    <w:p w14:paraId="79E9C0A9" w14:textId="11F2ED9E" w:rsidR="007F6095" w:rsidRPr="007F6095" w:rsidRDefault="00C43CB5" w:rsidP="00C43CB5">
      <w:pPr>
        <w:pStyle w:val="SingleTxtG"/>
        <w:rPr>
          <w:lang w:val="en-NZ"/>
        </w:rPr>
      </w:pPr>
      <w:r>
        <w:rPr>
          <w:lang w:val="en-NZ"/>
        </w:rPr>
        <w:t>8.</w:t>
      </w:r>
      <w:r>
        <w:rPr>
          <w:lang w:val="en-NZ"/>
        </w:rPr>
        <w:tab/>
      </w:r>
      <w:r w:rsidR="00DD7149">
        <w:rPr>
          <w:b/>
          <w:bCs/>
          <w:lang w:val="en-NZ"/>
        </w:rPr>
        <w:t>S</w:t>
      </w:r>
      <w:r w:rsidR="007F6095" w:rsidRPr="007F6095">
        <w:rPr>
          <w:b/>
          <w:bCs/>
          <w:lang w:val="en-NZ"/>
        </w:rPr>
        <w:t>upport</w:t>
      </w:r>
      <w:r w:rsidR="00DD7149">
        <w:rPr>
          <w:b/>
          <w:bCs/>
          <w:lang w:val="en-NZ"/>
        </w:rPr>
        <w:t>ed</w:t>
      </w:r>
      <w:r w:rsidR="007F6095" w:rsidRPr="007F6095">
        <w:rPr>
          <w:b/>
          <w:bCs/>
          <w:lang w:val="en-NZ"/>
        </w:rPr>
        <w:t xml:space="preserve"> in part</w:t>
      </w:r>
      <w:r w:rsidR="00DD7149">
        <w:rPr>
          <w:b/>
          <w:bCs/>
          <w:lang w:val="en-NZ"/>
        </w:rPr>
        <w:t>:</w:t>
      </w:r>
      <w:r w:rsidR="007F6095" w:rsidRPr="007F6095">
        <w:rPr>
          <w:lang w:val="en-NZ"/>
        </w:rPr>
        <w:t xml:space="preserve"> </w:t>
      </w:r>
      <w:r w:rsidR="00790244">
        <w:rPr>
          <w:lang w:val="en-NZ"/>
        </w:rPr>
        <w:t>132.</w:t>
      </w:r>
      <w:r w:rsidR="007F6095" w:rsidRPr="007F6095">
        <w:rPr>
          <w:lang w:val="en-NZ"/>
        </w:rPr>
        <w:t>37.</w:t>
      </w:r>
    </w:p>
    <w:p w14:paraId="1790FD92" w14:textId="73614A79" w:rsidR="007F6095" w:rsidRPr="007F6095" w:rsidRDefault="00C43CB5" w:rsidP="00C43CB5">
      <w:pPr>
        <w:pStyle w:val="SingleTxtG"/>
        <w:rPr>
          <w:lang w:val="en-NZ"/>
        </w:rPr>
      </w:pPr>
      <w:r>
        <w:rPr>
          <w:lang w:val="en-NZ"/>
        </w:rPr>
        <w:t>9.</w:t>
      </w:r>
      <w:r>
        <w:rPr>
          <w:lang w:val="en-NZ"/>
        </w:rPr>
        <w:tab/>
      </w:r>
      <w:r w:rsidR="007F6095" w:rsidRPr="007F6095">
        <w:rPr>
          <w:lang w:val="en-NZ"/>
        </w:rPr>
        <w:t>New Zealand cannot bypass its domestic process of considering the implications of international conventions. We are therefore unable to accept recommendations to “ratify/accede” to instruments or to “withdraw” reservations.</w:t>
      </w:r>
    </w:p>
    <w:p w14:paraId="305C8C5A" w14:textId="0131BDB5" w:rsidR="007F6095" w:rsidRPr="007F6095" w:rsidRDefault="00C43CB5" w:rsidP="00C43CB5">
      <w:pPr>
        <w:pStyle w:val="SingleTxtG"/>
        <w:rPr>
          <w:lang w:val="en-NZ"/>
        </w:rPr>
      </w:pPr>
      <w:r>
        <w:rPr>
          <w:lang w:val="en-NZ"/>
        </w:rPr>
        <w:t>10.</w:t>
      </w:r>
      <w:r>
        <w:rPr>
          <w:lang w:val="en-NZ"/>
        </w:rPr>
        <w:tab/>
      </w:r>
      <w:r w:rsidR="007F6095" w:rsidRPr="007F6095">
        <w:rPr>
          <w:lang w:val="en-NZ"/>
        </w:rPr>
        <w:t>There are no plans to reconsider ratifying the International Convention on the Protection of the Rights of All Migrant Workers and Members of Their Families or the Convention relating to the Status of Stateless Persons.</w:t>
      </w:r>
    </w:p>
    <w:p w14:paraId="69812904" w14:textId="3552DDB6" w:rsidR="007F6095" w:rsidRPr="007F6095" w:rsidRDefault="00C43CB5" w:rsidP="00C43CB5">
      <w:pPr>
        <w:pStyle w:val="SingleTxtG"/>
        <w:rPr>
          <w:lang w:val="en-NZ"/>
        </w:rPr>
      </w:pPr>
      <w:r>
        <w:rPr>
          <w:lang w:val="en-NZ"/>
        </w:rPr>
        <w:t>11.</w:t>
      </w:r>
      <w:r>
        <w:rPr>
          <w:lang w:val="en-NZ"/>
        </w:rPr>
        <w:tab/>
      </w:r>
      <w:r w:rsidR="00DD7149">
        <w:rPr>
          <w:b/>
          <w:bCs/>
          <w:lang w:val="en-NZ"/>
        </w:rPr>
        <w:t>N</w:t>
      </w:r>
      <w:r w:rsidR="007F6095" w:rsidRPr="007F6095">
        <w:rPr>
          <w:b/>
          <w:bCs/>
          <w:lang w:val="en-NZ"/>
        </w:rPr>
        <w:t>ote</w:t>
      </w:r>
      <w:r w:rsidR="00DD7149">
        <w:rPr>
          <w:b/>
          <w:bCs/>
          <w:lang w:val="en-NZ"/>
        </w:rPr>
        <w:t>d:</w:t>
      </w:r>
      <w:r w:rsidR="007F6095" w:rsidRPr="007F6095">
        <w:rPr>
          <w:lang w:val="en-NZ"/>
        </w:rPr>
        <w:t xml:space="preserve"> </w:t>
      </w:r>
      <w:r w:rsidR="00790244">
        <w:rPr>
          <w:lang w:val="en-NZ"/>
        </w:rPr>
        <w:t>132.</w:t>
      </w:r>
      <w:r w:rsidR="007F6095" w:rsidRPr="007F6095">
        <w:rPr>
          <w:lang w:val="en-NZ"/>
        </w:rPr>
        <w:t>1</w:t>
      </w:r>
      <w:r w:rsidR="001B5CF8">
        <w:rPr>
          <w:lang w:val="en-NZ"/>
        </w:rPr>
        <w:t>–</w:t>
      </w:r>
      <w:r w:rsidR="007F6095" w:rsidRPr="007F6095">
        <w:rPr>
          <w:lang w:val="en-NZ"/>
        </w:rPr>
        <w:t>4,</w:t>
      </w:r>
      <w:r w:rsidR="00E30FCE">
        <w:rPr>
          <w:lang w:val="en-NZ"/>
        </w:rPr>
        <w:t xml:space="preserve"> </w:t>
      </w:r>
      <w:r w:rsidR="00790244">
        <w:rPr>
          <w:lang w:val="en-NZ"/>
        </w:rPr>
        <w:t>132.</w:t>
      </w:r>
      <w:r w:rsidR="007F6095" w:rsidRPr="007F6095">
        <w:rPr>
          <w:lang w:val="en-NZ"/>
        </w:rPr>
        <w:t>6</w:t>
      </w:r>
      <w:r w:rsidR="001B5CF8">
        <w:rPr>
          <w:lang w:val="en-NZ"/>
        </w:rPr>
        <w:t>–</w:t>
      </w:r>
      <w:r w:rsidR="007F6095" w:rsidRPr="007F6095">
        <w:rPr>
          <w:lang w:val="en-NZ"/>
        </w:rPr>
        <w:t>11,</w:t>
      </w:r>
      <w:r w:rsidR="00E30FCE">
        <w:rPr>
          <w:lang w:val="en-NZ"/>
        </w:rPr>
        <w:t xml:space="preserve"> </w:t>
      </w:r>
      <w:r w:rsidR="00790244">
        <w:rPr>
          <w:lang w:val="en-NZ"/>
        </w:rPr>
        <w:t>132.</w:t>
      </w:r>
      <w:r w:rsidR="007F6095" w:rsidRPr="007F6095">
        <w:rPr>
          <w:lang w:val="en-NZ"/>
        </w:rPr>
        <w:t>14,</w:t>
      </w:r>
      <w:r w:rsidR="00E30FCE">
        <w:rPr>
          <w:lang w:val="en-NZ"/>
        </w:rPr>
        <w:t xml:space="preserve"> </w:t>
      </w:r>
      <w:r w:rsidR="00790244">
        <w:rPr>
          <w:lang w:val="en-NZ"/>
        </w:rPr>
        <w:t>132.</w:t>
      </w:r>
      <w:r w:rsidR="007F6095" w:rsidRPr="007F6095">
        <w:rPr>
          <w:lang w:val="en-NZ"/>
        </w:rPr>
        <w:t>16,</w:t>
      </w:r>
      <w:r w:rsidR="00E30FCE">
        <w:rPr>
          <w:lang w:val="en-NZ"/>
        </w:rPr>
        <w:t xml:space="preserve"> </w:t>
      </w:r>
      <w:r w:rsidR="00790244">
        <w:rPr>
          <w:lang w:val="en-NZ"/>
        </w:rPr>
        <w:t>132.</w:t>
      </w:r>
      <w:r w:rsidR="007F6095" w:rsidRPr="007F6095">
        <w:rPr>
          <w:lang w:val="en-NZ"/>
        </w:rPr>
        <w:t>18</w:t>
      </w:r>
      <w:r w:rsidR="001B5CF8">
        <w:rPr>
          <w:lang w:val="en-NZ"/>
        </w:rPr>
        <w:t>–</w:t>
      </w:r>
      <w:r w:rsidR="007F6095" w:rsidRPr="007F6095">
        <w:rPr>
          <w:lang w:val="en-NZ"/>
        </w:rPr>
        <w:t>25.</w:t>
      </w:r>
    </w:p>
    <w:p w14:paraId="1B0F73DE" w14:textId="0DD0A69E" w:rsidR="007F6095" w:rsidRPr="007F6095" w:rsidRDefault="00C43CB5" w:rsidP="00C43CB5">
      <w:pPr>
        <w:pStyle w:val="HChG"/>
        <w:rPr>
          <w:lang w:val="en-NZ"/>
        </w:rPr>
      </w:pPr>
      <w:r>
        <w:rPr>
          <w:lang w:val="en-NZ"/>
        </w:rPr>
        <w:tab/>
      </w:r>
      <w:r>
        <w:rPr>
          <w:lang w:val="en-NZ"/>
        </w:rPr>
        <w:tab/>
      </w:r>
      <w:r w:rsidR="007F6095" w:rsidRPr="007F6095">
        <w:rPr>
          <w:lang w:val="en-NZ"/>
        </w:rPr>
        <w:t>National human rights framework</w:t>
      </w:r>
    </w:p>
    <w:p w14:paraId="3ADCD754" w14:textId="57019633" w:rsidR="007F6095" w:rsidRPr="007F6095" w:rsidRDefault="00C43CB5" w:rsidP="00C43CB5">
      <w:pPr>
        <w:pStyle w:val="SingleTxtG"/>
        <w:rPr>
          <w:lang w:val="en-NZ"/>
        </w:rPr>
      </w:pPr>
      <w:r>
        <w:rPr>
          <w:lang w:val="en-NZ"/>
        </w:rPr>
        <w:t>12.</w:t>
      </w:r>
      <w:r>
        <w:rPr>
          <w:lang w:val="en-NZ"/>
        </w:rPr>
        <w:tab/>
      </w:r>
      <w:r w:rsidR="007F6095" w:rsidRPr="007F6095">
        <w:rPr>
          <w:lang w:val="en-NZ"/>
        </w:rPr>
        <w:t>New</w:t>
      </w:r>
      <w:r>
        <w:rPr>
          <w:lang w:val="en-NZ"/>
        </w:rPr>
        <w:t xml:space="preserve"> </w:t>
      </w:r>
      <w:r w:rsidR="007F6095" w:rsidRPr="007F6095">
        <w:rPr>
          <w:lang w:val="en-NZ"/>
        </w:rPr>
        <w:t>Zealand’s founding document, the Treaty of Waitangi, is at the heart of the Māori-Crown relationship. The New Zealand Bill of Rights Act 1990 (BORA) codifies civil and political rights, including, freedom from discrimination.</w:t>
      </w:r>
    </w:p>
    <w:p w14:paraId="61F8D7AE" w14:textId="49C3B3C3" w:rsidR="007F6095" w:rsidRPr="007F6095" w:rsidRDefault="00C43CB5" w:rsidP="00C43CB5">
      <w:pPr>
        <w:pStyle w:val="SingleTxtG"/>
        <w:rPr>
          <w:lang w:val="en-NZ"/>
        </w:rPr>
      </w:pPr>
      <w:r>
        <w:rPr>
          <w:lang w:val="en-NZ"/>
        </w:rPr>
        <w:t>13.</w:t>
      </w:r>
      <w:r>
        <w:rPr>
          <w:lang w:val="en-NZ"/>
        </w:rPr>
        <w:tab/>
      </w:r>
      <w:r w:rsidR="007F6095" w:rsidRPr="007F6095">
        <w:rPr>
          <w:lang w:val="en-NZ"/>
        </w:rPr>
        <w:t xml:space="preserve">New Zealand is open to continuing the dialogue about constitutional arrangements. For example, we will continue to take steps to promote and protect economic, </w:t>
      </w:r>
      <w:proofErr w:type="gramStart"/>
      <w:r w:rsidR="007F6095" w:rsidRPr="007F6095">
        <w:rPr>
          <w:lang w:val="en-NZ"/>
        </w:rPr>
        <w:t>social</w:t>
      </w:r>
      <w:proofErr w:type="gramEnd"/>
      <w:r w:rsidR="007F6095" w:rsidRPr="007F6095">
        <w:rPr>
          <w:lang w:val="en-NZ"/>
        </w:rPr>
        <w:t xml:space="preserve"> and cultural rights in law, policy and practice.</w:t>
      </w:r>
    </w:p>
    <w:p w14:paraId="5061F402" w14:textId="79E6C89A" w:rsidR="007F6095" w:rsidRPr="007F6095" w:rsidRDefault="00C43CB5" w:rsidP="00C43CB5">
      <w:pPr>
        <w:pStyle w:val="SingleTxtG"/>
        <w:rPr>
          <w:lang w:val="en-NZ"/>
        </w:rPr>
      </w:pPr>
      <w:r>
        <w:rPr>
          <w:lang w:val="en-NZ"/>
        </w:rPr>
        <w:t>14.</w:t>
      </w:r>
      <w:r>
        <w:rPr>
          <w:lang w:val="en-NZ"/>
        </w:rPr>
        <w:tab/>
      </w:r>
      <w:r w:rsidR="00DD7149">
        <w:rPr>
          <w:b/>
          <w:bCs/>
          <w:lang w:val="en-NZ"/>
        </w:rPr>
        <w:t>S</w:t>
      </w:r>
      <w:r w:rsidR="007F6095" w:rsidRPr="007F6095">
        <w:rPr>
          <w:b/>
          <w:bCs/>
          <w:lang w:val="en-NZ"/>
        </w:rPr>
        <w:t>upport</w:t>
      </w:r>
      <w:r w:rsidR="00DD7149">
        <w:rPr>
          <w:b/>
          <w:bCs/>
          <w:lang w:val="en-NZ"/>
        </w:rPr>
        <w:t>ed:</w:t>
      </w:r>
      <w:r w:rsidR="007F6095" w:rsidRPr="007F6095">
        <w:rPr>
          <w:lang w:val="en-NZ"/>
        </w:rPr>
        <w:t xml:space="preserve"> </w:t>
      </w:r>
      <w:r w:rsidR="00790244">
        <w:rPr>
          <w:lang w:val="en-NZ"/>
        </w:rPr>
        <w:t>132.</w:t>
      </w:r>
      <w:r w:rsidR="007F6095" w:rsidRPr="007F6095">
        <w:rPr>
          <w:lang w:val="en-NZ"/>
        </w:rPr>
        <w:t>117.</w:t>
      </w:r>
    </w:p>
    <w:p w14:paraId="5D7A2442" w14:textId="4314A1AE" w:rsidR="007F6095" w:rsidRPr="007F6095" w:rsidRDefault="00C43CB5" w:rsidP="00C43CB5">
      <w:pPr>
        <w:pStyle w:val="SingleTxtG"/>
        <w:rPr>
          <w:lang w:val="en-NZ"/>
        </w:rPr>
      </w:pPr>
      <w:r>
        <w:rPr>
          <w:lang w:val="en-NZ"/>
        </w:rPr>
        <w:t>15.</w:t>
      </w:r>
      <w:r>
        <w:rPr>
          <w:lang w:val="en-NZ"/>
        </w:rPr>
        <w:tab/>
      </w:r>
      <w:r w:rsidR="007F6095" w:rsidRPr="007F6095">
        <w:rPr>
          <w:lang w:val="en-NZ"/>
        </w:rPr>
        <w:t>We have no plans at this stage to adopt a written constitution holding supreme legal status, to include further rights in BORA or implement additional constitutional processes to give effect to the Treaty of Waitangi.</w:t>
      </w:r>
    </w:p>
    <w:p w14:paraId="4377E840" w14:textId="024E815E" w:rsidR="007F6095" w:rsidRPr="007F6095" w:rsidRDefault="00C43CB5" w:rsidP="00C43CB5">
      <w:pPr>
        <w:pStyle w:val="SingleTxtG"/>
        <w:rPr>
          <w:lang w:val="en-NZ"/>
        </w:rPr>
      </w:pPr>
      <w:r>
        <w:rPr>
          <w:lang w:val="en-NZ"/>
        </w:rPr>
        <w:t>16.</w:t>
      </w:r>
      <w:r>
        <w:rPr>
          <w:lang w:val="en-NZ"/>
        </w:rPr>
        <w:tab/>
      </w:r>
      <w:r w:rsidR="00DD7149">
        <w:rPr>
          <w:b/>
          <w:bCs/>
          <w:lang w:val="en-NZ"/>
        </w:rPr>
        <w:t>N</w:t>
      </w:r>
      <w:r w:rsidR="007F6095" w:rsidRPr="007F6095">
        <w:rPr>
          <w:b/>
          <w:bCs/>
          <w:lang w:val="en-NZ"/>
        </w:rPr>
        <w:t>ote</w:t>
      </w:r>
      <w:r w:rsidR="00DD7149">
        <w:rPr>
          <w:b/>
          <w:bCs/>
          <w:lang w:val="en-NZ"/>
        </w:rPr>
        <w:t>d:</w:t>
      </w:r>
      <w:r w:rsidR="00237CE6">
        <w:rPr>
          <w:b/>
          <w:bCs/>
          <w:lang w:val="en-NZ"/>
        </w:rPr>
        <w:t xml:space="preserve"> </w:t>
      </w:r>
      <w:r w:rsidR="00790244">
        <w:rPr>
          <w:lang w:val="en-NZ"/>
        </w:rPr>
        <w:t>132.</w:t>
      </w:r>
      <w:r w:rsidR="007F6095" w:rsidRPr="007F6095">
        <w:rPr>
          <w:lang w:val="en-NZ"/>
        </w:rPr>
        <w:t>26</w:t>
      </w:r>
      <w:r w:rsidR="001B5CF8">
        <w:rPr>
          <w:lang w:val="en-NZ"/>
        </w:rPr>
        <w:t>–</w:t>
      </w:r>
      <w:r w:rsidR="007F6095" w:rsidRPr="007F6095">
        <w:rPr>
          <w:lang w:val="en-NZ"/>
        </w:rPr>
        <w:t>33.</w:t>
      </w:r>
    </w:p>
    <w:p w14:paraId="5B625BF2" w14:textId="6197A21A" w:rsidR="007F6095" w:rsidRPr="007F6095" w:rsidRDefault="001078DD" w:rsidP="00C43CB5">
      <w:pPr>
        <w:pStyle w:val="SingleTxtG"/>
        <w:rPr>
          <w:lang w:val="en-NZ"/>
        </w:rPr>
      </w:pPr>
      <w:r>
        <w:rPr>
          <w:lang w:val="en-NZ"/>
        </w:rPr>
        <w:lastRenderedPageBreak/>
        <w:t>17.</w:t>
      </w:r>
      <w:r>
        <w:rPr>
          <w:lang w:val="en-NZ"/>
        </w:rPr>
        <w:tab/>
      </w:r>
      <w:r w:rsidR="007F6095" w:rsidRPr="007F6095">
        <w:rPr>
          <w:lang w:val="en-NZ"/>
        </w:rPr>
        <w:t xml:space="preserve">New Zealand will continue to strengthen its national human rights mechanism through the launch of the </w:t>
      </w:r>
      <w:r w:rsidR="007F6095" w:rsidRPr="007F6095">
        <w:rPr>
          <w:i/>
          <w:lang w:val="en-NZ"/>
        </w:rPr>
        <w:t>Human Rights Monitor</w:t>
      </w:r>
      <w:r w:rsidR="007F6095" w:rsidRPr="007F6095">
        <w:rPr>
          <w:lang w:val="en-NZ"/>
        </w:rPr>
        <w:t xml:space="preserve"> and the ongoing work of the International Human Rights Governance Group.</w:t>
      </w:r>
    </w:p>
    <w:p w14:paraId="08AC3A4E" w14:textId="576A3A61" w:rsidR="007F6095" w:rsidRPr="007F6095" w:rsidRDefault="001078DD" w:rsidP="00C43CB5">
      <w:pPr>
        <w:pStyle w:val="SingleTxtG"/>
        <w:rPr>
          <w:lang w:val="en-NZ"/>
        </w:rPr>
      </w:pPr>
      <w:r>
        <w:rPr>
          <w:lang w:val="en-NZ"/>
        </w:rPr>
        <w:t>18.</w:t>
      </w:r>
      <w:r>
        <w:rPr>
          <w:lang w:val="en-NZ"/>
        </w:rPr>
        <w:tab/>
      </w:r>
      <w:r w:rsidR="00237CE6">
        <w:rPr>
          <w:b/>
          <w:bCs/>
          <w:lang w:val="en-NZ"/>
        </w:rPr>
        <w:t>S</w:t>
      </w:r>
      <w:r w:rsidR="007F6095" w:rsidRPr="007F6095">
        <w:rPr>
          <w:b/>
          <w:bCs/>
          <w:lang w:val="en-NZ"/>
        </w:rPr>
        <w:t>upport</w:t>
      </w:r>
      <w:r w:rsidR="00237CE6">
        <w:rPr>
          <w:b/>
          <w:bCs/>
          <w:lang w:val="en-NZ"/>
        </w:rPr>
        <w:t>ed</w:t>
      </w:r>
      <w:r w:rsidR="00237CE6">
        <w:rPr>
          <w:lang w:val="en-NZ"/>
        </w:rPr>
        <w:t xml:space="preserve">: </w:t>
      </w:r>
      <w:r w:rsidR="00790244">
        <w:rPr>
          <w:lang w:val="en-NZ"/>
        </w:rPr>
        <w:t>132.</w:t>
      </w:r>
      <w:r w:rsidR="007F6095" w:rsidRPr="007F6095">
        <w:rPr>
          <w:lang w:val="en-NZ"/>
        </w:rPr>
        <w:t>40</w:t>
      </w:r>
      <w:r w:rsidR="001B5CF8">
        <w:rPr>
          <w:lang w:val="en-NZ"/>
        </w:rPr>
        <w:t>–</w:t>
      </w:r>
      <w:r w:rsidR="007F6095" w:rsidRPr="007F6095">
        <w:rPr>
          <w:lang w:val="en-NZ"/>
        </w:rPr>
        <w:t>42.</w:t>
      </w:r>
    </w:p>
    <w:p w14:paraId="524585D8" w14:textId="4ACC89EE" w:rsidR="007F6095" w:rsidRPr="007F6095" w:rsidRDefault="001078DD" w:rsidP="001078DD">
      <w:pPr>
        <w:pStyle w:val="HChG"/>
        <w:rPr>
          <w:lang w:val="en-NZ"/>
        </w:rPr>
      </w:pPr>
      <w:r>
        <w:rPr>
          <w:lang w:val="en-NZ"/>
        </w:rPr>
        <w:tab/>
      </w:r>
      <w:r>
        <w:rPr>
          <w:lang w:val="en-NZ"/>
        </w:rPr>
        <w:tab/>
      </w:r>
      <w:r w:rsidR="007F6095" w:rsidRPr="007F6095">
        <w:rPr>
          <w:lang w:val="en-NZ"/>
        </w:rPr>
        <w:t>International cooperation</w:t>
      </w:r>
    </w:p>
    <w:p w14:paraId="502CA28F" w14:textId="25F5CFE8" w:rsidR="007F6095" w:rsidRPr="007F6095" w:rsidRDefault="001078DD" w:rsidP="001078DD">
      <w:pPr>
        <w:pStyle w:val="SingleTxtG"/>
        <w:rPr>
          <w:lang w:val="en-NZ"/>
        </w:rPr>
      </w:pPr>
      <w:r>
        <w:rPr>
          <w:lang w:val="en-NZ"/>
        </w:rPr>
        <w:t>19.</w:t>
      </w:r>
      <w:r>
        <w:rPr>
          <w:lang w:val="en-NZ"/>
        </w:rPr>
        <w:tab/>
      </w:r>
      <w:r w:rsidR="007F6095" w:rsidRPr="007F6095">
        <w:rPr>
          <w:lang w:val="en-NZ"/>
        </w:rPr>
        <w:t>New Zealand is committed to cooperating with other UN member states on a broad range of issues.</w:t>
      </w:r>
    </w:p>
    <w:p w14:paraId="51CE140E" w14:textId="73976A7A" w:rsidR="007F6095" w:rsidRPr="007F6095" w:rsidRDefault="001078DD" w:rsidP="001078DD">
      <w:pPr>
        <w:pStyle w:val="SingleTxtG"/>
        <w:rPr>
          <w:lang w:val="en-NZ"/>
        </w:rPr>
      </w:pPr>
      <w:r>
        <w:rPr>
          <w:lang w:val="en-NZ"/>
        </w:rPr>
        <w:t>20.</w:t>
      </w:r>
      <w:r>
        <w:rPr>
          <w:lang w:val="en-NZ"/>
        </w:rPr>
        <w:tab/>
      </w:r>
      <w:r w:rsidR="007F6095" w:rsidRPr="007F6095">
        <w:rPr>
          <w:lang w:val="en-NZ"/>
        </w:rPr>
        <w:t xml:space="preserve">New Zealand's UPR report includes an annex </w:t>
      </w:r>
      <w:proofErr w:type="gramStart"/>
      <w:r w:rsidR="007F6095" w:rsidRPr="007F6095">
        <w:rPr>
          <w:lang w:val="en-NZ"/>
        </w:rPr>
        <w:t>on</w:t>
      </w:r>
      <w:proofErr w:type="gramEnd"/>
      <w:r w:rsidR="007F6095" w:rsidRPr="007F6095">
        <w:rPr>
          <w:lang w:val="en-NZ"/>
        </w:rPr>
        <w:t xml:space="preserve"> Tokelau. New Zealand will need to consider, in consultation with both countries, how the UPR process could apply to the Cook Islands and Niue.</w:t>
      </w:r>
      <w:r w:rsidR="00A437A7">
        <w:rPr>
          <w:rStyle w:val="EndnoteReference"/>
          <w:lang w:val="en-NZ"/>
        </w:rPr>
        <w:endnoteReference w:id="3"/>
      </w:r>
    </w:p>
    <w:p w14:paraId="730AB48B" w14:textId="37E84227" w:rsidR="007F6095" w:rsidRPr="007F6095" w:rsidRDefault="001078DD" w:rsidP="001078DD">
      <w:pPr>
        <w:pStyle w:val="SingleTxtG"/>
        <w:rPr>
          <w:lang w:val="en-NZ"/>
        </w:rPr>
      </w:pPr>
      <w:r>
        <w:rPr>
          <w:lang w:val="en-NZ"/>
        </w:rPr>
        <w:t>21.</w:t>
      </w:r>
      <w:r>
        <w:rPr>
          <w:lang w:val="en-NZ"/>
        </w:rPr>
        <w:tab/>
      </w:r>
      <w:r w:rsidR="00237CE6">
        <w:rPr>
          <w:b/>
          <w:bCs/>
          <w:lang w:val="en-NZ"/>
        </w:rPr>
        <w:t>S</w:t>
      </w:r>
      <w:r w:rsidR="007F6095" w:rsidRPr="007F6095">
        <w:rPr>
          <w:b/>
          <w:bCs/>
          <w:lang w:val="en-NZ"/>
        </w:rPr>
        <w:t>upport</w:t>
      </w:r>
      <w:r w:rsidR="00237CE6">
        <w:rPr>
          <w:b/>
          <w:bCs/>
          <w:lang w:val="en-NZ"/>
        </w:rPr>
        <w:t>ed</w:t>
      </w:r>
      <w:r w:rsidR="007F6095" w:rsidRPr="007F6095">
        <w:rPr>
          <w:b/>
          <w:bCs/>
          <w:lang w:val="en-NZ"/>
        </w:rPr>
        <w:t xml:space="preserve"> in part</w:t>
      </w:r>
      <w:r w:rsidR="00237CE6">
        <w:rPr>
          <w:b/>
          <w:bCs/>
          <w:lang w:val="en-NZ"/>
        </w:rPr>
        <w:t xml:space="preserve">: </w:t>
      </w:r>
      <w:r w:rsidR="00790244">
        <w:rPr>
          <w:lang w:val="en-NZ"/>
        </w:rPr>
        <w:t>132.</w:t>
      </w:r>
      <w:r w:rsidR="007F6095" w:rsidRPr="007F6095">
        <w:rPr>
          <w:lang w:val="en-NZ"/>
        </w:rPr>
        <w:t>36.</w:t>
      </w:r>
    </w:p>
    <w:p w14:paraId="00189517" w14:textId="5FFF6583" w:rsidR="007F6095" w:rsidRPr="007F6095" w:rsidRDefault="001078DD" w:rsidP="001078DD">
      <w:pPr>
        <w:pStyle w:val="SingleTxtG"/>
        <w:rPr>
          <w:lang w:val="en-NZ"/>
        </w:rPr>
      </w:pPr>
      <w:r>
        <w:rPr>
          <w:lang w:val="en-NZ"/>
        </w:rPr>
        <w:t>22.</w:t>
      </w:r>
      <w:r>
        <w:rPr>
          <w:lang w:val="en-NZ"/>
        </w:rPr>
        <w:tab/>
      </w:r>
      <w:r w:rsidR="007F6095" w:rsidRPr="007F6095">
        <w:rPr>
          <w:lang w:val="en-NZ"/>
        </w:rPr>
        <w:t>New Zealand will continue to actively engage with the Human Rights Council and promote respect for human rights in our bilateral engagements and relevant international fora. We do not currently have any plans to actively participate in the negotiations of an instrument on business and human rights.</w:t>
      </w:r>
    </w:p>
    <w:p w14:paraId="3BF292BD" w14:textId="19FDB636" w:rsidR="007F6095" w:rsidRPr="007F6095" w:rsidRDefault="001078DD" w:rsidP="001078DD">
      <w:pPr>
        <w:pStyle w:val="SingleTxtG"/>
        <w:rPr>
          <w:lang w:val="en-NZ"/>
        </w:rPr>
      </w:pPr>
      <w:r>
        <w:rPr>
          <w:lang w:val="en-NZ"/>
        </w:rPr>
        <w:t>23.</w:t>
      </w:r>
      <w:r>
        <w:rPr>
          <w:lang w:val="en-NZ"/>
        </w:rPr>
        <w:tab/>
      </w:r>
      <w:r w:rsidR="00237CE6">
        <w:rPr>
          <w:b/>
          <w:bCs/>
          <w:lang w:val="en-NZ"/>
        </w:rPr>
        <w:t>N</w:t>
      </w:r>
      <w:r w:rsidR="007F6095" w:rsidRPr="007F6095">
        <w:rPr>
          <w:b/>
          <w:bCs/>
          <w:lang w:val="en-NZ"/>
        </w:rPr>
        <w:t>ote</w:t>
      </w:r>
      <w:r w:rsidR="00237CE6">
        <w:rPr>
          <w:b/>
          <w:bCs/>
          <w:lang w:val="en-NZ"/>
        </w:rPr>
        <w:t>d:</w:t>
      </w:r>
      <w:r w:rsidR="007F6095" w:rsidRPr="007F6095">
        <w:rPr>
          <w:lang w:val="en-NZ"/>
        </w:rPr>
        <w:t xml:space="preserve"> </w:t>
      </w:r>
      <w:r w:rsidR="00790244">
        <w:rPr>
          <w:lang w:val="en-NZ"/>
        </w:rPr>
        <w:t>132.</w:t>
      </w:r>
      <w:r w:rsidR="007F6095" w:rsidRPr="007F6095">
        <w:rPr>
          <w:lang w:val="en-NZ"/>
        </w:rPr>
        <w:t>38</w:t>
      </w:r>
      <w:r w:rsidR="001B5CF8">
        <w:rPr>
          <w:lang w:val="en-NZ"/>
        </w:rPr>
        <w:t>–</w:t>
      </w:r>
      <w:r w:rsidR="007F6095" w:rsidRPr="007F6095">
        <w:rPr>
          <w:lang w:val="en-NZ"/>
        </w:rPr>
        <w:t>39,</w:t>
      </w:r>
      <w:r w:rsidR="00E30FCE">
        <w:rPr>
          <w:lang w:val="en-NZ"/>
        </w:rPr>
        <w:t xml:space="preserve"> </w:t>
      </w:r>
      <w:r w:rsidR="00790244">
        <w:rPr>
          <w:lang w:val="en-NZ"/>
        </w:rPr>
        <w:t>132.</w:t>
      </w:r>
      <w:r w:rsidR="007F6095" w:rsidRPr="007F6095">
        <w:rPr>
          <w:lang w:val="en-NZ"/>
        </w:rPr>
        <w:t>162</w:t>
      </w:r>
      <w:r w:rsidR="001B5CF8">
        <w:rPr>
          <w:lang w:val="en-NZ"/>
        </w:rPr>
        <w:t>–</w:t>
      </w:r>
      <w:r w:rsidR="007F6095" w:rsidRPr="007F6095">
        <w:rPr>
          <w:lang w:val="en-NZ"/>
        </w:rPr>
        <w:t>163.</w:t>
      </w:r>
    </w:p>
    <w:p w14:paraId="63F43C31" w14:textId="0ADC7750" w:rsidR="007F6095" w:rsidRPr="007F6095" w:rsidRDefault="00DE07EB" w:rsidP="00DE07EB">
      <w:pPr>
        <w:pStyle w:val="HChG"/>
        <w:rPr>
          <w:lang w:val="en-NZ"/>
        </w:rPr>
      </w:pPr>
      <w:r>
        <w:rPr>
          <w:lang w:val="en-NZ"/>
        </w:rPr>
        <w:tab/>
      </w:r>
      <w:r>
        <w:rPr>
          <w:lang w:val="en-NZ"/>
        </w:rPr>
        <w:tab/>
      </w:r>
      <w:r w:rsidR="007F6095" w:rsidRPr="007F6095">
        <w:rPr>
          <w:lang w:val="en-NZ"/>
        </w:rPr>
        <w:t>Equality and non-discrimination</w:t>
      </w:r>
    </w:p>
    <w:p w14:paraId="2BB61458" w14:textId="65E67579" w:rsidR="007F6095" w:rsidRPr="007F6095" w:rsidRDefault="00DE07EB" w:rsidP="00DE07EB">
      <w:pPr>
        <w:pStyle w:val="SingleTxtG"/>
        <w:rPr>
          <w:lang w:val="en-NZ"/>
        </w:rPr>
      </w:pPr>
      <w:r>
        <w:rPr>
          <w:lang w:val="en-NZ"/>
        </w:rPr>
        <w:t>24.</w:t>
      </w:r>
      <w:r>
        <w:rPr>
          <w:lang w:val="en-NZ"/>
        </w:rPr>
        <w:tab/>
      </w:r>
      <w:r w:rsidR="007F6095" w:rsidRPr="007F6095">
        <w:rPr>
          <w:lang w:val="en-NZ"/>
        </w:rPr>
        <w:t>New Zealand has committed to developing a national action plan against racism. The final plan will be released later in 2024.</w:t>
      </w:r>
    </w:p>
    <w:p w14:paraId="7AAE1B82" w14:textId="08B21C81" w:rsidR="007F6095" w:rsidRPr="007F6095" w:rsidRDefault="00DE07EB" w:rsidP="00DE07EB">
      <w:pPr>
        <w:pStyle w:val="SingleTxtG"/>
        <w:rPr>
          <w:lang w:val="en-NZ"/>
        </w:rPr>
      </w:pPr>
      <w:r>
        <w:rPr>
          <w:lang w:val="en-NZ"/>
        </w:rPr>
        <w:t>25.</w:t>
      </w:r>
      <w:r>
        <w:rPr>
          <w:lang w:val="en-NZ"/>
        </w:rPr>
        <w:tab/>
      </w:r>
      <w:r w:rsidR="00237CE6">
        <w:rPr>
          <w:b/>
          <w:bCs/>
          <w:lang w:val="en-NZ"/>
        </w:rPr>
        <w:t>S</w:t>
      </w:r>
      <w:r w:rsidR="007F6095" w:rsidRPr="007F6095">
        <w:rPr>
          <w:b/>
          <w:bCs/>
          <w:lang w:val="en-NZ"/>
        </w:rPr>
        <w:t>upport</w:t>
      </w:r>
      <w:r w:rsidR="00237CE6">
        <w:rPr>
          <w:b/>
          <w:bCs/>
          <w:lang w:val="en-NZ"/>
        </w:rPr>
        <w:t>ed:</w:t>
      </w:r>
      <w:r w:rsidR="007F6095" w:rsidRPr="007F6095">
        <w:rPr>
          <w:b/>
          <w:bCs/>
          <w:lang w:val="en-NZ"/>
        </w:rPr>
        <w:t xml:space="preserve"> </w:t>
      </w:r>
      <w:r w:rsidR="00790244">
        <w:rPr>
          <w:lang w:val="en-NZ"/>
        </w:rPr>
        <w:t>132.</w:t>
      </w:r>
      <w:r w:rsidR="007F6095" w:rsidRPr="007F6095">
        <w:rPr>
          <w:lang w:val="en-NZ"/>
        </w:rPr>
        <w:t>43</w:t>
      </w:r>
      <w:r w:rsidR="001B5CF8">
        <w:rPr>
          <w:lang w:val="en-NZ"/>
        </w:rPr>
        <w:t>–</w:t>
      </w:r>
      <w:r w:rsidR="007F6095" w:rsidRPr="007F6095">
        <w:rPr>
          <w:lang w:val="en-NZ"/>
        </w:rPr>
        <w:t>48,</w:t>
      </w:r>
      <w:r w:rsidR="00E30FCE">
        <w:rPr>
          <w:lang w:val="en-NZ"/>
        </w:rPr>
        <w:t xml:space="preserve"> </w:t>
      </w:r>
      <w:r w:rsidR="00790244">
        <w:rPr>
          <w:lang w:val="en-NZ"/>
        </w:rPr>
        <w:t>132.</w:t>
      </w:r>
      <w:r w:rsidR="007F6095" w:rsidRPr="007F6095">
        <w:rPr>
          <w:lang w:val="en-NZ"/>
        </w:rPr>
        <w:t>50</w:t>
      </w:r>
      <w:r w:rsidR="001B5CF8">
        <w:rPr>
          <w:lang w:val="en-NZ"/>
        </w:rPr>
        <w:t>–</w:t>
      </w:r>
      <w:r w:rsidR="007F6095" w:rsidRPr="007F6095">
        <w:rPr>
          <w:lang w:val="en-NZ"/>
        </w:rPr>
        <w:t>57,</w:t>
      </w:r>
      <w:r w:rsidR="00E30FCE">
        <w:rPr>
          <w:lang w:val="en-NZ"/>
        </w:rPr>
        <w:t xml:space="preserve"> </w:t>
      </w:r>
      <w:r w:rsidR="00790244">
        <w:rPr>
          <w:lang w:val="en-NZ"/>
        </w:rPr>
        <w:t>132.</w:t>
      </w:r>
      <w:r w:rsidR="007F6095" w:rsidRPr="007F6095">
        <w:rPr>
          <w:lang w:val="en-NZ"/>
        </w:rPr>
        <w:t>61,</w:t>
      </w:r>
      <w:r w:rsidR="00E30FCE">
        <w:rPr>
          <w:lang w:val="en-NZ"/>
        </w:rPr>
        <w:t xml:space="preserve"> </w:t>
      </w:r>
      <w:r w:rsidR="00790244">
        <w:rPr>
          <w:lang w:val="en-NZ"/>
        </w:rPr>
        <w:t>132.</w:t>
      </w:r>
      <w:r w:rsidR="007F6095" w:rsidRPr="007F6095">
        <w:rPr>
          <w:lang w:val="en-NZ"/>
        </w:rPr>
        <w:t>85</w:t>
      </w:r>
      <w:r w:rsidR="001B5CF8">
        <w:rPr>
          <w:lang w:val="en-NZ"/>
        </w:rPr>
        <w:t>–</w:t>
      </w:r>
      <w:r w:rsidR="007F6095" w:rsidRPr="007F6095">
        <w:rPr>
          <w:lang w:val="en-NZ"/>
        </w:rPr>
        <w:t>86.</w:t>
      </w:r>
    </w:p>
    <w:p w14:paraId="47D45D66" w14:textId="2384E60A" w:rsidR="007F6095" w:rsidRPr="007F6095" w:rsidRDefault="00DE07EB" w:rsidP="00DE07EB">
      <w:pPr>
        <w:pStyle w:val="SingleTxtG"/>
        <w:rPr>
          <w:lang w:val="en-NZ"/>
        </w:rPr>
      </w:pPr>
      <w:r>
        <w:rPr>
          <w:lang w:val="en-NZ"/>
        </w:rPr>
        <w:t>26.</w:t>
      </w:r>
      <w:r>
        <w:rPr>
          <w:lang w:val="en-NZ"/>
        </w:rPr>
        <w:tab/>
      </w:r>
      <w:r w:rsidR="00237CE6">
        <w:rPr>
          <w:b/>
          <w:bCs/>
          <w:lang w:val="en-NZ"/>
        </w:rPr>
        <w:t>S</w:t>
      </w:r>
      <w:r w:rsidR="007F6095" w:rsidRPr="007F6095">
        <w:rPr>
          <w:b/>
          <w:bCs/>
          <w:lang w:val="en-NZ"/>
        </w:rPr>
        <w:t>upport</w:t>
      </w:r>
      <w:r w:rsidR="00237CE6">
        <w:rPr>
          <w:b/>
          <w:bCs/>
          <w:lang w:val="en-NZ"/>
        </w:rPr>
        <w:t>ed</w:t>
      </w:r>
      <w:r w:rsidR="007F6095" w:rsidRPr="007F6095">
        <w:rPr>
          <w:b/>
          <w:bCs/>
          <w:lang w:val="en-NZ"/>
        </w:rPr>
        <w:t xml:space="preserve"> in part</w:t>
      </w:r>
      <w:r w:rsidR="00237CE6">
        <w:rPr>
          <w:b/>
          <w:bCs/>
          <w:lang w:val="en-NZ"/>
        </w:rPr>
        <w:t>:</w:t>
      </w:r>
      <w:r w:rsidR="007F6095" w:rsidRPr="007F6095">
        <w:rPr>
          <w:b/>
          <w:bCs/>
          <w:lang w:val="en-NZ"/>
        </w:rPr>
        <w:t xml:space="preserve"> </w:t>
      </w:r>
      <w:r w:rsidR="00790244">
        <w:rPr>
          <w:lang w:val="en-NZ"/>
        </w:rPr>
        <w:t>132.</w:t>
      </w:r>
      <w:r w:rsidR="007F6095" w:rsidRPr="007F6095">
        <w:rPr>
          <w:lang w:val="en-NZ"/>
        </w:rPr>
        <w:t>49.</w:t>
      </w:r>
    </w:p>
    <w:p w14:paraId="30E2787F" w14:textId="2B9ECAB5" w:rsidR="007F6095" w:rsidRPr="007F6095" w:rsidRDefault="00DE07EB" w:rsidP="00DE07EB">
      <w:pPr>
        <w:pStyle w:val="SingleTxtG"/>
        <w:rPr>
          <w:lang w:val="en-NZ"/>
        </w:rPr>
      </w:pPr>
      <w:r>
        <w:rPr>
          <w:lang w:val="en-NZ"/>
        </w:rPr>
        <w:t>27.</w:t>
      </w:r>
      <w:r>
        <w:rPr>
          <w:lang w:val="en-NZ"/>
        </w:rPr>
        <w:tab/>
      </w:r>
      <w:r w:rsidR="007F6095" w:rsidRPr="007F6095">
        <w:rPr>
          <w:lang w:val="en-NZ"/>
        </w:rPr>
        <w:t>The Law Commission is examining whether the prohibited grounds of discrimination in the Human Rights Act 1993 adequately protect people who are transgender, non-</w:t>
      </w:r>
      <w:proofErr w:type="gramStart"/>
      <w:r w:rsidR="007F6095" w:rsidRPr="007F6095">
        <w:rPr>
          <w:lang w:val="en-NZ"/>
        </w:rPr>
        <w:t>binary</w:t>
      </w:r>
      <w:proofErr w:type="gramEnd"/>
      <w:r w:rsidR="007F6095" w:rsidRPr="007F6095">
        <w:rPr>
          <w:lang w:val="en-NZ"/>
        </w:rPr>
        <w:t xml:space="preserve"> and people with variations of sex characteristics. The Law Commission intends to report in mid-2025.</w:t>
      </w:r>
    </w:p>
    <w:p w14:paraId="4C5BEB97" w14:textId="405715BD" w:rsidR="007F6095" w:rsidRPr="007F6095" w:rsidRDefault="00DE07EB" w:rsidP="00DE07EB">
      <w:pPr>
        <w:pStyle w:val="SingleTxtG"/>
        <w:rPr>
          <w:lang w:val="en-NZ"/>
        </w:rPr>
      </w:pPr>
      <w:r>
        <w:rPr>
          <w:lang w:val="en-NZ"/>
        </w:rPr>
        <w:t>28.</w:t>
      </w:r>
      <w:r>
        <w:rPr>
          <w:lang w:val="en-NZ"/>
        </w:rPr>
        <w:tab/>
      </w:r>
      <w:r w:rsidR="007F6095" w:rsidRPr="007F6095">
        <w:rPr>
          <w:lang w:val="en-NZ"/>
        </w:rPr>
        <w:t>The Law Commission is also reviewing the law relating to hate crime. This review will not consider the law relating to hate speech and there are no plans to progress work relating to hate speech. The Government will consider and respond to the recommendations from both reviews.</w:t>
      </w:r>
    </w:p>
    <w:p w14:paraId="5F16A740" w14:textId="5C7E681D" w:rsidR="007F6095" w:rsidRPr="007F6095" w:rsidRDefault="00DE07EB" w:rsidP="00DE07EB">
      <w:pPr>
        <w:pStyle w:val="SingleTxtG"/>
        <w:rPr>
          <w:lang w:val="en-NZ"/>
        </w:rPr>
      </w:pPr>
      <w:r>
        <w:rPr>
          <w:lang w:val="en-NZ"/>
        </w:rPr>
        <w:t>29.</w:t>
      </w:r>
      <w:r>
        <w:rPr>
          <w:lang w:val="en-NZ"/>
        </w:rPr>
        <w:tab/>
      </w:r>
      <w:r w:rsidR="00237CE6">
        <w:rPr>
          <w:b/>
          <w:bCs/>
          <w:lang w:val="en-NZ"/>
        </w:rPr>
        <w:t>N</w:t>
      </w:r>
      <w:r w:rsidR="007F6095" w:rsidRPr="007F6095">
        <w:rPr>
          <w:b/>
          <w:bCs/>
          <w:lang w:val="en-NZ"/>
        </w:rPr>
        <w:t>ote</w:t>
      </w:r>
      <w:r w:rsidR="00237CE6">
        <w:rPr>
          <w:b/>
          <w:bCs/>
          <w:lang w:val="en-NZ"/>
        </w:rPr>
        <w:t>d:</w:t>
      </w:r>
      <w:r w:rsidR="007F6095" w:rsidRPr="007F6095">
        <w:rPr>
          <w:b/>
          <w:bCs/>
          <w:lang w:val="en-NZ"/>
        </w:rPr>
        <w:t xml:space="preserve"> </w:t>
      </w:r>
      <w:r w:rsidR="00790244" w:rsidRPr="005128FA">
        <w:rPr>
          <w:lang w:val="en-NZ"/>
        </w:rPr>
        <w:t>132</w:t>
      </w:r>
      <w:r w:rsidR="00790244">
        <w:rPr>
          <w:b/>
          <w:bCs/>
          <w:lang w:val="en-NZ"/>
        </w:rPr>
        <w:t>.</w:t>
      </w:r>
      <w:r w:rsidR="007F6095" w:rsidRPr="007F6095">
        <w:rPr>
          <w:lang w:val="en-NZ"/>
        </w:rPr>
        <w:t>34</w:t>
      </w:r>
      <w:r w:rsidR="001B5CF8">
        <w:rPr>
          <w:lang w:val="en-NZ"/>
        </w:rPr>
        <w:t>–</w:t>
      </w:r>
      <w:r w:rsidR="007F6095" w:rsidRPr="007F6095">
        <w:rPr>
          <w:lang w:val="en-NZ"/>
        </w:rPr>
        <w:t>35,</w:t>
      </w:r>
      <w:r w:rsidR="00E30FCE">
        <w:rPr>
          <w:lang w:val="en-NZ"/>
        </w:rPr>
        <w:t xml:space="preserve"> </w:t>
      </w:r>
      <w:r w:rsidR="00790244">
        <w:rPr>
          <w:lang w:val="en-NZ"/>
        </w:rPr>
        <w:t>132.</w:t>
      </w:r>
      <w:r w:rsidR="007F6095" w:rsidRPr="007F6095">
        <w:rPr>
          <w:lang w:val="en-NZ"/>
        </w:rPr>
        <w:t>58</w:t>
      </w:r>
      <w:r w:rsidR="001B5CF8">
        <w:rPr>
          <w:lang w:val="en-NZ"/>
        </w:rPr>
        <w:t>–</w:t>
      </w:r>
      <w:r w:rsidR="007F6095" w:rsidRPr="007F6095">
        <w:rPr>
          <w:lang w:val="en-NZ"/>
        </w:rPr>
        <w:t>60,</w:t>
      </w:r>
      <w:r w:rsidR="00E30FCE">
        <w:rPr>
          <w:lang w:val="en-NZ"/>
        </w:rPr>
        <w:t xml:space="preserve"> </w:t>
      </w:r>
      <w:r w:rsidR="00790244">
        <w:rPr>
          <w:lang w:val="en-NZ"/>
        </w:rPr>
        <w:t>132.</w:t>
      </w:r>
      <w:r w:rsidR="007F6095" w:rsidRPr="007F6095">
        <w:rPr>
          <w:lang w:val="en-NZ"/>
        </w:rPr>
        <w:t>72.</w:t>
      </w:r>
    </w:p>
    <w:p w14:paraId="451F4CDA" w14:textId="13A44076" w:rsidR="007F6095" w:rsidRPr="007F6095" w:rsidRDefault="00A437A7" w:rsidP="00A437A7">
      <w:pPr>
        <w:pStyle w:val="HChG"/>
        <w:rPr>
          <w:lang w:val="en-NZ"/>
        </w:rPr>
      </w:pPr>
      <w:bookmarkStart w:id="0" w:name="_Hlk5626745"/>
      <w:r>
        <w:rPr>
          <w:lang w:val="en-NZ"/>
        </w:rPr>
        <w:tab/>
      </w:r>
      <w:r>
        <w:rPr>
          <w:lang w:val="en-NZ"/>
        </w:rPr>
        <w:tab/>
      </w:r>
      <w:r w:rsidR="007F6095" w:rsidRPr="007F6095">
        <w:rPr>
          <w:lang w:val="en-NZ"/>
        </w:rPr>
        <w:t>Criminal justice</w:t>
      </w:r>
    </w:p>
    <w:p w14:paraId="5CD41832" w14:textId="3E18350C" w:rsidR="007F6095" w:rsidRPr="007F6095" w:rsidRDefault="00A437A7" w:rsidP="00A437A7">
      <w:pPr>
        <w:pStyle w:val="SingleTxtG"/>
        <w:rPr>
          <w:lang w:val="en-NZ"/>
        </w:rPr>
      </w:pPr>
      <w:r>
        <w:rPr>
          <w:lang w:val="en-NZ"/>
        </w:rPr>
        <w:t>30.</w:t>
      </w:r>
      <w:r>
        <w:rPr>
          <w:lang w:val="en-NZ"/>
        </w:rPr>
        <w:tab/>
      </w:r>
      <w:r w:rsidR="007F6095" w:rsidRPr="007F6095">
        <w:rPr>
          <w:lang w:val="en-NZ"/>
        </w:rPr>
        <w:t>New Zealand is committed to improving outcomes across the justice sector. The Department of Corrections’ Long Term Network Configuration Plan outlines steps to transition to a better quality, safer and more fit for purpose prison network.</w:t>
      </w:r>
    </w:p>
    <w:p w14:paraId="567ACB23" w14:textId="788D968F" w:rsidR="007F6095" w:rsidRPr="007F6095" w:rsidRDefault="00A437A7" w:rsidP="00A437A7">
      <w:pPr>
        <w:pStyle w:val="SingleTxtG"/>
        <w:rPr>
          <w:lang w:val="en-NZ"/>
        </w:rPr>
      </w:pPr>
      <w:r>
        <w:rPr>
          <w:lang w:val="en-NZ"/>
        </w:rPr>
        <w:t>31.</w:t>
      </w:r>
      <w:r>
        <w:rPr>
          <w:lang w:val="en-NZ"/>
        </w:rPr>
        <w:tab/>
      </w:r>
      <w:r w:rsidR="007F6095" w:rsidRPr="007F6095">
        <w:rPr>
          <w:lang w:val="en-NZ"/>
        </w:rPr>
        <w:t>The Government is due to undertake its next review of the legal aid settings in the reporting period.</w:t>
      </w:r>
    </w:p>
    <w:p w14:paraId="26CECEC1" w14:textId="5A71EE87" w:rsidR="007F6095" w:rsidRPr="007F6095" w:rsidRDefault="00A437A7" w:rsidP="00A437A7">
      <w:pPr>
        <w:pStyle w:val="SingleTxtG"/>
        <w:rPr>
          <w:lang w:val="en-NZ"/>
        </w:rPr>
      </w:pPr>
      <w:r>
        <w:rPr>
          <w:lang w:val="en-NZ"/>
        </w:rPr>
        <w:t>32.</w:t>
      </w:r>
      <w:r>
        <w:rPr>
          <w:lang w:val="en-NZ"/>
        </w:rPr>
        <w:tab/>
      </w:r>
      <w:r w:rsidR="00237CE6">
        <w:rPr>
          <w:b/>
          <w:bCs/>
          <w:lang w:val="en-NZ"/>
        </w:rPr>
        <w:t>S</w:t>
      </w:r>
      <w:r w:rsidR="007F6095" w:rsidRPr="007F6095">
        <w:rPr>
          <w:b/>
          <w:bCs/>
          <w:lang w:val="en-NZ"/>
        </w:rPr>
        <w:t>upport</w:t>
      </w:r>
      <w:r w:rsidR="00237CE6">
        <w:rPr>
          <w:b/>
          <w:bCs/>
          <w:lang w:val="en-NZ"/>
        </w:rPr>
        <w:t>ed:</w:t>
      </w:r>
      <w:r w:rsidR="007F6095" w:rsidRPr="007F6095">
        <w:rPr>
          <w:b/>
          <w:bCs/>
          <w:lang w:val="en-NZ"/>
        </w:rPr>
        <w:t xml:space="preserve"> </w:t>
      </w:r>
      <w:r w:rsidR="00790244">
        <w:rPr>
          <w:lang w:val="en-NZ"/>
        </w:rPr>
        <w:t>132.</w:t>
      </w:r>
      <w:r w:rsidR="007F6095" w:rsidRPr="007F6095">
        <w:rPr>
          <w:lang w:val="en-NZ"/>
        </w:rPr>
        <w:t>66</w:t>
      </w:r>
      <w:r w:rsidR="001B5CF8">
        <w:rPr>
          <w:lang w:val="en-NZ"/>
        </w:rPr>
        <w:t>–</w:t>
      </w:r>
      <w:r w:rsidR="007F6095" w:rsidRPr="007F6095">
        <w:rPr>
          <w:lang w:val="en-NZ"/>
        </w:rPr>
        <w:t>70,</w:t>
      </w:r>
      <w:r w:rsidR="00E30FCE">
        <w:rPr>
          <w:lang w:val="en-NZ"/>
        </w:rPr>
        <w:t xml:space="preserve"> </w:t>
      </w:r>
      <w:r w:rsidR="00790244">
        <w:rPr>
          <w:lang w:val="en-NZ"/>
        </w:rPr>
        <w:t>132.</w:t>
      </w:r>
      <w:r w:rsidR="007F6095" w:rsidRPr="007F6095">
        <w:rPr>
          <w:lang w:val="en-NZ"/>
        </w:rPr>
        <w:t>75,</w:t>
      </w:r>
      <w:r w:rsidR="00E30FCE">
        <w:rPr>
          <w:lang w:val="en-NZ"/>
        </w:rPr>
        <w:t xml:space="preserve"> </w:t>
      </w:r>
      <w:r w:rsidR="00790244">
        <w:rPr>
          <w:lang w:val="en-NZ"/>
        </w:rPr>
        <w:t>132.</w:t>
      </w:r>
      <w:r w:rsidR="007F6095" w:rsidRPr="007F6095">
        <w:rPr>
          <w:lang w:val="en-NZ"/>
        </w:rPr>
        <w:t>83,</w:t>
      </w:r>
      <w:r w:rsidR="00E30FCE">
        <w:rPr>
          <w:lang w:val="en-NZ"/>
        </w:rPr>
        <w:t xml:space="preserve"> </w:t>
      </w:r>
      <w:r w:rsidR="00790244">
        <w:rPr>
          <w:lang w:val="en-NZ"/>
        </w:rPr>
        <w:t>132.</w:t>
      </w:r>
      <w:r w:rsidR="007F6095" w:rsidRPr="007F6095">
        <w:rPr>
          <w:lang w:val="en-NZ"/>
        </w:rPr>
        <w:t>87.</w:t>
      </w:r>
    </w:p>
    <w:p w14:paraId="04203C2E" w14:textId="31092BD6" w:rsidR="007F6095" w:rsidRPr="007F6095" w:rsidRDefault="00A437A7" w:rsidP="00A437A7">
      <w:pPr>
        <w:pStyle w:val="SingleTxtG"/>
        <w:rPr>
          <w:lang w:val="en-NZ"/>
        </w:rPr>
      </w:pPr>
      <w:r>
        <w:rPr>
          <w:lang w:val="en-NZ"/>
        </w:rPr>
        <w:t>33.</w:t>
      </w:r>
      <w:r>
        <w:rPr>
          <w:lang w:val="en-NZ"/>
        </w:rPr>
        <w:tab/>
      </w:r>
      <w:r w:rsidR="007F6095" w:rsidRPr="007F6095">
        <w:rPr>
          <w:lang w:val="en-NZ"/>
        </w:rPr>
        <w:t>The Government does not accept that overcrowding is a feature of our custodial facilities.</w:t>
      </w:r>
    </w:p>
    <w:p w14:paraId="276E9656" w14:textId="6FD66A1F" w:rsidR="007F6095" w:rsidRPr="007F6095" w:rsidRDefault="00A437A7" w:rsidP="00A437A7">
      <w:pPr>
        <w:pStyle w:val="SingleTxtG"/>
        <w:rPr>
          <w:lang w:val="en-NZ"/>
        </w:rPr>
      </w:pPr>
      <w:r>
        <w:rPr>
          <w:lang w:val="en-NZ"/>
        </w:rPr>
        <w:t>34.</w:t>
      </w:r>
      <w:r>
        <w:rPr>
          <w:lang w:val="en-NZ"/>
        </w:rPr>
        <w:tab/>
      </w:r>
      <w:r w:rsidR="00237CE6">
        <w:rPr>
          <w:b/>
          <w:bCs/>
          <w:lang w:val="en-NZ"/>
        </w:rPr>
        <w:t>S</w:t>
      </w:r>
      <w:r w:rsidR="007F6095" w:rsidRPr="007F6095">
        <w:rPr>
          <w:b/>
          <w:bCs/>
          <w:lang w:val="en-NZ"/>
        </w:rPr>
        <w:t>upport</w:t>
      </w:r>
      <w:r w:rsidR="00237CE6">
        <w:rPr>
          <w:b/>
          <w:bCs/>
          <w:lang w:val="en-NZ"/>
        </w:rPr>
        <w:t>ed</w:t>
      </w:r>
      <w:r w:rsidR="007F6095" w:rsidRPr="007F6095">
        <w:rPr>
          <w:b/>
          <w:bCs/>
          <w:lang w:val="en-NZ"/>
        </w:rPr>
        <w:t xml:space="preserve"> in part</w:t>
      </w:r>
      <w:r w:rsidR="00237CE6">
        <w:rPr>
          <w:b/>
          <w:bCs/>
          <w:lang w:val="en-NZ"/>
        </w:rPr>
        <w:t>:</w:t>
      </w:r>
      <w:r w:rsidR="007F6095" w:rsidRPr="007F6095">
        <w:rPr>
          <w:b/>
          <w:bCs/>
          <w:lang w:val="en-NZ"/>
        </w:rPr>
        <w:t xml:space="preserve"> </w:t>
      </w:r>
      <w:r w:rsidR="00790244">
        <w:rPr>
          <w:lang w:val="en-NZ"/>
        </w:rPr>
        <w:t>132.</w:t>
      </w:r>
      <w:r w:rsidR="007F6095" w:rsidRPr="007F6095">
        <w:rPr>
          <w:lang w:val="en-NZ"/>
        </w:rPr>
        <w:t>64</w:t>
      </w:r>
      <w:r w:rsidR="001B5CF8">
        <w:rPr>
          <w:lang w:val="en-NZ"/>
        </w:rPr>
        <w:t>–</w:t>
      </w:r>
      <w:r w:rsidR="007F6095" w:rsidRPr="007F6095">
        <w:rPr>
          <w:lang w:val="en-NZ"/>
        </w:rPr>
        <w:t>65.</w:t>
      </w:r>
    </w:p>
    <w:p w14:paraId="464391C1" w14:textId="746AB2A4" w:rsidR="007F6095" w:rsidRPr="007F6095" w:rsidRDefault="00A437A7" w:rsidP="00A437A7">
      <w:pPr>
        <w:pStyle w:val="SingleTxtG"/>
        <w:rPr>
          <w:lang w:val="en-NZ"/>
        </w:rPr>
      </w:pPr>
      <w:r>
        <w:rPr>
          <w:lang w:val="en-NZ"/>
        </w:rPr>
        <w:t>35.</w:t>
      </w:r>
      <w:r>
        <w:rPr>
          <w:lang w:val="en-NZ"/>
        </w:rPr>
        <w:tab/>
      </w:r>
      <w:r w:rsidR="007F6095" w:rsidRPr="007F6095">
        <w:rPr>
          <w:lang w:val="en-NZ"/>
        </w:rPr>
        <w:t>The Government will be reporting to the Committee against Torture in 2024 on the recommendations from New Zealand’s last review. The report will include actions that we are taking to implement some of the recommendations.</w:t>
      </w:r>
    </w:p>
    <w:p w14:paraId="692E86E1" w14:textId="4F886E1C" w:rsidR="007F6095" w:rsidRPr="007F6095" w:rsidRDefault="00A437A7" w:rsidP="00A437A7">
      <w:pPr>
        <w:pStyle w:val="SingleTxtG"/>
        <w:rPr>
          <w:lang w:val="en-NZ"/>
        </w:rPr>
      </w:pPr>
      <w:r>
        <w:rPr>
          <w:lang w:val="en-NZ"/>
        </w:rPr>
        <w:lastRenderedPageBreak/>
        <w:t>36.</w:t>
      </w:r>
      <w:r>
        <w:rPr>
          <w:lang w:val="en-NZ"/>
        </w:rPr>
        <w:tab/>
      </w:r>
      <w:r w:rsidR="00237CE6">
        <w:rPr>
          <w:b/>
          <w:bCs/>
          <w:lang w:val="en-NZ"/>
        </w:rPr>
        <w:t>S</w:t>
      </w:r>
      <w:r w:rsidR="007F6095" w:rsidRPr="007F6095">
        <w:rPr>
          <w:b/>
          <w:bCs/>
          <w:lang w:val="en-NZ"/>
        </w:rPr>
        <w:t>upport</w:t>
      </w:r>
      <w:r w:rsidR="00237CE6">
        <w:rPr>
          <w:b/>
          <w:bCs/>
          <w:lang w:val="en-NZ"/>
        </w:rPr>
        <w:t>ed</w:t>
      </w:r>
      <w:r w:rsidR="007F6095" w:rsidRPr="007F6095">
        <w:rPr>
          <w:b/>
          <w:bCs/>
          <w:lang w:val="en-NZ"/>
        </w:rPr>
        <w:t xml:space="preserve"> in part</w:t>
      </w:r>
      <w:r w:rsidR="00237CE6">
        <w:rPr>
          <w:b/>
          <w:bCs/>
          <w:lang w:val="en-NZ"/>
        </w:rPr>
        <w:t>:</w:t>
      </w:r>
      <w:r w:rsidR="007F6095" w:rsidRPr="007F6095">
        <w:rPr>
          <w:b/>
          <w:bCs/>
          <w:lang w:val="en-NZ"/>
        </w:rPr>
        <w:t xml:space="preserve"> </w:t>
      </w:r>
      <w:r w:rsidR="00790244">
        <w:rPr>
          <w:lang w:val="en-NZ"/>
        </w:rPr>
        <w:t>123.</w:t>
      </w:r>
      <w:r w:rsidR="007F6095" w:rsidRPr="007F6095">
        <w:rPr>
          <w:lang w:val="en-NZ"/>
        </w:rPr>
        <w:t>63.</w:t>
      </w:r>
    </w:p>
    <w:p w14:paraId="4FC642E2" w14:textId="18DA5248" w:rsidR="007F6095" w:rsidRPr="007F6095" w:rsidRDefault="00A437A7" w:rsidP="00A437A7">
      <w:pPr>
        <w:pStyle w:val="SingleTxtG"/>
        <w:rPr>
          <w:lang w:val="en-NZ"/>
        </w:rPr>
      </w:pPr>
      <w:r>
        <w:rPr>
          <w:lang w:val="en-NZ"/>
        </w:rPr>
        <w:t>37.</w:t>
      </w:r>
      <w:r>
        <w:rPr>
          <w:lang w:val="en-NZ"/>
        </w:rPr>
        <w:tab/>
      </w:r>
      <w:r w:rsidR="007F6095" w:rsidRPr="007F6095">
        <w:rPr>
          <w:lang w:val="en-NZ"/>
        </w:rPr>
        <w:t xml:space="preserve">Legal aid is an important feature of our justice system. However, we cannot commit to the specifics of recommendation </w:t>
      </w:r>
      <w:r w:rsidR="00790244">
        <w:rPr>
          <w:lang w:val="en-NZ"/>
        </w:rPr>
        <w:t>132.</w:t>
      </w:r>
      <w:r w:rsidR="007F6095" w:rsidRPr="007F6095">
        <w:rPr>
          <w:lang w:val="en-NZ"/>
        </w:rPr>
        <w:t xml:space="preserve">74. We </w:t>
      </w:r>
      <w:r w:rsidR="007F6095" w:rsidRPr="007F6095">
        <w:rPr>
          <w:b/>
          <w:lang w:val="en-NZ"/>
        </w:rPr>
        <w:t>support in part</w:t>
      </w:r>
      <w:r w:rsidR="007F6095" w:rsidRPr="007F6095">
        <w:rPr>
          <w:lang w:val="en-NZ"/>
        </w:rPr>
        <w:t xml:space="preserve"> recommendation </w:t>
      </w:r>
      <w:r w:rsidR="00790244">
        <w:rPr>
          <w:lang w:val="en-NZ"/>
        </w:rPr>
        <w:t>132.</w:t>
      </w:r>
      <w:r w:rsidR="007F6095" w:rsidRPr="007F6095">
        <w:rPr>
          <w:lang w:val="en-NZ"/>
        </w:rPr>
        <w:t>74.</w:t>
      </w:r>
    </w:p>
    <w:p w14:paraId="286F8AF8" w14:textId="5E8553CA" w:rsidR="007F6095" w:rsidRPr="007F6095" w:rsidRDefault="00A437A7" w:rsidP="00A437A7">
      <w:pPr>
        <w:pStyle w:val="SingleTxtG"/>
        <w:rPr>
          <w:lang w:val="en-NZ"/>
        </w:rPr>
      </w:pPr>
      <w:r>
        <w:rPr>
          <w:lang w:val="en-NZ"/>
        </w:rPr>
        <w:t>38.</w:t>
      </w:r>
      <w:r>
        <w:rPr>
          <w:lang w:val="en-NZ"/>
        </w:rPr>
        <w:tab/>
      </w:r>
      <w:r w:rsidR="007F6095" w:rsidRPr="007F6095">
        <w:rPr>
          <w:lang w:val="en-NZ"/>
        </w:rPr>
        <w:t xml:space="preserve">The Government has no plans to repeal current remand practices. However, we will continue to explore options for children and young people. We </w:t>
      </w:r>
      <w:r w:rsidR="007F6095" w:rsidRPr="007F6095">
        <w:rPr>
          <w:b/>
          <w:bCs/>
          <w:lang w:val="en-NZ"/>
        </w:rPr>
        <w:t xml:space="preserve">note </w:t>
      </w:r>
      <w:r w:rsidR="007F6095" w:rsidRPr="007F6095">
        <w:rPr>
          <w:lang w:val="en-NZ"/>
        </w:rPr>
        <w:t xml:space="preserve">recommendation </w:t>
      </w:r>
      <w:r w:rsidR="00790244">
        <w:rPr>
          <w:lang w:val="en-NZ"/>
        </w:rPr>
        <w:t>132.</w:t>
      </w:r>
      <w:r w:rsidR="007F6095" w:rsidRPr="007F6095">
        <w:rPr>
          <w:lang w:val="en-NZ"/>
        </w:rPr>
        <w:t>82.</w:t>
      </w:r>
    </w:p>
    <w:p w14:paraId="72DC4630" w14:textId="16CE9EB9" w:rsidR="007F6095" w:rsidRPr="007F6095" w:rsidRDefault="00A437A7" w:rsidP="00A437A7">
      <w:pPr>
        <w:pStyle w:val="SingleTxtG"/>
        <w:rPr>
          <w:lang w:val="en-NZ"/>
        </w:rPr>
      </w:pPr>
      <w:r>
        <w:rPr>
          <w:lang w:val="en-NZ"/>
        </w:rPr>
        <w:t>39.</w:t>
      </w:r>
      <w:r>
        <w:rPr>
          <w:lang w:val="en-NZ"/>
        </w:rPr>
        <w:tab/>
      </w:r>
      <w:r w:rsidR="007F6095" w:rsidRPr="007F6095">
        <w:rPr>
          <w:lang w:val="en-NZ"/>
        </w:rPr>
        <w:t>There are no plans to consider increasing the current minimum age of criminal responsibility.</w:t>
      </w:r>
    </w:p>
    <w:p w14:paraId="79F1E1DB" w14:textId="6945DCE2" w:rsidR="007F6095" w:rsidRPr="007F6095" w:rsidRDefault="00A437A7" w:rsidP="00A437A7">
      <w:pPr>
        <w:pStyle w:val="SingleTxtG"/>
        <w:rPr>
          <w:lang w:val="en-NZ"/>
        </w:rPr>
      </w:pPr>
      <w:r>
        <w:rPr>
          <w:lang w:val="en-NZ"/>
        </w:rPr>
        <w:t>40.</w:t>
      </w:r>
      <w:r>
        <w:rPr>
          <w:lang w:val="en-NZ"/>
        </w:rPr>
        <w:tab/>
      </w:r>
      <w:r w:rsidR="00237CE6">
        <w:rPr>
          <w:b/>
          <w:bCs/>
          <w:lang w:val="en-NZ"/>
        </w:rPr>
        <w:t>N</w:t>
      </w:r>
      <w:r w:rsidR="007F6095" w:rsidRPr="007F6095">
        <w:rPr>
          <w:b/>
          <w:bCs/>
          <w:lang w:val="en-NZ"/>
        </w:rPr>
        <w:t>ote</w:t>
      </w:r>
      <w:r w:rsidR="00237CE6">
        <w:rPr>
          <w:b/>
          <w:bCs/>
          <w:lang w:val="en-NZ"/>
        </w:rPr>
        <w:t>d:</w:t>
      </w:r>
      <w:r w:rsidR="007F6095" w:rsidRPr="007F6095">
        <w:rPr>
          <w:lang w:val="en-NZ"/>
        </w:rPr>
        <w:t xml:space="preserve"> </w:t>
      </w:r>
      <w:r w:rsidR="00790244">
        <w:rPr>
          <w:lang w:val="en-NZ"/>
        </w:rPr>
        <w:t>132.</w:t>
      </w:r>
      <w:r w:rsidR="007F6095" w:rsidRPr="007F6095">
        <w:rPr>
          <w:lang w:val="en-NZ"/>
        </w:rPr>
        <w:t>76</w:t>
      </w:r>
      <w:r w:rsidR="001B5CF8">
        <w:rPr>
          <w:lang w:val="en-NZ"/>
        </w:rPr>
        <w:t>–</w:t>
      </w:r>
      <w:r w:rsidR="007F6095" w:rsidRPr="007F6095">
        <w:rPr>
          <w:lang w:val="en-NZ"/>
        </w:rPr>
        <w:t>81.</w:t>
      </w:r>
    </w:p>
    <w:p w14:paraId="77B38DD4" w14:textId="5DE57BF1" w:rsidR="007F6095" w:rsidRPr="007F6095" w:rsidRDefault="00A437A7" w:rsidP="00A437A7">
      <w:pPr>
        <w:pStyle w:val="SingleTxtG"/>
        <w:rPr>
          <w:lang w:val="en-NZ"/>
        </w:rPr>
      </w:pPr>
      <w:r>
        <w:rPr>
          <w:lang w:val="en-NZ"/>
        </w:rPr>
        <w:t>41.</w:t>
      </w:r>
      <w:r>
        <w:rPr>
          <w:lang w:val="en-NZ"/>
        </w:rPr>
        <w:tab/>
      </w:r>
      <w:r w:rsidR="007F6095" w:rsidRPr="007F6095">
        <w:rPr>
          <w:lang w:val="en-NZ"/>
        </w:rPr>
        <w:t xml:space="preserve">The Government cannot commit to the specifics of recommendation </w:t>
      </w:r>
      <w:r w:rsidR="00790244">
        <w:rPr>
          <w:lang w:val="en-NZ"/>
        </w:rPr>
        <w:t>132.</w:t>
      </w:r>
      <w:r w:rsidR="007F6095" w:rsidRPr="007F6095">
        <w:rPr>
          <w:lang w:val="en-NZ"/>
        </w:rPr>
        <w:t xml:space="preserve">84. However, we will continue to consider redress for victims of abuse in state care. We </w:t>
      </w:r>
      <w:r w:rsidR="007F6095" w:rsidRPr="007F6095">
        <w:rPr>
          <w:b/>
          <w:bCs/>
          <w:lang w:val="en-NZ"/>
        </w:rPr>
        <w:t xml:space="preserve">note </w:t>
      </w:r>
      <w:r w:rsidR="007F6095" w:rsidRPr="007F6095">
        <w:rPr>
          <w:lang w:val="en-NZ"/>
        </w:rPr>
        <w:t xml:space="preserve">recommendation </w:t>
      </w:r>
      <w:r w:rsidR="00790244">
        <w:rPr>
          <w:lang w:val="en-NZ"/>
        </w:rPr>
        <w:t>132.</w:t>
      </w:r>
      <w:r w:rsidR="007F6095" w:rsidRPr="007F6095">
        <w:rPr>
          <w:lang w:val="en-NZ"/>
        </w:rPr>
        <w:t>84.</w:t>
      </w:r>
    </w:p>
    <w:p w14:paraId="5DF718AC" w14:textId="0B2BDBE8" w:rsidR="007F6095" w:rsidRPr="007F6095" w:rsidRDefault="00A437A7" w:rsidP="00A437A7">
      <w:pPr>
        <w:pStyle w:val="SingleTxtG"/>
        <w:rPr>
          <w:lang w:val="en-NZ"/>
        </w:rPr>
      </w:pPr>
      <w:r>
        <w:rPr>
          <w:lang w:val="en-NZ"/>
        </w:rPr>
        <w:t>42.</w:t>
      </w:r>
      <w:r>
        <w:rPr>
          <w:lang w:val="en-NZ"/>
        </w:rPr>
        <w:tab/>
      </w:r>
      <w:r w:rsidR="007F6095" w:rsidRPr="007F6095">
        <w:rPr>
          <w:lang w:val="en-NZ"/>
        </w:rPr>
        <w:t>Our legislative framework relating to pretrial detention is consistent with international standards.</w:t>
      </w:r>
    </w:p>
    <w:p w14:paraId="52333BF3" w14:textId="6F4D7457" w:rsidR="007F6095" w:rsidRPr="007F6095" w:rsidRDefault="00A437A7" w:rsidP="00A437A7">
      <w:pPr>
        <w:pStyle w:val="SingleTxtG"/>
        <w:rPr>
          <w:lang w:val="en-NZ"/>
        </w:rPr>
      </w:pPr>
      <w:r>
        <w:rPr>
          <w:lang w:val="en-NZ"/>
        </w:rPr>
        <w:t>43.</w:t>
      </w:r>
      <w:r>
        <w:rPr>
          <w:lang w:val="en-NZ"/>
        </w:rPr>
        <w:tab/>
      </w:r>
      <w:r w:rsidR="007A6956">
        <w:rPr>
          <w:b/>
          <w:bCs/>
          <w:lang w:val="en-NZ"/>
        </w:rPr>
        <w:t>N</w:t>
      </w:r>
      <w:r w:rsidR="007F6095" w:rsidRPr="007F6095">
        <w:rPr>
          <w:b/>
          <w:bCs/>
          <w:lang w:val="en-NZ"/>
        </w:rPr>
        <w:t>ote</w:t>
      </w:r>
      <w:r w:rsidR="007A6956">
        <w:rPr>
          <w:b/>
          <w:bCs/>
          <w:lang w:val="en-NZ"/>
        </w:rPr>
        <w:t>d:</w:t>
      </w:r>
      <w:r w:rsidR="007F6095" w:rsidRPr="007F6095">
        <w:rPr>
          <w:lang w:val="en-NZ"/>
        </w:rPr>
        <w:t xml:space="preserve"> </w:t>
      </w:r>
      <w:r w:rsidR="00894F5E">
        <w:rPr>
          <w:lang w:val="en-NZ"/>
        </w:rPr>
        <w:t>132.</w:t>
      </w:r>
      <w:r w:rsidR="007F6095" w:rsidRPr="007F6095">
        <w:rPr>
          <w:lang w:val="en-NZ"/>
        </w:rPr>
        <w:t>62.</w:t>
      </w:r>
    </w:p>
    <w:p w14:paraId="128FB9DD" w14:textId="27FDB26F" w:rsidR="007F6095" w:rsidRPr="007F6095" w:rsidRDefault="00AB735D" w:rsidP="00AB735D">
      <w:pPr>
        <w:pStyle w:val="HChG"/>
        <w:rPr>
          <w:lang w:val="en-NZ"/>
        </w:rPr>
      </w:pPr>
      <w:r>
        <w:rPr>
          <w:lang w:val="en-NZ"/>
        </w:rPr>
        <w:tab/>
      </w:r>
      <w:r>
        <w:rPr>
          <w:lang w:val="en-NZ"/>
        </w:rPr>
        <w:tab/>
      </w:r>
      <w:r w:rsidR="007F6095" w:rsidRPr="007F6095">
        <w:rPr>
          <w:lang w:val="en-NZ"/>
        </w:rPr>
        <w:t>Counterterrorism</w:t>
      </w:r>
    </w:p>
    <w:p w14:paraId="2EDA0BEF" w14:textId="0CC41EC0" w:rsidR="007F6095" w:rsidRPr="007F6095" w:rsidRDefault="00AB735D" w:rsidP="00AB735D">
      <w:pPr>
        <w:pStyle w:val="SingleTxtG"/>
        <w:rPr>
          <w:lang w:val="en-NZ"/>
        </w:rPr>
      </w:pPr>
      <w:bookmarkStart w:id="1" w:name="_Hlk6316819"/>
      <w:r>
        <w:rPr>
          <w:lang w:val="en-NZ"/>
        </w:rPr>
        <w:t>44.</w:t>
      </w:r>
      <w:r>
        <w:rPr>
          <w:lang w:val="en-NZ"/>
        </w:rPr>
        <w:tab/>
      </w:r>
      <w:r w:rsidR="007F6095" w:rsidRPr="007F6095">
        <w:rPr>
          <w:lang w:val="en-NZ"/>
        </w:rPr>
        <w:t xml:space="preserve">New Zealand </w:t>
      </w:r>
      <w:bookmarkEnd w:id="1"/>
      <w:r w:rsidR="007F6095" w:rsidRPr="007F6095">
        <w:rPr>
          <w:lang w:val="en-NZ"/>
        </w:rPr>
        <w:t>recently marked the fifth annual commemoration of the 2019 terrorist attack in Christchurch, where 51 people were killed and 50 were injured. The Government acknowledges the significant harm this has caused to victims and their communities.</w:t>
      </w:r>
    </w:p>
    <w:p w14:paraId="29795D70" w14:textId="250D8F83" w:rsidR="007F6095" w:rsidRPr="007F6095" w:rsidRDefault="00AB735D" w:rsidP="00AB735D">
      <w:pPr>
        <w:pStyle w:val="SingleTxtG"/>
        <w:rPr>
          <w:bCs/>
          <w:lang w:val="en-NZ"/>
        </w:rPr>
      </w:pPr>
      <w:r>
        <w:rPr>
          <w:lang w:val="en-NZ"/>
        </w:rPr>
        <w:t>45.</w:t>
      </w:r>
      <w:r>
        <w:rPr>
          <w:lang w:val="en-NZ"/>
        </w:rPr>
        <w:tab/>
      </w:r>
      <w:r w:rsidR="007F6095" w:rsidRPr="007F6095">
        <w:rPr>
          <w:lang w:val="en-NZ"/>
        </w:rPr>
        <w:t>New Zealand has addressed some of the recommendations made by the Royal Commission of Inquiry into the terrorist attack. The Government will respond to the remaining recommendations by the end of 2024.</w:t>
      </w:r>
    </w:p>
    <w:p w14:paraId="644C1519" w14:textId="4F5CA229" w:rsidR="007F6095" w:rsidRPr="007F6095" w:rsidRDefault="00AB735D" w:rsidP="00AB735D">
      <w:pPr>
        <w:pStyle w:val="SingleTxtG"/>
        <w:rPr>
          <w:bCs/>
          <w:lang w:val="en-NZ"/>
        </w:rPr>
      </w:pPr>
      <w:r>
        <w:rPr>
          <w:bCs/>
          <w:lang w:val="en-NZ"/>
        </w:rPr>
        <w:t>46.</w:t>
      </w:r>
      <w:r>
        <w:rPr>
          <w:bCs/>
          <w:lang w:val="en-NZ"/>
        </w:rPr>
        <w:tab/>
      </w:r>
      <w:r w:rsidR="007A6956">
        <w:rPr>
          <w:b/>
          <w:lang w:val="en-NZ"/>
        </w:rPr>
        <w:t>S</w:t>
      </w:r>
      <w:r w:rsidR="007F6095" w:rsidRPr="007F6095">
        <w:rPr>
          <w:b/>
          <w:lang w:val="en-NZ"/>
        </w:rPr>
        <w:t>upport</w:t>
      </w:r>
      <w:r w:rsidR="007A6956">
        <w:rPr>
          <w:b/>
          <w:lang w:val="en-NZ"/>
        </w:rPr>
        <w:t>ed</w:t>
      </w:r>
      <w:r w:rsidR="007F6095" w:rsidRPr="007F6095">
        <w:rPr>
          <w:b/>
          <w:lang w:val="en-NZ"/>
        </w:rPr>
        <w:t xml:space="preserve"> in part</w:t>
      </w:r>
      <w:r w:rsidR="007A6956">
        <w:rPr>
          <w:b/>
          <w:lang w:val="en-NZ"/>
        </w:rPr>
        <w:t>:</w:t>
      </w:r>
      <w:r w:rsidR="007F6095" w:rsidRPr="007F6095">
        <w:rPr>
          <w:bCs/>
          <w:lang w:val="en-NZ"/>
        </w:rPr>
        <w:t xml:space="preserve"> </w:t>
      </w:r>
      <w:r w:rsidR="003A5A25">
        <w:rPr>
          <w:bCs/>
          <w:lang w:val="en-NZ"/>
        </w:rPr>
        <w:t>132.</w:t>
      </w:r>
      <w:r w:rsidR="007F6095" w:rsidRPr="007F6095">
        <w:rPr>
          <w:bCs/>
          <w:lang w:val="en-NZ"/>
        </w:rPr>
        <w:t>73.</w:t>
      </w:r>
    </w:p>
    <w:p w14:paraId="55D247DB" w14:textId="3A470083" w:rsidR="007F6095" w:rsidRPr="007F6095" w:rsidRDefault="00AB735D" w:rsidP="00AB735D">
      <w:pPr>
        <w:pStyle w:val="HChG"/>
        <w:rPr>
          <w:lang w:val="en-NZ"/>
        </w:rPr>
      </w:pPr>
      <w:r>
        <w:rPr>
          <w:lang w:val="en-NZ"/>
        </w:rPr>
        <w:tab/>
      </w:r>
      <w:r>
        <w:rPr>
          <w:lang w:val="en-NZ"/>
        </w:rPr>
        <w:tab/>
      </w:r>
      <w:r w:rsidR="007F6095" w:rsidRPr="007F6095">
        <w:rPr>
          <w:lang w:val="en-NZ"/>
        </w:rPr>
        <w:t>Children</w:t>
      </w:r>
    </w:p>
    <w:p w14:paraId="7F1B8C59" w14:textId="0F42C139" w:rsidR="007F6095" w:rsidRPr="007F6095" w:rsidRDefault="00E30FCE" w:rsidP="00E30FCE">
      <w:pPr>
        <w:pStyle w:val="SingleTxtG"/>
        <w:rPr>
          <w:lang w:val="en-NZ"/>
        </w:rPr>
      </w:pPr>
      <w:r>
        <w:rPr>
          <w:lang w:val="en-NZ"/>
        </w:rPr>
        <w:t>47.</w:t>
      </w:r>
      <w:r>
        <w:rPr>
          <w:lang w:val="en-NZ"/>
        </w:rPr>
        <w:tab/>
      </w:r>
      <w:r w:rsidR="007F6095" w:rsidRPr="007F6095">
        <w:rPr>
          <w:lang w:val="en-NZ"/>
        </w:rPr>
        <w:t>The wellbeing of children is a priority for New Zealand. The Government is currently reviewing and refreshing the priorities and measurement framework that support the Child and Youth Wellbeing Strategy.</w:t>
      </w:r>
    </w:p>
    <w:p w14:paraId="737F02FF" w14:textId="3964137B" w:rsidR="007F6095" w:rsidRPr="007F6095" w:rsidRDefault="00E30FCE" w:rsidP="00E30FCE">
      <w:pPr>
        <w:pStyle w:val="SingleTxtG"/>
        <w:rPr>
          <w:lang w:val="en-NZ"/>
        </w:rPr>
      </w:pPr>
      <w:r>
        <w:rPr>
          <w:lang w:val="en-NZ"/>
        </w:rPr>
        <w:t>48.</w:t>
      </w:r>
      <w:r>
        <w:rPr>
          <w:lang w:val="en-NZ"/>
        </w:rPr>
        <w:tab/>
      </w:r>
      <w:r w:rsidR="007F6095" w:rsidRPr="007F6095">
        <w:rPr>
          <w:lang w:val="en-NZ"/>
        </w:rPr>
        <w:t>New Zealand is committed to reducing material hardship and making progress towards its child poverty targets under the Child Poverty Reduction Act 2018. The Government is focused on changing the circumstances that trap people in poverty, including by supporting parents into work. Recent increases to tax thresholds and the In-Work Tax Credit, as well as a new payment to help low and middle-income households with the costs of early childhood education will help reduce child poverty rates.</w:t>
      </w:r>
    </w:p>
    <w:p w14:paraId="067FEB22" w14:textId="3EFC2B2D" w:rsidR="007F6095" w:rsidRPr="007F6095" w:rsidRDefault="00E30FCE" w:rsidP="00E30FCE">
      <w:pPr>
        <w:pStyle w:val="SingleTxtG"/>
        <w:rPr>
          <w:lang w:val="en-NZ"/>
        </w:rPr>
      </w:pPr>
      <w:r>
        <w:rPr>
          <w:lang w:val="en-NZ"/>
        </w:rPr>
        <w:t>49.</w:t>
      </w:r>
      <w:r>
        <w:rPr>
          <w:lang w:val="en-NZ"/>
        </w:rPr>
        <w:tab/>
      </w:r>
      <w:r w:rsidR="007F6095" w:rsidRPr="007F6095">
        <w:rPr>
          <w:lang w:val="en-NZ"/>
        </w:rPr>
        <w:t>New Zealand is currently developing its second Action Plan under the National Strategy for the elimination of family and sexual violence. It will focus on supporting victims and preventing family and sexual violence.</w:t>
      </w:r>
    </w:p>
    <w:p w14:paraId="72A0109C" w14:textId="4E6F88B5" w:rsidR="007F6095" w:rsidRPr="007F6095" w:rsidRDefault="00E30FCE" w:rsidP="00E30FCE">
      <w:pPr>
        <w:pStyle w:val="SingleTxtG"/>
        <w:rPr>
          <w:lang w:val="en-NZ"/>
        </w:rPr>
      </w:pPr>
      <w:r>
        <w:rPr>
          <w:lang w:val="en-NZ"/>
        </w:rPr>
        <w:t>50.</w:t>
      </w:r>
      <w:r>
        <w:rPr>
          <w:lang w:val="en-NZ"/>
        </w:rPr>
        <w:tab/>
      </w:r>
      <w:r w:rsidR="007F6095" w:rsidRPr="007F6095">
        <w:rPr>
          <w:lang w:val="en-NZ"/>
        </w:rPr>
        <w:t>The Royal Commission of Inquiry into Abuse in Care delivered its final report on 26 June 2024. The Government will consider the report and respond to its recommendations.</w:t>
      </w:r>
    </w:p>
    <w:p w14:paraId="78589C2C" w14:textId="6AFC6A07" w:rsidR="007F6095" w:rsidRPr="007F6095" w:rsidRDefault="00E30FCE" w:rsidP="00E30FCE">
      <w:pPr>
        <w:pStyle w:val="SingleTxtG"/>
        <w:rPr>
          <w:lang w:val="en-NZ"/>
        </w:rPr>
      </w:pPr>
      <w:r>
        <w:rPr>
          <w:lang w:val="en-NZ"/>
        </w:rPr>
        <w:t>51.</w:t>
      </w:r>
      <w:r>
        <w:rPr>
          <w:lang w:val="en-NZ"/>
        </w:rPr>
        <w:tab/>
      </w:r>
      <w:r w:rsidR="007A6956">
        <w:rPr>
          <w:b/>
          <w:bCs/>
          <w:lang w:val="en-NZ"/>
        </w:rPr>
        <w:t>S</w:t>
      </w:r>
      <w:r w:rsidR="007F6095" w:rsidRPr="007F6095">
        <w:rPr>
          <w:b/>
          <w:bCs/>
          <w:lang w:val="en-NZ"/>
        </w:rPr>
        <w:t>upport</w:t>
      </w:r>
      <w:r w:rsidR="007A6956">
        <w:rPr>
          <w:b/>
          <w:bCs/>
          <w:lang w:val="en-NZ"/>
        </w:rPr>
        <w:t>ed:</w:t>
      </w:r>
      <w:r w:rsidR="007F6095" w:rsidRPr="007F6095">
        <w:rPr>
          <w:lang w:val="en-NZ"/>
        </w:rPr>
        <w:t xml:space="preserve"> </w:t>
      </w:r>
      <w:r w:rsidR="00894F5E">
        <w:rPr>
          <w:lang w:val="en-NZ"/>
        </w:rPr>
        <w:t>132.</w:t>
      </w:r>
      <w:r w:rsidR="007F6095" w:rsidRPr="007F6095">
        <w:rPr>
          <w:lang w:val="en-NZ"/>
        </w:rPr>
        <w:t>90</w:t>
      </w:r>
      <w:r w:rsidR="001B5CF8">
        <w:rPr>
          <w:lang w:val="en-NZ"/>
        </w:rPr>
        <w:t>–</w:t>
      </w:r>
      <w:r w:rsidR="007F6095" w:rsidRPr="007F6095">
        <w:rPr>
          <w:lang w:val="en-NZ"/>
        </w:rPr>
        <w:t>91,</w:t>
      </w:r>
      <w:r>
        <w:rPr>
          <w:lang w:val="en-NZ"/>
        </w:rPr>
        <w:t xml:space="preserve"> </w:t>
      </w:r>
      <w:r w:rsidR="00894F5E">
        <w:rPr>
          <w:lang w:val="en-NZ"/>
        </w:rPr>
        <w:t>132.</w:t>
      </w:r>
      <w:r w:rsidR="007F6095" w:rsidRPr="007F6095">
        <w:rPr>
          <w:lang w:val="en-NZ"/>
        </w:rPr>
        <w:t>197</w:t>
      </w:r>
      <w:r w:rsidR="001B5CF8">
        <w:rPr>
          <w:lang w:val="en-NZ"/>
        </w:rPr>
        <w:t>–</w:t>
      </w:r>
      <w:r w:rsidR="007F6095" w:rsidRPr="007F6095">
        <w:rPr>
          <w:lang w:val="en-NZ"/>
        </w:rPr>
        <w:t>210.</w:t>
      </w:r>
    </w:p>
    <w:p w14:paraId="24B7B737" w14:textId="4D1C8DCE" w:rsidR="007F6095" w:rsidRPr="007F6095" w:rsidRDefault="00E30FCE" w:rsidP="00E30FCE">
      <w:pPr>
        <w:pStyle w:val="SingleTxtG"/>
        <w:rPr>
          <w:lang w:val="en-NZ"/>
        </w:rPr>
      </w:pPr>
      <w:r>
        <w:rPr>
          <w:lang w:val="en-NZ"/>
        </w:rPr>
        <w:t>52.</w:t>
      </w:r>
      <w:r>
        <w:rPr>
          <w:lang w:val="en-NZ"/>
        </w:rPr>
        <w:tab/>
      </w:r>
      <w:r w:rsidR="007F6095" w:rsidRPr="007F6095">
        <w:rPr>
          <w:lang w:val="en-NZ"/>
        </w:rPr>
        <w:t>There are no plans to remove any exceptions to the minimum age of marriage.</w:t>
      </w:r>
    </w:p>
    <w:p w14:paraId="0D18D356" w14:textId="44E429BE" w:rsidR="007F6095" w:rsidRPr="007F6095" w:rsidRDefault="00E30FCE" w:rsidP="00E30FCE">
      <w:pPr>
        <w:pStyle w:val="SingleTxtG"/>
        <w:rPr>
          <w:lang w:val="en-NZ"/>
        </w:rPr>
      </w:pPr>
      <w:r>
        <w:rPr>
          <w:lang w:val="en-NZ"/>
        </w:rPr>
        <w:t>53.</w:t>
      </w:r>
      <w:r>
        <w:rPr>
          <w:lang w:val="en-NZ"/>
        </w:rPr>
        <w:tab/>
      </w:r>
      <w:r w:rsidR="007A6956">
        <w:rPr>
          <w:b/>
          <w:bCs/>
          <w:lang w:val="en-NZ"/>
        </w:rPr>
        <w:t>N</w:t>
      </w:r>
      <w:r w:rsidR="007F6095" w:rsidRPr="007F6095">
        <w:rPr>
          <w:b/>
          <w:bCs/>
          <w:lang w:val="en-NZ"/>
        </w:rPr>
        <w:t>ote</w:t>
      </w:r>
      <w:r w:rsidR="007A6956">
        <w:rPr>
          <w:b/>
          <w:bCs/>
          <w:lang w:val="en-NZ"/>
        </w:rPr>
        <w:t>d:</w:t>
      </w:r>
      <w:r w:rsidR="007F6095" w:rsidRPr="007F6095">
        <w:rPr>
          <w:b/>
          <w:bCs/>
          <w:lang w:val="en-NZ"/>
        </w:rPr>
        <w:t xml:space="preserve"> </w:t>
      </w:r>
      <w:r w:rsidR="00894F5E">
        <w:rPr>
          <w:lang w:val="en-NZ"/>
        </w:rPr>
        <w:t>132.</w:t>
      </w:r>
      <w:r w:rsidR="007F6095" w:rsidRPr="007F6095">
        <w:rPr>
          <w:lang w:val="en-NZ"/>
        </w:rPr>
        <w:t>88</w:t>
      </w:r>
      <w:r w:rsidR="001B5CF8">
        <w:rPr>
          <w:lang w:val="en-NZ"/>
        </w:rPr>
        <w:t>–</w:t>
      </w:r>
      <w:r w:rsidR="007F6095" w:rsidRPr="007F6095">
        <w:rPr>
          <w:lang w:val="en-NZ"/>
        </w:rPr>
        <w:t>89.</w:t>
      </w:r>
    </w:p>
    <w:bookmarkEnd w:id="0"/>
    <w:p w14:paraId="0C702F56" w14:textId="4738AA7A" w:rsidR="007F6095" w:rsidRPr="007F6095" w:rsidRDefault="00E30FCE" w:rsidP="00E30FCE">
      <w:pPr>
        <w:pStyle w:val="HChG"/>
        <w:rPr>
          <w:lang w:val="en-NZ"/>
        </w:rPr>
      </w:pPr>
      <w:r>
        <w:rPr>
          <w:lang w:val="en-NZ"/>
        </w:rPr>
        <w:lastRenderedPageBreak/>
        <w:tab/>
      </w:r>
      <w:r>
        <w:rPr>
          <w:lang w:val="en-NZ"/>
        </w:rPr>
        <w:tab/>
      </w:r>
      <w:r w:rsidR="007F6095" w:rsidRPr="007F6095">
        <w:rPr>
          <w:lang w:val="en-NZ"/>
        </w:rPr>
        <w:t xml:space="preserve">Human trafficking, forced labour, modern slavery and business and human </w:t>
      </w:r>
      <w:proofErr w:type="gramStart"/>
      <w:r w:rsidR="007F6095" w:rsidRPr="007F6095">
        <w:rPr>
          <w:lang w:val="en-NZ"/>
        </w:rPr>
        <w:t>rights</w:t>
      </w:r>
      <w:proofErr w:type="gramEnd"/>
    </w:p>
    <w:p w14:paraId="46D4A659" w14:textId="69A23AAD" w:rsidR="007F6095" w:rsidRPr="007F6095" w:rsidRDefault="00E30FCE" w:rsidP="00E30FCE">
      <w:pPr>
        <w:pStyle w:val="SingleTxtG"/>
        <w:rPr>
          <w:lang w:val="en-NZ"/>
        </w:rPr>
      </w:pPr>
      <w:r>
        <w:rPr>
          <w:lang w:val="en-NZ"/>
        </w:rPr>
        <w:t>54.</w:t>
      </w:r>
      <w:r>
        <w:rPr>
          <w:lang w:val="en-NZ"/>
        </w:rPr>
        <w:tab/>
      </w:r>
      <w:r w:rsidR="007F6095" w:rsidRPr="007F6095">
        <w:rPr>
          <w:lang w:val="en-NZ"/>
        </w:rPr>
        <w:t>New Zealand is committed to combatting trafficking in persons. New Zealand’s Plan of Action against Forced Labour, People Trafficking and Slavery sets out a framework of</w:t>
      </w:r>
      <w:r w:rsidR="007F6095" w:rsidRPr="007F6095" w:rsidDel="00757FE3">
        <w:rPr>
          <w:lang w:val="en-NZ"/>
        </w:rPr>
        <w:t xml:space="preserve"> </w:t>
      </w:r>
      <w:r w:rsidR="007F6095" w:rsidRPr="007F6095">
        <w:rPr>
          <w:lang w:val="en-NZ"/>
        </w:rPr>
        <w:t>actions that government agencies will undertake.</w:t>
      </w:r>
    </w:p>
    <w:p w14:paraId="4A020943" w14:textId="4F6E4614" w:rsidR="007F6095" w:rsidRPr="007F6095" w:rsidRDefault="00E30FCE" w:rsidP="00E30FCE">
      <w:pPr>
        <w:pStyle w:val="SingleTxtG"/>
        <w:rPr>
          <w:lang w:val="en-NZ"/>
        </w:rPr>
      </w:pPr>
      <w:r>
        <w:rPr>
          <w:lang w:val="en-NZ"/>
        </w:rPr>
        <w:t>55.</w:t>
      </w:r>
      <w:r>
        <w:rPr>
          <w:lang w:val="en-NZ"/>
        </w:rPr>
        <w:tab/>
      </w:r>
      <w:r w:rsidR="007A6956">
        <w:rPr>
          <w:b/>
          <w:bCs/>
          <w:lang w:val="en-NZ"/>
        </w:rPr>
        <w:t>S</w:t>
      </w:r>
      <w:r w:rsidR="007F6095" w:rsidRPr="007F6095">
        <w:rPr>
          <w:b/>
          <w:bCs/>
          <w:lang w:val="en-NZ"/>
        </w:rPr>
        <w:t>upport</w:t>
      </w:r>
      <w:r w:rsidR="007A6956">
        <w:rPr>
          <w:b/>
          <w:bCs/>
          <w:lang w:val="en-NZ"/>
        </w:rPr>
        <w:t>ed:</w:t>
      </w:r>
      <w:r w:rsidR="007F6095" w:rsidRPr="007F6095">
        <w:rPr>
          <w:lang w:val="en-NZ"/>
        </w:rPr>
        <w:t xml:space="preserve"> </w:t>
      </w:r>
      <w:r w:rsidR="00894F5E">
        <w:rPr>
          <w:lang w:val="en-NZ"/>
        </w:rPr>
        <w:t>132.</w:t>
      </w:r>
      <w:r w:rsidR="007F6095" w:rsidRPr="007F6095">
        <w:rPr>
          <w:lang w:val="en-NZ"/>
        </w:rPr>
        <w:t>92</w:t>
      </w:r>
      <w:r w:rsidR="001B5CF8">
        <w:rPr>
          <w:lang w:val="en-NZ"/>
        </w:rPr>
        <w:t>–</w:t>
      </w:r>
      <w:r w:rsidR="007F6095" w:rsidRPr="007F6095">
        <w:rPr>
          <w:lang w:val="en-NZ"/>
        </w:rPr>
        <w:t>98,</w:t>
      </w:r>
      <w:r>
        <w:rPr>
          <w:lang w:val="en-NZ"/>
        </w:rPr>
        <w:t xml:space="preserve"> </w:t>
      </w:r>
      <w:r w:rsidR="00894F5E">
        <w:rPr>
          <w:lang w:val="en-NZ"/>
        </w:rPr>
        <w:t>132.</w:t>
      </w:r>
      <w:r w:rsidR="007F6095" w:rsidRPr="007F6095">
        <w:rPr>
          <w:lang w:val="en-NZ"/>
        </w:rPr>
        <w:t>100</w:t>
      </w:r>
      <w:r w:rsidR="001B5CF8">
        <w:rPr>
          <w:lang w:val="en-NZ"/>
        </w:rPr>
        <w:t>–</w:t>
      </w:r>
      <w:r w:rsidR="007F6095" w:rsidRPr="007F6095">
        <w:rPr>
          <w:lang w:val="en-NZ"/>
        </w:rPr>
        <w:t>105.</w:t>
      </w:r>
    </w:p>
    <w:p w14:paraId="2CF60A50" w14:textId="2B3CE59E" w:rsidR="007F6095" w:rsidRPr="007F6095" w:rsidRDefault="00E30FCE" w:rsidP="00E30FCE">
      <w:pPr>
        <w:pStyle w:val="SingleTxtG"/>
        <w:rPr>
          <w:lang w:val="en-NZ"/>
        </w:rPr>
      </w:pPr>
      <w:r>
        <w:rPr>
          <w:lang w:val="en-NZ"/>
        </w:rPr>
        <w:t>56.</w:t>
      </w:r>
      <w:r>
        <w:rPr>
          <w:lang w:val="en-NZ"/>
        </w:rPr>
        <w:tab/>
      </w:r>
      <w:r w:rsidR="007F6095" w:rsidRPr="007F6095">
        <w:rPr>
          <w:lang w:val="en-NZ"/>
        </w:rPr>
        <w:t>A decision has not been made on modern slavery legislation. New Zealand will continue to implement and improve guidance and tools supporting ethical supply chains.</w:t>
      </w:r>
    </w:p>
    <w:p w14:paraId="0A6F5444" w14:textId="39390BF5" w:rsidR="007F6095" w:rsidRPr="007F6095" w:rsidRDefault="00E30FCE" w:rsidP="00E30FCE">
      <w:pPr>
        <w:pStyle w:val="SingleTxtG"/>
        <w:rPr>
          <w:lang w:val="en-NZ"/>
        </w:rPr>
      </w:pPr>
      <w:r>
        <w:rPr>
          <w:lang w:val="en-NZ"/>
        </w:rPr>
        <w:t>57.</w:t>
      </w:r>
      <w:r>
        <w:rPr>
          <w:lang w:val="en-NZ"/>
        </w:rPr>
        <w:tab/>
      </w:r>
      <w:r w:rsidR="007F6095" w:rsidRPr="007F6095">
        <w:rPr>
          <w:lang w:val="en-NZ"/>
        </w:rPr>
        <w:t>The Government has no current plans to develop a National Action Plan on Business and Human Rights.</w:t>
      </w:r>
    </w:p>
    <w:p w14:paraId="69A05C3D" w14:textId="5B7AEF70" w:rsidR="007F6095" w:rsidRPr="007F6095" w:rsidRDefault="00E30FCE" w:rsidP="00E30FCE">
      <w:pPr>
        <w:pStyle w:val="SingleTxtG"/>
        <w:rPr>
          <w:lang w:val="en-NZ"/>
        </w:rPr>
      </w:pPr>
      <w:r>
        <w:rPr>
          <w:lang w:val="en-NZ"/>
        </w:rPr>
        <w:t>58.</w:t>
      </w:r>
      <w:r>
        <w:rPr>
          <w:lang w:val="en-NZ"/>
        </w:rPr>
        <w:tab/>
      </w:r>
      <w:r w:rsidR="007A6956">
        <w:rPr>
          <w:b/>
          <w:bCs/>
          <w:lang w:val="en-NZ"/>
        </w:rPr>
        <w:t>N</w:t>
      </w:r>
      <w:r w:rsidR="007F6095" w:rsidRPr="007F6095">
        <w:rPr>
          <w:b/>
          <w:bCs/>
          <w:lang w:val="en-NZ"/>
        </w:rPr>
        <w:t>ote</w:t>
      </w:r>
      <w:r w:rsidR="007A6956">
        <w:rPr>
          <w:b/>
          <w:bCs/>
          <w:lang w:val="en-NZ"/>
        </w:rPr>
        <w:t>d</w:t>
      </w:r>
      <w:r w:rsidR="009C0BD8">
        <w:rPr>
          <w:b/>
          <w:bCs/>
          <w:lang w:val="en-NZ"/>
        </w:rPr>
        <w:t>:</w:t>
      </w:r>
      <w:r w:rsidR="007F6095" w:rsidRPr="007F6095">
        <w:rPr>
          <w:lang w:val="en-NZ"/>
        </w:rPr>
        <w:t xml:space="preserve"> </w:t>
      </w:r>
      <w:r w:rsidR="00894F5E">
        <w:rPr>
          <w:lang w:val="en-NZ"/>
        </w:rPr>
        <w:t>132.</w:t>
      </w:r>
      <w:r w:rsidR="007F6095" w:rsidRPr="007F6095">
        <w:rPr>
          <w:lang w:val="en-NZ"/>
        </w:rPr>
        <w:t>99,</w:t>
      </w:r>
      <w:r>
        <w:rPr>
          <w:lang w:val="en-NZ"/>
        </w:rPr>
        <w:t xml:space="preserve"> </w:t>
      </w:r>
      <w:r w:rsidR="00894F5E">
        <w:rPr>
          <w:lang w:val="en-NZ"/>
        </w:rPr>
        <w:t>132.</w:t>
      </w:r>
      <w:r w:rsidR="007F6095" w:rsidRPr="007F6095">
        <w:rPr>
          <w:lang w:val="en-NZ"/>
        </w:rPr>
        <w:t>106,</w:t>
      </w:r>
      <w:r>
        <w:rPr>
          <w:lang w:val="en-NZ"/>
        </w:rPr>
        <w:t xml:space="preserve"> </w:t>
      </w:r>
      <w:r w:rsidR="00894F5E">
        <w:rPr>
          <w:lang w:val="en-NZ"/>
        </w:rPr>
        <w:t>132.</w:t>
      </w:r>
      <w:r w:rsidR="007F6095" w:rsidRPr="007F6095">
        <w:rPr>
          <w:lang w:val="en-NZ"/>
        </w:rPr>
        <w:t>116,</w:t>
      </w:r>
      <w:r>
        <w:rPr>
          <w:lang w:val="en-NZ"/>
        </w:rPr>
        <w:t xml:space="preserve"> </w:t>
      </w:r>
      <w:r w:rsidR="00894F5E">
        <w:rPr>
          <w:lang w:val="en-NZ"/>
        </w:rPr>
        <w:t>132.</w:t>
      </w:r>
      <w:r w:rsidR="007F6095" w:rsidRPr="007F6095">
        <w:rPr>
          <w:lang w:val="en-NZ"/>
        </w:rPr>
        <w:t>164</w:t>
      </w:r>
      <w:r w:rsidR="001B5CF8">
        <w:rPr>
          <w:lang w:val="en-NZ"/>
        </w:rPr>
        <w:t>–</w:t>
      </w:r>
      <w:r w:rsidR="007F6095" w:rsidRPr="007F6095">
        <w:rPr>
          <w:lang w:val="en-NZ"/>
        </w:rPr>
        <w:t>167.</w:t>
      </w:r>
    </w:p>
    <w:p w14:paraId="3035A9C6" w14:textId="456F56B4" w:rsidR="007F6095" w:rsidRPr="007F6095" w:rsidRDefault="00E30FCE" w:rsidP="00E30FCE">
      <w:pPr>
        <w:pStyle w:val="HChG"/>
        <w:rPr>
          <w:lang w:val="en-NZ"/>
        </w:rPr>
      </w:pPr>
      <w:bookmarkStart w:id="2" w:name="_Hlk4756701"/>
      <w:r>
        <w:rPr>
          <w:lang w:val="en-NZ"/>
        </w:rPr>
        <w:tab/>
      </w:r>
      <w:r>
        <w:rPr>
          <w:lang w:val="en-NZ"/>
        </w:rPr>
        <w:tab/>
      </w:r>
      <w:r w:rsidR="007F6095" w:rsidRPr="007F6095">
        <w:rPr>
          <w:lang w:val="en-NZ"/>
        </w:rPr>
        <w:t>Employment</w:t>
      </w:r>
    </w:p>
    <w:p w14:paraId="15BECB74" w14:textId="0408D435" w:rsidR="007F6095" w:rsidRPr="007F6095" w:rsidRDefault="001D05E5" w:rsidP="00E30FCE">
      <w:pPr>
        <w:pStyle w:val="SingleTxtG"/>
        <w:rPr>
          <w:lang w:val="en-NZ"/>
        </w:rPr>
      </w:pPr>
      <w:r>
        <w:rPr>
          <w:lang w:val="en-NZ"/>
        </w:rPr>
        <w:t>59.</w:t>
      </w:r>
      <w:r>
        <w:rPr>
          <w:lang w:val="en-NZ"/>
        </w:rPr>
        <w:tab/>
      </w:r>
      <w:r w:rsidR="007F6095" w:rsidRPr="007F6095">
        <w:rPr>
          <w:lang w:val="en-NZ"/>
        </w:rPr>
        <w:t>New Zealand is committed to reducing the gender, Māori, Pacific and ethnic pay gaps. The Public sector is required to take action to promote and monitor equal employment opportunities under the Public Service Act 2020. We are also currently working to develop a business-led voluntary pay gap reporting system.</w:t>
      </w:r>
    </w:p>
    <w:p w14:paraId="4F106C40" w14:textId="0A5D918E" w:rsidR="007F6095" w:rsidRPr="007F6095" w:rsidRDefault="00803234" w:rsidP="00E30FCE">
      <w:pPr>
        <w:pStyle w:val="SingleTxtG"/>
        <w:rPr>
          <w:lang w:val="en-NZ"/>
        </w:rPr>
      </w:pPr>
      <w:r>
        <w:rPr>
          <w:lang w:val="en-NZ"/>
        </w:rPr>
        <w:t>60.</w:t>
      </w:r>
      <w:r>
        <w:rPr>
          <w:lang w:val="en-NZ"/>
        </w:rPr>
        <w:tab/>
      </w:r>
      <w:r w:rsidR="007F6095" w:rsidRPr="007F6095">
        <w:rPr>
          <w:lang w:val="en-NZ"/>
        </w:rPr>
        <w:t xml:space="preserve">New Zealand acknowledges that persons with disabilities continue to face barriers to employment. We will continue to support persons with disabilities into work by improving transition services and developing an action plan to improve education, </w:t>
      </w:r>
      <w:proofErr w:type="gramStart"/>
      <w:r w:rsidR="007F6095" w:rsidRPr="007F6095">
        <w:rPr>
          <w:lang w:val="en-NZ"/>
        </w:rPr>
        <w:t>training</w:t>
      </w:r>
      <w:proofErr w:type="gramEnd"/>
      <w:r w:rsidR="007F6095" w:rsidRPr="007F6095">
        <w:rPr>
          <w:lang w:val="en-NZ"/>
        </w:rPr>
        <w:t xml:space="preserve"> and employment outcomes.</w:t>
      </w:r>
    </w:p>
    <w:p w14:paraId="1227944B" w14:textId="3D26B6A2" w:rsidR="007F6095" w:rsidRPr="007F6095" w:rsidRDefault="00803234" w:rsidP="00E30FCE">
      <w:pPr>
        <w:pStyle w:val="SingleTxtG"/>
        <w:rPr>
          <w:lang w:val="en-NZ"/>
        </w:rPr>
      </w:pPr>
      <w:r>
        <w:rPr>
          <w:lang w:val="en-NZ"/>
        </w:rPr>
        <w:t>61.</w:t>
      </w:r>
      <w:r>
        <w:rPr>
          <w:lang w:val="en-NZ"/>
        </w:rPr>
        <w:tab/>
      </w:r>
      <w:r w:rsidR="009C0BD8">
        <w:rPr>
          <w:b/>
          <w:bCs/>
          <w:lang w:val="en-NZ"/>
        </w:rPr>
        <w:t>S</w:t>
      </w:r>
      <w:r w:rsidR="007F6095" w:rsidRPr="007F6095">
        <w:rPr>
          <w:b/>
          <w:bCs/>
          <w:lang w:val="en-NZ"/>
        </w:rPr>
        <w:t>upport</w:t>
      </w:r>
      <w:r w:rsidR="009C0BD8">
        <w:rPr>
          <w:b/>
          <w:bCs/>
          <w:lang w:val="en-NZ"/>
        </w:rPr>
        <w:t>ed:</w:t>
      </w:r>
      <w:r w:rsidR="007F6095" w:rsidRPr="007F6095">
        <w:rPr>
          <w:lang w:val="en-NZ"/>
        </w:rPr>
        <w:t xml:space="preserve"> </w:t>
      </w:r>
      <w:r w:rsidR="00894F5E">
        <w:rPr>
          <w:lang w:val="en-NZ"/>
        </w:rPr>
        <w:t>132.</w:t>
      </w:r>
      <w:r w:rsidR="007F6095" w:rsidRPr="007F6095">
        <w:rPr>
          <w:lang w:val="en-NZ"/>
        </w:rPr>
        <w:t>112</w:t>
      </w:r>
      <w:r w:rsidR="001B5CF8">
        <w:rPr>
          <w:lang w:val="en-NZ"/>
        </w:rPr>
        <w:t>–</w:t>
      </w:r>
      <w:r w:rsidR="007F6095" w:rsidRPr="007F6095">
        <w:rPr>
          <w:lang w:val="en-NZ"/>
        </w:rPr>
        <w:t>115.</w:t>
      </w:r>
    </w:p>
    <w:p w14:paraId="66AF44EB" w14:textId="689C114C" w:rsidR="007F6095" w:rsidRPr="007F6095" w:rsidRDefault="00803234" w:rsidP="00E30FCE">
      <w:pPr>
        <w:pStyle w:val="SingleTxtG"/>
        <w:rPr>
          <w:lang w:val="en-NZ"/>
        </w:rPr>
      </w:pPr>
      <w:r>
        <w:rPr>
          <w:lang w:val="en-NZ"/>
        </w:rPr>
        <w:t>62.</w:t>
      </w:r>
      <w:r>
        <w:rPr>
          <w:lang w:val="en-NZ"/>
        </w:rPr>
        <w:tab/>
      </w:r>
      <w:r w:rsidR="007F6095" w:rsidRPr="007F6095">
        <w:rPr>
          <w:lang w:val="en-NZ"/>
        </w:rPr>
        <w:t xml:space="preserve">As introducing pay transparency legislation is not one of Government’s current legislative priorities, we </w:t>
      </w:r>
      <w:r w:rsidR="007F6095" w:rsidRPr="007F6095">
        <w:rPr>
          <w:b/>
          <w:bCs/>
          <w:lang w:val="en-NZ"/>
        </w:rPr>
        <w:t>note</w:t>
      </w:r>
      <w:r w:rsidR="007F6095" w:rsidRPr="007F6095">
        <w:rPr>
          <w:lang w:val="en-NZ"/>
        </w:rPr>
        <w:t xml:space="preserve"> recommendations </w:t>
      </w:r>
      <w:r w:rsidR="00894F5E">
        <w:rPr>
          <w:lang w:val="en-NZ"/>
        </w:rPr>
        <w:t>132.</w:t>
      </w:r>
      <w:r w:rsidR="007F6095" w:rsidRPr="007F6095">
        <w:rPr>
          <w:lang w:val="en-NZ"/>
        </w:rPr>
        <w:t>107</w:t>
      </w:r>
      <w:r w:rsidR="001B5CF8">
        <w:rPr>
          <w:lang w:val="en-NZ"/>
        </w:rPr>
        <w:t>–</w:t>
      </w:r>
      <w:r w:rsidR="007F6095" w:rsidRPr="007F6095">
        <w:rPr>
          <w:lang w:val="en-NZ"/>
        </w:rPr>
        <w:t>111.</w:t>
      </w:r>
    </w:p>
    <w:p w14:paraId="6CF3E0B5" w14:textId="21063DAB" w:rsidR="007F6095" w:rsidRPr="007F6095" w:rsidRDefault="00803234" w:rsidP="00803234">
      <w:pPr>
        <w:pStyle w:val="HChG"/>
        <w:rPr>
          <w:lang w:val="en-NZ"/>
        </w:rPr>
      </w:pPr>
      <w:r>
        <w:rPr>
          <w:lang w:val="en-NZ"/>
        </w:rPr>
        <w:tab/>
      </w:r>
      <w:r>
        <w:rPr>
          <w:lang w:val="en-NZ"/>
        </w:rPr>
        <w:tab/>
      </w:r>
      <w:r w:rsidR="007F6095" w:rsidRPr="007F6095">
        <w:rPr>
          <w:lang w:val="en-NZ"/>
        </w:rPr>
        <w:t>Adequate standard of living</w:t>
      </w:r>
    </w:p>
    <w:p w14:paraId="63006AD3" w14:textId="29C6368F" w:rsidR="007F6095" w:rsidRPr="007F6095" w:rsidRDefault="00803234" w:rsidP="00803234">
      <w:pPr>
        <w:pStyle w:val="SingleTxtG"/>
        <w:rPr>
          <w:lang w:val="en-NZ"/>
        </w:rPr>
      </w:pPr>
      <w:r>
        <w:rPr>
          <w:lang w:val="en-NZ"/>
        </w:rPr>
        <w:t>63.</w:t>
      </w:r>
      <w:r>
        <w:rPr>
          <w:lang w:val="en-NZ"/>
        </w:rPr>
        <w:tab/>
      </w:r>
      <w:r w:rsidR="007F6095" w:rsidRPr="007F6095">
        <w:rPr>
          <w:lang w:val="en-NZ"/>
        </w:rPr>
        <w:t>New Zealand acknowledges that the rise in cost of living, including housing, is affecting all New Zealander’s right to an adequate standard of living.</w:t>
      </w:r>
    </w:p>
    <w:p w14:paraId="36EE1FF1" w14:textId="2B692B4D" w:rsidR="007F6095" w:rsidRPr="007F6095" w:rsidRDefault="00803234" w:rsidP="00803234">
      <w:pPr>
        <w:pStyle w:val="SingleTxtG"/>
        <w:rPr>
          <w:lang w:val="en-NZ"/>
        </w:rPr>
      </w:pPr>
      <w:r>
        <w:rPr>
          <w:lang w:val="en-NZ"/>
        </w:rPr>
        <w:t>64.</w:t>
      </w:r>
      <w:r>
        <w:rPr>
          <w:lang w:val="en-NZ"/>
        </w:rPr>
        <w:tab/>
      </w:r>
      <w:r w:rsidR="007F6095" w:rsidRPr="007F6095">
        <w:rPr>
          <w:lang w:val="en-NZ"/>
        </w:rPr>
        <w:t>While New Zealand’s social welfare system will continue to support those who need it, the Government is prioritising supporting people into work. We will provide support for in work costs such as childcare, as well as providing jobseekers with specific and targeted supports.</w:t>
      </w:r>
    </w:p>
    <w:p w14:paraId="4E776ADD" w14:textId="5CD1B6C6" w:rsidR="007F6095" w:rsidRPr="007F6095" w:rsidRDefault="00803234" w:rsidP="00803234">
      <w:pPr>
        <w:pStyle w:val="SingleTxtG"/>
        <w:rPr>
          <w:lang w:val="en-NZ"/>
        </w:rPr>
      </w:pPr>
      <w:r>
        <w:rPr>
          <w:lang w:val="en-NZ"/>
        </w:rPr>
        <w:t>65.</w:t>
      </w:r>
      <w:r>
        <w:rPr>
          <w:lang w:val="en-NZ"/>
        </w:rPr>
        <w:tab/>
      </w:r>
      <w:r w:rsidR="007F6095" w:rsidRPr="007F6095">
        <w:rPr>
          <w:lang w:val="en-NZ"/>
        </w:rPr>
        <w:t>New Zealand is committed to improving access to housing, quality of housing, and reducing inequity in housing. We are implementing a comprehensive reform programme to target the underlying causes of the housing shortage and to remove barriers to development.</w:t>
      </w:r>
    </w:p>
    <w:p w14:paraId="28AA2E86" w14:textId="091A148F" w:rsidR="007F6095" w:rsidRPr="007F6095" w:rsidRDefault="00803234" w:rsidP="00803234">
      <w:pPr>
        <w:pStyle w:val="SingleTxtG"/>
        <w:rPr>
          <w:lang w:val="en-NZ"/>
        </w:rPr>
      </w:pPr>
      <w:r>
        <w:rPr>
          <w:lang w:val="en-NZ"/>
        </w:rPr>
        <w:t>66.</w:t>
      </w:r>
      <w:r>
        <w:rPr>
          <w:lang w:val="en-NZ"/>
        </w:rPr>
        <w:tab/>
      </w:r>
      <w:r w:rsidR="009C0BD8">
        <w:rPr>
          <w:b/>
          <w:bCs/>
          <w:lang w:val="en-NZ"/>
        </w:rPr>
        <w:t>S</w:t>
      </w:r>
      <w:r w:rsidR="007F6095" w:rsidRPr="007F6095">
        <w:rPr>
          <w:b/>
          <w:bCs/>
          <w:lang w:val="en-NZ"/>
        </w:rPr>
        <w:t>upport</w:t>
      </w:r>
      <w:r w:rsidR="009C0BD8">
        <w:rPr>
          <w:b/>
          <w:bCs/>
          <w:lang w:val="en-NZ"/>
        </w:rPr>
        <w:t>ed:</w:t>
      </w:r>
      <w:r w:rsidR="007F6095" w:rsidRPr="007F6095">
        <w:rPr>
          <w:lang w:val="en-NZ"/>
        </w:rPr>
        <w:t xml:space="preserve"> </w:t>
      </w:r>
      <w:r w:rsidR="00894F5E">
        <w:rPr>
          <w:lang w:val="en-NZ"/>
        </w:rPr>
        <w:t>132.</w:t>
      </w:r>
      <w:r w:rsidR="007F6095" w:rsidRPr="007F6095">
        <w:rPr>
          <w:lang w:val="en-NZ"/>
        </w:rPr>
        <w:t>118,</w:t>
      </w:r>
      <w:r>
        <w:rPr>
          <w:lang w:val="en-NZ"/>
        </w:rPr>
        <w:t xml:space="preserve"> </w:t>
      </w:r>
      <w:r w:rsidR="00894F5E">
        <w:rPr>
          <w:lang w:val="en-NZ"/>
        </w:rPr>
        <w:t>132.</w:t>
      </w:r>
      <w:r w:rsidR="007F6095" w:rsidRPr="007F6095">
        <w:rPr>
          <w:lang w:val="en-NZ"/>
        </w:rPr>
        <w:t>120</w:t>
      </w:r>
      <w:r w:rsidR="001B5CF8">
        <w:rPr>
          <w:lang w:val="en-NZ"/>
        </w:rPr>
        <w:t>–</w:t>
      </w:r>
      <w:r w:rsidR="007F6095" w:rsidRPr="007F6095">
        <w:rPr>
          <w:lang w:val="en-NZ"/>
        </w:rPr>
        <w:t>131</w:t>
      </w:r>
      <w:bookmarkEnd w:id="2"/>
      <w:r w:rsidR="007F6095" w:rsidRPr="007F6095">
        <w:rPr>
          <w:lang w:val="en-NZ"/>
        </w:rPr>
        <w:t>.</w:t>
      </w:r>
    </w:p>
    <w:p w14:paraId="39397F71" w14:textId="74DB6E7D" w:rsidR="007F6095" w:rsidRPr="007F6095" w:rsidRDefault="00803234" w:rsidP="00803234">
      <w:pPr>
        <w:pStyle w:val="SingleTxtG"/>
        <w:rPr>
          <w:lang w:val="en-NZ"/>
        </w:rPr>
      </w:pPr>
      <w:r>
        <w:rPr>
          <w:lang w:val="en-NZ"/>
        </w:rPr>
        <w:t>67.</w:t>
      </w:r>
      <w:r>
        <w:rPr>
          <w:lang w:val="en-NZ"/>
        </w:rPr>
        <w:tab/>
      </w:r>
      <w:r w:rsidR="009C0BD8">
        <w:rPr>
          <w:b/>
          <w:bCs/>
          <w:lang w:val="en-NZ"/>
        </w:rPr>
        <w:t>S</w:t>
      </w:r>
      <w:r w:rsidR="007F6095" w:rsidRPr="007F6095">
        <w:rPr>
          <w:b/>
          <w:bCs/>
          <w:lang w:val="en-NZ"/>
        </w:rPr>
        <w:t>upport</w:t>
      </w:r>
      <w:r w:rsidR="009C0BD8">
        <w:rPr>
          <w:b/>
          <w:bCs/>
          <w:lang w:val="en-NZ"/>
        </w:rPr>
        <w:t>ed</w:t>
      </w:r>
      <w:r w:rsidR="007F6095" w:rsidRPr="007F6095">
        <w:rPr>
          <w:b/>
          <w:bCs/>
          <w:lang w:val="en-NZ"/>
        </w:rPr>
        <w:t xml:space="preserve"> in part</w:t>
      </w:r>
      <w:r w:rsidR="009C0BD8">
        <w:rPr>
          <w:b/>
          <w:bCs/>
          <w:lang w:val="en-NZ"/>
        </w:rPr>
        <w:t>:</w:t>
      </w:r>
      <w:r w:rsidR="007F6095" w:rsidRPr="007F6095">
        <w:rPr>
          <w:b/>
          <w:bCs/>
          <w:lang w:val="en-NZ"/>
        </w:rPr>
        <w:t xml:space="preserve"> </w:t>
      </w:r>
      <w:r w:rsidR="00894F5E">
        <w:rPr>
          <w:lang w:val="en-NZ"/>
        </w:rPr>
        <w:t>132.</w:t>
      </w:r>
      <w:r w:rsidR="007F6095" w:rsidRPr="007F6095">
        <w:rPr>
          <w:lang w:val="en-NZ"/>
        </w:rPr>
        <w:t>119.</w:t>
      </w:r>
    </w:p>
    <w:p w14:paraId="6DDAEF09" w14:textId="1FB8A7E3" w:rsidR="007F6095" w:rsidRPr="007F6095" w:rsidRDefault="00F853A8" w:rsidP="00F853A8">
      <w:pPr>
        <w:pStyle w:val="HChG"/>
        <w:rPr>
          <w:lang w:val="en-NZ"/>
        </w:rPr>
      </w:pPr>
      <w:r>
        <w:rPr>
          <w:lang w:val="en-NZ"/>
        </w:rPr>
        <w:tab/>
      </w:r>
      <w:r>
        <w:rPr>
          <w:lang w:val="en-NZ"/>
        </w:rPr>
        <w:tab/>
      </w:r>
      <w:r w:rsidR="007F6095" w:rsidRPr="007F6095">
        <w:rPr>
          <w:lang w:val="en-NZ"/>
        </w:rPr>
        <w:t>Health</w:t>
      </w:r>
    </w:p>
    <w:p w14:paraId="03111613" w14:textId="1B352892" w:rsidR="007F6095" w:rsidRPr="007F6095" w:rsidRDefault="00F853A8" w:rsidP="00F853A8">
      <w:pPr>
        <w:pStyle w:val="SingleTxtG"/>
        <w:rPr>
          <w:lang w:val="en-NZ"/>
        </w:rPr>
      </w:pPr>
      <w:r>
        <w:rPr>
          <w:lang w:val="en-NZ"/>
        </w:rPr>
        <w:t>68.</w:t>
      </w:r>
      <w:r>
        <w:rPr>
          <w:lang w:val="en-NZ"/>
        </w:rPr>
        <w:tab/>
      </w:r>
      <w:r w:rsidR="007F6095" w:rsidRPr="007F6095">
        <w:rPr>
          <w:lang w:val="en-NZ"/>
        </w:rPr>
        <w:t xml:space="preserve">New Zealand is committed to improving health care for all communities. </w:t>
      </w:r>
      <w:proofErr w:type="spellStart"/>
      <w:r w:rsidR="007F6095" w:rsidRPr="007F6095">
        <w:rPr>
          <w:lang w:val="en-NZ"/>
        </w:rPr>
        <w:t>Te</w:t>
      </w:r>
      <w:proofErr w:type="spellEnd"/>
      <w:r w:rsidR="007F6095" w:rsidRPr="007F6095">
        <w:rPr>
          <w:lang w:val="en-NZ"/>
        </w:rPr>
        <w:t xml:space="preserve"> Mana Ola: The Pacific Health Strategy and </w:t>
      </w:r>
      <w:proofErr w:type="spellStart"/>
      <w:r w:rsidR="007F6095" w:rsidRPr="007F6095">
        <w:rPr>
          <w:lang w:val="en-NZ"/>
        </w:rPr>
        <w:t>Pae</w:t>
      </w:r>
      <w:proofErr w:type="spellEnd"/>
      <w:r w:rsidR="007F6095" w:rsidRPr="007F6095">
        <w:rPr>
          <w:lang w:val="en-NZ"/>
        </w:rPr>
        <w:t xml:space="preserve"> Tu: Hauora Māori Strategy provide a framework to achieve equity in Pacific and Māori health outcomes. The Government is also reviewing funding of resettlement services to improve equity of access for migrants and refugees, </w:t>
      </w:r>
      <w:r w:rsidR="007F6095" w:rsidRPr="007F6095">
        <w:rPr>
          <w:lang w:val="en-US"/>
        </w:rPr>
        <w:t>developing a rights-based approach to healthcare for intersex children and young people and is undertaking a review of the abortion system.</w:t>
      </w:r>
    </w:p>
    <w:p w14:paraId="2B2F1F93" w14:textId="5D60FF32" w:rsidR="007F6095" w:rsidRPr="007F6095" w:rsidRDefault="00F853A8" w:rsidP="00F853A8">
      <w:pPr>
        <w:pStyle w:val="SingleTxtG"/>
        <w:rPr>
          <w:lang w:val="en-NZ"/>
        </w:rPr>
      </w:pPr>
      <w:r>
        <w:rPr>
          <w:lang w:val="en-NZ"/>
        </w:rPr>
        <w:lastRenderedPageBreak/>
        <w:t>69.</w:t>
      </w:r>
      <w:r>
        <w:rPr>
          <w:lang w:val="en-NZ"/>
        </w:rPr>
        <w:tab/>
      </w:r>
      <w:r w:rsidR="007F6095" w:rsidRPr="007F6095">
        <w:rPr>
          <w:lang w:val="en-NZ"/>
        </w:rPr>
        <w:t>Sexual and reproductive health is a priority for New Zealand. The sexual and reproductive health programmes set out actions including improved access and timely and affordable services to young and low-income women.</w:t>
      </w:r>
    </w:p>
    <w:p w14:paraId="73753973" w14:textId="79ADE329" w:rsidR="007F6095" w:rsidRPr="007F6095" w:rsidRDefault="00F853A8" w:rsidP="00F853A8">
      <w:pPr>
        <w:pStyle w:val="SingleTxtG"/>
        <w:rPr>
          <w:lang w:val="en-NZ"/>
        </w:rPr>
      </w:pPr>
      <w:r>
        <w:rPr>
          <w:lang w:val="en-US"/>
        </w:rPr>
        <w:t>70.</w:t>
      </w:r>
      <w:r>
        <w:rPr>
          <w:lang w:val="en-US"/>
        </w:rPr>
        <w:tab/>
      </w:r>
      <w:r w:rsidR="007F6095" w:rsidRPr="007F6095">
        <w:rPr>
          <w:lang w:val="en-US"/>
        </w:rPr>
        <w:t>The Government is committed to improving mental health outcomes and reducing suicide. It is currently developing the next Suicide Prevention Strategy 2025-2029.</w:t>
      </w:r>
    </w:p>
    <w:p w14:paraId="26C77048" w14:textId="7694C7AB" w:rsidR="007F6095" w:rsidRPr="007F6095" w:rsidRDefault="00F853A8" w:rsidP="00F853A8">
      <w:pPr>
        <w:pStyle w:val="SingleTxtG"/>
        <w:rPr>
          <w:lang w:val="en-NZ"/>
        </w:rPr>
      </w:pPr>
      <w:r>
        <w:rPr>
          <w:lang w:val="en-US"/>
        </w:rPr>
        <w:t>71.</w:t>
      </w:r>
      <w:r>
        <w:rPr>
          <w:lang w:val="en-US"/>
        </w:rPr>
        <w:tab/>
      </w:r>
      <w:r w:rsidR="009C0BD8">
        <w:rPr>
          <w:b/>
          <w:bCs/>
          <w:lang w:val="en-US"/>
        </w:rPr>
        <w:t>S</w:t>
      </w:r>
      <w:r w:rsidR="007F6095" w:rsidRPr="007F6095">
        <w:rPr>
          <w:b/>
          <w:bCs/>
          <w:lang w:val="en-US"/>
        </w:rPr>
        <w:t>upport</w:t>
      </w:r>
      <w:r w:rsidR="009C0BD8">
        <w:rPr>
          <w:b/>
          <w:bCs/>
          <w:lang w:val="en-US"/>
        </w:rPr>
        <w:t>ed:</w:t>
      </w:r>
      <w:r w:rsidR="007F6095" w:rsidRPr="007F6095">
        <w:rPr>
          <w:b/>
          <w:bCs/>
          <w:lang w:val="en-US"/>
        </w:rPr>
        <w:t xml:space="preserve"> </w:t>
      </w:r>
      <w:r w:rsidR="00894F5E">
        <w:rPr>
          <w:lang w:val="en-US"/>
        </w:rPr>
        <w:t>132.</w:t>
      </w:r>
      <w:r w:rsidR="007F6095" w:rsidRPr="007F6095">
        <w:rPr>
          <w:lang w:val="en-US"/>
        </w:rPr>
        <w:t>132</w:t>
      </w:r>
      <w:r w:rsidR="001B5CF8">
        <w:rPr>
          <w:lang w:val="en-US"/>
        </w:rPr>
        <w:t>–</w:t>
      </w:r>
      <w:r w:rsidR="007F6095" w:rsidRPr="007F6095">
        <w:rPr>
          <w:lang w:val="en-US"/>
        </w:rPr>
        <w:t>137,</w:t>
      </w:r>
      <w:r>
        <w:rPr>
          <w:lang w:val="en-US"/>
        </w:rPr>
        <w:t xml:space="preserve"> </w:t>
      </w:r>
      <w:r w:rsidR="00894F5E">
        <w:rPr>
          <w:lang w:val="en-US"/>
        </w:rPr>
        <w:t>132.</w:t>
      </w:r>
      <w:r w:rsidR="007F6095" w:rsidRPr="007F6095">
        <w:rPr>
          <w:lang w:val="en-US"/>
        </w:rPr>
        <w:t>250.</w:t>
      </w:r>
    </w:p>
    <w:p w14:paraId="31205EE7" w14:textId="1BC09204" w:rsidR="007F6095" w:rsidRPr="007F6095" w:rsidRDefault="00F853A8" w:rsidP="00F853A8">
      <w:pPr>
        <w:pStyle w:val="SingleTxtG"/>
        <w:rPr>
          <w:lang w:val="en-NZ"/>
        </w:rPr>
      </w:pPr>
      <w:r>
        <w:rPr>
          <w:lang w:val="en-NZ"/>
        </w:rPr>
        <w:t>72.</w:t>
      </w:r>
      <w:r>
        <w:rPr>
          <w:lang w:val="en-NZ"/>
        </w:rPr>
        <w:tab/>
      </w:r>
      <w:r w:rsidR="007F6095" w:rsidRPr="007F6095">
        <w:rPr>
          <w:lang w:val="en-NZ"/>
        </w:rPr>
        <w:t>New Zealand cannot commit to progressing legislative change to ban surgeries on intersex children without further consideration of the framework.</w:t>
      </w:r>
    </w:p>
    <w:p w14:paraId="1E1ECCF7" w14:textId="7FDE37B9" w:rsidR="007F6095" w:rsidRPr="007F6095" w:rsidRDefault="00F853A8" w:rsidP="00F853A8">
      <w:pPr>
        <w:pStyle w:val="SingleTxtG"/>
        <w:rPr>
          <w:lang w:val="en-NZ"/>
        </w:rPr>
      </w:pPr>
      <w:r>
        <w:rPr>
          <w:lang w:val="en-NZ"/>
        </w:rPr>
        <w:t>73.</w:t>
      </w:r>
      <w:r>
        <w:rPr>
          <w:lang w:val="en-NZ"/>
        </w:rPr>
        <w:tab/>
      </w:r>
      <w:r w:rsidR="007F6095" w:rsidRPr="007F6095">
        <w:rPr>
          <w:lang w:val="en-NZ"/>
        </w:rPr>
        <w:t>Nor can it commit to prioritising the wellbeing of unborn children.</w:t>
      </w:r>
    </w:p>
    <w:p w14:paraId="7679CE81" w14:textId="153F2656" w:rsidR="007F6095" w:rsidRPr="007F6095" w:rsidRDefault="00F853A8" w:rsidP="00F853A8">
      <w:pPr>
        <w:pStyle w:val="SingleTxtG"/>
        <w:rPr>
          <w:lang w:val="en-NZ"/>
        </w:rPr>
      </w:pPr>
      <w:r>
        <w:rPr>
          <w:lang w:val="en-NZ"/>
        </w:rPr>
        <w:t>74.</w:t>
      </w:r>
      <w:r>
        <w:rPr>
          <w:lang w:val="en-NZ"/>
        </w:rPr>
        <w:tab/>
      </w:r>
      <w:r w:rsidR="009C0BD8">
        <w:rPr>
          <w:b/>
          <w:bCs/>
          <w:lang w:val="en-NZ"/>
        </w:rPr>
        <w:t>S</w:t>
      </w:r>
      <w:r w:rsidR="007F6095" w:rsidRPr="007F6095">
        <w:rPr>
          <w:b/>
          <w:bCs/>
          <w:lang w:val="en-NZ"/>
        </w:rPr>
        <w:t>upport</w:t>
      </w:r>
      <w:r w:rsidR="009C0BD8">
        <w:rPr>
          <w:b/>
          <w:bCs/>
          <w:lang w:val="en-NZ"/>
        </w:rPr>
        <w:t>ed</w:t>
      </w:r>
      <w:r w:rsidR="007F6095" w:rsidRPr="007F6095">
        <w:rPr>
          <w:b/>
          <w:bCs/>
          <w:lang w:val="en-NZ"/>
        </w:rPr>
        <w:t xml:space="preserve"> in part</w:t>
      </w:r>
      <w:r w:rsidR="009C0BD8">
        <w:rPr>
          <w:b/>
          <w:bCs/>
          <w:lang w:val="en-NZ"/>
        </w:rPr>
        <w:t>:</w:t>
      </w:r>
      <w:r w:rsidR="007F6095" w:rsidRPr="007F6095">
        <w:rPr>
          <w:lang w:val="en-NZ"/>
        </w:rPr>
        <w:t xml:space="preserve"> </w:t>
      </w:r>
      <w:r w:rsidR="00894F5E">
        <w:rPr>
          <w:lang w:val="en-NZ"/>
        </w:rPr>
        <w:t>132.</w:t>
      </w:r>
      <w:r w:rsidR="007F6095" w:rsidRPr="007F6095">
        <w:rPr>
          <w:lang w:val="en-NZ"/>
        </w:rPr>
        <w:t>71,</w:t>
      </w:r>
      <w:r>
        <w:rPr>
          <w:lang w:val="en-NZ"/>
        </w:rPr>
        <w:t xml:space="preserve"> </w:t>
      </w:r>
      <w:r w:rsidR="00894F5E">
        <w:rPr>
          <w:lang w:val="en-NZ"/>
        </w:rPr>
        <w:t>132.</w:t>
      </w:r>
      <w:r w:rsidR="007F6095" w:rsidRPr="007F6095">
        <w:rPr>
          <w:lang w:val="en-NZ"/>
        </w:rPr>
        <w:t>249.</w:t>
      </w:r>
    </w:p>
    <w:p w14:paraId="68612EB2" w14:textId="70D9902A" w:rsidR="007F6095" w:rsidRPr="007F6095" w:rsidRDefault="00166BA2" w:rsidP="00166BA2">
      <w:pPr>
        <w:pStyle w:val="HChG"/>
        <w:rPr>
          <w:lang w:val="en-NZ"/>
        </w:rPr>
      </w:pPr>
      <w:r>
        <w:rPr>
          <w:lang w:val="en-NZ"/>
        </w:rPr>
        <w:tab/>
      </w:r>
      <w:r>
        <w:rPr>
          <w:lang w:val="en-NZ"/>
        </w:rPr>
        <w:tab/>
      </w:r>
      <w:r w:rsidR="007F6095" w:rsidRPr="007F6095">
        <w:rPr>
          <w:lang w:val="en-NZ"/>
        </w:rPr>
        <w:t>Education</w:t>
      </w:r>
    </w:p>
    <w:p w14:paraId="5DAB3B20" w14:textId="21AED1ED" w:rsidR="007F6095" w:rsidRPr="007F6095" w:rsidRDefault="00166BA2" w:rsidP="00166BA2">
      <w:pPr>
        <w:pStyle w:val="SingleTxtG"/>
        <w:rPr>
          <w:lang w:val="en-NZ"/>
        </w:rPr>
      </w:pPr>
      <w:r>
        <w:rPr>
          <w:lang w:val="en-NZ"/>
        </w:rPr>
        <w:t>75.</w:t>
      </w:r>
      <w:r>
        <w:rPr>
          <w:lang w:val="en-NZ"/>
        </w:rPr>
        <w:tab/>
      </w:r>
      <w:r w:rsidR="007F6095" w:rsidRPr="007F6095">
        <w:rPr>
          <w:lang w:val="en-NZ"/>
        </w:rPr>
        <w:t>Education must be accessible and inclusive. The Government’s priorities for the education system include stronger learning support and a clearer curriculum.</w:t>
      </w:r>
    </w:p>
    <w:p w14:paraId="0D2AC6B2" w14:textId="60FEBE3B" w:rsidR="007F6095" w:rsidRPr="007F6095" w:rsidRDefault="00166BA2" w:rsidP="00166BA2">
      <w:pPr>
        <w:pStyle w:val="SingleTxtG"/>
        <w:rPr>
          <w:lang w:val="en-NZ"/>
        </w:rPr>
      </w:pPr>
      <w:r>
        <w:rPr>
          <w:lang w:val="en-NZ"/>
        </w:rPr>
        <w:t>76.</w:t>
      </w:r>
      <w:r>
        <w:rPr>
          <w:lang w:val="en-NZ"/>
        </w:rPr>
        <w:tab/>
      </w:r>
      <w:r w:rsidR="007F6095" w:rsidRPr="007F6095">
        <w:rPr>
          <w:lang w:val="en-NZ"/>
        </w:rPr>
        <w:t>Relationship and sexuality education (RSE) is part of the New Zealand Curriculum. It is compulsory for schools to teach Health and Physical Education, which includes RSE up until the end of year 10.</w:t>
      </w:r>
    </w:p>
    <w:p w14:paraId="74DF52B2" w14:textId="74C12C80" w:rsidR="007F6095" w:rsidRPr="007F6095" w:rsidRDefault="00166BA2" w:rsidP="00166BA2">
      <w:pPr>
        <w:pStyle w:val="SingleTxtG"/>
        <w:rPr>
          <w:lang w:val="en-NZ"/>
        </w:rPr>
      </w:pPr>
      <w:r>
        <w:rPr>
          <w:lang w:val="en-NZ"/>
        </w:rPr>
        <w:t>77.</w:t>
      </w:r>
      <w:r>
        <w:rPr>
          <w:lang w:val="en-NZ"/>
        </w:rPr>
        <w:tab/>
      </w:r>
      <w:r w:rsidR="009C0BD8">
        <w:rPr>
          <w:b/>
          <w:bCs/>
          <w:lang w:val="en-NZ"/>
        </w:rPr>
        <w:t>S</w:t>
      </w:r>
      <w:r w:rsidR="007F6095" w:rsidRPr="007F6095">
        <w:rPr>
          <w:b/>
          <w:bCs/>
          <w:lang w:val="en-NZ"/>
        </w:rPr>
        <w:t>upport</w:t>
      </w:r>
      <w:r w:rsidR="009C0BD8">
        <w:rPr>
          <w:b/>
          <w:bCs/>
          <w:lang w:val="en-NZ"/>
        </w:rPr>
        <w:t>ed:</w:t>
      </w:r>
      <w:r w:rsidR="007F6095" w:rsidRPr="007F6095">
        <w:rPr>
          <w:b/>
          <w:bCs/>
          <w:lang w:val="en-NZ"/>
        </w:rPr>
        <w:t xml:space="preserve"> </w:t>
      </w:r>
      <w:r w:rsidR="00894F5E">
        <w:rPr>
          <w:lang w:val="en-NZ"/>
        </w:rPr>
        <w:t>132.</w:t>
      </w:r>
      <w:r w:rsidR="007F6095" w:rsidRPr="007F6095">
        <w:rPr>
          <w:lang w:val="en-NZ"/>
        </w:rPr>
        <w:t>141</w:t>
      </w:r>
      <w:r w:rsidR="001B5CF8">
        <w:rPr>
          <w:lang w:val="en-NZ"/>
        </w:rPr>
        <w:t>–</w:t>
      </w:r>
      <w:r w:rsidR="007F6095" w:rsidRPr="007F6095">
        <w:rPr>
          <w:lang w:val="en-NZ"/>
        </w:rPr>
        <w:t>148,</w:t>
      </w:r>
      <w:r>
        <w:rPr>
          <w:lang w:val="en-NZ"/>
        </w:rPr>
        <w:t xml:space="preserve"> </w:t>
      </w:r>
      <w:r w:rsidR="00894F5E">
        <w:rPr>
          <w:lang w:val="en-NZ"/>
        </w:rPr>
        <w:t>132.</w:t>
      </w:r>
      <w:r w:rsidR="007F6095" w:rsidRPr="007F6095">
        <w:rPr>
          <w:lang w:val="en-NZ"/>
        </w:rPr>
        <w:t>150</w:t>
      </w:r>
      <w:r w:rsidR="001B5CF8">
        <w:rPr>
          <w:lang w:val="en-NZ"/>
        </w:rPr>
        <w:t>–</w:t>
      </w:r>
      <w:r w:rsidR="007F6095" w:rsidRPr="007F6095">
        <w:rPr>
          <w:lang w:val="en-NZ"/>
        </w:rPr>
        <w:t>151.</w:t>
      </w:r>
    </w:p>
    <w:p w14:paraId="2C99790D" w14:textId="3C45B49C" w:rsidR="007F6095" w:rsidRPr="007F6095" w:rsidRDefault="00166BA2" w:rsidP="00166BA2">
      <w:pPr>
        <w:pStyle w:val="SingleTxtG"/>
        <w:rPr>
          <w:lang w:val="en-NZ"/>
        </w:rPr>
      </w:pPr>
      <w:r>
        <w:rPr>
          <w:lang w:val="en-NZ"/>
        </w:rPr>
        <w:t>78.</w:t>
      </w:r>
      <w:r>
        <w:rPr>
          <w:lang w:val="en-NZ"/>
        </w:rPr>
        <w:tab/>
      </w:r>
      <w:r w:rsidR="007F6095" w:rsidRPr="007F6095">
        <w:rPr>
          <w:lang w:val="en-NZ"/>
        </w:rPr>
        <w:t>The Education and Training Act 2020 sets out education rights and obligations. There are no plans to enshrine the right to education in constitutional documents.</w:t>
      </w:r>
    </w:p>
    <w:p w14:paraId="3BD62087" w14:textId="127E71A5" w:rsidR="007F6095" w:rsidRPr="007F6095" w:rsidRDefault="00166BA2" w:rsidP="00166BA2">
      <w:pPr>
        <w:pStyle w:val="SingleTxtG"/>
        <w:rPr>
          <w:lang w:val="en-NZ"/>
        </w:rPr>
      </w:pPr>
      <w:r>
        <w:rPr>
          <w:lang w:val="en-NZ"/>
        </w:rPr>
        <w:t>79.</w:t>
      </w:r>
      <w:r>
        <w:rPr>
          <w:lang w:val="en-NZ"/>
        </w:rPr>
        <w:tab/>
      </w:r>
      <w:r w:rsidR="007F6095" w:rsidRPr="007F6095">
        <w:rPr>
          <w:lang w:val="en-NZ"/>
        </w:rPr>
        <w:t>New Zealand places a strong emphasis on early childhood education. Nearly all New Zealand children attend early childhood education services before starting school. There are no plans to make early childhood education compulsory for Māori, Pacific, and low-income families.</w:t>
      </w:r>
    </w:p>
    <w:p w14:paraId="4F9C7744" w14:textId="156052AF" w:rsidR="007F6095" w:rsidRPr="007F6095" w:rsidRDefault="00166BA2" w:rsidP="00166BA2">
      <w:pPr>
        <w:pStyle w:val="SingleTxtG"/>
        <w:rPr>
          <w:lang w:val="en-NZ"/>
        </w:rPr>
      </w:pPr>
      <w:r>
        <w:rPr>
          <w:lang w:val="en-NZ"/>
        </w:rPr>
        <w:t>80.</w:t>
      </w:r>
      <w:r>
        <w:rPr>
          <w:lang w:val="en-NZ"/>
        </w:rPr>
        <w:tab/>
      </w:r>
      <w:r w:rsidR="009C0BD8">
        <w:rPr>
          <w:b/>
          <w:bCs/>
          <w:lang w:val="en-NZ"/>
        </w:rPr>
        <w:t>N</w:t>
      </w:r>
      <w:r w:rsidR="007F6095" w:rsidRPr="007F6095">
        <w:rPr>
          <w:b/>
          <w:bCs/>
          <w:lang w:val="en-NZ"/>
        </w:rPr>
        <w:t>ote</w:t>
      </w:r>
      <w:r w:rsidR="009C0BD8">
        <w:rPr>
          <w:b/>
          <w:bCs/>
          <w:lang w:val="en-NZ"/>
        </w:rPr>
        <w:t>d:</w:t>
      </w:r>
      <w:r w:rsidR="007F6095" w:rsidRPr="007F6095">
        <w:rPr>
          <w:b/>
          <w:bCs/>
          <w:lang w:val="en-NZ"/>
        </w:rPr>
        <w:t xml:space="preserve"> </w:t>
      </w:r>
      <w:r w:rsidR="00894F5E">
        <w:rPr>
          <w:lang w:val="en-NZ"/>
        </w:rPr>
        <w:t>132.</w:t>
      </w:r>
      <w:r w:rsidR="007F6095" w:rsidRPr="007F6095">
        <w:rPr>
          <w:lang w:val="en-NZ"/>
        </w:rPr>
        <w:t>138</w:t>
      </w:r>
      <w:r w:rsidR="001B5CF8">
        <w:rPr>
          <w:lang w:val="en-NZ"/>
        </w:rPr>
        <w:t>–</w:t>
      </w:r>
      <w:r w:rsidR="007F6095" w:rsidRPr="007F6095">
        <w:rPr>
          <w:lang w:val="en-NZ"/>
        </w:rPr>
        <w:t>140,</w:t>
      </w:r>
      <w:r>
        <w:rPr>
          <w:lang w:val="en-NZ"/>
        </w:rPr>
        <w:t xml:space="preserve"> </w:t>
      </w:r>
      <w:r w:rsidR="00894F5E">
        <w:rPr>
          <w:lang w:val="en-NZ"/>
        </w:rPr>
        <w:t>132.</w:t>
      </w:r>
      <w:r w:rsidR="007F6095" w:rsidRPr="007F6095">
        <w:rPr>
          <w:lang w:val="en-NZ"/>
        </w:rPr>
        <w:t>149.</w:t>
      </w:r>
    </w:p>
    <w:p w14:paraId="40984146" w14:textId="7D94CEC9" w:rsidR="007F6095" w:rsidRPr="007F6095" w:rsidRDefault="00166BA2" w:rsidP="00166BA2">
      <w:pPr>
        <w:pStyle w:val="HChG"/>
        <w:rPr>
          <w:lang w:val="en-NZ"/>
        </w:rPr>
      </w:pPr>
      <w:r>
        <w:rPr>
          <w:lang w:val="en-NZ"/>
        </w:rPr>
        <w:tab/>
      </w:r>
      <w:r>
        <w:rPr>
          <w:lang w:val="en-NZ"/>
        </w:rPr>
        <w:tab/>
      </w:r>
      <w:r w:rsidR="007F6095" w:rsidRPr="007F6095">
        <w:rPr>
          <w:lang w:val="en-NZ"/>
        </w:rPr>
        <w:t>Environment</w:t>
      </w:r>
    </w:p>
    <w:p w14:paraId="2C0CDE8B" w14:textId="2B50C9C9" w:rsidR="007F6095" w:rsidRPr="007F6095" w:rsidRDefault="00166BA2" w:rsidP="00166BA2">
      <w:pPr>
        <w:pStyle w:val="SingleTxtG"/>
        <w:rPr>
          <w:lang w:val="en-NZ"/>
        </w:rPr>
      </w:pPr>
      <w:r>
        <w:rPr>
          <w:lang w:val="en-NZ"/>
        </w:rPr>
        <w:t>81.</w:t>
      </w:r>
      <w:r>
        <w:rPr>
          <w:lang w:val="en-NZ"/>
        </w:rPr>
        <w:tab/>
      </w:r>
      <w:r w:rsidR="007F6095" w:rsidRPr="007F6095">
        <w:rPr>
          <w:lang w:val="en-NZ"/>
        </w:rPr>
        <w:t>New Zealand acknowledges the importance of a healthy and sustainable environment for the enjoyment of human rights.</w:t>
      </w:r>
      <w:r w:rsidR="007F6095" w:rsidRPr="007F6095" w:rsidDel="116E43CE">
        <w:rPr>
          <w:lang w:val="en-NZ"/>
        </w:rPr>
        <w:t xml:space="preserve"> </w:t>
      </w:r>
      <w:r w:rsidR="007F6095" w:rsidRPr="007F6095">
        <w:rPr>
          <w:lang w:val="en-NZ"/>
        </w:rPr>
        <w:t>The Climate Change Response Act 2002 sets targets for emissions reduction. Ou</w:t>
      </w:r>
      <w:r w:rsidR="009C0BD8">
        <w:rPr>
          <w:lang w:val="en-NZ"/>
        </w:rPr>
        <w:t>r</w:t>
      </w:r>
      <w:r w:rsidR="007F6095" w:rsidRPr="007F6095">
        <w:rPr>
          <w:lang w:val="en-NZ"/>
        </w:rPr>
        <w:t xml:space="preserve"> second emissions reduction plan is being developed and will be released by the end of the year.</w:t>
      </w:r>
    </w:p>
    <w:p w14:paraId="25B00E26" w14:textId="7200498B" w:rsidR="007F6095" w:rsidRPr="007F6095" w:rsidRDefault="00166BA2" w:rsidP="00166BA2">
      <w:pPr>
        <w:pStyle w:val="SingleTxtG"/>
        <w:rPr>
          <w:lang w:val="en-NZ"/>
        </w:rPr>
      </w:pPr>
      <w:r>
        <w:rPr>
          <w:lang w:val="en-NZ"/>
        </w:rPr>
        <w:t>82.</w:t>
      </w:r>
      <w:r>
        <w:rPr>
          <w:lang w:val="en-NZ"/>
        </w:rPr>
        <w:tab/>
      </w:r>
      <w:r w:rsidR="009C0BD8">
        <w:rPr>
          <w:b/>
          <w:bCs/>
          <w:lang w:val="en-NZ"/>
        </w:rPr>
        <w:t>S</w:t>
      </w:r>
      <w:r w:rsidR="007F6095" w:rsidRPr="007F6095">
        <w:rPr>
          <w:b/>
          <w:bCs/>
          <w:lang w:val="en-NZ"/>
        </w:rPr>
        <w:t>upport</w:t>
      </w:r>
      <w:r w:rsidR="009C0BD8">
        <w:rPr>
          <w:b/>
          <w:bCs/>
          <w:lang w:val="en-NZ"/>
        </w:rPr>
        <w:t>ed:</w:t>
      </w:r>
      <w:r w:rsidR="007F6095" w:rsidRPr="007F6095">
        <w:rPr>
          <w:lang w:val="en-NZ"/>
        </w:rPr>
        <w:t xml:space="preserve"> </w:t>
      </w:r>
      <w:r w:rsidR="00894F5E">
        <w:rPr>
          <w:lang w:val="en-NZ"/>
        </w:rPr>
        <w:t>132.</w:t>
      </w:r>
      <w:r w:rsidR="007F6095" w:rsidRPr="007F6095">
        <w:rPr>
          <w:lang w:val="en-NZ"/>
        </w:rPr>
        <w:t>154</w:t>
      </w:r>
      <w:r w:rsidR="001B5CF8">
        <w:rPr>
          <w:lang w:val="en-NZ"/>
        </w:rPr>
        <w:t>,</w:t>
      </w:r>
      <w:r>
        <w:rPr>
          <w:lang w:val="en-NZ"/>
        </w:rPr>
        <w:t xml:space="preserve"> </w:t>
      </w:r>
      <w:r w:rsidR="00894F5E">
        <w:rPr>
          <w:lang w:val="en-NZ"/>
        </w:rPr>
        <w:t>132.</w:t>
      </w:r>
      <w:r w:rsidR="007F6095" w:rsidRPr="007F6095">
        <w:rPr>
          <w:lang w:val="en-NZ"/>
        </w:rPr>
        <w:t>156</w:t>
      </w:r>
      <w:r w:rsidR="001B5CF8">
        <w:rPr>
          <w:lang w:val="en-NZ"/>
        </w:rPr>
        <w:t>–</w:t>
      </w:r>
      <w:r w:rsidR="007F6095" w:rsidRPr="007F6095">
        <w:rPr>
          <w:lang w:val="en-NZ"/>
        </w:rPr>
        <w:t>159,</w:t>
      </w:r>
      <w:r>
        <w:rPr>
          <w:lang w:val="en-NZ"/>
        </w:rPr>
        <w:t xml:space="preserve"> </w:t>
      </w:r>
      <w:r w:rsidR="00894F5E">
        <w:rPr>
          <w:lang w:val="en-NZ"/>
        </w:rPr>
        <w:t>132.</w:t>
      </w:r>
      <w:r w:rsidR="007F6095" w:rsidRPr="007F6095">
        <w:rPr>
          <w:lang w:val="en-NZ"/>
        </w:rPr>
        <w:t>161.</w:t>
      </w:r>
    </w:p>
    <w:p w14:paraId="30CAFA04" w14:textId="1D6E1D85" w:rsidR="007F6095" w:rsidRPr="007F6095" w:rsidRDefault="00B625BF" w:rsidP="00166BA2">
      <w:pPr>
        <w:pStyle w:val="SingleTxtG"/>
        <w:rPr>
          <w:lang w:val="en-NZ"/>
        </w:rPr>
      </w:pPr>
      <w:r>
        <w:rPr>
          <w:lang w:val="en-NZ"/>
        </w:rPr>
        <w:t>83.</w:t>
      </w:r>
      <w:r>
        <w:rPr>
          <w:lang w:val="en-NZ"/>
        </w:rPr>
        <w:tab/>
      </w:r>
      <w:r w:rsidR="007F6095" w:rsidRPr="007F6095">
        <w:rPr>
          <w:lang w:val="en-NZ"/>
        </w:rPr>
        <w:t xml:space="preserve">New Zealand has no current plans to legislate the right to a clean, </w:t>
      </w:r>
      <w:proofErr w:type="gramStart"/>
      <w:r w:rsidR="007F6095" w:rsidRPr="007F6095">
        <w:rPr>
          <w:lang w:val="en-NZ"/>
        </w:rPr>
        <w:t>healthy</w:t>
      </w:r>
      <w:proofErr w:type="gramEnd"/>
      <w:r w:rsidR="007F6095" w:rsidRPr="007F6095">
        <w:rPr>
          <w:lang w:val="en-NZ"/>
        </w:rPr>
        <w:t xml:space="preserve"> and sustainable environment. We will, however, continue to implement other policies and programmes to enable a pathway to a clean, </w:t>
      </w:r>
      <w:proofErr w:type="gramStart"/>
      <w:r w:rsidR="007F6095" w:rsidRPr="007F6095">
        <w:rPr>
          <w:lang w:val="en-NZ"/>
        </w:rPr>
        <w:t>healthy</w:t>
      </w:r>
      <w:proofErr w:type="gramEnd"/>
      <w:r w:rsidR="007F6095" w:rsidRPr="007F6095">
        <w:rPr>
          <w:lang w:val="en-NZ"/>
        </w:rPr>
        <w:t xml:space="preserve"> and sustainable environment.</w:t>
      </w:r>
    </w:p>
    <w:p w14:paraId="1E1F9E5E" w14:textId="74261D93" w:rsidR="007F6095" w:rsidRPr="007F6095" w:rsidRDefault="00B625BF" w:rsidP="00166BA2">
      <w:pPr>
        <w:pStyle w:val="SingleTxtG"/>
        <w:rPr>
          <w:lang w:val="en-NZ"/>
        </w:rPr>
      </w:pPr>
      <w:r>
        <w:rPr>
          <w:lang w:val="en-NZ"/>
        </w:rPr>
        <w:t>84.</w:t>
      </w:r>
      <w:r>
        <w:rPr>
          <w:lang w:val="en-NZ"/>
        </w:rPr>
        <w:tab/>
      </w:r>
      <w:r w:rsidR="007F6095" w:rsidRPr="007F6095">
        <w:rPr>
          <w:lang w:val="en-NZ"/>
        </w:rPr>
        <w:t>New Zealand’s climate framework includes a specific biogenic methane target for 2050. We will continue to review this target to ensure it aligns with New Zealand’s unique emissions profile but cannot commit to a net zero target.</w:t>
      </w:r>
    </w:p>
    <w:p w14:paraId="5239B03D" w14:textId="6A595EB8" w:rsidR="007F6095" w:rsidRPr="007F6095" w:rsidRDefault="00B625BF" w:rsidP="00166BA2">
      <w:pPr>
        <w:pStyle w:val="SingleTxtG"/>
        <w:rPr>
          <w:lang w:val="en-NZ"/>
        </w:rPr>
      </w:pPr>
      <w:r>
        <w:rPr>
          <w:lang w:val="en-NZ"/>
        </w:rPr>
        <w:t>85.</w:t>
      </w:r>
      <w:r>
        <w:rPr>
          <w:lang w:val="en-NZ"/>
        </w:rPr>
        <w:tab/>
      </w:r>
      <w:r w:rsidR="007F6095" w:rsidRPr="007F6095">
        <w:rPr>
          <w:lang w:val="en-NZ"/>
        </w:rPr>
        <w:t>We will continue to deliver our current climate finance commitment ($1.3b 2022-2025) of which $800m was new and additional finance. A decision on New Zealand’s next commitment will be made before the end of 2025.</w:t>
      </w:r>
    </w:p>
    <w:p w14:paraId="2DCAF2B9" w14:textId="46662995" w:rsidR="007F6095" w:rsidRPr="007F6095" w:rsidRDefault="00B625BF" w:rsidP="00166BA2">
      <w:pPr>
        <w:pStyle w:val="SingleTxtG"/>
        <w:rPr>
          <w:lang w:val="en-NZ"/>
        </w:rPr>
      </w:pPr>
      <w:r>
        <w:rPr>
          <w:lang w:val="en-NZ"/>
        </w:rPr>
        <w:t>86.</w:t>
      </w:r>
      <w:r>
        <w:rPr>
          <w:lang w:val="en-NZ"/>
        </w:rPr>
        <w:tab/>
      </w:r>
      <w:r w:rsidR="009C0BD8">
        <w:rPr>
          <w:b/>
          <w:bCs/>
          <w:lang w:val="en-NZ"/>
        </w:rPr>
        <w:t>N</w:t>
      </w:r>
      <w:r w:rsidR="007F6095" w:rsidRPr="007F6095">
        <w:rPr>
          <w:b/>
          <w:bCs/>
          <w:lang w:val="en-NZ"/>
        </w:rPr>
        <w:t>ote</w:t>
      </w:r>
      <w:r w:rsidR="009C0BD8">
        <w:rPr>
          <w:b/>
          <w:bCs/>
          <w:lang w:val="en-NZ"/>
        </w:rPr>
        <w:t>d:</w:t>
      </w:r>
      <w:r w:rsidR="007F6095" w:rsidRPr="007F6095">
        <w:rPr>
          <w:lang w:val="en-NZ"/>
        </w:rPr>
        <w:t xml:space="preserve"> </w:t>
      </w:r>
      <w:r w:rsidR="00894F5E">
        <w:rPr>
          <w:lang w:val="en-NZ"/>
        </w:rPr>
        <w:t>132.</w:t>
      </w:r>
      <w:r w:rsidR="007F6095" w:rsidRPr="007F6095">
        <w:rPr>
          <w:lang w:val="en-NZ"/>
        </w:rPr>
        <w:t>152</w:t>
      </w:r>
      <w:r w:rsidR="001B5CF8">
        <w:rPr>
          <w:lang w:val="en-NZ"/>
        </w:rPr>
        <w:t>–</w:t>
      </w:r>
      <w:r w:rsidR="007F6095" w:rsidRPr="007F6095">
        <w:rPr>
          <w:lang w:val="en-NZ"/>
        </w:rPr>
        <w:t>153,</w:t>
      </w:r>
      <w:r>
        <w:rPr>
          <w:lang w:val="en-NZ"/>
        </w:rPr>
        <w:t xml:space="preserve"> </w:t>
      </w:r>
      <w:r w:rsidR="00894F5E">
        <w:rPr>
          <w:lang w:val="en-NZ"/>
        </w:rPr>
        <w:t>132.</w:t>
      </w:r>
      <w:r w:rsidR="007F6095" w:rsidRPr="007F6095">
        <w:rPr>
          <w:lang w:val="en-NZ"/>
        </w:rPr>
        <w:t>155,</w:t>
      </w:r>
      <w:r>
        <w:rPr>
          <w:lang w:val="en-NZ"/>
        </w:rPr>
        <w:t xml:space="preserve"> </w:t>
      </w:r>
      <w:r w:rsidR="003A5A25">
        <w:rPr>
          <w:lang w:val="en-NZ"/>
        </w:rPr>
        <w:t>132.</w:t>
      </w:r>
      <w:r w:rsidR="007F6095" w:rsidRPr="007F6095">
        <w:rPr>
          <w:lang w:val="en-NZ"/>
        </w:rPr>
        <w:t>160.</w:t>
      </w:r>
    </w:p>
    <w:p w14:paraId="5DCE6D29" w14:textId="44161A24" w:rsidR="007F6095" w:rsidRPr="007F6095" w:rsidRDefault="00B625BF" w:rsidP="00B625BF">
      <w:pPr>
        <w:pStyle w:val="HChG"/>
        <w:rPr>
          <w:lang w:val="en-NZ"/>
        </w:rPr>
      </w:pPr>
      <w:r>
        <w:rPr>
          <w:lang w:val="en-NZ"/>
        </w:rPr>
        <w:lastRenderedPageBreak/>
        <w:tab/>
      </w:r>
      <w:r>
        <w:rPr>
          <w:lang w:val="en-NZ"/>
        </w:rPr>
        <w:tab/>
      </w:r>
      <w:r w:rsidR="007F6095" w:rsidRPr="007F6095">
        <w:rPr>
          <w:lang w:val="en-NZ"/>
        </w:rPr>
        <w:t>Women</w:t>
      </w:r>
    </w:p>
    <w:p w14:paraId="533EA273" w14:textId="51D32B4B" w:rsidR="007F6095" w:rsidRPr="007F6095" w:rsidRDefault="00B625BF" w:rsidP="00B625BF">
      <w:pPr>
        <w:pStyle w:val="SingleTxtG"/>
        <w:rPr>
          <w:lang w:val="en-NZ"/>
        </w:rPr>
      </w:pPr>
      <w:r>
        <w:rPr>
          <w:lang w:val="en-NZ"/>
        </w:rPr>
        <w:t>87.</w:t>
      </w:r>
      <w:r>
        <w:rPr>
          <w:lang w:val="en-NZ"/>
        </w:rPr>
        <w:tab/>
      </w:r>
      <w:r w:rsidR="007F6095" w:rsidRPr="007F6095">
        <w:rPr>
          <w:lang w:val="en-NZ"/>
        </w:rPr>
        <w:t>New Zealand continues to make progress in the number of women in leadership positions in both the public and private sectors. The Government will continue to support women into leadership and monitor progress throughout the reporting period.</w:t>
      </w:r>
    </w:p>
    <w:p w14:paraId="6298A1D9" w14:textId="699987E1" w:rsidR="007F6095" w:rsidRPr="007F6095" w:rsidRDefault="00B625BF" w:rsidP="00B625BF">
      <w:pPr>
        <w:pStyle w:val="SingleTxtG"/>
        <w:rPr>
          <w:lang w:val="en-NZ"/>
        </w:rPr>
      </w:pPr>
      <w:r>
        <w:rPr>
          <w:lang w:val="en-NZ"/>
        </w:rPr>
        <w:t>88.</w:t>
      </w:r>
      <w:r>
        <w:rPr>
          <w:lang w:val="en-NZ"/>
        </w:rPr>
        <w:tab/>
      </w:r>
      <w:r w:rsidR="009C0BD8">
        <w:rPr>
          <w:b/>
          <w:bCs/>
          <w:lang w:val="en-NZ"/>
        </w:rPr>
        <w:t>S</w:t>
      </w:r>
      <w:r w:rsidR="007F6095" w:rsidRPr="007F6095">
        <w:rPr>
          <w:b/>
          <w:bCs/>
          <w:lang w:val="en-NZ"/>
        </w:rPr>
        <w:t>upport</w:t>
      </w:r>
      <w:r w:rsidR="009C0BD8">
        <w:rPr>
          <w:b/>
          <w:bCs/>
          <w:lang w:val="en-NZ"/>
        </w:rPr>
        <w:t>ed:</w:t>
      </w:r>
      <w:r w:rsidR="007F6095" w:rsidRPr="007F6095">
        <w:rPr>
          <w:b/>
          <w:bCs/>
          <w:lang w:val="en-NZ"/>
        </w:rPr>
        <w:t xml:space="preserve"> </w:t>
      </w:r>
      <w:r w:rsidR="00894F5E">
        <w:rPr>
          <w:lang w:val="en-NZ"/>
        </w:rPr>
        <w:t>132.</w:t>
      </w:r>
      <w:r w:rsidR="007F6095" w:rsidRPr="007F6095">
        <w:rPr>
          <w:lang w:val="en-NZ"/>
        </w:rPr>
        <w:t>168</w:t>
      </w:r>
      <w:r w:rsidR="001B5CF8">
        <w:rPr>
          <w:lang w:val="en-NZ"/>
        </w:rPr>
        <w:t>–</w:t>
      </w:r>
      <w:r w:rsidR="007F6095" w:rsidRPr="007F6095">
        <w:rPr>
          <w:lang w:val="en-NZ"/>
        </w:rPr>
        <w:t>169.</w:t>
      </w:r>
    </w:p>
    <w:p w14:paraId="6ED320F2" w14:textId="4C8A3D72" w:rsidR="007F6095" w:rsidRPr="007F6095" w:rsidRDefault="00B625BF" w:rsidP="00B625BF">
      <w:pPr>
        <w:pStyle w:val="SingleTxtG"/>
        <w:rPr>
          <w:lang w:val="en-NZ"/>
        </w:rPr>
      </w:pPr>
      <w:r>
        <w:rPr>
          <w:lang w:val="en-NZ"/>
        </w:rPr>
        <w:t>89.</w:t>
      </w:r>
      <w:r>
        <w:rPr>
          <w:lang w:val="en-NZ"/>
        </w:rPr>
        <w:tab/>
      </w:r>
      <w:r w:rsidR="007F6095" w:rsidRPr="007F6095">
        <w:rPr>
          <w:lang w:val="en-NZ"/>
        </w:rPr>
        <w:t>We are committed to eradicating family and sexual violence and all forms of gender-based violence in New Zealand. As noted above New Zealand is currently developing its second Action Plan to eliminate family violence and sexual violence.</w:t>
      </w:r>
    </w:p>
    <w:p w14:paraId="34A3DDAC" w14:textId="6659018F" w:rsidR="007F6095" w:rsidRPr="007F6095" w:rsidRDefault="00B625BF" w:rsidP="00B625BF">
      <w:pPr>
        <w:pStyle w:val="SingleTxtG"/>
        <w:rPr>
          <w:lang w:val="en-NZ"/>
        </w:rPr>
      </w:pPr>
      <w:r>
        <w:rPr>
          <w:lang w:val="en-NZ"/>
        </w:rPr>
        <w:t>90.</w:t>
      </w:r>
      <w:r>
        <w:rPr>
          <w:lang w:val="en-NZ"/>
        </w:rPr>
        <w:tab/>
      </w:r>
      <w:r w:rsidR="007F6095" w:rsidRPr="007F6095">
        <w:rPr>
          <w:lang w:val="en-NZ"/>
        </w:rPr>
        <w:t>New Zealand is also currently progressing two Bills to make improvements to victims’ experience of court processes, helping to bring more perpetrators to justice.</w:t>
      </w:r>
    </w:p>
    <w:p w14:paraId="66AA1BB3" w14:textId="1C89924B" w:rsidR="007F6095" w:rsidRPr="007F6095" w:rsidRDefault="00B625BF" w:rsidP="00B625BF">
      <w:pPr>
        <w:pStyle w:val="SingleTxtG"/>
        <w:rPr>
          <w:lang w:val="en-NZ"/>
        </w:rPr>
      </w:pPr>
      <w:r>
        <w:rPr>
          <w:lang w:val="en-NZ"/>
        </w:rPr>
        <w:t>91.</w:t>
      </w:r>
      <w:r>
        <w:rPr>
          <w:lang w:val="en-NZ"/>
        </w:rPr>
        <w:tab/>
      </w:r>
      <w:r w:rsidR="009C0BD8">
        <w:rPr>
          <w:b/>
          <w:bCs/>
          <w:lang w:val="en-NZ"/>
        </w:rPr>
        <w:t>S</w:t>
      </w:r>
      <w:r w:rsidR="007F6095" w:rsidRPr="007F6095">
        <w:rPr>
          <w:b/>
          <w:bCs/>
          <w:lang w:val="en-NZ"/>
        </w:rPr>
        <w:t>upport</w:t>
      </w:r>
      <w:r w:rsidR="009C0BD8">
        <w:rPr>
          <w:b/>
          <w:bCs/>
          <w:lang w:val="en-NZ"/>
        </w:rPr>
        <w:t>ed:</w:t>
      </w:r>
      <w:r w:rsidR="007F6095" w:rsidRPr="007F6095">
        <w:rPr>
          <w:lang w:val="en-NZ"/>
        </w:rPr>
        <w:t xml:space="preserve"> </w:t>
      </w:r>
      <w:r w:rsidR="00894F5E">
        <w:rPr>
          <w:lang w:val="en-NZ"/>
        </w:rPr>
        <w:t>132.</w:t>
      </w:r>
      <w:r w:rsidR="007F6095" w:rsidRPr="007F6095">
        <w:rPr>
          <w:lang w:val="en-NZ"/>
        </w:rPr>
        <w:t>171</w:t>
      </w:r>
      <w:r w:rsidR="001B5CF8">
        <w:rPr>
          <w:lang w:val="en-NZ"/>
        </w:rPr>
        <w:t>–</w:t>
      </w:r>
      <w:r w:rsidR="007F6095" w:rsidRPr="007F6095">
        <w:rPr>
          <w:lang w:val="en-NZ"/>
        </w:rPr>
        <w:t>196.</w:t>
      </w:r>
    </w:p>
    <w:p w14:paraId="36ED93A9" w14:textId="35B77FEE" w:rsidR="007F6095" w:rsidRPr="007F6095" w:rsidRDefault="00B625BF" w:rsidP="00B625BF">
      <w:pPr>
        <w:pStyle w:val="SingleTxtG"/>
        <w:rPr>
          <w:lang w:val="en-NZ"/>
        </w:rPr>
      </w:pPr>
      <w:r>
        <w:rPr>
          <w:lang w:val="en-NZ"/>
        </w:rPr>
        <w:t>92.</w:t>
      </w:r>
      <w:r>
        <w:rPr>
          <w:lang w:val="en-NZ"/>
        </w:rPr>
        <w:tab/>
      </w:r>
      <w:r w:rsidR="007F6095" w:rsidRPr="007F6095">
        <w:rPr>
          <w:lang w:val="en-NZ"/>
        </w:rPr>
        <w:t>New Zealand will continue to take steps to ensure the safety of women and eliminate discrimination. However, we cannot commit to the broad recommendation of ensuring access to single-sex spaces without further consideration of any implications this may have on the rights of other groups or individuals.</w:t>
      </w:r>
    </w:p>
    <w:p w14:paraId="543064CC" w14:textId="73E59593" w:rsidR="007F6095" w:rsidRPr="007F6095" w:rsidRDefault="00A05A27" w:rsidP="00B625BF">
      <w:pPr>
        <w:pStyle w:val="SingleTxtG"/>
        <w:rPr>
          <w:lang w:val="en-NZ"/>
        </w:rPr>
      </w:pPr>
      <w:r>
        <w:rPr>
          <w:lang w:val="en-NZ"/>
        </w:rPr>
        <w:t>93.</w:t>
      </w:r>
      <w:r>
        <w:rPr>
          <w:lang w:val="en-NZ"/>
        </w:rPr>
        <w:tab/>
      </w:r>
      <w:r w:rsidR="009C0BD8">
        <w:rPr>
          <w:b/>
          <w:bCs/>
          <w:lang w:val="en-NZ"/>
        </w:rPr>
        <w:t>S</w:t>
      </w:r>
      <w:r w:rsidR="007F6095" w:rsidRPr="007F6095">
        <w:rPr>
          <w:b/>
          <w:bCs/>
          <w:lang w:val="en-NZ"/>
        </w:rPr>
        <w:t>upport</w:t>
      </w:r>
      <w:r w:rsidR="009C0BD8">
        <w:rPr>
          <w:b/>
          <w:bCs/>
          <w:lang w:val="en-NZ"/>
        </w:rPr>
        <w:t>ed</w:t>
      </w:r>
      <w:r w:rsidR="007F6095" w:rsidRPr="007F6095">
        <w:rPr>
          <w:b/>
          <w:bCs/>
          <w:lang w:val="en-NZ"/>
        </w:rPr>
        <w:t xml:space="preserve"> in part</w:t>
      </w:r>
      <w:r w:rsidR="009C0BD8">
        <w:rPr>
          <w:b/>
          <w:bCs/>
          <w:lang w:val="en-NZ"/>
        </w:rPr>
        <w:t>:</w:t>
      </w:r>
      <w:r w:rsidR="007F6095" w:rsidRPr="007F6095">
        <w:rPr>
          <w:lang w:val="en-NZ"/>
        </w:rPr>
        <w:t xml:space="preserve"> </w:t>
      </w:r>
      <w:r w:rsidR="00894F5E">
        <w:rPr>
          <w:lang w:val="en-NZ"/>
        </w:rPr>
        <w:t>132.</w:t>
      </w:r>
      <w:r w:rsidR="007F6095" w:rsidRPr="007F6095">
        <w:rPr>
          <w:lang w:val="en-NZ"/>
        </w:rPr>
        <w:t>170.</w:t>
      </w:r>
    </w:p>
    <w:p w14:paraId="5DDF059A" w14:textId="3BD89F64" w:rsidR="007F6095" w:rsidRPr="007F6095" w:rsidRDefault="00A05A27" w:rsidP="00A05A27">
      <w:pPr>
        <w:pStyle w:val="HChG"/>
        <w:rPr>
          <w:lang w:val="en-NZ"/>
        </w:rPr>
      </w:pPr>
      <w:r>
        <w:rPr>
          <w:lang w:val="en-NZ"/>
        </w:rPr>
        <w:tab/>
      </w:r>
      <w:r>
        <w:rPr>
          <w:lang w:val="en-NZ"/>
        </w:rPr>
        <w:tab/>
      </w:r>
      <w:r w:rsidR="007F6095" w:rsidRPr="007F6095">
        <w:rPr>
          <w:lang w:val="en-NZ"/>
        </w:rPr>
        <w:t>Persons with disabilities</w:t>
      </w:r>
    </w:p>
    <w:p w14:paraId="61D03B16" w14:textId="753BE78A" w:rsidR="007F6095" w:rsidRPr="007F6095" w:rsidRDefault="00A05A27" w:rsidP="00A05A27">
      <w:pPr>
        <w:pStyle w:val="SingleTxtG"/>
        <w:rPr>
          <w:lang w:val="en-NZ"/>
        </w:rPr>
      </w:pPr>
      <w:r>
        <w:rPr>
          <w:lang w:val="en-NZ"/>
        </w:rPr>
        <w:t>94.</w:t>
      </w:r>
      <w:r>
        <w:rPr>
          <w:lang w:val="en-NZ"/>
        </w:rPr>
        <w:tab/>
      </w:r>
      <w:r w:rsidR="007F6095" w:rsidRPr="007F6095">
        <w:rPr>
          <w:lang w:val="en-NZ"/>
        </w:rPr>
        <w:t>New Zealand is committed to reducing barriers for persons with disabilities and to improving outcomes across all key indicators. The Disability Strategy 2016–2026 guides the Government’s work and the implementation of the Convention on the Rights of Persons with Disabilities (CRPD).</w:t>
      </w:r>
    </w:p>
    <w:p w14:paraId="664456A1" w14:textId="5A890002" w:rsidR="007F6095" w:rsidRPr="007F6095" w:rsidRDefault="00A05A27" w:rsidP="00A05A27">
      <w:pPr>
        <w:pStyle w:val="SingleTxtG"/>
        <w:rPr>
          <w:lang w:val="en-NZ"/>
        </w:rPr>
      </w:pPr>
      <w:r>
        <w:rPr>
          <w:lang w:val="en-NZ"/>
        </w:rPr>
        <w:t>95.</w:t>
      </w:r>
      <w:r>
        <w:rPr>
          <w:lang w:val="en-NZ"/>
        </w:rPr>
        <w:tab/>
      </w:r>
      <w:r w:rsidR="007F6095" w:rsidRPr="007F6095">
        <w:rPr>
          <w:lang w:val="en-NZ"/>
        </w:rPr>
        <w:t>We are improving data collection and monitoring to better understand the extent of non-consensual sterilisation of persons with disabilities in New Zealand.</w:t>
      </w:r>
    </w:p>
    <w:p w14:paraId="621F4E44" w14:textId="588C62AA" w:rsidR="007F6095" w:rsidRPr="007F6095" w:rsidRDefault="00A05A27" w:rsidP="00A05A27">
      <w:pPr>
        <w:pStyle w:val="SingleTxtG"/>
        <w:rPr>
          <w:lang w:val="en-NZ"/>
        </w:rPr>
      </w:pPr>
      <w:r>
        <w:rPr>
          <w:lang w:val="en-NZ"/>
        </w:rPr>
        <w:t>96.</w:t>
      </w:r>
      <w:r>
        <w:rPr>
          <w:lang w:val="en-NZ"/>
        </w:rPr>
        <w:tab/>
      </w:r>
      <w:r w:rsidR="009C0BD8">
        <w:rPr>
          <w:b/>
          <w:bCs/>
          <w:lang w:val="en-NZ"/>
        </w:rPr>
        <w:t>S</w:t>
      </w:r>
      <w:r w:rsidR="007F6095" w:rsidRPr="007F6095">
        <w:rPr>
          <w:b/>
          <w:bCs/>
          <w:lang w:val="en-NZ"/>
        </w:rPr>
        <w:t>upport</w:t>
      </w:r>
      <w:r w:rsidR="009C0BD8">
        <w:rPr>
          <w:b/>
          <w:bCs/>
          <w:lang w:val="en-NZ"/>
        </w:rPr>
        <w:t>ed:</w:t>
      </w:r>
      <w:r w:rsidR="007F6095" w:rsidRPr="007F6095">
        <w:rPr>
          <w:b/>
          <w:bCs/>
          <w:lang w:val="en-NZ"/>
        </w:rPr>
        <w:t xml:space="preserve"> </w:t>
      </w:r>
      <w:r w:rsidR="00055E75">
        <w:rPr>
          <w:lang w:val="en-NZ"/>
        </w:rPr>
        <w:t>132.</w:t>
      </w:r>
      <w:r w:rsidR="007F6095" w:rsidRPr="007F6095">
        <w:rPr>
          <w:lang w:val="en-NZ"/>
        </w:rPr>
        <w:t>213</w:t>
      </w:r>
      <w:r w:rsidR="001B5CF8">
        <w:rPr>
          <w:lang w:val="en-NZ"/>
        </w:rPr>
        <w:t>–</w:t>
      </w:r>
      <w:r w:rsidR="007F6095" w:rsidRPr="007F6095">
        <w:rPr>
          <w:lang w:val="en-NZ"/>
        </w:rPr>
        <w:t xml:space="preserve">218, </w:t>
      </w:r>
      <w:r w:rsidR="00055E75">
        <w:rPr>
          <w:lang w:val="en-NZ"/>
        </w:rPr>
        <w:t>132.</w:t>
      </w:r>
      <w:r w:rsidR="007F6095" w:rsidRPr="007F6095">
        <w:rPr>
          <w:lang w:val="en-NZ"/>
        </w:rPr>
        <w:t>220.</w:t>
      </w:r>
    </w:p>
    <w:p w14:paraId="3A28E382" w14:textId="5095FB12" w:rsidR="007F6095" w:rsidRPr="007F6095" w:rsidRDefault="00A05A27" w:rsidP="00A05A27">
      <w:pPr>
        <w:pStyle w:val="SingleTxtG"/>
        <w:rPr>
          <w:lang w:val="en-NZ"/>
        </w:rPr>
      </w:pPr>
      <w:r>
        <w:rPr>
          <w:lang w:val="en-NZ"/>
        </w:rPr>
        <w:t>97.</w:t>
      </w:r>
      <w:r>
        <w:rPr>
          <w:lang w:val="en-NZ"/>
        </w:rPr>
        <w:tab/>
      </w:r>
      <w:r w:rsidR="007F6095" w:rsidRPr="007F6095">
        <w:rPr>
          <w:lang w:val="en-NZ"/>
        </w:rPr>
        <w:t>New legislation for compulsory mental health treatment and care is being developed and is intended to follow a human-rights based approach, supporting greater alignment with the CRPD. However, we cannot guarantee the final form of the legislation as that is a Parliamentary decision.</w:t>
      </w:r>
    </w:p>
    <w:p w14:paraId="7A42ACA7" w14:textId="0F9A6C13" w:rsidR="007F6095" w:rsidRPr="007F6095" w:rsidRDefault="00A05A27" w:rsidP="00A05A27">
      <w:pPr>
        <w:pStyle w:val="SingleTxtG"/>
        <w:rPr>
          <w:lang w:val="en-NZ"/>
        </w:rPr>
      </w:pPr>
      <w:r>
        <w:rPr>
          <w:lang w:val="en-NZ"/>
        </w:rPr>
        <w:t>98.</w:t>
      </w:r>
      <w:r>
        <w:rPr>
          <w:lang w:val="en-NZ"/>
        </w:rPr>
        <w:tab/>
      </w:r>
      <w:r w:rsidR="009C0BD8">
        <w:rPr>
          <w:b/>
          <w:bCs/>
          <w:lang w:val="en-NZ"/>
        </w:rPr>
        <w:t>N</w:t>
      </w:r>
      <w:r w:rsidR="007F6095" w:rsidRPr="007F6095">
        <w:rPr>
          <w:b/>
          <w:bCs/>
          <w:lang w:val="en-NZ"/>
        </w:rPr>
        <w:t>ote</w:t>
      </w:r>
      <w:r w:rsidR="009C0BD8">
        <w:rPr>
          <w:b/>
          <w:bCs/>
          <w:lang w:val="en-NZ"/>
        </w:rPr>
        <w:t>d:</w:t>
      </w:r>
      <w:r w:rsidR="007F6095" w:rsidRPr="007F6095">
        <w:rPr>
          <w:lang w:val="en-NZ"/>
        </w:rPr>
        <w:t xml:space="preserve"> </w:t>
      </w:r>
      <w:r w:rsidR="00055E75">
        <w:rPr>
          <w:lang w:val="en-NZ"/>
        </w:rPr>
        <w:t>132.</w:t>
      </w:r>
      <w:r w:rsidR="007F6095" w:rsidRPr="007F6095">
        <w:rPr>
          <w:lang w:val="en-NZ"/>
        </w:rPr>
        <w:t>219.</w:t>
      </w:r>
    </w:p>
    <w:p w14:paraId="6AE68411" w14:textId="462DFEF6" w:rsidR="007F6095" w:rsidRPr="007F6095" w:rsidRDefault="00A05A27" w:rsidP="00A05A27">
      <w:pPr>
        <w:pStyle w:val="HChG"/>
        <w:rPr>
          <w:lang w:val="en-NZ"/>
        </w:rPr>
      </w:pPr>
      <w:r>
        <w:rPr>
          <w:lang w:val="en-NZ"/>
        </w:rPr>
        <w:tab/>
      </w:r>
      <w:r>
        <w:rPr>
          <w:lang w:val="en-NZ"/>
        </w:rPr>
        <w:tab/>
      </w:r>
      <w:r w:rsidR="007F6095" w:rsidRPr="007F6095">
        <w:rPr>
          <w:lang w:val="en-NZ"/>
        </w:rPr>
        <w:t>Older persons</w:t>
      </w:r>
    </w:p>
    <w:p w14:paraId="286574B1" w14:textId="09093A65" w:rsidR="007F6095" w:rsidRPr="007F6095" w:rsidRDefault="00A05A27" w:rsidP="00A05A27">
      <w:pPr>
        <w:pStyle w:val="SingleTxtG"/>
        <w:rPr>
          <w:lang w:val="en-NZ"/>
        </w:rPr>
      </w:pPr>
      <w:r>
        <w:rPr>
          <w:lang w:val="en-NZ"/>
        </w:rPr>
        <w:t>99.</w:t>
      </w:r>
      <w:r>
        <w:rPr>
          <w:lang w:val="en-NZ"/>
        </w:rPr>
        <w:tab/>
      </w:r>
      <w:r w:rsidR="007F6095" w:rsidRPr="007F6095">
        <w:rPr>
          <w:lang w:val="en-NZ"/>
        </w:rPr>
        <w:t>New Zealand will be building a national population-level dataset on the prevalence of abuse of older people to inform the direction of future investments and actions. Early findings are expected in late 2024.</w:t>
      </w:r>
    </w:p>
    <w:p w14:paraId="77C74EF5" w14:textId="25C7D430" w:rsidR="007F6095" w:rsidRPr="007F6095" w:rsidRDefault="00A05A27" w:rsidP="00A05A27">
      <w:pPr>
        <w:pStyle w:val="SingleTxtG"/>
        <w:rPr>
          <w:lang w:val="en-NZ"/>
        </w:rPr>
      </w:pPr>
      <w:r>
        <w:rPr>
          <w:lang w:val="en-NZ"/>
        </w:rPr>
        <w:t>100.</w:t>
      </w:r>
      <w:r>
        <w:rPr>
          <w:lang w:val="en-NZ"/>
        </w:rPr>
        <w:tab/>
      </w:r>
      <w:r w:rsidR="009C0BD8">
        <w:rPr>
          <w:b/>
          <w:lang w:val="en-NZ"/>
        </w:rPr>
        <w:t>S</w:t>
      </w:r>
      <w:r w:rsidR="007F6095" w:rsidRPr="007F6095">
        <w:rPr>
          <w:b/>
          <w:lang w:val="en-NZ"/>
        </w:rPr>
        <w:t>upport</w:t>
      </w:r>
      <w:r w:rsidR="009C0BD8">
        <w:rPr>
          <w:b/>
          <w:lang w:val="en-NZ"/>
        </w:rPr>
        <w:t>ed:</w:t>
      </w:r>
      <w:r w:rsidR="007F6095" w:rsidRPr="007F6095">
        <w:rPr>
          <w:lang w:val="en-NZ"/>
        </w:rPr>
        <w:t xml:space="preserve"> </w:t>
      </w:r>
      <w:r w:rsidR="00055E75">
        <w:rPr>
          <w:lang w:val="en-NZ"/>
        </w:rPr>
        <w:t>132.</w:t>
      </w:r>
      <w:r w:rsidR="007F6095" w:rsidRPr="007F6095">
        <w:rPr>
          <w:lang w:val="en-NZ"/>
        </w:rPr>
        <w:t>211</w:t>
      </w:r>
      <w:r w:rsidR="001B5CF8">
        <w:rPr>
          <w:lang w:val="en-NZ"/>
        </w:rPr>
        <w:t>–</w:t>
      </w:r>
      <w:r w:rsidR="007F6095" w:rsidRPr="007F6095">
        <w:rPr>
          <w:lang w:val="en-NZ"/>
        </w:rPr>
        <w:t>212.</w:t>
      </w:r>
    </w:p>
    <w:p w14:paraId="342D0FC1" w14:textId="6710293E" w:rsidR="007F6095" w:rsidRPr="007F6095" w:rsidRDefault="00A05A27" w:rsidP="00A05A27">
      <w:pPr>
        <w:pStyle w:val="HChG"/>
        <w:rPr>
          <w:lang w:val="en-NZ"/>
        </w:rPr>
      </w:pPr>
      <w:r>
        <w:rPr>
          <w:lang w:val="en-NZ"/>
        </w:rPr>
        <w:tab/>
      </w:r>
      <w:r>
        <w:rPr>
          <w:lang w:val="en-NZ"/>
        </w:rPr>
        <w:tab/>
      </w:r>
      <w:r w:rsidR="007F6095" w:rsidRPr="007F6095">
        <w:rPr>
          <w:lang w:val="en-NZ"/>
        </w:rPr>
        <w:t>Indigenous rights and ethnic minorities</w:t>
      </w:r>
    </w:p>
    <w:p w14:paraId="3FC2379B" w14:textId="667D3BFA" w:rsidR="007F6095" w:rsidRPr="007F6095" w:rsidRDefault="00A05A27" w:rsidP="00A05A27">
      <w:pPr>
        <w:pStyle w:val="SingleTxtG"/>
        <w:rPr>
          <w:lang w:val="en-NZ"/>
        </w:rPr>
      </w:pPr>
      <w:r>
        <w:rPr>
          <w:lang w:val="en-NZ"/>
        </w:rPr>
        <w:t>101.</w:t>
      </w:r>
      <w:r>
        <w:rPr>
          <w:lang w:val="en-NZ"/>
        </w:rPr>
        <w:tab/>
      </w:r>
      <w:r w:rsidR="007F6095" w:rsidRPr="007F6095">
        <w:rPr>
          <w:lang w:val="en-NZ"/>
        </w:rPr>
        <w:t xml:space="preserve">New Zealand continues to focus on reducing disparities for </w:t>
      </w:r>
      <w:bookmarkStart w:id="3" w:name="_Hlk4491281"/>
      <w:r w:rsidR="007F6095" w:rsidRPr="007F6095">
        <w:rPr>
          <w:lang w:val="en-NZ"/>
        </w:rPr>
        <w:t xml:space="preserve">Māori </w:t>
      </w:r>
      <w:bookmarkEnd w:id="3"/>
      <w:r w:rsidR="007F6095" w:rsidRPr="007F6095">
        <w:rPr>
          <w:lang w:val="en-NZ"/>
        </w:rPr>
        <w:t>and other ethnicities through targeted programmes of work. Initiatives aimed at reducing material hardship, increasing the availability of adequate housing, and supporting people into work will also benefit population groups including Māori, Pacific and ethnic communities.</w:t>
      </w:r>
    </w:p>
    <w:p w14:paraId="4A77F66B" w14:textId="3DF6F7F2" w:rsidR="007F6095" w:rsidRPr="007F6095" w:rsidRDefault="00A05A27" w:rsidP="00A05A27">
      <w:pPr>
        <w:pStyle w:val="SingleTxtG"/>
        <w:rPr>
          <w:lang w:val="en-NZ"/>
        </w:rPr>
      </w:pPr>
      <w:r>
        <w:rPr>
          <w:lang w:val="en-NZ"/>
        </w:rPr>
        <w:t>102.</w:t>
      </w:r>
      <w:r>
        <w:rPr>
          <w:lang w:val="en-NZ"/>
        </w:rPr>
        <w:tab/>
      </w:r>
      <w:r w:rsidR="007F6095" w:rsidRPr="007F6095">
        <w:rPr>
          <w:lang w:val="en-NZ"/>
        </w:rPr>
        <w:t xml:space="preserve">We are committed to promoting and revitalising </w:t>
      </w:r>
      <w:proofErr w:type="spellStart"/>
      <w:r w:rsidR="007F6095" w:rsidRPr="007F6095">
        <w:rPr>
          <w:lang w:val="en-NZ"/>
        </w:rPr>
        <w:t>Te</w:t>
      </w:r>
      <w:proofErr w:type="spellEnd"/>
      <w:r w:rsidR="007F6095" w:rsidRPr="007F6095">
        <w:rPr>
          <w:lang w:val="en-NZ"/>
        </w:rPr>
        <w:t xml:space="preserve"> </w:t>
      </w:r>
      <w:proofErr w:type="spellStart"/>
      <w:r w:rsidR="007F6095" w:rsidRPr="007F6095">
        <w:rPr>
          <w:lang w:val="en-NZ"/>
        </w:rPr>
        <w:t>Reo</w:t>
      </w:r>
      <w:proofErr w:type="spellEnd"/>
      <w:r w:rsidR="007F6095" w:rsidRPr="007F6095">
        <w:rPr>
          <w:lang w:val="en-NZ"/>
        </w:rPr>
        <w:t xml:space="preserve"> Māori and continuing to strengthen the Māori Language Act 2016.</w:t>
      </w:r>
    </w:p>
    <w:p w14:paraId="53FFD542" w14:textId="084B506A" w:rsidR="007F6095" w:rsidRPr="007F6095" w:rsidRDefault="00A05A27" w:rsidP="00A05A27">
      <w:pPr>
        <w:pStyle w:val="SingleTxtG"/>
        <w:rPr>
          <w:lang w:val="en-NZ"/>
        </w:rPr>
      </w:pPr>
      <w:r>
        <w:rPr>
          <w:lang w:val="en-NZ"/>
        </w:rPr>
        <w:t>103.</w:t>
      </w:r>
      <w:r>
        <w:rPr>
          <w:lang w:val="en-NZ"/>
        </w:rPr>
        <w:tab/>
      </w:r>
      <w:r w:rsidR="009C0BD8">
        <w:rPr>
          <w:b/>
          <w:bCs/>
          <w:lang w:val="en-NZ"/>
        </w:rPr>
        <w:t>S</w:t>
      </w:r>
      <w:r w:rsidR="007F6095" w:rsidRPr="007F6095">
        <w:rPr>
          <w:b/>
          <w:bCs/>
          <w:lang w:val="en-NZ"/>
        </w:rPr>
        <w:t>upport</w:t>
      </w:r>
      <w:r w:rsidR="009C0BD8">
        <w:rPr>
          <w:b/>
          <w:bCs/>
          <w:lang w:val="en-NZ"/>
        </w:rPr>
        <w:t>ed:</w:t>
      </w:r>
      <w:r w:rsidR="007F6095" w:rsidRPr="007F6095">
        <w:rPr>
          <w:lang w:val="en-NZ"/>
        </w:rPr>
        <w:t xml:space="preserve"> </w:t>
      </w:r>
      <w:r w:rsidR="00055E75">
        <w:rPr>
          <w:lang w:val="en-NZ"/>
        </w:rPr>
        <w:t>132.</w:t>
      </w:r>
      <w:r w:rsidR="007F6095" w:rsidRPr="007F6095">
        <w:rPr>
          <w:lang w:val="en-NZ"/>
        </w:rPr>
        <w:t>221,</w:t>
      </w:r>
      <w:r>
        <w:rPr>
          <w:lang w:val="en-NZ"/>
        </w:rPr>
        <w:t xml:space="preserve"> </w:t>
      </w:r>
      <w:r w:rsidR="00055E75">
        <w:rPr>
          <w:lang w:val="en-NZ"/>
        </w:rPr>
        <w:t>132.</w:t>
      </w:r>
      <w:r w:rsidR="007F6095" w:rsidRPr="007F6095">
        <w:rPr>
          <w:lang w:val="en-NZ"/>
        </w:rPr>
        <w:t>229</w:t>
      </w:r>
      <w:r w:rsidR="001B5CF8">
        <w:rPr>
          <w:lang w:val="en-NZ"/>
        </w:rPr>
        <w:t>–</w:t>
      </w:r>
      <w:r w:rsidR="007F6095" w:rsidRPr="007F6095">
        <w:rPr>
          <w:lang w:val="en-NZ"/>
        </w:rPr>
        <w:t>233,</w:t>
      </w:r>
      <w:r>
        <w:rPr>
          <w:lang w:val="en-NZ"/>
        </w:rPr>
        <w:t xml:space="preserve"> </w:t>
      </w:r>
      <w:r w:rsidR="00055E75">
        <w:rPr>
          <w:lang w:val="en-NZ"/>
        </w:rPr>
        <w:t>132.</w:t>
      </w:r>
      <w:r w:rsidR="007F6095" w:rsidRPr="007F6095">
        <w:rPr>
          <w:lang w:val="en-NZ"/>
        </w:rPr>
        <w:t>235</w:t>
      </w:r>
      <w:r w:rsidR="001B5CF8">
        <w:rPr>
          <w:lang w:val="en-NZ"/>
        </w:rPr>
        <w:t>–</w:t>
      </w:r>
      <w:r w:rsidR="007F6095" w:rsidRPr="007F6095">
        <w:rPr>
          <w:lang w:val="en-NZ"/>
        </w:rPr>
        <w:t>248.</w:t>
      </w:r>
    </w:p>
    <w:p w14:paraId="1362352B" w14:textId="777EA983" w:rsidR="007F6095" w:rsidRPr="007F6095" w:rsidRDefault="00A05A27" w:rsidP="00A05A27">
      <w:pPr>
        <w:pStyle w:val="SingleTxtG"/>
        <w:rPr>
          <w:lang w:val="en-NZ"/>
        </w:rPr>
      </w:pPr>
      <w:r>
        <w:rPr>
          <w:lang w:val="en-NZ"/>
        </w:rPr>
        <w:lastRenderedPageBreak/>
        <w:t>104.</w:t>
      </w:r>
      <w:r>
        <w:rPr>
          <w:lang w:val="en-NZ"/>
        </w:rPr>
        <w:tab/>
      </w:r>
      <w:r w:rsidR="007F6095" w:rsidRPr="007F6095">
        <w:rPr>
          <w:lang w:val="en-NZ"/>
        </w:rPr>
        <w:t>There are no plans to implement the United Nations Declaration on the Rights of Indigenous Peoples.</w:t>
      </w:r>
    </w:p>
    <w:p w14:paraId="0CD69DB9" w14:textId="4792EF31" w:rsidR="007F6095" w:rsidRPr="007F6095" w:rsidRDefault="00A05A27" w:rsidP="00A05A27">
      <w:pPr>
        <w:pStyle w:val="SingleTxtG"/>
        <w:rPr>
          <w:lang w:val="en-NZ"/>
        </w:rPr>
      </w:pPr>
      <w:r>
        <w:rPr>
          <w:lang w:val="en-NZ"/>
        </w:rPr>
        <w:t>105.</w:t>
      </w:r>
      <w:r>
        <w:rPr>
          <w:lang w:val="en-NZ"/>
        </w:rPr>
        <w:tab/>
      </w:r>
      <w:r w:rsidR="009C0BD8">
        <w:rPr>
          <w:b/>
          <w:bCs/>
          <w:lang w:val="en-NZ"/>
        </w:rPr>
        <w:t>N</w:t>
      </w:r>
      <w:r w:rsidR="007F6095" w:rsidRPr="007F6095">
        <w:rPr>
          <w:b/>
          <w:bCs/>
          <w:lang w:val="en-NZ"/>
        </w:rPr>
        <w:t>ote</w:t>
      </w:r>
      <w:r w:rsidR="009C0BD8">
        <w:rPr>
          <w:b/>
          <w:bCs/>
          <w:lang w:val="en-NZ"/>
        </w:rPr>
        <w:t>d:</w:t>
      </w:r>
      <w:r w:rsidR="007F6095" w:rsidRPr="007F6095">
        <w:rPr>
          <w:lang w:val="en-NZ"/>
        </w:rPr>
        <w:t xml:space="preserve"> </w:t>
      </w:r>
      <w:r w:rsidR="00055E75">
        <w:rPr>
          <w:lang w:val="en-NZ"/>
        </w:rPr>
        <w:t>132.</w:t>
      </w:r>
      <w:r w:rsidR="007F6095" w:rsidRPr="007F6095">
        <w:rPr>
          <w:lang w:val="en-NZ"/>
        </w:rPr>
        <w:t>222</w:t>
      </w:r>
      <w:r w:rsidR="001B5CF8">
        <w:rPr>
          <w:lang w:val="en-NZ"/>
        </w:rPr>
        <w:t>–</w:t>
      </w:r>
      <w:r w:rsidR="007F6095" w:rsidRPr="007F6095">
        <w:rPr>
          <w:lang w:val="en-NZ"/>
        </w:rPr>
        <w:t>228,</w:t>
      </w:r>
      <w:r>
        <w:rPr>
          <w:lang w:val="en-NZ"/>
        </w:rPr>
        <w:t xml:space="preserve"> </w:t>
      </w:r>
      <w:r w:rsidR="00055E75">
        <w:rPr>
          <w:lang w:val="en-NZ"/>
        </w:rPr>
        <w:t>132.</w:t>
      </w:r>
      <w:r w:rsidR="007F6095" w:rsidRPr="007F6095">
        <w:rPr>
          <w:lang w:val="en-NZ"/>
        </w:rPr>
        <w:t>234.</w:t>
      </w:r>
    </w:p>
    <w:p w14:paraId="206D7AA1" w14:textId="17857749" w:rsidR="007F6095" w:rsidRPr="007F6095" w:rsidRDefault="00A05A27" w:rsidP="00A05A27">
      <w:pPr>
        <w:pStyle w:val="HChG"/>
        <w:rPr>
          <w:lang w:val="en-NZ"/>
        </w:rPr>
      </w:pPr>
      <w:r>
        <w:rPr>
          <w:lang w:val="en-NZ"/>
        </w:rPr>
        <w:tab/>
      </w:r>
      <w:r>
        <w:rPr>
          <w:lang w:val="en-NZ"/>
        </w:rPr>
        <w:tab/>
      </w:r>
      <w:r w:rsidR="007F6095" w:rsidRPr="007F6095">
        <w:rPr>
          <w:lang w:val="en-NZ"/>
        </w:rPr>
        <w:t>Migrants, refugees, asylum seekers</w:t>
      </w:r>
    </w:p>
    <w:p w14:paraId="4260730F" w14:textId="4AF445E8" w:rsidR="007F6095" w:rsidRPr="007F6095" w:rsidRDefault="00A05A27" w:rsidP="00A05A27">
      <w:pPr>
        <w:pStyle w:val="SingleTxtG"/>
        <w:rPr>
          <w:lang w:val="en-NZ"/>
        </w:rPr>
      </w:pPr>
      <w:r>
        <w:rPr>
          <w:lang w:val="en-NZ"/>
        </w:rPr>
        <w:t>106.</w:t>
      </w:r>
      <w:r>
        <w:rPr>
          <w:lang w:val="en-NZ"/>
        </w:rPr>
        <w:tab/>
      </w:r>
      <w:r w:rsidR="007F6095" w:rsidRPr="007F6095">
        <w:rPr>
          <w:lang w:val="en-NZ"/>
        </w:rPr>
        <w:t>New Zealand is a country of immigrants. The New Zealand Refugee Resettlement Strategy and New Zealand Migrant and Settlement and Integration Strategy were refreshed in 2023. From 2025 there will be a full review of settlement services as well as settlement pathways for some refugees and their families.</w:t>
      </w:r>
    </w:p>
    <w:p w14:paraId="4EE251EC" w14:textId="42BC8B53" w:rsidR="007F6095" w:rsidRPr="007F6095" w:rsidRDefault="00A05A27" w:rsidP="00A05A27">
      <w:pPr>
        <w:pStyle w:val="SingleTxtG"/>
        <w:rPr>
          <w:lang w:val="en-NZ"/>
        </w:rPr>
      </w:pPr>
      <w:r>
        <w:rPr>
          <w:lang w:val="en-NZ"/>
        </w:rPr>
        <w:t>107.</w:t>
      </w:r>
      <w:r>
        <w:rPr>
          <w:lang w:val="en-NZ"/>
        </w:rPr>
        <w:tab/>
      </w:r>
      <w:r w:rsidR="007F6095" w:rsidRPr="007F6095">
        <w:rPr>
          <w:lang w:val="en-NZ"/>
        </w:rPr>
        <w:t>New Zealand continues to ensure that any detention of refugees is line with international standards.</w:t>
      </w:r>
    </w:p>
    <w:p w14:paraId="19664088" w14:textId="11733E26" w:rsidR="007F6095" w:rsidRPr="007F6095" w:rsidRDefault="00A05A27" w:rsidP="00A05A27">
      <w:pPr>
        <w:pStyle w:val="SingleTxtG"/>
        <w:rPr>
          <w:lang w:val="en-NZ"/>
        </w:rPr>
      </w:pPr>
      <w:r>
        <w:rPr>
          <w:lang w:val="en-NZ"/>
        </w:rPr>
        <w:t>108.</w:t>
      </w:r>
      <w:r>
        <w:rPr>
          <w:lang w:val="en-NZ"/>
        </w:rPr>
        <w:tab/>
      </w:r>
      <w:r w:rsidR="009C0BD8">
        <w:rPr>
          <w:b/>
          <w:bCs/>
          <w:lang w:val="en-NZ"/>
        </w:rPr>
        <w:t>S</w:t>
      </w:r>
      <w:r w:rsidR="007F6095" w:rsidRPr="007F6095">
        <w:rPr>
          <w:b/>
          <w:bCs/>
          <w:lang w:val="en-NZ"/>
        </w:rPr>
        <w:t>upport</w:t>
      </w:r>
      <w:r w:rsidR="009C0BD8">
        <w:rPr>
          <w:b/>
          <w:bCs/>
          <w:lang w:val="en-NZ"/>
        </w:rPr>
        <w:t>ed:</w:t>
      </w:r>
      <w:r w:rsidR="007F6095" w:rsidRPr="007F6095">
        <w:rPr>
          <w:lang w:val="en-NZ"/>
        </w:rPr>
        <w:t xml:space="preserve"> </w:t>
      </w:r>
      <w:r w:rsidR="00055E75">
        <w:rPr>
          <w:lang w:val="en-NZ"/>
        </w:rPr>
        <w:t>132.</w:t>
      </w:r>
      <w:r w:rsidR="007F6095" w:rsidRPr="007F6095">
        <w:rPr>
          <w:lang w:val="en-NZ"/>
        </w:rPr>
        <w:t>251</w:t>
      </w:r>
      <w:r w:rsidR="001B5CF8">
        <w:rPr>
          <w:lang w:val="en-NZ"/>
        </w:rPr>
        <w:t>–</w:t>
      </w:r>
      <w:r w:rsidR="007F6095" w:rsidRPr="007F6095">
        <w:rPr>
          <w:lang w:val="en-NZ"/>
        </w:rPr>
        <w:t>258.</w:t>
      </w:r>
    </w:p>
    <w:p w14:paraId="10F7AE25" w14:textId="2D28DF53" w:rsidR="007F6095" w:rsidRPr="007F6095" w:rsidRDefault="00A05A27" w:rsidP="00A05A27">
      <w:pPr>
        <w:pStyle w:val="SingleTxtG"/>
        <w:rPr>
          <w:lang w:val="en-NZ"/>
        </w:rPr>
      </w:pPr>
      <w:r>
        <w:rPr>
          <w:lang w:val="en-NZ"/>
        </w:rPr>
        <w:t>109.</w:t>
      </w:r>
      <w:r>
        <w:rPr>
          <w:lang w:val="en-NZ"/>
        </w:rPr>
        <w:tab/>
      </w:r>
      <w:r w:rsidR="007F6095" w:rsidRPr="007F6095">
        <w:rPr>
          <w:lang w:val="en-NZ"/>
        </w:rPr>
        <w:t xml:space="preserve">New Zealand does not have a specific quota or allocation for the resettlement of </w:t>
      </w:r>
      <w:r w:rsidR="007F6095" w:rsidRPr="007F6095">
        <w:rPr>
          <w:lang w:val="en-NZ"/>
        </w:rPr>
        <w:tab/>
        <w:t>Rohingya refugees and there are no plans to establish one.</w:t>
      </w:r>
    </w:p>
    <w:p w14:paraId="0DDF327A" w14:textId="066A9C93" w:rsidR="007F6095" w:rsidRDefault="00A05A27" w:rsidP="00A05A27">
      <w:pPr>
        <w:pStyle w:val="SingleTxtG"/>
      </w:pPr>
      <w:r>
        <w:rPr>
          <w:lang w:val="en-NZ"/>
        </w:rPr>
        <w:t>110.</w:t>
      </w:r>
      <w:r>
        <w:rPr>
          <w:lang w:val="en-NZ"/>
        </w:rPr>
        <w:tab/>
      </w:r>
      <w:r w:rsidR="009C0BD8">
        <w:rPr>
          <w:b/>
          <w:bCs/>
          <w:lang w:val="en-NZ"/>
        </w:rPr>
        <w:t>N</w:t>
      </w:r>
      <w:r w:rsidR="007F6095" w:rsidRPr="007F6095">
        <w:rPr>
          <w:b/>
          <w:bCs/>
          <w:lang w:val="en-NZ"/>
        </w:rPr>
        <w:t>ote</w:t>
      </w:r>
      <w:r w:rsidR="009508D1">
        <w:rPr>
          <w:b/>
          <w:bCs/>
          <w:lang w:val="en-NZ"/>
        </w:rPr>
        <w:t>d:</w:t>
      </w:r>
      <w:r w:rsidR="007F6095" w:rsidRPr="007F6095">
        <w:rPr>
          <w:b/>
          <w:bCs/>
          <w:lang w:val="en-NZ"/>
        </w:rPr>
        <w:t xml:space="preserve"> </w:t>
      </w:r>
      <w:r w:rsidR="00055E75">
        <w:rPr>
          <w:lang w:val="en-NZ"/>
        </w:rPr>
        <w:t>132.</w:t>
      </w:r>
      <w:r w:rsidR="007F6095" w:rsidRPr="007F6095">
        <w:rPr>
          <w:lang w:val="en-NZ"/>
        </w:rPr>
        <w:t>259.</w:t>
      </w:r>
    </w:p>
    <w:p w14:paraId="2C5AF29C" w14:textId="405BD01D" w:rsidR="00CF586F" w:rsidRPr="007F6095" w:rsidRDefault="00C43CB5" w:rsidP="00C43CB5">
      <w:pPr>
        <w:pStyle w:val="H4G"/>
      </w:pPr>
      <w:r>
        <w:t>Notes</w:t>
      </w:r>
    </w:p>
    <w:sectPr w:rsidR="00CF586F" w:rsidRPr="007F6095" w:rsidSect="007F6095">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FECA" w14:textId="77777777" w:rsidR="002C3293" w:rsidRDefault="002C3293"/>
  </w:endnote>
  <w:endnote w:type="continuationSeparator" w:id="0">
    <w:p w14:paraId="439237FC" w14:textId="77777777" w:rsidR="002C3293" w:rsidRDefault="002C3293"/>
  </w:endnote>
  <w:endnote w:type="continuationNotice" w:id="1">
    <w:p w14:paraId="0B262944" w14:textId="77777777" w:rsidR="002C3293" w:rsidRDefault="002C3293"/>
  </w:endnote>
  <w:endnote w:id="2">
    <w:p w14:paraId="28AB81D4" w14:textId="04E415F0" w:rsidR="00C43CB5" w:rsidRDefault="00C43CB5" w:rsidP="00C43CB5">
      <w:pPr>
        <w:pStyle w:val="EndnoteText"/>
        <w:widowControl w:val="0"/>
        <w:tabs>
          <w:tab w:val="clear" w:pos="1021"/>
          <w:tab w:val="right" w:pos="1020"/>
        </w:tabs>
      </w:pPr>
      <w:r>
        <w:tab/>
      </w:r>
      <w:r>
        <w:rPr>
          <w:rStyle w:val="EndnoteReference"/>
        </w:rPr>
        <w:endnoteRef/>
      </w:r>
      <w:r>
        <w:tab/>
      </w:r>
      <w:r w:rsidRPr="00C43CB5">
        <w:t>Noting that both have independent treaty-making capacity and law-making ability.</w:t>
      </w:r>
    </w:p>
  </w:endnote>
  <w:endnote w:id="3">
    <w:p w14:paraId="12DCCAC0" w14:textId="31C2D15C" w:rsidR="00A437A7" w:rsidRDefault="00A437A7" w:rsidP="00A437A7">
      <w:pPr>
        <w:pStyle w:val="EndnoteText"/>
        <w:widowControl w:val="0"/>
        <w:tabs>
          <w:tab w:val="clear" w:pos="1021"/>
          <w:tab w:val="right" w:pos="1020"/>
        </w:tabs>
      </w:pPr>
      <w:r>
        <w:tab/>
      </w:r>
      <w:r>
        <w:rPr>
          <w:rStyle w:val="EndnoteReference"/>
        </w:rPr>
        <w:endnoteRef/>
      </w:r>
      <w:r>
        <w:tab/>
      </w:r>
      <w:r w:rsidRPr="00A437A7">
        <w:t>Noting that both have independent international treaty-making capacity and law-making ability.</w:t>
      </w:r>
    </w:p>
    <w:p w14:paraId="6EAC12E1" w14:textId="5A5D3859" w:rsidR="00D66E8D" w:rsidRPr="00D66E8D" w:rsidRDefault="00D66E8D" w:rsidP="00D66E8D">
      <w:pPr>
        <w:pStyle w:val="EndnoteText"/>
        <w:tabs>
          <w:tab w:val="clear" w:pos="1021"/>
          <w:tab w:val="right" w:pos="1020"/>
        </w:tabs>
        <w:spacing w:before="240" w:line="240" w:lineRule="atLeast"/>
        <w:ind w:firstLine="0"/>
        <w:jc w:val="center"/>
        <w:rPr>
          <w:u w:val="single"/>
        </w:rPr>
      </w:pP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1879" w14:textId="2C2B579B" w:rsidR="007F6095" w:rsidRPr="007F6095" w:rsidRDefault="007F6095" w:rsidP="007F6095">
    <w:pPr>
      <w:pStyle w:val="Footer"/>
      <w:tabs>
        <w:tab w:val="right" w:pos="9638"/>
      </w:tabs>
      <w:rPr>
        <w:sz w:val="18"/>
      </w:rPr>
    </w:pPr>
    <w:r w:rsidRPr="007F6095">
      <w:rPr>
        <w:b/>
        <w:sz w:val="18"/>
      </w:rPr>
      <w:fldChar w:fldCharType="begin"/>
    </w:r>
    <w:r w:rsidRPr="007F6095">
      <w:rPr>
        <w:b/>
        <w:sz w:val="18"/>
      </w:rPr>
      <w:instrText xml:space="preserve"> PAGE  \* MERGEFORMAT </w:instrText>
    </w:r>
    <w:r w:rsidRPr="007F6095">
      <w:rPr>
        <w:b/>
        <w:sz w:val="18"/>
      </w:rPr>
      <w:fldChar w:fldCharType="separate"/>
    </w:r>
    <w:r w:rsidRPr="007F6095">
      <w:rPr>
        <w:b/>
        <w:noProof/>
        <w:sz w:val="18"/>
      </w:rPr>
      <w:t>2</w:t>
    </w:r>
    <w:r w:rsidRPr="007F609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2BB6" w14:textId="1A942764" w:rsidR="007F6095" w:rsidRPr="007F6095" w:rsidRDefault="007F6095" w:rsidP="007F6095">
    <w:pPr>
      <w:pStyle w:val="Footer"/>
      <w:tabs>
        <w:tab w:val="right" w:pos="9638"/>
      </w:tabs>
      <w:rPr>
        <w:b/>
        <w:sz w:val="18"/>
      </w:rPr>
    </w:pPr>
    <w:r>
      <w:tab/>
    </w:r>
    <w:r w:rsidRPr="007F6095">
      <w:rPr>
        <w:b/>
        <w:sz w:val="18"/>
      </w:rPr>
      <w:fldChar w:fldCharType="begin"/>
    </w:r>
    <w:r w:rsidRPr="007F6095">
      <w:rPr>
        <w:b/>
        <w:sz w:val="18"/>
      </w:rPr>
      <w:instrText xml:space="preserve"> PAGE  \* MERGEFORMAT </w:instrText>
    </w:r>
    <w:r w:rsidRPr="007F6095">
      <w:rPr>
        <w:b/>
        <w:sz w:val="18"/>
      </w:rPr>
      <w:fldChar w:fldCharType="separate"/>
    </w:r>
    <w:r w:rsidRPr="007F6095">
      <w:rPr>
        <w:b/>
        <w:noProof/>
        <w:sz w:val="18"/>
      </w:rPr>
      <w:t>3</w:t>
    </w:r>
    <w:r w:rsidRPr="007F609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EDCF" w14:textId="77777777" w:rsidR="006F5A21" w:rsidRDefault="006F5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EFDAD" w14:textId="77777777" w:rsidR="002C3293" w:rsidRPr="000B175B" w:rsidRDefault="002C3293" w:rsidP="000B175B">
      <w:pPr>
        <w:tabs>
          <w:tab w:val="right" w:pos="2155"/>
        </w:tabs>
        <w:spacing w:after="80"/>
        <w:ind w:left="680"/>
        <w:rPr>
          <w:u w:val="single"/>
        </w:rPr>
      </w:pPr>
      <w:r>
        <w:rPr>
          <w:u w:val="single"/>
        </w:rPr>
        <w:tab/>
      </w:r>
    </w:p>
  </w:footnote>
  <w:footnote w:type="continuationSeparator" w:id="0">
    <w:p w14:paraId="2479C190" w14:textId="77777777" w:rsidR="002C3293" w:rsidRPr="00FC68B7" w:rsidRDefault="002C3293" w:rsidP="00FC68B7">
      <w:pPr>
        <w:tabs>
          <w:tab w:val="left" w:pos="2155"/>
        </w:tabs>
        <w:spacing w:after="80"/>
        <w:ind w:left="680"/>
        <w:rPr>
          <w:u w:val="single"/>
        </w:rPr>
      </w:pPr>
      <w:r>
        <w:rPr>
          <w:u w:val="single"/>
        </w:rPr>
        <w:tab/>
      </w:r>
    </w:p>
  </w:footnote>
  <w:footnote w:type="continuationNotice" w:id="1">
    <w:p w14:paraId="184BF0DC" w14:textId="77777777" w:rsidR="002C3293" w:rsidRDefault="002C3293"/>
  </w:footnote>
  <w:footnote w:id="2">
    <w:p w14:paraId="639F9591" w14:textId="77777777" w:rsidR="007F6095" w:rsidRPr="00904B47" w:rsidRDefault="007F6095" w:rsidP="007F6095">
      <w:pPr>
        <w:pStyle w:val="FootnoteText"/>
        <w:rPr>
          <w:szCs w:val="18"/>
        </w:rPr>
      </w:pPr>
      <w:r>
        <w:tab/>
      </w:r>
      <w:r w:rsidRPr="00221F52">
        <w:rPr>
          <w:rStyle w:val="FootnoteReference"/>
          <w:sz w:val="20"/>
          <w:vertAlign w:val="baseline"/>
        </w:rPr>
        <w:t>*</w:t>
      </w:r>
      <w:r>
        <w:rPr>
          <w:sz w:val="20"/>
        </w:rPr>
        <w:tab/>
      </w:r>
      <w:r w:rsidRPr="00904B47">
        <w:rPr>
          <w:szCs w:val="18"/>
        </w:rPr>
        <w:t>The present document is being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7CB3" w14:textId="2BBDB2BE" w:rsidR="007F6095" w:rsidRPr="007F6095" w:rsidRDefault="00C91A07">
    <w:pPr>
      <w:pStyle w:val="Header"/>
    </w:pPr>
    <w:r>
      <w:rPr>
        <w:noProof/>
      </w:rPr>
      <w:pict w14:anchorId="30AE59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3251" o:spid="_x0000_s1026" type="#_x0000_t136" style="position:absolute;margin-left:0;margin-top:0;width:485.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version"/>
        </v:shape>
      </w:pict>
    </w:r>
    <w:fldSimple w:instr=" TITLE  \* MERGEFORMAT ">
      <w:r w:rsidR="007F6095">
        <w:t>A/HRC/57/4/Add.1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69306" w14:textId="53026A9D" w:rsidR="007F6095" w:rsidRPr="007F6095" w:rsidRDefault="00C91A07" w:rsidP="007F6095">
    <w:pPr>
      <w:pStyle w:val="Header"/>
      <w:jc w:val="right"/>
    </w:pPr>
    <w:r>
      <w:rPr>
        <w:noProof/>
      </w:rPr>
      <w:pict w14:anchorId="16AF02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3252" o:spid="_x0000_s1027" type="#_x0000_t136" style="position:absolute;left:0;text-align:left;margin-left:0;margin-top:0;width:485.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version"/>
        </v:shape>
      </w:pict>
    </w:r>
    <w:fldSimple w:instr=" TITLE  \* MERGEFORMAT ">
      <w:r w:rsidR="007F6095">
        <w:t>A/HRC/57/4/Add.1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25C30" w14:textId="01590A97" w:rsidR="006F5A21" w:rsidRDefault="00C91A07">
    <w:pPr>
      <w:pStyle w:val="Header"/>
    </w:pPr>
    <w:r>
      <w:rPr>
        <w:noProof/>
      </w:rPr>
      <w:pict w14:anchorId="243787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3250" o:spid="_x0000_s1025" type="#_x0000_t136" style="position:absolute;margin-left:0;margin-top:0;width:485.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5037BC"/>
    <w:multiLevelType w:val="hybridMultilevel"/>
    <w:tmpl w:val="E8021AD6"/>
    <w:lvl w:ilvl="0" w:tplc="337A308E">
      <w:start w:val="1"/>
      <w:numFmt w:val="decimal"/>
      <w:lvlText w:val="%1."/>
      <w:lvlJc w:val="left"/>
      <w:pPr>
        <w:ind w:left="360" w:hanging="360"/>
      </w:pPr>
      <w:rPr>
        <w:rFonts w:ascii="Arial" w:hAnsi="Arial" w:cs="Arial" w:hint="default"/>
        <w:b w:val="0"/>
        <w:i w:val="0"/>
      </w:rPr>
    </w:lvl>
    <w:lvl w:ilvl="1" w:tplc="14090001">
      <w:start w:val="1"/>
      <w:numFmt w:val="bullet"/>
      <w:lvlText w:val=""/>
      <w:lvlJc w:val="left"/>
      <w:pPr>
        <w:ind w:left="1080" w:hanging="360"/>
      </w:pPr>
      <w:rPr>
        <w:rFonts w:ascii="Symbol" w:hAnsi="Symbol" w:hint="default"/>
        <w:sz w:val="22"/>
        <w:szCs w:val="22"/>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040980449">
    <w:abstractNumId w:val="5"/>
  </w:num>
  <w:num w:numId="2" w16cid:durableId="73012146">
    <w:abstractNumId w:val="4"/>
  </w:num>
  <w:num w:numId="3" w16cid:durableId="746457651">
    <w:abstractNumId w:val="8"/>
  </w:num>
  <w:num w:numId="4" w16cid:durableId="162935754">
    <w:abstractNumId w:val="3"/>
  </w:num>
  <w:num w:numId="5" w16cid:durableId="845048693">
    <w:abstractNumId w:val="0"/>
  </w:num>
  <w:num w:numId="6" w16cid:durableId="1697389046">
    <w:abstractNumId w:val="1"/>
  </w:num>
  <w:num w:numId="7" w16cid:durableId="1095983470">
    <w:abstractNumId w:val="7"/>
  </w:num>
  <w:num w:numId="8" w16cid:durableId="17581689">
    <w:abstractNumId w:val="2"/>
  </w:num>
  <w:num w:numId="9" w16cid:durableId="145050880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NZ"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95"/>
    <w:rsid w:val="00000C49"/>
    <w:rsid w:val="00007F7F"/>
    <w:rsid w:val="0002175E"/>
    <w:rsid w:val="00022DB5"/>
    <w:rsid w:val="00027D93"/>
    <w:rsid w:val="000403D1"/>
    <w:rsid w:val="000449AA"/>
    <w:rsid w:val="00050F6B"/>
    <w:rsid w:val="00055E75"/>
    <w:rsid w:val="0005662A"/>
    <w:rsid w:val="00072C8C"/>
    <w:rsid w:val="00073E70"/>
    <w:rsid w:val="000876EB"/>
    <w:rsid w:val="00091419"/>
    <w:rsid w:val="000931C0"/>
    <w:rsid w:val="000B175B"/>
    <w:rsid w:val="000B2851"/>
    <w:rsid w:val="000B3A0F"/>
    <w:rsid w:val="000B4A3B"/>
    <w:rsid w:val="000B7355"/>
    <w:rsid w:val="000C59D8"/>
    <w:rsid w:val="000D1851"/>
    <w:rsid w:val="000E0415"/>
    <w:rsid w:val="001078DD"/>
    <w:rsid w:val="001103D5"/>
    <w:rsid w:val="00146D32"/>
    <w:rsid w:val="001509BA"/>
    <w:rsid w:val="001645E8"/>
    <w:rsid w:val="00166BA2"/>
    <w:rsid w:val="001B00BA"/>
    <w:rsid w:val="001B4B04"/>
    <w:rsid w:val="001B5CF8"/>
    <w:rsid w:val="001C2A20"/>
    <w:rsid w:val="001C6663"/>
    <w:rsid w:val="001C7895"/>
    <w:rsid w:val="001D05E5"/>
    <w:rsid w:val="001D26DF"/>
    <w:rsid w:val="001E2790"/>
    <w:rsid w:val="00207B13"/>
    <w:rsid w:val="00211E0B"/>
    <w:rsid w:val="00211E72"/>
    <w:rsid w:val="00214047"/>
    <w:rsid w:val="0022130F"/>
    <w:rsid w:val="00237785"/>
    <w:rsid w:val="00237CE6"/>
    <w:rsid w:val="002410DD"/>
    <w:rsid w:val="00241466"/>
    <w:rsid w:val="0024251D"/>
    <w:rsid w:val="00253D58"/>
    <w:rsid w:val="00261CAF"/>
    <w:rsid w:val="0027725F"/>
    <w:rsid w:val="002A7BAB"/>
    <w:rsid w:val="002C21F0"/>
    <w:rsid w:val="002C3293"/>
    <w:rsid w:val="003107FA"/>
    <w:rsid w:val="003229D8"/>
    <w:rsid w:val="003314D1"/>
    <w:rsid w:val="00335A2F"/>
    <w:rsid w:val="00341937"/>
    <w:rsid w:val="0039277A"/>
    <w:rsid w:val="003972E0"/>
    <w:rsid w:val="003975ED"/>
    <w:rsid w:val="003A5A25"/>
    <w:rsid w:val="003C2CC4"/>
    <w:rsid w:val="003D4B23"/>
    <w:rsid w:val="004154F5"/>
    <w:rsid w:val="00424C80"/>
    <w:rsid w:val="00431E4C"/>
    <w:rsid w:val="004325CB"/>
    <w:rsid w:val="0044503A"/>
    <w:rsid w:val="00446DE4"/>
    <w:rsid w:val="00447761"/>
    <w:rsid w:val="00451EC3"/>
    <w:rsid w:val="004721B1"/>
    <w:rsid w:val="004859EC"/>
    <w:rsid w:val="00496A15"/>
    <w:rsid w:val="004B75D2"/>
    <w:rsid w:val="004D1140"/>
    <w:rsid w:val="004F55ED"/>
    <w:rsid w:val="005128FA"/>
    <w:rsid w:val="0052176C"/>
    <w:rsid w:val="005261E5"/>
    <w:rsid w:val="00535254"/>
    <w:rsid w:val="005420F2"/>
    <w:rsid w:val="00542574"/>
    <w:rsid w:val="005436AB"/>
    <w:rsid w:val="00546924"/>
    <w:rsid w:val="00546DBF"/>
    <w:rsid w:val="00553D76"/>
    <w:rsid w:val="005552B5"/>
    <w:rsid w:val="0056117B"/>
    <w:rsid w:val="00562621"/>
    <w:rsid w:val="00571365"/>
    <w:rsid w:val="005717B3"/>
    <w:rsid w:val="005A0E16"/>
    <w:rsid w:val="005B3DB3"/>
    <w:rsid w:val="005B6E48"/>
    <w:rsid w:val="005D53BE"/>
    <w:rsid w:val="005E1712"/>
    <w:rsid w:val="00611FC4"/>
    <w:rsid w:val="006176FB"/>
    <w:rsid w:val="00640B26"/>
    <w:rsid w:val="00647CFD"/>
    <w:rsid w:val="00655B60"/>
    <w:rsid w:val="00670741"/>
    <w:rsid w:val="00696BD6"/>
    <w:rsid w:val="006A181C"/>
    <w:rsid w:val="006A6B9D"/>
    <w:rsid w:val="006A7392"/>
    <w:rsid w:val="006B3189"/>
    <w:rsid w:val="006B7D65"/>
    <w:rsid w:val="006D58ED"/>
    <w:rsid w:val="006D6DA6"/>
    <w:rsid w:val="006E1183"/>
    <w:rsid w:val="006E564B"/>
    <w:rsid w:val="006F13F0"/>
    <w:rsid w:val="006F5035"/>
    <w:rsid w:val="006F5A21"/>
    <w:rsid w:val="007065EB"/>
    <w:rsid w:val="007077E1"/>
    <w:rsid w:val="00720183"/>
    <w:rsid w:val="0072632A"/>
    <w:rsid w:val="00733B02"/>
    <w:rsid w:val="0074200B"/>
    <w:rsid w:val="00775E77"/>
    <w:rsid w:val="00790244"/>
    <w:rsid w:val="007A6296"/>
    <w:rsid w:val="007A6956"/>
    <w:rsid w:val="007A79E4"/>
    <w:rsid w:val="007B6BA5"/>
    <w:rsid w:val="007C1B62"/>
    <w:rsid w:val="007C3390"/>
    <w:rsid w:val="007C4DAC"/>
    <w:rsid w:val="007C4F4B"/>
    <w:rsid w:val="007D2CDC"/>
    <w:rsid w:val="007D5327"/>
    <w:rsid w:val="007F6095"/>
    <w:rsid w:val="007F6611"/>
    <w:rsid w:val="00803234"/>
    <w:rsid w:val="008113F8"/>
    <w:rsid w:val="008155C3"/>
    <w:rsid w:val="008175E9"/>
    <w:rsid w:val="0082243E"/>
    <w:rsid w:val="008242D7"/>
    <w:rsid w:val="00856CD2"/>
    <w:rsid w:val="00861BC6"/>
    <w:rsid w:val="00871FD5"/>
    <w:rsid w:val="008847BB"/>
    <w:rsid w:val="00894F5E"/>
    <w:rsid w:val="008979B1"/>
    <w:rsid w:val="008A6B25"/>
    <w:rsid w:val="008A6C4F"/>
    <w:rsid w:val="008C1E4D"/>
    <w:rsid w:val="008E0E46"/>
    <w:rsid w:val="0090452C"/>
    <w:rsid w:val="00907C3F"/>
    <w:rsid w:val="0092237C"/>
    <w:rsid w:val="0093707B"/>
    <w:rsid w:val="009400EB"/>
    <w:rsid w:val="009427E3"/>
    <w:rsid w:val="00946575"/>
    <w:rsid w:val="009508D1"/>
    <w:rsid w:val="00956D9B"/>
    <w:rsid w:val="00963CBA"/>
    <w:rsid w:val="009654B7"/>
    <w:rsid w:val="00991261"/>
    <w:rsid w:val="009A0B83"/>
    <w:rsid w:val="009B3800"/>
    <w:rsid w:val="009C0BD8"/>
    <w:rsid w:val="009C1868"/>
    <w:rsid w:val="009D22AC"/>
    <w:rsid w:val="009D50DB"/>
    <w:rsid w:val="009E1C4E"/>
    <w:rsid w:val="00A0036A"/>
    <w:rsid w:val="00A05A27"/>
    <w:rsid w:val="00A05E0B"/>
    <w:rsid w:val="00A1427D"/>
    <w:rsid w:val="00A437A7"/>
    <w:rsid w:val="00A4634F"/>
    <w:rsid w:val="00A51CF3"/>
    <w:rsid w:val="00A72F22"/>
    <w:rsid w:val="00A73D32"/>
    <w:rsid w:val="00A748A6"/>
    <w:rsid w:val="00A879A4"/>
    <w:rsid w:val="00A87E95"/>
    <w:rsid w:val="00A92E29"/>
    <w:rsid w:val="00AB735D"/>
    <w:rsid w:val="00AC5AE2"/>
    <w:rsid w:val="00AD09E9"/>
    <w:rsid w:val="00AF0576"/>
    <w:rsid w:val="00AF3829"/>
    <w:rsid w:val="00B037F0"/>
    <w:rsid w:val="00B2327D"/>
    <w:rsid w:val="00B2718F"/>
    <w:rsid w:val="00B30179"/>
    <w:rsid w:val="00B3317B"/>
    <w:rsid w:val="00B334DC"/>
    <w:rsid w:val="00B3631A"/>
    <w:rsid w:val="00B426B0"/>
    <w:rsid w:val="00B53013"/>
    <w:rsid w:val="00B625BF"/>
    <w:rsid w:val="00B67F5E"/>
    <w:rsid w:val="00B73E65"/>
    <w:rsid w:val="00B81E12"/>
    <w:rsid w:val="00B87110"/>
    <w:rsid w:val="00B97FA8"/>
    <w:rsid w:val="00BC1385"/>
    <w:rsid w:val="00BC74E9"/>
    <w:rsid w:val="00BE618E"/>
    <w:rsid w:val="00BE655C"/>
    <w:rsid w:val="00C11A0D"/>
    <w:rsid w:val="00C217E7"/>
    <w:rsid w:val="00C24693"/>
    <w:rsid w:val="00C35F0B"/>
    <w:rsid w:val="00C43CB5"/>
    <w:rsid w:val="00C463DD"/>
    <w:rsid w:val="00C64458"/>
    <w:rsid w:val="00C745C3"/>
    <w:rsid w:val="00C91A07"/>
    <w:rsid w:val="00CA2A58"/>
    <w:rsid w:val="00CB33D5"/>
    <w:rsid w:val="00CC0B55"/>
    <w:rsid w:val="00CC2D49"/>
    <w:rsid w:val="00CD6995"/>
    <w:rsid w:val="00CE4A8F"/>
    <w:rsid w:val="00CF0214"/>
    <w:rsid w:val="00CF586F"/>
    <w:rsid w:val="00CF7D43"/>
    <w:rsid w:val="00D042D3"/>
    <w:rsid w:val="00D11129"/>
    <w:rsid w:val="00D2031B"/>
    <w:rsid w:val="00D22332"/>
    <w:rsid w:val="00D25FE2"/>
    <w:rsid w:val="00D43252"/>
    <w:rsid w:val="00D550F9"/>
    <w:rsid w:val="00D572B0"/>
    <w:rsid w:val="00D62E90"/>
    <w:rsid w:val="00D66E8D"/>
    <w:rsid w:val="00D76BE5"/>
    <w:rsid w:val="00D978C6"/>
    <w:rsid w:val="00DA67AD"/>
    <w:rsid w:val="00DB18CE"/>
    <w:rsid w:val="00DB5566"/>
    <w:rsid w:val="00DD652F"/>
    <w:rsid w:val="00DD7149"/>
    <w:rsid w:val="00DD7E8E"/>
    <w:rsid w:val="00DE07EB"/>
    <w:rsid w:val="00DE3EC0"/>
    <w:rsid w:val="00E11593"/>
    <w:rsid w:val="00E12B6B"/>
    <w:rsid w:val="00E130AB"/>
    <w:rsid w:val="00E30FCE"/>
    <w:rsid w:val="00E438D9"/>
    <w:rsid w:val="00E5644E"/>
    <w:rsid w:val="00E618F3"/>
    <w:rsid w:val="00E7260F"/>
    <w:rsid w:val="00E806EE"/>
    <w:rsid w:val="00E96630"/>
    <w:rsid w:val="00EA67C8"/>
    <w:rsid w:val="00EB0FB9"/>
    <w:rsid w:val="00EB4791"/>
    <w:rsid w:val="00ED0CA9"/>
    <w:rsid w:val="00ED7A2A"/>
    <w:rsid w:val="00EF1D7F"/>
    <w:rsid w:val="00EF56C9"/>
    <w:rsid w:val="00EF5BDB"/>
    <w:rsid w:val="00F07FD9"/>
    <w:rsid w:val="00F23933"/>
    <w:rsid w:val="00F24119"/>
    <w:rsid w:val="00F36373"/>
    <w:rsid w:val="00F36E11"/>
    <w:rsid w:val="00F40E75"/>
    <w:rsid w:val="00F42CD9"/>
    <w:rsid w:val="00F45378"/>
    <w:rsid w:val="00F52936"/>
    <w:rsid w:val="00F54083"/>
    <w:rsid w:val="00F677CB"/>
    <w:rsid w:val="00F67B04"/>
    <w:rsid w:val="00F853A8"/>
    <w:rsid w:val="00F94E5D"/>
    <w:rsid w:val="00FA609E"/>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B3196"/>
  <w15:docId w15:val="{534263C7-C885-422F-92FD-8213662E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7F6095"/>
    <w:rPr>
      <w:sz w:val="18"/>
      <w:lang w:val="en-GB" w:eastAsia="en-US"/>
    </w:rPr>
  </w:style>
  <w:style w:type="paragraph" w:styleId="Revision">
    <w:name w:val="Revision"/>
    <w:hidden/>
    <w:uiPriority w:val="99"/>
    <w:semiHidden/>
    <w:rsid w:val="00DD714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ilsubject xmlns="fa1020ff-48ad-4b90-98f4-7161a6f3b630"> Request to post the Advance Versions - 57th session of the HRC - Addenda</Emailsubject>
    <TaxCatchAll xmlns="985ec44e-1bab-4c0b-9df0-6ba128686fc9" xsi:nil="true"/>
    <lcf76f155ced4ddcb4097134ff3c332f xmlns="fa1020ff-48ad-4b90-98f4-7161a6f3b630">
      <Terms xmlns="http://schemas.microsoft.com/office/infopath/2007/PartnerControls"/>
    </lcf76f155ced4ddcb4097134ff3c332f>
    <Sentby xmlns="fa1020ff-48ad-4b90-98f4-7161a6f3b630">
      <UserInfo>
        <DisplayName>Mini Kumar</DisplayName>
        <AccountId>274</AccountId>
        <AccountType/>
      </UserInfo>
    </Sentb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BD2372-B052-4583-A8F7-D64A3DC7EE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1A6047-312A-451D-965B-D5B73B08CBBB}">
  <ds:schemaRefs>
    <ds:schemaRef ds:uri="http://schemas.openxmlformats.org/officeDocument/2006/bibliography"/>
  </ds:schemaRefs>
</ds:datastoreItem>
</file>

<file path=customXml/itemProps3.xml><?xml version="1.0" encoding="utf-8"?>
<ds:datastoreItem xmlns:ds="http://schemas.openxmlformats.org/officeDocument/2006/customXml" ds:itemID="{27015B55-2AD7-4760-97AF-77E6181A9F99}"/>
</file>

<file path=customXml/itemProps4.xml><?xml version="1.0" encoding="utf-8"?>
<ds:datastoreItem xmlns:ds="http://schemas.openxmlformats.org/officeDocument/2006/customXml" ds:itemID="{347D2779-AB4F-4D16-B1CC-972984A40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A_E.dotm</Template>
  <TotalTime>1</TotalTime>
  <Pages>8</Pages>
  <Words>2690</Words>
  <Characters>14795</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A/HRC/57/4/Add.1</vt:lpstr>
      <vt:lpstr/>
    </vt:vector>
  </TitlesOfParts>
  <Company>CSD</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A_HRC_57_4_Add.1_AV_New Zealand_E.docx</dc:title>
  <dc:subject/>
  <dc:creator>IHARA Sumiko</dc:creator>
  <cp:keywords/>
  <dc:description/>
  <cp:lastModifiedBy>Veronique Lanz</cp:lastModifiedBy>
  <cp:revision>3</cp:revision>
  <cp:lastPrinted>2008-01-29T08:30:00Z</cp:lastPrinted>
  <dcterms:created xsi:type="dcterms:W3CDTF">2024-09-12T08:06:00Z</dcterms:created>
  <dcterms:modified xsi:type="dcterms:W3CDTF">2024-09-12T08:06:00Z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ies>
</file>