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AE13AD" w14:paraId="38609AEA" w14:textId="77777777" w:rsidTr="00562621">
        <w:trPr>
          <w:trHeight w:val="851"/>
        </w:trPr>
        <w:tc>
          <w:tcPr>
            <w:tcW w:w="1259" w:type="dxa"/>
            <w:tcBorders>
              <w:top w:val="nil"/>
              <w:left w:val="nil"/>
              <w:bottom w:val="single" w:sz="4" w:space="0" w:color="auto"/>
              <w:right w:val="nil"/>
            </w:tcBorders>
          </w:tcPr>
          <w:p w14:paraId="6AC480B9" w14:textId="77777777" w:rsidR="00446DE4" w:rsidRPr="00AE13AD"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F8B23C2" w14:textId="25C3F790" w:rsidR="00446DE4" w:rsidRPr="00AE13AD"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7E78830" w14:textId="46FF41D8" w:rsidR="00446DE4" w:rsidRPr="00AE13AD" w:rsidRDefault="00F456F2" w:rsidP="0002425C">
            <w:pPr>
              <w:jc w:val="right"/>
            </w:pPr>
            <w:r w:rsidRPr="00AE13AD">
              <w:rPr>
                <w:sz w:val="40"/>
              </w:rPr>
              <w:t>A</w:t>
            </w:r>
            <w:r w:rsidR="00AD3B7B" w:rsidRPr="00AE13AD">
              <w:t>/HRC</w:t>
            </w:r>
            <w:r w:rsidR="00AD3B7B" w:rsidRPr="00F56297">
              <w:t>/</w:t>
            </w:r>
            <w:r w:rsidR="0002425C" w:rsidRPr="00F56297">
              <w:t>5</w:t>
            </w:r>
            <w:r w:rsidR="0099422D" w:rsidRPr="00F56297">
              <w:t>7</w:t>
            </w:r>
            <w:r w:rsidR="00617581" w:rsidRPr="00F56297">
              <w:t>/</w:t>
            </w:r>
            <w:r w:rsidR="00F56297">
              <w:t>27</w:t>
            </w:r>
          </w:p>
        </w:tc>
      </w:tr>
      <w:tr w:rsidR="003107FA" w:rsidRPr="00AE13AD" w14:paraId="451F6212" w14:textId="77777777" w:rsidTr="00562621">
        <w:trPr>
          <w:trHeight w:val="2835"/>
        </w:trPr>
        <w:tc>
          <w:tcPr>
            <w:tcW w:w="1259" w:type="dxa"/>
            <w:tcBorders>
              <w:top w:val="single" w:sz="4" w:space="0" w:color="auto"/>
              <w:left w:val="nil"/>
              <w:bottom w:val="single" w:sz="12" w:space="0" w:color="auto"/>
              <w:right w:val="nil"/>
            </w:tcBorders>
          </w:tcPr>
          <w:p w14:paraId="6D23D80D" w14:textId="7D8656FC" w:rsidR="003107FA" w:rsidRPr="00AE13AD"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3244AC9" w14:textId="6CF1CFC1" w:rsidR="003107FA" w:rsidRPr="00AE13AD" w:rsidRDefault="00B03A47"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255AF66" w14:textId="77777777" w:rsidR="003107FA" w:rsidRPr="00AE13AD" w:rsidRDefault="00F456F2" w:rsidP="00F456F2">
            <w:pPr>
              <w:spacing w:before="240" w:line="240" w:lineRule="exact"/>
            </w:pPr>
            <w:r w:rsidRPr="00AE13AD">
              <w:t>Distr.: General</w:t>
            </w:r>
          </w:p>
          <w:p w14:paraId="5C36C69A" w14:textId="09507A40" w:rsidR="00F456F2" w:rsidRPr="00AE13AD" w:rsidRDefault="00E75B5F" w:rsidP="0002425C">
            <w:pPr>
              <w:spacing w:line="240" w:lineRule="exact"/>
            </w:pPr>
            <w:r>
              <w:t>9</w:t>
            </w:r>
            <w:r w:rsidR="004016C4">
              <w:t xml:space="preserve"> September</w:t>
            </w:r>
            <w:r w:rsidR="00271052">
              <w:t xml:space="preserve"> 2024</w:t>
            </w:r>
          </w:p>
          <w:p w14:paraId="3C6DE72D" w14:textId="77777777" w:rsidR="00F456F2" w:rsidRPr="00AE13AD" w:rsidRDefault="00F456F2" w:rsidP="00F456F2">
            <w:pPr>
              <w:spacing w:line="240" w:lineRule="exact"/>
            </w:pPr>
          </w:p>
          <w:p w14:paraId="5F4A6C08" w14:textId="77777777" w:rsidR="00F456F2" w:rsidRPr="00AE13AD" w:rsidRDefault="00F456F2" w:rsidP="00F456F2">
            <w:pPr>
              <w:spacing w:line="240" w:lineRule="exact"/>
            </w:pPr>
            <w:r w:rsidRPr="00AE13AD">
              <w:t>Original: English</w:t>
            </w:r>
          </w:p>
        </w:tc>
      </w:tr>
    </w:tbl>
    <w:p w14:paraId="4E927CE2" w14:textId="77777777" w:rsidR="00D029BF" w:rsidRPr="00AE13AD" w:rsidRDefault="00D029BF" w:rsidP="00D029BF">
      <w:pPr>
        <w:kinsoku w:val="0"/>
        <w:overflowPunct w:val="0"/>
        <w:autoSpaceDE w:val="0"/>
        <w:autoSpaceDN w:val="0"/>
        <w:adjustRightInd w:val="0"/>
        <w:snapToGrid w:val="0"/>
        <w:spacing w:before="120"/>
        <w:rPr>
          <w:rFonts w:eastAsia="Calibri"/>
          <w:b/>
          <w:bCs/>
          <w:sz w:val="24"/>
          <w:szCs w:val="24"/>
        </w:rPr>
      </w:pPr>
      <w:r w:rsidRPr="00AE13AD">
        <w:rPr>
          <w:rFonts w:eastAsia="Calibri"/>
          <w:b/>
          <w:bCs/>
          <w:sz w:val="24"/>
          <w:szCs w:val="24"/>
        </w:rPr>
        <w:t>Human Rights Council</w:t>
      </w:r>
    </w:p>
    <w:p w14:paraId="64CDC3DD" w14:textId="1ED8F086" w:rsidR="00D029BF" w:rsidRPr="00AE13AD" w:rsidRDefault="002F72FF" w:rsidP="00D029BF">
      <w:pPr>
        <w:kinsoku w:val="0"/>
        <w:overflowPunct w:val="0"/>
        <w:autoSpaceDE w:val="0"/>
        <w:autoSpaceDN w:val="0"/>
        <w:adjustRightInd w:val="0"/>
        <w:snapToGrid w:val="0"/>
        <w:rPr>
          <w:rFonts w:eastAsia="Calibri"/>
          <w:b/>
          <w:bCs/>
        </w:rPr>
      </w:pPr>
      <w:r w:rsidRPr="00291F42">
        <w:rPr>
          <w:rFonts w:eastAsia="Calibri"/>
          <w:b/>
          <w:bCs/>
        </w:rPr>
        <w:t>Fifty</w:t>
      </w:r>
      <w:r w:rsidR="00271052">
        <w:rPr>
          <w:rFonts w:eastAsia="Calibri"/>
          <w:b/>
          <w:bCs/>
        </w:rPr>
        <w:t>-</w:t>
      </w:r>
      <w:r w:rsidR="00676E1B" w:rsidRPr="00291F42">
        <w:rPr>
          <w:rFonts w:eastAsia="Calibri"/>
          <w:b/>
          <w:bCs/>
        </w:rPr>
        <w:t>seventh</w:t>
      </w:r>
      <w:r w:rsidRPr="00291F42">
        <w:rPr>
          <w:rFonts w:eastAsia="Calibri"/>
          <w:b/>
          <w:bCs/>
        </w:rPr>
        <w:t xml:space="preserve"> </w:t>
      </w:r>
      <w:r w:rsidR="00D029BF" w:rsidRPr="00291F42">
        <w:rPr>
          <w:rFonts w:eastAsia="Calibri"/>
          <w:b/>
          <w:bCs/>
        </w:rPr>
        <w:t>session</w:t>
      </w:r>
    </w:p>
    <w:p w14:paraId="44DFE65A" w14:textId="6F6EA531" w:rsidR="00D029BF" w:rsidRPr="00AE13AD" w:rsidRDefault="00271052" w:rsidP="00D029BF">
      <w:pPr>
        <w:kinsoku w:val="0"/>
        <w:overflowPunct w:val="0"/>
        <w:autoSpaceDE w:val="0"/>
        <w:autoSpaceDN w:val="0"/>
        <w:adjustRightInd w:val="0"/>
        <w:snapToGrid w:val="0"/>
        <w:rPr>
          <w:rFonts w:eastAsia="Calibri"/>
          <w:bCs/>
        </w:rPr>
      </w:pPr>
      <w:r w:rsidRPr="00271052">
        <w:rPr>
          <w:rFonts w:eastAsia="Calibri"/>
          <w:bCs/>
        </w:rPr>
        <w:t xml:space="preserve">9 </w:t>
      </w:r>
      <w:r w:rsidR="00A86E93" w:rsidRPr="00271052">
        <w:rPr>
          <w:rFonts w:eastAsia="Calibri"/>
          <w:bCs/>
        </w:rPr>
        <w:t>September</w:t>
      </w:r>
      <w:r w:rsidR="004016C4">
        <w:rPr>
          <w:rFonts w:eastAsia="Calibri"/>
          <w:bCs/>
        </w:rPr>
        <w:t>–</w:t>
      </w:r>
      <w:r w:rsidRPr="00271052">
        <w:rPr>
          <w:rFonts w:eastAsia="Calibri"/>
          <w:bCs/>
        </w:rPr>
        <w:t>9</w:t>
      </w:r>
      <w:r w:rsidR="007837E8">
        <w:rPr>
          <w:rFonts w:eastAsia="Calibri"/>
          <w:bCs/>
        </w:rPr>
        <w:t xml:space="preserve"> </w:t>
      </w:r>
      <w:r w:rsidR="00A86E93" w:rsidRPr="00271052">
        <w:rPr>
          <w:rFonts w:eastAsia="Calibri"/>
          <w:bCs/>
        </w:rPr>
        <w:t xml:space="preserve">October </w:t>
      </w:r>
      <w:r w:rsidR="00AD3B7B" w:rsidRPr="00271052">
        <w:rPr>
          <w:rFonts w:eastAsia="Calibri"/>
          <w:bCs/>
        </w:rPr>
        <w:t>202</w:t>
      </w:r>
      <w:r w:rsidR="002F72FF" w:rsidRPr="00271052">
        <w:rPr>
          <w:rFonts w:eastAsia="Calibri"/>
          <w:bCs/>
        </w:rPr>
        <w:t>4</w:t>
      </w:r>
    </w:p>
    <w:p w14:paraId="5C94E834" w14:textId="77777777" w:rsidR="00D029BF" w:rsidRPr="00AE13AD" w:rsidRDefault="00D029BF" w:rsidP="00D029BF">
      <w:pPr>
        <w:kinsoku w:val="0"/>
        <w:overflowPunct w:val="0"/>
        <w:autoSpaceDE w:val="0"/>
        <w:autoSpaceDN w:val="0"/>
        <w:adjustRightInd w:val="0"/>
        <w:snapToGrid w:val="0"/>
        <w:rPr>
          <w:rFonts w:eastAsia="Calibri"/>
        </w:rPr>
      </w:pPr>
      <w:r w:rsidRPr="00AE13AD">
        <w:rPr>
          <w:rFonts w:eastAsia="Calibri"/>
        </w:rPr>
        <w:t>Agenda items 2 and 3</w:t>
      </w:r>
    </w:p>
    <w:p w14:paraId="579D071A" w14:textId="77777777" w:rsidR="00D029BF" w:rsidRPr="00AE13AD" w:rsidRDefault="00D029BF" w:rsidP="00812C81">
      <w:pPr>
        <w:kinsoku w:val="0"/>
        <w:overflowPunct w:val="0"/>
        <w:autoSpaceDE w:val="0"/>
        <w:autoSpaceDN w:val="0"/>
        <w:adjustRightInd w:val="0"/>
        <w:snapToGrid w:val="0"/>
        <w:spacing w:after="120" w:line="120" w:lineRule="atLeast"/>
        <w:rPr>
          <w:rFonts w:eastAsia="Calibri"/>
          <w:b/>
          <w:bCs/>
        </w:rPr>
      </w:pPr>
      <w:r w:rsidRPr="00AE13AD">
        <w:rPr>
          <w:rFonts w:eastAsia="Calibri"/>
          <w:b/>
          <w:bCs/>
        </w:rPr>
        <w:t>Annual report of the United Nations High Commissioner</w:t>
      </w:r>
      <w:r w:rsidRPr="00AE13AD">
        <w:rPr>
          <w:rFonts w:eastAsia="Calibri"/>
          <w:b/>
          <w:bCs/>
        </w:rPr>
        <w:br/>
        <w:t>for Human Rights and reports of the Office of the</w:t>
      </w:r>
      <w:r w:rsidRPr="00AE13AD">
        <w:rPr>
          <w:rFonts w:eastAsia="Calibri"/>
          <w:b/>
          <w:bCs/>
        </w:rPr>
        <w:br/>
        <w:t>High Commissioner and the Secretary-General</w:t>
      </w:r>
    </w:p>
    <w:p w14:paraId="3E266615" w14:textId="77777777" w:rsidR="00D029BF" w:rsidRPr="00AE13AD" w:rsidRDefault="00D029BF" w:rsidP="00812C81">
      <w:pPr>
        <w:kinsoku w:val="0"/>
        <w:overflowPunct w:val="0"/>
        <w:autoSpaceDE w:val="0"/>
        <w:autoSpaceDN w:val="0"/>
        <w:adjustRightInd w:val="0"/>
        <w:snapToGrid w:val="0"/>
        <w:spacing w:line="120" w:lineRule="atLeast"/>
        <w:rPr>
          <w:rFonts w:eastAsia="Calibri"/>
          <w:b/>
          <w:bCs/>
        </w:rPr>
      </w:pPr>
      <w:r w:rsidRPr="00AE13AD">
        <w:rPr>
          <w:rFonts w:eastAsia="Calibri"/>
          <w:b/>
          <w:bCs/>
        </w:rPr>
        <w:t xml:space="preserve">Promotion and protection of all human rights, civil, </w:t>
      </w:r>
    </w:p>
    <w:p w14:paraId="62271436" w14:textId="77777777" w:rsidR="00D029BF" w:rsidRPr="00AE13AD" w:rsidRDefault="00D029BF" w:rsidP="00D029BF">
      <w:pPr>
        <w:kinsoku w:val="0"/>
        <w:overflowPunct w:val="0"/>
        <w:autoSpaceDE w:val="0"/>
        <w:autoSpaceDN w:val="0"/>
        <w:adjustRightInd w:val="0"/>
        <w:snapToGrid w:val="0"/>
        <w:rPr>
          <w:rFonts w:eastAsia="Calibri"/>
          <w:b/>
          <w:bCs/>
        </w:rPr>
      </w:pPr>
      <w:r w:rsidRPr="00AE13AD">
        <w:rPr>
          <w:rFonts w:eastAsia="Calibri"/>
          <w:b/>
          <w:bCs/>
        </w:rPr>
        <w:t xml:space="preserve">political, economic, </w:t>
      </w:r>
      <w:proofErr w:type="gramStart"/>
      <w:r w:rsidRPr="00AE13AD">
        <w:rPr>
          <w:rFonts w:eastAsia="Calibri"/>
          <w:b/>
          <w:bCs/>
        </w:rPr>
        <w:t>social</w:t>
      </w:r>
      <w:proofErr w:type="gramEnd"/>
      <w:r w:rsidRPr="00AE13AD">
        <w:rPr>
          <w:rFonts w:eastAsia="Calibri"/>
          <w:b/>
          <w:bCs/>
        </w:rPr>
        <w:t xml:space="preserve"> and cultural rights, </w:t>
      </w:r>
    </w:p>
    <w:p w14:paraId="103F3AA1" w14:textId="77777777" w:rsidR="00D029BF" w:rsidRPr="00AE13AD" w:rsidRDefault="00D029BF" w:rsidP="00D029BF">
      <w:pPr>
        <w:kinsoku w:val="0"/>
        <w:overflowPunct w:val="0"/>
        <w:autoSpaceDE w:val="0"/>
        <w:autoSpaceDN w:val="0"/>
        <w:adjustRightInd w:val="0"/>
        <w:snapToGrid w:val="0"/>
        <w:rPr>
          <w:rFonts w:eastAsia="Calibri"/>
          <w:b/>
          <w:bCs/>
        </w:rPr>
      </w:pPr>
      <w:r w:rsidRPr="00AE13AD">
        <w:rPr>
          <w:rFonts w:eastAsia="Calibri"/>
          <w:b/>
          <w:bCs/>
        </w:rPr>
        <w:t>including the right to development</w:t>
      </w:r>
    </w:p>
    <w:p w14:paraId="64B8F240" w14:textId="02C42EA2" w:rsidR="00D029BF" w:rsidRPr="00AE13AD" w:rsidRDefault="00D029BF" w:rsidP="0002425C">
      <w:pPr>
        <w:pStyle w:val="HChG"/>
        <w:rPr>
          <w:rFonts w:eastAsia="SimSun"/>
          <w:lang w:eastAsia="zh-CN"/>
        </w:rPr>
      </w:pPr>
      <w:r w:rsidRPr="00AE13AD">
        <w:rPr>
          <w:rFonts w:eastAsia="SimSun"/>
          <w:lang w:eastAsia="zh-CN"/>
        </w:rPr>
        <w:tab/>
      </w:r>
      <w:r w:rsidRPr="00AE13AD">
        <w:rPr>
          <w:rFonts w:eastAsia="SimSun"/>
          <w:lang w:eastAsia="zh-CN"/>
        </w:rPr>
        <w:tab/>
      </w:r>
      <w:r w:rsidR="00BF449E">
        <w:rPr>
          <w:rFonts w:eastAsia="SimSun"/>
          <w:lang w:eastAsia="zh-CN"/>
        </w:rPr>
        <w:t>R</w:t>
      </w:r>
      <w:r w:rsidR="00676E1B" w:rsidRPr="00AE13AD">
        <w:rPr>
          <w:rFonts w:eastAsia="SimSun"/>
          <w:lang w:eastAsia="zh-CN"/>
        </w:rPr>
        <w:t xml:space="preserve">ole of </w:t>
      </w:r>
      <w:r w:rsidR="000A7D08">
        <w:rPr>
          <w:rFonts w:eastAsia="SimSun"/>
          <w:lang w:eastAsia="zh-CN"/>
        </w:rPr>
        <w:t xml:space="preserve">the </w:t>
      </w:r>
      <w:r w:rsidR="00676E1B" w:rsidRPr="00AE13AD">
        <w:rPr>
          <w:rFonts w:eastAsia="SimSun"/>
          <w:lang w:eastAsia="zh-CN"/>
        </w:rPr>
        <w:t xml:space="preserve">rule of law and accountability, at the national and international levels, </w:t>
      </w:r>
      <w:r w:rsidR="00BA76D1">
        <w:rPr>
          <w:rFonts w:eastAsia="SimSun"/>
          <w:lang w:eastAsia="zh-CN"/>
        </w:rPr>
        <w:t>in</w:t>
      </w:r>
      <w:r w:rsidR="00676E1B" w:rsidRPr="00AE13AD">
        <w:rPr>
          <w:rFonts w:eastAsia="SimSun"/>
          <w:lang w:eastAsia="zh-CN"/>
        </w:rPr>
        <w:t xml:space="preserve"> the prevention of human rights violations and abuses</w:t>
      </w:r>
    </w:p>
    <w:p w14:paraId="26327132" w14:textId="7FEA9BC4" w:rsidR="00D029BF" w:rsidRPr="00AE13AD" w:rsidRDefault="00D029BF" w:rsidP="00BB38A7">
      <w:pPr>
        <w:pStyle w:val="H1G"/>
        <w:rPr>
          <w:rFonts w:eastAsia="SimSun"/>
          <w:lang w:eastAsia="zh-CN"/>
        </w:rPr>
      </w:pPr>
      <w:r w:rsidRPr="00AE13AD">
        <w:rPr>
          <w:rFonts w:eastAsia="SimSun"/>
          <w:lang w:eastAsia="zh-CN"/>
        </w:rPr>
        <w:tab/>
      </w:r>
      <w:r w:rsidRPr="00AE13AD">
        <w:rPr>
          <w:rFonts w:eastAsia="SimSun"/>
          <w:lang w:eastAsia="zh-CN"/>
        </w:rPr>
        <w:tab/>
      </w:r>
      <w:r w:rsidR="00BF449E">
        <w:rPr>
          <w:rFonts w:eastAsia="SimSun"/>
          <w:lang w:eastAsia="zh-CN"/>
        </w:rPr>
        <w:t>Study</w:t>
      </w:r>
      <w:r w:rsidRPr="00AE13AD">
        <w:rPr>
          <w:rFonts w:eastAsia="SimSun"/>
          <w:lang w:eastAsia="zh-CN"/>
        </w:rPr>
        <w:t xml:space="preserve"> of the</w:t>
      </w:r>
      <w:r w:rsidR="00084424" w:rsidRPr="00AE13AD">
        <w:rPr>
          <w:rFonts w:eastAsia="SimSun"/>
          <w:lang w:eastAsia="zh-CN"/>
        </w:rPr>
        <w:t xml:space="preserve"> </w:t>
      </w:r>
      <w:r w:rsidR="00E04187">
        <w:rPr>
          <w:rFonts w:eastAsia="SimSun"/>
          <w:lang w:eastAsia="zh-CN"/>
        </w:rPr>
        <w:t xml:space="preserve">Office of the </w:t>
      </w:r>
      <w:r w:rsidR="00BB38A7" w:rsidRPr="00AE13AD">
        <w:rPr>
          <w:rFonts w:eastAsia="SimSun"/>
          <w:lang w:eastAsia="zh-CN"/>
        </w:rPr>
        <w:t>United Nations</w:t>
      </w:r>
      <w:r w:rsidRPr="00AE13AD">
        <w:rPr>
          <w:rFonts w:eastAsia="SimSun"/>
          <w:lang w:eastAsia="zh-CN"/>
        </w:rPr>
        <w:t xml:space="preserve"> High Commissioner for Human Rights</w:t>
      </w:r>
      <w:r w:rsidR="00271052" w:rsidRPr="00271052">
        <w:rPr>
          <w:rStyle w:val="FootnoteReference"/>
          <w:rFonts w:eastAsia="SimSun"/>
          <w:b w:val="0"/>
          <w:bCs/>
          <w:sz w:val="20"/>
          <w:vertAlign w:val="baseline"/>
          <w:lang w:eastAsia="zh-CN"/>
        </w:rPr>
        <w:footnoteReference w:customMarkFollows="1" w:id="2"/>
        <w:t>*</w:t>
      </w:r>
    </w:p>
    <w:tbl>
      <w:tblPr>
        <w:tblStyle w:val="TableGrid1"/>
        <w:tblW w:w="0" w:type="auto"/>
        <w:jc w:val="center"/>
        <w:tblLook w:val="01E0" w:firstRow="1" w:lastRow="1" w:firstColumn="1" w:lastColumn="1" w:noHBand="0" w:noVBand="0"/>
      </w:tblPr>
      <w:tblGrid>
        <w:gridCol w:w="9629"/>
      </w:tblGrid>
      <w:tr w:rsidR="00D029BF" w:rsidRPr="00AE13AD" w14:paraId="7CEB12AD" w14:textId="77777777" w:rsidTr="00F03418">
        <w:trPr>
          <w:jc w:val="center"/>
        </w:trPr>
        <w:tc>
          <w:tcPr>
            <w:tcW w:w="9637" w:type="dxa"/>
            <w:tcBorders>
              <w:bottom w:val="nil"/>
            </w:tcBorders>
          </w:tcPr>
          <w:p w14:paraId="782D4CE0" w14:textId="77777777" w:rsidR="00D029BF" w:rsidRPr="00AE13AD" w:rsidRDefault="00D029BF" w:rsidP="00D029BF">
            <w:pPr>
              <w:tabs>
                <w:tab w:val="left" w:pos="255"/>
              </w:tabs>
              <w:suppressAutoHyphens w:val="0"/>
              <w:kinsoku w:val="0"/>
              <w:overflowPunct w:val="0"/>
              <w:autoSpaceDE w:val="0"/>
              <w:autoSpaceDN w:val="0"/>
              <w:adjustRightInd w:val="0"/>
              <w:snapToGrid w:val="0"/>
              <w:spacing w:before="240" w:after="120"/>
              <w:rPr>
                <w:sz w:val="24"/>
              </w:rPr>
            </w:pPr>
            <w:r w:rsidRPr="00AE13AD">
              <w:tab/>
            </w:r>
            <w:r w:rsidRPr="00AE13AD">
              <w:rPr>
                <w:i/>
                <w:sz w:val="24"/>
              </w:rPr>
              <w:t>Summary</w:t>
            </w:r>
          </w:p>
        </w:tc>
      </w:tr>
      <w:tr w:rsidR="00D029BF" w:rsidRPr="00AE13AD" w14:paraId="4BCF1B67" w14:textId="77777777" w:rsidTr="00F03418">
        <w:trPr>
          <w:jc w:val="center"/>
        </w:trPr>
        <w:tc>
          <w:tcPr>
            <w:tcW w:w="9637" w:type="dxa"/>
            <w:tcBorders>
              <w:top w:val="nil"/>
              <w:bottom w:val="nil"/>
            </w:tcBorders>
            <w:shd w:val="clear" w:color="auto" w:fill="auto"/>
          </w:tcPr>
          <w:p w14:paraId="613866DD" w14:textId="66E3F947" w:rsidR="00D029BF" w:rsidRPr="00AE13AD" w:rsidRDefault="005C0F8C" w:rsidP="00AA744B">
            <w:pPr>
              <w:pStyle w:val="SingleTxtG"/>
              <w:ind w:firstLine="567"/>
              <w:rPr>
                <w:rFonts w:eastAsia="SimSun"/>
                <w:lang w:eastAsia="zh-CN"/>
              </w:rPr>
            </w:pPr>
            <w:r w:rsidRPr="00AE13AD">
              <w:rPr>
                <w:rFonts w:eastAsia="SimSun"/>
                <w:lang w:eastAsia="zh-CN"/>
              </w:rPr>
              <w:t xml:space="preserve">In the </w:t>
            </w:r>
            <w:r w:rsidR="002472AB" w:rsidRPr="00AE13AD">
              <w:rPr>
                <w:rFonts w:eastAsia="SimSun"/>
                <w:lang w:eastAsia="zh-CN"/>
              </w:rPr>
              <w:t xml:space="preserve">present </w:t>
            </w:r>
            <w:r w:rsidR="00BF449E">
              <w:rPr>
                <w:rFonts w:eastAsia="SimSun"/>
                <w:lang w:eastAsia="zh-CN"/>
              </w:rPr>
              <w:t>study</w:t>
            </w:r>
            <w:r w:rsidR="002472AB" w:rsidRPr="00AE13AD">
              <w:rPr>
                <w:rFonts w:eastAsia="SimSun"/>
                <w:lang w:eastAsia="zh-CN"/>
              </w:rPr>
              <w:t xml:space="preserve">, </w:t>
            </w:r>
            <w:r w:rsidRPr="00AE13AD">
              <w:rPr>
                <w:rFonts w:eastAsia="SimSun"/>
                <w:lang w:eastAsia="zh-CN"/>
              </w:rPr>
              <w:t xml:space="preserve">the </w:t>
            </w:r>
            <w:r w:rsidR="00E04187" w:rsidRPr="00E75B5F">
              <w:rPr>
                <w:rFonts w:eastAsia="SimSun"/>
                <w:lang w:eastAsia="zh-CN"/>
              </w:rPr>
              <w:t xml:space="preserve">Office of the </w:t>
            </w:r>
            <w:r w:rsidRPr="00E75B5F">
              <w:rPr>
                <w:rFonts w:eastAsia="SimSun"/>
                <w:lang w:eastAsia="zh-CN"/>
              </w:rPr>
              <w:t>United Nations High Commissioner for Human Rights</w:t>
            </w:r>
            <w:r w:rsidR="00C86D31" w:rsidRPr="00E75B5F">
              <w:rPr>
                <w:rFonts w:eastAsia="SimSun"/>
                <w:lang w:eastAsia="zh-CN"/>
              </w:rPr>
              <w:t xml:space="preserve"> examines the role of the rule of law and accountability</w:t>
            </w:r>
            <w:r w:rsidR="00142B2C" w:rsidRPr="00E75B5F">
              <w:rPr>
                <w:rFonts w:eastAsia="SimSun"/>
                <w:lang w:eastAsia="zh-CN"/>
              </w:rPr>
              <w:t>,</w:t>
            </w:r>
            <w:r w:rsidR="00C86D31" w:rsidRPr="00E75B5F">
              <w:rPr>
                <w:rFonts w:eastAsia="SimSun"/>
                <w:lang w:eastAsia="zh-CN"/>
              </w:rPr>
              <w:t xml:space="preserve"> </w:t>
            </w:r>
            <w:r w:rsidR="00142B2C" w:rsidRPr="00E75B5F">
              <w:rPr>
                <w:rFonts w:eastAsia="SimSun"/>
                <w:lang w:eastAsia="zh-CN"/>
              </w:rPr>
              <w:t>at</w:t>
            </w:r>
            <w:r w:rsidR="00C86D31" w:rsidRPr="00E75B5F">
              <w:rPr>
                <w:rFonts w:eastAsia="SimSun"/>
                <w:lang w:eastAsia="zh-CN"/>
              </w:rPr>
              <w:t xml:space="preserve"> the national and international levels</w:t>
            </w:r>
            <w:r w:rsidR="00142B2C" w:rsidRPr="00E75B5F">
              <w:rPr>
                <w:rFonts w:eastAsia="SimSun"/>
                <w:lang w:eastAsia="zh-CN"/>
              </w:rPr>
              <w:t>,</w:t>
            </w:r>
            <w:r w:rsidR="00C86D31" w:rsidRPr="00E75B5F">
              <w:rPr>
                <w:rFonts w:eastAsia="SimSun"/>
                <w:lang w:eastAsia="zh-CN"/>
              </w:rPr>
              <w:t xml:space="preserve"> in the prevention of human rights violations and abuses</w:t>
            </w:r>
            <w:r w:rsidR="00D02B1C" w:rsidRPr="00E75B5F">
              <w:rPr>
                <w:rFonts w:eastAsia="SimSun"/>
                <w:lang w:eastAsia="zh-CN"/>
              </w:rPr>
              <w:t>,</w:t>
            </w:r>
            <w:r w:rsidR="00EC264C" w:rsidRPr="00E75B5F">
              <w:t xml:space="preserve"> </w:t>
            </w:r>
            <w:r w:rsidR="00C17E4B" w:rsidRPr="00E75B5F">
              <w:rPr>
                <w:rFonts w:eastAsia="SimSun"/>
                <w:lang w:eastAsia="zh-CN"/>
              </w:rPr>
              <w:t>and</w:t>
            </w:r>
            <w:r w:rsidR="00EC264C" w:rsidRPr="00E75B5F">
              <w:rPr>
                <w:rFonts w:eastAsia="SimSun"/>
                <w:lang w:eastAsia="zh-CN"/>
              </w:rPr>
              <w:t xml:space="preserve"> </w:t>
            </w:r>
            <w:r w:rsidR="00E822E6" w:rsidRPr="00E75B5F">
              <w:rPr>
                <w:rFonts w:eastAsia="SimSun"/>
                <w:lang w:eastAsia="zh-CN"/>
              </w:rPr>
              <w:t xml:space="preserve">addresses </w:t>
            </w:r>
            <w:r w:rsidR="00D02B1C" w:rsidRPr="00E75B5F">
              <w:t>the role of</w:t>
            </w:r>
            <w:r w:rsidR="00D02B1C" w:rsidRPr="00E75B5F">
              <w:rPr>
                <w:rFonts w:eastAsia="SimSun"/>
                <w:lang w:eastAsia="zh-CN"/>
              </w:rPr>
              <w:t xml:space="preserve"> </w:t>
            </w:r>
            <w:r w:rsidR="00EC264C" w:rsidRPr="00E75B5F">
              <w:rPr>
                <w:rFonts w:eastAsia="SimSun"/>
                <w:lang w:eastAsia="zh-CN"/>
              </w:rPr>
              <w:t xml:space="preserve">individual accountability for serious human rights violations. </w:t>
            </w:r>
            <w:r w:rsidR="00E822E6" w:rsidRPr="00E75B5F">
              <w:rPr>
                <w:rFonts w:eastAsia="SimSun"/>
                <w:lang w:eastAsia="zh-CN"/>
              </w:rPr>
              <w:t xml:space="preserve">The </w:t>
            </w:r>
            <w:r w:rsidR="003B4BF3" w:rsidRPr="00E75B5F">
              <w:rPr>
                <w:rFonts w:eastAsia="SimSun"/>
                <w:lang w:eastAsia="zh-CN"/>
              </w:rPr>
              <w:t>Office of the</w:t>
            </w:r>
            <w:r w:rsidR="003B4BF3">
              <w:rPr>
                <w:rFonts w:eastAsia="SimSun"/>
                <w:lang w:eastAsia="zh-CN"/>
              </w:rPr>
              <w:t xml:space="preserve"> </w:t>
            </w:r>
            <w:r w:rsidR="00E822E6" w:rsidRPr="00AE13AD">
              <w:rPr>
                <w:rFonts w:eastAsia="SimSun"/>
                <w:lang w:eastAsia="zh-CN"/>
              </w:rPr>
              <w:t xml:space="preserve">High Commissioner recommends measures to strengthen the rule of law at the national and international levels </w:t>
            </w:r>
            <w:r w:rsidR="009E7807" w:rsidRPr="00AE13AD">
              <w:rPr>
                <w:rFonts w:eastAsia="SimSun"/>
                <w:lang w:eastAsia="zh-CN"/>
              </w:rPr>
              <w:t xml:space="preserve">and to ensure accountability for </w:t>
            </w:r>
            <w:r w:rsidR="00DD7361" w:rsidRPr="00AE13AD">
              <w:rPr>
                <w:rFonts w:eastAsia="SimSun"/>
                <w:lang w:eastAsia="zh-CN"/>
              </w:rPr>
              <w:t xml:space="preserve">such </w:t>
            </w:r>
            <w:r w:rsidR="00E63B80" w:rsidRPr="00AE13AD">
              <w:rPr>
                <w:rFonts w:eastAsia="SimSun"/>
                <w:lang w:eastAsia="zh-CN"/>
              </w:rPr>
              <w:t>violations and abuses.</w:t>
            </w:r>
          </w:p>
        </w:tc>
      </w:tr>
      <w:tr w:rsidR="00D029BF" w:rsidRPr="00AE13AD" w14:paraId="3AE374F3" w14:textId="77777777" w:rsidTr="00F03418">
        <w:trPr>
          <w:jc w:val="center"/>
        </w:trPr>
        <w:tc>
          <w:tcPr>
            <w:tcW w:w="9637" w:type="dxa"/>
            <w:tcBorders>
              <w:top w:val="nil"/>
            </w:tcBorders>
          </w:tcPr>
          <w:p w14:paraId="635B2691" w14:textId="77777777" w:rsidR="00D029BF" w:rsidRPr="00AE13AD" w:rsidRDefault="00D029BF" w:rsidP="00D029BF">
            <w:pPr>
              <w:suppressAutoHyphens w:val="0"/>
              <w:kinsoku w:val="0"/>
              <w:overflowPunct w:val="0"/>
              <w:autoSpaceDE w:val="0"/>
              <w:autoSpaceDN w:val="0"/>
              <w:adjustRightInd w:val="0"/>
              <w:snapToGrid w:val="0"/>
              <w:jc w:val="center"/>
            </w:pPr>
          </w:p>
        </w:tc>
      </w:tr>
    </w:tbl>
    <w:p w14:paraId="430A53D0" w14:textId="77777777" w:rsidR="007D4F30" w:rsidRPr="00AE13AD" w:rsidRDefault="00D029BF" w:rsidP="007D4F30">
      <w:pPr>
        <w:pStyle w:val="HChG"/>
        <w:rPr>
          <w:rFonts w:eastAsia="SimSun"/>
          <w:lang w:eastAsia="zh-CN"/>
        </w:rPr>
      </w:pPr>
      <w:r w:rsidRPr="00AE13AD">
        <w:rPr>
          <w:rFonts w:eastAsia="Calibri"/>
        </w:rPr>
        <w:br w:type="page"/>
      </w:r>
      <w:r w:rsidR="00F03418" w:rsidRPr="00AE13AD">
        <w:rPr>
          <w:rFonts w:eastAsia="Calibri"/>
        </w:rPr>
        <w:lastRenderedPageBreak/>
        <w:tab/>
        <w:t>I.</w:t>
      </w:r>
      <w:r w:rsidR="00F03418" w:rsidRPr="00AE13AD">
        <w:rPr>
          <w:rFonts w:eastAsia="Calibri"/>
        </w:rPr>
        <w:tab/>
      </w:r>
      <w:r w:rsidR="00F03418" w:rsidRPr="00AE13AD">
        <w:rPr>
          <w:rFonts w:eastAsia="SimSun"/>
          <w:lang w:eastAsia="zh-CN"/>
        </w:rPr>
        <w:t>Introduction</w:t>
      </w:r>
    </w:p>
    <w:p w14:paraId="0DFD2DA9" w14:textId="52DF0C42" w:rsidR="00617581" w:rsidRPr="00AE13AD" w:rsidRDefault="00617581" w:rsidP="00E44E17">
      <w:pPr>
        <w:pStyle w:val="SingleTxtG"/>
      </w:pPr>
      <w:r w:rsidRPr="00AE13AD">
        <w:t>1.</w:t>
      </w:r>
      <w:r w:rsidRPr="00AE13AD">
        <w:tab/>
      </w:r>
      <w:r w:rsidR="0099422D" w:rsidRPr="00AE13AD">
        <w:t xml:space="preserve">In </w:t>
      </w:r>
      <w:r w:rsidR="00DC2176">
        <w:t xml:space="preserve">its </w:t>
      </w:r>
      <w:r w:rsidR="0099422D" w:rsidRPr="00AE13AD">
        <w:t xml:space="preserve">resolution 51/14, the Human Rights Council requested the Office of the </w:t>
      </w:r>
      <w:r w:rsidR="005925A4">
        <w:t xml:space="preserve">United Nations </w:t>
      </w:r>
      <w:r w:rsidR="0099422D" w:rsidRPr="00AE13AD">
        <w:t xml:space="preserve">High Commissioner for Human Rights </w:t>
      </w:r>
      <w:r w:rsidR="00A60124">
        <w:t xml:space="preserve">(OHCHR) </w:t>
      </w:r>
      <w:r w:rsidR="0099422D" w:rsidRPr="00AE13AD">
        <w:t>to prepare a study on the role of the rule of law and accountability on the national and international levels in the prevention of human rights violations and abuses, and to present it to the Council at its fifty-seventh session</w:t>
      </w:r>
      <w:r w:rsidR="00E44E17" w:rsidRPr="00AE13AD">
        <w:t>.</w:t>
      </w:r>
    </w:p>
    <w:p w14:paraId="16BB55FD" w14:textId="2C174B28" w:rsidR="00617581" w:rsidRPr="00AE13AD" w:rsidRDefault="00617581" w:rsidP="00E7036C">
      <w:pPr>
        <w:pStyle w:val="SingleTxtG"/>
        <w:rPr>
          <w:rStyle w:val="FootnoteReference"/>
          <w:sz w:val="20"/>
          <w:vertAlign w:val="baseline"/>
        </w:rPr>
      </w:pPr>
      <w:r w:rsidRPr="00AE13AD">
        <w:t>2.</w:t>
      </w:r>
      <w:r w:rsidRPr="00AE13AD">
        <w:tab/>
      </w:r>
      <w:r w:rsidR="0099422D" w:rsidRPr="00AE13AD">
        <w:t xml:space="preserve">In preparation </w:t>
      </w:r>
      <w:r w:rsidR="00A90C28">
        <w:t>for</w:t>
      </w:r>
      <w:r w:rsidR="0099422D" w:rsidRPr="00AE13AD">
        <w:t xml:space="preserve"> the study, inputs were sought from relevant stakeholders. </w:t>
      </w:r>
      <w:r w:rsidR="00007E8F">
        <w:t>Contributions</w:t>
      </w:r>
      <w:r w:rsidR="0099422D" w:rsidRPr="00AE13AD">
        <w:t xml:space="preserve"> were received from States,</w:t>
      </w:r>
      <w:r w:rsidR="0099422D" w:rsidRPr="00AE13AD">
        <w:rPr>
          <w:vertAlign w:val="superscript"/>
        </w:rPr>
        <w:footnoteReference w:id="3"/>
      </w:r>
      <w:r w:rsidR="0099422D" w:rsidRPr="00AE13AD">
        <w:t xml:space="preserve"> regional organizations</w:t>
      </w:r>
      <w:r w:rsidR="0099422D" w:rsidRPr="00AE13AD">
        <w:rPr>
          <w:vertAlign w:val="superscript"/>
        </w:rPr>
        <w:footnoteReference w:id="4"/>
      </w:r>
      <w:r w:rsidR="0099422D" w:rsidRPr="00AE13AD">
        <w:t xml:space="preserve"> and civil society.</w:t>
      </w:r>
      <w:r w:rsidR="0099422D" w:rsidRPr="00AE13AD">
        <w:rPr>
          <w:vertAlign w:val="superscript"/>
        </w:rPr>
        <w:footnoteReference w:id="5"/>
      </w:r>
      <w:r w:rsidR="0099422D" w:rsidRPr="00AE13AD">
        <w:t xml:space="preserve"> In addition, </w:t>
      </w:r>
      <w:r w:rsidR="005932E1">
        <w:t xml:space="preserve">the </w:t>
      </w:r>
      <w:r w:rsidR="0099422D" w:rsidRPr="00AE13AD">
        <w:t xml:space="preserve">practice of </w:t>
      </w:r>
      <w:r w:rsidR="005932E1">
        <w:t xml:space="preserve">the </w:t>
      </w:r>
      <w:r w:rsidR="002C1312" w:rsidRPr="00AE13AD">
        <w:t xml:space="preserve">United Nations and other international </w:t>
      </w:r>
      <w:r w:rsidR="0099422D" w:rsidRPr="00AE13AD">
        <w:t>human rights mechanisms, academic literature and other relevant sources</w:t>
      </w:r>
      <w:r w:rsidR="00625081" w:rsidRPr="00AE13AD">
        <w:t xml:space="preserve"> were consulted</w:t>
      </w:r>
      <w:r w:rsidR="00E44E17" w:rsidRPr="00AE13AD">
        <w:t>.</w:t>
      </w:r>
    </w:p>
    <w:p w14:paraId="2A45A097" w14:textId="58067C49" w:rsidR="00EC264C" w:rsidRPr="00AE13AD" w:rsidRDefault="00EC264C" w:rsidP="00211390">
      <w:pPr>
        <w:pStyle w:val="SingleTxtG"/>
      </w:pPr>
      <w:r w:rsidRPr="00AE13AD">
        <w:t>3</w:t>
      </w:r>
      <w:r w:rsidR="00617581" w:rsidRPr="00AE13AD">
        <w:t>.</w:t>
      </w:r>
      <w:r w:rsidR="00617581" w:rsidRPr="00AE13AD">
        <w:tab/>
      </w:r>
      <w:bookmarkStart w:id="2" w:name="_Hlk160626711"/>
      <w:r w:rsidR="0091344A" w:rsidRPr="00AE13AD">
        <w:t xml:space="preserve"> </w:t>
      </w:r>
      <w:r w:rsidR="002F3A6B" w:rsidRPr="00AE13AD">
        <w:t>Drawing on the contributions, t</w:t>
      </w:r>
      <w:r w:rsidR="00C85781" w:rsidRPr="00AE13AD">
        <w:t xml:space="preserve">he </w:t>
      </w:r>
      <w:r w:rsidR="00A90C28">
        <w:t>present study</w:t>
      </w:r>
      <w:r w:rsidR="00C85781" w:rsidRPr="00AE13AD">
        <w:t xml:space="preserve"> address</w:t>
      </w:r>
      <w:r w:rsidR="00E822E6" w:rsidRPr="00AE13AD">
        <w:t>es</w:t>
      </w:r>
      <w:r w:rsidR="007C0CFC" w:rsidRPr="00AE13AD">
        <w:t xml:space="preserve"> </w:t>
      </w:r>
      <w:r w:rsidR="00C85781" w:rsidRPr="00AE13AD">
        <w:t>the</w:t>
      </w:r>
      <w:r w:rsidR="00211390" w:rsidRPr="00AE13AD">
        <w:t xml:space="preserve"> role of</w:t>
      </w:r>
      <w:r w:rsidR="00C85781" w:rsidRPr="00AE13AD">
        <w:t xml:space="preserve"> r</w:t>
      </w:r>
      <w:r w:rsidR="007C0CFC" w:rsidRPr="00AE13AD">
        <w:t xml:space="preserve">ule of law </w:t>
      </w:r>
      <w:r w:rsidR="00C877CF">
        <w:t>on</w:t>
      </w:r>
      <w:r w:rsidR="007C0CFC" w:rsidRPr="00AE13AD">
        <w:t xml:space="preserve"> the national and international levels in the prevention of human rights violations and abuses,</w:t>
      </w:r>
      <w:r w:rsidR="00211390" w:rsidRPr="00AE13AD">
        <w:rPr>
          <w:rStyle w:val="FootnoteReference"/>
        </w:rPr>
        <w:footnoteReference w:id="6"/>
      </w:r>
      <w:r w:rsidR="007C0CFC" w:rsidRPr="00AE13AD">
        <w:t xml:space="preserve"> </w:t>
      </w:r>
      <w:r w:rsidR="0091344A" w:rsidRPr="00AE13AD">
        <w:t>and</w:t>
      </w:r>
      <w:r w:rsidR="00C85781" w:rsidRPr="00AE13AD">
        <w:t xml:space="preserve"> address</w:t>
      </w:r>
      <w:r w:rsidR="0091344A" w:rsidRPr="00AE13AD">
        <w:t>es</w:t>
      </w:r>
      <w:r w:rsidR="00C85781" w:rsidRPr="00AE13AD">
        <w:t xml:space="preserve"> </w:t>
      </w:r>
      <w:r w:rsidR="00211390" w:rsidRPr="00AE13AD">
        <w:t xml:space="preserve">the role of </w:t>
      </w:r>
      <w:r w:rsidR="00C85781" w:rsidRPr="00AE13AD">
        <w:t>i</w:t>
      </w:r>
      <w:r w:rsidR="007C0CFC" w:rsidRPr="00AE13AD">
        <w:t>ndividual accountability for serious human rights violations</w:t>
      </w:r>
      <w:r w:rsidR="00211390" w:rsidRPr="00AE13AD">
        <w:t xml:space="preserve"> </w:t>
      </w:r>
      <w:r w:rsidR="007C0CFC" w:rsidRPr="00AE13AD">
        <w:t xml:space="preserve">in the prevention of human rights violations and abuses. </w:t>
      </w:r>
      <w:r w:rsidR="0091344A" w:rsidRPr="00AE13AD">
        <w:t>T</w:t>
      </w:r>
      <w:r w:rsidR="00211390" w:rsidRPr="00AE13AD">
        <w:t xml:space="preserve">he </w:t>
      </w:r>
      <w:r w:rsidR="00A90C28" w:rsidRPr="00A90C28">
        <w:t>study</w:t>
      </w:r>
      <w:r w:rsidR="00211390" w:rsidRPr="00AE13AD">
        <w:t xml:space="preserve"> </w:t>
      </w:r>
      <w:r w:rsidR="007C0CFC" w:rsidRPr="00AE13AD">
        <w:t xml:space="preserve">ends with </w:t>
      </w:r>
      <w:r w:rsidR="00211390" w:rsidRPr="00AE13AD">
        <w:t>c</w:t>
      </w:r>
      <w:r w:rsidR="007C0CFC" w:rsidRPr="00AE13AD">
        <w:t xml:space="preserve">onclusions and </w:t>
      </w:r>
      <w:r w:rsidR="00211390" w:rsidRPr="00AE13AD">
        <w:t>r</w:t>
      </w:r>
      <w:r w:rsidR="007C0CFC" w:rsidRPr="00AE13AD">
        <w:t>ecommendations.</w:t>
      </w:r>
    </w:p>
    <w:bookmarkEnd w:id="2"/>
    <w:p w14:paraId="197567D0" w14:textId="5F04F450" w:rsidR="00617581" w:rsidRPr="00AE13AD" w:rsidRDefault="00617581" w:rsidP="00617581">
      <w:pPr>
        <w:pStyle w:val="HChG"/>
      </w:pPr>
      <w:r w:rsidRPr="00AE13AD">
        <w:tab/>
        <w:t>I</w:t>
      </w:r>
      <w:r w:rsidR="00D92F86" w:rsidRPr="00AE13AD">
        <w:t>I</w:t>
      </w:r>
      <w:r w:rsidRPr="00AE13AD">
        <w:t>.</w:t>
      </w:r>
      <w:r w:rsidRPr="00AE13AD">
        <w:tab/>
      </w:r>
      <w:r w:rsidR="0099422D" w:rsidRPr="00AE13AD">
        <w:t>Rule of law at the national and international levels and its role in the prevention of human rights violations and abuses</w:t>
      </w:r>
    </w:p>
    <w:p w14:paraId="0A9CF0B6" w14:textId="442C559E" w:rsidR="0099422D" w:rsidRPr="00AE13AD" w:rsidRDefault="00617581" w:rsidP="00E7036C">
      <w:pPr>
        <w:pStyle w:val="H1G"/>
      </w:pPr>
      <w:r w:rsidRPr="00AE13AD">
        <w:tab/>
        <w:t>A.</w:t>
      </w:r>
      <w:r w:rsidRPr="00AE13AD">
        <w:tab/>
      </w:r>
      <w:r w:rsidR="0099422D" w:rsidRPr="00AE13AD">
        <w:t>Introduction</w:t>
      </w:r>
    </w:p>
    <w:p w14:paraId="1E05E217" w14:textId="5C1D81CB" w:rsidR="0099422D" w:rsidRPr="00AE13AD" w:rsidRDefault="0006727A" w:rsidP="0099422D">
      <w:pPr>
        <w:pStyle w:val="SingleTxtG"/>
      </w:pPr>
      <w:r w:rsidRPr="00AE13AD">
        <w:t>4</w:t>
      </w:r>
      <w:r w:rsidR="006E59B9" w:rsidRPr="00AE13AD">
        <w:t>.</w:t>
      </w:r>
      <w:r w:rsidR="006E59B9" w:rsidRPr="00AE13AD">
        <w:tab/>
      </w:r>
      <w:r w:rsidR="0099422D" w:rsidRPr="004941F0">
        <w:t>At its most abstract level, the rule of law is concerned with constraining the exercise of power</w:t>
      </w:r>
      <w:r w:rsidR="00F67E26" w:rsidRPr="004941F0">
        <w:t xml:space="preserve"> within and through a generally applicable normative framework</w:t>
      </w:r>
      <w:r w:rsidR="0099422D" w:rsidRPr="004941F0">
        <w:t xml:space="preserve">. The Secretary-General has referred to </w:t>
      </w:r>
      <w:r w:rsidR="00197F6B" w:rsidRPr="004941F0">
        <w:t xml:space="preserve">the rule of law </w:t>
      </w:r>
      <w:r w:rsidR="0099422D" w:rsidRPr="004941F0">
        <w:t xml:space="preserve">as a principle of governance in which all persons, </w:t>
      </w:r>
      <w:proofErr w:type="gramStart"/>
      <w:r w:rsidR="0099422D" w:rsidRPr="004941F0">
        <w:t>institutions</w:t>
      </w:r>
      <w:proofErr w:type="gramEnd"/>
      <w:r w:rsidR="0099422D" w:rsidRPr="004941F0">
        <w:t xml:space="preserve"> and entities, public and private, including the State itself, are accountable to laws that are publicly promulgated, equally enforced and independently adjudicated, and which are consistent with international human rights norms and standards.</w:t>
      </w:r>
      <w:r w:rsidR="0099422D" w:rsidRPr="004941F0">
        <w:rPr>
          <w:vertAlign w:val="superscript"/>
        </w:rPr>
        <w:footnoteReference w:id="7"/>
      </w:r>
    </w:p>
    <w:p w14:paraId="514C77EC" w14:textId="740B87CC" w:rsidR="003D67ED" w:rsidRPr="00AE13AD" w:rsidRDefault="0006727A" w:rsidP="005E7904">
      <w:pPr>
        <w:pStyle w:val="SingleTxtG"/>
      </w:pPr>
      <w:r w:rsidRPr="00AE13AD">
        <w:t>5</w:t>
      </w:r>
      <w:r w:rsidR="0099422D" w:rsidRPr="00AE13AD">
        <w:t>.</w:t>
      </w:r>
      <w:r w:rsidR="0099422D" w:rsidRPr="00AE13AD">
        <w:tab/>
      </w:r>
      <w:r w:rsidR="003D67ED" w:rsidRPr="00563804">
        <w:t>Within the 2030 Agenda</w:t>
      </w:r>
      <w:r w:rsidR="00BC59E3" w:rsidRPr="00563804">
        <w:t xml:space="preserve"> for Sustainable Development</w:t>
      </w:r>
      <w:r w:rsidR="003D67ED" w:rsidRPr="00563804">
        <w:t>, Sustainable Development Goal 16 reflects States’ commitment to promot</w:t>
      </w:r>
      <w:r w:rsidR="002009F5">
        <w:t>ing</w:t>
      </w:r>
      <w:r w:rsidR="003D67ED" w:rsidRPr="00563804">
        <w:t xml:space="preserve"> peaceful and inclusive societies for sustainable development, to</w:t>
      </w:r>
      <w:r w:rsidR="003D67ED" w:rsidRPr="00AE13AD">
        <w:t xml:space="preserve"> provid</w:t>
      </w:r>
      <w:r w:rsidR="002009F5">
        <w:t>ing</w:t>
      </w:r>
      <w:r w:rsidR="003D67ED" w:rsidRPr="00AE13AD">
        <w:t xml:space="preserve"> access to justice for all and to build</w:t>
      </w:r>
      <w:r w:rsidR="002009F5">
        <w:t>ing</w:t>
      </w:r>
      <w:r w:rsidR="003D67ED" w:rsidRPr="00AE13AD">
        <w:t xml:space="preserve"> effective, </w:t>
      </w:r>
      <w:proofErr w:type="gramStart"/>
      <w:r w:rsidR="003D67ED" w:rsidRPr="00AE13AD">
        <w:t>accountable</w:t>
      </w:r>
      <w:proofErr w:type="gramEnd"/>
      <w:r w:rsidR="003D67ED" w:rsidRPr="00AE13AD">
        <w:t xml:space="preserve"> and inclusive institutions at all levels. It recognizes the critical importance of governance and institution-building as underpinning development and peacebuilding efforts. It highlights the need for the rule of law and encourages catalytic measures to realize peoples</w:t>
      </w:r>
      <w:r w:rsidR="00EC2E2F">
        <w:t>’</w:t>
      </w:r>
      <w:r w:rsidR="003D67ED" w:rsidRPr="00AE13AD">
        <w:t xml:space="preserve"> rights within effective justice systems. It underscores</w:t>
      </w:r>
      <w:r w:rsidR="00EC2E2F">
        <w:t xml:space="preserve"> the fact</w:t>
      </w:r>
      <w:r w:rsidR="003D67ED" w:rsidRPr="00AE13AD">
        <w:t xml:space="preserve"> that sustainable peace and development are intimately linked to respect for human rights, justice and the rule of law</w:t>
      </w:r>
      <w:r w:rsidR="00A83A95" w:rsidRPr="00AE13AD">
        <w:t>, and it</w:t>
      </w:r>
      <w:r w:rsidR="003D67ED" w:rsidRPr="00AE13AD">
        <w:t xml:space="preserve"> connects peace, justice and inclusion.</w:t>
      </w:r>
      <w:r w:rsidR="003D67ED" w:rsidRPr="00AE13AD">
        <w:rPr>
          <w:vertAlign w:val="superscript"/>
        </w:rPr>
        <w:footnoteReference w:id="8"/>
      </w:r>
      <w:r w:rsidR="003D67ED" w:rsidRPr="00AE13AD">
        <w:t xml:space="preserve"> Despite its critical importance, </w:t>
      </w:r>
      <w:r w:rsidR="00B469A9" w:rsidRPr="00AE13AD">
        <w:t xml:space="preserve">as of 2023, </w:t>
      </w:r>
      <w:r w:rsidR="003D67ED" w:rsidRPr="00AE13AD">
        <w:t>progress towards achieving S</w:t>
      </w:r>
      <w:r w:rsidR="00E71337">
        <w:t xml:space="preserve">ustainable </w:t>
      </w:r>
      <w:r w:rsidR="003D67ED" w:rsidRPr="00AE13AD">
        <w:t>D</w:t>
      </w:r>
      <w:r w:rsidR="00E71337">
        <w:t xml:space="preserve">evelopment </w:t>
      </w:r>
      <w:r w:rsidR="003D67ED" w:rsidRPr="00AE13AD">
        <w:t>G</w:t>
      </w:r>
      <w:r w:rsidR="00E71337">
        <w:t>oal</w:t>
      </w:r>
      <w:r w:rsidR="003D67ED" w:rsidRPr="00AE13AD">
        <w:t xml:space="preserve"> 16 </w:t>
      </w:r>
      <w:r w:rsidR="00144370" w:rsidRPr="00AE13AD">
        <w:t>is</w:t>
      </w:r>
      <w:r w:rsidR="0058702E" w:rsidRPr="00AE13AD">
        <w:t xml:space="preserve"> not on track</w:t>
      </w:r>
      <w:r w:rsidR="003D67ED" w:rsidRPr="00AE13AD">
        <w:t>.</w:t>
      </w:r>
      <w:r w:rsidR="003D67ED" w:rsidRPr="00AE13AD">
        <w:rPr>
          <w:rStyle w:val="FootnoteReference"/>
        </w:rPr>
        <w:footnoteReference w:id="9"/>
      </w:r>
      <w:r w:rsidR="003D67ED" w:rsidRPr="00AE13AD">
        <w:t xml:space="preserve"> Some data ha</w:t>
      </w:r>
      <w:r w:rsidR="000209A8">
        <w:t>ve</w:t>
      </w:r>
      <w:r w:rsidR="003D67ED" w:rsidRPr="00AE13AD">
        <w:t xml:space="preserve"> </w:t>
      </w:r>
      <w:r w:rsidR="00042DA7" w:rsidRPr="00AE13AD">
        <w:t xml:space="preserve">pointed to </w:t>
      </w:r>
      <w:r w:rsidR="000209A8">
        <w:t xml:space="preserve">a </w:t>
      </w:r>
      <w:r w:rsidR="003D67ED" w:rsidRPr="00AE13AD">
        <w:t>correlation between declines in the rule of law and the protection of human rights.</w:t>
      </w:r>
      <w:r w:rsidR="003D67ED" w:rsidRPr="00AE13AD">
        <w:rPr>
          <w:rStyle w:val="FootnoteReference"/>
        </w:rPr>
        <w:footnoteReference w:id="10"/>
      </w:r>
    </w:p>
    <w:p w14:paraId="783EBE6A" w14:textId="58DBE3BB" w:rsidR="00EE6D08" w:rsidRPr="00AE13AD" w:rsidRDefault="007D16D1" w:rsidP="00FF7443">
      <w:pPr>
        <w:pStyle w:val="SingleTxtG"/>
      </w:pPr>
      <w:r w:rsidRPr="00AE13AD">
        <w:lastRenderedPageBreak/>
        <w:t>6.</w:t>
      </w:r>
      <w:r w:rsidRPr="00AE13AD">
        <w:tab/>
      </w:r>
      <w:r w:rsidR="0099422D" w:rsidRPr="00AE13AD">
        <w:t xml:space="preserve">In 2021, the Secretary-General </w:t>
      </w:r>
      <w:r w:rsidR="00B37811">
        <w:t>issued</w:t>
      </w:r>
      <w:r w:rsidR="0099422D" w:rsidRPr="00AE13AD">
        <w:t xml:space="preserve"> Our Common Agenda</w:t>
      </w:r>
      <w:r w:rsidR="00FF7443" w:rsidRPr="00AE13AD">
        <w:t>, designed to accelerate the implementation of existing agreements, including the Sustainable Development Goals</w:t>
      </w:r>
      <w:r w:rsidR="0099422D" w:rsidRPr="00AE13AD">
        <w:t>.</w:t>
      </w:r>
      <w:r w:rsidR="0099422D" w:rsidRPr="00AE13AD">
        <w:rPr>
          <w:vertAlign w:val="superscript"/>
        </w:rPr>
        <w:footnoteReference w:id="11"/>
      </w:r>
      <w:r w:rsidR="00FF7443" w:rsidRPr="00AE13AD">
        <w:t xml:space="preserve"> </w:t>
      </w:r>
      <w:r w:rsidR="00E96C85">
        <w:t>He</w:t>
      </w:r>
      <w:r w:rsidR="00FF7443" w:rsidRPr="00AE13AD">
        <w:t xml:space="preserve"> call</w:t>
      </w:r>
      <w:r w:rsidR="00AB1977">
        <w:t>ed</w:t>
      </w:r>
      <w:r w:rsidR="00FF7443" w:rsidRPr="00AE13AD">
        <w:t xml:space="preserve"> for a renewed social contract, </w:t>
      </w:r>
      <w:r w:rsidR="001C6F1D" w:rsidRPr="00AE13AD">
        <w:t xml:space="preserve">a </w:t>
      </w:r>
      <w:r w:rsidR="00FF7443" w:rsidRPr="00AE13AD">
        <w:t>whole</w:t>
      </w:r>
      <w:r w:rsidR="001C6F1D" w:rsidRPr="00AE13AD">
        <w:t>-</w:t>
      </w:r>
      <w:r w:rsidR="00FF7443" w:rsidRPr="00AE13AD">
        <w:t>of</w:t>
      </w:r>
      <w:r w:rsidR="001C6F1D" w:rsidRPr="00AE13AD">
        <w:t>-</w:t>
      </w:r>
      <w:r w:rsidR="00FF7443" w:rsidRPr="00AE13AD">
        <w:t xml:space="preserve">society approach, including </w:t>
      </w:r>
      <w:r w:rsidR="00E96C85">
        <w:t>by</w:t>
      </w:r>
      <w:r w:rsidR="00FF7443" w:rsidRPr="00AE13AD">
        <w:t xml:space="preserve"> rebuilding trust through justice and the rule of law, and the i</w:t>
      </w:r>
      <w:r w:rsidR="0099422D" w:rsidRPr="00AE13AD">
        <w:t>mplementation of h</w:t>
      </w:r>
      <w:r w:rsidR="00390A7D">
        <w:t>is</w:t>
      </w:r>
      <w:r w:rsidR="0099422D" w:rsidRPr="00AE13AD">
        <w:t xml:space="preserve"> </w:t>
      </w:r>
      <w:r w:rsidR="0075189E">
        <w:t>c</w:t>
      </w:r>
      <w:r w:rsidR="0099422D" w:rsidRPr="00AE13AD">
        <w:t xml:space="preserve">all </w:t>
      </w:r>
      <w:r w:rsidR="3F530B8B" w:rsidRPr="00AE13AD">
        <w:t>to</w:t>
      </w:r>
      <w:r w:rsidR="0099422D" w:rsidRPr="00AE13AD">
        <w:t xml:space="preserve"> </w:t>
      </w:r>
      <w:r w:rsidR="0075189E">
        <w:t>a</w:t>
      </w:r>
      <w:r w:rsidR="0099422D" w:rsidRPr="00AE13AD">
        <w:t xml:space="preserve">ction </w:t>
      </w:r>
      <w:r w:rsidR="04ECC24F" w:rsidRPr="00AE13AD">
        <w:t>for</w:t>
      </w:r>
      <w:r w:rsidR="0099422D" w:rsidRPr="00AE13AD">
        <w:t xml:space="preserve"> </w:t>
      </w:r>
      <w:r w:rsidR="0075189E">
        <w:t>h</w:t>
      </w:r>
      <w:r w:rsidR="0099422D" w:rsidRPr="00AE13AD">
        <w:t xml:space="preserve">uman </w:t>
      </w:r>
      <w:r w:rsidR="0075189E">
        <w:t>r</w:t>
      </w:r>
      <w:r w:rsidR="0099422D" w:rsidRPr="00AE13AD">
        <w:t>ights</w:t>
      </w:r>
      <w:r w:rsidR="00FF7443" w:rsidRPr="00AE13AD">
        <w:t>.</w:t>
      </w:r>
      <w:r w:rsidR="0099422D" w:rsidRPr="00AE13AD">
        <w:t xml:space="preserve"> </w:t>
      </w:r>
      <w:r w:rsidR="00F336FB" w:rsidRPr="00AE13AD">
        <w:t xml:space="preserve">In 2023, he adopted his New Vision for the Rule of Law, </w:t>
      </w:r>
      <w:r w:rsidR="004A6210">
        <w:t xml:space="preserve">in </w:t>
      </w:r>
      <w:r w:rsidR="00F336FB" w:rsidRPr="00AE13AD">
        <w:t xml:space="preserve">which </w:t>
      </w:r>
      <w:r w:rsidR="004A6210">
        <w:t xml:space="preserve">he </w:t>
      </w:r>
      <w:r w:rsidR="00F336FB" w:rsidRPr="00AE13AD">
        <w:t>highlight</w:t>
      </w:r>
      <w:r w:rsidR="00CD496B">
        <w:t>ed</w:t>
      </w:r>
      <w:r w:rsidR="00F336FB" w:rsidRPr="00AE13AD">
        <w:t xml:space="preserve"> </w:t>
      </w:r>
      <w:r w:rsidR="00CD496B">
        <w:t xml:space="preserve">that </w:t>
      </w:r>
      <w:r w:rsidR="00F336FB" w:rsidRPr="00AE13AD">
        <w:t xml:space="preserve">the rule of law </w:t>
      </w:r>
      <w:r w:rsidR="00D15334">
        <w:t>i</w:t>
      </w:r>
      <w:r w:rsidR="00F336FB" w:rsidRPr="00AE13AD">
        <w:t xml:space="preserve">s fundamental to lasting peace and security, and </w:t>
      </w:r>
      <w:r w:rsidR="006621EC">
        <w:t xml:space="preserve">is </w:t>
      </w:r>
      <w:r w:rsidR="00F336FB" w:rsidRPr="00AE13AD">
        <w:t xml:space="preserve">essential </w:t>
      </w:r>
      <w:r w:rsidR="00D15334">
        <w:t>for</w:t>
      </w:r>
      <w:r w:rsidR="00F336FB" w:rsidRPr="00AE13AD">
        <w:t xml:space="preserve"> addressing injustices and inequalities that fuel conflict and for protecting civilians in crisis and post-conflict situations.</w:t>
      </w:r>
      <w:r w:rsidR="006C73A9" w:rsidRPr="00AE13AD">
        <w:rPr>
          <w:rStyle w:val="FootnoteReference"/>
        </w:rPr>
        <w:footnoteReference w:id="12"/>
      </w:r>
      <w:r w:rsidR="00FF7443" w:rsidRPr="00AE13AD">
        <w:t xml:space="preserve"> The advancement of the rule of law is essential for the protection of all human rights, </w:t>
      </w:r>
      <w:r w:rsidR="00B5679C">
        <w:t>and</w:t>
      </w:r>
      <w:r w:rsidR="00042DA7" w:rsidRPr="00AE13AD">
        <w:t xml:space="preserve"> </w:t>
      </w:r>
      <w:r w:rsidR="00FF7443" w:rsidRPr="00AE13AD">
        <w:t>human rights are central to the rule of law.</w:t>
      </w:r>
      <w:r w:rsidR="00FF7443" w:rsidRPr="00AE13AD">
        <w:rPr>
          <w:rStyle w:val="FootnoteReference"/>
        </w:rPr>
        <w:footnoteReference w:id="13"/>
      </w:r>
      <w:r w:rsidR="0099422D" w:rsidRPr="00AE13AD">
        <w:t xml:space="preserve"> In 2023, the Secretary-General </w:t>
      </w:r>
      <w:r w:rsidR="00B5679C">
        <w:t xml:space="preserve">also </w:t>
      </w:r>
      <w:r w:rsidR="0099422D" w:rsidRPr="00AE13AD">
        <w:t xml:space="preserve">published </w:t>
      </w:r>
      <w:r w:rsidR="006E66B6">
        <w:t>A</w:t>
      </w:r>
      <w:r w:rsidR="0099422D" w:rsidRPr="00AE13AD">
        <w:t xml:space="preserve"> New Agenda for Peace</w:t>
      </w:r>
      <w:r w:rsidR="00FF7443" w:rsidRPr="00AE13AD">
        <w:t xml:space="preserve">, </w:t>
      </w:r>
      <w:r w:rsidR="006E66B6">
        <w:t xml:space="preserve">in </w:t>
      </w:r>
      <w:r w:rsidR="00FF7443" w:rsidRPr="00AE13AD">
        <w:t xml:space="preserve">which </w:t>
      </w:r>
      <w:r w:rsidR="006E66B6">
        <w:t xml:space="preserve">he </w:t>
      </w:r>
      <w:r w:rsidR="00FF7443" w:rsidRPr="00AE13AD">
        <w:t>recommend</w:t>
      </w:r>
      <w:r w:rsidR="006E66B6">
        <w:t>ed</w:t>
      </w:r>
      <w:r w:rsidR="00FF7443" w:rsidRPr="00AE13AD">
        <w:t xml:space="preserve"> the development of national prevention strategies to address the different drivers and enablers of violence and conflict in societies and </w:t>
      </w:r>
      <w:r w:rsidR="009330CB">
        <w:t xml:space="preserve">to </w:t>
      </w:r>
      <w:r w:rsidR="00FF7443" w:rsidRPr="00AE13AD">
        <w:t>strengthen national infrastructures for peace</w:t>
      </w:r>
      <w:r w:rsidR="005D0E29">
        <w:t xml:space="preserve">. Those strategies could </w:t>
      </w:r>
      <w:r w:rsidR="005C18BB">
        <w:t>help</w:t>
      </w:r>
      <w:r w:rsidR="00FF7443" w:rsidRPr="00AE13AD">
        <w:t xml:space="preserve"> reinforce State institutions, promote the rule of </w:t>
      </w:r>
      <w:proofErr w:type="gramStart"/>
      <w:r w:rsidR="00FF7443" w:rsidRPr="00AE13AD">
        <w:t>law</w:t>
      </w:r>
      <w:proofErr w:type="gramEnd"/>
      <w:r w:rsidR="00FF7443" w:rsidRPr="00AE13AD">
        <w:t xml:space="preserve"> and strengthen civil society and social cohesion.</w:t>
      </w:r>
      <w:r w:rsidR="0099422D" w:rsidRPr="00AE13AD">
        <w:rPr>
          <w:vertAlign w:val="superscript"/>
        </w:rPr>
        <w:footnoteReference w:id="14"/>
      </w:r>
    </w:p>
    <w:p w14:paraId="3BB3DE2E" w14:textId="4080EEBB" w:rsidR="00CB5257" w:rsidRPr="00C65EEA" w:rsidRDefault="0099422D" w:rsidP="00CB5257">
      <w:pPr>
        <w:pStyle w:val="H1G"/>
      </w:pPr>
      <w:r w:rsidRPr="00AE13AD">
        <w:tab/>
      </w:r>
      <w:r w:rsidRPr="00C65EEA">
        <w:t>B.</w:t>
      </w:r>
      <w:r w:rsidRPr="00C65EEA">
        <w:tab/>
        <w:t>Rule of law at the national level</w:t>
      </w:r>
    </w:p>
    <w:p w14:paraId="09A82D58" w14:textId="3C232C7D" w:rsidR="007D16D1" w:rsidRPr="00C65EEA" w:rsidRDefault="00C65EEA" w:rsidP="00C65EEA">
      <w:pPr>
        <w:pStyle w:val="H23G"/>
        <w:numPr>
          <w:ilvl w:val="0"/>
          <w:numId w:val="26"/>
        </w:numPr>
        <w:tabs>
          <w:tab w:val="left" w:pos="1560"/>
        </w:tabs>
        <w:ind w:left="1134" w:hanging="283"/>
      </w:pPr>
      <w:r>
        <w:tab/>
      </w:r>
      <w:r w:rsidR="007D16D1" w:rsidRPr="00C65EEA">
        <w:t>Introduction</w:t>
      </w:r>
    </w:p>
    <w:p w14:paraId="4315FBEF" w14:textId="1B728B62" w:rsidR="007D16D1" w:rsidRPr="00AE13AD" w:rsidRDefault="007D16D1" w:rsidP="00885429">
      <w:pPr>
        <w:pStyle w:val="SingleTxtG"/>
      </w:pPr>
      <w:r w:rsidRPr="00AE13AD">
        <w:t>7.</w:t>
      </w:r>
      <w:r w:rsidRPr="00AE13AD">
        <w:tab/>
      </w:r>
      <w:r w:rsidR="00885429" w:rsidRPr="00AE13AD">
        <w:t xml:space="preserve">At the national level, the rule of law is a framework of governance that enhances the State’s capacity to comply with its obligations under international human rights law by providing safeguards against the exercise of public authority in contravention of human rights obligations, by </w:t>
      </w:r>
      <w:r w:rsidR="00625081" w:rsidRPr="00AE13AD">
        <w:t>preventing</w:t>
      </w:r>
      <w:r w:rsidR="00885429" w:rsidRPr="00AE13AD">
        <w:t xml:space="preserve"> human rights abuse by third parties, and </w:t>
      </w:r>
      <w:r w:rsidR="00625081" w:rsidRPr="00AE13AD">
        <w:t xml:space="preserve">by </w:t>
      </w:r>
      <w:r w:rsidR="00885429" w:rsidRPr="00AE13AD">
        <w:t>ensu</w:t>
      </w:r>
      <w:r w:rsidR="00625081" w:rsidRPr="00AE13AD">
        <w:t>ring</w:t>
      </w:r>
      <w:r w:rsidR="00885429" w:rsidRPr="00AE13AD">
        <w:t xml:space="preserve"> procedural avenues to guarantee that human rights violations and abuses are remedied in accordance with international human rights law. </w:t>
      </w:r>
      <w:r w:rsidRPr="00AE13AD">
        <w:t xml:space="preserve">The following are examples </w:t>
      </w:r>
      <w:r w:rsidR="004B64E5" w:rsidRPr="00AE13AD">
        <w:t xml:space="preserve">of how </w:t>
      </w:r>
      <w:r w:rsidRPr="00AE13AD">
        <w:t xml:space="preserve">elements </w:t>
      </w:r>
      <w:r w:rsidR="004B64E5" w:rsidRPr="00AE13AD">
        <w:t xml:space="preserve">of </w:t>
      </w:r>
      <w:r w:rsidRPr="00AE13AD">
        <w:t>the rule of law</w:t>
      </w:r>
      <w:r w:rsidR="00DD7F40" w:rsidRPr="00AE13AD">
        <w:t xml:space="preserve"> </w:t>
      </w:r>
      <w:r w:rsidR="004B64E5" w:rsidRPr="00AE13AD">
        <w:t>and public institutions</w:t>
      </w:r>
      <w:r w:rsidR="00DD7F40" w:rsidRPr="00AE13AD">
        <w:t xml:space="preserve"> </w:t>
      </w:r>
      <w:r w:rsidRPr="00AE13AD">
        <w:t xml:space="preserve">can </w:t>
      </w:r>
      <w:r w:rsidR="004B64E5" w:rsidRPr="00AE13AD">
        <w:t xml:space="preserve">contribute to </w:t>
      </w:r>
      <w:r w:rsidR="001835DA">
        <w:t xml:space="preserve">the </w:t>
      </w:r>
      <w:r w:rsidR="004B64E5" w:rsidRPr="00AE13AD">
        <w:t>prevention</w:t>
      </w:r>
      <w:r w:rsidR="007F02EF" w:rsidRPr="00AE13AD">
        <w:t xml:space="preserve"> of violations and abuses</w:t>
      </w:r>
      <w:r w:rsidR="004B64E5" w:rsidRPr="00AE13AD">
        <w:t>.</w:t>
      </w:r>
    </w:p>
    <w:p w14:paraId="04AAB5EA" w14:textId="57A8DB36" w:rsidR="003D67ED" w:rsidRPr="00AE13AD" w:rsidRDefault="002A3192" w:rsidP="001564A0">
      <w:pPr>
        <w:pStyle w:val="H23G"/>
        <w:numPr>
          <w:ilvl w:val="0"/>
          <w:numId w:val="26"/>
        </w:numPr>
        <w:tabs>
          <w:tab w:val="clear" w:pos="851"/>
          <w:tab w:val="right" w:pos="1134"/>
        </w:tabs>
        <w:ind w:left="1701" w:hanging="850"/>
      </w:pPr>
      <w:r w:rsidRPr="00AE13AD">
        <w:t>Elements of the rule of law contributing to prevention</w:t>
      </w:r>
    </w:p>
    <w:p w14:paraId="24511AA9" w14:textId="67F14611" w:rsidR="002A3192" w:rsidRPr="00AE13AD" w:rsidRDefault="002A3192" w:rsidP="008A0231">
      <w:pPr>
        <w:pStyle w:val="H23G"/>
      </w:pPr>
      <w:r w:rsidRPr="00AE13AD">
        <w:tab/>
      </w:r>
      <w:r w:rsidR="009D383F">
        <w:t>(a)</w:t>
      </w:r>
      <w:r w:rsidRPr="00AE13AD">
        <w:tab/>
        <w:t>Limits to the arbitrary exercise of power</w:t>
      </w:r>
    </w:p>
    <w:p w14:paraId="692BBF20" w14:textId="01E1010A" w:rsidR="003D67ED" w:rsidRPr="00AE13AD" w:rsidRDefault="00533524" w:rsidP="003D67ED">
      <w:pPr>
        <w:pStyle w:val="SingleTxtG"/>
      </w:pPr>
      <w:r w:rsidRPr="00AE13AD">
        <w:t>8</w:t>
      </w:r>
      <w:r w:rsidR="00205908" w:rsidRPr="00AE13AD">
        <w:t>.</w:t>
      </w:r>
      <w:r w:rsidR="00205908" w:rsidRPr="00AE13AD">
        <w:tab/>
      </w:r>
      <w:r w:rsidR="003068C2" w:rsidRPr="00AE13AD">
        <w:t xml:space="preserve">As a principle of governance to </w:t>
      </w:r>
      <w:r w:rsidR="00FF7443" w:rsidRPr="00AE13AD">
        <w:t>constrain abuse of power</w:t>
      </w:r>
      <w:r w:rsidR="00896D6B" w:rsidRPr="00AE13AD">
        <w:t xml:space="preserve">, </w:t>
      </w:r>
      <w:r w:rsidR="009D221A" w:rsidRPr="00AE13AD">
        <w:t xml:space="preserve">essential elements of the rule of law entail </w:t>
      </w:r>
      <w:r w:rsidR="006C73A9" w:rsidRPr="00AE13AD">
        <w:t xml:space="preserve">ensuring </w:t>
      </w:r>
      <w:r w:rsidR="009D221A" w:rsidRPr="00AE13AD">
        <w:t xml:space="preserve">the </w:t>
      </w:r>
      <w:r w:rsidR="006C73A9" w:rsidRPr="00AE13AD">
        <w:t>supremacy of the law,</w:t>
      </w:r>
      <w:r w:rsidR="006C73A9" w:rsidRPr="00AE13AD">
        <w:rPr>
          <w:rStyle w:val="FootnoteReference"/>
        </w:rPr>
        <w:footnoteReference w:id="15"/>
      </w:r>
      <w:r w:rsidR="003068C2" w:rsidRPr="00AE13AD">
        <w:t xml:space="preserve"> equality before the law,</w:t>
      </w:r>
      <w:r w:rsidR="003068C2" w:rsidRPr="00AE13AD">
        <w:rPr>
          <w:rStyle w:val="FootnoteReference"/>
        </w:rPr>
        <w:footnoteReference w:id="16"/>
      </w:r>
      <w:r w:rsidR="006C73A9" w:rsidRPr="00AE13AD">
        <w:t xml:space="preserve"> </w:t>
      </w:r>
      <w:r w:rsidR="00112FF9" w:rsidRPr="00AE13AD">
        <w:t xml:space="preserve">avoiding </w:t>
      </w:r>
      <w:r w:rsidR="00EB4425" w:rsidRPr="00CF54A6">
        <w:t>unfettered discretion</w:t>
      </w:r>
      <w:r w:rsidR="001C2B30" w:rsidRPr="00CF54A6">
        <w:t xml:space="preserve"> </w:t>
      </w:r>
      <w:r w:rsidR="00F91C15">
        <w:t>for</w:t>
      </w:r>
      <w:r w:rsidR="001C2B30" w:rsidRPr="00CF54A6">
        <w:t xml:space="preserve"> </w:t>
      </w:r>
      <w:r w:rsidR="00C44BE2" w:rsidRPr="00CF54A6">
        <w:t>any</w:t>
      </w:r>
      <w:r w:rsidR="001C2B30" w:rsidRPr="00CF54A6">
        <w:t xml:space="preserve"> branch of government</w:t>
      </w:r>
      <w:r w:rsidR="00112FF9" w:rsidRPr="00CF54A6">
        <w:t>,</w:t>
      </w:r>
      <w:r w:rsidR="002725C2" w:rsidRPr="00CF54A6">
        <w:rPr>
          <w:rStyle w:val="FootnoteReference"/>
        </w:rPr>
        <w:footnoteReference w:id="17"/>
      </w:r>
      <w:r w:rsidR="001C2B30" w:rsidRPr="00CF54A6">
        <w:t xml:space="preserve"> </w:t>
      </w:r>
      <w:r w:rsidR="00112FF9" w:rsidRPr="00CF54A6">
        <w:t>and</w:t>
      </w:r>
      <w:r w:rsidR="00112FF9" w:rsidRPr="00AE13AD">
        <w:t xml:space="preserve"> </w:t>
      </w:r>
      <w:r w:rsidR="00857780" w:rsidRPr="00AE13AD">
        <w:t xml:space="preserve">adopting </w:t>
      </w:r>
      <w:r w:rsidR="00F91C15">
        <w:t xml:space="preserve">the </w:t>
      </w:r>
      <w:r w:rsidR="003068C2" w:rsidRPr="00AE13AD">
        <w:t xml:space="preserve">measures </w:t>
      </w:r>
      <w:r w:rsidR="005B0DBE" w:rsidRPr="00AE13AD">
        <w:t xml:space="preserve">necessary </w:t>
      </w:r>
      <w:r w:rsidR="006C73A9" w:rsidRPr="00AE13AD">
        <w:t xml:space="preserve">to ensure </w:t>
      </w:r>
      <w:r w:rsidR="00112FF9" w:rsidRPr="00AE13AD">
        <w:t>that</w:t>
      </w:r>
      <w:r w:rsidR="001C2B30" w:rsidRPr="00AE13AD">
        <w:t xml:space="preserve"> </w:t>
      </w:r>
      <w:r w:rsidR="00F87BBE" w:rsidRPr="00AE13AD">
        <w:t>mandate</w:t>
      </w:r>
      <w:r w:rsidR="00112FF9" w:rsidRPr="00AE13AD">
        <w:t>s</w:t>
      </w:r>
      <w:r w:rsidR="00F87BBE" w:rsidRPr="00AE13AD">
        <w:t xml:space="preserve"> </w:t>
      </w:r>
      <w:r w:rsidR="00112FF9" w:rsidRPr="00AE13AD">
        <w:t xml:space="preserve">are </w:t>
      </w:r>
      <w:r w:rsidR="00F87BBE" w:rsidRPr="00AE13AD">
        <w:t>exercised in conformity with constitutionally allocated powers.</w:t>
      </w:r>
      <w:r w:rsidR="00F87BBE" w:rsidRPr="00AE13AD">
        <w:rPr>
          <w:vertAlign w:val="superscript"/>
        </w:rPr>
        <w:footnoteReference w:id="18"/>
      </w:r>
      <w:r w:rsidR="00F87BBE" w:rsidRPr="00AE13AD">
        <w:t xml:space="preserve"> </w:t>
      </w:r>
      <w:r w:rsidR="00D63410" w:rsidRPr="00AE13AD">
        <w:t>These limits are crucial to avoiding human rights violations</w:t>
      </w:r>
      <w:r w:rsidR="007F02EF" w:rsidRPr="00AE13AD">
        <w:t xml:space="preserve"> and abuses</w:t>
      </w:r>
      <w:r w:rsidR="00D63410" w:rsidRPr="00AE13AD">
        <w:t xml:space="preserve">. </w:t>
      </w:r>
      <w:r w:rsidR="00706D8B" w:rsidRPr="00AE13AD">
        <w:t>Constitution-making is important</w:t>
      </w:r>
      <w:r w:rsidR="00C44BE2" w:rsidRPr="00AE13AD">
        <w:t>, particularly</w:t>
      </w:r>
      <w:r w:rsidR="00706D8B" w:rsidRPr="00AE13AD">
        <w:t xml:space="preserve"> as part of transitional justice frameworks in contexts dealing with widespread violations and abuses, </w:t>
      </w:r>
      <w:r w:rsidR="002968E3" w:rsidRPr="00AE13AD">
        <w:t xml:space="preserve">for its role in </w:t>
      </w:r>
      <w:r w:rsidR="00706D8B" w:rsidRPr="00AE13AD">
        <w:t xml:space="preserve">conflict prevention, resolution </w:t>
      </w:r>
      <w:r w:rsidR="00D63410" w:rsidRPr="00AE13AD">
        <w:t>and</w:t>
      </w:r>
      <w:r w:rsidR="00706D8B" w:rsidRPr="00AE13AD">
        <w:t xml:space="preserve"> peacebuilding strategies</w:t>
      </w:r>
      <w:r w:rsidR="00D63410" w:rsidRPr="00AE13AD">
        <w:t xml:space="preserve"> and non-recurrence of violations and abuse</w:t>
      </w:r>
      <w:r w:rsidR="002968E3" w:rsidRPr="00AE13AD">
        <w:t>s</w:t>
      </w:r>
      <w:r w:rsidR="00706D8B" w:rsidRPr="00AE13AD">
        <w:t>.</w:t>
      </w:r>
      <w:r w:rsidR="00706D8B" w:rsidRPr="00AE13AD">
        <w:rPr>
          <w:rStyle w:val="FootnoteReference"/>
        </w:rPr>
        <w:footnoteReference w:id="19"/>
      </w:r>
    </w:p>
    <w:p w14:paraId="6F1D64F6" w14:textId="2FF17CEE" w:rsidR="00706D8B" w:rsidRPr="00AE13AD" w:rsidRDefault="00533524" w:rsidP="003D67ED">
      <w:pPr>
        <w:pStyle w:val="SingleTxtG"/>
        <w:rPr>
          <w:b/>
          <w:bCs/>
        </w:rPr>
      </w:pPr>
      <w:r w:rsidRPr="00AE13AD">
        <w:t>9</w:t>
      </w:r>
      <w:r w:rsidR="003D67ED" w:rsidRPr="00AE13AD">
        <w:t>.</w:t>
      </w:r>
      <w:r w:rsidR="003D67ED" w:rsidRPr="00AE13AD">
        <w:tab/>
      </w:r>
      <w:r w:rsidR="003068C2" w:rsidRPr="00AE13AD">
        <w:t xml:space="preserve">The </w:t>
      </w:r>
      <w:r w:rsidR="00896D6B" w:rsidRPr="00AE13AD">
        <w:t>arbitrary exercise of power may</w:t>
      </w:r>
      <w:r w:rsidR="006E1A5F">
        <w:t>,</w:t>
      </w:r>
      <w:r w:rsidR="003068C2" w:rsidRPr="00AE13AD">
        <w:t xml:space="preserve"> in and of itself</w:t>
      </w:r>
      <w:r w:rsidR="006E1A5F">
        <w:t>,</w:t>
      </w:r>
      <w:r w:rsidR="003068C2" w:rsidRPr="00AE13AD">
        <w:t xml:space="preserve"> constitute</w:t>
      </w:r>
      <w:r w:rsidR="00D63410" w:rsidRPr="00AE13AD">
        <w:t xml:space="preserve"> a</w:t>
      </w:r>
      <w:r w:rsidR="003068C2" w:rsidRPr="00AE13AD">
        <w:t xml:space="preserve"> human rights violation</w:t>
      </w:r>
      <w:r w:rsidR="00896D6B" w:rsidRPr="00AE13AD">
        <w:t>.</w:t>
      </w:r>
      <w:r w:rsidR="003068C2" w:rsidRPr="00AE13AD">
        <w:t xml:space="preserve"> </w:t>
      </w:r>
      <w:r w:rsidR="00896D6B" w:rsidRPr="00AE13AD">
        <w:t>As noted by the Human Rights Committee,</w:t>
      </w:r>
      <w:r w:rsidR="007D16D1" w:rsidRPr="00AE13AD">
        <w:t xml:space="preserve"> </w:t>
      </w:r>
      <w:r w:rsidR="0058702E" w:rsidRPr="00AE13AD">
        <w:t>applying a provision of law to an individual in an arbitrary fashion may constitute a deprivation of the right to equality before the law</w:t>
      </w:r>
      <w:r w:rsidR="003068C2" w:rsidRPr="00AE13AD">
        <w:t>.</w:t>
      </w:r>
      <w:r w:rsidR="003068C2" w:rsidRPr="00AE13AD">
        <w:rPr>
          <w:rStyle w:val="FootnoteReference"/>
        </w:rPr>
        <w:footnoteReference w:id="20"/>
      </w:r>
      <w:r w:rsidR="00BC2E57">
        <w:t xml:space="preserve"> </w:t>
      </w:r>
      <w:r w:rsidR="007D16D1" w:rsidRPr="00AE13AD">
        <w:t>The granting of excessive discretion to other branches of government by the legislature can exacerbate r</w:t>
      </w:r>
      <w:r w:rsidR="001146CC" w:rsidRPr="00AE13AD">
        <w:t>isks of human rights violations and abuses</w:t>
      </w:r>
      <w:r w:rsidR="003D67ED" w:rsidRPr="00AE13AD">
        <w:t xml:space="preserve">. </w:t>
      </w:r>
      <w:r w:rsidR="007D16D1" w:rsidRPr="00AE13AD">
        <w:t xml:space="preserve">Such risks are </w:t>
      </w:r>
      <w:r w:rsidR="007D16D1" w:rsidRPr="00AE13AD">
        <w:lastRenderedPageBreak/>
        <w:t>particularly acute in the context of national security legislation and emergency powers.</w:t>
      </w:r>
      <w:r w:rsidR="007D16D1" w:rsidRPr="00AE13AD">
        <w:rPr>
          <w:vertAlign w:val="superscript"/>
        </w:rPr>
        <w:footnoteReference w:id="21"/>
      </w:r>
      <w:r w:rsidR="007D16D1" w:rsidRPr="00AE13AD">
        <w:rPr>
          <w:b/>
          <w:bCs/>
        </w:rPr>
        <w:t xml:space="preserve"> </w:t>
      </w:r>
      <w:r w:rsidR="00D63410" w:rsidRPr="00AE13AD">
        <w:t>At the same time, human rights law constrain</w:t>
      </w:r>
      <w:r w:rsidR="000A7452" w:rsidRPr="00AE13AD">
        <w:t>s</w:t>
      </w:r>
      <w:r w:rsidR="00D63410" w:rsidRPr="00AE13AD">
        <w:t xml:space="preserve"> the arbitrary exercise of power, </w:t>
      </w:r>
      <w:proofErr w:type="gramStart"/>
      <w:r w:rsidR="00D63410" w:rsidRPr="00AE13AD">
        <w:t>in particular through</w:t>
      </w:r>
      <w:proofErr w:type="gramEnd"/>
      <w:r w:rsidR="00D63410" w:rsidRPr="00AE13AD">
        <w:t xml:space="preserve"> the principles of legality</w:t>
      </w:r>
      <w:r w:rsidR="00206BCC" w:rsidRPr="00AE13AD">
        <w:t xml:space="preserve"> </w:t>
      </w:r>
      <w:r w:rsidR="00D63410" w:rsidRPr="00AE13AD">
        <w:t>in criminal law and the requirement that permissible restrictions to human rights be provided by law</w:t>
      </w:r>
      <w:r w:rsidR="000A7452" w:rsidRPr="00AE13AD">
        <w:t xml:space="preserve">, necessary and proportionate </w:t>
      </w:r>
      <w:r w:rsidR="00787CE7" w:rsidRPr="00AE13AD">
        <w:t>to achieving legitimate ends</w:t>
      </w:r>
      <w:r w:rsidR="00D63410" w:rsidRPr="00AE13AD">
        <w:t>.</w:t>
      </w:r>
      <w:r w:rsidR="00D63410" w:rsidRPr="00AE13AD">
        <w:rPr>
          <w:rStyle w:val="FootnoteReference"/>
        </w:rPr>
        <w:footnoteReference w:id="22"/>
      </w:r>
    </w:p>
    <w:p w14:paraId="482CCD9C" w14:textId="1C5D91DB" w:rsidR="009D221A" w:rsidRPr="00AE13AD" w:rsidRDefault="00533524" w:rsidP="003D67ED">
      <w:pPr>
        <w:pStyle w:val="SingleTxtG"/>
      </w:pPr>
      <w:r w:rsidRPr="00AE13AD">
        <w:t>10</w:t>
      </w:r>
      <w:r w:rsidR="00706D8B" w:rsidRPr="00AE13AD">
        <w:t>.</w:t>
      </w:r>
      <w:r w:rsidR="00706D8B" w:rsidRPr="00AE13AD">
        <w:tab/>
      </w:r>
      <w:r w:rsidR="009D221A" w:rsidRPr="00AE13AD">
        <w:t xml:space="preserve">Human rights treaties </w:t>
      </w:r>
      <w:r w:rsidR="004878C7" w:rsidRPr="00AE13AD">
        <w:t>impose an obligation on States</w:t>
      </w:r>
      <w:r w:rsidR="00883E6E" w:rsidRPr="00AE13AD">
        <w:t xml:space="preserve"> parties</w:t>
      </w:r>
      <w:r w:rsidR="004878C7" w:rsidRPr="00AE13AD">
        <w:t xml:space="preserve"> to</w:t>
      </w:r>
      <w:r w:rsidR="009D221A" w:rsidRPr="00AE13AD">
        <w:t xml:space="preserve"> </w:t>
      </w:r>
      <w:r w:rsidR="004878C7" w:rsidRPr="00AE13AD">
        <w:t>g</w:t>
      </w:r>
      <w:r w:rsidR="003068C2" w:rsidRPr="00AE13AD">
        <w:t xml:space="preserve">ive effect to </w:t>
      </w:r>
      <w:r w:rsidR="004878C7" w:rsidRPr="00AE13AD">
        <w:t xml:space="preserve">the provisions </w:t>
      </w:r>
      <w:r w:rsidR="00021C8A">
        <w:t xml:space="preserve">of the treaties </w:t>
      </w:r>
      <w:r w:rsidR="003068C2" w:rsidRPr="00AE13AD">
        <w:t>in their domestic legal systems</w:t>
      </w:r>
      <w:r w:rsidR="00625081" w:rsidRPr="00AE13AD">
        <w:t>,</w:t>
      </w:r>
      <w:r w:rsidR="004878C7" w:rsidRPr="00AE13AD">
        <w:rPr>
          <w:rStyle w:val="FootnoteReference"/>
        </w:rPr>
        <w:footnoteReference w:id="23"/>
      </w:r>
      <w:r w:rsidR="003068C2" w:rsidRPr="00AE13AD">
        <w:t xml:space="preserve"> </w:t>
      </w:r>
      <w:r w:rsidR="00625081" w:rsidRPr="00AE13AD">
        <w:t>and m</w:t>
      </w:r>
      <w:r w:rsidR="003D67ED" w:rsidRPr="00AE13AD">
        <w:t>any m</w:t>
      </w:r>
      <w:r w:rsidR="006C73A9" w:rsidRPr="00AE13AD">
        <w:t>odern constitutions recogni</w:t>
      </w:r>
      <w:r w:rsidR="00D63410" w:rsidRPr="00AE13AD">
        <w:t>z</w:t>
      </w:r>
      <w:r w:rsidR="006C73A9" w:rsidRPr="00AE13AD">
        <w:t>e human rights</w:t>
      </w:r>
      <w:r w:rsidR="0008588D" w:rsidRPr="00AE13AD">
        <w:t xml:space="preserve"> explicitly</w:t>
      </w:r>
      <w:r w:rsidR="001E4966" w:rsidRPr="00AE13AD">
        <w:t>, albeit to differing degrees</w:t>
      </w:r>
      <w:r w:rsidR="004878C7" w:rsidRPr="00AE13AD">
        <w:t>.</w:t>
      </w:r>
      <w:r w:rsidR="006C73A9" w:rsidRPr="00AE13AD">
        <w:rPr>
          <w:rStyle w:val="FootnoteReference"/>
        </w:rPr>
        <w:footnoteReference w:id="24"/>
      </w:r>
      <w:r w:rsidR="006C73A9" w:rsidRPr="00AE13AD">
        <w:t xml:space="preserve"> </w:t>
      </w:r>
      <w:r w:rsidR="003D67ED" w:rsidRPr="00AE13AD">
        <w:t>The c</w:t>
      </w:r>
      <w:r w:rsidR="004878C7" w:rsidRPr="00AE13AD">
        <w:t xml:space="preserve">odification </w:t>
      </w:r>
      <w:r w:rsidR="003D67ED" w:rsidRPr="00AE13AD">
        <w:t xml:space="preserve">of human rights </w:t>
      </w:r>
      <w:r w:rsidR="004878C7" w:rsidRPr="00AE13AD">
        <w:t xml:space="preserve">in hierarchically superior norms </w:t>
      </w:r>
      <w:r w:rsidR="003D67ED" w:rsidRPr="00AE13AD">
        <w:t xml:space="preserve">under </w:t>
      </w:r>
      <w:r w:rsidR="004878C7" w:rsidRPr="00AE13AD">
        <w:t xml:space="preserve">domestic law may </w:t>
      </w:r>
      <w:r w:rsidR="003D67ED" w:rsidRPr="00AE13AD">
        <w:t>not only</w:t>
      </w:r>
      <w:r w:rsidR="00625081" w:rsidRPr="00AE13AD">
        <w:t xml:space="preserve"> constitute an</w:t>
      </w:r>
      <w:r w:rsidR="003D67ED" w:rsidRPr="00AE13AD">
        <w:t xml:space="preserve"> important political symbol</w:t>
      </w:r>
      <w:r w:rsidR="00625081" w:rsidRPr="00AE13AD">
        <w:t xml:space="preserve"> of the values prioriti</w:t>
      </w:r>
      <w:r w:rsidR="00D63410" w:rsidRPr="00AE13AD">
        <w:t>z</w:t>
      </w:r>
      <w:r w:rsidR="00625081" w:rsidRPr="00AE13AD">
        <w:t>ed by the State</w:t>
      </w:r>
      <w:r w:rsidR="003D67ED" w:rsidRPr="00AE13AD">
        <w:t xml:space="preserve">, but also </w:t>
      </w:r>
      <w:r w:rsidR="001E4966" w:rsidRPr="00AE13AD">
        <w:t xml:space="preserve">provides </w:t>
      </w:r>
      <w:r w:rsidR="004878C7" w:rsidRPr="00AE13AD">
        <w:t xml:space="preserve">an additional domestic guarantee </w:t>
      </w:r>
      <w:r w:rsidR="001E4966" w:rsidRPr="00AE13AD">
        <w:t xml:space="preserve">against </w:t>
      </w:r>
      <w:r w:rsidR="00D63410" w:rsidRPr="00AE13AD">
        <w:t xml:space="preserve">arbitrary exercise of power and </w:t>
      </w:r>
      <w:r w:rsidR="004878C7" w:rsidRPr="00AE13AD">
        <w:t xml:space="preserve">undue </w:t>
      </w:r>
      <w:r w:rsidR="003D67ED" w:rsidRPr="00AE13AD">
        <w:t>rights restrictions</w:t>
      </w:r>
      <w:r w:rsidR="004878C7" w:rsidRPr="00AE13AD">
        <w:t>.</w:t>
      </w:r>
      <w:r w:rsidR="006C73A9" w:rsidRPr="00AE13AD">
        <w:rPr>
          <w:rStyle w:val="FootnoteReference"/>
        </w:rPr>
        <w:footnoteReference w:id="25"/>
      </w:r>
    </w:p>
    <w:p w14:paraId="0C8E5491" w14:textId="577EECFB" w:rsidR="007D16D1" w:rsidRPr="00AE13AD" w:rsidRDefault="007D16D1" w:rsidP="009D383F">
      <w:pPr>
        <w:pStyle w:val="H23G"/>
      </w:pPr>
      <w:r w:rsidRPr="00AE13AD">
        <w:tab/>
      </w:r>
      <w:r w:rsidR="00043036">
        <w:t>(b)</w:t>
      </w:r>
      <w:r w:rsidR="00C24A9E" w:rsidRPr="00AE13AD">
        <w:tab/>
      </w:r>
      <w:r w:rsidR="003E0E71" w:rsidRPr="00AE13AD">
        <w:t>A</w:t>
      </w:r>
      <w:r w:rsidRPr="00AE13AD">
        <w:t>ccountability for the exercise of public power</w:t>
      </w:r>
    </w:p>
    <w:p w14:paraId="7FA94A5D" w14:textId="4CB13089" w:rsidR="00DF3BF3" w:rsidRPr="00AE13AD" w:rsidRDefault="00533524" w:rsidP="006D3485">
      <w:pPr>
        <w:pStyle w:val="SingleTxtG"/>
      </w:pPr>
      <w:r w:rsidRPr="00AE13AD">
        <w:t>11</w:t>
      </w:r>
      <w:r w:rsidR="009D221A" w:rsidRPr="00AE13AD">
        <w:t>.</w:t>
      </w:r>
      <w:r w:rsidR="009D221A" w:rsidRPr="00AE13AD">
        <w:tab/>
      </w:r>
      <w:r w:rsidR="00D35B13" w:rsidRPr="00AE13AD">
        <w:t>The maintenance of p</w:t>
      </w:r>
      <w:r w:rsidR="00F82266" w:rsidRPr="00AE13AD">
        <w:t>rocedures and mechanisms to ensure a</w:t>
      </w:r>
      <w:r w:rsidR="009D221A" w:rsidRPr="00AE13AD">
        <w:t>ccountability for misconduct</w:t>
      </w:r>
      <w:r w:rsidR="00F82266" w:rsidRPr="00AE13AD">
        <w:t xml:space="preserve"> is </w:t>
      </w:r>
      <w:r w:rsidR="000062B9" w:rsidRPr="00AE13AD">
        <w:t>a</w:t>
      </w:r>
      <w:r w:rsidR="00F82266" w:rsidRPr="00AE13AD">
        <w:t xml:space="preserve"> central rule of law requirement</w:t>
      </w:r>
      <w:r w:rsidR="009D221A" w:rsidRPr="00AE13AD">
        <w:t>,</w:t>
      </w:r>
      <w:r w:rsidR="009D221A" w:rsidRPr="00AE13AD">
        <w:rPr>
          <w:rStyle w:val="FootnoteReference"/>
        </w:rPr>
        <w:footnoteReference w:id="26"/>
      </w:r>
      <w:r w:rsidR="009D221A" w:rsidRPr="00AE13AD">
        <w:t xml:space="preserve"> </w:t>
      </w:r>
      <w:r w:rsidR="006D3485" w:rsidRPr="00AE13AD">
        <w:t xml:space="preserve">which can contribute to the </w:t>
      </w:r>
      <w:r w:rsidR="007129BC" w:rsidRPr="00AE13AD">
        <w:t xml:space="preserve">promotion </w:t>
      </w:r>
      <w:r w:rsidR="006D3485" w:rsidRPr="00AE13AD">
        <w:t xml:space="preserve">of human rights compliance and the </w:t>
      </w:r>
      <w:r w:rsidR="007129BC" w:rsidRPr="00AE13AD">
        <w:t>prevention of impunity</w:t>
      </w:r>
      <w:r w:rsidR="006D3485" w:rsidRPr="00AE13AD">
        <w:t>. Accountability is g</w:t>
      </w:r>
      <w:r w:rsidR="009D221A" w:rsidRPr="00AE13AD">
        <w:t>uaranteed in part through rules regulating the conduct of public officials, including rules regulating conflict</w:t>
      </w:r>
      <w:r w:rsidR="00D728AD">
        <w:t>s</w:t>
      </w:r>
      <w:r w:rsidR="009D221A" w:rsidRPr="00AE13AD">
        <w:t xml:space="preserve"> of interest.</w:t>
      </w:r>
      <w:r w:rsidR="00DE61B7" w:rsidRPr="00AE13AD">
        <w:t xml:space="preserve"> In this respect, a survey conducted among </w:t>
      </w:r>
      <w:r w:rsidR="006D3485" w:rsidRPr="00AE13AD">
        <w:t>several States</w:t>
      </w:r>
      <w:r w:rsidR="00DE61B7" w:rsidRPr="00AE13AD">
        <w:t xml:space="preserve"> indicated a lack</w:t>
      </w:r>
      <w:r w:rsidR="00D35B13" w:rsidRPr="00AE13AD">
        <w:t xml:space="preserve"> of</w:t>
      </w:r>
      <w:r w:rsidR="00DE61B7" w:rsidRPr="00AE13AD">
        <w:t xml:space="preserve"> implementation of </w:t>
      </w:r>
      <w:r w:rsidR="0058702E" w:rsidRPr="00AE13AD">
        <w:t xml:space="preserve">their </w:t>
      </w:r>
      <w:r w:rsidR="00EA4AEE" w:rsidRPr="00AE13AD">
        <w:t>conflict-of-interest</w:t>
      </w:r>
      <w:r w:rsidR="00DE61B7" w:rsidRPr="00AE13AD">
        <w:t xml:space="preserve"> rules</w:t>
      </w:r>
      <w:r w:rsidR="00F82266" w:rsidRPr="00AE13AD">
        <w:t>.</w:t>
      </w:r>
      <w:r w:rsidR="00F82266" w:rsidRPr="00AE13AD">
        <w:rPr>
          <w:rStyle w:val="FootnoteReference"/>
        </w:rPr>
        <w:footnoteReference w:id="27"/>
      </w:r>
      <w:r w:rsidR="00A53C70" w:rsidRPr="00AE13AD">
        <w:t xml:space="preserve"> </w:t>
      </w:r>
      <w:r w:rsidR="006D3485" w:rsidRPr="00AE13AD">
        <w:t xml:space="preserve">Accountability </w:t>
      </w:r>
      <w:r w:rsidR="00D35B13" w:rsidRPr="00AE13AD">
        <w:t>is also guaranteed through</w:t>
      </w:r>
      <w:r w:rsidR="00D91B03" w:rsidRPr="00AE13AD">
        <w:t xml:space="preserve"> </w:t>
      </w:r>
      <w:r w:rsidR="00D96947" w:rsidRPr="00AE13AD">
        <w:t>the establishment of</w:t>
      </w:r>
      <w:r w:rsidR="00A53C70" w:rsidRPr="00AE13AD">
        <w:t xml:space="preserve"> </w:t>
      </w:r>
      <w:r w:rsidR="00F82266" w:rsidRPr="00AE13AD">
        <w:t>internal procedures</w:t>
      </w:r>
      <w:r w:rsidR="009D221A" w:rsidRPr="00AE13AD">
        <w:t xml:space="preserve"> and oversight mechanism</w:t>
      </w:r>
      <w:r w:rsidR="00D96947" w:rsidRPr="00AE13AD">
        <w:t>s</w:t>
      </w:r>
      <w:r w:rsidR="006D3485" w:rsidRPr="00AE13AD">
        <w:t xml:space="preserve"> to address misconduct</w:t>
      </w:r>
      <w:r w:rsidR="009D221A" w:rsidRPr="00AE13AD">
        <w:t>, as well as independent external oversight, including</w:t>
      </w:r>
      <w:r w:rsidR="00F82266" w:rsidRPr="00AE13AD">
        <w:t>, where applicable,</w:t>
      </w:r>
      <w:r w:rsidR="009D221A" w:rsidRPr="00AE13AD">
        <w:t xml:space="preserve"> </w:t>
      </w:r>
      <w:r w:rsidR="00D96947" w:rsidRPr="00AE13AD">
        <w:t xml:space="preserve">through </w:t>
      </w:r>
      <w:r w:rsidR="00F82266" w:rsidRPr="00AE13AD">
        <w:t xml:space="preserve">criminal investigation, </w:t>
      </w:r>
      <w:proofErr w:type="gramStart"/>
      <w:r w:rsidR="009D221A" w:rsidRPr="00AE13AD">
        <w:t>prosecution</w:t>
      </w:r>
      <w:proofErr w:type="gramEnd"/>
      <w:r w:rsidR="009D221A" w:rsidRPr="00AE13AD">
        <w:t xml:space="preserve"> and punishment of offenders.</w:t>
      </w:r>
      <w:r w:rsidR="009F4706" w:rsidRPr="00AE13AD">
        <w:rPr>
          <w:rStyle w:val="FootnoteReference"/>
        </w:rPr>
        <w:footnoteReference w:id="28"/>
      </w:r>
    </w:p>
    <w:p w14:paraId="25E4321E" w14:textId="431C3521" w:rsidR="009D221A" w:rsidRPr="00AE13AD" w:rsidRDefault="00DF3BF3" w:rsidP="00A53C70">
      <w:pPr>
        <w:pStyle w:val="SingleTxtG"/>
      </w:pPr>
      <w:r w:rsidRPr="00AE13AD">
        <w:t>1</w:t>
      </w:r>
      <w:r w:rsidR="00533524" w:rsidRPr="00AE13AD">
        <w:t>2</w:t>
      </w:r>
      <w:r w:rsidR="003112C1">
        <w:t>.</w:t>
      </w:r>
      <w:r w:rsidRPr="00AE13AD">
        <w:tab/>
      </w:r>
      <w:r w:rsidR="00D35B13" w:rsidRPr="00AE13AD">
        <w:t xml:space="preserve">Accountability remains important even where </w:t>
      </w:r>
      <w:r w:rsidR="00206BCC" w:rsidRPr="00AE13AD">
        <w:t xml:space="preserve">the provision of </w:t>
      </w:r>
      <w:r w:rsidR="00D35B13" w:rsidRPr="00AE13AD">
        <w:t xml:space="preserve">public </w:t>
      </w:r>
      <w:r w:rsidR="00206BCC" w:rsidRPr="00AE13AD">
        <w:t>services</w:t>
      </w:r>
      <w:r w:rsidR="00D35B13" w:rsidRPr="00AE13AD">
        <w:t xml:space="preserve"> </w:t>
      </w:r>
      <w:r w:rsidR="00F64C84">
        <w:t>is</w:t>
      </w:r>
      <w:r w:rsidR="00D35B13" w:rsidRPr="00AE13AD">
        <w:t xml:space="preserve"> transferred to the private sector.</w:t>
      </w:r>
      <w:r w:rsidR="00D35B13" w:rsidRPr="00AE13AD">
        <w:rPr>
          <w:rStyle w:val="FootnoteReference"/>
        </w:rPr>
        <w:footnoteReference w:id="29"/>
      </w:r>
      <w:r w:rsidR="00D35B13" w:rsidRPr="00AE13AD">
        <w:t xml:space="preserve"> An example is the privatization of certain goods and services relat</w:t>
      </w:r>
      <w:r w:rsidR="003112C1">
        <w:t>ing</w:t>
      </w:r>
      <w:r w:rsidR="00D35B13" w:rsidRPr="00AE13AD">
        <w:t xml:space="preserve"> to the enjoyment of economic, </w:t>
      </w:r>
      <w:proofErr w:type="gramStart"/>
      <w:r w:rsidR="00D35B13" w:rsidRPr="00AE13AD">
        <w:t>social</w:t>
      </w:r>
      <w:proofErr w:type="gramEnd"/>
      <w:r w:rsidR="00D35B13" w:rsidRPr="00AE13AD">
        <w:t xml:space="preserve"> and cultural rights.</w:t>
      </w:r>
      <w:r w:rsidR="009523D4" w:rsidRPr="00AE13AD">
        <w:t xml:space="preserve"> Th</w:t>
      </w:r>
      <w:r w:rsidR="00A53C70" w:rsidRPr="00AE13AD">
        <w:t>e Committee on Economic</w:t>
      </w:r>
      <w:r w:rsidR="00383F37">
        <w:t>,</w:t>
      </w:r>
      <w:r w:rsidR="00A53C70" w:rsidRPr="00AE13AD">
        <w:t xml:space="preserve"> Social and Cultural Rights has recommended that measures should be adopted to ensure the right of individuals to participate in assessing the adequacy of the provision of such goods and services.</w:t>
      </w:r>
      <w:r w:rsidR="00A53C70" w:rsidRPr="00AE13AD">
        <w:rPr>
          <w:rStyle w:val="FootnoteReference"/>
        </w:rPr>
        <w:footnoteReference w:id="30"/>
      </w:r>
    </w:p>
    <w:p w14:paraId="29DE817C" w14:textId="30C6A507" w:rsidR="007D16D1" w:rsidRPr="008A0231" w:rsidRDefault="007D16D1" w:rsidP="007D16D1">
      <w:pPr>
        <w:pStyle w:val="H23G"/>
      </w:pPr>
      <w:r w:rsidRPr="00AE13AD">
        <w:tab/>
      </w:r>
      <w:r w:rsidR="00043036">
        <w:t>(c)</w:t>
      </w:r>
      <w:r w:rsidR="00C24A9E" w:rsidRPr="00AE13AD">
        <w:tab/>
      </w:r>
      <w:r w:rsidR="003E0E71" w:rsidRPr="008A0231">
        <w:t>T</w:t>
      </w:r>
      <w:r w:rsidRPr="008A0231">
        <w:t>ransparency</w:t>
      </w:r>
      <w:r w:rsidR="00CB2988" w:rsidRPr="008A0231">
        <w:t xml:space="preserve"> of public institutions</w:t>
      </w:r>
    </w:p>
    <w:p w14:paraId="60B9F120" w14:textId="4091E021" w:rsidR="00DF3BF3" w:rsidRPr="00AE13AD" w:rsidRDefault="001146CC" w:rsidP="00FD3D22">
      <w:pPr>
        <w:pStyle w:val="SingleTxtG"/>
      </w:pPr>
      <w:r w:rsidRPr="00AE13AD">
        <w:t>1</w:t>
      </w:r>
      <w:r w:rsidR="00533524" w:rsidRPr="00AE13AD">
        <w:t>3</w:t>
      </w:r>
      <w:r w:rsidRPr="00AE13AD">
        <w:t>.</w:t>
      </w:r>
      <w:r w:rsidRPr="00AE13AD">
        <w:tab/>
        <w:t>A central component of the rule of law entails the publicity and accessibility of</w:t>
      </w:r>
      <w:r w:rsidR="00A53C70" w:rsidRPr="00AE13AD">
        <w:t xml:space="preserve"> information, such as </w:t>
      </w:r>
      <w:r w:rsidRPr="00AE13AD">
        <w:t>laws</w:t>
      </w:r>
      <w:r w:rsidR="00506F9B" w:rsidRPr="00AE13AD">
        <w:t xml:space="preserve">, regulations </w:t>
      </w:r>
      <w:r w:rsidR="003F4318" w:rsidRPr="00AE13AD">
        <w:t>and policies,</w:t>
      </w:r>
      <w:r w:rsidRPr="00AE13AD">
        <w:t xml:space="preserve"> and </w:t>
      </w:r>
      <w:r w:rsidR="003F4318" w:rsidRPr="00AE13AD">
        <w:t xml:space="preserve">judicial and key administrative </w:t>
      </w:r>
      <w:r w:rsidRPr="00AE13AD">
        <w:t>decisions.</w:t>
      </w:r>
      <w:r w:rsidRPr="00AE13AD">
        <w:rPr>
          <w:rStyle w:val="FootnoteReference"/>
        </w:rPr>
        <w:footnoteReference w:id="31"/>
      </w:r>
      <w:r w:rsidRPr="00AE13AD">
        <w:t xml:space="preserve"> </w:t>
      </w:r>
      <w:r w:rsidR="00EF2504" w:rsidRPr="00AE13AD">
        <w:t>O</w:t>
      </w:r>
      <w:r w:rsidRPr="00AE13AD">
        <w:t>penness and transparency of government, including through a right of access to information that is generally applicable</w:t>
      </w:r>
      <w:r w:rsidR="007F497D" w:rsidRPr="00AE13AD">
        <w:t>,</w:t>
      </w:r>
      <w:r w:rsidRPr="00AE13AD">
        <w:t xml:space="preserve"> and the adoption of measures to ensure the proactive publication of information of general interest</w:t>
      </w:r>
      <w:r w:rsidR="007F497D" w:rsidRPr="00AE13AD">
        <w:t xml:space="preserve"> are essential</w:t>
      </w:r>
      <w:r w:rsidR="00AF195D" w:rsidRPr="00AE13AD">
        <w:t xml:space="preserve">, </w:t>
      </w:r>
      <w:r w:rsidR="00821AC4">
        <w:t>including</w:t>
      </w:r>
      <w:r w:rsidR="00AF195D" w:rsidRPr="00AE13AD">
        <w:t xml:space="preserve"> </w:t>
      </w:r>
      <w:r w:rsidR="004E3407">
        <w:t xml:space="preserve">for </w:t>
      </w:r>
      <w:r w:rsidR="00AF195D" w:rsidRPr="00AE13AD">
        <w:t xml:space="preserve"> individuals to </w:t>
      </w:r>
      <w:r w:rsidR="004E3407">
        <w:t xml:space="preserve">be able to </w:t>
      </w:r>
      <w:r w:rsidR="00AF195D" w:rsidRPr="00AE13AD">
        <w:t>exercise their rights</w:t>
      </w:r>
      <w:r w:rsidR="00821AC4" w:rsidRPr="00821AC4">
        <w:t xml:space="preserve"> </w:t>
      </w:r>
      <w:r w:rsidR="00821AC4" w:rsidRPr="00AE13AD">
        <w:t>effectively</w:t>
      </w:r>
      <w:r w:rsidRPr="00AE13AD">
        <w:t>.</w:t>
      </w:r>
      <w:r w:rsidRPr="00AE13AD">
        <w:rPr>
          <w:rStyle w:val="FootnoteReference"/>
        </w:rPr>
        <w:footnoteReference w:id="32"/>
      </w:r>
      <w:r w:rsidRPr="00AE13AD">
        <w:t xml:space="preserve"> </w:t>
      </w:r>
      <w:r w:rsidR="009873E9" w:rsidRPr="00AE13AD">
        <w:t>In this respect, concerns have been raised</w:t>
      </w:r>
      <w:r w:rsidR="009523D4" w:rsidRPr="00AE13AD">
        <w:t xml:space="preserve"> </w:t>
      </w:r>
      <w:r w:rsidR="009873E9" w:rsidRPr="00AE13AD">
        <w:t xml:space="preserve">that States have adopted unduly broad interpretations of national security </w:t>
      </w:r>
      <w:r w:rsidR="00230BEA" w:rsidRPr="00AE13AD">
        <w:t xml:space="preserve">and other </w:t>
      </w:r>
      <w:r w:rsidR="00230BEA" w:rsidRPr="00AE13AD">
        <w:lastRenderedPageBreak/>
        <w:t xml:space="preserve">State interests </w:t>
      </w:r>
      <w:r w:rsidR="009873E9" w:rsidRPr="00AE13AD">
        <w:t>to restrict access to information, such as</w:t>
      </w:r>
      <w:r w:rsidR="00230BEA" w:rsidRPr="00AE13AD">
        <w:t>, for example,</w:t>
      </w:r>
      <w:r w:rsidR="009873E9" w:rsidRPr="00AE13AD">
        <w:t xml:space="preserve"> information relating to arms transfers, </w:t>
      </w:r>
      <w:r w:rsidR="003901FB" w:rsidRPr="00AE13AD">
        <w:t xml:space="preserve">preventing public scrutiny and </w:t>
      </w:r>
      <w:r w:rsidR="009873E9" w:rsidRPr="00AE13AD">
        <w:t>affecting parliamentary oversight o</w:t>
      </w:r>
      <w:r w:rsidR="0049454C">
        <w:t>f</w:t>
      </w:r>
      <w:r w:rsidR="009873E9" w:rsidRPr="00AE13AD">
        <w:t xml:space="preserve"> the executive branch.</w:t>
      </w:r>
      <w:r w:rsidR="009873E9" w:rsidRPr="00AE13AD">
        <w:rPr>
          <w:rStyle w:val="FootnoteReference"/>
        </w:rPr>
        <w:footnoteReference w:id="33"/>
      </w:r>
    </w:p>
    <w:p w14:paraId="0D4C02F6" w14:textId="18274747" w:rsidR="001146CC" w:rsidRPr="00AE13AD" w:rsidRDefault="00DF3BF3" w:rsidP="00FD3D22">
      <w:pPr>
        <w:pStyle w:val="SingleTxtG"/>
      </w:pPr>
      <w:r w:rsidRPr="00AE13AD">
        <w:t>1</w:t>
      </w:r>
      <w:r w:rsidR="00533524" w:rsidRPr="00AE13AD">
        <w:t>4</w:t>
      </w:r>
      <w:r w:rsidRPr="00AE13AD">
        <w:t>.</w:t>
      </w:r>
      <w:r w:rsidRPr="00AE13AD">
        <w:tab/>
      </w:r>
      <w:r w:rsidR="00625081" w:rsidRPr="00AE13AD">
        <w:t>The e</w:t>
      </w:r>
      <w:r w:rsidR="003075E6" w:rsidRPr="00AE13AD">
        <w:t>ffective protection of whistle-blowers</w:t>
      </w:r>
      <w:r w:rsidR="00345F40" w:rsidRPr="00AE13AD">
        <w:t xml:space="preserve"> and journalistic sources</w:t>
      </w:r>
      <w:r w:rsidR="003075E6" w:rsidRPr="00AE13AD">
        <w:t xml:space="preserve"> is an important safeguard to ensure the public’s right to receive information in the general interest</w:t>
      </w:r>
      <w:r w:rsidR="00625081" w:rsidRPr="00AE13AD">
        <w:t xml:space="preserve"> where </w:t>
      </w:r>
      <w:r w:rsidR="009873E9" w:rsidRPr="00AE13AD">
        <w:t>the State has not provided</w:t>
      </w:r>
      <w:r w:rsidR="00B034AE" w:rsidRPr="00AE13AD">
        <w:t xml:space="preserve"> or resists provision of</w:t>
      </w:r>
      <w:r w:rsidR="009873E9" w:rsidRPr="00AE13AD">
        <w:t xml:space="preserve"> </w:t>
      </w:r>
      <w:r w:rsidR="00625081" w:rsidRPr="00AE13AD">
        <w:t>such information</w:t>
      </w:r>
      <w:r w:rsidR="003075E6" w:rsidRPr="00AE13AD">
        <w:t>,</w:t>
      </w:r>
      <w:r w:rsidR="001146CC" w:rsidRPr="00AE13AD">
        <w:rPr>
          <w:rStyle w:val="FootnoteReference"/>
        </w:rPr>
        <w:footnoteReference w:id="34"/>
      </w:r>
      <w:r w:rsidR="003075E6" w:rsidRPr="00AE13AD">
        <w:t xml:space="preserve"> and to </w:t>
      </w:r>
      <w:r w:rsidR="00CF312E" w:rsidRPr="00AE13AD">
        <w:t>promote accountability for misconduct</w:t>
      </w:r>
      <w:r w:rsidR="003075E6" w:rsidRPr="00AE13AD">
        <w:t>.</w:t>
      </w:r>
      <w:r w:rsidR="001146CC" w:rsidRPr="00AE13AD">
        <w:t xml:space="preserve"> </w:t>
      </w:r>
      <w:r w:rsidR="003075E6" w:rsidRPr="00AE13AD">
        <w:t>Moreover, t</w:t>
      </w:r>
      <w:r w:rsidR="001146CC" w:rsidRPr="00AE13AD">
        <w:t xml:space="preserve">ransparency in lobbying can contribute to strengthening confidence in political </w:t>
      </w:r>
      <w:r w:rsidR="009D221A" w:rsidRPr="00AE13AD">
        <w:t>systems and</w:t>
      </w:r>
      <w:r w:rsidR="001146CC" w:rsidRPr="00AE13AD">
        <w:t xml:space="preserve"> to a transparent framework of public participation in decision-making.</w:t>
      </w:r>
      <w:r w:rsidR="001146CC" w:rsidRPr="00AE13AD">
        <w:rPr>
          <w:rStyle w:val="FootnoteReference"/>
        </w:rPr>
        <w:footnoteReference w:id="35"/>
      </w:r>
    </w:p>
    <w:p w14:paraId="19E72745" w14:textId="6F90C9EB" w:rsidR="007D16D1" w:rsidRPr="008A0231" w:rsidRDefault="007D16D1" w:rsidP="007D16D1">
      <w:pPr>
        <w:pStyle w:val="H23G"/>
      </w:pPr>
      <w:r w:rsidRPr="00AE13AD">
        <w:tab/>
      </w:r>
      <w:r w:rsidR="00676E07">
        <w:t>(d)</w:t>
      </w:r>
      <w:r w:rsidR="00C24A9E" w:rsidRPr="00AE13AD">
        <w:tab/>
      </w:r>
      <w:r w:rsidRPr="008A0231">
        <w:t>Participation in decision-making</w:t>
      </w:r>
    </w:p>
    <w:p w14:paraId="487647DF" w14:textId="35E63933" w:rsidR="00DF3BF3" w:rsidRPr="00AE13AD" w:rsidRDefault="0006727A" w:rsidP="00DF3BF3">
      <w:pPr>
        <w:pStyle w:val="SingleTxtG"/>
      </w:pPr>
      <w:r w:rsidRPr="00AE13AD">
        <w:t>1</w:t>
      </w:r>
      <w:r w:rsidR="00533524" w:rsidRPr="00AE13AD">
        <w:t>5</w:t>
      </w:r>
      <w:r w:rsidR="00896D6B" w:rsidRPr="00AE13AD">
        <w:t>.</w:t>
      </w:r>
      <w:r w:rsidR="00896D6B" w:rsidRPr="00AE13AD">
        <w:tab/>
      </w:r>
      <w:r w:rsidR="00222610" w:rsidRPr="00AE13AD">
        <w:t>Mean</w:t>
      </w:r>
      <w:r w:rsidR="00976C71" w:rsidRPr="00AE13AD">
        <w:t>ingful p</w:t>
      </w:r>
      <w:r w:rsidR="00896D6B" w:rsidRPr="00AE13AD">
        <w:t xml:space="preserve">articipation in decision-making </w:t>
      </w:r>
      <w:r w:rsidR="00E97229" w:rsidRPr="00AE13AD">
        <w:t>on issues relat</w:t>
      </w:r>
      <w:r w:rsidR="00EF7927">
        <w:t>ing</w:t>
      </w:r>
      <w:r w:rsidR="00E97229" w:rsidRPr="00AE13AD">
        <w:t xml:space="preserve"> to public affairs </w:t>
      </w:r>
      <w:r w:rsidR="00896D6B" w:rsidRPr="00AE13AD">
        <w:t xml:space="preserve">is crucial </w:t>
      </w:r>
      <w:r w:rsidR="00A80F99" w:rsidRPr="00AE13AD">
        <w:t>to</w:t>
      </w:r>
      <w:r w:rsidR="00896D6B" w:rsidRPr="00AE13AD">
        <w:t xml:space="preserve"> a people-</w:t>
      </w:r>
      <w:proofErr w:type="spellStart"/>
      <w:r w:rsidR="00896D6B" w:rsidRPr="00AE13AD">
        <w:t>centred</w:t>
      </w:r>
      <w:proofErr w:type="spellEnd"/>
      <w:r w:rsidR="00896D6B" w:rsidRPr="00AE13AD">
        <w:t xml:space="preserve"> approach to the rule of law, including to foster or rebuild trust in institutions.</w:t>
      </w:r>
      <w:r w:rsidR="00896D6B" w:rsidRPr="00AE13AD">
        <w:rPr>
          <w:rStyle w:val="FootnoteReference"/>
        </w:rPr>
        <w:footnoteReference w:id="36"/>
      </w:r>
      <w:r w:rsidR="00896D6B" w:rsidRPr="00AE13AD">
        <w:t xml:space="preserve"> </w:t>
      </w:r>
      <w:r w:rsidR="009D221A" w:rsidRPr="00AE13AD">
        <w:t xml:space="preserve">It </w:t>
      </w:r>
      <w:r w:rsidR="005C21AF" w:rsidRPr="00AE13AD">
        <w:t xml:space="preserve">is a human right </w:t>
      </w:r>
      <w:proofErr w:type="gramStart"/>
      <w:r w:rsidR="005C21AF" w:rsidRPr="00AE13AD">
        <w:t>in itself and</w:t>
      </w:r>
      <w:proofErr w:type="gramEnd"/>
      <w:r w:rsidR="005C21AF" w:rsidRPr="00AE13AD">
        <w:t xml:space="preserve"> </w:t>
      </w:r>
      <w:r w:rsidR="009D221A" w:rsidRPr="00AE13AD">
        <w:t xml:space="preserve">is essential </w:t>
      </w:r>
      <w:r w:rsidR="00E35945" w:rsidRPr="00AE13AD">
        <w:t xml:space="preserve">for the enjoyment of other rights, including </w:t>
      </w:r>
      <w:r w:rsidR="009D221A" w:rsidRPr="00AE13AD">
        <w:t>for reducing inequalities and social conflict</w:t>
      </w:r>
      <w:r w:rsidR="005C21AF" w:rsidRPr="00AE13AD">
        <w:t>. I</w:t>
      </w:r>
      <w:r w:rsidR="009D221A" w:rsidRPr="00AE13AD">
        <w:t>t serves to empower individuals and groups and is one of the core elements of human rights-based approaches aimed at eliminating marginalization and discrimination.</w:t>
      </w:r>
      <w:r w:rsidR="009D221A" w:rsidRPr="00AE13AD">
        <w:rPr>
          <w:rStyle w:val="FootnoteReference"/>
        </w:rPr>
        <w:footnoteReference w:id="37"/>
      </w:r>
      <w:r w:rsidR="009D221A" w:rsidRPr="00AE13AD">
        <w:t xml:space="preserve"> In transitional justice frameworks,</w:t>
      </w:r>
      <w:r w:rsidR="007F497D" w:rsidRPr="00AE13AD">
        <w:t xml:space="preserve"> </w:t>
      </w:r>
      <w:r w:rsidR="006148DD">
        <w:t xml:space="preserve">the </w:t>
      </w:r>
      <w:r w:rsidR="007F497D" w:rsidRPr="00AE13AD">
        <w:t xml:space="preserve">participation of victims and civil society </w:t>
      </w:r>
      <w:r w:rsidR="00AA0D8F" w:rsidRPr="00AE13AD">
        <w:t>can</w:t>
      </w:r>
      <w:r w:rsidR="007F497D" w:rsidRPr="00AE13AD">
        <w:t xml:space="preserve"> contribute to community ownership and inclusion</w:t>
      </w:r>
      <w:r w:rsidR="007129BC" w:rsidRPr="00AE13AD">
        <w:t>.</w:t>
      </w:r>
      <w:r w:rsidR="00896D6B" w:rsidRPr="00AE13AD">
        <w:rPr>
          <w:rStyle w:val="FootnoteReference"/>
        </w:rPr>
        <w:footnoteReference w:id="38"/>
      </w:r>
    </w:p>
    <w:p w14:paraId="4A7EA882" w14:textId="08617AF2" w:rsidR="00DF3BF3" w:rsidRPr="00AE13AD" w:rsidRDefault="0006727A" w:rsidP="00F82266">
      <w:pPr>
        <w:pStyle w:val="SingleTxtG"/>
      </w:pPr>
      <w:r w:rsidRPr="00AE13AD">
        <w:t>1</w:t>
      </w:r>
      <w:r w:rsidR="00E35945" w:rsidRPr="00AE13AD">
        <w:t>6</w:t>
      </w:r>
      <w:r w:rsidRPr="00AE13AD">
        <w:t>.</w:t>
      </w:r>
      <w:r w:rsidRPr="00AE13AD">
        <w:tab/>
      </w:r>
      <w:r w:rsidR="00976C71" w:rsidRPr="00AE13AD">
        <w:t>Public</w:t>
      </w:r>
      <w:r w:rsidR="00976C71" w:rsidRPr="00AE13AD">
        <w:rPr>
          <w:b/>
          <w:bCs/>
          <w:i/>
          <w:iCs/>
        </w:rPr>
        <w:t xml:space="preserve"> </w:t>
      </w:r>
      <w:r w:rsidR="001A6A5D" w:rsidRPr="00AE13AD">
        <w:t>p</w:t>
      </w:r>
      <w:r w:rsidR="007F497D" w:rsidRPr="00AE13AD">
        <w:t xml:space="preserve">articipation in decision-making through </w:t>
      </w:r>
      <w:r w:rsidR="00A53C70" w:rsidRPr="00AE13AD">
        <w:t>elections</w:t>
      </w:r>
      <w:r w:rsidR="007F497D" w:rsidRPr="00AE13AD">
        <w:t xml:space="preserve"> </w:t>
      </w:r>
      <w:r w:rsidR="00A53C70" w:rsidRPr="00AE13AD">
        <w:t xml:space="preserve">contributes to </w:t>
      </w:r>
      <w:r w:rsidR="00251ADD">
        <w:t xml:space="preserve">the </w:t>
      </w:r>
      <w:r w:rsidR="007F497D" w:rsidRPr="00AE13AD">
        <w:t>accountability of elected officials to the electorate</w:t>
      </w:r>
      <w:r w:rsidR="00A53C70" w:rsidRPr="00AE13AD">
        <w:rPr>
          <w:rStyle w:val="FootnoteReference"/>
        </w:rPr>
        <w:footnoteReference w:id="39"/>
      </w:r>
      <w:r w:rsidR="007F497D" w:rsidRPr="00AE13AD">
        <w:t xml:space="preserve"> and highlight</w:t>
      </w:r>
      <w:r w:rsidR="00625081" w:rsidRPr="00AE13AD">
        <w:t>s</w:t>
      </w:r>
      <w:r w:rsidR="007F497D" w:rsidRPr="00AE13AD">
        <w:t xml:space="preserve"> an</w:t>
      </w:r>
      <w:r w:rsidR="007F497D" w:rsidRPr="00AE13AD">
        <w:rPr>
          <w:b/>
          <w:bCs/>
        </w:rPr>
        <w:t xml:space="preserve"> </w:t>
      </w:r>
      <w:r w:rsidR="007F497D" w:rsidRPr="00AE13AD">
        <w:t>important link between the rule of law and democracy</w:t>
      </w:r>
      <w:r w:rsidR="00B213FB">
        <w:t>.</w:t>
      </w:r>
      <w:r w:rsidR="007F497D" w:rsidRPr="00AE13AD">
        <w:rPr>
          <w:rStyle w:val="FootnoteReference"/>
        </w:rPr>
        <w:footnoteReference w:id="40"/>
      </w:r>
      <w:r w:rsidR="00D772D4" w:rsidRPr="00AE13AD">
        <w:t xml:space="preserve"> </w:t>
      </w:r>
      <w:r w:rsidR="00B213FB">
        <w:t>It also highlights</w:t>
      </w:r>
      <w:r w:rsidR="00625081" w:rsidRPr="00AE13AD">
        <w:t xml:space="preserve"> </w:t>
      </w:r>
      <w:r w:rsidR="00D772D4" w:rsidRPr="00AE13AD">
        <w:t>the importance</w:t>
      </w:r>
      <w:r w:rsidR="00A06B69" w:rsidRPr="00AE13AD">
        <w:t xml:space="preserve"> of</w:t>
      </w:r>
      <w:r w:rsidR="00D772D4" w:rsidRPr="00AE13AD">
        <w:t xml:space="preserve"> </w:t>
      </w:r>
      <w:r w:rsidR="00B213FB">
        <w:t xml:space="preserve">the </w:t>
      </w:r>
      <w:r w:rsidR="00D772D4" w:rsidRPr="00AE13AD">
        <w:t>rule of law in the electoral process</w:t>
      </w:r>
      <w:r w:rsidR="003E353C" w:rsidRPr="00AE13AD">
        <w:t xml:space="preserve">, </w:t>
      </w:r>
      <w:r w:rsidR="00D96947" w:rsidRPr="00AE13AD">
        <w:t xml:space="preserve">including by </w:t>
      </w:r>
      <w:r w:rsidR="003E353C" w:rsidRPr="00AE13AD">
        <w:t xml:space="preserve">ensuring the </w:t>
      </w:r>
      <w:r w:rsidR="00D96947" w:rsidRPr="00AE13AD">
        <w:t xml:space="preserve">integrity </w:t>
      </w:r>
      <w:r w:rsidR="003E353C" w:rsidRPr="00AE13AD">
        <w:t xml:space="preserve">of </w:t>
      </w:r>
      <w:r w:rsidR="009F4706" w:rsidRPr="00AE13AD">
        <w:t xml:space="preserve">electoral </w:t>
      </w:r>
      <w:r w:rsidR="003E353C" w:rsidRPr="00AE13AD">
        <w:t>institutions</w:t>
      </w:r>
      <w:r w:rsidR="00DF3BF3" w:rsidRPr="00AE13AD">
        <w:t xml:space="preserve"> and the enjoyment of other civil and political rights in electoral contexts.</w:t>
      </w:r>
      <w:r w:rsidR="00D772D4" w:rsidRPr="00AE13AD">
        <w:rPr>
          <w:rStyle w:val="FootnoteReference"/>
        </w:rPr>
        <w:footnoteReference w:id="41"/>
      </w:r>
    </w:p>
    <w:p w14:paraId="0E878458" w14:textId="32A0FA89" w:rsidR="00420EF2" w:rsidRPr="00AE13AD" w:rsidRDefault="00420EF2" w:rsidP="00420EF2">
      <w:pPr>
        <w:pStyle w:val="SingleTxtG"/>
      </w:pPr>
      <w:r w:rsidRPr="00AE13AD">
        <w:t>1</w:t>
      </w:r>
      <w:r w:rsidR="00E35945" w:rsidRPr="00AE13AD">
        <w:t>7</w:t>
      </w:r>
      <w:r w:rsidRPr="00AE13AD">
        <w:t>.</w:t>
      </w:r>
      <w:r w:rsidRPr="00AE13AD">
        <w:tab/>
        <w:t xml:space="preserve">An open and enabling civic space and a free and independent media </w:t>
      </w:r>
      <w:r w:rsidR="00A15B1A" w:rsidRPr="00AE13AD">
        <w:t xml:space="preserve">are </w:t>
      </w:r>
      <w:r w:rsidRPr="00AE13AD">
        <w:t>essential for meaningful participation in decision-making.</w:t>
      </w:r>
      <w:r w:rsidRPr="00AE13AD">
        <w:rPr>
          <w:rStyle w:val="FootnoteReference"/>
        </w:rPr>
        <w:footnoteReference w:id="42"/>
      </w:r>
      <w:r w:rsidRPr="00AE13AD">
        <w:t xml:space="preserve"> However, reports </w:t>
      </w:r>
      <w:r w:rsidR="00976C71" w:rsidRPr="00AE13AD">
        <w:t xml:space="preserve">indicate </w:t>
      </w:r>
      <w:r w:rsidRPr="00AE13AD">
        <w:t>that on a global scale, civic space is increasingly curtailed,</w:t>
      </w:r>
      <w:r w:rsidRPr="00AE13AD">
        <w:rPr>
          <w:rStyle w:val="FootnoteReference"/>
        </w:rPr>
        <w:footnoteReference w:id="43"/>
      </w:r>
      <w:r w:rsidRPr="00AE13AD">
        <w:t xml:space="preserve"> </w:t>
      </w:r>
      <w:r w:rsidR="00D90C1C">
        <w:t xml:space="preserve">that </w:t>
      </w:r>
      <w:r w:rsidRPr="00AE13AD">
        <w:t>the number of human rights defenders killed remain</w:t>
      </w:r>
      <w:r w:rsidR="00D90C1C">
        <w:t>s</w:t>
      </w:r>
      <w:r w:rsidRPr="00AE13AD">
        <w:t xml:space="preserve"> high and that 2023 saw a sharp increase in</w:t>
      </w:r>
      <w:r w:rsidR="00F16B81">
        <w:t xml:space="preserve"> the</w:t>
      </w:r>
      <w:r w:rsidRPr="00AE13AD">
        <w:t xml:space="preserve"> number of journalists and media workers killed in situations of armed conflict.</w:t>
      </w:r>
      <w:r w:rsidRPr="00AE13AD">
        <w:rPr>
          <w:rStyle w:val="FootnoteReference"/>
        </w:rPr>
        <w:footnoteReference w:id="44"/>
      </w:r>
    </w:p>
    <w:p w14:paraId="07472E37" w14:textId="71E73C04" w:rsidR="00896D6B" w:rsidRPr="00AE13AD" w:rsidRDefault="00DF3BF3" w:rsidP="00F82266">
      <w:pPr>
        <w:pStyle w:val="SingleTxtG"/>
      </w:pPr>
      <w:r w:rsidRPr="00AE13AD">
        <w:t>1</w:t>
      </w:r>
      <w:r w:rsidR="00533524" w:rsidRPr="00AE13AD">
        <w:t>8</w:t>
      </w:r>
      <w:r w:rsidRPr="00AE13AD">
        <w:t>.</w:t>
      </w:r>
      <w:r w:rsidRPr="00AE13AD">
        <w:tab/>
      </w:r>
      <w:r w:rsidR="00D772D4" w:rsidRPr="00AE13AD">
        <w:t>I</w:t>
      </w:r>
      <w:r w:rsidR="006D4F37" w:rsidRPr="00AE13AD">
        <w:t>n several States</w:t>
      </w:r>
      <w:r w:rsidR="00D772D4" w:rsidRPr="00AE13AD">
        <w:t>, individuals</w:t>
      </w:r>
      <w:r w:rsidR="006D4F37" w:rsidRPr="00AE13AD">
        <w:t xml:space="preserve"> reported</w:t>
      </w:r>
      <w:r w:rsidR="008B547F" w:rsidRPr="00AE13AD">
        <w:t xml:space="preserve"> that legislatures </w:t>
      </w:r>
      <w:r w:rsidR="00A53C70" w:rsidRPr="00AE13AD">
        <w:t>d</w:t>
      </w:r>
      <w:r w:rsidR="008B547F" w:rsidRPr="00AE13AD">
        <w:t xml:space="preserve">id </w:t>
      </w:r>
      <w:r w:rsidR="00A53C70" w:rsidRPr="00AE13AD">
        <w:t xml:space="preserve">not fairly balance the interests of different </w:t>
      </w:r>
      <w:r w:rsidR="00F82266" w:rsidRPr="00AE13AD">
        <w:t>interest groups</w:t>
      </w:r>
      <w:r w:rsidR="00D772D4" w:rsidRPr="00AE13AD">
        <w:t>,</w:t>
      </w:r>
      <w:r w:rsidR="006D4F37" w:rsidRPr="00AE13AD">
        <w:rPr>
          <w:rStyle w:val="FootnoteReference"/>
        </w:rPr>
        <w:footnoteReference w:id="45"/>
      </w:r>
      <w:r w:rsidR="00D772D4" w:rsidRPr="00AE13AD">
        <w:t xml:space="preserve"> which highlight</w:t>
      </w:r>
      <w:r w:rsidR="009523D4" w:rsidRPr="00AE13AD">
        <w:t>s</w:t>
      </w:r>
      <w:r w:rsidR="00F82266" w:rsidRPr="00AE13AD">
        <w:t xml:space="preserve"> the importance </w:t>
      </w:r>
      <w:r w:rsidR="00D772D4" w:rsidRPr="00AE13AD">
        <w:t xml:space="preserve">of ensuring </w:t>
      </w:r>
      <w:r w:rsidR="00F82266" w:rsidRPr="00AE13AD">
        <w:t xml:space="preserve">diversity </w:t>
      </w:r>
      <w:r w:rsidR="00F82266" w:rsidRPr="00AE13AD">
        <w:lastRenderedPageBreak/>
        <w:t>of r</w:t>
      </w:r>
      <w:r w:rsidR="00896D6B" w:rsidRPr="00AE13AD">
        <w:t>epresentation among elected representatives.</w:t>
      </w:r>
      <w:r w:rsidR="00896D6B" w:rsidRPr="00AE13AD">
        <w:rPr>
          <w:rStyle w:val="FootnoteReference"/>
        </w:rPr>
        <w:footnoteReference w:id="46"/>
      </w:r>
      <w:r w:rsidR="00896D6B" w:rsidRPr="00AE13AD">
        <w:t xml:space="preserve"> </w:t>
      </w:r>
      <w:r w:rsidR="00F82266" w:rsidRPr="00AE13AD">
        <w:t xml:space="preserve">In this respect, </w:t>
      </w:r>
      <w:r w:rsidR="00A53C70" w:rsidRPr="00AE13AD">
        <w:t xml:space="preserve">recent </w:t>
      </w:r>
      <w:r w:rsidR="00F82266" w:rsidRPr="00AE13AD">
        <w:t>figures show a</w:t>
      </w:r>
      <w:r w:rsidR="00CD4AE5">
        <w:t xml:space="preserve"> </w:t>
      </w:r>
      <w:r w:rsidR="008B547F" w:rsidRPr="00AE13AD">
        <w:t xml:space="preserve">gradual </w:t>
      </w:r>
      <w:r w:rsidR="00896D6B" w:rsidRPr="00AE13AD">
        <w:t xml:space="preserve">improvement </w:t>
      </w:r>
      <w:r w:rsidR="002E787D">
        <w:t xml:space="preserve">in the number </w:t>
      </w:r>
      <w:r w:rsidR="00896D6B" w:rsidRPr="00AE13AD">
        <w:t xml:space="preserve">of women </w:t>
      </w:r>
      <w:r w:rsidR="002A6B53" w:rsidRPr="00AE13AD">
        <w:t xml:space="preserve">in </w:t>
      </w:r>
      <w:r w:rsidR="00896D6B" w:rsidRPr="00AE13AD">
        <w:t>parliamentary positions,</w:t>
      </w:r>
      <w:r w:rsidR="00896D6B" w:rsidRPr="00AE13AD">
        <w:rPr>
          <w:rStyle w:val="FootnoteReference"/>
        </w:rPr>
        <w:footnoteReference w:id="47"/>
      </w:r>
      <w:r w:rsidR="00896D6B" w:rsidRPr="00AE13AD">
        <w:t xml:space="preserve"> </w:t>
      </w:r>
      <w:r w:rsidR="00A53C70" w:rsidRPr="00AE13AD">
        <w:t>but</w:t>
      </w:r>
      <w:r w:rsidR="00896D6B" w:rsidRPr="00AE13AD">
        <w:t xml:space="preserve"> a low </w:t>
      </w:r>
      <w:r w:rsidR="002E787D">
        <w:t>number</w:t>
      </w:r>
      <w:r w:rsidR="00896D6B" w:rsidRPr="00AE13AD">
        <w:t xml:space="preserve"> of young parliamentarians.</w:t>
      </w:r>
      <w:r w:rsidR="00896D6B" w:rsidRPr="00AE13AD">
        <w:rPr>
          <w:rStyle w:val="FootnoteReference"/>
        </w:rPr>
        <w:footnoteReference w:id="48"/>
      </w:r>
    </w:p>
    <w:p w14:paraId="6C1E813A" w14:textId="0027C098" w:rsidR="003E0E71" w:rsidRPr="008A0231" w:rsidRDefault="003E0E71" w:rsidP="003E0E71">
      <w:pPr>
        <w:pStyle w:val="H23G"/>
      </w:pPr>
      <w:r w:rsidRPr="00AE13AD">
        <w:tab/>
      </w:r>
      <w:r w:rsidR="00676E07">
        <w:t>(e)</w:t>
      </w:r>
      <w:r w:rsidR="00C24A9E" w:rsidRPr="00AE13AD">
        <w:tab/>
      </w:r>
      <w:r w:rsidRPr="008A0231">
        <w:t>Access to justice</w:t>
      </w:r>
    </w:p>
    <w:p w14:paraId="6BE6EBE5" w14:textId="72EAF633" w:rsidR="00383234" w:rsidRPr="00AE13AD" w:rsidRDefault="00C030C4" w:rsidP="00C030C4">
      <w:pPr>
        <w:pStyle w:val="SingleTxtG"/>
      </w:pPr>
      <w:r w:rsidRPr="0089536B">
        <w:t>1</w:t>
      </w:r>
      <w:r w:rsidR="00533524" w:rsidRPr="0089536B">
        <w:t>9</w:t>
      </w:r>
      <w:r w:rsidRPr="0089536B">
        <w:t>.</w:t>
      </w:r>
      <w:r w:rsidRPr="0089536B">
        <w:tab/>
        <w:t>Access to justice is a central element in the rule of law, as well as a human right.</w:t>
      </w:r>
      <w:r w:rsidRPr="0089536B">
        <w:rPr>
          <w:rStyle w:val="FootnoteReference"/>
        </w:rPr>
        <w:footnoteReference w:id="49"/>
      </w:r>
      <w:r w:rsidR="00D74CDD" w:rsidRPr="0089536B">
        <w:t xml:space="preserve"> The adoption of domestic legal aid arrangements,</w:t>
      </w:r>
      <w:r w:rsidR="00D74CDD" w:rsidRPr="0089536B">
        <w:rPr>
          <w:rStyle w:val="FootnoteReference"/>
        </w:rPr>
        <w:footnoteReference w:id="50"/>
      </w:r>
      <w:r w:rsidR="00D74CDD" w:rsidRPr="0089536B">
        <w:t xml:space="preserve"> measures to ensure the independence of the bar,</w:t>
      </w:r>
      <w:r w:rsidR="00D74CDD" w:rsidRPr="0089536B">
        <w:rPr>
          <w:rStyle w:val="FootnoteReference"/>
        </w:rPr>
        <w:footnoteReference w:id="51"/>
      </w:r>
      <w:r w:rsidR="00D74CDD" w:rsidRPr="0089536B">
        <w:t xml:space="preserve"> </w:t>
      </w:r>
      <w:r w:rsidR="00CD25B6">
        <w:t xml:space="preserve">and </w:t>
      </w:r>
      <w:r w:rsidR="00B20CBB" w:rsidRPr="0089536B">
        <w:t xml:space="preserve">ensuring the </w:t>
      </w:r>
      <w:r w:rsidR="00AF195D" w:rsidRPr="0089536B">
        <w:t>justiciability</w:t>
      </w:r>
      <w:r w:rsidR="00B20CBB" w:rsidRPr="0089536B">
        <w:t xml:space="preserve"> of human rights claims before domestic dispute</w:t>
      </w:r>
      <w:r w:rsidR="00155265">
        <w:t xml:space="preserve"> </w:t>
      </w:r>
      <w:r w:rsidR="00B20CBB" w:rsidRPr="0089536B">
        <w:t>settlement</w:t>
      </w:r>
      <w:r w:rsidR="00B20CBB" w:rsidRPr="00AE13AD">
        <w:t xml:space="preserve"> bodies, including those concerning economic, social and cultural rights,</w:t>
      </w:r>
      <w:r w:rsidR="00B20CBB" w:rsidRPr="00AE13AD">
        <w:rPr>
          <w:rStyle w:val="FootnoteReference"/>
        </w:rPr>
        <w:footnoteReference w:id="52"/>
      </w:r>
      <w:r w:rsidR="00B20CBB" w:rsidRPr="00AE13AD">
        <w:t xml:space="preserve"> </w:t>
      </w:r>
      <w:r w:rsidR="00D74CDD" w:rsidRPr="00AE13AD">
        <w:t xml:space="preserve">as well as </w:t>
      </w:r>
      <w:r w:rsidR="00B20CBB" w:rsidRPr="00AE13AD">
        <w:t xml:space="preserve">ensuring </w:t>
      </w:r>
      <w:r w:rsidR="00D74CDD" w:rsidRPr="00AE13AD">
        <w:t xml:space="preserve">the autonomy of prosecution services can all strengthen </w:t>
      </w:r>
      <w:r w:rsidR="00A66CC5" w:rsidRPr="00AE13AD">
        <w:t xml:space="preserve">effective </w:t>
      </w:r>
      <w:r w:rsidR="00D74CDD" w:rsidRPr="00AE13AD">
        <w:t>access to justice.</w:t>
      </w:r>
      <w:r w:rsidR="00D74CDD" w:rsidRPr="00AE13AD">
        <w:rPr>
          <w:rStyle w:val="FootnoteReference"/>
        </w:rPr>
        <w:footnoteReference w:id="53"/>
      </w:r>
      <w:r w:rsidR="00D74CDD" w:rsidRPr="00AE13AD">
        <w:t xml:space="preserve"> Nonetheless</w:t>
      </w:r>
      <w:r w:rsidRPr="00AE13AD">
        <w:t xml:space="preserve">, </w:t>
      </w:r>
      <w:r w:rsidR="00F336FB" w:rsidRPr="00AE13AD">
        <w:t>a</w:t>
      </w:r>
      <w:r w:rsidRPr="00AE13AD">
        <w:t xml:space="preserve"> survey of 104 countries suggest</w:t>
      </w:r>
      <w:r w:rsidR="002A6B53" w:rsidRPr="00AE13AD">
        <w:t>s</w:t>
      </w:r>
      <w:r w:rsidRPr="00AE13AD">
        <w:t xml:space="preserve"> that there </w:t>
      </w:r>
      <w:r w:rsidR="00E35945" w:rsidRPr="00AE13AD">
        <w:t>is a</w:t>
      </w:r>
      <w:r w:rsidRPr="00AE13AD">
        <w:t xml:space="preserve"> significant lack of access to </w:t>
      </w:r>
      <w:r w:rsidR="00D74CDD" w:rsidRPr="00AE13AD">
        <w:t>justice</w:t>
      </w:r>
      <w:r w:rsidRPr="00AE13AD">
        <w:t xml:space="preserve"> mechanisms for those who need </w:t>
      </w:r>
      <w:r w:rsidR="00D74CDD" w:rsidRPr="00AE13AD">
        <w:t>them</w:t>
      </w:r>
      <w:r w:rsidRPr="00AE13AD">
        <w:t xml:space="preserve">, </w:t>
      </w:r>
      <w:r w:rsidR="00D74CDD" w:rsidRPr="00AE13AD">
        <w:t xml:space="preserve">and </w:t>
      </w:r>
      <w:r w:rsidRPr="00AE13AD">
        <w:t xml:space="preserve">individuals suffer from </w:t>
      </w:r>
      <w:r w:rsidR="00A11A0A">
        <w:t xml:space="preserve">a </w:t>
      </w:r>
      <w:r w:rsidRPr="00AE13AD">
        <w:t xml:space="preserve">lack of information on how to solve </w:t>
      </w:r>
      <w:r w:rsidR="00E35945" w:rsidRPr="00AE13AD">
        <w:t>disputes</w:t>
      </w:r>
      <w:r w:rsidR="008A4B80">
        <w:t xml:space="preserve">. </w:t>
      </w:r>
      <w:r w:rsidR="004F51B0">
        <w:t>Even for</w:t>
      </w:r>
      <w:r w:rsidRPr="00AE13AD">
        <w:t xml:space="preserve"> those who </w:t>
      </w:r>
      <w:r w:rsidR="008A4B80">
        <w:t xml:space="preserve">do </w:t>
      </w:r>
      <w:r w:rsidRPr="00AE13AD">
        <w:t>have access to such procedures, the</w:t>
      </w:r>
      <w:r w:rsidR="006C28E4">
        <w:t>y</w:t>
      </w:r>
      <w:r w:rsidR="00E35945" w:rsidRPr="00AE13AD">
        <w:t xml:space="preserve"> </w:t>
      </w:r>
      <w:r w:rsidRPr="00AE13AD">
        <w:t xml:space="preserve">are often lengthy, costly </w:t>
      </w:r>
      <w:r w:rsidR="004F51B0">
        <w:t xml:space="preserve">and are </w:t>
      </w:r>
      <w:r w:rsidRPr="00AE13AD">
        <w:t>perceived as unfair and</w:t>
      </w:r>
      <w:r w:rsidR="002A6B53" w:rsidRPr="00AE13AD">
        <w:t xml:space="preserve"> </w:t>
      </w:r>
      <w:r w:rsidR="00E35945" w:rsidRPr="00AE13AD">
        <w:t>unsuccessful in resolving</w:t>
      </w:r>
      <w:r w:rsidRPr="00AE13AD">
        <w:t xml:space="preserve"> dispute</w:t>
      </w:r>
      <w:r w:rsidR="00A66CC5" w:rsidRPr="00AE13AD">
        <w:t>s</w:t>
      </w:r>
      <w:r w:rsidRPr="00AE13AD">
        <w:t>.</w:t>
      </w:r>
      <w:r w:rsidRPr="00AE13AD">
        <w:rPr>
          <w:rStyle w:val="FootnoteReference"/>
        </w:rPr>
        <w:footnoteReference w:id="54"/>
      </w:r>
    </w:p>
    <w:p w14:paraId="04120F18" w14:textId="3CF6AAF8" w:rsidR="007F497D" w:rsidRPr="00AE13AD" w:rsidRDefault="00533524" w:rsidP="009523D4">
      <w:pPr>
        <w:pStyle w:val="SingleTxtG"/>
      </w:pPr>
      <w:r w:rsidRPr="00AE13AD">
        <w:t>20.</w:t>
      </w:r>
      <w:r w:rsidRPr="00AE13AD">
        <w:tab/>
      </w:r>
      <w:r w:rsidR="00C030C4" w:rsidRPr="00AE13AD">
        <w:t xml:space="preserve">This </w:t>
      </w:r>
      <w:r w:rsidR="00CC3AD8" w:rsidRPr="00AE13AD">
        <w:t>so-called</w:t>
      </w:r>
      <w:r w:rsidR="00C030C4" w:rsidRPr="00AE13AD">
        <w:t xml:space="preserve"> justice gap of unmet justice needs accentuates the importance of adopting a people-</w:t>
      </w:r>
      <w:proofErr w:type="spellStart"/>
      <w:r w:rsidR="00C030C4" w:rsidRPr="00AE13AD">
        <w:t>centred</w:t>
      </w:r>
      <w:proofErr w:type="spellEnd"/>
      <w:r w:rsidR="00C030C4" w:rsidRPr="00AE13AD">
        <w:t xml:space="preserve"> </w:t>
      </w:r>
      <w:r w:rsidR="00BE48AB" w:rsidRPr="00AE13AD">
        <w:t xml:space="preserve">approach </w:t>
      </w:r>
      <w:r w:rsidR="00BE48AB">
        <w:t xml:space="preserve">to </w:t>
      </w:r>
      <w:r w:rsidR="00C030C4" w:rsidRPr="00AE13AD">
        <w:t>justice.</w:t>
      </w:r>
      <w:r w:rsidR="00C030C4" w:rsidRPr="00AE13AD">
        <w:rPr>
          <w:rStyle w:val="FootnoteReference"/>
        </w:rPr>
        <w:footnoteReference w:id="55"/>
      </w:r>
      <w:r w:rsidR="00C030C4" w:rsidRPr="00AE13AD">
        <w:t xml:space="preserve"> As the Secretary-General</w:t>
      </w:r>
      <w:r w:rsidR="00AF45EF" w:rsidRPr="00AF45EF">
        <w:t xml:space="preserve"> </w:t>
      </w:r>
      <w:r w:rsidR="00AF45EF">
        <w:t xml:space="preserve">has </w:t>
      </w:r>
      <w:r w:rsidR="00AF45EF" w:rsidRPr="00AE13AD">
        <w:t>noted</w:t>
      </w:r>
      <w:r w:rsidR="00C030C4" w:rsidRPr="00AE13AD">
        <w:t>, justice institutions must be accessible to every person, user</w:t>
      </w:r>
      <w:r w:rsidR="009E3AC2">
        <w:t>-</w:t>
      </w:r>
      <w:r w:rsidR="00C030C4" w:rsidRPr="00AE13AD">
        <w:t xml:space="preserve">friendly, non-discriminatory, </w:t>
      </w:r>
      <w:proofErr w:type="gramStart"/>
      <w:r w:rsidR="00C030C4" w:rsidRPr="00AE13AD">
        <w:t>fair</w:t>
      </w:r>
      <w:proofErr w:type="gramEnd"/>
      <w:r w:rsidR="00C030C4" w:rsidRPr="00AE13AD">
        <w:t xml:space="preserve"> and focused on solutions and remedies that address people’s needs and deliver </w:t>
      </w:r>
      <w:r w:rsidR="0024355D" w:rsidRPr="00AE13AD">
        <w:t xml:space="preserve">stronger </w:t>
      </w:r>
      <w:r w:rsidR="00C030C4" w:rsidRPr="00AE13AD">
        <w:t>outcomes.</w:t>
      </w:r>
      <w:r w:rsidR="00C030C4" w:rsidRPr="00AE13AD">
        <w:rPr>
          <w:rStyle w:val="FootnoteReference"/>
        </w:rPr>
        <w:footnoteReference w:id="56"/>
      </w:r>
    </w:p>
    <w:p w14:paraId="6DEB673E" w14:textId="4E8DEF3F" w:rsidR="00E177CF" w:rsidRPr="00AE13AD" w:rsidRDefault="00533524" w:rsidP="00D93EEE">
      <w:pPr>
        <w:pStyle w:val="SingleTxtG"/>
      </w:pPr>
      <w:r w:rsidRPr="00AE13AD">
        <w:t>2</w:t>
      </w:r>
      <w:r w:rsidR="002A3192" w:rsidRPr="00AE13AD">
        <w:t>1</w:t>
      </w:r>
      <w:r w:rsidR="003068C2" w:rsidRPr="00AE13AD">
        <w:t>.</w:t>
      </w:r>
      <w:r w:rsidR="003068C2" w:rsidRPr="00AE13AD">
        <w:tab/>
      </w:r>
      <w:r w:rsidR="009523D4" w:rsidRPr="00AE13AD">
        <w:t xml:space="preserve">Access to justice in countries transitioning from conflict is an important aspect of responding to, but also preventing, human rights violations. </w:t>
      </w:r>
      <w:r w:rsidR="00037EAB" w:rsidRPr="00AE13AD">
        <w:t xml:space="preserve">Transitional justice </w:t>
      </w:r>
      <w:r w:rsidR="0024355D" w:rsidRPr="00AE13AD">
        <w:t>reflects</w:t>
      </w:r>
      <w:r w:rsidR="00037EAB" w:rsidRPr="00AE13AD">
        <w:t xml:space="preserve"> the full range of processes and mechanisms associated with a society’s attempts to come to terms with a legacy of large</w:t>
      </w:r>
      <w:r w:rsidR="0024355D" w:rsidRPr="00AE13AD">
        <w:t>-</w:t>
      </w:r>
      <w:r w:rsidR="00037EAB" w:rsidRPr="00AE13AD">
        <w:t>scale abuses in order to ensure accountability, serve justice and achieve reconciliation.</w:t>
      </w:r>
      <w:r w:rsidR="00037EAB" w:rsidRPr="00AE13AD">
        <w:rPr>
          <w:rStyle w:val="FootnoteReference"/>
        </w:rPr>
        <w:footnoteReference w:id="57"/>
      </w:r>
      <w:r w:rsidR="00037EAB" w:rsidRPr="00AE13AD">
        <w:t xml:space="preserve"> </w:t>
      </w:r>
      <w:r w:rsidR="00604281" w:rsidRPr="00AE13AD">
        <w:t>As the Secretary-General</w:t>
      </w:r>
      <w:r w:rsidR="00012162" w:rsidRPr="00012162">
        <w:t xml:space="preserve"> </w:t>
      </w:r>
      <w:r w:rsidR="00012162">
        <w:t xml:space="preserve">has </w:t>
      </w:r>
      <w:r w:rsidR="00012162" w:rsidRPr="00AE13AD">
        <w:t>noted</w:t>
      </w:r>
      <w:r w:rsidR="00604281" w:rsidRPr="00AE13AD">
        <w:t>, t</w:t>
      </w:r>
      <w:r w:rsidR="00E55232" w:rsidRPr="00AE13AD">
        <w:t>ransitional justice processes should be comprehensive and integrate a series of interrelated elements, including consultations, truth</w:t>
      </w:r>
      <w:r w:rsidR="0024355D" w:rsidRPr="00AE13AD">
        <w:t>-</w:t>
      </w:r>
      <w:r w:rsidR="00E55232" w:rsidRPr="00AE13AD">
        <w:t>seeking, criminal justice, reparation and guarantees of non-recurrence.</w:t>
      </w:r>
      <w:r w:rsidR="00E55232" w:rsidRPr="00AE13AD">
        <w:rPr>
          <w:rStyle w:val="FootnoteReference"/>
        </w:rPr>
        <w:footnoteReference w:id="58"/>
      </w:r>
      <w:r w:rsidR="00E55232" w:rsidRPr="00AE13AD">
        <w:t xml:space="preserve"> </w:t>
      </w:r>
      <w:r w:rsidR="00AA0D8F" w:rsidRPr="00AE13AD">
        <w:t>Such processes contribute</w:t>
      </w:r>
      <w:r w:rsidR="00E55232" w:rsidRPr="00AE13AD">
        <w:t xml:space="preserve"> to the rule of law</w:t>
      </w:r>
      <w:r w:rsidR="00D93EEE" w:rsidRPr="00AE13AD">
        <w:t xml:space="preserve"> in several ways, including</w:t>
      </w:r>
      <w:r w:rsidR="00E55232" w:rsidRPr="00AE13AD">
        <w:t xml:space="preserve"> </w:t>
      </w:r>
      <w:r w:rsidR="00AA0D8F" w:rsidRPr="00AE13AD">
        <w:t xml:space="preserve">the fulfilment of rights and compliance with obligations arising as a result of </w:t>
      </w:r>
      <w:r w:rsidR="0024355D" w:rsidRPr="00AE13AD">
        <w:t xml:space="preserve">human rights </w:t>
      </w:r>
      <w:r w:rsidR="00AA0D8F" w:rsidRPr="00AE13AD">
        <w:t>violations and abuses,</w:t>
      </w:r>
      <w:r w:rsidR="00AA0D8F" w:rsidRPr="00AE13AD">
        <w:rPr>
          <w:rStyle w:val="FootnoteReference"/>
        </w:rPr>
        <w:footnoteReference w:id="59"/>
      </w:r>
      <w:r w:rsidR="00AA0D8F" w:rsidRPr="00AE13AD">
        <w:t xml:space="preserve"> in particular, variegated forms of redress alongside criminal justice responses</w:t>
      </w:r>
      <w:r w:rsidR="00D93EEE" w:rsidRPr="00AE13AD">
        <w:t>,</w:t>
      </w:r>
      <w:r w:rsidR="00AA0D8F" w:rsidRPr="00AE13AD">
        <w:rPr>
          <w:rStyle w:val="FootnoteReference"/>
        </w:rPr>
        <w:footnoteReference w:id="60"/>
      </w:r>
      <w:r w:rsidR="00AA0D8F" w:rsidRPr="00AE13AD">
        <w:t xml:space="preserve"> </w:t>
      </w:r>
      <w:r w:rsidR="00D93EEE" w:rsidRPr="00AE13AD">
        <w:t xml:space="preserve">and </w:t>
      </w:r>
      <w:r w:rsidR="00824896">
        <w:t xml:space="preserve">they </w:t>
      </w:r>
      <w:r w:rsidR="00D93EEE" w:rsidRPr="00AE13AD">
        <w:t>empower victims</w:t>
      </w:r>
      <w:r w:rsidR="0002485E">
        <w:t>,</w:t>
      </w:r>
      <w:r w:rsidR="00D93EEE" w:rsidRPr="00AE13AD">
        <w:t xml:space="preserve"> enabling them to exercise other rights.</w:t>
      </w:r>
      <w:r w:rsidR="00D93EEE" w:rsidRPr="00AE13AD">
        <w:rPr>
          <w:rStyle w:val="FootnoteReference"/>
        </w:rPr>
        <w:footnoteReference w:id="61"/>
      </w:r>
      <w:r w:rsidR="00D93EEE" w:rsidRPr="00AE13AD">
        <w:t xml:space="preserve"> Truth-seeking processes can form the basis for </w:t>
      </w:r>
      <w:r w:rsidR="000062B9" w:rsidRPr="00AE13AD">
        <w:t>rule of law</w:t>
      </w:r>
      <w:r w:rsidR="00D93EEE" w:rsidRPr="00AE13AD">
        <w:t xml:space="preserve"> reforms, including in the security sector</w:t>
      </w:r>
      <w:r w:rsidR="00C74A61" w:rsidRPr="00AE13AD">
        <w:t>,</w:t>
      </w:r>
      <w:r w:rsidR="00E55232" w:rsidRPr="00AE13AD">
        <w:rPr>
          <w:rStyle w:val="FootnoteReference"/>
        </w:rPr>
        <w:footnoteReference w:id="62"/>
      </w:r>
      <w:r w:rsidR="00C74A61" w:rsidRPr="00AE13AD">
        <w:t xml:space="preserve"> and</w:t>
      </w:r>
      <w:r w:rsidR="003E665D" w:rsidRPr="00AE13AD">
        <w:t xml:space="preserve"> through </w:t>
      </w:r>
      <w:r w:rsidR="00C74A61" w:rsidRPr="00AE13AD">
        <w:t xml:space="preserve">public accounting of the </w:t>
      </w:r>
      <w:r w:rsidR="001D7596" w:rsidRPr="00AE13AD">
        <w:t xml:space="preserve">violations and abuses </w:t>
      </w:r>
      <w:r w:rsidR="00C74A61" w:rsidRPr="00AE13AD">
        <w:t>committed, and the structures used in committing them, truth-seeking can also provide the basis for effective prevention policies.</w:t>
      </w:r>
      <w:r w:rsidR="00C74A61" w:rsidRPr="00AE13AD">
        <w:rPr>
          <w:rStyle w:val="FootnoteReference"/>
        </w:rPr>
        <w:footnoteReference w:id="63"/>
      </w:r>
      <w:r w:rsidR="00C74A61" w:rsidRPr="00AE13AD">
        <w:t xml:space="preserve"> </w:t>
      </w:r>
      <w:r w:rsidR="009523D4" w:rsidRPr="00AE13AD">
        <w:t>Importantly, a</w:t>
      </w:r>
      <w:r w:rsidR="00604281" w:rsidRPr="00AE13AD">
        <w:t>s p</w:t>
      </w:r>
      <w:r w:rsidR="00037EAB" w:rsidRPr="00AE13AD">
        <w:t xml:space="preserve">ast conflict </w:t>
      </w:r>
      <w:r w:rsidR="00CD360C" w:rsidRPr="00AE13AD">
        <w:t xml:space="preserve">is a </w:t>
      </w:r>
      <w:r w:rsidR="001D7596" w:rsidRPr="00AE13AD">
        <w:t xml:space="preserve">reliable </w:t>
      </w:r>
      <w:r w:rsidR="00CD360C" w:rsidRPr="00AE13AD">
        <w:t xml:space="preserve">predictor of </w:t>
      </w:r>
      <w:r w:rsidR="001D7596" w:rsidRPr="00AE13AD">
        <w:t xml:space="preserve">risks of </w:t>
      </w:r>
      <w:r w:rsidR="00CD360C" w:rsidRPr="00AE13AD">
        <w:t>future conflict,</w:t>
      </w:r>
      <w:r w:rsidR="00CD360C" w:rsidRPr="00AE13AD">
        <w:rPr>
          <w:rStyle w:val="FootnoteReference"/>
        </w:rPr>
        <w:footnoteReference w:id="64"/>
      </w:r>
      <w:r w:rsidR="00CD360C" w:rsidRPr="00AE13AD">
        <w:t xml:space="preserve"> measures to prevent the recurrence of such violations and abuses are inherently preventive</w:t>
      </w:r>
      <w:r w:rsidR="00AA0D8F" w:rsidRPr="00AE13AD">
        <w:t>.</w:t>
      </w:r>
      <w:r w:rsidR="00D93EEE" w:rsidRPr="00AE13AD">
        <w:rPr>
          <w:rStyle w:val="FootnoteReference"/>
        </w:rPr>
        <w:footnoteReference w:id="65"/>
      </w:r>
    </w:p>
    <w:p w14:paraId="3DED5DFA" w14:textId="2E2F4E66" w:rsidR="003E0E71" w:rsidRPr="00AE13AD" w:rsidRDefault="003E0E71" w:rsidP="00775644">
      <w:pPr>
        <w:pStyle w:val="H23G"/>
        <w:numPr>
          <w:ilvl w:val="0"/>
          <w:numId w:val="26"/>
        </w:numPr>
        <w:tabs>
          <w:tab w:val="clear" w:pos="851"/>
          <w:tab w:val="right" w:pos="1134"/>
        </w:tabs>
        <w:ind w:hanging="219"/>
        <w:rPr>
          <w:i/>
          <w:iCs/>
        </w:rPr>
      </w:pPr>
      <w:r w:rsidRPr="00AE13AD">
        <w:t>The preventive role of public institutions</w:t>
      </w:r>
    </w:p>
    <w:p w14:paraId="6BC231A4" w14:textId="29653BB7" w:rsidR="00F82266" w:rsidRPr="00AE13AD" w:rsidRDefault="00533524" w:rsidP="00F82266">
      <w:pPr>
        <w:pStyle w:val="SingleTxtG"/>
      </w:pPr>
      <w:r w:rsidRPr="00AE13AD">
        <w:t>2</w:t>
      </w:r>
      <w:r w:rsidR="00CC039D" w:rsidRPr="00AE13AD">
        <w:t>2</w:t>
      </w:r>
      <w:r w:rsidR="00E44E17" w:rsidRPr="00AE13AD">
        <w:t>.</w:t>
      </w:r>
      <w:r w:rsidR="00E44E17" w:rsidRPr="00AE13AD">
        <w:tab/>
      </w:r>
      <w:r w:rsidR="009D221A" w:rsidRPr="00AE13AD">
        <w:t xml:space="preserve">Well-functioning </w:t>
      </w:r>
      <w:r w:rsidR="001146CC" w:rsidRPr="00AE13AD">
        <w:t xml:space="preserve">public institutions </w:t>
      </w:r>
      <w:r w:rsidR="003D67ED" w:rsidRPr="00AE13AD">
        <w:t>are</w:t>
      </w:r>
      <w:r w:rsidR="009D221A" w:rsidRPr="00AE13AD">
        <w:t xml:space="preserve"> an important</w:t>
      </w:r>
      <w:r w:rsidR="00583DFE" w:rsidRPr="00AE13AD">
        <w:t xml:space="preserve"> </w:t>
      </w:r>
      <w:r w:rsidR="009D221A" w:rsidRPr="00AE13AD">
        <w:t xml:space="preserve">precondition </w:t>
      </w:r>
      <w:r w:rsidR="00A35234" w:rsidRPr="00AE13AD">
        <w:t xml:space="preserve">for the </w:t>
      </w:r>
      <w:r w:rsidR="00583DFE" w:rsidRPr="00AE13AD">
        <w:t xml:space="preserve">rule of law and </w:t>
      </w:r>
      <w:r w:rsidR="002A6B53" w:rsidRPr="00AE13AD">
        <w:t xml:space="preserve">contribute to </w:t>
      </w:r>
      <w:r w:rsidR="00DA3F53" w:rsidRPr="00AE13AD">
        <w:t>the prevention</w:t>
      </w:r>
      <w:r w:rsidR="00914164" w:rsidRPr="00AE13AD">
        <w:t xml:space="preserve"> of human rights violations and abuse</w:t>
      </w:r>
      <w:r w:rsidR="000A7CAE" w:rsidRPr="00AE13AD">
        <w:t>s</w:t>
      </w:r>
      <w:r w:rsidR="002A6B53" w:rsidRPr="00AE13AD">
        <w:t>.</w:t>
      </w:r>
      <w:r w:rsidR="00535573" w:rsidRPr="00AE13AD">
        <w:t xml:space="preserve"> For example, t</w:t>
      </w:r>
      <w:r w:rsidR="001C2B30" w:rsidRPr="00AE13AD">
        <w:t xml:space="preserve">he legislature </w:t>
      </w:r>
      <w:r w:rsidR="00BD7310" w:rsidRPr="00AE13AD">
        <w:t>play</w:t>
      </w:r>
      <w:r w:rsidR="001C2B30" w:rsidRPr="00AE13AD">
        <w:t>s</w:t>
      </w:r>
      <w:r w:rsidR="00BD7310" w:rsidRPr="00AE13AD">
        <w:t xml:space="preserve"> a crucial role in the promotion and protection of human rights</w:t>
      </w:r>
      <w:r w:rsidR="00C8650C" w:rsidRPr="00AE13AD">
        <w:t>, including civil, political, economic, social and cultural rights,</w:t>
      </w:r>
      <w:r w:rsidR="00BD7310" w:rsidRPr="00AE13AD">
        <w:t xml:space="preserve"> through </w:t>
      </w:r>
      <w:r w:rsidR="00383234" w:rsidRPr="00AE13AD">
        <w:t xml:space="preserve">its </w:t>
      </w:r>
      <w:r w:rsidR="000A7CAE" w:rsidRPr="00AE13AD">
        <w:t xml:space="preserve">shaping of the legislative framework and its </w:t>
      </w:r>
      <w:r w:rsidR="00BD7310" w:rsidRPr="00AE13AD">
        <w:t xml:space="preserve">oversight of </w:t>
      </w:r>
      <w:r w:rsidR="00C030C4" w:rsidRPr="00AE13AD">
        <w:t>the conduct and policies of the executive branch</w:t>
      </w:r>
      <w:r w:rsidR="00BD7310" w:rsidRPr="00AE13AD">
        <w:t>.</w:t>
      </w:r>
      <w:r w:rsidR="00BD7310" w:rsidRPr="00AE13AD">
        <w:rPr>
          <w:vertAlign w:val="superscript"/>
        </w:rPr>
        <w:footnoteReference w:id="66"/>
      </w:r>
      <w:r w:rsidR="00BD7310" w:rsidRPr="00AE13AD">
        <w:t xml:space="preserve"> </w:t>
      </w:r>
      <w:r w:rsidR="00BA5273" w:rsidRPr="00AE13AD">
        <w:t>A</w:t>
      </w:r>
      <w:r w:rsidR="0038530C" w:rsidRPr="00AE13AD">
        <w:t>n important</w:t>
      </w:r>
      <w:r w:rsidR="00BA5273" w:rsidRPr="00AE13AD">
        <w:t xml:space="preserve"> part of its legislative function</w:t>
      </w:r>
      <w:r w:rsidR="0084365E" w:rsidRPr="00AE13AD">
        <w:t xml:space="preserve"> is also carried out through</w:t>
      </w:r>
      <w:r w:rsidR="00BA5273" w:rsidRPr="00AE13AD">
        <w:t xml:space="preserve"> ratification of treaties or ensuring the conformity of law with </w:t>
      </w:r>
      <w:r w:rsidR="002F7ADD" w:rsidRPr="00AE13AD">
        <w:t xml:space="preserve">international </w:t>
      </w:r>
      <w:r w:rsidR="00BA5273" w:rsidRPr="00AE13AD">
        <w:t xml:space="preserve">human rights </w:t>
      </w:r>
      <w:r w:rsidR="0084365E" w:rsidRPr="00AE13AD">
        <w:t>obligations</w:t>
      </w:r>
      <w:r w:rsidR="00BA5273" w:rsidRPr="00AE13AD">
        <w:t>.</w:t>
      </w:r>
      <w:r w:rsidR="00BA5273" w:rsidRPr="00AE13AD">
        <w:rPr>
          <w:vertAlign w:val="superscript"/>
        </w:rPr>
        <w:footnoteReference w:id="67"/>
      </w:r>
      <w:r w:rsidR="00BA5273" w:rsidRPr="00AE13AD">
        <w:t xml:space="preserve"> </w:t>
      </w:r>
      <w:r w:rsidR="00C030C4" w:rsidRPr="00AE13AD">
        <w:t>O</w:t>
      </w:r>
      <w:r w:rsidR="001C2B30" w:rsidRPr="00AE13AD">
        <w:t xml:space="preserve">ther </w:t>
      </w:r>
      <w:r w:rsidR="0038530C" w:rsidRPr="00AE13AD">
        <w:t xml:space="preserve">relevant </w:t>
      </w:r>
      <w:r w:rsidR="001C2B30" w:rsidRPr="00AE13AD">
        <w:t>functions of the legislature include budgetary approval, oversight functions</w:t>
      </w:r>
      <w:r w:rsidR="00357333">
        <w:t>,</w:t>
      </w:r>
      <w:r w:rsidR="001C2B30" w:rsidRPr="00AE13AD">
        <w:t xml:space="preserve"> including through the establishment of parliamentary committees, and parliamentary hearings.</w:t>
      </w:r>
      <w:r w:rsidR="001C2B30" w:rsidRPr="00AE13AD">
        <w:rPr>
          <w:vertAlign w:val="superscript"/>
        </w:rPr>
        <w:footnoteReference w:id="68"/>
      </w:r>
      <w:r w:rsidR="001C2B30" w:rsidRPr="00AE13AD">
        <w:t xml:space="preserve"> </w:t>
      </w:r>
      <w:r w:rsidR="008D134B" w:rsidRPr="00AE13AD">
        <w:t xml:space="preserve">It is therefore of concern that data from several States suggest that only a minority of individuals believe that </w:t>
      </w:r>
      <w:r w:rsidR="0084365E" w:rsidRPr="00AE13AD">
        <w:t>legislatures</w:t>
      </w:r>
      <w:r w:rsidR="008D134B" w:rsidRPr="00AE13AD">
        <w:t xml:space="preserve"> in those States can effectively hold the </w:t>
      </w:r>
      <w:r w:rsidR="0084365E" w:rsidRPr="00AE13AD">
        <w:t xml:space="preserve">executive </w:t>
      </w:r>
      <w:r w:rsidR="008D134B" w:rsidRPr="00AE13AD">
        <w:t>government accountable.</w:t>
      </w:r>
      <w:r w:rsidR="008D134B" w:rsidRPr="00AE13AD">
        <w:rPr>
          <w:rStyle w:val="FootnoteReference"/>
        </w:rPr>
        <w:footnoteReference w:id="69"/>
      </w:r>
      <w:r w:rsidR="008D134B" w:rsidRPr="00AE13AD">
        <w:t xml:space="preserve"> It is also of concern that a lack of access to information may prevent </w:t>
      </w:r>
      <w:r w:rsidR="0001049A">
        <w:t xml:space="preserve">a </w:t>
      </w:r>
      <w:r w:rsidR="008D134B" w:rsidRPr="00AE13AD">
        <w:t>parliament from effective oversight o</w:t>
      </w:r>
      <w:r w:rsidR="00535573" w:rsidRPr="00AE13AD">
        <w:t>f</w:t>
      </w:r>
      <w:r w:rsidR="008D134B" w:rsidRPr="00AE13AD">
        <w:t xml:space="preserve"> the executive.</w:t>
      </w:r>
      <w:r w:rsidR="001C2B30" w:rsidRPr="00AE13AD">
        <w:rPr>
          <w:vertAlign w:val="superscript"/>
        </w:rPr>
        <w:footnoteReference w:id="70"/>
      </w:r>
    </w:p>
    <w:p w14:paraId="74E4E29F" w14:textId="1033B93E" w:rsidR="00BB1C4E" w:rsidRPr="00AE13AD" w:rsidRDefault="00533524" w:rsidP="00CC039D">
      <w:pPr>
        <w:pStyle w:val="SingleTxtG"/>
      </w:pPr>
      <w:r w:rsidRPr="00AE13AD">
        <w:t>2</w:t>
      </w:r>
      <w:r w:rsidR="00CC039D" w:rsidRPr="00AE13AD">
        <w:t>3</w:t>
      </w:r>
      <w:r w:rsidR="00BD7310" w:rsidRPr="00AE13AD">
        <w:t>.</w:t>
      </w:r>
      <w:r w:rsidR="00BD7310" w:rsidRPr="00AE13AD">
        <w:tab/>
      </w:r>
      <w:r w:rsidR="00CC039D" w:rsidRPr="00AE13AD">
        <w:t>Similarly, t</w:t>
      </w:r>
      <w:r w:rsidR="00745C8B" w:rsidRPr="00AE13AD">
        <w:t>he judiciary</w:t>
      </w:r>
      <w:r w:rsidR="001146CC" w:rsidRPr="00AE13AD">
        <w:t xml:space="preserve"> is central to</w:t>
      </w:r>
      <w:r w:rsidR="00745C8B" w:rsidRPr="00AE13AD">
        <w:t xml:space="preserve"> </w:t>
      </w:r>
      <w:r w:rsidR="00EE0AE3" w:rsidRPr="00AE13AD">
        <w:t>the rule of law</w:t>
      </w:r>
      <w:r w:rsidR="001146CC" w:rsidRPr="00AE13AD">
        <w:t xml:space="preserve"> and</w:t>
      </w:r>
      <w:r w:rsidR="00EE0AE3" w:rsidRPr="00AE13AD">
        <w:t xml:space="preserve"> equality in the administration of justice</w:t>
      </w:r>
      <w:r w:rsidR="00FC3A3B" w:rsidRPr="00AE13AD">
        <w:t xml:space="preserve">, and for </w:t>
      </w:r>
      <w:r w:rsidR="00E376DC" w:rsidRPr="00AE13AD">
        <w:t xml:space="preserve">effective </w:t>
      </w:r>
      <w:r w:rsidR="00FC3A3B" w:rsidRPr="00AE13AD">
        <w:t>human rights protection</w:t>
      </w:r>
      <w:r w:rsidR="00EE0AE3" w:rsidRPr="00AE13AD">
        <w:t>.</w:t>
      </w:r>
      <w:r w:rsidR="00BD7310" w:rsidRPr="00AE13AD">
        <w:rPr>
          <w:vertAlign w:val="superscript"/>
        </w:rPr>
        <w:footnoteReference w:id="71"/>
      </w:r>
      <w:r w:rsidR="00BD7310" w:rsidRPr="00AE13AD">
        <w:t xml:space="preserve"> </w:t>
      </w:r>
      <w:r w:rsidR="00712DB4" w:rsidRPr="00AE13AD">
        <w:t>It r</w:t>
      </w:r>
      <w:r w:rsidR="00BD7310" w:rsidRPr="00AE13AD">
        <w:t>eview</w:t>
      </w:r>
      <w:r w:rsidR="00712DB4" w:rsidRPr="00AE13AD">
        <w:t>s</w:t>
      </w:r>
      <w:r w:rsidR="00BD7310" w:rsidRPr="00AE13AD">
        <w:t xml:space="preserve"> the conduct of the executive</w:t>
      </w:r>
      <w:r w:rsidR="00613E47">
        <w:t xml:space="preserve"> and</w:t>
      </w:r>
      <w:r w:rsidR="00BD7310" w:rsidRPr="00AE13AD">
        <w:t xml:space="preserve"> the compatibility of laws with the </w:t>
      </w:r>
      <w:r w:rsidR="009602BF">
        <w:t>C</w:t>
      </w:r>
      <w:r w:rsidR="00BD7310" w:rsidRPr="00AE13AD">
        <w:t xml:space="preserve">onstitution </w:t>
      </w:r>
      <w:r w:rsidR="0033441E" w:rsidRPr="00AE13AD">
        <w:t>and grant</w:t>
      </w:r>
      <w:r w:rsidR="00CC039D" w:rsidRPr="00AE13AD">
        <w:t>s</w:t>
      </w:r>
      <w:r w:rsidR="0033441E" w:rsidRPr="00AE13AD">
        <w:t xml:space="preserve"> </w:t>
      </w:r>
      <w:r w:rsidR="00BD7310" w:rsidRPr="00AE13AD">
        <w:t>effective remedies</w:t>
      </w:r>
      <w:r w:rsidR="0033441E" w:rsidRPr="00AE13AD">
        <w:t xml:space="preserve"> following violations</w:t>
      </w:r>
      <w:r w:rsidR="00BD7310" w:rsidRPr="00AE13AD">
        <w:t xml:space="preserve">, including </w:t>
      </w:r>
      <w:r w:rsidR="0033441E" w:rsidRPr="00AE13AD">
        <w:t xml:space="preserve">in the form of reparations and </w:t>
      </w:r>
      <w:r w:rsidR="00BD7310" w:rsidRPr="00AE13AD">
        <w:t>guarantees of non-repetition.</w:t>
      </w:r>
      <w:r w:rsidR="006004B9" w:rsidRPr="00AE13AD">
        <w:rPr>
          <w:rStyle w:val="FootnoteReference"/>
        </w:rPr>
        <w:footnoteReference w:id="72"/>
      </w:r>
      <w:r w:rsidR="00433DC9" w:rsidRPr="00AE13AD">
        <w:t xml:space="preserve"> </w:t>
      </w:r>
      <w:r w:rsidR="00A80B0D" w:rsidRPr="00AE13AD">
        <w:t xml:space="preserve">This accentuates the importance of the legal requirement to ensure the independence, impartiality and integrity of the judiciary </w:t>
      </w:r>
      <w:r w:rsidR="00613E47">
        <w:t>in</w:t>
      </w:r>
      <w:r w:rsidR="00A80B0D" w:rsidRPr="00AE13AD">
        <w:t xml:space="preserve"> law and in practice</w:t>
      </w:r>
      <w:r w:rsidR="002A6B53" w:rsidRPr="00AE13AD">
        <w:t>.</w:t>
      </w:r>
      <w:r w:rsidR="00A80B0D" w:rsidRPr="00AE13AD">
        <w:rPr>
          <w:rStyle w:val="FootnoteReference"/>
        </w:rPr>
        <w:footnoteReference w:id="73"/>
      </w:r>
      <w:r w:rsidR="00A80B0D" w:rsidRPr="00AE13AD">
        <w:t xml:space="preserve"> </w:t>
      </w:r>
      <w:r w:rsidR="00E216CB" w:rsidRPr="00AE13AD">
        <w:t>S</w:t>
      </w:r>
      <w:r w:rsidR="00FC3A3B" w:rsidRPr="00AE13AD">
        <w:t xml:space="preserve">idelining the authority and independence of </w:t>
      </w:r>
      <w:r w:rsidR="00B515B4">
        <w:t xml:space="preserve">the </w:t>
      </w:r>
      <w:r w:rsidR="00FC3A3B" w:rsidRPr="00AE13AD">
        <w:t xml:space="preserve">courts weakens the separation of powers and promotes the concentration of </w:t>
      </w:r>
      <w:r w:rsidR="00E376DC" w:rsidRPr="00AE13AD">
        <w:t xml:space="preserve">overbroad </w:t>
      </w:r>
      <w:r w:rsidR="00FC3A3B" w:rsidRPr="00AE13AD">
        <w:t>power in the executive.</w:t>
      </w:r>
      <w:r w:rsidR="00FC3A3B" w:rsidRPr="00AE13AD">
        <w:rPr>
          <w:rStyle w:val="FootnoteReference"/>
        </w:rPr>
        <w:footnoteReference w:id="74"/>
      </w:r>
    </w:p>
    <w:p w14:paraId="2574EA54" w14:textId="5802B2D9" w:rsidR="006C73A9" w:rsidRPr="00AE13AD" w:rsidRDefault="00533524" w:rsidP="00BA4BB2">
      <w:pPr>
        <w:pStyle w:val="SingleTxtG"/>
      </w:pPr>
      <w:r w:rsidRPr="00AE13AD">
        <w:t>2</w:t>
      </w:r>
      <w:r w:rsidR="00862EC0" w:rsidRPr="00AE13AD">
        <w:t>4</w:t>
      </w:r>
      <w:r w:rsidR="00BD7310" w:rsidRPr="00AE13AD">
        <w:t>.</w:t>
      </w:r>
      <w:r w:rsidR="00BD7310" w:rsidRPr="00AE13AD">
        <w:tab/>
      </w:r>
      <w:r w:rsidR="00D74CDD" w:rsidRPr="00AE13AD">
        <w:t>Further</w:t>
      </w:r>
      <w:r w:rsidR="006C4403">
        <w:t>more</w:t>
      </w:r>
      <w:r w:rsidR="00D74CDD" w:rsidRPr="00AE13AD">
        <w:t xml:space="preserve">, </w:t>
      </w:r>
      <w:r w:rsidR="008D50BC" w:rsidRPr="00AE13AD">
        <w:t xml:space="preserve">while </w:t>
      </w:r>
      <w:r w:rsidR="00D74CDD" w:rsidRPr="00AE13AD">
        <w:t>t</w:t>
      </w:r>
      <w:r w:rsidR="004878C7" w:rsidRPr="00AE13AD">
        <w:t xml:space="preserve">he </w:t>
      </w:r>
      <w:r w:rsidR="00CE56B8" w:rsidRPr="00AE13AD">
        <w:t>executive</w:t>
      </w:r>
      <w:r w:rsidR="00745C8B" w:rsidRPr="00AE13AD">
        <w:t xml:space="preserve"> </w:t>
      </w:r>
      <w:r w:rsidR="004878C7" w:rsidRPr="00AE13AD">
        <w:t xml:space="preserve">branch </w:t>
      </w:r>
      <w:r w:rsidR="00D74CDD" w:rsidRPr="00AE13AD">
        <w:t>has a key role to play in the rule of law and prevention</w:t>
      </w:r>
      <w:r w:rsidR="008D50BC" w:rsidRPr="00AE13AD">
        <w:t xml:space="preserve"> of violations and abuses, </w:t>
      </w:r>
      <w:r w:rsidR="00D74CDD" w:rsidRPr="00AE13AD">
        <w:t xml:space="preserve">it </w:t>
      </w:r>
      <w:r w:rsidR="007F497D" w:rsidRPr="00AE13AD">
        <w:t>is essential to</w:t>
      </w:r>
      <w:r w:rsidR="00745C8B" w:rsidRPr="00AE13AD">
        <w:t xml:space="preserve"> avoid overreach</w:t>
      </w:r>
      <w:r w:rsidR="004878C7" w:rsidRPr="00AE13AD">
        <w:t xml:space="preserve"> or abuse of </w:t>
      </w:r>
      <w:r w:rsidR="00D74CDD" w:rsidRPr="00AE13AD">
        <w:t xml:space="preserve">its </w:t>
      </w:r>
      <w:r w:rsidR="004878C7" w:rsidRPr="00AE13AD">
        <w:t>power</w:t>
      </w:r>
      <w:r w:rsidR="00D74CDD" w:rsidRPr="00AE13AD">
        <w:t xml:space="preserve"> for this to be effective</w:t>
      </w:r>
      <w:r w:rsidR="009D221A" w:rsidRPr="00AE13AD">
        <w:t>.</w:t>
      </w:r>
      <w:r w:rsidR="007F497D" w:rsidRPr="00AE13AD">
        <w:t xml:space="preserve"> </w:t>
      </w:r>
      <w:r w:rsidR="00D74CDD" w:rsidRPr="00AE13AD">
        <w:t>T</w:t>
      </w:r>
      <w:r w:rsidR="00C030C4" w:rsidRPr="00AE13AD">
        <w:t xml:space="preserve">he security sector, including </w:t>
      </w:r>
      <w:r w:rsidR="00745C8B" w:rsidRPr="00AE13AD">
        <w:t>law enforcement</w:t>
      </w:r>
      <w:r w:rsidR="007F7925" w:rsidRPr="00AE13AD">
        <w:t xml:space="preserve"> agencies</w:t>
      </w:r>
      <w:r w:rsidR="00EE6D08" w:rsidRPr="00AE13AD">
        <w:t>,</w:t>
      </w:r>
      <w:r w:rsidR="00CE56B8" w:rsidRPr="00AE13AD">
        <w:rPr>
          <w:vertAlign w:val="superscript"/>
        </w:rPr>
        <w:footnoteReference w:id="75"/>
      </w:r>
      <w:r w:rsidR="00EE6D08" w:rsidRPr="00AE13AD">
        <w:t xml:space="preserve"> as well as the armed forces of the State</w:t>
      </w:r>
      <w:r w:rsidR="007F7925" w:rsidRPr="00AE13AD">
        <w:t>,</w:t>
      </w:r>
      <w:r w:rsidR="00D74CDD" w:rsidRPr="00AE13AD">
        <w:t xml:space="preserve"> have important role</w:t>
      </w:r>
      <w:r w:rsidR="00113C29" w:rsidRPr="00AE13AD">
        <w:t>s</w:t>
      </w:r>
      <w:r w:rsidR="00D74CDD" w:rsidRPr="00AE13AD">
        <w:t xml:space="preserve"> to play </w:t>
      </w:r>
      <w:r w:rsidR="00F345E8" w:rsidRPr="00AE13AD">
        <w:t xml:space="preserve">in </w:t>
      </w:r>
      <w:r w:rsidR="00113C29" w:rsidRPr="00AE13AD">
        <w:t xml:space="preserve">protecting individuals from harm, including in situations of armed conflict and violence, and facilitating the </w:t>
      </w:r>
      <w:r w:rsidR="00D74CDD" w:rsidRPr="00AE13AD">
        <w:t>right to freedom of peaceful assembly; however, it is equally important</w:t>
      </w:r>
      <w:r w:rsidR="007F7925" w:rsidRPr="00AE13AD">
        <w:t xml:space="preserve"> to ensure the</w:t>
      </w:r>
      <w:r w:rsidR="00D74CDD" w:rsidRPr="00AE13AD">
        <w:t xml:space="preserve"> sector complies</w:t>
      </w:r>
      <w:r w:rsidR="007F7925" w:rsidRPr="00AE13AD">
        <w:t xml:space="preserve"> with international law.</w:t>
      </w:r>
      <w:r w:rsidR="00C030C4" w:rsidRPr="008A0231">
        <w:t xml:space="preserve"> </w:t>
      </w:r>
      <w:r w:rsidR="00D74CDD" w:rsidRPr="00AE13AD">
        <w:t>Significantly, e</w:t>
      </w:r>
      <w:r w:rsidR="00817025" w:rsidRPr="00AE13AD">
        <w:t xml:space="preserve">ffective security sector reform can help to reduce risks </w:t>
      </w:r>
      <w:r w:rsidR="008D50BC" w:rsidRPr="00AE13AD">
        <w:t xml:space="preserve">of violations and abuses </w:t>
      </w:r>
      <w:r w:rsidR="00817025" w:rsidRPr="00AE13AD">
        <w:t xml:space="preserve">and build resilience </w:t>
      </w:r>
      <w:r w:rsidR="008D50BC" w:rsidRPr="00AE13AD">
        <w:t>against them.</w:t>
      </w:r>
      <w:r w:rsidR="00817025" w:rsidRPr="00AE13AD">
        <w:rPr>
          <w:rStyle w:val="FootnoteReference"/>
        </w:rPr>
        <w:footnoteReference w:id="76"/>
      </w:r>
      <w:r w:rsidR="00817025" w:rsidRPr="00AE13AD">
        <w:t xml:space="preserve"> </w:t>
      </w:r>
      <w:r w:rsidR="007F7925" w:rsidRPr="00AE13AD">
        <w:t xml:space="preserve">In this respect, </w:t>
      </w:r>
      <w:r w:rsidR="002A6B53" w:rsidRPr="00AE13AD">
        <w:t>the executive branch should establish the</w:t>
      </w:r>
      <w:r w:rsidR="00C60372" w:rsidRPr="00AE13AD">
        <w:t xml:space="preserve"> conditions necessary for professional law enforcement, including </w:t>
      </w:r>
      <w:r w:rsidR="002A6B53" w:rsidRPr="00AE13AD">
        <w:t xml:space="preserve">by incorporating </w:t>
      </w:r>
      <w:bookmarkStart w:id="3" w:name="_Hlk172672554"/>
      <w:r w:rsidR="002D6F45" w:rsidRPr="00AE13AD">
        <w:t>effective lines of command, control and responsibility,</w:t>
      </w:r>
      <w:r w:rsidR="002D6F45" w:rsidRPr="00AE13AD">
        <w:rPr>
          <w:i/>
          <w:iCs/>
        </w:rPr>
        <w:t xml:space="preserve"> </w:t>
      </w:r>
      <w:r w:rsidR="002A6B53" w:rsidRPr="00AE13AD">
        <w:t xml:space="preserve">as well as </w:t>
      </w:r>
      <w:r w:rsidR="00C60372" w:rsidRPr="00AE13AD">
        <w:t xml:space="preserve">appropriate </w:t>
      </w:r>
      <w:r w:rsidR="002D6F45" w:rsidRPr="00AE13AD">
        <w:t>recruitment, selection and promotion</w:t>
      </w:r>
      <w:r w:rsidR="00C60372" w:rsidRPr="00AE13AD">
        <w:t xml:space="preserve"> rules and policies</w:t>
      </w:r>
      <w:r w:rsidR="002D6F45" w:rsidRPr="00AE13AD">
        <w:t xml:space="preserve">, </w:t>
      </w:r>
      <w:r w:rsidR="002A6B53" w:rsidRPr="00AE13AD">
        <w:t xml:space="preserve">and </w:t>
      </w:r>
      <w:r w:rsidR="00C60372" w:rsidRPr="00AE13AD">
        <w:t xml:space="preserve">the implementation of </w:t>
      </w:r>
      <w:r w:rsidR="00817025" w:rsidRPr="00AE13AD">
        <w:t xml:space="preserve">regular </w:t>
      </w:r>
      <w:r w:rsidR="002D6F45" w:rsidRPr="00AE13AD">
        <w:t>training</w:t>
      </w:r>
      <w:r w:rsidR="00817025" w:rsidRPr="00AE13AD">
        <w:t>,</w:t>
      </w:r>
      <w:r w:rsidR="002D6F45" w:rsidRPr="00AE13AD">
        <w:t xml:space="preserve"> testing and performance management</w:t>
      </w:r>
      <w:r w:rsidR="00C60372" w:rsidRPr="00AE13AD">
        <w:t xml:space="preserve"> systems</w:t>
      </w:r>
      <w:bookmarkEnd w:id="3"/>
      <w:r w:rsidR="002D6F45" w:rsidRPr="00AE13AD">
        <w:t>.</w:t>
      </w:r>
      <w:r w:rsidR="00817025" w:rsidRPr="00AE13AD">
        <w:rPr>
          <w:rStyle w:val="FootnoteReference"/>
        </w:rPr>
        <w:footnoteReference w:id="77"/>
      </w:r>
      <w:r w:rsidR="002D6F45" w:rsidRPr="00AE13AD">
        <w:t xml:space="preserve"> </w:t>
      </w:r>
      <w:r w:rsidR="000A4A71">
        <w:t>E</w:t>
      </w:r>
      <w:r w:rsidR="002A6B53" w:rsidRPr="00AE13AD">
        <w:t>nsur</w:t>
      </w:r>
      <w:r w:rsidR="000A4A71">
        <w:t>ing</w:t>
      </w:r>
      <w:r w:rsidR="002A6B53" w:rsidRPr="00AE13AD">
        <w:t xml:space="preserve"> accountability </w:t>
      </w:r>
      <w:r w:rsidR="00C20281" w:rsidRPr="00AE13AD">
        <w:t>entails the a</w:t>
      </w:r>
      <w:r w:rsidR="008D0135" w:rsidRPr="00AE13AD">
        <w:t>doption of recording, r</w:t>
      </w:r>
      <w:r w:rsidR="002D6F45" w:rsidRPr="00AE13AD">
        <w:t>eporting, monitoring and review</w:t>
      </w:r>
      <w:r w:rsidR="008D0135" w:rsidRPr="00AE13AD">
        <w:t xml:space="preserve"> procedures</w:t>
      </w:r>
      <w:r w:rsidR="002D6F45" w:rsidRPr="00AE13AD">
        <w:t xml:space="preserve">, </w:t>
      </w:r>
      <w:r w:rsidR="00C20281" w:rsidRPr="00AE13AD">
        <w:t xml:space="preserve">as well as </w:t>
      </w:r>
      <w:r w:rsidR="002D6F45" w:rsidRPr="00AE13AD">
        <w:t xml:space="preserve">channels </w:t>
      </w:r>
      <w:r w:rsidR="008D0135" w:rsidRPr="00AE13AD">
        <w:t xml:space="preserve">for </w:t>
      </w:r>
      <w:r w:rsidR="002D6F45" w:rsidRPr="00AE13AD">
        <w:t>processing complaints</w:t>
      </w:r>
      <w:r w:rsidR="008D0135" w:rsidRPr="00AE13AD">
        <w:t>, and ensur</w:t>
      </w:r>
      <w:r w:rsidR="0040698F">
        <w:t>ing</w:t>
      </w:r>
      <w:r w:rsidR="008D0135" w:rsidRPr="00AE13AD">
        <w:t xml:space="preserve"> the independent investigation of possible violations.</w:t>
      </w:r>
      <w:r w:rsidR="003068C2" w:rsidRPr="008A0231">
        <w:rPr>
          <w:rStyle w:val="FootnoteReference"/>
        </w:rPr>
        <w:footnoteReference w:id="78"/>
      </w:r>
    </w:p>
    <w:p w14:paraId="4C169103" w14:textId="60535EAA" w:rsidR="00CC039D" w:rsidRPr="00AE13AD" w:rsidRDefault="00CC039D" w:rsidP="00CC039D">
      <w:pPr>
        <w:pStyle w:val="SingleTxtG"/>
      </w:pPr>
      <w:r w:rsidRPr="00AE13AD">
        <w:t>2</w:t>
      </w:r>
      <w:r w:rsidR="00862EC0" w:rsidRPr="00AE13AD">
        <w:t>5</w:t>
      </w:r>
      <w:r w:rsidRPr="00AE13AD">
        <w:t>.</w:t>
      </w:r>
      <w:r w:rsidRPr="00AE13AD">
        <w:tab/>
      </w:r>
      <w:r w:rsidR="00862EC0" w:rsidRPr="00C15E32">
        <w:t>A</w:t>
      </w:r>
      <w:r w:rsidRPr="00C15E32">
        <w:t>dministrative oversight institutions</w:t>
      </w:r>
      <w:r w:rsidR="00862EC0" w:rsidRPr="00C15E32">
        <w:t xml:space="preserve"> also have a role to play in prevention, where they are </w:t>
      </w:r>
      <w:r w:rsidR="001324AF" w:rsidRPr="00C15E32">
        <w:t xml:space="preserve">sufficiently </w:t>
      </w:r>
      <w:r w:rsidR="00862EC0" w:rsidRPr="00C15E32">
        <w:t>independent and resource</w:t>
      </w:r>
      <w:r w:rsidR="00B47EA3" w:rsidRPr="00C15E32">
        <w:t>d</w:t>
      </w:r>
      <w:r w:rsidRPr="00C15E32">
        <w:t>.</w:t>
      </w:r>
      <w:r w:rsidRPr="00C15E32">
        <w:rPr>
          <w:vertAlign w:val="superscript"/>
        </w:rPr>
        <w:footnoteReference w:id="79"/>
      </w:r>
      <w:r w:rsidRPr="00C15E32">
        <w:t xml:space="preserve"> </w:t>
      </w:r>
      <w:r w:rsidR="00862EC0" w:rsidRPr="00C15E32">
        <w:t>This includes</w:t>
      </w:r>
      <w:r w:rsidRPr="00C15E32">
        <w:t xml:space="preserve"> institutions directly mandated </w:t>
      </w:r>
      <w:r w:rsidR="00CC2555" w:rsidRPr="008A0231">
        <w:t>to conduct</w:t>
      </w:r>
      <w:r w:rsidRPr="00C15E32">
        <w:t xml:space="preserve"> human rights prevention and protection, such as</w:t>
      </w:r>
      <w:r w:rsidRPr="00AE13AD">
        <w:t xml:space="preserve"> </w:t>
      </w:r>
      <w:r w:rsidR="001B519F">
        <w:t>n</w:t>
      </w:r>
      <w:r w:rsidRPr="00AE13AD">
        <w:t xml:space="preserve">ational </w:t>
      </w:r>
      <w:r w:rsidR="001B519F">
        <w:t>h</w:t>
      </w:r>
      <w:r w:rsidRPr="00AE13AD">
        <w:t xml:space="preserve">uman </w:t>
      </w:r>
      <w:r w:rsidR="001B519F">
        <w:t>r</w:t>
      </w:r>
      <w:r w:rsidRPr="00AE13AD">
        <w:t xml:space="preserve">ights </w:t>
      </w:r>
      <w:r w:rsidR="001B519F">
        <w:t>i</w:t>
      </w:r>
      <w:r w:rsidRPr="00AE13AD">
        <w:t>nstitutions</w:t>
      </w:r>
      <w:r w:rsidR="00862EC0" w:rsidRPr="00AE13AD">
        <w:t xml:space="preserve"> that comply</w:t>
      </w:r>
      <w:r w:rsidRPr="00AE13AD">
        <w:t xml:space="preserve"> with the</w:t>
      </w:r>
      <w:r w:rsidR="00862EC0" w:rsidRPr="00AE13AD">
        <w:t xml:space="preserve"> </w:t>
      </w:r>
      <w:r w:rsidR="00460CFF">
        <w:t>p</w:t>
      </w:r>
      <w:r w:rsidRPr="00AE13AD">
        <w:t>rinciples</w:t>
      </w:r>
      <w:r w:rsidR="00B976F2" w:rsidRPr="00AE13AD">
        <w:t xml:space="preserve"> </w:t>
      </w:r>
      <w:r w:rsidR="00460CFF">
        <w:t>r</w:t>
      </w:r>
      <w:r w:rsidR="00B976F2" w:rsidRPr="00AE13AD">
        <w:t xml:space="preserve">elating to the </w:t>
      </w:r>
      <w:r w:rsidR="00460CFF">
        <w:t>s</w:t>
      </w:r>
      <w:r w:rsidR="00B976F2" w:rsidRPr="00AE13AD">
        <w:t xml:space="preserve">tatus of </w:t>
      </w:r>
      <w:r w:rsidR="00460CFF">
        <w:t>n</w:t>
      </w:r>
      <w:r w:rsidR="00B976F2" w:rsidRPr="00AE13AD">
        <w:t xml:space="preserve">ational </w:t>
      </w:r>
      <w:r w:rsidR="00460CFF">
        <w:t>i</w:t>
      </w:r>
      <w:r w:rsidR="00B976F2" w:rsidRPr="00AE13AD">
        <w:t>nstitutions</w:t>
      </w:r>
      <w:r w:rsidR="004F4C8E">
        <w:t xml:space="preserve"> </w:t>
      </w:r>
      <w:r w:rsidR="001C67DF" w:rsidRPr="001C67DF">
        <w:t>for the promotion and protection of human rights (the Paris Principles)</w:t>
      </w:r>
      <w:r w:rsidRPr="00AE13AD">
        <w:t>,</w:t>
      </w:r>
      <w:r w:rsidRPr="00AE13AD">
        <w:rPr>
          <w:vertAlign w:val="superscript"/>
        </w:rPr>
        <w:footnoteReference w:id="80"/>
      </w:r>
      <w:r w:rsidRPr="00AE13AD">
        <w:t xml:space="preserve"> as well as national preventive mechanisms.</w:t>
      </w:r>
      <w:r w:rsidRPr="00AE13AD">
        <w:rPr>
          <w:vertAlign w:val="superscript"/>
        </w:rPr>
        <w:footnoteReference w:id="81"/>
      </w:r>
      <w:r w:rsidRPr="00AE13AD">
        <w:t xml:space="preserve"> Other institutions, too, form part of the institutional architecture contributing to prevent</w:t>
      </w:r>
      <w:r w:rsidR="00FD3AB9">
        <w:t>ing</w:t>
      </w:r>
      <w:r w:rsidRPr="00AE13AD">
        <w:t xml:space="preserve"> human rights violations, such as ombudspersons mandated to oversee the executive</w:t>
      </w:r>
      <w:r w:rsidRPr="00AE13AD">
        <w:rPr>
          <w:rStyle w:val="FootnoteReference"/>
        </w:rPr>
        <w:footnoteReference w:id="82"/>
      </w:r>
      <w:r w:rsidRPr="00AE13AD">
        <w:t xml:space="preserve"> and independent audit institutions that contribute to the promotion of integrity and accountability for financial spending and prevent corruption.</w:t>
      </w:r>
      <w:r w:rsidRPr="00AE13AD">
        <w:rPr>
          <w:vertAlign w:val="superscript"/>
        </w:rPr>
        <w:footnoteReference w:id="83"/>
      </w:r>
    </w:p>
    <w:p w14:paraId="5FA79830" w14:textId="01A343C0" w:rsidR="002A3192" w:rsidRPr="00AE13AD" w:rsidRDefault="00862EC0" w:rsidP="004F3CAA">
      <w:pPr>
        <w:pStyle w:val="SingleTxtG"/>
      </w:pPr>
      <w:r w:rsidRPr="00AE13AD">
        <w:t>26.</w:t>
      </w:r>
      <w:r w:rsidRPr="00AE13AD">
        <w:tab/>
      </w:r>
      <w:r w:rsidR="00887E38" w:rsidRPr="00AE13AD">
        <w:t>S</w:t>
      </w:r>
      <w:r w:rsidRPr="00AE13AD">
        <w:t xml:space="preserve">trengthening public rule of law institutions </w:t>
      </w:r>
      <w:r w:rsidR="00C55F3D">
        <w:t>plays</w:t>
      </w:r>
      <w:r w:rsidRPr="00AE13AD">
        <w:t xml:space="preserve"> an important role in preventin</w:t>
      </w:r>
      <w:r w:rsidR="00F8377C">
        <w:t>g</w:t>
      </w:r>
      <w:r w:rsidRPr="00AE13AD">
        <w:t xml:space="preserve"> human rights violations and abuse</w:t>
      </w:r>
      <w:r w:rsidR="001569E6" w:rsidRPr="00AE13AD">
        <w:t>s</w:t>
      </w:r>
      <w:r w:rsidR="00D53E35" w:rsidRPr="00AE13AD">
        <w:t>, including</w:t>
      </w:r>
      <w:r w:rsidRPr="00AE13AD">
        <w:t xml:space="preserve"> </w:t>
      </w:r>
      <w:r w:rsidR="00D53E35" w:rsidRPr="00AE13AD">
        <w:t xml:space="preserve">through its contribution to </w:t>
      </w:r>
      <w:r w:rsidRPr="00AE13AD">
        <w:t>combating corruption</w:t>
      </w:r>
      <w:r w:rsidR="00D53E35" w:rsidRPr="00AE13AD">
        <w:t xml:space="preserve"> and the capture</w:t>
      </w:r>
      <w:r w:rsidR="004C092A" w:rsidRPr="00AE13AD">
        <w:t xml:space="preserve"> </w:t>
      </w:r>
      <w:r w:rsidR="00D53E35" w:rsidRPr="00AE13AD">
        <w:t xml:space="preserve">of </w:t>
      </w:r>
      <w:r w:rsidR="004C092A" w:rsidRPr="00AE13AD">
        <w:t>public institutions</w:t>
      </w:r>
      <w:r w:rsidRPr="00AE13AD">
        <w:t>.</w:t>
      </w:r>
      <w:r w:rsidR="00887E38" w:rsidRPr="00AE13AD">
        <w:rPr>
          <w:rStyle w:val="FootnoteReference"/>
        </w:rPr>
        <w:footnoteReference w:id="84"/>
      </w:r>
      <w:r w:rsidR="00887E38" w:rsidRPr="00AE13AD">
        <w:t xml:space="preserve"> </w:t>
      </w:r>
      <w:r w:rsidR="002A3192" w:rsidRPr="00AE13AD">
        <w:t xml:space="preserve">State </w:t>
      </w:r>
      <w:r w:rsidR="002A3192" w:rsidRPr="00253E97">
        <w:t>capture</w:t>
      </w:r>
      <w:r w:rsidR="00887E38" w:rsidRPr="00253E97">
        <w:t xml:space="preserve"> </w:t>
      </w:r>
      <w:r w:rsidR="002A3192" w:rsidRPr="00253E97">
        <w:t>frustrates the capacity of the State to respect and protect human rights</w:t>
      </w:r>
      <w:r w:rsidR="00D53E35" w:rsidRPr="00253E97">
        <w:t xml:space="preserve"> </w:t>
      </w:r>
      <w:r w:rsidR="002A3192" w:rsidRPr="00253E97">
        <w:t>and erodes trust in public institutions.</w:t>
      </w:r>
      <w:r w:rsidR="00887E38" w:rsidRPr="00253E97">
        <w:rPr>
          <w:rStyle w:val="FootnoteReference"/>
        </w:rPr>
        <w:footnoteReference w:id="85"/>
      </w:r>
      <w:r w:rsidR="002A3192" w:rsidRPr="00253E97">
        <w:t xml:space="preserve"> Capture of the judiciary by </w:t>
      </w:r>
      <w:r w:rsidR="001569E6" w:rsidRPr="00253E97">
        <w:t xml:space="preserve">external </w:t>
      </w:r>
      <w:r w:rsidR="002A3192" w:rsidRPr="00253E97">
        <w:t xml:space="preserve">actors </w:t>
      </w:r>
      <w:r w:rsidR="00BA0A4E" w:rsidRPr="00253E97">
        <w:t xml:space="preserve">severely erodes the rule of law </w:t>
      </w:r>
      <w:r w:rsidR="001569E6" w:rsidRPr="00253E97">
        <w:t xml:space="preserve">and </w:t>
      </w:r>
      <w:r w:rsidR="002A3192" w:rsidRPr="00253E97">
        <w:t>can result in impunity for those same actors and facilitate human rights violations. For example, judicial capture has contributed to the arbitrary deprivation of liberty of political opposition members, giving the detention the guise of legitimacy</w:t>
      </w:r>
      <w:r w:rsidR="00BA0A4E" w:rsidRPr="00253E97">
        <w:t>,</w:t>
      </w:r>
      <w:r w:rsidR="002A3192" w:rsidRPr="00253E97">
        <w:rPr>
          <w:rStyle w:val="FootnoteReference"/>
        </w:rPr>
        <w:footnoteReference w:id="86"/>
      </w:r>
      <w:r w:rsidR="00BA0A4E" w:rsidRPr="00253E97">
        <w:t xml:space="preserve"> and to the use of criminal law to persecute those with dissident views.</w:t>
      </w:r>
      <w:r w:rsidR="002A3192" w:rsidRPr="00253E97">
        <w:t xml:space="preserve"> Regulatory capture by commercial intere</w:t>
      </w:r>
      <w:r w:rsidR="002A3192" w:rsidRPr="00AE13AD">
        <w:t xml:space="preserve">st groups of legislative bodies can block </w:t>
      </w:r>
      <w:r w:rsidR="001569E6" w:rsidRPr="00AE13AD">
        <w:t xml:space="preserve">necessary </w:t>
      </w:r>
      <w:r w:rsidR="002A3192" w:rsidRPr="00AE13AD">
        <w:t>legislative action</w:t>
      </w:r>
      <w:r w:rsidR="00645ED2" w:rsidRPr="00AE13AD">
        <w:t>, including action</w:t>
      </w:r>
      <w:r w:rsidR="002A3192" w:rsidRPr="00AE13AD">
        <w:t xml:space="preserve"> necessary to protect the human rights of those affected by those same interests.</w:t>
      </w:r>
      <w:r w:rsidR="002A3192" w:rsidRPr="00AE13AD">
        <w:rPr>
          <w:rStyle w:val="FootnoteReference"/>
        </w:rPr>
        <w:footnoteReference w:id="87"/>
      </w:r>
    </w:p>
    <w:p w14:paraId="6A17C313" w14:textId="0AABAF92" w:rsidR="0099422D" w:rsidRPr="00AE13AD" w:rsidRDefault="0099422D" w:rsidP="0099422D">
      <w:pPr>
        <w:pStyle w:val="H1G"/>
      </w:pPr>
      <w:r w:rsidRPr="00AE13AD">
        <w:tab/>
        <w:t>C.</w:t>
      </w:r>
      <w:r w:rsidRPr="00AE13AD">
        <w:tab/>
        <w:t>Rule of law at the international level</w:t>
      </w:r>
    </w:p>
    <w:p w14:paraId="2579CAB8" w14:textId="2154870D" w:rsidR="003E0E71" w:rsidRPr="00AE13AD" w:rsidRDefault="003E0E71" w:rsidP="00B100A7">
      <w:pPr>
        <w:pStyle w:val="H23G"/>
        <w:numPr>
          <w:ilvl w:val="0"/>
          <w:numId w:val="27"/>
        </w:numPr>
        <w:tabs>
          <w:tab w:val="clear" w:pos="851"/>
          <w:tab w:val="right" w:pos="1276"/>
        </w:tabs>
        <w:ind w:left="1134" w:hanging="283"/>
        <w:rPr>
          <w:i/>
          <w:iCs/>
        </w:rPr>
      </w:pPr>
      <w:r w:rsidRPr="00AE13AD">
        <w:t xml:space="preserve">International </w:t>
      </w:r>
      <w:r w:rsidR="003A02CE" w:rsidRPr="00AE13AD">
        <w:t>r</w:t>
      </w:r>
      <w:r w:rsidRPr="00AE13AD">
        <w:t xml:space="preserve">ule of </w:t>
      </w:r>
      <w:r w:rsidR="003A02CE" w:rsidRPr="00AE13AD">
        <w:t>l</w:t>
      </w:r>
      <w:r w:rsidRPr="00AE13AD">
        <w:t>aw</w:t>
      </w:r>
    </w:p>
    <w:p w14:paraId="4721CE51" w14:textId="4FEAB9B1" w:rsidR="003B3CFB" w:rsidRPr="00AE13AD" w:rsidRDefault="0006727A" w:rsidP="00A5590E">
      <w:pPr>
        <w:pStyle w:val="SingleTxtG"/>
      </w:pPr>
      <w:r w:rsidRPr="00AE13AD">
        <w:t>2</w:t>
      </w:r>
      <w:r w:rsidR="00533524" w:rsidRPr="00AE13AD">
        <w:t>7</w:t>
      </w:r>
      <w:r w:rsidR="0099422D" w:rsidRPr="00AE13AD">
        <w:t>.</w:t>
      </w:r>
      <w:r w:rsidR="0099422D" w:rsidRPr="00AE13AD">
        <w:tab/>
      </w:r>
      <w:r w:rsidR="00645BEF" w:rsidRPr="00AE13AD">
        <w:t>The rule of law is applicable also at the international level. As the General Assembly has affirmed, the rule of law applies to all States equally, and to international organizations, including the United Nations and its principal organs.</w:t>
      </w:r>
      <w:r w:rsidR="00645BEF" w:rsidRPr="00AE13AD">
        <w:rPr>
          <w:vertAlign w:val="superscript"/>
        </w:rPr>
        <w:footnoteReference w:id="88"/>
      </w:r>
      <w:r w:rsidR="00645BEF" w:rsidRPr="00AE13AD">
        <w:t xml:space="preserve"> Th</w:t>
      </w:r>
      <w:r w:rsidR="009A266D">
        <w:t>at</w:t>
      </w:r>
      <w:r w:rsidR="00645BEF" w:rsidRPr="00AE13AD">
        <w:t xml:space="preserve"> principle is also applicable among nations.</w:t>
      </w:r>
      <w:r w:rsidR="00645BEF" w:rsidRPr="00AE13AD">
        <w:rPr>
          <w:vertAlign w:val="superscript"/>
        </w:rPr>
        <w:footnoteReference w:id="89"/>
      </w:r>
      <w:r w:rsidR="00645BEF" w:rsidRPr="00AE13AD">
        <w:t xml:space="preserve"> As highlighted in the preamble of the Charter</w:t>
      </w:r>
      <w:r w:rsidR="00BE4483">
        <w:t xml:space="preserve"> of the United Nations</w:t>
      </w:r>
      <w:r w:rsidR="00645BEF" w:rsidRPr="00AE13AD">
        <w:t xml:space="preserve">, </w:t>
      </w:r>
      <w:r w:rsidR="003B3CFB" w:rsidRPr="00AE13AD">
        <w:t xml:space="preserve">with the adoption of the Charter, the drafters were </w:t>
      </w:r>
      <w:r w:rsidR="003068C2" w:rsidRPr="00AE13AD">
        <w:t>determined to establish</w:t>
      </w:r>
      <w:r w:rsidR="00645BEF" w:rsidRPr="00AE13AD">
        <w:t xml:space="preserve"> conditions under which justice and respect for the obligations arising from treaties and other sources of international law c</w:t>
      </w:r>
      <w:r w:rsidR="00A96906">
        <w:t>ould</w:t>
      </w:r>
      <w:r w:rsidR="00645BEF" w:rsidRPr="00AE13AD">
        <w:t xml:space="preserve"> be maintained.</w:t>
      </w:r>
      <w:r w:rsidR="00941454" w:rsidRPr="00AE13AD">
        <w:rPr>
          <w:rStyle w:val="FootnoteReference"/>
        </w:rPr>
        <w:footnoteReference w:id="90"/>
      </w:r>
      <w:r w:rsidR="00645BEF" w:rsidRPr="00AE13AD">
        <w:t xml:space="preserve"> The General Assembly has highlighted the paramount importance of the Charter in the “promotion of </w:t>
      </w:r>
      <w:r w:rsidR="00A25EE6">
        <w:t xml:space="preserve">the </w:t>
      </w:r>
      <w:r w:rsidR="00645BEF" w:rsidRPr="00AE13AD">
        <w:t>rule of law among nations”.</w:t>
      </w:r>
      <w:r w:rsidR="00645BEF" w:rsidRPr="00AE13AD">
        <w:rPr>
          <w:vertAlign w:val="superscript"/>
        </w:rPr>
        <w:footnoteReference w:id="91"/>
      </w:r>
      <w:r w:rsidR="00645BEF" w:rsidRPr="00AE13AD">
        <w:t xml:space="preserve"> </w:t>
      </w:r>
      <w:r w:rsidR="009C0409" w:rsidRPr="00AE13AD">
        <w:t>As the Secretary-General</w:t>
      </w:r>
      <w:r w:rsidR="00D9589A" w:rsidRPr="00D9589A">
        <w:t xml:space="preserve"> </w:t>
      </w:r>
      <w:r w:rsidR="00D9589A">
        <w:t xml:space="preserve">has </w:t>
      </w:r>
      <w:r w:rsidR="00D9589A" w:rsidRPr="00AE13AD">
        <w:t>noted</w:t>
      </w:r>
      <w:r w:rsidR="009C0409" w:rsidRPr="00AE13AD">
        <w:t xml:space="preserve">, at the international level, the rule of law gives predictability and legitimacy to international relations. Member States’ compliance with their obligations under international law is essential for the maintenance of international peace and security, for international cooperation, and ultimately to protect </w:t>
      </w:r>
      <w:r w:rsidR="006F5E77" w:rsidRPr="00AE13AD">
        <w:t>individual</w:t>
      </w:r>
      <w:r w:rsidR="00DC72BF" w:rsidRPr="00AE13AD">
        <w:t>s</w:t>
      </w:r>
      <w:r w:rsidR="009C0409" w:rsidRPr="00AE13AD">
        <w:t>.</w:t>
      </w:r>
      <w:r w:rsidR="009C0409" w:rsidRPr="00AE13AD">
        <w:rPr>
          <w:rStyle w:val="FootnoteReference"/>
        </w:rPr>
        <w:footnoteReference w:id="92"/>
      </w:r>
    </w:p>
    <w:p w14:paraId="1D02A07C" w14:textId="7AE2A9F7" w:rsidR="003E0E71" w:rsidRPr="00AE13AD" w:rsidRDefault="00CB6CF4" w:rsidP="00B100A7">
      <w:pPr>
        <w:pStyle w:val="H23G"/>
        <w:numPr>
          <w:ilvl w:val="0"/>
          <w:numId w:val="27"/>
        </w:numPr>
        <w:tabs>
          <w:tab w:val="clear" w:pos="851"/>
          <w:tab w:val="right" w:pos="1134"/>
        </w:tabs>
        <w:ind w:hanging="219"/>
        <w:rPr>
          <w:i/>
          <w:iCs/>
        </w:rPr>
      </w:pPr>
      <w:r w:rsidRPr="00AE13AD">
        <w:t>Codification</w:t>
      </w:r>
      <w:r w:rsidR="008C148D" w:rsidRPr="00AE13AD">
        <w:t>,</w:t>
      </w:r>
      <w:r w:rsidRPr="00AE13AD">
        <w:t xml:space="preserve"> </w:t>
      </w:r>
      <w:proofErr w:type="gramStart"/>
      <w:r w:rsidR="00A83C98" w:rsidRPr="00AE13AD">
        <w:t>interpretation</w:t>
      </w:r>
      <w:proofErr w:type="gramEnd"/>
      <w:r w:rsidR="00A83C98" w:rsidRPr="00AE13AD">
        <w:t xml:space="preserve"> and </w:t>
      </w:r>
      <w:r w:rsidRPr="00AE13AD">
        <w:t xml:space="preserve">progressive development </w:t>
      </w:r>
      <w:r w:rsidR="008C148D" w:rsidRPr="00AE13AD">
        <w:t xml:space="preserve">of </w:t>
      </w:r>
      <w:r w:rsidR="003E0E71" w:rsidRPr="00AE13AD">
        <w:t>international law</w:t>
      </w:r>
    </w:p>
    <w:p w14:paraId="347B9BD4" w14:textId="649F73CC" w:rsidR="009C44FA" w:rsidRPr="00AE13AD" w:rsidRDefault="0006727A" w:rsidP="00F44CC6">
      <w:pPr>
        <w:pStyle w:val="SingleTxtG"/>
      </w:pPr>
      <w:r w:rsidRPr="00AE13AD">
        <w:t>2</w:t>
      </w:r>
      <w:r w:rsidR="00533524" w:rsidRPr="00AE13AD">
        <w:t>8</w:t>
      </w:r>
      <w:r w:rsidR="00433DC9" w:rsidRPr="00AE13AD">
        <w:t>.</w:t>
      </w:r>
      <w:r w:rsidR="00433DC9" w:rsidRPr="00AE13AD">
        <w:tab/>
      </w:r>
      <w:r w:rsidR="00A35234" w:rsidRPr="00AE13AD">
        <w:t xml:space="preserve">The </w:t>
      </w:r>
      <w:r w:rsidR="008C148D" w:rsidRPr="00AE13AD">
        <w:t>codification and progressive</w:t>
      </w:r>
      <w:r w:rsidR="00CE56B8" w:rsidRPr="00AE13AD">
        <w:t xml:space="preserve"> development of international law</w:t>
      </w:r>
      <w:r w:rsidR="003068C2" w:rsidRPr="00AE13AD">
        <w:t xml:space="preserve"> </w:t>
      </w:r>
      <w:r w:rsidR="00443115" w:rsidRPr="00AE13AD">
        <w:t xml:space="preserve">contributes to </w:t>
      </w:r>
      <w:r w:rsidR="00FB5C7C">
        <w:t xml:space="preserve">the </w:t>
      </w:r>
      <w:r w:rsidR="00443115" w:rsidRPr="00AE13AD">
        <w:t>p</w:t>
      </w:r>
      <w:r w:rsidR="00F44CC6" w:rsidRPr="00AE13AD">
        <w:t>redictability of rights and obligations</w:t>
      </w:r>
      <w:r w:rsidR="006F0C45" w:rsidRPr="00AE13AD">
        <w:t xml:space="preserve"> and </w:t>
      </w:r>
      <w:r w:rsidR="00443115" w:rsidRPr="00AE13AD">
        <w:t>is carried out t</w:t>
      </w:r>
      <w:r w:rsidR="00A35234" w:rsidRPr="00AE13AD">
        <w:t xml:space="preserve">hrough treaty-making, the formation and </w:t>
      </w:r>
      <w:r w:rsidR="003068C2" w:rsidRPr="00AE13AD">
        <w:t>development of customary international law,</w:t>
      </w:r>
      <w:r w:rsidR="008C148D" w:rsidRPr="00AE13AD">
        <w:t xml:space="preserve"> and</w:t>
      </w:r>
      <w:r w:rsidR="003068C2" w:rsidRPr="00AE13AD">
        <w:t xml:space="preserve"> </w:t>
      </w:r>
      <w:r w:rsidR="00A35234" w:rsidRPr="00AE13AD">
        <w:t>the identification of general principles of law</w:t>
      </w:r>
      <w:r w:rsidR="008C148D" w:rsidRPr="00AE13AD">
        <w:t>.</w:t>
      </w:r>
      <w:r w:rsidR="008C148D" w:rsidRPr="00AE13AD">
        <w:rPr>
          <w:rStyle w:val="FootnoteReference"/>
        </w:rPr>
        <w:footnoteReference w:id="93"/>
      </w:r>
      <w:r w:rsidR="00477FC1" w:rsidRPr="00AE13AD">
        <w:t xml:space="preserve"> </w:t>
      </w:r>
      <w:r w:rsidR="00A83C98" w:rsidRPr="00AE13AD">
        <w:t>The p</w:t>
      </w:r>
      <w:r w:rsidR="008C148D" w:rsidRPr="00AE13AD">
        <w:t>redictability of rights and obligations</w:t>
      </w:r>
      <w:r w:rsidR="00A83C98" w:rsidRPr="00AE13AD">
        <w:t xml:space="preserve"> under international law is also ensured</w:t>
      </w:r>
      <w:r w:rsidR="008C148D" w:rsidRPr="00AE13AD">
        <w:t xml:space="preserve"> </w:t>
      </w:r>
      <w:r w:rsidR="00477FC1" w:rsidRPr="00AE13AD">
        <w:t>through interpretation</w:t>
      </w:r>
      <w:r w:rsidR="00C93835" w:rsidRPr="00AE13AD">
        <w:t xml:space="preserve"> by competent bodies</w:t>
      </w:r>
      <w:r w:rsidR="00477FC1" w:rsidRPr="00AE13AD">
        <w:t>.</w:t>
      </w:r>
    </w:p>
    <w:p w14:paraId="0CF20C75" w14:textId="667B6DAB" w:rsidR="0058227A" w:rsidRPr="00AE13AD" w:rsidRDefault="0006727A" w:rsidP="007E6CDB">
      <w:pPr>
        <w:pStyle w:val="SingleTxtG"/>
      </w:pPr>
      <w:r w:rsidRPr="00AE13AD">
        <w:t>2</w:t>
      </w:r>
      <w:r w:rsidR="00533524" w:rsidRPr="00AE13AD">
        <w:t>9</w:t>
      </w:r>
      <w:r w:rsidR="00433DC9" w:rsidRPr="00AE13AD">
        <w:t>.</w:t>
      </w:r>
      <w:r w:rsidR="00433DC9" w:rsidRPr="00AE13AD">
        <w:tab/>
      </w:r>
      <w:r w:rsidR="0046435F" w:rsidRPr="00AE13AD">
        <w:t>States</w:t>
      </w:r>
      <w:r w:rsidR="00BB3BF1" w:rsidRPr="00AE13AD">
        <w:t xml:space="preserve"> continue to contribute to the</w:t>
      </w:r>
      <w:r w:rsidR="00A83C98" w:rsidRPr="00AE13AD">
        <w:t xml:space="preserve"> codification and progressive</w:t>
      </w:r>
      <w:r w:rsidR="00BB3BF1" w:rsidRPr="00AE13AD">
        <w:t xml:space="preserve"> development of international law through treat</w:t>
      </w:r>
      <w:r w:rsidR="00003401" w:rsidRPr="00AE13AD">
        <w:t>y processes</w:t>
      </w:r>
      <w:r w:rsidR="00BB3BF1" w:rsidRPr="00AE13AD">
        <w:t>.</w:t>
      </w:r>
      <w:r w:rsidR="00B54F67" w:rsidRPr="00AE13AD">
        <w:t xml:space="preserve"> </w:t>
      </w:r>
      <w:r w:rsidR="00A52F40" w:rsidRPr="00AE13AD">
        <w:t>A</w:t>
      </w:r>
      <w:r w:rsidR="00003401" w:rsidRPr="00AE13AD">
        <w:t xml:space="preserve">n important </w:t>
      </w:r>
      <w:r w:rsidR="00386089" w:rsidRPr="00AE13AD">
        <w:t>example</w:t>
      </w:r>
      <w:r w:rsidR="00A52F40" w:rsidRPr="00AE13AD">
        <w:t xml:space="preserve"> is</w:t>
      </w:r>
      <w:r w:rsidR="006C32D0" w:rsidRPr="00AE13AD">
        <w:t xml:space="preserve"> the</w:t>
      </w:r>
      <w:r w:rsidR="00892399" w:rsidRPr="00AE13AD">
        <w:t xml:space="preserve"> ongoing</w:t>
      </w:r>
      <w:r w:rsidR="006C32D0" w:rsidRPr="00AE13AD">
        <w:t xml:space="preserve"> </w:t>
      </w:r>
      <w:r w:rsidR="00A52F40" w:rsidRPr="00AE13AD">
        <w:t>discussions</w:t>
      </w:r>
      <w:r w:rsidR="006C32D0" w:rsidRPr="00AE13AD">
        <w:t xml:space="preserve"> o</w:t>
      </w:r>
      <w:r w:rsidR="003D4D8B">
        <w:t>n</w:t>
      </w:r>
      <w:r w:rsidR="006C32D0" w:rsidRPr="00AE13AD">
        <w:t xml:space="preserve"> a convention on crimes against humanity</w:t>
      </w:r>
      <w:r w:rsidR="00892399" w:rsidRPr="00AE13AD">
        <w:t xml:space="preserve"> after the</w:t>
      </w:r>
      <w:r w:rsidR="006C32D0" w:rsidRPr="00AE13AD">
        <w:t xml:space="preserve"> </w:t>
      </w:r>
      <w:r w:rsidR="001748DD" w:rsidRPr="00AE13AD">
        <w:t>conclusion of the International Law Commission’s work on the topic</w:t>
      </w:r>
      <w:r w:rsidR="006C32D0" w:rsidRPr="00AE13AD">
        <w:t>.</w:t>
      </w:r>
      <w:r w:rsidR="00B54F67" w:rsidRPr="00AE13AD">
        <w:rPr>
          <w:rStyle w:val="FootnoteReference"/>
        </w:rPr>
        <w:footnoteReference w:id="94"/>
      </w:r>
      <w:r w:rsidR="006C32D0" w:rsidRPr="00AE13AD">
        <w:t xml:space="preserve"> </w:t>
      </w:r>
      <w:r w:rsidR="00433DC9" w:rsidRPr="00AE13AD">
        <w:t xml:space="preserve">On 26 May 2023, the Ljubljana-The Hague </w:t>
      </w:r>
      <w:r w:rsidR="00A9314A" w:rsidRPr="00AE13AD">
        <w:t xml:space="preserve">Convention </w:t>
      </w:r>
      <w:r w:rsidR="00CB5257" w:rsidRPr="00AE13AD">
        <w:t>on International Cooperation in the Investigation and Prosecution of the Crime of Genocide, Crimes against Humanity, War Crimes and Other International Crimes</w:t>
      </w:r>
      <w:r w:rsidR="00433DC9" w:rsidRPr="00AE13AD">
        <w:t xml:space="preserve"> was adopted, with more than 30 States signing the Convention at a conference </w:t>
      </w:r>
      <w:r w:rsidR="006C32D0" w:rsidRPr="00AE13AD">
        <w:t xml:space="preserve">held </w:t>
      </w:r>
      <w:r w:rsidR="006C1A97">
        <w:t xml:space="preserve">to that end </w:t>
      </w:r>
      <w:r w:rsidR="006C32D0" w:rsidRPr="00AE13AD">
        <w:t>in</w:t>
      </w:r>
      <w:r w:rsidR="00433DC9" w:rsidRPr="00AE13AD">
        <w:t xml:space="preserve"> February 2024.</w:t>
      </w:r>
    </w:p>
    <w:p w14:paraId="3A4CC7AA" w14:textId="3ED76587" w:rsidR="00386089" w:rsidRPr="00AE13AD" w:rsidRDefault="00533524" w:rsidP="00011D56">
      <w:pPr>
        <w:pStyle w:val="SingleTxtG"/>
      </w:pPr>
      <w:r w:rsidRPr="00AE13AD">
        <w:t>30</w:t>
      </w:r>
      <w:r w:rsidR="00443115" w:rsidRPr="00AE13AD">
        <w:t>.</w:t>
      </w:r>
      <w:r w:rsidR="00443115" w:rsidRPr="00AE13AD">
        <w:tab/>
      </w:r>
      <w:r w:rsidR="006C1A97">
        <w:t>The i</w:t>
      </w:r>
      <w:r w:rsidR="00686470" w:rsidRPr="00AE13AD">
        <w:t xml:space="preserve">nterpretation of </w:t>
      </w:r>
      <w:r w:rsidR="005A62FC" w:rsidRPr="00AE13AD">
        <w:t xml:space="preserve">international human rights standards by </w:t>
      </w:r>
      <w:r w:rsidR="00386089" w:rsidRPr="00AE13AD">
        <w:t>international courts, tribunals and other dispute</w:t>
      </w:r>
      <w:r w:rsidR="006C1A97">
        <w:t xml:space="preserve"> </w:t>
      </w:r>
      <w:r w:rsidR="00386089" w:rsidRPr="00AE13AD">
        <w:t xml:space="preserve">settlement bodies, as well as expert bodies </w:t>
      </w:r>
      <w:r w:rsidR="008D345A">
        <w:t>such as</w:t>
      </w:r>
      <w:r w:rsidR="00386089" w:rsidRPr="00AE13AD">
        <w:t xml:space="preserve"> the International Law Commission</w:t>
      </w:r>
      <w:r w:rsidR="00686470" w:rsidRPr="00AE13AD">
        <w:t>, contributes to the predictability of rights and obligations under international law</w:t>
      </w:r>
      <w:r w:rsidR="00386089" w:rsidRPr="00AE13AD">
        <w:t>.</w:t>
      </w:r>
      <w:r w:rsidR="00892399" w:rsidRPr="00AE13AD">
        <w:rPr>
          <w:rStyle w:val="FootnoteReference"/>
        </w:rPr>
        <w:footnoteReference w:id="95"/>
      </w:r>
      <w:r w:rsidR="00011D56" w:rsidRPr="00AE13AD">
        <w:t xml:space="preserve"> The role of human rights bodies, including</w:t>
      </w:r>
      <w:r w:rsidR="00386089" w:rsidRPr="00AE13AD">
        <w:t xml:space="preserve"> </w:t>
      </w:r>
      <w:r w:rsidR="00395E5F">
        <w:t xml:space="preserve">the </w:t>
      </w:r>
      <w:r w:rsidR="00386089" w:rsidRPr="00AE13AD">
        <w:t>U</w:t>
      </w:r>
      <w:r w:rsidR="00DC5760">
        <w:t xml:space="preserve">nited </w:t>
      </w:r>
      <w:r w:rsidR="00386089" w:rsidRPr="00AE13AD">
        <w:t>N</w:t>
      </w:r>
      <w:r w:rsidR="00DC5760">
        <w:t>ations</w:t>
      </w:r>
      <w:r w:rsidR="00386089" w:rsidRPr="00AE13AD">
        <w:t xml:space="preserve"> treaty bodies</w:t>
      </w:r>
      <w:r w:rsidR="00395E5F">
        <w:t>, through their</w:t>
      </w:r>
      <w:r w:rsidR="007E52CA" w:rsidRPr="00AE13AD">
        <w:t xml:space="preserve"> decisions on</w:t>
      </w:r>
      <w:r w:rsidR="00386089" w:rsidRPr="00AE13AD">
        <w:t xml:space="preserve"> individual communications and </w:t>
      </w:r>
      <w:r w:rsidR="00395E5F">
        <w:t xml:space="preserve">their </w:t>
      </w:r>
      <w:r w:rsidR="00386089" w:rsidRPr="00AE13AD">
        <w:t>general comments</w:t>
      </w:r>
      <w:r w:rsidR="00011D56" w:rsidRPr="00AE13AD">
        <w:t>,</w:t>
      </w:r>
      <w:r w:rsidR="007E6CDB" w:rsidRPr="00AE13AD">
        <w:rPr>
          <w:rStyle w:val="FootnoteReference"/>
        </w:rPr>
        <w:footnoteReference w:id="96"/>
      </w:r>
      <w:r w:rsidR="00F67A5D">
        <w:t xml:space="preserve"> </w:t>
      </w:r>
      <w:r w:rsidR="00011D56" w:rsidRPr="00AE13AD">
        <w:t xml:space="preserve">and </w:t>
      </w:r>
      <w:r w:rsidR="00F67A5D">
        <w:t xml:space="preserve">of </w:t>
      </w:r>
      <w:r w:rsidR="00011D56" w:rsidRPr="00AE13AD">
        <w:t>r</w:t>
      </w:r>
      <w:r w:rsidR="00386089" w:rsidRPr="00AE13AD">
        <w:t>egional human rights courts and tribunals, through individual cases and advisory opinions</w:t>
      </w:r>
      <w:r w:rsidR="002F547B">
        <w:t>,</w:t>
      </w:r>
      <w:r w:rsidR="005A62FC" w:rsidRPr="00AE13AD">
        <w:t xml:space="preserve"> has </w:t>
      </w:r>
      <w:r w:rsidR="00F55B1B" w:rsidRPr="00AE13AD">
        <w:t xml:space="preserve">also </w:t>
      </w:r>
      <w:r w:rsidR="005A62FC" w:rsidRPr="00AE13AD">
        <w:t xml:space="preserve">contributed to the clarification of human rights standards. The need for interpretative clarity is evidenced, for example, by </w:t>
      </w:r>
      <w:r w:rsidR="00011D56" w:rsidRPr="00AE13AD">
        <w:t>request</w:t>
      </w:r>
      <w:r w:rsidR="005A62FC" w:rsidRPr="00AE13AD">
        <w:t>s</w:t>
      </w:r>
      <w:r w:rsidR="00011D56" w:rsidRPr="00AE13AD">
        <w:t xml:space="preserve"> </w:t>
      </w:r>
      <w:r w:rsidR="005A62FC" w:rsidRPr="00AE13AD">
        <w:t xml:space="preserve">for </w:t>
      </w:r>
      <w:r w:rsidR="00011D56" w:rsidRPr="00AE13AD">
        <w:t>advisory opinions on matters relat</w:t>
      </w:r>
      <w:r w:rsidR="00EF7927">
        <w:t>ing</w:t>
      </w:r>
      <w:r w:rsidR="00011D56" w:rsidRPr="00AE13AD">
        <w:t xml:space="preserve"> to international human rights law</w:t>
      </w:r>
      <w:r w:rsidR="003F65B3" w:rsidRPr="00AE13AD">
        <w:t>.</w:t>
      </w:r>
      <w:r w:rsidR="00A90463" w:rsidRPr="00AE13AD">
        <w:t xml:space="preserve"> </w:t>
      </w:r>
      <w:r w:rsidR="003F65B3" w:rsidRPr="00AE13AD">
        <w:t xml:space="preserve">Thus, several of the requests for advisory opinions </w:t>
      </w:r>
      <w:r w:rsidR="000C1A98">
        <w:t>from</w:t>
      </w:r>
      <w:r w:rsidR="003F65B3" w:rsidRPr="00AE13AD">
        <w:t xml:space="preserve"> the International Court of Justice either explicitly or implicitly relate to international human rights law. For example, on 19 July 2024, the Court delivered an advisory opinion in which it addressed matters of interpretation and application of international human rights law and international humanitarian law, and the legal consequences arising from violations thereof.</w:t>
      </w:r>
      <w:r w:rsidR="003F65B3" w:rsidRPr="00AE13AD">
        <w:rPr>
          <w:rStyle w:val="FootnoteReference"/>
        </w:rPr>
        <w:footnoteReference w:id="97"/>
      </w:r>
      <w:r w:rsidR="003F65B3" w:rsidRPr="00AE13AD">
        <w:t xml:space="preserve"> Proceedings before the Court are continuing in the context of another advisory opinion with respect to obligations of States in </w:t>
      </w:r>
      <w:r w:rsidR="000340F9">
        <w:t>respect</w:t>
      </w:r>
      <w:r w:rsidR="003F65B3" w:rsidRPr="00AE13AD">
        <w:t xml:space="preserve"> of climate change.</w:t>
      </w:r>
      <w:r w:rsidR="003F65B3" w:rsidRPr="00AE13AD">
        <w:rPr>
          <w:rStyle w:val="FootnoteReference"/>
        </w:rPr>
        <w:footnoteReference w:id="98"/>
      </w:r>
      <w:r w:rsidR="003F65B3" w:rsidRPr="00AE13AD">
        <w:t xml:space="preserve"> Requests for advisory opinions have also been a long</w:t>
      </w:r>
      <w:r w:rsidR="00F20C60">
        <w:t>-</w:t>
      </w:r>
      <w:r w:rsidR="003F65B3" w:rsidRPr="00AE13AD">
        <w:t>standing practice in the Inter-American human rights system,</w:t>
      </w:r>
      <w:r w:rsidR="003F65B3" w:rsidRPr="00AE13AD">
        <w:rPr>
          <w:rStyle w:val="FootnoteReference"/>
        </w:rPr>
        <w:footnoteReference w:id="99"/>
      </w:r>
      <w:r w:rsidR="003F65B3" w:rsidRPr="00AE13AD">
        <w:t xml:space="preserve"> and with </w:t>
      </w:r>
      <w:r w:rsidR="00011D56" w:rsidRPr="00AE13AD">
        <w:t xml:space="preserve">the entry into force </w:t>
      </w:r>
      <w:r w:rsidR="00A9314A" w:rsidRPr="00AE13AD">
        <w:t xml:space="preserve">in </w:t>
      </w:r>
      <w:r w:rsidR="00386089" w:rsidRPr="00AE13AD">
        <w:t>2018</w:t>
      </w:r>
      <w:r w:rsidR="00011D56" w:rsidRPr="00AE13AD">
        <w:t xml:space="preserve"> of</w:t>
      </w:r>
      <w:r w:rsidR="00386089" w:rsidRPr="00AE13AD">
        <w:t xml:space="preserve"> Protocol 16 to </w:t>
      </w:r>
      <w:r w:rsidR="00011D56" w:rsidRPr="00AE13AD">
        <w:t xml:space="preserve">the </w:t>
      </w:r>
      <w:r w:rsidR="00FD14F0" w:rsidRPr="00FD14F0">
        <w:t>Convention for the Protection of Human Rights and Fundamental Freedoms (</w:t>
      </w:r>
      <w:r w:rsidR="00A9314A" w:rsidRPr="00AE13AD">
        <w:t xml:space="preserve">European </w:t>
      </w:r>
      <w:r w:rsidR="008872A1" w:rsidRPr="00AE13AD">
        <w:t>Convention on</w:t>
      </w:r>
      <w:r w:rsidR="00A9314A" w:rsidRPr="00AE13AD">
        <w:t xml:space="preserve"> Human Rights)</w:t>
      </w:r>
      <w:r w:rsidR="00011D56" w:rsidRPr="00AE13AD">
        <w:t xml:space="preserve">, the </w:t>
      </w:r>
      <w:r w:rsidR="00A9314A" w:rsidRPr="00AE13AD">
        <w:t>European Court of Human Rights</w:t>
      </w:r>
      <w:r w:rsidR="00011D56" w:rsidRPr="00AE13AD">
        <w:t xml:space="preserve"> </w:t>
      </w:r>
      <w:r w:rsidR="00386089" w:rsidRPr="00AE13AD">
        <w:t xml:space="preserve">has delivered </w:t>
      </w:r>
      <w:r w:rsidR="00613FD9">
        <w:t>seven</w:t>
      </w:r>
      <w:r w:rsidR="00386089" w:rsidRPr="00AE13AD">
        <w:t xml:space="preserve"> advisory opinions.</w:t>
      </w:r>
      <w:r w:rsidR="00386089" w:rsidRPr="00AE13AD">
        <w:rPr>
          <w:rStyle w:val="FootnoteReference"/>
        </w:rPr>
        <w:footnoteReference w:id="100"/>
      </w:r>
      <w:r w:rsidR="00386089" w:rsidRPr="00AE13AD">
        <w:t xml:space="preserve"> </w:t>
      </w:r>
      <w:r w:rsidR="00584B67" w:rsidRPr="00AE13AD">
        <w:t xml:space="preserve">International </w:t>
      </w:r>
      <w:r w:rsidR="00AA7188" w:rsidRPr="00AE13AD">
        <w:t xml:space="preserve">judicial </w:t>
      </w:r>
      <w:r w:rsidR="00584B67" w:rsidRPr="00AE13AD">
        <w:t xml:space="preserve">bodies </w:t>
      </w:r>
      <w:r w:rsidR="00A90463" w:rsidRPr="00AE13AD">
        <w:t>have often con</w:t>
      </w:r>
      <w:r w:rsidR="00A52F40" w:rsidRPr="00AE13AD">
        <w:t>sidered</w:t>
      </w:r>
      <w:r w:rsidR="00A90463" w:rsidRPr="00AE13AD">
        <w:t xml:space="preserve"> emerging issues</w:t>
      </w:r>
      <w:r w:rsidR="00AA7188" w:rsidRPr="00AE13AD">
        <w:t xml:space="preserve"> affecting </w:t>
      </w:r>
      <w:r w:rsidR="0054419F">
        <w:t xml:space="preserve">the </w:t>
      </w:r>
      <w:r w:rsidR="00AA7188" w:rsidRPr="00AE13AD">
        <w:t>enjoyment of human rights</w:t>
      </w:r>
      <w:r w:rsidR="004D25F7" w:rsidRPr="00AE13AD">
        <w:t xml:space="preserve">, including the </w:t>
      </w:r>
      <w:r w:rsidR="007E6CDB" w:rsidRPr="00AE13AD">
        <w:t>applicability of i</w:t>
      </w:r>
      <w:r w:rsidR="00386089" w:rsidRPr="00AE13AD">
        <w:t xml:space="preserve">nternational human rights law </w:t>
      </w:r>
      <w:r w:rsidR="007E6CDB" w:rsidRPr="00AE13AD">
        <w:t>to</w:t>
      </w:r>
      <w:r w:rsidR="00386089" w:rsidRPr="00AE13AD">
        <w:t xml:space="preserve"> </w:t>
      </w:r>
      <w:r w:rsidR="00471EE8" w:rsidRPr="00AE13AD">
        <w:t xml:space="preserve">various aspects of </w:t>
      </w:r>
      <w:r w:rsidR="00386089" w:rsidRPr="00AE13AD">
        <w:t>climate change</w:t>
      </w:r>
      <w:r w:rsidR="00E44692" w:rsidRPr="00AE13AD">
        <w:t>.</w:t>
      </w:r>
      <w:r w:rsidR="00386089" w:rsidRPr="00AE13AD">
        <w:rPr>
          <w:rStyle w:val="FootnoteReference"/>
        </w:rPr>
        <w:footnoteReference w:id="101"/>
      </w:r>
    </w:p>
    <w:p w14:paraId="23257983" w14:textId="041A9AB5" w:rsidR="003E0E71" w:rsidRPr="00AE13AD" w:rsidRDefault="003E0E71" w:rsidP="00CE1990">
      <w:pPr>
        <w:pStyle w:val="H23G"/>
        <w:numPr>
          <w:ilvl w:val="0"/>
          <w:numId w:val="27"/>
        </w:numPr>
        <w:tabs>
          <w:tab w:val="clear" w:pos="851"/>
          <w:tab w:val="right" w:pos="1134"/>
        </w:tabs>
        <w:ind w:left="1134" w:hanging="283"/>
        <w:rPr>
          <w:i/>
          <w:iCs/>
        </w:rPr>
      </w:pPr>
      <w:r w:rsidRPr="00AE13AD">
        <w:t>Peaceful settlement of disputes before independent legal bodies</w:t>
      </w:r>
    </w:p>
    <w:p w14:paraId="3FF0E6EA" w14:textId="4FF9C67D" w:rsidR="00A35234" w:rsidRPr="00AE13AD" w:rsidRDefault="00533524" w:rsidP="00A5590E">
      <w:pPr>
        <w:pStyle w:val="SingleTxtG"/>
      </w:pPr>
      <w:r w:rsidRPr="00AE13AD">
        <w:t>3</w:t>
      </w:r>
      <w:r w:rsidR="00E8312B" w:rsidRPr="00AE13AD">
        <w:t>1</w:t>
      </w:r>
      <w:r w:rsidR="00433DC9" w:rsidRPr="00AE13AD">
        <w:t>.</w:t>
      </w:r>
      <w:r w:rsidR="00433DC9" w:rsidRPr="00AE13AD">
        <w:tab/>
      </w:r>
      <w:r w:rsidR="002312D5" w:rsidRPr="00AE13AD">
        <w:t>The peaceful settlement of international disputes</w:t>
      </w:r>
      <w:r w:rsidR="00A52F40" w:rsidRPr="00AE13AD">
        <w:t>, including through independent legal bodies,</w:t>
      </w:r>
      <w:r w:rsidR="00A52F40" w:rsidRPr="00AE13AD">
        <w:rPr>
          <w:rStyle w:val="FootnoteReference"/>
        </w:rPr>
        <w:footnoteReference w:id="102"/>
      </w:r>
      <w:r w:rsidR="002312D5" w:rsidRPr="00AE13AD">
        <w:t xml:space="preserve"> is an important component of the rule of law</w:t>
      </w:r>
      <w:r w:rsidR="002312D5" w:rsidRPr="00AE13AD">
        <w:rPr>
          <w:rStyle w:val="FootnoteReference"/>
        </w:rPr>
        <w:footnoteReference w:id="103"/>
      </w:r>
      <w:r w:rsidR="002312D5" w:rsidRPr="00AE13AD">
        <w:t xml:space="preserve"> </w:t>
      </w:r>
      <w:r w:rsidR="00A52F40" w:rsidRPr="00AE13AD">
        <w:t>that contributes to prevention</w:t>
      </w:r>
      <w:r w:rsidR="002312D5" w:rsidRPr="00AE13AD">
        <w:t>.</w:t>
      </w:r>
      <w:r w:rsidR="00433DC9" w:rsidRPr="00AE13AD">
        <w:t xml:space="preserve"> </w:t>
      </w:r>
      <w:r w:rsidR="00A52F40" w:rsidRPr="00AE13AD">
        <w:t>Indeed, t</w:t>
      </w:r>
      <w:r w:rsidR="00A35234" w:rsidRPr="00AE13AD">
        <w:t xml:space="preserve">he settlement of disputes through </w:t>
      </w:r>
      <w:r w:rsidR="007730DF" w:rsidRPr="00AE13AD">
        <w:t>other</w:t>
      </w:r>
      <w:r w:rsidR="001E4843" w:rsidRPr="00AE13AD">
        <w:t xml:space="preserve"> </w:t>
      </w:r>
      <w:r w:rsidR="00A35234" w:rsidRPr="00AE13AD">
        <w:t>means</w:t>
      </w:r>
      <w:r w:rsidR="007730DF" w:rsidRPr="00AE13AD">
        <w:t>, such as violence</w:t>
      </w:r>
      <w:r w:rsidR="00141676" w:rsidRPr="00AE13AD">
        <w:t xml:space="preserve"> or other forms of self-help</w:t>
      </w:r>
      <w:r w:rsidR="007730DF" w:rsidRPr="00AE13AD">
        <w:t>, can</w:t>
      </w:r>
      <w:r w:rsidR="002312D5" w:rsidRPr="00AE13AD">
        <w:t xml:space="preserve">, in and of </w:t>
      </w:r>
      <w:r w:rsidR="008641EB">
        <w:t>i</w:t>
      </w:r>
      <w:r w:rsidR="00141676" w:rsidRPr="00AE13AD">
        <w:t>tsel</w:t>
      </w:r>
      <w:r w:rsidR="008641EB">
        <w:t>f</w:t>
      </w:r>
      <w:r w:rsidR="002312D5" w:rsidRPr="00AE13AD">
        <w:t>,</w:t>
      </w:r>
      <w:r w:rsidR="00A35234" w:rsidRPr="00AE13AD">
        <w:t xml:space="preserve"> </w:t>
      </w:r>
      <w:r w:rsidR="00141676" w:rsidRPr="00AE13AD">
        <w:t xml:space="preserve">constitute or </w:t>
      </w:r>
      <w:r w:rsidR="00A35234" w:rsidRPr="00AE13AD">
        <w:t>contribute to human rights violations and abuses.</w:t>
      </w:r>
    </w:p>
    <w:p w14:paraId="4F4658E5" w14:textId="52EC36D6" w:rsidR="00717C80" w:rsidRPr="00AE13AD" w:rsidRDefault="00533524" w:rsidP="00190B9D">
      <w:pPr>
        <w:pStyle w:val="SingleTxtG"/>
      </w:pPr>
      <w:r w:rsidRPr="00AE13AD">
        <w:t>3</w:t>
      </w:r>
      <w:r w:rsidR="00E8312B" w:rsidRPr="00AE13AD">
        <w:t>2</w:t>
      </w:r>
      <w:r w:rsidR="002312D5" w:rsidRPr="00AE13AD">
        <w:t>.</w:t>
      </w:r>
      <w:r w:rsidR="002312D5" w:rsidRPr="00AE13AD">
        <w:tab/>
      </w:r>
      <w:r w:rsidR="0058227A" w:rsidRPr="00AE13AD">
        <w:t xml:space="preserve">In recent years, States have increasingly resorted to dispute settlement on human rights issues. </w:t>
      </w:r>
      <w:r w:rsidR="00083CC4" w:rsidRPr="00AE13AD">
        <w:t xml:space="preserve">Thus, </w:t>
      </w:r>
      <w:r w:rsidR="00F778AA" w:rsidRPr="00AE13AD">
        <w:t>t</w:t>
      </w:r>
      <w:r w:rsidR="006C3CF9" w:rsidRPr="00AE13AD">
        <w:t xml:space="preserve">he International Court of Justice has increasingly been called upon to address </w:t>
      </w:r>
      <w:r w:rsidR="00681BFD" w:rsidRPr="00AE13AD">
        <w:t xml:space="preserve">contentious cases </w:t>
      </w:r>
      <w:r w:rsidR="006C3CF9" w:rsidRPr="00AE13AD">
        <w:t xml:space="preserve">dealing </w:t>
      </w:r>
      <w:r w:rsidR="00DB6593" w:rsidRPr="00AE13AD">
        <w:t xml:space="preserve">to varying degrees </w:t>
      </w:r>
      <w:r w:rsidR="006C3CF9" w:rsidRPr="00AE13AD">
        <w:t>with human rights</w:t>
      </w:r>
      <w:r w:rsidR="003068C2" w:rsidRPr="00AE13AD">
        <w:t xml:space="preserve">. As </w:t>
      </w:r>
      <w:r w:rsidR="00784429">
        <w:t>at</w:t>
      </w:r>
      <w:r w:rsidR="003068C2" w:rsidRPr="00AE13AD">
        <w:t xml:space="preserve"> 1 June 2023, only 74 States ha</w:t>
      </w:r>
      <w:r w:rsidR="00784429">
        <w:t>d</w:t>
      </w:r>
      <w:r w:rsidR="003068C2" w:rsidRPr="00AE13AD">
        <w:t xml:space="preserve"> accepted the compulsory jurisdiction of the Court.</w:t>
      </w:r>
      <w:r w:rsidR="003068C2" w:rsidRPr="00AE13AD">
        <w:rPr>
          <w:rStyle w:val="FootnoteReference"/>
        </w:rPr>
        <w:footnoteReference w:id="104"/>
      </w:r>
      <w:r w:rsidR="00681BFD" w:rsidRPr="00AE13AD">
        <w:t xml:space="preserve"> </w:t>
      </w:r>
      <w:r w:rsidR="003068C2" w:rsidRPr="00AE13AD">
        <w:t xml:space="preserve">States have </w:t>
      </w:r>
      <w:r w:rsidR="001146CC" w:rsidRPr="00AE13AD">
        <w:t xml:space="preserve">therefore </w:t>
      </w:r>
      <w:r w:rsidR="003068C2" w:rsidRPr="00AE13AD">
        <w:t xml:space="preserve">often resorted to </w:t>
      </w:r>
      <w:proofErr w:type="spellStart"/>
      <w:r w:rsidR="006C3CF9" w:rsidRPr="00613FD9">
        <w:t>compromiss</w:t>
      </w:r>
      <w:r w:rsidR="00E82872" w:rsidRPr="00613FD9">
        <w:t>o</w:t>
      </w:r>
      <w:r w:rsidR="006C3CF9" w:rsidRPr="00613FD9">
        <w:t>ry</w:t>
      </w:r>
      <w:proofErr w:type="spellEnd"/>
      <w:r w:rsidR="006C3CF9" w:rsidRPr="00AE13AD">
        <w:t xml:space="preserve"> clauses </w:t>
      </w:r>
      <w:r w:rsidR="003068C2" w:rsidRPr="00AE13AD">
        <w:t>to establish jurisdiction in such cases</w:t>
      </w:r>
      <w:r w:rsidR="006C3CF9" w:rsidRPr="00AE13AD">
        <w:t>.</w:t>
      </w:r>
      <w:r w:rsidR="006C3CF9" w:rsidRPr="00AE13AD">
        <w:rPr>
          <w:vertAlign w:val="superscript"/>
        </w:rPr>
        <w:footnoteReference w:id="105"/>
      </w:r>
      <w:r w:rsidR="006C3CF9" w:rsidRPr="00AE13AD">
        <w:t xml:space="preserve"> In </w:t>
      </w:r>
      <w:r w:rsidR="00460E1B" w:rsidRPr="00AE13AD">
        <w:t xml:space="preserve">important </w:t>
      </w:r>
      <w:r w:rsidR="006C3CF9" w:rsidRPr="00AE13AD">
        <w:t>recent case</w:t>
      </w:r>
      <w:r w:rsidR="007D1A05">
        <w:t xml:space="preserve"> </w:t>
      </w:r>
      <w:r w:rsidR="006C3CF9" w:rsidRPr="00AE13AD">
        <w:t xml:space="preserve">law, the </w:t>
      </w:r>
      <w:r w:rsidR="009F563C" w:rsidRPr="00AE13AD">
        <w:t xml:space="preserve">International Court of Justice </w:t>
      </w:r>
      <w:r w:rsidR="006C3CF9" w:rsidRPr="00AE13AD">
        <w:t>has</w:t>
      </w:r>
      <w:r w:rsidR="00F1715D" w:rsidRPr="00AE13AD">
        <w:t xml:space="preserve"> held</w:t>
      </w:r>
      <w:r w:rsidR="006C3CF9" w:rsidRPr="00AE13AD">
        <w:t xml:space="preserve"> that any State party</w:t>
      </w:r>
      <w:r w:rsidR="00190B9D" w:rsidRPr="00AE13AD">
        <w:t xml:space="preserve"> to the Convention on the Prevention and Punishment of the Crime of Genocide</w:t>
      </w:r>
      <w:r w:rsidR="006C3CF9" w:rsidRPr="00AE13AD">
        <w:t xml:space="preserve"> may invoke the responsibility of another State party with a view to ascertaining alleged failure to comply with obligations </w:t>
      </w:r>
      <w:r w:rsidR="00B42BC1" w:rsidRPr="00AE13AD">
        <w:t xml:space="preserve">owed </w:t>
      </w:r>
      <w:proofErr w:type="spellStart"/>
      <w:r w:rsidR="006C3CF9" w:rsidRPr="00AE13AD">
        <w:rPr>
          <w:i/>
          <w:iCs/>
        </w:rPr>
        <w:t>erga</w:t>
      </w:r>
      <w:proofErr w:type="spellEnd"/>
      <w:r w:rsidR="006C3CF9" w:rsidRPr="00AE13AD">
        <w:rPr>
          <w:i/>
          <w:iCs/>
        </w:rPr>
        <w:t xml:space="preserve"> omnes partes</w:t>
      </w:r>
      <w:r w:rsidR="006C3CF9" w:rsidRPr="00AE13AD">
        <w:t>, and to bring that failure to an end.</w:t>
      </w:r>
      <w:r w:rsidR="006C3CF9" w:rsidRPr="00AE13AD">
        <w:rPr>
          <w:vertAlign w:val="superscript"/>
        </w:rPr>
        <w:footnoteReference w:id="106"/>
      </w:r>
      <w:r w:rsidR="006C3CF9" w:rsidRPr="00AE13AD">
        <w:t xml:space="preserve"> </w:t>
      </w:r>
      <w:r w:rsidR="005F781A" w:rsidRPr="00AE13AD">
        <w:t xml:space="preserve">This development could facilitate the peaceful enforcement of international law obligations, </w:t>
      </w:r>
      <w:r w:rsidR="001748DD" w:rsidRPr="00AE13AD">
        <w:t>the compliance with which is of interest to the international community</w:t>
      </w:r>
      <w:r w:rsidR="00D153B6" w:rsidRPr="00AE13AD">
        <w:t xml:space="preserve"> as a whole</w:t>
      </w:r>
      <w:r w:rsidR="001748DD" w:rsidRPr="00AE13AD">
        <w:t>.</w:t>
      </w:r>
      <w:r w:rsidR="001748DD" w:rsidRPr="00AE13AD">
        <w:rPr>
          <w:rStyle w:val="FootnoteReference"/>
        </w:rPr>
        <w:footnoteReference w:id="107"/>
      </w:r>
      <w:r w:rsidR="00C431DA" w:rsidRPr="00AE13AD">
        <w:t xml:space="preserve"> </w:t>
      </w:r>
      <w:r w:rsidR="00083CC4" w:rsidRPr="00AE13AD">
        <w:t xml:space="preserve">In addition, for the first time since </w:t>
      </w:r>
      <w:r w:rsidR="0041145D">
        <w:t xml:space="preserve">the </w:t>
      </w:r>
      <w:r w:rsidR="00083CC4" w:rsidRPr="00AE13AD">
        <w:t>entry into force of the underlying Convention, three inter-State claims were initiated before the Committee on the Elimination of Racial Discrimination in 2018.</w:t>
      </w:r>
      <w:r w:rsidR="00083CC4" w:rsidRPr="00AE13AD">
        <w:rPr>
          <w:rStyle w:val="FootnoteReference"/>
        </w:rPr>
        <w:footnoteReference w:id="108"/>
      </w:r>
      <w:r w:rsidR="00083CC4" w:rsidRPr="00AE13AD">
        <w:t xml:space="preserve"> </w:t>
      </w:r>
      <w:r w:rsidR="00E012D2" w:rsidRPr="00AE13AD">
        <w:t>M</w:t>
      </w:r>
      <w:r w:rsidR="00083CC4" w:rsidRPr="00AE13AD">
        <w:t xml:space="preserve">ore than half of all the inter-State applications that have been lodged with the </w:t>
      </w:r>
      <w:r w:rsidR="00E012D2" w:rsidRPr="00AE13AD">
        <w:t xml:space="preserve">European </w:t>
      </w:r>
      <w:r w:rsidR="00083CC4" w:rsidRPr="00AE13AD">
        <w:t xml:space="preserve">Court </w:t>
      </w:r>
      <w:r w:rsidR="00E012D2" w:rsidRPr="00AE13AD">
        <w:t xml:space="preserve">of Human Rights </w:t>
      </w:r>
      <w:r w:rsidR="00893577">
        <w:t>have been</w:t>
      </w:r>
      <w:r w:rsidR="00083CC4" w:rsidRPr="00AE13AD">
        <w:t xml:space="preserve"> filed since 2014.</w:t>
      </w:r>
      <w:r w:rsidR="00083CC4" w:rsidRPr="00AE13AD">
        <w:rPr>
          <w:rStyle w:val="FootnoteReference"/>
        </w:rPr>
        <w:footnoteReference w:id="109"/>
      </w:r>
    </w:p>
    <w:p w14:paraId="505B17B7" w14:textId="392C594F" w:rsidR="003E0E71" w:rsidRPr="00AE13AD" w:rsidRDefault="003E0E71" w:rsidP="00CE1990">
      <w:pPr>
        <w:pStyle w:val="H23G"/>
        <w:numPr>
          <w:ilvl w:val="0"/>
          <w:numId w:val="27"/>
        </w:numPr>
        <w:tabs>
          <w:tab w:val="clear" w:pos="851"/>
          <w:tab w:val="right" w:pos="1134"/>
        </w:tabs>
        <w:ind w:hanging="219"/>
        <w:rPr>
          <w:i/>
          <w:iCs/>
        </w:rPr>
      </w:pPr>
      <w:r w:rsidRPr="00AE13AD">
        <w:t>Access to international justice for individuals</w:t>
      </w:r>
    </w:p>
    <w:p w14:paraId="1FB87C2F" w14:textId="5B98299A" w:rsidR="007002A7" w:rsidRPr="00AE13AD" w:rsidRDefault="00533524" w:rsidP="00970634">
      <w:pPr>
        <w:pStyle w:val="SingleTxtG"/>
      </w:pPr>
      <w:r w:rsidRPr="00AE13AD">
        <w:t>3</w:t>
      </w:r>
      <w:r w:rsidR="00E8312B" w:rsidRPr="00AE13AD">
        <w:t>3</w:t>
      </w:r>
      <w:r w:rsidR="002E4EB1" w:rsidRPr="00AE13AD">
        <w:t>.</w:t>
      </w:r>
      <w:r w:rsidR="002E4EB1" w:rsidRPr="00AE13AD">
        <w:tab/>
      </w:r>
      <w:r w:rsidR="00970634" w:rsidRPr="00AE13AD">
        <w:t>Access to justice</w:t>
      </w:r>
      <w:r w:rsidR="00561468" w:rsidRPr="00AE13AD">
        <w:t xml:space="preserve"> is an important </w:t>
      </w:r>
      <w:r w:rsidR="00A90463" w:rsidRPr="00AE13AD">
        <w:t>element in the</w:t>
      </w:r>
      <w:r w:rsidR="00561468" w:rsidRPr="00AE13AD">
        <w:t xml:space="preserve"> rule of law</w:t>
      </w:r>
      <w:r w:rsidR="00A90463" w:rsidRPr="00AE13AD">
        <w:t>,</w:t>
      </w:r>
      <w:r w:rsidR="00970634" w:rsidRPr="00AE13AD">
        <w:t xml:space="preserve"> also at the international level</w:t>
      </w:r>
      <w:r w:rsidR="0041063E" w:rsidRPr="00AE13AD">
        <w:t>, and can contribute to prevention of human rights violations</w:t>
      </w:r>
      <w:r w:rsidR="00E250EE" w:rsidRPr="00AE13AD">
        <w:t>, including by establishing State responsibility for violations and ordering remedies such as guarantees of non-repetition</w:t>
      </w:r>
      <w:r w:rsidR="00A90463" w:rsidRPr="00AE13AD">
        <w:t>. Such access is guaranteed</w:t>
      </w:r>
      <w:r w:rsidR="00970634" w:rsidRPr="00AE13AD">
        <w:t xml:space="preserve"> through standing to bring </w:t>
      </w:r>
      <w:r w:rsidR="00A90463" w:rsidRPr="00AE13AD">
        <w:t xml:space="preserve">claims </w:t>
      </w:r>
      <w:r w:rsidR="00970634" w:rsidRPr="00AE13AD">
        <w:t>of alleged human rights violations</w:t>
      </w:r>
      <w:r w:rsidR="00A90463" w:rsidRPr="00AE13AD">
        <w:t xml:space="preserve"> before international bodies, such as</w:t>
      </w:r>
      <w:r w:rsidR="00970634" w:rsidRPr="00AE13AD">
        <w:t xml:space="preserve"> </w:t>
      </w:r>
      <w:r w:rsidR="00A90463" w:rsidRPr="00AE13AD">
        <w:t>U</w:t>
      </w:r>
      <w:r w:rsidR="003F0B65">
        <w:t xml:space="preserve">nited </w:t>
      </w:r>
      <w:r w:rsidR="00A90463" w:rsidRPr="00AE13AD">
        <w:t>N</w:t>
      </w:r>
      <w:r w:rsidR="003F0B65">
        <w:t>ations</w:t>
      </w:r>
      <w:r w:rsidR="00A90463" w:rsidRPr="00AE13AD">
        <w:t xml:space="preserve"> </w:t>
      </w:r>
      <w:r w:rsidR="007E52CA" w:rsidRPr="00AE13AD">
        <w:t>human rights t</w:t>
      </w:r>
      <w:r w:rsidR="00A90463" w:rsidRPr="00AE13AD">
        <w:t xml:space="preserve">reaty </w:t>
      </w:r>
      <w:r w:rsidR="007E52CA" w:rsidRPr="00AE13AD">
        <w:t>b</w:t>
      </w:r>
      <w:r w:rsidR="00A90463" w:rsidRPr="00AE13AD">
        <w:t>odies, r</w:t>
      </w:r>
      <w:r w:rsidR="00970634" w:rsidRPr="00AE13AD">
        <w:t xml:space="preserve">egional human rights </w:t>
      </w:r>
      <w:r w:rsidR="00BE0D8E" w:rsidRPr="00AE13AD">
        <w:t xml:space="preserve">courts and </w:t>
      </w:r>
      <w:r w:rsidR="00970634" w:rsidRPr="00AE13AD">
        <w:t>commissions a</w:t>
      </w:r>
      <w:r w:rsidR="0007196E">
        <w:t>nd</w:t>
      </w:r>
      <w:r w:rsidR="00970634" w:rsidRPr="00AE13AD">
        <w:t xml:space="preserve"> other international courts and tribunals, </w:t>
      </w:r>
      <w:r w:rsidR="00A90463" w:rsidRPr="00AE13AD">
        <w:t xml:space="preserve">including </w:t>
      </w:r>
      <w:r w:rsidR="00970634" w:rsidRPr="00AE13AD">
        <w:t xml:space="preserve">the </w:t>
      </w:r>
      <w:r w:rsidR="009F152A" w:rsidRPr="009F152A">
        <w:t>Economic Community of West African States</w:t>
      </w:r>
      <w:r w:rsidR="009F152A">
        <w:t xml:space="preserve"> (</w:t>
      </w:r>
      <w:r w:rsidR="00970634" w:rsidRPr="00AE13AD">
        <w:t>ECOWAS</w:t>
      </w:r>
      <w:r w:rsidR="009F152A">
        <w:t>)</w:t>
      </w:r>
      <w:r w:rsidR="00970634" w:rsidRPr="00AE13AD">
        <w:t xml:space="preserve"> Community Court of Justice</w:t>
      </w:r>
      <w:r w:rsidR="007B6B0E" w:rsidRPr="00AE13AD">
        <w:rPr>
          <w:rStyle w:val="FootnoteReference"/>
        </w:rPr>
        <w:footnoteReference w:id="110"/>
      </w:r>
      <w:r w:rsidR="007B6B0E" w:rsidRPr="00AE13AD">
        <w:t xml:space="preserve"> </w:t>
      </w:r>
      <w:r w:rsidR="003B60F2" w:rsidRPr="00AE13AD">
        <w:t>and the Court of Justice of the European Union</w:t>
      </w:r>
      <w:r w:rsidR="00970634" w:rsidRPr="00AE13AD">
        <w:t>.</w:t>
      </w:r>
      <w:r w:rsidR="007B6B0E" w:rsidRPr="00AE13AD" w:rsidDel="007B6B0E">
        <w:rPr>
          <w:rStyle w:val="FootnoteReference"/>
        </w:rPr>
        <w:t xml:space="preserve"> </w:t>
      </w:r>
      <w:r w:rsidR="003068C2" w:rsidRPr="00AE13AD">
        <w:t>Jointly, they have c</w:t>
      </w:r>
      <w:r w:rsidR="00BE0D8E" w:rsidRPr="00AE13AD">
        <w:t>onsider</w:t>
      </w:r>
      <w:r w:rsidR="003068C2" w:rsidRPr="00AE13AD">
        <w:t>ed</w:t>
      </w:r>
      <w:r w:rsidR="00BE0D8E" w:rsidRPr="00AE13AD">
        <w:t xml:space="preserve"> and</w:t>
      </w:r>
      <w:r w:rsidR="00552677" w:rsidRPr="00AE13AD">
        <w:t xml:space="preserve"> delivered </w:t>
      </w:r>
      <w:r w:rsidR="00A90463" w:rsidRPr="00AE13AD">
        <w:t xml:space="preserve">rulings </w:t>
      </w:r>
      <w:r w:rsidR="00552677" w:rsidRPr="00AE13AD">
        <w:t>in thousands of cases</w:t>
      </w:r>
      <w:r w:rsidR="001146CC" w:rsidRPr="00AE13AD">
        <w:t>.</w:t>
      </w:r>
      <w:r w:rsidR="00552677" w:rsidRPr="00AE13AD">
        <w:rPr>
          <w:rStyle w:val="FootnoteReference"/>
        </w:rPr>
        <w:footnoteReference w:id="111"/>
      </w:r>
      <w:r w:rsidR="00552677" w:rsidRPr="00AE13AD">
        <w:t xml:space="preserve"> </w:t>
      </w:r>
      <w:r w:rsidR="0041063E" w:rsidRPr="00AE13AD">
        <w:t>However, t</w:t>
      </w:r>
      <w:r w:rsidR="00BA5BD2" w:rsidRPr="00AE13AD">
        <w:t xml:space="preserve">he implementation of </w:t>
      </w:r>
      <w:r w:rsidR="00D64A0B" w:rsidRPr="00AE13AD">
        <w:t xml:space="preserve">rulings </w:t>
      </w:r>
      <w:r w:rsidR="00BA5BD2" w:rsidRPr="00AE13AD">
        <w:t>by such bodies</w:t>
      </w:r>
      <w:r w:rsidR="0041063E" w:rsidRPr="00AE13AD">
        <w:t xml:space="preserve"> </w:t>
      </w:r>
      <w:r w:rsidR="00D64A0B" w:rsidRPr="00AE13AD">
        <w:t>depends on a variety of factors, including the</w:t>
      </w:r>
      <w:r w:rsidR="004E2A33" w:rsidRPr="00AE13AD">
        <w:t xml:space="preserve"> willingness of the</w:t>
      </w:r>
      <w:r w:rsidR="00BA5BD2" w:rsidRPr="00AE13AD">
        <w:t xml:space="preserve"> State</w:t>
      </w:r>
      <w:r w:rsidR="004E2A33" w:rsidRPr="00AE13AD">
        <w:t xml:space="preserve"> </w:t>
      </w:r>
      <w:r w:rsidR="00D64A0B" w:rsidRPr="00AE13AD">
        <w:t>in question</w:t>
      </w:r>
      <w:r w:rsidR="00427682" w:rsidRPr="00AE13AD">
        <w:t xml:space="preserve"> to grant effective remedy</w:t>
      </w:r>
      <w:r w:rsidR="00D64A0B" w:rsidRPr="00AE13AD">
        <w:t xml:space="preserve">, </w:t>
      </w:r>
      <w:r w:rsidR="004E2A33" w:rsidRPr="00AE13AD">
        <w:t xml:space="preserve">the </w:t>
      </w:r>
      <w:r w:rsidR="00BA5BD2" w:rsidRPr="00AE13AD">
        <w:t>type of body</w:t>
      </w:r>
      <w:r w:rsidR="004E2A33" w:rsidRPr="00AE13AD">
        <w:t xml:space="preserve"> examining the case</w:t>
      </w:r>
      <w:r w:rsidR="00D64A0B" w:rsidRPr="00AE13AD">
        <w:t xml:space="preserve"> and </w:t>
      </w:r>
      <w:r w:rsidR="001C3F5C">
        <w:t xml:space="preserve">the </w:t>
      </w:r>
      <w:r w:rsidR="00D64A0B" w:rsidRPr="00AE13AD">
        <w:t>nature of the remedies granted</w:t>
      </w:r>
      <w:r w:rsidR="00BA5BD2" w:rsidRPr="00AE13AD">
        <w:t>.</w:t>
      </w:r>
      <w:r w:rsidR="00BA5BD2" w:rsidRPr="00AE13AD">
        <w:rPr>
          <w:rStyle w:val="FootnoteReference"/>
        </w:rPr>
        <w:footnoteReference w:id="112"/>
      </w:r>
    </w:p>
    <w:p w14:paraId="1BFFFD2C" w14:textId="33DEE44B" w:rsidR="00433DC9" w:rsidRPr="00AE13AD" w:rsidRDefault="00533524" w:rsidP="00BE0D8E">
      <w:pPr>
        <w:pStyle w:val="SingleTxtG"/>
      </w:pPr>
      <w:r w:rsidRPr="00AE13AD">
        <w:t>3</w:t>
      </w:r>
      <w:r w:rsidR="00E8312B" w:rsidRPr="00AE13AD">
        <w:t>4</w:t>
      </w:r>
      <w:r w:rsidR="007002A7" w:rsidRPr="00AE13AD">
        <w:t>.</w:t>
      </w:r>
      <w:r w:rsidR="007002A7" w:rsidRPr="00AE13AD">
        <w:tab/>
      </w:r>
      <w:r w:rsidR="00970634" w:rsidRPr="00AE13AD">
        <w:t>A c</w:t>
      </w:r>
      <w:r w:rsidR="002E4EB1" w:rsidRPr="00AE13AD">
        <w:t>oncern</w:t>
      </w:r>
      <w:r w:rsidR="003C1F81" w:rsidRPr="00AE13AD">
        <w:t xml:space="preserve"> in recent years</w:t>
      </w:r>
      <w:r w:rsidR="002E4EB1" w:rsidRPr="00AE13AD">
        <w:t xml:space="preserve"> </w:t>
      </w:r>
      <w:r w:rsidR="00561468" w:rsidRPr="00AE13AD">
        <w:t xml:space="preserve">has been </w:t>
      </w:r>
      <w:r w:rsidR="00F336FB" w:rsidRPr="00AE13AD">
        <w:t>instances of backlash and</w:t>
      </w:r>
      <w:r w:rsidR="005A72C7" w:rsidRPr="00AE13AD">
        <w:t xml:space="preserve"> push</w:t>
      </w:r>
      <w:r w:rsidR="002E4EB1" w:rsidRPr="00AE13AD">
        <w:t>back against</w:t>
      </w:r>
      <w:r w:rsidR="00561468" w:rsidRPr="00AE13AD">
        <w:t xml:space="preserve"> </w:t>
      </w:r>
      <w:proofErr w:type="gramStart"/>
      <w:r w:rsidR="005A72C7" w:rsidRPr="00AE13AD">
        <w:t>particular</w:t>
      </w:r>
      <w:r w:rsidR="003C1F81" w:rsidRPr="00AE13AD">
        <w:t xml:space="preserve"> </w:t>
      </w:r>
      <w:r w:rsidR="00561468" w:rsidRPr="00AE13AD">
        <w:t>international</w:t>
      </w:r>
      <w:proofErr w:type="gramEnd"/>
      <w:r w:rsidR="00561468" w:rsidRPr="00AE13AD">
        <w:t xml:space="preserve"> courts and tribunals, including in human rights </w:t>
      </w:r>
      <w:r w:rsidR="003C1F81" w:rsidRPr="00AE13AD">
        <w:t>monitoring bodies</w:t>
      </w:r>
      <w:r w:rsidR="00561468" w:rsidRPr="00AE13AD">
        <w:t xml:space="preserve">. </w:t>
      </w:r>
      <w:r w:rsidR="003C1F81" w:rsidRPr="00AE13AD">
        <w:t xml:space="preserve">Most notably, after the </w:t>
      </w:r>
      <w:r w:rsidR="00260405" w:rsidRPr="00AE13AD">
        <w:t>South</w:t>
      </w:r>
      <w:r w:rsidR="008A084C">
        <w:t>ern</w:t>
      </w:r>
      <w:r w:rsidR="00260405" w:rsidRPr="00AE13AD">
        <w:t xml:space="preserve"> African Development Community (SADC) Tribunal </w:t>
      </w:r>
      <w:r w:rsidR="006E1D26" w:rsidRPr="00AE13AD">
        <w:t xml:space="preserve">rulings on human rights claims brought by individuals, </w:t>
      </w:r>
      <w:r w:rsidR="001F3609" w:rsidRPr="00AE13AD">
        <w:t xml:space="preserve">SADC </w:t>
      </w:r>
      <w:r w:rsidR="002A497D">
        <w:t>m</w:t>
      </w:r>
      <w:r w:rsidR="00BC3F06" w:rsidRPr="00AE13AD">
        <w:t xml:space="preserve">ember States decided to </w:t>
      </w:r>
      <w:r w:rsidR="006E1D26" w:rsidRPr="00AE13AD">
        <w:t>suspen</w:t>
      </w:r>
      <w:r w:rsidR="00BC3F06" w:rsidRPr="00AE13AD">
        <w:t>d</w:t>
      </w:r>
      <w:r w:rsidR="006E1D26" w:rsidRPr="00AE13AD">
        <w:t xml:space="preserve"> </w:t>
      </w:r>
      <w:r w:rsidR="00BC3F06" w:rsidRPr="00AE13AD">
        <w:t xml:space="preserve">the </w:t>
      </w:r>
      <w:r w:rsidR="006E1D26" w:rsidRPr="00AE13AD">
        <w:t>activities</w:t>
      </w:r>
      <w:r w:rsidR="00BC3F06" w:rsidRPr="00AE13AD">
        <w:t xml:space="preserve"> of the Tribunal</w:t>
      </w:r>
      <w:r w:rsidR="00260405" w:rsidRPr="00AE13AD">
        <w:t>.</w:t>
      </w:r>
      <w:r w:rsidR="006E1D26" w:rsidRPr="00AE13AD">
        <w:rPr>
          <w:rStyle w:val="FootnoteReference"/>
        </w:rPr>
        <w:footnoteReference w:id="113"/>
      </w:r>
      <w:r w:rsidR="00260405" w:rsidRPr="00AE13AD">
        <w:t xml:space="preserve"> </w:t>
      </w:r>
      <w:r w:rsidR="00BC3F06" w:rsidRPr="00AE13AD">
        <w:t>E</w:t>
      </w:r>
      <w:r w:rsidR="00AB5150" w:rsidRPr="00AE13AD">
        <w:t xml:space="preserve">xamples from other courts and tribunals have included withdrawals from the jurisdiction of the </w:t>
      </w:r>
      <w:r w:rsidR="002E4EB1" w:rsidRPr="00AE13AD">
        <w:t xml:space="preserve">Inter-American Court of </w:t>
      </w:r>
      <w:r w:rsidR="00260405" w:rsidRPr="00AE13AD">
        <w:t>H</w:t>
      </w:r>
      <w:r w:rsidR="002E4EB1" w:rsidRPr="00AE13AD">
        <w:t xml:space="preserve">uman </w:t>
      </w:r>
      <w:r w:rsidR="00260405" w:rsidRPr="00AE13AD">
        <w:t>R</w:t>
      </w:r>
      <w:r w:rsidR="002E4EB1" w:rsidRPr="00AE13AD">
        <w:t>ights</w:t>
      </w:r>
      <w:r w:rsidR="00AB5150" w:rsidRPr="00AE13AD">
        <w:t>,</w:t>
      </w:r>
      <w:r w:rsidR="00260405" w:rsidRPr="00AE13AD">
        <w:rPr>
          <w:rStyle w:val="FootnoteReference"/>
        </w:rPr>
        <w:footnoteReference w:id="114"/>
      </w:r>
      <w:r w:rsidR="00AB5150" w:rsidRPr="00AE13AD">
        <w:t xml:space="preserve"> </w:t>
      </w:r>
      <w:r w:rsidR="00260405" w:rsidRPr="00AE13AD">
        <w:t xml:space="preserve">threats to withdraw from the </w:t>
      </w:r>
      <w:r w:rsidR="002E4EB1" w:rsidRPr="00AE13AD">
        <w:t>European Court of Human Rights</w:t>
      </w:r>
      <w:r w:rsidR="00260405" w:rsidRPr="00AE13AD">
        <w:rPr>
          <w:rStyle w:val="FootnoteReference"/>
        </w:rPr>
        <w:footnoteReference w:id="115"/>
      </w:r>
      <w:r w:rsidR="00260405" w:rsidRPr="00AE13AD">
        <w:t xml:space="preserve"> </w:t>
      </w:r>
      <w:r w:rsidR="003C1F81" w:rsidRPr="00AE13AD">
        <w:t xml:space="preserve">and </w:t>
      </w:r>
      <w:r w:rsidR="00F91D9B" w:rsidRPr="00AE13AD">
        <w:t xml:space="preserve">unsuccessful attempts to narrow the jurisdiction of the </w:t>
      </w:r>
      <w:r w:rsidR="00E31237" w:rsidRPr="00AE13AD">
        <w:t xml:space="preserve">ECOWAS </w:t>
      </w:r>
      <w:r w:rsidR="00561468" w:rsidRPr="00AE13AD">
        <w:t>Community Court of Justice.</w:t>
      </w:r>
      <w:r w:rsidR="00F91D9B" w:rsidRPr="00AE13AD">
        <w:rPr>
          <w:rStyle w:val="FootnoteReference"/>
        </w:rPr>
        <w:footnoteReference w:id="116"/>
      </w:r>
      <w:r w:rsidR="00561468" w:rsidRPr="00AE13AD">
        <w:t xml:space="preserve"> </w:t>
      </w:r>
      <w:r w:rsidR="00BC3F06" w:rsidRPr="00AE13AD">
        <w:t xml:space="preserve">The latter examples, while concerning, also highlight the </w:t>
      </w:r>
      <w:r w:rsidR="00561468" w:rsidRPr="00AE13AD">
        <w:t>resilience of the</w:t>
      </w:r>
      <w:r w:rsidR="005A72C7" w:rsidRPr="00AE13AD">
        <w:t>se</w:t>
      </w:r>
      <w:r w:rsidR="00561468" w:rsidRPr="00AE13AD">
        <w:t xml:space="preserve"> </w:t>
      </w:r>
      <w:r w:rsidR="00BC3F06" w:rsidRPr="00AE13AD">
        <w:t>mechanisms</w:t>
      </w:r>
      <w:r w:rsidR="00561468" w:rsidRPr="00AE13AD">
        <w:t xml:space="preserve"> </w:t>
      </w:r>
      <w:r w:rsidR="00D74FB0" w:rsidRPr="00AE13AD">
        <w:t xml:space="preserve">and </w:t>
      </w:r>
      <w:r w:rsidR="00BC3F06" w:rsidRPr="00AE13AD">
        <w:t xml:space="preserve">a prevailing </w:t>
      </w:r>
      <w:r w:rsidR="00AB5150" w:rsidRPr="00AE13AD">
        <w:t xml:space="preserve">political commitment </w:t>
      </w:r>
      <w:r w:rsidR="00D74FB0" w:rsidRPr="00AE13AD">
        <w:t xml:space="preserve">by </w:t>
      </w:r>
      <w:r w:rsidR="00BC3F06" w:rsidRPr="00AE13AD">
        <w:t xml:space="preserve">States </w:t>
      </w:r>
      <w:r w:rsidR="00AB5150" w:rsidRPr="00AE13AD">
        <w:t>to maintain</w:t>
      </w:r>
      <w:r w:rsidR="003068C2" w:rsidRPr="00AE13AD">
        <w:t xml:space="preserve"> </w:t>
      </w:r>
      <w:r w:rsidR="003C1F81" w:rsidRPr="00AE13AD">
        <w:t>them</w:t>
      </w:r>
      <w:r w:rsidR="00AB5150" w:rsidRPr="00AE13AD">
        <w:t>.</w:t>
      </w:r>
      <w:r w:rsidR="00102C45" w:rsidRPr="00AE13AD">
        <w:t xml:space="preserve"> Nonetheless, such actions represent a threat to the international rule of law</w:t>
      </w:r>
      <w:r w:rsidR="00D02459" w:rsidRPr="00AE13AD">
        <w:t>, the prospects for individuals to obtain remedies for violations</w:t>
      </w:r>
      <w:r w:rsidR="00102C45" w:rsidRPr="00AE13AD">
        <w:t xml:space="preserve"> and the prevention of human rights violations.</w:t>
      </w:r>
    </w:p>
    <w:p w14:paraId="74D787F3" w14:textId="523563DC" w:rsidR="00617581" w:rsidRPr="00AE13AD" w:rsidRDefault="004421AB" w:rsidP="00E96EF1">
      <w:pPr>
        <w:pStyle w:val="HChG"/>
      </w:pPr>
      <w:r w:rsidRPr="00AE13AD">
        <w:tab/>
        <w:t>I</w:t>
      </w:r>
      <w:r w:rsidR="00342A5D" w:rsidRPr="00AE13AD">
        <w:t>II</w:t>
      </w:r>
      <w:r w:rsidRPr="00AE13AD">
        <w:t>.</w:t>
      </w:r>
      <w:r w:rsidRPr="00AE13AD">
        <w:tab/>
      </w:r>
      <w:r w:rsidR="0099422D" w:rsidRPr="00AE13AD">
        <w:t>Individual accountability for serious human rights violations, at the national and international level, and its role in the prevention of human rights violations and abuses</w:t>
      </w:r>
    </w:p>
    <w:p w14:paraId="5FB0CBA0" w14:textId="77994855" w:rsidR="0099422D" w:rsidRPr="00AE13AD" w:rsidRDefault="0099422D" w:rsidP="0099422D">
      <w:pPr>
        <w:pStyle w:val="H1G"/>
      </w:pPr>
      <w:r w:rsidRPr="00AE13AD">
        <w:tab/>
        <w:t>A.</w:t>
      </w:r>
      <w:r w:rsidRPr="00AE13AD">
        <w:tab/>
        <w:t>Introduction</w:t>
      </w:r>
    </w:p>
    <w:p w14:paraId="5E85BC4B" w14:textId="255B0438" w:rsidR="002D6F45" w:rsidRPr="00AE13AD" w:rsidRDefault="0006727A" w:rsidP="002D6F45">
      <w:pPr>
        <w:pStyle w:val="SingleTxtG"/>
      </w:pPr>
      <w:r w:rsidRPr="00AE13AD">
        <w:t>3</w:t>
      </w:r>
      <w:r w:rsidR="00E8312B" w:rsidRPr="00AE13AD">
        <w:t>5</w:t>
      </w:r>
      <w:r w:rsidR="00617581" w:rsidRPr="00AE13AD">
        <w:t>.</w:t>
      </w:r>
      <w:r w:rsidR="00617581" w:rsidRPr="00AE13AD">
        <w:tab/>
      </w:r>
      <w:r w:rsidR="00102C45" w:rsidRPr="00AE13AD">
        <w:t>Ensuring i</w:t>
      </w:r>
      <w:r w:rsidR="00195CB5" w:rsidRPr="00AE13AD">
        <w:t>ndividual accountability</w:t>
      </w:r>
      <w:r w:rsidR="002D6F45" w:rsidRPr="00AE13AD">
        <w:t xml:space="preserve"> for </w:t>
      </w:r>
      <w:r w:rsidR="00661847" w:rsidRPr="00AE13AD">
        <w:t xml:space="preserve">certain </w:t>
      </w:r>
      <w:r w:rsidR="002D6F45" w:rsidRPr="00AE13AD">
        <w:t xml:space="preserve">human rights violations and abuses, including those </w:t>
      </w:r>
      <w:r w:rsidR="00661847" w:rsidRPr="00AE13AD">
        <w:t>amounting to international crimes</w:t>
      </w:r>
      <w:r w:rsidR="00102C45" w:rsidRPr="00AE13AD">
        <w:t>,</w:t>
      </w:r>
      <w:r w:rsidR="002D6F45" w:rsidRPr="00AE13AD">
        <w:t xml:space="preserve"> is an obligation under international law. It is also </w:t>
      </w:r>
      <w:r w:rsidR="006C573C" w:rsidRPr="00AE13AD">
        <w:t>key to the prevention of human rights violations</w:t>
      </w:r>
      <w:r w:rsidR="00195CB5" w:rsidRPr="00AE13AD">
        <w:t xml:space="preserve"> </w:t>
      </w:r>
      <w:r w:rsidR="006C573C" w:rsidRPr="00AE13AD">
        <w:t>and abuses</w:t>
      </w:r>
      <w:r w:rsidR="00102C45" w:rsidRPr="00AE13AD">
        <w:t xml:space="preserve"> and</w:t>
      </w:r>
      <w:r w:rsidR="008C69A3">
        <w:t xml:space="preserve"> is</w:t>
      </w:r>
      <w:r w:rsidR="00102C45" w:rsidRPr="00AE13AD">
        <w:t xml:space="preserve"> crucial to upholding the rule of law</w:t>
      </w:r>
      <w:r w:rsidR="002D6F45" w:rsidRPr="00AE13AD">
        <w:t xml:space="preserve">. </w:t>
      </w:r>
      <w:r w:rsidR="00102C45" w:rsidRPr="00AE13AD">
        <w:t>The Human Rights Council has</w:t>
      </w:r>
      <w:r w:rsidR="002D6F45" w:rsidRPr="00AE13AD">
        <w:t xml:space="preserve"> noted that </w:t>
      </w:r>
      <w:r w:rsidR="008B0030" w:rsidRPr="00AE13AD">
        <w:t xml:space="preserve">impunity facilitates the recurrence of violations and abuses, and </w:t>
      </w:r>
      <w:r w:rsidR="002D6F45" w:rsidRPr="00AE13AD">
        <w:t xml:space="preserve">that </w:t>
      </w:r>
      <w:r w:rsidR="008B0030" w:rsidRPr="00AE13AD">
        <w:t>impunity for the crime of genocide, war crimes and crimes against humanity encourages their occurrence.</w:t>
      </w:r>
      <w:r w:rsidR="00573D7B" w:rsidRPr="00AE13AD">
        <w:rPr>
          <w:rStyle w:val="FootnoteReference"/>
        </w:rPr>
        <w:footnoteReference w:id="117"/>
      </w:r>
      <w:r w:rsidR="002D6F45" w:rsidRPr="00AE13AD">
        <w:t xml:space="preserve"> </w:t>
      </w:r>
      <w:r w:rsidR="00102C45" w:rsidRPr="00AE13AD">
        <w:t>I</w:t>
      </w:r>
      <w:r w:rsidR="00DE1B4D" w:rsidRPr="00AE13AD">
        <w:t>n transitional justice contexts, individual criminal accountability</w:t>
      </w:r>
      <w:r w:rsidR="00B95518" w:rsidRPr="00AE13AD">
        <w:t xml:space="preserve"> must be implemented</w:t>
      </w:r>
      <w:r w:rsidR="00DE1B4D" w:rsidRPr="00AE13AD">
        <w:t xml:space="preserve"> alongside other </w:t>
      </w:r>
      <w:r w:rsidR="00B95518" w:rsidRPr="00AE13AD">
        <w:t xml:space="preserve">goals to address </w:t>
      </w:r>
      <w:r w:rsidR="00DE1B4D" w:rsidRPr="00AE13AD">
        <w:t>the justice needs of individuals.</w:t>
      </w:r>
      <w:r w:rsidR="00DE1B4D" w:rsidRPr="00AE13AD">
        <w:rPr>
          <w:rStyle w:val="FootnoteReference"/>
        </w:rPr>
        <w:footnoteReference w:id="118"/>
      </w:r>
    </w:p>
    <w:p w14:paraId="4C506D1A" w14:textId="5ED24D7F" w:rsidR="002D109D" w:rsidRPr="00AE13AD" w:rsidRDefault="0006727A" w:rsidP="002D109D">
      <w:pPr>
        <w:pStyle w:val="SingleTxtG"/>
      </w:pPr>
      <w:r w:rsidRPr="00AE13AD">
        <w:t>3</w:t>
      </w:r>
      <w:r w:rsidR="00E8312B" w:rsidRPr="00AE13AD">
        <w:t>6</w:t>
      </w:r>
      <w:r w:rsidR="009C39F5" w:rsidRPr="00AE13AD">
        <w:t>.</w:t>
      </w:r>
      <w:r w:rsidR="008756B8" w:rsidRPr="00AE13AD">
        <w:tab/>
      </w:r>
      <w:r w:rsidR="00F85F46" w:rsidRPr="00AE13AD">
        <w:t>As the Secretary-General</w:t>
      </w:r>
      <w:r w:rsidR="00A8533C" w:rsidRPr="00A8533C">
        <w:t xml:space="preserve"> </w:t>
      </w:r>
      <w:r w:rsidR="00A8533C">
        <w:t xml:space="preserve">has </w:t>
      </w:r>
      <w:r w:rsidR="00A8533C" w:rsidRPr="00AE13AD">
        <w:t>noted</w:t>
      </w:r>
      <w:r w:rsidR="00F85F46" w:rsidRPr="00AE13AD">
        <w:t>, there has been a diversification of venues in which criminal accountability for human rights crimes may be pursued.</w:t>
      </w:r>
      <w:r w:rsidR="00F85F46" w:rsidRPr="00AE13AD">
        <w:rPr>
          <w:vertAlign w:val="superscript"/>
        </w:rPr>
        <w:footnoteReference w:id="119"/>
      </w:r>
      <w:r w:rsidR="00F85F46" w:rsidRPr="00AE13AD">
        <w:t xml:space="preserve"> The International Criminal Court </w:t>
      </w:r>
      <w:r w:rsidR="002B6B19" w:rsidRPr="00AE13AD">
        <w:t xml:space="preserve">plays an </w:t>
      </w:r>
      <w:r w:rsidR="002D109D" w:rsidRPr="00AE13AD">
        <w:t>invaluable role in</w:t>
      </w:r>
      <w:r w:rsidR="002B6B19" w:rsidRPr="00AE13AD">
        <w:t xml:space="preserve"> international</w:t>
      </w:r>
      <w:r w:rsidR="002D109D" w:rsidRPr="00AE13AD">
        <w:t xml:space="preserve"> accountability efforts</w:t>
      </w:r>
      <w:r w:rsidR="002B6B19" w:rsidRPr="00AE13AD">
        <w:t xml:space="preserve">, and has issued pioneering rulings, including with respect to sitting </w:t>
      </w:r>
      <w:r w:rsidR="00F85F46" w:rsidRPr="00AE13AD">
        <w:t>heads of State</w:t>
      </w:r>
      <w:r w:rsidR="002B6B19" w:rsidRPr="00AE13AD">
        <w:t>,</w:t>
      </w:r>
      <w:r w:rsidR="00F85F46" w:rsidRPr="00AE13AD">
        <w:rPr>
          <w:vertAlign w:val="superscript"/>
        </w:rPr>
        <w:footnoteReference w:id="120"/>
      </w:r>
      <w:r w:rsidR="00F85F46" w:rsidRPr="00AE13AD">
        <w:t xml:space="preserve"> </w:t>
      </w:r>
      <w:r w:rsidR="002B6B19" w:rsidRPr="00AE13AD">
        <w:t xml:space="preserve">and on </w:t>
      </w:r>
      <w:r w:rsidR="00F85F46" w:rsidRPr="00AE13AD">
        <w:t>jurisdiction</w:t>
      </w:r>
      <w:r w:rsidR="004B2694" w:rsidRPr="00AE13AD">
        <w:t>.</w:t>
      </w:r>
      <w:r w:rsidR="00F85F46" w:rsidRPr="00AE13AD">
        <w:rPr>
          <w:vertAlign w:val="superscript"/>
        </w:rPr>
        <w:footnoteReference w:id="121"/>
      </w:r>
      <w:r w:rsidR="004B2694" w:rsidRPr="00AE13AD">
        <w:t xml:space="preserve"> </w:t>
      </w:r>
      <w:r w:rsidR="00F85F46" w:rsidRPr="00AE13AD">
        <w:t xml:space="preserve">The last decades have also seen the </w:t>
      </w:r>
      <w:r w:rsidR="004C4266" w:rsidRPr="00AE13AD">
        <w:t>increasing establishment</w:t>
      </w:r>
      <w:r w:rsidR="00F85F46" w:rsidRPr="00AE13AD">
        <w:t xml:space="preserve"> of so-called hybrid courts, of mixed composition and jurisdiction, with both national and international aspects.</w:t>
      </w:r>
      <w:r w:rsidR="00F85F46" w:rsidRPr="00AE13AD">
        <w:rPr>
          <w:vertAlign w:val="superscript"/>
        </w:rPr>
        <w:footnoteReference w:id="122"/>
      </w:r>
      <w:r w:rsidR="00F85F46" w:rsidRPr="00AE13AD">
        <w:t xml:space="preserve"> Such tribunals</w:t>
      </w:r>
      <w:r w:rsidR="004C4266" w:rsidRPr="00AE13AD">
        <w:t xml:space="preserve"> </w:t>
      </w:r>
      <w:r w:rsidR="002D109D" w:rsidRPr="00AE13AD">
        <w:t xml:space="preserve">have </w:t>
      </w:r>
      <w:r w:rsidR="00F85F46" w:rsidRPr="00AE13AD">
        <w:t>contribut</w:t>
      </w:r>
      <w:r w:rsidR="004C4266" w:rsidRPr="00AE13AD">
        <w:t>ed</w:t>
      </w:r>
      <w:r w:rsidR="00F85F46" w:rsidRPr="00AE13AD">
        <w:t xml:space="preserve"> to ensuring accountability, including of high-ranking officials.</w:t>
      </w:r>
      <w:r w:rsidR="00F85F46" w:rsidRPr="00AE13AD">
        <w:rPr>
          <w:vertAlign w:val="superscript"/>
        </w:rPr>
        <w:footnoteReference w:id="123"/>
      </w:r>
      <w:r w:rsidR="00F85F46" w:rsidRPr="00AE13AD">
        <w:t xml:space="preserve"> </w:t>
      </w:r>
      <w:r w:rsidR="009B75BB">
        <w:t>T</w:t>
      </w:r>
      <w:r w:rsidR="002D109D" w:rsidRPr="00AE13AD">
        <w:t xml:space="preserve">hird States are </w:t>
      </w:r>
      <w:r w:rsidR="00263D89" w:rsidRPr="00AE13AD">
        <w:t>making increased use of</w:t>
      </w:r>
      <w:r w:rsidR="002D109D" w:rsidRPr="00AE13AD">
        <w:t xml:space="preserve"> universal jurisdiction</w:t>
      </w:r>
      <w:r w:rsidR="00263D89" w:rsidRPr="00AE13AD">
        <w:t xml:space="preserve"> provisions in their domestic laws</w:t>
      </w:r>
      <w:r w:rsidR="002D109D" w:rsidRPr="00AE13AD">
        <w:t>.</w:t>
      </w:r>
      <w:r w:rsidR="004E2A33" w:rsidRPr="00AE13AD">
        <w:rPr>
          <w:rStyle w:val="FootnoteReference"/>
        </w:rPr>
        <w:footnoteReference w:id="124"/>
      </w:r>
      <w:r w:rsidR="00CA1A44" w:rsidRPr="00AE13AD">
        <w:t xml:space="preserve"> </w:t>
      </w:r>
      <w:r w:rsidR="00F15404" w:rsidRPr="00AE13AD">
        <w:t xml:space="preserve">Importantly, many ongoing individual accountability processes are taking place as a result of </w:t>
      </w:r>
      <w:r w:rsidR="00CA1A44" w:rsidRPr="00AE13AD">
        <w:t>civil society</w:t>
      </w:r>
      <w:r w:rsidR="00F15404" w:rsidRPr="00AE13AD">
        <w:t xml:space="preserve"> efforts</w:t>
      </w:r>
      <w:r w:rsidR="00CA1A44" w:rsidRPr="00AE13AD">
        <w:t>.</w:t>
      </w:r>
      <w:r w:rsidR="00F15404" w:rsidRPr="00AE13AD">
        <w:rPr>
          <w:rStyle w:val="FootnoteReference"/>
        </w:rPr>
        <w:footnoteReference w:id="125"/>
      </w:r>
    </w:p>
    <w:p w14:paraId="240024AA" w14:textId="44F3FC3E" w:rsidR="009C39F5" w:rsidRPr="00AE13AD" w:rsidRDefault="002D109D" w:rsidP="002D109D">
      <w:pPr>
        <w:pStyle w:val="SingleTxtG"/>
      </w:pPr>
      <w:r w:rsidRPr="00AE13AD">
        <w:t>3</w:t>
      </w:r>
      <w:r w:rsidR="00E8312B" w:rsidRPr="00AE13AD">
        <w:t>7</w:t>
      </w:r>
      <w:r w:rsidRPr="00AE13AD">
        <w:t>.</w:t>
      </w:r>
      <w:r w:rsidRPr="00AE13AD">
        <w:tab/>
        <w:t xml:space="preserve">While essential, </w:t>
      </w:r>
      <w:r w:rsidR="002B6B19" w:rsidRPr="00AE13AD">
        <w:t>it is important to rem</w:t>
      </w:r>
      <w:r w:rsidR="004C4266" w:rsidRPr="00AE13AD">
        <w:t>ember</w:t>
      </w:r>
      <w:r w:rsidR="002B6B19" w:rsidRPr="00AE13AD">
        <w:t xml:space="preserve"> that </w:t>
      </w:r>
      <w:r w:rsidR="00095E30" w:rsidRPr="00AE13AD">
        <w:t>these accountability venues</w:t>
      </w:r>
      <w:r w:rsidR="00195CB5" w:rsidRPr="00AE13AD">
        <w:t xml:space="preserve"> </w:t>
      </w:r>
      <w:r w:rsidR="002B6B19" w:rsidRPr="00AE13AD">
        <w:t xml:space="preserve">do not </w:t>
      </w:r>
      <w:r w:rsidR="00195CB5" w:rsidRPr="00AE13AD">
        <w:t>fully satisfy the general demand for justice domestically</w:t>
      </w:r>
      <w:r w:rsidR="000D2750" w:rsidRPr="00AE13AD">
        <w:t>,</w:t>
      </w:r>
      <w:r w:rsidR="00195CB5" w:rsidRPr="00AE13AD">
        <w:rPr>
          <w:vertAlign w:val="superscript"/>
        </w:rPr>
        <w:footnoteReference w:id="126"/>
      </w:r>
      <w:r w:rsidR="006A21E8" w:rsidRPr="00AE13AD">
        <w:t xml:space="preserve"> </w:t>
      </w:r>
      <w:r w:rsidRPr="00AE13AD">
        <w:t>and they are not meant to</w:t>
      </w:r>
      <w:r w:rsidR="0042793E">
        <w:t xml:space="preserve"> do so</w:t>
      </w:r>
      <w:r w:rsidRPr="00AE13AD">
        <w:t>.</w:t>
      </w:r>
      <w:r w:rsidRPr="00AE13AD">
        <w:rPr>
          <w:rStyle w:val="FootnoteReference"/>
        </w:rPr>
        <w:footnoteReference w:id="127"/>
      </w:r>
      <w:r w:rsidRPr="00AE13AD">
        <w:t xml:space="preserve"> </w:t>
      </w:r>
      <w:r w:rsidR="00DE1B4D" w:rsidRPr="00AE13AD">
        <w:t>This highlights the importance</w:t>
      </w:r>
      <w:r w:rsidR="004B2694" w:rsidRPr="00AE13AD">
        <w:t xml:space="preserve"> of efforts to ensure that</w:t>
      </w:r>
      <w:r w:rsidR="00DE1B4D" w:rsidRPr="00AE13AD">
        <w:t xml:space="preserve"> </w:t>
      </w:r>
      <w:r w:rsidR="006A21E8" w:rsidRPr="00AE13AD">
        <w:t>prosecution</w:t>
      </w:r>
      <w:r w:rsidR="007A3195" w:rsidRPr="00AE13AD">
        <w:t xml:space="preserve"> consistent with international standards</w:t>
      </w:r>
      <w:r w:rsidR="006A21E8" w:rsidRPr="00AE13AD">
        <w:t xml:space="preserve"> take</w:t>
      </w:r>
      <w:r w:rsidR="004C4266" w:rsidRPr="00AE13AD">
        <w:t>s</w:t>
      </w:r>
      <w:r w:rsidR="006A21E8" w:rsidRPr="00AE13AD">
        <w:t xml:space="preserve"> place</w:t>
      </w:r>
      <w:r w:rsidR="007A3195" w:rsidRPr="00AE13AD">
        <w:t>, where possible,</w:t>
      </w:r>
      <w:r w:rsidR="006A21E8" w:rsidRPr="00AE13AD">
        <w:t xml:space="preserve"> in the State </w:t>
      </w:r>
      <w:r w:rsidR="00F54A91" w:rsidRPr="00AE13AD">
        <w:t>with the closest connection with the crime.</w:t>
      </w:r>
    </w:p>
    <w:p w14:paraId="7156864B" w14:textId="4628F289" w:rsidR="004A3599" w:rsidRPr="00AE13AD" w:rsidRDefault="004A3599" w:rsidP="004A3599">
      <w:pPr>
        <w:pStyle w:val="H1G"/>
      </w:pPr>
      <w:r w:rsidRPr="00AE13AD">
        <w:tab/>
        <w:t>B.</w:t>
      </w:r>
      <w:r w:rsidRPr="00AE13AD">
        <w:tab/>
      </w:r>
      <w:r w:rsidR="00D32D48" w:rsidRPr="00AE13AD">
        <w:t>State-led i</w:t>
      </w:r>
      <w:r w:rsidR="00EB074C" w:rsidRPr="00AE13AD">
        <w:t>nvestigation, p</w:t>
      </w:r>
      <w:r w:rsidR="0099422D" w:rsidRPr="00AE13AD">
        <w:t xml:space="preserve">rosecution and punishment of human rights violations </w:t>
      </w:r>
      <w:r w:rsidR="006564E7" w:rsidRPr="00AE13AD">
        <w:t xml:space="preserve">and abuses </w:t>
      </w:r>
      <w:r w:rsidR="0099422D" w:rsidRPr="00AE13AD">
        <w:t>amounting to international crimes</w:t>
      </w:r>
    </w:p>
    <w:p w14:paraId="68B5D59C" w14:textId="293550E9" w:rsidR="00661847" w:rsidRPr="00AE13AD" w:rsidRDefault="0006727A" w:rsidP="00DA09A8">
      <w:pPr>
        <w:pStyle w:val="SingleTxtG"/>
      </w:pPr>
      <w:r w:rsidRPr="00AE13AD">
        <w:t>3</w:t>
      </w:r>
      <w:r w:rsidR="00E8312B" w:rsidRPr="00AE13AD">
        <w:t>8</w:t>
      </w:r>
      <w:r w:rsidR="00195CB5" w:rsidRPr="00AE13AD">
        <w:t>.</w:t>
      </w:r>
      <w:r w:rsidR="00195CB5" w:rsidRPr="00AE13AD">
        <w:tab/>
      </w:r>
      <w:r w:rsidR="00B95518" w:rsidRPr="00AE13AD">
        <w:t xml:space="preserve">Several </w:t>
      </w:r>
      <w:r w:rsidR="00195CB5" w:rsidRPr="00AE13AD">
        <w:t>States</w:t>
      </w:r>
      <w:r w:rsidR="00E30D93" w:rsidRPr="00AE13AD">
        <w:t xml:space="preserve"> </w:t>
      </w:r>
      <w:r w:rsidR="00B95518" w:rsidRPr="00AE13AD">
        <w:t xml:space="preserve">have </w:t>
      </w:r>
      <w:r w:rsidR="00195CB5" w:rsidRPr="00AE13AD">
        <w:t>prosecut</w:t>
      </w:r>
      <w:r w:rsidR="00B95518" w:rsidRPr="00AE13AD">
        <w:t>ed</w:t>
      </w:r>
      <w:r w:rsidR="00195CB5" w:rsidRPr="00AE13AD">
        <w:t xml:space="preserve"> </w:t>
      </w:r>
      <w:r w:rsidR="004C4266" w:rsidRPr="00AE13AD">
        <w:t xml:space="preserve">serious human rights violations </w:t>
      </w:r>
      <w:r w:rsidR="006564E7" w:rsidRPr="00AE13AD">
        <w:t>and abuses amounting to international crimes</w:t>
      </w:r>
      <w:r w:rsidR="00474EB6">
        <w:t xml:space="preserve"> that have been</w:t>
      </w:r>
      <w:r w:rsidR="006564E7" w:rsidRPr="00AE13AD">
        <w:t xml:space="preserve"> </w:t>
      </w:r>
      <w:r w:rsidR="00E8591E" w:rsidRPr="00AE13AD">
        <w:t xml:space="preserve">committed </w:t>
      </w:r>
      <w:r w:rsidR="00195CB5" w:rsidRPr="00AE13AD">
        <w:t>on their territory</w:t>
      </w:r>
      <w:r w:rsidR="00B95518" w:rsidRPr="00AE13AD">
        <w:t>.</w:t>
      </w:r>
      <w:r w:rsidR="00DE1B4D" w:rsidRPr="00AE13AD">
        <w:t xml:space="preserve"> </w:t>
      </w:r>
      <w:r w:rsidR="00B95518" w:rsidRPr="00AE13AD">
        <w:t>R</w:t>
      </w:r>
      <w:r w:rsidR="00661847" w:rsidRPr="00AE13AD">
        <w:t>ecent examples include the p</w:t>
      </w:r>
      <w:r w:rsidR="00E30D93" w:rsidRPr="00AE13AD">
        <w:t xml:space="preserve">rosecutions </w:t>
      </w:r>
      <w:r w:rsidR="00661847" w:rsidRPr="00AE13AD">
        <w:t xml:space="preserve">in the </w:t>
      </w:r>
      <w:r w:rsidR="00E30D93" w:rsidRPr="00AE13AD">
        <w:t>Democratic Republic of the Congo</w:t>
      </w:r>
      <w:r w:rsidR="00661847" w:rsidRPr="00AE13AD">
        <w:t xml:space="preserve"> of </w:t>
      </w:r>
      <w:r w:rsidR="00244113" w:rsidRPr="00AE13AD">
        <w:t xml:space="preserve">public officials, including </w:t>
      </w:r>
      <w:r w:rsidR="00661847" w:rsidRPr="00AE13AD">
        <w:t xml:space="preserve">members of the </w:t>
      </w:r>
      <w:r w:rsidR="00244113" w:rsidRPr="00AE13AD">
        <w:t>a</w:t>
      </w:r>
      <w:r w:rsidR="00661847" w:rsidRPr="00AE13AD">
        <w:t xml:space="preserve">rmed </w:t>
      </w:r>
      <w:r w:rsidR="00244113" w:rsidRPr="00AE13AD">
        <w:t>f</w:t>
      </w:r>
      <w:r w:rsidR="00661847" w:rsidRPr="00AE13AD">
        <w:t>orces</w:t>
      </w:r>
      <w:r w:rsidR="00474EB6">
        <w:t xml:space="preserve"> and</w:t>
      </w:r>
      <w:r w:rsidR="00661847" w:rsidRPr="00AE13AD">
        <w:t xml:space="preserve"> </w:t>
      </w:r>
      <w:r w:rsidR="00244113" w:rsidRPr="00AE13AD">
        <w:t>the national police,</w:t>
      </w:r>
      <w:r w:rsidR="00661847" w:rsidRPr="00AE13AD">
        <w:t xml:space="preserve"> a</w:t>
      </w:r>
      <w:r w:rsidR="00244113" w:rsidRPr="00AE13AD">
        <w:t>s well as</w:t>
      </w:r>
      <w:r w:rsidR="00661847" w:rsidRPr="00AE13AD">
        <w:t xml:space="preserve"> members of armed groups.</w:t>
      </w:r>
      <w:r w:rsidR="00661847" w:rsidRPr="00AE13AD">
        <w:rPr>
          <w:rStyle w:val="FootnoteReference"/>
        </w:rPr>
        <w:footnoteReference w:id="128"/>
      </w:r>
      <w:r w:rsidR="00661847" w:rsidRPr="00AE13AD">
        <w:t xml:space="preserve"> In Colombia, the Special Jurisdiction for Peace</w:t>
      </w:r>
      <w:r w:rsidR="00314D6E" w:rsidRPr="00AE13AD">
        <w:t xml:space="preserve"> has opened 11 so</w:t>
      </w:r>
      <w:r w:rsidR="004D0578" w:rsidRPr="00AE13AD">
        <w:t>-</w:t>
      </w:r>
      <w:r w:rsidR="00314D6E" w:rsidRPr="00AE13AD">
        <w:t xml:space="preserve">called </w:t>
      </w:r>
      <w:proofErr w:type="spellStart"/>
      <w:r w:rsidR="00314D6E" w:rsidRPr="00AE13AD">
        <w:t>macrocases</w:t>
      </w:r>
      <w:proofErr w:type="spellEnd"/>
      <w:r w:rsidR="00314D6E" w:rsidRPr="00AE13AD">
        <w:t>, focusing on the most grave and representative crimes committed in the course of the armed conflict, and</w:t>
      </w:r>
      <w:r w:rsidR="00B94F3D" w:rsidRPr="00AE13AD">
        <w:t xml:space="preserve"> has </w:t>
      </w:r>
      <w:r w:rsidR="005F781A" w:rsidRPr="00AE13AD">
        <w:t>taken impressive measures to</w:t>
      </w:r>
      <w:r w:rsidR="00B94F3D" w:rsidRPr="00AE13AD">
        <w:t xml:space="preserve"> </w:t>
      </w:r>
      <w:r w:rsidR="005F781A" w:rsidRPr="00AE13AD">
        <w:t>facilitate</w:t>
      </w:r>
      <w:r w:rsidR="00B94F3D" w:rsidRPr="00AE13AD">
        <w:t xml:space="preserve"> the participation of victims</w:t>
      </w:r>
      <w:r w:rsidR="005F781A" w:rsidRPr="00AE13AD">
        <w:t xml:space="preserve"> in the proceedings</w:t>
      </w:r>
      <w:r w:rsidR="00661847" w:rsidRPr="00AE13AD">
        <w:t>.</w:t>
      </w:r>
      <w:r w:rsidR="00661847" w:rsidRPr="00AE13AD">
        <w:rPr>
          <w:rStyle w:val="FootnoteReference"/>
        </w:rPr>
        <w:footnoteReference w:id="129"/>
      </w:r>
    </w:p>
    <w:p w14:paraId="3BFCD465" w14:textId="5837ED63" w:rsidR="00661847" w:rsidRPr="00AE13AD" w:rsidRDefault="0006727A" w:rsidP="00E0655F">
      <w:pPr>
        <w:pStyle w:val="SingleTxtG"/>
      </w:pPr>
      <w:r w:rsidRPr="00AE13AD">
        <w:t>3</w:t>
      </w:r>
      <w:r w:rsidR="00E8312B" w:rsidRPr="00AE13AD">
        <w:t>9</w:t>
      </w:r>
      <w:r w:rsidR="00661847" w:rsidRPr="00AE13AD">
        <w:t>.</w:t>
      </w:r>
      <w:r w:rsidR="00661847" w:rsidRPr="00AE13AD">
        <w:tab/>
      </w:r>
      <w:r w:rsidR="004C4266" w:rsidRPr="00AE13AD">
        <w:t>However, i</w:t>
      </w:r>
      <w:r w:rsidR="00661847" w:rsidRPr="00AE13AD">
        <w:t>n many contexts,</w:t>
      </w:r>
      <w:r w:rsidR="004C4266" w:rsidRPr="00AE13AD">
        <w:t xml:space="preserve"> </w:t>
      </w:r>
      <w:r w:rsidR="00661847" w:rsidRPr="00AE13AD">
        <w:t xml:space="preserve">shortages of human and financial resources and of technical and institutional capacity, along with the lack of mechanisms for ensuring the safety of victims and witnesses who participate in the proceedings, </w:t>
      </w:r>
      <w:r w:rsidR="007B50CE" w:rsidRPr="00AE13AD">
        <w:t>have</w:t>
      </w:r>
      <w:r w:rsidR="00661847" w:rsidRPr="00AE13AD">
        <w:t xml:space="preserve"> constitute</w:t>
      </w:r>
      <w:r w:rsidR="007B50CE" w:rsidRPr="00AE13AD">
        <w:t>d</w:t>
      </w:r>
      <w:r w:rsidR="00661847" w:rsidRPr="00AE13AD">
        <w:t xml:space="preserve"> de facto obstacles to the investigation of serious human rights violations and the criminal prosecution of suspected perpetrators</w:t>
      </w:r>
      <w:r w:rsidR="001E4843" w:rsidRPr="00AE13AD">
        <w:t xml:space="preserve"> at the national level</w:t>
      </w:r>
      <w:r w:rsidR="00661847" w:rsidRPr="00AE13AD">
        <w:t>.</w:t>
      </w:r>
      <w:r w:rsidR="00661847" w:rsidRPr="00AE13AD">
        <w:rPr>
          <w:vertAlign w:val="superscript"/>
        </w:rPr>
        <w:footnoteReference w:id="130"/>
      </w:r>
      <w:r w:rsidR="00661847" w:rsidRPr="00AE13AD">
        <w:t xml:space="preserve"> </w:t>
      </w:r>
      <w:r w:rsidR="00B94F3D" w:rsidRPr="00AE13AD">
        <w:t>Other concerns relate to the l</w:t>
      </w:r>
      <w:r w:rsidR="00244113" w:rsidRPr="00AE13AD">
        <w:t xml:space="preserve">ack of fair trial </w:t>
      </w:r>
      <w:r w:rsidR="00D27377" w:rsidRPr="00AE13AD">
        <w:t>and other guarantees for defendants.</w:t>
      </w:r>
      <w:r w:rsidR="00D27377" w:rsidRPr="00AE13AD">
        <w:rPr>
          <w:rStyle w:val="FootnoteReference"/>
        </w:rPr>
        <w:footnoteReference w:id="131"/>
      </w:r>
    </w:p>
    <w:p w14:paraId="5467839B" w14:textId="383D4DBF" w:rsidR="00E30D93" w:rsidRPr="00AE13AD" w:rsidRDefault="00E8312B" w:rsidP="00661847">
      <w:pPr>
        <w:pStyle w:val="SingleTxtG"/>
      </w:pPr>
      <w:r w:rsidRPr="00AE13AD">
        <w:t>40</w:t>
      </w:r>
      <w:r w:rsidR="00661847" w:rsidRPr="00AE13AD">
        <w:t>.</w:t>
      </w:r>
      <w:r w:rsidR="00661847" w:rsidRPr="00AE13AD">
        <w:tab/>
      </w:r>
      <w:r w:rsidR="00CE4485">
        <w:t>In 2021, t</w:t>
      </w:r>
      <w:r w:rsidR="00195CB5" w:rsidRPr="00AE13AD">
        <w:t>he Special Rapporteur on the promotion of truth, justice, reparation and guarantees of non-recurrence noted</w:t>
      </w:r>
      <w:r w:rsidR="00661847" w:rsidRPr="00AE13AD">
        <w:t xml:space="preserve"> that</w:t>
      </w:r>
      <w:r w:rsidR="00195CB5" w:rsidRPr="00AE13AD">
        <w:t xml:space="preserve"> some States </w:t>
      </w:r>
      <w:r w:rsidR="007B50CE" w:rsidRPr="00AE13AD">
        <w:t xml:space="preserve">resist </w:t>
      </w:r>
      <w:r w:rsidR="002A1AFA">
        <w:t>bring</w:t>
      </w:r>
      <w:r w:rsidR="007B50CE" w:rsidRPr="00AE13AD">
        <w:t>ing</w:t>
      </w:r>
      <w:r w:rsidR="00195CB5" w:rsidRPr="00AE13AD">
        <w:t xml:space="preserve"> their nationals to trial for serious violations of human rights or of international humanitarian law or allow</w:t>
      </w:r>
      <w:r w:rsidR="002A1AFA">
        <w:t>ing</w:t>
      </w:r>
      <w:r w:rsidR="00195CB5" w:rsidRPr="00AE13AD">
        <w:t xml:space="preserve"> an international body to do so.</w:t>
      </w:r>
      <w:r w:rsidR="00195CB5" w:rsidRPr="00AE13AD">
        <w:rPr>
          <w:vertAlign w:val="superscript"/>
        </w:rPr>
        <w:footnoteReference w:id="132"/>
      </w:r>
      <w:r w:rsidR="00195CB5" w:rsidRPr="00AE13AD">
        <w:t xml:space="preserve"> </w:t>
      </w:r>
      <w:r w:rsidR="00244113" w:rsidRPr="00AE13AD">
        <w:t>He also e</w:t>
      </w:r>
      <w:r w:rsidR="00661847" w:rsidRPr="00AE13AD">
        <w:t>xpressed concern at the persistence of legislation allowing for amnesties, statutory limitations or non-retroactivity provisions, which prevent the investigation</w:t>
      </w:r>
      <w:r w:rsidR="00746653" w:rsidRPr="00AE13AD">
        <w:t xml:space="preserve"> a</w:t>
      </w:r>
      <w:r w:rsidR="00561AA4" w:rsidRPr="00AE13AD">
        <w:t>n</w:t>
      </w:r>
      <w:r w:rsidR="00746653" w:rsidRPr="00AE13AD">
        <w:t>d</w:t>
      </w:r>
      <w:r w:rsidR="00661847" w:rsidRPr="00AE13AD">
        <w:t xml:space="preserve"> prosecution of international crimes.</w:t>
      </w:r>
      <w:r w:rsidR="00661847" w:rsidRPr="00AE13AD">
        <w:rPr>
          <w:vertAlign w:val="superscript"/>
        </w:rPr>
        <w:footnoteReference w:id="133"/>
      </w:r>
    </w:p>
    <w:p w14:paraId="0AC4E95F" w14:textId="70067C43" w:rsidR="00195CB5" w:rsidRPr="00AE13AD" w:rsidRDefault="00E8312B" w:rsidP="00195CB5">
      <w:pPr>
        <w:pStyle w:val="SingleTxtG"/>
      </w:pPr>
      <w:r w:rsidRPr="00AE13AD">
        <w:t>41</w:t>
      </w:r>
      <w:r w:rsidR="00756643" w:rsidRPr="00AE13AD">
        <w:t>.</w:t>
      </w:r>
      <w:r w:rsidR="00756643" w:rsidRPr="00AE13AD">
        <w:tab/>
      </w:r>
      <w:r w:rsidR="00995FA8" w:rsidRPr="00AE13AD">
        <w:t xml:space="preserve"> </w:t>
      </w:r>
      <w:r w:rsidR="00195CB5" w:rsidRPr="00AE13AD">
        <w:t xml:space="preserve">Over many years, </w:t>
      </w:r>
      <w:r w:rsidR="00E82872">
        <w:t>t</w:t>
      </w:r>
      <w:r w:rsidR="009911AD" w:rsidRPr="00AE13AD">
        <w:t>hird</w:t>
      </w:r>
      <w:r w:rsidR="00195CB5" w:rsidRPr="00AE13AD">
        <w:t xml:space="preserve"> States have increasingly come to play a pivotal</w:t>
      </w:r>
      <w:r w:rsidR="002A14AC" w:rsidRPr="00AE13AD">
        <w:t xml:space="preserve"> role</w:t>
      </w:r>
      <w:r w:rsidR="00195CB5" w:rsidRPr="00AE13AD">
        <w:t xml:space="preserve"> in accountability efforts. Many States have adopted principle</w:t>
      </w:r>
      <w:r w:rsidR="000D6BC9" w:rsidRPr="00AE13AD">
        <w:t>s</w:t>
      </w:r>
      <w:r w:rsidR="00195CB5" w:rsidRPr="00AE13AD">
        <w:t xml:space="preserve"> of </w:t>
      </w:r>
      <w:r w:rsidR="000D6BC9" w:rsidRPr="00AE13AD">
        <w:t xml:space="preserve">extraterritorial or </w:t>
      </w:r>
      <w:r w:rsidR="00195CB5" w:rsidRPr="00AE13AD">
        <w:t>universal</w:t>
      </w:r>
      <w:r w:rsidR="000D6BC9" w:rsidRPr="00AE13AD">
        <w:t xml:space="preserve"> jurisdiction </w:t>
      </w:r>
      <w:r w:rsidR="00195CB5" w:rsidRPr="00AE13AD">
        <w:t>in their domestic criminal legislation</w:t>
      </w:r>
      <w:r w:rsidR="00825150" w:rsidRPr="00AE13AD">
        <w:t>, to varying degrees</w:t>
      </w:r>
      <w:r w:rsidR="00195CB5" w:rsidRPr="00AE13AD">
        <w:t>.</w:t>
      </w:r>
      <w:r w:rsidR="00195CB5" w:rsidRPr="00AE13AD">
        <w:rPr>
          <w:vertAlign w:val="superscript"/>
        </w:rPr>
        <w:footnoteReference w:id="134"/>
      </w:r>
      <w:r w:rsidR="00195CB5" w:rsidRPr="00AE13AD">
        <w:t xml:space="preserve"> However, as noted by TRIAL </w:t>
      </w:r>
      <w:r w:rsidR="00AE4A81" w:rsidRPr="00AE13AD">
        <w:t>I</w:t>
      </w:r>
      <w:r w:rsidR="00195CB5" w:rsidRPr="00AE13AD">
        <w:t>nternational in its evaluation of trends for 2023, despite the incorporation of provisions relat</w:t>
      </w:r>
      <w:r w:rsidR="00EF7927">
        <w:t>ing</w:t>
      </w:r>
      <w:r w:rsidR="00195CB5" w:rsidRPr="00AE13AD">
        <w:t xml:space="preserve"> to international crimes in the legal frameworks of the majority of countries globally, only 13 domestic jurisdictions – </w:t>
      </w:r>
      <w:r w:rsidR="00FD305F">
        <w:t>10</w:t>
      </w:r>
      <w:r w:rsidR="00195CB5" w:rsidRPr="00AE13AD">
        <w:t xml:space="preserve"> of which are European – currently have officially open</w:t>
      </w:r>
      <w:r w:rsidR="007B50CE" w:rsidRPr="00AE13AD">
        <w:t>ed</w:t>
      </w:r>
      <w:r w:rsidR="00195CB5" w:rsidRPr="00AE13AD">
        <w:t xml:space="preserve"> extraterritorial cases.</w:t>
      </w:r>
      <w:r w:rsidR="00195CB5" w:rsidRPr="00AE13AD">
        <w:rPr>
          <w:vertAlign w:val="superscript"/>
        </w:rPr>
        <w:footnoteReference w:id="135"/>
      </w:r>
      <w:r w:rsidR="00195CB5" w:rsidRPr="00AE13AD">
        <w:t xml:space="preserve"> </w:t>
      </w:r>
      <w:r w:rsidR="002A14AC" w:rsidRPr="00AE13AD">
        <w:t>I</w:t>
      </w:r>
      <w:r w:rsidR="00195CB5" w:rsidRPr="00AE13AD">
        <w:t xml:space="preserve">t also noted that the number of States for which </w:t>
      </w:r>
      <w:r w:rsidR="00FA41EB" w:rsidRPr="00AE13AD">
        <w:t>cases are open ha</w:t>
      </w:r>
      <w:r w:rsidR="007476D2">
        <w:t>s</w:t>
      </w:r>
      <w:r w:rsidR="00FA41EB" w:rsidRPr="00AE13AD">
        <w:t xml:space="preserve"> </w:t>
      </w:r>
      <w:r w:rsidR="00195CB5" w:rsidRPr="00AE13AD">
        <w:t>increased</w:t>
      </w:r>
      <w:r w:rsidR="00FA41EB" w:rsidRPr="00AE13AD">
        <w:t>,</w:t>
      </w:r>
      <w:r w:rsidR="00195CB5" w:rsidRPr="00AE13AD">
        <w:rPr>
          <w:vertAlign w:val="superscript"/>
        </w:rPr>
        <w:footnoteReference w:id="136"/>
      </w:r>
      <w:r w:rsidR="00FA41EB" w:rsidRPr="00AE13AD">
        <w:t xml:space="preserve"> revealing a trend</w:t>
      </w:r>
      <w:r w:rsidR="00E7036C" w:rsidRPr="00AE13AD">
        <w:t xml:space="preserve"> of expansion in the geographic reach of accountability efforts by third States</w:t>
      </w:r>
      <w:r w:rsidR="00FA41EB" w:rsidRPr="00AE13AD">
        <w:t>.</w:t>
      </w:r>
    </w:p>
    <w:p w14:paraId="15584EC7" w14:textId="4801C26E" w:rsidR="00195CB5" w:rsidRPr="00AE13AD" w:rsidRDefault="00B8680D" w:rsidP="00E0655F">
      <w:pPr>
        <w:pStyle w:val="SingleTxtG"/>
      </w:pPr>
      <w:bookmarkStart w:id="5" w:name="_Hlk172727167"/>
      <w:r w:rsidRPr="00AE13AD">
        <w:t>4</w:t>
      </w:r>
      <w:r w:rsidR="00E8312B" w:rsidRPr="00AE13AD">
        <w:t>2</w:t>
      </w:r>
      <w:r w:rsidR="00195CB5" w:rsidRPr="00AE13AD">
        <w:t>.</w:t>
      </w:r>
      <w:r w:rsidR="00195CB5" w:rsidRPr="00AE13AD">
        <w:tab/>
      </w:r>
      <w:r w:rsidR="0039350B" w:rsidRPr="00AE13AD">
        <w:t>Through the clarification of criminal jurisdiction in domestic law, d</w:t>
      </w:r>
      <w:r w:rsidR="00163858" w:rsidRPr="00AE13AD">
        <w:t>omestic c</w:t>
      </w:r>
      <w:r w:rsidR="007A541C" w:rsidRPr="00AE13AD">
        <w:t xml:space="preserve">ourts </w:t>
      </w:r>
      <w:r w:rsidR="00B47EA3" w:rsidRPr="00AE13AD">
        <w:t>have played an</w:t>
      </w:r>
      <w:r w:rsidR="00163858" w:rsidRPr="00AE13AD">
        <w:t xml:space="preserve"> important </w:t>
      </w:r>
      <w:r w:rsidR="007A541C" w:rsidRPr="00AE13AD">
        <w:t xml:space="preserve">role </w:t>
      </w:r>
      <w:r w:rsidR="0039350B" w:rsidRPr="00AE13AD">
        <w:t xml:space="preserve">in facilitating the investigation of </w:t>
      </w:r>
      <w:r w:rsidR="007A541C" w:rsidRPr="00AE13AD">
        <w:t>international crimes.</w:t>
      </w:r>
      <w:r w:rsidR="00163858" w:rsidRPr="00AE13AD">
        <w:rPr>
          <w:vertAlign w:val="superscript"/>
        </w:rPr>
        <w:footnoteReference w:id="137"/>
      </w:r>
      <w:r w:rsidR="007A541C" w:rsidRPr="00AE13AD">
        <w:t xml:space="preserve"> </w:t>
      </w:r>
      <w:r w:rsidR="00E250EE" w:rsidRPr="00AE13AD">
        <w:t xml:space="preserve">For </w:t>
      </w:r>
      <w:r w:rsidR="0039350B" w:rsidRPr="00AE13AD">
        <w:t>example,</w:t>
      </w:r>
      <w:r w:rsidR="00E250EE" w:rsidRPr="00AE13AD">
        <w:t xml:space="preserve"> i</w:t>
      </w:r>
      <w:r w:rsidR="00195CB5" w:rsidRPr="00AE13AD">
        <w:t xml:space="preserve">n </w:t>
      </w:r>
      <w:r w:rsidR="00FA41EB" w:rsidRPr="00AE13AD">
        <w:t>2023</w:t>
      </w:r>
      <w:r w:rsidR="00195CB5" w:rsidRPr="00AE13AD">
        <w:t>, the French Court of Cassation</w:t>
      </w:r>
      <w:r w:rsidR="00FA41EB" w:rsidRPr="00AE13AD">
        <w:t xml:space="preserve"> </w:t>
      </w:r>
      <w:r w:rsidR="007A541C" w:rsidRPr="00AE13AD">
        <w:t>interpreted French law</w:t>
      </w:r>
      <w:r w:rsidR="007D4CDB" w:rsidRPr="00AE13AD">
        <w:t xml:space="preserve"> </w:t>
      </w:r>
      <w:r w:rsidR="00AE4A81" w:rsidRPr="00AE13AD">
        <w:t>and found that it</w:t>
      </w:r>
      <w:r w:rsidR="007A541C" w:rsidRPr="00AE13AD">
        <w:t xml:space="preserve"> allow</w:t>
      </w:r>
      <w:r w:rsidR="00AE4A81" w:rsidRPr="00AE13AD">
        <w:t>ed</w:t>
      </w:r>
      <w:r w:rsidR="007A541C" w:rsidRPr="00AE13AD">
        <w:t xml:space="preserve"> for </w:t>
      </w:r>
      <w:r w:rsidR="007D4CDB" w:rsidRPr="00AE13AD">
        <w:t xml:space="preserve">the </w:t>
      </w:r>
      <w:r w:rsidR="00E20116" w:rsidRPr="00AE13AD">
        <w:t xml:space="preserve">investigation </w:t>
      </w:r>
      <w:r w:rsidR="007D4CDB" w:rsidRPr="00AE13AD">
        <w:t xml:space="preserve">of </w:t>
      </w:r>
      <w:r w:rsidR="00E20116" w:rsidRPr="00AE13AD">
        <w:t>alleged war crimes, enforced disappearances and torture</w:t>
      </w:r>
      <w:r w:rsidR="0096220F" w:rsidRPr="00AE13AD">
        <w:t xml:space="preserve"> committed in the Syrian Arab Republic</w:t>
      </w:r>
      <w:r w:rsidR="00994D3E" w:rsidRPr="00AE13AD">
        <w:t>.</w:t>
      </w:r>
      <w:r w:rsidR="00E0655F" w:rsidRPr="00AE13AD">
        <w:rPr>
          <w:rStyle w:val="FootnoteReference"/>
        </w:rPr>
        <w:footnoteReference w:id="138"/>
      </w:r>
      <w:r w:rsidR="00FA41EB" w:rsidRPr="00AE13AD">
        <w:t xml:space="preserve"> </w:t>
      </w:r>
      <w:r w:rsidR="0055280B" w:rsidRPr="00AE13AD">
        <w:t xml:space="preserve">In </w:t>
      </w:r>
      <w:r w:rsidR="00CE56B8" w:rsidRPr="00AE13AD">
        <w:t>Argentina</w:t>
      </w:r>
      <w:r w:rsidR="0055280B" w:rsidRPr="00AE13AD">
        <w:t>, judicial investigations have been</w:t>
      </w:r>
      <w:r w:rsidR="0039350B" w:rsidRPr="00AE13AD">
        <w:t xml:space="preserve"> opened</w:t>
      </w:r>
      <w:r w:rsidR="00CE56B8" w:rsidRPr="00AE13AD">
        <w:t xml:space="preserve"> against the former </w:t>
      </w:r>
      <w:r w:rsidR="007476D2">
        <w:t>H</w:t>
      </w:r>
      <w:r w:rsidR="00CE56B8" w:rsidRPr="00AE13AD">
        <w:t>ead</w:t>
      </w:r>
      <w:r w:rsidR="00D33D54" w:rsidRPr="00AE13AD">
        <w:t>s</w:t>
      </w:r>
      <w:r w:rsidR="00CE56B8" w:rsidRPr="00AE13AD">
        <w:t xml:space="preserve"> of State of </w:t>
      </w:r>
      <w:r w:rsidR="00D33D54" w:rsidRPr="00AE13AD">
        <w:t>Colombia, for so</w:t>
      </w:r>
      <w:r w:rsidR="00CD2632" w:rsidRPr="00AE13AD">
        <w:t>-</w:t>
      </w:r>
      <w:r w:rsidR="00D33D54" w:rsidRPr="00AE13AD">
        <w:t>called false positive</w:t>
      </w:r>
      <w:r w:rsidR="00CD2632" w:rsidRPr="00AE13AD">
        <w:t xml:space="preserve"> cases</w:t>
      </w:r>
      <w:r w:rsidR="00D33D54" w:rsidRPr="00AE13AD">
        <w:t>, and</w:t>
      </w:r>
      <w:r w:rsidR="00DC72BF" w:rsidRPr="00AE13AD">
        <w:t xml:space="preserve"> of</w:t>
      </w:r>
      <w:r w:rsidR="00D33D54" w:rsidRPr="00AE13AD">
        <w:t xml:space="preserve"> </w:t>
      </w:r>
      <w:r w:rsidR="00CE56B8" w:rsidRPr="00AE13AD">
        <w:t>Nicaragua</w:t>
      </w:r>
      <w:r w:rsidR="00FD305F">
        <w:t>,</w:t>
      </w:r>
      <w:r w:rsidR="00CE56B8" w:rsidRPr="00AE13AD">
        <w:t xml:space="preserve"> for </w:t>
      </w:r>
      <w:r w:rsidR="00D33D54" w:rsidRPr="00AE13AD">
        <w:t xml:space="preserve">possible </w:t>
      </w:r>
      <w:r w:rsidR="00CE56B8" w:rsidRPr="00AE13AD">
        <w:t>crimes against humanity in conjunction with the crackdown o</w:t>
      </w:r>
      <w:r w:rsidR="00FD305F">
        <w:t>n</w:t>
      </w:r>
      <w:r w:rsidR="00CE56B8" w:rsidRPr="00AE13AD">
        <w:t xml:space="preserve"> protests </w:t>
      </w:r>
      <w:r w:rsidR="00D33D54" w:rsidRPr="00AE13AD">
        <w:t xml:space="preserve">in the State </w:t>
      </w:r>
      <w:r w:rsidR="00CE56B8" w:rsidRPr="00AE13AD">
        <w:t>in 2018.</w:t>
      </w:r>
      <w:r w:rsidR="00D33D54" w:rsidRPr="00AE13AD">
        <w:rPr>
          <w:rStyle w:val="FootnoteReference"/>
        </w:rPr>
        <w:footnoteReference w:id="139"/>
      </w:r>
    </w:p>
    <w:bookmarkEnd w:id="5"/>
    <w:p w14:paraId="3963DB80" w14:textId="43FECEAB" w:rsidR="00E20116" w:rsidRPr="00AE13AD" w:rsidRDefault="00B8680D" w:rsidP="007C1080">
      <w:pPr>
        <w:pStyle w:val="SingleTxtG"/>
      </w:pPr>
      <w:r w:rsidRPr="00AE13AD">
        <w:t>4</w:t>
      </w:r>
      <w:r w:rsidR="00E8312B" w:rsidRPr="00AE13AD">
        <w:t>3</w:t>
      </w:r>
      <w:r w:rsidR="00195CB5" w:rsidRPr="00AE13AD">
        <w:t>.</w:t>
      </w:r>
      <w:r w:rsidR="00195CB5" w:rsidRPr="00AE13AD">
        <w:tab/>
      </w:r>
      <w:r w:rsidR="0055280B" w:rsidRPr="00AE13AD">
        <w:t xml:space="preserve">To overcome some of the complex challenges </w:t>
      </w:r>
      <w:r w:rsidR="007476D2">
        <w:t xml:space="preserve">with which </w:t>
      </w:r>
      <w:r w:rsidR="0055280B" w:rsidRPr="00AE13AD">
        <w:t xml:space="preserve">authorities are faced in investigating international crimes, </w:t>
      </w:r>
      <w:r w:rsidR="007A3BF1" w:rsidRPr="00AE13AD">
        <w:t xml:space="preserve">several </w:t>
      </w:r>
      <w:r w:rsidR="007C1080" w:rsidRPr="00AE13AD">
        <w:t>States have opened so</w:t>
      </w:r>
      <w:r w:rsidR="00FD305F">
        <w:t>-</w:t>
      </w:r>
      <w:r w:rsidR="007C1080" w:rsidRPr="00AE13AD">
        <w:t xml:space="preserve">called </w:t>
      </w:r>
      <w:r w:rsidR="00E20116" w:rsidRPr="00AE13AD">
        <w:t>structural investigations</w:t>
      </w:r>
      <w:r w:rsidR="0039350B" w:rsidRPr="00AE13AD">
        <w:t xml:space="preserve"> </w:t>
      </w:r>
      <w:r w:rsidR="0055280B" w:rsidRPr="00AE13AD">
        <w:t>through specialized war crimes units</w:t>
      </w:r>
      <w:r w:rsidR="00E20116" w:rsidRPr="00AE13AD">
        <w:t>,</w:t>
      </w:r>
      <w:r w:rsidR="007A541C" w:rsidRPr="00AE13AD">
        <w:rPr>
          <w:rStyle w:val="FootnoteReference"/>
        </w:rPr>
        <w:footnoteReference w:id="140"/>
      </w:r>
      <w:r w:rsidR="00C813FD" w:rsidRPr="00AE13AD">
        <w:t xml:space="preserve"> </w:t>
      </w:r>
      <w:r w:rsidR="0039350B" w:rsidRPr="00AE13AD">
        <w:t xml:space="preserve">and </w:t>
      </w:r>
      <w:r w:rsidR="007A541C" w:rsidRPr="00AE13AD">
        <w:t>focus</w:t>
      </w:r>
      <w:r w:rsidR="00C813FD" w:rsidRPr="00AE13AD">
        <w:t xml:space="preserve"> </w:t>
      </w:r>
      <w:r w:rsidR="0039350B" w:rsidRPr="00AE13AD">
        <w:t xml:space="preserve">their investigation </w:t>
      </w:r>
      <w:r w:rsidR="00C813FD" w:rsidRPr="00AE13AD">
        <w:t>on the structures relat</w:t>
      </w:r>
      <w:r w:rsidR="00EF7927">
        <w:t>ing</w:t>
      </w:r>
      <w:r w:rsidR="00C813FD" w:rsidRPr="00AE13AD">
        <w:t xml:space="preserve"> to potential international crimes and groupings of potential perpetrators</w:t>
      </w:r>
      <w:r w:rsidR="00E20116" w:rsidRPr="00AE13AD">
        <w:t>.</w:t>
      </w:r>
      <w:r w:rsidR="0039350B" w:rsidRPr="00AE13AD">
        <w:t xml:space="preserve"> Such investigations </w:t>
      </w:r>
      <w:r w:rsidR="00095E30" w:rsidRPr="00AE13AD">
        <w:t xml:space="preserve">contributed </w:t>
      </w:r>
      <w:r w:rsidR="0039350B" w:rsidRPr="00AE13AD">
        <w:t>to</w:t>
      </w:r>
      <w:r w:rsidR="007C1080" w:rsidRPr="00AE13AD">
        <w:t xml:space="preserve"> </w:t>
      </w:r>
      <w:r w:rsidR="0039350B" w:rsidRPr="00AE13AD">
        <w:t>the convictions in 2021 and 2022 of two Syrian officials in the so called al-Khatib cases for violations committed against thousands of victims</w:t>
      </w:r>
      <w:r w:rsidR="007C1080" w:rsidRPr="00AE13AD">
        <w:t>.</w:t>
      </w:r>
      <w:r w:rsidR="007C1080" w:rsidRPr="00AE13AD">
        <w:rPr>
          <w:rStyle w:val="FootnoteReference"/>
        </w:rPr>
        <w:footnoteReference w:id="141"/>
      </w:r>
    </w:p>
    <w:p w14:paraId="1ED4AC42" w14:textId="7A460907" w:rsidR="00195CB5" w:rsidRPr="00AE13AD" w:rsidRDefault="00B8680D" w:rsidP="00282ADA">
      <w:pPr>
        <w:pStyle w:val="SingleTxtG"/>
      </w:pPr>
      <w:r w:rsidRPr="00AE13AD">
        <w:t>4</w:t>
      </w:r>
      <w:r w:rsidR="00E8312B" w:rsidRPr="00AE13AD">
        <w:t>4</w:t>
      </w:r>
      <w:r w:rsidR="00195CB5" w:rsidRPr="00AE13AD">
        <w:t>.</w:t>
      </w:r>
      <w:r w:rsidR="00195CB5" w:rsidRPr="00AE13AD">
        <w:tab/>
      </w:r>
      <w:r w:rsidR="00851540" w:rsidRPr="00AE13AD">
        <w:t>States have</w:t>
      </w:r>
      <w:r w:rsidR="007A334B" w:rsidRPr="00AE13AD">
        <w:t xml:space="preserve"> also</w:t>
      </w:r>
      <w:r w:rsidR="00851540" w:rsidRPr="00AE13AD">
        <w:t xml:space="preserve"> increasingly </w:t>
      </w:r>
      <w:r w:rsidR="00E6721E" w:rsidRPr="00AE13AD">
        <w:t>examined c</w:t>
      </w:r>
      <w:r w:rsidR="00D263C6" w:rsidRPr="00AE13AD">
        <w:t xml:space="preserve">orporate </w:t>
      </w:r>
      <w:r w:rsidR="00DE1B4D" w:rsidRPr="00AE13AD">
        <w:t>involvement in</w:t>
      </w:r>
      <w:r w:rsidR="00D263C6" w:rsidRPr="00AE13AD">
        <w:t xml:space="preserve"> international crimes</w:t>
      </w:r>
      <w:r w:rsidR="00195CB5" w:rsidRPr="00AE13AD">
        <w:t>.</w:t>
      </w:r>
      <w:r w:rsidR="00195CB5" w:rsidRPr="00AE13AD">
        <w:rPr>
          <w:vertAlign w:val="superscript"/>
        </w:rPr>
        <w:footnoteReference w:id="142"/>
      </w:r>
      <w:r w:rsidR="00195CB5" w:rsidRPr="00AE13AD">
        <w:t xml:space="preserve"> </w:t>
      </w:r>
      <w:r w:rsidR="00E6721E" w:rsidRPr="00AE13AD">
        <w:t>For example</w:t>
      </w:r>
      <w:r w:rsidR="0019074E" w:rsidRPr="00AE13AD">
        <w:t>, i</w:t>
      </w:r>
      <w:r w:rsidR="00195CB5" w:rsidRPr="00AE13AD">
        <w:t>n November 202</w:t>
      </w:r>
      <w:r w:rsidR="00282ADA" w:rsidRPr="00AE13AD">
        <w:t>1</w:t>
      </w:r>
      <w:r w:rsidR="00195CB5" w:rsidRPr="00AE13AD">
        <w:t>,</w:t>
      </w:r>
      <w:r w:rsidR="00282ADA" w:rsidRPr="00AE13AD">
        <w:t xml:space="preserve"> after </w:t>
      </w:r>
      <w:r w:rsidR="00AE4A81" w:rsidRPr="00AE13AD">
        <w:t>several</w:t>
      </w:r>
      <w:r w:rsidR="00282ADA" w:rsidRPr="00AE13AD">
        <w:t xml:space="preserve"> years of investigations,</w:t>
      </w:r>
      <w:r w:rsidR="00195CB5" w:rsidRPr="00AE13AD">
        <w:t xml:space="preserve"> </w:t>
      </w:r>
      <w:r w:rsidR="00282ADA" w:rsidRPr="00AE13AD">
        <w:t xml:space="preserve">Swedish prosecution authorities brought criminal charges against </w:t>
      </w:r>
      <w:r w:rsidR="001B69F3" w:rsidRPr="00AE13AD">
        <w:t>two oil company</w:t>
      </w:r>
      <w:r w:rsidR="0019074E" w:rsidRPr="00AE13AD">
        <w:t xml:space="preserve"> top</w:t>
      </w:r>
      <w:r w:rsidR="001B69F3" w:rsidRPr="00AE13AD">
        <w:t xml:space="preserve"> executives for </w:t>
      </w:r>
      <w:r w:rsidR="00195CB5" w:rsidRPr="00AE13AD">
        <w:t xml:space="preserve">complicity in war crimes in </w:t>
      </w:r>
      <w:r w:rsidR="00714E19">
        <w:t xml:space="preserve">the </w:t>
      </w:r>
      <w:r w:rsidR="00195CB5" w:rsidRPr="00AE13AD">
        <w:t xml:space="preserve">Sudan </w:t>
      </w:r>
      <w:r w:rsidR="00714E19">
        <w:t>between</w:t>
      </w:r>
      <w:r w:rsidR="00195CB5" w:rsidRPr="00AE13AD">
        <w:t xml:space="preserve"> 1999</w:t>
      </w:r>
      <w:r w:rsidR="00714E19">
        <w:t xml:space="preserve"> and </w:t>
      </w:r>
      <w:r w:rsidR="00195CB5" w:rsidRPr="00AE13AD">
        <w:t>2003</w:t>
      </w:r>
      <w:r w:rsidR="00C72A81" w:rsidRPr="00AE13AD">
        <w:t xml:space="preserve">, and against the company itself, including a </w:t>
      </w:r>
      <w:r w:rsidR="00C75C86" w:rsidRPr="00AE13AD">
        <w:t xml:space="preserve">corporate fine and </w:t>
      </w:r>
      <w:r w:rsidR="00C72A81" w:rsidRPr="00AE13AD">
        <w:t>the forfeiture of economic benefits resulting from the crimes.</w:t>
      </w:r>
      <w:r w:rsidR="007A334B" w:rsidRPr="00AE13AD">
        <w:t xml:space="preserve"> </w:t>
      </w:r>
      <w:r w:rsidR="00282ADA" w:rsidRPr="00AE13AD">
        <w:t>The trial in the case opened in 2023 and is set to continue until 2026.</w:t>
      </w:r>
      <w:r w:rsidR="0019074E" w:rsidRPr="00AE13AD">
        <w:rPr>
          <w:rStyle w:val="FootnoteReference"/>
        </w:rPr>
        <w:footnoteReference w:id="143"/>
      </w:r>
      <w:r w:rsidR="0019074E" w:rsidRPr="00AE13AD">
        <w:t xml:space="preserve"> Among other notable cases are court decisions in France confirming crimes against humanity investigations against a cement company</w:t>
      </w:r>
      <w:r w:rsidR="00DE1B4D" w:rsidRPr="00AE13AD">
        <w:t xml:space="preserve"> for its conduct in </w:t>
      </w:r>
      <w:r w:rsidR="00714E19">
        <w:t xml:space="preserve">the </w:t>
      </w:r>
      <w:r w:rsidR="00DE1B4D" w:rsidRPr="00AE13AD">
        <w:t>Syria</w:t>
      </w:r>
      <w:r w:rsidR="00714E19" w:rsidRPr="00AE13AD">
        <w:t xml:space="preserve">n Arab Republic </w:t>
      </w:r>
      <w:r w:rsidR="00DE1B4D" w:rsidRPr="00AE13AD">
        <w:t xml:space="preserve">between 2012 </w:t>
      </w:r>
      <w:r w:rsidR="0069179B">
        <w:t>and</w:t>
      </w:r>
      <w:r w:rsidR="00DE1B4D" w:rsidRPr="00AE13AD">
        <w:t xml:space="preserve"> 2014</w:t>
      </w:r>
      <w:r w:rsidR="0019074E" w:rsidRPr="00AE13AD">
        <w:t>,</w:t>
      </w:r>
      <w:r w:rsidR="0019074E" w:rsidRPr="00AE13AD">
        <w:rPr>
          <w:rStyle w:val="FootnoteReference"/>
        </w:rPr>
        <w:footnoteReference w:id="144"/>
      </w:r>
      <w:r w:rsidR="00D263C6" w:rsidRPr="00AE13AD">
        <w:t xml:space="preserve"> and an earlier case in the </w:t>
      </w:r>
      <w:r w:rsidR="0069179B">
        <w:t xml:space="preserve">Kingdom of the </w:t>
      </w:r>
      <w:r w:rsidR="00D263C6" w:rsidRPr="00AE13AD">
        <w:t xml:space="preserve">Netherlands against a corporate executive for complicity </w:t>
      </w:r>
      <w:r w:rsidR="00800EDD">
        <w:t>in</w:t>
      </w:r>
      <w:r w:rsidR="00D263C6" w:rsidRPr="00AE13AD">
        <w:t xml:space="preserve"> war crimes in </w:t>
      </w:r>
      <w:r w:rsidR="00832B43" w:rsidRPr="00AE13AD">
        <w:t xml:space="preserve">Guinea and </w:t>
      </w:r>
      <w:r w:rsidR="00D263C6" w:rsidRPr="00AE13AD">
        <w:t xml:space="preserve">Liberia </w:t>
      </w:r>
      <w:r w:rsidR="00832B43">
        <w:t xml:space="preserve">between </w:t>
      </w:r>
      <w:r w:rsidR="00D263C6" w:rsidRPr="00AE13AD">
        <w:t xml:space="preserve">2000 </w:t>
      </w:r>
      <w:r w:rsidR="00832B43">
        <w:t>and</w:t>
      </w:r>
      <w:r w:rsidR="00D263C6" w:rsidRPr="00AE13AD">
        <w:t xml:space="preserve"> 2002.</w:t>
      </w:r>
      <w:r w:rsidR="00D263C6" w:rsidRPr="00AE13AD">
        <w:rPr>
          <w:rStyle w:val="FootnoteReference"/>
        </w:rPr>
        <w:footnoteReference w:id="145"/>
      </w:r>
    </w:p>
    <w:p w14:paraId="0B733D98" w14:textId="6BD554BD" w:rsidR="003A4CA8" w:rsidRPr="00AE13AD" w:rsidRDefault="0006727A" w:rsidP="00195CB5">
      <w:pPr>
        <w:pStyle w:val="SingleTxtG"/>
      </w:pPr>
      <w:r w:rsidRPr="00AE13AD">
        <w:t>4</w:t>
      </w:r>
      <w:r w:rsidR="00E8312B" w:rsidRPr="00AE13AD">
        <w:t>5</w:t>
      </w:r>
      <w:r w:rsidR="00195CB5" w:rsidRPr="00AE13AD">
        <w:t>.</w:t>
      </w:r>
      <w:r w:rsidR="00195CB5" w:rsidRPr="00AE13AD">
        <w:tab/>
      </w:r>
      <w:r w:rsidR="0039350B" w:rsidRPr="00AE13AD">
        <w:t xml:space="preserve">With respect to </w:t>
      </w:r>
      <w:r w:rsidR="00B94F3D" w:rsidRPr="00AE13AD">
        <w:t xml:space="preserve">individuals </w:t>
      </w:r>
      <w:r w:rsidR="00195CB5" w:rsidRPr="00AE13AD">
        <w:t>returning to their State of nationality from the Syrian Arab Republic</w:t>
      </w:r>
      <w:r w:rsidR="0039350B" w:rsidRPr="00AE13AD">
        <w:t>,</w:t>
      </w:r>
      <w:r w:rsidR="00195CB5" w:rsidRPr="00AE13AD">
        <w:t xml:space="preserve"> </w:t>
      </w:r>
      <w:r w:rsidR="0039350B" w:rsidRPr="00AE13AD">
        <w:t>s</w:t>
      </w:r>
      <w:r w:rsidR="00163858" w:rsidRPr="00AE13AD">
        <w:t>ome States have adopted a practice of</w:t>
      </w:r>
      <w:r w:rsidR="00113C29" w:rsidRPr="00AE13AD">
        <w:t xml:space="preserve"> </w:t>
      </w:r>
      <w:r w:rsidR="00163858" w:rsidRPr="00AE13AD">
        <w:t>prosecuting individuals for international crimes.</w:t>
      </w:r>
      <w:r w:rsidR="00163858" w:rsidRPr="00AE13AD">
        <w:rPr>
          <w:rStyle w:val="FootnoteReference"/>
        </w:rPr>
        <w:footnoteReference w:id="146"/>
      </w:r>
      <w:r w:rsidR="00163858" w:rsidRPr="00AE13AD">
        <w:t xml:space="preserve"> </w:t>
      </w:r>
      <w:r w:rsidR="0063458B" w:rsidRPr="00AE13AD">
        <w:t xml:space="preserve">In </w:t>
      </w:r>
      <w:r w:rsidR="0039350B" w:rsidRPr="00AE13AD">
        <w:t xml:space="preserve">other </w:t>
      </w:r>
      <w:r w:rsidR="0063458B" w:rsidRPr="00AE13AD">
        <w:t>cases,</w:t>
      </w:r>
      <w:r w:rsidR="00113C29" w:rsidRPr="00AE13AD">
        <w:t xml:space="preserve"> however,</w:t>
      </w:r>
      <w:r w:rsidR="0063458B" w:rsidRPr="00AE13AD">
        <w:t xml:space="preserve"> c</w:t>
      </w:r>
      <w:r w:rsidR="00195CB5" w:rsidRPr="00AE13AD">
        <w:t xml:space="preserve">oncerns </w:t>
      </w:r>
      <w:r w:rsidR="00623A54" w:rsidRPr="00AE13AD">
        <w:t xml:space="preserve">of compliance with the duty to prosecute and punish international crimes </w:t>
      </w:r>
      <w:r w:rsidR="001C35F2" w:rsidRPr="00AE13AD">
        <w:t>have been raised</w:t>
      </w:r>
      <w:r w:rsidR="00623A54" w:rsidRPr="00AE13AD">
        <w:t xml:space="preserve"> where</w:t>
      </w:r>
      <w:r w:rsidR="001C35F2" w:rsidRPr="00AE13AD">
        <w:t xml:space="preserve"> </w:t>
      </w:r>
      <w:r w:rsidR="0063458B" w:rsidRPr="00AE13AD">
        <w:t>States</w:t>
      </w:r>
      <w:r w:rsidR="007A334B" w:rsidRPr="00AE13AD">
        <w:t xml:space="preserve"> </w:t>
      </w:r>
      <w:r w:rsidR="0030485A" w:rsidRPr="00AE13AD">
        <w:t xml:space="preserve">instead </w:t>
      </w:r>
      <w:r w:rsidR="0063458B" w:rsidRPr="00AE13AD">
        <w:t xml:space="preserve">prosecute the individuals </w:t>
      </w:r>
      <w:r w:rsidR="00195CB5" w:rsidRPr="00AE13AD">
        <w:t>exclusively under domestic terrorism legislation.</w:t>
      </w:r>
      <w:r w:rsidR="00195CB5" w:rsidRPr="00AE13AD">
        <w:rPr>
          <w:vertAlign w:val="superscript"/>
        </w:rPr>
        <w:footnoteReference w:id="147"/>
      </w:r>
    </w:p>
    <w:p w14:paraId="22BCFEF5" w14:textId="7220D8F5" w:rsidR="00E6721E" w:rsidRPr="00AE13AD" w:rsidRDefault="00B84A39" w:rsidP="00E6721E">
      <w:pPr>
        <w:pStyle w:val="SingleTxtG"/>
      </w:pPr>
      <w:r w:rsidRPr="00AE13AD">
        <w:t>46</w:t>
      </w:r>
      <w:r w:rsidR="00E6721E" w:rsidRPr="00AE13AD">
        <w:t>.</w:t>
      </w:r>
      <w:r w:rsidR="00E6721E" w:rsidRPr="00AE13AD">
        <w:tab/>
        <w:t>Civil society plays an invaluable role in encouraging investigation, prosecution and punishment of human rights violations</w:t>
      </w:r>
      <w:r w:rsidRPr="00AE13AD">
        <w:t xml:space="preserve"> amounting to international crimes</w:t>
      </w:r>
      <w:r w:rsidR="00E6721E" w:rsidRPr="00AE13AD">
        <w:t xml:space="preserve">. According to TRIAL </w:t>
      </w:r>
      <w:r w:rsidR="00AE4A81" w:rsidRPr="00AE13AD">
        <w:t>I</w:t>
      </w:r>
      <w:r w:rsidR="00E6721E" w:rsidRPr="00AE13AD">
        <w:t>nternational, civil society organizations have been involved in legal proceedings in over 56 per cent of the ongoing cases relating to the prosecution of international crimes through universal jurisdiction. Such involvement covers the filing of complaints, collaboration with or the provision of information to prosecuting authorities, the provision of support to the plaintiffs and participation as civil parties. This figure reaches 74 per cent in France, 83 per cent in Argentina and 100 per cent in Switzerland.</w:t>
      </w:r>
      <w:r w:rsidR="00E6721E" w:rsidRPr="00AE13AD">
        <w:rPr>
          <w:vertAlign w:val="superscript"/>
        </w:rPr>
        <w:footnoteReference w:id="148"/>
      </w:r>
    </w:p>
    <w:p w14:paraId="478DC9A8" w14:textId="470DD206" w:rsidR="00E6721E" w:rsidRPr="00AE13AD" w:rsidRDefault="00B84A39" w:rsidP="00E6721E">
      <w:pPr>
        <w:pStyle w:val="SingleTxtG"/>
      </w:pPr>
      <w:r w:rsidRPr="00AE13AD">
        <w:t>47</w:t>
      </w:r>
      <w:r w:rsidR="00E6721E" w:rsidRPr="00AE13AD">
        <w:t>.</w:t>
      </w:r>
      <w:r w:rsidR="00E6721E" w:rsidRPr="00AE13AD">
        <w:tab/>
        <w:t>In particular with respect to accountability efforts relat</w:t>
      </w:r>
      <w:r w:rsidR="00EF7927">
        <w:t>ing</w:t>
      </w:r>
      <w:r w:rsidR="00E6721E" w:rsidRPr="00AE13AD">
        <w:t xml:space="preserve"> to international crimes committed in the Syrian Arab Republic, Syrian civil society </w:t>
      </w:r>
      <w:r w:rsidR="002B03F5">
        <w:t xml:space="preserve">organizations </w:t>
      </w:r>
      <w:r w:rsidR="00E6721E" w:rsidRPr="00AE13AD">
        <w:t>have played an active role documenting violations and contributing to accountability efforts in Europe in cooperation with European civil society.</w:t>
      </w:r>
      <w:r w:rsidR="00E6721E" w:rsidRPr="00AE13AD">
        <w:rPr>
          <w:vertAlign w:val="superscript"/>
        </w:rPr>
        <w:footnoteReference w:id="149"/>
      </w:r>
      <w:r w:rsidR="00E6721E" w:rsidRPr="00AE13AD">
        <w:t xml:space="preserve"> At the domestic level, </w:t>
      </w:r>
      <w:r w:rsidR="009A3EE0" w:rsidRPr="00AE13AD">
        <w:t>civil society organi</w:t>
      </w:r>
      <w:r w:rsidR="006462F4">
        <w:t>z</w:t>
      </w:r>
      <w:r w:rsidR="009A3EE0" w:rsidRPr="00AE13AD">
        <w:t>ations</w:t>
      </w:r>
      <w:r w:rsidR="00E6721E" w:rsidRPr="00AE13AD">
        <w:t xml:space="preserve"> are also engaged in capacity</w:t>
      </w:r>
      <w:r w:rsidR="002B03F5">
        <w:t>-</w:t>
      </w:r>
      <w:r w:rsidR="00E6721E" w:rsidRPr="00AE13AD">
        <w:t xml:space="preserve">building, </w:t>
      </w:r>
      <w:r w:rsidR="00E2059B">
        <w:t>such as</w:t>
      </w:r>
      <w:r w:rsidR="00E6721E" w:rsidRPr="00AE13AD">
        <w:t xml:space="preserve"> TRIAL International’s training programme for lawyers, magistrates, investigators and grass</w:t>
      </w:r>
      <w:r w:rsidR="00E2059B">
        <w:t>-</w:t>
      </w:r>
      <w:r w:rsidR="00E6721E" w:rsidRPr="00AE13AD">
        <w:t xml:space="preserve">roots </w:t>
      </w:r>
      <w:r w:rsidR="006D51D3">
        <w:t>civil society organizations</w:t>
      </w:r>
      <w:r w:rsidR="00E6721E" w:rsidRPr="00AE13AD">
        <w:t xml:space="preserve"> in the D</w:t>
      </w:r>
      <w:r w:rsidR="006D51D3">
        <w:t xml:space="preserve">emocratic </w:t>
      </w:r>
      <w:r w:rsidR="00E6721E" w:rsidRPr="00AE13AD">
        <w:t>R</w:t>
      </w:r>
      <w:r w:rsidR="006D51D3">
        <w:t xml:space="preserve">epublic of the </w:t>
      </w:r>
      <w:r w:rsidR="00E6721E" w:rsidRPr="00AE13AD">
        <w:t>C</w:t>
      </w:r>
      <w:r w:rsidR="006D51D3">
        <w:t>ongo</w:t>
      </w:r>
      <w:r w:rsidR="00E6721E" w:rsidRPr="00AE13AD">
        <w:t xml:space="preserve"> and the Great Lakes region.</w:t>
      </w:r>
      <w:r w:rsidR="00E6721E" w:rsidRPr="00AE13AD">
        <w:rPr>
          <w:rStyle w:val="FootnoteReference"/>
        </w:rPr>
        <w:footnoteReference w:id="150"/>
      </w:r>
      <w:r w:rsidR="00E6721E" w:rsidRPr="00AE13AD">
        <w:t xml:space="preserve"> Civil society also plays a role in accountability efforts before international criminal courts and tribunals, such as </w:t>
      </w:r>
      <w:r w:rsidR="00DE73EA">
        <w:t>by</w:t>
      </w:r>
      <w:r w:rsidR="00E6721E" w:rsidRPr="00AE13AD">
        <w:t xml:space="preserve"> filing communications to the Office of the Prosecutor</w:t>
      </w:r>
      <w:r w:rsidR="00E6721E" w:rsidRPr="00AE13AD">
        <w:rPr>
          <w:rStyle w:val="FootnoteReference"/>
        </w:rPr>
        <w:footnoteReference w:id="151"/>
      </w:r>
      <w:r w:rsidR="00E6721E" w:rsidRPr="00AE13AD">
        <w:t xml:space="preserve"> </w:t>
      </w:r>
      <w:r w:rsidR="00CB78AA" w:rsidRPr="00AE13AD">
        <w:t xml:space="preserve">and </w:t>
      </w:r>
      <w:r w:rsidR="00E6721E" w:rsidRPr="008A0231">
        <w:t xml:space="preserve">amicus </w:t>
      </w:r>
      <w:r w:rsidR="00E6721E" w:rsidRPr="00AE13AD">
        <w:t>briefs to the International Criminal Court,</w:t>
      </w:r>
      <w:r w:rsidR="00E6721E" w:rsidRPr="00AE13AD">
        <w:rPr>
          <w:rStyle w:val="FootnoteReference"/>
        </w:rPr>
        <w:footnoteReference w:id="152"/>
      </w:r>
      <w:r w:rsidR="00E6721E" w:rsidRPr="00AE13AD">
        <w:t xml:space="preserve"> and participat</w:t>
      </w:r>
      <w:r w:rsidR="00CB78AA" w:rsidRPr="00AE13AD">
        <w:t xml:space="preserve">ion </w:t>
      </w:r>
      <w:r w:rsidR="00E6721E" w:rsidRPr="00AE13AD">
        <w:t>in reparations proceedings.</w:t>
      </w:r>
      <w:r w:rsidR="00E6721E" w:rsidRPr="00AE13AD">
        <w:rPr>
          <w:rStyle w:val="FootnoteReference"/>
        </w:rPr>
        <w:footnoteReference w:id="153"/>
      </w:r>
    </w:p>
    <w:p w14:paraId="19E663CA" w14:textId="22FD1CFE" w:rsidR="00F1150B" w:rsidRPr="00AE13AD" w:rsidRDefault="00195CB5" w:rsidP="00FB607A">
      <w:pPr>
        <w:pStyle w:val="H1G"/>
      </w:pPr>
      <w:r w:rsidRPr="00AE13AD">
        <w:tab/>
      </w:r>
      <w:r w:rsidR="00C36697">
        <w:t>C</w:t>
      </w:r>
      <w:r w:rsidRPr="00AE13AD">
        <w:t>.</w:t>
      </w:r>
      <w:r w:rsidRPr="00AE13AD">
        <w:tab/>
      </w:r>
      <w:r w:rsidR="00BC48F0">
        <w:t>R</w:t>
      </w:r>
      <w:r w:rsidR="00D32D48" w:rsidRPr="00AE13AD">
        <w:t xml:space="preserve">ole of international bodies in supporting the investigation, prosecution and punishment of </w:t>
      </w:r>
      <w:r w:rsidR="006D3257" w:rsidRPr="00AE13AD">
        <w:t xml:space="preserve">serious human rights violations and abuses amounting to </w:t>
      </w:r>
      <w:r w:rsidR="00D32D48" w:rsidRPr="00AE13AD">
        <w:t>international crimes</w:t>
      </w:r>
    </w:p>
    <w:p w14:paraId="0B0DC5AE" w14:textId="1626E177" w:rsidR="00AA4743" w:rsidRPr="00AE13AD" w:rsidRDefault="00015A90" w:rsidP="00FF7443">
      <w:pPr>
        <w:pStyle w:val="SingleTxtG"/>
      </w:pPr>
      <w:r w:rsidRPr="00AE13AD">
        <w:t>4</w:t>
      </w:r>
      <w:r w:rsidR="00E8312B" w:rsidRPr="00AE13AD">
        <w:t>8</w:t>
      </w:r>
      <w:r w:rsidRPr="00AE13AD">
        <w:t>.</w:t>
      </w:r>
      <w:r w:rsidRPr="00AE13AD">
        <w:tab/>
        <w:t xml:space="preserve"> </w:t>
      </w:r>
      <w:r w:rsidR="006F3965" w:rsidRPr="00AE13AD">
        <w:t>A</w:t>
      </w:r>
      <w:r w:rsidRPr="00AE13AD">
        <w:t>ccountability mechanisms</w:t>
      </w:r>
      <w:r w:rsidR="00A64A80" w:rsidRPr="00AE13AD">
        <w:t xml:space="preserve">, such as </w:t>
      </w:r>
      <w:r w:rsidR="00AA4743" w:rsidRPr="00AE13AD">
        <w:t>i</w:t>
      </w:r>
      <w:r w:rsidR="00A64A80" w:rsidRPr="00AE13AD">
        <w:t xml:space="preserve">nternational commissions of inquiry, fact-finding </w:t>
      </w:r>
      <w:proofErr w:type="gramStart"/>
      <w:r w:rsidR="00A64A80" w:rsidRPr="00AE13AD">
        <w:t>missions</w:t>
      </w:r>
      <w:proofErr w:type="gramEnd"/>
      <w:r w:rsidR="00A64A80" w:rsidRPr="00AE13AD">
        <w:t xml:space="preserve"> and similar investigative mechanisms,</w:t>
      </w:r>
      <w:r w:rsidR="005D7DE5" w:rsidRPr="00AE13AD">
        <w:t xml:space="preserve"> </w:t>
      </w:r>
      <w:r w:rsidR="00E53017" w:rsidRPr="00AE13AD">
        <w:t>play a</w:t>
      </w:r>
      <w:r w:rsidR="00AA4743" w:rsidRPr="00AE13AD">
        <w:t xml:space="preserve">n increasing role in </w:t>
      </w:r>
      <w:r w:rsidR="00BB4FBF" w:rsidRPr="00AE13AD">
        <w:t xml:space="preserve">contributing to </w:t>
      </w:r>
      <w:r w:rsidR="00BF4E7D" w:rsidRPr="00AE13AD">
        <w:t xml:space="preserve">individual </w:t>
      </w:r>
      <w:r w:rsidR="00AA4743" w:rsidRPr="00AE13AD">
        <w:t xml:space="preserve">accountability for </w:t>
      </w:r>
      <w:r w:rsidR="006D3257" w:rsidRPr="00AE13AD">
        <w:t xml:space="preserve">serious </w:t>
      </w:r>
      <w:r w:rsidR="00AA4743" w:rsidRPr="00AE13AD">
        <w:t xml:space="preserve">violations </w:t>
      </w:r>
      <w:r w:rsidR="006D3257" w:rsidRPr="00AE13AD">
        <w:t xml:space="preserve">and abuses </w:t>
      </w:r>
      <w:r w:rsidR="00AA4743" w:rsidRPr="00AE13AD">
        <w:t xml:space="preserve">and </w:t>
      </w:r>
      <w:r w:rsidR="006D3257" w:rsidRPr="00AE13AD">
        <w:t xml:space="preserve">their future </w:t>
      </w:r>
      <w:r w:rsidR="00AA4743" w:rsidRPr="00AE13AD">
        <w:t>preventi</w:t>
      </w:r>
      <w:r w:rsidR="006D3257" w:rsidRPr="00AE13AD">
        <w:t>on</w:t>
      </w:r>
      <w:r w:rsidR="00AA4743" w:rsidRPr="00AE13AD">
        <w:t>.</w:t>
      </w:r>
      <w:r w:rsidR="0063458B" w:rsidRPr="00AE13AD">
        <w:rPr>
          <w:rStyle w:val="FootnoteReference"/>
        </w:rPr>
        <w:footnoteReference w:id="154"/>
      </w:r>
    </w:p>
    <w:p w14:paraId="27A02FD7" w14:textId="35D3FD31" w:rsidR="007E3C2E" w:rsidRPr="00AE13AD" w:rsidRDefault="006F3965" w:rsidP="00AA4743">
      <w:pPr>
        <w:pStyle w:val="SingleTxtG"/>
      </w:pPr>
      <w:r w:rsidRPr="00AE13AD">
        <w:t>49.</w:t>
      </w:r>
      <w:r w:rsidRPr="00AE13AD">
        <w:tab/>
      </w:r>
      <w:r w:rsidR="00AA4743" w:rsidRPr="00AE13AD">
        <w:t>This is particularly due to their role</w:t>
      </w:r>
      <w:r w:rsidR="008955FF" w:rsidRPr="00AE13AD">
        <w:t xml:space="preserve">s </w:t>
      </w:r>
      <w:r w:rsidR="00FA16D7">
        <w:t xml:space="preserve">in </w:t>
      </w:r>
      <w:r w:rsidR="008955FF" w:rsidRPr="00AE13AD">
        <w:t xml:space="preserve">collecting and acting as </w:t>
      </w:r>
      <w:r w:rsidR="004742F7" w:rsidRPr="00AE13AD">
        <w:t>a repository of evidence</w:t>
      </w:r>
      <w:r w:rsidR="008955FF" w:rsidRPr="00AE13AD">
        <w:t xml:space="preserve">, from which </w:t>
      </w:r>
      <w:r w:rsidR="005D7DE5" w:rsidRPr="00AE13AD">
        <w:t>analys</w:t>
      </w:r>
      <w:r w:rsidR="00DC72BF" w:rsidRPr="00AE13AD">
        <w:t>is</w:t>
      </w:r>
      <w:r w:rsidR="005D7DE5" w:rsidRPr="00AE13AD">
        <w:t xml:space="preserve"> of potential violations of international law</w:t>
      </w:r>
      <w:r w:rsidR="008955FF" w:rsidRPr="00AE13AD">
        <w:t xml:space="preserve"> follows</w:t>
      </w:r>
      <w:r w:rsidR="005D7DE5" w:rsidRPr="00AE13AD">
        <w:t>.</w:t>
      </w:r>
      <w:r w:rsidR="00015A90" w:rsidRPr="00AE13AD">
        <w:rPr>
          <w:rStyle w:val="FootnoteReference"/>
        </w:rPr>
        <w:footnoteReference w:id="155"/>
      </w:r>
      <w:r w:rsidR="00FF7443" w:rsidRPr="00AE13AD">
        <w:t xml:space="preserve"> </w:t>
      </w:r>
      <w:r w:rsidR="002F2D6C" w:rsidRPr="00AE13AD">
        <w:t>T</w:t>
      </w:r>
      <w:r w:rsidR="007E3C2E" w:rsidRPr="00AE13AD">
        <w:t xml:space="preserve">he </w:t>
      </w:r>
      <w:r w:rsidR="002F2D6C" w:rsidRPr="00AE13AD">
        <w:t xml:space="preserve">International, Impartial and Independent Mechanism to Assist in the Investigation and Prosecution of Persons Responsible for the Most Serious Crimes under International Law Committed in the Syrian Arab Republic </w:t>
      </w:r>
      <w:r w:rsidR="00CB30FC">
        <w:t>s</w:t>
      </w:r>
      <w:r w:rsidR="002F2D6C" w:rsidRPr="00AE13AD">
        <w:t>ince March 2011 provides a</w:t>
      </w:r>
      <w:r w:rsidR="001C35F2" w:rsidRPr="00AE13AD">
        <w:t xml:space="preserve"> notable</w:t>
      </w:r>
      <w:r w:rsidR="002F2D6C" w:rsidRPr="00AE13AD">
        <w:t xml:space="preserve"> example.</w:t>
      </w:r>
      <w:r w:rsidR="007E3C2E" w:rsidRPr="00AE13AD">
        <w:t xml:space="preserve"> </w:t>
      </w:r>
      <w:r w:rsidR="002F2D6C" w:rsidRPr="00AE13AD">
        <w:t xml:space="preserve">As of December 2023, the </w:t>
      </w:r>
      <w:r w:rsidR="00CB30FC" w:rsidRPr="00AE13AD">
        <w:t>International, Impartial and Independent Mechanism</w:t>
      </w:r>
      <w:r w:rsidR="002F2D6C" w:rsidRPr="00AE13AD">
        <w:t xml:space="preserve"> had </w:t>
      </w:r>
      <w:r w:rsidR="007E3C2E" w:rsidRPr="00AE13AD">
        <w:t>received 325 requests for assistance from 16 jurisdictions, with 86 new requests in 2023.</w:t>
      </w:r>
      <w:r w:rsidR="00FF7443" w:rsidRPr="00AE13AD">
        <w:t xml:space="preserve"> It has contributed by providing information and evidence in the investigation and prosecution of crimes against humanity and war crimes in France, Germany, the Netherlands </w:t>
      </w:r>
      <w:r w:rsidR="00282B2A">
        <w:t xml:space="preserve">(Kingdom of the) </w:t>
      </w:r>
      <w:r w:rsidR="00FF7443" w:rsidRPr="00AE13AD">
        <w:t>and Sweden.</w:t>
      </w:r>
      <w:r w:rsidR="00FF7443" w:rsidRPr="00AE13AD">
        <w:rPr>
          <w:vertAlign w:val="superscript"/>
        </w:rPr>
        <w:footnoteReference w:id="156"/>
      </w:r>
      <w:r w:rsidR="00FF7443" w:rsidRPr="00AE13AD">
        <w:t xml:space="preserve"> The Independent Investigative Mechanism f</w:t>
      </w:r>
      <w:r w:rsidR="008D071A">
        <w:t>or</w:t>
      </w:r>
      <w:r w:rsidR="00FF7443" w:rsidRPr="00AE13AD">
        <w:t xml:space="preserve"> Myanmar has </w:t>
      </w:r>
      <w:r w:rsidR="00B31EE1" w:rsidRPr="00AE13AD">
        <w:t xml:space="preserve">indicated that it has </w:t>
      </w:r>
      <w:r w:rsidR="00FF7443" w:rsidRPr="00AE13AD">
        <w:t>shared information and evidence with domestic authorities and with the Office of the Prosecutor of the I</w:t>
      </w:r>
      <w:r w:rsidR="00CB30FC">
        <w:t xml:space="preserve">nternational </w:t>
      </w:r>
      <w:r w:rsidR="00FF7443" w:rsidRPr="00AE13AD">
        <w:t>C</w:t>
      </w:r>
      <w:r w:rsidR="00CB30FC">
        <w:t xml:space="preserve">riminal </w:t>
      </w:r>
      <w:r w:rsidR="00FF7443" w:rsidRPr="00AE13AD">
        <w:t>C</w:t>
      </w:r>
      <w:r w:rsidR="00CB30FC">
        <w:t>ourt</w:t>
      </w:r>
      <w:r w:rsidR="00FF7443" w:rsidRPr="00AE13AD">
        <w:t xml:space="preserve"> relat</w:t>
      </w:r>
      <w:r w:rsidR="00EF7927">
        <w:t>ing</w:t>
      </w:r>
      <w:r w:rsidR="00FF7443" w:rsidRPr="00AE13AD">
        <w:t xml:space="preserve"> to ongoing investigations.</w:t>
      </w:r>
      <w:r w:rsidR="00FF7443" w:rsidRPr="00AE13AD">
        <w:rPr>
          <w:rStyle w:val="FootnoteReference"/>
        </w:rPr>
        <w:footnoteReference w:id="157"/>
      </w:r>
      <w:r w:rsidR="007E3C2E" w:rsidRPr="00AE13AD">
        <w:t xml:space="preserve"> </w:t>
      </w:r>
      <w:r w:rsidR="00FA16D7">
        <w:t>The f</w:t>
      </w:r>
      <w:r w:rsidR="001C35F2" w:rsidRPr="00AE13AD">
        <w:t xml:space="preserve">indings of such bodies have </w:t>
      </w:r>
      <w:r w:rsidR="00BC3F06" w:rsidRPr="00AE13AD">
        <w:t xml:space="preserve">been </w:t>
      </w:r>
      <w:r w:rsidR="001C35F2" w:rsidRPr="00AE13AD">
        <w:t xml:space="preserve">cited </w:t>
      </w:r>
      <w:r w:rsidR="00B31EE1" w:rsidRPr="00AE13AD">
        <w:t xml:space="preserve">regularly </w:t>
      </w:r>
      <w:r w:rsidR="001C35F2" w:rsidRPr="00AE13AD">
        <w:t xml:space="preserve">in the course </w:t>
      </w:r>
      <w:r w:rsidR="00BC3F06" w:rsidRPr="00AE13AD">
        <w:t xml:space="preserve">of proceedings </w:t>
      </w:r>
      <w:r w:rsidR="00AC362D" w:rsidRPr="00AE13AD">
        <w:t xml:space="preserve">before international criminal courts and tribunals </w:t>
      </w:r>
      <w:r w:rsidR="001C35F2" w:rsidRPr="00AE13AD">
        <w:t>and have been relied upon as evidence.</w:t>
      </w:r>
      <w:r w:rsidR="001C35F2" w:rsidRPr="00AE13AD">
        <w:rPr>
          <w:rStyle w:val="FootnoteReference"/>
        </w:rPr>
        <w:footnoteReference w:id="158"/>
      </w:r>
      <w:r w:rsidR="0092475F" w:rsidRPr="00AE13AD">
        <w:t xml:space="preserve"> </w:t>
      </w:r>
      <w:r w:rsidR="008D071A">
        <w:t>As</w:t>
      </w:r>
      <w:r w:rsidR="00E073C6" w:rsidRPr="00AE13AD">
        <w:t xml:space="preserve"> with domestic accountability efforts, civil society plays </w:t>
      </w:r>
      <w:r w:rsidR="00130902" w:rsidRPr="00AE13AD">
        <w:t xml:space="preserve">an important </w:t>
      </w:r>
      <w:r w:rsidR="00E073C6" w:rsidRPr="00AE13AD">
        <w:t xml:space="preserve">role in the work of such </w:t>
      </w:r>
      <w:r w:rsidR="00343517" w:rsidRPr="00AE13AD">
        <w:t xml:space="preserve">mechanisms through gathering </w:t>
      </w:r>
      <w:r w:rsidR="008B2102" w:rsidRPr="00AE13AD">
        <w:t>information</w:t>
      </w:r>
      <w:r w:rsidR="008B2102">
        <w:t xml:space="preserve"> </w:t>
      </w:r>
      <w:r w:rsidR="00343517" w:rsidRPr="00AE13AD">
        <w:t xml:space="preserve">and </w:t>
      </w:r>
      <w:r w:rsidR="00130902" w:rsidRPr="00AE13AD">
        <w:t xml:space="preserve">sharing </w:t>
      </w:r>
      <w:r w:rsidR="008B2102">
        <w:t xml:space="preserve">it </w:t>
      </w:r>
      <w:r w:rsidR="00130902" w:rsidRPr="00AE13AD">
        <w:t>with the mechanisms</w:t>
      </w:r>
      <w:r w:rsidR="00E073C6" w:rsidRPr="00AE13AD">
        <w:t>.</w:t>
      </w:r>
      <w:r w:rsidR="00343517" w:rsidRPr="00AE13AD">
        <w:rPr>
          <w:rStyle w:val="FootnoteReference"/>
        </w:rPr>
        <w:footnoteReference w:id="159"/>
      </w:r>
    </w:p>
    <w:p w14:paraId="6F869CD0" w14:textId="44606197" w:rsidR="001C35F2" w:rsidRPr="00AE13AD" w:rsidRDefault="006F3965" w:rsidP="00F309B4">
      <w:pPr>
        <w:pStyle w:val="SingleTxtG"/>
      </w:pPr>
      <w:r w:rsidRPr="00AE13AD">
        <w:t>50</w:t>
      </w:r>
      <w:r w:rsidR="00447D74" w:rsidRPr="00AE13AD">
        <w:t>.</w:t>
      </w:r>
      <w:r w:rsidR="00447D74" w:rsidRPr="00AE13AD">
        <w:tab/>
      </w:r>
      <w:r w:rsidR="0096220F" w:rsidRPr="00AE13AD">
        <w:t>In addition, human rights bodies</w:t>
      </w:r>
      <w:r w:rsidR="00F309B4" w:rsidRPr="00AE13AD">
        <w:t xml:space="preserve"> </w:t>
      </w:r>
      <w:r w:rsidR="0096220F" w:rsidRPr="00AE13AD">
        <w:t xml:space="preserve">play a </w:t>
      </w:r>
      <w:r w:rsidR="001C35F2" w:rsidRPr="00AE13AD">
        <w:t xml:space="preserve">role </w:t>
      </w:r>
      <w:r w:rsidR="006E7F61" w:rsidRPr="00AE13AD">
        <w:t xml:space="preserve">in </w:t>
      </w:r>
      <w:r w:rsidR="00AA4743" w:rsidRPr="00AE13AD">
        <w:t xml:space="preserve">supporting accountability through their analysis and recommendations, including in relation to factors impeding accountability. </w:t>
      </w:r>
      <w:r w:rsidR="00447D74" w:rsidRPr="00AE13AD">
        <w:t>For example, while the first team of international experts on the situation in Kasa</w:t>
      </w:r>
      <w:r w:rsidR="002F34D8">
        <w:t>i</w:t>
      </w:r>
      <w:r w:rsidR="008B2102">
        <w:t>,</w:t>
      </w:r>
      <w:r w:rsidR="002F34D8">
        <w:t xml:space="preserve"> Democratic Republic of the </w:t>
      </w:r>
      <w:r w:rsidR="00E8283F">
        <w:t>Congo</w:t>
      </w:r>
      <w:r w:rsidR="008B2102">
        <w:t>,</w:t>
      </w:r>
      <w:r w:rsidR="001F3609" w:rsidRPr="00AE13AD">
        <w:t xml:space="preserve"> </w:t>
      </w:r>
      <w:r w:rsidR="00BB6D2E" w:rsidRPr="00AE13AD">
        <w:t xml:space="preserve">mandated by the Human Rights Council </w:t>
      </w:r>
      <w:r w:rsidR="00526E93" w:rsidRPr="00AE13AD">
        <w:t xml:space="preserve">had examined </w:t>
      </w:r>
      <w:r w:rsidR="005B363C" w:rsidRPr="00AE13AD">
        <w:t xml:space="preserve">the </w:t>
      </w:r>
      <w:r w:rsidR="00526E93" w:rsidRPr="00AE13AD">
        <w:t>perpetration of international crimes</w:t>
      </w:r>
      <w:r w:rsidR="00447D74" w:rsidRPr="00AE13AD">
        <w:t xml:space="preserve">, the second team </w:t>
      </w:r>
      <w:r w:rsidR="00AC362D" w:rsidRPr="00AE13AD">
        <w:t xml:space="preserve">was mandated to </w:t>
      </w:r>
      <w:r w:rsidR="00447D74" w:rsidRPr="00AE13AD">
        <w:t>support the implementation of recommendations made</w:t>
      </w:r>
      <w:r w:rsidR="005B363C" w:rsidRPr="00AE13AD">
        <w:t xml:space="preserve"> by the first team, issuing specific recommendations to domestic authorities to combat impunity, including on prosecution strategy, resourcing and recruitment policies of judicial authorities, and recruitment policies</w:t>
      </w:r>
      <w:r w:rsidR="00447D74" w:rsidRPr="00AE13AD">
        <w:t>.</w:t>
      </w:r>
      <w:r w:rsidR="00FF7443" w:rsidRPr="00AE13AD">
        <w:rPr>
          <w:rStyle w:val="FootnoteReference"/>
        </w:rPr>
        <w:footnoteReference w:id="160"/>
      </w:r>
      <w:r w:rsidR="00447D74" w:rsidRPr="00AE13AD">
        <w:t xml:space="preserve"> The Commission o</w:t>
      </w:r>
      <w:r w:rsidR="00747CB8" w:rsidRPr="00AE13AD">
        <w:t xml:space="preserve">n Human Rights in </w:t>
      </w:r>
      <w:r w:rsidR="00447D74" w:rsidRPr="00AE13AD">
        <w:t>South Sudan</w:t>
      </w:r>
      <w:r w:rsidR="00BB6D2E" w:rsidRPr="00AE13AD">
        <w:t>, also mandated by the Council,</w:t>
      </w:r>
      <w:r w:rsidR="00447D74" w:rsidRPr="00AE13AD">
        <w:t xml:space="preserve"> </w:t>
      </w:r>
      <w:r w:rsidR="001C35F2" w:rsidRPr="00AE13AD">
        <w:t>has</w:t>
      </w:r>
      <w:r w:rsidR="00AC0617" w:rsidRPr="00AE13AD">
        <w:t xml:space="preserve"> conducted in-depth analysis </w:t>
      </w:r>
      <w:r w:rsidR="001C35F2" w:rsidRPr="00AE13AD">
        <w:t>on</w:t>
      </w:r>
      <w:r w:rsidR="00447D74" w:rsidRPr="00AE13AD">
        <w:t xml:space="preserve"> </w:t>
      </w:r>
      <w:r w:rsidR="00AC0617" w:rsidRPr="00AE13AD">
        <w:t xml:space="preserve">factors contributing to impunity </w:t>
      </w:r>
      <w:r w:rsidR="00F309B4" w:rsidRPr="00AE13AD">
        <w:t>in South Sudan</w:t>
      </w:r>
      <w:r w:rsidR="00B022F0">
        <w:t xml:space="preserve"> </w:t>
      </w:r>
      <w:r w:rsidR="001C35F2" w:rsidRPr="00AE13AD">
        <w:t>and</w:t>
      </w:r>
      <w:r w:rsidR="00B022F0">
        <w:t xml:space="preserve"> has</w:t>
      </w:r>
      <w:r w:rsidR="001C35F2" w:rsidRPr="00AE13AD">
        <w:t xml:space="preserve"> issued</w:t>
      </w:r>
      <w:r w:rsidR="00447D74" w:rsidRPr="00AE13AD">
        <w:t xml:space="preserve"> </w:t>
      </w:r>
      <w:r w:rsidR="00F309B4" w:rsidRPr="00AE13AD">
        <w:t xml:space="preserve">a series of </w:t>
      </w:r>
      <w:r w:rsidR="001C35F2" w:rsidRPr="00AE13AD">
        <w:t>r</w:t>
      </w:r>
      <w:r w:rsidR="00447D74" w:rsidRPr="00AE13AD">
        <w:t xml:space="preserve">ecommendations on </w:t>
      </w:r>
      <w:r w:rsidR="00BC3F06" w:rsidRPr="00AE13AD">
        <w:t xml:space="preserve">measures </w:t>
      </w:r>
      <w:r w:rsidR="00AC0617" w:rsidRPr="00AE13AD">
        <w:t>to facilitate accountability</w:t>
      </w:r>
      <w:r w:rsidR="00447D74" w:rsidRPr="00AE13AD">
        <w:t>.</w:t>
      </w:r>
      <w:r w:rsidR="00447D74" w:rsidRPr="00AE13AD">
        <w:rPr>
          <w:vertAlign w:val="superscript"/>
        </w:rPr>
        <w:footnoteReference w:id="161"/>
      </w:r>
      <w:r w:rsidR="00447D74" w:rsidRPr="00AE13AD">
        <w:t xml:space="preserve"> </w:t>
      </w:r>
      <w:r w:rsidR="00BC3F06" w:rsidRPr="00AE13AD">
        <w:t>Other human rights mechanisms</w:t>
      </w:r>
      <w:r w:rsidR="00526E93" w:rsidRPr="00AE13AD">
        <w:t xml:space="preserve"> </w:t>
      </w:r>
      <w:r w:rsidR="00212CF6" w:rsidRPr="00AE13AD">
        <w:t>play a contributing role in this respect,</w:t>
      </w:r>
      <w:r w:rsidR="00BC3F06" w:rsidRPr="00AE13AD">
        <w:t xml:space="preserve"> including </w:t>
      </w:r>
      <w:r w:rsidR="00B022F0">
        <w:t>s</w:t>
      </w:r>
      <w:r w:rsidR="00D77C49" w:rsidRPr="00AE13AD">
        <w:t xml:space="preserve">pecial </w:t>
      </w:r>
      <w:r w:rsidR="00B022F0">
        <w:t>p</w:t>
      </w:r>
      <w:r w:rsidR="00D77C49" w:rsidRPr="00AE13AD">
        <w:t xml:space="preserve">rocedure </w:t>
      </w:r>
      <w:r w:rsidR="00DF021F" w:rsidRPr="00AE13AD">
        <w:t xml:space="preserve">mandate holders </w:t>
      </w:r>
      <w:r w:rsidR="00D77C49" w:rsidRPr="00AE13AD">
        <w:t>through their thematic and country</w:t>
      </w:r>
      <w:r w:rsidR="00B022F0">
        <w:t xml:space="preserve"> </w:t>
      </w:r>
      <w:r w:rsidR="00D77C49" w:rsidRPr="00AE13AD">
        <w:t>visit reporting</w:t>
      </w:r>
      <w:r w:rsidR="001A7BFA" w:rsidRPr="00AE13AD">
        <w:t>.</w:t>
      </w:r>
      <w:r w:rsidR="008C553F" w:rsidRPr="00AE13AD">
        <w:rPr>
          <w:rStyle w:val="FootnoteReference"/>
        </w:rPr>
        <w:footnoteReference w:id="162"/>
      </w:r>
    </w:p>
    <w:p w14:paraId="5BD7E0F4" w14:textId="768B3213" w:rsidR="001A7BFA" w:rsidRPr="00AE13AD" w:rsidRDefault="006F3965" w:rsidP="00F309B4">
      <w:pPr>
        <w:pStyle w:val="SingleTxtG"/>
      </w:pPr>
      <w:r w:rsidRPr="00AE13AD">
        <w:t>51.</w:t>
      </w:r>
      <w:r w:rsidRPr="00AE13AD">
        <w:tab/>
      </w:r>
      <w:r w:rsidR="00B022F0">
        <w:t>Last</w:t>
      </w:r>
      <w:r w:rsidR="001A7BFA" w:rsidRPr="00AE13AD">
        <w:t xml:space="preserve">ly, coordination among accountability bodies can help optimize the preventive role of investigations and prosecutions. In practice, coordination efforts are carried out by a multitude of actors. </w:t>
      </w:r>
      <w:r w:rsidR="0089712D" w:rsidRPr="00AE13AD">
        <w:t>Notably</w:t>
      </w:r>
      <w:r w:rsidR="001A7BFA" w:rsidRPr="00AE13AD">
        <w:t>, the Office of the Prosecutor of the I</w:t>
      </w:r>
      <w:r w:rsidR="00142D5D">
        <w:t xml:space="preserve">nternational </w:t>
      </w:r>
      <w:r w:rsidR="001A7BFA" w:rsidRPr="00AE13AD">
        <w:t>C</w:t>
      </w:r>
      <w:r w:rsidR="00142D5D">
        <w:t xml:space="preserve">riminal </w:t>
      </w:r>
      <w:r w:rsidR="001A7BFA" w:rsidRPr="00AE13AD">
        <w:t>C</w:t>
      </w:r>
      <w:r w:rsidR="00142D5D">
        <w:t>ourt</w:t>
      </w:r>
      <w:r w:rsidR="001A7BFA" w:rsidRPr="00AE13AD">
        <w:t xml:space="preserve"> </w:t>
      </w:r>
      <w:r w:rsidR="00D35E47" w:rsidRPr="00AE13AD">
        <w:t>plays a key coordinating role across accountability actors with respect to particular situation</w:t>
      </w:r>
      <w:r w:rsidR="00F01C81">
        <w:t>s</w:t>
      </w:r>
      <w:r w:rsidR="00D35E47" w:rsidRPr="00AE13AD">
        <w:t xml:space="preserve"> and </w:t>
      </w:r>
      <w:r w:rsidR="0008386D" w:rsidRPr="00AE13AD">
        <w:t xml:space="preserve">frequently </w:t>
      </w:r>
      <w:r w:rsidR="001A7BFA" w:rsidRPr="00AE13AD">
        <w:t xml:space="preserve">cooperates </w:t>
      </w:r>
      <w:r w:rsidR="0008386D" w:rsidRPr="00AE13AD">
        <w:t xml:space="preserve">with </w:t>
      </w:r>
      <w:r w:rsidR="001A7BFA" w:rsidRPr="00AE13AD">
        <w:t>and provides support and assistance to domestic authorities.</w:t>
      </w:r>
      <w:r w:rsidR="003F11DA" w:rsidRPr="00AE13AD">
        <w:rPr>
          <w:rStyle w:val="FootnoteReference"/>
        </w:rPr>
        <w:footnoteReference w:id="163"/>
      </w:r>
      <w:r w:rsidR="001A7BFA" w:rsidRPr="00AE13AD">
        <w:t xml:space="preserve"> Other actors include the International Criminal Police Organization</w:t>
      </w:r>
      <w:r w:rsidR="003F11DA" w:rsidRPr="00AE13AD">
        <w:rPr>
          <w:rStyle w:val="FootnoteReference"/>
        </w:rPr>
        <w:footnoteReference w:id="164"/>
      </w:r>
      <w:r w:rsidR="001A7BFA" w:rsidRPr="00AE13AD">
        <w:t xml:space="preserve"> and regional actors such as </w:t>
      </w:r>
      <w:r w:rsidR="005276F9">
        <w:t xml:space="preserve">the </w:t>
      </w:r>
      <w:r w:rsidR="00274625" w:rsidRPr="00274625">
        <w:t>European Union Agency for Criminal Justice Cooperation</w:t>
      </w:r>
      <w:r w:rsidR="001A7BFA" w:rsidRPr="00AE13AD">
        <w:t xml:space="preserve"> and the European </w:t>
      </w:r>
      <w:r w:rsidR="00732ABD">
        <w:t>N</w:t>
      </w:r>
      <w:r w:rsidR="001A7BFA" w:rsidRPr="00AE13AD">
        <w:t>etwork for investigation and prosecution of genocide, crimes against humanity and war crimes.</w:t>
      </w:r>
      <w:r w:rsidR="003F11DA" w:rsidRPr="00AE13AD">
        <w:rPr>
          <w:rStyle w:val="FootnoteReference"/>
        </w:rPr>
        <w:footnoteReference w:id="165"/>
      </w:r>
    </w:p>
    <w:p w14:paraId="77582D52" w14:textId="71AA4323" w:rsidR="00617581" w:rsidRPr="00AE13AD" w:rsidRDefault="00617581" w:rsidP="009D40F0">
      <w:pPr>
        <w:pStyle w:val="HChG"/>
      </w:pPr>
      <w:r w:rsidRPr="00AE13AD">
        <w:rPr>
          <w:szCs w:val="24"/>
        </w:rPr>
        <w:tab/>
      </w:r>
      <w:r w:rsidR="00C36697">
        <w:rPr>
          <w:szCs w:val="24"/>
        </w:rPr>
        <w:t>I</w:t>
      </w:r>
      <w:r w:rsidRPr="00AE13AD">
        <w:t>V.</w:t>
      </w:r>
      <w:r w:rsidRPr="00AE13AD">
        <w:tab/>
        <w:t>Conclusions and recommendations</w:t>
      </w:r>
    </w:p>
    <w:p w14:paraId="725AAACC" w14:textId="4A3191DB" w:rsidR="00361DF9" w:rsidRPr="00AE13AD" w:rsidRDefault="00E8312B" w:rsidP="002D4E0D">
      <w:pPr>
        <w:pStyle w:val="SingleTxtG"/>
        <w:rPr>
          <w:b/>
          <w:bCs/>
        </w:rPr>
      </w:pPr>
      <w:r w:rsidRPr="00271052">
        <w:rPr>
          <w:bCs/>
        </w:rPr>
        <w:t>5</w:t>
      </w:r>
      <w:r w:rsidR="006F3965" w:rsidRPr="00271052">
        <w:rPr>
          <w:bCs/>
        </w:rPr>
        <w:t>2</w:t>
      </w:r>
      <w:r w:rsidR="00617581" w:rsidRPr="00271052">
        <w:rPr>
          <w:bCs/>
        </w:rPr>
        <w:t>.</w:t>
      </w:r>
      <w:r w:rsidR="00617581" w:rsidRPr="00AE13AD">
        <w:rPr>
          <w:b/>
          <w:bCs/>
        </w:rPr>
        <w:tab/>
      </w:r>
      <w:r w:rsidR="00F653AB" w:rsidRPr="00AE13AD">
        <w:rPr>
          <w:b/>
          <w:bCs/>
        </w:rPr>
        <w:t xml:space="preserve">The </w:t>
      </w:r>
      <w:r w:rsidR="003068C2" w:rsidRPr="00AE13AD">
        <w:rPr>
          <w:b/>
          <w:bCs/>
        </w:rPr>
        <w:t xml:space="preserve">rule of law and accountability play crucial roles in the prevention of human rights violations and abuses. </w:t>
      </w:r>
      <w:r w:rsidR="00F653AB" w:rsidRPr="00AE13AD">
        <w:rPr>
          <w:b/>
          <w:bCs/>
        </w:rPr>
        <w:t>The rule of law, as a principle of governance</w:t>
      </w:r>
      <w:r w:rsidR="00DE2E41" w:rsidRPr="00AE13AD">
        <w:rPr>
          <w:b/>
          <w:bCs/>
        </w:rPr>
        <w:t xml:space="preserve">, </w:t>
      </w:r>
      <w:r w:rsidR="00585ACD" w:rsidRPr="00AE13AD">
        <w:rPr>
          <w:b/>
          <w:bCs/>
        </w:rPr>
        <w:t>is central to strengthen</w:t>
      </w:r>
      <w:r w:rsidR="00486992" w:rsidRPr="00AE13AD">
        <w:rPr>
          <w:b/>
          <w:bCs/>
        </w:rPr>
        <w:t>ing</w:t>
      </w:r>
      <w:r w:rsidR="00585ACD" w:rsidRPr="00AE13AD">
        <w:rPr>
          <w:b/>
          <w:bCs/>
        </w:rPr>
        <w:t xml:space="preserve"> the capacity of the State to respect and protect human rights.</w:t>
      </w:r>
      <w:r w:rsidR="00DE2E41" w:rsidRPr="00AE13AD">
        <w:rPr>
          <w:b/>
          <w:bCs/>
        </w:rPr>
        <w:t xml:space="preserve"> </w:t>
      </w:r>
      <w:r w:rsidR="00585ACD" w:rsidRPr="00AE13AD">
        <w:rPr>
          <w:b/>
          <w:bCs/>
        </w:rPr>
        <w:t>O</w:t>
      </w:r>
      <w:r w:rsidR="00DE2E41" w:rsidRPr="00AE13AD">
        <w:rPr>
          <w:b/>
          <w:bCs/>
        </w:rPr>
        <w:t xml:space="preserve">ne of the </w:t>
      </w:r>
      <w:r w:rsidR="00F653AB" w:rsidRPr="00AE13AD">
        <w:rPr>
          <w:b/>
          <w:bCs/>
        </w:rPr>
        <w:t xml:space="preserve">central features of </w:t>
      </w:r>
      <w:r w:rsidR="00585ACD" w:rsidRPr="00AE13AD">
        <w:rPr>
          <w:b/>
          <w:bCs/>
        </w:rPr>
        <w:t xml:space="preserve">the rule of law concerns </w:t>
      </w:r>
      <w:r w:rsidR="00DE2E41" w:rsidRPr="00AE13AD">
        <w:rPr>
          <w:b/>
          <w:bCs/>
        </w:rPr>
        <w:t>a</w:t>
      </w:r>
      <w:r w:rsidR="00F653AB" w:rsidRPr="00AE13AD">
        <w:rPr>
          <w:b/>
          <w:bCs/>
        </w:rPr>
        <w:t>ccountability</w:t>
      </w:r>
      <w:r w:rsidR="00585ACD" w:rsidRPr="00AE13AD">
        <w:rPr>
          <w:b/>
          <w:bCs/>
        </w:rPr>
        <w:t>, which,</w:t>
      </w:r>
      <w:r w:rsidR="00DE2E41" w:rsidRPr="00AE13AD">
        <w:rPr>
          <w:b/>
          <w:bCs/>
        </w:rPr>
        <w:t xml:space="preserve"> in turn</w:t>
      </w:r>
      <w:r w:rsidR="005E2B56" w:rsidRPr="00AE13AD">
        <w:rPr>
          <w:b/>
          <w:bCs/>
        </w:rPr>
        <w:t>,</w:t>
      </w:r>
      <w:r w:rsidR="00DE2E41" w:rsidRPr="00AE13AD">
        <w:rPr>
          <w:b/>
          <w:bCs/>
        </w:rPr>
        <w:t xml:space="preserve"> is essential </w:t>
      </w:r>
      <w:r w:rsidR="00F653AB" w:rsidRPr="00AE13AD">
        <w:rPr>
          <w:b/>
          <w:bCs/>
        </w:rPr>
        <w:t>to prevent impunity</w:t>
      </w:r>
      <w:r w:rsidR="00585ACD" w:rsidRPr="00AE13AD">
        <w:rPr>
          <w:b/>
          <w:bCs/>
        </w:rPr>
        <w:t xml:space="preserve"> and the recurrence</w:t>
      </w:r>
      <w:r w:rsidR="00F653AB" w:rsidRPr="00AE13AD">
        <w:rPr>
          <w:b/>
          <w:bCs/>
        </w:rPr>
        <w:t xml:space="preserve"> </w:t>
      </w:r>
      <w:r w:rsidR="005E2B56" w:rsidRPr="00AE13AD">
        <w:rPr>
          <w:b/>
          <w:bCs/>
        </w:rPr>
        <w:t>of</w:t>
      </w:r>
      <w:r w:rsidR="00DE2E41" w:rsidRPr="00AE13AD">
        <w:rPr>
          <w:b/>
          <w:bCs/>
        </w:rPr>
        <w:t xml:space="preserve"> </w:t>
      </w:r>
      <w:r w:rsidR="005E2B56" w:rsidRPr="00AE13AD">
        <w:rPr>
          <w:b/>
          <w:bCs/>
        </w:rPr>
        <w:t xml:space="preserve">human rights </w:t>
      </w:r>
      <w:r w:rsidR="00DE2E41" w:rsidRPr="00AE13AD">
        <w:rPr>
          <w:b/>
          <w:bCs/>
        </w:rPr>
        <w:t>violations and abuses</w:t>
      </w:r>
      <w:r w:rsidR="00F653AB" w:rsidRPr="00AE13AD">
        <w:rPr>
          <w:b/>
          <w:bCs/>
        </w:rPr>
        <w:t xml:space="preserve">. </w:t>
      </w:r>
      <w:r w:rsidR="005652E6" w:rsidRPr="00AE13AD">
        <w:rPr>
          <w:b/>
          <w:bCs/>
        </w:rPr>
        <w:t xml:space="preserve">Measures to </w:t>
      </w:r>
      <w:r w:rsidR="00201D25" w:rsidRPr="00AE13AD">
        <w:rPr>
          <w:b/>
          <w:bCs/>
        </w:rPr>
        <w:t>s</w:t>
      </w:r>
      <w:r w:rsidR="00062976" w:rsidRPr="00AE13AD">
        <w:rPr>
          <w:b/>
          <w:bCs/>
        </w:rPr>
        <w:t>trengthen the rule of law</w:t>
      </w:r>
      <w:r w:rsidR="004B7B4A" w:rsidRPr="00AE13AD">
        <w:rPr>
          <w:b/>
          <w:bCs/>
        </w:rPr>
        <w:t xml:space="preserve"> and accountability</w:t>
      </w:r>
      <w:r w:rsidR="00201D25" w:rsidRPr="00AE13AD">
        <w:rPr>
          <w:b/>
          <w:bCs/>
        </w:rPr>
        <w:t xml:space="preserve"> </w:t>
      </w:r>
      <w:r w:rsidR="004B7B4A" w:rsidRPr="00AE13AD">
        <w:rPr>
          <w:b/>
          <w:bCs/>
        </w:rPr>
        <w:t>also contribute</w:t>
      </w:r>
      <w:r w:rsidR="005652E6" w:rsidRPr="00AE13AD">
        <w:rPr>
          <w:b/>
          <w:bCs/>
        </w:rPr>
        <w:t xml:space="preserve"> </w:t>
      </w:r>
      <w:r w:rsidR="00201D25" w:rsidRPr="00AE13AD">
        <w:rPr>
          <w:b/>
          <w:bCs/>
        </w:rPr>
        <w:t>to the achievement of the</w:t>
      </w:r>
      <w:r w:rsidR="00062976" w:rsidRPr="00AE13AD">
        <w:rPr>
          <w:b/>
          <w:bCs/>
        </w:rPr>
        <w:t xml:space="preserve"> Sustainable Development Goal</w:t>
      </w:r>
      <w:r w:rsidR="00201D25" w:rsidRPr="00AE13AD">
        <w:rPr>
          <w:b/>
          <w:bCs/>
        </w:rPr>
        <w:t>s</w:t>
      </w:r>
      <w:r w:rsidR="00F309B4" w:rsidRPr="00AE13AD">
        <w:rPr>
          <w:b/>
          <w:bCs/>
        </w:rPr>
        <w:t>.</w:t>
      </w:r>
    </w:p>
    <w:p w14:paraId="1EFA00C8" w14:textId="6D6E2973" w:rsidR="001C3C41" w:rsidRPr="00AE13AD" w:rsidRDefault="00E8312B" w:rsidP="00E73AD8">
      <w:pPr>
        <w:pStyle w:val="SingleTxtG"/>
        <w:rPr>
          <w:b/>
        </w:rPr>
      </w:pPr>
      <w:r w:rsidRPr="00271052">
        <w:rPr>
          <w:bCs/>
        </w:rPr>
        <w:t>5</w:t>
      </w:r>
      <w:r w:rsidR="006F3965" w:rsidRPr="00271052">
        <w:rPr>
          <w:bCs/>
        </w:rPr>
        <w:t>3</w:t>
      </w:r>
      <w:r w:rsidR="00F653AB" w:rsidRPr="00271052">
        <w:rPr>
          <w:bCs/>
        </w:rPr>
        <w:t>.</w:t>
      </w:r>
      <w:r w:rsidR="00F653AB" w:rsidRPr="00271052">
        <w:rPr>
          <w:bCs/>
        </w:rPr>
        <w:tab/>
      </w:r>
      <w:r w:rsidR="001C3C41" w:rsidRPr="00AE13AD">
        <w:rPr>
          <w:b/>
        </w:rPr>
        <w:t xml:space="preserve">The </w:t>
      </w:r>
      <w:r w:rsidR="005B46E5" w:rsidRPr="00E75B5F">
        <w:rPr>
          <w:b/>
        </w:rPr>
        <w:t>Office of the</w:t>
      </w:r>
      <w:r w:rsidR="00146E6C" w:rsidRPr="00E75B5F">
        <w:rPr>
          <w:b/>
        </w:rPr>
        <w:t xml:space="preserve"> United Nations</w:t>
      </w:r>
      <w:r w:rsidR="005B46E5" w:rsidRPr="00E75B5F">
        <w:rPr>
          <w:b/>
        </w:rPr>
        <w:t xml:space="preserve"> </w:t>
      </w:r>
      <w:r w:rsidR="001C3C41" w:rsidRPr="00E75B5F">
        <w:rPr>
          <w:b/>
        </w:rPr>
        <w:t xml:space="preserve">High Commissioner </w:t>
      </w:r>
      <w:r w:rsidR="00146E6C" w:rsidRPr="00E75B5F">
        <w:rPr>
          <w:b/>
        </w:rPr>
        <w:t>for Human Rights</w:t>
      </w:r>
      <w:r w:rsidR="00146E6C" w:rsidRPr="00146E6C">
        <w:rPr>
          <w:b/>
        </w:rPr>
        <w:t xml:space="preserve"> </w:t>
      </w:r>
      <w:r w:rsidR="001C3C41" w:rsidRPr="00AE13AD">
        <w:rPr>
          <w:b/>
        </w:rPr>
        <w:t xml:space="preserve">recommends that </w:t>
      </w:r>
      <w:r w:rsidR="00062976" w:rsidRPr="00AE13AD">
        <w:rPr>
          <w:b/>
        </w:rPr>
        <w:t>States</w:t>
      </w:r>
      <w:r w:rsidR="00271603" w:rsidRPr="00AE13AD">
        <w:rPr>
          <w:b/>
        </w:rPr>
        <w:t xml:space="preserve"> </w:t>
      </w:r>
      <w:r w:rsidR="00213BCB" w:rsidRPr="00AE13AD">
        <w:rPr>
          <w:b/>
        </w:rPr>
        <w:t xml:space="preserve">work to </w:t>
      </w:r>
      <w:r w:rsidR="00062976" w:rsidRPr="00AE13AD">
        <w:rPr>
          <w:b/>
        </w:rPr>
        <w:t>s</w:t>
      </w:r>
      <w:r w:rsidR="00F653AB" w:rsidRPr="00AE13AD">
        <w:rPr>
          <w:b/>
        </w:rPr>
        <w:t xml:space="preserve">trengthen </w:t>
      </w:r>
      <w:r w:rsidR="00213BCB" w:rsidRPr="00AE13AD">
        <w:rPr>
          <w:b/>
        </w:rPr>
        <w:t xml:space="preserve">and deepen </w:t>
      </w:r>
      <w:r w:rsidR="00F653AB" w:rsidRPr="00AE13AD">
        <w:rPr>
          <w:b/>
        </w:rPr>
        <w:t>the rule of law</w:t>
      </w:r>
      <w:r w:rsidR="00062976" w:rsidRPr="00AE13AD">
        <w:rPr>
          <w:b/>
        </w:rPr>
        <w:t>,</w:t>
      </w:r>
      <w:r w:rsidR="003D147D" w:rsidRPr="00AE13AD">
        <w:rPr>
          <w:b/>
        </w:rPr>
        <w:t xml:space="preserve"> </w:t>
      </w:r>
      <w:r w:rsidR="00213BCB" w:rsidRPr="00AE13AD">
        <w:rPr>
          <w:b/>
        </w:rPr>
        <w:t xml:space="preserve">including </w:t>
      </w:r>
      <w:r w:rsidR="003D147D" w:rsidRPr="00AE13AD">
        <w:rPr>
          <w:b/>
        </w:rPr>
        <w:t>through international cooperation and assistance,</w:t>
      </w:r>
      <w:r w:rsidR="00E73AD8" w:rsidRPr="00AE13AD">
        <w:rPr>
          <w:b/>
        </w:rPr>
        <w:t xml:space="preserve"> </w:t>
      </w:r>
      <w:r w:rsidR="00F732F4">
        <w:rPr>
          <w:b/>
        </w:rPr>
        <w:t>by taking</w:t>
      </w:r>
      <w:r w:rsidR="00213BCB" w:rsidRPr="00AE13AD">
        <w:rPr>
          <w:b/>
        </w:rPr>
        <w:t xml:space="preserve"> measures such as</w:t>
      </w:r>
      <w:r w:rsidR="001F1661" w:rsidRPr="00AE13AD">
        <w:rPr>
          <w:b/>
        </w:rPr>
        <w:t>:</w:t>
      </w:r>
    </w:p>
    <w:p w14:paraId="72C46B97" w14:textId="3639136B" w:rsidR="001C3C41" w:rsidRPr="00AE13AD" w:rsidRDefault="005E2B56" w:rsidP="00054E24">
      <w:pPr>
        <w:pStyle w:val="SingleTxtG"/>
        <w:numPr>
          <w:ilvl w:val="0"/>
          <w:numId w:val="17"/>
        </w:numPr>
        <w:ind w:left="1134" w:firstLine="567"/>
        <w:rPr>
          <w:b/>
        </w:rPr>
      </w:pPr>
      <w:r w:rsidRPr="00AE13AD">
        <w:rPr>
          <w:b/>
        </w:rPr>
        <w:t>Ensuring that legislative framework</w:t>
      </w:r>
      <w:r w:rsidR="00952915" w:rsidRPr="00AE13AD">
        <w:rPr>
          <w:b/>
        </w:rPr>
        <w:t>s</w:t>
      </w:r>
      <w:r w:rsidRPr="00AE13AD">
        <w:rPr>
          <w:b/>
        </w:rPr>
        <w:t xml:space="preserve"> prevent excessive concentration and arbitrary exercise of power, such </w:t>
      </w:r>
      <w:r w:rsidR="00CC015F" w:rsidRPr="00AE13AD">
        <w:rPr>
          <w:b/>
        </w:rPr>
        <w:t xml:space="preserve">as </w:t>
      </w:r>
      <w:r w:rsidRPr="00AE13AD">
        <w:rPr>
          <w:b/>
        </w:rPr>
        <w:t xml:space="preserve">by limiting </w:t>
      </w:r>
      <w:r w:rsidR="00F732F4">
        <w:rPr>
          <w:b/>
        </w:rPr>
        <w:t xml:space="preserve">the </w:t>
      </w:r>
      <w:r w:rsidR="00F653AB" w:rsidRPr="00AE13AD">
        <w:rPr>
          <w:b/>
        </w:rPr>
        <w:t xml:space="preserve">lawmaking </w:t>
      </w:r>
      <w:r w:rsidRPr="00AE13AD">
        <w:rPr>
          <w:b/>
        </w:rPr>
        <w:t xml:space="preserve">and discretionary </w:t>
      </w:r>
      <w:r w:rsidR="00062976" w:rsidRPr="00AE13AD">
        <w:rPr>
          <w:b/>
        </w:rPr>
        <w:t xml:space="preserve">powers </w:t>
      </w:r>
      <w:r w:rsidRPr="00AE13AD">
        <w:rPr>
          <w:b/>
        </w:rPr>
        <w:t xml:space="preserve">of </w:t>
      </w:r>
      <w:r w:rsidR="00062976" w:rsidRPr="00AE13AD">
        <w:rPr>
          <w:b/>
        </w:rPr>
        <w:t>the executive</w:t>
      </w:r>
      <w:r w:rsidRPr="00AE13AD">
        <w:rPr>
          <w:b/>
        </w:rPr>
        <w:t xml:space="preserve"> </w:t>
      </w:r>
      <w:proofErr w:type="gramStart"/>
      <w:r w:rsidRPr="00AE13AD">
        <w:rPr>
          <w:b/>
        </w:rPr>
        <w:t>branch</w:t>
      </w:r>
      <w:r w:rsidR="001C3C41" w:rsidRPr="00AE13AD">
        <w:rPr>
          <w:b/>
        </w:rPr>
        <w:t>;</w:t>
      </w:r>
      <w:proofErr w:type="gramEnd"/>
    </w:p>
    <w:p w14:paraId="5015D63C" w14:textId="46AAC66A" w:rsidR="001C3C41" w:rsidRPr="00AE13AD" w:rsidRDefault="004B0666" w:rsidP="00054E24">
      <w:pPr>
        <w:pStyle w:val="SingleTxtG"/>
        <w:numPr>
          <w:ilvl w:val="0"/>
          <w:numId w:val="17"/>
        </w:numPr>
        <w:ind w:left="1134" w:firstLine="567"/>
        <w:rPr>
          <w:b/>
        </w:rPr>
      </w:pPr>
      <w:r w:rsidRPr="00AE13AD">
        <w:rPr>
          <w:b/>
        </w:rPr>
        <w:t>E</w:t>
      </w:r>
      <w:r w:rsidR="001C3C41" w:rsidRPr="00AE13AD">
        <w:rPr>
          <w:b/>
        </w:rPr>
        <w:t>nsur</w:t>
      </w:r>
      <w:r w:rsidR="005E2B56" w:rsidRPr="00AE13AD">
        <w:rPr>
          <w:b/>
        </w:rPr>
        <w:t>ing</w:t>
      </w:r>
      <w:r w:rsidR="001C3C41" w:rsidRPr="00AE13AD">
        <w:rPr>
          <w:b/>
        </w:rPr>
        <w:t xml:space="preserve"> </w:t>
      </w:r>
      <w:r w:rsidR="00271603" w:rsidRPr="00AE13AD">
        <w:rPr>
          <w:b/>
        </w:rPr>
        <w:t>a</w:t>
      </w:r>
      <w:r w:rsidR="00DE2E41" w:rsidRPr="00AE13AD">
        <w:rPr>
          <w:b/>
        </w:rPr>
        <w:t>ccountability</w:t>
      </w:r>
      <w:r w:rsidR="00062976" w:rsidRPr="00AE13AD">
        <w:rPr>
          <w:b/>
        </w:rPr>
        <w:t xml:space="preserve"> </w:t>
      </w:r>
      <w:r w:rsidR="001C3C41" w:rsidRPr="00AE13AD">
        <w:rPr>
          <w:b/>
        </w:rPr>
        <w:t>in</w:t>
      </w:r>
      <w:r w:rsidR="00062976" w:rsidRPr="00AE13AD">
        <w:rPr>
          <w:b/>
        </w:rPr>
        <w:t xml:space="preserve"> </w:t>
      </w:r>
      <w:r w:rsidR="00A268C9" w:rsidRPr="00AE13AD">
        <w:rPr>
          <w:b/>
        </w:rPr>
        <w:t>the exercise of public powers</w:t>
      </w:r>
      <w:r w:rsidR="001C3C41" w:rsidRPr="00AE13AD">
        <w:rPr>
          <w:b/>
        </w:rPr>
        <w:t>, including through the implementation of internal</w:t>
      </w:r>
      <w:r w:rsidR="005E2B56" w:rsidRPr="00AE13AD">
        <w:rPr>
          <w:b/>
        </w:rPr>
        <w:t xml:space="preserve"> and</w:t>
      </w:r>
      <w:r w:rsidR="001C3C41" w:rsidRPr="00AE13AD">
        <w:rPr>
          <w:b/>
        </w:rPr>
        <w:t xml:space="preserve"> external oversight</w:t>
      </w:r>
      <w:r w:rsidR="005E2B56" w:rsidRPr="00AE13AD">
        <w:rPr>
          <w:b/>
        </w:rPr>
        <w:t xml:space="preserve"> mechanisms</w:t>
      </w:r>
      <w:r w:rsidR="00952915" w:rsidRPr="00AE13AD">
        <w:rPr>
          <w:b/>
        </w:rPr>
        <w:t xml:space="preserve"> and effective remedies available to affected </w:t>
      </w:r>
      <w:proofErr w:type="gramStart"/>
      <w:r w:rsidR="00952915" w:rsidRPr="00AE13AD">
        <w:rPr>
          <w:b/>
        </w:rPr>
        <w:t>individuals</w:t>
      </w:r>
      <w:r w:rsidR="001C3C41" w:rsidRPr="00AE13AD">
        <w:rPr>
          <w:b/>
        </w:rPr>
        <w:t>;</w:t>
      </w:r>
      <w:proofErr w:type="gramEnd"/>
    </w:p>
    <w:p w14:paraId="592458C3" w14:textId="5C9573FD" w:rsidR="001C3C41" w:rsidRPr="00AE13AD" w:rsidRDefault="00F732F4" w:rsidP="00415273">
      <w:pPr>
        <w:pStyle w:val="SingleTxtG"/>
        <w:numPr>
          <w:ilvl w:val="0"/>
          <w:numId w:val="17"/>
        </w:numPr>
        <w:ind w:left="1134" w:firstLine="567"/>
        <w:rPr>
          <w:b/>
        </w:rPr>
      </w:pPr>
      <w:r>
        <w:rPr>
          <w:b/>
        </w:rPr>
        <w:t>G</w:t>
      </w:r>
      <w:r w:rsidR="00271603" w:rsidRPr="00AE13AD">
        <w:rPr>
          <w:b/>
        </w:rPr>
        <w:t>uarantee</w:t>
      </w:r>
      <w:r>
        <w:rPr>
          <w:b/>
        </w:rPr>
        <w:t>ing</w:t>
      </w:r>
      <w:r w:rsidR="00271603" w:rsidRPr="00AE13AD">
        <w:rPr>
          <w:b/>
        </w:rPr>
        <w:t xml:space="preserve"> </w:t>
      </w:r>
      <w:r w:rsidR="00DE2E41" w:rsidRPr="00AE13AD">
        <w:rPr>
          <w:b/>
        </w:rPr>
        <w:t>open and transparent public institutions</w:t>
      </w:r>
      <w:r w:rsidR="004B0666" w:rsidRPr="00AE13AD">
        <w:rPr>
          <w:b/>
        </w:rPr>
        <w:t xml:space="preserve"> </w:t>
      </w:r>
      <w:r>
        <w:rPr>
          <w:b/>
        </w:rPr>
        <w:t xml:space="preserve">in order </w:t>
      </w:r>
      <w:r w:rsidR="004B0666" w:rsidRPr="00AE13AD">
        <w:rPr>
          <w:b/>
        </w:rPr>
        <w:t xml:space="preserve">to facilitate external oversight and access to </w:t>
      </w:r>
      <w:proofErr w:type="gramStart"/>
      <w:r w:rsidR="004B0666" w:rsidRPr="00AE13AD">
        <w:rPr>
          <w:b/>
        </w:rPr>
        <w:t>information</w:t>
      </w:r>
      <w:r w:rsidR="001C3C41" w:rsidRPr="00AE13AD">
        <w:rPr>
          <w:b/>
        </w:rPr>
        <w:t>;</w:t>
      </w:r>
      <w:proofErr w:type="gramEnd"/>
    </w:p>
    <w:p w14:paraId="4EE0087D" w14:textId="6C8F9FCD" w:rsidR="001C3C41" w:rsidRPr="00AE13AD" w:rsidRDefault="004B0666" w:rsidP="00693186">
      <w:pPr>
        <w:pStyle w:val="SingleTxtG"/>
        <w:numPr>
          <w:ilvl w:val="0"/>
          <w:numId w:val="17"/>
        </w:numPr>
        <w:ind w:left="1134" w:firstLine="567"/>
        <w:rPr>
          <w:b/>
        </w:rPr>
      </w:pPr>
      <w:r w:rsidRPr="00AE13AD">
        <w:rPr>
          <w:b/>
        </w:rPr>
        <w:t>A</w:t>
      </w:r>
      <w:r w:rsidR="001C3C41" w:rsidRPr="00AE13AD">
        <w:rPr>
          <w:b/>
        </w:rPr>
        <w:t xml:space="preserve">dopting </w:t>
      </w:r>
      <w:r w:rsidR="00A268C9" w:rsidRPr="00AE13AD">
        <w:rPr>
          <w:b/>
        </w:rPr>
        <w:t>a p</w:t>
      </w:r>
      <w:r w:rsidR="00F653AB" w:rsidRPr="00AE13AD">
        <w:rPr>
          <w:b/>
        </w:rPr>
        <w:t>articipatory approach to public decision-making</w:t>
      </w:r>
      <w:r w:rsidR="00345F40" w:rsidRPr="00AE13AD">
        <w:rPr>
          <w:b/>
        </w:rPr>
        <w:t xml:space="preserve">, including </w:t>
      </w:r>
      <w:r w:rsidR="006F112D">
        <w:rPr>
          <w:b/>
        </w:rPr>
        <w:t>with respect to</w:t>
      </w:r>
      <w:r w:rsidR="00345F40" w:rsidRPr="00AE13AD">
        <w:rPr>
          <w:b/>
        </w:rPr>
        <w:t xml:space="preserve"> women and youth</w:t>
      </w:r>
      <w:r w:rsidR="00271603" w:rsidRPr="00AE13AD">
        <w:rPr>
          <w:b/>
        </w:rPr>
        <w:t xml:space="preserve">, </w:t>
      </w:r>
      <w:r w:rsidRPr="00AE13AD">
        <w:rPr>
          <w:b/>
        </w:rPr>
        <w:t>and respect</w:t>
      </w:r>
      <w:r w:rsidR="005E2B56" w:rsidRPr="00AE13AD">
        <w:rPr>
          <w:b/>
        </w:rPr>
        <w:t>ing</w:t>
      </w:r>
      <w:r w:rsidRPr="00AE13AD">
        <w:rPr>
          <w:b/>
        </w:rPr>
        <w:t xml:space="preserve"> and protect</w:t>
      </w:r>
      <w:r w:rsidR="005E2B56" w:rsidRPr="00AE13AD">
        <w:rPr>
          <w:b/>
        </w:rPr>
        <w:t>ing</w:t>
      </w:r>
      <w:r w:rsidRPr="00AE13AD">
        <w:rPr>
          <w:b/>
        </w:rPr>
        <w:t xml:space="preserve"> </w:t>
      </w:r>
      <w:r w:rsidR="00431517" w:rsidRPr="00AE13AD">
        <w:rPr>
          <w:b/>
        </w:rPr>
        <w:t xml:space="preserve">the rights to freedom of expression, peaceful assembly, association and </w:t>
      </w:r>
      <w:r w:rsidR="00D169D6" w:rsidRPr="00AE13AD">
        <w:rPr>
          <w:b/>
        </w:rPr>
        <w:t xml:space="preserve">meaningful </w:t>
      </w:r>
      <w:r w:rsidR="00431517" w:rsidRPr="00AE13AD">
        <w:rPr>
          <w:b/>
        </w:rPr>
        <w:t xml:space="preserve">participation </w:t>
      </w:r>
      <w:r w:rsidR="00D169D6" w:rsidRPr="00AE13AD">
        <w:rPr>
          <w:b/>
        </w:rPr>
        <w:t xml:space="preserve">across societies at large </w:t>
      </w:r>
      <w:r w:rsidR="00431517" w:rsidRPr="00AE13AD">
        <w:rPr>
          <w:b/>
        </w:rPr>
        <w:t xml:space="preserve">in the conduct of public </w:t>
      </w:r>
      <w:proofErr w:type="gramStart"/>
      <w:r w:rsidR="00431517" w:rsidRPr="00AE13AD">
        <w:rPr>
          <w:b/>
        </w:rPr>
        <w:t>affairs</w:t>
      </w:r>
      <w:r w:rsidR="001C3C41" w:rsidRPr="00AE13AD">
        <w:rPr>
          <w:b/>
        </w:rPr>
        <w:t>;</w:t>
      </w:r>
      <w:proofErr w:type="gramEnd"/>
    </w:p>
    <w:p w14:paraId="364A32F2" w14:textId="5CF27514" w:rsidR="009118A6" w:rsidRPr="00AE13AD" w:rsidRDefault="00431517" w:rsidP="00693186">
      <w:pPr>
        <w:pStyle w:val="SingleTxtG"/>
        <w:numPr>
          <w:ilvl w:val="0"/>
          <w:numId w:val="17"/>
        </w:numPr>
        <w:ind w:left="1134" w:firstLine="567"/>
        <w:rPr>
          <w:b/>
        </w:rPr>
      </w:pPr>
      <w:r w:rsidRPr="00AE13AD">
        <w:rPr>
          <w:b/>
        </w:rPr>
        <w:t xml:space="preserve">Ensuring </w:t>
      </w:r>
      <w:r w:rsidR="004B0666" w:rsidRPr="00AE13AD">
        <w:rPr>
          <w:b/>
        </w:rPr>
        <w:t>access to justice</w:t>
      </w:r>
      <w:proofErr w:type="gramStart"/>
      <w:r w:rsidR="004B0666" w:rsidRPr="00AE13AD">
        <w:rPr>
          <w:b/>
        </w:rPr>
        <w:t>, in particular, by</w:t>
      </w:r>
      <w:proofErr w:type="gramEnd"/>
      <w:r w:rsidR="004B0666" w:rsidRPr="00AE13AD">
        <w:rPr>
          <w:b/>
        </w:rPr>
        <w:t xml:space="preserve"> </w:t>
      </w:r>
      <w:r w:rsidRPr="00AE13AD">
        <w:rPr>
          <w:b/>
        </w:rPr>
        <w:t>identifying the</w:t>
      </w:r>
      <w:r w:rsidR="004B0666" w:rsidRPr="00AE13AD">
        <w:rPr>
          <w:b/>
        </w:rPr>
        <w:t xml:space="preserve"> justice needs of the population</w:t>
      </w:r>
      <w:r w:rsidRPr="00AE13AD">
        <w:rPr>
          <w:b/>
        </w:rPr>
        <w:t xml:space="preserve"> and taking </w:t>
      </w:r>
      <w:r w:rsidR="00BE0DA2">
        <w:rPr>
          <w:b/>
        </w:rPr>
        <w:t>the steps</w:t>
      </w:r>
      <w:r w:rsidRPr="00AE13AD">
        <w:rPr>
          <w:b/>
        </w:rPr>
        <w:t xml:space="preserve"> necessary to ensure the accessibility of dispute settlement mechanisms</w:t>
      </w:r>
      <w:r w:rsidR="00616EBA" w:rsidRPr="00AE13AD">
        <w:rPr>
          <w:b/>
        </w:rPr>
        <w:t>.</w:t>
      </w:r>
    </w:p>
    <w:p w14:paraId="44481671" w14:textId="15A6DAD7" w:rsidR="004B0666" w:rsidRPr="00AE13AD" w:rsidRDefault="00E8312B" w:rsidP="004B0666">
      <w:pPr>
        <w:pStyle w:val="SingleTxtG"/>
        <w:rPr>
          <w:b/>
        </w:rPr>
      </w:pPr>
      <w:r w:rsidRPr="00271052">
        <w:rPr>
          <w:bCs/>
        </w:rPr>
        <w:t>5</w:t>
      </w:r>
      <w:r w:rsidR="006F3965" w:rsidRPr="00271052">
        <w:rPr>
          <w:bCs/>
        </w:rPr>
        <w:t>4</w:t>
      </w:r>
      <w:r w:rsidR="00062976" w:rsidRPr="00271052">
        <w:rPr>
          <w:bCs/>
        </w:rPr>
        <w:t>.</w:t>
      </w:r>
      <w:r w:rsidR="00062976" w:rsidRPr="00AE13AD">
        <w:rPr>
          <w:b/>
        </w:rPr>
        <w:tab/>
      </w:r>
      <w:r w:rsidR="009118A6" w:rsidRPr="00AE13AD">
        <w:rPr>
          <w:b/>
        </w:rPr>
        <w:t xml:space="preserve">In addition, </w:t>
      </w:r>
      <w:r w:rsidR="00E73AD8" w:rsidRPr="00AE13AD">
        <w:rPr>
          <w:b/>
        </w:rPr>
        <w:t xml:space="preserve">States should adopt </w:t>
      </w:r>
      <w:r w:rsidR="009118A6" w:rsidRPr="00AE13AD">
        <w:rPr>
          <w:b/>
        </w:rPr>
        <w:t>measures to strengthen</w:t>
      </w:r>
      <w:r w:rsidR="00E73AD8" w:rsidRPr="00AE13AD">
        <w:rPr>
          <w:b/>
        </w:rPr>
        <w:t xml:space="preserve"> </w:t>
      </w:r>
      <w:r w:rsidR="00F653AB" w:rsidRPr="00AE13AD">
        <w:rPr>
          <w:b/>
        </w:rPr>
        <w:t>public institutions</w:t>
      </w:r>
      <w:r w:rsidR="009118A6" w:rsidRPr="00AE13AD">
        <w:rPr>
          <w:b/>
        </w:rPr>
        <w:t xml:space="preserve"> </w:t>
      </w:r>
      <w:r w:rsidR="00E73AD8" w:rsidRPr="00AE13AD">
        <w:rPr>
          <w:b/>
        </w:rPr>
        <w:t xml:space="preserve">to facilitate their role in preventing </w:t>
      </w:r>
      <w:r w:rsidR="009118A6" w:rsidRPr="00AE13AD">
        <w:rPr>
          <w:b/>
        </w:rPr>
        <w:t>human rights violations and abuses</w:t>
      </w:r>
      <w:proofErr w:type="gramStart"/>
      <w:r w:rsidR="00271603" w:rsidRPr="00AE13AD">
        <w:rPr>
          <w:b/>
        </w:rPr>
        <w:t>, in particular,</w:t>
      </w:r>
      <w:r w:rsidR="00F653AB" w:rsidRPr="00AE13AD">
        <w:rPr>
          <w:b/>
        </w:rPr>
        <w:t xml:space="preserve"> </w:t>
      </w:r>
      <w:r w:rsidR="00271603" w:rsidRPr="00AE13AD">
        <w:rPr>
          <w:b/>
        </w:rPr>
        <w:t>b</w:t>
      </w:r>
      <w:r w:rsidR="004B0666" w:rsidRPr="00AE13AD">
        <w:rPr>
          <w:b/>
        </w:rPr>
        <w:t>y</w:t>
      </w:r>
      <w:proofErr w:type="gramEnd"/>
      <w:r w:rsidR="004B0666" w:rsidRPr="00AE13AD">
        <w:rPr>
          <w:b/>
        </w:rPr>
        <w:t>:</w:t>
      </w:r>
    </w:p>
    <w:p w14:paraId="272EB116" w14:textId="13BC329E" w:rsidR="00F7387B" w:rsidRPr="00AE13AD" w:rsidRDefault="00F7387B" w:rsidP="00B1334F">
      <w:pPr>
        <w:pStyle w:val="SingleTxtG"/>
        <w:numPr>
          <w:ilvl w:val="0"/>
          <w:numId w:val="18"/>
        </w:numPr>
        <w:ind w:left="1134" w:firstLine="567"/>
        <w:rPr>
          <w:b/>
        </w:rPr>
      </w:pPr>
      <w:r w:rsidRPr="00AE13AD">
        <w:rPr>
          <w:b/>
        </w:rPr>
        <w:t>E</w:t>
      </w:r>
      <w:r w:rsidR="00271603" w:rsidRPr="00AE13AD">
        <w:rPr>
          <w:b/>
        </w:rPr>
        <w:t xml:space="preserve">nsuring </w:t>
      </w:r>
      <w:r w:rsidR="00A268C9" w:rsidRPr="00AE13AD">
        <w:rPr>
          <w:b/>
        </w:rPr>
        <w:t xml:space="preserve">that oversight </w:t>
      </w:r>
      <w:r w:rsidR="00271603" w:rsidRPr="00AE13AD">
        <w:rPr>
          <w:b/>
        </w:rPr>
        <w:t>institutions</w:t>
      </w:r>
      <w:r w:rsidR="00A268C9" w:rsidRPr="00AE13AD">
        <w:rPr>
          <w:b/>
        </w:rPr>
        <w:t xml:space="preserve"> have an adequate</w:t>
      </w:r>
      <w:r w:rsidR="00062976" w:rsidRPr="00AE13AD">
        <w:rPr>
          <w:b/>
        </w:rPr>
        <w:t xml:space="preserve"> legal basis</w:t>
      </w:r>
      <w:r w:rsidR="00A268C9" w:rsidRPr="00AE13AD">
        <w:rPr>
          <w:b/>
        </w:rPr>
        <w:t xml:space="preserve"> and resources to guarantee their </w:t>
      </w:r>
      <w:r w:rsidR="004B0666" w:rsidRPr="00AE13AD">
        <w:rPr>
          <w:b/>
        </w:rPr>
        <w:t xml:space="preserve">functioning and </w:t>
      </w:r>
      <w:proofErr w:type="gramStart"/>
      <w:r w:rsidR="00A268C9" w:rsidRPr="00AE13AD">
        <w:rPr>
          <w:b/>
        </w:rPr>
        <w:t>independence</w:t>
      </w:r>
      <w:r w:rsidR="004B0666" w:rsidRPr="00AE13AD">
        <w:rPr>
          <w:b/>
        </w:rPr>
        <w:t>;</w:t>
      </w:r>
      <w:proofErr w:type="gramEnd"/>
    </w:p>
    <w:p w14:paraId="4A4AE9CD" w14:textId="6F2AA606" w:rsidR="00F7387B" w:rsidRPr="00AE13AD" w:rsidRDefault="004B0666" w:rsidP="00B1334F">
      <w:pPr>
        <w:pStyle w:val="SingleTxtG"/>
        <w:numPr>
          <w:ilvl w:val="0"/>
          <w:numId w:val="18"/>
        </w:numPr>
        <w:ind w:left="1134" w:firstLine="567"/>
        <w:rPr>
          <w:b/>
        </w:rPr>
      </w:pPr>
      <w:r w:rsidRPr="00AE13AD">
        <w:rPr>
          <w:b/>
        </w:rPr>
        <w:t xml:space="preserve">Ensuring the </w:t>
      </w:r>
      <w:r w:rsidR="00431517" w:rsidRPr="00AE13AD">
        <w:rPr>
          <w:b/>
        </w:rPr>
        <w:t>i</w:t>
      </w:r>
      <w:r w:rsidR="00062976" w:rsidRPr="00AE13AD">
        <w:rPr>
          <w:b/>
        </w:rPr>
        <w:t>ndependence, impartiality and integrity of the judiciary, including</w:t>
      </w:r>
      <w:r w:rsidR="00E26445" w:rsidRPr="00AE13AD">
        <w:rPr>
          <w:b/>
        </w:rPr>
        <w:t xml:space="preserve"> by</w:t>
      </w:r>
      <w:r w:rsidR="00062976" w:rsidRPr="00AE13AD">
        <w:rPr>
          <w:b/>
        </w:rPr>
        <w:t xml:space="preserve"> </w:t>
      </w:r>
      <w:r w:rsidR="00431517" w:rsidRPr="00AE13AD">
        <w:rPr>
          <w:b/>
        </w:rPr>
        <w:t xml:space="preserve">taking </w:t>
      </w:r>
      <w:r w:rsidR="006355D5">
        <w:rPr>
          <w:b/>
        </w:rPr>
        <w:t>steps</w:t>
      </w:r>
      <w:r w:rsidR="006355D5" w:rsidRPr="00AE13AD">
        <w:rPr>
          <w:b/>
        </w:rPr>
        <w:t xml:space="preserve"> </w:t>
      </w:r>
      <w:r w:rsidR="00431517" w:rsidRPr="00AE13AD">
        <w:rPr>
          <w:b/>
        </w:rPr>
        <w:t xml:space="preserve">to prevent, in law and in </w:t>
      </w:r>
      <w:r w:rsidR="006355D5">
        <w:rPr>
          <w:b/>
        </w:rPr>
        <w:t>practice</w:t>
      </w:r>
      <w:r w:rsidR="00431517" w:rsidRPr="00AE13AD">
        <w:rPr>
          <w:b/>
        </w:rPr>
        <w:t xml:space="preserve">, interference in the judiciary by </w:t>
      </w:r>
      <w:r w:rsidRPr="00AE13AD">
        <w:rPr>
          <w:b/>
        </w:rPr>
        <w:t xml:space="preserve">other branches of government, </w:t>
      </w:r>
      <w:r w:rsidR="00431517" w:rsidRPr="00AE13AD">
        <w:rPr>
          <w:b/>
        </w:rPr>
        <w:t>promoting the</w:t>
      </w:r>
      <w:r w:rsidRPr="00AE13AD">
        <w:rPr>
          <w:b/>
        </w:rPr>
        <w:t xml:space="preserve"> independence of the bar and </w:t>
      </w:r>
      <w:r w:rsidR="00431517" w:rsidRPr="00AE13AD">
        <w:rPr>
          <w:b/>
        </w:rPr>
        <w:t xml:space="preserve">guaranteeing the </w:t>
      </w:r>
      <w:r w:rsidRPr="00AE13AD">
        <w:rPr>
          <w:b/>
        </w:rPr>
        <w:t xml:space="preserve">autonomy of prosecution </w:t>
      </w:r>
      <w:proofErr w:type="gramStart"/>
      <w:r w:rsidRPr="00AE13AD">
        <w:rPr>
          <w:b/>
        </w:rPr>
        <w:t>services;</w:t>
      </w:r>
      <w:proofErr w:type="gramEnd"/>
    </w:p>
    <w:p w14:paraId="3EE3BB8B" w14:textId="1CBB57C5" w:rsidR="001C3C41" w:rsidRPr="00AE13AD" w:rsidRDefault="006355D5" w:rsidP="00B1334F">
      <w:pPr>
        <w:pStyle w:val="SingleTxtG"/>
        <w:numPr>
          <w:ilvl w:val="0"/>
          <w:numId w:val="18"/>
        </w:numPr>
        <w:ind w:left="1134" w:firstLine="567"/>
        <w:rPr>
          <w:b/>
        </w:rPr>
      </w:pPr>
      <w:r>
        <w:rPr>
          <w:b/>
        </w:rPr>
        <w:t>Foster</w:t>
      </w:r>
      <w:r w:rsidR="00BE0DA2">
        <w:rPr>
          <w:b/>
        </w:rPr>
        <w:t>ing</w:t>
      </w:r>
      <w:r w:rsidR="004B0666" w:rsidRPr="00AE13AD">
        <w:rPr>
          <w:b/>
        </w:rPr>
        <w:t xml:space="preserve"> a p</w:t>
      </w:r>
      <w:r w:rsidR="001C3C41" w:rsidRPr="00AE13AD">
        <w:rPr>
          <w:b/>
        </w:rPr>
        <w:t>rofessional and accountable security sector</w:t>
      </w:r>
      <w:r w:rsidR="00431517" w:rsidRPr="00AE13AD">
        <w:rPr>
          <w:b/>
        </w:rPr>
        <w:t xml:space="preserve">, including by promoting clear and effective lines of command, </w:t>
      </w:r>
      <w:proofErr w:type="gramStart"/>
      <w:r w:rsidR="00431517" w:rsidRPr="00AE13AD">
        <w:rPr>
          <w:b/>
        </w:rPr>
        <w:t>control</w:t>
      </w:r>
      <w:proofErr w:type="gramEnd"/>
      <w:r w:rsidR="00431517" w:rsidRPr="00AE13AD">
        <w:rPr>
          <w:b/>
        </w:rPr>
        <w:t xml:space="preserve"> and responsibility, reviewing recruitment, selection </w:t>
      </w:r>
      <w:r>
        <w:rPr>
          <w:b/>
        </w:rPr>
        <w:t xml:space="preserve">and </w:t>
      </w:r>
      <w:r w:rsidR="00431517" w:rsidRPr="00AE13AD">
        <w:rPr>
          <w:b/>
        </w:rPr>
        <w:t>promotion</w:t>
      </w:r>
      <w:r w:rsidR="00C32B5F" w:rsidRPr="00AE13AD">
        <w:rPr>
          <w:b/>
        </w:rPr>
        <w:t xml:space="preserve"> policies, promoting regular </w:t>
      </w:r>
      <w:r w:rsidR="00015224" w:rsidRPr="00AE13AD">
        <w:rPr>
          <w:b/>
        </w:rPr>
        <w:t xml:space="preserve">training and testing on international </w:t>
      </w:r>
      <w:r w:rsidR="00C32B5F" w:rsidRPr="00AE13AD">
        <w:rPr>
          <w:b/>
        </w:rPr>
        <w:t xml:space="preserve">human rights and humanitarian law, and ensuring that </w:t>
      </w:r>
      <w:r w:rsidR="00431517" w:rsidRPr="00AE13AD">
        <w:rPr>
          <w:b/>
        </w:rPr>
        <w:t>internal and external oversight mechanisms</w:t>
      </w:r>
      <w:r w:rsidR="00C32B5F" w:rsidRPr="00AE13AD">
        <w:rPr>
          <w:b/>
        </w:rPr>
        <w:t xml:space="preserve"> are able to effectively</w:t>
      </w:r>
      <w:r w:rsidR="00431517" w:rsidRPr="00AE13AD">
        <w:rPr>
          <w:b/>
        </w:rPr>
        <w:t xml:space="preserve"> address misconduct.</w:t>
      </w:r>
    </w:p>
    <w:p w14:paraId="3A80DD90" w14:textId="183B1086" w:rsidR="00C86D31" w:rsidRPr="00AE13AD" w:rsidRDefault="00E8312B" w:rsidP="004A3693">
      <w:pPr>
        <w:pStyle w:val="SingleTxtG"/>
        <w:rPr>
          <w:b/>
        </w:rPr>
      </w:pPr>
      <w:r w:rsidRPr="00271052">
        <w:rPr>
          <w:bCs/>
        </w:rPr>
        <w:t>5</w:t>
      </w:r>
      <w:r w:rsidR="006F3965" w:rsidRPr="00271052">
        <w:rPr>
          <w:bCs/>
        </w:rPr>
        <w:t>5</w:t>
      </w:r>
      <w:r w:rsidR="00C86D31" w:rsidRPr="00271052">
        <w:rPr>
          <w:bCs/>
        </w:rPr>
        <w:t>.</w:t>
      </w:r>
      <w:r w:rsidR="00C86D31" w:rsidRPr="00AE13AD">
        <w:rPr>
          <w:b/>
        </w:rPr>
        <w:tab/>
      </w:r>
      <w:r w:rsidR="00E26445" w:rsidRPr="00AE13AD">
        <w:rPr>
          <w:b/>
        </w:rPr>
        <w:t xml:space="preserve">To strengthen </w:t>
      </w:r>
      <w:r w:rsidR="00B13537">
        <w:rPr>
          <w:b/>
        </w:rPr>
        <w:t xml:space="preserve">the </w:t>
      </w:r>
      <w:r w:rsidR="00E26445" w:rsidRPr="00AE13AD">
        <w:rPr>
          <w:b/>
        </w:rPr>
        <w:t xml:space="preserve">rule of law at the </w:t>
      </w:r>
      <w:r w:rsidR="00C86D31" w:rsidRPr="00AE13AD">
        <w:rPr>
          <w:b/>
        </w:rPr>
        <w:t xml:space="preserve">international level, </w:t>
      </w:r>
      <w:r w:rsidR="001C3C41" w:rsidRPr="00E75B5F">
        <w:rPr>
          <w:b/>
        </w:rPr>
        <w:t xml:space="preserve">the </w:t>
      </w:r>
      <w:r w:rsidR="00146E6C" w:rsidRPr="00E75B5F">
        <w:rPr>
          <w:b/>
        </w:rPr>
        <w:t xml:space="preserve">Office of the </w:t>
      </w:r>
      <w:r w:rsidR="001C3C41" w:rsidRPr="00E75B5F">
        <w:rPr>
          <w:b/>
        </w:rPr>
        <w:t>High</w:t>
      </w:r>
      <w:r w:rsidR="001C3C41" w:rsidRPr="00AE13AD">
        <w:rPr>
          <w:b/>
        </w:rPr>
        <w:t xml:space="preserve"> Commissioner recommends that </w:t>
      </w:r>
      <w:r w:rsidR="00F653AB" w:rsidRPr="00AE13AD">
        <w:rPr>
          <w:b/>
        </w:rPr>
        <w:t>States:</w:t>
      </w:r>
    </w:p>
    <w:p w14:paraId="42C4A2F4" w14:textId="65F10C1C" w:rsidR="00F7387B" w:rsidRPr="00AE13AD" w:rsidRDefault="007B6B79" w:rsidP="00B1334F">
      <w:pPr>
        <w:pStyle w:val="SingleTxtG"/>
        <w:numPr>
          <w:ilvl w:val="0"/>
          <w:numId w:val="19"/>
        </w:numPr>
        <w:ind w:left="1134" w:firstLine="567"/>
        <w:rPr>
          <w:b/>
        </w:rPr>
      </w:pPr>
      <w:r>
        <w:rPr>
          <w:b/>
        </w:rPr>
        <w:t>R</w:t>
      </w:r>
      <w:r w:rsidR="00F653AB" w:rsidRPr="00AE13AD">
        <w:rPr>
          <w:b/>
        </w:rPr>
        <w:t>atify</w:t>
      </w:r>
      <w:r w:rsidR="006F0C45" w:rsidRPr="00AE13AD">
        <w:rPr>
          <w:b/>
        </w:rPr>
        <w:t xml:space="preserve"> or accede to</w:t>
      </w:r>
      <w:r w:rsidR="00F653AB" w:rsidRPr="00AE13AD">
        <w:rPr>
          <w:b/>
        </w:rPr>
        <w:t xml:space="preserve"> the core</w:t>
      </w:r>
      <w:r w:rsidR="00E26445" w:rsidRPr="00AE13AD">
        <w:rPr>
          <w:b/>
        </w:rPr>
        <w:t xml:space="preserve"> U</w:t>
      </w:r>
      <w:r w:rsidR="0089311D">
        <w:rPr>
          <w:b/>
        </w:rPr>
        <w:t xml:space="preserve">nited </w:t>
      </w:r>
      <w:r w:rsidR="00E26445" w:rsidRPr="00AE13AD">
        <w:rPr>
          <w:b/>
        </w:rPr>
        <w:t>N</w:t>
      </w:r>
      <w:r w:rsidR="0089311D">
        <w:rPr>
          <w:b/>
        </w:rPr>
        <w:t>ations</w:t>
      </w:r>
      <w:r w:rsidR="005D0B05" w:rsidRPr="00AE13AD">
        <w:rPr>
          <w:b/>
        </w:rPr>
        <w:t xml:space="preserve"> human rights treaties</w:t>
      </w:r>
      <w:r w:rsidR="00F653AB" w:rsidRPr="00AE13AD">
        <w:rPr>
          <w:b/>
        </w:rPr>
        <w:t xml:space="preserve"> and grant jurisdiction for</w:t>
      </w:r>
      <w:r w:rsidR="00095E30" w:rsidRPr="00AE13AD">
        <w:rPr>
          <w:b/>
        </w:rPr>
        <w:t xml:space="preserve"> U</w:t>
      </w:r>
      <w:r w:rsidR="0089311D">
        <w:rPr>
          <w:b/>
        </w:rPr>
        <w:t xml:space="preserve">nited </w:t>
      </w:r>
      <w:r w:rsidR="00095E30" w:rsidRPr="00AE13AD">
        <w:rPr>
          <w:b/>
        </w:rPr>
        <w:t>N</w:t>
      </w:r>
      <w:r w:rsidR="0089311D">
        <w:rPr>
          <w:b/>
        </w:rPr>
        <w:t>ations</w:t>
      </w:r>
      <w:r w:rsidR="00095E30" w:rsidRPr="00AE13AD">
        <w:rPr>
          <w:b/>
        </w:rPr>
        <w:t xml:space="preserve"> human rights treat</w:t>
      </w:r>
      <w:r w:rsidR="006355D5">
        <w:rPr>
          <w:b/>
        </w:rPr>
        <w:t>y</w:t>
      </w:r>
      <w:r w:rsidR="00095E30" w:rsidRPr="00AE13AD">
        <w:rPr>
          <w:b/>
        </w:rPr>
        <w:t xml:space="preserve"> bodies and other</w:t>
      </w:r>
      <w:r w:rsidR="00F653AB" w:rsidRPr="00AE13AD">
        <w:rPr>
          <w:b/>
        </w:rPr>
        <w:t xml:space="preserve"> international human rights mechanisms to hear complaints by individuals</w:t>
      </w:r>
      <w:r w:rsidR="00095E30" w:rsidRPr="00AE13AD">
        <w:rPr>
          <w:b/>
        </w:rPr>
        <w:t xml:space="preserve"> and </w:t>
      </w:r>
      <w:proofErr w:type="gramStart"/>
      <w:r w:rsidR="00095E30" w:rsidRPr="00AE13AD">
        <w:rPr>
          <w:b/>
        </w:rPr>
        <w:t>States</w:t>
      </w:r>
      <w:r w:rsidR="00201D25" w:rsidRPr="00AE13AD">
        <w:rPr>
          <w:b/>
        </w:rPr>
        <w:t>;</w:t>
      </w:r>
      <w:proofErr w:type="gramEnd"/>
    </w:p>
    <w:p w14:paraId="2322EA2A" w14:textId="6158F216" w:rsidR="00F7387B" w:rsidRPr="00AE13AD" w:rsidRDefault="00472002" w:rsidP="00B1334F">
      <w:pPr>
        <w:pStyle w:val="SingleTxtG"/>
        <w:numPr>
          <w:ilvl w:val="0"/>
          <w:numId w:val="19"/>
        </w:numPr>
        <w:ind w:left="1134" w:firstLine="567"/>
        <w:rPr>
          <w:b/>
        </w:rPr>
      </w:pPr>
      <w:r w:rsidRPr="00AE13AD">
        <w:rPr>
          <w:b/>
        </w:rPr>
        <w:t xml:space="preserve">Accept </w:t>
      </w:r>
      <w:r w:rsidR="00F653AB" w:rsidRPr="00AE13AD">
        <w:rPr>
          <w:b/>
        </w:rPr>
        <w:t>compulsory jurisdiction</w:t>
      </w:r>
      <w:r w:rsidR="00345F40" w:rsidRPr="00AE13AD">
        <w:rPr>
          <w:b/>
        </w:rPr>
        <w:t xml:space="preserve"> of the International Court of Justice and </w:t>
      </w:r>
      <w:r w:rsidR="00F653AB" w:rsidRPr="00AE13AD">
        <w:rPr>
          <w:b/>
        </w:rPr>
        <w:t xml:space="preserve">other international dispute settlement mechanisms </w:t>
      </w:r>
      <w:r w:rsidR="00E26445" w:rsidRPr="00AE13AD">
        <w:rPr>
          <w:b/>
        </w:rPr>
        <w:t>that</w:t>
      </w:r>
      <w:r w:rsidR="00F653AB" w:rsidRPr="00AE13AD">
        <w:rPr>
          <w:b/>
        </w:rPr>
        <w:t xml:space="preserve"> may consider</w:t>
      </w:r>
      <w:r w:rsidR="00522CDF" w:rsidRPr="00AE13AD">
        <w:rPr>
          <w:b/>
        </w:rPr>
        <w:t xml:space="preserve"> inter-State</w:t>
      </w:r>
      <w:r w:rsidR="00F653AB" w:rsidRPr="00AE13AD">
        <w:rPr>
          <w:b/>
        </w:rPr>
        <w:t xml:space="preserve"> disputes relating to human rights violations or </w:t>
      </w:r>
      <w:proofErr w:type="gramStart"/>
      <w:r w:rsidR="00F653AB" w:rsidRPr="00AE13AD">
        <w:rPr>
          <w:b/>
        </w:rPr>
        <w:t>abuses</w:t>
      </w:r>
      <w:r w:rsidR="00201D25" w:rsidRPr="00AE13AD">
        <w:rPr>
          <w:b/>
        </w:rPr>
        <w:t>;</w:t>
      </w:r>
      <w:proofErr w:type="gramEnd"/>
    </w:p>
    <w:p w14:paraId="1560CEF8" w14:textId="604618DD" w:rsidR="00846A33" w:rsidRPr="00AE13AD" w:rsidRDefault="00472002" w:rsidP="00B1334F">
      <w:pPr>
        <w:pStyle w:val="SingleTxtG"/>
        <w:numPr>
          <w:ilvl w:val="0"/>
          <w:numId w:val="19"/>
        </w:numPr>
        <w:ind w:left="1134" w:firstLine="567"/>
        <w:rPr>
          <w:b/>
        </w:rPr>
      </w:pPr>
      <w:r w:rsidRPr="00AE13AD">
        <w:rPr>
          <w:b/>
        </w:rPr>
        <w:t>Promptly i</w:t>
      </w:r>
      <w:r w:rsidR="009118A6" w:rsidRPr="00AE13AD">
        <w:rPr>
          <w:b/>
        </w:rPr>
        <w:t xml:space="preserve">mplement </w:t>
      </w:r>
      <w:r w:rsidR="00F653AB" w:rsidRPr="00AE13AD">
        <w:rPr>
          <w:b/>
        </w:rPr>
        <w:t>judgments</w:t>
      </w:r>
      <w:r w:rsidR="009118A6" w:rsidRPr="00AE13AD">
        <w:rPr>
          <w:b/>
        </w:rPr>
        <w:t>,</w:t>
      </w:r>
      <w:r w:rsidR="00F653AB" w:rsidRPr="00AE13AD">
        <w:rPr>
          <w:b/>
        </w:rPr>
        <w:t xml:space="preserve"> decisions </w:t>
      </w:r>
      <w:r w:rsidR="009118A6" w:rsidRPr="00AE13AD">
        <w:rPr>
          <w:b/>
        </w:rPr>
        <w:t xml:space="preserve">and views </w:t>
      </w:r>
      <w:r w:rsidR="00F653AB" w:rsidRPr="00AE13AD">
        <w:rPr>
          <w:b/>
        </w:rPr>
        <w:t>rendered by international dispute</w:t>
      </w:r>
      <w:r w:rsidR="00522CDF" w:rsidRPr="00AE13AD">
        <w:rPr>
          <w:b/>
        </w:rPr>
        <w:t xml:space="preserve"> </w:t>
      </w:r>
      <w:r w:rsidR="00F653AB" w:rsidRPr="00AE13AD">
        <w:rPr>
          <w:b/>
        </w:rPr>
        <w:t xml:space="preserve">settlement mechanisms, </w:t>
      </w:r>
      <w:r w:rsidR="009118A6" w:rsidRPr="00AE13AD">
        <w:rPr>
          <w:b/>
        </w:rPr>
        <w:t xml:space="preserve">including </w:t>
      </w:r>
      <w:r w:rsidR="00F653AB" w:rsidRPr="00AE13AD">
        <w:rPr>
          <w:b/>
        </w:rPr>
        <w:t xml:space="preserve">United Nations </w:t>
      </w:r>
      <w:r w:rsidR="006E5B01" w:rsidRPr="00AE13AD">
        <w:rPr>
          <w:b/>
        </w:rPr>
        <w:t>human rights t</w:t>
      </w:r>
      <w:r w:rsidR="00F653AB" w:rsidRPr="00AE13AD">
        <w:rPr>
          <w:b/>
        </w:rPr>
        <w:t xml:space="preserve">reaty </w:t>
      </w:r>
      <w:r w:rsidR="006E5B01" w:rsidRPr="00AE13AD">
        <w:rPr>
          <w:b/>
        </w:rPr>
        <w:t>b</w:t>
      </w:r>
      <w:r w:rsidR="00F653AB" w:rsidRPr="00AE13AD">
        <w:rPr>
          <w:b/>
        </w:rPr>
        <w:t>odies</w:t>
      </w:r>
      <w:r w:rsidR="00201D25" w:rsidRPr="00AE13AD">
        <w:rPr>
          <w:b/>
        </w:rPr>
        <w:t>, in good faith and in accordance with international law</w:t>
      </w:r>
      <w:r w:rsidR="00F7387B" w:rsidRPr="00AE13AD">
        <w:rPr>
          <w:b/>
        </w:rPr>
        <w:t>.</w:t>
      </w:r>
    </w:p>
    <w:p w14:paraId="260553E1" w14:textId="42BC090B" w:rsidR="005D0B05" w:rsidRPr="00AE13AD" w:rsidRDefault="00E8312B" w:rsidP="00522CDF">
      <w:pPr>
        <w:pStyle w:val="SingleTxtG"/>
        <w:rPr>
          <w:b/>
        </w:rPr>
      </w:pPr>
      <w:r w:rsidRPr="00271052">
        <w:rPr>
          <w:bCs/>
        </w:rPr>
        <w:t>5</w:t>
      </w:r>
      <w:r w:rsidR="006F3965" w:rsidRPr="00271052">
        <w:rPr>
          <w:bCs/>
        </w:rPr>
        <w:t>6</w:t>
      </w:r>
      <w:r w:rsidR="00643FF3" w:rsidRPr="00271052">
        <w:rPr>
          <w:bCs/>
        </w:rPr>
        <w:t>.</w:t>
      </w:r>
      <w:r w:rsidR="00617581" w:rsidRPr="00271052">
        <w:rPr>
          <w:bCs/>
        </w:rPr>
        <w:tab/>
      </w:r>
      <w:r w:rsidR="00A268C9" w:rsidRPr="00AE13AD">
        <w:rPr>
          <w:b/>
        </w:rPr>
        <w:t>I</w:t>
      </w:r>
      <w:r w:rsidR="00522CDF" w:rsidRPr="00AE13AD">
        <w:rPr>
          <w:b/>
        </w:rPr>
        <w:t>ndividual accountability</w:t>
      </w:r>
      <w:r w:rsidR="00A50A4F" w:rsidRPr="00AE13AD">
        <w:rPr>
          <w:b/>
        </w:rPr>
        <w:t xml:space="preserve"> </w:t>
      </w:r>
      <w:r w:rsidR="00A268C9" w:rsidRPr="00AE13AD">
        <w:rPr>
          <w:b/>
        </w:rPr>
        <w:t xml:space="preserve">for human rights violations </w:t>
      </w:r>
      <w:r w:rsidR="00201D25" w:rsidRPr="00AE13AD">
        <w:rPr>
          <w:b/>
        </w:rPr>
        <w:t xml:space="preserve">and abuses </w:t>
      </w:r>
      <w:r w:rsidR="00A268C9" w:rsidRPr="00AE13AD">
        <w:rPr>
          <w:b/>
        </w:rPr>
        <w:t>amounting to international crimes</w:t>
      </w:r>
      <w:r w:rsidR="00E26445" w:rsidRPr="00AE13AD">
        <w:rPr>
          <w:b/>
        </w:rPr>
        <w:t xml:space="preserve"> is key to prevent impunit</w:t>
      </w:r>
      <w:r w:rsidR="005E2B56" w:rsidRPr="00AE13AD">
        <w:rPr>
          <w:b/>
        </w:rPr>
        <w:t>y</w:t>
      </w:r>
      <w:r w:rsidR="006355D5">
        <w:rPr>
          <w:b/>
        </w:rPr>
        <w:t>,</w:t>
      </w:r>
      <w:r w:rsidR="00B44CEB" w:rsidRPr="00AE13AD">
        <w:rPr>
          <w:b/>
        </w:rPr>
        <w:t xml:space="preserve"> future </w:t>
      </w:r>
      <w:proofErr w:type="gramStart"/>
      <w:r w:rsidR="00B44CEB" w:rsidRPr="00AE13AD">
        <w:rPr>
          <w:b/>
        </w:rPr>
        <w:t>violations</w:t>
      </w:r>
      <w:proofErr w:type="gramEnd"/>
      <w:r w:rsidR="00B44CEB" w:rsidRPr="00AE13AD">
        <w:rPr>
          <w:b/>
        </w:rPr>
        <w:t xml:space="preserve"> and abuses</w:t>
      </w:r>
      <w:r w:rsidR="00E26445" w:rsidRPr="00AE13AD">
        <w:rPr>
          <w:b/>
        </w:rPr>
        <w:t xml:space="preserve">. </w:t>
      </w:r>
      <w:r w:rsidR="00E8792B" w:rsidRPr="00E75B5F">
        <w:rPr>
          <w:b/>
        </w:rPr>
        <w:t xml:space="preserve">The </w:t>
      </w:r>
      <w:r w:rsidR="00146E6C" w:rsidRPr="00E75B5F">
        <w:rPr>
          <w:b/>
        </w:rPr>
        <w:t xml:space="preserve">Office of the </w:t>
      </w:r>
      <w:r w:rsidR="00E8792B" w:rsidRPr="00E75B5F">
        <w:rPr>
          <w:b/>
        </w:rPr>
        <w:t xml:space="preserve">High Commissioner </w:t>
      </w:r>
      <w:r w:rsidR="001C3C41" w:rsidRPr="00E75B5F">
        <w:rPr>
          <w:b/>
        </w:rPr>
        <w:t xml:space="preserve">therefore </w:t>
      </w:r>
      <w:r w:rsidR="00E8792B" w:rsidRPr="00E75B5F">
        <w:rPr>
          <w:b/>
        </w:rPr>
        <w:t>recommends that States</w:t>
      </w:r>
      <w:r w:rsidR="00522CDF" w:rsidRPr="00E75B5F">
        <w:rPr>
          <w:b/>
        </w:rPr>
        <w:t>:</w:t>
      </w:r>
    </w:p>
    <w:p w14:paraId="766C4C44" w14:textId="1A8F1806" w:rsidR="00F7387B" w:rsidRPr="00AE13AD" w:rsidRDefault="007B6B79" w:rsidP="00B1334F">
      <w:pPr>
        <w:pStyle w:val="SingleTxtG"/>
        <w:numPr>
          <w:ilvl w:val="0"/>
          <w:numId w:val="20"/>
        </w:numPr>
        <w:ind w:left="1134" w:firstLine="567"/>
        <w:rPr>
          <w:b/>
        </w:rPr>
      </w:pPr>
      <w:r>
        <w:rPr>
          <w:b/>
        </w:rPr>
        <w:t>C</w:t>
      </w:r>
      <w:r w:rsidR="00E26445" w:rsidRPr="00AE13AD">
        <w:rPr>
          <w:b/>
        </w:rPr>
        <w:t>onsider ratifying</w:t>
      </w:r>
      <w:r w:rsidR="006F0C45" w:rsidRPr="00AE13AD">
        <w:rPr>
          <w:b/>
        </w:rPr>
        <w:t xml:space="preserve"> or acceding to</w:t>
      </w:r>
      <w:r w:rsidR="00E26445" w:rsidRPr="00AE13AD">
        <w:rPr>
          <w:b/>
        </w:rPr>
        <w:t xml:space="preserve"> the Rome Statute of the International Criminal </w:t>
      </w:r>
      <w:proofErr w:type="gramStart"/>
      <w:r w:rsidR="00E26445" w:rsidRPr="00AE13AD">
        <w:rPr>
          <w:b/>
        </w:rPr>
        <w:t>Court;</w:t>
      </w:r>
      <w:proofErr w:type="gramEnd"/>
    </w:p>
    <w:p w14:paraId="77408338" w14:textId="6CCF2C10" w:rsidR="00F7387B" w:rsidRPr="00AE13AD" w:rsidRDefault="00F7387B" w:rsidP="00B1334F">
      <w:pPr>
        <w:pStyle w:val="SingleTxtG"/>
        <w:numPr>
          <w:ilvl w:val="0"/>
          <w:numId w:val="20"/>
        </w:numPr>
        <w:ind w:left="1134" w:firstLine="709"/>
        <w:rPr>
          <w:b/>
        </w:rPr>
      </w:pPr>
      <w:r w:rsidRPr="00AE13AD">
        <w:rPr>
          <w:b/>
        </w:rPr>
        <w:t>A</w:t>
      </w:r>
      <w:r w:rsidR="00A50A4F" w:rsidRPr="00AE13AD">
        <w:rPr>
          <w:b/>
        </w:rPr>
        <w:t xml:space="preserve">dopt provisions allowing for the exercise of </w:t>
      </w:r>
      <w:r w:rsidR="00422F70" w:rsidRPr="00AE13AD">
        <w:rPr>
          <w:b/>
        </w:rPr>
        <w:t xml:space="preserve">extraterritorial or </w:t>
      </w:r>
      <w:r w:rsidR="00A50A4F" w:rsidRPr="00AE13AD">
        <w:rPr>
          <w:b/>
        </w:rPr>
        <w:t>universal jurisdiction over international crimes</w:t>
      </w:r>
      <w:r w:rsidR="00E8792B" w:rsidRPr="00AE13AD">
        <w:rPr>
          <w:b/>
        </w:rPr>
        <w:t>,</w:t>
      </w:r>
      <w:r w:rsidR="00E26445" w:rsidRPr="00AE13AD">
        <w:rPr>
          <w:b/>
        </w:rPr>
        <w:t xml:space="preserve"> </w:t>
      </w:r>
      <w:r w:rsidR="00422F70" w:rsidRPr="00AE13AD">
        <w:rPr>
          <w:b/>
        </w:rPr>
        <w:t xml:space="preserve">consistent with international law, </w:t>
      </w:r>
      <w:r w:rsidR="00E26445" w:rsidRPr="00AE13AD">
        <w:rPr>
          <w:b/>
        </w:rPr>
        <w:t xml:space="preserve">and </w:t>
      </w:r>
      <w:r w:rsidR="00E8792B" w:rsidRPr="00AE13AD">
        <w:rPr>
          <w:b/>
        </w:rPr>
        <w:t xml:space="preserve">consider </w:t>
      </w:r>
      <w:r w:rsidR="004B0666" w:rsidRPr="00AE13AD">
        <w:rPr>
          <w:b/>
        </w:rPr>
        <w:t>reviewing prosecutorial policies and strategies to</w:t>
      </w:r>
      <w:r w:rsidR="005E2B56" w:rsidRPr="00AE13AD">
        <w:rPr>
          <w:b/>
        </w:rPr>
        <w:t xml:space="preserve"> facilitate their </w:t>
      </w:r>
      <w:proofErr w:type="gramStart"/>
      <w:r w:rsidR="005E2B56" w:rsidRPr="00AE13AD">
        <w:rPr>
          <w:b/>
        </w:rPr>
        <w:t>use</w:t>
      </w:r>
      <w:r w:rsidR="00E8792B" w:rsidRPr="00AE13AD">
        <w:rPr>
          <w:b/>
        </w:rPr>
        <w:t>;</w:t>
      </w:r>
      <w:proofErr w:type="gramEnd"/>
    </w:p>
    <w:p w14:paraId="053624FB" w14:textId="13DE48E6" w:rsidR="00F7387B" w:rsidRPr="00AE13AD" w:rsidRDefault="003D147D" w:rsidP="00B1334F">
      <w:pPr>
        <w:pStyle w:val="SingleTxtG"/>
        <w:numPr>
          <w:ilvl w:val="0"/>
          <w:numId w:val="20"/>
        </w:numPr>
        <w:ind w:left="1134" w:firstLine="709"/>
        <w:rPr>
          <w:b/>
        </w:rPr>
      </w:pPr>
      <w:r w:rsidRPr="00AE13AD">
        <w:rPr>
          <w:b/>
        </w:rPr>
        <w:t xml:space="preserve">Cooperate </w:t>
      </w:r>
      <w:r w:rsidR="004B0666" w:rsidRPr="00AE13AD">
        <w:rPr>
          <w:b/>
        </w:rPr>
        <w:t xml:space="preserve">in the investigation and prosecution of </w:t>
      </w:r>
      <w:r w:rsidR="00422F70" w:rsidRPr="00AE13AD">
        <w:rPr>
          <w:b/>
        </w:rPr>
        <w:t xml:space="preserve">human rights violations or abuses amounting to </w:t>
      </w:r>
      <w:r w:rsidR="004B0666" w:rsidRPr="00AE13AD">
        <w:rPr>
          <w:b/>
        </w:rPr>
        <w:t xml:space="preserve">international crimes, </w:t>
      </w:r>
      <w:r w:rsidR="000D7895" w:rsidRPr="00AE13AD">
        <w:rPr>
          <w:b/>
        </w:rPr>
        <w:t xml:space="preserve">including </w:t>
      </w:r>
      <w:r w:rsidRPr="00AE13AD">
        <w:rPr>
          <w:b/>
        </w:rPr>
        <w:t xml:space="preserve">through </w:t>
      </w:r>
      <w:r w:rsidR="006355D5">
        <w:rPr>
          <w:b/>
        </w:rPr>
        <w:t xml:space="preserve">providing </w:t>
      </w:r>
      <w:r w:rsidRPr="00AE13AD">
        <w:rPr>
          <w:b/>
        </w:rPr>
        <w:t xml:space="preserve">support </w:t>
      </w:r>
      <w:r w:rsidR="005E2B56" w:rsidRPr="00AE13AD">
        <w:rPr>
          <w:b/>
        </w:rPr>
        <w:t>to</w:t>
      </w:r>
      <w:r w:rsidRPr="00AE13AD">
        <w:rPr>
          <w:b/>
        </w:rPr>
        <w:t xml:space="preserve"> </w:t>
      </w:r>
      <w:r w:rsidR="000D7895" w:rsidRPr="00AE13AD">
        <w:rPr>
          <w:b/>
        </w:rPr>
        <w:t xml:space="preserve">relevant </w:t>
      </w:r>
      <w:r w:rsidRPr="00AE13AD">
        <w:rPr>
          <w:b/>
        </w:rPr>
        <w:t xml:space="preserve">international mechanisms engaged in </w:t>
      </w:r>
      <w:r w:rsidR="005E2B56" w:rsidRPr="00AE13AD">
        <w:rPr>
          <w:b/>
        </w:rPr>
        <w:t xml:space="preserve">investigation </w:t>
      </w:r>
      <w:proofErr w:type="gramStart"/>
      <w:r w:rsidR="005E2B56" w:rsidRPr="00AE13AD">
        <w:rPr>
          <w:b/>
        </w:rPr>
        <w:t>efforts</w:t>
      </w:r>
      <w:r w:rsidR="00F7387B" w:rsidRPr="00AE13AD">
        <w:rPr>
          <w:b/>
        </w:rPr>
        <w:t>;</w:t>
      </w:r>
      <w:proofErr w:type="gramEnd"/>
    </w:p>
    <w:p w14:paraId="33E32C72" w14:textId="5BE898AE" w:rsidR="00F653AB" w:rsidRDefault="00E26445" w:rsidP="00B1334F">
      <w:pPr>
        <w:pStyle w:val="SingleTxtG"/>
        <w:numPr>
          <w:ilvl w:val="0"/>
          <w:numId w:val="20"/>
        </w:numPr>
        <w:ind w:left="1134" w:firstLine="709"/>
        <w:rPr>
          <w:b/>
        </w:rPr>
      </w:pPr>
      <w:r w:rsidRPr="00AE13AD">
        <w:rPr>
          <w:b/>
        </w:rPr>
        <w:t xml:space="preserve">Support </w:t>
      </w:r>
      <w:r w:rsidR="00A50A4F" w:rsidRPr="00AE13AD">
        <w:rPr>
          <w:b/>
        </w:rPr>
        <w:t>efforts by civil society to contribute to individual accountability.</w:t>
      </w:r>
    </w:p>
    <w:p w14:paraId="514805A4" w14:textId="3EB8B9B0" w:rsidR="00271052" w:rsidRPr="00AA3DDD" w:rsidRDefault="00271052" w:rsidP="00271052">
      <w:pPr>
        <w:pStyle w:val="SingleTxtG"/>
        <w:spacing w:before="240" w:after="0"/>
        <w:jc w:val="center"/>
        <w:rPr>
          <w:bCs/>
          <w:u w:val="single"/>
        </w:rPr>
      </w:pPr>
      <w:r w:rsidRPr="00AA3DDD">
        <w:rPr>
          <w:bCs/>
          <w:u w:val="single"/>
        </w:rPr>
        <w:tab/>
      </w:r>
      <w:r w:rsidRPr="00AA3DDD">
        <w:rPr>
          <w:bCs/>
          <w:u w:val="single"/>
        </w:rPr>
        <w:tab/>
      </w:r>
      <w:r w:rsidRPr="00AA3DDD">
        <w:rPr>
          <w:bCs/>
          <w:u w:val="single"/>
        </w:rPr>
        <w:tab/>
      </w:r>
      <w:r w:rsidRPr="00AA3DDD">
        <w:rPr>
          <w:bCs/>
          <w:u w:val="single"/>
        </w:rPr>
        <w:tab/>
      </w:r>
    </w:p>
    <w:sectPr w:rsidR="00271052" w:rsidRPr="00AA3DDD" w:rsidSect="00F456F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48EF" w14:textId="77777777" w:rsidR="00250BF1" w:rsidRPr="00AE13AD" w:rsidRDefault="00250BF1"/>
  </w:endnote>
  <w:endnote w:type="continuationSeparator" w:id="0">
    <w:p w14:paraId="46740FBD" w14:textId="77777777" w:rsidR="00250BF1" w:rsidRPr="00AE13AD" w:rsidRDefault="00250BF1"/>
  </w:endnote>
  <w:endnote w:type="continuationNotice" w:id="1">
    <w:p w14:paraId="4856B195" w14:textId="77777777" w:rsidR="00250BF1" w:rsidRPr="00AE13AD" w:rsidRDefault="00250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ja Vu Serif">
    <w:altName w:val="Cambria"/>
    <w:panose1 w:val="00000000000000000000"/>
    <w:charset w:val="00"/>
    <w:family w:val="roman"/>
    <w:notTrueType/>
    <w:pitch w:val="default"/>
    <w:sig w:usb0="00000003" w:usb1="00000000" w:usb2="00000000" w:usb3="00000000" w:csb0="00000001" w:csb1="00000000"/>
  </w:font>
  <w:font w:name="QGFCP A+ Whitman">
    <w:altName w:val="Cambria"/>
    <w:panose1 w:val="00000000000000000000"/>
    <w:charset w:val="00"/>
    <w:family w:val="roman"/>
    <w:notTrueType/>
    <w:pitch w:val="default"/>
    <w:sig w:usb0="00000003" w:usb1="00000000" w:usb2="00000000" w:usb3="00000000" w:csb0="00000001" w:csb1="00000000"/>
  </w:font>
  <w:font w:name="QGFCP A+ Fago No Bold Lf">
    <w:altName w:val="Cambria"/>
    <w:panose1 w:val="00000000000000000000"/>
    <w:charset w:val="00"/>
    <w:family w:val="roman"/>
    <w:notTrueType/>
    <w:pitch w:val="default"/>
    <w:sig w:usb0="00000003" w:usb1="00000000" w:usb2="00000000" w:usb3="00000000" w:csb0="00000001" w:csb1="00000000"/>
  </w:font>
  <w:font w:name="MillerText Roman">
    <w:altName w:val="Cambria"/>
    <w:panose1 w:val="00000000000000000000"/>
    <w:charset w:val="00"/>
    <w:family w:val="roman"/>
    <w:notTrueType/>
    <w:pitch w:val="default"/>
    <w:sig w:usb0="00000003" w:usb1="00000000" w:usb2="00000000" w:usb3="00000000" w:csb0="00000001" w:csb1="00000000"/>
  </w:font>
  <w:font w:name="Feijoa Bold">
    <w:altName w:val="Cambria"/>
    <w:panose1 w:val="00000000000000000000"/>
    <w:charset w:val="00"/>
    <w:family w:val="roman"/>
    <w:notTrueType/>
    <w:pitch w:val="default"/>
    <w:sig w:usb0="00000003" w:usb1="00000000" w:usb2="00000000" w:usb3="00000000" w:csb0="00000001" w:csb1="00000000"/>
  </w:font>
  <w:font w:name="Minion Variable Concept">
    <w:altName w:val="Times New Roman"/>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EAE2" w14:textId="7F657E63" w:rsidR="005E28DB" w:rsidRPr="00AE13AD" w:rsidRDefault="005E28DB" w:rsidP="00F456F2">
    <w:pPr>
      <w:pStyle w:val="Footer"/>
      <w:tabs>
        <w:tab w:val="right" w:pos="9638"/>
      </w:tabs>
      <w:rPr>
        <w:sz w:val="18"/>
      </w:rPr>
    </w:pPr>
    <w:r w:rsidRPr="00AE13AD">
      <w:rPr>
        <w:b/>
        <w:sz w:val="18"/>
      </w:rPr>
      <w:fldChar w:fldCharType="begin"/>
    </w:r>
    <w:r w:rsidRPr="00AE13AD">
      <w:rPr>
        <w:b/>
        <w:sz w:val="18"/>
      </w:rPr>
      <w:instrText xml:space="preserve"> PAGE  \* MERGEFORMAT </w:instrText>
    </w:r>
    <w:r w:rsidRPr="00AE13AD">
      <w:rPr>
        <w:b/>
        <w:sz w:val="18"/>
      </w:rPr>
      <w:fldChar w:fldCharType="separate"/>
    </w:r>
    <w:r w:rsidR="00A031E3" w:rsidRPr="00AE13AD">
      <w:rPr>
        <w:b/>
        <w:sz w:val="18"/>
      </w:rPr>
      <w:t>2</w:t>
    </w:r>
    <w:r w:rsidRPr="00AE13AD">
      <w:rPr>
        <w:b/>
        <w:sz w:val="18"/>
      </w:rPr>
      <w:fldChar w:fldCharType="end"/>
    </w:r>
    <w:r w:rsidRPr="00AE13AD">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A8C3" w14:textId="0F8ABE26" w:rsidR="005E28DB" w:rsidRPr="00AE13AD" w:rsidRDefault="005E28DB" w:rsidP="00F456F2">
    <w:pPr>
      <w:pStyle w:val="Footer"/>
      <w:tabs>
        <w:tab w:val="right" w:pos="9638"/>
      </w:tabs>
      <w:rPr>
        <w:b/>
        <w:sz w:val="18"/>
      </w:rPr>
    </w:pPr>
    <w:r w:rsidRPr="00AE13AD">
      <w:tab/>
    </w:r>
    <w:r w:rsidRPr="00AE13AD">
      <w:rPr>
        <w:b/>
        <w:sz w:val="18"/>
      </w:rPr>
      <w:fldChar w:fldCharType="begin"/>
    </w:r>
    <w:r w:rsidRPr="00AE13AD">
      <w:rPr>
        <w:b/>
        <w:sz w:val="18"/>
      </w:rPr>
      <w:instrText xml:space="preserve"> PAGE  \* MERGEFORMAT </w:instrText>
    </w:r>
    <w:r w:rsidRPr="00AE13AD">
      <w:rPr>
        <w:b/>
        <w:sz w:val="18"/>
      </w:rPr>
      <w:fldChar w:fldCharType="separate"/>
    </w:r>
    <w:r w:rsidR="00A031E3" w:rsidRPr="00AE13AD">
      <w:rPr>
        <w:b/>
        <w:sz w:val="18"/>
      </w:rPr>
      <w:t>3</w:t>
    </w:r>
    <w:r w:rsidRPr="00AE13A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F535" w14:textId="77777777" w:rsidR="00B03A47" w:rsidRDefault="00B03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505D" w14:textId="77777777" w:rsidR="00250BF1" w:rsidRPr="00AE13AD" w:rsidRDefault="00250BF1" w:rsidP="000B175B">
      <w:pPr>
        <w:tabs>
          <w:tab w:val="right" w:pos="2155"/>
        </w:tabs>
        <w:spacing w:after="80"/>
        <w:ind w:left="680"/>
        <w:rPr>
          <w:u w:val="single"/>
        </w:rPr>
      </w:pPr>
      <w:r w:rsidRPr="00AE13AD">
        <w:rPr>
          <w:u w:val="single"/>
        </w:rPr>
        <w:tab/>
      </w:r>
    </w:p>
  </w:footnote>
  <w:footnote w:type="continuationSeparator" w:id="0">
    <w:p w14:paraId="01647A77" w14:textId="77777777" w:rsidR="00250BF1" w:rsidRPr="00AE13AD" w:rsidRDefault="00250BF1" w:rsidP="00FC68B7">
      <w:pPr>
        <w:tabs>
          <w:tab w:val="left" w:pos="2155"/>
        </w:tabs>
        <w:spacing w:after="80"/>
        <w:ind w:left="680"/>
        <w:rPr>
          <w:u w:val="single"/>
        </w:rPr>
      </w:pPr>
      <w:r w:rsidRPr="00AE13AD">
        <w:rPr>
          <w:u w:val="single"/>
        </w:rPr>
        <w:tab/>
      </w:r>
    </w:p>
  </w:footnote>
  <w:footnote w:type="continuationNotice" w:id="1">
    <w:p w14:paraId="47D2B588" w14:textId="77777777" w:rsidR="00250BF1" w:rsidRPr="00AE13AD" w:rsidRDefault="00250BF1"/>
  </w:footnote>
  <w:footnote w:id="2">
    <w:p w14:paraId="7111ADA1" w14:textId="7E995027" w:rsidR="00271052" w:rsidRPr="00271052" w:rsidRDefault="00271052">
      <w:pPr>
        <w:pStyle w:val="FootnoteText"/>
      </w:pPr>
      <w:r>
        <w:rPr>
          <w:rStyle w:val="FootnoteReference"/>
        </w:rPr>
        <w:tab/>
      </w:r>
      <w:r w:rsidRPr="00271052">
        <w:rPr>
          <w:rStyle w:val="FootnoteReference"/>
          <w:sz w:val="20"/>
          <w:vertAlign w:val="baseline"/>
        </w:rPr>
        <w:t>*</w:t>
      </w:r>
      <w:r>
        <w:rPr>
          <w:rStyle w:val="FootnoteReference"/>
          <w:sz w:val="20"/>
          <w:vertAlign w:val="baseline"/>
        </w:rPr>
        <w:tab/>
      </w:r>
      <w:bookmarkStart w:id="0" w:name="_Hlk164923434"/>
      <w:r w:rsidRPr="00271052">
        <w:rPr>
          <w:color w:val="000000"/>
          <w:szCs w:val="18"/>
        </w:rPr>
        <w:t xml:space="preserve">The present </w:t>
      </w:r>
      <w:r w:rsidR="00A90C28">
        <w:rPr>
          <w:color w:val="000000"/>
          <w:szCs w:val="18"/>
        </w:rPr>
        <w:t>study</w:t>
      </w:r>
      <w:r w:rsidRPr="00271052">
        <w:rPr>
          <w:color w:val="000000"/>
          <w:szCs w:val="18"/>
        </w:rPr>
        <w:t xml:space="preserve"> was submitted to the conference services for processing after the deadline </w:t>
      </w:r>
      <w:proofErr w:type="gramStart"/>
      <w:r w:rsidRPr="00271052">
        <w:rPr>
          <w:color w:val="000000"/>
          <w:szCs w:val="18"/>
        </w:rPr>
        <w:t>so as to</w:t>
      </w:r>
      <w:proofErr w:type="gramEnd"/>
      <w:r w:rsidRPr="00271052">
        <w:rPr>
          <w:color w:val="000000"/>
          <w:szCs w:val="18"/>
        </w:rPr>
        <w:t xml:space="preserve"> include the most recent information.</w:t>
      </w:r>
      <w:bookmarkEnd w:id="0"/>
    </w:p>
  </w:footnote>
  <w:footnote w:id="3">
    <w:p w14:paraId="53A8839F" w14:textId="300F53D1" w:rsidR="0099422D" w:rsidRPr="00AE13AD" w:rsidRDefault="008A3E9B" w:rsidP="0099422D">
      <w:pPr>
        <w:pStyle w:val="FootnoteText"/>
      </w:pPr>
      <w:r w:rsidRPr="00AE13AD">
        <w:tab/>
      </w:r>
      <w:r w:rsidR="0099422D" w:rsidRPr="00AE13AD">
        <w:rPr>
          <w:rStyle w:val="FootnoteReference"/>
        </w:rPr>
        <w:footnoteRef/>
      </w:r>
      <w:r w:rsidRPr="00AE13AD">
        <w:tab/>
      </w:r>
      <w:r w:rsidRPr="00AE13AD">
        <w:tab/>
      </w:r>
      <w:r w:rsidR="00BB204F" w:rsidRPr="00AE13AD">
        <w:t xml:space="preserve">Contributions were received from Australia, </w:t>
      </w:r>
      <w:r w:rsidR="0099422D" w:rsidRPr="00AE13AD">
        <w:t xml:space="preserve">Chile, Colombia, Ecuador, Guyana, Italy, Lithuania, Mexico, Peru, </w:t>
      </w:r>
      <w:r w:rsidR="00DB6A28" w:rsidRPr="00AE13AD">
        <w:t xml:space="preserve">Philippines, </w:t>
      </w:r>
      <w:r w:rsidR="0099422D" w:rsidRPr="00AE13AD">
        <w:t xml:space="preserve">Qatar, Spain, Uruguay, Uzbekistan, </w:t>
      </w:r>
      <w:proofErr w:type="gramStart"/>
      <w:r w:rsidR="0099422D" w:rsidRPr="00AE13AD">
        <w:t>Zambia</w:t>
      </w:r>
      <w:proofErr w:type="gramEnd"/>
      <w:r w:rsidR="00EA2264">
        <w:t xml:space="preserve"> and</w:t>
      </w:r>
      <w:r w:rsidR="0099422D" w:rsidRPr="00AE13AD">
        <w:t xml:space="preserve"> Zimbabwe.</w:t>
      </w:r>
    </w:p>
  </w:footnote>
  <w:footnote w:id="4">
    <w:p w14:paraId="02CE4248" w14:textId="4E4E2D57" w:rsidR="0099422D" w:rsidRPr="00AE13AD" w:rsidRDefault="008A3E9B" w:rsidP="0099422D">
      <w:pPr>
        <w:pStyle w:val="FootnoteText"/>
      </w:pPr>
      <w:r w:rsidRPr="00AE13AD">
        <w:tab/>
      </w:r>
      <w:r w:rsidR="0099422D" w:rsidRPr="00AE13AD">
        <w:rPr>
          <w:rStyle w:val="FootnoteReference"/>
        </w:rPr>
        <w:footnoteRef/>
      </w:r>
      <w:r w:rsidRPr="00AE13AD">
        <w:tab/>
      </w:r>
      <w:r w:rsidRPr="00AE13AD">
        <w:tab/>
      </w:r>
      <w:r w:rsidR="00BB39EA" w:rsidRPr="00AE13AD">
        <w:t xml:space="preserve">A contribution was received from the </w:t>
      </w:r>
      <w:r w:rsidR="0099422D" w:rsidRPr="00AE13AD">
        <w:t>Council of Europe.</w:t>
      </w:r>
    </w:p>
  </w:footnote>
  <w:footnote w:id="5">
    <w:p w14:paraId="3DD17DA0" w14:textId="570F444D" w:rsidR="0099422D" w:rsidRPr="00AE13AD" w:rsidRDefault="008A3E9B" w:rsidP="0099422D">
      <w:pPr>
        <w:pStyle w:val="FootnoteText"/>
      </w:pPr>
      <w:r w:rsidRPr="00AE13AD">
        <w:tab/>
      </w:r>
      <w:r w:rsidR="0099422D" w:rsidRPr="00AE13AD">
        <w:rPr>
          <w:rStyle w:val="FootnoteReference"/>
        </w:rPr>
        <w:footnoteRef/>
      </w:r>
      <w:r w:rsidRPr="00AE13AD">
        <w:tab/>
      </w:r>
      <w:r w:rsidRPr="00AE13AD">
        <w:tab/>
      </w:r>
      <w:r w:rsidR="00BB39EA" w:rsidRPr="00AE13AD">
        <w:t xml:space="preserve">Contributions were received from </w:t>
      </w:r>
      <w:bookmarkStart w:id="1" w:name="_Hlk173309570"/>
      <w:r w:rsidR="00E012D2" w:rsidRPr="00AE13AD">
        <w:t xml:space="preserve">El </w:t>
      </w:r>
      <w:r w:rsidR="0099422D" w:rsidRPr="00AE13AD">
        <w:t xml:space="preserve">Hak Foundation for Freedom of Expression and Human Rights and </w:t>
      </w:r>
      <w:r w:rsidR="00AD3823">
        <w:t xml:space="preserve">from </w:t>
      </w:r>
      <w:proofErr w:type="spellStart"/>
      <w:r w:rsidR="001F2B7A" w:rsidRPr="0017792E">
        <w:t>Stichting</w:t>
      </w:r>
      <w:proofErr w:type="spellEnd"/>
      <w:r w:rsidR="001F2B7A" w:rsidRPr="0017792E">
        <w:t xml:space="preserve"> </w:t>
      </w:r>
      <w:r w:rsidR="0099422D" w:rsidRPr="0017792E">
        <w:t>Global Human Rights Defence</w:t>
      </w:r>
      <w:bookmarkEnd w:id="1"/>
      <w:r w:rsidR="0099422D" w:rsidRPr="0017792E">
        <w:t>.</w:t>
      </w:r>
    </w:p>
  </w:footnote>
  <w:footnote w:id="6">
    <w:p w14:paraId="6C37ACF5" w14:textId="6D26824B" w:rsidR="00211390" w:rsidRPr="00AE13AD" w:rsidRDefault="008A3E9B" w:rsidP="00EC5842">
      <w:pPr>
        <w:pStyle w:val="FootnoteText"/>
        <w:contextualSpacing/>
      </w:pPr>
      <w:r w:rsidRPr="00AE13AD">
        <w:tab/>
      </w:r>
      <w:r w:rsidR="00211390" w:rsidRPr="00AE13AD">
        <w:rPr>
          <w:rStyle w:val="FootnoteReference"/>
        </w:rPr>
        <w:footnoteRef/>
      </w:r>
      <w:r w:rsidRPr="00AE13AD">
        <w:tab/>
      </w:r>
      <w:r w:rsidRPr="00AE13AD">
        <w:tab/>
      </w:r>
      <w:r w:rsidR="00211390" w:rsidRPr="00AE13AD">
        <w:t xml:space="preserve">Since the Secretary-General </w:t>
      </w:r>
      <w:r w:rsidR="00295F94" w:rsidRPr="00AE13AD">
        <w:t>is mandated by the General Assembly to</w:t>
      </w:r>
      <w:r w:rsidR="00426932" w:rsidRPr="00AE13AD">
        <w:t xml:space="preserve"> submit an annual</w:t>
      </w:r>
      <w:r w:rsidR="00211390" w:rsidRPr="00AE13AD">
        <w:t xml:space="preserve"> report on rule of law activities</w:t>
      </w:r>
      <w:r w:rsidR="0039212D" w:rsidRPr="00AE13AD">
        <w:t xml:space="preserve"> at the national and international levels</w:t>
      </w:r>
      <w:r w:rsidR="00AB6882" w:rsidRPr="00AE13AD">
        <w:t xml:space="preserve"> (</w:t>
      </w:r>
      <w:r w:rsidR="007213B5" w:rsidRPr="00AE13AD">
        <w:t xml:space="preserve">e.g., </w:t>
      </w:r>
      <w:r w:rsidR="00764FE8">
        <w:t xml:space="preserve">General Assembly resolution </w:t>
      </w:r>
      <w:r w:rsidR="007213B5" w:rsidRPr="00AE13AD">
        <w:t>78/112</w:t>
      </w:r>
      <w:r w:rsidR="00EC5842" w:rsidRPr="00AE13AD">
        <w:t>),</w:t>
      </w:r>
      <w:r w:rsidR="00211390" w:rsidRPr="00AE13AD">
        <w:t xml:space="preserve"> the </w:t>
      </w:r>
      <w:r w:rsidR="006656E2">
        <w:t>present study</w:t>
      </w:r>
      <w:r w:rsidR="00211390" w:rsidRPr="00AE13AD">
        <w:t xml:space="preserve"> does not address </w:t>
      </w:r>
      <w:r w:rsidR="00BB39EA" w:rsidRPr="00AE13AD">
        <w:t xml:space="preserve">rule of law activities </w:t>
      </w:r>
      <w:r w:rsidR="00201E77" w:rsidRPr="00AE13AD">
        <w:t xml:space="preserve">of </w:t>
      </w:r>
      <w:r w:rsidR="00BB39EA" w:rsidRPr="00AE13AD">
        <w:t>the United Nations</w:t>
      </w:r>
      <w:r w:rsidR="00211390" w:rsidRPr="00AE13AD">
        <w:t>.</w:t>
      </w:r>
    </w:p>
  </w:footnote>
  <w:footnote w:id="7">
    <w:p w14:paraId="30078351" w14:textId="1D2A7C65" w:rsidR="0099422D" w:rsidRPr="008A0231" w:rsidRDefault="008A3E9B" w:rsidP="00EC5842">
      <w:pPr>
        <w:pStyle w:val="FootnoteText"/>
        <w:spacing w:before="240" w:line="240" w:lineRule="auto"/>
        <w:contextualSpacing/>
        <w:rPr>
          <w:lang w:val="pt-BR"/>
        </w:rPr>
      </w:pPr>
      <w:r w:rsidRPr="00AE13AD">
        <w:tab/>
      </w:r>
      <w:r w:rsidR="0099422D" w:rsidRPr="00AE13AD">
        <w:rPr>
          <w:rStyle w:val="FootnoteReference"/>
        </w:rPr>
        <w:footnoteRef/>
      </w:r>
      <w:r w:rsidRPr="008A0231">
        <w:rPr>
          <w:lang w:val="pt-BR"/>
        </w:rPr>
        <w:tab/>
      </w:r>
      <w:r w:rsidRPr="008A0231">
        <w:rPr>
          <w:lang w:val="pt-BR"/>
        </w:rPr>
        <w:tab/>
      </w:r>
      <w:r w:rsidR="0099422D" w:rsidRPr="008A0231">
        <w:rPr>
          <w:lang w:val="pt-BR"/>
        </w:rPr>
        <w:t>S/2004/616, para. 6.</w:t>
      </w:r>
    </w:p>
  </w:footnote>
  <w:footnote w:id="8">
    <w:p w14:paraId="1F302FBC" w14:textId="652BBDEF" w:rsidR="003D67ED" w:rsidRPr="008A0231" w:rsidRDefault="00EC5842" w:rsidP="003D67ED">
      <w:pPr>
        <w:pStyle w:val="FootnoteText"/>
      </w:pPr>
      <w:r w:rsidRPr="008A0231">
        <w:rPr>
          <w:lang w:val="pt-BR"/>
        </w:rPr>
        <w:tab/>
      </w:r>
      <w:r w:rsidR="003D67ED" w:rsidRPr="00AE13AD">
        <w:rPr>
          <w:rStyle w:val="FootnoteReference"/>
        </w:rPr>
        <w:footnoteRef/>
      </w:r>
      <w:r w:rsidRPr="008A0231">
        <w:rPr>
          <w:lang w:val="pt-BR"/>
        </w:rPr>
        <w:tab/>
      </w:r>
      <w:r w:rsidRPr="008A0231">
        <w:rPr>
          <w:lang w:val="pt-BR"/>
        </w:rPr>
        <w:tab/>
      </w:r>
      <w:r w:rsidR="003D67ED" w:rsidRPr="008A0231">
        <w:rPr>
          <w:lang w:val="pt-BR"/>
        </w:rPr>
        <w:t xml:space="preserve">A/HRC/49/39, para. </w:t>
      </w:r>
      <w:r w:rsidR="003D67ED" w:rsidRPr="008A0231">
        <w:t>14.</w:t>
      </w:r>
    </w:p>
  </w:footnote>
  <w:footnote w:id="9">
    <w:p w14:paraId="16A3FD57" w14:textId="79615E92" w:rsidR="003D67ED" w:rsidRPr="00AE13AD" w:rsidRDefault="00EC5842" w:rsidP="003D67ED">
      <w:pPr>
        <w:pStyle w:val="FootnoteText"/>
      </w:pPr>
      <w:r w:rsidRPr="008A0231">
        <w:tab/>
      </w:r>
      <w:r w:rsidR="003D67ED" w:rsidRPr="00AE13AD">
        <w:rPr>
          <w:rStyle w:val="FootnoteReference"/>
        </w:rPr>
        <w:footnoteRef/>
      </w:r>
      <w:r w:rsidRPr="008A0231">
        <w:tab/>
      </w:r>
      <w:r w:rsidRPr="008A0231">
        <w:tab/>
      </w:r>
      <w:r w:rsidR="009B5353" w:rsidRPr="008A0231">
        <w:t xml:space="preserve">See </w:t>
      </w:r>
      <w:hyperlink r:id="rId1" w:history="1">
        <w:r w:rsidR="009B5353" w:rsidRPr="008A0231">
          <w:rPr>
            <w:rStyle w:val="Hyperlink"/>
          </w:rPr>
          <w:t>https://unstats.un.org/sdgs/report/2023/progress-chart/Progress-Chart-2023.pdf</w:t>
        </w:r>
      </w:hyperlink>
      <w:r w:rsidR="001E79B6" w:rsidRPr="008A0231">
        <w:t xml:space="preserve">. </w:t>
      </w:r>
      <w:r w:rsidR="001E79B6" w:rsidRPr="00AE13AD">
        <w:t xml:space="preserve">See also </w:t>
      </w:r>
      <w:hyperlink r:id="rId2" w:history="1">
        <w:r w:rsidR="001E79B6" w:rsidRPr="00AE13AD">
          <w:rPr>
            <w:rStyle w:val="Hyperlink"/>
          </w:rPr>
          <w:t>https://www.unodc.org/documents/data-and-analysis/sdgs/sdg16_progress_report_2024.pdf</w:t>
        </w:r>
      </w:hyperlink>
      <w:r w:rsidR="001E79B6" w:rsidRPr="00AE13AD">
        <w:t>.</w:t>
      </w:r>
    </w:p>
  </w:footnote>
  <w:footnote w:id="10">
    <w:p w14:paraId="2C3AB55E" w14:textId="2775F376" w:rsidR="003D67ED" w:rsidRPr="00AE13AD" w:rsidRDefault="00EC5842" w:rsidP="003D67ED">
      <w:pPr>
        <w:pStyle w:val="FootnoteText"/>
      </w:pPr>
      <w:r w:rsidRPr="00AE13AD">
        <w:tab/>
      </w:r>
      <w:r w:rsidR="003D67ED" w:rsidRPr="00AE13AD">
        <w:rPr>
          <w:rStyle w:val="FootnoteReference"/>
        </w:rPr>
        <w:footnoteRef/>
      </w:r>
      <w:r w:rsidRPr="00AE13AD">
        <w:tab/>
      </w:r>
      <w:r w:rsidRPr="00AE13AD">
        <w:tab/>
      </w:r>
      <w:r w:rsidR="00D91219">
        <w:t xml:space="preserve">See </w:t>
      </w:r>
      <w:hyperlink r:id="rId3" w:history="1">
        <w:r w:rsidR="00420A4C" w:rsidRPr="00420A4C">
          <w:rPr>
            <w:rStyle w:val="Hyperlink"/>
          </w:rPr>
          <w:t>https://worldjusticeproject.org/rule-of-law-index/insights#global-decline</w:t>
        </w:r>
      </w:hyperlink>
      <w:r w:rsidR="003D67ED" w:rsidRPr="00AE13AD">
        <w:t>.</w:t>
      </w:r>
    </w:p>
  </w:footnote>
  <w:footnote w:id="11">
    <w:p w14:paraId="316942E7" w14:textId="790AD7D5" w:rsidR="0099422D" w:rsidRPr="00AE13AD" w:rsidRDefault="00AE13AD" w:rsidP="0099422D">
      <w:pPr>
        <w:pStyle w:val="FootnoteText"/>
        <w:spacing w:before="240" w:line="240" w:lineRule="auto"/>
      </w:pPr>
      <w:r>
        <w:tab/>
      </w:r>
      <w:r w:rsidR="0099422D" w:rsidRPr="00AE13AD">
        <w:rPr>
          <w:rStyle w:val="FootnoteReference"/>
        </w:rPr>
        <w:footnoteRef/>
      </w:r>
      <w:r>
        <w:tab/>
      </w:r>
      <w:r>
        <w:tab/>
      </w:r>
      <w:r w:rsidR="00ED71D6">
        <w:t xml:space="preserve">See </w:t>
      </w:r>
      <w:hyperlink r:id="rId4" w:history="1">
        <w:r w:rsidR="0012468B">
          <w:rPr>
            <w:rStyle w:val="Hyperlink"/>
          </w:rPr>
          <w:t>https://www.un.org/en/content/common-agenda-report/</w:t>
        </w:r>
      </w:hyperlink>
      <w:r w:rsidR="00E834DF">
        <w:t>.</w:t>
      </w:r>
    </w:p>
  </w:footnote>
  <w:footnote w:id="12">
    <w:p w14:paraId="63E02818" w14:textId="73B4EF3B" w:rsidR="006C73A9" w:rsidRPr="00AE13AD" w:rsidRDefault="00AE13AD">
      <w:pPr>
        <w:pStyle w:val="FootnoteText"/>
      </w:pPr>
      <w:r>
        <w:tab/>
      </w:r>
      <w:r w:rsidR="006C73A9" w:rsidRPr="00AE13AD">
        <w:rPr>
          <w:rStyle w:val="FootnoteReference"/>
        </w:rPr>
        <w:footnoteRef/>
      </w:r>
      <w:r>
        <w:tab/>
      </w:r>
      <w:r>
        <w:tab/>
      </w:r>
      <w:r w:rsidR="00CF22D0">
        <w:t xml:space="preserve">See </w:t>
      </w:r>
      <w:r w:rsidR="006C73A9" w:rsidRPr="00AE13AD">
        <w:t>https://www.ohchr.org/sites/default/files/2023-08/230511-new-vision-for-rule-of-law.pdf</w:t>
      </w:r>
      <w:r w:rsidR="00271052">
        <w:t>.</w:t>
      </w:r>
    </w:p>
  </w:footnote>
  <w:footnote w:id="13">
    <w:p w14:paraId="35F88E9C" w14:textId="5D613A5C" w:rsidR="00FF7443" w:rsidRPr="00AE13AD" w:rsidRDefault="00AE13AD">
      <w:pPr>
        <w:pStyle w:val="FootnoteText"/>
      </w:pPr>
      <w:r>
        <w:tab/>
      </w:r>
      <w:r w:rsidR="00FF7443" w:rsidRPr="00AE13AD">
        <w:rPr>
          <w:rStyle w:val="FootnoteReference"/>
        </w:rPr>
        <w:footnoteRef/>
      </w:r>
      <w:r>
        <w:tab/>
      </w:r>
      <w:r w:rsidR="00FF7443" w:rsidRPr="00AE13AD">
        <w:t>Ibid.</w:t>
      </w:r>
    </w:p>
  </w:footnote>
  <w:footnote w:id="14">
    <w:p w14:paraId="2500A256" w14:textId="300702B0" w:rsidR="0099422D" w:rsidRPr="00AE13AD" w:rsidRDefault="00AE13AD" w:rsidP="0099422D">
      <w:pPr>
        <w:pStyle w:val="FootnoteText"/>
      </w:pPr>
      <w:r>
        <w:tab/>
      </w:r>
      <w:r w:rsidR="0099422D" w:rsidRPr="00AE13AD">
        <w:rPr>
          <w:rStyle w:val="FootnoteReference"/>
        </w:rPr>
        <w:footnoteRef/>
      </w:r>
      <w:r>
        <w:tab/>
      </w:r>
      <w:r>
        <w:tab/>
      </w:r>
      <w:r w:rsidR="005F7548">
        <w:t xml:space="preserve">See </w:t>
      </w:r>
      <w:hyperlink r:id="rId5" w:history="1">
        <w:r w:rsidR="005F7548" w:rsidRPr="005F7548">
          <w:rPr>
            <w:rStyle w:val="Hyperlink"/>
          </w:rPr>
          <w:t>https://www.un.org/sites/un2.un.org/files/our-common-agenda-policy-brief-new-agenda-for-peace-en.pdf</w:t>
        </w:r>
      </w:hyperlink>
      <w:r w:rsidR="00271052">
        <w:rPr>
          <w:rStyle w:val="Hyperlink"/>
        </w:rPr>
        <w:t>.</w:t>
      </w:r>
    </w:p>
  </w:footnote>
  <w:footnote w:id="15">
    <w:p w14:paraId="089680F1" w14:textId="6977325B" w:rsidR="006C73A9" w:rsidRPr="00AE13AD" w:rsidRDefault="00AE13AD">
      <w:pPr>
        <w:pStyle w:val="FootnoteText"/>
      </w:pPr>
      <w:r>
        <w:tab/>
      </w:r>
      <w:r w:rsidR="006C73A9" w:rsidRPr="00AE13AD">
        <w:rPr>
          <w:rStyle w:val="FootnoteReference"/>
        </w:rPr>
        <w:footnoteRef/>
      </w:r>
      <w:r>
        <w:tab/>
      </w:r>
      <w:r>
        <w:tab/>
      </w:r>
      <w:r w:rsidR="001F5E3C">
        <w:t xml:space="preserve">See </w:t>
      </w:r>
      <w:r w:rsidR="00121753" w:rsidRPr="008A0231">
        <w:rPr>
          <w:i/>
          <w:iCs/>
        </w:rPr>
        <w:t>Human Rights and Constitution</w:t>
      </w:r>
      <w:r w:rsidR="00414007">
        <w:rPr>
          <w:i/>
          <w:iCs/>
        </w:rPr>
        <w:t xml:space="preserve"> </w:t>
      </w:r>
      <w:r w:rsidR="00121753" w:rsidRPr="008A0231">
        <w:rPr>
          <w:i/>
          <w:iCs/>
        </w:rPr>
        <w:t>Making</w:t>
      </w:r>
      <w:r w:rsidR="00121753">
        <w:t xml:space="preserve"> (United Nations publication</w:t>
      </w:r>
      <w:r w:rsidR="001916B2">
        <w:t>, 2018).</w:t>
      </w:r>
      <w:hyperlink w:history="1"/>
    </w:p>
  </w:footnote>
  <w:footnote w:id="16">
    <w:p w14:paraId="1FB7B9A7" w14:textId="1CD3B92F" w:rsidR="003068C2" w:rsidRPr="00AE13AD" w:rsidRDefault="00AE13AD">
      <w:pPr>
        <w:pStyle w:val="FootnoteText"/>
      </w:pPr>
      <w:r>
        <w:tab/>
      </w:r>
      <w:r w:rsidR="003068C2" w:rsidRPr="00AE13AD">
        <w:rPr>
          <w:rStyle w:val="FootnoteReference"/>
        </w:rPr>
        <w:footnoteRef/>
      </w:r>
      <w:r>
        <w:tab/>
      </w:r>
      <w:r>
        <w:tab/>
      </w:r>
      <w:r w:rsidR="003068C2" w:rsidRPr="00771943">
        <w:t>See also</w:t>
      </w:r>
      <w:r w:rsidR="003068C2" w:rsidRPr="00AE13AD">
        <w:t xml:space="preserve"> </w:t>
      </w:r>
      <w:r w:rsidR="008B5DF4">
        <w:t>International Covenant on Civil and Political Rights,</w:t>
      </w:r>
      <w:r w:rsidR="003068C2" w:rsidRPr="00AE13AD">
        <w:t xml:space="preserve"> art. 26.</w:t>
      </w:r>
    </w:p>
  </w:footnote>
  <w:footnote w:id="17">
    <w:p w14:paraId="726EF8CD" w14:textId="0173F7AD" w:rsidR="002725C2" w:rsidRPr="00AE13AD" w:rsidRDefault="00AE13AD">
      <w:pPr>
        <w:pStyle w:val="FootnoteText"/>
      </w:pPr>
      <w:r>
        <w:tab/>
      </w:r>
      <w:r w:rsidR="002725C2" w:rsidRPr="00AE13AD">
        <w:rPr>
          <w:rStyle w:val="FootnoteReference"/>
        </w:rPr>
        <w:footnoteRef/>
      </w:r>
      <w:r>
        <w:tab/>
      </w:r>
      <w:r>
        <w:tab/>
      </w:r>
      <w:r w:rsidR="002725C2" w:rsidRPr="00CF54A6">
        <w:t>See e.g. contribution by Peru.</w:t>
      </w:r>
    </w:p>
  </w:footnote>
  <w:footnote w:id="18">
    <w:p w14:paraId="468653D5" w14:textId="7A4AEC8D" w:rsidR="00F87BBE" w:rsidRPr="00AE13AD" w:rsidRDefault="00AE13AD" w:rsidP="00F87BBE">
      <w:pPr>
        <w:pStyle w:val="FootnoteText"/>
      </w:pPr>
      <w:r>
        <w:tab/>
      </w:r>
      <w:r w:rsidR="00F87BBE" w:rsidRPr="00AE13AD">
        <w:rPr>
          <w:rStyle w:val="FootnoteReference"/>
        </w:rPr>
        <w:footnoteRef/>
      </w:r>
      <w:r>
        <w:tab/>
      </w:r>
      <w:r>
        <w:tab/>
      </w:r>
      <w:r w:rsidR="00062ECD">
        <w:t>Human Rights Committee</w:t>
      </w:r>
      <w:r w:rsidR="00F87BBE" w:rsidRPr="00AE13AD">
        <w:t xml:space="preserve">, </w:t>
      </w:r>
      <w:r w:rsidR="00EE3E2C">
        <w:t>g</w:t>
      </w:r>
      <w:r w:rsidR="00F87BBE" w:rsidRPr="00AE13AD">
        <w:t xml:space="preserve">eneral </w:t>
      </w:r>
      <w:r w:rsidR="00EE3E2C">
        <w:t>c</w:t>
      </w:r>
      <w:r w:rsidR="00F87BBE" w:rsidRPr="00AE13AD">
        <w:t xml:space="preserve">omment </w:t>
      </w:r>
      <w:r w:rsidR="00EE3E2C">
        <w:t>N</w:t>
      </w:r>
      <w:r w:rsidR="00F87BBE" w:rsidRPr="00AE13AD">
        <w:t>o. 25</w:t>
      </w:r>
      <w:r w:rsidR="00EE3E2C">
        <w:t xml:space="preserve"> (1996)</w:t>
      </w:r>
      <w:r w:rsidR="00F87BBE" w:rsidRPr="00AE13AD">
        <w:t>, para. 7</w:t>
      </w:r>
      <w:r w:rsidR="000B07A5">
        <w:t>; and</w:t>
      </w:r>
      <w:r w:rsidR="00112FF9" w:rsidRPr="00AE13AD">
        <w:t xml:space="preserve"> </w:t>
      </w:r>
      <w:r w:rsidR="000B07A5">
        <w:t xml:space="preserve">United Nations Development </w:t>
      </w:r>
      <w:proofErr w:type="spellStart"/>
      <w:r w:rsidR="000B07A5">
        <w:t>Programme</w:t>
      </w:r>
      <w:proofErr w:type="spellEnd"/>
      <w:r w:rsidR="000B07A5">
        <w:t xml:space="preserve"> (</w:t>
      </w:r>
      <w:r w:rsidR="00443115" w:rsidRPr="00AE13AD">
        <w:t>UNDP</w:t>
      </w:r>
      <w:r w:rsidR="000B07A5">
        <w:t>)</w:t>
      </w:r>
      <w:r w:rsidR="00443115" w:rsidRPr="00AE13AD">
        <w:t xml:space="preserve">, </w:t>
      </w:r>
      <w:r w:rsidR="005B375F" w:rsidRPr="008A0231">
        <w:rPr>
          <w:i/>
          <w:iCs/>
        </w:rPr>
        <w:t>Protecting Human Rights in Constitutions</w:t>
      </w:r>
      <w:r w:rsidR="00475FE7" w:rsidRPr="008A0231">
        <w:rPr>
          <w:rStyle w:val="Hyperlink"/>
          <w:i/>
          <w:iCs/>
        </w:rPr>
        <w:t xml:space="preserve"> </w:t>
      </w:r>
      <w:r w:rsidR="00475FE7">
        <w:rPr>
          <w:rStyle w:val="Hyperlink"/>
        </w:rPr>
        <w:t>(2023)</w:t>
      </w:r>
      <w:r w:rsidR="00443115" w:rsidRPr="00AE13AD">
        <w:t>, p.</w:t>
      </w:r>
      <w:r w:rsidR="00462402" w:rsidRPr="00AE13AD">
        <w:t xml:space="preserve"> 13.</w:t>
      </w:r>
      <w:r w:rsidR="002725C2" w:rsidRPr="00AE13AD">
        <w:t xml:space="preserve"> The importance of the supremacy of the </w:t>
      </w:r>
      <w:r w:rsidR="00A8676B">
        <w:t>C</w:t>
      </w:r>
      <w:r w:rsidR="002725C2" w:rsidRPr="00AE13AD">
        <w:t xml:space="preserve">onstitution was </w:t>
      </w:r>
      <w:r w:rsidR="00A8676B">
        <w:t>highlighted</w:t>
      </w:r>
      <w:r w:rsidR="002725C2" w:rsidRPr="00AE13AD">
        <w:t xml:space="preserve"> in </w:t>
      </w:r>
      <w:r w:rsidR="002725C2" w:rsidRPr="00A8676B">
        <w:t>the contribution by Guyana</w:t>
      </w:r>
      <w:r w:rsidR="002725C2" w:rsidRPr="00AE13AD">
        <w:t>.</w:t>
      </w:r>
    </w:p>
  </w:footnote>
  <w:footnote w:id="19">
    <w:p w14:paraId="57EEC47B" w14:textId="10D2C633" w:rsidR="00706D8B" w:rsidRPr="00AE13AD" w:rsidRDefault="00AE13AD" w:rsidP="00706D8B">
      <w:pPr>
        <w:pStyle w:val="FootnoteText"/>
      </w:pPr>
      <w:r>
        <w:tab/>
      </w:r>
      <w:r w:rsidR="00706D8B" w:rsidRPr="00AE13AD">
        <w:rPr>
          <w:rStyle w:val="FootnoteReference"/>
        </w:rPr>
        <w:footnoteRef/>
      </w:r>
      <w:r>
        <w:tab/>
      </w:r>
      <w:r>
        <w:tab/>
      </w:r>
      <w:r w:rsidR="001A0394">
        <w:t>“</w:t>
      </w:r>
      <w:r w:rsidR="005B375F" w:rsidRPr="008A0231">
        <w:t>Guidance note of the Secretary-General on United Nations constitutional assistance</w:t>
      </w:r>
      <w:r w:rsidR="001A0394">
        <w:rPr>
          <w:rStyle w:val="Hyperlink"/>
        </w:rPr>
        <w:t>”</w:t>
      </w:r>
      <w:r w:rsidR="00F81D6B">
        <w:rPr>
          <w:rStyle w:val="Hyperlink"/>
        </w:rPr>
        <w:t xml:space="preserve"> </w:t>
      </w:r>
      <w:r w:rsidR="006E1A5F">
        <w:rPr>
          <w:rStyle w:val="Hyperlink"/>
        </w:rPr>
        <w:t>(</w:t>
      </w:r>
      <w:r w:rsidR="00F81D6B">
        <w:rPr>
          <w:rStyle w:val="Hyperlink"/>
        </w:rPr>
        <w:t>September</w:t>
      </w:r>
      <w:r w:rsidR="00706D8B" w:rsidRPr="00AE13AD">
        <w:t xml:space="preserve"> 2020</w:t>
      </w:r>
      <w:r w:rsidR="006E1A5F">
        <w:t>)</w:t>
      </w:r>
      <w:r w:rsidR="00706D8B" w:rsidRPr="00AE13AD">
        <w:t>;</w:t>
      </w:r>
      <w:r w:rsidR="00F81D6B">
        <w:t xml:space="preserve"> and</w:t>
      </w:r>
      <w:r w:rsidR="00706D8B" w:rsidRPr="00AE13AD">
        <w:t xml:space="preserve"> A/HRC/37/65, para. 90</w:t>
      </w:r>
      <w:r w:rsidR="00E8312B" w:rsidRPr="00AE13AD">
        <w:t>.</w:t>
      </w:r>
    </w:p>
  </w:footnote>
  <w:footnote w:id="20">
    <w:p w14:paraId="0FE34647" w14:textId="0F3DBB6E" w:rsidR="003068C2" w:rsidRPr="00AE13AD" w:rsidRDefault="00AE13AD" w:rsidP="00E4129F">
      <w:pPr>
        <w:pStyle w:val="FootnoteText"/>
      </w:pPr>
      <w:r>
        <w:tab/>
      </w:r>
      <w:r w:rsidR="003068C2" w:rsidRPr="00AE13AD">
        <w:rPr>
          <w:rStyle w:val="FootnoteReference"/>
        </w:rPr>
        <w:footnoteRef/>
      </w:r>
      <w:r>
        <w:tab/>
      </w:r>
      <w:r>
        <w:tab/>
      </w:r>
      <w:proofErr w:type="spellStart"/>
      <w:r w:rsidR="003068C2" w:rsidRPr="008A0231">
        <w:rPr>
          <w:i/>
          <w:iCs/>
        </w:rPr>
        <w:t>B</w:t>
      </w:r>
      <w:r w:rsidR="00E4129F" w:rsidRPr="008A0231">
        <w:rPr>
          <w:i/>
          <w:iCs/>
        </w:rPr>
        <w:t>o</w:t>
      </w:r>
      <w:r w:rsidR="003068C2" w:rsidRPr="008A0231">
        <w:rPr>
          <w:i/>
          <w:iCs/>
        </w:rPr>
        <w:t>rzov</w:t>
      </w:r>
      <w:proofErr w:type="spellEnd"/>
      <w:r w:rsidR="003068C2" w:rsidRPr="008A0231">
        <w:rPr>
          <w:i/>
          <w:iCs/>
        </w:rPr>
        <w:t xml:space="preserve"> v</w:t>
      </w:r>
      <w:r w:rsidR="00581856" w:rsidRPr="008A0231">
        <w:rPr>
          <w:i/>
          <w:iCs/>
        </w:rPr>
        <w:t>.</w:t>
      </w:r>
      <w:r w:rsidR="003068C2" w:rsidRPr="008A0231">
        <w:rPr>
          <w:i/>
          <w:iCs/>
        </w:rPr>
        <w:t xml:space="preserve"> Estonia</w:t>
      </w:r>
      <w:r w:rsidR="003F34E2" w:rsidRPr="00AE13AD">
        <w:t xml:space="preserve"> </w:t>
      </w:r>
      <w:r w:rsidR="00F6363A">
        <w:t>(</w:t>
      </w:r>
      <w:r w:rsidR="00F6363A" w:rsidRPr="00F6363A">
        <w:t>CCPR/C/81/D/</w:t>
      </w:r>
      <w:r w:rsidR="003F34E2" w:rsidRPr="00AE13AD">
        <w:t>1136/20</w:t>
      </w:r>
      <w:r w:rsidR="00581856">
        <w:t>0</w:t>
      </w:r>
      <w:r w:rsidR="003F34E2" w:rsidRPr="00AE13AD">
        <w:t>2</w:t>
      </w:r>
      <w:r w:rsidR="00F6363A">
        <w:t>)</w:t>
      </w:r>
      <w:r w:rsidR="003F34E2" w:rsidRPr="00AE13AD">
        <w:t>, para. 7.2.</w:t>
      </w:r>
    </w:p>
  </w:footnote>
  <w:footnote w:id="21">
    <w:p w14:paraId="4998C554" w14:textId="45DD1C75" w:rsidR="007D16D1" w:rsidRPr="00AE13AD" w:rsidRDefault="00E33A97" w:rsidP="007D16D1">
      <w:pPr>
        <w:pStyle w:val="FootnoteText"/>
      </w:pPr>
      <w:r>
        <w:tab/>
      </w:r>
      <w:r w:rsidR="007D16D1" w:rsidRPr="00AE13AD">
        <w:rPr>
          <w:rStyle w:val="FootnoteReference"/>
        </w:rPr>
        <w:footnoteRef/>
      </w:r>
      <w:r>
        <w:tab/>
      </w:r>
      <w:r>
        <w:tab/>
      </w:r>
      <w:r w:rsidR="00A60124">
        <w:t>Inter-Parliamentary Union</w:t>
      </w:r>
      <w:r w:rsidR="00255F10" w:rsidRPr="00255F10">
        <w:t xml:space="preserve"> </w:t>
      </w:r>
      <w:r w:rsidR="00255F10">
        <w:t>and</w:t>
      </w:r>
      <w:r w:rsidR="00255F10" w:rsidRPr="00AE13AD">
        <w:t xml:space="preserve"> OHCHR</w:t>
      </w:r>
      <w:r w:rsidR="007D16D1" w:rsidRPr="00AE13AD">
        <w:t xml:space="preserve">, </w:t>
      </w:r>
      <w:r w:rsidR="003569B8" w:rsidRPr="008A0231">
        <w:rPr>
          <w:i/>
          <w:iCs/>
        </w:rPr>
        <w:t xml:space="preserve">Human Rights: </w:t>
      </w:r>
      <w:r w:rsidR="00234E6A" w:rsidRPr="008A0231">
        <w:rPr>
          <w:i/>
          <w:iCs/>
        </w:rPr>
        <w:t>Handbook for Parliamentarians</w:t>
      </w:r>
      <w:r w:rsidR="00975369">
        <w:rPr>
          <w:rStyle w:val="Hyperlink"/>
          <w:i/>
          <w:iCs/>
        </w:rPr>
        <w:t xml:space="preserve"> No. 26</w:t>
      </w:r>
      <w:r w:rsidR="007D16D1" w:rsidRPr="00AE13AD">
        <w:t xml:space="preserve"> (2016), p. 94</w:t>
      </w:r>
      <w:r w:rsidR="00443115" w:rsidRPr="00AE13AD">
        <w:t>;</w:t>
      </w:r>
      <w:r w:rsidR="007D16D1" w:rsidRPr="00AE13AD">
        <w:t xml:space="preserve"> </w:t>
      </w:r>
      <w:r w:rsidR="0087268B">
        <w:t xml:space="preserve">and </w:t>
      </w:r>
      <w:hyperlink r:id="rId6" w:history="1">
        <w:r w:rsidR="007D16D1" w:rsidRPr="00AE13AD">
          <w:rPr>
            <w:rStyle w:val="Hyperlink"/>
          </w:rPr>
          <w:t>A/HRC/37/52</w:t>
        </w:r>
      </w:hyperlink>
      <w:r w:rsidR="00443115" w:rsidRPr="00AE13AD">
        <w:t>.</w:t>
      </w:r>
    </w:p>
  </w:footnote>
  <w:footnote w:id="22">
    <w:p w14:paraId="2ABA22F1" w14:textId="60903BFA" w:rsidR="00D63410" w:rsidRPr="00AE13AD" w:rsidRDefault="00E33A97" w:rsidP="00D63410">
      <w:pPr>
        <w:pStyle w:val="FootnoteText"/>
      </w:pPr>
      <w:r>
        <w:tab/>
      </w:r>
      <w:r w:rsidR="00D63410" w:rsidRPr="00AE13AD">
        <w:rPr>
          <w:rStyle w:val="FootnoteReference"/>
        </w:rPr>
        <w:footnoteRef/>
      </w:r>
      <w:r>
        <w:tab/>
      </w:r>
      <w:r>
        <w:tab/>
      </w:r>
      <w:r w:rsidR="00D63410" w:rsidRPr="00AE13AD">
        <w:t xml:space="preserve">See e.g. </w:t>
      </w:r>
      <w:r w:rsidR="00797688">
        <w:t>International Covenant on Civil and Political Rights,</w:t>
      </w:r>
      <w:r w:rsidR="00D63410" w:rsidRPr="00AE13AD">
        <w:t xml:space="preserve"> arts</w:t>
      </w:r>
      <w:r w:rsidR="00797688">
        <w:t>.</w:t>
      </w:r>
      <w:r w:rsidR="00D63410" w:rsidRPr="00AE13AD">
        <w:t xml:space="preserve"> 15, 18, 19, 21</w:t>
      </w:r>
      <w:r w:rsidR="00797688">
        <w:t xml:space="preserve"> and</w:t>
      </w:r>
      <w:r w:rsidR="00D63410" w:rsidRPr="00AE13AD">
        <w:t xml:space="preserve"> 22. See also </w:t>
      </w:r>
      <w:r w:rsidR="00797688">
        <w:t>Human Rights Committee</w:t>
      </w:r>
      <w:r w:rsidR="00D63410" w:rsidRPr="00AE13AD">
        <w:t xml:space="preserve">, </w:t>
      </w:r>
      <w:r w:rsidR="00797688">
        <w:t>g</w:t>
      </w:r>
      <w:r w:rsidR="00D63410" w:rsidRPr="00AE13AD">
        <w:t xml:space="preserve">eneral </w:t>
      </w:r>
      <w:r w:rsidR="00797688">
        <w:t>c</w:t>
      </w:r>
      <w:r w:rsidR="00D63410" w:rsidRPr="00AE13AD">
        <w:t xml:space="preserve">omment </w:t>
      </w:r>
      <w:r w:rsidR="00797688">
        <w:t>N</w:t>
      </w:r>
      <w:r w:rsidR="00D63410" w:rsidRPr="00AE13AD">
        <w:t>o. 34</w:t>
      </w:r>
      <w:r w:rsidR="00797688">
        <w:t xml:space="preserve"> (</w:t>
      </w:r>
      <w:r w:rsidR="008E3B8A">
        <w:t>2011)</w:t>
      </w:r>
      <w:r w:rsidR="00D63410" w:rsidRPr="00AE13AD">
        <w:t>, para. 25.</w:t>
      </w:r>
    </w:p>
  </w:footnote>
  <w:footnote w:id="23">
    <w:p w14:paraId="3A15CCAA" w14:textId="1859CBBA" w:rsidR="004878C7" w:rsidRPr="00AE13AD" w:rsidRDefault="00E33A97">
      <w:pPr>
        <w:pStyle w:val="FootnoteText"/>
      </w:pPr>
      <w:r>
        <w:tab/>
      </w:r>
      <w:r w:rsidR="004878C7" w:rsidRPr="00AE13AD">
        <w:rPr>
          <w:rStyle w:val="FootnoteReference"/>
        </w:rPr>
        <w:footnoteRef/>
      </w:r>
      <w:r>
        <w:tab/>
      </w:r>
      <w:r>
        <w:tab/>
      </w:r>
      <w:r w:rsidR="004878C7" w:rsidRPr="00AE13AD">
        <w:t xml:space="preserve">See e.g. </w:t>
      </w:r>
      <w:r w:rsidR="008E3B8A">
        <w:t>International Covenant on Civil and Political Rights,</w:t>
      </w:r>
      <w:r w:rsidR="004878C7" w:rsidRPr="00AE13AD">
        <w:t xml:space="preserve"> art. 2.</w:t>
      </w:r>
    </w:p>
  </w:footnote>
  <w:footnote w:id="24">
    <w:p w14:paraId="4CE0733B" w14:textId="6A7E3914" w:rsidR="006C73A9" w:rsidRPr="00AE13AD" w:rsidRDefault="00E33A97">
      <w:pPr>
        <w:pStyle w:val="FootnoteText"/>
      </w:pPr>
      <w:r>
        <w:tab/>
      </w:r>
      <w:r w:rsidR="006C73A9" w:rsidRPr="00AE13AD">
        <w:rPr>
          <w:rStyle w:val="FootnoteReference"/>
        </w:rPr>
        <w:footnoteRef/>
      </w:r>
      <w:r>
        <w:tab/>
      </w:r>
      <w:r w:rsidR="00AE533F" w:rsidRPr="008A0231">
        <w:rPr>
          <w:i/>
          <w:iCs/>
        </w:rPr>
        <w:t>Human Rights and Constitution Making</w:t>
      </w:r>
      <w:r w:rsidR="006C73A9" w:rsidRPr="00AE13AD">
        <w:t>, p. 10</w:t>
      </w:r>
      <w:r w:rsidR="00271052">
        <w:t>.</w:t>
      </w:r>
    </w:p>
  </w:footnote>
  <w:footnote w:id="25">
    <w:p w14:paraId="69550B66" w14:textId="319DFE79" w:rsidR="006C73A9" w:rsidRPr="00AE13AD" w:rsidRDefault="00E33A97">
      <w:pPr>
        <w:pStyle w:val="FootnoteText"/>
      </w:pPr>
      <w:r>
        <w:tab/>
      </w:r>
      <w:r w:rsidR="006C73A9" w:rsidRPr="00AE13AD">
        <w:rPr>
          <w:rStyle w:val="FootnoteReference"/>
        </w:rPr>
        <w:footnoteRef/>
      </w:r>
      <w:r>
        <w:tab/>
      </w:r>
      <w:r>
        <w:tab/>
      </w:r>
      <w:r w:rsidR="00D622A9" w:rsidRPr="00AE13AD">
        <w:t xml:space="preserve">See e.g. </w:t>
      </w:r>
      <w:r w:rsidR="00DE61B7" w:rsidRPr="00AE13AD">
        <w:t xml:space="preserve">A/HRC/56/30, para. </w:t>
      </w:r>
      <w:r w:rsidR="00D622A9" w:rsidRPr="00AE13AD">
        <w:t>11</w:t>
      </w:r>
      <w:r w:rsidR="00DE61B7" w:rsidRPr="00AE13AD">
        <w:t>.</w:t>
      </w:r>
    </w:p>
  </w:footnote>
  <w:footnote w:id="26">
    <w:p w14:paraId="3E637B65" w14:textId="1402696E" w:rsidR="009D221A" w:rsidRPr="00AE13AD" w:rsidRDefault="00E33A97" w:rsidP="009D221A">
      <w:pPr>
        <w:pStyle w:val="FootnoteText"/>
      </w:pPr>
      <w:r>
        <w:tab/>
      </w:r>
      <w:r w:rsidR="009D221A" w:rsidRPr="00AE13AD">
        <w:rPr>
          <w:rStyle w:val="FootnoteReference"/>
        </w:rPr>
        <w:footnoteRef/>
      </w:r>
      <w:r>
        <w:tab/>
      </w:r>
      <w:r>
        <w:tab/>
      </w:r>
      <w:r w:rsidR="00FB62BF" w:rsidRPr="00FB62BF">
        <w:t>European Commission for Democracy through Law</w:t>
      </w:r>
      <w:r w:rsidR="0018064F" w:rsidRPr="00AE13AD">
        <w:rPr>
          <w:rStyle w:val="Hyperlink"/>
        </w:rPr>
        <w:t xml:space="preserve">, </w:t>
      </w:r>
      <w:r w:rsidR="00AA4D8D" w:rsidRPr="008A0231">
        <w:rPr>
          <w:i/>
          <w:iCs/>
        </w:rPr>
        <w:t>Rule of Law Checklist</w:t>
      </w:r>
      <w:r w:rsidR="0018064F" w:rsidRPr="00AE13AD">
        <w:rPr>
          <w:rStyle w:val="Hyperlink"/>
        </w:rPr>
        <w:t xml:space="preserve"> (201</w:t>
      </w:r>
      <w:r w:rsidR="00AA4D8D">
        <w:rPr>
          <w:rStyle w:val="Hyperlink"/>
        </w:rPr>
        <w:t>6</w:t>
      </w:r>
      <w:r w:rsidR="0018064F" w:rsidRPr="00AE13AD">
        <w:rPr>
          <w:rStyle w:val="Hyperlink"/>
        </w:rPr>
        <w:t>)</w:t>
      </w:r>
      <w:r w:rsidR="009D221A" w:rsidRPr="00AE13AD">
        <w:t xml:space="preserve">, </w:t>
      </w:r>
      <w:r w:rsidR="00CD496B">
        <w:t>paras. 114–</w:t>
      </w:r>
      <w:r w:rsidR="00CD496B" w:rsidRPr="00280D75">
        <w:t>116</w:t>
      </w:r>
      <w:r w:rsidR="009D221A" w:rsidRPr="00280D75">
        <w:t>.</w:t>
      </w:r>
    </w:p>
  </w:footnote>
  <w:footnote w:id="27">
    <w:p w14:paraId="54B72739" w14:textId="359BDFD0" w:rsidR="00F82266" w:rsidRPr="00AE13AD" w:rsidRDefault="00E33A97">
      <w:pPr>
        <w:pStyle w:val="FootnoteText"/>
      </w:pPr>
      <w:r>
        <w:tab/>
      </w:r>
      <w:r w:rsidR="00F82266" w:rsidRPr="00AE13AD">
        <w:rPr>
          <w:rStyle w:val="FootnoteReference"/>
        </w:rPr>
        <w:footnoteRef/>
      </w:r>
      <w:r>
        <w:tab/>
      </w:r>
      <w:r>
        <w:tab/>
      </w:r>
      <w:r w:rsidR="00BC6470" w:rsidRPr="00BC6470">
        <w:t>Organisation for Economic Co-operation and Development</w:t>
      </w:r>
      <w:r w:rsidR="00BC6470">
        <w:t xml:space="preserve"> (</w:t>
      </w:r>
      <w:r w:rsidR="00F82266" w:rsidRPr="00AE13AD">
        <w:t>OECD</w:t>
      </w:r>
      <w:r w:rsidR="00BC6470">
        <w:t>)</w:t>
      </w:r>
      <w:r w:rsidR="00E30F84">
        <w:t xml:space="preserve">, </w:t>
      </w:r>
      <w:r w:rsidR="00E30F84" w:rsidRPr="008A0231">
        <w:rPr>
          <w:i/>
          <w:iCs/>
        </w:rPr>
        <w:t>OECD</w:t>
      </w:r>
      <w:r w:rsidR="00F82266" w:rsidRPr="008A0231">
        <w:rPr>
          <w:i/>
          <w:iCs/>
        </w:rPr>
        <w:t xml:space="preserve"> Survey on Drivers of Trust in Public Institutions – 2024 Result</w:t>
      </w:r>
      <w:r w:rsidR="0083139D" w:rsidRPr="008A0231">
        <w:rPr>
          <w:i/>
          <w:iCs/>
        </w:rPr>
        <w:t>s</w:t>
      </w:r>
      <w:r w:rsidR="00F82266" w:rsidRPr="008A0231">
        <w:rPr>
          <w:i/>
          <w:iCs/>
        </w:rPr>
        <w:t>: Building Trust in a Complex Policy Environment</w:t>
      </w:r>
      <w:r w:rsidR="0083139D">
        <w:t xml:space="preserve"> (Paris, 2024)</w:t>
      </w:r>
      <w:r w:rsidR="00F82266" w:rsidRPr="00AE13AD">
        <w:t>, p. 102.</w:t>
      </w:r>
    </w:p>
  </w:footnote>
  <w:footnote w:id="28">
    <w:p w14:paraId="1BD411E4" w14:textId="1F5FEFBF" w:rsidR="009F4706" w:rsidRPr="00AE13AD" w:rsidRDefault="00E33A97">
      <w:pPr>
        <w:pStyle w:val="FootnoteText"/>
      </w:pPr>
      <w:r>
        <w:tab/>
      </w:r>
      <w:r w:rsidR="009F4706" w:rsidRPr="00AE13AD">
        <w:rPr>
          <w:rStyle w:val="FootnoteReference"/>
        </w:rPr>
        <w:footnoteRef/>
      </w:r>
      <w:r>
        <w:tab/>
      </w:r>
      <w:r>
        <w:tab/>
      </w:r>
      <w:r w:rsidR="009F4706" w:rsidRPr="00AE533F">
        <w:t xml:space="preserve">See </w:t>
      </w:r>
      <w:r w:rsidR="009F4706" w:rsidRPr="00AE13AD">
        <w:t>para</w:t>
      </w:r>
      <w:r w:rsidR="00D96947" w:rsidRPr="00AE13AD">
        <w:t>.</w:t>
      </w:r>
      <w:r w:rsidR="00E250EE" w:rsidRPr="00AE13AD">
        <w:t xml:space="preserve"> 24</w:t>
      </w:r>
      <w:r w:rsidR="00541E5A">
        <w:t xml:space="preserve"> below</w:t>
      </w:r>
      <w:r w:rsidR="009F4706" w:rsidRPr="00AE13AD">
        <w:t>.</w:t>
      </w:r>
    </w:p>
  </w:footnote>
  <w:footnote w:id="29">
    <w:p w14:paraId="1899BE1B" w14:textId="242A18A4" w:rsidR="00D35B13" w:rsidRPr="008A0231" w:rsidRDefault="00E33A97" w:rsidP="00D35B13">
      <w:pPr>
        <w:pStyle w:val="FootnoteText"/>
      </w:pPr>
      <w:r>
        <w:tab/>
      </w:r>
      <w:r w:rsidR="00D35B13" w:rsidRPr="00AE13AD">
        <w:rPr>
          <w:rStyle w:val="FootnoteReference"/>
        </w:rPr>
        <w:footnoteRef/>
      </w:r>
      <w:r>
        <w:tab/>
      </w:r>
      <w:r>
        <w:tab/>
      </w:r>
      <w:r w:rsidR="00D35B13" w:rsidRPr="0047362C">
        <w:t xml:space="preserve">See e.g. </w:t>
      </w:r>
      <w:r w:rsidR="004D3E7B" w:rsidRPr="0047362C">
        <w:t>Committee on Economic, Social and Cultural Rights</w:t>
      </w:r>
      <w:r w:rsidR="00D35B13" w:rsidRPr="0047362C">
        <w:t xml:space="preserve">, </w:t>
      </w:r>
      <w:r w:rsidR="004D3E7B" w:rsidRPr="0047362C">
        <w:t>g</w:t>
      </w:r>
      <w:r w:rsidR="00D35B13" w:rsidRPr="0047362C">
        <w:t xml:space="preserve">eneral </w:t>
      </w:r>
      <w:r w:rsidR="004D3E7B" w:rsidRPr="0047362C">
        <w:t>c</w:t>
      </w:r>
      <w:r w:rsidR="00D35B13" w:rsidRPr="0047362C">
        <w:t xml:space="preserve">omment </w:t>
      </w:r>
      <w:r w:rsidR="004D3E7B" w:rsidRPr="0047362C">
        <w:t>N</w:t>
      </w:r>
      <w:r w:rsidR="00D35B13" w:rsidRPr="0047362C">
        <w:t xml:space="preserve">o. 24 (2017), paras. </w:t>
      </w:r>
      <w:r w:rsidR="00D35B13" w:rsidRPr="008A0231">
        <w:t xml:space="preserve">21 </w:t>
      </w:r>
      <w:r w:rsidR="004D3E7B" w:rsidRPr="008A0231">
        <w:t>and</w:t>
      </w:r>
      <w:r w:rsidR="00D35B13" w:rsidRPr="008A0231">
        <w:t xml:space="preserve"> 22; </w:t>
      </w:r>
      <w:r w:rsidR="004D3E7B" w:rsidRPr="008A0231">
        <w:t xml:space="preserve">and </w:t>
      </w:r>
      <w:hyperlink r:id="rId7" w:history="1">
        <w:r w:rsidR="00D35B13" w:rsidRPr="008A0231">
          <w:rPr>
            <w:rStyle w:val="Hyperlink"/>
          </w:rPr>
          <w:t>A/73/396</w:t>
        </w:r>
      </w:hyperlink>
      <w:r w:rsidR="00D35B13" w:rsidRPr="008A0231">
        <w:t>.</w:t>
      </w:r>
    </w:p>
  </w:footnote>
  <w:footnote w:id="30">
    <w:p w14:paraId="583625CC" w14:textId="7A1179B2" w:rsidR="00A53C70" w:rsidRPr="0047362C" w:rsidRDefault="00E33A97">
      <w:pPr>
        <w:pStyle w:val="FootnoteText"/>
      </w:pPr>
      <w:r w:rsidRPr="008A0231">
        <w:tab/>
      </w:r>
      <w:r w:rsidR="00A53C70" w:rsidRPr="0047362C">
        <w:rPr>
          <w:rStyle w:val="FootnoteReference"/>
        </w:rPr>
        <w:footnoteRef/>
      </w:r>
      <w:r w:rsidRPr="008A0231">
        <w:tab/>
      </w:r>
      <w:r w:rsidRPr="008A0231">
        <w:tab/>
      </w:r>
      <w:r w:rsidR="00A53C70" w:rsidRPr="008A0231">
        <w:t xml:space="preserve">General </w:t>
      </w:r>
      <w:r w:rsidR="00476E27" w:rsidRPr="008A0231">
        <w:t>c</w:t>
      </w:r>
      <w:r w:rsidR="00A53C70" w:rsidRPr="008A0231">
        <w:t xml:space="preserve">omment </w:t>
      </w:r>
      <w:r w:rsidR="00476E27" w:rsidRPr="008A0231">
        <w:t>N</w:t>
      </w:r>
      <w:r w:rsidR="00A53C70" w:rsidRPr="008A0231">
        <w:t xml:space="preserve">o. 24 (2017), para. </w:t>
      </w:r>
      <w:r w:rsidR="00A53C70" w:rsidRPr="0047362C">
        <w:t>22.</w:t>
      </w:r>
    </w:p>
  </w:footnote>
  <w:footnote w:id="31">
    <w:p w14:paraId="7D6EAB40" w14:textId="76ABD409" w:rsidR="001146CC" w:rsidRPr="0047362C" w:rsidRDefault="00E33A97" w:rsidP="001146CC">
      <w:pPr>
        <w:pStyle w:val="FootnoteText"/>
      </w:pPr>
      <w:r w:rsidRPr="0047362C">
        <w:tab/>
      </w:r>
      <w:r w:rsidR="001146CC" w:rsidRPr="0047362C">
        <w:rPr>
          <w:rStyle w:val="FootnoteReference"/>
        </w:rPr>
        <w:footnoteRef/>
      </w:r>
      <w:r w:rsidRPr="0047362C">
        <w:tab/>
      </w:r>
      <w:r w:rsidRPr="0047362C">
        <w:tab/>
      </w:r>
      <w:r w:rsidR="0022441F" w:rsidRPr="0047362C">
        <w:t xml:space="preserve">European Commission for Democracy through Law, </w:t>
      </w:r>
      <w:r w:rsidR="0022441F" w:rsidRPr="008A0231">
        <w:rPr>
          <w:i/>
          <w:iCs/>
        </w:rPr>
        <w:t>Rule of Law Checklist</w:t>
      </w:r>
      <w:r w:rsidR="001146CC" w:rsidRPr="0047362C">
        <w:t>, p</w:t>
      </w:r>
      <w:r w:rsidR="00CD496B" w:rsidRPr="008A0231">
        <w:t>p</w:t>
      </w:r>
      <w:r w:rsidR="001146CC" w:rsidRPr="0047362C">
        <w:t>. 25</w:t>
      </w:r>
      <w:r w:rsidR="00CD496B" w:rsidRPr="0047362C">
        <w:t xml:space="preserve"> and 26</w:t>
      </w:r>
      <w:r w:rsidR="001146CC" w:rsidRPr="0047362C">
        <w:t>.</w:t>
      </w:r>
      <w:r w:rsidR="00712DB4" w:rsidRPr="0047362C">
        <w:t xml:space="preserve"> See also contribution by Zimbabwe.</w:t>
      </w:r>
    </w:p>
  </w:footnote>
  <w:footnote w:id="32">
    <w:p w14:paraId="19ACAA04" w14:textId="42E7D480" w:rsidR="001146CC" w:rsidRPr="00AE13AD" w:rsidRDefault="00E33A97" w:rsidP="001146CC">
      <w:pPr>
        <w:pStyle w:val="FootnoteText"/>
      </w:pPr>
      <w:r w:rsidRPr="0047362C">
        <w:tab/>
      </w:r>
      <w:r w:rsidR="001146CC" w:rsidRPr="0047362C">
        <w:rPr>
          <w:rStyle w:val="FootnoteReference"/>
        </w:rPr>
        <w:footnoteRef/>
      </w:r>
      <w:r w:rsidRPr="0047362C">
        <w:tab/>
      </w:r>
      <w:r w:rsidRPr="0047362C">
        <w:tab/>
      </w:r>
      <w:r w:rsidR="001146CC" w:rsidRPr="0047362C">
        <w:t>A/HRC/49/38</w:t>
      </w:r>
      <w:r w:rsidR="00896D6B" w:rsidRPr="0047362C">
        <w:t xml:space="preserve">; </w:t>
      </w:r>
      <w:r w:rsidR="000C2144" w:rsidRPr="0047362C">
        <w:t xml:space="preserve">and </w:t>
      </w:r>
      <w:r w:rsidR="00CC6DB8" w:rsidRPr="0047362C">
        <w:t xml:space="preserve">OHCHR, </w:t>
      </w:r>
      <w:r w:rsidR="000C2144" w:rsidRPr="0047362C">
        <w:t>“</w:t>
      </w:r>
      <w:r w:rsidR="00CC6DB8" w:rsidRPr="0047362C">
        <w:t>Guidelines for States on the effective implementation of the right to participate in public affairs</w:t>
      </w:r>
      <w:r w:rsidR="000C2144" w:rsidRPr="0047362C">
        <w:t>”</w:t>
      </w:r>
      <w:r w:rsidR="00896D6B" w:rsidRPr="0047362C">
        <w:t>, p</w:t>
      </w:r>
      <w:r w:rsidR="00CD496B" w:rsidRPr="008A0231">
        <w:t>ara</w:t>
      </w:r>
      <w:r w:rsidR="00896D6B" w:rsidRPr="0047362C">
        <w:t xml:space="preserve">. </w:t>
      </w:r>
      <w:r w:rsidR="00CD496B" w:rsidRPr="008A0231">
        <w:t>23</w:t>
      </w:r>
      <w:r w:rsidR="00896D6B" w:rsidRPr="0047362C">
        <w:t>.</w:t>
      </w:r>
    </w:p>
  </w:footnote>
  <w:footnote w:id="33">
    <w:p w14:paraId="3C12DC3C" w14:textId="52D009DE" w:rsidR="009873E9" w:rsidRPr="00BF449E" w:rsidRDefault="00E33A97" w:rsidP="009873E9">
      <w:pPr>
        <w:pStyle w:val="FootnoteText"/>
        <w:rPr>
          <w:lang w:val="en-GB"/>
        </w:rPr>
      </w:pPr>
      <w:r>
        <w:tab/>
      </w:r>
      <w:r w:rsidR="009873E9" w:rsidRPr="00AE13AD">
        <w:rPr>
          <w:rStyle w:val="FootnoteReference"/>
        </w:rPr>
        <w:footnoteRef/>
      </w:r>
      <w:r>
        <w:tab/>
      </w:r>
      <w:r>
        <w:tab/>
      </w:r>
      <w:r w:rsidR="009873E9" w:rsidRPr="00AE13AD">
        <w:t xml:space="preserve">See e.g. A/HRC/56/42; </w:t>
      </w:r>
      <w:r w:rsidR="00734555">
        <w:t xml:space="preserve">and </w:t>
      </w:r>
      <w:r w:rsidR="009873E9" w:rsidRPr="00AE13AD">
        <w:t xml:space="preserve">A/HRC/53/25, paras. </w:t>
      </w:r>
      <w:r w:rsidR="009873E9" w:rsidRPr="00BF449E">
        <w:rPr>
          <w:lang w:val="en-GB"/>
        </w:rPr>
        <w:t xml:space="preserve">23 </w:t>
      </w:r>
      <w:r w:rsidR="009509B9">
        <w:rPr>
          <w:lang w:val="en-GB"/>
        </w:rPr>
        <w:t>and</w:t>
      </w:r>
      <w:r w:rsidR="009873E9" w:rsidRPr="00BF449E">
        <w:rPr>
          <w:lang w:val="en-GB"/>
        </w:rPr>
        <w:t xml:space="preserve"> 24.</w:t>
      </w:r>
    </w:p>
  </w:footnote>
  <w:footnote w:id="34">
    <w:p w14:paraId="65C2F6B2" w14:textId="0977E101" w:rsidR="001146CC" w:rsidRPr="00BF449E" w:rsidRDefault="00441C55" w:rsidP="001146CC">
      <w:pPr>
        <w:pStyle w:val="FootnoteText"/>
        <w:rPr>
          <w:lang w:val="en-GB"/>
        </w:rPr>
      </w:pPr>
      <w:r w:rsidRPr="00BF449E">
        <w:rPr>
          <w:lang w:val="en-GB"/>
        </w:rPr>
        <w:tab/>
      </w:r>
      <w:r w:rsidR="001146CC" w:rsidRPr="00AE13AD">
        <w:rPr>
          <w:rStyle w:val="FootnoteReference"/>
        </w:rPr>
        <w:footnoteRef/>
      </w:r>
      <w:r w:rsidRPr="00BF449E">
        <w:rPr>
          <w:lang w:val="en-GB"/>
        </w:rPr>
        <w:tab/>
      </w:r>
      <w:r w:rsidRPr="00BF449E">
        <w:rPr>
          <w:lang w:val="en-GB"/>
        </w:rPr>
        <w:tab/>
      </w:r>
      <w:r w:rsidR="001146CC" w:rsidRPr="00BF449E">
        <w:rPr>
          <w:lang w:val="en-GB"/>
        </w:rPr>
        <w:t>A/70/361, para. 59</w:t>
      </w:r>
      <w:r w:rsidR="00271052">
        <w:rPr>
          <w:lang w:val="en-GB"/>
        </w:rPr>
        <w:t>.</w:t>
      </w:r>
    </w:p>
  </w:footnote>
  <w:footnote w:id="35">
    <w:p w14:paraId="4AC63520" w14:textId="2ADA9993" w:rsidR="001146CC" w:rsidRPr="00AE13AD" w:rsidRDefault="00441C55" w:rsidP="00292DDD">
      <w:pPr>
        <w:pStyle w:val="FootnoteText"/>
      </w:pPr>
      <w:r w:rsidRPr="00BF449E">
        <w:rPr>
          <w:lang w:val="en-GB"/>
        </w:rPr>
        <w:tab/>
      </w:r>
      <w:r w:rsidR="001146CC" w:rsidRPr="00AE13AD">
        <w:rPr>
          <w:rStyle w:val="FootnoteReference"/>
        </w:rPr>
        <w:footnoteRef/>
      </w:r>
      <w:r w:rsidRPr="00BF449E">
        <w:rPr>
          <w:lang w:val="en-GB"/>
        </w:rPr>
        <w:tab/>
      </w:r>
      <w:r w:rsidRPr="00BF449E">
        <w:rPr>
          <w:lang w:val="en-GB"/>
        </w:rPr>
        <w:tab/>
      </w:r>
      <w:r w:rsidR="00A44515">
        <w:rPr>
          <w:lang w:val="en-GB"/>
        </w:rPr>
        <w:t>Council of Europe</w:t>
      </w:r>
      <w:r w:rsidR="00B619C4">
        <w:rPr>
          <w:lang w:val="en-GB"/>
        </w:rPr>
        <w:t xml:space="preserve"> Committee of Ministers</w:t>
      </w:r>
      <w:r w:rsidR="00336941">
        <w:rPr>
          <w:lang w:val="en-GB"/>
        </w:rPr>
        <w:t xml:space="preserve">, </w:t>
      </w:r>
      <w:r w:rsidR="000C2DC7" w:rsidRPr="008A0231">
        <w:t>r</w:t>
      </w:r>
      <w:r w:rsidR="00292DDD" w:rsidRPr="008A0231">
        <w:t>ecommendation CM/</w:t>
      </w:r>
      <w:proofErr w:type="gramStart"/>
      <w:r w:rsidR="00292DDD" w:rsidRPr="008A0231">
        <w:t>Rec(</w:t>
      </w:r>
      <w:proofErr w:type="gramEnd"/>
      <w:r w:rsidR="00292DDD" w:rsidRPr="008A0231">
        <w:t>2017)2</w:t>
      </w:r>
      <w:r w:rsidR="001146CC" w:rsidRPr="00BF449E">
        <w:rPr>
          <w:lang w:val="en-GB"/>
        </w:rPr>
        <w:t>, preamble.</w:t>
      </w:r>
      <w:r w:rsidR="003075E6" w:rsidRPr="00BF449E">
        <w:rPr>
          <w:lang w:val="en-GB"/>
        </w:rPr>
        <w:t xml:space="preserve"> </w:t>
      </w:r>
      <w:r w:rsidR="003075E6" w:rsidRPr="00AE13AD">
        <w:t xml:space="preserve">See also </w:t>
      </w:r>
      <w:r w:rsidR="003075E6" w:rsidRPr="002F7C55">
        <w:t xml:space="preserve">Prevention Project, </w:t>
      </w:r>
      <w:r w:rsidR="002F7C55">
        <w:t>“</w:t>
      </w:r>
      <w:r w:rsidR="003075E6" w:rsidRPr="002F7C55">
        <w:t xml:space="preserve">State </w:t>
      </w:r>
      <w:r w:rsidR="002F7C55">
        <w:t>c</w:t>
      </w:r>
      <w:r w:rsidR="003075E6" w:rsidRPr="002F7C55">
        <w:t xml:space="preserve">apture as </w:t>
      </w:r>
      <w:r w:rsidR="002F7C55">
        <w:t>e</w:t>
      </w:r>
      <w:r w:rsidR="003075E6" w:rsidRPr="002F7C55">
        <w:t xml:space="preserve">nabling </w:t>
      </w:r>
      <w:r w:rsidR="003C5D4E">
        <w:t>c</w:t>
      </w:r>
      <w:r w:rsidR="003075E6" w:rsidRPr="002F7C55">
        <w:t xml:space="preserve">ondition for </w:t>
      </w:r>
      <w:r w:rsidR="003C5D4E">
        <w:t>h</w:t>
      </w:r>
      <w:r w:rsidR="003075E6" w:rsidRPr="002F7C55">
        <w:t xml:space="preserve">uman </w:t>
      </w:r>
      <w:r w:rsidR="003C5D4E">
        <w:t>r</w:t>
      </w:r>
      <w:r w:rsidR="003075E6" w:rsidRPr="002F7C55">
        <w:t xml:space="preserve">ights </w:t>
      </w:r>
      <w:r w:rsidR="003C5D4E">
        <w:t>v</w:t>
      </w:r>
      <w:r w:rsidR="003075E6" w:rsidRPr="002F7C55">
        <w:t>iolations</w:t>
      </w:r>
      <w:r w:rsidR="002F7C55">
        <w:t>”</w:t>
      </w:r>
      <w:r w:rsidR="003075E6" w:rsidRPr="002F7C55">
        <w:t xml:space="preserve"> (June 2024</w:t>
      </w:r>
      <w:r w:rsidR="007B0A27" w:rsidRPr="002F7C55">
        <w:t>)</w:t>
      </w:r>
      <w:r w:rsidR="003C5D4E">
        <w:t xml:space="preserve">, available at </w:t>
      </w:r>
      <w:r w:rsidR="003C5D4E" w:rsidRPr="003C5D4E">
        <w:t>https://app.box.com/s/5bkw68ckzode4bg6l6dosml2kcy7qlsm</w:t>
      </w:r>
      <w:r w:rsidR="003075E6" w:rsidRPr="002F7C55">
        <w:t>.</w:t>
      </w:r>
    </w:p>
  </w:footnote>
  <w:footnote w:id="36">
    <w:p w14:paraId="77766C43" w14:textId="7CA6FFBA" w:rsidR="00896D6B" w:rsidRPr="00AE13AD" w:rsidRDefault="00441C55" w:rsidP="00896D6B">
      <w:pPr>
        <w:pStyle w:val="FootnoteText"/>
      </w:pPr>
      <w:r>
        <w:tab/>
      </w:r>
      <w:r w:rsidR="00896D6B" w:rsidRPr="00AE13AD">
        <w:rPr>
          <w:rStyle w:val="FootnoteReference"/>
        </w:rPr>
        <w:footnoteRef/>
      </w:r>
      <w:r>
        <w:tab/>
      </w:r>
      <w:r>
        <w:tab/>
      </w:r>
      <w:r w:rsidR="00A0342E">
        <w:t>New Vision of the Secretary-General for the Rule of Law</w:t>
      </w:r>
      <w:hyperlink w:history="1"/>
      <w:r w:rsidR="00896D6B" w:rsidRPr="00AE13AD">
        <w:t>, p. 6.</w:t>
      </w:r>
      <w:r w:rsidR="00A53C70" w:rsidRPr="00AE13AD">
        <w:t xml:space="preserve"> See also </w:t>
      </w:r>
      <w:r w:rsidR="0028129B">
        <w:t xml:space="preserve">OECD, </w:t>
      </w:r>
      <w:r w:rsidR="00A53C70" w:rsidRPr="008A0231">
        <w:rPr>
          <w:i/>
          <w:iCs/>
        </w:rPr>
        <w:t xml:space="preserve">OECD Survey on Drivers of Trust in Public </w:t>
      </w:r>
      <w:proofErr w:type="gramStart"/>
      <w:r w:rsidR="00A53C70" w:rsidRPr="008A0231">
        <w:rPr>
          <w:i/>
          <w:iCs/>
        </w:rPr>
        <w:t>Institutions</w:t>
      </w:r>
      <w:r w:rsidR="00EB5362">
        <w:t>;</w:t>
      </w:r>
      <w:proofErr w:type="gramEnd"/>
      <w:r w:rsidR="00B91618" w:rsidRPr="00AE13AD">
        <w:t xml:space="preserve"> </w:t>
      </w:r>
      <w:r w:rsidR="00EB5362">
        <w:t>and</w:t>
      </w:r>
      <w:r w:rsidR="00B91618" w:rsidRPr="00AE13AD">
        <w:t xml:space="preserve"> </w:t>
      </w:r>
      <w:r w:rsidR="00B91618" w:rsidRPr="000402B9">
        <w:t>contribution by Colombia.</w:t>
      </w:r>
    </w:p>
  </w:footnote>
  <w:footnote w:id="37">
    <w:p w14:paraId="490E3D81" w14:textId="35B84FE4" w:rsidR="009D221A" w:rsidRPr="00AE13AD" w:rsidRDefault="00441C55">
      <w:pPr>
        <w:pStyle w:val="FootnoteText"/>
      </w:pPr>
      <w:r>
        <w:tab/>
      </w:r>
      <w:r w:rsidR="009D221A" w:rsidRPr="00AE13AD">
        <w:rPr>
          <w:rStyle w:val="FootnoteReference"/>
        </w:rPr>
        <w:footnoteRef/>
      </w:r>
      <w:r>
        <w:tab/>
      </w:r>
      <w:r>
        <w:tab/>
      </w:r>
      <w:r w:rsidR="008817D3" w:rsidRPr="00AE13AD">
        <w:t xml:space="preserve">OHCHR, </w:t>
      </w:r>
      <w:r w:rsidR="00445522">
        <w:t>“</w:t>
      </w:r>
      <w:r w:rsidR="008817D3" w:rsidRPr="00AE13AD">
        <w:t>Guidelines for States on the effective implementation of the right to participate in public affairs</w:t>
      </w:r>
      <w:r w:rsidR="00445522">
        <w:t>”</w:t>
      </w:r>
      <w:r w:rsidR="009D221A" w:rsidRPr="00AE13AD">
        <w:t>, para. 1.</w:t>
      </w:r>
    </w:p>
  </w:footnote>
  <w:footnote w:id="38">
    <w:p w14:paraId="15243935" w14:textId="2DAD82D9" w:rsidR="00896D6B" w:rsidRPr="00AE13AD" w:rsidRDefault="00441C55" w:rsidP="00896D6B">
      <w:pPr>
        <w:pStyle w:val="FootnoteText"/>
      </w:pPr>
      <w:r>
        <w:tab/>
      </w:r>
      <w:r w:rsidR="00896D6B" w:rsidRPr="00AE13AD">
        <w:rPr>
          <w:rStyle w:val="FootnoteReference"/>
        </w:rPr>
        <w:footnoteRef/>
      </w:r>
      <w:r>
        <w:tab/>
      </w:r>
      <w:r>
        <w:tab/>
      </w:r>
      <w:r w:rsidR="00474503">
        <w:t xml:space="preserve">See </w:t>
      </w:r>
      <w:r w:rsidR="00C678FA" w:rsidRPr="00AE13AD">
        <w:t>https://www.ohchr.org/sites/default/files/documents/issues/transitionaljustice/sg-guidance-note/2023_07_guidance_note_transitional_justice_en.pdf, p</w:t>
      </w:r>
      <w:r w:rsidR="00474503">
        <w:t>p</w:t>
      </w:r>
      <w:r w:rsidR="00C678FA" w:rsidRPr="00AE13AD">
        <w:t xml:space="preserve">. 8 </w:t>
      </w:r>
      <w:r w:rsidR="00474503">
        <w:t>and</w:t>
      </w:r>
      <w:r w:rsidR="00C678FA" w:rsidRPr="00AE13AD">
        <w:t xml:space="preserve"> 9</w:t>
      </w:r>
      <w:r w:rsidR="00896D6B" w:rsidRPr="00AE13AD">
        <w:t>.</w:t>
      </w:r>
    </w:p>
  </w:footnote>
  <w:footnote w:id="39">
    <w:p w14:paraId="222988B8" w14:textId="15D85D50" w:rsidR="00A53C70" w:rsidRPr="00AE13AD" w:rsidRDefault="00441C55">
      <w:pPr>
        <w:pStyle w:val="FootnoteText"/>
      </w:pPr>
      <w:r>
        <w:tab/>
      </w:r>
      <w:r w:rsidR="00A53C70" w:rsidRPr="00AE13AD">
        <w:rPr>
          <w:rStyle w:val="FootnoteReference"/>
        </w:rPr>
        <w:footnoteRef/>
      </w:r>
      <w:r>
        <w:tab/>
      </w:r>
      <w:r>
        <w:tab/>
      </w:r>
      <w:r w:rsidR="00985BC0">
        <w:t>International Covenant on Civil and Political Rights</w:t>
      </w:r>
      <w:r w:rsidR="007B29BD">
        <w:t>,</w:t>
      </w:r>
      <w:r w:rsidR="00A53C70" w:rsidRPr="00AE13AD">
        <w:t xml:space="preserve"> art. 25 (b); </w:t>
      </w:r>
      <w:r w:rsidR="007B29BD">
        <w:t>and Human Rights Committee</w:t>
      </w:r>
      <w:r w:rsidR="00A53C70" w:rsidRPr="00AE13AD">
        <w:t xml:space="preserve">, </w:t>
      </w:r>
      <w:r w:rsidR="007B29BD">
        <w:t>g</w:t>
      </w:r>
      <w:r w:rsidR="00A53C70" w:rsidRPr="00AE13AD">
        <w:t xml:space="preserve">eneral </w:t>
      </w:r>
      <w:r w:rsidR="007B29BD">
        <w:t>c</w:t>
      </w:r>
      <w:r w:rsidR="00A53C70" w:rsidRPr="00AE13AD">
        <w:t xml:space="preserve">omment </w:t>
      </w:r>
      <w:r w:rsidR="007B29BD">
        <w:t>N</w:t>
      </w:r>
      <w:r w:rsidR="00A53C70" w:rsidRPr="00AE13AD">
        <w:t>o. 25</w:t>
      </w:r>
      <w:r w:rsidR="00F2046F">
        <w:t xml:space="preserve"> (1996)</w:t>
      </w:r>
      <w:r w:rsidR="00A53C70" w:rsidRPr="00AE13AD">
        <w:t xml:space="preserve">, para. 7. See </w:t>
      </w:r>
      <w:r w:rsidR="00A53C70" w:rsidRPr="004946C9">
        <w:t>also OHCHR</w:t>
      </w:r>
      <w:r w:rsidR="00175250" w:rsidRPr="008A0231">
        <w:t xml:space="preserve">, </w:t>
      </w:r>
      <w:r w:rsidR="0081172F" w:rsidRPr="008A0231">
        <w:rPr>
          <w:i/>
          <w:iCs/>
        </w:rPr>
        <w:t xml:space="preserve">Human Rights and </w:t>
      </w:r>
      <w:r w:rsidR="003071A1" w:rsidRPr="008A0231">
        <w:rPr>
          <w:i/>
          <w:iCs/>
        </w:rPr>
        <w:t>E</w:t>
      </w:r>
      <w:r w:rsidR="00A53C70" w:rsidRPr="008A0231">
        <w:rPr>
          <w:i/>
          <w:iCs/>
        </w:rPr>
        <w:t>lections</w:t>
      </w:r>
      <w:r w:rsidR="003071A1" w:rsidRPr="008A0231">
        <w:rPr>
          <w:i/>
          <w:iCs/>
        </w:rPr>
        <w:t>: A</w:t>
      </w:r>
      <w:r w:rsidR="00A53C70" w:rsidRPr="008A0231">
        <w:rPr>
          <w:i/>
          <w:iCs/>
        </w:rPr>
        <w:t xml:space="preserve"> </w:t>
      </w:r>
      <w:r w:rsidR="003071A1" w:rsidRPr="008A0231">
        <w:rPr>
          <w:i/>
          <w:iCs/>
        </w:rPr>
        <w:t>H</w:t>
      </w:r>
      <w:r w:rsidR="00A53C70" w:rsidRPr="008A0231">
        <w:rPr>
          <w:i/>
          <w:iCs/>
        </w:rPr>
        <w:t>andbook</w:t>
      </w:r>
      <w:r w:rsidR="003071A1" w:rsidRPr="008A0231">
        <w:rPr>
          <w:i/>
          <w:iCs/>
        </w:rPr>
        <w:t xml:space="preserve"> on International Human Rights Standards on Elections</w:t>
      </w:r>
      <w:r w:rsidR="004946C9">
        <w:t xml:space="preserve"> (2021)</w:t>
      </w:r>
      <w:r w:rsidR="00271052">
        <w:t>.</w:t>
      </w:r>
    </w:p>
  </w:footnote>
  <w:footnote w:id="40">
    <w:p w14:paraId="2D32871D" w14:textId="28807E8F" w:rsidR="007F497D" w:rsidRPr="00AE13AD" w:rsidRDefault="00441C55" w:rsidP="007F497D">
      <w:pPr>
        <w:pStyle w:val="FootnoteText"/>
      </w:pPr>
      <w:r>
        <w:tab/>
      </w:r>
      <w:r w:rsidR="007F497D" w:rsidRPr="00AE13AD">
        <w:rPr>
          <w:rStyle w:val="FootnoteReference"/>
        </w:rPr>
        <w:footnoteRef/>
      </w:r>
      <w:r>
        <w:tab/>
      </w:r>
      <w:r>
        <w:tab/>
      </w:r>
      <w:r w:rsidR="00C71323">
        <w:t xml:space="preserve">General Assembly resolution </w:t>
      </w:r>
      <w:r w:rsidR="008E0899" w:rsidRPr="00AE13AD">
        <w:t>67/1</w:t>
      </w:r>
      <w:r w:rsidR="00D96947" w:rsidRPr="00AE13AD">
        <w:t xml:space="preserve">; </w:t>
      </w:r>
      <w:r w:rsidR="00CE67CC">
        <w:t xml:space="preserve">and </w:t>
      </w:r>
      <w:r w:rsidR="00D96947" w:rsidRPr="00AE13AD">
        <w:t>Guidance Note of the Secretary-General on Democracy, p. 2.</w:t>
      </w:r>
    </w:p>
  </w:footnote>
  <w:footnote w:id="41">
    <w:p w14:paraId="23A95039" w14:textId="7603932C" w:rsidR="00D772D4" w:rsidRPr="00AE13AD" w:rsidRDefault="00441C55">
      <w:pPr>
        <w:pStyle w:val="FootnoteText"/>
      </w:pPr>
      <w:r>
        <w:tab/>
      </w:r>
      <w:r w:rsidR="00D772D4" w:rsidRPr="00AE13AD">
        <w:rPr>
          <w:rStyle w:val="FootnoteReference"/>
        </w:rPr>
        <w:footnoteRef/>
      </w:r>
      <w:r>
        <w:tab/>
      </w:r>
      <w:r>
        <w:tab/>
      </w:r>
      <w:r w:rsidR="00D96947" w:rsidRPr="00AE13AD">
        <w:t xml:space="preserve">See e.g. </w:t>
      </w:r>
      <w:r w:rsidR="003E353C" w:rsidRPr="00A95524">
        <w:t xml:space="preserve">Prevention </w:t>
      </w:r>
      <w:r w:rsidR="008A52D6" w:rsidRPr="00A95524">
        <w:t>P</w:t>
      </w:r>
      <w:r w:rsidR="003E353C" w:rsidRPr="00A95524">
        <w:t>roject</w:t>
      </w:r>
      <w:r w:rsidR="008A52D6" w:rsidRPr="00A95524">
        <w:t xml:space="preserve">, </w:t>
      </w:r>
      <w:r w:rsidR="00A95524">
        <w:t>“</w:t>
      </w:r>
      <w:r w:rsidR="00DF3BF3" w:rsidRPr="00A95524">
        <w:t xml:space="preserve">Making </w:t>
      </w:r>
      <w:r w:rsidR="00A95524">
        <w:t>c</w:t>
      </w:r>
      <w:r w:rsidR="00DF3BF3" w:rsidRPr="00A95524">
        <w:t xml:space="preserve">onstitutional </w:t>
      </w:r>
      <w:r w:rsidR="00A95524">
        <w:t>p</w:t>
      </w:r>
      <w:r w:rsidR="00DF3BF3" w:rsidRPr="00A95524">
        <w:t xml:space="preserve">romises </w:t>
      </w:r>
      <w:r w:rsidR="00A95524">
        <w:t>c</w:t>
      </w:r>
      <w:r w:rsidR="00DF3BF3" w:rsidRPr="00A95524">
        <w:t xml:space="preserve">redible: </w:t>
      </w:r>
      <w:r w:rsidR="00A95524">
        <w:t>t</w:t>
      </w:r>
      <w:r w:rsidR="00DF3BF3" w:rsidRPr="00A95524">
        <w:t xml:space="preserve">he </w:t>
      </w:r>
      <w:r w:rsidR="00A95524">
        <w:t>p</w:t>
      </w:r>
      <w:r w:rsidR="00DF3BF3" w:rsidRPr="00A95524">
        <w:t xml:space="preserve">reventive </w:t>
      </w:r>
      <w:r w:rsidR="00A95524">
        <w:t>p</w:t>
      </w:r>
      <w:r w:rsidR="00DF3BF3" w:rsidRPr="00A95524">
        <w:t xml:space="preserve">otential of </w:t>
      </w:r>
      <w:r w:rsidR="00A95524">
        <w:t>g</w:t>
      </w:r>
      <w:r w:rsidR="00DF3BF3" w:rsidRPr="00A95524">
        <w:t xml:space="preserve">uarantor </w:t>
      </w:r>
      <w:r w:rsidR="00A95524">
        <w:t>i</w:t>
      </w:r>
      <w:r w:rsidR="00DF3BF3" w:rsidRPr="00A95524">
        <w:t>nstitutions</w:t>
      </w:r>
      <w:r w:rsidR="00A95524">
        <w:t>”</w:t>
      </w:r>
      <w:r w:rsidR="00A95524" w:rsidRPr="00A95524">
        <w:t>,</w:t>
      </w:r>
      <w:r w:rsidR="00A95524">
        <w:t xml:space="preserve"> available at </w:t>
      </w:r>
      <w:r w:rsidR="00A95524" w:rsidRPr="00A95524">
        <w:t>https://app.box.com/s/jb16agqtjo56f0gtdn968coumwpgyts1</w:t>
      </w:r>
      <w:r w:rsidR="00DF3BF3" w:rsidRPr="00AE13AD">
        <w:t xml:space="preserve">; </w:t>
      </w:r>
      <w:r w:rsidR="00927C1C">
        <w:t xml:space="preserve">and </w:t>
      </w:r>
      <w:r w:rsidR="00E04650">
        <w:t>Human Rights Committee</w:t>
      </w:r>
      <w:r w:rsidR="00DF3BF3" w:rsidRPr="00AE13AD">
        <w:t xml:space="preserve">, </w:t>
      </w:r>
      <w:r w:rsidR="00E04650">
        <w:t>g</w:t>
      </w:r>
      <w:r w:rsidR="00DF3BF3" w:rsidRPr="00AE13AD">
        <w:t xml:space="preserve">eneral </w:t>
      </w:r>
      <w:r w:rsidR="00E04650">
        <w:t>c</w:t>
      </w:r>
      <w:r w:rsidR="00DF3BF3" w:rsidRPr="00AE13AD">
        <w:t xml:space="preserve">omment </w:t>
      </w:r>
      <w:r w:rsidR="00E04650">
        <w:t>N</w:t>
      </w:r>
      <w:r w:rsidR="00DF3BF3" w:rsidRPr="00AE13AD">
        <w:t>o. 25</w:t>
      </w:r>
      <w:r w:rsidR="00927C1C">
        <w:t xml:space="preserve"> (1996)</w:t>
      </w:r>
      <w:r w:rsidR="00DF3BF3" w:rsidRPr="00AE13AD">
        <w:t xml:space="preserve">, para. </w:t>
      </w:r>
      <w:r w:rsidR="00353F60" w:rsidRPr="00AE13AD">
        <w:t>8</w:t>
      </w:r>
      <w:r w:rsidR="00DF3BF3" w:rsidRPr="00AE13AD">
        <w:t>.</w:t>
      </w:r>
    </w:p>
  </w:footnote>
  <w:footnote w:id="42">
    <w:p w14:paraId="3B150D78" w14:textId="6A793E2A" w:rsidR="00420EF2" w:rsidRPr="00AE13AD" w:rsidRDefault="00441C55" w:rsidP="00420EF2">
      <w:pPr>
        <w:pStyle w:val="FootnoteText"/>
      </w:pPr>
      <w:r>
        <w:tab/>
      </w:r>
      <w:r w:rsidR="00420EF2" w:rsidRPr="00AE13AD">
        <w:rPr>
          <w:rStyle w:val="FootnoteReference"/>
        </w:rPr>
        <w:footnoteRef/>
      </w:r>
      <w:r>
        <w:tab/>
      </w:r>
      <w:r>
        <w:tab/>
      </w:r>
      <w:r w:rsidR="005379C4">
        <w:t>“</w:t>
      </w:r>
      <w:r w:rsidR="005379C4" w:rsidRPr="008A0231">
        <w:t xml:space="preserve">United Nations </w:t>
      </w:r>
      <w:r w:rsidR="005379C4">
        <w:t>g</w:t>
      </w:r>
      <w:r w:rsidR="005379C4" w:rsidRPr="008A0231">
        <w:t xml:space="preserve">uidance </w:t>
      </w:r>
      <w:proofErr w:type="gramStart"/>
      <w:r w:rsidR="005379C4">
        <w:t>n</w:t>
      </w:r>
      <w:r w:rsidR="005379C4" w:rsidRPr="008A0231">
        <w:t>ote</w:t>
      </w:r>
      <w:r w:rsidR="005379C4">
        <w:t>:</w:t>
      </w:r>
      <w:proofErr w:type="gramEnd"/>
      <w:r w:rsidR="005379C4" w:rsidRPr="008A0231">
        <w:t xml:space="preserve"> </w:t>
      </w:r>
      <w:r w:rsidR="005379C4">
        <w:t>p</w:t>
      </w:r>
      <w:r w:rsidR="005379C4" w:rsidRPr="008A0231">
        <w:t xml:space="preserve">rotection and </w:t>
      </w:r>
      <w:r w:rsidR="005379C4">
        <w:t>p</w:t>
      </w:r>
      <w:r w:rsidR="005379C4" w:rsidRPr="008A0231">
        <w:t xml:space="preserve">romotion of </w:t>
      </w:r>
      <w:r w:rsidR="005379C4">
        <w:t>c</w:t>
      </w:r>
      <w:r w:rsidR="005379C4" w:rsidRPr="008A0231">
        <w:t xml:space="preserve">ivic </w:t>
      </w:r>
      <w:r w:rsidR="005379C4">
        <w:t>s</w:t>
      </w:r>
      <w:r w:rsidR="005379C4" w:rsidRPr="008A0231">
        <w:t>pace</w:t>
      </w:r>
      <w:r w:rsidR="00FF5EA2">
        <w:t>”</w:t>
      </w:r>
      <w:r w:rsidR="005854D0">
        <w:t xml:space="preserve"> </w:t>
      </w:r>
      <w:r w:rsidR="00572ED3">
        <w:t>(</w:t>
      </w:r>
      <w:r w:rsidR="005854D0">
        <w:t>September 2020</w:t>
      </w:r>
      <w:r w:rsidR="00572ED3">
        <w:t>)</w:t>
      </w:r>
      <w:r w:rsidR="00420EF2" w:rsidRPr="00AE13AD">
        <w:t xml:space="preserve">, p. 3; </w:t>
      </w:r>
      <w:r w:rsidR="00EA779E">
        <w:t>and Human Rights Committee</w:t>
      </w:r>
      <w:r w:rsidR="00420EF2" w:rsidRPr="00AE13AD">
        <w:t xml:space="preserve">, </w:t>
      </w:r>
      <w:r w:rsidR="00EA779E">
        <w:t>g</w:t>
      </w:r>
      <w:r w:rsidR="00420EF2" w:rsidRPr="00AE13AD">
        <w:t xml:space="preserve">eneral </w:t>
      </w:r>
      <w:r w:rsidR="00EA779E">
        <w:t>c</w:t>
      </w:r>
      <w:r w:rsidR="00420EF2" w:rsidRPr="00AE13AD">
        <w:t xml:space="preserve">omment </w:t>
      </w:r>
      <w:r w:rsidR="00EA779E">
        <w:t>N</w:t>
      </w:r>
      <w:r w:rsidR="00420EF2" w:rsidRPr="00AE13AD">
        <w:t xml:space="preserve">o. 34 (2011), para. 2. See </w:t>
      </w:r>
      <w:r w:rsidR="00420EF2" w:rsidRPr="00D600C0">
        <w:t xml:space="preserve">also </w:t>
      </w:r>
      <w:r w:rsidR="00151626">
        <w:t>c</w:t>
      </w:r>
      <w:r w:rsidR="00420EF2" w:rsidRPr="00D600C0">
        <w:t>ontribution by Zimbabwe.</w:t>
      </w:r>
    </w:p>
  </w:footnote>
  <w:footnote w:id="43">
    <w:p w14:paraId="31B27928" w14:textId="7AD101F9" w:rsidR="00420EF2" w:rsidRPr="00AE13AD" w:rsidRDefault="00441C55" w:rsidP="00420EF2">
      <w:pPr>
        <w:pStyle w:val="FootnoteText"/>
      </w:pPr>
      <w:r>
        <w:tab/>
      </w:r>
      <w:r w:rsidR="00420EF2" w:rsidRPr="00AE13AD">
        <w:rPr>
          <w:rStyle w:val="FootnoteReference"/>
        </w:rPr>
        <w:footnoteRef/>
      </w:r>
      <w:r>
        <w:tab/>
      </w:r>
      <w:r>
        <w:tab/>
      </w:r>
      <w:r w:rsidR="00311C26">
        <w:t xml:space="preserve">See </w:t>
      </w:r>
      <w:hyperlink r:id="rId8" w:history="1">
        <w:r w:rsidR="00311C26" w:rsidRPr="00311C26">
          <w:rPr>
            <w:rStyle w:val="Hyperlink"/>
          </w:rPr>
          <w:t>https://monitor.civicus.org/globalfindings_2023/</w:t>
        </w:r>
      </w:hyperlink>
      <w:r w:rsidR="00420EF2" w:rsidRPr="00AE13AD">
        <w:t xml:space="preserve">; </w:t>
      </w:r>
      <w:r w:rsidR="00E5475A">
        <w:t xml:space="preserve">and </w:t>
      </w:r>
      <w:hyperlink r:id="rId9" w:history="1">
        <w:r w:rsidR="00E5475A" w:rsidRPr="00E5475A">
          <w:rPr>
            <w:rStyle w:val="Hyperlink"/>
          </w:rPr>
          <w:t>https://defendcivicspace.com/</w:t>
        </w:r>
      </w:hyperlink>
      <w:r w:rsidR="00271052">
        <w:t>.</w:t>
      </w:r>
    </w:p>
  </w:footnote>
  <w:footnote w:id="44">
    <w:p w14:paraId="26DEAEBA" w14:textId="28BC75C3" w:rsidR="00420EF2" w:rsidRPr="00AE13AD" w:rsidRDefault="00441C55" w:rsidP="00420EF2">
      <w:pPr>
        <w:pStyle w:val="FootnoteText"/>
      </w:pPr>
      <w:r>
        <w:tab/>
      </w:r>
      <w:r w:rsidR="00420EF2" w:rsidRPr="00AE13AD">
        <w:rPr>
          <w:rStyle w:val="FootnoteReference"/>
        </w:rPr>
        <w:footnoteRef/>
      </w:r>
      <w:r>
        <w:tab/>
      </w:r>
      <w:r w:rsidR="001F457E">
        <w:t>See</w:t>
      </w:r>
      <w:r w:rsidR="00810B1A">
        <w:t xml:space="preserve"> </w:t>
      </w:r>
      <w:hyperlink r:id="rId10" w:history="1">
        <w:r w:rsidR="00810B1A" w:rsidRPr="00810B1A">
          <w:rPr>
            <w:rStyle w:val="Hyperlink"/>
          </w:rPr>
          <w:t>https://unstats.un.org/sdgs/report/2024/The-Sustainable-Development-Goals-Report-2024.pdf</w:t>
        </w:r>
      </w:hyperlink>
      <w:r w:rsidR="00420EF2" w:rsidRPr="00AE13AD">
        <w:t>, p.</w:t>
      </w:r>
      <w:r w:rsidR="00BD1D47">
        <w:t> </w:t>
      </w:r>
      <w:r w:rsidR="00420EF2" w:rsidRPr="00AE13AD">
        <w:t>41</w:t>
      </w:r>
      <w:r w:rsidR="001F13BD" w:rsidRPr="00AE13AD">
        <w:t xml:space="preserve">; </w:t>
      </w:r>
      <w:r w:rsidR="00F25071">
        <w:t xml:space="preserve">and </w:t>
      </w:r>
      <w:r w:rsidR="001F13BD" w:rsidRPr="00AE13AD">
        <w:t>https://www.undp.org/sites/g/files/zskgke326/files/2023-09/undp-unodc-unhchr-global-progress-report-on-sdg-16-indicators.pdf.</w:t>
      </w:r>
    </w:p>
  </w:footnote>
  <w:footnote w:id="45">
    <w:p w14:paraId="5703DBF3" w14:textId="1DFC13D9" w:rsidR="006D4F37" w:rsidRPr="00AE13AD" w:rsidRDefault="00441C55">
      <w:pPr>
        <w:pStyle w:val="FootnoteText"/>
      </w:pPr>
      <w:r>
        <w:tab/>
      </w:r>
      <w:r w:rsidR="006D4F37" w:rsidRPr="00AE13AD">
        <w:rPr>
          <w:rStyle w:val="FootnoteReference"/>
        </w:rPr>
        <w:footnoteRef/>
      </w:r>
      <w:r>
        <w:tab/>
      </w:r>
      <w:r>
        <w:tab/>
      </w:r>
      <w:r w:rsidR="001F457E" w:rsidRPr="002E787D">
        <w:t>OECD</w:t>
      </w:r>
      <w:r w:rsidR="001F457E" w:rsidRPr="008A0231">
        <w:rPr>
          <w:i/>
          <w:iCs/>
        </w:rPr>
        <w:t xml:space="preserve">, </w:t>
      </w:r>
      <w:r w:rsidR="006D4F37" w:rsidRPr="008A0231">
        <w:rPr>
          <w:i/>
          <w:iCs/>
        </w:rPr>
        <w:t>OECD Survey on Drivers of Trust in Public Institutions</w:t>
      </w:r>
      <w:r w:rsidR="006D4F37" w:rsidRPr="002E787D">
        <w:t xml:space="preserve">, </w:t>
      </w:r>
      <w:r w:rsidR="001F457E" w:rsidRPr="002E787D">
        <w:t>p</w:t>
      </w:r>
      <w:r w:rsidR="006D4F37" w:rsidRPr="002E787D">
        <w:t xml:space="preserve">p. 104 </w:t>
      </w:r>
      <w:r w:rsidR="001F457E" w:rsidRPr="002E787D">
        <w:t>and</w:t>
      </w:r>
      <w:r w:rsidR="006D4F37" w:rsidRPr="002E787D">
        <w:t xml:space="preserve"> 105.</w:t>
      </w:r>
    </w:p>
  </w:footnote>
  <w:footnote w:id="46">
    <w:p w14:paraId="29B36B44" w14:textId="42C7F1E3" w:rsidR="00896D6B" w:rsidRPr="00AE13AD" w:rsidRDefault="00441C55" w:rsidP="00896D6B">
      <w:pPr>
        <w:pStyle w:val="FootnoteText"/>
      </w:pPr>
      <w:r>
        <w:tab/>
      </w:r>
      <w:r w:rsidR="00896D6B" w:rsidRPr="00AE13AD">
        <w:rPr>
          <w:rStyle w:val="FootnoteReference"/>
        </w:rPr>
        <w:footnoteRef/>
      </w:r>
      <w:r>
        <w:tab/>
      </w:r>
      <w:r w:rsidR="00343E3E">
        <w:t>A</w:t>
      </w:r>
      <w:r w:rsidR="00343E3E" w:rsidRPr="00AE13AD">
        <w:t>rt</w:t>
      </w:r>
      <w:r w:rsidR="00343E3E">
        <w:t>icle</w:t>
      </w:r>
      <w:r w:rsidR="00343E3E" w:rsidRPr="00AE13AD">
        <w:t xml:space="preserve"> 25</w:t>
      </w:r>
      <w:r w:rsidR="00343E3E">
        <w:t xml:space="preserve"> of the </w:t>
      </w:r>
      <w:r w:rsidR="001215E3">
        <w:t>International Covenant on Civil and Political Rights</w:t>
      </w:r>
      <w:r w:rsidR="00896D6B" w:rsidRPr="00AE13AD">
        <w:t xml:space="preserve"> </w:t>
      </w:r>
      <w:r w:rsidR="002E787D">
        <w:t>enshrines</w:t>
      </w:r>
      <w:r w:rsidR="00896D6B" w:rsidRPr="00AE13AD">
        <w:t xml:space="preserve"> the right and opportunity</w:t>
      </w:r>
      <w:r w:rsidR="002E787D">
        <w:t xml:space="preserve"> for all citizens</w:t>
      </w:r>
      <w:r w:rsidR="00896D6B" w:rsidRPr="00AE13AD">
        <w:t xml:space="preserve"> to have access, on general terms of equality, to public service in </w:t>
      </w:r>
      <w:r w:rsidR="002E787D">
        <w:t>their</w:t>
      </w:r>
      <w:r w:rsidR="00896D6B" w:rsidRPr="00AE13AD">
        <w:t xml:space="preserve"> country.</w:t>
      </w:r>
    </w:p>
  </w:footnote>
  <w:footnote w:id="47">
    <w:p w14:paraId="6326CE57" w14:textId="0B97580D" w:rsidR="00896D6B" w:rsidRPr="00777B8C" w:rsidRDefault="00DE0515" w:rsidP="00896D6B">
      <w:pPr>
        <w:pStyle w:val="FootnoteText"/>
      </w:pPr>
      <w:r>
        <w:tab/>
      </w:r>
      <w:r w:rsidR="00896D6B" w:rsidRPr="00AE13AD">
        <w:rPr>
          <w:rStyle w:val="FootnoteReference"/>
        </w:rPr>
        <w:footnoteRef/>
      </w:r>
      <w:r>
        <w:tab/>
      </w:r>
      <w:r>
        <w:tab/>
      </w:r>
      <w:r w:rsidR="007B2FCB" w:rsidRPr="00777B8C">
        <w:t xml:space="preserve">See </w:t>
      </w:r>
      <w:hyperlink r:id="rId11" w:history="1">
        <w:r w:rsidR="007B2FCB" w:rsidRPr="00777B8C">
          <w:rPr>
            <w:rStyle w:val="Hyperlink"/>
          </w:rPr>
          <w:t>https://unstats.un.org/sdgs/report/2023/The-Sustainable-Development-Goals-Report-2023.pdf</w:t>
        </w:r>
      </w:hyperlink>
      <w:r w:rsidR="00896D6B" w:rsidRPr="00777B8C">
        <w:t>, p.</w:t>
      </w:r>
      <w:r w:rsidR="00BD1D47" w:rsidRPr="00777B8C">
        <w:t> </w:t>
      </w:r>
      <w:r w:rsidR="00896D6B" w:rsidRPr="00777B8C">
        <w:t xml:space="preserve">22; </w:t>
      </w:r>
      <w:r w:rsidR="007B2FCB" w:rsidRPr="00777B8C">
        <w:t xml:space="preserve">and </w:t>
      </w:r>
      <w:hyperlink r:id="rId12" w:history="1">
        <w:r w:rsidR="007B2FCB" w:rsidRPr="00777B8C">
          <w:rPr>
            <w:rStyle w:val="Hyperlink"/>
          </w:rPr>
          <w:t>https://unstats.un.org/sdgs/report/2024/The-Sustainable-Development-Goals-Report-2024.pdf</w:t>
        </w:r>
      </w:hyperlink>
      <w:r w:rsidR="007B2FCB" w:rsidRPr="00777B8C">
        <w:t>,</w:t>
      </w:r>
      <w:r w:rsidR="00896D6B" w:rsidRPr="00777B8C">
        <w:t xml:space="preserve"> p. 19.</w:t>
      </w:r>
    </w:p>
  </w:footnote>
  <w:footnote w:id="48">
    <w:p w14:paraId="62C6DA1D" w14:textId="4819A23F" w:rsidR="00896D6B" w:rsidRPr="00AE13AD" w:rsidRDefault="00DA3F53" w:rsidP="00896D6B">
      <w:pPr>
        <w:pStyle w:val="FootnoteText"/>
      </w:pPr>
      <w:r w:rsidRPr="00777B8C">
        <w:tab/>
      </w:r>
      <w:r w:rsidR="00896D6B" w:rsidRPr="00777B8C">
        <w:rPr>
          <w:rStyle w:val="FootnoteReference"/>
        </w:rPr>
        <w:footnoteRef/>
      </w:r>
      <w:r w:rsidRPr="00777B8C">
        <w:tab/>
      </w:r>
      <w:r w:rsidRPr="00777B8C">
        <w:tab/>
      </w:r>
      <w:r w:rsidR="0060476B" w:rsidRPr="00777B8C">
        <w:t xml:space="preserve">See </w:t>
      </w:r>
      <w:hyperlink r:id="rId13" w:history="1">
        <w:r w:rsidR="009E4D6C" w:rsidRPr="00777B8C">
          <w:rPr>
            <w:rStyle w:val="Hyperlink"/>
          </w:rPr>
          <w:t>https://unstats.un.org/sdgs/report/2023/The-Sustainable-Development-Goals-Report-2023.pdf</w:t>
        </w:r>
      </w:hyperlink>
      <w:r w:rsidR="00896D6B" w:rsidRPr="00777B8C">
        <w:t>, p.</w:t>
      </w:r>
      <w:r w:rsidR="00BD1D47" w:rsidRPr="00777B8C">
        <w:t> </w:t>
      </w:r>
      <w:r w:rsidR="00896D6B" w:rsidRPr="00777B8C">
        <w:t>45.</w:t>
      </w:r>
      <w:r w:rsidR="00896D6B" w:rsidRPr="00AE13AD">
        <w:t xml:space="preserve"> </w:t>
      </w:r>
    </w:p>
  </w:footnote>
  <w:footnote w:id="49">
    <w:p w14:paraId="63CD3238" w14:textId="45AA5E70" w:rsidR="00C030C4" w:rsidRPr="002C76BE" w:rsidRDefault="00DA3F53">
      <w:pPr>
        <w:pStyle w:val="FootnoteText"/>
      </w:pPr>
      <w:r>
        <w:tab/>
      </w:r>
      <w:r w:rsidR="00C030C4" w:rsidRPr="00AE13AD">
        <w:rPr>
          <w:rStyle w:val="FootnoteReference"/>
        </w:rPr>
        <w:footnoteRef/>
      </w:r>
      <w:r>
        <w:tab/>
      </w:r>
      <w:r>
        <w:tab/>
      </w:r>
      <w:r w:rsidR="009E4D6C" w:rsidRPr="00DA15D6">
        <w:t>International Covenant on Civil and Political Rights,</w:t>
      </w:r>
      <w:r w:rsidR="00226255" w:rsidRPr="00DA15D6">
        <w:t xml:space="preserve"> art. 14;</w:t>
      </w:r>
      <w:r w:rsidR="009E4D6C" w:rsidRPr="00DA15D6">
        <w:t xml:space="preserve"> and</w:t>
      </w:r>
      <w:r w:rsidR="00226255" w:rsidRPr="00DA15D6">
        <w:t xml:space="preserve"> </w:t>
      </w:r>
      <w:r w:rsidR="001160B6" w:rsidRPr="002C76BE">
        <w:t>European Commission for Democracy</w:t>
      </w:r>
      <w:r w:rsidR="008C0BA4" w:rsidRPr="002C76BE">
        <w:t xml:space="preserve"> through Law</w:t>
      </w:r>
      <w:r w:rsidR="00226255" w:rsidRPr="002C76BE">
        <w:t xml:space="preserve">, </w:t>
      </w:r>
      <w:r w:rsidR="00321F6B" w:rsidRPr="002C76BE">
        <w:t>“</w:t>
      </w:r>
      <w:r w:rsidR="00226255" w:rsidRPr="002C76BE">
        <w:t xml:space="preserve">Report on the </w:t>
      </w:r>
      <w:r w:rsidR="004778D1" w:rsidRPr="002C76BE">
        <w:t>r</w:t>
      </w:r>
      <w:r w:rsidR="00226255" w:rsidRPr="002C76BE">
        <w:t xml:space="preserve">ule of </w:t>
      </w:r>
      <w:r w:rsidR="004778D1" w:rsidRPr="002C76BE">
        <w:t>l</w:t>
      </w:r>
      <w:r w:rsidR="00226255" w:rsidRPr="002C76BE">
        <w:t>aw</w:t>
      </w:r>
      <w:r w:rsidR="00321F6B" w:rsidRPr="002C76BE">
        <w:t>”</w:t>
      </w:r>
      <w:r w:rsidR="00226255" w:rsidRPr="002C76BE">
        <w:t xml:space="preserve"> (2011),</w:t>
      </w:r>
      <w:r w:rsidR="00617ED0" w:rsidRPr="002C76BE">
        <w:t xml:space="preserve"> paras.</w:t>
      </w:r>
      <w:r w:rsidR="00226255" w:rsidRPr="002C76BE">
        <w:t xml:space="preserve"> 53–58</w:t>
      </w:r>
      <w:r w:rsidR="00C030C4" w:rsidRPr="002C76BE">
        <w:t>.</w:t>
      </w:r>
    </w:p>
  </w:footnote>
  <w:footnote w:id="50">
    <w:p w14:paraId="227C6101" w14:textId="765CFD3F" w:rsidR="00D74CDD" w:rsidRPr="00AE13AD" w:rsidRDefault="00DA3F53" w:rsidP="00D74CDD">
      <w:pPr>
        <w:pStyle w:val="FootnoteText"/>
      </w:pPr>
      <w:r w:rsidRPr="003B6C15">
        <w:tab/>
      </w:r>
      <w:r w:rsidR="00D74CDD" w:rsidRPr="003B6C15">
        <w:rPr>
          <w:rStyle w:val="FootnoteReference"/>
        </w:rPr>
        <w:footnoteRef/>
      </w:r>
      <w:r w:rsidRPr="003B6C15">
        <w:tab/>
      </w:r>
      <w:r w:rsidRPr="003B6C15">
        <w:tab/>
      </w:r>
      <w:r w:rsidR="00D74CDD" w:rsidRPr="003B6C15">
        <w:t>See A/HRC/23/43</w:t>
      </w:r>
      <w:r w:rsidR="00C25AD4">
        <w:t>,</w:t>
      </w:r>
      <w:r w:rsidR="007E30D3" w:rsidRPr="003B6C15">
        <w:t xml:space="preserve"> A/HRC/23/43/Corr.1</w:t>
      </w:r>
      <w:r w:rsidR="00C25AD4">
        <w:t xml:space="preserve"> and</w:t>
      </w:r>
      <w:r w:rsidR="00D74CDD" w:rsidRPr="003B6C15">
        <w:t xml:space="preserve"> contributions by Zambia and Zimbabwe.</w:t>
      </w:r>
    </w:p>
  </w:footnote>
  <w:footnote w:id="51">
    <w:p w14:paraId="18A239E8" w14:textId="237081A5" w:rsidR="00D74CDD" w:rsidRPr="00AE13AD" w:rsidRDefault="00DA3F53" w:rsidP="00D74CDD">
      <w:pPr>
        <w:pStyle w:val="FootnoteText"/>
      </w:pPr>
      <w:r>
        <w:tab/>
      </w:r>
      <w:r w:rsidR="00D74CDD" w:rsidRPr="00AE13AD">
        <w:rPr>
          <w:rStyle w:val="FootnoteReference"/>
        </w:rPr>
        <w:footnoteRef/>
      </w:r>
      <w:r>
        <w:tab/>
      </w:r>
      <w:r>
        <w:tab/>
      </w:r>
      <w:r w:rsidR="00D74CDD" w:rsidRPr="00AE13AD">
        <w:t>See A/73/365.</w:t>
      </w:r>
    </w:p>
  </w:footnote>
  <w:footnote w:id="52">
    <w:p w14:paraId="696CFAF7" w14:textId="05118BEE" w:rsidR="00B20CBB" w:rsidRPr="00280D75" w:rsidRDefault="00DA3F53" w:rsidP="00B20CBB">
      <w:pPr>
        <w:pStyle w:val="FootnoteText"/>
      </w:pPr>
      <w:r>
        <w:tab/>
      </w:r>
      <w:r w:rsidR="00B20CBB" w:rsidRPr="00AE13AD">
        <w:rPr>
          <w:rStyle w:val="FootnoteReference"/>
        </w:rPr>
        <w:footnoteRef/>
      </w:r>
      <w:r>
        <w:tab/>
      </w:r>
      <w:r>
        <w:tab/>
      </w:r>
      <w:r w:rsidR="00B20CBB" w:rsidRPr="00280D75">
        <w:t>See</w:t>
      </w:r>
      <w:r w:rsidR="001978A3" w:rsidRPr="00280D75">
        <w:t xml:space="preserve"> </w:t>
      </w:r>
      <w:hyperlink r:id="rId14" w:history="1">
        <w:r w:rsidR="001978A3" w:rsidRPr="00280D75">
          <w:rPr>
            <w:rStyle w:val="Hyperlink"/>
          </w:rPr>
          <w:t>https://www.ohchr.org/sites/default/files/Documents/Publications/FactSheet16rev.1en.pdf</w:t>
        </w:r>
      </w:hyperlink>
      <w:r w:rsidR="00B20CBB" w:rsidRPr="00280D75">
        <w:t xml:space="preserve">; </w:t>
      </w:r>
      <w:r w:rsidR="00E93EBD" w:rsidRPr="00280D75">
        <w:t xml:space="preserve">and </w:t>
      </w:r>
      <w:r w:rsidR="000D46EB" w:rsidRPr="00280D75">
        <w:t>Committee on Economic, Social and Cultural Rights</w:t>
      </w:r>
      <w:r w:rsidR="00B20CBB" w:rsidRPr="00280D75">
        <w:t xml:space="preserve">, </w:t>
      </w:r>
      <w:r w:rsidR="000D46EB" w:rsidRPr="00280D75">
        <w:t>g</w:t>
      </w:r>
      <w:r w:rsidR="00B20CBB" w:rsidRPr="00280D75">
        <w:t xml:space="preserve">eneral </w:t>
      </w:r>
      <w:r w:rsidR="000D46EB" w:rsidRPr="00280D75">
        <w:t>c</w:t>
      </w:r>
      <w:r w:rsidR="00B20CBB" w:rsidRPr="00280D75">
        <w:t xml:space="preserve">omment </w:t>
      </w:r>
      <w:r w:rsidR="000D46EB" w:rsidRPr="00280D75">
        <w:t>N</w:t>
      </w:r>
      <w:r w:rsidR="00B20CBB" w:rsidRPr="00280D75">
        <w:t>o. 3</w:t>
      </w:r>
      <w:r w:rsidR="00766354" w:rsidRPr="00280D75">
        <w:t xml:space="preserve"> (1990)</w:t>
      </w:r>
      <w:r w:rsidR="00B20CBB" w:rsidRPr="00280D75">
        <w:t>, para. 5.</w:t>
      </w:r>
    </w:p>
  </w:footnote>
  <w:footnote w:id="53">
    <w:p w14:paraId="2E17CB84" w14:textId="49CEC4E1" w:rsidR="00D74CDD" w:rsidRPr="00AE13AD" w:rsidRDefault="00DA3F53" w:rsidP="00D74CDD">
      <w:pPr>
        <w:pStyle w:val="FootnoteText"/>
      </w:pPr>
      <w:r w:rsidRPr="00280D75">
        <w:tab/>
      </w:r>
      <w:r w:rsidR="00D74CDD" w:rsidRPr="00280D75">
        <w:rPr>
          <w:rStyle w:val="FootnoteReference"/>
        </w:rPr>
        <w:footnoteRef/>
      </w:r>
      <w:r w:rsidRPr="00280D75">
        <w:tab/>
      </w:r>
      <w:r w:rsidRPr="00280D75">
        <w:tab/>
      </w:r>
      <w:r w:rsidR="00D74CDD" w:rsidRPr="00280D75">
        <w:t xml:space="preserve">See Guidelines on the Role of Prosecutors; A/HRC/20/19; </w:t>
      </w:r>
      <w:r w:rsidR="00760414" w:rsidRPr="00280D75">
        <w:t xml:space="preserve">and </w:t>
      </w:r>
      <w:hyperlink r:id="rId15" w:history="1">
        <w:r w:rsidR="00C700D6" w:rsidRPr="00280D75">
          <w:rPr>
            <w:rStyle w:val="Hyperlink"/>
          </w:rPr>
          <w:t>https://rm.coe.int/168074738b</w:t>
        </w:r>
      </w:hyperlink>
      <w:r w:rsidR="00D74CDD" w:rsidRPr="00280D75">
        <w:t>.</w:t>
      </w:r>
    </w:p>
  </w:footnote>
  <w:footnote w:id="54">
    <w:p w14:paraId="0C892A83" w14:textId="3B96C551" w:rsidR="00C030C4" w:rsidRPr="00AE13AD" w:rsidRDefault="00DA3F53" w:rsidP="00C030C4">
      <w:pPr>
        <w:pStyle w:val="FootnoteText"/>
      </w:pPr>
      <w:r>
        <w:tab/>
      </w:r>
      <w:r w:rsidR="00C030C4" w:rsidRPr="00AE13AD">
        <w:rPr>
          <w:rStyle w:val="FootnoteReference"/>
        </w:rPr>
        <w:footnoteRef/>
      </w:r>
      <w:r>
        <w:tab/>
      </w:r>
      <w:r>
        <w:tab/>
      </w:r>
      <w:r w:rsidR="00C030C4" w:rsidRPr="00AE13AD">
        <w:t xml:space="preserve">World Justice Project, </w:t>
      </w:r>
      <w:r w:rsidR="00C030C4" w:rsidRPr="008A0231">
        <w:rPr>
          <w:i/>
          <w:iCs/>
        </w:rPr>
        <w:t xml:space="preserve">Dissecting the Justice Gap in 104 Countries: WJP Justice Data Graphical Report </w:t>
      </w:r>
      <w:r w:rsidR="00E32EA6" w:rsidRPr="008A0231">
        <w:rPr>
          <w:i/>
          <w:iCs/>
        </w:rPr>
        <w:t>I</w:t>
      </w:r>
      <w:r w:rsidR="00C030C4" w:rsidRPr="00AE13AD">
        <w:t xml:space="preserve"> (2023), pp. 19, 22, 26, 28, 30</w:t>
      </w:r>
      <w:r w:rsidR="000B0461">
        <w:t xml:space="preserve"> and</w:t>
      </w:r>
      <w:r w:rsidR="00C030C4" w:rsidRPr="00AE13AD">
        <w:t xml:space="preserve"> 32.</w:t>
      </w:r>
    </w:p>
  </w:footnote>
  <w:footnote w:id="55">
    <w:p w14:paraId="05308AC8" w14:textId="3B1AA8EE" w:rsidR="00C030C4" w:rsidRPr="00AE13AD" w:rsidRDefault="00DA3F53" w:rsidP="00C030C4">
      <w:pPr>
        <w:pStyle w:val="FootnoteText"/>
      </w:pPr>
      <w:r>
        <w:tab/>
      </w:r>
      <w:r w:rsidR="00C030C4" w:rsidRPr="00AE13AD">
        <w:rPr>
          <w:rStyle w:val="FootnoteReference"/>
        </w:rPr>
        <w:footnoteRef/>
      </w:r>
      <w:r>
        <w:tab/>
      </w:r>
      <w:r>
        <w:tab/>
      </w:r>
      <w:r w:rsidR="00C030C4" w:rsidRPr="00AE13AD">
        <w:t>A/78/171, paras. 8–19.</w:t>
      </w:r>
    </w:p>
  </w:footnote>
  <w:footnote w:id="56">
    <w:p w14:paraId="3248CE0F" w14:textId="57268F81" w:rsidR="00C030C4" w:rsidRPr="00AE13AD" w:rsidRDefault="00DA3F53" w:rsidP="00C030C4">
      <w:pPr>
        <w:pStyle w:val="FootnoteText"/>
      </w:pPr>
      <w:r>
        <w:tab/>
      </w:r>
      <w:r w:rsidR="00C030C4" w:rsidRPr="00AE13AD">
        <w:rPr>
          <w:rStyle w:val="FootnoteReference"/>
        </w:rPr>
        <w:footnoteRef/>
      </w:r>
      <w:r>
        <w:tab/>
      </w:r>
      <w:r>
        <w:tab/>
      </w:r>
      <w:r w:rsidR="00C030C4" w:rsidRPr="00BE48AB">
        <w:t>New Vision of the Secretary-General for the Rule of Law, p. 5.</w:t>
      </w:r>
      <w:r w:rsidR="00A80B0D" w:rsidRPr="00BE48AB">
        <w:t xml:space="preserve"> See</w:t>
      </w:r>
      <w:r w:rsidR="005E5D72" w:rsidRPr="00BE48AB">
        <w:t xml:space="preserve"> also</w:t>
      </w:r>
      <w:r w:rsidR="00A80B0D" w:rsidRPr="00BE48AB">
        <w:t xml:space="preserve"> contribution by the Council of Europe.</w:t>
      </w:r>
    </w:p>
  </w:footnote>
  <w:footnote w:id="57">
    <w:p w14:paraId="273C6BAA" w14:textId="0F69F3DE" w:rsidR="00037EAB" w:rsidRPr="003F4049" w:rsidRDefault="00DA3F53" w:rsidP="00037EAB">
      <w:pPr>
        <w:pStyle w:val="FootnoteText"/>
      </w:pPr>
      <w:r>
        <w:tab/>
      </w:r>
      <w:r w:rsidR="00037EAB" w:rsidRPr="00AE13AD">
        <w:rPr>
          <w:rStyle w:val="FootnoteReference"/>
        </w:rPr>
        <w:footnoteRef/>
      </w:r>
      <w:r>
        <w:tab/>
      </w:r>
      <w:r>
        <w:tab/>
      </w:r>
      <w:r w:rsidR="00037EAB" w:rsidRPr="00AE13AD">
        <w:t xml:space="preserve">S/2004/616; </w:t>
      </w:r>
      <w:r w:rsidR="006D7F54" w:rsidRPr="003F4049">
        <w:t xml:space="preserve">and </w:t>
      </w:r>
      <w:r w:rsidR="004A144E" w:rsidRPr="003F4049">
        <w:t>https://www.ohchr.org/sites/default/files/documents/issues/transitionaljustice/sg-guidance-note/2023_07_guidance_note_transitional_justice_en.pdf, p. 2.</w:t>
      </w:r>
    </w:p>
  </w:footnote>
  <w:footnote w:id="58">
    <w:p w14:paraId="08ACFF3C" w14:textId="7D5C3E8C" w:rsidR="00E55232" w:rsidRPr="008A0231" w:rsidRDefault="00DA3F53" w:rsidP="00E55232">
      <w:pPr>
        <w:pStyle w:val="FootnoteText"/>
        <w:rPr>
          <w:lang w:val="en-GB"/>
        </w:rPr>
      </w:pPr>
      <w:r w:rsidRPr="003F4049">
        <w:tab/>
      </w:r>
      <w:r w:rsidR="00E55232" w:rsidRPr="003F4049">
        <w:rPr>
          <w:rStyle w:val="FootnoteReference"/>
        </w:rPr>
        <w:footnoteRef/>
      </w:r>
      <w:r w:rsidRPr="008A0231">
        <w:rPr>
          <w:lang w:val="en-GB"/>
        </w:rPr>
        <w:tab/>
      </w:r>
      <w:r w:rsidR="002B5FDF" w:rsidRPr="008A0231">
        <w:rPr>
          <w:lang w:val="en-GB"/>
        </w:rPr>
        <w:t xml:space="preserve">See </w:t>
      </w:r>
      <w:hyperlink r:id="rId16" w:history="1">
        <w:r w:rsidRPr="008A0231">
          <w:rPr>
            <w:rStyle w:val="Hyperlink"/>
            <w:lang w:val="en-GB"/>
          </w:rPr>
          <w:t>https://www.ohchr.org/sites/default/files/documents/issues/transitionaljustice/sg-guidance-note/2023_07_guidance_note_transitional_justice_en.pdf</w:t>
        </w:r>
      </w:hyperlink>
      <w:r w:rsidR="004A144E" w:rsidRPr="008A0231">
        <w:rPr>
          <w:lang w:val="en-GB"/>
        </w:rPr>
        <w:t>, pp. 13</w:t>
      </w:r>
      <w:r w:rsidR="00F14D5D" w:rsidRPr="008A0231">
        <w:rPr>
          <w:lang w:val="en-GB"/>
        </w:rPr>
        <w:t xml:space="preserve"> </w:t>
      </w:r>
      <w:r w:rsidR="004A144E" w:rsidRPr="008A0231">
        <w:rPr>
          <w:lang w:val="en-GB"/>
        </w:rPr>
        <w:t>ff</w:t>
      </w:r>
      <w:r w:rsidR="00457D14" w:rsidRPr="008A0231">
        <w:rPr>
          <w:lang w:val="en-GB"/>
        </w:rPr>
        <w:t>.</w:t>
      </w:r>
    </w:p>
  </w:footnote>
  <w:footnote w:id="59">
    <w:p w14:paraId="04461E6E" w14:textId="1015AAC1" w:rsidR="00AA0D8F" w:rsidRPr="002A44A4" w:rsidRDefault="00DA3F53" w:rsidP="00AA0D8F">
      <w:pPr>
        <w:pStyle w:val="FootnoteText"/>
      </w:pPr>
      <w:r w:rsidRPr="008A0231">
        <w:rPr>
          <w:lang w:val="en-GB"/>
        </w:rPr>
        <w:tab/>
      </w:r>
      <w:r w:rsidR="00AA0D8F" w:rsidRPr="00AE13AD">
        <w:rPr>
          <w:rStyle w:val="FootnoteReference"/>
        </w:rPr>
        <w:footnoteRef/>
      </w:r>
      <w:r w:rsidRPr="002A44A4">
        <w:tab/>
      </w:r>
      <w:r w:rsidRPr="002A44A4">
        <w:tab/>
      </w:r>
      <w:r w:rsidR="00E72578" w:rsidRPr="002A44A4">
        <w:t>A/HRC/54/24</w:t>
      </w:r>
      <w:r w:rsidR="00AA0D8F" w:rsidRPr="002A44A4">
        <w:t>.</w:t>
      </w:r>
    </w:p>
  </w:footnote>
  <w:footnote w:id="60">
    <w:p w14:paraId="110A0DA6" w14:textId="493E272F" w:rsidR="00AA0D8F" w:rsidRPr="00AE13AD" w:rsidRDefault="00DA3F53" w:rsidP="00AA0D8F">
      <w:pPr>
        <w:pStyle w:val="FootnoteText"/>
      </w:pPr>
      <w:r w:rsidRPr="002A44A4">
        <w:tab/>
      </w:r>
      <w:r w:rsidR="00AA0D8F" w:rsidRPr="00AE13AD">
        <w:rPr>
          <w:rStyle w:val="FootnoteReference"/>
        </w:rPr>
        <w:footnoteRef/>
      </w:r>
      <w:r w:rsidRPr="002A44A4">
        <w:tab/>
      </w:r>
      <w:r w:rsidR="00AA0D8F" w:rsidRPr="002A44A4">
        <w:t>A/HRC/37/65</w:t>
      </w:r>
      <w:r w:rsidR="005025FD" w:rsidRPr="002A44A4">
        <w:t>,</w:t>
      </w:r>
      <w:r w:rsidR="00AA0D8F" w:rsidRPr="002A44A4">
        <w:t xml:space="preserve"> para. </w:t>
      </w:r>
      <w:r w:rsidR="00AA0D8F" w:rsidRPr="007920B5">
        <w:t>12.</w:t>
      </w:r>
      <w:r w:rsidR="00AA0D8F" w:rsidRPr="00AE13AD">
        <w:t xml:space="preserve"> See also A/HRC/27/56.</w:t>
      </w:r>
    </w:p>
  </w:footnote>
  <w:footnote w:id="61">
    <w:p w14:paraId="1DD1649F" w14:textId="161078AA" w:rsidR="00D93EEE" w:rsidRPr="008A0231" w:rsidRDefault="00DA3F53">
      <w:pPr>
        <w:pStyle w:val="FootnoteText"/>
      </w:pPr>
      <w:r>
        <w:tab/>
      </w:r>
      <w:r w:rsidR="00D93EEE" w:rsidRPr="00AE13AD">
        <w:rPr>
          <w:rStyle w:val="FootnoteReference"/>
        </w:rPr>
        <w:footnoteRef/>
      </w:r>
      <w:r w:rsidRPr="008A0231">
        <w:rPr>
          <w:lang w:val="en-GB"/>
        </w:rPr>
        <w:tab/>
      </w:r>
      <w:r w:rsidRPr="008A0231">
        <w:rPr>
          <w:lang w:val="en-GB"/>
        </w:rPr>
        <w:tab/>
      </w:r>
      <w:r w:rsidR="00D93EEE" w:rsidRPr="008A0231">
        <w:rPr>
          <w:lang w:val="en-GB"/>
        </w:rPr>
        <w:t xml:space="preserve">A/67/368, para. </w:t>
      </w:r>
      <w:r w:rsidR="00D93EEE" w:rsidRPr="008A0231">
        <w:t>78.</w:t>
      </w:r>
    </w:p>
  </w:footnote>
  <w:footnote w:id="62">
    <w:p w14:paraId="4B671796" w14:textId="60C58D9A" w:rsidR="00E55232" w:rsidRPr="008A0231" w:rsidRDefault="00DA3F53">
      <w:pPr>
        <w:pStyle w:val="FootnoteText"/>
      </w:pPr>
      <w:r w:rsidRPr="008A0231">
        <w:tab/>
      </w:r>
      <w:r w:rsidR="00E55232" w:rsidRPr="00AE13AD">
        <w:rPr>
          <w:rStyle w:val="FootnoteReference"/>
        </w:rPr>
        <w:footnoteRef/>
      </w:r>
      <w:r w:rsidRPr="008A0231">
        <w:tab/>
      </w:r>
      <w:r w:rsidRPr="008A0231">
        <w:tab/>
      </w:r>
      <w:r w:rsidR="00C3397D" w:rsidRPr="008A0231">
        <w:t>Ibid.</w:t>
      </w:r>
      <w:r w:rsidR="00E55232" w:rsidRPr="008A0231">
        <w:t xml:space="preserve">, para. </w:t>
      </w:r>
      <w:r w:rsidR="00D93EEE" w:rsidRPr="008A0231">
        <w:t>76</w:t>
      </w:r>
      <w:r w:rsidR="00E55232" w:rsidRPr="008A0231">
        <w:t>.</w:t>
      </w:r>
    </w:p>
  </w:footnote>
  <w:footnote w:id="63">
    <w:p w14:paraId="2021793D" w14:textId="5825395D" w:rsidR="00C74A61" w:rsidRPr="008A0231" w:rsidRDefault="00DA3F53" w:rsidP="00C74A61">
      <w:pPr>
        <w:pStyle w:val="FootnoteText"/>
      </w:pPr>
      <w:r w:rsidRPr="008A0231">
        <w:tab/>
      </w:r>
      <w:r w:rsidR="00C74A61" w:rsidRPr="00AE13AD">
        <w:rPr>
          <w:rStyle w:val="FootnoteReference"/>
        </w:rPr>
        <w:footnoteRef/>
      </w:r>
      <w:r w:rsidRPr="008A0231">
        <w:tab/>
      </w:r>
      <w:r w:rsidR="002950C9" w:rsidRPr="008A0231">
        <w:rPr>
          <w:szCs w:val="18"/>
        </w:rPr>
        <w:t>A/HRC/37/65</w:t>
      </w:r>
      <w:r w:rsidR="00C3397D" w:rsidRPr="008A0231">
        <w:rPr>
          <w:szCs w:val="18"/>
        </w:rPr>
        <w:t>,</w:t>
      </w:r>
      <w:r w:rsidR="00C74A61" w:rsidRPr="008A0231">
        <w:t xml:space="preserve"> para. 14.</w:t>
      </w:r>
    </w:p>
  </w:footnote>
  <w:footnote w:id="64">
    <w:p w14:paraId="0FBF7879" w14:textId="2518B0E5" w:rsidR="00CD360C" w:rsidRPr="008A0231" w:rsidRDefault="00E16596" w:rsidP="00CD360C">
      <w:pPr>
        <w:pStyle w:val="FootnoteText"/>
      </w:pPr>
      <w:r w:rsidRPr="008A0231">
        <w:tab/>
      </w:r>
      <w:r w:rsidR="00CD360C" w:rsidRPr="00AE13AD">
        <w:rPr>
          <w:rStyle w:val="FootnoteReference"/>
        </w:rPr>
        <w:footnoteRef/>
      </w:r>
      <w:r w:rsidRPr="008A0231">
        <w:tab/>
      </w:r>
      <w:r w:rsidRPr="008A0231">
        <w:tab/>
      </w:r>
      <w:r w:rsidR="002950C9" w:rsidRPr="008A0231">
        <w:t>Ibid.</w:t>
      </w:r>
      <w:r w:rsidR="00CD360C" w:rsidRPr="008A0231">
        <w:t>, para</w:t>
      </w:r>
      <w:r w:rsidR="007E106C" w:rsidRPr="008A0231">
        <w:t>s</w:t>
      </w:r>
      <w:r w:rsidR="00CD360C" w:rsidRPr="008A0231">
        <w:t xml:space="preserve">. 10 </w:t>
      </w:r>
      <w:r w:rsidR="007E106C" w:rsidRPr="008A0231">
        <w:t>and</w:t>
      </w:r>
      <w:r w:rsidR="00CD360C" w:rsidRPr="008A0231">
        <w:t xml:space="preserve"> 11.</w:t>
      </w:r>
    </w:p>
  </w:footnote>
  <w:footnote w:id="65">
    <w:p w14:paraId="32154F83" w14:textId="64C3B82C" w:rsidR="00D93EEE" w:rsidRPr="002A44A4" w:rsidRDefault="00E16596">
      <w:pPr>
        <w:pStyle w:val="FootnoteText"/>
      </w:pPr>
      <w:r w:rsidRPr="008A0231">
        <w:tab/>
      </w:r>
      <w:r w:rsidR="00D93EEE" w:rsidRPr="002950C9">
        <w:rPr>
          <w:rStyle w:val="FootnoteReference"/>
        </w:rPr>
        <w:footnoteRef/>
      </w:r>
      <w:r w:rsidRPr="008A0231">
        <w:tab/>
      </w:r>
      <w:r w:rsidRPr="008A0231">
        <w:tab/>
      </w:r>
      <w:r w:rsidR="00EE6265" w:rsidRPr="008A0231">
        <w:t>Ibid</w:t>
      </w:r>
      <w:r w:rsidR="002B0729" w:rsidRPr="008A0231">
        <w:t>.</w:t>
      </w:r>
      <w:r w:rsidR="00D93EEE" w:rsidRPr="008A0231">
        <w:t xml:space="preserve">, para. </w:t>
      </w:r>
      <w:r w:rsidR="00D93EEE" w:rsidRPr="002A44A4">
        <w:t>86.</w:t>
      </w:r>
    </w:p>
  </w:footnote>
  <w:footnote w:id="66">
    <w:p w14:paraId="66FBACD2" w14:textId="2180E626" w:rsidR="00BD7310" w:rsidRPr="00AE13AD" w:rsidRDefault="00E16596" w:rsidP="00BD7310">
      <w:pPr>
        <w:pStyle w:val="FootnoteText"/>
      </w:pPr>
      <w:r w:rsidRPr="002A44A4">
        <w:tab/>
      </w:r>
      <w:r w:rsidR="00BD7310" w:rsidRPr="00AE13AD">
        <w:rPr>
          <w:rStyle w:val="FootnoteReference"/>
        </w:rPr>
        <w:footnoteRef/>
      </w:r>
      <w:r w:rsidRPr="002A44A4">
        <w:tab/>
      </w:r>
      <w:r w:rsidRPr="002A44A4">
        <w:tab/>
      </w:r>
      <w:r w:rsidR="00BD7310" w:rsidRPr="002A44A4">
        <w:t xml:space="preserve">A/HRC/38/25, para. </w:t>
      </w:r>
      <w:r w:rsidR="00BD7310" w:rsidRPr="00AE13AD">
        <w:t>56.</w:t>
      </w:r>
      <w:r w:rsidR="00573D7B" w:rsidRPr="00AE13AD">
        <w:t xml:space="preserve"> See also </w:t>
      </w:r>
      <w:r w:rsidR="00114045">
        <w:t xml:space="preserve">General Assembly resolution </w:t>
      </w:r>
      <w:r w:rsidR="00573D7B" w:rsidRPr="00AE13AD">
        <w:t>67/1, para. 34.</w:t>
      </w:r>
    </w:p>
  </w:footnote>
  <w:footnote w:id="67">
    <w:p w14:paraId="5D69083C" w14:textId="232BC048" w:rsidR="00BA5273" w:rsidRPr="002E1AF4" w:rsidRDefault="00E16596" w:rsidP="00BA5273">
      <w:pPr>
        <w:pStyle w:val="FootnoteText"/>
      </w:pPr>
      <w:r>
        <w:tab/>
      </w:r>
      <w:r w:rsidR="00BA5273" w:rsidRPr="00AE13AD">
        <w:rPr>
          <w:rStyle w:val="FootnoteReference"/>
        </w:rPr>
        <w:footnoteRef/>
      </w:r>
      <w:r>
        <w:tab/>
      </w:r>
      <w:r>
        <w:tab/>
      </w:r>
      <w:r w:rsidR="00BA5273" w:rsidRPr="00AE13AD">
        <w:t>A/HRC/38/25</w:t>
      </w:r>
      <w:r w:rsidR="00680FFF">
        <w:t>,</w:t>
      </w:r>
      <w:r w:rsidR="00BA5273" w:rsidRPr="00AE13AD">
        <w:t xml:space="preserve"> para. 20. </w:t>
      </w:r>
      <w:r w:rsidR="002E1AF4">
        <w:t>See also</w:t>
      </w:r>
      <w:r w:rsidR="00BA5273" w:rsidRPr="00AE13AD">
        <w:t xml:space="preserve"> </w:t>
      </w:r>
      <w:r w:rsidR="00BA5273" w:rsidRPr="002E1AF4">
        <w:t>contribution</w:t>
      </w:r>
      <w:r w:rsidR="002E1AF4" w:rsidRPr="008A0231">
        <w:t xml:space="preserve"> by</w:t>
      </w:r>
      <w:r w:rsidR="00BA5273" w:rsidRPr="002E1AF4">
        <w:t xml:space="preserve"> Australia.</w:t>
      </w:r>
    </w:p>
  </w:footnote>
  <w:footnote w:id="68">
    <w:p w14:paraId="5F9F9F4D" w14:textId="3B61A81F" w:rsidR="001C2B30" w:rsidRPr="00AE13AD" w:rsidRDefault="00E16596" w:rsidP="001C2B30">
      <w:pPr>
        <w:pStyle w:val="FootnoteText"/>
        <w:rPr>
          <w:b/>
          <w:bCs/>
        </w:rPr>
      </w:pPr>
      <w:r w:rsidRPr="002E1AF4">
        <w:tab/>
      </w:r>
      <w:r w:rsidR="001C2B30" w:rsidRPr="002E1AF4">
        <w:rPr>
          <w:rStyle w:val="FootnoteReference"/>
        </w:rPr>
        <w:footnoteRef/>
      </w:r>
      <w:r w:rsidRPr="002E1AF4">
        <w:tab/>
      </w:r>
      <w:r w:rsidRPr="002E1AF4">
        <w:tab/>
      </w:r>
      <w:r w:rsidR="001C2B30" w:rsidRPr="002E1AF4">
        <w:t>See</w:t>
      </w:r>
      <w:r w:rsidR="00883E6E" w:rsidRPr="002E1AF4">
        <w:t xml:space="preserve"> </w:t>
      </w:r>
      <w:r w:rsidR="001C2B30" w:rsidRPr="002E1AF4">
        <w:t>contribution by Australia. See also A/HRC/38/25</w:t>
      </w:r>
      <w:r w:rsidR="00EE6265" w:rsidRPr="002E1AF4">
        <w:t>;</w:t>
      </w:r>
      <w:r w:rsidR="001C2B30" w:rsidRPr="002E1AF4">
        <w:t xml:space="preserve"> </w:t>
      </w:r>
      <w:r w:rsidR="001839FD" w:rsidRPr="002E1AF4">
        <w:t>and</w:t>
      </w:r>
      <w:r w:rsidR="001839FD">
        <w:t xml:space="preserve"> </w:t>
      </w:r>
      <w:hyperlink r:id="rId17" w:history="1">
        <w:r w:rsidR="001839FD" w:rsidRPr="001839FD">
          <w:rPr>
            <w:rStyle w:val="Hyperlink"/>
          </w:rPr>
          <w:t>https://www.ohchr.org/sites/default/files/documents/publications/policy-methodological/HumanRights_Toolkit_EN_web.pdf</w:t>
        </w:r>
      </w:hyperlink>
      <w:r w:rsidR="001C2B30" w:rsidRPr="00AE13AD">
        <w:t>, pp. 22–25.</w:t>
      </w:r>
    </w:p>
  </w:footnote>
  <w:footnote w:id="69">
    <w:p w14:paraId="1E3E7DD1" w14:textId="2C7B8F32" w:rsidR="008D134B" w:rsidRPr="00AE13AD" w:rsidRDefault="00E16596" w:rsidP="00E16596">
      <w:pPr>
        <w:pStyle w:val="FootnoteText"/>
        <w:contextualSpacing/>
      </w:pPr>
      <w:r>
        <w:tab/>
      </w:r>
      <w:r w:rsidR="008D134B" w:rsidRPr="00AE13AD">
        <w:rPr>
          <w:rStyle w:val="FootnoteReference"/>
        </w:rPr>
        <w:footnoteRef/>
      </w:r>
      <w:r>
        <w:tab/>
      </w:r>
      <w:r>
        <w:tab/>
      </w:r>
      <w:r w:rsidR="003560B0">
        <w:t xml:space="preserve">OECD, </w:t>
      </w:r>
      <w:r w:rsidR="008D134B" w:rsidRPr="008A0231">
        <w:rPr>
          <w:i/>
          <w:iCs/>
        </w:rPr>
        <w:t>OECD Survey on Drivers of Trust in Public Institutions</w:t>
      </w:r>
      <w:r w:rsidR="008D134B" w:rsidRPr="00AE13AD">
        <w:t>, p. 103.</w:t>
      </w:r>
    </w:p>
  </w:footnote>
  <w:footnote w:id="70">
    <w:p w14:paraId="09AF43E3" w14:textId="0406D676" w:rsidR="001C2B30" w:rsidRPr="00AE13AD" w:rsidRDefault="00E16596" w:rsidP="00E16596">
      <w:pPr>
        <w:pStyle w:val="FootnoteText"/>
        <w:spacing w:before="240" w:line="240" w:lineRule="auto"/>
        <w:contextualSpacing/>
      </w:pPr>
      <w:r>
        <w:tab/>
      </w:r>
      <w:r w:rsidR="001C2B30" w:rsidRPr="00AE13AD">
        <w:rPr>
          <w:rStyle w:val="FootnoteReference"/>
        </w:rPr>
        <w:footnoteRef/>
      </w:r>
      <w:r>
        <w:tab/>
      </w:r>
      <w:r>
        <w:tab/>
      </w:r>
      <w:r w:rsidR="00226255" w:rsidRPr="007636F2">
        <w:t xml:space="preserve">See </w:t>
      </w:r>
      <w:r w:rsidR="001C2B30" w:rsidRPr="007636F2">
        <w:t>A/HRC/56/</w:t>
      </w:r>
      <w:r w:rsidR="00226255" w:rsidRPr="007636F2">
        <w:t>42</w:t>
      </w:r>
      <w:r w:rsidR="001C2B30" w:rsidRPr="007636F2">
        <w:t>.</w:t>
      </w:r>
    </w:p>
  </w:footnote>
  <w:footnote w:id="71">
    <w:p w14:paraId="21DF6B77" w14:textId="00603C3D" w:rsidR="00BD7310" w:rsidRPr="00AE13AD" w:rsidRDefault="00E16596" w:rsidP="00BD7310">
      <w:pPr>
        <w:pStyle w:val="FootnoteText"/>
      </w:pPr>
      <w:r>
        <w:tab/>
      </w:r>
      <w:r w:rsidR="00BD7310" w:rsidRPr="00AE13AD">
        <w:rPr>
          <w:rStyle w:val="FootnoteReference"/>
        </w:rPr>
        <w:footnoteRef/>
      </w:r>
      <w:r>
        <w:tab/>
      </w:r>
      <w:r>
        <w:tab/>
      </w:r>
      <w:r w:rsidR="00EE4DFD">
        <w:t>Human</w:t>
      </w:r>
      <w:r w:rsidR="00874916">
        <w:t xml:space="preserve"> Rights Committee</w:t>
      </w:r>
      <w:r w:rsidR="00817025" w:rsidRPr="00AE13AD">
        <w:t xml:space="preserve">, </w:t>
      </w:r>
      <w:r w:rsidR="00874916">
        <w:t>g</w:t>
      </w:r>
      <w:r w:rsidR="00817025" w:rsidRPr="00AE13AD">
        <w:t xml:space="preserve">eneral </w:t>
      </w:r>
      <w:r w:rsidR="00874916">
        <w:t>c</w:t>
      </w:r>
      <w:r w:rsidR="00817025" w:rsidRPr="00AE13AD">
        <w:t xml:space="preserve">omment </w:t>
      </w:r>
      <w:r w:rsidR="00874916">
        <w:t>N</w:t>
      </w:r>
      <w:r w:rsidR="00817025" w:rsidRPr="00AE13AD">
        <w:t xml:space="preserve">o. 32 (2007), para. 2; </w:t>
      </w:r>
      <w:r w:rsidR="00B8167B">
        <w:t xml:space="preserve">and General Assembly resolution </w:t>
      </w:r>
      <w:r w:rsidR="00EE0AE3" w:rsidRPr="00AE13AD">
        <w:t>67/1, para. 13.</w:t>
      </w:r>
    </w:p>
  </w:footnote>
  <w:footnote w:id="72">
    <w:p w14:paraId="65BF286B" w14:textId="293CD27B" w:rsidR="006004B9" w:rsidRPr="00AE13AD" w:rsidRDefault="00E16596">
      <w:pPr>
        <w:pStyle w:val="FootnoteText"/>
      </w:pPr>
      <w:r>
        <w:tab/>
      </w:r>
      <w:r w:rsidR="006004B9" w:rsidRPr="00AE13AD">
        <w:rPr>
          <w:rStyle w:val="FootnoteReference"/>
        </w:rPr>
        <w:footnoteRef/>
      </w:r>
      <w:r>
        <w:tab/>
      </w:r>
      <w:r>
        <w:tab/>
      </w:r>
      <w:r w:rsidR="006004B9" w:rsidRPr="00AE13AD">
        <w:t xml:space="preserve">See </w:t>
      </w:r>
      <w:r w:rsidR="006004B9" w:rsidRPr="0037237B">
        <w:t xml:space="preserve">contribution by </w:t>
      </w:r>
      <w:r w:rsidR="00A941D8" w:rsidRPr="008A0231">
        <w:t xml:space="preserve">the </w:t>
      </w:r>
      <w:r w:rsidRPr="0037237B">
        <w:t>Philippines</w:t>
      </w:r>
      <w:r w:rsidR="006004B9" w:rsidRPr="0037237B">
        <w:t>.</w:t>
      </w:r>
    </w:p>
  </w:footnote>
  <w:footnote w:id="73">
    <w:p w14:paraId="25026749" w14:textId="1139158D" w:rsidR="00A80B0D" w:rsidRPr="00AE13AD" w:rsidRDefault="00E16596" w:rsidP="00A80B0D">
      <w:pPr>
        <w:pStyle w:val="FootnoteText"/>
      </w:pPr>
      <w:r>
        <w:tab/>
      </w:r>
      <w:r w:rsidR="00A80B0D" w:rsidRPr="00AE13AD">
        <w:rPr>
          <w:rStyle w:val="FootnoteReference"/>
        </w:rPr>
        <w:footnoteRef/>
      </w:r>
      <w:r>
        <w:tab/>
      </w:r>
      <w:r>
        <w:tab/>
      </w:r>
      <w:r w:rsidR="00BB64D6">
        <w:t>International Covenant on Civil and Political Rights,</w:t>
      </w:r>
      <w:r w:rsidR="00A80B0D" w:rsidRPr="00AE13AD">
        <w:t xml:space="preserve"> art. 14; </w:t>
      </w:r>
      <w:r w:rsidR="00BB64D6">
        <w:t>Human Rights Committee</w:t>
      </w:r>
      <w:r w:rsidR="00A80B0D" w:rsidRPr="00AE13AD">
        <w:t xml:space="preserve">, </w:t>
      </w:r>
      <w:r w:rsidR="00BB64D6">
        <w:t>g</w:t>
      </w:r>
      <w:r w:rsidR="00A80B0D" w:rsidRPr="00AE13AD">
        <w:t xml:space="preserve">eneral </w:t>
      </w:r>
      <w:r w:rsidR="00BB64D6">
        <w:t>c</w:t>
      </w:r>
      <w:r w:rsidR="00A80B0D" w:rsidRPr="00AE13AD">
        <w:t xml:space="preserve">omment </w:t>
      </w:r>
      <w:r w:rsidR="00BB64D6">
        <w:t>N</w:t>
      </w:r>
      <w:r w:rsidR="00A80B0D" w:rsidRPr="00AE13AD">
        <w:t>o. 32 (2007);</w:t>
      </w:r>
      <w:r w:rsidR="00544EEC">
        <w:t xml:space="preserve"> and</w:t>
      </w:r>
      <w:r w:rsidR="00A80B0D" w:rsidRPr="00AE13AD">
        <w:t xml:space="preserve"> Basic Principles on the Independence of the Judiciary, para. 1.</w:t>
      </w:r>
      <w:r w:rsidR="00C12881" w:rsidRPr="00AE13AD">
        <w:t xml:space="preserve"> See also </w:t>
      </w:r>
      <w:r w:rsidR="00C12881" w:rsidRPr="00442E1D">
        <w:t>contribution by Ecuador.</w:t>
      </w:r>
    </w:p>
  </w:footnote>
  <w:footnote w:id="74">
    <w:p w14:paraId="58DBF386" w14:textId="52A93546" w:rsidR="00FC3A3B" w:rsidRPr="00AE13AD" w:rsidRDefault="00E16596" w:rsidP="00E16596">
      <w:pPr>
        <w:pStyle w:val="FootnoteText"/>
        <w:contextualSpacing/>
      </w:pPr>
      <w:r>
        <w:tab/>
      </w:r>
      <w:r w:rsidR="00FC3A3B" w:rsidRPr="00AE13AD">
        <w:rPr>
          <w:rStyle w:val="FootnoteReference"/>
        </w:rPr>
        <w:footnoteRef/>
      </w:r>
      <w:r>
        <w:tab/>
      </w:r>
      <w:r>
        <w:tab/>
      </w:r>
      <w:r w:rsidR="00E216CB" w:rsidRPr="00AE13AD">
        <w:t>See A/HRC/53/31, paras. 15–19</w:t>
      </w:r>
      <w:r w:rsidR="00E216CB" w:rsidRPr="00D21F9B">
        <w:t>;</w:t>
      </w:r>
      <w:r w:rsidR="0066546C" w:rsidRPr="00D21F9B">
        <w:t xml:space="preserve"> and</w:t>
      </w:r>
      <w:r w:rsidR="00E216CB" w:rsidRPr="00D21F9B">
        <w:t xml:space="preserve"> </w:t>
      </w:r>
      <w:r w:rsidR="00FC3A3B" w:rsidRPr="00D21F9B">
        <w:t>A/HRC/37/65, para. 91.</w:t>
      </w:r>
    </w:p>
  </w:footnote>
  <w:footnote w:id="75">
    <w:p w14:paraId="18A267DE" w14:textId="406DA588" w:rsidR="00CE56B8" w:rsidRPr="00AE13AD" w:rsidRDefault="00E16596" w:rsidP="00E16596">
      <w:pPr>
        <w:pStyle w:val="FootnoteText"/>
        <w:spacing w:before="240" w:line="240" w:lineRule="auto"/>
        <w:contextualSpacing/>
      </w:pPr>
      <w:r>
        <w:tab/>
      </w:r>
      <w:r w:rsidR="00CE56B8" w:rsidRPr="00AE13AD">
        <w:rPr>
          <w:rStyle w:val="FootnoteReference"/>
        </w:rPr>
        <w:footnoteRef/>
      </w:r>
      <w:r>
        <w:tab/>
      </w:r>
      <w:r>
        <w:tab/>
      </w:r>
      <w:r w:rsidR="00CE56B8" w:rsidRPr="00AE13AD">
        <w:t xml:space="preserve">Prevention </w:t>
      </w:r>
      <w:r w:rsidR="004878C7" w:rsidRPr="00AE13AD">
        <w:t>P</w:t>
      </w:r>
      <w:r w:rsidR="00CE56B8" w:rsidRPr="00AE13AD">
        <w:t>rojec</w:t>
      </w:r>
      <w:r w:rsidR="004878C7" w:rsidRPr="00AE13AD">
        <w:t xml:space="preserve">t, </w:t>
      </w:r>
      <w:r w:rsidR="00DE0C62">
        <w:t>“</w:t>
      </w:r>
      <w:hyperlink r:id="rId18" w:history="1">
        <w:r w:rsidR="004878C7" w:rsidRPr="00DE0C62">
          <w:rPr>
            <w:rStyle w:val="Hyperlink"/>
          </w:rPr>
          <w:t xml:space="preserve">The </w:t>
        </w:r>
        <w:r w:rsidR="00DE0C62" w:rsidRPr="00DE0C62">
          <w:rPr>
            <w:rStyle w:val="Hyperlink"/>
          </w:rPr>
          <w:t>role of police in preventing mass human rights violat</w:t>
        </w:r>
        <w:r w:rsidR="004878C7" w:rsidRPr="00DE0C62">
          <w:rPr>
            <w:rStyle w:val="Hyperlink"/>
          </w:rPr>
          <w:t>ions</w:t>
        </w:r>
      </w:hyperlink>
      <w:r w:rsidR="00DE0C62">
        <w:rPr>
          <w:rStyle w:val="Hyperlink"/>
        </w:rPr>
        <w:t>”</w:t>
      </w:r>
      <w:r w:rsidR="004878C7" w:rsidRPr="00AE13AD">
        <w:t xml:space="preserve"> (March 2024)</w:t>
      </w:r>
      <w:r w:rsidR="00CA0F8C">
        <w:t xml:space="preserve">, available at </w:t>
      </w:r>
      <w:r w:rsidR="00CA0F8C" w:rsidRPr="00CA0F8C">
        <w:t>https://app.box.com/s/cwen05tcem25e5hv1iekefb7opmcpi10</w:t>
      </w:r>
      <w:r w:rsidR="004878C7" w:rsidRPr="00AE13AD">
        <w:t>.</w:t>
      </w:r>
    </w:p>
  </w:footnote>
  <w:footnote w:id="76">
    <w:p w14:paraId="34325389" w14:textId="497429D9" w:rsidR="00817025" w:rsidRPr="00AE13AD" w:rsidRDefault="00E16596">
      <w:pPr>
        <w:pStyle w:val="FootnoteText"/>
      </w:pPr>
      <w:r>
        <w:tab/>
      </w:r>
      <w:r w:rsidR="00817025" w:rsidRPr="00AE13AD">
        <w:rPr>
          <w:rStyle w:val="FootnoteReference"/>
        </w:rPr>
        <w:footnoteRef/>
      </w:r>
      <w:r>
        <w:tab/>
      </w:r>
      <w:r>
        <w:tab/>
      </w:r>
      <w:r w:rsidR="00817025" w:rsidRPr="00D21F9B">
        <w:t>A/HRC/37/65, para.</w:t>
      </w:r>
      <w:r w:rsidR="00841B87" w:rsidRPr="00D21F9B">
        <w:t xml:space="preserve"> </w:t>
      </w:r>
      <w:r w:rsidR="00817025" w:rsidRPr="00D21F9B">
        <w:t>41.</w:t>
      </w:r>
      <w:r w:rsidR="00250EFA" w:rsidRPr="00AE13AD">
        <w:t xml:space="preserve"> </w:t>
      </w:r>
      <w:r w:rsidR="00816FD3">
        <w:t xml:space="preserve">See also </w:t>
      </w:r>
      <w:r w:rsidR="00250EFA" w:rsidRPr="00816FD3">
        <w:t>contribution by Italy.</w:t>
      </w:r>
    </w:p>
  </w:footnote>
  <w:footnote w:id="77">
    <w:p w14:paraId="43E209E6" w14:textId="2F7B1CEC" w:rsidR="00817025" w:rsidRPr="00AE13AD" w:rsidRDefault="004C230D">
      <w:pPr>
        <w:pStyle w:val="FootnoteText"/>
      </w:pPr>
      <w:r>
        <w:tab/>
      </w:r>
      <w:r w:rsidR="00817025" w:rsidRPr="00AE13AD">
        <w:rPr>
          <w:rStyle w:val="FootnoteReference"/>
        </w:rPr>
        <w:footnoteRef/>
      </w:r>
      <w:r>
        <w:tab/>
      </w:r>
      <w:r>
        <w:tab/>
      </w:r>
      <w:r w:rsidR="00817025" w:rsidRPr="00AE13AD">
        <w:t xml:space="preserve">OHCHR </w:t>
      </w:r>
      <w:r w:rsidR="0098453F">
        <w:t>and</w:t>
      </w:r>
      <w:r w:rsidR="00817025" w:rsidRPr="00AE13AD">
        <w:t xml:space="preserve"> </w:t>
      </w:r>
      <w:r w:rsidR="00254E3F" w:rsidRPr="00254E3F">
        <w:t>United Nations Office on Drugs and Crime</w:t>
      </w:r>
      <w:r w:rsidR="00E41960">
        <w:t xml:space="preserve"> (</w:t>
      </w:r>
      <w:r w:rsidR="00817025" w:rsidRPr="00AE13AD">
        <w:t>UNODC</w:t>
      </w:r>
      <w:r w:rsidR="00E41960">
        <w:t>)</w:t>
      </w:r>
      <w:r w:rsidR="00817025" w:rsidRPr="00AE13AD">
        <w:t xml:space="preserve">, </w:t>
      </w:r>
      <w:hyperlink r:id="rId19" w:history="1">
        <w:r w:rsidR="002E0409" w:rsidRPr="008A0231">
          <w:rPr>
            <w:rStyle w:val="Hyperlink"/>
            <w:i/>
            <w:iCs/>
          </w:rPr>
          <w:t xml:space="preserve">Resource </w:t>
        </w:r>
        <w:r w:rsidR="00114809" w:rsidRPr="008A0231">
          <w:rPr>
            <w:rStyle w:val="Hyperlink"/>
            <w:i/>
            <w:iCs/>
          </w:rPr>
          <w:t>B</w:t>
        </w:r>
        <w:r w:rsidR="002E0409" w:rsidRPr="008A0231">
          <w:rPr>
            <w:rStyle w:val="Hyperlink"/>
            <w:i/>
            <w:iCs/>
          </w:rPr>
          <w:t xml:space="preserve">ook on the </w:t>
        </w:r>
        <w:r w:rsidR="00114809" w:rsidRPr="008A0231">
          <w:rPr>
            <w:rStyle w:val="Hyperlink"/>
            <w:i/>
            <w:iCs/>
          </w:rPr>
          <w:t>U</w:t>
        </w:r>
        <w:r w:rsidR="002E0409" w:rsidRPr="008A0231">
          <w:rPr>
            <w:rStyle w:val="Hyperlink"/>
            <w:i/>
            <w:iCs/>
          </w:rPr>
          <w:t xml:space="preserve">se of </w:t>
        </w:r>
        <w:r w:rsidR="00114809" w:rsidRPr="008A0231">
          <w:rPr>
            <w:rStyle w:val="Hyperlink"/>
            <w:i/>
            <w:iCs/>
          </w:rPr>
          <w:t>F</w:t>
        </w:r>
        <w:r w:rsidR="002E0409" w:rsidRPr="008A0231">
          <w:rPr>
            <w:rStyle w:val="Hyperlink"/>
            <w:i/>
            <w:iCs/>
          </w:rPr>
          <w:t xml:space="preserve">orce and </w:t>
        </w:r>
        <w:r w:rsidR="00114809" w:rsidRPr="008A0231">
          <w:rPr>
            <w:rStyle w:val="Hyperlink"/>
            <w:i/>
            <w:iCs/>
          </w:rPr>
          <w:t>F</w:t>
        </w:r>
        <w:r w:rsidR="002E0409" w:rsidRPr="008A0231">
          <w:rPr>
            <w:rStyle w:val="Hyperlink"/>
            <w:i/>
            <w:iCs/>
          </w:rPr>
          <w:t xml:space="preserve">irearms in </w:t>
        </w:r>
        <w:r w:rsidR="00114809" w:rsidRPr="008A0231">
          <w:rPr>
            <w:rStyle w:val="Hyperlink"/>
            <w:i/>
            <w:iCs/>
          </w:rPr>
          <w:t>L</w:t>
        </w:r>
        <w:r w:rsidR="002E0409" w:rsidRPr="008A0231">
          <w:rPr>
            <w:rStyle w:val="Hyperlink"/>
            <w:i/>
            <w:iCs/>
          </w:rPr>
          <w:t xml:space="preserve">aw </w:t>
        </w:r>
        <w:r w:rsidR="00114809" w:rsidRPr="008A0231">
          <w:rPr>
            <w:rStyle w:val="Hyperlink"/>
            <w:i/>
            <w:iCs/>
          </w:rPr>
          <w:t>E</w:t>
        </w:r>
        <w:r w:rsidR="002E0409" w:rsidRPr="008A0231">
          <w:rPr>
            <w:rStyle w:val="Hyperlink"/>
            <w:i/>
            <w:iCs/>
          </w:rPr>
          <w:t>nforcement</w:t>
        </w:r>
      </w:hyperlink>
      <w:r w:rsidR="002E0409" w:rsidRPr="008A0231">
        <w:rPr>
          <w:i/>
          <w:iCs/>
        </w:rPr>
        <w:t xml:space="preserve"> </w:t>
      </w:r>
      <w:r w:rsidR="002E0409" w:rsidRPr="00AE13AD">
        <w:t>(2017)</w:t>
      </w:r>
      <w:r w:rsidR="00B47EA3" w:rsidRPr="00AE13AD">
        <w:t>.</w:t>
      </w:r>
      <w:r w:rsidR="008D0135" w:rsidRPr="00AE13AD">
        <w:t xml:space="preserve"> </w:t>
      </w:r>
      <w:r w:rsidR="00B47EA3" w:rsidRPr="00AE13AD">
        <w:t xml:space="preserve">With respect to the armed forces, the importance of military discipline and emphasis on </w:t>
      </w:r>
      <w:r w:rsidR="00FA591E">
        <w:t>international humanitarian law</w:t>
      </w:r>
      <w:r w:rsidR="00B47EA3" w:rsidRPr="00AE13AD">
        <w:t xml:space="preserve"> compliance by unit leaders has been particularly </w:t>
      </w:r>
      <w:r w:rsidRPr="00AE13AD">
        <w:t>emphasized</w:t>
      </w:r>
      <w:r w:rsidR="00B47EA3" w:rsidRPr="00AE13AD">
        <w:t xml:space="preserve"> to promote </w:t>
      </w:r>
      <w:r w:rsidR="00FA591E">
        <w:t>international humanitarian law</w:t>
      </w:r>
      <w:r w:rsidR="00B47EA3" w:rsidRPr="00AE13AD">
        <w:t xml:space="preserve"> compliance</w:t>
      </w:r>
      <w:r w:rsidR="00B05D7F">
        <w:t>.</w:t>
      </w:r>
      <w:r w:rsidR="00B47EA3" w:rsidRPr="00AE13AD">
        <w:t xml:space="preserve"> </w:t>
      </w:r>
      <w:r w:rsidR="00B05D7F">
        <w:t>S</w:t>
      </w:r>
      <w:r w:rsidR="00B47EA3" w:rsidRPr="00AE13AD">
        <w:t xml:space="preserve">ee </w:t>
      </w:r>
      <w:r w:rsidR="00437C35" w:rsidRPr="00437C35">
        <w:t xml:space="preserve">Daniel Muñoz-Rojas and Jean-Jacques </w:t>
      </w:r>
      <w:proofErr w:type="spellStart"/>
      <w:r w:rsidR="00437C35" w:rsidRPr="00437C35">
        <w:t>Frésard</w:t>
      </w:r>
      <w:proofErr w:type="spellEnd"/>
      <w:r w:rsidR="00B47EA3" w:rsidRPr="00AE13AD">
        <w:t xml:space="preserve">, </w:t>
      </w:r>
      <w:r w:rsidR="00602A09">
        <w:t>“</w:t>
      </w:r>
      <w:r w:rsidR="00B47EA3" w:rsidRPr="00AE13AD">
        <w:t xml:space="preserve">The </w:t>
      </w:r>
      <w:r w:rsidR="00602A09">
        <w:t>r</w:t>
      </w:r>
      <w:r w:rsidR="00B47EA3" w:rsidRPr="00AE13AD">
        <w:t xml:space="preserve">oots of </w:t>
      </w:r>
      <w:proofErr w:type="spellStart"/>
      <w:r w:rsidR="00602A09">
        <w:t>b</w:t>
      </w:r>
      <w:r w:rsidR="00B47EA3" w:rsidRPr="00AE13AD">
        <w:t>ehaviour</w:t>
      </w:r>
      <w:proofErr w:type="spellEnd"/>
      <w:r w:rsidR="00B47EA3" w:rsidRPr="00AE13AD">
        <w:t xml:space="preserve"> in </w:t>
      </w:r>
      <w:r w:rsidR="00602A09">
        <w:t>w</w:t>
      </w:r>
      <w:r w:rsidR="00B47EA3" w:rsidRPr="00AE13AD">
        <w:t xml:space="preserve">ar: </w:t>
      </w:r>
      <w:r w:rsidR="00602A09">
        <w:t>u</w:t>
      </w:r>
      <w:r w:rsidR="00B47EA3" w:rsidRPr="00AE13AD">
        <w:t xml:space="preserve">nderstanding and </w:t>
      </w:r>
      <w:r w:rsidR="00602A09">
        <w:t>p</w:t>
      </w:r>
      <w:r w:rsidR="00B47EA3" w:rsidRPr="00AE13AD">
        <w:t xml:space="preserve">reventing IHL </w:t>
      </w:r>
      <w:r w:rsidR="00602A09">
        <w:t>v</w:t>
      </w:r>
      <w:r w:rsidR="00B47EA3" w:rsidRPr="00AE13AD">
        <w:t>iolations</w:t>
      </w:r>
      <w:r w:rsidR="00602A09">
        <w:t>”</w:t>
      </w:r>
      <w:r w:rsidR="00B47EA3" w:rsidRPr="00AE13AD">
        <w:t xml:space="preserve"> (</w:t>
      </w:r>
      <w:r w:rsidR="0052079F" w:rsidRPr="00E24DBD">
        <w:t>International Committee of the Red Cross</w:t>
      </w:r>
      <w:r w:rsidR="0052079F">
        <w:t xml:space="preserve"> (</w:t>
      </w:r>
      <w:r w:rsidR="0052079F" w:rsidRPr="00AE13AD">
        <w:t>ICRC</w:t>
      </w:r>
      <w:r w:rsidR="0052079F">
        <w:t xml:space="preserve">), </w:t>
      </w:r>
      <w:r w:rsidR="00B47EA3" w:rsidRPr="00AE13AD">
        <w:t xml:space="preserve">2004); </w:t>
      </w:r>
      <w:r w:rsidR="004824E9">
        <w:t>and Andrew Bell, “Can IHL training influence military conduct in war?”</w:t>
      </w:r>
      <w:r w:rsidR="004504CB">
        <w:t xml:space="preserve"> </w:t>
      </w:r>
      <w:r w:rsidR="00B05D7F">
        <w:t>(</w:t>
      </w:r>
      <w:r w:rsidR="004504CB">
        <w:t>ICRC, 7 May 2024</w:t>
      </w:r>
      <w:r w:rsidR="00B05D7F">
        <w:t>)</w:t>
      </w:r>
      <w:r w:rsidR="00B47EA3" w:rsidRPr="00AE13AD">
        <w:t>.</w:t>
      </w:r>
    </w:p>
  </w:footnote>
  <w:footnote w:id="78">
    <w:p w14:paraId="49D44001" w14:textId="630646FD" w:rsidR="003068C2" w:rsidRPr="00AE13AD" w:rsidRDefault="0028661E">
      <w:pPr>
        <w:pStyle w:val="FootnoteText"/>
      </w:pPr>
      <w:r>
        <w:tab/>
      </w:r>
      <w:r w:rsidR="003068C2" w:rsidRPr="00AE13AD">
        <w:rPr>
          <w:rStyle w:val="FootnoteReference"/>
        </w:rPr>
        <w:footnoteRef/>
      </w:r>
      <w:r>
        <w:tab/>
      </w:r>
      <w:r>
        <w:tab/>
      </w:r>
      <w:r w:rsidR="00E41960">
        <w:t>OHCHR and UNODC</w:t>
      </w:r>
      <w:r w:rsidR="008D0135" w:rsidRPr="00AE13AD">
        <w:t xml:space="preserve">, </w:t>
      </w:r>
      <w:hyperlink r:id="rId20" w:history="1">
        <w:r w:rsidR="006F6416" w:rsidRPr="001013CC">
          <w:rPr>
            <w:rStyle w:val="Hyperlink"/>
            <w:i/>
            <w:iCs/>
          </w:rPr>
          <w:t>Resource Book on the Use of Force</w:t>
        </w:r>
      </w:hyperlink>
      <w:r w:rsidR="006F6416">
        <w:rPr>
          <w:rStyle w:val="Hyperlink"/>
        </w:rPr>
        <w:t>,</w:t>
      </w:r>
      <w:r w:rsidR="006F6416">
        <w:rPr>
          <w:rStyle w:val="Hyperlink"/>
          <w:i/>
          <w:iCs/>
        </w:rPr>
        <w:t xml:space="preserve"> </w:t>
      </w:r>
      <w:r w:rsidR="008D0135" w:rsidRPr="00AE13AD">
        <w:t>pp.</w:t>
      </w:r>
      <w:r w:rsidR="00A941D8">
        <w:t> </w:t>
      </w:r>
      <w:r w:rsidR="008D0135" w:rsidRPr="00AE13AD">
        <w:t>152–179</w:t>
      </w:r>
      <w:r w:rsidR="0041369F" w:rsidRPr="00AE13AD">
        <w:t xml:space="preserve">. </w:t>
      </w:r>
      <w:r w:rsidR="0041369F" w:rsidRPr="00E5184B">
        <w:t>See also A/HRC/37/65, para. 4</w:t>
      </w:r>
      <w:r w:rsidR="00817025" w:rsidRPr="00E5184B">
        <w:t>1</w:t>
      </w:r>
      <w:r w:rsidR="0041369F" w:rsidRPr="00E5184B">
        <w:t>.</w:t>
      </w:r>
      <w:r w:rsidR="00634E3C" w:rsidRPr="00AE13AD">
        <w:t xml:space="preserve"> Under international humanitarian law, States must adopt effective systems to repress war crimes and suppress other violations, see </w:t>
      </w:r>
      <w:r w:rsidR="004A01AC" w:rsidRPr="004A01AC">
        <w:t>Geneva Convention for the Amelioration of the Condition of the Wounded and Sick in Armed Forces in the Field</w:t>
      </w:r>
      <w:r w:rsidR="004A01AC">
        <w:t>,</w:t>
      </w:r>
      <w:r w:rsidR="00634E3C" w:rsidRPr="00AE13AD">
        <w:t xml:space="preserve"> art. 49; </w:t>
      </w:r>
      <w:r w:rsidR="00544990" w:rsidRPr="00544990">
        <w:t>Geneva Convention for the Amelioration of the Condition of Wounded, Sick and Shipwrecked Members of Armed Forces at Sea</w:t>
      </w:r>
      <w:r w:rsidR="00AD4A06">
        <w:t>,</w:t>
      </w:r>
      <w:r w:rsidR="00634E3C" w:rsidRPr="00AE13AD">
        <w:t xml:space="preserve"> art. 50; </w:t>
      </w:r>
      <w:r w:rsidR="002278EB" w:rsidRPr="002278EB">
        <w:t>Geneva Convention relative to the Treatment of Prisoners of War</w:t>
      </w:r>
      <w:r w:rsidR="002278EB">
        <w:t>,</w:t>
      </w:r>
      <w:r w:rsidR="00634E3C" w:rsidRPr="00AE13AD">
        <w:t xml:space="preserve"> art. 129; </w:t>
      </w:r>
      <w:r w:rsidR="006F50B3" w:rsidRPr="006F50B3">
        <w:t>Geneva Convention relative to the Protection of Civilian Persons in Time of War</w:t>
      </w:r>
      <w:r w:rsidR="006F50B3">
        <w:t>,</w:t>
      </w:r>
      <w:r w:rsidR="00634E3C" w:rsidRPr="00AE13AD">
        <w:t xml:space="preserve"> </w:t>
      </w:r>
      <w:r w:rsidR="00666A26">
        <w:t>a</w:t>
      </w:r>
      <w:r w:rsidR="00634E3C" w:rsidRPr="00AE13AD">
        <w:t>rt</w:t>
      </w:r>
      <w:r w:rsidR="00666A26">
        <w:t>.</w:t>
      </w:r>
      <w:r w:rsidR="00634E3C" w:rsidRPr="00AE13AD">
        <w:t xml:space="preserve"> 146;</w:t>
      </w:r>
      <w:r w:rsidR="00666A26">
        <w:t xml:space="preserve"> and</w:t>
      </w:r>
      <w:r w:rsidR="00634E3C" w:rsidRPr="00AE13AD">
        <w:t xml:space="preserve"> </w:t>
      </w:r>
      <w:r w:rsidR="0020447A" w:rsidRPr="0020447A">
        <w:t>Protocol Additional to the Geneva Conventions of 12 August 1949, and relating to the Protection of Victims of International Armed Conflicts (Protocol I)</w:t>
      </w:r>
      <w:r w:rsidR="0020447A">
        <w:t>,</w:t>
      </w:r>
      <w:r w:rsidR="00634E3C" w:rsidRPr="00AE13AD">
        <w:t xml:space="preserve"> arts. 85</w:t>
      </w:r>
      <w:r w:rsidR="0020447A">
        <w:t> </w:t>
      </w:r>
      <w:r w:rsidR="00634E3C" w:rsidRPr="00AE13AD">
        <w:t>(1) and 86</w:t>
      </w:r>
      <w:r w:rsidR="0020447A">
        <w:t> </w:t>
      </w:r>
      <w:r w:rsidR="00634E3C" w:rsidRPr="00AE13AD">
        <w:t>(1). See also Geneva Academy</w:t>
      </w:r>
      <w:r w:rsidR="00AE51FB">
        <w:t xml:space="preserve"> of International Humanitarian Law and Human Rights</w:t>
      </w:r>
      <w:r w:rsidR="00634E3C" w:rsidRPr="00AE13AD">
        <w:t xml:space="preserve"> </w:t>
      </w:r>
      <w:r w:rsidR="00AE51FB">
        <w:t>and</w:t>
      </w:r>
      <w:r w:rsidR="00634E3C" w:rsidRPr="00AE13AD">
        <w:t xml:space="preserve"> ICRC, </w:t>
      </w:r>
      <w:r w:rsidR="00634E3C" w:rsidRPr="008A0231">
        <w:rPr>
          <w:i/>
          <w:iCs/>
        </w:rPr>
        <w:t>Guidelines on Investigating Violations of International Humanitarian Law: Law, Policy, and Good Practice</w:t>
      </w:r>
      <w:r w:rsidR="00634E3C" w:rsidRPr="00AE13AD">
        <w:t xml:space="preserve"> (2019).</w:t>
      </w:r>
    </w:p>
  </w:footnote>
  <w:footnote w:id="79">
    <w:p w14:paraId="18C5EF11" w14:textId="02DE551F" w:rsidR="00CC039D" w:rsidRPr="00AE13AD" w:rsidRDefault="0028661E" w:rsidP="00CC039D">
      <w:pPr>
        <w:pStyle w:val="FootnoteText"/>
      </w:pPr>
      <w:r>
        <w:tab/>
      </w:r>
      <w:r w:rsidR="00CC039D" w:rsidRPr="00AE13AD">
        <w:rPr>
          <w:rStyle w:val="FootnoteReference"/>
        </w:rPr>
        <w:footnoteRef/>
      </w:r>
      <w:r>
        <w:tab/>
      </w:r>
      <w:r>
        <w:tab/>
      </w:r>
      <w:r w:rsidR="00CC039D" w:rsidRPr="00AE13AD">
        <w:t>A/HRC/53/39/Add.1, para. 94.</w:t>
      </w:r>
    </w:p>
  </w:footnote>
  <w:footnote w:id="80">
    <w:p w14:paraId="7C7123E2" w14:textId="26742762" w:rsidR="00CC039D" w:rsidRPr="00AE13AD" w:rsidRDefault="0028661E" w:rsidP="0028661E">
      <w:pPr>
        <w:pStyle w:val="FootnoteText"/>
        <w:contextualSpacing/>
      </w:pPr>
      <w:r>
        <w:tab/>
      </w:r>
      <w:r w:rsidR="00CC039D" w:rsidRPr="00AE13AD">
        <w:rPr>
          <w:rStyle w:val="FootnoteReference"/>
        </w:rPr>
        <w:footnoteRef/>
      </w:r>
      <w:r>
        <w:tab/>
      </w:r>
      <w:r>
        <w:tab/>
      </w:r>
      <w:r w:rsidR="00CC039D" w:rsidRPr="00AE13AD">
        <w:t xml:space="preserve">See </w:t>
      </w:r>
      <w:r w:rsidR="00CC039D" w:rsidRPr="00DD36B4">
        <w:t>contributions by Spain, Uruguay</w:t>
      </w:r>
      <w:r w:rsidR="00495717" w:rsidRPr="00DD36B4">
        <w:t xml:space="preserve">, </w:t>
      </w:r>
      <w:proofErr w:type="gramStart"/>
      <w:r w:rsidR="00495717" w:rsidRPr="00DD36B4">
        <w:t>Uzbekistan</w:t>
      </w:r>
      <w:proofErr w:type="gramEnd"/>
      <w:r w:rsidR="00CC039D" w:rsidRPr="00DD36B4">
        <w:t xml:space="preserve"> and Zimbabwe.</w:t>
      </w:r>
    </w:p>
  </w:footnote>
  <w:footnote w:id="81">
    <w:p w14:paraId="1B7A8499" w14:textId="11562B10" w:rsidR="00CC039D" w:rsidRPr="00AE13AD" w:rsidRDefault="0028661E" w:rsidP="0028661E">
      <w:pPr>
        <w:pStyle w:val="FootnoteText"/>
        <w:spacing w:before="240" w:line="240" w:lineRule="auto"/>
        <w:contextualSpacing/>
      </w:pPr>
      <w:r>
        <w:tab/>
      </w:r>
      <w:r w:rsidR="00CC039D" w:rsidRPr="00AE13AD">
        <w:rPr>
          <w:rStyle w:val="FootnoteReference"/>
        </w:rPr>
        <w:footnoteRef/>
      </w:r>
      <w:r>
        <w:tab/>
      </w:r>
      <w:r>
        <w:tab/>
      </w:r>
      <w:r w:rsidR="00900E86" w:rsidRPr="00900E86">
        <w:t>Optional Protocol to the Convention against Torture and Other Cruel, Inhuman or Degrading Treatment or Punishment</w:t>
      </w:r>
      <w:r w:rsidR="00900E86">
        <w:t>,</w:t>
      </w:r>
      <w:r w:rsidR="00CC039D" w:rsidRPr="00AE13AD">
        <w:t xml:space="preserve"> art. 3 and </w:t>
      </w:r>
      <w:r w:rsidR="00BE4483">
        <w:t>p</w:t>
      </w:r>
      <w:r w:rsidR="00CC039D" w:rsidRPr="00AE13AD">
        <w:t>art IV.</w:t>
      </w:r>
    </w:p>
  </w:footnote>
  <w:footnote w:id="82">
    <w:p w14:paraId="463D9FD9" w14:textId="255D68BC" w:rsidR="00CC039D" w:rsidRPr="00AE13AD" w:rsidRDefault="0028661E" w:rsidP="00CC039D">
      <w:pPr>
        <w:pStyle w:val="FootnoteText"/>
      </w:pPr>
      <w:r>
        <w:tab/>
      </w:r>
      <w:r w:rsidR="00CC039D" w:rsidRPr="00AE13AD">
        <w:rPr>
          <w:rStyle w:val="FootnoteReference"/>
        </w:rPr>
        <w:footnoteRef/>
      </w:r>
      <w:r>
        <w:tab/>
      </w:r>
      <w:r>
        <w:tab/>
      </w:r>
      <w:r w:rsidR="00CC039D" w:rsidRPr="00B976B9">
        <w:t>See contribution by Lithuania.</w:t>
      </w:r>
    </w:p>
  </w:footnote>
  <w:footnote w:id="83">
    <w:p w14:paraId="452A1F80" w14:textId="31BEBAE9" w:rsidR="00CC039D" w:rsidRPr="00AE13AD" w:rsidRDefault="0028661E" w:rsidP="00CC039D">
      <w:pPr>
        <w:pStyle w:val="FootnoteText"/>
      </w:pPr>
      <w:r>
        <w:tab/>
      </w:r>
      <w:r w:rsidR="00CC039D" w:rsidRPr="00AE13AD">
        <w:rPr>
          <w:rStyle w:val="FootnoteReference"/>
        </w:rPr>
        <w:footnoteRef/>
      </w:r>
      <w:r>
        <w:tab/>
      </w:r>
      <w:r>
        <w:tab/>
      </w:r>
      <w:hyperlink r:id="rId21" w:history="1">
        <w:r w:rsidR="00CC039D" w:rsidRPr="00AE13AD">
          <w:rPr>
            <w:rStyle w:val="Hyperlink"/>
          </w:rPr>
          <w:t>See</w:t>
        </w:r>
      </w:hyperlink>
      <w:r w:rsidR="00CC039D" w:rsidRPr="00AE13AD">
        <w:rPr>
          <w:rStyle w:val="Hyperlink"/>
        </w:rPr>
        <w:t xml:space="preserve"> Transparency International </w:t>
      </w:r>
      <w:r w:rsidR="008E73FF">
        <w:rPr>
          <w:rStyle w:val="Hyperlink"/>
        </w:rPr>
        <w:t>and</w:t>
      </w:r>
      <w:r w:rsidR="00CC039D" w:rsidRPr="00AE13AD">
        <w:rPr>
          <w:rStyle w:val="Hyperlink"/>
        </w:rPr>
        <w:t xml:space="preserve"> </w:t>
      </w:r>
      <w:r w:rsidR="0053468D">
        <w:rPr>
          <w:rStyle w:val="Hyperlink"/>
        </w:rPr>
        <w:t>I</w:t>
      </w:r>
      <w:r w:rsidR="0053468D" w:rsidRPr="0053468D">
        <w:rPr>
          <w:rStyle w:val="Hyperlink"/>
        </w:rPr>
        <w:t>nternational Organization of Supreme Audit Institutions</w:t>
      </w:r>
      <w:r w:rsidR="0053468D">
        <w:rPr>
          <w:rStyle w:val="Hyperlink"/>
        </w:rPr>
        <w:t xml:space="preserve"> (</w:t>
      </w:r>
      <w:r w:rsidR="00CC039D" w:rsidRPr="00AE13AD">
        <w:rPr>
          <w:rStyle w:val="Hyperlink"/>
        </w:rPr>
        <w:t>INTOSAI</w:t>
      </w:r>
      <w:r w:rsidR="0053468D">
        <w:rPr>
          <w:rStyle w:val="Hyperlink"/>
        </w:rPr>
        <w:t>)</w:t>
      </w:r>
      <w:r w:rsidR="008E73FF">
        <w:rPr>
          <w:rStyle w:val="Hyperlink"/>
        </w:rPr>
        <w:t xml:space="preserve"> Development Initiative</w:t>
      </w:r>
      <w:r w:rsidR="00CC039D" w:rsidRPr="00AE13AD">
        <w:rPr>
          <w:rStyle w:val="Hyperlink"/>
        </w:rPr>
        <w:t xml:space="preserve">, </w:t>
      </w:r>
      <w:r w:rsidR="008E73FF">
        <w:rPr>
          <w:rStyle w:val="Hyperlink"/>
        </w:rPr>
        <w:t>“</w:t>
      </w:r>
      <w:r w:rsidR="00CC039D" w:rsidRPr="00AE13AD">
        <w:rPr>
          <w:rStyle w:val="Hyperlink"/>
        </w:rPr>
        <w:t xml:space="preserve">Safeguarding the independence of supreme audit </w:t>
      </w:r>
      <w:r w:rsidRPr="00AE13AD">
        <w:rPr>
          <w:rStyle w:val="Hyperlink"/>
        </w:rPr>
        <w:t>institutions</w:t>
      </w:r>
      <w:r w:rsidR="00130537">
        <w:rPr>
          <w:rStyle w:val="Hyperlink"/>
        </w:rPr>
        <w:t xml:space="preserve">: a resource kit for civil society </w:t>
      </w:r>
      <w:proofErr w:type="spellStart"/>
      <w:r w:rsidR="00130537">
        <w:rPr>
          <w:rStyle w:val="Hyperlink"/>
        </w:rPr>
        <w:t>organisations</w:t>
      </w:r>
      <w:proofErr w:type="spellEnd"/>
      <w:r w:rsidR="008E73FF">
        <w:rPr>
          <w:rStyle w:val="Hyperlink"/>
        </w:rPr>
        <w:t>”</w:t>
      </w:r>
      <w:r w:rsidRPr="00AE13AD">
        <w:t xml:space="preserve"> (</w:t>
      </w:r>
      <w:r w:rsidR="00CC039D" w:rsidRPr="00AE13AD">
        <w:t>2022).</w:t>
      </w:r>
    </w:p>
  </w:footnote>
  <w:footnote w:id="84">
    <w:p w14:paraId="00671DB6" w14:textId="7D155C06" w:rsidR="00887E38" w:rsidRPr="00AE13AD" w:rsidRDefault="0028661E" w:rsidP="00887E38">
      <w:pPr>
        <w:pStyle w:val="FootnoteText"/>
      </w:pPr>
      <w:r>
        <w:tab/>
      </w:r>
      <w:r w:rsidR="00887E38" w:rsidRPr="00AE13AD">
        <w:rPr>
          <w:rStyle w:val="FootnoteReference"/>
        </w:rPr>
        <w:footnoteRef/>
      </w:r>
      <w:r>
        <w:tab/>
      </w:r>
      <w:r>
        <w:tab/>
      </w:r>
      <w:r w:rsidR="004416E2" w:rsidRPr="0053468D">
        <w:t xml:space="preserve">General Assembly resolution </w:t>
      </w:r>
      <w:r w:rsidR="00887E38" w:rsidRPr="0053468D">
        <w:t>67/1, para. 25. See also contribution by Mexico.</w:t>
      </w:r>
    </w:p>
  </w:footnote>
  <w:footnote w:id="85">
    <w:p w14:paraId="1E7B9AE3" w14:textId="6D31CFA5" w:rsidR="00887E38" w:rsidRPr="00AE13AD" w:rsidRDefault="0028661E" w:rsidP="00887E38">
      <w:pPr>
        <w:pStyle w:val="FootnoteText"/>
      </w:pPr>
      <w:r>
        <w:tab/>
      </w:r>
      <w:r w:rsidR="00887E38" w:rsidRPr="00AE13AD">
        <w:rPr>
          <w:rStyle w:val="FootnoteReference"/>
        </w:rPr>
        <w:footnoteRef/>
      </w:r>
      <w:r>
        <w:tab/>
      </w:r>
      <w:r>
        <w:tab/>
      </w:r>
      <w:r w:rsidR="00841209">
        <w:t>“</w:t>
      </w:r>
      <w:hyperlink r:id="rId22" w:history="1">
        <w:r w:rsidR="00887E38" w:rsidRPr="00AE13AD">
          <w:rPr>
            <w:rStyle w:val="Hyperlink"/>
          </w:rPr>
          <w:t>The UN common position to address global corruption</w:t>
        </w:r>
      </w:hyperlink>
      <w:r w:rsidR="00841209">
        <w:rPr>
          <w:rStyle w:val="Hyperlink"/>
        </w:rPr>
        <w:t>”</w:t>
      </w:r>
      <w:r w:rsidR="00887E38" w:rsidRPr="00AE13AD">
        <w:t xml:space="preserve"> </w:t>
      </w:r>
      <w:r w:rsidR="00B759CF">
        <w:t>(</w:t>
      </w:r>
      <w:r w:rsidR="005D2283">
        <w:t xml:space="preserve">August </w:t>
      </w:r>
      <w:r w:rsidR="00887E38" w:rsidRPr="00AE13AD">
        <w:t>2020</w:t>
      </w:r>
      <w:r w:rsidR="00B759CF">
        <w:t>)</w:t>
      </w:r>
      <w:r w:rsidR="005D2283">
        <w:t>,</w:t>
      </w:r>
      <w:r w:rsidR="00887E38" w:rsidRPr="00AE13AD">
        <w:t xml:space="preserve"> p. 3</w:t>
      </w:r>
      <w:r w:rsidR="00887E38" w:rsidRPr="00F4460D">
        <w:t xml:space="preserve">; Prevention Project, </w:t>
      </w:r>
      <w:r w:rsidR="00F4460D" w:rsidRPr="00F4460D">
        <w:t>“State capture as enabling condition for human rights violations”</w:t>
      </w:r>
      <w:r w:rsidR="00887E38" w:rsidRPr="00F4460D">
        <w:t>, p. viii. For</w:t>
      </w:r>
      <w:r w:rsidR="00887E38" w:rsidRPr="00263C2D">
        <w:t xml:space="preserve"> example, A/HRC/53/49, para. 51.</w:t>
      </w:r>
    </w:p>
  </w:footnote>
  <w:footnote w:id="86">
    <w:p w14:paraId="69EEFCAB" w14:textId="679935B3" w:rsidR="002A3192" w:rsidRPr="00AE13AD" w:rsidRDefault="0028661E" w:rsidP="002A3192">
      <w:pPr>
        <w:pStyle w:val="FootnoteText"/>
      </w:pPr>
      <w:r>
        <w:tab/>
      </w:r>
      <w:r w:rsidR="002A3192" w:rsidRPr="00AE13AD">
        <w:rPr>
          <w:rStyle w:val="FootnoteReference"/>
        </w:rPr>
        <w:footnoteRef/>
      </w:r>
      <w:r>
        <w:tab/>
      </w:r>
      <w:r>
        <w:tab/>
      </w:r>
      <w:r w:rsidR="002A3192" w:rsidRPr="00D305BA">
        <w:t xml:space="preserve">Prevention Project, </w:t>
      </w:r>
      <w:r w:rsidR="00D305BA">
        <w:t>“</w:t>
      </w:r>
      <w:r w:rsidR="00D305BA" w:rsidRPr="002F7C55">
        <w:t xml:space="preserve">State </w:t>
      </w:r>
      <w:r w:rsidR="00D305BA">
        <w:t>c</w:t>
      </w:r>
      <w:r w:rsidR="00D305BA" w:rsidRPr="002F7C55">
        <w:t xml:space="preserve">apture as </w:t>
      </w:r>
      <w:r w:rsidR="00D305BA">
        <w:t>e</w:t>
      </w:r>
      <w:r w:rsidR="00D305BA" w:rsidRPr="002F7C55">
        <w:t xml:space="preserve">nabling </w:t>
      </w:r>
      <w:r w:rsidR="00D305BA">
        <w:t>c</w:t>
      </w:r>
      <w:r w:rsidR="00D305BA" w:rsidRPr="002F7C55">
        <w:t xml:space="preserve">ondition for </w:t>
      </w:r>
      <w:r w:rsidR="00D305BA">
        <w:t>h</w:t>
      </w:r>
      <w:r w:rsidR="00D305BA" w:rsidRPr="002F7C55">
        <w:t xml:space="preserve">uman </w:t>
      </w:r>
      <w:r w:rsidR="00D305BA">
        <w:t>r</w:t>
      </w:r>
      <w:r w:rsidR="00D305BA" w:rsidRPr="002F7C55">
        <w:t xml:space="preserve">ights </w:t>
      </w:r>
      <w:r w:rsidR="00D305BA">
        <w:t>v</w:t>
      </w:r>
      <w:r w:rsidR="00D305BA" w:rsidRPr="002F7C55">
        <w:t>iolations</w:t>
      </w:r>
      <w:r w:rsidR="00D305BA">
        <w:t>”</w:t>
      </w:r>
      <w:r w:rsidR="002A3192" w:rsidRPr="00D305BA">
        <w:t>, p</w:t>
      </w:r>
      <w:r w:rsidR="00A860C1" w:rsidRPr="008A0231">
        <w:t>p</w:t>
      </w:r>
      <w:r w:rsidR="002A3192" w:rsidRPr="00D305BA">
        <w:t>. 15</w:t>
      </w:r>
      <w:r w:rsidR="00A860C1" w:rsidRPr="008A0231">
        <w:t xml:space="preserve"> and</w:t>
      </w:r>
      <w:r w:rsidR="002A3192" w:rsidRPr="00D305BA">
        <w:t xml:space="preserve"> 16.</w:t>
      </w:r>
    </w:p>
  </w:footnote>
  <w:footnote w:id="87">
    <w:p w14:paraId="10600CB5" w14:textId="7BAE08EA" w:rsidR="002A3192" w:rsidRPr="00AE13AD" w:rsidRDefault="0028661E" w:rsidP="00B2365F">
      <w:pPr>
        <w:pStyle w:val="FootnoteText"/>
        <w:contextualSpacing/>
      </w:pPr>
      <w:r>
        <w:tab/>
      </w:r>
      <w:r w:rsidR="002A3192" w:rsidRPr="00AE13AD">
        <w:rPr>
          <w:rStyle w:val="FootnoteReference"/>
        </w:rPr>
        <w:footnoteRef/>
      </w:r>
      <w:r>
        <w:tab/>
      </w:r>
      <w:r>
        <w:tab/>
      </w:r>
      <w:r w:rsidR="002A3192" w:rsidRPr="00AE13AD">
        <w:t xml:space="preserve">See </w:t>
      </w:r>
      <w:r w:rsidR="002A3192" w:rsidRPr="00613FD9">
        <w:t>A/HRC/53/4</w:t>
      </w:r>
      <w:r w:rsidR="00613FD9" w:rsidRPr="00613FD9">
        <w:t>9</w:t>
      </w:r>
      <w:r w:rsidR="002A3192" w:rsidRPr="00AE13AD">
        <w:t>, para. 51.</w:t>
      </w:r>
    </w:p>
  </w:footnote>
  <w:footnote w:id="88">
    <w:p w14:paraId="63D1B3C0" w14:textId="29EE88C9" w:rsidR="00645BEF" w:rsidRPr="00AE13AD" w:rsidRDefault="00B2365F" w:rsidP="008A0231">
      <w:pPr>
        <w:pStyle w:val="FootnoteText"/>
        <w:spacing w:before="240" w:line="240" w:lineRule="auto"/>
        <w:ind w:left="1138" w:right="1138" w:hanging="1138"/>
        <w:contextualSpacing/>
      </w:pPr>
      <w:r>
        <w:tab/>
      </w:r>
      <w:r w:rsidR="00645BEF" w:rsidRPr="00AE13AD">
        <w:rPr>
          <w:rStyle w:val="FootnoteReference"/>
        </w:rPr>
        <w:footnoteRef/>
      </w:r>
      <w:r>
        <w:tab/>
      </w:r>
      <w:r w:rsidR="00A435E7" w:rsidRPr="00335692">
        <w:t xml:space="preserve">General Assembly resolution </w:t>
      </w:r>
      <w:r w:rsidR="00645BEF" w:rsidRPr="00335692">
        <w:t>67/1</w:t>
      </w:r>
      <w:r w:rsidR="00657E84" w:rsidRPr="00335692">
        <w:t>, para. 2</w:t>
      </w:r>
      <w:r w:rsidR="00645BEF" w:rsidRPr="00335692">
        <w:t>.</w:t>
      </w:r>
    </w:p>
  </w:footnote>
  <w:footnote w:id="89">
    <w:p w14:paraId="7EE9C3F5" w14:textId="6D5FA33F" w:rsidR="00645BEF" w:rsidRPr="00AE13AD" w:rsidRDefault="00867E72" w:rsidP="008A0231">
      <w:pPr>
        <w:pStyle w:val="FootnoteText"/>
        <w:spacing w:line="240" w:lineRule="auto"/>
        <w:ind w:left="1138" w:right="1138" w:hanging="1138"/>
      </w:pPr>
      <w:r>
        <w:tab/>
      </w:r>
      <w:r w:rsidR="00645BEF" w:rsidRPr="00AE13AD">
        <w:rPr>
          <w:rStyle w:val="FootnoteReference"/>
        </w:rPr>
        <w:footnoteRef/>
      </w:r>
      <w:r>
        <w:tab/>
      </w:r>
      <w:r w:rsidR="00645BEF" w:rsidRPr="00AE13AD">
        <w:t xml:space="preserve">See e.g. S/PV.9241. See also </w:t>
      </w:r>
      <w:r w:rsidR="00886693">
        <w:t xml:space="preserve">Robert </w:t>
      </w:r>
      <w:r w:rsidR="00645BEF" w:rsidRPr="00AE13AD">
        <w:t xml:space="preserve">McCorquodale, </w:t>
      </w:r>
      <w:r w:rsidR="00516C7F">
        <w:t>“</w:t>
      </w:r>
      <w:r w:rsidR="00645BEF" w:rsidRPr="00AE13AD">
        <w:t xml:space="preserve">Defining the </w:t>
      </w:r>
      <w:r w:rsidR="00516C7F">
        <w:t>i</w:t>
      </w:r>
      <w:r w:rsidR="00645BEF" w:rsidRPr="00AE13AD">
        <w:t xml:space="preserve">nternational </w:t>
      </w:r>
      <w:r w:rsidR="00516C7F">
        <w:t>r</w:t>
      </w:r>
      <w:r w:rsidR="00645BEF" w:rsidRPr="00AE13AD">
        <w:t xml:space="preserve">ule of </w:t>
      </w:r>
      <w:r w:rsidR="00516C7F">
        <w:t>l</w:t>
      </w:r>
      <w:r w:rsidR="00645BEF" w:rsidRPr="00AE13AD">
        <w:t xml:space="preserve">aw: </w:t>
      </w:r>
      <w:r w:rsidR="00516C7F">
        <w:t>d</w:t>
      </w:r>
      <w:r w:rsidR="00645BEF" w:rsidRPr="00AE13AD">
        <w:t xml:space="preserve">efying </w:t>
      </w:r>
      <w:r w:rsidR="00516C7F">
        <w:t>g</w:t>
      </w:r>
      <w:r w:rsidR="00645BEF" w:rsidRPr="00AE13AD">
        <w:t>ravity?</w:t>
      </w:r>
      <w:r w:rsidR="00516C7F">
        <w:t>”,</w:t>
      </w:r>
      <w:r w:rsidR="00645BEF" w:rsidRPr="00AE13AD">
        <w:t xml:space="preserve"> </w:t>
      </w:r>
      <w:r w:rsidR="00BC47CF" w:rsidRPr="008A0231">
        <w:rPr>
          <w:i/>
          <w:iCs/>
        </w:rPr>
        <w:t xml:space="preserve">The </w:t>
      </w:r>
      <w:r w:rsidR="00883E6E" w:rsidRPr="008A0231">
        <w:rPr>
          <w:i/>
          <w:iCs/>
        </w:rPr>
        <w:t>I</w:t>
      </w:r>
      <w:r w:rsidR="00516C7F" w:rsidRPr="008A0231">
        <w:rPr>
          <w:i/>
          <w:iCs/>
        </w:rPr>
        <w:t xml:space="preserve">nternational </w:t>
      </w:r>
      <w:r w:rsidR="00D162CF" w:rsidRPr="008A0231">
        <w:rPr>
          <w:i/>
          <w:iCs/>
        </w:rPr>
        <w:t xml:space="preserve">and </w:t>
      </w:r>
      <w:r w:rsidR="00883E6E" w:rsidRPr="008A0231">
        <w:rPr>
          <w:i/>
          <w:iCs/>
        </w:rPr>
        <w:t>C</w:t>
      </w:r>
      <w:r w:rsidR="00516C7F" w:rsidRPr="008A0231">
        <w:rPr>
          <w:i/>
          <w:iCs/>
        </w:rPr>
        <w:t xml:space="preserve">omparative </w:t>
      </w:r>
      <w:r w:rsidR="00883E6E" w:rsidRPr="008A0231">
        <w:rPr>
          <w:i/>
          <w:iCs/>
        </w:rPr>
        <w:t>L</w:t>
      </w:r>
      <w:r w:rsidR="00516C7F" w:rsidRPr="008A0231">
        <w:rPr>
          <w:i/>
          <w:iCs/>
        </w:rPr>
        <w:t xml:space="preserve">aw </w:t>
      </w:r>
      <w:r w:rsidR="00883E6E" w:rsidRPr="008A0231">
        <w:rPr>
          <w:i/>
          <w:iCs/>
        </w:rPr>
        <w:t>Q</w:t>
      </w:r>
      <w:r w:rsidR="00D162CF" w:rsidRPr="008A0231">
        <w:rPr>
          <w:i/>
          <w:iCs/>
        </w:rPr>
        <w:t>uarterly</w:t>
      </w:r>
      <w:r w:rsidR="00D162CF">
        <w:t>,</w:t>
      </w:r>
      <w:r w:rsidR="00645BEF" w:rsidRPr="00AE13AD">
        <w:t xml:space="preserve"> vol. 65</w:t>
      </w:r>
      <w:r w:rsidR="00D162CF">
        <w:t>,</w:t>
      </w:r>
      <w:r w:rsidR="00645BEF" w:rsidRPr="00AE13AD">
        <w:t xml:space="preserve"> </w:t>
      </w:r>
      <w:r w:rsidR="00D162CF">
        <w:t>N</w:t>
      </w:r>
      <w:r w:rsidR="00645BEF" w:rsidRPr="00AE13AD">
        <w:t>o. 2</w:t>
      </w:r>
      <w:r w:rsidR="00D162CF">
        <w:t xml:space="preserve"> (2016)</w:t>
      </w:r>
      <w:r w:rsidR="00AC2F67" w:rsidRPr="00AE13AD">
        <w:t>.</w:t>
      </w:r>
    </w:p>
  </w:footnote>
  <w:footnote w:id="90">
    <w:p w14:paraId="01CF62C9" w14:textId="3318F911" w:rsidR="00941454" w:rsidRPr="00AE13AD" w:rsidRDefault="00867E72" w:rsidP="00867E72">
      <w:pPr>
        <w:pStyle w:val="FootnoteText"/>
        <w:contextualSpacing/>
      </w:pPr>
      <w:r>
        <w:tab/>
      </w:r>
      <w:r w:rsidR="00941454" w:rsidRPr="00AE13AD">
        <w:rPr>
          <w:rStyle w:val="FootnoteReference"/>
        </w:rPr>
        <w:footnoteRef/>
      </w:r>
      <w:r>
        <w:tab/>
      </w:r>
      <w:r>
        <w:tab/>
      </w:r>
      <w:r w:rsidR="00941454" w:rsidRPr="00AE13AD">
        <w:t>See also Charter</w:t>
      </w:r>
      <w:r w:rsidR="007862D4">
        <w:t xml:space="preserve"> of the United Nations,</w:t>
      </w:r>
      <w:r w:rsidR="00941454" w:rsidRPr="00AE13AD">
        <w:t xml:space="preserve"> </w:t>
      </w:r>
      <w:r w:rsidR="007862D4">
        <w:t>A</w:t>
      </w:r>
      <w:r w:rsidR="00941454" w:rsidRPr="00AE13AD">
        <w:t>rt</w:t>
      </w:r>
      <w:r w:rsidR="007862D4">
        <w:t>s</w:t>
      </w:r>
      <w:r w:rsidR="00B65BB2">
        <w:t>.</w:t>
      </w:r>
      <w:r w:rsidR="00941454" w:rsidRPr="00AE13AD">
        <w:t xml:space="preserve"> 1</w:t>
      </w:r>
      <w:r w:rsidR="007862D4">
        <w:t> </w:t>
      </w:r>
      <w:r w:rsidR="00941454" w:rsidRPr="00AE13AD">
        <w:t>(1) and 2 (3).</w:t>
      </w:r>
    </w:p>
  </w:footnote>
  <w:footnote w:id="91">
    <w:p w14:paraId="690F8DD4" w14:textId="6017CF19" w:rsidR="00645BEF" w:rsidRPr="00A25EE6" w:rsidRDefault="00867E72" w:rsidP="00867E72">
      <w:pPr>
        <w:pStyle w:val="FootnoteText"/>
        <w:spacing w:before="240" w:line="240" w:lineRule="auto"/>
        <w:contextualSpacing/>
      </w:pPr>
      <w:r>
        <w:tab/>
      </w:r>
      <w:r w:rsidR="00645BEF" w:rsidRPr="00AE13AD">
        <w:rPr>
          <w:rStyle w:val="FootnoteReference"/>
        </w:rPr>
        <w:footnoteRef/>
      </w:r>
      <w:r>
        <w:tab/>
      </w:r>
      <w:r>
        <w:tab/>
      </w:r>
      <w:r w:rsidR="00787425" w:rsidRPr="00A25EE6">
        <w:t>G</w:t>
      </w:r>
      <w:r w:rsidR="003C7EC6" w:rsidRPr="00A25EE6">
        <w:t xml:space="preserve">eneral </w:t>
      </w:r>
      <w:r w:rsidR="00787425" w:rsidRPr="00A25EE6">
        <w:t>A</w:t>
      </w:r>
      <w:r w:rsidR="003C7EC6" w:rsidRPr="00A25EE6">
        <w:t>ssembly</w:t>
      </w:r>
      <w:r w:rsidR="00787425" w:rsidRPr="00A25EE6">
        <w:t xml:space="preserve"> resolution 2625 (XXV), </w:t>
      </w:r>
      <w:r w:rsidR="007D52AE" w:rsidRPr="00A25EE6">
        <w:t>a</w:t>
      </w:r>
      <w:r w:rsidR="00787425" w:rsidRPr="00A25EE6">
        <w:t>nnex</w:t>
      </w:r>
      <w:r w:rsidR="00645BEF" w:rsidRPr="00A25EE6">
        <w:t>, preamble.</w:t>
      </w:r>
    </w:p>
  </w:footnote>
  <w:footnote w:id="92">
    <w:p w14:paraId="737EDEA8" w14:textId="0C70EEB1" w:rsidR="009C0409" w:rsidRPr="00AE13AD" w:rsidRDefault="00867E72" w:rsidP="009C0409">
      <w:pPr>
        <w:pStyle w:val="FootnoteText"/>
      </w:pPr>
      <w:r w:rsidRPr="00A25EE6">
        <w:tab/>
      </w:r>
      <w:r w:rsidR="009C0409" w:rsidRPr="00A25EE6">
        <w:rPr>
          <w:rStyle w:val="FootnoteReference"/>
        </w:rPr>
        <w:footnoteRef/>
      </w:r>
      <w:r w:rsidRPr="00A25EE6">
        <w:tab/>
      </w:r>
      <w:r w:rsidRPr="00A25EE6">
        <w:tab/>
      </w:r>
      <w:r w:rsidR="009C0409" w:rsidRPr="00A25EE6">
        <w:t>New Vision of the Secretary-General for the Rule of Law, p. 6.</w:t>
      </w:r>
    </w:p>
  </w:footnote>
  <w:footnote w:id="93">
    <w:p w14:paraId="5C3D5B08" w14:textId="774B5E8A" w:rsidR="008C148D" w:rsidRPr="007A512E" w:rsidRDefault="00867E72" w:rsidP="008C148D">
      <w:pPr>
        <w:pStyle w:val="FootnoteText"/>
      </w:pPr>
      <w:r>
        <w:tab/>
      </w:r>
      <w:r w:rsidR="008C148D" w:rsidRPr="00AE13AD">
        <w:rPr>
          <w:rStyle w:val="FootnoteReference"/>
        </w:rPr>
        <w:footnoteRef/>
      </w:r>
      <w:r>
        <w:tab/>
      </w:r>
      <w:r>
        <w:tab/>
      </w:r>
      <w:r w:rsidR="008C148D" w:rsidRPr="00E82F8E">
        <w:t xml:space="preserve">Statute </w:t>
      </w:r>
      <w:r w:rsidR="00FB00CA" w:rsidRPr="00E82F8E">
        <w:t xml:space="preserve">of the International Court of Justice, </w:t>
      </w:r>
      <w:r w:rsidR="00276A3E" w:rsidRPr="00E82F8E">
        <w:t>A</w:t>
      </w:r>
      <w:r w:rsidR="008C148D" w:rsidRPr="00E82F8E">
        <w:t>rt. 38</w:t>
      </w:r>
      <w:r w:rsidR="00FB00CA" w:rsidRPr="00E82F8E">
        <w:t>;</w:t>
      </w:r>
      <w:r w:rsidR="008C148D" w:rsidRPr="00E82F8E">
        <w:t xml:space="preserve"> </w:t>
      </w:r>
      <w:r w:rsidR="008C148D" w:rsidRPr="007A512E">
        <w:t>and V</w:t>
      </w:r>
      <w:r w:rsidR="00617F92" w:rsidRPr="007A512E">
        <w:t xml:space="preserve">ienna </w:t>
      </w:r>
      <w:r w:rsidR="008C148D" w:rsidRPr="007A512E">
        <w:t>C</w:t>
      </w:r>
      <w:r w:rsidR="00617F92" w:rsidRPr="007A512E">
        <w:t xml:space="preserve">onvention on the </w:t>
      </w:r>
      <w:r w:rsidR="008C148D" w:rsidRPr="007A512E">
        <w:t>L</w:t>
      </w:r>
      <w:r w:rsidR="00617F92" w:rsidRPr="007A512E">
        <w:t xml:space="preserve">aw of </w:t>
      </w:r>
      <w:r w:rsidR="008C148D" w:rsidRPr="007A512E">
        <w:t>T</w:t>
      </w:r>
      <w:r w:rsidR="00617F92" w:rsidRPr="007A512E">
        <w:t>reaties,</w:t>
      </w:r>
      <w:r w:rsidR="008C148D" w:rsidRPr="007A512E">
        <w:t xml:space="preserve"> art</w:t>
      </w:r>
      <w:r w:rsidR="00617F92" w:rsidRPr="007A512E">
        <w:t>s</w:t>
      </w:r>
      <w:r w:rsidR="008C148D" w:rsidRPr="007A512E">
        <w:t>. 31–33.</w:t>
      </w:r>
    </w:p>
  </w:footnote>
  <w:footnote w:id="94">
    <w:p w14:paraId="69A9E89A" w14:textId="2176C62D" w:rsidR="00B54F67" w:rsidRPr="008A0231" w:rsidRDefault="00867E72">
      <w:pPr>
        <w:pStyle w:val="FootnoteText"/>
        <w:rPr>
          <w:highlight w:val="green"/>
        </w:rPr>
      </w:pPr>
      <w:r w:rsidRPr="003B1BA0">
        <w:tab/>
      </w:r>
      <w:r w:rsidR="00B54F67" w:rsidRPr="003B1BA0">
        <w:rPr>
          <w:rStyle w:val="FootnoteReference"/>
        </w:rPr>
        <w:footnoteRef/>
      </w:r>
      <w:r w:rsidRPr="003B1BA0">
        <w:tab/>
      </w:r>
      <w:r w:rsidRPr="003B1BA0">
        <w:tab/>
      </w:r>
      <w:r w:rsidR="00B54F67" w:rsidRPr="003B1BA0">
        <w:t>See G</w:t>
      </w:r>
      <w:r w:rsidR="00FA4315" w:rsidRPr="003B1BA0">
        <w:t xml:space="preserve">eneral </w:t>
      </w:r>
      <w:r w:rsidR="00B54F67" w:rsidRPr="003B1BA0">
        <w:t>A</w:t>
      </w:r>
      <w:r w:rsidR="00FA4315" w:rsidRPr="003B1BA0">
        <w:t>ssembly</w:t>
      </w:r>
      <w:r w:rsidR="00B54F67" w:rsidRPr="003B1BA0">
        <w:t xml:space="preserve"> res</w:t>
      </w:r>
      <w:r w:rsidR="00FA4315" w:rsidRPr="003B1BA0">
        <w:t>olution</w:t>
      </w:r>
      <w:r w:rsidR="00B54F67" w:rsidRPr="003B1BA0">
        <w:t xml:space="preserve"> </w:t>
      </w:r>
      <w:r w:rsidR="00B54F67" w:rsidRPr="003B1BA0">
        <w:rPr>
          <w:bCs/>
        </w:rPr>
        <w:t>77/249.</w:t>
      </w:r>
    </w:p>
  </w:footnote>
  <w:footnote w:id="95">
    <w:p w14:paraId="2783496D" w14:textId="649D7181" w:rsidR="00892399" w:rsidRPr="00AE13AD" w:rsidRDefault="00867E72">
      <w:pPr>
        <w:pStyle w:val="FootnoteText"/>
      </w:pPr>
      <w:r w:rsidRPr="00206EBF">
        <w:tab/>
      </w:r>
      <w:r w:rsidR="00892399" w:rsidRPr="00206EBF">
        <w:rPr>
          <w:rStyle w:val="FootnoteReference"/>
        </w:rPr>
        <w:footnoteRef/>
      </w:r>
      <w:r w:rsidRPr="00206EBF">
        <w:tab/>
      </w:r>
      <w:r w:rsidRPr="00206EBF">
        <w:tab/>
      </w:r>
      <w:r w:rsidR="00892399" w:rsidRPr="00206EBF">
        <w:t xml:space="preserve">On subsidiary means, see e.g. </w:t>
      </w:r>
      <w:r w:rsidR="00742D7F" w:rsidRPr="008A0231">
        <w:t>A/CN.4/760</w:t>
      </w:r>
      <w:hyperlink r:id="rId23" w:history="1"/>
      <w:r w:rsidR="00892399" w:rsidRPr="00206EBF">
        <w:t>.</w:t>
      </w:r>
    </w:p>
  </w:footnote>
  <w:footnote w:id="96">
    <w:p w14:paraId="4E53D151" w14:textId="360E11C1" w:rsidR="007E6CDB" w:rsidRPr="00AE13AD" w:rsidRDefault="00867E72" w:rsidP="00011D56">
      <w:pPr>
        <w:pStyle w:val="FootnoteText"/>
      </w:pPr>
      <w:r>
        <w:tab/>
      </w:r>
      <w:r w:rsidR="007E6CDB" w:rsidRPr="00AE13AD">
        <w:rPr>
          <w:rStyle w:val="FootnoteReference"/>
        </w:rPr>
        <w:footnoteRef/>
      </w:r>
      <w:r>
        <w:tab/>
      </w:r>
      <w:r>
        <w:tab/>
      </w:r>
      <w:proofErr w:type="spellStart"/>
      <w:r w:rsidR="00EE5B5F" w:rsidRPr="008A0231">
        <w:rPr>
          <w:i/>
          <w:iCs/>
        </w:rPr>
        <w:t>Ahmadou</w:t>
      </w:r>
      <w:proofErr w:type="spellEnd"/>
      <w:r w:rsidR="00EE5B5F" w:rsidRPr="008A0231">
        <w:rPr>
          <w:i/>
          <w:iCs/>
        </w:rPr>
        <w:t xml:space="preserve"> </w:t>
      </w:r>
      <w:r w:rsidR="00EC3346" w:rsidRPr="008A0231">
        <w:rPr>
          <w:i/>
          <w:iCs/>
        </w:rPr>
        <w:t>Sadio Diallo (</w:t>
      </w:r>
      <w:r w:rsidR="00011D56" w:rsidRPr="008A0231">
        <w:rPr>
          <w:i/>
          <w:iCs/>
        </w:rPr>
        <w:t>Republic of Guinea v. Democratic Republic of the Congo), Merits, Judgment, I.C.J. Reports 2010</w:t>
      </w:r>
      <w:r w:rsidR="00011D56" w:rsidRPr="00AE13AD">
        <w:t xml:space="preserve">, p. 639, </w:t>
      </w:r>
      <w:r w:rsidR="007E6CDB" w:rsidRPr="00AE13AD">
        <w:t>para. 66.</w:t>
      </w:r>
    </w:p>
  </w:footnote>
  <w:footnote w:id="97">
    <w:p w14:paraId="04FCE28A" w14:textId="081C4D45" w:rsidR="003F65B3" w:rsidRPr="00AE13AD" w:rsidRDefault="00867E72" w:rsidP="003F65B3">
      <w:pPr>
        <w:pStyle w:val="FootnoteText"/>
      </w:pPr>
      <w:r>
        <w:tab/>
      </w:r>
      <w:r w:rsidR="003F65B3" w:rsidRPr="00AE13AD">
        <w:rPr>
          <w:rStyle w:val="FootnoteReference"/>
        </w:rPr>
        <w:footnoteRef/>
      </w:r>
      <w:r>
        <w:tab/>
      </w:r>
      <w:r w:rsidR="00CB26CC">
        <w:t>See</w:t>
      </w:r>
      <w:r w:rsidR="003F65B3" w:rsidRPr="00AE13AD">
        <w:rPr>
          <w:i/>
          <w:iCs/>
        </w:rPr>
        <w:t xml:space="preserve"> </w:t>
      </w:r>
      <w:hyperlink r:id="rId24" w:history="1">
        <w:r w:rsidR="003F65B3" w:rsidRPr="00AE13AD">
          <w:rPr>
            <w:rStyle w:val="Hyperlink"/>
          </w:rPr>
          <w:t>https://www.icj-cij.org/sites/default/files/case-related/186/186-20240719-adv-01-00-en.pdf</w:t>
        </w:r>
      </w:hyperlink>
      <w:r w:rsidR="003F65B3" w:rsidRPr="00AE13AD">
        <w:t>.</w:t>
      </w:r>
    </w:p>
  </w:footnote>
  <w:footnote w:id="98">
    <w:p w14:paraId="748B759D" w14:textId="60C2EED4" w:rsidR="003F65B3" w:rsidRPr="00AE13AD" w:rsidRDefault="00867E72" w:rsidP="003F65B3">
      <w:pPr>
        <w:pStyle w:val="FootnoteText"/>
      </w:pPr>
      <w:r>
        <w:tab/>
      </w:r>
      <w:r w:rsidR="003F65B3" w:rsidRPr="00AE13AD">
        <w:rPr>
          <w:rStyle w:val="FootnoteReference"/>
        </w:rPr>
        <w:footnoteRef/>
      </w:r>
      <w:r>
        <w:tab/>
      </w:r>
      <w:r>
        <w:tab/>
      </w:r>
      <w:r w:rsidR="003F65B3" w:rsidRPr="00AE13AD">
        <w:t xml:space="preserve">See </w:t>
      </w:r>
      <w:hyperlink r:id="rId25" w:history="1">
        <w:r w:rsidR="00787534" w:rsidRPr="00532A0F">
          <w:rPr>
            <w:rStyle w:val="Hyperlink"/>
          </w:rPr>
          <w:t>https://www.icj-cij.org/sites/default/files/case-related/187/187-20230412-app-01-00-en.pdf</w:t>
        </w:r>
      </w:hyperlink>
      <w:r w:rsidR="00DB2DCE" w:rsidRPr="00613FD9">
        <w:rPr>
          <w:rStyle w:val="Hyperlink"/>
        </w:rPr>
        <w:t>.</w:t>
      </w:r>
    </w:p>
  </w:footnote>
  <w:footnote w:id="99">
    <w:p w14:paraId="386B72C5" w14:textId="0FC7B9A8" w:rsidR="003F65B3" w:rsidRPr="00AE13AD" w:rsidRDefault="00867E72" w:rsidP="003F65B3">
      <w:pPr>
        <w:pStyle w:val="FootnoteText"/>
      </w:pPr>
      <w:r>
        <w:tab/>
      </w:r>
      <w:r w:rsidR="003F65B3" w:rsidRPr="00AE13AD">
        <w:rPr>
          <w:rStyle w:val="FootnoteReference"/>
        </w:rPr>
        <w:footnoteRef/>
      </w:r>
      <w:r>
        <w:tab/>
      </w:r>
      <w:r>
        <w:tab/>
      </w:r>
      <w:r w:rsidR="003F65B3" w:rsidRPr="00AE13AD">
        <w:t xml:space="preserve">For an overview of advisory opinions rendered, see </w:t>
      </w:r>
      <w:hyperlink r:id="rId26" w:history="1">
        <w:r w:rsidR="003F65B3" w:rsidRPr="00AE13AD">
          <w:rPr>
            <w:rStyle w:val="Hyperlink"/>
          </w:rPr>
          <w:t>https://www.corteidh.or.cr/opiniones_consultivas.cfm?lang=en</w:t>
        </w:r>
      </w:hyperlink>
      <w:r w:rsidR="003F65B3" w:rsidRPr="00AE13AD">
        <w:t>.</w:t>
      </w:r>
    </w:p>
  </w:footnote>
  <w:footnote w:id="100">
    <w:p w14:paraId="2F00FAE3" w14:textId="73DBA12A" w:rsidR="00386089" w:rsidRPr="00AE13AD" w:rsidRDefault="00244E43" w:rsidP="00F356A7">
      <w:pPr>
        <w:pStyle w:val="FootnoteText"/>
        <w:contextualSpacing/>
      </w:pPr>
      <w:r>
        <w:tab/>
      </w:r>
      <w:r w:rsidR="00386089" w:rsidRPr="00AE13AD">
        <w:rPr>
          <w:rStyle w:val="FootnoteReference"/>
        </w:rPr>
        <w:footnoteRef/>
      </w:r>
      <w:r>
        <w:tab/>
      </w:r>
      <w:r>
        <w:tab/>
      </w:r>
      <w:r w:rsidR="006665D8">
        <w:t xml:space="preserve">See </w:t>
      </w:r>
      <w:hyperlink r:id="rId27" w:history="1">
        <w:r w:rsidR="00B07AE1" w:rsidRPr="00B07AE1">
          <w:rPr>
            <w:rStyle w:val="Hyperlink"/>
          </w:rPr>
          <w:t>https://prd-echr.coe.int/web/echr/advisory-opinions</w:t>
        </w:r>
      </w:hyperlink>
      <w:r w:rsidR="00386089" w:rsidRPr="00AE13AD">
        <w:t>.</w:t>
      </w:r>
    </w:p>
  </w:footnote>
  <w:footnote w:id="101">
    <w:p w14:paraId="14418AD7" w14:textId="1506B89D" w:rsidR="00386089" w:rsidRPr="00AE13AD" w:rsidRDefault="00244E43" w:rsidP="00F356A7">
      <w:pPr>
        <w:pStyle w:val="FootnoteText"/>
        <w:contextualSpacing/>
      </w:pPr>
      <w:r>
        <w:tab/>
      </w:r>
      <w:r w:rsidR="00386089" w:rsidRPr="00AE13AD">
        <w:rPr>
          <w:rStyle w:val="FootnoteReference"/>
        </w:rPr>
        <w:footnoteRef/>
      </w:r>
      <w:r>
        <w:tab/>
      </w:r>
      <w:r>
        <w:tab/>
      </w:r>
      <w:r w:rsidR="00386089" w:rsidRPr="00AE13AD">
        <w:t>See E</w:t>
      </w:r>
      <w:r w:rsidR="008B5C01">
        <w:t xml:space="preserve">uropean </w:t>
      </w:r>
      <w:r w:rsidR="00386089" w:rsidRPr="00AE13AD">
        <w:t>C</w:t>
      </w:r>
      <w:r w:rsidR="008B5C01">
        <w:t>our</w:t>
      </w:r>
      <w:r w:rsidR="00386089" w:rsidRPr="00AE13AD">
        <w:t>t</w:t>
      </w:r>
      <w:r w:rsidR="008B5C01">
        <w:t xml:space="preserve"> of </w:t>
      </w:r>
      <w:r w:rsidR="00386089" w:rsidRPr="00AE13AD">
        <w:t>H</w:t>
      </w:r>
      <w:r w:rsidR="008B5C01">
        <w:t xml:space="preserve">uman </w:t>
      </w:r>
      <w:r w:rsidR="00386089" w:rsidRPr="00AE13AD">
        <w:t>R</w:t>
      </w:r>
      <w:r w:rsidR="008B5C01">
        <w:t>ights</w:t>
      </w:r>
      <w:r w:rsidR="00386089" w:rsidRPr="00AE13AD">
        <w:t xml:space="preserve">, </w:t>
      </w:r>
      <w:proofErr w:type="spellStart"/>
      <w:r w:rsidR="00386089" w:rsidRPr="008A0231">
        <w:rPr>
          <w:i/>
          <w:iCs/>
        </w:rPr>
        <w:t>Klimaseniorinnen</w:t>
      </w:r>
      <w:proofErr w:type="spellEnd"/>
      <w:r w:rsidR="00386089" w:rsidRPr="008A0231">
        <w:rPr>
          <w:i/>
          <w:iCs/>
        </w:rPr>
        <w:t xml:space="preserve"> Schweiz and </w:t>
      </w:r>
      <w:r w:rsidR="001536E9" w:rsidRPr="008A0231">
        <w:rPr>
          <w:i/>
          <w:iCs/>
        </w:rPr>
        <w:t>O</w:t>
      </w:r>
      <w:r w:rsidR="00386089" w:rsidRPr="008A0231">
        <w:rPr>
          <w:i/>
          <w:iCs/>
        </w:rPr>
        <w:t>thers v</w:t>
      </w:r>
      <w:r w:rsidR="00C2166B">
        <w:rPr>
          <w:i/>
          <w:iCs/>
        </w:rPr>
        <w:t>.</w:t>
      </w:r>
      <w:r w:rsidR="00386089" w:rsidRPr="008A0231">
        <w:rPr>
          <w:i/>
          <w:iCs/>
        </w:rPr>
        <w:t xml:space="preserve"> Switzerland</w:t>
      </w:r>
      <w:r w:rsidR="00386089" w:rsidRPr="00AE13AD">
        <w:t xml:space="preserve">, </w:t>
      </w:r>
      <w:r w:rsidR="008B5C01">
        <w:t>A</w:t>
      </w:r>
      <w:r w:rsidR="00386089" w:rsidRPr="00AE13AD">
        <w:t>pp</w:t>
      </w:r>
      <w:r w:rsidR="008B5C01">
        <w:t>lication</w:t>
      </w:r>
      <w:r w:rsidR="00386089" w:rsidRPr="00AE13AD">
        <w:t xml:space="preserve"> </w:t>
      </w:r>
      <w:r w:rsidR="008B5C01">
        <w:t>N</w:t>
      </w:r>
      <w:r w:rsidR="00386089" w:rsidRPr="00AE13AD">
        <w:t>o</w:t>
      </w:r>
      <w:r w:rsidR="008B5C01">
        <w:t>.</w:t>
      </w:r>
      <w:r w:rsidR="00386089" w:rsidRPr="00AE13AD">
        <w:t xml:space="preserve"> 53600/20, </w:t>
      </w:r>
      <w:r w:rsidR="001848FF">
        <w:t>J</w:t>
      </w:r>
      <w:r w:rsidR="00386089" w:rsidRPr="00AE13AD">
        <w:t>udgment</w:t>
      </w:r>
      <w:r w:rsidR="001848FF">
        <w:t>,</w:t>
      </w:r>
      <w:r w:rsidR="00386089" w:rsidRPr="00AE13AD">
        <w:t xml:space="preserve"> 9 April 2024;</w:t>
      </w:r>
      <w:r w:rsidR="002C4D2F">
        <w:t xml:space="preserve"> and</w:t>
      </w:r>
      <w:r w:rsidR="00386089" w:rsidRPr="00AE13AD">
        <w:t xml:space="preserve"> </w:t>
      </w:r>
      <w:r w:rsidR="003E679C">
        <w:t>Human Rights Committee</w:t>
      </w:r>
      <w:r w:rsidR="00386089" w:rsidRPr="00AE13AD">
        <w:t xml:space="preserve">, </w:t>
      </w:r>
      <w:r w:rsidR="00386089" w:rsidRPr="008A0231">
        <w:rPr>
          <w:i/>
          <w:iCs/>
        </w:rPr>
        <w:t xml:space="preserve">Billy </w:t>
      </w:r>
      <w:r w:rsidR="002F53A5">
        <w:rPr>
          <w:i/>
          <w:iCs/>
        </w:rPr>
        <w:t>et al.</w:t>
      </w:r>
      <w:r w:rsidR="00386089" w:rsidRPr="008A0231">
        <w:rPr>
          <w:i/>
          <w:iCs/>
        </w:rPr>
        <w:t xml:space="preserve"> v</w:t>
      </w:r>
      <w:r w:rsidR="003E679C" w:rsidRPr="008A0231">
        <w:rPr>
          <w:i/>
          <w:iCs/>
        </w:rPr>
        <w:t>.</w:t>
      </w:r>
      <w:r w:rsidR="00386089" w:rsidRPr="008A0231">
        <w:rPr>
          <w:i/>
          <w:iCs/>
        </w:rPr>
        <w:t xml:space="preserve"> Australia</w:t>
      </w:r>
      <w:r w:rsidR="00386089" w:rsidRPr="00AE13AD">
        <w:t xml:space="preserve"> </w:t>
      </w:r>
      <w:r w:rsidR="002C4D2F">
        <w:t>(</w:t>
      </w:r>
      <w:r w:rsidR="00386089" w:rsidRPr="00AE13AD">
        <w:t>CCPR/C/135/D</w:t>
      </w:r>
      <w:r w:rsidR="002174CE">
        <w:t>/</w:t>
      </w:r>
      <w:r w:rsidR="00386089" w:rsidRPr="00AE13AD">
        <w:t>3624/2019</w:t>
      </w:r>
      <w:r w:rsidR="002C4D2F">
        <w:t>)</w:t>
      </w:r>
      <w:r w:rsidR="00386089" w:rsidRPr="00AE13AD">
        <w:t>.</w:t>
      </w:r>
      <w:r w:rsidR="004D25F7" w:rsidRPr="00AE13AD">
        <w:rPr>
          <w:rStyle w:val="FootnoteReference"/>
        </w:rPr>
        <w:t xml:space="preserve"> </w:t>
      </w:r>
      <w:r w:rsidR="004D25F7" w:rsidRPr="00AE13AD">
        <w:t xml:space="preserve">Requests for advisory opinions have been filed before </w:t>
      </w:r>
      <w:r w:rsidR="0010068E">
        <w:t>the Inter-American Court of Human Rights</w:t>
      </w:r>
      <w:r w:rsidR="004D25F7" w:rsidRPr="00AE13AD">
        <w:t xml:space="preserve"> a</w:t>
      </w:r>
      <w:r w:rsidR="007F4B86">
        <w:t>nd</w:t>
      </w:r>
      <w:r w:rsidR="004D25F7" w:rsidRPr="00AE13AD">
        <w:t xml:space="preserve"> </w:t>
      </w:r>
      <w:r w:rsidR="00245E24">
        <w:t xml:space="preserve">the </w:t>
      </w:r>
      <w:r w:rsidR="00245E24" w:rsidRPr="00245E24">
        <w:t>International Tribunal for the Law of the Sea</w:t>
      </w:r>
      <w:r w:rsidR="004A775A">
        <w:t>;</w:t>
      </w:r>
      <w:r w:rsidR="00DC72BF" w:rsidRPr="00AE13AD">
        <w:t xml:space="preserve"> see</w:t>
      </w:r>
      <w:r w:rsidR="004D25F7" w:rsidRPr="00AE13AD">
        <w:t xml:space="preserve"> </w:t>
      </w:r>
      <w:hyperlink r:id="rId28" w:history="1">
        <w:r w:rsidR="004D25F7" w:rsidRPr="00AE13AD">
          <w:rPr>
            <w:rStyle w:val="Hyperlink"/>
          </w:rPr>
          <w:t>https://www.corteidh.or.cr/docs/opiniones/soc_1_2023_en.pdf</w:t>
        </w:r>
      </w:hyperlink>
      <w:r w:rsidR="005028E4">
        <w:rPr>
          <w:rStyle w:val="Hyperlink"/>
        </w:rPr>
        <w:t>;</w:t>
      </w:r>
      <w:r w:rsidR="004D25F7" w:rsidRPr="00AE13AD">
        <w:t xml:space="preserve"> and </w:t>
      </w:r>
      <w:hyperlink r:id="rId29" w:history="1">
        <w:r w:rsidR="004D25F7" w:rsidRPr="00AE13AD">
          <w:rPr>
            <w:rStyle w:val="Hyperlink"/>
          </w:rPr>
          <w:t>https://www.itlos.org/en/main/cases/list-of-cases/request-for-an-advisory-opinion-submitted-by-the-commission-of-small-island-states-on-climate-change-and-international-law-request-for-advisory-opinion-submitted-to-the-tribunal/</w:t>
        </w:r>
      </w:hyperlink>
      <w:r w:rsidR="00DB2DCE">
        <w:rPr>
          <w:rStyle w:val="Hyperlink"/>
        </w:rPr>
        <w:t>.</w:t>
      </w:r>
    </w:p>
  </w:footnote>
  <w:footnote w:id="102">
    <w:p w14:paraId="57B7EBCF" w14:textId="7A7428E5" w:rsidR="00A52F40" w:rsidRPr="000D7221" w:rsidRDefault="00244E43" w:rsidP="00F356A7">
      <w:pPr>
        <w:pStyle w:val="FootnoteText"/>
        <w:contextualSpacing/>
      </w:pPr>
      <w:r>
        <w:tab/>
      </w:r>
      <w:r w:rsidR="00A52F40" w:rsidRPr="00AE13AD">
        <w:rPr>
          <w:rStyle w:val="FootnoteReference"/>
        </w:rPr>
        <w:footnoteRef/>
      </w:r>
      <w:r>
        <w:tab/>
      </w:r>
      <w:r>
        <w:tab/>
      </w:r>
      <w:r w:rsidR="00960E15" w:rsidRPr="000D7221">
        <w:t>General Assembly resolution</w:t>
      </w:r>
      <w:r w:rsidR="00A52F40" w:rsidRPr="000D7221">
        <w:t xml:space="preserve"> 67/1, para. 4.</w:t>
      </w:r>
    </w:p>
  </w:footnote>
  <w:footnote w:id="103">
    <w:p w14:paraId="37CC1F07" w14:textId="5551C3D0" w:rsidR="002312D5" w:rsidRPr="00AE13AD" w:rsidRDefault="00244E43" w:rsidP="00F356A7">
      <w:pPr>
        <w:pStyle w:val="FootnoteText"/>
        <w:contextualSpacing/>
      </w:pPr>
      <w:r w:rsidRPr="000D7221">
        <w:tab/>
      </w:r>
      <w:r w:rsidR="002312D5" w:rsidRPr="000D7221">
        <w:rPr>
          <w:rStyle w:val="FootnoteReference"/>
        </w:rPr>
        <w:footnoteRef/>
      </w:r>
      <w:r w:rsidRPr="000D7221">
        <w:tab/>
      </w:r>
      <w:r w:rsidRPr="000D7221">
        <w:tab/>
      </w:r>
      <w:r w:rsidR="002312D5" w:rsidRPr="000D7221">
        <w:t>New Vision of the Secretary-General for the Rule of Law, p. 6.</w:t>
      </w:r>
    </w:p>
  </w:footnote>
  <w:footnote w:id="104">
    <w:p w14:paraId="66888E06" w14:textId="46FCD34F" w:rsidR="003068C2" w:rsidRPr="00AE13AD" w:rsidRDefault="00244E43" w:rsidP="00F356A7">
      <w:pPr>
        <w:pStyle w:val="FootnoteText"/>
        <w:contextualSpacing/>
      </w:pPr>
      <w:r>
        <w:tab/>
      </w:r>
      <w:r w:rsidR="003068C2" w:rsidRPr="00AE13AD">
        <w:rPr>
          <w:rStyle w:val="FootnoteReference"/>
        </w:rPr>
        <w:footnoteRef/>
      </w:r>
      <w:r>
        <w:tab/>
      </w:r>
      <w:r>
        <w:tab/>
      </w:r>
      <w:r w:rsidR="00A65842">
        <w:t xml:space="preserve">See </w:t>
      </w:r>
      <w:hyperlink r:id="rId30" w:history="1">
        <w:r w:rsidR="008C30C2" w:rsidRPr="008C30C2">
          <w:rPr>
            <w:rStyle w:val="Hyperlink"/>
          </w:rPr>
          <w:t>https://www.icj-cij.org/declarations</w:t>
        </w:r>
      </w:hyperlink>
      <w:r w:rsidR="003068C2" w:rsidRPr="00AE13AD">
        <w:t>.</w:t>
      </w:r>
    </w:p>
  </w:footnote>
  <w:footnote w:id="105">
    <w:p w14:paraId="520DF0E1" w14:textId="5CBE8D88" w:rsidR="001C4146" w:rsidRPr="00AE13AD" w:rsidRDefault="00244E43" w:rsidP="008A0231">
      <w:pPr>
        <w:pStyle w:val="FootnoteText"/>
        <w:ind w:left="360"/>
        <w:contextualSpacing/>
      </w:pPr>
      <w:r>
        <w:tab/>
      </w:r>
      <w:r w:rsidR="00F57044">
        <w:tab/>
      </w:r>
      <w:r w:rsidR="006C3CF9" w:rsidRPr="00AE13AD">
        <w:rPr>
          <w:rStyle w:val="FootnoteReference"/>
        </w:rPr>
        <w:footnoteRef/>
      </w:r>
      <w:r>
        <w:tab/>
      </w:r>
      <w:r w:rsidR="00C678FA" w:rsidRPr="00D66296">
        <w:rPr>
          <w:szCs w:val="18"/>
        </w:rPr>
        <w:t>See</w:t>
      </w:r>
      <w:r w:rsidR="00D76E42" w:rsidRPr="00D66296">
        <w:rPr>
          <w:szCs w:val="18"/>
        </w:rPr>
        <w:t xml:space="preserve"> pending cases</w:t>
      </w:r>
      <w:r w:rsidR="00D76E42" w:rsidRPr="00AE13AD">
        <w:t xml:space="preserve"> </w:t>
      </w:r>
      <w:r w:rsidR="007A6F73">
        <w:t>at</w:t>
      </w:r>
      <w:r w:rsidR="00D76E42" w:rsidRPr="00AE13AD">
        <w:t xml:space="preserve"> </w:t>
      </w:r>
      <w:hyperlink r:id="rId31" w:history="1">
        <w:r w:rsidR="00D76E42" w:rsidRPr="00AE13AD">
          <w:rPr>
            <w:rStyle w:val="Hyperlink"/>
          </w:rPr>
          <w:t>https://icj-cij.org/pending-cases</w:t>
        </w:r>
      </w:hyperlink>
      <w:r w:rsidR="00D76E42" w:rsidRPr="00AE13AD">
        <w:t>.</w:t>
      </w:r>
    </w:p>
  </w:footnote>
  <w:footnote w:id="106">
    <w:p w14:paraId="6C2DF306" w14:textId="04AF6425" w:rsidR="006C3CF9" w:rsidRPr="00AE13AD" w:rsidRDefault="00F57044" w:rsidP="008A0231">
      <w:pPr>
        <w:pStyle w:val="FootnoteText"/>
        <w:ind w:hanging="1584"/>
      </w:pPr>
      <w:r>
        <w:tab/>
      </w:r>
      <w:r w:rsidR="006C3CF9" w:rsidRPr="00AE13AD">
        <w:rPr>
          <w:rStyle w:val="FootnoteReference"/>
        </w:rPr>
        <w:footnoteRef/>
      </w:r>
      <w:r w:rsidR="00DB2DCE">
        <w:tab/>
      </w:r>
      <w:r w:rsidR="006C3CF9" w:rsidRPr="00AC64BF">
        <w:t xml:space="preserve">See </w:t>
      </w:r>
      <w:r w:rsidR="00FC3412" w:rsidRPr="008A0231">
        <w:rPr>
          <w:i/>
          <w:iCs/>
        </w:rPr>
        <w:t>Application of the Convention on the Prevention and Punishment of the Crime of Genocide (</w:t>
      </w:r>
      <w:r w:rsidR="006C3CF9" w:rsidRPr="008A0231">
        <w:rPr>
          <w:i/>
          <w:iCs/>
        </w:rPr>
        <w:t>The Gambia v. Myanmar</w:t>
      </w:r>
      <w:r w:rsidR="00FC3412" w:rsidRPr="008A0231">
        <w:rPr>
          <w:i/>
          <w:iCs/>
        </w:rPr>
        <w:t>)</w:t>
      </w:r>
      <w:r w:rsidR="006C3CF9" w:rsidRPr="008A0231">
        <w:rPr>
          <w:i/>
          <w:iCs/>
        </w:rPr>
        <w:t>, Provisional Measures, Order of 23 January 2020, I.C.J. Reports 2020</w:t>
      </w:r>
      <w:r w:rsidR="006C3CF9" w:rsidRPr="00AC64BF">
        <w:t xml:space="preserve">, p. 3, paras. 41 </w:t>
      </w:r>
      <w:r w:rsidR="00E24E9B">
        <w:t>and</w:t>
      </w:r>
      <w:r w:rsidR="006C3CF9" w:rsidRPr="00AC64BF">
        <w:t xml:space="preserve"> 42</w:t>
      </w:r>
      <w:r w:rsidR="001748DD" w:rsidRPr="00AC64BF">
        <w:t xml:space="preserve">; </w:t>
      </w:r>
      <w:r w:rsidR="00FC1379" w:rsidRPr="008A0231">
        <w:rPr>
          <w:i/>
          <w:iCs/>
        </w:rPr>
        <w:t>Application of the Convention on the Prevention and Punishment of the Crime of Genocide (</w:t>
      </w:r>
      <w:r w:rsidR="001748DD" w:rsidRPr="008A0231">
        <w:rPr>
          <w:i/>
          <w:iCs/>
        </w:rPr>
        <w:t>The Gambia v. Myanmar</w:t>
      </w:r>
      <w:r w:rsidR="00FC1379" w:rsidRPr="008A0231">
        <w:rPr>
          <w:i/>
          <w:iCs/>
        </w:rPr>
        <w:t>)</w:t>
      </w:r>
      <w:r w:rsidR="001748DD" w:rsidRPr="008A0231">
        <w:rPr>
          <w:i/>
          <w:iCs/>
        </w:rPr>
        <w:t>, Preliminary Objections, Judgment, I</w:t>
      </w:r>
      <w:r w:rsidR="003D73DF" w:rsidRPr="008A0231">
        <w:rPr>
          <w:i/>
          <w:iCs/>
        </w:rPr>
        <w:t>.</w:t>
      </w:r>
      <w:r w:rsidR="001748DD" w:rsidRPr="008A0231">
        <w:rPr>
          <w:i/>
          <w:iCs/>
        </w:rPr>
        <w:t>C</w:t>
      </w:r>
      <w:r w:rsidR="003D73DF" w:rsidRPr="008A0231">
        <w:rPr>
          <w:i/>
          <w:iCs/>
        </w:rPr>
        <w:t>.</w:t>
      </w:r>
      <w:r w:rsidR="001748DD" w:rsidRPr="008A0231">
        <w:rPr>
          <w:i/>
          <w:iCs/>
        </w:rPr>
        <w:t>J</w:t>
      </w:r>
      <w:r w:rsidR="003D73DF" w:rsidRPr="008A0231">
        <w:rPr>
          <w:i/>
          <w:iCs/>
        </w:rPr>
        <w:t>.</w:t>
      </w:r>
      <w:r w:rsidR="001748DD" w:rsidRPr="008A0231">
        <w:rPr>
          <w:i/>
          <w:iCs/>
        </w:rPr>
        <w:t xml:space="preserve"> Rep</w:t>
      </w:r>
      <w:r w:rsidR="003D73DF" w:rsidRPr="008A0231">
        <w:rPr>
          <w:i/>
          <w:iCs/>
        </w:rPr>
        <w:t>orts</w:t>
      </w:r>
      <w:r w:rsidR="001748DD" w:rsidRPr="008A0231">
        <w:rPr>
          <w:i/>
          <w:iCs/>
        </w:rPr>
        <w:t xml:space="preserve"> 2022</w:t>
      </w:r>
      <w:r w:rsidR="001748DD" w:rsidRPr="00AC64BF">
        <w:t xml:space="preserve">, p. 477, paras. 114 </w:t>
      </w:r>
      <w:r w:rsidR="00B04B5D">
        <w:t>and</w:t>
      </w:r>
      <w:r w:rsidR="001748DD" w:rsidRPr="00AC64BF">
        <w:t xml:space="preserve"> 115; </w:t>
      </w:r>
      <w:r w:rsidR="00B04B5D">
        <w:t xml:space="preserve">and </w:t>
      </w:r>
      <w:r w:rsidRPr="008A0231">
        <w:rPr>
          <w:i/>
          <w:iCs/>
        </w:rPr>
        <w:t xml:space="preserve">Application </w:t>
      </w:r>
      <w:r>
        <w:rPr>
          <w:i/>
          <w:iCs/>
        </w:rPr>
        <w:t>o</w:t>
      </w:r>
      <w:r w:rsidRPr="008A0231">
        <w:rPr>
          <w:i/>
          <w:iCs/>
        </w:rPr>
        <w:t xml:space="preserve">f </w:t>
      </w:r>
      <w:r>
        <w:rPr>
          <w:i/>
          <w:iCs/>
        </w:rPr>
        <w:t>t</w:t>
      </w:r>
      <w:r w:rsidRPr="008A0231">
        <w:rPr>
          <w:i/>
          <w:iCs/>
        </w:rPr>
        <w:t xml:space="preserve">he Convention </w:t>
      </w:r>
      <w:r>
        <w:rPr>
          <w:i/>
          <w:iCs/>
        </w:rPr>
        <w:t>o</w:t>
      </w:r>
      <w:r w:rsidRPr="008A0231">
        <w:rPr>
          <w:i/>
          <w:iCs/>
        </w:rPr>
        <w:t xml:space="preserve">n </w:t>
      </w:r>
      <w:r w:rsidR="00F93CCD">
        <w:rPr>
          <w:i/>
          <w:iCs/>
        </w:rPr>
        <w:t>t</w:t>
      </w:r>
      <w:r w:rsidRPr="008A0231">
        <w:rPr>
          <w:i/>
          <w:iCs/>
        </w:rPr>
        <w:t xml:space="preserve">he Prevention </w:t>
      </w:r>
      <w:r w:rsidR="00F93CCD">
        <w:rPr>
          <w:i/>
          <w:iCs/>
        </w:rPr>
        <w:t>a</w:t>
      </w:r>
      <w:r w:rsidRPr="008A0231">
        <w:rPr>
          <w:i/>
          <w:iCs/>
        </w:rPr>
        <w:t>nd Punishment</w:t>
      </w:r>
      <w:r>
        <w:rPr>
          <w:i/>
          <w:iCs/>
        </w:rPr>
        <w:t xml:space="preserve"> </w:t>
      </w:r>
      <w:r w:rsidR="00F93CCD">
        <w:rPr>
          <w:i/>
          <w:iCs/>
        </w:rPr>
        <w:t>o</w:t>
      </w:r>
      <w:r w:rsidRPr="008A0231">
        <w:rPr>
          <w:i/>
          <w:iCs/>
        </w:rPr>
        <w:t xml:space="preserve">f </w:t>
      </w:r>
      <w:r w:rsidR="00F93CCD">
        <w:rPr>
          <w:i/>
          <w:iCs/>
        </w:rPr>
        <w:t>t</w:t>
      </w:r>
      <w:r w:rsidRPr="008A0231">
        <w:rPr>
          <w:i/>
          <w:iCs/>
        </w:rPr>
        <w:t xml:space="preserve">he Crime </w:t>
      </w:r>
      <w:r w:rsidR="00F93CCD">
        <w:rPr>
          <w:i/>
          <w:iCs/>
        </w:rPr>
        <w:t>o</w:t>
      </w:r>
      <w:r w:rsidRPr="008A0231">
        <w:rPr>
          <w:i/>
          <w:iCs/>
        </w:rPr>
        <w:t xml:space="preserve">f Genocide </w:t>
      </w:r>
      <w:r w:rsidR="00F93CCD">
        <w:rPr>
          <w:i/>
          <w:iCs/>
        </w:rPr>
        <w:t>i</w:t>
      </w:r>
      <w:r w:rsidRPr="008A0231">
        <w:rPr>
          <w:i/>
          <w:iCs/>
        </w:rPr>
        <w:t xml:space="preserve">n </w:t>
      </w:r>
      <w:r w:rsidR="00FE26E0">
        <w:rPr>
          <w:i/>
          <w:iCs/>
        </w:rPr>
        <w:t>t</w:t>
      </w:r>
      <w:r w:rsidRPr="008A0231">
        <w:rPr>
          <w:i/>
          <w:iCs/>
        </w:rPr>
        <w:t>he Gaza Strip</w:t>
      </w:r>
      <w:r w:rsidR="00F93CCD">
        <w:rPr>
          <w:i/>
          <w:iCs/>
        </w:rPr>
        <w:t xml:space="preserve"> (</w:t>
      </w:r>
      <w:r w:rsidR="00116C6A" w:rsidRPr="008A0231">
        <w:rPr>
          <w:i/>
          <w:iCs/>
        </w:rPr>
        <w:t>South Africa v</w:t>
      </w:r>
      <w:r w:rsidR="0029218F" w:rsidRPr="008A0231">
        <w:rPr>
          <w:i/>
          <w:iCs/>
        </w:rPr>
        <w:t>.</w:t>
      </w:r>
      <w:r w:rsidR="00116C6A" w:rsidRPr="008A0231">
        <w:rPr>
          <w:i/>
          <w:iCs/>
        </w:rPr>
        <w:t xml:space="preserve"> Israe</w:t>
      </w:r>
      <w:r w:rsidR="00F1715D" w:rsidRPr="008A0231">
        <w:rPr>
          <w:i/>
          <w:iCs/>
        </w:rPr>
        <w:t>l</w:t>
      </w:r>
      <w:r w:rsidR="00F93CCD">
        <w:rPr>
          <w:i/>
          <w:iCs/>
        </w:rPr>
        <w:t>)</w:t>
      </w:r>
      <w:r w:rsidR="00116C6A" w:rsidRPr="001A1F91">
        <w:t xml:space="preserve">, </w:t>
      </w:r>
      <w:r w:rsidR="001A1F91" w:rsidRPr="001A1F91">
        <w:t>available</w:t>
      </w:r>
      <w:r w:rsidR="001A1F91">
        <w:t xml:space="preserve"> at </w:t>
      </w:r>
      <w:hyperlink r:id="rId32" w:history="1">
        <w:r w:rsidR="001A1F91" w:rsidRPr="000A7D08">
          <w:rPr>
            <w:rStyle w:val="Hyperlink"/>
          </w:rPr>
          <w:t>https://www.icj-cij.org/sites/default/files/case-related/192/192-20240126-ord-01-00-en.pdf</w:t>
        </w:r>
      </w:hyperlink>
      <w:r w:rsidR="001A1F91">
        <w:rPr>
          <w:rStyle w:val="Hyperlink"/>
        </w:rPr>
        <w:t xml:space="preserve">, </w:t>
      </w:r>
      <w:r w:rsidR="00116C6A" w:rsidRPr="00AC64BF">
        <w:t xml:space="preserve">paras. 33 </w:t>
      </w:r>
      <w:r w:rsidR="002D492D">
        <w:t>and</w:t>
      </w:r>
      <w:r w:rsidR="00116C6A" w:rsidRPr="00AC64BF">
        <w:t xml:space="preserve"> 34.</w:t>
      </w:r>
    </w:p>
  </w:footnote>
  <w:footnote w:id="107">
    <w:p w14:paraId="3FDEABF8" w14:textId="6B46FA51" w:rsidR="001748DD" w:rsidRPr="00AE13AD" w:rsidRDefault="00F356A7" w:rsidP="00F356A7">
      <w:pPr>
        <w:pStyle w:val="FootnoteText"/>
        <w:contextualSpacing/>
      </w:pPr>
      <w:r>
        <w:tab/>
      </w:r>
      <w:r w:rsidR="001748DD" w:rsidRPr="00AE13AD">
        <w:rPr>
          <w:rStyle w:val="FootnoteReference"/>
        </w:rPr>
        <w:footnoteRef/>
      </w:r>
      <w:r>
        <w:tab/>
      </w:r>
      <w:r>
        <w:tab/>
      </w:r>
      <w:r w:rsidR="00E26244">
        <w:t xml:space="preserve">General Assembly resolution </w:t>
      </w:r>
      <w:r w:rsidR="001748DD" w:rsidRPr="00AE13AD">
        <w:t xml:space="preserve">56/83, </w:t>
      </w:r>
      <w:r w:rsidR="00E26244">
        <w:t>a</w:t>
      </w:r>
      <w:r w:rsidR="001748DD" w:rsidRPr="00AE13AD">
        <w:t xml:space="preserve">nnex, </w:t>
      </w:r>
      <w:r w:rsidR="00E26244">
        <w:t>a</w:t>
      </w:r>
      <w:r w:rsidR="001748DD" w:rsidRPr="00AE13AD">
        <w:t>rt</w:t>
      </w:r>
      <w:r w:rsidR="00E26244">
        <w:t>.</w:t>
      </w:r>
      <w:r w:rsidR="001748DD" w:rsidRPr="00AE13AD">
        <w:t xml:space="preserve"> 48.</w:t>
      </w:r>
    </w:p>
  </w:footnote>
  <w:footnote w:id="108">
    <w:p w14:paraId="2512964F" w14:textId="3FDDF550" w:rsidR="00083CC4" w:rsidRPr="00AE13AD" w:rsidRDefault="00F356A7" w:rsidP="00F356A7">
      <w:pPr>
        <w:pStyle w:val="FootnoteText"/>
        <w:contextualSpacing/>
      </w:pPr>
      <w:r>
        <w:tab/>
      </w:r>
      <w:r w:rsidR="00083CC4" w:rsidRPr="00AE13AD">
        <w:rPr>
          <w:rStyle w:val="FootnoteReference"/>
        </w:rPr>
        <w:footnoteRef/>
      </w:r>
      <w:r>
        <w:tab/>
      </w:r>
      <w:r>
        <w:tab/>
      </w:r>
      <w:r w:rsidR="00083CC4" w:rsidRPr="008A0231">
        <w:rPr>
          <w:i/>
          <w:iCs/>
        </w:rPr>
        <w:t>Qatar v</w:t>
      </w:r>
      <w:r w:rsidR="00722472" w:rsidRPr="008A0231">
        <w:rPr>
          <w:i/>
          <w:iCs/>
        </w:rPr>
        <w:t>.</w:t>
      </w:r>
      <w:r w:rsidR="00083CC4" w:rsidRPr="008A0231">
        <w:rPr>
          <w:i/>
          <w:iCs/>
        </w:rPr>
        <w:t xml:space="preserve"> Saudi Arabia</w:t>
      </w:r>
      <w:r w:rsidR="00EC6678">
        <w:t>,</w:t>
      </w:r>
      <w:r w:rsidR="00083CC4" w:rsidRPr="00AE13AD">
        <w:t xml:space="preserve"> </w:t>
      </w:r>
      <w:r w:rsidR="00083CC4" w:rsidRPr="008A0231">
        <w:rPr>
          <w:i/>
          <w:iCs/>
        </w:rPr>
        <w:t>Qatar v</w:t>
      </w:r>
      <w:r w:rsidR="00722472" w:rsidRPr="008A0231">
        <w:rPr>
          <w:i/>
          <w:iCs/>
        </w:rPr>
        <w:t>.</w:t>
      </w:r>
      <w:r w:rsidR="00083CC4" w:rsidRPr="008A0231">
        <w:rPr>
          <w:i/>
          <w:iCs/>
        </w:rPr>
        <w:t xml:space="preserve"> United Arab Emirates</w:t>
      </w:r>
      <w:r w:rsidR="00083CC4" w:rsidRPr="00AE13AD">
        <w:t xml:space="preserve"> and </w:t>
      </w:r>
      <w:r w:rsidR="00083CC4" w:rsidRPr="008A0231">
        <w:rPr>
          <w:i/>
          <w:iCs/>
        </w:rPr>
        <w:t>State of Palestine v</w:t>
      </w:r>
      <w:r w:rsidR="00CF0B8B" w:rsidRPr="008A0231">
        <w:rPr>
          <w:i/>
          <w:iCs/>
        </w:rPr>
        <w:t>.</w:t>
      </w:r>
      <w:r w:rsidR="00083CC4" w:rsidRPr="008A0231">
        <w:rPr>
          <w:i/>
          <w:iCs/>
        </w:rPr>
        <w:t xml:space="preserve"> Israel</w:t>
      </w:r>
      <w:r w:rsidR="00083CC4" w:rsidRPr="00AE13AD">
        <w:t xml:space="preserve">, </w:t>
      </w:r>
      <w:r w:rsidR="00EC6678">
        <w:t>available at</w:t>
      </w:r>
      <w:r w:rsidR="00083CC4" w:rsidRPr="00AE13AD">
        <w:t xml:space="preserve"> </w:t>
      </w:r>
      <w:hyperlink r:id="rId33" w:history="1">
        <w:r w:rsidR="00083CC4" w:rsidRPr="00AE13AD">
          <w:rPr>
            <w:rStyle w:val="Hyperlink"/>
          </w:rPr>
          <w:t>https://www.ohchr.org/en/treaty-bodies/cerd/inter-state-communications</w:t>
        </w:r>
      </w:hyperlink>
      <w:r w:rsidR="00083CC4" w:rsidRPr="00AE13AD">
        <w:t>.</w:t>
      </w:r>
    </w:p>
  </w:footnote>
  <w:footnote w:id="109">
    <w:p w14:paraId="551D16B6" w14:textId="4118E491" w:rsidR="00083CC4" w:rsidRPr="00AE13AD" w:rsidRDefault="00F356A7" w:rsidP="00F356A7">
      <w:pPr>
        <w:pStyle w:val="FootnoteText"/>
        <w:contextualSpacing/>
      </w:pPr>
      <w:r>
        <w:tab/>
      </w:r>
      <w:r w:rsidR="00083CC4" w:rsidRPr="00AE13AD">
        <w:rPr>
          <w:rStyle w:val="FootnoteReference"/>
        </w:rPr>
        <w:footnoteRef/>
      </w:r>
      <w:r>
        <w:tab/>
      </w:r>
      <w:r>
        <w:tab/>
      </w:r>
      <w:r w:rsidR="00083CC4" w:rsidRPr="00AE13AD">
        <w:t xml:space="preserve">See </w:t>
      </w:r>
      <w:hyperlink r:id="rId34" w:history="1">
        <w:r w:rsidR="00083CC4" w:rsidRPr="00AE13AD">
          <w:rPr>
            <w:rStyle w:val="Hyperlink"/>
          </w:rPr>
          <w:t>https://prd-echr.coe.int/web/echr/inter-state-applications</w:t>
        </w:r>
      </w:hyperlink>
      <w:r w:rsidR="00083CC4" w:rsidRPr="00AE13AD">
        <w:t>.</w:t>
      </w:r>
    </w:p>
  </w:footnote>
  <w:footnote w:id="110">
    <w:p w14:paraId="7490F196" w14:textId="77777777" w:rsidR="007B6B0E" w:rsidRPr="00AE13AD" w:rsidRDefault="007B6B0E" w:rsidP="007B6B0E">
      <w:pPr>
        <w:pStyle w:val="FootnoteText"/>
        <w:contextualSpacing/>
      </w:pPr>
      <w:r>
        <w:tab/>
      </w:r>
      <w:r w:rsidRPr="00AE13AD">
        <w:rPr>
          <w:rStyle w:val="FootnoteReference"/>
        </w:rPr>
        <w:footnoteRef/>
      </w:r>
      <w:r>
        <w:tab/>
      </w:r>
      <w:r>
        <w:tab/>
      </w:r>
      <w:r w:rsidRPr="00AE13AD">
        <w:t>See Supplementary Protocol A/SP.1/01/05, adopted in 2005.</w:t>
      </w:r>
    </w:p>
  </w:footnote>
  <w:footnote w:id="111">
    <w:p w14:paraId="58ADC16E" w14:textId="791BDD87" w:rsidR="00552677" w:rsidRPr="00AE13AD" w:rsidRDefault="002E0ED2">
      <w:pPr>
        <w:pStyle w:val="FootnoteText"/>
      </w:pPr>
      <w:r>
        <w:tab/>
      </w:r>
      <w:r w:rsidR="00552677" w:rsidRPr="00AE13AD">
        <w:rPr>
          <w:rStyle w:val="FootnoteReference"/>
        </w:rPr>
        <w:footnoteRef/>
      </w:r>
      <w:r>
        <w:tab/>
      </w:r>
      <w:r>
        <w:tab/>
      </w:r>
      <w:r w:rsidR="00552677" w:rsidRPr="00AE13AD">
        <w:t>The European Court of Human Rights has delivered more than 10,000 judgments</w:t>
      </w:r>
      <w:r w:rsidR="00E96444">
        <w:t>; see</w:t>
      </w:r>
      <w:r w:rsidR="00552677" w:rsidRPr="00AE13AD">
        <w:t xml:space="preserve"> </w:t>
      </w:r>
      <w:hyperlink r:id="rId35" w:history="1">
        <w:r w:rsidR="00552677" w:rsidRPr="00AE13AD">
          <w:rPr>
            <w:rStyle w:val="Hyperlink"/>
          </w:rPr>
          <w:t>https://www.coe.int/en/web/tbilisi/europeancourtofhumanrights</w:t>
        </w:r>
      </w:hyperlink>
      <w:r w:rsidR="00552677" w:rsidRPr="00AE13AD">
        <w:t>.</w:t>
      </w:r>
    </w:p>
  </w:footnote>
  <w:footnote w:id="112">
    <w:p w14:paraId="2FDB7E6D" w14:textId="056426FA" w:rsidR="00BA5BD2" w:rsidRPr="00AE13AD" w:rsidRDefault="002E0ED2" w:rsidP="00F2571A">
      <w:pPr>
        <w:pStyle w:val="FootnoteText"/>
      </w:pPr>
      <w:r>
        <w:tab/>
      </w:r>
      <w:r w:rsidR="00BA5BD2" w:rsidRPr="00AE13AD">
        <w:rPr>
          <w:rStyle w:val="FootnoteReference"/>
        </w:rPr>
        <w:footnoteRef/>
      </w:r>
      <w:r>
        <w:tab/>
      </w:r>
      <w:r>
        <w:tab/>
      </w:r>
      <w:r w:rsidR="00BA5BD2" w:rsidRPr="00AE13AD">
        <w:t>See Kate Fox</w:t>
      </w:r>
      <w:r w:rsidR="00F2571A" w:rsidRPr="00AE13AD">
        <w:t xml:space="preserve"> Principi</w:t>
      </w:r>
      <w:r w:rsidR="00BA5BD2" w:rsidRPr="00AE13AD">
        <w:t>,</w:t>
      </w:r>
      <w:r w:rsidR="00F2571A" w:rsidRPr="00AE13AD">
        <w:t xml:space="preserve"> </w:t>
      </w:r>
      <w:r w:rsidR="00513717">
        <w:t xml:space="preserve">“Implementation of decisions under </w:t>
      </w:r>
      <w:r w:rsidR="00F2571A" w:rsidRPr="00AE13AD">
        <w:t xml:space="preserve">UN </w:t>
      </w:r>
      <w:r w:rsidR="00E57162">
        <w:t>treaty body</w:t>
      </w:r>
      <w:r w:rsidR="00F2571A" w:rsidRPr="00AE13AD">
        <w:t xml:space="preserve"> </w:t>
      </w:r>
      <w:r w:rsidR="00E57162">
        <w:t>c</w:t>
      </w:r>
      <w:r w:rsidR="00F2571A" w:rsidRPr="00AE13AD">
        <w:t xml:space="preserve">omplaint </w:t>
      </w:r>
      <w:r w:rsidR="00E57162">
        <w:t>p</w:t>
      </w:r>
      <w:r w:rsidR="00F2571A" w:rsidRPr="00AE13AD">
        <w:t xml:space="preserve">rocedures – </w:t>
      </w:r>
      <w:r w:rsidR="001B6989">
        <w:t>h</w:t>
      </w:r>
      <w:r w:rsidR="00F2571A" w:rsidRPr="00AE13AD">
        <w:t xml:space="preserve">ow </w:t>
      </w:r>
      <w:r w:rsidR="001B6989">
        <w:t>d</w:t>
      </w:r>
      <w:r w:rsidR="00F2571A" w:rsidRPr="00AE13AD">
        <w:t xml:space="preserve">o States </w:t>
      </w:r>
      <w:r w:rsidR="001B6989">
        <w:t>c</w:t>
      </w:r>
      <w:r w:rsidR="00F2571A" w:rsidRPr="00AE13AD">
        <w:t>omply</w:t>
      </w:r>
      <w:r w:rsidR="00C678FA" w:rsidRPr="00AE13AD">
        <w:t>?</w:t>
      </w:r>
      <w:r w:rsidR="001B6989">
        <w:t xml:space="preserve"> A categorized study based on 268 cases</w:t>
      </w:r>
      <w:r w:rsidR="00B17ABA">
        <w:t xml:space="preserve"> of ‘satisfactory’ implementation under the follow-up procedure, mainly of the UN Human Rights Committee</w:t>
      </w:r>
      <w:r w:rsidR="007643B4">
        <w:t>”,</w:t>
      </w:r>
      <w:r w:rsidR="00F2571A" w:rsidRPr="00AE13AD">
        <w:t xml:space="preserve"> </w:t>
      </w:r>
      <w:r w:rsidR="00F2571A" w:rsidRPr="008A0231">
        <w:rPr>
          <w:i/>
          <w:iCs/>
        </w:rPr>
        <w:t>Human Rights Law Journal</w:t>
      </w:r>
      <w:r w:rsidR="006A3A09">
        <w:t>, vol. 37, No. 1-6 (2017)</w:t>
      </w:r>
      <w:r w:rsidR="00F2571A" w:rsidRPr="00AE13AD">
        <w:t>; Kate Fox</w:t>
      </w:r>
      <w:r w:rsidR="004E5C68">
        <w:t xml:space="preserve"> Principi</w:t>
      </w:r>
      <w:r w:rsidR="00F2571A" w:rsidRPr="00AE13AD">
        <w:t xml:space="preserve">, </w:t>
      </w:r>
      <w:r w:rsidR="004E5C68">
        <w:t>“</w:t>
      </w:r>
      <w:r w:rsidR="001373A5" w:rsidRPr="00AE13AD">
        <w:t xml:space="preserve">Internal </w:t>
      </w:r>
      <w:r w:rsidR="004E5C68">
        <w:t>m</w:t>
      </w:r>
      <w:r w:rsidR="001373A5" w:rsidRPr="00AE13AD">
        <w:t xml:space="preserve">echanisms to </w:t>
      </w:r>
      <w:r w:rsidR="004E5C68">
        <w:t>i</w:t>
      </w:r>
      <w:r w:rsidR="001373A5" w:rsidRPr="00AE13AD">
        <w:t xml:space="preserve">mplement UN </w:t>
      </w:r>
      <w:r w:rsidR="00D25E76">
        <w:t>h</w:t>
      </w:r>
      <w:r w:rsidR="001373A5" w:rsidRPr="00AE13AD">
        <w:t xml:space="preserve">uman </w:t>
      </w:r>
      <w:r w:rsidR="00D25E76">
        <w:t>r</w:t>
      </w:r>
      <w:r w:rsidR="001373A5" w:rsidRPr="00AE13AD">
        <w:t xml:space="preserve">ights </w:t>
      </w:r>
      <w:r w:rsidR="00D25E76">
        <w:t>d</w:t>
      </w:r>
      <w:r w:rsidR="001373A5" w:rsidRPr="00AE13AD">
        <w:t>ecisions, notably of the UN Human Rights Committee</w:t>
      </w:r>
      <w:r w:rsidR="00A90E16">
        <w:t>:</w:t>
      </w:r>
      <w:r w:rsidR="00705B9F">
        <w:t xml:space="preserve"> </w:t>
      </w:r>
      <w:r w:rsidR="00A90E16">
        <w:t>h</w:t>
      </w:r>
      <w:r w:rsidR="00705B9F">
        <w:t>ow can these mechanisms assist States to fulfil</w:t>
      </w:r>
      <w:r w:rsidR="00376CC4">
        <w:t xml:space="preserve"> their good faith obligations?”,</w:t>
      </w:r>
      <w:r w:rsidR="001373A5" w:rsidRPr="00AE13AD">
        <w:t xml:space="preserve"> </w:t>
      </w:r>
      <w:r w:rsidR="001373A5" w:rsidRPr="00AE13AD">
        <w:rPr>
          <w:i/>
          <w:iCs/>
        </w:rPr>
        <w:t xml:space="preserve">Human Rights Law </w:t>
      </w:r>
      <w:r w:rsidR="00BE234F">
        <w:rPr>
          <w:i/>
          <w:iCs/>
        </w:rPr>
        <w:t>Journal</w:t>
      </w:r>
      <w:r w:rsidR="00BE234F">
        <w:t>, vol. 37, No. 7-12 (2017)</w:t>
      </w:r>
      <w:r w:rsidR="00BA5BD2" w:rsidRPr="00AE13AD">
        <w:t xml:space="preserve">; </w:t>
      </w:r>
      <w:r w:rsidR="00B41CE3">
        <w:t xml:space="preserve">Council of Europe Committee of Ministers, </w:t>
      </w:r>
      <w:r w:rsidR="00F05A40" w:rsidRPr="008A0231">
        <w:rPr>
          <w:i/>
          <w:iCs/>
        </w:rPr>
        <w:t>Supervision of the Execution of Judgments and Decisions of the European Court of Human Rights</w:t>
      </w:r>
      <w:r w:rsidR="00B06B85" w:rsidRPr="008A0231">
        <w:rPr>
          <w:i/>
          <w:iCs/>
        </w:rPr>
        <w:t xml:space="preserve"> 2023:</w:t>
      </w:r>
      <w:r w:rsidR="00F05A40" w:rsidRPr="008A0231">
        <w:rPr>
          <w:i/>
          <w:iCs/>
        </w:rPr>
        <w:t xml:space="preserve"> 17th Annual Report of the Committee of Ministers</w:t>
      </w:r>
      <w:r w:rsidR="00BA5BD2" w:rsidRPr="00AE13AD">
        <w:t xml:space="preserve"> (2024)</w:t>
      </w:r>
      <w:r w:rsidR="00E665A2" w:rsidRPr="00AE13AD">
        <w:t>;</w:t>
      </w:r>
      <w:r w:rsidR="00A71CF7">
        <w:t xml:space="preserve"> and</w:t>
      </w:r>
      <w:r w:rsidR="00E665A2" w:rsidRPr="00AE13AD">
        <w:t xml:space="preserve"> </w:t>
      </w:r>
      <w:r w:rsidR="000A6C6C" w:rsidRPr="000A6C6C">
        <w:t>https://www.corteidh.or.cr/casos_en_supervision_por_pais.cfm?lang=en</w:t>
      </w:r>
      <w:r w:rsidR="00E665A2" w:rsidRPr="00AE13AD">
        <w:t>.</w:t>
      </w:r>
    </w:p>
  </w:footnote>
  <w:footnote w:id="113">
    <w:p w14:paraId="6EA8E791" w14:textId="716EAD9C" w:rsidR="006E1D26" w:rsidRPr="00AE13AD" w:rsidRDefault="002E0ED2">
      <w:pPr>
        <w:pStyle w:val="FootnoteText"/>
      </w:pPr>
      <w:r>
        <w:tab/>
      </w:r>
      <w:r w:rsidR="006E1D26" w:rsidRPr="00AE13AD">
        <w:rPr>
          <w:rStyle w:val="FootnoteReference"/>
        </w:rPr>
        <w:footnoteRef/>
      </w:r>
      <w:r>
        <w:tab/>
      </w:r>
      <w:r>
        <w:tab/>
      </w:r>
      <w:r w:rsidR="001D10E8">
        <w:t xml:space="preserve">See </w:t>
      </w:r>
      <w:hyperlink r:id="rId36" w:history="1">
        <w:r w:rsidR="00D62D2F" w:rsidRPr="00D62D2F">
          <w:rPr>
            <w:rStyle w:val="Hyperlink"/>
          </w:rPr>
          <w:t>https://ijrcenter.org/regional-communities/southern-african-development-community-tribunal/</w:t>
        </w:r>
      </w:hyperlink>
      <w:r w:rsidR="006E1D26" w:rsidRPr="00AE13AD">
        <w:t>.</w:t>
      </w:r>
    </w:p>
  </w:footnote>
  <w:footnote w:id="114">
    <w:p w14:paraId="30763662" w14:textId="355E2278" w:rsidR="00260405" w:rsidRPr="00AE13AD" w:rsidRDefault="002E0ED2">
      <w:pPr>
        <w:pStyle w:val="FootnoteText"/>
      </w:pPr>
      <w:r>
        <w:tab/>
      </w:r>
      <w:r w:rsidR="00260405" w:rsidRPr="00AE13AD">
        <w:rPr>
          <w:rStyle w:val="FootnoteReference"/>
        </w:rPr>
        <w:footnoteRef/>
      </w:r>
      <w:r>
        <w:tab/>
      </w:r>
      <w:r>
        <w:tab/>
      </w:r>
      <w:r w:rsidR="00260405" w:rsidRPr="00AE13AD">
        <w:t xml:space="preserve">See Ximena </w:t>
      </w:r>
      <w:proofErr w:type="spellStart"/>
      <w:r w:rsidR="00260405" w:rsidRPr="00AE13AD">
        <w:t>Soley</w:t>
      </w:r>
      <w:proofErr w:type="spellEnd"/>
      <w:r w:rsidR="00260405" w:rsidRPr="00AE13AD">
        <w:t xml:space="preserve"> and Silvia </w:t>
      </w:r>
      <w:proofErr w:type="spellStart"/>
      <w:r w:rsidR="00260405" w:rsidRPr="00AE13AD">
        <w:t>Steininger</w:t>
      </w:r>
      <w:proofErr w:type="spellEnd"/>
      <w:r w:rsidR="00260405" w:rsidRPr="00AE13AD">
        <w:t xml:space="preserve">, </w:t>
      </w:r>
      <w:r w:rsidR="00CB54E3">
        <w:t>“</w:t>
      </w:r>
      <w:r w:rsidR="00932635" w:rsidRPr="008A0231">
        <w:t xml:space="preserve">Parting ways or lashing back? Withdrawals, </w:t>
      </w:r>
      <w:proofErr w:type="gramStart"/>
      <w:r w:rsidR="00932635" w:rsidRPr="008A0231">
        <w:t>backlash</w:t>
      </w:r>
      <w:proofErr w:type="gramEnd"/>
      <w:r w:rsidR="00932635" w:rsidRPr="008A0231">
        <w:t xml:space="preserve"> and the Inter-American Court of Human Rights</w:t>
      </w:r>
      <w:r w:rsidR="00CB54E3">
        <w:rPr>
          <w:rStyle w:val="Hyperlink"/>
        </w:rPr>
        <w:t>”</w:t>
      </w:r>
      <w:r w:rsidR="000F6E27">
        <w:rPr>
          <w:rStyle w:val="Hyperlink"/>
        </w:rPr>
        <w:t>,</w:t>
      </w:r>
      <w:r w:rsidR="00260405" w:rsidRPr="00AE13AD">
        <w:t xml:space="preserve"> </w:t>
      </w:r>
      <w:r w:rsidR="00260405" w:rsidRPr="00AE13AD">
        <w:rPr>
          <w:i/>
          <w:iCs/>
        </w:rPr>
        <w:t>International Journal of Law in Context</w:t>
      </w:r>
      <w:r w:rsidR="00A628AB">
        <w:t>, vol. 14, No. 2 (2018)</w:t>
      </w:r>
      <w:r w:rsidR="001A6A5D" w:rsidRPr="00AE13AD">
        <w:t>.</w:t>
      </w:r>
    </w:p>
  </w:footnote>
  <w:footnote w:id="115">
    <w:p w14:paraId="00B5D462" w14:textId="4B95B6A5" w:rsidR="00260405" w:rsidRPr="00AE13AD" w:rsidRDefault="002E0ED2" w:rsidP="00A6125D">
      <w:pPr>
        <w:pStyle w:val="FootnoteText"/>
        <w:contextualSpacing/>
      </w:pPr>
      <w:r>
        <w:tab/>
      </w:r>
      <w:r w:rsidR="00260405" w:rsidRPr="00AE13AD">
        <w:rPr>
          <w:rStyle w:val="FootnoteReference"/>
        </w:rPr>
        <w:footnoteRef/>
      </w:r>
      <w:r>
        <w:tab/>
      </w:r>
      <w:r>
        <w:tab/>
      </w:r>
      <w:r w:rsidR="00A6125D">
        <w:t xml:space="preserve">Lucy Trevelyan, </w:t>
      </w:r>
      <w:r w:rsidR="00BB495A">
        <w:t>“</w:t>
      </w:r>
      <w:r w:rsidR="00BB495A" w:rsidRPr="00BB495A">
        <w:t>Human rights: UK ministers continue to discuss drastic step of leaving ECHR</w:t>
      </w:r>
      <w:r w:rsidR="00BB495A">
        <w:t>”, International Bar Association, 11 October 2023.</w:t>
      </w:r>
      <w:hyperlink w:history="1"/>
      <w:r w:rsidR="00260405" w:rsidRPr="00AE13AD">
        <w:t xml:space="preserve"> </w:t>
      </w:r>
    </w:p>
  </w:footnote>
  <w:footnote w:id="116">
    <w:p w14:paraId="3D499C51" w14:textId="13AA8F8D" w:rsidR="00F91D9B" w:rsidRPr="00AE13AD" w:rsidRDefault="002E0ED2">
      <w:pPr>
        <w:pStyle w:val="FootnoteText"/>
      </w:pPr>
      <w:r>
        <w:tab/>
      </w:r>
      <w:r w:rsidR="00F91D9B" w:rsidRPr="00AE13AD">
        <w:rPr>
          <w:rStyle w:val="FootnoteReference"/>
        </w:rPr>
        <w:footnoteRef/>
      </w:r>
      <w:r>
        <w:tab/>
      </w:r>
      <w:r w:rsidR="00F91D9B" w:rsidRPr="00AE13AD">
        <w:t>Karen J. Alter</w:t>
      </w:r>
      <w:r w:rsidR="000E5532">
        <w:t xml:space="preserve">, James T. </w:t>
      </w:r>
      <w:proofErr w:type="spellStart"/>
      <w:r w:rsidR="000E5532">
        <w:t>Gathii</w:t>
      </w:r>
      <w:proofErr w:type="spellEnd"/>
      <w:r w:rsidR="001A6A5D" w:rsidRPr="00AE13AD">
        <w:t xml:space="preserve"> </w:t>
      </w:r>
      <w:r w:rsidR="00744C51">
        <w:t>and Laurence R. Helfer</w:t>
      </w:r>
      <w:r w:rsidR="00F91D9B" w:rsidRPr="00AE13AD">
        <w:t xml:space="preserve">, </w:t>
      </w:r>
      <w:r w:rsidR="004F1CDA">
        <w:t>“</w:t>
      </w:r>
      <w:r w:rsidR="00F91D9B" w:rsidRPr="00AE13AD">
        <w:t xml:space="preserve">Backlash against </w:t>
      </w:r>
      <w:r w:rsidR="00DB18C6">
        <w:t>i</w:t>
      </w:r>
      <w:r w:rsidR="00F91D9B" w:rsidRPr="00AE13AD">
        <w:t xml:space="preserve">nternational </w:t>
      </w:r>
      <w:r w:rsidR="00DB18C6">
        <w:t>c</w:t>
      </w:r>
      <w:r w:rsidR="00F91D9B" w:rsidRPr="00AE13AD">
        <w:t xml:space="preserve">ourts in </w:t>
      </w:r>
      <w:r w:rsidR="00DB18C6">
        <w:t>w</w:t>
      </w:r>
      <w:r w:rsidR="00F91D9B" w:rsidRPr="00AE13AD">
        <w:t xml:space="preserve">est, </w:t>
      </w:r>
      <w:r w:rsidR="00DB18C6">
        <w:t>e</w:t>
      </w:r>
      <w:r w:rsidR="00F91D9B" w:rsidRPr="00AE13AD">
        <w:t xml:space="preserve">ast and </w:t>
      </w:r>
      <w:r w:rsidR="00DB18C6">
        <w:t>s</w:t>
      </w:r>
      <w:r w:rsidR="00F91D9B" w:rsidRPr="00AE13AD">
        <w:t xml:space="preserve">outhern </w:t>
      </w:r>
      <w:proofErr w:type="gramStart"/>
      <w:r w:rsidR="00F91D9B" w:rsidRPr="00AE13AD">
        <w:t>Africa:</w:t>
      </w:r>
      <w:proofErr w:type="gramEnd"/>
      <w:r w:rsidR="00F91D9B" w:rsidRPr="00AE13AD">
        <w:t xml:space="preserve"> </w:t>
      </w:r>
      <w:r w:rsidR="00DB18C6">
        <w:t>c</w:t>
      </w:r>
      <w:r w:rsidR="00F91D9B" w:rsidRPr="00AE13AD">
        <w:t xml:space="preserve">auses and </w:t>
      </w:r>
      <w:r w:rsidR="00DB18C6">
        <w:t>c</w:t>
      </w:r>
      <w:r w:rsidR="00F91D9B" w:rsidRPr="00AE13AD">
        <w:t>onsequences</w:t>
      </w:r>
      <w:r w:rsidR="00DB18C6">
        <w:t>”</w:t>
      </w:r>
      <w:r w:rsidR="00D47492">
        <w:t>,</w:t>
      </w:r>
      <w:r w:rsidR="00F91D9B" w:rsidRPr="00AE13AD">
        <w:t xml:space="preserve"> </w:t>
      </w:r>
      <w:r w:rsidR="00F91D9B" w:rsidRPr="00AE13AD">
        <w:rPr>
          <w:i/>
          <w:iCs/>
        </w:rPr>
        <w:t>European Journal of International Law</w:t>
      </w:r>
      <w:r w:rsidR="00D47492">
        <w:t>, vol. 27</w:t>
      </w:r>
      <w:r w:rsidR="008E6016">
        <w:t>, No. 2 (2016)</w:t>
      </w:r>
      <w:r w:rsidR="00F91D9B" w:rsidRPr="00AE13AD">
        <w:t>.</w:t>
      </w:r>
    </w:p>
  </w:footnote>
  <w:footnote w:id="117">
    <w:p w14:paraId="74053D31" w14:textId="42C95C75" w:rsidR="00573D7B" w:rsidRPr="00367E56" w:rsidRDefault="002E0ED2">
      <w:pPr>
        <w:pStyle w:val="FootnoteText"/>
      </w:pPr>
      <w:r>
        <w:tab/>
      </w:r>
      <w:r w:rsidR="00573D7B" w:rsidRPr="00367E56">
        <w:rPr>
          <w:rStyle w:val="FootnoteReference"/>
        </w:rPr>
        <w:footnoteRef/>
      </w:r>
      <w:r w:rsidRPr="00367E56">
        <w:tab/>
      </w:r>
      <w:r w:rsidRPr="00367E56">
        <w:tab/>
      </w:r>
      <w:r w:rsidR="00BB1A0B">
        <w:t xml:space="preserve">Human Rights Council, resolution </w:t>
      </w:r>
      <w:r w:rsidR="00964698" w:rsidRPr="00964698">
        <w:t>51/14</w:t>
      </w:r>
      <w:r w:rsidR="00964698">
        <w:t>.</w:t>
      </w:r>
      <w:r w:rsidR="00964698" w:rsidRPr="00964698">
        <w:t xml:space="preserve"> </w:t>
      </w:r>
      <w:r w:rsidR="00573D7B" w:rsidRPr="00367E56">
        <w:t xml:space="preserve">See also </w:t>
      </w:r>
      <w:r w:rsidR="00D930EA" w:rsidRPr="00367E56">
        <w:t xml:space="preserve">General Assembly resolution </w:t>
      </w:r>
      <w:r w:rsidR="00573D7B" w:rsidRPr="00367E56">
        <w:t>67/1, para. 22</w:t>
      </w:r>
      <w:r w:rsidR="007C1139">
        <w:t xml:space="preserve">, and </w:t>
      </w:r>
      <w:r w:rsidR="00B91618" w:rsidRPr="00367E56">
        <w:t>contribution</w:t>
      </w:r>
      <w:r w:rsidR="00495717" w:rsidRPr="00367E56">
        <w:t>s</w:t>
      </w:r>
      <w:r w:rsidR="00B91618" w:rsidRPr="00367E56">
        <w:t xml:space="preserve"> by Chile</w:t>
      </w:r>
      <w:r w:rsidR="00495717" w:rsidRPr="00367E56">
        <w:t xml:space="preserve">, </w:t>
      </w:r>
      <w:r w:rsidR="00FA25D1" w:rsidRPr="00367E56">
        <w:t xml:space="preserve">El </w:t>
      </w:r>
      <w:r w:rsidR="00495717" w:rsidRPr="00367E56">
        <w:t xml:space="preserve">Hak Foundation for Freedom of Expression and Human Rights, and </w:t>
      </w:r>
      <w:proofErr w:type="spellStart"/>
      <w:r w:rsidR="00367E56" w:rsidRPr="008A0231">
        <w:t>Stichting</w:t>
      </w:r>
      <w:proofErr w:type="spellEnd"/>
      <w:r w:rsidR="00367E56" w:rsidRPr="008A0231">
        <w:t xml:space="preserve"> </w:t>
      </w:r>
      <w:r w:rsidR="00495717" w:rsidRPr="00367E56">
        <w:t>Global Human Rights Defence.</w:t>
      </w:r>
    </w:p>
  </w:footnote>
  <w:footnote w:id="118">
    <w:p w14:paraId="67E6CAF5" w14:textId="41ECC4AD" w:rsidR="00DE1B4D" w:rsidRPr="00367E56" w:rsidRDefault="002E0ED2" w:rsidP="00DE1B4D">
      <w:pPr>
        <w:pStyle w:val="FootnoteText"/>
      </w:pPr>
      <w:r w:rsidRPr="00367E56">
        <w:tab/>
      </w:r>
      <w:r w:rsidR="00DE1B4D" w:rsidRPr="00367E56">
        <w:rPr>
          <w:rStyle w:val="FootnoteReference"/>
        </w:rPr>
        <w:footnoteRef/>
      </w:r>
      <w:r w:rsidRPr="00367E56">
        <w:tab/>
      </w:r>
      <w:r w:rsidRPr="00367E56">
        <w:tab/>
      </w:r>
      <w:r w:rsidR="00AA3092" w:rsidRPr="00367E56">
        <w:t xml:space="preserve">See </w:t>
      </w:r>
      <w:r w:rsidR="004A144E" w:rsidRPr="00367E56">
        <w:t>https://www.ohchr.org/sites/default/files/documents/issues/transitionaljustice/sg-guidance-note/2023_07_guidance_note_transitional_justice_en.pdf</w:t>
      </w:r>
      <w:r w:rsidR="00DE1B4D" w:rsidRPr="00367E56">
        <w:t>, p. 1</w:t>
      </w:r>
      <w:r w:rsidR="00964698">
        <w:t>3</w:t>
      </w:r>
      <w:r w:rsidR="00DE1B4D" w:rsidRPr="00367E56">
        <w:t>.</w:t>
      </w:r>
    </w:p>
  </w:footnote>
  <w:footnote w:id="119">
    <w:p w14:paraId="36706E24" w14:textId="6B5B8183" w:rsidR="00F85F46" w:rsidRPr="00AE13AD" w:rsidRDefault="002E0ED2" w:rsidP="00F85F46">
      <w:pPr>
        <w:pStyle w:val="FootnoteText"/>
      </w:pPr>
      <w:r w:rsidRPr="00367E56">
        <w:tab/>
      </w:r>
      <w:r w:rsidR="00F85F46" w:rsidRPr="00367E56">
        <w:rPr>
          <w:rStyle w:val="FootnoteReference"/>
        </w:rPr>
        <w:footnoteRef/>
      </w:r>
      <w:r w:rsidRPr="00367E56">
        <w:tab/>
      </w:r>
      <w:r w:rsidRPr="00367E56">
        <w:tab/>
      </w:r>
      <w:r w:rsidR="00F85F46" w:rsidRPr="00367E56">
        <w:t>Ibid., p. 16</w:t>
      </w:r>
      <w:r w:rsidR="00AD7EBA" w:rsidRPr="00367E56">
        <w:t>.</w:t>
      </w:r>
    </w:p>
  </w:footnote>
  <w:footnote w:id="120">
    <w:p w14:paraId="5C19D602" w14:textId="4FDAFDD9" w:rsidR="00F85F46" w:rsidRPr="00AE13AD" w:rsidRDefault="009911AD" w:rsidP="00F85F46">
      <w:pPr>
        <w:pStyle w:val="FootnoteText"/>
      </w:pPr>
      <w:r>
        <w:tab/>
      </w:r>
      <w:r w:rsidR="00F85F46" w:rsidRPr="00AE13AD">
        <w:rPr>
          <w:rStyle w:val="FootnoteReference"/>
        </w:rPr>
        <w:footnoteRef/>
      </w:r>
      <w:r>
        <w:tab/>
      </w:r>
      <w:r>
        <w:tab/>
      </w:r>
      <w:r w:rsidR="00F85F46" w:rsidRPr="00AE13AD">
        <w:t>See e.g. I</w:t>
      </w:r>
      <w:r w:rsidR="00583566">
        <w:t xml:space="preserve">nternational </w:t>
      </w:r>
      <w:r w:rsidR="00F85F46" w:rsidRPr="00AE13AD">
        <w:t>C</w:t>
      </w:r>
      <w:r w:rsidR="00583566">
        <w:t xml:space="preserve">riminal </w:t>
      </w:r>
      <w:r w:rsidR="00F85F46" w:rsidRPr="00AE13AD">
        <w:t>C</w:t>
      </w:r>
      <w:r w:rsidR="00583566">
        <w:t>ourt</w:t>
      </w:r>
      <w:r w:rsidR="00F85F46" w:rsidRPr="00AE13AD">
        <w:t>,</w:t>
      </w:r>
      <w:r w:rsidR="00B54CFF">
        <w:t xml:space="preserve"> Appeals Chamber,</w:t>
      </w:r>
      <w:r w:rsidR="00F85F46" w:rsidRPr="00AE13AD">
        <w:t xml:space="preserve"> </w:t>
      </w:r>
      <w:r w:rsidR="00EF3117" w:rsidRPr="008A0231">
        <w:rPr>
          <w:i/>
          <w:iCs/>
        </w:rPr>
        <w:t>Prosecutor v. Al-Bashir</w:t>
      </w:r>
      <w:r w:rsidR="00F85F46" w:rsidRPr="00AE13AD">
        <w:t xml:space="preserve">, </w:t>
      </w:r>
      <w:r w:rsidR="009D442E">
        <w:t xml:space="preserve">Summary of the </w:t>
      </w:r>
      <w:r w:rsidR="00281D1F">
        <w:t xml:space="preserve">Judgment, </w:t>
      </w:r>
      <w:r w:rsidR="00F85F46" w:rsidRPr="00AE13AD">
        <w:t xml:space="preserve">6 May 2019, </w:t>
      </w:r>
      <w:r w:rsidR="00F85F46" w:rsidRPr="001518D6">
        <w:t>paras. 39</w:t>
      </w:r>
      <w:r w:rsidR="001518D6">
        <w:t xml:space="preserve"> and </w:t>
      </w:r>
      <w:r w:rsidR="00F85F46" w:rsidRPr="001518D6">
        <w:t>40</w:t>
      </w:r>
      <w:r w:rsidR="001518D6">
        <w:t xml:space="preserve">, available at </w:t>
      </w:r>
      <w:hyperlink r:id="rId37" w:history="1">
        <w:r w:rsidR="00BE1F60" w:rsidRPr="00074B43">
          <w:rPr>
            <w:rStyle w:val="Hyperlink"/>
          </w:rPr>
          <w:t>https://www.icc-cpi.int/sites/default/files/itemsDocuments/Jordan-Summary-Al-Bashir-Judgment.pdf</w:t>
        </w:r>
      </w:hyperlink>
      <w:r w:rsidR="004B2694" w:rsidRPr="00F01C81">
        <w:t>.</w:t>
      </w:r>
    </w:p>
  </w:footnote>
  <w:footnote w:id="121">
    <w:p w14:paraId="6633F100" w14:textId="461F24DF" w:rsidR="00F85F46" w:rsidRPr="00AE13AD" w:rsidRDefault="009911AD" w:rsidP="00F85F46">
      <w:pPr>
        <w:pStyle w:val="FootnoteText"/>
      </w:pPr>
      <w:r>
        <w:tab/>
      </w:r>
      <w:r w:rsidR="00F85F46" w:rsidRPr="00AE13AD">
        <w:rPr>
          <w:rStyle w:val="FootnoteReference"/>
        </w:rPr>
        <w:footnoteRef/>
      </w:r>
      <w:r>
        <w:tab/>
      </w:r>
      <w:r>
        <w:tab/>
      </w:r>
      <w:r w:rsidR="00F85F46" w:rsidRPr="00AE13AD">
        <w:t xml:space="preserve">See e.g. </w:t>
      </w:r>
      <w:r w:rsidR="00B26F75" w:rsidRPr="00B26F75">
        <w:t>https://www.icc-cpi.int/sites/default/files/CourtRecords/CR2021_01165.PDF</w:t>
      </w:r>
      <w:r w:rsidR="00B26F75">
        <w:t>;</w:t>
      </w:r>
      <w:r w:rsidR="00F85F46" w:rsidRPr="00AE13AD">
        <w:t xml:space="preserve"> and </w:t>
      </w:r>
      <w:bookmarkStart w:id="4" w:name="_Hlk175321734"/>
      <w:r w:rsidR="002732A0" w:rsidRPr="002732A0">
        <w:t>https://www.icc-cpi.int/sites/default/files/CourtRecords/CR2018_04203.PDF</w:t>
      </w:r>
      <w:r w:rsidR="00AC55C3">
        <w:t>.</w:t>
      </w:r>
      <w:bookmarkEnd w:id="4"/>
      <w:r w:rsidR="00F85F46" w:rsidRPr="00AE13AD">
        <w:t xml:space="preserve"> </w:t>
      </w:r>
    </w:p>
  </w:footnote>
  <w:footnote w:id="122">
    <w:p w14:paraId="71B18AE0" w14:textId="6D0BBE8D" w:rsidR="00F85F46" w:rsidRPr="00AE13AD" w:rsidRDefault="009911AD" w:rsidP="00F85F46">
      <w:pPr>
        <w:pStyle w:val="FootnoteText"/>
      </w:pPr>
      <w:r>
        <w:tab/>
      </w:r>
      <w:r w:rsidR="00F85F46" w:rsidRPr="00AE13AD">
        <w:rPr>
          <w:rStyle w:val="FootnoteReference"/>
        </w:rPr>
        <w:footnoteRef/>
      </w:r>
      <w:r>
        <w:tab/>
      </w:r>
      <w:r>
        <w:tab/>
      </w:r>
      <w:r w:rsidR="00431FD4">
        <w:t>“</w:t>
      </w:r>
      <w:r w:rsidR="00B47707" w:rsidRPr="008A0231">
        <w:t>Rule-of-law tools for post-conflict States: maximizing the legacy of hybrid courts</w:t>
      </w:r>
      <w:r w:rsidR="00B47707">
        <w:rPr>
          <w:rStyle w:val="Hyperlink"/>
        </w:rPr>
        <w:t>”</w:t>
      </w:r>
      <w:r w:rsidR="00F85F46" w:rsidRPr="00AE13AD">
        <w:t xml:space="preserve"> (</w:t>
      </w:r>
      <w:r w:rsidR="00B47707">
        <w:t xml:space="preserve">United Nations publication, </w:t>
      </w:r>
      <w:r w:rsidR="00F85F46" w:rsidRPr="00AE13AD">
        <w:t>2008), p. 1.</w:t>
      </w:r>
    </w:p>
  </w:footnote>
  <w:footnote w:id="123">
    <w:p w14:paraId="4329B992" w14:textId="010B2BED" w:rsidR="00F85F46" w:rsidRPr="00AE13AD" w:rsidRDefault="009911AD" w:rsidP="00F85F46">
      <w:pPr>
        <w:pStyle w:val="FootnoteText"/>
      </w:pPr>
      <w:r>
        <w:tab/>
      </w:r>
      <w:r w:rsidR="00F85F46" w:rsidRPr="00AE13AD">
        <w:rPr>
          <w:rStyle w:val="FootnoteReference"/>
        </w:rPr>
        <w:footnoteRef/>
      </w:r>
      <w:r>
        <w:tab/>
      </w:r>
      <w:r>
        <w:tab/>
      </w:r>
      <w:r w:rsidR="00F85F46" w:rsidRPr="00AE13AD">
        <w:t>E</w:t>
      </w:r>
      <w:r w:rsidR="00254E09">
        <w:t xml:space="preserve">xtraordinary </w:t>
      </w:r>
      <w:r w:rsidR="00F85F46" w:rsidRPr="00AE13AD">
        <w:t>A</w:t>
      </w:r>
      <w:r w:rsidR="00254E09">
        <w:t xml:space="preserve">frican </w:t>
      </w:r>
      <w:r w:rsidR="00F85F46" w:rsidRPr="00AE13AD">
        <w:t>C</w:t>
      </w:r>
      <w:r w:rsidR="00254E09">
        <w:t>hambers</w:t>
      </w:r>
      <w:r w:rsidR="00F85F46" w:rsidRPr="00AE13AD">
        <w:t xml:space="preserve">, </w:t>
      </w:r>
      <w:r w:rsidR="00127589" w:rsidRPr="008A0231">
        <w:rPr>
          <w:i/>
          <w:iCs/>
        </w:rPr>
        <w:t xml:space="preserve">Prosecutor v. </w:t>
      </w:r>
      <w:proofErr w:type="spellStart"/>
      <w:r w:rsidR="00127589" w:rsidRPr="008A0231">
        <w:rPr>
          <w:i/>
          <w:iCs/>
        </w:rPr>
        <w:t>Hissene</w:t>
      </w:r>
      <w:proofErr w:type="spellEnd"/>
      <w:r w:rsidR="00127589" w:rsidRPr="008A0231">
        <w:rPr>
          <w:i/>
          <w:iCs/>
        </w:rPr>
        <w:t xml:space="preserve"> Habré</w:t>
      </w:r>
      <w:r w:rsidR="00F85F46" w:rsidRPr="00AE13AD">
        <w:t xml:space="preserve">, </w:t>
      </w:r>
      <w:r w:rsidR="00127589">
        <w:t>J</w:t>
      </w:r>
      <w:r w:rsidR="00F85F46" w:rsidRPr="00AE13AD">
        <w:t>udgment</w:t>
      </w:r>
      <w:r w:rsidR="00127589">
        <w:t>,</w:t>
      </w:r>
      <w:r w:rsidR="00F85F46" w:rsidRPr="00AE13AD">
        <w:t xml:space="preserve"> 30 May 2016</w:t>
      </w:r>
      <w:r w:rsidR="000F7906">
        <w:t xml:space="preserve">, available at </w:t>
      </w:r>
      <w:hyperlink r:id="rId38" w:history="1">
        <w:r w:rsidR="00B007BB" w:rsidRPr="00074B43">
          <w:rPr>
            <w:rStyle w:val="Hyperlink"/>
          </w:rPr>
          <w:t>https://reparations.qub.ac.uk/assets/uploads/JugementCAEdAssises_PenalCivil_.pdf</w:t>
        </w:r>
      </w:hyperlink>
      <w:r w:rsidR="00B007BB">
        <w:t xml:space="preserve"> (in French)</w:t>
      </w:r>
      <w:r w:rsidR="00F85F46" w:rsidRPr="00AE13AD">
        <w:t>.</w:t>
      </w:r>
    </w:p>
  </w:footnote>
  <w:footnote w:id="124">
    <w:p w14:paraId="55D150B2" w14:textId="62C0736D" w:rsidR="004E2A33" w:rsidRPr="00AE13AD" w:rsidRDefault="009911AD">
      <w:pPr>
        <w:pStyle w:val="FootnoteText"/>
      </w:pPr>
      <w:r>
        <w:tab/>
      </w:r>
      <w:r w:rsidR="004E2A33" w:rsidRPr="00BD6E09">
        <w:rPr>
          <w:rStyle w:val="FootnoteReference"/>
        </w:rPr>
        <w:footnoteRef/>
      </w:r>
      <w:r w:rsidRPr="00BD6E09">
        <w:tab/>
      </w:r>
      <w:r w:rsidRPr="00BD6E09">
        <w:tab/>
      </w:r>
      <w:r w:rsidR="0026538E" w:rsidRPr="00BD6E09">
        <w:t xml:space="preserve">See </w:t>
      </w:r>
      <w:r w:rsidR="004A144E" w:rsidRPr="00BD6E09">
        <w:t>https://www.ohchr.org/sites/default/files/documents/issues/transitionaljustice/sg-guidance-note/2023_07_guidance_note_transitional_justice_en.pdf</w:t>
      </w:r>
      <w:r w:rsidR="004E2A33" w:rsidRPr="00BD6E09">
        <w:t>, p. 16</w:t>
      </w:r>
      <w:r w:rsidR="0026538E" w:rsidRPr="00BD6E09">
        <w:t>.</w:t>
      </w:r>
    </w:p>
  </w:footnote>
  <w:footnote w:id="125">
    <w:p w14:paraId="34CB3FD8" w14:textId="4A1AEE27" w:rsidR="00F15404" w:rsidRPr="00AE13AD" w:rsidRDefault="009911AD">
      <w:pPr>
        <w:pStyle w:val="FootnoteText"/>
      </w:pPr>
      <w:r>
        <w:tab/>
      </w:r>
      <w:r w:rsidR="00F15404" w:rsidRPr="00AE13AD">
        <w:rPr>
          <w:rStyle w:val="FootnoteReference"/>
        </w:rPr>
        <w:footnoteRef/>
      </w:r>
      <w:r>
        <w:tab/>
      </w:r>
      <w:r>
        <w:tab/>
      </w:r>
      <w:r w:rsidR="00F15404" w:rsidRPr="000D0317">
        <w:t>See paras. 46</w:t>
      </w:r>
      <w:r w:rsidR="000D0317" w:rsidRPr="0050327B">
        <w:t>,</w:t>
      </w:r>
      <w:r w:rsidR="00F15404" w:rsidRPr="000D0317">
        <w:t xml:space="preserve"> 47 and 49</w:t>
      </w:r>
      <w:r w:rsidR="00BD6E09" w:rsidRPr="00BD6E09">
        <w:t xml:space="preserve"> </w:t>
      </w:r>
      <w:r w:rsidR="00BD6E09" w:rsidRPr="000D0317">
        <w:t>below</w:t>
      </w:r>
      <w:r w:rsidR="00F15404" w:rsidRPr="00AE13AD">
        <w:t>.</w:t>
      </w:r>
    </w:p>
  </w:footnote>
  <w:footnote w:id="126">
    <w:p w14:paraId="69A3232A" w14:textId="6FA5EDF7" w:rsidR="00195CB5" w:rsidRPr="00AE13AD" w:rsidRDefault="009911AD" w:rsidP="00195CB5">
      <w:pPr>
        <w:pStyle w:val="FootnoteText"/>
      </w:pPr>
      <w:r>
        <w:tab/>
      </w:r>
      <w:r w:rsidR="00195CB5" w:rsidRPr="00AE13AD">
        <w:rPr>
          <w:rStyle w:val="FootnoteReference"/>
        </w:rPr>
        <w:footnoteRef/>
      </w:r>
      <w:r>
        <w:tab/>
      </w:r>
      <w:r>
        <w:tab/>
      </w:r>
      <w:r w:rsidR="004062B8" w:rsidRPr="00BD6E09">
        <w:t xml:space="preserve">See </w:t>
      </w:r>
      <w:r w:rsidR="004A144E" w:rsidRPr="00BD6E09">
        <w:t>https://www.ohchr.org/sites/default/files/documents/issues/transitionaljustice/sg-guidance-note/2023_07_guidance_note_transitional_justice_en.pdf</w:t>
      </w:r>
      <w:r w:rsidR="00CA1A44" w:rsidRPr="00BD6E09">
        <w:t>, p. 16.</w:t>
      </w:r>
    </w:p>
  </w:footnote>
  <w:footnote w:id="127">
    <w:p w14:paraId="120DBFD0" w14:textId="7313729C" w:rsidR="002D109D" w:rsidRPr="00AE13AD" w:rsidRDefault="009911AD">
      <w:pPr>
        <w:pStyle w:val="FootnoteText"/>
      </w:pPr>
      <w:r>
        <w:tab/>
      </w:r>
      <w:r w:rsidR="002D109D" w:rsidRPr="00AE13AD">
        <w:rPr>
          <w:rStyle w:val="FootnoteReference"/>
        </w:rPr>
        <w:footnoteRef/>
      </w:r>
      <w:r>
        <w:tab/>
      </w:r>
      <w:r>
        <w:tab/>
      </w:r>
      <w:r w:rsidR="00892F79">
        <w:t>Rome</w:t>
      </w:r>
      <w:r w:rsidR="002D109D" w:rsidRPr="00AE13AD">
        <w:t xml:space="preserve"> Statute </w:t>
      </w:r>
      <w:r w:rsidR="00892F79">
        <w:t xml:space="preserve">of the International Criminal Court, </w:t>
      </w:r>
      <w:r w:rsidR="002D109D" w:rsidRPr="00AE13AD">
        <w:t>art.</w:t>
      </w:r>
      <w:r w:rsidR="002B6B19" w:rsidRPr="00AE13AD">
        <w:t xml:space="preserve"> 17</w:t>
      </w:r>
      <w:r w:rsidR="002D109D" w:rsidRPr="00AE13AD">
        <w:t>. Several States operate with a similar requirement for the exercise of universal jurisdiction, either as a legal requirement or prosecution policy</w:t>
      </w:r>
      <w:r w:rsidR="005E692B">
        <w:t>;</w:t>
      </w:r>
      <w:r w:rsidR="002D109D" w:rsidRPr="00AE13AD">
        <w:t xml:space="preserve"> see Cedric </w:t>
      </w:r>
      <w:proofErr w:type="spellStart"/>
      <w:r w:rsidR="002D109D" w:rsidRPr="00AE13AD">
        <w:t>Ryngaert</w:t>
      </w:r>
      <w:proofErr w:type="spellEnd"/>
      <w:r w:rsidR="002D109D" w:rsidRPr="00AE13AD">
        <w:t xml:space="preserve">, </w:t>
      </w:r>
      <w:r w:rsidR="00E76D25">
        <w:t>“</w:t>
      </w:r>
      <w:r w:rsidR="00C242E8" w:rsidRPr="008A0231">
        <w:t>Subsidiarity and the law of jurisdiction</w:t>
      </w:r>
      <w:r w:rsidR="00E76D25">
        <w:rPr>
          <w:rStyle w:val="Hyperlink"/>
        </w:rPr>
        <w:t>”,</w:t>
      </w:r>
      <w:r w:rsidR="002D109D" w:rsidRPr="00AE13AD">
        <w:t xml:space="preserve"> </w:t>
      </w:r>
      <w:r w:rsidR="00E76D25">
        <w:t xml:space="preserve">24 August </w:t>
      </w:r>
      <w:r w:rsidR="002D109D" w:rsidRPr="00AE13AD">
        <w:t>2014</w:t>
      </w:r>
      <w:r w:rsidR="00E76D25">
        <w:t xml:space="preserve">, available at </w:t>
      </w:r>
      <w:r w:rsidR="005E692B" w:rsidRPr="005E692B">
        <w:t>http://dx.doi.org/10.2139/ssrn.2523327</w:t>
      </w:r>
      <w:r w:rsidR="002D109D" w:rsidRPr="00AE13AD">
        <w:t>.</w:t>
      </w:r>
    </w:p>
  </w:footnote>
  <w:footnote w:id="128">
    <w:p w14:paraId="1FD1FDAD" w14:textId="76309EB5" w:rsidR="00661847" w:rsidRPr="008A0231" w:rsidRDefault="009911AD">
      <w:pPr>
        <w:pStyle w:val="FootnoteText"/>
      </w:pPr>
      <w:r>
        <w:tab/>
      </w:r>
      <w:r w:rsidR="00661847" w:rsidRPr="00AE13AD">
        <w:rPr>
          <w:rStyle w:val="FootnoteReference"/>
        </w:rPr>
        <w:footnoteRef/>
      </w:r>
      <w:r w:rsidRPr="008A0231">
        <w:tab/>
      </w:r>
      <w:r w:rsidRPr="008A0231">
        <w:tab/>
      </w:r>
      <w:r w:rsidR="00661847" w:rsidRPr="008A0231">
        <w:t>A/HRC/48/47, para. 46.</w:t>
      </w:r>
    </w:p>
  </w:footnote>
  <w:footnote w:id="129">
    <w:p w14:paraId="6FF3AD03" w14:textId="393940DC" w:rsidR="00661847" w:rsidRPr="00AE13AD" w:rsidRDefault="009911AD">
      <w:pPr>
        <w:pStyle w:val="FootnoteText"/>
      </w:pPr>
      <w:r w:rsidRPr="008A0231">
        <w:tab/>
      </w:r>
      <w:r w:rsidR="00661847" w:rsidRPr="00AE13AD">
        <w:rPr>
          <w:rStyle w:val="FootnoteReference"/>
        </w:rPr>
        <w:footnoteRef/>
      </w:r>
      <w:r w:rsidRPr="008A0231">
        <w:tab/>
      </w:r>
      <w:r w:rsidRPr="008A0231">
        <w:tab/>
      </w:r>
      <w:r w:rsidR="00C72AD5" w:rsidRPr="008A0231">
        <w:t xml:space="preserve">See </w:t>
      </w:r>
      <w:hyperlink r:id="rId39" w:history="1">
        <w:r w:rsidR="00C72AD5" w:rsidRPr="008A0231">
          <w:rPr>
            <w:rStyle w:val="Hyperlink"/>
          </w:rPr>
          <w:t>https://www.jep.gov.co/JEP/Paginas/Jurisdiccion-Especial-para-la-Paz.aspx</w:t>
        </w:r>
      </w:hyperlink>
      <w:r w:rsidR="009A53FF" w:rsidRPr="008A0231">
        <w:t xml:space="preserve"> (in Spanish)</w:t>
      </w:r>
      <w:r w:rsidR="00F5170D" w:rsidRPr="008A0231">
        <w:t>;</w:t>
      </w:r>
      <w:r w:rsidR="00314D6E" w:rsidRPr="00AE13AD">
        <w:t xml:space="preserve"> A/HRC/52/25, paras. 30–32</w:t>
      </w:r>
      <w:r w:rsidR="00F5170D">
        <w:t>;</w:t>
      </w:r>
      <w:r w:rsidR="00B94F3D" w:rsidRPr="00AE13AD">
        <w:t xml:space="preserve"> and A/HRC/49/19</w:t>
      </w:r>
      <w:r w:rsidR="008917DA">
        <w:t>,</w:t>
      </w:r>
      <w:r w:rsidR="00B94F3D" w:rsidRPr="00AE13AD">
        <w:t xml:space="preserve"> paras. 58–60.</w:t>
      </w:r>
    </w:p>
  </w:footnote>
  <w:footnote w:id="130">
    <w:p w14:paraId="1E5D575C" w14:textId="055295B9" w:rsidR="00661847" w:rsidRPr="00AE13AD" w:rsidRDefault="009911AD" w:rsidP="00661847">
      <w:pPr>
        <w:pStyle w:val="FootnoteText"/>
      </w:pPr>
      <w:r>
        <w:tab/>
      </w:r>
      <w:r w:rsidR="00661847" w:rsidRPr="00AE13AD">
        <w:rPr>
          <w:rStyle w:val="FootnoteReference"/>
        </w:rPr>
        <w:footnoteRef/>
      </w:r>
      <w:r>
        <w:tab/>
      </w:r>
      <w:r>
        <w:tab/>
      </w:r>
      <w:r w:rsidR="00661847" w:rsidRPr="00AE13AD">
        <w:t>A/HRC/48/60, para. 45. See e.g.</w:t>
      </w:r>
      <w:r w:rsidR="00CD0BCB">
        <w:t xml:space="preserve"> </w:t>
      </w:r>
      <w:r w:rsidR="00AE4931">
        <w:t>detailed findings</w:t>
      </w:r>
      <w:r w:rsidR="0051144D">
        <w:t xml:space="preserve"> of the Commission on Human Rights in South Sudan</w:t>
      </w:r>
      <w:r w:rsidR="00661847" w:rsidRPr="00AE13AD">
        <w:t>, para. 304</w:t>
      </w:r>
      <w:r w:rsidR="00DB0E5B">
        <w:t xml:space="preserve">, available at </w:t>
      </w:r>
      <w:hyperlink r:id="rId40" w:history="1">
        <w:r w:rsidR="009158C6" w:rsidRPr="00074B43">
          <w:rPr>
            <w:rStyle w:val="Hyperlink"/>
          </w:rPr>
          <w:t>https://www.ohchr.org/sites/default/files/documents/hrbodies/hrcouncil/sessions-regular/session52/A_HRC_52_CRP.3.pdf</w:t>
        </w:r>
      </w:hyperlink>
      <w:r w:rsidR="00314D6E" w:rsidRPr="00AE13AD">
        <w:t>;</w:t>
      </w:r>
      <w:r w:rsidR="009158C6">
        <w:t xml:space="preserve"> </w:t>
      </w:r>
      <w:r w:rsidR="009158C6" w:rsidRPr="0090180E">
        <w:t>and</w:t>
      </w:r>
      <w:r w:rsidR="00314D6E" w:rsidRPr="0090180E">
        <w:t xml:space="preserve"> A/HRC/48/47, para. 49.</w:t>
      </w:r>
    </w:p>
  </w:footnote>
  <w:footnote w:id="131">
    <w:p w14:paraId="19714E10" w14:textId="09A74245" w:rsidR="00D27377" w:rsidRPr="00AE13AD" w:rsidRDefault="009911AD">
      <w:pPr>
        <w:pStyle w:val="FootnoteText"/>
      </w:pPr>
      <w:r>
        <w:tab/>
      </w:r>
      <w:r w:rsidR="00D27377" w:rsidRPr="00AE13AD">
        <w:rPr>
          <w:rStyle w:val="FootnoteReference"/>
        </w:rPr>
        <w:footnoteRef/>
      </w:r>
      <w:r>
        <w:tab/>
      </w:r>
      <w:r>
        <w:tab/>
      </w:r>
      <w:r w:rsidR="008907D1">
        <w:t>For example,</w:t>
      </w:r>
      <w:r w:rsidR="00D27377" w:rsidRPr="00AE13AD">
        <w:t xml:space="preserve"> OHCHR, </w:t>
      </w:r>
      <w:r w:rsidR="002E6937">
        <w:t>“</w:t>
      </w:r>
      <w:r w:rsidR="00D27377" w:rsidRPr="00AE13AD">
        <w:t xml:space="preserve">Report on the </w:t>
      </w:r>
      <w:r w:rsidR="002E6937">
        <w:t>h</w:t>
      </w:r>
      <w:r w:rsidR="00D27377" w:rsidRPr="00AE13AD">
        <w:t xml:space="preserve">uman </w:t>
      </w:r>
      <w:r w:rsidR="002E6937">
        <w:t>r</w:t>
      </w:r>
      <w:r w:rsidR="00D27377" w:rsidRPr="00AE13AD">
        <w:t xml:space="preserve">ights </w:t>
      </w:r>
      <w:r w:rsidR="002E6937">
        <w:t>s</w:t>
      </w:r>
      <w:r w:rsidR="00D27377" w:rsidRPr="00AE13AD">
        <w:t>ituation in Ukraine</w:t>
      </w:r>
      <w:r w:rsidR="002E6937">
        <w:t>,</w:t>
      </w:r>
      <w:r w:rsidR="00D27377" w:rsidRPr="00AE13AD">
        <w:t xml:space="preserve"> 1 March</w:t>
      </w:r>
      <w:r w:rsidR="00B40296">
        <w:t xml:space="preserve"> 2024</w:t>
      </w:r>
      <w:r w:rsidR="00D27377" w:rsidRPr="00AE13AD">
        <w:t>–31 May 2024</w:t>
      </w:r>
      <w:r w:rsidR="002E6937">
        <w:t>”</w:t>
      </w:r>
      <w:r w:rsidR="00B004B7">
        <w:t xml:space="preserve"> </w:t>
      </w:r>
      <w:r w:rsidR="00412D5B">
        <w:t>(</w:t>
      </w:r>
      <w:r w:rsidR="00B004B7">
        <w:t>3</w:t>
      </w:r>
      <w:r w:rsidR="008907D1">
        <w:t> </w:t>
      </w:r>
      <w:r w:rsidR="00B004B7">
        <w:t>July 2024</w:t>
      </w:r>
      <w:r w:rsidR="00412D5B">
        <w:t>)</w:t>
      </w:r>
      <w:r w:rsidR="00D27377" w:rsidRPr="00AE13AD">
        <w:t>, paras. 82, 97 and 98.</w:t>
      </w:r>
    </w:p>
  </w:footnote>
  <w:footnote w:id="132">
    <w:p w14:paraId="2B8E437B" w14:textId="674A643C" w:rsidR="00195CB5" w:rsidRPr="008C58C3" w:rsidRDefault="009911AD" w:rsidP="00195CB5">
      <w:pPr>
        <w:pStyle w:val="FootnoteText"/>
      </w:pPr>
      <w:r>
        <w:tab/>
      </w:r>
      <w:r w:rsidR="00195CB5" w:rsidRPr="00AE13AD">
        <w:rPr>
          <w:rStyle w:val="FootnoteReference"/>
        </w:rPr>
        <w:footnoteRef/>
      </w:r>
      <w:r>
        <w:tab/>
      </w:r>
      <w:r>
        <w:tab/>
      </w:r>
      <w:r w:rsidR="00195CB5" w:rsidRPr="008C58C3">
        <w:t>A/HRC/48/60, para. 52.</w:t>
      </w:r>
      <w:r w:rsidR="00A60809" w:rsidRPr="008C58C3">
        <w:t xml:space="preserve"> See </w:t>
      </w:r>
      <w:r w:rsidR="00484BB0" w:rsidRPr="008C58C3">
        <w:t>also</w:t>
      </w:r>
      <w:r w:rsidR="00A60809" w:rsidRPr="008C58C3">
        <w:t xml:space="preserve"> </w:t>
      </w:r>
      <w:r w:rsidR="00D27377" w:rsidRPr="008C58C3">
        <w:t>OHCHR</w:t>
      </w:r>
      <w:r w:rsidR="00244113" w:rsidRPr="008C58C3">
        <w:t>,</w:t>
      </w:r>
      <w:r w:rsidR="00D27377" w:rsidRPr="008C58C3">
        <w:t xml:space="preserve"> </w:t>
      </w:r>
      <w:r w:rsidR="00F04037" w:rsidRPr="008C58C3">
        <w:t>“</w:t>
      </w:r>
      <w:r w:rsidR="00D27377" w:rsidRPr="008C58C3">
        <w:t xml:space="preserve">Report on the </w:t>
      </w:r>
      <w:r w:rsidR="00F04037" w:rsidRPr="008C58C3">
        <w:t>h</w:t>
      </w:r>
      <w:r w:rsidR="00D27377" w:rsidRPr="008C58C3">
        <w:t xml:space="preserve">uman </w:t>
      </w:r>
      <w:r w:rsidR="00F04037" w:rsidRPr="008C58C3">
        <w:t>r</w:t>
      </w:r>
      <w:r w:rsidR="00D27377" w:rsidRPr="008C58C3">
        <w:t xml:space="preserve">ights </w:t>
      </w:r>
      <w:r w:rsidR="00F04037" w:rsidRPr="008C58C3">
        <w:t>s</w:t>
      </w:r>
      <w:r w:rsidR="00D27377" w:rsidRPr="008C58C3">
        <w:t>ituation in Ukraine</w:t>
      </w:r>
      <w:r w:rsidR="00F04037" w:rsidRPr="008C58C3">
        <w:t>,</w:t>
      </w:r>
      <w:r w:rsidR="00D27377" w:rsidRPr="008C58C3">
        <w:t xml:space="preserve"> 1 December 2023–29 February 2024</w:t>
      </w:r>
      <w:r w:rsidR="00953774" w:rsidRPr="008C58C3">
        <w:t>”</w:t>
      </w:r>
      <w:r w:rsidR="00D27377" w:rsidRPr="008C58C3">
        <w:t>,</w:t>
      </w:r>
      <w:r w:rsidR="00244113" w:rsidRPr="008C58C3">
        <w:t xml:space="preserve"> paras. 101 and 104</w:t>
      </w:r>
      <w:r w:rsidR="00D27377" w:rsidRPr="008C58C3">
        <w:t>.</w:t>
      </w:r>
    </w:p>
  </w:footnote>
  <w:footnote w:id="133">
    <w:p w14:paraId="0ECC0985" w14:textId="51BC3811" w:rsidR="00661847" w:rsidRPr="00AE13AD" w:rsidRDefault="009911AD" w:rsidP="00661847">
      <w:pPr>
        <w:pStyle w:val="FootnoteText"/>
      </w:pPr>
      <w:r w:rsidRPr="008C58C3">
        <w:tab/>
      </w:r>
      <w:r w:rsidR="00661847" w:rsidRPr="008C58C3">
        <w:rPr>
          <w:rStyle w:val="FootnoteReference"/>
        </w:rPr>
        <w:footnoteRef/>
      </w:r>
      <w:r w:rsidRPr="008C58C3">
        <w:tab/>
      </w:r>
      <w:r w:rsidRPr="008C58C3">
        <w:tab/>
      </w:r>
      <w:r w:rsidR="00661847" w:rsidRPr="008C58C3">
        <w:t>A/HRC/48/60, paras. 29–34.</w:t>
      </w:r>
    </w:p>
  </w:footnote>
  <w:footnote w:id="134">
    <w:p w14:paraId="1D0D36FE" w14:textId="5470ACF0" w:rsidR="00195CB5" w:rsidRPr="00AE13AD" w:rsidRDefault="00530A67" w:rsidP="00195CB5">
      <w:pPr>
        <w:pStyle w:val="FootnoteText"/>
      </w:pPr>
      <w:r>
        <w:tab/>
      </w:r>
      <w:r w:rsidR="00195CB5" w:rsidRPr="00AE13AD">
        <w:rPr>
          <w:rStyle w:val="FootnoteReference"/>
        </w:rPr>
        <w:footnoteRef/>
      </w:r>
      <w:r>
        <w:tab/>
      </w:r>
      <w:r>
        <w:tab/>
      </w:r>
      <w:r w:rsidR="00195CB5" w:rsidRPr="00AE13AD">
        <w:t xml:space="preserve">A 2012 survey by Amnesty International found that domestic legislation in 147 States </w:t>
      </w:r>
      <w:r w:rsidR="004439EE" w:rsidRPr="00AE13AD">
        <w:t>Member</w:t>
      </w:r>
      <w:r w:rsidR="004439EE">
        <w:t>s of the</w:t>
      </w:r>
      <w:r w:rsidR="004439EE" w:rsidRPr="00AE13AD">
        <w:t xml:space="preserve"> U</w:t>
      </w:r>
      <w:r w:rsidR="004439EE">
        <w:t xml:space="preserve">nited </w:t>
      </w:r>
      <w:r w:rsidR="004439EE" w:rsidRPr="00AE13AD">
        <w:t>N</w:t>
      </w:r>
      <w:r w:rsidR="004439EE">
        <w:t>ations</w:t>
      </w:r>
      <w:r w:rsidR="004439EE" w:rsidRPr="00AE13AD">
        <w:t xml:space="preserve"> </w:t>
      </w:r>
      <w:r w:rsidR="00195CB5" w:rsidRPr="00AE13AD">
        <w:t>allow</w:t>
      </w:r>
      <w:r w:rsidR="00D10290">
        <w:t>s</w:t>
      </w:r>
      <w:r w:rsidR="00195CB5" w:rsidRPr="00AE13AD">
        <w:t xml:space="preserve"> for the exercise of universal jurisdiction over one or more core international crimes</w:t>
      </w:r>
      <w:r w:rsidR="005C4218">
        <w:t>;</w:t>
      </w:r>
      <w:r w:rsidR="00195CB5" w:rsidRPr="00AE13AD">
        <w:t xml:space="preserve"> see </w:t>
      </w:r>
      <w:hyperlink r:id="rId41" w:history="1">
        <w:r w:rsidR="00011D56" w:rsidRPr="00AE13AD">
          <w:rPr>
            <w:rStyle w:val="Hyperlink"/>
          </w:rPr>
          <w:t>https://www.amnesty.org/en/documents/ior53/019/2012/en/</w:t>
        </w:r>
      </w:hyperlink>
      <w:r w:rsidR="00195CB5" w:rsidRPr="00AE13AD">
        <w:t>, p. 2.</w:t>
      </w:r>
    </w:p>
  </w:footnote>
  <w:footnote w:id="135">
    <w:p w14:paraId="1F037250" w14:textId="2CEB62C6" w:rsidR="00195CB5" w:rsidRPr="00AE13AD" w:rsidRDefault="00530A67" w:rsidP="00195CB5">
      <w:pPr>
        <w:pStyle w:val="FootnoteText"/>
      </w:pPr>
      <w:r>
        <w:tab/>
      </w:r>
      <w:r w:rsidR="00195CB5" w:rsidRPr="00AE13AD">
        <w:rPr>
          <w:rStyle w:val="FootnoteReference"/>
        </w:rPr>
        <w:footnoteRef/>
      </w:r>
      <w:r>
        <w:tab/>
      </w:r>
      <w:r>
        <w:tab/>
      </w:r>
      <w:r w:rsidR="0061668B">
        <w:t xml:space="preserve">See </w:t>
      </w:r>
      <w:hyperlink r:id="rId42" w:history="1">
        <w:r w:rsidR="00FE10B3" w:rsidRPr="00FE10B3">
          <w:rPr>
            <w:rStyle w:val="Hyperlink"/>
          </w:rPr>
          <w:t>https://trialinternational.org/wp-content/uploads/2024/04/UJAR-2024_digital.pdf</w:t>
        </w:r>
      </w:hyperlink>
      <w:r w:rsidR="00195CB5" w:rsidRPr="00AE13AD">
        <w:t>, p. 11.</w:t>
      </w:r>
    </w:p>
  </w:footnote>
  <w:footnote w:id="136">
    <w:p w14:paraId="624517D7" w14:textId="7BE6B4D1" w:rsidR="00195CB5" w:rsidRPr="00AE13AD" w:rsidRDefault="00530A67" w:rsidP="00195CB5">
      <w:pPr>
        <w:pStyle w:val="FootnoteText"/>
      </w:pPr>
      <w:r>
        <w:tab/>
      </w:r>
      <w:r w:rsidR="00195CB5" w:rsidRPr="00AE13AD">
        <w:rPr>
          <w:rStyle w:val="FootnoteReference"/>
        </w:rPr>
        <w:footnoteRef/>
      </w:r>
      <w:r>
        <w:tab/>
      </w:r>
      <w:r>
        <w:tab/>
      </w:r>
      <w:r w:rsidR="00195CB5" w:rsidRPr="00AE13AD">
        <w:t>Ibid.</w:t>
      </w:r>
    </w:p>
  </w:footnote>
  <w:footnote w:id="137">
    <w:p w14:paraId="4510881B" w14:textId="01A74636" w:rsidR="00163858" w:rsidRPr="00AE13AD" w:rsidRDefault="00530A67" w:rsidP="00163858">
      <w:pPr>
        <w:pStyle w:val="FootnoteText"/>
      </w:pPr>
      <w:r>
        <w:tab/>
      </w:r>
      <w:r w:rsidR="00163858" w:rsidRPr="00AE13AD">
        <w:rPr>
          <w:rStyle w:val="FootnoteReference"/>
        </w:rPr>
        <w:footnoteRef/>
      </w:r>
      <w:r>
        <w:tab/>
      </w:r>
      <w:r>
        <w:tab/>
      </w:r>
      <w:r w:rsidR="00163858" w:rsidRPr="00AE13AD">
        <w:t>For an overview</w:t>
      </w:r>
      <w:r w:rsidR="00FE10B3">
        <w:t>, see</w:t>
      </w:r>
      <w:r w:rsidR="00163858" w:rsidRPr="00AE13AD">
        <w:t xml:space="preserve"> </w:t>
      </w:r>
      <w:hyperlink r:id="rId43" w:history="1">
        <w:r w:rsidR="00163858" w:rsidRPr="00AE13AD">
          <w:rPr>
            <w:rStyle w:val="Hyperlink"/>
          </w:rPr>
          <w:t>https://trialinternational.org/universal-jurisdiction-tools/universal-jurisdiction-law-and-practice-briefing-papers/</w:t>
        </w:r>
      </w:hyperlink>
      <w:r w:rsidR="00BB08FB">
        <w:rPr>
          <w:rStyle w:val="Hyperlink"/>
        </w:rPr>
        <w:t>.</w:t>
      </w:r>
    </w:p>
  </w:footnote>
  <w:footnote w:id="138">
    <w:p w14:paraId="2F796F85" w14:textId="40546443" w:rsidR="00E0655F" w:rsidRPr="00AE13AD" w:rsidRDefault="00530A67">
      <w:pPr>
        <w:pStyle w:val="FootnoteText"/>
      </w:pPr>
      <w:r>
        <w:tab/>
      </w:r>
      <w:r w:rsidR="00E0655F" w:rsidRPr="00AE13AD">
        <w:rPr>
          <w:rStyle w:val="FootnoteReference"/>
        </w:rPr>
        <w:footnoteRef/>
      </w:r>
      <w:r>
        <w:tab/>
      </w:r>
      <w:r>
        <w:tab/>
      </w:r>
      <w:r w:rsidR="007A541C" w:rsidRPr="00D3450A">
        <w:t xml:space="preserve">See Code </w:t>
      </w:r>
      <w:r w:rsidR="00737387" w:rsidRPr="00D3450A">
        <w:t>of Criminal Procedure</w:t>
      </w:r>
      <w:r w:rsidR="00A343A0" w:rsidRPr="00D3450A">
        <w:t>,</w:t>
      </w:r>
      <w:r w:rsidR="007A541C" w:rsidRPr="00D3450A">
        <w:t xml:space="preserve"> art</w:t>
      </w:r>
      <w:r w:rsidR="00A343A0" w:rsidRPr="00D3450A">
        <w:t>.</w:t>
      </w:r>
      <w:r w:rsidR="007A541C" w:rsidRPr="00D3450A">
        <w:t xml:space="preserve"> 689-11; </w:t>
      </w:r>
      <w:r w:rsidR="003122E4" w:rsidRPr="00D3450A">
        <w:t>and</w:t>
      </w:r>
      <w:r w:rsidR="003122E4">
        <w:t xml:space="preserve"> </w:t>
      </w:r>
      <w:r w:rsidR="004F78B9" w:rsidRPr="00AE13AD">
        <w:t xml:space="preserve">Cour de Cassation, </w:t>
      </w:r>
      <w:r w:rsidR="006F2B33">
        <w:t>“</w:t>
      </w:r>
      <w:hyperlink r:id="rId44" w:history="1">
        <w:r w:rsidR="004F78B9" w:rsidRPr="00AE13AD">
          <w:rPr>
            <w:rStyle w:val="Hyperlink"/>
          </w:rPr>
          <w:t xml:space="preserve">Press release: </w:t>
        </w:r>
        <w:r w:rsidR="00D93439">
          <w:rPr>
            <w:rStyle w:val="Hyperlink"/>
          </w:rPr>
          <w:t>u</w:t>
        </w:r>
        <w:r w:rsidR="004F78B9" w:rsidRPr="00AE13AD">
          <w:rPr>
            <w:rStyle w:val="Hyperlink"/>
          </w:rPr>
          <w:t>niversal jurisdiction of French justice for crimes committed in Syria</w:t>
        </w:r>
      </w:hyperlink>
      <w:r w:rsidR="00D93439">
        <w:rPr>
          <w:rStyle w:val="Hyperlink"/>
        </w:rPr>
        <w:t>”,</w:t>
      </w:r>
      <w:r w:rsidR="004F78B9" w:rsidRPr="00AE13AD">
        <w:t xml:space="preserve"> 12</w:t>
      </w:r>
      <w:r w:rsidR="00D93439">
        <w:t xml:space="preserve"> </w:t>
      </w:r>
      <w:r w:rsidR="00734073">
        <w:t xml:space="preserve">May </w:t>
      </w:r>
      <w:r w:rsidR="004F78B9" w:rsidRPr="00AE13AD">
        <w:t>2023</w:t>
      </w:r>
      <w:r w:rsidR="00E0655F" w:rsidRPr="00AE13AD">
        <w:t>.</w:t>
      </w:r>
    </w:p>
  </w:footnote>
  <w:footnote w:id="139">
    <w:p w14:paraId="56789D70" w14:textId="009735DC" w:rsidR="00D33D54" w:rsidRPr="00AE13AD" w:rsidRDefault="00530A67">
      <w:pPr>
        <w:pStyle w:val="FootnoteText"/>
      </w:pPr>
      <w:r>
        <w:tab/>
      </w:r>
      <w:r w:rsidR="00D33D54" w:rsidRPr="00AE13AD">
        <w:rPr>
          <w:rStyle w:val="FootnoteReference"/>
        </w:rPr>
        <w:footnoteRef/>
      </w:r>
      <w:r>
        <w:tab/>
      </w:r>
      <w:r>
        <w:tab/>
      </w:r>
      <w:r w:rsidR="00BB5290">
        <w:t xml:space="preserve">See </w:t>
      </w:r>
      <w:hyperlink r:id="rId45" w:history="1">
        <w:r w:rsidR="00BB5290" w:rsidRPr="00BB5290">
          <w:rPr>
            <w:rStyle w:val="Hyperlink"/>
          </w:rPr>
          <w:t>https://trialinternational.org/wp-content/uploads/2024/04/UJAR-2024_digital.pdf</w:t>
        </w:r>
      </w:hyperlink>
      <w:r w:rsidR="00C6619C" w:rsidRPr="00AE13AD">
        <w:t>.</w:t>
      </w:r>
    </w:p>
  </w:footnote>
  <w:footnote w:id="140">
    <w:p w14:paraId="3B6EA4BE" w14:textId="64E8C218" w:rsidR="007A541C" w:rsidRPr="00AE13AD" w:rsidRDefault="00530A67">
      <w:pPr>
        <w:pStyle w:val="FootnoteText"/>
      </w:pPr>
      <w:r>
        <w:tab/>
      </w:r>
      <w:r w:rsidR="007A541C" w:rsidRPr="00AE13AD">
        <w:rPr>
          <w:rStyle w:val="FootnoteReference"/>
        </w:rPr>
        <w:footnoteRef/>
      </w:r>
      <w:r>
        <w:tab/>
      </w:r>
      <w:r>
        <w:tab/>
      </w:r>
      <w:r w:rsidR="00BD567D">
        <w:t xml:space="preserve">See </w:t>
      </w:r>
      <w:hyperlink r:id="rId46" w:history="1">
        <w:r w:rsidR="00BD567D" w:rsidRPr="00BD567D">
          <w:rPr>
            <w:rStyle w:val="Hyperlink"/>
          </w:rPr>
          <w:t>https://iiim.un.org/what-we-do/</w:t>
        </w:r>
      </w:hyperlink>
      <w:r w:rsidR="007A541C" w:rsidRPr="00AE13AD">
        <w:t xml:space="preserve">; Miriam </w:t>
      </w:r>
      <w:proofErr w:type="spellStart"/>
      <w:r w:rsidR="007A541C" w:rsidRPr="00AE13AD">
        <w:t>Ingeson</w:t>
      </w:r>
      <w:proofErr w:type="spellEnd"/>
      <w:r w:rsidR="007A541C" w:rsidRPr="00AE13AD">
        <w:t xml:space="preserve">, </w:t>
      </w:r>
      <w:r w:rsidR="00DE3D01">
        <w:t>“</w:t>
      </w:r>
      <w:r w:rsidR="007A541C" w:rsidRPr="00AE13AD">
        <w:t xml:space="preserve">Structural </w:t>
      </w:r>
      <w:r w:rsidR="00DE3D01">
        <w:t>c</w:t>
      </w:r>
      <w:r w:rsidR="007A541C" w:rsidRPr="00AE13AD">
        <w:t xml:space="preserve">riminal </w:t>
      </w:r>
      <w:r w:rsidR="00DE3D01">
        <w:t>i</w:t>
      </w:r>
      <w:r w:rsidR="007A541C" w:rsidRPr="00AE13AD">
        <w:t xml:space="preserve">nvestigations in Sweden – </w:t>
      </w:r>
      <w:r w:rsidR="00993738">
        <w:t>r</w:t>
      </w:r>
      <w:r w:rsidR="007A541C" w:rsidRPr="00AE13AD">
        <w:t xml:space="preserve">einventing </w:t>
      </w:r>
      <w:r w:rsidR="00993738">
        <w:t>i</w:t>
      </w:r>
      <w:r w:rsidR="007A541C" w:rsidRPr="00AE13AD">
        <w:t xml:space="preserve">nvestigations of </w:t>
      </w:r>
      <w:r w:rsidR="00993738">
        <w:t>i</w:t>
      </w:r>
      <w:r w:rsidR="007A541C" w:rsidRPr="00AE13AD">
        <w:t xml:space="preserve">nternational </w:t>
      </w:r>
      <w:r w:rsidR="00993738">
        <w:t>c</w:t>
      </w:r>
      <w:r w:rsidR="007A541C" w:rsidRPr="00AE13AD">
        <w:t>rimes</w:t>
      </w:r>
      <w:r w:rsidR="00993738">
        <w:t>”,</w:t>
      </w:r>
      <w:r w:rsidR="007A541C" w:rsidRPr="00AE13AD">
        <w:t xml:space="preserve"> </w:t>
      </w:r>
      <w:r w:rsidR="007A541C" w:rsidRPr="008A0231">
        <w:rPr>
          <w:i/>
          <w:iCs/>
        </w:rPr>
        <w:t>Scandinavian Studies in Law</w:t>
      </w:r>
      <w:r w:rsidR="00001AA5">
        <w:t>, vol. 66 (2020)</w:t>
      </w:r>
      <w:r w:rsidR="0039350B" w:rsidRPr="00AE13AD">
        <w:t xml:space="preserve">; </w:t>
      </w:r>
      <w:r w:rsidR="00837A7C">
        <w:t xml:space="preserve">and </w:t>
      </w:r>
      <w:hyperlink r:id="rId47" w:history="1">
        <w:r w:rsidR="0031445E" w:rsidRPr="0031445E">
          <w:rPr>
            <w:rStyle w:val="Hyperlink"/>
          </w:rPr>
          <w:t>https://trialinternational.org/wp-content/uploads/2023/11/UJAR-2023_13112023_updated.pdf</w:t>
        </w:r>
      </w:hyperlink>
      <w:r w:rsidR="0039350B" w:rsidRPr="00AE13AD">
        <w:t>, p. 10.</w:t>
      </w:r>
    </w:p>
  </w:footnote>
  <w:footnote w:id="141">
    <w:p w14:paraId="32C6678A" w14:textId="506AF22E" w:rsidR="007C1080" w:rsidRPr="00AE13AD" w:rsidRDefault="00530A67">
      <w:pPr>
        <w:pStyle w:val="FootnoteText"/>
      </w:pPr>
      <w:r>
        <w:tab/>
      </w:r>
      <w:r w:rsidR="007C1080" w:rsidRPr="00AE13AD">
        <w:rPr>
          <w:rStyle w:val="FootnoteReference"/>
        </w:rPr>
        <w:footnoteRef/>
      </w:r>
      <w:r>
        <w:tab/>
      </w:r>
      <w:r>
        <w:tab/>
      </w:r>
      <w:r w:rsidR="0031445E">
        <w:t xml:space="preserve">See </w:t>
      </w:r>
      <w:hyperlink r:id="rId48" w:history="1">
        <w:r w:rsidR="001E27DA" w:rsidRPr="001E27DA">
          <w:rPr>
            <w:rStyle w:val="Hyperlink"/>
          </w:rPr>
          <w:t>https://trialinternational.org/wp-content/uploads/2023/11/UJAR-2023_13112023_updated.pdf</w:t>
        </w:r>
      </w:hyperlink>
      <w:r w:rsidR="00B86DEF" w:rsidRPr="00AE13AD">
        <w:t>, p.</w:t>
      </w:r>
      <w:r w:rsidR="00FD4B2B">
        <w:t> </w:t>
      </w:r>
      <w:r w:rsidR="00B86DEF" w:rsidRPr="00AE13AD">
        <w:t>10.</w:t>
      </w:r>
    </w:p>
  </w:footnote>
  <w:footnote w:id="142">
    <w:p w14:paraId="599A1077" w14:textId="31D99D63" w:rsidR="00195CB5" w:rsidRPr="00AE13AD" w:rsidRDefault="00530A67" w:rsidP="00195CB5">
      <w:pPr>
        <w:pStyle w:val="FootnoteText"/>
      </w:pPr>
      <w:r>
        <w:tab/>
      </w:r>
      <w:r w:rsidR="00195CB5" w:rsidRPr="00AE13AD">
        <w:rPr>
          <w:rStyle w:val="FootnoteReference"/>
        </w:rPr>
        <w:footnoteRef/>
      </w:r>
      <w:r>
        <w:tab/>
      </w:r>
      <w:r>
        <w:tab/>
      </w:r>
      <w:r w:rsidR="005469FF">
        <w:t xml:space="preserve">See </w:t>
      </w:r>
      <w:hyperlink r:id="rId49" w:history="1">
        <w:r w:rsidR="005469FF" w:rsidRPr="005469FF">
          <w:rPr>
            <w:rStyle w:val="Hyperlink"/>
          </w:rPr>
          <w:t>https://www.ibanet.org/IBA-War-Crimes-Committee-shines-a-light-on-corporate-liability-cases</w:t>
        </w:r>
      </w:hyperlink>
      <w:r w:rsidR="001B69F3" w:rsidRPr="00AE13AD">
        <w:rPr>
          <w:rStyle w:val="Hyperlink"/>
        </w:rPr>
        <w:t>.</w:t>
      </w:r>
    </w:p>
  </w:footnote>
  <w:footnote w:id="143">
    <w:p w14:paraId="38931A27" w14:textId="643D9C40" w:rsidR="0019074E" w:rsidRPr="00AE13AD" w:rsidRDefault="00530A67">
      <w:pPr>
        <w:pStyle w:val="FootnoteText"/>
      </w:pPr>
      <w:r>
        <w:tab/>
      </w:r>
      <w:r w:rsidR="0019074E" w:rsidRPr="00AE13AD">
        <w:rPr>
          <w:rStyle w:val="FootnoteReference"/>
        </w:rPr>
        <w:footnoteRef/>
      </w:r>
      <w:r>
        <w:tab/>
      </w:r>
      <w:r>
        <w:tab/>
      </w:r>
      <w:r w:rsidR="005439BD">
        <w:t xml:space="preserve">See </w:t>
      </w:r>
      <w:r w:rsidR="0019074E" w:rsidRPr="00AE13AD">
        <w:t>https://crd.org/tag/trial-reports-lundin/page/3/.</w:t>
      </w:r>
    </w:p>
  </w:footnote>
  <w:footnote w:id="144">
    <w:p w14:paraId="1EC92590" w14:textId="5DEC42FF" w:rsidR="0019074E" w:rsidRPr="00AE13AD" w:rsidRDefault="00530A67">
      <w:pPr>
        <w:pStyle w:val="FootnoteText"/>
      </w:pPr>
      <w:r>
        <w:tab/>
      </w:r>
      <w:r w:rsidR="0019074E" w:rsidRPr="00AE13AD">
        <w:rPr>
          <w:rStyle w:val="FootnoteReference"/>
        </w:rPr>
        <w:footnoteRef/>
      </w:r>
      <w:r>
        <w:tab/>
      </w:r>
      <w:r>
        <w:tab/>
      </w:r>
      <w:r w:rsidR="0061700A">
        <w:t xml:space="preserve">See </w:t>
      </w:r>
      <w:r w:rsidR="0019074E" w:rsidRPr="00AE13AD">
        <w:t>https://www.ecchr.eu/en/case/lafarge-in-syria-accusations-of-complicity-in-grave-human-rights-violations/.</w:t>
      </w:r>
    </w:p>
  </w:footnote>
  <w:footnote w:id="145">
    <w:p w14:paraId="374DD8F5" w14:textId="125300E8" w:rsidR="00D263C6" w:rsidRPr="00AE13AD" w:rsidRDefault="00530A67">
      <w:pPr>
        <w:pStyle w:val="FootnoteText"/>
      </w:pPr>
      <w:r>
        <w:tab/>
      </w:r>
      <w:r w:rsidR="00D263C6" w:rsidRPr="00AE13AD">
        <w:rPr>
          <w:rStyle w:val="FootnoteReference"/>
        </w:rPr>
        <w:footnoteRef/>
      </w:r>
      <w:r>
        <w:tab/>
      </w:r>
      <w:r>
        <w:tab/>
      </w:r>
      <w:r w:rsidR="003C311D">
        <w:t xml:space="preserve">See </w:t>
      </w:r>
      <w:r w:rsidR="00D263C6" w:rsidRPr="00AE13AD">
        <w:t>https://me.eui.eu/dieneke-de-vos/blog/corporate-accountability-dutch-court-convicts-former-timber-baron-of-war-crimes-in-liberia/.</w:t>
      </w:r>
    </w:p>
  </w:footnote>
  <w:footnote w:id="146">
    <w:p w14:paraId="0E964CE0" w14:textId="77E80024" w:rsidR="00163858" w:rsidRPr="00AE13AD" w:rsidRDefault="00530A67" w:rsidP="00163858">
      <w:pPr>
        <w:pStyle w:val="FootnoteText"/>
      </w:pPr>
      <w:r>
        <w:tab/>
      </w:r>
      <w:r w:rsidR="00163858" w:rsidRPr="00AE13AD">
        <w:rPr>
          <w:rStyle w:val="FootnoteReference"/>
        </w:rPr>
        <w:footnoteRef/>
      </w:r>
      <w:r>
        <w:tab/>
      </w:r>
      <w:r>
        <w:tab/>
      </w:r>
      <w:r w:rsidR="009B5ACB" w:rsidRPr="009B5ACB">
        <w:t>European network for investigation and prosecution of genocide, crimes against humanity and war crimes</w:t>
      </w:r>
      <w:r w:rsidR="00163858" w:rsidRPr="00AE13AD">
        <w:t xml:space="preserve"> and </w:t>
      </w:r>
      <w:r w:rsidR="0063360F" w:rsidRPr="0063360F">
        <w:t>European Union Agency for Criminal Justice Cooperatio</w:t>
      </w:r>
      <w:r w:rsidR="0063360F">
        <w:t>n</w:t>
      </w:r>
      <w:r w:rsidR="00163858" w:rsidRPr="00AE13AD">
        <w:t xml:space="preserve">, </w:t>
      </w:r>
      <w:r w:rsidR="00F34501">
        <w:t>“</w:t>
      </w:r>
      <w:r w:rsidR="00F34501" w:rsidRPr="008A0231">
        <w:t xml:space="preserve">Cumulative </w:t>
      </w:r>
      <w:r w:rsidR="00F34501">
        <w:t>p</w:t>
      </w:r>
      <w:r w:rsidR="00F34501" w:rsidRPr="008A0231">
        <w:t xml:space="preserve">rosecution of </w:t>
      </w:r>
      <w:r w:rsidR="00F34501">
        <w:t>f</w:t>
      </w:r>
      <w:r w:rsidR="00F34501" w:rsidRPr="008A0231">
        <w:t xml:space="preserve">oreign </w:t>
      </w:r>
      <w:r w:rsidR="00F34501">
        <w:t>t</w:t>
      </w:r>
      <w:r w:rsidR="00F34501" w:rsidRPr="008A0231">
        <w:t xml:space="preserve">errorist </w:t>
      </w:r>
      <w:r w:rsidR="00F34501">
        <w:t>f</w:t>
      </w:r>
      <w:r w:rsidR="00F34501" w:rsidRPr="008A0231">
        <w:t xml:space="preserve">ighters for </w:t>
      </w:r>
      <w:r w:rsidR="00514902">
        <w:t>c</w:t>
      </w:r>
      <w:r w:rsidR="00F34501" w:rsidRPr="008A0231">
        <w:t xml:space="preserve">ore </w:t>
      </w:r>
      <w:r w:rsidR="00514902">
        <w:t>i</w:t>
      </w:r>
      <w:r w:rsidR="00F34501" w:rsidRPr="008A0231">
        <w:t xml:space="preserve">nternational </w:t>
      </w:r>
      <w:r w:rsidR="00514902">
        <w:t>c</w:t>
      </w:r>
      <w:r w:rsidR="00F34501" w:rsidRPr="008A0231">
        <w:t xml:space="preserve">rimes and </w:t>
      </w:r>
      <w:r w:rsidR="00514902">
        <w:t>t</w:t>
      </w:r>
      <w:r w:rsidR="00F34501" w:rsidRPr="008A0231">
        <w:t>errorism-</w:t>
      </w:r>
      <w:r w:rsidR="00514902">
        <w:t>r</w:t>
      </w:r>
      <w:r w:rsidR="00F34501" w:rsidRPr="008A0231">
        <w:t xml:space="preserve">elated </w:t>
      </w:r>
      <w:r w:rsidR="00514902">
        <w:t>o</w:t>
      </w:r>
      <w:r w:rsidR="00F34501" w:rsidRPr="008A0231">
        <w:t>ffences</w:t>
      </w:r>
      <w:r w:rsidR="00514902">
        <w:t>”</w:t>
      </w:r>
      <w:r w:rsidR="00163858" w:rsidRPr="00AE13AD">
        <w:t xml:space="preserve"> (</w:t>
      </w:r>
      <w:r w:rsidR="00025716">
        <w:t xml:space="preserve">The Hague, </w:t>
      </w:r>
      <w:r w:rsidR="00163858" w:rsidRPr="00AE13AD">
        <w:t>2020).</w:t>
      </w:r>
    </w:p>
  </w:footnote>
  <w:footnote w:id="147">
    <w:p w14:paraId="46C74BEF" w14:textId="1B7D80C4" w:rsidR="00195CB5" w:rsidRPr="00AE13AD" w:rsidRDefault="0020618F" w:rsidP="00195CB5">
      <w:pPr>
        <w:pStyle w:val="FootnoteText"/>
      </w:pPr>
      <w:r>
        <w:tab/>
      </w:r>
      <w:r w:rsidR="00195CB5" w:rsidRPr="00AE13AD">
        <w:rPr>
          <w:rStyle w:val="FootnoteReference"/>
        </w:rPr>
        <w:footnoteRef/>
      </w:r>
      <w:r>
        <w:tab/>
      </w:r>
      <w:r>
        <w:tab/>
      </w:r>
      <w:r w:rsidR="00EA355C">
        <w:t xml:space="preserve">See </w:t>
      </w:r>
      <w:hyperlink r:id="rId50" w:history="1">
        <w:r w:rsidR="00EA355C" w:rsidRPr="00EA355C">
          <w:rPr>
            <w:rStyle w:val="Hyperlink"/>
          </w:rPr>
          <w:t>https://international-review.icrc.org/articles/better-a-war-criminal-or-a-terrorist-a-comparative-study-916</w:t>
        </w:r>
      </w:hyperlink>
      <w:r w:rsidR="00195CB5" w:rsidRPr="00AE13AD">
        <w:t>;</w:t>
      </w:r>
      <w:r w:rsidR="001774BE">
        <w:t xml:space="preserve"> and</w:t>
      </w:r>
      <w:r w:rsidR="00195CB5" w:rsidRPr="00AE13AD">
        <w:t xml:space="preserve"> </w:t>
      </w:r>
      <w:hyperlink r:id="rId51" w:history="1">
        <w:r w:rsidR="00195CB5" w:rsidRPr="00AE13AD">
          <w:rPr>
            <w:rStyle w:val="Hyperlink"/>
          </w:rPr>
          <w:t>https://international-review.icrc.org/sites/default/files/reviews-pdf/2022-02/foreign-fighters-and-the-tension-between-counterterrorism-and-ihl-916.pdf</w:t>
        </w:r>
      </w:hyperlink>
      <w:r w:rsidR="00142370">
        <w:t>.</w:t>
      </w:r>
    </w:p>
  </w:footnote>
  <w:footnote w:id="148">
    <w:p w14:paraId="257E04E7" w14:textId="38C19886" w:rsidR="00E6721E" w:rsidRPr="00AE13AD" w:rsidRDefault="0020618F" w:rsidP="00E6721E">
      <w:pPr>
        <w:pStyle w:val="FootnoteText"/>
      </w:pPr>
      <w:r>
        <w:tab/>
      </w:r>
      <w:r w:rsidR="00E6721E" w:rsidRPr="00AE13AD">
        <w:rPr>
          <w:rStyle w:val="FootnoteReference"/>
        </w:rPr>
        <w:footnoteRef/>
      </w:r>
      <w:r>
        <w:tab/>
      </w:r>
      <w:r>
        <w:tab/>
      </w:r>
      <w:r w:rsidR="001335ED">
        <w:t xml:space="preserve">See </w:t>
      </w:r>
      <w:hyperlink r:id="rId52" w:history="1">
        <w:r w:rsidR="001335ED" w:rsidRPr="001335ED">
          <w:rPr>
            <w:rStyle w:val="Hyperlink"/>
          </w:rPr>
          <w:t>https://trialinternational.org/wp-content/uploads/2024/04/UJAR-2024_digital.pdf</w:t>
        </w:r>
      </w:hyperlink>
      <w:r w:rsidR="00E6721E" w:rsidRPr="00AE13AD">
        <w:t>, p. 13.</w:t>
      </w:r>
    </w:p>
  </w:footnote>
  <w:footnote w:id="149">
    <w:p w14:paraId="6E8EE7B5" w14:textId="50F0DE48" w:rsidR="00E6721E" w:rsidRPr="00AE13AD" w:rsidRDefault="0020618F" w:rsidP="00E6721E">
      <w:pPr>
        <w:pStyle w:val="FootnoteText"/>
      </w:pPr>
      <w:r>
        <w:tab/>
      </w:r>
      <w:r w:rsidR="00E6721E" w:rsidRPr="00AE13AD">
        <w:rPr>
          <w:rStyle w:val="FootnoteReference"/>
        </w:rPr>
        <w:footnoteRef/>
      </w:r>
      <w:r>
        <w:tab/>
      </w:r>
      <w:r>
        <w:tab/>
      </w:r>
      <w:r w:rsidR="00880C71">
        <w:t xml:space="preserve">See </w:t>
      </w:r>
      <w:hyperlink r:id="rId53" w:history="1">
        <w:r w:rsidR="00880C71" w:rsidRPr="00880C71">
          <w:rPr>
            <w:rStyle w:val="Hyperlink"/>
          </w:rPr>
          <w:t>https://www.ecchr.eu/fileadmin/Fachartikel/ECCHR_PP_SYRIA_EN_F2.pdf</w:t>
        </w:r>
      </w:hyperlink>
      <w:r w:rsidR="00E6721E" w:rsidRPr="00AE13AD">
        <w:t>, p. 8.</w:t>
      </w:r>
    </w:p>
  </w:footnote>
  <w:footnote w:id="150">
    <w:p w14:paraId="7B5C0A21" w14:textId="641942E7" w:rsidR="00E6721E" w:rsidRPr="00AE13AD" w:rsidRDefault="0020618F" w:rsidP="00E6721E">
      <w:pPr>
        <w:pStyle w:val="FootnoteText"/>
      </w:pPr>
      <w:r>
        <w:tab/>
      </w:r>
      <w:r w:rsidR="00E6721E" w:rsidRPr="00AE13AD">
        <w:rPr>
          <w:rStyle w:val="FootnoteReference"/>
        </w:rPr>
        <w:footnoteRef/>
      </w:r>
      <w:r>
        <w:tab/>
      </w:r>
      <w:r>
        <w:tab/>
      </w:r>
      <w:r w:rsidR="00624911">
        <w:t xml:space="preserve">See </w:t>
      </w:r>
      <w:hyperlink r:id="rId54" w:history="1">
        <w:r w:rsidR="00624911" w:rsidRPr="00624911">
          <w:rPr>
            <w:rStyle w:val="Hyperlink"/>
          </w:rPr>
          <w:t>https://trialinternational.org/countries-post/democratic-republic-of-the-congo/</w:t>
        </w:r>
      </w:hyperlink>
      <w:r w:rsidR="00E6721E" w:rsidRPr="00AE13AD">
        <w:t xml:space="preserve">; </w:t>
      </w:r>
      <w:r w:rsidR="00624911">
        <w:t xml:space="preserve">and </w:t>
      </w:r>
      <w:r w:rsidR="00E6721E" w:rsidRPr="00AE13AD">
        <w:t>https://trialinternational.org/latest-post/trial-delivers-its-first-regional-training-session-for-african-great-lakes-lawyers/.</w:t>
      </w:r>
    </w:p>
  </w:footnote>
  <w:footnote w:id="151">
    <w:p w14:paraId="14FD8C1A" w14:textId="301AB1C1" w:rsidR="00E6721E" w:rsidRPr="00AE13AD" w:rsidRDefault="0020618F" w:rsidP="00E6721E">
      <w:pPr>
        <w:pStyle w:val="FootnoteText"/>
      </w:pPr>
      <w:r>
        <w:tab/>
      </w:r>
      <w:r w:rsidR="00E6721E" w:rsidRPr="00AE13AD">
        <w:rPr>
          <w:rStyle w:val="FootnoteReference"/>
        </w:rPr>
        <w:footnoteRef/>
      </w:r>
      <w:r>
        <w:tab/>
      </w:r>
      <w:r>
        <w:tab/>
      </w:r>
      <w:r w:rsidR="00E6721E" w:rsidRPr="00AE13AD">
        <w:t>Rome Statute</w:t>
      </w:r>
      <w:r w:rsidR="000F0341">
        <w:t xml:space="preserve"> of the International Criminal Court</w:t>
      </w:r>
      <w:r w:rsidR="00A91568">
        <w:t>, art. 15</w:t>
      </w:r>
      <w:r w:rsidR="00E6721E" w:rsidRPr="00AE13AD">
        <w:t xml:space="preserve">. See e.g. </w:t>
      </w:r>
      <w:r w:rsidR="00D30825" w:rsidRPr="00E04A33">
        <w:t>https://academic.oup.com/jicj/advance-article/doi/10.1093/jicj/mqae009/7679314</w:t>
      </w:r>
      <w:r w:rsidR="00E6721E" w:rsidRPr="007B6B79">
        <w:t>.</w:t>
      </w:r>
    </w:p>
  </w:footnote>
  <w:footnote w:id="152">
    <w:p w14:paraId="5DF47B83" w14:textId="0B21FC07" w:rsidR="00E6721E" w:rsidRPr="00AE13AD" w:rsidRDefault="0020618F" w:rsidP="00E6721E">
      <w:pPr>
        <w:pStyle w:val="FootnoteText"/>
      </w:pPr>
      <w:r>
        <w:tab/>
      </w:r>
      <w:r w:rsidR="00E6721E" w:rsidRPr="00AE13AD">
        <w:rPr>
          <w:rStyle w:val="FootnoteReference"/>
        </w:rPr>
        <w:footnoteRef/>
      </w:r>
      <w:r>
        <w:tab/>
      </w:r>
      <w:r>
        <w:tab/>
      </w:r>
      <w:r w:rsidR="005D5C94">
        <w:t xml:space="preserve">See </w:t>
      </w:r>
      <w:hyperlink r:id="rId55" w:history="1">
        <w:r w:rsidR="005D5C94" w:rsidRPr="005D5C94">
          <w:rPr>
            <w:rStyle w:val="Hyperlink"/>
          </w:rPr>
          <w:t>https://www.ecchr.eu/en/case/made-in-europe-bombed-in-yemen/</w:t>
        </w:r>
      </w:hyperlink>
      <w:r w:rsidR="00E6721E" w:rsidRPr="00AE13AD">
        <w:t xml:space="preserve">; </w:t>
      </w:r>
      <w:r w:rsidR="005D5C94">
        <w:t xml:space="preserve">and </w:t>
      </w:r>
      <w:r w:rsidR="00E6721E" w:rsidRPr="00AE13AD">
        <w:t>https://www.icc-cpi.int/sites/default/files/CourtRecords/CR2019_06992.PDF</w:t>
      </w:r>
      <w:r w:rsidR="00142370">
        <w:t>.</w:t>
      </w:r>
    </w:p>
  </w:footnote>
  <w:footnote w:id="153">
    <w:p w14:paraId="07334808" w14:textId="5374FFE8" w:rsidR="00E6721E" w:rsidRPr="00AE13AD" w:rsidRDefault="0020618F" w:rsidP="00E6721E">
      <w:pPr>
        <w:pStyle w:val="FootnoteText"/>
      </w:pPr>
      <w:r>
        <w:tab/>
      </w:r>
      <w:r w:rsidR="00E6721E" w:rsidRPr="00AE13AD">
        <w:rPr>
          <w:rStyle w:val="FootnoteReference"/>
        </w:rPr>
        <w:footnoteRef/>
      </w:r>
      <w:r>
        <w:tab/>
      </w:r>
      <w:r>
        <w:tab/>
      </w:r>
      <w:r w:rsidR="00E6721E" w:rsidRPr="00AE13AD">
        <w:t>Rome Statute</w:t>
      </w:r>
      <w:r w:rsidR="00293EF5">
        <w:t xml:space="preserve"> of the International Criminal Court, art. 75</w:t>
      </w:r>
      <w:r w:rsidR="00E6721E" w:rsidRPr="00AE13AD">
        <w:t>.</w:t>
      </w:r>
    </w:p>
  </w:footnote>
  <w:footnote w:id="154">
    <w:p w14:paraId="43471AC5" w14:textId="1CD85507" w:rsidR="0063458B" w:rsidRPr="00AE13AD" w:rsidRDefault="0020618F" w:rsidP="0063458B">
      <w:pPr>
        <w:pStyle w:val="FootnoteText"/>
      </w:pPr>
      <w:r>
        <w:tab/>
      </w:r>
      <w:r w:rsidR="0063458B" w:rsidRPr="00AE13AD">
        <w:rPr>
          <w:rStyle w:val="FootnoteReference"/>
        </w:rPr>
        <w:footnoteRef/>
      </w:r>
      <w:r>
        <w:tab/>
      </w:r>
      <w:r>
        <w:tab/>
      </w:r>
      <w:r w:rsidR="0063458B" w:rsidRPr="00AE13AD">
        <w:t xml:space="preserve">See e.g. </w:t>
      </w:r>
      <w:r w:rsidR="00F3648B" w:rsidRPr="00AE13AD">
        <w:t xml:space="preserve">OHCHR, </w:t>
      </w:r>
      <w:r w:rsidR="008562AC" w:rsidRPr="008A0231">
        <w:rPr>
          <w:i/>
          <w:iCs/>
        </w:rPr>
        <w:t>Commissions of Inquiry and Fact-Finding Missions on International Human Rights and Humanitarian Law: Guidance and Practice</w:t>
      </w:r>
      <w:r w:rsidR="00F3648B" w:rsidRPr="00AE13AD">
        <w:t xml:space="preserve"> (2015), p. 2; </w:t>
      </w:r>
      <w:r w:rsidR="00F9217F">
        <w:t xml:space="preserve">and </w:t>
      </w:r>
      <w:r w:rsidR="0063458B" w:rsidRPr="00AE13AD">
        <w:t xml:space="preserve">Federica </w:t>
      </w:r>
      <w:proofErr w:type="spellStart"/>
      <w:r w:rsidR="0063458B" w:rsidRPr="00AE13AD">
        <w:t>D’Alessandra</w:t>
      </w:r>
      <w:proofErr w:type="spellEnd"/>
      <w:r w:rsidR="0063458B" w:rsidRPr="00AE13AD">
        <w:t xml:space="preserve"> </w:t>
      </w:r>
      <w:r w:rsidR="00E719FE">
        <w:t>and others</w:t>
      </w:r>
      <w:r w:rsidR="0063458B" w:rsidRPr="00AE13AD">
        <w:t xml:space="preserve">, </w:t>
      </w:r>
      <w:r w:rsidR="00A42442" w:rsidRPr="008A0231">
        <w:rPr>
          <w:i/>
          <w:iCs/>
        </w:rPr>
        <w:t>Anchoring Accountability for Mass Atrocities: The Permanent Support Needed to Fulfil UN Investigative Mandates</w:t>
      </w:r>
      <w:r w:rsidR="0063458B" w:rsidRPr="00AE13AD">
        <w:t xml:space="preserve"> (Oxford </w:t>
      </w:r>
      <w:r w:rsidR="00A42442">
        <w:t>Ins</w:t>
      </w:r>
      <w:r w:rsidR="00015172">
        <w:t>t</w:t>
      </w:r>
      <w:r w:rsidR="00A42442">
        <w:t>itute for Ethics, Law</w:t>
      </w:r>
      <w:r w:rsidR="00777F94">
        <w:t>,</w:t>
      </w:r>
      <w:r w:rsidR="00A42442">
        <w:t xml:space="preserve"> and Armed Conflict</w:t>
      </w:r>
      <w:r w:rsidR="00015172">
        <w:t>, 2022</w:t>
      </w:r>
      <w:r w:rsidR="0063458B" w:rsidRPr="00AE13AD">
        <w:t>), p</w:t>
      </w:r>
      <w:r w:rsidR="00D50546" w:rsidRPr="00AE13AD">
        <w:t>p</w:t>
      </w:r>
      <w:r w:rsidR="0063458B" w:rsidRPr="00AE13AD">
        <w:t>. 14</w:t>
      </w:r>
      <w:r w:rsidR="00D50546" w:rsidRPr="00AE13AD">
        <w:t xml:space="preserve"> and 17.</w:t>
      </w:r>
    </w:p>
  </w:footnote>
  <w:footnote w:id="155">
    <w:p w14:paraId="10260BF6" w14:textId="43FE5B1B" w:rsidR="00015A90" w:rsidRPr="00AE13AD" w:rsidRDefault="0020618F" w:rsidP="00015A90">
      <w:pPr>
        <w:pStyle w:val="FootnoteText"/>
      </w:pPr>
      <w:r>
        <w:tab/>
      </w:r>
      <w:r w:rsidR="00015A90" w:rsidRPr="00AE13AD">
        <w:rPr>
          <w:rStyle w:val="FootnoteReference"/>
        </w:rPr>
        <w:footnoteRef/>
      </w:r>
      <w:r>
        <w:tab/>
      </w:r>
      <w:r>
        <w:tab/>
      </w:r>
      <w:r w:rsidR="00E53017" w:rsidRPr="00AE13AD">
        <w:t xml:space="preserve">See e.g. </w:t>
      </w:r>
      <w:r w:rsidR="00015A90" w:rsidRPr="00AE13AD">
        <w:t>S/2022/434, para. 112</w:t>
      </w:r>
      <w:r w:rsidR="005D7DE5" w:rsidRPr="00AE13AD">
        <w:t>;</w:t>
      </w:r>
      <w:r w:rsidR="004742F7" w:rsidRPr="00AE13AD">
        <w:t xml:space="preserve"> Andrea </w:t>
      </w:r>
      <w:proofErr w:type="spellStart"/>
      <w:r w:rsidR="004742F7" w:rsidRPr="00AE13AD">
        <w:t>Furger</w:t>
      </w:r>
      <w:proofErr w:type="spellEnd"/>
      <w:r w:rsidR="004742F7" w:rsidRPr="00AE13AD">
        <w:t xml:space="preserve">, </w:t>
      </w:r>
      <w:r w:rsidR="00787F4C">
        <w:t>“</w:t>
      </w:r>
      <w:r w:rsidR="004742F7" w:rsidRPr="00AE13AD">
        <w:t xml:space="preserve">Can they deliver? </w:t>
      </w:r>
      <w:r w:rsidR="00787F4C" w:rsidRPr="008A0231">
        <w:t>The practice of joint investigation teams (JITS) in core international crimes investigations</w:t>
      </w:r>
      <w:r w:rsidR="00483F34">
        <w:t>”,</w:t>
      </w:r>
      <w:r w:rsidR="004742F7" w:rsidRPr="00AE13AD">
        <w:t xml:space="preserve"> </w:t>
      </w:r>
      <w:r w:rsidR="004742F7" w:rsidRPr="00AE13AD">
        <w:rPr>
          <w:i/>
          <w:iCs/>
        </w:rPr>
        <w:t>Journal of International Criminal Justice</w:t>
      </w:r>
      <w:r w:rsidR="00787F4C">
        <w:t>, vol. 22, No. 1 (2024)</w:t>
      </w:r>
      <w:r w:rsidR="004742F7" w:rsidRPr="00AE13AD">
        <w:t xml:space="preserve">; Federica </w:t>
      </w:r>
      <w:proofErr w:type="spellStart"/>
      <w:r w:rsidR="004742F7" w:rsidRPr="00AE13AD">
        <w:t>D’Alessandra</w:t>
      </w:r>
      <w:proofErr w:type="spellEnd"/>
      <w:r w:rsidR="004742F7" w:rsidRPr="00AE13AD">
        <w:t xml:space="preserve">, </w:t>
      </w:r>
      <w:r w:rsidR="008C335E">
        <w:t>“</w:t>
      </w:r>
      <w:r w:rsidR="005D7DE5" w:rsidRPr="00AE13AD">
        <w:t xml:space="preserve">UN </w:t>
      </w:r>
      <w:r w:rsidR="00F20F93">
        <w:t>a</w:t>
      </w:r>
      <w:r w:rsidR="005D7DE5" w:rsidRPr="00AE13AD">
        <w:t xml:space="preserve">ccountability </w:t>
      </w:r>
      <w:r w:rsidR="00F20F93">
        <w:t>m</w:t>
      </w:r>
      <w:r w:rsidR="005D7DE5" w:rsidRPr="00AE13AD">
        <w:t xml:space="preserve">andates in </w:t>
      </w:r>
      <w:r w:rsidR="00F20F93">
        <w:t>i</w:t>
      </w:r>
      <w:r w:rsidR="005D7DE5" w:rsidRPr="00AE13AD">
        <w:t xml:space="preserve">nternational </w:t>
      </w:r>
      <w:r w:rsidR="00F20F93">
        <w:t>j</w:t>
      </w:r>
      <w:r w:rsidR="005D7DE5" w:rsidRPr="00AE13AD">
        <w:t>ustice</w:t>
      </w:r>
      <w:r w:rsidR="005E597B">
        <w:t>”</w:t>
      </w:r>
      <w:r w:rsidR="00F20F93">
        <w:t>,</w:t>
      </w:r>
      <w:r w:rsidR="005D7DE5" w:rsidRPr="00AE13AD">
        <w:t xml:space="preserve"> </w:t>
      </w:r>
      <w:r w:rsidR="0003448B" w:rsidRPr="008A0231">
        <w:t>Journal of International Criminal Justice</w:t>
      </w:r>
      <w:r w:rsidR="0022086B">
        <w:t>, vol. 21, No. 3 (2023)</w:t>
      </w:r>
      <w:r w:rsidR="005D7DE5" w:rsidRPr="00AE13AD">
        <w:t xml:space="preserve">; </w:t>
      </w:r>
      <w:r w:rsidR="009249F7">
        <w:t xml:space="preserve">and </w:t>
      </w:r>
      <w:hyperlink r:id="rId56" w:history="1">
        <w:r w:rsidR="001947CE" w:rsidRPr="001947CE">
          <w:rPr>
            <w:rStyle w:val="Hyperlink"/>
          </w:rPr>
          <w:t>https://iiim.un.org/what-we-do/</w:t>
        </w:r>
      </w:hyperlink>
      <w:r w:rsidR="005D7DE5" w:rsidRPr="00AE13AD">
        <w:t>.</w:t>
      </w:r>
    </w:p>
  </w:footnote>
  <w:footnote w:id="156">
    <w:p w14:paraId="483938A8" w14:textId="0FF9ED88" w:rsidR="00FF7443" w:rsidRPr="00AE13AD" w:rsidRDefault="008E3125" w:rsidP="00FF7443">
      <w:pPr>
        <w:pStyle w:val="FootnoteText"/>
      </w:pPr>
      <w:r>
        <w:tab/>
      </w:r>
      <w:r w:rsidR="00FF7443" w:rsidRPr="00AE13AD">
        <w:rPr>
          <w:rStyle w:val="FootnoteReference"/>
        </w:rPr>
        <w:footnoteRef/>
      </w:r>
      <w:r>
        <w:tab/>
      </w:r>
      <w:r>
        <w:tab/>
      </w:r>
      <w:r w:rsidR="00A61FEA">
        <w:t xml:space="preserve">See </w:t>
      </w:r>
      <w:hyperlink r:id="rId57" w:history="1">
        <w:r w:rsidR="001C6F6A" w:rsidRPr="001C6F6A">
          <w:rPr>
            <w:rStyle w:val="Hyperlink"/>
          </w:rPr>
          <w:t>https://iiim.un.org/wp-content/uploads/2024/01/Bulletin-ENG-December-2023-Vjan23.pdf</w:t>
        </w:r>
      </w:hyperlink>
      <w:r w:rsidR="007C611C">
        <w:t>.</w:t>
      </w:r>
    </w:p>
  </w:footnote>
  <w:footnote w:id="157">
    <w:p w14:paraId="7DBF21B1" w14:textId="54AED180" w:rsidR="00FF7443" w:rsidRPr="00AE13AD" w:rsidRDefault="008E3125">
      <w:pPr>
        <w:pStyle w:val="FootnoteText"/>
      </w:pPr>
      <w:r>
        <w:tab/>
      </w:r>
      <w:r w:rsidR="00FF7443" w:rsidRPr="00AE13AD">
        <w:rPr>
          <w:rStyle w:val="FootnoteReference"/>
        </w:rPr>
        <w:footnoteRef/>
      </w:r>
      <w:r>
        <w:tab/>
      </w:r>
      <w:r>
        <w:tab/>
      </w:r>
      <w:r w:rsidR="006260E1">
        <w:t xml:space="preserve">See </w:t>
      </w:r>
      <w:hyperlink r:id="rId58" w:history="1">
        <w:r w:rsidR="00653C51" w:rsidRPr="00653C51">
          <w:rPr>
            <w:rStyle w:val="Hyperlink"/>
          </w:rPr>
          <w:t>https://iimm.un.org/wp-content/uploads/2024/06/2024-June-Bulletin-EN.pdf</w:t>
        </w:r>
      </w:hyperlink>
      <w:r w:rsidR="00FF7443" w:rsidRPr="00AE13AD">
        <w:t xml:space="preserve">; </w:t>
      </w:r>
      <w:r w:rsidR="00913E1B">
        <w:t xml:space="preserve">and </w:t>
      </w:r>
      <w:r w:rsidR="00FF7443" w:rsidRPr="00AE13AD">
        <w:t>https://iimm.un.org/wp-content/uploads/2023/06/June_IIMM_Bulletin_English.pdf.</w:t>
      </w:r>
    </w:p>
  </w:footnote>
  <w:footnote w:id="158">
    <w:p w14:paraId="5548E838" w14:textId="4BC0FEDE" w:rsidR="001C35F2" w:rsidRPr="00AE13AD" w:rsidRDefault="008E3125" w:rsidP="00DC704A">
      <w:pPr>
        <w:pStyle w:val="FootnoteText"/>
      </w:pPr>
      <w:r>
        <w:tab/>
      </w:r>
      <w:r w:rsidR="001C35F2" w:rsidRPr="00AE13AD">
        <w:rPr>
          <w:rStyle w:val="FootnoteReference"/>
        </w:rPr>
        <w:footnoteRef/>
      </w:r>
      <w:r>
        <w:tab/>
      </w:r>
      <w:r>
        <w:tab/>
      </w:r>
      <w:r w:rsidR="00DC704A" w:rsidRPr="00AE13AD">
        <w:t>C</w:t>
      </w:r>
      <w:r w:rsidR="00B2368A">
        <w:t>.E.M.</w:t>
      </w:r>
      <w:r w:rsidR="00DC704A" w:rsidRPr="00AE13AD">
        <w:t xml:space="preserve"> </w:t>
      </w:r>
      <w:r w:rsidR="001C35F2" w:rsidRPr="00AE13AD">
        <w:t>Harwood</w:t>
      </w:r>
      <w:r w:rsidR="00DC704A" w:rsidRPr="00AE13AD">
        <w:t>,</w:t>
      </w:r>
      <w:r w:rsidR="001C35F2" w:rsidRPr="00AE13AD">
        <w:t xml:space="preserve"> </w:t>
      </w:r>
      <w:r w:rsidR="003D4D65">
        <w:t>“</w:t>
      </w:r>
      <w:r w:rsidR="003D4D65" w:rsidRPr="008A0231">
        <w:t xml:space="preserve">Navigating between principle and pragmatism: the roles and functions of atrocity-related United Nations </w:t>
      </w:r>
      <w:r w:rsidR="003E4329">
        <w:t>c</w:t>
      </w:r>
      <w:r w:rsidR="003D4D65" w:rsidRPr="008A0231">
        <w:t xml:space="preserve">ommissions of </w:t>
      </w:r>
      <w:r w:rsidR="003E4329">
        <w:t>i</w:t>
      </w:r>
      <w:r w:rsidR="003D4D65" w:rsidRPr="008A0231">
        <w:t>nquiry in the international legal order</w:t>
      </w:r>
      <w:r w:rsidR="003D4D65">
        <w:t>”</w:t>
      </w:r>
      <w:r w:rsidR="00D37B2A">
        <w:t>, PhD dissertation,</w:t>
      </w:r>
      <w:r w:rsidR="00DC704A" w:rsidRPr="00AE13AD">
        <w:t xml:space="preserve"> </w:t>
      </w:r>
      <w:r w:rsidR="00D37B2A">
        <w:t xml:space="preserve">Leiden University, </w:t>
      </w:r>
      <w:r w:rsidR="00DC704A" w:rsidRPr="00AE13AD">
        <w:t>7 November 2018</w:t>
      </w:r>
      <w:r w:rsidR="001C35F2" w:rsidRPr="00AE13AD">
        <w:t xml:space="preserve">, pp. 217 </w:t>
      </w:r>
      <w:r w:rsidR="00A0241F">
        <w:t>and</w:t>
      </w:r>
      <w:r w:rsidR="001C35F2" w:rsidRPr="00AE13AD">
        <w:t xml:space="preserve"> 218</w:t>
      </w:r>
      <w:r w:rsidR="00D04F9B">
        <w:t xml:space="preserve">, available at </w:t>
      </w:r>
      <w:r w:rsidR="00D04F9B" w:rsidRPr="00D04F9B">
        <w:t>https://hdl.handle.net/1887/66791</w:t>
      </w:r>
      <w:r w:rsidR="001C35F2" w:rsidRPr="00AE13AD">
        <w:t>.</w:t>
      </w:r>
    </w:p>
  </w:footnote>
  <w:footnote w:id="159">
    <w:p w14:paraId="6344F826" w14:textId="097E5357" w:rsidR="00343517" w:rsidRPr="00AE13AD" w:rsidRDefault="008E3125" w:rsidP="00512ED4">
      <w:pPr>
        <w:pStyle w:val="FootnoteText"/>
      </w:pPr>
      <w:r>
        <w:tab/>
      </w:r>
      <w:r w:rsidR="00343517" w:rsidRPr="00AE13AD">
        <w:rPr>
          <w:rStyle w:val="FootnoteReference"/>
        </w:rPr>
        <w:footnoteRef/>
      </w:r>
      <w:r>
        <w:tab/>
      </w:r>
      <w:r>
        <w:tab/>
      </w:r>
      <w:r w:rsidR="00343517" w:rsidRPr="00AE13AD">
        <w:t xml:space="preserve">See e.g. </w:t>
      </w:r>
      <w:proofErr w:type="spellStart"/>
      <w:r w:rsidR="00343517" w:rsidRPr="00AE13AD">
        <w:t>D’Alessandra</w:t>
      </w:r>
      <w:proofErr w:type="spellEnd"/>
      <w:r w:rsidR="00343517" w:rsidRPr="00AE13AD">
        <w:t xml:space="preserve"> </w:t>
      </w:r>
      <w:r w:rsidR="00EA442C">
        <w:t>and others</w:t>
      </w:r>
      <w:r w:rsidR="00343517" w:rsidRPr="00AE13AD">
        <w:t xml:space="preserve">, </w:t>
      </w:r>
      <w:r w:rsidR="00512ED4" w:rsidRPr="00512ED4">
        <w:rPr>
          <w:i/>
          <w:iCs/>
        </w:rPr>
        <w:t>Anchoring Accountability for Mass Atrocities</w:t>
      </w:r>
      <w:r w:rsidR="003A31A6" w:rsidRPr="00AE13AD">
        <w:t>, p.</w:t>
      </w:r>
      <w:r w:rsidR="00343517" w:rsidRPr="00AE13AD">
        <w:t xml:space="preserve"> 23</w:t>
      </w:r>
      <w:r w:rsidR="00490B07">
        <w:t>;</w:t>
      </w:r>
      <w:r w:rsidR="00343517" w:rsidRPr="00AE13AD">
        <w:t xml:space="preserve"> </w:t>
      </w:r>
      <w:r w:rsidR="00490B07">
        <w:t>and</w:t>
      </w:r>
      <w:r w:rsidR="00343517" w:rsidRPr="00AE13AD">
        <w:t xml:space="preserve"> https://iiim.un.org/wp-content/uploads/2022/01/IIIM-Bulletin-01-%E2%80%93-Nov-2018.pdf.</w:t>
      </w:r>
    </w:p>
  </w:footnote>
  <w:footnote w:id="160">
    <w:p w14:paraId="2AE7D7D1" w14:textId="4E4FE907" w:rsidR="00E250EE" w:rsidRPr="008A0231" w:rsidRDefault="008E3125">
      <w:pPr>
        <w:pStyle w:val="FootnoteText"/>
      </w:pPr>
      <w:r>
        <w:tab/>
      </w:r>
      <w:r w:rsidR="00FF7443" w:rsidRPr="00AE13AD">
        <w:rPr>
          <w:rStyle w:val="FootnoteReference"/>
        </w:rPr>
        <w:footnoteRef/>
      </w:r>
      <w:r w:rsidRPr="008A0231">
        <w:tab/>
      </w:r>
      <w:r w:rsidRPr="008A0231">
        <w:tab/>
      </w:r>
      <w:r w:rsidR="00FF7443" w:rsidRPr="008A0231">
        <w:t>A/HRC/41/31</w:t>
      </w:r>
      <w:r w:rsidR="005B363C" w:rsidRPr="008A0231">
        <w:t>, para</w:t>
      </w:r>
      <w:r w:rsidR="00F9015B" w:rsidRPr="008A0231">
        <w:t>.</w:t>
      </w:r>
      <w:r w:rsidR="005B363C" w:rsidRPr="008A0231">
        <w:t xml:space="preserve"> 80.</w:t>
      </w:r>
    </w:p>
  </w:footnote>
  <w:footnote w:id="161">
    <w:p w14:paraId="14623F1A" w14:textId="2F6AF30E" w:rsidR="00447D74" w:rsidRPr="008A0231" w:rsidRDefault="008E3125" w:rsidP="00447D74">
      <w:pPr>
        <w:pStyle w:val="FootnoteText"/>
      </w:pPr>
      <w:r w:rsidRPr="008A0231">
        <w:tab/>
      </w:r>
      <w:r w:rsidR="00447D74" w:rsidRPr="00AE13AD">
        <w:rPr>
          <w:rStyle w:val="FootnoteReference"/>
        </w:rPr>
        <w:footnoteRef/>
      </w:r>
      <w:r w:rsidRPr="008A0231">
        <w:tab/>
      </w:r>
      <w:r w:rsidRPr="008A0231">
        <w:tab/>
      </w:r>
      <w:r w:rsidR="009B47A2" w:rsidRPr="008A0231">
        <w:t xml:space="preserve">See the </w:t>
      </w:r>
      <w:r w:rsidR="00BC6F98" w:rsidRPr="008A0231">
        <w:t>detailed findings of the Commission</w:t>
      </w:r>
      <w:r w:rsidR="00D6327E">
        <w:t xml:space="preserve"> </w:t>
      </w:r>
      <w:r w:rsidR="00D6327E" w:rsidRPr="00D6327E">
        <w:t>on Human Rights in South Sudan</w:t>
      </w:r>
      <w:r w:rsidR="00D6327E" w:rsidRPr="008A0231">
        <w:t>.</w:t>
      </w:r>
    </w:p>
  </w:footnote>
  <w:footnote w:id="162">
    <w:p w14:paraId="35C6E51D" w14:textId="2B83D708" w:rsidR="008C553F" w:rsidRPr="00AE13AD" w:rsidRDefault="008E3125">
      <w:pPr>
        <w:pStyle w:val="FootnoteText"/>
      </w:pPr>
      <w:r w:rsidRPr="008A0231">
        <w:tab/>
      </w:r>
      <w:r w:rsidR="008C553F" w:rsidRPr="00AE13AD">
        <w:rPr>
          <w:rStyle w:val="FootnoteReference"/>
        </w:rPr>
        <w:footnoteRef/>
      </w:r>
      <w:r>
        <w:tab/>
      </w:r>
      <w:r>
        <w:tab/>
      </w:r>
      <w:r w:rsidR="008C553F" w:rsidRPr="00AE13AD">
        <w:t xml:space="preserve">See e.g. </w:t>
      </w:r>
      <w:r w:rsidR="00562CA1">
        <w:t xml:space="preserve">A/76/168, </w:t>
      </w:r>
      <w:r w:rsidR="00562CA1" w:rsidRPr="00AE13AD">
        <w:t>A/HRC/41/36</w:t>
      </w:r>
      <w:r w:rsidR="00562CA1" w:rsidRPr="00776A73">
        <w:t xml:space="preserve">, </w:t>
      </w:r>
      <w:r w:rsidR="008C553F" w:rsidRPr="00776A73">
        <w:t>A/HRC/48/60</w:t>
      </w:r>
      <w:r w:rsidR="00C53A70" w:rsidRPr="00776A73">
        <w:t xml:space="preserve"> and</w:t>
      </w:r>
      <w:r w:rsidR="008C553F" w:rsidRPr="00AE13AD">
        <w:t xml:space="preserve"> A/HRC/55/52/Add.1.</w:t>
      </w:r>
    </w:p>
  </w:footnote>
  <w:footnote w:id="163">
    <w:p w14:paraId="12C557D4" w14:textId="72737704" w:rsidR="003F11DA" w:rsidRPr="008A0231" w:rsidRDefault="008E3125">
      <w:pPr>
        <w:pStyle w:val="FootnoteText"/>
      </w:pPr>
      <w:r>
        <w:tab/>
      </w:r>
      <w:r w:rsidR="003F11DA" w:rsidRPr="00AE13AD">
        <w:rPr>
          <w:rStyle w:val="FootnoteReference"/>
        </w:rPr>
        <w:footnoteRef/>
      </w:r>
      <w:r>
        <w:tab/>
      </w:r>
      <w:r>
        <w:tab/>
      </w:r>
      <w:r w:rsidR="003F11DA" w:rsidRPr="00AE13AD">
        <w:t>See e.g. https://www.icc-cpi.int/sites/default/files/2024-04/2024-comp-policy-eng.pdf; https://www.icc-cpi.int/sites/default/files/2024-05/2024-05-14-otp-unsc-report-libya-eng.pdf, paras.</w:t>
      </w:r>
      <w:r w:rsidR="00776A73">
        <w:t> </w:t>
      </w:r>
      <w:r w:rsidR="003F11DA" w:rsidRPr="00AE13AD">
        <w:t xml:space="preserve">27 </w:t>
      </w:r>
      <w:r w:rsidR="006A1819">
        <w:t>and</w:t>
      </w:r>
      <w:r w:rsidR="003F11DA" w:rsidRPr="00AE13AD">
        <w:t xml:space="preserve"> 28</w:t>
      </w:r>
      <w:r w:rsidRPr="00AE13AD">
        <w:t>;</w:t>
      </w:r>
      <w:r w:rsidR="006A1819">
        <w:t xml:space="preserve"> and</w:t>
      </w:r>
      <w:r>
        <w:t xml:space="preserve"> </w:t>
      </w:r>
      <w:r w:rsidR="003F11DA" w:rsidRPr="00AE13AD">
        <w:t>Office of the Prosecutor</w:t>
      </w:r>
      <w:r w:rsidR="003B620F">
        <w:t xml:space="preserve"> of the International Criminal Court</w:t>
      </w:r>
      <w:r w:rsidR="003F11DA" w:rsidRPr="00AE13AD">
        <w:t xml:space="preserve">, </w:t>
      </w:r>
      <w:r w:rsidR="003B620F">
        <w:t>“</w:t>
      </w:r>
      <w:r w:rsidR="003F11DA" w:rsidRPr="00AE13AD">
        <w:t xml:space="preserve">Report on the </w:t>
      </w:r>
      <w:r w:rsidR="003B620F">
        <w:t>s</w:t>
      </w:r>
      <w:r w:rsidR="003F11DA" w:rsidRPr="00AE13AD">
        <w:t>ituation in Colombia</w:t>
      </w:r>
      <w:r w:rsidR="003B620F">
        <w:t>”</w:t>
      </w:r>
      <w:r w:rsidR="003F11DA" w:rsidRPr="00AE13AD">
        <w:t xml:space="preserve">, 30 November 2023, paras. </w:t>
      </w:r>
      <w:r w:rsidR="003F11DA" w:rsidRPr="008A0231">
        <w:t>9–19.</w:t>
      </w:r>
    </w:p>
  </w:footnote>
  <w:footnote w:id="164">
    <w:p w14:paraId="64B10B5F" w14:textId="57637DF6" w:rsidR="003F11DA" w:rsidRPr="008A0231" w:rsidRDefault="008D1711">
      <w:pPr>
        <w:pStyle w:val="FootnoteText"/>
      </w:pPr>
      <w:r w:rsidRPr="008A0231">
        <w:tab/>
      </w:r>
      <w:r w:rsidR="003F11DA" w:rsidRPr="00AE13AD">
        <w:rPr>
          <w:rStyle w:val="FootnoteReference"/>
        </w:rPr>
        <w:footnoteRef/>
      </w:r>
      <w:r w:rsidRPr="008A0231">
        <w:tab/>
      </w:r>
      <w:r w:rsidRPr="008A0231">
        <w:tab/>
      </w:r>
      <w:r w:rsidR="003F11DA" w:rsidRPr="008A0231">
        <w:t>A/HRC/48/60, para. 80.</w:t>
      </w:r>
    </w:p>
  </w:footnote>
  <w:footnote w:id="165">
    <w:p w14:paraId="021B79D3" w14:textId="271FB3A6" w:rsidR="003F11DA" w:rsidRPr="008A0231" w:rsidRDefault="003A31A6" w:rsidP="003F11DA">
      <w:pPr>
        <w:pStyle w:val="FootnoteText"/>
      </w:pPr>
      <w:r w:rsidRPr="008A0231">
        <w:tab/>
      </w:r>
      <w:r w:rsidR="003F11DA" w:rsidRPr="00AE13AD">
        <w:rPr>
          <w:rStyle w:val="FootnoteReference"/>
        </w:rPr>
        <w:footnoteRef/>
      </w:r>
      <w:r w:rsidRPr="008A0231">
        <w:tab/>
      </w:r>
      <w:r w:rsidRPr="008A0231">
        <w:tab/>
      </w:r>
      <w:r w:rsidR="0089311D" w:rsidRPr="008A0231">
        <w:t xml:space="preserve">See </w:t>
      </w:r>
      <w:hyperlink r:id="rId59" w:history="1">
        <w:r w:rsidR="0089311D" w:rsidRPr="008A0231">
          <w:rPr>
            <w:rStyle w:val="Hyperlink"/>
          </w:rPr>
          <w:t>https://www.eurojust.europa.eu/judicial-cooperation/practitioner-networks/genocide-network</w:t>
        </w:r>
      </w:hyperlink>
      <w:r w:rsidR="00320792" w:rsidRPr="008A023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07C9" w14:textId="57235938" w:rsidR="005E28DB" w:rsidRPr="00AE13AD" w:rsidRDefault="00B03A47">
    <w:pPr>
      <w:pStyle w:val="Header"/>
    </w:pPr>
    <w:r>
      <w:rPr>
        <w:noProof/>
      </w:rPr>
      <w:pict w14:anchorId="1236B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844"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fldSimple w:instr="TITLE  \* MERGEFORMAT">
      <w:r w:rsidR="00ED29C6" w:rsidRPr="00AE13AD">
        <w:t>A/HRC/5</w:t>
      </w:r>
      <w:r w:rsidR="0099422D" w:rsidRPr="00AE13AD">
        <w:t>7</w:t>
      </w:r>
      <w:r w:rsidR="005E28DB" w:rsidRPr="00AE13AD">
        <w:t>/</w:t>
      </w:r>
      <w:r w:rsidR="00F56297">
        <w:t>27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0EC0" w14:textId="42AC1FC5" w:rsidR="005E28DB" w:rsidRPr="00AE13AD" w:rsidRDefault="00B03A47" w:rsidP="00F456F2">
    <w:pPr>
      <w:pStyle w:val="Header"/>
      <w:jc w:val="right"/>
    </w:pPr>
    <w:r>
      <w:rPr>
        <w:noProof/>
      </w:rPr>
      <w:pict w14:anchorId="2E0CF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845"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fldSimple w:instr="TITLE  \* MERGEFORMAT">
      <w:r w:rsidR="00ED29C6" w:rsidRPr="00AE13AD">
        <w:t>A/HRC/5</w:t>
      </w:r>
      <w:r w:rsidR="0099422D" w:rsidRPr="00AE13AD">
        <w:t>7</w:t>
      </w:r>
      <w:r w:rsidR="00ED29C6" w:rsidRPr="00AE13AD">
        <w:t>/</w:t>
      </w:r>
      <w:r w:rsidR="00F56297">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2184" w14:textId="72E9E2C3" w:rsidR="00B03A47" w:rsidRDefault="00B03A47">
    <w:pPr>
      <w:pStyle w:val="Header"/>
    </w:pPr>
    <w:r>
      <w:rPr>
        <w:noProof/>
      </w:rPr>
      <w:pict w14:anchorId="548E5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843"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34F5F60"/>
    <w:multiLevelType w:val="hybridMultilevel"/>
    <w:tmpl w:val="FBAEFCA0"/>
    <w:lvl w:ilvl="0" w:tplc="B31265B2">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B422A"/>
    <w:multiLevelType w:val="hybridMultilevel"/>
    <w:tmpl w:val="45041B14"/>
    <w:lvl w:ilvl="0" w:tplc="2F3A5452">
      <w:start w:val="11"/>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9DF2EC5"/>
    <w:multiLevelType w:val="multilevel"/>
    <w:tmpl w:val="DC0C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6585B"/>
    <w:multiLevelType w:val="hybridMultilevel"/>
    <w:tmpl w:val="7CD0AFFA"/>
    <w:lvl w:ilvl="0" w:tplc="94DC680E">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97FBE"/>
    <w:multiLevelType w:val="hybridMultilevel"/>
    <w:tmpl w:val="F9CE1A70"/>
    <w:lvl w:ilvl="0" w:tplc="BB38D0BE">
      <w:start w:val="1"/>
      <w:numFmt w:val="decimal"/>
      <w:lvlText w:val="%1."/>
      <w:lvlJc w:val="left"/>
      <w:pPr>
        <w:ind w:left="1440" w:hanging="360"/>
      </w:pPr>
    </w:lvl>
    <w:lvl w:ilvl="1" w:tplc="88209C8A">
      <w:start w:val="1"/>
      <w:numFmt w:val="decimal"/>
      <w:lvlText w:val="%2."/>
      <w:lvlJc w:val="left"/>
      <w:pPr>
        <w:ind w:left="1440" w:hanging="360"/>
      </w:pPr>
    </w:lvl>
    <w:lvl w:ilvl="2" w:tplc="DE703318">
      <w:start w:val="1"/>
      <w:numFmt w:val="decimal"/>
      <w:lvlText w:val="%3."/>
      <w:lvlJc w:val="left"/>
      <w:pPr>
        <w:ind w:left="1440" w:hanging="360"/>
      </w:pPr>
    </w:lvl>
    <w:lvl w:ilvl="3" w:tplc="B1C2EEFC">
      <w:start w:val="1"/>
      <w:numFmt w:val="decimal"/>
      <w:lvlText w:val="%4."/>
      <w:lvlJc w:val="left"/>
      <w:pPr>
        <w:ind w:left="1440" w:hanging="360"/>
      </w:pPr>
    </w:lvl>
    <w:lvl w:ilvl="4" w:tplc="E98425EC">
      <w:start w:val="1"/>
      <w:numFmt w:val="decimal"/>
      <w:lvlText w:val="%5."/>
      <w:lvlJc w:val="left"/>
      <w:pPr>
        <w:ind w:left="1440" w:hanging="360"/>
      </w:pPr>
    </w:lvl>
    <w:lvl w:ilvl="5" w:tplc="5A9EF824">
      <w:start w:val="1"/>
      <w:numFmt w:val="decimal"/>
      <w:lvlText w:val="%6."/>
      <w:lvlJc w:val="left"/>
      <w:pPr>
        <w:ind w:left="1440" w:hanging="360"/>
      </w:pPr>
    </w:lvl>
    <w:lvl w:ilvl="6" w:tplc="1068E694">
      <w:start w:val="1"/>
      <w:numFmt w:val="decimal"/>
      <w:lvlText w:val="%7."/>
      <w:lvlJc w:val="left"/>
      <w:pPr>
        <w:ind w:left="1440" w:hanging="360"/>
      </w:pPr>
    </w:lvl>
    <w:lvl w:ilvl="7" w:tplc="6EF65A98">
      <w:start w:val="1"/>
      <w:numFmt w:val="decimal"/>
      <w:lvlText w:val="%8."/>
      <w:lvlJc w:val="left"/>
      <w:pPr>
        <w:ind w:left="1440" w:hanging="360"/>
      </w:pPr>
    </w:lvl>
    <w:lvl w:ilvl="8" w:tplc="113EE160">
      <w:start w:val="1"/>
      <w:numFmt w:val="decimal"/>
      <w:lvlText w:val="%9."/>
      <w:lvlJc w:val="left"/>
      <w:pPr>
        <w:ind w:left="1440" w:hanging="360"/>
      </w:pPr>
    </w:lvl>
  </w:abstractNum>
  <w:abstractNum w:abstractNumId="7" w15:restartNumberingAfterBreak="0">
    <w:nsid w:val="33BD216C"/>
    <w:multiLevelType w:val="hybridMultilevel"/>
    <w:tmpl w:val="B26A41E2"/>
    <w:lvl w:ilvl="0" w:tplc="054EC6BC">
      <w:start w:val="16"/>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382F14A4"/>
    <w:multiLevelType w:val="hybridMultilevel"/>
    <w:tmpl w:val="FB48AA68"/>
    <w:lvl w:ilvl="0" w:tplc="01DC8C26">
      <w:start w:val="1"/>
      <w:numFmt w:val="decimal"/>
      <w:lvlText w:val="%1."/>
      <w:lvlJc w:val="left"/>
      <w:pPr>
        <w:ind w:left="720" w:hanging="360"/>
      </w:pPr>
    </w:lvl>
    <w:lvl w:ilvl="1" w:tplc="1EF877C0">
      <w:start w:val="1"/>
      <w:numFmt w:val="decimal"/>
      <w:lvlText w:val="%2."/>
      <w:lvlJc w:val="left"/>
      <w:pPr>
        <w:ind w:left="720" w:hanging="360"/>
      </w:pPr>
    </w:lvl>
    <w:lvl w:ilvl="2" w:tplc="8A94D1E4">
      <w:start w:val="1"/>
      <w:numFmt w:val="decimal"/>
      <w:lvlText w:val="%3."/>
      <w:lvlJc w:val="left"/>
      <w:pPr>
        <w:ind w:left="720" w:hanging="360"/>
      </w:pPr>
    </w:lvl>
    <w:lvl w:ilvl="3" w:tplc="B0923F68">
      <w:start w:val="1"/>
      <w:numFmt w:val="decimal"/>
      <w:lvlText w:val="%4."/>
      <w:lvlJc w:val="left"/>
      <w:pPr>
        <w:ind w:left="720" w:hanging="360"/>
      </w:pPr>
    </w:lvl>
    <w:lvl w:ilvl="4" w:tplc="D9788FBE">
      <w:start w:val="1"/>
      <w:numFmt w:val="decimal"/>
      <w:lvlText w:val="%5."/>
      <w:lvlJc w:val="left"/>
      <w:pPr>
        <w:ind w:left="720" w:hanging="360"/>
      </w:pPr>
    </w:lvl>
    <w:lvl w:ilvl="5" w:tplc="158A8D70">
      <w:start w:val="1"/>
      <w:numFmt w:val="decimal"/>
      <w:lvlText w:val="%6."/>
      <w:lvlJc w:val="left"/>
      <w:pPr>
        <w:ind w:left="720" w:hanging="360"/>
      </w:pPr>
    </w:lvl>
    <w:lvl w:ilvl="6" w:tplc="9B7A0324">
      <w:start w:val="1"/>
      <w:numFmt w:val="decimal"/>
      <w:lvlText w:val="%7."/>
      <w:lvlJc w:val="left"/>
      <w:pPr>
        <w:ind w:left="720" w:hanging="360"/>
      </w:pPr>
    </w:lvl>
    <w:lvl w:ilvl="7" w:tplc="D504913E">
      <w:start w:val="1"/>
      <w:numFmt w:val="decimal"/>
      <w:lvlText w:val="%8."/>
      <w:lvlJc w:val="left"/>
      <w:pPr>
        <w:ind w:left="720" w:hanging="360"/>
      </w:pPr>
    </w:lvl>
    <w:lvl w:ilvl="8" w:tplc="65387A8C">
      <w:start w:val="1"/>
      <w:numFmt w:val="decimal"/>
      <w:lvlText w:val="%9."/>
      <w:lvlJc w:val="left"/>
      <w:pPr>
        <w:ind w:left="720" w:hanging="360"/>
      </w:pPr>
    </w:lvl>
  </w:abstractNum>
  <w:abstractNum w:abstractNumId="9" w15:restartNumberingAfterBreak="0">
    <w:nsid w:val="384609D8"/>
    <w:multiLevelType w:val="hybridMultilevel"/>
    <w:tmpl w:val="C5E46BA0"/>
    <w:lvl w:ilvl="0" w:tplc="967C8BA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412029"/>
    <w:multiLevelType w:val="hybridMultilevel"/>
    <w:tmpl w:val="6B7A92FE"/>
    <w:lvl w:ilvl="0" w:tplc="8BB4DEB0">
      <w:start w:val="1"/>
      <w:numFmt w:val="lowerLetter"/>
      <w:lvlText w:val="(%1)"/>
      <w:lvlJc w:val="left"/>
      <w:pPr>
        <w:ind w:left="1494" w:hanging="360"/>
      </w:pPr>
      <w:rPr>
        <w:rFonts w:hint="default"/>
        <w:b w:val="0"/>
        <w:bCs/>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2750CA1"/>
    <w:multiLevelType w:val="hybridMultilevel"/>
    <w:tmpl w:val="84903144"/>
    <w:lvl w:ilvl="0" w:tplc="FFFFFFFF">
      <w:start w:val="1"/>
      <w:numFmt w:val="decimal"/>
      <w:lvlText w:val="%1."/>
      <w:lvlJc w:val="right"/>
      <w:pPr>
        <w:ind w:left="1070" w:hanging="360"/>
      </w:pPr>
      <w:rPr>
        <w:rFonts w:hint="default"/>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5333C25"/>
    <w:multiLevelType w:val="hybridMultilevel"/>
    <w:tmpl w:val="174E7B80"/>
    <w:lvl w:ilvl="0" w:tplc="967C8BAC">
      <w:start w:val="1"/>
      <w:numFmt w:val="decimal"/>
      <w:lvlText w:val="%1."/>
      <w:lvlJc w:val="right"/>
      <w:pPr>
        <w:ind w:left="1850" w:hanging="360"/>
      </w:pPr>
      <w:rPr>
        <w:rFonts w:hint="default"/>
      </w:rPr>
    </w:lvl>
    <w:lvl w:ilvl="1" w:tplc="08090019" w:tentative="1">
      <w:start w:val="1"/>
      <w:numFmt w:val="lowerLetter"/>
      <w:lvlText w:val="%2."/>
      <w:lvlJc w:val="left"/>
      <w:pPr>
        <w:ind w:left="2570" w:hanging="360"/>
      </w:pPr>
    </w:lvl>
    <w:lvl w:ilvl="2" w:tplc="0809001B" w:tentative="1">
      <w:start w:val="1"/>
      <w:numFmt w:val="lowerRoman"/>
      <w:lvlText w:val="%3."/>
      <w:lvlJc w:val="right"/>
      <w:pPr>
        <w:ind w:left="3290" w:hanging="180"/>
      </w:pPr>
    </w:lvl>
    <w:lvl w:ilvl="3" w:tplc="0809000F" w:tentative="1">
      <w:start w:val="1"/>
      <w:numFmt w:val="decimal"/>
      <w:lvlText w:val="%4."/>
      <w:lvlJc w:val="left"/>
      <w:pPr>
        <w:ind w:left="4010" w:hanging="360"/>
      </w:pPr>
    </w:lvl>
    <w:lvl w:ilvl="4" w:tplc="08090019" w:tentative="1">
      <w:start w:val="1"/>
      <w:numFmt w:val="lowerLetter"/>
      <w:lvlText w:val="%5."/>
      <w:lvlJc w:val="left"/>
      <w:pPr>
        <w:ind w:left="4730" w:hanging="360"/>
      </w:pPr>
    </w:lvl>
    <w:lvl w:ilvl="5" w:tplc="0809001B" w:tentative="1">
      <w:start w:val="1"/>
      <w:numFmt w:val="lowerRoman"/>
      <w:lvlText w:val="%6."/>
      <w:lvlJc w:val="right"/>
      <w:pPr>
        <w:ind w:left="5450" w:hanging="180"/>
      </w:pPr>
    </w:lvl>
    <w:lvl w:ilvl="6" w:tplc="0809000F" w:tentative="1">
      <w:start w:val="1"/>
      <w:numFmt w:val="decimal"/>
      <w:lvlText w:val="%7."/>
      <w:lvlJc w:val="left"/>
      <w:pPr>
        <w:ind w:left="6170" w:hanging="360"/>
      </w:pPr>
    </w:lvl>
    <w:lvl w:ilvl="7" w:tplc="08090019" w:tentative="1">
      <w:start w:val="1"/>
      <w:numFmt w:val="lowerLetter"/>
      <w:lvlText w:val="%8."/>
      <w:lvlJc w:val="left"/>
      <w:pPr>
        <w:ind w:left="6890" w:hanging="360"/>
      </w:pPr>
    </w:lvl>
    <w:lvl w:ilvl="8" w:tplc="0809001B" w:tentative="1">
      <w:start w:val="1"/>
      <w:numFmt w:val="lowerRoman"/>
      <w:lvlText w:val="%9."/>
      <w:lvlJc w:val="right"/>
      <w:pPr>
        <w:ind w:left="7610" w:hanging="180"/>
      </w:pPr>
    </w:lvl>
  </w:abstractNum>
  <w:abstractNum w:abstractNumId="13" w15:restartNumberingAfterBreak="0">
    <w:nsid w:val="58E809F6"/>
    <w:multiLevelType w:val="multilevel"/>
    <w:tmpl w:val="81D0967E"/>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15:restartNumberingAfterBreak="0">
    <w:nsid w:val="5D2644C6"/>
    <w:multiLevelType w:val="hybridMultilevel"/>
    <w:tmpl w:val="0000421C"/>
    <w:lvl w:ilvl="0" w:tplc="77265276">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423847"/>
    <w:multiLevelType w:val="hybridMultilevel"/>
    <w:tmpl w:val="64DCAE88"/>
    <w:lvl w:ilvl="0" w:tplc="8ACA0ADE">
      <w:start w:val="8"/>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67C7149E"/>
    <w:multiLevelType w:val="hybridMultilevel"/>
    <w:tmpl w:val="ABE0605A"/>
    <w:lvl w:ilvl="0" w:tplc="EFA8C434">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51407D"/>
    <w:multiLevelType w:val="hybridMultilevel"/>
    <w:tmpl w:val="B2E0E6FA"/>
    <w:lvl w:ilvl="0" w:tplc="A9E2D134">
      <w:start w:val="1"/>
      <w:numFmt w:val="lowerLetter"/>
      <w:lvlText w:val="(%1)"/>
      <w:lvlJc w:val="left"/>
      <w:pPr>
        <w:ind w:left="1494" w:hanging="360"/>
      </w:pPr>
      <w:rPr>
        <w:rFonts w:hint="default"/>
        <w:b w:val="0"/>
        <w:bCs/>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68600558"/>
    <w:multiLevelType w:val="hybridMultilevel"/>
    <w:tmpl w:val="E8DE2576"/>
    <w:lvl w:ilvl="0" w:tplc="6DEA31B6">
      <w:start w:val="1"/>
      <w:numFmt w:val="decimal"/>
      <w:lvlText w:val="%1."/>
      <w:lvlJc w:val="right"/>
      <w:pPr>
        <w:ind w:left="1070" w:hanging="360"/>
      </w:pPr>
      <w:rPr>
        <w:rFonts w:hint="default"/>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0B66A6"/>
    <w:multiLevelType w:val="hybridMultilevel"/>
    <w:tmpl w:val="8EF49C2C"/>
    <w:lvl w:ilvl="0" w:tplc="EBA011DA">
      <w:start w:val="1"/>
      <w:numFmt w:val="lowerLetter"/>
      <w:lvlText w:val="(%1)"/>
      <w:lvlJc w:val="left"/>
      <w:pPr>
        <w:ind w:left="1854" w:hanging="360"/>
      </w:pPr>
      <w:rPr>
        <w:rFonts w:hint="default"/>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6F0C00D9"/>
    <w:multiLevelType w:val="hybridMultilevel"/>
    <w:tmpl w:val="2DBCF7C8"/>
    <w:lvl w:ilvl="0" w:tplc="B882FF7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3E30B8"/>
    <w:multiLevelType w:val="hybridMultilevel"/>
    <w:tmpl w:val="DD98BA80"/>
    <w:lvl w:ilvl="0" w:tplc="66424E78">
      <w:start w:val="13"/>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7E1712DF"/>
    <w:multiLevelType w:val="hybridMultilevel"/>
    <w:tmpl w:val="CE3433D0"/>
    <w:lvl w:ilvl="0" w:tplc="2E7E22B4">
      <w:start w:val="16"/>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7E8F7F67"/>
    <w:multiLevelType w:val="hybridMultilevel"/>
    <w:tmpl w:val="FF2842EC"/>
    <w:lvl w:ilvl="0" w:tplc="CBC4AAB4">
      <w:start w:val="1"/>
      <w:numFmt w:val="lowerLetter"/>
      <w:lvlText w:val="(%1)"/>
      <w:lvlJc w:val="left"/>
      <w:pPr>
        <w:ind w:left="1494" w:hanging="360"/>
      </w:pPr>
      <w:rPr>
        <w:rFonts w:hint="default"/>
        <w:b w:val="0"/>
        <w:bCs/>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425102728">
    <w:abstractNumId w:val="0"/>
  </w:num>
  <w:num w:numId="2" w16cid:durableId="1748074246">
    <w:abstractNumId w:val="20"/>
  </w:num>
  <w:num w:numId="3" w16cid:durableId="755782580">
    <w:abstractNumId w:val="1"/>
  </w:num>
  <w:num w:numId="4" w16cid:durableId="1934319810">
    <w:abstractNumId w:val="23"/>
  </w:num>
  <w:num w:numId="5" w16cid:durableId="282927925">
    <w:abstractNumId w:val="15"/>
  </w:num>
  <w:num w:numId="6" w16cid:durableId="1533348291">
    <w:abstractNumId w:val="13"/>
  </w:num>
  <w:num w:numId="7" w16cid:durableId="2097247003">
    <w:abstractNumId w:val="2"/>
  </w:num>
  <w:num w:numId="8" w16cid:durableId="1521044614">
    <w:abstractNumId w:val="22"/>
  </w:num>
  <w:num w:numId="9" w16cid:durableId="2107260747">
    <w:abstractNumId w:val="17"/>
  </w:num>
  <w:num w:numId="10" w16cid:durableId="307711938">
    <w:abstractNumId w:val="3"/>
  </w:num>
  <w:num w:numId="11" w16cid:durableId="1761832373">
    <w:abstractNumId w:val="25"/>
  </w:num>
  <w:num w:numId="12" w16cid:durableId="544486272">
    <w:abstractNumId w:val="7"/>
  </w:num>
  <w:num w:numId="13" w16cid:durableId="1943415147">
    <w:abstractNumId w:val="24"/>
  </w:num>
  <w:num w:numId="14" w16cid:durableId="171457514">
    <w:abstractNumId w:val="16"/>
  </w:num>
  <w:num w:numId="15" w16cid:durableId="1169516160">
    <w:abstractNumId w:val="4"/>
  </w:num>
  <w:num w:numId="16" w16cid:durableId="488443215">
    <w:abstractNumId w:val="14"/>
  </w:num>
  <w:num w:numId="17" w16cid:durableId="2113864992">
    <w:abstractNumId w:val="18"/>
  </w:num>
  <w:num w:numId="18" w16cid:durableId="1357806204">
    <w:abstractNumId w:val="10"/>
  </w:num>
  <w:num w:numId="19" w16cid:durableId="1861091660">
    <w:abstractNumId w:val="26"/>
  </w:num>
  <w:num w:numId="20" w16cid:durableId="559022215">
    <w:abstractNumId w:val="21"/>
  </w:num>
  <w:num w:numId="21" w16cid:durableId="1653287663">
    <w:abstractNumId w:val="6"/>
  </w:num>
  <w:num w:numId="22" w16cid:durableId="1417478176">
    <w:abstractNumId w:val="8"/>
  </w:num>
  <w:num w:numId="23" w16cid:durableId="1362054837">
    <w:abstractNumId w:val="5"/>
  </w:num>
  <w:num w:numId="24" w16cid:durableId="1495416430">
    <w:abstractNumId w:val="12"/>
  </w:num>
  <w:num w:numId="25" w16cid:durableId="916548713">
    <w:abstractNumId w:val="9"/>
  </w:num>
  <w:num w:numId="26" w16cid:durableId="1470514673">
    <w:abstractNumId w:val="19"/>
  </w:num>
  <w:num w:numId="27" w16cid:durableId="55839929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AR"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cumentProtection w:edit="trackedChanges" w:enforcement="0"/>
  <w:defaultTabStop w:val="567"/>
  <w:hyphenationZone w:val="357"/>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F2"/>
    <w:rsid w:val="0000000A"/>
    <w:rsid w:val="000001B6"/>
    <w:rsid w:val="000003F5"/>
    <w:rsid w:val="0000049B"/>
    <w:rsid w:val="00001AA5"/>
    <w:rsid w:val="000028D3"/>
    <w:rsid w:val="00002F3E"/>
    <w:rsid w:val="00003401"/>
    <w:rsid w:val="00004585"/>
    <w:rsid w:val="000053F5"/>
    <w:rsid w:val="00005675"/>
    <w:rsid w:val="000062B9"/>
    <w:rsid w:val="000073C8"/>
    <w:rsid w:val="00007E8F"/>
    <w:rsid w:val="00007F7F"/>
    <w:rsid w:val="0001049A"/>
    <w:rsid w:val="000106D5"/>
    <w:rsid w:val="00011202"/>
    <w:rsid w:val="00011D56"/>
    <w:rsid w:val="00012162"/>
    <w:rsid w:val="00015172"/>
    <w:rsid w:val="00015224"/>
    <w:rsid w:val="00015A90"/>
    <w:rsid w:val="00016F0A"/>
    <w:rsid w:val="000170A4"/>
    <w:rsid w:val="00017B29"/>
    <w:rsid w:val="00017B2B"/>
    <w:rsid w:val="000209A8"/>
    <w:rsid w:val="000213EB"/>
    <w:rsid w:val="00021AA8"/>
    <w:rsid w:val="00021C8A"/>
    <w:rsid w:val="00022368"/>
    <w:rsid w:val="00022DB5"/>
    <w:rsid w:val="000231BD"/>
    <w:rsid w:val="0002425C"/>
    <w:rsid w:val="000246C2"/>
    <w:rsid w:val="0002485E"/>
    <w:rsid w:val="00025716"/>
    <w:rsid w:val="00030577"/>
    <w:rsid w:val="000340F9"/>
    <w:rsid w:val="0003448B"/>
    <w:rsid w:val="00034549"/>
    <w:rsid w:val="00035734"/>
    <w:rsid w:val="00036311"/>
    <w:rsid w:val="00036334"/>
    <w:rsid w:val="00036406"/>
    <w:rsid w:val="000369FD"/>
    <w:rsid w:val="00037298"/>
    <w:rsid w:val="00037EAB"/>
    <w:rsid w:val="000402B9"/>
    <w:rsid w:val="000403D1"/>
    <w:rsid w:val="00042DA7"/>
    <w:rsid w:val="00042E8A"/>
    <w:rsid w:val="00043036"/>
    <w:rsid w:val="000435E5"/>
    <w:rsid w:val="00043C33"/>
    <w:rsid w:val="0004477C"/>
    <w:rsid w:val="000449AA"/>
    <w:rsid w:val="00050CF9"/>
    <w:rsid w:val="00050F6B"/>
    <w:rsid w:val="00051EB0"/>
    <w:rsid w:val="00052D12"/>
    <w:rsid w:val="00052EA9"/>
    <w:rsid w:val="00054B94"/>
    <w:rsid w:val="00054E24"/>
    <w:rsid w:val="00055A06"/>
    <w:rsid w:val="00055CFC"/>
    <w:rsid w:val="0005662A"/>
    <w:rsid w:val="000602DD"/>
    <w:rsid w:val="0006218B"/>
    <w:rsid w:val="00062976"/>
    <w:rsid w:val="00062ECD"/>
    <w:rsid w:val="00065657"/>
    <w:rsid w:val="00065847"/>
    <w:rsid w:val="00066341"/>
    <w:rsid w:val="0006727A"/>
    <w:rsid w:val="000701B7"/>
    <w:rsid w:val="00070804"/>
    <w:rsid w:val="00070E82"/>
    <w:rsid w:val="00070EE5"/>
    <w:rsid w:val="000712D1"/>
    <w:rsid w:val="0007196E"/>
    <w:rsid w:val="00072C8C"/>
    <w:rsid w:val="00073E70"/>
    <w:rsid w:val="0007479D"/>
    <w:rsid w:val="00075513"/>
    <w:rsid w:val="00076CE1"/>
    <w:rsid w:val="0007715C"/>
    <w:rsid w:val="00077826"/>
    <w:rsid w:val="000807AD"/>
    <w:rsid w:val="00081433"/>
    <w:rsid w:val="00081C73"/>
    <w:rsid w:val="00082FEE"/>
    <w:rsid w:val="0008386D"/>
    <w:rsid w:val="00083CC4"/>
    <w:rsid w:val="00084424"/>
    <w:rsid w:val="0008588D"/>
    <w:rsid w:val="00086768"/>
    <w:rsid w:val="000872ED"/>
    <w:rsid w:val="000876EB"/>
    <w:rsid w:val="00090D4F"/>
    <w:rsid w:val="00090EB8"/>
    <w:rsid w:val="00091419"/>
    <w:rsid w:val="000931C0"/>
    <w:rsid w:val="00093B1F"/>
    <w:rsid w:val="00093EB0"/>
    <w:rsid w:val="0009409D"/>
    <w:rsid w:val="00094C13"/>
    <w:rsid w:val="00095B69"/>
    <w:rsid w:val="00095E30"/>
    <w:rsid w:val="0009618A"/>
    <w:rsid w:val="000A0B4F"/>
    <w:rsid w:val="000A4868"/>
    <w:rsid w:val="000A4A71"/>
    <w:rsid w:val="000A6C6C"/>
    <w:rsid w:val="000A6FEF"/>
    <w:rsid w:val="000A7452"/>
    <w:rsid w:val="000A7CAE"/>
    <w:rsid w:val="000A7D08"/>
    <w:rsid w:val="000B00BB"/>
    <w:rsid w:val="000B0461"/>
    <w:rsid w:val="000B07A5"/>
    <w:rsid w:val="000B175B"/>
    <w:rsid w:val="000B2851"/>
    <w:rsid w:val="000B3A0F"/>
    <w:rsid w:val="000B4A3B"/>
    <w:rsid w:val="000B50DA"/>
    <w:rsid w:val="000B62F0"/>
    <w:rsid w:val="000B6AA9"/>
    <w:rsid w:val="000C0AE2"/>
    <w:rsid w:val="000C1A98"/>
    <w:rsid w:val="000C2144"/>
    <w:rsid w:val="000C2611"/>
    <w:rsid w:val="000C2B18"/>
    <w:rsid w:val="000C2DC7"/>
    <w:rsid w:val="000C4BBE"/>
    <w:rsid w:val="000C4CFA"/>
    <w:rsid w:val="000C59D8"/>
    <w:rsid w:val="000C59E7"/>
    <w:rsid w:val="000C63C9"/>
    <w:rsid w:val="000C6995"/>
    <w:rsid w:val="000C7C3E"/>
    <w:rsid w:val="000D0317"/>
    <w:rsid w:val="000D1851"/>
    <w:rsid w:val="000D2750"/>
    <w:rsid w:val="000D2936"/>
    <w:rsid w:val="000D3377"/>
    <w:rsid w:val="000D3B61"/>
    <w:rsid w:val="000D4265"/>
    <w:rsid w:val="000D4662"/>
    <w:rsid w:val="000D46EB"/>
    <w:rsid w:val="000D4C26"/>
    <w:rsid w:val="000D4FA1"/>
    <w:rsid w:val="000D573B"/>
    <w:rsid w:val="000D593B"/>
    <w:rsid w:val="000D6BC9"/>
    <w:rsid w:val="000D7221"/>
    <w:rsid w:val="000D7895"/>
    <w:rsid w:val="000D78E0"/>
    <w:rsid w:val="000D7C7C"/>
    <w:rsid w:val="000E0415"/>
    <w:rsid w:val="000E084C"/>
    <w:rsid w:val="000E0DE5"/>
    <w:rsid w:val="000E5532"/>
    <w:rsid w:val="000E6B90"/>
    <w:rsid w:val="000F0341"/>
    <w:rsid w:val="000F1F47"/>
    <w:rsid w:val="000F3569"/>
    <w:rsid w:val="000F394C"/>
    <w:rsid w:val="000F50E3"/>
    <w:rsid w:val="000F54A4"/>
    <w:rsid w:val="000F6153"/>
    <w:rsid w:val="000F6E27"/>
    <w:rsid w:val="000F761E"/>
    <w:rsid w:val="000F7906"/>
    <w:rsid w:val="001001B7"/>
    <w:rsid w:val="00100672"/>
    <w:rsid w:val="0010068E"/>
    <w:rsid w:val="001006C2"/>
    <w:rsid w:val="00101999"/>
    <w:rsid w:val="00102C45"/>
    <w:rsid w:val="001044D3"/>
    <w:rsid w:val="00105F1D"/>
    <w:rsid w:val="001072F3"/>
    <w:rsid w:val="00107BAF"/>
    <w:rsid w:val="0011105E"/>
    <w:rsid w:val="00112FF9"/>
    <w:rsid w:val="001132C1"/>
    <w:rsid w:val="0011362B"/>
    <w:rsid w:val="00113C29"/>
    <w:rsid w:val="00114045"/>
    <w:rsid w:val="001146CC"/>
    <w:rsid w:val="00114809"/>
    <w:rsid w:val="001160B6"/>
    <w:rsid w:val="0011620E"/>
    <w:rsid w:val="0011653C"/>
    <w:rsid w:val="00116778"/>
    <w:rsid w:val="00116C6A"/>
    <w:rsid w:val="00116CEE"/>
    <w:rsid w:val="00116E48"/>
    <w:rsid w:val="00117195"/>
    <w:rsid w:val="00117939"/>
    <w:rsid w:val="00120279"/>
    <w:rsid w:val="001215E3"/>
    <w:rsid w:val="00121753"/>
    <w:rsid w:val="00122067"/>
    <w:rsid w:val="00123D93"/>
    <w:rsid w:val="0012468B"/>
    <w:rsid w:val="0012523F"/>
    <w:rsid w:val="00125462"/>
    <w:rsid w:val="00126621"/>
    <w:rsid w:val="00127589"/>
    <w:rsid w:val="00130537"/>
    <w:rsid w:val="00130902"/>
    <w:rsid w:val="001324AF"/>
    <w:rsid w:val="001330A5"/>
    <w:rsid w:val="001335ED"/>
    <w:rsid w:val="0013418A"/>
    <w:rsid w:val="0013433D"/>
    <w:rsid w:val="00134DCC"/>
    <w:rsid w:val="001373A5"/>
    <w:rsid w:val="00141676"/>
    <w:rsid w:val="00142370"/>
    <w:rsid w:val="00142B2C"/>
    <w:rsid w:val="00142D5D"/>
    <w:rsid w:val="00142F24"/>
    <w:rsid w:val="001434E8"/>
    <w:rsid w:val="00144370"/>
    <w:rsid w:val="001464AC"/>
    <w:rsid w:val="00146C59"/>
    <w:rsid w:val="00146D32"/>
    <w:rsid w:val="00146E6C"/>
    <w:rsid w:val="00147A30"/>
    <w:rsid w:val="001509BA"/>
    <w:rsid w:val="00150E06"/>
    <w:rsid w:val="00151626"/>
    <w:rsid w:val="001518D6"/>
    <w:rsid w:val="001536E9"/>
    <w:rsid w:val="00153792"/>
    <w:rsid w:val="00155265"/>
    <w:rsid w:val="00155A16"/>
    <w:rsid w:val="001564A0"/>
    <w:rsid w:val="001569E6"/>
    <w:rsid w:val="00156AEE"/>
    <w:rsid w:val="001574AF"/>
    <w:rsid w:val="0016249A"/>
    <w:rsid w:val="00162E84"/>
    <w:rsid w:val="00163622"/>
    <w:rsid w:val="00163858"/>
    <w:rsid w:val="00164F51"/>
    <w:rsid w:val="001678FA"/>
    <w:rsid w:val="001719AA"/>
    <w:rsid w:val="00172AD4"/>
    <w:rsid w:val="0017433C"/>
    <w:rsid w:val="001748DD"/>
    <w:rsid w:val="00175250"/>
    <w:rsid w:val="001763AE"/>
    <w:rsid w:val="00176D35"/>
    <w:rsid w:val="001774BE"/>
    <w:rsid w:val="0017792E"/>
    <w:rsid w:val="0018064F"/>
    <w:rsid w:val="00180685"/>
    <w:rsid w:val="001808A4"/>
    <w:rsid w:val="001812A6"/>
    <w:rsid w:val="0018221B"/>
    <w:rsid w:val="00183036"/>
    <w:rsid w:val="001835DA"/>
    <w:rsid w:val="00183695"/>
    <w:rsid w:val="001839C9"/>
    <w:rsid w:val="001839FD"/>
    <w:rsid w:val="00183C28"/>
    <w:rsid w:val="00184619"/>
    <w:rsid w:val="00184623"/>
    <w:rsid w:val="001848FF"/>
    <w:rsid w:val="00185B8A"/>
    <w:rsid w:val="001868D9"/>
    <w:rsid w:val="0019074E"/>
    <w:rsid w:val="00190B9D"/>
    <w:rsid w:val="001916B2"/>
    <w:rsid w:val="00191BCA"/>
    <w:rsid w:val="001923B7"/>
    <w:rsid w:val="001936E2"/>
    <w:rsid w:val="001947CE"/>
    <w:rsid w:val="00194A59"/>
    <w:rsid w:val="00195CB5"/>
    <w:rsid w:val="00196E89"/>
    <w:rsid w:val="00196FA3"/>
    <w:rsid w:val="00197184"/>
    <w:rsid w:val="001978A3"/>
    <w:rsid w:val="00197E0E"/>
    <w:rsid w:val="00197F6B"/>
    <w:rsid w:val="001A0394"/>
    <w:rsid w:val="001A1F91"/>
    <w:rsid w:val="001A3144"/>
    <w:rsid w:val="001A4BAA"/>
    <w:rsid w:val="001A56FD"/>
    <w:rsid w:val="001A6A5D"/>
    <w:rsid w:val="001A7BFA"/>
    <w:rsid w:val="001A7F6E"/>
    <w:rsid w:val="001B031C"/>
    <w:rsid w:val="001B0B83"/>
    <w:rsid w:val="001B3C0D"/>
    <w:rsid w:val="001B4B04"/>
    <w:rsid w:val="001B519F"/>
    <w:rsid w:val="001B58A5"/>
    <w:rsid w:val="001B6989"/>
    <w:rsid w:val="001B69F3"/>
    <w:rsid w:val="001B74F5"/>
    <w:rsid w:val="001C1015"/>
    <w:rsid w:val="001C1155"/>
    <w:rsid w:val="001C233B"/>
    <w:rsid w:val="001C2B30"/>
    <w:rsid w:val="001C2FE8"/>
    <w:rsid w:val="001C35F2"/>
    <w:rsid w:val="001C374B"/>
    <w:rsid w:val="001C39DF"/>
    <w:rsid w:val="001C3C41"/>
    <w:rsid w:val="001C3F5C"/>
    <w:rsid w:val="001C4146"/>
    <w:rsid w:val="001C44A3"/>
    <w:rsid w:val="001C50F2"/>
    <w:rsid w:val="001C5223"/>
    <w:rsid w:val="001C566D"/>
    <w:rsid w:val="001C6663"/>
    <w:rsid w:val="001C67DF"/>
    <w:rsid w:val="001C69AB"/>
    <w:rsid w:val="001C69D8"/>
    <w:rsid w:val="001C6F1D"/>
    <w:rsid w:val="001C6F6A"/>
    <w:rsid w:val="001C7895"/>
    <w:rsid w:val="001C7BD5"/>
    <w:rsid w:val="001D10E8"/>
    <w:rsid w:val="001D17AE"/>
    <w:rsid w:val="001D2411"/>
    <w:rsid w:val="001D26DF"/>
    <w:rsid w:val="001D32AE"/>
    <w:rsid w:val="001D366F"/>
    <w:rsid w:val="001D74C9"/>
    <w:rsid w:val="001D7596"/>
    <w:rsid w:val="001D7E30"/>
    <w:rsid w:val="001E14FE"/>
    <w:rsid w:val="001E2790"/>
    <w:rsid w:val="001E27DA"/>
    <w:rsid w:val="001E405D"/>
    <w:rsid w:val="001E42CA"/>
    <w:rsid w:val="001E4843"/>
    <w:rsid w:val="001E4966"/>
    <w:rsid w:val="001E5883"/>
    <w:rsid w:val="001E6953"/>
    <w:rsid w:val="001E79B6"/>
    <w:rsid w:val="001E7C7C"/>
    <w:rsid w:val="001F01EF"/>
    <w:rsid w:val="001F0597"/>
    <w:rsid w:val="001F068E"/>
    <w:rsid w:val="001F13BD"/>
    <w:rsid w:val="001F1661"/>
    <w:rsid w:val="001F2B73"/>
    <w:rsid w:val="001F2B7A"/>
    <w:rsid w:val="001F3609"/>
    <w:rsid w:val="001F41CE"/>
    <w:rsid w:val="001F42B4"/>
    <w:rsid w:val="001F4475"/>
    <w:rsid w:val="001F457E"/>
    <w:rsid w:val="001F4A8B"/>
    <w:rsid w:val="001F5E3C"/>
    <w:rsid w:val="002009F5"/>
    <w:rsid w:val="00201BC0"/>
    <w:rsid w:val="00201D25"/>
    <w:rsid w:val="00201E77"/>
    <w:rsid w:val="00201F6D"/>
    <w:rsid w:val="0020447A"/>
    <w:rsid w:val="00204E3B"/>
    <w:rsid w:val="00205908"/>
    <w:rsid w:val="0020618F"/>
    <w:rsid w:val="00206BCC"/>
    <w:rsid w:val="00206BF6"/>
    <w:rsid w:val="00206EBF"/>
    <w:rsid w:val="00207BA8"/>
    <w:rsid w:val="00210A73"/>
    <w:rsid w:val="00211390"/>
    <w:rsid w:val="00211E0B"/>
    <w:rsid w:val="00211E72"/>
    <w:rsid w:val="00212077"/>
    <w:rsid w:val="00212CF6"/>
    <w:rsid w:val="00212CF9"/>
    <w:rsid w:val="00213BCB"/>
    <w:rsid w:val="00213E45"/>
    <w:rsid w:val="00214047"/>
    <w:rsid w:val="00214329"/>
    <w:rsid w:val="00215CC6"/>
    <w:rsid w:val="00216017"/>
    <w:rsid w:val="002174CE"/>
    <w:rsid w:val="002203C8"/>
    <w:rsid w:val="0022086B"/>
    <w:rsid w:val="00220C8F"/>
    <w:rsid w:val="0022130F"/>
    <w:rsid w:val="00221CB8"/>
    <w:rsid w:val="00221F72"/>
    <w:rsid w:val="00222610"/>
    <w:rsid w:val="00223F49"/>
    <w:rsid w:val="0022441F"/>
    <w:rsid w:val="0022442E"/>
    <w:rsid w:val="00225FE9"/>
    <w:rsid w:val="00226255"/>
    <w:rsid w:val="002278EB"/>
    <w:rsid w:val="002301FC"/>
    <w:rsid w:val="0023036C"/>
    <w:rsid w:val="002303CD"/>
    <w:rsid w:val="00230AF0"/>
    <w:rsid w:val="00230B9E"/>
    <w:rsid w:val="00230BEA"/>
    <w:rsid w:val="00230EB0"/>
    <w:rsid w:val="002312D5"/>
    <w:rsid w:val="0023202F"/>
    <w:rsid w:val="002323CC"/>
    <w:rsid w:val="00232C07"/>
    <w:rsid w:val="00233628"/>
    <w:rsid w:val="00233A67"/>
    <w:rsid w:val="00234394"/>
    <w:rsid w:val="00234743"/>
    <w:rsid w:val="0023477C"/>
    <w:rsid w:val="00234E6A"/>
    <w:rsid w:val="00235558"/>
    <w:rsid w:val="00235E5B"/>
    <w:rsid w:val="002366C1"/>
    <w:rsid w:val="00237630"/>
    <w:rsid w:val="00237785"/>
    <w:rsid w:val="002410DD"/>
    <w:rsid w:val="00241466"/>
    <w:rsid w:val="00242DC1"/>
    <w:rsid w:val="00243172"/>
    <w:rsid w:val="0024355D"/>
    <w:rsid w:val="00244113"/>
    <w:rsid w:val="0024466E"/>
    <w:rsid w:val="00244E43"/>
    <w:rsid w:val="00245E24"/>
    <w:rsid w:val="00245EE7"/>
    <w:rsid w:val="002472AB"/>
    <w:rsid w:val="00247543"/>
    <w:rsid w:val="002500CA"/>
    <w:rsid w:val="00250BF1"/>
    <w:rsid w:val="00250EFA"/>
    <w:rsid w:val="00251368"/>
    <w:rsid w:val="00251ADD"/>
    <w:rsid w:val="00253D58"/>
    <w:rsid w:val="00253E97"/>
    <w:rsid w:val="00254E09"/>
    <w:rsid w:val="00254E3F"/>
    <w:rsid w:val="00255655"/>
    <w:rsid w:val="00255F10"/>
    <w:rsid w:val="00256C24"/>
    <w:rsid w:val="0025721E"/>
    <w:rsid w:val="00260405"/>
    <w:rsid w:val="002621EC"/>
    <w:rsid w:val="00263828"/>
    <w:rsid w:val="00263911"/>
    <w:rsid w:val="00263C2D"/>
    <w:rsid w:val="00263D89"/>
    <w:rsid w:val="0026538E"/>
    <w:rsid w:val="002661B5"/>
    <w:rsid w:val="00266252"/>
    <w:rsid w:val="00271052"/>
    <w:rsid w:val="00271603"/>
    <w:rsid w:val="00271A82"/>
    <w:rsid w:val="002725C2"/>
    <w:rsid w:val="00272A16"/>
    <w:rsid w:val="002732A0"/>
    <w:rsid w:val="00274625"/>
    <w:rsid w:val="00275EE5"/>
    <w:rsid w:val="00276327"/>
    <w:rsid w:val="00276A3E"/>
    <w:rsid w:val="00276C65"/>
    <w:rsid w:val="0027725F"/>
    <w:rsid w:val="00277285"/>
    <w:rsid w:val="00280D75"/>
    <w:rsid w:val="00280FD7"/>
    <w:rsid w:val="0028129B"/>
    <w:rsid w:val="00281D1F"/>
    <w:rsid w:val="00281F29"/>
    <w:rsid w:val="00282168"/>
    <w:rsid w:val="00282ADA"/>
    <w:rsid w:val="00282B2A"/>
    <w:rsid w:val="00282C47"/>
    <w:rsid w:val="00285F50"/>
    <w:rsid w:val="0028661E"/>
    <w:rsid w:val="00290265"/>
    <w:rsid w:val="00291155"/>
    <w:rsid w:val="0029180D"/>
    <w:rsid w:val="00291F42"/>
    <w:rsid w:val="0029218F"/>
    <w:rsid w:val="00292C68"/>
    <w:rsid w:val="00292DDD"/>
    <w:rsid w:val="00293EF5"/>
    <w:rsid w:val="002950C9"/>
    <w:rsid w:val="00295E50"/>
    <w:rsid w:val="00295F94"/>
    <w:rsid w:val="002968E3"/>
    <w:rsid w:val="00297B4F"/>
    <w:rsid w:val="00297F5B"/>
    <w:rsid w:val="002A0778"/>
    <w:rsid w:val="002A1031"/>
    <w:rsid w:val="002A14AC"/>
    <w:rsid w:val="002A158B"/>
    <w:rsid w:val="002A1AFA"/>
    <w:rsid w:val="002A3192"/>
    <w:rsid w:val="002A44A4"/>
    <w:rsid w:val="002A497D"/>
    <w:rsid w:val="002A595A"/>
    <w:rsid w:val="002A5AEE"/>
    <w:rsid w:val="002A5E7A"/>
    <w:rsid w:val="002A6B53"/>
    <w:rsid w:val="002A6BED"/>
    <w:rsid w:val="002A7557"/>
    <w:rsid w:val="002A7BAB"/>
    <w:rsid w:val="002B02AD"/>
    <w:rsid w:val="002B03F5"/>
    <w:rsid w:val="002B046C"/>
    <w:rsid w:val="002B0665"/>
    <w:rsid w:val="002B0729"/>
    <w:rsid w:val="002B0F23"/>
    <w:rsid w:val="002B1EA1"/>
    <w:rsid w:val="002B2831"/>
    <w:rsid w:val="002B5A12"/>
    <w:rsid w:val="002B5FDF"/>
    <w:rsid w:val="002B6B19"/>
    <w:rsid w:val="002B71CE"/>
    <w:rsid w:val="002B78B3"/>
    <w:rsid w:val="002C1312"/>
    <w:rsid w:val="002C21F0"/>
    <w:rsid w:val="002C3738"/>
    <w:rsid w:val="002C3E13"/>
    <w:rsid w:val="002C437E"/>
    <w:rsid w:val="002C4B47"/>
    <w:rsid w:val="002C4D2F"/>
    <w:rsid w:val="002C5952"/>
    <w:rsid w:val="002C76BE"/>
    <w:rsid w:val="002D109D"/>
    <w:rsid w:val="002D2102"/>
    <w:rsid w:val="002D2104"/>
    <w:rsid w:val="002D218C"/>
    <w:rsid w:val="002D2971"/>
    <w:rsid w:val="002D492D"/>
    <w:rsid w:val="002D4E0D"/>
    <w:rsid w:val="002D69B4"/>
    <w:rsid w:val="002D6DDD"/>
    <w:rsid w:val="002D6F45"/>
    <w:rsid w:val="002D7C52"/>
    <w:rsid w:val="002E0409"/>
    <w:rsid w:val="002E0A37"/>
    <w:rsid w:val="002E0ED2"/>
    <w:rsid w:val="002E1222"/>
    <w:rsid w:val="002E1265"/>
    <w:rsid w:val="002E1AF4"/>
    <w:rsid w:val="002E2C52"/>
    <w:rsid w:val="002E31F8"/>
    <w:rsid w:val="002E3779"/>
    <w:rsid w:val="002E4EB1"/>
    <w:rsid w:val="002E594A"/>
    <w:rsid w:val="002E6937"/>
    <w:rsid w:val="002E787D"/>
    <w:rsid w:val="002F0E36"/>
    <w:rsid w:val="002F0F8E"/>
    <w:rsid w:val="002F1E99"/>
    <w:rsid w:val="002F2D6C"/>
    <w:rsid w:val="002F34D8"/>
    <w:rsid w:val="002F3A6B"/>
    <w:rsid w:val="002F4F7D"/>
    <w:rsid w:val="002F53A5"/>
    <w:rsid w:val="002F547B"/>
    <w:rsid w:val="002F5E2D"/>
    <w:rsid w:val="002F72FF"/>
    <w:rsid w:val="002F7ADD"/>
    <w:rsid w:val="002F7C55"/>
    <w:rsid w:val="002F7C56"/>
    <w:rsid w:val="00302CC2"/>
    <w:rsid w:val="003046E4"/>
    <w:rsid w:val="0030485A"/>
    <w:rsid w:val="003056B7"/>
    <w:rsid w:val="00306233"/>
    <w:rsid w:val="003068C2"/>
    <w:rsid w:val="003071A1"/>
    <w:rsid w:val="003075E6"/>
    <w:rsid w:val="003107FA"/>
    <w:rsid w:val="00310DD7"/>
    <w:rsid w:val="003112C1"/>
    <w:rsid w:val="00311C26"/>
    <w:rsid w:val="00311C8C"/>
    <w:rsid w:val="003122E4"/>
    <w:rsid w:val="00312E89"/>
    <w:rsid w:val="0031445E"/>
    <w:rsid w:val="00314D6E"/>
    <w:rsid w:val="00315440"/>
    <w:rsid w:val="00320792"/>
    <w:rsid w:val="003208FD"/>
    <w:rsid w:val="00321F6B"/>
    <w:rsid w:val="003229D8"/>
    <w:rsid w:val="00323136"/>
    <w:rsid w:val="00324864"/>
    <w:rsid w:val="0032629F"/>
    <w:rsid w:val="003314D1"/>
    <w:rsid w:val="0033362B"/>
    <w:rsid w:val="0033441E"/>
    <w:rsid w:val="00335146"/>
    <w:rsid w:val="0033548D"/>
    <w:rsid w:val="00335692"/>
    <w:rsid w:val="00335A2F"/>
    <w:rsid w:val="00336941"/>
    <w:rsid w:val="003400A2"/>
    <w:rsid w:val="00341831"/>
    <w:rsid w:val="00341937"/>
    <w:rsid w:val="00342A5D"/>
    <w:rsid w:val="00343517"/>
    <w:rsid w:val="003435E1"/>
    <w:rsid w:val="00343C00"/>
    <w:rsid w:val="00343E3E"/>
    <w:rsid w:val="00345F40"/>
    <w:rsid w:val="00346231"/>
    <w:rsid w:val="0035063C"/>
    <w:rsid w:val="00350694"/>
    <w:rsid w:val="003523F1"/>
    <w:rsid w:val="00352CE0"/>
    <w:rsid w:val="0035360D"/>
    <w:rsid w:val="00353F60"/>
    <w:rsid w:val="00355B10"/>
    <w:rsid w:val="003560B0"/>
    <w:rsid w:val="003569B8"/>
    <w:rsid w:val="00357333"/>
    <w:rsid w:val="00357B9A"/>
    <w:rsid w:val="003609CC"/>
    <w:rsid w:val="00361859"/>
    <w:rsid w:val="00361937"/>
    <w:rsid w:val="00361DF9"/>
    <w:rsid w:val="00363FE3"/>
    <w:rsid w:val="00365F1A"/>
    <w:rsid w:val="00366F0C"/>
    <w:rsid w:val="00367395"/>
    <w:rsid w:val="00367BC8"/>
    <w:rsid w:val="00367E56"/>
    <w:rsid w:val="00370F2E"/>
    <w:rsid w:val="0037237B"/>
    <w:rsid w:val="00374AD2"/>
    <w:rsid w:val="0037673B"/>
    <w:rsid w:val="00376CC4"/>
    <w:rsid w:val="0037735A"/>
    <w:rsid w:val="00377540"/>
    <w:rsid w:val="00377C5D"/>
    <w:rsid w:val="00381562"/>
    <w:rsid w:val="003829DC"/>
    <w:rsid w:val="00383234"/>
    <w:rsid w:val="003832AD"/>
    <w:rsid w:val="00383AE9"/>
    <w:rsid w:val="00383F37"/>
    <w:rsid w:val="0038530C"/>
    <w:rsid w:val="00386089"/>
    <w:rsid w:val="00386B83"/>
    <w:rsid w:val="003901FB"/>
    <w:rsid w:val="00390A7D"/>
    <w:rsid w:val="00391342"/>
    <w:rsid w:val="0039180E"/>
    <w:rsid w:val="00391923"/>
    <w:rsid w:val="00392077"/>
    <w:rsid w:val="0039212D"/>
    <w:rsid w:val="0039252D"/>
    <w:rsid w:val="0039277A"/>
    <w:rsid w:val="0039350B"/>
    <w:rsid w:val="00395E5F"/>
    <w:rsid w:val="003972E0"/>
    <w:rsid w:val="003975ED"/>
    <w:rsid w:val="00397AE9"/>
    <w:rsid w:val="00397D02"/>
    <w:rsid w:val="003A02CE"/>
    <w:rsid w:val="003A0BC8"/>
    <w:rsid w:val="003A3164"/>
    <w:rsid w:val="003A31A6"/>
    <w:rsid w:val="003A4A15"/>
    <w:rsid w:val="003A4CA8"/>
    <w:rsid w:val="003A5BA7"/>
    <w:rsid w:val="003A761F"/>
    <w:rsid w:val="003B0718"/>
    <w:rsid w:val="003B17A9"/>
    <w:rsid w:val="003B1BA0"/>
    <w:rsid w:val="003B20D7"/>
    <w:rsid w:val="003B3765"/>
    <w:rsid w:val="003B3CFB"/>
    <w:rsid w:val="003B3DE9"/>
    <w:rsid w:val="003B3F73"/>
    <w:rsid w:val="003B4BF3"/>
    <w:rsid w:val="003B576A"/>
    <w:rsid w:val="003B5AC6"/>
    <w:rsid w:val="003B5CD4"/>
    <w:rsid w:val="003B60F2"/>
    <w:rsid w:val="003B620F"/>
    <w:rsid w:val="003B6A7D"/>
    <w:rsid w:val="003B6C15"/>
    <w:rsid w:val="003C023A"/>
    <w:rsid w:val="003C1F81"/>
    <w:rsid w:val="003C2CC4"/>
    <w:rsid w:val="003C311D"/>
    <w:rsid w:val="003C4661"/>
    <w:rsid w:val="003C48F0"/>
    <w:rsid w:val="003C4CA8"/>
    <w:rsid w:val="003C5966"/>
    <w:rsid w:val="003C5D4E"/>
    <w:rsid w:val="003C66EF"/>
    <w:rsid w:val="003C6960"/>
    <w:rsid w:val="003C7EC6"/>
    <w:rsid w:val="003D0D33"/>
    <w:rsid w:val="003D147D"/>
    <w:rsid w:val="003D1C6C"/>
    <w:rsid w:val="003D2FFC"/>
    <w:rsid w:val="003D473F"/>
    <w:rsid w:val="003D4B23"/>
    <w:rsid w:val="003D4CD0"/>
    <w:rsid w:val="003D4D65"/>
    <w:rsid w:val="003D4D8B"/>
    <w:rsid w:val="003D67ED"/>
    <w:rsid w:val="003D73DF"/>
    <w:rsid w:val="003D7EAF"/>
    <w:rsid w:val="003E089B"/>
    <w:rsid w:val="003E0CCC"/>
    <w:rsid w:val="003E0E71"/>
    <w:rsid w:val="003E353C"/>
    <w:rsid w:val="003E3640"/>
    <w:rsid w:val="003E3D5D"/>
    <w:rsid w:val="003E4329"/>
    <w:rsid w:val="003E481E"/>
    <w:rsid w:val="003E504E"/>
    <w:rsid w:val="003E58A5"/>
    <w:rsid w:val="003E665D"/>
    <w:rsid w:val="003E679C"/>
    <w:rsid w:val="003E6C43"/>
    <w:rsid w:val="003E7F8F"/>
    <w:rsid w:val="003F0B65"/>
    <w:rsid w:val="003F11DA"/>
    <w:rsid w:val="003F1469"/>
    <w:rsid w:val="003F2599"/>
    <w:rsid w:val="003F34E2"/>
    <w:rsid w:val="003F3BB1"/>
    <w:rsid w:val="003F4049"/>
    <w:rsid w:val="003F4318"/>
    <w:rsid w:val="003F4F5B"/>
    <w:rsid w:val="003F56F7"/>
    <w:rsid w:val="003F5E70"/>
    <w:rsid w:val="003F65B3"/>
    <w:rsid w:val="003F6B60"/>
    <w:rsid w:val="003F6F52"/>
    <w:rsid w:val="004016C4"/>
    <w:rsid w:val="004023AE"/>
    <w:rsid w:val="004026C3"/>
    <w:rsid w:val="00402AE0"/>
    <w:rsid w:val="00402BBB"/>
    <w:rsid w:val="00405546"/>
    <w:rsid w:val="00405634"/>
    <w:rsid w:val="004062B8"/>
    <w:rsid w:val="0040698F"/>
    <w:rsid w:val="0041063E"/>
    <w:rsid w:val="0041145D"/>
    <w:rsid w:val="00411FD0"/>
    <w:rsid w:val="00412D5B"/>
    <w:rsid w:val="0041369F"/>
    <w:rsid w:val="00414007"/>
    <w:rsid w:val="00414921"/>
    <w:rsid w:val="00415273"/>
    <w:rsid w:val="004157C3"/>
    <w:rsid w:val="00415D2C"/>
    <w:rsid w:val="00420A4C"/>
    <w:rsid w:val="00420EF2"/>
    <w:rsid w:val="00422D15"/>
    <w:rsid w:val="00422F70"/>
    <w:rsid w:val="004234FF"/>
    <w:rsid w:val="00424133"/>
    <w:rsid w:val="00424929"/>
    <w:rsid w:val="004249D1"/>
    <w:rsid w:val="00424C80"/>
    <w:rsid w:val="004255A1"/>
    <w:rsid w:val="0042641E"/>
    <w:rsid w:val="00426932"/>
    <w:rsid w:val="00427682"/>
    <w:rsid w:val="0042793E"/>
    <w:rsid w:val="00431517"/>
    <w:rsid w:val="00431FD4"/>
    <w:rsid w:val="004325CB"/>
    <w:rsid w:val="004327E0"/>
    <w:rsid w:val="00432AFE"/>
    <w:rsid w:val="00433DC9"/>
    <w:rsid w:val="00435550"/>
    <w:rsid w:val="00435E72"/>
    <w:rsid w:val="0043602E"/>
    <w:rsid w:val="00437432"/>
    <w:rsid w:val="0043745F"/>
    <w:rsid w:val="00437C35"/>
    <w:rsid w:val="00440FE5"/>
    <w:rsid w:val="004416E2"/>
    <w:rsid w:val="00441C55"/>
    <w:rsid w:val="004421AB"/>
    <w:rsid w:val="00442E1D"/>
    <w:rsid w:val="00443115"/>
    <w:rsid w:val="00443940"/>
    <w:rsid w:val="004439EE"/>
    <w:rsid w:val="0044477A"/>
    <w:rsid w:val="0044503A"/>
    <w:rsid w:val="004454CE"/>
    <w:rsid w:val="00445522"/>
    <w:rsid w:val="004458E4"/>
    <w:rsid w:val="00446DE4"/>
    <w:rsid w:val="00447761"/>
    <w:rsid w:val="00447C92"/>
    <w:rsid w:val="00447D74"/>
    <w:rsid w:val="00447F80"/>
    <w:rsid w:val="004504CB"/>
    <w:rsid w:val="00450979"/>
    <w:rsid w:val="00451EC3"/>
    <w:rsid w:val="0045217F"/>
    <w:rsid w:val="00453851"/>
    <w:rsid w:val="0045539E"/>
    <w:rsid w:val="00455D6B"/>
    <w:rsid w:val="00457D14"/>
    <w:rsid w:val="00460172"/>
    <w:rsid w:val="00460CFF"/>
    <w:rsid w:val="00460E1B"/>
    <w:rsid w:val="00462402"/>
    <w:rsid w:val="0046435F"/>
    <w:rsid w:val="00464494"/>
    <w:rsid w:val="004649F3"/>
    <w:rsid w:val="00465D21"/>
    <w:rsid w:val="0047026B"/>
    <w:rsid w:val="00471C3D"/>
    <w:rsid w:val="00471CE5"/>
    <w:rsid w:val="00471EE8"/>
    <w:rsid w:val="00472002"/>
    <w:rsid w:val="004721B1"/>
    <w:rsid w:val="0047362C"/>
    <w:rsid w:val="004742F7"/>
    <w:rsid w:val="00474503"/>
    <w:rsid w:val="00474EB6"/>
    <w:rsid w:val="0047522D"/>
    <w:rsid w:val="00475FE7"/>
    <w:rsid w:val="00476E27"/>
    <w:rsid w:val="004778D1"/>
    <w:rsid w:val="00477E80"/>
    <w:rsid w:val="00477FC1"/>
    <w:rsid w:val="00481C52"/>
    <w:rsid w:val="004824E9"/>
    <w:rsid w:val="00483192"/>
    <w:rsid w:val="00483F34"/>
    <w:rsid w:val="00484BB0"/>
    <w:rsid w:val="004859EC"/>
    <w:rsid w:val="00486992"/>
    <w:rsid w:val="004878C7"/>
    <w:rsid w:val="00487CEB"/>
    <w:rsid w:val="00487F16"/>
    <w:rsid w:val="004902A4"/>
    <w:rsid w:val="00490753"/>
    <w:rsid w:val="00490B07"/>
    <w:rsid w:val="0049140D"/>
    <w:rsid w:val="0049223A"/>
    <w:rsid w:val="00492522"/>
    <w:rsid w:val="004941F0"/>
    <w:rsid w:val="0049454C"/>
    <w:rsid w:val="004946C9"/>
    <w:rsid w:val="00494DC9"/>
    <w:rsid w:val="00495334"/>
    <w:rsid w:val="00495717"/>
    <w:rsid w:val="0049623C"/>
    <w:rsid w:val="0049634C"/>
    <w:rsid w:val="00496695"/>
    <w:rsid w:val="00496A15"/>
    <w:rsid w:val="00496DFE"/>
    <w:rsid w:val="004A01AC"/>
    <w:rsid w:val="004A06F6"/>
    <w:rsid w:val="004A144E"/>
    <w:rsid w:val="004A3599"/>
    <w:rsid w:val="004A3693"/>
    <w:rsid w:val="004A4A9A"/>
    <w:rsid w:val="004A5217"/>
    <w:rsid w:val="004A6210"/>
    <w:rsid w:val="004A7096"/>
    <w:rsid w:val="004A775A"/>
    <w:rsid w:val="004A7A34"/>
    <w:rsid w:val="004B0666"/>
    <w:rsid w:val="004B0A9F"/>
    <w:rsid w:val="004B1011"/>
    <w:rsid w:val="004B1F87"/>
    <w:rsid w:val="004B2694"/>
    <w:rsid w:val="004B2DBD"/>
    <w:rsid w:val="004B4A95"/>
    <w:rsid w:val="004B5BEB"/>
    <w:rsid w:val="004B6218"/>
    <w:rsid w:val="004B64E5"/>
    <w:rsid w:val="004B75D2"/>
    <w:rsid w:val="004B75FC"/>
    <w:rsid w:val="004B76D8"/>
    <w:rsid w:val="004B7B4A"/>
    <w:rsid w:val="004B7F07"/>
    <w:rsid w:val="004C092A"/>
    <w:rsid w:val="004C1AA5"/>
    <w:rsid w:val="004C230D"/>
    <w:rsid w:val="004C2711"/>
    <w:rsid w:val="004C38B9"/>
    <w:rsid w:val="004C4266"/>
    <w:rsid w:val="004C539D"/>
    <w:rsid w:val="004C59A7"/>
    <w:rsid w:val="004C5BAD"/>
    <w:rsid w:val="004D0578"/>
    <w:rsid w:val="004D0F00"/>
    <w:rsid w:val="004D0F8D"/>
    <w:rsid w:val="004D10EE"/>
    <w:rsid w:val="004D1140"/>
    <w:rsid w:val="004D2136"/>
    <w:rsid w:val="004D25F7"/>
    <w:rsid w:val="004D3E7B"/>
    <w:rsid w:val="004D538A"/>
    <w:rsid w:val="004D5465"/>
    <w:rsid w:val="004D55A4"/>
    <w:rsid w:val="004D6549"/>
    <w:rsid w:val="004D6A84"/>
    <w:rsid w:val="004D702A"/>
    <w:rsid w:val="004D7F23"/>
    <w:rsid w:val="004E2A33"/>
    <w:rsid w:val="004E3407"/>
    <w:rsid w:val="004E47C3"/>
    <w:rsid w:val="004E4E25"/>
    <w:rsid w:val="004E5879"/>
    <w:rsid w:val="004E5C68"/>
    <w:rsid w:val="004E78E2"/>
    <w:rsid w:val="004F0B18"/>
    <w:rsid w:val="004F1ABC"/>
    <w:rsid w:val="004F1CDA"/>
    <w:rsid w:val="004F36CC"/>
    <w:rsid w:val="004F3CAA"/>
    <w:rsid w:val="004F4425"/>
    <w:rsid w:val="004F4638"/>
    <w:rsid w:val="004F4C8E"/>
    <w:rsid w:val="004F4D4B"/>
    <w:rsid w:val="004F51B0"/>
    <w:rsid w:val="004F55ED"/>
    <w:rsid w:val="004F5606"/>
    <w:rsid w:val="004F667E"/>
    <w:rsid w:val="004F700F"/>
    <w:rsid w:val="004F761C"/>
    <w:rsid w:val="004F78B9"/>
    <w:rsid w:val="00500258"/>
    <w:rsid w:val="005006C8"/>
    <w:rsid w:val="00500785"/>
    <w:rsid w:val="00501312"/>
    <w:rsid w:val="005025FD"/>
    <w:rsid w:val="005028E4"/>
    <w:rsid w:val="00502B70"/>
    <w:rsid w:val="00502F57"/>
    <w:rsid w:val="0050327B"/>
    <w:rsid w:val="00504B3D"/>
    <w:rsid w:val="00505A0C"/>
    <w:rsid w:val="00506185"/>
    <w:rsid w:val="0050644D"/>
    <w:rsid w:val="0050689F"/>
    <w:rsid w:val="005068C8"/>
    <w:rsid w:val="00506F31"/>
    <w:rsid w:val="00506F9B"/>
    <w:rsid w:val="00507783"/>
    <w:rsid w:val="005079F2"/>
    <w:rsid w:val="00510337"/>
    <w:rsid w:val="00510B0A"/>
    <w:rsid w:val="00511163"/>
    <w:rsid w:val="0051144D"/>
    <w:rsid w:val="00512485"/>
    <w:rsid w:val="00512A2D"/>
    <w:rsid w:val="00512ED4"/>
    <w:rsid w:val="00513717"/>
    <w:rsid w:val="00513EBB"/>
    <w:rsid w:val="00514902"/>
    <w:rsid w:val="0051540C"/>
    <w:rsid w:val="00516C7F"/>
    <w:rsid w:val="005175D7"/>
    <w:rsid w:val="00517F84"/>
    <w:rsid w:val="00520019"/>
    <w:rsid w:val="0052079F"/>
    <w:rsid w:val="0052176C"/>
    <w:rsid w:val="00521A29"/>
    <w:rsid w:val="00522CDF"/>
    <w:rsid w:val="00524FD0"/>
    <w:rsid w:val="005261E5"/>
    <w:rsid w:val="005267B9"/>
    <w:rsid w:val="00526E93"/>
    <w:rsid w:val="00527649"/>
    <w:rsid w:val="005276F9"/>
    <w:rsid w:val="00530A67"/>
    <w:rsid w:val="00530B09"/>
    <w:rsid w:val="00531786"/>
    <w:rsid w:val="0053178B"/>
    <w:rsid w:val="00533524"/>
    <w:rsid w:val="0053468D"/>
    <w:rsid w:val="00534851"/>
    <w:rsid w:val="00534CD1"/>
    <w:rsid w:val="00535573"/>
    <w:rsid w:val="00535CF8"/>
    <w:rsid w:val="00536172"/>
    <w:rsid w:val="005361D3"/>
    <w:rsid w:val="00537257"/>
    <w:rsid w:val="00537408"/>
    <w:rsid w:val="005379C4"/>
    <w:rsid w:val="0054015B"/>
    <w:rsid w:val="00541E5A"/>
    <w:rsid w:val="005420F2"/>
    <w:rsid w:val="00542574"/>
    <w:rsid w:val="00542895"/>
    <w:rsid w:val="00542A4E"/>
    <w:rsid w:val="005436AB"/>
    <w:rsid w:val="005439BD"/>
    <w:rsid w:val="00543F08"/>
    <w:rsid w:val="0054419F"/>
    <w:rsid w:val="005443AE"/>
    <w:rsid w:val="00544990"/>
    <w:rsid w:val="00544EEC"/>
    <w:rsid w:val="00545551"/>
    <w:rsid w:val="00546459"/>
    <w:rsid w:val="0054674D"/>
    <w:rsid w:val="00546924"/>
    <w:rsid w:val="005469FF"/>
    <w:rsid w:val="00546DBF"/>
    <w:rsid w:val="00551403"/>
    <w:rsid w:val="00551AF6"/>
    <w:rsid w:val="00552677"/>
    <w:rsid w:val="005526F8"/>
    <w:rsid w:val="0055280B"/>
    <w:rsid w:val="005533FC"/>
    <w:rsid w:val="00553730"/>
    <w:rsid w:val="00553CC0"/>
    <w:rsid w:val="00553D76"/>
    <w:rsid w:val="005552B5"/>
    <w:rsid w:val="00555730"/>
    <w:rsid w:val="00556DE7"/>
    <w:rsid w:val="005579DD"/>
    <w:rsid w:val="0056117B"/>
    <w:rsid w:val="00561468"/>
    <w:rsid w:val="00561AA4"/>
    <w:rsid w:val="00562621"/>
    <w:rsid w:val="005626D4"/>
    <w:rsid w:val="00562CA1"/>
    <w:rsid w:val="00563804"/>
    <w:rsid w:val="00563C7D"/>
    <w:rsid w:val="00564520"/>
    <w:rsid w:val="00564A10"/>
    <w:rsid w:val="00564D55"/>
    <w:rsid w:val="005651B8"/>
    <w:rsid w:val="005652E6"/>
    <w:rsid w:val="00565365"/>
    <w:rsid w:val="00565DAA"/>
    <w:rsid w:val="005661BB"/>
    <w:rsid w:val="005663D5"/>
    <w:rsid w:val="00566B8B"/>
    <w:rsid w:val="00571365"/>
    <w:rsid w:val="005717FB"/>
    <w:rsid w:val="00572ED3"/>
    <w:rsid w:val="0057343F"/>
    <w:rsid w:val="00573D7B"/>
    <w:rsid w:val="00574181"/>
    <w:rsid w:val="0057728E"/>
    <w:rsid w:val="00580E48"/>
    <w:rsid w:val="00581856"/>
    <w:rsid w:val="0058227A"/>
    <w:rsid w:val="00583566"/>
    <w:rsid w:val="005838A8"/>
    <w:rsid w:val="00583DFE"/>
    <w:rsid w:val="00584153"/>
    <w:rsid w:val="00584B67"/>
    <w:rsid w:val="005854D0"/>
    <w:rsid w:val="00585ACD"/>
    <w:rsid w:val="005865AF"/>
    <w:rsid w:val="0058702E"/>
    <w:rsid w:val="005901F4"/>
    <w:rsid w:val="005925A4"/>
    <w:rsid w:val="00592696"/>
    <w:rsid w:val="005932E1"/>
    <w:rsid w:val="005963F4"/>
    <w:rsid w:val="00597C37"/>
    <w:rsid w:val="005A061B"/>
    <w:rsid w:val="005A0E16"/>
    <w:rsid w:val="005A0F85"/>
    <w:rsid w:val="005A1705"/>
    <w:rsid w:val="005A5023"/>
    <w:rsid w:val="005A5EC4"/>
    <w:rsid w:val="005A62FC"/>
    <w:rsid w:val="005A6A28"/>
    <w:rsid w:val="005A72C7"/>
    <w:rsid w:val="005B0DBE"/>
    <w:rsid w:val="005B363C"/>
    <w:rsid w:val="005B375F"/>
    <w:rsid w:val="005B3DB3"/>
    <w:rsid w:val="005B46E5"/>
    <w:rsid w:val="005B6D7E"/>
    <w:rsid w:val="005B6E48"/>
    <w:rsid w:val="005C0599"/>
    <w:rsid w:val="005C0F8C"/>
    <w:rsid w:val="005C0FA0"/>
    <w:rsid w:val="005C18BB"/>
    <w:rsid w:val="005C21AF"/>
    <w:rsid w:val="005C3DE6"/>
    <w:rsid w:val="005C4218"/>
    <w:rsid w:val="005C4A06"/>
    <w:rsid w:val="005C6433"/>
    <w:rsid w:val="005C6FDC"/>
    <w:rsid w:val="005C71FB"/>
    <w:rsid w:val="005C755D"/>
    <w:rsid w:val="005D0B05"/>
    <w:rsid w:val="005D0E29"/>
    <w:rsid w:val="005D2283"/>
    <w:rsid w:val="005D3236"/>
    <w:rsid w:val="005D35CF"/>
    <w:rsid w:val="005D3651"/>
    <w:rsid w:val="005D53BE"/>
    <w:rsid w:val="005D5C62"/>
    <w:rsid w:val="005D5C94"/>
    <w:rsid w:val="005D7DE5"/>
    <w:rsid w:val="005E01C1"/>
    <w:rsid w:val="005E04B0"/>
    <w:rsid w:val="005E05EB"/>
    <w:rsid w:val="005E1712"/>
    <w:rsid w:val="005E28DB"/>
    <w:rsid w:val="005E2B56"/>
    <w:rsid w:val="005E35F0"/>
    <w:rsid w:val="005E597B"/>
    <w:rsid w:val="005E5D72"/>
    <w:rsid w:val="005E692B"/>
    <w:rsid w:val="005E7153"/>
    <w:rsid w:val="005E77AF"/>
    <w:rsid w:val="005E7904"/>
    <w:rsid w:val="005F1315"/>
    <w:rsid w:val="005F2B8F"/>
    <w:rsid w:val="005F3CC6"/>
    <w:rsid w:val="005F473D"/>
    <w:rsid w:val="005F6FA2"/>
    <w:rsid w:val="005F7548"/>
    <w:rsid w:val="005F781A"/>
    <w:rsid w:val="005F7FDC"/>
    <w:rsid w:val="006004B9"/>
    <w:rsid w:val="00600B2D"/>
    <w:rsid w:val="006018F8"/>
    <w:rsid w:val="00602A09"/>
    <w:rsid w:val="00603246"/>
    <w:rsid w:val="00604281"/>
    <w:rsid w:val="00604706"/>
    <w:rsid w:val="0060476B"/>
    <w:rsid w:val="00606249"/>
    <w:rsid w:val="00606310"/>
    <w:rsid w:val="0061133E"/>
    <w:rsid w:val="00611FC4"/>
    <w:rsid w:val="00612221"/>
    <w:rsid w:val="0061293A"/>
    <w:rsid w:val="00613E47"/>
    <w:rsid w:val="00613FD9"/>
    <w:rsid w:val="006148DD"/>
    <w:rsid w:val="0061668B"/>
    <w:rsid w:val="00616DCB"/>
    <w:rsid w:val="00616EBA"/>
    <w:rsid w:val="0061700A"/>
    <w:rsid w:val="00617581"/>
    <w:rsid w:val="006176FB"/>
    <w:rsid w:val="00617ED0"/>
    <w:rsid w:val="00617F92"/>
    <w:rsid w:val="00620A71"/>
    <w:rsid w:val="0062155A"/>
    <w:rsid w:val="00622913"/>
    <w:rsid w:val="00623A54"/>
    <w:rsid w:val="00623C5D"/>
    <w:rsid w:val="00624351"/>
    <w:rsid w:val="00624911"/>
    <w:rsid w:val="00625081"/>
    <w:rsid w:val="00625703"/>
    <w:rsid w:val="006260E1"/>
    <w:rsid w:val="00626A50"/>
    <w:rsid w:val="00630926"/>
    <w:rsid w:val="00631D55"/>
    <w:rsid w:val="00632415"/>
    <w:rsid w:val="0063249D"/>
    <w:rsid w:val="0063360F"/>
    <w:rsid w:val="0063458B"/>
    <w:rsid w:val="00634616"/>
    <w:rsid w:val="00634E3C"/>
    <w:rsid w:val="006355D5"/>
    <w:rsid w:val="00635697"/>
    <w:rsid w:val="00635F45"/>
    <w:rsid w:val="006365D9"/>
    <w:rsid w:val="0063675F"/>
    <w:rsid w:val="00637A74"/>
    <w:rsid w:val="00640B26"/>
    <w:rsid w:val="006412D5"/>
    <w:rsid w:val="00641A4D"/>
    <w:rsid w:val="00642547"/>
    <w:rsid w:val="00643751"/>
    <w:rsid w:val="00643FF3"/>
    <w:rsid w:val="006454D7"/>
    <w:rsid w:val="00645BEF"/>
    <w:rsid w:val="00645D97"/>
    <w:rsid w:val="00645ED2"/>
    <w:rsid w:val="00645F52"/>
    <w:rsid w:val="006462F4"/>
    <w:rsid w:val="00646DD8"/>
    <w:rsid w:val="0064718A"/>
    <w:rsid w:val="0064766F"/>
    <w:rsid w:val="006503BD"/>
    <w:rsid w:val="00651254"/>
    <w:rsid w:val="006523D1"/>
    <w:rsid w:val="00652840"/>
    <w:rsid w:val="00653704"/>
    <w:rsid w:val="00653C51"/>
    <w:rsid w:val="00654861"/>
    <w:rsid w:val="0065588A"/>
    <w:rsid w:val="00655B60"/>
    <w:rsid w:val="006563FF"/>
    <w:rsid w:val="006564E7"/>
    <w:rsid w:val="00656C43"/>
    <w:rsid w:val="00656F34"/>
    <w:rsid w:val="006578F6"/>
    <w:rsid w:val="00657E84"/>
    <w:rsid w:val="00660D49"/>
    <w:rsid w:val="00661847"/>
    <w:rsid w:val="006619D7"/>
    <w:rsid w:val="00661BDC"/>
    <w:rsid w:val="006621EC"/>
    <w:rsid w:val="006634B8"/>
    <w:rsid w:val="00664DE3"/>
    <w:rsid w:val="0066546C"/>
    <w:rsid w:val="00665585"/>
    <w:rsid w:val="006656E0"/>
    <w:rsid w:val="006656E2"/>
    <w:rsid w:val="006665D8"/>
    <w:rsid w:val="00666A26"/>
    <w:rsid w:val="00667B72"/>
    <w:rsid w:val="00670741"/>
    <w:rsid w:val="0067173B"/>
    <w:rsid w:val="006738CE"/>
    <w:rsid w:val="006739E6"/>
    <w:rsid w:val="00674A1B"/>
    <w:rsid w:val="00676E07"/>
    <w:rsid w:val="00676E15"/>
    <w:rsid w:val="00676E1B"/>
    <w:rsid w:val="00680F15"/>
    <w:rsid w:val="00680FFF"/>
    <w:rsid w:val="00681BFD"/>
    <w:rsid w:val="006848FB"/>
    <w:rsid w:val="00684F11"/>
    <w:rsid w:val="00685CDF"/>
    <w:rsid w:val="006863A6"/>
    <w:rsid w:val="00686470"/>
    <w:rsid w:val="006907F4"/>
    <w:rsid w:val="0069179B"/>
    <w:rsid w:val="00691BA9"/>
    <w:rsid w:val="00693186"/>
    <w:rsid w:val="006947B6"/>
    <w:rsid w:val="00695C70"/>
    <w:rsid w:val="006963CF"/>
    <w:rsid w:val="00696845"/>
    <w:rsid w:val="00696BD6"/>
    <w:rsid w:val="006972B7"/>
    <w:rsid w:val="00697415"/>
    <w:rsid w:val="006A0B67"/>
    <w:rsid w:val="006A1819"/>
    <w:rsid w:val="006A21E8"/>
    <w:rsid w:val="006A3A09"/>
    <w:rsid w:val="006A575F"/>
    <w:rsid w:val="006A6B9D"/>
    <w:rsid w:val="006A6DA4"/>
    <w:rsid w:val="006A7392"/>
    <w:rsid w:val="006B0214"/>
    <w:rsid w:val="006B20B5"/>
    <w:rsid w:val="006B257D"/>
    <w:rsid w:val="006B3189"/>
    <w:rsid w:val="006B37FE"/>
    <w:rsid w:val="006B4432"/>
    <w:rsid w:val="006B5805"/>
    <w:rsid w:val="006B7D65"/>
    <w:rsid w:val="006C07D3"/>
    <w:rsid w:val="006C0A14"/>
    <w:rsid w:val="006C1A97"/>
    <w:rsid w:val="006C28E4"/>
    <w:rsid w:val="006C32D0"/>
    <w:rsid w:val="006C3CF9"/>
    <w:rsid w:val="006C4403"/>
    <w:rsid w:val="006C573C"/>
    <w:rsid w:val="006C63DD"/>
    <w:rsid w:val="006C6F89"/>
    <w:rsid w:val="006C73A9"/>
    <w:rsid w:val="006D0774"/>
    <w:rsid w:val="006D1AA2"/>
    <w:rsid w:val="006D3257"/>
    <w:rsid w:val="006D3485"/>
    <w:rsid w:val="006D4F37"/>
    <w:rsid w:val="006D51D3"/>
    <w:rsid w:val="006D6DA6"/>
    <w:rsid w:val="006D7F54"/>
    <w:rsid w:val="006E1A5F"/>
    <w:rsid w:val="006E1D26"/>
    <w:rsid w:val="006E2A7C"/>
    <w:rsid w:val="006E2B10"/>
    <w:rsid w:val="006E564B"/>
    <w:rsid w:val="006E59B9"/>
    <w:rsid w:val="006E5B01"/>
    <w:rsid w:val="006E61D3"/>
    <w:rsid w:val="006E66B6"/>
    <w:rsid w:val="006E7F61"/>
    <w:rsid w:val="006F026B"/>
    <w:rsid w:val="006F0C45"/>
    <w:rsid w:val="006F112D"/>
    <w:rsid w:val="006F13F0"/>
    <w:rsid w:val="006F1D07"/>
    <w:rsid w:val="006F22CE"/>
    <w:rsid w:val="006F2B33"/>
    <w:rsid w:val="006F3965"/>
    <w:rsid w:val="006F401D"/>
    <w:rsid w:val="006F5035"/>
    <w:rsid w:val="006F50B3"/>
    <w:rsid w:val="006F5C16"/>
    <w:rsid w:val="006F5E77"/>
    <w:rsid w:val="006F6416"/>
    <w:rsid w:val="006F64F1"/>
    <w:rsid w:val="006F6873"/>
    <w:rsid w:val="006F7582"/>
    <w:rsid w:val="006F7E2D"/>
    <w:rsid w:val="007002A7"/>
    <w:rsid w:val="00700B76"/>
    <w:rsid w:val="00703DA2"/>
    <w:rsid w:val="0070418D"/>
    <w:rsid w:val="0070454D"/>
    <w:rsid w:val="00704EE7"/>
    <w:rsid w:val="00705B9F"/>
    <w:rsid w:val="00706140"/>
    <w:rsid w:val="00706573"/>
    <w:rsid w:val="007065EB"/>
    <w:rsid w:val="00706D8B"/>
    <w:rsid w:val="00706DFC"/>
    <w:rsid w:val="007129BC"/>
    <w:rsid w:val="00712DB4"/>
    <w:rsid w:val="0071404A"/>
    <w:rsid w:val="00714E19"/>
    <w:rsid w:val="00715D0B"/>
    <w:rsid w:val="00715EF3"/>
    <w:rsid w:val="00716590"/>
    <w:rsid w:val="00717C80"/>
    <w:rsid w:val="00720183"/>
    <w:rsid w:val="00720768"/>
    <w:rsid w:val="007213B5"/>
    <w:rsid w:val="00721AEF"/>
    <w:rsid w:val="00721FC4"/>
    <w:rsid w:val="00722472"/>
    <w:rsid w:val="00723151"/>
    <w:rsid w:val="00724026"/>
    <w:rsid w:val="00724B97"/>
    <w:rsid w:val="00725F53"/>
    <w:rsid w:val="00726087"/>
    <w:rsid w:val="00726290"/>
    <w:rsid w:val="0072632A"/>
    <w:rsid w:val="00731840"/>
    <w:rsid w:val="007326F5"/>
    <w:rsid w:val="00732ABD"/>
    <w:rsid w:val="00734073"/>
    <w:rsid w:val="00734555"/>
    <w:rsid w:val="00735C8F"/>
    <w:rsid w:val="00737387"/>
    <w:rsid w:val="00737A2C"/>
    <w:rsid w:val="00741834"/>
    <w:rsid w:val="0074200B"/>
    <w:rsid w:val="00742D7F"/>
    <w:rsid w:val="007430F6"/>
    <w:rsid w:val="00743288"/>
    <w:rsid w:val="00743384"/>
    <w:rsid w:val="00743BE7"/>
    <w:rsid w:val="00744C51"/>
    <w:rsid w:val="00744DC0"/>
    <w:rsid w:val="007458F5"/>
    <w:rsid w:val="00745C8B"/>
    <w:rsid w:val="00746653"/>
    <w:rsid w:val="00747436"/>
    <w:rsid w:val="007476D2"/>
    <w:rsid w:val="007479FC"/>
    <w:rsid w:val="00747AD2"/>
    <w:rsid w:val="00747CB8"/>
    <w:rsid w:val="007508EA"/>
    <w:rsid w:val="00750F61"/>
    <w:rsid w:val="007512CF"/>
    <w:rsid w:val="0075189E"/>
    <w:rsid w:val="00756196"/>
    <w:rsid w:val="007563B6"/>
    <w:rsid w:val="00756643"/>
    <w:rsid w:val="00756892"/>
    <w:rsid w:val="00756D7E"/>
    <w:rsid w:val="00760414"/>
    <w:rsid w:val="0076208D"/>
    <w:rsid w:val="007636F2"/>
    <w:rsid w:val="007643B4"/>
    <w:rsid w:val="007643ED"/>
    <w:rsid w:val="00764FE8"/>
    <w:rsid w:val="007652E8"/>
    <w:rsid w:val="0076626F"/>
    <w:rsid w:val="00766354"/>
    <w:rsid w:val="00766502"/>
    <w:rsid w:val="007665E4"/>
    <w:rsid w:val="00766FC9"/>
    <w:rsid w:val="007715AC"/>
    <w:rsid w:val="00771943"/>
    <w:rsid w:val="007730DF"/>
    <w:rsid w:val="00774400"/>
    <w:rsid w:val="00775644"/>
    <w:rsid w:val="00775AB0"/>
    <w:rsid w:val="0077617F"/>
    <w:rsid w:val="007763C4"/>
    <w:rsid w:val="0077685D"/>
    <w:rsid w:val="00776A73"/>
    <w:rsid w:val="007779AD"/>
    <w:rsid w:val="00777B8C"/>
    <w:rsid w:val="00777C5D"/>
    <w:rsid w:val="00777F94"/>
    <w:rsid w:val="0078117C"/>
    <w:rsid w:val="00781BE3"/>
    <w:rsid w:val="00782360"/>
    <w:rsid w:val="0078261F"/>
    <w:rsid w:val="0078337D"/>
    <w:rsid w:val="007837E8"/>
    <w:rsid w:val="00783943"/>
    <w:rsid w:val="00783A31"/>
    <w:rsid w:val="00784429"/>
    <w:rsid w:val="00784C18"/>
    <w:rsid w:val="00785C22"/>
    <w:rsid w:val="007862D4"/>
    <w:rsid w:val="007865C9"/>
    <w:rsid w:val="00787425"/>
    <w:rsid w:val="00787534"/>
    <w:rsid w:val="00787CE7"/>
    <w:rsid w:val="00787F4C"/>
    <w:rsid w:val="00790B63"/>
    <w:rsid w:val="00790DDB"/>
    <w:rsid w:val="00791444"/>
    <w:rsid w:val="00791A6A"/>
    <w:rsid w:val="007920B5"/>
    <w:rsid w:val="0079238B"/>
    <w:rsid w:val="0079415F"/>
    <w:rsid w:val="00795D02"/>
    <w:rsid w:val="0079624F"/>
    <w:rsid w:val="00797512"/>
    <w:rsid w:val="00797688"/>
    <w:rsid w:val="007A0554"/>
    <w:rsid w:val="007A06E1"/>
    <w:rsid w:val="007A0756"/>
    <w:rsid w:val="007A0D9F"/>
    <w:rsid w:val="007A0EA5"/>
    <w:rsid w:val="007A2151"/>
    <w:rsid w:val="007A3195"/>
    <w:rsid w:val="007A31B1"/>
    <w:rsid w:val="007A334B"/>
    <w:rsid w:val="007A3BF1"/>
    <w:rsid w:val="007A420D"/>
    <w:rsid w:val="007A4D85"/>
    <w:rsid w:val="007A512E"/>
    <w:rsid w:val="007A541C"/>
    <w:rsid w:val="007A59E5"/>
    <w:rsid w:val="007A6296"/>
    <w:rsid w:val="007A63E0"/>
    <w:rsid w:val="007A6F73"/>
    <w:rsid w:val="007A76F0"/>
    <w:rsid w:val="007A79E4"/>
    <w:rsid w:val="007B0A27"/>
    <w:rsid w:val="007B10C0"/>
    <w:rsid w:val="007B29BD"/>
    <w:rsid w:val="007B2FCB"/>
    <w:rsid w:val="007B3800"/>
    <w:rsid w:val="007B3C8C"/>
    <w:rsid w:val="007B432E"/>
    <w:rsid w:val="007B44F6"/>
    <w:rsid w:val="007B50CE"/>
    <w:rsid w:val="007B5BFA"/>
    <w:rsid w:val="007B5CF1"/>
    <w:rsid w:val="007B5FAD"/>
    <w:rsid w:val="007B6074"/>
    <w:rsid w:val="007B6B0E"/>
    <w:rsid w:val="007B6B79"/>
    <w:rsid w:val="007B6BA5"/>
    <w:rsid w:val="007B6D57"/>
    <w:rsid w:val="007B6F3C"/>
    <w:rsid w:val="007B7047"/>
    <w:rsid w:val="007C0CFC"/>
    <w:rsid w:val="007C0F0B"/>
    <w:rsid w:val="007C1080"/>
    <w:rsid w:val="007C1139"/>
    <w:rsid w:val="007C1B62"/>
    <w:rsid w:val="007C3390"/>
    <w:rsid w:val="007C3E78"/>
    <w:rsid w:val="007C4289"/>
    <w:rsid w:val="007C4B70"/>
    <w:rsid w:val="007C4F4B"/>
    <w:rsid w:val="007C611C"/>
    <w:rsid w:val="007C6F82"/>
    <w:rsid w:val="007C79DE"/>
    <w:rsid w:val="007D16D1"/>
    <w:rsid w:val="007D1A05"/>
    <w:rsid w:val="007D2043"/>
    <w:rsid w:val="007D21D9"/>
    <w:rsid w:val="007D2CDC"/>
    <w:rsid w:val="007D4CDB"/>
    <w:rsid w:val="007D4F30"/>
    <w:rsid w:val="007D52AE"/>
    <w:rsid w:val="007D5327"/>
    <w:rsid w:val="007D5E95"/>
    <w:rsid w:val="007D6602"/>
    <w:rsid w:val="007D6F1C"/>
    <w:rsid w:val="007D758C"/>
    <w:rsid w:val="007D7B96"/>
    <w:rsid w:val="007E106C"/>
    <w:rsid w:val="007E1E50"/>
    <w:rsid w:val="007E30D3"/>
    <w:rsid w:val="007E3C2E"/>
    <w:rsid w:val="007E3F82"/>
    <w:rsid w:val="007E4287"/>
    <w:rsid w:val="007E52CA"/>
    <w:rsid w:val="007E6CDB"/>
    <w:rsid w:val="007E7139"/>
    <w:rsid w:val="007E77CA"/>
    <w:rsid w:val="007F02EF"/>
    <w:rsid w:val="007F03D9"/>
    <w:rsid w:val="007F1698"/>
    <w:rsid w:val="007F1D10"/>
    <w:rsid w:val="007F4836"/>
    <w:rsid w:val="007F497D"/>
    <w:rsid w:val="007F4B86"/>
    <w:rsid w:val="007F6611"/>
    <w:rsid w:val="007F7571"/>
    <w:rsid w:val="007F7925"/>
    <w:rsid w:val="008004C7"/>
    <w:rsid w:val="00800E61"/>
    <w:rsid w:val="00800EDD"/>
    <w:rsid w:val="00800F1C"/>
    <w:rsid w:val="008015C1"/>
    <w:rsid w:val="008015D7"/>
    <w:rsid w:val="008016A9"/>
    <w:rsid w:val="0080205C"/>
    <w:rsid w:val="00802726"/>
    <w:rsid w:val="00802748"/>
    <w:rsid w:val="00802E81"/>
    <w:rsid w:val="00803674"/>
    <w:rsid w:val="00804AD3"/>
    <w:rsid w:val="008059E0"/>
    <w:rsid w:val="008060C4"/>
    <w:rsid w:val="00806C2E"/>
    <w:rsid w:val="008075AA"/>
    <w:rsid w:val="00810B1A"/>
    <w:rsid w:val="0081172F"/>
    <w:rsid w:val="00811791"/>
    <w:rsid w:val="00812C81"/>
    <w:rsid w:val="00812F1F"/>
    <w:rsid w:val="008133B2"/>
    <w:rsid w:val="008145C9"/>
    <w:rsid w:val="0081493A"/>
    <w:rsid w:val="008155C3"/>
    <w:rsid w:val="0081644A"/>
    <w:rsid w:val="00816FD3"/>
    <w:rsid w:val="00817025"/>
    <w:rsid w:val="008175E9"/>
    <w:rsid w:val="00821AC4"/>
    <w:rsid w:val="00821C22"/>
    <w:rsid w:val="00821FA3"/>
    <w:rsid w:val="0082243E"/>
    <w:rsid w:val="0082387A"/>
    <w:rsid w:val="008242D7"/>
    <w:rsid w:val="00824896"/>
    <w:rsid w:val="00824C3D"/>
    <w:rsid w:val="00825150"/>
    <w:rsid w:val="008255AB"/>
    <w:rsid w:val="0083139D"/>
    <w:rsid w:val="00831A0C"/>
    <w:rsid w:val="00832B43"/>
    <w:rsid w:val="00834188"/>
    <w:rsid w:val="008342B2"/>
    <w:rsid w:val="0083574F"/>
    <w:rsid w:val="00835FD2"/>
    <w:rsid w:val="00837A7C"/>
    <w:rsid w:val="00840530"/>
    <w:rsid w:val="0084053A"/>
    <w:rsid w:val="00841209"/>
    <w:rsid w:val="00841B87"/>
    <w:rsid w:val="0084204D"/>
    <w:rsid w:val="008429E7"/>
    <w:rsid w:val="0084365E"/>
    <w:rsid w:val="00845829"/>
    <w:rsid w:val="00846A33"/>
    <w:rsid w:val="0084705C"/>
    <w:rsid w:val="00851540"/>
    <w:rsid w:val="008524A9"/>
    <w:rsid w:val="00855D3E"/>
    <w:rsid w:val="008562AC"/>
    <w:rsid w:val="00856358"/>
    <w:rsid w:val="00856C6C"/>
    <w:rsid w:val="00856CD2"/>
    <w:rsid w:val="00856E4A"/>
    <w:rsid w:val="00857780"/>
    <w:rsid w:val="00861BC6"/>
    <w:rsid w:val="008624E2"/>
    <w:rsid w:val="00862EC0"/>
    <w:rsid w:val="00863774"/>
    <w:rsid w:val="008641EB"/>
    <w:rsid w:val="00864CFD"/>
    <w:rsid w:val="0086779D"/>
    <w:rsid w:val="00867E72"/>
    <w:rsid w:val="00870B69"/>
    <w:rsid w:val="008713B7"/>
    <w:rsid w:val="008715D3"/>
    <w:rsid w:val="00871626"/>
    <w:rsid w:val="00871943"/>
    <w:rsid w:val="00871FD5"/>
    <w:rsid w:val="0087268B"/>
    <w:rsid w:val="00874246"/>
    <w:rsid w:val="00874916"/>
    <w:rsid w:val="008756B8"/>
    <w:rsid w:val="00877E56"/>
    <w:rsid w:val="00880C71"/>
    <w:rsid w:val="008817D3"/>
    <w:rsid w:val="00883E6E"/>
    <w:rsid w:val="008847BB"/>
    <w:rsid w:val="00885429"/>
    <w:rsid w:val="008856A6"/>
    <w:rsid w:val="00885ED4"/>
    <w:rsid w:val="00886693"/>
    <w:rsid w:val="00887009"/>
    <w:rsid w:val="008872A1"/>
    <w:rsid w:val="00887E38"/>
    <w:rsid w:val="008907D1"/>
    <w:rsid w:val="008910F6"/>
    <w:rsid w:val="008917DA"/>
    <w:rsid w:val="00892399"/>
    <w:rsid w:val="00892F79"/>
    <w:rsid w:val="0089311D"/>
    <w:rsid w:val="00893577"/>
    <w:rsid w:val="00893A37"/>
    <w:rsid w:val="00893F1A"/>
    <w:rsid w:val="00894CA3"/>
    <w:rsid w:val="0089536B"/>
    <w:rsid w:val="00895596"/>
    <w:rsid w:val="008955FF"/>
    <w:rsid w:val="00895E2F"/>
    <w:rsid w:val="008964AC"/>
    <w:rsid w:val="00896D6B"/>
    <w:rsid w:val="0089712D"/>
    <w:rsid w:val="008979B1"/>
    <w:rsid w:val="008A0231"/>
    <w:rsid w:val="008A084C"/>
    <w:rsid w:val="008A16EA"/>
    <w:rsid w:val="008A3E9B"/>
    <w:rsid w:val="008A4375"/>
    <w:rsid w:val="008A43FC"/>
    <w:rsid w:val="008A4B80"/>
    <w:rsid w:val="008A52D6"/>
    <w:rsid w:val="008A5B90"/>
    <w:rsid w:val="008A5C8C"/>
    <w:rsid w:val="008A6B25"/>
    <w:rsid w:val="008A6C4F"/>
    <w:rsid w:val="008A74DA"/>
    <w:rsid w:val="008A74F9"/>
    <w:rsid w:val="008B0030"/>
    <w:rsid w:val="008B0AF5"/>
    <w:rsid w:val="008B15B1"/>
    <w:rsid w:val="008B2102"/>
    <w:rsid w:val="008B271E"/>
    <w:rsid w:val="008B547F"/>
    <w:rsid w:val="008B5C01"/>
    <w:rsid w:val="008B5DF4"/>
    <w:rsid w:val="008B61B7"/>
    <w:rsid w:val="008B62C7"/>
    <w:rsid w:val="008B65BB"/>
    <w:rsid w:val="008B67B8"/>
    <w:rsid w:val="008C0183"/>
    <w:rsid w:val="008C0A1E"/>
    <w:rsid w:val="008C0B45"/>
    <w:rsid w:val="008C0BA4"/>
    <w:rsid w:val="008C148D"/>
    <w:rsid w:val="008C14C4"/>
    <w:rsid w:val="008C1BA8"/>
    <w:rsid w:val="008C1E4D"/>
    <w:rsid w:val="008C2C9F"/>
    <w:rsid w:val="008C30C2"/>
    <w:rsid w:val="008C335E"/>
    <w:rsid w:val="008C44BD"/>
    <w:rsid w:val="008C4BB0"/>
    <w:rsid w:val="008C51BF"/>
    <w:rsid w:val="008C553F"/>
    <w:rsid w:val="008C58C3"/>
    <w:rsid w:val="008C69A3"/>
    <w:rsid w:val="008C6B9C"/>
    <w:rsid w:val="008C7407"/>
    <w:rsid w:val="008D0135"/>
    <w:rsid w:val="008D071A"/>
    <w:rsid w:val="008D134B"/>
    <w:rsid w:val="008D1711"/>
    <w:rsid w:val="008D1B8A"/>
    <w:rsid w:val="008D345A"/>
    <w:rsid w:val="008D4CF1"/>
    <w:rsid w:val="008D4F7D"/>
    <w:rsid w:val="008D50BC"/>
    <w:rsid w:val="008D52C9"/>
    <w:rsid w:val="008D54AA"/>
    <w:rsid w:val="008D551D"/>
    <w:rsid w:val="008E0841"/>
    <w:rsid w:val="008E0899"/>
    <w:rsid w:val="008E0E46"/>
    <w:rsid w:val="008E108B"/>
    <w:rsid w:val="008E3125"/>
    <w:rsid w:val="008E3B07"/>
    <w:rsid w:val="008E3B8A"/>
    <w:rsid w:val="008E4589"/>
    <w:rsid w:val="008E4D66"/>
    <w:rsid w:val="008E4FFD"/>
    <w:rsid w:val="008E6016"/>
    <w:rsid w:val="008E6137"/>
    <w:rsid w:val="008E70BE"/>
    <w:rsid w:val="008E73FF"/>
    <w:rsid w:val="008F2597"/>
    <w:rsid w:val="008F29E9"/>
    <w:rsid w:val="008F3090"/>
    <w:rsid w:val="008F3C45"/>
    <w:rsid w:val="008F5564"/>
    <w:rsid w:val="008F5923"/>
    <w:rsid w:val="008F5CA5"/>
    <w:rsid w:val="008F7F5B"/>
    <w:rsid w:val="00900099"/>
    <w:rsid w:val="00900E86"/>
    <w:rsid w:val="00901100"/>
    <w:rsid w:val="0090180E"/>
    <w:rsid w:val="00902553"/>
    <w:rsid w:val="0090452C"/>
    <w:rsid w:val="009056AD"/>
    <w:rsid w:val="00905EEA"/>
    <w:rsid w:val="00906257"/>
    <w:rsid w:val="009065AA"/>
    <w:rsid w:val="0090729C"/>
    <w:rsid w:val="00907ADE"/>
    <w:rsid w:val="00907C3F"/>
    <w:rsid w:val="00910DA0"/>
    <w:rsid w:val="009118A6"/>
    <w:rsid w:val="009123D8"/>
    <w:rsid w:val="00912B81"/>
    <w:rsid w:val="0091344A"/>
    <w:rsid w:val="00913E1B"/>
    <w:rsid w:val="00913FE2"/>
    <w:rsid w:val="00914164"/>
    <w:rsid w:val="009145D5"/>
    <w:rsid w:val="00914CCF"/>
    <w:rsid w:val="009158C6"/>
    <w:rsid w:val="00917857"/>
    <w:rsid w:val="00920663"/>
    <w:rsid w:val="009207A0"/>
    <w:rsid w:val="00921202"/>
    <w:rsid w:val="0092237C"/>
    <w:rsid w:val="00922580"/>
    <w:rsid w:val="00922C40"/>
    <w:rsid w:val="00923A51"/>
    <w:rsid w:val="0092475F"/>
    <w:rsid w:val="009249F7"/>
    <w:rsid w:val="009255DF"/>
    <w:rsid w:val="009262B5"/>
    <w:rsid w:val="0092690F"/>
    <w:rsid w:val="00926F2C"/>
    <w:rsid w:val="00927737"/>
    <w:rsid w:val="009277F5"/>
    <w:rsid w:val="009279B6"/>
    <w:rsid w:val="00927C1C"/>
    <w:rsid w:val="00932635"/>
    <w:rsid w:val="009330CB"/>
    <w:rsid w:val="00933AF8"/>
    <w:rsid w:val="00933BAE"/>
    <w:rsid w:val="00935062"/>
    <w:rsid w:val="0093707B"/>
    <w:rsid w:val="009376C6"/>
    <w:rsid w:val="009400EB"/>
    <w:rsid w:val="00940F5F"/>
    <w:rsid w:val="00941454"/>
    <w:rsid w:val="00941A8B"/>
    <w:rsid w:val="009426EC"/>
    <w:rsid w:val="009427E3"/>
    <w:rsid w:val="00945ADA"/>
    <w:rsid w:val="00946575"/>
    <w:rsid w:val="00946C69"/>
    <w:rsid w:val="009509B9"/>
    <w:rsid w:val="00951A5A"/>
    <w:rsid w:val="009523D4"/>
    <w:rsid w:val="00952870"/>
    <w:rsid w:val="00952915"/>
    <w:rsid w:val="00953106"/>
    <w:rsid w:val="00953774"/>
    <w:rsid w:val="00954DC4"/>
    <w:rsid w:val="00956519"/>
    <w:rsid w:val="009566C8"/>
    <w:rsid w:val="00956CD4"/>
    <w:rsid w:val="00956D9B"/>
    <w:rsid w:val="0095748B"/>
    <w:rsid w:val="009602BF"/>
    <w:rsid w:val="0096067A"/>
    <w:rsid w:val="00960E15"/>
    <w:rsid w:val="0096137E"/>
    <w:rsid w:val="0096138C"/>
    <w:rsid w:val="00961DA5"/>
    <w:rsid w:val="0096220F"/>
    <w:rsid w:val="00963183"/>
    <w:rsid w:val="00963CBA"/>
    <w:rsid w:val="00963D6F"/>
    <w:rsid w:val="0096434F"/>
    <w:rsid w:val="00964698"/>
    <w:rsid w:val="009654B7"/>
    <w:rsid w:val="00967EB9"/>
    <w:rsid w:val="00970634"/>
    <w:rsid w:val="009718DE"/>
    <w:rsid w:val="00971B9B"/>
    <w:rsid w:val="00971CD5"/>
    <w:rsid w:val="00973197"/>
    <w:rsid w:val="009732CE"/>
    <w:rsid w:val="0097444D"/>
    <w:rsid w:val="00974689"/>
    <w:rsid w:val="00975369"/>
    <w:rsid w:val="00976C71"/>
    <w:rsid w:val="00977226"/>
    <w:rsid w:val="00977FC9"/>
    <w:rsid w:val="00980002"/>
    <w:rsid w:val="00980336"/>
    <w:rsid w:val="0098161C"/>
    <w:rsid w:val="00982229"/>
    <w:rsid w:val="009829B8"/>
    <w:rsid w:val="00982B3F"/>
    <w:rsid w:val="0098453F"/>
    <w:rsid w:val="009856F4"/>
    <w:rsid w:val="00985BC0"/>
    <w:rsid w:val="009873E9"/>
    <w:rsid w:val="00987935"/>
    <w:rsid w:val="0099048B"/>
    <w:rsid w:val="009911AD"/>
    <w:rsid w:val="00991261"/>
    <w:rsid w:val="0099182E"/>
    <w:rsid w:val="00991C4B"/>
    <w:rsid w:val="0099263C"/>
    <w:rsid w:val="00993738"/>
    <w:rsid w:val="0099422D"/>
    <w:rsid w:val="0099431F"/>
    <w:rsid w:val="00994A19"/>
    <w:rsid w:val="00994BD6"/>
    <w:rsid w:val="00994D3E"/>
    <w:rsid w:val="00995FA8"/>
    <w:rsid w:val="009972AA"/>
    <w:rsid w:val="0099758B"/>
    <w:rsid w:val="00997EC9"/>
    <w:rsid w:val="009A0B83"/>
    <w:rsid w:val="009A0BF7"/>
    <w:rsid w:val="009A0D94"/>
    <w:rsid w:val="009A225E"/>
    <w:rsid w:val="009A266D"/>
    <w:rsid w:val="009A2B74"/>
    <w:rsid w:val="009A2C16"/>
    <w:rsid w:val="009A317C"/>
    <w:rsid w:val="009A3EE0"/>
    <w:rsid w:val="009A418C"/>
    <w:rsid w:val="009A4A5C"/>
    <w:rsid w:val="009A53FF"/>
    <w:rsid w:val="009A5789"/>
    <w:rsid w:val="009A59DE"/>
    <w:rsid w:val="009A65EB"/>
    <w:rsid w:val="009A79B1"/>
    <w:rsid w:val="009B07F6"/>
    <w:rsid w:val="009B3800"/>
    <w:rsid w:val="009B47A2"/>
    <w:rsid w:val="009B4E3A"/>
    <w:rsid w:val="009B5353"/>
    <w:rsid w:val="009B5ACB"/>
    <w:rsid w:val="009B5B4A"/>
    <w:rsid w:val="009B663D"/>
    <w:rsid w:val="009B6B67"/>
    <w:rsid w:val="009B7531"/>
    <w:rsid w:val="009B75BB"/>
    <w:rsid w:val="009C0409"/>
    <w:rsid w:val="009C0BE2"/>
    <w:rsid w:val="009C0D2B"/>
    <w:rsid w:val="009C12BB"/>
    <w:rsid w:val="009C317B"/>
    <w:rsid w:val="009C39F5"/>
    <w:rsid w:val="009C44FA"/>
    <w:rsid w:val="009C4536"/>
    <w:rsid w:val="009C5F47"/>
    <w:rsid w:val="009C75E7"/>
    <w:rsid w:val="009D0267"/>
    <w:rsid w:val="009D1037"/>
    <w:rsid w:val="009D1A79"/>
    <w:rsid w:val="009D221A"/>
    <w:rsid w:val="009D22AC"/>
    <w:rsid w:val="009D2EE3"/>
    <w:rsid w:val="009D2F5A"/>
    <w:rsid w:val="009D383F"/>
    <w:rsid w:val="009D3B60"/>
    <w:rsid w:val="009D3C2D"/>
    <w:rsid w:val="009D40F0"/>
    <w:rsid w:val="009D42EC"/>
    <w:rsid w:val="009D442E"/>
    <w:rsid w:val="009D50DB"/>
    <w:rsid w:val="009D598E"/>
    <w:rsid w:val="009D5AB8"/>
    <w:rsid w:val="009D63D8"/>
    <w:rsid w:val="009D75A3"/>
    <w:rsid w:val="009D75AF"/>
    <w:rsid w:val="009E0082"/>
    <w:rsid w:val="009E0459"/>
    <w:rsid w:val="009E1420"/>
    <w:rsid w:val="009E1606"/>
    <w:rsid w:val="009E17C6"/>
    <w:rsid w:val="009E1C4E"/>
    <w:rsid w:val="009E267A"/>
    <w:rsid w:val="009E2937"/>
    <w:rsid w:val="009E3AC2"/>
    <w:rsid w:val="009E4ADE"/>
    <w:rsid w:val="009E4D6C"/>
    <w:rsid w:val="009E76AB"/>
    <w:rsid w:val="009E7807"/>
    <w:rsid w:val="009F0C7D"/>
    <w:rsid w:val="009F152A"/>
    <w:rsid w:val="009F34B0"/>
    <w:rsid w:val="009F4595"/>
    <w:rsid w:val="009F4706"/>
    <w:rsid w:val="009F53D5"/>
    <w:rsid w:val="009F563C"/>
    <w:rsid w:val="009F5FDF"/>
    <w:rsid w:val="009F6F11"/>
    <w:rsid w:val="009F781C"/>
    <w:rsid w:val="00A0036A"/>
    <w:rsid w:val="00A0241F"/>
    <w:rsid w:val="00A02A64"/>
    <w:rsid w:val="00A031E3"/>
    <w:rsid w:val="00A0342E"/>
    <w:rsid w:val="00A0398C"/>
    <w:rsid w:val="00A03A1C"/>
    <w:rsid w:val="00A03AE4"/>
    <w:rsid w:val="00A045D9"/>
    <w:rsid w:val="00A04D67"/>
    <w:rsid w:val="00A05DA0"/>
    <w:rsid w:val="00A05E0B"/>
    <w:rsid w:val="00A062C8"/>
    <w:rsid w:val="00A06B69"/>
    <w:rsid w:val="00A1071A"/>
    <w:rsid w:val="00A10825"/>
    <w:rsid w:val="00A11A0A"/>
    <w:rsid w:val="00A120BD"/>
    <w:rsid w:val="00A12A36"/>
    <w:rsid w:val="00A14163"/>
    <w:rsid w:val="00A1427D"/>
    <w:rsid w:val="00A14432"/>
    <w:rsid w:val="00A14630"/>
    <w:rsid w:val="00A15629"/>
    <w:rsid w:val="00A1589C"/>
    <w:rsid w:val="00A15B1A"/>
    <w:rsid w:val="00A2047F"/>
    <w:rsid w:val="00A21A61"/>
    <w:rsid w:val="00A239A3"/>
    <w:rsid w:val="00A24141"/>
    <w:rsid w:val="00A245BF"/>
    <w:rsid w:val="00A24E21"/>
    <w:rsid w:val="00A24ED3"/>
    <w:rsid w:val="00A25BC8"/>
    <w:rsid w:val="00A25EE6"/>
    <w:rsid w:val="00A268C9"/>
    <w:rsid w:val="00A27066"/>
    <w:rsid w:val="00A32D03"/>
    <w:rsid w:val="00A3350D"/>
    <w:rsid w:val="00A34085"/>
    <w:rsid w:val="00A343A0"/>
    <w:rsid w:val="00A34C71"/>
    <w:rsid w:val="00A35234"/>
    <w:rsid w:val="00A36177"/>
    <w:rsid w:val="00A36620"/>
    <w:rsid w:val="00A42442"/>
    <w:rsid w:val="00A435E7"/>
    <w:rsid w:val="00A436EF"/>
    <w:rsid w:val="00A44515"/>
    <w:rsid w:val="00A456D2"/>
    <w:rsid w:val="00A45AFF"/>
    <w:rsid w:val="00A4634F"/>
    <w:rsid w:val="00A4720C"/>
    <w:rsid w:val="00A472EB"/>
    <w:rsid w:val="00A50A4F"/>
    <w:rsid w:val="00A51CF3"/>
    <w:rsid w:val="00A52282"/>
    <w:rsid w:val="00A5291F"/>
    <w:rsid w:val="00A52D85"/>
    <w:rsid w:val="00A52F40"/>
    <w:rsid w:val="00A53C70"/>
    <w:rsid w:val="00A54FAB"/>
    <w:rsid w:val="00A5590E"/>
    <w:rsid w:val="00A578A5"/>
    <w:rsid w:val="00A57D0C"/>
    <w:rsid w:val="00A60124"/>
    <w:rsid w:val="00A60809"/>
    <w:rsid w:val="00A611E8"/>
    <w:rsid w:val="00A6125D"/>
    <w:rsid w:val="00A61FEA"/>
    <w:rsid w:val="00A628AB"/>
    <w:rsid w:val="00A6304F"/>
    <w:rsid w:val="00A63455"/>
    <w:rsid w:val="00A64183"/>
    <w:rsid w:val="00A64604"/>
    <w:rsid w:val="00A64A14"/>
    <w:rsid w:val="00A64A80"/>
    <w:rsid w:val="00A65842"/>
    <w:rsid w:val="00A66CC5"/>
    <w:rsid w:val="00A6749B"/>
    <w:rsid w:val="00A679DB"/>
    <w:rsid w:val="00A70448"/>
    <w:rsid w:val="00A70EBB"/>
    <w:rsid w:val="00A71CF7"/>
    <w:rsid w:val="00A72F22"/>
    <w:rsid w:val="00A73D32"/>
    <w:rsid w:val="00A73E07"/>
    <w:rsid w:val="00A748A6"/>
    <w:rsid w:val="00A768B5"/>
    <w:rsid w:val="00A76D39"/>
    <w:rsid w:val="00A76DED"/>
    <w:rsid w:val="00A7797E"/>
    <w:rsid w:val="00A80B0D"/>
    <w:rsid w:val="00A80F99"/>
    <w:rsid w:val="00A81306"/>
    <w:rsid w:val="00A83A95"/>
    <w:rsid w:val="00A83C98"/>
    <w:rsid w:val="00A843AF"/>
    <w:rsid w:val="00A85037"/>
    <w:rsid w:val="00A8519F"/>
    <w:rsid w:val="00A8533C"/>
    <w:rsid w:val="00A860C1"/>
    <w:rsid w:val="00A8676B"/>
    <w:rsid w:val="00A86B60"/>
    <w:rsid w:val="00A86E93"/>
    <w:rsid w:val="00A879A4"/>
    <w:rsid w:val="00A87C14"/>
    <w:rsid w:val="00A87E95"/>
    <w:rsid w:val="00A90463"/>
    <w:rsid w:val="00A90B54"/>
    <w:rsid w:val="00A90C28"/>
    <w:rsid w:val="00A90D66"/>
    <w:rsid w:val="00A90E16"/>
    <w:rsid w:val="00A91526"/>
    <w:rsid w:val="00A91568"/>
    <w:rsid w:val="00A91C2F"/>
    <w:rsid w:val="00A92BA2"/>
    <w:rsid w:val="00A92E29"/>
    <w:rsid w:val="00A9314A"/>
    <w:rsid w:val="00A93EF2"/>
    <w:rsid w:val="00A941D8"/>
    <w:rsid w:val="00A95524"/>
    <w:rsid w:val="00A96906"/>
    <w:rsid w:val="00A9734A"/>
    <w:rsid w:val="00A9767D"/>
    <w:rsid w:val="00AA0D8F"/>
    <w:rsid w:val="00AA13CA"/>
    <w:rsid w:val="00AA21D5"/>
    <w:rsid w:val="00AA3092"/>
    <w:rsid w:val="00AA311B"/>
    <w:rsid w:val="00AA3461"/>
    <w:rsid w:val="00AA3DDD"/>
    <w:rsid w:val="00AA4743"/>
    <w:rsid w:val="00AA4994"/>
    <w:rsid w:val="00AA4D8D"/>
    <w:rsid w:val="00AA4E0E"/>
    <w:rsid w:val="00AA7188"/>
    <w:rsid w:val="00AA7307"/>
    <w:rsid w:val="00AA744B"/>
    <w:rsid w:val="00AB00CA"/>
    <w:rsid w:val="00AB11EC"/>
    <w:rsid w:val="00AB1977"/>
    <w:rsid w:val="00AB1AF8"/>
    <w:rsid w:val="00AB2F69"/>
    <w:rsid w:val="00AB3D9D"/>
    <w:rsid w:val="00AB3F22"/>
    <w:rsid w:val="00AB4436"/>
    <w:rsid w:val="00AB484D"/>
    <w:rsid w:val="00AB5150"/>
    <w:rsid w:val="00AB6882"/>
    <w:rsid w:val="00AB6DFA"/>
    <w:rsid w:val="00AB764D"/>
    <w:rsid w:val="00AC0617"/>
    <w:rsid w:val="00AC2163"/>
    <w:rsid w:val="00AC2F67"/>
    <w:rsid w:val="00AC3127"/>
    <w:rsid w:val="00AC329B"/>
    <w:rsid w:val="00AC3456"/>
    <w:rsid w:val="00AC362D"/>
    <w:rsid w:val="00AC3D77"/>
    <w:rsid w:val="00AC51E6"/>
    <w:rsid w:val="00AC55C3"/>
    <w:rsid w:val="00AC5AE2"/>
    <w:rsid w:val="00AC5CCC"/>
    <w:rsid w:val="00AC64BF"/>
    <w:rsid w:val="00AC65BB"/>
    <w:rsid w:val="00AC67E0"/>
    <w:rsid w:val="00AC6CD4"/>
    <w:rsid w:val="00AC73CD"/>
    <w:rsid w:val="00AC78FA"/>
    <w:rsid w:val="00AC790A"/>
    <w:rsid w:val="00AD09E9"/>
    <w:rsid w:val="00AD0F93"/>
    <w:rsid w:val="00AD3823"/>
    <w:rsid w:val="00AD3B7B"/>
    <w:rsid w:val="00AD4A06"/>
    <w:rsid w:val="00AD4F53"/>
    <w:rsid w:val="00AD5E90"/>
    <w:rsid w:val="00AD6CAF"/>
    <w:rsid w:val="00AD7EBA"/>
    <w:rsid w:val="00AE0D38"/>
    <w:rsid w:val="00AE13AD"/>
    <w:rsid w:val="00AE1D3E"/>
    <w:rsid w:val="00AE216B"/>
    <w:rsid w:val="00AE21CA"/>
    <w:rsid w:val="00AE2DB6"/>
    <w:rsid w:val="00AE4015"/>
    <w:rsid w:val="00AE4931"/>
    <w:rsid w:val="00AE4A81"/>
    <w:rsid w:val="00AE51FB"/>
    <w:rsid w:val="00AE533F"/>
    <w:rsid w:val="00AE6649"/>
    <w:rsid w:val="00AF0576"/>
    <w:rsid w:val="00AF195D"/>
    <w:rsid w:val="00AF2821"/>
    <w:rsid w:val="00AF3829"/>
    <w:rsid w:val="00AF3DF1"/>
    <w:rsid w:val="00AF45EF"/>
    <w:rsid w:val="00AF5FF9"/>
    <w:rsid w:val="00AF6BA1"/>
    <w:rsid w:val="00AF7CD6"/>
    <w:rsid w:val="00B004B7"/>
    <w:rsid w:val="00B00595"/>
    <w:rsid w:val="00B007BB"/>
    <w:rsid w:val="00B01717"/>
    <w:rsid w:val="00B022F0"/>
    <w:rsid w:val="00B03350"/>
    <w:rsid w:val="00B034AE"/>
    <w:rsid w:val="00B037F0"/>
    <w:rsid w:val="00B03A47"/>
    <w:rsid w:val="00B03D01"/>
    <w:rsid w:val="00B0465A"/>
    <w:rsid w:val="00B04AA3"/>
    <w:rsid w:val="00B04B5D"/>
    <w:rsid w:val="00B05013"/>
    <w:rsid w:val="00B05918"/>
    <w:rsid w:val="00B05D7F"/>
    <w:rsid w:val="00B06715"/>
    <w:rsid w:val="00B06B85"/>
    <w:rsid w:val="00B07AE1"/>
    <w:rsid w:val="00B07FB4"/>
    <w:rsid w:val="00B10035"/>
    <w:rsid w:val="00B100A7"/>
    <w:rsid w:val="00B103D2"/>
    <w:rsid w:val="00B1224E"/>
    <w:rsid w:val="00B122F7"/>
    <w:rsid w:val="00B1334F"/>
    <w:rsid w:val="00B13537"/>
    <w:rsid w:val="00B1533D"/>
    <w:rsid w:val="00B166F4"/>
    <w:rsid w:val="00B17ABA"/>
    <w:rsid w:val="00B20CBB"/>
    <w:rsid w:val="00B213FB"/>
    <w:rsid w:val="00B216C3"/>
    <w:rsid w:val="00B21FC1"/>
    <w:rsid w:val="00B221E8"/>
    <w:rsid w:val="00B2327D"/>
    <w:rsid w:val="00B2365F"/>
    <w:rsid w:val="00B2368A"/>
    <w:rsid w:val="00B23BD7"/>
    <w:rsid w:val="00B23F6F"/>
    <w:rsid w:val="00B24232"/>
    <w:rsid w:val="00B2471E"/>
    <w:rsid w:val="00B25597"/>
    <w:rsid w:val="00B261E9"/>
    <w:rsid w:val="00B26373"/>
    <w:rsid w:val="00B264A7"/>
    <w:rsid w:val="00B26631"/>
    <w:rsid w:val="00B26F75"/>
    <w:rsid w:val="00B2718F"/>
    <w:rsid w:val="00B27712"/>
    <w:rsid w:val="00B30179"/>
    <w:rsid w:val="00B308E6"/>
    <w:rsid w:val="00B30C49"/>
    <w:rsid w:val="00B317BE"/>
    <w:rsid w:val="00B31EE1"/>
    <w:rsid w:val="00B32FFB"/>
    <w:rsid w:val="00B3317B"/>
    <w:rsid w:val="00B3344E"/>
    <w:rsid w:val="00B334DC"/>
    <w:rsid w:val="00B3351A"/>
    <w:rsid w:val="00B33612"/>
    <w:rsid w:val="00B35539"/>
    <w:rsid w:val="00B35638"/>
    <w:rsid w:val="00B36012"/>
    <w:rsid w:val="00B3631A"/>
    <w:rsid w:val="00B366FD"/>
    <w:rsid w:val="00B37811"/>
    <w:rsid w:val="00B37826"/>
    <w:rsid w:val="00B40296"/>
    <w:rsid w:val="00B41CE3"/>
    <w:rsid w:val="00B41E8D"/>
    <w:rsid w:val="00B4204A"/>
    <w:rsid w:val="00B42BC1"/>
    <w:rsid w:val="00B43BEF"/>
    <w:rsid w:val="00B44CEB"/>
    <w:rsid w:val="00B44E06"/>
    <w:rsid w:val="00B469A9"/>
    <w:rsid w:val="00B47707"/>
    <w:rsid w:val="00B47BB6"/>
    <w:rsid w:val="00B47EA3"/>
    <w:rsid w:val="00B504F9"/>
    <w:rsid w:val="00B514B6"/>
    <w:rsid w:val="00B515A5"/>
    <w:rsid w:val="00B515B4"/>
    <w:rsid w:val="00B517A0"/>
    <w:rsid w:val="00B53013"/>
    <w:rsid w:val="00B53E61"/>
    <w:rsid w:val="00B53E9E"/>
    <w:rsid w:val="00B54CFF"/>
    <w:rsid w:val="00B54F67"/>
    <w:rsid w:val="00B5679C"/>
    <w:rsid w:val="00B5780B"/>
    <w:rsid w:val="00B57E0B"/>
    <w:rsid w:val="00B617B5"/>
    <w:rsid w:val="00B619C4"/>
    <w:rsid w:val="00B619FA"/>
    <w:rsid w:val="00B621E7"/>
    <w:rsid w:val="00B62AD2"/>
    <w:rsid w:val="00B641DF"/>
    <w:rsid w:val="00B64F05"/>
    <w:rsid w:val="00B654B9"/>
    <w:rsid w:val="00B65BB2"/>
    <w:rsid w:val="00B65CED"/>
    <w:rsid w:val="00B66FFB"/>
    <w:rsid w:val="00B67F5E"/>
    <w:rsid w:val="00B71623"/>
    <w:rsid w:val="00B71854"/>
    <w:rsid w:val="00B7249F"/>
    <w:rsid w:val="00B73857"/>
    <w:rsid w:val="00B73E65"/>
    <w:rsid w:val="00B74657"/>
    <w:rsid w:val="00B759CF"/>
    <w:rsid w:val="00B77563"/>
    <w:rsid w:val="00B7764F"/>
    <w:rsid w:val="00B77D06"/>
    <w:rsid w:val="00B804C1"/>
    <w:rsid w:val="00B80F61"/>
    <w:rsid w:val="00B8167B"/>
    <w:rsid w:val="00B8176E"/>
    <w:rsid w:val="00B81E12"/>
    <w:rsid w:val="00B82EB0"/>
    <w:rsid w:val="00B840F4"/>
    <w:rsid w:val="00B84A39"/>
    <w:rsid w:val="00B8680D"/>
    <w:rsid w:val="00B86DEF"/>
    <w:rsid w:val="00B87110"/>
    <w:rsid w:val="00B915BD"/>
    <w:rsid w:val="00B91618"/>
    <w:rsid w:val="00B91622"/>
    <w:rsid w:val="00B922E4"/>
    <w:rsid w:val="00B94055"/>
    <w:rsid w:val="00B94F3D"/>
    <w:rsid w:val="00B95518"/>
    <w:rsid w:val="00B976B9"/>
    <w:rsid w:val="00B976F2"/>
    <w:rsid w:val="00B97FA8"/>
    <w:rsid w:val="00BA0584"/>
    <w:rsid w:val="00BA0756"/>
    <w:rsid w:val="00BA0A4E"/>
    <w:rsid w:val="00BA12DC"/>
    <w:rsid w:val="00BA1731"/>
    <w:rsid w:val="00BA1EE4"/>
    <w:rsid w:val="00BA2669"/>
    <w:rsid w:val="00BA315B"/>
    <w:rsid w:val="00BA4367"/>
    <w:rsid w:val="00BA4BB2"/>
    <w:rsid w:val="00BA4C30"/>
    <w:rsid w:val="00BA4F64"/>
    <w:rsid w:val="00BA5273"/>
    <w:rsid w:val="00BA5BD2"/>
    <w:rsid w:val="00BA5F57"/>
    <w:rsid w:val="00BA76D1"/>
    <w:rsid w:val="00BA7A54"/>
    <w:rsid w:val="00BB04D2"/>
    <w:rsid w:val="00BB08FB"/>
    <w:rsid w:val="00BB182B"/>
    <w:rsid w:val="00BB19FD"/>
    <w:rsid w:val="00BB1A0B"/>
    <w:rsid w:val="00BB1C4E"/>
    <w:rsid w:val="00BB204F"/>
    <w:rsid w:val="00BB38A7"/>
    <w:rsid w:val="00BB39EA"/>
    <w:rsid w:val="00BB3BF1"/>
    <w:rsid w:val="00BB495A"/>
    <w:rsid w:val="00BB4FBF"/>
    <w:rsid w:val="00BB5290"/>
    <w:rsid w:val="00BB53CD"/>
    <w:rsid w:val="00BB63B3"/>
    <w:rsid w:val="00BB64D6"/>
    <w:rsid w:val="00BB6705"/>
    <w:rsid w:val="00BB68EF"/>
    <w:rsid w:val="00BB6D2E"/>
    <w:rsid w:val="00BC0554"/>
    <w:rsid w:val="00BC1385"/>
    <w:rsid w:val="00BC1AA9"/>
    <w:rsid w:val="00BC26D4"/>
    <w:rsid w:val="00BC2A03"/>
    <w:rsid w:val="00BC2E57"/>
    <w:rsid w:val="00BC2F54"/>
    <w:rsid w:val="00BC3F06"/>
    <w:rsid w:val="00BC4160"/>
    <w:rsid w:val="00BC47CF"/>
    <w:rsid w:val="00BC48F0"/>
    <w:rsid w:val="00BC59E3"/>
    <w:rsid w:val="00BC6470"/>
    <w:rsid w:val="00BC6906"/>
    <w:rsid w:val="00BC6B2C"/>
    <w:rsid w:val="00BC6F98"/>
    <w:rsid w:val="00BC7022"/>
    <w:rsid w:val="00BC74E9"/>
    <w:rsid w:val="00BD0C9D"/>
    <w:rsid w:val="00BD1D47"/>
    <w:rsid w:val="00BD2280"/>
    <w:rsid w:val="00BD2AFA"/>
    <w:rsid w:val="00BD3020"/>
    <w:rsid w:val="00BD3B0C"/>
    <w:rsid w:val="00BD3F9F"/>
    <w:rsid w:val="00BD567D"/>
    <w:rsid w:val="00BD62C1"/>
    <w:rsid w:val="00BD65C1"/>
    <w:rsid w:val="00BD6A77"/>
    <w:rsid w:val="00BD6E09"/>
    <w:rsid w:val="00BD6FD3"/>
    <w:rsid w:val="00BD7310"/>
    <w:rsid w:val="00BE0A68"/>
    <w:rsid w:val="00BE0D8E"/>
    <w:rsid w:val="00BE0DA2"/>
    <w:rsid w:val="00BE1F60"/>
    <w:rsid w:val="00BE234F"/>
    <w:rsid w:val="00BE2ED8"/>
    <w:rsid w:val="00BE4483"/>
    <w:rsid w:val="00BE48AB"/>
    <w:rsid w:val="00BE4B4D"/>
    <w:rsid w:val="00BE618E"/>
    <w:rsid w:val="00BE655C"/>
    <w:rsid w:val="00BE72C2"/>
    <w:rsid w:val="00BF0426"/>
    <w:rsid w:val="00BF2468"/>
    <w:rsid w:val="00BF279B"/>
    <w:rsid w:val="00BF3CA9"/>
    <w:rsid w:val="00BF449E"/>
    <w:rsid w:val="00BF4A1A"/>
    <w:rsid w:val="00BF4E7D"/>
    <w:rsid w:val="00BF5549"/>
    <w:rsid w:val="00BF5B69"/>
    <w:rsid w:val="00BF706A"/>
    <w:rsid w:val="00BF73EB"/>
    <w:rsid w:val="00C0061A"/>
    <w:rsid w:val="00C00C8B"/>
    <w:rsid w:val="00C019D2"/>
    <w:rsid w:val="00C01E3B"/>
    <w:rsid w:val="00C023BB"/>
    <w:rsid w:val="00C02837"/>
    <w:rsid w:val="00C030C4"/>
    <w:rsid w:val="00C039D5"/>
    <w:rsid w:val="00C041A7"/>
    <w:rsid w:val="00C06DBA"/>
    <w:rsid w:val="00C07487"/>
    <w:rsid w:val="00C074D5"/>
    <w:rsid w:val="00C12881"/>
    <w:rsid w:val="00C15E32"/>
    <w:rsid w:val="00C15FC1"/>
    <w:rsid w:val="00C1670E"/>
    <w:rsid w:val="00C16B03"/>
    <w:rsid w:val="00C1710A"/>
    <w:rsid w:val="00C17E4B"/>
    <w:rsid w:val="00C20281"/>
    <w:rsid w:val="00C212DC"/>
    <w:rsid w:val="00C21547"/>
    <w:rsid w:val="00C2166B"/>
    <w:rsid w:val="00C217E7"/>
    <w:rsid w:val="00C223D1"/>
    <w:rsid w:val="00C23B4A"/>
    <w:rsid w:val="00C242E8"/>
    <w:rsid w:val="00C24693"/>
    <w:rsid w:val="00C24A9E"/>
    <w:rsid w:val="00C25807"/>
    <w:rsid w:val="00C25AD4"/>
    <w:rsid w:val="00C26722"/>
    <w:rsid w:val="00C26EDE"/>
    <w:rsid w:val="00C31FC4"/>
    <w:rsid w:val="00C32B0B"/>
    <w:rsid w:val="00C32B5F"/>
    <w:rsid w:val="00C32F1F"/>
    <w:rsid w:val="00C3397D"/>
    <w:rsid w:val="00C3472C"/>
    <w:rsid w:val="00C3506D"/>
    <w:rsid w:val="00C3520F"/>
    <w:rsid w:val="00C35F0B"/>
    <w:rsid w:val="00C35FBA"/>
    <w:rsid w:val="00C3616F"/>
    <w:rsid w:val="00C36697"/>
    <w:rsid w:val="00C36937"/>
    <w:rsid w:val="00C40BE7"/>
    <w:rsid w:val="00C41C80"/>
    <w:rsid w:val="00C431DA"/>
    <w:rsid w:val="00C43431"/>
    <w:rsid w:val="00C43D4E"/>
    <w:rsid w:val="00C44BE2"/>
    <w:rsid w:val="00C463DD"/>
    <w:rsid w:val="00C47403"/>
    <w:rsid w:val="00C519ED"/>
    <w:rsid w:val="00C51E2A"/>
    <w:rsid w:val="00C5214A"/>
    <w:rsid w:val="00C5374F"/>
    <w:rsid w:val="00C53A70"/>
    <w:rsid w:val="00C53C5B"/>
    <w:rsid w:val="00C54C5F"/>
    <w:rsid w:val="00C54DBB"/>
    <w:rsid w:val="00C550AD"/>
    <w:rsid w:val="00C556F7"/>
    <w:rsid w:val="00C55F3D"/>
    <w:rsid w:val="00C60317"/>
    <w:rsid w:val="00C60372"/>
    <w:rsid w:val="00C64458"/>
    <w:rsid w:val="00C6520A"/>
    <w:rsid w:val="00C65E9D"/>
    <w:rsid w:val="00C65EEA"/>
    <w:rsid w:val="00C6619C"/>
    <w:rsid w:val="00C66AE7"/>
    <w:rsid w:val="00C678FA"/>
    <w:rsid w:val="00C700D6"/>
    <w:rsid w:val="00C71323"/>
    <w:rsid w:val="00C717AD"/>
    <w:rsid w:val="00C72A81"/>
    <w:rsid w:val="00C72AD5"/>
    <w:rsid w:val="00C72D14"/>
    <w:rsid w:val="00C745C3"/>
    <w:rsid w:val="00C745EA"/>
    <w:rsid w:val="00C74A61"/>
    <w:rsid w:val="00C75660"/>
    <w:rsid w:val="00C75C86"/>
    <w:rsid w:val="00C76973"/>
    <w:rsid w:val="00C77B29"/>
    <w:rsid w:val="00C813FD"/>
    <w:rsid w:val="00C82A7A"/>
    <w:rsid w:val="00C84221"/>
    <w:rsid w:val="00C843D5"/>
    <w:rsid w:val="00C85781"/>
    <w:rsid w:val="00C8650C"/>
    <w:rsid w:val="00C86D31"/>
    <w:rsid w:val="00C8741D"/>
    <w:rsid w:val="00C877CF"/>
    <w:rsid w:val="00C905F8"/>
    <w:rsid w:val="00C91A16"/>
    <w:rsid w:val="00C91CDD"/>
    <w:rsid w:val="00C92291"/>
    <w:rsid w:val="00C922E4"/>
    <w:rsid w:val="00C9326A"/>
    <w:rsid w:val="00C935D8"/>
    <w:rsid w:val="00C93835"/>
    <w:rsid w:val="00C947A1"/>
    <w:rsid w:val="00C95C56"/>
    <w:rsid w:val="00C96001"/>
    <w:rsid w:val="00C9620C"/>
    <w:rsid w:val="00C96258"/>
    <w:rsid w:val="00C96CC2"/>
    <w:rsid w:val="00CA0F8C"/>
    <w:rsid w:val="00CA167C"/>
    <w:rsid w:val="00CA1A44"/>
    <w:rsid w:val="00CA2907"/>
    <w:rsid w:val="00CA2A58"/>
    <w:rsid w:val="00CA2BDC"/>
    <w:rsid w:val="00CA3224"/>
    <w:rsid w:val="00CA3FEB"/>
    <w:rsid w:val="00CA5641"/>
    <w:rsid w:val="00CA6311"/>
    <w:rsid w:val="00CA65BB"/>
    <w:rsid w:val="00CA6B2E"/>
    <w:rsid w:val="00CB0500"/>
    <w:rsid w:val="00CB0957"/>
    <w:rsid w:val="00CB1C55"/>
    <w:rsid w:val="00CB1D07"/>
    <w:rsid w:val="00CB1D42"/>
    <w:rsid w:val="00CB26CC"/>
    <w:rsid w:val="00CB2988"/>
    <w:rsid w:val="00CB30FC"/>
    <w:rsid w:val="00CB3FBE"/>
    <w:rsid w:val="00CB482E"/>
    <w:rsid w:val="00CB4A3F"/>
    <w:rsid w:val="00CB5257"/>
    <w:rsid w:val="00CB54E3"/>
    <w:rsid w:val="00CB5C11"/>
    <w:rsid w:val="00CB61FC"/>
    <w:rsid w:val="00CB6CF4"/>
    <w:rsid w:val="00CB78AA"/>
    <w:rsid w:val="00CC015F"/>
    <w:rsid w:val="00CC039D"/>
    <w:rsid w:val="00CC09BF"/>
    <w:rsid w:val="00CC0B55"/>
    <w:rsid w:val="00CC2555"/>
    <w:rsid w:val="00CC37A4"/>
    <w:rsid w:val="00CC3AD8"/>
    <w:rsid w:val="00CC3DD4"/>
    <w:rsid w:val="00CC509C"/>
    <w:rsid w:val="00CC5AC7"/>
    <w:rsid w:val="00CC6DB8"/>
    <w:rsid w:val="00CD0BCB"/>
    <w:rsid w:val="00CD0CA5"/>
    <w:rsid w:val="00CD1DDA"/>
    <w:rsid w:val="00CD25B6"/>
    <w:rsid w:val="00CD2632"/>
    <w:rsid w:val="00CD360C"/>
    <w:rsid w:val="00CD3630"/>
    <w:rsid w:val="00CD3855"/>
    <w:rsid w:val="00CD394C"/>
    <w:rsid w:val="00CD40CE"/>
    <w:rsid w:val="00CD496B"/>
    <w:rsid w:val="00CD4AE5"/>
    <w:rsid w:val="00CD545B"/>
    <w:rsid w:val="00CD5A72"/>
    <w:rsid w:val="00CD6204"/>
    <w:rsid w:val="00CD6995"/>
    <w:rsid w:val="00CD69C4"/>
    <w:rsid w:val="00CD73AB"/>
    <w:rsid w:val="00CD7AB2"/>
    <w:rsid w:val="00CE1550"/>
    <w:rsid w:val="00CE1990"/>
    <w:rsid w:val="00CE1FD1"/>
    <w:rsid w:val="00CE2D54"/>
    <w:rsid w:val="00CE36A9"/>
    <w:rsid w:val="00CE3E26"/>
    <w:rsid w:val="00CE4485"/>
    <w:rsid w:val="00CE4A8F"/>
    <w:rsid w:val="00CE56B8"/>
    <w:rsid w:val="00CE67CC"/>
    <w:rsid w:val="00CE78B4"/>
    <w:rsid w:val="00CF0214"/>
    <w:rsid w:val="00CF0B8B"/>
    <w:rsid w:val="00CF0EF1"/>
    <w:rsid w:val="00CF1304"/>
    <w:rsid w:val="00CF1C69"/>
    <w:rsid w:val="00CF1EE0"/>
    <w:rsid w:val="00CF22D0"/>
    <w:rsid w:val="00CF3127"/>
    <w:rsid w:val="00CF312E"/>
    <w:rsid w:val="00CF3A66"/>
    <w:rsid w:val="00CF4954"/>
    <w:rsid w:val="00CF54A6"/>
    <w:rsid w:val="00CF586F"/>
    <w:rsid w:val="00CF6C76"/>
    <w:rsid w:val="00CF77E4"/>
    <w:rsid w:val="00CF7D43"/>
    <w:rsid w:val="00D0039E"/>
    <w:rsid w:val="00D02459"/>
    <w:rsid w:val="00D024CC"/>
    <w:rsid w:val="00D029BF"/>
    <w:rsid w:val="00D02B1C"/>
    <w:rsid w:val="00D02B3A"/>
    <w:rsid w:val="00D04BC9"/>
    <w:rsid w:val="00D04CE6"/>
    <w:rsid w:val="00D04F9B"/>
    <w:rsid w:val="00D06E90"/>
    <w:rsid w:val="00D074CF"/>
    <w:rsid w:val="00D07AA5"/>
    <w:rsid w:val="00D10290"/>
    <w:rsid w:val="00D10E6A"/>
    <w:rsid w:val="00D11129"/>
    <w:rsid w:val="00D1205D"/>
    <w:rsid w:val="00D12496"/>
    <w:rsid w:val="00D149AC"/>
    <w:rsid w:val="00D14EFB"/>
    <w:rsid w:val="00D152F1"/>
    <w:rsid w:val="00D15334"/>
    <w:rsid w:val="00D153B6"/>
    <w:rsid w:val="00D162CF"/>
    <w:rsid w:val="00D169D6"/>
    <w:rsid w:val="00D17322"/>
    <w:rsid w:val="00D17BF4"/>
    <w:rsid w:val="00D2031B"/>
    <w:rsid w:val="00D206AC"/>
    <w:rsid w:val="00D21F9B"/>
    <w:rsid w:val="00D22332"/>
    <w:rsid w:val="00D224EE"/>
    <w:rsid w:val="00D225B7"/>
    <w:rsid w:val="00D23BC4"/>
    <w:rsid w:val="00D23C31"/>
    <w:rsid w:val="00D23D61"/>
    <w:rsid w:val="00D23FF7"/>
    <w:rsid w:val="00D24BE3"/>
    <w:rsid w:val="00D2550A"/>
    <w:rsid w:val="00D25655"/>
    <w:rsid w:val="00D25E76"/>
    <w:rsid w:val="00D25FE2"/>
    <w:rsid w:val="00D263C6"/>
    <w:rsid w:val="00D270FF"/>
    <w:rsid w:val="00D27377"/>
    <w:rsid w:val="00D305BA"/>
    <w:rsid w:val="00D30825"/>
    <w:rsid w:val="00D30CC7"/>
    <w:rsid w:val="00D310A1"/>
    <w:rsid w:val="00D3190E"/>
    <w:rsid w:val="00D31B4D"/>
    <w:rsid w:val="00D32D48"/>
    <w:rsid w:val="00D33A01"/>
    <w:rsid w:val="00D33D54"/>
    <w:rsid w:val="00D3450A"/>
    <w:rsid w:val="00D35B13"/>
    <w:rsid w:val="00D35E47"/>
    <w:rsid w:val="00D36B6F"/>
    <w:rsid w:val="00D3785F"/>
    <w:rsid w:val="00D37B2A"/>
    <w:rsid w:val="00D41B90"/>
    <w:rsid w:val="00D426BE"/>
    <w:rsid w:val="00D42F7B"/>
    <w:rsid w:val="00D43252"/>
    <w:rsid w:val="00D43E5D"/>
    <w:rsid w:val="00D45F1E"/>
    <w:rsid w:val="00D4704B"/>
    <w:rsid w:val="00D47492"/>
    <w:rsid w:val="00D47DB6"/>
    <w:rsid w:val="00D502EC"/>
    <w:rsid w:val="00D50546"/>
    <w:rsid w:val="00D51292"/>
    <w:rsid w:val="00D534B4"/>
    <w:rsid w:val="00D5394D"/>
    <w:rsid w:val="00D53E35"/>
    <w:rsid w:val="00D550F9"/>
    <w:rsid w:val="00D55F22"/>
    <w:rsid w:val="00D571F3"/>
    <w:rsid w:val="00D572B0"/>
    <w:rsid w:val="00D600C0"/>
    <w:rsid w:val="00D61246"/>
    <w:rsid w:val="00D622A9"/>
    <w:rsid w:val="00D624C4"/>
    <w:rsid w:val="00D62D2F"/>
    <w:rsid w:val="00D62E90"/>
    <w:rsid w:val="00D6327E"/>
    <w:rsid w:val="00D63410"/>
    <w:rsid w:val="00D64A0B"/>
    <w:rsid w:val="00D65BA0"/>
    <w:rsid w:val="00D66296"/>
    <w:rsid w:val="00D713C6"/>
    <w:rsid w:val="00D71D27"/>
    <w:rsid w:val="00D720CF"/>
    <w:rsid w:val="00D7248E"/>
    <w:rsid w:val="00D72618"/>
    <w:rsid w:val="00D728AD"/>
    <w:rsid w:val="00D74CDD"/>
    <w:rsid w:val="00D74FB0"/>
    <w:rsid w:val="00D7544C"/>
    <w:rsid w:val="00D75686"/>
    <w:rsid w:val="00D7570F"/>
    <w:rsid w:val="00D759B8"/>
    <w:rsid w:val="00D75A52"/>
    <w:rsid w:val="00D76AB1"/>
    <w:rsid w:val="00D76BDB"/>
    <w:rsid w:val="00D76BE5"/>
    <w:rsid w:val="00D76E42"/>
    <w:rsid w:val="00D772D4"/>
    <w:rsid w:val="00D7758F"/>
    <w:rsid w:val="00D77C49"/>
    <w:rsid w:val="00D801AA"/>
    <w:rsid w:val="00D80B23"/>
    <w:rsid w:val="00D81EFC"/>
    <w:rsid w:val="00D825A4"/>
    <w:rsid w:val="00D83E61"/>
    <w:rsid w:val="00D841BF"/>
    <w:rsid w:val="00D849EF"/>
    <w:rsid w:val="00D85098"/>
    <w:rsid w:val="00D85139"/>
    <w:rsid w:val="00D86357"/>
    <w:rsid w:val="00D865AB"/>
    <w:rsid w:val="00D873E7"/>
    <w:rsid w:val="00D87EA2"/>
    <w:rsid w:val="00D90664"/>
    <w:rsid w:val="00D90C1C"/>
    <w:rsid w:val="00D91219"/>
    <w:rsid w:val="00D91B03"/>
    <w:rsid w:val="00D92F86"/>
    <w:rsid w:val="00D930EA"/>
    <w:rsid w:val="00D93439"/>
    <w:rsid w:val="00D93920"/>
    <w:rsid w:val="00D93EEE"/>
    <w:rsid w:val="00D94F27"/>
    <w:rsid w:val="00D9589A"/>
    <w:rsid w:val="00D96947"/>
    <w:rsid w:val="00D97543"/>
    <w:rsid w:val="00D9755B"/>
    <w:rsid w:val="00D978C6"/>
    <w:rsid w:val="00DA09A8"/>
    <w:rsid w:val="00DA0BFA"/>
    <w:rsid w:val="00DA15D6"/>
    <w:rsid w:val="00DA1D58"/>
    <w:rsid w:val="00DA1FFB"/>
    <w:rsid w:val="00DA2749"/>
    <w:rsid w:val="00DA3C49"/>
    <w:rsid w:val="00DA3F53"/>
    <w:rsid w:val="00DA483E"/>
    <w:rsid w:val="00DA4D7F"/>
    <w:rsid w:val="00DA53D5"/>
    <w:rsid w:val="00DA67AD"/>
    <w:rsid w:val="00DA72D9"/>
    <w:rsid w:val="00DA7D17"/>
    <w:rsid w:val="00DB0E5B"/>
    <w:rsid w:val="00DB18C6"/>
    <w:rsid w:val="00DB18CE"/>
    <w:rsid w:val="00DB19AB"/>
    <w:rsid w:val="00DB268F"/>
    <w:rsid w:val="00DB2DCE"/>
    <w:rsid w:val="00DB3499"/>
    <w:rsid w:val="00DB3B7D"/>
    <w:rsid w:val="00DB4E4F"/>
    <w:rsid w:val="00DB5566"/>
    <w:rsid w:val="00DB6593"/>
    <w:rsid w:val="00DB69B6"/>
    <w:rsid w:val="00DB6A28"/>
    <w:rsid w:val="00DB6C37"/>
    <w:rsid w:val="00DC0B8F"/>
    <w:rsid w:val="00DC2176"/>
    <w:rsid w:val="00DC271D"/>
    <w:rsid w:val="00DC494F"/>
    <w:rsid w:val="00DC56B6"/>
    <w:rsid w:val="00DC5760"/>
    <w:rsid w:val="00DC65BD"/>
    <w:rsid w:val="00DC704A"/>
    <w:rsid w:val="00DC70D2"/>
    <w:rsid w:val="00DC72BF"/>
    <w:rsid w:val="00DC743B"/>
    <w:rsid w:val="00DC765D"/>
    <w:rsid w:val="00DD1938"/>
    <w:rsid w:val="00DD27BF"/>
    <w:rsid w:val="00DD36B4"/>
    <w:rsid w:val="00DD3756"/>
    <w:rsid w:val="00DD5201"/>
    <w:rsid w:val="00DD7361"/>
    <w:rsid w:val="00DD7F33"/>
    <w:rsid w:val="00DD7F40"/>
    <w:rsid w:val="00DE0515"/>
    <w:rsid w:val="00DE0C62"/>
    <w:rsid w:val="00DE10F6"/>
    <w:rsid w:val="00DE1B4D"/>
    <w:rsid w:val="00DE2E41"/>
    <w:rsid w:val="00DE3B7B"/>
    <w:rsid w:val="00DE3D01"/>
    <w:rsid w:val="00DE3EC0"/>
    <w:rsid w:val="00DE61B7"/>
    <w:rsid w:val="00DE73EA"/>
    <w:rsid w:val="00DF021F"/>
    <w:rsid w:val="00DF02C4"/>
    <w:rsid w:val="00DF2439"/>
    <w:rsid w:val="00DF2724"/>
    <w:rsid w:val="00DF2B2B"/>
    <w:rsid w:val="00DF3BF3"/>
    <w:rsid w:val="00DF55B6"/>
    <w:rsid w:val="00DF5A71"/>
    <w:rsid w:val="00DF5FD8"/>
    <w:rsid w:val="00DF6483"/>
    <w:rsid w:val="00E00DD1"/>
    <w:rsid w:val="00E012D2"/>
    <w:rsid w:val="00E014A0"/>
    <w:rsid w:val="00E04032"/>
    <w:rsid w:val="00E040CF"/>
    <w:rsid w:val="00E04187"/>
    <w:rsid w:val="00E04650"/>
    <w:rsid w:val="00E04A33"/>
    <w:rsid w:val="00E04B88"/>
    <w:rsid w:val="00E05333"/>
    <w:rsid w:val="00E05CEE"/>
    <w:rsid w:val="00E0655F"/>
    <w:rsid w:val="00E073C6"/>
    <w:rsid w:val="00E10ED7"/>
    <w:rsid w:val="00E11593"/>
    <w:rsid w:val="00E116F5"/>
    <w:rsid w:val="00E11C6A"/>
    <w:rsid w:val="00E12B6B"/>
    <w:rsid w:val="00E130AB"/>
    <w:rsid w:val="00E14407"/>
    <w:rsid w:val="00E14FAA"/>
    <w:rsid w:val="00E16596"/>
    <w:rsid w:val="00E172D9"/>
    <w:rsid w:val="00E177CF"/>
    <w:rsid w:val="00E20116"/>
    <w:rsid w:val="00E2059B"/>
    <w:rsid w:val="00E20939"/>
    <w:rsid w:val="00E2132E"/>
    <w:rsid w:val="00E21617"/>
    <w:rsid w:val="00E216CB"/>
    <w:rsid w:val="00E22046"/>
    <w:rsid w:val="00E23407"/>
    <w:rsid w:val="00E24954"/>
    <w:rsid w:val="00E24DBD"/>
    <w:rsid w:val="00E24E9B"/>
    <w:rsid w:val="00E250EE"/>
    <w:rsid w:val="00E25D27"/>
    <w:rsid w:val="00E26244"/>
    <w:rsid w:val="00E26445"/>
    <w:rsid w:val="00E273E7"/>
    <w:rsid w:val="00E2791A"/>
    <w:rsid w:val="00E27E7E"/>
    <w:rsid w:val="00E30D93"/>
    <w:rsid w:val="00E30F84"/>
    <w:rsid w:val="00E31237"/>
    <w:rsid w:val="00E3168D"/>
    <w:rsid w:val="00E328BB"/>
    <w:rsid w:val="00E32EA6"/>
    <w:rsid w:val="00E33096"/>
    <w:rsid w:val="00E33A97"/>
    <w:rsid w:val="00E34774"/>
    <w:rsid w:val="00E35945"/>
    <w:rsid w:val="00E36784"/>
    <w:rsid w:val="00E376DC"/>
    <w:rsid w:val="00E40979"/>
    <w:rsid w:val="00E41157"/>
    <w:rsid w:val="00E4129F"/>
    <w:rsid w:val="00E41960"/>
    <w:rsid w:val="00E4216D"/>
    <w:rsid w:val="00E42670"/>
    <w:rsid w:val="00E42AEC"/>
    <w:rsid w:val="00E4376D"/>
    <w:rsid w:val="00E438D9"/>
    <w:rsid w:val="00E44692"/>
    <w:rsid w:val="00E44E17"/>
    <w:rsid w:val="00E464E6"/>
    <w:rsid w:val="00E50203"/>
    <w:rsid w:val="00E516F5"/>
    <w:rsid w:val="00E5184B"/>
    <w:rsid w:val="00E51C9D"/>
    <w:rsid w:val="00E53017"/>
    <w:rsid w:val="00E53638"/>
    <w:rsid w:val="00E5475A"/>
    <w:rsid w:val="00E54D05"/>
    <w:rsid w:val="00E55232"/>
    <w:rsid w:val="00E56093"/>
    <w:rsid w:val="00E5644E"/>
    <w:rsid w:val="00E5655D"/>
    <w:rsid w:val="00E56566"/>
    <w:rsid w:val="00E56DAA"/>
    <w:rsid w:val="00E57162"/>
    <w:rsid w:val="00E57B5D"/>
    <w:rsid w:val="00E57CC7"/>
    <w:rsid w:val="00E61592"/>
    <w:rsid w:val="00E636BB"/>
    <w:rsid w:val="00E637AA"/>
    <w:rsid w:val="00E63B80"/>
    <w:rsid w:val="00E641E0"/>
    <w:rsid w:val="00E665A2"/>
    <w:rsid w:val="00E6721E"/>
    <w:rsid w:val="00E67794"/>
    <w:rsid w:val="00E67B4E"/>
    <w:rsid w:val="00E7036C"/>
    <w:rsid w:val="00E70985"/>
    <w:rsid w:val="00E70EE8"/>
    <w:rsid w:val="00E71337"/>
    <w:rsid w:val="00E719FE"/>
    <w:rsid w:val="00E72578"/>
    <w:rsid w:val="00E7260F"/>
    <w:rsid w:val="00E729A7"/>
    <w:rsid w:val="00E732F5"/>
    <w:rsid w:val="00E73AD8"/>
    <w:rsid w:val="00E74780"/>
    <w:rsid w:val="00E74B70"/>
    <w:rsid w:val="00E75B5F"/>
    <w:rsid w:val="00E763DF"/>
    <w:rsid w:val="00E76D25"/>
    <w:rsid w:val="00E76D68"/>
    <w:rsid w:val="00E77C5F"/>
    <w:rsid w:val="00E806CD"/>
    <w:rsid w:val="00E806EE"/>
    <w:rsid w:val="00E818EE"/>
    <w:rsid w:val="00E822E6"/>
    <w:rsid w:val="00E8283F"/>
    <w:rsid w:val="00E82872"/>
    <w:rsid w:val="00E82F8E"/>
    <w:rsid w:val="00E8302E"/>
    <w:rsid w:val="00E8312B"/>
    <w:rsid w:val="00E8323D"/>
    <w:rsid w:val="00E834DF"/>
    <w:rsid w:val="00E842F4"/>
    <w:rsid w:val="00E8591E"/>
    <w:rsid w:val="00E85C1E"/>
    <w:rsid w:val="00E8792B"/>
    <w:rsid w:val="00E91EFA"/>
    <w:rsid w:val="00E93CBE"/>
    <w:rsid w:val="00E93EBD"/>
    <w:rsid w:val="00E94EEF"/>
    <w:rsid w:val="00E96444"/>
    <w:rsid w:val="00E96630"/>
    <w:rsid w:val="00E96C85"/>
    <w:rsid w:val="00E96EF1"/>
    <w:rsid w:val="00E97229"/>
    <w:rsid w:val="00EA0A6F"/>
    <w:rsid w:val="00EA0EA4"/>
    <w:rsid w:val="00EA1447"/>
    <w:rsid w:val="00EA1B34"/>
    <w:rsid w:val="00EA2264"/>
    <w:rsid w:val="00EA2541"/>
    <w:rsid w:val="00EA2A9C"/>
    <w:rsid w:val="00EA355C"/>
    <w:rsid w:val="00EA39B6"/>
    <w:rsid w:val="00EA41A0"/>
    <w:rsid w:val="00EA442C"/>
    <w:rsid w:val="00EA4AEE"/>
    <w:rsid w:val="00EA6D02"/>
    <w:rsid w:val="00EA6EDD"/>
    <w:rsid w:val="00EA76BF"/>
    <w:rsid w:val="00EA774E"/>
    <w:rsid w:val="00EA779E"/>
    <w:rsid w:val="00EB074C"/>
    <w:rsid w:val="00EB0AE1"/>
    <w:rsid w:val="00EB0FB9"/>
    <w:rsid w:val="00EB11EB"/>
    <w:rsid w:val="00EB3320"/>
    <w:rsid w:val="00EB4425"/>
    <w:rsid w:val="00EB508D"/>
    <w:rsid w:val="00EB5362"/>
    <w:rsid w:val="00EB65EB"/>
    <w:rsid w:val="00EB6A06"/>
    <w:rsid w:val="00EB6AFB"/>
    <w:rsid w:val="00EB7128"/>
    <w:rsid w:val="00EB7C14"/>
    <w:rsid w:val="00EC02D6"/>
    <w:rsid w:val="00EC0A40"/>
    <w:rsid w:val="00EC0B10"/>
    <w:rsid w:val="00EC23FB"/>
    <w:rsid w:val="00EC264C"/>
    <w:rsid w:val="00EC273E"/>
    <w:rsid w:val="00EC2E2F"/>
    <w:rsid w:val="00EC302B"/>
    <w:rsid w:val="00EC3346"/>
    <w:rsid w:val="00EC3A3C"/>
    <w:rsid w:val="00EC53F1"/>
    <w:rsid w:val="00EC5842"/>
    <w:rsid w:val="00EC63D8"/>
    <w:rsid w:val="00EC6678"/>
    <w:rsid w:val="00EC7D8C"/>
    <w:rsid w:val="00EC7DF2"/>
    <w:rsid w:val="00ED0CA9"/>
    <w:rsid w:val="00ED11B2"/>
    <w:rsid w:val="00ED29C6"/>
    <w:rsid w:val="00ED2B38"/>
    <w:rsid w:val="00ED51B8"/>
    <w:rsid w:val="00ED58C5"/>
    <w:rsid w:val="00ED71D6"/>
    <w:rsid w:val="00ED7A2A"/>
    <w:rsid w:val="00EE06B1"/>
    <w:rsid w:val="00EE0AE3"/>
    <w:rsid w:val="00EE164B"/>
    <w:rsid w:val="00EE2CAE"/>
    <w:rsid w:val="00EE3E2C"/>
    <w:rsid w:val="00EE46C5"/>
    <w:rsid w:val="00EE4DFD"/>
    <w:rsid w:val="00EE5B5F"/>
    <w:rsid w:val="00EE6265"/>
    <w:rsid w:val="00EE656A"/>
    <w:rsid w:val="00EE6D08"/>
    <w:rsid w:val="00EE7441"/>
    <w:rsid w:val="00EE7814"/>
    <w:rsid w:val="00EF05D5"/>
    <w:rsid w:val="00EF16B8"/>
    <w:rsid w:val="00EF1D7F"/>
    <w:rsid w:val="00EF2504"/>
    <w:rsid w:val="00EF3117"/>
    <w:rsid w:val="00EF3E0A"/>
    <w:rsid w:val="00EF5BDB"/>
    <w:rsid w:val="00EF6561"/>
    <w:rsid w:val="00EF6FD5"/>
    <w:rsid w:val="00EF7927"/>
    <w:rsid w:val="00F01C73"/>
    <w:rsid w:val="00F01C81"/>
    <w:rsid w:val="00F02065"/>
    <w:rsid w:val="00F03418"/>
    <w:rsid w:val="00F04037"/>
    <w:rsid w:val="00F0420B"/>
    <w:rsid w:val="00F05A40"/>
    <w:rsid w:val="00F06905"/>
    <w:rsid w:val="00F07735"/>
    <w:rsid w:val="00F07FD9"/>
    <w:rsid w:val="00F112C2"/>
    <w:rsid w:val="00F1150B"/>
    <w:rsid w:val="00F118D6"/>
    <w:rsid w:val="00F126CC"/>
    <w:rsid w:val="00F12AFA"/>
    <w:rsid w:val="00F13226"/>
    <w:rsid w:val="00F14D5D"/>
    <w:rsid w:val="00F15404"/>
    <w:rsid w:val="00F1593C"/>
    <w:rsid w:val="00F16B81"/>
    <w:rsid w:val="00F1715D"/>
    <w:rsid w:val="00F2046F"/>
    <w:rsid w:val="00F20C60"/>
    <w:rsid w:val="00F20F93"/>
    <w:rsid w:val="00F23933"/>
    <w:rsid w:val="00F23D91"/>
    <w:rsid w:val="00F24119"/>
    <w:rsid w:val="00F25071"/>
    <w:rsid w:val="00F2571A"/>
    <w:rsid w:val="00F307A5"/>
    <w:rsid w:val="00F309B4"/>
    <w:rsid w:val="00F32355"/>
    <w:rsid w:val="00F323A0"/>
    <w:rsid w:val="00F32BCA"/>
    <w:rsid w:val="00F32FDB"/>
    <w:rsid w:val="00F33629"/>
    <w:rsid w:val="00F336FB"/>
    <w:rsid w:val="00F34501"/>
    <w:rsid w:val="00F345E8"/>
    <w:rsid w:val="00F356A7"/>
    <w:rsid w:val="00F35C23"/>
    <w:rsid w:val="00F3648B"/>
    <w:rsid w:val="00F37014"/>
    <w:rsid w:val="00F3723A"/>
    <w:rsid w:val="00F401B7"/>
    <w:rsid w:val="00F40E75"/>
    <w:rsid w:val="00F40F74"/>
    <w:rsid w:val="00F4111A"/>
    <w:rsid w:val="00F42CD9"/>
    <w:rsid w:val="00F43E51"/>
    <w:rsid w:val="00F4460D"/>
    <w:rsid w:val="00F44CC6"/>
    <w:rsid w:val="00F44CFE"/>
    <w:rsid w:val="00F456F2"/>
    <w:rsid w:val="00F4773C"/>
    <w:rsid w:val="00F4794A"/>
    <w:rsid w:val="00F47B63"/>
    <w:rsid w:val="00F50130"/>
    <w:rsid w:val="00F5170D"/>
    <w:rsid w:val="00F519C4"/>
    <w:rsid w:val="00F51BFB"/>
    <w:rsid w:val="00F51F94"/>
    <w:rsid w:val="00F52936"/>
    <w:rsid w:val="00F52C67"/>
    <w:rsid w:val="00F53F07"/>
    <w:rsid w:val="00F54083"/>
    <w:rsid w:val="00F54A91"/>
    <w:rsid w:val="00F55242"/>
    <w:rsid w:val="00F55A5D"/>
    <w:rsid w:val="00F55B1B"/>
    <w:rsid w:val="00F56297"/>
    <w:rsid w:val="00F57044"/>
    <w:rsid w:val="00F61576"/>
    <w:rsid w:val="00F6363A"/>
    <w:rsid w:val="00F643EE"/>
    <w:rsid w:val="00F64C84"/>
    <w:rsid w:val="00F64D16"/>
    <w:rsid w:val="00F653AB"/>
    <w:rsid w:val="00F65AA2"/>
    <w:rsid w:val="00F677CB"/>
    <w:rsid w:val="00F67A5D"/>
    <w:rsid w:val="00F67B04"/>
    <w:rsid w:val="00F67E26"/>
    <w:rsid w:val="00F7177F"/>
    <w:rsid w:val="00F732F4"/>
    <w:rsid w:val="00F7387B"/>
    <w:rsid w:val="00F73B2E"/>
    <w:rsid w:val="00F7415A"/>
    <w:rsid w:val="00F743DB"/>
    <w:rsid w:val="00F75462"/>
    <w:rsid w:val="00F778AA"/>
    <w:rsid w:val="00F8183C"/>
    <w:rsid w:val="00F81D6B"/>
    <w:rsid w:val="00F82266"/>
    <w:rsid w:val="00F82D49"/>
    <w:rsid w:val="00F8305F"/>
    <w:rsid w:val="00F8377C"/>
    <w:rsid w:val="00F83FC7"/>
    <w:rsid w:val="00F85F46"/>
    <w:rsid w:val="00F87BBE"/>
    <w:rsid w:val="00F9015B"/>
    <w:rsid w:val="00F91353"/>
    <w:rsid w:val="00F91C15"/>
    <w:rsid w:val="00F91D9B"/>
    <w:rsid w:val="00F9217F"/>
    <w:rsid w:val="00F93750"/>
    <w:rsid w:val="00F93CCD"/>
    <w:rsid w:val="00F9424E"/>
    <w:rsid w:val="00F94DDC"/>
    <w:rsid w:val="00F9563E"/>
    <w:rsid w:val="00F956EC"/>
    <w:rsid w:val="00F95958"/>
    <w:rsid w:val="00F96393"/>
    <w:rsid w:val="00F97D6C"/>
    <w:rsid w:val="00FA16D7"/>
    <w:rsid w:val="00FA25D1"/>
    <w:rsid w:val="00FA28FB"/>
    <w:rsid w:val="00FA2F4F"/>
    <w:rsid w:val="00FA2FDF"/>
    <w:rsid w:val="00FA32B2"/>
    <w:rsid w:val="00FA41E4"/>
    <w:rsid w:val="00FA41EB"/>
    <w:rsid w:val="00FA4315"/>
    <w:rsid w:val="00FA591E"/>
    <w:rsid w:val="00FA5F43"/>
    <w:rsid w:val="00FA7508"/>
    <w:rsid w:val="00FA7DF3"/>
    <w:rsid w:val="00FB00CA"/>
    <w:rsid w:val="00FB0640"/>
    <w:rsid w:val="00FB182E"/>
    <w:rsid w:val="00FB23CB"/>
    <w:rsid w:val="00FB2BFC"/>
    <w:rsid w:val="00FB3814"/>
    <w:rsid w:val="00FB491B"/>
    <w:rsid w:val="00FB5C7C"/>
    <w:rsid w:val="00FB607A"/>
    <w:rsid w:val="00FB62BF"/>
    <w:rsid w:val="00FC0D15"/>
    <w:rsid w:val="00FC1379"/>
    <w:rsid w:val="00FC1B90"/>
    <w:rsid w:val="00FC2ADE"/>
    <w:rsid w:val="00FC2C86"/>
    <w:rsid w:val="00FC3412"/>
    <w:rsid w:val="00FC38E8"/>
    <w:rsid w:val="00FC3A3B"/>
    <w:rsid w:val="00FC3BD3"/>
    <w:rsid w:val="00FC40BD"/>
    <w:rsid w:val="00FC420F"/>
    <w:rsid w:val="00FC4CE1"/>
    <w:rsid w:val="00FC5EF0"/>
    <w:rsid w:val="00FC68B7"/>
    <w:rsid w:val="00FC6982"/>
    <w:rsid w:val="00FC6E14"/>
    <w:rsid w:val="00FC7C1E"/>
    <w:rsid w:val="00FD14F0"/>
    <w:rsid w:val="00FD2711"/>
    <w:rsid w:val="00FD305F"/>
    <w:rsid w:val="00FD397F"/>
    <w:rsid w:val="00FD3AB9"/>
    <w:rsid w:val="00FD3D22"/>
    <w:rsid w:val="00FD4B2B"/>
    <w:rsid w:val="00FD6233"/>
    <w:rsid w:val="00FD6AB4"/>
    <w:rsid w:val="00FD6FE2"/>
    <w:rsid w:val="00FD7691"/>
    <w:rsid w:val="00FD77B8"/>
    <w:rsid w:val="00FD7C12"/>
    <w:rsid w:val="00FE0252"/>
    <w:rsid w:val="00FE051F"/>
    <w:rsid w:val="00FE10B3"/>
    <w:rsid w:val="00FE1284"/>
    <w:rsid w:val="00FE17A5"/>
    <w:rsid w:val="00FE26E0"/>
    <w:rsid w:val="00FE539C"/>
    <w:rsid w:val="00FE652D"/>
    <w:rsid w:val="00FE6EFD"/>
    <w:rsid w:val="00FE7B63"/>
    <w:rsid w:val="00FF265B"/>
    <w:rsid w:val="00FF27FB"/>
    <w:rsid w:val="00FF3D21"/>
    <w:rsid w:val="00FF5898"/>
    <w:rsid w:val="00FF5EA2"/>
    <w:rsid w:val="00FF6B7E"/>
    <w:rsid w:val="00FF6C45"/>
    <w:rsid w:val="00FF7443"/>
    <w:rsid w:val="02329ED4"/>
    <w:rsid w:val="02A704CE"/>
    <w:rsid w:val="04ECC24F"/>
    <w:rsid w:val="068F0299"/>
    <w:rsid w:val="0B3B3CF3"/>
    <w:rsid w:val="0BBC986B"/>
    <w:rsid w:val="0F12127D"/>
    <w:rsid w:val="16634B76"/>
    <w:rsid w:val="19DA926F"/>
    <w:rsid w:val="2F7E82CC"/>
    <w:rsid w:val="304AE568"/>
    <w:rsid w:val="325D0FDB"/>
    <w:rsid w:val="3A9E17EA"/>
    <w:rsid w:val="3E248B3A"/>
    <w:rsid w:val="3F530B8B"/>
    <w:rsid w:val="4ABFB8A0"/>
    <w:rsid w:val="548D9294"/>
    <w:rsid w:val="59CCF9B7"/>
    <w:rsid w:val="5CEAE7B3"/>
    <w:rsid w:val="77588FC8"/>
    <w:rsid w:val="788E8506"/>
    <w:rsid w:val="7CB864FC"/>
    <w:rsid w:val="7CC0CF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4BCFA"/>
  <w15:docId w15:val="{DE6F7C3C-054F-4C87-A1E6-6A44E660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US"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Ref. de nota al pie 2,Texto de nota al pie,Footnotes refss,Appel note de bas de page,Footnote symbol,Footnote,Voetnootverwijzing,Times 10 Point,Exposant 3 Point,Footnote Ref,16 Point,Superscript 6 Point,ftref, BVI fnr,BVI fnr"/>
    <w:basedOn w:val="DefaultParagraphFont"/>
    <w:link w:val="Char2"/>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qForma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Footnote Text Char1 Char Char,Footnote Text Char Char Char Char,Footnote Text Char Char1,Texto nota pie Car,Texto nota pie Car Car Car,Texto nota pie Car Car Car Car Car Car,Footnote text,Char"/>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table" w:customStyle="1" w:styleId="TableGrid1">
    <w:name w:val="Table Grid1"/>
    <w:basedOn w:val="TableNormal"/>
    <w:next w:val="TableGrid"/>
    <w:rsid w:val="00D029BF"/>
    <w:pPr>
      <w:suppressAutoHyphens/>
      <w:spacing w:line="240" w:lineRule="atLeas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NoList"/>
    <w:uiPriority w:val="99"/>
    <w:semiHidden/>
    <w:unhideWhenUsed/>
    <w:rsid w:val="00F03418"/>
  </w:style>
  <w:style w:type="character" w:customStyle="1" w:styleId="Heading1Char">
    <w:name w:val="Heading 1 Char"/>
    <w:aliases w:val="Table_G Char"/>
    <w:basedOn w:val="DefaultParagraphFont"/>
    <w:link w:val="Heading1"/>
    <w:rsid w:val="00F03418"/>
    <w:rPr>
      <w:lang w:val="en-GB" w:eastAsia="en-US"/>
    </w:rPr>
  </w:style>
  <w:style w:type="character" w:customStyle="1" w:styleId="Heading2Char">
    <w:name w:val="Heading 2 Char"/>
    <w:basedOn w:val="DefaultParagraphFont"/>
    <w:link w:val="Heading2"/>
    <w:rsid w:val="00F03418"/>
    <w:rPr>
      <w:lang w:val="en-GB" w:eastAsia="en-US"/>
    </w:rPr>
  </w:style>
  <w:style w:type="character" w:customStyle="1" w:styleId="Heading3Char">
    <w:name w:val="Heading 3 Char"/>
    <w:basedOn w:val="DefaultParagraphFont"/>
    <w:link w:val="Heading3"/>
    <w:rsid w:val="00F03418"/>
    <w:rPr>
      <w:lang w:val="en-GB" w:eastAsia="en-US"/>
    </w:rPr>
  </w:style>
  <w:style w:type="character" w:customStyle="1" w:styleId="Heading4Char">
    <w:name w:val="Heading 4 Char"/>
    <w:basedOn w:val="DefaultParagraphFont"/>
    <w:link w:val="Heading4"/>
    <w:rsid w:val="00F03418"/>
    <w:rPr>
      <w:lang w:val="en-GB" w:eastAsia="en-US"/>
    </w:rPr>
  </w:style>
  <w:style w:type="character" w:customStyle="1" w:styleId="Heading5Char">
    <w:name w:val="Heading 5 Char"/>
    <w:basedOn w:val="DefaultParagraphFont"/>
    <w:link w:val="Heading5"/>
    <w:rsid w:val="00F03418"/>
    <w:rPr>
      <w:lang w:val="en-GB" w:eastAsia="en-US"/>
    </w:rPr>
  </w:style>
  <w:style w:type="character" w:customStyle="1" w:styleId="Heading6Char">
    <w:name w:val="Heading 6 Char"/>
    <w:basedOn w:val="DefaultParagraphFont"/>
    <w:link w:val="Heading6"/>
    <w:rsid w:val="00F03418"/>
    <w:rPr>
      <w:lang w:val="en-GB" w:eastAsia="en-US"/>
    </w:rPr>
  </w:style>
  <w:style w:type="character" w:customStyle="1" w:styleId="Heading7Char">
    <w:name w:val="Heading 7 Char"/>
    <w:basedOn w:val="DefaultParagraphFont"/>
    <w:link w:val="Heading7"/>
    <w:semiHidden/>
    <w:rsid w:val="00F03418"/>
    <w:rPr>
      <w:lang w:val="en-GB" w:eastAsia="en-US"/>
    </w:rPr>
  </w:style>
  <w:style w:type="character" w:customStyle="1" w:styleId="Heading8Char">
    <w:name w:val="Heading 8 Char"/>
    <w:basedOn w:val="DefaultParagraphFont"/>
    <w:link w:val="Heading8"/>
    <w:semiHidden/>
    <w:rsid w:val="00F03418"/>
    <w:rPr>
      <w:lang w:val="en-GB" w:eastAsia="en-US"/>
    </w:rPr>
  </w:style>
  <w:style w:type="character" w:customStyle="1" w:styleId="Heading9Char">
    <w:name w:val="Heading 9 Char"/>
    <w:basedOn w:val="DefaultParagraphFont"/>
    <w:link w:val="Heading9"/>
    <w:semiHidden/>
    <w:rsid w:val="00F03418"/>
    <w:rPr>
      <w:lang w:val="en-GB" w:eastAsia="en-US"/>
    </w:rPr>
  </w:style>
  <w:style w:type="character" w:customStyle="1" w:styleId="HeaderChar">
    <w:name w:val="Header Char"/>
    <w:aliases w:val="6_G Char"/>
    <w:basedOn w:val="DefaultParagraphFont"/>
    <w:link w:val="Header"/>
    <w:rsid w:val="00F03418"/>
    <w:rPr>
      <w:b/>
      <w:sz w:val="18"/>
      <w:lang w:val="en-GB" w:eastAsia="en-US"/>
    </w:rPr>
  </w:style>
  <w:style w:type="character" w:customStyle="1" w:styleId="FooterChar">
    <w:name w:val="Footer Char"/>
    <w:aliases w:val="3_G Char"/>
    <w:basedOn w:val="DefaultParagraphFont"/>
    <w:link w:val="Footer"/>
    <w:rsid w:val="00F03418"/>
    <w:rPr>
      <w:sz w:val="16"/>
      <w:lang w:val="en-GB" w:eastAsia="en-US"/>
    </w:rPr>
  </w:style>
  <w:style w:type="paragraph" w:customStyle="1" w:styleId="ParaNoG">
    <w:name w:val="_ParaNo._G"/>
    <w:basedOn w:val="SingleTxtG"/>
    <w:rsid w:val="00F03418"/>
    <w:pPr>
      <w:tabs>
        <w:tab w:val="num" w:pos="360"/>
      </w:tabs>
      <w:suppressAutoHyphens w:val="0"/>
    </w:pPr>
    <w:rPr>
      <w:rFonts w:eastAsia="SimSun"/>
      <w:lang w:eastAsia="zh-CN"/>
    </w:rPr>
  </w:style>
  <w:style w:type="numbering" w:styleId="111111">
    <w:name w:val="Outline List 2"/>
    <w:basedOn w:val="NoList"/>
    <w:semiHidden/>
    <w:rsid w:val="00F03418"/>
    <w:pPr>
      <w:numPr>
        <w:numId w:val="5"/>
      </w:numPr>
    </w:pPr>
  </w:style>
  <w:style w:type="numbering" w:styleId="1ai">
    <w:name w:val="Outline List 1"/>
    <w:basedOn w:val="NoList"/>
    <w:semiHidden/>
    <w:rsid w:val="00F03418"/>
    <w:pPr>
      <w:numPr>
        <w:numId w:val="4"/>
      </w:numPr>
    </w:pPr>
  </w:style>
  <w:style w:type="character" w:customStyle="1" w:styleId="FootnoteTextChar">
    <w:name w:val="Footnote Text Char"/>
    <w:aliases w:val="5_G Char,Footnote Text Char Char Char,Footnote Text Char1 Char Char Char,Footnote Text Char Char Char Char Char,Footnote Text Char Char1 Char,Texto nota pie Car Char,Texto nota pie Car Car Car Char,Footnote text Char,Char Char"/>
    <w:basedOn w:val="DefaultParagraphFont"/>
    <w:link w:val="FootnoteText"/>
    <w:qFormat/>
    <w:rsid w:val="00F03418"/>
    <w:rPr>
      <w:sz w:val="18"/>
      <w:lang w:val="en-GB" w:eastAsia="en-US"/>
    </w:rPr>
  </w:style>
  <w:style w:type="character" w:customStyle="1" w:styleId="EndnoteTextChar">
    <w:name w:val="Endnote Text Char"/>
    <w:aliases w:val="2_G Char"/>
    <w:basedOn w:val="DefaultParagraphFont"/>
    <w:link w:val="EndnoteText"/>
    <w:rsid w:val="00F03418"/>
    <w:rPr>
      <w:sz w:val="18"/>
      <w:lang w:val="en-GB" w:eastAsia="en-US"/>
    </w:rPr>
  </w:style>
  <w:style w:type="character" w:styleId="BookTitle">
    <w:name w:val="Book Title"/>
    <w:basedOn w:val="DefaultParagraphFont"/>
    <w:uiPriority w:val="33"/>
    <w:rsid w:val="00F03418"/>
    <w:rPr>
      <w:b/>
      <w:bCs/>
      <w:smallCaps/>
      <w:spacing w:val="5"/>
    </w:rPr>
  </w:style>
  <w:style w:type="table" w:customStyle="1" w:styleId="TableGrid2">
    <w:name w:val="Table Grid2"/>
    <w:basedOn w:val="TableNormal"/>
    <w:next w:val="TableGrid"/>
    <w:rsid w:val="00F03418"/>
    <w:pPr>
      <w:suppressAutoHyphens/>
      <w:spacing w:line="240" w:lineRule="atLeas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F03418"/>
    <w:rPr>
      <w:lang w:val="en-GB" w:eastAsia="en-US"/>
    </w:rPr>
  </w:style>
  <w:style w:type="paragraph" w:customStyle="1" w:styleId="xh1g">
    <w:name w:val="x_h1g"/>
    <w:basedOn w:val="Normal"/>
    <w:uiPriority w:val="99"/>
    <w:rsid w:val="00F03418"/>
    <w:pPr>
      <w:suppressAutoHyphens w:val="0"/>
      <w:spacing w:line="240" w:lineRule="auto"/>
    </w:pPr>
    <w:rPr>
      <w:rFonts w:eastAsia="Calibri"/>
      <w:sz w:val="24"/>
      <w:szCs w:val="24"/>
      <w:lang w:eastAsia="en-GB"/>
    </w:rPr>
  </w:style>
  <w:style w:type="paragraph" w:customStyle="1" w:styleId="Default">
    <w:name w:val="Default"/>
    <w:rsid w:val="00F03418"/>
    <w:pPr>
      <w:autoSpaceDE w:val="0"/>
      <w:autoSpaceDN w:val="0"/>
      <w:adjustRightInd w:val="0"/>
    </w:pPr>
    <w:rPr>
      <w:rFonts w:ascii="Deja Vu Serif" w:eastAsia="SimSun" w:hAnsi="Deja Vu Serif" w:cs="Deja Vu Serif"/>
      <w:color w:val="000000"/>
      <w:sz w:val="24"/>
      <w:szCs w:val="24"/>
      <w:lang w:val="en-GB" w:eastAsia="zh-CN"/>
    </w:rPr>
  </w:style>
  <w:style w:type="character" w:customStyle="1" w:styleId="A5">
    <w:name w:val="A5"/>
    <w:uiPriority w:val="99"/>
    <w:rsid w:val="00F03418"/>
    <w:rPr>
      <w:color w:val="000000"/>
      <w:sz w:val="22"/>
      <w:szCs w:val="22"/>
    </w:rPr>
  </w:style>
  <w:style w:type="character" w:customStyle="1" w:styleId="A9">
    <w:name w:val="A9"/>
    <w:uiPriority w:val="99"/>
    <w:rsid w:val="00F03418"/>
    <w:rPr>
      <w:color w:val="000000"/>
      <w:sz w:val="12"/>
      <w:szCs w:val="12"/>
    </w:rPr>
  </w:style>
  <w:style w:type="paragraph" w:customStyle="1" w:styleId="Pa9">
    <w:name w:val="Pa9"/>
    <w:basedOn w:val="Default"/>
    <w:next w:val="Default"/>
    <w:uiPriority w:val="99"/>
    <w:rsid w:val="00F03418"/>
    <w:pPr>
      <w:spacing w:line="233" w:lineRule="atLeast"/>
    </w:pPr>
    <w:rPr>
      <w:rFonts w:ascii="QGFCP A+ Whitman" w:hAnsi="QGFCP A+ Whitman" w:cs="Arial"/>
      <w:color w:val="auto"/>
    </w:rPr>
  </w:style>
  <w:style w:type="character" w:customStyle="1" w:styleId="A12">
    <w:name w:val="A12"/>
    <w:uiPriority w:val="99"/>
    <w:rsid w:val="00F03418"/>
    <w:rPr>
      <w:rFonts w:cs="QGFCP A+ Whitman"/>
      <w:color w:val="000000"/>
      <w:sz w:val="16"/>
      <w:szCs w:val="16"/>
    </w:rPr>
  </w:style>
  <w:style w:type="paragraph" w:customStyle="1" w:styleId="Pa25">
    <w:name w:val="Pa25"/>
    <w:basedOn w:val="Default"/>
    <w:next w:val="Default"/>
    <w:uiPriority w:val="99"/>
    <w:rsid w:val="00F03418"/>
    <w:pPr>
      <w:spacing w:line="221" w:lineRule="atLeast"/>
    </w:pPr>
    <w:rPr>
      <w:rFonts w:ascii="QGFCP A+ Fago No Bold Lf" w:hAnsi="QGFCP A+ Fago No Bold Lf" w:cs="Arial"/>
      <w:color w:val="auto"/>
    </w:rPr>
  </w:style>
  <w:style w:type="character" w:customStyle="1" w:styleId="A2">
    <w:name w:val="A2"/>
    <w:uiPriority w:val="99"/>
    <w:rsid w:val="00F03418"/>
    <w:rPr>
      <w:rFonts w:cs="QGFCP A+ Whitman"/>
      <w:color w:val="000000"/>
      <w:sz w:val="16"/>
      <w:szCs w:val="16"/>
    </w:rPr>
  </w:style>
  <w:style w:type="character" w:customStyle="1" w:styleId="A13">
    <w:name w:val="A1_3"/>
    <w:uiPriority w:val="99"/>
    <w:rsid w:val="00F03418"/>
    <w:rPr>
      <w:rFonts w:cs="QGFCP A+ Whitman"/>
      <w:color w:val="000000"/>
      <w:sz w:val="16"/>
      <w:szCs w:val="16"/>
    </w:rPr>
  </w:style>
  <w:style w:type="paragraph" w:customStyle="1" w:styleId="Pa16">
    <w:name w:val="Pa16"/>
    <w:basedOn w:val="Default"/>
    <w:next w:val="Default"/>
    <w:uiPriority w:val="99"/>
    <w:rsid w:val="00F03418"/>
    <w:pPr>
      <w:spacing w:line="293" w:lineRule="atLeast"/>
    </w:pPr>
    <w:rPr>
      <w:rFonts w:ascii="QGFCP A+ Whitman" w:hAnsi="QGFCP A+ Whitman" w:cs="Arial"/>
      <w:color w:val="auto"/>
    </w:rPr>
  </w:style>
  <w:style w:type="paragraph" w:customStyle="1" w:styleId="Pa166">
    <w:name w:val="Pa16_6"/>
    <w:basedOn w:val="Default"/>
    <w:next w:val="Default"/>
    <w:uiPriority w:val="99"/>
    <w:rsid w:val="00F03418"/>
    <w:pPr>
      <w:spacing w:line="186" w:lineRule="atLeast"/>
    </w:pPr>
    <w:rPr>
      <w:rFonts w:ascii="MillerText Roman" w:hAnsi="MillerText Roman" w:cs="Arial"/>
      <w:color w:val="auto"/>
    </w:rPr>
  </w:style>
  <w:style w:type="paragraph" w:customStyle="1" w:styleId="Pa206">
    <w:name w:val="Pa20_6"/>
    <w:basedOn w:val="Default"/>
    <w:next w:val="Default"/>
    <w:uiPriority w:val="99"/>
    <w:rsid w:val="00F03418"/>
    <w:pPr>
      <w:spacing w:line="441" w:lineRule="atLeast"/>
    </w:pPr>
    <w:rPr>
      <w:rFonts w:ascii="Feijoa Bold" w:hAnsi="Feijoa Bold" w:cs="Arial"/>
      <w:color w:val="auto"/>
    </w:rPr>
  </w:style>
  <w:style w:type="character" w:customStyle="1" w:styleId="A136">
    <w:name w:val="A13_6"/>
    <w:uiPriority w:val="99"/>
    <w:rsid w:val="00F03418"/>
    <w:rPr>
      <w:rFonts w:cs="MillerText Roman"/>
      <w:color w:val="000000"/>
      <w:sz w:val="10"/>
      <w:szCs w:val="10"/>
    </w:rPr>
  </w:style>
  <w:style w:type="paragraph" w:customStyle="1" w:styleId="Pa8">
    <w:name w:val="Pa8"/>
    <w:basedOn w:val="Default"/>
    <w:next w:val="Default"/>
    <w:uiPriority w:val="99"/>
    <w:rsid w:val="00F03418"/>
    <w:pPr>
      <w:spacing w:line="221" w:lineRule="atLeast"/>
    </w:pPr>
    <w:rPr>
      <w:rFonts w:ascii="Minion Variable Concept" w:hAnsi="Minion Variable Concept" w:cs="Arial"/>
      <w:color w:val="auto"/>
    </w:rPr>
  </w:style>
  <w:style w:type="character" w:customStyle="1" w:styleId="A15">
    <w:name w:val="A15"/>
    <w:uiPriority w:val="99"/>
    <w:rsid w:val="00F03418"/>
    <w:rPr>
      <w:rFonts w:ascii="Open Sans" w:hAnsi="Open Sans" w:cs="Open Sans"/>
      <w:b/>
      <w:bCs/>
      <w:color w:val="000000"/>
      <w:sz w:val="12"/>
      <w:szCs w:val="12"/>
    </w:rPr>
  </w:style>
  <w:style w:type="character" w:customStyle="1" w:styleId="A3">
    <w:name w:val="A3"/>
    <w:uiPriority w:val="99"/>
    <w:rsid w:val="00F03418"/>
    <w:rPr>
      <w:rFonts w:cs="Minion Variable Concept"/>
      <w:color w:val="000000"/>
      <w:sz w:val="32"/>
      <w:szCs w:val="32"/>
    </w:rPr>
  </w:style>
  <w:style w:type="paragraph" w:customStyle="1" w:styleId="Pa14">
    <w:name w:val="Pa14"/>
    <w:basedOn w:val="Default"/>
    <w:next w:val="Default"/>
    <w:uiPriority w:val="99"/>
    <w:rsid w:val="00F03418"/>
    <w:pPr>
      <w:spacing w:line="161" w:lineRule="atLeast"/>
    </w:pPr>
    <w:rPr>
      <w:rFonts w:ascii="Minion Variable Concept" w:hAnsi="Minion Variable Concept" w:cs="Arial"/>
      <w:color w:val="auto"/>
    </w:rPr>
  </w:style>
  <w:style w:type="character" w:customStyle="1" w:styleId="A16">
    <w:name w:val="A16"/>
    <w:uiPriority w:val="99"/>
    <w:rsid w:val="00F03418"/>
    <w:rPr>
      <w:rFonts w:ascii="Open Sans" w:hAnsi="Open Sans" w:cs="Open Sans"/>
      <w:color w:val="000000"/>
      <w:sz w:val="18"/>
      <w:szCs w:val="18"/>
    </w:rPr>
  </w:style>
  <w:style w:type="paragraph" w:customStyle="1" w:styleId="Pa12">
    <w:name w:val="Pa12"/>
    <w:basedOn w:val="Default"/>
    <w:next w:val="Default"/>
    <w:uiPriority w:val="99"/>
    <w:rsid w:val="00F03418"/>
    <w:pPr>
      <w:spacing w:line="221" w:lineRule="atLeast"/>
    </w:pPr>
    <w:rPr>
      <w:rFonts w:ascii="Minion Variable Concept" w:hAnsi="Minion Variable Concept" w:cs="Arial"/>
      <w:color w:val="auto"/>
    </w:rPr>
  </w:style>
  <w:style w:type="paragraph" w:customStyle="1" w:styleId="Pa23">
    <w:name w:val="Pa23"/>
    <w:basedOn w:val="Default"/>
    <w:next w:val="Default"/>
    <w:uiPriority w:val="99"/>
    <w:rsid w:val="00F03418"/>
    <w:pPr>
      <w:spacing w:line="241" w:lineRule="atLeast"/>
    </w:pPr>
    <w:rPr>
      <w:rFonts w:ascii="Minion Variable Concept" w:hAnsi="Minion Variable Concept" w:cs="Arial"/>
      <w:color w:val="auto"/>
    </w:rPr>
  </w:style>
  <w:style w:type="character" w:customStyle="1" w:styleId="A6">
    <w:name w:val="A6"/>
    <w:uiPriority w:val="99"/>
    <w:rsid w:val="00F03418"/>
    <w:rPr>
      <w:rFonts w:cs="Minion Variable Concept"/>
      <w:color w:val="000000"/>
      <w:sz w:val="22"/>
      <w:szCs w:val="22"/>
    </w:rPr>
  </w:style>
  <w:style w:type="paragraph" w:styleId="ListParagraph">
    <w:name w:val="List Paragraph"/>
    <w:basedOn w:val="Normal"/>
    <w:uiPriority w:val="34"/>
    <w:qFormat/>
    <w:rsid w:val="00F03418"/>
    <w:pPr>
      <w:kinsoku w:val="0"/>
      <w:overflowPunct w:val="0"/>
      <w:autoSpaceDE w:val="0"/>
      <w:autoSpaceDN w:val="0"/>
      <w:adjustRightInd w:val="0"/>
      <w:snapToGrid w:val="0"/>
      <w:ind w:left="720"/>
      <w:contextualSpacing/>
    </w:pPr>
    <w:rPr>
      <w:rFonts w:eastAsia="Calibri"/>
    </w:rPr>
  </w:style>
  <w:style w:type="paragraph" w:customStyle="1" w:styleId="SingleTxt">
    <w:name w:val="__Single Txt"/>
    <w:basedOn w:val="Normal"/>
    <w:rsid w:val="00F03418"/>
    <w:pPr>
      <w:suppressAutoHyphens w:val="0"/>
      <w:spacing w:after="120"/>
      <w:ind w:left="1267" w:right="1267"/>
      <w:jc w:val="both"/>
    </w:pPr>
    <w:rPr>
      <w:rFonts w:eastAsia="Calibri"/>
      <w:spacing w:val="4"/>
    </w:rPr>
  </w:style>
  <w:style w:type="paragraph" w:styleId="NormalWeb">
    <w:name w:val="Normal (Web)"/>
    <w:basedOn w:val="Normal"/>
    <w:uiPriority w:val="99"/>
    <w:unhideWhenUsed/>
    <w:rsid w:val="00F03418"/>
    <w:pPr>
      <w:suppressAutoHyphens w:val="0"/>
      <w:spacing w:before="100" w:beforeAutospacing="1" w:after="100" w:afterAutospacing="1" w:line="240" w:lineRule="auto"/>
    </w:pPr>
    <w:rPr>
      <w:sz w:val="24"/>
      <w:szCs w:val="24"/>
      <w:lang w:eastAsia="en-GB"/>
    </w:rPr>
  </w:style>
  <w:style w:type="paragraph" w:customStyle="1" w:styleId="Char2">
    <w:name w:val="Char2"/>
    <w:basedOn w:val="Normal"/>
    <w:link w:val="FootnoteReference"/>
    <w:rsid w:val="00F03418"/>
    <w:pPr>
      <w:suppressAutoHyphens w:val="0"/>
      <w:spacing w:after="160" w:line="240" w:lineRule="exact"/>
    </w:pPr>
    <w:rPr>
      <w:sz w:val="18"/>
      <w:vertAlign w:val="superscript"/>
      <w:lang w:val="fr-FR" w:eastAsia="fr-FR"/>
    </w:rPr>
  </w:style>
  <w:style w:type="character" w:customStyle="1" w:styleId="highlight1">
    <w:name w:val="highlight1"/>
    <w:basedOn w:val="DefaultParagraphFont"/>
    <w:rsid w:val="00F03418"/>
    <w:rPr>
      <w:shd w:val="clear" w:color="auto" w:fill="FFCC33"/>
    </w:rPr>
  </w:style>
  <w:style w:type="paragraph" w:customStyle="1" w:styleId="report-headersubtitle">
    <w:name w:val="report-header__subtitle"/>
    <w:basedOn w:val="Normal"/>
    <w:rsid w:val="00F03418"/>
    <w:pPr>
      <w:suppressAutoHyphens w:val="0"/>
      <w:spacing w:before="100" w:beforeAutospacing="1" w:after="100" w:afterAutospacing="1" w:line="240" w:lineRule="auto"/>
    </w:pPr>
    <w:rPr>
      <w:sz w:val="24"/>
      <w:szCs w:val="24"/>
      <w:lang w:eastAsia="en-GB"/>
    </w:rPr>
  </w:style>
  <w:style w:type="character" w:customStyle="1" w:styleId="h2">
    <w:name w:val="h2"/>
    <w:basedOn w:val="DefaultParagraphFont"/>
    <w:rsid w:val="00F03418"/>
  </w:style>
  <w:style w:type="character" w:customStyle="1" w:styleId="sessionsubtitle">
    <w:name w:val="sessionsubtitle"/>
    <w:basedOn w:val="DefaultParagraphFont"/>
    <w:rsid w:val="00F03418"/>
  </w:style>
  <w:style w:type="paragraph" w:styleId="CommentText">
    <w:name w:val="annotation text"/>
    <w:basedOn w:val="Normal"/>
    <w:link w:val="CommentTextChar"/>
    <w:uiPriority w:val="99"/>
    <w:unhideWhenUsed/>
    <w:rsid w:val="00F03418"/>
    <w:pPr>
      <w:kinsoku w:val="0"/>
      <w:overflowPunct w:val="0"/>
      <w:autoSpaceDE w:val="0"/>
      <w:autoSpaceDN w:val="0"/>
      <w:adjustRightInd w:val="0"/>
      <w:snapToGrid w:val="0"/>
      <w:spacing w:line="240" w:lineRule="auto"/>
    </w:pPr>
    <w:rPr>
      <w:rFonts w:eastAsia="Calibri"/>
    </w:rPr>
  </w:style>
  <w:style w:type="character" w:customStyle="1" w:styleId="CommentTextChar">
    <w:name w:val="Comment Text Char"/>
    <w:basedOn w:val="DefaultParagraphFont"/>
    <w:link w:val="CommentText"/>
    <w:uiPriority w:val="99"/>
    <w:rsid w:val="00F03418"/>
    <w:rPr>
      <w:rFonts w:eastAsia="Calibri"/>
      <w:lang w:val="en-GB" w:eastAsia="en-US"/>
    </w:rPr>
  </w:style>
  <w:style w:type="character" w:styleId="CommentReference">
    <w:name w:val="annotation reference"/>
    <w:basedOn w:val="DefaultParagraphFont"/>
    <w:uiPriority w:val="99"/>
    <w:semiHidden/>
    <w:unhideWhenUsed/>
    <w:rsid w:val="00F03418"/>
    <w:rPr>
      <w:sz w:val="16"/>
      <w:szCs w:val="16"/>
    </w:rPr>
  </w:style>
  <w:style w:type="paragraph" w:styleId="CommentSubject">
    <w:name w:val="annotation subject"/>
    <w:basedOn w:val="CommentText"/>
    <w:next w:val="CommentText"/>
    <w:link w:val="CommentSubjectChar"/>
    <w:uiPriority w:val="99"/>
    <w:semiHidden/>
    <w:unhideWhenUsed/>
    <w:rsid w:val="00F03418"/>
    <w:rPr>
      <w:b/>
      <w:bCs/>
    </w:rPr>
  </w:style>
  <w:style w:type="character" w:customStyle="1" w:styleId="CommentSubjectChar">
    <w:name w:val="Comment Subject Char"/>
    <w:basedOn w:val="CommentTextChar"/>
    <w:link w:val="CommentSubject"/>
    <w:uiPriority w:val="99"/>
    <w:semiHidden/>
    <w:rsid w:val="00F03418"/>
    <w:rPr>
      <w:rFonts w:eastAsia="Calibri"/>
      <w:b/>
      <w:bCs/>
      <w:lang w:val="en-GB" w:eastAsia="en-US"/>
    </w:rPr>
  </w:style>
  <w:style w:type="paragraph" w:styleId="Title">
    <w:name w:val="Title"/>
    <w:basedOn w:val="Normal"/>
    <w:next w:val="Normal"/>
    <w:link w:val="TitleChar"/>
    <w:rsid w:val="007D4F30"/>
    <w:pPr>
      <w:keepNext/>
      <w:keepLines/>
      <w:suppressAutoHyphens w:val="0"/>
      <w:spacing w:after="60" w:line="276" w:lineRule="auto"/>
    </w:pPr>
    <w:rPr>
      <w:rFonts w:ascii="Arial" w:eastAsia="Arial" w:hAnsi="Arial" w:cs="Arial"/>
      <w:sz w:val="52"/>
      <w:szCs w:val="52"/>
      <w:lang w:val="en" w:eastAsia="en-GB"/>
    </w:rPr>
  </w:style>
  <w:style w:type="character" w:customStyle="1" w:styleId="TitleChar">
    <w:name w:val="Title Char"/>
    <w:basedOn w:val="DefaultParagraphFont"/>
    <w:link w:val="Title"/>
    <w:rsid w:val="007D4F30"/>
    <w:rPr>
      <w:rFonts w:ascii="Arial" w:eastAsia="Arial" w:hAnsi="Arial" w:cs="Arial"/>
      <w:sz w:val="52"/>
      <w:szCs w:val="52"/>
      <w:lang w:val="en" w:eastAsia="en-GB"/>
    </w:rPr>
  </w:style>
  <w:style w:type="paragraph" w:styleId="Subtitle">
    <w:name w:val="Subtitle"/>
    <w:basedOn w:val="Normal"/>
    <w:next w:val="Normal"/>
    <w:link w:val="SubtitleChar"/>
    <w:rsid w:val="007D4F30"/>
    <w:pPr>
      <w:keepNext/>
      <w:keepLines/>
      <w:suppressAutoHyphens w:val="0"/>
      <w:spacing w:after="320" w:line="276" w:lineRule="auto"/>
    </w:pPr>
    <w:rPr>
      <w:rFonts w:ascii="Arial" w:eastAsia="Arial" w:hAnsi="Arial" w:cs="Arial"/>
      <w:color w:val="666666"/>
      <w:sz w:val="30"/>
      <w:szCs w:val="30"/>
      <w:lang w:val="en" w:eastAsia="en-GB"/>
    </w:rPr>
  </w:style>
  <w:style w:type="character" w:customStyle="1" w:styleId="SubtitleChar">
    <w:name w:val="Subtitle Char"/>
    <w:basedOn w:val="DefaultParagraphFont"/>
    <w:link w:val="Subtitle"/>
    <w:rsid w:val="007D4F30"/>
    <w:rPr>
      <w:rFonts w:ascii="Arial" w:eastAsia="Arial" w:hAnsi="Arial" w:cs="Arial"/>
      <w:color w:val="666666"/>
      <w:sz w:val="30"/>
      <w:szCs w:val="30"/>
      <w:lang w:val="en" w:eastAsia="en-GB"/>
    </w:rPr>
  </w:style>
  <w:style w:type="paragraph" w:styleId="Revision">
    <w:name w:val="Revision"/>
    <w:hidden/>
    <w:uiPriority w:val="99"/>
    <w:semiHidden/>
    <w:rsid w:val="00FC40BD"/>
    <w:rPr>
      <w:lang w:val="en-GB" w:eastAsia="en-US"/>
    </w:rPr>
  </w:style>
  <w:style w:type="character" w:styleId="Emphasis">
    <w:name w:val="Emphasis"/>
    <w:basedOn w:val="DefaultParagraphFont"/>
    <w:uiPriority w:val="20"/>
    <w:qFormat/>
    <w:rsid w:val="00617581"/>
    <w:rPr>
      <w:i/>
      <w:iCs/>
    </w:rPr>
  </w:style>
  <w:style w:type="character" w:styleId="UnresolvedMention">
    <w:name w:val="Unresolved Mention"/>
    <w:basedOn w:val="DefaultParagraphFont"/>
    <w:uiPriority w:val="99"/>
    <w:semiHidden/>
    <w:unhideWhenUsed/>
    <w:rsid w:val="002E3779"/>
    <w:rPr>
      <w:color w:val="605E5C"/>
      <w:shd w:val="clear" w:color="auto" w:fill="E1DFDD"/>
    </w:rPr>
  </w:style>
  <w:style w:type="character" w:styleId="Mention">
    <w:name w:val="Mention"/>
    <w:basedOn w:val="DefaultParagraphFont"/>
    <w:uiPriority w:val="99"/>
    <w:unhideWhenUsed/>
    <w:rsid w:val="00FA5F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385">
      <w:bodyDiv w:val="1"/>
      <w:marLeft w:val="0"/>
      <w:marRight w:val="0"/>
      <w:marTop w:val="0"/>
      <w:marBottom w:val="0"/>
      <w:divBdr>
        <w:top w:val="none" w:sz="0" w:space="0" w:color="auto"/>
        <w:left w:val="none" w:sz="0" w:space="0" w:color="auto"/>
        <w:bottom w:val="none" w:sz="0" w:space="0" w:color="auto"/>
        <w:right w:val="none" w:sz="0" w:space="0" w:color="auto"/>
      </w:divBdr>
    </w:div>
    <w:div w:id="465633619">
      <w:bodyDiv w:val="1"/>
      <w:marLeft w:val="0"/>
      <w:marRight w:val="0"/>
      <w:marTop w:val="0"/>
      <w:marBottom w:val="0"/>
      <w:divBdr>
        <w:top w:val="none" w:sz="0" w:space="0" w:color="auto"/>
        <w:left w:val="none" w:sz="0" w:space="0" w:color="auto"/>
        <w:bottom w:val="none" w:sz="0" w:space="0" w:color="auto"/>
        <w:right w:val="none" w:sz="0" w:space="0" w:color="auto"/>
      </w:divBdr>
    </w:div>
    <w:div w:id="483082402">
      <w:bodyDiv w:val="1"/>
      <w:marLeft w:val="0"/>
      <w:marRight w:val="0"/>
      <w:marTop w:val="0"/>
      <w:marBottom w:val="0"/>
      <w:divBdr>
        <w:top w:val="none" w:sz="0" w:space="0" w:color="auto"/>
        <w:left w:val="none" w:sz="0" w:space="0" w:color="auto"/>
        <w:bottom w:val="none" w:sz="0" w:space="0" w:color="auto"/>
        <w:right w:val="none" w:sz="0" w:space="0" w:color="auto"/>
      </w:divBdr>
    </w:div>
    <w:div w:id="1621498072">
      <w:bodyDiv w:val="1"/>
      <w:marLeft w:val="0"/>
      <w:marRight w:val="0"/>
      <w:marTop w:val="0"/>
      <w:marBottom w:val="0"/>
      <w:divBdr>
        <w:top w:val="none" w:sz="0" w:space="0" w:color="auto"/>
        <w:left w:val="none" w:sz="0" w:space="0" w:color="auto"/>
        <w:bottom w:val="none" w:sz="0" w:space="0" w:color="auto"/>
        <w:right w:val="none" w:sz="0" w:space="0" w:color="auto"/>
      </w:divBdr>
      <w:divsChild>
        <w:div w:id="1364205349">
          <w:marLeft w:val="0"/>
          <w:marRight w:val="0"/>
          <w:marTop w:val="0"/>
          <w:marBottom w:val="0"/>
          <w:divBdr>
            <w:top w:val="none" w:sz="0" w:space="0" w:color="auto"/>
            <w:left w:val="none" w:sz="0" w:space="0" w:color="auto"/>
            <w:bottom w:val="none" w:sz="0" w:space="0" w:color="auto"/>
            <w:right w:val="none" w:sz="0" w:space="0" w:color="auto"/>
          </w:divBdr>
        </w:div>
        <w:div w:id="15621310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unstats.un.org/sdgs/report/2023/The-Sustainable-Development-Goals-Report-2023.pdf" TargetMode="External"/><Relationship Id="rId18" Type="http://schemas.openxmlformats.org/officeDocument/2006/relationships/hyperlink" Target="https://app.box.com/s/cwen05tcem25e5hv1iekefb7opmcpi10" TargetMode="External"/><Relationship Id="rId26" Type="http://schemas.openxmlformats.org/officeDocument/2006/relationships/hyperlink" Target="https://www.corteidh.or.cr/opiniones_consultivas.cfm?lang=en" TargetMode="External"/><Relationship Id="rId39" Type="http://schemas.openxmlformats.org/officeDocument/2006/relationships/hyperlink" Target="https://www.jep.gov.co/JEP/Paginas/Jurisdiccion-Especial-para-la-Paz.aspx" TargetMode="External"/><Relationship Id="rId21" Type="http://schemas.openxmlformats.org/officeDocument/2006/relationships/hyperlink" Target="https://images.transparencycdn.org/images/2022_SafeguardingIndependenceSAIs_Toolkit_English.pdf" TargetMode="External"/><Relationship Id="rId34" Type="http://schemas.openxmlformats.org/officeDocument/2006/relationships/hyperlink" Target="https://prd-echr.coe.int/web/echr/inter-state-applications" TargetMode="External"/><Relationship Id="rId42" Type="http://schemas.openxmlformats.org/officeDocument/2006/relationships/hyperlink" Target="https://trialinternational.org/wp-content/uploads/2024/04/UJAR-2024_digital.pdf" TargetMode="External"/><Relationship Id="rId47" Type="http://schemas.openxmlformats.org/officeDocument/2006/relationships/hyperlink" Target="https://trialinternational.org/wp-content/uploads/2023/11/UJAR-2023_13112023_updated.pdf" TargetMode="External"/><Relationship Id="rId50" Type="http://schemas.openxmlformats.org/officeDocument/2006/relationships/hyperlink" Target="https://international-review.icrc.org/articles/better-a-war-criminal-or-a-terrorist-a-comparative-study-916" TargetMode="External"/><Relationship Id="rId55" Type="http://schemas.openxmlformats.org/officeDocument/2006/relationships/hyperlink" Target="https://www.ecchr.eu/en/case/made-in-europe-bombed-in-yemen/" TargetMode="External"/><Relationship Id="rId7" Type="http://schemas.openxmlformats.org/officeDocument/2006/relationships/hyperlink" Target="https://documents.un.org/doc/undoc/gen/n18/299/45/pdf/n1829945.pdf?token=EGnrtVzTJcZ7cMC36z&amp;fe=true" TargetMode="External"/><Relationship Id="rId2" Type="http://schemas.openxmlformats.org/officeDocument/2006/relationships/hyperlink" Target="https://www.unodc.org/documents/data-and-analysis/sdgs/sdg16_progress_report_2024.pdf" TargetMode="External"/><Relationship Id="rId16" Type="http://schemas.openxmlformats.org/officeDocument/2006/relationships/hyperlink" Target="https://www.ohchr.org/sites/default/files/documents/issues/transitionaljustice/sg-guidance-note/2023_07_guidance_note_transitional_justice_en.pdf" TargetMode="External"/><Relationship Id="rId29" Type="http://schemas.openxmlformats.org/officeDocument/2006/relationships/hyperlink" Target="https://www.itlos.org/en/main/cases/list-of-cases/request-for-an-advisory-opinion-submitted-by-the-commission-of-small-island-states-on-climate-change-and-international-law-request-for-advisory-opinion-submitted-to-the-tribunal/" TargetMode="External"/><Relationship Id="rId11" Type="http://schemas.openxmlformats.org/officeDocument/2006/relationships/hyperlink" Target="https://unstats.un.org/sdgs/report/2023/The-Sustainable-Development-Goals-Report-2023.pdf" TargetMode="External"/><Relationship Id="rId24" Type="http://schemas.openxmlformats.org/officeDocument/2006/relationships/hyperlink" Target="https://www.icj-cij.org/sites/default/files/case-related/186/186-20240719-adv-01-00-en.pdf" TargetMode="External"/><Relationship Id="rId32" Type="http://schemas.openxmlformats.org/officeDocument/2006/relationships/hyperlink" Target="https://www.icj-cij.org/sites/default/files/case-related/192/192-20240126-ord-01-00-en.pdf" TargetMode="External"/><Relationship Id="rId37" Type="http://schemas.openxmlformats.org/officeDocument/2006/relationships/hyperlink" Target="https://www.icc-cpi.int/sites/default/files/itemsDocuments/Jordan-Summary-Al-Bashir-Judgment.pdf" TargetMode="External"/><Relationship Id="rId40" Type="http://schemas.openxmlformats.org/officeDocument/2006/relationships/hyperlink" Target="https://www.ohchr.org/sites/default/files/documents/hrbodies/hrcouncil/sessions-regular/session52/A_HRC_52_CRP.3.pdf" TargetMode="External"/><Relationship Id="rId45" Type="http://schemas.openxmlformats.org/officeDocument/2006/relationships/hyperlink" Target="https://trialinternational.org/wp-content/uploads/2024/04/UJAR-2024_digital.pdf" TargetMode="External"/><Relationship Id="rId53" Type="http://schemas.openxmlformats.org/officeDocument/2006/relationships/hyperlink" Target="https://www.ecchr.eu/fileadmin/Fachartikel/ECCHR_PP_SYRIA_EN_F2.pdf" TargetMode="External"/><Relationship Id="rId58" Type="http://schemas.openxmlformats.org/officeDocument/2006/relationships/hyperlink" Target="https://iimm.un.org/wp-content/uploads/2024/06/2024-June-Bulletin-EN.pdf" TargetMode="External"/><Relationship Id="rId5" Type="http://schemas.openxmlformats.org/officeDocument/2006/relationships/hyperlink" Target="https://www.un.org/sites/un2.un.org/files/our-common-agenda-policy-brief-new-agenda-for-peace-en.pdf" TargetMode="External"/><Relationship Id="rId19" Type="http://schemas.openxmlformats.org/officeDocument/2006/relationships/hyperlink" Target="https://www.ohchr.org/sites/default/files/UseOfForceAndFirearms.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efendcivicspace.com/" TargetMode="External"/><Relationship Id="rId14" Type="http://schemas.openxmlformats.org/officeDocument/2006/relationships/hyperlink" Target="https://www.ohchr.org/sites/default/files/Documents/Publications/FactSheet16rev.1en.pdf" TargetMode="External"/><Relationship Id="rId22" Type="http://schemas.openxmlformats.org/officeDocument/2006/relationships/hyperlink" Target="https://ungass2021.unodc.org/uploads/ungass2021/documents/session1/contributions/UN_Common_Position_to_Address_Global_Corruption_Towards_UNGASS2021.pdf" TargetMode="External"/><Relationship Id="rId27" Type="http://schemas.openxmlformats.org/officeDocument/2006/relationships/hyperlink" Target="https://prd-echr.coe.int/web/echr/advisory-opinions" TargetMode="External"/><Relationship Id="rId30" Type="http://schemas.openxmlformats.org/officeDocument/2006/relationships/hyperlink" Target="https://www.icj-cij.org/declarations" TargetMode="External"/><Relationship Id="rId35" Type="http://schemas.openxmlformats.org/officeDocument/2006/relationships/hyperlink" Target="https://www.coe.int/en/web/tbilisi/europeancourtofhumanrights" TargetMode="External"/><Relationship Id="rId43" Type="http://schemas.openxmlformats.org/officeDocument/2006/relationships/hyperlink" Target="https://trialinternational.org/universal-jurisdiction-tools/universal-jurisdiction-law-and-practice-briefing-papers/" TargetMode="External"/><Relationship Id="rId48" Type="http://schemas.openxmlformats.org/officeDocument/2006/relationships/hyperlink" Target="https://trialinternational.org/wp-content/uploads/2023/11/UJAR-2023_13112023_updated.pdf" TargetMode="External"/><Relationship Id="rId56" Type="http://schemas.openxmlformats.org/officeDocument/2006/relationships/hyperlink" Target="https://iiim.un.org/what-we-do/" TargetMode="External"/><Relationship Id="rId8" Type="http://schemas.openxmlformats.org/officeDocument/2006/relationships/hyperlink" Target="https://monitor.civicus.org/globalfindings_2023/" TargetMode="External"/><Relationship Id="rId51" Type="http://schemas.openxmlformats.org/officeDocument/2006/relationships/hyperlink" Target="https://international-review.icrc.org/sites/default/files/reviews-pdf/2022-02/foreign-fighters-and-the-tension-between-counterterrorism-and-ihl-916.pdf" TargetMode="External"/><Relationship Id="rId3" Type="http://schemas.openxmlformats.org/officeDocument/2006/relationships/hyperlink" Target="https://worldjusticeproject.org/rule-of-law-index/insights#global-decline" TargetMode="External"/><Relationship Id="rId12" Type="http://schemas.openxmlformats.org/officeDocument/2006/relationships/hyperlink" Target="https://unstats.un.org/sdgs/report/2024/The-Sustainable-Development-Goals-Report-2024.pdf" TargetMode="External"/><Relationship Id="rId17" Type="http://schemas.openxmlformats.org/officeDocument/2006/relationships/hyperlink" Target="https://www.ohchr.org/sites/default/files/documents/publications/policy-methodological/HumanRights_Toolkit_EN_web.pdf" TargetMode="External"/><Relationship Id="rId25" Type="http://schemas.openxmlformats.org/officeDocument/2006/relationships/hyperlink" Target="https://www.icj-cij.org/sites/default/files/case-related/187/187-20230412-app-01-00-en.pdf" TargetMode="External"/><Relationship Id="rId33" Type="http://schemas.openxmlformats.org/officeDocument/2006/relationships/hyperlink" Target="https://www.ohchr.org/en/treaty-bodies/cerd/inter-state-communications" TargetMode="External"/><Relationship Id="rId38" Type="http://schemas.openxmlformats.org/officeDocument/2006/relationships/hyperlink" Target="https://reparations.qub.ac.uk/assets/uploads/JugementCAEdAssises_PenalCivil_.pdf" TargetMode="External"/><Relationship Id="rId46" Type="http://schemas.openxmlformats.org/officeDocument/2006/relationships/hyperlink" Target="https://iiim.un.org/what-we-do/" TargetMode="External"/><Relationship Id="rId59" Type="http://schemas.openxmlformats.org/officeDocument/2006/relationships/hyperlink" Target="https://www.eurojust.europa.eu/judicial-cooperation/practitioner-networks/genocide-network" TargetMode="External"/><Relationship Id="rId20" Type="http://schemas.openxmlformats.org/officeDocument/2006/relationships/hyperlink" Target="https://www.ohchr.org/sites/default/files/UseOfForceAndFirearms.pdf" TargetMode="External"/><Relationship Id="rId41" Type="http://schemas.openxmlformats.org/officeDocument/2006/relationships/hyperlink" Target="https://www.amnesty.org/en/documents/ior53/019/2012/en/" TargetMode="External"/><Relationship Id="rId54" Type="http://schemas.openxmlformats.org/officeDocument/2006/relationships/hyperlink" Target="https://trialinternational.org/countries-post/democratic-republic-of-the-congo/" TargetMode="External"/><Relationship Id="rId1" Type="http://schemas.openxmlformats.org/officeDocument/2006/relationships/hyperlink" Target="https://unstats.un.org/sdgs/report/2023/progress-chart/Progress-Chart-2023.pdf" TargetMode="External"/><Relationship Id="rId6" Type="http://schemas.openxmlformats.org/officeDocument/2006/relationships/hyperlink" Target="https://documents.un.org/doc/undoc/gen/g18/054/36/pdf/g1805436.pdf?token=DNK6vkNUbhqETcQxTI&amp;fe=true" TargetMode="External"/><Relationship Id="rId15" Type="http://schemas.openxmlformats.org/officeDocument/2006/relationships/hyperlink" Target="https://rm.coe.int/168074738b" TargetMode="External"/><Relationship Id="rId23" Type="http://schemas.openxmlformats.org/officeDocument/2006/relationships/hyperlink" Target="https://documents.un.org/doc/undoc/gen/n23/044/15/pdf/n2304415.pdf?token=g5BLrfqSHYMNrXXKdv&amp;fe=true" TargetMode="External"/><Relationship Id="rId28" Type="http://schemas.openxmlformats.org/officeDocument/2006/relationships/hyperlink" Target="https://www.corteidh.or.cr/docs/opiniones/soc_1_2023_en.pdf" TargetMode="External"/><Relationship Id="rId36" Type="http://schemas.openxmlformats.org/officeDocument/2006/relationships/hyperlink" Target="https://ijrcenter.org/regional-communities/southern-african-development-community-tribunal/" TargetMode="External"/><Relationship Id="rId49" Type="http://schemas.openxmlformats.org/officeDocument/2006/relationships/hyperlink" Target="https://www.ibanet.org/IBA-War-Crimes-Committee-shines-a-light-on-corporate-liability-cases" TargetMode="External"/><Relationship Id="rId57" Type="http://schemas.openxmlformats.org/officeDocument/2006/relationships/hyperlink" Target="https://iiim.un.org/wp-content/uploads/2024/01/Bulletin-ENG-December-2023-Vjan23.pdf" TargetMode="External"/><Relationship Id="rId10" Type="http://schemas.openxmlformats.org/officeDocument/2006/relationships/hyperlink" Target="https://unstats.un.org/sdgs/report/2024/The-Sustainable-Development-Goals-Report-2024.pdf" TargetMode="External"/><Relationship Id="rId31" Type="http://schemas.openxmlformats.org/officeDocument/2006/relationships/hyperlink" Target="https://icj-cij.org/pending-cases" TargetMode="External"/><Relationship Id="rId44" Type="http://schemas.openxmlformats.org/officeDocument/2006/relationships/hyperlink" Target="https://www.courdecassation.fr/en/toutes-les-actualites/2023/05/12/press-release-universal-jurisdiction-french-justice-crimes" TargetMode="External"/><Relationship Id="rId52" Type="http://schemas.openxmlformats.org/officeDocument/2006/relationships/hyperlink" Target="https://trialinternational.org/wp-content/uploads/2024/04/UJAR-2024_digit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7F352-E19C-4345-A10B-F7A4718D0384}">
  <ds:schemaRefs>
    <ds:schemaRef ds:uri="http://schemas.openxmlformats.org/officeDocument/2006/bibliography"/>
  </ds:schemaRefs>
</ds:datastoreItem>
</file>

<file path=customXml/itemProps2.xml><?xml version="1.0" encoding="utf-8"?>
<ds:datastoreItem xmlns:ds="http://schemas.openxmlformats.org/officeDocument/2006/customXml" ds:itemID="{FC6C42B1-4D29-4EF5-93F8-2C681B0C0033}">
  <ds:schemaRefs>
    <ds:schemaRef ds:uri="http://schemas.microsoft.com/office/2006/metadata/properties"/>
    <ds:schemaRef ds:uri="http://schemas.microsoft.com/office/infopath/2007/PartnerControls"/>
    <ds:schemaRef ds:uri="985ec44e-1bab-4c0b-9df0-6ba128686fc9"/>
    <ds:schemaRef ds:uri="cd363d60-c3fb-4279-bb3e-0ba290b6ed81"/>
  </ds:schemaRefs>
</ds:datastoreItem>
</file>

<file path=customXml/itemProps3.xml><?xml version="1.0" encoding="utf-8"?>
<ds:datastoreItem xmlns:ds="http://schemas.openxmlformats.org/officeDocument/2006/customXml" ds:itemID="{4DA6EE03-F3FA-4A33-8C0E-758C9D8FCF37}">
  <ds:schemaRefs>
    <ds:schemaRef ds:uri="http://schemas.microsoft.com/sharepoint/v3/contenttype/forms"/>
  </ds:schemaRefs>
</ds:datastoreItem>
</file>

<file path=customXml/itemProps4.xml><?xml version="1.0" encoding="utf-8"?>
<ds:datastoreItem xmlns:ds="http://schemas.openxmlformats.org/officeDocument/2006/customXml" ds:itemID="{E0CBF3B5-A67A-471F-A006-8C3E177A867B}"/>
</file>

<file path=docProps/app.xml><?xml version="1.0" encoding="utf-8"?>
<Properties xmlns="http://schemas.openxmlformats.org/officeDocument/2006/extended-properties" xmlns:vt="http://schemas.openxmlformats.org/officeDocument/2006/docPropsVTypes">
  <Template>A_E.dotm</Template>
  <TotalTime>2</TotalTime>
  <Pages>17</Pages>
  <Words>6439</Words>
  <Characters>38639</Characters>
  <Application>Microsoft Office Word</Application>
  <DocSecurity>0</DocSecurity>
  <Lines>757</Lines>
  <Paragraphs>324</Paragraphs>
  <ScaleCrop>false</ScaleCrop>
  <HeadingPairs>
    <vt:vector size="2" baseType="variant">
      <vt:variant>
        <vt:lpstr>Title</vt:lpstr>
      </vt:variant>
      <vt:variant>
        <vt:i4>1</vt:i4>
      </vt:variant>
    </vt:vector>
  </HeadingPairs>
  <TitlesOfParts>
    <vt:vector size="1" baseType="lpstr">
      <vt:lpstr>A/HRC/45/27</vt:lpstr>
    </vt:vector>
  </TitlesOfParts>
  <Company>CSD</Company>
  <LinksUpToDate>false</LinksUpToDate>
  <CharactersWithSpaces>44754</CharactersWithSpaces>
  <SharedDoc>false</SharedDoc>
  <HLinks>
    <vt:vector size="504" baseType="variant">
      <vt:variant>
        <vt:i4>3342369</vt:i4>
      </vt:variant>
      <vt:variant>
        <vt:i4>243</vt:i4>
      </vt:variant>
      <vt:variant>
        <vt:i4>0</vt:i4>
      </vt:variant>
      <vt:variant>
        <vt:i4>5</vt:i4>
      </vt:variant>
      <vt:variant>
        <vt:lpwstr>https://www.eurojust.europa.eu/judicial-cooperation/practitioner-networks/genocide-network</vt:lpwstr>
      </vt:variant>
      <vt:variant>
        <vt:lpwstr/>
      </vt:variant>
      <vt:variant>
        <vt:i4>5177468</vt:i4>
      </vt:variant>
      <vt:variant>
        <vt:i4>240</vt:i4>
      </vt:variant>
      <vt:variant>
        <vt:i4>0</vt:i4>
      </vt:variant>
      <vt:variant>
        <vt:i4>5</vt:i4>
      </vt:variant>
      <vt:variant>
        <vt:lpwstr>https://www.ohchr.org/sites/default/files/documents/hrbodies/hrcouncil/sessions-regular/session52/A_HRC_52_CRP.3.pdf</vt:lpwstr>
      </vt:variant>
      <vt:variant>
        <vt:lpwstr/>
      </vt:variant>
      <vt:variant>
        <vt:i4>5636182</vt:i4>
      </vt:variant>
      <vt:variant>
        <vt:i4>237</vt:i4>
      </vt:variant>
      <vt:variant>
        <vt:i4>0</vt:i4>
      </vt:variant>
      <vt:variant>
        <vt:i4>5</vt:i4>
      </vt:variant>
      <vt:variant>
        <vt:lpwstr>https://www.elac.ox.ac.uk/wp-content/uploads/2023/04/Oxford-ELAC-Anchoring-Accountability-for-Mass-Atrocities.pdf</vt:lpwstr>
      </vt:variant>
      <vt:variant>
        <vt:lpwstr/>
      </vt:variant>
      <vt:variant>
        <vt:i4>524356</vt:i4>
      </vt:variant>
      <vt:variant>
        <vt:i4>234</vt:i4>
      </vt:variant>
      <vt:variant>
        <vt:i4>0</vt:i4>
      </vt:variant>
      <vt:variant>
        <vt:i4>5</vt:i4>
      </vt:variant>
      <vt:variant>
        <vt:lpwstr>https://hdl.handle.net/1887/66791</vt:lpwstr>
      </vt:variant>
      <vt:variant>
        <vt:lpwstr/>
      </vt:variant>
      <vt:variant>
        <vt:i4>458818</vt:i4>
      </vt:variant>
      <vt:variant>
        <vt:i4>231</vt:i4>
      </vt:variant>
      <vt:variant>
        <vt:i4>0</vt:i4>
      </vt:variant>
      <vt:variant>
        <vt:i4>5</vt:i4>
      </vt:variant>
      <vt:variant>
        <vt:lpwstr>https://iimm.un.org/wp-content/uploads/2024/06/2024-June-Bulletin-EN.pdf</vt:lpwstr>
      </vt:variant>
      <vt:variant>
        <vt:lpwstr/>
      </vt:variant>
      <vt:variant>
        <vt:i4>1703944</vt:i4>
      </vt:variant>
      <vt:variant>
        <vt:i4>228</vt:i4>
      </vt:variant>
      <vt:variant>
        <vt:i4>0</vt:i4>
      </vt:variant>
      <vt:variant>
        <vt:i4>5</vt:i4>
      </vt:variant>
      <vt:variant>
        <vt:lpwstr>https://iiim.un.org/wp-content/uploads/2024/01/Bulletin-ENG-December-2023-Vjan23.pdf</vt:lpwstr>
      </vt:variant>
      <vt:variant>
        <vt:lpwstr/>
      </vt:variant>
      <vt:variant>
        <vt:i4>3801138</vt:i4>
      </vt:variant>
      <vt:variant>
        <vt:i4>225</vt:i4>
      </vt:variant>
      <vt:variant>
        <vt:i4>0</vt:i4>
      </vt:variant>
      <vt:variant>
        <vt:i4>5</vt:i4>
      </vt:variant>
      <vt:variant>
        <vt:lpwstr>https://iiim.un.org/what-we-do/</vt:lpwstr>
      </vt:variant>
      <vt:variant>
        <vt:lpwstr/>
      </vt:variant>
      <vt:variant>
        <vt:i4>1900633</vt:i4>
      </vt:variant>
      <vt:variant>
        <vt:i4>222</vt:i4>
      </vt:variant>
      <vt:variant>
        <vt:i4>0</vt:i4>
      </vt:variant>
      <vt:variant>
        <vt:i4>5</vt:i4>
      </vt:variant>
      <vt:variant>
        <vt:lpwstr>https://doi.org/10.1093/jicj/mqad038</vt:lpwstr>
      </vt:variant>
      <vt:variant>
        <vt:lpwstr/>
      </vt:variant>
      <vt:variant>
        <vt:i4>1048667</vt:i4>
      </vt:variant>
      <vt:variant>
        <vt:i4>219</vt:i4>
      </vt:variant>
      <vt:variant>
        <vt:i4>0</vt:i4>
      </vt:variant>
      <vt:variant>
        <vt:i4>5</vt:i4>
      </vt:variant>
      <vt:variant>
        <vt:lpwstr>https://doi.org/10.1093/jicj/mqae005</vt:lpwstr>
      </vt:variant>
      <vt:variant>
        <vt:lpwstr/>
      </vt:variant>
      <vt:variant>
        <vt:i4>5636182</vt:i4>
      </vt:variant>
      <vt:variant>
        <vt:i4>216</vt:i4>
      </vt:variant>
      <vt:variant>
        <vt:i4>0</vt:i4>
      </vt:variant>
      <vt:variant>
        <vt:i4>5</vt:i4>
      </vt:variant>
      <vt:variant>
        <vt:lpwstr>https://www.elac.ox.ac.uk/wp-content/uploads/2023/04/Oxford-ELAC-Anchoring-Accountability-for-Mass-Atrocities.pdf</vt:lpwstr>
      </vt:variant>
      <vt:variant>
        <vt:lpwstr/>
      </vt:variant>
      <vt:variant>
        <vt:i4>2687006</vt:i4>
      </vt:variant>
      <vt:variant>
        <vt:i4>213</vt:i4>
      </vt:variant>
      <vt:variant>
        <vt:i4>0</vt:i4>
      </vt:variant>
      <vt:variant>
        <vt:i4>5</vt:i4>
      </vt:variant>
      <vt:variant>
        <vt:lpwstr>https://www.ohchr.org/sites/default/files/Documents/Publications/CoI_Guidance_and_Practice.pdf</vt:lpwstr>
      </vt:variant>
      <vt:variant>
        <vt:lpwstr/>
      </vt:variant>
      <vt:variant>
        <vt:i4>5505091</vt:i4>
      </vt:variant>
      <vt:variant>
        <vt:i4>210</vt:i4>
      </vt:variant>
      <vt:variant>
        <vt:i4>0</vt:i4>
      </vt:variant>
      <vt:variant>
        <vt:i4>5</vt:i4>
      </vt:variant>
      <vt:variant>
        <vt:lpwstr>https://www.ecchr.eu/en/case/made-in-europe-bombed-in-yemen/</vt:lpwstr>
      </vt:variant>
      <vt:variant>
        <vt:lpwstr/>
      </vt:variant>
      <vt:variant>
        <vt:i4>1835099</vt:i4>
      </vt:variant>
      <vt:variant>
        <vt:i4>207</vt:i4>
      </vt:variant>
      <vt:variant>
        <vt:i4>0</vt:i4>
      </vt:variant>
      <vt:variant>
        <vt:i4>5</vt:i4>
      </vt:variant>
      <vt:variant>
        <vt:lpwstr>https://doi.org/10.1093/jicj/mqae009</vt:lpwstr>
      </vt:variant>
      <vt:variant>
        <vt:lpwstr/>
      </vt:variant>
      <vt:variant>
        <vt:i4>6619170</vt:i4>
      </vt:variant>
      <vt:variant>
        <vt:i4>204</vt:i4>
      </vt:variant>
      <vt:variant>
        <vt:i4>0</vt:i4>
      </vt:variant>
      <vt:variant>
        <vt:i4>5</vt:i4>
      </vt:variant>
      <vt:variant>
        <vt:lpwstr>https://trialinternational.org/countries-post/democratic-republic-of-the-congo/</vt:lpwstr>
      </vt:variant>
      <vt:variant>
        <vt:lpwstr/>
      </vt:variant>
      <vt:variant>
        <vt:i4>3211316</vt:i4>
      </vt:variant>
      <vt:variant>
        <vt:i4>201</vt:i4>
      </vt:variant>
      <vt:variant>
        <vt:i4>0</vt:i4>
      </vt:variant>
      <vt:variant>
        <vt:i4>5</vt:i4>
      </vt:variant>
      <vt:variant>
        <vt:lpwstr>https://www.ecchr.eu/fileadmin/Fachartikel/ECCHR_PP_SYRIA_EN_F2.pdf</vt:lpwstr>
      </vt:variant>
      <vt:variant>
        <vt:lpwstr/>
      </vt:variant>
      <vt:variant>
        <vt:i4>4980855</vt:i4>
      </vt:variant>
      <vt:variant>
        <vt:i4>198</vt:i4>
      </vt:variant>
      <vt:variant>
        <vt:i4>0</vt:i4>
      </vt:variant>
      <vt:variant>
        <vt:i4>5</vt:i4>
      </vt:variant>
      <vt:variant>
        <vt:lpwstr>https://trialinternational.org/wp-content/uploads/2024/04/UJAR-2024_digital.pdf</vt:lpwstr>
      </vt:variant>
      <vt:variant>
        <vt:lpwstr/>
      </vt:variant>
      <vt:variant>
        <vt:i4>6422576</vt:i4>
      </vt:variant>
      <vt:variant>
        <vt:i4>195</vt:i4>
      </vt:variant>
      <vt:variant>
        <vt:i4>0</vt:i4>
      </vt:variant>
      <vt:variant>
        <vt:i4>5</vt:i4>
      </vt:variant>
      <vt:variant>
        <vt:lpwstr>https://international-review.icrc.org/sites/default/files/reviews-pdf/2022-02/foreign-fighters-and-the-tension-between-counterterrorism-and-ihl-916.pdf</vt:lpwstr>
      </vt:variant>
      <vt:variant>
        <vt:lpwstr/>
      </vt:variant>
      <vt:variant>
        <vt:i4>1966135</vt:i4>
      </vt:variant>
      <vt:variant>
        <vt:i4>192</vt:i4>
      </vt:variant>
      <vt:variant>
        <vt:i4>0</vt:i4>
      </vt:variant>
      <vt:variant>
        <vt:i4>5</vt:i4>
      </vt:variant>
      <vt:variant>
        <vt:lpwstr>https://international-review.icrc.org/articles/better-a-war-criminal-or-a-terrorist-a-comparative-study-916</vt:lpwstr>
      </vt:variant>
      <vt:variant>
        <vt:lpwstr>footnote55_cijzeiw</vt:lpwstr>
      </vt:variant>
      <vt:variant>
        <vt:i4>2424936</vt:i4>
      </vt:variant>
      <vt:variant>
        <vt:i4>189</vt:i4>
      </vt:variant>
      <vt:variant>
        <vt:i4>0</vt:i4>
      </vt:variant>
      <vt:variant>
        <vt:i4>5</vt:i4>
      </vt:variant>
      <vt:variant>
        <vt:lpwstr>https://www.eurojust.europa.eu/sites/default/files/Partners/Genocide/2020-05_Report-on-cumulative-prosecution-of-FTFs_EN.PDF</vt:lpwstr>
      </vt:variant>
      <vt:variant>
        <vt:lpwstr/>
      </vt:variant>
      <vt:variant>
        <vt:i4>7209060</vt:i4>
      </vt:variant>
      <vt:variant>
        <vt:i4>186</vt:i4>
      </vt:variant>
      <vt:variant>
        <vt:i4>0</vt:i4>
      </vt:variant>
      <vt:variant>
        <vt:i4>5</vt:i4>
      </vt:variant>
      <vt:variant>
        <vt:lpwstr>https://www.ibanet.org/IBA-War-Crimes-Committee-shines-a-light-on-corporate-liability-cases</vt:lpwstr>
      </vt:variant>
      <vt:variant>
        <vt:lpwstr/>
      </vt:variant>
      <vt:variant>
        <vt:i4>7798911</vt:i4>
      </vt:variant>
      <vt:variant>
        <vt:i4>183</vt:i4>
      </vt:variant>
      <vt:variant>
        <vt:i4>0</vt:i4>
      </vt:variant>
      <vt:variant>
        <vt:i4>5</vt:i4>
      </vt:variant>
      <vt:variant>
        <vt:lpwstr>https://trialinternational.org/wp-content/uploads/2023/11/UJAR-2023_13112023_updated.pdf</vt:lpwstr>
      </vt:variant>
      <vt:variant>
        <vt:lpwstr/>
      </vt:variant>
      <vt:variant>
        <vt:i4>3801138</vt:i4>
      </vt:variant>
      <vt:variant>
        <vt:i4>180</vt:i4>
      </vt:variant>
      <vt:variant>
        <vt:i4>0</vt:i4>
      </vt:variant>
      <vt:variant>
        <vt:i4>5</vt:i4>
      </vt:variant>
      <vt:variant>
        <vt:lpwstr>https://iiim.un.org/what-we-do/</vt:lpwstr>
      </vt:variant>
      <vt:variant>
        <vt:lpwstr/>
      </vt:variant>
      <vt:variant>
        <vt:i4>4980855</vt:i4>
      </vt:variant>
      <vt:variant>
        <vt:i4>177</vt:i4>
      </vt:variant>
      <vt:variant>
        <vt:i4>0</vt:i4>
      </vt:variant>
      <vt:variant>
        <vt:i4>5</vt:i4>
      </vt:variant>
      <vt:variant>
        <vt:lpwstr>https://trialinternational.org/wp-content/uploads/2024/04/UJAR-2024_digital.pdf</vt:lpwstr>
      </vt:variant>
      <vt:variant>
        <vt:lpwstr/>
      </vt:variant>
      <vt:variant>
        <vt:i4>65614</vt:i4>
      </vt:variant>
      <vt:variant>
        <vt:i4>174</vt:i4>
      </vt:variant>
      <vt:variant>
        <vt:i4>0</vt:i4>
      </vt:variant>
      <vt:variant>
        <vt:i4>5</vt:i4>
      </vt:variant>
      <vt:variant>
        <vt:lpwstr>https://www.courdecassation.fr/en/toutes-les-actualites/2023/05/12/press-release-universal-jurisdiction-french-justice-crimes</vt:lpwstr>
      </vt:variant>
      <vt:variant>
        <vt:lpwstr/>
      </vt:variant>
      <vt:variant>
        <vt:i4>5898262</vt:i4>
      </vt:variant>
      <vt:variant>
        <vt:i4>171</vt:i4>
      </vt:variant>
      <vt:variant>
        <vt:i4>0</vt:i4>
      </vt:variant>
      <vt:variant>
        <vt:i4>5</vt:i4>
      </vt:variant>
      <vt:variant>
        <vt:lpwstr>https://trialinternational.org/universal-jurisdiction-tools/universal-jurisdiction-law-and-practice-briefing-papers/</vt:lpwstr>
      </vt:variant>
      <vt:variant>
        <vt:lpwstr/>
      </vt:variant>
      <vt:variant>
        <vt:i4>4980855</vt:i4>
      </vt:variant>
      <vt:variant>
        <vt:i4>168</vt:i4>
      </vt:variant>
      <vt:variant>
        <vt:i4>0</vt:i4>
      </vt:variant>
      <vt:variant>
        <vt:i4>5</vt:i4>
      </vt:variant>
      <vt:variant>
        <vt:lpwstr>https://trialinternational.org/wp-content/uploads/2024/04/UJAR-2024_digital.pdf</vt:lpwstr>
      </vt:variant>
      <vt:variant>
        <vt:lpwstr/>
      </vt:variant>
      <vt:variant>
        <vt:i4>3997743</vt:i4>
      </vt:variant>
      <vt:variant>
        <vt:i4>165</vt:i4>
      </vt:variant>
      <vt:variant>
        <vt:i4>0</vt:i4>
      </vt:variant>
      <vt:variant>
        <vt:i4>5</vt:i4>
      </vt:variant>
      <vt:variant>
        <vt:lpwstr>https://www.amnesty.org/en/documents/ior53/019/2012/en/</vt:lpwstr>
      </vt:variant>
      <vt:variant>
        <vt:lpwstr/>
      </vt:variant>
      <vt:variant>
        <vt:i4>5767248</vt:i4>
      </vt:variant>
      <vt:variant>
        <vt:i4>162</vt:i4>
      </vt:variant>
      <vt:variant>
        <vt:i4>0</vt:i4>
      </vt:variant>
      <vt:variant>
        <vt:i4>5</vt:i4>
      </vt:variant>
      <vt:variant>
        <vt:lpwstr>https://www.jep.gov.co/JEP/Paginas/Jurisdiccion-Especial-para-la-Paz.aspx</vt:lpwstr>
      </vt:variant>
      <vt:variant>
        <vt:lpwstr/>
      </vt:variant>
      <vt:variant>
        <vt:i4>4259849</vt:i4>
      </vt:variant>
      <vt:variant>
        <vt:i4>159</vt:i4>
      </vt:variant>
      <vt:variant>
        <vt:i4>0</vt:i4>
      </vt:variant>
      <vt:variant>
        <vt:i4>5</vt:i4>
      </vt:variant>
      <vt:variant>
        <vt:lpwstr>https://unijuris.sites.uu.nl/wp-content/uploads/sites/9/2014/12/Subsidiarity-and-the-law-of-jurisdiction.pdf</vt:lpwstr>
      </vt:variant>
      <vt:variant>
        <vt:lpwstr/>
      </vt:variant>
      <vt:variant>
        <vt:i4>7340129</vt:i4>
      </vt:variant>
      <vt:variant>
        <vt:i4>156</vt:i4>
      </vt:variant>
      <vt:variant>
        <vt:i4>0</vt:i4>
      </vt:variant>
      <vt:variant>
        <vt:i4>5</vt:i4>
      </vt:variant>
      <vt:variant>
        <vt:lpwstr>https://reparations.qub.ac.uk/assets/uploads/JugementCAEdAssises_PenalCivil_.pdf</vt:lpwstr>
      </vt:variant>
      <vt:variant>
        <vt:lpwstr/>
      </vt:variant>
      <vt:variant>
        <vt:i4>65548</vt:i4>
      </vt:variant>
      <vt:variant>
        <vt:i4>153</vt:i4>
      </vt:variant>
      <vt:variant>
        <vt:i4>0</vt:i4>
      </vt:variant>
      <vt:variant>
        <vt:i4>5</vt:i4>
      </vt:variant>
      <vt:variant>
        <vt:lpwstr>https://www.ohchr.org/sites/default/files/Documents/Publications/HybridCourts.pdf</vt:lpwstr>
      </vt:variant>
      <vt:variant>
        <vt:lpwstr/>
      </vt:variant>
      <vt:variant>
        <vt:i4>2228299</vt:i4>
      </vt:variant>
      <vt:variant>
        <vt:i4>150</vt:i4>
      </vt:variant>
      <vt:variant>
        <vt:i4>0</vt:i4>
      </vt:variant>
      <vt:variant>
        <vt:i4>5</vt:i4>
      </vt:variant>
      <vt:variant>
        <vt:lpwstr>https://www.icc-cpi.int/sites/default/files/CourtRecords/CR2018_04203.PDF</vt:lpwstr>
      </vt:variant>
      <vt:variant>
        <vt:lpwstr/>
      </vt:variant>
      <vt:variant>
        <vt:i4>2228295</vt:i4>
      </vt:variant>
      <vt:variant>
        <vt:i4>147</vt:i4>
      </vt:variant>
      <vt:variant>
        <vt:i4>0</vt:i4>
      </vt:variant>
      <vt:variant>
        <vt:i4>5</vt:i4>
      </vt:variant>
      <vt:variant>
        <vt:lpwstr>https://www.icc-cpi.int/sites/default/files/CourtRecords/CR2021_01165.PDF</vt:lpwstr>
      </vt:variant>
      <vt:variant>
        <vt:lpwstr/>
      </vt:variant>
      <vt:variant>
        <vt:i4>2293801</vt:i4>
      </vt:variant>
      <vt:variant>
        <vt:i4>144</vt:i4>
      </vt:variant>
      <vt:variant>
        <vt:i4>0</vt:i4>
      </vt:variant>
      <vt:variant>
        <vt:i4>5</vt:i4>
      </vt:variant>
      <vt:variant>
        <vt:lpwstr>https://www.icc-cpi.int/kenya/kenyatta</vt:lpwstr>
      </vt:variant>
      <vt:variant>
        <vt:lpwstr/>
      </vt:variant>
      <vt:variant>
        <vt:i4>983067</vt:i4>
      </vt:variant>
      <vt:variant>
        <vt:i4>141</vt:i4>
      </vt:variant>
      <vt:variant>
        <vt:i4>0</vt:i4>
      </vt:variant>
      <vt:variant>
        <vt:i4>5</vt:i4>
      </vt:variant>
      <vt:variant>
        <vt:lpwstr>https://www.icc-cpi.int/sites/default/files/itemsDocuments/Jordan-Summary-Al-Bashir-Judgment.pdf</vt:lpwstr>
      </vt:variant>
      <vt:variant>
        <vt:lpwstr/>
      </vt:variant>
      <vt:variant>
        <vt:i4>1310800</vt:i4>
      </vt:variant>
      <vt:variant>
        <vt:i4>138</vt:i4>
      </vt:variant>
      <vt:variant>
        <vt:i4>0</vt:i4>
      </vt:variant>
      <vt:variant>
        <vt:i4>5</vt:i4>
      </vt:variant>
      <vt:variant>
        <vt:lpwstr>https://www.ibanet.org/UK-ministers-continue-to-discuss-drastic-step-of-leaving-ECHR</vt:lpwstr>
      </vt:variant>
      <vt:variant>
        <vt:lpwstr/>
      </vt:variant>
      <vt:variant>
        <vt:i4>4128800</vt:i4>
      </vt:variant>
      <vt:variant>
        <vt:i4>135</vt:i4>
      </vt:variant>
      <vt:variant>
        <vt:i4>0</vt:i4>
      </vt:variant>
      <vt:variant>
        <vt:i4>5</vt:i4>
      </vt:variant>
      <vt:variant>
        <vt:lpwstr>https://www.cambridge.org/core/journals/international-journal-of-law-in-context/article/abs/parting-ways-or-lashing-back-withdrawals-backlash-and-the-interamerican-court-of-human-rights/572FCD1B3E1C2AD9C5F1A71BB500152D</vt:lpwstr>
      </vt:variant>
      <vt:variant>
        <vt:lpwstr/>
      </vt:variant>
      <vt:variant>
        <vt:i4>1572946</vt:i4>
      </vt:variant>
      <vt:variant>
        <vt:i4>132</vt:i4>
      </vt:variant>
      <vt:variant>
        <vt:i4>0</vt:i4>
      </vt:variant>
      <vt:variant>
        <vt:i4>5</vt:i4>
      </vt:variant>
      <vt:variant>
        <vt:lpwstr>https://ijrcenter.org/regional-communities/southern-african-development-community-tribunal/</vt:lpwstr>
      </vt:variant>
      <vt:variant>
        <vt:lpwstr>:~:text=The%20SADC%20Summit%20of%20Heads,than%20international%20human%20rights%20norms</vt:lpwstr>
      </vt:variant>
      <vt:variant>
        <vt:i4>6291567</vt:i4>
      </vt:variant>
      <vt:variant>
        <vt:i4>129</vt:i4>
      </vt:variant>
      <vt:variant>
        <vt:i4>0</vt:i4>
      </vt:variant>
      <vt:variant>
        <vt:i4>5</vt:i4>
      </vt:variant>
      <vt:variant>
        <vt:lpwstr>https://www.corteidh.or.cr/casos_en_supervision_por_pais.cfm?lang=en</vt:lpwstr>
      </vt:variant>
      <vt:variant>
        <vt:lpwstr/>
      </vt:variant>
      <vt:variant>
        <vt:i4>4259923</vt:i4>
      </vt:variant>
      <vt:variant>
        <vt:i4>126</vt:i4>
      </vt:variant>
      <vt:variant>
        <vt:i4>0</vt:i4>
      </vt:variant>
      <vt:variant>
        <vt:i4>5</vt:i4>
      </vt:variant>
      <vt:variant>
        <vt:lpwstr>https://rm.coe.int/annual-report-2023/1680af6e81</vt:lpwstr>
      </vt:variant>
      <vt:variant>
        <vt:lpwstr/>
      </vt:variant>
      <vt:variant>
        <vt:i4>5832704</vt:i4>
      </vt:variant>
      <vt:variant>
        <vt:i4>123</vt:i4>
      </vt:variant>
      <vt:variant>
        <vt:i4>0</vt:i4>
      </vt:variant>
      <vt:variant>
        <vt:i4>5</vt:i4>
      </vt:variant>
      <vt:variant>
        <vt:lpwstr>https://www.coe.int/en/web/tbilisi/europeancourtofhumanrights</vt:lpwstr>
      </vt:variant>
      <vt:variant>
        <vt:lpwstr/>
      </vt:variant>
      <vt:variant>
        <vt:i4>196674</vt:i4>
      </vt:variant>
      <vt:variant>
        <vt:i4>120</vt:i4>
      </vt:variant>
      <vt:variant>
        <vt:i4>0</vt:i4>
      </vt:variant>
      <vt:variant>
        <vt:i4>5</vt:i4>
      </vt:variant>
      <vt:variant>
        <vt:lpwstr>https://icj-cij.org/pending-cases</vt:lpwstr>
      </vt:variant>
      <vt:variant>
        <vt:lpwstr/>
      </vt:variant>
      <vt:variant>
        <vt:i4>983106</vt:i4>
      </vt:variant>
      <vt:variant>
        <vt:i4>117</vt:i4>
      </vt:variant>
      <vt:variant>
        <vt:i4>0</vt:i4>
      </vt:variant>
      <vt:variant>
        <vt:i4>5</vt:i4>
      </vt:variant>
      <vt:variant>
        <vt:lpwstr>https://www.icj-cij.org/declarations</vt:lpwstr>
      </vt:variant>
      <vt:variant>
        <vt:lpwstr/>
      </vt:variant>
      <vt:variant>
        <vt:i4>7274538</vt:i4>
      </vt:variant>
      <vt:variant>
        <vt:i4>114</vt:i4>
      </vt:variant>
      <vt:variant>
        <vt:i4>0</vt:i4>
      </vt:variant>
      <vt:variant>
        <vt:i4>5</vt:i4>
      </vt:variant>
      <vt:variant>
        <vt:lpwstr>https://prd-echr.coe.int/web/echr/inter-state-applications</vt:lpwstr>
      </vt:variant>
      <vt:variant>
        <vt:lpwstr/>
      </vt:variant>
      <vt:variant>
        <vt:i4>3801143</vt:i4>
      </vt:variant>
      <vt:variant>
        <vt:i4>111</vt:i4>
      </vt:variant>
      <vt:variant>
        <vt:i4>0</vt:i4>
      </vt:variant>
      <vt:variant>
        <vt:i4>5</vt:i4>
      </vt:variant>
      <vt:variant>
        <vt:lpwstr>https://www.ohchr.org/en/treaty-bodies/cerd/inter-state-communications</vt:lpwstr>
      </vt:variant>
      <vt:variant>
        <vt:lpwstr/>
      </vt:variant>
      <vt:variant>
        <vt:i4>1507404</vt:i4>
      </vt:variant>
      <vt:variant>
        <vt:i4>108</vt:i4>
      </vt:variant>
      <vt:variant>
        <vt:i4>0</vt:i4>
      </vt:variant>
      <vt:variant>
        <vt:i4>5</vt:i4>
      </vt:variant>
      <vt:variant>
        <vt:lpwstr>https://www.itlos.org/en/main/cases/list-of-cases/request-for-an-advisory-opinion-submitted-by-the-commission-of-small-island-states-on-climate-change-and-international-law-request-for-advisory-opinion-submitted-to-the-tribunal/</vt:lpwstr>
      </vt:variant>
      <vt:variant>
        <vt:lpwstr/>
      </vt:variant>
      <vt:variant>
        <vt:i4>3211342</vt:i4>
      </vt:variant>
      <vt:variant>
        <vt:i4>105</vt:i4>
      </vt:variant>
      <vt:variant>
        <vt:i4>0</vt:i4>
      </vt:variant>
      <vt:variant>
        <vt:i4>5</vt:i4>
      </vt:variant>
      <vt:variant>
        <vt:lpwstr>https://www.corteidh.or.cr/docs/opiniones/soc_1_2023_en.pdf</vt:lpwstr>
      </vt:variant>
      <vt:variant>
        <vt:lpwstr/>
      </vt:variant>
      <vt:variant>
        <vt:i4>3211342</vt:i4>
      </vt:variant>
      <vt:variant>
        <vt:i4>102</vt:i4>
      </vt:variant>
      <vt:variant>
        <vt:i4>0</vt:i4>
      </vt:variant>
      <vt:variant>
        <vt:i4>5</vt:i4>
      </vt:variant>
      <vt:variant>
        <vt:lpwstr>https://www.corteidh.or.cr/docs/opiniones/soc_1_2023_en.pdf</vt:lpwstr>
      </vt:variant>
      <vt:variant>
        <vt:lpwstr/>
      </vt:variant>
      <vt:variant>
        <vt:i4>6291490</vt:i4>
      </vt:variant>
      <vt:variant>
        <vt:i4>99</vt:i4>
      </vt:variant>
      <vt:variant>
        <vt:i4>0</vt:i4>
      </vt:variant>
      <vt:variant>
        <vt:i4>5</vt:i4>
      </vt:variant>
      <vt:variant>
        <vt:lpwstr>https://www.icj-cij.org/sites/default/files/case-related/186/186-20240719-adv-01-00-en.pdf</vt:lpwstr>
      </vt:variant>
      <vt:variant>
        <vt:lpwstr/>
      </vt:variant>
      <vt:variant>
        <vt:i4>7864419</vt:i4>
      </vt:variant>
      <vt:variant>
        <vt:i4>96</vt:i4>
      </vt:variant>
      <vt:variant>
        <vt:i4>0</vt:i4>
      </vt:variant>
      <vt:variant>
        <vt:i4>5</vt:i4>
      </vt:variant>
      <vt:variant>
        <vt:lpwstr>https://prd-echr.coe.int/web/echr/advisory-opinions</vt:lpwstr>
      </vt:variant>
      <vt:variant>
        <vt:lpwstr>:~:text=to%20the%20Convention-,Protocol%20No.,Convention%20or%20the%20protocols%20thereto</vt:lpwstr>
      </vt:variant>
      <vt:variant>
        <vt:i4>4522087</vt:i4>
      </vt:variant>
      <vt:variant>
        <vt:i4>93</vt:i4>
      </vt:variant>
      <vt:variant>
        <vt:i4>0</vt:i4>
      </vt:variant>
      <vt:variant>
        <vt:i4>5</vt:i4>
      </vt:variant>
      <vt:variant>
        <vt:lpwstr>https://www.corteidh.or.cr/opiniones_consultivas.cfm?lang=en</vt:lpwstr>
      </vt:variant>
      <vt:variant>
        <vt:lpwstr/>
      </vt:variant>
      <vt:variant>
        <vt:i4>6881341</vt:i4>
      </vt:variant>
      <vt:variant>
        <vt:i4>90</vt:i4>
      </vt:variant>
      <vt:variant>
        <vt:i4>0</vt:i4>
      </vt:variant>
      <vt:variant>
        <vt:i4>5</vt:i4>
      </vt:variant>
      <vt:variant>
        <vt:lpwstr>https://documents.un.org/doc/undoc/gen/n23/044/15/pdf/n2304415.pdf?token=g5BLrfqSHYMNrXXKdv&amp;fe=true</vt:lpwstr>
      </vt:variant>
      <vt:variant>
        <vt:lpwstr/>
      </vt:variant>
      <vt:variant>
        <vt:i4>4784149</vt:i4>
      </vt:variant>
      <vt:variant>
        <vt:i4>87</vt:i4>
      </vt:variant>
      <vt:variant>
        <vt:i4>0</vt:i4>
      </vt:variant>
      <vt:variant>
        <vt:i4>5</vt:i4>
      </vt:variant>
      <vt:variant>
        <vt:lpwstr>https://ungass2021.unodc.org/uploads/ungass2021/documents/session1/contributions/UN_Common_Position_to_Address_Global_Corruption_Towards_UNGASS2021.pdf</vt:lpwstr>
      </vt:variant>
      <vt:variant>
        <vt:lpwstr/>
      </vt:variant>
      <vt:variant>
        <vt:i4>7012434</vt:i4>
      </vt:variant>
      <vt:variant>
        <vt:i4>84</vt:i4>
      </vt:variant>
      <vt:variant>
        <vt:i4>0</vt:i4>
      </vt:variant>
      <vt:variant>
        <vt:i4>5</vt:i4>
      </vt:variant>
      <vt:variant>
        <vt:lpwstr>https://images.transparencycdn.org/images/2022_SafeguardingIndependenceSAIs_Toolkit_English.pdf</vt:lpwstr>
      </vt:variant>
      <vt:variant>
        <vt:lpwstr/>
      </vt:variant>
      <vt:variant>
        <vt:i4>2949178</vt:i4>
      </vt:variant>
      <vt:variant>
        <vt:i4>81</vt:i4>
      </vt:variant>
      <vt:variant>
        <vt:i4>0</vt:i4>
      </vt:variant>
      <vt:variant>
        <vt:i4>5</vt:i4>
      </vt:variant>
      <vt:variant>
        <vt:lpwstr>https://www.ohchr.org/sites/default/files/UseOfForceAndFirearms.pdf</vt:lpwstr>
      </vt:variant>
      <vt:variant>
        <vt:lpwstr/>
      </vt:variant>
      <vt:variant>
        <vt:i4>2883646</vt:i4>
      </vt:variant>
      <vt:variant>
        <vt:i4>78</vt:i4>
      </vt:variant>
      <vt:variant>
        <vt:i4>0</vt:i4>
      </vt:variant>
      <vt:variant>
        <vt:i4>5</vt:i4>
      </vt:variant>
      <vt:variant>
        <vt:lpwstr>https://app.box.com/s/cwen05tcem25e5hv1iekefb7opmcpi10</vt:lpwstr>
      </vt:variant>
      <vt:variant>
        <vt:lpwstr/>
      </vt:variant>
      <vt:variant>
        <vt:i4>8192071</vt:i4>
      </vt:variant>
      <vt:variant>
        <vt:i4>75</vt:i4>
      </vt:variant>
      <vt:variant>
        <vt:i4>0</vt:i4>
      </vt:variant>
      <vt:variant>
        <vt:i4>5</vt:i4>
      </vt:variant>
      <vt:variant>
        <vt:lpwstr>https://www.ohchr.org/sites/default/files/documents/publications/policy-methodological/HumanRights_Toolkit_EN_web.pdf</vt:lpwstr>
      </vt:variant>
      <vt:variant>
        <vt:lpwstr/>
      </vt:variant>
      <vt:variant>
        <vt:i4>4325457</vt:i4>
      </vt:variant>
      <vt:variant>
        <vt:i4>72</vt:i4>
      </vt:variant>
      <vt:variant>
        <vt:i4>0</vt:i4>
      </vt:variant>
      <vt:variant>
        <vt:i4>5</vt:i4>
      </vt:variant>
      <vt:variant>
        <vt:lpwstr>https://www.ohchr.org/sites/default/files/documents/issues/transitionaljustice/sg-guidance-note/2023_07_guidance_note_transitional_justice_en.pdf</vt:lpwstr>
      </vt:variant>
      <vt:variant>
        <vt:lpwstr/>
      </vt:variant>
      <vt:variant>
        <vt:i4>720964</vt:i4>
      </vt:variant>
      <vt:variant>
        <vt:i4>69</vt:i4>
      </vt:variant>
      <vt:variant>
        <vt:i4>0</vt:i4>
      </vt:variant>
      <vt:variant>
        <vt:i4>5</vt:i4>
      </vt:variant>
      <vt:variant>
        <vt:lpwstr>https://unstats.un.org/sdgs/report/2023/The-Sustainable-Development-Goals-Report-2023.pdf</vt:lpwstr>
      </vt:variant>
      <vt:variant>
        <vt:lpwstr/>
      </vt:variant>
      <vt:variant>
        <vt:i4>720964</vt:i4>
      </vt:variant>
      <vt:variant>
        <vt:i4>66</vt:i4>
      </vt:variant>
      <vt:variant>
        <vt:i4>0</vt:i4>
      </vt:variant>
      <vt:variant>
        <vt:i4>5</vt:i4>
      </vt:variant>
      <vt:variant>
        <vt:lpwstr>https://unstats.un.org/sdgs/report/2024/The-Sustainable-Development-Goals-Report-2024.pdf</vt:lpwstr>
      </vt:variant>
      <vt:variant>
        <vt:lpwstr/>
      </vt:variant>
      <vt:variant>
        <vt:i4>720964</vt:i4>
      </vt:variant>
      <vt:variant>
        <vt:i4>63</vt:i4>
      </vt:variant>
      <vt:variant>
        <vt:i4>0</vt:i4>
      </vt:variant>
      <vt:variant>
        <vt:i4>5</vt:i4>
      </vt:variant>
      <vt:variant>
        <vt:lpwstr>https://unstats.un.org/sdgs/report/2023/The-Sustainable-Development-Goals-Report-2023.pdf</vt:lpwstr>
      </vt:variant>
      <vt:variant>
        <vt:lpwstr/>
      </vt:variant>
      <vt:variant>
        <vt:i4>720964</vt:i4>
      </vt:variant>
      <vt:variant>
        <vt:i4>60</vt:i4>
      </vt:variant>
      <vt:variant>
        <vt:i4>0</vt:i4>
      </vt:variant>
      <vt:variant>
        <vt:i4>5</vt:i4>
      </vt:variant>
      <vt:variant>
        <vt:lpwstr>https://unstats.un.org/sdgs/report/2024/The-Sustainable-Development-Goals-Report-2024.pdf</vt:lpwstr>
      </vt:variant>
      <vt:variant>
        <vt:lpwstr/>
      </vt:variant>
      <vt:variant>
        <vt:i4>786440</vt:i4>
      </vt:variant>
      <vt:variant>
        <vt:i4>57</vt:i4>
      </vt:variant>
      <vt:variant>
        <vt:i4>0</vt:i4>
      </vt:variant>
      <vt:variant>
        <vt:i4>5</vt:i4>
      </vt:variant>
      <vt:variant>
        <vt:lpwstr>https://defendcivicspace.com/</vt:lpwstr>
      </vt:variant>
      <vt:variant>
        <vt:lpwstr/>
      </vt:variant>
      <vt:variant>
        <vt:i4>852091</vt:i4>
      </vt:variant>
      <vt:variant>
        <vt:i4>54</vt:i4>
      </vt:variant>
      <vt:variant>
        <vt:i4>0</vt:i4>
      </vt:variant>
      <vt:variant>
        <vt:i4>5</vt:i4>
      </vt:variant>
      <vt:variant>
        <vt:lpwstr>https://monitor.civicus.org/globalfindings_2023/</vt:lpwstr>
      </vt:variant>
      <vt:variant>
        <vt:lpwstr/>
      </vt:variant>
      <vt:variant>
        <vt:i4>4587528</vt:i4>
      </vt:variant>
      <vt:variant>
        <vt:i4>51</vt:i4>
      </vt:variant>
      <vt:variant>
        <vt:i4>0</vt:i4>
      </vt:variant>
      <vt:variant>
        <vt:i4>5</vt:i4>
      </vt:variant>
      <vt:variant>
        <vt:lpwstr>https://www.ohchr.org/sites/default/files/Documents/Issues/CivicSpace/UN_Guidance_Note.pdf</vt:lpwstr>
      </vt:variant>
      <vt:variant>
        <vt:lpwstr/>
      </vt:variant>
      <vt:variant>
        <vt:i4>3276863</vt:i4>
      </vt:variant>
      <vt:variant>
        <vt:i4>48</vt:i4>
      </vt:variant>
      <vt:variant>
        <vt:i4>0</vt:i4>
      </vt:variant>
      <vt:variant>
        <vt:i4>5</vt:i4>
      </vt:variant>
      <vt:variant>
        <vt:lpwstr>https://www.ohchr.org/sites/default/files/2023-08/230511-new-vision-for-rule-of-law.pdf</vt:lpwstr>
      </vt:variant>
      <vt:variant>
        <vt:lpwstr/>
      </vt:variant>
      <vt:variant>
        <vt:i4>5963795</vt:i4>
      </vt:variant>
      <vt:variant>
        <vt:i4>45</vt:i4>
      </vt:variant>
      <vt:variant>
        <vt:i4>0</vt:i4>
      </vt:variant>
      <vt:variant>
        <vt:i4>5</vt:i4>
      </vt:variant>
      <vt:variant>
        <vt:lpwstr>https://search.coe.int/cm</vt:lpwstr>
      </vt:variant>
      <vt:variant>
        <vt:lpwstr>{%22CoEIdentifier%22:[%220900001680700a40%22],%22sort%22:[%22CoEValidationDate%20Descending%22]}</vt:lpwstr>
      </vt:variant>
      <vt:variant>
        <vt:i4>2752617</vt:i4>
      </vt:variant>
      <vt:variant>
        <vt:i4>42</vt:i4>
      </vt:variant>
      <vt:variant>
        <vt:i4>0</vt:i4>
      </vt:variant>
      <vt:variant>
        <vt:i4>5</vt:i4>
      </vt:variant>
      <vt:variant>
        <vt:lpwstr>https://documents.un.org/doc/undoc/gen/n18/299/45/pdf/n1829945.pdf?token=EGnrtVzTJcZ7cMC36z&amp;fe=true</vt:lpwstr>
      </vt:variant>
      <vt:variant>
        <vt:lpwstr/>
      </vt:variant>
      <vt:variant>
        <vt:i4>2097191</vt:i4>
      </vt:variant>
      <vt:variant>
        <vt:i4>39</vt:i4>
      </vt:variant>
      <vt:variant>
        <vt:i4>0</vt:i4>
      </vt:variant>
      <vt:variant>
        <vt:i4>5</vt:i4>
      </vt:variant>
      <vt:variant>
        <vt:lpwstr>https://www.venice.coe.int/images/SITE IMAGES/Publications/Rule_of_Law_Check_List.pdf</vt:lpwstr>
      </vt:variant>
      <vt:variant>
        <vt:lpwstr/>
      </vt:variant>
      <vt:variant>
        <vt:i4>2097191</vt:i4>
      </vt:variant>
      <vt:variant>
        <vt:i4>36</vt:i4>
      </vt:variant>
      <vt:variant>
        <vt:i4>0</vt:i4>
      </vt:variant>
      <vt:variant>
        <vt:i4>5</vt:i4>
      </vt:variant>
      <vt:variant>
        <vt:lpwstr>https://www.venice.coe.int/images/SITE IMAGES/Publications/Rule_of_Law_Check_List.pdf</vt:lpwstr>
      </vt:variant>
      <vt:variant>
        <vt:lpwstr/>
      </vt:variant>
      <vt:variant>
        <vt:i4>1245242</vt:i4>
      </vt:variant>
      <vt:variant>
        <vt:i4>33</vt:i4>
      </vt:variant>
      <vt:variant>
        <vt:i4>0</vt:i4>
      </vt:variant>
      <vt:variant>
        <vt:i4>5</vt:i4>
      </vt:variant>
      <vt:variant>
        <vt:lpwstr>https://www.ohchr.org/sites/default/files/Documents/Publications/ConstitutionMaking_EN.pdf</vt:lpwstr>
      </vt:variant>
      <vt:variant>
        <vt:lpwstr/>
      </vt:variant>
      <vt:variant>
        <vt:i4>1245242</vt:i4>
      </vt:variant>
      <vt:variant>
        <vt:i4>30</vt:i4>
      </vt:variant>
      <vt:variant>
        <vt:i4>0</vt:i4>
      </vt:variant>
      <vt:variant>
        <vt:i4>5</vt:i4>
      </vt:variant>
      <vt:variant>
        <vt:lpwstr>https://www.ohchr.org/sites/default/files/Documents/Publications/ConstitutionMaking_EN.pdf</vt:lpwstr>
      </vt:variant>
      <vt:variant>
        <vt:lpwstr/>
      </vt:variant>
      <vt:variant>
        <vt:i4>7405626</vt:i4>
      </vt:variant>
      <vt:variant>
        <vt:i4>27</vt:i4>
      </vt:variant>
      <vt:variant>
        <vt:i4>0</vt:i4>
      </vt:variant>
      <vt:variant>
        <vt:i4>5</vt:i4>
      </vt:variant>
      <vt:variant>
        <vt:lpwstr>https://documents.un.org/doc/undoc/gen/g18/054/36/pdf/g1805436.pdf?token=DNK6vkNUbhqETcQxTI&amp;fe=true</vt:lpwstr>
      </vt:variant>
      <vt:variant>
        <vt:lpwstr/>
      </vt:variant>
      <vt:variant>
        <vt:i4>327697</vt:i4>
      </vt:variant>
      <vt:variant>
        <vt:i4>24</vt:i4>
      </vt:variant>
      <vt:variant>
        <vt:i4>0</vt:i4>
      </vt:variant>
      <vt:variant>
        <vt:i4>5</vt:i4>
      </vt:variant>
      <vt:variant>
        <vt:lpwstr>https://www.ohchr.org/sites/default/files/Documents/Publications/HandbookParliamentarians.pdf</vt:lpwstr>
      </vt:variant>
      <vt:variant>
        <vt:lpwstr/>
      </vt:variant>
      <vt:variant>
        <vt:i4>131107</vt:i4>
      </vt:variant>
      <vt:variant>
        <vt:i4>21</vt:i4>
      </vt:variant>
      <vt:variant>
        <vt:i4>0</vt:i4>
      </vt:variant>
      <vt:variant>
        <vt:i4>5</vt:i4>
      </vt:variant>
      <vt:variant>
        <vt:lpwstr>https://peacemaker.un.org/sites/peacemaker.un.org/files/SG Guidance Note on Constitutional Assistance_1.pdf</vt:lpwstr>
      </vt:variant>
      <vt:variant>
        <vt:lpwstr/>
      </vt:variant>
      <vt:variant>
        <vt:i4>4325454</vt:i4>
      </vt:variant>
      <vt:variant>
        <vt:i4>18</vt:i4>
      </vt:variant>
      <vt:variant>
        <vt:i4>0</vt:i4>
      </vt:variant>
      <vt:variant>
        <vt:i4>5</vt:i4>
      </vt:variant>
      <vt:variant>
        <vt:lpwstr>https://www.undp.org/sites/g/files/zskgke326/files/2023-10/undp-protecting-human-rights-in-constitutions.pdf</vt:lpwstr>
      </vt:variant>
      <vt:variant>
        <vt:lpwstr/>
      </vt:variant>
      <vt:variant>
        <vt:i4>1245242</vt:i4>
      </vt:variant>
      <vt:variant>
        <vt:i4>15</vt:i4>
      </vt:variant>
      <vt:variant>
        <vt:i4>0</vt:i4>
      </vt:variant>
      <vt:variant>
        <vt:i4>5</vt:i4>
      </vt:variant>
      <vt:variant>
        <vt:lpwstr>https://www.ohchr.org/sites/default/files/Documents/Publications/ConstitutionMaking_EN.pdf</vt:lpwstr>
      </vt:variant>
      <vt:variant>
        <vt:lpwstr/>
      </vt:variant>
      <vt:variant>
        <vt:i4>1441796</vt:i4>
      </vt:variant>
      <vt:variant>
        <vt:i4>12</vt:i4>
      </vt:variant>
      <vt:variant>
        <vt:i4>0</vt:i4>
      </vt:variant>
      <vt:variant>
        <vt:i4>5</vt:i4>
      </vt:variant>
      <vt:variant>
        <vt:lpwstr>https://www.un.org/sites/un2.un.org/files/our-common-agenda-policy-brief-new-agenda-for-peace-en.pdf</vt:lpwstr>
      </vt:variant>
      <vt:variant>
        <vt:lpwstr/>
      </vt:variant>
      <vt:variant>
        <vt:i4>5963902</vt:i4>
      </vt:variant>
      <vt:variant>
        <vt:i4>9</vt:i4>
      </vt:variant>
      <vt:variant>
        <vt:i4>0</vt:i4>
      </vt:variant>
      <vt:variant>
        <vt:i4>5</vt:i4>
      </vt:variant>
      <vt:variant>
        <vt:lpwstr>https://www.un.org/en/content/common-agenda-report/assets/pdf/Common_Agenda_Report_English.pdf</vt:lpwstr>
      </vt:variant>
      <vt:variant>
        <vt:lpwstr/>
      </vt:variant>
      <vt:variant>
        <vt:i4>4194388</vt:i4>
      </vt:variant>
      <vt:variant>
        <vt:i4>6</vt:i4>
      </vt:variant>
      <vt:variant>
        <vt:i4>0</vt:i4>
      </vt:variant>
      <vt:variant>
        <vt:i4>5</vt:i4>
      </vt:variant>
      <vt:variant>
        <vt:lpwstr>https://worldjusticeproject.org/rule-of-law-index/insights</vt:lpwstr>
      </vt:variant>
      <vt:variant>
        <vt:lpwstr>global-decline</vt:lpwstr>
      </vt:variant>
      <vt:variant>
        <vt:i4>7274579</vt:i4>
      </vt:variant>
      <vt:variant>
        <vt:i4>3</vt:i4>
      </vt:variant>
      <vt:variant>
        <vt:i4>0</vt:i4>
      </vt:variant>
      <vt:variant>
        <vt:i4>5</vt:i4>
      </vt:variant>
      <vt:variant>
        <vt:lpwstr>https://www.unodc.org/documents/data-and-analysis/sdgs/sdg16_progress_report_2024.pdf</vt:lpwstr>
      </vt:variant>
      <vt:variant>
        <vt:lpwstr/>
      </vt:variant>
      <vt:variant>
        <vt:i4>3735584</vt:i4>
      </vt:variant>
      <vt:variant>
        <vt:i4>0</vt:i4>
      </vt:variant>
      <vt:variant>
        <vt:i4>0</vt:i4>
      </vt:variant>
      <vt:variant>
        <vt:i4>5</vt:i4>
      </vt:variant>
      <vt:variant>
        <vt:lpwstr>https://unstats.un.org/sdgs/report/2023/progress-chart/Progress-Chart-2023.pdf</vt:lpwstr>
      </vt:variant>
      <vt:variant>
        <vt:lpwstr/>
      </vt:variant>
      <vt:variant>
        <vt:i4>5439568</vt:i4>
      </vt:variant>
      <vt:variant>
        <vt:i4>3</vt:i4>
      </vt:variant>
      <vt:variant>
        <vt:i4>0</vt:i4>
      </vt:variant>
      <vt:variant>
        <vt:i4>5</vt:i4>
      </vt:variant>
      <vt:variant>
        <vt:lpwstr>https://www.un.org/ruleoflaw/what-is-the-rule-of-law/</vt:lpwstr>
      </vt:variant>
      <vt:variant>
        <vt:lpwstr/>
      </vt:variant>
      <vt:variant>
        <vt:i4>2097197</vt:i4>
      </vt:variant>
      <vt:variant>
        <vt:i4>0</vt:i4>
      </vt:variant>
      <vt:variant>
        <vt:i4>0</vt:i4>
      </vt:variant>
      <vt:variant>
        <vt:i4>5</vt:i4>
      </vt:variant>
      <vt:variant>
        <vt:lpwstr>https://www.un.org/ruleoflaw/wp-content/uploads/2023/10/Rule-of-Law-New-Vision-English.pdf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A/HRC/45/27</dc:title>
  <dc:subject/>
  <dc:creator>LANEL Ian</dc:creator>
  <cp:keywords/>
  <dc:description/>
  <cp:lastModifiedBy>Veronique Lanz</cp:lastModifiedBy>
  <cp:revision>3</cp:revision>
  <cp:lastPrinted>2008-01-29T11:30:00Z</cp:lastPrinted>
  <dcterms:created xsi:type="dcterms:W3CDTF">2024-09-10T08:29:00Z</dcterms:created>
  <dcterms:modified xsi:type="dcterms:W3CDTF">2024-09-10T08:30:00Z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MediaServiceImageTags">
    <vt:lpwstr/>
  </property>
</Properties>
</file>