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7E00C9" w14:paraId="002B3204" w14:textId="77777777" w:rsidTr="03849F8B">
        <w:trPr>
          <w:trHeight w:val="851"/>
        </w:trPr>
        <w:tc>
          <w:tcPr>
            <w:tcW w:w="1259" w:type="dxa"/>
            <w:tcBorders>
              <w:top w:val="nil"/>
              <w:left w:val="nil"/>
              <w:bottom w:val="single" w:sz="4" w:space="0" w:color="auto"/>
              <w:right w:val="nil"/>
            </w:tcBorders>
          </w:tcPr>
          <w:p w14:paraId="101E5B4D" w14:textId="77777777" w:rsidR="00EC2011" w:rsidRPr="007E00C9" w:rsidRDefault="00EC2011">
            <w:pPr>
              <w:pStyle w:val="SingleTxtG"/>
            </w:pPr>
          </w:p>
        </w:tc>
        <w:tc>
          <w:tcPr>
            <w:tcW w:w="2236" w:type="dxa"/>
            <w:tcBorders>
              <w:top w:val="nil"/>
              <w:left w:val="nil"/>
              <w:bottom w:val="single" w:sz="4" w:space="0" w:color="auto"/>
              <w:right w:val="nil"/>
            </w:tcBorders>
            <w:vAlign w:val="bottom"/>
          </w:tcPr>
          <w:p w14:paraId="77A14F4B" w14:textId="35035C2F" w:rsidR="00EC2011" w:rsidRPr="007E00C9" w:rsidRDefault="00EC201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26BE48A" w14:textId="316322CE" w:rsidR="00EC2011" w:rsidRPr="007E00C9" w:rsidRDefault="00F26EF2" w:rsidP="00F26EF2">
            <w:pPr>
              <w:suppressAutoHyphens w:val="0"/>
              <w:spacing w:after="20"/>
              <w:jc w:val="right"/>
            </w:pPr>
            <w:r w:rsidRPr="007E00C9">
              <w:rPr>
                <w:sz w:val="40"/>
              </w:rPr>
              <w:t>A</w:t>
            </w:r>
            <w:r w:rsidRPr="007E00C9">
              <w:t>/HRC/</w:t>
            </w:r>
            <w:r w:rsidR="00215DF5">
              <w:t>56</w:t>
            </w:r>
            <w:r w:rsidRPr="007E00C9">
              <w:t>/</w:t>
            </w:r>
            <w:r w:rsidR="00215DF5">
              <w:t>28</w:t>
            </w:r>
          </w:p>
        </w:tc>
      </w:tr>
      <w:tr w:rsidR="00EC2011" w:rsidRPr="007E00C9" w14:paraId="4AF9A510" w14:textId="77777777" w:rsidTr="03849F8B">
        <w:trPr>
          <w:trHeight w:val="2835"/>
        </w:trPr>
        <w:tc>
          <w:tcPr>
            <w:tcW w:w="1259" w:type="dxa"/>
            <w:tcBorders>
              <w:top w:val="single" w:sz="4" w:space="0" w:color="auto"/>
              <w:left w:val="nil"/>
              <w:bottom w:val="single" w:sz="12" w:space="0" w:color="auto"/>
              <w:right w:val="nil"/>
            </w:tcBorders>
          </w:tcPr>
          <w:p w14:paraId="142A798F" w14:textId="7FE2807E" w:rsidR="00EC2011" w:rsidRPr="007E00C9" w:rsidRDefault="00EC2011">
            <w:pPr>
              <w:spacing w:before="120"/>
              <w:jc w:val="center"/>
            </w:pPr>
          </w:p>
        </w:tc>
        <w:tc>
          <w:tcPr>
            <w:tcW w:w="5450" w:type="dxa"/>
            <w:gridSpan w:val="2"/>
            <w:tcBorders>
              <w:top w:val="single" w:sz="4" w:space="0" w:color="auto"/>
              <w:left w:val="nil"/>
              <w:bottom w:val="single" w:sz="12" w:space="0" w:color="auto"/>
              <w:right w:val="nil"/>
            </w:tcBorders>
          </w:tcPr>
          <w:p w14:paraId="3C860C9B" w14:textId="3BE400E6" w:rsidR="00EC2011" w:rsidRPr="00DA3CD6" w:rsidRDefault="009E050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D9E5F96" w14:textId="77777777" w:rsidR="00EC2011" w:rsidRPr="00DA3CD6" w:rsidRDefault="00F26EF2" w:rsidP="00F26EF2">
            <w:pPr>
              <w:spacing w:before="240"/>
            </w:pPr>
            <w:r w:rsidRPr="00DA3CD6">
              <w:t>Distr.: General</w:t>
            </w:r>
          </w:p>
          <w:p w14:paraId="3FC5F00F" w14:textId="5C265D30" w:rsidR="00F26EF2" w:rsidRPr="00DA3CD6" w:rsidRDefault="0097276B" w:rsidP="00F26EF2">
            <w:pPr>
              <w:suppressAutoHyphens w:val="0"/>
            </w:pPr>
            <w:r>
              <w:t>2</w:t>
            </w:r>
            <w:r w:rsidR="00E20DA9">
              <w:t xml:space="preserve"> July</w:t>
            </w:r>
            <w:r w:rsidR="00F33E2D" w:rsidRPr="00DA3CD6">
              <w:t xml:space="preserve"> </w:t>
            </w:r>
            <w:r w:rsidR="00F26EF2" w:rsidRPr="00DA3CD6">
              <w:t>202</w:t>
            </w:r>
            <w:r w:rsidR="00215DF5" w:rsidRPr="00DA3CD6">
              <w:t>4</w:t>
            </w:r>
          </w:p>
          <w:p w14:paraId="27973EF3" w14:textId="77777777" w:rsidR="00F26EF2" w:rsidRPr="00DA3CD6" w:rsidRDefault="00F26EF2" w:rsidP="00F26EF2">
            <w:pPr>
              <w:suppressAutoHyphens w:val="0"/>
            </w:pPr>
          </w:p>
          <w:p w14:paraId="7056BF66" w14:textId="77777777" w:rsidR="00F26EF2" w:rsidRPr="00DA3CD6" w:rsidRDefault="00F26EF2" w:rsidP="00F26EF2">
            <w:pPr>
              <w:suppressAutoHyphens w:val="0"/>
            </w:pPr>
            <w:r w:rsidRPr="00DA3CD6">
              <w:t>Original: English</w:t>
            </w:r>
          </w:p>
        </w:tc>
      </w:tr>
    </w:tbl>
    <w:p w14:paraId="311FCF40" w14:textId="77777777" w:rsidR="00F26EF2" w:rsidRPr="007E00C9" w:rsidRDefault="00F26EF2" w:rsidP="00F26EF2">
      <w:pPr>
        <w:spacing w:before="120"/>
        <w:rPr>
          <w:b/>
          <w:sz w:val="24"/>
          <w:szCs w:val="24"/>
        </w:rPr>
      </w:pPr>
      <w:r w:rsidRPr="007E00C9">
        <w:rPr>
          <w:b/>
          <w:sz w:val="24"/>
          <w:szCs w:val="24"/>
        </w:rPr>
        <w:t>Human Rights Council</w:t>
      </w:r>
    </w:p>
    <w:p w14:paraId="1EE89570" w14:textId="77777777" w:rsidR="00215DF5" w:rsidRPr="008E60DC" w:rsidRDefault="00215DF5" w:rsidP="00215DF5">
      <w:pPr>
        <w:spacing w:line="240" w:lineRule="auto"/>
        <w:textAlignment w:val="baseline"/>
        <w:rPr>
          <w:rFonts w:ascii="Segoe UI" w:eastAsia="Times New Roman" w:hAnsi="Segoe UI" w:cs="Segoe UI"/>
          <w:sz w:val="18"/>
          <w:szCs w:val="18"/>
        </w:rPr>
      </w:pPr>
      <w:r w:rsidRPr="008E60DC">
        <w:rPr>
          <w:rFonts w:eastAsia="Times New Roman"/>
          <w:b/>
          <w:bCs/>
        </w:rPr>
        <w:t>Fifty-sixth session</w:t>
      </w:r>
      <w:r w:rsidRPr="008E60DC">
        <w:rPr>
          <w:rFonts w:eastAsia="Times New Roman"/>
        </w:rPr>
        <w:t> </w:t>
      </w:r>
    </w:p>
    <w:p w14:paraId="5BB9AE18" w14:textId="22AE230A" w:rsidR="00215DF5" w:rsidRPr="00215DF5" w:rsidRDefault="00215DF5" w:rsidP="00215DF5">
      <w:pPr>
        <w:spacing w:line="240" w:lineRule="auto"/>
        <w:textAlignment w:val="baseline"/>
        <w:rPr>
          <w:rFonts w:ascii="Segoe UI" w:eastAsia="Times New Roman" w:hAnsi="Segoe UI" w:cs="Segoe UI"/>
          <w:sz w:val="18"/>
          <w:szCs w:val="18"/>
        </w:rPr>
      </w:pPr>
      <w:r w:rsidRPr="00215DF5">
        <w:rPr>
          <w:rFonts w:eastAsia="Times New Roman"/>
        </w:rPr>
        <w:t>1</w:t>
      </w:r>
      <w:r w:rsidR="0065722D">
        <w:rPr>
          <w:rFonts w:eastAsia="Times New Roman"/>
        </w:rPr>
        <w:t>8</w:t>
      </w:r>
      <w:r w:rsidRPr="00215DF5">
        <w:rPr>
          <w:rFonts w:eastAsia="Times New Roman"/>
        </w:rPr>
        <w:t xml:space="preserve"> June–1</w:t>
      </w:r>
      <w:r w:rsidR="0065722D">
        <w:rPr>
          <w:rFonts w:eastAsia="Times New Roman"/>
        </w:rPr>
        <w:t>2</w:t>
      </w:r>
      <w:r w:rsidRPr="00215DF5">
        <w:rPr>
          <w:rFonts w:eastAsia="Times New Roman"/>
        </w:rPr>
        <w:t xml:space="preserve"> July 2024 </w:t>
      </w:r>
    </w:p>
    <w:p w14:paraId="675B6943" w14:textId="77777777" w:rsidR="00215DF5" w:rsidRPr="00341436" w:rsidRDefault="00215DF5" w:rsidP="00215DF5">
      <w:r w:rsidRPr="00341436">
        <w:t>Agenda items 2 and 3</w:t>
      </w:r>
    </w:p>
    <w:p w14:paraId="1C8A0DE2" w14:textId="70BD02C3" w:rsidR="00F26EF2" w:rsidRPr="007E00C9" w:rsidRDefault="00F26EF2" w:rsidP="003F4BA8">
      <w:pPr>
        <w:spacing w:after="120"/>
        <w:rPr>
          <w:b/>
          <w:bCs/>
        </w:rPr>
      </w:pPr>
      <w:r w:rsidRPr="007E00C9">
        <w:rPr>
          <w:b/>
          <w:bCs/>
        </w:rPr>
        <w:t>Annual report of the United Nations High Commissioner</w:t>
      </w:r>
      <w:r w:rsidR="003F4BA8">
        <w:rPr>
          <w:b/>
          <w:bCs/>
        </w:rPr>
        <w:br/>
      </w:r>
      <w:r w:rsidRPr="007E00C9">
        <w:rPr>
          <w:b/>
          <w:bCs/>
        </w:rPr>
        <w:t>for Human Rights and reports of the Office of the</w:t>
      </w:r>
      <w:r w:rsidR="003F4BA8">
        <w:rPr>
          <w:b/>
          <w:bCs/>
        </w:rPr>
        <w:br/>
      </w:r>
      <w:r w:rsidRPr="007E00C9">
        <w:rPr>
          <w:b/>
          <w:bCs/>
        </w:rPr>
        <w:t>High Commissioner and the Secretary-General</w:t>
      </w:r>
    </w:p>
    <w:p w14:paraId="663E3E23" w14:textId="6E4873D1" w:rsidR="00F26EF2" w:rsidRPr="007E00C9" w:rsidRDefault="00F26EF2" w:rsidP="003F4BA8">
      <w:r w:rsidRPr="007E00C9">
        <w:rPr>
          <w:b/>
          <w:bCs/>
        </w:rPr>
        <w:t>Promotion and protection of all human rights, civil,</w:t>
      </w:r>
      <w:r w:rsidR="003F4BA8">
        <w:rPr>
          <w:b/>
          <w:bCs/>
        </w:rPr>
        <w:br/>
      </w:r>
      <w:r w:rsidRPr="007E00C9">
        <w:rPr>
          <w:b/>
          <w:bCs/>
        </w:rPr>
        <w:t>political, economic, social and cultural rights,</w:t>
      </w:r>
      <w:r w:rsidR="003F4BA8">
        <w:rPr>
          <w:b/>
          <w:bCs/>
        </w:rPr>
        <w:br/>
      </w:r>
      <w:r w:rsidRPr="007E00C9">
        <w:rPr>
          <w:b/>
          <w:bCs/>
        </w:rPr>
        <w:t xml:space="preserve">including the right to </w:t>
      </w:r>
      <w:proofErr w:type="gramStart"/>
      <w:r w:rsidRPr="007E00C9">
        <w:rPr>
          <w:b/>
          <w:bCs/>
        </w:rPr>
        <w:t>development</w:t>
      </w:r>
      <w:proofErr w:type="gramEnd"/>
    </w:p>
    <w:p w14:paraId="5439EF26" w14:textId="2C23A834" w:rsidR="00F26EF2" w:rsidRPr="007E00C9" w:rsidRDefault="00D71EB1" w:rsidP="009E050C">
      <w:pPr>
        <w:pStyle w:val="HChG"/>
        <w:jc w:val="both"/>
      </w:pPr>
      <w:r>
        <w:tab/>
      </w:r>
      <w:r>
        <w:tab/>
      </w:r>
      <w:r w:rsidR="00215DF5" w:rsidRPr="00215DF5">
        <w:t xml:space="preserve">Analytical study on key challenges in ensuring access to medicines, vaccines and other health products in the context of the right of everyone to the enjoyment of the highest attainable standard of physical and </w:t>
      </w:r>
      <w:r w:rsidR="00215DF5" w:rsidRPr="00D71EB1">
        <w:t>mental</w:t>
      </w:r>
      <w:r w:rsidR="00215DF5" w:rsidRPr="00215DF5">
        <w:t xml:space="preserve"> </w:t>
      </w:r>
      <w:proofErr w:type="gramStart"/>
      <w:r w:rsidR="00215DF5" w:rsidRPr="00215DF5">
        <w:t>health</w:t>
      </w:r>
      <w:proofErr w:type="gramEnd"/>
    </w:p>
    <w:p w14:paraId="4D9869E2" w14:textId="244AB20A" w:rsidR="00F26EF2" w:rsidRPr="007E00C9" w:rsidRDefault="00F26EF2" w:rsidP="009E050C">
      <w:pPr>
        <w:pStyle w:val="H1G"/>
        <w:jc w:val="both"/>
      </w:pPr>
      <w:r w:rsidRPr="007E00C9">
        <w:tab/>
      </w:r>
      <w:r w:rsidRPr="007E00C9">
        <w:tab/>
        <w:t>Report of the</w:t>
      </w:r>
      <w:r w:rsidR="00340D85">
        <w:t xml:space="preserve"> Office of</w:t>
      </w:r>
      <w:r w:rsidRPr="007E00C9">
        <w:t xml:space="preserve"> </w:t>
      </w:r>
      <w:r w:rsidR="00340D85">
        <w:t xml:space="preserve">the </w:t>
      </w:r>
      <w:r w:rsidRPr="007E00C9">
        <w:t xml:space="preserve">United Nations High Commissioner for Human </w:t>
      </w:r>
      <w:r w:rsidR="00011A3E" w:rsidRPr="007E00C9">
        <w:t>Rights</w:t>
      </w:r>
      <w:r w:rsidR="0065722D" w:rsidRPr="0065722D">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F26EF2" w:rsidRPr="007E00C9" w14:paraId="279ED514" w14:textId="77777777" w:rsidTr="00F26EF2">
        <w:trPr>
          <w:jc w:val="center"/>
        </w:trPr>
        <w:tc>
          <w:tcPr>
            <w:tcW w:w="9637" w:type="dxa"/>
            <w:tcBorders>
              <w:bottom w:val="nil"/>
            </w:tcBorders>
          </w:tcPr>
          <w:p w14:paraId="25938695" w14:textId="4975D520" w:rsidR="00F26EF2" w:rsidRPr="007E00C9" w:rsidRDefault="00F26EF2" w:rsidP="00F26EF2">
            <w:pPr>
              <w:tabs>
                <w:tab w:val="left" w:pos="255"/>
              </w:tabs>
              <w:suppressAutoHyphens w:val="0"/>
              <w:spacing w:before="240" w:after="120"/>
              <w:rPr>
                <w:sz w:val="24"/>
                <w:lang w:val="en-GB"/>
              </w:rPr>
            </w:pPr>
            <w:r w:rsidRPr="007E00C9">
              <w:rPr>
                <w:lang w:val="en-GB"/>
              </w:rPr>
              <w:tab/>
            </w:r>
            <w:r w:rsidRPr="007E00C9">
              <w:rPr>
                <w:i/>
                <w:sz w:val="24"/>
                <w:lang w:val="en-GB"/>
              </w:rPr>
              <w:t>Summary</w:t>
            </w:r>
          </w:p>
        </w:tc>
      </w:tr>
      <w:tr w:rsidR="00F26EF2" w:rsidRPr="007E00C9" w14:paraId="0EAF4CA8" w14:textId="77777777" w:rsidTr="00F26EF2">
        <w:trPr>
          <w:jc w:val="center"/>
        </w:trPr>
        <w:tc>
          <w:tcPr>
            <w:tcW w:w="9637" w:type="dxa"/>
            <w:tcBorders>
              <w:top w:val="nil"/>
              <w:bottom w:val="nil"/>
            </w:tcBorders>
            <w:shd w:val="clear" w:color="auto" w:fill="auto"/>
          </w:tcPr>
          <w:p w14:paraId="136116AB" w14:textId="45B5EB30" w:rsidR="00F26EF2" w:rsidRPr="00C053C4" w:rsidRDefault="00F26EF2" w:rsidP="00C053C4">
            <w:pPr>
              <w:pStyle w:val="SingleTxtG"/>
            </w:pPr>
            <w:r w:rsidRPr="007E00C9">
              <w:tab/>
            </w:r>
            <w:r w:rsidR="00215DF5">
              <w:t xml:space="preserve">The present </w:t>
            </w:r>
            <w:r w:rsidR="00356BCF">
              <w:t>report</w:t>
            </w:r>
            <w:r w:rsidR="00215DF5">
              <w:t>, prepared pursuant to Human Rights Council resolution 50/13, contains an analysis of key challenges and pathways to ensure the availability, accessibility and acceptability of good quality medicines, vaccines</w:t>
            </w:r>
            <w:r w:rsidR="002503E1">
              <w:t>, diagnostics and therapeutics</w:t>
            </w:r>
            <w:r w:rsidR="00215DF5">
              <w:t xml:space="preserve"> and other health products </w:t>
            </w:r>
            <w:r w:rsidR="006F6C5E">
              <w:t xml:space="preserve">and technologies </w:t>
            </w:r>
            <w:r w:rsidR="00215DF5">
              <w:t>as part of reali</w:t>
            </w:r>
            <w:r w:rsidR="00F33E2D">
              <w:t>z</w:t>
            </w:r>
            <w:r w:rsidR="00215DF5">
              <w:t>ing the right of everyone to the highest attainable standard of physical and mental health.</w:t>
            </w:r>
          </w:p>
        </w:tc>
      </w:tr>
      <w:tr w:rsidR="00F26EF2" w:rsidRPr="007E00C9" w14:paraId="3CB94638" w14:textId="77777777" w:rsidTr="00F26EF2">
        <w:trPr>
          <w:jc w:val="center"/>
        </w:trPr>
        <w:tc>
          <w:tcPr>
            <w:tcW w:w="9637" w:type="dxa"/>
            <w:tcBorders>
              <w:top w:val="nil"/>
              <w:bottom w:val="nil"/>
            </w:tcBorders>
          </w:tcPr>
          <w:p w14:paraId="761C74C9" w14:textId="07C1A2AF" w:rsidR="005A1EE5" w:rsidRPr="007E00C9" w:rsidRDefault="00F26EF2" w:rsidP="00B84E9D">
            <w:pPr>
              <w:pStyle w:val="SingleTxtG"/>
              <w:rPr>
                <w:lang w:val="en-GB"/>
              </w:rPr>
            </w:pPr>
            <w:r w:rsidRPr="007E00C9">
              <w:rPr>
                <w:lang w:val="en-GB"/>
              </w:rPr>
              <w:tab/>
            </w:r>
            <w:r w:rsidR="00AC21E9">
              <w:rPr>
                <w:lang w:val="en-GB"/>
              </w:rPr>
              <w:t>It</w:t>
            </w:r>
            <w:r w:rsidR="00DA66B5">
              <w:rPr>
                <w:lang w:val="en-GB"/>
              </w:rPr>
              <w:t xml:space="preserve"> </w:t>
            </w:r>
            <w:r w:rsidR="00DD445B">
              <w:rPr>
                <w:lang w:val="en-GB"/>
              </w:rPr>
              <w:t>addresses</w:t>
            </w:r>
            <w:r w:rsidR="00DA66B5" w:rsidRPr="00DA66B5">
              <w:rPr>
                <w:lang w:val="en-GB"/>
              </w:rPr>
              <w:t xml:space="preserve"> key challenges</w:t>
            </w:r>
            <w:r w:rsidR="00AC1330">
              <w:rPr>
                <w:lang w:val="en-GB"/>
              </w:rPr>
              <w:t xml:space="preserve"> to </w:t>
            </w:r>
            <w:r w:rsidR="00AC1330">
              <w:t>the realization of the right of everyone to the highest attainable standard of physical and mental health</w:t>
            </w:r>
            <w:r w:rsidR="00AC1330">
              <w:rPr>
                <w:lang w:val="en-GB"/>
              </w:rPr>
              <w:t>,</w:t>
            </w:r>
            <w:r w:rsidR="00DA66B5">
              <w:rPr>
                <w:lang w:val="en-GB"/>
              </w:rPr>
              <w:t xml:space="preserve"> such as r</w:t>
            </w:r>
            <w:r w:rsidR="00DA66B5" w:rsidRPr="00DA66B5">
              <w:rPr>
                <w:lang w:val="en-GB"/>
              </w:rPr>
              <w:t>ising inequalities and discrimination</w:t>
            </w:r>
            <w:r w:rsidR="00DA66B5">
              <w:rPr>
                <w:lang w:val="en-GB"/>
              </w:rPr>
              <w:t xml:space="preserve"> and systemic </w:t>
            </w:r>
            <w:r w:rsidR="00DA66B5" w:rsidRPr="00DA66B5">
              <w:rPr>
                <w:lang w:val="en-GB"/>
              </w:rPr>
              <w:t>access barriers</w:t>
            </w:r>
            <w:r w:rsidR="00DA66B5">
              <w:rPr>
                <w:lang w:val="en-GB"/>
              </w:rPr>
              <w:t xml:space="preserve"> and access challenges in emergency situations.</w:t>
            </w:r>
            <w:r w:rsidR="00DA66B5" w:rsidRPr="00DA66B5">
              <w:rPr>
                <w:lang w:val="en-GB"/>
              </w:rPr>
              <w:t xml:space="preserve"> </w:t>
            </w:r>
            <w:r w:rsidR="00DA66B5">
              <w:rPr>
                <w:lang w:val="en-GB"/>
              </w:rPr>
              <w:t xml:space="preserve">The study </w:t>
            </w:r>
            <w:r w:rsidR="00DA66B5" w:rsidRPr="00DA66B5">
              <w:rPr>
                <w:lang w:val="en-GB"/>
              </w:rPr>
              <w:t>is</w:t>
            </w:r>
            <w:r w:rsidR="005A1EE5">
              <w:rPr>
                <w:lang w:val="en-GB"/>
              </w:rPr>
              <w:t xml:space="preserve"> </w:t>
            </w:r>
            <w:r w:rsidR="001E3908">
              <w:rPr>
                <w:lang w:val="en-GB"/>
              </w:rPr>
              <w:t>the second in</w:t>
            </w:r>
            <w:r w:rsidR="005A1EE5">
              <w:rPr>
                <w:lang w:val="en-GB"/>
              </w:rPr>
              <w:t xml:space="preserve"> </w:t>
            </w:r>
            <w:r w:rsidR="00AC6010">
              <w:rPr>
                <w:lang w:val="en-GB"/>
              </w:rPr>
              <w:t xml:space="preserve">a </w:t>
            </w:r>
            <w:r w:rsidR="001E3908">
              <w:rPr>
                <w:lang w:val="en-GB"/>
              </w:rPr>
              <w:t>series</w:t>
            </w:r>
            <w:r w:rsidR="00EC7941">
              <w:rPr>
                <w:lang w:val="en-GB"/>
              </w:rPr>
              <w:t xml:space="preserve"> of three reports</w:t>
            </w:r>
            <w:r w:rsidR="00AC6010">
              <w:rPr>
                <w:lang w:val="en-GB"/>
              </w:rPr>
              <w:t>,</w:t>
            </w:r>
            <w:r w:rsidR="00DA66B5" w:rsidRPr="00DA66B5">
              <w:rPr>
                <w:lang w:val="en-GB"/>
              </w:rPr>
              <w:t xml:space="preserve"> to be read in </w:t>
            </w:r>
            <w:r w:rsidR="006F12DD">
              <w:rPr>
                <w:lang w:val="en-GB"/>
              </w:rPr>
              <w:t>a complementary manner</w:t>
            </w:r>
            <w:r w:rsidR="006F12DD" w:rsidRPr="00DA66B5">
              <w:rPr>
                <w:lang w:val="en-GB"/>
              </w:rPr>
              <w:t xml:space="preserve"> </w:t>
            </w:r>
            <w:r w:rsidR="00DA66B5" w:rsidRPr="00DA66B5">
              <w:rPr>
                <w:lang w:val="en-GB"/>
              </w:rPr>
              <w:t xml:space="preserve">with </w:t>
            </w:r>
            <w:r w:rsidR="00DA66B5">
              <w:rPr>
                <w:lang w:val="en-GB"/>
              </w:rPr>
              <w:t>the</w:t>
            </w:r>
            <w:r w:rsidR="00C053C4" w:rsidRPr="00DA66B5">
              <w:rPr>
                <w:lang w:val="en-GB"/>
              </w:rPr>
              <w:t xml:space="preserve"> compendium of good practices</w:t>
            </w:r>
            <w:r w:rsidR="00C053C4">
              <w:rPr>
                <w:lang w:val="en-GB"/>
              </w:rPr>
              <w:t xml:space="preserve"> </w:t>
            </w:r>
            <w:r w:rsidR="00B84E9D" w:rsidRPr="00B84E9D">
              <w:rPr>
                <w:lang w:val="en-GB"/>
              </w:rPr>
              <w:t xml:space="preserve">related to access to medicines, </w:t>
            </w:r>
            <w:proofErr w:type="gramStart"/>
            <w:r w:rsidR="00B84E9D" w:rsidRPr="00B84E9D">
              <w:rPr>
                <w:lang w:val="en-GB"/>
              </w:rPr>
              <w:t>vaccines</w:t>
            </w:r>
            <w:proofErr w:type="gramEnd"/>
            <w:r w:rsidR="00B84E9D" w:rsidRPr="00B84E9D">
              <w:rPr>
                <w:lang w:val="en-GB"/>
              </w:rPr>
              <w:t xml:space="preserve"> and</w:t>
            </w:r>
            <w:r w:rsidR="00B84E9D">
              <w:rPr>
                <w:lang w:val="en-GB"/>
              </w:rPr>
              <w:t xml:space="preserve"> </w:t>
            </w:r>
            <w:r w:rsidR="00B84E9D" w:rsidRPr="00B84E9D">
              <w:rPr>
                <w:lang w:val="en-GB"/>
              </w:rPr>
              <w:t>other health products</w:t>
            </w:r>
            <w:r w:rsidR="00F32154">
              <w:rPr>
                <w:lang w:val="en-GB"/>
              </w:rPr>
              <w:t xml:space="preserve"> </w:t>
            </w:r>
            <w:r w:rsidR="00C053C4">
              <w:rPr>
                <w:lang w:val="en-GB"/>
              </w:rPr>
              <w:t>(</w:t>
            </w:r>
            <w:r w:rsidR="00DA66B5" w:rsidRPr="00DA66B5">
              <w:rPr>
                <w:lang w:val="en-GB"/>
              </w:rPr>
              <w:t>A/HRC/53/50</w:t>
            </w:r>
            <w:r w:rsidR="00C053C4">
              <w:rPr>
                <w:lang w:val="en-GB"/>
              </w:rPr>
              <w:t>)</w:t>
            </w:r>
            <w:r w:rsidR="0090228C">
              <w:rPr>
                <w:lang w:val="en-GB"/>
              </w:rPr>
              <w:t>,</w:t>
            </w:r>
            <w:r w:rsidR="00C053C4">
              <w:rPr>
                <w:lang w:val="en-GB"/>
              </w:rPr>
              <w:t xml:space="preserve"> also </w:t>
            </w:r>
            <w:r w:rsidR="00DA66B5" w:rsidRPr="00DA66B5">
              <w:rPr>
                <w:lang w:val="en-GB"/>
              </w:rPr>
              <w:t xml:space="preserve">mandated by </w:t>
            </w:r>
            <w:r w:rsidR="0090228C">
              <w:rPr>
                <w:lang w:val="en-GB"/>
              </w:rPr>
              <w:t xml:space="preserve">the </w:t>
            </w:r>
            <w:r w:rsidR="00C053C4">
              <w:rPr>
                <w:lang w:val="en-GB"/>
              </w:rPr>
              <w:t>Council</w:t>
            </w:r>
            <w:r w:rsidR="0090228C">
              <w:rPr>
                <w:lang w:val="en-GB"/>
              </w:rPr>
              <w:t xml:space="preserve"> in</w:t>
            </w:r>
            <w:r w:rsidR="00C053C4">
              <w:rPr>
                <w:lang w:val="en-GB"/>
              </w:rPr>
              <w:t xml:space="preserve"> </w:t>
            </w:r>
            <w:r w:rsidR="00DA66B5" w:rsidRPr="00DA66B5">
              <w:rPr>
                <w:lang w:val="en-GB"/>
              </w:rPr>
              <w:t>resolution 50/13.</w:t>
            </w:r>
          </w:p>
        </w:tc>
      </w:tr>
      <w:tr w:rsidR="00F26EF2" w:rsidRPr="007E00C9" w14:paraId="402C7AC9" w14:textId="77777777" w:rsidTr="00F26EF2">
        <w:trPr>
          <w:jc w:val="center"/>
        </w:trPr>
        <w:tc>
          <w:tcPr>
            <w:tcW w:w="9637" w:type="dxa"/>
            <w:tcBorders>
              <w:top w:val="nil"/>
            </w:tcBorders>
          </w:tcPr>
          <w:p w14:paraId="6E189581" w14:textId="77777777" w:rsidR="00F26EF2" w:rsidRPr="007E00C9" w:rsidRDefault="00F26EF2" w:rsidP="00F26EF2">
            <w:pPr>
              <w:suppressAutoHyphens w:val="0"/>
              <w:rPr>
                <w:lang w:val="en-GB"/>
              </w:rPr>
            </w:pPr>
          </w:p>
        </w:tc>
      </w:tr>
    </w:tbl>
    <w:p w14:paraId="2AB40B70" w14:textId="75728247" w:rsidR="0065722D" w:rsidRDefault="0065722D" w:rsidP="005E716E">
      <w:r>
        <w:br w:type="page"/>
      </w:r>
    </w:p>
    <w:p w14:paraId="67D30F9C" w14:textId="641901CB" w:rsidR="00F26EF2" w:rsidRPr="007E00C9" w:rsidRDefault="00D71EB1" w:rsidP="00D71EB1">
      <w:pPr>
        <w:pStyle w:val="HChG"/>
      </w:pPr>
      <w:r>
        <w:lastRenderedPageBreak/>
        <w:tab/>
      </w:r>
      <w:r w:rsidR="00F26EF2" w:rsidRPr="007E00C9">
        <w:t>I.</w:t>
      </w:r>
      <w:r w:rsidR="00F26EF2" w:rsidRPr="007E00C9">
        <w:tab/>
        <w:t>Introduction</w:t>
      </w:r>
    </w:p>
    <w:p w14:paraId="7D760503" w14:textId="2A8AD643" w:rsidR="00215DF5" w:rsidRPr="00215DF5" w:rsidRDefault="00F26EF2" w:rsidP="00416482">
      <w:pPr>
        <w:pStyle w:val="SingleTxtG"/>
      </w:pPr>
      <w:r w:rsidRPr="007E00C9">
        <w:t>1.</w:t>
      </w:r>
      <w:r w:rsidRPr="007E00C9">
        <w:tab/>
      </w:r>
      <w:r w:rsidR="00215DF5" w:rsidRPr="00215DF5">
        <w:t>In its resolution 50/13, the Human Rights Council requested the Office of the United Nations High Commissioner for Human Rights (OHCHR) to submit to the Council, at its fifty-sixth session, an analytical study on key challenges pertaining to access to medicines, vaccines</w:t>
      </w:r>
      <w:r w:rsidR="003D10A6">
        <w:t>,</w:t>
      </w:r>
      <w:r w:rsidR="003D10A6" w:rsidRPr="003D10A6">
        <w:t xml:space="preserve"> </w:t>
      </w:r>
      <w:r w:rsidR="003D10A6">
        <w:t>diagnostics and therapeutics</w:t>
      </w:r>
      <w:r w:rsidR="00215DF5" w:rsidRPr="00215DF5">
        <w:t xml:space="preserve"> and other health products</w:t>
      </w:r>
      <w:r w:rsidR="006F6C5E">
        <w:t xml:space="preserve"> and technologies</w:t>
      </w:r>
      <w:r w:rsidR="00215DF5" w:rsidRPr="00215DF5">
        <w:t xml:space="preserve"> in the context of the right of everyone to the highest attainable standard of physical and mental health.</w:t>
      </w:r>
    </w:p>
    <w:p w14:paraId="33AB3648" w14:textId="1361D338" w:rsidR="00215DF5" w:rsidRPr="00215DF5" w:rsidRDefault="00215DF5" w:rsidP="00416482">
      <w:pPr>
        <w:pStyle w:val="SingleTxtG"/>
        <w:rPr>
          <w:vertAlign w:val="superscript"/>
        </w:rPr>
      </w:pPr>
      <w:r w:rsidRPr="00215DF5">
        <w:t>2.</w:t>
      </w:r>
      <w:r>
        <w:tab/>
      </w:r>
      <w:r w:rsidRPr="00215DF5">
        <w:t xml:space="preserve">The lack of </w:t>
      </w:r>
      <w:r w:rsidR="008D5369">
        <w:t xml:space="preserve">sufficient, adequate and timely </w:t>
      </w:r>
      <w:r w:rsidRPr="00215DF5">
        <w:t>access to medicines, vaccines and other health products</w:t>
      </w:r>
      <w:r w:rsidRPr="009E050C">
        <w:rPr>
          <w:sz w:val="18"/>
          <w:szCs w:val="18"/>
          <w:vertAlign w:val="superscript"/>
        </w:rPr>
        <w:footnoteReference w:id="3"/>
      </w:r>
      <w:r w:rsidRPr="009E050C">
        <w:rPr>
          <w:sz w:val="18"/>
          <w:szCs w:val="18"/>
        </w:rPr>
        <w:t xml:space="preserve"> </w:t>
      </w:r>
      <w:r w:rsidRPr="00215DF5">
        <w:t xml:space="preserve">is a complex and multifaceted </w:t>
      </w:r>
      <w:proofErr w:type="gramStart"/>
      <w:r w:rsidRPr="00215DF5">
        <w:t>issue</w:t>
      </w:r>
      <w:r w:rsidR="00FA0B5C">
        <w:t>, and</w:t>
      </w:r>
      <w:proofErr w:type="gramEnd"/>
      <w:r w:rsidR="00AC1330">
        <w:t xml:space="preserve"> remains </w:t>
      </w:r>
      <w:r w:rsidRPr="00215DF5">
        <w:t xml:space="preserve">a major obstacle to the realization of the right to health. Ensuring access to medicines and vaccines requires a functioning health system that encapsulates the key elements of the right to health, as well as collaborative efforts by </w:t>
      </w:r>
      <w:r w:rsidR="00A175D2">
        <w:t>G</w:t>
      </w:r>
      <w:r w:rsidRPr="00215DF5">
        <w:t xml:space="preserve">overnments, pharmaceutical companies, health-care </w:t>
      </w:r>
      <w:proofErr w:type="gramStart"/>
      <w:r w:rsidRPr="00215DF5">
        <w:t>providers</w:t>
      </w:r>
      <w:proofErr w:type="gramEnd"/>
      <w:r w:rsidRPr="00215DF5">
        <w:t xml:space="preserve"> and international organizations.</w:t>
      </w:r>
      <w:r w:rsidRPr="009E050C">
        <w:rPr>
          <w:sz w:val="18"/>
          <w:szCs w:val="18"/>
          <w:vertAlign w:val="superscript"/>
        </w:rPr>
        <w:footnoteReference w:id="4"/>
      </w:r>
    </w:p>
    <w:p w14:paraId="4A4E3B1A" w14:textId="29D39863" w:rsidR="00215DF5" w:rsidRPr="00215DF5" w:rsidRDefault="00215DF5" w:rsidP="00416482">
      <w:pPr>
        <w:pStyle w:val="SingleTxtG"/>
        <w:rPr>
          <w:vertAlign w:val="superscript"/>
        </w:rPr>
      </w:pPr>
      <w:r w:rsidRPr="00215DF5">
        <w:t>3.</w:t>
      </w:r>
      <w:r>
        <w:tab/>
      </w:r>
      <w:r w:rsidR="00A175D2">
        <w:t>In t</w:t>
      </w:r>
      <w:r w:rsidR="008D5369">
        <w:t>he</w:t>
      </w:r>
      <w:r w:rsidRPr="00215DF5">
        <w:t xml:space="preserve"> </w:t>
      </w:r>
      <w:r w:rsidR="005806CB">
        <w:t xml:space="preserve">present </w:t>
      </w:r>
      <w:r w:rsidRPr="00215DF5">
        <w:t>study</w:t>
      </w:r>
      <w:r w:rsidR="00A175D2">
        <w:t>, OHCHR</w:t>
      </w:r>
      <w:r w:rsidRPr="00215DF5">
        <w:t xml:space="preserve"> </w:t>
      </w:r>
      <w:r w:rsidR="00623CB5">
        <w:t xml:space="preserve">outlines key elements </w:t>
      </w:r>
      <w:r w:rsidR="008D5369">
        <w:t xml:space="preserve">of the </w:t>
      </w:r>
      <w:r w:rsidR="00F93AEE" w:rsidRPr="00215DF5">
        <w:t xml:space="preserve">access to medicines, </w:t>
      </w:r>
      <w:proofErr w:type="gramStart"/>
      <w:r w:rsidR="00F93AEE" w:rsidRPr="00215DF5">
        <w:t>vaccines</w:t>
      </w:r>
      <w:proofErr w:type="gramEnd"/>
      <w:r w:rsidR="00F93AEE" w:rsidRPr="00215DF5">
        <w:t xml:space="preserve"> and other health products</w:t>
      </w:r>
      <w:r w:rsidR="008D5369">
        <w:t xml:space="preserve">, including through </w:t>
      </w:r>
      <w:r w:rsidR="00DB491A">
        <w:t xml:space="preserve">the </w:t>
      </w:r>
      <w:r w:rsidR="00A175D2">
        <w:t xml:space="preserve">commitments </w:t>
      </w:r>
      <w:r w:rsidR="00C90E98">
        <w:t xml:space="preserve">enshrined in the </w:t>
      </w:r>
      <w:r w:rsidR="00DB491A">
        <w:t>20</w:t>
      </w:r>
      <w:r w:rsidR="00153C52">
        <w:t>3</w:t>
      </w:r>
      <w:r w:rsidR="00DB491A">
        <w:t xml:space="preserve">0 </w:t>
      </w:r>
      <w:r w:rsidR="005B11C8">
        <w:t>A</w:t>
      </w:r>
      <w:r w:rsidR="00DB491A">
        <w:t xml:space="preserve">genda </w:t>
      </w:r>
      <w:r w:rsidR="00A21E40">
        <w:t>for Sustainable Development</w:t>
      </w:r>
      <w:r w:rsidRPr="00215DF5">
        <w:t xml:space="preserve">. </w:t>
      </w:r>
      <w:r w:rsidR="008D5369">
        <w:t xml:space="preserve">It </w:t>
      </w:r>
      <w:r w:rsidRPr="00215DF5">
        <w:t>identifies and analyses key challenges</w:t>
      </w:r>
      <w:r w:rsidR="007356CE">
        <w:t xml:space="preserve"> to</w:t>
      </w:r>
      <w:r w:rsidR="00DA66B5" w:rsidRPr="00DA66B5">
        <w:t xml:space="preserve"> maximiz</w:t>
      </w:r>
      <w:r w:rsidR="007356CE">
        <w:t>e</w:t>
      </w:r>
      <w:r w:rsidR="00DA66B5" w:rsidRPr="00DA66B5">
        <w:t xml:space="preserve"> availability</w:t>
      </w:r>
      <w:r w:rsidR="00DA66B5">
        <w:t xml:space="preserve"> and accessibility</w:t>
      </w:r>
      <w:r w:rsidR="00D10D0D">
        <w:t xml:space="preserve"> for different </w:t>
      </w:r>
      <w:r w:rsidR="008023AD">
        <w:t xml:space="preserve">populations and </w:t>
      </w:r>
      <w:r w:rsidR="00D10D0D">
        <w:t>groups</w:t>
      </w:r>
      <w:r w:rsidR="008023AD">
        <w:t>, including children, women</w:t>
      </w:r>
      <w:r w:rsidR="00B417B1">
        <w:t xml:space="preserve"> and girls</w:t>
      </w:r>
      <w:r w:rsidR="008023AD">
        <w:t xml:space="preserve">, older </w:t>
      </w:r>
      <w:proofErr w:type="gramStart"/>
      <w:r w:rsidR="008023AD">
        <w:t>persons</w:t>
      </w:r>
      <w:proofErr w:type="gramEnd"/>
      <w:r w:rsidR="009E4979">
        <w:t xml:space="preserve"> </w:t>
      </w:r>
      <w:r w:rsidR="0039155F">
        <w:t>and persons with disabilities</w:t>
      </w:r>
      <w:r w:rsidR="00C90E98">
        <w:t>,</w:t>
      </w:r>
      <w:r w:rsidR="00D10D0D">
        <w:t xml:space="preserve"> and outlines systemic challenges</w:t>
      </w:r>
      <w:r w:rsidR="00DA66B5">
        <w:t xml:space="preserve">, </w:t>
      </w:r>
      <w:r w:rsidR="007E1874">
        <w:t>and its</w:t>
      </w:r>
      <w:r w:rsidR="00DA66B5">
        <w:t xml:space="preserve"> </w:t>
      </w:r>
      <w:r w:rsidRPr="00215DF5">
        <w:t xml:space="preserve">conclusions and recommendations to </w:t>
      </w:r>
      <w:r w:rsidR="008D5369">
        <w:t>improve</w:t>
      </w:r>
      <w:r w:rsidRPr="00215DF5">
        <w:t xml:space="preserve"> access to medicines, vaccines and other health products. </w:t>
      </w:r>
      <w:r w:rsidR="00DA3CBB">
        <w:t>The study</w:t>
      </w:r>
      <w:r w:rsidR="00976E58">
        <w:t>,</w:t>
      </w:r>
      <w:r w:rsidR="00DA3CBB" w:rsidRPr="00215DF5">
        <w:t xml:space="preserve"> </w:t>
      </w:r>
      <w:r w:rsidR="007E1874">
        <w:t xml:space="preserve">the </w:t>
      </w:r>
      <w:r w:rsidR="000E5A6B">
        <w:t xml:space="preserve">second in a </w:t>
      </w:r>
      <w:r w:rsidR="007E1874">
        <w:t xml:space="preserve">series of </w:t>
      </w:r>
      <w:r w:rsidR="00623CB5">
        <w:t>three</w:t>
      </w:r>
      <w:r w:rsidR="007E1874">
        <w:t xml:space="preserve"> </w:t>
      </w:r>
      <w:r w:rsidR="00623CB5">
        <w:t>report</w:t>
      </w:r>
      <w:r w:rsidR="007E1874">
        <w:t>s</w:t>
      </w:r>
      <w:r w:rsidR="00976E58">
        <w:t xml:space="preserve">, </w:t>
      </w:r>
      <w:r w:rsidR="000E5A6B">
        <w:t>should</w:t>
      </w:r>
      <w:r w:rsidRPr="00215DF5">
        <w:t xml:space="preserve"> be read in conjunction with the compendium of good practices </w:t>
      </w:r>
      <w:r w:rsidR="003E2439">
        <w:t xml:space="preserve">on access to medicines, </w:t>
      </w:r>
      <w:proofErr w:type="gramStart"/>
      <w:r w:rsidR="003E2439">
        <w:t>vaccines</w:t>
      </w:r>
      <w:proofErr w:type="gramEnd"/>
      <w:r w:rsidR="003E2439">
        <w:t xml:space="preserve"> and other health products</w:t>
      </w:r>
      <w:r w:rsidRPr="00215DF5">
        <w:t>.</w:t>
      </w:r>
      <w:r w:rsidR="00960A9C">
        <w:rPr>
          <w:rStyle w:val="FootnoteReference"/>
        </w:rPr>
        <w:footnoteReference w:id="5"/>
      </w:r>
      <w:r w:rsidR="000E5A6B">
        <w:t xml:space="preserve"> </w:t>
      </w:r>
    </w:p>
    <w:p w14:paraId="629AAAA3" w14:textId="223D1408" w:rsidR="00F26EF2" w:rsidRPr="00215DF5" w:rsidRDefault="00215DF5" w:rsidP="00416482">
      <w:pPr>
        <w:pStyle w:val="SingleTxtG"/>
        <w:rPr>
          <w:vertAlign w:val="superscript"/>
        </w:rPr>
      </w:pPr>
      <w:r w:rsidRPr="00215DF5">
        <w:t xml:space="preserve">4. </w:t>
      </w:r>
      <w:r>
        <w:tab/>
      </w:r>
      <w:r w:rsidRPr="00215DF5">
        <w:t xml:space="preserve">The study was prepared taking into account information contained in the written submissions received from </w:t>
      </w:r>
      <w:r w:rsidR="00130530">
        <w:t xml:space="preserve">various </w:t>
      </w:r>
      <w:r w:rsidRPr="00215DF5">
        <w:t>stakeholders</w:t>
      </w:r>
      <w:r w:rsidR="00130530">
        <w:t xml:space="preserve">, including </w:t>
      </w:r>
      <w:r w:rsidR="00C3539F">
        <w:t>M</w:t>
      </w:r>
      <w:r w:rsidR="00130530">
        <w:t xml:space="preserve">ember </w:t>
      </w:r>
      <w:r w:rsidR="00C3539F">
        <w:t>S</w:t>
      </w:r>
      <w:r w:rsidR="00130530">
        <w:t>tates, U</w:t>
      </w:r>
      <w:r w:rsidR="00C3539F">
        <w:t xml:space="preserve">nited </w:t>
      </w:r>
      <w:r w:rsidR="00130530">
        <w:t>N</w:t>
      </w:r>
      <w:r w:rsidR="00C3539F">
        <w:t>ations</w:t>
      </w:r>
      <w:r w:rsidR="00130530">
        <w:t xml:space="preserve"> agencies and entities, </w:t>
      </w:r>
      <w:r w:rsidR="00F67876">
        <w:t xml:space="preserve">national human rights institutions, </w:t>
      </w:r>
      <w:r w:rsidR="00130530">
        <w:t>international non-governmental organi</w:t>
      </w:r>
      <w:r w:rsidR="00C3539F">
        <w:t>z</w:t>
      </w:r>
      <w:r w:rsidR="00130530">
        <w:t>ations, civil society organi</w:t>
      </w:r>
      <w:r w:rsidR="00C3539F">
        <w:t>z</w:t>
      </w:r>
      <w:r w:rsidR="00130530">
        <w:t xml:space="preserve">ations </w:t>
      </w:r>
      <w:r w:rsidR="00C3539F">
        <w:t>and</w:t>
      </w:r>
      <w:r w:rsidR="00130530">
        <w:t xml:space="preserve"> academic institutions</w:t>
      </w:r>
      <w:r w:rsidR="00F72DDA">
        <w:t>,</w:t>
      </w:r>
      <w:r w:rsidR="00130530">
        <w:t xml:space="preserve"> </w:t>
      </w:r>
      <w:r w:rsidR="000A3CD7" w:rsidRPr="00215DF5">
        <w:t>in response to the call for inputs issued on 15 September 2023</w:t>
      </w:r>
      <w:r w:rsidR="00823C8D">
        <w:t>.</w:t>
      </w:r>
      <w:r w:rsidR="000A3CD7" w:rsidRPr="009E050C">
        <w:rPr>
          <w:sz w:val="18"/>
          <w:szCs w:val="18"/>
          <w:vertAlign w:val="superscript"/>
        </w:rPr>
        <w:footnoteReference w:id="6"/>
      </w:r>
      <w:r w:rsidR="00823C8D" w:rsidRPr="009E050C">
        <w:rPr>
          <w:sz w:val="18"/>
          <w:szCs w:val="18"/>
        </w:rPr>
        <w:t xml:space="preserve"> </w:t>
      </w:r>
      <w:r w:rsidR="00823C8D">
        <w:t xml:space="preserve">It also </w:t>
      </w:r>
      <w:r w:rsidR="00AC1330">
        <w:t xml:space="preserve">takes into account </w:t>
      </w:r>
      <w:r w:rsidR="00823C8D">
        <w:t xml:space="preserve">the </w:t>
      </w:r>
      <w:r w:rsidR="00AC1330">
        <w:t xml:space="preserve">findings of </w:t>
      </w:r>
      <w:r w:rsidR="000E5A6B">
        <w:t>a</w:t>
      </w:r>
      <w:r w:rsidR="008D5369">
        <w:t>n</w:t>
      </w:r>
      <w:r w:rsidR="00823C8D" w:rsidRPr="00215DF5">
        <w:t xml:space="preserve"> </w:t>
      </w:r>
      <w:r w:rsidRPr="00215DF5">
        <w:t>expert workshop</w:t>
      </w:r>
      <w:r w:rsidR="00823C8D" w:rsidRPr="00823C8D">
        <w:t xml:space="preserve"> </w:t>
      </w:r>
      <w:r w:rsidR="00823C8D" w:rsidRPr="00215DF5">
        <w:t>on key challenges in ensuring access to medicines, vaccines and other health products held on 16 February 2024.</w:t>
      </w:r>
      <w:r w:rsidR="00823C8D" w:rsidRPr="009E050C">
        <w:rPr>
          <w:sz w:val="18"/>
          <w:szCs w:val="18"/>
          <w:vertAlign w:val="superscript"/>
        </w:rPr>
        <w:footnoteReference w:id="7"/>
      </w:r>
      <w:r w:rsidRPr="00215DF5">
        <w:t xml:space="preserve"> </w:t>
      </w:r>
    </w:p>
    <w:p w14:paraId="62910B4D" w14:textId="1C36459F" w:rsidR="00F26EF2" w:rsidRPr="007E00C9" w:rsidRDefault="00F26EF2" w:rsidP="009E050C">
      <w:pPr>
        <w:pStyle w:val="HChG"/>
        <w:spacing w:line="240" w:lineRule="atLeast"/>
        <w:jc w:val="both"/>
      </w:pPr>
      <w:r w:rsidRPr="007E00C9">
        <w:tab/>
        <w:t>II.</w:t>
      </w:r>
      <w:r w:rsidRPr="007E00C9">
        <w:tab/>
      </w:r>
      <w:r w:rsidR="008D4768">
        <w:t>H</w:t>
      </w:r>
      <w:r w:rsidR="00215DF5" w:rsidRPr="00215DF5">
        <w:t xml:space="preserve">uman rights dimension of access to medicines, </w:t>
      </w:r>
      <w:proofErr w:type="gramStart"/>
      <w:r w:rsidR="00215DF5" w:rsidRPr="00215DF5">
        <w:t>vaccines</w:t>
      </w:r>
      <w:proofErr w:type="gramEnd"/>
      <w:r w:rsidR="00215DF5" w:rsidRPr="00215DF5">
        <w:t xml:space="preserve"> and other health products</w:t>
      </w:r>
    </w:p>
    <w:p w14:paraId="6D7173F2" w14:textId="1213CC11" w:rsidR="00215DF5" w:rsidRPr="00215DF5" w:rsidRDefault="002C41E2" w:rsidP="00416482">
      <w:pPr>
        <w:pStyle w:val="SingleTxtG"/>
      </w:pPr>
      <w:r>
        <w:t>5</w:t>
      </w:r>
      <w:r w:rsidR="00F26EF2" w:rsidRPr="007E00C9">
        <w:t>.</w:t>
      </w:r>
      <w:r w:rsidR="00F26EF2" w:rsidRPr="007E00C9">
        <w:tab/>
      </w:r>
      <w:r w:rsidR="00215DF5" w:rsidRPr="00215DF5">
        <w:t>Access to medicines and vaccines is an essential element of the right to health,</w:t>
      </w:r>
      <w:r w:rsidR="00215DF5" w:rsidRPr="009E050C">
        <w:rPr>
          <w:sz w:val="18"/>
          <w:szCs w:val="18"/>
          <w:vertAlign w:val="superscript"/>
        </w:rPr>
        <w:footnoteReference w:id="8"/>
      </w:r>
      <w:r w:rsidR="00215DF5" w:rsidRPr="00215DF5">
        <w:rPr>
          <w:vertAlign w:val="superscript"/>
        </w:rPr>
        <w:t xml:space="preserve"> </w:t>
      </w:r>
      <w:r w:rsidR="00215DF5" w:rsidRPr="00215DF5">
        <w:t>as enshrined in international human rights law. It is guaranteed in the Universal Declaration of Human Rights and international human rights treaties,</w:t>
      </w:r>
      <w:r w:rsidR="00215DF5" w:rsidRPr="009E050C">
        <w:rPr>
          <w:sz w:val="18"/>
          <w:szCs w:val="18"/>
          <w:vertAlign w:val="superscript"/>
        </w:rPr>
        <w:footnoteReference w:id="9"/>
      </w:r>
      <w:r w:rsidR="00215DF5" w:rsidRPr="00215DF5">
        <w:t xml:space="preserve"> including the International Covenant on Economic, Social</w:t>
      </w:r>
      <w:r w:rsidR="00E45257">
        <w:t xml:space="preserve"> and</w:t>
      </w:r>
      <w:r w:rsidR="00215DF5" w:rsidRPr="00215DF5">
        <w:t xml:space="preserve"> Cultural Rights,</w:t>
      </w:r>
      <w:r w:rsidR="00FF4B65">
        <w:t xml:space="preserve"> the Convention of the Rights of Persons with Disabilities,</w:t>
      </w:r>
      <w:r w:rsidR="00215DF5" w:rsidRPr="00215DF5">
        <w:t xml:space="preserve"> the Convention on the Rights of the Child</w:t>
      </w:r>
      <w:r w:rsidR="00FF4B65">
        <w:t xml:space="preserve"> </w:t>
      </w:r>
      <w:r w:rsidR="00215DF5" w:rsidRPr="00215DF5">
        <w:t>and the Convention on the Elimination of All Forms of Discrimination against Women.</w:t>
      </w:r>
    </w:p>
    <w:p w14:paraId="46E72838" w14:textId="61DAD74E" w:rsidR="00215DF5" w:rsidRPr="00215DF5" w:rsidRDefault="002C41E2" w:rsidP="00416482">
      <w:pPr>
        <w:pStyle w:val="SingleTxtG"/>
      </w:pPr>
      <w:r>
        <w:lastRenderedPageBreak/>
        <w:t>6</w:t>
      </w:r>
      <w:r w:rsidR="00215DF5">
        <w:t>.</w:t>
      </w:r>
      <w:r w:rsidR="00215DF5">
        <w:tab/>
      </w:r>
      <w:r w:rsidR="00215DF5" w:rsidRPr="00215DF5">
        <w:t xml:space="preserve">States </w:t>
      </w:r>
      <w:r w:rsidR="00FF4B65">
        <w:t>must</w:t>
      </w:r>
      <w:r w:rsidR="00FF4B65" w:rsidRPr="00215DF5">
        <w:t xml:space="preserve"> </w:t>
      </w:r>
      <w:r w:rsidR="008D4768">
        <w:t>take</w:t>
      </w:r>
      <w:r w:rsidR="008D4768" w:rsidRPr="00215DF5">
        <w:t xml:space="preserve"> </w:t>
      </w:r>
      <w:r w:rsidR="00215DF5" w:rsidRPr="00215DF5">
        <w:t xml:space="preserve">measures to </w:t>
      </w:r>
      <w:r w:rsidR="00196E16">
        <w:t>secure</w:t>
      </w:r>
      <w:r w:rsidR="00215DF5" w:rsidRPr="00215DF5">
        <w:t xml:space="preserve"> functioning health systems that take into consideration the key elements of the right to health</w:t>
      </w:r>
      <w:r w:rsidR="00F1653E">
        <w:t>.</w:t>
      </w:r>
      <w:r w:rsidR="00215DF5" w:rsidRPr="009E050C">
        <w:rPr>
          <w:sz w:val="18"/>
          <w:szCs w:val="18"/>
          <w:vertAlign w:val="superscript"/>
        </w:rPr>
        <w:footnoteReference w:id="10"/>
      </w:r>
      <w:r w:rsidR="00215DF5" w:rsidRPr="00215DF5">
        <w:t xml:space="preserve"> Th</w:t>
      </w:r>
      <w:r w:rsidR="00F1653E">
        <w:t xml:space="preserve">is </w:t>
      </w:r>
      <w:r w:rsidR="00215DF5" w:rsidRPr="00215DF5">
        <w:t xml:space="preserve">includes ensuring the right of access to health facilities, goods and services on a non-discriminatory basis, especially for </w:t>
      </w:r>
      <w:r w:rsidR="00790FDE">
        <w:t xml:space="preserve">persons who are </w:t>
      </w:r>
      <w:r w:rsidR="00ED2FB7">
        <w:t xml:space="preserve">members </w:t>
      </w:r>
      <w:r w:rsidR="00790FDE">
        <w:t xml:space="preserve">of </w:t>
      </w:r>
      <w:r w:rsidR="00215DF5" w:rsidRPr="00215DF5">
        <w:t>vulnerable or marginalized groups.</w:t>
      </w:r>
      <w:r w:rsidR="00215DF5" w:rsidRPr="009E050C">
        <w:rPr>
          <w:sz w:val="18"/>
          <w:szCs w:val="18"/>
          <w:vertAlign w:val="superscript"/>
        </w:rPr>
        <w:footnoteReference w:id="11"/>
      </w:r>
      <w:r w:rsidR="00215DF5" w:rsidRPr="00215DF5">
        <w:t xml:space="preserve"> Health facilities, goods and services </w:t>
      </w:r>
      <w:r w:rsidR="002A6AA5">
        <w:t>should</w:t>
      </w:r>
      <w:r w:rsidR="00215DF5" w:rsidRPr="00215DF5">
        <w:t xml:space="preserve"> be gender-sensitive and culturally appropriate, scientifically and medically appropriate, of good quality and respectful of medical ethics.</w:t>
      </w:r>
      <w:r w:rsidR="00215DF5" w:rsidRPr="009E050C">
        <w:rPr>
          <w:sz w:val="18"/>
          <w:szCs w:val="18"/>
          <w:vertAlign w:val="superscript"/>
        </w:rPr>
        <w:footnoteReference w:id="12"/>
      </w:r>
      <w:r w:rsidR="00215DF5" w:rsidRPr="009E050C">
        <w:rPr>
          <w:sz w:val="18"/>
          <w:szCs w:val="18"/>
        </w:rPr>
        <w:t xml:space="preserve"> </w:t>
      </w:r>
    </w:p>
    <w:p w14:paraId="6097E6FF" w14:textId="2382BB6E" w:rsidR="00F1653E" w:rsidRPr="00320EE1" w:rsidRDefault="002C41E2" w:rsidP="00416482">
      <w:pPr>
        <w:pStyle w:val="SingleTxtG"/>
        <w:rPr>
          <w:vertAlign w:val="superscript"/>
        </w:rPr>
      </w:pPr>
      <w:r>
        <w:t>7</w:t>
      </w:r>
      <w:r w:rsidR="00215DF5">
        <w:t>.</w:t>
      </w:r>
      <w:r w:rsidR="00215DF5">
        <w:tab/>
      </w:r>
      <w:r w:rsidR="003A564F" w:rsidRPr="00215DF5">
        <w:t xml:space="preserve">While the realization of the right to health is to be achieved progressively, </w:t>
      </w:r>
      <w:r w:rsidR="004A441C">
        <w:t xml:space="preserve">States have a specific and continuing obligation to move as expeditiously and effectively as possible towards the full realization </w:t>
      </w:r>
      <w:r w:rsidR="004A441C" w:rsidRPr="00215DF5">
        <w:t>of the right to health</w:t>
      </w:r>
      <w:r w:rsidR="004A441C">
        <w:t>.</w:t>
      </w:r>
      <w:r w:rsidR="004A441C" w:rsidRPr="00DF1A45">
        <w:rPr>
          <w:rStyle w:val="FootnoteReference"/>
          <w:szCs w:val="18"/>
        </w:rPr>
        <w:footnoteReference w:id="13"/>
      </w:r>
      <w:r w:rsidR="004A441C" w:rsidRPr="009E050C">
        <w:rPr>
          <w:sz w:val="18"/>
          <w:szCs w:val="18"/>
        </w:rPr>
        <w:t xml:space="preserve"> </w:t>
      </w:r>
      <w:r w:rsidR="003A564F" w:rsidRPr="00215DF5">
        <w:t xml:space="preserve">States are required to take deliberate, specific and targeted steps to achieve the right to health and to deliver immediately on minimum requirements, such as access to </w:t>
      </w:r>
      <w:r w:rsidR="00811E5D">
        <w:t>essential primary care and medicines</w:t>
      </w:r>
      <w:r w:rsidR="00811E5D" w:rsidRPr="00215DF5">
        <w:t xml:space="preserve"> </w:t>
      </w:r>
      <w:r w:rsidR="003A564F" w:rsidRPr="00215DF5">
        <w:t>without discrimination.</w:t>
      </w:r>
      <w:r w:rsidR="0065628F">
        <w:rPr>
          <w:rStyle w:val="FootnoteReference"/>
        </w:rPr>
        <w:footnoteReference w:id="14"/>
      </w:r>
      <w:r w:rsidR="003A564F" w:rsidRPr="00215DF5">
        <w:t xml:space="preserve"> Focused efforts are essential to remove barriers, pre-empt potential discrimination and monitor distribution of </w:t>
      </w:r>
      <w:r w:rsidR="007200A3">
        <w:t xml:space="preserve">medicines, </w:t>
      </w:r>
      <w:r w:rsidR="003A564F" w:rsidRPr="00215DF5">
        <w:t>vaccines</w:t>
      </w:r>
      <w:r w:rsidR="007200A3">
        <w:t xml:space="preserve"> and other health products</w:t>
      </w:r>
      <w:r w:rsidR="003A564F" w:rsidRPr="00215DF5">
        <w:t xml:space="preserve"> to avoid discrimination.</w:t>
      </w:r>
      <w:r w:rsidR="003A564F" w:rsidRPr="009E050C">
        <w:rPr>
          <w:sz w:val="18"/>
          <w:szCs w:val="18"/>
          <w:vertAlign w:val="superscript"/>
        </w:rPr>
        <w:footnoteReference w:id="15"/>
      </w:r>
    </w:p>
    <w:p w14:paraId="52F51C4B" w14:textId="5ED58AE0" w:rsidR="00606A5D" w:rsidRPr="00606A5D" w:rsidRDefault="002C41E2" w:rsidP="00416482">
      <w:pPr>
        <w:pStyle w:val="SingleTxtG"/>
      </w:pPr>
      <w:r>
        <w:t>8</w:t>
      </w:r>
      <w:r w:rsidR="00215DF5">
        <w:t>.</w:t>
      </w:r>
      <w:r w:rsidR="00215DF5">
        <w:tab/>
      </w:r>
      <w:r w:rsidR="00215DF5" w:rsidRPr="00215DF5">
        <w:t xml:space="preserve">The right to health is also applicable in situations of </w:t>
      </w:r>
      <w:r w:rsidR="00986E73">
        <w:t xml:space="preserve">armed </w:t>
      </w:r>
      <w:r w:rsidR="00215DF5" w:rsidRPr="00215DF5">
        <w:t>conflict or general emergency.</w:t>
      </w:r>
      <w:r w:rsidR="00215DF5" w:rsidRPr="00215DF5">
        <w:rPr>
          <w:vertAlign w:val="superscript"/>
        </w:rPr>
        <w:footnoteReference w:id="16"/>
      </w:r>
      <w:r w:rsidR="00215DF5" w:rsidRPr="00215DF5">
        <w:t xml:space="preserve"> States have a core obligation </w:t>
      </w:r>
      <w:r w:rsidR="00F1653E">
        <w:t xml:space="preserve">under </w:t>
      </w:r>
      <w:r w:rsidR="00941DCF" w:rsidRPr="00215DF5">
        <w:t>the International Covenant on Economic, Social, Cultural Rights</w:t>
      </w:r>
      <w:r w:rsidR="00941DCF" w:rsidDel="00941DCF">
        <w:t xml:space="preserve"> </w:t>
      </w:r>
      <w:r w:rsidR="00215DF5" w:rsidRPr="00215DF5">
        <w:t xml:space="preserve">to ensure the satisfaction of at least minimum essential levels of each of the </w:t>
      </w:r>
      <w:r w:rsidR="00FB22FB" w:rsidRPr="00215DF5">
        <w:t xml:space="preserve">rights </w:t>
      </w:r>
      <w:r w:rsidR="00FB22FB">
        <w:t xml:space="preserve">enshrined in the </w:t>
      </w:r>
      <w:r w:rsidR="00215DF5" w:rsidRPr="00215DF5">
        <w:t>Covenant</w:t>
      </w:r>
      <w:r w:rsidR="00F1653E">
        <w:t>. The non-</w:t>
      </w:r>
      <w:proofErr w:type="spellStart"/>
      <w:r w:rsidR="00F1653E">
        <w:t>derogable</w:t>
      </w:r>
      <w:proofErr w:type="spellEnd"/>
      <w:r w:rsidR="00F1653E">
        <w:t xml:space="preserve"> </w:t>
      </w:r>
      <w:r w:rsidR="00215DF5" w:rsidRPr="00215DF5">
        <w:t>core obligations</w:t>
      </w:r>
      <w:r w:rsidR="00215DF5" w:rsidRPr="009E050C">
        <w:rPr>
          <w:sz w:val="18"/>
          <w:szCs w:val="18"/>
          <w:vertAlign w:val="superscript"/>
        </w:rPr>
        <w:footnoteReference w:id="17"/>
      </w:r>
      <w:r w:rsidR="00215DF5" w:rsidRPr="00215DF5">
        <w:t xml:space="preserve"> </w:t>
      </w:r>
      <w:r w:rsidR="00F1653E">
        <w:t>include t</w:t>
      </w:r>
      <w:r w:rsidR="00215DF5" w:rsidRPr="00215DF5">
        <w:t xml:space="preserve">he obligation of States </w:t>
      </w:r>
      <w:r w:rsidR="0070338B">
        <w:t xml:space="preserve">parties </w:t>
      </w:r>
      <w:r w:rsidR="00215DF5" w:rsidRPr="00215DF5">
        <w:t xml:space="preserve">to ensure equitable distribution and access to health facilities, </w:t>
      </w:r>
      <w:proofErr w:type="gramStart"/>
      <w:r w:rsidR="00215DF5" w:rsidRPr="00215DF5">
        <w:t>goods</w:t>
      </w:r>
      <w:proofErr w:type="gramEnd"/>
      <w:r w:rsidR="00215DF5" w:rsidRPr="00215DF5">
        <w:t xml:space="preserve"> and services on a non-discriminatory basis, especially for vulnerable or marginalized groups</w:t>
      </w:r>
      <w:r w:rsidR="00F1653E">
        <w:t xml:space="preserve"> and</w:t>
      </w:r>
      <w:r w:rsidR="00215DF5" w:rsidRPr="00215DF5">
        <w:t xml:space="preserve"> to provide essential medicines.</w:t>
      </w:r>
      <w:r w:rsidR="00215DF5" w:rsidRPr="009E050C">
        <w:rPr>
          <w:sz w:val="18"/>
          <w:szCs w:val="18"/>
          <w:vertAlign w:val="superscript"/>
        </w:rPr>
        <w:footnoteReference w:id="18"/>
      </w:r>
    </w:p>
    <w:p w14:paraId="08E070E8" w14:textId="183D7F12" w:rsidR="00510727" w:rsidRDefault="00FF1836" w:rsidP="00416482">
      <w:pPr>
        <w:pStyle w:val="SingleTxtG"/>
      </w:pPr>
      <w:r>
        <w:t>9.</w:t>
      </w:r>
      <w:r w:rsidR="00FB22FB">
        <w:tab/>
      </w:r>
      <w:r w:rsidR="00606A5D" w:rsidRPr="00606A5D">
        <w:t xml:space="preserve">As part of the 2030 Agenda and </w:t>
      </w:r>
      <w:r w:rsidR="00A52376">
        <w:t>the Sustainable Development</w:t>
      </w:r>
      <w:r w:rsidR="00606A5D" w:rsidRPr="00606A5D">
        <w:t xml:space="preserve"> Goals, all </w:t>
      </w:r>
      <w:r w:rsidR="00A52376">
        <w:t>M</w:t>
      </w:r>
      <w:r w:rsidR="00606A5D" w:rsidRPr="00606A5D">
        <w:t xml:space="preserve">ember </w:t>
      </w:r>
      <w:r w:rsidR="00A52376">
        <w:t>S</w:t>
      </w:r>
      <w:r w:rsidR="00606A5D" w:rsidRPr="00606A5D">
        <w:t xml:space="preserve">tates committed to achieving universal health coverage by 2030. The commitment to </w:t>
      </w:r>
      <w:r w:rsidR="00321EF9">
        <w:t>such coverage</w:t>
      </w:r>
      <w:r w:rsidR="00321EF9" w:rsidRPr="00606A5D">
        <w:t xml:space="preserve"> </w:t>
      </w:r>
      <w:r w:rsidR="00606A5D" w:rsidRPr="00606A5D">
        <w:t xml:space="preserve">was reiterated in 2023 at the </w:t>
      </w:r>
      <w:r w:rsidR="00746AB9">
        <w:t>h</w:t>
      </w:r>
      <w:r w:rsidR="00606A5D" w:rsidRPr="00606A5D">
        <w:t>igh-</w:t>
      </w:r>
      <w:r w:rsidR="00746AB9">
        <w:t>l</w:t>
      </w:r>
      <w:r w:rsidR="00606A5D" w:rsidRPr="00606A5D">
        <w:t xml:space="preserve">evel </w:t>
      </w:r>
      <w:r w:rsidR="00746AB9">
        <w:t>m</w:t>
      </w:r>
      <w:r w:rsidR="00606A5D" w:rsidRPr="00606A5D">
        <w:t xml:space="preserve">eeting of the General Assembly on </w:t>
      </w:r>
      <w:r w:rsidR="00746AB9">
        <w:t>universal health coverage</w:t>
      </w:r>
      <w:r w:rsidR="00606A5D" w:rsidRPr="00606A5D">
        <w:t>.</w:t>
      </w:r>
      <w:r w:rsidR="00937B48">
        <w:rPr>
          <w:rStyle w:val="FootnoteReference"/>
        </w:rPr>
        <w:footnoteReference w:id="19"/>
      </w:r>
      <w:r w:rsidR="00C90E80">
        <w:t xml:space="preserve"> U</w:t>
      </w:r>
      <w:r w:rsidR="00C4107A">
        <w:t>niversal health coverage</w:t>
      </w:r>
      <w:r w:rsidR="00C90E80">
        <w:t xml:space="preserve"> aims to ensure </w:t>
      </w:r>
      <w:r w:rsidR="00C4107A">
        <w:t xml:space="preserve">that </w:t>
      </w:r>
      <w:r w:rsidR="00606A5D" w:rsidRPr="00606A5D">
        <w:t xml:space="preserve">all </w:t>
      </w:r>
      <w:r w:rsidR="00C4107A">
        <w:t>persons</w:t>
      </w:r>
      <w:r w:rsidR="00606A5D" w:rsidRPr="00606A5D">
        <w:t xml:space="preserve"> within a </w:t>
      </w:r>
      <w:r w:rsidR="00C4107A">
        <w:t>S</w:t>
      </w:r>
      <w:r w:rsidR="00606A5D" w:rsidRPr="00606A5D">
        <w:t>tate have access to essential health services, of sufficient quality</w:t>
      </w:r>
      <w:r w:rsidR="00BA7A52">
        <w:t>,</w:t>
      </w:r>
      <w:r w:rsidR="00606A5D" w:rsidRPr="00606A5D">
        <w:t xml:space="preserve"> without suffering financial hardship</w:t>
      </w:r>
      <w:r w:rsidR="00BA7A52">
        <w:t>,</w:t>
      </w:r>
      <w:r w:rsidR="00606A5D" w:rsidRPr="00606A5D">
        <w:t xml:space="preserve"> and to safe, effective, quality and affordable essential medicines and vaccines for all.</w:t>
      </w:r>
      <w:r w:rsidR="00606A5D" w:rsidRPr="009E050C">
        <w:rPr>
          <w:sz w:val="18"/>
          <w:szCs w:val="18"/>
          <w:vertAlign w:val="superscript"/>
        </w:rPr>
        <w:footnoteReference w:id="20"/>
      </w:r>
      <w:r w:rsidR="00606A5D" w:rsidRPr="00606A5D">
        <w:t xml:space="preserve"> </w:t>
      </w:r>
      <w:r w:rsidR="00BA7A52">
        <w:t>It</w:t>
      </w:r>
      <w:r w:rsidR="00BA7A52" w:rsidRPr="00606A5D">
        <w:t xml:space="preserve"> </w:t>
      </w:r>
      <w:r w:rsidR="00606A5D" w:rsidRPr="00606A5D">
        <w:t>covers the full continuum of essential health services, from health promotion to prevention, treatment, rehabilitation and palliative care.</w:t>
      </w:r>
      <w:r w:rsidR="00606A5D" w:rsidRPr="009E050C">
        <w:rPr>
          <w:sz w:val="18"/>
          <w:szCs w:val="18"/>
          <w:vertAlign w:val="superscript"/>
        </w:rPr>
        <w:footnoteReference w:id="21"/>
      </w:r>
      <w:r w:rsidR="00C90E80" w:rsidRPr="009E050C">
        <w:rPr>
          <w:sz w:val="18"/>
          <w:szCs w:val="18"/>
        </w:rPr>
        <w:t xml:space="preserve"> </w:t>
      </w:r>
    </w:p>
    <w:p w14:paraId="196450EA" w14:textId="36A4ABB1" w:rsidR="00215DF5" w:rsidRDefault="0065722D" w:rsidP="009E050C">
      <w:pPr>
        <w:pStyle w:val="HChG"/>
        <w:spacing w:line="240" w:lineRule="atLeast"/>
        <w:jc w:val="both"/>
      </w:pPr>
      <w:r>
        <w:tab/>
      </w:r>
      <w:r w:rsidR="00510727">
        <w:t>I</w:t>
      </w:r>
      <w:r w:rsidR="00623CB5">
        <w:t>II</w:t>
      </w:r>
      <w:r w:rsidR="00806131">
        <w:t>.</w:t>
      </w:r>
      <w:r w:rsidR="00215DF5" w:rsidRPr="007E00C9">
        <w:tab/>
      </w:r>
      <w:r w:rsidR="00215DF5">
        <w:t>Key challenges in ensuring</w:t>
      </w:r>
      <w:r w:rsidR="00215DF5" w:rsidRPr="00215DF5">
        <w:t xml:space="preserve"> access to medicines, </w:t>
      </w:r>
      <w:proofErr w:type="gramStart"/>
      <w:r w:rsidR="00215DF5" w:rsidRPr="00215DF5">
        <w:t>vaccines</w:t>
      </w:r>
      <w:proofErr w:type="gramEnd"/>
      <w:r w:rsidR="00215DF5" w:rsidRPr="00215DF5">
        <w:t xml:space="preserve"> and other health products</w:t>
      </w:r>
    </w:p>
    <w:p w14:paraId="5BC32010" w14:textId="7F8AE553" w:rsidR="00AE6B30" w:rsidRPr="00F02CA5" w:rsidRDefault="00AE6B30" w:rsidP="009E050C">
      <w:pPr>
        <w:pStyle w:val="ListParagraph"/>
        <w:numPr>
          <w:ilvl w:val="0"/>
          <w:numId w:val="7"/>
        </w:numPr>
        <w:spacing w:line="240" w:lineRule="atLeast"/>
        <w:rPr>
          <w:rFonts w:ascii="Times New Roman" w:hAnsi="Times New Roman" w:cs="Times New Roman"/>
          <w:b/>
          <w:bCs/>
          <w:sz w:val="24"/>
          <w:szCs w:val="24"/>
        </w:rPr>
      </w:pPr>
      <w:r w:rsidRPr="00AE6B30">
        <w:rPr>
          <w:rFonts w:ascii="Times New Roman" w:hAnsi="Times New Roman" w:cs="Times New Roman"/>
          <w:b/>
          <w:bCs/>
          <w:sz w:val="24"/>
          <w:szCs w:val="24"/>
        </w:rPr>
        <w:t>Overview</w:t>
      </w:r>
    </w:p>
    <w:p w14:paraId="5747FB9C" w14:textId="3257EC83" w:rsidR="000B4F6F" w:rsidRDefault="005C6177" w:rsidP="009E050C">
      <w:pPr>
        <w:pStyle w:val="SingleTxtG"/>
        <w:numPr>
          <w:ilvl w:val="0"/>
          <w:numId w:val="8"/>
        </w:numPr>
        <w:ind w:left="1134" w:firstLine="0"/>
      </w:pPr>
      <w:r w:rsidRPr="00215DF5">
        <w:t xml:space="preserve">Access to medicines, vaccines and other health products is </w:t>
      </w:r>
      <w:r w:rsidR="00CA7618">
        <w:t>deeply</w:t>
      </w:r>
      <w:r w:rsidR="00CA7618" w:rsidRPr="00215DF5">
        <w:t xml:space="preserve"> </w:t>
      </w:r>
      <w:r w:rsidRPr="00215DF5">
        <w:t xml:space="preserve">unequal in many countries </w:t>
      </w:r>
      <w:r w:rsidR="00CA7618">
        <w:t>owing</w:t>
      </w:r>
      <w:r w:rsidR="00CA7618" w:rsidRPr="00215DF5">
        <w:t xml:space="preserve"> </w:t>
      </w:r>
      <w:r w:rsidRPr="00215DF5">
        <w:t xml:space="preserve">to structural barriers, social determinants of health and other factors affecting various populations that are </w:t>
      </w:r>
      <w:r w:rsidR="008F140A">
        <w:t>marginalized</w:t>
      </w:r>
      <w:r w:rsidRPr="00215DF5">
        <w:t xml:space="preserve">. These inequalities are further aggravated in contexts of fragility, </w:t>
      </w:r>
      <w:proofErr w:type="gramStart"/>
      <w:r w:rsidRPr="00215DF5">
        <w:t>conflict</w:t>
      </w:r>
      <w:proofErr w:type="gramEnd"/>
      <w:r w:rsidRPr="00215DF5">
        <w:t xml:space="preserve"> and violence.</w:t>
      </w:r>
      <w:r w:rsidRPr="009E050C">
        <w:rPr>
          <w:sz w:val="18"/>
          <w:szCs w:val="18"/>
          <w:vertAlign w:val="superscript"/>
        </w:rPr>
        <w:footnoteReference w:id="22"/>
      </w:r>
      <w:r w:rsidR="007E50B7">
        <w:t xml:space="preserve"> </w:t>
      </w:r>
      <w:r w:rsidR="00462D70">
        <w:t>Moreover, the</w:t>
      </w:r>
      <w:r w:rsidRPr="00335526">
        <w:t xml:space="preserve"> rise of non</w:t>
      </w:r>
      <w:r>
        <w:t>-</w:t>
      </w:r>
      <w:r w:rsidRPr="00335526">
        <w:t xml:space="preserve">communicable diseases </w:t>
      </w:r>
      <w:r w:rsidR="00462D70">
        <w:t>and mental health</w:t>
      </w:r>
      <w:r w:rsidR="00B204C7">
        <w:t>-</w:t>
      </w:r>
      <w:r w:rsidR="00462D70">
        <w:t xml:space="preserve">related conditions are </w:t>
      </w:r>
      <w:r w:rsidR="007E50B7">
        <w:t xml:space="preserve">putting </w:t>
      </w:r>
      <w:r w:rsidRPr="00335526">
        <w:t xml:space="preserve">increasing pressure on </w:t>
      </w:r>
      <w:r w:rsidR="008F140A">
        <w:t xml:space="preserve">people and the </w:t>
      </w:r>
      <w:r w:rsidRPr="00335526">
        <w:t>health</w:t>
      </w:r>
      <w:r w:rsidR="00D472D3">
        <w:t>-</w:t>
      </w:r>
      <w:r w:rsidRPr="00335526">
        <w:t xml:space="preserve">care systems </w:t>
      </w:r>
      <w:r w:rsidR="008F140A">
        <w:t xml:space="preserve">that support them </w:t>
      </w:r>
      <w:r w:rsidRPr="00335526">
        <w:t>around the world</w:t>
      </w:r>
      <w:r w:rsidR="00805724">
        <w:t xml:space="preserve">. </w:t>
      </w:r>
      <w:r w:rsidR="00615F9A">
        <w:t xml:space="preserve">Given that </w:t>
      </w:r>
      <w:r w:rsidR="008F140A">
        <w:t>the</w:t>
      </w:r>
      <w:r w:rsidR="00793281">
        <w:t>y</w:t>
      </w:r>
      <w:r w:rsidR="008F140A">
        <w:t xml:space="preserve"> </w:t>
      </w:r>
      <w:r w:rsidR="00615F9A">
        <w:t xml:space="preserve">frequently require </w:t>
      </w:r>
      <w:r w:rsidR="008F140A">
        <w:t xml:space="preserve">treatment </w:t>
      </w:r>
      <w:r w:rsidR="00615F9A">
        <w:t xml:space="preserve">for a </w:t>
      </w:r>
      <w:r w:rsidR="00615F9A" w:rsidRPr="008036FF">
        <w:t xml:space="preserve">long </w:t>
      </w:r>
      <w:r w:rsidR="00793281">
        <w:t>period of time</w:t>
      </w:r>
      <w:r w:rsidR="00615F9A">
        <w:t>,</w:t>
      </w:r>
      <w:r w:rsidR="00615F9A" w:rsidRPr="008036FF">
        <w:rPr>
          <w:vertAlign w:val="superscript"/>
        </w:rPr>
        <w:footnoteReference w:id="23"/>
      </w:r>
      <w:r w:rsidR="00615F9A">
        <w:t xml:space="preserve"> </w:t>
      </w:r>
      <w:r w:rsidR="00793281" w:rsidRPr="00335526">
        <w:t>non</w:t>
      </w:r>
      <w:r w:rsidR="00793281">
        <w:t>-</w:t>
      </w:r>
      <w:r w:rsidR="00793281" w:rsidRPr="00335526">
        <w:t>communicable diseases</w:t>
      </w:r>
      <w:r w:rsidR="00793281" w:rsidDel="00793281">
        <w:t xml:space="preserve"> </w:t>
      </w:r>
      <w:r w:rsidR="008F140A">
        <w:t>and mental health</w:t>
      </w:r>
      <w:r w:rsidR="00793281">
        <w:t>-</w:t>
      </w:r>
      <w:r w:rsidR="008F140A">
        <w:t xml:space="preserve">related conditions </w:t>
      </w:r>
      <w:r w:rsidR="00462D70">
        <w:t xml:space="preserve">tend to have a particularly </w:t>
      </w:r>
      <w:r w:rsidR="008F140A">
        <w:t>detrimental</w:t>
      </w:r>
      <w:r w:rsidR="00462D70">
        <w:t xml:space="preserve"> </w:t>
      </w:r>
      <w:r w:rsidR="008F140A">
        <w:t>effect</w:t>
      </w:r>
      <w:r w:rsidR="00462D70">
        <w:t xml:space="preserve"> on </w:t>
      </w:r>
      <w:r w:rsidR="00615F9A" w:rsidRPr="008036FF">
        <w:t>household resources.</w:t>
      </w:r>
      <w:r w:rsidR="00615F9A" w:rsidRPr="009E050C">
        <w:rPr>
          <w:sz w:val="18"/>
          <w:szCs w:val="18"/>
          <w:vertAlign w:val="superscript"/>
        </w:rPr>
        <w:footnoteReference w:id="24"/>
      </w:r>
      <w:r w:rsidR="00615F9A" w:rsidRPr="008036FF">
        <w:t xml:space="preserve"> </w:t>
      </w:r>
      <w:r w:rsidR="00615F9A">
        <w:t>This i</w:t>
      </w:r>
      <w:r w:rsidR="008F140A">
        <w:t>mpact i</w:t>
      </w:r>
      <w:r w:rsidR="00615F9A">
        <w:t xml:space="preserve">s </w:t>
      </w:r>
      <w:r w:rsidR="008F140A">
        <w:t xml:space="preserve">most dramatic </w:t>
      </w:r>
      <w:r w:rsidR="00615F9A">
        <w:t xml:space="preserve">in </w:t>
      </w:r>
      <w:r w:rsidR="00793281">
        <w:t>l</w:t>
      </w:r>
      <w:r w:rsidR="0043614B">
        <w:t xml:space="preserve">ow- and </w:t>
      </w:r>
      <w:r w:rsidR="00793281">
        <w:t>m</w:t>
      </w:r>
      <w:r w:rsidR="0043614B">
        <w:t>iddle-</w:t>
      </w:r>
      <w:r w:rsidR="00793281">
        <w:t>i</w:t>
      </w:r>
      <w:r w:rsidR="0043614B">
        <w:t>ncome</w:t>
      </w:r>
      <w:r w:rsidR="007B6680">
        <w:t xml:space="preserve"> </w:t>
      </w:r>
      <w:r w:rsidR="00793281">
        <w:t>c</w:t>
      </w:r>
      <w:r w:rsidR="007B6680">
        <w:t>ountries</w:t>
      </w:r>
      <w:r w:rsidR="00457981">
        <w:t>,</w:t>
      </w:r>
      <w:r w:rsidR="00615F9A">
        <w:t xml:space="preserve"> where </w:t>
      </w:r>
      <w:r w:rsidR="00615F9A" w:rsidRPr="008036FF">
        <w:t>90 per</w:t>
      </w:r>
      <w:r w:rsidR="00457981">
        <w:t xml:space="preserve"> </w:t>
      </w:r>
      <w:r w:rsidR="00615F9A" w:rsidRPr="008036FF">
        <w:t>cent of the population</w:t>
      </w:r>
      <w:r w:rsidR="00CB4D01">
        <w:t xml:space="preserve"> </w:t>
      </w:r>
      <w:proofErr w:type="gramStart"/>
      <w:r w:rsidR="00CB4D01">
        <w:t>has to</w:t>
      </w:r>
      <w:proofErr w:type="gramEnd"/>
      <w:r w:rsidR="00615F9A" w:rsidRPr="008036FF">
        <w:t xml:space="preserve"> pay </w:t>
      </w:r>
      <w:r w:rsidR="00CB4D01">
        <w:t xml:space="preserve">full price </w:t>
      </w:r>
      <w:r w:rsidR="00457981">
        <w:t>for</w:t>
      </w:r>
      <w:r w:rsidR="00457981" w:rsidRPr="008036FF">
        <w:t xml:space="preserve"> </w:t>
      </w:r>
      <w:r w:rsidR="00615F9A" w:rsidRPr="008036FF">
        <w:t>medicines</w:t>
      </w:r>
      <w:r w:rsidR="00DB301D">
        <w:t xml:space="preserve"> </w:t>
      </w:r>
      <w:r w:rsidR="0051366D">
        <w:t>out-of-pocket</w:t>
      </w:r>
      <w:r w:rsidR="00615F9A" w:rsidRPr="008036FF">
        <w:t>.</w:t>
      </w:r>
      <w:r w:rsidR="00615F9A">
        <w:t xml:space="preserve"> </w:t>
      </w:r>
      <w:r w:rsidR="003C7605">
        <w:t>For many</w:t>
      </w:r>
      <w:r w:rsidR="008F140A">
        <w:t xml:space="preserve"> in such circumstances,</w:t>
      </w:r>
      <w:r w:rsidR="003C7605">
        <w:t xml:space="preserve"> </w:t>
      </w:r>
      <w:r w:rsidR="000B4F6F">
        <w:t>adequate treatment</w:t>
      </w:r>
      <w:r w:rsidR="00380061">
        <w:t>s are financially</w:t>
      </w:r>
      <w:r w:rsidR="003C7605">
        <w:t xml:space="preserve"> out of reach. Others are forced to adopt</w:t>
      </w:r>
      <w:r w:rsidR="000B4F6F">
        <w:t xml:space="preserve"> </w:t>
      </w:r>
      <w:r w:rsidR="00C76F93">
        <w:t xml:space="preserve">detrimental </w:t>
      </w:r>
      <w:r w:rsidR="000B4F6F">
        <w:t>coping strategies</w:t>
      </w:r>
      <w:r w:rsidR="003C7605">
        <w:t>,</w:t>
      </w:r>
      <w:r w:rsidR="000B4F6F">
        <w:t xml:space="preserve"> such as withdrawing children from school</w:t>
      </w:r>
      <w:r w:rsidR="003C7605">
        <w:t>,</w:t>
      </w:r>
      <w:r w:rsidR="000B4F6F">
        <w:t xml:space="preserve"> that </w:t>
      </w:r>
      <w:r w:rsidR="003C7605">
        <w:t>reinforce patterns of</w:t>
      </w:r>
      <w:r w:rsidR="000B4F6F">
        <w:t xml:space="preserve"> </w:t>
      </w:r>
      <w:r w:rsidR="000B4F6F" w:rsidRPr="008036FF">
        <w:t>intergenerational poverty.</w:t>
      </w:r>
      <w:r w:rsidR="000B4F6F" w:rsidRPr="009E050C">
        <w:rPr>
          <w:sz w:val="18"/>
          <w:szCs w:val="18"/>
          <w:vertAlign w:val="superscript"/>
        </w:rPr>
        <w:footnoteReference w:id="25"/>
      </w:r>
    </w:p>
    <w:p w14:paraId="1054612A" w14:textId="08994726" w:rsidR="000B4F6F" w:rsidRDefault="003C7605" w:rsidP="009E050C">
      <w:pPr>
        <w:pStyle w:val="SingleTxtG"/>
        <w:numPr>
          <w:ilvl w:val="0"/>
          <w:numId w:val="8"/>
        </w:numPr>
        <w:ind w:left="1134" w:firstLine="0"/>
      </w:pPr>
      <w:r>
        <w:t>C</w:t>
      </w:r>
      <w:r w:rsidR="000B4F6F">
        <w:t xml:space="preserve">hildren, women and girls, </w:t>
      </w:r>
      <w:r w:rsidR="000B4F6F" w:rsidRPr="00215DF5">
        <w:t xml:space="preserve">older persons, </w:t>
      </w:r>
      <w:r w:rsidR="00770EA6">
        <w:t>migrants, persons i</w:t>
      </w:r>
      <w:r w:rsidR="00380061">
        <w:t>n</w:t>
      </w:r>
      <w:r w:rsidR="00770EA6">
        <w:t xml:space="preserve"> </w:t>
      </w:r>
      <w:r w:rsidR="00EB0C91">
        <w:t>geographically</w:t>
      </w:r>
      <w:r w:rsidR="00770EA6">
        <w:t xml:space="preserve"> remote areas</w:t>
      </w:r>
      <w:r w:rsidR="00E15C3A">
        <w:t xml:space="preserve"> and</w:t>
      </w:r>
      <w:r w:rsidR="00770EA6">
        <w:t xml:space="preserve"> </w:t>
      </w:r>
      <w:r w:rsidR="000B4F6F" w:rsidRPr="00215DF5">
        <w:t>persons with disabilities</w:t>
      </w:r>
      <w:r w:rsidR="000B4F6F">
        <w:t xml:space="preserve"> </w:t>
      </w:r>
      <w:r>
        <w:t xml:space="preserve">are among </w:t>
      </w:r>
      <w:r w:rsidR="00E15C3A">
        <w:t>those who</w:t>
      </w:r>
      <w:r>
        <w:t xml:space="preserve"> are disproportionately affected</w:t>
      </w:r>
      <w:r w:rsidR="008F140A">
        <w:t xml:space="preserve"> by limitations on access to medicines</w:t>
      </w:r>
      <w:r w:rsidR="000B4F6F" w:rsidRPr="00215DF5">
        <w:t>.</w:t>
      </w:r>
      <w:r w:rsidR="00693B1E">
        <w:rPr>
          <w:rStyle w:val="FootnoteReference"/>
        </w:rPr>
        <w:footnoteReference w:id="26"/>
      </w:r>
      <w:r w:rsidR="000B4F6F" w:rsidRPr="00215DF5">
        <w:t xml:space="preserve"> </w:t>
      </w:r>
      <w:r w:rsidR="00770EA6">
        <w:t>Frequently,</w:t>
      </w:r>
      <w:r w:rsidR="000B4F6F" w:rsidRPr="00215DF5">
        <w:t xml:space="preserve"> </w:t>
      </w:r>
      <w:proofErr w:type="gramStart"/>
      <w:r w:rsidR="000B4F6F" w:rsidRPr="00215DF5">
        <w:t>intersectional</w:t>
      </w:r>
      <w:proofErr w:type="gramEnd"/>
      <w:r w:rsidR="000B4F6F" w:rsidRPr="00215DF5">
        <w:t xml:space="preserve"> and multiple discrimination has a compounded differential impact.</w:t>
      </w:r>
      <w:r w:rsidR="000B4F6F" w:rsidRPr="000B4F6F">
        <w:t xml:space="preserve"> </w:t>
      </w:r>
      <w:r w:rsidR="0027321C">
        <w:t>There are different factors that may impede directly or indirectly access to health services by</w:t>
      </w:r>
      <w:r w:rsidR="000B4F6F">
        <w:t xml:space="preserve"> </w:t>
      </w:r>
      <w:r w:rsidR="000B4F6F" w:rsidRPr="006E6654">
        <w:t xml:space="preserve">laws, </w:t>
      </w:r>
      <w:proofErr w:type="gramStart"/>
      <w:r w:rsidR="000B4F6F" w:rsidRPr="006E6654">
        <w:t>policies</w:t>
      </w:r>
      <w:proofErr w:type="gramEnd"/>
      <w:r w:rsidR="000B4F6F" w:rsidRPr="006E6654">
        <w:t xml:space="preserve"> and practices</w:t>
      </w:r>
      <w:r w:rsidR="0027321C">
        <w:t>, such as migration status, lack of nationality, criminalization affecting specific segments of the population, for example</w:t>
      </w:r>
      <w:r w:rsidR="000B4F6F" w:rsidRPr="00335526">
        <w:t xml:space="preserve"> LGBTIQ+ individuals and </w:t>
      </w:r>
      <w:r w:rsidR="006D3AF7">
        <w:t>persons</w:t>
      </w:r>
      <w:r w:rsidR="006D3AF7" w:rsidRPr="00335526">
        <w:t xml:space="preserve"> </w:t>
      </w:r>
      <w:r w:rsidR="000B4F6F" w:rsidRPr="00335526">
        <w:t>who use drugs.</w:t>
      </w:r>
      <w:r w:rsidR="000B4F6F" w:rsidRPr="009E050C">
        <w:rPr>
          <w:sz w:val="18"/>
          <w:szCs w:val="18"/>
          <w:vertAlign w:val="superscript"/>
        </w:rPr>
        <w:footnoteReference w:id="27"/>
      </w:r>
    </w:p>
    <w:p w14:paraId="2260D09E" w14:textId="69497070" w:rsidR="00770EA6" w:rsidRDefault="003C7605" w:rsidP="009E050C">
      <w:pPr>
        <w:pStyle w:val="SingleTxtG"/>
        <w:numPr>
          <w:ilvl w:val="0"/>
          <w:numId w:val="8"/>
        </w:numPr>
        <w:ind w:left="1134" w:firstLine="0"/>
      </w:pPr>
      <w:r>
        <w:t>Improving a</w:t>
      </w:r>
      <w:r w:rsidR="00335526" w:rsidRPr="00335526">
        <w:t>ccess</w:t>
      </w:r>
      <w:r w:rsidR="00196E16">
        <w:t xml:space="preserve"> to medicine</w:t>
      </w:r>
      <w:r w:rsidR="00631E4D">
        <w:t>s</w:t>
      </w:r>
      <w:r w:rsidR="00770EA6">
        <w:t>, vaccines and medical products</w:t>
      </w:r>
      <w:r w:rsidR="00335526" w:rsidRPr="00335526">
        <w:t xml:space="preserve"> is a multidimensional challenge</w:t>
      </w:r>
      <w:r w:rsidR="00380061">
        <w:t xml:space="preserve"> requiring </w:t>
      </w:r>
      <w:r w:rsidR="00196E16">
        <w:t xml:space="preserve">a set of </w:t>
      </w:r>
      <w:r w:rsidR="006D3AF7">
        <w:t xml:space="preserve">targeted </w:t>
      </w:r>
      <w:r w:rsidR="00196E16">
        <w:t>measures</w:t>
      </w:r>
      <w:r w:rsidR="006D3AF7">
        <w:t xml:space="preserve"> </w:t>
      </w:r>
      <w:r w:rsidR="00D268BF">
        <w:t xml:space="preserve">to address the specific challenges </w:t>
      </w:r>
      <w:r w:rsidR="006D3AF7">
        <w:t xml:space="preserve">that </w:t>
      </w:r>
      <w:r w:rsidR="00D268BF">
        <w:t>different groups</w:t>
      </w:r>
      <w:r w:rsidR="006D3AF7" w:rsidRPr="006D3AF7">
        <w:t xml:space="preserve"> </w:t>
      </w:r>
      <w:r w:rsidR="006D3AF7">
        <w:t>face</w:t>
      </w:r>
      <w:r w:rsidR="00770EA6">
        <w:t xml:space="preserve">. </w:t>
      </w:r>
      <w:r>
        <w:t xml:space="preserve">These </w:t>
      </w:r>
      <w:r w:rsidR="008A6103">
        <w:t>should</w:t>
      </w:r>
      <w:r w:rsidR="00770EA6">
        <w:t xml:space="preserve"> be complemented by </w:t>
      </w:r>
      <w:r w:rsidR="007D27C3">
        <w:t xml:space="preserve">other </w:t>
      </w:r>
      <w:r w:rsidR="00770EA6">
        <w:t xml:space="preserve">measures </w:t>
      </w:r>
      <w:r w:rsidR="00D268BF">
        <w:t>to addres</w:t>
      </w:r>
      <w:r w:rsidR="00770EA6">
        <w:t>s</w:t>
      </w:r>
      <w:r w:rsidR="00D268BF">
        <w:t xml:space="preserve"> systemic barriers. </w:t>
      </w:r>
      <w:r w:rsidR="00A3251F">
        <w:t xml:space="preserve">Ensuring access </w:t>
      </w:r>
      <w:r w:rsidR="004C0EA7">
        <w:t xml:space="preserve">to health products depends on </w:t>
      </w:r>
      <w:r w:rsidR="00440BDC">
        <w:t>the components of a</w:t>
      </w:r>
      <w:r w:rsidR="00840881">
        <w:t xml:space="preserve"> </w:t>
      </w:r>
      <w:r w:rsidR="00805724" w:rsidRPr="00335526">
        <w:t>well-functioning health sy</w:t>
      </w:r>
      <w:r w:rsidR="00805724">
        <w:t>stem</w:t>
      </w:r>
      <w:r w:rsidR="00A66F75">
        <w:t>.</w:t>
      </w:r>
      <w:r w:rsidR="00A15BF2">
        <w:rPr>
          <w:rStyle w:val="FootnoteReference"/>
        </w:rPr>
        <w:footnoteReference w:id="28"/>
      </w:r>
      <w:r w:rsidR="00A66F75">
        <w:t xml:space="preserve"> </w:t>
      </w:r>
      <w:r w:rsidR="00CE42CE">
        <w:t>It is also essential</w:t>
      </w:r>
      <w:r w:rsidR="00196E16">
        <w:t xml:space="preserve"> </w:t>
      </w:r>
      <w:r w:rsidR="005D2C19">
        <w:t xml:space="preserve">that </w:t>
      </w:r>
      <w:r w:rsidR="00335526" w:rsidRPr="00335526">
        <w:t xml:space="preserve">comprehensive national policies, </w:t>
      </w:r>
      <w:proofErr w:type="gramStart"/>
      <w:r w:rsidR="00335526" w:rsidRPr="00335526">
        <w:t>strategies</w:t>
      </w:r>
      <w:proofErr w:type="gramEnd"/>
      <w:r w:rsidR="00335526" w:rsidRPr="00335526">
        <w:t xml:space="preserve"> and regulatory frameworks cover the entire product life cycle</w:t>
      </w:r>
      <w:r w:rsidR="005D2C19">
        <w:t>,</w:t>
      </w:r>
      <w:r w:rsidR="00335526" w:rsidRPr="00335526">
        <w:t xml:space="preserve"> from </w:t>
      </w:r>
      <w:r w:rsidR="005D2C19">
        <w:t>research and development</w:t>
      </w:r>
      <w:r w:rsidR="00335526" w:rsidRPr="00335526">
        <w:t xml:space="preserve"> to quality assurance, supply chain management and us</w:t>
      </w:r>
      <w:r w:rsidR="00335526">
        <w:t>e.</w:t>
      </w:r>
      <w:r w:rsidR="00335526" w:rsidRPr="009E050C">
        <w:rPr>
          <w:sz w:val="18"/>
          <w:szCs w:val="18"/>
          <w:vertAlign w:val="superscript"/>
        </w:rPr>
        <w:footnoteReference w:id="29"/>
      </w:r>
      <w:r w:rsidR="00805724">
        <w:t xml:space="preserve"> </w:t>
      </w:r>
    </w:p>
    <w:p w14:paraId="6135E85D" w14:textId="5120EA7C" w:rsidR="00A60637" w:rsidRPr="00215DF5" w:rsidRDefault="00770EA6" w:rsidP="009E050C">
      <w:pPr>
        <w:pStyle w:val="SingleTxtG"/>
        <w:numPr>
          <w:ilvl w:val="0"/>
          <w:numId w:val="8"/>
        </w:numPr>
        <w:ind w:left="1134" w:firstLine="0"/>
      </w:pPr>
      <w:r>
        <w:t xml:space="preserve">The </w:t>
      </w:r>
      <w:r w:rsidRPr="00215DF5">
        <w:t xml:space="preserve">disproportionate impact </w:t>
      </w:r>
      <w:r>
        <w:t xml:space="preserve">of the </w:t>
      </w:r>
      <w:r w:rsidR="005D2C19">
        <w:t>coronavirus disease (</w:t>
      </w:r>
      <w:r>
        <w:t>COVID-19</w:t>
      </w:r>
      <w:r w:rsidR="005D2C19">
        <w:t>)</w:t>
      </w:r>
      <w:r>
        <w:t xml:space="preserve"> pandemic </w:t>
      </w:r>
      <w:r w:rsidRPr="00215DF5">
        <w:t xml:space="preserve">on </w:t>
      </w:r>
      <w:r w:rsidR="001F6DDB">
        <w:t>persons</w:t>
      </w:r>
      <w:r w:rsidR="001F6DDB" w:rsidRPr="00215DF5">
        <w:t xml:space="preserve"> </w:t>
      </w:r>
      <w:r w:rsidRPr="00215DF5">
        <w:t>in situations of vulnerability or marginalization</w:t>
      </w:r>
      <w:r>
        <w:rPr>
          <w:rStyle w:val="FootnoteReference"/>
        </w:rPr>
        <w:footnoteReference w:id="30"/>
      </w:r>
      <w:r>
        <w:t xml:space="preserve"> </w:t>
      </w:r>
      <w:r w:rsidR="001F6DDB">
        <w:t xml:space="preserve">reflects </w:t>
      </w:r>
      <w:r>
        <w:t>the urgency to move towards universal health systems that provide protection to all.</w:t>
      </w:r>
    </w:p>
    <w:p w14:paraId="2D1D7CB7" w14:textId="36F77595" w:rsidR="00335526" w:rsidRPr="001C4FDA" w:rsidRDefault="00CB1A02" w:rsidP="009E050C">
      <w:pPr>
        <w:pStyle w:val="SingleTxtG"/>
        <w:numPr>
          <w:ilvl w:val="0"/>
          <w:numId w:val="7"/>
        </w:numPr>
        <w:ind w:left="1134" w:hanging="505"/>
        <w:jc w:val="left"/>
        <w:rPr>
          <w:sz w:val="24"/>
          <w:szCs w:val="24"/>
        </w:rPr>
      </w:pPr>
      <w:r w:rsidRPr="001C4FDA">
        <w:rPr>
          <w:b/>
          <w:bCs/>
          <w:sz w:val="24"/>
          <w:szCs w:val="24"/>
        </w:rPr>
        <w:t>Group</w:t>
      </w:r>
      <w:r w:rsidR="008D3ECC">
        <w:rPr>
          <w:b/>
          <w:bCs/>
          <w:sz w:val="24"/>
          <w:szCs w:val="24"/>
        </w:rPr>
        <w:t>-</w:t>
      </w:r>
      <w:r w:rsidRPr="001C4FDA">
        <w:rPr>
          <w:b/>
          <w:bCs/>
          <w:sz w:val="24"/>
          <w:szCs w:val="24"/>
        </w:rPr>
        <w:t>s</w:t>
      </w:r>
      <w:r w:rsidR="00850866" w:rsidRPr="001C4FDA">
        <w:rPr>
          <w:b/>
          <w:bCs/>
          <w:sz w:val="24"/>
          <w:szCs w:val="24"/>
        </w:rPr>
        <w:t>pecific barriers</w:t>
      </w:r>
      <w:r w:rsidR="008D3ECC" w:rsidRPr="008D3ECC">
        <w:rPr>
          <w:b/>
          <w:bCs/>
          <w:sz w:val="24"/>
          <w:szCs w:val="24"/>
        </w:rPr>
        <w:t xml:space="preserve"> </w:t>
      </w:r>
      <w:r w:rsidR="008D3ECC">
        <w:rPr>
          <w:b/>
          <w:bCs/>
          <w:sz w:val="24"/>
          <w:szCs w:val="24"/>
        </w:rPr>
        <w:t xml:space="preserve">to </w:t>
      </w:r>
      <w:r w:rsidR="008D3ECC" w:rsidRPr="001C4FDA">
        <w:rPr>
          <w:b/>
          <w:bCs/>
          <w:sz w:val="24"/>
          <w:szCs w:val="24"/>
        </w:rPr>
        <w:t>access</w:t>
      </w:r>
    </w:p>
    <w:p w14:paraId="68371453" w14:textId="5102847E" w:rsidR="00712536" w:rsidRDefault="008D3ECC" w:rsidP="009E050C">
      <w:pPr>
        <w:pStyle w:val="SingleTxtG"/>
        <w:numPr>
          <w:ilvl w:val="0"/>
          <w:numId w:val="8"/>
        </w:numPr>
        <w:ind w:left="1134" w:firstLine="0"/>
      </w:pPr>
      <w:r>
        <w:t xml:space="preserve">The </w:t>
      </w:r>
      <w:r w:rsidR="00803557">
        <w:t xml:space="preserve">section </w:t>
      </w:r>
      <w:r>
        <w:t xml:space="preserve">below </w:t>
      </w:r>
      <w:r w:rsidR="000A734C" w:rsidRPr="000A734C">
        <w:t>draws from submissions</w:t>
      </w:r>
      <w:r w:rsidR="00803557">
        <w:t xml:space="preserve"> </w:t>
      </w:r>
      <w:r w:rsidR="000A734C" w:rsidRPr="000A734C">
        <w:t xml:space="preserve">by various stakeholders and </w:t>
      </w:r>
      <w:r w:rsidR="006B14E6">
        <w:t xml:space="preserve">the </w:t>
      </w:r>
      <w:r w:rsidR="000A734C" w:rsidRPr="000A734C">
        <w:t xml:space="preserve">expert workshops organized to </w:t>
      </w:r>
      <w:r w:rsidR="006B14E6">
        <w:t xml:space="preserve">form the analysis of </w:t>
      </w:r>
      <w:r w:rsidR="00BC7CDD">
        <w:t xml:space="preserve">the present </w:t>
      </w:r>
      <w:r w:rsidR="00803557">
        <w:t xml:space="preserve">report. </w:t>
      </w:r>
      <w:r w:rsidR="00CF2883" w:rsidRPr="00CF2883">
        <w:t xml:space="preserve">It </w:t>
      </w:r>
      <w:r w:rsidR="00D74C55" w:rsidRPr="00CF2883">
        <w:t>centres</w:t>
      </w:r>
      <w:r w:rsidR="00CF2883" w:rsidRPr="00CF2883">
        <w:t xml:space="preserve"> on how </w:t>
      </w:r>
      <w:r w:rsidR="00BC7CDD" w:rsidRPr="00CF2883">
        <w:t xml:space="preserve">barriers </w:t>
      </w:r>
      <w:r w:rsidR="00BC7CDD">
        <w:t xml:space="preserve">to </w:t>
      </w:r>
      <w:r w:rsidR="00CF2883" w:rsidRPr="00CF2883">
        <w:t xml:space="preserve">access affect particular populations and groups in vulnerable and marginalized </w:t>
      </w:r>
      <w:r w:rsidR="00D74C55">
        <w:t>situations</w:t>
      </w:r>
      <w:r w:rsidR="00BC7CDD">
        <w:t>, including,</w:t>
      </w:r>
      <w:r w:rsidR="00213C30">
        <w:t xml:space="preserve"> </w:t>
      </w:r>
      <w:r w:rsidR="00CF2883" w:rsidRPr="00CF2883">
        <w:t>but not limited to</w:t>
      </w:r>
      <w:r w:rsidR="00CF2883">
        <w:t>,</w:t>
      </w:r>
      <w:r w:rsidR="00CF2883" w:rsidRPr="00CF2883">
        <w:t xml:space="preserve"> children, women and girls, older individuals, and persons with disabilities, such as those with albinism, among others.</w:t>
      </w:r>
    </w:p>
    <w:p w14:paraId="27E4C4FC" w14:textId="3CA55CDC" w:rsidR="00662E11" w:rsidRPr="00FE609F" w:rsidRDefault="00662E11" w:rsidP="009E050C">
      <w:pPr>
        <w:pStyle w:val="H23G"/>
        <w:spacing w:line="240" w:lineRule="atLeast"/>
      </w:pPr>
      <w:r w:rsidRPr="00FE609F">
        <w:tab/>
      </w:r>
      <w:r w:rsidR="0065722D">
        <w:t>1.</w:t>
      </w:r>
      <w:r w:rsidRPr="00FE609F">
        <w:tab/>
      </w:r>
      <w:r w:rsidRPr="00662E11">
        <w:tab/>
      </w:r>
      <w:r>
        <w:t>Children</w:t>
      </w:r>
    </w:p>
    <w:p w14:paraId="375DAA98" w14:textId="34A765ED" w:rsidR="00662E11" w:rsidRDefault="00662E11" w:rsidP="009E050C">
      <w:pPr>
        <w:pStyle w:val="SingleTxtG"/>
        <w:numPr>
          <w:ilvl w:val="0"/>
          <w:numId w:val="11"/>
        </w:numPr>
        <w:ind w:left="1134" w:firstLine="0"/>
      </w:pPr>
      <w:r w:rsidRPr="00662E11">
        <w:t xml:space="preserve">Children are susceptible to many illnesses that affect adults, yet only a small fraction of medicines intended for adults have undergone </w:t>
      </w:r>
      <w:r w:rsidR="004D0C37">
        <w:t xml:space="preserve">an </w:t>
      </w:r>
      <w:r w:rsidRPr="00662E11">
        <w:t>assessment for effectiveness, appropriate dosing and tolerability in paediatric populations.</w:t>
      </w:r>
      <w:r w:rsidRPr="009E050C">
        <w:rPr>
          <w:sz w:val="18"/>
          <w:szCs w:val="18"/>
          <w:vertAlign w:val="superscript"/>
        </w:rPr>
        <w:footnoteReference w:id="31"/>
      </w:r>
      <w:r w:rsidRPr="00662E11">
        <w:t xml:space="preserve"> </w:t>
      </w:r>
      <w:r w:rsidR="002A6EBC">
        <w:t>According to s</w:t>
      </w:r>
      <w:r w:rsidR="00146330">
        <w:t>ome submissions</w:t>
      </w:r>
      <w:r w:rsidR="002A6EBC">
        <w:t>,</w:t>
      </w:r>
      <w:r w:rsidR="00146330">
        <w:t xml:space="preserve"> the e</w:t>
      </w:r>
      <w:r w:rsidR="0080233F">
        <w:t xml:space="preserve">xclusion of </w:t>
      </w:r>
      <w:r w:rsidRPr="00662E11">
        <w:t>children from trials and licens</w:t>
      </w:r>
      <w:r w:rsidR="002A6EBC">
        <w:t>ing</w:t>
      </w:r>
      <w:r w:rsidRPr="00662E11">
        <w:t xml:space="preserve"> of development of medicines and vaccines</w:t>
      </w:r>
      <w:r w:rsidR="002A6EBC">
        <w:t>, and</w:t>
      </w:r>
      <w:r w:rsidR="0080233F">
        <w:t xml:space="preserve"> limited public and private investment in </w:t>
      </w:r>
      <w:r w:rsidR="002A6EBC">
        <w:t>r</w:t>
      </w:r>
      <w:r w:rsidR="00C0141F">
        <w:t xml:space="preserve">esearch and </w:t>
      </w:r>
      <w:r w:rsidR="002A6EBC">
        <w:t>d</w:t>
      </w:r>
      <w:r w:rsidR="00C0141F">
        <w:t xml:space="preserve">evelopment </w:t>
      </w:r>
      <w:r w:rsidR="0080233F">
        <w:t>for children’s medicines</w:t>
      </w:r>
      <w:r w:rsidR="002A6EBC">
        <w:t>,</w:t>
      </w:r>
      <w:r w:rsidR="0080233F">
        <w:t xml:space="preserve"> </w:t>
      </w:r>
      <w:r w:rsidR="00146330">
        <w:t xml:space="preserve">may make availability of medicines </w:t>
      </w:r>
      <w:r w:rsidR="0080233F">
        <w:t>particular</w:t>
      </w:r>
      <w:r w:rsidR="0040486A">
        <w:t>ly</w:t>
      </w:r>
      <w:r w:rsidR="0080233F">
        <w:t xml:space="preserve"> </w:t>
      </w:r>
      <w:r w:rsidRPr="00662E11">
        <w:t>challeng</w:t>
      </w:r>
      <w:r w:rsidR="0040486A">
        <w:t>ing</w:t>
      </w:r>
      <w:r w:rsidRPr="00662E11">
        <w:t xml:space="preserve"> for this population group.</w:t>
      </w:r>
      <w:r w:rsidRPr="009E050C">
        <w:rPr>
          <w:sz w:val="18"/>
          <w:szCs w:val="18"/>
          <w:vertAlign w:val="superscript"/>
        </w:rPr>
        <w:footnoteReference w:id="32"/>
      </w:r>
      <w:r w:rsidRPr="00662E11">
        <w:t xml:space="preserve"> </w:t>
      </w:r>
    </w:p>
    <w:p w14:paraId="312E3225" w14:textId="23AAE34F" w:rsidR="00662E11" w:rsidRPr="00662E11" w:rsidRDefault="00662E11" w:rsidP="009E050C">
      <w:pPr>
        <w:pStyle w:val="SingleTxtG"/>
        <w:numPr>
          <w:ilvl w:val="0"/>
          <w:numId w:val="11"/>
        </w:numPr>
        <w:ind w:left="1134" w:firstLine="0"/>
      </w:pPr>
      <w:r w:rsidRPr="00662E11">
        <w:t>In some countries, there are no paediatric formulations for many approved drugs, which results in difficulties in pharmacotherapy.</w:t>
      </w:r>
      <w:r w:rsidRPr="009E050C">
        <w:rPr>
          <w:sz w:val="18"/>
          <w:szCs w:val="18"/>
          <w:vertAlign w:val="superscript"/>
        </w:rPr>
        <w:footnoteReference w:id="33"/>
      </w:r>
      <w:r w:rsidRPr="00662E11">
        <w:t xml:space="preserve"> For example, tuberculosis diagnostic tests available for adults are not adapted to children, anti-</w:t>
      </w:r>
      <w:r w:rsidR="006B2EBC">
        <w:t>tuberculosis</w:t>
      </w:r>
      <w:r w:rsidRPr="00662E11">
        <w:t xml:space="preserve"> medicine do</w:t>
      </w:r>
      <w:r w:rsidR="007E298C">
        <w:t>es</w:t>
      </w:r>
      <w:r w:rsidRPr="00662E11">
        <w:t xml:space="preserve"> not have suitable formulations for children</w:t>
      </w:r>
      <w:r w:rsidR="006B2EBC">
        <w:t>,</w:t>
      </w:r>
      <w:r w:rsidRPr="009E050C">
        <w:rPr>
          <w:sz w:val="18"/>
          <w:szCs w:val="18"/>
          <w:vertAlign w:val="superscript"/>
        </w:rPr>
        <w:footnoteReference w:id="34"/>
      </w:r>
      <w:r w:rsidRPr="00662E11">
        <w:t xml:space="preserve"> and there are wide disparities between children and adults in global </w:t>
      </w:r>
      <w:r w:rsidR="008E6BFF" w:rsidRPr="00662E11">
        <w:t xml:space="preserve">responses </w:t>
      </w:r>
      <w:r w:rsidR="008E6BFF">
        <w:t xml:space="preserve">to </w:t>
      </w:r>
      <w:r w:rsidRPr="00662E11">
        <w:t xml:space="preserve">HIV and </w:t>
      </w:r>
      <w:r w:rsidR="008E6BFF">
        <w:t>tuberculosis</w:t>
      </w:r>
      <w:r w:rsidRPr="00662E11">
        <w:t xml:space="preserve">. </w:t>
      </w:r>
      <w:r w:rsidRPr="00F33E2D">
        <w:t>According to 2022</w:t>
      </w:r>
      <w:r w:rsidRPr="00662E11">
        <w:t xml:space="preserve"> data, only 57</w:t>
      </w:r>
      <w:r>
        <w:t xml:space="preserve"> per</w:t>
      </w:r>
      <w:r w:rsidR="00D13BBD">
        <w:t xml:space="preserve"> </w:t>
      </w:r>
      <w:r>
        <w:t xml:space="preserve">cent </w:t>
      </w:r>
      <w:r w:rsidRPr="00662E11">
        <w:t xml:space="preserve">of children under </w:t>
      </w:r>
      <w:r w:rsidR="007E298C">
        <w:t xml:space="preserve">the </w:t>
      </w:r>
      <w:r w:rsidRPr="00662E11">
        <w:t>age</w:t>
      </w:r>
      <w:r w:rsidR="007E298C">
        <w:t xml:space="preserve"> of</w:t>
      </w:r>
      <w:r w:rsidRPr="00662E11">
        <w:t xml:space="preserve"> 15 living with HIV had access to treatment compared with 77</w:t>
      </w:r>
      <w:r>
        <w:t xml:space="preserve"> per</w:t>
      </w:r>
      <w:r w:rsidR="00D13BBD">
        <w:t xml:space="preserve"> </w:t>
      </w:r>
      <w:r>
        <w:t>cent</w:t>
      </w:r>
      <w:r w:rsidRPr="00662E11">
        <w:t xml:space="preserve"> among adults.</w:t>
      </w:r>
      <w:r w:rsidRPr="009E050C">
        <w:rPr>
          <w:sz w:val="18"/>
          <w:szCs w:val="18"/>
          <w:vertAlign w:val="superscript"/>
        </w:rPr>
        <w:footnoteReference w:id="35"/>
      </w:r>
      <w:r w:rsidRPr="009E050C">
        <w:rPr>
          <w:sz w:val="18"/>
          <w:szCs w:val="18"/>
        </w:rPr>
        <w:t xml:space="preserve"> </w:t>
      </w:r>
    </w:p>
    <w:p w14:paraId="544677FA" w14:textId="0141B494" w:rsidR="00662E11" w:rsidRPr="00662E11" w:rsidRDefault="00662E11" w:rsidP="009E050C">
      <w:pPr>
        <w:pStyle w:val="SingleTxtG"/>
        <w:numPr>
          <w:ilvl w:val="0"/>
          <w:numId w:val="11"/>
        </w:numPr>
        <w:ind w:left="1134" w:firstLine="0"/>
      </w:pPr>
      <w:r w:rsidRPr="00662E11">
        <w:t>Further challenges include stigma and discrimination in health</w:t>
      </w:r>
      <w:r w:rsidR="007D28C6">
        <w:t>-</w:t>
      </w:r>
      <w:r w:rsidRPr="00662E11">
        <w:t xml:space="preserve">care settings, and within the community and the family, which act as </w:t>
      </w:r>
      <w:r w:rsidR="007D28C6">
        <w:t xml:space="preserve">a </w:t>
      </w:r>
      <w:r w:rsidRPr="00662E11">
        <w:t>barrier to children’s access to the medicines, vaccines and other health products they need.</w:t>
      </w:r>
      <w:r w:rsidRPr="009E050C">
        <w:rPr>
          <w:sz w:val="18"/>
          <w:szCs w:val="18"/>
          <w:vertAlign w:val="superscript"/>
        </w:rPr>
        <w:footnoteReference w:id="36"/>
      </w:r>
      <w:r w:rsidRPr="00662E11">
        <w:t xml:space="preserve"> Some households may </w:t>
      </w:r>
      <w:r w:rsidR="0080233F">
        <w:t>prioritize</w:t>
      </w:r>
      <w:r w:rsidRPr="00662E11">
        <w:t xml:space="preserve"> the treatment of an employed family member over that of </w:t>
      </w:r>
      <w:r w:rsidR="0080233F">
        <w:t>those who</w:t>
      </w:r>
      <w:r w:rsidRPr="00662E11">
        <w:t xml:space="preserve"> do not contribute financially.</w:t>
      </w:r>
      <w:r w:rsidRPr="009E050C">
        <w:rPr>
          <w:sz w:val="18"/>
          <w:szCs w:val="18"/>
          <w:vertAlign w:val="superscript"/>
        </w:rPr>
        <w:footnoteReference w:id="37"/>
      </w:r>
      <w:r w:rsidRPr="00662E11">
        <w:t xml:space="preserve"> Children may lack access to support services and caregivers necessary to complete health treatment schemes.</w:t>
      </w:r>
      <w:r w:rsidRPr="009E050C">
        <w:rPr>
          <w:sz w:val="18"/>
          <w:szCs w:val="18"/>
          <w:vertAlign w:val="superscript"/>
        </w:rPr>
        <w:footnoteReference w:id="38"/>
      </w:r>
      <w:r w:rsidRPr="00662E11">
        <w:t xml:space="preserve"> In addition, children and caregivers </w:t>
      </w:r>
      <w:r w:rsidR="00F81F69">
        <w:t>should receive</w:t>
      </w:r>
      <w:r w:rsidRPr="00662E11">
        <w:t xml:space="preserve"> sufficient health-related education and information about treatment</w:t>
      </w:r>
      <w:r w:rsidR="0080233F">
        <w:t>s</w:t>
      </w:r>
      <w:r w:rsidRPr="00662E11">
        <w:t xml:space="preserve"> to help </w:t>
      </w:r>
      <w:r w:rsidR="00F81F69">
        <w:t xml:space="preserve">to </w:t>
      </w:r>
      <w:r w:rsidRPr="00662E11">
        <w:t xml:space="preserve">promote adherence </w:t>
      </w:r>
      <w:r w:rsidR="0080233F">
        <w:t xml:space="preserve">to treatment programmes </w:t>
      </w:r>
      <w:r w:rsidRPr="00662E11">
        <w:t xml:space="preserve">and </w:t>
      </w:r>
      <w:r w:rsidR="0080233F">
        <w:t xml:space="preserve">secure </w:t>
      </w:r>
      <w:r w:rsidRPr="00662E11">
        <w:t>long-term health outcomes.</w:t>
      </w:r>
      <w:r w:rsidRPr="009E050C">
        <w:rPr>
          <w:sz w:val="18"/>
          <w:szCs w:val="18"/>
          <w:vertAlign w:val="superscript"/>
        </w:rPr>
        <w:footnoteReference w:id="39"/>
      </w:r>
    </w:p>
    <w:p w14:paraId="2E23A103" w14:textId="7925BFBD" w:rsidR="00662E11" w:rsidRDefault="00C61575" w:rsidP="009E050C">
      <w:pPr>
        <w:pStyle w:val="SingleTxtG"/>
        <w:numPr>
          <w:ilvl w:val="0"/>
          <w:numId w:val="11"/>
        </w:numPr>
        <w:ind w:left="1134" w:firstLine="0"/>
      </w:pPr>
      <w:r>
        <w:t>The United Nations children’s Fund (</w:t>
      </w:r>
      <w:r w:rsidR="00662E11" w:rsidRPr="00662E11">
        <w:t>UNICEF</w:t>
      </w:r>
      <w:r>
        <w:t>)</w:t>
      </w:r>
      <w:r w:rsidR="00662E11" w:rsidRPr="00662E11">
        <w:t xml:space="preserve"> estimates</w:t>
      </w:r>
      <w:r w:rsidR="001A15FF">
        <w:t xml:space="preserve"> that</w:t>
      </w:r>
      <w:r w:rsidR="00662E11" w:rsidRPr="00662E11">
        <w:t xml:space="preserve"> 67 million children missed out entirely or partially on routine immunization from 2019 to 2021</w:t>
      </w:r>
      <w:r w:rsidR="00F33E2D">
        <w:t xml:space="preserve"> during the COVID-19 pandemic</w:t>
      </w:r>
      <w:r w:rsidR="00662E11" w:rsidRPr="00662E11">
        <w:t>.</w:t>
      </w:r>
      <w:r w:rsidR="00662E11" w:rsidRPr="009E050C">
        <w:rPr>
          <w:sz w:val="18"/>
          <w:szCs w:val="18"/>
          <w:vertAlign w:val="superscript"/>
        </w:rPr>
        <w:footnoteReference w:id="40"/>
      </w:r>
      <w:r w:rsidR="00662E11" w:rsidRPr="00662E11">
        <w:t xml:space="preserve"> </w:t>
      </w:r>
      <w:r w:rsidR="00F33E2D">
        <w:t>I</w:t>
      </w:r>
      <w:r w:rsidR="00662E11" w:rsidRPr="0074143C">
        <w:t>n</w:t>
      </w:r>
      <w:r w:rsidR="00662E11" w:rsidRPr="00662E11">
        <w:t xml:space="preserve"> many countries, millions of children have passed the age of </w:t>
      </w:r>
      <w:r w:rsidR="00250580">
        <w:t xml:space="preserve">the </w:t>
      </w:r>
      <w:r w:rsidR="00662E11" w:rsidRPr="00662E11">
        <w:t>routine vaccination schedule set by WHO and are at a high risk of contracting life-threatening diseases that could be prevented by vaccines, including measles, diphtheria or pneumonia.</w:t>
      </w:r>
      <w:r w:rsidR="00662E11" w:rsidRPr="009E050C">
        <w:rPr>
          <w:sz w:val="18"/>
          <w:szCs w:val="18"/>
          <w:vertAlign w:val="superscript"/>
        </w:rPr>
        <w:footnoteReference w:id="41"/>
      </w:r>
    </w:p>
    <w:p w14:paraId="6B0DA6B8" w14:textId="22F7C705" w:rsidR="00D966AA" w:rsidRDefault="001A308C" w:rsidP="009E050C">
      <w:pPr>
        <w:pStyle w:val="SingleTxtG"/>
        <w:numPr>
          <w:ilvl w:val="0"/>
          <w:numId w:val="11"/>
        </w:numPr>
        <w:ind w:left="1134" w:firstLine="0"/>
      </w:pPr>
      <w:r>
        <w:t>A</w:t>
      </w:r>
      <w:r w:rsidRPr="006F2E1C">
        <w:t>pproximately 300 million</w:t>
      </w:r>
      <w:r w:rsidRPr="006F2E1C" w:rsidDel="00C36899">
        <w:t xml:space="preserve"> </w:t>
      </w:r>
      <w:r>
        <w:t>people</w:t>
      </w:r>
      <w:r w:rsidRPr="006F2E1C">
        <w:t xml:space="preserve"> worldwide </w:t>
      </w:r>
      <w:r w:rsidR="00A22344">
        <w:t>have</w:t>
      </w:r>
      <w:r w:rsidRPr="006F2E1C">
        <w:t xml:space="preserve"> a rare disease</w:t>
      </w:r>
      <w:r w:rsidR="007603F2">
        <w:t>,</w:t>
      </w:r>
      <w:r w:rsidRPr="009E050C">
        <w:rPr>
          <w:sz w:val="18"/>
          <w:szCs w:val="18"/>
          <w:vertAlign w:val="superscript"/>
        </w:rPr>
        <w:footnoteReference w:id="42"/>
      </w:r>
      <w:r w:rsidRPr="009E050C">
        <w:rPr>
          <w:sz w:val="18"/>
          <w:szCs w:val="18"/>
        </w:rPr>
        <w:t xml:space="preserve"> </w:t>
      </w:r>
      <w:r w:rsidRPr="006F2E1C">
        <w:t>80 per</w:t>
      </w:r>
      <w:r w:rsidR="003C375D">
        <w:t xml:space="preserve"> </w:t>
      </w:r>
      <w:r w:rsidRPr="006F2E1C">
        <w:t xml:space="preserve">cent </w:t>
      </w:r>
      <w:r>
        <w:t xml:space="preserve">of </w:t>
      </w:r>
      <w:r w:rsidR="00753AE5">
        <w:t>which are</w:t>
      </w:r>
      <w:r w:rsidRPr="006F2E1C">
        <w:t xml:space="preserve"> genetic</w:t>
      </w:r>
      <w:r w:rsidRPr="009E050C">
        <w:rPr>
          <w:sz w:val="18"/>
          <w:szCs w:val="18"/>
          <w:vertAlign w:val="superscript"/>
        </w:rPr>
        <w:footnoteReference w:id="43"/>
      </w:r>
      <w:r w:rsidR="0093687C" w:rsidRPr="009E050C">
        <w:rPr>
          <w:sz w:val="18"/>
          <w:szCs w:val="18"/>
        </w:rPr>
        <w:t xml:space="preserve"> </w:t>
      </w:r>
      <w:r w:rsidR="0093687C">
        <w:t xml:space="preserve">and </w:t>
      </w:r>
      <w:r w:rsidR="00743804">
        <w:t>70</w:t>
      </w:r>
      <w:r w:rsidR="009D0208">
        <w:t xml:space="preserve"> per</w:t>
      </w:r>
      <w:r w:rsidR="003C375D">
        <w:t xml:space="preserve"> </w:t>
      </w:r>
      <w:r w:rsidR="009D0208">
        <w:t>cent</w:t>
      </w:r>
      <w:r w:rsidR="00743804">
        <w:t xml:space="preserve"> </w:t>
      </w:r>
      <w:r w:rsidR="000F65EE">
        <w:t xml:space="preserve">starting in </w:t>
      </w:r>
      <w:r w:rsidR="00D93CA5">
        <w:t>childhood.</w:t>
      </w:r>
      <w:r w:rsidR="00D93CA5">
        <w:rPr>
          <w:rStyle w:val="FootnoteReference"/>
        </w:rPr>
        <w:footnoteReference w:id="44"/>
      </w:r>
      <w:r w:rsidR="00D93CA5">
        <w:t xml:space="preserve"> </w:t>
      </w:r>
      <w:r w:rsidR="00BE53D1" w:rsidRPr="00CB34D8">
        <w:t>While 50 per</w:t>
      </w:r>
      <w:r w:rsidR="00753AE5">
        <w:t xml:space="preserve"> </w:t>
      </w:r>
      <w:r w:rsidR="00BE53D1" w:rsidRPr="00CB34D8">
        <w:t xml:space="preserve">cent of </w:t>
      </w:r>
      <w:r w:rsidR="00BE53D1">
        <w:t>these diseases</w:t>
      </w:r>
      <w:r w:rsidR="00BE53D1" w:rsidRPr="00CB34D8">
        <w:t xml:space="preserve"> disproportionately affect children, </w:t>
      </w:r>
      <w:r w:rsidR="00BE53D1">
        <w:t xml:space="preserve">around </w:t>
      </w:r>
      <w:r w:rsidR="00BE53D1" w:rsidRPr="00CB34D8">
        <w:t>30 per</w:t>
      </w:r>
      <w:r w:rsidR="00753AE5">
        <w:t xml:space="preserve"> </w:t>
      </w:r>
      <w:r w:rsidR="00BE53D1" w:rsidRPr="00CB34D8">
        <w:t xml:space="preserve">cent of </w:t>
      </w:r>
      <w:r w:rsidR="00BE53D1">
        <w:t xml:space="preserve">affected </w:t>
      </w:r>
      <w:r w:rsidR="00BE53D1" w:rsidRPr="00CB34D8">
        <w:t xml:space="preserve">children </w:t>
      </w:r>
      <w:r w:rsidR="00BE53D1">
        <w:t>may not survive past</w:t>
      </w:r>
      <w:r w:rsidR="00753AE5">
        <w:t xml:space="preserve"> the</w:t>
      </w:r>
      <w:r w:rsidR="00BE53D1">
        <w:t xml:space="preserve"> age</w:t>
      </w:r>
      <w:r w:rsidR="00753AE5">
        <w:t xml:space="preserve"> of</w:t>
      </w:r>
      <w:r w:rsidR="00BE53D1">
        <w:t xml:space="preserve"> 5</w:t>
      </w:r>
      <w:r w:rsidR="00517DCD">
        <w:t xml:space="preserve"> years</w:t>
      </w:r>
      <w:r w:rsidR="009D0208" w:rsidRPr="00480CB7">
        <w:t>.</w:t>
      </w:r>
      <w:r w:rsidR="00784FC3">
        <w:rPr>
          <w:rStyle w:val="FootnoteReference"/>
        </w:rPr>
        <w:footnoteReference w:id="45"/>
      </w:r>
      <w:r w:rsidR="00E143D1">
        <w:rPr>
          <w:color w:val="222222"/>
          <w:shd w:val="clear" w:color="auto" w:fill="FFFFFF"/>
        </w:rPr>
        <w:t xml:space="preserve"> </w:t>
      </w:r>
      <w:r w:rsidR="008637DC" w:rsidRPr="008637DC">
        <w:rPr>
          <w:color w:val="222222"/>
          <w:shd w:val="clear" w:color="auto" w:fill="FFFFFF"/>
        </w:rPr>
        <w:t>Rare diseases are plagued by marginalization and chronic underinvestment in research and development, culminating in inadequate treatment options</w:t>
      </w:r>
      <w:r w:rsidR="00E143D1">
        <w:rPr>
          <w:color w:val="222222"/>
          <w:shd w:val="clear" w:color="auto" w:fill="FFFFFF"/>
        </w:rPr>
        <w:t>,</w:t>
      </w:r>
      <w:r w:rsidR="00D966AA" w:rsidRPr="009E050C">
        <w:rPr>
          <w:rStyle w:val="FootnoteReference"/>
          <w:szCs w:val="18"/>
        </w:rPr>
        <w:footnoteReference w:id="46"/>
      </w:r>
      <w:r w:rsidR="00D966AA" w:rsidRPr="009E050C">
        <w:rPr>
          <w:sz w:val="18"/>
          <w:szCs w:val="18"/>
        </w:rPr>
        <w:t xml:space="preserve"> </w:t>
      </w:r>
      <w:r w:rsidR="008637DC">
        <w:t xml:space="preserve">with </w:t>
      </w:r>
      <w:r w:rsidR="00A13966">
        <w:t>c</w:t>
      </w:r>
      <w:r w:rsidR="00D966AA">
        <w:t xml:space="preserve">hildren </w:t>
      </w:r>
      <w:r w:rsidR="00D966AA" w:rsidRPr="00CB34D8">
        <w:t>b</w:t>
      </w:r>
      <w:r w:rsidR="00A13966">
        <w:t>earing</w:t>
      </w:r>
      <w:r w:rsidR="00D966AA" w:rsidRPr="00CB34D8">
        <w:t xml:space="preserve"> the brunt. </w:t>
      </w:r>
      <w:r w:rsidR="00D966AA">
        <w:t>Children</w:t>
      </w:r>
      <w:r w:rsidR="00D966AA" w:rsidRPr="00CB34D8">
        <w:t xml:space="preserve"> with rare diseases continue to face marginali</w:t>
      </w:r>
      <w:r w:rsidR="00FA39DD">
        <w:t>z</w:t>
      </w:r>
      <w:r w:rsidR="00D966AA" w:rsidRPr="00CB34D8">
        <w:t>ation and lack of access to treatment due to inadequate development of diagnostics, therapies and treatments, resulting in elevated costs</w:t>
      </w:r>
      <w:r w:rsidR="00A53C6E">
        <w:t>.</w:t>
      </w:r>
      <w:r w:rsidR="00D966AA" w:rsidRPr="009E050C">
        <w:rPr>
          <w:sz w:val="18"/>
          <w:szCs w:val="18"/>
          <w:vertAlign w:val="superscript"/>
        </w:rPr>
        <w:footnoteReference w:id="47"/>
      </w:r>
      <w:r w:rsidR="00D966AA" w:rsidRPr="00CB34D8">
        <w:t xml:space="preserve"> </w:t>
      </w:r>
      <w:r w:rsidR="00A53C6E">
        <w:t xml:space="preserve">Even </w:t>
      </w:r>
      <w:r w:rsidR="00FA39DD">
        <w:t xml:space="preserve">the </w:t>
      </w:r>
      <w:r w:rsidR="00D966AA" w:rsidRPr="00CB34D8">
        <w:t xml:space="preserve">experimental treatment available </w:t>
      </w:r>
      <w:r w:rsidR="00822D3E">
        <w:t>is</w:t>
      </w:r>
      <w:r w:rsidR="00822D3E" w:rsidRPr="00CB34D8">
        <w:t xml:space="preserve"> </w:t>
      </w:r>
      <w:r w:rsidR="00D966AA" w:rsidRPr="00CB34D8">
        <w:t xml:space="preserve">focused </w:t>
      </w:r>
      <w:r w:rsidR="00822D3E" w:rsidRPr="00CB34D8">
        <w:t xml:space="preserve">mainly </w:t>
      </w:r>
      <w:r w:rsidR="00D966AA" w:rsidRPr="00CB34D8">
        <w:t>on adults.</w:t>
      </w:r>
      <w:r w:rsidR="00D966AA" w:rsidRPr="009E050C">
        <w:rPr>
          <w:rStyle w:val="FootnoteReference"/>
          <w:szCs w:val="18"/>
        </w:rPr>
        <w:footnoteReference w:id="48"/>
      </w:r>
      <w:r w:rsidR="00D966AA" w:rsidRPr="00CB34D8">
        <w:rPr>
          <w:vertAlign w:val="superscript"/>
        </w:rPr>
        <w:t xml:space="preserve"> </w:t>
      </w:r>
      <w:r w:rsidR="00C64237">
        <w:t xml:space="preserve">The </w:t>
      </w:r>
      <w:r w:rsidR="00D966AA" w:rsidRPr="00CB34D8">
        <w:t xml:space="preserve">cost of medicines </w:t>
      </w:r>
      <w:r w:rsidR="00C64237">
        <w:t xml:space="preserve">in developing countries </w:t>
      </w:r>
      <w:r w:rsidR="00D966AA" w:rsidRPr="00CB34D8">
        <w:t>often prevent</w:t>
      </w:r>
      <w:r w:rsidR="00D966AA">
        <w:t xml:space="preserve">s </w:t>
      </w:r>
      <w:r w:rsidR="00D966AA" w:rsidRPr="00CB34D8">
        <w:t>children with rare diseases</w:t>
      </w:r>
      <w:r w:rsidR="00D966AA">
        <w:t xml:space="preserve"> from access </w:t>
      </w:r>
      <w:r w:rsidR="00822D3E">
        <w:t xml:space="preserve">to </w:t>
      </w:r>
      <w:r w:rsidR="00D966AA">
        <w:t>medicines</w:t>
      </w:r>
      <w:r w:rsidR="00D966AA" w:rsidRPr="00CB34D8">
        <w:t>.</w:t>
      </w:r>
      <w:r w:rsidR="00D966AA" w:rsidRPr="009E050C">
        <w:rPr>
          <w:sz w:val="18"/>
          <w:szCs w:val="18"/>
          <w:vertAlign w:val="superscript"/>
        </w:rPr>
        <w:footnoteReference w:id="49"/>
      </w:r>
      <w:r w:rsidR="00D966AA" w:rsidRPr="00CB34D8">
        <w:rPr>
          <w:vertAlign w:val="superscript"/>
        </w:rPr>
        <w:t xml:space="preserve"> </w:t>
      </w:r>
      <w:r w:rsidR="003630ED">
        <w:t xml:space="preserve">In </w:t>
      </w:r>
      <w:r w:rsidR="005A3C05">
        <w:t>high</w:t>
      </w:r>
      <w:r w:rsidR="00212130">
        <w:t>-</w:t>
      </w:r>
      <w:r w:rsidR="005A3C05">
        <w:t>income countries</w:t>
      </w:r>
      <w:r w:rsidR="00212130">
        <w:t>,</w:t>
      </w:r>
      <w:r w:rsidR="005A3C05">
        <w:t xml:space="preserve"> such as </w:t>
      </w:r>
      <w:r w:rsidR="00212130">
        <w:t xml:space="preserve">those in </w:t>
      </w:r>
      <w:r w:rsidR="005A3C05">
        <w:t>the</w:t>
      </w:r>
      <w:r w:rsidR="005A3C05" w:rsidRPr="005A3C05">
        <w:t xml:space="preserve"> </w:t>
      </w:r>
      <w:r w:rsidR="005A3C05">
        <w:t xml:space="preserve">European Union, </w:t>
      </w:r>
      <w:r w:rsidR="004100BD">
        <w:t xml:space="preserve">even </w:t>
      </w:r>
      <w:r w:rsidR="005A3C05">
        <w:t xml:space="preserve">while access to medicines is </w:t>
      </w:r>
      <w:r w:rsidR="004100BD">
        <w:t xml:space="preserve">being </w:t>
      </w:r>
      <w:r w:rsidR="005A3C05">
        <w:t xml:space="preserve">further developed, </w:t>
      </w:r>
      <w:r w:rsidR="00D966AA">
        <w:t>only</w:t>
      </w:r>
      <w:r w:rsidR="00D966AA" w:rsidRPr="00CB34D8">
        <w:t xml:space="preserve"> 56 medicines</w:t>
      </w:r>
      <w:r w:rsidR="00D966AA">
        <w:t xml:space="preserve"> for rare diseases</w:t>
      </w:r>
      <w:r w:rsidR="00D966AA" w:rsidRPr="00CB34D8">
        <w:t xml:space="preserve"> are approved for </w:t>
      </w:r>
      <w:r w:rsidR="00D966AA">
        <w:t>paediatric use</w:t>
      </w:r>
      <w:r w:rsidR="00D966AA" w:rsidRPr="00CB34D8">
        <w:t>.</w:t>
      </w:r>
      <w:r w:rsidR="00D966AA">
        <w:rPr>
          <w:rStyle w:val="FootnoteReference"/>
        </w:rPr>
        <w:footnoteReference w:id="50"/>
      </w:r>
      <w:r w:rsidR="00D966AA" w:rsidRPr="00CB34D8">
        <w:t xml:space="preserve"> </w:t>
      </w:r>
    </w:p>
    <w:p w14:paraId="4CF00AA4" w14:textId="5BE2F086" w:rsidR="00662E11" w:rsidRPr="00FE609F" w:rsidRDefault="00662E11" w:rsidP="009E050C">
      <w:pPr>
        <w:pStyle w:val="H23G"/>
        <w:spacing w:line="240" w:lineRule="atLeast"/>
      </w:pPr>
      <w:r w:rsidRPr="00FE609F">
        <w:tab/>
      </w:r>
      <w:r w:rsidR="0065722D">
        <w:t>2.</w:t>
      </w:r>
      <w:r w:rsidRPr="00FE609F">
        <w:tab/>
      </w:r>
      <w:r w:rsidRPr="00662E11">
        <w:tab/>
      </w:r>
      <w:r w:rsidR="0074143C">
        <w:t>Women</w:t>
      </w:r>
      <w:r w:rsidR="005A349E">
        <w:t xml:space="preserve"> and girls</w:t>
      </w:r>
    </w:p>
    <w:p w14:paraId="1E450684" w14:textId="4CEC3550" w:rsidR="0074143C" w:rsidRPr="0074143C" w:rsidRDefault="0074143C" w:rsidP="009E050C">
      <w:pPr>
        <w:pStyle w:val="SingleTxtG"/>
        <w:numPr>
          <w:ilvl w:val="0"/>
          <w:numId w:val="11"/>
        </w:numPr>
        <w:ind w:left="1134" w:firstLine="0"/>
      </w:pPr>
      <w:r w:rsidRPr="0074143C">
        <w:t>Women</w:t>
      </w:r>
      <w:r w:rsidR="005A349E">
        <w:t xml:space="preserve"> and girls</w:t>
      </w:r>
      <w:r w:rsidRPr="0074143C">
        <w:t xml:space="preserve"> continue to face systemic discrimination, </w:t>
      </w:r>
      <w:proofErr w:type="gramStart"/>
      <w:r w:rsidRPr="0074143C">
        <w:t>exclusion</w:t>
      </w:r>
      <w:proofErr w:type="gramEnd"/>
      <w:r w:rsidRPr="0074143C">
        <w:t xml:space="preserve"> and marginalization </w:t>
      </w:r>
      <w:r w:rsidR="004100BD">
        <w:t>with regard to</w:t>
      </w:r>
      <w:r w:rsidR="004100BD" w:rsidRPr="0074143C">
        <w:t xml:space="preserve"> </w:t>
      </w:r>
      <w:r w:rsidRPr="0074143C">
        <w:t>their right to health</w:t>
      </w:r>
      <w:r w:rsidR="004E3609">
        <w:t xml:space="preserve">, </w:t>
      </w:r>
      <w:r w:rsidRPr="009E050C">
        <w:rPr>
          <w:sz w:val="18"/>
          <w:szCs w:val="18"/>
          <w:vertAlign w:val="superscript"/>
        </w:rPr>
        <w:footnoteReference w:id="51"/>
      </w:r>
      <w:r w:rsidRPr="0074143C">
        <w:t xml:space="preserve"> </w:t>
      </w:r>
      <w:r w:rsidR="00EC588E">
        <w:t xml:space="preserve">such as </w:t>
      </w:r>
      <w:r w:rsidR="004E3609">
        <w:t xml:space="preserve">through </w:t>
      </w:r>
      <w:r w:rsidRPr="0074143C">
        <w:t>discriminatory norms, roles, stereotypes and stigma</w:t>
      </w:r>
      <w:r w:rsidR="006E25D0">
        <w:t>,</w:t>
      </w:r>
      <w:r w:rsidRPr="009E050C">
        <w:rPr>
          <w:sz w:val="18"/>
          <w:szCs w:val="18"/>
          <w:vertAlign w:val="superscript"/>
        </w:rPr>
        <w:footnoteReference w:id="52"/>
      </w:r>
      <w:r w:rsidRPr="0074143C">
        <w:t xml:space="preserve"> reflected</w:t>
      </w:r>
      <w:r w:rsidR="006E25D0">
        <w:t xml:space="preserve"> in</w:t>
      </w:r>
      <w:r w:rsidRPr="0074143C">
        <w:t xml:space="preserve">, for example, </w:t>
      </w:r>
      <w:r w:rsidR="009E4082">
        <w:t xml:space="preserve">spousal </w:t>
      </w:r>
      <w:r w:rsidR="00937CFE">
        <w:t>consent laws that inh</w:t>
      </w:r>
      <w:r w:rsidR="00843C27">
        <w:t>ibit</w:t>
      </w:r>
      <w:r w:rsidR="00937CFE">
        <w:t xml:space="preserve"> </w:t>
      </w:r>
      <w:r w:rsidR="006E25D0">
        <w:t xml:space="preserve">a </w:t>
      </w:r>
      <w:r w:rsidR="004E3609">
        <w:t>wom</w:t>
      </w:r>
      <w:r w:rsidR="006E25D0">
        <w:t>a</w:t>
      </w:r>
      <w:r w:rsidR="004E3609">
        <w:t>n’s</w:t>
      </w:r>
      <w:r w:rsidRPr="0074143C">
        <w:t xml:space="preserve"> autonomy to seek medical care without a man</w:t>
      </w:r>
      <w:r w:rsidR="00BB4BC3">
        <w:t>’</w:t>
      </w:r>
      <w:r w:rsidRPr="0074143C">
        <w:t>s permission,</w:t>
      </w:r>
      <w:r w:rsidRPr="009E050C">
        <w:rPr>
          <w:sz w:val="18"/>
          <w:szCs w:val="18"/>
          <w:vertAlign w:val="superscript"/>
        </w:rPr>
        <w:footnoteReference w:id="53"/>
      </w:r>
      <w:r w:rsidRPr="0074143C">
        <w:t xml:space="preserve"> </w:t>
      </w:r>
      <w:r>
        <w:t>or</w:t>
      </w:r>
      <w:r w:rsidRPr="0074143C">
        <w:t xml:space="preserve"> limit</w:t>
      </w:r>
      <w:r w:rsidR="004E3609">
        <w:t xml:space="preserve">s on </w:t>
      </w:r>
      <w:r w:rsidR="006E25D0">
        <w:t xml:space="preserve">a </w:t>
      </w:r>
      <w:r w:rsidR="004E3609">
        <w:t>wom</w:t>
      </w:r>
      <w:r w:rsidR="006E25D0">
        <w:t>a</w:t>
      </w:r>
      <w:r w:rsidR="004E3609">
        <w:t>n’s abilit</w:t>
      </w:r>
      <w:r w:rsidR="002738C2">
        <w:t xml:space="preserve">y to make </w:t>
      </w:r>
      <w:r w:rsidRPr="0074143C">
        <w:t>health-seeking decisions within households.</w:t>
      </w:r>
      <w:r w:rsidRPr="009E050C">
        <w:rPr>
          <w:sz w:val="18"/>
          <w:szCs w:val="18"/>
          <w:vertAlign w:val="superscript"/>
        </w:rPr>
        <w:footnoteReference w:id="54"/>
      </w:r>
      <w:r w:rsidRPr="0074143C">
        <w:t xml:space="preserve"> </w:t>
      </w:r>
    </w:p>
    <w:p w14:paraId="3BD9D9D6" w14:textId="6C27E532" w:rsidR="0074143C" w:rsidRPr="008A3780" w:rsidRDefault="0074143C" w:rsidP="009E050C">
      <w:pPr>
        <w:pStyle w:val="SingleTxtG"/>
        <w:numPr>
          <w:ilvl w:val="0"/>
          <w:numId w:val="11"/>
        </w:numPr>
        <w:ind w:left="1134" w:firstLine="0"/>
      </w:pPr>
      <w:r w:rsidRPr="0074143C">
        <w:t xml:space="preserve">A critical gap in the field of medical </w:t>
      </w:r>
      <w:r w:rsidR="002738C2">
        <w:t>research and development</w:t>
      </w:r>
      <w:r w:rsidRPr="0074143C">
        <w:t xml:space="preserve"> </w:t>
      </w:r>
      <w:r w:rsidR="006E25D0">
        <w:t>can be seen in</w:t>
      </w:r>
      <w:r w:rsidR="006E25D0" w:rsidRPr="0074143C">
        <w:t xml:space="preserve"> </w:t>
      </w:r>
      <w:r w:rsidRPr="0074143C">
        <w:t>the unequal attention paid to medical needs specific to women. In addition to differences attributable to sex that may be observed in prevalence, diagnosis, severity</w:t>
      </w:r>
      <w:r w:rsidR="00193C39">
        <w:t xml:space="preserve"> </w:t>
      </w:r>
      <w:r w:rsidRPr="0074143C">
        <w:t xml:space="preserve">and disease outcomes, some illnesses are more prevalent among women and others may </w:t>
      </w:r>
      <w:r w:rsidR="00A13CAA">
        <w:t>manifest themselves</w:t>
      </w:r>
      <w:r w:rsidR="00A13CAA" w:rsidRPr="0074143C">
        <w:t xml:space="preserve"> </w:t>
      </w:r>
      <w:r w:rsidRPr="0074143C">
        <w:t>differently, with dissimilar potential for long-term complications.</w:t>
      </w:r>
      <w:r w:rsidRPr="009E050C">
        <w:rPr>
          <w:sz w:val="18"/>
          <w:szCs w:val="18"/>
          <w:vertAlign w:val="superscript"/>
        </w:rPr>
        <w:footnoteReference w:id="55"/>
      </w:r>
      <w:r w:rsidRPr="0074143C">
        <w:t xml:space="preserve"> Women face difficulties </w:t>
      </w:r>
      <w:r w:rsidR="00A13CAA">
        <w:t>in their</w:t>
      </w:r>
      <w:r w:rsidR="00A13CAA" w:rsidRPr="0074143C">
        <w:t xml:space="preserve"> </w:t>
      </w:r>
      <w:r w:rsidRPr="0074143C">
        <w:t>access to medicines in cases of breast, cervical and uterus cancers, particularly in developing countries</w:t>
      </w:r>
      <w:r w:rsidR="00A13CAA">
        <w:t>,</w:t>
      </w:r>
      <w:r w:rsidRPr="0074143C">
        <w:t xml:space="preserve"> </w:t>
      </w:r>
      <w:r w:rsidR="00A13CAA">
        <w:t>owing</w:t>
      </w:r>
      <w:r w:rsidR="00A13CAA" w:rsidRPr="0074143C">
        <w:t xml:space="preserve"> </w:t>
      </w:r>
      <w:r w:rsidRPr="0074143C">
        <w:t>to unaffordability.</w:t>
      </w:r>
      <w:r w:rsidRPr="009E050C">
        <w:rPr>
          <w:sz w:val="18"/>
          <w:szCs w:val="18"/>
          <w:vertAlign w:val="superscript"/>
        </w:rPr>
        <w:footnoteReference w:id="56"/>
      </w:r>
      <w:r w:rsidR="002B3DAE" w:rsidRPr="002B3DAE">
        <w:t xml:space="preserve"> Given the longer life expectancy of women, it is essential that their medical needs are met</w:t>
      </w:r>
      <w:r w:rsidR="00FC7F18" w:rsidRPr="0074143C">
        <w:t>.</w:t>
      </w:r>
      <w:r w:rsidR="00FC7F18" w:rsidRPr="009E050C">
        <w:rPr>
          <w:sz w:val="18"/>
          <w:szCs w:val="18"/>
          <w:vertAlign w:val="superscript"/>
        </w:rPr>
        <w:footnoteReference w:id="57"/>
      </w:r>
      <w:r w:rsidR="00FC7F18" w:rsidRPr="0074143C">
        <w:t xml:space="preserve"> </w:t>
      </w:r>
    </w:p>
    <w:p w14:paraId="5917B292" w14:textId="6F78EBA7" w:rsidR="0074143C" w:rsidRPr="0074143C" w:rsidRDefault="0074143C" w:rsidP="009E050C">
      <w:pPr>
        <w:pStyle w:val="SingleTxtG"/>
        <w:numPr>
          <w:ilvl w:val="0"/>
          <w:numId w:val="11"/>
        </w:numPr>
        <w:ind w:left="1134" w:firstLine="0"/>
      </w:pPr>
      <w:r w:rsidRPr="0074143C">
        <w:t>Women have</w:t>
      </w:r>
      <w:r w:rsidR="004E3609">
        <w:t xml:space="preserve"> often</w:t>
      </w:r>
      <w:r w:rsidRPr="0074143C">
        <w:t xml:space="preserve"> been underrepresented in clinical trials, and health issues primarily or exclusively experienced by women have been </w:t>
      </w:r>
      <w:r w:rsidR="004E3609">
        <w:t xml:space="preserve">frequently </w:t>
      </w:r>
      <w:r w:rsidRPr="0074143C">
        <w:t>marginalized in clinical research</w:t>
      </w:r>
      <w:r w:rsidR="00A13CAA">
        <w:t>;</w:t>
      </w:r>
      <w:r w:rsidRPr="009E050C">
        <w:rPr>
          <w:sz w:val="18"/>
          <w:szCs w:val="18"/>
          <w:vertAlign w:val="superscript"/>
        </w:rPr>
        <w:footnoteReference w:id="58"/>
      </w:r>
      <w:r w:rsidRPr="0074143C">
        <w:rPr>
          <w:vertAlign w:val="superscript"/>
        </w:rPr>
        <w:t xml:space="preserve"> </w:t>
      </w:r>
      <w:r w:rsidR="00A13CAA">
        <w:t>a</w:t>
      </w:r>
      <w:r>
        <w:t>s a result</w:t>
      </w:r>
      <w:r w:rsidRPr="0074143C">
        <w:t>, data on the safety and adequate dosing of medicines for pregnant and lactating women are very limited.</w:t>
      </w:r>
      <w:r w:rsidRPr="009E050C">
        <w:rPr>
          <w:sz w:val="18"/>
          <w:szCs w:val="18"/>
          <w:vertAlign w:val="superscript"/>
        </w:rPr>
        <w:footnoteReference w:id="59"/>
      </w:r>
      <w:r w:rsidRPr="0074143C">
        <w:t xml:space="preserve"> This has led to gaps in the development of </w:t>
      </w:r>
      <w:r>
        <w:t xml:space="preserve">medicines and </w:t>
      </w:r>
      <w:r w:rsidRPr="0074143C">
        <w:t xml:space="preserve">health products </w:t>
      </w:r>
      <w:r w:rsidR="00174394">
        <w:t>that</w:t>
      </w:r>
      <w:r w:rsidR="00174394" w:rsidRPr="0074143C">
        <w:t xml:space="preserve"> </w:t>
      </w:r>
      <w:r w:rsidRPr="0074143C">
        <w:t xml:space="preserve">are primarily responsive to the needs of </w:t>
      </w:r>
      <w:r w:rsidR="004E3609">
        <w:t>wo</w:t>
      </w:r>
      <w:r w:rsidRPr="0074143C">
        <w:t>men.</w:t>
      </w:r>
      <w:r w:rsidRPr="009E050C">
        <w:rPr>
          <w:sz w:val="18"/>
          <w:szCs w:val="18"/>
          <w:vertAlign w:val="superscript"/>
        </w:rPr>
        <w:footnoteReference w:id="60"/>
      </w:r>
    </w:p>
    <w:p w14:paraId="7D2A62DA" w14:textId="5622B6D5" w:rsidR="0074143C" w:rsidRPr="0074143C" w:rsidRDefault="004E3609" w:rsidP="009E050C">
      <w:pPr>
        <w:pStyle w:val="SingleTxtG"/>
        <w:numPr>
          <w:ilvl w:val="0"/>
          <w:numId w:val="11"/>
        </w:numPr>
        <w:ind w:left="1134" w:firstLine="0"/>
      </w:pPr>
      <w:r>
        <w:t>W</w:t>
      </w:r>
      <w:r w:rsidR="0074143C" w:rsidRPr="0074143C">
        <w:t xml:space="preserve">omen and girls in all their diversity continue </w:t>
      </w:r>
      <w:r w:rsidR="00174394">
        <w:t xml:space="preserve">to </w:t>
      </w:r>
      <w:r w:rsidR="0074143C" w:rsidRPr="0074143C">
        <w:t>fac</w:t>
      </w:r>
      <w:r w:rsidR="00174394">
        <w:t>e</w:t>
      </w:r>
      <w:r w:rsidR="0074143C" w:rsidRPr="0074143C">
        <w:t xml:space="preserve"> barriers</w:t>
      </w:r>
      <w:r>
        <w:t xml:space="preserve"> in </w:t>
      </w:r>
      <w:r w:rsidR="00174394">
        <w:t xml:space="preserve">their </w:t>
      </w:r>
      <w:r>
        <w:t xml:space="preserve">access </w:t>
      </w:r>
      <w:r w:rsidR="00174394">
        <w:t xml:space="preserve">to </w:t>
      </w:r>
      <w:r w:rsidRPr="0074143C">
        <w:t xml:space="preserve">sexual and reproductive health and </w:t>
      </w:r>
      <w:r>
        <w:t xml:space="preserve">other </w:t>
      </w:r>
      <w:r w:rsidRPr="0074143C">
        <w:t xml:space="preserve">health services and products, such as </w:t>
      </w:r>
      <w:r>
        <w:t xml:space="preserve">those </w:t>
      </w:r>
      <w:r w:rsidRPr="0074143C">
        <w:t>to prevent and treat sexually transmitted infections</w:t>
      </w:r>
      <w:r w:rsidR="0074143C" w:rsidRPr="0074143C">
        <w:t>.</w:t>
      </w:r>
      <w:r w:rsidR="0074143C" w:rsidRPr="009E050C">
        <w:rPr>
          <w:sz w:val="18"/>
          <w:szCs w:val="18"/>
          <w:vertAlign w:val="superscript"/>
        </w:rPr>
        <w:footnoteReference w:id="61"/>
      </w:r>
      <w:r w:rsidR="0074143C" w:rsidRPr="0074143C">
        <w:t xml:space="preserve"> </w:t>
      </w:r>
      <w:r w:rsidR="00174394">
        <w:t>It is</w:t>
      </w:r>
      <w:r w:rsidR="00174394" w:rsidRPr="005750A6">
        <w:t xml:space="preserve"> </w:t>
      </w:r>
      <w:r w:rsidR="0074143C" w:rsidRPr="005750A6">
        <w:t xml:space="preserve">estimated </w:t>
      </w:r>
      <w:r w:rsidR="00174394">
        <w:t>that</w:t>
      </w:r>
      <w:r w:rsidR="00174394" w:rsidRPr="005750A6">
        <w:t xml:space="preserve"> </w:t>
      </w:r>
      <w:r w:rsidR="0074143C" w:rsidRPr="005750A6">
        <w:t>214 million women</w:t>
      </w:r>
      <w:r w:rsidR="0074143C" w:rsidRPr="0074143C">
        <w:t xml:space="preserve"> in </w:t>
      </w:r>
      <w:r w:rsidR="00174394">
        <w:t>low- and m</w:t>
      </w:r>
      <w:r w:rsidR="004F029D">
        <w:t>iddle</w:t>
      </w:r>
      <w:r w:rsidR="00174394">
        <w:t>-income countries</w:t>
      </w:r>
      <w:r w:rsidR="00174394" w:rsidRPr="0074143C">
        <w:t xml:space="preserve"> </w:t>
      </w:r>
      <w:r w:rsidR="0074143C" w:rsidRPr="0074143C">
        <w:t xml:space="preserve">have </w:t>
      </w:r>
      <w:r w:rsidR="004302AB">
        <w:t>different barriers to access</w:t>
      </w:r>
      <w:r w:rsidR="0074143C" w:rsidRPr="0074143C">
        <w:t xml:space="preserve"> </w:t>
      </w:r>
      <w:r w:rsidR="004302AB">
        <w:t xml:space="preserve">to </w:t>
      </w:r>
      <w:r w:rsidR="0074143C" w:rsidRPr="0074143C">
        <w:t>contraception</w:t>
      </w:r>
      <w:r w:rsidR="00775E45">
        <w:t>.</w:t>
      </w:r>
      <w:r w:rsidR="0074143C" w:rsidRPr="009E050C">
        <w:rPr>
          <w:sz w:val="18"/>
          <w:szCs w:val="18"/>
          <w:vertAlign w:val="superscript"/>
        </w:rPr>
        <w:footnoteReference w:id="62"/>
      </w:r>
      <w:r w:rsidR="0074143C" w:rsidRPr="0074143C">
        <w:t xml:space="preserve"> </w:t>
      </w:r>
      <w:r w:rsidR="00433ECA">
        <w:t>I</w:t>
      </w:r>
      <w:r w:rsidR="007C360C" w:rsidRPr="0074143C">
        <w:t>n high</w:t>
      </w:r>
      <w:r w:rsidR="004F029D">
        <w:t>-</w:t>
      </w:r>
      <w:r w:rsidR="007C360C" w:rsidRPr="0074143C">
        <w:t>income countries</w:t>
      </w:r>
      <w:r w:rsidR="00433ECA">
        <w:t>,</w:t>
      </w:r>
      <w:r w:rsidR="007C360C" w:rsidRPr="0074143C">
        <w:t xml:space="preserve"> </w:t>
      </w:r>
      <w:r w:rsidR="0074143C" w:rsidRPr="0074143C">
        <w:t xml:space="preserve">marginalized groups </w:t>
      </w:r>
      <w:r w:rsidR="00433ECA">
        <w:t xml:space="preserve">may </w:t>
      </w:r>
      <w:r w:rsidR="0074143C" w:rsidRPr="0074143C">
        <w:t xml:space="preserve">face physical </w:t>
      </w:r>
      <w:r w:rsidR="006C5F1C">
        <w:t>barriers</w:t>
      </w:r>
      <w:r w:rsidR="004F029D">
        <w:t>,</w:t>
      </w:r>
      <w:r w:rsidR="006C5F1C">
        <w:t xml:space="preserve"> </w:t>
      </w:r>
      <w:r w:rsidR="00BB4BC3" w:rsidRPr="00BB4BC3">
        <w:t>with health services often being physically out of reach</w:t>
      </w:r>
      <w:r w:rsidR="00BB4BC3">
        <w:t xml:space="preserve">, </w:t>
      </w:r>
      <w:r w:rsidR="00433ECA">
        <w:t>or</w:t>
      </w:r>
      <w:r w:rsidR="00BB4BC3">
        <w:t xml:space="preserve"> </w:t>
      </w:r>
      <w:r w:rsidR="0074143C" w:rsidRPr="0074143C">
        <w:t>financial barriers</w:t>
      </w:r>
      <w:r w:rsidR="00BA347F">
        <w:t xml:space="preserve"> </w:t>
      </w:r>
      <w:r w:rsidR="00BB4BC3">
        <w:t xml:space="preserve">that hinder </w:t>
      </w:r>
      <w:r w:rsidR="00BA347F">
        <w:t>access</w:t>
      </w:r>
      <w:r w:rsidR="00BB4BC3">
        <w:t xml:space="preserve"> to</w:t>
      </w:r>
      <w:r w:rsidR="00BA347F">
        <w:t xml:space="preserve"> </w:t>
      </w:r>
      <w:r w:rsidR="00413F69">
        <w:t>contraceptives</w:t>
      </w:r>
      <w:r w:rsidR="0074143C" w:rsidRPr="0074143C">
        <w:t>.</w:t>
      </w:r>
      <w:r w:rsidR="0074143C" w:rsidRPr="009E050C">
        <w:rPr>
          <w:sz w:val="18"/>
          <w:szCs w:val="18"/>
          <w:vertAlign w:val="superscript"/>
        </w:rPr>
        <w:footnoteReference w:id="63"/>
      </w:r>
    </w:p>
    <w:p w14:paraId="5E1F40E7" w14:textId="178AFCAA" w:rsidR="0074143C" w:rsidRPr="0074143C" w:rsidRDefault="0074143C" w:rsidP="009E050C">
      <w:pPr>
        <w:pStyle w:val="SingleTxtG"/>
        <w:numPr>
          <w:ilvl w:val="0"/>
          <w:numId w:val="11"/>
        </w:numPr>
        <w:ind w:left="1134" w:firstLine="0"/>
      </w:pPr>
      <w:r w:rsidRPr="009E5FE8">
        <w:t>Gender and poverty intersect and, among historically marginalized and disadvantaged groups of women</w:t>
      </w:r>
      <w:r w:rsidR="0035001C" w:rsidRPr="009E5FE8">
        <w:t>,</w:t>
      </w:r>
      <w:r w:rsidRPr="009E5FE8">
        <w:t xml:space="preserve"> result in a lack of access to pre-natal care</w:t>
      </w:r>
      <w:r w:rsidR="00433ECA">
        <w:t>,</w:t>
      </w:r>
      <w:r w:rsidRPr="009E5FE8">
        <w:t xml:space="preserve"> leading to high </w:t>
      </w:r>
      <w:r w:rsidR="00433ECA">
        <w:t xml:space="preserve">rates of </w:t>
      </w:r>
      <w:r w:rsidRPr="009E5FE8">
        <w:t>maternal and infant mortality.</w:t>
      </w:r>
      <w:r w:rsidRPr="009E050C">
        <w:rPr>
          <w:sz w:val="18"/>
          <w:szCs w:val="18"/>
          <w:vertAlign w:val="superscript"/>
        </w:rPr>
        <w:footnoteReference w:id="64"/>
      </w:r>
      <w:r w:rsidRPr="009E5FE8">
        <w:t xml:space="preserve"> Women also continue to face barriers </w:t>
      </w:r>
      <w:r w:rsidR="00433ECA">
        <w:t>in their</w:t>
      </w:r>
      <w:r w:rsidR="00433ECA" w:rsidRPr="009E5FE8">
        <w:t xml:space="preserve"> </w:t>
      </w:r>
      <w:r w:rsidRPr="009E5FE8">
        <w:t xml:space="preserve">access </w:t>
      </w:r>
      <w:r w:rsidR="00433ECA">
        <w:t xml:space="preserve">to </w:t>
      </w:r>
      <w:r w:rsidRPr="009E5FE8">
        <w:t>menstrual</w:t>
      </w:r>
      <w:r w:rsidRPr="0009515E">
        <w:rPr>
          <w:i/>
        </w:rPr>
        <w:t xml:space="preserve"> </w:t>
      </w:r>
      <w:r w:rsidRPr="0074143C">
        <w:t>products</w:t>
      </w:r>
      <w:r w:rsidRPr="009E050C">
        <w:rPr>
          <w:sz w:val="18"/>
          <w:szCs w:val="18"/>
          <w:vertAlign w:val="superscript"/>
        </w:rPr>
        <w:footnoteReference w:id="65"/>
      </w:r>
      <w:r w:rsidRPr="009E050C">
        <w:rPr>
          <w:sz w:val="18"/>
          <w:szCs w:val="18"/>
        </w:rPr>
        <w:t xml:space="preserve"> </w:t>
      </w:r>
      <w:r w:rsidRPr="0074143C">
        <w:t xml:space="preserve">and </w:t>
      </w:r>
      <w:r w:rsidR="00433ECA">
        <w:t xml:space="preserve">to </w:t>
      </w:r>
      <w:r w:rsidRPr="0074143C">
        <w:t>treatment for women undergoing menopause.</w:t>
      </w:r>
      <w:r w:rsidRPr="009E050C">
        <w:rPr>
          <w:sz w:val="18"/>
          <w:szCs w:val="18"/>
          <w:vertAlign w:val="superscript"/>
        </w:rPr>
        <w:footnoteReference w:id="66"/>
      </w:r>
    </w:p>
    <w:p w14:paraId="7009B38F" w14:textId="58005423" w:rsidR="0074143C" w:rsidRPr="0074143C" w:rsidRDefault="00303B73" w:rsidP="009E050C">
      <w:pPr>
        <w:pStyle w:val="SingleTxtG"/>
        <w:numPr>
          <w:ilvl w:val="0"/>
          <w:numId w:val="11"/>
        </w:numPr>
        <w:ind w:left="1134" w:firstLine="0"/>
      </w:pPr>
      <w:r w:rsidRPr="00E95235">
        <w:t xml:space="preserve">Women’s </w:t>
      </w:r>
      <w:r>
        <w:t>vulnerability to economic insecurity</w:t>
      </w:r>
      <w:r w:rsidRPr="00E95235">
        <w:t xml:space="preserve"> </w:t>
      </w:r>
      <w:r>
        <w:t>and</w:t>
      </w:r>
      <w:r w:rsidRPr="00E95235">
        <w:t xml:space="preserve"> gender-based violence</w:t>
      </w:r>
      <w:r>
        <w:t xml:space="preserve"> </w:t>
      </w:r>
      <w:r w:rsidR="00433ECA">
        <w:t xml:space="preserve">in the </w:t>
      </w:r>
      <w:r>
        <w:t>home significantly hinders their</w:t>
      </w:r>
      <w:r w:rsidRPr="00E95235">
        <w:t xml:space="preserve"> access </w:t>
      </w:r>
      <w:r w:rsidR="00433ECA" w:rsidRPr="00E95235">
        <w:t xml:space="preserve">to </w:t>
      </w:r>
      <w:r w:rsidRPr="00E95235">
        <w:t xml:space="preserve">medicines, </w:t>
      </w:r>
      <w:proofErr w:type="gramStart"/>
      <w:r w:rsidRPr="00E95235">
        <w:t>vaccines</w:t>
      </w:r>
      <w:proofErr w:type="gramEnd"/>
      <w:r w:rsidRPr="00E95235">
        <w:t xml:space="preserve"> and other health products.</w:t>
      </w:r>
      <w:r>
        <w:rPr>
          <w:rStyle w:val="FootnoteReference"/>
        </w:rPr>
        <w:footnoteReference w:id="67"/>
      </w:r>
      <w:r w:rsidRPr="00E95235">
        <w:t xml:space="preserve"> For </w:t>
      </w:r>
      <w:r>
        <w:t>instance</w:t>
      </w:r>
      <w:r w:rsidRPr="00E95235">
        <w:t xml:space="preserve">, </w:t>
      </w:r>
      <w:r>
        <w:t>the</w:t>
      </w:r>
      <w:r w:rsidRPr="00E95235">
        <w:t xml:space="preserve"> </w:t>
      </w:r>
      <w:r w:rsidR="0074143C" w:rsidRPr="0074143C">
        <w:t>disproportionate</w:t>
      </w:r>
      <w:r w:rsidR="00066A74">
        <w:t xml:space="preserve"> burden of</w:t>
      </w:r>
      <w:r w:rsidR="0074143C" w:rsidRPr="0074143C">
        <w:t xml:space="preserve"> unpaid care and domestic</w:t>
      </w:r>
      <w:r w:rsidR="00665406">
        <w:t xml:space="preserve"> work</w:t>
      </w:r>
      <w:r w:rsidR="0074143C" w:rsidRPr="0074143C">
        <w:t xml:space="preserve"> </w:t>
      </w:r>
      <w:r w:rsidR="00066A74">
        <w:t xml:space="preserve">limits women’s </w:t>
      </w:r>
      <w:r w:rsidR="000F7C56">
        <w:t>ability to seek gainful employment</w:t>
      </w:r>
      <w:r w:rsidR="004302AB">
        <w:t xml:space="preserve"> and to enjoy </w:t>
      </w:r>
      <w:r w:rsidR="00066A74">
        <w:t xml:space="preserve">equal access to </w:t>
      </w:r>
      <w:r w:rsidR="004302AB">
        <w:t>the right to social security</w:t>
      </w:r>
      <w:r w:rsidR="00066A74">
        <w:t>.</w:t>
      </w:r>
      <w:r w:rsidR="00254386">
        <w:t xml:space="preserve"> </w:t>
      </w:r>
      <w:r w:rsidR="002C72E6">
        <w:t xml:space="preserve">This disparity </w:t>
      </w:r>
      <w:r w:rsidR="00536F02">
        <w:t xml:space="preserve">can be </w:t>
      </w:r>
      <w:r w:rsidR="002C72E6">
        <w:t xml:space="preserve">exacerbated </w:t>
      </w:r>
      <w:r w:rsidR="0078125E">
        <w:t>by the</w:t>
      </w:r>
      <w:r w:rsidR="002C72E6">
        <w:t xml:space="preserve"> </w:t>
      </w:r>
      <w:r w:rsidR="000F7C56">
        <w:t xml:space="preserve">lack </w:t>
      </w:r>
      <w:r w:rsidR="008E42D1">
        <w:t xml:space="preserve">of </w:t>
      </w:r>
      <w:r w:rsidR="002C72E6">
        <w:t xml:space="preserve">or limited </w:t>
      </w:r>
      <w:r w:rsidR="000F7C56">
        <w:t>participation</w:t>
      </w:r>
      <w:r w:rsidR="002C72E6">
        <w:t xml:space="preserve"> of women</w:t>
      </w:r>
      <w:r w:rsidR="00DB6223">
        <w:t xml:space="preserve"> </w:t>
      </w:r>
      <w:r w:rsidR="000F7C56">
        <w:t xml:space="preserve">in the labour markets, </w:t>
      </w:r>
      <w:proofErr w:type="gramStart"/>
      <w:r w:rsidR="0074143C" w:rsidRPr="0074143C">
        <w:t>in</w:t>
      </w:r>
      <w:r w:rsidR="000F7C56">
        <w:t xml:space="preserve"> particular in</w:t>
      </w:r>
      <w:proofErr w:type="gramEnd"/>
      <w:r w:rsidR="000F7C56">
        <w:t xml:space="preserve"> a number of</w:t>
      </w:r>
      <w:r w:rsidR="0074143C" w:rsidRPr="0074143C">
        <w:t xml:space="preserve"> developing economies,</w:t>
      </w:r>
      <w:r w:rsidR="000F7C56">
        <w:t xml:space="preserve"> </w:t>
      </w:r>
      <w:r w:rsidR="00616738">
        <w:t xml:space="preserve">where </w:t>
      </w:r>
      <w:r w:rsidR="000F7C56">
        <w:t>women</w:t>
      </w:r>
      <w:r w:rsidR="0074143C" w:rsidRPr="0074143C">
        <w:t xml:space="preserve"> have less access than men to financial institutions</w:t>
      </w:r>
      <w:r w:rsidR="00616738">
        <w:t>, including</w:t>
      </w:r>
      <w:r w:rsidR="0074143C" w:rsidRPr="0074143C">
        <w:t xml:space="preserve"> bank account</w:t>
      </w:r>
      <w:r w:rsidR="00616738">
        <w:t>s</w:t>
      </w:r>
      <w:r w:rsidR="0074143C" w:rsidRPr="0074143C">
        <w:t>.</w:t>
      </w:r>
      <w:r w:rsidR="0074143C" w:rsidRPr="009E050C">
        <w:rPr>
          <w:sz w:val="18"/>
          <w:szCs w:val="18"/>
        </w:rPr>
        <w:t xml:space="preserve"> </w:t>
      </w:r>
      <w:r w:rsidR="0074143C" w:rsidRPr="0074143C">
        <w:t xml:space="preserve">The socioeconomic fallout of the COVID-19 pandemic has further aggravated </w:t>
      </w:r>
      <w:r w:rsidR="008E42D1">
        <w:t xml:space="preserve">the </w:t>
      </w:r>
      <w:r w:rsidR="0074143C" w:rsidRPr="0074143C">
        <w:t xml:space="preserve">existing inequalities </w:t>
      </w:r>
      <w:r w:rsidR="008E42D1">
        <w:t>that</w:t>
      </w:r>
      <w:r w:rsidR="0074143C" w:rsidRPr="0074143C">
        <w:t xml:space="preserve"> women</w:t>
      </w:r>
      <w:r w:rsidR="008E42D1">
        <w:t xml:space="preserve"> face</w:t>
      </w:r>
      <w:r w:rsidR="0074143C" w:rsidRPr="0074143C">
        <w:t>.</w:t>
      </w:r>
      <w:r w:rsidR="0074143C" w:rsidRPr="009E050C">
        <w:rPr>
          <w:sz w:val="18"/>
          <w:szCs w:val="18"/>
          <w:vertAlign w:val="superscript"/>
        </w:rPr>
        <w:footnoteReference w:id="68"/>
      </w:r>
    </w:p>
    <w:p w14:paraId="75DF70E4" w14:textId="6B4307FF" w:rsidR="00662E11" w:rsidRPr="00FE609F" w:rsidRDefault="00662E11" w:rsidP="009E050C">
      <w:pPr>
        <w:pStyle w:val="H23G"/>
        <w:spacing w:line="240" w:lineRule="atLeast"/>
      </w:pPr>
      <w:r w:rsidRPr="00FE609F">
        <w:tab/>
      </w:r>
      <w:r w:rsidR="0065722D">
        <w:t>3.</w:t>
      </w:r>
      <w:r w:rsidRPr="00FE609F">
        <w:tab/>
      </w:r>
      <w:r w:rsidRPr="00662E11">
        <w:tab/>
      </w:r>
      <w:r w:rsidR="00255794" w:rsidRPr="00255794">
        <w:t xml:space="preserve">Persons with </w:t>
      </w:r>
      <w:r w:rsidR="00D43EF1">
        <w:t>a</w:t>
      </w:r>
      <w:r w:rsidR="00255794" w:rsidRPr="00255794">
        <w:t>lbinism</w:t>
      </w:r>
    </w:p>
    <w:p w14:paraId="23C5F09E" w14:textId="1D2A0ACF" w:rsidR="00255794" w:rsidRPr="00255794" w:rsidRDefault="00255794" w:rsidP="009E050C">
      <w:pPr>
        <w:pStyle w:val="SingleTxtG"/>
        <w:numPr>
          <w:ilvl w:val="0"/>
          <w:numId w:val="11"/>
        </w:numPr>
        <w:ind w:left="1134" w:firstLine="0"/>
      </w:pPr>
      <w:r w:rsidRPr="00255794">
        <w:t xml:space="preserve">Persons with albinism are particularly vulnerable to developing life-threatening skin damage, including cancer, </w:t>
      </w:r>
      <w:r w:rsidR="002E759E">
        <w:t>owing</w:t>
      </w:r>
      <w:r w:rsidR="002E759E" w:rsidRPr="00255794">
        <w:t xml:space="preserve"> </w:t>
      </w:r>
      <w:r w:rsidRPr="00255794">
        <w:t>to a condition characterized by a deficit in the production of melanin.</w:t>
      </w:r>
      <w:r w:rsidRPr="009E050C">
        <w:rPr>
          <w:sz w:val="18"/>
          <w:szCs w:val="18"/>
          <w:vertAlign w:val="superscript"/>
        </w:rPr>
        <w:footnoteReference w:id="69"/>
      </w:r>
      <w:r w:rsidRPr="00255794">
        <w:t xml:space="preserve"> Skin cancer is </w:t>
      </w:r>
      <w:r w:rsidR="002E759E">
        <w:t xml:space="preserve">however </w:t>
      </w:r>
      <w:r w:rsidRPr="00255794">
        <w:t xml:space="preserve">highly preventable if </w:t>
      </w:r>
      <w:r w:rsidR="002E759E">
        <w:t xml:space="preserve">a </w:t>
      </w:r>
      <w:r w:rsidRPr="00255794">
        <w:t>person with albinism ha</w:t>
      </w:r>
      <w:r w:rsidR="002E759E">
        <w:t>s</w:t>
      </w:r>
      <w:r w:rsidRPr="00255794">
        <w:t xml:space="preserve"> access to regular health checks and, in particular, early-stage detection, which is more widely available than treatment.</w:t>
      </w:r>
      <w:r w:rsidRPr="009E050C">
        <w:rPr>
          <w:sz w:val="18"/>
          <w:szCs w:val="18"/>
          <w:vertAlign w:val="superscript"/>
        </w:rPr>
        <w:footnoteReference w:id="70"/>
      </w:r>
      <w:r w:rsidRPr="009E050C">
        <w:rPr>
          <w:sz w:val="18"/>
          <w:szCs w:val="18"/>
        </w:rPr>
        <w:t xml:space="preserve"> </w:t>
      </w:r>
      <w:r w:rsidRPr="00255794">
        <w:t xml:space="preserve">While the regular use of sunscreen, sunglasses and sun-protective clothing </w:t>
      </w:r>
      <w:r w:rsidR="002E759E">
        <w:t>play</w:t>
      </w:r>
      <w:r w:rsidR="002E759E" w:rsidRPr="00255794">
        <w:t xml:space="preserve"> </w:t>
      </w:r>
      <w:r w:rsidRPr="00255794">
        <w:t xml:space="preserve">a critical role in the prevention and reduction of prevalence of skin cancer </w:t>
      </w:r>
      <w:r w:rsidR="004C4881">
        <w:t>in</w:t>
      </w:r>
      <w:r w:rsidR="004C4881" w:rsidRPr="00255794">
        <w:t xml:space="preserve"> </w:t>
      </w:r>
      <w:r w:rsidRPr="00255794">
        <w:t>persons with albinism, the</w:t>
      </w:r>
      <w:r w:rsidR="004C4881">
        <w:t>y</w:t>
      </w:r>
      <w:r w:rsidRPr="00255794">
        <w:t xml:space="preserve"> are often unavailable, inaccessible or </w:t>
      </w:r>
      <w:r w:rsidR="004C4881">
        <w:t>of poor</w:t>
      </w:r>
      <w:r w:rsidRPr="00255794">
        <w:t xml:space="preserve"> quality.</w:t>
      </w:r>
      <w:r w:rsidRPr="009E050C">
        <w:rPr>
          <w:sz w:val="18"/>
          <w:szCs w:val="18"/>
          <w:vertAlign w:val="superscript"/>
        </w:rPr>
        <w:footnoteReference w:id="71"/>
      </w:r>
      <w:r w:rsidRPr="00255794">
        <w:rPr>
          <w:vertAlign w:val="superscript"/>
        </w:rPr>
        <w:t xml:space="preserve"> </w:t>
      </w:r>
      <w:r w:rsidR="00113036">
        <w:t xml:space="preserve">Limited access to sunscreen </w:t>
      </w:r>
      <w:r w:rsidRPr="00255794">
        <w:t xml:space="preserve">for persons with albinism in a number of countries, especially in </w:t>
      </w:r>
      <w:r w:rsidR="00E722D0">
        <w:t>low- and middle-income countries</w:t>
      </w:r>
      <w:r w:rsidRPr="00255794">
        <w:t>, result</w:t>
      </w:r>
      <w:r w:rsidR="00113036">
        <w:t>s</w:t>
      </w:r>
      <w:r w:rsidRPr="00255794">
        <w:t xml:space="preserve"> in </w:t>
      </w:r>
      <w:r w:rsidR="00113036">
        <w:t xml:space="preserve">preventable </w:t>
      </w:r>
      <w:r w:rsidRPr="00255794">
        <w:t>deaths, including among those between 30 and 40 years of age.</w:t>
      </w:r>
      <w:r w:rsidRPr="009E050C">
        <w:rPr>
          <w:sz w:val="18"/>
          <w:szCs w:val="18"/>
          <w:vertAlign w:val="superscript"/>
        </w:rPr>
        <w:footnoteReference w:id="72"/>
      </w:r>
      <w:r w:rsidRPr="009E050C">
        <w:rPr>
          <w:sz w:val="18"/>
          <w:szCs w:val="18"/>
        </w:rPr>
        <w:t xml:space="preserve"> </w:t>
      </w:r>
    </w:p>
    <w:p w14:paraId="17FAC96D" w14:textId="182CA4D0" w:rsidR="00662E11" w:rsidRDefault="00255794" w:rsidP="009E050C">
      <w:pPr>
        <w:pStyle w:val="SingleTxtG"/>
        <w:numPr>
          <w:ilvl w:val="0"/>
          <w:numId w:val="11"/>
        </w:numPr>
        <w:ind w:left="1134" w:firstLine="0"/>
      </w:pPr>
      <w:r w:rsidRPr="00255794">
        <w:t xml:space="preserve">Only a few countries include sunscreen in their national essential medicines list. </w:t>
      </w:r>
      <w:r w:rsidR="00A91980">
        <w:t xml:space="preserve">The </w:t>
      </w:r>
      <w:r w:rsidRPr="00255794">
        <w:t xml:space="preserve">Independent Expert on the enjoyment of human rights by persons with albinism and various partners </w:t>
      </w:r>
      <w:r w:rsidR="00A405D0">
        <w:t xml:space="preserve">requested that </w:t>
      </w:r>
      <w:r w:rsidRPr="00255794">
        <w:t xml:space="preserve">sunscreen </w:t>
      </w:r>
      <w:r w:rsidR="00A405D0">
        <w:t xml:space="preserve">be restored to </w:t>
      </w:r>
      <w:r w:rsidRPr="00255794">
        <w:t>the WHO Model List of Essential Medicines after it</w:t>
      </w:r>
      <w:r w:rsidR="00113036">
        <w:t xml:space="preserve">s removal </w:t>
      </w:r>
      <w:r w:rsidRPr="00255794">
        <w:t>in 2005</w:t>
      </w:r>
      <w:r w:rsidR="00FA10C7">
        <w:t>, request which was, however, rejected</w:t>
      </w:r>
      <w:r w:rsidRPr="00255794">
        <w:t>.</w:t>
      </w:r>
      <w:r w:rsidRPr="009E050C">
        <w:rPr>
          <w:sz w:val="18"/>
          <w:szCs w:val="18"/>
          <w:vertAlign w:val="superscript"/>
        </w:rPr>
        <w:footnoteReference w:id="73"/>
      </w:r>
    </w:p>
    <w:p w14:paraId="4B22AC66" w14:textId="7E30A712" w:rsidR="00DD63BC" w:rsidRPr="00FE609F" w:rsidRDefault="00DD63BC" w:rsidP="009E050C">
      <w:pPr>
        <w:pStyle w:val="H23G"/>
        <w:spacing w:line="240" w:lineRule="atLeast"/>
      </w:pPr>
      <w:r w:rsidRPr="00FE609F">
        <w:tab/>
      </w:r>
      <w:r w:rsidR="0065722D">
        <w:t>4.</w:t>
      </w:r>
      <w:r w:rsidRPr="00624DFB">
        <w:tab/>
      </w:r>
      <w:r w:rsidRPr="00624DFB">
        <w:tab/>
        <w:t xml:space="preserve">Older </w:t>
      </w:r>
      <w:r w:rsidR="00320EE1">
        <w:t>p</w:t>
      </w:r>
      <w:r w:rsidRPr="00624DFB">
        <w:t>ersons</w:t>
      </w:r>
    </w:p>
    <w:p w14:paraId="106EC549" w14:textId="514CAB11" w:rsidR="005D2365" w:rsidRDefault="005D2365" w:rsidP="009E050C">
      <w:pPr>
        <w:pStyle w:val="SingleTxtG"/>
        <w:numPr>
          <w:ilvl w:val="0"/>
          <w:numId w:val="11"/>
        </w:numPr>
        <w:ind w:left="1134" w:firstLine="0"/>
      </w:pPr>
      <w:r>
        <w:t>O</w:t>
      </w:r>
      <w:r w:rsidRPr="005D2365">
        <w:t>lder persons</w:t>
      </w:r>
      <w:r>
        <w:t xml:space="preserve"> </w:t>
      </w:r>
      <w:r w:rsidR="00163C43">
        <w:t xml:space="preserve">often </w:t>
      </w:r>
      <w:r>
        <w:t xml:space="preserve">face </w:t>
      </w:r>
      <w:proofErr w:type="gramStart"/>
      <w:r>
        <w:t>a number of</w:t>
      </w:r>
      <w:proofErr w:type="gramEnd"/>
      <w:r>
        <w:t xml:space="preserve"> obstacles in relation to their</w:t>
      </w:r>
      <w:r w:rsidRPr="005D2365">
        <w:t xml:space="preserve"> access to primary health care and to the quality of health-care services provided</w:t>
      </w:r>
      <w:r w:rsidR="000237CA">
        <w:t>, including for instance</w:t>
      </w:r>
      <w:r w:rsidRPr="005D2365">
        <w:t xml:space="preserve"> access</w:t>
      </w:r>
      <w:r w:rsidR="000237CA">
        <w:t xml:space="preserve"> to</w:t>
      </w:r>
      <w:r w:rsidRPr="005D2365">
        <w:t xml:space="preserve"> primary care and </w:t>
      </w:r>
      <w:r w:rsidR="001C38CD">
        <w:t xml:space="preserve">the </w:t>
      </w:r>
      <w:r w:rsidRPr="005D2365">
        <w:t>prevention of chronic illness</w:t>
      </w:r>
      <w:r w:rsidR="001C38CD">
        <w:t>es</w:t>
      </w:r>
      <w:r w:rsidRPr="005D2365">
        <w:t>.</w:t>
      </w:r>
      <w:r w:rsidR="002D5376">
        <w:rPr>
          <w:rStyle w:val="FootnoteReference"/>
        </w:rPr>
        <w:footnoteReference w:id="74"/>
      </w:r>
    </w:p>
    <w:p w14:paraId="7EE0C0C5" w14:textId="602DA4DB" w:rsidR="00BA0A0C" w:rsidRDefault="00163C43" w:rsidP="009E050C">
      <w:pPr>
        <w:pStyle w:val="SingleTxtG"/>
        <w:numPr>
          <w:ilvl w:val="0"/>
          <w:numId w:val="11"/>
        </w:numPr>
        <w:ind w:left="1134" w:firstLine="0"/>
      </w:pPr>
      <w:r>
        <w:t>In certain context</w:t>
      </w:r>
      <w:r w:rsidR="009F3565">
        <w:t>s</w:t>
      </w:r>
      <w:r>
        <w:t>, a</w:t>
      </w:r>
      <w:r w:rsidR="002D5376" w:rsidRPr="002D5376">
        <w:t>ccess to primary health</w:t>
      </w:r>
      <w:r w:rsidR="00586223">
        <w:t>-</w:t>
      </w:r>
      <w:r w:rsidR="002D5376" w:rsidRPr="002D5376">
        <w:t xml:space="preserve">care services </w:t>
      </w:r>
      <w:r w:rsidR="009F3565">
        <w:t>can</w:t>
      </w:r>
      <w:r w:rsidR="009F3565" w:rsidRPr="002D5376">
        <w:t xml:space="preserve"> </w:t>
      </w:r>
      <w:r w:rsidR="002D5376" w:rsidRPr="002D5376">
        <w:t>also</w:t>
      </w:r>
      <w:r w:rsidR="00EC6905">
        <w:t xml:space="preserve"> be</w:t>
      </w:r>
      <w:r w:rsidR="002D5376" w:rsidRPr="002D5376">
        <w:t xml:space="preserve"> impeded by both physical and financial obstacles. Health</w:t>
      </w:r>
      <w:r w:rsidR="00FF5CA8">
        <w:t>-</w:t>
      </w:r>
      <w:r w:rsidR="002D5376" w:rsidRPr="002D5376">
        <w:t xml:space="preserve">care facilities might be situated far from </w:t>
      </w:r>
      <w:r w:rsidR="009F0039">
        <w:t xml:space="preserve">an </w:t>
      </w:r>
      <w:r w:rsidR="002D5376" w:rsidRPr="002D5376">
        <w:t>older person</w:t>
      </w:r>
      <w:r w:rsidR="00EC6905">
        <w:t>’</w:t>
      </w:r>
      <w:r w:rsidR="002D5376" w:rsidRPr="002D5376">
        <w:t xml:space="preserve">s place of residence, </w:t>
      </w:r>
      <w:r w:rsidR="00E42E79">
        <w:t>while</w:t>
      </w:r>
      <w:r w:rsidR="00E42E79" w:rsidRPr="002D5376">
        <w:t xml:space="preserve"> </w:t>
      </w:r>
      <w:r w:rsidR="002D5376" w:rsidRPr="002D5376">
        <w:t xml:space="preserve">transport </w:t>
      </w:r>
      <w:r w:rsidR="00E42E79">
        <w:t>might</w:t>
      </w:r>
      <w:r w:rsidR="002D5376" w:rsidRPr="002D5376">
        <w:t xml:space="preserve"> be too expensive, </w:t>
      </w:r>
      <w:proofErr w:type="gramStart"/>
      <w:r w:rsidR="002D5376" w:rsidRPr="002D5376">
        <w:t>inadequate</w:t>
      </w:r>
      <w:proofErr w:type="gramEnd"/>
      <w:r w:rsidR="002D5376" w:rsidRPr="002D5376">
        <w:t xml:space="preserve"> or simply unavailable. Compounding this problem is the limited mobility of older persons.</w:t>
      </w:r>
      <w:r w:rsidR="00C85F3F">
        <w:rPr>
          <w:rStyle w:val="FootnoteReference"/>
        </w:rPr>
        <w:footnoteReference w:id="75"/>
      </w:r>
      <w:r w:rsidR="00FC7F18">
        <w:t xml:space="preserve"> </w:t>
      </w:r>
      <w:r w:rsidR="008A5486">
        <w:t xml:space="preserve">Such challenges </w:t>
      </w:r>
      <w:r w:rsidR="00E42E79">
        <w:t>can be</w:t>
      </w:r>
      <w:r w:rsidR="00E42E79" w:rsidRPr="002D5376">
        <w:t xml:space="preserve"> </w:t>
      </w:r>
      <w:r w:rsidR="002D5376" w:rsidRPr="002D5376">
        <w:t xml:space="preserve">further </w:t>
      </w:r>
      <w:r w:rsidR="00834C18">
        <w:t>exacerbated</w:t>
      </w:r>
      <w:r w:rsidR="00834C18" w:rsidRPr="002D5376">
        <w:t xml:space="preserve"> </w:t>
      </w:r>
      <w:r w:rsidR="002D5376" w:rsidRPr="002D5376">
        <w:t>by the socioeconomic vulnerability</w:t>
      </w:r>
      <w:r w:rsidR="00834C18">
        <w:t xml:space="preserve"> of older persons</w:t>
      </w:r>
      <w:r w:rsidR="002D5376" w:rsidRPr="002D5376">
        <w:t xml:space="preserve">, especially as access to health care is often subject to receiving a pension or to paying </w:t>
      </w:r>
      <w:r w:rsidR="00834C18" w:rsidRPr="002D5376">
        <w:t>fees</w:t>
      </w:r>
      <w:r w:rsidR="00834C18">
        <w:t xml:space="preserve"> </w:t>
      </w:r>
      <w:r w:rsidR="00D43EF1">
        <w:t>out</w:t>
      </w:r>
      <w:r w:rsidR="00834C18">
        <w:t xml:space="preserve"> </w:t>
      </w:r>
      <w:r w:rsidR="00D43EF1">
        <w:t>of</w:t>
      </w:r>
      <w:r w:rsidR="00834C18">
        <w:t xml:space="preserve"> </w:t>
      </w:r>
      <w:r w:rsidR="00D43EF1">
        <w:t>pocket</w:t>
      </w:r>
      <w:r w:rsidR="002D5376" w:rsidRPr="002D5376">
        <w:t xml:space="preserve">. Living in poverty can also be a root cause of deterioration </w:t>
      </w:r>
      <w:r w:rsidR="00834C18">
        <w:t>in an</w:t>
      </w:r>
      <w:r w:rsidR="00834C18" w:rsidRPr="002D5376">
        <w:t xml:space="preserve"> </w:t>
      </w:r>
      <w:r w:rsidR="002D5376" w:rsidRPr="002D5376">
        <w:t>older person</w:t>
      </w:r>
      <w:r w:rsidR="00834C18">
        <w:t>’</w:t>
      </w:r>
      <w:r w:rsidR="002D5376" w:rsidRPr="002D5376">
        <w:t>s health</w:t>
      </w:r>
      <w:r w:rsidR="00197CC8">
        <w:t>;</w:t>
      </w:r>
      <w:r w:rsidR="002D5376" w:rsidRPr="002D5376">
        <w:t xml:space="preserve"> with limited access to safe drinking water or adequate nutrition, older persons face a high risk of contracting diseases</w:t>
      </w:r>
      <w:r w:rsidR="002D5376">
        <w:t>.</w:t>
      </w:r>
      <w:r w:rsidR="002D5376">
        <w:rPr>
          <w:rStyle w:val="FootnoteReference"/>
        </w:rPr>
        <w:footnoteReference w:id="76"/>
      </w:r>
    </w:p>
    <w:p w14:paraId="067B0251" w14:textId="4C1E9936" w:rsidR="00857FF7" w:rsidRDefault="00857FF7" w:rsidP="009E050C">
      <w:pPr>
        <w:pStyle w:val="SingleTxtG"/>
        <w:numPr>
          <w:ilvl w:val="0"/>
          <w:numId w:val="11"/>
        </w:numPr>
        <w:ind w:left="1134" w:firstLine="0"/>
      </w:pPr>
      <w:r w:rsidRPr="00776635">
        <w:rPr>
          <w:rStyle w:val="cf01"/>
          <w:rFonts w:ascii="Times New Roman" w:eastAsiaTheme="majorEastAsia" w:hAnsi="Times New Roman" w:cs="Times New Roman"/>
          <w:sz w:val="20"/>
          <w:szCs w:val="20"/>
        </w:rPr>
        <w:t>The lack of affordab</w:t>
      </w:r>
      <w:r w:rsidR="00197CC8">
        <w:rPr>
          <w:rStyle w:val="cf01"/>
          <w:rFonts w:ascii="Times New Roman" w:eastAsiaTheme="majorEastAsia" w:hAnsi="Times New Roman" w:cs="Times New Roman"/>
          <w:sz w:val="20"/>
          <w:szCs w:val="20"/>
        </w:rPr>
        <w:t>le</w:t>
      </w:r>
      <w:r w:rsidRPr="00776635">
        <w:rPr>
          <w:rStyle w:val="cf01"/>
          <w:rFonts w:ascii="Times New Roman" w:eastAsiaTheme="majorEastAsia" w:hAnsi="Times New Roman" w:cs="Times New Roman"/>
          <w:sz w:val="20"/>
          <w:szCs w:val="20"/>
        </w:rPr>
        <w:t xml:space="preserve"> medicines</w:t>
      </w:r>
      <w:r>
        <w:rPr>
          <w:rStyle w:val="cf01"/>
          <w:rFonts w:ascii="Times New Roman" w:eastAsiaTheme="majorEastAsia" w:hAnsi="Times New Roman" w:cs="Times New Roman"/>
          <w:sz w:val="20"/>
          <w:szCs w:val="20"/>
        </w:rPr>
        <w:t>, vaccines</w:t>
      </w:r>
      <w:r w:rsidRPr="00776635">
        <w:rPr>
          <w:rStyle w:val="cf01"/>
          <w:rFonts w:ascii="Times New Roman" w:eastAsiaTheme="majorEastAsia" w:hAnsi="Times New Roman" w:cs="Times New Roman"/>
          <w:sz w:val="20"/>
          <w:szCs w:val="20"/>
        </w:rPr>
        <w:t xml:space="preserve"> </w:t>
      </w:r>
      <w:r w:rsidR="0049458F">
        <w:rPr>
          <w:rStyle w:val="cf01"/>
          <w:rFonts w:ascii="Times New Roman" w:eastAsiaTheme="majorEastAsia" w:hAnsi="Times New Roman" w:cs="Times New Roman"/>
          <w:sz w:val="20"/>
          <w:szCs w:val="20"/>
        </w:rPr>
        <w:t>or</w:t>
      </w:r>
      <w:r w:rsidR="0049458F" w:rsidRPr="00776635">
        <w:rPr>
          <w:rStyle w:val="cf01"/>
          <w:rFonts w:ascii="Times New Roman" w:eastAsiaTheme="majorEastAsia" w:hAnsi="Times New Roman" w:cs="Times New Roman"/>
          <w:sz w:val="20"/>
          <w:szCs w:val="20"/>
        </w:rPr>
        <w:t xml:space="preserve"> </w:t>
      </w:r>
      <w:r w:rsidRPr="00776635">
        <w:rPr>
          <w:rStyle w:val="cf01"/>
          <w:rFonts w:ascii="Times New Roman" w:hAnsi="Times New Roman" w:cs="Times New Roman"/>
          <w:sz w:val="20"/>
          <w:szCs w:val="20"/>
        </w:rPr>
        <w:t xml:space="preserve">health products </w:t>
      </w:r>
      <w:r w:rsidRPr="00776635">
        <w:rPr>
          <w:rStyle w:val="cf01"/>
          <w:rFonts w:ascii="Times New Roman" w:eastAsiaTheme="majorEastAsia" w:hAnsi="Times New Roman" w:cs="Times New Roman"/>
          <w:sz w:val="20"/>
          <w:szCs w:val="20"/>
        </w:rPr>
        <w:t>for older person</w:t>
      </w:r>
      <w:r>
        <w:rPr>
          <w:rStyle w:val="cf01"/>
          <w:rFonts w:ascii="Times New Roman" w:eastAsiaTheme="majorEastAsia" w:hAnsi="Times New Roman" w:cs="Times New Roman"/>
          <w:sz w:val="20"/>
          <w:szCs w:val="20"/>
        </w:rPr>
        <w:t>s</w:t>
      </w:r>
      <w:r w:rsidRPr="00776635">
        <w:rPr>
          <w:rStyle w:val="cf01"/>
          <w:rFonts w:ascii="Times New Roman" w:eastAsiaTheme="majorEastAsia" w:hAnsi="Times New Roman" w:cs="Times New Roman"/>
          <w:sz w:val="20"/>
          <w:szCs w:val="20"/>
        </w:rPr>
        <w:t xml:space="preserve"> </w:t>
      </w:r>
      <w:r w:rsidR="0049458F">
        <w:rPr>
          <w:rStyle w:val="cf01"/>
          <w:rFonts w:ascii="Times New Roman" w:eastAsiaTheme="majorEastAsia" w:hAnsi="Times New Roman" w:cs="Times New Roman"/>
          <w:sz w:val="20"/>
          <w:szCs w:val="20"/>
        </w:rPr>
        <w:t>can furthermore deepen</w:t>
      </w:r>
      <w:r w:rsidR="0049458F" w:rsidRPr="00776635">
        <w:rPr>
          <w:rStyle w:val="cf01"/>
          <w:rFonts w:ascii="Times New Roman" w:eastAsiaTheme="majorEastAsia" w:hAnsi="Times New Roman" w:cs="Times New Roman"/>
          <w:sz w:val="20"/>
          <w:szCs w:val="20"/>
        </w:rPr>
        <w:t xml:space="preserve"> </w:t>
      </w:r>
      <w:r w:rsidRPr="00776635">
        <w:rPr>
          <w:rStyle w:val="cf01"/>
          <w:rFonts w:ascii="Times New Roman" w:hAnsi="Times New Roman" w:cs="Times New Roman"/>
          <w:sz w:val="20"/>
          <w:szCs w:val="20"/>
        </w:rPr>
        <w:t>disparities</w:t>
      </w:r>
      <w:r w:rsidRPr="00776635">
        <w:rPr>
          <w:rStyle w:val="cf01"/>
          <w:rFonts w:ascii="Times New Roman" w:eastAsiaTheme="majorEastAsia" w:hAnsi="Times New Roman" w:cs="Times New Roman"/>
          <w:sz w:val="20"/>
          <w:szCs w:val="20"/>
        </w:rPr>
        <w:t>. For example, during</w:t>
      </w:r>
      <w:r w:rsidR="0049458F">
        <w:rPr>
          <w:rStyle w:val="cf01"/>
          <w:rFonts w:ascii="Times New Roman" w:eastAsiaTheme="majorEastAsia" w:hAnsi="Times New Roman" w:cs="Times New Roman"/>
          <w:sz w:val="20"/>
          <w:szCs w:val="20"/>
        </w:rPr>
        <w:t xml:space="preserve"> the</w:t>
      </w:r>
      <w:r w:rsidRPr="00776635">
        <w:rPr>
          <w:rStyle w:val="cf01"/>
          <w:rFonts w:ascii="Times New Roman" w:eastAsiaTheme="majorEastAsia" w:hAnsi="Times New Roman" w:cs="Times New Roman"/>
          <w:sz w:val="20"/>
          <w:szCs w:val="20"/>
        </w:rPr>
        <w:t xml:space="preserve"> COVI</w:t>
      </w:r>
      <w:r>
        <w:rPr>
          <w:rStyle w:val="cf01"/>
          <w:rFonts w:ascii="Times New Roman" w:eastAsiaTheme="majorEastAsia" w:hAnsi="Times New Roman" w:cs="Times New Roman"/>
          <w:sz w:val="20"/>
          <w:szCs w:val="20"/>
        </w:rPr>
        <w:t>D</w:t>
      </w:r>
      <w:r w:rsidR="0060115B">
        <w:rPr>
          <w:rStyle w:val="cf01"/>
          <w:rFonts w:ascii="Times New Roman" w:eastAsiaTheme="majorEastAsia" w:hAnsi="Times New Roman" w:cs="Times New Roman"/>
          <w:sz w:val="20"/>
          <w:szCs w:val="20"/>
        </w:rPr>
        <w:t>-</w:t>
      </w:r>
      <w:r w:rsidRPr="00776635">
        <w:rPr>
          <w:rStyle w:val="cf01"/>
          <w:rFonts w:ascii="Times New Roman" w:eastAsiaTheme="majorEastAsia" w:hAnsi="Times New Roman" w:cs="Times New Roman"/>
          <w:sz w:val="20"/>
          <w:szCs w:val="20"/>
        </w:rPr>
        <w:t>19</w:t>
      </w:r>
      <w:r w:rsidR="0049458F">
        <w:rPr>
          <w:rStyle w:val="cf01"/>
          <w:rFonts w:ascii="Times New Roman" w:eastAsiaTheme="majorEastAsia" w:hAnsi="Times New Roman" w:cs="Times New Roman"/>
          <w:sz w:val="20"/>
          <w:szCs w:val="20"/>
        </w:rPr>
        <w:t xml:space="preserve"> pandemic</w:t>
      </w:r>
      <w:r w:rsidRPr="00776635">
        <w:rPr>
          <w:rStyle w:val="cf01"/>
          <w:rFonts w:ascii="Times New Roman" w:eastAsiaTheme="majorEastAsia" w:hAnsi="Times New Roman" w:cs="Times New Roman"/>
          <w:sz w:val="20"/>
          <w:szCs w:val="20"/>
        </w:rPr>
        <w:t xml:space="preserve">, millions of older </w:t>
      </w:r>
      <w:r>
        <w:rPr>
          <w:rStyle w:val="cf01"/>
          <w:rFonts w:ascii="Times New Roman" w:eastAsiaTheme="majorEastAsia" w:hAnsi="Times New Roman" w:cs="Times New Roman"/>
          <w:sz w:val="20"/>
          <w:szCs w:val="20"/>
        </w:rPr>
        <w:t>persons</w:t>
      </w:r>
      <w:r w:rsidRPr="00776635">
        <w:rPr>
          <w:rStyle w:val="cf01"/>
          <w:rFonts w:ascii="Times New Roman" w:eastAsiaTheme="majorEastAsia" w:hAnsi="Times New Roman" w:cs="Times New Roman"/>
          <w:sz w:val="20"/>
          <w:szCs w:val="20"/>
        </w:rPr>
        <w:t xml:space="preserve"> in </w:t>
      </w:r>
      <w:r w:rsidR="00D713CB">
        <w:rPr>
          <w:rStyle w:val="cf01"/>
          <w:rFonts w:ascii="Times New Roman" w:eastAsiaTheme="majorEastAsia" w:hAnsi="Times New Roman" w:cs="Times New Roman"/>
          <w:sz w:val="20"/>
          <w:szCs w:val="20"/>
        </w:rPr>
        <w:t>low- and middle-income countries</w:t>
      </w:r>
      <w:r w:rsidR="0068108C">
        <w:rPr>
          <w:rStyle w:val="cf01"/>
          <w:rFonts w:ascii="Times New Roman" w:eastAsiaTheme="majorEastAsia" w:hAnsi="Times New Roman" w:cs="Times New Roman"/>
          <w:sz w:val="20"/>
          <w:szCs w:val="20"/>
        </w:rPr>
        <w:t>,</w:t>
      </w:r>
      <w:r w:rsidR="00D713CB">
        <w:rPr>
          <w:rStyle w:val="cf01"/>
          <w:rFonts w:ascii="Times New Roman" w:eastAsiaTheme="majorEastAsia" w:hAnsi="Times New Roman" w:cs="Times New Roman"/>
          <w:sz w:val="20"/>
          <w:szCs w:val="20"/>
        </w:rPr>
        <w:t xml:space="preserve"> </w:t>
      </w:r>
      <w:r w:rsidR="00D713CB" w:rsidRPr="00776635">
        <w:t xml:space="preserve">despite </w:t>
      </w:r>
      <w:r w:rsidR="00D713CB">
        <w:t>being</w:t>
      </w:r>
      <w:r w:rsidR="00D713CB" w:rsidRPr="00776635">
        <w:t xml:space="preserve"> at risk of severe disease and death from the virus</w:t>
      </w:r>
      <w:r w:rsidR="00D713CB">
        <w:t>,</w:t>
      </w:r>
      <w:r w:rsidR="00D713CB" w:rsidRPr="00776635">
        <w:rPr>
          <w:rStyle w:val="cf01"/>
          <w:rFonts w:ascii="Times New Roman" w:eastAsiaTheme="majorEastAsia" w:hAnsi="Times New Roman" w:cs="Times New Roman"/>
          <w:sz w:val="20"/>
          <w:szCs w:val="20"/>
        </w:rPr>
        <w:t xml:space="preserve"> </w:t>
      </w:r>
      <w:r>
        <w:rPr>
          <w:rStyle w:val="cf01"/>
          <w:rFonts w:ascii="Times New Roman" w:eastAsiaTheme="majorEastAsia" w:hAnsi="Times New Roman" w:cs="Times New Roman"/>
          <w:sz w:val="20"/>
          <w:szCs w:val="20"/>
        </w:rPr>
        <w:t xml:space="preserve">faced challenges </w:t>
      </w:r>
      <w:r w:rsidR="0068108C">
        <w:rPr>
          <w:rStyle w:val="cf01"/>
          <w:rFonts w:ascii="Times New Roman" w:eastAsiaTheme="majorEastAsia" w:hAnsi="Times New Roman" w:cs="Times New Roman"/>
          <w:sz w:val="20"/>
          <w:szCs w:val="20"/>
        </w:rPr>
        <w:t xml:space="preserve">in their </w:t>
      </w:r>
      <w:r w:rsidRPr="00776635">
        <w:rPr>
          <w:rStyle w:val="cf01"/>
          <w:rFonts w:ascii="Times New Roman" w:eastAsiaTheme="majorEastAsia" w:hAnsi="Times New Roman" w:cs="Times New Roman"/>
          <w:sz w:val="20"/>
          <w:szCs w:val="20"/>
        </w:rPr>
        <w:t>access to vaccines, tests and treatments</w:t>
      </w:r>
      <w:r w:rsidR="0068108C">
        <w:rPr>
          <w:rStyle w:val="cf01"/>
          <w:rFonts w:ascii="Times New Roman" w:eastAsiaTheme="majorEastAsia" w:hAnsi="Times New Roman" w:cs="Times New Roman"/>
          <w:sz w:val="20"/>
          <w:szCs w:val="20"/>
        </w:rPr>
        <w:t>;</w:t>
      </w:r>
      <w:r>
        <w:rPr>
          <w:rStyle w:val="cf01"/>
          <w:rFonts w:ascii="Times New Roman" w:eastAsiaTheme="majorEastAsia" w:hAnsi="Times New Roman" w:cs="Times New Roman"/>
          <w:sz w:val="20"/>
          <w:szCs w:val="20"/>
        </w:rPr>
        <w:t xml:space="preserve"> </w:t>
      </w:r>
      <w:r w:rsidR="0068108C">
        <w:rPr>
          <w:rStyle w:val="cf01"/>
          <w:rFonts w:ascii="Times New Roman" w:eastAsiaTheme="majorEastAsia" w:hAnsi="Times New Roman" w:cs="Times New Roman"/>
          <w:sz w:val="20"/>
          <w:szCs w:val="20"/>
        </w:rPr>
        <w:t xml:space="preserve">in some countries, </w:t>
      </w:r>
      <w:r>
        <w:rPr>
          <w:rStyle w:val="cf01"/>
          <w:rFonts w:ascii="Times New Roman" w:eastAsiaTheme="majorEastAsia" w:hAnsi="Times New Roman" w:cs="Times New Roman"/>
          <w:sz w:val="20"/>
          <w:szCs w:val="20"/>
        </w:rPr>
        <w:t>less tha</w:t>
      </w:r>
      <w:r w:rsidR="00D713CB">
        <w:rPr>
          <w:rStyle w:val="cf01"/>
          <w:rFonts w:ascii="Times New Roman" w:eastAsiaTheme="majorEastAsia" w:hAnsi="Times New Roman" w:cs="Times New Roman"/>
          <w:sz w:val="20"/>
          <w:szCs w:val="20"/>
        </w:rPr>
        <w:t>n</w:t>
      </w:r>
      <w:r>
        <w:rPr>
          <w:rStyle w:val="cf01"/>
          <w:rFonts w:ascii="Times New Roman" w:eastAsiaTheme="majorEastAsia" w:hAnsi="Times New Roman" w:cs="Times New Roman"/>
          <w:sz w:val="20"/>
          <w:szCs w:val="20"/>
        </w:rPr>
        <w:t xml:space="preserve"> 5 per</w:t>
      </w:r>
      <w:r w:rsidR="00D713CB">
        <w:rPr>
          <w:rStyle w:val="cf01"/>
          <w:rFonts w:ascii="Times New Roman" w:eastAsiaTheme="majorEastAsia" w:hAnsi="Times New Roman" w:cs="Times New Roman"/>
          <w:sz w:val="20"/>
          <w:szCs w:val="20"/>
        </w:rPr>
        <w:t xml:space="preserve"> </w:t>
      </w:r>
      <w:r>
        <w:rPr>
          <w:rStyle w:val="cf01"/>
          <w:rFonts w:ascii="Times New Roman" w:eastAsiaTheme="majorEastAsia" w:hAnsi="Times New Roman" w:cs="Times New Roman"/>
          <w:sz w:val="20"/>
          <w:szCs w:val="20"/>
        </w:rPr>
        <w:t xml:space="preserve">cent of older persons </w:t>
      </w:r>
      <w:r w:rsidR="0068108C">
        <w:rPr>
          <w:rStyle w:val="cf01"/>
          <w:rFonts w:ascii="Times New Roman" w:eastAsiaTheme="majorEastAsia" w:hAnsi="Times New Roman" w:cs="Times New Roman"/>
          <w:sz w:val="20"/>
          <w:szCs w:val="20"/>
        </w:rPr>
        <w:t>were</w:t>
      </w:r>
      <w:r w:rsidR="00636A5C">
        <w:rPr>
          <w:rStyle w:val="cf01"/>
          <w:rFonts w:ascii="Times New Roman" w:eastAsiaTheme="majorEastAsia" w:hAnsi="Times New Roman" w:cs="Times New Roman"/>
          <w:sz w:val="20"/>
          <w:szCs w:val="20"/>
        </w:rPr>
        <w:t xml:space="preserve"> </w:t>
      </w:r>
      <w:r>
        <w:rPr>
          <w:rStyle w:val="cf01"/>
          <w:rFonts w:ascii="Times New Roman" w:eastAsiaTheme="majorEastAsia" w:hAnsi="Times New Roman" w:cs="Times New Roman"/>
          <w:sz w:val="20"/>
          <w:szCs w:val="20"/>
        </w:rPr>
        <w:t xml:space="preserve">vaccinated as </w:t>
      </w:r>
      <w:r w:rsidR="0068108C">
        <w:rPr>
          <w:rStyle w:val="cf01"/>
          <w:rFonts w:ascii="Times New Roman" w:eastAsiaTheme="majorEastAsia" w:hAnsi="Times New Roman" w:cs="Times New Roman"/>
          <w:sz w:val="20"/>
          <w:szCs w:val="20"/>
        </w:rPr>
        <w:t xml:space="preserve">at </w:t>
      </w:r>
      <w:r>
        <w:rPr>
          <w:rStyle w:val="cf01"/>
          <w:rFonts w:ascii="Times New Roman" w:eastAsiaTheme="majorEastAsia" w:hAnsi="Times New Roman" w:cs="Times New Roman"/>
          <w:sz w:val="20"/>
          <w:szCs w:val="20"/>
        </w:rPr>
        <w:t>May 2022</w:t>
      </w:r>
      <w:r w:rsidRPr="00776635">
        <w:rPr>
          <w:rStyle w:val="cf01"/>
          <w:rFonts w:ascii="Times New Roman" w:eastAsiaTheme="majorEastAsia" w:hAnsi="Times New Roman" w:cs="Times New Roman"/>
          <w:sz w:val="20"/>
          <w:szCs w:val="20"/>
        </w:rPr>
        <w:t>.</w:t>
      </w:r>
      <w:r w:rsidRPr="009E050C">
        <w:rPr>
          <w:rStyle w:val="FootnoteReference"/>
          <w:rFonts w:eastAsiaTheme="majorEastAsia"/>
          <w:szCs w:val="18"/>
        </w:rPr>
        <w:footnoteReference w:id="77"/>
      </w:r>
      <w:r w:rsidRPr="00967D72">
        <w:rPr>
          <w:rStyle w:val="cf01"/>
          <w:rFonts w:ascii="Times New Roman" w:eastAsiaTheme="majorEastAsia" w:hAnsi="Times New Roman" w:cs="Times New Roman"/>
          <w:sz w:val="20"/>
          <w:szCs w:val="20"/>
        </w:rPr>
        <w:t xml:space="preserve"> In </w:t>
      </w:r>
      <w:r w:rsidR="001920C2">
        <w:rPr>
          <w:rStyle w:val="cf01"/>
          <w:rFonts w:ascii="Times New Roman" w:eastAsiaTheme="majorEastAsia" w:hAnsi="Times New Roman" w:cs="Times New Roman"/>
          <w:sz w:val="20"/>
          <w:szCs w:val="20"/>
        </w:rPr>
        <w:t>some countries</w:t>
      </w:r>
      <w:r w:rsidR="0068108C">
        <w:rPr>
          <w:rStyle w:val="cf01"/>
          <w:rFonts w:ascii="Times New Roman" w:eastAsiaTheme="majorEastAsia" w:hAnsi="Times New Roman" w:cs="Times New Roman"/>
          <w:sz w:val="20"/>
          <w:szCs w:val="20"/>
        </w:rPr>
        <w:t>,</w:t>
      </w:r>
      <w:r w:rsidRPr="00967D72">
        <w:rPr>
          <w:rStyle w:val="cf01"/>
          <w:rFonts w:ascii="Times New Roman" w:eastAsiaTheme="majorEastAsia" w:hAnsi="Times New Roman" w:cs="Times New Roman"/>
          <w:sz w:val="20"/>
          <w:szCs w:val="20"/>
        </w:rPr>
        <w:t xml:space="preserve"> the cost of prescription drugs</w:t>
      </w:r>
      <w:r w:rsidR="00241D5C">
        <w:rPr>
          <w:rStyle w:val="cf01"/>
          <w:rFonts w:ascii="Times New Roman" w:eastAsiaTheme="majorEastAsia" w:hAnsi="Times New Roman" w:cs="Times New Roman"/>
          <w:sz w:val="20"/>
          <w:szCs w:val="20"/>
        </w:rPr>
        <w:t xml:space="preserve"> generates </w:t>
      </w:r>
      <w:r w:rsidRPr="00967D72">
        <w:rPr>
          <w:rStyle w:val="cf01"/>
          <w:rFonts w:ascii="Times New Roman" w:eastAsiaTheme="majorEastAsia" w:hAnsi="Times New Roman" w:cs="Times New Roman"/>
          <w:sz w:val="20"/>
          <w:szCs w:val="20"/>
        </w:rPr>
        <w:t>financial hardship</w:t>
      </w:r>
      <w:r w:rsidR="00241D5C" w:rsidRPr="00241D5C">
        <w:rPr>
          <w:rStyle w:val="cf01"/>
          <w:rFonts w:ascii="Times New Roman" w:eastAsiaTheme="majorEastAsia" w:hAnsi="Times New Roman" w:cs="Times New Roman"/>
          <w:sz w:val="20"/>
          <w:szCs w:val="20"/>
        </w:rPr>
        <w:t xml:space="preserve"> </w:t>
      </w:r>
      <w:r w:rsidR="00241D5C">
        <w:rPr>
          <w:rStyle w:val="cf01"/>
          <w:rFonts w:ascii="Times New Roman" w:eastAsiaTheme="majorEastAsia" w:hAnsi="Times New Roman" w:cs="Times New Roman"/>
          <w:sz w:val="20"/>
          <w:szCs w:val="20"/>
        </w:rPr>
        <w:t xml:space="preserve">for </w:t>
      </w:r>
      <w:r w:rsidR="00241D5C" w:rsidRPr="00967D72">
        <w:rPr>
          <w:rStyle w:val="cf01"/>
          <w:rFonts w:ascii="Times New Roman" w:eastAsiaTheme="majorEastAsia" w:hAnsi="Times New Roman" w:cs="Times New Roman"/>
          <w:sz w:val="20"/>
          <w:szCs w:val="20"/>
        </w:rPr>
        <w:t>older persons</w:t>
      </w:r>
      <w:r w:rsidRPr="00967D72">
        <w:rPr>
          <w:rStyle w:val="cf01"/>
          <w:rFonts w:ascii="Times New Roman" w:eastAsiaTheme="majorEastAsia" w:hAnsi="Times New Roman" w:cs="Times New Roman"/>
          <w:sz w:val="20"/>
          <w:szCs w:val="20"/>
        </w:rPr>
        <w:t>.</w:t>
      </w:r>
      <w:r w:rsidRPr="00967D72">
        <w:rPr>
          <w:rStyle w:val="FootnoteReference"/>
          <w:rFonts w:eastAsiaTheme="majorEastAsia"/>
          <w:sz w:val="20"/>
        </w:rPr>
        <w:footnoteReference w:id="78"/>
      </w:r>
      <w:r w:rsidRPr="00967D72">
        <w:rPr>
          <w:rStyle w:val="cf01"/>
          <w:rFonts w:ascii="Times New Roman" w:eastAsiaTheme="majorEastAsia" w:hAnsi="Times New Roman" w:cs="Times New Roman"/>
          <w:sz w:val="20"/>
          <w:szCs w:val="20"/>
        </w:rPr>
        <w:t xml:space="preserve"> </w:t>
      </w:r>
      <w:r w:rsidR="005803BA">
        <w:rPr>
          <w:rStyle w:val="cf01"/>
          <w:rFonts w:ascii="Times New Roman" w:eastAsiaTheme="majorEastAsia" w:hAnsi="Times New Roman" w:cs="Times New Roman"/>
          <w:sz w:val="20"/>
          <w:szCs w:val="20"/>
        </w:rPr>
        <w:t xml:space="preserve">In certain cases, </w:t>
      </w:r>
      <w:r w:rsidRPr="00967D72">
        <w:rPr>
          <w:rStyle w:val="cf01"/>
          <w:rFonts w:ascii="Times New Roman" w:eastAsiaTheme="majorEastAsia" w:hAnsi="Times New Roman" w:cs="Times New Roman"/>
          <w:sz w:val="20"/>
          <w:szCs w:val="20"/>
        </w:rPr>
        <w:t xml:space="preserve">the high costs </w:t>
      </w:r>
      <w:r w:rsidR="00812C35">
        <w:rPr>
          <w:rStyle w:val="cf01"/>
          <w:rFonts w:ascii="Times New Roman" w:eastAsiaTheme="majorEastAsia" w:hAnsi="Times New Roman" w:cs="Times New Roman"/>
          <w:sz w:val="20"/>
          <w:szCs w:val="20"/>
        </w:rPr>
        <w:t>deny</w:t>
      </w:r>
      <w:r w:rsidR="00812C35" w:rsidRPr="00967D72">
        <w:rPr>
          <w:rStyle w:val="cf01"/>
          <w:rFonts w:ascii="Times New Roman" w:eastAsiaTheme="majorEastAsia" w:hAnsi="Times New Roman" w:cs="Times New Roman"/>
          <w:sz w:val="20"/>
          <w:szCs w:val="20"/>
        </w:rPr>
        <w:t xml:space="preserve"> </w:t>
      </w:r>
      <w:r w:rsidRPr="00967D72">
        <w:rPr>
          <w:rStyle w:val="cf01"/>
          <w:rFonts w:ascii="Times New Roman" w:eastAsiaTheme="majorEastAsia" w:hAnsi="Times New Roman" w:cs="Times New Roman"/>
          <w:sz w:val="20"/>
          <w:szCs w:val="20"/>
        </w:rPr>
        <w:t xml:space="preserve">older persons access </w:t>
      </w:r>
      <w:r w:rsidR="00812C35">
        <w:rPr>
          <w:rStyle w:val="cf01"/>
          <w:rFonts w:ascii="Times New Roman" w:eastAsiaTheme="majorEastAsia" w:hAnsi="Times New Roman" w:cs="Times New Roman"/>
          <w:sz w:val="20"/>
          <w:szCs w:val="20"/>
        </w:rPr>
        <w:t xml:space="preserve">to </w:t>
      </w:r>
      <w:r w:rsidRPr="00967D72">
        <w:rPr>
          <w:rStyle w:val="cf01"/>
          <w:rFonts w:ascii="Times New Roman" w:eastAsiaTheme="majorEastAsia" w:hAnsi="Times New Roman" w:cs="Times New Roman"/>
          <w:sz w:val="20"/>
          <w:szCs w:val="20"/>
        </w:rPr>
        <w:t>prescription drugs.</w:t>
      </w:r>
      <w:r w:rsidRPr="009E050C">
        <w:rPr>
          <w:rStyle w:val="FootnoteReference"/>
          <w:rFonts w:eastAsiaTheme="majorEastAsia"/>
          <w:szCs w:val="18"/>
        </w:rPr>
        <w:footnoteReference w:id="79"/>
      </w:r>
      <w:r w:rsidRPr="00967D72">
        <w:rPr>
          <w:rStyle w:val="cf01"/>
          <w:rFonts w:ascii="Times New Roman" w:eastAsiaTheme="majorEastAsia" w:hAnsi="Times New Roman" w:cs="Times New Roman"/>
          <w:sz w:val="20"/>
          <w:szCs w:val="20"/>
        </w:rPr>
        <w:t xml:space="preserve"> </w:t>
      </w:r>
      <w:r w:rsidRPr="00776635">
        <w:t xml:space="preserve">Medicines, vaccines and assistive technologies must be available and accessible to people of all ages to support healthy ageing, including those </w:t>
      </w:r>
      <w:r w:rsidR="00812C35">
        <w:t>that</w:t>
      </w:r>
      <w:r w:rsidR="00812C35" w:rsidRPr="00776635">
        <w:t xml:space="preserve"> </w:t>
      </w:r>
      <w:r w:rsidRPr="00776635">
        <w:t xml:space="preserve">address </w:t>
      </w:r>
      <w:r w:rsidR="00812C35" w:rsidRPr="00335526">
        <w:t>non</w:t>
      </w:r>
      <w:r w:rsidR="00812C35">
        <w:t>-</w:t>
      </w:r>
      <w:r w:rsidR="00812C35" w:rsidRPr="00335526">
        <w:t>communicable diseases</w:t>
      </w:r>
      <w:r w:rsidRPr="00776635">
        <w:t>, age-related conditions and disability.</w:t>
      </w:r>
    </w:p>
    <w:p w14:paraId="5FF16F1F" w14:textId="1D442E44" w:rsidR="00251721" w:rsidRDefault="00481ADD" w:rsidP="009E050C">
      <w:pPr>
        <w:pStyle w:val="SingleTxtG"/>
        <w:numPr>
          <w:ilvl w:val="0"/>
          <w:numId w:val="11"/>
        </w:numPr>
        <w:ind w:left="1134" w:firstLine="0"/>
      </w:pPr>
      <w:r>
        <w:t>Stigma</w:t>
      </w:r>
      <w:r w:rsidR="00243904">
        <w:t xml:space="preserve"> is another hurdle that</w:t>
      </w:r>
      <w:r>
        <w:t xml:space="preserve"> </w:t>
      </w:r>
      <w:r w:rsidR="006123AA">
        <w:t xml:space="preserve">can </w:t>
      </w:r>
      <w:r>
        <w:t xml:space="preserve">lead to </w:t>
      </w:r>
      <w:r w:rsidR="006123AA">
        <w:t xml:space="preserve">the rationing of </w:t>
      </w:r>
      <w:r>
        <w:t xml:space="preserve">care, where treatment is restricted or denied </w:t>
      </w:r>
      <w:r w:rsidR="00E248DE">
        <w:t>according to</w:t>
      </w:r>
      <w:r>
        <w:t xml:space="preserve"> </w:t>
      </w:r>
      <w:r w:rsidR="00243904">
        <w:t xml:space="preserve">the age of </w:t>
      </w:r>
      <w:r w:rsidR="00E248DE">
        <w:t xml:space="preserve">the </w:t>
      </w:r>
      <w:r>
        <w:t xml:space="preserve">patient rather than anticipated </w:t>
      </w:r>
      <w:r w:rsidR="00E248DE">
        <w:t xml:space="preserve">effectiveness of </w:t>
      </w:r>
      <w:r>
        <w:t xml:space="preserve">treatment. </w:t>
      </w:r>
      <w:r w:rsidR="00E248DE">
        <w:t xml:space="preserve">The </w:t>
      </w:r>
      <w:r>
        <w:t xml:space="preserve">COVID-19 </w:t>
      </w:r>
      <w:r w:rsidR="00E248DE">
        <w:t xml:space="preserve">pandemic </w:t>
      </w:r>
      <w:r w:rsidR="002C61DC">
        <w:t xml:space="preserve">further </w:t>
      </w:r>
      <w:r>
        <w:t xml:space="preserve">showed the dilemmas </w:t>
      </w:r>
      <w:r w:rsidR="004B4AD8">
        <w:t xml:space="preserve">for </w:t>
      </w:r>
      <w:r>
        <w:t xml:space="preserve">older persons </w:t>
      </w:r>
      <w:r w:rsidR="004B4AD8">
        <w:t xml:space="preserve">that resulted when they were </w:t>
      </w:r>
      <w:r w:rsidR="00EF4E75">
        <w:t xml:space="preserve">without </w:t>
      </w:r>
      <w:r>
        <w:t xml:space="preserve">access </w:t>
      </w:r>
      <w:r w:rsidR="00EF4E75">
        <w:t xml:space="preserve">to </w:t>
      </w:r>
      <w:r>
        <w:t>health</w:t>
      </w:r>
      <w:r w:rsidR="00EF4E75">
        <w:t>-</w:t>
      </w:r>
      <w:r>
        <w:t>care products</w:t>
      </w:r>
      <w:r w:rsidR="00EF4E75">
        <w:t>,</w:t>
      </w:r>
      <w:r>
        <w:t xml:space="preserve"> such as medicines. A systemic review by WHO in 2020 showed that</w:t>
      </w:r>
      <w:r w:rsidR="005E4FA9">
        <w:t>,</w:t>
      </w:r>
      <w:r>
        <w:t xml:space="preserve"> in 85 per</w:t>
      </w:r>
      <w:r w:rsidR="005E4FA9">
        <w:t xml:space="preserve"> </w:t>
      </w:r>
      <w:r>
        <w:t>cent of 149 studies, age determined who received certain medical procedures or treatments.</w:t>
      </w:r>
      <w:r>
        <w:rPr>
          <w:rStyle w:val="FootnoteReference"/>
        </w:rPr>
        <w:footnoteReference w:id="80"/>
      </w:r>
      <w:r>
        <w:t xml:space="preserve"> </w:t>
      </w:r>
      <w:r w:rsidR="00F05349">
        <w:t xml:space="preserve">With regard to </w:t>
      </w:r>
      <w:r>
        <w:t xml:space="preserve">the obstacles </w:t>
      </w:r>
      <w:r w:rsidR="00F05349">
        <w:t>that</w:t>
      </w:r>
      <w:r>
        <w:t xml:space="preserve"> older persons </w:t>
      </w:r>
      <w:r w:rsidR="00F05349">
        <w:t xml:space="preserve">face in their </w:t>
      </w:r>
      <w:r>
        <w:t xml:space="preserve">access </w:t>
      </w:r>
      <w:r w:rsidR="00F05349">
        <w:t xml:space="preserve">to </w:t>
      </w:r>
      <w:r>
        <w:t>medicines or treatment</w:t>
      </w:r>
      <w:r w:rsidR="00F05349">
        <w:t>,</w:t>
      </w:r>
      <w:r>
        <w:t xml:space="preserve"> </w:t>
      </w:r>
      <w:r w:rsidR="00F05349">
        <w:t>the Department of Economic and Social Affairs</w:t>
      </w:r>
      <w:r w:rsidR="00DE4098">
        <w:t xml:space="preserve"> found </w:t>
      </w:r>
      <w:r>
        <w:t>that older persons are less often recommended for surgery or chemotherapy.</w:t>
      </w:r>
      <w:r>
        <w:rPr>
          <w:rStyle w:val="FootnoteReference"/>
        </w:rPr>
        <w:footnoteReference w:id="81"/>
      </w:r>
      <w:r>
        <w:t xml:space="preserve"> </w:t>
      </w:r>
    </w:p>
    <w:p w14:paraId="5CA7011F" w14:textId="4611FA58" w:rsidR="00EA20CA" w:rsidRDefault="00771745" w:rsidP="009E050C">
      <w:pPr>
        <w:pStyle w:val="SingleTxtG"/>
        <w:numPr>
          <w:ilvl w:val="0"/>
          <w:numId w:val="11"/>
        </w:numPr>
        <w:ind w:left="1134" w:firstLine="0"/>
      </w:pPr>
      <w:r w:rsidRPr="00771745">
        <w:t xml:space="preserve">Assistive technologies are essential for supporting people’s intrinsic capacity, functional </w:t>
      </w:r>
      <w:proofErr w:type="gramStart"/>
      <w:r w:rsidRPr="00771745">
        <w:t>ability</w:t>
      </w:r>
      <w:proofErr w:type="gramEnd"/>
      <w:r w:rsidRPr="00771745">
        <w:t xml:space="preserve"> and quality of life. </w:t>
      </w:r>
      <w:r w:rsidRPr="00041B2D">
        <w:t xml:space="preserve">While WHO estimates that 2.5 billion older persons in need </w:t>
      </w:r>
      <w:r w:rsidR="00262052">
        <w:t>of</w:t>
      </w:r>
      <w:r w:rsidR="00262052" w:rsidRPr="00041B2D">
        <w:t xml:space="preserve"> </w:t>
      </w:r>
      <w:r w:rsidRPr="00041B2D">
        <w:t>one or more assistive products, such as wheelchairs</w:t>
      </w:r>
      <w:r w:rsidR="00041B2D" w:rsidRPr="0009515E">
        <w:t xml:space="preserve"> and</w:t>
      </w:r>
      <w:r w:rsidRPr="00041B2D">
        <w:t xml:space="preserve"> hearing aids</w:t>
      </w:r>
      <w:r w:rsidR="003270AA">
        <w:t>,</w:t>
      </w:r>
      <w:r w:rsidR="00041B2D" w:rsidRPr="0009515E">
        <w:t xml:space="preserve"> among others</w:t>
      </w:r>
      <w:r w:rsidRPr="00041B2D">
        <w:t xml:space="preserve">, nearly one million </w:t>
      </w:r>
      <w:r w:rsidR="00041B2D" w:rsidRPr="0009515E">
        <w:t xml:space="preserve">of </w:t>
      </w:r>
      <w:r w:rsidR="00D06978" w:rsidRPr="0009515E">
        <w:t>them</w:t>
      </w:r>
      <w:r w:rsidR="00D06978" w:rsidRPr="00BA0A0C">
        <w:t xml:space="preserve"> </w:t>
      </w:r>
      <w:r w:rsidR="003270AA">
        <w:t xml:space="preserve">are </w:t>
      </w:r>
      <w:r w:rsidR="00D06978" w:rsidRPr="0009515E">
        <w:t>denied</w:t>
      </w:r>
      <w:r w:rsidR="00041B2D" w:rsidRPr="0009515E">
        <w:t xml:space="preserve"> access</w:t>
      </w:r>
      <w:r w:rsidR="00041B2D">
        <w:t xml:space="preserve"> </w:t>
      </w:r>
      <w:r w:rsidR="00203431">
        <w:t>to the</w:t>
      </w:r>
      <w:r w:rsidR="003270AA">
        <w:t xml:space="preserve">m </w:t>
      </w:r>
      <w:r w:rsidRPr="00041B2D">
        <w:t xml:space="preserve">in </w:t>
      </w:r>
      <w:r w:rsidR="00B46CA3" w:rsidRPr="003C06B2">
        <w:t>low- and middle-income countries</w:t>
      </w:r>
      <w:r w:rsidRPr="00041B2D">
        <w:t>.</w:t>
      </w:r>
      <w:r w:rsidRPr="009E050C">
        <w:rPr>
          <w:sz w:val="18"/>
          <w:szCs w:val="18"/>
          <w:vertAlign w:val="superscript"/>
        </w:rPr>
        <w:footnoteReference w:id="82"/>
      </w:r>
      <w:r w:rsidRPr="00771745">
        <w:t xml:space="preserve"> </w:t>
      </w:r>
    </w:p>
    <w:p w14:paraId="0B0E11F9" w14:textId="5679AB3E" w:rsidR="00662E11" w:rsidRPr="00FE609F" w:rsidRDefault="00662E11" w:rsidP="009E050C">
      <w:pPr>
        <w:pStyle w:val="H23G"/>
        <w:spacing w:line="240" w:lineRule="atLeast"/>
      </w:pPr>
      <w:r w:rsidRPr="00FE609F">
        <w:tab/>
      </w:r>
      <w:r w:rsidR="0065722D">
        <w:t>5.</w:t>
      </w:r>
      <w:r w:rsidRPr="00FE609F">
        <w:tab/>
      </w:r>
      <w:r w:rsidRPr="00662E11">
        <w:tab/>
      </w:r>
      <w:r w:rsidR="00DD63BC" w:rsidRPr="00DD63BC">
        <w:t>Persons with disabilities</w:t>
      </w:r>
    </w:p>
    <w:p w14:paraId="0536A40C" w14:textId="6775CAC0" w:rsidR="00DD63BC" w:rsidRDefault="00DD63BC" w:rsidP="009E050C">
      <w:pPr>
        <w:pStyle w:val="SingleTxtG"/>
        <w:numPr>
          <w:ilvl w:val="0"/>
          <w:numId w:val="11"/>
        </w:numPr>
        <w:ind w:left="1134" w:firstLine="0"/>
      </w:pPr>
      <w:r w:rsidRPr="00DD63BC">
        <w:t xml:space="preserve">Compared to the general population, persons with disabilities are significantly more likely to experience </w:t>
      </w:r>
      <w:r w:rsidR="004E2C72">
        <w:t>stigma</w:t>
      </w:r>
      <w:r w:rsidRPr="00DD63BC">
        <w:t xml:space="preserve"> and discrimination in the context of health</w:t>
      </w:r>
      <w:r w:rsidR="00DA6B64">
        <w:t>,</w:t>
      </w:r>
      <w:r w:rsidRPr="009E050C">
        <w:rPr>
          <w:sz w:val="18"/>
          <w:szCs w:val="18"/>
          <w:vertAlign w:val="superscript"/>
        </w:rPr>
        <w:footnoteReference w:id="83"/>
      </w:r>
      <w:r w:rsidRPr="00DD63BC">
        <w:t xml:space="preserve"> </w:t>
      </w:r>
      <w:r w:rsidR="00DA6B64">
        <w:t>and encounter</w:t>
      </w:r>
      <w:r w:rsidRPr="00DD63BC">
        <w:t xml:space="preserve"> barriers in their interaction with </w:t>
      </w:r>
      <w:r w:rsidR="000237CA">
        <w:t>various</w:t>
      </w:r>
      <w:r w:rsidRPr="00DD63BC">
        <w:t xml:space="preserve"> building blocks of </w:t>
      </w:r>
      <w:r w:rsidR="00B71363">
        <w:t xml:space="preserve">the </w:t>
      </w:r>
      <w:r w:rsidRPr="00DD63BC">
        <w:t>health system.</w:t>
      </w:r>
      <w:r w:rsidRPr="00DD63BC">
        <w:rPr>
          <w:vertAlign w:val="superscript"/>
        </w:rPr>
        <w:footnoteReference w:id="84"/>
      </w:r>
    </w:p>
    <w:p w14:paraId="2B934D67" w14:textId="3B459EC3" w:rsidR="00DD63BC" w:rsidRDefault="00DD63BC" w:rsidP="009E050C">
      <w:pPr>
        <w:pStyle w:val="SingleTxtG"/>
        <w:numPr>
          <w:ilvl w:val="0"/>
          <w:numId w:val="11"/>
        </w:numPr>
        <w:ind w:left="1134" w:firstLine="0"/>
      </w:pPr>
      <w:r w:rsidRPr="00DD63BC">
        <w:t xml:space="preserve">Service delivery may not be </w:t>
      </w:r>
      <w:r w:rsidR="008E7E09">
        <w:t>suited</w:t>
      </w:r>
      <w:r w:rsidR="008E7E09" w:rsidRPr="00DD63BC">
        <w:t xml:space="preserve"> </w:t>
      </w:r>
      <w:r w:rsidRPr="00DD63BC">
        <w:t xml:space="preserve">to the specific needs of persons with disabilities. The health and care workforce may </w:t>
      </w:r>
      <w:r w:rsidR="00E10DDB">
        <w:t>prioritize</w:t>
      </w:r>
      <w:r w:rsidR="00E10DDB" w:rsidRPr="00DD63BC">
        <w:t xml:space="preserve"> </w:t>
      </w:r>
      <w:r w:rsidRPr="00DD63BC">
        <w:t>a</w:t>
      </w:r>
      <w:r w:rsidR="00E10DDB">
        <w:t>n exclusive</w:t>
      </w:r>
      <w:r w:rsidRPr="00DD63BC">
        <w:t xml:space="preserve"> </w:t>
      </w:r>
      <w:r w:rsidR="00B0231D">
        <w:t xml:space="preserve">medical </w:t>
      </w:r>
      <w:r w:rsidRPr="00DD63BC">
        <w:t>approach to health</w:t>
      </w:r>
      <w:r w:rsidR="00E10DDB">
        <w:t xml:space="preserve">, without </w:t>
      </w:r>
      <w:proofErr w:type="gramStart"/>
      <w:r w:rsidR="00E10DDB">
        <w:t>taking into account</w:t>
      </w:r>
      <w:proofErr w:type="gramEnd"/>
      <w:r w:rsidR="005B2038">
        <w:t xml:space="preserve"> </w:t>
      </w:r>
      <w:r w:rsidR="008E7E09">
        <w:t xml:space="preserve">a </w:t>
      </w:r>
      <w:r w:rsidR="005B2038">
        <w:t>human rights</w:t>
      </w:r>
      <w:r w:rsidR="008E7E09">
        <w:t>-based</w:t>
      </w:r>
      <w:r w:rsidR="005B2038">
        <w:t xml:space="preserve"> approach to disability, </w:t>
      </w:r>
      <w:r w:rsidR="00FF00D5">
        <w:t xml:space="preserve">such as </w:t>
      </w:r>
      <w:r w:rsidR="00E10DDB">
        <w:t xml:space="preserve">full </w:t>
      </w:r>
      <w:r w:rsidR="003C42B7">
        <w:t>respect</w:t>
      </w:r>
      <w:r w:rsidR="00E10DDB">
        <w:t xml:space="preserve"> for</w:t>
      </w:r>
      <w:r w:rsidR="003C42B7">
        <w:t xml:space="preserve"> </w:t>
      </w:r>
      <w:r w:rsidRPr="00DD63BC">
        <w:t xml:space="preserve">autonomy, dignity and equality enshrined </w:t>
      </w:r>
      <w:r w:rsidR="00E10DDB">
        <w:t>in different treaties, as</w:t>
      </w:r>
      <w:r w:rsidRPr="00DD63BC">
        <w:t xml:space="preserve"> </w:t>
      </w:r>
      <w:r w:rsidR="00FF00D5">
        <w:t xml:space="preserve">laid out in </w:t>
      </w:r>
      <w:r w:rsidRPr="00DD63BC">
        <w:t>the Convention on the Rights of Persons with Disabilities. This lack of a</w:t>
      </w:r>
      <w:r w:rsidR="00C16695">
        <w:t xml:space="preserve"> human </w:t>
      </w:r>
      <w:r w:rsidR="00D43EF1">
        <w:t>rights-based</w:t>
      </w:r>
      <w:r w:rsidR="00C16695">
        <w:t xml:space="preserve"> approach to disability</w:t>
      </w:r>
      <w:r w:rsidR="003E07B9">
        <w:t>, including lack of information systems</w:t>
      </w:r>
      <w:r w:rsidR="00FF00D5">
        <w:t>,</w:t>
      </w:r>
      <w:r w:rsidRPr="00DD63BC">
        <w:t xml:space="preserve"> c</w:t>
      </w:r>
      <w:r w:rsidR="00FF00D5">
        <w:t>an c</w:t>
      </w:r>
      <w:r w:rsidRPr="00DD63BC">
        <w:t>ontribute to a</w:t>
      </w:r>
      <w:r w:rsidR="000237CA">
        <w:t xml:space="preserve"> lack of </w:t>
      </w:r>
      <w:r w:rsidRPr="00DD63BC">
        <w:t xml:space="preserve">prioritization of </w:t>
      </w:r>
      <w:r w:rsidR="000237CA">
        <w:t xml:space="preserve">persons with </w:t>
      </w:r>
      <w:r w:rsidRPr="00DD63BC">
        <w:t>disabilit</w:t>
      </w:r>
      <w:r w:rsidR="000237CA">
        <w:t>ies</w:t>
      </w:r>
      <w:r w:rsidRPr="00DD63BC">
        <w:t xml:space="preserve"> and</w:t>
      </w:r>
      <w:r w:rsidR="000237CA">
        <w:t>,</w:t>
      </w:r>
      <w:r w:rsidRPr="00DD63BC">
        <w:t xml:space="preserve"> </w:t>
      </w:r>
      <w:r w:rsidR="000237CA">
        <w:t xml:space="preserve">in turn, </w:t>
      </w:r>
      <w:r w:rsidRPr="00DD63BC">
        <w:t>perpetuate inequality and discrimination.</w:t>
      </w:r>
      <w:r w:rsidRPr="009E050C">
        <w:rPr>
          <w:sz w:val="18"/>
          <w:szCs w:val="18"/>
          <w:vertAlign w:val="superscript"/>
        </w:rPr>
        <w:footnoteReference w:id="85"/>
      </w:r>
    </w:p>
    <w:p w14:paraId="62FA1E67" w14:textId="35407571" w:rsidR="00DD63BC" w:rsidRPr="00DD63BC" w:rsidRDefault="00DD63BC" w:rsidP="009E050C">
      <w:pPr>
        <w:pStyle w:val="SingleTxtG"/>
        <w:numPr>
          <w:ilvl w:val="0"/>
          <w:numId w:val="11"/>
        </w:numPr>
        <w:ind w:left="1134" w:firstLine="0"/>
      </w:pPr>
      <w:r>
        <w:t>P</w:t>
      </w:r>
      <w:r w:rsidRPr="00DD63BC">
        <w:t xml:space="preserve">ersons with disabilities may </w:t>
      </w:r>
      <w:r w:rsidR="00FF00D5">
        <w:t>moreover</w:t>
      </w:r>
      <w:r w:rsidR="00FF00D5" w:rsidRPr="00DD63BC">
        <w:t xml:space="preserve"> </w:t>
      </w:r>
      <w:r w:rsidRPr="00DD63BC">
        <w:t>be excluded from health coverage program</w:t>
      </w:r>
      <w:r>
        <w:t>me</w:t>
      </w:r>
      <w:r w:rsidRPr="00DD63BC">
        <w:t xml:space="preserve">s </w:t>
      </w:r>
      <w:r w:rsidR="00E112BA">
        <w:t xml:space="preserve">on </w:t>
      </w:r>
      <w:r w:rsidR="00FF00D5">
        <w:t xml:space="preserve">the </w:t>
      </w:r>
      <w:r w:rsidR="00E112BA">
        <w:t>grounds of</w:t>
      </w:r>
      <w:r w:rsidRPr="00DD63BC">
        <w:t xml:space="preserve"> pre-existing conditions, and they often bear higher </w:t>
      </w:r>
      <w:r w:rsidR="00D43EF1">
        <w:t>out-of-pocket</w:t>
      </w:r>
      <w:r w:rsidR="00D43EF1" w:rsidRPr="00DD63BC">
        <w:t xml:space="preserve"> </w:t>
      </w:r>
      <w:r w:rsidR="004D4D1C">
        <w:t>costs</w:t>
      </w:r>
      <w:r w:rsidR="004D4D1C" w:rsidRPr="00DD63BC">
        <w:t xml:space="preserve"> </w:t>
      </w:r>
      <w:r w:rsidRPr="00DD63BC">
        <w:t xml:space="preserve">to cover </w:t>
      </w:r>
      <w:r w:rsidR="00F454BA">
        <w:t>various health services</w:t>
      </w:r>
      <w:r w:rsidRPr="00DD63BC">
        <w:t xml:space="preserve"> and the additional cost of living associated with disability.</w:t>
      </w:r>
      <w:r w:rsidRPr="009E050C">
        <w:rPr>
          <w:sz w:val="18"/>
          <w:szCs w:val="18"/>
          <w:vertAlign w:val="superscript"/>
        </w:rPr>
        <w:footnoteReference w:id="86"/>
      </w:r>
    </w:p>
    <w:p w14:paraId="0084AD99" w14:textId="3EFF9B28" w:rsidR="00F35926" w:rsidRDefault="00E112BA" w:rsidP="009E050C">
      <w:pPr>
        <w:pStyle w:val="SingleTxtG"/>
        <w:numPr>
          <w:ilvl w:val="0"/>
          <w:numId w:val="11"/>
        </w:numPr>
        <w:ind w:left="1134" w:firstLine="0"/>
      </w:pPr>
      <w:bookmarkStart w:id="19" w:name="_Hlk161957906"/>
      <w:r>
        <w:t>As noted in previous report</w:t>
      </w:r>
      <w:r w:rsidR="004D4D1C">
        <w:t>s</w:t>
      </w:r>
      <w:r>
        <w:t xml:space="preserve">, the lack of equitable access to medicines, vaccines and other health products disproportionately affects certain groups, including persons with disabilities. They, together with children and older persons, </w:t>
      </w:r>
      <w:r w:rsidR="004D4D1C">
        <w:t xml:space="preserve">often </w:t>
      </w:r>
      <w:r>
        <w:t>lack</w:t>
      </w:r>
      <w:r w:rsidR="00DD63BC" w:rsidRPr="00DD63BC">
        <w:t xml:space="preserve"> access to assistive technolog</w:t>
      </w:r>
      <w:r w:rsidR="3894F3FD" w:rsidRPr="00DD63BC">
        <w:t>ies</w:t>
      </w:r>
      <w:r w:rsidR="004D4D1C">
        <w:t>,</w:t>
      </w:r>
      <w:r w:rsidR="3894F3FD" w:rsidRPr="00DD63BC">
        <w:t xml:space="preserve"> </w:t>
      </w:r>
      <w:r>
        <w:t xml:space="preserve">such as </w:t>
      </w:r>
      <w:r w:rsidR="00DD63BC" w:rsidRPr="00DD63BC">
        <w:t>prosthetic</w:t>
      </w:r>
      <w:r>
        <w:t xml:space="preserve"> devices</w:t>
      </w:r>
      <w:r w:rsidR="00DD63BC" w:rsidRPr="00DD63BC">
        <w:t>.</w:t>
      </w:r>
      <w:r w:rsidR="00DD63BC" w:rsidRPr="009E050C">
        <w:rPr>
          <w:sz w:val="18"/>
          <w:szCs w:val="18"/>
          <w:vertAlign w:val="superscript"/>
        </w:rPr>
        <w:footnoteReference w:id="87"/>
      </w:r>
      <w:r w:rsidRPr="00DD63BC" w:rsidDel="00E112BA">
        <w:rPr>
          <w:vertAlign w:val="superscript"/>
        </w:rPr>
        <w:t xml:space="preserve"> </w:t>
      </w:r>
      <w:r w:rsidR="007B0E07">
        <w:t>The lack</w:t>
      </w:r>
      <w:r w:rsidR="00640E95">
        <w:t xml:space="preserve"> </w:t>
      </w:r>
      <w:r w:rsidR="00F00E96">
        <w:t xml:space="preserve">of </w:t>
      </w:r>
      <w:r w:rsidR="00640E95">
        <w:t xml:space="preserve">or disruption </w:t>
      </w:r>
      <w:r w:rsidR="00F00E96">
        <w:t xml:space="preserve">to </w:t>
      </w:r>
      <w:r w:rsidR="313FBC2D">
        <w:t xml:space="preserve">human rights-based </w:t>
      </w:r>
      <w:r w:rsidR="7EE37091">
        <w:t xml:space="preserve">support </w:t>
      </w:r>
      <w:r w:rsidR="3A8BA750">
        <w:t xml:space="preserve">and care </w:t>
      </w:r>
      <w:r w:rsidR="7EE37091">
        <w:t>systems,</w:t>
      </w:r>
      <w:r w:rsidR="0042678B">
        <w:rPr>
          <w:rStyle w:val="FootnoteReference"/>
        </w:rPr>
        <w:footnoteReference w:id="88"/>
      </w:r>
      <w:r w:rsidR="7EE37091">
        <w:t xml:space="preserve"> </w:t>
      </w:r>
      <w:r w:rsidR="00F00E96">
        <w:t xml:space="preserve">such as </w:t>
      </w:r>
      <w:r w:rsidR="00640E95">
        <w:t>support services</w:t>
      </w:r>
      <w:r w:rsidR="006A151B">
        <w:t xml:space="preserve">, </w:t>
      </w:r>
      <w:r w:rsidR="123691F3">
        <w:t>products</w:t>
      </w:r>
      <w:r w:rsidR="084BE7AE">
        <w:t>,</w:t>
      </w:r>
      <w:r w:rsidR="631348DA">
        <w:t xml:space="preserve"> infrastructure</w:t>
      </w:r>
      <w:r w:rsidR="00B52DD6">
        <w:rPr>
          <w:rStyle w:val="FootnoteReference"/>
        </w:rPr>
        <w:footnoteReference w:id="89"/>
      </w:r>
      <w:r w:rsidR="09420881">
        <w:t xml:space="preserve"> and financial support</w:t>
      </w:r>
      <w:r w:rsidR="006A151B">
        <w:t xml:space="preserve">, </w:t>
      </w:r>
      <w:r w:rsidR="00402C2C">
        <w:t>undermine</w:t>
      </w:r>
      <w:r w:rsidR="008D6C50">
        <w:t>s</w:t>
      </w:r>
      <w:r w:rsidR="00402C2C">
        <w:t xml:space="preserve"> access to </w:t>
      </w:r>
      <w:r w:rsidR="770D7B8A">
        <w:t xml:space="preserve">various </w:t>
      </w:r>
      <w:r w:rsidR="1CEC306D">
        <w:t>services, including</w:t>
      </w:r>
      <w:r w:rsidR="770D7B8A">
        <w:t xml:space="preserve"> </w:t>
      </w:r>
      <w:r w:rsidR="00402C2C">
        <w:t>health services</w:t>
      </w:r>
      <w:r w:rsidR="008D6C50">
        <w:t>,</w:t>
      </w:r>
      <w:r w:rsidR="00402C2C">
        <w:t xml:space="preserve"> by persons with disabilities. </w:t>
      </w:r>
      <w:r w:rsidR="00835BC8">
        <w:t>These gaps can</w:t>
      </w:r>
      <w:r w:rsidR="00402C2C">
        <w:t xml:space="preserve"> be further </w:t>
      </w:r>
      <w:r w:rsidR="00041DFA">
        <w:t xml:space="preserve">exacerbated during </w:t>
      </w:r>
      <w:r w:rsidR="000307FD">
        <w:t xml:space="preserve">times of </w:t>
      </w:r>
      <w:r w:rsidR="00041DFA">
        <w:t>cris</w:t>
      </w:r>
      <w:r w:rsidR="000307FD">
        <w:t>i</w:t>
      </w:r>
      <w:r w:rsidR="00041DFA">
        <w:t xml:space="preserve">s, such as </w:t>
      </w:r>
      <w:r w:rsidR="008D6C50">
        <w:t xml:space="preserve">a </w:t>
      </w:r>
      <w:r w:rsidR="00041DFA">
        <w:t>pandemic.</w:t>
      </w:r>
    </w:p>
    <w:p w14:paraId="132D13E6" w14:textId="0C574DE1" w:rsidR="00CB1A02" w:rsidRDefault="00CB1A02" w:rsidP="009E050C">
      <w:pPr>
        <w:pStyle w:val="H1G"/>
        <w:spacing w:line="240" w:lineRule="atLeast"/>
      </w:pPr>
      <w:r w:rsidRPr="007E00C9">
        <w:tab/>
      </w:r>
      <w:r w:rsidR="00931878">
        <w:t>C</w:t>
      </w:r>
      <w:r w:rsidRPr="007E00C9">
        <w:t>.</w:t>
      </w:r>
      <w:r w:rsidRPr="007E00C9">
        <w:tab/>
      </w:r>
      <w:r w:rsidR="00B963AB">
        <w:t>C</w:t>
      </w:r>
      <w:r>
        <w:t>hallenge</w:t>
      </w:r>
      <w:r w:rsidR="00113036">
        <w:t>s</w:t>
      </w:r>
      <w:r>
        <w:t xml:space="preserve"> </w:t>
      </w:r>
      <w:r w:rsidR="00B963AB">
        <w:t xml:space="preserve">to access </w:t>
      </w:r>
      <w:r>
        <w:t>in emergency situations</w:t>
      </w:r>
    </w:p>
    <w:p w14:paraId="014F9323" w14:textId="7ECD496A" w:rsidR="00CB1A02" w:rsidRDefault="00E93457" w:rsidP="009E050C">
      <w:pPr>
        <w:pStyle w:val="SingleTxtG"/>
        <w:numPr>
          <w:ilvl w:val="0"/>
          <w:numId w:val="11"/>
        </w:numPr>
        <w:ind w:left="1134" w:firstLine="0"/>
      </w:pPr>
      <w:r>
        <w:t>Emergency situations, whether caused by conflict or</w:t>
      </w:r>
      <w:r w:rsidR="00BE598B">
        <w:t xml:space="preserve"> </w:t>
      </w:r>
      <w:r>
        <w:t>disaster</w:t>
      </w:r>
      <w:r w:rsidR="00722912">
        <w:t>s</w:t>
      </w:r>
      <w:r>
        <w:t xml:space="preserve">, invariably result </w:t>
      </w:r>
      <w:proofErr w:type="gramStart"/>
      <w:r>
        <w:t>in</w:t>
      </w:r>
      <w:proofErr w:type="gramEnd"/>
      <w:r>
        <w:t xml:space="preserve"> or exacerbate challenges in ensuring access to medicines, vaccines and other health products</w:t>
      </w:r>
      <w:r w:rsidR="008341AA" w:rsidRPr="00F33E2D">
        <w:t>.</w:t>
      </w:r>
    </w:p>
    <w:p w14:paraId="67CAEAF0" w14:textId="16DAFB68" w:rsidR="00E00BF2" w:rsidRDefault="00E00BF2" w:rsidP="009E050C">
      <w:pPr>
        <w:pStyle w:val="SingleTxtG"/>
        <w:numPr>
          <w:ilvl w:val="0"/>
          <w:numId w:val="11"/>
        </w:numPr>
        <w:ind w:left="1134" w:firstLine="0"/>
      </w:pPr>
      <w:r>
        <w:t>Physical barriers in times of conflict</w:t>
      </w:r>
      <w:r w:rsidR="00BE598B">
        <w:t xml:space="preserve"> can </w:t>
      </w:r>
      <w:r>
        <w:t xml:space="preserve">severely affect access to health facilities and </w:t>
      </w:r>
      <w:r w:rsidR="00BC43A1">
        <w:t>treatment</w:t>
      </w:r>
      <w:r>
        <w:t xml:space="preserve">. </w:t>
      </w:r>
      <w:r w:rsidR="00835BC8">
        <w:t>V</w:t>
      </w:r>
      <w:r w:rsidR="005A2454">
        <w:t>arious</w:t>
      </w:r>
      <w:r>
        <w:t xml:space="preserve"> </w:t>
      </w:r>
      <w:r w:rsidR="005A2454">
        <w:t>actors in c</w:t>
      </w:r>
      <w:r>
        <w:t>onflict</w:t>
      </w:r>
      <w:r w:rsidR="00855728">
        <w:t>-affected areas</w:t>
      </w:r>
      <w:r>
        <w:t xml:space="preserve"> </w:t>
      </w:r>
      <w:r w:rsidR="00066D64">
        <w:t xml:space="preserve">can </w:t>
      </w:r>
      <w:r w:rsidR="00835BC8">
        <w:t xml:space="preserve">at times prevent </w:t>
      </w:r>
      <w:r>
        <w:t>access</w:t>
      </w:r>
      <w:r w:rsidR="004A03E1">
        <w:t xml:space="preserve"> of civilians to</w:t>
      </w:r>
      <w:r>
        <w:t xml:space="preserve"> medical goods, </w:t>
      </w:r>
      <w:r w:rsidR="00835BC8">
        <w:t>including</w:t>
      </w:r>
      <w:r>
        <w:t xml:space="preserve"> life-saving medicines and supplies</w:t>
      </w:r>
      <w:r w:rsidR="00835BC8">
        <w:t>,</w:t>
      </w:r>
      <w:r>
        <w:t xml:space="preserve"> by obstructing, restricting, </w:t>
      </w:r>
      <w:proofErr w:type="gramStart"/>
      <w:r>
        <w:t>limiting</w:t>
      </w:r>
      <w:proofErr w:type="gramEnd"/>
      <w:r>
        <w:t xml:space="preserve"> or diverting </w:t>
      </w:r>
      <w:r w:rsidR="003C483C">
        <w:t>them</w:t>
      </w:r>
      <w:r>
        <w:t>.</w:t>
      </w:r>
      <w:r>
        <w:rPr>
          <w:rStyle w:val="FootnoteReference"/>
        </w:rPr>
        <w:footnoteReference w:id="90"/>
      </w:r>
      <w:r w:rsidR="00BC43A1">
        <w:t xml:space="preserve"> </w:t>
      </w:r>
    </w:p>
    <w:p w14:paraId="79149108" w14:textId="3D1B32C1" w:rsidR="00CB4141" w:rsidRDefault="00BE598B" w:rsidP="009E050C">
      <w:pPr>
        <w:pStyle w:val="SingleTxtG"/>
        <w:numPr>
          <w:ilvl w:val="0"/>
          <w:numId w:val="11"/>
        </w:numPr>
        <w:ind w:left="1134" w:firstLine="0"/>
      </w:pPr>
      <w:r>
        <w:t>In addition to conflict</w:t>
      </w:r>
      <w:r w:rsidR="003C483C">
        <w:t>-</w:t>
      </w:r>
      <w:r>
        <w:t xml:space="preserve"> or disaster</w:t>
      </w:r>
      <w:r w:rsidR="003C483C">
        <w:t>-</w:t>
      </w:r>
      <w:r>
        <w:t>related injuries, p</w:t>
      </w:r>
      <w:r w:rsidR="00CB4141" w:rsidRPr="00CB4141">
        <w:t xml:space="preserve">ersons who require continuous care have particular health needs which, if unaddressed, can increase </w:t>
      </w:r>
      <w:r w:rsidR="003C483C">
        <w:t xml:space="preserve">the number of </w:t>
      </w:r>
      <w:r w:rsidR="00CB4141" w:rsidRPr="00CB4141">
        <w:t>unnecessary deaths during conflict</w:t>
      </w:r>
      <w:r w:rsidR="003C483C">
        <w:t>;</w:t>
      </w:r>
      <w:r w:rsidR="00CB4141" w:rsidRPr="00CB4141">
        <w:t xml:space="preserve"> </w:t>
      </w:r>
      <w:r w:rsidR="003C483C">
        <w:t>f</w:t>
      </w:r>
      <w:r w:rsidR="00CB4141" w:rsidRPr="00CB4141">
        <w:t xml:space="preserve">or example, </w:t>
      </w:r>
      <w:r w:rsidR="003C483C">
        <w:t xml:space="preserve">an </w:t>
      </w:r>
      <w:r w:rsidR="008F564D">
        <w:t xml:space="preserve">acute shortage of essential medicines </w:t>
      </w:r>
      <w:r w:rsidR="003C483C">
        <w:t>causing</w:t>
      </w:r>
      <w:r w:rsidR="008F564D">
        <w:t xml:space="preserve"> </w:t>
      </w:r>
      <w:r w:rsidR="003C483C" w:rsidRPr="00CB4141">
        <w:t xml:space="preserve">interruption </w:t>
      </w:r>
      <w:r w:rsidR="003C483C">
        <w:t xml:space="preserve">to </w:t>
      </w:r>
      <w:r w:rsidR="00CB4141" w:rsidRPr="00CB4141">
        <w:t xml:space="preserve">treatment may render </w:t>
      </w:r>
      <w:r w:rsidR="00332E2A">
        <w:t>pregnant women,</w:t>
      </w:r>
      <w:r w:rsidR="008F564D" w:rsidRPr="7E9AF13D">
        <w:rPr>
          <w:rStyle w:val="FootnoteReference"/>
        </w:rPr>
        <w:footnoteReference w:id="91"/>
      </w:r>
      <w:r w:rsidR="008F564D" w:rsidRPr="006F2E1C">
        <w:t xml:space="preserve"> </w:t>
      </w:r>
      <w:r w:rsidR="00AF5B09">
        <w:t>newborns and children,</w:t>
      </w:r>
      <w:r w:rsidR="008F564D" w:rsidRPr="7E9AF13D">
        <w:rPr>
          <w:rStyle w:val="FootnoteReference"/>
        </w:rPr>
        <w:footnoteReference w:id="92"/>
      </w:r>
      <w:r w:rsidR="008F564D" w:rsidRPr="006F2E1C">
        <w:t xml:space="preserve"> </w:t>
      </w:r>
      <w:r w:rsidR="00332E2A">
        <w:t>older persons,</w:t>
      </w:r>
      <w:r w:rsidR="00B8657B">
        <w:rPr>
          <w:rStyle w:val="FootnoteReference"/>
        </w:rPr>
        <w:footnoteReference w:id="93"/>
      </w:r>
      <w:r w:rsidR="00332E2A">
        <w:t xml:space="preserve"> persons with disabilities, </w:t>
      </w:r>
      <w:r w:rsidR="00CB4141" w:rsidRPr="00CB4141">
        <w:t>people living with HIV, tuberculosis and cancer, more vulnerable to ill-health. The lack of availability of medic</w:t>
      </w:r>
      <w:r w:rsidR="009A14C7">
        <w:t>ines</w:t>
      </w:r>
      <w:r w:rsidR="00CB4141" w:rsidRPr="00CB4141">
        <w:t xml:space="preserve"> and psychosocial services can likewise prove especially</w:t>
      </w:r>
      <w:r w:rsidR="00CB4141">
        <w:t xml:space="preserve"> detrimental to </w:t>
      </w:r>
      <w:r w:rsidR="003C483C">
        <w:t xml:space="preserve">persons </w:t>
      </w:r>
      <w:r w:rsidR="009C145B">
        <w:t xml:space="preserve">with </w:t>
      </w:r>
      <w:r w:rsidR="00CB4141">
        <w:t>mental health</w:t>
      </w:r>
      <w:r w:rsidR="009C145B">
        <w:t xml:space="preserve"> conditions</w:t>
      </w:r>
      <w:r w:rsidR="00CB4141">
        <w:t>,</w:t>
      </w:r>
      <w:r w:rsidR="008F564D" w:rsidRPr="7E9AF13D">
        <w:rPr>
          <w:rStyle w:val="FootnoteReference"/>
        </w:rPr>
        <w:footnoteReference w:id="94"/>
      </w:r>
      <w:r w:rsidR="00CB4141">
        <w:t xml:space="preserve"> some of whom may require continuous treatment.</w:t>
      </w:r>
      <w:r w:rsidR="00CB4141">
        <w:rPr>
          <w:rStyle w:val="FootnoteReference"/>
        </w:rPr>
        <w:footnoteReference w:id="95"/>
      </w:r>
      <w:r w:rsidR="00BC43A1">
        <w:t xml:space="preserve"> S</w:t>
      </w:r>
      <w:r w:rsidR="00BC43A1" w:rsidRPr="00BC43A1">
        <w:t>hortage of medical supplies</w:t>
      </w:r>
      <w:r w:rsidR="00BC43A1">
        <w:t xml:space="preserve"> particularly affect </w:t>
      </w:r>
      <w:r w:rsidR="003C483C">
        <w:t>persons</w:t>
      </w:r>
      <w:r w:rsidR="003C483C" w:rsidRPr="00BC43A1">
        <w:t xml:space="preserve"> </w:t>
      </w:r>
      <w:r w:rsidR="00BC43A1" w:rsidRPr="00BC43A1">
        <w:t>with chronic illnesses</w:t>
      </w:r>
      <w:r w:rsidR="00491021">
        <w:rPr>
          <w:rStyle w:val="FootnoteReference"/>
        </w:rPr>
        <w:footnoteReference w:id="96"/>
      </w:r>
      <w:r w:rsidR="00337849">
        <w:t xml:space="preserve"> and</w:t>
      </w:r>
      <w:r w:rsidR="00BC43A1">
        <w:t xml:space="preserve"> </w:t>
      </w:r>
      <w:r w:rsidR="00812C35" w:rsidRPr="00335526">
        <w:t>non</w:t>
      </w:r>
      <w:r w:rsidR="00812C35">
        <w:t>-</w:t>
      </w:r>
      <w:r w:rsidR="00812C35" w:rsidRPr="00335526">
        <w:t>communicable diseases</w:t>
      </w:r>
      <w:r w:rsidR="00337849">
        <w:t>.</w:t>
      </w:r>
      <w:r w:rsidR="00CD5F27" w:rsidRPr="7E9AF13D">
        <w:rPr>
          <w:rStyle w:val="FootnoteReference"/>
        </w:rPr>
        <w:footnoteReference w:id="97"/>
      </w:r>
      <w:r w:rsidR="00BC43A1">
        <w:t xml:space="preserve"> </w:t>
      </w:r>
    </w:p>
    <w:p w14:paraId="5B18F06E" w14:textId="28C1D32D" w:rsidR="00E86C00" w:rsidRDefault="00BC43A1" w:rsidP="009E050C">
      <w:pPr>
        <w:pStyle w:val="SingleTxtG"/>
        <w:numPr>
          <w:ilvl w:val="0"/>
          <w:numId w:val="11"/>
        </w:numPr>
        <w:ind w:left="1134" w:firstLine="0"/>
      </w:pPr>
      <w:r>
        <w:t>Access to medicines, vaccines and other health products may also deteriorate in c</w:t>
      </w:r>
      <w:r w:rsidR="00855728">
        <w:t xml:space="preserve">onflict-affected areas </w:t>
      </w:r>
      <w:r w:rsidR="00783A90">
        <w:t>because of</w:t>
      </w:r>
      <w:r>
        <w:t xml:space="preserve"> </w:t>
      </w:r>
      <w:r w:rsidR="00855728">
        <w:t>disruption</w:t>
      </w:r>
      <w:r w:rsidR="00760C9F">
        <w:t>s</w:t>
      </w:r>
      <w:r w:rsidR="00855728">
        <w:t xml:space="preserve"> in supply chains, looting of health facilities,</w:t>
      </w:r>
      <w:r>
        <w:t xml:space="preserve"> or</w:t>
      </w:r>
      <w:r w:rsidR="00855728">
        <w:t xml:space="preserve"> </w:t>
      </w:r>
      <w:r>
        <w:t>the destruction of</w:t>
      </w:r>
      <w:r w:rsidR="00855728">
        <w:t xml:space="preserve"> clinics and hospitals</w:t>
      </w:r>
      <w:r w:rsidR="002C7F1A">
        <w:t>, which may in turn</w:t>
      </w:r>
      <w:r w:rsidR="008A3780">
        <w:t xml:space="preserve"> lead to </w:t>
      </w:r>
      <w:r w:rsidR="00B2653F">
        <w:t xml:space="preserve">shortages </w:t>
      </w:r>
      <w:r w:rsidR="008A3780">
        <w:t xml:space="preserve">of essential medicines, </w:t>
      </w:r>
      <w:proofErr w:type="gramStart"/>
      <w:r w:rsidR="008A3780">
        <w:t>equipment</w:t>
      </w:r>
      <w:proofErr w:type="gramEnd"/>
      <w:r w:rsidR="008A3780">
        <w:t xml:space="preserve"> and health products</w:t>
      </w:r>
      <w:r w:rsidR="00855728">
        <w:t>.</w:t>
      </w:r>
      <w:r w:rsidR="00855728">
        <w:rPr>
          <w:rStyle w:val="FootnoteReference"/>
        </w:rPr>
        <w:footnoteReference w:id="98"/>
      </w:r>
    </w:p>
    <w:p w14:paraId="5BAFF161" w14:textId="69283CA9" w:rsidR="006D019D" w:rsidRDefault="00E86C00" w:rsidP="009E050C">
      <w:pPr>
        <w:pStyle w:val="SingleTxtG"/>
        <w:numPr>
          <w:ilvl w:val="0"/>
          <w:numId w:val="11"/>
        </w:numPr>
        <w:ind w:left="1134" w:firstLine="0"/>
      </w:pPr>
      <w:r w:rsidRPr="006F2E1C">
        <w:t>State</w:t>
      </w:r>
      <w:r w:rsidR="0091313F">
        <w:t>s</w:t>
      </w:r>
      <w:r w:rsidR="00C8109C">
        <w:t>,</w:t>
      </w:r>
      <w:r w:rsidRPr="006F2E1C">
        <w:t xml:space="preserve"> </w:t>
      </w:r>
      <w:r w:rsidR="00C8109C">
        <w:t xml:space="preserve">as </w:t>
      </w:r>
      <w:r w:rsidRPr="002341C6">
        <w:t>the</w:t>
      </w:r>
      <w:r w:rsidRPr="002A77C4">
        <w:t xml:space="preserve"> primary duty bearers</w:t>
      </w:r>
      <w:r w:rsidR="00C8109C">
        <w:t>,</w:t>
      </w:r>
      <w:r w:rsidR="0091313F">
        <w:t xml:space="preserve"> </w:t>
      </w:r>
      <w:r w:rsidRPr="705E2186">
        <w:t>have</w:t>
      </w:r>
      <w:r>
        <w:t xml:space="preserve"> </w:t>
      </w:r>
      <w:r w:rsidR="00B2653F">
        <w:t xml:space="preserve">an </w:t>
      </w:r>
      <w:r w:rsidRPr="005A418A">
        <w:t>obligation under international human rights</w:t>
      </w:r>
      <w:r>
        <w:t xml:space="preserve"> law and humanitarian law </w:t>
      </w:r>
      <w:r w:rsidRPr="00D4274F">
        <w:t>to respect, protect and fulfil the right to health, including access</w:t>
      </w:r>
      <w:r w:rsidR="00B2653F">
        <w:t xml:space="preserve"> to</w:t>
      </w:r>
      <w:r w:rsidRPr="00D4274F">
        <w:t xml:space="preserve"> essential medicines</w:t>
      </w:r>
      <w:r>
        <w:t xml:space="preserve"> </w:t>
      </w:r>
      <w:r w:rsidR="00D56638">
        <w:t>at</w:t>
      </w:r>
      <w:r w:rsidRPr="00627F2B">
        <w:t xml:space="preserve"> all times.</w:t>
      </w:r>
      <w:r w:rsidR="00D56638" w:rsidRPr="00D56638">
        <w:rPr>
          <w:rStyle w:val="FootnoteReference"/>
        </w:rPr>
        <w:t xml:space="preserve"> </w:t>
      </w:r>
      <w:r w:rsidR="00D56638" w:rsidRPr="7E9AF13D">
        <w:rPr>
          <w:rStyle w:val="FootnoteReference"/>
        </w:rPr>
        <w:footnoteReference w:id="99"/>
      </w:r>
      <w:r w:rsidRPr="00627F2B">
        <w:t xml:space="preserve"> </w:t>
      </w:r>
      <w:r w:rsidR="00D067BE">
        <w:t>According to international humanitarian law</w:t>
      </w:r>
      <w:r w:rsidR="00B2653F">
        <w:t>,</w:t>
      </w:r>
      <w:r w:rsidR="00D067BE">
        <w:t xml:space="preserve"> </w:t>
      </w:r>
      <w:r>
        <w:t xml:space="preserve">State </w:t>
      </w:r>
      <w:r w:rsidRPr="00601B6B">
        <w:t>and no</w:t>
      </w:r>
      <w:r w:rsidR="00D56638">
        <w:t>n-</w:t>
      </w:r>
      <w:r w:rsidR="00B2653F">
        <w:t>S</w:t>
      </w:r>
      <w:r w:rsidRPr="00601B6B">
        <w:t xml:space="preserve">tate </w:t>
      </w:r>
      <w:r w:rsidR="0091313F" w:rsidRPr="00601B6B">
        <w:t>actors</w:t>
      </w:r>
      <w:r w:rsidRPr="00601B6B">
        <w:t xml:space="preserve"> part</w:t>
      </w:r>
      <w:r w:rsidR="00A15C29">
        <w:t>y</w:t>
      </w:r>
      <w:r w:rsidRPr="00601B6B">
        <w:t xml:space="preserve"> </w:t>
      </w:r>
      <w:r>
        <w:t xml:space="preserve">to </w:t>
      </w:r>
      <w:r w:rsidR="00B20AC8">
        <w:t>a</w:t>
      </w:r>
      <w:r w:rsidRPr="00601B6B">
        <w:t xml:space="preserve"> conflict have </w:t>
      </w:r>
      <w:r w:rsidR="00A15C29">
        <w:t xml:space="preserve">an </w:t>
      </w:r>
      <w:r w:rsidRPr="00601B6B">
        <w:t xml:space="preserve">obligation to respect and protect medical </w:t>
      </w:r>
      <w:r w:rsidR="007979EF">
        <w:t>services</w:t>
      </w:r>
      <w:r w:rsidR="00065197">
        <w:t>,</w:t>
      </w:r>
      <w:r w:rsidRPr="00601B6B">
        <w:t xml:space="preserve"> such as hospitals, clinics and pharmacies, whether military or civilian, fixed or mobile, permanent or temporary</w:t>
      </w:r>
      <w:r w:rsidR="00065197">
        <w:t>,</w:t>
      </w:r>
      <w:r w:rsidRPr="00601B6B">
        <w:t xml:space="preserve"> and medical equipment </w:t>
      </w:r>
      <w:r w:rsidR="00065197">
        <w:t>and</w:t>
      </w:r>
      <w:r w:rsidR="00065197" w:rsidRPr="00601B6B">
        <w:t xml:space="preserve"> </w:t>
      </w:r>
      <w:r w:rsidRPr="00601B6B">
        <w:t>supplies and/or personnel</w:t>
      </w:r>
      <w:r w:rsidR="0083296D">
        <w:t>,</w:t>
      </w:r>
      <w:r w:rsidRPr="00601B6B">
        <w:t xml:space="preserve"> in all circumstances.</w:t>
      </w:r>
      <w:r w:rsidRPr="7E9AF13D">
        <w:rPr>
          <w:rStyle w:val="FootnoteReference"/>
        </w:rPr>
        <w:footnoteReference w:id="100"/>
      </w:r>
      <w:r w:rsidRPr="00601B6B">
        <w:t xml:space="preserve"> </w:t>
      </w:r>
    </w:p>
    <w:bookmarkEnd w:id="19"/>
    <w:p w14:paraId="2A75235D" w14:textId="17B555DD" w:rsidR="004C65F0" w:rsidRPr="004C65F0" w:rsidRDefault="00335526" w:rsidP="009E050C">
      <w:pPr>
        <w:pStyle w:val="H1G"/>
        <w:spacing w:line="240" w:lineRule="atLeast"/>
      </w:pPr>
      <w:r w:rsidRPr="007E00C9">
        <w:tab/>
      </w:r>
      <w:r w:rsidR="00EC67AC">
        <w:t>D</w:t>
      </w:r>
      <w:r w:rsidRPr="004C65F0">
        <w:t>.</w:t>
      </w:r>
      <w:r w:rsidRPr="004C65F0">
        <w:tab/>
      </w:r>
      <w:r w:rsidR="004C65F0" w:rsidRPr="004C65F0">
        <w:t xml:space="preserve">Systemic </w:t>
      </w:r>
      <w:r w:rsidR="00635E7F" w:rsidRPr="004C65F0">
        <w:t xml:space="preserve">barriers </w:t>
      </w:r>
      <w:r w:rsidR="00635E7F">
        <w:t xml:space="preserve">to </w:t>
      </w:r>
      <w:r w:rsidR="004C65F0" w:rsidRPr="004C65F0">
        <w:t xml:space="preserve">access </w:t>
      </w:r>
    </w:p>
    <w:p w14:paraId="50AC433F" w14:textId="7B541C31" w:rsidR="00335526" w:rsidRPr="007E00C9" w:rsidRDefault="004C65F0" w:rsidP="009E050C">
      <w:pPr>
        <w:pStyle w:val="H23G"/>
        <w:spacing w:line="240" w:lineRule="atLeast"/>
        <w:jc w:val="both"/>
      </w:pPr>
      <w:r>
        <w:tab/>
      </w:r>
      <w:r w:rsidR="0065722D">
        <w:t>1.</w:t>
      </w:r>
      <w:r w:rsidRPr="00F33E2D">
        <w:tab/>
      </w:r>
      <w:r w:rsidR="00C91EBC">
        <w:t>L</w:t>
      </w:r>
      <w:r w:rsidR="00C91EBC" w:rsidRPr="0009515E">
        <w:rPr>
          <w:rStyle w:val="cf01"/>
          <w:rFonts w:ascii="Times New Roman" w:hAnsi="Times New Roman" w:cs="Times New Roman"/>
          <w:sz w:val="20"/>
          <w:szCs w:val="20"/>
        </w:rPr>
        <w:t>egal and regulatory challenges to ensure access</w:t>
      </w:r>
      <w:r w:rsidR="00B65889">
        <w:rPr>
          <w:rStyle w:val="cf01"/>
          <w:rFonts w:ascii="Times New Roman" w:hAnsi="Times New Roman" w:cs="Times New Roman"/>
          <w:sz w:val="20"/>
          <w:szCs w:val="20"/>
        </w:rPr>
        <w:t xml:space="preserve"> to </w:t>
      </w:r>
      <w:r w:rsidR="00C91EBC" w:rsidRPr="0009515E">
        <w:rPr>
          <w:rStyle w:val="cf01"/>
          <w:rFonts w:ascii="Times New Roman" w:hAnsi="Times New Roman" w:cs="Times New Roman"/>
          <w:sz w:val="20"/>
          <w:szCs w:val="20"/>
        </w:rPr>
        <w:t>quality, safety and efficacy of medicines and medical products.</w:t>
      </w:r>
    </w:p>
    <w:p w14:paraId="6C64B96B" w14:textId="3300B177" w:rsidR="00837428" w:rsidRPr="00753E55" w:rsidRDefault="00837428" w:rsidP="009E050C">
      <w:pPr>
        <w:pStyle w:val="SingleTxtG"/>
        <w:numPr>
          <w:ilvl w:val="0"/>
          <w:numId w:val="11"/>
        </w:numPr>
        <w:ind w:left="1134" w:firstLine="0"/>
        <w:rPr>
          <w:rFonts w:eastAsia="SimSun"/>
          <w:spacing w:val="4"/>
          <w:w w:val="103"/>
          <w:kern w:val="14"/>
          <w:lang w:eastAsia="zh-CN"/>
        </w:rPr>
      </w:pPr>
      <w:r w:rsidRPr="001978FD">
        <w:rPr>
          <w:rFonts w:eastAsia="SimSun"/>
          <w:spacing w:val="4"/>
          <w:w w:val="103"/>
          <w:kern w:val="14"/>
          <w:lang w:eastAsia="zh-CN"/>
        </w:rPr>
        <w:t>States are required to ensure quality assurance for medicines and to protect the population from unsafe and poor-quality medicines.</w:t>
      </w:r>
      <w:r w:rsidRPr="009E050C">
        <w:rPr>
          <w:sz w:val="18"/>
          <w:szCs w:val="18"/>
          <w:vertAlign w:val="superscript"/>
        </w:rPr>
        <w:footnoteReference w:id="101"/>
      </w:r>
      <w:r w:rsidRPr="001978FD">
        <w:rPr>
          <w:rFonts w:eastAsia="SimSun"/>
          <w:spacing w:val="4"/>
          <w:w w:val="103"/>
          <w:kern w:val="14"/>
          <w:lang w:eastAsia="zh-CN"/>
          <w14:ligatures w14:val="standardContextual"/>
        </w:rPr>
        <w:t xml:space="preserve"> </w:t>
      </w:r>
      <w:r w:rsidR="00583EC8">
        <w:rPr>
          <w:rFonts w:eastAsia="SimSun"/>
          <w:spacing w:val="4"/>
          <w:w w:val="103"/>
          <w:kern w:val="14"/>
          <w:lang w:eastAsia="zh-CN"/>
        </w:rPr>
        <w:t>They</w:t>
      </w:r>
      <w:r w:rsidR="00583EC8" w:rsidRPr="001978FD">
        <w:rPr>
          <w:rFonts w:eastAsia="SimSun"/>
          <w:spacing w:val="4"/>
          <w:w w:val="103"/>
          <w:kern w:val="14"/>
          <w:lang w:eastAsia="zh-CN"/>
        </w:rPr>
        <w:t xml:space="preserve"> </w:t>
      </w:r>
      <w:r w:rsidRPr="001978FD">
        <w:rPr>
          <w:rFonts w:eastAsia="SimSun"/>
          <w:spacing w:val="4"/>
          <w:w w:val="103"/>
          <w:kern w:val="14"/>
          <w:lang w:eastAsia="zh-CN"/>
        </w:rPr>
        <w:t>should also ensure post-marketing surveillance approaches to address the underreporting of adverse drug reactions and events.</w:t>
      </w:r>
      <w:r w:rsidRPr="009E050C">
        <w:rPr>
          <w:sz w:val="18"/>
          <w:szCs w:val="18"/>
          <w:vertAlign w:val="superscript"/>
        </w:rPr>
        <w:footnoteReference w:id="102"/>
      </w:r>
      <w:r w:rsidRPr="00753E55">
        <w:rPr>
          <w:rFonts w:eastAsia="SimSun"/>
          <w:spacing w:val="4"/>
          <w:w w:val="103"/>
          <w:kern w:val="14"/>
          <w:lang w:eastAsia="zh-CN"/>
        </w:rPr>
        <w:t xml:space="preserve"> </w:t>
      </w:r>
    </w:p>
    <w:p w14:paraId="36BA00C0" w14:textId="0EDF3C8D" w:rsidR="004939D0" w:rsidRDefault="00577925" w:rsidP="009E050C">
      <w:pPr>
        <w:pStyle w:val="SingleTxtG"/>
        <w:numPr>
          <w:ilvl w:val="0"/>
          <w:numId w:val="11"/>
        </w:numPr>
        <w:ind w:left="1134" w:firstLine="0"/>
      </w:pPr>
      <w:r>
        <w:t>Many</w:t>
      </w:r>
      <w:r w:rsidRPr="00527C74">
        <w:rPr>
          <w:color w:val="222222"/>
          <w:shd w:val="clear" w:color="auto" w:fill="FFFFFF"/>
        </w:rPr>
        <w:t xml:space="preserve"> </w:t>
      </w:r>
      <w:r w:rsidR="000635EB" w:rsidRPr="003C06B2">
        <w:rPr>
          <w:color w:val="222222"/>
          <w:shd w:val="clear" w:color="auto" w:fill="FFFFFF"/>
        </w:rPr>
        <w:t>low- and middle-income countries</w:t>
      </w:r>
      <w:r w:rsidR="000635EB">
        <w:rPr>
          <w:color w:val="222222"/>
          <w:shd w:val="clear" w:color="auto" w:fill="FFFFFF"/>
        </w:rPr>
        <w:t xml:space="preserve"> </w:t>
      </w:r>
      <w:r w:rsidRPr="00527C74">
        <w:rPr>
          <w:color w:val="222222"/>
          <w:shd w:val="clear" w:color="auto" w:fill="FFFFFF"/>
        </w:rPr>
        <w:t xml:space="preserve">face </w:t>
      </w:r>
      <w:r w:rsidR="000635EB">
        <w:rPr>
          <w:color w:val="222222"/>
          <w:shd w:val="clear" w:color="auto" w:fill="FFFFFF"/>
        </w:rPr>
        <w:t xml:space="preserve">capacity </w:t>
      </w:r>
      <w:r w:rsidRPr="00527C74">
        <w:rPr>
          <w:color w:val="222222"/>
          <w:shd w:val="clear" w:color="auto" w:fill="FFFFFF"/>
        </w:rPr>
        <w:t xml:space="preserve">challenges </w:t>
      </w:r>
      <w:r>
        <w:rPr>
          <w:color w:val="222222"/>
          <w:shd w:val="clear" w:color="auto" w:fill="FFFFFF"/>
        </w:rPr>
        <w:t xml:space="preserve">in </w:t>
      </w:r>
      <w:r w:rsidR="00B30BD4">
        <w:rPr>
          <w:color w:val="222222"/>
          <w:shd w:val="clear" w:color="auto" w:fill="FFFFFF"/>
        </w:rPr>
        <w:t xml:space="preserve">their </w:t>
      </w:r>
      <w:r w:rsidRPr="00527C74">
        <w:rPr>
          <w:color w:val="222222"/>
          <w:shd w:val="clear" w:color="auto" w:fill="FFFFFF"/>
        </w:rPr>
        <w:t xml:space="preserve">regulatory systems for assessing and </w:t>
      </w:r>
      <w:r w:rsidR="00B30BD4" w:rsidRPr="00527C74">
        <w:rPr>
          <w:color w:val="222222"/>
          <w:shd w:val="clear" w:color="auto" w:fill="FFFFFF"/>
        </w:rPr>
        <w:t>a</w:t>
      </w:r>
      <w:r w:rsidR="00B30BD4">
        <w:rPr>
          <w:color w:val="222222"/>
          <w:shd w:val="clear" w:color="auto" w:fill="FFFFFF"/>
        </w:rPr>
        <w:t>uthori</w:t>
      </w:r>
      <w:r w:rsidR="000635EB">
        <w:rPr>
          <w:color w:val="222222"/>
          <w:shd w:val="clear" w:color="auto" w:fill="FFFFFF"/>
        </w:rPr>
        <w:t>z</w:t>
      </w:r>
      <w:r w:rsidR="00B30BD4">
        <w:rPr>
          <w:color w:val="222222"/>
          <w:shd w:val="clear" w:color="auto" w:fill="FFFFFF"/>
        </w:rPr>
        <w:t xml:space="preserve">ing </w:t>
      </w:r>
      <w:r w:rsidRPr="00527C74">
        <w:rPr>
          <w:color w:val="222222"/>
          <w:shd w:val="clear" w:color="auto" w:fill="FFFFFF"/>
        </w:rPr>
        <w:t>health products</w:t>
      </w:r>
      <w:r w:rsidRPr="0029559A">
        <w:rPr>
          <w:color w:val="222222"/>
          <w:shd w:val="clear" w:color="auto" w:fill="FFFFFF"/>
        </w:rPr>
        <w:t xml:space="preserve"> </w:t>
      </w:r>
      <w:r w:rsidR="000635EB">
        <w:rPr>
          <w:color w:val="222222"/>
          <w:shd w:val="clear" w:color="auto" w:fill="FFFFFF"/>
        </w:rPr>
        <w:t>owing</w:t>
      </w:r>
      <w:r w:rsidR="000635EB" w:rsidRPr="0029559A">
        <w:rPr>
          <w:color w:val="222222"/>
          <w:shd w:val="clear" w:color="auto" w:fill="FFFFFF"/>
        </w:rPr>
        <w:t xml:space="preserve"> </w:t>
      </w:r>
      <w:r w:rsidR="0029559A" w:rsidRPr="0029559A">
        <w:rPr>
          <w:color w:val="222222"/>
          <w:shd w:val="clear" w:color="auto" w:fill="FFFFFF"/>
        </w:rPr>
        <w:t xml:space="preserve">to a lack of technical expertise, shortages of qualified staff, resource limitations, insufficient </w:t>
      </w:r>
      <w:proofErr w:type="gramStart"/>
      <w:r w:rsidR="0029559A" w:rsidRPr="0029559A">
        <w:rPr>
          <w:color w:val="222222"/>
          <w:shd w:val="clear" w:color="auto" w:fill="FFFFFF"/>
        </w:rPr>
        <w:t>infrastructure</w:t>
      </w:r>
      <w:proofErr w:type="gramEnd"/>
      <w:r w:rsidR="0029559A" w:rsidRPr="0029559A">
        <w:rPr>
          <w:color w:val="222222"/>
          <w:shd w:val="clear" w:color="auto" w:fill="FFFFFF"/>
        </w:rPr>
        <w:t xml:space="preserve"> </w:t>
      </w:r>
      <w:r w:rsidR="00B9575B">
        <w:rPr>
          <w:color w:val="222222"/>
          <w:shd w:val="clear" w:color="auto" w:fill="FFFFFF"/>
        </w:rPr>
        <w:t>or</w:t>
      </w:r>
      <w:r w:rsidR="00B9575B" w:rsidRPr="0029559A">
        <w:rPr>
          <w:color w:val="222222"/>
          <w:shd w:val="clear" w:color="auto" w:fill="FFFFFF"/>
        </w:rPr>
        <w:t xml:space="preserve"> </w:t>
      </w:r>
      <w:r w:rsidR="0029559A" w:rsidRPr="0029559A">
        <w:rPr>
          <w:color w:val="222222"/>
          <w:shd w:val="clear" w:color="auto" w:fill="FFFFFF"/>
        </w:rPr>
        <w:t xml:space="preserve">inadequate policy frameworks. These </w:t>
      </w:r>
      <w:r w:rsidR="00345318">
        <w:rPr>
          <w:color w:val="222222"/>
          <w:shd w:val="clear" w:color="auto" w:fill="FFFFFF"/>
        </w:rPr>
        <w:t>challenges</w:t>
      </w:r>
      <w:r w:rsidR="00C16738">
        <w:rPr>
          <w:color w:val="222222"/>
          <w:shd w:val="clear" w:color="auto" w:fill="FFFFFF"/>
        </w:rPr>
        <w:t xml:space="preserve"> can</w:t>
      </w:r>
      <w:r w:rsidR="00345318" w:rsidRPr="0029559A">
        <w:rPr>
          <w:color w:val="222222"/>
          <w:shd w:val="clear" w:color="auto" w:fill="FFFFFF"/>
        </w:rPr>
        <w:t xml:space="preserve"> </w:t>
      </w:r>
      <w:r w:rsidR="0029559A" w:rsidRPr="0029559A">
        <w:rPr>
          <w:color w:val="222222"/>
          <w:shd w:val="clear" w:color="auto" w:fill="FFFFFF"/>
        </w:rPr>
        <w:t xml:space="preserve">result in extended processing periods </w:t>
      </w:r>
      <w:r w:rsidR="00815E6F">
        <w:rPr>
          <w:color w:val="222222"/>
          <w:shd w:val="clear" w:color="auto" w:fill="FFFFFF"/>
        </w:rPr>
        <w:t>that</w:t>
      </w:r>
      <w:r w:rsidR="00815E6F" w:rsidRPr="0029559A">
        <w:rPr>
          <w:color w:val="222222"/>
          <w:shd w:val="clear" w:color="auto" w:fill="FFFFFF"/>
        </w:rPr>
        <w:t xml:space="preserve"> </w:t>
      </w:r>
      <w:r w:rsidR="0029559A" w:rsidRPr="0029559A">
        <w:rPr>
          <w:color w:val="222222"/>
          <w:shd w:val="clear" w:color="auto" w:fill="FFFFFF"/>
        </w:rPr>
        <w:t>obstruct access to new medicines</w:t>
      </w:r>
      <w:r w:rsidR="00C16738">
        <w:rPr>
          <w:color w:val="222222"/>
          <w:shd w:val="clear" w:color="auto" w:fill="FFFFFF"/>
        </w:rPr>
        <w:t>, also</w:t>
      </w:r>
      <w:r w:rsidR="0029559A" w:rsidRPr="0029559A">
        <w:rPr>
          <w:color w:val="222222"/>
          <w:shd w:val="clear" w:color="auto" w:fill="FFFFFF"/>
        </w:rPr>
        <w:t xml:space="preserve"> because major pharmaceutical firms frequently postpone introducing products in </w:t>
      </w:r>
      <w:r w:rsidR="00C16738">
        <w:rPr>
          <w:color w:val="222222"/>
          <w:shd w:val="clear" w:color="auto" w:fill="FFFFFF"/>
        </w:rPr>
        <w:t>such</w:t>
      </w:r>
      <w:r w:rsidR="00C16738" w:rsidRPr="0029559A">
        <w:rPr>
          <w:color w:val="222222"/>
          <w:shd w:val="clear" w:color="auto" w:fill="FFFFFF"/>
        </w:rPr>
        <w:t xml:space="preserve"> </w:t>
      </w:r>
      <w:r w:rsidR="0029559A" w:rsidRPr="0029559A">
        <w:rPr>
          <w:color w:val="222222"/>
          <w:shd w:val="clear" w:color="auto" w:fill="FFFFFF"/>
        </w:rPr>
        <w:t>countries</w:t>
      </w:r>
      <w:r w:rsidR="00BC6467">
        <w:rPr>
          <w:color w:val="222222"/>
          <w:shd w:val="clear" w:color="auto" w:fill="FFFFFF"/>
        </w:rPr>
        <w:t>, which</w:t>
      </w:r>
      <w:r w:rsidR="0029559A" w:rsidRPr="0029559A">
        <w:rPr>
          <w:color w:val="222222"/>
          <w:shd w:val="clear" w:color="auto" w:fill="FFFFFF"/>
        </w:rPr>
        <w:t xml:space="preserve"> </w:t>
      </w:r>
      <w:r w:rsidR="00BC6467">
        <w:rPr>
          <w:color w:val="222222"/>
          <w:shd w:val="clear" w:color="auto" w:fill="FFFFFF"/>
        </w:rPr>
        <w:t>struggle</w:t>
      </w:r>
      <w:r w:rsidR="0029559A" w:rsidRPr="0029559A">
        <w:rPr>
          <w:color w:val="222222"/>
          <w:shd w:val="clear" w:color="auto" w:fill="FFFFFF"/>
        </w:rPr>
        <w:t xml:space="preserve"> to adapt to evolving health technologies.</w:t>
      </w:r>
      <w:r w:rsidR="00C14B21">
        <w:rPr>
          <w:rStyle w:val="FootnoteReference"/>
          <w:color w:val="222222"/>
          <w:shd w:val="clear" w:color="auto" w:fill="FFFFFF"/>
        </w:rPr>
        <w:footnoteReference w:id="103"/>
      </w:r>
      <w:r w:rsidR="004B0FC9">
        <w:rPr>
          <w:rFonts w:ascii="Arial" w:hAnsi="Arial" w:cs="Arial"/>
          <w:color w:val="222222"/>
          <w:shd w:val="clear" w:color="auto" w:fill="FFFFFF"/>
        </w:rPr>
        <w:t xml:space="preserve"> </w:t>
      </w:r>
      <w:r w:rsidR="00844A2D">
        <w:t>Sudden emergencies, such as pandemics or natural or man</w:t>
      </w:r>
      <w:r w:rsidR="008969FE">
        <w:t>-</w:t>
      </w:r>
      <w:r w:rsidR="00844A2D">
        <w:t>made disasters</w:t>
      </w:r>
      <w:r w:rsidR="00BC6467">
        <w:t>,</w:t>
      </w:r>
      <w:r w:rsidR="00844A2D">
        <w:t xml:space="preserve"> may represent </w:t>
      </w:r>
      <w:r w:rsidR="004C6615">
        <w:t xml:space="preserve">a </w:t>
      </w:r>
      <w:r w:rsidR="00844A2D">
        <w:t>great challenge to p</w:t>
      </w:r>
      <w:r w:rsidR="00A60C3D">
        <w:t>ublic authorities</w:t>
      </w:r>
      <w:r w:rsidR="002A6493">
        <w:t xml:space="preserve"> engaged in setting legal and regulatory fram</w:t>
      </w:r>
      <w:r w:rsidR="00C76BC7">
        <w:t>eworks</w:t>
      </w:r>
      <w:r w:rsidR="004C6615">
        <w:t>,</w:t>
      </w:r>
      <w:r w:rsidR="00C76BC7">
        <w:t xml:space="preserve"> </w:t>
      </w:r>
      <w:r w:rsidR="00130306">
        <w:t xml:space="preserve">such as regulatory entities </w:t>
      </w:r>
      <w:r w:rsidR="004C6615">
        <w:t xml:space="preserve">or </w:t>
      </w:r>
      <w:r w:rsidR="004F0B00">
        <w:t>parliaments</w:t>
      </w:r>
      <w:r w:rsidR="00FF1E1A">
        <w:t>.</w:t>
      </w:r>
      <w:r w:rsidR="00FF1E1A">
        <w:rPr>
          <w:rStyle w:val="FootnoteReference"/>
        </w:rPr>
        <w:footnoteReference w:id="104"/>
      </w:r>
      <w:r w:rsidR="002857FD">
        <w:t xml:space="preserve"> </w:t>
      </w:r>
    </w:p>
    <w:p w14:paraId="6B1B63C3" w14:textId="390AFB32" w:rsidR="005D7C54" w:rsidRDefault="00F308C9" w:rsidP="009E050C">
      <w:pPr>
        <w:pStyle w:val="SingleTxtG"/>
        <w:numPr>
          <w:ilvl w:val="0"/>
          <w:numId w:val="11"/>
        </w:numPr>
        <w:ind w:left="1134" w:firstLine="0"/>
      </w:pPr>
      <w:r>
        <w:t>T</w:t>
      </w:r>
      <w:r w:rsidRPr="006F1A6E">
        <w:t>he circulation of unregistered and/or illegal medicines</w:t>
      </w:r>
      <w:r>
        <w:t xml:space="preserve"> can pose a</w:t>
      </w:r>
      <w:r w:rsidR="005D7C54">
        <w:t xml:space="preserve">nother challenge, especially </w:t>
      </w:r>
      <w:r w:rsidR="00835BC8">
        <w:t>in countries with more limited</w:t>
      </w:r>
      <w:r w:rsidR="005D7C54">
        <w:t xml:space="preserve"> regulatory capacity</w:t>
      </w:r>
      <w:r w:rsidR="005D7C54" w:rsidRPr="006F1A6E">
        <w:t>.</w:t>
      </w:r>
      <w:r w:rsidR="005D7C54" w:rsidRPr="009E050C">
        <w:rPr>
          <w:sz w:val="18"/>
          <w:szCs w:val="18"/>
          <w:vertAlign w:val="superscript"/>
        </w:rPr>
        <w:footnoteReference w:id="105"/>
      </w:r>
      <w:r w:rsidR="005D7C54" w:rsidRPr="006F1A6E">
        <w:t xml:space="preserve"> Illegal medicines </w:t>
      </w:r>
      <w:r>
        <w:t xml:space="preserve">sometimes </w:t>
      </w:r>
      <w:r w:rsidR="005D7C54" w:rsidRPr="006F1A6E">
        <w:t xml:space="preserve">include registered </w:t>
      </w:r>
      <w:r>
        <w:t>ones</w:t>
      </w:r>
      <w:r w:rsidRPr="006F1A6E">
        <w:t xml:space="preserve"> </w:t>
      </w:r>
      <w:r w:rsidR="005D7C54" w:rsidRPr="006F1A6E">
        <w:t>that are imported from countries where they are more affordable</w:t>
      </w:r>
      <w:r w:rsidR="003727EA">
        <w:t>;</w:t>
      </w:r>
      <w:r w:rsidR="005D7C54" w:rsidRPr="006F1A6E">
        <w:t xml:space="preserve"> unregistered medicines, </w:t>
      </w:r>
      <w:r>
        <w:t>such as</w:t>
      </w:r>
      <w:r w:rsidRPr="006F1A6E">
        <w:t xml:space="preserve"> </w:t>
      </w:r>
      <w:r w:rsidR="005D7C54" w:rsidRPr="006F1A6E">
        <w:t>expensive and new</w:t>
      </w:r>
      <w:r>
        <w:t>-</w:t>
      </w:r>
      <w:r w:rsidR="005D7C54" w:rsidRPr="006F1A6E">
        <w:t xml:space="preserve">generation medicines that </w:t>
      </w:r>
      <w:r w:rsidR="003727EA">
        <w:t>have special</w:t>
      </w:r>
      <w:r w:rsidR="003727EA" w:rsidRPr="006F1A6E">
        <w:t xml:space="preserve"> </w:t>
      </w:r>
      <w:r w:rsidR="005D7C54" w:rsidRPr="006F1A6E">
        <w:t>storage</w:t>
      </w:r>
      <w:r w:rsidR="003727EA">
        <w:t xml:space="preserve"> requirements</w:t>
      </w:r>
      <w:r w:rsidR="005D7C54" w:rsidRPr="006F1A6E">
        <w:t xml:space="preserve"> and transportation conditions</w:t>
      </w:r>
      <w:r w:rsidR="003727EA">
        <w:t>;</w:t>
      </w:r>
      <w:r w:rsidR="005D7C54">
        <w:t xml:space="preserve"> or medicines that have not been granted a marketing authorization for the retail market</w:t>
      </w:r>
      <w:r w:rsidR="005D7C54" w:rsidRPr="006F1A6E">
        <w:t>.</w:t>
      </w:r>
      <w:r w:rsidR="005D7C54" w:rsidRPr="009E050C">
        <w:rPr>
          <w:sz w:val="18"/>
          <w:szCs w:val="18"/>
          <w:vertAlign w:val="superscript"/>
        </w:rPr>
        <w:footnoteReference w:id="106"/>
      </w:r>
    </w:p>
    <w:p w14:paraId="59AB6CB5" w14:textId="7FB40D4F" w:rsidR="00EB50BB" w:rsidRPr="001C4FDA" w:rsidRDefault="009676AB" w:rsidP="009E050C">
      <w:pPr>
        <w:pStyle w:val="SingleTxtG"/>
        <w:numPr>
          <w:ilvl w:val="0"/>
          <w:numId w:val="11"/>
        </w:numPr>
        <w:ind w:left="1134" w:firstLine="0"/>
        <w:rPr>
          <w:color w:val="222222"/>
          <w:shd w:val="clear" w:color="auto" w:fill="FFFFFF"/>
        </w:rPr>
      </w:pPr>
      <w:r>
        <w:rPr>
          <w:color w:val="222222"/>
          <w:shd w:val="clear" w:color="auto" w:fill="FFFFFF"/>
        </w:rPr>
        <w:t>L</w:t>
      </w:r>
      <w:r w:rsidR="00B74301" w:rsidRPr="00527C74">
        <w:rPr>
          <w:color w:val="222222"/>
          <w:shd w:val="clear" w:color="auto" w:fill="FFFFFF"/>
        </w:rPr>
        <w:t xml:space="preserve">ack of regulatory oversight </w:t>
      </w:r>
      <w:r w:rsidR="007758C5">
        <w:rPr>
          <w:color w:val="222222"/>
          <w:shd w:val="clear" w:color="auto" w:fill="FFFFFF"/>
        </w:rPr>
        <w:t>poses</w:t>
      </w:r>
      <w:r w:rsidR="00B74301">
        <w:rPr>
          <w:color w:val="222222"/>
          <w:shd w:val="clear" w:color="auto" w:fill="FFFFFF"/>
        </w:rPr>
        <w:t xml:space="preserve"> another challenge </w:t>
      </w:r>
      <w:r w:rsidR="00B74301" w:rsidRPr="00527C74">
        <w:rPr>
          <w:color w:val="222222"/>
          <w:shd w:val="clear" w:color="auto" w:fill="FFFFFF"/>
        </w:rPr>
        <w:t>contribut</w:t>
      </w:r>
      <w:r>
        <w:rPr>
          <w:color w:val="222222"/>
          <w:shd w:val="clear" w:color="auto" w:fill="FFFFFF"/>
        </w:rPr>
        <w:t>ing</w:t>
      </w:r>
      <w:r w:rsidR="00B74301" w:rsidRPr="00527C74">
        <w:rPr>
          <w:color w:val="222222"/>
          <w:shd w:val="clear" w:color="auto" w:fill="FFFFFF"/>
        </w:rPr>
        <w:t xml:space="preserve"> to the circulation of c</w:t>
      </w:r>
      <w:r w:rsidR="00B74301">
        <w:rPr>
          <w:color w:val="222222"/>
          <w:shd w:val="clear" w:color="auto" w:fill="FFFFFF"/>
        </w:rPr>
        <w:t>ounterfeit</w:t>
      </w:r>
      <w:r w:rsidR="00B74301" w:rsidRPr="00527C74">
        <w:rPr>
          <w:color w:val="222222"/>
          <w:shd w:val="clear" w:color="auto" w:fill="FFFFFF"/>
        </w:rPr>
        <w:t xml:space="preserve"> and </w:t>
      </w:r>
      <w:proofErr w:type="gramStart"/>
      <w:r w:rsidR="00B74301">
        <w:rPr>
          <w:color w:val="222222"/>
          <w:shd w:val="clear" w:color="auto" w:fill="FFFFFF"/>
        </w:rPr>
        <w:t>low quality</w:t>
      </w:r>
      <w:proofErr w:type="gramEnd"/>
      <w:r w:rsidR="00B74301">
        <w:rPr>
          <w:color w:val="222222"/>
          <w:shd w:val="clear" w:color="auto" w:fill="FFFFFF"/>
        </w:rPr>
        <w:t xml:space="preserve"> </w:t>
      </w:r>
      <w:r w:rsidR="00B74301" w:rsidRPr="00527C74">
        <w:rPr>
          <w:color w:val="222222"/>
          <w:shd w:val="clear" w:color="auto" w:fill="FFFFFF"/>
        </w:rPr>
        <w:t>medicines</w:t>
      </w:r>
      <w:r w:rsidR="00B74301">
        <w:rPr>
          <w:color w:val="222222"/>
          <w:shd w:val="clear" w:color="auto" w:fill="FFFFFF"/>
        </w:rPr>
        <w:t xml:space="preserve">. WHO </w:t>
      </w:r>
      <w:r>
        <w:rPr>
          <w:color w:val="222222"/>
          <w:shd w:val="clear" w:color="auto" w:fill="FFFFFF"/>
        </w:rPr>
        <w:t xml:space="preserve">has </w:t>
      </w:r>
      <w:r w:rsidR="00B74301" w:rsidRPr="00527C74">
        <w:rPr>
          <w:color w:val="222222"/>
          <w:shd w:val="clear" w:color="auto" w:fill="FFFFFF"/>
        </w:rPr>
        <w:t xml:space="preserve">estimated </w:t>
      </w:r>
      <w:r w:rsidR="00B74301">
        <w:rPr>
          <w:color w:val="222222"/>
          <w:shd w:val="clear" w:color="auto" w:fill="FFFFFF"/>
        </w:rPr>
        <w:t>that</w:t>
      </w:r>
      <w:r w:rsidR="00B74301" w:rsidRPr="00527C74">
        <w:rPr>
          <w:color w:val="222222"/>
          <w:shd w:val="clear" w:color="auto" w:fill="FFFFFF"/>
        </w:rPr>
        <w:t xml:space="preserve"> </w:t>
      </w:r>
      <w:r w:rsidR="00B74301">
        <w:rPr>
          <w:color w:val="222222"/>
          <w:shd w:val="clear" w:color="auto" w:fill="FFFFFF"/>
        </w:rPr>
        <w:t xml:space="preserve">this </w:t>
      </w:r>
      <w:r w:rsidR="0071677E">
        <w:rPr>
          <w:color w:val="222222"/>
          <w:shd w:val="clear" w:color="auto" w:fill="FFFFFF"/>
        </w:rPr>
        <w:t xml:space="preserve">issue </w:t>
      </w:r>
      <w:r w:rsidR="00B74301">
        <w:rPr>
          <w:color w:val="222222"/>
          <w:shd w:val="clear" w:color="auto" w:fill="FFFFFF"/>
        </w:rPr>
        <w:t>affects one in every</w:t>
      </w:r>
      <w:r w:rsidR="00B74301" w:rsidRPr="00527C74">
        <w:rPr>
          <w:color w:val="222222"/>
          <w:shd w:val="clear" w:color="auto" w:fill="FFFFFF"/>
        </w:rPr>
        <w:t xml:space="preserve"> </w:t>
      </w:r>
      <w:r w:rsidR="0071677E">
        <w:rPr>
          <w:color w:val="222222"/>
          <w:shd w:val="clear" w:color="auto" w:fill="FFFFFF"/>
        </w:rPr>
        <w:t xml:space="preserve">10 </w:t>
      </w:r>
      <w:r w:rsidR="00B74301" w:rsidRPr="00527C74">
        <w:rPr>
          <w:color w:val="222222"/>
          <w:shd w:val="clear" w:color="auto" w:fill="FFFFFF"/>
        </w:rPr>
        <w:t xml:space="preserve">medicines in </w:t>
      </w:r>
      <w:r w:rsidRPr="003C06B2">
        <w:rPr>
          <w:color w:val="222222"/>
          <w:shd w:val="clear" w:color="auto" w:fill="FFFFFF"/>
        </w:rPr>
        <w:t>low- and middle-income countries</w:t>
      </w:r>
      <w:r w:rsidR="00B74301" w:rsidRPr="00527C74">
        <w:rPr>
          <w:color w:val="222222"/>
          <w:shd w:val="clear" w:color="auto" w:fill="FFFFFF"/>
        </w:rPr>
        <w:t xml:space="preserve">, leading to patient harm and </w:t>
      </w:r>
      <w:r w:rsidR="00B74301">
        <w:rPr>
          <w:color w:val="222222"/>
          <w:shd w:val="clear" w:color="auto" w:fill="FFFFFF"/>
        </w:rPr>
        <w:t xml:space="preserve">fostering scepticism or hesitancy towards </w:t>
      </w:r>
      <w:r w:rsidR="00B74301" w:rsidRPr="00527C74">
        <w:rPr>
          <w:color w:val="222222"/>
          <w:shd w:val="clear" w:color="auto" w:fill="FFFFFF"/>
        </w:rPr>
        <w:t xml:space="preserve">non-branded medicines. </w:t>
      </w:r>
      <w:r w:rsidR="0071677E">
        <w:rPr>
          <w:color w:val="222222"/>
          <w:shd w:val="clear" w:color="auto" w:fill="FFFFFF"/>
        </w:rPr>
        <w:t>Such</w:t>
      </w:r>
      <w:r w:rsidR="0071677E" w:rsidRPr="00527C74">
        <w:rPr>
          <w:color w:val="222222"/>
          <w:shd w:val="clear" w:color="auto" w:fill="FFFFFF"/>
        </w:rPr>
        <w:t xml:space="preserve"> </w:t>
      </w:r>
      <w:r w:rsidR="00B74301">
        <w:rPr>
          <w:color w:val="222222"/>
          <w:shd w:val="clear" w:color="auto" w:fill="FFFFFF"/>
        </w:rPr>
        <w:t>hesitancy</w:t>
      </w:r>
      <w:r w:rsidR="00B74301" w:rsidRPr="00527C74">
        <w:rPr>
          <w:color w:val="222222"/>
          <w:shd w:val="clear" w:color="auto" w:fill="FFFFFF"/>
        </w:rPr>
        <w:t xml:space="preserve"> </w:t>
      </w:r>
      <w:r w:rsidR="0071677E">
        <w:rPr>
          <w:color w:val="222222"/>
          <w:shd w:val="clear" w:color="auto" w:fill="FFFFFF"/>
        </w:rPr>
        <w:t xml:space="preserve">can </w:t>
      </w:r>
      <w:r w:rsidR="00B74301" w:rsidRPr="00527C74">
        <w:rPr>
          <w:color w:val="222222"/>
          <w:shd w:val="clear" w:color="auto" w:fill="FFFFFF"/>
        </w:rPr>
        <w:t xml:space="preserve">exacerbate </w:t>
      </w:r>
      <w:r w:rsidR="00B74301">
        <w:rPr>
          <w:color w:val="222222"/>
          <w:shd w:val="clear" w:color="auto" w:fill="FFFFFF"/>
        </w:rPr>
        <w:t xml:space="preserve">lack of </w:t>
      </w:r>
      <w:r w:rsidR="00B74301" w:rsidRPr="00527C74">
        <w:rPr>
          <w:color w:val="222222"/>
          <w:shd w:val="clear" w:color="auto" w:fill="FFFFFF"/>
        </w:rPr>
        <w:t>affordability</w:t>
      </w:r>
      <w:r w:rsidR="00B74301">
        <w:rPr>
          <w:color w:val="222222"/>
          <w:shd w:val="clear" w:color="auto" w:fill="FFFFFF"/>
        </w:rPr>
        <w:t xml:space="preserve">, </w:t>
      </w:r>
      <w:r w:rsidR="00B74301" w:rsidRPr="00527C74">
        <w:rPr>
          <w:color w:val="222222"/>
          <w:shd w:val="clear" w:color="auto" w:fill="FFFFFF"/>
        </w:rPr>
        <w:t xml:space="preserve">as patients </w:t>
      </w:r>
      <w:r w:rsidR="00B74301">
        <w:rPr>
          <w:color w:val="222222"/>
          <w:shd w:val="clear" w:color="auto" w:fill="FFFFFF"/>
        </w:rPr>
        <w:t xml:space="preserve">choose </w:t>
      </w:r>
      <w:r w:rsidR="00B74301" w:rsidRPr="00527C74">
        <w:rPr>
          <w:color w:val="222222"/>
          <w:shd w:val="clear" w:color="auto" w:fill="FFFFFF"/>
        </w:rPr>
        <w:t>higher-priced branded medicines, pushing more families into poverty.</w:t>
      </w:r>
      <w:r w:rsidR="008470B5">
        <w:rPr>
          <w:rStyle w:val="FootnoteReference"/>
          <w:color w:val="222222"/>
          <w:shd w:val="clear" w:color="auto" w:fill="FFFFFF"/>
        </w:rPr>
        <w:footnoteReference w:id="107"/>
      </w:r>
      <w:r w:rsidR="00B74301" w:rsidRPr="00527C74">
        <w:rPr>
          <w:color w:val="222222"/>
          <w:shd w:val="clear" w:color="auto" w:fill="FFFFFF"/>
        </w:rPr>
        <w:t xml:space="preserve"> </w:t>
      </w:r>
    </w:p>
    <w:p w14:paraId="43F6A078" w14:textId="399DDAF7" w:rsidR="008A698D" w:rsidRPr="00EB50BB" w:rsidRDefault="004B3EAF" w:rsidP="009E050C">
      <w:pPr>
        <w:pStyle w:val="SingleTxtG"/>
        <w:numPr>
          <w:ilvl w:val="0"/>
          <w:numId w:val="11"/>
        </w:numPr>
        <w:ind w:left="1134" w:firstLine="0"/>
      </w:pPr>
      <w:r w:rsidRPr="00EB50BB">
        <w:t>Some c</w:t>
      </w:r>
      <w:r w:rsidR="005D7C54" w:rsidRPr="00EB50BB">
        <w:t xml:space="preserve">ountries </w:t>
      </w:r>
      <w:r w:rsidRPr="00EB50BB">
        <w:t>may</w:t>
      </w:r>
      <w:r w:rsidR="005D7C54" w:rsidRPr="00EB50BB">
        <w:t xml:space="preserve"> </w:t>
      </w:r>
      <w:r w:rsidR="00835BC8" w:rsidRPr="00EB50BB">
        <w:t xml:space="preserve">face significant obstacles in </w:t>
      </w:r>
      <w:r w:rsidR="0071677E">
        <w:t xml:space="preserve">their </w:t>
      </w:r>
      <w:r w:rsidR="00835BC8" w:rsidRPr="00EB50BB">
        <w:t>access</w:t>
      </w:r>
      <w:r w:rsidR="0071677E">
        <w:t xml:space="preserve"> to</w:t>
      </w:r>
      <w:r w:rsidR="00835BC8" w:rsidRPr="00EB50BB">
        <w:t xml:space="preserve"> medicines due to </w:t>
      </w:r>
      <w:r w:rsidRPr="00EB50BB">
        <w:t xml:space="preserve">regional </w:t>
      </w:r>
      <w:r w:rsidR="00EB7CF4">
        <w:t>or</w:t>
      </w:r>
      <w:r w:rsidR="00EB7CF4" w:rsidRPr="00EB50BB">
        <w:t xml:space="preserve"> </w:t>
      </w:r>
      <w:r w:rsidRPr="00EB50BB">
        <w:t>State</w:t>
      </w:r>
      <w:r w:rsidR="00232BCF">
        <w:t xml:space="preserve"> </w:t>
      </w:r>
      <w:r w:rsidRPr="00EB50BB">
        <w:t>legal frameworks</w:t>
      </w:r>
      <w:r w:rsidR="008A698D" w:rsidRPr="009E050C">
        <w:rPr>
          <w:rStyle w:val="FootnoteReference"/>
          <w:szCs w:val="18"/>
        </w:rPr>
        <w:footnoteReference w:id="108"/>
      </w:r>
      <w:r w:rsidR="008A698D" w:rsidRPr="00EB50BB">
        <w:t xml:space="preserve"> </w:t>
      </w:r>
      <w:r w:rsidR="00AC0B81" w:rsidRPr="00EB50BB">
        <w:t xml:space="preserve">that </w:t>
      </w:r>
      <w:r w:rsidR="008A698D" w:rsidRPr="00EB50BB">
        <w:t xml:space="preserve">hinder </w:t>
      </w:r>
      <w:r w:rsidR="00EB7CF4">
        <w:t>the</w:t>
      </w:r>
      <w:r w:rsidR="00EB7CF4" w:rsidRPr="00EB50BB">
        <w:t xml:space="preserve"> </w:t>
      </w:r>
      <w:r w:rsidR="008A698D" w:rsidRPr="00EB50BB">
        <w:t xml:space="preserve">processes </w:t>
      </w:r>
      <w:r w:rsidR="00EB7CF4">
        <w:t>involved in</w:t>
      </w:r>
      <w:r w:rsidR="008A698D" w:rsidRPr="00EB50BB">
        <w:t xml:space="preserve"> the acquisition, registration, pricing and reimbursement of medicines and </w:t>
      </w:r>
      <w:r w:rsidR="00870965">
        <w:t xml:space="preserve">the distribution </w:t>
      </w:r>
      <w:r w:rsidR="008A698D" w:rsidRPr="00EB50BB">
        <w:t>of vaccines</w:t>
      </w:r>
      <w:r w:rsidR="008A698D" w:rsidRPr="009E050C">
        <w:rPr>
          <w:rStyle w:val="FootnoteReference"/>
          <w:szCs w:val="18"/>
        </w:rPr>
        <w:footnoteReference w:id="109"/>
      </w:r>
      <w:r w:rsidR="008A698D" w:rsidRPr="009E050C">
        <w:rPr>
          <w:sz w:val="18"/>
          <w:szCs w:val="18"/>
        </w:rPr>
        <w:t> </w:t>
      </w:r>
      <w:r w:rsidR="008A698D" w:rsidRPr="00EB50BB">
        <w:t xml:space="preserve">affecting the accessibility of medicines, </w:t>
      </w:r>
      <w:proofErr w:type="gramStart"/>
      <w:r w:rsidR="008A698D" w:rsidRPr="00EB50BB">
        <w:t>vaccines</w:t>
      </w:r>
      <w:proofErr w:type="gramEnd"/>
      <w:r w:rsidR="008A698D" w:rsidRPr="00EB50BB">
        <w:t xml:space="preserve"> and other health products. Limited regulatory harmoni</w:t>
      </w:r>
      <w:r w:rsidR="00A40445">
        <w:t>z</w:t>
      </w:r>
      <w:r w:rsidR="008A698D" w:rsidRPr="00EB50BB">
        <w:t xml:space="preserve">ation and reliance at the national, </w:t>
      </w:r>
      <w:proofErr w:type="gramStart"/>
      <w:r w:rsidR="008A698D" w:rsidRPr="00EB50BB">
        <w:t>regional</w:t>
      </w:r>
      <w:proofErr w:type="gramEnd"/>
      <w:r w:rsidR="008A698D" w:rsidRPr="00EB50BB">
        <w:t xml:space="preserve"> and international levels </w:t>
      </w:r>
      <w:r w:rsidRPr="00EB50BB">
        <w:t xml:space="preserve">could </w:t>
      </w:r>
      <w:r w:rsidR="008A698D" w:rsidRPr="00EB50BB">
        <w:t>result in wasted resources and prolonged approval timelines,</w:t>
      </w:r>
      <w:r w:rsidR="008A698D" w:rsidRPr="009E050C">
        <w:rPr>
          <w:rStyle w:val="FootnoteReference"/>
          <w:szCs w:val="18"/>
        </w:rPr>
        <w:footnoteReference w:id="110"/>
      </w:r>
      <w:r w:rsidR="008A698D" w:rsidRPr="009E050C">
        <w:rPr>
          <w:sz w:val="18"/>
          <w:szCs w:val="18"/>
        </w:rPr>
        <w:t xml:space="preserve"> </w:t>
      </w:r>
      <w:r w:rsidR="008A698D" w:rsidRPr="00EB50BB">
        <w:t>exacerbat</w:t>
      </w:r>
      <w:r w:rsidR="00AC0B81" w:rsidRPr="00EB50BB">
        <w:t>ing</w:t>
      </w:r>
      <w:r w:rsidR="008A698D" w:rsidRPr="00EB50BB">
        <w:t xml:space="preserve"> these difficulties. </w:t>
      </w:r>
    </w:p>
    <w:p w14:paraId="30534B52" w14:textId="0C289895" w:rsidR="008C6583" w:rsidRDefault="00F474D3" w:rsidP="009E050C">
      <w:pPr>
        <w:pStyle w:val="SingleTxtG"/>
        <w:numPr>
          <w:ilvl w:val="0"/>
          <w:numId w:val="11"/>
        </w:numPr>
        <w:ind w:left="1134" w:firstLine="0"/>
      </w:pPr>
      <w:r>
        <w:t>Overly r</w:t>
      </w:r>
      <w:r w:rsidR="008C6583" w:rsidRPr="00335526">
        <w:t>estrictive guidelines for health services and products included in national lists of essential medicines, vaccines and other health products</w:t>
      </w:r>
      <w:r>
        <w:t xml:space="preserve"> </w:t>
      </w:r>
      <w:r w:rsidR="005D7C54">
        <w:t xml:space="preserve">also pose a challenge to access to medicines, </w:t>
      </w:r>
      <w:proofErr w:type="gramStart"/>
      <w:r w:rsidR="005D7C54">
        <w:t>vaccines</w:t>
      </w:r>
      <w:proofErr w:type="gramEnd"/>
      <w:r w:rsidR="005D7C54">
        <w:t xml:space="preserve"> and health products. </w:t>
      </w:r>
      <w:r w:rsidR="00336C86">
        <w:t xml:space="preserve">One example can be seen </w:t>
      </w:r>
      <w:r w:rsidR="00FA2685">
        <w:t>in the case of p</w:t>
      </w:r>
      <w:r w:rsidR="00FA2685" w:rsidRPr="00335526">
        <w:t xml:space="preserve">unitive policies </w:t>
      </w:r>
      <w:r w:rsidR="00EE77E9">
        <w:t xml:space="preserve">that </w:t>
      </w:r>
      <w:r w:rsidR="00FA2685" w:rsidRPr="00335526">
        <w:t xml:space="preserve">limit the availability of medicines for treatment of pain and drug dependence </w:t>
      </w:r>
      <w:r w:rsidR="00FA2685">
        <w:t>to</w:t>
      </w:r>
      <w:r w:rsidR="00FA2685" w:rsidRPr="00335526">
        <w:t xml:space="preserve"> </w:t>
      </w:r>
      <w:r w:rsidR="00EE77E9">
        <w:t>persons</w:t>
      </w:r>
      <w:r w:rsidR="00EE77E9" w:rsidRPr="00335526">
        <w:t xml:space="preserve"> </w:t>
      </w:r>
      <w:r w:rsidR="00FA2685" w:rsidRPr="00335526">
        <w:t xml:space="preserve">in need of palliative care or </w:t>
      </w:r>
      <w:r w:rsidR="00687444">
        <w:t xml:space="preserve">receiving </w:t>
      </w:r>
      <w:r w:rsidR="00FA2685" w:rsidRPr="00335526">
        <w:t xml:space="preserve">substance </w:t>
      </w:r>
      <w:r w:rsidR="00FA2685">
        <w:t>abuse</w:t>
      </w:r>
      <w:r w:rsidR="00FA2685" w:rsidRPr="00335526">
        <w:t xml:space="preserve"> treatment</w:t>
      </w:r>
      <w:r w:rsidR="00E57680">
        <w:t>,</w:t>
      </w:r>
      <w:r w:rsidR="00FA2685">
        <w:rPr>
          <w:rStyle w:val="FootnoteReference"/>
        </w:rPr>
        <w:footnoteReference w:id="111"/>
      </w:r>
      <w:r>
        <w:t xml:space="preserve"> </w:t>
      </w:r>
      <w:r w:rsidR="00E57680">
        <w:t>or for care</w:t>
      </w:r>
      <w:r w:rsidR="00AF4F10">
        <w:t xml:space="preserve"> for </w:t>
      </w:r>
      <w:r w:rsidR="008C6583" w:rsidRPr="00335526">
        <w:t>low</w:t>
      </w:r>
      <w:r w:rsidR="00AF4F10">
        <w:t>-</w:t>
      </w:r>
      <w:r w:rsidR="008C6583" w:rsidRPr="00335526">
        <w:t>incidence diseases or gender-affirming treatment.</w:t>
      </w:r>
      <w:r w:rsidR="008C6583" w:rsidRPr="009E050C">
        <w:rPr>
          <w:sz w:val="18"/>
          <w:szCs w:val="18"/>
          <w:vertAlign w:val="superscript"/>
        </w:rPr>
        <w:footnoteReference w:id="112"/>
      </w:r>
      <w:r w:rsidR="008C6583" w:rsidRPr="008C6583">
        <w:t xml:space="preserve"> </w:t>
      </w:r>
    </w:p>
    <w:p w14:paraId="424F18D4" w14:textId="0C723472" w:rsidR="00E66A7B" w:rsidRDefault="005C1B8A" w:rsidP="009E050C">
      <w:pPr>
        <w:pStyle w:val="SingleTxtG"/>
        <w:numPr>
          <w:ilvl w:val="0"/>
          <w:numId w:val="11"/>
        </w:numPr>
        <w:ind w:left="1134" w:firstLine="0"/>
      </w:pPr>
      <w:r>
        <w:t>C</w:t>
      </w:r>
      <w:r w:rsidR="003D4DC7" w:rsidDel="002E0CB7">
        <w:t xml:space="preserve">ommunity </w:t>
      </w:r>
      <w:r w:rsidR="00810177" w:rsidDel="002E0CB7">
        <w:t xml:space="preserve">health </w:t>
      </w:r>
      <w:r w:rsidR="00E36EF8" w:rsidDel="002E0CB7">
        <w:t xml:space="preserve">workers are </w:t>
      </w:r>
      <w:r w:rsidR="00122C9A" w:rsidDel="002E0CB7">
        <w:t xml:space="preserve">an </w:t>
      </w:r>
      <w:r w:rsidR="00E36EF8" w:rsidDel="002E0CB7">
        <w:t>essential</w:t>
      </w:r>
      <w:r w:rsidR="00122C9A" w:rsidDel="002E0CB7">
        <w:t xml:space="preserve"> part of the wider health system</w:t>
      </w:r>
      <w:r w:rsidR="00122C9A">
        <w:t xml:space="preserve"> and</w:t>
      </w:r>
      <w:r w:rsidR="00E36EF8" w:rsidDel="002E0CB7">
        <w:t xml:space="preserve"> </w:t>
      </w:r>
      <w:r w:rsidR="00AC0B81">
        <w:t xml:space="preserve">are </w:t>
      </w:r>
      <w:r w:rsidR="0081565A" w:rsidDel="002E0CB7">
        <w:t xml:space="preserve">often </w:t>
      </w:r>
      <w:r w:rsidR="00261C6C" w:rsidDel="002E0CB7">
        <w:t xml:space="preserve">better placed </w:t>
      </w:r>
      <w:r w:rsidR="0052487F" w:rsidDel="002E0CB7">
        <w:t>to reach people who are marginalized or disadvantaged</w:t>
      </w:r>
      <w:r w:rsidR="001F4644">
        <w:t>.</w:t>
      </w:r>
      <w:r w:rsidR="00724D24">
        <w:rPr>
          <w:rStyle w:val="FootnoteReference"/>
        </w:rPr>
        <w:footnoteReference w:id="113"/>
      </w:r>
      <w:r w:rsidR="001F4644">
        <w:t xml:space="preserve"> </w:t>
      </w:r>
      <w:r w:rsidR="002B5713" w:rsidDel="002E0CB7">
        <w:t xml:space="preserve">Challenges may also arise if community health workers are not included </w:t>
      </w:r>
      <w:r w:rsidR="001407B2" w:rsidDel="002E0CB7">
        <w:t xml:space="preserve">in registries </w:t>
      </w:r>
      <w:r w:rsidR="00CA5049" w:rsidDel="002E0CB7">
        <w:t xml:space="preserve">as part of the </w:t>
      </w:r>
      <w:r w:rsidR="00753849" w:rsidDel="002E0CB7">
        <w:t xml:space="preserve">workforce </w:t>
      </w:r>
      <w:r w:rsidR="001407B2" w:rsidDel="002E0CB7">
        <w:t xml:space="preserve">under the </w:t>
      </w:r>
      <w:r w:rsidR="002B5713" w:rsidDel="002E0CB7">
        <w:t>Ministry of Health</w:t>
      </w:r>
      <w:r w:rsidR="00070956">
        <w:t>.</w:t>
      </w:r>
      <w:r w:rsidR="006355C6">
        <w:rPr>
          <w:rStyle w:val="FootnoteReference"/>
        </w:rPr>
        <w:footnoteReference w:id="114"/>
      </w:r>
    </w:p>
    <w:p w14:paraId="7173C287" w14:textId="3CABBA71" w:rsidR="00A91859" w:rsidRDefault="008B418F" w:rsidP="009E050C">
      <w:pPr>
        <w:pStyle w:val="SingleTxtG"/>
        <w:numPr>
          <w:ilvl w:val="0"/>
          <w:numId w:val="11"/>
        </w:numPr>
        <w:ind w:left="1134" w:firstLine="0"/>
      </w:pPr>
      <w:r>
        <w:rPr>
          <w:rFonts w:eastAsia="SimSun"/>
          <w:spacing w:val="4"/>
          <w:w w:val="103"/>
          <w:kern w:val="14"/>
          <w:lang w:eastAsia="zh-CN"/>
        </w:rPr>
        <w:t>S</w:t>
      </w:r>
      <w:r w:rsidR="002C5F5D" w:rsidRPr="0009515E">
        <w:rPr>
          <w:rFonts w:eastAsia="SimSun"/>
          <w:spacing w:val="4"/>
          <w:w w:val="103"/>
          <w:kern w:val="14"/>
          <w:lang w:eastAsia="zh-CN"/>
        </w:rPr>
        <w:t>t</w:t>
      </w:r>
      <w:r w:rsidR="00E66A7B" w:rsidRPr="0009515E">
        <w:rPr>
          <w:rFonts w:eastAsia="SimSun"/>
          <w:spacing w:val="4"/>
          <w:w w:val="103"/>
          <w:kern w:val="14"/>
          <w:lang w:eastAsia="zh-CN"/>
        </w:rPr>
        <w:t>ates should strengthen</w:t>
      </w:r>
      <w:r w:rsidR="0078671B" w:rsidRPr="0009515E">
        <w:rPr>
          <w:rFonts w:eastAsia="SimSun"/>
          <w:spacing w:val="4"/>
          <w:w w:val="103"/>
          <w:kern w:val="14"/>
          <w:lang w:eastAsia="zh-CN"/>
        </w:rPr>
        <w:t xml:space="preserve"> their</w:t>
      </w:r>
      <w:r w:rsidR="00E66A7B" w:rsidRPr="0009515E">
        <w:rPr>
          <w:rFonts w:eastAsia="SimSun"/>
          <w:spacing w:val="4"/>
          <w:w w:val="103"/>
          <w:kern w:val="14"/>
          <w:lang w:eastAsia="zh-CN"/>
        </w:rPr>
        <w:t xml:space="preserve"> legal and regulatory framework</w:t>
      </w:r>
      <w:r w:rsidR="00AC0B81">
        <w:rPr>
          <w:rFonts w:eastAsia="SimSun"/>
          <w:spacing w:val="4"/>
          <w:w w:val="103"/>
          <w:kern w:val="14"/>
          <w:lang w:eastAsia="zh-CN"/>
        </w:rPr>
        <w:t>s</w:t>
      </w:r>
      <w:r w:rsidR="00E66A7B" w:rsidRPr="0009515E">
        <w:rPr>
          <w:rFonts w:eastAsia="SimSun"/>
          <w:spacing w:val="4"/>
          <w:w w:val="103"/>
          <w:kern w:val="14"/>
          <w:lang w:eastAsia="zh-CN"/>
        </w:rPr>
        <w:t xml:space="preserve"> </w:t>
      </w:r>
      <w:r w:rsidR="00A6506D" w:rsidRPr="0009515E">
        <w:rPr>
          <w:rFonts w:eastAsia="SimSun"/>
          <w:spacing w:val="4"/>
          <w:w w:val="103"/>
          <w:kern w:val="14"/>
          <w:lang w:eastAsia="zh-CN"/>
        </w:rPr>
        <w:t xml:space="preserve">to ensure </w:t>
      </w:r>
      <w:r w:rsidR="009329D8">
        <w:rPr>
          <w:rFonts w:eastAsia="SimSun"/>
          <w:spacing w:val="4"/>
          <w:w w:val="103"/>
          <w:kern w:val="14"/>
          <w:lang w:eastAsia="zh-CN"/>
        </w:rPr>
        <w:t xml:space="preserve">the </w:t>
      </w:r>
      <w:r w:rsidR="00A6506D" w:rsidRPr="0009515E">
        <w:rPr>
          <w:rFonts w:eastAsia="SimSun"/>
          <w:spacing w:val="4"/>
          <w:w w:val="103"/>
          <w:kern w:val="14"/>
          <w:lang w:eastAsia="zh-CN"/>
        </w:rPr>
        <w:t xml:space="preserve">quality and safety of medicines, including </w:t>
      </w:r>
      <w:r w:rsidR="00E66A7B" w:rsidRPr="0009515E">
        <w:rPr>
          <w:rFonts w:eastAsia="SimSun"/>
          <w:spacing w:val="4"/>
          <w:w w:val="103"/>
          <w:kern w:val="14"/>
          <w:lang w:eastAsia="zh-CN"/>
        </w:rPr>
        <w:t>streamlined review and approval processes to facilitate the production of generic medicines, while maintaining the highest standards of quality and safety of medicines and vaccines.</w:t>
      </w:r>
      <w:r w:rsidR="00DC48DE" w:rsidRPr="001978FD">
        <w:rPr>
          <w:rStyle w:val="FootnoteReference"/>
        </w:rPr>
        <w:footnoteReference w:id="115"/>
      </w:r>
    </w:p>
    <w:p w14:paraId="00FAB147" w14:textId="2F84BEEB" w:rsidR="00A91859" w:rsidRPr="006F1A6E" w:rsidRDefault="00A91859" w:rsidP="009E050C">
      <w:pPr>
        <w:pStyle w:val="SingleTxtG"/>
        <w:numPr>
          <w:ilvl w:val="0"/>
          <w:numId w:val="11"/>
        </w:numPr>
        <w:ind w:left="1134" w:firstLine="0"/>
      </w:pPr>
      <w:r w:rsidRPr="006F1A6E">
        <w:t xml:space="preserve">Without </w:t>
      </w:r>
      <w:r w:rsidR="00982908">
        <w:t xml:space="preserve">a </w:t>
      </w:r>
      <w:r w:rsidR="003B7860">
        <w:t xml:space="preserve">strong </w:t>
      </w:r>
      <w:r w:rsidR="00982908">
        <w:t>legal and regulatory framework</w:t>
      </w:r>
      <w:r w:rsidR="003B7860">
        <w:t xml:space="preserve"> that</w:t>
      </w:r>
      <w:r w:rsidR="00982908">
        <w:t xml:space="preserve"> includ</w:t>
      </w:r>
      <w:r w:rsidR="003B7860">
        <w:t>es</w:t>
      </w:r>
      <w:r w:rsidR="00982908">
        <w:t xml:space="preserve"> flexible guidelines</w:t>
      </w:r>
      <w:r w:rsidRPr="006F1A6E">
        <w:t xml:space="preserve">, countries </w:t>
      </w:r>
      <w:r w:rsidR="00EF3DFF">
        <w:t>risk</w:t>
      </w:r>
      <w:r w:rsidRPr="006F1A6E">
        <w:t xml:space="preserve"> delay</w:t>
      </w:r>
      <w:r w:rsidR="00EF3DFF">
        <w:t xml:space="preserve">s in </w:t>
      </w:r>
      <w:r w:rsidRPr="006F1A6E">
        <w:t xml:space="preserve">delivery of medicines </w:t>
      </w:r>
      <w:r w:rsidR="00EF3DFF">
        <w:t xml:space="preserve">or finding </w:t>
      </w:r>
      <w:r w:rsidR="00D113CF">
        <w:t xml:space="preserve">themselves with </w:t>
      </w:r>
      <w:r w:rsidRPr="006F1A6E">
        <w:t xml:space="preserve">a stock of medicines with </w:t>
      </w:r>
      <w:r>
        <w:t xml:space="preserve">a </w:t>
      </w:r>
      <w:r w:rsidRPr="006F1A6E">
        <w:t xml:space="preserve">short shelf life </w:t>
      </w:r>
      <w:r>
        <w:t xml:space="preserve">or </w:t>
      </w:r>
      <w:r w:rsidR="00D113CF">
        <w:t>that have already reached their use-by</w:t>
      </w:r>
      <w:r w:rsidRPr="006F1A6E">
        <w:t xml:space="preserve"> date.</w:t>
      </w:r>
      <w:r w:rsidRPr="009E050C">
        <w:rPr>
          <w:sz w:val="18"/>
          <w:szCs w:val="18"/>
          <w:vertAlign w:val="superscript"/>
        </w:rPr>
        <w:footnoteReference w:id="116"/>
      </w:r>
      <w:r w:rsidRPr="009E050C">
        <w:rPr>
          <w:sz w:val="18"/>
          <w:szCs w:val="18"/>
        </w:rPr>
        <w:t xml:space="preserve"> </w:t>
      </w:r>
      <w:r w:rsidR="00D113CF">
        <w:t>Furthermore, t</w:t>
      </w:r>
      <w:r w:rsidRPr="006F1A6E">
        <w:t>he lack of a robust system of pharmacovigilance may hinder the timely detection of quality or safety</w:t>
      </w:r>
      <w:r w:rsidR="001C210E">
        <w:t xml:space="preserve"> concerns</w:t>
      </w:r>
      <w:r w:rsidRPr="006F1A6E">
        <w:t>.</w:t>
      </w:r>
      <w:r w:rsidRPr="009E050C">
        <w:rPr>
          <w:sz w:val="18"/>
          <w:szCs w:val="18"/>
          <w:vertAlign w:val="superscript"/>
        </w:rPr>
        <w:footnoteReference w:id="117"/>
      </w:r>
      <w:r w:rsidRPr="006F1A6E">
        <w:t xml:space="preserve"> </w:t>
      </w:r>
      <w:r w:rsidR="00D113CF">
        <w:t>The p</w:t>
      </w:r>
      <w:r w:rsidRPr="006F1A6E">
        <w:t xml:space="preserve">ublic authorities </w:t>
      </w:r>
      <w:r w:rsidR="00D113CF">
        <w:t>responsible for assessing</w:t>
      </w:r>
      <w:r w:rsidRPr="006F1A6E">
        <w:t xml:space="preserve"> and monitoring the safety, effectiveness and quality of medicines and vaccines </w:t>
      </w:r>
      <w:r w:rsidR="00D113CF">
        <w:t>must</w:t>
      </w:r>
      <w:r w:rsidRPr="006F1A6E">
        <w:t xml:space="preserve"> be properly resourced,</w:t>
      </w:r>
      <w:r w:rsidRPr="006F1A6E">
        <w:rPr>
          <w:vertAlign w:val="superscript"/>
        </w:rPr>
        <w:footnoteReference w:id="118"/>
      </w:r>
      <w:r w:rsidRPr="006F1A6E">
        <w:t xml:space="preserve"> </w:t>
      </w:r>
      <w:r w:rsidR="002A1A09">
        <w:t>with</w:t>
      </w:r>
      <w:r w:rsidR="002A1A09" w:rsidRPr="006F1A6E">
        <w:t xml:space="preserve"> </w:t>
      </w:r>
      <w:r w:rsidR="002A1A09">
        <w:t>the appropriate</w:t>
      </w:r>
      <w:r w:rsidR="002A1A09" w:rsidRPr="006F1A6E">
        <w:t xml:space="preserve"> </w:t>
      </w:r>
      <w:r w:rsidRPr="006F1A6E">
        <w:t xml:space="preserve">skills and </w:t>
      </w:r>
      <w:r w:rsidR="00C80802">
        <w:t>up-to-date</w:t>
      </w:r>
      <w:r w:rsidR="008C72EF">
        <w:t xml:space="preserve"> </w:t>
      </w:r>
      <w:r w:rsidRPr="006F1A6E">
        <w:t>training,</w:t>
      </w:r>
      <w:r w:rsidRPr="009E050C">
        <w:rPr>
          <w:sz w:val="18"/>
          <w:szCs w:val="18"/>
          <w:vertAlign w:val="superscript"/>
        </w:rPr>
        <w:footnoteReference w:id="119"/>
      </w:r>
      <w:r w:rsidRPr="006F1A6E">
        <w:t xml:space="preserve"> </w:t>
      </w:r>
      <w:r w:rsidR="008C72EF">
        <w:t xml:space="preserve">and a </w:t>
      </w:r>
      <w:r w:rsidRPr="006F1A6E">
        <w:t>well-equipped quality</w:t>
      </w:r>
      <w:r w:rsidR="008C72EF">
        <w:t>-</w:t>
      </w:r>
      <w:r w:rsidRPr="006F1A6E">
        <w:t xml:space="preserve">control laboratory to ensure </w:t>
      </w:r>
      <w:r w:rsidR="008C72EF">
        <w:t xml:space="preserve">the </w:t>
      </w:r>
      <w:r w:rsidRPr="006F1A6E">
        <w:t>quality and safety of products and adequate cold room for vaccines and storage facilities.</w:t>
      </w:r>
      <w:r w:rsidRPr="009E050C">
        <w:rPr>
          <w:sz w:val="18"/>
          <w:szCs w:val="18"/>
          <w:vertAlign w:val="superscript"/>
        </w:rPr>
        <w:footnoteReference w:id="120"/>
      </w:r>
    </w:p>
    <w:p w14:paraId="2C6FAA90" w14:textId="23D23D7E" w:rsidR="00A91859" w:rsidRDefault="00A45E9F" w:rsidP="009E050C">
      <w:pPr>
        <w:pStyle w:val="SingleTxtG"/>
        <w:numPr>
          <w:ilvl w:val="0"/>
          <w:numId w:val="11"/>
        </w:numPr>
        <w:ind w:left="1134" w:firstLine="0"/>
      </w:pPr>
      <w:r>
        <w:t xml:space="preserve">The </w:t>
      </w:r>
      <w:r w:rsidR="00A91859" w:rsidRPr="006F1A6E">
        <w:t xml:space="preserve">WHO Prequalification of Medicines Programme </w:t>
      </w:r>
      <w:r w:rsidR="00EC4EAA">
        <w:t xml:space="preserve">was designed to </w:t>
      </w:r>
      <w:r w:rsidR="00A91859" w:rsidRPr="006F1A6E">
        <w:t xml:space="preserve">improve public health outcomes and reduce health disparities by ensuring access to high-quality medicines and vaccines in </w:t>
      </w:r>
      <w:r w:rsidR="00D50A55" w:rsidRPr="003C06B2">
        <w:rPr>
          <w:color w:val="222222"/>
          <w:shd w:val="clear" w:color="auto" w:fill="FFFFFF"/>
        </w:rPr>
        <w:t>low- and middle-income countries</w:t>
      </w:r>
      <w:r w:rsidR="00A91859" w:rsidRPr="006F1A6E">
        <w:t>.</w:t>
      </w:r>
      <w:r w:rsidR="00A91859" w:rsidRPr="009E050C">
        <w:rPr>
          <w:sz w:val="18"/>
          <w:szCs w:val="18"/>
          <w:vertAlign w:val="superscript"/>
        </w:rPr>
        <w:footnoteReference w:id="121"/>
      </w:r>
      <w:r w:rsidR="00A91859" w:rsidRPr="00B93ACF">
        <w:t xml:space="preserve"> </w:t>
      </w:r>
      <w:r w:rsidR="00CD054E">
        <w:t>S</w:t>
      </w:r>
      <w:r w:rsidR="00A91859">
        <w:t xml:space="preserve">tates </w:t>
      </w:r>
      <w:r w:rsidR="00D50A55">
        <w:t xml:space="preserve">should therefore </w:t>
      </w:r>
      <w:r w:rsidR="00A91859">
        <w:t xml:space="preserve">consolidate </w:t>
      </w:r>
      <w:r w:rsidR="009A0087">
        <w:t xml:space="preserve">their </w:t>
      </w:r>
      <w:r w:rsidR="00A91859">
        <w:t xml:space="preserve">efforts </w:t>
      </w:r>
      <w:r w:rsidR="009A0087">
        <w:t xml:space="preserve">in </w:t>
      </w:r>
      <w:r w:rsidR="00A91859" w:rsidRPr="009A43C1">
        <w:t xml:space="preserve">international </w:t>
      </w:r>
      <w:r w:rsidR="00A91859">
        <w:t xml:space="preserve">global </w:t>
      </w:r>
      <w:r w:rsidR="00A91859" w:rsidRPr="009A43C1">
        <w:t xml:space="preserve">regulatory cooperation </w:t>
      </w:r>
      <w:r w:rsidR="00A91859">
        <w:t xml:space="preserve">and address </w:t>
      </w:r>
      <w:r w:rsidR="009A0087">
        <w:t xml:space="preserve">the </w:t>
      </w:r>
      <w:r w:rsidR="00A91859">
        <w:t xml:space="preserve">challenges </w:t>
      </w:r>
      <w:r w:rsidR="009A0087">
        <w:t xml:space="preserve">posed to </w:t>
      </w:r>
      <w:r w:rsidR="00A91859">
        <w:t xml:space="preserve">the </w:t>
      </w:r>
      <w:r w:rsidR="00A91859" w:rsidRPr="009A43C1">
        <w:t>rigorous evaluation process</w:t>
      </w:r>
      <w:r w:rsidR="00A91859">
        <w:t>es</w:t>
      </w:r>
      <w:r w:rsidR="00A91859" w:rsidRPr="009A43C1">
        <w:t xml:space="preserve"> </w:t>
      </w:r>
      <w:r w:rsidR="007F7622">
        <w:t xml:space="preserve">required by the Programme, </w:t>
      </w:r>
      <w:r w:rsidR="00A91859">
        <w:t>and ensure an efficient system where the implementation of th</w:t>
      </w:r>
      <w:r w:rsidR="007F7622">
        <w:t>o</w:t>
      </w:r>
      <w:r w:rsidR="00A91859">
        <w:t>se processes</w:t>
      </w:r>
      <w:r w:rsidR="005A2948">
        <w:t xml:space="preserve"> is</w:t>
      </w:r>
      <w:r w:rsidR="00A91859">
        <w:t xml:space="preserve"> </w:t>
      </w:r>
      <w:r w:rsidR="00064B18">
        <w:t>rooted in human rights</w:t>
      </w:r>
      <w:r w:rsidR="005A2948">
        <w:t>,</w:t>
      </w:r>
      <w:r w:rsidR="00064B18">
        <w:t xml:space="preserve"> </w:t>
      </w:r>
      <w:r w:rsidR="00A91859">
        <w:t xml:space="preserve">remains transparent, </w:t>
      </w:r>
      <w:r w:rsidR="000E6B02">
        <w:t xml:space="preserve">is </w:t>
      </w:r>
      <w:r w:rsidR="00A91859">
        <w:t>impartial and effective,</w:t>
      </w:r>
      <w:r w:rsidR="00A91859">
        <w:rPr>
          <w:rStyle w:val="FootnoteReference"/>
        </w:rPr>
        <w:footnoteReference w:id="122"/>
      </w:r>
      <w:r w:rsidR="00A91859">
        <w:t xml:space="preserve"> and </w:t>
      </w:r>
      <w:r w:rsidR="000E6B02">
        <w:t xml:space="preserve">is </w:t>
      </w:r>
      <w:r w:rsidR="00A91859">
        <w:t>aim</w:t>
      </w:r>
      <w:r w:rsidR="000E6B02">
        <w:t>ed</w:t>
      </w:r>
      <w:r w:rsidR="00A91859">
        <w:t xml:space="preserve"> at r</w:t>
      </w:r>
      <w:r w:rsidR="00A91859" w:rsidRPr="009A43C1">
        <w:t>educing costs and improving access to medicines</w:t>
      </w:r>
      <w:r w:rsidR="00A91859">
        <w:t>, vaccines and other health products.</w:t>
      </w:r>
    </w:p>
    <w:p w14:paraId="0A5EBB10" w14:textId="538DC54B" w:rsidR="00F26EF2" w:rsidRPr="00AE6B30" w:rsidRDefault="0065722D" w:rsidP="009E050C">
      <w:pPr>
        <w:pStyle w:val="H23G"/>
        <w:spacing w:line="240" w:lineRule="atLeast"/>
      </w:pPr>
      <w:r>
        <w:tab/>
        <w:t>2.</w:t>
      </w:r>
      <w:r w:rsidR="00F26EF2" w:rsidRPr="00AE6B30">
        <w:tab/>
      </w:r>
      <w:r w:rsidR="004B55E9" w:rsidRPr="00AE6B30">
        <w:t>Research and development</w:t>
      </w:r>
      <w:r w:rsidR="00E00F98" w:rsidRPr="00AE6B30">
        <w:t xml:space="preserve"> </w:t>
      </w:r>
    </w:p>
    <w:p w14:paraId="6DE6F4DB" w14:textId="70327449" w:rsidR="00AB773B" w:rsidRDefault="004B55E9" w:rsidP="009E050C">
      <w:pPr>
        <w:pStyle w:val="SingleTxtG"/>
        <w:numPr>
          <w:ilvl w:val="0"/>
          <w:numId w:val="11"/>
        </w:numPr>
        <w:ind w:left="1134" w:firstLine="0"/>
      </w:pPr>
      <w:r w:rsidRPr="004B55E9">
        <w:t xml:space="preserve">The current biomedical innovation system is </w:t>
      </w:r>
      <w:r w:rsidR="000946C6">
        <w:t>often</w:t>
      </w:r>
      <w:r w:rsidR="000946C6" w:rsidRPr="004B55E9">
        <w:t xml:space="preserve"> </w:t>
      </w:r>
      <w:r w:rsidRPr="004B55E9">
        <w:t>driven by commercial interests.</w:t>
      </w:r>
      <w:r w:rsidR="001C210E">
        <w:t xml:space="preserve"> </w:t>
      </w:r>
      <w:r w:rsidR="00AB6F7D">
        <w:t>Most p</w:t>
      </w:r>
      <w:r w:rsidRPr="004B55E9">
        <w:t xml:space="preserve">harmaceutical companies develop medicines based on the likelihood of profitability. The result is a severe lack of investment in medical tools – medicines, </w:t>
      </w:r>
      <w:proofErr w:type="gramStart"/>
      <w:r w:rsidRPr="004B55E9">
        <w:t>diagnostics</w:t>
      </w:r>
      <w:proofErr w:type="gramEnd"/>
      <w:r w:rsidRPr="004B55E9">
        <w:t xml:space="preserve"> and vaccines – to meet the needs of people who do not constitute a sizeable or lucrative market</w:t>
      </w:r>
      <w:r w:rsidR="00B914F1">
        <w:t>.</w:t>
      </w:r>
      <w:r w:rsidR="000946C6">
        <w:t xml:space="preserve"> It also has implications </w:t>
      </w:r>
      <w:r w:rsidR="00810D87">
        <w:t xml:space="preserve">for </w:t>
      </w:r>
      <w:r w:rsidR="000946C6">
        <w:t>prices, which may not be affordable for a part of the population.</w:t>
      </w:r>
      <w:r w:rsidRPr="009E050C">
        <w:rPr>
          <w:sz w:val="18"/>
          <w:szCs w:val="18"/>
          <w:vertAlign w:val="superscript"/>
        </w:rPr>
        <w:footnoteReference w:id="123"/>
      </w:r>
      <w:r w:rsidR="00837428">
        <w:t xml:space="preserve"> </w:t>
      </w:r>
      <w:r w:rsidR="00AF4E29">
        <w:t xml:space="preserve">This is </w:t>
      </w:r>
      <w:r w:rsidR="00AC0B81">
        <w:t xml:space="preserve">not only </w:t>
      </w:r>
      <w:r w:rsidR="00AF4E29">
        <w:t xml:space="preserve">for </w:t>
      </w:r>
      <w:r w:rsidR="00AC0B81">
        <w:t xml:space="preserve">treatment of </w:t>
      </w:r>
      <w:r w:rsidR="00AF4E29">
        <w:t>n</w:t>
      </w:r>
      <w:r w:rsidR="00AB773B" w:rsidRPr="004B55E9">
        <w:t>eglected diseases</w:t>
      </w:r>
      <w:r w:rsidR="00AC0B81">
        <w:t xml:space="preserve">, but also </w:t>
      </w:r>
      <w:r w:rsidR="001C210E">
        <w:t xml:space="preserve">for </w:t>
      </w:r>
      <w:r w:rsidR="00AB773B" w:rsidRPr="004B55E9">
        <w:t>other major global health problems</w:t>
      </w:r>
      <w:r w:rsidR="00DD418F">
        <w:t>.</w:t>
      </w:r>
      <w:r w:rsidR="00AB773B" w:rsidRPr="00B914F1">
        <w:rPr>
          <w:vertAlign w:val="superscript"/>
        </w:rPr>
        <w:footnoteReference w:id="124"/>
      </w:r>
      <w:r w:rsidR="00DD418F">
        <w:t xml:space="preserve"> I</w:t>
      </w:r>
      <w:r w:rsidR="00F65346" w:rsidRPr="00AB773B">
        <w:t>nfectious disease</w:t>
      </w:r>
      <w:r w:rsidR="00DD418F">
        <w:t>s</w:t>
      </w:r>
      <w:r w:rsidR="00F65346" w:rsidRPr="00AB773B">
        <w:t>, vaccines and antibiotic resistance</w:t>
      </w:r>
      <w:r w:rsidR="00F65346">
        <w:t xml:space="preserve"> are examples of key public health areas where pharmaceutical companies are withdrawing their </w:t>
      </w:r>
      <w:r w:rsidR="009A0A73">
        <w:t>research and development</w:t>
      </w:r>
      <w:r w:rsidR="00DD418F">
        <w:t xml:space="preserve"> </w:t>
      </w:r>
      <w:r w:rsidR="00172A42">
        <w:t xml:space="preserve">efforts </w:t>
      </w:r>
      <w:r w:rsidR="00DD418F">
        <w:t>out of profit considerations</w:t>
      </w:r>
      <w:r w:rsidR="00172A42">
        <w:t>,</w:t>
      </w:r>
      <w:r w:rsidR="00DD418F">
        <w:t xml:space="preserve"> thereby reinforcing existing inequalities</w:t>
      </w:r>
      <w:r w:rsidR="00AB773B" w:rsidRPr="00AB773B">
        <w:t>.</w:t>
      </w:r>
      <w:r w:rsidR="00AB773B">
        <w:rPr>
          <w:rStyle w:val="FootnoteReference"/>
        </w:rPr>
        <w:footnoteReference w:id="125"/>
      </w:r>
      <w:r w:rsidR="00AB773B">
        <w:t xml:space="preserve"> </w:t>
      </w:r>
      <w:r w:rsidR="00AB773B" w:rsidRPr="00AB773B">
        <w:t xml:space="preserve">Without strong public engagement, the strategic focus and investments of manufacturers will remain limited </w:t>
      </w:r>
      <w:r w:rsidR="00172A42">
        <w:t>in relation</w:t>
      </w:r>
      <w:r w:rsidR="00172A42" w:rsidRPr="00AB773B">
        <w:t xml:space="preserve"> </w:t>
      </w:r>
      <w:r w:rsidR="00AB773B" w:rsidRPr="00AB773B">
        <w:t>to the need for an ambitious immunization agenda</w:t>
      </w:r>
      <w:r w:rsidR="004B5A93">
        <w:t>,</w:t>
      </w:r>
      <w:r w:rsidR="00AB773B" w:rsidRPr="00AB773B">
        <w:t xml:space="preserve"> and will </w:t>
      </w:r>
      <w:r w:rsidR="004B5A93">
        <w:t xml:space="preserve">rather </w:t>
      </w:r>
      <w:r w:rsidR="00AB773B" w:rsidRPr="00AB773B">
        <w:t>continue to concentrate on more profitable pharmaceutical interventions and on high-income market vaccines.</w:t>
      </w:r>
      <w:r w:rsidR="00AB773B">
        <w:rPr>
          <w:rStyle w:val="FootnoteReference"/>
        </w:rPr>
        <w:footnoteReference w:id="126"/>
      </w:r>
      <w:r w:rsidR="00DD418F">
        <w:t xml:space="preserve"> To secure access to medicines, vaccines and medical products </w:t>
      </w:r>
      <w:r w:rsidR="001C210E">
        <w:t xml:space="preserve">for all </w:t>
      </w:r>
      <w:r w:rsidR="00AC0B81">
        <w:t xml:space="preserve">people, </w:t>
      </w:r>
      <w:r w:rsidR="000946C6">
        <w:t>S</w:t>
      </w:r>
      <w:r w:rsidR="00DD418F">
        <w:t xml:space="preserve">tates </w:t>
      </w:r>
      <w:r w:rsidR="004B5A93">
        <w:t>must</w:t>
      </w:r>
      <w:r w:rsidR="00DD418F">
        <w:t xml:space="preserve"> reverse this trend. </w:t>
      </w:r>
    </w:p>
    <w:p w14:paraId="1720B884" w14:textId="7CE12DA1" w:rsidR="004E461B" w:rsidRDefault="00B914F1" w:rsidP="009E050C">
      <w:pPr>
        <w:pStyle w:val="SingleTxtG"/>
        <w:numPr>
          <w:ilvl w:val="0"/>
          <w:numId w:val="11"/>
        </w:numPr>
        <w:ind w:left="1134" w:firstLine="0"/>
      </w:pPr>
      <w:r>
        <w:t>I</w:t>
      </w:r>
      <w:r w:rsidR="004B55E9" w:rsidRPr="004B55E9">
        <w:t>n the context of the COVID-19 response, public-private partnerships played a critical</w:t>
      </w:r>
      <w:r w:rsidR="00B807A6">
        <w:t>,</w:t>
      </w:r>
      <w:r w:rsidR="004B55E9" w:rsidRPr="004B55E9">
        <w:t xml:space="preserve"> </w:t>
      </w:r>
      <w:r w:rsidR="00DD418F">
        <w:t xml:space="preserve">positive </w:t>
      </w:r>
      <w:r w:rsidR="004B55E9" w:rsidRPr="004B55E9">
        <w:t>role in</w:t>
      </w:r>
      <w:r w:rsidR="00DD418F">
        <w:t xml:space="preserve"> facilitating rapid</w:t>
      </w:r>
      <w:r w:rsidR="004B55E9" w:rsidRPr="004B55E9">
        <w:t xml:space="preserve"> vaccine development</w:t>
      </w:r>
      <w:r w:rsidR="00B807A6">
        <w:t xml:space="preserve">, </w:t>
      </w:r>
      <w:r w:rsidR="00DD418F" w:rsidRPr="004B55E9">
        <w:t>incentiv</w:t>
      </w:r>
      <w:r w:rsidR="00DD418F">
        <w:t>i</w:t>
      </w:r>
      <w:r w:rsidR="004B1497">
        <w:t>z</w:t>
      </w:r>
      <w:r w:rsidR="001C210E">
        <w:t>ing</w:t>
      </w:r>
      <w:r w:rsidR="00DD418F" w:rsidRPr="004B55E9">
        <w:t xml:space="preserve"> </w:t>
      </w:r>
      <w:r w:rsidR="00042257">
        <w:t xml:space="preserve">it </w:t>
      </w:r>
      <w:r w:rsidR="00DD418F">
        <w:t xml:space="preserve">through </w:t>
      </w:r>
      <w:r w:rsidR="00DD418F" w:rsidRPr="004B55E9">
        <w:t>significant invest</w:t>
      </w:r>
      <w:r w:rsidR="00DD418F">
        <w:t xml:space="preserve">ment in </w:t>
      </w:r>
      <w:r w:rsidR="009A0A73">
        <w:t xml:space="preserve">research and development </w:t>
      </w:r>
      <w:r w:rsidR="00DD418F" w:rsidRPr="004B55E9">
        <w:t xml:space="preserve">efforts, particularly in </w:t>
      </w:r>
      <w:r w:rsidR="001C210E">
        <w:t>the</w:t>
      </w:r>
      <w:r w:rsidR="00DD418F" w:rsidRPr="004B55E9">
        <w:t xml:space="preserve"> early and risky stage</w:t>
      </w:r>
      <w:r w:rsidR="001C210E">
        <w:t xml:space="preserve"> of vaccine development</w:t>
      </w:r>
      <w:r w:rsidR="00DD418F">
        <w:t xml:space="preserve">. </w:t>
      </w:r>
      <w:r w:rsidR="00042257">
        <w:t>T</w:t>
      </w:r>
      <w:r w:rsidR="00DD418F">
        <w:t>he COVID-19 response also showed</w:t>
      </w:r>
      <w:r w:rsidR="00042257">
        <w:t>,</w:t>
      </w:r>
      <w:r w:rsidR="00DD418F">
        <w:t xml:space="preserve"> </w:t>
      </w:r>
      <w:r w:rsidR="00042257">
        <w:t xml:space="preserve">however, </w:t>
      </w:r>
      <w:r w:rsidR="00DD418F">
        <w:t>important shortcomings</w:t>
      </w:r>
      <w:r w:rsidR="001C210E">
        <w:t xml:space="preserve"> </w:t>
      </w:r>
      <w:r w:rsidR="00042257">
        <w:t xml:space="preserve">in </w:t>
      </w:r>
      <w:r w:rsidR="001C210E">
        <w:t>public</w:t>
      </w:r>
      <w:r w:rsidR="00042257">
        <w:t>-</w:t>
      </w:r>
      <w:r w:rsidR="001C210E">
        <w:t>private partnerships</w:t>
      </w:r>
      <w:r w:rsidR="00AC380A">
        <w:t xml:space="preserve">. </w:t>
      </w:r>
      <w:r w:rsidR="000946C6">
        <w:t>C</w:t>
      </w:r>
      <w:r w:rsidR="008054A6">
        <w:t xml:space="preserve">ompanies benefiting from research funding </w:t>
      </w:r>
      <w:r w:rsidR="000946C6">
        <w:t xml:space="preserve">were not required to </w:t>
      </w:r>
      <w:r w:rsidR="008054A6">
        <w:t>prioritize</w:t>
      </w:r>
      <w:r w:rsidR="00A43EBA">
        <w:t xml:space="preserve"> reasonable returns on investment and undergo</w:t>
      </w:r>
      <w:r w:rsidR="00394F7D">
        <w:t xml:space="preserve"> evaluations o</w:t>
      </w:r>
      <w:r w:rsidR="00E06BD6">
        <w:t>f</w:t>
      </w:r>
      <w:r w:rsidR="00394F7D">
        <w:t xml:space="preserve"> </w:t>
      </w:r>
      <w:r w:rsidR="001C4F96">
        <w:t>their</w:t>
      </w:r>
      <w:r w:rsidR="00394F7D">
        <w:t xml:space="preserve"> pricing practices and </w:t>
      </w:r>
      <w:r w:rsidR="001C4F96">
        <w:t>their</w:t>
      </w:r>
      <w:r w:rsidR="00394F7D">
        <w:t xml:space="preserve"> impact on access to medicines</w:t>
      </w:r>
      <w:r w:rsidR="001C4F96">
        <w:t>, vaccines and other health products</w:t>
      </w:r>
      <w:r w:rsidR="00E06BD6">
        <w:t>;</w:t>
      </w:r>
      <w:r w:rsidR="00A651C4" w:rsidRPr="009E050C">
        <w:rPr>
          <w:sz w:val="18"/>
          <w:szCs w:val="18"/>
          <w:vertAlign w:val="superscript"/>
        </w:rPr>
        <w:footnoteReference w:id="127"/>
      </w:r>
      <w:r w:rsidR="00A651C4" w:rsidRPr="009E050C">
        <w:rPr>
          <w:sz w:val="18"/>
          <w:szCs w:val="18"/>
          <w:vertAlign w:val="superscript"/>
        </w:rPr>
        <w:t xml:space="preserve"> </w:t>
      </w:r>
      <w:r w:rsidR="00E06BD6">
        <w:t>a</w:t>
      </w:r>
      <w:r w:rsidR="00AC380A">
        <w:t>s a result</w:t>
      </w:r>
      <w:r w:rsidR="004E461B">
        <w:t>,</w:t>
      </w:r>
      <w:r w:rsidR="00AC380A" w:rsidRPr="004B55E9">
        <w:t xml:space="preserve"> intellectual property </w:t>
      </w:r>
      <w:r w:rsidR="004E461B">
        <w:t xml:space="preserve">supported at least in part by the public funds </w:t>
      </w:r>
      <w:r w:rsidR="00AC380A" w:rsidRPr="004B55E9">
        <w:t xml:space="preserve">ended up in </w:t>
      </w:r>
      <w:r w:rsidR="004E461B">
        <w:t>private</w:t>
      </w:r>
      <w:r w:rsidR="003C49A3">
        <w:t xml:space="preserve"> hands</w:t>
      </w:r>
      <w:r w:rsidR="00AC380A" w:rsidRPr="004B55E9">
        <w:t>.</w:t>
      </w:r>
      <w:r w:rsidR="00AC380A">
        <w:rPr>
          <w:rStyle w:val="FootnoteReference"/>
        </w:rPr>
        <w:footnoteReference w:id="128"/>
      </w:r>
      <w:r w:rsidR="00AC380A">
        <w:t xml:space="preserve"> A key less</w:t>
      </w:r>
      <w:r w:rsidR="004E461B">
        <w:t>on</w:t>
      </w:r>
      <w:r w:rsidR="00AC380A">
        <w:t xml:space="preserve"> learned from </w:t>
      </w:r>
      <w:r w:rsidR="001C210E">
        <w:t xml:space="preserve">the </w:t>
      </w:r>
      <w:r w:rsidR="00AC380A">
        <w:t>COVID-19 response is that</w:t>
      </w:r>
      <w:r w:rsidR="001C210E">
        <w:t xml:space="preserve"> when</w:t>
      </w:r>
      <w:r w:rsidR="00AC380A">
        <w:t xml:space="preserve"> </w:t>
      </w:r>
      <w:r w:rsidR="004B55E9" w:rsidRPr="004B55E9">
        <w:t>States introduce measures for public investments</w:t>
      </w:r>
      <w:r w:rsidR="00F65346">
        <w:t xml:space="preserve"> in </w:t>
      </w:r>
      <w:r w:rsidR="009A0A73">
        <w:t>research and development</w:t>
      </w:r>
      <w:r w:rsidR="001C210E">
        <w:t xml:space="preserve">, they </w:t>
      </w:r>
      <w:r w:rsidR="003C49A3">
        <w:t>must</w:t>
      </w:r>
      <w:r w:rsidR="001C210E">
        <w:t xml:space="preserve"> </w:t>
      </w:r>
      <w:r w:rsidR="00F65346">
        <w:t xml:space="preserve">ensure </w:t>
      </w:r>
      <w:r w:rsidR="000A7138">
        <w:t xml:space="preserve">that </w:t>
      </w:r>
      <w:r w:rsidR="004B55E9" w:rsidRPr="004B55E9">
        <w:t xml:space="preserve">the resulting medical technologies that receive public subsidies in their development process </w:t>
      </w:r>
      <w:r w:rsidR="00AC380A">
        <w:t>are made</w:t>
      </w:r>
      <w:r w:rsidR="004B55E9" w:rsidRPr="004B55E9">
        <w:t xml:space="preserve"> available and accessible to those in need, domestically and globally.</w:t>
      </w:r>
      <w:r>
        <w:rPr>
          <w:rStyle w:val="FootnoteReference"/>
        </w:rPr>
        <w:footnoteReference w:id="129"/>
      </w:r>
      <w:r w:rsidR="00574D8A">
        <w:t xml:space="preserve"> </w:t>
      </w:r>
    </w:p>
    <w:p w14:paraId="0793253C" w14:textId="043881B0" w:rsidR="00AB773B" w:rsidRDefault="001C210E" w:rsidP="009E050C">
      <w:pPr>
        <w:pStyle w:val="SingleTxtG"/>
        <w:numPr>
          <w:ilvl w:val="0"/>
          <w:numId w:val="11"/>
        </w:numPr>
        <w:ind w:left="1134" w:firstLine="0"/>
      </w:pPr>
      <w:r>
        <w:t xml:space="preserve">A further drawback </w:t>
      </w:r>
      <w:r w:rsidR="00777405">
        <w:t xml:space="preserve">in </w:t>
      </w:r>
      <w:r>
        <w:t xml:space="preserve">market mechanisms during the </w:t>
      </w:r>
      <w:r w:rsidR="009A0A73">
        <w:t xml:space="preserve">research and development </w:t>
      </w:r>
      <w:r w:rsidR="00AB773B" w:rsidRPr="00AB773B">
        <w:t>stage</w:t>
      </w:r>
      <w:r>
        <w:t xml:space="preserve"> is </w:t>
      </w:r>
      <w:r w:rsidR="00777405">
        <w:t xml:space="preserve">the fact </w:t>
      </w:r>
      <w:r>
        <w:t xml:space="preserve">that </w:t>
      </w:r>
      <w:r w:rsidR="00AB773B" w:rsidRPr="00AB773B">
        <w:t xml:space="preserve">reliance on market exclusivity drives scientists and companies to work in isolation from and in competition with one another. Information </w:t>
      </w:r>
      <w:r w:rsidR="00234A9B">
        <w:t>on</w:t>
      </w:r>
      <w:r w:rsidR="00234A9B" w:rsidRPr="00AB773B">
        <w:t xml:space="preserve"> </w:t>
      </w:r>
      <w:r w:rsidR="009A0A73">
        <w:t xml:space="preserve">research and development </w:t>
      </w:r>
      <w:r w:rsidR="00AB773B" w:rsidRPr="00AB773B">
        <w:t>costs and methods are not disclosed, which discourages follow-on innovation</w:t>
      </w:r>
      <w:r w:rsidR="00234A9B">
        <w:t>, which</w:t>
      </w:r>
      <w:r w:rsidR="00AB773B" w:rsidRPr="00AB773B">
        <w:t xml:space="preserve"> could drive prices down or improve health outcomes. The lack of transparency also inhibits the ability of companies to learn from each other, leading to poor investment decisions being replicated simultaneously by multiple companies.</w:t>
      </w:r>
      <w:r w:rsidR="00AB773B" w:rsidRPr="00AB773B">
        <w:rPr>
          <w:rStyle w:val="FootnoteReference"/>
        </w:rPr>
        <w:footnoteReference w:id="130"/>
      </w:r>
      <w:r w:rsidR="00F65346">
        <w:t xml:space="preserve"> States should regulat</w:t>
      </w:r>
      <w:r w:rsidR="00980108">
        <w:t xml:space="preserve">e in a way </w:t>
      </w:r>
      <w:r w:rsidR="00F65346">
        <w:t>that promotes cooperation and exchange.</w:t>
      </w:r>
    </w:p>
    <w:p w14:paraId="188418BC" w14:textId="06D3F211" w:rsidR="002C7B2A" w:rsidRDefault="002C7B2A" w:rsidP="009E050C">
      <w:pPr>
        <w:pStyle w:val="H23G"/>
        <w:spacing w:line="240" w:lineRule="atLeast"/>
      </w:pPr>
      <w:r w:rsidRPr="007E00C9">
        <w:tab/>
      </w:r>
      <w:r w:rsidR="0065722D">
        <w:t>3.</w:t>
      </w:r>
      <w:r w:rsidRPr="007E00C9">
        <w:tab/>
      </w:r>
      <w:r w:rsidR="00280F14">
        <w:t>I</w:t>
      </w:r>
      <w:r w:rsidR="00D9275C">
        <w:t>mpact of i</w:t>
      </w:r>
      <w:r w:rsidR="009A42FF">
        <w:t xml:space="preserve">ntellectual </w:t>
      </w:r>
      <w:r w:rsidR="007012F3">
        <w:t>p</w:t>
      </w:r>
      <w:r w:rsidR="009A42FF">
        <w:t xml:space="preserve">roperty </w:t>
      </w:r>
      <w:r w:rsidR="00D9275C">
        <w:t xml:space="preserve">on pricing of medicines, </w:t>
      </w:r>
      <w:proofErr w:type="gramStart"/>
      <w:r w:rsidR="00D9275C">
        <w:t>vaccines</w:t>
      </w:r>
      <w:proofErr w:type="gramEnd"/>
      <w:r w:rsidR="00D9275C">
        <w:t xml:space="preserve"> and health products</w:t>
      </w:r>
      <w:r w:rsidR="009A42FF">
        <w:t xml:space="preserve"> </w:t>
      </w:r>
    </w:p>
    <w:p w14:paraId="44E549B8" w14:textId="15DDABB3" w:rsidR="00176FF6" w:rsidRDefault="00980108" w:rsidP="009E050C">
      <w:pPr>
        <w:pStyle w:val="SingleTxtG"/>
        <w:numPr>
          <w:ilvl w:val="0"/>
          <w:numId w:val="11"/>
        </w:numPr>
        <w:ind w:left="1134" w:firstLine="0"/>
      </w:pPr>
      <w:r>
        <w:t>According to</w:t>
      </w:r>
      <w:r w:rsidR="00D379C5">
        <w:t xml:space="preserve"> </w:t>
      </w:r>
      <w:r>
        <w:t>t</w:t>
      </w:r>
      <w:r w:rsidR="00176FF6" w:rsidRPr="00176FF6">
        <w:t>he Committee on Economic, Social and Cultural Rights intellectual property “</w:t>
      </w:r>
      <w:r w:rsidR="00176FF6" w:rsidRPr="009E050C">
        <w:t>is a social product with a social function, and States parties have a duty to prevent unreasonably high costs of essential medicines from undermining the right to health</w:t>
      </w:r>
      <w:r w:rsidR="00176FF6" w:rsidRPr="009A0A73">
        <w:t>”</w:t>
      </w:r>
      <w:r w:rsidR="00176FF6" w:rsidRPr="00176FF6">
        <w:t>.</w:t>
      </w:r>
      <w:r w:rsidR="00176FF6" w:rsidRPr="00176FF6">
        <w:rPr>
          <w:rStyle w:val="FootnoteReference"/>
        </w:rPr>
        <w:footnoteReference w:id="131"/>
      </w:r>
    </w:p>
    <w:p w14:paraId="3FD2FCB1" w14:textId="7410A221" w:rsidR="00AE57E7" w:rsidRPr="00176FF6" w:rsidRDefault="00176FF6" w:rsidP="009E050C">
      <w:pPr>
        <w:pStyle w:val="SingleTxtG"/>
        <w:numPr>
          <w:ilvl w:val="0"/>
          <w:numId w:val="11"/>
        </w:numPr>
        <w:ind w:left="1134" w:firstLine="0"/>
      </w:pPr>
      <w:r w:rsidRPr="00176FF6">
        <w:t xml:space="preserve">There is an increasing need to ensure the sustainable availability of health products through careful management of affordable </w:t>
      </w:r>
      <w:r w:rsidR="00442AFD">
        <w:t xml:space="preserve">and fair </w:t>
      </w:r>
      <w:r w:rsidRPr="00176FF6">
        <w:t>pricing for health systems and producers.</w:t>
      </w:r>
      <w:r w:rsidRPr="00176FF6">
        <w:rPr>
          <w:rStyle w:val="FootnoteReference"/>
        </w:rPr>
        <w:footnoteReference w:id="132"/>
      </w:r>
      <w:r w:rsidR="00D379C5" w:rsidRPr="00D379C5">
        <w:t xml:space="preserve"> </w:t>
      </w:r>
      <w:r w:rsidR="00D379C5">
        <w:t>The p</w:t>
      </w:r>
      <w:r w:rsidR="00D379C5" w:rsidRPr="00176FF6">
        <w:t xml:space="preserve">rice of new medicines and vaccines </w:t>
      </w:r>
      <w:r w:rsidR="00387DE8">
        <w:t>should</w:t>
      </w:r>
      <w:r w:rsidR="00D379C5">
        <w:t xml:space="preserve"> be</w:t>
      </w:r>
      <w:r w:rsidR="00D379C5" w:rsidRPr="00176FF6">
        <w:t xml:space="preserve"> affordable to all patients and health systems, while allowing for a reasonable profit margin for pharmaceutical companies </w:t>
      </w:r>
      <w:r w:rsidR="00D379C5">
        <w:t>to</w:t>
      </w:r>
      <w:r w:rsidR="00D379C5" w:rsidRPr="00176FF6">
        <w:t xml:space="preserve"> act as a stimulus for further innovation.</w:t>
      </w:r>
      <w:r w:rsidR="00D379C5" w:rsidRPr="009E050C">
        <w:rPr>
          <w:sz w:val="18"/>
          <w:szCs w:val="18"/>
          <w:vertAlign w:val="superscript"/>
        </w:rPr>
        <w:footnoteReference w:id="133"/>
      </w:r>
      <w:r w:rsidR="0087606E" w:rsidRPr="009E050C">
        <w:rPr>
          <w:sz w:val="18"/>
          <w:szCs w:val="18"/>
        </w:rPr>
        <w:t xml:space="preserve"> </w:t>
      </w:r>
    </w:p>
    <w:p w14:paraId="317AC0DC" w14:textId="70CBD73E" w:rsidR="00FE19F9" w:rsidRPr="00176FF6" w:rsidRDefault="003F37DC" w:rsidP="009E050C">
      <w:pPr>
        <w:pStyle w:val="SingleTxtG"/>
        <w:numPr>
          <w:ilvl w:val="0"/>
          <w:numId w:val="11"/>
        </w:numPr>
        <w:ind w:left="1134" w:firstLine="0"/>
      </w:pPr>
      <w:r>
        <w:t>According to</w:t>
      </w:r>
      <w:r w:rsidR="00FE19F9" w:rsidRPr="00176FF6">
        <w:t xml:space="preserve"> </w:t>
      </w:r>
      <w:r w:rsidR="00971E82">
        <w:t xml:space="preserve">principle 11 of </w:t>
      </w:r>
      <w:r w:rsidR="00FE19F9" w:rsidRPr="00176FF6">
        <w:t>the Guiding Principles</w:t>
      </w:r>
      <w:r w:rsidR="00FE19F9">
        <w:t xml:space="preserve"> on Business and Human Rights</w:t>
      </w:r>
      <w:r w:rsidR="00FE19F9" w:rsidRPr="00176FF6">
        <w:t>,</w:t>
      </w:r>
      <w:r w:rsidR="00971E82">
        <w:rPr>
          <w:rStyle w:val="FootnoteReference"/>
        </w:rPr>
        <w:footnoteReference w:id="134"/>
      </w:r>
      <w:r w:rsidR="00FE19F9" w:rsidRPr="00176FF6">
        <w:t xml:space="preserve"> </w:t>
      </w:r>
      <w:r w:rsidR="00FE19F9">
        <w:t>business</w:t>
      </w:r>
      <w:r w:rsidR="00F32154">
        <w:t xml:space="preserve"> entities</w:t>
      </w:r>
      <w:r w:rsidR="00FE19F9">
        <w:t xml:space="preserve">, including the </w:t>
      </w:r>
      <w:r w:rsidR="00FE19F9" w:rsidRPr="00176FF6">
        <w:t xml:space="preserve">pharmaceutical </w:t>
      </w:r>
      <w:r w:rsidR="00FE19F9">
        <w:t xml:space="preserve">industry, have </w:t>
      </w:r>
      <w:r w:rsidR="00AD54FF">
        <w:t xml:space="preserve">a </w:t>
      </w:r>
      <w:r w:rsidR="00FE19F9">
        <w:t>responsibility to</w:t>
      </w:r>
      <w:r w:rsidR="00FE19F9" w:rsidRPr="00176FF6">
        <w:t xml:space="preserve"> respect human rights in the conduct of their business</w:t>
      </w:r>
      <w:r w:rsidR="00FE19F9">
        <w:t xml:space="preserve"> activities</w:t>
      </w:r>
      <w:r w:rsidR="00FE19F9" w:rsidRPr="00176FF6">
        <w:t xml:space="preserve">. </w:t>
      </w:r>
      <w:r w:rsidR="00FE19F9">
        <w:t>Businesses should</w:t>
      </w:r>
      <w:r w:rsidR="00FE19F9" w:rsidRPr="00176FF6">
        <w:t xml:space="preserve"> avoid infringing on the human rights of others and should take action to address any negative impact on human rights resulting from their actions.</w:t>
      </w:r>
      <w:r w:rsidR="00FE19F9" w:rsidRPr="00176FF6">
        <w:rPr>
          <w:vertAlign w:val="superscript"/>
        </w:rPr>
        <w:t xml:space="preserve"> </w:t>
      </w:r>
      <w:r w:rsidR="00FE19F9" w:rsidRPr="00176FF6">
        <w:t xml:space="preserve">This responsibility includes conducting appropriate human rights due diligence to identify, prevent, mitigate and address any risk or actual </w:t>
      </w:r>
      <w:r w:rsidR="00E03834">
        <w:t xml:space="preserve">impact on </w:t>
      </w:r>
      <w:r w:rsidR="00FE19F9" w:rsidRPr="00176FF6">
        <w:t>human rights of their activities and operations.</w:t>
      </w:r>
      <w:r w:rsidR="00FE19F9" w:rsidRPr="009E050C">
        <w:rPr>
          <w:sz w:val="18"/>
          <w:szCs w:val="18"/>
          <w:vertAlign w:val="superscript"/>
        </w:rPr>
        <w:footnoteReference w:id="135"/>
      </w:r>
      <w:r w:rsidR="00FE19F9" w:rsidRPr="00176FF6">
        <w:rPr>
          <w:vertAlign w:val="superscript"/>
        </w:rPr>
        <w:t xml:space="preserve"> </w:t>
      </w:r>
      <w:r w:rsidR="00FE19F9">
        <w:t xml:space="preserve">The pharmaceutical industry </w:t>
      </w:r>
      <w:r w:rsidR="00F63480">
        <w:t>s</w:t>
      </w:r>
      <w:r w:rsidR="00FE19F9">
        <w:t>hould</w:t>
      </w:r>
      <w:r w:rsidR="00FE19F9" w:rsidRPr="00176FF6">
        <w:t xml:space="preserve"> </w:t>
      </w:r>
      <w:r w:rsidR="00FE19F9" w:rsidRPr="008970FA">
        <w:t>assess the main human rights risks throughout their value chain, both upstream and downstream</w:t>
      </w:r>
      <w:r w:rsidR="00FE19F9">
        <w:t>,</w:t>
      </w:r>
      <w:r w:rsidR="00FE19F9">
        <w:rPr>
          <w:rStyle w:val="FootnoteReference"/>
        </w:rPr>
        <w:footnoteReference w:id="136"/>
      </w:r>
      <w:r w:rsidR="00FE19F9">
        <w:t xml:space="preserve"> and </w:t>
      </w:r>
      <w:r w:rsidR="00FE19F9" w:rsidRPr="00176FF6">
        <w:t xml:space="preserve">consider the adverse consequences that pricing and distribution decisions may have </w:t>
      </w:r>
      <w:r w:rsidR="00E03834">
        <w:t>for</w:t>
      </w:r>
      <w:r w:rsidR="00E03834" w:rsidRPr="00176FF6">
        <w:t xml:space="preserve"> </w:t>
      </w:r>
      <w:r w:rsidR="00FE19F9" w:rsidRPr="00176FF6">
        <w:t>equal access to medicines and vaccines, particularly for those in vulnerable and marginalized situations.</w:t>
      </w:r>
      <w:r w:rsidR="00FE19F9" w:rsidRPr="009E050C">
        <w:rPr>
          <w:sz w:val="18"/>
          <w:szCs w:val="18"/>
          <w:vertAlign w:val="superscript"/>
        </w:rPr>
        <w:footnoteReference w:id="137"/>
      </w:r>
    </w:p>
    <w:p w14:paraId="7636DE12" w14:textId="41D7B95B" w:rsidR="00802B22" w:rsidRPr="001C4FDA" w:rsidRDefault="00F401C2" w:rsidP="009E050C">
      <w:pPr>
        <w:pStyle w:val="SingleTxtG"/>
        <w:numPr>
          <w:ilvl w:val="0"/>
          <w:numId w:val="11"/>
        </w:numPr>
        <w:ind w:left="1134" w:firstLine="0"/>
      </w:pPr>
      <w:r w:rsidRPr="00A52D77">
        <w:rPr>
          <w:color w:val="222222"/>
          <w:shd w:val="clear" w:color="auto" w:fill="FFFFFF"/>
        </w:rPr>
        <w:t>The pharmaceutical industry and innovations are rooted in the patents system</w:t>
      </w:r>
      <w:r>
        <w:rPr>
          <w:color w:val="222222"/>
          <w:shd w:val="clear" w:color="auto" w:fill="FFFFFF"/>
        </w:rPr>
        <w:t xml:space="preserve">, </w:t>
      </w:r>
      <w:r w:rsidR="00E651FF">
        <w:rPr>
          <w:color w:val="222222"/>
          <w:shd w:val="clear" w:color="auto" w:fill="FFFFFF"/>
        </w:rPr>
        <w:t>which</w:t>
      </w:r>
      <w:r>
        <w:rPr>
          <w:color w:val="222222"/>
          <w:shd w:val="clear" w:color="auto" w:fill="FFFFFF"/>
        </w:rPr>
        <w:t xml:space="preserve"> often lead</w:t>
      </w:r>
      <w:r w:rsidR="00E651FF">
        <w:rPr>
          <w:color w:val="222222"/>
          <w:shd w:val="clear" w:color="auto" w:fill="FFFFFF"/>
        </w:rPr>
        <w:t>s</w:t>
      </w:r>
      <w:r>
        <w:rPr>
          <w:color w:val="222222"/>
          <w:shd w:val="clear" w:color="auto" w:fill="FFFFFF"/>
        </w:rPr>
        <w:t xml:space="preserve"> to monopolies, limiting competition and resulting</w:t>
      </w:r>
      <w:r w:rsidRPr="00A52D77">
        <w:rPr>
          <w:color w:val="222222"/>
          <w:shd w:val="clear" w:color="auto" w:fill="FFFFFF"/>
        </w:rPr>
        <w:t xml:space="preserve"> </w:t>
      </w:r>
      <w:r>
        <w:rPr>
          <w:color w:val="222222"/>
          <w:shd w:val="clear" w:color="auto" w:fill="FFFFFF"/>
        </w:rPr>
        <w:t>in</w:t>
      </w:r>
      <w:r w:rsidRPr="00A52D77">
        <w:rPr>
          <w:color w:val="222222"/>
          <w:shd w:val="clear" w:color="auto" w:fill="FFFFFF"/>
        </w:rPr>
        <w:t xml:space="preserve"> high prices</w:t>
      </w:r>
      <w:r>
        <w:rPr>
          <w:color w:val="222222"/>
          <w:shd w:val="clear" w:color="auto" w:fill="FFFFFF"/>
        </w:rPr>
        <w:t xml:space="preserve">, ultimately impeding </w:t>
      </w:r>
      <w:r w:rsidR="009058E8">
        <w:rPr>
          <w:color w:val="222222"/>
          <w:shd w:val="clear" w:color="auto" w:fill="FFFFFF"/>
        </w:rPr>
        <w:t xml:space="preserve">the </w:t>
      </w:r>
      <w:r w:rsidRPr="00A52D77">
        <w:rPr>
          <w:color w:val="222222"/>
          <w:shd w:val="clear" w:color="auto" w:fill="FFFFFF"/>
        </w:rPr>
        <w:t>availability and affordability of medicines.</w:t>
      </w:r>
      <w:r>
        <w:rPr>
          <w:rStyle w:val="FootnoteReference"/>
          <w:color w:val="222222"/>
          <w:shd w:val="clear" w:color="auto" w:fill="FFFFFF"/>
        </w:rPr>
        <w:footnoteReference w:id="138"/>
      </w:r>
      <w:r w:rsidRPr="00A52D77">
        <w:rPr>
          <w:color w:val="222222"/>
          <w:shd w:val="clear" w:color="auto" w:fill="FFFFFF"/>
        </w:rPr>
        <w:t xml:space="preserve"> </w:t>
      </w:r>
      <w:r w:rsidR="00351955">
        <w:t>P</w:t>
      </w:r>
      <w:r w:rsidR="0038131F" w:rsidRPr="00977EBE">
        <w:t xml:space="preserve">oor populations </w:t>
      </w:r>
      <w:r w:rsidR="00351955">
        <w:t xml:space="preserve">are consequently left </w:t>
      </w:r>
      <w:r w:rsidR="0038131F" w:rsidRPr="00977EBE">
        <w:t>with limited purchasing power</w:t>
      </w:r>
      <w:r w:rsidR="00071C36">
        <w:t xml:space="preserve"> </w:t>
      </w:r>
      <w:r w:rsidR="00C65BE7">
        <w:t xml:space="preserve">and their needs </w:t>
      </w:r>
      <w:r w:rsidR="00071C36">
        <w:t>unaddressed</w:t>
      </w:r>
      <w:r w:rsidR="004E461B">
        <w:t>, as i</w:t>
      </w:r>
      <w:r w:rsidR="00C65BE7">
        <w:t>n</w:t>
      </w:r>
      <w:r w:rsidR="004E461B">
        <w:t xml:space="preserve"> the case</w:t>
      </w:r>
      <w:r w:rsidR="00C65BE7">
        <w:t xml:space="preserve"> of</w:t>
      </w:r>
      <w:r w:rsidR="004E461B">
        <w:t>, for example</w:t>
      </w:r>
      <w:r w:rsidR="00C65BE7">
        <w:t>,</w:t>
      </w:r>
      <w:r w:rsidR="004E461B">
        <w:t xml:space="preserve"> </w:t>
      </w:r>
      <w:r w:rsidR="0038131F">
        <w:t xml:space="preserve">neglected tropical diseases. </w:t>
      </w:r>
      <w:proofErr w:type="gramStart"/>
      <w:r w:rsidR="0038131F">
        <w:t>The majority of</w:t>
      </w:r>
      <w:proofErr w:type="gramEnd"/>
      <w:r w:rsidR="0038131F">
        <w:t xml:space="preserve"> </w:t>
      </w:r>
      <w:r w:rsidR="00C65BE7">
        <w:t>persons</w:t>
      </w:r>
      <w:r w:rsidR="0038131F">
        <w:t xml:space="preserve"> most at risk of and severely affected by life-threatening </w:t>
      </w:r>
      <w:r w:rsidR="009A0A73">
        <w:t>neglected tropical diseases</w:t>
      </w:r>
      <w:r w:rsidR="009A0A73" w:rsidDel="009A0A73">
        <w:t xml:space="preserve"> </w:t>
      </w:r>
      <w:r w:rsidR="0038131F">
        <w:t>live in regions without quality health</w:t>
      </w:r>
      <w:r w:rsidR="00C65BE7">
        <w:t xml:space="preserve"> </w:t>
      </w:r>
      <w:r w:rsidR="0038131F">
        <w:t>care,</w:t>
      </w:r>
      <w:r w:rsidR="00C65BE7">
        <w:t xml:space="preserve"> in</w:t>
      </w:r>
      <w:r w:rsidR="0038131F">
        <w:t xml:space="preserve"> rural and remote areas, conflict zones </w:t>
      </w:r>
      <w:r w:rsidR="00C65BE7">
        <w:t xml:space="preserve">or </w:t>
      </w:r>
      <w:r w:rsidR="0038131F">
        <w:t xml:space="preserve">areas where the rights to water and </w:t>
      </w:r>
      <w:r w:rsidR="00D77C7C">
        <w:t xml:space="preserve">to </w:t>
      </w:r>
      <w:r w:rsidR="0038131F">
        <w:t>sanitation are neglected.</w:t>
      </w:r>
      <w:r w:rsidR="0038131F" w:rsidRPr="009E050C">
        <w:rPr>
          <w:sz w:val="18"/>
          <w:szCs w:val="18"/>
          <w:vertAlign w:val="superscript"/>
        </w:rPr>
        <w:footnoteReference w:id="139"/>
      </w:r>
      <w:r w:rsidR="004F7D8F" w:rsidRPr="004F7D8F">
        <w:rPr>
          <w:color w:val="222222"/>
          <w:shd w:val="clear" w:color="auto" w:fill="FFFFFF"/>
        </w:rPr>
        <w:t xml:space="preserve"> </w:t>
      </w:r>
    </w:p>
    <w:p w14:paraId="09069A7B" w14:textId="0BEEB8F2" w:rsidR="005707E4" w:rsidRPr="00977EBE" w:rsidRDefault="004F7D8F" w:rsidP="009E050C">
      <w:pPr>
        <w:pStyle w:val="SingleTxtG"/>
        <w:numPr>
          <w:ilvl w:val="0"/>
          <w:numId w:val="11"/>
        </w:numPr>
        <w:ind w:left="1134" w:firstLine="0"/>
      </w:pPr>
      <w:r>
        <w:rPr>
          <w:color w:val="222222"/>
          <w:shd w:val="clear" w:color="auto" w:fill="FFFFFF"/>
        </w:rPr>
        <w:t xml:space="preserve">States must </w:t>
      </w:r>
      <w:r w:rsidR="00F401C2">
        <w:rPr>
          <w:color w:val="222222"/>
          <w:shd w:val="clear" w:color="auto" w:fill="FFFFFF"/>
        </w:rPr>
        <w:t>find ways to encourage the development of generic drugs that makes medicines accessible to all. P</w:t>
      </w:r>
      <w:r w:rsidRPr="00A52D77">
        <w:t xml:space="preserve">atent pooling </w:t>
      </w:r>
      <w:r>
        <w:t>system</w:t>
      </w:r>
      <w:r w:rsidR="00574D8A">
        <w:t>s</w:t>
      </w:r>
      <w:r>
        <w:t xml:space="preserve"> </w:t>
      </w:r>
      <w:r w:rsidR="00F401C2">
        <w:t xml:space="preserve">are one option </w:t>
      </w:r>
      <w:r>
        <w:t>to increase</w:t>
      </w:r>
      <w:r w:rsidRPr="00A52D77">
        <w:t xml:space="preserve"> access to vaccines and medicines. </w:t>
      </w:r>
      <w:r w:rsidRPr="00A52D77">
        <w:rPr>
          <w:color w:val="222222"/>
          <w:shd w:val="clear" w:color="auto" w:fill="FFFFFF"/>
        </w:rPr>
        <w:t xml:space="preserve">Through patent pooling, entities holding patents for a particular technology or product </w:t>
      </w:r>
      <w:r w:rsidR="001A3D77">
        <w:rPr>
          <w:color w:val="222222"/>
          <w:shd w:val="clear" w:color="auto" w:fill="FFFFFF"/>
        </w:rPr>
        <w:t>cooperate</w:t>
      </w:r>
      <w:r w:rsidR="001A3D77" w:rsidRPr="00A52D77">
        <w:rPr>
          <w:color w:val="222222"/>
          <w:shd w:val="clear" w:color="auto" w:fill="FFFFFF"/>
        </w:rPr>
        <w:t xml:space="preserve"> </w:t>
      </w:r>
      <w:r w:rsidRPr="00A52D77">
        <w:rPr>
          <w:color w:val="222222"/>
          <w:shd w:val="clear" w:color="auto" w:fill="FFFFFF"/>
        </w:rPr>
        <w:t>to share their</w:t>
      </w:r>
      <w:r>
        <w:rPr>
          <w:color w:val="222222"/>
          <w:shd w:val="clear" w:color="auto" w:fill="FFFFFF"/>
        </w:rPr>
        <w:t xml:space="preserve"> </w:t>
      </w:r>
      <w:r w:rsidRPr="00A52D77">
        <w:rPr>
          <w:color w:val="222222"/>
          <w:shd w:val="clear" w:color="auto" w:fill="FFFFFF"/>
        </w:rPr>
        <w:t>intellectual property rights. This collaborative effort enlarges the pool of intellectual property, streamlining the process for generic manufacturers to produce and disseminate crucial medicines and vaccines.</w:t>
      </w:r>
      <w:r>
        <w:rPr>
          <w:rStyle w:val="FootnoteReference"/>
          <w:color w:val="222222"/>
          <w:shd w:val="clear" w:color="auto" w:fill="FFFFFF"/>
        </w:rPr>
        <w:footnoteReference w:id="140"/>
      </w:r>
    </w:p>
    <w:p w14:paraId="54771626" w14:textId="7A551711" w:rsidR="00973F73" w:rsidRDefault="003F39D8" w:rsidP="009E050C">
      <w:pPr>
        <w:pStyle w:val="SingleTxtG"/>
        <w:numPr>
          <w:ilvl w:val="0"/>
          <w:numId w:val="11"/>
        </w:numPr>
        <w:ind w:left="1134" w:firstLine="0"/>
      </w:pPr>
      <w:r w:rsidRPr="00977EBE">
        <w:t xml:space="preserve">The </w:t>
      </w:r>
      <w:r w:rsidR="00C1677A">
        <w:t>a</w:t>
      </w:r>
      <w:r w:rsidRPr="00977EBE">
        <w:t xml:space="preserve">greement on </w:t>
      </w:r>
      <w:r w:rsidR="00C1677A">
        <w:t>t</w:t>
      </w:r>
      <w:r w:rsidRPr="00977EBE">
        <w:t>rade-</w:t>
      </w:r>
      <w:r w:rsidR="00C1677A">
        <w:t>r</w:t>
      </w:r>
      <w:r w:rsidRPr="00977EBE">
        <w:t xml:space="preserve">elated </w:t>
      </w:r>
      <w:r w:rsidR="00C1677A">
        <w:t>a</w:t>
      </w:r>
      <w:r w:rsidRPr="00977EBE">
        <w:t xml:space="preserve">spects of </w:t>
      </w:r>
      <w:r w:rsidR="00C1677A">
        <w:t>i</w:t>
      </w:r>
      <w:r w:rsidRPr="00977EBE">
        <w:t xml:space="preserve">ntellectual </w:t>
      </w:r>
      <w:r w:rsidR="00791017">
        <w:t>p</w:t>
      </w:r>
      <w:r w:rsidRPr="00977EBE">
        <w:t xml:space="preserve">roperty </w:t>
      </w:r>
      <w:r w:rsidR="00791017">
        <w:t>r</w:t>
      </w:r>
      <w:r w:rsidRPr="00977EBE">
        <w:t>ights (TRIPS) includes provisions for the use of compulsory licensing, which allows Governments to grant licences to third parties to produce and sell patented medicines or vaccines without the consent of the patent holder, under certain conditions.</w:t>
      </w:r>
      <w:r>
        <w:rPr>
          <w:rStyle w:val="FootnoteReference"/>
        </w:rPr>
        <w:footnoteReference w:id="141"/>
      </w:r>
      <w:r w:rsidRPr="00977EBE">
        <w:rPr>
          <w:vertAlign w:val="superscript"/>
        </w:rPr>
        <w:t xml:space="preserve"> </w:t>
      </w:r>
      <w:r w:rsidRPr="00977EBE">
        <w:t xml:space="preserve">Those provisions can help to increase access to essential medicines and vaccines in underserved areas. </w:t>
      </w:r>
    </w:p>
    <w:p w14:paraId="1744ECDA" w14:textId="3D99098E" w:rsidR="00977EBE" w:rsidRPr="00977EBE" w:rsidRDefault="00574D8A" w:rsidP="009E050C">
      <w:pPr>
        <w:pStyle w:val="SingleTxtG"/>
        <w:numPr>
          <w:ilvl w:val="0"/>
          <w:numId w:val="11"/>
        </w:numPr>
        <w:ind w:left="1134" w:firstLine="0"/>
      </w:pPr>
      <w:r w:rsidRPr="00977EBE">
        <w:t xml:space="preserve">The discussion on trade-related aspects of intellectual property rights regarding vaccines and medicines in the context of the COVID-19 pandemic has generated varying views </w:t>
      </w:r>
      <w:r w:rsidR="002B0BD4">
        <w:t>with regard to</w:t>
      </w:r>
      <w:r w:rsidR="002B0BD4" w:rsidRPr="00977EBE">
        <w:t xml:space="preserve"> </w:t>
      </w:r>
      <w:r w:rsidRPr="00977EBE">
        <w:t xml:space="preserve">the appropriate balance between protecting intellectual property and ensuring access to affordable medicines and vaccines, particularly in </w:t>
      </w:r>
      <w:r w:rsidR="00061656">
        <w:t>low- and middle-income countries</w:t>
      </w:r>
      <w:r w:rsidRPr="00977EBE">
        <w:t>.</w:t>
      </w:r>
      <w:r w:rsidRPr="00977EBE">
        <w:rPr>
          <w:rStyle w:val="FootnoteReference"/>
        </w:rPr>
        <w:footnoteReference w:id="142"/>
      </w:r>
      <w:r w:rsidRPr="00977EBE">
        <w:rPr>
          <w:rStyle w:val="FootnoteReference"/>
        </w:rPr>
        <w:t xml:space="preserve"> </w:t>
      </w:r>
      <w:bookmarkStart w:id="22" w:name="OLE_LINK7"/>
      <w:bookmarkStart w:id="23" w:name="OLE_LINK8"/>
      <w:r w:rsidR="004A50D7">
        <w:t>W</w:t>
      </w:r>
      <w:r w:rsidR="00977EBE" w:rsidRPr="00977EBE">
        <w:t xml:space="preserve">hile companies are legitimately entitled to reasonable rates </w:t>
      </w:r>
      <w:bookmarkEnd w:id="22"/>
      <w:bookmarkEnd w:id="23"/>
      <w:r w:rsidR="00977EBE" w:rsidRPr="00977EBE">
        <w:t>of return on their own investments, what is considered reasonable should be subject to the test of accessibility of medicines.</w:t>
      </w:r>
      <w:r w:rsidR="00977EBE" w:rsidRPr="00977EBE">
        <w:rPr>
          <w:rStyle w:val="FootnoteReference"/>
        </w:rPr>
        <w:footnoteReference w:id="143"/>
      </w:r>
      <w:r w:rsidR="00977EBE" w:rsidRPr="00977EBE">
        <w:rPr>
          <w:rStyle w:val="FootnoteReference"/>
        </w:rPr>
        <w:t xml:space="preserve"> </w:t>
      </w:r>
      <w:r w:rsidR="00C76428">
        <w:t>Companies s</w:t>
      </w:r>
      <w:r w:rsidR="00977EBE" w:rsidRPr="00977EBE">
        <w:t>hould not seek to limit, diminish or compromise the flexibilities and other features of the intellectual property regime that are designed to protect and promote access to existing medicines.</w:t>
      </w:r>
      <w:r w:rsidR="00977EBE" w:rsidRPr="00977EBE">
        <w:rPr>
          <w:rStyle w:val="FootnoteReference"/>
        </w:rPr>
        <w:footnoteReference w:id="144"/>
      </w:r>
      <w:r w:rsidR="00977EBE" w:rsidRPr="00977EBE">
        <w:rPr>
          <w:rStyle w:val="FootnoteReference"/>
        </w:rPr>
        <w:t xml:space="preserve"> </w:t>
      </w:r>
      <w:r w:rsidR="00E651FF">
        <w:t>According to the Committee</w:t>
      </w:r>
      <w:r w:rsidR="009B1B77">
        <w:t xml:space="preserve"> on </w:t>
      </w:r>
      <w:r w:rsidR="009B1B77" w:rsidRPr="00215DF5">
        <w:t>Economic, Social</w:t>
      </w:r>
      <w:r w:rsidR="009B1B77">
        <w:t xml:space="preserve"> and</w:t>
      </w:r>
      <w:r w:rsidR="009B1B77" w:rsidRPr="00215DF5">
        <w:t xml:space="preserve"> Cultural Rights</w:t>
      </w:r>
      <w:r w:rsidR="00E651FF">
        <w:t xml:space="preserve">, business entities, including pharmaceutical companies, have the obligation, at a minimum, to respect </w:t>
      </w:r>
      <w:r w:rsidR="00D75347">
        <w:t xml:space="preserve">economic, social and cultural </w:t>
      </w:r>
      <w:r w:rsidR="00E651FF">
        <w:t xml:space="preserve">rights; they have specific responsibilities regarding the realization of the right to health, including in relation to access to medicines and vaccines. </w:t>
      </w:r>
      <w:r w:rsidR="006513DF">
        <w:t>It also</w:t>
      </w:r>
      <w:r w:rsidR="00E651FF">
        <w:t xml:space="preserve"> noted</w:t>
      </w:r>
      <w:r w:rsidR="006513DF">
        <w:t xml:space="preserve"> that</w:t>
      </w:r>
      <w:r w:rsidR="00E651FF">
        <w:t xml:space="preserve">, in the framework of the COVID-19 pandemic, business entities should also refrain from invoking intellectual property rights in a manner that is inconsistent with the right of every person to </w:t>
      </w:r>
      <w:r w:rsidR="00454DFE">
        <w:t xml:space="preserve">have </w:t>
      </w:r>
      <w:r w:rsidR="00E651FF">
        <w:t xml:space="preserve">access </w:t>
      </w:r>
      <w:r w:rsidR="00454DFE">
        <w:t xml:space="preserve">to </w:t>
      </w:r>
      <w:r w:rsidR="00E651FF">
        <w:t xml:space="preserve">a safe and effective vaccine or the right of States to exercise the flexibilities of the TRIPS </w:t>
      </w:r>
      <w:r w:rsidR="00454DFE">
        <w:t>a</w:t>
      </w:r>
      <w:r w:rsidR="00E651FF">
        <w:t>greement</w:t>
      </w:r>
      <w:r w:rsidR="00977EBE" w:rsidRPr="00977EBE">
        <w:t>.</w:t>
      </w:r>
      <w:r w:rsidR="00977EBE" w:rsidRPr="00977EBE">
        <w:rPr>
          <w:rStyle w:val="FootnoteReference"/>
        </w:rPr>
        <w:footnoteReference w:id="145"/>
      </w:r>
      <w:r w:rsidR="00977EBE" w:rsidRPr="00977EBE">
        <w:rPr>
          <w:vertAlign w:val="superscript"/>
        </w:rPr>
        <w:t xml:space="preserve"> </w:t>
      </w:r>
    </w:p>
    <w:p w14:paraId="29B42C58" w14:textId="33105677" w:rsidR="004831BA" w:rsidRPr="0009515E" w:rsidRDefault="004831BA" w:rsidP="009E050C">
      <w:pPr>
        <w:pStyle w:val="H1G"/>
        <w:spacing w:line="240" w:lineRule="atLeast"/>
        <w:jc w:val="both"/>
        <w:rPr>
          <w:sz w:val="28"/>
          <w:szCs w:val="28"/>
        </w:rPr>
      </w:pPr>
      <w:r w:rsidRPr="007E00C9">
        <w:tab/>
      </w:r>
      <w:r w:rsidR="00574D8A">
        <w:t>I</w:t>
      </w:r>
      <w:r w:rsidR="008E38AE">
        <w:t>V</w:t>
      </w:r>
      <w:r w:rsidRPr="007E00C9">
        <w:t>.</w:t>
      </w:r>
      <w:r w:rsidRPr="007E00C9">
        <w:tab/>
      </w:r>
      <w:r w:rsidR="00D9271D" w:rsidRPr="0009515E">
        <w:rPr>
          <w:sz w:val="28"/>
          <w:szCs w:val="28"/>
        </w:rPr>
        <w:t>Strengthening h</w:t>
      </w:r>
      <w:r w:rsidR="00606A5D" w:rsidRPr="0009515E">
        <w:rPr>
          <w:sz w:val="28"/>
          <w:szCs w:val="28"/>
        </w:rPr>
        <w:t>ealth systems</w:t>
      </w:r>
      <w:r w:rsidR="00F01725" w:rsidRPr="0009515E">
        <w:rPr>
          <w:sz w:val="28"/>
          <w:szCs w:val="28"/>
        </w:rPr>
        <w:t xml:space="preserve"> to maxi</w:t>
      </w:r>
      <w:r w:rsidR="00E808E2" w:rsidRPr="0009515E">
        <w:rPr>
          <w:sz w:val="28"/>
          <w:szCs w:val="28"/>
        </w:rPr>
        <w:t>mize access</w:t>
      </w:r>
      <w:r w:rsidR="001F06A5" w:rsidRPr="0009515E">
        <w:rPr>
          <w:sz w:val="28"/>
          <w:szCs w:val="28"/>
        </w:rPr>
        <w:t xml:space="preserve"> to medicines</w:t>
      </w:r>
      <w:r w:rsidR="0042116E" w:rsidRPr="0009515E">
        <w:rPr>
          <w:sz w:val="28"/>
          <w:szCs w:val="28"/>
        </w:rPr>
        <w:t xml:space="preserve">, </w:t>
      </w:r>
      <w:proofErr w:type="gramStart"/>
      <w:r w:rsidR="0042116E" w:rsidRPr="0009515E">
        <w:rPr>
          <w:sz w:val="28"/>
          <w:szCs w:val="28"/>
        </w:rPr>
        <w:t>vaccines</w:t>
      </w:r>
      <w:proofErr w:type="gramEnd"/>
      <w:r w:rsidR="001F06A5" w:rsidRPr="0009515E">
        <w:rPr>
          <w:sz w:val="28"/>
          <w:szCs w:val="28"/>
        </w:rPr>
        <w:t xml:space="preserve"> and other health products </w:t>
      </w:r>
    </w:p>
    <w:p w14:paraId="56B406D1" w14:textId="6DC37358" w:rsidR="00934107" w:rsidRPr="00B95023" w:rsidRDefault="00934107" w:rsidP="009E050C">
      <w:pPr>
        <w:pStyle w:val="SingleTxtG"/>
        <w:numPr>
          <w:ilvl w:val="0"/>
          <w:numId w:val="11"/>
        </w:numPr>
        <w:ind w:left="1134" w:firstLine="0"/>
        <w:rPr>
          <w:rFonts w:eastAsia="Times New Roman"/>
          <w:lang w:eastAsia="en-GB"/>
        </w:rPr>
      </w:pPr>
      <w:r w:rsidRPr="00B95023">
        <w:t xml:space="preserve">To deliver on the promise of the 2030 Agenda and the commitment to </w:t>
      </w:r>
      <w:r w:rsidR="00454DFE">
        <w:t>u</w:t>
      </w:r>
      <w:r w:rsidRPr="00B95023">
        <w:t xml:space="preserve">niversal </w:t>
      </w:r>
      <w:r w:rsidR="00454DFE">
        <w:t>h</w:t>
      </w:r>
      <w:r w:rsidRPr="00B95023">
        <w:t xml:space="preserve">ealth </w:t>
      </w:r>
      <w:r w:rsidR="00454DFE">
        <w:t>c</w:t>
      </w:r>
      <w:r w:rsidRPr="00B95023">
        <w:t xml:space="preserve">are for all by 2030, </w:t>
      </w:r>
      <w:r w:rsidR="00454DFE">
        <w:t>health-care</w:t>
      </w:r>
      <w:r w:rsidR="00454DFE" w:rsidRPr="00B95023">
        <w:t xml:space="preserve"> </w:t>
      </w:r>
      <w:r w:rsidRPr="00B95023">
        <w:t>systems should be designed with the explicit purpose of improving access to essential health services for excluded and marginalized populations. This goal should ensure access to needed health services of sufficient quality to ensure that the use of these services does not expose people to financial hardship.</w:t>
      </w:r>
      <w:r w:rsidRPr="009E050C">
        <w:rPr>
          <w:rStyle w:val="FootnoteReference"/>
          <w:szCs w:val="18"/>
        </w:rPr>
        <w:footnoteReference w:id="146"/>
      </w:r>
      <w:r w:rsidRPr="009E050C">
        <w:rPr>
          <w:sz w:val="18"/>
          <w:szCs w:val="18"/>
        </w:rPr>
        <w:t xml:space="preserve"> </w:t>
      </w:r>
      <w:r w:rsidRPr="00B95023">
        <w:t>The WHO Consultative Group on Equity and Universal Health Coverage</w:t>
      </w:r>
      <w:r w:rsidRPr="009E050C">
        <w:rPr>
          <w:rStyle w:val="FootnoteReference"/>
          <w:szCs w:val="18"/>
        </w:rPr>
        <w:footnoteReference w:id="147"/>
      </w:r>
      <w:r w:rsidRPr="00B95023">
        <w:t xml:space="preserve"> outlined a process for ensuring the fair progressive realization of </w:t>
      </w:r>
      <w:r w:rsidR="004F71F5">
        <w:t>universal health care</w:t>
      </w:r>
      <w:r w:rsidRPr="00B95023">
        <w:t xml:space="preserve">. </w:t>
      </w:r>
      <w:r w:rsidR="001952AC">
        <w:t>T</w:t>
      </w:r>
      <w:r w:rsidRPr="00B95023">
        <w:t xml:space="preserve">here is no single path to </w:t>
      </w:r>
      <w:r w:rsidR="003024B2">
        <w:t>universal health care;</w:t>
      </w:r>
      <w:r w:rsidR="003024B2" w:rsidRPr="00B95023">
        <w:t xml:space="preserve"> </w:t>
      </w:r>
      <w:r w:rsidR="003024B2">
        <w:t xml:space="preserve">the </w:t>
      </w:r>
      <w:r w:rsidRPr="00B95023">
        <w:t>health needs and preferences of populations, the organization of the health system, the resources</w:t>
      </w:r>
      <w:r w:rsidR="003024B2" w:rsidRPr="003024B2">
        <w:t xml:space="preserve"> </w:t>
      </w:r>
      <w:r w:rsidR="003024B2" w:rsidRPr="00B95023">
        <w:t>available</w:t>
      </w:r>
      <w:r w:rsidRPr="00B95023">
        <w:t xml:space="preserve">, </w:t>
      </w:r>
      <w:proofErr w:type="gramStart"/>
      <w:r w:rsidRPr="00B95023">
        <w:t>institutional</w:t>
      </w:r>
      <w:proofErr w:type="gramEnd"/>
      <w:r w:rsidRPr="00B95023">
        <w:t xml:space="preserve"> and legal arrangements and existing health financing systems vary widely, </w:t>
      </w:r>
      <w:r w:rsidR="008F4A6E">
        <w:t xml:space="preserve">requiring </w:t>
      </w:r>
      <w:r w:rsidRPr="00B95023">
        <w:t>each State to address and overcome unique challenges and chart its own path.</w:t>
      </w:r>
    </w:p>
    <w:p w14:paraId="360AC101" w14:textId="743E7BE6" w:rsidR="00934107" w:rsidRDefault="00934107" w:rsidP="009E050C">
      <w:pPr>
        <w:pStyle w:val="SingleTxtG"/>
        <w:numPr>
          <w:ilvl w:val="0"/>
          <w:numId w:val="11"/>
        </w:numPr>
        <w:ind w:left="1134" w:firstLine="0"/>
      </w:pPr>
      <w:r w:rsidRPr="00B95023">
        <w:t xml:space="preserve">While approaches to reaching </w:t>
      </w:r>
      <w:r w:rsidR="002E48F8">
        <w:t>universal health care</w:t>
      </w:r>
      <w:r w:rsidRPr="00B95023">
        <w:t xml:space="preserve"> vary, equity considerations should guide all decision-making about populations and services to be covered and about financing mechanisms. The </w:t>
      </w:r>
      <w:r w:rsidR="00D27D7F">
        <w:t xml:space="preserve">universal health care </w:t>
      </w:r>
      <w:r w:rsidRPr="00B95023">
        <w:t xml:space="preserve">package should ensure that any user payments, either through pre-payment schemes or at the point of service, do not </w:t>
      </w:r>
      <w:r w:rsidR="00D27D7F">
        <w:t>render</w:t>
      </w:r>
      <w:r w:rsidR="00D27D7F" w:rsidRPr="00B95023">
        <w:t xml:space="preserve"> </w:t>
      </w:r>
      <w:r w:rsidRPr="00B95023">
        <w:t>services unaffordable.</w:t>
      </w:r>
      <w:r w:rsidRPr="009E050C">
        <w:rPr>
          <w:rStyle w:val="FootnoteReference"/>
          <w:szCs w:val="18"/>
        </w:rPr>
        <w:footnoteReference w:id="148"/>
      </w:r>
      <w:r w:rsidRPr="00B95023">
        <w:t xml:space="preserve"> In this regard, establishing risk pools becomes essential</w:t>
      </w:r>
      <w:r w:rsidR="00703B9B">
        <w:t xml:space="preserve">; they </w:t>
      </w:r>
      <w:r w:rsidRPr="00B95023">
        <w:t xml:space="preserve">allow the financial burden of health services </w:t>
      </w:r>
      <w:r w:rsidR="00703B9B">
        <w:t xml:space="preserve">to be </w:t>
      </w:r>
      <w:r w:rsidR="00703B9B" w:rsidRPr="00B95023">
        <w:t xml:space="preserve">spread </w:t>
      </w:r>
      <w:r w:rsidRPr="00B95023">
        <w:t>across larger populations and ensure more equitable distribution, whereby the higher costs incurred by those with greater health needs are balanced by the relatively lower expenses of others.</w:t>
      </w:r>
      <w:r w:rsidRPr="009E050C">
        <w:rPr>
          <w:rStyle w:val="FootnoteReference"/>
          <w:szCs w:val="18"/>
        </w:rPr>
        <w:footnoteReference w:id="149"/>
      </w:r>
      <w:r w:rsidRPr="00B95023">
        <w:t xml:space="preserve"> For the poore</w:t>
      </w:r>
      <w:r w:rsidR="00A416C0">
        <w:t>r</w:t>
      </w:r>
      <w:r w:rsidRPr="00B95023">
        <w:t xml:space="preserve"> segments of the population</w:t>
      </w:r>
      <w:r w:rsidR="00A416C0">
        <w:t>,</w:t>
      </w:r>
      <w:r w:rsidRPr="00B95023">
        <w:t xml:space="preserve"> ensuring universal access may mean that physical and mental health services and medicines, vaccines and other health products </w:t>
      </w:r>
      <w:r w:rsidR="00AF6928">
        <w:t>are</w:t>
      </w:r>
      <w:r w:rsidRPr="00B95023">
        <w:t xml:space="preserve"> provided free of charge.</w:t>
      </w:r>
      <w:r w:rsidRPr="009E050C">
        <w:rPr>
          <w:rStyle w:val="FootnoteReference"/>
          <w:szCs w:val="18"/>
        </w:rPr>
        <w:footnoteReference w:id="150"/>
      </w:r>
      <w:r w:rsidRPr="00B95023">
        <w:t xml:space="preserve"> Ensuring that medicine, vaccines and medical products are affordable is particularly important in </w:t>
      </w:r>
      <w:r w:rsidR="009A0A73" w:rsidRPr="003C06B2">
        <w:rPr>
          <w:color w:val="222222"/>
          <w:shd w:val="clear" w:color="auto" w:fill="FFFFFF"/>
        </w:rPr>
        <w:t>low- and middle-income countries</w:t>
      </w:r>
      <w:r w:rsidR="00897F2E">
        <w:t>,</w:t>
      </w:r>
      <w:r w:rsidRPr="00B95023">
        <w:t xml:space="preserve"> </w:t>
      </w:r>
      <w:r w:rsidR="00897F2E">
        <w:t>m</w:t>
      </w:r>
      <w:r w:rsidRPr="00793143">
        <w:t xml:space="preserve">any </w:t>
      </w:r>
      <w:r w:rsidR="00C10372">
        <w:t xml:space="preserve">of </w:t>
      </w:r>
      <w:r w:rsidR="00897F2E">
        <w:t>which</w:t>
      </w:r>
      <w:r w:rsidRPr="00793143">
        <w:t xml:space="preserve"> still rely </w:t>
      </w:r>
      <w:r w:rsidR="00D0645D" w:rsidRPr="00793143">
        <w:t xml:space="preserve">heavily </w:t>
      </w:r>
      <w:r w:rsidRPr="00793143">
        <w:t xml:space="preserve">on </w:t>
      </w:r>
      <w:r w:rsidR="00813F5A">
        <w:t>o</w:t>
      </w:r>
      <w:r w:rsidR="00E55831">
        <w:t>ut</w:t>
      </w:r>
      <w:r w:rsidR="00813F5A">
        <w:t>-o</w:t>
      </w:r>
      <w:r w:rsidR="00E55831">
        <w:t>f</w:t>
      </w:r>
      <w:r w:rsidR="00813F5A">
        <w:t>-p</w:t>
      </w:r>
      <w:r w:rsidR="00E55831">
        <w:t>ocket</w:t>
      </w:r>
      <w:r w:rsidRPr="00793143">
        <w:t xml:space="preserve"> expenses to finance health</w:t>
      </w:r>
      <w:r w:rsidR="00D0645D">
        <w:t xml:space="preserve"> </w:t>
      </w:r>
      <w:r w:rsidRPr="00793143">
        <w:t xml:space="preserve">care, </w:t>
      </w:r>
      <w:r w:rsidR="00D0645D">
        <w:t>which can account</w:t>
      </w:r>
      <w:r w:rsidR="00D0645D" w:rsidRPr="00793143">
        <w:t xml:space="preserve"> </w:t>
      </w:r>
      <w:r w:rsidRPr="00793143">
        <w:t xml:space="preserve">for </w:t>
      </w:r>
      <w:r w:rsidR="00D0645D">
        <w:t xml:space="preserve">as much as </w:t>
      </w:r>
      <w:r w:rsidRPr="00793143">
        <w:t>55 per</w:t>
      </w:r>
      <w:r w:rsidR="00C10372">
        <w:t xml:space="preserve"> </w:t>
      </w:r>
      <w:r w:rsidRPr="00793143">
        <w:t>cent of total health financing.</w:t>
      </w:r>
      <w:r w:rsidRPr="009E050C">
        <w:rPr>
          <w:rStyle w:val="FootnoteReference"/>
          <w:szCs w:val="18"/>
        </w:rPr>
        <w:footnoteReference w:id="151"/>
      </w:r>
      <w:r w:rsidRPr="009E050C">
        <w:rPr>
          <w:sz w:val="18"/>
          <w:szCs w:val="18"/>
        </w:rPr>
        <w:t xml:space="preserve"> </w:t>
      </w:r>
    </w:p>
    <w:p w14:paraId="095BD7B4" w14:textId="3427F02C" w:rsidR="00934107" w:rsidRPr="00B95023" w:rsidRDefault="00934107" w:rsidP="009E050C">
      <w:pPr>
        <w:pStyle w:val="SingleTxtG"/>
        <w:numPr>
          <w:ilvl w:val="0"/>
          <w:numId w:val="11"/>
        </w:numPr>
        <w:ind w:left="1134" w:firstLine="0"/>
      </w:pPr>
      <w:r w:rsidRPr="00B95023">
        <w:t>U</w:t>
      </w:r>
      <w:r w:rsidR="00D0645D">
        <w:t xml:space="preserve">niversal health care </w:t>
      </w:r>
      <w:r w:rsidRPr="00B95023">
        <w:t xml:space="preserve">cannot </w:t>
      </w:r>
      <w:r w:rsidR="00A13AC3">
        <w:t>function</w:t>
      </w:r>
      <w:r w:rsidR="00A13AC3" w:rsidRPr="00B95023">
        <w:t xml:space="preserve"> </w:t>
      </w:r>
      <w:r w:rsidRPr="00B95023">
        <w:t>if it fails to mobilize adequate resources to meet the essential health needs of the population. The Committee on Economic, Social and Cultural Rights has outlined options for Governments to expand the fiscal space for social protection, including</w:t>
      </w:r>
      <w:r w:rsidR="00636A5C">
        <w:t xml:space="preserve"> </w:t>
      </w:r>
      <w:r w:rsidR="004F4260">
        <w:t xml:space="preserve">by </w:t>
      </w:r>
      <w:r w:rsidRPr="00B95023">
        <w:t>reallocating public expenditure with a renewed focus on social spending, increasing tax revenues, reducing debt or debt servicing, adapting the macroeconomic framework, fighting illicit financial flows and increasing social security revenues.</w:t>
      </w:r>
      <w:r w:rsidRPr="009E050C">
        <w:rPr>
          <w:rStyle w:val="FootnoteReference"/>
          <w:szCs w:val="18"/>
        </w:rPr>
        <w:footnoteReference w:id="152"/>
      </w:r>
      <w:r w:rsidRPr="00B95023">
        <w:t xml:space="preserve"> Countries can use the WHO </w:t>
      </w:r>
      <w:bookmarkStart w:id="26" w:name="OLE_LINK9"/>
      <w:bookmarkStart w:id="27" w:name="OLE_LINK10"/>
      <w:r w:rsidRPr="00B95023">
        <w:t xml:space="preserve">Health Financing Progress Matrix </w:t>
      </w:r>
      <w:bookmarkEnd w:id="26"/>
      <w:bookmarkEnd w:id="27"/>
      <w:r w:rsidRPr="00B95023">
        <w:t>to assess their health financing system</w:t>
      </w:r>
      <w:r w:rsidRPr="009E050C">
        <w:rPr>
          <w:rStyle w:val="FootnoteReference"/>
          <w:szCs w:val="18"/>
        </w:rPr>
        <w:footnoteReference w:id="153"/>
      </w:r>
      <w:r w:rsidRPr="00B95023">
        <w:t xml:space="preserve"> and </w:t>
      </w:r>
      <w:r w:rsidR="00045A4C">
        <w:t xml:space="preserve">the </w:t>
      </w:r>
      <w:r w:rsidR="00045A4C" w:rsidRPr="00B95023">
        <w:t xml:space="preserve">handbook </w:t>
      </w:r>
      <w:r w:rsidR="002E61BC" w:rsidRPr="00B95023">
        <w:t xml:space="preserve">for parliamentarians </w:t>
      </w:r>
      <w:r w:rsidR="00045A4C">
        <w:t xml:space="preserve">published by </w:t>
      </w:r>
      <w:r w:rsidRPr="00B95023">
        <w:t>WHO and the Inter</w:t>
      </w:r>
      <w:r w:rsidR="007D03C1">
        <w:t>-</w:t>
      </w:r>
      <w:r w:rsidR="002E61BC">
        <w:t>P</w:t>
      </w:r>
      <w:r w:rsidRPr="00B95023">
        <w:t>arliamentary Union</w:t>
      </w:r>
      <w:r w:rsidR="002E61BC">
        <w:t>,</w:t>
      </w:r>
      <w:r w:rsidRPr="00B95023">
        <w:t xml:space="preserve"> </w:t>
      </w:r>
      <w:bookmarkStart w:id="28" w:name="OLE_LINK11"/>
      <w:bookmarkStart w:id="29" w:name="OLE_LINK12"/>
      <w:r w:rsidRPr="009E050C">
        <w:rPr>
          <w:i/>
          <w:iCs/>
        </w:rPr>
        <w:t>The path towards universal health coverage</w:t>
      </w:r>
      <w:r w:rsidR="002E61BC">
        <w:t>,</w:t>
      </w:r>
      <w:r w:rsidRPr="00B95023">
        <w:t xml:space="preserve"> </w:t>
      </w:r>
      <w:bookmarkEnd w:id="28"/>
      <w:bookmarkEnd w:id="29"/>
      <w:r w:rsidRPr="00B95023">
        <w:t>which provides guidance on revenue raising, efficient use of resources and financial protection.</w:t>
      </w:r>
    </w:p>
    <w:p w14:paraId="236ED535" w14:textId="6D8DC8CF" w:rsidR="00934107" w:rsidRPr="00B95023" w:rsidRDefault="00430A7A" w:rsidP="009E050C">
      <w:pPr>
        <w:pStyle w:val="SingleTxtG"/>
        <w:numPr>
          <w:ilvl w:val="0"/>
          <w:numId w:val="11"/>
        </w:numPr>
        <w:ind w:left="1134" w:firstLine="0"/>
      </w:pPr>
      <w:r>
        <w:t>T</w:t>
      </w:r>
      <w:r w:rsidR="00934107" w:rsidRPr="00B95023">
        <w:t xml:space="preserve">he current global context is making it very challenging for countries, </w:t>
      </w:r>
      <w:proofErr w:type="gramStart"/>
      <w:r>
        <w:t>in particular</w:t>
      </w:r>
      <w:r w:rsidRPr="00B95023">
        <w:t xml:space="preserve"> </w:t>
      </w:r>
      <w:r w:rsidR="00C10372" w:rsidRPr="003C06B2">
        <w:rPr>
          <w:color w:val="222222"/>
          <w:shd w:val="clear" w:color="auto" w:fill="FFFFFF"/>
        </w:rPr>
        <w:t>low</w:t>
      </w:r>
      <w:proofErr w:type="gramEnd"/>
      <w:r w:rsidR="00C10372" w:rsidRPr="003C06B2">
        <w:rPr>
          <w:color w:val="222222"/>
          <w:shd w:val="clear" w:color="auto" w:fill="FFFFFF"/>
        </w:rPr>
        <w:t>- and middle-income countries</w:t>
      </w:r>
      <w:r w:rsidR="00934107" w:rsidRPr="00B95023">
        <w:t>, to secure sufficient fiscal space to make the investment necessary to achieve universal health coverage. Currently, approximately 60 per</w:t>
      </w:r>
      <w:r w:rsidR="00685E7F">
        <w:t xml:space="preserve"> </w:t>
      </w:r>
      <w:r w:rsidR="00934107" w:rsidRPr="00B95023">
        <w:t xml:space="preserve">cent of developing </w:t>
      </w:r>
      <w:r w:rsidR="00685E7F">
        <w:t>countries</w:t>
      </w:r>
      <w:r w:rsidR="00685E7F" w:rsidRPr="00B95023">
        <w:t xml:space="preserve"> </w:t>
      </w:r>
      <w:r w:rsidR="00934107" w:rsidRPr="00B95023">
        <w:t xml:space="preserve">(52 </w:t>
      </w:r>
      <w:r w:rsidR="00685E7F">
        <w:t>States</w:t>
      </w:r>
      <w:r w:rsidR="00934107" w:rsidRPr="00B95023">
        <w:t xml:space="preserve">) face high risk of or are experiencing debt distress, </w:t>
      </w:r>
      <w:r w:rsidR="008D01DA">
        <w:t>leaving</w:t>
      </w:r>
      <w:r w:rsidR="008D01DA" w:rsidRPr="00B95023">
        <w:t xml:space="preserve"> </w:t>
      </w:r>
      <w:r w:rsidR="00934107" w:rsidRPr="00B95023">
        <w:t xml:space="preserve">many middle-income countries </w:t>
      </w:r>
      <w:r w:rsidR="008D01DA">
        <w:t>with no</w:t>
      </w:r>
      <w:r w:rsidR="008D01DA" w:rsidRPr="00B95023">
        <w:t xml:space="preserve"> </w:t>
      </w:r>
      <w:r w:rsidR="00934107" w:rsidRPr="00B95023">
        <w:t xml:space="preserve">access </w:t>
      </w:r>
      <w:r w:rsidR="008D01DA" w:rsidRPr="00B95023">
        <w:t xml:space="preserve">to </w:t>
      </w:r>
      <w:r w:rsidR="00934107" w:rsidRPr="00B95023">
        <w:t>debt relief or concessional finance for COVID-19 recovery.</w:t>
      </w:r>
      <w:r w:rsidR="00D841A0">
        <w:rPr>
          <w:rStyle w:val="FootnoteReference"/>
        </w:rPr>
        <w:footnoteReference w:id="154"/>
      </w:r>
      <w:r w:rsidR="00934107" w:rsidRPr="00B95023">
        <w:t xml:space="preserve"> Governments are frequently confronted with </w:t>
      </w:r>
      <w:r w:rsidR="008D01DA">
        <w:t xml:space="preserve">the </w:t>
      </w:r>
      <w:r w:rsidR="00934107" w:rsidRPr="00B95023">
        <w:t>difficult</w:t>
      </w:r>
      <w:r w:rsidR="002031DE">
        <w:t>y of</w:t>
      </w:r>
      <w:r w:rsidR="00934107" w:rsidRPr="00B95023">
        <w:t xml:space="preserve"> cho</w:t>
      </w:r>
      <w:r w:rsidR="002031DE">
        <w:t xml:space="preserve">osing </w:t>
      </w:r>
      <w:r w:rsidR="00934107" w:rsidRPr="00B95023">
        <w:t>between allocating adequate resources for health and social protection, fulfilling their human rights obligations or servicing their debts.</w:t>
      </w:r>
      <w:r w:rsidR="00D841A0">
        <w:rPr>
          <w:rStyle w:val="FootnoteReference"/>
        </w:rPr>
        <w:footnoteReference w:id="155"/>
      </w:r>
      <w:r w:rsidR="00934107" w:rsidRPr="00B95023">
        <w:t xml:space="preserve"> </w:t>
      </w:r>
      <w:r w:rsidR="00B16DD8">
        <w:t>N</w:t>
      </w:r>
      <w:r w:rsidR="00934107" w:rsidRPr="00B95023">
        <w:t xml:space="preserve">ational action will </w:t>
      </w:r>
      <w:r w:rsidR="002031DE">
        <w:t>have</w:t>
      </w:r>
      <w:r w:rsidR="002031DE" w:rsidRPr="00B95023">
        <w:t xml:space="preserve"> </w:t>
      </w:r>
      <w:r w:rsidR="00934107" w:rsidRPr="00B95023">
        <w:t>to be matched by increased solidarity and cooperation.</w:t>
      </w:r>
      <w:r w:rsidR="00934107" w:rsidRPr="009E050C">
        <w:rPr>
          <w:rStyle w:val="FootnoteReference"/>
          <w:szCs w:val="18"/>
        </w:rPr>
        <w:footnoteReference w:id="156"/>
      </w:r>
      <w:r w:rsidR="00934107" w:rsidRPr="00B95023">
        <w:t xml:space="preserve"> Addressing these systemic issues is also critical to mobili</w:t>
      </w:r>
      <w:r w:rsidR="00895EC5">
        <w:t>z</w:t>
      </w:r>
      <w:r w:rsidR="00934107" w:rsidRPr="00B95023">
        <w:t xml:space="preserve">e the financing </w:t>
      </w:r>
      <w:r w:rsidR="00895EC5" w:rsidRPr="00B95023">
        <w:t xml:space="preserve">necessary </w:t>
      </w:r>
      <w:r w:rsidR="00934107" w:rsidRPr="00B95023">
        <w:t xml:space="preserve">to achieve </w:t>
      </w:r>
      <w:r w:rsidR="00895EC5">
        <w:t>universal health care,</w:t>
      </w:r>
      <w:r w:rsidR="00895EC5" w:rsidRPr="00B95023">
        <w:t xml:space="preserve"> </w:t>
      </w:r>
      <w:r w:rsidR="00934107" w:rsidRPr="00B95023">
        <w:t xml:space="preserve">which is critical for ensuring access to medicines, vaccines and medical products. </w:t>
      </w:r>
    </w:p>
    <w:p w14:paraId="6DF60A4C" w14:textId="0E70C06A" w:rsidR="00934107" w:rsidRPr="00B95023" w:rsidRDefault="00934107" w:rsidP="009E050C">
      <w:pPr>
        <w:pStyle w:val="SingleTxtG"/>
        <w:numPr>
          <w:ilvl w:val="0"/>
          <w:numId w:val="11"/>
        </w:numPr>
        <w:ind w:left="1134" w:firstLine="0"/>
      </w:pPr>
      <w:r w:rsidRPr="00B95023">
        <w:t>Effective health financing also requires that funds are used efficiently, by effectively pooling resources. Health financing for universal health coverage implies mobilizing and raising sufficient funds, to pool the</w:t>
      </w:r>
      <w:r w:rsidR="00C878C1">
        <w:t>m</w:t>
      </w:r>
      <w:r w:rsidRPr="00B95023">
        <w:t xml:space="preserve"> effectively, and to allocate the resources efficiently by purchasing health services strategically. Effective utilization of health resources remains a challenge in many countries </w:t>
      </w:r>
      <w:r w:rsidR="00F21BBE">
        <w:t>owing</w:t>
      </w:r>
      <w:r w:rsidR="00F21BBE" w:rsidRPr="00B95023">
        <w:t xml:space="preserve"> </w:t>
      </w:r>
      <w:r w:rsidRPr="00B95023">
        <w:t xml:space="preserve">to inefficient processes to use the funds and </w:t>
      </w:r>
      <w:r w:rsidR="00F21BBE">
        <w:t xml:space="preserve">to </w:t>
      </w:r>
      <w:r w:rsidRPr="00B95023">
        <w:t>corruption.</w:t>
      </w:r>
    </w:p>
    <w:p w14:paraId="408FCC38" w14:textId="289823D3" w:rsidR="00046286" w:rsidRPr="0009515E" w:rsidRDefault="00930379" w:rsidP="009E050C">
      <w:pPr>
        <w:pStyle w:val="HChG"/>
        <w:spacing w:line="240" w:lineRule="atLeast"/>
      </w:pPr>
      <w:r>
        <w:tab/>
      </w:r>
      <w:r w:rsidR="001E2FE9" w:rsidRPr="0009515E">
        <w:t>V.</w:t>
      </w:r>
      <w:r>
        <w:tab/>
      </w:r>
      <w:r w:rsidR="00046286" w:rsidRPr="0009515E">
        <w:t>Pandemic</w:t>
      </w:r>
      <w:r w:rsidR="00571217">
        <w:t xml:space="preserve"> </w:t>
      </w:r>
      <w:r w:rsidR="0008678A">
        <w:t>t</w:t>
      </w:r>
      <w:r w:rsidR="00046286" w:rsidRPr="0009515E">
        <w:t>reaty</w:t>
      </w:r>
      <w:r w:rsidR="00795CB2" w:rsidRPr="0009515E">
        <w:t xml:space="preserve"> to strengthen pandemic prevention, </w:t>
      </w:r>
      <w:proofErr w:type="gramStart"/>
      <w:r w:rsidR="00795CB2" w:rsidRPr="00930379">
        <w:t>preparedness</w:t>
      </w:r>
      <w:proofErr w:type="gramEnd"/>
      <w:r w:rsidR="00795CB2" w:rsidRPr="0009515E">
        <w:t xml:space="preserve"> and response</w:t>
      </w:r>
    </w:p>
    <w:p w14:paraId="654AE192" w14:textId="36351F75" w:rsidR="00C55B60" w:rsidRDefault="00C41D1A" w:rsidP="009E050C">
      <w:pPr>
        <w:pStyle w:val="SingleTxtG"/>
        <w:ind w:left="1135"/>
      </w:pPr>
      <w:r>
        <w:t>67.</w:t>
      </w:r>
      <w:r>
        <w:tab/>
      </w:r>
      <w:r w:rsidR="00C55B60" w:rsidRPr="00C55B60">
        <w:t xml:space="preserve">In December 2021, at its second-ever special session, the World Health Assembly established </w:t>
      </w:r>
      <w:r w:rsidR="00C201E1">
        <w:t>the</w:t>
      </w:r>
      <w:r w:rsidR="00C201E1" w:rsidRPr="00C55B60">
        <w:t xml:space="preserve"> </w:t>
      </w:r>
      <w:r w:rsidR="00C55B60" w:rsidRPr="00C55B60">
        <w:t xml:space="preserve">Intergovernmental Negotiating Body to draft and negotiate a convention, </w:t>
      </w:r>
      <w:proofErr w:type="gramStart"/>
      <w:r w:rsidR="00C55B60" w:rsidRPr="00C55B60">
        <w:t>agreement</w:t>
      </w:r>
      <w:proofErr w:type="gramEnd"/>
      <w:r w:rsidR="00C55B60" w:rsidRPr="00C55B60">
        <w:t xml:space="preserve"> or other international instrument under the </w:t>
      </w:r>
      <w:r w:rsidR="002A5188">
        <w:t xml:space="preserve">WHO </w:t>
      </w:r>
      <w:r w:rsidR="00655678">
        <w:t>c</w:t>
      </w:r>
      <w:r w:rsidR="00C55B60" w:rsidRPr="00C55B60">
        <w:t xml:space="preserve">onstitution to strengthen pandemic prevention, preparedness and response. </w:t>
      </w:r>
    </w:p>
    <w:p w14:paraId="4FFCC4D4" w14:textId="23D6672F" w:rsidR="001A6663" w:rsidRDefault="00C41D1A" w:rsidP="009E050C">
      <w:pPr>
        <w:pStyle w:val="SingleTxtG"/>
        <w:ind w:left="1135"/>
      </w:pPr>
      <w:r>
        <w:t>68.</w:t>
      </w:r>
      <w:r>
        <w:tab/>
      </w:r>
      <w:r w:rsidR="00C55B60">
        <w:t xml:space="preserve">As </w:t>
      </w:r>
      <w:proofErr w:type="gramStart"/>
      <w:r w:rsidR="00655678">
        <w:t>at</w:t>
      </w:r>
      <w:proofErr w:type="gramEnd"/>
      <w:r w:rsidR="00655678">
        <w:t xml:space="preserve"> </w:t>
      </w:r>
      <w:r w:rsidR="00C55B60">
        <w:t>7 March 2024, t</w:t>
      </w:r>
      <w:r w:rsidR="00C55B60" w:rsidRPr="00C55B60">
        <w:t xml:space="preserve">he Bureau of the </w:t>
      </w:r>
      <w:r w:rsidR="00655678" w:rsidRPr="00C55B60">
        <w:t xml:space="preserve">Intergovernmental Negotiating Body </w:t>
      </w:r>
      <w:r w:rsidR="00C55B60" w:rsidRPr="00C55B60">
        <w:t>ha</w:t>
      </w:r>
      <w:r w:rsidR="00B83CAB">
        <w:t>d</w:t>
      </w:r>
      <w:r w:rsidR="00C55B60" w:rsidRPr="00C55B60">
        <w:t xml:space="preserve"> produced six draft texts. </w:t>
      </w:r>
      <w:r w:rsidR="00D22BCE">
        <w:t xml:space="preserve">OHCHR has repeatedly stressed the need for the incorporation of a </w:t>
      </w:r>
      <w:r w:rsidR="00D22BCE" w:rsidRPr="00D22BCE">
        <w:t xml:space="preserve">human rights-based approach into health emergency preparedness, </w:t>
      </w:r>
      <w:proofErr w:type="gramStart"/>
      <w:r w:rsidR="00D22BCE" w:rsidRPr="00D22BCE">
        <w:t>response</w:t>
      </w:r>
      <w:proofErr w:type="gramEnd"/>
      <w:r w:rsidR="00D22BCE" w:rsidRPr="00D22BCE">
        <w:t xml:space="preserve"> and recovery</w:t>
      </w:r>
      <w:r w:rsidR="008725F8">
        <w:t>.</w:t>
      </w:r>
      <w:r w:rsidR="00D22BCE">
        <w:rPr>
          <w:rStyle w:val="FootnoteReference"/>
        </w:rPr>
        <w:footnoteReference w:id="157"/>
      </w:r>
      <w:r w:rsidR="00C55B60" w:rsidRPr="00C55B60">
        <w:t xml:space="preserve"> In particular, </w:t>
      </w:r>
      <w:r w:rsidR="008725F8">
        <w:t xml:space="preserve">it is </w:t>
      </w:r>
      <w:r w:rsidR="00C55B60" w:rsidRPr="00C55B60">
        <w:t xml:space="preserve">important </w:t>
      </w:r>
      <w:r w:rsidR="008725F8">
        <w:t xml:space="preserve">that the treaty ensure </w:t>
      </w:r>
      <w:r w:rsidR="00B83CAB">
        <w:t xml:space="preserve">that </w:t>
      </w:r>
      <w:r w:rsidR="008725F8">
        <w:t xml:space="preserve">public health interventions take into account the social and economic context, including inequalities and structural barriers for some individuals and communities in </w:t>
      </w:r>
      <w:r w:rsidR="00914F5F">
        <w:t xml:space="preserve">their </w:t>
      </w:r>
      <w:r w:rsidR="008725F8">
        <w:t>access</w:t>
      </w:r>
      <w:r w:rsidR="00914F5F">
        <w:t xml:space="preserve"> to</w:t>
      </w:r>
      <w:r w:rsidR="00C55B60" w:rsidRPr="00C55B60">
        <w:t xml:space="preserve"> health goods, facilities and services. </w:t>
      </w:r>
    </w:p>
    <w:p w14:paraId="71646603" w14:textId="697A989F" w:rsidR="00930379" w:rsidRPr="00930379" w:rsidRDefault="00C41D1A" w:rsidP="009E050C">
      <w:pPr>
        <w:pStyle w:val="SingleTxtG"/>
        <w:rPr>
          <w:b/>
          <w:bCs/>
        </w:rPr>
      </w:pPr>
      <w:r>
        <w:t>69.</w:t>
      </w:r>
      <w:r>
        <w:tab/>
      </w:r>
      <w:r w:rsidR="001A6663">
        <w:t>T</w:t>
      </w:r>
      <w:r w:rsidR="00C55B60" w:rsidRPr="00C55B60">
        <w:t xml:space="preserve">hroughout the process, </w:t>
      </w:r>
      <w:r w:rsidR="001A6663">
        <w:t xml:space="preserve">OHCHR has emphasized </w:t>
      </w:r>
      <w:r w:rsidR="00C55B60" w:rsidRPr="00C55B60">
        <w:t xml:space="preserve">that human rights </w:t>
      </w:r>
      <w:r w:rsidR="004E461B">
        <w:t xml:space="preserve">should be an </w:t>
      </w:r>
      <w:r w:rsidR="00C55B60" w:rsidRPr="00C55B60">
        <w:t xml:space="preserve">integral </w:t>
      </w:r>
      <w:r w:rsidR="004E461B">
        <w:t>part of</w:t>
      </w:r>
      <w:r w:rsidR="00C55B60" w:rsidRPr="00C55B60">
        <w:t xml:space="preserve"> any future accord, </w:t>
      </w:r>
      <w:r w:rsidR="00914F5F">
        <w:t>placing</w:t>
      </w:r>
      <w:r w:rsidR="00914F5F" w:rsidRPr="00C55B60">
        <w:t xml:space="preserve"> </w:t>
      </w:r>
      <w:r w:rsidR="00C55B60" w:rsidRPr="00C55B60">
        <w:t xml:space="preserve">emphasis on </w:t>
      </w:r>
      <w:r w:rsidR="00914F5F">
        <w:t xml:space="preserve">certain </w:t>
      </w:r>
      <w:r w:rsidR="00C55B60" w:rsidRPr="00C55B60">
        <w:t>issues</w:t>
      </w:r>
      <w:r w:rsidR="00914F5F">
        <w:t>,</w:t>
      </w:r>
      <w:r w:rsidR="00C55B60" w:rsidRPr="00C55B60">
        <w:t xml:space="preserve"> including </w:t>
      </w:r>
      <w:r w:rsidR="00D04F13">
        <w:t xml:space="preserve">the need for </w:t>
      </w:r>
      <w:r w:rsidR="00C55B60" w:rsidRPr="00C55B60">
        <w:t>a truly participatory, inclusive and transparent negotiating process</w:t>
      </w:r>
      <w:r w:rsidR="00D04F13">
        <w:t xml:space="preserve">; </w:t>
      </w:r>
      <w:r w:rsidR="00C55B60" w:rsidRPr="00C55B60">
        <w:t>meaningful stakeholder participation in pandemic prevention, preparedness and response; strengthen</w:t>
      </w:r>
      <w:r w:rsidR="00D04F13">
        <w:t>ed</w:t>
      </w:r>
      <w:r w:rsidR="00C55B60" w:rsidRPr="00C55B60">
        <w:t xml:space="preserve"> multilateralism and international solidarity</w:t>
      </w:r>
      <w:r w:rsidR="00D04F13">
        <w:t xml:space="preserve">, </w:t>
      </w:r>
      <w:r w:rsidR="00914F5F">
        <w:t>and</w:t>
      </w:r>
      <w:r w:rsidR="00D04F13">
        <w:t xml:space="preserve"> the importance of ensuring </w:t>
      </w:r>
      <w:r w:rsidR="00C55B60" w:rsidRPr="00C55B60">
        <w:t>equitable access to vaccines, medicines and other health products; and equality and non-discrimination.</w:t>
      </w:r>
    </w:p>
    <w:p w14:paraId="46144746" w14:textId="627E8526" w:rsidR="00F26EF2" w:rsidRPr="00930379" w:rsidRDefault="00930379" w:rsidP="009E050C">
      <w:pPr>
        <w:pStyle w:val="HChG"/>
        <w:spacing w:line="240" w:lineRule="atLeast"/>
        <w:rPr>
          <w:bCs/>
        </w:rPr>
      </w:pPr>
      <w:r>
        <w:tab/>
      </w:r>
      <w:r w:rsidR="00B317FE">
        <w:t>VI.</w:t>
      </w:r>
      <w:r>
        <w:tab/>
      </w:r>
      <w:r w:rsidR="00F26EF2" w:rsidRPr="007E00C9">
        <w:t>Conclusions and recommendations</w:t>
      </w:r>
    </w:p>
    <w:p w14:paraId="0012A404" w14:textId="25C3496E" w:rsidR="00571217" w:rsidRDefault="00C41D1A" w:rsidP="009E050C">
      <w:pPr>
        <w:pStyle w:val="SingleTxtG"/>
        <w:rPr>
          <w:b/>
          <w:bCs/>
        </w:rPr>
      </w:pPr>
      <w:r w:rsidRPr="009E050C">
        <w:t>70.</w:t>
      </w:r>
      <w:r>
        <w:rPr>
          <w:b/>
          <w:bCs/>
        </w:rPr>
        <w:tab/>
      </w:r>
      <w:r w:rsidR="0087624B" w:rsidRPr="00C55B60">
        <w:rPr>
          <w:b/>
          <w:bCs/>
        </w:rPr>
        <w:t xml:space="preserve">It is essential that States guarantee the right to health in compliance with their obligations under </w:t>
      </w:r>
      <w:r w:rsidR="00B02F64">
        <w:rPr>
          <w:b/>
          <w:bCs/>
        </w:rPr>
        <w:t xml:space="preserve">international human rights law, including providing access to medicines, </w:t>
      </w:r>
      <w:proofErr w:type="gramStart"/>
      <w:r w:rsidR="00B02F64">
        <w:rPr>
          <w:b/>
          <w:bCs/>
        </w:rPr>
        <w:t>vaccines</w:t>
      </w:r>
      <w:proofErr w:type="gramEnd"/>
      <w:r w:rsidR="00B02F64">
        <w:rPr>
          <w:b/>
          <w:bCs/>
        </w:rPr>
        <w:t xml:space="preserve"> and other health products. </w:t>
      </w:r>
      <w:r w:rsidR="00B02F64" w:rsidRPr="001C4FDA">
        <w:rPr>
          <w:b/>
          <w:bCs/>
        </w:rPr>
        <w:t>Business entities, including pharmaceutical companies, have</w:t>
      </w:r>
      <w:r w:rsidR="00283C82">
        <w:rPr>
          <w:b/>
          <w:bCs/>
        </w:rPr>
        <w:t>,</w:t>
      </w:r>
      <w:r w:rsidR="00B02F64" w:rsidRPr="001C4FDA">
        <w:rPr>
          <w:b/>
          <w:bCs/>
        </w:rPr>
        <w:t xml:space="preserve"> </w:t>
      </w:r>
      <w:r w:rsidR="00283C82" w:rsidRPr="001C4FDA">
        <w:rPr>
          <w:b/>
          <w:bCs/>
        </w:rPr>
        <w:t xml:space="preserve">at a minimum, </w:t>
      </w:r>
      <w:r w:rsidR="00B02F64" w:rsidRPr="001C4FDA">
        <w:rPr>
          <w:b/>
          <w:bCs/>
        </w:rPr>
        <w:t>the obligation to respect the right to health. Further</w:t>
      </w:r>
      <w:r w:rsidR="00283C82">
        <w:rPr>
          <w:b/>
          <w:bCs/>
        </w:rPr>
        <w:t>more</w:t>
      </w:r>
      <w:r w:rsidR="00B02F64" w:rsidRPr="001C4FDA">
        <w:rPr>
          <w:b/>
          <w:bCs/>
        </w:rPr>
        <w:t>, they have specific responsibilities regarding the realization of the right to health, including in relation to access to medicines and vaccines.</w:t>
      </w:r>
      <w:r w:rsidR="0087624B" w:rsidRPr="009E050C">
        <w:rPr>
          <w:sz w:val="18"/>
          <w:szCs w:val="18"/>
          <w:vertAlign w:val="superscript"/>
        </w:rPr>
        <w:footnoteReference w:id="158"/>
      </w:r>
      <w:r w:rsidR="0087624B" w:rsidRPr="009E050C">
        <w:rPr>
          <w:sz w:val="18"/>
          <w:szCs w:val="18"/>
        </w:rPr>
        <w:t xml:space="preserve"> </w:t>
      </w:r>
    </w:p>
    <w:p w14:paraId="4095D657" w14:textId="1418FC4B" w:rsidR="006B7076" w:rsidRDefault="00C41D1A" w:rsidP="009E050C">
      <w:pPr>
        <w:pStyle w:val="SingleTxtG"/>
        <w:rPr>
          <w:b/>
          <w:bCs/>
        </w:rPr>
      </w:pPr>
      <w:r w:rsidRPr="009E050C">
        <w:t>71.</w:t>
      </w:r>
      <w:r w:rsidRPr="009E050C">
        <w:tab/>
      </w:r>
      <w:r w:rsidR="00D04F13">
        <w:rPr>
          <w:b/>
          <w:bCs/>
        </w:rPr>
        <w:t>Overcoming challenges to access to medicines, vaccines and other health products requires urgent action in many areas. Key recommendations within this report include the need</w:t>
      </w:r>
      <w:r w:rsidR="0087624B">
        <w:rPr>
          <w:b/>
          <w:bCs/>
        </w:rPr>
        <w:t xml:space="preserve">: </w:t>
      </w:r>
    </w:p>
    <w:p w14:paraId="4F339E59" w14:textId="4897DC58" w:rsidR="00865015" w:rsidRDefault="00A1133B" w:rsidP="009E050C">
      <w:pPr>
        <w:pStyle w:val="SingleTxtG"/>
        <w:numPr>
          <w:ilvl w:val="0"/>
          <w:numId w:val="6"/>
        </w:numPr>
        <w:tabs>
          <w:tab w:val="clear" w:pos="1701"/>
          <w:tab w:val="clear" w:pos="2268"/>
        </w:tabs>
        <w:ind w:left="1134" w:firstLine="567"/>
        <w:rPr>
          <w:rFonts w:eastAsia="SimSun"/>
          <w:b/>
          <w:bCs/>
          <w:lang w:eastAsia="zh-CN"/>
        </w:rPr>
      </w:pPr>
      <w:r>
        <w:rPr>
          <w:b/>
          <w:bCs/>
        </w:rPr>
        <w:t>To p</w:t>
      </w:r>
      <w:r w:rsidR="00865015">
        <w:rPr>
          <w:b/>
          <w:bCs/>
        </w:rPr>
        <w:t>romote c</w:t>
      </w:r>
      <w:r w:rsidR="00865015" w:rsidRPr="00180979">
        <w:rPr>
          <w:rFonts w:eastAsia="SimSun"/>
          <w:b/>
          <w:bCs/>
          <w:lang w:eastAsia="zh-CN"/>
        </w:rPr>
        <w:t>ollaborative effort</w:t>
      </w:r>
      <w:r w:rsidR="00865015">
        <w:rPr>
          <w:rFonts w:eastAsia="SimSun"/>
          <w:b/>
          <w:bCs/>
          <w:lang w:eastAsia="zh-CN"/>
        </w:rPr>
        <w:t>s</w:t>
      </w:r>
      <w:r w:rsidR="00865015" w:rsidRPr="00180979">
        <w:rPr>
          <w:rFonts w:eastAsia="SimSun"/>
          <w:b/>
          <w:bCs/>
          <w:lang w:eastAsia="zh-CN"/>
        </w:rPr>
        <w:t xml:space="preserve"> </w:t>
      </w:r>
      <w:r w:rsidR="00D04F13">
        <w:rPr>
          <w:rFonts w:eastAsia="SimSun"/>
          <w:b/>
          <w:bCs/>
          <w:lang w:eastAsia="zh-CN"/>
        </w:rPr>
        <w:t xml:space="preserve">between </w:t>
      </w:r>
      <w:r w:rsidR="00B02F64">
        <w:rPr>
          <w:rFonts w:eastAsia="SimSun"/>
          <w:b/>
          <w:bCs/>
          <w:lang w:eastAsia="zh-CN"/>
        </w:rPr>
        <w:t>S</w:t>
      </w:r>
      <w:r w:rsidR="007C2269">
        <w:rPr>
          <w:rFonts w:eastAsia="SimSun"/>
          <w:b/>
          <w:bCs/>
          <w:lang w:eastAsia="zh-CN"/>
        </w:rPr>
        <w:t>t</w:t>
      </w:r>
      <w:r w:rsidR="00813F5A">
        <w:rPr>
          <w:rFonts w:eastAsia="SimSun"/>
          <w:b/>
          <w:bCs/>
          <w:lang w:eastAsia="zh-CN"/>
        </w:rPr>
        <w:t>a</w:t>
      </w:r>
      <w:r w:rsidR="00D04F13">
        <w:rPr>
          <w:rFonts w:eastAsia="SimSun"/>
          <w:b/>
          <w:bCs/>
          <w:lang w:eastAsia="zh-CN"/>
        </w:rPr>
        <w:t>tes, the private sector,</w:t>
      </w:r>
      <w:r w:rsidR="00813F5A">
        <w:rPr>
          <w:rFonts w:eastAsia="SimSun"/>
          <w:b/>
          <w:bCs/>
          <w:lang w:eastAsia="zh-CN"/>
        </w:rPr>
        <w:t xml:space="preserve"> </w:t>
      </w:r>
      <w:r w:rsidR="00D04F13">
        <w:rPr>
          <w:rFonts w:eastAsia="SimSun"/>
          <w:b/>
          <w:bCs/>
          <w:lang w:eastAsia="zh-CN"/>
        </w:rPr>
        <w:t>civil society</w:t>
      </w:r>
      <w:r w:rsidR="00B02F64">
        <w:rPr>
          <w:rFonts w:eastAsia="SimSun"/>
          <w:b/>
          <w:bCs/>
          <w:lang w:eastAsia="zh-CN"/>
        </w:rPr>
        <w:t xml:space="preserve"> and other stakeholders</w:t>
      </w:r>
      <w:r w:rsidR="00D04F13">
        <w:rPr>
          <w:rFonts w:eastAsia="SimSun"/>
          <w:b/>
          <w:bCs/>
          <w:lang w:eastAsia="zh-CN"/>
        </w:rPr>
        <w:t xml:space="preserve"> to improve access to medicines,</w:t>
      </w:r>
      <w:r w:rsidR="00B02F64">
        <w:rPr>
          <w:rFonts w:eastAsia="SimSun"/>
          <w:b/>
          <w:bCs/>
          <w:lang w:eastAsia="zh-CN"/>
        </w:rPr>
        <w:t xml:space="preserve"> vaccines and other health products</w:t>
      </w:r>
      <w:r w:rsidR="00242A22">
        <w:rPr>
          <w:rFonts w:eastAsia="SimSun"/>
          <w:b/>
          <w:bCs/>
          <w:lang w:eastAsia="zh-CN"/>
        </w:rPr>
        <w:t>, thereby</w:t>
      </w:r>
      <w:r w:rsidR="000731FD" w:rsidRPr="000731FD">
        <w:t xml:space="preserve"> </w:t>
      </w:r>
      <w:r w:rsidR="000731FD" w:rsidRPr="00967D72">
        <w:rPr>
          <w:b/>
          <w:bCs/>
        </w:rPr>
        <w:t>ensur</w:t>
      </w:r>
      <w:r w:rsidR="00242A22">
        <w:rPr>
          <w:b/>
          <w:bCs/>
        </w:rPr>
        <w:t>ing</w:t>
      </w:r>
      <w:r w:rsidR="000731FD" w:rsidRPr="00967D72">
        <w:rPr>
          <w:b/>
          <w:bCs/>
        </w:rPr>
        <w:t xml:space="preserve"> </w:t>
      </w:r>
      <w:r w:rsidR="00242A22">
        <w:rPr>
          <w:b/>
          <w:bCs/>
        </w:rPr>
        <w:t xml:space="preserve">the </w:t>
      </w:r>
      <w:r w:rsidR="000731FD" w:rsidRPr="00967D72">
        <w:rPr>
          <w:b/>
          <w:bCs/>
        </w:rPr>
        <w:t>effective participation of communities and affected populations in decision-making process</w:t>
      </w:r>
      <w:r w:rsidR="00242A22">
        <w:rPr>
          <w:b/>
          <w:bCs/>
        </w:rPr>
        <w:t>es</w:t>
      </w:r>
      <w:r w:rsidR="000731FD" w:rsidRPr="00967D72">
        <w:rPr>
          <w:b/>
          <w:bCs/>
        </w:rPr>
        <w:t xml:space="preserve">; and </w:t>
      </w:r>
      <w:r w:rsidR="00242A22">
        <w:rPr>
          <w:b/>
          <w:bCs/>
        </w:rPr>
        <w:t>greater</w:t>
      </w:r>
      <w:r w:rsidR="00242A22" w:rsidRPr="00967D72">
        <w:rPr>
          <w:b/>
          <w:bCs/>
        </w:rPr>
        <w:t xml:space="preserve"> </w:t>
      </w:r>
      <w:r w:rsidR="000731FD" w:rsidRPr="00967D72">
        <w:rPr>
          <w:b/>
          <w:bCs/>
        </w:rPr>
        <w:t xml:space="preserve">transparency, especially in the selection, pricing, procurement and registration of medicines, vaccines and other health </w:t>
      </w:r>
      <w:proofErr w:type="gramStart"/>
      <w:r w:rsidR="000731FD" w:rsidRPr="001F2A96">
        <w:rPr>
          <w:b/>
          <w:bCs/>
        </w:rPr>
        <w:t>products</w:t>
      </w:r>
      <w:r w:rsidR="000731FD" w:rsidRPr="00967D72">
        <w:rPr>
          <w:b/>
          <w:bCs/>
        </w:rPr>
        <w:t>;</w:t>
      </w:r>
      <w:proofErr w:type="gramEnd"/>
    </w:p>
    <w:p w14:paraId="5B4C2211" w14:textId="1270AE6F" w:rsidR="00865015" w:rsidRDefault="00E14E40" w:rsidP="009E050C">
      <w:pPr>
        <w:pStyle w:val="SingleTxtG"/>
        <w:numPr>
          <w:ilvl w:val="0"/>
          <w:numId w:val="6"/>
        </w:numPr>
        <w:tabs>
          <w:tab w:val="clear" w:pos="1701"/>
          <w:tab w:val="clear" w:pos="2268"/>
        </w:tabs>
        <w:ind w:left="1134" w:firstLine="567"/>
        <w:rPr>
          <w:rFonts w:eastAsia="SimSun"/>
          <w:b/>
          <w:bCs/>
          <w:lang w:eastAsia="zh-CN"/>
        </w:rPr>
      </w:pPr>
      <w:r>
        <w:rPr>
          <w:b/>
          <w:bCs/>
        </w:rPr>
        <w:t>To s</w:t>
      </w:r>
      <w:r w:rsidR="00865015" w:rsidRPr="00180979">
        <w:rPr>
          <w:rFonts w:eastAsia="SimSun"/>
          <w:b/>
          <w:bCs/>
          <w:lang w:eastAsia="zh-CN"/>
        </w:rPr>
        <w:t>trengthen global, regional and local health governance</w:t>
      </w:r>
      <w:r w:rsidR="00865015">
        <w:rPr>
          <w:rFonts w:eastAsia="SimSun"/>
          <w:b/>
          <w:bCs/>
          <w:lang w:eastAsia="zh-CN"/>
        </w:rPr>
        <w:t xml:space="preserve"> through</w:t>
      </w:r>
      <w:r w:rsidR="00865015" w:rsidRPr="00180979">
        <w:rPr>
          <w:rFonts w:eastAsia="SimSun"/>
          <w:b/>
          <w:bCs/>
          <w:lang w:eastAsia="zh-CN"/>
        </w:rPr>
        <w:t xml:space="preserve"> active international </w:t>
      </w:r>
      <w:r>
        <w:rPr>
          <w:rFonts w:eastAsia="SimSun"/>
          <w:b/>
          <w:bCs/>
          <w:lang w:eastAsia="zh-CN"/>
        </w:rPr>
        <w:t>cooperation</w:t>
      </w:r>
      <w:r w:rsidRPr="00180979">
        <w:rPr>
          <w:rFonts w:eastAsia="SimSun"/>
          <w:b/>
          <w:bCs/>
          <w:lang w:eastAsia="zh-CN"/>
        </w:rPr>
        <w:t xml:space="preserve"> </w:t>
      </w:r>
      <w:r w:rsidR="00865015" w:rsidRPr="00180979">
        <w:rPr>
          <w:rFonts w:eastAsia="SimSun"/>
          <w:b/>
          <w:bCs/>
          <w:lang w:eastAsia="zh-CN"/>
        </w:rPr>
        <w:t xml:space="preserve">involving </w:t>
      </w:r>
      <w:r w:rsidR="00865015">
        <w:rPr>
          <w:rFonts w:eastAsia="SimSun"/>
          <w:b/>
          <w:bCs/>
          <w:lang w:eastAsia="zh-CN"/>
        </w:rPr>
        <w:t>S</w:t>
      </w:r>
      <w:r w:rsidR="00865015" w:rsidRPr="00180979">
        <w:rPr>
          <w:rFonts w:eastAsia="SimSun"/>
          <w:b/>
          <w:bCs/>
          <w:lang w:eastAsia="zh-CN"/>
        </w:rPr>
        <w:t xml:space="preserve">tates, </w:t>
      </w:r>
      <w:r w:rsidR="00865015">
        <w:rPr>
          <w:rFonts w:eastAsia="SimSun"/>
          <w:b/>
          <w:bCs/>
          <w:lang w:eastAsia="zh-CN"/>
        </w:rPr>
        <w:t xml:space="preserve">the </w:t>
      </w:r>
      <w:r w:rsidR="00865015" w:rsidRPr="00180979">
        <w:rPr>
          <w:rFonts w:eastAsia="SimSun"/>
          <w:b/>
          <w:bCs/>
          <w:lang w:eastAsia="zh-CN"/>
        </w:rPr>
        <w:t xml:space="preserve">private sector and civil </w:t>
      </w:r>
      <w:proofErr w:type="gramStart"/>
      <w:r w:rsidR="00865015" w:rsidRPr="00180979">
        <w:rPr>
          <w:rFonts w:eastAsia="SimSun"/>
          <w:b/>
          <w:bCs/>
          <w:lang w:eastAsia="zh-CN"/>
        </w:rPr>
        <w:t>society</w:t>
      </w:r>
      <w:r w:rsidR="00865015">
        <w:rPr>
          <w:rFonts w:eastAsia="SimSun"/>
          <w:b/>
          <w:bCs/>
          <w:lang w:eastAsia="zh-CN"/>
        </w:rPr>
        <w:t>;</w:t>
      </w:r>
      <w:proofErr w:type="gramEnd"/>
      <w:r w:rsidR="00865015">
        <w:rPr>
          <w:rFonts w:eastAsia="SimSun"/>
          <w:b/>
          <w:bCs/>
          <w:lang w:eastAsia="zh-CN"/>
        </w:rPr>
        <w:t xml:space="preserve"> </w:t>
      </w:r>
    </w:p>
    <w:p w14:paraId="135A5C3F" w14:textId="6EEC8AEC" w:rsidR="00865015" w:rsidRDefault="00E14E40" w:rsidP="009E050C">
      <w:pPr>
        <w:pStyle w:val="SingleTxtG"/>
        <w:numPr>
          <w:ilvl w:val="0"/>
          <w:numId w:val="6"/>
        </w:numPr>
        <w:tabs>
          <w:tab w:val="clear" w:pos="1701"/>
          <w:tab w:val="clear" w:pos="2268"/>
        </w:tabs>
        <w:ind w:left="1134" w:firstLine="567"/>
        <w:rPr>
          <w:rFonts w:eastAsia="SimSun"/>
          <w:b/>
          <w:bCs/>
          <w:lang w:eastAsia="zh-CN"/>
        </w:rPr>
      </w:pPr>
      <w:r>
        <w:rPr>
          <w:b/>
          <w:bCs/>
        </w:rPr>
        <w:t>To s</w:t>
      </w:r>
      <w:r w:rsidR="00865015">
        <w:rPr>
          <w:b/>
          <w:bCs/>
        </w:rPr>
        <w:t xml:space="preserve">trengthen </w:t>
      </w:r>
      <w:r w:rsidR="00780193">
        <w:rPr>
          <w:b/>
          <w:bCs/>
        </w:rPr>
        <w:t xml:space="preserve">the national </w:t>
      </w:r>
      <w:r w:rsidR="00865015">
        <w:rPr>
          <w:b/>
          <w:bCs/>
        </w:rPr>
        <w:t>capacity</w:t>
      </w:r>
      <w:r w:rsidR="00780193">
        <w:rPr>
          <w:b/>
          <w:bCs/>
        </w:rPr>
        <w:t xml:space="preserve"> of countries,</w:t>
      </w:r>
      <w:r w:rsidR="00865015">
        <w:rPr>
          <w:b/>
          <w:bCs/>
        </w:rPr>
        <w:t xml:space="preserve"> in particular in </w:t>
      </w:r>
      <w:r w:rsidR="00C10372" w:rsidRPr="009E050C">
        <w:rPr>
          <w:b/>
          <w:bCs/>
          <w:color w:val="222222"/>
          <w:shd w:val="clear" w:color="auto" w:fill="FFFFFF"/>
        </w:rPr>
        <w:t>low- and middle-income countri</w:t>
      </w:r>
      <w:r w:rsidR="00C10372" w:rsidRPr="003C06B2">
        <w:rPr>
          <w:color w:val="222222"/>
          <w:shd w:val="clear" w:color="auto" w:fill="FFFFFF"/>
        </w:rPr>
        <w:t>es</w:t>
      </w:r>
      <w:r w:rsidR="00780193">
        <w:rPr>
          <w:b/>
          <w:bCs/>
        </w:rPr>
        <w:t xml:space="preserve">, </w:t>
      </w:r>
      <w:r w:rsidR="00865015">
        <w:rPr>
          <w:b/>
          <w:bCs/>
        </w:rPr>
        <w:t xml:space="preserve">to put in place and implement a robust regulatory system </w:t>
      </w:r>
      <w:r w:rsidR="00D04F13">
        <w:rPr>
          <w:b/>
          <w:bCs/>
        </w:rPr>
        <w:t xml:space="preserve">relating to </w:t>
      </w:r>
      <w:proofErr w:type="gramStart"/>
      <w:r w:rsidR="00D04F13">
        <w:rPr>
          <w:b/>
          <w:bCs/>
        </w:rPr>
        <w:t>medicines</w:t>
      </w:r>
      <w:r w:rsidR="00865015">
        <w:rPr>
          <w:b/>
          <w:bCs/>
        </w:rPr>
        <w:t>;</w:t>
      </w:r>
      <w:proofErr w:type="gramEnd"/>
    </w:p>
    <w:p w14:paraId="42DCEDB2" w14:textId="6893AF6F" w:rsidR="00571217" w:rsidRPr="0009515E" w:rsidRDefault="00780193" w:rsidP="009E050C">
      <w:pPr>
        <w:pStyle w:val="SingleTxtG"/>
        <w:numPr>
          <w:ilvl w:val="0"/>
          <w:numId w:val="6"/>
        </w:numPr>
        <w:tabs>
          <w:tab w:val="clear" w:pos="1701"/>
          <w:tab w:val="clear" w:pos="2268"/>
        </w:tabs>
        <w:ind w:left="1134" w:firstLine="567"/>
      </w:pPr>
      <w:r>
        <w:rPr>
          <w:rFonts w:eastAsia="SimSun"/>
          <w:b/>
          <w:bCs/>
          <w:lang w:eastAsia="zh-CN"/>
        </w:rPr>
        <w:t>To b</w:t>
      </w:r>
      <w:r w:rsidR="00027B93">
        <w:rPr>
          <w:rFonts w:eastAsia="SimSun"/>
          <w:b/>
          <w:bCs/>
          <w:lang w:eastAsia="zh-CN"/>
        </w:rPr>
        <w:t xml:space="preserve">olster </w:t>
      </w:r>
      <w:r w:rsidR="00027B93" w:rsidRPr="00180979">
        <w:rPr>
          <w:rFonts w:eastAsia="SimSun"/>
          <w:b/>
          <w:bCs/>
          <w:lang w:eastAsia="zh-CN"/>
        </w:rPr>
        <w:t xml:space="preserve">investment in </w:t>
      </w:r>
      <w:r>
        <w:rPr>
          <w:rFonts w:eastAsia="SimSun"/>
          <w:b/>
          <w:bCs/>
          <w:lang w:eastAsia="zh-CN"/>
        </w:rPr>
        <w:t xml:space="preserve">the </w:t>
      </w:r>
      <w:r w:rsidR="00027B93" w:rsidRPr="00180979">
        <w:rPr>
          <w:rFonts w:eastAsia="SimSun"/>
          <w:b/>
          <w:bCs/>
          <w:lang w:eastAsia="zh-CN"/>
        </w:rPr>
        <w:t>research and development of new medicines and vaccines</w:t>
      </w:r>
      <w:r>
        <w:rPr>
          <w:rFonts w:eastAsia="SimSun"/>
          <w:b/>
          <w:bCs/>
          <w:lang w:eastAsia="zh-CN"/>
        </w:rPr>
        <w:t>;</w:t>
      </w:r>
      <w:r w:rsidR="00027B93" w:rsidRPr="00180979">
        <w:rPr>
          <w:rFonts w:eastAsia="SimSun"/>
          <w:b/>
          <w:bCs/>
          <w:lang w:eastAsia="zh-CN"/>
        </w:rPr>
        <w:t xml:space="preserve"> </w:t>
      </w:r>
      <w:r>
        <w:rPr>
          <w:rFonts w:eastAsia="SimSun"/>
          <w:b/>
          <w:bCs/>
          <w:lang w:eastAsia="zh-CN"/>
        </w:rPr>
        <w:t>in this regard, p</w:t>
      </w:r>
      <w:r w:rsidR="00027B93" w:rsidRPr="00180979">
        <w:rPr>
          <w:rFonts w:eastAsia="SimSun"/>
          <w:b/>
          <w:bCs/>
          <w:lang w:eastAsia="zh-CN"/>
        </w:rPr>
        <w:t>ublic</w:t>
      </w:r>
      <w:r>
        <w:rPr>
          <w:rFonts w:eastAsia="SimSun"/>
          <w:b/>
          <w:bCs/>
          <w:lang w:eastAsia="zh-CN"/>
        </w:rPr>
        <w:t>-</w:t>
      </w:r>
      <w:r w:rsidR="00027B93" w:rsidRPr="00180979">
        <w:rPr>
          <w:rFonts w:eastAsia="SimSun"/>
          <w:b/>
          <w:bCs/>
          <w:lang w:eastAsia="zh-CN"/>
        </w:rPr>
        <w:t>private partnerships</w:t>
      </w:r>
      <w:r>
        <w:rPr>
          <w:rFonts w:eastAsia="SimSun"/>
          <w:b/>
          <w:bCs/>
          <w:lang w:eastAsia="zh-CN"/>
        </w:rPr>
        <w:t>,</w:t>
      </w:r>
      <w:r w:rsidR="00027B93" w:rsidRPr="00180979">
        <w:rPr>
          <w:rFonts w:eastAsia="SimSun"/>
          <w:b/>
          <w:bCs/>
          <w:lang w:eastAsia="zh-CN"/>
        </w:rPr>
        <w:t xml:space="preserve"> such as innovative funding mechanisms</w:t>
      </w:r>
      <w:r>
        <w:rPr>
          <w:rFonts w:eastAsia="SimSun"/>
          <w:b/>
          <w:bCs/>
          <w:lang w:eastAsia="zh-CN"/>
        </w:rPr>
        <w:t>,</w:t>
      </w:r>
      <w:r w:rsidR="00571217">
        <w:rPr>
          <w:rFonts w:eastAsia="SimSun"/>
          <w:b/>
          <w:bCs/>
          <w:lang w:eastAsia="zh-CN"/>
        </w:rPr>
        <w:t xml:space="preserve"> can help </w:t>
      </w:r>
      <w:r>
        <w:rPr>
          <w:rFonts w:eastAsia="SimSun"/>
          <w:b/>
          <w:bCs/>
          <w:lang w:eastAsia="zh-CN"/>
        </w:rPr>
        <w:t xml:space="preserve">to </w:t>
      </w:r>
      <w:r w:rsidR="00571217">
        <w:rPr>
          <w:rFonts w:eastAsia="SimSun"/>
          <w:b/>
          <w:bCs/>
          <w:lang w:eastAsia="zh-CN"/>
        </w:rPr>
        <w:t xml:space="preserve">provide incentives that can accelerate research and </w:t>
      </w:r>
      <w:proofErr w:type="gramStart"/>
      <w:r w:rsidR="00571217">
        <w:rPr>
          <w:rFonts w:eastAsia="SimSun"/>
          <w:b/>
          <w:bCs/>
          <w:lang w:eastAsia="zh-CN"/>
        </w:rPr>
        <w:t>development</w:t>
      </w:r>
      <w:r w:rsidR="00865015">
        <w:rPr>
          <w:rFonts w:eastAsia="SimSun"/>
          <w:b/>
          <w:bCs/>
          <w:lang w:eastAsia="zh-CN"/>
        </w:rPr>
        <w:t>;</w:t>
      </w:r>
      <w:proofErr w:type="gramEnd"/>
      <w:r w:rsidR="00571217">
        <w:rPr>
          <w:rFonts w:eastAsia="SimSun"/>
          <w:b/>
          <w:bCs/>
          <w:lang w:eastAsia="zh-CN"/>
        </w:rPr>
        <w:t xml:space="preserve"> </w:t>
      </w:r>
    </w:p>
    <w:p w14:paraId="133FA174" w14:textId="76427B95" w:rsidR="00571217" w:rsidRPr="0009515E" w:rsidRDefault="00D73E14" w:rsidP="009E050C">
      <w:pPr>
        <w:pStyle w:val="SingleTxtG"/>
        <w:numPr>
          <w:ilvl w:val="0"/>
          <w:numId w:val="6"/>
        </w:numPr>
        <w:tabs>
          <w:tab w:val="clear" w:pos="1701"/>
          <w:tab w:val="clear" w:pos="2268"/>
        </w:tabs>
        <w:ind w:left="1134" w:firstLine="567"/>
      </w:pPr>
      <w:r>
        <w:rPr>
          <w:rFonts w:eastAsia="SimSun"/>
          <w:b/>
          <w:bCs/>
          <w:lang w:eastAsia="zh-CN"/>
        </w:rPr>
        <w:t>T</w:t>
      </w:r>
      <w:r w:rsidR="00780193">
        <w:rPr>
          <w:rFonts w:eastAsia="SimSun"/>
          <w:b/>
          <w:bCs/>
          <w:lang w:eastAsia="zh-CN"/>
        </w:rPr>
        <w:t>o t</w:t>
      </w:r>
      <w:r>
        <w:rPr>
          <w:rFonts w:eastAsia="SimSun"/>
          <w:b/>
          <w:bCs/>
          <w:lang w:eastAsia="zh-CN"/>
        </w:rPr>
        <w:t xml:space="preserve">ake measures to promote </w:t>
      </w:r>
      <w:r w:rsidR="00865015">
        <w:rPr>
          <w:rFonts w:eastAsia="SimSun"/>
          <w:b/>
          <w:bCs/>
          <w:lang w:eastAsia="zh-CN"/>
        </w:rPr>
        <w:t>research and development</w:t>
      </w:r>
      <w:r w:rsidR="00571217">
        <w:rPr>
          <w:rFonts w:eastAsia="SimSun"/>
          <w:b/>
          <w:bCs/>
          <w:lang w:eastAsia="zh-CN"/>
        </w:rPr>
        <w:t xml:space="preserve"> in advancing access to medicines, vaccines and health products against health challenges with a </w:t>
      </w:r>
      <w:r w:rsidR="00227094">
        <w:rPr>
          <w:rFonts w:eastAsia="SimSun"/>
          <w:b/>
          <w:bCs/>
          <w:lang w:eastAsia="zh-CN"/>
        </w:rPr>
        <w:t>limited market</w:t>
      </w:r>
      <w:r w:rsidR="00571217">
        <w:rPr>
          <w:rFonts w:eastAsia="SimSun"/>
          <w:b/>
          <w:bCs/>
          <w:lang w:eastAsia="zh-CN"/>
        </w:rPr>
        <w:t xml:space="preserve">, such as neglected tropical </w:t>
      </w:r>
      <w:r w:rsidR="00865015">
        <w:rPr>
          <w:rFonts w:eastAsia="SimSun"/>
          <w:b/>
          <w:bCs/>
          <w:lang w:eastAsia="zh-CN"/>
        </w:rPr>
        <w:t>diseases and other global public health challenges;</w:t>
      </w:r>
    </w:p>
    <w:p w14:paraId="09FFAE88" w14:textId="3F688C29" w:rsidR="0054433D" w:rsidRPr="0009515E" w:rsidRDefault="005A781D" w:rsidP="009E050C">
      <w:pPr>
        <w:pStyle w:val="SingleTxtG"/>
        <w:numPr>
          <w:ilvl w:val="0"/>
          <w:numId w:val="6"/>
        </w:numPr>
        <w:tabs>
          <w:tab w:val="clear" w:pos="1701"/>
          <w:tab w:val="clear" w:pos="2268"/>
        </w:tabs>
        <w:ind w:left="1134" w:firstLine="567"/>
      </w:pPr>
      <w:r>
        <w:rPr>
          <w:rFonts w:eastAsia="SimSun"/>
          <w:b/>
          <w:bCs/>
          <w:lang w:eastAsia="zh-CN"/>
        </w:rPr>
        <w:t xml:space="preserve">To take </w:t>
      </w:r>
      <w:r w:rsidR="0054433D">
        <w:rPr>
          <w:rFonts w:eastAsia="SimSun"/>
          <w:b/>
          <w:bCs/>
          <w:lang w:eastAsia="zh-CN"/>
        </w:rPr>
        <w:t xml:space="preserve">measures to encourage the mutual learning and the </w:t>
      </w:r>
      <w:r w:rsidR="00027B93" w:rsidRPr="00180979">
        <w:rPr>
          <w:rFonts w:eastAsia="SimSun"/>
          <w:b/>
          <w:bCs/>
          <w:lang w:eastAsia="zh-CN"/>
        </w:rPr>
        <w:t>transfer of technology</w:t>
      </w:r>
      <w:r w:rsidR="00CD40A9">
        <w:rPr>
          <w:rFonts w:eastAsia="SimSun"/>
          <w:b/>
          <w:bCs/>
          <w:lang w:eastAsia="zh-CN"/>
        </w:rPr>
        <w:t xml:space="preserve"> </w:t>
      </w:r>
      <w:r w:rsidR="0054433D">
        <w:rPr>
          <w:rFonts w:eastAsia="SimSun"/>
          <w:b/>
          <w:bCs/>
          <w:lang w:eastAsia="zh-CN"/>
        </w:rPr>
        <w:t xml:space="preserve">to ensure </w:t>
      </w:r>
      <w:r>
        <w:rPr>
          <w:rFonts w:eastAsia="SimSun"/>
          <w:b/>
          <w:bCs/>
          <w:lang w:eastAsia="zh-CN"/>
        </w:rPr>
        <w:t xml:space="preserve">the </w:t>
      </w:r>
      <w:r w:rsidR="0054433D">
        <w:rPr>
          <w:rFonts w:eastAsia="SimSun"/>
          <w:b/>
          <w:bCs/>
          <w:lang w:eastAsia="zh-CN"/>
        </w:rPr>
        <w:t>widest possible access to medicines, vac</w:t>
      </w:r>
      <w:r w:rsidR="00227094">
        <w:rPr>
          <w:rFonts w:eastAsia="SimSun"/>
          <w:b/>
          <w:bCs/>
          <w:lang w:eastAsia="zh-CN"/>
        </w:rPr>
        <w:t>c</w:t>
      </w:r>
      <w:r w:rsidR="0054433D">
        <w:rPr>
          <w:rFonts w:eastAsia="SimSun"/>
          <w:b/>
          <w:bCs/>
          <w:lang w:eastAsia="zh-CN"/>
        </w:rPr>
        <w:t xml:space="preserve">ines and </w:t>
      </w:r>
      <w:r w:rsidR="00B83EFD">
        <w:rPr>
          <w:rFonts w:eastAsia="SimSun"/>
          <w:b/>
          <w:bCs/>
          <w:lang w:eastAsia="zh-CN"/>
        </w:rPr>
        <w:t xml:space="preserve">other health </w:t>
      </w:r>
      <w:r w:rsidR="0054433D">
        <w:rPr>
          <w:rFonts w:eastAsia="SimSun"/>
          <w:b/>
          <w:bCs/>
          <w:lang w:eastAsia="zh-CN"/>
        </w:rPr>
        <w:t>products</w:t>
      </w:r>
      <w:r w:rsidR="00455A78">
        <w:rPr>
          <w:rFonts w:eastAsia="SimSun"/>
          <w:b/>
          <w:bCs/>
          <w:lang w:eastAsia="zh-CN"/>
        </w:rPr>
        <w:t xml:space="preserve">, in full respect </w:t>
      </w:r>
      <w:r w:rsidR="007C2269">
        <w:rPr>
          <w:rFonts w:eastAsia="SimSun"/>
          <w:b/>
          <w:bCs/>
          <w:lang w:eastAsia="zh-CN"/>
        </w:rPr>
        <w:t>of</w:t>
      </w:r>
      <w:r w:rsidR="00455A78">
        <w:rPr>
          <w:rFonts w:eastAsia="SimSun"/>
          <w:b/>
          <w:bCs/>
          <w:lang w:eastAsia="zh-CN"/>
        </w:rPr>
        <w:t xml:space="preserve"> international law, including international human rights </w:t>
      </w:r>
      <w:proofErr w:type="gramStart"/>
      <w:r w:rsidR="00455A78">
        <w:rPr>
          <w:rFonts w:eastAsia="SimSun"/>
          <w:b/>
          <w:bCs/>
          <w:lang w:eastAsia="zh-CN"/>
        </w:rPr>
        <w:t>law</w:t>
      </w:r>
      <w:r w:rsidR="00865015">
        <w:rPr>
          <w:rFonts w:eastAsia="SimSun"/>
          <w:b/>
          <w:bCs/>
          <w:lang w:eastAsia="zh-CN"/>
        </w:rPr>
        <w:t>;</w:t>
      </w:r>
      <w:proofErr w:type="gramEnd"/>
      <w:r w:rsidR="00455A78" w:rsidRPr="00455A78">
        <w:t xml:space="preserve"> </w:t>
      </w:r>
    </w:p>
    <w:p w14:paraId="4F842DA2" w14:textId="64FC0B4D" w:rsidR="0087624B" w:rsidRDefault="00B83EFD" w:rsidP="009E050C">
      <w:pPr>
        <w:pStyle w:val="SingleTxtG"/>
        <w:numPr>
          <w:ilvl w:val="0"/>
          <w:numId w:val="6"/>
        </w:numPr>
        <w:tabs>
          <w:tab w:val="clear" w:pos="1701"/>
          <w:tab w:val="clear" w:pos="2268"/>
        </w:tabs>
        <w:ind w:left="1134" w:firstLine="567"/>
      </w:pPr>
      <w:r>
        <w:rPr>
          <w:rFonts w:eastAsia="SimSun"/>
          <w:b/>
          <w:bCs/>
          <w:lang w:eastAsia="zh-CN"/>
        </w:rPr>
        <w:t>To e</w:t>
      </w:r>
      <w:r w:rsidR="00455A78">
        <w:rPr>
          <w:rFonts w:eastAsia="SimSun"/>
          <w:b/>
          <w:bCs/>
          <w:lang w:eastAsia="zh-CN"/>
        </w:rPr>
        <w:t xml:space="preserve">nsure that </w:t>
      </w:r>
      <w:r w:rsidR="00027B93" w:rsidRPr="0087624B">
        <w:rPr>
          <w:rFonts w:eastAsia="SimSun"/>
          <w:b/>
          <w:bCs/>
          <w:lang w:eastAsia="zh-CN"/>
        </w:rPr>
        <w:t>intellectual property</w:t>
      </w:r>
      <w:r w:rsidR="002A4A6D">
        <w:rPr>
          <w:rFonts w:eastAsia="SimSun"/>
          <w:b/>
          <w:bCs/>
          <w:lang w:eastAsia="zh-CN"/>
        </w:rPr>
        <w:t xml:space="preserve"> rights </w:t>
      </w:r>
      <w:r w:rsidR="00455A78">
        <w:rPr>
          <w:rFonts w:eastAsia="SimSun"/>
          <w:b/>
          <w:bCs/>
          <w:lang w:eastAsia="zh-CN"/>
        </w:rPr>
        <w:t xml:space="preserve">are not invoked and applied in a manner that is inconsistent with the right to health, including </w:t>
      </w:r>
      <w:r w:rsidR="00027B93" w:rsidRPr="0087624B">
        <w:rPr>
          <w:rFonts w:eastAsia="SimSun"/>
          <w:b/>
          <w:bCs/>
          <w:lang w:eastAsia="zh-CN"/>
        </w:rPr>
        <w:t xml:space="preserve">access to medicines, vaccines and </w:t>
      </w:r>
      <w:r>
        <w:rPr>
          <w:rFonts w:eastAsia="SimSun"/>
          <w:b/>
          <w:bCs/>
          <w:lang w:eastAsia="zh-CN"/>
        </w:rPr>
        <w:t xml:space="preserve">other </w:t>
      </w:r>
      <w:r w:rsidR="00027B93" w:rsidRPr="0087624B">
        <w:rPr>
          <w:rFonts w:eastAsia="SimSun"/>
          <w:b/>
          <w:bCs/>
          <w:lang w:eastAsia="zh-CN"/>
        </w:rPr>
        <w:t>health products</w:t>
      </w:r>
      <w:r>
        <w:rPr>
          <w:rFonts w:eastAsia="SimSun"/>
          <w:b/>
          <w:bCs/>
          <w:lang w:eastAsia="zh-CN"/>
        </w:rPr>
        <w:t>,</w:t>
      </w:r>
      <w:r w:rsidR="00027B93" w:rsidRPr="0087624B">
        <w:rPr>
          <w:rFonts w:eastAsia="SimSun"/>
          <w:b/>
          <w:bCs/>
          <w:lang w:eastAsia="zh-CN"/>
        </w:rPr>
        <w:t xml:space="preserve"> </w:t>
      </w:r>
      <w:r w:rsidR="00455A78">
        <w:rPr>
          <w:rFonts w:eastAsia="SimSun"/>
          <w:b/>
          <w:bCs/>
          <w:lang w:eastAsia="zh-CN"/>
        </w:rPr>
        <w:t>or the right of States to exercise the flexibilities of the</w:t>
      </w:r>
      <w:r w:rsidR="00027B93" w:rsidRPr="0087624B">
        <w:rPr>
          <w:rFonts w:eastAsia="SimSun"/>
          <w:b/>
          <w:bCs/>
          <w:lang w:eastAsia="zh-CN"/>
        </w:rPr>
        <w:t xml:space="preserve"> TRIPS </w:t>
      </w:r>
      <w:proofErr w:type="gramStart"/>
      <w:r>
        <w:rPr>
          <w:rFonts w:eastAsia="SimSun"/>
          <w:b/>
          <w:bCs/>
          <w:lang w:eastAsia="zh-CN"/>
        </w:rPr>
        <w:t>a</w:t>
      </w:r>
      <w:r w:rsidR="00027B93" w:rsidRPr="0087624B">
        <w:rPr>
          <w:rFonts w:eastAsia="SimSun"/>
          <w:b/>
          <w:bCs/>
          <w:lang w:eastAsia="zh-CN"/>
        </w:rPr>
        <w:t>greement</w:t>
      </w:r>
      <w:r w:rsidR="00865015">
        <w:rPr>
          <w:rFonts w:eastAsia="SimSun"/>
          <w:b/>
          <w:bCs/>
          <w:lang w:eastAsia="zh-CN"/>
        </w:rPr>
        <w:t>;</w:t>
      </w:r>
      <w:proofErr w:type="gramEnd"/>
      <w:r w:rsidR="00455A78" w:rsidRPr="00455A78">
        <w:t xml:space="preserve"> </w:t>
      </w:r>
    </w:p>
    <w:p w14:paraId="70B8B880" w14:textId="06B3E019" w:rsidR="00865015" w:rsidRPr="0087624B" w:rsidRDefault="00B83EFD" w:rsidP="009E050C">
      <w:pPr>
        <w:pStyle w:val="SingleTxtG"/>
        <w:numPr>
          <w:ilvl w:val="0"/>
          <w:numId w:val="6"/>
        </w:numPr>
        <w:tabs>
          <w:tab w:val="clear" w:pos="1701"/>
          <w:tab w:val="clear" w:pos="2268"/>
        </w:tabs>
        <w:ind w:left="1134" w:firstLine="567"/>
      </w:pPr>
      <w:r>
        <w:rPr>
          <w:rFonts w:eastAsia="SimSun"/>
          <w:b/>
          <w:bCs/>
          <w:lang w:eastAsia="zh-CN"/>
        </w:rPr>
        <w:t>To m</w:t>
      </w:r>
      <w:r w:rsidR="00865015">
        <w:rPr>
          <w:rFonts w:eastAsia="SimSun"/>
          <w:b/>
          <w:bCs/>
          <w:lang w:eastAsia="zh-CN"/>
        </w:rPr>
        <w:t>ove towards health</w:t>
      </w:r>
      <w:r w:rsidR="00BA1E4E">
        <w:rPr>
          <w:rFonts w:eastAsia="SimSun"/>
          <w:b/>
          <w:bCs/>
          <w:lang w:eastAsia="zh-CN"/>
        </w:rPr>
        <w:t>-</w:t>
      </w:r>
      <w:r w:rsidR="00865015">
        <w:rPr>
          <w:rFonts w:eastAsia="SimSun"/>
          <w:b/>
          <w:bCs/>
          <w:lang w:eastAsia="zh-CN"/>
        </w:rPr>
        <w:t xml:space="preserve">care systems that ensure universal access to medicines, </w:t>
      </w:r>
      <w:proofErr w:type="gramStart"/>
      <w:r w:rsidR="00865015">
        <w:rPr>
          <w:rFonts w:eastAsia="SimSun"/>
          <w:b/>
          <w:bCs/>
          <w:lang w:eastAsia="zh-CN"/>
        </w:rPr>
        <w:t>vaccines</w:t>
      </w:r>
      <w:proofErr w:type="gramEnd"/>
      <w:r>
        <w:rPr>
          <w:rFonts w:eastAsia="SimSun"/>
          <w:b/>
          <w:bCs/>
          <w:lang w:eastAsia="zh-CN"/>
        </w:rPr>
        <w:t xml:space="preserve"> </w:t>
      </w:r>
      <w:r w:rsidR="00865015">
        <w:rPr>
          <w:rFonts w:eastAsia="SimSun"/>
          <w:b/>
          <w:bCs/>
          <w:lang w:eastAsia="zh-CN"/>
        </w:rPr>
        <w:t xml:space="preserve">and </w:t>
      </w:r>
      <w:r>
        <w:rPr>
          <w:rFonts w:eastAsia="SimSun"/>
          <w:b/>
          <w:bCs/>
          <w:lang w:eastAsia="zh-CN"/>
        </w:rPr>
        <w:t xml:space="preserve">other </w:t>
      </w:r>
      <w:r w:rsidR="00865015">
        <w:rPr>
          <w:rFonts w:eastAsia="SimSun"/>
          <w:b/>
          <w:bCs/>
          <w:lang w:eastAsia="zh-CN"/>
        </w:rPr>
        <w:t>health products</w:t>
      </w:r>
      <w:r w:rsidR="00813F5A">
        <w:t>.</w:t>
      </w:r>
    </w:p>
    <w:p w14:paraId="1E5F1C47" w14:textId="4A2503B7" w:rsidR="007268F9" w:rsidRPr="007E00C9" w:rsidRDefault="00035664" w:rsidP="00035664">
      <w:pPr>
        <w:jc w:val="center"/>
        <w:rPr>
          <w:u w:val="single"/>
        </w:rPr>
      </w:pPr>
      <w:r w:rsidRPr="007E00C9">
        <w:rPr>
          <w:u w:val="single"/>
        </w:rPr>
        <w:tab/>
      </w:r>
      <w:r w:rsidRPr="007E00C9">
        <w:rPr>
          <w:u w:val="single"/>
        </w:rPr>
        <w:tab/>
      </w:r>
      <w:r w:rsidRPr="007E00C9">
        <w:rPr>
          <w:u w:val="single"/>
        </w:rPr>
        <w:tab/>
      </w:r>
    </w:p>
    <w:sectPr w:rsidR="007268F9" w:rsidRPr="007E00C9" w:rsidSect="00DC13F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8083" w14:textId="77777777" w:rsidR="00762B91" w:rsidRPr="00C47B2E" w:rsidRDefault="00762B91" w:rsidP="00C47B2E">
      <w:pPr>
        <w:pStyle w:val="Footer"/>
      </w:pPr>
    </w:p>
  </w:endnote>
  <w:endnote w:type="continuationSeparator" w:id="0">
    <w:p w14:paraId="45775738" w14:textId="77777777" w:rsidR="00762B91" w:rsidRPr="00C47B2E" w:rsidRDefault="00762B91" w:rsidP="00C47B2E">
      <w:pPr>
        <w:pStyle w:val="Footer"/>
      </w:pPr>
    </w:p>
  </w:endnote>
  <w:endnote w:type="continuationNotice" w:id="1">
    <w:p w14:paraId="295DA132" w14:textId="77777777" w:rsidR="00762B91" w:rsidRPr="00C47B2E" w:rsidRDefault="00762B9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8DFD" w14:textId="06350410" w:rsidR="00F26EF2" w:rsidRDefault="00F26EF2" w:rsidP="00F26EF2">
    <w:pPr>
      <w:pStyle w:val="Footer"/>
      <w:tabs>
        <w:tab w:val="right" w:pos="9638"/>
      </w:tabs>
    </w:pPr>
    <w:r w:rsidRPr="00F26EF2">
      <w:rPr>
        <w:b/>
        <w:bCs/>
        <w:sz w:val="18"/>
      </w:rPr>
      <w:fldChar w:fldCharType="begin"/>
    </w:r>
    <w:r w:rsidRPr="00F26EF2">
      <w:rPr>
        <w:b/>
        <w:bCs/>
        <w:sz w:val="18"/>
      </w:rPr>
      <w:instrText xml:space="preserve"> PAGE  \* MERGEFORMAT </w:instrText>
    </w:r>
    <w:r w:rsidRPr="00F26EF2">
      <w:rPr>
        <w:b/>
        <w:bCs/>
        <w:sz w:val="18"/>
      </w:rPr>
      <w:fldChar w:fldCharType="separate"/>
    </w:r>
    <w:r w:rsidR="005D3DBA">
      <w:rPr>
        <w:b/>
        <w:bCs/>
        <w:noProof/>
        <w:sz w:val="18"/>
      </w:rPr>
      <w:t>14</w:t>
    </w:r>
    <w:r w:rsidRPr="00F26EF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34B" w14:textId="2AECD7EE" w:rsidR="00F26EF2" w:rsidRDefault="00F26EF2" w:rsidP="00F26EF2">
    <w:pPr>
      <w:pStyle w:val="Footer"/>
      <w:tabs>
        <w:tab w:val="right" w:pos="9638"/>
      </w:tabs>
    </w:pPr>
    <w:r>
      <w:tab/>
    </w:r>
    <w:r w:rsidRPr="00F26EF2">
      <w:rPr>
        <w:b/>
        <w:bCs/>
        <w:sz w:val="18"/>
      </w:rPr>
      <w:fldChar w:fldCharType="begin"/>
    </w:r>
    <w:r w:rsidRPr="00F26EF2">
      <w:rPr>
        <w:b/>
        <w:bCs/>
        <w:sz w:val="18"/>
      </w:rPr>
      <w:instrText xml:space="preserve"> PAGE  \* MERGEFORMAT </w:instrText>
    </w:r>
    <w:r w:rsidRPr="00F26EF2">
      <w:rPr>
        <w:b/>
        <w:bCs/>
        <w:sz w:val="18"/>
      </w:rPr>
      <w:fldChar w:fldCharType="separate"/>
    </w:r>
    <w:r w:rsidR="005D3DBA">
      <w:rPr>
        <w:b/>
        <w:bCs/>
        <w:noProof/>
        <w:sz w:val="18"/>
      </w:rPr>
      <w:t>15</w:t>
    </w:r>
    <w:r w:rsidRPr="00F26EF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1EE8" w14:textId="77777777" w:rsidR="009E050C" w:rsidRDefault="009E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6E52" w14:textId="77777777" w:rsidR="00762B91" w:rsidRPr="00C47B2E" w:rsidRDefault="00762B91" w:rsidP="00C47B2E">
      <w:pPr>
        <w:tabs>
          <w:tab w:val="right" w:pos="2155"/>
        </w:tabs>
        <w:spacing w:after="80" w:line="240" w:lineRule="auto"/>
        <w:ind w:left="680"/>
      </w:pPr>
      <w:r>
        <w:rPr>
          <w:u w:val="single"/>
        </w:rPr>
        <w:tab/>
      </w:r>
    </w:p>
  </w:footnote>
  <w:footnote w:type="continuationSeparator" w:id="0">
    <w:p w14:paraId="25A59C51" w14:textId="77777777" w:rsidR="00762B91" w:rsidRPr="00C47B2E" w:rsidRDefault="00762B91" w:rsidP="005E716E">
      <w:pPr>
        <w:tabs>
          <w:tab w:val="right" w:pos="2155"/>
        </w:tabs>
        <w:spacing w:after="80" w:line="240" w:lineRule="auto"/>
        <w:ind w:left="680"/>
      </w:pPr>
      <w:r>
        <w:rPr>
          <w:u w:val="single"/>
        </w:rPr>
        <w:tab/>
      </w:r>
    </w:p>
  </w:footnote>
  <w:footnote w:type="continuationNotice" w:id="1">
    <w:p w14:paraId="5AF8C068" w14:textId="77777777" w:rsidR="00762B91" w:rsidRPr="00C47B2E" w:rsidRDefault="00762B91" w:rsidP="00C47B2E">
      <w:pPr>
        <w:pStyle w:val="Footer"/>
      </w:pPr>
    </w:p>
  </w:footnote>
  <w:footnote w:id="2">
    <w:p w14:paraId="609CEAD2" w14:textId="3A2CBC3F" w:rsidR="0065722D" w:rsidRPr="009E050C" w:rsidRDefault="0065722D" w:rsidP="009E050C">
      <w:pPr>
        <w:pStyle w:val="FootnoteText"/>
        <w:jc w:val="both"/>
        <w:rPr>
          <w:szCs w:val="18"/>
        </w:rPr>
      </w:pPr>
      <w:r w:rsidRPr="00575ED2">
        <w:rPr>
          <w:rStyle w:val="FootnoteReference"/>
          <w:szCs w:val="18"/>
        </w:rPr>
        <w:tab/>
      </w:r>
      <w:r w:rsidRPr="009E050C">
        <w:rPr>
          <w:rStyle w:val="FootnoteReference"/>
          <w:szCs w:val="18"/>
          <w:vertAlign w:val="baseline"/>
        </w:rPr>
        <w:t>*</w:t>
      </w:r>
      <w:r w:rsidRPr="009E050C">
        <w:rPr>
          <w:rStyle w:val="FootnoteReference"/>
          <w:szCs w:val="18"/>
          <w:vertAlign w:val="baseline"/>
        </w:rPr>
        <w:tab/>
      </w:r>
      <w:r w:rsidRPr="009E050C">
        <w:rPr>
          <w:color w:val="000000"/>
          <w:szCs w:val="18"/>
        </w:rPr>
        <w:t>The present report was submitted to the conference services for processing after the deadline for technical reasons beyond the control of the submitting office.</w:t>
      </w:r>
    </w:p>
  </w:footnote>
  <w:footnote w:id="3">
    <w:p w14:paraId="1703EAEE" w14:textId="546B6556" w:rsidR="00215DF5" w:rsidRPr="00575ED2" w:rsidRDefault="0065722D" w:rsidP="009E050C">
      <w:pPr>
        <w:pStyle w:val="FootnoteText"/>
        <w:jc w:val="both"/>
        <w:rPr>
          <w:szCs w:val="18"/>
        </w:rPr>
      </w:pPr>
      <w:r w:rsidRPr="00575ED2">
        <w:rPr>
          <w:szCs w:val="18"/>
        </w:rPr>
        <w:tab/>
      </w:r>
      <w:r w:rsidR="00215DF5" w:rsidRPr="00575ED2">
        <w:rPr>
          <w:rStyle w:val="FootnoteReference"/>
          <w:szCs w:val="18"/>
        </w:rPr>
        <w:footnoteRef/>
      </w:r>
      <w:r w:rsidRPr="00575ED2">
        <w:rPr>
          <w:szCs w:val="18"/>
        </w:rPr>
        <w:tab/>
      </w:r>
      <w:r w:rsidR="000D44C8" w:rsidRPr="00575ED2">
        <w:rPr>
          <w:szCs w:val="18"/>
        </w:rPr>
        <w:t>The World Health Organization</w:t>
      </w:r>
      <w:r w:rsidR="00215DF5" w:rsidRPr="00575ED2">
        <w:rPr>
          <w:szCs w:val="18"/>
        </w:rPr>
        <w:t xml:space="preserve"> </w:t>
      </w:r>
      <w:r w:rsidR="000D44C8" w:rsidRPr="00575ED2">
        <w:rPr>
          <w:szCs w:val="18"/>
        </w:rPr>
        <w:t>(</w:t>
      </w:r>
      <w:r w:rsidR="00215DF5" w:rsidRPr="00575ED2">
        <w:rPr>
          <w:szCs w:val="18"/>
        </w:rPr>
        <w:t>WHO</w:t>
      </w:r>
      <w:r w:rsidR="000D44C8" w:rsidRPr="00575ED2">
        <w:rPr>
          <w:szCs w:val="18"/>
        </w:rPr>
        <w:t>)</w:t>
      </w:r>
      <w:r w:rsidR="0069745C" w:rsidRPr="00575ED2">
        <w:rPr>
          <w:szCs w:val="18"/>
        </w:rPr>
        <w:t xml:space="preserve"> </w:t>
      </w:r>
      <w:r w:rsidR="00215DF5" w:rsidRPr="00575ED2">
        <w:rPr>
          <w:szCs w:val="18"/>
        </w:rPr>
        <w:t>has described “other health products” as including medical devices, diagnostics, protective equipment and assistive devices. WHO, Road Map for Access to Medicines, Vaccines and Other Health Products 2019–2023 (</w:t>
      </w:r>
      <w:r w:rsidR="00EB7A03" w:rsidRPr="00575ED2">
        <w:rPr>
          <w:szCs w:val="18"/>
        </w:rPr>
        <w:t xml:space="preserve">Geneva, </w:t>
      </w:r>
      <w:r w:rsidR="00215DF5" w:rsidRPr="00575ED2">
        <w:rPr>
          <w:szCs w:val="18"/>
        </w:rPr>
        <w:t>2019), p. 2.</w:t>
      </w:r>
    </w:p>
  </w:footnote>
  <w:footnote w:id="4">
    <w:p w14:paraId="0C5862F0" w14:textId="3DA8E36B" w:rsidR="00215DF5" w:rsidRPr="009E050C" w:rsidRDefault="0065722D" w:rsidP="009E050C">
      <w:pPr>
        <w:pStyle w:val="FootnoteText"/>
        <w:jc w:val="both"/>
        <w:rPr>
          <w:rFonts w:eastAsia="Calibri"/>
          <w:szCs w:val="18"/>
          <w:lang w:val="es-ES"/>
        </w:rPr>
      </w:pPr>
      <w:r w:rsidRPr="009E050C">
        <w:rPr>
          <w:rStyle w:val="FootnoteReference"/>
          <w:szCs w:val="18"/>
          <w:lang w:val="es-ES"/>
        </w:rPr>
        <w:tab/>
      </w:r>
      <w:r w:rsidR="00215DF5" w:rsidRPr="00575ED2">
        <w:rPr>
          <w:rStyle w:val="FootnoteReference"/>
          <w:szCs w:val="18"/>
        </w:rPr>
        <w:footnoteRef/>
      </w:r>
      <w:r w:rsidRPr="009E050C">
        <w:rPr>
          <w:rStyle w:val="FootnoteReference"/>
          <w:szCs w:val="18"/>
          <w:lang w:val="es-ES"/>
        </w:rPr>
        <w:tab/>
      </w:r>
      <w:r w:rsidR="00215DF5" w:rsidRPr="009E050C">
        <w:rPr>
          <w:rFonts w:eastAsia="Times New Roman"/>
          <w:szCs w:val="18"/>
          <w:lang w:val="es-ES"/>
        </w:rPr>
        <w:t>A</w:t>
      </w:r>
      <w:r w:rsidR="00215DF5" w:rsidRPr="009E050C">
        <w:rPr>
          <w:szCs w:val="18"/>
          <w:lang w:val="es-ES"/>
        </w:rPr>
        <w:t>/HRC/53/50, para. 3.</w:t>
      </w:r>
    </w:p>
  </w:footnote>
  <w:footnote w:id="5">
    <w:p w14:paraId="63D2AE72" w14:textId="54773535" w:rsidR="00960A9C" w:rsidRPr="009E050C" w:rsidRDefault="00960A9C">
      <w:pPr>
        <w:pStyle w:val="FootnoteText"/>
        <w:rPr>
          <w:szCs w:val="18"/>
          <w:lang w:val="es-ES"/>
        </w:rPr>
      </w:pPr>
      <w:r w:rsidRPr="009E050C">
        <w:rPr>
          <w:szCs w:val="18"/>
          <w:lang w:val="es-ES"/>
        </w:rPr>
        <w:tab/>
      </w:r>
      <w:r w:rsidRPr="00575ED2">
        <w:rPr>
          <w:rStyle w:val="FootnoteReference"/>
          <w:szCs w:val="18"/>
        </w:rPr>
        <w:footnoteRef/>
      </w:r>
      <w:r w:rsidRPr="009E050C">
        <w:rPr>
          <w:szCs w:val="18"/>
          <w:lang w:val="es-ES"/>
        </w:rPr>
        <w:t xml:space="preserve"> </w:t>
      </w:r>
      <w:r w:rsidR="003E2439" w:rsidRPr="009E050C">
        <w:rPr>
          <w:szCs w:val="18"/>
          <w:lang w:val="es-ES"/>
        </w:rPr>
        <w:tab/>
      </w:r>
      <w:r w:rsidRPr="009E050C">
        <w:rPr>
          <w:szCs w:val="18"/>
          <w:lang w:val="es-ES"/>
        </w:rPr>
        <w:t>A/HRC/53/50.</w:t>
      </w:r>
    </w:p>
  </w:footnote>
  <w:footnote w:id="6">
    <w:p w14:paraId="681A9D21" w14:textId="3269838D" w:rsidR="000A3CD7" w:rsidRPr="00575ED2" w:rsidRDefault="000A3CD7" w:rsidP="009E050C">
      <w:pPr>
        <w:pStyle w:val="FootnoteText"/>
        <w:jc w:val="both"/>
        <w:rPr>
          <w:szCs w:val="18"/>
        </w:rPr>
      </w:pPr>
      <w:r w:rsidRPr="009E050C">
        <w:rPr>
          <w:szCs w:val="18"/>
          <w:lang w:val="es-ES"/>
        </w:rPr>
        <w:tab/>
      </w:r>
      <w:r w:rsidRPr="00575ED2">
        <w:rPr>
          <w:rStyle w:val="FootnoteReference"/>
          <w:szCs w:val="18"/>
        </w:rPr>
        <w:footnoteRef/>
      </w:r>
      <w:r w:rsidR="0065722D" w:rsidRPr="00575ED2">
        <w:rPr>
          <w:szCs w:val="18"/>
        </w:rPr>
        <w:tab/>
      </w:r>
      <w:r w:rsidR="009D65FC" w:rsidRPr="00575ED2">
        <w:rPr>
          <w:szCs w:val="18"/>
        </w:rPr>
        <w:t>See</w:t>
      </w:r>
      <w:r w:rsidR="002E6C1F" w:rsidRPr="00575ED2">
        <w:rPr>
          <w:szCs w:val="18"/>
        </w:rPr>
        <w:t xml:space="preserve"> </w:t>
      </w:r>
      <w:r w:rsidR="00DE7FC5" w:rsidRPr="00575ED2">
        <w:rPr>
          <w:szCs w:val="18"/>
        </w:rPr>
        <w:t>www.ohchr.org/en/calls-for-input/2023/call-contributions-ohchr-analytical-study-key-challenges-ensuring-access</w:t>
      </w:r>
      <w:r w:rsidR="001E33AB" w:rsidRPr="00575ED2">
        <w:rPr>
          <w:szCs w:val="18"/>
        </w:rPr>
        <w:t>.</w:t>
      </w:r>
      <w:r w:rsidR="00DE7FC5" w:rsidRPr="00575ED2" w:rsidDel="00DE7FC5">
        <w:rPr>
          <w:szCs w:val="18"/>
        </w:rPr>
        <w:t xml:space="preserve"> </w:t>
      </w:r>
    </w:p>
  </w:footnote>
  <w:footnote w:id="7">
    <w:p w14:paraId="2752D144" w14:textId="7B5AB556" w:rsidR="00823C8D" w:rsidRPr="00575ED2" w:rsidRDefault="00823C8D" w:rsidP="009E050C">
      <w:pPr>
        <w:pStyle w:val="FootnoteText"/>
        <w:jc w:val="both"/>
        <w:rPr>
          <w:szCs w:val="18"/>
        </w:rPr>
      </w:pPr>
      <w:r w:rsidRPr="00575ED2">
        <w:rPr>
          <w:szCs w:val="18"/>
        </w:rPr>
        <w:tab/>
      </w:r>
      <w:r w:rsidRPr="00575ED2">
        <w:rPr>
          <w:rStyle w:val="FootnoteReference"/>
          <w:szCs w:val="18"/>
        </w:rPr>
        <w:footnoteRef/>
      </w:r>
      <w:r w:rsidR="0065722D" w:rsidRPr="00575ED2">
        <w:rPr>
          <w:szCs w:val="18"/>
        </w:rPr>
        <w:tab/>
      </w:r>
      <w:r w:rsidR="001E33AB" w:rsidRPr="00575ED2">
        <w:rPr>
          <w:szCs w:val="18"/>
        </w:rPr>
        <w:t>See</w:t>
      </w:r>
      <w:r w:rsidR="005806CB" w:rsidRPr="00575ED2">
        <w:rPr>
          <w:szCs w:val="18"/>
        </w:rPr>
        <w:t xml:space="preserve"> </w:t>
      </w:r>
      <w:r w:rsidR="00B037D4" w:rsidRPr="00575ED2">
        <w:rPr>
          <w:szCs w:val="18"/>
        </w:rPr>
        <w:t>www.ohchr.org/en/events/events/2024/expert-workshop-key-challenges-and-new-developments-ensuring-access-medicine</w:t>
      </w:r>
      <w:r w:rsidRPr="00575ED2">
        <w:rPr>
          <w:szCs w:val="18"/>
        </w:rPr>
        <w:t xml:space="preserve">. </w:t>
      </w:r>
    </w:p>
  </w:footnote>
  <w:footnote w:id="8">
    <w:p w14:paraId="41A10612" w14:textId="61EBAAF6" w:rsidR="00215DF5" w:rsidRPr="00575ED2" w:rsidRDefault="0065722D" w:rsidP="009E050C">
      <w:pPr>
        <w:pStyle w:val="FootnoteText"/>
        <w:jc w:val="both"/>
        <w:rPr>
          <w:szCs w:val="18"/>
        </w:rPr>
      </w:pPr>
      <w:r w:rsidRPr="00575ED2">
        <w:rPr>
          <w:szCs w:val="18"/>
        </w:rPr>
        <w:tab/>
      </w:r>
      <w:r w:rsidR="00215DF5" w:rsidRPr="00575ED2">
        <w:rPr>
          <w:rStyle w:val="FootnoteReference"/>
          <w:szCs w:val="18"/>
        </w:rPr>
        <w:footnoteRef/>
      </w:r>
      <w:r w:rsidRPr="00575ED2">
        <w:rPr>
          <w:szCs w:val="18"/>
        </w:rPr>
        <w:tab/>
      </w:r>
      <w:r w:rsidR="00215DF5" w:rsidRPr="00575ED2">
        <w:rPr>
          <w:szCs w:val="18"/>
        </w:rPr>
        <w:t>See E/C.12/2021/1.</w:t>
      </w:r>
    </w:p>
  </w:footnote>
  <w:footnote w:id="9">
    <w:p w14:paraId="5972C8B0" w14:textId="0D811D88" w:rsidR="00215DF5" w:rsidRPr="009E050C" w:rsidRDefault="00215DF5" w:rsidP="009E050C">
      <w:pPr>
        <w:pStyle w:val="FootnoteText"/>
        <w:jc w:val="both"/>
        <w:rPr>
          <w:szCs w:val="18"/>
        </w:rPr>
      </w:pPr>
      <w:r w:rsidRPr="00575ED2">
        <w:rPr>
          <w:szCs w:val="18"/>
        </w:rPr>
        <w:tab/>
      </w:r>
      <w:r w:rsidRPr="00575ED2">
        <w:rPr>
          <w:rStyle w:val="FootnoteReference"/>
          <w:szCs w:val="18"/>
        </w:rPr>
        <w:footnoteRef/>
      </w:r>
      <w:r w:rsidR="0065722D" w:rsidRPr="00575ED2">
        <w:rPr>
          <w:szCs w:val="18"/>
        </w:rPr>
        <w:tab/>
      </w:r>
      <w:r w:rsidR="000C0485" w:rsidRPr="009E050C">
        <w:rPr>
          <w:szCs w:val="18"/>
        </w:rPr>
        <w:t>See</w:t>
      </w:r>
      <w:r w:rsidR="006502BE" w:rsidRPr="00575ED2">
        <w:rPr>
          <w:szCs w:val="18"/>
        </w:rPr>
        <w:t xml:space="preserve"> Universal Declaration of Human Rights, art. </w:t>
      </w:r>
      <w:proofErr w:type="gramStart"/>
      <w:r w:rsidR="006502BE" w:rsidRPr="00575ED2">
        <w:rPr>
          <w:szCs w:val="18"/>
        </w:rPr>
        <w:t>25</w:t>
      </w:r>
      <w:r w:rsidR="00005E24" w:rsidRPr="00575ED2">
        <w:rPr>
          <w:szCs w:val="18"/>
        </w:rPr>
        <w:t>;</w:t>
      </w:r>
      <w:r w:rsidR="00695D46" w:rsidRPr="00575ED2">
        <w:rPr>
          <w:szCs w:val="18"/>
        </w:rPr>
        <w:t>;</w:t>
      </w:r>
      <w:proofErr w:type="gramEnd"/>
      <w:r w:rsidR="00311B7E" w:rsidRPr="00575ED2">
        <w:rPr>
          <w:szCs w:val="18"/>
        </w:rPr>
        <w:t xml:space="preserve"> </w:t>
      </w:r>
      <w:r w:rsidR="00695D46" w:rsidRPr="00575ED2">
        <w:rPr>
          <w:szCs w:val="18"/>
        </w:rPr>
        <w:t>International Covenant on Economic, Social and Cultural Rights, art. 12; Convention on the Rights of the Child, art. 24; Convention on the Elimination of All Forms of Discrimination against Women, art. 12; and Convention on the Rights of Persons with Disabilities, art. 25</w:t>
      </w:r>
      <w:r w:rsidR="00311B7E" w:rsidRPr="00575ED2">
        <w:rPr>
          <w:szCs w:val="18"/>
        </w:rPr>
        <w:t>.</w:t>
      </w:r>
      <w:r w:rsidRPr="009E050C">
        <w:rPr>
          <w:szCs w:val="18"/>
        </w:rPr>
        <w:t xml:space="preserve"> </w:t>
      </w:r>
    </w:p>
  </w:footnote>
  <w:footnote w:id="10">
    <w:p w14:paraId="7E6A8126" w14:textId="2D56921F" w:rsidR="00215DF5" w:rsidRPr="009E050C" w:rsidRDefault="00215DF5" w:rsidP="009E050C">
      <w:pPr>
        <w:pStyle w:val="FootnoteText"/>
        <w:jc w:val="both"/>
        <w:rPr>
          <w:szCs w:val="18"/>
        </w:rPr>
      </w:pPr>
      <w:r w:rsidRPr="009E050C">
        <w:rPr>
          <w:szCs w:val="18"/>
        </w:rPr>
        <w:tab/>
      </w:r>
      <w:r w:rsidRPr="00575ED2">
        <w:rPr>
          <w:rStyle w:val="FootnoteReference"/>
          <w:szCs w:val="18"/>
        </w:rPr>
        <w:footnoteRef/>
      </w:r>
      <w:r w:rsidR="0065722D" w:rsidRPr="009E050C">
        <w:rPr>
          <w:szCs w:val="18"/>
        </w:rPr>
        <w:tab/>
      </w:r>
      <w:r w:rsidRPr="009E050C">
        <w:rPr>
          <w:szCs w:val="18"/>
        </w:rPr>
        <w:t>A/HRC/53/50</w:t>
      </w:r>
      <w:r w:rsidR="002C41E2" w:rsidRPr="009E050C">
        <w:rPr>
          <w:szCs w:val="18"/>
        </w:rPr>
        <w:t xml:space="preserve">, </w:t>
      </w:r>
      <w:r w:rsidRPr="009E050C">
        <w:rPr>
          <w:szCs w:val="18"/>
        </w:rPr>
        <w:t>para. 3.</w:t>
      </w:r>
    </w:p>
  </w:footnote>
  <w:footnote w:id="11">
    <w:p w14:paraId="56E97E39" w14:textId="4A2D0D59" w:rsidR="00215DF5" w:rsidRPr="009E050C" w:rsidRDefault="00215DF5" w:rsidP="009E050C">
      <w:pPr>
        <w:pStyle w:val="FootnoteText"/>
        <w:jc w:val="both"/>
        <w:rPr>
          <w:szCs w:val="18"/>
        </w:rPr>
      </w:pPr>
      <w:r w:rsidRPr="009E050C">
        <w:rPr>
          <w:szCs w:val="18"/>
        </w:rPr>
        <w:tab/>
      </w:r>
      <w:r w:rsidRPr="00575ED2">
        <w:rPr>
          <w:rStyle w:val="FootnoteReference"/>
          <w:szCs w:val="18"/>
        </w:rPr>
        <w:footnoteRef/>
      </w:r>
      <w:r w:rsidR="00805845" w:rsidRPr="009E050C">
        <w:rPr>
          <w:szCs w:val="18"/>
        </w:rPr>
        <w:tab/>
      </w:r>
      <w:r w:rsidR="00BF2F41" w:rsidRPr="009E050C">
        <w:rPr>
          <w:szCs w:val="18"/>
        </w:rPr>
        <w:t>Committee on Economic, Social and Cultural Rights, general comment No. 14 (2000), para. 12 (b) (iii)</w:t>
      </w:r>
      <w:r w:rsidRPr="009E050C">
        <w:rPr>
          <w:szCs w:val="18"/>
        </w:rPr>
        <w:t>.</w:t>
      </w:r>
    </w:p>
  </w:footnote>
  <w:footnote w:id="12">
    <w:p w14:paraId="569C2E71" w14:textId="0DF7784C" w:rsidR="00215DF5" w:rsidRPr="009E050C" w:rsidRDefault="00215DF5" w:rsidP="009E050C">
      <w:pPr>
        <w:pStyle w:val="FootnoteText"/>
        <w:jc w:val="both"/>
        <w:rPr>
          <w:szCs w:val="18"/>
        </w:rPr>
      </w:pPr>
      <w:r w:rsidRPr="009E050C">
        <w:rPr>
          <w:szCs w:val="18"/>
        </w:rPr>
        <w:tab/>
      </w:r>
      <w:r w:rsidRPr="00575ED2">
        <w:rPr>
          <w:rStyle w:val="FootnoteReference"/>
          <w:szCs w:val="18"/>
        </w:rPr>
        <w:footnoteRef/>
      </w:r>
      <w:r w:rsidR="00805845" w:rsidRPr="009E050C">
        <w:rPr>
          <w:szCs w:val="18"/>
        </w:rPr>
        <w:tab/>
      </w:r>
      <w:r w:rsidR="001C12A6" w:rsidRPr="009E050C">
        <w:rPr>
          <w:szCs w:val="18"/>
        </w:rPr>
        <w:t>Ibid.</w:t>
      </w:r>
      <w:r w:rsidR="00C15AF3" w:rsidRPr="009E050C">
        <w:rPr>
          <w:szCs w:val="18"/>
        </w:rPr>
        <w:t>, para. 12 (c). See also</w:t>
      </w:r>
      <w:r w:rsidRPr="009E050C">
        <w:rPr>
          <w:szCs w:val="18"/>
        </w:rPr>
        <w:t xml:space="preserve"> </w:t>
      </w:r>
      <w:hyperlink r:id="rId1" w:history="1">
        <w:r w:rsidRPr="009E050C">
          <w:rPr>
            <w:rStyle w:val="Hyperlink"/>
            <w:szCs w:val="18"/>
          </w:rPr>
          <w:t>E/2023/74</w:t>
        </w:r>
      </w:hyperlink>
      <w:r w:rsidR="00E13341" w:rsidRPr="009E050C">
        <w:rPr>
          <w:szCs w:val="18"/>
        </w:rPr>
        <w:t xml:space="preserve">, </w:t>
      </w:r>
      <w:r w:rsidRPr="009E050C">
        <w:rPr>
          <w:szCs w:val="18"/>
        </w:rPr>
        <w:t>para. 28</w:t>
      </w:r>
      <w:r w:rsidR="002C41E2" w:rsidRPr="009E050C">
        <w:rPr>
          <w:szCs w:val="18"/>
        </w:rPr>
        <w:t>.</w:t>
      </w:r>
    </w:p>
  </w:footnote>
  <w:footnote w:id="13">
    <w:p w14:paraId="1DA1EA20" w14:textId="75D88B3F" w:rsidR="004A441C" w:rsidRPr="00575ED2" w:rsidRDefault="00805845" w:rsidP="009E050C">
      <w:pPr>
        <w:pStyle w:val="FootnoteText"/>
        <w:jc w:val="both"/>
        <w:rPr>
          <w:szCs w:val="18"/>
        </w:rPr>
      </w:pPr>
      <w:r w:rsidRPr="00575ED2">
        <w:rPr>
          <w:szCs w:val="18"/>
        </w:rPr>
        <w:tab/>
      </w:r>
      <w:r w:rsidR="004A441C" w:rsidRPr="00575ED2">
        <w:rPr>
          <w:rStyle w:val="FootnoteReference"/>
          <w:szCs w:val="18"/>
        </w:rPr>
        <w:footnoteRef/>
      </w:r>
      <w:r w:rsidRPr="00575ED2">
        <w:rPr>
          <w:szCs w:val="18"/>
        </w:rPr>
        <w:tab/>
      </w:r>
      <w:r w:rsidR="004A441C" w:rsidRPr="00575ED2">
        <w:rPr>
          <w:szCs w:val="18"/>
        </w:rPr>
        <w:t>Committee on Economic, Social and Cultural Rights</w:t>
      </w:r>
      <w:r w:rsidR="00C71B71" w:rsidRPr="009E050C">
        <w:rPr>
          <w:szCs w:val="18"/>
        </w:rPr>
        <w:t>, general comment No. 14 (2000)</w:t>
      </w:r>
      <w:r w:rsidR="004A441C" w:rsidRPr="00575ED2">
        <w:rPr>
          <w:szCs w:val="18"/>
        </w:rPr>
        <w:t xml:space="preserve">, para. 31. </w:t>
      </w:r>
    </w:p>
  </w:footnote>
  <w:footnote w:id="14">
    <w:p w14:paraId="2FFA312F" w14:textId="5E9C36F7" w:rsidR="0065628F" w:rsidRPr="00575ED2" w:rsidRDefault="001E3148" w:rsidP="009E050C">
      <w:pPr>
        <w:pStyle w:val="FootnoteText"/>
        <w:jc w:val="both"/>
        <w:rPr>
          <w:szCs w:val="18"/>
        </w:rPr>
      </w:pPr>
      <w:r w:rsidRPr="00575ED2">
        <w:rPr>
          <w:szCs w:val="18"/>
        </w:rPr>
        <w:t xml:space="preserve"> </w:t>
      </w:r>
      <w:r w:rsidR="00805845" w:rsidRPr="00575ED2">
        <w:rPr>
          <w:szCs w:val="18"/>
        </w:rPr>
        <w:tab/>
      </w:r>
      <w:r w:rsidR="0065628F" w:rsidRPr="00575ED2">
        <w:rPr>
          <w:rStyle w:val="FootnoteReference"/>
          <w:szCs w:val="18"/>
        </w:rPr>
        <w:footnoteRef/>
      </w:r>
      <w:r w:rsidR="00805845" w:rsidRPr="00575ED2">
        <w:rPr>
          <w:szCs w:val="18"/>
        </w:rPr>
        <w:tab/>
      </w:r>
      <w:r w:rsidR="0065628F" w:rsidRPr="00575ED2">
        <w:rPr>
          <w:szCs w:val="18"/>
        </w:rPr>
        <w:t>Ibid., paras. 43</w:t>
      </w:r>
      <w:r w:rsidR="00D36E3A" w:rsidRPr="00575ED2">
        <w:rPr>
          <w:szCs w:val="18"/>
        </w:rPr>
        <w:t xml:space="preserve"> and </w:t>
      </w:r>
      <w:r w:rsidR="0065628F" w:rsidRPr="00575ED2">
        <w:rPr>
          <w:szCs w:val="18"/>
        </w:rPr>
        <w:t>44.</w:t>
      </w:r>
    </w:p>
  </w:footnote>
  <w:footnote w:id="15">
    <w:p w14:paraId="54AFC543" w14:textId="7655C449" w:rsidR="003A564F" w:rsidRPr="00575ED2" w:rsidRDefault="005750A6" w:rsidP="009E050C">
      <w:pPr>
        <w:pStyle w:val="FootnoteText"/>
        <w:jc w:val="both"/>
        <w:rPr>
          <w:szCs w:val="18"/>
        </w:rPr>
      </w:pPr>
      <w:r w:rsidRPr="00575ED2">
        <w:rPr>
          <w:szCs w:val="18"/>
        </w:rPr>
        <w:tab/>
      </w:r>
      <w:r w:rsidR="003A564F" w:rsidRPr="00575ED2">
        <w:rPr>
          <w:rStyle w:val="FootnoteReference"/>
          <w:szCs w:val="18"/>
        </w:rPr>
        <w:footnoteRef/>
      </w:r>
      <w:r w:rsidR="00805845" w:rsidRPr="00575ED2">
        <w:rPr>
          <w:szCs w:val="18"/>
        </w:rPr>
        <w:tab/>
      </w:r>
      <w:r w:rsidR="003A564F" w:rsidRPr="00575ED2">
        <w:rPr>
          <w:szCs w:val="18"/>
        </w:rPr>
        <w:t>A/HRC/49/35, para. 11</w:t>
      </w:r>
      <w:r w:rsidR="006E7433" w:rsidRPr="00575ED2">
        <w:rPr>
          <w:szCs w:val="18"/>
        </w:rPr>
        <w:t xml:space="preserve">; </w:t>
      </w:r>
      <w:r w:rsidR="0038259D" w:rsidRPr="00575ED2">
        <w:rPr>
          <w:szCs w:val="18"/>
        </w:rPr>
        <w:t>E/</w:t>
      </w:r>
      <w:r w:rsidR="003B2063" w:rsidRPr="00575ED2">
        <w:rPr>
          <w:szCs w:val="18"/>
        </w:rPr>
        <w:t>2019/52.</w:t>
      </w:r>
    </w:p>
  </w:footnote>
  <w:footnote w:id="16">
    <w:p w14:paraId="029CD31D" w14:textId="73FC279D" w:rsidR="00215DF5" w:rsidRPr="00575ED2" w:rsidRDefault="00215DF5"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403081" w:rsidRPr="00575ED2">
        <w:rPr>
          <w:szCs w:val="18"/>
        </w:rPr>
        <w:t>E</w:t>
      </w:r>
      <w:r w:rsidR="002E0864" w:rsidRPr="00575ED2">
        <w:rPr>
          <w:szCs w:val="18"/>
        </w:rPr>
        <w:t>/</w:t>
      </w:r>
      <w:r w:rsidR="00403081" w:rsidRPr="00575ED2">
        <w:rPr>
          <w:szCs w:val="18"/>
        </w:rPr>
        <w:t>2015/59</w:t>
      </w:r>
      <w:r w:rsidR="00E13341" w:rsidRPr="00575ED2">
        <w:rPr>
          <w:szCs w:val="18"/>
        </w:rPr>
        <w:t>, para. 12</w:t>
      </w:r>
      <w:r w:rsidRPr="00575ED2">
        <w:rPr>
          <w:szCs w:val="18"/>
        </w:rPr>
        <w:t>.</w:t>
      </w:r>
    </w:p>
  </w:footnote>
  <w:footnote w:id="17">
    <w:p w14:paraId="3B1D1E2F" w14:textId="5D9D17C4" w:rsidR="00215DF5" w:rsidRPr="00575ED2" w:rsidRDefault="00215DF5"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6A5E20" w:rsidRPr="00575ED2">
        <w:rPr>
          <w:szCs w:val="18"/>
        </w:rPr>
        <w:t>Committee on Economic, Social and Cultural Rights, general comment</w:t>
      </w:r>
      <w:r w:rsidRPr="00575ED2">
        <w:rPr>
          <w:szCs w:val="18"/>
        </w:rPr>
        <w:t xml:space="preserve"> No. 3 (1990) on the nature of States parties’ obligations, para. 10; </w:t>
      </w:r>
      <w:r w:rsidR="00715493" w:rsidRPr="00575ED2">
        <w:rPr>
          <w:szCs w:val="18"/>
        </w:rPr>
        <w:t xml:space="preserve">general comment </w:t>
      </w:r>
      <w:r w:rsidRPr="00575ED2">
        <w:rPr>
          <w:szCs w:val="18"/>
        </w:rPr>
        <w:t>No. 14 (</w:t>
      </w:r>
      <w:r w:rsidR="00206E18" w:rsidRPr="00575ED2">
        <w:rPr>
          <w:szCs w:val="18"/>
        </w:rPr>
        <w:t>2000</w:t>
      </w:r>
      <w:r w:rsidRPr="00575ED2">
        <w:rPr>
          <w:szCs w:val="18"/>
        </w:rPr>
        <w:t xml:space="preserve">), para. 47; and </w:t>
      </w:r>
      <w:r w:rsidR="00206E18" w:rsidRPr="00575ED2">
        <w:rPr>
          <w:szCs w:val="18"/>
        </w:rPr>
        <w:t xml:space="preserve">general comment </w:t>
      </w:r>
      <w:r w:rsidRPr="00575ED2">
        <w:rPr>
          <w:szCs w:val="18"/>
        </w:rPr>
        <w:t>No. 15 (200</w:t>
      </w:r>
      <w:r w:rsidR="006D5079" w:rsidRPr="00575ED2">
        <w:rPr>
          <w:szCs w:val="18"/>
        </w:rPr>
        <w:t>2</w:t>
      </w:r>
      <w:r w:rsidRPr="00575ED2">
        <w:rPr>
          <w:szCs w:val="18"/>
        </w:rPr>
        <w:t>) on the right to water, para. 40.</w:t>
      </w:r>
    </w:p>
  </w:footnote>
  <w:footnote w:id="18">
    <w:p w14:paraId="671BD6C0" w14:textId="64801563" w:rsidR="00215DF5" w:rsidRPr="00575ED2" w:rsidRDefault="00215DF5"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727790" w:rsidRPr="00575ED2">
        <w:rPr>
          <w:szCs w:val="18"/>
        </w:rPr>
        <w:t>General comment No. 14 (</w:t>
      </w:r>
      <w:r w:rsidR="006B426E" w:rsidRPr="00575ED2">
        <w:rPr>
          <w:szCs w:val="18"/>
        </w:rPr>
        <w:t>2000)</w:t>
      </w:r>
      <w:r w:rsidR="00E13341" w:rsidRPr="00575ED2">
        <w:rPr>
          <w:szCs w:val="18"/>
        </w:rPr>
        <w:t>, para. 12.</w:t>
      </w:r>
    </w:p>
  </w:footnote>
  <w:footnote w:id="19">
    <w:p w14:paraId="450EEBCC" w14:textId="0CAE13E7" w:rsidR="00937B48" w:rsidRPr="009E050C" w:rsidRDefault="00805845" w:rsidP="009E050C">
      <w:pPr>
        <w:pStyle w:val="FootnoteText"/>
        <w:jc w:val="both"/>
        <w:rPr>
          <w:szCs w:val="18"/>
        </w:rPr>
      </w:pPr>
      <w:r w:rsidRPr="00575ED2">
        <w:rPr>
          <w:szCs w:val="18"/>
        </w:rPr>
        <w:tab/>
      </w:r>
      <w:r w:rsidR="00937B48" w:rsidRPr="00575ED2">
        <w:rPr>
          <w:rStyle w:val="FootnoteReference"/>
          <w:szCs w:val="18"/>
        </w:rPr>
        <w:footnoteRef/>
      </w:r>
      <w:r w:rsidRPr="00575ED2">
        <w:rPr>
          <w:szCs w:val="18"/>
        </w:rPr>
        <w:tab/>
      </w:r>
      <w:r w:rsidR="00A33599" w:rsidRPr="00575ED2">
        <w:rPr>
          <w:szCs w:val="18"/>
        </w:rPr>
        <w:t xml:space="preserve">See General Assembly resolution </w:t>
      </w:r>
      <w:r w:rsidR="008D0840" w:rsidRPr="00575ED2">
        <w:rPr>
          <w:szCs w:val="18"/>
        </w:rPr>
        <w:t>78/4, annex</w:t>
      </w:r>
      <w:r w:rsidR="00937B48" w:rsidRPr="00575ED2">
        <w:rPr>
          <w:szCs w:val="18"/>
        </w:rPr>
        <w:t>.</w:t>
      </w:r>
    </w:p>
  </w:footnote>
  <w:footnote w:id="20">
    <w:p w14:paraId="4C5DFA4E" w14:textId="68DAEC9D" w:rsidR="00606A5D" w:rsidRPr="00575ED2" w:rsidRDefault="00606A5D"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9B0778" w:rsidRPr="00575ED2">
        <w:rPr>
          <w:szCs w:val="18"/>
        </w:rPr>
        <w:t>WHO, “Univers</w:t>
      </w:r>
      <w:r w:rsidR="00F97DFF" w:rsidRPr="00575ED2">
        <w:rPr>
          <w:szCs w:val="18"/>
        </w:rPr>
        <w:t>al Health Coverage”</w:t>
      </w:r>
      <w:r w:rsidRPr="00575ED2">
        <w:rPr>
          <w:szCs w:val="18"/>
        </w:rPr>
        <w:t xml:space="preserve">, </w:t>
      </w:r>
      <w:r w:rsidR="00F97DFF" w:rsidRPr="00575ED2">
        <w:rPr>
          <w:szCs w:val="18"/>
        </w:rPr>
        <w:t xml:space="preserve">available at </w:t>
      </w:r>
      <w:hyperlink r:id="rId2" w:history="1">
        <w:r w:rsidR="00F97DFF" w:rsidRPr="00575ED2">
          <w:rPr>
            <w:rStyle w:val="Hyperlink"/>
            <w:szCs w:val="18"/>
          </w:rPr>
          <w:t>https://www.who.int/health-topics/universal-health-coverage#tab=tab_1</w:t>
        </w:r>
      </w:hyperlink>
      <w:r w:rsidRPr="00575ED2">
        <w:rPr>
          <w:szCs w:val="18"/>
        </w:rPr>
        <w:t>.</w:t>
      </w:r>
    </w:p>
  </w:footnote>
  <w:footnote w:id="21">
    <w:p w14:paraId="4C58641E" w14:textId="2C0EB50B" w:rsidR="00606A5D" w:rsidRPr="00575ED2" w:rsidRDefault="00606A5D"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6829B3" w:rsidRPr="00575ED2">
        <w:rPr>
          <w:szCs w:val="18"/>
        </w:rPr>
        <w:t>Even though t</w:t>
      </w:r>
      <w:r w:rsidRPr="00575ED2">
        <w:rPr>
          <w:szCs w:val="18"/>
        </w:rPr>
        <w:t xml:space="preserve">here is no single universally accepted definition of </w:t>
      </w:r>
      <w:r w:rsidR="006829B3" w:rsidRPr="00575ED2">
        <w:rPr>
          <w:szCs w:val="18"/>
        </w:rPr>
        <w:t>universal health coverage</w:t>
      </w:r>
      <w:r w:rsidRPr="00575ED2">
        <w:rPr>
          <w:szCs w:val="18"/>
        </w:rPr>
        <w:t xml:space="preserve">, global organizations like the </w:t>
      </w:r>
      <w:r w:rsidR="006829B3" w:rsidRPr="00575ED2">
        <w:rPr>
          <w:szCs w:val="18"/>
        </w:rPr>
        <w:t>International Labour Organization (ILO)</w:t>
      </w:r>
      <w:r w:rsidRPr="00575ED2">
        <w:rPr>
          <w:szCs w:val="18"/>
        </w:rPr>
        <w:t xml:space="preserve">, </w:t>
      </w:r>
      <w:r w:rsidR="006829B3" w:rsidRPr="00575ED2">
        <w:rPr>
          <w:szCs w:val="18"/>
        </w:rPr>
        <w:t xml:space="preserve">the </w:t>
      </w:r>
      <w:r w:rsidRPr="00575ED2">
        <w:rPr>
          <w:szCs w:val="18"/>
        </w:rPr>
        <w:t xml:space="preserve">World Bank and </w:t>
      </w:r>
      <w:r w:rsidR="002A5188" w:rsidRPr="00575ED2">
        <w:rPr>
          <w:szCs w:val="18"/>
        </w:rPr>
        <w:t>WHO</w:t>
      </w:r>
      <w:r w:rsidRPr="00575ED2">
        <w:rPr>
          <w:szCs w:val="18"/>
        </w:rPr>
        <w:t xml:space="preserve"> all identify the key common elements of ensuring access to essential health services to all and protecting individuals and families from suffering financial hardship </w:t>
      </w:r>
      <w:proofErr w:type="gramStart"/>
      <w:r w:rsidRPr="00575ED2">
        <w:rPr>
          <w:szCs w:val="18"/>
        </w:rPr>
        <w:t>as a result of</w:t>
      </w:r>
      <w:proofErr w:type="gramEnd"/>
      <w:r w:rsidRPr="00575ED2">
        <w:rPr>
          <w:szCs w:val="18"/>
        </w:rPr>
        <w:t xml:space="preserve"> seeking such services.</w:t>
      </w:r>
    </w:p>
  </w:footnote>
  <w:footnote w:id="22">
    <w:p w14:paraId="502D0254" w14:textId="4127DA8E" w:rsidR="005C6177" w:rsidRPr="00575ED2" w:rsidRDefault="005C6177" w:rsidP="009E050C">
      <w:pPr>
        <w:pStyle w:val="FootnoteText"/>
        <w:jc w:val="both"/>
        <w:rPr>
          <w:szCs w:val="18"/>
        </w:rPr>
      </w:pPr>
      <w:r w:rsidRPr="00575ED2">
        <w:rPr>
          <w:szCs w:val="18"/>
        </w:rPr>
        <w:tab/>
      </w:r>
      <w:r w:rsidRPr="00575ED2">
        <w:rPr>
          <w:rStyle w:val="FootnoteReference"/>
          <w:szCs w:val="18"/>
        </w:rPr>
        <w:footnoteRef/>
      </w:r>
      <w:r w:rsidR="0065722D" w:rsidRPr="00575ED2">
        <w:rPr>
          <w:szCs w:val="18"/>
        </w:rPr>
        <w:tab/>
      </w:r>
      <w:r w:rsidR="00204FFE" w:rsidRPr="00575ED2">
        <w:rPr>
          <w:szCs w:val="18"/>
        </w:rPr>
        <w:t xml:space="preserve">Submission by </w:t>
      </w:r>
      <w:r w:rsidR="00B91620" w:rsidRPr="00575ED2">
        <w:rPr>
          <w:szCs w:val="18"/>
        </w:rPr>
        <w:t xml:space="preserve">the United Nations Entity for Gender Equality </w:t>
      </w:r>
      <w:r w:rsidR="00AB705E" w:rsidRPr="00575ED2">
        <w:rPr>
          <w:szCs w:val="18"/>
        </w:rPr>
        <w:t>and the Empowerment of Women (</w:t>
      </w:r>
      <w:r w:rsidRPr="00575ED2">
        <w:rPr>
          <w:szCs w:val="18"/>
        </w:rPr>
        <w:t>UN</w:t>
      </w:r>
      <w:r w:rsidR="00204FFE" w:rsidRPr="00575ED2">
        <w:rPr>
          <w:szCs w:val="18"/>
        </w:rPr>
        <w:t>-</w:t>
      </w:r>
      <w:r w:rsidRPr="00575ED2">
        <w:rPr>
          <w:szCs w:val="18"/>
        </w:rPr>
        <w:t>Women</w:t>
      </w:r>
      <w:r w:rsidR="00AB705E" w:rsidRPr="00575ED2">
        <w:rPr>
          <w:szCs w:val="18"/>
        </w:rPr>
        <w:t>)</w:t>
      </w:r>
      <w:r w:rsidRPr="00575ED2">
        <w:rPr>
          <w:szCs w:val="18"/>
        </w:rPr>
        <w:t>.</w:t>
      </w:r>
    </w:p>
  </w:footnote>
  <w:footnote w:id="23">
    <w:p w14:paraId="2C4057DA" w14:textId="4182CFD2" w:rsidR="00615F9A" w:rsidRPr="00575ED2" w:rsidRDefault="00615F9A"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A07176" w:rsidRPr="009E050C">
        <w:rPr>
          <w:szCs w:val="18"/>
        </w:rPr>
        <w:t xml:space="preserve">WHO, “Noncommunicable diseases”, 16 September 2023, available at </w:t>
      </w:r>
      <w:bookmarkStart w:id="0" w:name="OLE_LINK15"/>
      <w:bookmarkStart w:id="1" w:name="OLE_LINK16"/>
      <w:r w:rsidRPr="00575ED2">
        <w:rPr>
          <w:szCs w:val="18"/>
        </w:rPr>
        <w:t>www.who.int/news-room/fact-sheets/detail/noncommunicable-diseases</w:t>
      </w:r>
      <w:bookmarkEnd w:id="0"/>
      <w:bookmarkEnd w:id="1"/>
      <w:r w:rsidRPr="00575ED2">
        <w:rPr>
          <w:szCs w:val="18"/>
        </w:rPr>
        <w:t>.</w:t>
      </w:r>
    </w:p>
  </w:footnote>
  <w:footnote w:id="24">
    <w:p w14:paraId="3B771326" w14:textId="0CD01A0A" w:rsidR="00615F9A" w:rsidRPr="009E050C" w:rsidRDefault="00615F9A"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 xml:space="preserve">See for example A/HRC/53/50, para 9; A/HRC/17/43, para. 32; WHO, </w:t>
      </w:r>
      <w:r w:rsidRPr="00575ED2">
        <w:rPr>
          <w:i/>
          <w:iCs/>
          <w:szCs w:val="18"/>
        </w:rPr>
        <w:t xml:space="preserve">Access to NCD Medicines: Emergent Issues during the COVID-19 Pandemic and Key Structural Factors </w:t>
      </w:r>
      <w:r w:rsidRPr="00575ED2">
        <w:rPr>
          <w:szCs w:val="18"/>
        </w:rPr>
        <w:t>(</w:t>
      </w:r>
      <w:r w:rsidR="00776402" w:rsidRPr="00575ED2">
        <w:rPr>
          <w:szCs w:val="18"/>
        </w:rPr>
        <w:t xml:space="preserve">Geneva, </w:t>
      </w:r>
      <w:r w:rsidRPr="00575ED2">
        <w:rPr>
          <w:szCs w:val="18"/>
        </w:rPr>
        <w:t>2023)</w:t>
      </w:r>
      <w:r w:rsidR="00776402" w:rsidRPr="00575ED2">
        <w:rPr>
          <w:szCs w:val="18"/>
        </w:rPr>
        <w:t>; and submission by</w:t>
      </w:r>
      <w:r w:rsidRPr="00575ED2">
        <w:rPr>
          <w:szCs w:val="18"/>
        </w:rPr>
        <w:t xml:space="preserve"> Mexico</w:t>
      </w:r>
      <w:r w:rsidR="005922B5" w:rsidRPr="00575ED2">
        <w:rPr>
          <w:szCs w:val="18"/>
        </w:rPr>
        <w:t xml:space="preserve"> (in Spanish)</w:t>
      </w:r>
      <w:r w:rsidRPr="00575ED2">
        <w:rPr>
          <w:szCs w:val="18"/>
        </w:rPr>
        <w:t>.</w:t>
      </w:r>
    </w:p>
  </w:footnote>
  <w:footnote w:id="25">
    <w:p w14:paraId="4A45466A" w14:textId="46FDCD78" w:rsidR="000B4F6F" w:rsidRPr="00575ED2" w:rsidRDefault="000B4F6F"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A/HRC/53/50, para 9</w:t>
      </w:r>
      <w:r w:rsidR="00650F4A" w:rsidRPr="00575ED2">
        <w:rPr>
          <w:szCs w:val="18"/>
        </w:rPr>
        <w:t>. See also</w:t>
      </w:r>
      <w:r w:rsidRPr="00575ED2">
        <w:rPr>
          <w:szCs w:val="18"/>
        </w:rPr>
        <w:t xml:space="preserve"> </w:t>
      </w:r>
      <w:r w:rsidR="00650F4A" w:rsidRPr="00575ED2">
        <w:rPr>
          <w:szCs w:val="18"/>
        </w:rPr>
        <w:t>s</w:t>
      </w:r>
      <w:r w:rsidRPr="00575ED2">
        <w:rPr>
          <w:szCs w:val="18"/>
        </w:rPr>
        <w:t xml:space="preserve">ubmission </w:t>
      </w:r>
      <w:r w:rsidR="00650F4A" w:rsidRPr="00575ED2">
        <w:rPr>
          <w:szCs w:val="18"/>
        </w:rPr>
        <w:t xml:space="preserve">by the </w:t>
      </w:r>
      <w:r w:rsidRPr="00575ED2">
        <w:rPr>
          <w:szCs w:val="18"/>
        </w:rPr>
        <w:t>Third World Network.</w:t>
      </w:r>
    </w:p>
  </w:footnote>
  <w:footnote w:id="26">
    <w:p w14:paraId="63E3E2E4" w14:textId="2C5CFCD3" w:rsidR="00693B1E" w:rsidRPr="009E050C" w:rsidRDefault="00805845" w:rsidP="009E050C">
      <w:pPr>
        <w:pStyle w:val="FootnoteText"/>
        <w:jc w:val="both"/>
        <w:rPr>
          <w:szCs w:val="18"/>
        </w:rPr>
      </w:pPr>
      <w:r w:rsidRPr="00575ED2">
        <w:rPr>
          <w:szCs w:val="18"/>
        </w:rPr>
        <w:tab/>
      </w:r>
      <w:r w:rsidR="00693B1E" w:rsidRPr="00575ED2">
        <w:rPr>
          <w:rStyle w:val="FootnoteReference"/>
          <w:szCs w:val="18"/>
        </w:rPr>
        <w:footnoteRef/>
      </w:r>
      <w:r w:rsidRPr="00575ED2">
        <w:rPr>
          <w:szCs w:val="18"/>
        </w:rPr>
        <w:tab/>
      </w:r>
      <w:r w:rsidR="001E3148" w:rsidRPr="00575ED2">
        <w:rPr>
          <w:szCs w:val="18"/>
        </w:rPr>
        <w:t>See</w:t>
      </w:r>
      <w:r w:rsidR="003B1141" w:rsidRPr="009E050C">
        <w:rPr>
          <w:szCs w:val="18"/>
        </w:rPr>
        <w:t xml:space="preserve"> for example </w:t>
      </w:r>
      <w:r w:rsidR="00575ED2" w:rsidRPr="00575ED2">
        <w:rPr>
          <w:szCs w:val="18"/>
        </w:rPr>
        <w:t xml:space="preserve">expert workshop mandated by Human Rights Council resolution 50/13 on key challenges and new developments in ensuring access to medicines, vaccines and other health products, 16 February 2024, available at </w:t>
      </w:r>
      <w:bookmarkStart w:id="2" w:name="OLE_LINK19"/>
      <w:bookmarkStart w:id="3" w:name="OLE_LINK20"/>
      <w:r w:rsidR="00575ED2" w:rsidRPr="00575ED2">
        <w:rPr>
          <w:szCs w:val="18"/>
        </w:rPr>
        <w:t>www.ohchr.org/en/events/events/2024/expert-workshop-key-challenges-and-new-developments-ensuring-access-medicines</w:t>
      </w:r>
      <w:bookmarkEnd w:id="2"/>
      <w:bookmarkEnd w:id="3"/>
      <w:r w:rsidR="003B1141" w:rsidRPr="009E050C">
        <w:rPr>
          <w:szCs w:val="18"/>
        </w:rPr>
        <w:t xml:space="preserve">; </w:t>
      </w:r>
      <w:r w:rsidR="003B1141" w:rsidRPr="00575ED2">
        <w:rPr>
          <w:szCs w:val="18"/>
        </w:rPr>
        <w:t>A/HRC/53/50; and</w:t>
      </w:r>
      <w:r w:rsidR="003B1141" w:rsidRPr="00575ED2">
        <w:rPr>
          <w:b/>
          <w:bCs/>
          <w:szCs w:val="18"/>
        </w:rPr>
        <w:t xml:space="preserve"> </w:t>
      </w:r>
      <w:r w:rsidR="003B1141" w:rsidRPr="00575ED2">
        <w:rPr>
          <w:szCs w:val="18"/>
        </w:rPr>
        <w:t>E/2023/74</w:t>
      </w:r>
      <w:r w:rsidR="00C428D1" w:rsidRPr="00575ED2">
        <w:rPr>
          <w:szCs w:val="18"/>
        </w:rPr>
        <w:t>.</w:t>
      </w:r>
    </w:p>
  </w:footnote>
  <w:footnote w:id="27">
    <w:p w14:paraId="29CF4D6D" w14:textId="294BCF5D" w:rsidR="000B4F6F" w:rsidRPr="00575ED2" w:rsidRDefault="000B4F6F"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BB1725" w:rsidRPr="00575ED2">
        <w:rPr>
          <w:szCs w:val="18"/>
        </w:rPr>
        <w:t>Subm</w:t>
      </w:r>
      <w:r w:rsidR="00583327" w:rsidRPr="00575ED2">
        <w:rPr>
          <w:szCs w:val="18"/>
        </w:rPr>
        <w:t>ission</w:t>
      </w:r>
      <w:r w:rsidR="00F743BE" w:rsidRPr="00575ED2">
        <w:rPr>
          <w:szCs w:val="18"/>
        </w:rPr>
        <w:t>s</w:t>
      </w:r>
      <w:r w:rsidR="00583327" w:rsidRPr="00575ED2">
        <w:rPr>
          <w:szCs w:val="18"/>
        </w:rPr>
        <w:t xml:space="preserve"> by </w:t>
      </w:r>
      <w:proofErr w:type="spellStart"/>
      <w:r w:rsidR="0027321C" w:rsidRPr="00575ED2">
        <w:rPr>
          <w:szCs w:val="18"/>
        </w:rPr>
        <w:t>Salud</w:t>
      </w:r>
      <w:proofErr w:type="spellEnd"/>
      <w:r w:rsidR="0027321C" w:rsidRPr="00575ED2">
        <w:rPr>
          <w:szCs w:val="18"/>
        </w:rPr>
        <w:t xml:space="preserve"> </w:t>
      </w:r>
      <w:proofErr w:type="spellStart"/>
      <w:r w:rsidR="0027321C" w:rsidRPr="00575ED2">
        <w:rPr>
          <w:szCs w:val="18"/>
        </w:rPr>
        <w:t>por</w:t>
      </w:r>
      <w:proofErr w:type="spellEnd"/>
      <w:r w:rsidR="0027321C" w:rsidRPr="00575ED2">
        <w:rPr>
          <w:szCs w:val="18"/>
        </w:rPr>
        <w:t xml:space="preserve"> </w:t>
      </w:r>
      <w:proofErr w:type="spellStart"/>
      <w:r w:rsidR="0027321C" w:rsidRPr="00575ED2">
        <w:rPr>
          <w:szCs w:val="18"/>
        </w:rPr>
        <w:t>Derecho</w:t>
      </w:r>
      <w:proofErr w:type="spellEnd"/>
      <w:r w:rsidR="00E22CD0" w:rsidRPr="00575ED2">
        <w:rPr>
          <w:szCs w:val="18"/>
        </w:rPr>
        <w:t xml:space="preserve"> </w:t>
      </w:r>
      <w:r w:rsidR="0027321C" w:rsidRPr="00575ED2">
        <w:rPr>
          <w:szCs w:val="18"/>
        </w:rPr>
        <w:t xml:space="preserve">– Right to Health Foundation and </w:t>
      </w:r>
      <w:r w:rsidRPr="00575ED2">
        <w:rPr>
          <w:szCs w:val="18"/>
        </w:rPr>
        <w:t xml:space="preserve">Mexico </w:t>
      </w:r>
      <w:r w:rsidR="00F743BE" w:rsidRPr="00575ED2">
        <w:rPr>
          <w:szCs w:val="18"/>
        </w:rPr>
        <w:t>(both in Spanish)</w:t>
      </w:r>
      <w:r w:rsidRPr="00575ED2">
        <w:rPr>
          <w:szCs w:val="18"/>
        </w:rPr>
        <w:t>.</w:t>
      </w:r>
    </w:p>
  </w:footnote>
  <w:footnote w:id="28">
    <w:p w14:paraId="4DC88A99" w14:textId="401A59CF" w:rsidR="00A15BF2" w:rsidRPr="009E050C" w:rsidRDefault="00805845" w:rsidP="009E050C">
      <w:pPr>
        <w:pStyle w:val="FootnoteText"/>
        <w:jc w:val="both"/>
        <w:rPr>
          <w:szCs w:val="18"/>
        </w:rPr>
      </w:pPr>
      <w:r w:rsidRPr="00575ED2">
        <w:rPr>
          <w:szCs w:val="18"/>
        </w:rPr>
        <w:tab/>
      </w:r>
      <w:r w:rsidR="00A15BF2" w:rsidRPr="00575ED2">
        <w:rPr>
          <w:rStyle w:val="FootnoteReference"/>
          <w:szCs w:val="18"/>
        </w:rPr>
        <w:footnoteRef/>
      </w:r>
      <w:r w:rsidRPr="00575ED2">
        <w:rPr>
          <w:szCs w:val="18"/>
        </w:rPr>
        <w:tab/>
      </w:r>
      <w:r w:rsidR="00F743BE" w:rsidRPr="00575ED2">
        <w:rPr>
          <w:szCs w:val="18"/>
        </w:rPr>
        <w:t>S</w:t>
      </w:r>
      <w:r w:rsidR="000059B4">
        <w:rPr>
          <w:szCs w:val="18"/>
        </w:rPr>
        <w:t>ee s</w:t>
      </w:r>
      <w:r w:rsidR="00F743BE" w:rsidRPr="00575ED2">
        <w:rPr>
          <w:szCs w:val="18"/>
        </w:rPr>
        <w:t xml:space="preserve">ubmission by </w:t>
      </w:r>
      <w:r w:rsidR="00A15BF2" w:rsidRPr="00575ED2">
        <w:rPr>
          <w:szCs w:val="18"/>
        </w:rPr>
        <w:t>WHO.</w:t>
      </w:r>
    </w:p>
  </w:footnote>
  <w:footnote w:id="29">
    <w:p w14:paraId="67E5A834" w14:textId="4DF43D41" w:rsidR="00335526" w:rsidRPr="00575ED2" w:rsidRDefault="00805845" w:rsidP="009E050C">
      <w:pPr>
        <w:pStyle w:val="FootnoteText"/>
        <w:jc w:val="both"/>
        <w:rPr>
          <w:szCs w:val="18"/>
        </w:rPr>
      </w:pPr>
      <w:r w:rsidRPr="00575ED2">
        <w:rPr>
          <w:szCs w:val="18"/>
        </w:rPr>
        <w:tab/>
      </w:r>
      <w:r w:rsidR="00335526" w:rsidRPr="00575ED2">
        <w:rPr>
          <w:rStyle w:val="FootnoteReference"/>
          <w:szCs w:val="18"/>
        </w:rPr>
        <w:footnoteRef/>
      </w:r>
      <w:r w:rsidRPr="00575ED2">
        <w:rPr>
          <w:szCs w:val="18"/>
        </w:rPr>
        <w:tab/>
      </w:r>
      <w:r w:rsidR="00A15BF2" w:rsidRPr="00575ED2">
        <w:rPr>
          <w:szCs w:val="18"/>
        </w:rPr>
        <w:t>Ibid</w:t>
      </w:r>
      <w:r w:rsidR="00335526" w:rsidRPr="00575ED2">
        <w:rPr>
          <w:szCs w:val="18"/>
        </w:rPr>
        <w:t>.</w:t>
      </w:r>
    </w:p>
  </w:footnote>
  <w:footnote w:id="30">
    <w:p w14:paraId="7B6C2E85" w14:textId="168298BD" w:rsidR="00770EA6" w:rsidRPr="00575ED2" w:rsidRDefault="00805845" w:rsidP="009E050C">
      <w:pPr>
        <w:pStyle w:val="FootnoteText"/>
        <w:jc w:val="both"/>
        <w:rPr>
          <w:rStyle w:val="FootnoteReference"/>
          <w:szCs w:val="18"/>
        </w:rPr>
      </w:pPr>
      <w:r w:rsidRPr="00575ED2">
        <w:rPr>
          <w:szCs w:val="18"/>
        </w:rPr>
        <w:tab/>
      </w:r>
      <w:r w:rsidR="00770EA6" w:rsidRPr="00575ED2">
        <w:rPr>
          <w:rStyle w:val="FootnoteReference"/>
          <w:szCs w:val="18"/>
        </w:rPr>
        <w:footnoteRef/>
      </w:r>
      <w:r w:rsidRPr="00575ED2">
        <w:rPr>
          <w:szCs w:val="18"/>
        </w:rPr>
        <w:tab/>
      </w:r>
      <w:r w:rsidR="00770EA6" w:rsidRPr="00575ED2">
        <w:rPr>
          <w:szCs w:val="18"/>
        </w:rPr>
        <w:t>See A/HRC/47/23</w:t>
      </w:r>
      <w:r w:rsidR="002873B2" w:rsidRPr="00575ED2">
        <w:rPr>
          <w:szCs w:val="18"/>
        </w:rPr>
        <w:t>,</w:t>
      </w:r>
      <w:r w:rsidR="00770EA6" w:rsidRPr="00575ED2">
        <w:rPr>
          <w:szCs w:val="18"/>
        </w:rPr>
        <w:t xml:space="preserve"> A/HRC/49/34, A/HRC/49/35, A/HRC/52/</w:t>
      </w:r>
      <w:proofErr w:type="gramStart"/>
      <w:r w:rsidR="00770EA6" w:rsidRPr="00575ED2">
        <w:rPr>
          <w:szCs w:val="18"/>
        </w:rPr>
        <w:t>56</w:t>
      </w:r>
      <w:proofErr w:type="gramEnd"/>
      <w:r w:rsidR="002873B2" w:rsidRPr="00575ED2">
        <w:rPr>
          <w:szCs w:val="18"/>
        </w:rPr>
        <w:t xml:space="preserve"> and</w:t>
      </w:r>
      <w:r w:rsidR="00770EA6" w:rsidRPr="00575ED2">
        <w:rPr>
          <w:szCs w:val="18"/>
        </w:rPr>
        <w:t xml:space="preserve"> A/HRC/53/50.</w:t>
      </w:r>
    </w:p>
  </w:footnote>
  <w:footnote w:id="31">
    <w:p w14:paraId="70309068" w14:textId="2B2A4B40" w:rsidR="00662E11" w:rsidRPr="00575ED2" w:rsidRDefault="00662E11" w:rsidP="009E050C">
      <w:pPr>
        <w:pStyle w:val="FootnoteText"/>
        <w:jc w:val="both"/>
        <w:rPr>
          <w:szCs w:val="18"/>
        </w:rPr>
      </w:pPr>
      <w:r w:rsidRPr="00575ED2">
        <w:rPr>
          <w:szCs w:val="18"/>
        </w:rPr>
        <w:tab/>
      </w:r>
      <w:r w:rsidRPr="00575ED2">
        <w:rPr>
          <w:rStyle w:val="FootnoteReference"/>
          <w:rFonts w:eastAsia="Times New Roman"/>
          <w:szCs w:val="18"/>
        </w:rPr>
        <w:footnoteRef/>
      </w:r>
      <w:r w:rsidR="00805845" w:rsidRPr="00575ED2">
        <w:rPr>
          <w:szCs w:val="18"/>
        </w:rPr>
        <w:tab/>
      </w:r>
      <w:r w:rsidRPr="00575ED2">
        <w:rPr>
          <w:szCs w:val="18"/>
        </w:rPr>
        <w:t>E/2023/74, para</w:t>
      </w:r>
      <w:r w:rsidR="002873B2" w:rsidRPr="00575ED2">
        <w:rPr>
          <w:szCs w:val="18"/>
        </w:rPr>
        <w:t>.</w:t>
      </w:r>
      <w:r w:rsidRPr="00575ED2">
        <w:rPr>
          <w:szCs w:val="18"/>
        </w:rPr>
        <w:t xml:space="preserve"> 17</w:t>
      </w:r>
      <w:r w:rsidR="002873B2" w:rsidRPr="00575ED2">
        <w:rPr>
          <w:szCs w:val="18"/>
        </w:rPr>
        <w:t>.</w:t>
      </w:r>
    </w:p>
  </w:footnote>
  <w:footnote w:id="32">
    <w:p w14:paraId="1220D8F3" w14:textId="175CA14A" w:rsidR="00662E11" w:rsidRPr="00575ED2" w:rsidRDefault="00662E11"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See</w:t>
      </w:r>
      <w:r w:rsidR="005A4543" w:rsidRPr="00575ED2">
        <w:rPr>
          <w:szCs w:val="18"/>
        </w:rPr>
        <w:t xml:space="preserve"> </w:t>
      </w:r>
      <w:r w:rsidR="005A4543" w:rsidRPr="009E050C">
        <w:rPr>
          <w:szCs w:val="18"/>
        </w:rPr>
        <w:t>Christina Bucci-</w:t>
      </w:r>
      <w:proofErr w:type="spellStart"/>
      <w:r w:rsidR="005A4543" w:rsidRPr="009E050C">
        <w:rPr>
          <w:szCs w:val="18"/>
        </w:rPr>
        <w:t>Rechtweg</w:t>
      </w:r>
      <w:proofErr w:type="spellEnd"/>
      <w:r w:rsidR="005A4543" w:rsidRPr="009E050C">
        <w:rPr>
          <w:szCs w:val="18"/>
        </w:rPr>
        <w:t xml:space="preserve">, “Enhancing the </w:t>
      </w:r>
      <w:proofErr w:type="spellStart"/>
      <w:r w:rsidR="005A4543" w:rsidRPr="009E050C">
        <w:rPr>
          <w:szCs w:val="18"/>
        </w:rPr>
        <w:t>pediatric</w:t>
      </w:r>
      <w:proofErr w:type="spellEnd"/>
      <w:r w:rsidR="005A4543" w:rsidRPr="009E050C">
        <w:rPr>
          <w:szCs w:val="18"/>
        </w:rPr>
        <w:t xml:space="preserve"> drug development framework to deliver better </w:t>
      </w:r>
      <w:proofErr w:type="spellStart"/>
      <w:r w:rsidR="005A4543" w:rsidRPr="009E050C">
        <w:rPr>
          <w:szCs w:val="18"/>
        </w:rPr>
        <w:t>pediatric</w:t>
      </w:r>
      <w:proofErr w:type="spellEnd"/>
      <w:r w:rsidR="005A4543" w:rsidRPr="009E050C">
        <w:rPr>
          <w:szCs w:val="18"/>
        </w:rPr>
        <w:t xml:space="preserve"> therapies tomorrow”, </w:t>
      </w:r>
      <w:r w:rsidR="005A4543" w:rsidRPr="009E050C">
        <w:rPr>
          <w:i/>
          <w:iCs/>
          <w:szCs w:val="18"/>
        </w:rPr>
        <w:t>Clinical Therapeutics</w:t>
      </w:r>
      <w:r w:rsidR="005A4543" w:rsidRPr="009E050C">
        <w:rPr>
          <w:szCs w:val="18"/>
        </w:rPr>
        <w:t>, vol. 39, No. 10 (2017)</w:t>
      </w:r>
      <w:r w:rsidR="006B74E2" w:rsidRPr="009E050C">
        <w:rPr>
          <w:szCs w:val="18"/>
        </w:rPr>
        <w:t>,</w:t>
      </w:r>
      <w:r w:rsidRPr="00575ED2">
        <w:rPr>
          <w:szCs w:val="18"/>
        </w:rPr>
        <w:t xml:space="preserve"> cited in E/2023/74, para</w:t>
      </w:r>
      <w:r w:rsidR="006B74E2" w:rsidRPr="00575ED2">
        <w:rPr>
          <w:szCs w:val="18"/>
        </w:rPr>
        <w:t>.</w:t>
      </w:r>
      <w:r w:rsidRPr="00575ED2">
        <w:rPr>
          <w:szCs w:val="18"/>
        </w:rPr>
        <w:t xml:space="preserve"> 17; </w:t>
      </w:r>
      <w:r w:rsidR="006B74E2" w:rsidRPr="00575ED2">
        <w:rPr>
          <w:szCs w:val="18"/>
        </w:rPr>
        <w:t>see also s</w:t>
      </w:r>
      <w:r w:rsidRPr="00575ED2">
        <w:rPr>
          <w:szCs w:val="18"/>
        </w:rPr>
        <w:t>ubmission</w:t>
      </w:r>
      <w:r w:rsidR="00E13341" w:rsidRPr="00575ED2">
        <w:rPr>
          <w:szCs w:val="18"/>
        </w:rPr>
        <w:t>s</w:t>
      </w:r>
      <w:r w:rsidRPr="00575ED2">
        <w:rPr>
          <w:szCs w:val="18"/>
        </w:rPr>
        <w:t xml:space="preserve"> </w:t>
      </w:r>
      <w:r w:rsidR="006B74E2" w:rsidRPr="00575ED2">
        <w:rPr>
          <w:szCs w:val="18"/>
        </w:rPr>
        <w:t xml:space="preserve">by </w:t>
      </w:r>
      <w:r w:rsidRPr="00575ED2">
        <w:rPr>
          <w:szCs w:val="18"/>
        </w:rPr>
        <w:t xml:space="preserve">the Elizabeth Glaser </w:t>
      </w:r>
      <w:proofErr w:type="spellStart"/>
      <w:r w:rsidRPr="00575ED2">
        <w:rPr>
          <w:szCs w:val="18"/>
        </w:rPr>
        <w:t>Pediatric</w:t>
      </w:r>
      <w:proofErr w:type="spellEnd"/>
      <w:r w:rsidRPr="00575ED2">
        <w:rPr>
          <w:szCs w:val="18"/>
        </w:rPr>
        <w:t xml:space="preserve"> AIDS Foundation </w:t>
      </w:r>
      <w:r w:rsidR="00E13341" w:rsidRPr="00575ED2">
        <w:rPr>
          <w:szCs w:val="18"/>
        </w:rPr>
        <w:t xml:space="preserve">and </w:t>
      </w:r>
      <w:r w:rsidR="006E2610" w:rsidRPr="00575ED2">
        <w:rPr>
          <w:szCs w:val="18"/>
        </w:rPr>
        <w:t xml:space="preserve">the </w:t>
      </w:r>
      <w:r w:rsidRPr="00575ED2">
        <w:rPr>
          <w:szCs w:val="18"/>
        </w:rPr>
        <w:t>Coalition for Epidemic Preparedness</w:t>
      </w:r>
      <w:r w:rsidR="006E2610" w:rsidRPr="00575ED2">
        <w:rPr>
          <w:szCs w:val="18"/>
        </w:rPr>
        <w:t xml:space="preserve"> Innovations</w:t>
      </w:r>
      <w:r w:rsidRPr="00575ED2">
        <w:rPr>
          <w:szCs w:val="18"/>
        </w:rPr>
        <w:t>.</w:t>
      </w:r>
    </w:p>
  </w:footnote>
  <w:footnote w:id="33">
    <w:p w14:paraId="112F9CCD" w14:textId="569FAB95" w:rsidR="00662E11" w:rsidRPr="00575ED2" w:rsidRDefault="00662E11"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294CF7" w:rsidRPr="00575ED2">
        <w:rPr>
          <w:szCs w:val="18"/>
        </w:rPr>
        <w:t xml:space="preserve">Submissions by </w:t>
      </w:r>
      <w:r w:rsidRPr="00575ED2">
        <w:rPr>
          <w:szCs w:val="18"/>
        </w:rPr>
        <w:t xml:space="preserve">Poland, </w:t>
      </w:r>
      <w:proofErr w:type="spellStart"/>
      <w:r w:rsidRPr="00575ED2">
        <w:rPr>
          <w:szCs w:val="18"/>
        </w:rPr>
        <w:t>Salud</w:t>
      </w:r>
      <w:proofErr w:type="spellEnd"/>
      <w:r w:rsidRPr="00575ED2">
        <w:rPr>
          <w:szCs w:val="18"/>
        </w:rPr>
        <w:t xml:space="preserve"> </w:t>
      </w:r>
      <w:proofErr w:type="spellStart"/>
      <w:r w:rsidRPr="00575ED2">
        <w:rPr>
          <w:szCs w:val="18"/>
        </w:rPr>
        <w:t>por</w:t>
      </w:r>
      <w:proofErr w:type="spellEnd"/>
      <w:r w:rsidRPr="00575ED2">
        <w:rPr>
          <w:szCs w:val="18"/>
        </w:rPr>
        <w:t xml:space="preserve"> </w:t>
      </w:r>
      <w:proofErr w:type="spellStart"/>
      <w:r w:rsidRPr="00575ED2">
        <w:rPr>
          <w:szCs w:val="18"/>
        </w:rPr>
        <w:t>Derecho</w:t>
      </w:r>
      <w:proofErr w:type="spellEnd"/>
      <w:r w:rsidRPr="00575ED2">
        <w:rPr>
          <w:szCs w:val="18"/>
        </w:rPr>
        <w:t xml:space="preserve"> – Right to Health Foundation.</w:t>
      </w:r>
    </w:p>
  </w:footnote>
  <w:footnote w:id="34">
    <w:p w14:paraId="6A9F12A0" w14:textId="4E750B73" w:rsidR="00662E11" w:rsidRPr="00575ED2" w:rsidRDefault="00662E11"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294CF7" w:rsidRPr="00575ED2">
        <w:rPr>
          <w:szCs w:val="18"/>
        </w:rPr>
        <w:t xml:space="preserve">Submissions by </w:t>
      </w:r>
      <w:r w:rsidRPr="00575ED2">
        <w:rPr>
          <w:szCs w:val="18"/>
        </w:rPr>
        <w:t xml:space="preserve">Guatemala and </w:t>
      </w:r>
      <w:r w:rsidR="00870766" w:rsidRPr="009E050C">
        <w:rPr>
          <w:szCs w:val="18"/>
        </w:rPr>
        <w:t>M</w:t>
      </w:r>
      <w:bookmarkStart w:id="4" w:name="_Hlk165549375"/>
      <w:r w:rsidR="00870766" w:rsidRPr="009E050C">
        <w:rPr>
          <w:szCs w:val="18"/>
        </w:rPr>
        <w:t>édecins</w:t>
      </w:r>
      <w:bookmarkEnd w:id="4"/>
      <w:r w:rsidR="00870766" w:rsidRPr="009E050C">
        <w:rPr>
          <w:szCs w:val="18"/>
        </w:rPr>
        <w:t xml:space="preserve"> sans F</w:t>
      </w:r>
      <w:bookmarkStart w:id="5" w:name="_Hlk165549394"/>
      <w:r w:rsidR="00870766" w:rsidRPr="009E050C">
        <w:rPr>
          <w:szCs w:val="18"/>
        </w:rPr>
        <w:t>rontières</w:t>
      </w:r>
      <w:bookmarkEnd w:id="5"/>
      <w:r w:rsidR="00E86BB6" w:rsidRPr="00575ED2">
        <w:rPr>
          <w:szCs w:val="18"/>
        </w:rPr>
        <w:t>.</w:t>
      </w:r>
    </w:p>
  </w:footnote>
  <w:footnote w:id="35">
    <w:p w14:paraId="739A8021" w14:textId="41FCE557" w:rsidR="00662E11" w:rsidRPr="00575ED2" w:rsidRDefault="00662E11"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870766" w:rsidRPr="00575ED2">
        <w:rPr>
          <w:szCs w:val="18"/>
        </w:rPr>
        <w:t xml:space="preserve">Submission by the Elizabeth Glaser </w:t>
      </w:r>
      <w:proofErr w:type="spellStart"/>
      <w:r w:rsidR="00870766" w:rsidRPr="00575ED2">
        <w:rPr>
          <w:szCs w:val="18"/>
        </w:rPr>
        <w:t>Pediatric</w:t>
      </w:r>
      <w:proofErr w:type="spellEnd"/>
      <w:r w:rsidR="00870766" w:rsidRPr="00575ED2">
        <w:rPr>
          <w:szCs w:val="18"/>
        </w:rPr>
        <w:t xml:space="preserve"> AIDS Foundation</w:t>
      </w:r>
      <w:r w:rsidRPr="00575ED2">
        <w:rPr>
          <w:szCs w:val="18"/>
        </w:rPr>
        <w:t>.</w:t>
      </w:r>
    </w:p>
  </w:footnote>
  <w:footnote w:id="36">
    <w:p w14:paraId="6D1D4D19" w14:textId="1DF70995" w:rsidR="00662E11" w:rsidRPr="00575ED2" w:rsidRDefault="00805845" w:rsidP="009E050C">
      <w:pPr>
        <w:pStyle w:val="FootnoteText"/>
        <w:jc w:val="both"/>
        <w:rPr>
          <w:szCs w:val="18"/>
        </w:rPr>
      </w:pPr>
      <w:r w:rsidRPr="00575ED2">
        <w:rPr>
          <w:szCs w:val="18"/>
        </w:rPr>
        <w:tab/>
      </w:r>
      <w:r w:rsidR="00662E11" w:rsidRPr="00575ED2">
        <w:rPr>
          <w:rStyle w:val="FootnoteReference"/>
          <w:szCs w:val="18"/>
        </w:rPr>
        <w:footnoteRef/>
      </w:r>
      <w:r w:rsidRPr="00575ED2">
        <w:rPr>
          <w:szCs w:val="18"/>
        </w:rPr>
        <w:tab/>
      </w:r>
      <w:r w:rsidR="00562D4B" w:rsidRPr="00575ED2">
        <w:rPr>
          <w:szCs w:val="18"/>
        </w:rPr>
        <w:t>Ibid</w:t>
      </w:r>
      <w:r w:rsidR="00870766" w:rsidRPr="00575ED2">
        <w:rPr>
          <w:szCs w:val="18"/>
        </w:rPr>
        <w:t>.</w:t>
      </w:r>
    </w:p>
  </w:footnote>
  <w:footnote w:id="37">
    <w:p w14:paraId="1823A5A1" w14:textId="4C17CA3C" w:rsidR="00662E11" w:rsidRPr="00575ED2" w:rsidRDefault="00662E11"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870766" w:rsidRPr="00575ED2">
        <w:rPr>
          <w:szCs w:val="18"/>
        </w:rPr>
        <w:t xml:space="preserve">Submission by </w:t>
      </w:r>
      <w:r w:rsidRPr="00575ED2">
        <w:rPr>
          <w:szCs w:val="18"/>
        </w:rPr>
        <w:t xml:space="preserve">Guatemala. </w:t>
      </w:r>
    </w:p>
  </w:footnote>
  <w:footnote w:id="38">
    <w:p w14:paraId="2A95DA8C" w14:textId="63ADB51C" w:rsidR="00662E11" w:rsidRPr="00575ED2" w:rsidRDefault="00662E11"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043601" w:rsidRPr="00575ED2">
        <w:rPr>
          <w:szCs w:val="18"/>
        </w:rPr>
        <w:t xml:space="preserve">Submissions by the Elizabeth Glaser </w:t>
      </w:r>
      <w:proofErr w:type="spellStart"/>
      <w:r w:rsidR="00043601" w:rsidRPr="00575ED2">
        <w:rPr>
          <w:szCs w:val="18"/>
        </w:rPr>
        <w:t>Pediatric</w:t>
      </w:r>
      <w:proofErr w:type="spellEnd"/>
      <w:r w:rsidR="00043601" w:rsidRPr="00575ED2">
        <w:rPr>
          <w:szCs w:val="18"/>
        </w:rPr>
        <w:t xml:space="preserve"> AIDS Foundation and Guatemala</w:t>
      </w:r>
      <w:r w:rsidRPr="00575ED2">
        <w:rPr>
          <w:szCs w:val="18"/>
        </w:rPr>
        <w:t>.</w:t>
      </w:r>
    </w:p>
  </w:footnote>
  <w:footnote w:id="39">
    <w:p w14:paraId="51EDE428" w14:textId="05A316E9" w:rsidR="00662E11" w:rsidRPr="009E050C" w:rsidRDefault="00805845" w:rsidP="009E050C">
      <w:pPr>
        <w:pStyle w:val="FootnoteText"/>
        <w:jc w:val="both"/>
        <w:rPr>
          <w:szCs w:val="18"/>
        </w:rPr>
      </w:pPr>
      <w:r w:rsidRPr="009E050C">
        <w:rPr>
          <w:szCs w:val="18"/>
        </w:rPr>
        <w:tab/>
      </w:r>
      <w:r w:rsidR="00662E11" w:rsidRPr="00575ED2">
        <w:rPr>
          <w:rStyle w:val="FootnoteReference"/>
          <w:szCs w:val="18"/>
        </w:rPr>
        <w:footnoteRef/>
      </w:r>
      <w:r w:rsidRPr="009E050C">
        <w:rPr>
          <w:szCs w:val="18"/>
        </w:rPr>
        <w:tab/>
      </w:r>
      <w:r w:rsidR="00C719EA" w:rsidRPr="00575ED2">
        <w:rPr>
          <w:szCs w:val="18"/>
        </w:rPr>
        <w:t xml:space="preserve">Submission by the Elizabeth Glaser </w:t>
      </w:r>
      <w:proofErr w:type="spellStart"/>
      <w:r w:rsidR="00C719EA" w:rsidRPr="00575ED2">
        <w:rPr>
          <w:szCs w:val="18"/>
        </w:rPr>
        <w:t>Pediatric</w:t>
      </w:r>
      <w:proofErr w:type="spellEnd"/>
      <w:r w:rsidR="00C719EA" w:rsidRPr="00575ED2">
        <w:rPr>
          <w:szCs w:val="18"/>
        </w:rPr>
        <w:t xml:space="preserve"> AIDS Foundation</w:t>
      </w:r>
      <w:r w:rsidR="00662E11" w:rsidRPr="009E050C">
        <w:rPr>
          <w:szCs w:val="18"/>
        </w:rPr>
        <w:t>.</w:t>
      </w:r>
    </w:p>
  </w:footnote>
  <w:footnote w:id="40">
    <w:p w14:paraId="2E56AE52" w14:textId="5CB2A76F" w:rsidR="00662E11" w:rsidRPr="009E050C" w:rsidRDefault="0074143C" w:rsidP="009E050C">
      <w:pPr>
        <w:pStyle w:val="FootnoteText"/>
        <w:jc w:val="both"/>
        <w:rPr>
          <w:szCs w:val="18"/>
        </w:rPr>
      </w:pPr>
      <w:r w:rsidRPr="009E050C">
        <w:rPr>
          <w:szCs w:val="18"/>
        </w:rPr>
        <w:tab/>
      </w:r>
      <w:r w:rsidR="00662E11" w:rsidRPr="00575ED2">
        <w:rPr>
          <w:rStyle w:val="FootnoteReference"/>
          <w:szCs w:val="18"/>
        </w:rPr>
        <w:footnoteRef/>
      </w:r>
      <w:r w:rsidR="00805845" w:rsidRPr="009E050C">
        <w:rPr>
          <w:szCs w:val="18"/>
        </w:rPr>
        <w:tab/>
      </w:r>
      <w:r w:rsidR="00C719EA" w:rsidRPr="009E050C">
        <w:rPr>
          <w:szCs w:val="18"/>
        </w:rPr>
        <w:t xml:space="preserve">UNICEF, “The state of the world’s children 2023: for every child, vaccination – regional brief – Europe and Central Asia” (2023), available at </w:t>
      </w:r>
      <w:r w:rsidR="00662E11" w:rsidRPr="009E050C">
        <w:rPr>
          <w:szCs w:val="18"/>
        </w:rPr>
        <w:t>https://www.unicef.org/eca/reports/sowc2023-eca</w:t>
      </w:r>
    </w:p>
  </w:footnote>
  <w:footnote w:id="41">
    <w:p w14:paraId="4E6A46D2" w14:textId="4332CED3" w:rsidR="00662E11" w:rsidRPr="009E050C" w:rsidRDefault="00AC252B" w:rsidP="009E050C">
      <w:pPr>
        <w:pStyle w:val="FootnoteText"/>
        <w:jc w:val="both"/>
        <w:rPr>
          <w:szCs w:val="18"/>
          <w:lang w:val="fr-FR"/>
        </w:rPr>
      </w:pPr>
      <w:r w:rsidRPr="009E050C">
        <w:rPr>
          <w:szCs w:val="18"/>
        </w:rPr>
        <w:tab/>
      </w:r>
      <w:r w:rsidR="00662E11" w:rsidRPr="00575ED2">
        <w:rPr>
          <w:rStyle w:val="FootnoteReference"/>
          <w:szCs w:val="18"/>
        </w:rPr>
        <w:footnoteRef/>
      </w:r>
      <w:r w:rsidR="00805845" w:rsidRPr="009E050C">
        <w:rPr>
          <w:szCs w:val="18"/>
          <w:lang w:val="fr-FR"/>
        </w:rPr>
        <w:tab/>
      </w:r>
      <w:proofErr w:type="spellStart"/>
      <w:r w:rsidR="003216E1" w:rsidRPr="009E050C">
        <w:rPr>
          <w:szCs w:val="18"/>
          <w:lang w:val="fr-FR"/>
        </w:rPr>
        <w:t>Submission</w:t>
      </w:r>
      <w:proofErr w:type="spellEnd"/>
      <w:r w:rsidR="003216E1" w:rsidRPr="009E050C">
        <w:rPr>
          <w:szCs w:val="18"/>
          <w:lang w:val="fr-FR"/>
        </w:rPr>
        <w:t xml:space="preserve"> by Médecins sans Frontières.</w:t>
      </w:r>
    </w:p>
  </w:footnote>
  <w:footnote w:id="42">
    <w:p w14:paraId="77AFF9FA" w14:textId="3E7AB667" w:rsidR="001A308C" w:rsidRPr="009E050C" w:rsidRDefault="00805845" w:rsidP="009E050C">
      <w:pPr>
        <w:pStyle w:val="FootnoteText"/>
        <w:jc w:val="both"/>
        <w:rPr>
          <w:szCs w:val="18"/>
        </w:rPr>
      </w:pPr>
      <w:r w:rsidRPr="009E050C">
        <w:rPr>
          <w:rFonts w:eastAsia="Times New Roman"/>
          <w:szCs w:val="18"/>
          <w:lang w:val="fr-FR"/>
        </w:rPr>
        <w:tab/>
      </w:r>
      <w:r w:rsidR="001A308C" w:rsidRPr="00575ED2">
        <w:rPr>
          <w:rStyle w:val="FootnoteReference"/>
          <w:rFonts w:eastAsia="Times New Roman"/>
          <w:szCs w:val="18"/>
        </w:rPr>
        <w:footnoteRef/>
      </w:r>
      <w:r w:rsidRPr="00575ED2">
        <w:rPr>
          <w:rFonts w:eastAsia="Times New Roman"/>
          <w:szCs w:val="18"/>
        </w:rPr>
        <w:tab/>
      </w:r>
      <w:r w:rsidR="001A308C" w:rsidRPr="00575ED2">
        <w:rPr>
          <w:rFonts w:eastAsia="Times New Roman"/>
          <w:szCs w:val="18"/>
        </w:rPr>
        <w:t xml:space="preserve">See for example </w:t>
      </w:r>
      <w:r w:rsidR="001A308C" w:rsidRPr="00575ED2">
        <w:rPr>
          <w:szCs w:val="18"/>
          <w14:ligatures w14:val="standardContextual"/>
        </w:rPr>
        <w:t>E/2023/74, para</w:t>
      </w:r>
      <w:r w:rsidR="00AB4813" w:rsidRPr="00575ED2">
        <w:rPr>
          <w:szCs w:val="18"/>
          <w14:ligatures w14:val="standardContextual"/>
        </w:rPr>
        <w:t>.</w:t>
      </w:r>
      <w:r w:rsidR="001A308C" w:rsidRPr="00575ED2">
        <w:rPr>
          <w:szCs w:val="18"/>
          <w14:ligatures w14:val="standardContextual"/>
        </w:rPr>
        <w:t xml:space="preserve"> 15</w:t>
      </w:r>
      <w:r w:rsidR="001A308C" w:rsidRPr="00575ED2">
        <w:rPr>
          <w:rFonts w:eastAsia="Times New Roman"/>
          <w:szCs w:val="18"/>
        </w:rPr>
        <w:t>.</w:t>
      </w:r>
    </w:p>
  </w:footnote>
  <w:footnote w:id="43">
    <w:p w14:paraId="255FD01A" w14:textId="0F3545BA" w:rsidR="001A308C" w:rsidRPr="00575ED2" w:rsidRDefault="00805845" w:rsidP="009E050C">
      <w:pPr>
        <w:pStyle w:val="FootnoteText"/>
        <w:jc w:val="both"/>
        <w:rPr>
          <w:i/>
          <w:iCs/>
          <w:szCs w:val="18"/>
        </w:rPr>
      </w:pPr>
      <w:r w:rsidRPr="00575ED2">
        <w:rPr>
          <w:szCs w:val="18"/>
        </w:rPr>
        <w:tab/>
      </w:r>
      <w:r w:rsidR="001A308C" w:rsidRPr="00575ED2">
        <w:rPr>
          <w:rStyle w:val="FootnoteReference"/>
          <w:rFonts w:eastAsia="Times New Roman"/>
          <w:szCs w:val="18"/>
        </w:rPr>
        <w:footnoteRef/>
      </w:r>
      <w:r w:rsidRPr="00575ED2">
        <w:rPr>
          <w:szCs w:val="18"/>
        </w:rPr>
        <w:tab/>
      </w:r>
      <w:r w:rsidR="00814575" w:rsidRPr="00575ED2">
        <w:rPr>
          <w:szCs w:val="18"/>
        </w:rPr>
        <w:t>M.</w:t>
      </w:r>
      <w:r w:rsidR="001A308C" w:rsidRPr="00575ED2">
        <w:rPr>
          <w:szCs w:val="18"/>
        </w:rPr>
        <w:t xml:space="preserve">C. </w:t>
      </w:r>
      <w:proofErr w:type="spellStart"/>
      <w:r w:rsidR="001A308C" w:rsidRPr="00575ED2">
        <w:rPr>
          <w:szCs w:val="18"/>
        </w:rPr>
        <w:t>Letinturier</w:t>
      </w:r>
      <w:proofErr w:type="spellEnd"/>
      <w:r w:rsidR="001A308C" w:rsidRPr="00575ED2">
        <w:rPr>
          <w:szCs w:val="18"/>
        </w:rPr>
        <w:t xml:space="preserve">-Valencia and others, eds., </w:t>
      </w:r>
      <w:r w:rsidR="001A308C" w:rsidRPr="00575ED2">
        <w:rPr>
          <w:i/>
          <w:iCs/>
          <w:szCs w:val="18"/>
        </w:rPr>
        <w:t xml:space="preserve">State of Play: Rare Diseases – Research Initiatives 2019–2021 </w:t>
      </w:r>
      <w:r w:rsidR="001A308C" w:rsidRPr="00575ED2">
        <w:rPr>
          <w:szCs w:val="18"/>
        </w:rPr>
        <w:t>(Ivry-sur-Seine, International Rare Diseases Research Consortium, 2022), p. 12.</w:t>
      </w:r>
    </w:p>
  </w:footnote>
  <w:footnote w:id="44">
    <w:p w14:paraId="5386FFB9" w14:textId="58419399" w:rsidR="00D93CA5" w:rsidRPr="00575ED2" w:rsidRDefault="00805845" w:rsidP="009E050C">
      <w:pPr>
        <w:pStyle w:val="FootnoteText"/>
        <w:jc w:val="both"/>
        <w:rPr>
          <w:szCs w:val="18"/>
        </w:rPr>
      </w:pPr>
      <w:r w:rsidRPr="00575ED2">
        <w:rPr>
          <w:szCs w:val="18"/>
        </w:rPr>
        <w:tab/>
      </w:r>
      <w:r w:rsidR="00D93CA5" w:rsidRPr="00575ED2">
        <w:rPr>
          <w:rStyle w:val="FootnoteReference"/>
          <w:szCs w:val="18"/>
        </w:rPr>
        <w:footnoteRef/>
      </w:r>
      <w:r w:rsidRPr="00575ED2">
        <w:rPr>
          <w:szCs w:val="18"/>
        </w:rPr>
        <w:tab/>
      </w:r>
      <w:r w:rsidR="008D4601" w:rsidRPr="009E050C">
        <w:rPr>
          <w:i/>
          <w:iCs/>
          <w:szCs w:val="18"/>
        </w:rPr>
        <w:t>Rare Diseases International</w:t>
      </w:r>
      <w:r w:rsidR="008D4601" w:rsidRPr="00575ED2">
        <w:rPr>
          <w:szCs w:val="18"/>
        </w:rPr>
        <w:t>, “New scientific paper confirms 300 million people living with a rare disease worldwide”, 15 October 2019, available at</w:t>
      </w:r>
      <w:r w:rsidR="00D93CA5" w:rsidRPr="00575ED2">
        <w:rPr>
          <w:szCs w:val="18"/>
        </w:rPr>
        <w:t xml:space="preserve"> </w:t>
      </w:r>
      <w:bookmarkStart w:id="6" w:name="OLE_LINK21"/>
      <w:bookmarkStart w:id="7" w:name="OLE_LINK22"/>
      <w:r w:rsidR="00BE199D" w:rsidRPr="009E050C">
        <w:t>www.rarediseasesinternational.org/new-scientific-paper-confirms-300-million-people-living-with-a-rare-disease-worldwide/</w:t>
      </w:r>
      <w:bookmarkEnd w:id="6"/>
      <w:bookmarkEnd w:id="7"/>
      <w:r w:rsidR="008D4601" w:rsidRPr="00575ED2">
        <w:rPr>
          <w:szCs w:val="18"/>
        </w:rPr>
        <w:t>. See</w:t>
      </w:r>
      <w:r w:rsidR="00024A4C" w:rsidRPr="00575ED2">
        <w:rPr>
          <w:szCs w:val="18"/>
        </w:rPr>
        <w:t xml:space="preserve"> also</w:t>
      </w:r>
      <w:r w:rsidR="008D4601" w:rsidRPr="00575ED2">
        <w:rPr>
          <w:szCs w:val="18"/>
        </w:rPr>
        <w:t xml:space="preserve"> General Assembly resolution</w:t>
      </w:r>
      <w:r w:rsidR="0043358D" w:rsidRPr="00575ED2">
        <w:rPr>
          <w:szCs w:val="18"/>
        </w:rPr>
        <w:t xml:space="preserve"> 76/132</w:t>
      </w:r>
      <w:r w:rsidR="00953F41" w:rsidRPr="00575ED2">
        <w:rPr>
          <w:szCs w:val="18"/>
        </w:rPr>
        <w:t>.</w:t>
      </w:r>
    </w:p>
  </w:footnote>
  <w:footnote w:id="45">
    <w:p w14:paraId="27589454" w14:textId="28733B71" w:rsidR="00784FC3" w:rsidRPr="009E050C" w:rsidRDefault="00805845" w:rsidP="009E050C">
      <w:pPr>
        <w:pStyle w:val="FootnoteText"/>
        <w:jc w:val="both"/>
        <w:rPr>
          <w:szCs w:val="18"/>
        </w:rPr>
      </w:pPr>
      <w:r w:rsidRPr="00575ED2">
        <w:rPr>
          <w:szCs w:val="18"/>
        </w:rPr>
        <w:tab/>
      </w:r>
      <w:r w:rsidR="00784FC3" w:rsidRPr="00575ED2">
        <w:rPr>
          <w:rStyle w:val="FootnoteReference"/>
          <w:szCs w:val="18"/>
        </w:rPr>
        <w:footnoteRef/>
      </w:r>
      <w:r w:rsidRPr="00575ED2">
        <w:rPr>
          <w:szCs w:val="18"/>
        </w:rPr>
        <w:tab/>
      </w:r>
      <w:r w:rsidR="00784FC3" w:rsidRPr="00575ED2">
        <w:rPr>
          <w:szCs w:val="18"/>
        </w:rPr>
        <w:t>S</w:t>
      </w:r>
      <w:r w:rsidR="00845961">
        <w:rPr>
          <w:szCs w:val="18"/>
        </w:rPr>
        <w:t>ee S</w:t>
      </w:r>
      <w:r w:rsidR="009A391D" w:rsidRPr="00575ED2">
        <w:rPr>
          <w:szCs w:val="18"/>
        </w:rPr>
        <w:t>t</w:t>
      </w:r>
      <w:r w:rsidR="009A391D" w:rsidRPr="009E050C">
        <w:rPr>
          <w:szCs w:val="18"/>
        </w:rPr>
        <w:t>éphanie</w:t>
      </w:r>
      <w:r w:rsidR="00784FC3" w:rsidRPr="00575ED2">
        <w:rPr>
          <w:szCs w:val="18"/>
        </w:rPr>
        <w:t xml:space="preserve"> </w:t>
      </w:r>
      <w:proofErr w:type="spellStart"/>
      <w:r w:rsidR="00784FC3" w:rsidRPr="00575ED2">
        <w:rPr>
          <w:szCs w:val="18"/>
        </w:rPr>
        <w:t>Nguengang</w:t>
      </w:r>
      <w:proofErr w:type="spellEnd"/>
      <w:r w:rsidR="00784FC3" w:rsidRPr="00575ED2">
        <w:rPr>
          <w:szCs w:val="18"/>
        </w:rPr>
        <w:t xml:space="preserve"> </w:t>
      </w:r>
      <w:proofErr w:type="spellStart"/>
      <w:r w:rsidR="00784FC3" w:rsidRPr="00575ED2">
        <w:rPr>
          <w:szCs w:val="18"/>
        </w:rPr>
        <w:t>Wakap</w:t>
      </w:r>
      <w:proofErr w:type="spellEnd"/>
      <w:r w:rsidR="009A391D" w:rsidRPr="00575ED2">
        <w:rPr>
          <w:szCs w:val="18"/>
        </w:rPr>
        <w:t xml:space="preserve"> and others</w:t>
      </w:r>
      <w:r w:rsidR="00784FC3" w:rsidRPr="00575ED2">
        <w:rPr>
          <w:szCs w:val="18"/>
        </w:rPr>
        <w:t xml:space="preserve">, </w:t>
      </w:r>
      <w:r w:rsidR="004266AB" w:rsidRPr="00575ED2">
        <w:rPr>
          <w:szCs w:val="18"/>
        </w:rPr>
        <w:t>“</w:t>
      </w:r>
      <w:r w:rsidR="00784FC3" w:rsidRPr="00575ED2">
        <w:rPr>
          <w:szCs w:val="18"/>
        </w:rPr>
        <w:t xml:space="preserve">Estimating cumulative point prevalence of rare diseases: analysis of the </w:t>
      </w:r>
      <w:proofErr w:type="spellStart"/>
      <w:r w:rsidR="00784FC3" w:rsidRPr="00575ED2">
        <w:rPr>
          <w:szCs w:val="18"/>
        </w:rPr>
        <w:t>Orphanet</w:t>
      </w:r>
      <w:proofErr w:type="spellEnd"/>
      <w:r w:rsidR="00784FC3" w:rsidRPr="00575ED2">
        <w:rPr>
          <w:szCs w:val="18"/>
        </w:rPr>
        <w:t xml:space="preserve"> database</w:t>
      </w:r>
      <w:r w:rsidR="004266AB" w:rsidRPr="00575ED2">
        <w:rPr>
          <w:szCs w:val="18"/>
        </w:rPr>
        <w:t>”</w:t>
      </w:r>
      <w:r w:rsidR="00784FC3" w:rsidRPr="00575ED2">
        <w:rPr>
          <w:szCs w:val="18"/>
        </w:rPr>
        <w:t xml:space="preserve">, </w:t>
      </w:r>
      <w:r w:rsidR="004266AB" w:rsidRPr="00575ED2">
        <w:rPr>
          <w:i/>
          <w:iCs/>
          <w:szCs w:val="18"/>
        </w:rPr>
        <w:t xml:space="preserve">European Journal of Human </w:t>
      </w:r>
      <w:r w:rsidR="004266AB" w:rsidRPr="009E050C">
        <w:rPr>
          <w:i/>
          <w:iCs/>
          <w:szCs w:val="18"/>
        </w:rPr>
        <w:t>Genetics</w:t>
      </w:r>
      <w:r w:rsidR="004266AB" w:rsidRPr="009E050C">
        <w:rPr>
          <w:szCs w:val="18"/>
        </w:rPr>
        <w:t>, vol. 28, No. 2 (2020), pp.</w:t>
      </w:r>
      <w:r w:rsidR="00784FC3" w:rsidRPr="009E050C">
        <w:rPr>
          <w:szCs w:val="18"/>
        </w:rPr>
        <w:t>165–173.</w:t>
      </w:r>
    </w:p>
  </w:footnote>
  <w:footnote w:id="46">
    <w:p w14:paraId="6F8505DD" w14:textId="67BC3617" w:rsidR="00D966AA" w:rsidRPr="009E050C" w:rsidRDefault="00805845" w:rsidP="009E050C">
      <w:pPr>
        <w:pStyle w:val="FootnoteText"/>
        <w:jc w:val="both"/>
        <w:rPr>
          <w:szCs w:val="18"/>
        </w:rPr>
      </w:pPr>
      <w:r w:rsidRPr="009E050C">
        <w:rPr>
          <w:szCs w:val="18"/>
        </w:rPr>
        <w:tab/>
      </w:r>
      <w:r w:rsidR="00D966AA" w:rsidRPr="00575ED2">
        <w:rPr>
          <w:rStyle w:val="FootnoteReference"/>
          <w:szCs w:val="18"/>
        </w:rPr>
        <w:footnoteRef/>
      </w:r>
      <w:r w:rsidRPr="009E050C">
        <w:rPr>
          <w:szCs w:val="18"/>
        </w:rPr>
        <w:tab/>
      </w:r>
      <w:r w:rsidR="00DC7CBA" w:rsidRPr="009E050C">
        <w:rPr>
          <w:szCs w:val="18"/>
        </w:rPr>
        <w:t>E/2023/74, para</w:t>
      </w:r>
      <w:r w:rsidR="003D3B0C" w:rsidRPr="00575ED2">
        <w:rPr>
          <w:szCs w:val="18"/>
        </w:rPr>
        <w:t>.</w:t>
      </w:r>
      <w:r w:rsidR="00DC7CBA" w:rsidRPr="009E050C">
        <w:rPr>
          <w:szCs w:val="18"/>
        </w:rPr>
        <w:t xml:space="preserve"> 15</w:t>
      </w:r>
      <w:r w:rsidR="003D3B0C" w:rsidRPr="00575ED2">
        <w:rPr>
          <w:szCs w:val="18"/>
        </w:rPr>
        <w:t>.</w:t>
      </w:r>
    </w:p>
  </w:footnote>
  <w:footnote w:id="47">
    <w:p w14:paraId="5D3EEB24" w14:textId="3A73FA9B" w:rsidR="00D966AA" w:rsidRPr="009E050C" w:rsidRDefault="00805845" w:rsidP="009E050C">
      <w:pPr>
        <w:pStyle w:val="FootnoteText"/>
        <w:jc w:val="both"/>
        <w:rPr>
          <w:szCs w:val="18"/>
        </w:rPr>
      </w:pPr>
      <w:r w:rsidRPr="009E050C">
        <w:rPr>
          <w:szCs w:val="18"/>
        </w:rPr>
        <w:tab/>
      </w:r>
      <w:r w:rsidR="00D966AA" w:rsidRPr="00575ED2">
        <w:rPr>
          <w:rStyle w:val="FootnoteReference"/>
          <w:rFonts w:eastAsia="Times New Roman"/>
          <w:szCs w:val="18"/>
        </w:rPr>
        <w:footnoteRef/>
      </w:r>
      <w:r w:rsidRPr="009E050C">
        <w:rPr>
          <w:szCs w:val="18"/>
        </w:rPr>
        <w:tab/>
      </w:r>
      <w:r w:rsidR="00E006F9" w:rsidRPr="009E050C">
        <w:rPr>
          <w:szCs w:val="18"/>
        </w:rPr>
        <w:t>Ibid</w:t>
      </w:r>
      <w:r w:rsidR="000C0485" w:rsidRPr="009E050C">
        <w:rPr>
          <w:szCs w:val="18"/>
        </w:rPr>
        <w:t>.</w:t>
      </w:r>
    </w:p>
  </w:footnote>
  <w:footnote w:id="48">
    <w:p w14:paraId="51CFA7A8" w14:textId="5A48EE30" w:rsidR="00D966AA" w:rsidRPr="009E050C" w:rsidRDefault="00805845" w:rsidP="009E050C">
      <w:pPr>
        <w:pStyle w:val="FootnoteText"/>
        <w:jc w:val="both"/>
        <w:rPr>
          <w:szCs w:val="18"/>
        </w:rPr>
      </w:pPr>
      <w:r w:rsidRPr="009E050C">
        <w:rPr>
          <w:szCs w:val="18"/>
        </w:rPr>
        <w:tab/>
      </w:r>
      <w:r w:rsidR="00D966AA" w:rsidRPr="00575ED2">
        <w:rPr>
          <w:rStyle w:val="FootnoteReference"/>
          <w:szCs w:val="18"/>
        </w:rPr>
        <w:footnoteRef/>
      </w:r>
      <w:r w:rsidRPr="009E050C">
        <w:rPr>
          <w:szCs w:val="18"/>
        </w:rPr>
        <w:tab/>
      </w:r>
      <w:r w:rsidR="004E23C8" w:rsidRPr="009E050C">
        <w:rPr>
          <w:szCs w:val="18"/>
        </w:rPr>
        <w:t xml:space="preserve">Frieda Klotz, “Why children’s medications are not fully tested”, </w:t>
      </w:r>
      <w:r w:rsidR="004E23C8" w:rsidRPr="009E050C">
        <w:rPr>
          <w:i/>
          <w:iCs/>
          <w:szCs w:val="18"/>
        </w:rPr>
        <w:t>Scientific American</w:t>
      </w:r>
      <w:r w:rsidR="004E23C8" w:rsidRPr="009E050C">
        <w:rPr>
          <w:szCs w:val="18"/>
        </w:rPr>
        <w:t xml:space="preserve">, 13 March 2024, available at </w:t>
      </w:r>
      <w:bookmarkStart w:id="8" w:name="OLE_LINK13"/>
      <w:bookmarkStart w:id="9" w:name="OLE_LINK14"/>
      <w:r w:rsidR="00D966AA" w:rsidRPr="009E050C">
        <w:rPr>
          <w:szCs w:val="18"/>
        </w:rPr>
        <w:t>www.scientificamerican.com/article/why-childrens-medications-are-not-fully-tested/</w:t>
      </w:r>
      <w:bookmarkEnd w:id="8"/>
      <w:bookmarkEnd w:id="9"/>
      <w:r w:rsidR="004E23C8" w:rsidRPr="00575ED2">
        <w:rPr>
          <w:szCs w:val="18"/>
        </w:rPr>
        <w:t>.</w:t>
      </w:r>
    </w:p>
  </w:footnote>
  <w:footnote w:id="49">
    <w:p w14:paraId="265FC13C" w14:textId="3AE67AFC" w:rsidR="00D966AA" w:rsidRPr="00575ED2" w:rsidRDefault="00D966AA" w:rsidP="009E050C">
      <w:pPr>
        <w:pStyle w:val="FootnoteText"/>
        <w:jc w:val="both"/>
        <w:rPr>
          <w:szCs w:val="18"/>
        </w:rPr>
      </w:pPr>
      <w:r w:rsidRPr="009E050C">
        <w:rPr>
          <w:szCs w:val="18"/>
        </w:rPr>
        <w:tab/>
      </w:r>
      <w:r w:rsidRPr="00575ED2">
        <w:rPr>
          <w:rStyle w:val="FootnoteReference"/>
          <w:szCs w:val="18"/>
        </w:rPr>
        <w:footnoteRef/>
      </w:r>
      <w:r w:rsidR="00805845" w:rsidRPr="009E050C">
        <w:rPr>
          <w:szCs w:val="18"/>
        </w:rPr>
        <w:tab/>
      </w:r>
      <w:r w:rsidR="004E23C8" w:rsidRPr="009E050C">
        <w:rPr>
          <w:szCs w:val="18"/>
        </w:rPr>
        <w:t>Submission</w:t>
      </w:r>
      <w:r w:rsidR="004E23C8" w:rsidRPr="00575ED2">
        <w:rPr>
          <w:szCs w:val="18"/>
        </w:rPr>
        <w:t xml:space="preserve"> by the Third World Network</w:t>
      </w:r>
      <w:r w:rsidRPr="00575ED2">
        <w:rPr>
          <w:szCs w:val="18"/>
        </w:rPr>
        <w:t>.</w:t>
      </w:r>
    </w:p>
  </w:footnote>
  <w:footnote w:id="50">
    <w:p w14:paraId="4284CF2C" w14:textId="5E27E8F4" w:rsidR="00D966AA" w:rsidRPr="00575ED2" w:rsidRDefault="00805845" w:rsidP="009E050C">
      <w:pPr>
        <w:pStyle w:val="FootnoteText"/>
        <w:jc w:val="both"/>
        <w:rPr>
          <w:szCs w:val="18"/>
        </w:rPr>
      </w:pPr>
      <w:r w:rsidRPr="00575ED2">
        <w:rPr>
          <w:szCs w:val="18"/>
        </w:rPr>
        <w:tab/>
      </w:r>
      <w:r w:rsidR="00D966AA" w:rsidRPr="00575ED2">
        <w:rPr>
          <w:rStyle w:val="FootnoteReference"/>
          <w:szCs w:val="18"/>
        </w:rPr>
        <w:footnoteRef/>
      </w:r>
      <w:r w:rsidRPr="00575ED2">
        <w:rPr>
          <w:szCs w:val="18"/>
        </w:rPr>
        <w:tab/>
      </w:r>
      <w:r w:rsidR="00C15A3B" w:rsidRPr="00575ED2">
        <w:rPr>
          <w:szCs w:val="18"/>
        </w:rPr>
        <w:t xml:space="preserve">See Philippe </w:t>
      </w:r>
      <w:proofErr w:type="spellStart"/>
      <w:r w:rsidR="00C15A3B" w:rsidRPr="00575ED2">
        <w:rPr>
          <w:szCs w:val="18"/>
        </w:rPr>
        <w:t>Pakter</w:t>
      </w:r>
      <w:proofErr w:type="spellEnd"/>
      <w:r w:rsidR="00C15A3B" w:rsidRPr="00575ED2">
        <w:rPr>
          <w:szCs w:val="18"/>
        </w:rPr>
        <w:t xml:space="preserve">, </w:t>
      </w:r>
      <w:r w:rsidR="00B57DF3" w:rsidRPr="00575ED2">
        <w:rPr>
          <w:szCs w:val="18"/>
        </w:rPr>
        <w:t>“R</w:t>
      </w:r>
      <w:r w:rsidR="00C15A3B" w:rsidRPr="00575ED2">
        <w:rPr>
          <w:szCs w:val="18"/>
        </w:rPr>
        <w:t xml:space="preserve">are disease care in Europe – </w:t>
      </w:r>
      <w:r w:rsidR="00B57DF3" w:rsidRPr="00575ED2">
        <w:rPr>
          <w:szCs w:val="18"/>
        </w:rPr>
        <w:t>g</w:t>
      </w:r>
      <w:r w:rsidR="00C15A3B" w:rsidRPr="00575ED2">
        <w:rPr>
          <w:szCs w:val="18"/>
        </w:rPr>
        <w:t>aping unmet needs</w:t>
      </w:r>
      <w:r w:rsidR="00B57DF3" w:rsidRPr="00575ED2">
        <w:rPr>
          <w:szCs w:val="18"/>
        </w:rPr>
        <w:t>”,</w:t>
      </w:r>
      <w:r w:rsidR="002550CA" w:rsidRPr="00575ED2">
        <w:rPr>
          <w:i/>
          <w:iCs/>
          <w:szCs w:val="18"/>
        </w:rPr>
        <w:t xml:space="preserve"> Rare</w:t>
      </w:r>
      <w:r w:rsidR="002550CA" w:rsidRPr="00575ED2">
        <w:rPr>
          <w:szCs w:val="18"/>
        </w:rPr>
        <w:t>, vol. 2</w:t>
      </w:r>
      <w:r w:rsidR="00C15A3B" w:rsidRPr="00575ED2">
        <w:rPr>
          <w:szCs w:val="18"/>
        </w:rPr>
        <w:t xml:space="preserve"> (2024)</w:t>
      </w:r>
      <w:r w:rsidR="002550CA" w:rsidRPr="00575ED2">
        <w:rPr>
          <w:szCs w:val="18"/>
        </w:rPr>
        <w:t>.</w:t>
      </w:r>
    </w:p>
  </w:footnote>
  <w:footnote w:id="51">
    <w:p w14:paraId="3E76E478" w14:textId="10734B35"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2550CA" w:rsidRPr="00575ED2">
        <w:rPr>
          <w:szCs w:val="18"/>
        </w:rPr>
        <w:t xml:space="preserve">Submissions by </w:t>
      </w:r>
      <w:r w:rsidRPr="00575ED2">
        <w:rPr>
          <w:szCs w:val="18"/>
        </w:rPr>
        <w:t>UN</w:t>
      </w:r>
      <w:r w:rsidR="002550CA" w:rsidRPr="00575ED2">
        <w:rPr>
          <w:szCs w:val="18"/>
        </w:rPr>
        <w:t>-</w:t>
      </w:r>
      <w:r w:rsidRPr="00575ED2">
        <w:rPr>
          <w:szCs w:val="18"/>
        </w:rPr>
        <w:t>Women and Mexico.</w:t>
      </w:r>
    </w:p>
  </w:footnote>
  <w:footnote w:id="52">
    <w:p w14:paraId="722796C6" w14:textId="02499310"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2550CA" w:rsidRPr="00575ED2">
        <w:rPr>
          <w:szCs w:val="18"/>
        </w:rPr>
        <w:t xml:space="preserve">Submissions by </w:t>
      </w:r>
      <w:r w:rsidRPr="00575ED2">
        <w:rPr>
          <w:szCs w:val="18"/>
        </w:rPr>
        <w:t>Mexico and Guatemala.</w:t>
      </w:r>
    </w:p>
  </w:footnote>
  <w:footnote w:id="53">
    <w:p w14:paraId="73D01932" w14:textId="4427F2C9"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EE0C61" w:rsidRPr="00575ED2">
        <w:rPr>
          <w:szCs w:val="18"/>
        </w:rPr>
        <w:t xml:space="preserve">Helena Nygren-Krug, “The right(s) road to universal health coverage”, </w:t>
      </w:r>
      <w:r w:rsidR="00EE0C61" w:rsidRPr="00575ED2">
        <w:rPr>
          <w:i/>
          <w:iCs/>
          <w:szCs w:val="18"/>
        </w:rPr>
        <w:t>Health and Human Rights Journal</w:t>
      </w:r>
      <w:r w:rsidR="00EE0C61" w:rsidRPr="00575ED2">
        <w:rPr>
          <w:szCs w:val="18"/>
        </w:rPr>
        <w:t>, vol. 21, No. 2</w:t>
      </w:r>
      <w:r w:rsidR="00E93283" w:rsidRPr="00575ED2">
        <w:rPr>
          <w:szCs w:val="18"/>
        </w:rPr>
        <w:t>(</w:t>
      </w:r>
      <w:r w:rsidR="00843C27" w:rsidRPr="00575ED2">
        <w:rPr>
          <w:szCs w:val="18"/>
        </w:rPr>
        <w:t>December 2019</w:t>
      </w:r>
      <w:r w:rsidR="00E93283" w:rsidRPr="00575ED2">
        <w:rPr>
          <w:szCs w:val="18"/>
        </w:rPr>
        <w:t>)</w:t>
      </w:r>
      <w:r w:rsidR="00843C27" w:rsidRPr="00575ED2">
        <w:rPr>
          <w:szCs w:val="18"/>
        </w:rPr>
        <w:t xml:space="preserve">; </w:t>
      </w:r>
      <w:r w:rsidR="00E93283" w:rsidRPr="00575ED2">
        <w:rPr>
          <w:szCs w:val="18"/>
        </w:rPr>
        <w:t xml:space="preserve">submission by </w:t>
      </w:r>
      <w:r w:rsidRPr="00575ED2">
        <w:rPr>
          <w:szCs w:val="18"/>
        </w:rPr>
        <w:t xml:space="preserve">Guatemala. </w:t>
      </w:r>
    </w:p>
  </w:footnote>
  <w:footnote w:id="54">
    <w:p w14:paraId="11638954" w14:textId="56361418"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E93283" w:rsidRPr="00575ED2">
        <w:rPr>
          <w:szCs w:val="18"/>
        </w:rPr>
        <w:t xml:space="preserve">Submission by </w:t>
      </w:r>
      <w:r w:rsidRPr="00575ED2">
        <w:rPr>
          <w:szCs w:val="18"/>
        </w:rPr>
        <w:t>UN</w:t>
      </w:r>
      <w:r w:rsidR="00E93283" w:rsidRPr="00575ED2">
        <w:rPr>
          <w:szCs w:val="18"/>
        </w:rPr>
        <w:t>-</w:t>
      </w:r>
      <w:r w:rsidRPr="00575ED2">
        <w:rPr>
          <w:szCs w:val="18"/>
        </w:rPr>
        <w:t>Women.</w:t>
      </w:r>
    </w:p>
  </w:footnote>
  <w:footnote w:id="55">
    <w:p w14:paraId="3298203A" w14:textId="05B547B1"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 xml:space="preserve">See </w:t>
      </w:r>
      <w:bookmarkStart w:id="10" w:name="OLE_LINK23"/>
      <w:bookmarkStart w:id="11" w:name="OLE_LINK24"/>
      <w:r w:rsidR="001107CB">
        <w:rPr>
          <w:rFonts w:eastAsia="Times New Roman"/>
          <w:szCs w:val="18"/>
        </w:rPr>
        <w:fldChar w:fldCharType="begin"/>
      </w:r>
      <w:r w:rsidR="001107CB">
        <w:rPr>
          <w:rFonts w:eastAsia="Times New Roman"/>
          <w:szCs w:val="18"/>
        </w:rPr>
        <w:instrText>HYPERLINK "http://</w:instrText>
      </w:r>
      <w:r w:rsidR="001107CB" w:rsidRPr="009E050C">
        <w:instrText>www.who.int/initiatives/beijing25</w:instrText>
      </w:r>
      <w:r w:rsidR="001107CB">
        <w:rPr>
          <w:rFonts w:eastAsia="Times New Roman"/>
          <w:szCs w:val="18"/>
        </w:rPr>
        <w:instrText>"</w:instrText>
      </w:r>
      <w:r w:rsidR="001107CB">
        <w:rPr>
          <w:rFonts w:eastAsia="Times New Roman"/>
          <w:szCs w:val="18"/>
        </w:rPr>
      </w:r>
      <w:r w:rsidR="001107CB">
        <w:rPr>
          <w:rFonts w:eastAsia="Times New Roman"/>
          <w:szCs w:val="18"/>
        </w:rPr>
        <w:fldChar w:fldCharType="separate"/>
      </w:r>
      <w:r w:rsidR="001107CB" w:rsidRPr="001107CB">
        <w:rPr>
          <w:rStyle w:val="Hyperlink"/>
          <w:rFonts w:eastAsia="Times New Roman"/>
          <w:szCs w:val="18"/>
        </w:rPr>
        <w:t>www.who.int/initiatives/beijing25</w:t>
      </w:r>
      <w:bookmarkEnd w:id="10"/>
      <w:bookmarkEnd w:id="11"/>
      <w:r w:rsidR="001107CB">
        <w:rPr>
          <w:rFonts w:eastAsia="Times New Roman"/>
          <w:szCs w:val="18"/>
        </w:rPr>
        <w:fldChar w:fldCharType="end"/>
      </w:r>
    </w:p>
  </w:footnote>
  <w:footnote w:id="56">
    <w:p w14:paraId="0B0EFB29" w14:textId="1029337F" w:rsidR="0074143C" w:rsidRPr="009E050C"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FC1203" w:rsidRPr="00575ED2">
        <w:rPr>
          <w:szCs w:val="18"/>
        </w:rPr>
        <w:t>Submission by the Third World Network</w:t>
      </w:r>
      <w:r w:rsidR="00D46F9B" w:rsidRPr="00575ED2">
        <w:rPr>
          <w:szCs w:val="18"/>
        </w:rPr>
        <w:t>.</w:t>
      </w:r>
    </w:p>
  </w:footnote>
  <w:footnote w:id="57">
    <w:p w14:paraId="2BA3F4E8" w14:textId="5198C7C9" w:rsidR="00FC7F18" w:rsidRPr="009E050C" w:rsidRDefault="00FC7F18"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A/76/157, paras</w:t>
      </w:r>
      <w:r w:rsidR="00601727" w:rsidRPr="00575ED2">
        <w:rPr>
          <w:szCs w:val="18"/>
        </w:rPr>
        <w:t>.</w:t>
      </w:r>
      <w:r w:rsidRPr="00575ED2">
        <w:rPr>
          <w:szCs w:val="18"/>
        </w:rPr>
        <w:t xml:space="preserve"> 36 and 37</w:t>
      </w:r>
      <w:r w:rsidR="00932594" w:rsidRPr="00575ED2">
        <w:rPr>
          <w:szCs w:val="18"/>
        </w:rPr>
        <w:t>.</w:t>
      </w:r>
    </w:p>
  </w:footnote>
  <w:footnote w:id="58">
    <w:p w14:paraId="55FA2526" w14:textId="764324BF"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4F07D7" w:rsidRPr="00575ED2">
        <w:rPr>
          <w:szCs w:val="18"/>
        </w:rPr>
        <w:t>Barbara E.</w:t>
      </w:r>
      <w:r w:rsidR="004F07D7" w:rsidRPr="00575ED2">
        <w:rPr>
          <w:rStyle w:val="FootnoteReference"/>
          <w:szCs w:val="18"/>
        </w:rPr>
        <w:t xml:space="preserve"> </w:t>
      </w:r>
      <w:proofErr w:type="spellStart"/>
      <w:r w:rsidR="004F07D7" w:rsidRPr="00575ED2">
        <w:rPr>
          <w:szCs w:val="18"/>
        </w:rPr>
        <w:t>Bierer</w:t>
      </w:r>
      <w:proofErr w:type="spellEnd"/>
      <w:r w:rsidR="004F07D7" w:rsidRPr="00575ED2">
        <w:rPr>
          <w:szCs w:val="18"/>
        </w:rPr>
        <w:t xml:space="preserve"> and others,</w:t>
      </w:r>
      <w:r w:rsidRPr="00575ED2">
        <w:rPr>
          <w:szCs w:val="18"/>
        </w:rPr>
        <w:t xml:space="preserve"> </w:t>
      </w:r>
      <w:r w:rsidR="004F07D7" w:rsidRPr="00575ED2">
        <w:rPr>
          <w:szCs w:val="18"/>
        </w:rPr>
        <w:t>“</w:t>
      </w:r>
      <w:r w:rsidRPr="00575ED2">
        <w:rPr>
          <w:szCs w:val="18"/>
        </w:rPr>
        <w:t>Advancing the inclusion of underrepresented women in clinical research</w:t>
      </w:r>
      <w:r w:rsidR="00421E25" w:rsidRPr="00575ED2">
        <w:rPr>
          <w:szCs w:val="18"/>
        </w:rPr>
        <w:t>”,</w:t>
      </w:r>
      <w:r w:rsidRPr="00575ED2">
        <w:rPr>
          <w:szCs w:val="18"/>
        </w:rPr>
        <w:t xml:space="preserve"> </w:t>
      </w:r>
      <w:r w:rsidRPr="00575ED2">
        <w:rPr>
          <w:i/>
          <w:iCs/>
          <w:szCs w:val="18"/>
        </w:rPr>
        <w:t>Cell Reports Medicine</w:t>
      </w:r>
      <w:r w:rsidRPr="00575ED2">
        <w:rPr>
          <w:szCs w:val="18"/>
        </w:rPr>
        <w:t xml:space="preserve">, </w:t>
      </w:r>
      <w:r w:rsidR="00421E25" w:rsidRPr="00575ED2">
        <w:rPr>
          <w:szCs w:val="18"/>
        </w:rPr>
        <w:t>vol. 3, No. 4 (2022)</w:t>
      </w:r>
      <w:r w:rsidRPr="00575ED2">
        <w:rPr>
          <w:szCs w:val="18"/>
        </w:rPr>
        <w:t xml:space="preserve">. </w:t>
      </w:r>
      <w:r w:rsidR="00421E25" w:rsidRPr="00575ED2">
        <w:rPr>
          <w:szCs w:val="18"/>
        </w:rPr>
        <w:t xml:space="preserve">See also submission by </w:t>
      </w:r>
      <w:r w:rsidRPr="00575ED2">
        <w:rPr>
          <w:szCs w:val="18"/>
        </w:rPr>
        <w:t>UN</w:t>
      </w:r>
      <w:r w:rsidR="00421E25" w:rsidRPr="00575ED2">
        <w:rPr>
          <w:szCs w:val="18"/>
        </w:rPr>
        <w:t>-</w:t>
      </w:r>
      <w:r w:rsidRPr="00575ED2">
        <w:rPr>
          <w:szCs w:val="18"/>
        </w:rPr>
        <w:t xml:space="preserve">Women. </w:t>
      </w:r>
    </w:p>
  </w:footnote>
  <w:footnote w:id="59">
    <w:p w14:paraId="58C60532" w14:textId="6A0B624E"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11701E" w:rsidRPr="00575ED2">
        <w:rPr>
          <w:szCs w:val="18"/>
        </w:rPr>
        <w:t xml:space="preserve">Submission by the Elizabeth Glaser </w:t>
      </w:r>
      <w:proofErr w:type="spellStart"/>
      <w:r w:rsidR="0011701E" w:rsidRPr="00575ED2">
        <w:rPr>
          <w:szCs w:val="18"/>
        </w:rPr>
        <w:t>Pediatric</w:t>
      </w:r>
      <w:proofErr w:type="spellEnd"/>
      <w:r w:rsidR="0011701E" w:rsidRPr="00575ED2">
        <w:rPr>
          <w:szCs w:val="18"/>
        </w:rPr>
        <w:t xml:space="preserve"> AIDS Foundation</w:t>
      </w:r>
      <w:r w:rsidRPr="00575ED2">
        <w:rPr>
          <w:szCs w:val="18"/>
        </w:rPr>
        <w:t>.</w:t>
      </w:r>
    </w:p>
  </w:footnote>
  <w:footnote w:id="60">
    <w:p w14:paraId="3FC23CEF" w14:textId="61059589" w:rsidR="0074143C" w:rsidRPr="00575ED2" w:rsidRDefault="0074143C" w:rsidP="009E050C">
      <w:pPr>
        <w:pStyle w:val="FootnoteText"/>
        <w:jc w:val="both"/>
        <w:rPr>
          <w:szCs w:val="18"/>
        </w:rPr>
      </w:pPr>
      <w:r w:rsidRPr="00575ED2">
        <w:rPr>
          <w:rFonts w:eastAsia="Times New Roman"/>
          <w:szCs w:val="18"/>
        </w:rPr>
        <w:tab/>
      </w:r>
      <w:r w:rsidRPr="00575ED2">
        <w:rPr>
          <w:rStyle w:val="FootnoteReference"/>
          <w:szCs w:val="18"/>
        </w:rPr>
        <w:footnoteRef/>
      </w:r>
      <w:r w:rsidR="00805845" w:rsidRPr="00575ED2">
        <w:rPr>
          <w:rFonts w:eastAsia="Times New Roman"/>
          <w:szCs w:val="18"/>
        </w:rPr>
        <w:tab/>
      </w:r>
      <w:r w:rsidRPr="00575ED2">
        <w:rPr>
          <w:rFonts w:eastAsia="Times New Roman"/>
          <w:szCs w:val="18"/>
        </w:rPr>
        <w:t>See Access to Medicine Foundation</w:t>
      </w:r>
      <w:r w:rsidR="00E13341" w:rsidRPr="00575ED2">
        <w:rPr>
          <w:rFonts w:eastAsia="Times New Roman"/>
          <w:szCs w:val="18"/>
        </w:rPr>
        <w:t xml:space="preserve">, </w:t>
      </w:r>
      <w:r w:rsidR="0011701E" w:rsidRPr="00575ED2">
        <w:rPr>
          <w:i/>
          <w:iCs/>
          <w:szCs w:val="18"/>
        </w:rPr>
        <w:t>Access to Medicine Index 2022</w:t>
      </w:r>
      <w:r w:rsidRPr="00575ED2">
        <w:rPr>
          <w:rFonts w:eastAsia="Times New Roman"/>
          <w:szCs w:val="18"/>
        </w:rPr>
        <w:t>.</w:t>
      </w:r>
      <w:r w:rsidR="00E13341" w:rsidRPr="00575ED2">
        <w:rPr>
          <w:rFonts w:eastAsia="Times New Roman"/>
          <w:szCs w:val="18"/>
        </w:rPr>
        <w:t xml:space="preserve"> </w:t>
      </w:r>
    </w:p>
  </w:footnote>
  <w:footnote w:id="61">
    <w:p w14:paraId="19A87AA3" w14:textId="3DF52BC4"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1A34BE" w:rsidRPr="00575ED2">
        <w:rPr>
          <w:szCs w:val="18"/>
        </w:rPr>
        <w:t>Submission by the national human rights institution of</w:t>
      </w:r>
      <w:r w:rsidR="00287410" w:rsidRPr="00575ED2">
        <w:rPr>
          <w:szCs w:val="18"/>
        </w:rPr>
        <w:t xml:space="preserve"> Ecuador</w:t>
      </w:r>
      <w:r w:rsidRPr="00575ED2">
        <w:rPr>
          <w:szCs w:val="18"/>
        </w:rPr>
        <w:t xml:space="preserve">. </w:t>
      </w:r>
    </w:p>
  </w:footnote>
  <w:footnote w:id="62">
    <w:p w14:paraId="6F758293" w14:textId="761F31F0"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OHCHR</w:t>
      </w:r>
      <w:r w:rsidR="00287410" w:rsidRPr="00575ED2">
        <w:rPr>
          <w:szCs w:val="18"/>
        </w:rPr>
        <w:t>, “Contraception and family planning”,</w:t>
      </w:r>
      <w:r w:rsidRPr="00575ED2">
        <w:rPr>
          <w:szCs w:val="18"/>
        </w:rPr>
        <w:t xml:space="preserve"> Information Series on Sexual and Reproductive Health and Rights Contraception and Family Planning </w:t>
      </w:r>
      <w:r w:rsidR="00EF40AD" w:rsidRPr="00575ED2">
        <w:rPr>
          <w:szCs w:val="18"/>
        </w:rPr>
        <w:t xml:space="preserve">(2020), </w:t>
      </w:r>
      <w:r w:rsidR="00E50B46" w:rsidRPr="00575ED2">
        <w:rPr>
          <w:szCs w:val="18"/>
        </w:rPr>
        <w:t xml:space="preserve">available at </w:t>
      </w:r>
      <w:bookmarkStart w:id="12" w:name="OLE_LINK25"/>
      <w:bookmarkStart w:id="13" w:name="OLE_LINK26"/>
      <w:r w:rsidR="00E50B46" w:rsidRPr="00575ED2">
        <w:rPr>
          <w:rStyle w:val="Hyperlink"/>
          <w:rFonts w:eastAsia="Times New Roman"/>
          <w:szCs w:val="18"/>
        </w:rPr>
        <w:t>www.ohchr.org/sites/default/files/Documents/Issues/Women/WRGS/SexualHealth/INFO_Contra_FamPlan_WEB.pdf</w:t>
      </w:r>
      <w:bookmarkEnd w:id="12"/>
      <w:bookmarkEnd w:id="13"/>
      <w:r w:rsidR="00E50B46" w:rsidRPr="00575ED2">
        <w:rPr>
          <w:rStyle w:val="Hyperlink"/>
          <w:rFonts w:eastAsia="Times New Roman"/>
          <w:szCs w:val="18"/>
        </w:rPr>
        <w:t>.</w:t>
      </w:r>
    </w:p>
  </w:footnote>
  <w:footnote w:id="63">
    <w:p w14:paraId="0A1F268F" w14:textId="4068D7FB"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E50B46" w:rsidRPr="00575ED2">
        <w:rPr>
          <w:szCs w:val="18"/>
        </w:rPr>
        <w:t xml:space="preserve">Submission by the national human rights institution of </w:t>
      </w:r>
      <w:r w:rsidRPr="00575ED2">
        <w:rPr>
          <w:szCs w:val="18"/>
        </w:rPr>
        <w:t>Slovakia.</w:t>
      </w:r>
    </w:p>
  </w:footnote>
  <w:footnote w:id="64">
    <w:p w14:paraId="6816F7D1" w14:textId="7480D982"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E50B46" w:rsidRPr="00575ED2">
        <w:rPr>
          <w:szCs w:val="18"/>
        </w:rPr>
        <w:t xml:space="preserve">Submission by the national human rights institution </w:t>
      </w:r>
      <w:proofErr w:type="spellStart"/>
      <w:r w:rsidR="00E50B46" w:rsidRPr="00575ED2">
        <w:rPr>
          <w:szCs w:val="18"/>
        </w:rPr>
        <w:t>of</w:t>
      </w:r>
      <w:r w:rsidRPr="00575ED2">
        <w:rPr>
          <w:szCs w:val="18"/>
        </w:rPr>
        <w:t>Ecuador</w:t>
      </w:r>
      <w:proofErr w:type="spellEnd"/>
      <w:r w:rsidRPr="00575ED2">
        <w:rPr>
          <w:szCs w:val="18"/>
        </w:rPr>
        <w:t xml:space="preserve">. </w:t>
      </w:r>
    </w:p>
  </w:footnote>
  <w:footnote w:id="65">
    <w:p w14:paraId="542DEBC9" w14:textId="12F23F94"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A/HRC/53/40</w:t>
      </w:r>
      <w:r w:rsidR="00414D07" w:rsidRPr="00575ED2">
        <w:rPr>
          <w:szCs w:val="18"/>
        </w:rPr>
        <w:t>. See also</w:t>
      </w:r>
      <w:r w:rsidRPr="00575ED2">
        <w:rPr>
          <w:szCs w:val="18"/>
        </w:rPr>
        <w:t xml:space="preserve"> </w:t>
      </w:r>
      <w:r w:rsidR="00414D07" w:rsidRPr="00575ED2">
        <w:rPr>
          <w:szCs w:val="18"/>
        </w:rPr>
        <w:t>s</w:t>
      </w:r>
      <w:r w:rsidRPr="00575ED2">
        <w:rPr>
          <w:szCs w:val="18"/>
        </w:rPr>
        <w:t>ubmission</w:t>
      </w:r>
      <w:r w:rsidR="00E13341" w:rsidRPr="00575ED2">
        <w:rPr>
          <w:szCs w:val="18"/>
        </w:rPr>
        <w:t>s</w:t>
      </w:r>
      <w:r w:rsidRPr="00575ED2">
        <w:rPr>
          <w:szCs w:val="18"/>
        </w:rPr>
        <w:t xml:space="preserve"> </w:t>
      </w:r>
      <w:r w:rsidR="00414D07" w:rsidRPr="00575ED2">
        <w:rPr>
          <w:szCs w:val="18"/>
        </w:rPr>
        <w:t xml:space="preserve">by </w:t>
      </w:r>
      <w:proofErr w:type="spellStart"/>
      <w:r w:rsidRPr="00575ED2">
        <w:rPr>
          <w:szCs w:val="18"/>
        </w:rPr>
        <w:t>Mujeres</w:t>
      </w:r>
      <w:proofErr w:type="spellEnd"/>
      <w:r w:rsidRPr="00575ED2">
        <w:rPr>
          <w:szCs w:val="18"/>
        </w:rPr>
        <w:t xml:space="preserve"> Esperanza</w:t>
      </w:r>
      <w:r w:rsidR="00E13341" w:rsidRPr="00575ED2">
        <w:rPr>
          <w:szCs w:val="18"/>
        </w:rPr>
        <w:t xml:space="preserve"> </w:t>
      </w:r>
      <w:r w:rsidR="00414D07" w:rsidRPr="00575ED2">
        <w:rPr>
          <w:szCs w:val="18"/>
        </w:rPr>
        <w:t xml:space="preserve">(in Spanish) </w:t>
      </w:r>
      <w:r w:rsidR="00E13341" w:rsidRPr="00575ED2">
        <w:rPr>
          <w:szCs w:val="18"/>
        </w:rPr>
        <w:t xml:space="preserve">and </w:t>
      </w:r>
      <w:proofErr w:type="spellStart"/>
      <w:r w:rsidRPr="00575ED2">
        <w:rPr>
          <w:szCs w:val="18"/>
        </w:rPr>
        <w:t>L'Observatoire</w:t>
      </w:r>
      <w:proofErr w:type="spellEnd"/>
      <w:r w:rsidRPr="00575ED2">
        <w:rPr>
          <w:szCs w:val="18"/>
        </w:rPr>
        <w:t xml:space="preserve"> international des </w:t>
      </w:r>
      <w:r w:rsidR="00F66F63" w:rsidRPr="00575ED2">
        <w:rPr>
          <w:szCs w:val="18"/>
        </w:rPr>
        <w:t xml:space="preserve">prisons </w:t>
      </w:r>
      <w:r w:rsidR="005E0A48" w:rsidRPr="00575ED2">
        <w:rPr>
          <w:szCs w:val="18"/>
        </w:rPr>
        <w:t>– section française (in French).</w:t>
      </w:r>
    </w:p>
  </w:footnote>
  <w:footnote w:id="66">
    <w:p w14:paraId="00BB5637" w14:textId="5FD0A116" w:rsidR="0074143C" w:rsidRPr="00575ED2" w:rsidRDefault="0074143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 xml:space="preserve">Joint </w:t>
      </w:r>
      <w:r w:rsidR="00A20426" w:rsidRPr="00575ED2">
        <w:rPr>
          <w:szCs w:val="18"/>
        </w:rPr>
        <w:t>s</w:t>
      </w:r>
      <w:r w:rsidRPr="00575ED2">
        <w:rPr>
          <w:szCs w:val="18"/>
        </w:rPr>
        <w:t xml:space="preserve">ubmission </w:t>
      </w:r>
      <w:r w:rsidR="00A20426" w:rsidRPr="00575ED2">
        <w:rPr>
          <w:szCs w:val="18"/>
        </w:rPr>
        <w:t xml:space="preserve">by </w:t>
      </w:r>
      <w:r w:rsidRPr="00575ED2">
        <w:rPr>
          <w:szCs w:val="18"/>
        </w:rPr>
        <w:t xml:space="preserve">Transgender </w:t>
      </w:r>
      <w:r w:rsidR="00A20426" w:rsidRPr="00575ED2">
        <w:rPr>
          <w:szCs w:val="18"/>
        </w:rPr>
        <w:t xml:space="preserve">Europe </w:t>
      </w:r>
      <w:r w:rsidR="00465A38" w:rsidRPr="00575ED2">
        <w:rPr>
          <w:szCs w:val="18"/>
        </w:rPr>
        <w:t>and the European Region of the International Lesbian and Gay Federation.</w:t>
      </w:r>
    </w:p>
  </w:footnote>
  <w:footnote w:id="67">
    <w:p w14:paraId="3F76021F" w14:textId="6DE66962" w:rsidR="00303B73" w:rsidRPr="009E050C" w:rsidRDefault="00805845" w:rsidP="009E050C">
      <w:pPr>
        <w:pStyle w:val="FootnoteText"/>
        <w:jc w:val="both"/>
        <w:rPr>
          <w:szCs w:val="18"/>
        </w:rPr>
      </w:pPr>
      <w:r w:rsidRPr="00575ED2">
        <w:rPr>
          <w:szCs w:val="18"/>
        </w:rPr>
        <w:tab/>
      </w:r>
      <w:r w:rsidR="00303B73" w:rsidRPr="00575ED2">
        <w:rPr>
          <w:rStyle w:val="FootnoteReference"/>
          <w:szCs w:val="18"/>
        </w:rPr>
        <w:footnoteRef/>
      </w:r>
      <w:r w:rsidRPr="00575ED2">
        <w:rPr>
          <w:szCs w:val="18"/>
        </w:rPr>
        <w:tab/>
      </w:r>
      <w:r w:rsidR="00465A38" w:rsidRPr="00575ED2">
        <w:rPr>
          <w:szCs w:val="18"/>
        </w:rPr>
        <w:t xml:space="preserve">Submission by </w:t>
      </w:r>
      <w:r w:rsidR="00303B73" w:rsidRPr="00575ED2">
        <w:rPr>
          <w:szCs w:val="18"/>
        </w:rPr>
        <w:t>UN</w:t>
      </w:r>
      <w:r w:rsidR="00465A38" w:rsidRPr="00575ED2">
        <w:rPr>
          <w:szCs w:val="18"/>
        </w:rPr>
        <w:t>-</w:t>
      </w:r>
      <w:r w:rsidR="00303B73" w:rsidRPr="00575ED2">
        <w:rPr>
          <w:szCs w:val="18"/>
        </w:rPr>
        <w:t>Women.</w:t>
      </w:r>
    </w:p>
  </w:footnote>
  <w:footnote w:id="68">
    <w:p w14:paraId="13074757" w14:textId="3B65CDC3" w:rsidR="0074143C" w:rsidRPr="00575ED2" w:rsidRDefault="00805845" w:rsidP="009E050C">
      <w:pPr>
        <w:pStyle w:val="FootnoteText"/>
        <w:jc w:val="both"/>
        <w:rPr>
          <w:szCs w:val="18"/>
        </w:rPr>
      </w:pPr>
      <w:r w:rsidRPr="00575ED2">
        <w:rPr>
          <w:szCs w:val="18"/>
        </w:rPr>
        <w:tab/>
      </w:r>
      <w:r w:rsidR="0074143C" w:rsidRPr="00575ED2">
        <w:rPr>
          <w:rStyle w:val="FootnoteReference"/>
          <w:szCs w:val="18"/>
        </w:rPr>
        <w:footnoteRef/>
      </w:r>
      <w:r w:rsidRPr="00575ED2">
        <w:rPr>
          <w:szCs w:val="18"/>
        </w:rPr>
        <w:tab/>
      </w:r>
      <w:r w:rsidR="0074143C" w:rsidRPr="00575ED2">
        <w:rPr>
          <w:szCs w:val="18"/>
        </w:rPr>
        <w:t>Ibid.</w:t>
      </w:r>
    </w:p>
  </w:footnote>
  <w:footnote w:id="69">
    <w:p w14:paraId="2730282F" w14:textId="53764A74" w:rsidR="00255794" w:rsidRPr="00575ED2" w:rsidRDefault="00255794"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proofErr w:type="spellStart"/>
      <w:r w:rsidR="005E1BFF" w:rsidRPr="00575ED2">
        <w:rPr>
          <w:szCs w:val="18"/>
        </w:rPr>
        <w:t>Ikponwosa</w:t>
      </w:r>
      <w:proofErr w:type="spellEnd"/>
      <w:r w:rsidR="005E1BFF" w:rsidRPr="00575ED2">
        <w:rPr>
          <w:szCs w:val="18"/>
        </w:rPr>
        <w:t xml:space="preserve"> </w:t>
      </w:r>
      <w:proofErr w:type="spellStart"/>
      <w:r w:rsidR="005E1BFF" w:rsidRPr="00575ED2">
        <w:rPr>
          <w:szCs w:val="18"/>
        </w:rPr>
        <w:t>Ero</w:t>
      </w:r>
      <w:proofErr w:type="spellEnd"/>
      <w:r w:rsidR="005E1BFF" w:rsidRPr="00575ED2">
        <w:rPr>
          <w:szCs w:val="18"/>
        </w:rPr>
        <w:t xml:space="preserve"> and others, </w:t>
      </w:r>
      <w:r w:rsidR="005E1BFF" w:rsidRPr="00575ED2">
        <w:rPr>
          <w:i/>
          <w:iCs/>
          <w:szCs w:val="18"/>
        </w:rPr>
        <w:t>People with Albinism Worldwide: A Human Rights Perspective</w:t>
      </w:r>
      <w:r w:rsidR="005E1BFF" w:rsidRPr="00575ED2">
        <w:rPr>
          <w:szCs w:val="18"/>
        </w:rPr>
        <w:t xml:space="preserve"> (2021).</w:t>
      </w:r>
    </w:p>
  </w:footnote>
  <w:footnote w:id="70">
    <w:p w14:paraId="7D826BB6" w14:textId="7C132877" w:rsidR="00255794" w:rsidRPr="00575ED2" w:rsidRDefault="00805845" w:rsidP="009E050C">
      <w:pPr>
        <w:pStyle w:val="FootnoteText"/>
        <w:jc w:val="both"/>
        <w:rPr>
          <w:szCs w:val="18"/>
        </w:rPr>
      </w:pPr>
      <w:r w:rsidRPr="00575ED2">
        <w:rPr>
          <w:szCs w:val="18"/>
        </w:rPr>
        <w:tab/>
      </w:r>
      <w:r w:rsidR="00255794" w:rsidRPr="00575ED2">
        <w:rPr>
          <w:rStyle w:val="FootnoteReference"/>
          <w:szCs w:val="18"/>
        </w:rPr>
        <w:footnoteRef/>
      </w:r>
      <w:r w:rsidRPr="00575ED2">
        <w:rPr>
          <w:szCs w:val="18"/>
        </w:rPr>
        <w:tab/>
      </w:r>
      <w:r w:rsidR="00255794" w:rsidRPr="00575ED2">
        <w:rPr>
          <w:szCs w:val="18"/>
        </w:rPr>
        <w:t>Ibid.</w:t>
      </w:r>
      <w:r w:rsidR="00927A4F" w:rsidRPr="00575ED2">
        <w:rPr>
          <w:szCs w:val="18"/>
        </w:rPr>
        <w:t>,</w:t>
      </w:r>
      <w:r w:rsidR="00255794" w:rsidRPr="00575ED2">
        <w:rPr>
          <w:szCs w:val="18"/>
        </w:rPr>
        <w:t xml:space="preserve"> p. 85.</w:t>
      </w:r>
    </w:p>
  </w:footnote>
  <w:footnote w:id="71">
    <w:p w14:paraId="0F6B20C1" w14:textId="422A51F8" w:rsidR="00255794" w:rsidRPr="009E050C" w:rsidRDefault="00DD63BC" w:rsidP="009E050C">
      <w:pPr>
        <w:pStyle w:val="FootnoteText"/>
        <w:jc w:val="both"/>
        <w:rPr>
          <w:szCs w:val="18"/>
        </w:rPr>
      </w:pPr>
      <w:r w:rsidRPr="00575ED2">
        <w:rPr>
          <w:szCs w:val="18"/>
        </w:rPr>
        <w:tab/>
      </w:r>
      <w:r w:rsidR="00255794" w:rsidRPr="00575ED2">
        <w:rPr>
          <w:rStyle w:val="FootnoteReference"/>
          <w:szCs w:val="18"/>
        </w:rPr>
        <w:footnoteRef/>
      </w:r>
      <w:r w:rsidR="00805845" w:rsidRPr="00575ED2">
        <w:rPr>
          <w:szCs w:val="18"/>
        </w:rPr>
        <w:tab/>
      </w:r>
      <w:r w:rsidR="006220AD" w:rsidRPr="00575ED2">
        <w:rPr>
          <w:rFonts w:eastAsia="Times New Roman"/>
          <w:szCs w:val="18"/>
        </w:rPr>
        <w:t xml:space="preserve">See </w:t>
      </w:r>
      <w:r w:rsidR="00C3184A" w:rsidRPr="00575ED2">
        <w:rPr>
          <w:rFonts w:eastAsia="Times New Roman"/>
          <w:szCs w:val="18"/>
        </w:rPr>
        <w:t xml:space="preserve">statement made by </w:t>
      </w:r>
      <w:r w:rsidR="00927A4F" w:rsidRPr="00575ED2">
        <w:rPr>
          <w:rFonts w:eastAsia="Times New Roman"/>
          <w:szCs w:val="18"/>
        </w:rPr>
        <w:t>Muluka-Anne Miti-Drummond, Independent Expert on the enjoyment of human rights by persons with albinism at the e</w:t>
      </w:r>
      <w:r w:rsidR="006220AD" w:rsidRPr="00575ED2">
        <w:rPr>
          <w:szCs w:val="18"/>
        </w:rPr>
        <w:t xml:space="preserve">xpert </w:t>
      </w:r>
      <w:r w:rsidR="00927A4F" w:rsidRPr="00575ED2">
        <w:rPr>
          <w:szCs w:val="18"/>
        </w:rPr>
        <w:t>w</w:t>
      </w:r>
      <w:r w:rsidR="006220AD" w:rsidRPr="00575ED2">
        <w:rPr>
          <w:szCs w:val="18"/>
        </w:rPr>
        <w:t xml:space="preserve">orkshop on </w:t>
      </w:r>
      <w:r w:rsidR="00AA225C" w:rsidRPr="00575ED2">
        <w:rPr>
          <w:szCs w:val="18"/>
        </w:rPr>
        <w:t xml:space="preserve">key </w:t>
      </w:r>
      <w:r w:rsidR="008D6B90" w:rsidRPr="00575ED2">
        <w:rPr>
          <w:szCs w:val="18"/>
        </w:rPr>
        <w:t>challenges</w:t>
      </w:r>
      <w:r w:rsidR="00AA225C" w:rsidRPr="00575ED2">
        <w:rPr>
          <w:szCs w:val="18"/>
        </w:rPr>
        <w:t xml:space="preserve"> and new developments in ensuring </w:t>
      </w:r>
      <w:r w:rsidR="006220AD" w:rsidRPr="00575ED2">
        <w:rPr>
          <w:szCs w:val="18"/>
        </w:rPr>
        <w:t xml:space="preserve">access to medicines, </w:t>
      </w:r>
      <w:proofErr w:type="gramStart"/>
      <w:r w:rsidR="006220AD" w:rsidRPr="00575ED2">
        <w:rPr>
          <w:szCs w:val="18"/>
        </w:rPr>
        <w:t>vaccines</w:t>
      </w:r>
      <w:proofErr w:type="gramEnd"/>
      <w:r w:rsidR="006220AD" w:rsidRPr="00575ED2">
        <w:rPr>
          <w:szCs w:val="18"/>
        </w:rPr>
        <w:t xml:space="preserve"> and other health products, </w:t>
      </w:r>
      <w:r w:rsidR="008D6B90" w:rsidRPr="00575ED2">
        <w:rPr>
          <w:rStyle w:val="Hyperlink"/>
          <w:szCs w:val="18"/>
        </w:rPr>
        <w:t xml:space="preserve">available at </w:t>
      </w:r>
      <w:bookmarkStart w:id="14" w:name="OLE_LINK27"/>
      <w:bookmarkStart w:id="15" w:name="OLE_LINK28"/>
      <w:r w:rsidR="008D6B90" w:rsidRPr="00575ED2">
        <w:rPr>
          <w:rStyle w:val="Hyperlink"/>
          <w:szCs w:val="18"/>
        </w:rPr>
        <w:t>www.ohchr.org/sites/default/files/documents/issues/escr/workshops/accessmedicines2021/stm-ie-albinism-miti-drummond.docx</w:t>
      </w:r>
      <w:bookmarkEnd w:id="14"/>
      <w:bookmarkEnd w:id="15"/>
      <w:r w:rsidR="006220AD" w:rsidRPr="00575ED2">
        <w:rPr>
          <w:szCs w:val="18"/>
        </w:rPr>
        <w:t>.</w:t>
      </w:r>
    </w:p>
  </w:footnote>
  <w:footnote w:id="72">
    <w:p w14:paraId="1BD43481" w14:textId="74A4CE2D" w:rsidR="00255794" w:rsidRPr="009E050C" w:rsidRDefault="00805845" w:rsidP="009E050C">
      <w:pPr>
        <w:pStyle w:val="FootnoteText"/>
        <w:jc w:val="both"/>
        <w:rPr>
          <w:szCs w:val="18"/>
        </w:rPr>
      </w:pPr>
      <w:r w:rsidRPr="00575ED2">
        <w:rPr>
          <w:rStyle w:val="FootnoteReference"/>
          <w:szCs w:val="18"/>
        </w:rPr>
        <w:tab/>
      </w:r>
      <w:r w:rsidR="00255794" w:rsidRPr="00575ED2">
        <w:rPr>
          <w:rStyle w:val="FootnoteReference"/>
          <w:szCs w:val="18"/>
        </w:rPr>
        <w:footnoteRef/>
      </w:r>
      <w:r w:rsidRPr="00575ED2">
        <w:rPr>
          <w:rStyle w:val="FootnoteReference"/>
          <w:szCs w:val="18"/>
        </w:rPr>
        <w:tab/>
      </w:r>
      <w:r w:rsidRPr="00575ED2">
        <w:rPr>
          <w:rStyle w:val="FootnoteReference"/>
          <w:szCs w:val="18"/>
        </w:rPr>
        <w:tab/>
      </w:r>
      <w:r w:rsidR="000215AB" w:rsidRPr="00575ED2">
        <w:rPr>
          <w:szCs w:val="18"/>
        </w:rPr>
        <w:t>Ibid</w:t>
      </w:r>
      <w:r w:rsidRPr="00575ED2">
        <w:rPr>
          <w:szCs w:val="18"/>
        </w:rPr>
        <w:t>.</w:t>
      </w:r>
    </w:p>
  </w:footnote>
  <w:footnote w:id="73">
    <w:p w14:paraId="36EEE8AB" w14:textId="6C975D99" w:rsidR="00255794" w:rsidRPr="00575ED2" w:rsidRDefault="00805845" w:rsidP="009E050C">
      <w:pPr>
        <w:pStyle w:val="FootnoteText"/>
        <w:jc w:val="both"/>
        <w:rPr>
          <w:szCs w:val="18"/>
        </w:rPr>
      </w:pPr>
      <w:r w:rsidRPr="00575ED2">
        <w:rPr>
          <w:szCs w:val="18"/>
        </w:rPr>
        <w:tab/>
      </w:r>
      <w:r w:rsidR="00255794" w:rsidRPr="00575ED2">
        <w:rPr>
          <w:rStyle w:val="FootnoteReference"/>
          <w:szCs w:val="18"/>
        </w:rPr>
        <w:footnoteRef/>
      </w:r>
      <w:bookmarkStart w:id="16" w:name="_Hlk162003321"/>
      <w:r w:rsidRPr="00575ED2">
        <w:rPr>
          <w:szCs w:val="18"/>
        </w:rPr>
        <w:tab/>
      </w:r>
      <w:r w:rsidR="008F6E4A" w:rsidRPr="00575ED2">
        <w:rPr>
          <w:szCs w:val="18"/>
        </w:rPr>
        <w:t xml:space="preserve">Expert Workshop on access to medicines, vaccines and other health products, </w:t>
      </w:r>
      <w:hyperlink r:id="rId3" w:history="1">
        <w:r w:rsidR="008F6E4A" w:rsidRPr="00575ED2">
          <w:rPr>
            <w:rStyle w:val="Hyperlink"/>
            <w:szCs w:val="18"/>
          </w:rPr>
          <w:t>statement by the IE on the rights of persons with albinism</w:t>
        </w:r>
      </w:hyperlink>
      <w:r w:rsidR="008F6E4A" w:rsidRPr="00575ED2">
        <w:rPr>
          <w:szCs w:val="18"/>
        </w:rPr>
        <w:t xml:space="preserve">. </w:t>
      </w:r>
      <w:bookmarkEnd w:id="16"/>
    </w:p>
  </w:footnote>
  <w:footnote w:id="74">
    <w:p w14:paraId="0A8A2C7D" w14:textId="05EEB3DE" w:rsidR="002D5376" w:rsidRPr="00095FA5" w:rsidRDefault="002D5376" w:rsidP="009E050C">
      <w:pPr>
        <w:pStyle w:val="FootnoteText"/>
        <w:jc w:val="both"/>
        <w:rPr>
          <w:szCs w:val="18"/>
          <w:lang w:val="es-ES"/>
        </w:rPr>
      </w:pPr>
      <w:r w:rsidRPr="00575ED2">
        <w:rPr>
          <w:szCs w:val="18"/>
        </w:rPr>
        <w:tab/>
      </w:r>
      <w:r w:rsidRPr="00575ED2">
        <w:rPr>
          <w:rStyle w:val="FootnoteReference"/>
          <w:szCs w:val="18"/>
        </w:rPr>
        <w:footnoteRef/>
      </w:r>
      <w:r w:rsidR="00805845" w:rsidRPr="009E050C">
        <w:rPr>
          <w:szCs w:val="18"/>
          <w:lang w:val="es-ES"/>
        </w:rPr>
        <w:tab/>
      </w:r>
      <w:r w:rsidRPr="00095FA5">
        <w:rPr>
          <w:szCs w:val="18"/>
          <w:lang w:val="es-ES"/>
        </w:rPr>
        <w:t>A/HRC/18/37, para. 38.</w:t>
      </w:r>
    </w:p>
  </w:footnote>
  <w:footnote w:id="75">
    <w:p w14:paraId="69BDE07F" w14:textId="3176F3BC" w:rsidR="00C85F3F" w:rsidRPr="009E050C" w:rsidRDefault="00805845" w:rsidP="009E050C">
      <w:pPr>
        <w:pStyle w:val="FootnoteText"/>
        <w:jc w:val="both"/>
        <w:rPr>
          <w:szCs w:val="18"/>
        </w:rPr>
      </w:pPr>
      <w:r w:rsidRPr="00095FA5">
        <w:rPr>
          <w:szCs w:val="18"/>
          <w:lang w:val="es-ES"/>
        </w:rPr>
        <w:tab/>
      </w:r>
      <w:r w:rsidR="00C85F3F" w:rsidRPr="00575ED2">
        <w:rPr>
          <w:rStyle w:val="FootnoteReference"/>
          <w:szCs w:val="18"/>
        </w:rPr>
        <w:footnoteRef/>
      </w:r>
      <w:r w:rsidRPr="00095FA5">
        <w:rPr>
          <w:szCs w:val="18"/>
          <w:lang w:val="es-ES"/>
        </w:rPr>
        <w:tab/>
      </w:r>
      <w:r w:rsidR="008F6E4A" w:rsidRPr="00095FA5">
        <w:rPr>
          <w:szCs w:val="18"/>
          <w:lang w:val="es-ES"/>
        </w:rPr>
        <w:t>Ibid</w:t>
      </w:r>
      <w:r w:rsidR="00C85F3F" w:rsidRPr="009E050C">
        <w:rPr>
          <w:szCs w:val="18"/>
          <w:lang w:val="es-ES"/>
        </w:rPr>
        <w:t>.</w:t>
      </w:r>
      <w:r w:rsidR="00286E89" w:rsidRPr="009E050C">
        <w:rPr>
          <w:szCs w:val="18"/>
          <w:lang w:val="es-ES"/>
        </w:rPr>
        <w:t xml:space="preserve">, para. </w:t>
      </w:r>
      <w:r w:rsidR="00286E89" w:rsidRPr="00575ED2">
        <w:rPr>
          <w:szCs w:val="18"/>
        </w:rPr>
        <w:t>40.</w:t>
      </w:r>
    </w:p>
  </w:footnote>
  <w:footnote w:id="76">
    <w:p w14:paraId="002C5094" w14:textId="16E19868" w:rsidR="002D5376" w:rsidRPr="009E050C" w:rsidRDefault="002D5376" w:rsidP="009E050C">
      <w:pPr>
        <w:pStyle w:val="FootnoteText"/>
        <w:jc w:val="both"/>
        <w:rPr>
          <w:szCs w:val="18"/>
        </w:rPr>
      </w:pPr>
      <w:r w:rsidRPr="009E050C">
        <w:rPr>
          <w:szCs w:val="18"/>
        </w:rPr>
        <w:tab/>
      </w:r>
      <w:r w:rsidRPr="00575ED2">
        <w:rPr>
          <w:rStyle w:val="FootnoteReference"/>
          <w:szCs w:val="18"/>
        </w:rPr>
        <w:footnoteRef/>
      </w:r>
      <w:r w:rsidR="00805845" w:rsidRPr="009E050C">
        <w:rPr>
          <w:szCs w:val="18"/>
        </w:rPr>
        <w:tab/>
      </w:r>
      <w:r w:rsidR="00286E89" w:rsidRPr="00575ED2">
        <w:rPr>
          <w:szCs w:val="18"/>
        </w:rPr>
        <w:t>Ibid</w:t>
      </w:r>
      <w:r w:rsidRPr="009E050C">
        <w:rPr>
          <w:szCs w:val="18"/>
        </w:rPr>
        <w:t>.</w:t>
      </w:r>
    </w:p>
  </w:footnote>
  <w:footnote w:id="77">
    <w:p w14:paraId="492633B6" w14:textId="16E9EBDA" w:rsidR="00857FF7" w:rsidRPr="009E050C" w:rsidRDefault="00805845" w:rsidP="009E050C">
      <w:pPr>
        <w:pStyle w:val="FootnoteText"/>
        <w:jc w:val="both"/>
        <w:rPr>
          <w:szCs w:val="18"/>
        </w:rPr>
      </w:pPr>
      <w:r w:rsidRPr="009E050C">
        <w:rPr>
          <w:szCs w:val="18"/>
        </w:rPr>
        <w:tab/>
      </w:r>
      <w:r w:rsidR="00857FF7" w:rsidRPr="00575ED2">
        <w:rPr>
          <w:rStyle w:val="FootnoteReference"/>
          <w:szCs w:val="18"/>
        </w:rPr>
        <w:footnoteRef/>
      </w:r>
      <w:r w:rsidRPr="009E050C">
        <w:rPr>
          <w:szCs w:val="18"/>
        </w:rPr>
        <w:tab/>
      </w:r>
      <w:r w:rsidR="00DA4550">
        <w:rPr>
          <w:szCs w:val="18"/>
        </w:rPr>
        <w:t xml:space="preserve">See </w:t>
      </w:r>
      <w:r w:rsidR="00DA4550" w:rsidRPr="00DA4550">
        <w:rPr>
          <w:szCs w:val="18"/>
        </w:rPr>
        <w:t>www.who.int/news/item/22-07-2022-who-releases-global-covid-19-vaccination-strategy-update-to-reach-unprotected</w:t>
      </w:r>
      <w:r w:rsidR="008918F9" w:rsidRPr="00575ED2">
        <w:rPr>
          <w:szCs w:val="18"/>
        </w:rPr>
        <w:t>.</w:t>
      </w:r>
    </w:p>
  </w:footnote>
  <w:footnote w:id="78">
    <w:p w14:paraId="599AA6F4" w14:textId="401F4EB8" w:rsidR="00857FF7" w:rsidRPr="009E050C" w:rsidRDefault="00805845" w:rsidP="009E050C">
      <w:pPr>
        <w:pStyle w:val="FootnoteText"/>
        <w:jc w:val="both"/>
        <w:rPr>
          <w:szCs w:val="18"/>
        </w:rPr>
      </w:pPr>
      <w:r w:rsidRPr="009E050C">
        <w:rPr>
          <w:szCs w:val="18"/>
        </w:rPr>
        <w:tab/>
      </w:r>
      <w:r w:rsidR="00857FF7" w:rsidRPr="00575ED2">
        <w:rPr>
          <w:rStyle w:val="FootnoteReference"/>
          <w:szCs w:val="18"/>
        </w:rPr>
        <w:footnoteRef/>
      </w:r>
      <w:r w:rsidRPr="009E050C">
        <w:rPr>
          <w:szCs w:val="18"/>
        </w:rPr>
        <w:tab/>
      </w:r>
      <w:r w:rsidR="00731EB5" w:rsidRPr="009E050C">
        <w:rPr>
          <w:szCs w:val="18"/>
        </w:rPr>
        <w:t xml:space="preserve">Anthony W. Olson and others, “Financial hardship from purchasing prescription drugs among older adults in the United States before, during, and after the Medicare Part D ‘donut hole’: findings from 1998, 2001, 2015, and 2021”, </w:t>
      </w:r>
      <w:r w:rsidR="00731EB5" w:rsidRPr="009E050C">
        <w:rPr>
          <w:i/>
          <w:iCs/>
          <w:szCs w:val="18"/>
        </w:rPr>
        <w:t>Journal of Managed Care &amp; Specialty Pharmacy</w:t>
      </w:r>
      <w:r w:rsidR="00731EB5" w:rsidRPr="009E050C">
        <w:rPr>
          <w:szCs w:val="18"/>
        </w:rPr>
        <w:t>, vol. 28, No. 5 (2022)</w:t>
      </w:r>
      <w:r w:rsidRPr="009E050C">
        <w:rPr>
          <w:szCs w:val="18"/>
        </w:rPr>
        <w:t>.</w:t>
      </w:r>
    </w:p>
  </w:footnote>
  <w:footnote w:id="79">
    <w:p w14:paraId="1D03D6AE" w14:textId="2F207608" w:rsidR="00857FF7" w:rsidRPr="009E050C" w:rsidRDefault="00805845" w:rsidP="009E050C">
      <w:pPr>
        <w:pStyle w:val="FootnoteText"/>
        <w:jc w:val="both"/>
        <w:rPr>
          <w:szCs w:val="18"/>
        </w:rPr>
      </w:pPr>
      <w:r w:rsidRPr="009E050C">
        <w:rPr>
          <w:szCs w:val="18"/>
        </w:rPr>
        <w:tab/>
      </w:r>
      <w:r w:rsidR="00857FF7" w:rsidRPr="00575ED2">
        <w:rPr>
          <w:rStyle w:val="FootnoteReference"/>
          <w:szCs w:val="18"/>
        </w:rPr>
        <w:footnoteRef/>
      </w:r>
      <w:r w:rsidRPr="009E050C">
        <w:rPr>
          <w:szCs w:val="18"/>
        </w:rPr>
        <w:tab/>
      </w:r>
      <w:r w:rsidR="000A0198" w:rsidRPr="00575ED2">
        <w:rPr>
          <w:szCs w:val="18"/>
        </w:rPr>
        <w:t>Ibid.</w:t>
      </w:r>
    </w:p>
  </w:footnote>
  <w:footnote w:id="80">
    <w:p w14:paraId="4826EFAB" w14:textId="01DB0A49" w:rsidR="00481ADD" w:rsidRPr="00575ED2" w:rsidRDefault="00805845" w:rsidP="009E050C">
      <w:pPr>
        <w:pStyle w:val="FootnoteText"/>
        <w:jc w:val="both"/>
        <w:rPr>
          <w:szCs w:val="18"/>
        </w:rPr>
      </w:pPr>
      <w:r w:rsidRPr="00575ED2">
        <w:rPr>
          <w:szCs w:val="18"/>
        </w:rPr>
        <w:tab/>
      </w:r>
      <w:r w:rsidR="00481ADD" w:rsidRPr="00575ED2">
        <w:rPr>
          <w:rStyle w:val="FootnoteReference"/>
          <w:szCs w:val="18"/>
        </w:rPr>
        <w:footnoteRef/>
      </w:r>
      <w:r w:rsidRPr="00575ED2">
        <w:rPr>
          <w:szCs w:val="18"/>
        </w:rPr>
        <w:tab/>
      </w:r>
      <w:r w:rsidR="00853BD0" w:rsidRPr="00575ED2">
        <w:rPr>
          <w:szCs w:val="18"/>
        </w:rPr>
        <w:t xml:space="preserve">WHO, “Ageism is a global challenge: UN”, 18 March 2021, </w:t>
      </w:r>
      <w:r w:rsidR="00B00698" w:rsidRPr="00575ED2">
        <w:rPr>
          <w:szCs w:val="18"/>
          <w:shd w:val="clear" w:color="auto" w:fill="FFFFFF"/>
        </w:rPr>
        <w:t xml:space="preserve">available at </w:t>
      </w:r>
      <w:bookmarkStart w:id="17" w:name="OLE_LINK29"/>
      <w:bookmarkStart w:id="18" w:name="OLE_LINK30"/>
      <w:r w:rsidR="00481ADD" w:rsidRPr="00575ED2">
        <w:rPr>
          <w:szCs w:val="18"/>
        </w:rPr>
        <w:t>www.who.int/news/item/18-03-2021-ageism-is-a-global-challenge-un</w:t>
      </w:r>
      <w:bookmarkEnd w:id="17"/>
      <w:bookmarkEnd w:id="18"/>
      <w:r w:rsidRPr="00575ED2">
        <w:rPr>
          <w:szCs w:val="18"/>
        </w:rPr>
        <w:t>.</w:t>
      </w:r>
      <w:r w:rsidR="00862AEE">
        <w:rPr>
          <w:szCs w:val="18"/>
        </w:rPr>
        <w:t xml:space="preserve"> See also </w:t>
      </w:r>
      <w:r w:rsidR="00862AEE" w:rsidRPr="00862AEE">
        <w:rPr>
          <w:szCs w:val="18"/>
        </w:rPr>
        <w:t>www.who.int/news-room/fact-sheets/detail/assistive-technology</w:t>
      </w:r>
      <w:r w:rsidR="00862AEE">
        <w:rPr>
          <w:szCs w:val="18"/>
        </w:rPr>
        <w:t>.</w:t>
      </w:r>
    </w:p>
  </w:footnote>
  <w:footnote w:id="81">
    <w:p w14:paraId="18C53E80" w14:textId="158642C1" w:rsidR="00481ADD" w:rsidRPr="009E050C" w:rsidRDefault="00805845" w:rsidP="009E050C">
      <w:pPr>
        <w:pStyle w:val="FootnoteText"/>
        <w:jc w:val="both"/>
        <w:rPr>
          <w:szCs w:val="18"/>
        </w:rPr>
      </w:pPr>
      <w:r w:rsidRPr="00575ED2">
        <w:rPr>
          <w:szCs w:val="18"/>
        </w:rPr>
        <w:tab/>
      </w:r>
      <w:r w:rsidR="00481ADD" w:rsidRPr="00575ED2">
        <w:rPr>
          <w:rStyle w:val="FootnoteReference"/>
          <w:szCs w:val="18"/>
        </w:rPr>
        <w:footnoteRef/>
      </w:r>
      <w:r w:rsidRPr="00575ED2">
        <w:rPr>
          <w:szCs w:val="18"/>
        </w:rPr>
        <w:tab/>
      </w:r>
      <w:r w:rsidR="00A24B3F" w:rsidRPr="009E050C">
        <w:rPr>
          <w:szCs w:val="18"/>
        </w:rPr>
        <w:t>Department of Economic and Social Affairs, “Health inequalities in old age”, available at</w:t>
      </w:r>
      <w:r w:rsidR="00DE4098" w:rsidRPr="00575ED2">
        <w:rPr>
          <w:szCs w:val="18"/>
        </w:rPr>
        <w:t xml:space="preserve"> </w:t>
      </w:r>
      <w:r w:rsidR="00481ADD" w:rsidRPr="00575ED2">
        <w:rPr>
          <w:szCs w:val="18"/>
        </w:rPr>
        <w:t>www.un.org/development/desa/ageing/wp-content/uploads/sites/24/2018/04/Health-Inequalities-in-Old-Age.pdf</w:t>
      </w:r>
      <w:r w:rsidRPr="00575ED2">
        <w:rPr>
          <w:szCs w:val="18"/>
        </w:rPr>
        <w:t>.</w:t>
      </w:r>
    </w:p>
  </w:footnote>
  <w:footnote w:id="82">
    <w:p w14:paraId="77F0C4E4" w14:textId="5ABBAA12" w:rsidR="00771745" w:rsidRPr="00575ED2" w:rsidRDefault="00805845" w:rsidP="009E050C">
      <w:pPr>
        <w:pStyle w:val="FootnoteText"/>
        <w:jc w:val="both"/>
        <w:rPr>
          <w:szCs w:val="18"/>
        </w:rPr>
      </w:pPr>
      <w:r w:rsidRPr="00575ED2">
        <w:rPr>
          <w:szCs w:val="18"/>
        </w:rPr>
        <w:tab/>
      </w:r>
      <w:r w:rsidR="00771745" w:rsidRPr="00575ED2">
        <w:rPr>
          <w:rStyle w:val="FootnoteReference"/>
          <w:szCs w:val="18"/>
        </w:rPr>
        <w:footnoteRef/>
      </w:r>
      <w:r w:rsidRPr="00575ED2">
        <w:rPr>
          <w:szCs w:val="18"/>
        </w:rPr>
        <w:tab/>
      </w:r>
      <w:r w:rsidR="006339B7" w:rsidRPr="00575ED2">
        <w:rPr>
          <w:szCs w:val="18"/>
        </w:rPr>
        <w:t>Ibid</w:t>
      </w:r>
      <w:r w:rsidRPr="00575ED2">
        <w:rPr>
          <w:szCs w:val="18"/>
        </w:rPr>
        <w:t>.</w:t>
      </w:r>
    </w:p>
  </w:footnote>
  <w:footnote w:id="83">
    <w:p w14:paraId="63D76BC2" w14:textId="2E5882D2" w:rsidR="00DD63BC" w:rsidRPr="00575ED2" w:rsidRDefault="00DD63B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BC5E1E" w:rsidRPr="00575ED2">
        <w:rPr>
          <w:szCs w:val="18"/>
        </w:rPr>
        <w:t xml:space="preserve">Submission by </w:t>
      </w:r>
      <w:r w:rsidRPr="00575ED2">
        <w:rPr>
          <w:szCs w:val="18"/>
        </w:rPr>
        <w:t xml:space="preserve">Mexico and WHO, </w:t>
      </w:r>
      <w:r w:rsidRPr="009E050C">
        <w:rPr>
          <w:i/>
          <w:iCs/>
          <w:szCs w:val="18"/>
        </w:rPr>
        <w:t xml:space="preserve">Global </w:t>
      </w:r>
      <w:r w:rsidR="00EA708F" w:rsidRPr="009E050C">
        <w:rPr>
          <w:i/>
          <w:iCs/>
          <w:szCs w:val="18"/>
        </w:rPr>
        <w:t>R</w:t>
      </w:r>
      <w:r w:rsidRPr="009E050C">
        <w:rPr>
          <w:i/>
          <w:iCs/>
          <w:szCs w:val="18"/>
        </w:rPr>
        <w:t xml:space="preserve">eport on </w:t>
      </w:r>
      <w:r w:rsidR="00EA708F" w:rsidRPr="009E050C">
        <w:rPr>
          <w:i/>
          <w:iCs/>
          <w:szCs w:val="18"/>
        </w:rPr>
        <w:t>H</w:t>
      </w:r>
      <w:r w:rsidRPr="009E050C">
        <w:rPr>
          <w:i/>
          <w:iCs/>
          <w:szCs w:val="18"/>
        </w:rPr>
        <w:t xml:space="preserve">ealth </w:t>
      </w:r>
      <w:r w:rsidR="00EA708F" w:rsidRPr="009E050C">
        <w:rPr>
          <w:i/>
          <w:iCs/>
          <w:szCs w:val="18"/>
        </w:rPr>
        <w:t>E</w:t>
      </w:r>
      <w:r w:rsidRPr="009E050C">
        <w:rPr>
          <w:i/>
          <w:iCs/>
          <w:szCs w:val="18"/>
        </w:rPr>
        <w:t xml:space="preserve">quity for </w:t>
      </w:r>
      <w:r w:rsidR="00EA708F" w:rsidRPr="009E050C">
        <w:rPr>
          <w:i/>
          <w:iCs/>
          <w:szCs w:val="18"/>
        </w:rPr>
        <w:t>P</w:t>
      </w:r>
      <w:r w:rsidRPr="009E050C">
        <w:rPr>
          <w:i/>
          <w:iCs/>
          <w:szCs w:val="18"/>
        </w:rPr>
        <w:t xml:space="preserve">ersons with </w:t>
      </w:r>
      <w:r w:rsidR="00EA708F" w:rsidRPr="009E050C">
        <w:rPr>
          <w:i/>
          <w:iCs/>
          <w:szCs w:val="18"/>
        </w:rPr>
        <w:t>D</w:t>
      </w:r>
      <w:r w:rsidRPr="009E050C">
        <w:rPr>
          <w:i/>
          <w:iCs/>
          <w:szCs w:val="18"/>
        </w:rPr>
        <w:t>isabilities</w:t>
      </w:r>
      <w:r w:rsidR="00EA708F" w:rsidRPr="00575ED2">
        <w:rPr>
          <w:szCs w:val="18"/>
        </w:rPr>
        <w:t xml:space="preserve"> (Geneva,</w:t>
      </w:r>
      <w:r w:rsidRPr="00575ED2">
        <w:rPr>
          <w:szCs w:val="18"/>
        </w:rPr>
        <w:t xml:space="preserve"> 2022</w:t>
      </w:r>
      <w:r w:rsidR="00EA708F" w:rsidRPr="00575ED2">
        <w:rPr>
          <w:szCs w:val="18"/>
        </w:rPr>
        <w:t>)</w:t>
      </w:r>
      <w:r w:rsidRPr="00575ED2">
        <w:rPr>
          <w:szCs w:val="18"/>
        </w:rPr>
        <w:t>.</w:t>
      </w:r>
    </w:p>
  </w:footnote>
  <w:footnote w:id="84">
    <w:p w14:paraId="16E6F2C3" w14:textId="2B2892C6" w:rsidR="00DD63BC" w:rsidRPr="00575ED2" w:rsidRDefault="00DD63BC"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Pr="00575ED2">
        <w:rPr>
          <w:szCs w:val="18"/>
        </w:rPr>
        <w:t xml:space="preserve">WHO, </w:t>
      </w:r>
      <w:r w:rsidR="00143667" w:rsidRPr="00575ED2">
        <w:rPr>
          <w:i/>
          <w:iCs/>
          <w:szCs w:val="18"/>
        </w:rPr>
        <w:t>Global Report on Health Equity</w:t>
      </w:r>
      <w:r w:rsidRPr="00575ED2">
        <w:rPr>
          <w:szCs w:val="18"/>
        </w:rPr>
        <w:t>.</w:t>
      </w:r>
    </w:p>
  </w:footnote>
  <w:footnote w:id="85">
    <w:p w14:paraId="67AB691C" w14:textId="4E937F5C" w:rsidR="00DD63BC" w:rsidRPr="009E050C" w:rsidRDefault="00805845" w:rsidP="009E050C">
      <w:pPr>
        <w:pStyle w:val="FootnoteText"/>
        <w:jc w:val="both"/>
        <w:rPr>
          <w:szCs w:val="18"/>
          <w:lang w:val="es-ES"/>
        </w:rPr>
      </w:pPr>
      <w:r w:rsidRPr="00575ED2">
        <w:rPr>
          <w:szCs w:val="18"/>
        </w:rPr>
        <w:tab/>
      </w:r>
      <w:r w:rsidR="00DD63BC" w:rsidRPr="00575ED2">
        <w:rPr>
          <w:rStyle w:val="FootnoteReference"/>
          <w:szCs w:val="18"/>
        </w:rPr>
        <w:footnoteRef/>
      </w:r>
      <w:r w:rsidRPr="009E050C">
        <w:rPr>
          <w:szCs w:val="18"/>
          <w:lang w:val="es-ES"/>
        </w:rPr>
        <w:tab/>
      </w:r>
      <w:r w:rsidR="0BA986D1" w:rsidRPr="009E050C">
        <w:rPr>
          <w:szCs w:val="18"/>
          <w:lang w:val="es-ES"/>
        </w:rPr>
        <w:t>Ibid.</w:t>
      </w:r>
    </w:p>
  </w:footnote>
  <w:footnote w:id="86">
    <w:p w14:paraId="5A4DE3BE" w14:textId="0B89C690" w:rsidR="00DD63BC" w:rsidRPr="009E050C" w:rsidRDefault="00DD63BC" w:rsidP="009E050C">
      <w:pPr>
        <w:pStyle w:val="FootnoteText"/>
        <w:jc w:val="both"/>
        <w:rPr>
          <w:szCs w:val="18"/>
          <w:lang w:val="es-ES"/>
        </w:rPr>
      </w:pPr>
      <w:r w:rsidRPr="009E050C">
        <w:rPr>
          <w:szCs w:val="18"/>
          <w:lang w:val="es-ES"/>
        </w:rPr>
        <w:tab/>
      </w:r>
      <w:r w:rsidRPr="00575ED2">
        <w:rPr>
          <w:rStyle w:val="FootnoteReference"/>
          <w:szCs w:val="18"/>
        </w:rPr>
        <w:footnoteRef/>
      </w:r>
      <w:r w:rsidR="00805845" w:rsidRPr="009E050C">
        <w:rPr>
          <w:szCs w:val="18"/>
          <w:lang w:val="es-ES"/>
        </w:rPr>
        <w:tab/>
      </w:r>
      <w:r w:rsidR="008F6E4A" w:rsidRPr="009E050C">
        <w:rPr>
          <w:szCs w:val="18"/>
          <w:lang w:val="es-ES"/>
        </w:rPr>
        <w:t>Ibid</w:t>
      </w:r>
      <w:r w:rsidRPr="009E050C">
        <w:rPr>
          <w:szCs w:val="18"/>
          <w:lang w:val="es-ES"/>
        </w:rPr>
        <w:t>.</w:t>
      </w:r>
    </w:p>
  </w:footnote>
  <w:footnote w:id="87">
    <w:p w14:paraId="7926C9EF" w14:textId="3F93497F" w:rsidR="00DD63BC" w:rsidRPr="009E050C" w:rsidRDefault="00DD63BC" w:rsidP="009E050C">
      <w:pPr>
        <w:pStyle w:val="FootnoteText"/>
        <w:jc w:val="both"/>
        <w:rPr>
          <w:szCs w:val="18"/>
          <w:lang w:val="es-ES"/>
        </w:rPr>
      </w:pPr>
      <w:r w:rsidRPr="009E050C">
        <w:rPr>
          <w:szCs w:val="18"/>
          <w:lang w:val="es-ES"/>
        </w:rPr>
        <w:tab/>
      </w:r>
      <w:r w:rsidRPr="00575ED2">
        <w:rPr>
          <w:rStyle w:val="FootnoteReference"/>
          <w:szCs w:val="18"/>
        </w:rPr>
        <w:footnoteRef/>
      </w:r>
      <w:r w:rsidR="00805845" w:rsidRPr="009E050C">
        <w:rPr>
          <w:szCs w:val="18"/>
          <w:lang w:val="es-ES"/>
        </w:rPr>
        <w:tab/>
      </w:r>
      <w:r w:rsidRPr="009E050C">
        <w:rPr>
          <w:szCs w:val="18"/>
          <w:lang w:val="es-ES"/>
        </w:rPr>
        <w:t>A/HRC/53/50</w:t>
      </w:r>
      <w:r w:rsidR="008F6E4A" w:rsidRPr="009E050C">
        <w:rPr>
          <w:szCs w:val="18"/>
          <w:lang w:val="es-ES"/>
        </w:rPr>
        <w:t>,</w:t>
      </w:r>
      <w:r w:rsidRPr="009E050C">
        <w:rPr>
          <w:szCs w:val="18"/>
          <w:lang w:val="es-ES"/>
        </w:rPr>
        <w:t xml:space="preserve"> para</w:t>
      </w:r>
      <w:r w:rsidR="00686B37" w:rsidRPr="009E050C">
        <w:rPr>
          <w:szCs w:val="18"/>
          <w:lang w:val="es-ES"/>
        </w:rPr>
        <w:t>.</w:t>
      </w:r>
      <w:r w:rsidRPr="009E050C">
        <w:rPr>
          <w:szCs w:val="18"/>
          <w:lang w:val="es-ES"/>
        </w:rPr>
        <w:t xml:space="preserve"> 7</w:t>
      </w:r>
      <w:r w:rsidR="008F6E4A" w:rsidRPr="009E050C">
        <w:rPr>
          <w:szCs w:val="18"/>
          <w:lang w:val="es-ES"/>
        </w:rPr>
        <w:t>.</w:t>
      </w:r>
    </w:p>
  </w:footnote>
  <w:footnote w:id="88">
    <w:p w14:paraId="1B48614C" w14:textId="1077560C" w:rsidR="0042678B" w:rsidRPr="009E050C" w:rsidRDefault="00805845" w:rsidP="009E050C">
      <w:pPr>
        <w:pStyle w:val="FootnoteText"/>
        <w:jc w:val="both"/>
        <w:rPr>
          <w:szCs w:val="18"/>
          <w:lang w:val="es-ES"/>
        </w:rPr>
      </w:pPr>
      <w:r w:rsidRPr="009E050C">
        <w:rPr>
          <w:szCs w:val="18"/>
          <w:lang w:val="es-ES"/>
        </w:rPr>
        <w:tab/>
      </w:r>
      <w:r w:rsidR="0042678B" w:rsidRPr="00575ED2">
        <w:rPr>
          <w:rStyle w:val="FootnoteReference"/>
          <w:szCs w:val="18"/>
        </w:rPr>
        <w:footnoteRef/>
      </w:r>
      <w:r w:rsidRPr="009E050C">
        <w:rPr>
          <w:szCs w:val="18"/>
          <w:lang w:val="es-ES"/>
        </w:rPr>
        <w:tab/>
      </w:r>
      <w:r w:rsidR="0042678B" w:rsidRPr="009E050C">
        <w:rPr>
          <w:rStyle w:val="cf01"/>
          <w:rFonts w:ascii="Times New Roman" w:hAnsi="Times New Roman" w:cs="Times New Roman"/>
          <w:lang w:val="es-ES"/>
        </w:rPr>
        <w:t>A/HRC/52/52 para</w:t>
      </w:r>
      <w:r w:rsidR="00686B37" w:rsidRPr="009E050C">
        <w:rPr>
          <w:rStyle w:val="cf01"/>
          <w:rFonts w:ascii="Times New Roman" w:hAnsi="Times New Roman" w:cs="Times New Roman"/>
          <w:lang w:val="es-ES"/>
        </w:rPr>
        <w:t>.</w:t>
      </w:r>
      <w:r w:rsidR="0042678B" w:rsidRPr="009E050C">
        <w:rPr>
          <w:rStyle w:val="cf01"/>
          <w:rFonts w:ascii="Times New Roman" w:hAnsi="Times New Roman" w:cs="Times New Roman"/>
          <w:lang w:val="es-ES"/>
        </w:rPr>
        <w:t xml:space="preserve"> 3</w:t>
      </w:r>
      <w:r w:rsidRPr="009E050C">
        <w:rPr>
          <w:rStyle w:val="cf01"/>
          <w:rFonts w:ascii="Times New Roman" w:hAnsi="Times New Roman" w:cs="Times New Roman"/>
          <w:lang w:val="es-ES"/>
        </w:rPr>
        <w:t>.</w:t>
      </w:r>
      <w:r w:rsidR="00B52DD6" w:rsidRPr="009E050C">
        <w:rPr>
          <w:szCs w:val="18"/>
          <w:lang w:val="es-ES"/>
        </w:rPr>
        <w:t xml:space="preserve"> </w:t>
      </w:r>
    </w:p>
  </w:footnote>
  <w:footnote w:id="89">
    <w:p w14:paraId="71CA3845" w14:textId="4D2CB3B8" w:rsidR="00B52DD6" w:rsidRPr="009E050C" w:rsidRDefault="00805845" w:rsidP="009E050C">
      <w:pPr>
        <w:pStyle w:val="FootnoteText"/>
        <w:jc w:val="both"/>
        <w:rPr>
          <w:szCs w:val="18"/>
        </w:rPr>
      </w:pPr>
      <w:r w:rsidRPr="009E050C">
        <w:rPr>
          <w:szCs w:val="18"/>
          <w:lang w:val="es-ES"/>
        </w:rPr>
        <w:tab/>
      </w:r>
      <w:r w:rsidR="00B52DD6" w:rsidRPr="00575ED2">
        <w:rPr>
          <w:rStyle w:val="FootnoteReference"/>
          <w:szCs w:val="18"/>
        </w:rPr>
        <w:footnoteRef/>
      </w:r>
      <w:r w:rsidRPr="009E050C">
        <w:rPr>
          <w:szCs w:val="18"/>
          <w:lang w:val="es-ES"/>
        </w:rPr>
        <w:tab/>
      </w:r>
      <w:r w:rsidR="00B52DD6" w:rsidRPr="009E050C">
        <w:rPr>
          <w:rStyle w:val="cf01"/>
          <w:rFonts w:ascii="Times New Roman" w:hAnsi="Times New Roman" w:cs="Times New Roman"/>
          <w:lang w:val="es-ES"/>
        </w:rPr>
        <w:t>A/HRC/55/34 para</w:t>
      </w:r>
      <w:r w:rsidR="00686B37" w:rsidRPr="009E050C">
        <w:rPr>
          <w:rStyle w:val="cf01"/>
          <w:rFonts w:ascii="Times New Roman" w:hAnsi="Times New Roman" w:cs="Times New Roman"/>
          <w:lang w:val="es-ES"/>
        </w:rPr>
        <w:t>.</w:t>
      </w:r>
      <w:r w:rsidR="00B52DD6" w:rsidRPr="009E050C">
        <w:rPr>
          <w:rStyle w:val="cf01"/>
          <w:rFonts w:ascii="Times New Roman" w:hAnsi="Times New Roman" w:cs="Times New Roman"/>
          <w:lang w:val="es-ES"/>
        </w:rPr>
        <w:t xml:space="preserve"> </w:t>
      </w:r>
      <w:r w:rsidR="00B52DD6" w:rsidRPr="009E050C">
        <w:rPr>
          <w:rStyle w:val="cf01"/>
          <w:rFonts w:ascii="Times New Roman" w:hAnsi="Times New Roman" w:cs="Times New Roman"/>
        </w:rPr>
        <w:t>35</w:t>
      </w:r>
      <w:r w:rsidRPr="009E050C">
        <w:rPr>
          <w:rStyle w:val="cf01"/>
          <w:rFonts w:ascii="Times New Roman" w:hAnsi="Times New Roman" w:cs="Times New Roman"/>
        </w:rPr>
        <w:t>.</w:t>
      </w:r>
    </w:p>
  </w:footnote>
  <w:footnote w:id="90">
    <w:p w14:paraId="700C21F3" w14:textId="46F77DDF" w:rsidR="00E00BF2" w:rsidRPr="00575ED2" w:rsidRDefault="00E00BF2" w:rsidP="009E050C">
      <w:pPr>
        <w:pStyle w:val="FootnoteText"/>
        <w:jc w:val="both"/>
        <w:rPr>
          <w:szCs w:val="18"/>
        </w:rPr>
      </w:pPr>
      <w:r w:rsidRPr="009E050C">
        <w:rPr>
          <w:szCs w:val="18"/>
        </w:rPr>
        <w:tab/>
      </w:r>
      <w:r w:rsidRPr="00575ED2">
        <w:rPr>
          <w:rStyle w:val="FootnoteReference"/>
          <w:szCs w:val="18"/>
        </w:rPr>
        <w:footnoteRef/>
      </w:r>
      <w:r w:rsidR="00DC36CD" w:rsidRPr="009E050C">
        <w:rPr>
          <w:szCs w:val="18"/>
        </w:rPr>
        <w:tab/>
      </w:r>
      <w:r w:rsidRPr="00575ED2">
        <w:rPr>
          <w:szCs w:val="18"/>
        </w:rPr>
        <w:t>A/68/297, para. 23.</w:t>
      </w:r>
    </w:p>
  </w:footnote>
  <w:footnote w:id="91">
    <w:p w14:paraId="7424365C" w14:textId="4FAC1D4B" w:rsidR="008F564D" w:rsidRPr="009E050C" w:rsidRDefault="00491021" w:rsidP="009E050C">
      <w:pPr>
        <w:pStyle w:val="FootnoteText"/>
        <w:jc w:val="both"/>
        <w:rPr>
          <w:szCs w:val="18"/>
        </w:rPr>
      </w:pPr>
      <w:r w:rsidRPr="00575ED2">
        <w:rPr>
          <w:rFonts w:eastAsia="Times New Roman"/>
          <w:szCs w:val="18"/>
        </w:rPr>
        <w:tab/>
      </w:r>
      <w:r w:rsidR="008F564D" w:rsidRPr="00575ED2">
        <w:rPr>
          <w:rStyle w:val="FootnoteReference"/>
          <w:rFonts w:eastAsia="Times New Roman"/>
          <w:szCs w:val="18"/>
        </w:rPr>
        <w:footnoteRef/>
      </w:r>
      <w:r w:rsidR="00DC36CD" w:rsidRPr="00575ED2">
        <w:rPr>
          <w:rFonts w:eastAsia="Times New Roman"/>
          <w:szCs w:val="18"/>
        </w:rPr>
        <w:tab/>
      </w:r>
      <w:r w:rsidR="00310FF6" w:rsidRPr="00575ED2">
        <w:rPr>
          <w:szCs w:val="18"/>
        </w:rPr>
        <w:t>M</w:t>
      </w:r>
      <w:r w:rsidR="00310FF6" w:rsidRPr="009E050C">
        <w:rPr>
          <w:rFonts w:eastAsia="Times New Roman"/>
          <w:szCs w:val="18"/>
        </w:rPr>
        <w:t xml:space="preserve">édecins sans </w:t>
      </w:r>
      <w:r w:rsidR="00310FF6" w:rsidRPr="00575ED2">
        <w:rPr>
          <w:szCs w:val="18"/>
        </w:rPr>
        <w:t>F</w:t>
      </w:r>
      <w:r w:rsidR="00310FF6" w:rsidRPr="00575ED2">
        <w:rPr>
          <w:rFonts w:eastAsia="Times New Roman"/>
          <w:szCs w:val="18"/>
        </w:rPr>
        <w:t>rontières</w:t>
      </w:r>
      <w:r w:rsidR="00310FF6" w:rsidRPr="00575ED2">
        <w:rPr>
          <w:szCs w:val="18"/>
        </w:rPr>
        <w:t xml:space="preserve">, </w:t>
      </w:r>
      <w:r w:rsidR="00310FF6" w:rsidRPr="009E050C">
        <w:rPr>
          <w:rFonts w:eastAsia="Times New Roman"/>
          <w:szCs w:val="18"/>
        </w:rPr>
        <w:t>“</w:t>
      </w:r>
      <w:r w:rsidR="00310FF6" w:rsidRPr="00575ED2">
        <w:rPr>
          <w:szCs w:val="18"/>
        </w:rPr>
        <w:t xml:space="preserve">Restrictions and </w:t>
      </w:r>
      <w:r w:rsidR="00310FF6" w:rsidRPr="00575ED2">
        <w:rPr>
          <w:rFonts w:eastAsia="Times New Roman"/>
          <w:szCs w:val="18"/>
        </w:rPr>
        <w:t>l</w:t>
      </w:r>
      <w:r w:rsidR="00310FF6" w:rsidRPr="00575ED2">
        <w:rPr>
          <w:szCs w:val="18"/>
        </w:rPr>
        <w:t>ack of medicines deprive people in Khartoum state of lifesaving care</w:t>
      </w:r>
      <w:r w:rsidR="00310FF6" w:rsidRPr="00575ED2">
        <w:rPr>
          <w:rFonts w:eastAsia="Times New Roman"/>
          <w:szCs w:val="18"/>
        </w:rPr>
        <w:t>”</w:t>
      </w:r>
      <w:r w:rsidR="008F6E4A" w:rsidRPr="00575ED2">
        <w:rPr>
          <w:rFonts w:eastAsia="Times New Roman"/>
          <w:szCs w:val="18"/>
        </w:rPr>
        <w:t xml:space="preserve">, </w:t>
      </w:r>
      <w:r w:rsidR="008F564D" w:rsidRPr="00575ED2">
        <w:rPr>
          <w:rFonts w:eastAsia="Times New Roman"/>
          <w:szCs w:val="18"/>
        </w:rPr>
        <w:t>18 January 2024</w:t>
      </w:r>
      <w:r w:rsidR="008B1298" w:rsidRPr="00575ED2">
        <w:rPr>
          <w:rFonts w:eastAsia="Times New Roman"/>
          <w:szCs w:val="18"/>
        </w:rPr>
        <w:t xml:space="preserve">. See </w:t>
      </w:r>
      <w:r w:rsidR="0062546E" w:rsidRPr="00575ED2">
        <w:rPr>
          <w:rFonts w:eastAsia="Times New Roman"/>
          <w:szCs w:val="18"/>
        </w:rPr>
        <w:t>also WHO,</w:t>
      </w:r>
      <w:r w:rsidR="0062546E" w:rsidRPr="00575ED2">
        <w:rPr>
          <w:szCs w:val="18"/>
        </w:rPr>
        <w:t xml:space="preserve"> “Women and newborns bearing the brunt of the conflict in Gaza, UN agencies warn”, 3 November 2023</w:t>
      </w:r>
      <w:r w:rsidR="00DC36CD" w:rsidRPr="009E050C">
        <w:rPr>
          <w:szCs w:val="18"/>
        </w:rPr>
        <w:t>.</w:t>
      </w:r>
    </w:p>
  </w:footnote>
  <w:footnote w:id="92">
    <w:p w14:paraId="2EDFC13C" w14:textId="47C3894E" w:rsidR="008F564D" w:rsidRPr="009E050C" w:rsidRDefault="00491021" w:rsidP="009E050C">
      <w:pPr>
        <w:pStyle w:val="FootnoteText"/>
        <w:jc w:val="both"/>
        <w:rPr>
          <w:szCs w:val="18"/>
        </w:rPr>
      </w:pPr>
      <w:r w:rsidRPr="00575ED2">
        <w:rPr>
          <w:rFonts w:eastAsia="Times New Roman"/>
          <w:szCs w:val="18"/>
        </w:rPr>
        <w:tab/>
      </w:r>
      <w:r w:rsidR="008F564D" w:rsidRPr="00575ED2">
        <w:rPr>
          <w:rStyle w:val="FootnoteReference"/>
          <w:rFonts w:eastAsia="Times New Roman"/>
          <w:szCs w:val="18"/>
        </w:rPr>
        <w:footnoteRef/>
      </w:r>
      <w:r w:rsidR="00DC36CD" w:rsidRPr="00575ED2">
        <w:rPr>
          <w:rFonts w:eastAsia="Times New Roman"/>
          <w:szCs w:val="18"/>
        </w:rPr>
        <w:tab/>
      </w:r>
      <w:r w:rsidR="00582108" w:rsidRPr="00575ED2">
        <w:rPr>
          <w:rFonts w:eastAsia="Times New Roman"/>
          <w:szCs w:val="18"/>
        </w:rPr>
        <w:t>Médecins sans Frontières, “</w:t>
      </w:r>
      <w:r w:rsidR="00582108" w:rsidRPr="00575ED2">
        <w:rPr>
          <w:szCs w:val="18"/>
        </w:rPr>
        <w:t xml:space="preserve">Sudan </w:t>
      </w:r>
      <w:r w:rsidR="00582108" w:rsidRPr="00575ED2">
        <w:rPr>
          <w:rFonts w:eastAsia="Times New Roman"/>
          <w:szCs w:val="18"/>
        </w:rPr>
        <w:t>h</w:t>
      </w:r>
      <w:r w:rsidR="00582108" w:rsidRPr="00575ED2">
        <w:rPr>
          <w:szCs w:val="18"/>
        </w:rPr>
        <w:t xml:space="preserve">ealth </w:t>
      </w:r>
      <w:r w:rsidR="00582108" w:rsidRPr="00575ED2">
        <w:rPr>
          <w:rFonts w:eastAsia="Times New Roman"/>
          <w:szCs w:val="18"/>
        </w:rPr>
        <w:t>s</w:t>
      </w:r>
      <w:r w:rsidR="00582108" w:rsidRPr="00575ED2">
        <w:rPr>
          <w:szCs w:val="18"/>
        </w:rPr>
        <w:t xml:space="preserve">ystem on </w:t>
      </w:r>
      <w:r w:rsidR="00582108" w:rsidRPr="00575ED2">
        <w:rPr>
          <w:rFonts w:eastAsia="Times New Roman"/>
          <w:szCs w:val="18"/>
        </w:rPr>
        <w:t>v</w:t>
      </w:r>
      <w:r w:rsidR="00582108" w:rsidRPr="00575ED2">
        <w:rPr>
          <w:szCs w:val="18"/>
        </w:rPr>
        <w:t xml:space="preserve">erge of </w:t>
      </w:r>
      <w:r w:rsidR="00582108" w:rsidRPr="00575ED2">
        <w:rPr>
          <w:rFonts w:eastAsia="Times New Roman"/>
          <w:szCs w:val="18"/>
        </w:rPr>
        <w:t>c</w:t>
      </w:r>
      <w:r w:rsidR="00582108" w:rsidRPr="00575ED2">
        <w:rPr>
          <w:szCs w:val="18"/>
        </w:rPr>
        <w:t>ollapse</w:t>
      </w:r>
      <w:r w:rsidR="00582108" w:rsidRPr="00575ED2">
        <w:rPr>
          <w:rFonts w:eastAsia="Times New Roman"/>
          <w:szCs w:val="18"/>
        </w:rPr>
        <w:t>”</w:t>
      </w:r>
      <w:r w:rsidR="008F6E4A" w:rsidRPr="00575ED2">
        <w:rPr>
          <w:rFonts w:eastAsia="Times New Roman"/>
          <w:szCs w:val="18"/>
        </w:rPr>
        <w:t xml:space="preserve">, </w:t>
      </w:r>
      <w:r w:rsidR="008F564D" w:rsidRPr="00575ED2">
        <w:rPr>
          <w:rFonts w:eastAsia="Times New Roman"/>
          <w:szCs w:val="18"/>
        </w:rPr>
        <w:t>8 January 2024</w:t>
      </w:r>
      <w:r w:rsidR="008F6E4A" w:rsidRPr="00575ED2">
        <w:rPr>
          <w:rFonts w:eastAsia="Times New Roman"/>
          <w:szCs w:val="18"/>
        </w:rPr>
        <w:t>.</w:t>
      </w:r>
    </w:p>
  </w:footnote>
  <w:footnote w:id="93">
    <w:p w14:paraId="75E50C2A" w14:textId="26FCCBCC" w:rsidR="00B8657B" w:rsidRPr="00575ED2" w:rsidRDefault="00F33E2D" w:rsidP="009E050C">
      <w:pPr>
        <w:pStyle w:val="FootnoteText"/>
        <w:jc w:val="both"/>
        <w:rPr>
          <w:szCs w:val="18"/>
        </w:rPr>
      </w:pPr>
      <w:r w:rsidRPr="00575ED2">
        <w:rPr>
          <w:szCs w:val="18"/>
        </w:rPr>
        <w:tab/>
      </w:r>
      <w:r w:rsidR="00B8657B" w:rsidRPr="00575ED2">
        <w:rPr>
          <w:rStyle w:val="FootnoteReference"/>
          <w:szCs w:val="18"/>
        </w:rPr>
        <w:footnoteRef/>
      </w:r>
      <w:r w:rsidR="00DC36CD" w:rsidRPr="00575ED2">
        <w:rPr>
          <w:szCs w:val="18"/>
        </w:rPr>
        <w:tab/>
      </w:r>
      <w:r w:rsidR="0088324E" w:rsidRPr="00575ED2">
        <w:rPr>
          <w:szCs w:val="18"/>
        </w:rPr>
        <w:t xml:space="preserve">See </w:t>
      </w:r>
      <w:r w:rsidR="0088324E" w:rsidRPr="009E050C">
        <w:rPr>
          <w:rStyle w:val="Hyperlink"/>
          <w:color w:val="auto"/>
          <w:szCs w:val="18"/>
        </w:rPr>
        <w:t>OHCHR briefing paper</w:t>
      </w:r>
      <w:r w:rsidR="0088324E" w:rsidRPr="00575ED2">
        <w:rPr>
          <w:rStyle w:val="Hyperlink"/>
          <w:szCs w:val="18"/>
        </w:rPr>
        <w:t>, “</w:t>
      </w:r>
      <w:r w:rsidR="0088324E" w:rsidRPr="00575ED2">
        <w:rPr>
          <w:szCs w:val="18"/>
        </w:rPr>
        <w:t>The human rights situation of older persons in Ukraine in the context of the armed attack by the Russian Federation”</w:t>
      </w:r>
      <w:r w:rsidR="00BE5BF7" w:rsidRPr="00575ED2">
        <w:rPr>
          <w:szCs w:val="18"/>
        </w:rPr>
        <w:t>, May 2023</w:t>
      </w:r>
      <w:r w:rsidR="00B8657B" w:rsidRPr="00575ED2">
        <w:rPr>
          <w:szCs w:val="18"/>
        </w:rPr>
        <w:t>.</w:t>
      </w:r>
    </w:p>
  </w:footnote>
  <w:footnote w:id="94">
    <w:p w14:paraId="466CCCDC" w14:textId="19F7FA38" w:rsidR="008F564D" w:rsidRPr="009E050C" w:rsidRDefault="00491021" w:rsidP="009E050C">
      <w:pPr>
        <w:pStyle w:val="FootnoteText"/>
        <w:jc w:val="both"/>
        <w:rPr>
          <w:szCs w:val="18"/>
        </w:rPr>
      </w:pPr>
      <w:r w:rsidRPr="00575ED2">
        <w:rPr>
          <w:rFonts w:eastAsia="Times New Roman"/>
          <w:szCs w:val="18"/>
        </w:rPr>
        <w:tab/>
      </w:r>
      <w:r w:rsidR="008F564D" w:rsidRPr="00575ED2">
        <w:rPr>
          <w:rStyle w:val="FootnoteReference"/>
          <w:rFonts w:eastAsia="Times New Roman"/>
          <w:szCs w:val="18"/>
        </w:rPr>
        <w:footnoteRef/>
      </w:r>
      <w:r w:rsidR="00DC36CD" w:rsidRPr="00575ED2">
        <w:rPr>
          <w:rFonts w:eastAsia="Times New Roman"/>
          <w:szCs w:val="18"/>
        </w:rPr>
        <w:tab/>
      </w:r>
      <w:r w:rsidR="00160A64">
        <w:t>Physicians for Human Rights</w:t>
      </w:r>
      <w:r w:rsidR="00160A64">
        <w:rPr>
          <w:rFonts w:eastAsia="Times New Roman"/>
          <w:szCs w:val="18"/>
        </w:rPr>
        <w:t>, “‘Our health workers are working in fear’: after Myanmar’s military coup, one year of targeted violence against health care”, January 2022</w:t>
      </w:r>
      <w:r w:rsidR="008F6E4A" w:rsidRPr="00575ED2">
        <w:rPr>
          <w:rFonts w:eastAsia="Times New Roman"/>
          <w:szCs w:val="18"/>
        </w:rPr>
        <w:t>.</w:t>
      </w:r>
    </w:p>
  </w:footnote>
  <w:footnote w:id="95">
    <w:p w14:paraId="789DFDE7" w14:textId="5946EB9E" w:rsidR="00CB4141" w:rsidRPr="00575ED2" w:rsidRDefault="00CB4141"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Pr="00575ED2">
        <w:rPr>
          <w:szCs w:val="18"/>
        </w:rPr>
        <w:t>A/68/297, para. 25.</w:t>
      </w:r>
    </w:p>
  </w:footnote>
  <w:footnote w:id="96">
    <w:p w14:paraId="4BC97EA6" w14:textId="2D6A1A22" w:rsidR="00491021" w:rsidRPr="00575ED2" w:rsidRDefault="00491021"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F117B1" w:rsidRPr="00575ED2">
        <w:rPr>
          <w:szCs w:val="18"/>
        </w:rPr>
        <w:t>Médecins sans Frontières, “Five ways the war in Gaza is impacting Palestinians’ health”, 27 October 2023</w:t>
      </w:r>
      <w:r w:rsidRPr="00575ED2">
        <w:rPr>
          <w:szCs w:val="18"/>
        </w:rPr>
        <w:t>.</w:t>
      </w:r>
    </w:p>
  </w:footnote>
  <w:footnote w:id="97">
    <w:p w14:paraId="70D6CE87" w14:textId="7DA0E1FF" w:rsidR="00CD5F27" w:rsidRPr="009E050C" w:rsidRDefault="00DC36CD" w:rsidP="009E050C">
      <w:pPr>
        <w:pStyle w:val="FootnoteText"/>
        <w:jc w:val="both"/>
        <w:rPr>
          <w:szCs w:val="18"/>
        </w:rPr>
      </w:pPr>
      <w:r w:rsidRPr="00575ED2">
        <w:rPr>
          <w:rFonts w:eastAsia="Times New Roman"/>
          <w:szCs w:val="18"/>
        </w:rPr>
        <w:tab/>
      </w:r>
      <w:r w:rsidR="00CD5F27" w:rsidRPr="00575ED2">
        <w:rPr>
          <w:rStyle w:val="FootnoteReference"/>
          <w:rFonts w:eastAsia="Times New Roman"/>
          <w:szCs w:val="18"/>
        </w:rPr>
        <w:footnoteRef/>
      </w:r>
      <w:r w:rsidRPr="00575ED2">
        <w:rPr>
          <w:rFonts w:eastAsia="Times New Roman"/>
          <w:szCs w:val="18"/>
        </w:rPr>
        <w:tab/>
      </w:r>
      <w:r w:rsidR="001A44AB" w:rsidRPr="00575ED2">
        <w:rPr>
          <w:szCs w:val="18"/>
        </w:rPr>
        <w:t>WHO</w:t>
      </w:r>
      <w:r w:rsidR="001A44AB" w:rsidRPr="00575ED2">
        <w:rPr>
          <w:rFonts w:eastAsia="Times New Roman"/>
          <w:szCs w:val="18"/>
        </w:rPr>
        <w:t xml:space="preserve"> Regional Office for the Eastern Mediterranean,</w:t>
      </w:r>
      <w:r w:rsidR="001A44AB" w:rsidRPr="00575ED2">
        <w:rPr>
          <w:szCs w:val="18"/>
        </w:rPr>
        <w:t xml:space="preserve"> </w:t>
      </w:r>
      <w:r w:rsidR="001A44AB" w:rsidRPr="00575ED2">
        <w:rPr>
          <w:rFonts w:eastAsia="Times New Roman"/>
          <w:szCs w:val="18"/>
        </w:rPr>
        <w:t>“</w:t>
      </w:r>
      <w:r w:rsidR="001A44AB" w:rsidRPr="00575ED2">
        <w:rPr>
          <w:szCs w:val="18"/>
        </w:rPr>
        <w:t xml:space="preserve">Sudan </w:t>
      </w:r>
      <w:r w:rsidR="001A44AB" w:rsidRPr="00575ED2">
        <w:rPr>
          <w:rFonts w:eastAsia="Times New Roman"/>
          <w:szCs w:val="18"/>
        </w:rPr>
        <w:t>h</w:t>
      </w:r>
      <w:r w:rsidR="001A44AB" w:rsidRPr="00575ED2">
        <w:rPr>
          <w:szCs w:val="18"/>
        </w:rPr>
        <w:t xml:space="preserve">ealth </w:t>
      </w:r>
      <w:r w:rsidR="001A44AB" w:rsidRPr="00575ED2">
        <w:rPr>
          <w:rFonts w:eastAsia="Times New Roman"/>
          <w:szCs w:val="18"/>
        </w:rPr>
        <w:t>e</w:t>
      </w:r>
      <w:r w:rsidR="001A44AB" w:rsidRPr="00575ED2">
        <w:rPr>
          <w:szCs w:val="18"/>
        </w:rPr>
        <w:t>mergency</w:t>
      </w:r>
      <w:r w:rsidR="001A44AB" w:rsidRPr="00575ED2">
        <w:rPr>
          <w:rFonts w:eastAsia="Times New Roman"/>
          <w:szCs w:val="18"/>
        </w:rPr>
        <w:t>: situation report No. 4”,</w:t>
      </w:r>
      <w:r w:rsidR="00CD5F27" w:rsidRPr="00575ED2">
        <w:rPr>
          <w:rFonts w:eastAsia="Times New Roman"/>
          <w:szCs w:val="18"/>
        </w:rPr>
        <w:t xml:space="preserve"> (15 December 2023)</w:t>
      </w:r>
      <w:r w:rsidRPr="00575ED2">
        <w:rPr>
          <w:rFonts w:eastAsia="Times New Roman"/>
          <w:szCs w:val="18"/>
        </w:rPr>
        <w:t>.</w:t>
      </w:r>
    </w:p>
  </w:footnote>
  <w:footnote w:id="98">
    <w:p w14:paraId="7B87AEB4" w14:textId="200AEA2D" w:rsidR="00855728" w:rsidRPr="009E050C" w:rsidRDefault="00855728" w:rsidP="009E050C">
      <w:pPr>
        <w:pStyle w:val="FootnoteText"/>
        <w:jc w:val="both"/>
        <w:rPr>
          <w:szCs w:val="18"/>
          <w:lang w:val="es-ES"/>
        </w:rPr>
      </w:pPr>
      <w:r w:rsidRPr="00575ED2">
        <w:rPr>
          <w:szCs w:val="18"/>
        </w:rPr>
        <w:tab/>
      </w:r>
      <w:r w:rsidRPr="00575ED2">
        <w:rPr>
          <w:rStyle w:val="FootnoteReference"/>
          <w:szCs w:val="18"/>
        </w:rPr>
        <w:footnoteRef/>
      </w:r>
      <w:r w:rsidR="00DC36CD" w:rsidRPr="009E050C">
        <w:rPr>
          <w:szCs w:val="18"/>
          <w:lang w:val="es-ES"/>
        </w:rPr>
        <w:tab/>
      </w:r>
      <w:r w:rsidRPr="009E050C">
        <w:rPr>
          <w:szCs w:val="18"/>
          <w:lang w:val="es-ES"/>
        </w:rPr>
        <w:t>A/68/297, para. 28.</w:t>
      </w:r>
    </w:p>
  </w:footnote>
  <w:footnote w:id="99">
    <w:p w14:paraId="07F237C7" w14:textId="4631606C" w:rsidR="00D56638" w:rsidRPr="009E050C" w:rsidRDefault="00DC36CD" w:rsidP="009E050C">
      <w:pPr>
        <w:pStyle w:val="FootnoteText"/>
        <w:jc w:val="both"/>
        <w:rPr>
          <w:szCs w:val="18"/>
          <w:lang w:val="es-ES"/>
        </w:rPr>
      </w:pPr>
      <w:r w:rsidRPr="009E050C">
        <w:rPr>
          <w:szCs w:val="18"/>
          <w:lang w:val="es-ES"/>
        </w:rPr>
        <w:tab/>
      </w:r>
      <w:r w:rsidR="00D56638" w:rsidRPr="00575ED2">
        <w:rPr>
          <w:rStyle w:val="FootnoteReference"/>
          <w:rFonts w:eastAsia="Times New Roman"/>
          <w:szCs w:val="18"/>
        </w:rPr>
        <w:footnoteRef/>
      </w:r>
      <w:r w:rsidRPr="009E050C">
        <w:rPr>
          <w:szCs w:val="18"/>
          <w:lang w:val="es-ES"/>
        </w:rPr>
        <w:tab/>
      </w:r>
      <w:r w:rsidR="00D56638" w:rsidRPr="009E050C">
        <w:rPr>
          <w:szCs w:val="18"/>
          <w:lang w:val="es-ES"/>
        </w:rPr>
        <w:t>E/2023/74, para</w:t>
      </w:r>
      <w:r w:rsidR="005F6FD7" w:rsidRPr="009E050C">
        <w:rPr>
          <w:szCs w:val="18"/>
          <w:lang w:val="es-ES"/>
        </w:rPr>
        <w:t>s.</w:t>
      </w:r>
      <w:r w:rsidR="00D56638" w:rsidRPr="009E050C">
        <w:rPr>
          <w:szCs w:val="18"/>
          <w:lang w:val="es-ES"/>
        </w:rPr>
        <w:t xml:space="preserve">35 </w:t>
      </w:r>
      <w:r w:rsidR="005F6FD7" w:rsidRPr="009E050C">
        <w:rPr>
          <w:szCs w:val="18"/>
          <w:lang w:val="es-ES"/>
        </w:rPr>
        <w:t xml:space="preserve">and </w:t>
      </w:r>
      <w:r w:rsidR="00D56638" w:rsidRPr="009E050C">
        <w:rPr>
          <w:szCs w:val="18"/>
          <w:lang w:val="es-ES"/>
        </w:rPr>
        <w:t>36</w:t>
      </w:r>
      <w:r w:rsidRPr="009E050C">
        <w:rPr>
          <w:szCs w:val="18"/>
          <w:lang w:val="es-ES"/>
        </w:rPr>
        <w:t>.</w:t>
      </w:r>
    </w:p>
  </w:footnote>
  <w:footnote w:id="100">
    <w:p w14:paraId="0C65C7E8" w14:textId="776D8EDA" w:rsidR="00E86C00" w:rsidRPr="009E050C" w:rsidRDefault="00DC36CD" w:rsidP="009E050C">
      <w:pPr>
        <w:pStyle w:val="FootnoteText"/>
        <w:jc w:val="both"/>
        <w:rPr>
          <w:szCs w:val="18"/>
        </w:rPr>
      </w:pPr>
      <w:r w:rsidRPr="009E050C">
        <w:rPr>
          <w:szCs w:val="18"/>
          <w:lang w:val="es-ES"/>
        </w:rPr>
        <w:tab/>
      </w:r>
      <w:r w:rsidR="00E86C00" w:rsidRPr="00575ED2">
        <w:rPr>
          <w:rStyle w:val="FootnoteReference"/>
          <w:rFonts w:eastAsia="Times New Roman"/>
          <w:szCs w:val="18"/>
        </w:rPr>
        <w:footnoteRef/>
      </w:r>
      <w:r w:rsidRPr="00575ED2">
        <w:rPr>
          <w:szCs w:val="18"/>
        </w:rPr>
        <w:tab/>
      </w:r>
      <w:r w:rsidR="00136383" w:rsidRPr="00575ED2">
        <w:rPr>
          <w:szCs w:val="18"/>
        </w:rPr>
        <w:t xml:space="preserve">Geneva Convention for the Amelioration of the Condition of the Wounded and Sick in Armed Forces in the Field, art. 35; Geneva Convention relative to the Protection of Civilian Persons in Time of War, art. 21; Protocol Additional to the Geneva Conventions of 12 August 1949, and relating to the Protection of Victims of International Armed Conflicts (Protocol I), art. 21; Protocol Additional to the Geneva Conventions of 12 August 1949, and relating to the Protection of Victims of Non-International Armed Conflicts (Protocol II), art. 11 (1); and Jean-Marie </w:t>
      </w:r>
      <w:proofErr w:type="spellStart"/>
      <w:r w:rsidR="00136383" w:rsidRPr="00575ED2">
        <w:rPr>
          <w:szCs w:val="18"/>
        </w:rPr>
        <w:t>Henckaerts</w:t>
      </w:r>
      <w:proofErr w:type="spellEnd"/>
      <w:r w:rsidR="00136383" w:rsidRPr="00575ED2">
        <w:rPr>
          <w:szCs w:val="18"/>
        </w:rPr>
        <w:t xml:space="preserve"> and Louise </w:t>
      </w:r>
      <w:proofErr w:type="spellStart"/>
      <w:r w:rsidR="00136383" w:rsidRPr="00575ED2">
        <w:rPr>
          <w:szCs w:val="18"/>
        </w:rPr>
        <w:t>Doswald</w:t>
      </w:r>
      <w:proofErr w:type="spellEnd"/>
      <w:r w:rsidR="00136383" w:rsidRPr="00575ED2">
        <w:rPr>
          <w:szCs w:val="18"/>
        </w:rPr>
        <w:t xml:space="preserve">-Beck, </w:t>
      </w:r>
      <w:r w:rsidR="00136383" w:rsidRPr="00575ED2">
        <w:rPr>
          <w:i/>
          <w:iCs/>
          <w:szCs w:val="18"/>
        </w:rPr>
        <w:t>Customary International Humanitarian Law: Volume I – Rules</w:t>
      </w:r>
      <w:r w:rsidR="00136383" w:rsidRPr="00575ED2">
        <w:rPr>
          <w:szCs w:val="18"/>
        </w:rPr>
        <w:t xml:space="preserve"> (Geneva, International Committee of the Red Cross; Cambridge, United Kingdom, Cambridge University Press, 2005), rule 29</w:t>
      </w:r>
      <w:r w:rsidR="00E86C00" w:rsidRPr="00575ED2">
        <w:rPr>
          <w:szCs w:val="18"/>
        </w:rPr>
        <w:t>.</w:t>
      </w:r>
    </w:p>
  </w:footnote>
  <w:footnote w:id="101">
    <w:p w14:paraId="6F2A341B" w14:textId="410E3A34" w:rsidR="00837428" w:rsidRPr="00575ED2" w:rsidRDefault="00837428" w:rsidP="009E050C">
      <w:pPr>
        <w:pStyle w:val="FootnoteText"/>
        <w:jc w:val="both"/>
        <w:rPr>
          <w:rFonts w:eastAsiaTheme="minorEastAsia"/>
          <w:kern w:val="2"/>
          <w:szCs w:val="18"/>
          <w14:ligatures w14:val="standardContextual"/>
        </w:rPr>
      </w:pPr>
      <w:r w:rsidRPr="00575ED2">
        <w:rPr>
          <w:szCs w:val="18"/>
        </w:rPr>
        <w:tab/>
      </w:r>
      <w:r w:rsidRPr="00575ED2">
        <w:rPr>
          <w:rStyle w:val="FootnoteReference"/>
          <w:szCs w:val="18"/>
        </w:rPr>
        <w:footnoteRef/>
      </w:r>
      <w:r w:rsidR="00805845" w:rsidRPr="00575ED2">
        <w:rPr>
          <w:szCs w:val="18"/>
        </w:rPr>
        <w:tab/>
      </w:r>
      <w:r w:rsidRPr="00575ED2">
        <w:rPr>
          <w:szCs w:val="18"/>
        </w:rPr>
        <w:t>A/HRC/53/50</w:t>
      </w:r>
      <w:r w:rsidR="009E3B58" w:rsidRPr="00575ED2">
        <w:rPr>
          <w:szCs w:val="18"/>
        </w:rPr>
        <w:t>,</w:t>
      </w:r>
      <w:r w:rsidRPr="00575ED2">
        <w:rPr>
          <w:szCs w:val="18"/>
        </w:rPr>
        <w:t xml:space="preserve"> para. 55.</w:t>
      </w:r>
    </w:p>
  </w:footnote>
  <w:footnote w:id="102">
    <w:p w14:paraId="32710D27" w14:textId="5F035E53" w:rsidR="00837428" w:rsidRPr="00575ED2" w:rsidRDefault="00837428" w:rsidP="009E050C">
      <w:pPr>
        <w:pStyle w:val="FootnoteText"/>
        <w:jc w:val="both"/>
        <w:rPr>
          <w:szCs w:val="18"/>
        </w:rPr>
      </w:pPr>
      <w:r w:rsidRPr="00575ED2">
        <w:rPr>
          <w:szCs w:val="18"/>
        </w:rPr>
        <w:tab/>
      </w:r>
      <w:r w:rsidRPr="00575ED2">
        <w:rPr>
          <w:rStyle w:val="FootnoteReference"/>
          <w:szCs w:val="18"/>
        </w:rPr>
        <w:footnoteRef/>
      </w:r>
      <w:r w:rsidR="00805845" w:rsidRPr="00575ED2">
        <w:rPr>
          <w:szCs w:val="18"/>
        </w:rPr>
        <w:tab/>
      </w:r>
      <w:r w:rsidR="009E3B58" w:rsidRPr="00575ED2">
        <w:rPr>
          <w:szCs w:val="18"/>
        </w:rPr>
        <w:t xml:space="preserve">Submission by </w:t>
      </w:r>
      <w:r w:rsidRPr="00575ED2">
        <w:rPr>
          <w:szCs w:val="18"/>
        </w:rPr>
        <w:t>WHO.</w:t>
      </w:r>
    </w:p>
  </w:footnote>
  <w:footnote w:id="103">
    <w:p w14:paraId="5C46084E" w14:textId="7DF67F5B" w:rsidR="00C14B21" w:rsidRPr="00575ED2" w:rsidRDefault="00C14B21" w:rsidP="009E050C">
      <w:pPr>
        <w:pStyle w:val="FootnoteText"/>
        <w:jc w:val="both"/>
        <w:rPr>
          <w:szCs w:val="18"/>
        </w:rPr>
      </w:pPr>
      <w:r w:rsidRPr="00575ED2">
        <w:rPr>
          <w:szCs w:val="18"/>
        </w:rPr>
        <w:t xml:space="preserve"> </w:t>
      </w:r>
      <w:r w:rsidR="00DC36CD" w:rsidRPr="00575ED2">
        <w:rPr>
          <w:szCs w:val="18"/>
        </w:rPr>
        <w:tab/>
      </w:r>
      <w:r w:rsidRPr="00575ED2">
        <w:rPr>
          <w:rStyle w:val="FootnoteReference"/>
          <w:szCs w:val="18"/>
        </w:rPr>
        <w:footnoteRef/>
      </w:r>
      <w:r w:rsidR="00DC36CD" w:rsidRPr="00575ED2">
        <w:rPr>
          <w:szCs w:val="18"/>
        </w:rPr>
        <w:tab/>
      </w:r>
      <w:r w:rsidRPr="00575ED2">
        <w:rPr>
          <w:szCs w:val="18"/>
        </w:rPr>
        <w:t xml:space="preserve">Submissions </w:t>
      </w:r>
      <w:r w:rsidR="00C23B9F" w:rsidRPr="00575ED2">
        <w:rPr>
          <w:szCs w:val="18"/>
        </w:rPr>
        <w:t xml:space="preserve">by </w:t>
      </w:r>
      <w:r w:rsidRPr="00575ED2">
        <w:rPr>
          <w:szCs w:val="18"/>
        </w:rPr>
        <w:t xml:space="preserve">WHO </w:t>
      </w:r>
      <w:r w:rsidR="00C23B9F" w:rsidRPr="00575ED2">
        <w:rPr>
          <w:szCs w:val="18"/>
        </w:rPr>
        <w:t>and the</w:t>
      </w:r>
      <w:r w:rsidR="00DE7DE5" w:rsidRPr="00575ED2">
        <w:rPr>
          <w:szCs w:val="18"/>
        </w:rPr>
        <w:t xml:space="preserve"> Coalition for Epidemic Preparedness Innovations</w:t>
      </w:r>
      <w:r w:rsidRPr="00575ED2">
        <w:rPr>
          <w:szCs w:val="18"/>
        </w:rPr>
        <w:t>.</w:t>
      </w:r>
    </w:p>
  </w:footnote>
  <w:footnote w:id="104">
    <w:p w14:paraId="1C93D6FD" w14:textId="6A953E1D" w:rsidR="00FF1E1A" w:rsidRPr="00575ED2" w:rsidRDefault="00F33E2D" w:rsidP="009E050C">
      <w:pPr>
        <w:pStyle w:val="FootnoteText"/>
        <w:jc w:val="both"/>
        <w:rPr>
          <w:szCs w:val="18"/>
        </w:rPr>
      </w:pPr>
      <w:r w:rsidRPr="00575ED2">
        <w:rPr>
          <w:szCs w:val="18"/>
        </w:rPr>
        <w:tab/>
      </w:r>
      <w:r w:rsidR="00FF1E1A" w:rsidRPr="00575ED2">
        <w:rPr>
          <w:rStyle w:val="FootnoteReference"/>
          <w:szCs w:val="18"/>
        </w:rPr>
        <w:footnoteRef/>
      </w:r>
      <w:r w:rsidR="00DC36CD" w:rsidRPr="00575ED2">
        <w:rPr>
          <w:szCs w:val="18"/>
        </w:rPr>
        <w:tab/>
      </w:r>
      <w:r w:rsidR="00DE7DE5" w:rsidRPr="00575ED2">
        <w:rPr>
          <w:szCs w:val="18"/>
        </w:rPr>
        <w:t>Submissions by Mexico, the national human rights institution of Ecuador and the national human rights institution of Slovakia</w:t>
      </w:r>
      <w:r w:rsidR="005750A6" w:rsidRPr="00575ED2">
        <w:rPr>
          <w:szCs w:val="18"/>
        </w:rPr>
        <w:t>.</w:t>
      </w:r>
    </w:p>
  </w:footnote>
  <w:footnote w:id="105">
    <w:p w14:paraId="14CF0F87" w14:textId="23BBE75C" w:rsidR="005D7C54" w:rsidRPr="00575ED2" w:rsidRDefault="005D7C54"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6E2974" w:rsidRPr="00575ED2">
        <w:rPr>
          <w:szCs w:val="18"/>
        </w:rPr>
        <w:t xml:space="preserve">Submissions by Armenia, Cyprus, </w:t>
      </w:r>
      <w:proofErr w:type="gramStart"/>
      <w:r w:rsidR="006E2974" w:rsidRPr="00575ED2">
        <w:rPr>
          <w:szCs w:val="18"/>
        </w:rPr>
        <w:t>Czechia</w:t>
      </w:r>
      <w:proofErr w:type="gramEnd"/>
      <w:r w:rsidR="006E2974" w:rsidRPr="00575ED2">
        <w:rPr>
          <w:szCs w:val="18"/>
        </w:rPr>
        <w:t xml:space="preserve"> and the Coalition for Epidemic Preparedness Innovations</w:t>
      </w:r>
      <w:r w:rsidRPr="00575ED2">
        <w:rPr>
          <w:szCs w:val="18"/>
        </w:rPr>
        <w:t>.</w:t>
      </w:r>
    </w:p>
  </w:footnote>
  <w:footnote w:id="106">
    <w:p w14:paraId="66935FDE" w14:textId="064651D4" w:rsidR="005D7C54" w:rsidRPr="009E050C" w:rsidRDefault="00DC36CD" w:rsidP="009E050C">
      <w:pPr>
        <w:pStyle w:val="FootnoteText"/>
        <w:jc w:val="both"/>
        <w:rPr>
          <w:szCs w:val="18"/>
        </w:rPr>
      </w:pPr>
      <w:r w:rsidRPr="00575ED2">
        <w:rPr>
          <w:szCs w:val="18"/>
        </w:rPr>
        <w:tab/>
      </w:r>
      <w:r w:rsidR="005D7C54" w:rsidRPr="00575ED2">
        <w:rPr>
          <w:rStyle w:val="FootnoteReference"/>
          <w:szCs w:val="18"/>
        </w:rPr>
        <w:footnoteRef/>
      </w:r>
      <w:r w:rsidRPr="00575ED2">
        <w:rPr>
          <w:szCs w:val="18"/>
        </w:rPr>
        <w:tab/>
      </w:r>
      <w:r w:rsidR="003754D4" w:rsidRPr="00575ED2">
        <w:rPr>
          <w:szCs w:val="18"/>
        </w:rPr>
        <w:t>Submission by Armenia</w:t>
      </w:r>
      <w:r w:rsidR="005D7C54" w:rsidRPr="009E050C">
        <w:rPr>
          <w:szCs w:val="18"/>
        </w:rPr>
        <w:t>.</w:t>
      </w:r>
    </w:p>
  </w:footnote>
  <w:footnote w:id="107">
    <w:p w14:paraId="4C59C930" w14:textId="00AD73A1" w:rsidR="008470B5" w:rsidRPr="009E050C" w:rsidRDefault="00DC36CD" w:rsidP="009E050C">
      <w:pPr>
        <w:pStyle w:val="FootnoteText"/>
        <w:jc w:val="both"/>
        <w:rPr>
          <w:szCs w:val="18"/>
        </w:rPr>
      </w:pPr>
      <w:r w:rsidRPr="009E050C">
        <w:rPr>
          <w:szCs w:val="18"/>
        </w:rPr>
        <w:tab/>
      </w:r>
      <w:r w:rsidR="008470B5" w:rsidRPr="00575ED2">
        <w:rPr>
          <w:rStyle w:val="FootnoteReference"/>
          <w:szCs w:val="18"/>
        </w:rPr>
        <w:footnoteRef/>
      </w:r>
      <w:r w:rsidRPr="009E050C">
        <w:rPr>
          <w:szCs w:val="18"/>
        </w:rPr>
        <w:tab/>
      </w:r>
      <w:r w:rsidR="003754D4" w:rsidRPr="009E050C">
        <w:rPr>
          <w:szCs w:val="18"/>
        </w:rPr>
        <w:t xml:space="preserve">Karrar </w:t>
      </w:r>
      <w:proofErr w:type="spellStart"/>
      <w:r w:rsidR="003754D4" w:rsidRPr="009E050C">
        <w:rPr>
          <w:szCs w:val="18"/>
        </w:rPr>
        <w:t>Karrar</w:t>
      </w:r>
      <w:proofErr w:type="spellEnd"/>
      <w:r w:rsidR="003754D4" w:rsidRPr="009E050C">
        <w:rPr>
          <w:szCs w:val="18"/>
        </w:rPr>
        <w:t>, “Right time, right place, right medicine: why functioning regulatory systems are the bedrock of access to medicine”, Save the Children, 17 September 2019</w:t>
      </w:r>
      <w:r w:rsidRPr="009E050C">
        <w:rPr>
          <w:szCs w:val="18"/>
        </w:rPr>
        <w:t>.</w:t>
      </w:r>
    </w:p>
  </w:footnote>
  <w:footnote w:id="108">
    <w:p w14:paraId="6776E3F9" w14:textId="5A056652" w:rsidR="008A698D" w:rsidRPr="00575ED2" w:rsidRDefault="008A698D" w:rsidP="009E050C">
      <w:pPr>
        <w:pStyle w:val="FootnoteText"/>
        <w:jc w:val="both"/>
        <w:rPr>
          <w:szCs w:val="18"/>
        </w:rPr>
      </w:pPr>
      <w:r w:rsidRPr="009E050C">
        <w:rPr>
          <w:szCs w:val="18"/>
        </w:rPr>
        <w:tab/>
      </w:r>
      <w:r w:rsidRPr="00575ED2">
        <w:rPr>
          <w:rStyle w:val="FootnoteReference"/>
          <w:szCs w:val="18"/>
        </w:rPr>
        <w:footnoteRef/>
      </w:r>
      <w:r w:rsidR="00DC36CD" w:rsidRPr="009E050C">
        <w:rPr>
          <w:szCs w:val="18"/>
        </w:rPr>
        <w:tab/>
      </w:r>
      <w:r w:rsidR="00416578" w:rsidRPr="00575ED2">
        <w:rPr>
          <w:szCs w:val="18"/>
        </w:rPr>
        <w:t xml:space="preserve">Submission by </w:t>
      </w:r>
      <w:r w:rsidRPr="00575ED2">
        <w:rPr>
          <w:szCs w:val="18"/>
        </w:rPr>
        <w:t>Czech</w:t>
      </w:r>
      <w:r w:rsidR="00416578" w:rsidRPr="00575ED2">
        <w:rPr>
          <w:szCs w:val="18"/>
        </w:rPr>
        <w:t>ia</w:t>
      </w:r>
      <w:r w:rsidRPr="00575ED2">
        <w:rPr>
          <w:szCs w:val="18"/>
        </w:rPr>
        <w:t>.</w:t>
      </w:r>
    </w:p>
  </w:footnote>
  <w:footnote w:id="109">
    <w:p w14:paraId="5714B321" w14:textId="6BF597FC" w:rsidR="008A698D" w:rsidRPr="00575ED2" w:rsidRDefault="008A698D"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416578" w:rsidRPr="00575ED2">
        <w:rPr>
          <w:szCs w:val="18"/>
        </w:rPr>
        <w:t xml:space="preserve">Submissions by </w:t>
      </w:r>
      <w:r w:rsidRPr="00575ED2">
        <w:rPr>
          <w:szCs w:val="18"/>
        </w:rPr>
        <w:t xml:space="preserve">Spain </w:t>
      </w:r>
      <w:r w:rsidR="00416578" w:rsidRPr="00575ED2">
        <w:rPr>
          <w:szCs w:val="18"/>
        </w:rPr>
        <w:t xml:space="preserve">and </w:t>
      </w:r>
      <w:r w:rsidRPr="00575ED2">
        <w:rPr>
          <w:szCs w:val="18"/>
        </w:rPr>
        <w:t>Guatemala.</w:t>
      </w:r>
    </w:p>
  </w:footnote>
  <w:footnote w:id="110">
    <w:p w14:paraId="4946BF86" w14:textId="610399BB" w:rsidR="008A698D" w:rsidRPr="00575ED2" w:rsidRDefault="008A698D"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416578" w:rsidRPr="00575ED2">
        <w:rPr>
          <w:szCs w:val="18"/>
        </w:rPr>
        <w:t xml:space="preserve">Submission </w:t>
      </w:r>
      <w:r w:rsidR="00132159" w:rsidRPr="00575ED2">
        <w:rPr>
          <w:szCs w:val="18"/>
        </w:rPr>
        <w:t>by the Coalition for Epidemic Preparedness Innovations</w:t>
      </w:r>
      <w:r w:rsidRPr="00575ED2">
        <w:rPr>
          <w:szCs w:val="18"/>
        </w:rPr>
        <w:t>.</w:t>
      </w:r>
    </w:p>
  </w:footnote>
  <w:footnote w:id="111">
    <w:p w14:paraId="24F0B6AD" w14:textId="44E49310" w:rsidR="00FA2685" w:rsidRPr="00575ED2" w:rsidRDefault="00FA2685"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687444" w:rsidRPr="00575ED2">
        <w:rPr>
          <w:szCs w:val="18"/>
        </w:rPr>
        <w:t xml:space="preserve">See </w:t>
      </w:r>
      <w:r w:rsidR="00635E7F" w:rsidRPr="00575ED2">
        <w:rPr>
          <w:szCs w:val="18"/>
        </w:rPr>
        <w:t>A</w:t>
      </w:r>
      <w:r w:rsidR="002D1727" w:rsidRPr="00575ED2">
        <w:rPr>
          <w:szCs w:val="18"/>
        </w:rPr>
        <w:t>/71/304</w:t>
      </w:r>
      <w:r w:rsidR="00DC36CD" w:rsidRPr="00575ED2">
        <w:rPr>
          <w:szCs w:val="18"/>
        </w:rPr>
        <w:t>.</w:t>
      </w:r>
    </w:p>
  </w:footnote>
  <w:footnote w:id="112">
    <w:p w14:paraId="7A915058" w14:textId="277981AA" w:rsidR="008C6583" w:rsidRPr="00575ED2" w:rsidRDefault="008C6583"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635E7F" w:rsidRPr="00575ED2">
        <w:rPr>
          <w:szCs w:val="18"/>
        </w:rPr>
        <w:t xml:space="preserve">Submission by </w:t>
      </w:r>
      <w:r w:rsidRPr="00575ED2">
        <w:rPr>
          <w:szCs w:val="18"/>
        </w:rPr>
        <w:t>Mexico</w:t>
      </w:r>
      <w:r w:rsidR="008A6647" w:rsidRPr="00575ED2">
        <w:rPr>
          <w:szCs w:val="18"/>
        </w:rPr>
        <w:t>,</w:t>
      </w:r>
      <w:r w:rsidR="00D87B48" w:rsidRPr="00575ED2">
        <w:rPr>
          <w:szCs w:val="18"/>
        </w:rPr>
        <w:t xml:space="preserve"> </w:t>
      </w:r>
      <w:r w:rsidR="00D43EF1" w:rsidRPr="00575ED2">
        <w:rPr>
          <w:szCs w:val="18"/>
        </w:rPr>
        <w:t>j</w:t>
      </w:r>
      <w:r w:rsidR="00F857FB" w:rsidRPr="00575ED2">
        <w:rPr>
          <w:szCs w:val="18"/>
        </w:rPr>
        <w:t xml:space="preserve">oint </w:t>
      </w:r>
      <w:r w:rsidR="00635E7F" w:rsidRPr="00575ED2">
        <w:rPr>
          <w:szCs w:val="18"/>
        </w:rPr>
        <w:t>s</w:t>
      </w:r>
      <w:r w:rsidR="00F857FB" w:rsidRPr="00575ED2">
        <w:rPr>
          <w:szCs w:val="18"/>
        </w:rPr>
        <w:t>ubmission</w:t>
      </w:r>
      <w:r w:rsidR="00460140" w:rsidRPr="00575ED2">
        <w:rPr>
          <w:szCs w:val="18"/>
        </w:rPr>
        <w:t xml:space="preserve">s </w:t>
      </w:r>
      <w:r w:rsidR="00BA44CD" w:rsidRPr="00575ED2">
        <w:rPr>
          <w:szCs w:val="18"/>
        </w:rPr>
        <w:t>by Transgender Europe and the European Region of the International Lesbian and Gay Federation</w:t>
      </w:r>
      <w:r w:rsidR="00D43EF1" w:rsidRPr="00575ED2">
        <w:rPr>
          <w:szCs w:val="18"/>
        </w:rPr>
        <w:t>.</w:t>
      </w:r>
    </w:p>
  </w:footnote>
  <w:footnote w:id="113">
    <w:p w14:paraId="6C4E9C1B" w14:textId="02F79C22" w:rsidR="00724D24" w:rsidRPr="009E050C" w:rsidRDefault="00DC36CD" w:rsidP="009E050C">
      <w:pPr>
        <w:pStyle w:val="FootnoteText"/>
        <w:jc w:val="both"/>
        <w:rPr>
          <w:szCs w:val="18"/>
        </w:rPr>
      </w:pPr>
      <w:r w:rsidRPr="00575ED2">
        <w:rPr>
          <w:szCs w:val="18"/>
        </w:rPr>
        <w:tab/>
      </w:r>
      <w:r w:rsidR="00724D24" w:rsidRPr="00575ED2">
        <w:rPr>
          <w:rStyle w:val="FootnoteReference"/>
          <w:szCs w:val="18"/>
        </w:rPr>
        <w:footnoteRef/>
      </w:r>
      <w:r w:rsidRPr="00575ED2">
        <w:rPr>
          <w:szCs w:val="18"/>
        </w:rPr>
        <w:tab/>
      </w:r>
      <w:r w:rsidR="00F20C68" w:rsidRPr="00575ED2">
        <w:rPr>
          <w:szCs w:val="18"/>
        </w:rPr>
        <w:t>Helena</w:t>
      </w:r>
      <w:r w:rsidR="00724D24" w:rsidRPr="00575ED2">
        <w:rPr>
          <w:szCs w:val="18"/>
        </w:rPr>
        <w:t xml:space="preserve"> Nygren</w:t>
      </w:r>
      <w:r w:rsidR="00F20C68" w:rsidRPr="00575ED2">
        <w:rPr>
          <w:szCs w:val="18"/>
        </w:rPr>
        <w:t>-</w:t>
      </w:r>
      <w:r w:rsidR="00724D24" w:rsidRPr="00575ED2">
        <w:rPr>
          <w:szCs w:val="18"/>
        </w:rPr>
        <w:t xml:space="preserve">Krug, </w:t>
      </w:r>
      <w:r w:rsidR="00302138" w:rsidRPr="00575ED2">
        <w:rPr>
          <w:szCs w:val="18"/>
        </w:rPr>
        <w:t>“</w:t>
      </w:r>
      <w:r w:rsidR="00724D24" w:rsidRPr="009E050C">
        <w:rPr>
          <w:szCs w:val="18"/>
        </w:rPr>
        <w:t>The Right(s) Road to Universal Health Coverage</w:t>
      </w:r>
      <w:r w:rsidR="00302138" w:rsidRPr="00575ED2">
        <w:rPr>
          <w:szCs w:val="18"/>
        </w:rPr>
        <w:t>”</w:t>
      </w:r>
      <w:r w:rsidR="00724D24" w:rsidRPr="00575ED2">
        <w:rPr>
          <w:szCs w:val="18"/>
        </w:rPr>
        <w:t xml:space="preserve">, </w:t>
      </w:r>
      <w:r w:rsidR="00724D24" w:rsidRPr="009E050C">
        <w:rPr>
          <w:i/>
          <w:iCs/>
          <w:szCs w:val="18"/>
        </w:rPr>
        <w:t>H</w:t>
      </w:r>
      <w:r w:rsidR="00560BBB" w:rsidRPr="009E050C">
        <w:rPr>
          <w:i/>
          <w:iCs/>
          <w:szCs w:val="18"/>
        </w:rPr>
        <w:t>ealth and Human Rights</w:t>
      </w:r>
      <w:r w:rsidR="00560BBB" w:rsidRPr="00575ED2">
        <w:rPr>
          <w:szCs w:val="18"/>
        </w:rPr>
        <w:t xml:space="preserve">, </w:t>
      </w:r>
      <w:r w:rsidR="00E36599" w:rsidRPr="00575ED2">
        <w:rPr>
          <w:szCs w:val="18"/>
        </w:rPr>
        <w:t xml:space="preserve">vol. </w:t>
      </w:r>
      <w:r w:rsidR="00724D24" w:rsidRPr="00575ED2">
        <w:rPr>
          <w:szCs w:val="18"/>
        </w:rPr>
        <w:t>21</w:t>
      </w:r>
      <w:r w:rsidR="00E36599" w:rsidRPr="00575ED2">
        <w:rPr>
          <w:szCs w:val="18"/>
        </w:rPr>
        <w:t xml:space="preserve">, No. </w:t>
      </w:r>
      <w:r w:rsidR="00724D24" w:rsidRPr="00575ED2">
        <w:rPr>
          <w:szCs w:val="18"/>
        </w:rPr>
        <w:t xml:space="preserve">2, December 2019. </w:t>
      </w:r>
    </w:p>
  </w:footnote>
  <w:footnote w:id="114">
    <w:p w14:paraId="1882E015" w14:textId="069E5FAB" w:rsidR="006355C6" w:rsidRPr="009E050C" w:rsidRDefault="00DC36CD" w:rsidP="009E050C">
      <w:pPr>
        <w:pStyle w:val="FootnoteText"/>
        <w:jc w:val="both"/>
        <w:rPr>
          <w:szCs w:val="18"/>
        </w:rPr>
      </w:pPr>
      <w:r w:rsidRPr="00575ED2">
        <w:rPr>
          <w:szCs w:val="18"/>
        </w:rPr>
        <w:tab/>
      </w:r>
      <w:r w:rsidR="006355C6" w:rsidRPr="00575ED2">
        <w:rPr>
          <w:rStyle w:val="FootnoteReference"/>
          <w:szCs w:val="18"/>
        </w:rPr>
        <w:footnoteRef/>
      </w:r>
      <w:r w:rsidRPr="00575ED2">
        <w:rPr>
          <w:szCs w:val="18"/>
        </w:rPr>
        <w:tab/>
      </w:r>
      <w:r w:rsidR="00F459B8" w:rsidRPr="00575ED2">
        <w:rPr>
          <w:szCs w:val="18"/>
        </w:rPr>
        <w:t>Anne</w:t>
      </w:r>
      <w:r w:rsidR="006355C6" w:rsidRPr="00575ED2">
        <w:rPr>
          <w:szCs w:val="18"/>
        </w:rPr>
        <w:t xml:space="preserve"> Liu </w:t>
      </w:r>
      <w:r w:rsidR="00F459B8" w:rsidRPr="00575ED2">
        <w:rPr>
          <w:szCs w:val="18"/>
        </w:rPr>
        <w:t>and others,</w:t>
      </w:r>
      <w:r w:rsidR="006355C6" w:rsidRPr="00575ED2">
        <w:rPr>
          <w:szCs w:val="18"/>
        </w:rPr>
        <w:t xml:space="preserve"> </w:t>
      </w:r>
      <w:r w:rsidR="006355C6" w:rsidRPr="009E050C">
        <w:rPr>
          <w:i/>
          <w:iCs/>
          <w:szCs w:val="18"/>
        </w:rPr>
        <w:t>Implementation Support Guide: Development of a National Georeferenced Community Health Worker Master List Hosted in a Registry</w:t>
      </w:r>
      <w:r w:rsidR="006355C6" w:rsidRPr="00575ED2">
        <w:rPr>
          <w:szCs w:val="18"/>
        </w:rPr>
        <w:t xml:space="preserve"> </w:t>
      </w:r>
      <w:r w:rsidR="000A17E1" w:rsidRPr="00575ED2">
        <w:rPr>
          <w:szCs w:val="18"/>
        </w:rPr>
        <w:t>(</w:t>
      </w:r>
      <w:r w:rsidR="006355C6" w:rsidRPr="00575ED2">
        <w:rPr>
          <w:szCs w:val="18"/>
        </w:rPr>
        <w:t>UNICEF</w:t>
      </w:r>
      <w:r w:rsidR="000A17E1" w:rsidRPr="00575ED2">
        <w:rPr>
          <w:szCs w:val="18"/>
        </w:rPr>
        <w:t>,</w:t>
      </w:r>
      <w:r w:rsidR="006355C6" w:rsidRPr="00575ED2">
        <w:rPr>
          <w:szCs w:val="18"/>
        </w:rPr>
        <w:t xml:space="preserve"> 2021</w:t>
      </w:r>
      <w:r w:rsidR="000A17E1" w:rsidRPr="00575ED2">
        <w:rPr>
          <w:szCs w:val="18"/>
        </w:rPr>
        <w:t>)</w:t>
      </w:r>
      <w:r w:rsidR="006355C6" w:rsidRPr="00575ED2">
        <w:rPr>
          <w:szCs w:val="18"/>
        </w:rPr>
        <w:t>.</w:t>
      </w:r>
    </w:p>
  </w:footnote>
  <w:footnote w:id="115">
    <w:p w14:paraId="549300AC" w14:textId="28227A27" w:rsidR="00DC48DE" w:rsidRPr="00575ED2" w:rsidRDefault="00DC36CD" w:rsidP="009E050C">
      <w:pPr>
        <w:pStyle w:val="FootnoteText"/>
        <w:jc w:val="both"/>
        <w:rPr>
          <w:szCs w:val="18"/>
        </w:rPr>
      </w:pPr>
      <w:r w:rsidRPr="00575ED2">
        <w:rPr>
          <w:szCs w:val="18"/>
        </w:rPr>
        <w:tab/>
      </w:r>
      <w:r w:rsidR="00DC48DE" w:rsidRPr="00575ED2">
        <w:rPr>
          <w:rStyle w:val="FootnoteReference"/>
          <w:szCs w:val="18"/>
        </w:rPr>
        <w:footnoteRef/>
      </w:r>
      <w:r w:rsidRPr="00575ED2">
        <w:rPr>
          <w:szCs w:val="18"/>
        </w:rPr>
        <w:tab/>
      </w:r>
      <w:r w:rsidR="00DC48DE" w:rsidRPr="00575ED2">
        <w:rPr>
          <w:szCs w:val="18"/>
        </w:rPr>
        <w:t>A/HRC/53/50, pa</w:t>
      </w:r>
      <w:r w:rsidR="00810341" w:rsidRPr="00575ED2">
        <w:rPr>
          <w:szCs w:val="18"/>
        </w:rPr>
        <w:t>ra. 68 (c) (</w:t>
      </w:r>
      <w:proofErr w:type="spellStart"/>
      <w:r w:rsidR="00810341" w:rsidRPr="00575ED2">
        <w:rPr>
          <w:szCs w:val="18"/>
        </w:rPr>
        <w:t>i</w:t>
      </w:r>
      <w:proofErr w:type="spellEnd"/>
      <w:r w:rsidR="00810341" w:rsidRPr="00575ED2">
        <w:rPr>
          <w:szCs w:val="18"/>
        </w:rPr>
        <w:t>).</w:t>
      </w:r>
      <w:r w:rsidR="00DC48DE" w:rsidRPr="00575ED2">
        <w:rPr>
          <w:szCs w:val="18"/>
        </w:rPr>
        <w:t xml:space="preserve"> </w:t>
      </w:r>
      <w:r w:rsidR="00546C5E">
        <w:rPr>
          <w:szCs w:val="18"/>
        </w:rPr>
        <w:t>See s</w:t>
      </w:r>
      <w:r w:rsidR="00546C5E" w:rsidRPr="00575ED2">
        <w:rPr>
          <w:szCs w:val="18"/>
        </w:rPr>
        <w:t>ubmissions by Guatemala and Poland</w:t>
      </w:r>
      <w:r w:rsidR="00546C5E">
        <w:rPr>
          <w:szCs w:val="18"/>
        </w:rPr>
        <w:t>.</w:t>
      </w:r>
    </w:p>
  </w:footnote>
  <w:footnote w:id="116">
    <w:p w14:paraId="79780BFF" w14:textId="4DB4ED61" w:rsidR="00A91859" w:rsidRPr="00575ED2" w:rsidRDefault="00A91859"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D926A4" w:rsidRPr="00575ED2">
        <w:rPr>
          <w:szCs w:val="18"/>
        </w:rPr>
        <w:t xml:space="preserve">Submission by </w:t>
      </w:r>
      <w:r w:rsidRPr="00575ED2">
        <w:rPr>
          <w:szCs w:val="18"/>
        </w:rPr>
        <w:t>Guatemala.</w:t>
      </w:r>
    </w:p>
  </w:footnote>
  <w:footnote w:id="117">
    <w:p w14:paraId="0D712A14" w14:textId="453B510B" w:rsidR="00A91859" w:rsidRPr="00575ED2" w:rsidRDefault="00A91859"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D926A4" w:rsidRPr="00575ED2">
        <w:rPr>
          <w:szCs w:val="18"/>
        </w:rPr>
        <w:t>Submissions by</w:t>
      </w:r>
      <w:r w:rsidRPr="00575ED2">
        <w:rPr>
          <w:szCs w:val="18"/>
        </w:rPr>
        <w:t xml:space="preserve"> Guatemala, </w:t>
      </w:r>
      <w:r w:rsidR="00756105" w:rsidRPr="00575ED2">
        <w:rPr>
          <w:szCs w:val="18"/>
        </w:rPr>
        <w:t xml:space="preserve">the Coalition for Epidemic Preparedness </w:t>
      </w:r>
      <w:proofErr w:type="gramStart"/>
      <w:r w:rsidR="00756105" w:rsidRPr="00575ED2">
        <w:rPr>
          <w:szCs w:val="18"/>
        </w:rPr>
        <w:t>Innovations</w:t>
      </w:r>
      <w:proofErr w:type="gramEnd"/>
      <w:r w:rsidR="00756105" w:rsidRPr="00575ED2">
        <w:rPr>
          <w:szCs w:val="18"/>
        </w:rPr>
        <w:t xml:space="preserve"> and the Elizabeth Glaser </w:t>
      </w:r>
      <w:proofErr w:type="spellStart"/>
      <w:r w:rsidR="00756105" w:rsidRPr="00575ED2">
        <w:rPr>
          <w:szCs w:val="18"/>
        </w:rPr>
        <w:t>Pediatric</w:t>
      </w:r>
      <w:proofErr w:type="spellEnd"/>
      <w:r w:rsidR="00756105" w:rsidRPr="00575ED2">
        <w:rPr>
          <w:szCs w:val="18"/>
        </w:rPr>
        <w:t xml:space="preserve"> AIDS Foundation</w:t>
      </w:r>
      <w:r w:rsidRPr="00575ED2">
        <w:rPr>
          <w:szCs w:val="18"/>
        </w:rPr>
        <w:t xml:space="preserve">. </w:t>
      </w:r>
    </w:p>
  </w:footnote>
  <w:footnote w:id="118">
    <w:p w14:paraId="4967FF3B" w14:textId="0FA0F4DB" w:rsidR="00A91859" w:rsidRPr="00575ED2" w:rsidRDefault="00A91859"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Pr="00575ED2">
        <w:rPr>
          <w:szCs w:val="18"/>
        </w:rPr>
        <w:t>A/HRC/53/50, para</w:t>
      </w:r>
      <w:r w:rsidR="00756105" w:rsidRPr="00575ED2">
        <w:rPr>
          <w:szCs w:val="18"/>
        </w:rPr>
        <w:t>.</w:t>
      </w:r>
      <w:r w:rsidRPr="00575ED2">
        <w:rPr>
          <w:szCs w:val="18"/>
        </w:rPr>
        <w:t xml:space="preserve"> 56.</w:t>
      </w:r>
    </w:p>
  </w:footnote>
  <w:footnote w:id="119">
    <w:p w14:paraId="35B75C97" w14:textId="6320C132" w:rsidR="00A91859" w:rsidRPr="00575ED2" w:rsidRDefault="00A91859"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4B3CBB" w:rsidRPr="00575ED2">
        <w:rPr>
          <w:szCs w:val="18"/>
        </w:rPr>
        <w:t>S</w:t>
      </w:r>
      <w:r w:rsidR="00EE588A" w:rsidRPr="00575ED2">
        <w:rPr>
          <w:szCs w:val="18"/>
        </w:rPr>
        <w:t xml:space="preserve">ubmission </w:t>
      </w:r>
      <w:r w:rsidR="004B3CBB" w:rsidRPr="00575ED2">
        <w:rPr>
          <w:szCs w:val="18"/>
        </w:rPr>
        <w:t xml:space="preserve">by </w:t>
      </w:r>
      <w:r w:rsidRPr="00575ED2">
        <w:rPr>
          <w:szCs w:val="18"/>
        </w:rPr>
        <w:t>Guatemala</w:t>
      </w:r>
      <w:r w:rsidR="004B3CBB" w:rsidRPr="00575ED2">
        <w:rPr>
          <w:szCs w:val="18"/>
        </w:rPr>
        <w:t>.</w:t>
      </w:r>
      <w:r w:rsidRPr="00575ED2">
        <w:rPr>
          <w:szCs w:val="18"/>
        </w:rPr>
        <w:t xml:space="preserve"> </w:t>
      </w:r>
    </w:p>
  </w:footnote>
  <w:footnote w:id="120">
    <w:p w14:paraId="5667E4BF" w14:textId="15765644" w:rsidR="00A91859" w:rsidRPr="00575ED2" w:rsidRDefault="00A91859"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4B3CBB" w:rsidRPr="00575ED2">
        <w:rPr>
          <w:szCs w:val="18"/>
        </w:rPr>
        <w:t xml:space="preserve">Submission by </w:t>
      </w:r>
      <w:r w:rsidRPr="00575ED2">
        <w:rPr>
          <w:szCs w:val="18"/>
        </w:rPr>
        <w:t>Mauritius</w:t>
      </w:r>
      <w:r w:rsidR="004B3CBB" w:rsidRPr="00575ED2">
        <w:rPr>
          <w:szCs w:val="18"/>
        </w:rPr>
        <w:t>.</w:t>
      </w:r>
    </w:p>
  </w:footnote>
  <w:footnote w:id="121">
    <w:p w14:paraId="6ABF4FB2" w14:textId="5E60A471" w:rsidR="00A91859" w:rsidRPr="00575ED2" w:rsidRDefault="00A91859"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Pr="00575ED2">
        <w:rPr>
          <w:szCs w:val="18"/>
        </w:rPr>
        <w:t>A/HRC/53/50, para</w:t>
      </w:r>
      <w:r w:rsidR="004B3CBB" w:rsidRPr="00575ED2">
        <w:rPr>
          <w:szCs w:val="18"/>
        </w:rPr>
        <w:t>.</w:t>
      </w:r>
      <w:r w:rsidRPr="00575ED2">
        <w:rPr>
          <w:szCs w:val="18"/>
        </w:rPr>
        <w:t xml:space="preserve"> 58.</w:t>
      </w:r>
    </w:p>
  </w:footnote>
  <w:footnote w:id="122">
    <w:p w14:paraId="48615779" w14:textId="77D8197C" w:rsidR="00A91859" w:rsidRPr="009E050C" w:rsidRDefault="00DC36CD" w:rsidP="009E050C">
      <w:pPr>
        <w:pStyle w:val="FootnoteText"/>
        <w:jc w:val="both"/>
        <w:rPr>
          <w:szCs w:val="18"/>
        </w:rPr>
      </w:pPr>
      <w:r w:rsidRPr="00575ED2">
        <w:rPr>
          <w:szCs w:val="18"/>
        </w:rPr>
        <w:tab/>
      </w:r>
      <w:r w:rsidR="00A91859" w:rsidRPr="00575ED2">
        <w:rPr>
          <w:rStyle w:val="FootnoteReference"/>
          <w:szCs w:val="18"/>
        </w:rPr>
        <w:footnoteRef/>
      </w:r>
      <w:r w:rsidRPr="00575ED2">
        <w:rPr>
          <w:szCs w:val="18"/>
        </w:rPr>
        <w:tab/>
      </w:r>
      <w:r w:rsidR="004B3CBB" w:rsidRPr="00575ED2">
        <w:rPr>
          <w:szCs w:val="18"/>
        </w:rPr>
        <w:t>Ibid.</w:t>
      </w:r>
    </w:p>
  </w:footnote>
  <w:footnote w:id="123">
    <w:p w14:paraId="69D03F2D" w14:textId="6E2D5DD2" w:rsidR="004B55E9" w:rsidRPr="00575ED2" w:rsidRDefault="00DC36CD" w:rsidP="009E050C">
      <w:pPr>
        <w:pStyle w:val="FootnoteText"/>
        <w:jc w:val="both"/>
        <w:rPr>
          <w:szCs w:val="18"/>
        </w:rPr>
      </w:pPr>
      <w:r w:rsidRPr="00575ED2">
        <w:rPr>
          <w:szCs w:val="18"/>
        </w:rPr>
        <w:tab/>
      </w:r>
      <w:r w:rsidR="004B55E9" w:rsidRPr="00575ED2">
        <w:rPr>
          <w:rStyle w:val="FootnoteReference"/>
          <w:szCs w:val="18"/>
        </w:rPr>
        <w:footnoteRef/>
      </w:r>
      <w:r w:rsidRPr="00575ED2">
        <w:rPr>
          <w:szCs w:val="18"/>
        </w:rPr>
        <w:tab/>
      </w:r>
      <w:r w:rsidR="00D72A33" w:rsidRPr="009E050C">
        <w:rPr>
          <w:szCs w:val="18"/>
        </w:rPr>
        <w:t>Submission by</w:t>
      </w:r>
      <w:r w:rsidR="00D72A33" w:rsidRPr="009E050C">
        <w:rPr>
          <w:rStyle w:val="FootnoteReference"/>
          <w:szCs w:val="18"/>
        </w:rPr>
        <w:t xml:space="preserve"> </w:t>
      </w:r>
      <w:r w:rsidR="00D72A33" w:rsidRPr="009E050C">
        <w:rPr>
          <w:szCs w:val="18"/>
        </w:rPr>
        <w:t>Médecins sans Frontières</w:t>
      </w:r>
      <w:r w:rsidR="004B55E9" w:rsidRPr="00575ED2">
        <w:rPr>
          <w:szCs w:val="18"/>
        </w:rPr>
        <w:t xml:space="preserve">. </w:t>
      </w:r>
    </w:p>
  </w:footnote>
  <w:footnote w:id="124">
    <w:p w14:paraId="53A8A950" w14:textId="75F3F561" w:rsidR="00AB773B" w:rsidRPr="00575ED2" w:rsidRDefault="00DC36CD" w:rsidP="009E050C">
      <w:pPr>
        <w:pStyle w:val="FootnoteText"/>
        <w:jc w:val="both"/>
        <w:rPr>
          <w:szCs w:val="18"/>
        </w:rPr>
      </w:pPr>
      <w:r w:rsidRPr="00575ED2">
        <w:rPr>
          <w:szCs w:val="18"/>
        </w:rPr>
        <w:tab/>
      </w:r>
      <w:r w:rsidR="00AB773B" w:rsidRPr="00575ED2">
        <w:rPr>
          <w:rStyle w:val="FootnoteReference"/>
          <w:szCs w:val="18"/>
        </w:rPr>
        <w:footnoteRef/>
      </w:r>
      <w:r w:rsidRPr="00575ED2">
        <w:rPr>
          <w:szCs w:val="18"/>
        </w:rPr>
        <w:tab/>
      </w:r>
      <w:r w:rsidR="00D72A33" w:rsidRPr="00575ED2">
        <w:rPr>
          <w:szCs w:val="18"/>
        </w:rPr>
        <w:t xml:space="preserve">Submission by </w:t>
      </w:r>
      <w:r w:rsidR="00AB773B" w:rsidRPr="00575ED2">
        <w:rPr>
          <w:szCs w:val="18"/>
        </w:rPr>
        <w:t>WHO.</w:t>
      </w:r>
    </w:p>
  </w:footnote>
  <w:footnote w:id="125">
    <w:p w14:paraId="504C6919" w14:textId="0A012F7E" w:rsidR="00AB773B" w:rsidRPr="009E050C" w:rsidRDefault="00DC36CD" w:rsidP="009E050C">
      <w:pPr>
        <w:pStyle w:val="FootnoteText"/>
        <w:jc w:val="both"/>
        <w:rPr>
          <w:szCs w:val="18"/>
          <w:lang w:val="fr-FR"/>
        </w:rPr>
      </w:pPr>
      <w:r w:rsidRPr="00575ED2">
        <w:rPr>
          <w:szCs w:val="18"/>
        </w:rPr>
        <w:tab/>
      </w:r>
      <w:r w:rsidR="00AB773B" w:rsidRPr="00575ED2">
        <w:rPr>
          <w:rStyle w:val="FootnoteReference"/>
          <w:szCs w:val="18"/>
        </w:rPr>
        <w:footnoteRef/>
      </w:r>
      <w:r w:rsidRPr="009E050C">
        <w:rPr>
          <w:szCs w:val="18"/>
          <w:lang w:val="fr-FR"/>
        </w:rPr>
        <w:tab/>
      </w:r>
      <w:proofErr w:type="spellStart"/>
      <w:r w:rsidR="00D72A33" w:rsidRPr="009E050C">
        <w:rPr>
          <w:szCs w:val="18"/>
          <w:lang w:val="fr-FR"/>
        </w:rPr>
        <w:t>Submission</w:t>
      </w:r>
      <w:proofErr w:type="spellEnd"/>
      <w:r w:rsidR="00D72A33" w:rsidRPr="009E050C">
        <w:rPr>
          <w:szCs w:val="18"/>
          <w:lang w:val="fr-FR"/>
        </w:rPr>
        <w:t xml:space="preserve"> by</w:t>
      </w:r>
      <w:r w:rsidR="00D72A33" w:rsidRPr="009E050C">
        <w:rPr>
          <w:rStyle w:val="FootnoteReference"/>
          <w:szCs w:val="18"/>
          <w:lang w:val="fr-FR"/>
        </w:rPr>
        <w:t xml:space="preserve"> </w:t>
      </w:r>
      <w:r w:rsidR="00D72A33" w:rsidRPr="009E050C">
        <w:rPr>
          <w:szCs w:val="18"/>
          <w:lang w:val="fr-FR"/>
        </w:rPr>
        <w:t>Médecins sans Frontières</w:t>
      </w:r>
      <w:r w:rsidR="00AB773B" w:rsidRPr="009E050C">
        <w:rPr>
          <w:szCs w:val="18"/>
          <w:lang w:val="fr-FR"/>
        </w:rPr>
        <w:t>.</w:t>
      </w:r>
    </w:p>
  </w:footnote>
  <w:footnote w:id="126">
    <w:p w14:paraId="1E68C185" w14:textId="4D582E0E" w:rsidR="00AB773B" w:rsidRPr="00575ED2" w:rsidRDefault="00DC36CD" w:rsidP="009E050C">
      <w:pPr>
        <w:pStyle w:val="FootnoteText"/>
        <w:jc w:val="both"/>
        <w:rPr>
          <w:szCs w:val="18"/>
        </w:rPr>
      </w:pPr>
      <w:r w:rsidRPr="009E050C">
        <w:rPr>
          <w:szCs w:val="18"/>
          <w:lang w:val="fr-FR"/>
        </w:rPr>
        <w:tab/>
      </w:r>
      <w:r w:rsidR="00AB773B" w:rsidRPr="00575ED2">
        <w:rPr>
          <w:rStyle w:val="FootnoteReference"/>
          <w:szCs w:val="18"/>
        </w:rPr>
        <w:footnoteRef/>
      </w:r>
      <w:r w:rsidRPr="00575ED2">
        <w:rPr>
          <w:szCs w:val="18"/>
        </w:rPr>
        <w:tab/>
      </w:r>
      <w:r w:rsidR="00D72A33" w:rsidRPr="00575ED2">
        <w:rPr>
          <w:szCs w:val="18"/>
        </w:rPr>
        <w:t xml:space="preserve">Submission by </w:t>
      </w:r>
      <w:r w:rsidR="00AB773B" w:rsidRPr="00575ED2">
        <w:rPr>
          <w:szCs w:val="18"/>
        </w:rPr>
        <w:t>WHO</w:t>
      </w:r>
      <w:r w:rsidR="00D72A33" w:rsidRPr="00575ED2">
        <w:rPr>
          <w:szCs w:val="18"/>
        </w:rPr>
        <w:t>.</w:t>
      </w:r>
    </w:p>
  </w:footnote>
  <w:footnote w:id="127">
    <w:p w14:paraId="39713413" w14:textId="4C57EDCE" w:rsidR="00A651C4" w:rsidRPr="00575ED2" w:rsidRDefault="00DC36CD" w:rsidP="009E050C">
      <w:pPr>
        <w:pStyle w:val="FootnoteText"/>
        <w:jc w:val="both"/>
        <w:rPr>
          <w:szCs w:val="18"/>
        </w:rPr>
      </w:pPr>
      <w:r w:rsidRPr="00575ED2">
        <w:rPr>
          <w:szCs w:val="18"/>
        </w:rPr>
        <w:tab/>
      </w:r>
      <w:r w:rsidR="00A651C4" w:rsidRPr="00575ED2">
        <w:rPr>
          <w:rStyle w:val="FootnoteReference"/>
          <w:szCs w:val="18"/>
        </w:rPr>
        <w:footnoteRef/>
      </w:r>
      <w:r w:rsidRPr="00575ED2">
        <w:rPr>
          <w:szCs w:val="18"/>
        </w:rPr>
        <w:tab/>
      </w:r>
      <w:r w:rsidR="00D72A33" w:rsidRPr="009E050C">
        <w:rPr>
          <w:szCs w:val="18"/>
        </w:rPr>
        <w:t>Submission by</w:t>
      </w:r>
      <w:r w:rsidR="00D72A33" w:rsidRPr="009E050C">
        <w:rPr>
          <w:rStyle w:val="FootnoteReference"/>
          <w:szCs w:val="18"/>
        </w:rPr>
        <w:t xml:space="preserve"> </w:t>
      </w:r>
      <w:r w:rsidR="00D72A33" w:rsidRPr="009E050C">
        <w:rPr>
          <w:szCs w:val="18"/>
        </w:rPr>
        <w:t>Médecins sans Frontières</w:t>
      </w:r>
      <w:r w:rsidR="00A651C4" w:rsidRPr="00575ED2">
        <w:rPr>
          <w:szCs w:val="18"/>
        </w:rPr>
        <w:t>.</w:t>
      </w:r>
    </w:p>
  </w:footnote>
  <w:footnote w:id="128">
    <w:p w14:paraId="6EA65DC8" w14:textId="644ADD83" w:rsidR="00AC380A" w:rsidRPr="00575ED2" w:rsidRDefault="00AC380A"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Pr="00575ED2">
        <w:rPr>
          <w:szCs w:val="18"/>
        </w:rPr>
        <w:t>A/HRC/52/56, para. 52.</w:t>
      </w:r>
    </w:p>
  </w:footnote>
  <w:footnote w:id="129">
    <w:p w14:paraId="6B5930DA" w14:textId="2720D716" w:rsidR="00B914F1" w:rsidRPr="00575ED2" w:rsidRDefault="002C7B2A" w:rsidP="009E050C">
      <w:pPr>
        <w:pStyle w:val="FootnoteText"/>
        <w:jc w:val="both"/>
        <w:rPr>
          <w:szCs w:val="18"/>
        </w:rPr>
      </w:pPr>
      <w:r w:rsidRPr="00575ED2">
        <w:rPr>
          <w:szCs w:val="18"/>
        </w:rPr>
        <w:tab/>
      </w:r>
      <w:r w:rsidR="00B914F1" w:rsidRPr="00575ED2">
        <w:rPr>
          <w:rStyle w:val="FootnoteReference"/>
          <w:szCs w:val="18"/>
        </w:rPr>
        <w:footnoteRef/>
      </w:r>
      <w:r w:rsidR="00DC36CD" w:rsidRPr="00575ED2">
        <w:rPr>
          <w:szCs w:val="18"/>
        </w:rPr>
        <w:tab/>
      </w:r>
      <w:r w:rsidR="00B914F1" w:rsidRPr="00575ED2">
        <w:rPr>
          <w:szCs w:val="18"/>
        </w:rPr>
        <w:t>WHO Council on the Economics of Health for All, “Governing health innovation for the common good”, Council Brief No. 1 (</w:t>
      </w:r>
      <w:r w:rsidR="006C3EBF" w:rsidRPr="00575ED2">
        <w:rPr>
          <w:szCs w:val="18"/>
        </w:rPr>
        <w:t xml:space="preserve">WHO, </w:t>
      </w:r>
      <w:r w:rsidR="00B914F1" w:rsidRPr="00575ED2">
        <w:rPr>
          <w:szCs w:val="18"/>
        </w:rPr>
        <w:t>2021).</w:t>
      </w:r>
    </w:p>
  </w:footnote>
  <w:footnote w:id="130">
    <w:p w14:paraId="4A75FE88" w14:textId="3622FC04" w:rsidR="00AB773B" w:rsidRPr="009E050C" w:rsidRDefault="00DC36CD" w:rsidP="009E050C">
      <w:pPr>
        <w:pStyle w:val="FootnoteText"/>
        <w:jc w:val="both"/>
        <w:rPr>
          <w:rStyle w:val="FootnoteReference"/>
          <w:szCs w:val="18"/>
          <w:lang w:val="fr-FR"/>
        </w:rPr>
      </w:pPr>
      <w:r w:rsidRPr="00575ED2">
        <w:rPr>
          <w:szCs w:val="18"/>
        </w:rPr>
        <w:tab/>
      </w:r>
      <w:r w:rsidR="00AB773B" w:rsidRPr="00575ED2">
        <w:rPr>
          <w:rStyle w:val="FootnoteReference"/>
          <w:szCs w:val="18"/>
        </w:rPr>
        <w:footnoteRef/>
      </w:r>
      <w:r w:rsidRPr="009E050C">
        <w:rPr>
          <w:szCs w:val="18"/>
          <w:lang w:val="fr-FR"/>
        </w:rPr>
        <w:tab/>
      </w:r>
      <w:proofErr w:type="spellStart"/>
      <w:r w:rsidR="006C3EBF" w:rsidRPr="009E050C">
        <w:rPr>
          <w:szCs w:val="18"/>
          <w:lang w:val="fr-FR"/>
        </w:rPr>
        <w:t>Submission</w:t>
      </w:r>
      <w:proofErr w:type="spellEnd"/>
      <w:r w:rsidR="006C3EBF" w:rsidRPr="009E050C">
        <w:rPr>
          <w:szCs w:val="18"/>
          <w:lang w:val="fr-FR"/>
        </w:rPr>
        <w:t xml:space="preserve"> by</w:t>
      </w:r>
      <w:r w:rsidR="006C3EBF" w:rsidRPr="009E050C">
        <w:rPr>
          <w:rStyle w:val="FootnoteReference"/>
          <w:szCs w:val="18"/>
          <w:lang w:val="fr-FR"/>
        </w:rPr>
        <w:t xml:space="preserve"> </w:t>
      </w:r>
      <w:r w:rsidR="006C3EBF" w:rsidRPr="009E050C">
        <w:rPr>
          <w:szCs w:val="18"/>
          <w:lang w:val="fr-FR"/>
        </w:rPr>
        <w:t>Médecins sans Frontières</w:t>
      </w:r>
      <w:r w:rsidR="00AB773B" w:rsidRPr="009E050C">
        <w:rPr>
          <w:szCs w:val="18"/>
          <w:lang w:val="fr-FR"/>
        </w:rPr>
        <w:t>.</w:t>
      </w:r>
    </w:p>
  </w:footnote>
  <w:footnote w:id="131">
    <w:p w14:paraId="13908152" w14:textId="772B043C" w:rsidR="00176FF6" w:rsidRPr="009E050C" w:rsidRDefault="00DC36CD" w:rsidP="009E050C">
      <w:pPr>
        <w:pStyle w:val="FootnoteText"/>
        <w:jc w:val="both"/>
        <w:rPr>
          <w:rFonts w:eastAsia="Times New Roman"/>
          <w:szCs w:val="18"/>
        </w:rPr>
      </w:pPr>
      <w:r w:rsidRPr="009E050C">
        <w:rPr>
          <w:szCs w:val="18"/>
          <w:lang w:val="fr-FR"/>
        </w:rPr>
        <w:tab/>
      </w:r>
      <w:r w:rsidR="00176FF6" w:rsidRPr="00575ED2">
        <w:rPr>
          <w:rStyle w:val="FootnoteReference"/>
          <w:szCs w:val="18"/>
        </w:rPr>
        <w:footnoteRef/>
      </w:r>
      <w:r w:rsidRPr="009E050C">
        <w:rPr>
          <w:szCs w:val="18"/>
        </w:rPr>
        <w:tab/>
      </w:r>
      <w:bookmarkStart w:id="20" w:name="OLE_LINK1"/>
      <w:bookmarkStart w:id="21" w:name="OLE_LINK2"/>
      <w:r w:rsidR="00176FF6" w:rsidRPr="009E050C">
        <w:rPr>
          <w:rFonts w:eastAsia="Times New Roman"/>
          <w:szCs w:val="18"/>
        </w:rPr>
        <w:t>E/2023/74</w:t>
      </w:r>
      <w:bookmarkEnd w:id="20"/>
      <w:bookmarkEnd w:id="21"/>
      <w:r w:rsidR="00176FF6" w:rsidRPr="009E050C">
        <w:rPr>
          <w:rFonts w:eastAsia="Times New Roman"/>
          <w:szCs w:val="18"/>
        </w:rPr>
        <w:t>, para</w:t>
      </w:r>
      <w:r w:rsidR="006C3EBF" w:rsidRPr="00575ED2">
        <w:rPr>
          <w:rFonts w:eastAsia="Times New Roman"/>
          <w:szCs w:val="18"/>
        </w:rPr>
        <w:t>.</w:t>
      </w:r>
      <w:r w:rsidR="00176FF6" w:rsidRPr="009E050C">
        <w:rPr>
          <w:rFonts w:eastAsia="Times New Roman"/>
          <w:szCs w:val="18"/>
        </w:rPr>
        <w:t xml:space="preserve"> 6.</w:t>
      </w:r>
    </w:p>
  </w:footnote>
  <w:footnote w:id="132">
    <w:p w14:paraId="29BDF0D2" w14:textId="032DAA8C" w:rsidR="00176FF6" w:rsidRPr="009E050C" w:rsidRDefault="00DC36CD" w:rsidP="009E050C">
      <w:pPr>
        <w:pStyle w:val="FootnoteText"/>
        <w:jc w:val="both"/>
        <w:rPr>
          <w:szCs w:val="18"/>
        </w:rPr>
      </w:pPr>
      <w:r w:rsidRPr="009E050C">
        <w:rPr>
          <w:szCs w:val="18"/>
        </w:rPr>
        <w:tab/>
      </w:r>
      <w:r w:rsidR="00176FF6" w:rsidRPr="00575ED2">
        <w:rPr>
          <w:rStyle w:val="FootnoteReference"/>
          <w:szCs w:val="18"/>
        </w:rPr>
        <w:footnoteRef/>
      </w:r>
      <w:r w:rsidRPr="009E050C">
        <w:rPr>
          <w:szCs w:val="18"/>
        </w:rPr>
        <w:tab/>
      </w:r>
      <w:r w:rsidR="009F2D3D" w:rsidRPr="00575ED2">
        <w:rPr>
          <w:szCs w:val="18"/>
        </w:rPr>
        <w:t xml:space="preserve">Submission by </w:t>
      </w:r>
      <w:r w:rsidR="00176FF6" w:rsidRPr="009E050C">
        <w:rPr>
          <w:szCs w:val="18"/>
        </w:rPr>
        <w:t>WHO.</w:t>
      </w:r>
    </w:p>
  </w:footnote>
  <w:footnote w:id="133">
    <w:p w14:paraId="3FFF850B" w14:textId="09F47D74" w:rsidR="00D379C5" w:rsidRPr="009E050C" w:rsidRDefault="00DC36CD" w:rsidP="009E050C">
      <w:pPr>
        <w:pStyle w:val="FootnoteText"/>
        <w:jc w:val="both"/>
        <w:rPr>
          <w:szCs w:val="18"/>
        </w:rPr>
      </w:pPr>
      <w:r w:rsidRPr="009E050C">
        <w:rPr>
          <w:szCs w:val="18"/>
        </w:rPr>
        <w:tab/>
      </w:r>
      <w:r w:rsidR="00D379C5" w:rsidRPr="00575ED2">
        <w:rPr>
          <w:rStyle w:val="FootnoteReference"/>
          <w:szCs w:val="18"/>
        </w:rPr>
        <w:footnoteRef/>
      </w:r>
      <w:r w:rsidRPr="009E050C">
        <w:rPr>
          <w:szCs w:val="18"/>
        </w:rPr>
        <w:tab/>
      </w:r>
      <w:r w:rsidR="00D379C5" w:rsidRPr="009E050C">
        <w:rPr>
          <w:szCs w:val="18"/>
        </w:rPr>
        <w:t>A/HRC/53/50, para. 17</w:t>
      </w:r>
      <w:r w:rsidRPr="009E050C">
        <w:rPr>
          <w:szCs w:val="18"/>
        </w:rPr>
        <w:t>.</w:t>
      </w:r>
    </w:p>
  </w:footnote>
  <w:footnote w:id="134">
    <w:p w14:paraId="7B7B249B" w14:textId="43037B86" w:rsidR="00971E82" w:rsidRPr="00575ED2" w:rsidRDefault="0012493A">
      <w:pPr>
        <w:pStyle w:val="FootnoteText"/>
        <w:rPr>
          <w:szCs w:val="18"/>
        </w:rPr>
      </w:pPr>
      <w:r w:rsidRPr="00575ED2">
        <w:rPr>
          <w:szCs w:val="18"/>
        </w:rPr>
        <w:tab/>
      </w:r>
      <w:r w:rsidR="00971E82" w:rsidRPr="00575ED2">
        <w:rPr>
          <w:rStyle w:val="FootnoteReference"/>
          <w:szCs w:val="18"/>
        </w:rPr>
        <w:footnoteRef/>
      </w:r>
      <w:r w:rsidR="00971E82" w:rsidRPr="00575ED2">
        <w:rPr>
          <w:szCs w:val="18"/>
        </w:rPr>
        <w:t xml:space="preserve"> </w:t>
      </w:r>
      <w:r w:rsidRPr="00575ED2">
        <w:rPr>
          <w:szCs w:val="18"/>
        </w:rPr>
        <w:tab/>
      </w:r>
      <w:r w:rsidRPr="009E050C">
        <w:rPr>
          <w:szCs w:val="18"/>
        </w:rPr>
        <w:t>A/HRC/17/31, annex.</w:t>
      </w:r>
    </w:p>
  </w:footnote>
  <w:footnote w:id="135">
    <w:p w14:paraId="580697BE" w14:textId="037D6E4A" w:rsidR="00FE19F9" w:rsidRPr="00575ED2" w:rsidRDefault="00DC36CD" w:rsidP="009E050C">
      <w:pPr>
        <w:pStyle w:val="FootnoteText"/>
        <w:jc w:val="both"/>
        <w:rPr>
          <w:szCs w:val="18"/>
        </w:rPr>
      </w:pPr>
      <w:r w:rsidRPr="00575ED2">
        <w:rPr>
          <w:szCs w:val="18"/>
        </w:rPr>
        <w:tab/>
      </w:r>
      <w:r w:rsidR="00FE19F9" w:rsidRPr="00575ED2">
        <w:rPr>
          <w:rStyle w:val="FootnoteReference"/>
          <w:szCs w:val="18"/>
        </w:rPr>
        <w:footnoteRef/>
      </w:r>
      <w:r w:rsidRPr="00575ED2">
        <w:rPr>
          <w:szCs w:val="18"/>
        </w:rPr>
        <w:tab/>
      </w:r>
      <w:r w:rsidR="00FE19F9" w:rsidRPr="00575ED2">
        <w:rPr>
          <w:rFonts w:eastAsia="Times New Roman"/>
          <w:szCs w:val="18"/>
        </w:rPr>
        <w:t>Ibid., principle 15.</w:t>
      </w:r>
    </w:p>
  </w:footnote>
  <w:footnote w:id="136">
    <w:p w14:paraId="0FF82E04" w14:textId="7DFCB841" w:rsidR="00FE19F9" w:rsidRPr="009E050C" w:rsidRDefault="00DC36CD" w:rsidP="009E050C">
      <w:pPr>
        <w:pStyle w:val="FootnoteText"/>
        <w:jc w:val="both"/>
        <w:rPr>
          <w:szCs w:val="18"/>
          <w:lang w:val="es-ES"/>
        </w:rPr>
      </w:pPr>
      <w:r w:rsidRPr="009E050C">
        <w:rPr>
          <w:szCs w:val="18"/>
        </w:rPr>
        <w:tab/>
      </w:r>
      <w:r w:rsidR="00FE19F9" w:rsidRPr="00575ED2">
        <w:rPr>
          <w:rStyle w:val="FootnoteReference"/>
          <w:szCs w:val="18"/>
        </w:rPr>
        <w:footnoteRef/>
      </w:r>
      <w:r w:rsidRPr="009E050C">
        <w:rPr>
          <w:szCs w:val="18"/>
          <w:lang w:val="es-ES"/>
        </w:rPr>
        <w:tab/>
      </w:r>
      <w:r w:rsidR="00FE19F9" w:rsidRPr="009E050C">
        <w:rPr>
          <w:szCs w:val="18"/>
          <w:lang w:val="es-ES"/>
        </w:rPr>
        <w:t>A/HRC/53/50, para</w:t>
      </w:r>
      <w:r w:rsidR="00C346E8" w:rsidRPr="009E050C">
        <w:rPr>
          <w:szCs w:val="18"/>
          <w:lang w:val="es-ES"/>
        </w:rPr>
        <w:t>.</w:t>
      </w:r>
      <w:r w:rsidR="00FE19F9" w:rsidRPr="009E050C">
        <w:rPr>
          <w:szCs w:val="18"/>
          <w:lang w:val="es-ES"/>
        </w:rPr>
        <w:t xml:space="preserve"> 11</w:t>
      </w:r>
      <w:r w:rsidRPr="009E050C">
        <w:rPr>
          <w:szCs w:val="18"/>
          <w:lang w:val="es-ES"/>
        </w:rPr>
        <w:t>.</w:t>
      </w:r>
    </w:p>
  </w:footnote>
  <w:footnote w:id="137">
    <w:p w14:paraId="3F0A1716" w14:textId="63358D13" w:rsidR="00FE19F9" w:rsidRPr="009E050C" w:rsidRDefault="00DC36CD" w:rsidP="009E050C">
      <w:pPr>
        <w:pStyle w:val="FootnoteText"/>
        <w:jc w:val="both"/>
        <w:rPr>
          <w:szCs w:val="18"/>
        </w:rPr>
      </w:pPr>
      <w:r w:rsidRPr="00C964BF">
        <w:rPr>
          <w:szCs w:val="18"/>
          <w:lang w:val="es-ES"/>
        </w:rPr>
        <w:tab/>
      </w:r>
      <w:r w:rsidR="00FE19F9" w:rsidRPr="00575ED2">
        <w:rPr>
          <w:rStyle w:val="FootnoteReference"/>
          <w:szCs w:val="18"/>
        </w:rPr>
        <w:footnoteRef/>
      </w:r>
      <w:r w:rsidRPr="00C964BF">
        <w:rPr>
          <w:szCs w:val="18"/>
          <w:lang w:val="es-ES"/>
        </w:rPr>
        <w:tab/>
      </w:r>
      <w:r w:rsidR="00FE19F9" w:rsidRPr="009E050C">
        <w:rPr>
          <w:rFonts w:eastAsia="Times New Roman"/>
          <w:szCs w:val="18"/>
          <w:lang w:val="es-ES"/>
        </w:rPr>
        <w:t>A/HRC/49/35, para</w:t>
      </w:r>
      <w:r w:rsidR="00FE19F9" w:rsidRPr="00C964BF">
        <w:rPr>
          <w:rFonts w:eastAsia="Times New Roman"/>
          <w:szCs w:val="18"/>
          <w:lang w:val="es-ES"/>
        </w:rPr>
        <w:t xml:space="preserve">. </w:t>
      </w:r>
      <w:r w:rsidR="00FE19F9" w:rsidRPr="009E050C">
        <w:rPr>
          <w:rFonts w:eastAsia="Times New Roman"/>
          <w:szCs w:val="18"/>
        </w:rPr>
        <w:t>16.</w:t>
      </w:r>
    </w:p>
  </w:footnote>
  <w:footnote w:id="138">
    <w:p w14:paraId="3C7CEE11" w14:textId="69A0B953" w:rsidR="00F401C2" w:rsidRPr="009E050C" w:rsidRDefault="00DC36CD" w:rsidP="009E050C">
      <w:pPr>
        <w:pStyle w:val="FootnoteText"/>
        <w:jc w:val="both"/>
        <w:rPr>
          <w:szCs w:val="18"/>
        </w:rPr>
      </w:pPr>
      <w:r w:rsidRPr="009E050C">
        <w:rPr>
          <w:szCs w:val="18"/>
        </w:rPr>
        <w:tab/>
      </w:r>
      <w:r w:rsidR="00F401C2" w:rsidRPr="00575ED2">
        <w:rPr>
          <w:rStyle w:val="FootnoteReference"/>
          <w:szCs w:val="18"/>
        </w:rPr>
        <w:footnoteRef/>
      </w:r>
      <w:r w:rsidRPr="009E050C">
        <w:rPr>
          <w:szCs w:val="18"/>
        </w:rPr>
        <w:tab/>
      </w:r>
      <w:r w:rsidR="00F401C2" w:rsidRPr="009E050C">
        <w:rPr>
          <w:szCs w:val="18"/>
        </w:rPr>
        <w:t>A/HRC/11/12, para</w:t>
      </w:r>
      <w:r w:rsidR="00C346E8" w:rsidRPr="00575ED2">
        <w:rPr>
          <w:szCs w:val="18"/>
        </w:rPr>
        <w:t>s.</w:t>
      </w:r>
      <w:r w:rsidR="00F401C2" w:rsidRPr="009E050C">
        <w:rPr>
          <w:szCs w:val="18"/>
        </w:rPr>
        <w:t xml:space="preserve"> 18 </w:t>
      </w:r>
      <w:r w:rsidR="000302AD" w:rsidRPr="00575ED2">
        <w:rPr>
          <w:szCs w:val="18"/>
        </w:rPr>
        <w:t xml:space="preserve">and </w:t>
      </w:r>
      <w:r w:rsidR="00F401C2" w:rsidRPr="009E050C">
        <w:rPr>
          <w:szCs w:val="18"/>
        </w:rPr>
        <w:t>19</w:t>
      </w:r>
      <w:r w:rsidRPr="009E050C">
        <w:rPr>
          <w:szCs w:val="18"/>
        </w:rPr>
        <w:t>.</w:t>
      </w:r>
    </w:p>
  </w:footnote>
  <w:footnote w:id="139">
    <w:p w14:paraId="4740F289" w14:textId="667C7AE9" w:rsidR="0038131F" w:rsidRPr="009E050C" w:rsidRDefault="00DC36CD" w:rsidP="009E050C">
      <w:pPr>
        <w:pStyle w:val="FootnoteText"/>
        <w:jc w:val="both"/>
        <w:rPr>
          <w:szCs w:val="18"/>
        </w:rPr>
      </w:pPr>
      <w:r w:rsidRPr="009E050C">
        <w:rPr>
          <w:rFonts w:eastAsia="Times New Roman"/>
          <w:color w:val="212121"/>
          <w:szCs w:val="18"/>
        </w:rPr>
        <w:tab/>
      </w:r>
      <w:r w:rsidR="0038131F" w:rsidRPr="00575ED2">
        <w:rPr>
          <w:rStyle w:val="FootnoteReference"/>
          <w:rFonts w:eastAsia="Times New Roman"/>
          <w:szCs w:val="18"/>
        </w:rPr>
        <w:footnoteRef/>
      </w:r>
      <w:r w:rsidRPr="009E050C">
        <w:rPr>
          <w:rFonts w:eastAsia="Times New Roman"/>
          <w:color w:val="212121"/>
          <w:szCs w:val="18"/>
        </w:rPr>
        <w:tab/>
      </w:r>
      <w:r w:rsidR="000302AD" w:rsidRPr="009E050C">
        <w:rPr>
          <w:rFonts w:eastAsia="Times New Roman"/>
          <w:color w:val="212121"/>
          <w:szCs w:val="18"/>
        </w:rPr>
        <w:t xml:space="preserve">Belen </w:t>
      </w:r>
      <w:proofErr w:type="spellStart"/>
      <w:r w:rsidR="000302AD" w:rsidRPr="009E050C">
        <w:rPr>
          <w:rFonts w:eastAsia="Times New Roman"/>
          <w:color w:val="212121"/>
          <w:szCs w:val="18"/>
        </w:rPr>
        <w:t>Pedrique</w:t>
      </w:r>
      <w:proofErr w:type="spellEnd"/>
      <w:r w:rsidR="000302AD" w:rsidRPr="009E050C">
        <w:rPr>
          <w:rFonts w:eastAsia="Times New Roman"/>
          <w:color w:val="212121"/>
          <w:szCs w:val="18"/>
        </w:rPr>
        <w:t xml:space="preserve"> and others, “</w:t>
      </w:r>
      <w:r w:rsidR="000302AD" w:rsidRPr="00575ED2">
        <w:rPr>
          <w:rFonts w:eastAsia="Times New Roman"/>
          <w:color w:val="212121"/>
          <w:szCs w:val="18"/>
        </w:rPr>
        <w:t xml:space="preserve">The drug and vaccine landscape for neglected diseases (2000–11): a systematic assessment”, </w:t>
      </w:r>
      <w:r w:rsidR="000302AD" w:rsidRPr="00575ED2">
        <w:rPr>
          <w:rFonts w:eastAsia="Times New Roman"/>
          <w:i/>
          <w:iCs/>
          <w:color w:val="212121"/>
          <w:szCs w:val="18"/>
        </w:rPr>
        <w:t>The Lancet Global Health</w:t>
      </w:r>
      <w:r w:rsidR="000302AD" w:rsidRPr="00575ED2">
        <w:rPr>
          <w:rFonts w:eastAsia="Times New Roman"/>
          <w:color w:val="212121"/>
          <w:szCs w:val="18"/>
        </w:rPr>
        <w:t xml:space="preserve">, vol. 1, No. 6 (2013), pp. e371–e379. See also submission by Médecins sans Frontières; and WHO, “Neglected tropical diseases”, 9 January 2024, available at </w:t>
      </w:r>
      <w:hyperlink r:id="rId4" w:history="1">
        <w:r w:rsidR="00551452" w:rsidRPr="00575ED2">
          <w:rPr>
            <w:rStyle w:val="Hyperlink"/>
            <w:rFonts w:eastAsia="Times New Roman"/>
            <w:szCs w:val="18"/>
          </w:rPr>
          <w:t>www.who.int/news-room/questions-and-answers/item/neglected-tropical-diseases</w:t>
        </w:r>
      </w:hyperlink>
      <w:r w:rsidRPr="00575ED2">
        <w:rPr>
          <w:rStyle w:val="Hyperlink"/>
          <w:rFonts w:eastAsia="Times New Roman"/>
          <w:szCs w:val="18"/>
        </w:rPr>
        <w:t>.</w:t>
      </w:r>
      <w:r w:rsidR="0038131F" w:rsidRPr="00575ED2">
        <w:rPr>
          <w:rFonts w:eastAsia="Times New Roman"/>
          <w:color w:val="212121"/>
          <w:szCs w:val="18"/>
        </w:rPr>
        <w:t xml:space="preserve"> </w:t>
      </w:r>
    </w:p>
  </w:footnote>
  <w:footnote w:id="140">
    <w:p w14:paraId="0786BE12" w14:textId="50842791" w:rsidR="004F7D8F" w:rsidRPr="00575ED2" w:rsidRDefault="00DC36CD" w:rsidP="009E050C">
      <w:pPr>
        <w:pStyle w:val="FootnoteText"/>
        <w:jc w:val="both"/>
        <w:rPr>
          <w:szCs w:val="18"/>
        </w:rPr>
      </w:pPr>
      <w:r w:rsidRPr="00575ED2">
        <w:rPr>
          <w:szCs w:val="18"/>
        </w:rPr>
        <w:tab/>
      </w:r>
      <w:r w:rsidR="004F7D8F" w:rsidRPr="00575ED2">
        <w:rPr>
          <w:rStyle w:val="FootnoteReference"/>
          <w:szCs w:val="18"/>
        </w:rPr>
        <w:footnoteRef/>
      </w:r>
      <w:r w:rsidRPr="00575ED2">
        <w:rPr>
          <w:szCs w:val="18"/>
        </w:rPr>
        <w:tab/>
      </w:r>
      <w:r w:rsidR="004F7D8F" w:rsidRPr="00575ED2">
        <w:rPr>
          <w:szCs w:val="18"/>
        </w:rPr>
        <w:t>A/HRC/53/50, para</w:t>
      </w:r>
      <w:r w:rsidR="000F5656" w:rsidRPr="00575ED2">
        <w:rPr>
          <w:szCs w:val="18"/>
        </w:rPr>
        <w:t>.</w:t>
      </w:r>
      <w:r w:rsidR="004F7D8F" w:rsidRPr="00575ED2">
        <w:rPr>
          <w:szCs w:val="18"/>
        </w:rPr>
        <w:t xml:space="preserve"> 31</w:t>
      </w:r>
      <w:r w:rsidRPr="00575ED2">
        <w:rPr>
          <w:szCs w:val="18"/>
        </w:rPr>
        <w:t>.</w:t>
      </w:r>
    </w:p>
  </w:footnote>
  <w:footnote w:id="141">
    <w:p w14:paraId="1E4DC02D" w14:textId="15F93E03" w:rsidR="003F39D8" w:rsidRPr="00575ED2" w:rsidRDefault="00DC36CD" w:rsidP="009E050C">
      <w:pPr>
        <w:pStyle w:val="FootnoteText"/>
        <w:jc w:val="both"/>
        <w:rPr>
          <w:szCs w:val="18"/>
        </w:rPr>
      </w:pPr>
      <w:r w:rsidRPr="00575ED2">
        <w:rPr>
          <w:szCs w:val="18"/>
        </w:rPr>
        <w:tab/>
      </w:r>
      <w:r w:rsidR="003F39D8" w:rsidRPr="00575ED2">
        <w:rPr>
          <w:rStyle w:val="FootnoteReference"/>
          <w:szCs w:val="18"/>
        </w:rPr>
        <w:footnoteRef/>
      </w:r>
      <w:r w:rsidRPr="00575ED2">
        <w:rPr>
          <w:szCs w:val="18"/>
        </w:rPr>
        <w:tab/>
      </w:r>
      <w:r w:rsidR="003F39D8" w:rsidRPr="00575ED2">
        <w:rPr>
          <w:szCs w:val="18"/>
        </w:rPr>
        <w:t>Report of the United Nations Secretary-General’s High-Level Panel on Access to Medicines</w:t>
      </w:r>
      <w:r w:rsidR="00A72A45" w:rsidRPr="00575ED2">
        <w:rPr>
          <w:szCs w:val="18"/>
        </w:rPr>
        <w:t xml:space="preserve"> (</w:t>
      </w:r>
      <w:r w:rsidR="00213F32" w:rsidRPr="00575ED2">
        <w:rPr>
          <w:szCs w:val="18"/>
        </w:rPr>
        <w:t xml:space="preserve">September </w:t>
      </w:r>
      <w:r w:rsidR="00A72A45" w:rsidRPr="00575ED2">
        <w:rPr>
          <w:szCs w:val="18"/>
        </w:rPr>
        <w:t>2016)</w:t>
      </w:r>
      <w:r w:rsidR="003F39D8" w:rsidRPr="00575ED2">
        <w:rPr>
          <w:szCs w:val="18"/>
        </w:rPr>
        <w:t>, p. 18</w:t>
      </w:r>
      <w:r w:rsidR="005F694C">
        <w:rPr>
          <w:szCs w:val="18"/>
        </w:rPr>
        <w:t>.</w:t>
      </w:r>
      <w:r w:rsidR="003F39D8" w:rsidRPr="00575ED2">
        <w:rPr>
          <w:szCs w:val="18"/>
        </w:rPr>
        <w:t xml:space="preserve"> </w:t>
      </w:r>
      <w:r w:rsidR="005F694C">
        <w:rPr>
          <w:szCs w:val="18"/>
        </w:rPr>
        <w:t>S</w:t>
      </w:r>
      <w:r w:rsidR="003F39D8" w:rsidRPr="00575ED2">
        <w:rPr>
          <w:szCs w:val="18"/>
        </w:rPr>
        <w:t xml:space="preserve">ee also </w:t>
      </w:r>
      <w:r w:rsidR="00316EA7" w:rsidRPr="00575ED2">
        <w:rPr>
          <w:szCs w:val="18"/>
        </w:rPr>
        <w:t>the Doha Declaration on the Agreement on Trade-Related Aspects of Intellectual Property Rights</w:t>
      </w:r>
      <w:r w:rsidR="00316EA7" w:rsidRPr="00575ED2" w:rsidDel="00316EA7">
        <w:rPr>
          <w:szCs w:val="18"/>
        </w:rPr>
        <w:t xml:space="preserve"> </w:t>
      </w:r>
      <w:r w:rsidR="003F39D8" w:rsidRPr="00575ED2">
        <w:rPr>
          <w:szCs w:val="18"/>
        </w:rPr>
        <w:t>and Public Health.</w:t>
      </w:r>
    </w:p>
  </w:footnote>
  <w:footnote w:id="142">
    <w:p w14:paraId="00589687" w14:textId="15CCB63C" w:rsidR="00574D8A" w:rsidRPr="009E050C" w:rsidRDefault="00DC36CD" w:rsidP="009E050C">
      <w:pPr>
        <w:pStyle w:val="FootnoteText"/>
        <w:jc w:val="both"/>
        <w:rPr>
          <w:rFonts w:eastAsia="Calibri"/>
          <w:szCs w:val="18"/>
          <w:lang w:val="es-ES"/>
        </w:rPr>
      </w:pPr>
      <w:r w:rsidRPr="009E050C">
        <w:rPr>
          <w:szCs w:val="18"/>
        </w:rPr>
        <w:tab/>
      </w:r>
      <w:r w:rsidR="00574D8A" w:rsidRPr="00575ED2">
        <w:rPr>
          <w:rStyle w:val="FootnoteReference"/>
          <w:szCs w:val="18"/>
        </w:rPr>
        <w:footnoteRef/>
      </w:r>
      <w:r w:rsidRPr="00C964BF">
        <w:rPr>
          <w:szCs w:val="18"/>
          <w:lang w:val="es-ES"/>
        </w:rPr>
        <w:tab/>
      </w:r>
      <w:r w:rsidR="00574D8A" w:rsidRPr="009E050C">
        <w:rPr>
          <w:rFonts w:eastAsia="Times New Roman"/>
          <w:szCs w:val="18"/>
          <w:lang w:val="es-ES"/>
        </w:rPr>
        <w:t>A/HRC/53/50, para. 28.</w:t>
      </w:r>
    </w:p>
  </w:footnote>
  <w:footnote w:id="143">
    <w:p w14:paraId="3EE18A1F" w14:textId="1732CF8F" w:rsidR="00977EBE" w:rsidRPr="009E050C" w:rsidRDefault="00DC36CD" w:rsidP="009E050C">
      <w:pPr>
        <w:pStyle w:val="FootnoteText"/>
        <w:jc w:val="both"/>
        <w:rPr>
          <w:szCs w:val="18"/>
        </w:rPr>
      </w:pPr>
      <w:r w:rsidRPr="009E050C">
        <w:rPr>
          <w:rFonts w:eastAsia="Times New Roman"/>
          <w:szCs w:val="18"/>
          <w:lang w:val="es-ES"/>
        </w:rPr>
        <w:tab/>
      </w:r>
      <w:r w:rsidR="00977EBE" w:rsidRPr="00575ED2">
        <w:rPr>
          <w:rStyle w:val="FootnoteReference"/>
          <w:szCs w:val="18"/>
        </w:rPr>
        <w:footnoteRef/>
      </w:r>
      <w:r w:rsidRPr="009E050C">
        <w:rPr>
          <w:rFonts w:eastAsia="Times New Roman"/>
          <w:szCs w:val="18"/>
          <w:lang w:val="es-ES"/>
        </w:rPr>
        <w:tab/>
      </w:r>
      <w:bookmarkStart w:id="24" w:name="OLE_LINK5"/>
      <w:bookmarkStart w:id="25" w:name="OLE_LINK6"/>
      <w:r w:rsidR="00977EBE" w:rsidRPr="009E050C">
        <w:rPr>
          <w:rFonts w:eastAsia="Times New Roman"/>
          <w:szCs w:val="18"/>
          <w:lang w:val="es-ES"/>
        </w:rPr>
        <w:t>E/2023/74</w:t>
      </w:r>
      <w:bookmarkEnd w:id="24"/>
      <w:bookmarkEnd w:id="25"/>
      <w:r w:rsidR="00977EBE" w:rsidRPr="009E050C">
        <w:rPr>
          <w:rFonts w:eastAsia="Times New Roman"/>
          <w:szCs w:val="18"/>
          <w:lang w:val="es-ES"/>
        </w:rPr>
        <w:t xml:space="preserve">, para. </w:t>
      </w:r>
      <w:r w:rsidR="00977EBE" w:rsidRPr="009E050C">
        <w:rPr>
          <w:rFonts w:eastAsia="Times New Roman"/>
          <w:szCs w:val="18"/>
        </w:rPr>
        <w:t>8</w:t>
      </w:r>
      <w:r w:rsidRPr="009E050C">
        <w:rPr>
          <w:rFonts w:eastAsia="Times New Roman"/>
          <w:szCs w:val="18"/>
        </w:rPr>
        <w:t>.</w:t>
      </w:r>
    </w:p>
  </w:footnote>
  <w:footnote w:id="144">
    <w:p w14:paraId="6D7CA7C4" w14:textId="0F880EAE" w:rsidR="00977EBE" w:rsidRPr="009E050C" w:rsidRDefault="00DC36CD" w:rsidP="009E050C">
      <w:pPr>
        <w:pStyle w:val="FootnoteText"/>
        <w:jc w:val="both"/>
        <w:rPr>
          <w:szCs w:val="18"/>
        </w:rPr>
      </w:pPr>
      <w:r w:rsidRPr="009E050C">
        <w:rPr>
          <w:szCs w:val="18"/>
        </w:rPr>
        <w:tab/>
      </w:r>
      <w:r w:rsidR="00977EBE" w:rsidRPr="00575ED2">
        <w:rPr>
          <w:rStyle w:val="FootnoteReference"/>
          <w:szCs w:val="18"/>
        </w:rPr>
        <w:footnoteRef/>
      </w:r>
      <w:r w:rsidRPr="009E050C">
        <w:rPr>
          <w:szCs w:val="18"/>
        </w:rPr>
        <w:tab/>
      </w:r>
      <w:r w:rsidR="00977EBE" w:rsidRPr="009E050C">
        <w:rPr>
          <w:szCs w:val="18"/>
        </w:rPr>
        <w:t xml:space="preserve">A/63/263, annex, </w:t>
      </w:r>
      <w:r w:rsidR="00316EA7" w:rsidRPr="00575ED2">
        <w:rPr>
          <w:szCs w:val="18"/>
        </w:rPr>
        <w:t>guideline</w:t>
      </w:r>
      <w:r w:rsidR="00977EBE" w:rsidRPr="009E050C">
        <w:rPr>
          <w:szCs w:val="18"/>
        </w:rPr>
        <w:t xml:space="preserve"> 32; see also </w:t>
      </w:r>
      <w:r w:rsidR="00D40AC3" w:rsidRPr="00575ED2">
        <w:rPr>
          <w:szCs w:val="18"/>
        </w:rPr>
        <w:t>guideline</w:t>
      </w:r>
      <w:r w:rsidR="00977EBE" w:rsidRPr="009E050C">
        <w:rPr>
          <w:szCs w:val="18"/>
        </w:rPr>
        <w:t xml:space="preserve"> 26.</w:t>
      </w:r>
    </w:p>
  </w:footnote>
  <w:footnote w:id="145">
    <w:p w14:paraId="623D089B" w14:textId="51CF8654" w:rsidR="00977EBE" w:rsidRPr="00575ED2" w:rsidRDefault="00DC36CD" w:rsidP="009E050C">
      <w:pPr>
        <w:pStyle w:val="FootnoteText"/>
        <w:jc w:val="both"/>
        <w:rPr>
          <w:szCs w:val="18"/>
        </w:rPr>
      </w:pPr>
      <w:r w:rsidRPr="009E050C">
        <w:rPr>
          <w:szCs w:val="18"/>
        </w:rPr>
        <w:tab/>
      </w:r>
      <w:r w:rsidR="00977EBE" w:rsidRPr="00575ED2">
        <w:rPr>
          <w:rStyle w:val="FootnoteReference"/>
          <w:szCs w:val="18"/>
        </w:rPr>
        <w:footnoteRef/>
      </w:r>
      <w:r w:rsidRPr="00C964BF">
        <w:rPr>
          <w:szCs w:val="18"/>
          <w:lang w:val="es-ES"/>
        </w:rPr>
        <w:tab/>
      </w:r>
      <w:r w:rsidR="00977EBE" w:rsidRPr="00C964BF">
        <w:rPr>
          <w:szCs w:val="18"/>
          <w:lang w:val="es-ES"/>
        </w:rPr>
        <w:t>E</w:t>
      </w:r>
      <w:r w:rsidR="00977EBE" w:rsidRPr="009E050C">
        <w:rPr>
          <w:szCs w:val="18"/>
          <w:lang w:val="es-ES"/>
        </w:rPr>
        <w:t>/</w:t>
      </w:r>
      <w:r w:rsidR="00977EBE" w:rsidRPr="00C964BF">
        <w:rPr>
          <w:szCs w:val="18"/>
          <w:lang w:val="es-ES"/>
        </w:rPr>
        <w:t xml:space="preserve">C.12/2021/1, para. </w:t>
      </w:r>
      <w:r w:rsidR="00E651FF" w:rsidRPr="009E050C">
        <w:rPr>
          <w:szCs w:val="18"/>
          <w:lang w:val="es-ES"/>
        </w:rPr>
        <w:t>8</w:t>
      </w:r>
      <w:r w:rsidR="00977EBE" w:rsidRPr="009E050C">
        <w:rPr>
          <w:szCs w:val="18"/>
          <w:lang w:val="es-ES"/>
        </w:rPr>
        <w:t xml:space="preserve">; </w:t>
      </w:r>
      <w:proofErr w:type="spellStart"/>
      <w:r w:rsidR="00454DFE" w:rsidRPr="009E050C">
        <w:rPr>
          <w:szCs w:val="18"/>
          <w:lang w:val="es-ES"/>
        </w:rPr>
        <w:t>s</w:t>
      </w:r>
      <w:r w:rsidR="00E651FF" w:rsidRPr="009E050C">
        <w:rPr>
          <w:szCs w:val="18"/>
          <w:lang w:val="es-ES"/>
        </w:rPr>
        <w:t>ee</w:t>
      </w:r>
      <w:proofErr w:type="spellEnd"/>
      <w:r w:rsidR="00E651FF" w:rsidRPr="009E050C">
        <w:rPr>
          <w:szCs w:val="18"/>
          <w:lang w:val="es-ES"/>
        </w:rPr>
        <w:t xml:space="preserve"> </w:t>
      </w:r>
      <w:proofErr w:type="spellStart"/>
      <w:r w:rsidR="00E651FF" w:rsidRPr="009E050C">
        <w:rPr>
          <w:szCs w:val="18"/>
          <w:lang w:val="es-ES"/>
        </w:rPr>
        <w:t>also</w:t>
      </w:r>
      <w:proofErr w:type="spellEnd"/>
      <w:r w:rsidR="00E651FF" w:rsidRPr="009E050C">
        <w:rPr>
          <w:szCs w:val="18"/>
          <w:lang w:val="es-ES"/>
        </w:rPr>
        <w:t xml:space="preserve"> </w:t>
      </w:r>
      <w:r w:rsidR="00977EBE" w:rsidRPr="009E050C">
        <w:rPr>
          <w:szCs w:val="18"/>
          <w:lang w:val="es-ES"/>
        </w:rPr>
        <w:t xml:space="preserve">A/HRC/49/35, para. </w:t>
      </w:r>
      <w:r w:rsidR="00977EBE" w:rsidRPr="00575ED2">
        <w:rPr>
          <w:szCs w:val="18"/>
        </w:rPr>
        <w:t>18</w:t>
      </w:r>
      <w:r w:rsidRPr="00575ED2">
        <w:rPr>
          <w:szCs w:val="18"/>
        </w:rPr>
        <w:t>.</w:t>
      </w:r>
    </w:p>
  </w:footnote>
  <w:footnote w:id="146">
    <w:p w14:paraId="12F600B8" w14:textId="67CE8C95"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934107" w:rsidRPr="00575ED2">
        <w:rPr>
          <w:szCs w:val="18"/>
        </w:rPr>
        <w:t xml:space="preserve">WHO, </w:t>
      </w:r>
      <w:r w:rsidR="004A26BF" w:rsidRPr="00575ED2">
        <w:rPr>
          <w:i/>
          <w:iCs/>
          <w:szCs w:val="18"/>
        </w:rPr>
        <w:t>The World Health Report 2010: Health Systems Financing – The Path to Universal Coverage</w:t>
      </w:r>
      <w:r w:rsidR="004A26BF" w:rsidRPr="00575ED2">
        <w:rPr>
          <w:szCs w:val="18"/>
        </w:rPr>
        <w:t xml:space="preserve"> (2010)</w:t>
      </w:r>
      <w:r w:rsidR="00934107" w:rsidRPr="00575ED2">
        <w:rPr>
          <w:szCs w:val="18"/>
        </w:rPr>
        <w:t>.</w:t>
      </w:r>
    </w:p>
  </w:footnote>
  <w:footnote w:id="147">
    <w:p w14:paraId="0286571C" w14:textId="59A1B3E3"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7953CD" w:rsidRPr="00575ED2">
        <w:rPr>
          <w:szCs w:val="18"/>
        </w:rPr>
        <w:t xml:space="preserve">WHO Consultative Group on Equity and Universal Health Coverage, </w:t>
      </w:r>
      <w:r w:rsidR="007953CD" w:rsidRPr="00575ED2">
        <w:rPr>
          <w:i/>
          <w:iCs/>
          <w:szCs w:val="18"/>
        </w:rPr>
        <w:t>Making Fair Choices on the Path to Universal Health Coverage: Final Report of the WHO Consultative Group on Equity and Universal Health Coverage</w:t>
      </w:r>
      <w:r w:rsidR="007953CD" w:rsidRPr="00575ED2">
        <w:rPr>
          <w:szCs w:val="18"/>
        </w:rPr>
        <w:t xml:space="preserve"> (WHO, 2014)</w:t>
      </w:r>
      <w:r w:rsidR="00934107" w:rsidRPr="00575ED2">
        <w:rPr>
          <w:szCs w:val="18"/>
        </w:rPr>
        <w:t>.</w:t>
      </w:r>
    </w:p>
  </w:footnote>
  <w:footnote w:id="148">
    <w:p w14:paraId="76C86C7D" w14:textId="429F1FED"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6559D8" w:rsidRPr="00575ED2">
        <w:rPr>
          <w:szCs w:val="18"/>
        </w:rPr>
        <w:t>Committee on Economic, Social and Cultural Rights, general comment No. 14 (2000)</w:t>
      </w:r>
      <w:r w:rsidR="00934107" w:rsidRPr="00575ED2">
        <w:rPr>
          <w:szCs w:val="18"/>
        </w:rPr>
        <w:t>, para</w:t>
      </w:r>
      <w:r w:rsidR="007953CD" w:rsidRPr="00575ED2">
        <w:rPr>
          <w:szCs w:val="18"/>
        </w:rPr>
        <w:t>.</w:t>
      </w:r>
      <w:r w:rsidR="00934107" w:rsidRPr="00575ED2">
        <w:rPr>
          <w:szCs w:val="18"/>
        </w:rPr>
        <w:t xml:space="preserve"> 12</w:t>
      </w:r>
      <w:r w:rsidR="007953CD" w:rsidRPr="00575ED2">
        <w:rPr>
          <w:szCs w:val="18"/>
        </w:rPr>
        <w:t xml:space="preserve"> (</w:t>
      </w:r>
      <w:r w:rsidR="00934107" w:rsidRPr="00575ED2">
        <w:rPr>
          <w:szCs w:val="18"/>
        </w:rPr>
        <w:t>b</w:t>
      </w:r>
      <w:r w:rsidR="007953CD" w:rsidRPr="00575ED2">
        <w:rPr>
          <w:szCs w:val="18"/>
        </w:rPr>
        <w:t>)</w:t>
      </w:r>
      <w:r w:rsidR="00934107" w:rsidRPr="00575ED2">
        <w:rPr>
          <w:szCs w:val="18"/>
        </w:rPr>
        <w:t>.</w:t>
      </w:r>
    </w:p>
  </w:footnote>
  <w:footnote w:id="149">
    <w:p w14:paraId="01F6F4C6" w14:textId="10D66638"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proofErr w:type="spellStart"/>
      <w:r w:rsidR="00AB3753" w:rsidRPr="00575ED2">
        <w:rPr>
          <w:szCs w:val="18"/>
        </w:rPr>
        <w:t>Inke</w:t>
      </w:r>
      <w:proofErr w:type="spellEnd"/>
      <w:r w:rsidR="00AB3753" w:rsidRPr="00575ED2">
        <w:rPr>
          <w:szCs w:val="18"/>
        </w:rPr>
        <w:t xml:space="preserve"> </w:t>
      </w:r>
      <w:proofErr w:type="spellStart"/>
      <w:r w:rsidR="00AB3753" w:rsidRPr="00575ED2">
        <w:rPr>
          <w:szCs w:val="18"/>
        </w:rPr>
        <w:t>Mathauer</w:t>
      </w:r>
      <w:proofErr w:type="spellEnd"/>
      <w:r w:rsidR="00AB3753" w:rsidRPr="00575ED2">
        <w:rPr>
          <w:szCs w:val="18"/>
        </w:rPr>
        <w:t xml:space="preserve"> and others, </w:t>
      </w:r>
      <w:r w:rsidR="00AB3753" w:rsidRPr="00575ED2">
        <w:rPr>
          <w:rStyle w:val="Hyperlink"/>
          <w:szCs w:val="18"/>
        </w:rPr>
        <w:t>“</w:t>
      </w:r>
      <w:r w:rsidR="00AB3753" w:rsidRPr="00575ED2">
        <w:rPr>
          <w:szCs w:val="18"/>
        </w:rPr>
        <w:t xml:space="preserve">Pooling financial resources for universal health coverage: options for reform”, </w:t>
      </w:r>
      <w:r w:rsidR="00AB3753" w:rsidRPr="00575ED2">
        <w:rPr>
          <w:i/>
          <w:iCs/>
          <w:szCs w:val="18"/>
        </w:rPr>
        <w:t>Bulletin of the World Health Organization</w:t>
      </w:r>
      <w:r w:rsidR="00AB3753" w:rsidRPr="00575ED2">
        <w:rPr>
          <w:szCs w:val="18"/>
        </w:rPr>
        <w:t>, vol. 98, No. 2 (2020)</w:t>
      </w:r>
      <w:r w:rsidRPr="00575ED2">
        <w:rPr>
          <w:szCs w:val="18"/>
        </w:rPr>
        <w:t>.</w:t>
      </w:r>
    </w:p>
  </w:footnote>
  <w:footnote w:id="150">
    <w:p w14:paraId="7A18EF9F" w14:textId="226833FE"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FE5BFF" w:rsidRPr="00575ED2">
        <w:rPr>
          <w:szCs w:val="18"/>
        </w:rPr>
        <w:t xml:space="preserve">WHO, </w:t>
      </w:r>
      <w:r w:rsidR="00FE5BFF" w:rsidRPr="00575ED2">
        <w:rPr>
          <w:i/>
          <w:iCs/>
          <w:szCs w:val="18"/>
        </w:rPr>
        <w:t xml:space="preserve">Global Report on Health Equity for Persons with Disabilities </w:t>
      </w:r>
      <w:r w:rsidR="00FE5BFF" w:rsidRPr="00575ED2">
        <w:rPr>
          <w:szCs w:val="18"/>
        </w:rPr>
        <w:t>(Geneva, 2022); and WHO, “Technical brief: addressing health inequities faced by persons with disabilities to advance universal health coverage”, February 2023</w:t>
      </w:r>
      <w:r w:rsidR="00FE5BFF" w:rsidRPr="00575ED2">
        <w:rPr>
          <w:rStyle w:val="Hyperlink"/>
          <w:szCs w:val="18"/>
        </w:rPr>
        <w:t>.</w:t>
      </w:r>
    </w:p>
  </w:footnote>
  <w:footnote w:id="151">
    <w:p w14:paraId="29ADA099" w14:textId="5EACC6DE"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FF43A3" w:rsidRPr="00575ED2">
        <w:rPr>
          <w:szCs w:val="18"/>
        </w:rPr>
        <w:t xml:space="preserve">Christoph </w:t>
      </w:r>
      <w:proofErr w:type="spellStart"/>
      <w:r w:rsidR="00FF43A3" w:rsidRPr="00575ED2">
        <w:rPr>
          <w:szCs w:val="18"/>
        </w:rPr>
        <w:t>Strupat</w:t>
      </w:r>
      <w:proofErr w:type="spellEnd"/>
      <w:r w:rsidR="00FF43A3" w:rsidRPr="00575ED2">
        <w:rPr>
          <w:szCs w:val="18"/>
        </w:rPr>
        <w:t xml:space="preserve"> and others, “Health financing in times of multiple crises: analysis and recommendations”, Policy Brief 11/2023 (German Institute of Development and Sustainability, 2023), </w:t>
      </w:r>
      <w:r w:rsidR="00FF43A3" w:rsidRPr="009E050C">
        <w:rPr>
          <w:szCs w:val="18"/>
        </w:rPr>
        <w:t>p</w:t>
      </w:r>
      <w:r w:rsidR="00607B68" w:rsidRPr="009E050C">
        <w:rPr>
          <w:szCs w:val="18"/>
        </w:rPr>
        <w:t>p</w:t>
      </w:r>
      <w:r w:rsidR="00FF43A3" w:rsidRPr="009E050C">
        <w:rPr>
          <w:szCs w:val="18"/>
        </w:rPr>
        <w:t>.</w:t>
      </w:r>
      <w:r w:rsidR="00607B68" w:rsidRPr="00575ED2">
        <w:rPr>
          <w:szCs w:val="18"/>
        </w:rPr>
        <w:t xml:space="preserve"> 3 and 5</w:t>
      </w:r>
      <w:r w:rsidRPr="00575ED2">
        <w:rPr>
          <w:szCs w:val="18"/>
        </w:rPr>
        <w:t>.</w:t>
      </w:r>
    </w:p>
  </w:footnote>
  <w:footnote w:id="152">
    <w:p w14:paraId="04F6E57A" w14:textId="255616AE"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934107" w:rsidRPr="00575ED2">
        <w:rPr>
          <w:szCs w:val="18"/>
        </w:rPr>
        <w:t>E/C.12/2015/1.</w:t>
      </w:r>
    </w:p>
  </w:footnote>
  <w:footnote w:id="153">
    <w:p w14:paraId="0ECE2F46" w14:textId="463015CD" w:rsidR="00934107" w:rsidRPr="009E050C" w:rsidRDefault="00DC36CD" w:rsidP="00EC27A1">
      <w:pPr>
        <w:pStyle w:val="FootnoteText"/>
        <w:rPr>
          <w:szCs w:val="18"/>
        </w:rPr>
      </w:pPr>
      <w:r w:rsidRPr="00575ED2">
        <w:rPr>
          <w:szCs w:val="18"/>
        </w:rPr>
        <w:tab/>
      </w:r>
      <w:r w:rsidR="00934107" w:rsidRPr="00575ED2">
        <w:rPr>
          <w:rStyle w:val="FootnoteReference"/>
          <w:szCs w:val="18"/>
        </w:rPr>
        <w:footnoteRef/>
      </w:r>
      <w:r w:rsidRPr="00575ED2">
        <w:rPr>
          <w:szCs w:val="18"/>
        </w:rPr>
        <w:tab/>
      </w:r>
      <w:r w:rsidR="00791441" w:rsidRPr="00575ED2">
        <w:rPr>
          <w:szCs w:val="18"/>
        </w:rPr>
        <w:t>See www.who.int/teams/health-systems-governance-and-financing/health-financing/diagnostics/health-financing-progress-matrix.</w:t>
      </w:r>
    </w:p>
  </w:footnote>
  <w:footnote w:id="154">
    <w:p w14:paraId="5ECF62C8" w14:textId="44850685" w:rsidR="00D841A0" w:rsidRPr="009E050C" w:rsidRDefault="00DC36CD" w:rsidP="009E050C">
      <w:pPr>
        <w:pStyle w:val="FootnoteText"/>
        <w:jc w:val="both"/>
        <w:rPr>
          <w:szCs w:val="18"/>
        </w:rPr>
      </w:pPr>
      <w:r w:rsidRPr="00575ED2">
        <w:rPr>
          <w:szCs w:val="18"/>
        </w:rPr>
        <w:tab/>
      </w:r>
      <w:r w:rsidR="00D841A0" w:rsidRPr="00575ED2">
        <w:rPr>
          <w:rStyle w:val="FootnoteReference"/>
          <w:szCs w:val="18"/>
        </w:rPr>
        <w:footnoteRef/>
      </w:r>
      <w:r w:rsidRPr="00575ED2">
        <w:rPr>
          <w:szCs w:val="18"/>
        </w:rPr>
        <w:tab/>
      </w:r>
      <w:r w:rsidR="00D841A0" w:rsidRPr="00575ED2">
        <w:rPr>
          <w:szCs w:val="18"/>
        </w:rPr>
        <w:t>See</w:t>
      </w:r>
      <w:r w:rsidR="00B557A2" w:rsidRPr="00575ED2">
        <w:rPr>
          <w:szCs w:val="18"/>
        </w:rPr>
        <w:t xml:space="preserve"> </w:t>
      </w:r>
      <w:r w:rsidR="007508CB" w:rsidRPr="00575ED2">
        <w:rPr>
          <w:szCs w:val="18"/>
        </w:rPr>
        <w:t>concept note for the Joint High-level Thematic Debate convened by the President of the General Assembly and the President of the Economic and Social Council, 31 May 2022, available at www.un.org/pga/76/wp-content/uploads/sites/101/2022/05/PGA-and-P-ECOSOC-Joint-HLD-on-Debt-Concept-Note.pdf; and George Gray Molina and Lars Jensen, “Building blocks out of the crisis: the UN’s SDG Stimulus Plan”, Development Futures Series (United Nations Development Programme, 2023)</w:t>
      </w:r>
      <w:r w:rsidR="00D841A0" w:rsidRPr="00575ED2">
        <w:rPr>
          <w:szCs w:val="18"/>
        </w:rPr>
        <w:t>.</w:t>
      </w:r>
    </w:p>
  </w:footnote>
  <w:footnote w:id="155">
    <w:p w14:paraId="3CAA35E8" w14:textId="520C315D" w:rsidR="00D841A0" w:rsidRPr="009E050C" w:rsidRDefault="00D841A0" w:rsidP="009E050C">
      <w:pPr>
        <w:pStyle w:val="FootnoteText"/>
        <w:jc w:val="both"/>
        <w:rPr>
          <w:szCs w:val="18"/>
        </w:rPr>
      </w:pPr>
      <w:r w:rsidRPr="00575ED2">
        <w:rPr>
          <w:szCs w:val="18"/>
        </w:rPr>
        <w:t xml:space="preserve"> </w:t>
      </w:r>
      <w:r w:rsidR="00DC36CD" w:rsidRPr="00575ED2">
        <w:rPr>
          <w:szCs w:val="18"/>
        </w:rPr>
        <w:tab/>
      </w:r>
      <w:r w:rsidRPr="00575ED2">
        <w:rPr>
          <w:rStyle w:val="FootnoteReference"/>
          <w:szCs w:val="18"/>
        </w:rPr>
        <w:footnoteRef/>
      </w:r>
      <w:r w:rsidR="00DC36CD" w:rsidRPr="00575ED2">
        <w:rPr>
          <w:szCs w:val="18"/>
        </w:rPr>
        <w:tab/>
      </w:r>
      <w:r w:rsidRPr="00575ED2">
        <w:rPr>
          <w:szCs w:val="18"/>
        </w:rPr>
        <w:t>A/HRC/54/38, para</w:t>
      </w:r>
      <w:r w:rsidR="00813F5A" w:rsidRPr="00575ED2">
        <w:rPr>
          <w:szCs w:val="18"/>
        </w:rPr>
        <w:t>.</w:t>
      </w:r>
      <w:r w:rsidRPr="00575ED2">
        <w:rPr>
          <w:szCs w:val="18"/>
        </w:rPr>
        <w:t xml:space="preserve"> 20</w:t>
      </w:r>
      <w:r w:rsidR="00813F5A" w:rsidRPr="00575ED2">
        <w:rPr>
          <w:szCs w:val="18"/>
        </w:rPr>
        <w:t>.</w:t>
      </w:r>
    </w:p>
  </w:footnote>
  <w:footnote w:id="156">
    <w:p w14:paraId="16F83B84" w14:textId="38CE97E6" w:rsidR="00934107" w:rsidRPr="009E050C" w:rsidRDefault="00DC36CD" w:rsidP="009E050C">
      <w:pPr>
        <w:pStyle w:val="FootnoteText"/>
        <w:jc w:val="both"/>
        <w:rPr>
          <w:szCs w:val="18"/>
        </w:rPr>
      </w:pPr>
      <w:r w:rsidRPr="00575ED2">
        <w:rPr>
          <w:szCs w:val="18"/>
        </w:rPr>
        <w:tab/>
      </w:r>
      <w:r w:rsidR="00934107" w:rsidRPr="00575ED2">
        <w:rPr>
          <w:rStyle w:val="FootnoteReference"/>
          <w:szCs w:val="18"/>
        </w:rPr>
        <w:footnoteRef/>
      </w:r>
      <w:r w:rsidRPr="00575ED2">
        <w:rPr>
          <w:szCs w:val="18"/>
        </w:rPr>
        <w:tab/>
      </w:r>
      <w:r w:rsidR="00934107" w:rsidRPr="00575ED2">
        <w:rPr>
          <w:color w:val="000000"/>
          <w:szCs w:val="18"/>
        </w:rPr>
        <w:t xml:space="preserve">See </w:t>
      </w:r>
      <w:r w:rsidR="00934107" w:rsidRPr="009E050C">
        <w:rPr>
          <w:szCs w:val="18"/>
        </w:rPr>
        <w:t>A/HRC/51/22</w:t>
      </w:r>
      <w:r w:rsidRPr="00575ED2">
        <w:rPr>
          <w:color w:val="0000FF"/>
          <w:szCs w:val="18"/>
        </w:rPr>
        <w:t>.</w:t>
      </w:r>
    </w:p>
  </w:footnote>
  <w:footnote w:id="157">
    <w:p w14:paraId="42170378" w14:textId="4949F8A4" w:rsidR="00D22BCE" w:rsidRPr="00575ED2" w:rsidRDefault="00D22BCE"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Pr="00575ED2">
        <w:rPr>
          <w:szCs w:val="18"/>
        </w:rPr>
        <w:t>A/HRC/</w:t>
      </w:r>
      <w:r w:rsidR="00CB527D" w:rsidRPr="00575ED2">
        <w:rPr>
          <w:szCs w:val="18"/>
        </w:rPr>
        <w:t>4</w:t>
      </w:r>
      <w:r w:rsidRPr="00575ED2">
        <w:rPr>
          <w:szCs w:val="18"/>
        </w:rPr>
        <w:t>9/35, para. 67.</w:t>
      </w:r>
    </w:p>
  </w:footnote>
  <w:footnote w:id="158">
    <w:p w14:paraId="1772C8C4" w14:textId="0468F6FC" w:rsidR="0087624B" w:rsidRPr="00575ED2" w:rsidRDefault="0087624B" w:rsidP="009E050C">
      <w:pPr>
        <w:pStyle w:val="FootnoteText"/>
        <w:jc w:val="both"/>
        <w:rPr>
          <w:szCs w:val="18"/>
        </w:rPr>
      </w:pPr>
      <w:r w:rsidRPr="00575ED2">
        <w:rPr>
          <w:szCs w:val="18"/>
        </w:rPr>
        <w:tab/>
      </w:r>
      <w:r w:rsidRPr="00575ED2">
        <w:rPr>
          <w:rStyle w:val="FootnoteReference"/>
          <w:szCs w:val="18"/>
        </w:rPr>
        <w:footnoteRef/>
      </w:r>
      <w:r w:rsidR="00DC36CD" w:rsidRPr="00575ED2">
        <w:rPr>
          <w:szCs w:val="18"/>
        </w:rPr>
        <w:tab/>
      </w:r>
      <w:r w:rsidR="00813F5A" w:rsidRPr="00575ED2">
        <w:rPr>
          <w:szCs w:val="18"/>
        </w:rPr>
        <w:t xml:space="preserve"> </w:t>
      </w:r>
      <w:r w:rsidRPr="00575ED2">
        <w:rPr>
          <w:szCs w:val="18"/>
        </w:rPr>
        <w:t xml:space="preserve">See </w:t>
      </w:r>
      <w:hyperlink r:id="rId5" w:history="1">
        <w:r w:rsidRPr="009E050C">
          <w:rPr>
            <w:rStyle w:val="Hyperlink"/>
            <w:color w:val="auto"/>
            <w:szCs w:val="18"/>
          </w:rPr>
          <w:t>A/63/263</w:t>
        </w:r>
      </w:hyperlink>
      <w:r w:rsidRPr="00575ED2">
        <w:rPr>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9AC7" w14:textId="533A07A2" w:rsidR="00F26EF2" w:rsidRDefault="009E050C" w:rsidP="00F26EF2">
    <w:pPr>
      <w:pStyle w:val="Header"/>
    </w:pPr>
    <w:r>
      <w:rPr>
        <w:noProof/>
      </w:rPr>
      <w:pict w14:anchorId="3AE08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2891"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F26EF2">
      <w:t>A/HRC/</w:t>
    </w:r>
    <w:r w:rsidR="00215DF5">
      <w:t>56</w:t>
    </w:r>
    <w:r w:rsidR="00F26EF2">
      <w:t>/</w:t>
    </w:r>
    <w:r w:rsidR="00215DF5">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85D2" w14:textId="71351CD3" w:rsidR="00F26EF2" w:rsidRDefault="009E050C" w:rsidP="00F26EF2">
    <w:pPr>
      <w:pStyle w:val="Header"/>
      <w:jc w:val="right"/>
    </w:pPr>
    <w:r>
      <w:rPr>
        <w:noProof/>
      </w:rPr>
      <w:pict w14:anchorId="0708A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2892"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F26EF2">
      <w:t>A/HRC/</w:t>
    </w:r>
    <w:r w:rsidR="004E72E0">
      <w:t>56/28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6C48" w14:textId="3CCA6D54" w:rsidR="009E050C" w:rsidRDefault="009E050C">
    <w:pPr>
      <w:pStyle w:val="Header"/>
    </w:pPr>
    <w:r>
      <w:rPr>
        <w:noProof/>
      </w:rPr>
      <w:pict w14:anchorId="55BC8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2890"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B2C15"/>
    <w:multiLevelType w:val="hybridMultilevel"/>
    <w:tmpl w:val="D0E2E876"/>
    <w:lvl w:ilvl="0" w:tplc="F6CEEE1E">
      <w:start w:val="1"/>
      <w:numFmt w:val="upperLetter"/>
      <w:lvlText w:val="%1."/>
      <w:lvlJc w:val="left"/>
      <w:pPr>
        <w:ind w:left="1250" w:hanging="620"/>
      </w:pPr>
      <w:rPr>
        <w:rFonts w:hint="default"/>
        <w:b/>
        <w:bCs/>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1D7A"/>
    <w:multiLevelType w:val="hybridMultilevel"/>
    <w:tmpl w:val="6E2AB8BC"/>
    <w:lvl w:ilvl="0" w:tplc="8DD81874">
      <w:start w:val="10"/>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A4216C7"/>
    <w:multiLevelType w:val="hybridMultilevel"/>
    <w:tmpl w:val="2916AA66"/>
    <w:lvl w:ilvl="0" w:tplc="850ECE42">
      <w:start w:val="1"/>
      <w:numFmt w:val="lowerLetter"/>
      <w:lvlText w:val="(%1)"/>
      <w:lvlJc w:val="left"/>
      <w:pPr>
        <w:ind w:left="2274" w:hanging="570"/>
      </w:pPr>
      <w:rPr>
        <w:rFonts w:hint="default"/>
        <w:b w:val="0"/>
        <w:bCs w:val="0"/>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5" w15:restartNumberingAfterBreak="0">
    <w:nsid w:val="1BF9559C"/>
    <w:multiLevelType w:val="hybridMultilevel"/>
    <w:tmpl w:val="B13E302E"/>
    <w:lvl w:ilvl="0" w:tplc="8DD81874">
      <w:start w:val="15"/>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8E2113"/>
    <w:multiLevelType w:val="hybridMultilevel"/>
    <w:tmpl w:val="2C68F71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8FB10E5"/>
    <w:multiLevelType w:val="hybridMultilevel"/>
    <w:tmpl w:val="FF70037C"/>
    <w:lvl w:ilvl="0" w:tplc="628295BA">
      <w:start w:val="66"/>
      <w:numFmt w:val="decimal"/>
      <w:lvlText w:val="%1."/>
      <w:lvlJc w:val="left"/>
      <w:pPr>
        <w:ind w:left="1495" w:hanging="360"/>
      </w:pPr>
      <w:rPr>
        <w:rFonts w:hint="default"/>
        <w:b w:val="0"/>
        <w:bCs w:val="0"/>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num w:numId="1" w16cid:durableId="984625871">
    <w:abstractNumId w:val="0"/>
  </w:num>
  <w:num w:numId="2" w16cid:durableId="1297948341">
    <w:abstractNumId w:val="6"/>
  </w:num>
  <w:num w:numId="3" w16cid:durableId="1259944265">
    <w:abstractNumId w:val="9"/>
  </w:num>
  <w:num w:numId="4" w16cid:durableId="1481770610">
    <w:abstractNumId w:val="2"/>
  </w:num>
  <w:num w:numId="5" w16cid:durableId="1895310165">
    <w:abstractNumId w:val="7"/>
  </w:num>
  <w:num w:numId="6" w16cid:durableId="1165896050">
    <w:abstractNumId w:val="4"/>
  </w:num>
  <w:num w:numId="7" w16cid:durableId="1969704704">
    <w:abstractNumId w:val="1"/>
  </w:num>
  <w:num w:numId="8" w16cid:durableId="1438990136">
    <w:abstractNumId w:val="3"/>
  </w:num>
  <w:num w:numId="9" w16cid:durableId="1595438494">
    <w:abstractNumId w:val="10"/>
  </w:num>
  <w:num w:numId="10" w16cid:durableId="1552234018">
    <w:abstractNumId w:val="8"/>
  </w:num>
  <w:num w:numId="11" w16cid:durableId="11909220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rQUAPW3LNywAAAA="/>
  </w:docVars>
  <w:rsids>
    <w:rsidRoot w:val="009F55DD"/>
    <w:rsid w:val="00002336"/>
    <w:rsid w:val="0000284A"/>
    <w:rsid w:val="00002938"/>
    <w:rsid w:val="00002B23"/>
    <w:rsid w:val="00004388"/>
    <w:rsid w:val="00005225"/>
    <w:rsid w:val="000059B4"/>
    <w:rsid w:val="00005E24"/>
    <w:rsid w:val="00006C00"/>
    <w:rsid w:val="0000751C"/>
    <w:rsid w:val="00011A3E"/>
    <w:rsid w:val="00012C65"/>
    <w:rsid w:val="00012C7C"/>
    <w:rsid w:val="000145E9"/>
    <w:rsid w:val="00015AE5"/>
    <w:rsid w:val="00017E4F"/>
    <w:rsid w:val="000205A4"/>
    <w:rsid w:val="000215AB"/>
    <w:rsid w:val="00022D6B"/>
    <w:rsid w:val="000231DB"/>
    <w:rsid w:val="0002324C"/>
    <w:rsid w:val="00023658"/>
    <w:rsid w:val="000237CA"/>
    <w:rsid w:val="0002437D"/>
    <w:rsid w:val="00024A4C"/>
    <w:rsid w:val="00025649"/>
    <w:rsid w:val="00027B93"/>
    <w:rsid w:val="000302AD"/>
    <w:rsid w:val="000307FD"/>
    <w:rsid w:val="00031591"/>
    <w:rsid w:val="00033CED"/>
    <w:rsid w:val="0003463E"/>
    <w:rsid w:val="00034C5D"/>
    <w:rsid w:val="00035112"/>
    <w:rsid w:val="00035664"/>
    <w:rsid w:val="0003780B"/>
    <w:rsid w:val="00037D95"/>
    <w:rsid w:val="00041B2D"/>
    <w:rsid w:val="00041DFA"/>
    <w:rsid w:val="00042257"/>
    <w:rsid w:val="00042CBE"/>
    <w:rsid w:val="000431F2"/>
    <w:rsid w:val="00043601"/>
    <w:rsid w:val="000439B9"/>
    <w:rsid w:val="00044BCB"/>
    <w:rsid w:val="00045A4C"/>
    <w:rsid w:val="00046286"/>
    <w:rsid w:val="00046D1F"/>
    <w:rsid w:val="00046D5C"/>
    <w:rsid w:val="00046E92"/>
    <w:rsid w:val="00047090"/>
    <w:rsid w:val="0005058A"/>
    <w:rsid w:val="00050B02"/>
    <w:rsid w:val="000521F5"/>
    <w:rsid w:val="00052B8B"/>
    <w:rsid w:val="00053306"/>
    <w:rsid w:val="00054444"/>
    <w:rsid w:val="0005476E"/>
    <w:rsid w:val="00054EF5"/>
    <w:rsid w:val="00056E86"/>
    <w:rsid w:val="000607C5"/>
    <w:rsid w:val="00061656"/>
    <w:rsid w:val="00062196"/>
    <w:rsid w:val="000635EB"/>
    <w:rsid w:val="00063C90"/>
    <w:rsid w:val="000646BB"/>
    <w:rsid w:val="00064B18"/>
    <w:rsid w:val="00065197"/>
    <w:rsid w:val="00065AE5"/>
    <w:rsid w:val="00066A74"/>
    <w:rsid w:val="00066D64"/>
    <w:rsid w:val="00067656"/>
    <w:rsid w:val="000678DB"/>
    <w:rsid w:val="00070956"/>
    <w:rsid w:val="00070BF5"/>
    <w:rsid w:val="00071C36"/>
    <w:rsid w:val="00072607"/>
    <w:rsid w:val="00072D88"/>
    <w:rsid w:val="000731FD"/>
    <w:rsid w:val="00073F0F"/>
    <w:rsid w:val="000744A7"/>
    <w:rsid w:val="00074627"/>
    <w:rsid w:val="00074A95"/>
    <w:rsid w:val="00080752"/>
    <w:rsid w:val="000816E5"/>
    <w:rsid w:val="00081842"/>
    <w:rsid w:val="000847F0"/>
    <w:rsid w:val="00085575"/>
    <w:rsid w:val="00085D11"/>
    <w:rsid w:val="0008678A"/>
    <w:rsid w:val="00086E09"/>
    <w:rsid w:val="000904E8"/>
    <w:rsid w:val="0009066F"/>
    <w:rsid w:val="0009146A"/>
    <w:rsid w:val="00091D56"/>
    <w:rsid w:val="00091D81"/>
    <w:rsid w:val="000936EB"/>
    <w:rsid w:val="000946C6"/>
    <w:rsid w:val="000947B3"/>
    <w:rsid w:val="00094BAE"/>
    <w:rsid w:val="00094D0A"/>
    <w:rsid w:val="0009515E"/>
    <w:rsid w:val="00095FA5"/>
    <w:rsid w:val="000A0064"/>
    <w:rsid w:val="000A0198"/>
    <w:rsid w:val="000A17E1"/>
    <w:rsid w:val="000A2200"/>
    <w:rsid w:val="000A2BE4"/>
    <w:rsid w:val="000A38A6"/>
    <w:rsid w:val="000A3CD7"/>
    <w:rsid w:val="000A51E6"/>
    <w:rsid w:val="000A52A8"/>
    <w:rsid w:val="000A6F3F"/>
    <w:rsid w:val="000A7138"/>
    <w:rsid w:val="000A734C"/>
    <w:rsid w:val="000A7521"/>
    <w:rsid w:val="000B1783"/>
    <w:rsid w:val="000B37FE"/>
    <w:rsid w:val="000B4F6F"/>
    <w:rsid w:val="000B5B11"/>
    <w:rsid w:val="000B6544"/>
    <w:rsid w:val="000B6F2B"/>
    <w:rsid w:val="000B7C52"/>
    <w:rsid w:val="000C0485"/>
    <w:rsid w:val="000C247C"/>
    <w:rsid w:val="000C2596"/>
    <w:rsid w:val="000C3F7C"/>
    <w:rsid w:val="000C53B4"/>
    <w:rsid w:val="000C758B"/>
    <w:rsid w:val="000D01DD"/>
    <w:rsid w:val="000D1297"/>
    <w:rsid w:val="000D318D"/>
    <w:rsid w:val="000D38DC"/>
    <w:rsid w:val="000D3D6C"/>
    <w:rsid w:val="000D3ECA"/>
    <w:rsid w:val="000D44C8"/>
    <w:rsid w:val="000D50FF"/>
    <w:rsid w:val="000D5F1F"/>
    <w:rsid w:val="000D67DE"/>
    <w:rsid w:val="000D79AD"/>
    <w:rsid w:val="000E2E98"/>
    <w:rsid w:val="000E5A6B"/>
    <w:rsid w:val="000E6B02"/>
    <w:rsid w:val="000E7D12"/>
    <w:rsid w:val="000F0F0D"/>
    <w:rsid w:val="000F3BD3"/>
    <w:rsid w:val="000F4914"/>
    <w:rsid w:val="000F4FF8"/>
    <w:rsid w:val="000F5656"/>
    <w:rsid w:val="000F65EE"/>
    <w:rsid w:val="000F6B7B"/>
    <w:rsid w:val="000F76ED"/>
    <w:rsid w:val="000F7996"/>
    <w:rsid w:val="000F7C56"/>
    <w:rsid w:val="00101B98"/>
    <w:rsid w:val="00101F73"/>
    <w:rsid w:val="00103205"/>
    <w:rsid w:val="00103AD9"/>
    <w:rsid w:val="001040A5"/>
    <w:rsid w:val="00105022"/>
    <w:rsid w:val="0010586C"/>
    <w:rsid w:val="0010695C"/>
    <w:rsid w:val="00106F8C"/>
    <w:rsid w:val="001103BE"/>
    <w:rsid w:val="001107CB"/>
    <w:rsid w:val="00112FD9"/>
    <w:rsid w:val="00113036"/>
    <w:rsid w:val="00114DDE"/>
    <w:rsid w:val="0011701E"/>
    <w:rsid w:val="00117469"/>
    <w:rsid w:val="00117A0D"/>
    <w:rsid w:val="0012222D"/>
    <w:rsid w:val="00122C9A"/>
    <w:rsid w:val="0012493A"/>
    <w:rsid w:val="00124CE6"/>
    <w:rsid w:val="001263EE"/>
    <w:rsid w:val="00126890"/>
    <w:rsid w:val="00126D72"/>
    <w:rsid w:val="00130306"/>
    <w:rsid w:val="00130530"/>
    <w:rsid w:val="001308FF"/>
    <w:rsid w:val="00131BF2"/>
    <w:rsid w:val="00131FB8"/>
    <w:rsid w:val="00132159"/>
    <w:rsid w:val="00134C91"/>
    <w:rsid w:val="00135FC6"/>
    <w:rsid w:val="00136383"/>
    <w:rsid w:val="001407B2"/>
    <w:rsid w:val="00142C6C"/>
    <w:rsid w:val="00143667"/>
    <w:rsid w:val="001438A5"/>
    <w:rsid w:val="00143A29"/>
    <w:rsid w:val="00143BA7"/>
    <w:rsid w:val="00145721"/>
    <w:rsid w:val="00146330"/>
    <w:rsid w:val="001476B0"/>
    <w:rsid w:val="001478F2"/>
    <w:rsid w:val="00147C23"/>
    <w:rsid w:val="00150834"/>
    <w:rsid w:val="00150F1C"/>
    <w:rsid w:val="00153BC6"/>
    <w:rsid w:val="00153C52"/>
    <w:rsid w:val="00155D54"/>
    <w:rsid w:val="0015752B"/>
    <w:rsid w:val="001600CD"/>
    <w:rsid w:val="00160A64"/>
    <w:rsid w:val="00160AEB"/>
    <w:rsid w:val="00160F07"/>
    <w:rsid w:val="00161CB9"/>
    <w:rsid w:val="0016206E"/>
    <w:rsid w:val="00162748"/>
    <w:rsid w:val="00163A81"/>
    <w:rsid w:val="00163C43"/>
    <w:rsid w:val="001640B5"/>
    <w:rsid w:val="00164452"/>
    <w:rsid w:val="0016486C"/>
    <w:rsid w:val="0016493A"/>
    <w:rsid w:val="00164FBC"/>
    <w:rsid w:val="00165C72"/>
    <w:rsid w:val="00165F53"/>
    <w:rsid w:val="0016674D"/>
    <w:rsid w:val="001713AE"/>
    <w:rsid w:val="00172845"/>
    <w:rsid w:val="00172A42"/>
    <w:rsid w:val="001732FF"/>
    <w:rsid w:val="00173EC9"/>
    <w:rsid w:val="00174394"/>
    <w:rsid w:val="00174B3B"/>
    <w:rsid w:val="00176970"/>
    <w:rsid w:val="00176FF6"/>
    <w:rsid w:val="0018061D"/>
    <w:rsid w:val="00180633"/>
    <w:rsid w:val="00180979"/>
    <w:rsid w:val="001821A3"/>
    <w:rsid w:val="00182E81"/>
    <w:rsid w:val="00185AE7"/>
    <w:rsid w:val="00186A5C"/>
    <w:rsid w:val="00186BE6"/>
    <w:rsid w:val="00191DDF"/>
    <w:rsid w:val="001920C2"/>
    <w:rsid w:val="00192B5E"/>
    <w:rsid w:val="00192B75"/>
    <w:rsid w:val="00193C39"/>
    <w:rsid w:val="001952AC"/>
    <w:rsid w:val="001962A5"/>
    <w:rsid w:val="001963FA"/>
    <w:rsid w:val="00196E16"/>
    <w:rsid w:val="001978FD"/>
    <w:rsid w:val="00197CC8"/>
    <w:rsid w:val="001A15FF"/>
    <w:rsid w:val="001A1AE8"/>
    <w:rsid w:val="001A27E3"/>
    <w:rsid w:val="001A308C"/>
    <w:rsid w:val="001A34BE"/>
    <w:rsid w:val="001A3D77"/>
    <w:rsid w:val="001A44AB"/>
    <w:rsid w:val="001A4D6C"/>
    <w:rsid w:val="001A52CE"/>
    <w:rsid w:val="001A5396"/>
    <w:rsid w:val="001A6663"/>
    <w:rsid w:val="001B0A20"/>
    <w:rsid w:val="001B13A5"/>
    <w:rsid w:val="001B2383"/>
    <w:rsid w:val="001B24CF"/>
    <w:rsid w:val="001B3527"/>
    <w:rsid w:val="001B367B"/>
    <w:rsid w:val="001B36FD"/>
    <w:rsid w:val="001B44A8"/>
    <w:rsid w:val="001B4561"/>
    <w:rsid w:val="001B5971"/>
    <w:rsid w:val="001B6779"/>
    <w:rsid w:val="001B708E"/>
    <w:rsid w:val="001B77F6"/>
    <w:rsid w:val="001B7981"/>
    <w:rsid w:val="001B7B49"/>
    <w:rsid w:val="001C0A6B"/>
    <w:rsid w:val="001C0FE4"/>
    <w:rsid w:val="001C12A6"/>
    <w:rsid w:val="001C177D"/>
    <w:rsid w:val="001C210E"/>
    <w:rsid w:val="001C2762"/>
    <w:rsid w:val="001C2CAC"/>
    <w:rsid w:val="001C38CD"/>
    <w:rsid w:val="001C3D55"/>
    <w:rsid w:val="001C3F3C"/>
    <w:rsid w:val="001C4F96"/>
    <w:rsid w:val="001C4FDA"/>
    <w:rsid w:val="001D0F74"/>
    <w:rsid w:val="001D0FD2"/>
    <w:rsid w:val="001D2BD3"/>
    <w:rsid w:val="001D3A31"/>
    <w:rsid w:val="001D4CD3"/>
    <w:rsid w:val="001D593C"/>
    <w:rsid w:val="001D5FD9"/>
    <w:rsid w:val="001D6E14"/>
    <w:rsid w:val="001D7123"/>
    <w:rsid w:val="001E051C"/>
    <w:rsid w:val="001E054F"/>
    <w:rsid w:val="001E2FE9"/>
    <w:rsid w:val="001E3148"/>
    <w:rsid w:val="001E3206"/>
    <w:rsid w:val="001E33AB"/>
    <w:rsid w:val="001E3908"/>
    <w:rsid w:val="001E3B82"/>
    <w:rsid w:val="001E4A89"/>
    <w:rsid w:val="001E5811"/>
    <w:rsid w:val="001E610C"/>
    <w:rsid w:val="001E683D"/>
    <w:rsid w:val="001E7AAF"/>
    <w:rsid w:val="001F06A5"/>
    <w:rsid w:val="001F085A"/>
    <w:rsid w:val="001F09A9"/>
    <w:rsid w:val="001F2A96"/>
    <w:rsid w:val="001F2DCD"/>
    <w:rsid w:val="001F36E4"/>
    <w:rsid w:val="001F43F1"/>
    <w:rsid w:val="001F4644"/>
    <w:rsid w:val="001F5433"/>
    <w:rsid w:val="001F5E47"/>
    <w:rsid w:val="001F699A"/>
    <w:rsid w:val="001F6DDB"/>
    <w:rsid w:val="00200C5C"/>
    <w:rsid w:val="00200F11"/>
    <w:rsid w:val="002015BF"/>
    <w:rsid w:val="002021D8"/>
    <w:rsid w:val="002025AC"/>
    <w:rsid w:val="002031DE"/>
    <w:rsid w:val="00203431"/>
    <w:rsid w:val="00204FFE"/>
    <w:rsid w:val="00206020"/>
    <w:rsid w:val="0020622B"/>
    <w:rsid w:val="00206717"/>
    <w:rsid w:val="00206E18"/>
    <w:rsid w:val="00206F50"/>
    <w:rsid w:val="00210110"/>
    <w:rsid w:val="00210754"/>
    <w:rsid w:val="0021206E"/>
    <w:rsid w:val="00212130"/>
    <w:rsid w:val="00213356"/>
    <w:rsid w:val="00213840"/>
    <w:rsid w:val="00213A8A"/>
    <w:rsid w:val="00213C30"/>
    <w:rsid w:val="00213F32"/>
    <w:rsid w:val="002152D8"/>
    <w:rsid w:val="00215D56"/>
    <w:rsid w:val="00215DF5"/>
    <w:rsid w:val="002167F4"/>
    <w:rsid w:val="00216BEF"/>
    <w:rsid w:val="002173BA"/>
    <w:rsid w:val="002178C6"/>
    <w:rsid w:val="00217E5C"/>
    <w:rsid w:val="002211ED"/>
    <w:rsid w:val="00223275"/>
    <w:rsid w:val="002246BD"/>
    <w:rsid w:val="00227094"/>
    <w:rsid w:val="00227B5C"/>
    <w:rsid w:val="00227F79"/>
    <w:rsid w:val="0023158B"/>
    <w:rsid w:val="002322DA"/>
    <w:rsid w:val="00232BCF"/>
    <w:rsid w:val="00232CE5"/>
    <w:rsid w:val="00232F4E"/>
    <w:rsid w:val="00233A76"/>
    <w:rsid w:val="00233DB9"/>
    <w:rsid w:val="00234A9B"/>
    <w:rsid w:val="00236A26"/>
    <w:rsid w:val="00237280"/>
    <w:rsid w:val="00237564"/>
    <w:rsid w:val="002377CF"/>
    <w:rsid w:val="00240985"/>
    <w:rsid w:val="0024148C"/>
    <w:rsid w:val="00241D5C"/>
    <w:rsid w:val="00242A22"/>
    <w:rsid w:val="00242BD3"/>
    <w:rsid w:val="00243904"/>
    <w:rsid w:val="00244113"/>
    <w:rsid w:val="00244938"/>
    <w:rsid w:val="00245949"/>
    <w:rsid w:val="00245F03"/>
    <w:rsid w:val="00245F13"/>
    <w:rsid w:val="002477D4"/>
    <w:rsid w:val="00247E2C"/>
    <w:rsid w:val="002503E1"/>
    <w:rsid w:val="00250580"/>
    <w:rsid w:val="002509EB"/>
    <w:rsid w:val="00251721"/>
    <w:rsid w:val="00251841"/>
    <w:rsid w:val="00251E30"/>
    <w:rsid w:val="0025386C"/>
    <w:rsid w:val="00254386"/>
    <w:rsid w:val="00255016"/>
    <w:rsid w:val="002550CA"/>
    <w:rsid w:val="00255794"/>
    <w:rsid w:val="0025629C"/>
    <w:rsid w:val="00261C6C"/>
    <w:rsid w:val="00262052"/>
    <w:rsid w:val="00263C0A"/>
    <w:rsid w:val="00264E51"/>
    <w:rsid w:val="00265D68"/>
    <w:rsid w:val="00266FE0"/>
    <w:rsid w:val="00270FAF"/>
    <w:rsid w:val="0027197A"/>
    <w:rsid w:val="00272FFF"/>
    <w:rsid w:val="0027321C"/>
    <w:rsid w:val="002738C2"/>
    <w:rsid w:val="00274CFB"/>
    <w:rsid w:val="00275429"/>
    <w:rsid w:val="0027648A"/>
    <w:rsid w:val="00276B08"/>
    <w:rsid w:val="002807CF"/>
    <w:rsid w:val="00280F14"/>
    <w:rsid w:val="00281028"/>
    <w:rsid w:val="00282813"/>
    <w:rsid w:val="00282AD0"/>
    <w:rsid w:val="00282C7E"/>
    <w:rsid w:val="00283C82"/>
    <w:rsid w:val="00283FDD"/>
    <w:rsid w:val="002840F5"/>
    <w:rsid w:val="00284CFA"/>
    <w:rsid w:val="0028506D"/>
    <w:rsid w:val="002857FD"/>
    <w:rsid w:val="00286E89"/>
    <w:rsid w:val="002873B2"/>
    <w:rsid w:val="00287410"/>
    <w:rsid w:val="0028762B"/>
    <w:rsid w:val="00287BAC"/>
    <w:rsid w:val="00291AB6"/>
    <w:rsid w:val="00291AF7"/>
    <w:rsid w:val="00293EBA"/>
    <w:rsid w:val="002945B3"/>
    <w:rsid w:val="0029465D"/>
    <w:rsid w:val="00294BA4"/>
    <w:rsid w:val="00294CF7"/>
    <w:rsid w:val="00294E8F"/>
    <w:rsid w:val="0029550C"/>
    <w:rsid w:val="0029559A"/>
    <w:rsid w:val="0029647F"/>
    <w:rsid w:val="00296571"/>
    <w:rsid w:val="002A03D9"/>
    <w:rsid w:val="002A0898"/>
    <w:rsid w:val="002A16A4"/>
    <w:rsid w:val="002A1A09"/>
    <w:rsid w:val="002A32CB"/>
    <w:rsid w:val="002A4A6D"/>
    <w:rsid w:val="002A4C5E"/>
    <w:rsid w:val="002A5188"/>
    <w:rsid w:val="002A5C04"/>
    <w:rsid w:val="002A6493"/>
    <w:rsid w:val="002A6AA5"/>
    <w:rsid w:val="002A6EBC"/>
    <w:rsid w:val="002A78DD"/>
    <w:rsid w:val="002B0BD4"/>
    <w:rsid w:val="002B165B"/>
    <w:rsid w:val="002B319E"/>
    <w:rsid w:val="002B39B4"/>
    <w:rsid w:val="002B3DAE"/>
    <w:rsid w:val="002B40A3"/>
    <w:rsid w:val="002B482B"/>
    <w:rsid w:val="002B4CAC"/>
    <w:rsid w:val="002B5713"/>
    <w:rsid w:val="002B599E"/>
    <w:rsid w:val="002B6589"/>
    <w:rsid w:val="002B6745"/>
    <w:rsid w:val="002B6F62"/>
    <w:rsid w:val="002B7FA5"/>
    <w:rsid w:val="002C0687"/>
    <w:rsid w:val="002C1604"/>
    <w:rsid w:val="002C177C"/>
    <w:rsid w:val="002C17EC"/>
    <w:rsid w:val="002C1F5D"/>
    <w:rsid w:val="002C27AA"/>
    <w:rsid w:val="002C2EAA"/>
    <w:rsid w:val="002C41E2"/>
    <w:rsid w:val="002C5CF7"/>
    <w:rsid w:val="002C5DAD"/>
    <w:rsid w:val="002C5F17"/>
    <w:rsid w:val="002C5F5D"/>
    <w:rsid w:val="002C61DC"/>
    <w:rsid w:val="002C72E6"/>
    <w:rsid w:val="002C7539"/>
    <w:rsid w:val="002C753E"/>
    <w:rsid w:val="002C7B2A"/>
    <w:rsid w:val="002C7F1A"/>
    <w:rsid w:val="002D1727"/>
    <w:rsid w:val="002D1C79"/>
    <w:rsid w:val="002D224E"/>
    <w:rsid w:val="002D23D9"/>
    <w:rsid w:val="002D41CC"/>
    <w:rsid w:val="002D4209"/>
    <w:rsid w:val="002D4648"/>
    <w:rsid w:val="002D49B1"/>
    <w:rsid w:val="002D5376"/>
    <w:rsid w:val="002D552F"/>
    <w:rsid w:val="002D67DF"/>
    <w:rsid w:val="002D6C53"/>
    <w:rsid w:val="002D7609"/>
    <w:rsid w:val="002E0864"/>
    <w:rsid w:val="002E0CB7"/>
    <w:rsid w:val="002E0DB7"/>
    <w:rsid w:val="002E2022"/>
    <w:rsid w:val="002E3323"/>
    <w:rsid w:val="002E3561"/>
    <w:rsid w:val="002E48F8"/>
    <w:rsid w:val="002E4D5D"/>
    <w:rsid w:val="002E61BC"/>
    <w:rsid w:val="002E6883"/>
    <w:rsid w:val="002E6C1F"/>
    <w:rsid w:val="002E759E"/>
    <w:rsid w:val="002E7FB3"/>
    <w:rsid w:val="002F0B10"/>
    <w:rsid w:val="002F0C55"/>
    <w:rsid w:val="002F0DEA"/>
    <w:rsid w:val="002F3930"/>
    <w:rsid w:val="002F39DD"/>
    <w:rsid w:val="002F439B"/>
    <w:rsid w:val="002F5595"/>
    <w:rsid w:val="00301515"/>
    <w:rsid w:val="0030165D"/>
    <w:rsid w:val="00302138"/>
    <w:rsid w:val="003024B2"/>
    <w:rsid w:val="0030304C"/>
    <w:rsid w:val="00303B73"/>
    <w:rsid w:val="0030534E"/>
    <w:rsid w:val="0030588C"/>
    <w:rsid w:val="00305D49"/>
    <w:rsid w:val="0030603A"/>
    <w:rsid w:val="00306297"/>
    <w:rsid w:val="00307140"/>
    <w:rsid w:val="00307A28"/>
    <w:rsid w:val="00307BBA"/>
    <w:rsid w:val="00310FF6"/>
    <w:rsid w:val="003118C4"/>
    <w:rsid w:val="00311B7E"/>
    <w:rsid w:val="003122B3"/>
    <w:rsid w:val="00312533"/>
    <w:rsid w:val="003125B8"/>
    <w:rsid w:val="00312A2D"/>
    <w:rsid w:val="003145BF"/>
    <w:rsid w:val="00314F81"/>
    <w:rsid w:val="003155FD"/>
    <w:rsid w:val="00316EA7"/>
    <w:rsid w:val="00320410"/>
    <w:rsid w:val="00320EE1"/>
    <w:rsid w:val="00321659"/>
    <w:rsid w:val="003216E1"/>
    <w:rsid w:val="00321736"/>
    <w:rsid w:val="00321EF9"/>
    <w:rsid w:val="00323D3C"/>
    <w:rsid w:val="003252DC"/>
    <w:rsid w:val="00325838"/>
    <w:rsid w:val="00326A34"/>
    <w:rsid w:val="003270AA"/>
    <w:rsid w:val="00327B57"/>
    <w:rsid w:val="00330E53"/>
    <w:rsid w:val="00331906"/>
    <w:rsid w:val="00331EB3"/>
    <w:rsid w:val="00332E2A"/>
    <w:rsid w:val="00333501"/>
    <w:rsid w:val="00333C1A"/>
    <w:rsid w:val="0033457F"/>
    <w:rsid w:val="00334F6A"/>
    <w:rsid w:val="00335526"/>
    <w:rsid w:val="00336022"/>
    <w:rsid w:val="003367E0"/>
    <w:rsid w:val="00336824"/>
    <w:rsid w:val="00336847"/>
    <w:rsid w:val="00336C86"/>
    <w:rsid w:val="00337849"/>
    <w:rsid w:val="00340274"/>
    <w:rsid w:val="00340D85"/>
    <w:rsid w:val="00340ED6"/>
    <w:rsid w:val="00341CD5"/>
    <w:rsid w:val="00342072"/>
    <w:rsid w:val="00342820"/>
    <w:rsid w:val="00342AC8"/>
    <w:rsid w:val="003433F1"/>
    <w:rsid w:val="00345318"/>
    <w:rsid w:val="003461BF"/>
    <w:rsid w:val="00347B09"/>
    <w:rsid w:val="0035001C"/>
    <w:rsid w:val="0035034A"/>
    <w:rsid w:val="00351955"/>
    <w:rsid w:val="003525EC"/>
    <w:rsid w:val="0035327F"/>
    <w:rsid w:val="00354A72"/>
    <w:rsid w:val="003551EA"/>
    <w:rsid w:val="00355DAF"/>
    <w:rsid w:val="00356BCF"/>
    <w:rsid w:val="00357E04"/>
    <w:rsid w:val="003607CB"/>
    <w:rsid w:val="00360D24"/>
    <w:rsid w:val="00360D40"/>
    <w:rsid w:val="003611A5"/>
    <w:rsid w:val="0036227C"/>
    <w:rsid w:val="003630ED"/>
    <w:rsid w:val="0036312E"/>
    <w:rsid w:val="00363604"/>
    <w:rsid w:val="003669BB"/>
    <w:rsid w:val="00366FC3"/>
    <w:rsid w:val="003726DA"/>
    <w:rsid w:val="003727EA"/>
    <w:rsid w:val="00372E92"/>
    <w:rsid w:val="00373ECB"/>
    <w:rsid w:val="00374BA8"/>
    <w:rsid w:val="00374BB0"/>
    <w:rsid w:val="00374D22"/>
    <w:rsid w:val="0037531A"/>
    <w:rsid w:val="003754D4"/>
    <w:rsid w:val="00375B51"/>
    <w:rsid w:val="00375EC6"/>
    <w:rsid w:val="0037621A"/>
    <w:rsid w:val="003771E5"/>
    <w:rsid w:val="00380061"/>
    <w:rsid w:val="00380070"/>
    <w:rsid w:val="0038094D"/>
    <w:rsid w:val="00380B23"/>
    <w:rsid w:val="00380BF4"/>
    <w:rsid w:val="00380E07"/>
    <w:rsid w:val="0038131F"/>
    <w:rsid w:val="003813B3"/>
    <w:rsid w:val="00382382"/>
    <w:rsid w:val="0038259D"/>
    <w:rsid w:val="003832CE"/>
    <w:rsid w:val="0038368D"/>
    <w:rsid w:val="003843A7"/>
    <w:rsid w:val="003849E3"/>
    <w:rsid w:val="00384C61"/>
    <w:rsid w:val="00386063"/>
    <w:rsid w:val="00386329"/>
    <w:rsid w:val="00387119"/>
    <w:rsid w:val="003873E9"/>
    <w:rsid w:val="00387DE8"/>
    <w:rsid w:val="0039025F"/>
    <w:rsid w:val="00391271"/>
    <w:rsid w:val="0039155F"/>
    <w:rsid w:val="00391BC5"/>
    <w:rsid w:val="00392E3C"/>
    <w:rsid w:val="00393355"/>
    <w:rsid w:val="00393BD3"/>
    <w:rsid w:val="00393E0D"/>
    <w:rsid w:val="003940D9"/>
    <w:rsid w:val="00394554"/>
    <w:rsid w:val="00394F7D"/>
    <w:rsid w:val="00394FB0"/>
    <w:rsid w:val="00396E21"/>
    <w:rsid w:val="003973E7"/>
    <w:rsid w:val="00397D08"/>
    <w:rsid w:val="003A0C92"/>
    <w:rsid w:val="003A21A9"/>
    <w:rsid w:val="003A33BA"/>
    <w:rsid w:val="003A399E"/>
    <w:rsid w:val="003A43FB"/>
    <w:rsid w:val="003A4B6C"/>
    <w:rsid w:val="003A4ED0"/>
    <w:rsid w:val="003A564F"/>
    <w:rsid w:val="003A652E"/>
    <w:rsid w:val="003A6E8B"/>
    <w:rsid w:val="003A7736"/>
    <w:rsid w:val="003B00A3"/>
    <w:rsid w:val="003B03AF"/>
    <w:rsid w:val="003B1141"/>
    <w:rsid w:val="003B1972"/>
    <w:rsid w:val="003B2063"/>
    <w:rsid w:val="003B4550"/>
    <w:rsid w:val="003B5CB2"/>
    <w:rsid w:val="003B6275"/>
    <w:rsid w:val="003B6731"/>
    <w:rsid w:val="003B75E5"/>
    <w:rsid w:val="003B7860"/>
    <w:rsid w:val="003C072C"/>
    <w:rsid w:val="003C1A61"/>
    <w:rsid w:val="003C2E27"/>
    <w:rsid w:val="003C375D"/>
    <w:rsid w:val="003C42B7"/>
    <w:rsid w:val="003C483C"/>
    <w:rsid w:val="003C48F3"/>
    <w:rsid w:val="003C4945"/>
    <w:rsid w:val="003C49A3"/>
    <w:rsid w:val="003C6E5A"/>
    <w:rsid w:val="003C7605"/>
    <w:rsid w:val="003D084C"/>
    <w:rsid w:val="003D0F46"/>
    <w:rsid w:val="003D10A6"/>
    <w:rsid w:val="003D3B0C"/>
    <w:rsid w:val="003D4DC7"/>
    <w:rsid w:val="003D4F2E"/>
    <w:rsid w:val="003D6252"/>
    <w:rsid w:val="003D7187"/>
    <w:rsid w:val="003E07B9"/>
    <w:rsid w:val="003E0EDA"/>
    <w:rsid w:val="003E1473"/>
    <w:rsid w:val="003E2439"/>
    <w:rsid w:val="003E26C6"/>
    <w:rsid w:val="003E40CC"/>
    <w:rsid w:val="003E60F2"/>
    <w:rsid w:val="003E70CF"/>
    <w:rsid w:val="003E7ABB"/>
    <w:rsid w:val="003E7C10"/>
    <w:rsid w:val="003F10E9"/>
    <w:rsid w:val="003F1C43"/>
    <w:rsid w:val="003F20F9"/>
    <w:rsid w:val="003F2743"/>
    <w:rsid w:val="003F3175"/>
    <w:rsid w:val="003F37DC"/>
    <w:rsid w:val="003F39D8"/>
    <w:rsid w:val="003F42B4"/>
    <w:rsid w:val="003F4BA8"/>
    <w:rsid w:val="003F5111"/>
    <w:rsid w:val="003F7BC7"/>
    <w:rsid w:val="0040017C"/>
    <w:rsid w:val="00402C2C"/>
    <w:rsid w:val="00403081"/>
    <w:rsid w:val="0040486A"/>
    <w:rsid w:val="004054C2"/>
    <w:rsid w:val="004057DD"/>
    <w:rsid w:val="00407768"/>
    <w:rsid w:val="00407ACA"/>
    <w:rsid w:val="004100BD"/>
    <w:rsid w:val="00410566"/>
    <w:rsid w:val="00411C1E"/>
    <w:rsid w:val="00413A10"/>
    <w:rsid w:val="00413F69"/>
    <w:rsid w:val="0041470D"/>
    <w:rsid w:val="00414D07"/>
    <w:rsid w:val="00414DDF"/>
    <w:rsid w:val="004152C9"/>
    <w:rsid w:val="00416325"/>
    <w:rsid w:val="00416482"/>
    <w:rsid w:val="00416578"/>
    <w:rsid w:val="004210F8"/>
    <w:rsid w:val="0042116E"/>
    <w:rsid w:val="00421E25"/>
    <w:rsid w:val="00422D96"/>
    <w:rsid w:val="0042314A"/>
    <w:rsid w:val="004266AB"/>
    <w:rsid w:val="0042678B"/>
    <w:rsid w:val="004302AB"/>
    <w:rsid w:val="004306CD"/>
    <w:rsid w:val="00430A7A"/>
    <w:rsid w:val="004328CC"/>
    <w:rsid w:val="0043358D"/>
    <w:rsid w:val="00433ECA"/>
    <w:rsid w:val="004345B6"/>
    <w:rsid w:val="00434B94"/>
    <w:rsid w:val="0043614B"/>
    <w:rsid w:val="00436721"/>
    <w:rsid w:val="004368A6"/>
    <w:rsid w:val="00437C27"/>
    <w:rsid w:val="00440BDC"/>
    <w:rsid w:val="00441CA7"/>
    <w:rsid w:val="00441E51"/>
    <w:rsid w:val="00441F32"/>
    <w:rsid w:val="00442AFD"/>
    <w:rsid w:val="00442E9C"/>
    <w:rsid w:val="0044412E"/>
    <w:rsid w:val="00444460"/>
    <w:rsid w:val="00444518"/>
    <w:rsid w:val="00444DBE"/>
    <w:rsid w:val="00444F8F"/>
    <w:rsid w:val="004459B9"/>
    <w:rsid w:val="00445E53"/>
    <w:rsid w:val="0044626E"/>
    <w:rsid w:val="004466B6"/>
    <w:rsid w:val="004470FE"/>
    <w:rsid w:val="004474F8"/>
    <w:rsid w:val="00452557"/>
    <w:rsid w:val="00452DD4"/>
    <w:rsid w:val="004540BD"/>
    <w:rsid w:val="00454DFE"/>
    <w:rsid w:val="00455A78"/>
    <w:rsid w:val="00457981"/>
    <w:rsid w:val="00460140"/>
    <w:rsid w:val="00460390"/>
    <w:rsid w:val="00461253"/>
    <w:rsid w:val="00462D70"/>
    <w:rsid w:val="00462FA0"/>
    <w:rsid w:val="0046518E"/>
    <w:rsid w:val="004654A8"/>
    <w:rsid w:val="00465A38"/>
    <w:rsid w:val="00465FDB"/>
    <w:rsid w:val="004666C4"/>
    <w:rsid w:val="00467B6B"/>
    <w:rsid w:val="00472997"/>
    <w:rsid w:val="0047326E"/>
    <w:rsid w:val="00474196"/>
    <w:rsid w:val="00474B4B"/>
    <w:rsid w:val="00474FC2"/>
    <w:rsid w:val="004762F8"/>
    <w:rsid w:val="00476CBB"/>
    <w:rsid w:val="004770C3"/>
    <w:rsid w:val="00477198"/>
    <w:rsid w:val="00477D76"/>
    <w:rsid w:val="00480D85"/>
    <w:rsid w:val="00481685"/>
    <w:rsid w:val="00481760"/>
    <w:rsid w:val="00481ADD"/>
    <w:rsid w:val="0048249D"/>
    <w:rsid w:val="00482B78"/>
    <w:rsid w:val="00482E4C"/>
    <w:rsid w:val="00482E84"/>
    <w:rsid w:val="004831BA"/>
    <w:rsid w:val="00483577"/>
    <w:rsid w:val="00485341"/>
    <w:rsid w:val="00485DFE"/>
    <w:rsid w:val="00486E21"/>
    <w:rsid w:val="0048749A"/>
    <w:rsid w:val="0049023F"/>
    <w:rsid w:val="00490C1D"/>
    <w:rsid w:val="00491021"/>
    <w:rsid w:val="004928D4"/>
    <w:rsid w:val="00492D7E"/>
    <w:rsid w:val="004931F4"/>
    <w:rsid w:val="004939D0"/>
    <w:rsid w:val="00493EC1"/>
    <w:rsid w:val="0049458F"/>
    <w:rsid w:val="0049558D"/>
    <w:rsid w:val="00495FBD"/>
    <w:rsid w:val="00496C18"/>
    <w:rsid w:val="004A03E1"/>
    <w:rsid w:val="004A044B"/>
    <w:rsid w:val="004A126A"/>
    <w:rsid w:val="004A1B8F"/>
    <w:rsid w:val="004A2645"/>
    <w:rsid w:val="004A26BF"/>
    <w:rsid w:val="004A2814"/>
    <w:rsid w:val="004A2BA1"/>
    <w:rsid w:val="004A441C"/>
    <w:rsid w:val="004A50D7"/>
    <w:rsid w:val="004A5296"/>
    <w:rsid w:val="004A555F"/>
    <w:rsid w:val="004A681D"/>
    <w:rsid w:val="004B0FC9"/>
    <w:rsid w:val="004B1497"/>
    <w:rsid w:val="004B3CBB"/>
    <w:rsid w:val="004B3EAF"/>
    <w:rsid w:val="004B46FD"/>
    <w:rsid w:val="004B4A4C"/>
    <w:rsid w:val="004B4AD8"/>
    <w:rsid w:val="004B4B65"/>
    <w:rsid w:val="004B5551"/>
    <w:rsid w:val="004B55E9"/>
    <w:rsid w:val="004B5A93"/>
    <w:rsid w:val="004B6532"/>
    <w:rsid w:val="004C0335"/>
    <w:rsid w:val="004C0622"/>
    <w:rsid w:val="004C0BF4"/>
    <w:rsid w:val="004C0EA7"/>
    <w:rsid w:val="004C16B5"/>
    <w:rsid w:val="004C32DD"/>
    <w:rsid w:val="004C3776"/>
    <w:rsid w:val="004C4860"/>
    <w:rsid w:val="004C4881"/>
    <w:rsid w:val="004C65F0"/>
    <w:rsid w:val="004C6615"/>
    <w:rsid w:val="004C7F45"/>
    <w:rsid w:val="004D0C37"/>
    <w:rsid w:val="004D10F9"/>
    <w:rsid w:val="004D1949"/>
    <w:rsid w:val="004D4D1C"/>
    <w:rsid w:val="004D6666"/>
    <w:rsid w:val="004D7D57"/>
    <w:rsid w:val="004E03E9"/>
    <w:rsid w:val="004E0729"/>
    <w:rsid w:val="004E08CA"/>
    <w:rsid w:val="004E23C8"/>
    <w:rsid w:val="004E2AB1"/>
    <w:rsid w:val="004E2C72"/>
    <w:rsid w:val="004E2C8B"/>
    <w:rsid w:val="004E3609"/>
    <w:rsid w:val="004E390A"/>
    <w:rsid w:val="004E3920"/>
    <w:rsid w:val="004E461B"/>
    <w:rsid w:val="004E4C74"/>
    <w:rsid w:val="004E593E"/>
    <w:rsid w:val="004E6AD5"/>
    <w:rsid w:val="004E72E0"/>
    <w:rsid w:val="004E7868"/>
    <w:rsid w:val="004E7B5B"/>
    <w:rsid w:val="004F029D"/>
    <w:rsid w:val="004F07D7"/>
    <w:rsid w:val="004F0B00"/>
    <w:rsid w:val="004F129C"/>
    <w:rsid w:val="004F3649"/>
    <w:rsid w:val="004F4260"/>
    <w:rsid w:val="004F4A99"/>
    <w:rsid w:val="004F5995"/>
    <w:rsid w:val="004F5D7B"/>
    <w:rsid w:val="004F6A2B"/>
    <w:rsid w:val="004F6DAA"/>
    <w:rsid w:val="004F71F5"/>
    <w:rsid w:val="004F7A83"/>
    <w:rsid w:val="004F7D8F"/>
    <w:rsid w:val="0050158D"/>
    <w:rsid w:val="00502ADC"/>
    <w:rsid w:val="00502DBF"/>
    <w:rsid w:val="00503CFB"/>
    <w:rsid w:val="00503F2A"/>
    <w:rsid w:val="005042C2"/>
    <w:rsid w:val="0050572E"/>
    <w:rsid w:val="00506026"/>
    <w:rsid w:val="00507450"/>
    <w:rsid w:val="00510173"/>
    <w:rsid w:val="00510727"/>
    <w:rsid w:val="005116F4"/>
    <w:rsid w:val="00512302"/>
    <w:rsid w:val="00512BF8"/>
    <w:rsid w:val="0051366D"/>
    <w:rsid w:val="00513DED"/>
    <w:rsid w:val="0051446F"/>
    <w:rsid w:val="005148FB"/>
    <w:rsid w:val="005169C5"/>
    <w:rsid w:val="00516CCD"/>
    <w:rsid w:val="00517DCD"/>
    <w:rsid w:val="00523371"/>
    <w:rsid w:val="0052487F"/>
    <w:rsid w:val="00525758"/>
    <w:rsid w:val="00527227"/>
    <w:rsid w:val="00527775"/>
    <w:rsid w:val="005309C1"/>
    <w:rsid w:val="00530B0B"/>
    <w:rsid w:val="00532759"/>
    <w:rsid w:val="00534667"/>
    <w:rsid w:val="005360B8"/>
    <w:rsid w:val="00536F02"/>
    <w:rsid w:val="0053744A"/>
    <w:rsid w:val="00537500"/>
    <w:rsid w:val="005401B4"/>
    <w:rsid w:val="00540680"/>
    <w:rsid w:val="0054370B"/>
    <w:rsid w:val="0054433D"/>
    <w:rsid w:val="005446A1"/>
    <w:rsid w:val="005446D6"/>
    <w:rsid w:val="00545F7C"/>
    <w:rsid w:val="00546603"/>
    <w:rsid w:val="00546C5E"/>
    <w:rsid w:val="00546E7B"/>
    <w:rsid w:val="00550315"/>
    <w:rsid w:val="00551452"/>
    <w:rsid w:val="00553A80"/>
    <w:rsid w:val="0055458A"/>
    <w:rsid w:val="00554752"/>
    <w:rsid w:val="005547DE"/>
    <w:rsid w:val="00554825"/>
    <w:rsid w:val="00557239"/>
    <w:rsid w:val="005601F1"/>
    <w:rsid w:val="00560BBB"/>
    <w:rsid w:val="005622EE"/>
    <w:rsid w:val="00562354"/>
    <w:rsid w:val="00562C17"/>
    <w:rsid w:val="00562D4B"/>
    <w:rsid w:val="00562E74"/>
    <w:rsid w:val="00565A52"/>
    <w:rsid w:val="00566B83"/>
    <w:rsid w:val="00567161"/>
    <w:rsid w:val="005707E4"/>
    <w:rsid w:val="00571217"/>
    <w:rsid w:val="00572DDE"/>
    <w:rsid w:val="00573200"/>
    <w:rsid w:val="00573BB0"/>
    <w:rsid w:val="00574A9A"/>
    <w:rsid w:val="00574D8A"/>
    <w:rsid w:val="005750A6"/>
    <w:rsid w:val="00575ED2"/>
    <w:rsid w:val="005760C0"/>
    <w:rsid w:val="00577925"/>
    <w:rsid w:val="005803BA"/>
    <w:rsid w:val="0058051D"/>
    <w:rsid w:val="005806CB"/>
    <w:rsid w:val="005809E8"/>
    <w:rsid w:val="00582108"/>
    <w:rsid w:val="00582115"/>
    <w:rsid w:val="00582555"/>
    <w:rsid w:val="0058289D"/>
    <w:rsid w:val="00583327"/>
    <w:rsid w:val="00583CB3"/>
    <w:rsid w:val="00583EC8"/>
    <w:rsid w:val="00586021"/>
    <w:rsid w:val="00586223"/>
    <w:rsid w:val="00586BCE"/>
    <w:rsid w:val="00586CC4"/>
    <w:rsid w:val="00587B74"/>
    <w:rsid w:val="005912CA"/>
    <w:rsid w:val="005922B5"/>
    <w:rsid w:val="00592531"/>
    <w:rsid w:val="00593E01"/>
    <w:rsid w:val="00594D81"/>
    <w:rsid w:val="005977F5"/>
    <w:rsid w:val="00597AB2"/>
    <w:rsid w:val="005A16F5"/>
    <w:rsid w:val="005A1EE5"/>
    <w:rsid w:val="005A2454"/>
    <w:rsid w:val="005A2948"/>
    <w:rsid w:val="005A349E"/>
    <w:rsid w:val="005A3C05"/>
    <w:rsid w:val="005A3C1E"/>
    <w:rsid w:val="005A4237"/>
    <w:rsid w:val="005A4543"/>
    <w:rsid w:val="005A5991"/>
    <w:rsid w:val="005A6747"/>
    <w:rsid w:val="005A770B"/>
    <w:rsid w:val="005A781D"/>
    <w:rsid w:val="005B11C8"/>
    <w:rsid w:val="005B2038"/>
    <w:rsid w:val="005B5E3E"/>
    <w:rsid w:val="005B75F4"/>
    <w:rsid w:val="005C081F"/>
    <w:rsid w:val="005C0FFA"/>
    <w:rsid w:val="005C1B8A"/>
    <w:rsid w:val="005C2FA7"/>
    <w:rsid w:val="005C4D4E"/>
    <w:rsid w:val="005C4F37"/>
    <w:rsid w:val="005C5275"/>
    <w:rsid w:val="005C535E"/>
    <w:rsid w:val="005C5794"/>
    <w:rsid w:val="005C5903"/>
    <w:rsid w:val="005C6177"/>
    <w:rsid w:val="005D2365"/>
    <w:rsid w:val="005D2C19"/>
    <w:rsid w:val="005D2D5C"/>
    <w:rsid w:val="005D2F8D"/>
    <w:rsid w:val="005D2F91"/>
    <w:rsid w:val="005D3DBA"/>
    <w:rsid w:val="005D5FE9"/>
    <w:rsid w:val="005D717A"/>
    <w:rsid w:val="005D7C54"/>
    <w:rsid w:val="005E0A48"/>
    <w:rsid w:val="005E0CD0"/>
    <w:rsid w:val="005E1014"/>
    <w:rsid w:val="005E1335"/>
    <w:rsid w:val="005E1BFF"/>
    <w:rsid w:val="005E1C57"/>
    <w:rsid w:val="005E2EE6"/>
    <w:rsid w:val="005E3827"/>
    <w:rsid w:val="005E3B6C"/>
    <w:rsid w:val="005E4955"/>
    <w:rsid w:val="005E4A65"/>
    <w:rsid w:val="005E4FA9"/>
    <w:rsid w:val="005E716E"/>
    <w:rsid w:val="005F0400"/>
    <w:rsid w:val="005F1CE6"/>
    <w:rsid w:val="005F2C0B"/>
    <w:rsid w:val="005F2CC6"/>
    <w:rsid w:val="005F34FE"/>
    <w:rsid w:val="005F4113"/>
    <w:rsid w:val="005F441C"/>
    <w:rsid w:val="005F5314"/>
    <w:rsid w:val="005F694C"/>
    <w:rsid w:val="005F6C3C"/>
    <w:rsid w:val="005F6FD7"/>
    <w:rsid w:val="005F7829"/>
    <w:rsid w:val="0060073E"/>
    <w:rsid w:val="0060115B"/>
    <w:rsid w:val="00601727"/>
    <w:rsid w:val="00603A55"/>
    <w:rsid w:val="006061FE"/>
    <w:rsid w:val="0060668C"/>
    <w:rsid w:val="00606A5D"/>
    <w:rsid w:val="006073A0"/>
    <w:rsid w:val="00607B68"/>
    <w:rsid w:val="0061063C"/>
    <w:rsid w:val="006123AA"/>
    <w:rsid w:val="006134BC"/>
    <w:rsid w:val="006143FF"/>
    <w:rsid w:val="0061493E"/>
    <w:rsid w:val="00614AEC"/>
    <w:rsid w:val="00615D14"/>
    <w:rsid w:val="00615F9A"/>
    <w:rsid w:val="00616738"/>
    <w:rsid w:val="00616806"/>
    <w:rsid w:val="00616C84"/>
    <w:rsid w:val="006218C6"/>
    <w:rsid w:val="00621E18"/>
    <w:rsid w:val="006220AD"/>
    <w:rsid w:val="0062357B"/>
    <w:rsid w:val="00623970"/>
    <w:rsid w:val="00623CB5"/>
    <w:rsid w:val="00624DFB"/>
    <w:rsid w:val="0062509D"/>
    <w:rsid w:val="0062546E"/>
    <w:rsid w:val="00625BC4"/>
    <w:rsid w:val="00626AE5"/>
    <w:rsid w:val="00627E01"/>
    <w:rsid w:val="006315F1"/>
    <w:rsid w:val="00631E4D"/>
    <w:rsid w:val="006329F1"/>
    <w:rsid w:val="006330B4"/>
    <w:rsid w:val="006339B7"/>
    <w:rsid w:val="00633AB1"/>
    <w:rsid w:val="006340C7"/>
    <w:rsid w:val="0063428A"/>
    <w:rsid w:val="00634AC9"/>
    <w:rsid w:val="006355C6"/>
    <w:rsid w:val="00635E7F"/>
    <w:rsid w:val="00636A5C"/>
    <w:rsid w:val="00636C33"/>
    <w:rsid w:val="00636D07"/>
    <w:rsid w:val="00636F74"/>
    <w:rsid w:val="00640E95"/>
    <w:rsid w:val="00644435"/>
    <w:rsid w:val="00644C40"/>
    <w:rsid w:val="006453EC"/>
    <w:rsid w:val="00646120"/>
    <w:rsid w:val="00647060"/>
    <w:rsid w:val="006502BE"/>
    <w:rsid w:val="00650F4A"/>
    <w:rsid w:val="006513DF"/>
    <w:rsid w:val="00652BF1"/>
    <w:rsid w:val="006539A5"/>
    <w:rsid w:val="00654C2F"/>
    <w:rsid w:val="00655678"/>
    <w:rsid w:val="006558D7"/>
    <w:rsid w:val="006559D8"/>
    <w:rsid w:val="006560DC"/>
    <w:rsid w:val="0065628F"/>
    <w:rsid w:val="0065629F"/>
    <w:rsid w:val="0065722D"/>
    <w:rsid w:val="00661076"/>
    <w:rsid w:val="0066114D"/>
    <w:rsid w:val="0066279C"/>
    <w:rsid w:val="00662E11"/>
    <w:rsid w:val="00663597"/>
    <w:rsid w:val="00663701"/>
    <w:rsid w:val="00664547"/>
    <w:rsid w:val="00665406"/>
    <w:rsid w:val="00666888"/>
    <w:rsid w:val="00667EF5"/>
    <w:rsid w:val="00670C48"/>
    <w:rsid w:val="00671529"/>
    <w:rsid w:val="00671AA7"/>
    <w:rsid w:val="00672F0A"/>
    <w:rsid w:val="00674450"/>
    <w:rsid w:val="00674CD3"/>
    <w:rsid w:val="00675990"/>
    <w:rsid w:val="00675B01"/>
    <w:rsid w:val="00675EFA"/>
    <w:rsid w:val="006767D9"/>
    <w:rsid w:val="0067752A"/>
    <w:rsid w:val="00677F26"/>
    <w:rsid w:val="006803FD"/>
    <w:rsid w:val="00680882"/>
    <w:rsid w:val="0068108C"/>
    <w:rsid w:val="0068183D"/>
    <w:rsid w:val="00682029"/>
    <w:rsid w:val="006829B3"/>
    <w:rsid w:val="00682F8E"/>
    <w:rsid w:val="00683F75"/>
    <w:rsid w:val="006848B0"/>
    <w:rsid w:val="006854A6"/>
    <w:rsid w:val="00685E7F"/>
    <w:rsid w:val="00686645"/>
    <w:rsid w:val="00686B37"/>
    <w:rsid w:val="00686C45"/>
    <w:rsid w:val="00687444"/>
    <w:rsid w:val="00687A0B"/>
    <w:rsid w:val="00691352"/>
    <w:rsid w:val="0069201C"/>
    <w:rsid w:val="00692971"/>
    <w:rsid w:val="00692DAD"/>
    <w:rsid w:val="00693865"/>
    <w:rsid w:val="00693B1E"/>
    <w:rsid w:val="006951F4"/>
    <w:rsid w:val="006951FC"/>
    <w:rsid w:val="00695CBB"/>
    <w:rsid w:val="00695D46"/>
    <w:rsid w:val="0069745C"/>
    <w:rsid w:val="006A151B"/>
    <w:rsid w:val="006A2D08"/>
    <w:rsid w:val="006A2E22"/>
    <w:rsid w:val="006A2EBE"/>
    <w:rsid w:val="006A3BBC"/>
    <w:rsid w:val="006A488B"/>
    <w:rsid w:val="006A571F"/>
    <w:rsid w:val="006A5E20"/>
    <w:rsid w:val="006B14E6"/>
    <w:rsid w:val="006B2687"/>
    <w:rsid w:val="006B2EBC"/>
    <w:rsid w:val="006B30F9"/>
    <w:rsid w:val="006B39C9"/>
    <w:rsid w:val="006B426E"/>
    <w:rsid w:val="006B4379"/>
    <w:rsid w:val="006B7076"/>
    <w:rsid w:val="006B74E2"/>
    <w:rsid w:val="006C243B"/>
    <w:rsid w:val="006C287A"/>
    <w:rsid w:val="006C3EBF"/>
    <w:rsid w:val="006C4A19"/>
    <w:rsid w:val="006C5471"/>
    <w:rsid w:val="006C5F1C"/>
    <w:rsid w:val="006C691C"/>
    <w:rsid w:val="006C7455"/>
    <w:rsid w:val="006C793D"/>
    <w:rsid w:val="006C7C69"/>
    <w:rsid w:val="006D019D"/>
    <w:rsid w:val="006D2E18"/>
    <w:rsid w:val="006D3AF7"/>
    <w:rsid w:val="006D5079"/>
    <w:rsid w:val="006D6BB7"/>
    <w:rsid w:val="006D6E20"/>
    <w:rsid w:val="006E124F"/>
    <w:rsid w:val="006E1929"/>
    <w:rsid w:val="006E1AA3"/>
    <w:rsid w:val="006E25D0"/>
    <w:rsid w:val="006E2610"/>
    <w:rsid w:val="006E2974"/>
    <w:rsid w:val="006E2AD7"/>
    <w:rsid w:val="006E3A9B"/>
    <w:rsid w:val="006E5D36"/>
    <w:rsid w:val="006E6654"/>
    <w:rsid w:val="006E7433"/>
    <w:rsid w:val="006E7DD0"/>
    <w:rsid w:val="006F12DD"/>
    <w:rsid w:val="006F1A6E"/>
    <w:rsid w:val="006F20F5"/>
    <w:rsid w:val="006F276A"/>
    <w:rsid w:val="006F2AD7"/>
    <w:rsid w:val="006F38D7"/>
    <w:rsid w:val="006F5B53"/>
    <w:rsid w:val="006F6C5E"/>
    <w:rsid w:val="006F6E49"/>
    <w:rsid w:val="00700111"/>
    <w:rsid w:val="007005B5"/>
    <w:rsid w:val="00700D6B"/>
    <w:rsid w:val="007012F3"/>
    <w:rsid w:val="00701793"/>
    <w:rsid w:val="0070338B"/>
    <w:rsid w:val="00703942"/>
    <w:rsid w:val="00703B9B"/>
    <w:rsid w:val="0070489D"/>
    <w:rsid w:val="00704E5A"/>
    <w:rsid w:val="00704EE5"/>
    <w:rsid w:val="00705218"/>
    <w:rsid w:val="00705A25"/>
    <w:rsid w:val="00706C9F"/>
    <w:rsid w:val="00707C8B"/>
    <w:rsid w:val="00707EE9"/>
    <w:rsid w:val="00710E0F"/>
    <w:rsid w:val="00711324"/>
    <w:rsid w:val="007113C1"/>
    <w:rsid w:val="00711B94"/>
    <w:rsid w:val="00712536"/>
    <w:rsid w:val="00712867"/>
    <w:rsid w:val="00714518"/>
    <w:rsid w:val="0071517C"/>
    <w:rsid w:val="00715493"/>
    <w:rsid w:val="0071657A"/>
    <w:rsid w:val="0071677E"/>
    <w:rsid w:val="00716947"/>
    <w:rsid w:val="00716C01"/>
    <w:rsid w:val="007200A3"/>
    <w:rsid w:val="0072123F"/>
    <w:rsid w:val="00721456"/>
    <w:rsid w:val="0072285C"/>
    <w:rsid w:val="00722912"/>
    <w:rsid w:val="00722F7D"/>
    <w:rsid w:val="00723294"/>
    <w:rsid w:val="00724116"/>
    <w:rsid w:val="00724D24"/>
    <w:rsid w:val="007256D2"/>
    <w:rsid w:val="00725E08"/>
    <w:rsid w:val="007268F9"/>
    <w:rsid w:val="00727790"/>
    <w:rsid w:val="007279E5"/>
    <w:rsid w:val="00731EB5"/>
    <w:rsid w:val="00732B01"/>
    <w:rsid w:val="00734049"/>
    <w:rsid w:val="00734CB3"/>
    <w:rsid w:val="00734F45"/>
    <w:rsid w:val="007356CE"/>
    <w:rsid w:val="007364B2"/>
    <w:rsid w:val="007366AB"/>
    <w:rsid w:val="0074143C"/>
    <w:rsid w:val="00742381"/>
    <w:rsid w:val="00742AE0"/>
    <w:rsid w:val="00743741"/>
    <w:rsid w:val="00743804"/>
    <w:rsid w:val="007461BE"/>
    <w:rsid w:val="0074657B"/>
    <w:rsid w:val="00746AB9"/>
    <w:rsid w:val="007478EC"/>
    <w:rsid w:val="007508CB"/>
    <w:rsid w:val="00751789"/>
    <w:rsid w:val="00753849"/>
    <w:rsid w:val="00753AE5"/>
    <w:rsid w:val="00753E55"/>
    <w:rsid w:val="00756105"/>
    <w:rsid w:val="007603F2"/>
    <w:rsid w:val="00760C9F"/>
    <w:rsid w:val="00762B91"/>
    <w:rsid w:val="00762D62"/>
    <w:rsid w:val="00763FE7"/>
    <w:rsid w:val="00764F4C"/>
    <w:rsid w:val="0076513B"/>
    <w:rsid w:val="007656BD"/>
    <w:rsid w:val="00765B6D"/>
    <w:rsid w:val="00766133"/>
    <w:rsid w:val="007661D5"/>
    <w:rsid w:val="0076642A"/>
    <w:rsid w:val="00767758"/>
    <w:rsid w:val="00767984"/>
    <w:rsid w:val="00767C45"/>
    <w:rsid w:val="0077079A"/>
    <w:rsid w:val="00770EA6"/>
    <w:rsid w:val="00771745"/>
    <w:rsid w:val="00771BDB"/>
    <w:rsid w:val="00773639"/>
    <w:rsid w:val="00773D63"/>
    <w:rsid w:val="00774AEC"/>
    <w:rsid w:val="007758C5"/>
    <w:rsid w:val="00775E45"/>
    <w:rsid w:val="00776402"/>
    <w:rsid w:val="00777405"/>
    <w:rsid w:val="007775A4"/>
    <w:rsid w:val="007776A0"/>
    <w:rsid w:val="00777840"/>
    <w:rsid w:val="00780193"/>
    <w:rsid w:val="0078111F"/>
    <w:rsid w:val="0078125E"/>
    <w:rsid w:val="007815BA"/>
    <w:rsid w:val="0078286D"/>
    <w:rsid w:val="00783156"/>
    <w:rsid w:val="00783250"/>
    <w:rsid w:val="00783A90"/>
    <w:rsid w:val="00784FC3"/>
    <w:rsid w:val="00785EF5"/>
    <w:rsid w:val="00785FF5"/>
    <w:rsid w:val="0078671B"/>
    <w:rsid w:val="00786F65"/>
    <w:rsid w:val="00790FDE"/>
    <w:rsid w:val="00791017"/>
    <w:rsid w:val="00791441"/>
    <w:rsid w:val="00791B05"/>
    <w:rsid w:val="007924B6"/>
    <w:rsid w:val="00793281"/>
    <w:rsid w:val="00793C53"/>
    <w:rsid w:val="00794002"/>
    <w:rsid w:val="007946C8"/>
    <w:rsid w:val="007953CD"/>
    <w:rsid w:val="007953D6"/>
    <w:rsid w:val="007957DC"/>
    <w:rsid w:val="00795C07"/>
    <w:rsid w:val="00795CB2"/>
    <w:rsid w:val="00795E13"/>
    <w:rsid w:val="00795FBC"/>
    <w:rsid w:val="007966CF"/>
    <w:rsid w:val="007971F3"/>
    <w:rsid w:val="00797867"/>
    <w:rsid w:val="007979EF"/>
    <w:rsid w:val="007A00F8"/>
    <w:rsid w:val="007A162E"/>
    <w:rsid w:val="007A3E3A"/>
    <w:rsid w:val="007A3F20"/>
    <w:rsid w:val="007A3FBD"/>
    <w:rsid w:val="007A5726"/>
    <w:rsid w:val="007A7D3B"/>
    <w:rsid w:val="007B0E07"/>
    <w:rsid w:val="007B1740"/>
    <w:rsid w:val="007B24F4"/>
    <w:rsid w:val="007B2B65"/>
    <w:rsid w:val="007B3D93"/>
    <w:rsid w:val="007B3F4D"/>
    <w:rsid w:val="007B570D"/>
    <w:rsid w:val="007B5FD0"/>
    <w:rsid w:val="007B6218"/>
    <w:rsid w:val="007B6680"/>
    <w:rsid w:val="007B6E1B"/>
    <w:rsid w:val="007C03E4"/>
    <w:rsid w:val="007C2184"/>
    <w:rsid w:val="007C2269"/>
    <w:rsid w:val="007C24BA"/>
    <w:rsid w:val="007C27E7"/>
    <w:rsid w:val="007C360C"/>
    <w:rsid w:val="007C3AAB"/>
    <w:rsid w:val="007C52B0"/>
    <w:rsid w:val="007C5D9B"/>
    <w:rsid w:val="007C6139"/>
    <w:rsid w:val="007D03C1"/>
    <w:rsid w:val="007D064B"/>
    <w:rsid w:val="007D27C3"/>
    <w:rsid w:val="007D28C6"/>
    <w:rsid w:val="007E00C9"/>
    <w:rsid w:val="007E0E6E"/>
    <w:rsid w:val="007E1732"/>
    <w:rsid w:val="007E1874"/>
    <w:rsid w:val="007E1EB7"/>
    <w:rsid w:val="007E230B"/>
    <w:rsid w:val="007E298C"/>
    <w:rsid w:val="007E29D2"/>
    <w:rsid w:val="007E2FAF"/>
    <w:rsid w:val="007E3A11"/>
    <w:rsid w:val="007E3BF2"/>
    <w:rsid w:val="007E50B7"/>
    <w:rsid w:val="007E632B"/>
    <w:rsid w:val="007E6349"/>
    <w:rsid w:val="007E6ECA"/>
    <w:rsid w:val="007F0334"/>
    <w:rsid w:val="007F06B5"/>
    <w:rsid w:val="007F178E"/>
    <w:rsid w:val="007F17FA"/>
    <w:rsid w:val="007F21B8"/>
    <w:rsid w:val="007F337E"/>
    <w:rsid w:val="007F3580"/>
    <w:rsid w:val="007F380F"/>
    <w:rsid w:val="007F4298"/>
    <w:rsid w:val="007F4388"/>
    <w:rsid w:val="007F4422"/>
    <w:rsid w:val="007F7622"/>
    <w:rsid w:val="0080233F"/>
    <w:rsid w:val="008023AD"/>
    <w:rsid w:val="00802B22"/>
    <w:rsid w:val="00803557"/>
    <w:rsid w:val="008036FF"/>
    <w:rsid w:val="008047A9"/>
    <w:rsid w:val="00804F81"/>
    <w:rsid w:val="008054A6"/>
    <w:rsid w:val="00805724"/>
    <w:rsid w:val="0080583F"/>
    <w:rsid w:val="00805845"/>
    <w:rsid w:val="00805A82"/>
    <w:rsid w:val="00806131"/>
    <w:rsid w:val="008074BF"/>
    <w:rsid w:val="00810177"/>
    <w:rsid w:val="00810341"/>
    <w:rsid w:val="00810D87"/>
    <w:rsid w:val="008112CE"/>
    <w:rsid w:val="00811CEB"/>
    <w:rsid w:val="00811E5D"/>
    <w:rsid w:val="008128C8"/>
    <w:rsid w:val="008129DA"/>
    <w:rsid w:val="00812C35"/>
    <w:rsid w:val="008137E3"/>
    <w:rsid w:val="00813A10"/>
    <w:rsid w:val="00813F5A"/>
    <w:rsid w:val="00814575"/>
    <w:rsid w:val="008147FB"/>
    <w:rsid w:val="0081565A"/>
    <w:rsid w:val="00815E6F"/>
    <w:rsid w:val="00816030"/>
    <w:rsid w:val="008217E2"/>
    <w:rsid w:val="00822725"/>
    <w:rsid w:val="00822D3E"/>
    <w:rsid w:val="00823C8D"/>
    <w:rsid w:val="00823FEA"/>
    <w:rsid w:val="00824808"/>
    <w:rsid w:val="008319FE"/>
    <w:rsid w:val="00831C77"/>
    <w:rsid w:val="00831F64"/>
    <w:rsid w:val="0083296D"/>
    <w:rsid w:val="0083415A"/>
    <w:rsid w:val="008341AA"/>
    <w:rsid w:val="008348CC"/>
    <w:rsid w:val="00834BBF"/>
    <w:rsid w:val="00834BC1"/>
    <w:rsid w:val="00834C18"/>
    <w:rsid w:val="00835BC8"/>
    <w:rsid w:val="0083602E"/>
    <w:rsid w:val="00836737"/>
    <w:rsid w:val="008372FC"/>
    <w:rsid w:val="00837428"/>
    <w:rsid w:val="0083752C"/>
    <w:rsid w:val="008402D0"/>
    <w:rsid w:val="00840881"/>
    <w:rsid w:val="0084089A"/>
    <w:rsid w:val="00841073"/>
    <w:rsid w:val="0084214C"/>
    <w:rsid w:val="00843C27"/>
    <w:rsid w:val="00844A2D"/>
    <w:rsid w:val="00845961"/>
    <w:rsid w:val="00846D66"/>
    <w:rsid w:val="008470B5"/>
    <w:rsid w:val="00850866"/>
    <w:rsid w:val="00850F31"/>
    <w:rsid w:val="0085286D"/>
    <w:rsid w:val="00853BD0"/>
    <w:rsid w:val="00855728"/>
    <w:rsid w:val="008558B9"/>
    <w:rsid w:val="00855DF7"/>
    <w:rsid w:val="00856E58"/>
    <w:rsid w:val="00856F0A"/>
    <w:rsid w:val="00857FF7"/>
    <w:rsid w:val="00861B4E"/>
    <w:rsid w:val="00861E0E"/>
    <w:rsid w:val="00861ECB"/>
    <w:rsid w:val="00862321"/>
    <w:rsid w:val="00862AEE"/>
    <w:rsid w:val="00863367"/>
    <w:rsid w:val="008637DC"/>
    <w:rsid w:val="00863D8E"/>
    <w:rsid w:val="00863F11"/>
    <w:rsid w:val="00864444"/>
    <w:rsid w:val="0086469D"/>
    <w:rsid w:val="00865015"/>
    <w:rsid w:val="008663EC"/>
    <w:rsid w:val="00866C28"/>
    <w:rsid w:val="008679E1"/>
    <w:rsid w:val="00867DFB"/>
    <w:rsid w:val="008704D1"/>
    <w:rsid w:val="00870766"/>
    <w:rsid w:val="00870965"/>
    <w:rsid w:val="00870B08"/>
    <w:rsid w:val="00870B19"/>
    <w:rsid w:val="0087146F"/>
    <w:rsid w:val="0087174E"/>
    <w:rsid w:val="008718FB"/>
    <w:rsid w:val="00872167"/>
    <w:rsid w:val="008725F8"/>
    <w:rsid w:val="0087400F"/>
    <w:rsid w:val="00874487"/>
    <w:rsid w:val="008757ED"/>
    <w:rsid w:val="0087606E"/>
    <w:rsid w:val="0087624B"/>
    <w:rsid w:val="0087675A"/>
    <w:rsid w:val="008802FD"/>
    <w:rsid w:val="0088064B"/>
    <w:rsid w:val="00880798"/>
    <w:rsid w:val="00882DAA"/>
    <w:rsid w:val="0088324E"/>
    <w:rsid w:val="00883C22"/>
    <w:rsid w:val="0088549C"/>
    <w:rsid w:val="008859D1"/>
    <w:rsid w:val="00885BBC"/>
    <w:rsid w:val="00886320"/>
    <w:rsid w:val="0088671C"/>
    <w:rsid w:val="0088736C"/>
    <w:rsid w:val="00890795"/>
    <w:rsid w:val="008913BF"/>
    <w:rsid w:val="008918D2"/>
    <w:rsid w:val="008918F9"/>
    <w:rsid w:val="00893C8D"/>
    <w:rsid w:val="00894267"/>
    <w:rsid w:val="00895EC5"/>
    <w:rsid w:val="00896970"/>
    <w:rsid w:val="008969FE"/>
    <w:rsid w:val="00897EBB"/>
    <w:rsid w:val="00897F2E"/>
    <w:rsid w:val="008A2380"/>
    <w:rsid w:val="008A2AE6"/>
    <w:rsid w:val="008A3780"/>
    <w:rsid w:val="008A4CCA"/>
    <w:rsid w:val="008A5486"/>
    <w:rsid w:val="008A57C8"/>
    <w:rsid w:val="008A5DA6"/>
    <w:rsid w:val="008A6103"/>
    <w:rsid w:val="008A6303"/>
    <w:rsid w:val="008A6647"/>
    <w:rsid w:val="008A67DF"/>
    <w:rsid w:val="008A698D"/>
    <w:rsid w:val="008A7611"/>
    <w:rsid w:val="008A7754"/>
    <w:rsid w:val="008B0099"/>
    <w:rsid w:val="008B1298"/>
    <w:rsid w:val="008B16A4"/>
    <w:rsid w:val="008B418F"/>
    <w:rsid w:val="008B678E"/>
    <w:rsid w:val="008C152B"/>
    <w:rsid w:val="008C160A"/>
    <w:rsid w:val="008C2EDF"/>
    <w:rsid w:val="008C33AD"/>
    <w:rsid w:val="008C390F"/>
    <w:rsid w:val="008C44B9"/>
    <w:rsid w:val="008C542C"/>
    <w:rsid w:val="008C608E"/>
    <w:rsid w:val="008C6583"/>
    <w:rsid w:val="008C6C13"/>
    <w:rsid w:val="008C6C1C"/>
    <w:rsid w:val="008C72EF"/>
    <w:rsid w:val="008C78DB"/>
    <w:rsid w:val="008D00C2"/>
    <w:rsid w:val="008D01DA"/>
    <w:rsid w:val="008D0397"/>
    <w:rsid w:val="008D0840"/>
    <w:rsid w:val="008D186A"/>
    <w:rsid w:val="008D318E"/>
    <w:rsid w:val="008D3ECC"/>
    <w:rsid w:val="008D42AC"/>
    <w:rsid w:val="008D44B7"/>
    <w:rsid w:val="008D4601"/>
    <w:rsid w:val="008D4768"/>
    <w:rsid w:val="008D5369"/>
    <w:rsid w:val="008D60D3"/>
    <w:rsid w:val="008D6B90"/>
    <w:rsid w:val="008D6C50"/>
    <w:rsid w:val="008D6F8D"/>
    <w:rsid w:val="008E0466"/>
    <w:rsid w:val="008E0773"/>
    <w:rsid w:val="008E2B84"/>
    <w:rsid w:val="008E2DD3"/>
    <w:rsid w:val="008E38AE"/>
    <w:rsid w:val="008E42D1"/>
    <w:rsid w:val="008E48FF"/>
    <w:rsid w:val="008E53C4"/>
    <w:rsid w:val="008E6BFF"/>
    <w:rsid w:val="008E7E09"/>
    <w:rsid w:val="008F140A"/>
    <w:rsid w:val="008F2ED7"/>
    <w:rsid w:val="008F37F8"/>
    <w:rsid w:val="008F3D37"/>
    <w:rsid w:val="008F487B"/>
    <w:rsid w:val="008F49DC"/>
    <w:rsid w:val="008F4A6E"/>
    <w:rsid w:val="008F564D"/>
    <w:rsid w:val="008F6157"/>
    <w:rsid w:val="008F6223"/>
    <w:rsid w:val="008F6D75"/>
    <w:rsid w:val="008F6E4A"/>
    <w:rsid w:val="0090228C"/>
    <w:rsid w:val="009022D2"/>
    <w:rsid w:val="00902DDA"/>
    <w:rsid w:val="00902ED3"/>
    <w:rsid w:val="0090406F"/>
    <w:rsid w:val="0090466D"/>
    <w:rsid w:val="009058E8"/>
    <w:rsid w:val="00906523"/>
    <w:rsid w:val="00907CEA"/>
    <w:rsid w:val="009100D6"/>
    <w:rsid w:val="00910D10"/>
    <w:rsid w:val="0091313F"/>
    <w:rsid w:val="009133B4"/>
    <w:rsid w:val="00914F5F"/>
    <w:rsid w:val="009159E2"/>
    <w:rsid w:val="00916C2A"/>
    <w:rsid w:val="009208AA"/>
    <w:rsid w:val="00920C6F"/>
    <w:rsid w:val="00921661"/>
    <w:rsid w:val="009218F8"/>
    <w:rsid w:val="00921A9B"/>
    <w:rsid w:val="009230E5"/>
    <w:rsid w:val="0092410F"/>
    <w:rsid w:val="009246B2"/>
    <w:rsid w:val="00924D36"/>
    <w:rsid w:val="00926105"/>
    <w:rsid w:val="00927799"/>
    <w:rsid w:val="00927A4F"/>
    <w:rsid w:val="00930143"/>
    <w:rsid w:val="00930200"/>
    <w:rsid w:val="00930379"/>
    <w:rsid w:val="00931878"/>
    <w:rsid w:val="00931B8A"/>
    <w:rsid w:val="009320BA"/>
    <w:rsid w:val="00932594"/>
    <w:rsid w:val="00932670"/>
    <w:rsid w:val="009329D8"/>
    <w:rsid w:val="00932D67"/>
    <w:rsid w:val="00934107"/>
    <w:rsid w:val="00935E4F"/>
    <w:rsid w:val="009366BA"/>
    <w:rsid w:val="0093687C"/>
    <w:rsid w:val="009376C5"/>
    <w:rsid w:val="00937B48"/>
    <w:rsid w:val="00937CFE"/>
    <w:rsid w:val="009411B4"/>
    <w:rsid w:val="00941DCF"/>
    <w:rsid w:val="00942303"/>
    <w:rsid w:val="0094233F"/>
    <w:rsid w:val="00942627"/>
    <w:rsid w:val="00942D3A"/>
    <w:rsid w:val="00944063"/>
    <w:rsid w:val="00944374"/>
    <w:rsid w:val="00946130"/>
    <w:rsid w:val="009464F2"/>
    <w:rsid w:val="00946591"/>
    <w:rsid w:val="0094693B"/>
    <w:rsid w:val="00950CEB"/>
    <w:rsid w:val="00952A8F"/>
    <w:rsid w:val="00952FF7"/>
    <w:rsid w:val="00953F41"/>
    <w:rsid w:val="0095741A"/>
    <w:rsid w:val="00960A9C"/>
    <w:rsid w:val="00960D60"/>
    <w:rsid w:val="00961F4E"/>
    <w:rsid w:val="00962A56"/>
    <w:rsid w:val="00962D37"/>
    <w:rsid w:val="00964AE6"/>
    <w:rsid w:val="00964BD1"/>
    <w:rsid w:val="00965EBB"/>
    <w:rsid w:val="00965F50"/>
    <w:rsid w:val="0096615A"/>
    <w:rsid w:val="009665F5"/>
    <w:rsid w:val="009666D8"/>
    <w:rsid w:val="0096703B"/>
    <w:rsid w:val="00967416"/>
    <w:rsid w:val="009676AB"/>
    <w:rsid w:val="00967D72"/>
    <w:rsid w:val="00971194"/>
    <w:rsid w:val="0097141F"/>
    <w:rsid w:val="009718BA"/>
    <w:rsid w:val="00971E82"/>
    <w:rsid w:val="009721BA"/>
    <w:rsid w:val="0097276B"/>
    <w:rsid w:val="00972A46"/>
    <w:rsid w:val="00973B48"/>
    <w:rsid w:val="00973F73"/>
    <w:rsid w:val="00974222"/>
    <w:rsid w:val="00974A3F"/>
    <w:rsid w:val="00974F92"/>
    <w:rsid w:val="00976E58"/>
    <w:rsid w:val="00976EE2"/>
    <w:rsid w:val="009776E8"/>
    <w:rsid w:val="00977EBE"/>
    <w:rsid w:val="00980108"/>
    <w:rsid w:val="00982908"/>
    <w:rsid w:val="0098298A"/>
    <w:rsid w:val="00984A0C"/>
    <w:rsid w:val="00985199"/>
    <w:rsid w:val="009854E1"/>
    <w:rsid w:val="00986447"/>
    <w:rsid w:val="00986E73"/>
    <w:rsid w:val="00986F50"/>
    <w:rsid w:val="0098777E"/>
    <w:rsid w:val="009877AA"/>
    <w:rsid w:val="00990765"/>
    <w:rsid w:val="0099297D"/>
    <w:rsid w:val="00992FB2"/>
    <w:rsid w:val="00994D8A"/>
    <w:rsid w:val="0099559E"/>
    <w:rsid w:val="00995C61"/>
    <w:rsid w:val="009962EB"/>
    <w:rsid w:val="00996542"/>
    <w:rsid w:val="009966AB"/>
    <w:rsid w:val="009A0087"/>
    <w:rsid w:val="009A0A73"/>
    <w:rsid w:val="009A0B3B"/>
    <w:rsid w:val="009A0B7B"/>
    <w:rsid w:val="009A14C7"/>
    <w:rsid w:val="009A1D0E"/>
    <w:rsid w:val="009A315A"/>
    <w:rsid w:val="009A3276"/>
    <w:rsid w:val="009A3645"/>
    <w:rsid w:val="009A391D"/>
    <w:rsid w:val="009A42FF"/>
    <w:rsid w:val="009A506E"/>
    <w:rsid w:val="009A5E73"/>
    <w:rsid w:val="009A77A3"/>
    <w:rsid w:val="009B0778"/>
    <w:rsid w:val="009B1B77"/>
    <w:rsid w:val="009B1CAF"/>
    <w:rsid w:val="009B2622"/>
    <w:rsid w:val="009B33B7"/>
    <w:rsid w:val="009B683C"/>
    <w:rsid w:val="009B6C1D"/>
    <w:rsid w:val="009B7374"/>
    <w:rsid w:val="009B767E"/>
    <w:rsid w:val="009C145B"/>
    <w:rsid w:val="009C3FCE"/>
    <w:rsid w:val="009C41E9"/>
    <w:rsid w:val="009C56F2"/>
    <w:rsid w:val="009C6F08"/>
    <w:rsid w:val="009C7982"/>
    <w:rsid w:val="009D0139"/>
    <w:rsid w:val="009D0208"/>
    <w:rsid w:val="009D1040"/>
    <w:rsid w:val="009D2596"/>
    <w:rsid w:val="009D3A40"/>
    <w:rsid w:val="009D4553"/>
    <w:rsid w:val="009D61A0"/>
    <w:rsid w:val="009D65FC"/>
    <w:rsid w:val="009D717D"/>
    <w:rsid w:val="009E03B9"/>
    <w:rsid w:val="009E050C"/>
    <w:rsid w:val="009E0A88"/>
    <w:rsid w:val="009E2711"/>
    <w:rsid w:val="009E3B58"/>
    <w:rsid w:val="009E4082"/>
    <w:rsid w:val="009E440B"/>
    <w:rsid w:val="009E44BE"/>
    <w:rsid w:val="009E4509"/>
    <w:rsid w:val="009E4979"/>
    <w:rsid w:val="009E5FE8"/>
    <w:rsid w:val="009E78CD"/>
    <w:rsid w:val="009F0039"/>
    <w:rsid w:val="009F0DC2"/>
    <w:rsid w:val="009F110E"/>
    <w:rsid w:val="009F2D3D"/>
    <w:rsid w:val="009F3565"/>
    <w:rsid w:val="009F3F9B"/>
    <w:rsid w:val="009F55DD"/>
    <w:rsid w:val="009F5C59"/>
    <w:rsid w:val="009F5CDC"/>
    <w:rsid w:val="009F6068"/>
    <w:rsid w:val="009F78D2"/>
    <w:rsid w:val="00A0069B"/>
    <w:rsid w:val="00A0278E"/>
    <w:rsid w:val="00A030D3"/>
    <w:rsid w:val="00A03A42"/>
    <w:rsid w:val="00A041D8"/>
    <w:rsid w:val="00A04899"/>
    <w:rsid w:val="00A07176"/>
    <w:rsid w:val="00A1133B"/>
    <w:rsid w:val="00A1192E"/>
    <w:rsid w:val="00A1312B"/>
    <w:rsid w:val="00A13966"/>
    <w:rsid w:val="00A13AC3"/>
    <w:rsid w:val="00A13CAA"/>
    <w:rsid w:val="00A149F2"/>
    <w:rsid w:val="00A1592F"/>
    <w:rsid w:val="00A15987"/>
    <w:rsid w:val="00A15AB4"/>
    <w:rsid w:val="00A15BF2"/>
    <w:rsid w:val="00A15C29"/>
    <w:rsid w:val="00A16EBC"/>
    <w:rsid w:val="00A172DA"/>
    <w:rsid w:val="00A175D2"/>
    <w:rsid w:val="00A176C5"/>
    <w:rsid w:val="00A17A51"/>
    <w:rsid w:val="00A20243"/>
    <w:rsid w:val="00A20426"/>
    <w:rsid w:val="00A20525"/>
    <w:rsid w:val="00A21E40"/>
    <w:rsid w:val="00A22344"/>
    <w:rsid w:val="00A235FD"/>
    <w:rsid w:val="00A236A2"/>
    <w:rsid w:val="00A23BB6"/>
    <w:rsid w:val="00A24483"/>
    <w:rsid w:val="00A24B3F"/>
    <w:rsid w:val="00A24CD1"/>
    <w:rsid w:val="00A25351"/>
    <w:rsid w:val="00A25776"/>
    <w:rsid w:val="00A259F9"/>
    <w:rsid w:val="00A2608E"/>
    <w:rsid w:val="00A26428"/>
    <w:rsid w:val="00A2647B"/>
    <w:rsid w:val="00A268AA"/>
    <w:rsid w:val="00A268C2"/>
    <w:rsid w:val="00A270EE"/>
    <w:rsid w:val="00A27E69"/>
    <w:rsid w:val="00A3054C"/>
    <w:rsid w:val="00A3110F"/>
    <w:rsid w:val="00A3240C"/>
    <w:rsid w:val="00A3251F"/>
    <w:rsid w:val="00A330FD"/>
    <w:rsid w:val="00A33599"/>
    <w:rsid w:val="00A36873"/>
    <w:rsid w:val="00A37104"/>
    <w:rsid w:val="00A40445"/>
    <w:rsid w:val="00A405D0"/>
    <w:rsid w:val="00A40FC5"/>
    <w:rsid w:val="00A416C0"/>
    <w:rsid w:val="00A429A4"/>
    <w:rsid w:val="00A43EBA"/>
    <w:rsid w:val="00A445E7"/>
    <w:rsid w:val="00A44F79"/>
    <w:rsid w:val="00A45E9F"/>
    <w:rsid w:val="00A46C02"/>
    <w:rsid w:val="00A4706A"/>
    <w:rsid w:val="00A475A0"/>
    <w:rsid w:val="00A522E2"/>
    <w:rsid w:val="00A52376"/>
    <w:rsid w:val="00A53C6E"/>
    <w:rsid w:val="00A54766"/>
    <w:rsid w:val="00A5494D"/>
    <w:rsid w:val="00A54E6C"/>
    <w:rsid w:val="00A55313"/>
    <w:rsid w:val="00A55848"/>
    <w:rsid w:val="00A56407"/>
    <w:rsid w:val="00A5764E"/>
    <w:rsid w:val="00A5777B"/>
    <w:rsid w:val="00A60213"/>
    <w:rsid w:val="00A602B2"/>
    <w:rsid w:val="00A60637"/>
    <w:rsid w:val="00A60C3D"/>
    <w:rsid w:val="00A61408"/>
    <w:rsid w:val="00A61E91"/>
    <w:rsid w:val="00A61ECF"/>
    <w:rsid w:val="00A62439"/>
    <w:rsid w:val="00A62956"/>
    <w:rsid w:val="00A63FC9"/>
    <w:rsid w:val="00A646AA"/>
    <w:rsid w:val="00A6491D"/>
    <w:rsid w:val="00A64DF5"/>
    <w:rsid w:val="00A6506D"/>
    <w:rsid w:val="00A651C4"/>
    <w:rsid w:val="00A657BD"/>
    <w:rsid w:val="00A66D77"/>
    <w:rsid w:val="00A66F75"/>
    <w:rsid w:val="00A66FDC"/>
    <w:rsid w:val="00A67DDA"/>
    <w:rsid w:val="00A71A4C"/>
    <w:rsid w:val="00A71B6D"/>
    <w:rsid w:val="00A7231A"/>
    <w:rsid w:val="00A72A45"/>
    <w:rsid w:val="00A73238"/>
    <w:rsid w:val="00A75E43"/>
    <w:rsid w:val="00A75F7A"/>
    <w:rsid w:val="00A76C2C"/>
    <w:rsid w:val="00A7701B"/>
    <w:rsid w:val="00A775CF"/>
    <w:rsid w:val="00A80742"/>
    <w:rsid w:val="00A82940"/>
    <w:rsid w:val="00A83342"/>
    <w:rsid w:val="00A83661"/>
    <w:rsid w:val="00A855CB"/>
    <w:rsid w:val="00A87B8E"/>
    <w:rsid w:val="00A87B9E"/>
    <w:rsid w:val="00A91859"/>
    <w:rsid w:val="00A91980"/>
    <w:rsid w:val="00A9229E"/>
    <w:rsid w:val="00A926A9"/>
    <w:rsid w:val="00A93635"/>
    <w:rsid w:val="00A94019"/>
    <w:rsid w:val="00A952F5"/>
    <w:rsid w:val="00A95443"/>
    <w:rsid w:val="00A95D96"/>
    <w:rsid w:val="00A96A9F"/>
    <w:rsid w:val="00A970C4"/>
    <w:rsid w:val="00AA0946"/>
    <w:rsid w:val="00AA225C"/>
    <w:rsid w:val="00AA2469"/>
    <w:rsid w:val="00AA639F"/>
    <w:rsid w:val="00AA6E5F"/>
    <w:rsid w:val="00AB13A6"/>
    <w:rsid w:val="00AB1649"/>
    <w:rsid w:val="00AB1AD5"/>
    <w:rsid w:val="00AB2A0B"/>
    <w:rsid w:val="00AB3753"/>
    <w:rsid w:val="00AB4308"/>
    <w:rsid w:val="00AB4813"/>
    <w:rsid w:val="00AB4A4A"/>
    <w:rsid w:val="00AB4CF5"/>
    <w:rsid w:val="00AB4DCB"/>
    <w:rsid w:val="00AB63D8"/>
    <w:rsid w:val="00AB6F7D"/>
    <w:rsid w:val="00AB705E"/>
    <w:rsid w:val="00AB773B"/>
    <w:rsid w:val="00AB7963"/>
    <w:rsid w:val="00AC0B81"/>
    <w:rsid w:val="00AC1330"/>
    <w:rsid w:val="00AC2004"/>
    <w:rsid w:val="00AC21E9"/>
    <w:rsid w:val="00AC252B"/>
    <w:rsid w:val="00AC2B9C"/>
    <w:rsid w:val="00AC3252"/>
    <w:rsid w:val="00AC380A"/>
    <w:rsid w:val="00AC6010"/>
    <w:rsid w:val="00AD01FE"/>
    <w:rsid w:val="00AD086C"/>
    <w:rsid w:val="00AD0B5C"/>
    <w:rsid w:val="00AD154E"/>
    <w:rsid w:val="00AD2668"/>
    <w:rsid w:val="00AD455C"/>
    <w:rsid w:val="00AD54FF"/>
    <w:rsid w:val="00AD559F"/>
    <w:rsid w:val="00AD75A4"/>
    <w:rsid w:val="00AE0820"/>
    <w:rsid w:val="00AE0898"/>
    <w:rsid w:val="00AE1ACD"/>
    <w:rsid w:val="00AE1B34"/>
    <w:rsid w:val="00AE22D4"/>
    <w:rsid w:val="00AE2631"/>
    <w:rsid w:val="00AE57E7"/>
    <w:rsid w:val="00AE5EB2"/>
    <w:rsid w:val="00AE6672"/>
    <w:rsid w:val="00AE6B30"/>
    <w:rsid w:val="00AE7E0B"/>
    <w:rsid w:val="00AF1BF4"/>
    <w:rsid w:val="00AF4E29"/>
    <w:rsid w:val="00AF4F10"/>
    <w:rsid w:val="00AF5144"/>
    <w:rsid w:val="00AF51EF"/>
    <w:rsid w:val="00AF54F7"/>
    <w:rsid w:val="00AF5B09"/>
    <w:rsid w:val="00AF6928"/>
    <w:rsid w:val="00B00698"/>
    <w:rsid w:val="00B00E79"/>
    <w:rsid w:val="00B01CDB"/>
    <w:rsid w:val="00B0231D"/>
    <w:rsid w:val="00B02F64"/>
    <w:rsid w:val="00B037D4"/>
    <w:rsid w:val="00B041E5"/>
    <w:rsid w:val="00B054C5"/>
    <w:rsid w:val="00B05DBF"/>
    <w:rsid w:val="00B05E93"/>
    <w:rsid w:val="00B06045"/>
    <w:rsid w:val="00B0735C"/>
    <w:rsid w:val="00B101B8"/>
    <w:rsid w:val="00B10358"/>
    <w:rsid w:val="00B105BA"/>
    <w:rsid w:val="00B12739"/>
    <w:rsid w:val="00B133FB"/>
    <w:rsid w:val="00B15029"/>
    <w:rsid w:val="00B16DD8"/>
    <w:rsid w:val="00B174C7"/>
    <w:rsid w:val="00B17784"/>
    <w:rsid w:val="00B204C7"/>
    <w:rsid w:val="00B20AC8"/>
    <w:rsid w:val="00B21727"/>
    <w:rsid w:val="00B21738"/>
    <w:rsid w:val="00B217B4"/>
    <w:rsid w:val="00B22C24"/>
    <w:rsid w:val="00B23B0B"/>
    <w:rsid w:val="00B24C4C"/>
    <w:rsid w:val="00B2513F"/>
    <w:rsid w:val="00B25888"/>
    <w:rsid w:val="00B2653F"/>
    <w:rsid w:val="00B26DFB"/>
    <w:rsid w:val="00B278FD"/>
    <w:rsid w:val="00B30BD4"/>
    <w:rsid w:val="00B317FE"/>
    <w:rsid w:val="00B326A2"/>
    <w:rsid w:val="00B328DD"/>
    <w:rsid w:val="00B33544"/>
    <w:rsid w:val="00B3399E"/>
    <w:rsid w:val="00B35759"/>
    <w:rsid w:val="00B3646B"/>
    <w:rsid w:val="00B373D0"/>
    <w:rsid w:val="00B417B1"/>
    <w:rsid w:val="00B417CA"/>
    <w:rsid w:val="00B421FC"/>
    <w:rsid w:val="00B42A71"/>
    <w:rsid w:val="00B43539"/>
    <w:rsid w:val="00B43846"/>
    <w:rsid w:val="00B46CA3"/>
    <w:rsid w:val="00B46E8B"/>
    <w:rsid w:val="00B5112E"/>
    <w:rsid w:val="00B51B9D"/>
    <w:rsid w:val="00B52890"/>
    <w:rsid w:val="00B52DD6"/>
    <w:rsid w:val="00B52EF4"/>
    <w:rsid w:val="00B5346B"/>
    <w:rsid w:val="00B557A2"/>
    <w:rsid w:val="00B57DF3"/>
    <w:rsid w:val="00B57EEF"/>
    <w:rsid w:val="00B60BB1"/>
    <w:rsid w:val="00B615D1"/>
    <w:rsid w:val="00B62A0E"/>
    <w:rsid w:val="00B62FED"/>
    <w:rsid w:val="00B637C7"/>
    <w:rsid w:val="00B64BEE"/>
    <w:rsid w:val="00B65889"/>
    <w:rsid w:val="00B6787A"/>
    <w:rsid w:val="00B70623"/>
    <w:rsid w:val="00B71363"/>
    <w:rsid w:val="00B71E51"/>
    <w:rsid w:val="00B73F00"/>
    <w:rsid w:val="00B74301"/>
    <w:rsid w:val="00B75AB5"/>
    <w:rsid w:val="00B76678"/>
    <w:rsid w:val="00B77BC5"/>
    <w:rsid w:val="00B80032"/>
    <w:rsid w:val="00B80784"/>
    <w:rsid w:val="00B807A6"/>
    <w:rsid w:val="00B81AB1"/>
    <w:rsid w:val="00B83339"/>
    <w:rsid w:val="00B83CAB"/>
    <w:rsid w:val="00B83EFD"/>
    <w:rsid w:val="00B84E9D"/>
    <w:rsid w:val="00B8657B"/>
    <w:rsid w:val="00B87D03"/>
    <w:rsid w:val="00B91126"/>
    <w:rsid w:val="00B914F1"/>
    <w:rsid w:val="00B91620"/>
    <w:rsid w:val="00B93ACF"/>
    <w:rsid w:val="00B93CE4"/>
    <w:rsid w:val="00B9575B"/>
    <w:rsid w:val="00B963AB"/>
    <w:rsid w:val="00B97A57"/>
    <w:rsid w:val="00BA0A0C"/>
    <w:rsid w:val="00BA0A43"/>
    <w:rsid w:val="00BA1E4E"/>
    <w:rsid w:val="00BA31C6"/>
    <w:rsid w:val="00BA347F"/>
    <w:rsid w:val="00BA44CD"/>
    <w:rsid w:val="00BA44E8"/>
    <w:rsid w:val="00BA52D4"/>
    <w:rsid w:val="00BA5C5D"/>
    <w:rsid w:val="00BA716F"/>
    <w:rsid w:val="00BA7A52"/>
    <w:rsid w:val="00BA7ED0"/>
    <w:rsid w:val="00BB11C4"/>
    <w:rsid w:val="00BB1725"/>
    <w:rsid w:val="00BB1C55"/>
    <w:rsid w:val="00BB2A91"/>
    <w:rsid w:val="00BB3770"/>
    <w:rsid w:val="00BB41DD"/>
    <w:rsid w:val="00BB4BC3"/>
    <w:rsid w:val="00BB4CAF"/>
    <w:rsid w:val="00BB67D1"/>
    <w:rsid w:val="00BB7D10"/>
    <w:rsid w:val="00BC1362"/>
    <w:rsid w:val="00BC1F4B"/>
    <w:rsid w:val="00BC27FA"/>
    <w:rsid w:val="00BC2995"/>
    <w:rsid w:val="00BC2C72"/>
    <w:rsid w:val="00BC3B0C"/>
    <w:rsid w:val="00BC43A1"/>
    <w:rsid w:val="00BC457A"/>
    <w:rsid w:val="00BC4F64"/>
    <w:rsid w:val="00BC5E1E"/>
    <w:rsid w:val="00BC6467"/>
    <w:rsid w:val="00BC7AE2"/>
    <w:rsid w:val="00BC7CDD"/>
    <w:rsid w:val="00BD068C"/>
    <w:rsid w:val="00BD0961"/>
    <w:rsid w:val="00BD0D7D"/>
    <w:rsid w:val="00BD12BA"/>
    <w:rsid w:val="00BD28DE"/>
    <w:rsid w:val="00BD29D1"/>
    <w:rsid w:val="00BD47D7"/>
    <w:rsid w:val="00BD5372"/>
    <w:rsid w:val="00BD723D"/>
    <w:rsid w:val="00BD77C1"/>
    <w:rsid w:val="00BE07E1"/>
    <w:rsid w:val="00BE199D"/>
    <w:rsid w:val="00BE53D1"/>
    <w:rsid w:val="00BE598B"/>
    <w:rsid w:val="00BE5BF7"/>
    <w:rsid w:val="00BE768F"/>
    <w:rsid w:val="00BF2675"/>
    <w:rsid w:val="00BF2F41"/>
    <w:rsid w:val="00BF4079"/>
    <w:rsid w:val="00BF4358"/>
    <w:rsid w:val="00BF440C"/>
    <w:rsid w:val="00BF74DA"/>
    <w:rsid w:val="00C00842"/>
    <w:rsid w:val="00C0141F"/>
    <w:rsid w:val="00C01433"/>
    <w:rsid w:val="00C02866"/>
    <w:rsid w:val="00C02951"/>
    <w:rsid w:val="00C03015"/>
    <w:rsid w:val="00C0358D"/>
    <w:rsid w:val="00C03721"/>
    <w:rsid w:val="00C053C4"/>
    <w:rsid w:val="00C078BC"/>
    <w:rsid w:val="00C10372"/>
    <w:rsid w:val="00C114FE"/>
    <w:rsid w:val="00C1157F"/>
    <w:rsid w:val="00C13679"/>
    <w:rsid w:val="00C14B21"/>
    <w:rsid w:val="00C14CE7"/>
    <w:rsid w:val="00C15A3B"/>
    <w:rsid w:val="00C15AF3"/>
    <w:rsid w:val="00C16053"/>
    <w:rsid w:val="00C163DD"/>
    <w:rsid w:val="00C16695"/>
    <w:rsid w:val="00C16738"/>
    <w:rsid w:val="00C1677A"/>
    <w:rsid w:val="00C1699A"/>
    <w:rsid w:val="00C16A28"/>
    <w:rsid w:val="00C16D25"/>
    <w:rsid w:val="00C16D72"/>
    <w:rsid w:val="00C171A4"/>
    <w:rsid w:val="00C200AE"/>
    <w:rsid w:val="00C201E1"/>
    <w:rsid w:val="00C20E5F"/>
    <w:rsid w:val="00C219E1"/>
    <w:rsid w:val="00C21C43"/>
    <w:rsid w:val="00C21F9F"/>
    <w:rsid w:val="00C22478"/>
    <w:rsid w:val="00C22D68"/>
    <w:rsid w:val="00C23B9F"/>
    <w:rsid w:val="00C23E3D"/>
    <w:rsid w:val="00C2468C"/>
    <w:rsid w:val="00C246BB"/>
    <w:rsid w:val="00C256A6"/>
    <w:rsid w:val="00C26497"/>
    <w:rsid w:val="00C269AC"/>
    <w:rsid w:val="00C3184A"/>
    <w:rsid w:val="00C327D2"/>
    <w:rsid w:val="00C32825"/>
    <w:rsid w:val="00C33D3D"/>
    <w:rsid w:val="00C346CF"/>
    <w:rsid w:val="00C346E8"/>
    <w:rsid w:val="00C3539F"/>
    <w:rsid w:val="00C35A27"/>
    <w:rsid w:val="00C36DEF"/>
    <w:rsid w:val="00C379A1"/>
    <w:rsid w:val="00C37D32"/>
    <w:rsid w:val="00C40448"/>
    <w:rsid w:val="00C4107A"/>
    <w:rsid w:val="00C41308"/>
    <w:rsid w:val="00C416BC"/>
    <w:rsid w:val="00C41D07"/>
    <w:rsid w:val="00C41D1A"/>
    <w:rsid w:val="00C428D1"/>
    <w:rsid w:val="00C4293A"/>
    <w:rsid w:val="00C436ED"/>
    <w:rsid w:val="00C44FE4"/>
    <w:rsid w:val="00C4564A"/>
    <w:rsid w:val="00C45B4D"/>
    <w:rsid w:val="00C4603D"/>
    <w:rsid w:val="00C46AE2"/>
    <w:rsid w:val="00C46E13"/>
    <w:rsid w:val="00C47B2E"/>
    <w:rsid w:val="00C506C4"/>
    <w:rsid w:val="00C50DCA"/>
    <w:rsid w:val="00C51D5D"/>
    <w:rsid w:val="00C5264C"/>
    <w:rsid w:val="00C52928"/>
    <w:rsid w:val="00C52C3E"/>
    <w:rsid w:val="00C53112"/>
    <w:rsid w:val="00C543D1"/>
    <w:rsid w:val="00C55B43"/>
    <w:rsid w:val="00C55B60"/>
    <w:rsid w:val="00C55D61"/>
    <w:rsid w:val="00C56759"/>
    <w:rsid w:val="00C57CD3"/>
    <w:rsid w:val="00C60E42"/>
    <w:rsid w:val="00C61575"/>
    <w:rsid w:val="00C616C5"/>
    <w:rsid w:val="00C61AFF"/>
    <w:rsid w:val="00C636F6"/>
    <w:rsid w:val="00C64237"/>
    <w:rsid w:val="00C6423C"/>
    <w:rsid w:val="00C65BE7"/>
    <w:rsid w:val="00C66803"/>
    <w:rsid w:val="00C715CE"/>
    <w:rsid w:val="00C719EA"/>
    <w:rsid w:val="00C71B71"/>
    <w:rsid w:val="00C72DBC"/>
    <w:rsid w:val="00C76428"/>
    <w:rsid w:val="00C7674A"/>
    <w:rsid w:val="00C76BC7"/>
    <w:rsid w:val="00C76F93"/>
    <w:rsid w:val="00C8000A"/>
    <w:rsid w:val="00C80802"/>
    <w:rsid w:val="00C8109C"/>
    <w:rsid w:val="00C81200"/>
    <w:rsid w:val="00C81E7A"/>
    <w:rsid w:val="00C81EEF"/>
    <w:rsid w:val="00C8213C"/>
    <w:rsid w:val="00C82760"/>
    <w:rsid w:val="00C82AB1"/>
    <w:rsid w:val="00C82D60"/>
    <w:rsid w:val="00C83218"/>
    <w:rsid w:val="00C83859"/>
    <w:rsid w:val="00C83E77"/>
    <w:rsid w:val="00C85F3F"/>
    <w:rsid w:val="00C86305"/>
    <w:rsid w:val="00C8709B"/>
    <w:rsid w:val="00C8780D"/>
    <w:rsid w:val="00C878C1"/>
    <w:rsid w:val="00C90E37"/>
    <w:rsid w:val="00C90E80"/>
    <w:rsid w:val="00C90E98"/>
    <w:rsid w:val="00C91EBC"/>
    <w:rsid w:val="00C93389"/>
    <w:rsid w:val="00C939FC"/>
    <w:rsid w:val="00C940A4"/>
    <w:rsid w:val="00C948C6"/>
    <w:rsid w:val="00C9608A"/>
    <w:rsid w:val="00C9609D"/>
    <w:rsid w:val="00C96297"/>
    <w:rsid w:val="00C9641C"/>
    <w:rsid w:val="00C964BF"/>
    <w:rsid w:val="00C97988"/>
    <w:rsid w:val="00CA1853"/>
    <w:rsid w:val="00CA1A65"/>
    <w:rsid w:val="00CA1B04"/>
    <w:rsid w:val="00CA1E98"/>
    <w:rsid w:val="00CA21F4"/>
    <w:rsid w:val="00CA2567"/>
    <w:rsid w:val="00CA38DB"/>
    <w:rsid w:val="00CA3B06"/>
    <w:rsid w:val="00CA5049"/>
    <w:rsid w:val="00CA7618"/>
    <w:rsid w:val="00CB03D9"/>
    <w:rsid w:val="00CB1A02"/>
    <w:rsid w:val="00CB26EC"/>
    <w:rsid w:val="00CB4141"/>
    <w:rsid w:val="00CB416B"/>
    <w:rsid w:val="00CB4D01"/>
    <w:rsid w:val="00CB5099"/>
    <w:rsid w:val="00CB514E"/>
    <w:rsid w:val="00CB527D"/>
    <w:rsid w:val="00CB55FC"/>
    <w:rsid w:val="00CB5CDC"/>
    <w:rsid w:val="00CB65E7"/>
    <w:rsid w:val="00CC199B"/>
    <w:rsid w:val="00CC1CB0"/>
    <w:rsid w:val="00CC3D24"/>
    <w:rsid w:val="00CC4E86"/>
    <w:rsid w:val="00CC5AD0"/>
    <w:rsid w:val="00CD054E"/>
    <w:rsid w:val="00CD09AD"/>
    <w:rsid w:val="00CD1B28"/>
    <w:rsid w:val="00CD245D"/>
    <w:rsid w:val="00CD2491"/>
    <w:rsid w:val="00CD2E8A"/>
    <w:rsid w:val="00CD3519"/>
    <w:rsid w:val="00CD3E3A"/>
    <w:rsid w:val="00CD40A9"/>
    <w:rsid w:val="00CD5404"/>
    <w:rsid w:val="00CD57DD"/>
    <w:rsid w:val="00CD5A78"/>
    <w:rsid w:val="00CD5F27"/>
    <w:rsid w:val="00CD6985"/>
    <w:rsid w:val="00CE1298"/>
    <w:rsid w:val="00CE1F54"/>
    <w:rsid w:val="00CE26AB"/>
    <w:rsid w:val="00CE2B86"/>
    <w:rsid w:val="00CE36C0"/>
    <w:rsid w:val="00CE42CE"/>
    <w:rsid w:val="00CE492C"/>
    <w:rsid w:val="00CE5D07"/>
    <w:rsid w:val="00CE683D"/>
    <w:rsid w:val="00CF1C4E"/>
    <w:rsid w:val="00CF1E5E"/>
    <w:rsid w:val="00CF2883"/>
    <w:rsid w:val="00CF6766"/>
    <w:rsid w:val="00CF78B5"/>
    <w:rsid w:val="00D00043"/>
    <w:rsid w:val="00D001B2"/>
    <w:rsid w:val="00D04D22"/>
    <w:rsid w:val="00D04F13"/>
    <w:rsid w:val="00D05191"/>
    <w:rsid w:val="00D0645D"/>
    <w:rsid w:val="00D067BE"/>
    <w:rsid w:val="00D06978"/>
    <w:rsid w:val="00D1035A"/>
    <w:rsid w:val="00D1057D"/>
    <w:rsid w:val="00D108A0"/>
    <w:rsid w:val="00D10D0D"/>
    <w:rsid w:val="00D113CF"/>
    <w:rsid w:val="00D11569"/>
    <w:rsid w:val="00D1162E"/>
    <w:rsid w:val="00D13BBD"/>
    <w:rsid w:val="00D20E4A"/>
    <w:rsid w:val="00D22BCE"/>
    <w:rsid w:val="00D233C0"/>
    <w:rsid w:val="00D23B93"/>
    <w:rsid w:val="00D2469B"/>
    <w:rsid w:val="00D25E23"/>
    <w:rsid w:val="00D25EA7"/>
    <w:rsid w:val="00D2673C"/>
    <w:rsid w:val="00D268BF"/>
    <w:rsid w:val="00D27D7F"/>
    <w:rsid w:val="00D309A4"/>
    <w:rsid w:val="00D33A2A"/>
    <w:rsid w:val="00D35A5B"/>
    <w:rsid w:val="00D3606A"/>
    <w:rsid w:val="00D36E3A"/>
    <w:rsid w:val="00D379C5"/>
    <w:rsid w:val="00D40AC3"/>
    <w:rsid w:val="00D41105"/>
    <w:rsid w:val="00D43115"/>
    <w:rsid w:val="00D4346D"/>
    <w:rsid w:val="00D43EF1"/>
    <w:rsid w:val="00D449A5"/>
    <w:rsid w:val="00D44F5B"/>
    <w:rsid w:val="00D46F9B"/>
    <w:rsid w:val="00D472D3"/>
    <w:rsid w:val="00D47C19"/>
    <w:rsid w:val="00D5010E"/>
    <w:rsid w:val="00D5013D"/>
    <w:rsid w:val="00D505B6"/>
    <w:rsid w:val="00D50A55"/>
    <w:rsid w:val="00D510FC"/>
    <w:rsid w:val="00D512B0"/>
    <w:rsid w:val="00D513FB"/>
    <w:rsid w:val="00D51DA0"/>
    <w:rsid w:val="00D521D5"/>
    <w:rsid w:val="00D53561"/>
    <w:rsid w:val="00D53EFA"/>
    <w:rsid w:val="00D54929"/>
    <w:rsid w:val="00D5515F"/>
    <w:rsid w:val="00D56638"/>
    <w:rsid w:val="00D57080"/>
    <w:rsid w:val="00D57B1F"/>
    <w:rsid w:val="00D60D08"/>
    <w:rsid w:val="00D61A60"/>
    <w:rsid w:val="00D62DB9"/>
    <w:rsid w:val="00D631D1"/>
    <w:rsid w:val="00D635BE"/>
    <w:rsid w:val="00D63E32"/>
    <w:rsid w:val="00D6449B"/>
    <w:rsid w:val="00D64729"/>
    <w:rsid w:val="00D6554D"/>
    <w:rsid w:val="00D65F99"/>
    <w:rsid w:val="00D6740E"/>
    <w:rsid w:val="00D67B98"/>
    <w:rsid w:val="00D70BC3"/>
    <w:rsid w:val="00D713CB"/>
    <w:rsid w:val="00D71EB1"/>
    <w:rsid w:val="00D71F92"/>
    <w:rsid w:val="00D72960"/>
    <w:rsid w:val="00D72A33"/>
    <w:rsid w:val="00D73E14"/>
    <w:rsid w:val="00D74C55"/>
    <w:rsid w:val="00D75347"/>
    <w:rsid w:val="00D75CC2"/>
    <w:rsid w:val="00D76802"/>
    <w:rsid w:val="00D76CA8"/>
    <w:rsid w:val="00D77C7C"/>
    <w:rsid w:val="00D81375"/>
    <w:rsid w:val="00D8184A"/>
    <w:rsid w:val="00D81DA0"/>
    <w:rsid w:val="00D836DD"/>
    <w:rsid w:val="00D841A0"/>
    <w:rsid w:val="00D86DA6"/>
    <w:rsid w:val="00D86E69"/>
    <w:rsid w:val="00D8784D"/>
    <w:rsid w:val="00D87B48"/>
    <w:rsid w:val="00D900A1"/>
    <w:rsid w:val="00D90E96"/>
    <w:rsid w:val="00D91949"/>
    <w:rsid w:val="00D926A4"/>
    <w:rsid w:val="00D9271D"/>
    <w:rsid w:val="00D9275C"/>
    <w:rsid w:val="00D92B98"/>
    <w:rsid w:val="00D93CA5"/>
    <w:rsid w:val="00D94F52"/>
    <w:rsid w:val="00D965AB"/>
    <w:rsid w:val="00D965FA"/>
    <w:rsid w:val="00D96617"/>
    <w:rsid w:val="00D966AA"/>
    <w:rsid w:val="00D97494"/>
    <w:rsid w:val="00D97B47"/>
    <w:rsid w:val="00DA14BE"/>
    <w:rsid w:val="00DA1673"/>
    <w:rsid w:val="00DA3676"/>
    <w:rsid w:val="00DA3CBB"/>
    <w:rsid w:val="00DA3CD6"/>
    <w:rsid w:val="00DA4550"/>
    <w:rsid w:val="00DA590C"/>
    <w:rsid w:val="00DA5E20"/>
    <w:rsid w:val="00DA6160"/>
    <w:rsid w:val="00DA646B"/>
    <w:rsid w:val="00DA66B5"/>
    <w:rsid w:val="00DA6B64"/>
    <w:rsid w:val="00DA6F98"/>
    <w:rsid w:val="00DA7128"/>
    <w:rsid w:val="00DB046A"/>
    <w:rsid w:val="00DB1D13"/>
    <w:rsid w:val="00DB28B5"/>
    <w:rsid w:val="00DB2CB5"/>
    <w:rsid w:val="00DB2FFE"/>
    <w:rsid w:val="00DB301D"/>
    <w:rsid w:val="00DB32D6"/>
    <w:rsid w:val="00DB491A"/>
    <w:rsid w:val="00DB4FA1"/>
    <w:rsid w:val="00DB53A4"/>
    <w:rsid w:val="00DB6223"/>
    <w:rsid w:val="00DB652E"/>
    <w:rsid w:val="00DB6564"/>
    <w:rsid w:val="00DB6734"/>
    <w:rsid w:val="00DB6776"/>
    <w:rsid w:val="00DB73D1"/>
    <w:rsid w:val="00DB75DA"/>
    <w:rsid w:val="00DC13F2"/>
    <w:rsid w:val="00DC1BE8"/>
    <w:rsid w:val="00DC24EB"/>
    <w:rsid w:val="00DC269E"/>
    <w:rsid w:val="00DC2A98"/>
    <w:rsid w:val="00DC2DC4"/>
    <w:rsid w:val="00DC2DF3"/>
    <w:rsid w:val="00DC316B"/>
    <w:rsid w:val="00DC321B"/>
    <w:rsid w:val="00DC36CD"/>
    <w:rsid w:val="00DC392D"/>
    <w:rsid w:val="00DC3D37"/>
    <w:rsid w:val="00DC48DE"/>
    <w:rsid w:val="00DC7B6B"/>
    <w:rsid w:val="00DC7CBA"/>
    <w:rsid w:val="00DD01D9"/>
    <w:rsid w:val="00DD03DE"/>
    <w:rsid w:val="00DD0469"/>
    <w:rsid w:val="00DD1502"/>
    <w:rsid w:val="00DD2234"/>
    <w:rsid w:val="00DD2420"/>
    <w:rsid w:val="00DD2F38"/>
    <w:rsid w:val="00DD418F"/>
    <w:rsid w:val="00DD445B"/>
    <w:rsid w:val="00DD5BCA"/>
    <w:rsid w:val="00DD63BC"/>
    <w:rsid w:val="00DD7020"/>
    <w:rsid w:val="00DE14B0"/>
    <w:rsid w:val="00DE25B0"/>
    <w:rsid w:val="00DE2708"/>
    <w:rsid w:val="00DE3EDF"/>
    <w:rsid w:val="00DE4098"/>
    <w:rsid w:val="00DE5916"/>
    <w:rsid w:val="00DE623C"/>
    <w:rsid w:val="00DE6427"/>
    <w:rsid w:val="00DE6895"/>
    <w:rsid w:val="00DE7DE5"/>
    <w:rsid w:val="00DE7FC5"/>
    <w:rsid w:val="00DF022E"/>
    <w:rsid w:val="00DF1054"/>
    <w:rsid w:val="00DF1A45"/>
    <w:rsid w:val="00DF480A"/>
    <w:rsid w:val="00DF4DAA"/>
    <w:rsid w:val="00DF70E7"/>
    <w:rsid w:val="00E00358"/>
    <w:rsid w:val="00E006F9"/>
    <w:rsid w:val="00E00BF2"/>
    <w:rsid w:val="00E00F98"/>
    <w:rsid w:val="00E02C2B"/>
    <w:rsid w:val="00E02E93"/>
    <w:rsid w:val="00E03834"/>
    <w:rsid w:val="00E03D08"/>
    <w:rsid w:val="00E03EAD"/>
    <w:rsid w:val="00E04991"/>
    <w:rsid w:val="00E0544A"/>
    <w:rsid w:val="00E05577"/>
    <w:rsid w:val="00E05B6B"/>
    <w:rsid w:val="00E06BD6"/>
    <w:rsid w:val="00E07890"/>
    <w:rsid w:val="00E10DDB"/>
    <w:rsid w:val="00E112BA"/>
    <w:rsid w:val="00E12BD5"/>
    <w:rsid w:val="00E13341"/>
    <w:rsid w:val="00E143D1"/>
    <w:rsid w:val="00E14E40"/>
    <w:rsid w:val="00E15C3A"/>
    <w:rsid w:val="00E16D0E"/>
    <w:rsid w:val="00E20CF0"/>
    <w:rsid w:val="00E20DA9"/>
    <w:rsid w:val="00E22CD0"/>
    <w:rsid w:val="00E23148"/>
    <w:rsid w:val="00E243FA"/>
    <w:rsid w:val="00E247C1"/>
    <w:rsid w:val="00E248DE"/>
    <w:rsid w:val="00E24E78"/>
    <w:rsid w:val="00E25089"/>
    <w:rsid w:val="00E25363"/>
    <w:rsid w:val="00E31D76"/>
    <w:rsid w:val="00E33261"/>
    <w:rsid w:val="00E33CD0"/>
    <w:rsid w:val="00E34F5C"/>
    <w:rsid w:val="00E36599"/>
    <w:rsid w:val="00E36A03"/>
    <w:rsid w:val="00E36EF8"/>
    <w:rsid w:val="00E374CE"/>
    <w:rsid w:val="00E377CD"/>
    <w:rsid w:val="00E40AE4"/>
    <w:rsid w:val="00E4185A"/>
    <w:rsid w:val="00E42291"/>
    <w:rsid w:val="00E427A5"/>
    <w:rsid w:val="00E42A87"/>
    <w:rsid w:val="00E42E79"/>
    <w:rsid w:val="00E43632"/>
    <w:rsid w:val="00E43B30"/>
    <w:rsid w:val="00E43D68"/>
    <w:rsid w:val="00E45257"/>
    <w:rsid w:val="00E47554"/>
    <w:rsid w:val="00E479DF"/>
    <w:rsid w:val="00E508CC"/>
    <w:rsid w:val="00E50B46"/>
    <w:rsid w:val="00E514A4"/>
    <w:rsid w:val="00E51B8F"/>
    <w:rsid w:val="00E52054"/>
    <w:rsid w:val="00E52109"/>
    <w:rsid w:val="00E528D9"/>
    <w:rsid w:val="00E52F82"/>
    <w:rsid w:val="00E551B4"/>
    <w:rsid w:val="00E55831"/>
    <w:rsid w:val="00E56061"/>
    <w:rsid w:val="00E57680"/>
    <w:rsid w:val="00E578B8"/>
    <w:rsid w:val="00E60B84"/>
    <w:rsid w:val="00E60CBF"/>
    <w:rsid w:val="00E618C4"/>
    <w:rsid w:val="00E61A17"/>
    <w:rsid w:val="00E61FBF"/>
    <w:rsid w:val="00E64B7B"/>
    <w:rsid w:val="00E651FF"/>
    <w:rsid w:val="00E6528A"/>
    <w:rsid w:val="00E66A7B"/>
    <w:rsid w:val="00E67F88"/>
    <w:rsid w:val="00E70284"/>
    <w:rsid w:val="00E71F90"/>
    <w:rsid w:val="00E722D0"/>
    <w:rsid w:val="00E7244F"/>
    <w:rsid w:val="00E72A59"/>
    <w:rsid w:val="00E74070"/>
    <w:rsid w:val="00E741B5"/>
    <w:rsid w:val="00E74914"/>
    <w:rsid w:val="00E749C0"/>
    <w:rsid w:val="00E74F8D"/>
    <w:rsid w:val="00E75317"/>
    <w:rsid w:val="00E76C44"/>
    <w:rsid w:val="00E80138"/>
    <w:rsid w:val="00E808E2"/>
    <w:rsid w:val="00E830FE"/>
    <w:rsid w:val="00E85691"/>
    <w:rsid w:val="00E865EA"/>
    <w:rsid w:val="00E86BB6"/>
    <w:rsid w:val="00E86C00"/>
    <w:rsid w:val="00E8795C"/>
    <w:rsid w:val="00E87BD9"/>
    <w:rsid w:val="00E90159"/>
    <w:rsid w:val="00E90237"/>
    <w:rsid w:val="00E926CF"/>
    <w:rsid w:val="00E93269"/>
    <w:rsid w:val="00E93283"/>
    <w:rsid w:val="00E93457"/>
    <w:rsid w:val="00E93B8B"/>
    <w:rsid w:val="00E942A0"/>
    <w:rsid w:val="00EA20CA"/>
    <w:rsid w:val="00EA262F"/>
    <w:rsid w:val="00EA3E4F"/>
    <w:rsid w:val="00EA4489"/>
    <w:rsid w:val="00EA4926"/>
    <w:rsid w:val="00EA503D"/>
    <w:rsid w:val="00EA6186"/>
    <w:rsid w:val="00EA6316"/>
    <w:rsid w:val="00EA63DC"/>
    <w:rsid w:val="00EA64B8"/>
    <w:rsid w:val="00EA67A2"/>
    <w:rsid w:val="00EA708F"/>
    <w:rsid w:val="00EA79C3"/>
    <w:rsid w:val="00EB01AE"/>
    <w:rsid w:val="00EB0C91"/>
    <w:rsid w:val="00EB15A7"/>
    <w:rsid w:val="00EB1AE6"/>
    <w:rsid w:val="00EB3431"/>
    <w:rsid w:val="00EB3A41"/>
    <w:rsid w:val="00EB3CA9"/>
    <w:rsid w:val="00EB4483"/>
    <w:rsid w:val="00EB4DAA"/>
    <w:rsid w:val="00EB50BB"/>
    <w:rsid w:val="00EB55FB"/>
    <w:rsid w:val="00EB58E9"/>
    <w:rsid w:val="00EB5D80"/>
    <w:rsid w:val="00EB763D"/>
    <w:rsid w:val="00EB7902"/>
    <w:rsid w:val="00EB79B3"/>
    <w:rsid w:val="00EB7A03"/>
    <w:rsid w:val="00EB7BF9"/>
    <w:rsid w:val="00EB7CF4"/>
    <w:rsid w:val="00EB7FBC"/>
    <w:rsid w:val="00EC1022"/>
    <w:rsid w:val="00EC2011"/>
    <w:rsid w:val="00EC243C"/>
    <w:rsid w:val="00EC27A1"/>
    <w:rsid w:val="00EC2D6C"/>
    <w:rsid w:val="00EC305D"/>
    <w:rsid w:val="00EC4EAA"/>
    <w:rsid w:val="00EC57CC"/>
    <w:rsid w:val="00EC5837"/>
    <w:rsid w:val="00EC588E"/>
    <w:rsid w:val="00EC6482"/>
    <w:rsid w:val="00EC67AC"/>
    <w:rsid w:val="00EC6905"/>
    <w:rsid w:val="00EC7941"/>
    <w:rsid w:val="00ED081D"/>
    <w:rsid w:val="00ED0C8E"/>
    <w:rsid w:val="00ED19C5"/>
    <w:rsid w:val="00ED258A"/>
    <w:rsid w:val="00ED2FB7"/>
    <w:rsid w:val="00ED3BCC"/>
    <w:rsid w:val="00ED415C"/>
    <w:rsid w:val="00ED4502"/>
    <w:rsid w:val="00ED6289"/>
    <w:rsid w:val="00ED6410"/>
    <w:rsid w:val="00ED6C48"/>
    <w:rsid w:val="00ED7A40"/>
    <w:rsid w:val="00EE0C61"/>
    <w:rsid w:val="00EE13D0"/>
    <w:rsid w:val="00EE210B"/>
    <w:rsid w:val="00EE21BE"/>
    <w:rsid w:val="00EE32A0"/>
    <w:rsid w:val="00EE4B5C"/>
    <w:rsid w:val="00EE588A"/>
    <w:rsid w:val="00EE5A16"/>
    <w:rsid w:val="00EE7278"/>
    <w:rsid w:val="00EE77E9"/>
    <w:rsid w:val="00EF2078"/>
    <w:rsid w:val="00EF3DFF"/>
    <w:rsid w:val="00EF40AD"/>
    <w:rsid w:val="00EF49AE"/>
    <w:rsid w:val="00EF4E75"/>
    <w:rsid w:val="00EF71FB"/>
    <w:rsid w:val="00EF721B"/>
    <w:rsid w:val="00F00E96"/>
    <w:rsid w:val="00F01148"/>
    <w:rsid w:val="00F0171B"/>
    <w:rsid w:val="00F01725"/>
    <w:rsid w:val="00F01A1E"/>
    <w:rsid w:val="00F025A8"/>
    <w:rsid w:val="00F02CA5"/>
    <w:rsid w:val="00F05349"/>
    <w:rsid w:val="00F06004"/>
    <w:rsid w:val="00F110BB"/>
    <w:rsid w:val="00F114D8"/>
    <w:rsid w:val="00F117B1"/>
    <w:rsid w:val="00F137E0"/>
    <w:rsid w:val="00F14203"/>
    <w:rsid w:val="00F14755"/>
    <w:rsid w:val="00F159A1"/>
    <w:rsid w:val="00F163F6"/>
    <w:rsid w:val="00F1653E"/>
    <w:rsid w:val="00F1674D"/>
    <w:rsid w:val="00F20029"/>
    <w:rsid w:val="00F20C68"/>
    <w:rsid w:val="00F21A3E"/>
    <w:rsid w:val="00F21BBE"/>
    <w:rsid w:val="00F2367E"/>
    <w:rsid w:val="00F26EF2"/>
    <w:rsid w:val="00F27224"/>
    <w:rsid w:val="00F27BDB"/>
    <w:rsid w:val="00F27CEC"/>
    <w:rsid w:val="00F308C9"/>
    <w:rsid w:val="00F316C6"/>
    <w:rsid w:val="00F32154"/>
    <w:rsid w:val="00F32184"/>
    <w:rsid w:val="00F329D4"/>
    <w:rsid w:val="00F32C8E"/>
    <w:rsid w:val="00F33E2D"/>
    <w:rsid w:val="00F3525C"/>
    <w:rsid w:val="00F35478"/>
    <w:rsid w:val="00F35926"/>
    <w:rsid w:val="00F35B42"/>
    <w:rsid w:val="00F36B85"/>
    <w:rsid w:val="00F36CD0"/>
    <w:rsid w:val="00F37292"/>
    <w:rsid w:val="00F401C2"/>
    <w:rsid w:val="00F41F4E"/>
    <w:rsid w:val="00F4265E"/>
    <w:rsid w:val="00F43B5C"/>
    <w:rsid w:val="00F44849"/>
    <w:rsid w:val="00F44CA3"/>
    <w:rsid w:val="00F454BA"/>
    <w:rsid w:val="00F45917"/>
    <w:rsid w:val="00F459B8"/>
    <w:rsid w:val="00F463FF"/>
    <w:rsid w:val="00F46536"/>
    <w:rsid w:val="00F46D32"/>
    <w:rsid w:val="00F474D3"/>
    <w:rsid w:val="00F50856"/>
    <w:rsid w:val="00F518F0"/>
    <w:rsid w:val="00F52484"/>
    <w:rsid w:val="00F545AA"/>
    <w:rsid w:val="00F54837"/>
    <w:rsid w:val="00F560EF"/>
    <w:rsid w:val="00F5618D"/>
    <w:rsid w:val="00F56782"/>
    <w:rsid w:val="00F56F44"/>
    <w:rsid w:val="00F60DE3"/>
    <w:rsid w:val="00F62294"/>
    <w:rsid w:val="00F62480"/>
    <w:rsid w:val="00F63480"/>
    <w:rsid w:val="00F65346"/>
    <w:rsid w:val="00F65F5D"/>
    <w:rsid w:val="00F66F63"/>
    <w:rsid w:val="00F67876"/>
    <w:rsid w:val="00F67B33"/>
    <w:rsid w:val="00F67F66"/>
    <w:rsid w:val="00F70EE4"/>
    <w:rsid w:val="00F716B7"/>
    <w:rsid w:val="00F72906"/>
    <w:rsid w:val="00F72DDA"/>
    <w:rsid w:val="00F743BE"/>
    <w:rsid w:val="00F749B2"/>
    <w:rsid w:val="00F749BD"/>
    <w:rsid w:val="00F75305"/>
    <w:rsid w:val="00F76C8C"/>
    <w:rsid w:val="00F76CB7"/>
    <w:rsid w:val="00F77CB0"/>
    <w:rsid w:val="00F80AE0"/>
    <w:rsid w:val="00F80D05"/>
    <w:rsid w:val="00F8188A"/>
    <w:rsid w:val="00F81F69"/>
    <w:rsid w:val="00F82631"/>
    <w:rsid w:val="00F82F1E"/>
    <w:rsid w:val="00F83F26"/>
    <w:rsid w:val="00F857FB"/>
    <w:rsid w:val="00F8634E"/>
    <w:rsid w:val="00F8646C"/>
    <w:rsid w:val="00F86A3A"/>
    <w:rsid w:val="00F909B3"/>
    <w:rsid w:val="00F93AEE"/>
    <w:rsid w:val="00F942D5"/>
    <w:rsid w:val="00F942FF"/>
    <w:rsid w:val="00F94A9F"/>
    <w:rsid w:val="00F97DFF"/>
    <w:rsid w:val="00FA0B5C"/>
    <w:rsid w:val="00FA0E5B"/>
    <w:rsid w:val="00FA10C7"/>
    <w:rsid w:val="00FA17E9"/>
    <w:rsid w:val="00FA1FDC"/>
    <w:rsid w:val="00FA224B"/>
    <w:rsid w:val="00FA2685"/>
    <w:rsid w:val="00FA2C1B"/>
    <w:rsid w:val="00FA39DD"/>
    <w:rsid w:val="00FA427E"/>
    <w:rsid w:val="00FA5B0C"/>
    <w:rsid w:val="00FA6647"/>
    <w:rsid w:val="00FA70AE"/>
    <w:rsid w:val="00FA7D9A"/>
    <w:rsid w:val="00FB0EB4"/>
    <w:rsid w:val="00FB14BB"/>
    <w:rsid w:val="00FB22FB"/>
    <w:rsid w:val="00FB4C7B"/>
    <w:rsid w:val="00FB5601"/>
    <w:rsid w:val="00FB588F"/>
    <w:rsid w:val="00FC03E1"/>
    <w:rsid w:val="00FC1203"/>
    <w:rsid w:val="00FC20D5"/>
    <w:rsid w:val="00FC244F"/>
    <w:rsid w:val="00FC3393"/>
    <w:rsid w:val="00FC39FD"/>
    <w:rsid w:val="00FC3BD9"/>
    <w:rsid w:val="00FC4F23"/>
    <w:rsid w:val="00FC6037"/>
    <w:rsid w:val="00FC7F18"/>
    <w:rsid w:val="00FC7FF4"/>
    <w:rsid w:val="00FD05F8"/>
    <w:rsid w:val="00FD0B84"/>
    <w:rsid w:val="00FD4165"/>
    <w:rsid w:val="00FD42F3"/>
    <w:rsid w:val="00FD52F0"/>
    <w:rsid w:val="00FD5ED0"/>
    <w:rsid w:val="00FD62FF"/>
    <w:rsid w:val="00FD6AE3"/>
    <w:rsid w:val="00FD7E23"/>
    <w:rsid w:val="00FE0B3A"/>
    <w:rsid w:val="00FE19F9"/>
    <w:rsid w:val="00FE2048"/>
    <w:rsid w:val="00FE2392"/>
    <w:rsid w:val="00FE32C3"/>
    <w:rsid w:val="00FE36C8"/>
    <w:rsid w:val="00FE5BFF"/>
    <w:rsid w:val="00FE6BE4"/>
    <w:rsid w:val="00FE7532"/>
    <w:rsid w:val="00FF00D5"/>
    <w:rsid w:val="00FF085E"/>
    <w:rsid w:val="00FF0870"/>
    <w:rsid w:val="00FF0D60"/>
    <w:rsid w:val="00FF131E"/>
    <w:rsid w:val="00FF15A9"/>
    <w:rsid w:val="00FF1836"/>
    <w:rsid w:val="00FF1E1A"/>
    <w:rsid w:val="00FF3A9A"/>
    <w:rsid w:val="00FF43A3"/>
    <w:rsid w:val="00FF4B65"/>
    <w:rsid w:val="00FF5CA8"/>
    <w:rsid w:val="00FF601F"/>
    <w:rsid w:val="00FF7340"/>
    <w:rsid w:val="01E89347"/>
    <w:rsid w:val="023C8AE3"/>
    <w:rsid w:val="02D2F831"/>
    <w:rsid w:val="03392AF9"/>
    <w:rsid w:val="03849F8B"/>
    <w:rsid w:val="053BAD3F"/>
    <w:rsid w:val="084BE7AE"/>
    <w:rsid w:val="09420881"/>
    <w:rsid w:val="09E64CB1"/>
    <w:rsid w:val="0BA986D1"/>
    <w:rsid w:val="0DE2B9AB"/>
    <w:rsid w:val="0E173F11"/>
    <w:rsid w:val="0E5D8AC4"/>
    <w:rsid w:val="123691F3"/>
    <w:rsid w:val="1701E8CC"/>
    <w:rsid w:val="187DF65C"/>
    <w:rsid w:val="19152D9A"/>
    <w:rsid w:val="19C5C5CF"/>
    <w:rsid w:val="1A9DEF88"/>
    <w:rsid w:val="1AB06683"/>
    <w:rsid w:val="1ADE9C81"/>
    <w:rsid w:val="1C7372EA"/>
    <w:rsid w:val="1CEC306D"/>
    <w:rsid w:val="1CF3DFAB"/>
    <w:rsid w:val="1DC162B7"/>
    <w:rsid w:val="218655EE"/>
    <w:rsid w:val="22827FF9"/>
    <w:rsid w:val="238C9D31"/>
    <w:rsid w:val="28FC28D3"/>
    <w:rsid w:val="2949C681"/>
    <w:rsid w:val="2C1E30FB"/>
    <w:rsid w:val="2DB0DB2A"/>
    <w:rsid w:val="2E9C858A"/>
    <w:rsid w:val="301A498E"/>
    <w:rsid w:val="313FBC2D"/>
    <w:rsid w:val="319B71E2"/>
    <w:rsid w:val="31F342F6"/>
    <w:rsid w:val="34A10B4B"/>
    <w:rsid w:val="351F1C7C"/>
    <w:rsid w:val="35304BDD"/>
    <w:rsid w:val="3847098D"/>
    <w:rsid w:val="3894F3FD"/>
    <w:rsid w:val="38A6E3F1"/>
    <w:rsid w:val="391139A9"/>
    <w:rsid w:val="39B82EFC"/>
    <w:rsid w:val="3A8BA750"/>
    <w:rsid w:val="3BE4462F"/>
    <w:rsid w:val="3BF42040"/>
    <w:rsid w:val="3DBBCA83"/>
    <w:rsid w:val="4133C458"/>
    <w:rsid w:val="443F3EC3"/>
    <w:rsid w:val="44917230"/>
    <w:rsid w:val="449733AC"/>
    <w:rsid w:val="45EEA496"/>
    <w:rsid w:val="486A8274"/>
    <w:rsid w:val="4875E5BD"/>
    <w:rsid w:val="4896091E"/>
    <w:rsid w:val="49A6B219"/>
    <w:rsid w:val="4DC9C401"/>
    <w:rsid w:val="504BDAC4"/>
    <w:rsid w:val="51268348"/>
    <w:rsid w:val="531F0A28"/>
    <w:rsid w:val="546276D2"/>
    <w:rsid w:val="56E5256D"/>
    <w:rsid w:val="56F88B53"/>
    <w:rsid w:val="5B366367"/>
    <w:rsid w:val="5BAC9934"/>
    <w:rsid w:val="5D0A4503"/>
    <w:rsid w:val="5D9B234D"/>
    <w:rsid w:val="5F09587B"/>
    <w:rsid w:val="61C02E0E"/>
    <w:rsid w:val="622DD6B6"/>
    <w:rsid w:val="627D3F91"/>
    <w:rsid w:val="631348DA"/>
    <w:rsid w:val="63FAE0CB"/>
    <w:rsid w:val="64F5620C"/>
    <w:rsid w:val="653CC5BF"/>
    <w:rsid w:val="657FC375"/>
    <w:rsid w:val="670E4A76"/>
    <w:rsid w:val="697218D5"/>
    <w:rsid w:val="69B1729A"/>
    <w:rsid w:val="6A9E9FCA"/>
    <w:rsid w:val="6B93765E"/>
    <w:rsid w:val="6C8C71EE"/>
    <w:rsid w:val="6CF8C820"/>
    <w:rsid w:val="6E03F4F3"/>
    <w:rsid w:val="6E7E00D5"/>
    <w:rsid w:val="6EEFBF61"/>
    <w:rsid w:val="7202B7E2"/>
    <w:rsid w:val="736C42D9"/>
    <w:rsid w:val="75040CD6"/>
    <w:rsid w:val="770D7B8A"/>
    <w:rsid w:val="79469FAF"/>
    <w:rsid w:val="7AD8FE47"/>
    <w:rsid w:val="7CF0EA05"/>
    <w:rsid w:val="7DA87CEB"/>
    <w:rsid w:val="7EE370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2B50"/>
  <w15:docId w15:val="{EDCEB1BF-632F-4DF9-8840-0B373F40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A F"/>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16 Point,Superscript 6 Point,4_G Char Char Char Char Char,Footnotes refss Char Char Char Char Char,ftref Char Char Char Char Char,BVI fnr Char Char Char Char Char,BVI fnr Car Car Char Char Char Char Char,BVI fnr, BVI fnr Car Car,f"/>
    <w:link w:val="4G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F26EF2"/>
    <w:rPr>
      <w:rFonts w:ascii="Times New Roman" w:eastAsiaTheme="minorHAnsi" w:hAnsi="Times New Roman" w:cs="Times New Roman"/>
      <w:sz w:val="20"/>
      <w:szCs w:val="20"/>
      <w:lang w:eastAsia="en-US"/>
    </w:rPr>
  </w:style>
  <w:style w:type="paragraph" w:customStyle="1" w:styleId="SingleTxt">
    <w:name w:val="__Single Txt"/>
    <w:basedOn w:val="Normal"/>
    <w:rsid w:val="00F26EF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kinsoku/>
      <w:overflowPunct/>
      <w:autoSpaceDE/>
      <w:autoSpaceDN/>
      <w:adjustRightInd/>
      <w:snapToGrid/>
      <w:spacing w:after="120" w:line="240" w:lineRule="auto"/>
      <w:ind w:left="1267" w:right="1267"/>
      <w:jc w:val="both"/>
    </w:pPr>
    <w:rPr>
      <w:rFonts w:eastAsia="SimSun"/>
      <w:spacing w:val="4"/>
      <w:w w:val="103"/>
      <w:kern w:val="14"/>
      <w:lang w:val="fr-CA" w:eastAsia="zh-CN"/>
    </w:rPr>
  </w:style>
  <w:style w:type="character" w:styleId="CommentReference">
    <w:name w:val="annotation reference"/>
    <w:basedOn w:val="DefaultParagraphFont"/>
    <w:uiPriority w:val="99"/>
    <w:semiHidden/>
    <w:unhideWhenUsed/>
    <w:rsid w:val="00F26EF2"/>
    <w:rPr>
      <w:sz w:val="16"/>
      <w:szCs w:val="16"/>
    </w:rPr>
  </w:style>
  <w:style w:type="paragraph" w:styleId="CommentText">
    <w:name w:val="annotation text"/>
    <w:basedOn w:val="Normal"/>
    <w:link w:val="CommentTextChar"/>
    <w:uiPriority w:val="99"/>
    <w:unhideWhenUsed/>
    <w:rsid w:val="00F26EF2"/>
    <w:pPr>
      <w:spacing w:line="240" w:lineRule="auto"/>
    </w:pPr>
  </w:style>
  <w:style w:type="character" w:customStyle="1" w:styleId="CommentTextChar">
    <w:name w:val="Comment Text Char"/>
    <w:basedOn w:val="DefaultParagraphFont"/>
    <w:link w:val="CommentText"/>
    <w:uiPriority w:val="99"/>
    <w:rsid w:val="00F26EF2"/>
    <w:rPr>
      <w:rFonts w:ascii="Times New Roman" w:eastAsiaTheme="minorHAnsi" w:hAnsi="Times New Roman" w:cs="Times New Roman"/>
      <w:sz w:val="20"/>
      <w:szCs w:val="20"/>
      <w:lang w:eastAsia="en-US"/>
    </w:rPr>
  </w:style>
  <w:style w:type="paragraph" w:styleId="CommentSubject">
    <w:name w:val="annotation subject"/>
    <w:basedOn w:val="Normal"/>
    <w:next w:val="Normal"/>
    <w:link w:val="CommentSubjectChar"/>
    <w:uiPriority w:val="99"/>
    <w:semiHidden/>
    <w:unhideWhenUsed/>
    <w:rsid w:val="00F26EF2"/>
    <w:pPr>
      <w:suppressAutoHyphens w:val="0"/>
      <w:kinsoku/>
      <w:overflowPunct/>
      <w:autoSpaceDE/>
      <w:autoSpaceDN/>
      <w:adjustRightInd/>
      <w:snapToGrid/>
      <w:spacing w:line="240" w:lineRule="auto"/>
    </w:pPr>
    <w:rPr>
      <w:rFonts w:eastAsia="SimSun"/>
      <w:b/>
      <w:bCs/>
      <w:lang w:eastAsia="zh-CN"/>
    </w:rPr>
  </w:style>
  <w:style w:type="character" w:customStyle="1" w:styleId="CommentSubjectChar">
    <w:name w:val="Comment Subject Char"/>
    <w:basedOn w:val="CommentTextChar"/>
    <w:link w:val="CommentSubject"/>
    <w:uiPriority w:val="99"/>
    <w:semiHidden/>
    <w:rsid w:val="00F26EF2"/>
    <w:rPr>
      <w:rFonts w:ascii="Times New Roman" w:eastAsiaTheme="minorHAnsi"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F26EF2"/>
    <w:rPr>
      <w:color w:val="605E5C"/>
      <w:shd w:val="clear" w:color="auto" w:fill="E1DFDD"/>
    </w:rPr>
  </w:style>
  <w:style w:type="paragraph" w:styleId="NormalWeb">
    <w:name w:val="Normal (Web)"/>
    <w:basedOn w:val="Normal"/>
    <w:uiPriority w:val="99"/>
    <w:unhideWhenUsed/>
    <w:rsid w:val="00F26EF2"/>
    <w:pPr>
      <w:suppressAutoHyphens w:val="0"/>
      <w:spacing w:line="240" w:lineRule="auto"/>
    </w:pPr>
    <w:rPr>
      <w:sz w:val="24"/>
      <w:szCs w:val="24"/>
      <w:lang w:eastAsia="zh-CN"/>
    </w:rPr>
  </w:style>
  <w:style w:type="paragraph" w:styleId="Revision">
    <w:name w:val="Revision"/>
    <w:hidden/>
    <w:uiPriority w:val="99"/>
    <w:semiHidden/>
    <w:rsid w:val="00F26EF2"/>
    <w:pPr>
      <w:spacing w:after="0" w:line="240" w:lineRule="auto"/>
    </w:pPr>
    <w:rPr>
      <w:rFonts w:ascii="Times New Roman" w:eastAsiaTheme="minorHAnsi" w:hAnsi="Times New Roman" w:cs="Times New Roman"/>
      <w:sz w:val="20"/>
      <w:szCs w:val="20"/>
      <w:lang w:eastAsia="en-US"/>
    </w:rPr>
  </w:style>
  <w:style w:type="character" w:customStyle="1" w:styleId="UnresolvedMention2">
    <w:name w:val="Unresolved Mention2"/>
    <w:basedOn w:val="DefaultParagraphFont"/>
    <w:uiPriority w:val="99"/>
    <w:semiHidden/>
    <w:unhideWhenUsed/>
    <w:rsid w:val="00F26EF2"/>
    <w:rPr>
      <w:color w:val="605E5C"/>
      <w:shd w:val="clear" w:color="auto" w:fill="E1DFDD"/>
    </w:rPr>
  </w:style>
  <w:style w:type="character" w:customStyle="1" w:styleId="UnresolvedMention3">
    <w:name w:val="Unresolved Mention3"/>
    <w:basedOn w:val="DefaultParagraphFont"/>
    <w:uiPriority w:val="99"/>
    <w:semiHidden/>
    <w:unhideWhenUsed/>
    <w:rsid w:val="00F26EF2"/>
    <w:rPr>
      <w:color w:val="605E5C"/>
      <w:shd w:val="clear" w:color="auto" w:fill="E1DFDD"/>
    </w:rPr>
  </w:style>
  <w:style w:type="character" w:customStyle="1" w:styleId="UnresolvedMention4">
    <w:name w:val="Unresolved Mention4"/>
    <w:basedOn w:val="DefaultParagraphFont"/>
    <w:uiPriority w:val="99"/>
    <w:semiHidden/>
    <w:unhideWhenUsed/>
    <w:rsid w:val="00F26EF2"/>
    <w:rPr>
      <w:color w:val="605E5C"/>
      <w:shd w:val="clear" w:color="auto" w:fill="E1DFDD"/>
    </w:rPr>
  </w:style>
  <w:style w:type="character" w:styleId="UnresolvedMention">
    <w:name w:val="Unresolved Mention"/>
    <w:basedOn w:val="DefaultParagraphFont"/>
    <w:uiPriority w:val="99"/>
    <w:semiHidden/>
    <w:unhideWhenUsed/>
    <w:rsid w:val="00255794"/>
    <w:rPr>
      <w:color w:val="605E5C"/>
      <w:shd w:val="clear" w:color="auto" w:fill="E1DFDD"/>
    </w:rPr>
  </w:style>
  <w:style w:type="paragraph" w:styleId="ListParagraph">
    <w:name w:val="List Paragraph"/>
    <w:basedOn w:val="Normal"/>
    <w:uiPriority w:val="34"/>
    <w:qFormat/>
    <w:rsid w:val="004B55E9"/>
    <w:pPr>
      <w:suppressAutoHyphens w:val="0"/>
      <w:kinsoku/>
      <w:overflowPunct/>
      <w:autoSpaceDE/>
      <w:autoSpaceDN/>
      <w:adjustRightInd/>
      <w:snapToGrid/>
      <w:spacing w:after="160" w:line="259" w:lineRule="auto"/>
      <w:ind w:left="720"/>
      <w:contextualSpacing/>
    </w:pPr>
    <w:rPr>
      <w:rFonts w:asciiTheme="minorHAnsi" w:eastAsiaTheme="minorEastAsia" w:hAnsiTheme="minorHAnsi" w:cstheme="minorBidi"/>
      <w:kern w:val="2"/>
      <w:sz w:val="22"/>
      <w:szCs w:val="22"/>
      <w:lang w:eastAsia="zh-CN"/>
      <w14:ligatures w14:val="standardContextual"/>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uiPriority w:val="99"/>
    <w:rsid w:val="00F1653E"/>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styleId="Emphasis">
    <w:name w:val="Emphasis"/>
    <w:uiPriority w:val="20"/>
    <w:qFormat/>
    <w:rsid w:val="00F1653E"/>
    <w:rPr>
      <w:b/>
      <w:bCs/>
      <w:i w:val="0"/>
      <w:iCs w:val="0"/>
    </w:rPr>
  </w:style>
  <w:style w:type="character" w:customStyle="1" w:styleId="st1">
    <w:name w:val="st1"/>
    <w:rsid w:val="00F1653E"/>
  </w:style>
  <w:style w:type="character" w:styleId="Mention">
    <w:name w:val="Mention"/>
    <w:basedOn w:val="DefaultParagraphFont"/>
    <w:uiPriority w:val="99"/>
    <w:unhideWhenUsed/>
    <w:rsid w:val="00C60E42"/>
    <w:rPr>
      <w:color w:val="2B579A"/>
      <w:shd w:val="clear" w:color="auto" w:fill="E1DFDD"/>
    </w:rPr>
  </w:style>
  <w:style w:type="character" w:customStyle="1" w:styleId="ui-provider">
    <w:name w:val="ui-provider"/>
    <w:basedOn w:val="DefaultParagraphFont"/>
    <w:rsid w:val="0055458A"/>
  </w:style>
  <w:style w:type="character" w:customStyle="1" w:styleId="cf01">
    <w:name w:val="cf01"/>
    <w:basedOn w:val="DefaultParagraphFont"/>
    <w:rsid w:val="00C91EBC"/>
    <w:rPr>
      <w:rFonts w:ascii="Segoe UI" w:hAnsi="Segoe UI" w:cs="Segoe UI" w:hint="default"/>
      <w:sz w:val="18"/>
      <w:szCs w:val="18"/>
    </w:rPr>
  </w:style>
  <w:style w:type="paragraph" w:customStyle="1" w:styleId="Default">
    <w:name w:val="Default"/>
    <w:rsid w:val="00E66A7B"/>
    <w:pPr>
      <w:autoSpaceDE w:val="0"/>
      <w:autoSpaceDN w:val="0"/>
      <w:adjustRightInd w:val="0"/>
      <w:spacing w:after="0" w:line="240" w:lineRule="auto"/>
    </w:pPr>
    <w:rPr>
      <w:rFonts w:ascii="Times New Roman" w:eastAsiaTheme="minorHAnsi" w:hAnsi="Times New Roman" w:cs="Times New Roman"/>
      <w:color w:val="000000"/>
      <w:sz w:val="24"/>
      <w:szCs w:val="24"/>
      <w:lang w:eastAsia="en-US"/>
      <w14:ligatures w14:val="standardContextual"/>
    </w:rPr>
  </w:style>
  <w:style w:type="paragraph" w:customStyle="1" w:styleId="pf0">
    <w:name w:val="pf0"/>
    <w:basedOn w:val="Normal"/>
    <w:rsid w:val="00321659"/>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14:ligatures w14:val="standardContextual"/>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Ref,ftref"/>
    <w:basedOn w:val="Normal"/>
    <w:uiPriority w:val="99"/>
    <w:rsid w:val="00237280"/>
    <w:pPr>
      <w:suppressAutoHyphens w:val="0"/>
      <w:kinsoku/>
      <w:overflowPunct/>
      <w:autoSpaceDE/>
      <w:autoSpaceDN/>
      <w:adjustRightInd/>
      <w:snapToGrid/>
      <w:spacing w:before="100" w:beforeAutospacing="1" w:after="40" w:line="276" w:lineRule="auto"/>
    </w:pPr>
    <w:rPr>
      <w:rFonts w:asciiTheme="minorHAnsi" w:hAnsiTheme="minorHAnsi" w:cstheme="minorBidi"/>
      <w:kern w:val="2"/>
      <w:sz w:val="22"/>
      <w:szCs w:val="22"/>
      <w:vertAlign w:val="superscript"/>
      <w14:ligatures w14:val="standardContextual"/>
    </w:rPr>
  </w:style>
  <w:style w:type="character" w:customStyle="1" w:styleId="break-words">
    <w:name w:val="break-words"/>
    <w:basedOn w:val="DefaultParagraphFont"/>
    <w:rsid w:val="00237280"/>
  </w:style>
  <w:style w:type="character" w:customStyle="1" w:styleId="apple-converted-space">
    <w:name w:val="apple-converted-space"/>
    <w:basedOn w:val="DefaultParagraphFont"/>
    <w:rsid w:val="00BA0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313219257">
      <w:bodyDiv w:val="1"/>
      <w:marLeft w:val="0"/>
      <w:marRight w:val="0"/>
      <w:marTop w:val="0"/>
      <w:marBottom w:val="0"/>
      <w:divBdr>
        <w:top w:val="none" w:sz="0" w:space="0" w:color="auto"/>
        <w:left w:val="none" w:sz="0" w:space="0" w:color="auto"/>
        <w:bottom w:val="none" w:sz="0" w:space="0" w:color="auto"/>
        <w:right w:val="none" w:sz="0" w:space="0" w:color="auto"/>
      </w:divBdr>
      <w:divsChild>
        <w:div w:id="1234006358">
          <w:marLeft w:val="0"/>
          <w:marRight w:val="0"/>
          <w:marTop w:val="0"/>
          <w:marBottom w:val="0"/>
          <w:divBdr>
            <w:top w:val="none" w:sz="0" w:space="0" w:color="auto"/>
            <w:left w:val="none" w:sz="0" w:space="0" w:color="auto"/>
            <w:bottom w:val="none" w:sz="0" w:space="0" w:color="auto"/>
            <w:right w:val="none" w:sz="0" w:space="0" w:color="auto"/>
          </w:divBdr>
        </w:div>
        <w:div w:id="1555237911">
          <w:marLeft w:val="0"/>
          <w:marRight w:val="0"/>
          <w:marTop w:val="0"/>
          <w:marBottom w:val="0"/>
          <w:divBdr>
            <w:top w:val="none" w:sz="0" w:space="0" w:color="auto"/>
            <w:left w:val="none" w:sz="0" w:space="0" w:color="auto"/>
            <w:bottom w:val="none" w:sz="0" w:space="0" w:color="auto"/>
            <w:right w:val="none" w:sz="0" w:space="0" w:color="auto"/>
          </w:divBdr>
        </w:div>
      </w:divsChild>
    </w:div>
    <w:div w:id="657459201">
      <w:bodyDiv w:val="1"/>
      <w:marLeft w:val="0"/>
      <w:marRight w:val="0"/>
      <w:marTop w:val="0"/>
      <w:marBottom w:val="0"/>
      <w:divBdr>
        <w:top w:val="none" w:sz="0" w:space="0" w:color="auto"/>
        <w:left w:val="none" w:sz="0" w:space="0" w:color="auto"/>
        <w:bottom w:val="none" w:sz="0" w:space="0" w:color="auto"/>
        <w:right w:val="none" w:sz="0" w:space="0" w:color="auto"/>
      </w:divBdr>
    </w:div>
    <w:div w:id="906184196">
      <w:bodyDiv w:val="1"/>
      <w:marLeft w:val="0"/>
      <w:marRight w:val="0"/>
      <w:marTop w:val="0"/>
      <w:marBottom w:val="0"/>
      <w:divBdr>
        <w:top w:val="none" w:sz="0" w:space="0" w:color="auto"/>
        <w:left w:val="none" w:sz="0" w:space="0" w:color="auto"/>
        <w:bottom w:val="none" w:sz="0" w:space="0" w:color="auto"/>
        <w:right w:val="none" w:sz="0" w:space="0" w:color="auto"/>
      </w:divBdr>
    </w:div>
    <w:div w:id="957492955">
      <w:bodyDiv w:val="1"/>
      <w:marLeft w:val="0"/>
      <w:marRight w:val="0"/>
      <w:marTop w:val="0"/>
      <w:marBottom w:val="0"/>
      <w:divBdr>
        <w:top w:val="none" w:sz="0" w:space="0" w:color="auto"/>
        <w:left w:val="none" w:sz="0" w:space="0" w:color="auto"/>
        <w:bottom w:val="none" w:sz="0" w:space="0" w:color="auto"/>
        <w:right w:val="none" w:sz="0" w:space="0" w:color="auto"/>
      </w:divBdr>
    </w:div>
    <w:div w:id="975570398">
      <w:bodyDiv w:val="1"/>
      <w:marLeft w:val="0"/>
      <w:marRight w:val="0"/>
      <w:marTop w:val="0"/>
      <w:marBottom w:val="0"/>
      <w:divBdr>
        <w:top w:val="none" w:sz="0" w:space="0" w:color="auto"/>
        <w:left w:val="none" w:sz="0" w:space="0" w:color="auto"/>
        <w:bottom w:val="none" w:sz="0" w:space="0" w:color="auto"/>
        <w:right w:val="none" w:sz="0" w:space="0" w:color="auto"/>
      </w:divBdr>
    </w:div>
    <w:div w:id="1159538427">
      <w:bodyDiv w:val="1"/>
      <w:marLeft w:val="0"/>
      <w:marRight w:val="0"/>
      <w:marTop w:val="0"/>
      <w:marBottom w:val="0"/>
      <w:divBdr>
        <w:top w:val="none" w:sz="0" w:space="0" w:color="auto"/>
        <w:left w:val="none" w:sz="0" w:space="0" w:color="auto"/>
        <w:bottom w:val="none" w:sz="0" w:space="0" w:color="auto"/>
        <w:right w:val="none" w:sz="0" w:space="0" w:color="auto"/>
      </w:divBdr>
    </w:div>
    <w:div w:id="15408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documents/issues/escr/workshops/accessmedicines2021/stm-ie-albinism-miti-drummond.docx" TargetMode="External"/><Relationship Id="rId2" Type="http://schemas.openxmlformats.org/officeDocument/2006/relationships/hyperlink" Target="https://www.who.int/health-topics/universal-health-coverage#tab=tab_1" TargetMode="External"/><Relationship Id="rId1" Type="http://schemas.openxmlformats.org/officeDocument/2006/relationships/hyperlink" Target="https://documents.un.org/doc/undoc/gen/g23/093/49/pdf/g2309349.pdf?token=Rqab7xtfrbGWcUj4eN&amp;fe=true" TargetMode="External"/><Relationship Id="rId5" Type="http://schemas.openxmlformats.org/officeDocument/2006/relationships/hyperlink" Target="http://undocs.org/en/A/63/263" TargetMode="External"/><Relationship Id="rId4" Type="http://schemas.openxmlformats.org/officeDocument/2006/relationships/hyperlink" Target="http://www.who.int/news-room/questions-and-answers/item/neglected-tropical-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C07A3-1C8C-45C9-9835-69D849ED5E94}">
  <ds:schemaRefs>
    <ds:schemaRef ds:uri="http://schemas.microsoft.com/office/2006/metadata/properties"/>
    <ds:schemaRef ds:uri="http://schemas.microsoft.com/office/infopath/2007/PartnerControls"/>
    <ds:schemaRef ds:uri="0314c119-7b3a-4a84-ba4c-ba2880b6cd3d"/>
    <ds:schemaRef ds:uri="dde0ec8c-57d9-48ca-820d-2254a79dd3c3"/>
  </ds:schemaRefs>
</ds:datastoreItem>
</file>

<file path=customXml/itemProps2.xml><?xml version="1.0" encoding="utf-8"?>
<ds:datastoreItem xmlns:ds="http://schemas.openxmlformats.org/officeDocument/2006/customXml" ds:itemID="{62E14D05-A2F6-4A17-9561-33F71E476B62}">
  <ds:schemaRefs>
    <ds:schemaRef ds:uri="http://schemas.openxmlformats.org/officeDocument/2006/bibliography"/>
  </ds:schemaRefs>
</ds:datastoreItem>
</file>

<file path=customXml/itemProps3.xml><?xml version="1.0" encoding="utf-8"?>
<ds:datastoreItem xmlns:ds="http://schemas.openxmlformats.org/officeDocument/2006/customXml" ds:itemID="{109DDD24-8FE8-4660-9D62-45E7A1D16FA9}">
  <ds:schemaRefs>
    <ds:schemaRef ds:uri="http://schemas.microsoft.com/sharepoint/v3/contenttype/forms"/>
  </ds:schemaRefs>
</ds:datastoreItem>
</file>

<file path=customXml/itemProps4.xml><?xml version="1.0" encoding="utf-8"?>
<ds:datastoreItem xmlns:ds="http://schemas.openxmlformats.org/officeDocument/2006/customXml" ds:itemID="{3AA718B0-23B3-4526-B6E2-D7F06433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6700</Words>
  <Characters>39465</Characters>
  <Application>Microsoft Office Word</Application>
  <DocSecurity>4</DocSecurity>
  <Lines>589</Lines>
  <Paragraphs>132</Paragraphs>
  <ScaleCrop>false</ScaleCrop>
  <HeadingPairs>
    <vt:vector size="2" baseType="variant">
      <vt:variant>
        <vt:lpstr>Title</vt:lpstr>
      </vt:variant>
      <vt:variant>
        <vt:i4>1</vt:i4>
      </vt:variant>
    </vt:vector>
  </HeadingPairs>
  <TitlesOfParts>
    <vt:vector size="1" baseType="lpstr">
      <vt:lpstr>A/HRC/49/35</vt:lpstr>
    </vt:vector>
  </TitlesOfParts>
  <Company>DCM</Company>
  <LinksUpToDate>false</LinksUpToDate>
  <CharactersWithSpaces>46033</CharactersWithSpaces>
  <SharedDoc>false</SharedDoc>
  <HLinks>
    <vt:vector size="192" baseType="variant">
      <vt:variant>
        <vt:i4>655383</vt:i4>
      </vt:variant>
      <vt:variant>
        <vt:i4>102</vt:i4>
      </vt:variant>
      <vt:variant>
        <vt:i4>0</vt:i4>
      </vt:variant>
      <vt:variant>
        <vt:i4>5</vt:i4>
      </vt:variant>
      <vt:variant>
        <vt:lpwstr>http://undocs.org/en/A/63/263</vt:lpwstr>
      </vt:variant>
      <vt:variant>
        <vt:lpwstr/>
      </vt:variant>
      <vt:variant>
        <vt:i4>3211342</vt:i4>
      </vt:variant>
      <vt:variant>
        <vt:i4>99</vt:i4>
      </vt:variant>
      <vt:variant>
        <vt:i4>0</vt:i4>
      </vt:variant>
      <vt:variant>
        <vt:i4>5</vt:i4>
      </vt:variant>
      <vt:variant>
        <vt:lpwstr>https://apps.who.int/gb/inb/pdf_files/inb9/A_inb9_3-en.pdf</vt:lpwstr>
      </vt:variant>
      <vt:variant>
        <vt:lpwstr/>
      </vt:variant>
      <vt:variant>
        <vt:i4>7798822</vt:i4>
      </vt:variant>
      <vt:variant>
        <vt:i4>96</vt:i4>
      </vt:variant>
      <vt:variant>
        <vt:i4>0</vt:i4>
      </vt:variant>
      <vt:variant>
        <vt:i4>5</vt:i4>
      </vt:variant>
      <vt:variant>
        <vt:lpwstr>https://www.ohchr.org/en/statements-and-speeches/2024/01/integrating-human-rights-international-financial-architecture</vt:lpwstr>
      </vt:variant>
      <vt:variant>
        <vt:lpwstr/>
      </vt:variant>
      <vt:variant>
        <vt:i4>2097219</vt:i4>
      </vt:variant>
      <vt:variant>
        <vt:i4>93</vt:i4>
      </vt:variant>
      <vt:variant>
        <vt:i4>0</vt:i4>
      </vt:variant>
      <vt:variant>
        <vt:i4>5</vt:i4>
      </vt:variant>
      <vt:variant>
        <vt:lpwstr>https://www.idos-research.de/uploads/media/PB_11.2023.pdf</vt:lpwstr>
      </vt:variant>
      <vt:variant>
        <vt:lpwstr/>
      </vt:variant>
      <vt:variant>
        <vt:i4>3801142</vt:i4>
      </vt:variant>
      <vt:variant>
        <vt:i4>90</vt:i4>
      </vt:variant>
      <vt:variant>
        <vt:i4>0</vt:i4>
      </vt:variant>
      <vt:variant>
        <vt:i4>5</vt:i4>
      </vt:variant>
      <vt:variant>
        <vt:lpwstr>https://www.who.int/teams/health-systems-governance-and-financing/health-financing/diagnostics/health-financing-progress-matrix</vt:lpwstr>
      </vt:variant>
      <vt:variant>
        <vt:lpwstr/>
      </vt:variant>
      <vt:variant>
        <vt:i4>7995481</vt:i4>
      </vt:variant>
      <vt:variant>
        <vt:i4>87</vt:i4>
      </vt:variant>
      <vt:variant>
        <vt:i4>0</vt:i4>
      </vt:variant>
      <vt:variant>
        <vt:i4>5</vt:i4>
      </vt:variant>
      <vt:variant>
        <vt:lpwstr>https://cdn.who.int/media/docs/default-source/universal-health-coverage/who-uhl-technical-brief-disability.pdf?sfvrsn=7e31cb97_3&amp;download=true</vt:lpwstr>
      </vt:variant>
      <vt:variant>
        <vt:lpwstr/>
      </vt:variant>
      <vt:variant>
        <vt:i4>1966146</vt:i4>
      </vt:variant>
      <vt:variant>
        <vt:i4>84</vt:i4>
      </vt:variant>
      <vt:variant>
        <vt:i4>0</vt:i4>
      </vt:variant>
      <vt:variant>
        <vt:i4>5</vt:i4>
      </vt:variant>
      <vt:variant>
        <vt:lpwstr>https://www.who.int/publications/i/item/9789240063600</vt:lpwstr>
      </vt:variant>
      <vt:variant>
        <vt:lpwstr/>
      </vt:variant>
      <vt:variant>
        <vt:i4>1507342</vt:i4>
      </vt:variant>
      <vt:variant>
        <vt:i4>81</vt:i4>
      </vt:variant>
      <vt:variant>
        <vt:i4>0</vt:i4>
      </vt:variant>
      <vt:variant>
        <vt:i4>5</vt:i4>
      </vt:variant>
      <vt:variant>
        <vt:lpwstr>https://www.who.int/publications/i/item/pooling-financial-resources-for-universal-health-coverage-options-for-reform</vt:lpwstr>
      </vt:variant>
      <vt:variant>
        <vt:lpwstr/>
      </vt:variant>
      <vt:variant>
        <vt:i4>1704002</vt:i4>
      </vt:variant>
      <vt:variant>
        <vt:i4>78</vt:i4>
      </vt:variant>
      <vt:variant>
        <vt:i4>0</vt:i4>
      </vt:variant>
      <vt:variant>
        <vt:i4>5</vt:i4>
      </vt:variant>
      <vt:variant>
        <vt:lpwstr>https://www.who.int/publications/i/item/9789241507158</vt:lpwstr>
      </vt:variant>
      <vt:variant>
        <vt:lpwstr/>
      </vt:variant>
      <vt:variant>
        <vt:i4>5439565</vt:i4>
      </vt:variant>
      <vt:variant>
        <vt:i4>75</vt:i4>
      </vt:variant>
      <vt:variant>
        <vt:i4>0</vt:i4>
      </vt:variant>
      <vt:variant>
        <vt:i4>5</vt:i4>
      </vt:variant>
      <vt:variant>
        <vt:lpwstr>http://apps.who.int/iris/handle/10665/44371: http:/www.who.int/whr/2010/en/index.html</vt:lpwstr>
      </vt:variant>
      <vt:variant>
        <vt:lpwstr/>
      </vt:variant>
      <vt:variant>
        <vt:i4>1507345</vt:i4>
      </vt:variant>
      <vt:variant>
        <vt:i4>72</vt:i4>
      </vt:variant>
      <vt:variant>
        <vt:i4>0</vt:i4>
      </vt:variant>
      <vt:variant>
        <vt:i4>5</vt:i4>
      </vt:variant>
      <vt:variant>
        <vt:lpwstr>https://www.who.int/news-room/questions-and-answers/item/neglected-tropical-diseases</vt:lpwstr>
      </vt:variant>
      <vt:variant>
        <vt:lpwstr/>
      </vt:variant>
      <vt:variant>
        <vt:i4>2883620</vt:i4>
      </vt:variant>
      <vt:variant>
        <vt:i4>69</vt:i4>
      </vt:variant>
      <vt:variant>
        <vt:i4>0</vt:i4>
      </vt:variant>
      <vt:variant>
        <vt:i4>5</vt:i4>
      </vt:variant>
      <vt:variant>
        <vt:lpwstr>https://www.emro.who.int/images/stories/sudan/WHO-Sudan-conflict-situation-report-15-December-2023.pdf</vt:lpwstr>
      </vt:variant>
      <vt:variant>
        <vt:lpwstr/>
      </vt:variant>
      <vt:variant>
        <vt:i4>1179667</vt:i4>
      </vt:variant>
      <vt:variant>
        <vt:i4>66</vt:i4>
      </vt:variant>
      <vt:variant>
        <vt:i4>0</vt:i4>
      </vt:variant>
      <vt:variant>
        <vt:i4>5</vt:i4>
      </vt:variant>
      <vt:variant>
        <vt:lpwstr>https://www.msf.org/five-ways-war-gaza-impacting-palestinians-health</vt:lpwstr>
      </vt:variant>
      <vt:variant>
        <vt:lpwstr/>
      </vt:variant>
      <vt:variant>
        <vt:i4>3604527</vt:i4>
      </vt:variant>
      <vt:variant>
        <vt:i4>63</vt:i4>
      </vt:variant>
      <vt:variant>
        <vt:i4>0</vt:i4>
      </vt:variant>
      <vt:variant>
        <vt:i4>5</vt:i4>
      </vt:variant>
      <vt:variant>
        <vt:lpwstr>https://phr.org/our-work/resources/one-year-anniversary-of-the-myanmar-coup-detat/</vt:lpwstr>
      </vt:variant>
      <vt:variant>
        <vt:lpwstr/>
      </vt:variant>
      <vt:variant>
        <vt:i4>5046353</vt:i4>
      </vt:variant>
      <vt:variant>
        <vt:i4>60</vt:i4>
      </vt:variant>
      <vt:variant>
        <vt:i4>0</vt:i4>
      </vt:variant>
      <vt:variant>
        <vt:i4>5</vt:i4>
      </vt:variant>
      <vt:variant>
        <vt:lpwstr>https://www.ohchr.org/sites/default/files/documents/countries/ukraine/2023/2023-HRMMU-Briefing-Note-Older-Persons-ENG.pdf</vt:lpwstr>
      </vt:variant>
      <vt:variant>
        <vt:lpwstr/>
      </vt:variant>
      <vt:variant>
        <vt:i4>4390983</vt:i4>
      </vt:variant>
      <vt:variant>
        <vt:i4>57</vt:i4>
      </vt:variant>
      <vt:variant>
        <vt:i4>0</vt:i4>
      </vt:variant>
      <vt:variant>
        <vt:i4>5</vt:i4>
      </vt:variant>
      <vt:variant>
        <vt:lpwstr>https://www.doctorswithoutborders.org/latest/sudan-health-system-verge-collapse-khartoum</vt:lpwstr>
      </vt:variant>
      <vt:variant>
        <vt:lpwstr/>
      </vt:variant>
      <vt:variant>
        <vt:i4>1245192</vt:i4>
      </vt:variant>
      <vt:variant>
        <vt:i4>54</vt:i4>
      </vt:variant>
      <vt:variant>
        <vt:i4>0</vt:i4>
      </vt:variant>
      <vt:variant>
        <vt:i4>5</vt:i4>
      </vt:variant>
      <vt:variant>
        <vt:lpwstr>https://reliefweb.int/report/sudan/restrictions-and-lack-medicines-deprive-people-khartoum-state-lifesaving-care</vt:lpwstr>
      </vt:variant>
      <vt:variant>
        <vt:lpwstr/>
      </vt:variant>
      <vt:variant>
        <vt:i4>4784143</vt:i4>
      </vt:variant>
      <vt:variant>
        <vt:i4>48</vt:i4>
      </vt:variant>
      <vt:variant>
        <vt:i4>0</vt:i4>
      </vt:variant>
      <vt:variant>
        <vt:i4>5</vt:i4>
      </vt:variant>
      <vt:variant>
        <vt:lpwstr>https://www.ohchr.org/sites/default/files/documents/issues/escr/workshops/accessmedicines2021/stm-ie-albinism-miti-drummond.docx</vt:lpwstr>
      </vt:variant>
      <vt:variant>
        <vt:lpwstr/>
      </vt:variant>
      <vt:variant>
        <vt:i4>2555968</vt:i4>
      </vt:variant>
      <vt:variant>
        <vt:i4>39</vt:i4>
      </vt:variant>
      <vt:variant>
        <vt:i4>0</vt:i4>
      </vt:variant>
      <vt:variant>
        <vt:i4>5</vt:i4>
      </vt:variant>
      <vt:variant>
        <vt:lpwstr>https://www.ohchr.org/sites/default/files/Documents/Issues/Albinism/Albinism_Worldwide_Report2021_EN.pdf</vt:lpwstr>
      </vt:variant>
      <vt:variant>
        <vt:lpwstr/>
      </vt:variant>
      <vt:variant>
        <vt:i4>4784143</vt:i4>
      </vt:variant>
      <vt:variant>
        <vt:i4>36</vt:i4>
      </vt:variant>
      <vt:variant>
        <vt:i4>0</vt:i4>
      </vt:variant>
      <vt:variant>
        <vt:i4>5</vt:i4>
      </vt:variant>
      <vt:variant>
        <vt:lpwstr>https://www.ohchr.org/sites/default/files/documents/issues/escr/workshops/accessmedicines2021/stm-ie-albinism-miti-drummond.docx</vt:lpwstr>
      </vt:variant>
      <vt:variant>
        <vt:lpwstr/>
      </vt:variant>
      <vt:variant>
        <vt:i4>2555968</vt:i4>
      </vt:variant>
      <vt:variant>
        <vt:i4>33</vt:i4>
      </vt:variant>
      <vt:variant>
        <vt:i4>0</vt:i4>
      </vt:variant>
      <vt:variant>
        <vt:i4>5</vt:i4>
      </vt:variant>
      <vt:variant>
        <vt:lpwstr>https://www.ohchr.org/sites/default/files/Documents/Issues/Albinism/Albinism_Worldwide_Report2021_EN.pdf</vt:lpwstr>
      </vt:variant>
      <vt:variant>
        <vt:lpwstr/>
      </vt:variant>
      <vt:variant>
        <vt:i4>5963810</vt:i4>
      </vt:variant>
      <vt:variant>
        <vt:i4>30</vt:i4>
      </vt:variant>
      <vt:variant>
        <vt:i4>0</vt:i4>
      </vt:variant>
      <vt:variant>
        <vt:i4>5</vt:i4>
      </vt:variant>
      <vt:variant>
        <vt:lpwstr>https://www.ohchr.org/sites/default/files/Documents/Issues/Women/WRGS/SexualHealth/INFO_Contra_FamPlan_WEB.pdf</vt:lpwstr>
      </vt:variant>
      <vt:variant>
        <vt:lpwstr/>
      </vt:variant>
      <vt:variant>
        <vt:i4>5242883</vt:i4>
      </vt:variant>
      <vt:variant>
        <vt:i4>27</vt:i4>
      </vt:variant>
      <vt:variant>
        <vt:i4>0</vt:i4>
      </vt:variant>
      <vt:variant>
        <vt:i4>5</vt:i4>
      </vt:variant>
      <vt:variant>
        <vt:lpwstr>\\fshq.ad.ohchr.org\redirected$\khaled.hassine\Desktop\2022-access-to-medicine-index-1668514482.pdf</vt:lpwstr>
      </vt:variant>
      <vt:variant>
        <vt:lpwstr/>
      </vt:variant>
      <vt:variant>
        <vt:i4>4325407</vt:i4>
      </vt:variant>
      <vt:variant>
        <vt:i4>24</vt:i4>
      </vt:variant>
      <vt:variant>
        <vt:i4>0</vt:i4>
      </vt:variant>
      <vt:variant>
        <vt:i4>5</vt:i4>
      </vt:variant>
      <vt:variant>
        <vt:lpwstr>https://www.protectourcare.org/wp-content/uploads/2021/06/POC-How-High-Drug-Costs-Hurt-Women-.pdf</vt:lpwstr>
      </vt:variant>
      <vt:variant>
        <vt:lpwstr/>
      </vt:variant>
      <vt:variant>
        <vt:i4>4456536</vt:i4>
      </vt:variant>
      <vt:variant>
        <vt:i4>21</vt:i4>
      </vt:variant>
      <vt:variant>
        <vt:i4>0</vt:i4>
      </vt:variant>
      <vt:variant>
        <vt:i4>5</vt:i4>
      </vt:variant>
      <vt:variant>
        <vt:lpwstr>https://www.who.int/initiatives/beijing25</vt:lpwstr>
      </vt:variant>
      <vt:variant>
        <vt:lpwstr/>
      </vt:variant>
      <vt:variant>
        <vt:i4>1441818</vt:i4>
      </vt:variant>
      <vt:variant>
        <vt:i4>18</vt:i4>
      </vt:variant>
      <vt:variant>
        <vt:i4>0</vt:i4>
      </vt:variant>
      <vt:variant>
        <vt:i4>5</vt:i4>
      </vt:variant>
      <vt:variant>
        <vt:lpwstr>https://www.rarediseasesinternational.org/new-scientific-paper-confirms-300-million-people-living-with-a-rare-disease-worldwide/</vt:lpwstr>
      </vt:variant>
      <vt:variant>
        <vt:lpwstr/>
      </vt:variant>
      <vt:variant>
        <vt:i4>2359422</vt:i4>
      </vt:variant>
      <vt:variant>
        <vt:i4>15</vt:i4>
      </vt:variant>
      <vt:variant>
        <vt:i4>0</vt:i4>
      </vt:variant>
      <vt:variant>
        <vt:i4>5</vt:i4>
      </vt:variant>
      <vt:variant>
        <vt:lpwstr>http://www.sciencedirect.com/science/article/abs/pii/S0149291817308329?via%253</vt:lpwstr>
      </vt:variant>
      <vt:variant>
        <vt:lpwstr/>
      </vt:variant>
      <vt:variant>
        <vt:i4>4390973</vt:i4>
      </vt:variant>
      <vt:variant>
        <vt:i4>12</vt:i4>
      </vt:variant>
      <vt:variant>
        <vt:i4>0</vt:i4>
      </vt:variant>
      <vt:variant>
        <vt:i4>5</vt:i4>
      </vt:variant>
      <vt:variant>
        <vt:lpwstr>https://www.who.int/health-topics/universal-health-coverage</vt:lpwstr>
      </vt:variant>
      <vt:variant>
        <vt:lpwstr>tab=tab_1</vt:lpwstr>
      </vt:variant>
      <vt:variant>
        <vt:i4>5439516</vt:i4>
      </vt:variant>
      <vt:variant>
        <vt:i4>9</vt:i4>
      </vt:variant>
      <vt:variant>
        <vt:i4>0</vt:i4>
      </vt:variant>
      <vt:variant>
        <vt:i4>5</vt:i4>
      </vt:variant>
      <vt:variant>
        <vt:lpwstr>https://www.ohchr.org/sites/default/files/Documents/Issues/ESCR/E-2015-59.pdf</vt:lpwstr>
      </vt:variant>
      <vt:variant>
        <vt:lpwstr/>
      </vt:variant>
      <vt:variant>
        <vt:i4>2949172</vt:i4>
      </vt:variant>
      <vt:variant>
        <vt:i4>6</vt:i4>
      </vt:variant>
      <vt:variant>
        <vt:i4>0</vt:i4>
      </vt:variant>
      <vt:variant>
        <vt:i4>5</vt:i4>
      </vt:variant>
      <vt:variant>
        <vt:lpwstr>https://documents.un.org/doc/undoc/gen/g23/093/49/pdf/g2309349.pdf?token=Rqab7xtfrbGWcUj4eN&amp;fe=true</vt:lpwstr>
      </vt:variant>
      <vt:variant>
        <vt:lpwstr/>
      </vt:variant>
      <vt:variant>
        <vt:i4>5046278</vt:i4>
      </vt:variant>
      <vt:variant>
        <vt:i4>3</vt:i4>
      </vt:variant>
      <vt:variant>
        <vt:i4>0</vt:i4>
      </vt:variant>
      <vt:variant>
        <vt:i4>5</vt:i4>
      </vt:variant>
      <vt:variant>
        <vt:lpwstr>https://www.ohchr.org/en/events/events/2024/expert-workshop-key-challenges-and-new-developments-ensuring-access-medicines</vt:lpwstr>
      </vt:variant>
      <vt:variant>
        <vt:lpwstr/>
      </vt:variant>
      <vt:variant>
        <vt:i4>5046278</vt:i4>
      </vt:variant>
      <vt:variant>
        <vt:i4>0</vt:i4>
      </vt:variant>
      <vt:variant>
        <vt:i4>0</vt:i4>
      </vt:variant>
      <vt:variant>
        <vt:i4>5</vt:i4>
      </vt:variant>
      <vt:variant>
        <vt:lpwstr>https://www.ohchr.org/en/events/events/2024/expert-workshop-key-challenges-and-new-developments-ensuring-access-medicines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A/HRC/49/35</dc:title>
  <dc:subject>2201239</dc:subject>
  <dc:creator>CPM</dc:creator>
  <cp:keywords/>
  <dc:description/>
  <cp:lastModifiedBy>Veronique Lanz</cp:lastModifiedBy>
  <cp:revision>2</cp:revision>
  <cp:lastPrinted>2022-02-05T22:52:00Z</cp:lastPrinted>
  <dcterms:created xsi:type="dcterms:W3CDTF">2024-07-02T12:36:00Z</dcterms:created>
  <dcterms:modified xsi:type="dcterms:W3CDTF">2024-07-02T12:36:00Z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y fmtid="{D5CDD505-2E9C-101B-9397-08002B2CF9AE}" pid="4" name="Order">
    <vt:r8>100</vt:r8>
  </property>
</Properties>
</file>