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3E238" w14:textId="6C2B65FF" w:rsidR="008D3A9E" w:rsidRPr="00F47E4B" w:rsidRDefault="008D3A9E" w:rsidP="002E41E9">
      <w:pPr>
        <w:spacing w:after="0" w:line="240" w:lineRule="auto"/>
        <w:jc w:val="center"/>
        <w:rPr>
          <w:rFonts w:asciiTheme="minorHAnsi" w:hAnsiTheme="minorHAnsi" w:cstheme="minorHAnsi"/>
          <w:b/>
          <w:sz w:val="28"/>
          <w:szCs w:val="24"/>
        </w:rPr>
      </w:pPr>
      <w:r w:rsidRPr="00F47E4B">
        <w:rPr>
          <w:rFonts w:asciiTheme="minorHAnsi" w:hAnsiTheme="minorHAnsi" w:cstheme="minorHAnsi"/>
          <w:b/>
          <w:sz w:val="28"/>
          <w:szCs w:val="24"/>
        </w:rPr>
        <w:t>5</w:t>
      </w:r>
      <w:r w:rsidR="009E6BBF">
        <w:rPr>
          <w:rFonts w:asciiTheme="minorHAnsi" w:hAnsiTheme="minorHAnsi" w:cstheme="minorHAnsi"/>
          <w:b/>
          <w:sz w:val="28"/>
          <w:szCs w:val="24"/>
        </w:rPr>
        <w:t>6</w:t>
      </w:r>
      <w:r w:rsidR="001C73E8" w:rsidRPr="00F47E4B">
        <w:rPr>
          <w:rFonts w:asciiTheme="minorHAnsi" w:hAnsiTheme="minorHAnsi" w:cstheme="minorHAnsi"/>
          <w:b/>
          <w:sz w:val="28"/>
          <w:szCs w:val="24"/>
        </w:rPr>
        <w:t>th</w:t>
      </w:r>
      <w:r w:rsidRPr="00F47E4B">
        <w:rPr>
          <w:rFonts w:asciiTheme="minorHAnsi" w:hAnsiTheme="minorHAnsi" w:cstheme="minorHAnsi"/>
          <w:b/>
          <w:sz w:val="28"/>
          <w:szCs w:val="24"/>
        </w:rPr>
        <w:t xml:space="preserve"> session of the Human Rights Council</w:t>
      </w:r>
    </w:p>
    <w:p w14:paraId="012FAF56" w14:textId="77777777" w:rsidR="008D3A9E" w:rsidRPr="00F47E4B" w:rsidRDefault="008D3A9E" w:rsidP="002E41E9">
      <w:pPr>
        <w:spacing w:after="0" w:line="240" w:lineRule="auto"/>
        <w:jc w:val="center"/>
        <w:rPr>
          <w:rFonts w:asciiTheme="minorHAnsi" w:hAnsiTheme="minorHAnsi" w:cstheme="minorHAnsi"/>
          <w:b/>
          <w:sz w:val="28"/>
          <w:szCs w:val="24"/>
        </w:rPr>
      </w:pPr>
    </w:p>
    <w:p w14:paraId="42678E85" w14:textId="4704C641" w:rsidR="001C73E8" w:rsidRDefault="009E6BBF" w:rsidP="002E41E9">
      <w:pPr>
        <w:spacing w:after="0" w:line="240" w:lineRule="auto"/>
        <w:jc w:val="center"/>
        <w:rPr>
          <w:rFonts w:asciiTheme="minorHAnsi" w:hAnsiTheme="minorHAnsi" w:cstheme="minorHAnsi"/>
          <w:b/>
          <w:sz w:val="28"/>
          <w:szCs w:val="24"/>
        </w:rPr>
      </w:pPr>
      <w:r w:rsidRPr="009E6BBF">
        <w:rPr>
          <w:rFonts w:asciiTheme="minorHAnsi" w:hAnsiTheme="minorHAnsi" w:cstheme="minorHAnsi"/>
          <w:b/>
          <w:sz w:val="28"/>
          <w:szCs w:val="24"/>
        </w:rPr>
        <w:t xml:space="preserve">Annual thematic panel discussion on technical cooperation and capacity-building </w:t>
      </w:r>
    </w:p>
    <w:p w14:paraId="677175D9" w14:textId="77777777" w:rsidR="00D3030D" w:rsidRDefault="00D3030D" w:rsidP="002E41E9">
      <w:pPr>
        <w:spacing w:after="0" w:line="240" w:lineRule="auto"/>
        <w:jc w:val="center"/>
        <w:rPr>
          <w:rFonts w:asciiTheme="minorHAnsi" w:hAnsiTheme="minorHAnsi" w:cstheme="minorHAnsi"/>
          <w:b/>
          <w:sz w:val="28"/>
          <w:szCs w:val="28"/>
        </w:rPr>
      </w:pPr>
    </w:p>
    <w:p w14:paraId="4FBBC409" w14:textId="1205751B" w:rsidR="009E6BBF" w:rsidRPr="00E26A1C" w:rsidRDefault="009E6BBF" w:rsidP="002E41E9">
      <w:pPr>
        <w:spacing w:after="0" w:line="240" w:lineRule="auto"/>
        <w:jc w:val="center"/>
        <w:rPr>
          <w:rFonts w:asciiTheme="minorHAnsi" w:hAnsiTheme="minorHAnsi" w:cstheme="minorHAnsi"/>
          <w:b/>
          <w:sz w:val="28"/>
          <w:szCs w:val="28"/>
        </w:rPr>
      </w:pPr>
      <w:r w:rsidRPr="00E26A1C">
        <w:rPr>
          <w:rFonts w:asciiTheme="minorHAnsi" w:hAnsiTheme="minorHAnsi" w:cstheme="minorHAnsi"/>
          <w:b/>
          <w:sz w:val="28"/>
          <w:szCs w:val="28"/>
        </w:rPr>
        <w:t>Theme: Enhancing technical coo</w:t>
      </w:r>
      <w:r w:rsidR="00B438DA">
        <w:rPr>
          <w:rFonts w:asciiTheme="minorHAnsi" w:hAnsiTheme="minorHAnsi" w:cstheme="minorHAnsi"/>
          <w:b/>
          <w:sz w:val="28"/>
          <w:szCs w:val="28"/>
        </w:rPr>
        <w:t>peration</w:t>
      </w:r>
      <w:r w:rsidRPr="00E26A1C">
        <w:rPr>
          <w:rFonts w:asciiTheme="minorHAnsi" w:hAnsiTheme="minorHAnsi" w:cstheme="minorHAnsi"/>
          <w:b/>
          <w:sz w:val="28"/>
          <w:szCs w:val="28"/>
        </w:rPr>
        <w:t xml:space="preserve"> and capacity-building </w:t>
      </w:r>
      <w:r w:rsidR="000B4E50">
        <w:rPr>
          <w:rFonts w:asciiTheme="minorHAnsi" w:hAnsiTheme="minorHAnsi" w:cstheme="minorHAnsi"/>
          <w:b/>
          <w:sz w:val="28"/>
          <w:szCs w:val="28"/>
        </w:rPr>
        <w:br/>
      </w:r>
      <w:r w:rsidRPr="00E26A1C">
        <w:rPr>
          <w:rFonts w:asciiTheme="minorHAnsi" w:hAnsiTheme="minorHAnsi" w:cstheme="minorHAnsi"/>
          <w:b/>
          <w:sz w:val="28"/>
          <w:szCs w:val="28"/>
        </w:rPr>
        <w:t>in the implementation of universal periodic review recommendations</w:t>
      </w:r>
    </w:p>
    <w:p w14:paraId="6FC8F415" w14:textId="1213458E" w:rsidR="008D3A9E" w:rsidRPr="009E6BBF" w:rsidRDefault="008D3A9E" w:rsidP="002E41E9">
      <w:pPr>
        <w:spacing w:after="0" w:line="240" w:lineRule="auto"/>
        <w:jc w:val="both"/>
        <w:rPr>
          <w:rFonts w:asciiTheme="minorHAnsi" w:hAnsiTheme="minorHAnsi" w:cstheme="minorHAnsi"/>
          <w:i/>
          <w:sz w:val="24"/>
          <w:szCs w:val="24"/>
        </w:rPr>
      </w:pPr>
    </w:p>
    <w:p w14:paraId="0B48BD19" w14:textId="6E35E8D0" w:rsidR="008D3A9E" w:rsidRPr="00F47E4B" w:rsidRDefault="008D3A9E" w:rsidP="002E41E9">
      <w:pPr>
        <w:spacing w:after="0" w:line="240" w:lineRule="auto"/>
        <w:jc w:val="center"/>
        <w:rPr>
          <w:rFonts w:asciiTheme="minorHAnsi" w:hAnsiTheme="minorHAnsi" w:cstheme="minorHAnsi"/>
          <w:b/>
          <w:i/>
          <w:sz w:val="26"/>
          <w:szCs w:val="26"/>
        </w:rPr>
      </w:pPr>
      <w:r w:rsidRPr="00F47E4B">
        <w:rPr>
          <w:rFonts w:asciiTheme="minorHAnsi" w:hAnsiTheme="minorHAnsi" w:cstheme="minorHAnsi"/>
          <w:b/>
          <w:i/>
          <w:sz w:val="26"/>
          <w:szCs w:val="26"/>
        </w:rPr>
        <w:t xml:space="preserve">Concept </w:t>
      </w:r>
      <w:r w:rsidR="002600E3" w:rsidRPr="00F47E4B">
        <w:rPr>
          <w:rFonts w:asciiTheme="minorHAnsi" w:hAnsiTheme="minorHAnsi" w:cstheme="minorHAnsi"/>
          <w:b/>
          <w:i/>
          <w:sz w:val="26"/>
          <w:szCs w:val="26"/>
        </w:rPr>
        <w:t>n</w:t>
      </w:r>
      <w:r w:rsidRPr="00F47E4B">
        <w:rPr>
          <w:rFonts w:asciiTheme="minorHAnsi" w:hAnsiTheme="minorHAnsi" w:cstheme="minorHAnsi"/>
          <w:b/>
          <w:i/>
          <w:sz w:val="26"/>
          <w:szCs w:val="26"/>
        </w:rPr>
        <w:t>ote</w:t>
      </w:r>
      <w:r w:rsidRPr="00F47E4B">
        <w:rPr>
          <w:rFonts w:asciiTheme="minorHAnsi" w:hAnsiTheme="minorHAnsi" w:cstheme="minorHAnsi"/>
          <w:bCs/>
          <w:i/>
          <w:sz w:val="26"/>
          <w:szCs w:val="26"/>
        </w:rPr>
        <w:t xml:space="preserve"> </w:t>
      </w:r>
      <w:r w:rsidR="002600E3" w:rsidRPr="00F47E4B">
        <w:rPr>
          <w:rFonts w:asciiTheme="minorHAnsi" w:hAnsiTheme="minorHAnsi" w:cstheme="minorHAnsi"/>
          <w:bCs/>
          <w:i/>
          <w:sz w:val="26"/>
          <w:szCs w:val="26"/>
        </w:rPr>
        <w:t>(</w:t>
      </w:r>
      <w:r w:rsidR="00DD3BBF" w:rsidRPr="00F47E4B">
        <w:rPr>
          <w:rFonts w:asciiTheme="minorHAnsi" w:hAnsiTheme="minorHAnsi" w:cstheme="minorHAnsi"/>
          <w:bCs/>
          <w:i/>
          <w:sz w:val="26"/>
          <w:szCs w:val="26"/>
        </w:rPr>
        <w:t>as</w:t>
      </w:r>
      <w:r w:rsidR="002600E3" w:rsidRPr="00F47E4B">
        <w:rPr>
          <w:rFonts w:asciiTheme="minorHAnsi" w:hAnsiTheme="minorHAnsi" w:cstheme="minorHAnsi"/>
          <w:bCs/>
          <w:i/>
          <w:sz w:val="26"/>
          <w:szCs w:val="26"/>
        </w:rPr>
        <w:t xml:space="preserve"> of </w:t>
      </w:r>
      <w:r w:rsidR="006C08D0">
        <w:rPr>
          <w:rFonts w:asciiTheme="minorHAnsi" w:hAnsiTheme="minorHAnsi" w:cstheme="minorHAnsi"/>
          <w:bCs/>
          <w:i/>
          <w:sz w:val="26"/>
          <w:szCs w:val="26"/>
        </w:rPr>
        <w:t>8 July</w:t>
      </w:r>
      <w:r w:rsidR="001C73E8" w:rsidRPr="00F47E4B">
        <w:rPr>
          <w:rFonts w:asciiTheme="minorHAnsi" w:hAnsiTheme="minorHAnsi" w:cstheme="minorHAnsi"/>
          <w:bCs/>
          <w:i/>
          <w:sz w:val="26"/>
          <w:szCs w:val="26"/>
        </w:rPr>
        <w:t xml:space="preserve"> 2024</w:t>
      </w:r>
      <w:r w:rsidR="002600E3" w:rsidRPr="00F47E4B">
        <w:rPr>
          <w:rFonts w:asciiTheme="minorHAnsi" w:hAnsiTheme="minorHAnsi" w:cstheme="minorHAnsi"/>
          <w:bCs/>
          <w:i/>
          <w:sz w:val="26"/>
          <w:szCs w:val="26"/>
        </w:rPr>
        <w:t>)</w:t>
      </w:r>
    </w:p>
    <w:p w14:paraId="008B181E" w14:textId="77777777" w:rsidR="008D3A9E" w:rsidRPr="00F47E4B" w:rsidRDefault="008D3A9E" w:rsidP="002E41E9">
      <w:pPr>
        <w:spacing w:after="0" w:line="240" w:lineRule="auto"/>
        <w:jc w:val="both"/>
        <w:rPr>
          <w:rFonts w:asciiTheme="minorHAnsi" w:hAnsiTheme="minorHAnsi" w:cstheme="minorHAnsi"/>
          <w:i/>
          <w:sz w:val="24"/>
          <w:szCs w:val="24"/>
        </w:rPr>
      </w:pPr>
    </w:p>
    <w:tbl>
      <w:tblPr>
        <w:tblW w:w="5000" w:type="pct"/>
        <w:tblLayout w:type="fixed"/>
        <w:tblLook w:val="04A0" w:firstRow="1" w:lastRow="0" w:firstColumn="1" w:lastColumn="0" w:noHBand="0" w:noVBand="1"/>
      </w:tblPr>
      <w:tblGrid>
        <w:gridCol w:w="1916"/>
        <w:gridCol w:w="7559"/>
      </w:tblGrid>
      <w:tr w:rsidR="00507354" w:rsidRPr="00F47E4B" w14:paraId="59931FAE" w14:textId="77777777" w:rsidTr="00A82F94">
        <w:trPr>
          <w:trHeight w:val="459"/>
        </w:trPr>
        <w:tc>
          <w:tcPr>
            <w:tcW w:w="1011" w:type="pct"/>
            <w:shd w:val="clear" w:color="auto" w:fill="auto"/>
          </w:tcPr>
          <w:p w14:paraId="7328D491" w14:textId="77777777" w:rsidR="008D3A9E" w:rsidRPr="00F47E4B" w:rsidRDefault="008D3A9E" w:rsidP="002E41E9">
            <w:pPr>
              <w:spacing w:after="0" w:line="240" w:lineRule="auto"/>
              <w:jc w:val="both"/>
              <w:rPr>
                <w:rFonts w:asciiTheme="minorHAnsi" w:hAnsiTheme="minorHAnsi" w:cstheme="minorHAnsi"/>
                <w:b/>
                <w:color w:val="000000"/>
                <w:sz w:val="24"/>
                <w:szCs w:val="24"/>
              </w:rPr>
            </w:pPr>
            <w:r w:rsidRPr="00F47E4B">
              <w:rPr>
                <w:rFonts w:asciiTheme="minorHAnsi" w:hAnsiTheme="minorHAnsi" w:cstheme="minorHAnsi"/>
                <w:b/>
                <w:color w:val="000000"/>
                <w:sz w:val="24"/>
                <w:szCs w:val="24"/>
              </w:rPr>
              <w:t>Date and venue:</w:t>
            </w:r>
          </w:p>
        </w:tc>
        <w:tc>
          <w:tcPr>
            <w:tcW w:w="3989" w:type="pct"/>
            <w:shd w:val="clear" w:color="auto" w:fill="auto"/>
          </w:tcPr>
          <w:p w14:paraId="075B71B3" w14:textId="1E56D6EE" w:rsidR="00F47E4B" w:rsidRDefault="009E6BBF" w:rsidP="002E41E9">
            <w:pPr>
              <w:spacing w:after="0" w:line="240" w:lineRule="auto"/>
              <w:rPr>
                <w:rFonts w:asciiTheme="minorHAnsi" w:hAnsiTheme="minorHAnsi" w:cstheme="minorHAnsi"/>
                <w:b/>
                <w:sz w:val="24"/>
                <w:szCs w:val="24"/>
              </w:rPr>
            </w:pPr>
            <w:r w:rsidRPr="004945D5">
              <w:rPr>
                <w:rFonts w:asciiTheme="minorHAnsi" w:hAnsiTheme="minorHAnsi" w:cstheme="minorHAnsi"/>
                <w:b/>
                <w:sz w:val="24"/>
                <w:szCs w:val="24"/>
              </w:rPr>
              <w:t>Tuesday</w:t>
            </w:r>
            <w:r w:rsidR="00F47E4B" w:rsidRPr="004945D5">
              <w:rPr>
                <w:rFonts w:asciiTheme="minorHAnsi" w:hAnsiTheme="minorHAnsi" w:cstheme="minorHAnsi"/>
                <w:b/>
                <w:sz w:val="24"/>
                <w:szCs w:val="24"/>
              </w:rPr>
              <w:t xml:space="preserve">, </w:t>
            </w:r>
            <w:r w:rsidRPr="004945D5">
              <w:rPr>
                <w:rFonts w:asciiTheme="minorHAnsi" w:hAnsiTheme="minorHAnsi" w:cstheme="minorHAnsi"/>
                <w:b/>
                <w:sz w:val="24"/>
                <w:szCs w:val="24"/>
              </w:rPr>
              <w:t>9 July 2024</w:t>
            </w:r>
            <w:r w:rsidR="002600E3" w:rsidRPr="004945D5">
              <w:rPr>
                <w:rFonts w:asciiTheme="minorHAnsi" w:hAnsiTheme="minorHAnsi" w:cstheme="minorHAnsi"/>
                <w:b/>
                <w:sz w:val="24"/>
                <w:szCs w:val="24"/>
              </w:rPr>
              <w:t xml:space="preserve">, </w:t>
            </w:r>
            <w:r w:rsidR="004945D5" w:rsidRPr="004945D5">
              <w:rPr>
                <w:rFonts w:asciiTheme="minorHAnsi" w:hAnsiTheme="minorHAnsi" w:cstheme="minorHAnsi"/>
                <w:b/>
                <w:sz w:val="24"/>
                <w:szCs w:val="24"/>
              </w:rPr>
              <w:t xml:space="preserve">3 </w:t>
            </w:r>
            <w:r w:rsidR="00DD3BBF" w:rsidRPr="004945D5">
              <w:rPr>
                <w:rFonts w:asciiTheme="minorHAnsi" w:hAnsiTheme="minorHAnsi" w:cstheme="minorHAnsi"/>
                <w:b/>
                <w:sz w:val="24"/>
                <w:szCs w:val="24"/>
              </w:rPr>
              <w:t>to</w:t>
            </w:r>
            <w:r w:rsidR="004945D5" w:rsidRPr="004945D5">
              <w:rPr>
                <w:rFonts w:asciiTheme="minorHAnsi" w:hAnsiTheme="minorHAnsi" w:cstheme="minorHAnsi"/>
                <w:b/>
                <w:sz w:val="24"/>
                <w:szCs w:val="24"/>
              </w:rPr>
              <w:t xml:space="preserve"> 5</w:t>
            </w:r>
            <w:r w:rsidR="001C73E8" w:rsidRPr="004945D5">
              <w:rPr>
                <w:rFonts w:asciiTheme="minorHAnsi" w:hAnsiTheme="minorHAnsi" w:cstheme="minorHAnsi"/>
                <w:b/>
                <w:sz w:val="24"/>
                <w:szCs w:val="24"/>
              </w:rPr>
              <w:t xml:space="preserve"> </w:t>
            </w:r>
            <w:r w:rsidR="003C235E" w:rsidRPr="004945D5">
              <w:rPr>
                <w:rFonts w:asciiTheme="minorHAnsi" w:hAnsiTheme="minorHAnsi" w:cstheme="minorHAnsi"/>
                <w:b/>
                <w:sz w:val="24"/>
                <w:szCs w:val="24"/>
              </w:rPr>
              <w:t>p</w:t>
            </w:r>
            <w:r w:rsidR="001C73E8" w:rsidRPr="004945D5">
              <w:rPr>
                <w:rFonts w:asciiTheme="minorHAnsi" w:hAnsiTheme="minorHAnsi" w:cstheme="minorHAnsi"/>
                <w:b/>
                <w:sz w:val="24"/>
                <w:szCs w:val="24"/>
              </w:rPr>
              <w:t>.m.</w:t>
            </w:r>
            <w:r w:rsidR="00351643" w:rsidRPr="004945D5">
              <w:rPr>
                <w:rFonts w:asciiTheme="minorHAnsi" w:hAnsiTheme="minorHAnsi" w:cstheme="minorHAnsi"/>
                <w:b/>
                <w:sz w:val="24"/>
                <w:szCs w:val="24"/>
              </w:rPr>
              <w:t xml:space="preserve"> </w:t>
            </w:r>
            <w:r w:rsidR="00F47E4B" w:rsidRPr="004945D5">
              <w:rPr>
                <w:rFonts w:asciiTheme="minorHAnsi" w:hAnsiTheme="minorHAnsi" w:cstheme="minorHAnsi"/>
                <w:b/>
                <w:sz w:val="24"/>
                <w:szCs w:val="24"/>
              </w:rPr>
              <w:br/>
            </w:r>
            <w:r w:rsidR="003C235E" w:rsidRPr="004945D5">
              <w:rPr>
                <w:rFonts w:asciiTheme="minorHAnsi" w:hAnsiTheme="minorHAnsi" w:cstheme="minorHAnsi"/>
                <w:b/>
                <w:sz w:val="24"/>
                <w:szCs w:val="24"/>
              </w:rPr>
              <w:t xml:space="preserve">Room XX, </w:t>
            </w:r>
            <w:r w:rsidR="008D3A9E" w:rsidRPr="004945D5">
              <w:rPr>
                <w:rFonts w:asciiTheme="minorHAnsi" w:hAnsiTheme="minorHAnsi" w:cstheme="minorHAnsi"/>
                <w:b/>
                <w:sz w:val="24"/>
                <w:szCs w:val="24"/>
              </w:rPr>
              <w:t>Palais des Nations, Geneva</w:t>
            </w:r>
            <w:r w:rsidR="008D3A9E" w:rsidRPr="00F47E4B">
              <w:rPr>
                <w:rFonts w:asciiTheme="minorHAnsi" w:hAnsiTheme="minorHAnsi" w:cstheme="minorHAnsi"/>
                <w:b/>
                <w:sz w:val="24"/>
                <w:szCs w:val="24"/>
              </w:rPr>
              <w:t xml:space="preserve"> </w:t>
            </w:r>
          </w:p>
          <w:p w14:paraId="006FBC30" w14:textId="6D8BDA84" w:rsidR="008D3A9E" w:rsidRPr="00F47E4B" w:rsidRDefault="008D3A9E" w:rsidP="002E41E9">
            <w:pPr>
              <w:spacing w:line="240" w:lineRule="auto"/>
              <w:rPr>
                <w:rFonts w:asciiTheme="minorHAnsi" w:hAnsiTheme="minorHAnsi" w:cstheme="minorHAnsi"/>
                <w:sz w:val="24"/>
                <w:szCs w:val="24"/>
              </w:rPr>
            </w:pPr>
            <w:r w:rsidRPr="00F47E4B">
              <w:rPr>
                <w:rFonts w:asciiTheme="minorHAnsi" w:hAnsiTheme="minorHAnsi" w:cstheme="minorHAnsi"/>
                <w:i/>
                <w:iCs/>
                <w:sz w:val="24"/>
                <w:szCs w:val="24"/>
              </w:rPr>
              <w:t xml:space="preserve">(broadcast live and archived on </w:t>
            </w:r>
            <w:hyperlink r:id="rId11" w:history="1">
              <w:r w:rsidR="002A1AF1" w:rsidRPr="00882D8D">
                <w:rPr>
                  <w:rStyle w:val="Hyperlink"/>
                  <w:rFonts w:asciiTheme="minorHAnsi" w:hAnsiTheme="minorHAnsi" w:cstheme="minorHAnsi"/>
                  <w:i/>
                  <w:iCs/>
                  <w:sz w:val="24"/>
                  <w:szCs w:val="24"/>
                </w:rPr>
                <w:t>https://webtv.un.org</w:t>
              </w:r>
            </w:hyperlink>
            <w:r w:rsidRPr="00F47E4B">
              <w:rPr>
                <w:rFonts w:asciiTheme="minorHAnsi" w:hAnsiTheme="minorHAnsi" w:cstheme="minorHAnsi"/>
                <w:sz w:val="24"/>
                <w:szCs w:val="24"/>
              </w:rPr>
              <w:t>)</w:t>
            </w:r>
          </w:p>
        </w:tc>
      </w:tr>
      <w:tr w:rsidR="00507354" w:rsidRPr="00F47E4B" w14:paraId="1CD96530" w14:textId="77777777" w:rsidTr="00A82F94">
        <w:trPr>
          <w:trHeight w:val="459"/>
        </w:trPr>
        <w:tc>
          <w:tcPr>
            <w:tcW w:w="1011" w:type="pct"/>
            <w:shd w:val="clear" w:color="auto" w:fill="auto"/>
          </w:tcPr>
          <w:p w14:paraId="1DFEDCF2" w14:textId="04803711" w:rsidR="008B5B20" w:rsidRPr="0024541B" w:rsidRDefault="008B5B20" w:rsidP="002E41E9">
            <w:pPr>
              <w:spacing w:after="0" w:line="240" w:lineRule="auto"/>
              <w:rPr>
                <w:rFonts w:asciiTheme="minorHAnsi" w:hAnsiTheme="minorHAnsi" w:cstheme="minorHAnsi"/>
                <w:b/>
                <w:color w:val="000000"/>
                <w:sz w:val="24"/>
                <w:szCs w:val="24"/>
              </w:rPr>
            </w:pPr>
            <w:r w:rsidRPr="0024541B">
              <w:rPr>
                <w:rFonts w:asciiTheme="minorHAnsi" w:hAnsiTheme="minorHAnsi" w:cstheme="minorHAnsi"/>
                <w:b/>
                <w:color w:val="000000"/>
                <w:sz w:val="24"/>
                <w:szCs w:val="24"/>
              </w:rPr>
              <w:t>Objectives:</w:t>
            </w:r>
          </w:p>
        </w:tc>
        <w:tc>
          <w:tcPr>
            <w:tcW w:w="3989" w:type="pct"/>
            <w:shd w:val="clear" w:color="auto" w:fill="auto"/>
          </w:tcPr>
          <w:p w14:paraId="556EF5D2" w14:textId="6EF16E15" w:rsidR="00A82F94" w:rsidRPr="0024541B" w:rsidRDefault="00906593" w:rsidP="002E41E9">
            <w:pPr>
              <w:spacing w:after="240" w:line="240" w:lineRule="auto"/>
              <w:jc w:val="both"/>
              <w:rPr>
                <w:rFonts w:asciiTheme="minorHAnsi" w:hAnsiTheme="minorHAnsi" w:cstheme="minorHAnsi"/>
                <w:sz w:val="24"/>
                <w:szCs w:val="24"/>
              </w:rPr>
            </w:pPr>
            <w:r w:rsidRPr="0024541B">
              <w:rPr>
                <w:rFonts w:asciiTheme="minorHAnsi" w:eastAsia="Times New Roman" w:hAnsiTheme="minorHAnsi" w:cstheme="minorHAnsi"/>
                <w:sz w:val="24"/>
                <w:szCs w:val="24"/>
                <w:lang w:val="en-GB"/>
              </w:rPr>
              <w:t>Th</w:t>
            </w:r>
            <w:r w:rsidR="00643740">
              <w:rPr>
                <w:rFonts w:asciiTheme="minorHAnsi" w:eastAsia="Times New Roman" w:hAnsiTheme="minorHAnsi" w:cstheme="minorHAnsi"/>
                <w:sz w:val="24"/>
                <w:szCs w:val="24"/>
                <w:lang w:val="en-GB"/>
              </w:rPr>
              <w:t>is year’s</w:t>
            </w:r>
            <w:r w:rsidRPr="0024541B">
              <w:rPr>
                <w:rFonts w:asciiTheme="minorHAnsi" w:eastAsia="Times New Roman" w:hAnsiTheme="minorHAnsi" w:cstheme="minorHAnsi"/>
                <w:sz w:val="24"/>
                <w:szCs w:val="24"/>
                <w:lang w:val="en-GB"/>
              </w:rPr>
              <w:t xml:space="preserve"> panel discussion provides a platform to reflect on activities, good practices</w:t>
            </w:r>
            <w:r w:rsidR="009A0E8C" w:rsidRPr="0024541B">
              <w:rPr>
                <w:rFonts w:asciiTheme="minorHAnsi" w:eastAsia="Times New Roman" w:hAnsiTheme="minorHAnsi" w:cstheme="minorHAnsi"/>
                <w:sz w:val="24"/>
                <w:szCs w:val="24"/>
                <w:lang w:val="en-GB"/>
              </w:rPr>
              <w:t>,</w:t>
            </w:r>
            <w:r w:rsidRPr="0024541B">
              <w:rPr>
                <w:rFonts w:asciiTheme="minorHAnsi" w:eastAsia="Times New Roman" w:hAnsiTheme="minorHAnsi" w:cstheme="minorHAnsi"/>
                <w:sz w:val="24"/>
                <w:szCs w:val="24"/>
                <w:lang w:val="en-GB"/>
              </w:rPr>
              <w:t xml:space="preserve"> </w:t>
            </w:r>
            <w:r w:rsidR="00536F55" w:rsidRPr="0024541B">
              <w:rPr>
                <w:rFonts w:asciiTheme="minorHAnsi" w:eastAsia="Times New Roman" w:hAnsiTheme="minorHAnsi" w:cstheme="minorHAnsi"/>
                <w:sz w:val="24"/>
                <w:szCs w:val="24"/>
                <w:lang w:val="en-GB"/>
              </w:rPr>
              <w:t>challenges,</w:t>
            </w:r>
            <w:r w:rsidRPr="0024541B">
              <w:rPr>
                <w:rFonts w:asciiTheme="minorHAnsi" w:eastAsia="Times New Roman" w:hAnsiTheme="minorHAnsi" w:cstheme="minorHAnsi"/>
                <w:sz w:val="24"/>
                <w:szCs w:val="24"/>
                <w:lang w:val="en-GB"/>
              </w:rPr>
              <w:t xml:space="preserve"> and lessons learned of</w:t>
            </w:r>
            <w:r w:rsidR="009C043B" w:rsidRPr="0024541B">
              <w:rPr>
                <w:rFonts w:asciiTheme="minorHAnsi" w:eastAsia="Times New Roman" w:hAnsiTheme="minorHAnsi" w:cstheme="minorHAnsi"/>
                <w:sz w:val="24"/>
                <w:szCs w:val="24"/>
                <w:lang w:val="en-GB"/>
              </w:rPr>
              <w:t xml:space="preserve"> coordination among </w:t>
            </w:r>
            <w:r w:rsidRPr="0024541B">
              <w:rPr>
                <w:rFonts w:asciiTheme="minorHAnsi" w:eastAsia="Times New Roman" w:hAnsiTheme="minorHAnsi" w:cstheme="minorHAnsi"/>
                <w:sz w:val="24"/>
                <w:szCs w:val="24"/>
                <w:lang w:val="en-GB"/>
              </w:rPr>
              <w:t xml:space="preserve">States, </w:t>
            </w:r>
            <w:r w:rsidR="005F69A6">
              <w:rPr>
                <w:rFonts w:asciiTheme="minorHAnsi" w:eastAsia="Times New Roman" w:hAnsiTheme="minorHAnsi" w:cstheme="minorHAnsi"/>
                <w:sz w:val="24"/>
                <w:szCs w:val="24"/>
                <w:lang w:val="en-GB"/>
              </w:rPr>
              <w:t xml:space="preserve">the </w:t>
            </w:r>
            <w:r w:rsidR="0074546E" w:rsidRPr="0024541B">
              <w:rPr>
                <w:rFonts w:asciiTheme="minorHAnsi" w:eastAsia="Times New Roman" w:hAnsiTheme="minorHAnsi" w:cstheme="minorHAnsi"/>
                <w:sz w:val="24"/>
                <w:szCs w:val="24"/>
                <w:lang w:val="en-GB"/>
              </w:rPr>
              <w:t>Office of the United Nations High Commissioner for Human Rights (</w:t>
            </w:r>
            <w:r w:rsidRPr="0024541B">
              <w:rPr>
                <w:rFonts w:asciiTheme="minorHAnsi" w:eastAsia="Times New Roman" w:hAnsiTheme="minorHAnsi" w:cstheme="minorHAnsi"/>
                <w:sz w:val="24"/>
                <w:szCs w:val="24"/>
                <w:lang w:val="en-GB"/>
              </w:rPr>
              <w:t>OHCHR</w:t>
            </w:r>
            <w:r w:rsidR="0074546E" w:rsidRPr="0024541B">
              <w:rPr>
                <w:rFonts w:asciiTheme="minorHAnsi" w:eastAsia="Times New Roman" w:hAnsiTheme="minorHAnsi" w:cstheme="minorHAnsi"/>
                <w:sz w:val="24"/>
                <w:szCs w:val="24"/>
                <w:lang w:val="en-GB"/>
              </w:rPr>
              <w:t>)</w:t>
            </w:r>
            <w:r w:rsidRPr="0024541B">
              <w:rPr>
                <w:rFonts w:asciiTheme="minorHAnsi" w:eastAsia="Times New Roman" w:hAnsiTheme="minorHAnsi" w:cstheme="minorHAnsi"/>
                <w:sz w:val="24"/>
                <w:szCs w:val="24"/>
                <w:lang w:val="en-GB"/>
              </w:rPr>
              <w:t>, U</w:t>
            </w:r>
            <w:r w:rsidR="0060408F" w:rsidRPr="0024541B">
              <w:rPr>
                <w:rFonts w:asciiTheme="minorHAnsi" w:eastAsia="Times New Roman" w:hAnsiTheme="minorHAnsi" w:cstheme="minorHAnsi"/>
                <w:sz w:val="24"/>
                <w:szCs w:val="24"/>
                <w:lang w:val="en-GB"/>
              </w:rPr>
              <w:t xml:space="preserve">nited </w:t>
            </w:r>
            <w:r w:rsidRPr="0024541B">
              <w:rPr>
                <w:rFonts w:asciiTheme="minorHAnsi" w:eastAsia="Times New Roman" w:hAnsiTheme="minorHAnsi" w:cstheme="minorHAnsi"/>
                <w:sz w:val="24"/>
                <w:szCs w:val="24"/>
                <w:lang w:val="en-GB"/>
              </w:rPr>
              <w:t>N</w:t>
            </w:r>
            <w:r w:rsidR="0060408F" w:rsidRPr="0024541B">
              <w:rPr>
                <w:rFonts w:asciiTheme="minorHAnsi" w:eastAsia="Times New Roman" w:hAnsiTheme="minorHAnsi" w:cstheme="minorHAnsi"/>
                <w:sz w:val="24"/>
                <w:szCs w:val="24"/>
                <w:lang w:val="en-GB"/>
              </w:rPr>
              <w:t>ations</w:t>
            </w:r>
            <w:r w:rsidRPr="0024541B">
              <w:rPr>
                <w:rFonts w:asciiTheme="minorHAnsi" w:eastAsia="Times New Roman" w:hAnsiTheme="minorHAnsi" w:cstheme="minorHAnsi"/>
                <w:sz w:val="24"/>
                <w:szCs w:val="24"/>
                <w:lang w:val="en-GB"/>
              </w:rPr>
              <w:t xml:space="preserve"> agencies and other relevant stakeholders to support States’ efforts to implement universal periodic review recommendations through technical cooperation and capacity-building.</w:t>
            </w:r>
            <w:r w:rsidR="0024541B" w:rsidRPr="0024541B" w:rsidDel="0024541B">
              <w:rPr>
                <w:rFonts w:asciiTheme="minorHAnsi" w:hAnsiTheme="minorHAnsi" w:cstheme="minorHAnsi"/>
                <w:color w:val="000000"/>
                <w:sz w:val="24"/>
                <w:szCs w:val="24"/>
              </w:rPr>
              <w:t xml:space="preserve"> </w:t>
            </w:r>
          </w:p>
        </w:tc>
      </w:tr>
      <w:tr w:rsidR="00507354" w:rsidRPr="00F47E4B" w14:paraId="791CE336" w14:textId="77777777" w:rsidTr="00A82F94">
        <w:trPr>
          <w:trHeight w:val="459"/>
        </w:trPr>
        <w:tc>
          <w:tcPr>
            <w:tcW w:w="1011" w:type="pct"/>
            <w:shd w:val="clear" w:color="auto" w:fill="auto"/>
          </w:tcPr>
          <w:p w14:paraId="311EB7D9" w14:textId="58161B9B" w:rsidR="008B5B20" w:rsidRPr="005D5A89" w:rsidRDefault="008B5B20" w:rsidP="002E41E9">
            <w:pPr>
              <w:spacing w:after="0" w:line="240" w:lineRule="auto"/>
              <w:jc w:val="both"/>
              <w:rPr>
                <w:rFonts w:asciiTheme="minorHAnsi" w:hAnsiTheme="minorHAnsi" w:cstheme="minorHAnsi"/>
                <w:b/>
                <w:color w:val="000000"/>
                <w:sz w:val="24"/>
                <w:szCs w:val="24"/>
              </w:rPr>
            </w:pPr>
            <w:r w:rsidRPr="005D5A89">
              <w:rPr>
                <w:rFonts w:asciiTheme="minorHAnsi" w:hAnsiTheme="minorHAnsi" w:cstheme="minorHAnsi"/>
                <w:b/>
                <w:color w:val="000000"/>
                <w:sz w:val="24"/>
                <w:szCs w:val="24"/>
              </w:rPr>
              <w:t>Chair:</w:t>
            </w:r>
          </w:p>
        </w:tc>
        <w:tc>
          <w:tcPr>
            <w:tcW w:w="3989" w:type="pct"/>
            <w:shd w:val="clear" w:color="auto" w:fill="auto"/>
          </w:tcPr>
          <w:p w14:paraId="027FBA5B" w14:textId="73BF5B80" w:rsidR="008B5B20" w:rsidRPr="005D5A89" w:rsidRDefault="008B5B20" w:rsidP="002E41E9">
            <w:pPr>
              <w:spacing w:after="120" w:line="240" w:lineRule="auto"/>
              <w:rPr>
                <w:rFonts w:asciiTheme="minorHAnsi" w:hAnsiTheme="minorHAnsi" w:cstheme="minorHAnsi"/>
                <w:sz w:val="24"/>
                <w:szCs w:val="24"/>
              </w:rPr>
            </w:pPr>
            <w:r w:rsidRPr="005D5A89">
              <w:rPr>
                <w:rFonts w:asciiTheme="minorHAnsi" w:hAnsiTheme="minorHAnsi" w:cstheme="minorHAnsi"/>
                <w:b/>
                <w:sz w:val="24"/>
                <w:szCs w:val="24"/>
              </w:rPr>
              <w:t xml:space="preserve">H.E. </w:t>
            </w:r>
            <w:r w:rsidR="005F5C35" w:rsidRPr="005D5A89">
              <w:rPr>
                <w:rFonts w:asciiTheme="minorHAnsi" w:hAnsiTheme="minorHAnsi" w:cstheme="minorHAnsi"/>
                <w:b/>
                <w:sz w:val="24"/>
                <w:szCs w:val="24"/>
              </w:rPr>
              <w:t xml:space="preserve">Mr. </w:t>
            </w:r>
            <w:r w:rsidR="00E26A1C" w:rsidRPr="00E26A1C">
              <w:rPr>
                <w:rFonts w:asciiTheme="minorHAnsi" w:hAnsiTheme="minorHAnsi" w:cstheme="minorHAnsi"/>
                <w:b/>
                <w:sz w:val="24"/>
                <w:szCs w:val="24"/>
              </w:rPr>
              <w:t>Darius S</w:t>
            </w:r>
            <w:r w:rsidR="00E26A1C">
              <w:rPr>
                <w:rFonts w:asciiTheme="minorHAnsi" w:hAnsiTheme="minorHAnsi" w:cstheme="minorHAnsi"/>
                <w:b/>
                <w:sz w:val="24"/>
                <w:szCs w:val="24"/>
              </w:rPr>
              <w:t>taniulis</w:t>
            </w:r>
            <w:r w:rsidR="00E26A1C" w:rsidRPr="001D5343">
              <w:rPr>
                <w:rFonts w:asciiTheme="minorHAnsi" w:hAnsiTheme="minorHAnsi" w:cstheme="minorHAnsi"/>
                <w:bCs/>
                <w:sz w:val="24"/>
                <w:szCs w:val="24"/>
              </w:rPr>
              <w:t>,</w:t>
            </w:r>
            <w:r w:rsidR="00E26A1C">
              <w:rPr>
                <w:rFonts w:asciiTheme="minorHAnsi" w:hAnsiTheme="minorHAnsi" w:cstheme="minorHAnsi"/>
                <w:b/>
                <w:sz w:val="24"/>
                <w:szCs w:val="24"/>
              </w:rPr>
              <w:t xml:space="preserve"> </w:t>
            </w:r>
            <w:r w:rsidR="00E26A1C" w:rsidRPr="00E26A1C">
              <w:rPr>
                <w:rFonts w:asciiTheme="minorHAnsi" w:hAnsiTheme="minorHAnsi" w:cstheme="minorHAnsi"/>
                <w:bCs/>
                <w:sz w:val="24"/>
                <w:szCs w:val="24"/>
              </w:rPr>
              <w:t>Vice-President of the Human Rights Council</w:t>
            </w:r>
          </w:p>
        </w:tc>
      </w:tr>
      <w:tr w:rsidR="00507354" w:rsidRPr="000536E3" w14:paraId="6E2977CD" w14:textId="77777777" w:rsidTr="00A82F94">
        <w:trPr>
          <w:trHeight w:val="459"/>
        </w:trPr>
        <w:tc>
          <w:tcPr>
            <w:tcW w:w="1011" w:type="pct"/>
            <w:shd w:val="clear" w:color="auto" w:fill="auto"/>
          </w:tcPr>
          <w:p w14:paraId="779C082C" w14:textId="5F777BFD" w:rsidR="008B5B20" w:rsidRPr="000536E3" w:rsidRDefault="008B5B20" w:rsidP="002E41E9">
            <w:pPr>
              <w:spacing w:after="120" w:line="240" w:lineRule="auto"/>
              <w:jc w:val="both"/>
              <w:rPr>
                <w:rFonts w:asciiTheme="minorHAnsi" w:hAnsiTheme="minorHAnsi" w:cstheme="minorHAnsi"/>
                <w:b/>
                <w:color w:val="000000"/>
                <w:sz w:val="24"/>
                <w:szCs w:val="24"/>
              </w:rPr>
            </w:pPr>
            <w:r w:rsidRPr="000536E3">
              <w:rPr>
                <w:rFonts w:asciiTheme="minorHAnsi" w:hAnsiTheme="minorHAnsi" w:cstheme="minorHAnsi"/>
                <w:b/>
                <w:color w:val="000000"/>
                <w:sz w:val="24"/>
                <w:szCs w:val="24"/>
              </w:rPr>
              <w:t>Opening statement:</w:t>
            </w:r>
          </w:p>
        </w:tc>
        <w:tc>
          <w:tcPr>
            <w:tcW w:w="3989" w:type="pct"/>
            <w:shd w:val="clear" w:color="auto" w:fill="auto"/>
          </w:tcPr>
          <w:p w14:paraId="37F286C8" w14:textId="6433043A" w:rsidR="009D4739" w:rsidRPr="000536E3" w:rsidRDefault="00AE1091" w:rsidP="002E41E9">
            <w:pPr>
              <w:spacing w:after="120" w:line="240" w:lineRule="auto"/>
              <w:rPr>
                <w:rFonts w:asciiTheme="minorHAnsi" w:hAnsiTheme="minorHAnsi" w:cstheme="minorHAnsi"/>
                <w:sz w:val="24"/>
                <w:szCs w:val="24"/>
              </w:rPr>
            </w:pPr>
            <w:r>
              <w:rPr>
                <w:rFonts w:asciiTheme="minorHAnsi" w:hAnsiTheme="minorHAnsi" w:cstheme="minorHAnsi"/>
                <w:b/>
                <w:bCs/>
                <w:color w:val="000000"/>
                <w:sz w:val="24"/>
                <w:szCs w:val="24"/>
              </w:rPr>
              <w:t xml:space="preserve">Mr. </w:t>
            </w:r>
            <w:r w:rsidRPr="00AE1091">
              <w:rPr>
                <w:rFonts w:asciiTheme="minorHAnsi" w:hAnsiTheme="minorHAnsi" w:cstheme="minorHAnsi"/>
                <w:b/>
                <w:bCs/>
                <w:color w:val="000000"/>
                <w:sz w:val="24"/>
                <w:szCs w:val="24"/>
              </w:rPr>
              <w:t>Mahamane Cisse-Gouro</w:t>
            </w:r>
            <w:r w:rsidR="004411D4" w:rsidRPr="000536E3">
              <w:rPr>
                <w:rFonts w:asciiTheme="minorHAnsi" w:hAnsiTheme="minorHAnsi" w:cstheme="minorHAnsi"/>
                <w:color w:val="000000"/>
                <w:sz w:val="24"/>
                <w:szCs w:val="24"/>
              </w:rPr>
              <w:t>,</w:t>
            </w:r>
            <w:r w:rsidR="00542100">
              <w:rPr>
                <w:rFonts w:asciiTheme="minorHAnsi" w:hAnsiTheme="minorHAnsi" w:cstheme="minorHAnsi"/>
                <w:color w:val="000000"/>
                <w:sz w:val="24"/>
                <w:szCs w:val="24"/>
              </w:rPr>
              <w:t xml:space="preserve"> </w:t>
            </w:r>
            <w:r w:rsidR="00F40243">
              <w:rPr>
                <w:rFonts w:asciiTheme="minorHAnsi" w:hAnsiTheme="minorHAnsi" w:cstheme="minorHAnsi"/>
                <w:color w:val="000000"/>
                <w:sz w:val="24"/>
                <w:szCs w:val="24"/>
              </w:rPr>
              <w:t xml:space="preserve">Director of the </w:t>
            </w:r>
            <w:r w:rsidR="005703CA" w:rsidRPr="005703CA">
              <w:rPr>
                <w:rFonts w:asciiTheme="minorHAnsi" w:hAnsiTheme="minorHAnsi" w:cstheme="minorHAnsi"/>
                <w:color w:val="000000"/>
                <w:sz w:val="24"/>
                <w:szCs w:val="24"/>
              </w:rPr>
              <w:t>Human Rights Council and Treaty Mechanisms Division</w:t>
            </w:r>
            <w:r w:rsidR="00864AC7">
              <w:rPr>
                <w:rFonts w:asciiTheme="minorHAnsi" w:hAnsiTheme="minorHAnsi" w:cstheme="minorHAnsi"/>
                <w:color w:val="000000"/>
                <w:sz w:val="24"/>
                <w:szCs w:val="24"/>
              </w:rPr>
              <w:t xml:space="preserve"> at the</w:t>
            </w:r>
            <w:r w:rsidR="005703CA">
              <w:rPr>
                <w:rFonts w:asciiTheme="minorHAnsi" w:hAnsiTheme="minorHAnsi" w:cstheme="minorHAnsi"/>
                <w:color w:val="000000"/>
                <w:sz w:val="24"/>
                <w:szCs w:val="24"/>
              </w:rPr>
              <w:t xml:space="preserve"> Office of the United Nations High Commissioner for Human Rights</w:t>
            </w:r>
          </w:p>
        </w:tc>
      </w:tr>
      <w:tr w:rsidR="00507354" w:rsidRPr="0052047B" w14:paraId="591B83A8" w14:textId="77777777" w:rsidTr="00E1210F">
        <w:trPr>
          <w:trHeight w:val="459"/>
        </w:trPr>
        <w:tc>
          <w:tcPr>
            <w:tcW w:w="1011" w:type="pct"/>
            <w:shd w:val="clear" w:color="auto" w:fill="auto"/>
          </w:tcPr>
          <w:p w14:paraId="0D771E1C" w14:textId="4FF50AAF" w:rsidR="008B5B20" w:rsidRPr="000536E3" w:rsidRDefault="00351643" w:rsidP="002E41E9">
            <w:pPr>
              <w:spacing w:after="0" w:line="240" w:lineRule="auto"/>
              <w:jc w:val="both"/>
              <w:rPr>
                <w:rFonts w:asciiTheme="minorHAnsi" w:hAnsiTheme="minorHAnsi" w:cstheme="minorHAnsi"/>
                <w:b/>
                <w:color w:val="000000"/>
                <w:sz w:val="24"/>
                <w:szCs w:val="24"/>
              </w:rPr>
            </w:pPr>
            <w:r w:rsidRPr="000536E3">
              <w:rPr>
                <w:rFonts w:asciiTheme="minorHAnsi" w:hAnsiTheme="minorHAnsi" w:cstheme="minorHAnsi"/>
                <w:b/>
                <w:color w:val="000000"/>
                <w:sz w:val="24"/>
                <w:szCs w:val="24"/>
                <w:lang w:val="en-GB"/>
              </w:rPr>
              <w:t>Pane</w:t>
            </w:r>
            <w:r w:rsidR="000F7476" w:rsidRPr="000536E3">
              <w:rPr>
                <w:rFonts w:asciiTheme="minorHAnsi" w:hAnsiTheme="minorHAnsi" w:cstheme="minorHAnsi"/>
                <w:b/>
                <w:color w:val="000000"/>
                <w:sz w:val="24"/>
                <w:szCs w:val="24"/>
                <w:lang w:val="en-GB"/>
              </w:rPr>
              <w:t>l</w:t>
            </w:r>
            <w:r w:rsidRPr="000536E3">
              <w:rPr>
                <w:rFonts w:asciiTheme="minorHAnsi" w:hAnsiTheme="minorHAnsi" w:cstheme="minorHAnsi"/>
                <w:b/>
                <w:color w:val="000000"/>
                <w:sz w:val="24"/>
                <w:szCs w:val="24"/>
                <w:lang w:val="en-GB"/>
              </w:rPr>
              <w:t>lists</w:t>
            </w:r>
            <w:r w:rsidR="008B5B20" w:rsidRPr="000536E3">
              <w:rPr>
                <w:rFonts w:asciiTheme="minorHAnsi" w:hAnsiTheme="minorHAnsi" w:cstheme="minorHAnsi"/>
                <w:b/>
                <w:color w:val="000000"/>
                <w:sz w:val="24"/>
                <w:szCs w:val="24"/>
              </w:rPr>
              <w:t>:</w:t>
            </w:r>
          </w:p>
        </w:tc>
        <w:tc>
          <w:tcPr>
            <w:tcW w:w="3989" w:type="pct"/>
            <w:shd w:val="clear" w:color="auto" w:fill="auto"/>
          </w:tcPr>
          <w:p w14:paraId="5A6652D2" w14:textId="03B8F51E" w:rsidR="00FB2C1C" w:rsidRPr="00FB2C1C" w:rsidRDefault="00D20AF7" w:rsidP="002E41E9">
            <w:pPr>
              <w:pStyle w:val="ListParagraph"/>
              <w:numPr>
                <w:ilvl w:val="0"/>
                <w:numId w:val="14"/>
              </w:numPr>
              <w:spacing w:after="40"/>
              <w:ind w:left="330" w:hanging="306"/>
              <w:contextualSpacing w:val="0"/>
              <w:rPr>
                <w:rFonts w:asciiTheme="minorHAnsi" w:eastAsia="Times New Roman" w:hAnsiTheme="minorHAnsi" w:cstheme="minorHAnsi"/>
                <w:b/>
              </w:rPr>
            </w:pPr>
            <w:r w:rsidRPr="000536E3">
              <w:rPr>
                <w:rFonts w:asciiTheme="minorHAnsi" w:eastAsia="Times New Roman" w:hAnsiTheme="minorHAnsi" w:cstheme="minorHAnsi"/>
                <w:b/>
              </w:rPr>
              <w:t>H.E. Mr. Tormod C</w:t>
            </w:r>
            <w:r w:rsidR="00B31DC3">
              <w:rPr>
                <w:rFonts w:asciiTheme="minorHAnsi" w:eastAsia="Times New Roman" w:hAnsiTheme="minorHAnsi" w:cstheme="minorHAnsi"/>
                <w:b/>
              </w:rPr>
              <w:t>.</w:t>
            </w:r>
            <w:r w:rsidRPr="000536E3">
              <w:rPr>
                <w:rFonts w:asciiTheme="minorHAnsi" w:eastAsia="Times New Roman" w:hAnsiTheme="minorHAnsi" w:cstheme="minorHAnsi"/>
                <w:b/>
              </w:rPr>
              <w:t xml:space="preserve"> Endresen</w:t>
            </w:r>
            <w:r w:rsidRPr="000536E3">
              <w:rPr>
                <w:rFonts w:asciiTheme="minorHAnsi" w:eastAsia="Times New Roman" w:hAnsiTheme="minorHAnsi" w:cstheme="minorHAnsi"/>
                <w:bCs/>
              </w:rPr>
              <w:t>, Ambassador and Permanent Representative of Norway to the United Nations Office and other international organizations in Geneva</w:t>
            </w:r>
          </w:p>
          <w:p w14:paraId="5E040135" w14:textId="0415C158" w:rsidR="00B45CC9" w:rsidRPr="00B45CC9" w:rsidRDefault="003B4C4B" w:rsidP="002E41E9">
            <w:pPr>
              <w:pStyle w:val="ListParagraph"/>
              <w:numPr>
                <w:ilvl w:val="0"/>
                <w:numId w:val="14"/>
              </w:numPr>
              <w:spacing w:after="40"/>
              <w:ind w:left="330" w:hanging="306"/>
              <w:contextualSpacing w:val="0"/>
              <w:rPr>
                <w:rFonts w:asciiTheme="minorHAnsi" w:eastAsia="Times New Roman" w:hAnsiTheme="minorHAnsi" w:cstheme="minorHAnsi"/>
                <w:b/>
              </w:rPr>
            </w:pPr>
            <w:r w:rsidRPr="00FB2C1C">
              <w:rPr>
                <w:rFonts w:asciiTheme="minorHAnsi" w:hAnsiTheme="minorHAnsi" w:cstheme="minorHAnsi"/>
                <w:b/>
              </w:rPr>
              <w:t xml:space="preserve">Ms. Adriana </w:t>
            </w:r>
            <w:r w:rsidR="00301FBB" w:rsidRPr="00301FBB">
              <w:rPr>
                <w:rFonts w:asciiTheme="minorHAnsi" w:hAnsiTheme="minorHAnsi" w:cstheme="minorHAnsi"/>
                <w:b/>
              </w:rPr>
              <w:t>Quiñones</w:t>
            </w:r>
            <w:r w:rsidRPr="003725B2">
              <w:rPr>
                <w:rFonts w:asciiTheme="minorHAnsi" w:hAnsiTheme="minorHAnsi" w:cstheme="minorHAnsi"/>
                <w:bCs/>
              </w:rPr>
              <w:t>,</w:t>
            </w:r>
            <w:r w:rsidRPr="00FB2C1C">
              <w:rPr>
                <w:rFonts w:asciiTheme="minorHAnsi" w:hAnsiTheme="minorHAnsi" w:cstheme="minorHAnsi"/>
                <w:bCs/>
              </w:rPr>
              <w:t xml:space="preserve"> </w:t>
            </w:r>
            <w:r w:rsidR="00FD205A">
              <w:rPr>
                <w:rFonts w:asciiTheme="minorHAnsi" w:hAnsiTheme="minorHAnsi" w:cstheme="minorHAnsi"/>
                <w:bCs/>
              </w:rPr>
              <w:t xml:space="preserve">Head of Human Rights and Development and Deputy Head </w:t>
            </w:r>
            <w:r w:rsidR="00E33785">
              <w:rPr>
                <w:rFonts w:asciiTheme="minorHAnsi" w:hAnsiTheme="minorHAnsi" w:cstheme="minorHAnsi"/>
                <w:bCs/>
              </w:rPr>
              <w:t>of</w:t>
            </w:r>
            <w:r w:rsidR="00B45CC9">
              <w:rPr>
                <w:rFonts w:asciiTheme="minorHAnsi" w:hAnsiTheme="minorHAnsi" w:cstheme="minorHAnsi"/>
                <w:bCs/>
              </w:rPr>
              <w:t xml:space="preserve"> </w:t>
            </w:r>
            <w:r w:rsidR="008D7805" w:rsidRPr="00FB2C1C">
              <w:rPr>
                <w:rFonts w:asciiTheme="minorHAnsi" w:hAnsiTheme="minorHAnsi" w:cstheme="minorHAnsi"/>
                <w:bCs/>
              </w:rPr>
              <w:t>UN</w:t>
            </w:r>
            <w:r w:rsidR="00E33785">
              <w:rPr>
                <w:rFonts w:asciiTheme="minorHAnsi" w:hAnsiTheme="minorHAnsi" w:cstheme="minorHAnsi"/>
                <w:bCs/>
              </w:rPr>
              <w:t>-Women</w:t>
            </w:r>
            <w:r w:rsidR="004479E3">
              <w:rPr>
                <w:rFonts w:asciiTheme="minorHAnsi" w:hAnsiTheme="minorHAnsi" w:cstheme="minorHAnsi"/>
                <w:bCs/>
              </w:rPr>
              <w:t xml:space="preserve"> </w:t>
            </w:r>
            <w:r w:rsidR="004479E3" w:rsidRPr="004479E3">
              <w:rPr>
                <w:rFonts w:asciiTheme="minorHAnsi" w:hAnsiTheme="minorHAnsi" w:cstheme="minorHAnsi"/>
                <w:bCs/>
              </w:rPr>
              <w:t>Geneva</w:t>
            </w:r>
            <w:r w:rsidR="00FD205A">
              <w:rPr>
                <w:rFonts w:asciiTheme="minorHAnsi" w:hAnsiTheme="minorHAnsi" w:cstheme="minorHAnsi"/>
                <w:bCs/>
              </w:rPr>
              <w:t xml:space="preserve"> Office</w:t>
            </w:r>
            <w:r w:rsidR="00FB2C1C" w:rsidRPr="00FB2C1C">
              <w:rPr>
                <w:rFonts w:asciiTheme="minorHAnsi" w:hAnsiTheme="minorHAnsi" w:cstheme="minorHAnsi"/>
                <w:bCs/>
              </w:rPr>
              <w:t xml:space="preserve"> </w:t>
            </w:r>
          </w:p>
          <w:p w14:paraId="2DCAD35E" w14:textId="693FD09D" w:rsidR="00A134B2" w:rsidRPr="000536E3" w:rsidRDefault="0052047B" w:rsidP="002E41E9">
            <w:pPr>
              <w:pStyle w:val="ListParagraph"/>
              <w:numPr>
                <w:ilvl w:val="0"/>
                <w:numId w:val="14"/>
              </w:numPr>
              <w:spacing w:after="240"/>
              <w:ind w:left="329" w:hanging="306"/>
              <w:contextualSpacing w:val="0"/>
              <w:rPr>
                <w:rFonts w:asciiTheme="minorHAnsi" w:eastAsia="Times New Roman" w:hAnsiTheme="minorHAnsi" w:cstheme="minorHAnsi"/>
                <w:b/>
              </w:rPr>
            </w:pPr>
            <w:r w:rsidRPr="000536E3">
              <w:rPr>
                <w:rFonts w:asciiTheme="minorHAnsi" w:hAnsiTheme="minorHAnsi" w:cstheme="minorHAnsi"/>
                <w:b/>
              </w:rPr>
              <w:t xml:space="preserve">Ms. </w:t>
            </w:r>
            <w:r w:rsidR="00DE1D12" w:rsidRPr="00DE1D12">
              <w:rPr>
                <w:rFonts w:asciiTheme="minorHAnsi" w:hAnsiTheme="minorHAnsi" w:cstheme="minorHAnsi"/>
                <w:b/>
              </w:rPr>
              <w:t>Mona M'Bikay</w:t>
            </w:r>
            <w:r w:rsidRPr="000536E3">
              <w:rPr>
                <w:rFonts w:asciiTheme="minorHAnsi" w:hAnsiTheme="minorHAnsi" w:cstheme="minorHAnsi"/>
                <w:bCs/>
              </w:rPr>
              <w:t>,</w:t>
            </w:r>
            <w:r w:rsidR="00CC22EA">
              <w:rPr>
                <w:rFonts w:asciiTheme="minorHAnsi" w:hAnsiTheme="minorHAnsi" w:cstheme="minorHAnsi"/>
                <w:bCs/>
              </w:rPr>
              <w:t xml:space="preserve"> </w:t>
            </w:r>
            <w:r w:rsidR="00CC22EA" w:rsidRPr="00CC22EA">
              <w:rPr>
                <w:rFonts w:asciiTheme="minorHAnsi" w:hAnsiTheme="minorHAnsi" w:cstheme="minorHAnsi"/>
                <w:bCs/>
              </w:rPr>
              <w:t>Executive Director</w:t>
            </w:r>
            <w:r w:rsidR="005B5882">
              <w:rPr>
                <w:rFonts w:asciiTheme="minorHAnsi" w:hAnsiTheme="minorHAnsi" w:cstheme="minorHAnsi"/>
                <w:bCs/>
              </w:rPr>
              <w:t xml:space="preserve"> of</w:t>
            </w:r>
            <w:r w:rsidRPr="000536E3">
              <w:rPr>
                <w:rFonts w:asciiTheme="minorHAnsi" w:hAnsiTheme="minorHAnsi" w:cstheme="minorHAnsi"/>
                <w:bCs/>
              </w:rPr>
              <w:t xml:space="preserve"> UPR Info</w:t>
            </w:r>
          </w:p>
        </w:tc>
      </w:tr>
      <w:tr w:rsidR="00D7232F" w:rsidRPr="00D008F7" w14:paraId="1C87D302" w14:textId="77777777" w:rsidTr="00E1210F">
        <w:trPr>
          <w:trHeight w:val="459"/>
        </w:trPr>
        <w:tc>
          <w:tcPr>
            <w:tcW w:w="1011" w:type="pct"/>
            <w:shd w:val="clear" w:color="auto" w:fill="auto"/>
          </w:tcPr>
          <w:p w14:paraId="2EBBC44D" w14:textId="120F5252" w:rsidR="00D7232F" w:rsidRPr="005D5A89" w:rsidRDefault="00D7232F" w:rsidP="002E41E9">
            <w:pPr>
              <w:spacing w:after="0" w:line="240" w:lineRule="auto"/>
              <w:jc w:val="both"/>
              <w:rPr>
                <w:rFonts w:asciiTheme="minorHAnsi" w:hAnsiTheme="minorHAnsi" w:cstheme="minorHAnsi"/>
                <w:b/>
                <w:color w:val="000000"/>
                <w:sz w:val="24"/>
                <w:szCs w:val="24"/>
                <w:lang w:val="en-GB"/>
              </w:rPr>
            </w:pPr>
            <w:r>
              <w:rPr>
                <w:rFonts w:asciiTheme="minorHAnsi" w:hAnsiTheme="minorHAnsi" w:cstheme="minorHAnsi"/>
                <w:b/>
                <w:color w:val="000000"/>
                <w:sz w:val="24"/>
                <w:szCs w:val="24"/>
                <w:lang w:val="en-GB"/>
              </w:rPr>
              <w:t>Outcome:</w:t>
            </w:r>
          </w:p>
        </w:tc>
        <w:tc>
          <w:tcPr>
            <w:tcW w:w="3989" w:type="pct"/>
            <w:shd w:val="clear" w:color="auto" w:fill="auto"/>
          </w:tcPr>
          <w:p w14:paraId="61D9201D" w14:textId="77777777" w:rsidR="00D7232F" w:rsidRPr="00D008F7" w:rsidRDefault="00D7232F" w:rsidP="002E41E9">
            <w:pPr>
              <w:pStyle w:val="Body1"/>
              <w:spacing w:after="40"/>
              <w:jc w:val="both"/>
              <w:rPr>
                <w:rFonts w:asciiTheme="minorHAnsi" w:eastAsia="Times New Roman" w:hAnsiTheme="minorHAnsi" w:cstheme="minorHAnsi"/>
                <w:sz w:val="24"/>
                <w:szCs w:val="24"/>
                <w:lang w:val="en-GB"/>
              </w:rPr>
            </w:pPr>
            <w:r w:rsidRPr="00D008F7">
              <w:rPr>
                <w:rFonts w:asciiTheme="minorHAnsi" w:eastAsia="Times New Roman" w:hAnsiTheme="minorHAnsi" w:cstheme="minorHAnsi"/>
                <w:sz w:val="24"/>
                <w:szCs w:val="24"/>
                <w:lang w:val="en-GB"/>
              </w:rPr>
              <w:t xml:space="preserve">The expected outcomes of this thematic discussion are as follows: </w:t>
            </w:r>
          </w:p>
          <w:p w14:paraId="61B1DAFD" w14:textId="36BF58F7" w:rsidR="00D7232F" w:rsidRPr="00D008F7" w:rsidRDefault="00D7232F" w:rsidP="002E41E9">
            <w:pPr>
              <w:pStyle w:val="Body1"/>
              <w:numPr>
                <w:ilvl w:val="0"/>
                <w:numId w:val="14"/>
              </w:numPr>
              <w:spacing w:after="40"/>
              <w:ind w:left="312" w:hanging="284"/>
              <w:jc w:val="both"/>
              <w:rPr>
                <w:rFonts w:asciiTheme="minorHAnsi" w:hAnsiTheme="minorHAnsi" w:cstheme="minorHAnsi"/>
                <w:color w:val="auto"/>
                <w:sz w:val="24"/>
                <w:szCs w:val="24"/>
                <w:lang w:val="en-GB"/>
              </w:rPr>
            </w:pPr>
            <w:r w:rsidRPr="00D008F7">
              <w:rPr>
                <w:rFonts w:asciiTheme="minorHAnsi" w:hAnsiTheme="minorHAnsi" w:cstheme="minorHAnsi"/>
                <w:sz w:val="24"/>
                <w:szCs w:val="24"/>
                <w:lang w:val="en-GB"/>
              </w:rPr>
              <w:t xml:space="preserve">Activities, good practices, challenges and lessons learned </w:t>
            </w:r>
            <w:r w:rsidR="00C667DD">
              <w:rPr>
                <w:rFonts w:asciiTheme="minorHAnsi" w:hAnsiTheme="minorHAnsi" w:cstheme="minorHAnsi"/>
                <w:sz w:val="24"/>
                <w:szCs w:val="24"/>
                <w:lang w:val="en-GB"/>
              </w:rPr>
              <w:t xml:space="preserve">of </w:t>
            </w:r>
            <w:r w:rsidRPr="00D008F7">
              <w:rPr>
                <w:rFonts w:asciiTheme="minorHAnsi" w:hAnsiTheme="minorHAnsi" w:cstheme="minorHAnsi"/>
                <w:sz w:val="24"/>
                <w:szCs w:val="24"/>
                <w:lang w:val="en-GB"/>
              </w:rPr>
              <w:t xml:space="preserve">coordination among </w:t>
            </w:r>
            <w:r w:rsidRPr="00D008F7">
              <w:rPr>
                <w:rFonts w:asciiTheme="minorHAnsi" w:hAnsiTheme="minorHAnsi" w:cstheme="minorHAnsi"/>
                <w:color w:val="000000" w:themeColor="text1"/>
                <w:sz w:val="24"/>
                <w:szCs w:val="24"/>
              </w:rPr>
              <w:t>of States, OHCHR, United Nations agencies and other relevant stakeholders to support States’ efforts to implement universal periodic review recommendations through technical cooperation</w:t>
            </w:r>
            <w:r w:rsidRPr="00D008F7">
              <w:rPr>
                <w:rFonts w:asciiTheme="minorHAnsi" w:hAnsiTheme="minorHAnsi" w:cstheme="minorHAnsi"/>
                <w:sz w:val="24"/>
                <w:szCs w:val="24"/>
                <w:lang w:val="en-GB"/>
              </w:rPr>
              <w:t xml:space="preserve"> are identified and shared.</w:t>
            </w:r>
          </w:p>
          <w:p w14:paraId="7F2B0FAC" w14:textId="7568576F" w:rsidR="00D7232F" w:rsidRDefault="00D7232F" w:rsidP="002E41E9">
            <w:pPr>
              <w:pStyle w:val="Body1"/>
              <w:numPr>
                <w:ilvl w:val="0"/>
                <w:numId w:val="14"/>
              </w:numPr>
              <w:spacing w:after="40"/>
              <w:ind w:left="312" w:hanging="284"/>
              <w:jc w:val="both"/>
              <w:rPr>
                <w:rFonts w:asciiTheme="minorHAnsi" w:hAnsiTheme="minorHAnsi" w:cstheme="minorHAnsi"/>
                <w:color w:val="auto"/>
                <w:sz w:val="24"/>
                <w:szCs w:val="24"/>
                <w:lang w:val="en-GB"/>
              </w:rPr>
            </w:pPr>
            <w:r w:rsidRPr="00D008F7">
              <w:rPr>
                <w:rFonts w:asciiTheme="minorHAnsi" w:hAnsiTheme="minorHAnsi" w:cstheme="minorHAnsi"/>
                <w:color w:val="auto"/>
                <w:sz w:val="24"/>
                <w:szCs w:val="24"/>
                <w:lang w:val="en-GB"/>
              </w:rPr>
              <w:t xml:space="preserve">Awareness </w:t>
            </w:r>
            <w:r w:rsidR="00DF2444">
              <w:rPr>
                <w:rFonts w:asciiTheme="minorHAnsi" w:hAnsiTheme="minorHAnsi" w:cstheme="minorHAnsi"/>
                <w:color w:val="auto"/>
                <w:sz w:val="24"/>
                <w:szCs w:val="24"/>
                <w:lang w:val="en-GB"/>
              </w:rPr>
              <w:t>by</w:t>
            </w:r>
            <w:r w:rsidRPr="00D008F7">
              <w:rPr>
                <w:rFonts w:asciiTheme="minorHAnsi" w:hAnsiTheme="minorHAnsi" w:cstheme="minorHAnsi"/>
                <w:color w:val="auto"/>
                <w:sz w:val="24"/>
                <w:szCs w:val="24"/>
                <w:lang w:val="en-GB"/>
              </w:rPr>
              <w:t xml:space="preserve"> participants of the opportunities for technical cooperation and capacity-building to enhance partnerships and coordination in the context of UPR recommendations, including South-South, North-South and triangular cooperation, is improved. </w:t>
            </w:r>
          </w:p>
          <w:p w14:paraId="7466884C" w14:textId="73EBA166" w:rsidR="00D7232F" w:rsidRPr="00D34D36" w:rsidRDefault="00D7232F" w:rsidP="002E41E9">
            <w:pPr>
              <w:pStyle w:val="Body1"/>
              <w:numPr>
                <w:ilvl w:val="0"/>
                <w:numId w:val="14"/>
              </w:numPr>
              <w:spacing w:after="40"/>
              <w:ind w:left="312" w:hanging="284"/>
              <w:jc w:val="both"/>
              <w:rPr>
                <w:rStyle w:val="Strong"/>
                <w:rFonts w:asciiTheme="minorHAnsi" w:hAnsiTheme="minorHAnsi" w:cstheme="minorHAnsi"/>
                <w:bCs w:val="0"/>
                <w:sz w:val="24"/>
                <w:szCs w:val="24"/>
              </w:rPr>
            </w:pPr>
            <w:r w:rsidRPr="00536F55">
              <w:rPr>
                <w:rFonts w:asciiTheme="minorHAnsi" w:hAnsiTheme="minorHAnsi" w:cstheme="minorHAnsi"/>
                <w:color w:val="auto"/>
                <w:sz w:val="24"/>
                <w:szCs w:val="24"/>
                <w:lang w:val="en-GB"/>
              </w:rPr>
              <w:t xml:space="preserve">Tools to improve coordination and partnerships between </w:t>
            </w:r>
            <w:r w:rsidRPr="00536F55">
              <w:rPr>
                <w:rFonts w:asciiTheme="minorHAnsi" w:hAnsiTheme="minorHAnsi" w:cstheme="minorHAnsi"/>
                <w:color w:val="000000" w:themeColor="text1"/>
                <w:sz w:val="24"/>
                <w:szCs w:val="24"/>
              </w:rPr>
              <w:t>States, OHCHR, United Nations agencies and other relevant stakeholders to support States’ efforts to advance human rights, such as t</w:t>
            </w:r>
            <w:r w:rsidRPr="00536F55">
              <w:rPr>
                <w:rFonts w:asciiTheme="minorHAnsi" w:hAnsiTheme="minorHAnsi" w:cstheme="minorHAnsi"/>
                <w:color w:val="auto"/>
                <w:sz w:val="24"/>
                <w:szCs w:val="24"/>
                <w:lang w:val="en-GB"/>
              </w:rPr>
              <w:t>he online repository</w:t>
            </w:r>
            <w:r w:rsidRPr="00D008F7">
              <w:rPr>
                <w:rStyle w:val="FootnoteReference"/>
                <w:rFonts w:asciiTheme="minorHAnsi" w:hAnsiTheme="minorHAnsi" w:cstheme="minorHAnsi"/>
                <w:color w:val="auto"/>
                <w:sz w:val="24"/>
                <w:szCs w:val="24"/>
              </w:rPr>
              <w:footnoteReference w:id="2"/>
            </w:r>
            <w:r w:rsidRPr="00536F55">
              <w:rPr>
                <w:rFonts w:asciiTheme="minorHAnsi" w:hAnsiTheme="minorHAnsi" w:cstheme="minorHAnsi"/>
                <w:color w:val="auto"/>
                <w:sz w:val="24"/>
                <w:szCs w:val="24"/>
                <w:lang w:val="en-GB"/>
              </w:rPr>
              <w:t>,</w:t>
            </w:r>
            <w:r w:rsidRPr="00536F55">
              <w:rPr>
                <w:rFonts w:asciiTheme="minorHAnsi" w:hAnsiTheme="minorHAnsi" w:cstheme="minorHAnsi"/>
                <w:color w:val="000000" w:themeColor="text1"/>
                <w:sz w:val="24"/>
                <w:szCs w:val="24"/>
              </w:rPr>
              <w:t xml:space="preserve"> are discussed.</w:t>
            </w:r>
          </w:p>
        </w:tc>
      </w:tr>
      <w:tr w:rsidR="0056485D" w:rsidRPr="0052047B" w14:paraId="7FBE032E" w14:textId="77777777" w:rsidTr="00E1210F">
        <w:trPr>
          <w:trHeight w:val="459"/>
        </w:trPr>
        <w:tc>
          <w:tcPr>
            <w:tcW w:w="1011" w:type="pct"/>
            <w:shd w:val="clear" w:color="auto" w:fill="auto"/>
          </w:tcPr>
          <w:p w14:paraId="7FD2F285" w14:textId="1B394FEB" w:rsidR="0056485D" w:rsidRDefault="00770F35" w:rsidP="002E41E9">
            <w:pPr>
              <w:spacing w:after="0" w:line="240" w:lineRule="auto"/>
              <w:jc w:val="both"/>
              <w:rPr>
                <w:rFonts w:asciiTheme="minorHAnsi" w:hAnsiTheme="minorHAnsi" w:cstheme="minorHAnsi"/>
                <w:b/>
                <w:color w:val="000000"/>
                <w:sz w:val="24"/>
                <w:szCs w:val="24"/>
                <w:lang w:val="en-GB"/>
              </w:rPr>
            </w:pPr>
            <w:r>
              <w:rPr>
                <w:rFonts w:asciiTheme="minorHAnsi" w:hAnsiTheme="minorHAnsi" w:cstheme="minorHAnsi"/>
                <w:b/>
                <w:color w:val="000000"/>
                <w:sz w:val="24"/>
                <w:szCs w:val="24"/>
                <w:lang w:val="en-GB"/>
              </w:rPr>
              <w:lastRenderedPageBreak/>
              <w:t xml:space="preserve">Mandate: </w:t>
            </w:r>
          </w:p>
        </w:tc>
        <w:tc>
          <w:tcPr>
            <w:tcW w:w="3989" w:type="pct"/>
            <w:shd w:val="clear" w:color="auto" w:fill="auto"/>
          </w:tcPr>
          <w:p w14:paraId="5AAED213" w14:textId="44E2831F" w:rsidR="0056485D" w:rsidRPr="00770F35" w:rsidRDefault="00770F35" w:rsidP="002E41E9">
            <w:pPr>
              <w:pStyle w:val="Body1"/>
              <w:spacing w:after="120"/>
              <w:jc w:val="both"/>
              <w:rPr>
                <w:rFonts w:asciiTheme="minorHAnsi" w:eastAsia="Times New Roman" w:hAnsiTheme="minorHAnsi" w:cstheme="minorHAnsi"/>
                <w:sz w:val="24"/>
                <w:szCs w:val="24"/>
                <w:lang w:val="en-GB"/>
              </w:rPr>
            </w:pPr>
            <w:r w:rsidRPr="00770F35">
              <w:rPr>
                <w:rFonts w:asciiTheme="minorHAnsi" w:hAnsiTheme="minorHAnsi" w:cstheme="minorHAnsi"/>
                <w:sz w:val="24"/>
                <w:szCs w:val="24"/>
              </w:rPr>
              <w:t xml:space="preserve">In </w:t>
            </w:r>
            <w:hyperlink r:id="rId12" w:history="1">
              <w:r w:rsidR="00807F3A" w:rsidRPr="00807F3A">
                <w:rPr>
                  <w:rStyle w:val="Hyperlink"/>
                  <w:rFonts w:asciiTheme="minorHAnsi" w:hAnsiTheme="minorHAnsi" w:cstheme="minorHAnsi"/>
                  <w:sz w:val="24"/>
                  <w:szCs w:val="24"/>
                </w:rPr>
                <w:t>its resolution 54/28</w:t>
              </w:r>
            </w:hyperlink>
            <w:r w:rsidR="00807F3A">
              <w:rPr>
                <w:rFonts w:asciiTheme="minorHAnsi" w:hAnsiTheme="minorHAnsi" w:cstheme="minorHAnsi"/>
                <w:sz w:val="24"/>
                <w:szCs w:val="24"/>
              </w:rPr>
              <w:t>, the Human</w:t>
            </w:r>
            <w:r w:rsidRPr="00770F35">
              <w:rPr>
                <w:rFonts w:asciiTheme="minorHAnsi" w:hAnsiTheme="minorHAnsi" w:cstheme="minorHAnsi"/>
                <w:sz w:val="24"/>
                <w:szCs w:val="24"/>
              </w:rPr>
              <w:t xml:space="preserve"> Rights Council </w:t>
            </w:r>
            <w:r w:rsidR="004A7E20">
              <w:rPr>
                <w:rFonts w:asciiTheme="minorHAnsi" w:hAnsiTheme="minorHAnsi" w:cstheme="minorHAnsi"/>
                <w:sz w:val="24"/>
                <w:szCs w:val="24"/>
              </w:rPr>
              <w:t xml:space="preserve">decided </w:t>
            </w:r>
            <w:r w:rsidR="004A7E20" w:rsidRPr="004A7E20">
              <w:rPr>
                <w:rFonts w:asciiTheme="minorHAnsi" w:hAnsiTheme="minorHAnsi" w:cstheme="minorHAnsi"/>
                <w:sz w:val="24"/>
                <w:szCs w:val="24"/>
              </w:rPr>
              <w:t>that the theme of the annual thematic panel discussion under agenda item 10, to be held at its fifty-sixth session, will be “Enhancing technical cooperation and capacity-building in the implementation of universal periodic review recommendations”</w:t>
            </w:r>
            <w:r w:rsidR="004A7E20">
              <w:rPr>
                <w:rFonts w:asciiTheme="minorHAnsi" w:hAnsiTheme="minorHAnsi" w:cstheme="minorHAnsi"/>
                <w:sz w:val="24"/>
                <w:szCs w:val="24"/>
              </w:rPr>
              <w:t xml:space="preserve">. The Council requested OHCHR </w:t>
            </w:r>
            <w:r w:rsidR="007349CD" w:rsidRPr="007349CD">
              <w:rPr>
                <w:rFonts w:asciiTheme="minorHAnsi" w:hAnsiTheme="minorHAnsi" w:cstheme="minorHAnsi"/>
                <w:sz w:val="24"/>
                <w:szCs w:val="24"/>
              </w:rPr>
              <w:t xml:space="preserve">to prepare a report, to serve as a basis for the panel discussion, on enhancing coordination among States, the </w:t>
            </w:r>
            <w:r w:rsidR="00536F55" w:rsidRPr="007349CD">
              <w:rPr>
                <w:rFonts w:asciiTheme="minorHAnsi" w:hAnsiTheme="minorHAnsi" w:cstheme="minorHAnsi"/>
                <w:sz w:val="24"/>
                <w:szCs w:val="24"/>
              </w:rPr>
              <w:t>Office,</w:t>
            </w:r>
            <w:r w:rsidR="007349CD" w:rsidRPr="007349CD">
              <w:rPr>
                <w:rFonts w:asciiTheme="minorHAnsi" w:hAnsiTheme="minorHAnsi" w:cstheme="minorHAnsi"/>
                <w:sz w:val="24"/>
                <w:szCs w:val="24"/>
              </w:rPr>
              <w:t xml:space="preserve"> and other relevant stakeholders to support States’ efforts to implement universal periodic review recommendations through technical cooperation</w:t>
            </w:r>
            <w:r w:rsidR="009805E0">
              <w:rPr>
                <w:rFonts w:asciiTheme="minorHAnsi" w:hAnsiTheme="minorHAnsi" w:cstheme="minorHAnsi"/>
                <w:sz w:val="24"/>
                <w:szCs w:val="24"/>
              </w:rPr>
              <w:t>.</w:t>
            </w:r>
            <w:r w:rsidR="00C75883">
              <w:rPr>
                <w:rFonts w:asciiTheme="minorHAnsi" w:hAnsiTheme="minorHAnsi" w:cstheme="minorHAnsi"/>
                <w:sz w:val="24"/>
                <w:szCs w:val="24"/>
              </w:rPr>
              <w:t xml:space="preserve"> The </w:t>
            </w:r>
            <w:r w:rsidR="008E1315">
              <w:rPr>
                <w:rFonts w:asciiTheme="minorHAnsi" w:hAnsiTheme="minorHAnsi" w:cstheme="minorHAnsi"/>
                <w:sz w:val="24"/>
                <w:szCs w:val="24"/>
              </w:rPr>
              <w:t xml:space="preserve">said </w:t>
            </w:r>
            <w:r w:rsidR="00C75883">
              <w:rPr>
                <w:rFonts w:asciiTheme="minorHAnsi" w:hAnsiTheme="minorHAnsi" w:cstheme="minorHAnsi"/>
                <w:sz w:val="24"/>
                <w:szCs w:val="24"/>
              </w:rPr>
              <w:t xml:space="preserve">report will be presented as document </w:t>
            </w:r>
            <w:r w:rsidR="00C75883" w:rsidRPr="00C75883">
              <w:rPr>
                <w:rFonts w:asciiTheme="minorHAnsi" w:hAnsiTheme="minorHAnsi" w:cstheme="minorHAnsi"/>
                <w:sz w:val="24"/>
                <w:szCs w:val="24"/>
              </w:rPr>
              <w:t>A/HRC/56/72</w:t>
            </w:r>
            <w:r w:rsidR="00C75883">
              <w:rPr>
                <w:rFonts w:asciiTheme="minorHAnsi" w:hAnsiTheme="minorHAnsi" w:cstheme="minorHAnsi"/>
                <w:sz w:val="24"/>
                <w:szCs w:val="24"/>
              </w:rPr>
              <w:t>.</w:t>
            </w:r>
          </w:p>
        </w:tc>
      </w:tr>
      <w:tr w:rsidR="009E6BBF" w:rsidRPr="00F47E4B" w14:paraId="62E60AED" w14:textId="77777777" w:rsidTr="00F47E4B">
        <w:trPr>
          <w:trHeight w:val="80"/>
        </w:trPr>
        <w:tc>
          <w:tcPr>
            <w:tcW w:w="1011" w:type="pct"/>
            <w:shd w:val="clear" w:color="auto" w:fill="auto"/>
          </w:tcPr>
          <w:p w14:paraId="05356775" w14:textId="5B0FE04B" w:rsidR="009E6BBF" w:rsidRPr="00F47E4B" w:rsidRDefault="009E6BBF" w:rsidP="002E41E9">
            <w:pPr>
              <w:spacing w:after="0" w:line="240" w:lineRule="auto"/>
              <w:jc w:val="both"/>
              <w:rPr>
                <w:rFonts w:asciiTheme="minorHAnsi" w:hAnsiTheme="minorHAnsi" w:cstheme="minorHAnsi"/>
                <w:b/>
                <w:bCs/>
                <w:sz w:val="24"/>
                <w:szCs w:val="24"/>
              </w:rPr>
            </w:pPr>
            <w:r w:rsidRPr="00F47E4B">
              <w:rPr>
                <w:rFonts w:asciiTheme="minorHAnsi" w:hAnsiTheme="minorHAnsi" w:cstheme="minorHAnsi"/>
                <w:b/>
                <w:color w:val="000000"/>
                <w:sz w:val="24"/>
                <w:szCs w:val="24"/>
              </w:rPr>
              <w:t>Background:</w:t>
            </w:r>
          </w:p>
        </w:tc>
        <w:tc>
          <w:tcPr>
            <w:tcW w:w="3989" w:type="pct"/>
            <w:shd w:val="clear" w:color="auto" w:fill="auto"/>
          </w:tcPr>
          <w:p w14:paraId="266BAC7F" w14:textId="24C93EF9" w:rsidR="009E6BBF" w:rsidRPr="009E6BBF" w:rsidRDefault="009E6BBF" w:rsidP="002E41E9">
            <w:pPr>
              <w:pStyle w:val="Body1"/>
              <w:widowControl w:val="0"/>
              <w:spacing w:after="120"/>
              <w:jc w:val="both"/>
              <w:rPr>
                <w:rFonts w:asciiTheme="minorHAnsi" w:hAnsiTheme="minorHAnsi" w:cstheme="minorHAnsi"/>
                <w:sz w:val="24"/>
                <w:szCs w:val="24"/>
                <w:lang w:val="en-GB"/>
              </w:rPr>
            </w:pPr>
            <w:r w:rsidRPr="009E6BBF">
              <w:rPr>
                <w:rFonts w:asciiTheme="minorHAnsi" w:hAnsiTheme="minorHAnsi" w:cstheme="minorHAnsi"/>
                <w:sz w:val="24"/>
                <w:szCs w:val="24"/>
                <w:lang w:val="en-GB"/>
              </w:rPr>
              <w:t xml:space="preserve">Since its creation, the Human Rights Council has promoted advisory services, technical </w:t>
            </w:r>
            <w:r w:rsidR="00536F55" w:rsidRPr="009E6BBF">
              <w:rPr>
                <w:rFonts w:asciiTheme="minorHAnsi" w:hAnsiTheme="minorHAnsi" w:cstheme="minorHAnsi"/>
                <w:sz w:val="24"/>
                <w:szCs w:val="24"/>
                <w:lang w:val="en-GB"/>
              </w:rPr>
              <w:t>assistance,</w:t>
            </w:r>
            <w:r w:rsidRPr="009E6BBF">
              <w:rPr>
                <w:rFonts w:asciiTheme="minorHAnsi" w:hAnsiTheme="minorHAnsi" w:cstheme="minorHAnsi"/>
                <w:sz w:val="24"/>
                <w:szCs w:val="24"/>
                <w:lang w:val="en-GB"/>
              </w:rPr>
              <w:t xml:space="preserve"> and capacity-building in consultation with and with the consent of the States concerned. The Council has also undertaken </w:t>
            </w:r>
            <w:r w:rsidR="00801063">
              <w:rPr>
                <w:rFonts w:asciiTheme="minorHAnsi" w:hAnsiTheme="minorHAnsi" w:cstheme="minorHAnsi"/>
                <w:sz w:val="24"/>
                <w:szCs w:val="24"/>
                <w:lang w:val="en-GB"/>
              </w:rPr>
              <w:t xml:space="preserve">the universal periodic review (UPR), </w:t>
            </w:r>
            <w:r w:rsidRPr="009E6BBF">
              <w:rPr>
                <w:rFonts w:asciiTheme="minorHAnsi" w:hAnsiTheme="minorHAnsi" w:cstheme="minorHAnsi"/>
                <w:sz w:val="24"/>
                <w:szCs w:val="24"/>
                <w:lang w:val="en-GB"/>
              </w:rPr>
              <w:t>a unique peer-review process, which examines human rights records of States. The review aims to assess, based on objective and reliable information, the fulfilment by each State of its human rights obligations while ensuring universality and equal treatment with respect to all States. The UPR is complementary to the work of other international human rights mechanisms, facilitates the full involvement of the country concerned, interactive dialogue and cooperation among States and other stakeholders, and gives priority to State’s capacity-building needs. The UPR started its fourth cycle in 2022 with a focus on enhanced implementation of recommendations and its impact at the national level.</w:t>
            </w:r>
          </w:p>
          <w:p w14:paraId="0BC54F4B" w14:textId="2172A6E4" w:rsidR="009E6BBF" w:rsidRPr="009E6BBF" w:rsidRDefault="009E6BBF" w:rsidP="002E41E9">
            <w:pPr>
              <w:pStyle w:val="Body1"/>
              <w:widowControl w:val="0"/>
              <w:spacing w:after="120"/>
              <w:jc w:val="both"/>
              <w:rPr>
                <w:rFonts w:asciiTheme="minorHAnsi" w:hAnsiTheme="minorHAnsi" w:cstheme="minorHAnsi"/>
                <w:sz w:val="24"/>
                <w:szCs w:val="24"/>
                <w:lang w:val="en-GB"/>
              </w:rPr>
            </w:pPr>
            <w:r w:rsidRPr="009E6BBF">
              <w:rPr>
                <w:rFonts w:asciiTheme="minorHAnsi" w:hAnsiTheme="minorHAnsi" w:cstheme="minorHAnsi"/>
                <w:sz w:val="24"/>
                <w:szCs w:val="24"/>
                <w:lang w:val="en-GB"/>
              </w:rPr>
              <w:t>Technical cooperation in the field of human rights encompasses the design and implementation of initiatives and programmes to support and advance processes aimed at building and strengthening national and regional institutions, legal frameworks, policies and services, and the capacities of stakeholders that will have positive long-term impacts on the implementation of international human rights obligations. Technical cooperation provided to States to implement UPR recommendations addresses their capacity-building needs and has the potential to facilitate partnerships and collaboration among various actors, including States, U</w:t>
            </w:r>
            <w:r w:rsidR="00713DDE">
              <w:rPr>
                <w:rFonts w:asciiTheme="minorHAnsi" w:hAnsiTheme="minorHAnsi" w:cstheme="minorHAnsi"/>
                <w:sz w:val="24"/>
                <w:szCs w:val="24"/>
                <w:lang w:val="en-GB"/>
              </w:rPr>
              <w:t xml:space="preserve">nited </w:t>
            </w:r>
            <w:r w:rsidRPr="009E6BBF">
              <w:rPr>
                <w:rFonts w:asciiTheme="minorHAnsi" w:hAnsiTheme="minorHAnsi" w:cstheme="minorHAnsi"/>
                <w:sz w:val="24"/>
                <w:szCs w:val="24"/>
                <w:lang w:val="en-GB"/>
              </w:rPr>
              <w:t>N</w:t>
            </w:r>
            <w:r w:rsidR="00713DDE">
              <w:rPr>
                <w:rFonts w:asciiTheme="minorHAnsi" w:hAnsiTheme="minorHAnsi" w:cstheme="minorHAnsi"/>
                <w:sz w:val="24"/>
                <w:szCs w:val="24"/>
                <w:lang w:val="en-GB"/>
              </w:rPr>
              <w:t>ations</w:t>
            </w:r>
            <w:r w:rsidRPr="009E6BBF">
              <w:rPr>
                <w:rFonts w:asciiTheme="minorHAnsi" w:hAnsiTheme="minorHAnsi" w:cstheme="minorHAnsi"/>
                <w:sz w:val="24"/>
                <w:szCs w:val="24"/>
                <w:lang w:val="en-GB"/>
              </w:rPr>
              <w:t xml:space="preserve"> agencies, funds and projects, civil society, development donors and academia. </w:t>
            </w:r>
          </w:p>
          <w:p w14:paraId="2B7FAAD7" w14:textId="7022F0D3" w:rsidR="009E6BBF" w:rsidRPr="009E6BBF" w:rsidRDefault="009E6BBF" w:rsidP="002E41E9">
            <w:pPr>
              <w:pStyle w:val="Body1"/>
              <w:widowControl w:val="0"/>
              <w:spacing w:after="120"/>
              <w:jc w:val="both"/>
              <w:rPr>
                <w:rFonts w:asciiTheme="minorHAnsi" w:hAnsiTheme="minorHAnsi" w:cstheme="minorHAnsi"/>
                <w:sz w:val="24"/>
                <w:szCs w:val="24"/>
                <w:lang w:val="en-GB"/>
              </w:rPr>
            </w:pPr>
            <w:r w:rsidRPr="009E6BBF">
              <w:rPr>
                <w:rFonts w:asciiTheme="minorHAnsi" w:hAnsiTheme="minorHAnsi" w:cstheme="minorHAnsi"/>
                <w:sz w:val="24"/>
                <w:szCs w:val="24"/>
                <w:lang w:val="en-GB"/>
              </w:rPr>
              <w:t xml:space="preserve">In </w:t>
            </w:r>
            <w:r w:rsidR="00180BB0">
              <w:rPr>
                <w:rFonts w:asciiTheme="minorHAnsi" w:hAnsiTheme="minorHAnsi" w:cstheme="minorHAnsi"/>
                <w:sz w:val="24"/>
                <w:szCs w:val="24"/>
                <w:lang w:val="en-GB"/>
              </w:rPr>
              <w:t>recent</w:t>
            </w:r>
            <w:r w:rsidRPr="009E6BBF">
              <w:rPr>
                <w:rFonts w:asciiTheme="minorHAnsi" w:hAnsiTheme="minorHAnsi" w:cstheme="minorHAnsi"/>
                <w:sz w:val="24"/>
                <w:szCs w:val="24"/>
                <w:lang w:val="en-GB"/>
              </w:rPr>
              <w:t xml:space="preserve"> years the demand for technical cooperation and capacity-building has increased, including requests to facilitate the implementation of universal periodic review recommendations. However, available resources to meet those demands are not enough. Enhancing coordination among States, the U</w:t>
            </w:r>
            <w:r w:rsidR="00180BB0">
              <w:rPr>
                <w:rFonts w:asciiTheme="minorHAnsi" w:hAnsiTheme="minorHAnsi" w:cstheme="minorHAnsi"/>
                <w:sz w:val="24"/>
                <w:szCs w:val="24"/>
                <w:lang w:val="en-GB"/>
              </w:rPr>
              <w:t xml:space="preserve">nited </w:t>
            </w:r>
            <w:r w:rsidRPr="009E6BBF">
              <w:rPr>
                <w:rFonts w:asciiTheme="minorHAnsi" w:hAnsiTheme="minorHAnsi" w:cstheme="minorHAnsi"/>
                <w:sz w:val="24"/>
                <w:szCs w:val="24"/>
                <w:lang w:val="en-GB"/>
              </w:rPr>
              <w:t>N</w:t>
            </w:r>
            <w:r w:rsidR="00180BB0">
              <w:rPr>
                <w:rFonts w:asciiTheme="minorHAnsi" w:hAnsiTheme="minorHAnsi" w:cstheme="minorHAnsi"/>
                <w:sz w:val="24"/>
                <w:szCs w:val="24"/>
                <w:lang w:val="en-GB"/>
              </w:rPr>
              <w:t>ations</w:t>
            </w:r>
            <w:r w:rsidRPr="009E6BBF">
              <w:rPr>
                <w:rFonts w:asciiTheme="minorHAnsi" w:hAnsiTheme="minorHAnsi" w:cstheme="minorHAnsi"/>
                <w:sz w:val="24"/>
                <w:szCs w:val="24"/>
                <w:lang w:val="en-GB"/>
              </w:rPr>
              <w:t xml:space="preserve"> system development actors and other relevant stakeholders to support States’ efforts to implement universal periodic review recommendations is a way to maximize </w:t>
            </w:r>
            <w:r w:rsidR="004E69ED">
              <w:rPr>
                <w:rFonts w:asciiTheme="minorHAnsi" w:hAnsiTheme="minorHAnsi" w:cstheme="minorHAnsi"/>
                <w:sz w:val="24"/>
                <w:szCs w:val="24"/>
                <w:lang w:val="en-GB"/>
              </w:rPr>
              <w:t xml:space="preserve">the </w:t>
            </w:r>
            <w:r w:rsidRPr="009E6BBF">
              <w:rPr>
                <w:rFonts w:asciiTheme="minorHAnsi" w:hAnsiTheme="minorHAnsi" w:cstheme="minorHAnsi"/>
                <w:sz w:val="24"/>
                <w:szCs w:val="24"/>
                <w:lang w:val="en-GB"/>
              </w:rPr>
              <w:t xml:space="preserve">already limited resources. </w:t>
            </w:r>
          </w:p>
          <w:p w14:paraId="694A4FD8" w14:textId="379BED20" w:rsidR="009E6BBF" w:rsidRPr="009E6BBF" w:rsidRDefault="009E6BBF" w:rsidP="002E41E9">
            <w:pPr>
              <w:pStyle w:val="NormalWeb"/>
              <w:spacing w:before="0" w:beforeAutospacing="0" w:after="120" w:afterAutospacing="0"/>
              <w:jc w:val="both"/>
              <w:rPr>
                <w:rFonts w:asciiTheme="minorHAnsi" w:hAnsiTheme="minorHAnsi" w:cstheme="minorHAnsi"/>
              </w:rPr>
            </w:pPr>
            <w:r w:rsidRPr="009E6BBF">
              <w:rPr>
                <w:rFonts w:asciiTheme="minorHAnsi" w:hAnsiTheme="minorHAnsi" w:cstheme="minorHAnsi"/>
              </w:rPr>
              <w:t xml:space="preserve">The annual </w:t>
            </w:r>
            <w:r w:rsidR="001E517A">
              <w:rPr>
                <w:rFonts w:asciiTheme="minorHAnsi" w:hAnsiTheme="minorHAnsi" w:cstheme="minorHAnsi"/>
              </w:rPr>
              <w:t>panel discussion</w:t>
            </w:r>
            <w:r w:rsidRPr="009E6BBF">
              <w:rPr>
                <w:rFonts w:asciiTheme="minorHAnsi" w:hAnsiTheme="minorHAnsi" w:cstheme="minorHAnsi"/>
              </w:rPr>
              <w:t xml:space="preserve"> under agenda item 10 provides a scenario to reflect on good practices and challenges to support State</w:t>
            </w:r>
            <w:r w:rsidR="000A7668">
              <w:rPr>
                <w:rFonts w:asciiTheme="minorHAnsi" w:hAnsiTheme="minorHAnsi" w:cstheme="minorHAnsi"/>
              </w:rPr>
              <w:t>s</w:t>
            </w:r>
            <w:r w:rsidRPr="009E6BBF">
              <w:rPr>
                <w:rFonts w:asciiTheme="minorHAnsi" w:hAnsiTheme="minorHAnsi" w:cstheme="minorHAnsi"/>
              </w:rPr>
              <w:t xml:space="preserve">’ efforts to implement UPR recommendations through South-South, North-South and triangular </w:t>
            </w:r>
            <w:r w:rsidR="00536F55" w:rsidRPr="009E6BBF">
              <w:rPr>
                <w:rFonts w:asciiTheme="minorHAnsi" w:hAnsiTheme="minorHAnsi" w:cstheme="minorHAnsi"/>
              </w:rPr>
              <w:t>cooperation,</w:t>
            </w:r>
            <w:r w:rsidRPr="009E6BBF">
              <w:rPr>
                <w:rFonts w:asciiTheme="minorHAnsi" w:hAnsiTheme="minorHAnsi" w:cstheme="minorHAnsi"/>
              </w:rPr>
              <w:t xml:space="preserve"> and the critical role that partnerships play to make assistance and capacity-building timely, coherent, effective and efficient. </w:t>
            </w:r>
          </w:p>
        </w:tc>
      </w:tr>
      <w:tr w:rsidR="009E6BBF" w:rsidRPr="00F47E4B" w14:paraId="51A02FD4" w14:textId="77777777" w:rsidTr="00E1210F">
        <w:trPr>
          <w:trHeight w:val="807"/>
        </w:trPr>
        <w:tc>
          <w:tcPr>
            <w:tcW w:w="1011" w:type="pct"/>
            <w:shd w:val="clear" w:color="auto" w:fill="auto"/>
          </w:tcPr>
          <w:p w14:paraId="69C8D2E1" w14:textId="77777777" w:rsidR="009E6BBF" w:rsidRPr="00F47E4B" w:rsidRDefault="009E6BBF" w:rsidP="002E41E9">
            <w:pPr>
              <w:spacing w:after="0" w:line="240" w:lineRule="auto"/>
              <w:jc w:val="both"/>
              <w:rPr>
                <w:rFonts w:asciiTheme="minorHAnsi" w:hAnsiTheme="minorHAnsi" w:cstheme="minorHAnsi"/>
                <w:b/>
                <w:color w:val="000000"/>
                <w:sz w:val="24"/>
                <w:szCs w:val="24"/>
              </w:rPr>
            </w:pPr>
            <w:r w:rsidRPr="00F47E4B">
              <w:rPr>
                <w:rFonts w:asciiTheme="minorHAnsi" w:hAnsiTheme="minorHAnsi" w:cstheme="minorHAnsi"/>
                <w:b/>
                <w:color w:val="000000"/>
                <w:sz w:val="24"/>
                <w:szCs w:val="24"/>
              </w:rPr>
              <w:lastRenderedPageBreak/>
              <w:t>Format:</w:t>
            </w:r>
          </w:p>
        </w:tc>
        <w:tc>
          <w:tcPr>
            <w:tcW w:w="3989" w:type="pct"/>
            <w:shd w:val="clear" w:color="auto" w:fill="auto"/>
          </w:tcPr>
          <w:p w14:paraId="3B2DBEBB" w14:textId="14788FF7" w:rsidR="00553E36" w:rsidRPr="00F47E4B" w:rsidRDefault="00553E36" w:rsidP="002E41E9">
            <w:pPr>
              <w:widowControl w:val="0"/>
              <w:spacing w:after="120" w:line="240" w:lineRule="auto"/>
              <w:jc w:val="both"/>
              <w:outlineLvl w:val="0"/>
              <w:rPr>
                <w:rFonts w:asciiTheme="minorHAnsi" w:hAnsiTheme="minorHAnsi" w:cstheme="minorHAnsi"/>
                <w:bCs/>
                <w:sz w:val="24"/>
                <w:szCs w:val="24"/>
                <w:lang w:val="en-GB"/>
              </w:rPr>
            </w:pPr>
            <w:r w:rsidRPr="00F47E4B">
              <w:rPr>
                <w:rFonts w:asciiTheme="minorHAnsi" w:hAnsiTheme="minorHAnsi" w:cstheme="minorHAnsi"/>
                <w:bCs/>
                <w:sz w:val="24"/>
                <w:szCs w:val="24"/>
                <w:lang w:val="en-GB"/>
              </w:rPr>
              <w:t xml:space="preserve">The panel discussion will </w:t>
            </w:r>
            <w:r>
              <w:rPr>
                <w:rFonts w:asciiTheme="minorHAnsi" w:hAnsiTheme="minorHAnsi" w:cstheme="minorHAnsi"/>
                <w:bCs/>
                <w:sz w:val="24"/>
                <w:szCs w:val="24"/>
                <w:lang w:val="en-GB"/>
              </w:rPr>
              <w:t>be limited to</w:t>
            </w:r>
            <w:r w:rsidRPr="00F47E4B">
              <w:rPr>
                <w:rFonts w:asciiTheme="minorHAnsi" w:hAnsiTheme="minorHAnsi" w:cstheme="minorHAnsi"/>
                <w:bCs/>
                <w:sz w:val="24"/>
                <w:szCs w:val="24"/>
                <w:lang w:val="en-GB"/>
              </w:rPr>
              <w:t xml:space="preserve"> two hours. The opening statement and initial presentations by the panellists will be followed by </w:t>
            </w:r>
            <w:r w:rsidR="00800B81">
              <w:rPr>
                <w:rFonts w:asciiTheme="minorHAnsi" w:hAnsiTheme="minorHAnsi" w:cstheme="minorHAnsi"/>
                <w:bCs/>
                <w:sz w:val="24"/>
                <w:szCs w:val="24"/>
                <w:lang w:val="en-GB"/>
              </w:rPr>
              <w:t xml:space="preserve">a two-part </w:t>
            </w:r>
            <w:r w:rsidR="005936DC">
              <w:rPr>
                <w:rFonts w:asciiTheme="minorHAnsi" w:hAnsiTheme="minorHAnsi" w:cstheme="minorHAnsi"/>
                <w:bCs/>
                <w:sz w:val="24"/>
                <w:szCs w:val="24"/>
                <w:lang w:val="en-GB"/>
              </w:rPr>
              <w:t xml:space="preserve">interactive </w:t>
            </w:r>
            <w:r w:rsidR="00D5740F">
              <w:rPr>
                <w:rFonts w:asciiTheme="minorHAnsi" w:hAnsiTheme="minorHAnsi" w:cstheme="minorHAnsi"/>
                <w:bCs/>
                <w:sz w:val="24"/>
                <w:szCs w:val="24"/>
                <w:lang w:val="en-GB"/>
              </w:rPr>
              <w:t xml:space="preserve">discussion and </w:t>
            </w:r>
            <w:r w:rsidR="005936DC">
              <w:rPr>
                <w:rFonts w:asciiTheme="minorHAnsi" w:hAnsiTheme="minorHAnsi" w:cstheme="minorHAnsi"/>
                <w:bCs/>
                <w:sz w:val="24"/>
                <w:szCs w:val="24"/>
                <w:lang w:val="en-GB"/>
              </w:rPr>
              <w:t xml:space="preserve">by </w:t>
            </w:r>
            <w:r w:rsidR="00D5740F">
              <w:rPr>
                <w:rFonts w:asciiTheme="minorHAnsi" w:hAnsiTheme="minorHAnsi" w:cstheme="minorHAnsi"/>
                <w:bCs/>
                <w:sz w:val="24"/>
                <w:szCs w:val="24"/>
                <w:lang w:val="en-GB"/>
              </w:rPr>
              <w:t xml:space="preserve">conclusions from </w:t>
            </w:r>
            <w:r w:rsidR="005936DC">
              <w:rPr>
                <w:rFonts w:asciiTheme="minorHAnsi" w:hAnsiTheme="minorHAnsi" w:cstheme="minorHAnsi"/>
                <w:bCs/>
                <w:sz w:val="24"/>
                <w:szCs w:val="24"/>
                <w:lang w:val="en-GB"/>
              </w:rPr>
              <w:t xml:space="preserve">the </w:t>
            </w:r>
            <w:r w:rsidR="00D5740F">
              <w:rPr>
                <w:rFonts w:asciiTheme="minorHAnsi" w:hAnsiTheme="minorHAnsi" w:cstheme="minorHAnsi"/>
                <w:bCs/>
                <w:sz w:val="24"/>
                <w:szCs w:val="24"/>
                <w:lang w:val="en-GB"/>
              </w:rPr>
              <w:t xml:space="preserve">panellists. </w:t>
            </w:r>
            <w:r w:rsidRPr="00F47E4B">
              <w:rPr>
                <w:rFonts w:asciiTheme="minorHAnsi" w:hAnsiTheme="minorHAnsi" w:cstheme="minorHAnsi"/>
                <w:bCs/>
                <w:sz w:val="24"/>
                <w:szCs w:val="24"/>
                <w:lang w:val="en-GB"/>
              </w:rPr>
              <w:t>A maximum of one hour will be set aside for podium interventions, including the opening statement</w:t>
            </w:r>
            <w:r w:rsidR="00EC45CC">
              <w:rPr>
                <w:rFonts w:asciiTheme="minorHAnsi" w:hAnsiTheme="minorHAnsi" w:cstheme="minorHAnsi"/>
                <w:bCs/>
                <w:sz w:val="24"/>
                <w:szCs w:val="24"/>
                <w:lang w:val="en-GB"/>
              </w:rPr>
              <w:t xml:space="preserve"> and</w:t>
            </w:r>
            <w:r w:rsidRPr="00F47E4B">
              <w:rPr>
                <w:rFonts w:asciiTheme="minorHAnsi" w:hAnsiTheme="minorHAnsi" w:cstheme="minorHAnsi"/>
                <w:bCs/>
                <w:sz w:val="24"/>
                <w:szCs w:val="24"/>
                <w:lang w:val="en-GB"/>
              </w:rPr>
              <w:t xml:space="preserve"> panellists’ presentations, their responses to questions and concluding remarks.</w:t>
            </w:r>
            <w:r w:rsidR="00D5740F">
              <w:rPr>
                <w:rFonts w:asciiTheme="minorHAnsi" w:hAnsiTheme="minorHAnsi" w:cstheme="minorHAnsi"/>
                <w:bCs/>
                <w:sz w:val="24"/>
                <w:szCs w:val="24"/>
                <w:lang w:val="en-GB"/>
              </w:rPr>
              <w:t xml:space="preserve"> </w:t>
            </w:r>
            <w:r w:rsidRPr="00F47E4B">
              <w:rPr>
                <w:rFonts w:asciiTheme="minorHAnsi" w:hAnsiTheme="minorHAnsi" w:cstheme="minorHAnsi"/>
                <w:bCs/>
                <w:sz w:val="24"/>
                <w:szCs w:val="24"/>
                <w:lang w:val="en-GB"/>
              </w:rPr>
              <w:t xml:space="preserve">The remaining hour will be reserved for two segments of interventions from the floor, with each segment consisting of interventions from </w:t>
            </w:r>
            <w:r>
              <w:rPr>
                <w:rFonts w:asciiTheme="minorHAnsi" w:hAnsiTheme="minorHAnsi" w:cstheme="minorHAnsi"/>
                <w:bCs/>
                <w:sz w:val="24"/>
                <w:szCs w:val="24"/>
                <w:lang w:val="en-GB"/>
              </w:rPr>
              <w:t>14</w:t>
            </w:r>
            <w:r w:rsidRPr="00F47E4B">
              <w:rPr>
                <w:rFonts w:asciiTheme="minorHAnsi" w:hAnsiTheme="minorHAnsi" w:cstheme="minorHAnsi"/>
                <w:bCs/>
                <w:sz w:val="24"/>
                <w:szCs w:val="24"/>
                <w:lang w:val="en-GB"/>
              </w:rPr>
              <w:t xml:space="preserve"> States or observers, </w:t>
            </w:r>
            <w:r>
              <w:rPr>
                <w:rFonts w:asciiTheme="minorHAnsi" w:hAnsiTheme="minorHAnsi" w:cstheme="minorHAnsi"/>
                <w:bCs/>
                <w:sz w:val="24"/>
                <w:szCs w:val="24"/>
                <w:lang w:val="en-GB"/>
              </w:rPr>
              <w:t>2</w:t>
            </w:r>
            <w:r w:rsidRPr="00F47E4B">
              <w:rPr>
                <w:rFonts w:asciiTheme="minorHAnsi" w:hAnsiTheme="minorHAnsi" w:cstheme="minorHAnsi"/>
                <w:bCs/>
                <w:sz w:val="24"/>
                <w:szCs w:val="24"/>
                <w:lang w:val="en-GB"/>
              </w:rPr>
              <w:t xml:space="preserve"> </w:t>
            </w:r>
            <w:r>
              <w:rPr>
                <w:rFonts w:asciiTheme="minorHAnsi" w:hAnsiTheme="minorHAnsi" w:cstheme="minorHAnsi"/>
                <w:bCs/>
                <w:sz w:val="24"/>
                <w:szCs w:val="24"/>
                <w:lang w:val="en-GB"/>
              </w:rPr>
              <w:t>n</w:t>
            </w:r>
            <w:r w:rsidRPr="00F47E4B">
              <w:rPr>
                <w:rFonts w:asciiTheme="minorHAnsi" w:hAnsiTheme="minorHAnsi" w:cstheme="minorHAnsi"/>
                <w:bCs/>
                <w:sz w:val="24"/>
                <w:szCs w:val="24"/>
                <w:lang w:val="en-GB"/>
              </w:rPr>
              <w:t xml:space="preserve">ational </w:t>
            </w:r>
            <w:r>
              <w:rPr>
                <w:rFonts w:asciiTheme="minorHAnsi" w:hAnsiTheme="minorHAnsi" w:cstheme="minorHAnsi"/>
                <w:bCs/>
                <w:sz w:val="24"/>
                <w:szCs w:val="24"/>
                <w:lang w:val="en-GB"/>
              </w:rPr>
              <w:t>h</w:t>
            </w:r>
            <w:r w:rsidRPr="00F47E4B">
              <w:rPr>
                <w:rFonts w:asciiTheme="minorHAnsi" w:hAnsiTheme="minorHAnsi" w:cstheme="minorHAnsi"/>
                <w:bCs/>
                <w:sz w:val="24"/>
                <w:szCs w:val="24"/>
                <w:lang w:val="en-GB"/>
              </w:rPr>
              <w:t xml:space="preserve">uman </w:t>
            </w:r>
            <w:r>
              <w:rPr>
                <w:rFonts w:asciiTheme="minorHAnsi" w:hAnsiTheme="minorHAnsi" w:cstheme="minorHAnsi"/>
                <w:bCs/>
                <w:sz w:val="24"/>
                <w:szCs w:val="24"/>
                <w:lang w:val="en-GB"/>
              </w:rPr>
              <w:t>r</w:t>
            </w:r>
            <w:r w:rsidRPr="00F47E4B">
              <w:rPr>
                <w:rFonts w:asciiTheme="minorHAnsi" w:hAnsiTheme="minorHAnsi" w:cstheme="minorHAnsi"/>
                <w:bCs/>
                <w:sz w:val="24"/>
                <w:szCs w:val="24"/>
                <w:lang w:val="en-GB"/>
              </w:rPr>
              <w:t xml:space="preserve">ights </w:t>
            </w:r>
            <w:r>
              <w:rPr>
                <w:rFonts w:asciiTheme="minorHAnsi" w:hAnsiTheme="minorHAnsi" w:cstheme="minorHAnsi"/>
                <w:bCs/>
                <w:sz w:val="24"/>
                <w:szCs w:val="24"/>
                <w:lang w:val="en-GB"/>
              </w:rPr>
              <w:t>i</w:t>
            </w:r>
            <w:r w:rsidRPr="00F47E4B">
              <w:rPr>
                <w:rFonts w:asciiTheme="minorHAnsi" w:hAnsiTheme="minorHAnsi" w:cstheme="minorHAnsi"/>
                <w:bCs/>
                <w:sz w:val="24"/>
                <w:szCs w:val="24"/>
                <w:lang w:val="en-GB"/>
              </w:rPr>
              <w:t>nstitution</w:t>
            </w:r>
            <w:r>
              <w:rPr>
                <w:rFonts w:asciiTheme="minorHAnsi" w:hAnsiTheme="minorHAnsi" w:cstheme="minorHAnsi"/>
                <w:bCs/>
                <w:sz w:val="24"/>
                <w:szCs w:val="24"/>
                <w:lang w:val="en-GB"/>
              </w:rPr>
              <w:t>s</w:t>
            </w:r>
            <w:r w:rsidRPr="00F47E4B">
              <w:rPr>
                <w:rFonts w:asciiTheme="minorHAnsi" w:hAnsiTheme="minorHAnsi" w:cstheme="minorHAnsi"/>
                <w:bCs/>
                <w:sz w:val="24"/>
                <w:szCs w:val="24"/>
                <w:lang w:val="en-GB"/>
              </w:rPr>
              <w:t xml:space="preserve"> and </w:t>
            </w:r>
            <w:r>
              <w:rPr>
                <w:rFonts w:asciiTheme="minorHAnsi" w:hAnsiTheme="minorHAnsi" w:cstheme="minorHAnsi"/>
                <w:bCs/>
                <w:sz w:val="24"/>
                <w:szCs w:val="24"/>
                <w:lang w:val="en-GB"/>
              </w:rPr>
              <w:t>4</w:t>
            </w:r>
            <w:r w:rsidRPr="00F47E4B">
              <w:rPr>
                <w:rFonts w:asciiTheme="minorHAnsi" w:hAnsiTheme="minorHAnsi" w:cstheme="minorHAnsi"/>
                <w:bCs/>
                <w:sz w:val="24"/>
                <w:szCs w:val="24"/>
                <w:lang w:val="en-GB"/>
              </w:rPr>
              <w:t xml:space="preserve"> non-governmental organizations</w:t>
            </w:r>
            <w:r>
              <w:rPr>
                <w:rFonts w:asciiTheme="minorHAnsi" w:hAnsiTheme="minorHAnsi" w:cstheme="minorHAnsi"/>
                <w:bCs/>
                <w:sz w:val="24"/>
                <w:szCs w:val="24"/>
                <w:lang w:val="en-GB"/>
              </w:rPr>
              <w:t>.</w:t>
            </w:r>
            <w:r w:rsidRPr="00F47E4B">
              <w:rPr>
                <w:rFonts w:asciiTheme="minorHAnsi" w:hAnsiTheme="minorHAnsi" w:cstheme="minorHAnsi"/>
                <w:bCs/>
                <w:sz w:val="24"/>
                <w:szCs w:val="24"/>
                <w:lang w:val="en-GB"/>
              </w:rPr>
              <w:t xml:space="preserve"> Each speaker will have 1.5 minutes to ask panellists questions </w:t>
            </w:r>
            <w:r w:rsidR="006846C4" w:rsidRPr="006846C4">
              <w:rPr>
                <w:rFonts w:asciiTheme="minorHAnsi" w:hAnsiTheme="minorHAnsi" w:cstheme="minorHAnsi"/>
                <w:bCs/>
                <w:sz w:val="24"/>
                <w:szCs w:val="24"/>
                <w:lang w:val="en-GB"/>
              </w:rPr>
              <w:t>and/or reflect on activities, good practices, and challenges and lessons learned of coordination among States, OHCHR, U</w:t>
            </w:r>
            <w:r w:rsidR="006C5D25">
              <w:rPr>
                <w:rFonts w:asciiTheme="minorHAnsi" w:hAnsiTheme="minorHAnsi" w:cstheme="minorHAnsi"/>
                <w:bCs/>
                <w:sz w:val="24"/>
                <w:szCs w:val="24"/>
                <w:lang w:val="en-GB"/>
              </w:rPr>
              <w:t xml:space="preserve">nited </w:t>
            </w:r>
            <w:r w:rsidR="006846C4" w:rsidRPr="006846C4">
              <w:rPr>
                <w:rFonts w:asciiTheme="minorHAnsi" w:hAnsiTheme="minorHAnsi" w:cstheme="minorHAnsi"/>
                <w:bCs/>
                <w:sz w:val="24"/>
                <w:szCs w:val="24"/>
                <w:lang w:val="en-GB"/>
              </w:rPr>
              <w:t>N</w:t>
            </w:r>
            <w:r w:rsidR="006C5D25">
              <w:rPr>
                <w:rFonts w:asciiTheme="minorHAnsi" w:hAnsiTheme="minorHAnsi" w:cstheme="minorHAnsi"/>
                <w:bCs/>
                <w:sz w:val="24"/>
                <w:szCs w:val="24"/>
                <w:lang w:val="en-GB"/>
              </w:rPr>
              <w:t>ations</w:t>
            </w:r>
            <w:r w:rsidR="006846C4" w:rsidRPr="006846C4">
              <w:rPr>
                <w:rFonts w:asciiTheme="minorHAnsi" w:hAnsiTheme="minorHAnsi" w:cstheme="minorHAnsi"/>
                <w:bCs/>
                <w:sz w:val="24"/>
                <w:szCs w:val="24"/>
                <w:lang w:val="en-GB"/>
              </w:rPr>
              <w:t xml:space="preserve"> agencies and other relevant stakeholders to support States’ efforts to implement universal periodic review recommendations through technical cooperation</w:t>
            </w:r>
            <w:r w:rsidRPr="00F47E4B">
              <w:rPr>
                <w:rFonts w:asciiTheme="minorHAnsi" w:hAnsiTheme="minorHAnsi" w:cstheme="minorHAnsi"/>
                <w:bCs/>
                <w:sz w:val="24"/>
                <w:szCs w:val="24"/>
                <w:lang w:val="en-GB"/>
              </w:rPr>
              <w:t xml:space="preserve">. </w:t>
            </w:r>
            <w:r w:rsidR="0028082E">
              <w:rPr>
                <w:rFonts w:asciiTheme="minorHAnsi" w:hAnsiTheme="minorHAnsi" w:cstheme="minorHAnsi"/>
                <w:bCs/>
                <w:sz w:val="24"/>
                <w:szCs w:val="24"/>
                <w:lang w:val="en-GB"/>
              </w:rPr>
              <w:t>The p</w:t>
            </w:r>
            <w:r w:rsidRPr="00F47E4B">
              <w:rPr>
                <w:rFonts w:asciiTheme="minorHAnsi" w:hAnsiTheme="minorHAnsi" w:cstheme="minorHAnsi"/>
                <w:bCs/>
                <w:sz w:val="24"/>
                <w:szCs w:val="24"/>
                <w:lang w:val="en-GB"/>
              </w:rPr>
              <w:t xml:space="preserve">anellists will respond to questions and comments during the remaining </w:t>
            </w:r>
            <w:r w:rsidR="001C7728">
              <w:rPr>
                <w:rFonts w:asciiTheme="minorHAnsi" w:hAnsiTheme="minorHAnsi" w:cstheme="minorHAnsi"/>
                <w:bCs/>
                <w:sz w:val="24"/>
                <w:szCs w:val="24"/>
                <w:lang w:val="en-GB"/>
              </w:rPr>
              <w:t>time available</w:t>
            </w:r>
            <w:r w:rsidRPr="00F47E4B">
              <w:rPr>
                <w:rFonts w:asciiTheme="minorHAnsi" w:hAnsiTheme="minorHAnsi" w:cstheme="minorHAnsi"/>
                <w:bCs/>
                <w:sz w:val="24"/>
                <w:szCs w:val="24"/>
                <w:lang w:val="en-GB"/>
              </w:rPr>
              <w:t>.</w:t>
            </w:r>
            <w:r w:rsidR="00D5740F">
              <w:rPr>
                <w:rFonts w:asciiTheme="minorHAnsi" w:hAnsiTheme="minorHAnsi" w:cstheme="minorHAnsi"/>
                <w:bCs/>
                <w:sz w:val="24"/>
                <w:szCs w:val="24"/>
                <w:lang w:val="en-GB"/>
              </w:rPr>
              <w:t xml:space="preserve"> </w:t>
            </w:r>
          </w:p>
          <w:p w14:paraId="690A77BB" w14:textId="4C1D8769" w:rsidR="009E6BBF" w:rsidRPr="00F47E4B" w:rsidRDefault="00553E36" w:rsidP="002E41E9">
            <w:pPr>
              <w:spacing w:after="120" w:line="240" w:lineRule="auto"/>
              <w:jc w:val="both"/>
              <w:rPr>
                <w:rFonts w:asciiTheme="minorHAnsi" w:hAnsiTheme="minorHAnsi" w:cstheme="minorHAnsi"/>
                <w:bCs/>
                <w:sz w:val="24"/>
                <w:szCs w:val="24"/>
                <w:lang w:val="en-GB"/>
              </w:rPr>
            </w:pPr>
            <w:r w:rsidRPr="00F47E4B">
              <w:rPr>
                <w:rFonts w:asciiTheme="minorHAnsi" w:hAnsiTheme="minorHAnsi" w:cstheme="minorHAnsi"/>
                <w:bCs/>
                <w:sz w:val="24"/>
                <w:szCs w:val="24"/>
                <w:lang w:val="en-GB"/>
              </w:rPr>
              <w:t xml:space="preserve">The list of speakers for the discussion will be established through the online inscription system and, as per practice, statements by high-level dignitaries and groups of States will be moved to the beginning of the list. Delegates </w:t>
            </w:r>
            <w:r>
              <w:rPr>
                <w:rFonts w:asciiTheme="minorHAnsi" w:hAnsiTheme="minorHAnsi" w:cstheme="minorHAnsi"/>
                <w:bCs/>
                <w:sz w:val="24"/>
                <w:szCs w:val="24"/>
                <w:lang w:val="en-GB"/>
              </w:rPr>
              <w:t>who could not</w:t>
            </w:r>
            <w:r w:rsidRPr="00F47E4B">
              <w:rPr>
                <w:rFonts w:asciiTheme="minorHAnsi" w:hAnsiTheme="minorHAnsi" w:cstheme="minorHAnsi"/>
                <w:bCs/>
                <w:sz w:val="24"/>
                <w:szCs w:val="24"/>
                <w:lang w:val="en-GB"/>
              </w:rPr>
              <w:t xml:space="preserve"> take the floor due to time constraints will be able to upload their statements on the online system to be posted </w:t>
            </w:r>
            <w:hyperlink r:id="rId13" w:history="1">
              <w:r w:rsidRPr="004B43F4">
                <w:rPr>
                  <w:rStyle w:val="Hyperlink"/>
                  <w:rFonts w:asciiTheme="minorHAnsi" w:hAnsiTheme="minorHAnsi" w:cstheme="minorHAnsi"/>
                  <w:bCs/>
                  <w:sz w:val="24"/>
                  <w:szCs w:val="24"/>
                  <w:lang w:val="en-GB"/>
                </w:rPr>
                <w:t>on the HRC Extranet</w:t>
              </w:r>
            </w:hyperlink>
            <w:r w:rsidRPr="00F47E4B">
              <w:rPr>
                <w:rFonts w:asciiTheme="minorHAnsi" w:hAnsiTheme="minorHAnsi" w:cstheme="minorHAnsi"/>
                <w:bCs/>
                <w:sz w:val="24"/>
                <w:szCs w:val="24"/>
                <w:lang w:val="en-GB"/>
              </w:rPr>
              <w:t>. Interpretation will be provided in the six United Nations official languages (Arabic, Chinese, English, French, Russian and Spanish).</w:t>
            </w:r>
          </w:p>
        </w:tc>
      </w:tr>
      <w:tr w:rsidR="009E6BBF" w:rsidRPr="00F47E4B" w14:paraId="7A953428" w14:textId="77777777" w:rsidTr="00A82F94">
        <w:trPr>
          <w:trHeight w:val="132"/>
        </w:trPr>
        <w:tc>
          <w:tcPr>
            <w:tcW w:w="1011" w:type="pct"/>
            <w:shd w:val="clear" w:color="auto" w:fill="auto"/>
          </w:tcPr>
          <w:p w14:paraId="1985A3D1" w14:textId="7EE285CF" w:rsidR="009E6BBF" w:rsidRPr="00F47E4B" w:rsidRDefault="00682D96" w:rsidP="002E41E9">
            <w:pPr>
              <w:spacing w:after="0" w:line="240" w:lineRule="auto"/>
              <w:jc w:val="both"/>
              <w:rPr>
                <w:rFonts w:asciiTheme="minorHAnsi" w:hAnsiTheme="minorHAnsi" w:cstheme="minorHAnsi"/>
                <w:b/>
                <w:color w:val="000000"/>
                <w:sz w:val="24"/>
                <w:szCs w:val="24"/>
                <w:lang w:val="fr-CH"/>
              </w:rPr>
            </w:pPr>
            <w:r>
              <w:rPr>
                <w:rFonts w:asciiTheme="minorHAnsi" w:hAnsiTheme="minorHAnsi" w:cstheme="minorHAnsi"/>
                <w:b/>
                <w:color w:val="000000"/>
                <w:sz w:val="24"/>
                <w:szCs w:val="24"/>
                <w:lang w:val="fr-CH"/>
              </w:rPr>
              <w:t>Related</w:t>
            </w:r>
            <w:r w:rsidR="009A0684">
              <w:rPr>
                <w:rFonts w:asciiTheme="minorHAnsi" w:hAnsiTheme="minorHAnsi" w:cstheme="minorHAnsi"/>
                <w:b/>
                <w:color w:val="000000"/>
                <w:sz w:val="24"/>
                <w:szCs w:val="24"/>
                <w:lang w:val="fr-CH"/>
              </w:rPr>
              <w:t xml:space="preserve"> </w:t>
            </w:r>
            <w:r w:rsidR="009E6BBF" w:rsidRPr="00F47E4B">
              <w:rPr>
                <w:rFonts w:asciiTheme="minorHAnsi" w:hAnsiTheme="minorHAnsi" w:cstheme="minorHAnsi"/>
                <w:b/>
                <w:color w:val="000000"/>
                <w:sz w:val="24"/>
                <w:szCs w:val="24"/>
                <w:lang w:val="fr-CH"/>
              </w:rPr>
              <w:t>documents:</w:t>
            </w:r>
          </w:p>
          <w:p w14:paraId="0957AB44" w14:textId="645C51E4" w:rsidR="009E6BBF" w:rsidRPr="00F47E4B" w:rsidRDefault="009E6BBF" w:rsidP="002E41E9">
            <w:pPr>
              <w:spacing w:line="240" w:lineRule="auto"/>
              <w:jc w:val="both"/>
              <w:rPr>
                <w:rFonts w:asciiTheme="minorHAnsi" w:hAnsiTheme="minorHAnsi" w:cstheme="minorHAnsi"/>
                <w:sz w:val="24"/>
                <w:szCs w:val="24"/>
                <w:lang w:val="fr-CH"/>
              </w:rPr>
            </w:pPr>
          </w:p>
        </w:tc>
        <w:tc>
          <w:tcPr>
            <w:tcW w:w="3989" w:type="pct"/>
            <w:shd w:val="clear" w:color="auto" w:fill="auto"/>
          </w:tcPr>
          <w:p w14:paraId="7DF1F2EB" w14:textId="5334508E" w:rsidR="00E26A1C" w:rsidRPr="00D55C51" w:rsidRDefault="006C08D0" w:rsidP="002E41E9">
            <w:pPr>
              <w:pStyle w:val="Body1"/>
              <w:numPr>
                <w:ilvl w:val="0"/>
                <w:numId w:val="11"/>
              </w:numPr>
              <w:spacing w:after="60"/>
              <w:ind w:left="357" w:hanging="357"/>
              <w:jc w:val="both"/>
              <w:rPr>
                <w:rFonts w:asciiTheme="minorHAnsi" w:hAnsiTheme="minorHAnsi" w:cstheme="minorHAnsi"/>
                <w:color w:val="auto"/>
                <w:sz w:val="24"/>
                <w:szCs w:val="24"/>
                <w:lang w:val="en-GB"/>
              </w:rPr>
            </w:pPr>
            <w:hyperlink r:id="rId14" w:history="1">
              <w:r w:rsidR="00E26A1C" w:rsidRPr="009A0CE4">
                <w:rPr>
                  <w:rStyle w:val="Hyperlink"/>
                  <w:rFonts w:asciiTheme="minorHAnsi" w:hAnsiTheme="minorHAnsi" w:cstheme="minorHAnsi"/>
                  <w:sz w:val="24"/>
                  <w:szCs w:val="24"/>
                  <w:lang w:val="en-GB"/>
                </w:rPr>
                <w:t>Human Rights Council resolution 5</w:t>
              </w:r>
              <w:r w:rsidR="00E26A1C" w:rsidRPr="009A0CE4">
                <w:rPr>
                  <w:rStyle w:val="Hyperlink"/>
                  <w:rFonts w:asciiTheme="minorHAnsi" w:hAnsiTheme="minorHAnsi" w:cstheme="minorHAnsi"/>
                  <w:sz w:val="24"/>
                  <w:szCs w:val="24"/>
                </w:rPr>
                <w:t>4</w:t>
              </w:r>
              <w:r w:rsidR="00E26A1C" w:rsidRPr="009A0CE4">
                <w:rPr>
                  <w:rStyle w:val="Hyperlink"/>
                  <w:rFonts w:asciiTheme="minorHAnsi" w:hAnsiTheme="minorHAnsi" w:cstheme="minorHAnsi"/>
                  <w:sz w:val="24"/>
                  <w:szCs w:val="24"/>
                  <w:lang w:val="en-GB"/>
                </w:rPr>
                <w:t>/</w:t>
              </w:r>
              <w:r w:rsidR="00E26A1C" w:rsidRPr="009A0CE4">
                <w:rPr>
                  <w:rStyle w:val="Hyperlink"/>
                  <w:rFonts w:asciiTheme="minorHAnsi" w:hAnsiTheme="minorHAnsi" w:cstheme="minorHAnsi"/>
                  <w:sz w:val="24"/>
                  <w:szCs w:val="24"/>
                </w:rPr>
                <w:t>28</w:t>
              </w:r>
            </w:hyperlink>
            <w:r w:rsidR="00E26A1C" w:rsidRPr="00E26A1C">
              <w:rPr>
                <w:rFonts w:asciiTheme="minorHAnsi" w:hAnsiTheme="minorHAnsi" w:cstheme="minorHAnsi"/>
                <w:sz w:val="24"/>
                <w:szCs w:val="24"/>
                <w:lang w:val="en-GB"/>
              </w:rPr>
              <w:t xml:space="preserve"> </w:t>
            </w:r>
            <w:r w:rsidR="00E26A1C" w:rsidRPr="00E26A1C">
              <w:rPr>
                <w:rFonts w:asciiTheme="minorHAnsi" w:hAnsiTheme="minorHAnsi" w:cstheme="minorHAnsi"/>
                <w:color w:val="auto"/>
                <w:sz w:val="24"/>
                <w:szCs w:val="24"/>
                <w:lang w:val="en-GB"/>
              </w:rPr>
              <w:t>of 1</w:t>
            </w:r>
            <w:r w:rsidR="0063380B">
              <w:rPr>
                <w:rFonts w:asciiTheme="minorHAnsi" w:hAnsiTheme="minorHAnsi" w:cstheme="minorHAnsi"/>
                <w:color w:val="auto"/>
                <w:sz w:val="24"/>
                <w:szCs w:val="24"/>
                <w:lang w:val="en-GB"/>
              </w:rPr>
              <w:t>2</w:t>
            </w:r>
            <w:r w:rsidR="00E26A1C" w:rsidRPr="00E26A1C">
              <w:rPr>
                <w:rFonts w:asciiTheme="minorHAnsi" w:hAnsiTheme="minorHAnsi" w:cstheme="minorHAnsi"/>
                <w:color w:val="auto"/>
                <w:sz w:val="24"/>
                <w:szCs w:val="24"/>
                <w:lang w:val="en-GB"/>
              </w:rPr>
              <w:t xml:space="preserve"> October 2023 on enhancement of technical cooperation and capacity-building in the field o</w:t>
            </w:r>
            <w:r w:rsidR="00E26A1C" w:rsidRPr="00D55C51">
              <w:rPr>
                <w:rFonts w:asciiTheme="minorHAnsi" w:hAnsiTheme="minorHAnsi" w:cstheme="minorHAnsi"/>
                <w:color w:val="auto"/>
                <w:sz w:val="24"/>
                <w:szCs w:val="24"/>
                <w:lang w:val="en-GB"/>
              </w:rPr>
              <w:t>f human rights</w:t>
            </w:r>
          </w:p>
          <w:p w14:paraId="46010D91" w14:textId="19034941" w:rsidR="00E26A1C" w:rsidRPr="00D55C51" w:rsidRDefault="006C08D0" w:rsidP="002E41E9">
            <w:pPr>
              <w:pStyle w:val="Body1"/>
              <w:numPr>
                <w:ilvl w:val="0"/>
                <w:numId w:val="11"/>
              </w:numPr>
              <w:spacing w:after="60"/>
              <w:ind w:left="357" w:hanging="357"/>
              <w:jc w:val="both"/>
              <w:rPr>
                <w:rFonts w:asciiTheme="minorHAnsi" w:hAnsiTheme="minorHAnsi" w:cstheme="minorHAnsi"/>
                <w:color w:val="auto"/>
                <w:sz w:val="24"/>
                <w:szCs w:val="24"/>
                <w:lang w:val="en-GB"/>
              </w:rPr>
            </w:pPr>
            <w:hyperlink r:id="rId15" w:history="1">
              <w:r w:rsidR="00E26A1C" w:rsidRPr="00D55C51">
                <w:rPr>
                  <w:rStyle w:val="Hyperlink"/>
                  <w:rFonts w:asciiTheme="minorHAnsi" w:hAnsiTheme="minorHAnsi" w:cstheme="minorHAnsi"/>
                  <w:sz w:val="24"/>
                  <w:szCs w:val="24"/>
                  <w:lang w:val="en-GB"/>
                </w:rPr>
                <w:t>General Assembly resolution 60/251</w:t>
              </w:r>
            </w:hyperlink>
            <w:r w:rsidR="00E26A1C" w:rsidRPr="00D55C51">
              <w:rPr>
                <w:rFonts w:asciiTheme="minorHAnsi" w:hAnsiTheme="minorHAnsi" w:cstheme="minorHAnsi"/>
                <w:color w:val="auto"/>
                <w:sz w:val="24"/>
                <w:szCs w:val="24"/>
                <w:lang w:val="en-GB"/>
              </w:rPr>
              <w:t xml:space="preserve"> of 15 March 2006 </w:t>
            </w:r>
            <w:r w:rsidR="00E00911" w:rsidRPr="00D55C51">
              <w:rPr>
                <w:rFonts w:asciiTheme="minorHAnsi" w:hAnsiTheme="minorHAnsi" w:cstheme="minorHAnsi"/>
                <w:color w:val="auto"/>
                <w:sz w:val="24"/>
                <w:szCs w:val="24"/>
                <w:lang w:val="en-GB"/>
              </w:rPr>
              <w:t>on</w:t>
            </w:r>
            <w:r w:rsidR="00E26A1C" w:rsidRPr="00D55C51">
              <w:rPr>
                <w:rFonts w:asciiTheme="minorHAnsi" w:hAnsiTheme="minorHAnsi" w:cstheme="minorHAnsi"/>
                <w:color w:val="auto"/>
                <w:sz w:val="24"/>
                <w:szCs w:val="24"/>
                <w:lang w:val="en-GB"/>
              </w:rPr>
              <w:t xml:space="preserve"> the</w:t>
            </w:r>
            <w:r w:rsidR="00ED18A5">
              <w:rPr>
                <w:rFonts w:asciiTheme="minorHAnsi" w:hAnsiTheme="minorHAnsi" w:cstheme="minorHAnsi"/>
                <w:color w:val="auto"/>
                <w:sz w:val="24"/>
                <w:szCs w:val="24"/>
                <w:lang w:val="en-GB"/>
              </w:rPr>
              <w:t xml:space="preserve"> Human Rights Council</w:t>
            </w:r>
          </w:p>
          <w:p w14:paraId="0081784A" w14:textId="01CF7571" w:rsidR="00012037" w:rsidRPr="00536F55" w:rsidRDefault="00012037" w:rsidP="002E41E9">
            <w:pPr>
              <w:pStyle w:val="Body1"/>
              <w:numPr>
                <w:ilvl w:val="0"/>
                <w:numId w:val="11"/>
              </w:numPr>
              <w:spacing w:after="60"/>
              <w:ind w:left="357" w:hanging="357"/>
              <w:jc w:val="both"/>
              <w:rPr>
                <w:rFonts w:asciiTheme="minorHAnsi" w:hAnsiTheme="minorHAnsi" w:cstheme="minorHAnsi"/>
                <w:color w:val="auto"/>
                <w:sz w:val="24"/>
                <w:szCs w:val="24"/>
                <w:lang w:val="en-GB"/>
              </w:rPr>
            </w:pPr>
            <w:r>
              <w:rPr>
                <w:rFonts w:asciiTheme="minorHAnsi" w:hAnsiTheme="minorHAnsi" w:cstheme="minorHAnsi"/>
                <w:color w:val="auto"/>
                <w:sz w:val="24"/>
                <w:szCs w:val="24"/>
                <w:lang w:val="en-GB"/>
              </w:rPr>
              <w:t xml:space="preserve">Report of OHCHR on </w:t>
            </w:r>
            <w:r w:rsidR="00AF679B">
              <w:rPr>
                <w:rFonts w:asciiTheme="minorHAnsi" w:hAnsiTheme="minorHAnsi" w:cstheme="minorHAnsi"/>
                <w:color w:val="auto"/>
                <w:sz w:val="24"/>
                <w:szCs w:val="24"/>
                <w:lang w:val="en-GB"/>
              </w:rPr>
              <w:t>e</w:t>
            </w:r>
            <w:r w:rsidR="00AF679B" w:rsidRPr="00AF679B">
              <w:rPr>
                <w:rFonts w:asciiTheme="minorHAnsi" w:hAnsiTheme="minorHAnsi" w:cstheme="minorHAnsi"/>
                <w:color w:val="auto"/>
                <w:sz w:val="24"/>
                <w:szCs w:val="24"/>
                <w:lang w:val="en-GB"/>
              </w:rPr>
              <w:t>nhancing coordination for technical cooperation and capacity-building in the field of human rights to implement universal periodic review recommendations</w:t>
            </w:r>
            <w:r w:rsidR="00593360">
              <w:rPr>
                <w:rFonts w:asciiTheme="minorHAnsi" w:hAnsiTheme="minorHAnsi" w:cstheme="minorHAnsi"/>
                <w:color w:val="auto"/>
                <w:sz w:val="24"/>
                <w:szCs w:val="24"/>
                <w:lang w:val="en-GB"/>
              </w:rPr>
              <w:t xml:space="preserve"> (</w:t>
            </w:r>
            <w:hyperlink r:id="rId16" w:history="1">
              <w:r w:rsidR="00B73D3D" w:rsidRPr="00EE32FA">
                <w:rPr>
                  <w:rStyle w:val="Hyperlink"/>
                  <w:rFonts w:asciiTheme="minorHAnsi" w:hAnsiTheme="minorHAnsi" w:cstheme="minorHAnsi"/>
                  <w:sz w:val="24"/>
                  <w:szCs w:val="24"/>
                  <w:lang w:val="en-GB"/>
                </w:rPr>
                <w:t>A/HRC/56/72</w:t>
              </w:r>
            </w:hyperlink>
            <w:r w:rsidR="00B73D3D">
              <w:rPr>
                <w:rFonts w:asciiTheme="minorHAnsi" w:hAnsiTheme="minorHAnsi" w:cstheme="minorHAnsi"/>
                <w:color w:val="auto"/>
                <w:sz w:val="24"/>
                <w:szCs w:val="24"/>
                <w:lang w:val="en-GB"/>
              </w:rPr>
              <w:t xml:space="preserve"> – forthcoming)</w:t>
            </w:r>
          </w:p>
          <w:p w14:paraId="3172589B" w14:textId="2E1E0B25" w:rsidR="00E26A1C" w:rsidRPr="00E26A1C" w:rsidRDefault="00E26A1C" w:rsidP="002E41E9">
            <w:pPr>
              <w:pStyle w:val="Body1"/>
              <w:numPr>
                <w:ilvl w:val="0"/>
                <w:numId w:val="11"/>
              </w:numPr>
              <w:spacing w:after="60"/>
              <w:ind w:left="357" w:hanging="357"/>
              <w:jc w:val="both"/>
              <w:rPr>
                <w:rFonts w:asciiTheme="minorHAnsi" w:hAnsiTheme="minorHAnsi" w:cstheme="minorHAnsi"/>
                <w:color w:val="auto"/>
                <w:sz w:val="24"/>
                <w:szCs w:val="24"/>
                <w:lang w:val="en-GB"/>
              </w:rPr>
            </w:pPr>
            <w:r w:rsidRPr="00AC1A1D">
              <w:rPr>
                <w:rFonts w:ascii="Calibri" w:hAnsi="Calibri" w:cs="Calibri"/>
                <w:color w:val="auto"/>
                <w:sz w:val="24"/>
                <w:szCs w:val="24"/>
                <w:lang w:val="en-GB"/>
              </w:rPr>
              <w:t xml:space="preserve">Report of OHCHR on the </w:t>
            </w:r>
            <w:r w:rsidR="0022085C">
              <w:rPr>
                <w:rFonts w:ascii="Calibri" w:hAnsi="Calibri" w:cs="Calibri"/>
                <w:color w:val="auto"/>
                <w:sz w:val="24"/>
                <w:szCs w:val="24"/>
                <w:lang w:val="en-GB"/>
              </w:rPr>
              <w:t>h</w:t>
            </w:r>
            <w:r w:rsidRPr="00AC1A1D">
              <w:rPr>
                <w:rFonts w:ascii="Calibri" w:hAnsi="Calibri" w:cs="Calibri"/>
                <w:color w:val="auto"/>
                <w:sz w:val="24"/>
                <w:szCs w:val="24"/>
                <w:lang w:val="en-GB"/>
              </w:rPr>
              <w:t>igh-level panel discussion on the achievements, good practices and lessons learned by the two voluntary funds for the universal periodic</w:t>
            </w:r>
            <w:r w:rsidRPr="00E26A1C">
              <w:rPr>
                <w:rFonts w:asciiTheme="minorHAnsi" w:hAnsiTheme="minorHAnsi" w:cstheme="minorHAnsi"/>
                <w:color w:val="auto"/>
                <w:sz w:val="24"/>
                <w:szCs w:val="24"/>
                <w:lang w:val="en-GB"/>
              </w:rPr>
              <w:t xml:space="preserve"> review mechanism of the Human Rights Council (</w:t>
            </w:r>
            <w:hyperlink r:id="rId17" w:history="1">
              <w:r w:rsidRPr="00E26A1C">
                <w:rPr>
                  <w:rStyle w:val="Hyperlink"/>
                  <w:rFonts w:asciiTheme="minorHAnsi" w:hAnsiTheme="minorHAnsi" w:cstheme="minorHAnsi"/>
                  <w:sz w:val="24"/>
                  <w:szCs w:val="24"/>
                  <w:lang w:val="en-GB"/>
                </w:rPr>
                <w:t>A/HRC/53/58</w:t>
              </w:r>
            </w:hyperlink>
            <w:r w:rsidRPr="00E26A1C">
              <w:rPr>
                <w:rFonts w:asciiTheme="minorHAnsi" w:hAnsiTheme="minorHAnsi" w:cstheme="minorHAnsi"/>
                <w:color w:val="auto"/>
                <w:sz w:val="24"/>
                <w:szCs w:val="24"/>
                <w:lang w:val="en-GB"/>
              </w:rPr>
              <w:t>, 12 May 2023)</w:t>
            </w:r>
          </w:p>
          <w:p w14:paraId="0ABDFF7D" w14:textId="519E5DB0" w:rsidR="00E26A1C" w:rsidRPr="00E26A1C" w:rsidRDefault="00E26A1C" w:rsidP="002E41E9">
            <w:pPr>
              <w:pStyle w:val="Body1"/>
              <w:numPr>
                <w:ilvl w:val="0"/>
                <w:numId w:val="11"/>
              </w:numPr>
              <w:spacing w:after="60"/>
              <w:ind w:left="357" w:hanging="357"/>
              <w:jc w:val="both"/>
              <w:rPr>
                <w:rFonts w:asciiTheme="minorHAnsi" w:hAnsiTheme="minorHAnsi" w:cstheme="minorHAnsi"/>
                <w:color w:val="auto"/>
                <w:sz w:val="24"/>
                <w:szCs w:val="24"/>
                <w:lang w:val="en-GB"/>
              </w:rPr>
            </w:pPr>
            <w:r w:rsidRPr="00E26A1C">
              <w:rPr>
                <w:rFonts w:asciiTheme="minorHAnsi" w:hAnsiTheme="minorHAnsi" w:cstheme="minorHAnsi"/>
                <w:color w:val="auto"/>
                <w:sz w:val="24"/>
                <w:szCs w:val="24"/>
                <w:lang w:val="en-GB"/>
              </w:rPr>
              <w:t xml:space="preserve">Report of </w:t>
            </w:r>
            <w:r w:rsidR="00147A8C">
              <w:rPr>
                <w:rFonts w:asciiTheme="minorHAnsi" w:hAnsiTheme="minorHAnsi" w:cstheme="minorHAnsi"/>
                <w:color w:val="auto"/>
                <w:sz w:val="24"/>
                <w:szCs w:val="24"/>
                <w:lang w:val="en-GB"/>
              </w:rPr>
              <w:t>the United Nations High Commissioner for Human Rights</w:t>
            </w:r>
            <w:r w:rsidRPr="00E26A1C">
              <w:rPr>
                <w:rFonts w:asciiTheme="minorHAnsi" w:hAnsiTheme="minorHAnsi" w:cstheme="minorHAnsi"/>
                <w:color w:val="auto"/>
                <w:sz w:val="24"/>
                <w:szCs w:val="24"/>
                <w:lang w:val="en-GB"/>
              </w:rPr>
              <w:t xml:space="preserve"> on improving technical cooperation and capacity-building in the field of human rights (</w:t>
            </w:r>
            <w:hyperlink r:id="rId18" w:history="1">
              <w:r w:rsidRPr="00E26A1C">
                <w:rPr>
                  <w:rStyle w:val="Hyperlink"/>
                  <w:rFonts w:asciiTheme="minorHAnsi" w:hAnsiTheme="minorHAnsi" w:cstheme="minorHAnsi"/>
                  <w:sz w:val="24"/>
                  <w:szCs w:val="24"/>
                  <w:lang w:val="en-GB"/>
                </w:rPr>
                <w:t>A/HRC/53/63</w:t>
              </w:r>
            </w:hyperlink>
            <w:r w:rsidRPr="00E26A1C">
              <w:rPr>
                <w:rFonts w:asciiTheme="minorHAnsi" w:hAnsiTheme="minorHAnsi" w:cstheme="minorHAnsi"/>
                <w:color w:val="auto"/>
                <w:sz w:val="24"/>
                <w:szCs w:val="24"/>
                <w:lang w:val="en-GB"/>
              </w:rPr>
              <w:t>, 8 November 2023)</w:t>
            </w:r>
          </w:p>
          <w:p w14:paraId="35FF1555" w14:textId="77777777" w:rsidR="00E26A1C" w:rsidRPr="00E26A1C" w:rsidRDefault="00E26A1C" w:rsidP="002E41E9">
            <w:pPr>
              <w:pStyle w:val="Body1"/>
              <w:numPr>
                <w:ilvl w:val="0"/>
                <w:numId w:val="11"/>
              </w:numPr>
              <w:spacing w:after="60"/>
              <w:ind w:left="357" w:hanging="357"/>
              <w:jc w:val="both"/>
              <w:rPr>
                <w:rFonts w:asciiTheme="minorHAnsi" w:hAnsiTheme="minorHAnsi" w:cstheme="minorHAnsi"/>
                <w:color w:val="auto"/>
                <w:sz w:val="24"/>
                <w:szCs w:val="24"/>
                <w:lang w:val="en-GB"/>
              </w:rPr>
            </w:pPr>
            <w:r w:rsidRPr="00E26A1C">
              <w:rPr>
                <w:rFonts w:asciiTheme="minorHAnsi" w:hAnsiTheme="minorHAnsi" w:cstheme="minorHAnsi"/>
                <w:color w:val="auto"/>
                <w:sz w:val="24"/>
                <w:szCs w:val="24"/>
                <w:lang w:val="en-GB"/>
              </w:rPr>
              <w:t>Report of the Chair of the Board of Trustees of the United Nations Voluntary Fund for Technical Cooperation in the Field of Human Rights (</w:t>
            </w:r>
            <w:hyperlink r:id="rId19" w:history="1">
              <w:r w:rsidRPr="00E26A1C">
                <w:rPr>
                  <w:rStyle w:val="Hyperlink"/>
                  <w:rFonts w:asciiTheme="minorHAnsi" w:hAnsiTheme="minorHAnsi" w:cstheme="minorHAnsi"/>
                  <w:sz w:val="24"/>
                  <w:szCs w:val="24"/>
                  <w:lang w:val="en-GB"/>
                </w:rPr>
                <w:t>A/HRC/55/78</w:t>
              </w:r>
            </w:hyperlink>
            <w:r w:rsidRPr="00E26A1C">
              <w:rPr>
                <w:rFonts w:asciiTheme="minorHAnsi" w:hAnsiTheme="minorHAnsi" w:cstheme="minorHAnsi"/>
                <w:color w:val="auto"/>
                <w:sz w:val="24"/>
                <w:szCs w:val="24"/>
                <w:lang w:val="en-GB"/>
              </w:rPr>
              <w:t>, 26 March 2024)</w:t>
            </w:r>
          </w:p>
          <w:p w14:paraId="15E23D31" w14:textId="3A53E1C0" w:rsidR="00E26A1C" w:rsidRPr="00E26A1C" w:rsidRDefault="006C08D0" w:rsidP="002E41E9">
            <w:pPr>
              <w:pStyle w:val="Body1"/>
              <w:numPr>
                <w:ilvl w:val="0"/>
                <w:numId w:val="11"/>
              </w:numPr>
              <w:spacing w:after="60"/>
              <w:ind w:left="357" w:hanging="357"/>
              <w:jc w:val="both"/>
              <w:rPr>
                <w:rFonts w:asciiTheme="minorHAnsi" w:hAnsiTheme="minorHAnsi" w:cstheme="minorHAnsi"/>
                <w:color w:val="auto"/>
                <w:sz w:val="24"/>
                <w:szCs w:val="24"/>
                <w:lang w:val="en-GB"/>
              </w:rPr>
            </w:pPr>
            <w:hyperlink r:id="rId20" w:history="1">
              <w:r w:rsidR="00E26A1C" w:rsidRPr="00E26A1C">
                <w:rPr>
                  <w:rStyle w:val="Hyperlink"/>
                  <w:rFonts w:asciiTheme="minorHAnsi" w:hAnsiTheme="minorHAnsi" w:cstheme="minorHAnsi"/>
                  <w:sz w:val="24"/>
                  <w:szCs w:val="24"/>
                  <w:lang w:val="en-GB"/>
                </w:rPr>
                <w:t>Human Rights Council resolution 51/30</w:t>
              </w:r>
            </w:hyperlink>
            <w:r w:rsidR="00E26A1C" w:rsidRPr="00E26A1C">
              <w:rPr>
                <w:rFonts w:asciiTheme="minorHAnsi" w:hAnsiTheme="minorHAnsi" w:cstheme="minorHAnsi"/>
                <w:color w:val="auto"/>
                <w:sz w:val="24"/>
                <w:szCs w:val="24"/>
                <w:lang w:val="en-GB"/>
              </w:rPr>
              <w:t xml:space="preserve"> of 7 October 2022 on strengthening the voluntary funds for the universal periodic review mechanism of the Human Rights Council</w:t>
            </w:r>
          </w:p>
          <w:p w14:paraId="54EF4775" w14:textId="0B00F844" w:rsidR="009E6BBF" w:rsidRPr="0058374B" w:rsidRDefault="006C08D0" w:rsidP="002E41E9">
            <w:pPr>
              <w:pStyle w:val="ListParagraph"/>
              <w:numPr>
                <w:ilvl w:val="0"/>
                <w:numId w:val="11"/>
              </w:numPr>
              <w:ind w:left="357" w:hanging="357"/>
              <w:contextualSpacing w:val="0"/>
              <w:jc w:val="both"/>
              <w:rPr>
                <w:rFonts w:asciiTheme="minorHAnsi" w:hAnsiTheme="minorHAnsi" w:cstheme="minorHAnsi"/>
                <w:lang w:eastAsia="en-GB"/>
              </w:rPr>
            </w:pPr>
            <w:hyperlink r:id="rId21" w:history="1">
              <w:r w:rsidR="00A03A75" w:rsidRPr="00A03A75">
                <w:rPr>
                  <w:rStyle w:val="Hyperlink"/>
                  <w:rFonts w:asciiTheme="minorHAnsi" w:hAnsiTheme="minorHAnsi" w:cstheme="minorHAnsi"/>
                </w:rPr>
                <w:t xml:space="preserve">Overview of the fourth cycle of </w:t>
              </w:r>
              <w:r w:rsidR="00A03A75">
                <w:rPr>
                  <w:rStyle w:val="Hyperlink"/>
                  <w:rFonts w:asciiTheme="minorHAnsi" w:hAnsiTheme="minorHAnsi" w:cstheme="minorHAnsi"/>
                </w:rPr>
                <w:t>t</w:t>
              </w:r>
              <w:r w:rsidR="00A03A75" w:rsidRPr="00A03A75">
                <w:rPr>
                  <w:rStyle w:val="Hyperlink"/>
                  <w:rFonts w:asciiTheme="minorHAnsi" w:hAnsiTheme="minorHAnsi" w:cstheme="minorHAnsi"/>
                </w:rPr>
                <w:t>he universal periodic review (2022-2027)</w:t>
              </w:r>
            </w:hyperlink>
            <w:r w:rsidR="00E26A1C" w:rsidRPr="00E26A1C">
              <w:rPr>
                <w:rFonts w:asciiTheme="minorHAnsi" w:hAnsiTheme="minorHAnsi" w:cstheme="minorHAnsi"/>
              </w:rPr>
              <w:t>, 2024</w:t>
            </w:r>
          </w:p>
        </w:tc>
      </w:tr>
    </w:tbl>
    <w:p w14:paraId="0FE8D369" w14:textId="044A7B25" w:rsidR="008836C4" w:rsidRPr="00F47E4B" w:rsidRDefault="008836C4" w:rsidP="002E41E9">
      <w:pPr>
        <w:autoSpaceDE w:val="0"/>
        <w:autoSpaceDN w:val="0"/>
        <w:spacing w:after="0" w:line="240" w:lineRule="auto"/>
        <w:jc w:val="both"/>
        <w:rPr>
          <w:rFonts w:asciiTheme="minorHAnsi" w:hAnsiTheme="minorHAnsi" w:cstheme="minorHAnsi"/>
          <w:bCs/>
          <w:sz w:val="16"/>
          <w:szCs w:val="16"/>
        </w:rPr>
      </w:pPr>
    </w:p>
    <w:sectPr w:rsidR="008836C4" w:rsidRPr="00F47E4B" w:rsidSect="00B444C0">
      <w:footerReference w:type="default" r:id="rId22"/>
      <w:pgSz w:w="11906" w:h="16838" w:code="9"/>
      <w:pgMar w:top="851" w:right="991" w:bottom="1440" w:left="1440" w:header="708" w:footer="1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1716C" w14:textId="77777777" w:rsidR="005D5446" w:rsidRDefault="005D5446" w:rsidP="008D3A9E">
      <w:pPr>
        <w:spacing w:after="0" w:line="240" w:lineRule="auto"/>
      </w:pPr>
      <w:r>
        <w:separator/>
      </w:r>
    </w:p>
  </w:endnote>
  <w:endnote w:type="continuationSeparator" w:id="0">
    <w:p w14:paraId="55666C91" w14:textId="77777777" w:rsidR="005D5446" w:rsidRDefault="005D5446" w:rsidP="008D3A9E">
      <w:pPr>
        <w:spacing w:after="0" w:line="240" w:lineRule="auto"/>
      </w:pPr>
      <w:r>
        <w:continuationSeparator/>
      </w:r>
    </w:p>
  </w:endnote>
  <w:endnote w:type="continuationNotice" w:id="1">
    <w:p w14:paraId="58A3E00E" w14:textId="77777777" w:rsidR="005D5446" w:rsidRDefault="005D54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0" w:usb1="7AC7FFFF" w:usb2="00000012" w:usb3="00000000" w:csb0="0002000D"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251740"/>
      <w:docPartObj>
        <w:docPartGallery w:val="Page Numbers (Bottom of Page)"/>
        <w:docPartUnique/>
      </w:docPartObj>
    </w:sdtPr>
    <w:sdtEndPr>
      <w:rPr>
        <w:noProof/>
      </w:rPr>
    </w:sdtEndPr>
    <w:sdtContent>
      <w:p w14:paraId="2D19391C" w14:textId="0C5AA1C2" w:rsidR="003E43D6" w:rsidRDefault="00F00C1C" w:rsidP="00B444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504AA" w14:textId="77777777" w:rsidR="005D5446" w:rsidRDefault="005D5446" w:rsidP="008D3A9E">
      <w:pPr>
        <w:spacing w:after="0" w:line="240" w:lineRule="auto"/>
      </w:pPr>
      <w:r>
        <w:separator/>
      </w:r>
    </w:p>
  </w:footnote>
  <w:footnote w:type="continuationSeparator" w:id="0">
    <w:p w14:paraId="0A43E2D4" w14:textId="77777777" w:rsidR="005D5446" w:rsidRDefault="005D5446" w:rsidP="008D3A9E">
      <w:pPr>
        <w:spacing w:after="0" w:line="240" w:lineRule="auto"/>
      </w:pPr>
      <w:r>
        <w:continuationSeparator/>
      </w:r>
    </w:p>
  </w:footnote>
  <w:footnote w:type="continuationNotice" w:id="1">
    <w:p w14:paraId="61882310" w14:textId="77777777" w:rsidR="005D5446" w:rsidRDefault="005D5446">
      <w:pPr>
        <w:spacing w:after="0" w:line="240" w:lineRule="auto"/>
      </w:pPr>
    </w:p>
  </w:footnote>
  <w:footnote w:id="2">
    <w:p w14:paraId="0B695ECC" w14:textId="77777777" w:rsidR="00D7232F" w:rsidRDefault="00D7232F" w:rsidP="00D7232F">
      <w:pPr>
        <w:pStyle w:val="FootnoteText"/>
      </w:pPr>
      <w:r>
        <w:rPr>
          <w:rStyle w:val="FootnoteReference"/>
        </w:rPr>
        <w:footnoteRef/>
      </w:r>
      <w:r>
        <w:t xml:space="preserve"> </w:t>
      </w:r>
      <w:r w:rsidRPr="00BB2610">
        <w:rPr>
          <w:rFonts w:asciiTheme="minorHAnsi" w:hAnsiTheme="minorHAnsi" w:cstheme="minorHAnsi"/>
          <w:sz w:val="20"/>
          <w:szCs w:val="20"/>
        </w:rPr>
        <w:t xml:space="preserve">See </w:t>
      </w:r>
      <w:hyperlink r:id="rId1" w:history="1">
        <w:r w:rsidRPr="00BB2610">
          <w:rPr>
            <w:rStyle w:val="Hyperlink"/>
            <w:rFonts w:asciiTheme="minorHAnsi" w:hAnsiTheme="minorHAnsi" w:cstheme="minorHAnsi"/>
            <w:sz w:val="20"/>
            <w:szCs w:val="20"/>
          </w:rPr>
          <w:t>HRC resolution 54/28</w:t>
        </w:r>
      </w:hyperlink>
      <w:r w:rsidRPr="00BB2610">
        <w:rPr>
          <w:rFonts w:asciiTheme="minorHAnsi" w:hAnsiTheme="minorHAnsi" w:cstheme="minorHAnsi"/>
          <w:sz w:val="20"/>
          <w:szCs w:val="20"/>
        </w:rPr>
        <w:t>, para. 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D2036"/>
    <w:multiLevelType w:val="hybridMultilevel"/>
    <w:tmpl w:val="957AF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B92CB3"/>
    <w:multiLevelType w:val="hybridMultilevel"/>
    <w:tmpl w:val="26528B2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E692079"/>
    <w:multiLevelType w:val="hybridMultilevel"/>
    <w:tmpl w:val="0720C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82366A"/>
    <w:multiLevelType w:val="hybridMultilevel"/>
    <w:tmpl w:val="688EA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8C4E5F"/>
    <w:multiLevelType w:val="hybridMultilevel"/>
    <w:tmpl w:val="99D644FC"/>
    <w:lvl w:ilvl="0" w:tplc="F9582920">
      <w:start w:val="1"/>
      <w:numFmt w:val="bullet"/>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F885A78"/>
    <w:multiLevelType w:val="hybridMultilevel"/>
    <w:tmpl w:val="4CE43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1E5C0A"/>
    <w:multiLevelType w:val="hybridMultilevel"/>
    <w:tmpl w:val="52B0C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A216948"/>
    <w:multiLevelType w:val="hybridMultilevel"/>
    <w:tmpl w:val="9BB87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726D00"/>
    <w:multiLevelType w:val="hybridMultilevel"/>
    <w:tmpl w:val="A45E3778"/>
    <w:lvl w:ilvl="0" w:tplc="876CA4E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501521"/>
    <w:multiLevelType w:val="hybridMultilevel"/>
    <w:tmpl w:val="437C624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0C17A86"/>
    <w:multiLevelType w:val="hybridMultilevel"/>
    <w:tmpl w:val="33EAF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924B1E"/>
    <w:multiLevelType w:val="hybridMultilevel"/>
    <w:tmpl w:val="D480C7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690341"/>
    <w:multiLevelType w:val="hybridMultilevel"/>
    <w:tmpl w:val="01D48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E6D7168"/>
    <w:multiLevelType w:val="hybridMultilevel"/>
    <w:tmpl w:val="8F8A19EC"/>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862995"/>
    <w:multiLevelType w:val="hybridMultilevel"/>
    <w:tmpl w:val="EBC8E2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11614136">
    <w:abstractNumId w:val="4"/>
  </w:num>
  <w:num w:numId="2" w16cid:durableId="46497162">
    <w:abstractNumId w:val="11"/>
  </w:num>
  <w:num w:numId="3" w16cid:durableId="175929856">
    <w:abstractNumId w:val="10"/>
  </w:num>
  <w:num w:numId="4" w16cid:durableId="210923671">
    <w:abstractNumId w:val="13"/>
  </w:num>
  <w:num w:numId="5" w16cid:durableId="353501642">
    <w:abstractNumId w:val="8"/>
  </w:num>
  <w:num w:numId="6" w16cid:durableId="1125153404">
    <w:abstractNumId w:val="0"/>
  </w:num>
  <w:num w:numId="7" w16cid:durableId="964578705">
    <w:abstractNumId w:val="9"/>
  </w:num>
  <w:num w:numId="8" w16cid:durableId="592662265">
    <w:abstractNumId w:val="7"/>
  </w:num>
  <w:num w:numId="9" w16cid:durableId="2129229411">
    <w:abstractNumId w:val="12"/>
  </w:num>
  <w:num w:numId="10" w16cid:durableId="1036928783">
    <w:abstractNumId w:val="3"/>
  </w:num>
  <w:num w:numId="11" w16cid:durableId="342706025">
    <w:abstractNumId w:val="6"/>
  </w:num>
  <w:num w:numId="12" w16cid:durableId="2017419717">
    <w:abstractNumId w:val="1"/>
  </w:num>
  <w:num w:numId="13" w16cid:durableId="2134589874">
    <w:abstractNumId w:val="14"/>
  </w:num>
  <w:num w:numId="14" w16cid:durableId="1297031636">
    <w:abstractNumId w:val="5"/>
  </w:num>
  <w:num w:numId="15" w16cid:durableId="1876312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es-AR" w:vendorID="64" w:dllVersion="6" w:nlCheck="1" w:checkStyle="0"/>
  <w:activeWritingStyle w:appName="MSWord" w:lang="fr-CH" w:vendorID="64" w:dllVersion="6" w:nlCheck="1" w:checkStyle="0"/>
  <w:activeWritingStyle w:appName="MSWord" w:lang="en-US"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es-CO"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9E"/>
    <w:rsid w:val="000037C5"/>
    <w:rsid w:val="00004054"/>
    <w:rsid w:val="00012037"/>
    <w:rsid w:val="00012FF9"/>
    <w:rsid w:val="00015401"/>
    <w:rsid w:val="0002578F"/>
    <w:rsid w:val="00025FBE"/>
    <w:rsid w:val="00027987"/>
    <w:rsid w:val="00037452"/>
    <w:rsid w:val="000436FE"/>
    <w:rsid w:val="000513BF"/>
    <w:rsid w:val="00052116"/>
    <w:rsid w:val="00053641"/>
    <w:rsid w:val="000536E3"/>
    <w:rsid w:val="0005413C"/>
    <w:rsid w:val="00057ABA"/>
    <w:rsid w:val="00061D73"/>
    <w:rsid w:val="000634F3"/>
    <w:rsid w:val="000717E0"/>
    <w:rsid w:val="000734E8"/>
    <w:rsid w:val="0007679B"/>
    <w:rsid w:val="00091211"/>
    <w:rsid w:val="000A7668"/>
    <w:rsid w:val="000B2809"/>
    <w:rsid w:val="000B3023"/>
    <w:rsid w:val="000B4E50"/>
    <w:rsid w:val="000B6A10"/>
    <w:rsid w:val="000E5284"/>
    <w:rsid w:val="000E5DAF"/>
    <w:rsid w:val="000E6445"/>
    <w:rsid w:val="000F7476"/>
    <w:rsid w:val="0010167D"/>
    <w:rsid w:val="00105B96"/>
    <w:rsid w:val="001103DE"/>
    <w:rsid w:val="00117717"/>
    <w:rsid w:val="001270F9"/>
    <w:rsid w:val="00130298"/>
    <w:rsid w:val="001318D0"/>
    <w:rsid w:val="001347BB"/>
    <w:rsid w:val="00142664"/>
    <w:rsid w:val="00147A8C"/>
    <w:rsid w:val="00174EAA"/>
    <w:rsid w:val="001772FF"/>
    <w:rsid w:val="00180BB0"/>
    <w:rsid w:val="00187274"/>
    <w:rsid w:val="001B0025"/>
    <w:rsid w:val="001B0253"/>
    <w:rsid w:val="001B20D0"/>
    <w:rsid w:val="001B6AEE"/>
    <w:rsid w:val="001B7808"/>
    <w:rsid w:val="001B7922"/>
    <w:rsid w:val="001C73E8"/>
    <w:rsid w:val="001C7728"/>
    <w:rsid w:val="001D3B37"/>
    <w:rsid w:val="001D3E36"/>
    <w:rsid w:val="001D5343"/>
    <w:rsid w:val="001D7773"/>
    <w:rsid w:val="001E00EC"/>
    <w:rsid w:val="001E517A"/>
    <w:rsid w:val="001E5384"/>
    <w:rsid w:val="001E6B11"/>
    <w:rsid w:val="00202A9B"/>
    <w:rsid w:val="0021265D"/>
    <w:rsid w:val="002130E9"/>
    <w:rsid w:val="0022085C"/>
    <w:rsid w:val="00221D50"/>
    <w:rsid w:val="00222354"/>
    <w:rsid w:val="0024541B"/>
    <w:rsid w:val="002455F8"/>
    <w:rsid w:val="00250D58"/>
    <w:rsid w:val="00253361"/>
    <w:rsid w:val="00254857"/>
    <w:rsid w:val="00255E9E"/>
    <w:rsid w:val="002600E3"/>
    <w:rsid w:val="00263392"/>
    <w:rsid w:val="002669AB"/>
    <w:rsid w:val="002700E4"/>
    <w:rsid w:val="00271FAF"/>
    <w:rsid w:val="00274D11"/>
    <w:rsid w:val="0028082E"/>
    <w:rsid w:val="00292401"/>
    <w:rsid w:val="002A1AF1"/>
    <w:rsid w:val="002A31DA"/>
    <w:rsid w:val="002B07B4"/>
    <w:rsid w:val="002B0E04"/>
    <w:rsid w:val="002C729E"/>
    <w:rsid w:val="002D06AA"/>
    <w:rsid w:val="002D7558"/>
    <w:rsid w:val="002E41E9"/>
    <w:rsid w:val="002F3E20"/>
    <w:rsid w:val="002F663D"/>
    <w:rsid w:val="00301FBB"/>
    <w:rsid w:val="0030550B"/>
    <w:rsid w:val="003160BB"/>
    <w:rsid w:val="003309F3"/>
    <w:rsid w:val="0033603F"/>
    <w:rsid w:val="00342743"/>
    <w:rsid w:val="0034684D"/>
    <w:rsid w:val="00351643"/>
    <w:rsid w:val="00352023"/>
    <w:rsid w:val="00352AAE"/>
    <w:rsid w:val="003551DA"/>
    <w:rsid w:val="003627BE"/>
    <w:rsid w:val="003725B2"/>
    <w:rsid w:val="0038326F"/>
    <w:rsid w:val="003911D6"/>
    <w:rsid w:val="00396729"/>
    <w:rsid w:val="00397DCE"/>
    <w:rsid w:val="003A5C7D"/>
    <w:rsid w:val="003B4C4B"/>
    <w:rsid w:val="003B5B6E"/>
    <w:rsid w:val="003C20BF"/>
    <w:rsid w:val="003C235E"/>
    <w:rsid w:val="003C2569"/>
    <w:rsid w:val="003D12F4"/>
    <w:rsid w:val="003E0120"/>
    <w:rsid w:val="003E43D6"/>
    <w:rsid w:val="003F0C0B"/>
    <w:rsid w:val="004042B0"/>
    <w:rsid w:val="00405EF6"/>
    <w:rsid w:val="004104BA"/>
    <w:rsid w:val="0041720D"/>
    <w:rsid w:val="00417ED7"/>
    <w:rsid w:val="00422CA2"/>
    <w:rsid w:val="00433423"/>
    <w:rsid w:val="00437C8B"/>
    <w:rsid w:val="004411D4"/>
    <w:rsid w:val="004479E3"/>
    <w:rsid w:val="00474F07"/>
    <w:rsid w:val="0048217F"/>
    <w:rsid w:val="004847AD"/>
    <w:rsid w:val="00485129"/>
    <w:rsid w:val="00492D0E"/>
    <w:rsid w:val="004945D5"/>
    <w:rsid w:val="00494917"/>
    <w:rsid w:val="004A22B2"/>
    <w:rsid w:val="004A30B6"/>
    <w:rsid w:val="004A7E20"/>
    <w:rsid w:val="004B43F4"/>
    <w:rsid w:val="004B7E8C"/>
    <w:rsid w:val="004C6525"/>
    <w:rsid w:val="004C6777"/>
    <w:rsid w:val="004D0D21"/>
    <w:rsid w:val="004D74E8"/>
    <w:rsid w:val="004E1877"/>
    <w:rsid w:val="004E223B"/>
    <w:rsid w:val="004E6950"/>
    <w:rsid w:val="004E69ED"/>
    <w:rsid w:val="004F73E5"/>
    <w:rsid w:val="00502AFA"/>
    <w:rsid w:val="00505B0B"/>
    <w:rsid w:val="00507354"/>
    <w:rsid w:val="00507D2A"/>
    <w:rsid w:val="0052047B"/>
    <w:rsid w:val="00532E74"/>
    <w:rsid w:val="00536F55"/>
    <w:rsid w:val="00542100"/>
    <w:rsid w:val="005457BD"/>
    <w:rsid w:val="00546687"/>
    <w:rsid w:val="00553E36"/>
    <w:rsid w:val="00561692"/>
    <w:rsid w:val="00561AF6"/>
    <w:rsid w:val="0056485D"/>
    <w:rsid w:val="00564AEB"/>
    <w:rsid w:val="005703CA"/>
    <w:rsid w:val="00570734"/>
    <w:rsid w:val="0057709E"/>
    <w:rsid w:val="0058374B"/>
    <w:rsid w:val="00584C89"/>
    <w:rsid w:val="00585010"/>
    <w:rsid w:val="00586B69"/>
    <w:rsid w:val="00592978"/>
    <w:rsid w:val="00593360"/>
    <w:rsid w:val="005936DC"/>
    <w:rsid w:val="005A03F2"/>
    <w:rsid w:val="005A1586"/>
    <w:rsid w:val="005B5882"/>
    <w:rsid w:val="005C209E"/>
    <w:rsid w:val="005C258D"/>
    <w:rsid w:val="005D5446"/>
    <w:rsid w:val="005D5A89"/>
    <w:rsid w:val="005D5F5C"/>
    <w:rsid w:val="005E0A6D"/>
    <w:rsid w:val="005E7B04"/>
    <w:rsid w:val="005F2C11"/>
    <w:rsid w:val="005F59DF"/>
    <w:rsid w:val="005F5C35"/>
    <w:rsid w:val="005F69A6"/>
    <w:rsid w:val="005F6A62"/>
    <w:rsid w:val="00601267"/>
    <w:rsid w:val="00603198"/>
    <w:rsid w:val="0060408F"/>
    <w:rsid w:val="00604C1F"/>
    <w:rsid w:val="00611922"/>
    <w:rsid w:val="006210D5"/>
    <w:rsid w:val="00625E9B"/>
    <w:rsid w:val="0063380B"/>
    <w:rsid w:val="00635CFB"/>
    <w:rsid w:val="00640BCF"/>
    <w:rsid w:val="00643740"/>
    <w:rsid w:val="00646104"/>
    <w:rsid w:val="00647F58"/>
    <w:rsid w:val="00650B17"/>
    <w:rsid w:val="00662CB4"/>
    <w:rsid w:val="00664392"/>
    <w:rsid w:val="00667782"/>
    <w:rsid w:val="00682D96"/>
    <w:rsid w:val="006846C4"/>
    <w:rsid w:val="006900D0"/>
    <w:rsid w:val="006A76E9"/>
    <w:rsid w:val="006B193C"/>
    <w:rsid w:val="006B1B2F"/>
    <w:rsid w:val="006B1FD3"/>
    <w:rsid w:val="006C08D0"/>
    <w:rsid w:val="006C5D25"/>
    <w:rsid w:val="006E4D1B"/>
    <w:rsid w:val="00713DDE"/>
    <w:rsid w:val="00714647"/>
    <w:rsid w:val="007146C6"/>
    <w:rsid w:val="00714DE7"/>
    <w:rsid w:val="007168B3"/>
    <w:rsid w:val="007203D9"/>
    <w:rsid w:val="00725BF6"/>
    <w:rsid w:val="007349CD"/>
    <w:rsid w:val="007372E1"/>
    <w:rsid w:val="0074170E"/>
    <w:rsid w:val="0074546E"/>
    <w:rsid w:val="00747FAD"/>
    <w:rsid w:val="00753151"/>
    <w:rsid w:val="00763BFD"/>
    <w:rsid w:val="00766CB9"/>
    <w:rsid w:val="00767364"/>
    <w:rsid w:val="00770F35"/>
    <w:rsid w:val="00777B04"/>
    <w:rsid w:val="007802FA"/>
    <w:rsid w:val="007805F4"/>
    <w:rsid w:val="007903FD"/>
    <w:rsid w:val="00791A0C"/>
    <w:rsid w:val="0079628D"/>
    <w:rsid w:val="007A5D13"/>
    <w:rsid w:val="007B0EDC"/>
    <w:rsid w:val="007B1091"/>
    <w:rsid w:val="007B5D2F"/>
    <w:rsid w:val="007D1CD5"/>
    <w:rsid w:val="007D2155"/>
    <w:rsid w:val="007D3E79"/>
    <w:rsid w:val="007D7979"/>
    <w:rsid w:val="007E2420"/>
    <w:rsid w:val="007E53FE"/>
    <w:rsid w:val="00800B81"/>
    <w:rsid w:val="00801063"/>
    <w:rsid w:val="00807F3A"/>
    <w:rsid w:val="0081479F"/>
    <w:rsid w:val="008301F9"/>
    <w:rsid w:val="00833B0A"/>
    <w:rsid w:val="00834BDF"/>
    <w:rsid w:val="00840209"/>
    <w:rsid w:val="00850DF9"/>
    <w:rsid w:val="00854CEB"/>
    <w:rsid w:val="00863ECB"/>
    <w:rsid w:val="00864AC7"/>
    <w:rsid w:val="00874892"/>
    <w:rsid w:val="00875531"/>
    <w:rsid w:val="008819AD"/>
    <w:rsid w:val="00882735"/>
    <w:rsid w:val="00882A8E"/>
    <w:rsid w:val="008836C4"/>
    <w:rsid w:val="00884961"/>
    <w:rsid w:val="0088684F"/>
    <w:rsid w:val="00886995"/>
    <w:rsid w:val="008A0022"/>
    <w:rsid w:val="008A0CE0"/>
    <w:rsid w:val="008A2CBE"/>
    <w:rsid w:val="008A4544"/>
    <w:rsid w:val="008B2B84"/>
    <w:rsid w:val="008B49C6"/>
    <w:rsid w:val="008B5196"/>
    <w:rsid w:val="008B5B20"/>
    <w:rsid w:val="008C19E1"/>
    <w:rsid w:val="008D3A9E"/>
    <w:rsid w:val="008D7805"/>
    <w:rsid w:val="008D7BC2"/>
    <w:rsid w:val="008E1315"/>
    <w:rsid w:val="008F0610"/>
    <w:rsid w:val="008F12AF"/>
    <w:rsid w:val="008F4BB8"/>
    <w:rsid w:val="008F571A"/>
    <w:rsid w:val="00906593"/>
    <w:rsid w:val="009121B9"/>
    <w:rsid w:val="00935CBB"/>
    <w:rsid w:val="009368FB"/>
    <w:rsid w:val="009461D5"/>
    <w:rsid w:val="00950942"/>
    <w:rsid w:val="009511D8"/>
    <w:rsid w:val="00957634"/>
    <w:rsid w:val="0096599B"/>
    <w:rsid w:val="00966370"/>
    <w:rsid w:val="00972169"/>
    <w:rsid w:val="00977C1D"/>
    <w:rsid w:val="009805E0"/>
    <w:rsid w:val="009833F5"/>
    <w:rsid w:val="00984D5E"/>
    <w:rsid w:val="00997F78"/>
    <w:rsid w:val="009A0684"/>
    <w:rsid w:val="009A0CE4"/>
    <w:rsid w:val="009A0E8C"/>
    <w:rsid w:val="009B10F5"/>
    <w:rsid w:val="009B58BD"/>
    <w:rsid w:val="009C043B"/>
    <w:rsid w:val="009C173B"/>
    <w:rsid w:val="009C1B90"/>
    <w:rsid w:val="009C36A3"/>
    <w:rsid w:val="009C5B78"/>
    <w:rsid w:val="009D1F63"/>
    <w:rsid w:val="009D4739"/>
    <w:rsid w:val="009D7DDD"/>
    <w:rsid w:val="009E36D1"/>
    <w:rsid w:val="009E4E07"/>
    <w:rsid w:val="009E6BBF"/>
    <w:rsid w:val="009F05FA"/>
    <w:rsid w:val="009F1D99"/>
    <w:rsid w:val="009F5764"/>
    <w:rsid w:val="009F7003"/>
    <w:rsid w:val="00A00DE5"/>
    <w:rsid w:val="00A03A75"/>
    <w:rsid w:val="00A060AA"/>
    <w:rsid w:val="00A06992"/>
    <w:rsid w:val="00A134B2"/>
    <w:rsid w:val="00A166C3"/>
    <w:rsid w:val="00A173D1"/>
    <w:rsid w:val="00A177CF"/>
    <w:rsid w:val="00A2059D"/>
    <w:rsid w:val="00A24D6F"/>
    <w:rsid w:val="00A26072"/>
    <w:rsid w:val="00A37B40"/>
    <w:rsid w:val="00A404C6"/>
    <w:rsid w:val="00A40DA0"/>
    <w:rsid w:val="00A4297A"/>
    <w:rsid w:val="00A51FE0"/>
    <w:rsid w:val="00A539FC"/>
    <w:rsid w:val="00A616B8"/>
    <w:rsid w:val="00A70A00"/>
    <w:rsid w:val="00A768D2"/>
    <w:rsid w:val="00A81F81"/>
    <w:rsid w:val="00A82F66"/>
    <w:rsid w:val="00A82F94"/>
    <w:rsid w:val="00A85CCB"/>
    <w:rsid w:val="00AA402F"/>
    <w:rsid w:val="00AA688D"/>
    <w:rsid w:val="00AC1A1D"/>
    <w:rsid w:val="00AC3379"/>
    <w:rsid w:val="00AC3F33"/>
    <w:rsid w:val="00AD16FD"/>
    <w:rsid w:val="00AE1091"/>
    <w:rsid w:val="00AE57F5"/>
    <w:rsid w:val="00AE5E9A"/>
    <w:rsid w:val="00AE60CF"/>
    <w:rsid w:val="00AE621B"/>
    <w:rsid w:val="00AF53E1"/>
    <w:rsid w:val="00AF679B"/>
    <w:rsid w:val="00B039EC"/>
    <w:rsid w:val="00B045BC"/>
    <w:rsid w:val="00B05E0B"/>
    <w:rsid w:val="00B1230A"/>
    <w:rsid w:val="00B31DC3"/>
    <w:rsid w:val="00B40BD0"/>
    <w:rsid w:val="00B4130D"/>
    <w:rsid w:val="00B438DA"/>
    <w:rsid w:val="00B444C0"/>
    <w:rsid w:val="00B45698"/>
    <w:rsid w:val="00B45CC9"/>
    <w:rsid w:val="00B53632"/>
    <w:rsid w:val="00B53BF0"/>
    <w:rsid w:val="00B63A99"/>
    <w:rsid w:val="00B71FDB"/>
    <w:rsid w:val="00B73D3D"/>
    <w:rsid w:val="00B77071"/>
    <w:rsid w:val="00B779BF"/>
    <w:rsid w:val="00B822B8"/>
    <w:rsid w:val="00BA39E8"/>
    <w:rsid w:val="00BB2610"/>
    <w:rsid w:val="00BB30C0"/>
    <w:rsid w:val="00BC3959"/>
    <w:rsid w:val="00BC3B92"/>
    <w:rsid w:val="00BC4A7E"/>
    <w:rsid w:val="00BD47ED"/>
    <w:rsid w:val="00BD5BD2"/>
    <w:rsid w:val="00BF1D5D"/>
    <w:rsid w:val="00BF3D8E"/>
    <w:rsid w:val="00BF4974"/>
    <w:rsid w:val="00C121AC"/>
    <w:rsid w:val="00C1487C"/>
    <w:rsid w:val="00C1517B"/>
    <w:rsid w:val="00C20BC0"/>
    <w:rsid w:val="00C20C44"/>
    <w:rsid w:val="00C2637F"/>
    <w:rsid w:val="00C27D12"/>
    <w:rsid w:val="00C455E8"/>
    <w:rsid w:val="00C45DEB"/>
    <w:rsid w:val="00C47704"/>
    <w:rsid w:val="00C5498B"/>
    <w:rsid w:val="00C56DA7"/>
    <w:rsid w:val="00C57DDA"/>
    <w:rsid w:val="00C61927"/>
    <w:rsid w:val="00C6282E"/>
    <w:rsid w:val="00C6675D"/>
    <w:rsid w:val="00C667DD"/>
    <w:rsid w:val="00C75883"/>
    <w:rsid w:val="00C76D1E"/>
    <w:rsid w:val="00C842F2"/>
    <w:rsid w:val="00C87EBB"/>
    <w:rsid w:val="00C91390"/>
    <w:rsid w:val="00C91DD3"/>
    <w:rsid w:val="00C9203E"/>
    <w:rsid w:val="00CA1BCF"/>
    <w:rsid w:val="00CA1FC0"/>
    <w:rsid w:val="00CB24FB"/>
    <w:rsid w:val="00CB7EC5"/>
    <w:rsid w:val="00CC22EA"/>
    <w:rsid w:val="00CD437B"/>
    <w:rsid w:val="00CD7269"/>
    <w:rsid w:val="00CF2A18"/>
    <w:rsid w:val="00D008F7"/>
    <w:rsid w:val="00D066CD"/>
    <w:rsid w:val="00D074EF"/>
    <w:rsid w:val="00D10DF2"/>
    <w:rsid w:val="00D20AF7"/>
    <w:rsid w:val="00D25988"/>
    <w:rsid w:val="00D25A0B"/>
    <w:rsid w:val="00D26D5A"/>
    <w:rsid w:val="00D3030D"/>
    <w:rsid w:val="00D34D36"/>
    <w:rsid w:val="00D36331"/>
    <w:rsid w:val="00D4299C"/>
    <w:rsid w:val="00D432BA"/>
    <w:rsid w:val="00D5138C"/>
    <w:rsid w:val="00D558FA"/>
    <w:rsid w:val="00D55C51"/>
    <w:rsid w:val="00D5740F"/>
    <w:rsid w:val="00D70392"/>
    <w:rsid w:val="00D7232F"/>
    <w:rsid w:val="00D74E5B"/>
    <w:rsid w:val="00D77BF6"/>
    <w:rsid w:val="00D9088C"/>
    <w:rsid w:val="00D91F87"/>
    <w:rsid w:val="00D92AAB"/>
    <w:rsid w:val="00D93A61"/>
    <w:rsid w:val="00DA53FF"/>
    <w:rsid w:val="00DB49A6"/>
    <w:rsid w:val="00DB4BC9"/>
    <w:rsid w:val="00DB7FF4"/>
    <w:rsid w:val="00DC065F"/>
    <w:rsid w:val="00DC1C67"/>
    <w:rsid w:val="00DC50D5"/>
    <w:rsid w:val="00DD3BBF"/>
    <w:rsid w:val="00DD5CF9"/>
    <w:rsid w:val="00DE1D12"/>
    <w:rsid w:val="00DE6687"/>
    <w:rsid w:val="00DF2444"/>
    <w:rsid w:val="00E00911"/>
    <w:rsid w:val="00E00DD1"/>
    <w:rsid w:val="00E02BC8"/>
    <w:rsid w:val="00E075FE"/>
    <w:rsid w:val="00E1210F"/>
    <w:rsid w:val="00E201CB"/>
    <w:rsid w:val="00E23610"/>
    <w:rsid w:val="00E26A1C"/>
    <w:rsid w:val="00E3300A"/>
    <w:rsid w:val="00E33785"/>
    <w:rsid w:val="00E41C8B"/>
    <w:rsid w:val="00E449AC"/>
    <w:rsid w:val="00E63D6F"/>
    <w:rsid w:val="00E6642D"/>
    <w:rsid w:val="00E66C03"/>
    <w:rsid w:val="00E67145"/>
    <w:rsid w:val="00E848FA"/>
    <w:rsid w:val="00E91557"/>
    <w:rsid w:val="00EA2439"/>
    <w:rsid w:val="00EA29A0"/>
    <w:rsid w:val="00EA5D1A"/>
    <w:rsid w:val="00EB7014"/>
    <w:rsid w:val="00EC45CC"/>
    <w:rsid w:val="00ED18A5"/>
    <w:rsid w:val="00ED58D8"/>
    <w:rsid w:val="00EE32FA"/>
    <w:rsid w:val="00EE5370"/>
    <w:rsid w:val="00EF0CA6"/>
    <w:rsid w:val="00EF541E"/>
    <w:rsid w:val="00EF62DC"/>
    <w:rsid w:val="00EF736D"/>
    <w:rsid w:val="00F00C1C"/>
    <w:rsid w:val="00F03702"/>
    <w:rsid w:val="00F1098A"/>
    <w:rsid w:val="00F17686"/>
    <w:rsid w:val="00F34A89"/>
    <w:rsid w:val="00F40243"/>
    <w:rsid w:val="00F47E4B"/>
    <w:rsid w:val="00F64F42"/>
    <w:rsid w:val="00F70FBD"/>
    <w:rsid w:val="00F83038"/>
    <w:rsid w:val="00F87A05"/>
    <w:rsid w:val="00F906BF"/>
    <w:rsid w:val="00F976BA"/>
    <w:rsid w:val="00FA6B9A"/>
    <w:rsid w:val="00FB29B1"/>
    <w:rsid w:val="00FB2C1C"/>
    <w:rsid w:val="00FB357F"/>
    <w:rsid w:val="00FC017C"/>
    <w:rsid w:val="00FD205A"/>
    <w:rsid w:val="00FF7181"/>
    <w:rsid w:val="00FF78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DB938"/>
  <w15:chartTrackingRefBased/>
  <w15:docId w15:val="{9EAB2B16-B9F6-409C-B0B4-6C352107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A9E"/>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D3A9E"/>
    <w:rPr>
      <w:color w:val="0000FF"/>
      <w:u w:val="single"/>
    </w:rPr>
  </w:style>
  <w:style w:type="paragraph" w:styleId="Footer">
    <w:name w:val="footer"/>
    <w:basedOn w:val="Normal"/>
    <w:link w:val="FooterChar"/>
    <w:uiPriority w:val="99"/>
    <w:unhideWhenUsed/>
    <w:rsid w:val="008D3A9E"/>
    <w:pPr>
      <w:tabs>
        <w:tab w:val="center" w:pos="4513"/>
        <w:tab w:val="right" w:pos="9026"/>
      </w:tabs>
    </w:pPr>
    <w:rPr>
      <w:lang w:val="x-none"/>
    </w:rPr>
  </w:style>
  <w:style w:type="character" w:customStyle="1" w:styleId="FooterChar">
    <w:name w:val="Footer Char"/>
    <w:basedOn w:val="DefaultParagraphFont"/>
    <w:link w:val="Footer"/>
    <w:uiPriority w:val="99"/>
    <w:rsid w:val="008D3A9E"/>
    <w:rPr>
      <w:rFonts w:ascii="Calibri" w:eastAsia="Calibri" w:hAnsi="Calibri" w:cs="Times New Roman"/>
      <w:lang w:val="x-none"/>
    </w:rPr>
  </w:style>
  <w:style w:type="character" w:styleId="Strong">
    <w:name w:val="Strong"/>
    <w:uiPriority w:val="22"/>
    <w:qFormat/>
    <w:rsid w:val="008D3A9E"/>
    <w:rPr>
      <w:b/>
      <w:bCs/>
    </w:rPr>
  </w:style>
  <w:style w:type="paragraph" w:customStyle="1" w:styleId="SingleTxtG">
    <w:name w:val="_ Single Txt_G"/>
    <w:basedOn w:val="Normal"/>
    <w:qFormat/>
    <w:rsid w:val="008D3A9E"/>
    <w:pPr>
      <w:suppressAutoHyphens/>
      <w:spacing w:after="120" w:line="240" w:lineRule="atLeast"/>
      <w:ind w:left="1134" w:right="1134"/>
      <w:jc w:val="both"/>
    </w:pPr>
    <w:rPr>
      <w:rFonts w:ascii="Times New Roman" w:eastAsia="Times New Roman" w:hAnsi="Times New Roman"/>
      <w:sz w:val="20"/>
      <w:szCs w:val="20"/>
      <w:lang w:val="en-GB"/>
    </w:rPr>
  </w:style>
  <w:style w:type="paragraph" w:styleId="ListParagraph">
    <w:name w:val="List Paragraph"/>
    <w:basedOn w:val="Normal"/>
    <w:uiPriority w:val="34"/>
    <w:qFormat/>
    <w:rsid w:val="008D3A9E"/>
    <w:pPr>
      <w:spacing w:after="0" w:line="240" w:lineRule="auto"/>
      <w:ind w:left="720"/>
      <w:contextualSpacing/>
    </w:pPr>
    <w:rPr>
      <w:sz w:val="24"/>
      <w:szCs w:val="24"/>
      <w:lang w:val="en-GB"/>
    </w:rPr>
  </w:style>
  <w:style w:type="character" w:styleId="FootnoteReference">
    <w:name w:val="footnote reference"/>
    <w:aliases w:val="4_G"/>
    <w:uiPriority w:val="99"/>
    <w:qFormat/>
    <w:rsid w:val="008D3A9E"/>
    <w:rPr>
      <w:rFonts w:ascii="Times New Roman" w:hAnsi="Times New Roman"/>
      <w:sz w:val="18"/>
      <w:vertAlign w:val="superscript"/>
      <w:lang w:val="fr-CH"/>
    </w:rPr>
  </w:style>
  <w:style w:type="paragraph" w:styleId="FootnoteText">
    <w:name w:val="footnote text"/>
    <w:aliases w:val="5_G"/>
    <w:basedOn w:val="Normal"/>
    <w:link w:val="FootnoteTextChar"/>
    <w:uiPriority w:val="99"/>
    <w:qFormat/>
    <w:rsid w:val="008D3A9E"/>
    <w:pPr>
      <w:tabs>
        <w:tab w:val="right" w:pos="1021"/>
      </w:tabs>
      <w:spacing w:after="0" w:line="220" w:lineRule="exact"/>
      <w:ind w:left="1134" w:right="1134" w:hanging="1134"/>
    </w:pPr>
    <w:rPr>
      <w:rFonts w:ascii="Times New Roman" w:hAnsi="Times New Roman"/>
      <w:sz w:val="18"/>
      <w:szCs w:val="24"/>
      <w:lang w:val="en-GB"/>
    </w:rPr>
  </w:style>
  <w:style w:type="character" w:customStyle="1" w:styleId="FootnoteTextChar">
    <w:name w:val="Footnote Text Char"/>
    <w:aliases w:val="5_G Char"/>
    <w:basedOn w:val="DefaultParagraphFont"/>
    <w:link w:val="FootnoteText"/>
    <w:uiPriority w:val="99"/>
    <w:rsid w:val="008D3A9E"/>
    <w:rPr>
      <w:rFonts w:ascii="Times New Roman" w:eastAsia="Calibri" w:hAnsi="Times New Roman" w:cs="Times New Roman"/>
      <w:sz w:val="18"/>
      <w:szCs w:val="24"/>
    </w:rPr>
  </w:style>
  <w:style w:type="paragraph" w:customStyle="1" w:styleId="SingleTxtGDraft12">
    <w:name w:val="_ Single Txt_G_Draft_12"/>
    <w:basedOn w:val="Normal"/>
    <w:rsid w:val="008D3A9E"/>
    <w:pPr>
      <w:spacing w:after="120" w:line="240" w:lineRule="atLeast"/>
      <w:ind w:left="1134" w:right="1134"/>
      <w:jc w:val="both"/>
    </w:pPr>
    <w:rPr>
      <w:rFonts w:ascii="Times New Roman" w:eastAsiaTheme="minorHAnsi" w:hAnsi="Times New Roman"/>
      <w:sz w:val="24"/>
      <w:szCs w:val="24"/>
      <w:lang w:val="en-GB"/>
    </w:rPr>
  </w:style>
  <w:style w:type="paragraph" w:customStyle="1" w:styleId="Default">
    <w:name w:val="Default"/>
    <w:basedOn w:val="Normal"/>
    <w:rsid w:val="008D3A9E"/>
    <w:pPr>
      <w:autoSpaceDE w:val="0"/>
      <w:autoSpaceDN w:val="0"/>
      <w:spacing w:after="0" w:line="240" w:lineRule="auto"/>
    </w:pPr>
    <w:rPr>
      <w:rFonts w:ascii="Times New Roman" w:eastAsiaTheme="minorHAnsi" w:hAnsi="Times New Roman"/>
      <w:color w:val="000000"/>
      <w:sz w:val="24"/>
      <w:szCs w:val="24"/>
      <w:lang w:val="en-GB" w:eastAsia="en-GB"/>
    </w:rPr>
  </w:style>
  <w:style w:type="paragraph" w:styleId="EndnoteText">
    <w:name w:val="endnote text"/>
    <w:basedOn w:val="Normal"/>
    <w:link w:val="EndnoteTextChar"/>
    <w:uiPriority w:val="99"/>
    <w:semiHidden/>
    <w:unhideWhenUsed/>
    <w:rsid w:val="001318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18D0"/>
    <w:rPr>
      <w:rFonts w:ascii="Calibri" w:eastAsia="Calibri" w:hAnsi="Calibri" w:cs="Times New Roman"/>
      <w:sz w:val="20"/>
      <w:szCs w:val="20"/>
      <w:lang w:val="en-US"/>
    </w:rPr>
  </w:style>
  <w:style w:type="character" w:styleId="EndnoteReference">
    <w:name w:val="endnote reference"/>
    <w:basedOn w:val="DefaultParagraphFont"/>
    <w:uiPriority w:val="99"/>
    <w:semiHidden/>
    <w:unhideWhenUsed/>
    <w:rsid w:val="001318D0"/>
    <w:rPr>
      <w:vertAlign w:val="superscript"/>
    </w:rPr>
  </w:style>
  <w:style w:type="paragraph" w:styleId="Header">
    <w:name w:val="header"/>
    <w:basedOn w:val="Normal"/>
    <w:link w:val="HeaderChar"/>
    <w:uiPriority w:val="99"/>
    <w:unhideWhenUsed/>
    <w:rsid w:val="001B7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808"/>
    <w:rPr>
      <w:rFonts w:ascii="Calibri" w:eastAsia="Calibri" w:hAnsi="Calibri" w:cs="Times New Roman"/>
      <w:lang w:val="en-US"/>
    </w:rPr>
  </w:style>
  <w:style w:type="paragraph" w:styleId="BalloonText">
    <w:name w:val="Balloon Text"/>
    <w:basedOn w:val="Normal"/>
    <w:link w:val="BalloonTextChar"/>
    <w:uiPriority w:val="99"/>
    <w:semiHidden/>
    <w:unhideWhenUsed/>
    <w:rsid w:val="003E43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3D6"/>
    <w:rPr>
      <w:rFonts w:ascii="Segoe UI" w:eastAsia="Calibri" w:hAnsi="Segoe UI" w:cs="Segoe UI"/>
      <w:sz w:val="18"/>
      <w:szCs w:val="18"/>
      <w:lang w:val="en-US"/>
    </w:rPr>
  </w:style>
  <w:style w:type="character" w:customStyle="1" w:styleId="UnresolvedMention1">
    <w:name w:val="Unresolved Mention1"/>
    <w:basedOn w:val="DefaultParagraphFont"/>
    <w:uiPriority w:val="99"/>
    <w:semiHidden/>
    <w:unhideWhenUsed/>
    <w:rsid w:val="00C5498B"/>
    <w:rPr>
      <w:color w:val="605E5C"/>
      <w:shd w:val="clear" w:color="auto" w:fill="E1DFDD"/>
    </w:rPr>
  </w:style>
  <w:style w:type="character" w:styleId="UnresolvedMention">
    <w:name w:val="Unresolved Mention"/>
    <w:basedOn w:val="DefaultParagraphFont"/>
    <w:uiPriority w:val="99"/>
    <w:semiHidden/>
    <w:unhideWhenUsed/>
    <w:rsid w:val="000E5284"/>
    <w:rPr>
      <w:color w:val="605E5C"/>
      <w:shd w:val="clear" w:color="auto" w:fill="E1DFDD"/>
    </w:rPr>
  </w:style>
  <w:style w:type="character" w:styleId="FollowedHyperlink">
    <w:name w:val="FollowedHyperlink"/>
    <w:basedOn w:val="DefaultParagraphFont"/>
    <w:uiPriority w:val="99"/>
    <w:semiHidden/>
    <w:unhideWhenUsed/>
    <w:rsid w:val="00AE57F5"/>
    <w:rPr>
      <w:color w:val="954F72" w:themeColor="followedHyperlink"/>
      <w:u w:val="single"/>
    </w:rPr>
  </w:style>
  <w:style w:type="character" w:styleId="CommentReference">
    <w:name w:val="annotation reference"/>
    <w:basedOn w:val="DefaultParagraphFont"/>
    <w:uiPriority w:val="99"/>
    <w:semiHidden/>
    <w:unhideWhenUsed/>
    <w:rsid w:val="00507354"/>
    <w:rPr>
      <w:sz w:val="16"/>
      <w:szCs w:val="16"/>
    </w:rPr>
  </w:style>
  <w:style w:type="paragraph" w:styleId="CommentText">
    <w:name w:val="annotation text"/>
    <w:basedOn w:val="Normal"/>
    <w:link w:val="CommentTextChar"/>
    <w:uiPriority w:val="99"/>
    <w:unhideWhenUsed/>
    <w:rsid w:val="00507354"/>
    <w:pPr>
      <w:spacing w:line="240" w:lineRule="auto"/>
    </w:pPr>
    <w:rPr>
      <w:sz w:val="20"/>
      <w:szCs w:val="20"/>
    </w:rPr>
  </w:style>
  <w:style w:type="character" w:customStyle="1" w:styleId="CommentTextChar">
    <w:name w:val="Comment Text Char"/>
    <w:basedOn w:val="DefaultParagraphFont"/>
    <w:link w:val="CommentText"/>
    <w:uiPriority w:val="99"/>
    <w:rsid w:val="00507354"/>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07354"/>
    <w:rPr>
      <w:b/>
      <w:bCs/>
    </w:rPr>
  </w:style>
  <w:style w:type="character" w:customStyle="1" w:styleId="CommentSubjectChar">
    <w:name w:val="Comment Subject Char"/>
    <w:basedOn w:val="CommentTextChar"/>
    <w:link w:val="CommentSubject"/>
    <w:uiPriority w:val="99"/>
    <w:semiHidden/>
    <w:rsid w:val="00507354"/>
    <w:rPr>
      <w:rFonts w:ascii="Calibri" w:eastAsia="Calibri" w:hAnsi="Calibri" w:cs="Times New Roman"/>
      <w:b/>
      <w:bCs/>
      <w:sz w:val="20"/>
      <w:szCs w:val="20"/>
      <w:lang w:val="en-US"/>
    </w:rPr>
  </w:style>
  <w:style w:type="paragraph" w:styleId="Revision">
    <w:name w:val="Revision"/>
    <w:hidden/>
    <w:uiPriority w:val="99"/>
    <w:semiHidden/>
    <w:rsid w:val="00507354"/>
    <w:pPr>
      <w:spacing w:after="0" w:line="240" w:lineRule="auto"/>
    </w:pPr>
    <w:rPr>
      <w:rFonts w:ascii="Calibri" w:eastAsia="Calibri" w:hAnsi="Calibri" w:cs="Times New Roman"/>
      <w:lang w:val="en-US"/>
    </w:rPr>
  </w:style>
  <w:style w:type="paragraph" w:styleId="NormalWeb">
    <w:name w:val="Normal (Web)"/>
    <w:basedOn w:val="Normal"/>
    <w:uiPriority w:val="99"/>
    <w:unhideWhenUsed/>
    <w:rsid w:val="00F976BA"/>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ui-provider">
    <w:name w:val="ui-provider"/>
    <w:basedOn w:val="DefaultParagraphFont"/>
    <w:rsid w:val="007203D9"/>
  </w:style>
  <w:style w:type="paragraph" w:customStyle="1" w:styleId="Body1">
    <w:name w:val="Body 1"/>
    <w:rsid w:val="009E6BBF"/>
    <w:pPr>
      <w:spacing w:after="0" w:line="240" w:lineRule="auto"/>
      <w:outlineLvl w:val="0"/>
    </w:pPr>
    <w:rPr>
      <w:rFonts w:ascii="Helvetica" w:eastAsia="ヒラギノ角ゴ Pro W3" w:hAnsi="Helvetica" w:cs="Times New Roman"/>
      <w:color w:val="000000"/>
      <w:sz w:val="32"/>
      <w:szCs w:val="20"/>
      <w:lang w:val="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8814">
      <w:bodyDiv w:val="1"/>
      <w:marLeft w:val="0"/>
      <w:marRight w:val="0"/>
      <w:marTop w:val="0"/>
      <w:marBottom w:val="0"/>
      <w:divBdr>
        <w:top w:val="none" w:sz="0" w:space="0" w:color="auto"/>
        <w:left w:val="none" w:sz="0" w:space="0" w:color="auto"/>
        <w:bottom w:val="none" w:sz="0" w:space="0" w:color="auto"/>
        <w:right w:val="none" w:sz="0" w:space="0" w:color="auto"/>
      </w:divBdr>
    </w:div>
    <w:div w:id="172456355">
      <w:bodyDiv w:val="1"/>
      <w:marLeft w:val="0"/>
      <w:marRight w:val="0"/>
      <w:marTop w:val="0"/>
      <w:marBottom w:val="0"/>
      <w:divBdr>
        <w:top w:val="none" w:sz="0" w:space="0" w:color="auto"/>
        <w:left w:val="none" w:sz="0" w:space="0" w:color="auto"/>
        <w:bottom w:val="none" w:sz="0" w:space="0" w:color="auto"/>
        <w:right w:val="none" w:sz="0" w:space="0" w:color="auto"/>
      </w:divBdr>
    </w:div>
    <w:div w:id="416178063">
      <w:bodyDiv w:val="1"/>
      <w:marLeft w:val="0"/>
      <w:marRight w:val="0"/>
      <w:marTop w:val="0"/>
      <w:marBottom w:val="0"/>
      <w:divBdr>
        <w:top w:val="none" w:sz="0" w:space="0" w:color="auto"/>
        <w:left w:val="none" w:sz="0" w:space="0" w:color="auto"/>
        <w:bottom w:val="none" w:sz="0" w:space="0" w:color="auto"/>
        <w:right w:val="none" w:sz="0" w:space="0" w:color="auto"/>
      </w:divBdr>
    </w:div>
    <w:div w:id="606472852">
      <w:bodyDiv w:val="1"/>
      <w:marLeft w:val="0"/>
      <w:marRight w:val="0"/>
      <w:marTop w:val="0"/>
      <w:marBottom w:val="0"/>
      <w:divBdr>
        <w:top w:val="none" w:sz="0" w:space="0" w:color="auto"/>
        <w:left w:val="none" w:sz="0" w:space="0" w:color="auto"/>
        <w:bottom w:val="none" w:sz="0" w:space="0" w:color="auto"/>
        <w:right w:val="none" w:sz="0" w:space="0" w:color="auto"/>
      </w:divBdr>
    </w:div>
    <w:div w:id="670261143">
      <w:bodyDiv w:val="1"/>
      <w:marLeft w:val="0"/>
      <w:marRight w:val="0"/>
      <w:marTop w:val="0"/>
      <w:marBottom w:val="0"/>
      <w:divBdr>
        <w:top w:val="none" w:sz="0" w:space="0" w:color="auto"/>
        <w:left w:val="none" w:sz="0" w:space="0" w:color="auto"/>
        <w:bottom w:val="none" w:sz="0" w:space="0" w:color="auto"/>
        <w:right w:val="none" w:sz="0" w:space="0" w:color="auto"/>
      </w:divBdr>
    </w:div>
    <w:div w:id="698356516">
      <w:bodyDiv w:val="1"/>
      <w:marLeft w:val="0"/>
      <w:marRight w:val="0"/>
      <w:marTop w:val="0"/>
      <w:marBottom w:val="0"/>
      <w:divBdr>
        <w:top w:val="none" w:sz="0" w:space="0" w:color="auto"/>
        <w:left w:val="none" w:sz="0" w:space="0" w:color="auto"/>
        <w:bottom w:val="none" w:sz="0" w:space="0" w:color="auto"/>
        <w:right w:val="none" w:sz="0" w:space="0" w:color="auto"/>
      </w:divBdr>
    </w:div>
    <w:div w:id="752123103">
      <w:bodyDiv w:val="1"/>
      <w:marLeft w:val="0"/>
      <w:marRight w:val="0"/>
      <w:marTop w:val="0"/>
      <w:marBottom w:val="0"/>
      <w:divBdr>
        <w:top w:val="none" w:sz="0" w:space="0" w:color="auto"/>
        <w:left w:val="none" w:sz="0" w:space="0" w:color="auto"/>
        <w:bottom w:val="none" w:sz="0" w:space="0" w:color="auto"/>
        <w:right w:val="none" w:sz="0" w:space="0" w:color="auto"/>
      </w:divBdr>
    </w:div>
    <w:div w:id="808791390">
      <w:bodyDiv w:val="1"/>
      <w:marLeft w:val="0"/>
      <w:marRight w:val="0"/>
      <w:marTop w:val="0"/>
      <w:marBottom w:val="0"/>
      <w:divBdr>
        <w:top w:val="none" w:sz="0" w:space="0" w:color="auto"/>
        <w:left w:val="none" w:sz="0" w:space="0" w:color="auto"/>
        <w:bottom w:val="none" w:sz="0" w:space="0" w:color="auto"/>
        <w:right w:val="none" w:sz="0" w:space="0" w:color="auto"/>
      </w:divBdr>
    </w:div>
    <w:div w:id="812597975">
      <w:bodyDiv w:val="1"/>
      <w:marLeft w:val="0"/>
      <w:marRight w:val="0"/>
      <w:marTop w:val="0"/>
      <w:marBottom w:val="0"/>
      <w:divBdr>
        <w:top w:val="none" w:sz="0" w:space="0" w:color="auto"/>
        <w:left w:val="none" w:sz="0" w:space="0" w:color="auto"/>
        <w:bottom w:val="none" w:sz="0" w:space="0" w:color="auto"/>
        <w:right w:val="none" w:sz="0" w:space="0" w:color="auto"/>
      </w:divBdr>
    </w:div>
    <w:div w:id="874656546">
      <w:bodyDiv w:val="1"/>
      <w:marLeft w:val="0"/>
      <w:marRight w:val="0"/>
      <w:marTop w:val="0"/>
      <w:marBottom w:val="0"/>
      <w:divBdr>
        <w:top w:val="none" w:sz="0" w:space="0" w:color="auto"/>
        <w:left w:val="none" w:sz="0" w:space="0" w:color="auto"/>
        <w:bottom w:val="none" w:sz="0" w:space="0" w:color="auto"/>
        <w:right w:val="none" w:sz="0" w:space="0" w:color="auto"/>
      </w:divBdr>
    </w:div>
    <w:div w:id="1003051766">
      <w:bodyDiv w:val="1"/>
      <w:marLeft w:val="0"/>
      <w:marRight w:val="0"/>
      <w:marTop w:val="0"/>
      <w:marBottom w:val="0"/>
      <w:divBdr>
        <w:top w:val="none" w:sz="0" w:space="0" w:color="auto"/>
        <w:left w:val="none" w:sz="0" w:space="0" w:color="auto"/>
        <w:bottom w:val="none" w:sz="0" w:space="0" w:color="auto"/>
        <w:right w:val="none" w:sz="0" w:space="0" w:color="auto"/>
      </w:divBdr>
    </w:div>
    <w:div w:id="1035691046">
      <w:bodyDiv w:val="1"/>
      <w:marLeft w:val="0"/>
      <w:marRight w:val="0"/>
      <w:marTop w:val="0"/>
      <w:marBottom w:val="0"/>
      <w:divBdr>
        <w:top w:val="none" w:sz="0" w:space="0" w:color="auto"/>
        <w:left w:val="none" w:sz="0" w:space="0" w:color="auto"/>
        <w:bottom w:val="none" w:sz="0" w:space="0" w:color="auto"/>
        <w:right w:val="none" w:sz="0" w:space="0" w:color="auto"/>
      </w:divBdr>
    </w:div>
    <w:div w:id="1057554557">
      <w:bodyDiv w:val="1"/>
      <w:marLeft w:val="0"/>
      <w:marRight w:val="0"/>
      <w:marTop w:val="0"/>
      <w:marBottom w:val="0"/>
      <w:divBdr>
        <w:top w:val="none" w:sz="0" w:space="0" w:color="auto"/>
        <w:left w:val="none" w:sz="0" w:space="0" w:color="auto"/>
        <w:bottom w:val="none" w:sz="0" w:space="0" w:color="auto"/>
        <w:right w:val="none" w:sz="0" w:space="0" w:color="auto"/>
      </w:divBdr>
    </w:div>
    <w:div w:id="1105543513">
      <w:bodyDiv w:val="1"/>
      <w:marLeft w:val="0"/>
      <w:marRight w:val="0"/>
      <w:marTop w:val="0"/>
      <w:marBottom w:val="0"/>
      <w:divBdr>
        <w:top w:val="none" w:sz="0" w:space="0" w:color="auto"/>
        <w:left w:val="none" w:sz="0" w:space="0" w:color="auto"/>
        <w:bottom w:val="none" w:sz="0" w:space="0" w:color="auto"/>
        <w:right w:val="none" w:sz="0" w:space="0" w:color="auto"/>
      </w:divBdr>
    </w:div>
    <w:div w:id="1417046082">
      <w:bodyDiv w:val="1"/>
      <w:marLeft w:val="0"/>
      <w:marRight w:val="0"/>
      <w:marTop w:val="0"/>
      <w:marBottom w:val="0"/>
      <w:divBdr>
        <w:top w:val="none" w:sz="0" w:space="0" w:color="auto"/>
        <w:left w:val="none" w:sz="0" w:space="0" w:color="auto"/>
        <w:bottom w:val="none" w:sz="0" w:space="0" w:color="auto"/>
        <w:right w:val="none" w:sz="0" w:space="0" w:color="auto"/>
      </w:divBdr>
    </w:div>
    <w:div w:id="1436823006">
      <w:bodyDiv w:val="1"/>
      <w:marLeft w:val="0"/>
      <w:marRight w:val="0"/>
      <w:marTop w:val="0"/>
      <w:marBottom w:val="0"/>
      <w:divBdr>
        <w:top w:val="none" w:sz="0" w:space="0" w:color="auto"/>
        <w:left w:val="none" w:sz="0" w:space="0" w:color="auto"/>
        <w:bottom w:val="none" w:sz="0" w:space="0" w:color="auto"/>
        <w:right w:val="none" w:sz="0" w:space="0" w:color="auto"/>
      </w:divBdr>
    </w:div>
    <w:div w:id="1989439633">
      <w:bodyDiv w:val="1"/>
      <w:marLeft w:val="0"/>
      <w:marRight w:val="0"/>
      <w:marTop w:val="0"/>
      <w:marBottom w:val="0"/>
      <w:divBdr>
        <w:top w:val="none" w:sz="0" w:space="0" w:color="auto"/>
        <w:left w:val="none" w:sz="0" w:space="0" w:color="auto"/>
        <w:bottom w:val="none" w:sz="0" w:space="0" w:color="auto"/>
        <w:right w:val="none" w:sz="0" w:space="0" w:color="auto"/>
      </w:divBdr>
    </w:div>
    <w:div w:id="2087454044">
      <w:bodyDiv w:val="1"/>
      <w:marLeft w:val="0"/>
      <w:marRight w:val="0"/>
      <w:marTop w:val="0"/>
      <w:marBottom w:val="0"/>
      <w:divBdr>
        <w:top w:val="none" w:sz="0" w:space="0" w:color="auto"/>
        <w:left w:val="none" w:sz="0" w:space="0" w:color="auto"/>
        <w:bottom w:val="none" w:sz="0" w:space="0" w:color="auto"/>
        <w:right w:val="none" w:sz="0" w:space="0" w:color="auto"/>
      </w:divBdr>
    </w:div>
    <w:div w:id="209723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rcmeetings.ohchr.org/HRCSessions/RegularSessions/56/Pages/default.aspx" TargetMode="External"/><Relationship Id="rId18" Type="http://schemas.openxmlformats.org/officeDocument/2006/relationships/hyperlink" Target="https://undocs.org/A/HRC/53/63" TargetMode="External"/><Relationship Id="rId3" Type="http://schemas.openxmlformats.org/officeDocument/2006/relationships/customXml" Target="../customXml/item3.xml"/><Relationship Id="rId21" Type="http://schemas.openxmlformats.org/officeDocument/2006/relationships/hyperlink" Target="https://www.ohchr.org/en/hr-bodies/upr/uprcycle4" TargetMode="External"/><Relationship Id="rId7" Type="http://schemas.openxmlformats.org/officeDocument/2006/relationships/settings" Target="settings.xml"/><Relationship Id="rId12" Type="http://schemas.openxmlformats.org/officeDocument/2006/relationships/hyperlink" Target="https://undocs.org/A/HRC/RES/54/28" TargetMode="External"/><Relationship Id="rId17" Type="http://schemas.openxmlformats.org/officeDocument/2006/relationships/hyperlink" Target="https://undocs.org/A/HRC/53/58" TargetMode="External"/><Relationship Id="rId2" Type="http://schemas.openxmlformats.org/officeDocument/2006/relationships/customXml" Target="../customXml/item2.xml"/><Relationship Id="rId16" Type="http://schemas.openxmlformats.org/officeDocument/2006/relationships/hyperlink" Target="https://undocs.org/A/HRC/56/72" TargetMode="External"/><Relationship Id="rId20" Type="http://schemas.openxmlformats.org/officeDocument/2006/relationships/hyperlink" Target="https://undocs.org/A/HRC/RES/51/3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tv.un.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ndocs.org/A/RES/60/25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view.officeapps.live.com/op/view.aspx?src=https%3A%2F%2Fwww.ohchr.org%2Fsites%2Fdefault%2Ffiles%2Fdocuments%2Fhrbodies%2Fhrcouncil%2Fsessions-regular%2Fsession55%2Fadvance-versions%2FA_HRC_55_78_AdvanceEditedVersion.docx&amp;wdOrigin=BROWSELI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ocs.org/A/HRC/RES/54/28"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undocs.org/A/HRC/RES/54/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8B8A05FE480A4491E515A016791008" ma:contentTypeVersion="14" ma:contentTypeDescription="Create a new document." ma:contentTypeScope="" ma:versionID="7824c3295f6204de9e5c95e1756efbdc">
  <xsd:schema xmlns:xsd="http://www.w3.org/2001/XMLSchema" xmlns:xs="http://www.w3.org/2001/XMLSchema" xmlns:p="http://schemas.microsoft.com/office/2006/metadata/properties" xmlns:ns2="bb0ca9ba-941c-40df-b04b-bfabd62ea666" xmlns:ns3="84722e3b-25e0-496d-a9f5-d37e31027713" targetNamespace="http://schemas.microsoft.com/office/2006/metadata/properties" ma:root="true" ma:fieldsID="f7138e940cb11708991c5a8e7a06925f" ns2:_="" ns3:_="">
    <xsd:import namespace="bb0ca9ba-941c-40df-b04b-bfabd62ea666"/>
    <xsd:import namespace="84722e3b-25e0-496d-a9f5-d37e310277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ca9ba-941c-40df-b04b-bfabd62ea6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722e3b-25e0-496d-a9f5-d37e3102771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3baa23c-0842-4ec8-be3c-7c7d86a10f0c}" ma:internalName="TaxCatchAll" ma:showField="CatchAllData" ma:web="84722e3b-25e0-496d-a9f5-d37e310277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0ca9ba-941c-40df-b04b-bfabd62ea666">
      <Terms xmlns="http://schemas.microsoft.com/office/infopath/2007/PartnerControls"/>
    </lcf76f155ced4ddcb4097134ff3c332f>
    <TaxCatchAll xmlns="84722e3b-25e0-496d-a9f5-d37e31027713" xsi:nil="true"/>
  </documentManagement>
</p:properties>
</file>

<file path=customXml/itemProps1.xml><?xml version="1.0" encoding="utf-8"?>
<ds:datastoreItem xmlns:ds="http://schemas.openxmlformats.org/officeDocument/2006/customXml" ds:itemID="{D6224703-4735-451D-A429-F8FEBCCF28EB}">
  <ds:schemaRefs>
    <ds:schemaRef ds:uri="http://schemas.openxmlformats.org/officeDocument/2006/bibliography"/>
  </ds:schemaRefs>
</ds:datastoreItem>
</file>

<file path=customXml/itemProps2.xml><?xml version="1.0" encoding="utf-8"?>
<ds:datastoreItem xmlns:ds="http://schemas.openxmlformats.org/officeDocument/2006/customXml" ds:itemID="{7FE57CFD-BD0D-4AB2-87F1-E67A89CAE8AA}">
  <ds:schemaRefs>
    <ds:schemaRef ds:uri="http://schemas.microsoft.com/sharepoint/v3/contenttype/forms"/>
  </ds:schemaRefs>
</ds:datastoreItem>
</file>

<file path=customXml/itemProps3.xml><?xml version="1.0" encoding="utf-8"?>
<ds:datastoreItem xmlns:ds="http://schemas.openxmlformats.org/officeDocument/2006/customXml" ds:itemID="{E4634BBA-54C9-4BE5-96CE-E38299D5EC26}"/>
</file>

<file path=customXml/itemProps4.xml><?xml version="1.0" encoding="utf-8"?>
<ds:datastoreItem xmlns:ds="http://schemas.openxmlformats.org/officeDocument/2006/customXml" ds:itemID="{24CA2BC9-DFA0-4513-B897-65F43224E93E}">
  <ds:schemaRefs>
    <ds:schemaRef ds:uri="http://schemas.microsoft.com/office/2006/metadata/properties"/>
    <ds:schemaRef ds:uri="http://schemas.microsoft.com/office/infopath/2007/PartnerControls"/>
    <ds:schemaRef ds:uri="bb0ca9ba-941c-40df-b04b-bfabd62ea666"/>
    <ds:schemaRef ds:uri="84722e3b-25e0-496d-a9f5-d37e31027713"/>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1371</Words>
  <Characters>7820</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OHCHR</Company>
  <LinksUpToDate>false</LinksUpToDate>
  <CharactersWithSpaces>9173</CharactersWithSpaces>
  <SharedDoc>false</SharedDoc>
  <HLinks>
    <vt:vector size="156" baseType="variant">
      <vt:variant>
        <vt:i4>6553651</vt:i4>
      </vt:variant>
      <vt:variant>
        <vt:i4>48</vt:i4>
      </vt:variant>
      <vt:variant>
        <vt:i4>0</vt:i4>
      </vt:variant>
      <vt:variant>
        <vt:i4>5</vt:i4>
      </vt:variant>
      <vt:variant>
        <vt:lpwstr>https://www.ohchr.org/en/minorities/combating-intolerance-against-persons-based-religion-or-belief</vt:lpwstr>
      </vt:variant>
      <vt:variant>
        <vt:lpwstr/>
      </vt:variant>
      <vt:variant>
        <vt:i4>6094922</vt:i4>
      </vt:variant>
      <vt:variant>
        <vt:i4>45</vt:i4>
      </vt:variant>
      <vt:variant>
        <vt:i4>0</vt:i4>
      </vt:variant>
      <vt:variant>
        <vt:i4>5</vt:i4>
      </vt:variant>
      <vt:variant>
        <vt:lpwstr>https://www.ohchr.org/en/minorities/countering-religious-hatred-constituting-incitement-discrimination-hostility-or-violence</vt:lpwstr>
      </vt:variant>
      <vt:variant>
        <vt:lpwstr/>
      </vt:variant>
      <vt:variant>
        <vt:i4>6094922</vt:i4>
      </vt:variant>
      <vt:variant>
        <vt:i4>42</vt:i4>
      </vt:variant>
      <vt:variant>
        <vt:i4>0</vt:i4>
      </vt:variant>
      <vt:variant>
        <vt:i4>5</vt:i4>
      </vt:variant>
      <vt:variant>
        <vt:lpwstr>https://www.ohchr.org/en/minorities/countering-religious-hatred-constituting-incitement-discrimination-hostility-or-violence</vt:lpwstr>
      </vt:variant>
      <vt:variant>
        <vt:lpwstr/>
      </vt:variant>
      <vt:variant>
        <vt:i4>3473514</vt:i4>
      </vt:variant>
      <vt:variant>
        <vt:i4>39</vt:i4>
      </vt:variant>
      <vt:variant>
        <vt:i4>0</vt:i4>
      </vt:variant>
      <vt:variant>
        <vt:i4>5</vt:i4>
      </vt:variant>
      <vt:variant>
        <vt:lpwstr>https://undocs.org/en/A/HRC/22/17/Add.4</vt:lpwstr>
      </vt:variant>
      <vt:variant>
        <vt:lpwstr/>
      </vt:variant>
      <vt:variant>
        <vt:i4>1900638</vt:i4>
      </vt:variant>
      <vt:variant>
        <vt:i4>36</vt:i4>
      </vt:variant>
      <vt:variant>
        <vt:i4>0</vt:i4>
      </vt:variant>
      <vt:variant>
        <vt:i4>5</vt:i4>
      </vt:variant>
      <vt:variant>
        <vt:lpwstr>https://undocs.org/en/A/HRC/RES/52/6</vt:lpwstr>
      </vt:variant>
      <vt:variant>
        <vt:lpwstr/>
      </vt:variant>
      <vt:variant>
        <vt:i4>1572958</vt:i4>
      </vt:variant>
      <vt:variant>
        <vt:i4>33</vt:i4>
      </vt:variant>
      <vt:variant>
        <vt:i4>0</vt:i4>
      </vt:variant>
      <vt:variant>
        <vt:i4>5</vt:i4>
      </vt:variant>
      <vt:variant>
        <vt:lpwstr>https://undocs.org/en/A/HRC/RES/52/38</vt:lpwstr>
      </vt:variant>
      <vt:variant>
        <vt:lpwstr/>
      </vt:variant>
      <vt:variant>
        <vt:i4>1769566</vt:i4>
      </vt:variant>
      <vt:variant>
        <vt:i4>30</vt:i4>
      </vt:variant>
      <vt:variant>
        <vt:i4>0</vt:i4>
      </vt:variant>
      <vt:variant>
        <vt:i4>5</vt:i4>
      </vt:variant>
      <vt:variant>
        <vt:lpwstr>https://undocs.org/en/A/HRC/RES/53/1</vt:lpwstr>
      </vt:variant>
      <vt:variant>
        <vt:lpwstr/>
      </vt:variant>
      <vt:variant>
        <vt:i4>983056</vt:i4>
      </vt:variant>
      <vt:variant>
        <vt:i4>27</vt:i4>
      </vt:variant>
      <vt:variant>
        <vt:i4>0</vt:i4>
      </vt:variant>
      <vt:variant>
        <vt:i4>5</vt:i4>
      </vt:variant>
      <vt:variant>
        <vt:lpwstr>https://www.ohchr.org/en/hr-bodies/hrc/accessibility</vt:lpwstr>
      </vt:variant>
      <vt:variant>
        <vt:lpwstr/>
      </vt:variant>
      <vt:variant>
        <vt:i4>1245259</vt:i4>
      </vt:variant>
      <vt:variant>
        <vt:i4>24</vt:i4>
      </vt:variant>
      <vt:variant>
        <vt:i4>0</vt:i4>
      </vt:variant>
      <vt:variant>
        <vt:i4>5</vt:i4>
      </vt:variant>
      <vt:variant>
        <vt:lpwstr>https://www.streamtext.net/player?event=CFI-UNOG</vt:lpwstr>
      </vt:variant>
      <vt:variant>
        <vt:lpwstr/>
      </vt:variant>
      <vt:variant>
        <vt:i4>5898248</vt:i4>
      </vt:variant>
      <vt:variant>
        <vt:i4>21</vt:i4>
      </vt:variant>
      <vt:variant>
        <vt:i4>0</vt:i4>
      </vt:variant>
      <vt:variant>
        <vt:i4>5</vt:i4>
      </vt:variant>
      <vt:variant>
        <vt:lpwstr>https://www.ohchr.org/en/statements-and-speeches/2023/10/religious-hatred-turk-urges-renewed-social-contract-based-trust-and</vt:lpwstr>
      </vt:variant>
      <vt:variant>
        <vt:lpwstr/>
      </vt:variant>
      <vt:variant>
        <vt:i4>8060990</vt:i4>
      </vt:variant>
      <vt:variant>
        <vt:i4>18</vt:i4>
      </vt:variant>
      <vt:variant>
        <vt:i4>0</vt:i4>
      </vt:variant>
      <vt:variant>
        <vt:i4>5</vt:i4>
      </vt:variant>
      <vt:variant>
        <vt:lpwstr>https://www.ohchr.org/en/minorities/countering-religious-hatred-constituting-incitement-discrimination-hostility-or-violence</vt:lpwstr>
      </vt:variant>
      <vt:variant>
        <vt:lpwstr>:~:text=On%2012%20July%202023%2C%20the,discrimination%2C%20hostility%20or%20violence%E2%80%9D.</vt:lpwstr>
      </vt:variant>
      <vt:variant>
        <vt:i4>1769566</vt:i4>
      </vt:variant>
      <vt:variant>
        <vt:i4>15</vt:i4>
      </vt:variant>
      <vt:variant>
        <vt:i4>0</vt:i4>
      </vt:variant>
      <vt:variant>
        <vt:i4>5</vt:i4>
      </vt:variant>
      <vt:variant>
        <vt:lpwstr>https://undocs.org/en/A/HRC/RES/53/1</vt:lpwstr>
      </vt:variant>
      <vt:variant>
        <vt:lpwstr/>
      </vt:variant>
      <vt:variant>
        <vt:i4>6094922</vt:i4>
      </vt:variant>
      <vt:variant>
        <vt:i4>12</vt:i4>
      </vt:variant>
      <vt:variant>
        <vt:i4>0</vt:i4>
      </vt:variant>
      <vt:variant>
        <vt:i4>5</vt:i4>
      </vt:variant>
      <vt:variant>
        <vt:lpwstr>https://www.ohchr.org/en/minorities/countering-religious-hatred-constituting-incitement-discrimination-hostility-or-violence</vt:lpwstr>
      </vt:variant>
      <vt:variant>
        <vt:lpwstr/>
      </vt:variant>
      <vt:variant>
        <vt:i4>4915210</vt:i4>
      </vt:variant>
      <vt:variant>
        <vt:i4>9</vt:i4>
      </vt:variant>
      <vt:variant>
        <vt:i4>0</vt:i4>
      </vt:variant>
      <vt:variant>
        <vt:i4>5</vt:i4>
      </vt:variant>
      <vt:variant>
        <vt:lpwstr>https://www.ohchr.org/en/press-releases/2023/07/human-rights-council-hold-urgent-debate-acts-religious-hatred-11-july</vt:lpwstr>
      </vt:variant>
      <vt:variant>
        <vt:lpwstr/>
      </vt:variant>
      <vt:variant>
        <vt:i4>1769566</vt:i4>
      </vt:variant>
      <vt:variant>
        <vt:i4>6</vt:i4>
      </vt:variant>
      <vt:variant>
        <vt:i4>0</vt:i4>
      </vt:variant>
      <vt:variant>
        <vt:i4>5</vt:i4>
      </vt:variant>
      <vt:variant>
        <vt:lpwstr>https://undocs.org/en/A/HRC/RES/53/1</vt:lpwstr>
      </vt:variant>
      <vt:variant>
        <vt:lpwstr/>
      </vt:variant>
      <vt:variant>
        <vt:i4>917589</vt:i4>
      </vt:variant>
      <vt:variant>
        <vt:i4>3</vt:i4>
      </vt:variant>
      <vt:variant>
        <vt:i4>0</vt:i4>
      </vt:variant>
      <vt:variant>
        <vt:i4>5</vt:i4>
      </vt:variant>
      <vt:variant>
        <vt:lpwstr>https://media.un.org/en/webtv</vt:lpwstr>
      </vt:variant>
      <vt:variant>
        <vt:lpwstr/>
      </vt:variant>
      <vt:variant>
        <vt:i4>7864438</vt:i4>
      </vt:variant>
      <vt:variant>
        <vt:i4>0</vt:i4>
      </vt:variant>
      <vt:variant>
        <vt:i4>0</vt:i4>
      </vt:variant>
      <vt:variant>
        <vt:i4>5</vt:i4>
      </vt:variant>
      <vt:variant>
        <vt:lpwstr>http://www.unog.ch/80256EE60057CB67/(httpRooms)/4C2700FCE9684AD780256EF9005A65FE?OpenDocument&amp;unid=BAE3AF717207A5AF80256EF80049C552</vt:lpwstr>
      </vt:variant>
      <vt:variant>
        <vt:lpwstr/>
      </vt:variant>
      <vt:variant>
        <vt:i4>5898248</vt:i4>
      </vt:variant>
      <vt:variant>
        <vt:i4>24</vt:i4>
      </vt:variant>
      <vt:variant>
        <vt:i4>0</vt:i4>
      </vt:variant>
      <vt:variant>
        <vt:i4>5</vt:i4>
      </vt:variant>
      <vt:variant>
        <vt:lpwstr>https://www.ohchr.org/en/statements-and-speeches/2023/10/religious-hatred-turk-urges-renewed-social-contract-based-trust-and</vt:lpwstr>
      </vt:variant>
      <vt:variant>
        <vt:lpwstr/>
      </vt:variant>
      <vt:variant>
        <vt:i4>8060990</vt:i4>
      </vt:variant>
      <vt:variant>
        <vt:i4>21</vt:i4>
      </vt:variant>
      <vt:variant>
        <vt:i4>0</vt:i4>
      </vt:variant>
      <vt:variant>
        <vt:i4>5</vt:i4>
      </vt:variant>
      <vt:variant>
        <vt:lpwstr>https://www.ohchr.org/en/minorities/countering-religious-hatred-constituting-incitement-discrimination-hostility-or-violence</vt:lpwstr>
      </vt:variant>
      <vt:variant>
        <vt:lpwstr>:~:text=On%2012%20July%202023%2C%20the,discrimination%2C%20hostility%20or%20violence%E2%80%9D.</vt:lpwstr>
      </vt:variant>
      <vt:variant>
        <vt:i4>8192063</vt:i4>
      </vt:variant>
      <vt:variant>
        <vt:i4>18</vt:i4>
      </vt:variant>
      <vt:variant>
        <vt:i4>0</vt:i4>
      </vt:variant>
      <vt:variant>
        <vt:i4>5</vt:i4>
      </vt:variant>
      <vt:variant>
        <vt:lpwstr>https://www.ohchr.org/en/statements-and-speeches/2023/10/universal-declaration-human-rights-will-guide-solutions-global</vt:lpwstr>
      </vt:variant>
      <vt:variant>
        <vt:lpwstr/>
      </vt:variant>
      <vt:variant>
        <vt:i4>262145</vt:i4>
      </vt:variant>
      <vt:variant>
        <vt:i4>15</vt:i4>
      </vt:variant>
      <vt:variant>
        <vt:i4>0</vt:i4>
      </vt:variant>
      <vt:variant>
        <vt:i4>5</vt:i4>
      </vt:variant>
      <vt:variant>
        <vt:lpwstr>https://www.ohchr.org/en/statements-and-speeches/2023/10/university-ottawa-turk-urges-governments-align-policy-and-action</vt:lpwstr>
      </vt:variant>
      <vt:variant>
        <vt:lpwstr/>
      </vt:variant>
      <vt:variant>
        <vt:i4>7929958</vt:i4>
      </vt:variant>
      <vt:variant>
        <vt:i4>12</vt:i4>
      </vt:variant>
      <vt:variant>
        <vt:i4>0</vt:i4>
      </vt:variant>
      <vt:variant>
        <vt:i4>5</vt:i4>
      </vt:variant>
      <vt:variant>
        <vt:lpwstr>https://www.ohchr.org/en/statements-and-speeches/2023/10/general-assembly-turk-urges-support-human-rights-and-international</vt:lpwstr>
      </vt:variant>
      <vt:variant>
        <vt:lpwstr/>
      </vt:variant>
      <vt:variant>
        <vt:i4>5898248</vt:i4>
      </vt:variant>
      <vt:variant>
        <vt:i4>9</vt:i4>
      </vt:variant>
      <vt:variant>
        <vt:i4>0</vt:i4>
      </vt:variant>
      <vt:variant>
        <vt:i4>5</vt:i4>
      </vt:variant>
      <vt:variant>
        <vt:lpwstr>https://www.ohchr.org/en/statements-and-speeches/2023/10/religious-hatred-turk-urges-renewed-social-contract-based-trust-and</vt:lpwstr>
      </vt:variant>
      <vt:variant>
        <vt:lpwstr/>
      </vt:variant>
      <vt:variant>
        <vt:i4>6094914</vt:i4>
      </vt:variant>
      <vt:variant>
        <vt:i4>6</vt:i4>
      </vt:variant>
      <vt:variant>
        <vt:i4>0</vt:i4>
      </vt:variant>
      <vt:variant>
        <vt:i4>5</vt:i4>
      </vt:variant>
      <vt:variant>
        <vt:lpwstr>https://www.ohchr.org/en/statements/2023/09/turk-human-rights-are-antidote-prevailing-politics-distraction-deception</vt:lpwstr>
      </vt:variant>
      <vt:variant>
        <vt:lpwstr/>
      </vt:variant>
      <vt:variant>
        <vt:i4>851993</vt:i4>
      </vt:variant>
      <vt:variant>
        <vt:i4>3</vt:i4>
      </vt:variant>
      <vt:variant>
        <vt:i4>0</vt:i4>
      </vt:variant>
      <vt:variant>
        <vt:i4>5</vt:i4>
      </vt:variant>
      <vt:variant>
        <vt:lpwstr>https://www.ohchr.org/en/statements-and-speeches/2023/07/turk-calls-states-combat-weaponization-religious-differences</vt:lpwstr>
      </vt:variant>
      <vt:variant>
        <vt:lpwstr/>
      </vt:variant>
      <vt:variant>
        <vt:i4>65558</vt:i4>
      </vt:variant>
      <vt:variant>
        <vt:i4>0</vt:i4>
      </vt:variant>
      <vt:variant>
        <vt:i4>0</vt:i4>
      </vt:variant>
      <vt:variant>
        <vt:i4>5</vt:i4>
      </vt:variant>
      <vt:variant>
        <vt:lpwstr>https://www.ohchr.org/en/statements-and-speeches/2023/03/global-update-high-commissioner-outlines-concerns-over-40-countries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Magazzeni</dc:creator>
  <cp:keywords/>
  <dc:description/>
  <cp:lastModifiedBy>Petra Ticha</cp:lastModifiedBy>
  <cp:revision>19</cp:revision>
  <cp:lastPrinted>2022-12-14T01:55:00Z</cp:lastPrinted>
  <dcterms:created xsi:type="dcterms:W3CDTF">2024-06-13T11:17:00Z</dcterms:created>
  <dcterms:modified xsi:type="dcterms:W3CDTF">2024-07-08T15:53:00Z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0x0101008F8B8A05FE480A4491E515A016791008</vt:lpwstr>
  </property>
  <property fmtid="{D5CDD505-2E9C-101B-9397-08002B2CF9AE}" pid="3" name="MediaServiceImageTags">
    <vt:lpwstr/>
  </property>
</Properties>
</file>