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016"/>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9"/>
        <w:gridCol w:w="2236"/>
        <w:gridCol w:w="3214"/>
        <w:gridCol w:w="2930"/>
      </w:tblGrid>
      <w:tr w:rsidR="00BC0583" w14:paraId="14D0F62D" w14:textId="77777777" w:rsidTr="00DE3C93">
        <w:trPr>
          <w:trHeight w:val="691"/>
        </w:trPr>
        <w:tc>
          <w:tcPr>
            <w:tcW w:w="1259" w:type="dxa"/>
            <w:tcBorders>
              <w:top w:val="nil"/>
              <w:left w:val="nil"/>
              <w:bottom w:val="single" w:sz="4" w:space="0" w:color="000000"/>
              <w:right w:val="nil"/>
            </w:tcBorders>
            <w:shd w:val="clear" w:color="auto" w:fill="auto"/>
            <w:tcMar>
              <w:top w:w="80" w:type="dxa"/>
              <w:left w:w="80" w:type="dxa"/>
              <w:bottom w:w="80" w:type="dxa"/>
              <w:right w:w="80" w:type="dxa"/>
            </w:tcMar>
          </w:tcPr>
          <w:p w14:paraId="2CEE9823" w14:textId="77777777" w:rsidR="00BC0583" w:rsidRDefault="00BC0583" w:rsidP="00DE3C93"/>
        </w:tc>
        <w:tc>
          <w:tcPr>
            <w:tcW w:w="223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4F4876" w14:textId="77777777" w:rsidR="00BC0583" w:rsidRDefault="00BC0583" w:rsidP="00DE3C93"/>
        </w:tc>
        <w:tc>
          <w:tcPr>
            <w:tcW w:w="614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49BB739" w14:textId="16D59581" w:rsidR="008017EC" w:rsidRDefault="00D359CD" w:rsidP="00DE3C93">
            <w:pPr>
              <w:pStyle w:val="BodyA"/>
              <w:jc w:val="right"/>
            </w:pPr>
            <w:r>
              <w:rPr>
                <w:sz w:val="40"/>
                <w:szCs w:val="40"/>
                <w:lang w:val="en-US"/>
              </w:rPr>
              <w:t>A</w:t>
            </w:r>
            <w:r w:rsidR="00455F34">
              <w:rPr>
                <w:lang w:val="en-US"/>
              </w:rPr>
              <w:t>/HRC/</w:t>
            </w:r>
            <w:r w:rsidR="00802F2F">
              <w:rPr>
                <w:lang w:val="en-US"/>
              </w:rPr>
              <w:t>54</w:t>
            </w:r>
            <w:r w:rsidR="00455F34" w:rsidRPr="00C73B18">
              <w:rPr>
                <w:lang w:val="en-US"/>
              </w:rPr>
              <w:t>/</w:t>
            </w:r>
            <w:r w:rsidR="00802F2F">
              <w:rPr>
                <w:lang w:val="en-US"/>
              </w:rPr>
              <w:t>60</w:t>
            </w:r>
          </w:p>
        </w:tc>
      </w:tr>
      <w:tr w:rsidR="00BC0583" w:rsidRPr="00D4409B" w14:paraId="40EDC71A" w14:textId="77777777" w:rsidTr="00DE3C93">
        <w:trPr>
          <w:trHeight w:val="2735"/>
        </w:trPr>
        <w:tc>
          <w:tcPr>
            <w:tcW w:w="1259"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2F80E88D" w14:textId="77777777" w:rsidR="00BC0583" w:rsidRDefault="00BC0583" w:rsidP="00DE3C93"/>
        </w:tc>
        <w:tc>
          <w:tcPr>
            <w:tcW w:w="5450" w:type="dxa"/>
            <w:gridSpan w:val="2"/>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7F6638A5" w14:textId="651F0DB9" w:rsidR="008017EC" w:rsidRDefault="00DE3C93" w:rsidP="00DE3C93">
            <w:pPr>
              <w:pStyle w:val="BodyA"/>
              <w:spacing w:before="120" w:line="420" w:lineRule="exact"/>
            </w:pPr>
            <w:proofErr w:type="spellStart"/>
            <w:r>
              <w:rPr>
                <w:b/>
                <w:bCs/>
                <w:sz w:val="40"/>
                <w:szCs w:val="40"/>
              </w:rPr>
              <w:t>Unofficial</w:t>
            </w:r>
            <w:proofErr w:type="spellEnd"/>
            <w:r>
              <w:rPr>
                <w:b/>
                <w:bCs/>
                <w:sz w:val="40"/>
                <w:szCs w:val="40"/>
              </w:rPr>
              <w:t xml:space="preserve"> </w:t>
            </w:r>
            <w:proofErr w:type="spellStart"/>
            <w:r>
              <w:rPr>
                <w:b/>
                <w:bCs/>
                <w:sz w:val="40"/>
                <w:szCs w:val="40"/>
              </w:rPr>
              <w:t>Spanish</w:t>
            </w:r>
            <w:proofErr w:type="spellEnd"/>
            <w:r>
              <w:rPr>
                <w:b/>
                <w:bCs/>
                <w:sz w:val="40"/>
                <w:szCs w:val="40"/>
              </w:rPr>
              <w:t xml:space="preserve"> Version</w:t>
            </w:r>
          </w:p>
        </w:tc>
        <w:tc>
          <w:tcPr>
            <w:tcW w:w="293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0F980077" w14:textId="77777777" w:rsidR="008017EC" w:rsidRPr="006460A5" w:rsidRDefault="00120C9B" w:rsidP="00DE3C93">
            <w:pPr>
              <w:pStyle w:val="BodyA"/>
              <w:spacing w:before="240" w:line="240" w:lineRule="exact"/>
              <w:rPr>
                <w:lang w:val="es-ES"/>
              </w:rPr>
            </w:pPr>
            <w:proofErr w:type="spellStart"/>
            <w:r w:rsidRPr="006460A5">
              <w:rPr>
                <w:lang w:val="es-ES"/>
              </w:rPr>
              <w:t>Distr</w:t>
            </w:r>
            <w:proofErr w:type="spellEnd"/>
            <w:r w:rsidRPr="006460A5">
              <w:rPr>
                <w:lang w:val="es-ES"/>
              </w:rPr>
              <w:t>: General</w:t>
            </w:r>
          </w:p>
          <w:p w14:paraId="555685B5" w14:textId="7F33446D" w:rsidR="008017EC" w:rsidRPr="006460A5" w:rsidRDefault="00F60AB4" w:rsidP="00DE3C93">
            <w:pPr>
              <w:pStyle w:val="BodyA"/>
              <w:spacing w:line="240" w:lineRule="exact"/>
              <w:rPr>
                <w:lang w:val="es-ES"/>
              </w:rPr>
            </w:pPr>
            <w:r>
              <w:rPr>
                <w:lang w:val="es-ES"/>
              </w:rPr>
              <w:t>Agosto</w:t>
            </w:r>
            <w:r w:rsidR="00120C9B" w:rsidRPr="006460A5">
              <w:rPr>
                <w:lang w:val="es-ES"/>
              </w:rPr>
              <w:t xml:space="preserve"> de 202</w:t>
            </w:r>
            <w:r w:rsidR="00802F2F">
              <w:rPr>
                <w:lang w:val="es-ES"/>
              </w:rPr>
              <w:t>3</w:t>
            </w:r>
          </w:p>
          <w:p w14:paraId="73545E99" w14:textId="77777777" w:rsidR="00BC0583" w:rsidRPr="006460A5" w:rsidRDefault="00BC0583" w:rsidP="00DE3C93">
            <w:pPr>
              <w:pStyle w:val="BodyA"/>
              <w:spacing w:line="240" w:lineRule="exact"/>
              <w:rPr>
                <w:lang w:val="es-ES"/>
              </w:rPr>
            </w:pPr>
          </w:p>
          <w:p w14:paraId="06BDF85D" w14:textId="77777777" w:rsidR="008017EC" w:rsidRPr="006C4A1C" w:rsidRDefault="00120C9B" w:rsidP="00DE3C93">
            <w:pPr>
              <w:pStyle w:val="BodyA"/>
              <w:spacing w:line="240" w:lineRule="exact"/>
              <w:rPr>
                <w:lang w:val="es-ES"/>
              </w:rPr>
            </w:pPr>
            <w:r w:rsidRPr="006C4A1C">
              <w:rPr>
                <w:lang w:val="es-ES"/>
              </w:rPr>
              <w:t xml:space="preserve">Original: </w:t>
            </w:r>
            <w:proofErr w:type="gramStart"/>
            <w:r w:rsidRPr="006C4A1C">
              <w:rPr>
                <w:lang w:val="es-ES"/>
              </w:rPr>
              <w:t>Inglés</w:t>
            </w:r>
            <w:proofErr w:type="gramEnd"/>
          </w:p>
        </w:tc>
      </w:tr>
    </w:tbl>
    <w:p w14:paraId="7CFBF693" w14:textId="77777777" w:rsidR="008017EC" w:rsidRPr="003F6493" w:rsidRDefault="00120C9B">
      <w:pPr>
        <w:pStyle w:val="BodyA"/>
        <w:spacing w:before="120"/>
        <w:rPr>
          <w:b/>
          <w:bCs/>
          <w:sz w:val="24"/>
          <w:szCs w:val="24"/>
          <w:lang w:val="es-ES"/>
        </w:rPr>
      </w:pPr>
      <w:r w:rsidRPr="003F6493">
        <w:rPr>
          <w:b/>
          <w:bCs/>
          <w:sz w:val="24"/>
          <w:szCs w:val="24"/>
          <w:lang w:val="es-ES"/>
        </w:rPr>
        <w:t>Consejo de Derechos Humanos</w:t>
      </w:r>
    </w:p>
    <w:p w14:paraId="486FDEE0" w14:textId="77777777" w:rsidR="00802F2F" w:rsidRPr="00802F2F" w:rsidRDefault="00802F2F" w:rsidP="00802F2F">
      <w:pPr>
        <w:pStyle w:val="BodyA"/>
        <w:rPr>
          <w:b/>
          <w:bCs/>
          <w:lang w:val="es-ES"/>
        </w:rPr>
      </w:pPr>
      <w:r w:rsidRPr="00802F2F">
        <w:rPr>
          <w:b/>
          <w:bCs/>
          <w:lang w:val="es-ES"/>
        </w:rPr>
        <w:t>Quincuagésima cuarta sesión</w:t>
      </w:r>
    </w:p>
    <w:p w14:paraId="01F400F0" w14:textId="4038F797" w:rsidR="00802F2F" w:rsidRPr="00BC464C" w:rsidRDefault="00802F2F" w:rsidP="000A7222">
      <w:pPr>
        <w:pStyle w:val="BodyA"/>
        <w:rPr>
          <w:lang w:val="es-ES"/>
        </w:rPr>
      </w:pPr>
      <w:r w:rsidRPr="00BC464C">
        <w:rPr>
          <w:lang w:val="es-ES"/>
        </w:rPr>
        <w:t>11 de septiembre</w:t>
      </w:r>
      <w:r w:rsidR="000A7222">
        <w:rPr>
          <w:lang w:val="es-ES"/>
        </w:rPr>
        <w:t xml:space="preserve"> </w:t>
      </w:r>
      <w:r w:rsidRPr="00BC464C">
        <w:rPr>
          <w:lang w:val="es-ES"/>
        </w:rPr>
        <w:t>-</w:t>
      </w:r>
      <w:r w:rsidR="000A7222">
        <w:rPr>
          <w:lang w:val="es-ES"/>
        </w:rPr>
        <w:t xml:space="preserve"> </w:t>
      </w:r>
      <w:r w:rsidRPr="00BC464C">
        <w:rPr>
          <w:lang w:val="es-ES"/>
        </w:rPr>
        <w:t>6 de octubre de 2023</w:t>
      </w:r>
    </w:p>
    <w:p w14:paraId="2BF6FF1B" w14:textId="77777777" w:rsidR="00802F2F" w:rsidRPr="00BC464C" w:rsidRDefault="00802F2F" w:rsidP="000A7222">
      <w:pPr>
        <w:pStyle w:val="BodyA"/>
        <w:rPr>
          <w:lang w:val="es-ES"/>
        </w:rPr>
      </w:pPr>
      <w:r w:rsidRPr="00BC464C">
        <w:rPr>
          <w:lang w:val="es-ES"/>
        </w:rPr>
        <w:t>Punto 2 del orden del día</w:t>
      </w:r>
    </w:p>
    <w:p w14:paraId="76E53B23" w14:textId="6D3342AE" w:rsidR="008017EC" w:rsidRPr="006460A5" w:rsidRDefault="00120C9B" w:rsidP="000A7222">
      <w:pPr>
        <w:pStyle w:val="BodyAA"/>
        <w:rPr>
          <w:lang w:val="es-ES"/>
        </w:rPr>
      </w:pPr>
      <w:r w:rsidRPr="006460A5">
        <w:rPr>
          <w:b/>
          <w:bCs/>
          <w:lang w:val="es-ES"/>
        </w:rPr>
        <w:t>Informe anual de</w:t>
      </w:r>
      <w:r w:rsidR="000A7222">
        <w:rPr>
          <w:b/>
          <w:bCs/>
          <w:lang w:val="es-ES"/>
        </w:rPr>
        <w:t>l</w:t>
      </w:r>
      <w:r w:rsidRPr="006460A5">
        <w:rPr>
          <w:b/>
          <w:bCs/>
          <w:lang w:val="es-ES"/>
        </w:rPr>
        <w:t xml:space="preserve"> Alt</w:t>
      </w:r>
      <w:r w:rsidR="000A7222">
        <w:rPr>
          <w:b/>
          <w:bCs/>
          <w:lang w:val="es-ES"/>
        </w:rPr>
        <w:t>o</w:t>
      </w:r>
      <w:r w:rsidRPr="006460A5">
        <w:rPr>
          <w:b/>
          <w:bCs/>
          <w:lang w:val="es-ES"/>
        </w:rPr>
        <w:t xml:space="preserve"> Comisiona</w:t>
      </w:r>
      <w:r w:rsidR="000A7222">
        <w:rPr>
          <w:b/>
          <w:bCs/>
          <w:lang w:val="es-ES"/>
        </w:rPr>
        <w:t>do</w:t>
      </w:r>
      <w:r w:rsidRPr="006460A5">
        <w:rPr>
          <w:b/>
          <w:bCs/>
          <w:lang w:val="es-ES"/>
        </w:rPr>
        <w:t xml:space="preserve"> de las Naciones Unidas</w:t>
      </w:r>
      <w:r w:rsidRPr="006460A5">
        <w:rPr>
          <w:rFonts w:ascii="Arial Unicode MS" w:hAnsi="Arial Unicode MS"/>
          <w:lang w:val="es-ES"/>
        </w:rPr>
        <w:br/>
      </w:r>
      <w:r w:rsidRPr="006460A5">
        <w:rPr>
          <w:b/>
          <w:bCs/>
          <w:lang w:val="es-ES"/>
        </w:rPr>
        <w:t>para los Derechos Humanos e informes de la Oficina del</w:t>
      </w:r>
      <w:r w:rsidRPr="006460A5">
        <w:rPr>
          <w:rFonts w:ascii="Arial Unicode MS" w:hAnsi="Arial Unicode MS"/>
          <w:lang w:val="es-ES"/>
        </w:rPr>
        <w:br/>
      </w:r>
      <w:r w:rsidRPr="006460A5">
        <w:rPr>
          <w:b/>
          <w:bCs/>
          <w:lang w:val="es-ES"/>
        </w:rPr>
        <w:t xml:space="preserve">Alto Comisionado y del </w:t>
      </w:r>
      <w:proofErr w:type="gramStart"/>
      <w:r w:rsidRPr="006460A5">
        <w:rPr>
          <w:b/>
          <w:bCs/>
          <w:lang w:val="es-ES"/>
        </w:rPr>
        <w:t>Secretario General</w:t>
      </w:r>
      <w:proofErr w:type="gramEnd"/>
    </w:p>
    <w:p w14:paraId="531AAA65" w14:textId="2E21E339" w:rsidR="008017EC" w:rsidRPr="000A7222" w:rsidRDefault="00120C9B" w:rsidP="000A7222">
      <w:pPr>
        <w:pStyle w:val="HChG"/>
        <w:rPr>
          <w:lang w:val="es-ES"/>
        </w:rPr>
      </w:pPr>
      <w:r w:rsidRPr="006460A5">
        <w:rPr>
          <w:lang w:val="es-ES"/>
        </w:rPr>
        <w:tab/>
      </w:r>
      <w:r w:rsidRPr="006460A5">
        <w:rPr>
          <w:lang w:val="es-ES"/>
        </w:rPr>
        <w:tab/>
      </w:r>
      <w:r w:rsidRPr="000A7222">
        <w:rPr>
          <w:rStyle w:val="NoneA"/>
          <w:rFonts w:eastAsia="Arial Unicode MS"/>
          <w:lang w:val="es-ES"/>
        </w:rPr>
        <w:t>Situación de los derechos humanos en Nicaragua</w:t>
      </w:r>
      <w:r w:rsidR="000A7222" w:rsidRPr="000A7222">
        <w:rPr>
          <w:rStyle w:val="FootnoteReference"/>
          <w:rFonts w:eastAsia="Arial Unicode MS"/>
          <w:sz w:val="20"/>
          <w:vertAlign w:val="baseline"/>
          <w:lang w:val="es-ES"/>
        </w:rPr>
        <w:footnoteReference w:customMarkFollows="1" w:id="2"/>
        <w:t>*</w:t>
      </w:r>
    </w:p>
    <w:p w14:paraId="4107C81F" w14:textId="77777777" w:rsidR="008017EC" w:rsidRPr="005F21F4" w:rsidRDefault="00120C9B" w:rsidP="000A7222">
      <w:pPr>
        <w:pStyle w:val="H1G"/>
        <w:rPr>
          <w:lang w:val="es-ES"/>
        </w:rPr>
      </w:pPr>
      <w:r w:rsidRPr="006460A5">
        <w:rPr>
          <w:rStyle w:val="NoneA"/>
          <w:lang w:val="es-ES"/>
        </w:rPr>
        <w:tab/>
      </w:r>
      <w:r w:rsidRPr="006460A5">
        <w:rPr>
          <w:rStyle w:val="NoneA"/>
          <w:lang w:val="es-ES"/>
        </w:rPr>
        <w:tab/>
      </w:r>
      <w:r w:rsidRPr="005F21F4">
        <w:rPr>
          <w:rFonts w:eastAsia="Arial Unicode MS"/>
          <w:lang w:val="es-ES"/>
        </w:rPr>
        <w:t>Informe del Alto Comisionado de las Naciones Unidas para los Derechos Humanos</w:t>
      </w:r>
    </w:p>
    <w:tbl>
      <w:tblPr>
        <w:tblW w:w="96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2"/>
      </w:tblGrid>
      <w:tr w:rsidR="00BC0583" w:rsidRPr="00D4409B" w14:paraId="0F407FAA" w14:textId="77777777">
        <w:trPr>
          <w:trHeight w:val="305"/>
          <w:jc w:val="center"/>
        </w:trPr>
        <w:tc>
          <w:tcPr>
            <w:tcW w:w="9622" w:type="dxa"/>
            <w:tcBorders>
              <w:top w:val="single" w:sz="4" w:space="0" w:color="000000"/>
              <w:left w:val="single" w:sz="4" w:space="0" w:color="000000"/>
              <w:bottom w:val="nil"/>
              <w:right w:val="single" w:sz="4" w:space="0" w:color="000000"/>
            </w:tcBorders>
            <w:shd w:val="clear" w:color="auto" w:fill="auto"/>
            <w:tcMar>
              <w:top w:w="80" w:type="dxa"/>
              <w:left w:w="335" w:type="dxa"/>
              <w:bottom w:w="80" w:type="dxa"/>
              <w:right w:w="80" w:type="dxa"/>
            </w:tcMar>
          </w:tcPr>
          <w:p w14:paraId="5B4A07E6" w14:textId="77777777" w:rsidR="008017EC" w:rsidRPr="002A5B81" w:rsidRDefault="00120C9B">
            <w:pPr>
              <w:pStyle w:val="Body"/>
              <w:spacing w:before="240" w:after="120"/>
              <w:ind w:left="255"/>
              <w:rPr>
                <w:i/>
                <w:iCs/>
                <w:lang w:val="es-ES"/>
              </w:rPr>
            </w:pPr>
            <w:r w:rsidRPr="002A5B81">
              <w:rPr>
                <w:i/>
                <w:iCs/>
                <w:lang w:val="es-ES"/>
              </w:rPr>
              <w:t>Resumen</w:t>
            </w:r>
          </w:p>
          <w:p w14:paraId="62952886" w14:textId="681B553D" w:rsidR="00801850" w:rsidRPr="00801850" w:rsidRDefault="000A7222" w:rsidP="000A7222">
            <w:pPr>
              <w:pStyle w:val="SingleTxtG"/>
              <w:ind w:firstLine="567"/>
              <w:rPr>
                <w:lang w:val="es-ES"/>
              </w:rPr>
            </w:pPr>
            <w:r w:rsidRPr="000A7222">
              <w:rPr>
                <w:lang w:val="es-ES_tradnl"/>
              </w:rPr>
              <w:t>Este informe, presentado de conformidad con la resolución 52/2 del Consejo de Derechos Humanos, contiene información actualizada sobre la situación de los derechos humanos en Nicaragua. El informe incluye recomendaciones que complementan las formuladas en informes anteriores de</w:t>
            </w:r>
            <w:r w:rsidR="00F60AB4">
              <w:rPr>
                <w:lang w:val="es-ES_tradnl"/>
              </w:rPr>
              <w:t>l</w:t>
            </w:r>
            <w:r w:rsidRPr="000A7222">
              <w:rPr>
                <w:lang w:val="es-ES_tradnl"/>
              </w:rPr>
              <w:t xml:space="preserve"> Alta Comisionad</w:t>
            </w:r>
            <w:r w:rsidR="00F60AB4">
              <w:rPr>
                <w:lang w:val="es-ES_tradnl"/>
              </w:rPr>
              <w:t>o</w:t>
            </w:r>
            <w:r w:rsidRPr="000A7222">
              <w:rPr>
                <w:lang w:val="es-ES_tradnl"/>
              </w:rPr>
              <w:t xml:space="preserve"> de las Naciones Unidas para los Derechos Humanos </w:t>
            </w:r>
            <w:r w:rsidR="00F60AB4">
              <w:rPr>
                <w:lang w:val="es-ES_tradnl"/>
              </w:rPr>
              <w:t>y</w:t>
            </w:r>
            <w:r w:rsidRPr="000A7222">
              <w:rPr>
                <w:lang w:val="es-ES_tradnl"/>
              </w:rPr>
              <w:t xml:space="preserve"> las formuladas por los mecanismos del Consejo de Derechos Humanos y los órganos creados en virtud de tratados.</w:t>
            </w:r>
          </w:p>
        </w:tc>
      </w:tr>
      <w:tr w:rsidR="00BC0583" w:rsidRPr="00D4409B" w14:paraId="376B3773" w14:textId="77777777">
        <w:trPr>
          <w:trHeight w:val="305"/>
          <w:jc w:val="center"/>
        </w:trPr>
        <w:tc>
          <w:tcPr>
            <w:tcW w:w="962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4ACEF" w14:textId="77777777" w:rsidR="00BC0583" w:rsidRPr="00D359CD" w:rsidRDefault="00BC0583" w:rsidP="000A7222">
            <w:pPr>
              <w:rPr>
                <w:lang w:val="es-ES"/>
              </w:rPr>
            </w:pPr>
          </w:p>
        </w:tc>
      </w:tr>
    </w:tbl>
    <w:p w14:paraId="273AFC8A" w14:textId="77777777" w:rsidR="00BC0583" w:rsidRPr="00D359CD" w:rsidRDefault="00BC0583">
      <w:pPr>
        <w:pStyle w:val="H1G"/>
        <w:widowControl w:val="0"/>
        <w:spacing w:line="240" w:lineRule="auto"/>
        <w:ind w:left="0" w:right="0" w:firstLine="0"/>
        <w:jc w:val="center"/>
        <w:rPr>
          <w:sz w:val="20"/>
          <w:szCs w:val="20"/>
          <w:lang w:val="es-ES"/>
        </w:rPr>
      </w:pPr>
    </w:p>
    <w:p w14:paraId="1CF6F1BB" w14:textId="77777777" w:rsidR="00BC0583" w:rsidRPr="00D359CD" w:rsidRDefault="00F158B1">
      <w:pPr>
        <w:pStyle w:val="BodyA"/>
        <w:widowControl w:val="0"/>
        <w:spacing w:line="240" w:lineRule="auto"/>
        <w:jc w:val="center"/>
        <w:rPr>
          <w:lang w:val="es-ES"/>
        </w:rPr>
      </w:pPr>
      <w:r w:rsidRPr="00D359CD">
        <w:rPr>
          <w:rFonts w:ascii="Arial Unicode MS" w:eastAsia="Arial Unicode MS" w:hAnsi="Arial Unicode MS" w:cs="Arial Unicode MS"/>
          <w:shd w:val="clear" w:color="auto" w:fill="FFFF00"/>
          <w:lang w:val="es-ES"/>
        </w:rPr>
        <w:br w:type="page"/>
      </w:r>
    </w:p>
    <w:p w14:paraId="48A4643B" w14:textId="712B2B87" w:rsidR="008017EC" w:rsidRPr="00D359CD" w:rsidRDefault="00120C9B">
      <w:pPr>
        <w:pStyle w:val="HChG"/>
        <w:rPr>
          <w:lang w:val="es-ES"/>
        </w:rPr>
      </w:pPr>
      <w:r w:rsidRPr="00D359CD">
        <w:rPr>
          <w:rFonts w:eastAsia="Arial Unicode MS" w:cs="Arial Unicode MS"/>
          <w:lang w:val="es-ES"/>
        </w:rPr>
        <w:tab/>
        <w:t xml:space="preserve">I. </w:t>
      </w:r>
      <w:r w:rsidRPr="00D359CD">
        <w:rPr>
          <w:rFonts w:eastAsia="Arial Unicode MS" w:cs="Arial Unicode MS"/>
          <w:lang w:val="es-ES"/>
        </w:rPr>
        <w:tab/>
        <w:t>Introducción</w:t>
      </w:r>
      <w:r w:rsidR="00ED1618">
        <w:rPr>
          <w:rFonts w:eastAsia="Arial Unicode MS" w:cs="Arial Unicode MS"/>
          <w:lang w:val="es-ES"/>
        </w:rPr>
        <w:t xml:space="preserve"> y metodología</w:t>
      </w:r>
    </w:p>
    <w:p w14:paraId="1F0CF213" w14:textId="0A73DD76"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En la resolución 52/2, el Consejo de Derechos Humanos pidió a</w:t>
      </w:r>
      <w:r>
        <w:rPr>
          <w:lang w:val="es-ES"/>
        </w:rPr>
        <w:t xml:space="preserve">l Alto Comisionado </w:t>
      </w:r>
      <w:r w:rsidRPr="00BC464C">
        <w:rPr>
          <w:lang w:val="es-ES"/>
        </w:rPr>
        <w:t xml:space="preserve">que reforzara </w:t>
      </w:r>
      <w:r>
        <w:rPr>
          <w:lang w:val="es-ES"/>
        </w:rPr>
        <w:t>su labor de seguimiento y diálogo</w:t>
      </w:r>
      <w:r w:rsidRPr="00BC464C">
        <w:rPr>
          <w:lang w:val="es-ES"/>
        </w:rPr>
        <w:t>, en particular mediante la preparación de informes exhaustivos y con perspectiva de género sobre la situación de los derechos humanos en Nicaragua, basándose en los informes anteriores de</w:t>
      </w:r>
      <w:r w:rsidR="00F60AB4">
        <w:rPr>
          <w:lang w:val="es-ES"/>
        </w:rPr>
        <w:t>l</w:t>
      </w:r>
      <w:r w:rsidRPr="00BC464C">
        <w:rPr>
          <w:lang w:val="es-ES"/>
        </w:rPr>
        <w:t xml:space="preserve"> Alt</w:t>
      </w:r>
      <w:r w:rsidR="00F60AB4">
        <w:rPr>
          <w:lang w:val="es-ES"/>
        </w:rPr>
        <w:t>o</w:t>
      </w:r>
      <w:r w:rsidRPr="00BC464C">
        <w:rPr>
          <w:lang w:val="es-ES"/>
        </w:rPr>
        <w:t xml:space="preserve"> Comisionad</w:t>
      </w:r>
      <w:r w:rsidR="00F60AB4">
        <w:rPr>
          <w:lang w:val="es-ES"/>
        </w:rPr>
        <w:t>o</w:t>
      </w:r>
      <w:r w:rsidR="00F60AB4">
        <w:rPr>
          <w:rStyle w:val="FootnoteReference"/>
          <w:lang w:val="es-ES"/>
        </w:rPr>
        <w:footnoteReference w:id="3"/>
      </w:r>
      <w:r w:rsidRPr="00BC464C">
        <w:rPr>
          <w:lang w:val="es-ES"/>
        </w:rPr>
        <w:t xml:space="preserve"> y los de los mecanismos del Consejo de Derechos Humanos y </w:t>
      </w:r>
      <w:r>
        <w:rPr>
          <w:lang w:val="es-ES"/>
        </w:rPr>
        <w:t xml:space="preserve">los </w:t>
      </w:r>
      <w:r w:rsidRPr="00BC464C">
        <w:rPr>
          <w:lang w:val="es-ES"/>
        </w:rPr>
        <w:t xml:space="preserve">órganos de tratados, en particular sobre la justicia y </w:t>
      </w:r>
      <w:r>
        <w:rPr>
          <w:lang w:val="es-ES"/>
        </w:rPr>
        <w:t>las debidas garantías procesales</w:t>
      </w:r>
      <w:r w:rsidRPr="00BC464C">
        <w:rPr>
          <w:lang w:val="es-ES"/>
        </w:rPr>
        <w:t xml:space="preserve"> para los disidentes políticos y los grupos en </w:t>
      </w:r>
      <w:r>
        <w:rPr>
          <w:lang w:val="es-ES"/>
        </w:rPr>
        <w:t>situaciones de vulnerabilidad</w:t>
      </w:r>
      <w:r w:rsidRPr="00BC464C">
        <w:rPr>
          <w:lang w:val="es-ES"/>
        </w:rPr>
        <w:t>. El presente informe ofrece una visión general de la situación desde el 15 de agosto de 2022 hasta el 15 de junio de 2023.</w:t>
      </w:r>
    </w:p>
    <w:p w14:paraId="4EAF757A" w14:textId="03EA2C0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En abril de 2023, </w:t>
      </w:r>
      <w:bookmarkStart w:id="0" w:name="_Hlk139971501"/>
      <w:r>
        <w:rPr>
          <w:lang w:val="es-ES"/>
        </w:rPr>
        <w:t xml:space="preserve">la </w:t>
      </w:r>
      <w:r w:rsidR="00F60AB4" w:rsidRPr="00F60AB4">
        <w:rPr>
          <w:lang w:val="es-ES"/>
        </w:rPr>
        <w:t>Oficina del Alto Comisionado de las Naciones Unidas para los Derechos Humanos</w:t>
      </w:r>
      <w:r w:rsidR="00F60AB4">
        <w:rPr>
          <w:lang w:val="es-ES"/>
        </w:rPr>
        <w:t xml:space="preserve"> (</w:t>
      </w:r>
      <w:r>
        <w:rPr>
          <w:lang w:val="es-ES"/>
        </w:rPr>
        <w:t>OACNUDH</w:t>
      </w:r>
      <w:r w:rsidR="00F60AB4">
        <w:rPr>
          <w:lang w:val="es-ES"/>
        </w:rPr>
        <w:t>)</w:t>
      </w:r>
      <w:r w:rsidRPr="00BC464C">
        <w:rPr>
          <w:lang w:val="es-ES"/>
        </w:rPr>
        <w:t xml:space="preserve"> </w:t>
      </w:r>
      <w:bookmarkEnd w:id="0"/>
      <w:r w:rsidRPr="00BC464C">
        <w:rPr>
          <w:lang w:val="es-ES"/>
        </w:rPr>
        <w:t xml:space="preserve">presentó al Gobierno de Nicaragua un cuestionario exhaustivo sobre los temas que debían abordarse en el presente informe. En su respuesta, el Gobierno no abordó las preguntas. </w:t>
      </w:r>
      <w:r>
        <w:rPr>
          <w:lang w:val="es-ES"/>
        </w:rPr>
        <w:t>La OACNUDH</w:t>
      </w:r>
      <w:r w:rsidRPr="00BC464C" w:rsidDel="00BC464C">
        <w:rPr>
          <w:lang w:val="es-ES"/>
        </w:rPr>
        <w:t xml:space="preserve"> </w:t>
      </w:r>
      <w:r w:rsidRPr="00BC464C">
        <w:rPr>
          <w:lang w:val="es-ES"/>
        </w:rPr>
        <w:t xml:space="preserve">también solicitó información a organizaciones internacionales, a víctimas de violaciones de derechos humanos y a la sociedad civil, a quienes agradece su cooperación. </w:t>
      </w:r>
      <w:r>
        <w:rPr>
          <w:lang w:val="es-ES"/>
        </w:rPr>
        <w:t>La OACNUDH</w:t>
      </w:r>
      <w:r w:rsidRPr="00BC464C" w:rsidDel="00BC464C">
        <w:rPr>
          <w:lang w:val="es-ES"/>
        </w:rPr>
        <w:t xml:space="preserve"> </w:t>
      </w:r>
      <w:r w:rsidRPr="00BC464C">
        <w:rPr>
          <w:lang w:val="es-ES"/>
        </w:rPr>
        <w:t>también consultó las fuentes oficiales y abiertas disponibles.</w:t>
      </w:r>
    </w:p>
    <w:p w14:paraId="3C3ABA76" w14:textId="77777777" w:rsidR="00ED1618" w:rsidRPr="00D4409B" w:rsidRDefault="00ED1618" w:rsidP="00ED1618">
      <w:pPr>
        <w:pStyle w:val="HChG"/>
        <w:spacing w:line="236" w:lineRule="atLeast"/>
        <w:rPr>
          <w:lang w:val="es-ES"/>
        </w:rPr>
      </w:pPr>
      <w:r w:rsidRPr="00BC464C">
        <w:rPr>
          <w:lang w:val="es-ES"/>
        </w:rPr>
        <w:tab/>
      </w:r>
      <w:r w:rsidRPr="00D4409B">
        <w:rPr>
          <w:lang w:val="es-ES"/>
        </w:rPr>
        <w:t>II.</w:t>
      </w:r>
      <w:r w:rsidRPr="00D4409B">
        <w:rPr>
          <w:lang w:val="es-ES"/>
        </w:rPr>
        <w:tab/>
        <w:t>Espacios cívico y democrático</w:t>
      </w:r>
    </w:p>
    <w:p w14:paraId="34102559" w14:textId="7777777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El </w:t>
      </w:r>
      <w:r>
        <w:rPr>
          <w:lang w:val="es-ES"/>
        </w:rPr>
        <w:t>Gobierno</w:t>
      </w:r>
      <w:r w:rsidRPr="00BC464C">
        <w:rPr>
          <w:lang w:val="es-ES"/>
        </w:rPr>
        <w:t xml:space="preserve"> de Nicaragua continuó limitando indebidamente los espacios cívico y democrático del país, incrementando su control sobre instituciones y espacios públicos, y restringiendo las actividades de individuos y grupos que sostienen voces disidentes y, cada vez más, también de quienes no caen bajo su esfera de influencia.</w:t>
      </w:r>
    </w:p>
    <w:p w14:paraId="6A75910F" w14:textId="77777777" w:rsidR="00ED1618" w:rsidRPr="00BC464C" w:rsidRDefault="00ED1618" w:rsidP="00ED1618">
      <w:pPr>
        <w:pStyle w:val="H1G"/>
        <w:spacing w:line="236" w:lineRule="atLeast"/>
        <w:rPr>
          <w:b w:val="0"/>
          <w:bCs w:val="0"/>
          <w:lang w:val="es-ES"/>
        </w:rPr>
      </w:pPr>
      <w:r w:rsidRPr="00BC464C">
        <w:rPr>
          <w:lang w:val="es-ES"/>
        </w:rPr>
        <w:tab/>
      </w:r>
      <w:proofErr w:type="gramStart"/>
      <w:r w:rsidRPr="00BC464C">
        <w:rPr>
          <w:lang w:val="es-ES"/>
        </w:rPr>
        <w:t xml:space="preserve">A. </w:t>
      </w:r>
      <w:r w:rsidRPr="00BC464C">
        <w:rPr>
          <w:lang w:val="es-ES"/>
        </w:rPr>
        <w:tab/>
        <w:t>Derecho a participar</w:t>
      </w:r>
      <w:proofErr w:type="gramEnd"/>
      <w:r w:rsidRPr="00BC464C">
        <w:rPr>
          <w:lang w:val="es-ES"/>
        </w:rPr>
        <w:t xml:space="preserve"> en la dirección de los asuntos públicos</w:t>
      </w:r>
    </w:p>
    <w:p w14:paraId="3B4AE276" w14:textId="24487310"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En 2023, Nicaragua ocupa el tercer lugar en el mundo entre los países con mayor presencia de mujeres en el parlamento (51,7%).</w:t>
      </w:r>
      <w:r w:rsidRPr="005F21F4">
        <w:rPr>
          <w:rStyle w:val="FootnoteReference"/>
        </w:rPr>
        <w:footnoteReference w:id="4"/>
      </w:r>
      <w:r w:rsidRPr="00BC464C" w:rsidDel="44EDD782">
        <w:rPr>
          <w:lang w:val="es-ES"/>
        </w:rPr>
        <w:t xml:space="preserve"> En cuanto a la presencia de mujeres en </w:t>
      </w:r>
      <w:r w:rsidRPr="00BC464C">
        <w:rPr>
          <w:lang w:val="es-ES"/>
        </w:rPr>
        <w:t>el gabinete, ocupaba el cuarto lugar con un 62,5%.</w:t>
      </w:r>
      <w:r w:rsidRPr="005F21F4">
        <w:rPr>
          <w:rStyle w:val="FootnoteReference"/>
        </w:rPr>
        <w:footnoteReference w:id="5"/>
      </w:r>
      <w:r w:rsidRPr="00BC464C">
        <w:rPr>
          <w:lang w:val="es-ES"/>
        </w:rPr>
        <w:t xml:space="preserve"> A pesar de que Nicaragua se encuentra entre los países del mundo con mayor presencia de mujeres en las instituciones políticas, los derechos políticos de las mujeres se ven obstaculizados por la persecución que sufren </w:t>
      </w:r>
      <w:r w:rsidR="00E70843">
        <w:rPr>
          <w:lang w:val="es-ES"/>
        </w:rPr>
        <w:t>las mujeres que son</w:t>
      </w:r>
      <w:r w:rsidRPr="00BC464C">
        <w:rPr>
          <w:lang w:val="es-ES"/>
        </w:rPr>
        <w:t xml:space="preserve"> percibidas como opositoras</w:t>
      </w:r>
      <w:r w:rsidR="00F60AB4">
        <w:rPr>
          <w:lang w:val="es-ES"/>
        </w:rPr>
        <w:t xml:space="preserve"> </w:t>
      </w:r>
      <w:r w:rsidR="00E20015">
        <w:rPr>
          <w:lang w:val="es-ES"/>
        </w:rPr>
        <w:t>al</w:t>
      </w:r>
      <w:r w:rsidR="00F60AB4">
        <w:rPr>
          <w:lang w:val="es-ES"/>
        </w:rPr>
        <w:t xml:space="preserve"> Gobierno</w:t>
      </w:r>
      <w:r w:rsidRPr="005F21F4">
        <w:rPr>
          <w:rStyle w:val="FootnoteReference"/>
        </w:rPr>
        <w:footnoteReference w:id="6"/>
      </w:r>
      <w:r w:rsidRPr="00BC464C">
        <w:rPr>
          <w:lang w:val="es-ES"/>
        </w:rPr>
        <w:t xml:space="preserve"> .</w:t>
      </w:r>
    </w:p>
    <w:p w14:paraId="42DEA5EE" w14:textId="14C85DE4"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El 6 de noviembre de 2022, Nicaragua celebró elecciones municipales en sus 153 municipios. La legislación electoral que </w:t>
      </w:r>
      <w:r>
        <w:rPr>
          <w:lang w:val="es-ES"/>
        </w:rPr>
        <w:t>la OACNUDH</w:t>
      </w:r>
      <w:r w:rsidRPr="00BC464C" w:rsidDel="00BC464C">
        <w:rPr>
          <w:lang w:val="es-ES"/>
        </w:rPr>
        <w:t xml:space="preserve"> </w:t>
      </w:r>
      <w:r w:rsidRPr="00BC464C">
        <w:rPr>
          <w:lang w:val="es-ES"/>
        </w:rPr>
        <w:t xml:space="preserve">había evaluado anteriormente como incompatible con las normas </w:t>
      </w:r>
      <w:proofErr w:type="spellStart"/>
      <w:r w:rsidRPr="00BC464C">
        <w:rPr>
          <w:lang w:val="es-ES"/>
        </w:rPr>
        <w:t>internacionalessiguió</w:t>
      </w:r>
      <w:proofErr w:type="spellEnd"/>
      <w:r w:rsidRPr="00BC464C">
        <w:rPr>
          <w:lang w:val="es-ES"/>
        </w:rPr>
        <w:t xml:space="preserve"> en vigor.</w:t>
      </w:r>
      <w:r w:rsidR="00F60AB4" w:rsidRPr="005F21F4">
        <w:rPr>
          <w:rStyle w:val="FootnoteReference"/>
        </w:rPr>
        <w:footnoteReference w:id="7"/>
      </w:r>
      <w:r w:rsidRPr="00BC464C">
        <w:rPr>
          <w:lang w:val="es-ES"/>
        </w:rPr>
        <w:t xml:space="preserve"> En ausencia de los partidos a los que se había cancelado su personalidad jurídica en 2021 y con los </w:t>
      </w:r>
      <w:r>
        <w:rPr>
          <w:lang w:val="es-ES"/>
        </w:rPr>
        <w:t xml:space="preserve">y las </w:t>
      </w:r>
      <w:r w:rsidRPr="00BC464C">
        <w:rPr>
          <w:lang w:val="es-ES"/>
        </w:rPr>
        <w:t>principales líderes de la oposición encarcelados o en el exilio,</w:t>
      </w:r>
      <w:bookmarkStart w:id="1" w:name="_Hlk132987320"/>
      <w:r w:rsidRPr="00BC464C">
        <w:rPr>
          <w:lang w:val="es-ES"/>
        </w:rPr>
        <w:t xml:space="preserve"> muchos </w:t>
      </w:r>
      <w:r w:rsidR="00E70843">
        <w:rPr>
          <w:lang w:val="es-ES"/>
        </w:rPr>
        <w:t xml:space="preserve">y muchas </w:t>
      </w:r>
      <w:r w:rsidRPr="00BC464C">
        <w:rPr>
          <w:lang w:val="es-ES"/>
        </w:rPr>
        <w:t xml:space="preserve">nicaragüenses </w:t>
      </w:r>
      <w:r w:rsidR="00F60AB4">
        <w:rPr>
          <w:lang w:val="es-ES"/>
        </w:rPr>
        <w:t>no pudieron</w:t>
      </w:r>
      <w:r w:rsidRPr="00BC464C">
        <w:rPr>
          <w:lang w:val="es-ES"/>
        </w:rPr>
        <w:t xml:space="preserve"> ejercer su derecho a participar en la dirección de los asuntos </w:t>
      </w:r>
      <w:bookmarkEnd w:id="1"/>
      <w:r w:rsidR="00781EFC" w:rsidRPr="00BC464C">
        <w:rPr>
          <w:lang w:val="es-ES"/>
        </w:rPr>
        <w:t>públicos,</w:t>
      </w:r>
      <w:r w:rsidRPr="00BC464C">
        <w:rPr>
          <w:lang w:val="es-ES"/>
        </w:rPr>
        <w:t xml:space="preserve"> de forma similar a las elecciones generales de 2021.</w:t>
      </w:r>
      <w:r w:rsidRPr="005F21F4">
        <w:rPr>
          <w:rStyle w:val="FootnoteReference"/>
        </w:rPr>
        <w:footnoteReference w:id="8"/>
      </w:r>
    </w:p>
    <w:p w14:paraId="729065DD" w14:textId="7DD44F1F" w:rsidR="00ED1618" w:rsidRPr="00D6015F"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Según informes, entre el 5 y el 8 de septiembre de 2022 </w:t>
      </w:r>
      <w:r>
        <w:rPr>
          <w:lang w:val="es-ES"/>
        </w:rPr>
        <w:t>habrían sido</w:t>
      </w:r>
      <w:r w:rsidRPr="00BC464C">
        <w:rPr>
          <w:lang w:val="es-ES"/>
        </w:rPr>
        <w:t xml:space="preserve"> detenid</w:t>
      </w:r>
      <w:r>
        <w:rPr>
          <w:lang w:val="es-ES"/>
        </w:rPr>
        <w:t>a</w:t>
      </w:r>
      <w:r w:rsidRPr="00BC464C">
        <w:rPr>
          <w:lang w:val="es-ES"/>
        </w:rPr>
        <w:t xml:space="preserve">s arbitrariamente y sin orden judicial cinco </w:t>
      </w:r>
      <w:r>
        <w:rPr>
          <w:lang w:val="es-ES"/>
        </w:rPr>
        <w:t xml:space="preserve">personas </w:t>
      </w:r>
      <w:r w:rsidRPr="00BC464C">
        <w:rPr>
          <w:lang w:val="es-ES"/>
        </w:rPr>
        <w:t xml:space="preserve">familiares de miembros del partido Unión Democrática Renovadora (UNAMOS). Además, 50 </w:t>
      </w:r>
      <w:r>
        <w:rPr>
          <w:lang w:val="es-ES"/>
        </w:rPr>
        <w:t xml:space="preserve">personas </w:t>
      </w:r>
      <w:r w:rsidRPr="00BC464C">
        <w:rPr>
          <w:lang w:val="es-ES"/>
        </w:rPr>
        <w:t>activistas polític</w:t>
      </w:r>
      <w:r>
        <w:rPr>
          <w:lang w:val="es-ES"/>
        </w:rPr>
        <w:t>a</w:t>
      </w:r>
      <w:r w:rsidRPr="00BC464C">
        <w:rPr>
          <w:lang w:val="es-ES"/>
        </w:rPr>
        <w:t>s habrían sido detenid</w:t>
      </w:r>
      <w:r>
        <w:rPr>
          <w:lang w:val="es-ES"/>
        </w:rPr>
        <w:t>a</w:t>
      </w:r>
      <w:r w:rsidRPr="00BC464C">
        <w:rPr>
          <w:lang w:val="es-ES"/>
        </w:rPr>
        <w:t>s arbitrariamente en relación con las elecciones entre el 1 y el 12 de noviembre, 16 de ell</w:t>
      </w:r>
      <w:r>
        <w:rPr>
          <w:lang w:val="es-ES"/>
        </w:rPr>
        <w:t>a</w:t>
      </w:r>
      <w:r w:rsidRPr="00BC464C">
        <w:rPr>
          <w:lang w:val="es-ES"/>
        </w:rPr>
        <w:t xml:space="preserve">s en </w:t>
      </w:r>
      <w:r>
        <w:rPr>
          <w:lang w:val="es-ES"/>
        </w:rPr>
        <w:t xml:space="preserve">la </w:t>
      </w:r>
      <w:r w:rsidRPr="00BC464C">
        <w:rPr>
          <w:lang w:val="es-ES"/>
        </w:rPr>
        <w:t>víspera de la jornada electoral.</w:t>
      </w:r>
      <w:r w:rsidRPr="005F21F4">
        <w:rPr>
          <w:rStyle w:val="FootnoteReference"/>
        </w:rPr>
        <w:footnoteReference w:id="9"/>
      </w:r>
      <w:r w:rsidRPr="00BC464C">
        <w:rPr>
          <w:lang w:val="es-ES"/>
        </w:rPr>
        <w:t xml:space="preserve"> Hubo múltiples informes en relación con el uso de recursos públicos para promover el voto a favor del </w:t>
      </w:r>
      <w:r w:rsidRPr="00BC464C">
        <w:rPr>
          <w:color w:val="202122"/>
          <w:sz w:val="21"/>
          <w:szCs w:val="21"/>
          <w:lang w:val="es-ES"/>
        </w:rPr>
        <w:t>Frente Sandinista de Liberación Nacional</w:t>
      </w:r>
      <w:r w:rsidRPr="00BC464C">
        <w:rPr>
          <w:lang w:val="es-ES"/>
        </w:rPr>
        <w:t xml:space="preserve">, </w:t>
      </w:r>
      <w:r w:rsidR="00E70843">
        <w:rPr>
          <w:lang w:val="es-ES"/>
        </w:rPr>
        <w:t xml:space="preserve">presiones al </w:t>
      </w:r>
      <w:r w:rsidRPr="00BC464C">
        <w:rPr>
          <w:lang w:val="es-ES"/>
        </w:rPr>
        <w:t>fu</w:t>
      </w:r>
      <w:r>
        <w:rPr>
          <w:lang w:val="es-ES"/>
        </w:rPr>
        <w:t>ncionariado</w:t>
      </w:r>
      <w:r w:rsidRPr="00BC464C">
        <w:rPr>
          <w:lang w:val="es-ES"/>
        </w:rPr>
        <w:t xml:space="preserve"> público y otras personas para votar por ese partido, propaganda electoral en el interior de los centros de votación, y personas percibidas como opositor</w:t>
      </w:r>
      <w:r>
        <w:rPr>
          <w:lang w:val="es-ES"/>
        </w:rPr>
        <w:t>a</w:t>
      </w:r>
      <w:r w:rsidRPr="00BC464C">
        <w:rPr>
          <w:lang w:val="es-ES"/>
        </w:rPr>
        <w:t xml:space="preserve">s a las que se </w:t>
      </w:r>
      <w:r w:rsidR="00B85269">
        <w:rPr>
          <w:lang w:val="es-ES"/>
        </w:rPr>
        <w:t xml:space="preserve">les </w:t>
      </w:r>
      <w:r w:rsidRPr="00BC464C">
        <w:rPr>
          <w:lang w:val="es-ES"/>
        </w:rPr>
        <w:t>negó el acceso a los colegios electorales,</w:t>
      </w:r>
      <w:r w:rsidRPr="005F21F4">
        <w:rPr>
          <w:rStyle w:val="FootnoteReference"/>
        </w:rPr>
        <w:footnoteReference w:id="10"/>
      </w:r>
      <w:r w:rsidRPr="00BC464C">
        <w:rPr>
          <w:lang w:val="es-ES"/>
        </w:rPr>
        <w:t xml:space="preserve"> lo que puede constituir violaciones de los artículos 25 y 26 del Pacto Internacional de Derechos Civiles y Políticos. </w:t>
      </w:r>
      <w:r w:rsidRPr="00D6015F">
        <w:rPr>
          <w:lang w:val="es-ES"/>
        </w:rPr>
        <w:t>El Gobierno no permitió la presencia de observadores internacionales.</w:t>
      </w:r>
    </w:p>
    <w:p w14:paraId="28A0B74A" w14:textId="7DBDC0B8"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Tras las elecciones, la policía antidisturbios hizo uso excesivo de la fuerza contra simpatizantes del partido político indígena </w:t>
      </w:r>
      <w:proofErr w:type="spellStart"/>
      <w:r w:rsidR="00F60AB4" w:rsidRPr="00D4409B">
        <w:rPr>
          <w:lang w:val="es-ES"/>
        </w:rPr>
        <w:t>Yapti</w:t>
      </w:r>
      <w:proofErr w:type="spellEnd"/>
      <w:r w:rsidR="00F60AB4" w:rsidRPr="00D4409B">
        <w:rPr>
          <w:lang w:val="es-ES"/>
        </w:rPr>
        <w:t xml:space="preserve"> </w:t>
      </w:r>
      <w:proofErr w:type="spellStart"/>
      <w:r w:rsidR="00F60AB4" w:rsidRPr="00D4409B">
        <w:rPr>
          <w:lang w:val="es-ES"/>
        </w:rPr>
        <w:t>Tasba</w:t>
      </w:r>
      <w:proofErr w:type="spellEnd"/>
      <w:r w:rsidR="00F60AB4" w:rsidRPr="00D4409B">
        <w:rPr>
          <w:lang w:val="es-ES"/>
        </w:rPr>
        <w:t xml:space="preserve"> </w:t>
      </w:r>
      <w:proofErr w:type="spellStart"/>
      <w:r w:rsidR="00F60AB4" w:rsidRPr="00D4409B">
        <w:rPr>
          <w:lang w:val="es-ES"/>
        </w:rPr>
        <w:t>Masraka</w:t>
      </w:r>
      <w:proofErr w:type="spellEnd"/>
      <w:r w:rsidR="00F60AB4" w:rsidRPr="00D4409B">
        <w:rPr>
          <w:lang w:val="es-ES"/>
        </w:rPr>
        <w:t xml:space="preserve"> </w:t>
      </w:r>
      <w:proofErr w:type="spellStart"/>
      <w:r w:rsidR="00F60AB4" w:rsidRPr="00D4409B">
        <w:rPr>
          <w:lang w:val="es-ES"/>
        </w:rPr>
        <w:t>Nanih</w:t>
      </w:r>
      <w:proofErr w:type="spellEnd"/>
      <w:r w:rsidR="00F60AB4" w:rsidRPr="00D4409B">
        <w:rPr>
          <w:lang w:val="es-ES"/>
        </w:rPr>
        <w:t xml:space="preserve"> </w:t>
      </w:r>
      <w:proofErr w:type="spellStart"/>
      <w:r w:rsidR="00F60AB4" w:rsidRPr="00D4409B">
        <w:rPr>
          <w:lang w:val="es-ES"/>
        </w:rPr>
        <w:t>Asla</w:t>
      </w:r>
      <w:proofErr w:type="spellEnd"/>
      <w:r w:rsidR="00F60AB4" w:rsidRPr="00D4409B">
        <w:rPr>
          <w:lang w:val="es-ES"/>
        </w:rPr>
        <w:t xml:space="preserve"> </w:t>
      </w:r>
      <w:proofErr w:type="spellStart"/>
      <w:r w:rsidR="00F60AB4" w:rsidRPr="00D4409B">
        <w:rPr>
          <w:lang w:val="es-ES"/>
        </w:rPr>
        <w:t>Takanka</w:t>
      </w:r>
      <w:proofErr w:type="spellEnd"/>
      <w:r w:rsidR="00F60AB4" w:rsidRPr="00D4409B">
        <w:rPr>
          <w:lang w:val="es-ES"/>
        </w:rPr>
        <w:t xml:space="preserve"> (</w:t>
      </w:r>
      <w:r w:rsidRPr="00BC464C">
        <w:rPr>
          <w:lang w:val="es-ES"/>
        </w:rPr>
        <w:t>YATAMA</w:t>
      </w:r>
      <w:r w:rsidR="00F60AB4">
        <w:rPr>
          <w:lang w:val="es-ES"/>
        </w:rPr>
        <w:t>)</w:t>
      </w:r>
      <w:r w:rsidRPr="00BC464C">
        <w:rPr>
          <w:lang w:val="es-ES"/>
        </w:rPr>
        <w:t xml:space="preserve"> que se manifestaban tras haber supuestamente </w:t>
      </w:r>
      <w:r>
        <w:rPr>
          <w:lang w:val="es-ES"/>
        </w:rPr>
        <w:t xml:space="preserve">ganado en </w:t>
      </w:r>
      <w:r w:rsidRPr="00BC464C">
        <w:rPr>
          <w:lang w:val="es-ES"/>
        </w:rPr>
        <w:t xml:space="preserve">el municipio de </w:t>
      </w:r>
      <w:proofErr w:type="spellStart"/>
      <w:r w:rsidRPr="00BC464C">
        <w:rPr>
          <w:lang w:val="es-ES"/>
        </w:rPr>
        <w:t>Waspam</w:t>
      </w:r>
      <w:proofErr w:type="spellEnd"/>
      <w:r w:rsidRPr="00BC464C">
        <w:rPr>
          <w:lang w:val="es-ES"/>
        </w:rPr>
        <w:t>, en la Costa Caribe Norte. Según informes, al menos 19 personas, en su mayoría jóvenes indígenas, fueron detenidas arbitrariamente durante varios días y recibieron malos tratos por haber ejercido su derecho de reunión pacífica.</w:t>
      </w:r>
    </w:p>
    <w:p w14:paraId="38A449DB" w14:textId="09AEA31F" w:rsidR="00ED1618" w:rsidRPr="00BC464C" w:rsidRDefault="00ED1618" w:rsidP="00ED1618">
      <w:pPr>
        <w:pStyle w:val="H1G"/>
        <w:spacing w:line="236" w:lineRule="atLeast"/>
        <w:rPr>
          <w:b w:val="0"/>
          <w:bCs w:val="0"/>
          <w:lang w:val="es-ES"/>
        </w:rPr>
      </w:pPr>
      <w:r w:rsidRPr="00BC464C">
        <w:rPr>
          <w:lang w:val="es-ES"/>
        </w:rPr>
        <w:tab/>
        <w:t>B.</w:t>
      </w:r>
      <w:r w:rsidRPr="00BC464C">
        <w:rPr>
          <w:lang w:val="es-ES"/>
        </w:rPr>
        <w:tab/>
      </w:r>
      <w:r w:rsidR="15DA7EA3" w:rsidRPr="00BC464C">
        <w:rPr>
          <w:lang w:val="es-ES"/>
        </w:rPr>
        <w:t>Cancelación</w:t>
      </w:r>
      <w:r w:rsidR="00E12E9F">
        <w:rPr>
          <w:lang w:val="es-ES"/>
        </w:rPr>
        <w:t xml:space="preserve"> </w:t>
      </w:r>
      <w:r w:rsidRPr="00BC464C">
        <w:rPr>
          <w:lang w:val="es-ES"/>
        </w:rPr>
        <w:t>de la personalidad jurídica de las organizaciones de la sociedad civil</w:t>
      </w:r>
    </w:p>
    <w:p w14:paraId="11B22456" w14:textId="26B95154"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Continúa en vigor la legislación que restringe indebidamente la libertad de asociación</w:t>
      </w:r>
      <w:r w:rsidRPr="005F21F4">
        <w:rPr>
          <w:rStyle w:val="FootnoteReference"/>
        </w:rPr>
        <w:footnoteReference w:id="11"/>
      </w:r>
      <w:r w:rsidRPr="00BC464C">
        <w:rPr>
          <w:lang w:val="es-ES"/>
        </w:rPr>
        <w:t xml:space="preserve">, como la Ley 1040 de Agentes Extranjeros y la Ley General 1115 de Regulación y Control de Organizaciones sin Fines de Lucro. Por ejemplo, entre otros aspectos, someten toda actividad de las organizaciones a la autorización previa del Gobierno. Se han aplicado en la </w:t>
      </w:r>
      <w:r w:rsidR="1E5EA831" w:rsidRPr="00BC464C">
        <w:rPr>
          <w:lang w:val="es-ES"/>
        </w:rPr>
        <w:t>cancelación</w:t>
      </w:r>
      <w:r w:rsidRPr="00BC464C">
        <w:rPr>
          <w:lang w:val="es-ES"/>
        </w:rPr>
        <w:t xml:space="preserve"> de la personalidad jurídica de las organizaciones.</w:t>
      </w:r>
      <w:r w:rsidRPr="005F21F4">
        <w:rPr>
          <w:rStyle w:val="FootnoteReference"/>
        </w:rPr>
        <w:footnoteReference w:id="12"/>
      </w:r>
    </w:p>
    <w:p w14:paraId="7A28BF8B" w14:textId="2B24C2A9"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Entre el 15 de agosto de 2022 y el 15 de junio de 2023, la Asamblea Nacional y el Ministerio del Interior las utilizaron para </w:t>
      </w:r>
      <w:r w:rsidR="7B85C9C9" w:rsidRPr="00BC464C">
        <w:rPr>
          <w:lang w:val="es-ES"/>
        </w:rPr>
        <w:t>cancelar</w:t>
      </w:r>
      <w:r w:rsidRPr="00BC464C">
        <w:rPr>
          <w:lang w:val="es-ES"/>
        </w:rPr>
        <w:t xml:space="preserve"> la personalidad jurídica de </w:t>
      </w:r>
      <w:r w:rsidRPr="00BC464C">
        <w:rPr>
          <w:rStyle w:val="ui-provider"/>
          <w:lang w:val="es-ES"/>
        </w:rPr>
        <w:t xml:space="preserve">1.988 </w:t>
      </w:r>
      <w:r w:rsidRPr="00BC464C">
        <w:rPr>
          <w:lang w:val="es-ES"/>
        </w:rPr>
        <w:t>organizaciones, incluidas 298 organizaciones extranjeras registradas en el país, en su mayoría asociaciones sin ánimo de lucro y universidades privadas, sumando un total de 3.338 desde 2018, a un ritmo sin precedentes.</w:t>
      </w:r>
      <w:r w:rsidRPr="005F21F4">
        <w:rPr>
          <w:rStyle w:val="FootnoteReference"/>
        </w:rPr>
        <w:footnoteReference w:id="13"/>
      </w:r>
      <w:r w:rsidRPr="00BC464C">
        <w:rPr>
          <w:lang w:val="es-ES"/>
        </w:rPr>
        <w:t xml:space="preserve"> El Comité de Derechos Humanos </w:t>
      </w:r>
      <w:r w:rsidR="003E07C9">
        <w:rPr>
          <w:lang w:val="es-ES"/>
        </w:rPr>
        <w:t>ha expresado</w:t>
      </w:r>
      <w:r w:rsidR="003E07C9" w:rsidRPr="00BC464C">
        <w:rPr>
          <w:lang w:val="es-ES"/>
        </w:rPr>
        <w:t xml:space="preserve"> </w:t>
      </w:r>
      <w:r w:rsidRPr="00BC464C">
        <w:rPr>
          <w:lang w:val="es-ES"/>
        </w:rPr>
        <w:t xml:space="preserve">su preocupación por estas </w:t>
      </w:r>
      <w:r w:rsidR="6606A760" w:rsidRPr="00BC464C">
        <w:rPr>
          <w:lang w:val="es-ES"/>
        </w:rPr>
        <w:t>cancelaciones</w:t>
      </w:r>
      <w:r w:rsidRPr="00BC464C">
        <w:rPr>
          <w:lang w:val="es-ES"/>
        </w:rPr>
        <w:t xml:space="preserve"> y las restricciones indebidas impuestas a estas organizaciones.</w:t>
      </w:r>
      <w:r w:rsidRPr="005F21F4">
        <w:rPr>
          <w:rStyle w:val="FootnoteReference"/>
        </w:rPr>
        <w:footnoteReference w:id="14"/>
      </w:r>
    </w:p>
    <w:p w14:paraId="08494291" w14:textId="02EC3068" w:rsidR="00ED1618" w:rsidRPr="00AC796B"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AC796B">
        <w:rPr>
          <w:lang w:val="es-ES"/>
        </w:rPr>
        <w:t xml:space="preserve">Estas </w:t>
      </w:r>
      <w:r w:rsidR="720176BB" w:rsidRPr="765EBCB1">
        <w:rPr>
          <w:lang w:val="es-ES"/>
        </w:rPr>
        <w:t xml:space="preserve">cancelaciones </w:t>
      </w:r>
      <w:r w:rsidRPr="00AC796B">
        <w:rPr>
          <w:lang w:val="es-ES"/>
        </w:rPr>
        <w:t>han llevado a las organizaciones a interrumpir sus distintos tipos de asistencia, lo que ha repercutido negativamente en el disfrute de varios derechos humanos de las personas beneficiarias. Organizaciones médicas que prestaban servicios de salud no disponibles en el sistema público han tenido que cerrar; asociaciones empresariales han perdido la capacidad de representar sus intereses; y las mujeres, los pueblos indígenas y afrodescendientes han perdido organizaciones que trabajaban por sus derechos. Un estudio evaluó el impacto del cierre de una muestra de 53 de las 3.338 asociaciones cerradas, concluyendo que</w:t>
      </w:r>
      <w:r w:rsidR="003E07C9">
        <w:rPr>
          <w:lang w:val="es-ES"/>
        </w:rPr>
        <w:t>,</w:t>
      </w:r>
      <w:r w:rsidRPr="00AC796B">
        <w:rPr>
          <w:lang w:val="es-ES"/>
        </w:rPr>
        <w:t xml:space="preserve"> con el cierre de estas 53 organizaciones, Nicaragua </w:t>
      </w:r>
      <w:r w:rsidR="003E07C9">
        <w:rPr>
          <w:lang w:val="es-ES"/>
        </w:rPr>
        <w:t>había perdido</w:t>
      </w:r>
      <w:r w:rsidR="003E07C9" w:rsidRPr="00AC796B">
        <w:rPr>
          <w:lang w:val="es-ES"/>
        </w:rPr>
        <w:t xml:space="preserve"> </w:t>
      </w:r>
      <w:r w:rsidRPr="00AC796B">
        <w:rPr>
          <w:lang w:val="es-ES"/>
        </w:rPr>
        <w:t>una inversión de 41 millones de USD, 2.000 puestos de trabajo y servicios para más de un millón de personas beneficiarias.</w:t>
      </w:r>
      <w:r w:rsidRPr="005F21F4">
        <w:rPr>
          <w:rStyle w:val="FootnoteReference"/>
        </w:rPr>
        <w:footnoteReference w:id="15"/>
      </w:r>
    </w:p>
    <w:p w14:paraId="7D8B6CF2" w14:textId="77777777" w:rsidR="00ED1618" w:rsidRPr="00BC464C" w:rsidRDefault="00ED1618" w:rsidP="00ED1618">
      <w:pPr>
        <w:pStyle w:val="H1G"/>
        <w:spacing w:line="236" w:lineRule="atLeast"/>
        <w:rPr>
          <w:lang w:val="es-ES"/>
        </w:rPr>
      </w:pPr>
      <w:r w:rsidRPr="00BC464C">
        <w:rPr>
          <w:lang w:val="es-ES"/>
        </w:rPr>
        <w:tab/>
        <w:t>C.</w:t>
      </w:r>
      <w:r w:rsidRPr="00BC464C">
        <w:rPr>
          <w:lang w:val="es-ES"/>
        </w:rPr>
        <w:tab/>
        <w:t>Derecho a la libertad de religión</w:t>
      </w:r>
    </w:p>
    <w:p w14:paraId="68DF6990" w14:textId="3C2B4F96"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sidDel="1A119327">
        <w:rPr>
          <w:lang w:val="es-ES"/>
        </w:rPr>
        <w:t xml:space="preserve">Aunque la </w:t>
      </w:r>
      <w:r w:rsidRPr="00BC464C">
        <w:rPr>
          <w:lang w:val="es-ES"/>
        </w:rPr>
        <w:t xml:space="preserve">Iglesia católica y sus miembros han </w:t>
      </w:r>
      <w:r w:rsidR="003E07C9">
        <w:rPr>
          <w:lang w:val="es-ES"/>
        </w:rPr>
        <w:t>sido objeto de</w:t>
      </w:r>
      <w:r w:rsidR="003E07C9" w:rsidRPr="00BC464C" w:rsidDel="1A119327">
        <w:rPr>
          <w:lang w:val="es-ES"/>
        </w:rPr>
        <w:t xml:space="preserve"> </w:t>
      </w:r>
      <w:r w:rsidRPr="00BC464C">
        <w:rPr>
          <w:lang w:val="es-ES"/>
        </w:rPr>
        <w:t xml:space="preserve">ataques desde que comenzó la crisis de 2018, en el periodo del informe se produjo una fuerte escalada en </w:t>
      </w:r>
      <w:r w:rsidRPr="00BC464C" w:rsidDel="1A119327">
        <w:rPr>
          <w:lang w:val="es-ES"/>
        </w:rPr>
        <w:t xml:space="preserve">su </w:t>
      </w:r>
      <w:r w:rsidRPr="00BC464C">
        <w:rPr>
          <w:lang w:val="es-ES"/>
        </w:rPr>
        <w:t xml:space="preserve">frecuencia y gravedad. Varias señales precedieron a los ataques, empezando por la expulsión del Nuncio Apostólico en marzo de 2022. El 27 de abril de 2022, la Comisión de Justicia y Asuntos Jurídicos de la Asamblea Nacional emitió un informe en el que supuestas víctimas de los sucesos de 2018 pedían penas "más severas" para los clérigos por su presunta participación en el "golpe". Las máximas autoridades del Gobierno realizaron declaraciones contra miembros de la Iglesia católica. Dichas declaraciones, junto con otras medidas y acciones en su contra mencionadas en </w:t>
      </w:r>
      <w:r w:rsidR="0067267C">
        <w:rPr>
          <w:lang w:val="es-ES"/>
        </w:rPr>
        <w:t>é</w:t>
      </w:r>
      <w:r w:rsidRPr="00BC464C">
        <w:rPr>
          <w:lang w:val="es-ES"/>
        </w:rPr>
        <w:t xml:space="preserve">ste y anteriores informes, tomadas de manera acumulativa, pueden conducir a una situación de hostilidad y violencia contra los miembros de </w:t>
      </w:r>
      <w:r w:rsidR="003E07C9">
        <w:rPr>
          <w:lang w:val="es-ES"/>
        </w:rPr>
        <w:t>la</w:t>
      </w:r>
      <w:r w:rsidR="003E07C9" w:rsidRPr="00BC464C">
        <w:rPr>
          <w:lang w:val="es-ES"/>
        </w:rPr>
        <w:t xml:space="preserve"> </w:t>
      </w:r>
      <w:r w:rsidRPr="00BC464C">
        <w:rPr>
          <w:lang w:val="es-ES"/>
        </w:rPr>
        <w:t>Iglesia.</w:t>
      </w:r>
    </w:p>
    <w:p w14:paraId="5DE197A5" w14:textId="7E26EAE1" w:rsidR="00ED1618" w:rsidRPr="00BC464C" w:rsidRDefault="00ED1618" w:rsidP="005E5C62">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color w:val="000000" w:themeColor="text1"/>
          <w:lang w:val="es-ES"/>
        </w:rPr>
      </w:pPr>
      <w:r w:rsidRPr="00BC464C">
        <w:rPr>
          <w:lang w:val="es-ES"/>
        </w:rPr>
        <w:t>En agosto de 2022, el Instituto Nicaragüense de Telecomunicaciones y Correos cerró 12 medios de comunicación asociados a la Iglesia católica, a pesar de que, según informes, habían presentado toda la documentación legal requerida. El 1 de agosto</w:t>
      </w:r>
      <w:r w:rsidR="003E07C9">
        <w:rPr>
          <w:lang w:val="es-ES"/>
        </w:rPr>
        <w:t xml:space="preserve"> de 2022</w:t>
      </w:r>
      <w:r w:rsidRPr="00BC464C">
        <w:rPr>
          <w:lang w:val="es-ES"/>
        </w:rPr>
        <w:t>, la policía allanó la parroquia de Jesús de la Divina Misericordia, en Sébaco, Matagalpa, al parecer para incautar los equipos de su emisora de radio. Cuando los</w:t>
      </w:r>
      <w:r>
        <w:rPr>
          <w:lang w:val="es-ES"/>
        </w:rPr>
        <w:t xml:space="preserve"> y las</w:t>
      </w:r>
      <w:r w:rsidRPr="00BC464C">
        <w:rPr>
          <w:lang w:val="es-ES"/>
        </w:rPr>
        <w:t xml:space="preserve"> feligreses respondieron a la llamada de auxilio del párroco a través de las redes sociales, la policía empleó la fuerza, incluid</w:t>
      </w:r>
      <w:r w:rsidR="00F60AB4">
        <w:rPr>
          <w:lang w:val="es-ES"/>
        </w:rPr>
        <w:t>o</w:t>
      </w:r>
      <w:r w:rsidRPr="00BC464C">
        <w:rPr>
          <w:lang w:val="es-ES"/>
        </w:rPr>
        <w:t xml:space="preserve"> </w:t>
      </w:r>
      <w:r w:rsidR="00F60AB4">
        <w:rPr>
          <w:lang w:val="es-ES"/>
        </w:rPr>
        <w:t>gas</w:t>
      </w:r>
      <w:r w:rsidR="00F60AB4" w:rsidRPr="00BC464C">
        <w:rPr>
          <w:lang w:val="es-ES"/>
        </w:rPr>
        <w:t xml:space="preserve"> </w:t>
      </w:r>
      <w:r w:rsidRPr="00BC464C">
        <w:rPr>
          <w:lang w:val="es-ES"/>
        </w:rPr>
        <w:t>lacrimógen</w:t>
      </w:r>
      <w:r w:rsidR="00F60AB4">
        <w:rPr>
          <w:lang w:val="es-ES"/>
        </w:rPr>
        <w:t>o</w:t>
      </w:r>
      <w:r w:rsidRPr="00BC464C">
        <w:rPr>
          <w:lang w:val="es-ES"/>
        </w:rPr>
        <w:t xml:space="preserve">, contra ellos, hiriendo gravemente a una persona, que perdió la vista </w:t>
      </w:r>
      <w:r w:rsidR="3472F066" w:rsidRPr="53BAB89B">
        <w:rPr>
          <w:lang w:val="es-ES"/>
        </w:rPr>
        <w:t>de</w:t>
      </w:r>
      <w:r w:rsidRPr="00BC464C">
        <w:rPr>
          <w:lang w:val="es-ES"/>
        </w:rPr>
        <w:t xml:space="preserve"> un ojo. Siete personas que se encontraban en el interior de la casa parroquial permanecieron cautivas sin comida ni electricidad durante tres días.</w:t>
      </w:r>
    </w:p>
    <w:p w14:paraId="32838915" w14:textId="5BF0AF4C"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El 19 de agosto</w:t>
      </w:r>
      <w:r w:rsidR="003E07C9">
        <w:rPr>
          <w:lang w:val="es-ES"/>
        </w:rPr>
        <w:t xml:space="preserve"> de 2022</w:t>
      </w:r>
      <w:r w:rsidRPr="00BC464C">
        <w:rPr>
          <w:lang w:val="es-ES"/>
        </w:rPr>
        <w:t>, la policía allanó el edificio de la diócesis de Matagalpa donde nueve miembros de la Iglesia habían permanecido arbitrariamente en arresto domiciliario, y los detuvo sin orden judicial, trasladándolos a Managua. En juicios celebrados en enero de 2023</w:t>
      </w:r>
      <w:r w:rsidR="003E07C9">
        <w:rPr>
          <w:lang w:val="es-ES"/>
        </w:rPr>
        <w:t xml:space="preserve"> que violaron las normas de un juicio justo</w:t>
      </w:r>
      <w:r w:rsidRPr="00BC464C">
        <w:rPr>
          <w:lang w:val="es-ES"/>
        </w:rPr>
        <w:t xml:space="preserve">, ocho de ellos (cinco sacerdotes, dos seminaristas y un videógrafo) fueron condenados a </w:t>
      </w:r>
      <w:r w:rsidR="00F03565">
        <w:rPr>
          <w:lang w:val="es-ES"/>
        </w:rPr>
        <w:t>10</w:t>
      </w:r>
      <w:r w:rsidR="00F03565" w:rsidRPr="00BC464C">
        <w:rPr>
          <w:lang w:val="es-ES"/>
        </w:rPr>
        <w:t xml:space="preserve"> </w:t>
      </w:r>
      <w:r w:rsidRPr="00BC464C">
        <w:rPr>
          <w:lang w:val="es-ES"/>
        </w:rPr>
        <w:t>años de prisión por los delitos de atentado contra la integridad nacional y propagación de noticias falsas. El 9 de febrero</w:t>
      </w:r>
      <w:r w:rsidR="003E07C9">
        <w:rPr>
          <w:lang w:val="es-ES"/>
        </w:rPr>
        <w:t xml:space="preserve"> de 2023</w:t>
      </w:r>
      <w:r w:rsidRPr="00BC464C">
        <w:rPr>
          <w:lang w:val="es-ES"/>
        </w:rPr>
        <w:t xml:space="preserve">, los ocho formaron parte de un grupo de 222 personas expulsadas a </w:t>
      </w:r>
      <w:r w:rsidR="00F03565">
        <w:rPr>
          <w:lang w:val="es-ES"/>
        </w:rPr>
        <w:t xml:space="preserve">los </w:t>
      </w:r>
      <w:r w:rsidRPr="00BC464C">
        <w:rPr>
          <w:lang w:val="es-ES"/>
        </w:rPr>
        <w:t>Estados Unidos</w:t>
      </w:r>
      <w:r w:rsidR="00F03565">
        <w:rPr>
          <w:lang w:val="es-ES"/>
        </w:rPr>
        <w:t xml:space="preserve"> de América</w:t>
      </w:r>
      <w:r w:rsidRPr="00BC464C">
        <w:rPr>
          <w:lang w:val="es-ES"/>
        </w:rPr>
        <w:t xml:space="preserve"> (véase </w:t>
      </w:r>
      <w:r w:rsidR="00F03565">
        <w:rPr>
          <w:lang w:val="es-ES"/>
        </w:rPr>
        <w:t xml:space="preserve">sección </w:t>
      </w:r>
      <w:r w:rsidRPr="00BC464C">
        <w:rPr>
          <w:lang w:val="es-ES"/>
        </w:rPr>
        <w:t>III.C).</w:t>
      </w:r>
    </w:p>
    <w:p w14:paraId="7B2EB2EE" w14:textId="7E023030"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El día de la expulsión, una de las nueve personas detenidas el 19 de agosto</w:t>
      </w:r>
      <w:r w:rsidR="003E07C9">
        <w:rPr>
          <w:lang w:val="es-ES"/>
        </w:rPr>
        <w:t xml:space="preserve"> de 2022</w:t>
      </w:r>
      <w:r w:rsidRPr="00BC464C">
        <w:rPr>
          <w:lang w:val="es-ES"/>
        </w:rPr>
        <w:t>, el obispo Álvarez</w:t>
      </w:r>
      <w:r>
        <w:rPr>
          <w:lang w:val="es-ES"/>
        </w:rPr>
        <w:t>,</w:t>
      </w:r>
      <w:r w:rsidRPr="00BC464C">
        <w:rPr>
          <w:lang w:val="es-ES"/>
        </w:rPr>
        <w:t xml:space="preserve"> se negó a subir al avión. El 10 de febrero</w:t>
      </w:r>
      <w:r w:rsidR="00F03565">
        <w:rPr>
          <w:lang w:val="es-ES"/>
        </w:rPr>
        <w:t xml:space="preserve"> de 2023</w:t>
      </w:r>
      <w:r w:rsidRPr="00BC464C">
        <w:rPr>
          <w:lang w:val="es-ES"/>
        </w:rPr>
        <w:t xml:space="preserve"> fue condenado sin juicio previo a 26 años de prisión, inhabilitación para ejercer cargos públicos y pérdida de los derechos de ciudadanía de por vida, incluida la nacionalidad nicaragüense (</w:t>
      </w:r>
      <w:r>
        <w:rPr>
          <w:lang w:val="es-ES"/>
        </w:rPr>
        <w:t>las dos</w:t>
      </w:r>
      <w:r w:rsidRPr="00BC464C">
        <w:rPr>
          <w:lang w:val="es-ES"/>
        </w:rPr>
        <w:t xml:space="preserve"> últimas, penas no previstas en la legislación nicaragüense), por los delitos de atentado contra la integridad nacional, difusión de noticias falsas y obstrucción de funciones agravada, desobediencia y desacato a la autoridad (</w:t>
      </w:r>
      <w:r>
        <w:rPr>
          <w:lang w:val="es-ES"/>
        </w:rPr>
        <w:t>los dos</w:t>
      </w:r>
      <w:r w:rsidRPr="00BC464C">
        <w:rPr>
          <w:lang w:val="es-ES"/>
        </w:rPr>
        <w:t xml:space="preserve"> últimos, presumiblemente, por su negativa a ser expulsado). El obispo Álvarez también fue calificado en la sentencia de "traidor a la patria". </w:t>
      </w:r>
      <w:r>
        <w:rPr>
          <w:lang w:val="es-ES"/>
        </w:rPr>
        <w:t>A fecha de</w:t>
      </w:r>
      <w:r w:rsidRPr="00BC464C">
        <w:rPr>
          <w:lang w:val="es-ES"/>
        </w:rPr>
        <w:t>l 15 de junio de 2023, permanece incomunicado y en condiciones carcelarias inhumanas.</w:t>
      </w:r>
    </w:p>
    <w:p w14:paraId="49935F87" w14:textId="3B81EFB2"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En abril de 2023, agentes de policía informaron</w:t>
      </w:r>
      <w:r w:rsidR="00D96E0F">
        <w:rPr>
          <w:lang w:val="es-ES"/>
        </w:rPr>
        <w:t>,</w:t>
      </w:r>
      <w:r w:rsidRPr="00BC464C">
        <w:rPr>
          <w:lang w:val="es-ES"/>
        </w:rPr>
        <w:t xml:space="preserve"> a al menos cinco parroquias católicas de todo el </w:t>
      </w:r>
      <w:proofErr w:type="gramStart"/>
      <w:r w:rsidRPr="00BC464C">
        <w:rPr>
          <w:lang w:val="es-ES"/>
        </w:rPr>
        <w:t>país</w:t>
      </w:r>
      <w:r w:rsidR="00D96E0F">
        <w:rPr>
          <w:lang w:val="es-ES"/>
        </w:rPr>
        <w:t>,</w:t>
      </w:r>
      <w:r w:rsidRPr="00BC464C">
        <w:rPr>
          <w:lang w:val="es-ES"/>
        </w:rPr>
        <w:t xml:space="preserve">  que</w:t>
      </w:r>
      <w:proofErr w:type="gramEnd"/>
      <w:r w:rsidRPr="00BC464C">
        <w:rPr>
          <w:lang w:val="es-ES"/>
        </w:rPr>
        <w:t xml:space="preserve"> las procesiones conmemorativas de la Semana Santa estaban prohibidas por motivos de seguridad.</w:t>
      </w:r>
    </w:p>
    <w:p w14:paraId="35C49CAE" w14:textId="02D54786"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El 3 de abril</w:t>
      </w:r>
      <w:r w:rsidR="00F03565">
        <w:rPr>
          <w:lang w:val="es-ES"/>
        </w:rPr>
        <w:t xml:space="preserve"> de 2023</w:t>
      </w:r>
      <w:r w:rsidRPr="00BC464C">
        <w:rPr>
          <w:lang w:val="es-ES"/>
        </w:rPr>
        <w:t xml:space="preserve">, un sacerdote panameño fue </w:t>
      </w:r>
      <w:r>
        <w:rPr>
          <w:lang w:val="es-ES"/>
        </w:rPr>
        <w:t>deportado</w:t>
      </w:r>
      <w:r w:rsidRPr="00BC464C">
        <w:rPr>
          <w:lang w:val="es-ES"/>
        </w:rPr>
        <w:t xml:space="preserve"> de Nicaragua en ausencia del debido proceso, al parecer por predicar a favor del obispo Álvarez durante sus homilías. A finales de mayo también fueron expulsadas tres monjas. La expulsión de miembros de la Iglesia percibidos como críticos con el Gobierno, así como la negativa a dejarles entrar en Nicaragua, se han convertido en una </w:t>
      </w:r>
      <w:r w:rsidR="00E20015">
        <w:rPr>
          <w:lang w:val="es-ES"/>
        </w:rPr>
        <w:t>práctica</w:t>
      </w:r>
      <w:r w:rsidR="00E20015" w:rsidRPr="00BC464C">
        <w:rPr>
          <w:lang w:val="es-ES"/>
        </w:rPr>
        <w:t xml:space="preserve"> </w:t>
      </w:r>
      <w:r w:rsidRPr="00BC464C">
        <w:rPr>
          <w:lang w:val="es-ES"/>
        </w:rPr>
        <w:t>habitual, con un total de 42</w:t>
      </w:r>
      <w:r>
        <w:rPr>
          <w:lang w:val="es-ES"/>
        </w:rPr>
        <w:t xml:space="preserve"> casos</w:t>
      </w:r>
      <w:r w:rsidRPr="00BC464C">
        <w:rPr>
          <w:lang w:val="es-ES"/>
        </w:rPr>
        <w:t xml:space="preserve"> desde agosto de 2022, según ha informado la Iglesia Católica.</w:t>
      </w:r>
    </w:p>
    <w:p w14:paraId="52BB827F" w14:textId="16BD08EB" w:rsidR="00ED1618" w:rsidRPr="00546287"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546287">
        <w:rPr>
          <w:lang w:val="es-ES"/>
        </w:rPr>
        <w:t xml:space="preserve">Entre el 21 y el 23 de mayo de 2023, cuatro sacerdotes y </w:t>
      </w:r>
      <w:r w:rsidR="00E20015">
        <w:rPr>
          <w:lang w:val="es-ES"/>
        </w:rPr>
        <w:t>ocho personas</w:t>
      </w:r>
      <w:r w:rsidR="00E20015" w:rsidRPr="00546287">
        <w:rPr>
          <w:lang w:val="es-ES"/>
        </w:rPr>
        <w:t xml:space="preserve"> </w:t>
      </w:r>
      <w:r w:rsidRPr="00546287">
        <w:rPr>
          <w:lang w:val="es-ES"/>
        </w:rPr>
        <w:t>emplead</w:t>
      </w:r>
      <w:r w:rsidR="00E20015">
        <w:rPr>
          <w:lang w:val="es-ES"/>
        </w:rPr>
        <w:t>a</w:t>
      </w:r>
      <w:r w:rsidRPr="00546287">
        <w:rPr>
          <w:lang w:val="es-ES"/>
        </w:rPr>
        <w:t xml:space="preserve">s de la Iglesia fueron detenidos arbitrariamente. </w:t>
      </w:r>
      <w:r w:rsidR="00F03565">
        <w:rPr>
          <w:lang w:val="es-ES"/>
        </w:rPr>
        <w:t>Dos</w:t>
      </w:r>
      <w:r w:rsidR="00F03565" w:rsidRPr="00546287">
        <w:rPr>
          <w:lang w:val="es-ES"/>
        </w:rPr>
        <w:t xml:space="preserve"> </w:t>
      </w:r>
      <w:r w:rsidRPr="00546287">
        <w:rPr>
          <w:lang w:val="es-ES"/>
        </w:rPr>
        <w:t>de ellos permanecen bajo arresto domiciliario</w:t>
      </w:r>
      <w:r w:rsidR="00F03565">
        <w:rPr>
          <w:lang w:val="es-ES"/>
        </w:rPr>
        <w:t xml:space="preserve"> en su seminario</w:t>
      </w:r>
      <w:r w:rsidRPr="00546287">
        <w:rPr>
          <w:lang w:val="es-ES"/>
        </w:rPr>
        <w:t xml:space="preserve"> y uno está </w:t>
      </w:r>
      <w:r w:rsidRPr="00546287" w:rsidDel="005C6DCD">
        <w:rPr>
          <w:lang w:val="es-ES"/>
        </w:rPr>
        <w:t>bajo custodia</w:t>
      </w:r>
      <w:r w:rsidRPr="00546287">
        <w:rPr>
          <w:lang w:val="es-ES"/>
        </w:rPr>
        <w:t xml:space="preserve">. </w:t>
      </w:r>
      <w:r w:rsidR="00F03565" w:rsidRPr="00F03565">
        <w:rPr>
          <w:lang w:val="es-ES"/>
        </w:rPr>
        <w:t>L</w:t>
      </w:r>
      <w:r w:rsidR="00F03565">
        <w:rPr>
          <w:lang w:val="es-ES"/>
        </w:rPr>
        <w:t>a</w:t>
      </w:r>
      <w:r w:rsidR="00F03565" w:rsidRPr="00F03565">
        <w:rPr>
          <w:lang w:val="es-ES"/>
        </w:rPr>
        <w:t xml:space="preserve">s ocho </w:t>
      </w:r>
      <w:r w:rsidR="00F03565">
        <w:rPr>
          <w:lang w:val="es-ES"/>
        </w:rPr>
        <w:t>personas empleadas</w:t>
      </w:r>
      <w:r w:rsidR="00F03565" w:rsidRPr="00F03565">
        <w:rPr>
          <w:lang w:val="es-ES"/>
        </w:rPr>
        <w:t xml:space="preserve"> de la </w:t>
      </w:r>
      <w:r w:rsidR="00F03565">
        <w:rPr>
          <w:lang w:val="es-ES"/>
        </w:rPr>
        <w:t>I</w:t>
      </w:r>
      <w:r w:rsidR="00F03565" w:rsidRPr="00F03565">
        <w:rPr>
          <w:lang w:val="es-ES"/>
        </w:rPr>
        <w:t>glesia siguen detenid</w:t>
      </w:r>
      <w:r w:rsidR="00F03565">
        <w:rPr>
          <w:lang w:val="es-ES"/>
        </w:rPr>
        <w:t>a</w:t>
      </w:r>
      <w:r w:rsidR="00F03565" w:rsidRPr="00F03565">
        <w:rPr>
          <w:lang w:val="es-ES"/>
        </w:rPr>
        <w:t>s.</w:t>
      </w:r>
      <w:r w:rsidR="00F03565">
        <w:rPr>
          <w:lang w:val="es-ES"/>
        </w:rPr>
        <w:t xml:space="preserve"> </w:t>
      </w:r>
      <w:r w:rsidRPr="00546287">
        <w:rPr>
          <w:lang w:val="es-ES"/>
        </w:rPr>
        <w:t xml:space="preserve">El 27 de mayo, la Policía Nacional emitió un comunicado oficial en el que </w:t>
      </w:r>
      <w:r w:rsidR="00F03565">
        <w:rPr>
          <w:lang w:val="es-ES"/>
        </w:rPr>
        <w:t>afirmaba</w:t>
      </w:r>
      <w:r w:rsidR="00F03565" w:rsidRPr="00546287">
        <w:rPr>
          <w:lang w:val="es-ES"/>
        </w:rPr>
        <w:t xml:space="preserve"> </w:t>
      </w:r>
      <w:r w:rsidRPr="00546287">
        <w:rPr>
          <w:lang w:val="es-ES"/>
        </w:rPr>
        <w:t xml:space="preserve">que se estaba investigando a la Iglesia Católica por blanqueo de </w:t>
      </w:r>
      <w:proofErr w:type="gramStart"/>
      <w:r w:rsidRPr="00546287">
        <w:rPr>
          <w:lang w:val="es-ES"/>
        </w:rPr>
        <w:t>capitales ,</w:t>
      </w:r>
      <w:proofErr w:type="gramEnd"/>
      <w:r w:rsidRPr="00546287">
        <w:rPr>
          <w:lang w:val="es-ES"/>
        </w:rPr>
        <w:t xml:space="preserve"> lo que llevó a congelar las cuentas bancarias de tres de sus nueve diócesis.</w:t>
      </w:r>
      <w:r w:rsidR="00F03565" w:rsidRPr="005F21F4">
        <w:rPr>
          <w:rStyle w:val="FootnoteReference"/>
        </w:rPr>
        <w:footnoteReference w:id="16"/>
      </w:r>
    </w:p>
    <w:p w14:paraId="7E8A2051" w14:textId="04937032" w:rsidR="00ED1618" w:rsidRPr="00BC464C" w:rsidRDefault="00ED1618" w:rsidP="00ED1618">
      <w:pPr>
        <w:pStyle w:val="HChG"/>
        <w:spacing w:line="236" w:lineRule="atLeast"/>
        <w:rPr>
          <w:b w:val="0"/>
          <w:lang w:val="es-ES"/>
        </w:rPr>
      </w:pPr>
      <w:r w:rsidRPr="00BC464C">
        <w:rPr>
          <w:lang w:val="es-ES"/>
        </w:rPr>
        <w:tab/>
        <w:t>III.</w:t>
      </w:r>
      <w:r w:rsidRPr="00BC464C">
        <w:rPr>
          <w:lang w:val="es-ES"/>
        </w:rPr>
        <w:tab/>
        <w:t>Derechos a la libertad, al debido proceso, a la nacionalidad, a la personalidad jurídica y a la libertad de circulación</w:t>
      </w:r>
    </w:p>
    <w:p w14:paraId="1406CFFF" w14:textId="0C5ED547" w:rsidR="00ED1618" w:rsidRPr="00D6015F" w:rsidRDefault="00ED1618" w:rsidP="00781EFC">
      <w:pPr>
        <w:pStyle w:val="H1G"/>
        <w:spacing w:line="236" w:lineRule="atLeast"/>
        <w:rPr>
          <w:lang w:val="es-ES"/>
        </w:rPr>
      </w:pPr>
      <w:r w:rsidRPr="00BC464C">
        <w:rPr>
          <w:lang w:val="es-ES"/>
        </w:rPr>
        <w:t xml:space="preserve"> </w:t>
      </w:r>
      <w:r w:rsidR="00781EFC">
        <w:rPr>
          <w:lang w:val="es-ES"/>
        </w:rPr>
        <w:tab/>
        <w:t>A.</w:t>
      </w:r>
      <w:r w:rsidR="00781EFC">
        <w:rPr>
          <w:lang w:val="es-ES"/>
        </w:rPr>
        <w:tab/>
      </w:r>
      <w:r w:rsidRPr="00D6015F">
        <w:rPr>
          <w:lang w:val="es-ES"/>
        </w:rPr>
        <w:t xml:space="preserve">Derecho a la </w:t>
      </w:r>
      <w:r>
        <w:rPr>
          <w:lang w:val="es-ES"/>
        </w:rPr>
        <w:t>l</w:t>
      </w:r>
      <w:r w:rsidRPr="00D6015F">
        <w:rPr>
          <w:lang w:val="es-ES"/>
        </w:rPr>
        <w:t>ibertad persona</w:t>
      </w:r>
      <w:r>
        <w:rPr>
          <w:lang w:val="es-ES"/>
        </w:rPr>
        <w:t>l</w:t>
      </w:r>
    </w:p>
    <w:p w14:paraId="646613D2" w14:textId="33F3A0F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La práctica de la detención arbitraria </w:t>
      </w:r>
      <w:r w:rsidR="00F03565">
        <w:rPr>
          <w:lang w:val="es-ES"/>
        </w:rPr>
        <w:t>de</w:t>
      </w:r>
      <w:r w:rsidR="00F03565" w:rsidRPr="00BC464C">
        <w:rPr>
          <w:lang w:val="es-ES"/>
        </w:rPr>
        <w:t xml:space="preserve"> </w:t>
      </w:r>
      <w:r w:rsidRPr="00BC464C">
        <w:rPr>
          <w:lang w:val="es-ES"/>
        </w:rPr>
        <w:t xml:space="preserve">personas percibidas como opositoras al Gobierno, una tendencia observada desde el inicio de la crisis de derechos humanos en 2018, continuó en el período que abarca el informe. </w:t>
      </w:r>
      <w:bookmarkStart w:id="2" w:name="_Hlk138668514"/>
      <w:r w:rsidRPr="00BC464C">
        <w:rPr>
          <w:lang w:val="es-ES"/>
        </w:rPr>
        <w:t xml:space="preserve">El número total de personas </w:t>
      </w:r>
      <w:r>
        <w:rPr>
          <w:lang w:val="es-ES"/>
        </w:rPr>
        <w:t>privadas arbitrariamente de la libertad</w:t>
      </w:r>
      <w:r w:rsidRPr="00BC464C">
        <w:rPr>
          <w:lang w:val="es-ES"/>
        </w:rPr>
        <w:t xml:space="preserve"> en relación con la crisis de derechos humanos, según informes de la sociedad civil, alcanzó un máximo de 235 antes de la liberación y expulsión de 222 personas a Estados Unidos el 9 de febrero de 2023</w:t>
      </w:r>
      <w:bookmarkEnd w:id="2"/>
      <w:r w:rsidRPr="00BC464C">
        <w:rPr>
          <w:lang w:val="es-ES"/>
        </w:rPr>
        <w:t>. A 15 de junio</w:t>
      </w:r>
      <w:r w:rsidR="00F03565">
        <w:rPr>
          <w:lang w:val="es-ES"/>
        </w:rPr>
        <w:t xml:space="preserve"> de 2023</w:t>
      </w:r>
      <w:r w:rsidRPr="00BC464C">
        <w:rPr>
          <w:lang w:val="es-ES"/>
        </w:rPr>
        <w:t>,</w:t>
      </w:r>
      <w:r w:rsidR="00F03565">
        <w:rPr>
          <w:lang w:val="es-ES"/>
        </w:rPr>
        <w:t xml:space="preserve"> el número de personas detenidas</w:t>
      </w:r>
      <w:r w:rsidRPr="00BC464C">
        <w:rPr>
          <w:lang w:val="es-ES"/>
        </w:rPr>
        <w:t xml:space="preserve"> se mantiene en 54 (44 hombres y 10 mujeres). Entre </w:t>
      </w:r>
      <w:r>
        <w:rPr>
          <w:lang w:val="es-ES"/>
        </w:rPr>
        <w:t>las personas detenidas</w:t>
      </w:r>
      <w:r w:rsidRPr="00BC464C">
        <w:rPr>
          <w:lang w:val="es-ES"/>
        </w:rPr>
        <w:t xml:space="preserve"> actual</w:t>
      </w:r>
      <w:r>
        <w:rPr>
          <w:lang w:val="es-ES"/>
        </w:rPr>
        <w:t>mente</w:t>
      </w:r>
      <w:r w:rsidRPr="00BC464C">
        <w:rPr>
          <w:lang w:val="es-ES"/>
        </w:rPr>
        <w:t xml:space="preserve"> hay sacerdotes, periodistas, </w:t>
      </w:r>
      <w:r>
        <w:rPr>
          <w:lang w:val="es-ES"/>
        </w:rPr>
        <w:t>personas defensoras</w:t>
      </w:r>
      <w:r w:rsidRPr="00BC464C">
        <w:rPr>
          <w:lang w:val="es-ES"/>
        </w:rPr>
        <w:t xml:space="preserve"> de los derechos humanos, líderes indígenas, </w:t>
      </w:r>
      <w:r>
        <w:rPr>
          <w:lang w:val="es-ES"/>
        </w:rPr>
        <w:t>personas opositoras</w:t>
      </w:r>
      <w:r w:rsidRPr="00BC464C">
        <w:rPr>
          <w:lang w:val="es-ES"/>
        </w:rPr>
        <w:t xml:space="preserve"> polític</w:t>
      </w:r>
      <w:r>
        <w:rPr>
          <w:lang w:val="es-ES"/>
        </w:rPr>
        <w:t>a</w:t>
      </w:r>
      <w:r w:rsidRPr="00BC464C">
        <w:rPr>
          <w:lang w:val="es-ES"/>
        </w:rPr>
        <w:t>s y sus familiares</w:t>
      </w:r>
      <w:r>
        <w:rPr>
          <w:lang w:val="es-ES"/>
        </w:rPr>
        <w:t>,</w:t>
      </w:r>
      <w:r w:rsidRPr="00BC464C">
        <w:rPr>
          <w:lang w:val="es-ES"/>
        </w:rPr>
        <w:t xml:space="preserve"> y estudiantes.</w:t>
      </w:r>
    </w:p>
    <w:p w14:paraId="3B13433E" w14:textId="174DA416"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 </w:t>
      </w:r>
      <w:r>
        <w:rPr>
          <w:lang w:val="es-ES"/>
        </w:rPr>
        <w:t>La OACNUDH</w:t>
      </w:r>
      <w:r w:rsidRPr="00BC464C" w:rsidDel="00BC464C">
        <w:rPr>
          <w:lang w:val="es-ES"/>
        </w:rPr>
        <w:t xml:space="preserve"> </w:t>
      </w:r>
      <w:r w:rsidR="00F03565">
        <w:rPr>
          <w:lang w:val="es-ES"/>
        </w:rPr>
        <w:t>ha documentado</w:t>
      </w:r>
      <w:r w:rsidR="00F03565" w:rsidRPr="00BC464C">
        <w:rPr>
          <w:lang w:val="es-ES"/>
        </w:rPr>
        <w:t xml:space="preserve"> </w:t>
      </w:r>
      <w:r w:rsidRPr="00BC464C">
        <w:rPr>
          <w:lang w:val="es-ES"/>
        </w:rPr>
        <w:t xml:space="preserve">que </w:t>
      </w:r>
      <w:r>
        <w:rPr>
          <w:lang w:val="es-ES"/>
        </w:rPr>
        <w:t>nuevos arrestos arbitrarios</w:t>
      </w:r>
      <w:r w:rsidRPr="00BC464C">
        <w:rPr>
          <w:lang w:val="es-ES"/>
        </w:rPr>
        <w:t xml:space="preserve"> de personas percibidas como opositor</w:t>
      </w:r>
      <w:r w:rsidR="0034264E">
        <w:rPr>
          <w:lang w:val="es-ES"/>
        </w:rPr>
        <w:t>a</w:t>
      </w:r>
      <w:r w:rsidRPr="00BC464C">
        <w:rPr>
          <w:lang w:val="es-ES"/>
        </w:rPr>
        <w:t xml:space="preserve">s al Gobierno se produjeron con regularidad durante el período que abarca el informe. Esta práctica aumentó </w:t>
      </w:r>
      <w:r w:rsidR="00F03565">
        <w:rPr>
          <w:lang w:val="es-ES"/>
        </w:rPr>
        <w:t>entre</w:t>
      </w:r>
      <w:r w:rsidR="00F03565" w:rsidRPr="00BC464C">
        <w:rPr>
          <w:lang w:val="es-ES"/>
        </w:rPr>
        <w:t xml:space="preserve"> </w:t>
      </w:r>
      <w:r w:rsidRPr="00BC464C">
        <w:rPr>
          <w:lang w:val="es-ES"/>
        </w:rPr>
        <w:t xml:space="preserve">agosto </w:t>
      </w:r>
      <w:r w:rsidR="00F03565">
        <w:rPr>
          <w:lang w:val="es-ES"/>
        </w:rPr>
        <w:t>y</w:t>
      </w:r>
      <w:r w:rsidRPr="00BC464C">
        <w:rPr>
          <w:lang w:val="es-ES"/>
        </w:rPr>
        <w:t xml:space="preserve"> noviembre de 2022 en relación con el aumento de la persecución de la Iglesia Católica, y durante las elecciones municipales</w:t>
      </w:r>
      <w:r w:rsidRPr="005F21F4">
        <w:rPr>
          <w:rStyle w:val="FootnoteReference"/>
        </w:rPr>
        <w:footnoteReference w:id="17"/>
      </w:r>
      <w:r w:rsidRPr="00BC464C">
        <w:rPr>
          <w:lang w:val="es-ES"/>
        </w:rPr>
        <w:t xml:space="preserve"> . Desde 2019, </w:t>
      </w:r>
      <w:r>
        <w:rPr>
          <w:lang w:val="es-ES"/>
        </w:rPr>
        <w:t>se produce cada año</w:t>
      </w:r>
      <w:r w:rsidRPr="00BC464C">
        <w:rPr>
          <w:lang w:val="es-ES"/>
        </w:rPr>
        <w:t xml:space="preserve"> un marcado aumento en el número de detenciones arbitrarias en torno a la fecha del aniversario de las protestas de abril de 2018. </w:t>
      </w:r>
      <w:r w:rsidR="00F03565">
        <w:rPr>
          <w:lang w:val="es-ES"/>
        </w:rPr>
        <w:t>Entre el 1 y el 23 de abril de 2023 la OACNUDH recibió informes de 51 detenciones arbitrarias, y e</w:t>
      </w:r>
      <w:r w:rsidRPr="00BC464C">
        <w:rPr>
          <w:lang w:val="es-ES"/>
        </w:rPr>
        <w:t xml:space="preserve">n mayo de 2023, recibió informes de la detención de 63 personas (40 hombres y 23 mujeres) bajo los cargos de "propagación de noticias falsas" y "menoscabo de la integridad y la soberanía nacionales". La mayoría de </w:t>
      </w:r>
      <w:r>
        <w:rPr>
          <w:lang w:val="es-ES"/>
        </w:rPr>
        <w:t>las personas detenidas</w:t>
      </w:r>
      <w:r w:rsidRPr="00BC464C">
        <w:rPr>
          <w:lang w:val="es-ES"/>
        </w:rPr>
        <w:t xml:space="preserve"> fueron puest</w:t>
      </w:r>
      <w:r>
        <w:rPr>
          <w:lang w:val="es-ES"/>
        </w:rPr>
        <w:t>a</w:t>
      </w:r>
      <w:r w:rsidRPr="00BC464C">
        <w:rPr>
          <w:lang w:val="es-ES"/>
        </w:rPr>
        <w:t xml:space="preserve">s en libertad poco después con la condición de presentarse diariamente en las comisarías locales. En todos los casos documentados por </w:t>
      </w:r>
      <w:r>
        <w:rPr>
          <w:lang w:val="es-ES"/>
        </w:rPr>
        <w:t>la OACNUDH</w:t>
      </w:r>
      <w:r w:rsidRPr="00BC464C">
        <w:rPr>
          <w:lang w:val="es-ES"/>
        </w:rPr>
        <w:t xml:space="preserve">, las autoridades no informaron a </w:t>
      </w:r>
      <w:r>
        <w:rPr>
          <w:lang w:val="es-ES"/>
        </w:rPr>
        <w:t>las personas detenidas</w:t>
      </w:r>
      <w:r w:rsidRPr="00BC464C">
        <w:rPr>
          <w:lang w:val="es-ES"/>
        </w:rPr>
        <w:t xml:space="preserve">, </w:t>
      </w:r>
      <w:proofErr w:type="gramStart"/>
      <w:r w:rsidR="00474A17">
        <w:rPr>
          <w:lang w:val="es-ES"/>
        </w:rPr>
        <w:t xml:space="preserve">al </w:t>
      </w:r>
      <w:r w:rsidRPr="00BC464C">
        <w:rPr>
          <w:lang w:val="es-ES"/>
        </w:rPr>
        <w:t xml:space="preserve"> momento</w:t>
      </w:r>
      <w:proofErr w:type="gramEnd"/>
      <w:r w:rsidRPr="00BC464C">
        <w:rPr>
          <w:lang w:val="es-ES"/>
        </w:rPr>
        <w:t xml:space="preserve"> </w:t>
      </w:r>
      <w:r>
        <w:rPr>
          <w:lang w:val="es-ES"/>
        </w:rPr>
        <w:t>del arresto</w:t>
      </w:r>
      <w:r w:rsidRPr="00BC464C">
        <w:rPr>
          <w:lang w:val="es-ES"/>
        </w:rPr>
        <w:t>, de los motivos de</w:t>
      </w:r>
      <w:r w:rsidR="00474A17">
        <w:rPr>
          <w:lang w:val="es-ES"/>
        </w:rPr>
        <w:t>l</w:t>
      </w:r>
      <w:r w:rsidRPr="00BC464C">
        <w:rPr>
          <w:lang w:val="es-ES"/>
        </w:rPr>
        <w:t xml:space="preserve"> mism</w:t>
      </w:r>
      <w:r w:rsidR="00474A17">
        <w:rPr>
          <w:lang w:val="es-ES"/>
        </w:rPr>
        <w:t>o</w:t>
      </w:r>
      <w:r w:rsidRPr="00BC464C">
        <w:rPr>
          <w:lang w:val="es-ES"/>
        </w:rPr>
        <w:t>, ni les comunicaron con prontitud los cargos que se les imputaban.</w:t>
      </w:r>
    </w:p>
    <w:p w14:paraId="6D078733" w14:textId="5EC4715B" w:rsidR="00ED1618" w:rsidRPr="00BC464C" w:rsidRDefault="00F03565"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En dos cartas separadas que aún no han recibido respuesta, e</w:t>
      </w:r>
      <w:r w:rsidR="00ED1618" w:rsidRPr="00BC464C">
        <w:rPr>
          <w:lang w:val="es-ES"/>
        </w:rPr>
        <w:t xml:space="preserve">l Grupo de Trabajo sobre la Detención Arbitraria </w:t>
      </w:r>
      <w:r>
        <w:rPr>
          <w:lang w:val="es-ES"/>
        </w:rPr>
        <w:t xml:space="preserve">y otros titulares de procedimientos especiales </w:t>
      </w:r>
      <w:r w:rsidR="00ED1618" w:rsidRPr="00BC464C">
        <w:rPr>
          <w:lang w:val="es-ES"/>
        </w:rPr>
        <w:t>expres</w:t>
      </w:r>
      <w:r>
        <w:rPr>
          <w:lang w:val="es-ES"/>
        </w:rPr>
        <w:t>aron</w:t>
      </w:r>
      <w:r w:rsidR="00ED1618" w:rsidRPr="00BC464C">
        <w:rPr>
          <w:lang w:val="es-ES"/>
        </w:rPr>
        <w:t xml:space="preserve"> su preocupación por cuatro personas (un hombre y tres mujeres) detenidas arbitrariamente y privadas de atención médica.</w:t>
      </w:r>
      <w:r w:rsidR="00ED1618" w:rsidRPr="005F21F4">
        <w:rPr>
          <w:rStyle w:val="FootnoteReference"/>
        </w:rPr>
        <w:footnoteReference w:id="18"/>
      </w:r>
      <w:r w:rsidR="00ED1618" w:rsidRPr="00BC464C">
        <w:rPr>
          <w:lang w:val="es-ES"/>
        </w:rPr>
        <w:t xml:space="preserve"> Las cuatro víctimas fueron puestas automáticamente en prisión preventiva y se les negó el acceso a </w:t>
      </w:r>
      <w:proofErr w:type="gramStart"/>
      <w:r w:rsidR="00ED1618">
        <w:rPr>
          <w:lang w:val="es-ES"/>
        </w:rPr>
        <w:t>abogados y abogadas</w:t>
      </w:r>
      <w:proofErr w:type="gramEnd"/>
      <w:r w:rsidR="00ED1618" w:rsidRPr="00BC464C">
        <w:rPr>
          <w:lang w:val="es-ES"/>
        </w:rPr>
        <w:t xml:space="preserve"> de su elección y a sus expedientes penales. </w:t>
      </w:r>
      <w:r w:rsidR="0034264E">
        <w:rPr>
          <w:lang w:val="es-ES"/>
        </w:rPr>
        <w:t>D</w:t>
      </w:r>
      <w:r w:rsidR="00ED1618" w:rsidRPr="00BC464C">
        <w:rPr>
          <w:lang w:val="es-ES"/>
        </w:rPr>
        <w:t xml:space="preserve">os de ellas </w:t>
      </w:r>
      <w:r w:rsidR="0034264E">
        <w:rPr>
          <w:lang w:val="es-ES"/>
        </w:rPr>
        <w:t>habrían sido</w:t>
      </w:r>
      <w:r w:rsidR="0034264E" w:rsidRPr="00BC464C">
        <w:rPr>
          <w:lang w:val="es-ES"/>
        </w:rPr>
        <w:t xml:space="preserve"> </w:t>
      </w:r>
      <w:r w:rsidR="00ED1618" w:rsidRPr="00BC464C">
        <w:rPr>
          <w:lang w:val="es-ES"/>
        </w:rPr>
        <w:t>sometidas a desaparición forzada durante varios días.</w:t>
      </w:r>
    </w:p>
    <w:p w14:paraId="54DA9C06" w14:textId="2C47A9AA" w:rsidR="00ED1618" w:rsidRPr="005F21F4" w:rsidRDefault="00ED1618" w:rsidP="00DB24D4">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rStyle w:val="FootnoteReference"/>
          <w:vertAlign w:val="baseline"/>
          <w:lang w:val="es-ES"/>
        </w:rPr>
      </w:pPr>
      <w:r w:rsidRPr="005F21F4">
        <w:rPr>
          <w:lang w:val="es-ES"/>
        </w:rPr>
        <w:t>El Gobierno siguió utilizando las Leyes 977, 1055 y 1060 para perseguir a la disidencia.</w:t>
      </w:r>
      <w:r w:rsidRPr="005F21F4">
        <w:rPr>
          <w:rStyle w:val="FootnoteReference"/>
        </w:rPr>
        <w:footnoteReference w:id="19"/>
      </w:r>
      <w:r w:rsidRPr="005F21F4">
        <w:rPr>
          <w:lang w:val="es-ES"/>
        </w:rPr>
        <w:t xml:space="preserve"> En sus observaciones finales sobre Nicaragua de </w:t>
      </w:r>
      <w:r w:rsidR="0034264E">
        <w:rPr>
          <w:lang w:val="es-ES"/>
        </w:rPr>
        <w:t>noviembre</w:t>
      </w:r>
      <w:r w:rsidR="0034264E" w:rsidRPr="005F21F4">
        <w:rPr>
          <w:lang w:val="es-ES"/>
        </w:rPr>
        <w:t xml:space="preserve"> </w:t>
      </w:r>
      <w:r w:rsidRPr="005F21F4">
        <w:rPr>
          <w:lang w:val="es-ES"/>
        </w:rPr>
        <w:t>de 2022, el Comité de Derechos Humanos expresó su preocupación por el uso indebido de la Ley 977, legislación antiterrorista que penaliza el ejercicio de los derechos a la libertad de expresión y asociación, y de la Ley 1060, que amplía la detención sin cargos de 48 horas a 90 días</w:t>
      </w:r>
      <w:r w:rsidRPr="005F21F4">
        <w:rPr>
          <w:rStyle w:val="FootnoteReference"/>
        </w:rPr>
        <w:footnoteReference w:id="20"/>
      </w:r>
      <w:r w:rsidRPr="005F21F4">
        <w:rPr>
          <w:rStyle w:val="FootnoteReference"/>
          <w:vertAlign w:val="baseline"/>
          <w:lang w:val="es-ES"/>
        </w:rPr>
        <w:t xml:space="preserve"> . </w:t>
      </w:r>
      <w:r w:rsidRPr="005F21F4">
        <w:rPr>
          <w:lang w:val="es-ES"/>
        </w:rPr>
        <w:t>También expresó su preocupación por los informes sobre el uso excesivo de la prisión preventiva, especialmente contra personas defensoras de los derechos humanos, periodistas y personas opositoras políticas.</w:t>
      </w:r>
      <w:r w:rsidRPr="005F21F4">
        <w:rPr>
          <w:rStyle w:val="FootnoteReference"/>
        </w:rPr>
        <w:footnoteReference w:id="21"/>
      </w:r>
      <w:r w:rsidRPr="005F21F4">
        <w:rPr>
          <w:lang w:val="es-ES"/>
        </w:rPr>
        <w:t xml:space="preserve"> Las detenciones arbitrarias </w:t>
      </w:r>
      <w:r w:rsidR="00F03565">
        <w:rPr>
          <w:lang w:val="es-ES"/>
        </w:rPr>
        <w:t>han contribuido</w:t>
      </w:r>
      <w:r w:rsidR="00F03565" w:rsidRPr="005F21F4">
        <w:rPr>
          <w:lang w:val="es-ES"/>
        </w:rPr>
        <w:t xml:space="preserve"> </w:t>
      </w:r>
      <w:r w:rsidRPr="005F21F4">
        <w:rPr>
          <w:lang w:val="es-ES"/>
        </w:rPr>
        <w:t xml:space="preserve">a la continua reducción del espacio cívico e </w:t>
      </w:r>
      <w:r w:rsidR="0034264E">
        <w:rPr>
          <w:lang w:val="es-ES"/>
        </w:rPr>
        <w:t>infundido</w:t>
      </w:r>
      <w:r w:rsidR="0034264E" w:rsidRPr="005F21F4">
        <w:rPr>
          <w:lang w:val="es-ES"/>
        </w:rPr>
        <w:t xml:space="preserve"> </w:t>
      </w:r>
      <w:r w:rsidRPr="005F21F4">
        <w:rPr>
          <w:lang w:val="es-ES"/>
        </w:rPr>
        <w:t>temor entre los actores de la sociedad civil.</w:t>
      </w:r>
    </w:p>
    <w:p w14:paraId="61A06C9E" w14:textId="77777777" w:rsidR="00ED1618" w:rsidRDefault="00ED1618" w:rsidP="00ED1618">
      <w:pPr>
        <w:pStyle w:val="H1G"/>
        <w:spacing w:line="236" w:lineRule="atLeast"/>
      </w:pPr>
      <w:r w:rsidRPr="00BC464C">
        <w:rPr>
          <w:lang w:val="es-ES"/>
        </w:rPr>
        <w:tab/>
      </w:r>
      <w:r w:rsidRPr="00EA7E0A">
        <w:t xml:space="preserve">B. </w:t>
      </w:r>
      <w:r w:rsidRPr="00EA7E0A">
        <w:tab/>
      </w:r>
      <w:proofErr w:type="spellStart"/>
      <w:r w:rsidRPr="00EA7E0A">
        <w:t>Garantías</w:t>
      </w:r>
      <w:proofErr w:type="spellEnd"/>
      <w:r w:rsidRPr="00EA7E0A">
        <w:t xml:space="preserve"> </w:t>
      </w:r>
      <w:proofErr w:type="spellStart"/>
      <w:r w:rsidRPr="00EA7E0A">
        <w:t>procesales</w:t>
      </w:r>
      <w:proofErr w:type="spellEnd"/>
      <w:r w:rsidRPr="00EA7E0A">
        <w:t xml:space="preserve"> </w:t>
      </w:r>
    </w:p>
    <w:p w14:paraId="6273CC74" w14:textId="7C415533"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BC464C">
        <w:rPr>
          <w:lang w:val="es-ES"/>
        </w:rPr>
        <w:t xml:space="preserve"> </w:t>
      </w:r>
      <w:r w:rsidR="00F03565">
        <w:rPr>
          <w:lang w:val="es-ES"/>
        </w:rPr>
        <w:t>ha seguido</w:t>
      </w:r>
      <w:r w:rsidR="00F03565" w:rsidRPr="00BC464C">
        <w:rPr>
          <w:lang w:val="es-ES"/>
        </w:rPr>
        <w:t xml:space="preserve"> </w:t>
      </w:r>
      <w:r w:rsidRPr="00BC464C">
        <w:rPr>
          <w:lang w:val="es-ES"/>
        </w:rPr>
        <w:t xml:space="preserve">observando un patrón de violaciones sistemáticas de las garantías procesales y del derecho a un juicio justo de personas consideradas opositoras al Gobierno. </w:t>
      </w:r>
      <w:r w:rsidR="00F03565">
        <w:rPr>
          <w:lang w:val="es-ES"/>
        </w:rPr>
        <w:t>Han continuado</w:t>
      </w:r>
      <w:r w:rsidR="00F03565" w:rsidRPr="00BC464C">
        <w:rPr>
          <w:lang w:val="es-ES"/>
        </w:rPr>
        <w:t xml:space="preserve"> </w:t>
      </w:r>
      <w:r w:rsidRPr="00BC464C">
        <w:rPr>
          <w:lang w:val="es-ES"/>
        </w:rPr>
        <w:t xml:space="preserve">produciéndose detenciones sin orden judicial ni información sobre los motivos de </w:t>
      </w:r>
      <w:proofErr w:type="gramStart"/>
      <w:r w:rsidRPr="00BC464C">
        <w:rPr>
          <w:lang w:val="es-ES"/>
        </w:rPr>
        <w:t>las mismas</w:t>
      </w:r>
      <w:proofErr w:type="gramEnd"/>
      <w:r w:rsidRPr="00BC464C">
        <w:rPr>
          <w:lang w:val="es-ES"/>
        </w:rPr>
        <w:t xml:space="preserve">. Se </w:t>
      </w:r>
      <w:r w:rsidR="00F03565">
        <w:rPr>
          <w:lang w:val="es-ES"/>
        </w:rPr>
        <w:t>ha impedido</w:t>
      </w:r>
      <w:r w:rsidR="00F03565" w:rsidRPr="00BC464C">
        <w:rPr>
          <w:lang w:val="es-ES"/>
        </w:rPr>
        <w:t xml:space="preserve"> </w:t>
      </w:r>
      <w:r w:rsidRPr="00BC464C">
        <w:rPr>
          <w:lang w:val="es-ES"/>
        </w:rPr>
        <w:t xml:space="preserve">a </w:t>
      </w:r>
      <w:r>
        <w:rPr>
          <w:lang w:val="es-ES"/>
        </w:rPr>
        <w:t>las personas detenidas</w:t>
      </w:r>
      <w:r w:rsidRPr="00BC464C">
        <w:rPr>
          <w:lang w:val="es-ES"/>
        </w:rPr>
        <w:t xml:space="preserve"> comunicarse de manera oportuna, libre y confidencial con sus </w:t>
      </w:r>
      <w:proofErr w:type="gramStart"/>
      <w:r>
        <w:rPr>
          <w:lang w:val="es-ES"/>
        </w:rPr>
        <w:t>abogados y abogadas</w:t>
      </w:r>
      <w:proofErr w:type="gramEnd"/>
      <w:r w:rsidRPr="00BC464C">
        <w:rPr>
          <w:lang w:val="es-ES"/>
        </w:rPr>
        <w:t xml:space="preserve">. Además, </w:t>
      </w:r>
      <w:r>
        <w:rPr>
          <w:lang w:val="es-ES"/>
        </w:rPr>
        <w:t>las personas detenidas</w:t>
      </w:r>
      <w:r w:rsidRPr="00BC464C">
        <w:rPr>
          <w:lang w:val="es-ES"/>
        </w:rPr>
        <w:t xml:space="preserve"> </w:t>
      </w:r>
      <w:proofErr w:type="gramStart"/>
      <w:r w:rsidRPr="00BC464C">
        <w:rPr>
          <w:lang w:val="es-ES"/>
        </w:rPr>
        <w:t xml:space="preserve">sólo  </w:t>
      </w:r>
      <w:r w:rsidR="00F03565">
        <w:rPr>
          <w:lang w:val="es-ES"/>
        </w:rPr>
        <w:t>han</w:t>
      </w:r>
      <w:proofErr w:type="gramEnd"/>
      <w:r w:rsidR="00F03565">
        <w:rPr>
          <w:lang w:val="es-ES"/>
        </w:rPr>
        <w:t xml:space="preserve"> podido reunirse</w:t>
      </w:r>
      <w:r w:rsidR="00F03565" w:rsidRPr="00BC464C">
        <w:rPr>
          <w:lang w:val="es-ES"/>
        </w:rPr>
        <w:t xml:space="preserve"> </w:t>
      </w:r>
      <w:r w:rsidRPr="00BC464C">
        <w:rPr>
          <w:lang w:val="es-ES"/>
        </w:rPr>
        <w:t xml:space="preserve">con sus </w:t>
      </w:r>
      <w:r>
        <w:rPr>
          <w:lang w:val="es-ES"/>
        </w:rPr>
        <w:t>abogados y abogadas</w:t>
      </w:r>
      <w:r w:rsidRPr="00BC464C">
        <w:rPr>
          <w:lang w:val="es-ES"/>
        </w:rPr>
        <w:t xml:space="preserve"> inmediatamente antes de las </w:t>
      </w:r>
      <w:r w:rsidR="00E26843">
        <w:rPr>
          <w:lang w:val="es-ES"/>
        </w:rPr>
        <w:t xml:space="preserve">audiencias </w:t>
      </w:r>
      <w:r w:rsidRPr="00BC464C">
        <w:rPr>
          <w:lang w:val="es-ES"/>
        </w:rPr>
        <w:t xml:space="preserve">, bajo la supervisión de agentes de policía. Los </w:t>
      </w:r>
      <w:r>
        <w:rPr>
          <w:lang w:val="es-ES"/>
        </w:rPr>
        <w:t>abogados y abogadas</w:t>
      </w:r>
      <w:r w:rsidRPr="00BC464C">
        <w:rPr>
          <w:lang w:val="es-ES"/>
        </w:rPr>
        <w:t xml:space="preserve"> también </w:t>
      </w:r>
      <w:r w:rsidR="00F03565">
        <w:rPr>
          <w:lang w:val="es-ES"/>
        </w:rPr>
        <w:t xml:space="preserve">han </w:t>
      </w:r>
      <w:proofErr w:type="gramStart"/>
      <w:r w:rsidR="00F03565">
        <w:rPr>
          <w:lang w:val="es-ES"/>
        </w:rPr>
        <w:t>informado</w:t>
      </w:r>
      <w:r w:rsidR="00F03565" w:rsidRPr="00BC464C">
        <w:rPr>
          <w:lang w:val="es-ES"/>
        </w:rPr>
        <w:t xml:space="preserve"> </w:t>
      </w:r>
      <w:r w:rsidRPr="00BC464C">
        <w:rPr>
          <w:lang w:val="es-ES"/>
        </w:rPr>
        <w:t xml:space="preserve"> que</w:t>
      </w:r>
      <w:proofErr w:type="gramEnd"/>
      <w:r w:rsidRPr="00BC464C">
        <w:rPr>
          <w:lang w:val="es-ES"/>
        </w:rPr>
        <w:t xml:space="preserve"> tenían acceso limitado a los documentos judiciales, incluidas las pruebas. En la mayoría de los casos, las </w:t>
      </w:r>
      <w:proofErr w:type="gramStart"/>
      <w:r w:rsidR="007965D6">
        <w:rPr>
          <w:lang w:val="es-ES"/>
        </w:rPr>
        <w:t xml:space="preserve">audiencias </w:t>
      </w:r>
      <w:r w:rsidRPr="00BC464C">
        <w:rPr>
          <w:lang w:val="es-ES"/>
        </w:rPr>
        <w:t xml:space="preserve"> no</w:t>
      </w:r>
      <w:proofErr w:type="gramEnd"/>
      <w:r w:rsidRPr="00BC464C">
        <w:rPr>
          <w:lang w:val="es-ES"/>
        </w:rPr>
        <w:t xml:space="preserve"> </w:t>
      </w:r>
      <w:r w:rsidR="00F03565">
        <w:rPr>
          <w:lang w:val="es-ES"/>
        </w:rPr>
        <w:t>han sido</w:t>
      </w:r>
      <w:r w:rsidR="00F03565" w:rsidRPr="00BC464C">
        <w:rPr>
          <w:lang w:val="es-ES"/>
        </w:rPr>
        <w:t xml:space="preserve"> </w:t>
      </w:r>
      <w:r w:rsidRPr="00BC464C">
        <w:rPr>
          <w:lang w:val="es-ES"/>
        </w:rPr>
        <w:t xml:space="preserve">públicas, sin que se justificara su inaccesibilidad al público, y sin que se notificara previamente a </w:t>
      </w:r>
      <w:r>
        <w:rPr>
          <w:lang w:val="es-ES"/>
        </w:rPr>
        <w:t>las personas acusadas</w:t>
      </w:r>
      <w:r w:rsidRPr="00BC464C">
        <w:rPr>
          <w:lang w:val="es-ES"/>
        </w:rPr>
        <w:t xml:space="preserve"> y a sus </w:t>
      </w:r>
      <w:r>
        <w:rPr>
          <w:lang w:val="es-ES"/>
        </w:rPr>
        <w:t>abogados y abogadas</w:t>
      </w:r>
      <w:r w:rsidRPr="00BC464C">
        <w:rPr>
          <w:lang w:val="es-ES"/>
        </w:rPr>
        <w:t xml:space="preserve"> la fecha y hora de las </w:t>
      </w:r>
      <w:r w:rsidR="00D94195">
        <w:rPr>
          <w:lang w:val="es-ES"/>
        </w:rPr>
        <w:t>mismas</w:t>
      </w:r>
      <w:r w:rsidRPr="00BC464C">
        <w:rPr>
          <w:lang w:val="es-ES"/>
        </w:rPr>
        <w:t>. Numerosas audiencias se celebraron en el Complejo Policial Evaristo Vásquez de Managua, a</w:t>
      </w:r>
      <w:r w:rsidR="004A037B">
        <w:rPr>
          <w:lang w:val="es-ES"/>
        </w:rPr>
        <w:t xml:space="preserve"> </w:t>
      </w:r>
      <w:r w:rsidRPr="00BC464C">
        <w:rPr>
          <w:lang w:val="es-ES"/>
        </w:rPr>
        <w:t>l</w:t>
      </w:r>
      <w:r w:rsidR="004A037B">
        <w:rPr>
          <w:lang w:val="es-ES"/>
        </w:rPr>
        <w:t>as</w:t>
      </w:r>
      <w:r w:rsidRPr="00BC464C">
        <w:rPr>
          <w:lang w:val="es-ES"/>
        </w:rPr>
        <w:t xml:space="preserve"> que sólo podía acceder el personal policial y judicial. Algunas audiencias tuvieron lugar a las 4 de la mañana para evitar el escrutinio público. Estas prácticas violan el artículo 14 del Pacto Internacional de Derechos Civiles y Políticos y otras normas internacionales de derechos humanos.</w:t>
      </w:r>
    </w:p>
    <w:p w14:paraId="0F775CEE" w14:textId="716E8979"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BC464C">
        <w:rPr>
          <w:lang w:val="es-ES"/>
        </w:rPr>
        <w:t xml:space="preserve"> </w:t>
      </w:r>
      <w:r w:rsidRPr="00BC464C">
        <w:rPr>
          <w:lang w:val="es-ES"/>
        </w:rPr>
        <w:t xml:space="preserve">también </w:t>
      </w:r>
      <w:r w:rsidR="00F03565">
        <w:rPr>
          <w:lang w:val="es-ES"/>
        </w:rPr>
        <w:t>ha observado</w:t>
      </w:r>
      <w:r w:rsidR="00F03565" w:rsidRPr="00BC464C">
        <w:rPr>
          <w:lang w:val="es-ES"/>
        </w:rPr>
        <w:t xml:space="preserve"> </w:t>
      </w:r>
      <w:r w:rsidRPr="00BC464C">
        <w:rPr>
          <w:lang w:val="es-ES"/>
        </w:rPr>
        <w:t xml:space="preserve">que, en al menos 10 casos que se estaban investigando y enjuiciando ante </w:t>
      </w:r>
      <w:r w:rsidR="00F03565">
        <w:rPr>
          <w:lang w:val="es-ES"/>
        </w:rPr>
        <w:t xml:space="preserve">los </w:t>
      </w:r>
      <w:r w:rsidRPr="00BC464C">
        <w:rPr>
          <w:lang w:val="es-ES"/>
        </w:rPr>
        <w:t>tribunales de Managua, los presuntos hechos habían ocurrido fuera de la capital, en partes del país bajo la competencia de otros tribunales locales, como establece el Código Procesal Penal de Nicaragua.</w:t>
      </w:r>
      <w:r w:rsidRPr="005F21F4">
        <w:rPr>
          <w:rStyle w:val="FootnoteReference"/>
        </w:rPr>
        <w:footnoteReference w:id="22"/>
      </w:r>
      <w:r w:rsidRPr="00BC464C">
        <w:rPr>
          <w:lang w:val="es-ES"/>
        </w:rPr>
        <w:t xml:space="preserve"> Dichos procedimientos suscitan dudas sobre su compatibilidad con el artículo 14.1 del Pacto Internacional de Derechos Civiles y Políticos.</w:t>
      </w:r>
    </w:p>
    <w:p w14:paraId="7134C151" w14:textId="759F2A2D"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BC464C">
        <w:rPr>
          <w:lang w:val="es-ES"/>
        </w:rPr>
        <w:t xml:space="preserve"> </w:t>
      </w:r>
      <w:r w:rsidR="00F03565">
        <w:rPr>
          <w:lang w:val="es-ES"/>
        </w:rPr>
        <w:t>ha seguido</w:t>
      </w:r>
      <w:r w:rsidR="00F03565" w:rsidRPr="00BC464C">
        <w:rPr>
          <w:lang w:val="es-ES"/>
        </w:rPr>
        <w:t xml:space="preserve"> </w:t>
      </w:r>
      <w:r w:rsidRPr="00BC464C">
        <w:rPr>
          <w:lang w:val="es-ES"/>
        </w:rPr>
        <w:t>documentando la imposición automática de la detención preventiva a personas consideradas opositoras al Gobierno</w:t>
      </w:r>
      <w:r>
        <w:rPr>
          <w:lang w:val="es-ES"/>
        </w:rPr>
        <w:t>,</w:t>
      </w:r>
      <w:r w:rsidRPr="005F21F4">
        <w:rPr>
          <w:rStyle w:val="FootnoteReference"/>
        </w:rPr>
        <w:footnoteReference w:id="23"/>
      </w:r>
      <w:r w:rsidRPr="00BC464C">
        <w:rPr>
          <w:lang w:val="es-ES"/>
        </w:rPr>
        <w:t xml:space="preserve"> </w:t>
      </w:r>
      <w:r>
        <w:rPr>
          <w:lang w:val="es-ES"/>
        </w:rPr>
        <w:t>l</w:t>
      </w:r>
      <w:r w:rsidRPr="00BC464C">
        <w:rPr>
          <w:lang w:val="es-ES"/>
        </w:rPr>
        <w:t>a gran mayoría en virtud de la Ley 1060.</w:t>
      </w:r>
      <w:r w:rsidRPr="005F21F4">
        <w:rPr>
          <w:rStyle w:val="FootnoteReference"/>
        </w:rPr>
        <w:footnoteReference w:id="24"/>
      </w:r>
      <w:r w:rsidRPr="00BC464C">
        <w:rPr>
          <w:lang w:val="es-ES"/>
        </w:rPr>
        <w:t xml:space="preserve"> Según el artículo 9 del Pacto Internacional de Derechos Civiles y Políticos, la detención preventiva </w:t>
      </w:r>
      <w:r w:rsidR="004A037B">
        <w:rPr>
          <w:lang w:val="es-ES"/>
        </w:rPr>
        <w:t>debe ser</w:t>
      </w:r>
      <w:r w:rsidR="004A037B" w:rsidRPr="00BC464C">
        <w:rPr>
          <w:lang w:val="es-ES"/>
        </w:rPr>
        <w:t xml:space="preserve"> </w:t>
      </w:r>
      <w:r w:rsidRPr="00BC464C">
        <w:rPr>
          <w:lang w:val="es-ES"/>
        </w:rPr>
        <w:t xml:space="preserve">la excepción, basada en una determinación individualizada de que es razonable y necesaria. </w:t>
      </w:r>
      <w:r w:rsidRPr="005F21F4">
        <w:rPr>
          <w:rStyle w:val="FootnoteReference"/>
        </w:rPr>
        <w:footnoteReference w:id="25"/>
      </w:r>
    </w:p>
    <w:p w14:paraId="0FE93CBC" w14:textId="0D3A83EA"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Continuaron las violaciones del principio de igualdad de armas documentadas anteriormente por la </w:t>
      </w:r>
      <w:r>
        <w:rPr>
          <w:lang w:val="es-ES"/>
        </w:rPr>
        <w:t>OACNUDH</w:t>
      </w:r>
      <w:r w:rsidRPr="005F21F4">
        <w:rPr>
          <w:rStyle w:val="FootnoteReference"/>
        </w:rPr>
        <w:footnoteReference w:id="26"/>
      </w:r>
      <w:r w:rsidR="00CE0493">
        <w:rPr>
          <w:lang w:val="es-ES"/>
        </w:rPr>
        <w:t>. E</w:t>
      </w:r>
      <w:r w:rsidRPr="00BC464C">
        <w:rPr>
          <w:lang w:val="es-ES"/>
        </w:rPr>
        <w:t>n la mayoría de los casos supervisados, el tribunal rechazó todas las pruebas exculpatorias</w:t>
      </w:r>
      <w:r w:rsidR="002F3E39">
        <w:rPr>
          <w:lang w:val="es-ES"/>
        </w:rPr>
        <w:t xml:space="preserve"> presentadas por la defensa</w:t>
      </w:r>
      <w:r w:rsidRPr="00BC464C">
        <w:rPr>
          <w:lang w:val="es-ES"/>
        </w:rPr>
        <w:t xml:space="preserve"> y aceptó todas las pruebas acusatorias de los fiscales.</w:t>
      </w:r>
    </w:p>
    <w:p w14:paraId="01CBB8F7" w14:textId="2854A813"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BC464C">
        <w:rPr>
          <w:lang w:val="es-ES"/>
        </w:rPr>
        <w:t xml:space="preserve"> </w:t>
      </w:r>
      <w:r w:rsidRPr="00BC464C">
        <w:rPr>
          <w:lang w:val="es-ES"/>
        </w:rPr>
        <w:t xml:space="preserve">documentó al menos 49 casos en los que </w:t>
      </w:r>
      <w:proofErr w:type="gramStart"/>
      <w:r w:rsidRPr="00BC464C">
        <w:rPr>
          <w:lang w:val="es-ES"/>
        </w:rPr>
        <w:t xml:space="preserve">los jueces </w:t>
      </w:r>
      <w:r>
        <w:rPr>
          <w:lang w:val="es-ES"/>
        </w:rPr>
        <w:t>y juezas</w:t>
      </w:r>
      <w:proofErr w:type="gramEnd"/>
      <w:r>
        <w:rPr>
          <w:lang w:val="es-ES"/>
        </w:rPr>
        <w:t xml:space="preserve"> </w:t>
      </w:r>
      <w:r w:rsidRPr="00BC464C">
        <w:rPr>
          <w:lang w:val="es-ES"/>
        </w:rPr>
        <w:t>de ejecución modificaron indebidamente las condenas</w:t>
      </w:r>
      <w:r w:rsidR="004A037B">
        <w:rPr>
          <w:lang w:val="es-ES"/>
        </w:rPr>
        <w:t>,</w:t>
      </w:r>
      <w:r w:rsidRPr="00BC464C">
        <w:rPr>
          <w:lang w:val="es-ES"/>
        </w:rPr>
        <w:t xml:space="preserve"> aumentando las penas después de los juicios. Además, en un caso, el Tribunal Supremo condenó a una persona declarada culpable del delito de "menoscabo de la integridad y soberanía nacionales" a 13 años de prisión e inhabilitación para </w:t>
      </w:r>
      <w:r w:rsidRPr="00466EF6">
        <w:rPr>
          <w:lang w:val="es-ES"/>
        </w:rPr>
        <w:t xml:space="preserve">cargo o empleo público. Sin embargo, tres meses después, otro juez condenó a la misma persona por "traición a la patria", un nuevo delito por los mismos hechos, y le impuso la pena de inhabilitación perpetua para ejercer cargos públicos o electivos, </w:t>
      </w:r>
      <w:r w:rsidR="00466EF6" w:rsidRPr="00466EF6">
        <w:rPr>
          <w:lang w:val="es-ES"/>
        </w:rPr>
        <w:t xml:space="preserve">en violación del principio </w:t>
      </w:r>
      <w:proofErr w:type="spellStart"/>
      <w:r w:rsidR="00466EF6" w:rsidRPr="00D4409B">
        <w:rPr>
          <w:i/>
          <w:iCs/>
          <w:lang w:val="es-ES"/>
        </w:rPr>
        <w:t>ne</w:t>
      </w:r>
      <w:proofErr w:type="spellEnd"/>
      <w:r w:rsidR="00466EF6" w:rsidRPr="00D4409B">
        <w:rPr>
          <w:i/>
          <w:iCs/>
          <w:lang w:val="es-ES"/>
        </w:rPr>
        <w:t xml:space="preserve"> bis in </w:t>
      </w:r>
      <w:proofErr w:type="spellStart"/>
      <w:r w:rsidR="00466EF6" w:rsidRPr="00D4409B">
        <w:rPr>
          <w:i/>
          <w:iCs/>
          <w:lang w:val="es-ES"/>
        </w:rPr>
        <w:t>idem</w:t>
      </w:r>
      <w:proofErr w:type="spellEnd"/>
      <w:r w:rsidR="00466EF6" w:rsidRPr="00466EF6">
        <w:rPr>
          <w:lang w:val="es-ES"/>
        </w:rPr>
        <w:t>.</w:t>
      </w:r>
    </w:p>
    <w:p w14:paraId="7F8385D6" w14:textId="33FB4634"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En sus observaciones finales</w:t>
      </w:r>
      <w:r w:rsidR="002F3E39">
        <w:rPr>
          <w:lang w:val="es-ES"/>
        </w:rPr>
        <w:t xml:space="preserve"> sobre Nicaragua en 2022</w:t>
      </w:r>
      <w:r w:rsidRPr="00BC464C">
        <w:rPr>
          <w:lang w:val="es-ES"/>
        </w:rPr>
        <w:t xml:space="preserve">, el Comité de Derechos Humanos expresó su preocupación por las violaciones de las garantías judiciales </w:t>
      </w:r>
      <w:proofErr w:type="gramStart"/>
      <w:r w:rsidR="00447CE9">
        <w:rPr>
          <w:lang w:val="es-ES"/>
        </w:rPr>
        <w:t xml:space="preserve">traídas </w:t>
      </w:r>
      <w:r w:rsidRPr="00BC464C">
        <w:rPr>
          <w:lang w:val="es-ES"/>
        </w:rPr>
        <w:t xml:space="preserve"> a</w:t>
      </w:r>
      <w:proofErr w:type="gramEnd"/>
      <w:r w:rsidRPr="00BC464C">
        <w:rPr>
          <w:lang w:val="es-ES"/>
        </w:rPr>
        <w:t xml:space="preserve"> su atención. En particular, </w:t>
      </w:r>
      <w:r w:rsidR="008D5EA8">
        <w:rPr>
          <w:lang w:val="es-ES"/>
        </w:rPr>
        <w:t xml:space="preserve">acerca </w:t>
      </w:r>
      <w:proofErr w:type="gramStart"/>
      <w:r w:rsidR="008D5EA8">
        <w:rPr>
          <w:lang w:val="es-ES"/>
        </w:rPr>
        <w:t xml:space="preserve">de </w:t>
      </w:r>
      <w:r w:rsidR="004A037B">
        <w:rPr>
          <w:lang w:val="es-ES"/>
        </w:rPr>
        <w:t xml:space="preserve"> </w:t>
      </w:r>
      <w:r w:rsidRPr="00BC464C">
        <w:rPr>
          <w:lang w:val="es-ES"/>
        </w:rPr>
        <w:t>los</w:t>
      </w:r>
      <w:proofErr w:type="gramEnd"/>
      <w:r w:rsidRPr="00BC464C">
        <w:rPr>
          <w:lang w:val="es-ES"/>
        </w:rPr>
        <w:t xml:space="preserve"> informes sobre delitos penales vagamente definidos, </w:t>
      </w:r>
      <w:r w:rsidR="004A037B">
        <w:rPr>
          <w:lang w:val="es-ES"/>
        </w:rPr>
        <w:t xml:space="preserve">y el hecho de que </w:t>
      </w:r>
      <w:r>
        <w:rPr>
          <w:lang w:val="es-ES"/>
        </w:rPr>
        <w:t>las personas detenidas</w:t>
      </w:r>
      <w:r w:rsidRPr="00BC464C">
        <w:rPr>
          <w:lang w:val="es-ES"/>
        </w:rPr>
        <w:t xml:space="preserve"> no </w:t>
      </w:r>
      <w:r w:rsidR="004A037B">
        <w:rPr>
          <w:lang w:val="es-ES"/>
        </w:rPr>
        <w:t xml:space="preserve">fueran </w:t>
      </w:r>
      <w:r w:rsidRPr="00BC464C">
        <w:rPr>
          <w:lang w:val="es-ES"/>
        </w:rPr>
        <w:t>siempre informad</w:t>
      </w:r>
      <w:r w:rsidR="004A037B">
        <w:rPr>
          <w:lang w:val="es-ES"/>
        </w:rPr>
        <w:t>a</w:t>
      </w:r>
      <w:r w:rsidRPr="00BC464C">
        <w:rPr>
          <w:lang w:val="es-ES"/>
        </w:rPr>
        <w:t xml:space="preserve">s con prontitud de sus derechos, como el derecho a la asistencia letrada desde el momento de la detención. También se puso de relieve la falta de asistencia letrada a </w:t>
      </w:r>
      <w:r>
        <w:rPr>
          <w:lang w:val="es-ES"/>
        </w:rPr>
        <w:t>las personas detenidas</w:t>
      </w:r>
      <w:r w:rsidRPr="00BC464C">
        <w:rPr>
          <w:lang w:val="es-ES"/>
        </w:rPr>
        <w:t xml:space="preserve"> y los obstáculos a los que se enfrentan los </w:t>
      </w:r>
      <w:r>
        <w:rPr>
          <w:lang w:val="es-ES"/>
        </w:rPr>
        <w:t>abogados y abogadas</w:t>
      </w:r>
      <w:r w:rsidRPr="00BC464C">
        <w:rPr>
          <w:lang w:val="es-ES"/>
        </w:rPr>
        <w:t xml:space="preserve"> para acceder a las vistas y los expedientes judiciales</w:t>
      </w:r>
      <w:r w:rsidR="00CE14D5">
        <w:rPr>
          <w:lang w:val="es-ES"/>
        </w:rPr>
        <w:t xml:space="preserve">, así </w:t>
      </w:r>
      <w:proofErr w:type="gramStart"/>
      <w:r w:rsidR="00CE14D5">
        <w:rPr>
          <w:lang w:val="es-ES"/>
        </w:rPr>
        <w:t>como</w:t>
      </w:r>
      <w:r w:rsidRPr="00BC464C">
        <w:rPr>
          <w:lang w:val="es-ES"/>
        </w:rPr>
        <w:t xml:space="preserve">  comunicarse</w:t>
      </w:r>
      <w:proofErr w:type="gramEnd"/>
      <w:r w:rsidRPr="00BC464C">
        <w:rPr>
          <w:lang w:val="es-ES"/>
        </w:rPr>
        <w:t xml:space="preserve"> en privado con sus clientes.</w:t>
      </w:r>
      <w:r w:rsidRPr="005F21F4">
        <w:rPr>
          <w:rStyle w:val="FootnoteReference"/>
        </w:rPr>
        <w:footnoteReference w:id="27"/>
      </w:r>
    </w:p>
    <w:p w14:paraId="73B26617" w14:textId="77777777" w:rsidR="00ED1618" w:rsidRDefault="00ED1618" w:rsidP="00ED1618">
      <w:pPr>
        <w:pStyle w:val="H1G"/>
        <w:spacing w:line="236" w:lineRule="atLeast"/>
      </w:pPr>
      <w:r w:rsidRPr="00BC464C">
        <w:rPr>
          <w:lang w:val="es-ES"/>
        </w:rPr>
        <w:tab/>
      </w:r>
      <w:r w:rsidRPr="00EA7E0A">
        <w:t>C.</w:t>
      </w:r>
      <w:r w:rsidRPr="00EA7E0A">
        <w:tab/>
      </w:r>
      <w:proofErr w:type="spellStart"/>
      <w:r w:rsidRPr="00EA7E0A">
        <w:t>Expulsión</w:t>
      </w:r>
      <w:proofErr w:type="spellEnd"/>
      <w:r w:rsidRPr="00EA7E0A">
        <w:t xml:space="preserve"> </w:t>
      </w:r>
      <w:proofErr w:type="gramStart"/>
      <w:r w:rsidRPr="00EA7E0A">
        <w:t>a</w:t>
      </w:r>
      <w:proofErr w:type="gramEnd"/>
      <w:r w:rsidRPr="00EA7E0A">
        <w:t xml:space="preserve"> </w:t>
      </w:r>
      <w:proofErr w:type="spellStart"/>
      <w:r w:rsidRPr="00EA7E0A">
        <w:t>otro</w:t>
      </w:r>
      <w:proofErr w:type="spellEnd"/>
      <w:r w:rsidRPr="00EA7E0A">
        <w:t xml:space="preserve"> </w:t>
      </w:r>
      <w:proofErr w:type="spellStart"/>
      <w:r w:rsidRPr="00EA7E0A">
        <w:t>país</w:t>
      </w:r>
      <w:proofErr w:type="spellEnd"/>
    </w:p>
    <w:p w14:paraId="1E038129" w14:textId="17759FE1"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El 9 de febrero de 2023, 222 de las 235 personas que se encontraban detenidas arbitrariamente en ese momento, fueron expulsadas a Estados Unidos por el Gobierno de Nicaragua</w:t>
      </w:r>
      <w:r w:rsidRPr="005F21F4">
        <w:rPr>
          <w:rStyle w:val="FootnoteReference"/>
        </w:rPr>
        <w:footnoteReference w:id="28"/>
      </w:r>
      <w:r w:rsidRPr="00BC464C">
        <w:rPr>
          <w:lang w:val="es-ES"/>
        </w:rPr>
        <w:t xml:space="preserve">. En una decisión </w:t>
      </w:r>
      <w:r>
        <w:rPr>
          <w:lang w:val="es-ES"/>
        </w:rPr>
        <w:t>public</w:t>
      </w:r>
      <w:r w:rsidR="007D0326">
        <w:rPr>
          <w:lang w:val="es-ES"/>
        </w:rPr>
        <w:t>ada</w:t>
      </w:r>
      <w:r w:rsidRPr="00BC464C">
        <w:rPr>
          <w:lang w:val="es-ES"/>
        </w:rPr>
        <w:t xml:space="preserve"> cuando </w:t>
      </w:r>
      <w:r w:rsidR="002F3E39">
        <w:rPr>
          <w:lang w:val="es-ES"/>
        </w:rPr>
        <w:t xml:space="preserve">las 222 personas </w:t>
      </w:r>
      <w:r w:rsidRPr="00BC464C">
        <w:rPr>
          <w:lang w:val="es-ES"/>
        </w:rPr>
        <w:t>ya estaban en el avión, la Corte de Apelaciones de Managua ordenó su "deportación inmediata</w:t>
      </w:r>
      <w:r w:rsidRPr="00BC464C" w:rsidDel="004B4733">
        <w:rPr>
          <w:lang w:val="es-ES"/>
        </w:rPr>
        <w:t xml:space="preserve"> </w:t>
      </w:r>
      <w:r w:rsidRPr="00BC464C">
        <w:rPr>
          <w:lang w:val="es-ES"/>
        </w:rPr>
        <w:t>"</w:t>
      </w:r>
      <w:r w:rsidR="00FA0F22">
        <w:rPr>
          <w:lang w:val="es-ES"/>
        </w:rPr>
        <w:t xml:space="preserve">: </w:t>
      </w:r>
      <w:r w:rsidR="00FA0F22" w:rsidRPr="00D4409B">
        <w:rPr>
          <w:rStyle w:val="ui-provider"/>
          <w:lang w:val="es-ES"/>
        </w:rPr>
        <w:t>“</w:t>
      </w:r>
      <w:r w:rsidR="00FA0F22" w:rsidRPr="00FA0F22">
        <w:rPr>
          <w:rStyle w:val="ui-provider"/>
          <w:lang w:val="es-ES"/>
        </w:rPr>
        <w:t>D</w:t>
      </w:r>
      <w:r w:rsidR="00FA0F22" w:rsidRPr="00D4409B">
        <w:rPr>
          <w:rStyle w:val="ui-provider"/>
          <w:lang w:val="es-ES"/>
        </w:rPr>
        <w:t xml:space="preserve">e conformidad con los </w:t>
      </w:r>
      <w:r w:rsidR="00FA0F22" w:rsidRPr="00D4409B">
        <w:rPr>
          <w:rStyle w:val="Strong"/>
          <w:b w:val="0"/>
          <w:bCs w:val="0"/>
          <w:lang w:val="es-ES"/>
        </w:rPr>
        <w:t>artículos 1, 2, 3, 24, 34 y 29 </w:t>
      </w:r>
      <w:r w:rsidR="00FA0F22" w:rsidRPr="00D4409B">
        <w:rPr>
          <w:rStyle w:val="ui-provider"/>
          <w:lang w:val="es-ES"/>
        </w:rPr>
        <w:t>de la Constitución Política de Nicaragua; </w:t>
      </w:r>
      <w:r w:rsidR="00FA0F22" w:rsidRPr="00D4409B">
        <w:rPr>
          <w:rStyle w:val="Strong"/>
          <w:b w:val="0"/>
          <w:bCs w:val="0"/>
          <w:lang w:val="es-ES"/>
        </w:rPr>
        <w:t>artículos 31, 409, 410, 412, 413 de la Ley 641 del Código Penal; Ley 1055, </w:t>
      </w:r>
      <w:r w:rsidR="00FA0F22" w:rsidRPr="00D4409B">
        <w:rPr>
          <w:rStyle w:val="ui-provider"/>
          <w:lang w:val="es-ES"/>
        </w:rPr>
        <w:t>Ley de Defensa a los Derechos del Pueblo a la Independencia, la Soberanía y Autodeterminación para la Paz”</w:t>
      </w:r>
      <w:r w:rsidR="00FA0F22">
        <w:rPr>
          <w:rStyle w:val="FootnoteReference"/>
          <w:lang w:val="es-ES"/>
        </w:rPr>
        <w:footnoteReference w:id="29"/>
      </w:r>
    </w:p>
    <w:p w14:paraId="077EBEAA" w14:textId="304637F6"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BC464C">
        <w:rPr>
          <w:lang w:val="es-ES"/>
        </w:rPr>
        <w:t xml:space="preserve"> </w:t>
      </w:r>
      <w:r w:rsidRPr="00BC464C">
        <w:rPr>
          <w:lang w:val="es-ES"/>
        </w:rPr>
        <w:t>señala que estas medidas son arbitrarias y no están permitidas por el derecho internacional de los derechos humanos. Además, dichas medidas y la forma en que las autoridades judiciales tramitaron estos casos, incluido el hecho de que no ten</w:t>
      </w:r>
      <w:r w:rsidR="004A037B">
        <w:rPr>
          <w:lang w:val="es-ES"/>
        </w:rPr>
        <w:t>dr</w:t>
      </w:r>
      <w:r w:rsidRPr="00BC464C">
        <w:rPr>
          <w:lang w:val="es-ES"/>
        </w:rPr>
        <w:t xml:space="preserve">ían ningún fundamento en la legislación nacional, </w:t>
      </w:r>
      <w:r w:rsidR="002F3E39">
        <w:rPr>
          <w:lang w:val="es-ES"/>
        </w:rPr>
        <w:t>han suscitado</w:t>
      </w:r>
      <w:r w:rsidR="002F3E39" w:rsidRPr="00BC464C">
        <w:rPr>
          <w:lang w:val="es-ES"/>
        </w:rPr>
        <w:t xml:space="preserve"> </w:t>
      </w:r>
      <w:r w:rsidRPr="00BC464C">
        <w:rPr>
          <w:lang w:val="es-ES"/>
        </w:rPr>
        <w:t>preocupación acerca de la independencia e imparcialidad del poder judicial en Nicaragua.</w:t>
      </w:r>
      <w:r w:rsidRPr="005F21F4">
        <w:rPr>
          <w:rStyle w:val="FootnoteReference"/>
        </w:rPr>
        <w:footnoteReference w:id="30"/>
      </w:r>
    </w:p>
    <w:p w14:paraId="24653F26" w14:textId="77777777" w:rsidR="00ED1618" w:rsidRPr="00BC464C" w:rsidRDefault="00ED1618" w:rsidP="00ED1618">
      <w:pPr>
        <w:pStyle w:val="H1G"/>
        <w:spacing w:line="236" w:lineRule="atLeast"/>
        <w:rPr>
          <w:lang w:val="es-ES"/>
        </w:rPr>
      </w:pPr>
      <w:r w:rsidRPr="00BC464C">
        <w:rPr>
          <w:lang w:val="es-ES"/>
        </w:rPr>
        <w:tab/>
        <w:t>D.</w:t>
      </w:r>
      <w:r w:rsidRPr="00BC464C">
        <w:rPr>
          <w:lang w:val="es-ES"/>
        </w:rPr>
        <w:tab/>
        <w:t xml:space="preserve">Derechos a la nacionalidad y a la personalidad jurídica </w:t>
      </w:r>
    </w:p>
    <w:p w14:paraId="5B3461E8" w14:textId="2313380D"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El 9 de febrero de 2023, la Asamblea Nacional reformó el artículo 21 </w:t>
      </w:r>
      <w:r w:rsidR="002F3E39">
        <w:rPr>
          <w:lang w:val="es-ES"/>
        </w:rPr>
        <w:t>de la Constitución</w:t>
      </w:r>
      <w:r w:rsidRPr="005F21F4">
        <w:rPr>
          <w:rStyle w:val="FootnoteReference"/>
        </w:rPr>
        <w:footnoteReference w:id="31"/>
      </w:r>
      <w:r w:rsidRPr="00BC464C">
        <w:rPr>
          <w:lang w:val="es-ES"/>
        </w:rPr>
        <w:t xml:space="preserve"> y aprobó la </w:t>
      </w:r>
      <w:r w:rsidRPr="00D12201">
        <w:rPr>
          <w:lang w:val="es-ES"/>
        </w:rPr>
        <w:t>Ley Especial que Regula la Pérdida de Nacionalidad Nicaragüense</w:t>
      </w:r>
      <w:r w:rsidRPr="00BC464C">
        <w:rPr>
          <w:lang w:val="es-ES"/>
        </w:rPr>
        <w:t xml:space="preserve">, que permite privar de la nacionalidad a quienes sean considerados "traidores </w:t>
      </w:r>
      <w:proofErr w:type="gramStart"/>
      <w:r w:rsidR="00CA3580">
        <w:rPr>
          <w:lang w:val="es-ES"/>
        </w:rPr>
        <w:t xml:space="preserve">a </w:t>
      </w:r>
      <w:r w:rsidRPr="00BC464C">
        <w:rPr>
          <w:lang w:val="es-ES"/>
        </w:rPr>
        <w:t xml:space="preserve"> la</w:t>
      </w:r>
      <w:proofErr w:type="gramEnd"/>
      <w:r w:rsidRPr="00BC464C">
        <w:rPr>
          <w:lang w:val="es-ES"/>
        </w:rPr>
        <w:t xml:space="preserve"> patria". La reforma fue aprobada sin publicidad ni debate previos, en una sesión que duró menos de 30 minutos.</w:t>
      </w:r>
      <w:r w:rsidRPr="005F21F4">
        <w:rPr>
          <w:rStyle w:val="FootnoteReference"/>
        </w:rPr>
        <w:footnoteReference w:id="32"/>
      </w:r>
    </w:p>
    <w:p w14:paraId="039CD79A" w14:textId="335A06E4"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En la misma fecha, el Tribunal de Apelación de Managua privó de su nacionalidad a las 222 personas expulsadas a Estados Unidos, sin especificar qué actos justificaron la decisión. También dispuso su </w:t>
      </w:r>
      <w:r>
        <w:rPr>
          <w:lang w:val="es-ES"/>
        </w:rPr>
        <w:t>inhabilitación para</w:t>
      </w:r>
      <w:r w:rsidRPr="003119EE">
        <w:rPr>
          <w:lang w:val="es-ES"/>
        </w:rPr>
        <w:t xml:space="preserve"> </w:t>
      </w:r>
      <w:r w:rsidRPr="00D6015F">
        <w:rPr>
          <w:lang w:val="es-ES"/>
        </w:rPr>
        <w:t xml:space="preserve">los cargos </w:t>
      </w:r>
      <w:r>
        <w:rPr>
          <w:lang w:val="es-ES"/>
        </w:rPr>
        <w:t>públicos y de elección popular,</w:t>
      </w:r>
      <w:r w:rsidRPr="00D6015F">
        <w:rPr>
          <w:lang w:val="es-ES"/>
        </w:rPr>
        <w:t xml:space="preserve"> </w:t>
      </w:r>
      <w:r w:rsidRPr="00BC464C">
        <w:rPr>
          <w:lang w:val="es-ES"/>
        </w:rPr>
        <w:t>y la "suspensión perpetua" de sus derechos de ciudadanía. El 15 de febrero, el mismo tribunal dictó otra resolución con la misma medida contra otr</w:t>
      </w:r>
      <w:r>
        <w:rPr>
          <w:lang w:val="es-ES"/>
        </w:rPr>
        <w:t>a</w:t>
      </w:r>
      <w:r w:rsidRPr="00BC464C">
        <w:rPr>
          <w:lang w:val="es-ES"/>
        </w:rPr>
        <w:t>s 94</w:t>
      </w:r>
      <w:r>
        <w:rPr>
          <w:lang w:val="es-ES"/>
        </w:rPr>
        <w:t xml:space="preserve"> personas</w:t>
      </w:r>
      <w:r w:rsidRPr="00BC464C">
        <w:rPr>
          <w:lang w:val="es-ES"/>
        </w:rPr>
        <w:t xml:space="preserve"> nicaragüenses -algun</w:t>
      </w:r>
      <w:r>
        <w:rPr>
          <w:lang w:val="es-ES"/>
        </w:rPr>
        <w:t>a</w:t>
      </w:r>
      <w:r w:rsidRPr="00BC464C">
        <w:rPr>
          <w:lang w:val="es-ES"/>
        </w:rPr>
        <w:t xml:space="preserve">s </w:t>
      </w:r>
      <w:r w:rsidR="002F3E39">
        <w:rPr>
          <w:lang w:val="es-ES"/>
        </w:rPr>
        <w:t xml:space="preserve">ya </w:t>
      </w:r>
      <w:r w:rsidRPr="00BC464C">
        <w:rPr>
          <w:lang w:val="es-ES"/>
        </w:rPr>
        <w:t>exiliad</w:t>
      </w:r>
      <w:r>
        <w:rPr>
          <w:lang w:val="es-ES"/>
        </w:rPr>
        <w:t>a</w:t>
      </w:r>
      <w:r w:rsidRPr="00BC464C">
        <w:rPr>
          <w:lang w:val="es-ES"/>
        </w:rPr>
        <w:t>s y otr</w:t>
      </w:r>
      <w:r>
        <w:rPr>
          <w:lang w:val="es-ES"/>
        </w:rPr>
        <w:t>a</w:t>
      </w:r>
      <w:r w:rsidRPr="00BC464C">
        <w:rPr>
          <w:lang w:val="es-ES"/>
        </w:rPr>
        <w:t xml:space="preserve">s </w:t>
      </w:r>
      <w:r w:rsidR="002F3E39">
        <w:rPr>
          <w:lang w:val="es-ES"/>
        </w:rPr>
        <w:t xml:space="preserve">aún </w:t>
      </w:r>
      <w:r w:rsidRPr="00BC464C">
        <w:rPr>
          <w:lang w:val="es-ES"/>
        </w:rPr>
        <w:t>en Nicaragua-, calificándol</w:t>
      </w:r>
      <w:r>
        <w:rPr>
          <w:lang w:val="es-ES"/>
        </w:rPr>
        <w:t>a</w:t>
      </w:r>
      <w:r w:rsidRPr="00BC464C">
        <w:rPr>
          <w:lang w:val="es-ES"/>
        </w:rPr>
        <w:t>s de "prófug</w:t>
      </w:r>
      <w:r w:rsidR="00381357">
        <w:rPr>
          <w:lang w:val="es-ES"/>
        </w:rPr>
        <w:t>a</w:t>
      </w:r>
      <w:r w:rsidRPr="00BC464C">
        <w:rPr>
          <w:lang w:val="es-ES"/>
        </w:rPr>
        <w:t>s de la justicia".</w:t>
      </w:r>
      <w:r w:rsidRPr="005F21F4">
        <w:rPr>
          <w:rStyle w:val="FootnoteReference"/>
        </w:rPr>
        <w:footnoteReference w:id="33"/>
      </w:r>
    </w:p>
    <w:p w14:paraId="3307EC03" w14:textId="7777777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No se divulgó información sobre un juicio penal o cualquier proceso legal en el que se hubieran adoptado estas decisiones, y en el que las personas afectadas hubieran podido ejercer su defensa, como exige el derecho internacional de los derechos humanos. Según la Convención para Reducir los Casos de Apatridia, ratificada por Nicaragua en 2013, los Estados no privarán a ninguna persona o grupo de personas de su nacionalidad por motivos políticos. Tampoco privarán a una persona de su nacionalidad si tal privación la convierte en apátrida, a menos que esté comprendida en las excepciones establecidas en la Convención.</w:t>
      </w:r>
    </w:p>
    <w:p w14:paraId="51F60A5A" w14:textId="0C24621F"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La OACNUDH también ha documentado al menos 43 casos de personas entre las </w:t>
      </w:r>
      <w:r w:rsidR="002F3E39">
        <w:rPr>
          <w:lang w:val="es-ES"/>
        </w:rPr>
        <w:t>316</w:t>
      </w:r>
      <w:r w:rsidRPr="00BC464C">
        <w:rPr>
          <w:lang w:val="es-ES"/>
        </w:rPr>
        <w:t xml:space="preserve"> personas privadas de su nacionalidad, a quienes se les negaron copias de documentos del registro civil y de expedientes académicos en las universidades, y </w:t>
      </w:r>
      <w:r>
        <w:rPr>
          <w:lang w:val="es-ES"/>
        </w:rPr>
        <w:t>fueron informadas por funcionarios de</w:t>
      </w:r>
      <w:r w:rsidRPr="00BC464C">
        <w:rPr>
          <w:lang w:val="es-ES"/>
        </w:rPr>
        <w:t xml:space="preserve"> que "no exist</w:t>
      </w:r>
      <w:r w:rsidR="002F3E39">
        <w:rPr>
          <w:lang w:val="es-ES"/>
        </w:rPr>
        <w:t>ían</w:t>
      </w:r>
      <w:r w:rsidRPr="00BC464C">
        <w:rPr>
          <w:lang w:val="es-ES"/>
        </w:rPr>
        <w:t xml:space="preserve">" en los registros públicos. Como consecuencia, a estas personas se les ha impedido ejercer su derecho a buscar y recibir información, incluida su información personal. Esto puede equivaler a la "muerte civil" de las personas afectadas, y ha tenido un grave impacto negativo en los derechos de las personas afectadas y sus familias. En un caso especialmente grave, también se habría eliminado del registro civil la inscripción de nacimiento del hijo de </w:t>
      </w:r>
      <w:r>
        <w:rPr>
          <w:lang w:val="es-ES"/>
        </w:rPr>
        <w:t>una de las personas afectadas</w:t>
      </w:r>
      <w:r w:rsidRPr="00BC464C">
        <w:rPr>
          <w:lang w:val="es-ES"/>
        </w:rPr>
        <w:t xml:space="preserve">. </w:t>
      </w:r>
    </w:p>
    <w:p w14:paraId="66F801AC" w14:textId="6AD4F223"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Las personas que percibían pensiones o habían cotizado al Instituto Nicaragüense de Seguridad Social </w:t>
      </w:r>
      <w:proofErr w:type="gramStart"/>
      <w:r w:rsidR="00D73061">
        <w:rPr>
          <w:lang w:val="es-ES"/>
        </w:rPr>
        <w:t xml:space="preserve">están </w:t>
      </w:r>
      <w:r w:rsidRPr="00BC464C">
        <w:rPr>
          <w:lang w:val="es-ES"/>
        </w:rPr>
        <w:t xml:space="preserve"> especialmente</w:t>
      </w:r>
      <w:proofErr w:type="gramEnd"/>
      <w:r w:rsidRPr="00BC464C">
        <w:rPr>
          <w:lang w:val="es-ES"/>
        </w:rPr>
        <w:t xml:space="preserve"> afectadas, ya que, al parecer, sus datos personales han sido borrados de los registros del Instituto y se les ha privado de su derecho a una pensión.</w:t>
      </w:r>
    </w:p>
    <w:p w14:paraId="536521AA" w14:textId="065A0F5F"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Los días 9 y 11 de mayo de 2023, la Corte Suprema de Justicia dictó una resolución suspendiendo definitivamente las licencias </w:t>
      </w:r>
      <w:r>
        <w:rPr>
          <w:lang w:val="es-ES"/>
        </w:rPr>
        <w:t xml:space="preserve">para ejercer la abogacía y notaría </w:t>
      </w:r>
      <w:r w:rsidRPr="00BC464C">
        <w:rPr>
          <w:lang w:val="es-ES"/>
        </w:rPr>
        <w:t xml:space="preserve">de 26 </w:t>
      </w:r>
      <w:r>
        <w:rPr>
          <w:lang w:val="es-ES"/>
        </w:rPr>
        <w:t>personas</w:t>
      </w:r>
      <w:r w:rsidRPr="00BC464C">
        <w:rPr>
          <w:lang w:val="es-ES"/>
        </w:rPr>
        <w:t xml:space="preserve"> del grupo de 316 personas privadas de nacionalidad, declarando que, como </w:t>
      </w:r>
      <w:r>
        <w:rPr>
          <w:lang w:val="es-ES"/>
        </w:rPr>
        <w:t>personas extranjeras</w:t>
      </w:r>
      <w:r w:rsidRPr="00BC464C">
        <w:rPr>
          <w:lang w:val="es-ES"/>
        </w:rPr>
        <w:t>, ya no podían ejercer su profesión en Nicaragua</w:t>
      </w:r>
      <w:r w:rsidRPr="00BC464C">
        <w:rPr>
          <w:rStyle w:val="FootnoteReference"/>
          <w:lang w:val="es-ES"/>
        </w:rPr>
        <w:t xml:space="preserve">. </w:t>
      </w:r>
    </w:p>
    <w:p w14:paraId="69C94C19" w14:textId="77777777" w:rsidR="00ED1618" w:rsidRDefault="00ED1618" w:rsidP="00ED1618">
      <w:pPr>
        <w:pStyle w:val="H1G"/>
        <w:spacing w:line="236" w:lineRule="atLeast"/>
      </w:pPr>
      <w:r w:rsidRPr="00BC464C">
        <w:rPr>
          <w:lang w:val="es-ES"/>
        </w:rPr>
        <w:tab/>
      </w:r>
      <w:r w:rsidRPr="00EA7E0A">
        <w:t>E.</w:t>
      </w:r>
      <w:r w:rsidRPr="00EA7E0A">
        <w:tab/>
        <w:t xml:space="preserve">Libertad de </w:t>
      </w:r>
      <w:proofErr w:type="spellStart"/>
      <w:r w:rsidRPr="00EA7E0A">
        <w:t>circulación</w:t>
      </w:r>
      <w:proofErr w:type="spellEnd"/>
    </w:p>
    <w:p w14:paraId="6A795703" w14:textId="1B7E9ED5"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BC464C">
        <w:rPr>
          <w:lang w:val="es-ES"/>
        </w:rPr>
        <w:t xml:space="preserve"> </w:t>
      </w:r>
      <w:r w:rsidRPr="00BC464C">
        <w:rPr>
          <w:lang w:val="es-ES"/>
        </w:rPr>
        <w:t>ha recibido información de que, desde septiembre de 2022, a 27 nacionales nicaragüenses se les negó la entrada a Nicaragua después de viaj</w:t>
      </w:r>
      <w:r w:rsidR="004A037B">
        <w:rPr>
          <w:lang w:val="es-ES"/>
        </w:rPr>
        <w:t>ar</w:t>
      </w:r>
      <w:r w:rsidRPr="00BC464C">
        <w:rPr>
          <w:lang w:val="es-ES"/>
        </w:rPr>
        <w:t xml:space="preserve"> </w:t>
      </w:r>
      <w:r w:rsidR="004A037B">
        <w:rPr>
          <w:lang w:val="es-ES"/>
        </w:rPr>
        <w:t>brevemente</w:t>
      </w:r>
      <w:r w:rsidR="004A037B" w:rsidRPr="00BC464C">
        <w:rPr>
          <w:lang w:val="es-ES"/>
        </w:rPr>
        <w:t xml:space="preserve"> </w:t>
      </w:r>
      <w:r w:rsidRPr="00BC464C">
        <w:rPr>
          <w:lang w:val="es-ES"/>
        </w:rPr>
        <w:t xml:space="preserve">fuera del país. El artículo 12 del Pacto Internacional de Derechos Civiles y Políticos establece que nadie podrá ser privado arbitrariamente del derecho a entrar en su propio país. A este respecto, el Comité de Derechos Humanos </w:t>
      </w:r>
      <w:r w:rsidR="00E142D8">
        <w:rPr>
          <w:lang w:val="es-ES"/>
        </w:rPr>
        <w:t>ha señalado</w:t>
      </w:r>
      <w:r w:rsidR="00E142D8" w:rsidRPr="00BC464C">
        <w:rPr>
          <w:lang w:val="es-ES"/>
        </w:rPr>
        <w:t xml:space="preserve"> </w:t>
      </w:r>
      <w:r w:rsidRPr="00BC464C">
        <w:rPr>
          <w:lang w:val="es-ES"/>
        </w:rPr>
        <w:t xml:space="preserve">que hay "pocas circunstancias, si es que hay alguna", en las que dicha medida pueda ser razonable. </w:t>
      </w:r>
      <w:r w:rsidRPr="005F21F4">
        <w:rPr>
          <w:rStyle w:val="FootnoteReference"/>
        </w:rPr>
        <w:footnoteReference w:id="34"/>
      </w:r>
    </w:p>
    <w:p w14:paraId="4C0BF890" w14:textId="63A00321"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BC464C">
        <w:rPr>
          <w:lang w:val="es-ES"/>
        </w:rPr>
        <w:t xml:space="preserve"> </w:t>
      </w:r>
      <w:r w:rsidRPr="00BC464C">
        <w:rPr>
          <w:lang w:val="es-ES"/>
        </w:rPr>
        <w:t xml:space="preserve">ha documentado que esta práctica, que afectó a varias personas que realizaban actividades internacionales de defensa de los derechos humanos en Nicaragua, aumentó en el primer semestre de 2023. Para quienes tienen familiares dependientes en Nicaragua, como personas mayores y </w:t>
      </w:r>
      <w:proofErr w:type="gramStart"/>
      <w:r w:rsidRPr="00BC464C">
        <w:rPr>
          <w:lang w:val="es-ES"/>
        </w:rPr>
        <w:t>niños</w:t>
      </w:r>
      <w:r>
        <w:rPr>
          <w:lang w:val="es-ES"/>
        </w:rPr>
        <w:t xml:space="preserve"> y niñas</w:t>
      </w:r>
      <w:proofErr w:type="gramEnd"/>
      <w:r w:rsidRPr="00BC464C">
        <w:rPr>
          <w:lang w:val="es-ES"/>
        </w:rPr>
        <w:t xml:space="preserve">, esta práctica a menudo </w:t>
      </w:r>
      <w:r w:rsidR="00E142D8">
        <w:rPr>
          <w:lang w:val="es-ES"/>
        </w:rPr>
        <w:t>ha dado</w:t>
      </w:r>
      <w:r w:rsidR="00E142D8" w:rsidRPr="00BC464C">
        <w:rPr>
          <w:lang w:val="es-ES"/>
        </w:rPr>
        <w:t xml:space="preserve"> </w:t>
      </w:r>
      <w:r w:rsidRPr="00BC464C">
        <w:rPr>
          <w:lang w:val="es-ES"/>
        </w:rPr>
        <w:t>lugar a separaciones familiares contrarias al derecho internacional de los derechos humanos.</w:t>
      </w:r>
    </w:p>
    <w:p w14:paraId="024B8A6D" w14:textId="7777777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En abril de 2023, a dos familiares de una de las 222 personas expulsadas a Estados Unidos se les denegó el embarque en el vuelo de Estados Unidos a Managua por parte de la compañía aérea, que les informó de que no tenían autorizada la entrada en Nicaragua. Esto provocó que sus tres hijos pequeños en Nicaragua quedaran al cuidado de otro familiar.</w:t>
      </w:r>
    </w:p>
    <w:p w14:paraId="270A3078" w14:textId="77777777" w:rsidR="00ED1618" w:rsidRDefault="00ED1618" w:rsidP="00ED1618">
      <w:pPr>
        <w:pStyle w:val="H1G"/>
        <w:spacing w:line="236" w:lineRule="atLeast"/>
      </w:pPr>
      <w:r w:rsidRPr="00BC464C">
        <w:rPr>
          <w:lang w:val="es-ES"/>
        </w:rPr>
        <w:tab/>
      </w:r>
      <w:r w:rsidRPr="00EA7E0A">
        <w:t>F.</w:t>
      </w:r>
      <w:r w:rsidRPr="00EA7E0A">
        <w:tab/>
      </w:r>
      <w:proofErr w:type="spellStart"/>
      <w:r w:rsidRPr="00EA7E0A">
        <w:t>Desapariciones</w:t>
      </w:r>
      <w:proofErr w:type="spellEnd"/>
      <w:r w:rsidRPr="00EA7E0A">
        <w:t xml:space="preserve"> </w:t>
      </w:r>
      <w:proofErr w:type="spellStart"/>
      <w:r w:rsidRPr="00EA7E0A">
        <w:t>forzadas</w:t>
      </w:r>
      <w:proofErr w:type="spellEnd"/>
    </w:p>
    <w:p w14:paraId="4CF24044" w14:textId="29A79F25"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BC464C">
        <w:rPr>
          <w:lang w:val="es-ES"/>
        </w:rPr>
        <w:t xml:space="preserve"> </w:t>
      </w:r>
      <w:r w:rsidR="00E142D8">
        <w:rPr>
          <w:lang w:val="es-ES"/>
        </w:rPr>
        <w:t>ha recibido</w:t>
      </w:r>
      <w:r w:rsidR="00E142D8" w:rsidRPr="00BC464C">
        <w:rPr>
          <w:lang w:val="es-ES"/>
        </w:rPr>
        <w:t xml:space="preserve"> </w:t>
      </w:r>
      <w:r w:rsidRPr="00BC464C">
        <w:rPr>
          <w:lang w:val="es-ES"/>
        </w:rPr>
        <w:t>información de que las autoridades se negaban a reconocer las detenciones y/</w:t>
      </w:r>
      <w:proofErr w:type="spellStart"/>
      <w:r w:rsidRPr="00BC464C">
        <w:rPr>
          <w:lang w:val="es-ES"/>
        </w:rPr>
        <w:t>o</w:t>
      </w:r>
      <w:proofErr w:type="spellEnd"/>
      <w:r w:rsidRPr="00BC464C">
        <w:rPr>
          <w:lang w:val="es-ES"/>
        </w:rPr>
        <w:t xml:space="preserve"> ocultaban </w:t>
      </w:r>
      <w:r w:rsidR="004A037B">
        <w:rPr>
          <w:lang w:val="es-ES"/>
        </w:rPr>
        <w:t>el paradero</w:t>
      </w:r>
      <w:r w:rsidRPr="00BC464C">
        <w:rPr>
          <w:lang w:val="es-ES"/>
        </w:rPr>
        <w:t xml:space="preserve"> de la persona desaparecida, sustrayéndola de hecho a la protección de la ley y poniendo su vida en peligro. Esta práctica constituye una desaparición forzada. Esto también viola el derecho a ser reconocido como persona ante la ley, el derecho a la vida, la prohibición de la tortura o tratos o penas crueles, inhumanos o degradantes y el derecho a la libertad y seguridad </w:t>
      </w:r>
      <w:r>
        <w:rPr>
          <w:lang w:val="es-ES"/>
        </w:rPr>
        <w:t>personales</w:t>
      </w:r>
      <w:r w:rsidRPr="005F21F4">
        <w:rPr>
          <w:rStyle w:val="FootnoteReference"/>
        </w:rPr>
        <w:footnoteReference w:id="35"/>
      </w:r>
      <w:r w:rsidRPr="00BC464C">
        <w:rPr>
          <w:lang w:val="es-ES"/>
        </w:rPr>
        <w:t>. Los</w:t>
      </w:r>
      <w:r>
        <w:rPr>
          <w:lang w:val="es-ES"/>
        </w:rPr>
        <w:t xml:space="preserve"> y las</w:t>
      </w:r>
      <w:r w:rsidRPr="00BC464C">
        <w:rPr>
          <w:lang w:val="es-ES"/>
        </w:rPr>
        <w:t xml:space="preserve"> familiares </w:t>
      </w:r>
      <w:r w:rsidRPr="00BC464C" w:rsidDel="004049F6">
        <w:rPr>
          <w:lang w:val="es-ES"/>
        </w:rPr>
        <w:t xml:space="preserve">tuvieron que visitar </w:t>
      </w:r>
      <w:r w:rsidRPr="00BC464C">
        <w:rPr>
          <w:lang w:val="es-ES"/>
        </w:rPr>
        <w:t xml:space="preserve">sin éxito </w:t>
      </w:r>
      <w:r w:rsidRPr="00BC464C" w:rsidDel="004049F6">
        <w:rPr>
          <w:lang w:val="es-ES"/>
        </w:rPr>
        <w:t xml:space="preserve">comisarías, centros de detención y juzgados en </w:t>
      </w:r>
      <w:r w:rsidRPr="00BC464C">
        <w:rPr>
          <w:lang w:val="es-ES"/>
        </w:rPr>
        <w:t xml:space="preserve">busca de información sobre el paradero de </w:t>
      </w:r>
      <w:r w:rsidR="00E142D8">
        <w:rPr>
          <w:lang w:val="es-ES"/>
        </w:rPr>
        <w:t>las personas detenidas</w:t>
      </w:r>
      <w:r w:rsidRPr="00BC464C">
        <w:rPr>
          <w:lang w:val="es-ES"/>
        </w:rPr>
        <w:t xml:space="preserve">. En algunos casos, el único reconocimiento de la detención era la aceptación de alimentos u otros artículos para </w:t>
      </w:r>
      <w:r w:rsidR="004A037B">
        <w:rPr>
          <w:lang w:val="es-ES"/>
        </w:rPr>
        <w:t>la persona detenida</w:t>
      </w:r>
      <w:r w:rsidRPr="00BC464C">
        <w:rPr>
          <w:lang w:val="es-ES"/>
        </w:rPr>
        <w:t xml:space="preserve">. En muchos casos, </w:t>
      </w:r>
      <w:r>
        <w:rPr>
          <w:lang w:val="es-ES"/>
        </w:rPr>
        <w:t>las personas detenidas</w:t>
      </w:r>
      <w:r w:rsidRPr="00BC464C">
        <w:rPr>
          <w:lang w:val="es-ES"/>
        </w:rPr>
        <w:t xml:space="preserve"> sólo eran registrad</w:t>
      </w:r>
      <w:r>
        <w:rPr>
          <w:lang w:val="es-ES"/>
        </w:rPr>
        <w:t>a</w:t>
      </w:r>
      <w:r w:rsidRPr="00BC464C">
        <w:rPr>
          <w:lang w:val="es-ES"/>
        </w:rPr>
        <w:t xml:space="preserve">s </w:t>
      </w:r>
      <w:r w:rsidR="004A037B">
        <w:rPr>
          <w:lang w:val="es-ES"/>
        </w:rPr>
        <w:t>o</w:t>
      </w:r>
      <w:r w:rsidR="004A037B" w:rsidRPr="00BC464C">
        <w:rPr>
          <w:lang w:val="es-ES"/>
        </w:rPr>
        <w:t xml:space="preserve"> </w:t>
      </w:r>
      <w:r w:rsidRPr="00BC464C">
        <w:rPr>
          <w:lang w:val="es-ES"/>
        </w:rPr>
        <w:t>reconocid</w:t>
      </w:r>
      <w:r>
        <w:rPr>
          <w:lang w:val="es-ES"/>
        </w:rPr>
        <w:t>a</w:t>
      </w:r>
      <w:r w:rsidRPr="00BC464C">
        <w:rPr>
          <w:lang w:val="es-ES"/>
        </w:rPr>
        <w:t xml:space="preserve">s oficialmente </w:t>
      </w:r>
      <w:r>
        <w:rPr>
          <w:lang w:val="es-ES"/>
        </w:rPr>
        <w:t xml:space="preserve">como privadas de la libertad </w:t>
      </w:r>
      <w:r w:rsidRPr="00BC464C">
        <w:rPr>
          <w:lang w:val="es-ES"/>
        </w:rPr>
        <w:t xml:space="preserve">varios días después de la detención, lo que </w:t>
      </w:r>
      <w:r w:rsidRPr="00BC464C" w:rsidDel="004049F6">
        <w:rPr>
          <w:lang w:val="es-ES"/>
        </w:rPr>
        <w:t>l</w:t>
      </w:r>
      <w:r>
        <w:rPr>
          <w:lang w:val="es-ES"/>
        </w:rPr>
        <w:t>a</w:t>
      </w:r>
      <w:r w:rsidRPr="00BC464C" w:rsidDel="004049F6">
        <w:rPr>
          <w:lang w:val="es-ES"/>
        </w:rPr>
        <w:t xml:space="preserve">s </w:t>
      </w:r>
      <w:r w:rsidRPr="00BC464C">
        <w:rPr>
          <w:lang w:val="es-ES"/>
        </w:rPr>
        <w:t xml:space="preserve">situaba </w:t>
      </w:r>
      <w:r w:rsidRPr="00BC464C" w:rsidDel="004049F6">
        <w:rPr>
          <w:lang w:val="es-ES"/>
        </w:rPr>
        <w:t xml:space="preserve">fuera de la protección de la ley durante </w:t>
      </w:r>
      <w:r w:rsidRPr="00BC464C">
        <w:rPr>
          <w:lang w:val="es-ES"/>
        </w:rPr>
        <w:t xml:space="preserve">periodos </w:t>
      </w:r>
      <w:r w:rsidRPr="00BC464C" w:rsidDel="004049F6">
        <w:rPr>
          <w:lang w:val="es-ES"/>
        </w:rPr>
        <w:t xml:space="preserve">que oscilaban entre </w:t>
      </w:r>
      <w:r w:rsidRPr="00BC464C">
        <w:rPr>
          <w:lang w:val="es-ES"/>
        </w:rPr>
        <w:t>unas horas y tres o cuatro semanas.</w:t>
      </w:r>
    </w:p>
    <w:p w14:paraId="049844ED" w14:textId="7777777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BC464C">
        <w:rPr>
          <w:lang w:val="es-ES"/>
        </w:rPr>
        <w:t xml:space="preserve"> </w:t>
      </w:r>
      <w:r w:rsidRPr="00BC464C">
        <w:rPr>
          <w:lang w:val="es-ES"/>
        </w:rPr>
        <w:t>ha documentado al menos 27 casos (22 hombres y 5 mujeres) de desapariciones forzadas en relación con la crisis de 2018 desde septiembre de 2022, y un total de 31 casos desde 2021.</w:t>
      </w:r>
    </w:p>
    <w:p w14:paraId="6098F1DE" w14:textId="1E910BCF" w:rsidR="00ED1618" w:rsidRPr="00D4409B" w:rsidRDefault="00ED1618" w:rsidP="00ED1618">
      <w:pPr>
        <w:pStyle w:val="H1G"/>
        <w:spacing w:line="236" w:lineRule="atLeast"/>
        <w:rPr>
          <w:lang w:val="es-ES"/>
        </w:rPr>
      </w:pPr>
      <w:r w:rsidRPr="00BC464C">
        <w:rPr>
          <w:lang w:val="es-ES"/>
        </w:rPr>
        <w:tab/>
      </w:r>
      <w:r w:rsidRPr="00D4409B">
        <w:rPr>
          <w:lang w:val="es-ES"/>
        </w:rPr>
        <w:t>G.</w:t>
      </w:r>
      <w:r w:rsidRPr="00D4409B">
        <w:rPr>
          <w:lang w:val="es-ES"/>
        </w:rPr>
        <w:tab/>
      </w:r>
      <w:r w:rsidRPr="00D4409B" w:rsidDel="004049F6">
        <w:rPr>
          <w:lang w:val="es-ES"/>
        </w:rPr>
        <w:t xml:space="preserve">Derecho a la </w:t>
      </w:r>
      <w:r w:rsidRPr="00D4409B">
        <w:rPr>
          <w:lang w:val="es-ES"/>
        </w:rPr>
        <w:t>propiedad</w:t>
      </w:r>
    </w:p>
    <w:p w14:paraId="6683AD35" w14:textId="048C37F6" w:rsidR="00ED1618" w:rsidRPr="00BC464C" w:rsidRDefault="00E142D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En</w:t>
      </w:r>
      <w:r w:rsidRPr="00BC464C">
        <w:rPr>
          <w:lang w:val="es-ES"/>
        </w:rPr>
        <w:t xml:space="preserve"> </w:t>
      </w:r>
      <w:r w:rsidR="00ED1618" w:rsidRPr="00BC464C">
        <w:rPr>
          <w:lang w:val="es-ES"/>
        </w:rPr>
        <w:t>dos resoluciones de</w:t>
      </w:r>
      <w:r w:rsidR="004A037B">
        <w:rPr>
          <w:lang w:val="es-ES"/>
        </w:rPr>
        <w:t>l</w:t>
      </w:r>
      <w:r w:rsidR="00ED1618" w:rsidRPr="00BC464C">
        <w:rPr>
          <w:lang w:val="es-ES"/>
        </w:rPr>
        <w:t xml:space="preserve"> 9 y </w:t>
      </w:r>
      <w:r w:rsidR="004A037B">
        <w:rPr>
          <w:lang w:val="es-ES"/>
        </w:rPr>
        <w:t xml:space="preserve">el </w:t>
      </w:r>
      <w:r w:rsidR="00ED1618" w:rsidRPr="00BC464C">
        <w:rPr>
          <w:lang w:val="es-ES"/>
        </w:rPr>
        <w:t>15 de febrero de 2023</w:t>
      </w:r>
      <w:r>
        <w:rPr>
          <w:lang w:val="es-ES"/>
        </w:rPr>
        <w:t>,</w:t>
      </w:r>
      <w:r w:rsidR="00ED1618" w:rsidRPr="00BC464C">
        <w:rPr>
          <w:lang w:val="es-ES"/>
        </w:rPr>
        <w:t xml:space="preserve"> </w:t>
      </w:r>
      <w:r w:rsidRPr="00BC464C">
        <w:rPr>
          <w:lang w:val="es-ES"/>
        </w:rPr>
        <w:t xml:space="preserve">el Tribunal de Apelaciones de Managua </w:t>
      </w:r>
      <w:r w:rsidR="00ED1618" w:rsidRPr="00BC464C">
        <w:rPr>
          <w:lang w:val="es-ES"/>
        </w:rPr>
        <w:t>orden</w:t>
      </w:r>
      <w:r>
        <w:rPr>
          <w:lang w:val="es-ES"/>
        </w:rPr>
        <w:t>ó</w:t>
      </w:r>
      <w:r w:rsidR="00ED1618" w:rsidRPr="00BC464C">
        <w:rPr>
          <w:lang w:val="es-ES"/>
        </w:rPr>
        <w:t xml:space="preserve"> la confiscación de todos los "bienes inmuebles y empresas" de las 316 personas privadas de su nacionalidad, incluidos todos los bienes a su nombre y aquellos en los que participa</w:t>
      </w:r>
      <w:r w:rsidR="00F3627D">
        <w:rPr>
          <w:lang w:val="es-ES"/>
        </w:rPr>
        <w:t>ra</w:t>
      </w:r>
      <w:r w:rsidR="00ED1618" w:rsidRPr="00BC464C">
        <w:rPr>
          <w:lang w:val="es-ES"/>
        </w:rPr>
        <w:t>n como socios.</w:t>
      </w:r>
    </w:p>
    <w:p w14:paraId="6498C91B" w14:textId="33553C96"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El 1 de marzo</w:t>
      </w:r>
      <w:r w:rsidR="00E142D8">
        <w:rPr>
          <w:lang w:val="es-ES"/>
        </w:rPr>
        <w:t xml:space="preserve"> de 2023</w:t>
      </w:r>
      <w:r w:rsidRPr="00BC464C">
        <w:rPr>
          <w:lang w:val="es-ES"/>
        </w:rPr>
        <w:t xml:space="preserve">, la Fiscalía General publicó un comunicado de prensa en el que </w:t>
      </w:r>
      <w:proofErr w:type="gramStart"/>
      <w:r w:rsidRPr="00BC464C">
        <w:rPr>
          <w:lang w:val="es-ES"/>
        </w:rPr>
        <w:t>advertía  que</w:t>
      </w:r>
      <w:proofErr w:type="gramEnd"/>
      <w:r w:rsidRPr="00BC464C">
        <w:rPr>
          <w:lang w:val="es-ES"/>
        </w:rPr>
        <w:t xml:space="preserve"> las personas que no habían sido privadas de su nacionalidad, pero vivían en las propiedades confiscadas, tendrían que acatar las decisiones judiciales</w:t>
      </w:r>
      <w:r w:rsidR="00E142D8">
        <w:rPr>
          <w:lang w:val="es-ES"/>
        </w:rPr>
        <w:t xml:space="preserve"> del </w:t>
      </w:r>
      <w:r w:rsidR="004A037B">
        <w:rPr>
          <w:lang w:val="es-ES"/>
        </w:rPr>
        <w:t xml:space="preserve">9 y el </w:t>
      </w:r>
      <w:r w:rsidR="00E142D8">
        <w:rPr>
          <w:lang w:val="es-ES"/>
        </w:rPr>
        <w:t>15 de febrero</w:t>
      </w:r>
      <w:r w:rsidRPr="00BC464C">
        <w:rPr>
          <w:lang w:val="es-ES"/>
        </w:rPr>
        <w:t>.</w:t>
      </w:r>
      <w:r w:rsidRPr="005F21F4">
        <w:rPr>
          <w:rStyle w:val="FootnoteReference"/>
        </w:rPr>
        <w:footnoteReference w:id="36"/>
      </w:r>
      <w:r w:rsidRPr="00BC464C">
        <w:rPr>
          <w:lang w:val="es-ES"/>
        </w:rPr>
        <w:t xml:space="preserve"> Al menos 78 viviendas y otras propiedades fueron confiscadas por las autoridades. También se informó </w:t>
      </w:r>
      <w:r>
        <w:rPr>
          <w:lang w:val="es-ES"/>
        </w:rPr>
        <w:t>a la OACNUDH</w:t>
      </w:r>
      <w:r w:rsidRPr="00BC464C" w:rsidDel="00BC464C">
        <w:rPr>
          <w:lang w:val="es-ES"/>
        </w:rPr>
        <w:t xml:space="preserve"> </w:t>
      </w:r>
      <w:r w:rsidRPr="00BC464C">
        <w:rPr>
          <w:lang w:val="es-ES"/>
        </w:rPr>
        <w:t>de casos en los que las propiedades confiscadas pertenecían a familiares que no figuraban en las decisiones, incluid</w:t>
      </w:r>
      <w:r w:rsidR="00A578EE">
        <w:rPr>
          <w:lang w:val="es-ES"/>
        </w:rPr>
        <w:t>a</w:t>
      </w:r>
      <w:r w:rsidRPr="00BC464C">
        <w:rPr>
          <w:lang w:val="es-ES"/>
        </w:rPr>
        <w:t>s</w:t>
      </w:r>
      <w:r w:rsidR="00A578EE">
        <w:rPr>
          <w:lang w:val="es-ES"/>
        </w:rPr>
        <w:t xml:space="preserve"> personas</w:t>
      </w:r>
      <w:r w:rsidRPr="00BC464C">
        <w:rPr>
          <w:lang w:val="es-ES"/>
        </w:rPr>
        <w:t xml:space="preserve"> menores de edad. Las personas mayores también se ven especialmente afectadas, ya que </w:t>
      </w:r>
      <w:r w:rsidR="00A578EE">
        <w:rPr>
          <w:lang w:val="es-ES"/>
        </w:rPr>
        <w:t>pierden</w:t>
      </w:r>
      <w:r w:rsidRPr="00BC464C">
        <w:rPr>
          <w:lang w:val="es-ES"/>
        </w:rPr>
        <w:t xml:space="preserve"> recursos, pensiones o ingresos por el alquiler de sus propiedades inmobiliarias.</w:t>
      </w:r>
    </w:p>
    <w:p w14:paraId="5467FE81" w14:textId="30779E6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Los procedimientos judiciales en los que se ordenaron estas medidas carec</w:t>
      </w:r>
      <w:r>
        <w:rPr>
          <w:lang w:val="es-ES"/>
        </w:rPr>
        <w:t>i</w:t>
      </w:r>
      <w:r w:rsidRPr="00BC464C">
        <w:rPr>
          <w:lang w:val="es-ES"/>
        </w:rPr>
        <w:t>e</w:t>
      </w:r>
      <w:r>
        <w:rPr>
          <w:lang w:val="es-ES"/>
        </w:rPr>
        <w:t>ro</w:t>
      </w:r>
      <w:r w:rsidRPr="00BC464C">
        <w:rPr>
          <w:lang w:val="es-ES"/>
        </w:rPr>
        <w:t xml:space="preserve">n del debido proceso y no observaron el principio de legalidad. Además, estas confiscaciones de propiedades y viviendas violaron </w:t>
      </w:r>
      <w:r w:rsidR="00E142D8">
        <w:rPr>
          <w:lang w:val="es-ES"/>
        </w:rPr>
        <w:t>los derechos</w:t>
      </w:r>
      <w:r w:rsidRPr="00BC464C">
        <w:rPr>
          <w:lang w:val="es-ES"/>
        </w:rPr>
        <w:t xml:space="preserve"> a disfrutar de un nivel de vida adecuado y a la propiedad. </w:t>
      </w:r>
    </w:p>
    <w:p w14:paraId="349B71B5" w14:textId="77777777" w:rsidR="00ED1618" w:rsidRPr="00BC464C" w:rsidRDefault="00ED1618" w:rsidP="00ED1618">
      <w:pPr>
        <w:pStyle w:val="HChG"/>
        <w:spacing w:line="236" w:lineRule="atLeast"/>
        <w:rPr>
          <w:lang w:val="es-ES"/>
        </w:rPr>
      </w:pPr>
      <w:r w:rsidRPr="00BC464C">
        <w:rPr>
          <w:lang w:val="es-ES"/>
        </w:rPr>
        <w:tab/>
        <w:t>IV.</w:t>
      </w:r>
      <w:r w:rsidRPr="00BC464C">
        <w:rPr>
          <w:lang w:val="es-ES"/>
        </w:rPr>
        <w:tab/>
        <w:t>Tortura, trato inhumano y condiciones de detención</w:t>
      </w:r>
    </w:p>
    <w:p w14:paraId="4A65F43C" w14:textId="0A7D592F"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La OACNUDH ha documentado casos de tortura física y psicológica, </w:t>
      </w:r>
      <w:r w:rsidRPr="00BC464C" w:rsidDel="00F8157D">
        <w:rPr>
          <w:lang w:val="es-ES"/>
        </w:rPr>
        <w:t>malos</w:t>
      </w:r>
      <w:r w:rsidRPr="00BC464C">
        <w:rPr>
          <w:lang w:val="es-ES"/>
        </w:rPr>
        <w:t xml:space="preserve"> tratos</w:t>
      </w:r>
      <w:r w:rsidR="00F8157D">
        <w:rPr>
          <w:lang w:val="es-ES"/>
        </w:rPr>
        <w:t xml:space="preserve"> </w:t>
      </w:r>
      <w:r w:rsidRPr="00BC464C">
        <w:rPr>
          <w:lang w:val="es-ES"/>
        </w:rPr>
        <w:t xml:space="preserve">(principalmente </w:t>
      </w:r>
      <w:r w:rsidR="00847072">
        <w:rPr>
          <w:lang w:val="es-ES"/>
        </w:rPr>
        <w:t xml:space="preserve">al </w:t>
      </w:r>
      <w:r w:rsidRPr="00BC464C">
        <w:rPr>
          <w:lang w:val="es-ES"/>
        </w:rPr>
        <w:t xml:space="preserve"> momento de la detención), </w:t>
      </w:r>
      <w:r w:rsidR="00E142D8" w:rsidDel="00847072">
        <w:rPr>
          <w:lang w:val="es-ES"/>
        </w:rPr>
        <w:t>y</w:t>
      </w:r>
      <w:r w:rsidRPr="00BC464C">
        <w:rPr>
          <w:lang w:val="es-ES"/>
        </w:rPr>
        <w:t xml:space="preserve"> el incumplimiento de las Reglas Mínimas de las Naciones Unidas para el Tratamiento de los Reclusos, </w:t>
      </w:r>
      <w:r w:rsidR="00E142D8">
        <w:rPr>
          <w:lang w:val="es-ES"/>
        </w:rPr>
        <w:t>(</w:t>
      </w:r>
      <w:r w:rsidRPr="00BC464C">
        <w:rPr>
          <w:lang w:val="es-ES"/>
        </w:rPr>
        <w:t>Reglas Mandela</w:t>
      </w:r>
      <w:r w:rsidR="00E142D8">
        <w:rPr>
          <w:lang w:val="es-ES"/>
        </w:rPr>
        <w:t>)</w:t>
      </w:r>
      <w:r w:rsidRPr="00BC464C">
        <w:rPr>
          <w:lang w:val="es-ES"/>
        </w:rPr>
        <w:t xml:space="preserve">, y las Reglas de las Naciones Unidas para el Tratamiento de las Reclusas y Medidas No Privativas de la Libertad para las Mujeres Delincuentes, </w:t>
      </w:r>
      <w:r w:rsidR="00E142D8">
        <w:rPr>
          <w:lang w:val="es-ES"/>
        </w:rPr>
        <w:t>(</w:t>
      </w:r>
      <w:r w:rsidRPr="00BC464C">
        <w:rPr>
          <w:lang w:val="es-ES"/>
        </w:rPr>
        <w:t>Reglas de Bangkok</w:t>
      </w:r>
      <w:r w:rsidR="00E142D8">
        <w:rPr>
          <w:lang w:val="es-ES"/>
        </w:rPr>
        <w:t>)</w:t>
      </w:r>
      <w:r w:rsidRPr="00BC464C">
        <w:rPr>
          <w:lang w:val="es-ES"/>
        </w:rPr>
        <w:t>, en el Sistema Penitenciario Nacional Jorge Navarro, conocido como La Modelo, en el Establecimiento Penitenciario Integral de Mujeres conocido como La Esperanza, en el Complejo de Policía Judicial Evaristo Vásquez, conocido como El Chipote</w:t>
      </w:r>
      <w:r w:rsidRPr="005F21F4">
        <w:rPr>
          <w:rStyle w:val="FootnoteReference"/>
        </w:rPr>
        <w:footnoteReference w:id="37"/>
      </w:r>
      <w:r w:rsidRPr="00BC464C">
        <w:rPr>
          <w:lang w:val="es-ES"/>
        </w:rPr>
        <w:t xml:space="preserve"> y en la Comisaría del Distrito 3, Managua. El Comité de Derechos Humanos ha expresado su preocupación en relación con las tres primeras prisiones.</w:t>
      </w:r>
    </w:p>
    <w:p w14:paraId="44578693" w14:textId="05D30F95"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BC464C">
        <w:rPr>
          <w:lang w:val="es-ES"/>
        </w:rPr>
        <w:t xml:space="preserve"> </w:t>
      </w:r>
      <w:r w:rsidR="00E142D8">
        <w:rPr>
          <w:lang w:val="es-ES"/>
        </w:rPr>
        <w:t>ha recibido</w:t>
      </w:r>
      <w:r w:rsidR="00E142D8" w:rsidRPr="00BC464C">
        <w:rPr>
          <w:lang w:val="es-ES"/>
        </w:rPr>
        <w:t xml:space="preserve"> </w:t>
      </w:r>
      <w:r w:rsidRPr="00BC464C">
        <w:rPr>
          <w:lang w:val="es-ES"/>
        </w:rPr>
        <w:t xml:space="preserve">información según la cual al menos cuatro hombres y una mujer, que estuvieron detenidos hasta su expulsión a Estados Unidos el 9 de febrero de 2023, habrían sido drogados durante los primeros días de detención. Estas personas habrían sido entrevistadas por la policía en ese estado. De confirmarse, supondría una violación de varios derechos humanos, incluidos </w:t>
      </w:r>
      <w:r w:rsidRPr="00BC464C" w:rsidDel="003F45C4">
        <w:rPr>
          <w:lang w:val="es-ES"/>
        </w:rPr>
        <w:t>malos</w:t>
      </w:r>
      <w:r w:rsidRPr="00BC464C">
        <w:rPr>
          <w:lang w:val="es-ES"/>
        </w:rPr>
        <w:t xml:space="preserve"> tratos</w:t>
      </w:r>
      <w:r w:rsidR="003F45C4">
        <w:rPr>
          <w:lang w:val="es-ES"/>
        </w:rPr>
        <w:t xml:space="preserve"> </w:t>
      </w:r>
      <w:r w:rsidRPr="00BC464C">
        <w:rPr>
          <w:lang w:val="es-ES"/>
        </w:rPr>
        <w:t>y posiblemente tortura.</w:t>
      </w:r>
    </w:p>
    <w:p w14:paraId="6CD29B01" w14:textId="3F07E8C5"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Las personas que permanecieron en custodia</w:t>
      </w:r>
      <w:r w:rsidRPr="00D6015F">
        <w:rPr>
          <w:lang w:val="es-ES"/>
        </w:rPr>
        <w:t xml:space="preserve"> </w:t>
      </w:r>
      <w:r w:rsidRPr="00BC464C">
        <w:rPr>
          <w:lang w:val="es-ES"/>
        </w:rPr>
        <w:t>en El Chipote denunciaron técnicas como proporcionar y denegar arbitrariamente el acceso a información relativa a sus familiares, material de lectura, objetos personales, ropa, ropa de cama, aire fresco, luz, alimentos, agua o ventilación.</w:t>
      </w:r>
      <w:r w:rsidRPr="005F21F4">
        <w:rPr>
          <w:rStyle w:val="FootnoteReference"/>
        </w:rPr>
        <w:footnoteReference w:id="38"/>
      </w:r>
      <w:r w:rsidRPr="00BC464C">
        <w:rPr>
          <w:lang w:val="es-ES"/>
        </w:rPr>
        <w:t xml:space="preserve"> La dieta proporcionada durante la custodia </w:t>
      </w:r>
      <w:r w:rsidR="00E142D8">
        <w:rPr>
          <w:lang w:val="es-ES"/>
        </w:rPr>
        <w:t>fue</w:t>
      </w:r>
      <w:r w:rsidRPr="00BC464C">
        <w:rPr>
          <w:lang w:val="es-ES"/>
        </w:rPr>
        <w:t xml:space="preserve"> limitada y </w:t>
      </w:r>
      <w:r>
        <w:rPr>
          <w:lang w:val="es-ES"/>
        </w:rPr>
        <w:t>no equilibrada</w:t>
      </w:r>
      <w:r w:rsidRPr="00BC464C">
        <w:rPr>
          <w:lang w:val="es-ES"/>
        </w:rPr>
        <w:t xml:space="preserve">. Las autoridades no suministraban artículos básicos de higiene, como papel higiénico, cepillos de dientes, pasta dentífrica o jabón, y en ocasiones se retenía su entrega por parte de los familiares. Durante varios meses </w:t>
      </w:r>
      <w:r w:rsidR="00E142D8">
        <w:rPr>
          <w:lang w:val="es-ES"/>
        </w:rPr>
        <w:t xml:space="preserve">las personas detenidas </w:t>
      </w:r>
      <w:r w:rsidRPr="00BC464C">
        <w:rPr>
          <w:lang w:val="es-ES"/>
        </w:rPr>
        <w:t>estuvieron</w:t>
      </w:r>
      <w:r w:rsidR="002505B2">
        <w:rPr>
          <w:lang w:val="es-ES"/>
        </w:rPr>
        <w:t xml:space="preserve"> privad</w:t>
      </w:r>
      <w:r w:rsidR="00A152EA">
        <w:rPr>
          <w:lang w:val="es-ES"/>
        </w:rPr>
        <w:t>a</w:t>
      </w:r>
      <w:r w:rsidR="002505B2">
        <w:rPr>
          <w:lang w:val="es-ES"/>
        </w:rPr>
        <w:t xml:space="preserve">s </w:t>
      </w:r>
      <w:r w:rsidR="00EA6591">
        <w:rPr>
          <w:lang w:val="es-ES"/>
        </w:rPr>
        <w:t xml:space="preserve">de cualquier luz natural, </w:t>
      </w:r>
      <w:r w:rsidRPr="00BC464C">
        <w:rPr>
          <w:lang w:val="es-ES"/>
        </w:rPr>
        <w:t>expuest</w:t>
      </w:r>
      <w:r>
        <w:rPr>
          <w:lang w:val="es-ES"/>
        </w:rPr>
        <w:t>a</w:t>
      </w:r>
      <w:r w:rsidRPr="00BC464C">
        <w:rPr>
          <w:lang w:val="es-ES"/>
        </w:rPr>
        <w:t xml:space="preserve">s a una iluminación artificial constante </w:t>
      </w:r>
      <w:r w:rsidR="00A578EE">
        <w:rPr>
          <w:lang w:val="es-ES"/>
        </w:rPr>
        <w:t>que producía un</w:t>
      </w:r>
      <w:r w:rsidR="00A578EE" w:rsidRPr="00BC464C">
        <w:rPr>
          <w:lang w:val="es-ES"/>
        </w:rPr>
        <w:t xml:space="preserve"> </w:t>
      </w:r>
      <w:r w:rsidRPr="00BC464C">
        <w:rPr>
          <w:lang w:val="es-ES"/>
        </w:rPr>
        <w:t xml:space="preserve">efecto </w:t>
      </w:r>
      <w:proofErr w:type="gramStart"/>
      <w:r w:rsidRPr="00BC464C">
        <w:rPr>
          <w:lang w:val="es-ES"/>
        </w:rPr>
        <w:t>desorientador</w:t>
      </w:r>
      <w:r w:rsidR="00BB5934">
        <w:rPr>
          <w:lang w:val="es-ES"/>
        </w:rPr>
        <w:t>,</w:t>
      </w:r>
      <w:r w:rsidRPr="00BC464C">
        <w:rPr>
          <w:lang w:val="es-ES"/>
        </w:rPr>
        <w:t>,</w:t>
      </w:r>
      <w:proofErr w:type="gramEnd"/>
      <w:r w:rsidRPr="00BC464C">
        <w:rPr>
          <w:lang w:val="es-ES"/>
        </w:rPr>
        <w:t xml:space="preserve"> y fueron interrogad</w:t>
      </w:r>
      <w:r>
        <w:rPr>
          <w:lang w:val="es-ES"/>
        </w:rPr>
        <w:t>a</w:t>
      </w:r>
      <w:r w:rsidRPr="00BC464C">
        <w:rPr>
          <w:lang w:val="es-ES"/>
        </w:rPr>
        <w:t>s hasta ocho veces al día, a</w:t>
      </w:r>
      <w:r w:rsidR="003349A7">
        <w:rPr>
          <w:lang w:val="es-ES"/>
        </w:rPr>
        <w:t>lgunas</w:t>
      </w:r>
      <w:r w:rsidRPr="00BC464C">
        <w:rPr>
          <w:lang w:val="es-ES"/>
        </w:rPr>
        <w:t xml:space="preserve"> veces hasta altas horas de la noche,  pes</w:t>
      </w:r>
      <w:r w:rsidR="00AB1FBC">
        <w:rPr>
          <w:lang w:val="es-ES"/>
        </w:rPr>
        <w:t>e</w:t>
      </w:r>
      <w:r w:rsidRPr="00BC464C">
        <w:rPr>
          <w:lang w:val="es-ES"/>
        </w:rPr>
        <w:t xml:space="preserve"> </w:t>
      </w:r>
      <w:r w:rsidR="00AB1FBC">
        <w:rPr>
          <w:lang w:val="es-ES"/>
        </w:rPr>
        <w:t xml:space="preserve">a </w:t>
      </w:r>
      <w:r w:rsidRPr="00BC464C">
        <w:rPr>
          <w:lang w:val="es-ES"/>
        </w:rPr>
        <w:t xml:space="preserve"> su agotamiento. Tales condiciones equivaldrían a un trato prohibido por el artículo 7 del Pacto Internacional de Derechos Civiles y Políticos y la Convención contra la Tortura y Otros Tratos o Penas Crueles, Inhumanos o Degradantes, de los que Nicaragua es parte. </w:t>
      </w:r>
    </w:p>
    <w:p w14:paraId="66915AE4" w14:textId="2D79A276"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Según informes, </w:t>
      </w:r>
      <w:r w:rsidR="00E52FA5">
        <w:rPr>
          <w:lang w:val="es-ES"/>
        </w:rPr>
        <w:t>a</w:t>
      </w:r>
      <w:r>
        <w:rPr>
          <w:lang w:val="es-ES"/>
        </w:rPr>
        <w:t>lgunas personas detenidas</w:t>
      </w:r>
      <w:r w:rsidRPr="00BC464C">
        <w:rPr>
          <w:lang w:val="es-ES"/>
        </w:rPr>
        <w:t xml:space="preserve"> fueron recluid</w:t>
      </w:r>
      <w:r>
        <w:rPr>
          <w:lang w:val="es-ES"/>
        </w:rPr>
        <w:t>a</w:t>
      </w:r>
      <w:r w:rsidRPr="00BC464C">
        <w:rPr>
          <w:lang w:val="es-ES"/>
        </w:rPr>
        <w:t>s en régimen de aislamiento durante más de 22 horas al día sin contacto humano significativo durante periodos prolongados, mientras que otr</w:t>
      </w:r>
      <w:r>
        <w:rPr>
          <w:lang w:val="es-ES"/>
        </w:rPr>
        <w:t>a</w:t>
      </w:r>
      <w:r w:rsidRPr="00BC464C">
        <w:rPr>
          <w:lang w:val="es-ES"/>
        </w:rPr>
        <w:t>s fueron aislad</w:t>
      </w:r>
      <w:r>
        <w:rPr>
          <w:lang w:val="es-ES"/>
        </w:rPr>
        <w:t>a</w:t>
      </w:r>
      <w:r w:rsidRPr="00BC464C">
        <w:rPr>
          <w:lang w:val="es-ES"/>
        </w:rPr>
        <w:t xml:space="preserve">s durante varios meses sin contacto alguno con </w:t>
      </w:r>
      <w:r>
        <w:rPr>
          <w:lang w:val="es-ES"/>
        </w:rPr>
        <w:t>otras personas detenidas</w:t>
      </w:r>
      <w:r w:rsidRPr="00BC464C">
        <w:rPr>
          <w:lang w:val="es-ES"/>
        </w:rPr>
        <w:t>. Según el Comité contra la Tortura, la reclusión en régimen de aislamiento puede constituir tortura o trato inhumano y debe regularse como medida de último recurso que debe aplicarse en circunstancias excepcionales, durante el menor tiempo posible y bajo estricta supervisión, incluida la sujeción a revisión judicial.</w:t>
      </w:r>
      <w:r w:rsidRPr="005F21F4">
        <w:rPr>
          <w:rStyle w:val="FootnoteReference"/>
        </w:rPr>
        <w:footnoteReference w:id="39"/>
      </w:r>
      <w:r w:rsidRPr="00BC464C">
        <w:rPr>
          <w:lang w:val="es-ES"/>
        </w:rPr>
        <w:t xml:space="preserve"> La Regla 44 de las Reglas Mandela define la reclusión en régimen de aislamiento como la reclusión de presos durante 22 horas o más al día sin contacto humano significativo, y la reclusión prolongada en régimen de aislamiento como la reclusión en régimen de aislamiento durante un periodo de tiempo superior a 15 días consecutivos.</w:t>
      </w:r>
      <w:r>
        <w:rPr>
          <w:lang w:val="es-ES"/>
        </w:rPr>
        <w:t xml:space="preserve"> La OACNUDH</w:t>
      </w:r>
      <w:r w:rsidRPr="00BC464C" w:rsidDel="00BC464C">
        <w:rPr>
          <w:lang w:val="es-ES"/>
        </w:rPr>
        <w:t xml:space="preserve"> </w:t>
      </w:r>
      <w:r w:rsidRPr="00BC464C">
        <w:rPr>
          <w:lang w:val="es-ES"/>
        </w:rPr>
        <w:t xml:space="preserve">también </w:t>
      </w:r>
      <w:r w:rsidR="00E142D8">
        <w:rPr>
          <w:lang w:val="es-ES"/>
        </w:rPr>
        <w:t>ha documentado</w:t>
      </w:r>
      <w:r w:rsidR="00E142D8" w:rsidRPr="00BC464C">
        <w:rPr>
          <w:lang w:val="es-ES"/>
        </w:rPr>
        <w:t xml:space="preserve"> </w:t>
      </w:r>
      <w:r w:rsidRPr="00BC464C">
        <w:rPr>
          <w:lang w:val="es-ES"/>
        </w:rPr>
        <w:t>casos de detención en régimen de incomunicación. Las mujeres detenidas fueron especialmente objeto de esta práctica, que puede constituir tortura.</w:t>
      </w:r>
      <w:r w:rsidRPr="005F21F4">
        <w:rPr>
          <w:rStyle w:val="FootnoteReference"/>
        </w:rPr>
        <w:footnoteReference w:id="40"/>
      </w:r>
      <w:r w:rsidRPr="00BC464C">
        <w:rPr>
          <w:lang w:val="es-ES"/>
        </w:rPr>
        <w:t xml:space="preserve"> Una de ellas estuvo detenida en régimen de incomunicación durante 14 meses, sin recibir visitas ni tener contacto con </w:t>
      </w:r>
      <w:r>
        <w:rPr>
          <w:lang w:val="es-ES"/>
        </w:rPr>
        <w:t>otras personas detenidas</w:t>
      </w:r>
      <w:r w:rsidRPr="00BC464C">
        <w:rPr>
          <w:lang w:val="es-ES"/>
        </w:rPr>
        <w:t xml:space="preserve">, abogados o médicos. En mayo de 2023, al menos 10 personas seguían recluidas en régimen de incomunicación. </w:t>
      </w:r>
    </w:p>
    <w:p w14:paraId="7158BB76" w14:textId="2E5A5AFD"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A </w:t>
      </w:r>
      <w:r>
        <w:rPr>
          <w:lang w:val="es-ES"/>
        </w:rPr>
        <w:t>las personas detenidas</w:t>
      </w:r>
      <w:r w:rsidRPr="00BC464C">
        <w:rPr>
          <w:lang w:val="es-ES"/>
        </w:rPr>
        <w:t>, hombres y mujeres, se les pedía que se desnudaran cada vez que salían de sus celdas y que hicieran sentadillas desnud</w:t>
      </w:r>
      <w:r>
        <w:rPr>
          <w:lang w:val="es-ES"/>
        </w:rPr>
        <w:t>a</w:t>
      </w:r>
      <w:r w:rsidRPr="00BC464C">
        <w:rPr>
          <w:lang w:val="es-ES"/>
        </w:rPr>
        <w:t xml:space="preserve">s cuando regresaban. </w:t>
      </w:r>
      <w:r>
        <w:rPr>
          <w:lang w:val="es-ES"/>
        </w:rPr>
        <w:t>Varias</w:t>
      </w:r>
      <w:r w:rsidRPr="00BC464C">
        <w:rPr>
          <w:lang w:val="es-ES"/>
        </w:rPr>
        <w:t xml:space="preserve"> denunciaron haber sido sometid</w:t>
      </w:r>
      <w:r w:rsidR="0082343F">
        <w:rPr>
          <w:lang w:val="es-ES"/>
        </w:rPr>
        <w:t>a</w:t>
      </w:r>
      <w:r w:rsidRPr="00BC464C">
        <w:rPr>
          <w:lang w:val="es-ES"/>
        </w:rPr>
        <w:t>s a inspecciones visuales injustificadas y degradantes de sus cavidades corporales durante registros rutinarios en los que se les desnudaba. Según los informes, los guardias violaron a presas obligándolas a ponerse en cuclillas desnudas en mitad de la noche e introduciéndoles los dedos en la vagina con el pretexto de comprobar si ocultaban teléfonos móviles.</w:t>
      </w:r>
    </w:p>
    <w:p w14:paraId="741C8783" w14:textId="5B6178BF"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El Comité de Derechos Humanos </w:t>
      </w:r>
      <w:r w:rsidR="00EA0F15">
        <w:rPr>
          <w:lang w:val="es-ES"/>
        </w:rPr>
        <w:t>ha expresado</w:t>
      </w:r>
      <w:r w:rsidR="00EA0F15" w:rsidRPr="00BC464C">
        <w:rPr>
          <w:lang w:val="es-ES"/>
        </w:rPr>
        <w:t xml:space="preserve"> </w:t>
      </w:r>
      <w:r w:rsidRPr="00BC464C">
        <w:rPr>
          <w:lang w:val="es-ES"/>
        </w:rPr>
        <w:t>su preocupación por el racionamiento de alimentos, los cacheos rutinarios, las inspecciones visuales injustificadas y degradantes y la imposición del régimen de aislamiento como medida disciplinaria.</w:t>
      </w:r>
      <w:r w:rsidRPr="005F21F4">
        <w:rPr>
          <w:rStyle w:val="FootnoteReference"/>
        </w:rPr>
        <w:footnoteReference w:id="41"/>
      </w:r>
    </w:p>
    <w:p w14:paraId="0587B14B" w14:textId="46B81B14"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BC464C">
        <w:rPr>
          <w:lang w:val="es-ES"/>
        </w:rPr>
        <w:t xml:space="preserve"> </w:t>
      </w:r>
      <w:r w:rsidRPr="00BC464C">
        <w:rPr>
          <w:lang w:val="es-ES"/>
        </w:rPr>
        <w:t xml:space="preserve">también </w:t>
      </w:r>
      <w:r w:rsidR="00EA0F15">
        <w:rPr>
          <w:lang w:val="es-ES"/>
        </w:rPr>
        <w:t>ha documentado</w:t>
      </w:r>
      <w:r w:rsidR="00EA0F15" w:rsidRPr="00BC464C">
        <w:rPr>
          <w:lang w:val="es-ES"/>
        </w:rPr>
        <w:t xml:space="preserve"> </w:t>
      </w:r>
      <w:r w:rsidRPr="00BC464C">
        <w:rPr>
          <w:lang w:val="es-ES"/>
        </w:rPr>
        <w:t xml:space="preserve">casos en los que se denegaron medicamentos a </w:t>
      </w:r>
      <w:r>
        <w:rPr>
          <w:lang w:val="es-ES"/>
        </w:rPr>
        <w:t>personas detenidas</w:t>
      </w:r>
      <w:r w:rsidRPr="00BC464C">
        <w:rPr>
          <w:lang w:val="es-ES"/>
        </w:rPr>
        <w:t>, en particular de edad avanzada, a pesar de padecer enfermedades crónicas (</w:t>
      </w:r>
      <w:r w:rsidR="00EA0F15">
        <w:rPr>
          <w:lang w:val="es-ES"/>
        </w:rPr>
        <w:t xml:space="preserve">por ejemplo, </w:t>
      </w:r>
      <w:r w:rsidRPr="00BC464C">
        <w:rPr>
          <w:lang w:val="es-ES"/>
        </w:rPr>
        <w:t>diabetes</w:t>
      </w:r>
      <w:r w:rsidR="00F25CC0">
        <w:rPr>
          <w:lang w:val="es-ES"/>
        </w:rPr>
        <w:t xml:space="preserve"> o</w:t>
      </w:r>
      <w:r w:rsidRPr="00BC464C">
        <w:rPr>
          <w:lang w:val="es-ES"/>
        </w:rPr>
        <w:t xml:space="preserve"> hipertensión.)</w:t>
      </w:r>
      <w:r w:rsidR="00F25CC0">
        <w:rPr>
          <w:lang w:val="es-ES"/>
        </w:rPr>
        <w:t xml:space="preserve"> y</w:t>
      </w:r>
      <w:r w:rsidRPr="00BC464C">
        <w:rPr>
          <w:lang w:val="es-ES"/>
        </w:rPr>
        <w:t xml:space="preserve"> que corrían el riesgo de </w:t>
      </w:r>
      <w:r w:rsidR="008213F5">
        <w:rPr>
          <w:lang w:val="es-ES"/>
        </w:rPr>
        <w:t xml:space="preserve">sufrir </w:t>
      </w:r>
      <w:r w:rsidRPr="00BC464C">
        <w:rPr>
          <w:lang w:val="es-ES"/>
        </w:rPr>
        <w:t>r complicaciones graves si no se trataban. Esto pod</w:t>
      </w:r>
      <w:r>
        <w:rPr>
          <w:lang w:val="es-ES"/>
        </w:rPr>
        <w:t>r</w:t>
      </w:r>
      <w:r w:rsidRPr="00BC464C">
        <w:rPr>
          <w:lang w:val="es-ES"/>
        </w:rPr>
        <w:t>ía equivaler a violaciones de los derechos a la salud y a la vida para aquellas personas cuyo estado físico se veía gravemente afectado por la falta de medicamentos.</w:t>
      </w:r>
      <w:r w:rsidRPr="005F21F4">
        <w:rPr>
          <w:rStyle w:val="FootnoteReference"/>
        </w:rPr>
        <w:footnoteReference w:id="42"/>
      </w:r>
      <w:r w:rsidRPr="00BC464C">
        <w:rPr>
          <w:lang w:val="es-ES"/>
        </w:rPr>
        <w:t xml:space="preserve"> A una persona mayor no se le proporcionó la atención médica adecuada, a pesar de padecer cardiopatía crónica, hipertensión, glaucoma y hernia. </w:t>
      </w:r>
      <w:r w:rsidR="00EA0F15">
        <w:rPr>
          <w:lang w:val="es-ES"/>
        </w:rPr>
        <w:t>En su resolución 76/2022, l</w:t>
      </w:r>
      <w:r w:rsidRPr="00BC464C">
        <w:rPr>
          <w:lang w:val="es-ES"/>
        </w:rPr>
        <w:t xml:space="preserve">a Comisión Interamericana de Derechos Humanos consideró que se </w:t>
      </w:r>
      <w:r>
        <w:rPr>
          <w:lang w:val="es-ES"/>
        </w:rPr>
        <w:t>puso</w:t>
      </w:r>
      <w:r w:rsidRPr="00BC464C">
        <w:rPr>
          <w:lang w:val="es-ES"/>
        </w:rPr>
        <w:t xml:space="preserve"> </w:t>
      </w:r>
      <w:r w:rsidR="00EA0F15">
        <w:rPr>
          <w:lang w:val="es-ES"/>
        </w:rPr>
        <w:t xml:space="preserve">a esta persona </w:t>
      </w:r>
      <w:r w:rsidRPr="00BC464C">
        <w:rPr>
          <w:lang w:val="es-ES"/>
        </w:rPr>
        <w:t>en una situación de grave riesgo para su vida, integridad personal y salud.</w:t>
      </w:r>
      <w:r w:rsidR="002F088F" w:rsidRPr="00D4409B" w:rsidDel="002F088F">
        <w:rPr>
          <w:rStyle w:val="FootnoteReference"/>
          <w:lang w:val="es-ES"/>
        </w:rPr>
        <w:t xml:space="preserve"> </w:t>
      </w:r>
    </w:p>
    <w:p w14:paraId="41A931BC" w14:textId="2467BED6"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Las personas detenidas</w:t>
      </w:r>
      <w:r w:rsidRPr="00BC464C">
        <w:rPr>
          <w:lang w:val="es-ES"/>
        </w:rPr>
        <w:t xml:space="preserve"> denunciaron haber sido informad</w:t>
      </w:r>
      <w:r>
        <w:rPr>
          <w:lang w:val="es-ES"/>
        </w:rPr>
        <w:t>a</w:t>
      </w:r>
      <w:r w:rsidRPr="00BC464C">
        <w:rPr>
          <w:lang w:val="es-ES"/>
        </w:rPr>
        <w:t>s erróneamente de que su</w:t>
      </w:r>
      <w:r>
        <w:rPr>
          <w:lang w:val="es-ES"/>
        </w:rPr>
        <w:t>s</w:t>
      </w:r>
      <w:r w:rsidRPr="00BC464C">
        <w:rPr>
          <w:lang w:val="es-ES"/>
        </w:rPr>
        <w:t xml:space="preserve"> familia</w:t>
      </w:r>
      <w:r>
        <w:rPr>
          <w:lang w:val="es-ES"/>
        </w:rPr>
        <w:t>s</w:t>
      </w:r>
      <w:r w:rsidRPr="00BC464C">
        <w:rPr>
          <w:lang w:val="es-ES"/>
        </w:rPr>
        <w:t xml:space="preserve"> había</w:t>
      </w:r>
      <w:r>
        <w:rPr>
          <w:lang w:val="es-ES"/>
        </w:rPr>
        <w:t>n</w:t>
      </w:r>
      <w:r w:rsidRPr="00BC464C">
        <w:rPr>
          <w:lang w:val="es-ES"/>
        </w:rPr>
        <w:t xml:space="preserve"> abandonado el país, dejándol</w:t>
      </w:r>
      <w:r>
        <w:rPr>
          <w:lang w:val="es-ES"/>
        </w:rPr>
        <w:t>a</w:t>
      </w:r>
      <w:r w:rsidRPr="00BC464C">
        <w:rPr>
          <w:lang w:val="es-ES"/>
        </w:rPr>
        <w:t xml:space="preserve">s atrás sin nadie que los visitara, o de que su familia no les había llevado medicinas ni agua. En al menos cuatro casos, las denuncias señalaban que a </w:t>
      </w:r>
      <w:r>
        <w:rPr>
          <w:lang w:val="es-ES"/>
        </w:rPr>
        <w:t>las personas detenidas</w:t>
      </w:r>
      <w:r w:rsidRPr="00BC464C">
        <w:rPr>
          <w:lang w:val="es-ES"/>
        </w:rPr>
        <w:t xml:space="preserve"> se les habría dicho falsamente que sus familiares estaban detenid</w:t>
      </w:r>
      <w:r w:rsidR="00441EAD">
        <w:rPr>
          <w:lang w:val="es-ES"/>
        </w:rPr>
        <w:t>o</w:t>
      </w:r>
      <w:r w:rsidRPr="00BC464C">
        <w:rPr>
          <w:lang w:val="es-ES"/>
        </w:rPr>
        <w:t>s en "El Chipote". Esta práctica, junto con otras circunstancias, equivale a un trato contrario al artículo 7 del Pacto Internacional de Derechos Civiles y Políticos.</w:t>
      </w:r>
      <w:r w:rsidRPr="005F21F4">
        <w:rPr>
          <w:rStyle w:val="FootnoteReference"/>
        </w:rPr>
        <w:footnoteReference w:id="43"/>
      </w:r>
      <w:r w:rsidRPr="00BC464C">
        <w:rPr>
          <w:lang w:val="es-ES"/>
        </w:rPr>
        <w:t xml:space="preserve"> En numerosos casos, no se permitió a </w:t>
      </w:r>
      <w:r>
        <w:rPr>
          <w:lang w:val="es-ES"/>
        </w:rPr>
        <w:t>las personas detenidas</w:t>
      </w:r>
      <w:r w:rsidRPr="00BC464C">
        <w:rPr>
          <w:lang w:val="es-ES"/>
        </w:rPr>
        <w:t xml:space="preserve"> recibir visitas de sus familiares durante periodos de hasta 16 meses</w:t>
      </w:r>
      <w:r w:rsidR="00D95DA2">
        <w:rPr>
          <w:lang w:val="es-ES"/>
        </w:rPr>
        <w:t xml:space="preserve"> y l</w:t>
      </w:r>
      <w:r w:rsidRPr="00BC464C">
        <w:rPr>
          <w:lang w:val="es-ES"/>
        </w:rPr>
        <w:t>as autoridades prohibieron cualquier contacto con su</w:t>
      </w:r>
      <w:r w:rsidR="00EA0F15">
        <w:rPr>
          <w:lang w:val="es-ES"/>
        </w:rPr>
        <w:t>s</w:t>
      </w:r>
      <w:r w:rsidRPr="00BC464C">
        <w:rPr>
          <w:lang w:val="es-ES"/>
        </w:rPr>
        <w:t xml:space="preserve"> familia</w:t>
      </w:r>
      <w:r w:rsidR="00EA0F15">
        <w:rPr>
          <w:lang w:val="es-ES"/>
        </w:rPr>
        <w:t>s</w:t>
      </w:r>
      <w:r w:rsidRPr="00BC464C">
        <w:rPr>
          <w:lang w:val="es-ES"/>
        </w:rPr>
        <w:t xml:space="preserve">, incluidas las llamadas telefónicas o la recepción de materiales que </w:t>
      </w:r>
      <w:proofErr w:type="gramStart"/>
      <w:r w:rsidRPr="00BC464C">
        <w:rPr>
          <w:lang w:val="es-ES"/>
        </w:rPr>
        <w:t>les</w:t>
      </w:r>
      <w:proofErr w:type="gramEnd"/>
      <w:r w:rsidRPr="00BC464C">
        <w:rPr>
          <w:lang w:val="es-ES"/>
        </w:rPr>
        <w:t xml:space="preserve"> llevaran, como dibujos </w:t>
      </w:r>
      <w:r>
        <w:rPr>
          <w:lang w:val="es-ES"/>
        </w:rPr>
        <w:t>hechos por</w:t>
      </w:r>
      <w:r w:rsidRPr="00BC464C">
        <w:rPr>
          <w:lang w:val="es-ES"/>
        </w:rPr>
        <w:t xml:space="preserve"> sus hijos </w:t>
      </w:r>
      <w:r>
        <w:rPr>
          <w:lang w:val="es-ES"/>
        </w:rPr>
        <w:t xml:space="preserve">e hijas </w:t>
      </w:r>
      <w:r w:rsidRPr="00BC464C">
        <w:rPr>
          <w:lang w:val="es-ES"/>
        </w:rPr>
        <w:t>o fotografías.</w:t>
      </w:r>
    </w:p>
    <w:p w14:paraId="12E5C893" w14:textId="00AF87F5"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El 20 de agosto de 2022, algunos de </w:t>
      </w:r>
      <w:r>
        <w:rPr>
          <w:lang w:val="es-ES"/>
        </w:rPr>
        <w:t>las personas detenidas</w:t>
      </w:r>
      <w:r w:rsidRPr="00BC464C">
        <w:rPr>
          <w:lang w:val="es-ES"/>
        </w:rPr>
        <w:t xml:space="preserve"> iniciaron una huelga de hambre exigiendo autorización para ver a sus hijos </w:t>
      </w:r>
      <w:r>
        <w:rPr>
          <w:lang w:val="es-ES"/>
        </w:rPr>
        <w:t xml:space="preserve">e hijas </w:t>
      </w:r>
      <w:r w:rsidRPr="00BC464C">
        <w:rPr>
          <w:lang w:val="es-ES"/>
        </w:rPr>
        <w:t>menores tras pasar 14 meses sin recibir visitas familiares. El Gobierno autorizó finalmente dos visitas de 30 minutos a algun</w:t>
      </w:r>
      <w:r>
        <w:rPr>
          <w:lang w:val="es-ES"/>
        </w:rPr>
        <w:t>a</w:t>
      </w:r>
      <w:r w:rsidRPr="00BC464C">
        <w:rPr>
          <w:lang w:val="es-ES"/>
        </w:rPr>
        <w:t>s de ell</w:t>
      </w:r>
      <w:r>
        <w:rPr>
          <w:lang w:val="es-ES"/>
        </w:rPr>
        <w:t>a</w:t>
      </w:r>
      <w:r w:rsidRPr="00BC464C">
        <w:rPr>
          <w:lang w:val="es-ES"/>
        </w:rPr>
        <w:t xml:space="preserve">s. Estas visitas se repitieron en diciembre de 2022, más de </w:t>
      </w:r>
      <w:r w:rsidR="00EA0F15">
        <w:rPr>
          <w:lang w:val="es-ES"/>
        </w:rPr>
        <w:t>tres</w:t>
      </w:r>
      <w:r w:rsidRPr="00BC464C">
        <w:rPr>
          <w:lang w:val="es-ES"/>
        </w:rPr>
        <w:t xml:space="preserve"> meses después. A </w:t>
      </w:r>
      <w:r>
        <w:rPr>
          <w:lang w:val="es-ES"/>
        </w:rPr>
        <w:t>otras personas presas</w:t>
      </w:r>
      <w:r w:rsidRPr="00BC464C">
        <w:rPr>
          <w:lang w:val="es-ES"/>
        </w:rPr>
        <w:t>, dos de ell</w:t>
      </w:r>
      <w:r>
        <w:rPr>
          <w:lang w:val="es-ES"/>
        </w:rPr>
        <w:t>a</w:t>
      </w:r>
      <w:r w:rsidRPr="00BC464C">
        <w:rPr>
          <w:lang w:val="es-ES"/>
        </w:rPr>
        <w:t xml:space="preserve">s también en huelga de hambre, no se les permitió recibir visitas de sus hijos </w:t>
      </w:r>
      <w:r>
        <w:rPr>
          <w:lang w:val="es-ES"/>
        </w:rPr>
        <w:t xml:space="preserve">e hijas </w:t>
      </w:r>
      <w:r w:rsidRPr="00BC464C">
        <w:rPr>
          <w:lang w:val="es-ES"/>
        </w:rPr>
        <w:t xml:space="preserve">menores hasta diciembre de 2022. Al menos un detenido estuvo privado de las visitas de sus hijos durante más de 16 meses. Desde agosto de 2022, </w:t>
      </w:r>
      <w:r>
        <w:rPr>
          <w:lang w:val="es-ES"/>
        </w:rPr>
        <w:t>la OACNUDH</w:t>
      </w:r>
      <w:r w:rsidRPr="00BC464C" w:rsidDel="00BC464C">
        <w:rPr>
          <w:lang w:val="es-ES"/>
        </w:rPr>
        <w:t xml:space="preserve"> </w:t>
      </w:r>
      <w:r w:rsidRPr="00BC464C">
        <w:rPr>
          <w:lang w:val="es-ES"/>
        </w:rPr>
        <w:t xml:space="preserve">ha documentado que al menos 18 </w:t>
      </w:r>
      <w:proofErr w:type="gramStart"/>
      <w:r w:rsidRPr="00BC464C">
        <w:rPr>
          <w:lang w:val="es-ES"/>
        </w:rPr>
        <w:t xml:space="preserve">niños </w:t>
      </w:r>
      <w:r>
        <w:rPr>
          <w:lang w:val="es-ES"/>
        </w:rPr>
        <w:t>y niñas</w:t>
      </w:r>
      <w:proofErr w:type="gramEnd"/>
      <w:r>
        <w:rPr>
          <w:lang w:val="es-ES"/>
        </w:rPr>
        <w:t xml:space="preserve"> </w:t>
      </w:r>
      <w:r w:rsidRPr="00BC464C">
        <w:rPr>
          <w:lang w:val="es-ES"/>
        </w:rPr>
        <w:t>han sido privad</w:t>
      </w:r>
      <w:r>
        <w:rPr>
          <w:lang w:val="es-ES"/>
        </w:rPr>
        <w:t>a</w:t>
      </w:r>
      <w:r w:rsidRPr="00BC464C">
        <w:rPr>
          <w:lang w:val="es-ES"/>
        </w:rPr>
        <w:t xml:space="preserve">s de su derecho a mantener contacto con su padre o madre detenidos. El Comité de Derechos Humanos </w:t>
      </w:r>
      <w:r w:rsidR="00EA0F15">
        <w:rPr>
          <w:lang w:val="es-ES"/>
        </w:rPr>
        <w:t>ha expresado</w:t>
      </w:r>
      <w:r w:rsidR="00EA0F15" w:rsidRPr="00BC464C">
        <w:rPr>
          <w:lang w:val="es-ES"/>
        </w:rPr>
        <w:t xml:space="preserve"> </w:t>
      </w:r>
      <w:r w:rsidRPr="00BC464C">
        <w:rPr>
          <w:lang w:val="es-ES"/>
        </w:rPr>
        <w:t>su preocupación por los informes sobre la suspensión de las visitas familiares.</w:t>
      </w:r>
      <w:r w:rsidRPr="005F21F4">
        <w:rPr>
          <w:rStyle w:val="FootnoteReference"/>
        </w:rPr>
        <w:footnoteReference w:id="44"/>
      </w:r>
      <w:r w:rsidRPr="00BC464C">
        <w:rPr>
          <w:lang w:val="es-ES"/>
        </w:rPr>
        <w:t xml:space="preserve"> Además, de conformidad con la Convención sobre los Derechos del Niño, Nicaragua </w:t>
      </w:r>
      <w:r w:rsidR="00EA0F15">
        <w:rPr>
          <w:lang w:val="es-ES"/>
        </w:rPr>
        <w:t>está obligada a</w:t>
      </w:r>
      <w:r w:rsidRPr="00BC464C">
        <w:rPr>
          <w:lang w:val="es-ES"/>
        </w:rPr>
        <w:t xml:space="preserve"> respetar el derecho de </w:t>
      </w:r>
      <w:proofErr w:type="gramStart"/>
      <w:r w:rsidRPr="00BC464C">
        <w:rPr>
          <w:lang w:val="es-ES"/>
        </w:rPr>
        <w:t xml:space="preserve">los niños </w:t>
      </w:r>
      <w:r>
        <w:rPr>
          <w:lang w:val="es-ES"/>
        </w:rPr>
        <w:t>y niñas</w:t>
      </w:r>
      <w:proofErr w:type="gramEnd"/>
      <w:r>
        <w:rPr>
          <w:lang w:val="es-ES"/>
        </w:rPr>
        <w:t xml:space="preserve"> </w:t>
      </w:r>
      <w:r w:rsidRPr="00BC464C">
        <w:rPr>
          <w:lang w:val="es-ES"/>
        </w:rPr>
        <w:t>que están separados de uno o ambos progenitores a mantener relaciones personales y contacto directo con ambos progenitores de forma regular.</w:t>
      </w:r>
      <w:r w:rsidRPr="005F21F4">
        <w:rPr>
          <w:rStyle w:val="FootnoteReference"/>
        </w:rPr>
        <w:footnoteReference w:id="45"/>
      </w:r>
    </w:p>
    <w:p w14:paraId="144C69A0" w14:textId="2998B4E3"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También continuó el patrón de trato inhumano o degradante</w:t>
      </w:r>
      <w:r w:rsidR="00EA0F15">
        <w:rPr>
          <w:lang w:val="es-ES"/>
        </w:rPr>
        <w:t xml:space="preserve"> dado</w:t>
      </w:r>
      <w:r w:rsidRPr="00BC464C">
        <w:rPr>
          <w:lang w:val="es-ES"/>
        </w:rPr>
        <w:t xml:space="preserve"> a los </w:t>
      </w:r>
      <w:r>
        <w:rPr>
          <w:lang w:val="es-ES"/>
        </w:rPr>
        <w:t xml:space="preserve">y las </w:t>
      </w:r>
      <w:r w:rsidRPr="00BC464C">
        <w:rPr>
          <w:lang w:val="es-ES"/>
        </w:rPr>
        <w:t xml:space="preserve">familiares que visitaban a </w:t>
      </w:r>
      <w:r>
        <w:rPr>
          <w:lang w:val="es-ES"/>
        </w:rPr>
        <w:t>las personas detenidas</w:t>
      </w:r>
      <w:r w:rsidRPr="00BC464C">
        <w:rPr>
          <w:lang w:val="es-ES"/>
        </w:rPr>
        <w:t xml:space="preserve">. Entre octubre y diciembre de 2022, los </w:t>
      </w:r>
      <w:r>
        <w:rPr>
          <w:lang w:val="es-ES"/>
        </w:rPr>
        <w:t xml:space="preserve">y las </w:t>
      </w:r>
      <w:r w:rsidRPr="00BC464C">
        <w:rPr>
          <w:lang w:val="es-ES"/>
        </w:rPr>
        <w:t>familiares, y en particular las mujeres, que trataban de visitar a sus familiares en El Chipote, fueron obligad</w:t>
      </w:r>
      <w:r>
        <w:rPr>
          <w:lang w:val="es-ES"/>
        </w:rPr>
        <w:t>a</w:t>
      </w:r>
      <w:r w:rsidRPr="00BC464C">
        <w:rPr>
          <w:lang w:val="es-ES"/>
        </w:rPr>
        <w:t>s a hacer sentadillas mientras estaban desnud</w:t>
      </w:r>
      <w:r>
        <w:rPr>
          <w:lang w:val="es-ES"/>
        </w:rPr>
        <w:t>a</w:t>
      </w:r>
      <w:r w:rsidRPr="00BC464C">
        <w:rPr>
          <w:lang w:val="es-ES"/>
        </w:rPr>
        <w:t>s y sometid</w:t>
      </w:r>
      <w:r>
        <w:rPr>
          <w:lang w:val="es-ES"/>
        </w:rPr>
        <w:t>a</w:t>
      </w:r>
      <w:r w:rsidRPr="00BC464C">
        <w:rPr>
          <w:lang w:val="es-ES"/>
        </w:rPr>
        <w:t xml:space="preserve">s a registros corporales invasivos. Según los informes, algunas mujeres sufrieron abusos sexuales a manos de los guardias de la prisión, como </w:t>
      </w:r>
      <w:r w:rsidR="00EA0F15">
        <w:rPr>
          <w:lang w:val="es-ES"/>
        </w:rPr>
        <w:t xml:space="preserve">recibir </w:t>
      </w:r>
      <w:r w:rsidRPr="00BC464C">
        <w:rPr>
          <w:lang w:val="es-ES"/>
        </w:rPr>
        <w:t>tocamientos en los genitales y comentarios sexuales humillantes.</w:t>
      </w:r>
    </w:p>
    <w:p w14:paraId="527CD7C5" w14:textId="77777777" w:rsidR="00ED1618" w:rsidRDefault="00ED1618" w:rsidP="00ED1618">
      <w:pPr>
        <w:pStyle w:val="HChG"/>
        <w:spacing w:line="236" w:lineRule="atLeast"/>
        <w:rPr>
          <w:bCs w:val="0"/>
        </w:rPr>
      </w:pPr>
      <w:r w:rsidRPr="00BC464C">
        <w:rPr>
          <w:lang w:val="es-ES"/>
        </w:rPr>
        <w:tab/>
      </w:r>
      <w:r w:rsidRPr="00EA7E0A">
        <w:t>V.</w:t>
      </w:r>
      <w:r w:rsidRPr="00EA7E0A">
        <w:tab/>
        <w:t xml:space="preserve">Pueblos </w:t>
      </w:r>
      <w:proofErr w:type="spellStart"/>
      <w:r w:rsidRPr="00EA7E0A">
        <w:t>indígenas</w:t>
      </w:r>
      <w:proofErr w:type="spellEnd"/>
      <w:r w:rsidRPr="00EA7E0A">
        <w:t xml:space="preserve"> y </w:t>
      </w:r>
      <w:proofErr w:type="spellStart"/>
      <w:r w:rsidRPr="00EA7E0A">
        <w:t>afrodescendientes</w:t>
      </w:r>
      <w:proofErr w:type="spellEnd"/>
    </w:p>
    <w:p w14:paraId="1A6E86B2" w14:textId="3B84C2CB"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206B67">
        <w:rPr>
          <w:lang w:val="es-ES"/>
        </w:rPr>
        <w:t xml:space="preserve"> </w:t>
      </w:r>
      <w:r w:rsidR="00BA217B">
        <w:rPr>
          <w:lang w:val="es-ES"/>
        </w:rPr>
        <w:t>ha seguido</w:t>
      </w:r>
      <w:r w:rsidR="00BA217B" w:rsidRPr="00BC464C">
        <w:rPr>
          <w:lang w:val="es-ES"/>
        </w:rPr>
        <w:t xml:space="preserve"> </w:t>
      </w:r>
      <w:r w:rsidRPr="00BC464C">
        <w:rPr>
          <w:lang w:val="es-ES"/>
        </w:rPr>
        <w:t xml:space="preserve">recibiendo información sobre actos de violencia en territorios indígenas y afrodescendientes, como asesinatos, torturas, violencia sexual, incendios provocados de viviendas y bienes comunales, amenazas, hostigamiento e invasiones violentas de sus tierras. Todo ello </w:t>
      </w:r>
      <w:r w:rsidR="00BA217B">
        <w:rPr>
          <w:lang w:val="es-ES"/>
        </w:rPr>
        <w:t>ha provocado</w:t>
      </w:r>
      <w:r w:rsidR="00BA217B" w:rsidRPr="00BC464C">
        <w:rPr>
          <w:lang w:val="es-ES"/>
        </w:rPr>
        <w:t xml:space="preserve"> </w:t>
      </w:r>
      <w:r w:rsidRPr="00BC464C">
        <w:rPr>
          <w:lang w:val="es-ES"/>
        </w:rPr>
        <w:t>el desplazamiento forz</w:t>
      </w:r>
      <w:r w:rsidR="006043C0">
        <w:rPr>
          <w:lang w:val="es-ES"/>
        </w:rPr>
        <w:t>ado</w:t>
      </w:r>
      <w:r w:rsidRPr="00BC464C">
        <w:rPr>
          <w:lang w:val="es-ES"/>
        </w:rPr>
        <w:t xml:space="preserve"> de pueblos indígenas de sus tierras ancestrales. Los retrasos en los procedimientos de </w:t>
      </w:r>
      <w:r>
        <w:rPr>
          <w:lang w:val="es-ES"/>
        </w:rPr>
        <w:t>saneamiento</w:t>
      </w:r>
      <w:r w:rsidRPr="00BC464C">
        <w:rPr>
          <w:lang w:val="es-ES"/>
        </w:rPr>
        <w:t xml:space="preserve"> de tierras y el </w:t>
      </w:r>
      <w:r w:rsidR="00DC0B8F" w:rsidRPr="00BC464C">
        <w:rPr>
          <w:lang w:val="es-ES"/>
        </w:rPr>
        <w:t>aparente</w:t>
      </w:r>
      <w:r w:rsidRPr="00BC464C">
        <w:rPr>
          <w:lang w:val="es-ES"/>
        </w:rPr>
        <w:t xml:space="preserve"> establecimiento de gobiernos paralelos que sustituyen a los </w:t>
      </w:r>
      <w:r>
        <w:rPr>
          <w:lang w:val="es-ES"/>
        </w:rPr>
        <w:t xml:space="preserve">y las </w:t>
      </w:r>
      <w:r w:rsidRPr="00BC464C">
        <w:rPr>
          <w:lang w:val="es-ES"/>
        </w:rPr>
        <w:t>representantes indígenas legítimos elegidos por las asambleas tradicionales, siguen causando incertidumbre en la tenencia de las tierras indígenas</w:t>
      </w:r>
      <w:r w:rsidRPr="005F21F4">
        <w:rPr>
          <w:rStyle w:val="FootnoteReference"/>
        </w:rPr>
        <w:footnoteReference w:id="46"/>
      </w:r>
      <w:r w:rsidRPr="00BC464C">
        <w:rPr>
          <w:lang w:val="es-ES"/>
        </w:rPr>
        <w:t xml:space="preserve">, utilizada por los colonos para ocupar violentamente las tierras y cometer graves abusos contra los derechos humanos. </w:t>
      </w:r>
      <w:r>
        <w:rPr>
          <w:lang w:val="es-ES"/>
        </w:rPr>
        <w:t>La OACNUDH</w:t>
      </w:r>
      <w:r w:rsidRPr="00BC464C" w:rsidDel="00206B67">
        <w:rPr>
          <w:lang w:val="es-ES"/>
        </w:rPr>
        <w:t xml:space="preserve"> </w:t>
      </w:r>
      <w:r w:rsidRPr="00BC464C">
        <w:rPr>
          <w:lang w:val="es-ES"/>
        </w:rPr>
        <w:t xml:space="preserve">ha observado numerosos ataques que destruyen los medios de vida de las comunidades y afectan a los derechos colectivos y a la identidad cultural de los pueblos indígenas, especialmente a su relación con la tierra y el territorio. Además, según Global Forest </w:t>
      </w:r>
      <w:proofErr w:type="spellStart"/>
      <w:r w:rsidRPr="00BC464C">
        <w:rPr>
          <w:lang w:val="es-ES"/>
        </w:rPr>
        <w:t>Watch</w:t>
      </w:r>
      <w:proofErr w:type="spellEnd"/>
      <w:r w:rsidRPr="00BC464C">
        <w:rPr>
          <w:lang w:val="es-ES"/>
        </w:rPr>
        <w:t xml:space="preserve">, Nicaragua </w:t>
      </w:r>
      <w:r w:rsidR="00BA217B">
        <w:rPr>
          <w:lang w:val="es-ES"/>
        </w:rPr>
        <w:t>perdió</w:t>
      </w:r>
      <w:r w:rsidRPr="00BC464C">
        <w:rPr>
          <w:lang w:val="es-ES"/>
        </w:rPr>
        <w:t xml:space="preserve"> el 11% de su cubierta arbórea y el 28% de su bosque primario húmedo entre 2002 y 2021, las tasas más altas de Centroamérica.</w:t>
      </w:r>
      <w:r w:rsidRPr="005F21F4">
        <w:rPr>
          <w:rStyle w:val="FootnoteReference"/>
        </w:rPr>
        <w:footnoteReference w:id="47"/>
      </w:r>
    </w:p>
    <w:p w14:paraId="1D32243F" w14:textId="35401452"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Según un informe de la sociedad civil, confirmado </w:t>
      </w:r>
      <w:r>
        <w:rPr>
          <w:lang w:val="es-ES"/>
        </w:rPr>
        <w:t>a la OACNUDH</w:t>
      </w:r>
      <w:r w:rsidRPr="00BC464C" w:rsidDel="00206B67">
        <w:rPr>
          <w:lang w:val="es-ES"/>
        </w:rPr>
        <w:t xml:space="preserve"> </w:t>
      </w:r>
      <w:r w:rsidRPr="00BC464C">
        <w:rPr>
          <w:lang w:val="es-ES"/>
        </w:rPr>
        <w:t xml:space="preserve">por otras fuentes, la minería ilegal de oro también ha aumentado y, en consecuencia, también lo han hecho la contaminación </w:t>
      </w:r>
      <w:r w:rsidR="00DC0B8F" w:rsidDel="00BD1AC4">
        <w:rPr>
          <w:lang w:val="es-ES"/>
        </w:rPr>
        <w:t xml:space="preserve">con mercurio </w:t>
      </w:r>
      <w:r w:rsidRPr="00BC464C">
        <w:rPr>
          <w:lang w:val="es-ES"/>
        </w:rPr>
        <w:t>del agua, el suelo y el aire, la deforestación y la degradación de los ecosistemas</w:t>
      </w:r>
      <w:r w:rsidRPr="005F21F4">
        <w:rPr>
          <w:rStyle w:val="FootnoteReference"/>
        </w:rPr>
        <w:footnoteReference w:id="48"/>
      </w:r>
      <w:r w:rsidRPr="00BC464C">
        <w:rPr>
          <w:lang w:val="es-ES"/>
        </w:rPr>
        <w:t>. Organizaciones de la sociedad civil denunciaron que Nicaragua es el país con más concesiones mineras en territorios indígenas y afrodescendientes de Centroamérica</w:t>
      </w:r>
      <w:r w:rsidR="00074AE8" w:rsidRPr="005F21F4">
        <w:rPr>
          <w:rStyle w:val="FootnoteReference"/>
        </w:rPr>
        <w:footnoteReference w:id="49"/>
      </w:r>
      <w:r w:rsidRPr="00BC464C">
        <w:rPr>
          <w:lang w:val="es-ES"/>
        </w:rPr>
        <w:t xml:space="preserve">. El Estado ha otorgado al menos 69 concesiones mineras a empresas nacionales e internacionales en esos territorios (con otras 72 solicitudes pendientes), en ausencia de proceso </w:t>
      </w:r>
      <w:r>
        <w:rPr>
          <w:lang w:val="es-ES"/>
        </w:rPr>
        <w:t xml:space="preserve">alguno </w:t>
      </w:r>
      <w:r w:rsidRPr="00BC464C">
        <w:rPr>
          <w:lang w:val="es-ES"/>
        </w:rPr>
        <w:t xml:space="preserve">conducente a </w:t>
      </w:r>
      <w:r>
        <w:rPr>
          <w:lang w:val="es-ES"/>
        </w:rPr>
        <w:t>obtener el</w:t>
      </w:r>
      <w:r w:rsidRPr="00BC464C">
        <w:rPr>
          <w:lang w:val="es-ES"/>
        </w:rPr>
        <w:t xml:space="preserve"> consentimiento libre, previo e informado de los pueblos indígenas afectados, tal como establece la Declaración de las Naciones Unidas sobre los </w:t>
      </w:r>
      <w:r>
        <w:rPr>
          <w:lang w:val="es-ES"/>
        </w:rPr>
        <w:t>d</w:t>
      </w:r>
      <w:r w:rsidRPr="00BC464C">
        <w:rPr>
          <w:lang w:val="es-ES"/>
        </w:rPr>
        <w:t xml:space="preserve">erechos de los </w:t>
      </w:r>
      <w:r>
        <w:rPr>
          <w:lang w:val="es-ES"/>
        </w:rPr>
        <w:t>p</w:t>
      </w:r>
      <w:r w:rsidRPr="00BC464C">
        <w:rPr>
          <w:lang w:val="es-ES"/>
        </w:rPr>
        <w:t xml:space="preserve">ueblos </w:t>
      </w:r>
      <w:r>
        <w:rPr>
          <w:lang w:val="es-ES"/>
        </w:rPr>
        <w:t>i</w:t>
      </w:r>
      <w:r w:rsidRPr="00BC464C">
        <w:rPr>
          <w:lang w:val="es-ES"/>
        </w:rPr>
        <w:t xml:space="preserve">ndígenas. Existen supuestas concesiones mineras en 21 territorios indígenas, que afectan a los </w:t>
      </w:r>
      <w:r w:rsidR="00BA217B">
        <w:rPr>
          <w:lang w:val="es-ES"/>
        </w:rPr>
        <w:t xml:space="preserve">pueblos </w:t>
      </w:r>
      <w:r w:rsidRPr="00BC464C">
        <w:rPr>
          <w:lang w:val="es-ES"/>
        </w:rPr>
        <w:t xml:space="preserve">Chorotega, Matagalpa, </w:t>
      </w:r>
      <w:proofErr w:type="spellStart"/>
      <w:r w:rsidRPr="00BC464C">
        <w:rPr>
          <w:lang w:val="es-ES"/>
        </w:rPr>
        <w:t>Mayangna</w:t>
      </w:r>
      <w:proofErr w:type="spellEnd"/>
      <w:r w:rsidRPr="00BC464C">
        <w:rPr>
          <w:lang w:val="es-ES"/>
        </w:rPr>
        <w:t xml:space="preserve"> y </w:t>
      </w:r>
      <w:proofErr w:type="spellStart"/>
      <w:r w:rsidRPr="00BC464C">
        <w:rPr>
          <w:lang w:val="es-ES"/>
        </w:rPr>
        <w:t>Miskitu</w:t>
      </w:r>
      <w:proofErr w:type="spellEnd"/>
      <w:r w:rsidRPr="005F21F4">
        <w:rPr>
          <w:rStyle w:val="FootnoteReference"/>
        </w:rPr>
        <w:footnoteReference w:id="50"/>
      </w:r>
      <w:r w:rsidRPr="00BC464C">
        <w:rPr>
          <w:lang w:val="es-ES"/>
        </w:rPr>
        <w:t xml:space="preserve"> .</w:t>
      </w:r>
    </w:p>
    <w:p w14:paraId="27A5469A" w14:textId="76584D7A"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 Entre el 15 de agosto de 2022 y el 15 de junio de 2023, </w:t>
      </w:r>
      <w:r>
        <w:rPr>
          <w:lang w:val="es-ES"/>
        </w:rPr>
        <w:t>la OACNUDH</w:t>
      </w:r>
      <w:r w:rsidRPr="00BC464C" w:rsidDel="00206B67">
        <w:rPr>
          <w:lang w:val="es-ES"/>
        </w:rPr>
        <w:t xml:space="preserve"> </w:t>
      </w:r>
      <w:r w:rsidRPr="00BC464C">
        <w:rPr>
          <w:lang w:val="es-ES"/>
        </w:rPr>
        <w:t xml:space="preserve">documentó ocho casos de ataques violentos contra pueblos indígenas, especialmente en </w:t>
      </w:r>
      <w:proofErr w:type="spellStart"/>
      <w:r w:rsidRPr="00BC464C">
        <w:rPr>
          <w:lang w:val="es-ES"/>
        </w:rPr>
        <w:t>Mayagna</w:t>
      </w:r>
      <w:proofErr w:type="spellEnd"/>
      <w:r w:rsidRPr="00BC464C">
        <w:rPr>
          <w:lang w:val="es-ES"/>
        </w:rPr>
        <w:t xml:space="preserve"> </w:t>
      </w:r>
      <w:proofErr w:type="spellStart"/>
      <w:r w:rsidRPr="00BC464C">
        <w:rPr>
          <w:lang w:val="es-ES"/>
        </w:rPr>
        <w:t>Sauni</w:t>
      </w:r>
      <w:proofErr w:type="spellEnd"/>
      <w:r w:rsidRPr="00BC464C">
        <w:rPr>
          <w:lang w:val="es-ES"/>
        </w:rPr>
        <w:t xml:space="preserve">, en el núcleo de la Reserva de la Biosfera de Bosawás. En enero de 2023, </w:t>
      </w:r>
      <w:r>
        <w:rPr>
          <w:lang w:val="es-ES"/>
        </w:rPr>
        <w:t>la OACNUDH</w:t>
      </w:r>
      <w:r w:rsidRPr="00BC464C" w:rsidDel="00206B67">
        <w:rPr>
          <w:lang w:val="es-ES"/>
        </w:rPr>
        <w:t xml:space="preserve"> </w:t>
      </w:r>
      <w:r w:rsidRPr="00BC464C">
        <w:rPr>
          <w:lang w:val="es-ES"/>
        </w:rPr>
        <w:t xml:space="preserve">fue informada de varios hechos violentos en la comunidad de </w:t>
      </w:r>
      <w:proofErr w:type="spellStart"/>
      <w:r w:rsidRPr="00BC464C">
        <w:rPr>
          <w:lang w:val="es-ES"/>
        </w:rPr>
        <w:t>Musawás</w:t>
      </w:r>
      <w:proofErr w:type="spellEnd"/>
      <w:r w:rsidRPr="00BC464C">
        <w:rPr>
          <w:lang w:val="es-ES"/>
        </w:rPr>
        <w:t xml:space="preserve">. El 25 de enero, a petición de la comunidad, representantes del Gobierno llegaron a la comunidad de </w:t>
      </w:r>
      <w:proofErr w:type="spellStart"/>
      <w:r w:rsidRPr="00BC464C">
        <w:rPr>
          <w:lang w:val="es-ES"/>
        </w:rPr>
        <w:t>Musawás</w:t>
      </w:r>
      <w:proofErr w:type="spellEnd"/>
      <w:r w:rsidRPr="00BC464C">
        <w:rPr>
          <w:lang w:val="es-ES"/>
        </w:rPr>
        <w:t xml:space="preserve"> para detener a los presuntos autores. El 27 de enero, la policía informó de 24 detenciones de personas acusadas de usurpación de propiedad privada y delitos contra el medio ambiente.</w:t>
      </w:r>
      <w:r w:rsidRPr="005F21F4">
        <w:rPr>
          <w:rStyle w:val="FootnoteReference"/>
        </w:rPr>
        <w:footnoteReference w:id="51"/>
      </w:r>
      <w:r w:rsidRPr="00BC464C">
        <w:rPr>
          <w:lang w:val="es-ES"/>
        </w:rPr>
        <w:t xml:space="preserve"> No se ha facilitado más información sobre la evolución de los proce</w:t>
      </w:r>
      <w:r w:rsidR="08B44592" w:rsidRPr="00BC464C">
        <w:rPr>
          <w:lang w:val="es-ES"/>
        </w:rPr>
        <w:t>s</w:t>
      </w:r>
      <w:r w:rsidRPr="00BC464C">
        <w:rPr>
          <w:lang w:val="es-ES"/>
        </w:rPr>
        <w:t>os.</w:t>
      </w:r>
    </w:p>
    <w:p w14:paraId="0A9240E3" w14:textId="25E06B85"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El 11 de marzo de 2023, colonos atacaron la comunidad indígena </w:t>
      </w:r>
      <w:proofErr w:type="spellStart"/>
      <w:r w:rsidR="00676B57">
        <w:rPr>
          <w:lang w:val="es-ES"/>
        </w:rPr>
        <w:t>Wilu</w:t>
      </w:r>
      <w:proofErr w:type="spellEnd"/>
      <w:r w:rsidR="00676B57">
        <w:rPr>
          <w:lang w:val="es-ES"/>
        </w:rPr>
        <w:t xml:space="preserve"> en territorio </w:t>
      </w:r>
      <w:proofErr w:type="spellStart"/>
      <w:r w:rsidRPr="00BC464C">
        <w:rPr>
          <w:lang w:val="es-ES"/>
        </w:rPr>
        <w:t>Mayangna</w:t>
      </w:r>
      <w:proofErr w:type="spellEnd"/>
      <w:r w:rsidRPr="00BC464C">
        <w:rPr>
          <w:lang w:val="es-ES"/>
        </w:rPr>
        <w:t xml:space="preserve"> </w:t>
      </w:r>
      <w:proofErr w:type="spellStart"/>
      <w:r w:rsidR="00676B57">
        <w:rPr>
          <w:lang w:val="es-ES"/>
        </w:rPr>
        <w:t>Sauni</w:t>
      </w:r>
      <w:proofErr w:type="spellEnd"/>
      <w:r w:rsidR="00676B57">
        <w:rPr>
          <w:lang w:val="es-ES"/>
        </w:rPr>
        <w:t xml:space="preserve"> As</w:t>
      </w:r>
      <w:r w:rsidRPr="00BC464C">
        <w:rPr>
          <w:lang w:val="es-ES"/>
        </w:rPr>
        <w:t xml:space="preserve">, mataron a cinco hombres y desplazaron a 28 familias tras incendiar todas las casas de la comunidad, excepto la escuela y la iglesia. El 24 de abril de 2023, un guardabosques indígena líder de los </w:t>
      </w:r>
      <w:proofErr w:type="spellStart"/>
      <w:r w:rsidRPr="00BC464C">
        <w:rPr>
          <w:lang w:val="es-ES"/>
        </w:rPr>
        <w:t>Mayagna</w:t>
      </w:r>
      <w:proofErr w:type="spellEnd"/>
      <w:r w:rsidRPr="00BC464C">
        <w:rPr>
          <w:lang w:val="es-ES"/>
        </w:rPr>
        <w:t xml:space="preserve"> </w:t>
      </w:r>
      <w:proofErr w:type="spellStart"/>
      <w:r w:rsidRPr="00BC464C">
        <w:rPr>
          <w:lang w:val="es-ES"/>
        </w:rPr>
        <w:t>Sauni</w:t>
      </w:r>
      <w:proofErr w:type="spellEnd"/>
      <w:r w:rsidR="00D54F04">
        <w:rPr>
          <w:lang w:val="es-ES"/>
        </w:rPr>
        <w:t xml:space="preserve"> A</w:t>
      </w:r>
      <w:r w:rsidRPr="00BC464C">
        <w:rPr>
          <w:lang w:val="es-ES"/>
        </w:rPr>
        <w:t>s fue asesinado delante de su esposa y su hijo de 12 años, que también resultó herido. Los autores del crimen habrían utilizado armas de uso exclusivamente militar. No se dispone de información sobre investigaciones o detenciones relacionadas con este caso.</w:t>
      </w:r>
    </w:p>
    <w:p w14:paraId="27D00E1F" w14:textId="6CA3D86E"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206B67">
        <w:rPr>
          <w:lang w:val="es-ES"/>
        </w:rPr>
        <w:t xml:space="preserve"> </w:t>
      </w:r>
      <w:r w:rsidR="00BA217B">
        <w:rPr>
          <w:lang w:val="es-ES"/>
        </w:rPr>
        <w:t>ha recibido</w:t>
      </w:r>
      <w:r w:rsidR="00BA217B" w:rsidRPr="00BC464C">
        <w:rPr>
          <w:lang w:val="es-ES"/>
        </w:rPr>
        <w:t xml:space="preserve"> </w:t>
      </w:r>
      <w:r w:rsidRPr="00BC464C">
        <w:rPr>
          <w:lang w:val="es-ES"/>
        </w:rPr>
        <w:t>información de que los colonos han tomado aproximadamente 21.000 hectáreas</w:t>
      </w:r>
      <w:r w:rsidRPr="005F21F4">
        <w:rPr>
          <w:rStyle w:val="FootnoteReference"/>
        </w:rPr>
        <w:footnoteReference w:id="52"/>
      </w:r>
      <w:r w:rsidRPr="00BC464C">
        <w:rPr>
          <w:lang w:val="es-ES"/>
        </w:rPr>
        <w:t xml:space="preserve"> de</w:t>
      </w:r>
      <w:r w:rsidR="00BA217B">
        <w:rPr>
          <w:lang w:val="es-ES"/>
        </w:rPr>
        <w:t>l</w:t>
      </w:r>
      <w:r w:rsidRPr="00BC464C">
        <w:rPr>
          <w:lang w:val="es-ES"/>
        </w:rPr>
        <w:t xml:space="preserve"> </w:t>
      </w:r>
      <w:r w:rsidR="00BA217B">
        <w:rPr>
          <w:lang w:val="es-ES"/>
        </w:rPr>
        <w:t>pueblo</w:t>
      </w:r>
      <w:r w:rsidR="00BA217B" w:rsidRPr="00BC464C">
        <w:rPr>
          <w:lang w:val="es-ES"/>
        </w:rPr>
        <w:t xml:space="preserve"> </w:t>
      </w:r>
      <w:proofErr w:type="spellStart"/>
      <w:r w:rsidRPr="00BC464C">
        <w:rPr>
          <w:lang w:val="es-ES"/>
        </w:rPr>
        <w:t>Miskitu</w:t>
      </w:r>
      <w:proofErr w:type="spellEnd"/>
      <w:r w:rsidRPr="00BC464C">
        <w:rPr>
          <w:lang w:val="es-ES"/>
        </w:rPr>
        <w:t xml:space="preserve">, y han desplazado por la fuerza a unas 1.000 personas </w:t>
      </w:r>
      <w:proofErr w:type="spellStart"/>
      <w:r w:rsidRPr="00BC464C">
        <w:rPr>
          <w:lang w:val="es-ES"/>
        </w:rPr>
        <w:t>Miskitu</w:t>
      </w:r>
      <w:proofErr w:type="spellEnd"/>
      <w:r w:rsidRPr="00BC464C">
        <w:rPr>
          <w:lang w:val="es-ES"/>
        </w:rPr>
        <w:t xml:space="preserve">, presumiblemente debido a los intereses forestales y mineros de los colonos. Se informó </w:t>
      </w:r>
      <w:r>
        <w:rPr>
          <w:lang w:val="es-ES"/>
        </w:rPr>
        <w:t xml:space="preserve">a la </w:t>
      </w:r>
      <w:proofErr w:type="gramStart"/>
      <w:r>
        <w:rPr>
          <w:lang w:val="es-ES"/>
        </w:rPr>
        <w:t>OACNUDH</w:t>
      </w:r>
      <w:r w:rsidRPr="00BC464C" w:rsidDel="00206B67">
        <w:rPr>
          <w:lang w:val="es-ES"/>
        </w:rPr>
        <w:t xml:space="preserve"> </w:t>
      </w:r>
      <w:r w:rsidRPr="00BC464C">
        <w:rPr>
          <w:lang w:val="es-ES"/>
        </w:rPr>
        <w:t xml:space="preserve"> que</w:t>
      </w:r>
      <w:proofErr w:type="gramEnd"/>
      <w:r w:rsidRPr="00BC464C">
        <w:rPr>
          <w:lang w:val="es-ES"/>
        </w:rPr>
        <w:t xml:space="preserve"> las autoridades indígenas se han visto obligadas a exiliarse debido a las amenazas de muerte, y el Gobierno ha impedido a algun</w:t>
      </w:r>
      <w:r>
        <w:rPr>
          <w:lang w:val="es-ES"/>
        </w:rPr>
        <w:t>a</w:t>
      </w:r>
      <w:r w:rsidRPr="00BC464C">
        <w:rPr>
          <w:lang w:val="es-ES"/>
        </w:rPr>
        <w:t>s de ell</w:t>
      </w:r>
      <w:r>
        <w:rPr>
          <w:lang w:val="es-ES"/>
        </w:rPr>
        <w:t>a</w:t>
      </w:r>
      <w:r w:rsidRPr="00BC464C">
        <w:rPr>
          <w:lang w:val="es-ES"/>
        </w:rPr>
        <w:t xml:space="preserve">s regresar al país denegándoles la entrada en la frontera. Como resultado, </w:t>
      </w:r>
      <w:r w:rsidR="00BA217B">
        <w:rPr>
          <w:lang w:val="es-ES"/>
        </w:rPr>
        <w:t>éstas</w:t>
      </w:r>
      <w:r w:rsidRPr="00BC464C">
        <w:rPr>
          <w:lang w:val="es-ES"/>
        </w:rPr>
        <w:t xml:space="preserve"> no han podido reanudar sus funciones como autoridades indígenas, lo que puede ser contrario al artículo 4 de la Declaración de las Naciones Unidas sobre los derechos de los pueblos indígenas.</w:t>
      </w:r>
    </w:p>
    <w:p w14:paraId="73BA83F0" w14:textId="3D7F2156"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Las mujeres indígenas </w:t>
      </w:r>
      <w:proofErr w:type="gramStart"/>
      <w:r w:rsidR="00E650A0">
        <w:rPr>
          <w:lang w:val="es-ES"/>
        </w:rPr>
        <w:t xml:space="preserve">continúan </w:t>
      </w:r>
      <w:r w:rsidRPr="00BC464C">
        <w:rPr>
          <w:lang w:val="es-ES"/>
        </w:rPr>
        <w:t xml:space="preserve"> sufriendo</w:t>
      </w:r>
      <w:proofErr w:type="gramEnd"/>
      <w:r w:rsidRPr="00BC464C">
        <w:rPr>
          <w:lang w:val="es-ES"/>
        </w:rPr>
        <w:t xml:space="preserve"> violencia física, psicológica, económica y sexual, así como formas </w:t>
      </w:r>
      <w:r>
        <w:rPr>
          <w:lang w:val="es-ES"/>
        </w:rPr>
        <w:t>interseccionales</w:t>
      </w:r>
      <w:r w:rsidRPr="00BC464C">
        <w:rPr>
          <w:lang w:val="es-ES"/>
        </w:rPr>
        <w:t xml:space="preserve"> de discriminación tanto en el ámbito privado como en el público. El 13 de marzo de 2022, la OACNUDH recibió información sobre el feminicidio de una mujer </w:t>
      </w:r>
      <w:proofErr w:type="spellStart"/>
      <w:r w:rsidR="00D844EE">
        <w:rPr>
          <w:lang w:val="es-ES"/>
        </w:rPr>
        <w:t>M</w:t>
      </w:r>
      <w:r w:rsidRPr="00BC464C">
        <w:rPr>
          <w:lang w:val="es-ES"/>
        </w:rPr>
        <w:t>iskitu</w:t>
      </w:r>
      <w:proofErr w:type="spellEnd"/>
      <w:r w:rsidRPr="00BC464C">
        <w:rPr>
          <w:lang w:val="es-ES"/>
        </w:rPr>
        <w:t xml:space="preserve"> de 21 años, que días antes había sido reportada como desaparecida en el territorio indígena de </w:t>
      </w:r>
      <w:proofErr w:type="spellStart"/>
      <w:r w:rsidRPr="00BC464C">
        <w:rPr>
          <w:lang w:val="es-ES"/>
        </w:rPr>
        <w:t>Klisnak</w:t>
      </w:r>
      <w:proofErr w:type="spellEnd"/>
      <w:r w:rsidRPr="00BC464C">
        <w:rPr>
          <w:lang w:val="es-ES"/>
        </w:rPr>
        <w:t xml:space="preserve">, en </w:t>
      </w:r>
      <w:proofErr w:type="spellStart"/>
      <w:r w:rsidRPr="00BC464C">
        <w:rPr>
          <w:lang w:val="es-ES"/>
        </w:rPr>
        <w:t>Waspan</w:t>
      </w:r>
      <w:proofErr w:type="spellEnd"/>
      <w:r w:rsidRPr="00BC464C">
        <w:rPr>
          <w:lang w:val="es-ES"/>
        </w:rPr>
        <w:t xml:space="preserve">, </w:t>
      </w:r>
      <w:r w:rsidR="00351CC5">
        <w:rPr>
          <w:lang w:val="es-ES"/>
        </w:rPr>
        <w:t xml:space="preserve">en la </w:t>
      </w:r>
      <w:r w:rsidR="00BA217B">
        <w:rPr>
          <w:lang w:val="es-ES"/>
        </w:rPr>
        <w:t xml:space="preserve">Región </w:t>
      </w:r>
      <w:r w:rsidR="3B83B48E" w:rsidRPr="13BF7D7B">
        <w:rPr>
          <w:lang w:val="es-ES"/>
        </w:rPr>
        <w:t xml:space="preserve">Autónoma </w:t>
      </w:r>
      <w:r w:rsidR="00351CC5" w:rsidRPr="13BF7D7B">
        <w:rPr>
          <w:lang w:val="es-ES"/>
        </w:rPr>
        <w:t>de</w:t>
      </w:r>
      <w:r w:rsidR="00351CC5">
        <w:rPr>
          <w:lang w:val="es-ES"/>
        </w:rPr>
        <w:t xml:space="preserve"> la </w:t>
      </w:r>
      <w:r w:rsidRPr="00BC464C">
        <w:rPr>
          <w:lang w:val="es-ES"/>
        </w:rPr>
        <w:t>Costa Caribe Norte. Presuntamente fue violada y estrangulada. No hay información disponible sobre investigaciones o presuntos autores llevados ante la justicia.</w:t>
      </w:r>
    </w:p>
    <w:p w14:paraId="556495BB" w14:textId="73A658A5"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La OACNUDH </w:t>
      </w:r>
      <w:r w:rsidR="00BA217B">
        <w:rPr>
          <w:lang w:val="es-ES"/>
        </w:rPr>
        <w:t>ha sido</w:t>
      </w:r>
      <w:r w:rsidR="00BA217B" w:rsidRPr="00BC464C">
        <w:rPr>
          <w:lang w:val="es-ES"/>
        </w:rPr>
        <w:t xml:space="preserve"> </w:t>
      </w:r>
      <w:r w:rsidRPr="00BC464C">
        <w:rPr>
          <w:lang w:val="es-ES"/>
        </w:rPr>
        <w:t xml:space="preserve">informada de la ocurrencia de secuestros y violaciones de niñas indígenas, la mayoría de los cuales permanecen impunes. Desde agosto de 2022, </w:t>
      </w:r>
      <w:r>
        <w:rPr>
          <w:lang w:val="es-ES"/>
        </w:rPr>
        <w:t>la OACNUDH</w:t>
      </w:r>
      <w:r w:rsidRPr="00BC464C" w:rsidDel="00206B67">
        <w:rPr>
          <w:lang w:val="es-ES"/>
        </w:rPr>
        <w:t xml:space="preserve"> </w:t>
      </w:r>
      <w:r w:rsidRPr="00BC464C">
        <w:rPr>
          <w:lang w:val="es-ES"/>
        </w:rPr>
        <w:t>ha documentado tres casos de secuestro y violación de niñas de entre siete y trece años. El caso</w:t>
      </w:r>
      <w:r w:rsidR="008E3B93">
        <w:rPr>
          <w:lang w:val="es-ES"/>
        </w:rPr>
        <w:t xml:space="preserve"> más reciente</w:t>
      </w:r>
      <w:r w:rsidRPr="00BC464C">
        <w:rPr>
          <w:lang w:val="es-ES"/>
        </w:rPr>
        <w:t xml:space="preserve"> ocurrió el 3 de junio de 2023, cuando una niña fue secuestrada en el municipio de </w:t>
      </w:r>
      <w:proofErr w:type="spellStart"/>
      <w:r w:rsidRPr="00BC464C">
        <w:rPr>
          <w:lang w:val="es-ES"/>
        </w:rPr>
        <w:t>Waspam</w:t>
      </w:r>
      <w:proofErr w:type="spellEnd"/>
      <w:r w:rsidRPr="00BC464C">
        <w:rPr>
          <w:lang w:val="es-ES"/>
        </w:rPr>
        <w:t xml:space="preserve">. En el momento de redactar este informe, no había información sobre las investigaciones penales. Debido a lo delicado de los casos y al miedo a las represalias, muchos de ellos no se denuncian a las autoridades. La escasez de instituciones estatales en los territorios indígenas, la desconfianza y el miedo a las autoridades, así como el desconocimiento de las lenguas indígenas entre </w:t>
      </w:r>
      <w:r>
        <w:rPr>
          <w:lang w:val="es-ES"/>
        </w:rPr>
        <w:t>el funcionariado público</w:t>
      </w:r>
      <w:r w:rsidRPr="00BC464C">
        <w:rPr>
          <w:lang w:val="es-ES"/>
        </w:rPr>
        <w:t xml:space="preserve">, ponen en peligro el acceso a la justicia de las víctimas y podrían causar la revictimización de mujeres y niñas. Por ejemplo, el caso de una niña indígena que habría sido secuestrada y violada por un colono de aproximadamente 40 años el 12 de abril de </w:t>
      </w:r>
      <w:r w:rsidR="00E51038" w:rsidRPr="00BC464C">
        <w:rPr>
          <w:lang w:val="es-ES"/>
        </w:rPr>
        <w:t>2022</w:t>
      </w:r>
      <w:r w:rsidRPr="00BC464C">
        <w:rPr>
          <w:lang w:val="es-ES"/>
        </w:rPr>
        <w:t xml:space="preserve"> permanece impune. </w:t>
      </w:r>
    </w:p>
    <w:p w14:paraId="0ED11767" w14:textId="7777777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La ocupación de tierras por colonos ha afectado gravemente a los derechos humanos de los pueblos indígenas, incluidos los derechos económicos, sociales y culturales y su derecho a disfrutar de su propia cultura, </w:t>
      </w:r>
      <w:r>
        <w:rPr>
          <w:lang w:val="es-ES"/>
        </w:rPr>
        <w:t xml:space="preserve">este último </w:t>
      </w:r>
      <w:r w:rsidRPr="00BC464C">
        <w:rPr>
          <w:lang w:val="es-ES"/>
        </w:rPr>
        <w:t xml:space="preserve">protegido por el artículo 27 del Pacto Internacional de Derechos Civiles y Políticos. </w:t>
      </w:r>
      <w:r>
        <w:rPr>
          <w:lang w:val="es-ES"/>
        </w:rPr>
        <w:t>Muchos h</w:t>
      </w:r>
      <w:r w:rsidRPr="00BC464C">
        <w:rPr>
          <w:lang w:val="es-ES"/>
        </w:rPr>
        <w:t>an perdido el acceso a sus tierras y territorios, incluidos bosques y ríos, lo que les impide recoger agua y llevar a cabo actividades agrícolas, de caza y recolección que son esenciales no sólo para su derecho a la alimentación, sino también para la preservación de su cultura.</w:t>
      </w:r>
    </w:p>
    <w:p w14:paraId="067B968D" w14:textId="31E47358"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Pr>
          <w:lang w:val="es-ES"/>
        </w:rPr>
        <w:t>La OACNUDH</w:t>
      </w:r>
      <w:r w:rsidRPr="00BC464C" w:rsidDel="00206B67">
        <w:rPr>
          <w:lang w:val="es-ES"/>
        </w:rPr>
        <w:t xml:space="preserve"> </w:t>
      </w:r>
      <w:r w:rsidRPr="00BC464C">
        <w:rPr>
          <w:lang w:val="es-ES"/>
        </w:rPr>
        <w:t xml:space="preserve">ha recibido información de que, a pesar del reconocimiento legal de las lenguas indígenas como oficiales en sus territorios, y del derecho de </w:t>
      </w:r>
      <w:proofErr w:type="gramStart"/>
      <w:r w:rsidRPr="00BC464C">
        <w:rPr>
          <w:lang w:val="es-ES"/>
        </w:rPr>
        <w:t>los niños y niñas</w:t>
      </w:r>
      <w:proofErr w:type="gramEnd"/>
      <w:r w:rsidRPr="00BC464C">
        <w:rPr>
          <w:lang w:val="es-ES"/>
        </w:rPr>
        <w:t xml:space="preserve"> indígenas a recibir educación en sus lenguas</w:t>
      </w:r>
      <w:r w:rsidRPr="005F21F4">
        <w:rPr>
          <w:rStyle w:val="FootnoteReference"/>
        </w:rPr>
        <w:footnoteReference w:id="53"/>
      </w:r>
      <w:r w:rsidRPr="00BC464C">
        <w:rPr>
          <w:lang w:val="es-ES"/>
        </w:rPr>
        <w:t xml:space="preserve"> , la educación pública se imparte únicamente en español en muchas escuelas de los territorios indígenas, excluyendo las lenguas indígenas, algunas de las cuales se encuentran en grave riesgo de extinción. </w:t>
      </w:r>
      <w:r w:rsidR="009D6CC9">
        <w:rPr>
          <w:lang w:val="es-ES"/>
        </w:rPr>
        <w:t>Por ejemplo, l</w:t>
      </w:r>
      <w:r>
        <w:rPr>
          <w:lang w:val="es-ES"/>
        </w:rPr>
        <w:t>a OACNUDH</w:t>
      </w:r>
      <w:r w:rsidRPr="00BC464C" w:rsidDel="00206B67">
        <w:rPr>
          <w:lang w:val="es-ES"/>
        </w:rPr>
        <w:t xml:space="preserve"> </w:t>
      </w:r>
      <w:r w:rsidRPr="00BC464C">
        <w:rPr>
          <w:lang w:val="es-ES"/>
        </w:rPr>
        <w:t xml:space="preserve">recibió información de que la lengua </w:t>
      </w:r>
      <w:r w:rsidR="00292876">
        <w:rPr>
          <w:lang w:val="es-ES"/>
        </w:rPr>
        <w:t>R</w:t>
      </w:r>
      <w:r w:rsidRPr="00BC464C">
        <w:rPr>
          <w:lang w:val="es-ES"/>
        </w:rPr>
        <w:t>ama sólo es hablada por 15 personas.</w:t>
      </w:r>
    </w:p>
    <w:p w14:paraId="4E4B4151" w14:textId="6D432562"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36" w:lineRule="atLeast"/>
        <w:ind w:left="1134" w:firstLine="0"/>
        <w:rPr>
          <w:lang w:val="es-ES"/>
        </w:rPr>
      </w:pPr>
      <w:r w:rsidRPr="00BC464C">
        <w:rPr>
          <w:lang w:val="es-ES"/>
        </w:rPr>
        <w:t xml:space="preserve">A pesar de que la Ley 759 </w:t>
      </w:r>
      <w:r w:rsidR="00C362B8">
        <w:rPr>
          <w:lang w:val="es-ES"/>
        </w:rPr>
        <w:t xml:space="preserve">sobre </w:t>
      </w:r>
      <w:r w:rsidR="00C362B8" w:rsidRPr="00C362B8">
        <w:rPr>
          <w:lang w:val="es-ES"/>
        </w:rPr>
        <w:t xml:space="preserve">medicina tradicional ancestral </w:t>
      </w:r>
      <w:r w:rsidRPr="00BC464C">
        <w:rPr>
          <w:lang w:val="es-ES"/>
        </w:rPr>
        <w:t xml:space="preserve">(2011) reconoce el papel de los proveedores de atención sanitaria tradicionales, </w:t>
      </w:r>
      <w:r>
        <w:rPr>
          <w:lang w:val="es-ES"/>
        </w:rPr>
        <w:t>la OACNUDH</w:t>
      </w:r>
      <w:r w:rsidRPr="00BC464C" w:rsidDel="00206B67">
        <w:rPr>
          <w:lang w:val="es-ES"/>
        </w:rPr>
        <w:t xml:space="preserve"> </w:t>
      </w:r>
      <w:r w:rsidR="00C362B8">
        <w:rPr>
          <w:lang w:val="es-ES"/>
        </w:rPr>
        <w:t>ha recibido</w:t>
      </w:r>
      <w:r w:rsidR="00C362B8" w:rsidRPr="00BC464C">
        <w:rPr>
          <w:lang w:val="es-ES"/>
        </w:rPr>
        <w:t xml:space="preserve"> </w:t>
      </w:r>
      <w:r w:rsidRPr="00BC464C">
        <w:rPr>
          <w:lang w:val="es-ES"/>
        </w:rPr>
        <w:t>información de infracciones de las prácticas tradicionales indígenas en relación con el parto, en particular en las zonas rurales y remotas. El registro de los recién nacidos requiere la presentación de un certificado expedido por un centro de salud,</w:t>
      </w:r>
      <w:r w:rsidRPr="005F21F4">
        <w:rPr>
          <w:rStyle w:val="FootnoteReference"/>
        </w:rPr>
        <w:footnoteReference w:id="54"/>
      </w:r>
      <w:r w:rsidRPr="00BC464C">
        <w:rPr>
          <w:lang w:val="es-ES"/>
        </w:rPr>
        <w:t xml:space="preserve"> por lo que algunos </w:t>
      </w:r>
      <w:proofErr w:type="gramStart"/>
      <w:r w:rsidRPr="00BC464C">
        <w:rPr>
          <w:lang w:val="es-ES"/>
        </w:rPr>
        <w:t xml:space="preserve">niños </w:t>
      </w:r>
      <w:r w:rsidR="009D6CC9">
        <w:rPr>
          <w:lang w:val="es-ES"/>
        </w:rPr>
        <w:t>y niñas</w:t>
      </w:r>
      <w:proofErr w:type="gramEnd"/>
      <w:r w:rsidR="009D6CC9">
        <w:rPr>
          <w:lang w:val="es-ES"/>
        </w:rPr>
        <w:t xml:space="preserve"> </w:t>
      </w:r>
      <w:r w:rsidRPr="00BC464C">
        <w:rPr>
          <w:lang w:val="es-ES"/>
        </w:rPr>
        <w:t>indígenas no pudieron ser inscrit</w:t>
      </w:r>
      <w:r w:rsidR="009D6CC9">
        <w:rPr>
          <w:lang w:val="es-ES"/>
        </w:rPr>
        <w:t>a</w:t>
      </w:r>
      <w:r w:rsidRPr="00BC464C">
        <w:rPr>
          <w:lang w:val="es-ES"/>
        </w:rPr>
        <w:t xml:space="preserve">s en el registro civil porque nacieron en casa asistidos por parteras tradicionales. En este contexto, muchas mujeres indígenas se sintieron obligadas a renunciar al método tradicional de parto, que consiste en dar a luz en casa, de rodillas y vestidas, en presencia de una comadrona tradicional, lo que les impidió disfrutar de sus derechos culturales. </w:t>
      </w:r>
      <w:r w:rsidR="00C362B8">
        <w:rPr>
          <w:lang w:val="es-ES"/>
        </w:rPr>
        <w:t>En</w:t>
      </w:r>
      <w:r w:rsidR="009D6CC9">
        <w:rPr>
          <w:lang w:val="es-ES"/>
        </w:rPr>
        <w:t xml:space="preserve"> </w:t>
      </w:r>
      <w:r w:rsidRPr="00BC464C">
        <w:rPr>
          <w:lang w:val="es-ES"/>
        </w:rPr>
        <w:t xml:space="preserve">virtud del Convenio sobre Derechos Económicos, Sociales y Culturales, </w:t>
      </w:r>
      <w:r w:rsidR="00C362B8">
        <w:rPr>
          <w:lang w:val="es-ES"/>
        </w:rPr>
        <w:t>l</w:t>
      </w:r>
      <w:r w:rsidR="00C362B8" w:rsidRPr="00BC464C">
        <w:rPr>
          <w:lang w:val="es-ES"/>
        </w:rPr>
        <w:t xml:space="preserve">as obligaciones en relación con el derecho a la salud </w:t>
      </w:r>
      <w:r w:rsidRPr="00BC464C">
        <w:rPr>
          <w:lang w:val="es-ES"/>
        </w:rPr>
        <w:t>implican que la asistencia sanitaria debe ser culturalmente apropiada, teniendo en cuenta las prácticas sanitarias tradicionales,</w:t>
      </w:r>
      <w:r w:rsidRPr="005F21F4">
        <w:rPr>
          <w:rStyle w:val="FootnoteReference"/>
        </w:rPr>
        <w:footnoteReference w:id="55"/>
      </w:r>
      <w:r w:rsidRPr="00BC464C">
        <w:rPr>
          <w:lang w:val="es-ES"/>
        </w:rPr>
        <w:t xml:space="preserve"> por ejemplo, reforzando la capacidad de las comadronas tradicionales que asisten a las mujeres indígenas.</w:t>
      </w:r>
      <w:r w:rsidRPr="005F21F4">
        <w:rPr>
          <w:rStyle w:val="FootnoteReference"/>
        </w:rPr>
        <w:footnoteReference w:id="56"/>
      </w:r>
    </w:p>
    <w:p w14:paraId="38158CB4" w14:textId="056BA58A"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En marzo de 2022, el </w:t>
      </w:r>
      <w:r w:rsidRPr="00A116F5">
        <w:rPr>
          <w:lang w:val="es-ES"/>
        </w:rPr>
        <w:t>Mecanismo Independiente de Reparación</w:t>
      </w:r>
      <w:r w:rsidRPr="00A116F5" w:rsidDel="00A116F5">
        <w:rPr>
          <w:lang w:val="es-ES"/>
        </w:rPr>
        <w:t xml:space="preserve"> </w:t>
      </w:r>
      <w:r w:rsidRPr="00BC464C">
        <w:rPr>
          <w:lang w:val="es-ES"/>
        </w:rPr>
        <w:t xml:space="preserve">del Fondo Verde para el Clima emitió un dictamen inicial en el que </w:t>
      </w:r>
      <w:r w:rsidR="009D6CC9">
        <w:rPr>
          <w:lang w:val="es-ES"/>
        </w:rPr>
        <w:t>indicaba</w:t>
      </w:r>
      <w:r w:rsidR="009D6CC9" w:rsidRPr="00BC464C">
        <w:rPr>
          <w:lang w:val="es-ES"/>
        </w:rPr>
        <w:t xml:space="preserve"> </w:t>
      </w:r>
      <w:r w:rsidRPr="00BC464C">
        <w:rPr>
          <w:lang w:val="es-ES"/>
        </w:rPr>
        <w:t>que las preocupaciones expresadas por la población de Bosawás en relación con el proyecto Bio-CLIMA, aprobado en 2020, podrían estar justificadas</w:t>
      </w:r>
      <w:r w:rsidR="007C0966" w:rsidRPr="005F21F4">
        <w:rPr>
          <w:rStyle w:val="FootnoteReference"/>
        </w:rPr>
        <w:footnoteReference w:id="57"/>
      </w:r>
      <w:r w:rsidRPr="00BC464C">
        <w:rPr>
          <w:lang w:val="es-ES"/>
        </w:rPr>
        <w:t xml:space="preserve">. El mecanismo recomendó que se llevara a cabo una investigación in situ y que el proyecto quedara en suspenso. Se esperaba que el Consejo de Administración del Fondo tomara una decisión en su reunión de marzo de 2023, pero aún no ha </w:t>
      </w:r>
      <w:r w:rsidRPr="00BC464C" w:rsidDel="7F29D7D2">
        <w:rPr>
          <w:lang w:val="es-ES"/>
        </w:rPr>
        <w:t xml:space="preserve">hecho </w:t>
      </w:r>
      <w:r w:rsidRPr="00BC464C">
        <w:rPr>
          <w:lang w:val="es-ES"/>
        </w:rPr>
        <w:t>ninguna declaración pública sobre el caso.</w:t>
      </w:r>
    </w:p>
    <w:p w14:paraId="2DC3ABC9" w14:textId="77777777" w:rsidR="00ED1618" w:rsidRPr="00BC464C" w:rsidRDefault="00ED1618" w:rsidP="00ED1618">
      <w:pPr>
        <w:pStyle w:val="HChG"/>
        <w:spacing w:line="236" w:lineRule="atLeast"/>
        <w:rPr>
          <w:lang w:val="es-ES"/>
        </w:rPr>
      </w:pPr>
      <w:r w:rsidRPr="00BC464C">
        <w:rPr>
          <w:lang w:val="es-ES"/>
        </w:rPr>
        <w:tab/>
        <w:t>VI.</w:t>
      </w:r>
      <w:r w:rsidRPr="00BC464C">
        <w:rPr>
          <w:lang w:val="es-ES"/>
        </w:rPr>
        <w:tab/>
        <w:t>Igualdad de género y derechos sexuales y reproductivos</w:t>
      </w:r>
    </w:p>
    <w:p w14:paraId="46A2020E" w14:textId="3A11C2EB"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Según el Índice Global de Brecha de Género 2022, Nicaragua ocupa el séptimo lugar en el mundo y el primero en América Latina con la brecha de género más baja.</w:t>
      </w:r>
      <w:r w:rsidRPr="005F21F4">
        <w:rPr>
          <w:rStyle w:val="FootnoteReference"/>
        </w:rPr>
        <w:footnoteReference w:id="58"/>
      </w:r>
      <w:r w:rsidRPr="00BC464C">
        <w:rPr>
          <w:lang w:val="es-ES"/>
        </w:rPr>
        <w:t xml:space="preserve"> </w:t>
      </w:r>
      <w:r w:rsidR="00C362B8">
        <w:rPr>
          <w:lang w:val="es-ES"/>
        </w:rPr>
        <w:t>El país</w:t>
      </w:r>
      <w:r w:rsidR="00C362B8" w:rsidRPr="00BC464C">
        <w:rPr>
          <w:lang w:val="es-ES"/>
        </w:rPr>
        <w:t xml:space="preserve"> </w:t>
      </w:r>
      <w:r w:rsidRPr="00BC464C">
        <w:rPr>
          <w:lang w:val="es-ES"/>
        </w:rPr>
        <w:t xml:space="preserve">muestra altos niveles de paridad de género en logros educativos con una puntuación de 1, salud y supervivencia con 0,978, y ocupa el quinto lugar en el empoderamiento político con 0,626. Sin embargo, las </w:t>
      </w:r>
      <w:proofErr w:type="gramStart"/>
      <w:r w:rsidRPr="00BC464C">
        <w:rPr>
          <w:lang w:val="es-ES"/>
        </w:rPr>
        <w:t xml:space="preserve">mujeres  </w:t>
      </w:r>
      <w:r w:rsidRPr="00BC464C" w:rsidDel="507A841D">
        <w:rPr>
          <w:lang w:val="es-ES"/>
        </w:rPr>
        <w:t>rurales</w:t>
      </w:r>
      <w:proofErr w:type="gramEnd"/>
      <w:r w:rsidRPr="00BC464C" w:rsidDel="507A841D">
        <w:rPr>
          <w:lang w:val="es-ES"/>
        </w:rPr>
        <w:t xml:space="preserve">, indígenas, afrodescendientes </w:t>
      </w:r>
      <w:r w:rsidRPr="00BC464C">
        <w:rPr>
          <w:lang w:val="es-ES"/>
        </w:rPr>
        <w:t xml:space="preserve">y las que tienen orientaciones o identidades sexuales diversas, siguen enfrentándose a graves </w:t>
      </w:r>
      <w:r w:rsidRPr="00BC464C" w:rsidDel="507A841D">
        <w:rPr>
          <w:lang w:val="es-ES"/>
        </w:rPr>
        <w:t xml:space="preserve">formas de discriminación </w:t>
      </w:r>
      <w:r w:rsidRPr="00BC464C">
        <w:rPr>
          <w:lang w:val="es-ES"/>
        </w:rPr>
        <w:t>que se entrecruzan</w:t>
      </w:r>
      <w:r w:rsidRPr="00BC464C" w:rsidDel="507A841D">
        <w:rPr>
          <w:lang w:val="es-ES"/>
        </w:rPr>
        <w:t xml:space="preserve">, </w:t>
      </w:r>
      <w:r w:rsidRPr="00BC464C">
        <w:rPr>
          <w:lang w:val="es-ES"/>
        </w:rPr>
        <w:t xml:space="preserve">basadas en el género, en su condición socioeconómica y en </w:t>
      </w:r>
      <w:r w:rsidRPr="00BC464C" w:rsidDel="507A841D">
        <w:rPr>
          <w:lang w:val="es-ES"/>
        </w:rPr>
        <w:t>la raza</w:t>
      </w:r>
      <w:r w:rsidRPr="00BC464C">
        <w:rPr>
          <w:lang w:val="es-ES"/>
        </w:rPr>
        <w:t xml:space="preserve">. El </w:t>
      </w:r>
      <w:r>
        <w:rPr>
          <w:lang w:val="es-ES"/>
        </w:rPr>
        <w:t>Gobierno</w:t>
      </w:r>
      <w:r w:rsidRPr="00BC464C">
        <w:rPr>
          <w:lang w:val="es-ES"/>
        </w:rPr>
        <w:t xml:space="preserve"> </w:t>
      </w:r>
      <w:r w:rsidR="00C362B8">
        <w:rPr>
          <w:lang w:val="es-ES"/>
        </w:rPr>
        <w:t>ha ordenado</w:t>
      </w:r>
      <w:r w:rsidR="00C362B8" w:rsidRPr="00BC464C">
        <w:rPr>
          <w:lang w:val="es-ES"/>
        </w:rPr>
        <w:t xml:space="preserve"> </w:t>
      </w:r>
      <w:r w:rsidRPr="00BC464C">
        <w:rPr>
          <w:lang w:val="es-ES"/>
        </w:rPr>
        <w:t>el cierre de más de 315 organizaciones de derechos de las mujeres desde 2021, muchas de las cuales trabajaban en derechos sexuales y reproductivos.</w:t>
      </w:r>
    </w:p>
    <w:p w14:paraId="5035AA3A" w14:textId="0D4E2A0C"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Organizaciones de la sociedad civil han planteado </w:t>
      </w:r>
      <w:r w:rsidR="009D6CC9">
        <w:rPr>
          <w:lang w:val="es-ES"/>
        </w:rPr>
        <w:t>preocupaciones</w:t>
      </w:r>
      <w:r w:rsidRPr="00BC464C">
        <w:rPr>
          <w:lang w:val="es-ES"/>
        </w:rPr>
        <w:t xml:space="preserve"> sobre el programa de "beneficio legal de convivencia familiar"</w:t>
      </w:r>
      <w:r w:rsidRPr="005F21F4">
        <w:rPr>
          <w:rStyle w:val="FootnoteReference"/>
        </w:rPr>
        <w:footnoteReference w:id="59"/>
      </w:r>
      <w:r w:rsidRPr="00BC464C">
        <w:rPr>
          <w:lang w:val="es-ES"/>
        </w:rPr>
        <w:t xml:space="preserve"> , en el que personas condenadas por delitos relacionados con la violencia contra la mujer han sido puestas en libertad sin la debida evaluación de sus casos y sin las garantías adecuadas. Por ejemplo, en abril, un hombre condenado por tentativa de feminicidio liberado en el marco de este programa presuntamente asesinó a una mujer de 19 años en Managua, cuyo cadáver fue encontrado tras permanecer desaparecido durante cuatro días. </w:t>
      </w:r>
    </w:p>
    <w:p w14:paraId="35D0566D" w14:textId="1CB99835"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El </w:t>
      </w:r>
      <w:r>
        <w:rPr>
          <w:lang w:val="es-ES"/>
        </w:rPr>
        <w:t>Gobierno</w:t>
      </w:r>
      <w:r w:rsidRPr="00BC464C">
        <w:rPr>
          <w:lang w:val="es-ES"/>
        </w:rPr>
        <w:t xml:space="preserve"> publica pocos datos sobre feminicidios.</w:t>
      </w:r>
      <w:r w:rsidRPr="005F21F4">
        <w:rPr>
          <w:rStyle w:val="FootnoteReference"/>
        </w:rPr>
        <w:footnoteReference w:id="60"/>
      </w:r>
      <w:r w:rsidRPr="00BC464C">
        <w:rPr>
          <w:lang w:val="es-ES"/>
        </w:rPr>
        <w:t xml:space="preserve"> Cuando el Instituto Nacional de Información </w:t>
      </w:r>
      <w:r>
        <w:rPr>
          <w:lang w:val="es-ES"/>
        </w:rPr>
        <w:t>de</w:t>
      </w:r>
      <w:r w:rsidRPr="00BC464C">
        <w:rPr>
          <w:lang w:val="es-ES"/>
        </w:rPr>
        <w:t xml:space="preserve"> Desarrollo publica datos oficiales, las cifras son muy inferiores a las documentadas por la sociedad civil. El Instituto publicó sus datos de 2021 en enero de 2023</w:t>
      </w:r>
      <w:r w:rsidR="00C34A28">
        <w:rPr>
          <w:lang w:val="es-ES"/>
        </w:rPr>
        <w:t>, reportando</w:t>
      </w:r>
      <w:r w:rsidRPr="00BC464C">
        <w:rPr>
          <w:lang w:val="es-ES"/>
        </w:rPr>
        <w:t xml:space="preserve"> 15 feminicidios</w:t>
      </w:r>
      <w:r w:rsidR="009D6CC9">
        <w:rPr>
          <w:lang w:val="es-ES"/>
        </w:rPr>
        <w:t xml:space="preserve"> </w:t>
      </w:r>
      <w:r w:rsidR="00C362B8">
        <w:rPr>
          <w:lang w:val="es-ES"/>
        </w:rPr>
        <w:t>en ese año</w:t>
      </w:r>
      <w:r w:rsidRPr="005F21F4">
        <w:rPr>
          <w:rStyle w:val="FootnoteReference"/>
        </w:rPr>
        <w:footnoteReference w:id="61"/>
      </w:r>
      <w:r w:rsidRPr="00BC464C">
        <w:rPr>
          <w:lang w:val="es-ES"/>
        </w:rPr>
        <w:t>, que contrastan con los 71 contabilizados por la sociedad civil y con el promedio regional</w:t>
      </w:r>
      <w:r w:rsidRPr="005F21F4">
        <w:rPr>
          <w:rStyle w:val="FootnoteReference"/>
        </w:rPr>
        <w:footnoteReference w:id="62"/>
      </w:r>
      <w:r w:rsidRPr="00BC464C">
        <w:rPr>
          <w:lang w:val="es-ES"/>
        </w:rPr>
        <w:t>. Las organizaciones de la sociedad civil reportaron 57 feminicidios en 2022, pero la información oficial aún no está disponible para 2022 y 2023. El subregistro se debe en parte a una definición excesivamente restrictiva del feminicidio, ya que el Gobierno limita el feminicidio al asesinato de mujeres a manos de sus parejas.</w:t>
      </w:r>
      <w:r w:rsidRPr="005F21F4">
        <w:rPr>
          <w:rStyle w:val="FootnoteReference"/>
        </w:rPr>
        <w:footnoteReference w:id="63"/>
      </w:r>
    </w:p>
    <w:p w14:paraId="149067E5" w14:textId="00B69828"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La OACNUDH recibió información de que entre el 1 de enero y el 30 de junio de 2023 ocurrieron 36 femicidios, incluidos cuatro casos de niñas menores de 16 años. Las Regiones Autónomas </w:t>
      </w:r>
      <w:r w:rsidR="00FC64CD">
        <w:rPr>
          <w:lang w:val="es-ES"/>
        </w:rPr>
        <w:t xml:space="preserve">de la </w:t>
      </w:r>
      <w:r w:rsidRPr="00BC464C">
        <w:rPr>
          <w:lang w:val="es-ES"/>
        </w:rPr>
        <w:t xml:space="preserve">Costa Caribe Norte y Sur concentran las tasas más altas, con 11 casos. Entre los factores que contribuyen en estas regiones a la violencia contra las mujeres y a la impunidad están la ausencia del Estado, la violencia contra las comunidades indígenas por parte de los colonos y la falta de un enfoque de derechos humanos en las políticas públicas para las víctimas de violencia. El desconocimiento de las lenguas indígenas por parte </w:t>
      </w:r>
      <w:r>
        <w:rPr>
          <w:lang w:val="es-ES"/>
        </w:rPr>
        <w:t>del</w:t>
      </w:r>
      <w:r w:rsidR="009508E0">
        <w:rPr>
          <w:lang w:val="es-ES"/>
        </w:rPr>
        <w:t xml:space="preserve"> </w:t>
      </w:r>
      <w:r>
        <w:rPr>
          <w:lang w:val="es-ES"/>
        </w:rPr>
        <w:t>funcionari</w:t>
      </w:r>
      <w:r w:rsidR="00537170">
        <w:rPr>
          <w:lang w:val="es-ES"/>
        </w:rPr>
        <w:t xml:space="preserve">ado </w:t>
      </w:r>
      <w:r w:rsidR="009508E0">
        <w:rPr>
          <w:lang w:val="es-ES"/>
        </w:rPr>
        <w:t>público</w:t>
      </w:r>
      <w:r w:rsidR="00537170">
        <w:rPr>
          <w:lang w:val="es-ES"/>
        </w:rPr>
        <w:t xml:space="preserve"> </w:t>
      </w:r>
      <w:r w:rsidRPr="00BC464C">
        <w:rPr>
          <w:lang w:val="es-ES"/>
        </w:rPr>
        <w:t>dificulta aún más el acceso a la justicia y a los servicios esenciales para las mujeres y niñas sobrevivientes.</w:t>
      </w:r>
    </w:p>
    <w:p w14:paraId="02EE7CEF" w14:textId="65E08FAC"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En Nicaragua siguen produciéndose violaciones de derechos humanos contra mujeres y personas con orientaciones e identidades sexuales diversas. Organizaciones de la sociedad civil documentaron 43 agresiones contra personas </w:t>
      </w:r>
      <w:r w:rsidR="009D6CC9" w:rsidRPr="00D4409B">
        <w:rPr>
          <w:lang w:val="es-ES"/>
        </w:rPr>
        <w:t xml:space="preserve">LGBTIQ+ </w:t>
      </w:r>
      <w:r w:rsidRPr="00BC464C">
        <w:rPr>
          <w:lang w:val="es-ES"/>
        </w:rPr>
        <w:t>en 2022, incluyendo un feminicidio de una mujer trans, otros actos de violencia sexual, física y psicológica, discursos de odio y discriminación.</w:t>
      </w:r>
      <w:r w:rsidRPr="005F21F4">
        <w:rPr>
          <w:rStyle w:val="FootnoteReference"/>
        </w:rPr>
        <w:footnoteReference w:id="64"/>
      </w:r>
      <w:r w:rsidRPr="00BC464C">
        <w:rPr>
          <w:lang w:val="es-ES"/>
        </w:rPr>
        <w:t xml:space="preserve"> Las mujeres trans y los hombres homosexuales representan el 70% de las víctimas. Del 1 de enero al 30 de abril de 2023, las organizaciones de la sociedad civil denunciaron 20 agresiones, entre ellas dos feminicidios de mujeres trans y el homicidio de un chico de 16 años a manos de su padre, que rechazaba su orientación sexual. No se publican datos oficiales sobre agresiones, ni sobre investigaciones y enjuiciamientos, a pesar de que el Código Penal establece circunstancias agravantes en los casos motivados por la orientación sexual.</w:t>
      </w:r>
      <w:r w:rsidRPr="005F21F4">
        <w:rPr>
          <w:rStyle w:val="FootnoteReference"/>
        </w:rPr>
        <w:footnoteReference w:id="65"/>
      </w:r>
    </w:p>
    <w:p w14:paraId="123B8DE8" w14:textId="2429D335"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El Instituto de Medicina Legal reportó que los casos de violencia sexual aumentaron de 4.803 en </w:t>
      </w:r>
      <w:proofErr w:type="gramStart"/>
      <w:r w:rsidRPr="00BC464C">
        <w:rPr>
          <w:lang w:val="es-ES"/>
        </w:rPr>
        <w:t xml:space="preserve">2021  </w:t>
      </w:r>
      <w:r w:rsidR="009C418A">
        <w:rPr>
          <w:lang w:val="es-ES"/>
        </w:rPr>
        <w:t>(</w:t>
      </w:r>
      <w:proofErr w:type="gramEnd"/>
      <w:r w:rsidRPr="00BC464C">
        <w:rPr>
          <w:lang w:val="es-ES"/>
        </w:rPr>
        <w:t>515 niños, 64 hombres, 3.428 niñas y 796 mujeres</w:t>
      </w:r>
      <w:r w:rsidR="009C418A">
        <w:rPr>
          <w:lang w:val="es-ES"/>
        </w:rPr>
        <w:t>)</w:t>
      </w:r>
      <w:r w:rsidRPr="00BC464C">
        <w:rPr>
          <w:lang w:val="es-ES"/>
        </w:rPr>
        <w:t xml:space="preserve"> a 5.049 en 2022,  </w:t>
      </w:r>
      <w:r w:rsidR="00B150C2">
        <w:rPr>
          <w:lang w:val="es-ES"/>
        </w:rPr>
        <w:t>(</w:t>
      </w:r>
      <w:r w:rsidRPr="00BC464C">
        <w:rPr>
          <w:lang w:val="es-ES"/>
        </w:rPr>
        <w:t>537 niños, 70 hombres, 3.662 niñas y 780 mujeres</w:t>
      </w:r>
      <w:r w:rsidR="004359CA">
        <w:rPr>
          <w:lang w:val="es-ES"/>
        </w:rPr>
        <w:t>)</w:t>
      </w:r>
      <w:r w:rsidRPr="00BC464C">
        <w:rPr>
          <w:lang w:val="es-ES"/>
        </w:rPr>
        <w:t>.</w:t>
      </w:r>
      <w:r w:rsidRPr="005F21F4">
        <w:rPr>
          <w:rStyle w:val="FootnoteReference"/>
        </w:rPr>
        <w:footnoteReference w:id="66"/>
      </w:r>
      <w:r w:rsidRPr="00BC464C">
        <w:rPr>
          <w:lang w:val="es-ES"/>
        </w:rPr>
        <w:t xml:space="preserve"> Estas cifras muestran el impacto desproporcionado de la violencia sexual en niñas y mujeres. El informe del Instituto no incluye datos desglosados por etnia, identidad de género u orientación sexual de las víctimas. Las niñas </w:t>
      </w:r>
      <w:proofErr w:type="gramStart"/>
      <w:r w:rsidR="009F664E">
        <w:rPr>
          <w:lang w:val="es-ES"/>
        </w:rPr>
        <w:t>continuar</w:t>
      </w:r>
      <w:r w:rsidR="006D3213">
        <w:rPr>
          <w:lang w:val="es-ES"/>
        </w:rPr>
        <w:t xml:space="preserve">on </w:t>
      </w:r>
      <w:r w:rsidRPr="00BC464C">
        <w:rPr>
          <w:lang w:val="es-ES"/>
        </w:rPr>
        <w:t xml:space="preserve"> siendo</w:t>
      </w:r>
      <w:proofErr w:type="gramEnd"/>
      <w:r w:rsidRPr="00BC464C">
        <w:rPr>
          <w:lang w:val="es-ES"/>
        </w:rPr>
        <w:t xml:space="preserve"> la mayoría de las víctimas en 2022; el 73% del total de víctimas eran niñas menores de 18 años. Las víctimas eran especialmente jóvenes en 2021, con un 50% de las víctimas de violación menores de 14 años.</w:t>
      </w:r>
      <w:r w:rsidRPr="005F21F4">
        <w:rPr>
          <w:rStyle w:val="FootnoteReference"/>
        </w:rPr>
        <w:footnoteReference w:id="67"/>
      </w:r>
      <w:r w:rsidRPr="00BC464C">
        <w:rPr>
          <w:lang w:val="es-ES"/>
        </w:rPr>
        <w:t xml:space="preserve"> Aunque el informe del Instituto señala que la "eficacia policial" en la investigación de estos casos ronda el 90%, no se facilita más información sobre los juicios o la rendición de cuentas de los autores. </w:t>
      </w:r>
    </w:p>
    <w:p w14:paraId="11BFAFCA" w14:textId="3A66533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En 2021, 3.430 mujeres víctimas de violencia sexual estaban en edad fértil, de las cuales 53 habían quedado embarazadas y 360 estaban en riesgo de embarazo.</w:t>
      </w:r>
      <w:r w:rsidRPr="005F21F4">
        <w:rPr>
          <w:rStyle w:val="FootnoteReference"/>
        </w:rPr>
        <w:footnoteReference w:id="68"/>
      </w:r>
      <w:r w:rsidRPr="00BC464C">
        <w:rPr>
          <w:lang w:val="es-ES"/>
        </w:rPr>
        <w:t xml:space="preserve"> Debido a la prohibición total del aborto y su penalización incluso en casos de violación, incesto o peligro para la vida de la persona embarazada, las víctimas de violencia sexual no pueden interrumpir su embarazo de forma legal y segura, prolongando y agravando su intenso sufrimiento físico y psicológico. Esta prohibición absoluta del aborto somete a mujeres y niñas a dolor o sufrimiento físico y mental que viola el artículo 7 del Pacto Internacional de Derechos Civiles y Políticos</w:t>
      </w:r>
      <w:r w:rsidRPr="005F21F4">
        <w:rPr>
          <w:rStyle w:val="FootnoteReference"/>
        </w:rPr>
        <w:footnoteReference w:id="69"/>
      </w:r>
      <w:r w:rsidRPr="00BC464C">
        <w:rPr>
          <w:lang w:val="es-ES"/>
        </w:rPr>
        <w:t xml:space="preserve">. En estas circunstancias, las víctimas se ven </w:t>
      </w:r>
      <w:proofErr w:type="gramStart"/>
      <w:r w:rsidR="00901F7E">
        <w:rPr>
          <w:lang w:val="es-ES"/>
        </w:rPr>
        <w:t xml:space="preserve">presionadas </w:t>
      </w:r>
      <w:r w:rsidRPr="00BC464C">
        <w:rPr>
          <w:lang w:val="es-ES"/>
        </w:rPr>
        <w:t xml:space="preserve"> a</w:t>
      </w:r>
      <w:proofErr w:type="gramEnd"/>
      <w:r w:rsidRPr="00BC464C">
        <w:rPr>
          <w:lang w:val="es-ES"/>
        </w:rPr>
        <w:t xml:space="preserve"> recurrir a abortos ilegales e inseguros, poniendo en riesgo su salud y su vida, y pudiendo llevar a algunas al suicidio</w:t>
      </w:r>
      <w:r w:rsidRPr="005F21F4">
        <w:rPr>
          <w:rStyle w:val="FootnoteReference"/>
        </w:rPr>
        <w:footnoteReference w:id="70"/>
      </w:r>
      <w:r w:rsidRPr="00BC464C">
        <w:rPr>
          <w:lang w:val="es-ES"/>
        </w:rPr>
        <w:t xml:space="preserve">. </w:t>
      </w:r>
      <w:r w:rsidR="00C362B8">
        <w:rPr>
          <w:lang w:val="es-ES"/>
        </w:rPr>
        <w:t>En 2022, e</w:t>
      </w:r>
      <w:r w:rsidRPr="00BC464C">
        <w:rPr>
          <w:lang w:val="es-ES"/>
        </w:rPr>
        <w:t>l Comité de Derechos Humanos recordó a Nicaragua que esta situación puede poner en peligro la vida y la salud de las mujeres y las niñas</w:t>
      </w:r>
      <w:r w:rsidRPr="005F21F4">
        <w:rPr>
          <w:rStyle w:val="FootnoteReference"/>
        </w:rPr>
        <w:footnoteReference w:id="71"/>
      </w:r>
      <w:r w:rsidRPr="00BC464C">
        <w:rPr>
          <w:lang w:val="es-ES"/>
        </w:rPr>
        <w:t>.</w:t>
      </w:r>
    </w:p>
    <w:p w14:paraId="01C78CD6" w14:textId="78392C0E" w:rsidR="00ED1618"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pPr>
      <w:r w:rsidRPr="00BC464C">
        <w:rPr>
          <w:lang w:val="es-ES"/>
        </w:rPr>
        <w:t>Nicaragua tiene bajas tasas de acceso a métodos anticonceptivos</w:t>
      </w:r>
      <w:r w:rsidRPr="005F21F4">
        <w:rPr>
          <w:rStyle w:val="FootnoteReference"/>
        </w:rPr>
        <w:footnoteReference w:id="72"/>
      </w:r>
      <w:r w:rsidRPr="00BC464C">
        <w:rPr>
          <w:lang w:val="es-ES"/>
        </w:rPr>
        <w:t xml:space="preserve"> . Según el Instituto Nacional de Información para el Desarrollo, </w:t>
      </w:r>
      <w:r w:rsidR="00C362B8">
        <w:rPr>
          <w:lang w:val="es-ES"/>
        </w:rPr>
        <w:t>en el período</w:t>
      </w:r>
      <w:r w:rsidR="00C362B8" w:rsidRPr="00BC464C">
        <w:rPr>
          <w:lang w:val="es-ES"/>
        </w:rPr>
        <w:t xml:space="preserve"> </w:t>
      </w:r>
      <w:r w:rsidRPr="00BC464C">
        <w:rPr>
          <w:lang w:val="es-ES"/>
        </w:rPr>
        <w:t>2020-2021</w:t>
      </w:r>
      <w:r w:rsidR="00FF422D">
        <w:rPr>
          <w:lang w:val="es-ES"/>
        </w:rPr>
        <w:t>,</w:t>
      </w:r>
      <w:r w:rsidRPr="00BC464C">
        <w:rPr>
          <w:lang w:val="es-ES"/>
        </w:rPr>
        <w:t xml:space="preserve"> los embarazos adolescentes en Nicaragua continuaron aumentando con 28.408 casos, incluyendo embarazos en niñas de entre 10 y 14 años, por debajo de la edad penal de consentimiento en la legislación nacional</w:t>
      </w:r>
      <w:r w:rsidR="00E67DD6" w:rsidRPr="005F21F4">
        <w:rPr>
          <w:rStyle w:val="FootnoteReference"/>
        </w:rPr>
        <w:footnoteReference w:id="73"/>
      </w:r>
      <w:r w:rsidRPr="00BC464C">
        <w:rPr>
          <w:lang w:val="es-ES"/>
        </w:rPr>
        <w:t xml:space="preserve"> . La mayoría de los embarazos en este grupo de edad (57%) ocurrieron en zonas rurales</w:t>
      </w:r>
      <w:r w:rsidRPr="005F21F4">
        <w:rPr>
          <w:rStyle w:val="FootnoteReference"/>
        </w:rPr>
        <w:footnoteReference w:id="74"/>
      </w:r>
      <w:r w:rsidRPr="00BC464C">
        <w:rPr>
          <w:lang w:val="es-ES"/>
        </w:rPr>
        <w:t xml:space="preserve">. </w:t>
      </w:r>
      <w:r w:rsidRPr="00EA7E0A">
        <w:t xml:space="preserve">No se ha </w:t>
      </w:r>
      <w:proofErr w:type="spellStart"/>
      <w:r w:rsidRPr="00EA7E0A">
        <w:t>publicado</w:t>
      </w:r>
      <w:proofErr w:type="spellEnd"/>
      <w:r w:rsidRPr="00EA7E0A">
        <w:t xml:space="preserve"> </w:t>
      </w:r>
      <w:proofErr w:type="spellStart"/>
      <w:r w:rsidR="00130597">
        <w:t>aún</w:t>
      </w:r>
      <w:proofErr w:type="spellEnd"/>
      <w:r w:rsidR="00130597">
        <w:t xml:space="preserve"> </w:t>
      </w:r>
      <w:proofErr w:type="spellStart"/>
      <w:r w:rsidRPr="00EA7E0A">
        <w:t>información</w:t>
      </w:r>
      <w:proofErr w:type="spellEnd"/>
      <w:r w:rsidRPr="00EA7E0A">
        <w:t xml:space="preserve"> para 2022.</w:t>
      </w:r>
    </w:p>
    <w:p w14:paraId="5F72A6E9" w14:textId="031E5F7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En 2022, la Organización Mundial de la Salud informó de que Nicaragua tenía la tasa de natalidad adolescente estimada más alta de América Latina y el Caribe, con 85,6 por cada 1.000 adolescentes</w:t>
      </w:r>
      <w:r w:rsidRPr="005F21F4">
        <w:rPr>
          <w:rStyle w:val="FootnoteReference"/>
        </w:rPr>
        <w:footnoteReference w:id="75"/>
      </w:r>
      <w:r w:rsidRPr="00BC464C">
        <w:rPr>
          <w:lang w:val="es-ES"/>
        </w:rPr>
        <w:t xml:space="preserve"> . Siendo las complicaciones del embarazo y el parto la principal causa de muerte entre las jóvenes de 15 a 19 años </w:t>
      </w:r>
      <w:r w:rsidR="00130597">
        <w:rPr>
          <w:lang w:val="es-ES"/>
        </w:rPr>
        <w:t>en países de renta media y baja</w:t>
      </w:r>
      <w:r w:rsidR="0099087F">
        <w:rPr>
          <w:lang w:val="es-ES"/>
        </w:rPr>
        <w:t>,</w:t>
      </w:r>
      <w:r w:rsidRPr="00BC464C">
        <w:rPr>
          <w:lang w:val="es-ES"/>
        </w:rPr>
        <w:t xml:space="preserve"> </w:t>
      </w:r>
      <w:r w:rsidR="0099087F">
        <w:rPr>
          <w:lang w:val="es-ES"/>
        </w:rPr>
        <w:t>l</w:t>
      </w:r>
      <w:r w:rsidRPr="00BC464C">
        <w:rPr>
          <w:lang w:val="es-ES"/>
        </w:rPr>
        <w:t>os Estados deben adoptar medidas legislativas y políticas para prevenir los embarazos no deseados.</w:t>
      </w:r>
      <w:r w:rsidR="000535AC" w:rsidRPr="00D4409B">
        <w:rPr>
          <w:rStyle w:val="FootnoteReference"/>
          <w:lang w:val="es-ES"/>
        </w:rPr>
        <w:t xml:space="preserve"> </w:t>
      </w:r>
      <w:r w:rsidR="000535AC" w:rsidRPr="005F21F4">
        <w:rPr>
          <w:rStyle w:val="FootnoteReference"/>
        </w:rPr>
        <w:footnoteReference w:id="76"/>
      </w:r>
      <w:r w:rsidRPr="00BC464C">
        <w:rPr>
          <w:lang w:val="es-ES"/>
        </w:rPr>
        <w:t xml:space="preserve"> Están obligados a garantizar que las adolescentes tengan pleno acceso a la planificación familiar y a los anticonceptivos, así como a la información sobre salud sexual y reproductiva, incluidos los peligros del embarazo precoz</w:t>
      </w:r>
      <w:r w:rsidRPr="005F21F4">
        <w:rPr>
          <w:rStyle w:val="FootnoteReference"/>
        </w:rPr>
        <w:footnoteReference w:id="77"/>
      </w:r>
      <w:r w:rsidRPr="00BC464C">
        <w:rPr>
          <w:lang w:val="es-ES"/>
        </w:rPr>
        <w:t>. La no adopción de estas medidas para prevenir los embarazos precoces puede suponer la violación de una serie de derechos humanos de las niñas. E</w:t>
      </w:r>
      <w:r w:rsidR="00130597">
        <w:rPr>
          <w:lang w:val="es-ES"/>
        </w:rPr>
        <w:t>n Nicaragua, e</w:t>
      </w:r>
      <w:r w:rsidRPr="00BC464C">
        <w:rPr>
          <w:lang w:val="es-ES"/>
        </w:rPr>
        <w:t>l Ministerio de Sa</w:t>
      </w:r>
      <w:r w:rsidR="002230FF">
        <w:rPr>
          <w:lang w:val="es-ES"/>
        </w:rPr>
        <w:t>lud</w:t>
      </w:r>
      <w:r w:rsidRPr="00BC464C">
        <w:rPr>
          <w:lang w:val="es-ES"/>
        </w:rPr>
        <w:t xml:space="preserve"> registró 37 muertes maternas en 2022, el 19% de ellas de mujeres y niñas menores de 20 años</w:t>
      </w:r>
      <w:r w:rsidRPr="005F21F4">
        <w:rPr>
          <w:rStyle w:val="FootnoteReference"/>
        </w:rPr>
        <w:footnoteReference w:id="78"/>
      </w:r>
      <w:r w:rsidRPr="00BC464C">
        <w:rPr>
          <w:lang w:val="es-ES"/>
        </w:rPr>
        <w:t xml:space="preserve"> . </w:t>
      </w:r>
    </w:p>
    <w:p w14:paraId="4C7A2930" w14:textId="565D25B1"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lang w:val="es-ES"/>
        </w:rPr>
      </w:pPr>
      <w:r w:rsidRPr="00BC464C">
        <w:rPr>
          <w:lang w:val="es-ES"/>
        </w:rPr>
        <w:t xml:space="preserve">El matrimonio infantil </w:t>
      </w:r>
      <w:r w:rsidR="007236C7">
        <w:rPr>
          <w:lang w:val="es-ES"/>
        </w:rPr>
        <w:t xml:space="preserve">continuó </w:t>
      </w:r>
      <w:proofErr w:type="gramStart"/>
      <w:r w:rsidR="007236C7">
        <w:rPr>
          <w:lang w:val="es-ES"/>
        </w:rPr>
        <w:t xml:space="preserve">siendo </w:t>
      </w:r>
      <w:r w:rsidRPr="00BC464C">
        <w:rPr>
          <w:lang w:val="es-ES"/>
        </w:rPr>
        <w:t xml:space="preserve"> documenta</w:t>
      </w:r>
      <w:proofErr w:type="gramEnd"/>
      <w:r w:rsidRPr="00BC464C">
        <w:rPr>
          <w:lang w:val="es-ES"/>
        </w:rPr>
        <w:t>, a pesar de que el Código de Familia prohíbe el matrimonio antes de los 18 años; o 16 con autorización de los padres, excepción que viola las normas internacionales</w:t>
      </w:r>
      <w:r w:rsidRPr="005F21F4">
        <w:rPr>
          <w:rStyle w:val="FootnoteReference"/>
        </w:rPr>
        <w:footnoteReference w:id="79"/>
      </w:r>
      <w:r w:rsidRPr="00BC464C">
        <w:rPr>
          <w:lang w:val="es-ES"/>
        </w:rPr>
        <w:t>. En 2021, el Instituto Nacional de Información para el Desarrollo mostró que 29 niñas embarazadas de entre 10 y 14 años estaban casadas, y 1.192 estaban en pareja de hecho</w:t>
      </w:r>
      <w:r w:rsidR="00636F7B">
        <w:rPr>
          <w:lang w:val="es-ES"/>
        </w:rPr>
        <w:t>.</w:t>
      </w:r>
      <w:r w:rsidRPr="005F21F4">
        <w:rPr>
          <w:rStyle w:val="FootnoteReference"/>
        </w:rPr>
        <w:footnoteReference w:id="80"/>
      </w:r>
      <w:r w:rsidRPr="00BC464C">
        <w:rPr>
          <w:lang w:val="es-ES"/>
        </w:rPr>
        <w:t xml:space="preserve"> El matrimonio infantil pone en peligro la igualdad de género, equivale a múltiples violaciones de los derechos humanos, y muestra un progreso insuficiente hacia el Objetivo de Desarrollo Sostenible 5. Además, limita gravemente el desarrollo integral de las niñas, incluidos los ámbitos educativo y profesional. </w:t>
      </w:r>
    </w:p>
    <w:p w14:paraId="058B008A" w14:textId="77777777" w:rsidR="00ED1618" w:rsidRDefault="00ED1618" w:rsidP="00ED1618">
      <w:pPr>
        <w:pStyle w:val="HChG"/>
        <w:spacing w:line="236" w:lineRule="atLeast"/>
        <w:rPr>
          <w:b w:val="0"/>
          <w:bCs w:val="0"/>
        </w:rPr>
      </w:pPr>
      <w:r w:rsidRPr="00BC464C">
        <w:rPr>
          <w:lang w:val="es-ES"/>
        </w:rPr>
        <w:tab/>
      </w:r>
      <w:r w:rsidRPr="00EA7E0A">
        <w:t>VII.</w:t>
      </w:r>
      <w:r w:rsidRPr="00EA7E0A">
        <w:tab/>
      </w:r>
      <w:proofErr w:type="spellStart"/>
      <w:r w:rsidRPr="00EA7E0A">
        <w:t>Conclusiones</w:t>
      </w:r>
      <w:proofErr w:type="spellEnd"/>
      <w:r w:rsidRPr="00EA7E0A">
        <w:t xml:space="preserve"> </w:t>
      </w:r>
    </w:p>
    <w:p w14:paraId="40A06967" w14:textId="0F4F4674"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b/>
          <w:bCs/>
          <w:lang w:val="es-ES"/>
        </w:rPr>
      </w:pPr>
      <w:r w:rsidRPr="00BC464C">
        <w:rPr>
          <w:b/>
          <w:bCs/>
          <w:lang w:val="es-ES"/>
        </w:rPr>
        <w:t>La situación de los derechos humanos en Nicaragua ha continuado deteriorándose gravemente. Las personas percibidas como opositoras</w:t>
      </w:r>
      <w:r w:rsidR="00130597">
        <w:rPr>
          <w:b/>
          <w:bCs/>
          <w:lang w:val="es-ES"/>
        </w:rPr>
        <w:t xml:space="preserve"> </w:t>
      </w:r>
      <w:r w:rsidR="00E20015">
        <w:rPr>
          <w:b/>
          <w:bCs/>
          <w:lang w:val="es-ES"/>
        </w:rPr>
        <w:t>a</w:t>
      </w:r>
      <w:r w:rsidR="00130597">
        <w:rPr>
          <w:b/>
          <w:bCs/>
          <w:lang w:val="es-ES"/>
        </w:rPr>
        <w:t>l Gobierno</w:t>
      </w:r>
      <w:r w:rsidRPr="00BC464C">
        <w:rPr>
          <w:b/>
          <w:bCs/>
          <w:lang w:val="es-ES"/>
        </w:rPr>
        <w:t xml:space="preserve"> </w:t>
      </w:r>
      <w:r w:rsidR="00130597">
        <w:rPr>
          <w:b/>
          <w:bCs/>
          <w:lang w:val="es-ES"/>
        </w:rPr>
        <w:t>son</w:t>
      </w:r>
      <w:r w:rsidRPr="00BC464C">
        <w:rPr>
          <w:b/>
          <w:bCs/>
          <w:lang w:val="es-ES"/>
        </w:rPr>
        <w:t xml:space="preserve"> perseguidas y sometidas a un amplio abanico de medidas arbitrarias violatorias de sus derechos humanos, que incluyen penas de prisión dictadas sin juicio previo y la privación de la nacionalidad mediante resoluciones judiciales carentes de cualquier viso de legalidad. Los </w:t>
      </w:r>
      <w:r>
        <w:rPr>
          <w:b/>
          <w:bCs/>
          <w:lang w:val="es-ES"/>
        </w:rPr>
        <w:t xml:space="preserve">y las </w:t>
      </w:r>
      <w:r w:rsidRPr="00BC464C">
        <w:rPr>
          <w:b/>
          <w:bCs/>
          <w:lang w:val="es-ES"/>
        </w:rPr>
        <w:t>familiares de estas personas también se han visto afectad</w:t>
      </w:r>
      <w:r>
        <w:rPr>
          <w:b/>
          <w:bCs/>
          <w:lang w:val="es-ES"/>
        </w:rPr>
        <w:t>a</w:t>
      </w:r>
      <w:r w:rsidRPr="00BC464C">
        <w:rPr>
          <w:b/>
          <w:bCs/>
          <w:lang w:val="es-ES"/>
        </w:rPr>
        <w:t xml:space="preserve">s por estas medidas. Ha tenido un efecto amedrentador en el conjunto de la sociedad nicaragüense, al dejar claro que cualquier persona crítica con el </w:t>
      </w:r>
      <w:r>
        <w:rPr>
          <w:b/>
          <w:bCs/>
          <w:lang w:val="es-ES"/>
        </w:rPr>
        <w:t>Gobierno</w:t>
      </w:r>
      <w:r w:rsidR="00636F7B">
        <w:rPr>
          <w:b/>
          <w:bCs/>
          <w:lang w:val="es-ES"/>
        </w:rPr>
        <w:t>,</w:t>
      </w:r>
      <w:r w:rsidRPr="00BC464C">
        <w:rPr>
          <w:b/>
          <w:bCs/>
          <w:lang w:val="es-ES"/>
        </w:rPr>
        <w:t xml:space="preserve"> </w:t>
      </w:r>
      <w:r w:rsidR="00636F7B">
        <w:rPr>
          <w:b/>
          <w:bCs/>
          <w:lang w:val="es-ES"/>
        </w:rPr>
        <w:t>así como</w:t>
      </w:r>
      <w:r w:rsidRPr="00BC464C">
        <w:rPr>
          <w:b/>
          <w:bCs/>
          <w:lang w:val="es-ES"/>
        </w:rPr>
        <w:t xml:space="preserve"> sus familiares</w:t>
      </w:r>
      <w:r w:rsidR="00636F7B">
        <w:rPr>
          <w:b/>
          <w:bCs/>
          <w:lang w:val="es-ES"/>
        </w:rPr>
        <w:t>,</w:t>
      </w:r>
      <w:r w:rsidRPr="00BC464C">
        <w:rPr>
          <w:b/>
          <w:bCs/>
          <w:lang w:val="es-ES"/>
        </w:rPr>
        <w:t xml:space="preserve"> ser</w:t>
      </w:r>
      <w:r w:rsidR="002E53A4">
        <w:rPr>
          <w:b/>
          <w:bCs/>
          <w:lang w:val="es-ES"/>
        </w:rPr>
        <w:t>í</w:t>
      </w:r>
      <w:r w:rsidRPr="00BC464C">
        <w:rPr>
          <w:b/>
          <w:bCs/>
          <w:lang w:val="es-ES"/>
        </w:rPr>
        <w:t>a castigad</w:t>
      </w:r>
      <w:r w:rsidR="002E53A4">
        <w:rPr>
          <w:b/>
          <w:bCs/>
          <w:lang w:val="es-ES"/>
        </w:rPr>
        <w:t>a</w:t>
      </w:r>
      <w:r w:rsidRPr="00BC464C">
        <w:rPr>
          <w:b/>
          <w:bCs/>
          <w:lang w:val="es-ES"/>
        </w:rPr>
        <w:t xml:space="preserve">. </w:t>
      </w:r>
    </w:p>
    <w:p w14:paraId="64F861E4" w14:textId="7777777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b/>
          <w:bCs/>
          <w:lang w:val="es-ES"/>
        </w:rPr>
      </w:pPr>
      <w:r w:rsidRPr="00BC464C">
        <w:rPr>
          <w:b/>
          <w:bCs/>
          <w:lang w:val="es-ES"/>
        </w:rPr>
        <w:t xml:space="preserve">Con la eliminación progresiva de todas las asociaciones independientes, el control de todas las instituciones públicas y la expulsión y el exilio de los principales líderes de la oposición, el </w:t>
      </w:r>
      <w:r>
        <w:rPr>
          <w:b/>
          <w:bCs/>
          <w:lang w:val="es-ES"/>
        </w:rPr>
        <w:t>Gobierno</w:t>
      </w:r>
      <w:r w:rsidRPr="00BC464C">
        <w:rPr>
          <w:b/>
          <w:bCs/>
          <w:lang w:val="es-ES"/>
        </w:rPr>
        <w:t xml:space="preserve"> ha reducido el espacio cívico y democrático hasta un punto que no deja lugar a la disidencia. Sin embargo, </w:t>
      </w:r>
      <w:r>
        <w:rPr>
          <w:b/>
          <w:bCs/>
          <w:lang w:val="es-ES"/>
        </w:rPr>
        <w:t>las</w:t>
      </w:r>
      <w:r w:rsidRPr="00BC464C">
        <w:rPr>
          <w:b/>
          <w:bCs/>
          <w:lang w:val="es-ES"/>
        </w:rPr>
        <w:t xml:space="preserve"> </w:t>
      </w:r>
      <w:r>
        <w:rPr>
          <w:b/>
          <w:bCs/>
          <w:lang w:val="es-ES"/>
        </w:rPr>
        <w:t>personas defensoras</w:t>
      </w:r>
      <w:r w:rsidRPr="00BC464C">
        <w:rPr>
          <w:b/>
          <w:bCs/>
          <w:lang w:val="es-ES"/>
        </w:rPr>
        <w:t xml:space="preserve"> de los derechos humanos siguen trabajando, tanto en Nicaragua como en el exilio, abogando por la rendición de cuentas por las violaciones de derechos humanos y por el retorno a la democracia y al Estado de derecho.</w:t>
      </w:r>
    </w:p>
    <w:p w14:paraId="27D060FD" w14:textId="6F4E80E9"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b/>
          <w:bCs/>
          <w:lang w:val="es-ES"/>
        </w:rPr>
      </w:pPr>
      <w:r w:rsidRPr="00BC464C">
        <w:rPr>
          <w:b/>
          <w:bCs/>
          <w:lang w:val="es-ES"/>
        </w:rPr>
        <w:t xml:space="preserve">Nicaragua sigue sin </w:t>
      </w:r>
      <w:r>
        <w:rPr>
          <w:b/>
          <w:bCs/>
          <w:lang w:val="es-ES"/>
        </w:rPr>
        <w:t>garantizar</w:t>
      </w:r>
      <w:r w:rsidRPr="00BC464C">
        <w:rPr>
          <w:b/>
          <w:bCs/>
          <w:lang w:val="es-ES"/>
        </w:rPr>
        <w:t xml:space="preserve"> los derechos humanos de las mujeres y las niñas</w:t>
      </w:r>
      <w:r w:rsidR="00130597">
        <w:rPr>
          <w:b/>
          <w:bCs/>
          <w:lang w:val="es-ES"/>
        </w:rPr>
        <w:t>, quienes</w:t>
      </w:r>
      <w:r w:rsidRPr="00BC464C">
        <w:rPr>
          <w:b/>
          <w:bCs/>
          <w:lang w:val="es-ES"/>
        </w:rPr>
        <w:t xml:space="preserve"> no están suficientemente protegidas de la violencia de género, </w:t>
      </w:r>
      <w:r w:rsidRPr="009A28C4">
        <w:rPr>
          <w:b/>
          <w:bCs/>
          <w:lang w:val="es-ES"/>
        </w:rPr>
        <w:t xml:space="preserve">incluido el matrimonio infantil. A la OACNUDH le preocupa el impacto combinado de la prohibición absoluta del aborto y la alta tasa de embarazos </w:t>
      </w:r>
      <w:r w:rsidR="009A28C4" w:rsidRPr="009A28C4">
        <w:rPr>
          <w:b/>
          <w:bCs/>
          <w:lang w:val="es-ES"/>
        </w:rPr>
        <w:t>precoces</w:t>
      </w:r>
      <w:r w:rsidRPr="009A28C4">
        <w:rPr>
          <w:b/>
          <w:bCs/>
          <w:lang w:val="es-ES"/>
        </w:rPr>
        <w:t>, que conduce a abortos inseguros y a la muerte de mujeres y niñas embarazadas.</w:t>
      </w:r>
    </w:p>
    <w:p w14:paraId="002598BD" w14:textId="77777777" w:rsidR="00ED1618" w:rsidRPr="00BC464C" w:rsidRDefault="00ED1618"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b/>
          <w:bCs/>
          <w:lang w:val="es-ES"/>
        </w:rPr>
      </w:pPr>
      <w:r w:rsidRPr="00BC464C">
        <w:rPr>
          <w:b/>
          <w:bCs/>
          <w:lang w:val="es-ES"/>
        </w:rPr>
        <w:t>Los pueblos indígenas siguen sufriendo asesinatos y ataques por parte de colonos, que se han convertido en algo habitual en relación con intereses territoriales y actividades mineras. Esta situación ha puesto a los pueblos indígenas bajo la amenaza constante del desplazamiento y la pérdida de sus medios de vida.</w:t>
      </w:r>
    </w:p>
    <w:p w14:paraId="3D61416F" w14:textId="77777777" w:rsidR="00ED1618" w:rsidRDefault="00ED1618" w:rsidP="00ED1618">
      <w:pPr>
        <w:pStyle w:val="HChG"/>
        <w:spacing w:line="236" w:lineRule="atLeast"/>
        <w:rPr>
          <w:b w:val="0"/>
        </w:rPr>
      </w:pPr>
      <w:r w:rsidRPr="00BC464C">
        <w:rPr>
          <w:lang w:val="es-ES"/>
        </w:rPr>
        <w:tab/>
      </w:r>
      <w:r w:rsidRPr="00EA7E0A">
        <w:t>VII.</w:t>
      </w:r>
      <w:r w:rsidRPr="00EA7E0A">
        <w:tab/>
      </w:r>
      <w:proofErr w:type="spellStart"/>
      <w:r w:rsidRPr="00EA7E0A">
        <w:t>Recomendaciones</w:t>
      </w:r>
      <w:proofErr w:type="spellEnd"/>
    </w:p>
    <w:p w14:paraId="571810B2" w14:textId="70712437" w:rsidR="00ED1618" w:rsidRPr="00BC464C" w:rsidRDefault="0029222F" w:rsidP="00ED1618">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line="236" w:lineRule="atLeast"/>
        <w:ind w:left="1134" w:firstLine="0"/>
        <w:rPr>
          <w:b/>
          <w:bCs/>
          <w:lang w:val="es-ES"/>
        </w:rPr>
      </w:pPr>
      <w:r w:rsidRPr="0029222F">
        <w:rPr>
          <w:b/>
          <w:bCs/>
          <w:lang w:val="es-ES"/>
        </w:rPr>
        <w:t>El</w:t>
      </w:r>
      <w:r w:rsidR="00ED1618" w:rsidRPr="00BC464C">
        <w:rPr>
          <w:b/>
          <w:bCs/>
          <w:lang w:val="es-ES"/>
        </w:rPr>
        <w:t xml:space="preserve"> Alt</w:t>
      </w:r>
      <w:r>
        <w:rPr>
          <w:b/>
          <w:bCs/>
          <w:lang w:val="es-ES"/>
        </w:rPr>
        <w:t>o</w:t>
      </w:r>
      <w:r w:rsidR="00ED1618" w:rsidRPr="00BC464C">
        <w:rPr>
          <w:b/>
          <w:bCs/>
          <w:lang w:val="es-ES"/>
        </w:rPr>
        <w:t xml:space="preserve"> Comisionad</w:t>
      </w:r>
      <w:r>
        <w:rPr>
          <w:b/>
          <w:bCs/>
          <w:lang w:val="es-ES"/>
        </w:rPr>
        <w:t>o</w:t>
      </w:r>
      <w:r w:rsidR="00ED1618" w:rsidRPr="00BC464C">
        <w:rPr>
          <w:b/>
          <w:bCs/>
          <w:lang w:val="es-ES"/>
        </w:rPr>
        <w:t xml:space="preserve"> insta a</w:t>
      </w:r>
      <w:r w:rsidR="00130597">
        <w:rPr>
          <w:b/>
          <w:bCs/>
          <w:lang w:val="es-ES"/>
        </w:rPr>
        <w:t>l Gobierno</w:t>
      </w:r>
      <w:r w:rsidR="00ED1618" w:rsidRPr="00BC464C">
        <w:rPr>
          <w:b/>
          <w:bCs/>
          <w:lang w:val="es-ES"/>
        </w:rPr>
        <w:t xml:space="preserve"> a mantener su compromiso de respetar, cumplir y proteger los derechos humanos de todas las personas en Nicaragua, e implementar plenamente las recomendaciones formuladas por la OACNUDH y los mecanismos de derechos humanos que siguen sin cumplirse, en particular</w:t>
      </w:r>
      <w:r w:rsidR="00E5250B">
        <w:rPr>
          <w:b/>
          <w:bCs/>
          <w:lang w:val="es-ES"/>
        </w:rPr>
        <w:t xml:space="preserve"> a</w:t>
      </w:r>
      <w:r w:rsidR="00ED1618" w:rsidRPr="00BC464C">
        <w:rPr>
          <w:b/>
          <w:bCs/>
          <w:lang w:val="es-ES"/>
        </w:rPr>
        <w:t xml:space="preserve">: </w:t>
      </w:r>
    </w:p>
    <w:p w14:paraId="51456EEE" w14:textId="3F874BF7" w:rsidR="00ED1618" w:rsidRPr="00BC464C" w:rsidRDefault="00ED1618" w:rsidP="00ED1618">
      <w:pPr>
        <w:pStyle w:val="SingleTxtG"/>
        <w:numPr>
          <w:ilvl w:val="0"/>
          <w:numId w:val="19"/>
        </w:numPr>
        <w:spacing w:line="236" w:lineRule="atLeast"/>
        <w:ind w:left="1134" w:firstLine="567"/>
        <w:rPr>
          <w:b/>
          <w:lang w:val="es-ES"/>
        </w:rPr>
      </w:pPr>
      <w:r w:rsidRPr="00BC464C">
        <w:rPr>
          <w:b/>
          <w:lang w:val="es-ES"/>
        </w:rPr>
        <w:t>Liber</w:t>
      </w:r>
      <w:r w:rsidR="00E5250B">
        <w:rPr>
          <w:b/>
          <w:lang w:val="es-ES"/>
        </w:rPr>
        <w:t>ar</w:t>
      </w:r>
      <w:r w:rsidRPr="00BC464C">
        <w:rPr>
          <w:b/>
          <w:lang w:val="es-ES"/>
        </w:rPr>
        <w:t xml:space="preserve"> de inmediato a todas las personas detenidas arbitrariamente en relación con la crisis de derechos humanos de 2018.</w:t>
      </w:r>
    </w:p>
    <w:p w14:paraId="6FBD7A5F" w14:textId="447A117B" w:rsidR="00ED1618" w:rsidRPr="00BC464C" w:rsidRDefault="00ED1618" w:rsidP="00ED1618">
      <w:pPr>
        <w:pStyle w:val="SingleTxtG"/>
        <w:numPr>
          <w:ilvl w:val="0"/>
          <w:numId w:val="19"/>
        </w:numPr>
        <w:spacing w:line="236" w:lineRule="atLeast"/>
        <w:ind w:left="1134" w:firstLine="567"/>
        <w:rPr>
          <w:b/>
          <w:bCs/>
          <w:lang w:val="es-ES"/>
        </w:rPr>
      </w:pPr>
      <w:r w:rsidRPr="00BC464C">
        <w:rPr>
          <w:b/>
          <w:bCs/>
          <w:lang w:val="es-ES"/>
        </w:rPr>
        <w:t xml:space="preserve">Derogar la Ley 1145 (2023) y la reforma del artículo 21 </w:t>
      </w:r>
      <w:r w:rsidR="00130597">
        <w:rPr>
          <w:b/>
          <w:bCs/>
          <w:lang w:val="es-ES"/>
        </w:rPr>
        <w:t>de la Constitución</w:t>
      </w:r>
      <w:r w:rsidRPr="00BC464C">
        <w:rPr>
          <w:b/>
          <w:bCs/>
          <w:lang w:val="es-ES"/>
        </w:rPr>
        <w:t xml:space="preserve">, restituir la nacionalidad a todas las personas privadas de ella y permitir el retorno seguro de todos </w:t>
      </w:r>
      <w:r>
        <w:rPr>
          <w:b/>
          <w:bCs/>
          <w:lang w:val="es-ES"/>
        </w:rPr>
        <w:t xml:space="preserve">y todas </w:t>
      </w:r>
      <w:r w:rsidRPr="00BC464C">
        <w:rPr>
          <w:b/>
          <w:bCs/>
          <w:lang w:val="es-ES"/>
        </w:rPr>
        <w:t>l</w:t>
      </w:r>
      <w:r>
        <w:rPr>
          <w:b/>
          <w:bCs/>
          <w:lang w:val="es-ES"/>
        </w:rPr>
        <w:t>a</w:t>
      </w:r>
      <w:r w:rsidRPr="00BC464C">
        <w:rPr>
          <w:b/>
          <w:bCs/>
          <w:lang w:val="es-ES"/>
        </w:rPr>
        <w:t xml:space="preserve">s nicaragüenses que deseen regresar al país. </w:t>
      </w:r>
    </w:p>
    <w:p w14:paraId="530C8D84" w14:textId="145511C6" w:rsidR="00ED1618" w:rsidRPr="00BC464C" w:rsidRDefault="00ED1618" w:rsidP="00ED1618">
      <w:pPr>
        <w:pStyle w:val="SingleTxtG"/>
        <w:numPr>
          <w:ilvl w:val="0"/>
          <w:numId w:val="19"/>
        </w:numPr>
        <w:spacing w:line="236" w:lineRule="atLeast"/>
        <w:ind w:left="1134" w:firstLine="567"/>
        <w:rPr>
          <w:b/>
          <w:bCs/>
          <w:lang w:val="es-ES"/>
        </w:rPr>
      </w:pPr>
      <w:r w:rsidRPr="00BC464C">
        <w:rPr>
          <w:b/>
          <w:bCs/>
          <w:lang w:val="es-ES"/>
        </w:rPr>
        <w:t xml:space="preserve">Facilitar urgentemente la expedición de documentos de viaje oficiales para permitir la salida de todas las personas que quieran abandonar Nicaragua, especialmente </w:t>
      </w:r>
      <w:proofErr w:type="gramStart"/>
      <w:r w:rsidRPr="00BC464C">
        <w:rPr>
          <w:b/>
          <w:bCs/>
          <w:lang w:val="es-ES"/>
        </w:rPr>
        <w:t>los niños</w:t>
      </w:r>
      <w:r>
        <w:rPr>
          <w:b/>
          <w:bCs/>
          <w:lang w:val="es-ES"/>
        </w:rPr>
        <w:t xml:space="preserve"> y niñas</w:t>
      </w:r>
      <w:proofErr w:type="gramEnd"/>
      <w:r w:rsidRPr="00BC464C">
        <w:rPr>
          <w:b/>
          <w:bCs/>
          <w:lang w:val="es-ES"/>
        </w:rPr>
        <w:t xml:space="preserve"> y los cónyuges que busquen la reunificación familiar.</w:t>
      </w:r>
    </w:p>
    <w:p w14:paraId="239DD64C" w14:textId="065B7DBD" w:rsidR="00ED1618" w:rsidRPr="00BC464C" w:rsidRDefault="00ED1618" w:rsidP="00ED1618">
      <w:pPr>
        <w:pStyle w:val="SingleTxtG"/>
        <w:numPr>
          <w:ilvl w:val="0"/>
          <w:numId w:val="19"/>
        </w:numPr>
        <w:spacing w:line="236" w:lineRule="atLeast"/>
        <w:ind w:left="1134" w:firstLine="567"/>
        <w:rPr>
          <w:b/>
          <w:lang w:val="es-ES"/>
        </w:rPr>
      </w:pPr>
      <w:r w:rsidRPr="00BC464C">
        <w:rPr>
          <w:b/>
          <w:lang w:val="es-ES"/>
        </w:rPr>
        <w:t xml:space="preserve">Habilitar un espacio cívico abierto y pluralista que garantice las libertades de expresión y opinión y de reunión y asociación, permitiendo a todas las personas, grupos y organizaciones ejercer sus derechos a defender los derechos humanos, </w:t>
      </w:r>
      <w:r w:rsidR="00E5250B">
        <w:rPr>
          <w:b/>
          <w:lang w:val="es-ES"/>
        </w:rPr>
        <w:t xml:space="preserve">y </w:t>
      </w:r>
      <w:r w:rsidRPr="00BC464C">
        <w:rPr>
          <w:b/>
          <w:lang w:val="es-ES"/>
        </w:rPr>
        <w:t xml:space="preserve">a participar en la dirección de los asuntos públicos y otros derechos políticos, </w:t>
      </w:r>
      <w:r>
        <w:rPr>
          <w:b/>
          <w:lang w:val="es-ES"/>
        </w:rPr>
        <w:t>también</w:t>
      </w:r>
      <w:r w:rsidRPr="00BC464C">
        <w:rPr>
          <w:b/>
          <w:lang w:val="es-ES"/>
        </w:rPr>
        <w:t xml:space="preserve"> mediante el restablecimiento de la personalidad jurídica de todas las organizaciones privadas arbitrariamente de ella.</w:t>
      </w:r>
    </w:p>
    <w:p w14:paraId="7932F72D" w14:textId="77777777" w:rsidR="00ED1618" w:rsidRPr="00BC464C" w:rsidRDefault="00ED1618" w:rsidP="00ED1618">
      <w:pPr>
        <w:pStyle w:val="SingleTxtG"/>
        <w:numPr>
          <w:ilvl w:val="0"/>
          <w:numId w:val="19"/>
        </w:numPr>
        <w:spacing w:line="236" w:lineRule="atLeast"/>
        <w:ind w:left="1134" w:firstLine="567"/>
        <w:rPr>
          <w:b/>
          <w:bCs/>
          <w:lang w:val="es-ES"/>
        </w:rPr>
      </w:pPr>
      <w:r w:rsidRPr="00BC464C">
        <w:rPr>
          <w:b/>
          <w:bCs/>
          <w:lang w:val="es-ES"/>
        </w:rPr>
        <w:t>Garantizar los derechos a la verdad, la justicia, la reparación y las garantías de no repetición a las víctimas de graves violaciones de derechos humanos.</w:t>
      </w:r>
    </w:p>
    <w:p w14:paraId="334163D2" w14:textId="2B058DB1" w:rsidR="00ED1618" w:rsidRPr="00BC464C" w:rsidRDefault="00ED1618" w:rsidP="00ED1618">
      <w:pPr>
        <w:pStyle w:val="SingleTxtG"/>
        <w:numPr>
          <w:ilvl w:val="0"/>
          <w:numId w:val="19"/>
        </w:numPr>
        <w:pBdr>
          <w:top w:val="none" w:sz="0" w:space="0" w:color="auto"/>
          <w:left w:val="none" w:sz="0" w:space="0" w:color="auto"/>
          <w:bottom w:val="none" w:sz="0" w:space="0" w:color="auto"/>
          <w:right w:val="none" w:sz="0" w:space="0" w:color="auto"/>
          <w:between w:val="none" w:sz="0" w:space="0" w:color="auto"/>
        </w:pBdr>
        <w:spacing w:line="236" w:lineRule="atLeast"/>
        <w:ind w:left="1134" w:firstLine="567"/>
        <w:rPr>
          <w:b/>
          <w:bCs/>
          <w:lang w:val="es-ES"/>
        </w:rPr>
      </w:pPr>
      <w:r w:rsidRPr="00BC464C">
        <w:rPr>
          <w:b/>
          <w:bCs/>
          <w:lang w:val="es-ES"/>
        </w:rPr>
        <w:t xml:space="preserve">Investigar todos los actos de violencia contra los pueblos indígenas y afrodescendientes y exigir responsabilidades a los autores de conformidad con el derecho internacional de los derechos humanos. Prevenir nuevos </w:t>
      </w:r>
      <w:r w:rsidR="00E5250B">
        <w:rPr>
          <w:b/>
          <w:bCs/>
          <w:lang w:val="es-ES"/>
        </w:rPr>
        <w:t>actos de violencia</w:t>
      </w:r>
      <w:r w:rsidR="00E5250B" w:rsidRPr="00BC464C">
        <w:rPr>
          <w:b/>
          <w:bCs/>
          <w:lang w:val="es-ES"/>
        </w:rPr>
        <w:t xml:space="preserve"> </w:t>
      </w:r>
      <w:r w:rsidRPr="00BC464C">
        <w:rPr>
          <w:b/>
          <w:bCs/>
          <w:lang w:val="es-ES"/>
        </w:rPr>
        <w:t xml:space="preserve">condenándolos públicamente y garantizando los derechos territoriales </w:t>
      </w:r>
      <w:r w:rsidR="00CE0BAB">
        <w:rPr>
          <w:b/>
          <w:bCs/>
          <w:lang w:val="es-ES"/>
        </w:rPr>
        <w:t>de</w:t>
      </w:r>
      <w:r w:rsidRPr="00BC464C">
        <w:rPr>
          <w:b/>
          <w:bCs/>
          <w:lang w:val="es-ES"/>
        </w:rPr>
        <w:t xml:space="preserve"> los pueblos indígenas y afrodescendientes mediante, entre otras cosas, la finalización del proceso de </w:t>
      </w:r>
      <w:r>
        <w:rPr>
          <w:b/>
          <w:bCs/>
          <w:lang w:val="es-ES"/>
        </w:rPr>
        <w:t>saneamiento</w:t>
      </w:r>
      <w:r w:rsidRPr="00BC464C">
        <w:rPr>
          <w:b/>
          <w:bCs/>
          <w:lang w:val="es-ES"/>
        </w:rPr>
        <w:t xml:space="preserve"> en consulta con ellos. Garantizar que se respeta el derecho de los pueblos indígenas al consentimiento libre, previo e informado sobre las medidas y leyes que puedan afectarles, de acuerdo con las normas internacionales.</w:t>
      </w:r>
    </w:p>
    <w:p w14:paraId="6E9F4D79" w14:textId="4AF32BFB" w:rsidR="00ED1618" w:rsidRPr="00BC464C" w:rsidRDefault="00ED1618" w:rsidP="00ED1618">
      <w:pPr>
        <w:pStyle w:val="SingleTxtG"/>
        <w:numPr>
          <w:ilvl w:val="0"/>
          <w:numId w:val="19"/>
        </w:numPr>
        <w:spacing w:line="236" w:lineRule="atLeast"/>
        <w:ind w:left="1134" w:firstLine="567"/>
        <w:rPr>
          <w:b/>
          <w:bCs/>
          <w:lang w:val="es-ES"/>
        </w:rPr>
      </w:pPr>
      <w:r w:rsidRPr="00BC464C">
        <w:rPr>
          <w:b/>
          <w:bCs/>
          <w:lang w:val="es-ES"/>
        </w:rPr>
        <w:t xml:space="preserve">Redoblar urgentemente los esfuerzos para erradicar la violencia de género, incluidos los malos tratos y la tortura de mujeres detenidas y el matrimonio infantil, y establecer la edad mínima legal para contraer matrimonio en 18 años sin excepción; promover la rendición de cuentas de los agresores y el acceso a la justicia y a los servicios para las víctimas; modificar la legislación sobre el aborto en consonancia con el derecho internacional de los derechos humanos; </w:t>
      </w:r>
      <w:r w:rsidR="00E5250B">
        <w:rPr>
          <w:b/>
          <w:bCs/>
          <w:lang w:val="es-ES"/>
        </w:rPr>
        <w:t xml:space="preserve">y </w:t>
      </w:r>
      <w:r w:rsidRPr="00BC464C">
        <w:rPr>
          <w:b/>
          <w:bCs/>
          <w:lang w:val="es-ES"/>
        </w:rPr>
        <w:t xml:space="preserve">adoptar medidas para garantizar que los </w:t>
      </w:r>
      <w:r>
        <w:rPr>
          <w:b/>
          <w:bCs/>
          <w:lang w:val="es-ES"/>
        </w:rPr>
        <w:t xml:space="preserve">y las </w:t>
      </w:r>
      <w:r w:rsidRPr="00BC464C">
        <w:rPr>
          <w:b/>
          <w:bCs/>
          <w:lang w:val="es-ES"/>
        </w:rPr>
        <w:t>adolescentes tengan pleno acceso a la planificación familiar y a los anticonceptivos, así como a información adecuada sobre salud sexual y reproductiva para evitar embarazos precoces.</w:t>
      </w:r>
    </w:p>
    <w:p w14:paraId="706C0128" w14:textId="5FC7DD48" w:rsidR="00ED1618" w:rsidRPr="00BC464C" w:rsidRDefault="00ED1618" w:rsidP="00ED1618">
      <w:pPr>
        <w:pStyle w:val="SingleTxtG"/>
        <w:numPr>
          <w:ilvl w:val="0"/>
          <w:numId w:val="19"/>
        </w:numPr>
        <w:spacing w:line="236" w:lineRule="atLeast"/>
        <w:ind w:left="1134" w:firstLine="567"/>
        <w:rPr>
          <w:b/>
          <w:bCs/>
          <w:lang w:val="es-ES"/>
        </w:rPr>
      </w:pPr>
      <w:r w:rsidRPr="00BC464C">
        <w:rPr>
          <w:b/>
          <w:bCs/>
          <w:lang w:val="es-ES"/>
        </w:rPr>
        <w:t>Como compromiso en el año de conmemoración del 75</w:t>
      </w:r>
      <w:r w:rsidR="00E5250B">
        <w:rPr>
          <w:b/>
          <w:bCs/>
          <w:lang w:val="es-ES"/>
        </w:rPr>
        <w:t>º</w:t>
      </w:r>
      <w:r w:rsidRPr="00BC464C">
        <w:rPr>
          <w:b/>
          <w:bCs/>
          <w:lang w:val="es-ES"/>
        </w:rPr>
        <w:t xml:space="preserve"> aniversario de la Declaración Universal de los Derechos Humanos, considerar la ratificación de las convenciones y protocolos facultativos de derechos humanos de los que Nicaragua aún no es parte, como el Protocolo Facultativo de la </w:t>
      </w:r>
      <w:r w:rsidR="00520C5A" w:rsidRPr="00520C5A">
        <w:rPr>
          <w:b/>
          <w:bCs/>
          <w:lang w:val="es-ES"/>
        </w:rPr>
        <w:t>Convención sobre la eliminación de todas las formas de discriminación contra la mujer</w:t>
      </w:r>
      <w:r w:rsidRPr="00BC464C">
        <w:rPr>
          <w:b/>
          <w:bCs/>
          <w:lang w:val="es-ES"/>
        </w:rPr>
        <w:t>.</w:t>
      </w:r>
    </w:p>
    <w:p w14:paraId="7A755270" w14:textId="1AD15BA5" w:rsidR="00ED1618" w:rsidRPr="00BC464C" w:rsidRDefault="00ED1618" w:rsidP="00ED1618">
      <w:pPr>
        <w:pStyle w:val="SingleTxtG"/>
        <w:numPr>
          <w:ilvl w:val="0"/>
          <w:numId w:val="19"/>
        </w:numPr>
        <w:spacing w:line="236" w:lineRule="atLeast"/>
        <w:ind w:left="1134" w:firstLine="567"/>
        <w:rPr>
          <w:b/>
          <w:bCs/>
          <w:lang w:val="es-ES"/>
        </w:rPr>
      </w:pPr>
      <w:r w:rsidRPr="00BC464C">
        <w:rPr>
          <w:b/>
          <w:bCs/>
          <w:lang w:val="es-ES"/>
        </w:rPr>
        <w:t>Cooperar con los mecanismos de derechos humanos de las Naciones Unidas para abordar l</w:t>
      </w:r>
      <w:r w:rsidR="008671E1">
        <w:rPr>
          <w:b/>
          <w:bCs/>
          <w:lang w:val="es-ES"/>
        </w:rPr>
        <w:t>o</w:t>
      </w:r>
      <w:r w:rsidRPr="00BC464C">
        <w:rPr>
          <w:b/>
          <w:bCs/>
          <w:lang w:val="es-ES"/>
        </w:rPr>
        <w:t xml:space="preserve">s l </w:t>
      </w:r>
      <w:r w:rsidR="008671E1">
        <w:rPr>
          <w:b/>
          <w:bCs/>
          <w:lang w:val="es-ES"/>
        </w:rPr>
        <w:t xml:space="preserve">vacíos existentes </w:t>
      </w:r>
      <w:r w:rsidRPr="00BC464C">
        <w:rPr>
          <w:b/>
          <w:bCs/>
          <w:lang w:val="es-ES"/>
        </w:rPr>
        <w:t>en materia de protección.</w:t>
      </w:r>
    </w:p>
    <w:p w14:paraId="01E89D16" w14:textId="77777777" w:rsidR="00ED1618" w:rsidRPr="00BC464C" w:rsidRDefault="00ED1618" w:rsidP="00ED1618">
      <w:pPr>
        <w:pStyle w:val="SingleTxtG"/>
        <w:numPr>
          <w:ilvl w:val="0"/>
          <w:numId w:val="19"/>
        </w:numPr>
        <w:spacing w:line="236" w:lineRule="atLeast"/>
        <w:ind w:left="1134" w:firstLine="567"/>
        <w:rPr>
          <w:b/>
          <w:bCs/>
          <w:lang w:val="es-ES"/>
        </w:rPr>
      </w:pPr>
      <w:r w:rsidRPr="00BC464C">
        <w:rPr>
          <w:b/>
          <w:lang w:val="es-ES"/>
        </w:rPr>
        <w:t xml:space="preserve">Permitir a </w:t>
      </w:r>
      <w:r w:rsidRPr="00E066C5">
        <w:rPr>
          <w:b/>
          <w:lang w:val="es-ES"/>
        </w:rPr>
        <w:t xml:space="preserve">la OACNUDH </w:t>
      </w:r>
      <w:r w:rsidRPr="00BC464C">
        <w:rPr>
          <w:b/>
          <w:lang w:val="es-ES"/>
        </w:rPr>
        <w:t>y a otras organizaciones regionales e internacionales el acceso a Nicaragua y cooperar eficazmente con ellas.</w:t>
      </w:r>
    </w:p>
    <w:p w14:paraId="5CEE2D1C" w14:textId="77777777" w:rsidR="00BC0583" w:rsidRPr="00D359CD" w:rsidRDefault="00F158B1" w:rsidP="00105D24">
      <w:pPr>
        <w:pStyle w:val="SingleTxtG"/>
        <w:spacing w:before="240" w:after="0"/>
        <w:ind w:left="1701"/>
        <w:jc w:val="center"/>
        <w:rPr>
          <w:lang w:val="es-ES"/>
        </w:rPr>
      </w:pPr>
      <w:r w:rsidRPr="00D359CD">
        <w:rPr>
          <w:u w:val="single"/>
          <w:lang w:val="es-ES"/>
        </w:rPr>
        <w:tab/>
      </w:r>
      <w:r w:rsidRPr="00D359CD">
        <w:rPr>
          <w:u w:val="single"/>
          <w:lang w:val="es-ES"/>
        </w:rPr>
        <w:tab/>
      </w:r>
      <w:r w:rsidRPr="00D359CD">
        <w:rPr>
          <w:u w:val="single"/>
          <w:lang w:val="es-ES"/>
        </w:rPr>
        <w:tab/>
      </w:r>
      <w:r w:rsidRPr="00D359CD">
        <w:rPr>
          <w:u w:val="single"/>
          <w:lang w:val="es-ES"/>
        </w:rPr>
        <w:tab/>
        <w:t xml:space="preserve"> </w:t>
      </w:r>
    </w:p>
    <w:sectPr w:rsidR="00BC0583" w:rsidRPr="00D359CD">
      <w:headerReference w:type="even" r:id="rId11"/>
      <w:headerReference w:type="default" r:id="rId12"/>
      <w:footerReference w:type="even" r:id="rId13"/>
      <w:pgSz w:w="11900" w:h="16840"/>
      <w:pgMar w:top="1417" w:right="1134" w:bottom="1134" w:left="1134" w:header="85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90F8" w14:textId="77777777" w:rsidR="0084179B" w:rsidRDefault="0084179B">
      <w:r>
        <w:separator/>
      </w:r>
    </w:p>
  </w:endnote>
  <w:endnote w:type="continuationSeparator" w:id="0">
    <w:p w14:paraId="391F622A" w14:textId="77777777" w:rsidR="0084179B" w:rsidRDefault="0084179B">
      <w:r>
        <w:continuationSeparator/>
      </w:r>
    </w:p>
  </w:endnote>
  <w:endnote w:type="continuationNotice" w:id="1">
    <w:p w14:paraId="6B5B956F" w14:textId="77777777" w:rsidR="0084179B" w:rsidRDefault="00841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Sabon LT St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4219" w14:textId="69217E90" w:rsidR="00120C9B" w:rsidRDefault="00120C9B">
    <w:pPr>
      <w:pStyle w:val="Footer"/>
      <w:tabs>
        <w:tab w:val="right" w:pos="9612"/>
      </w:tabs>
    </w:pPr>
    <w:r>
      <w:rPr>
        <w:b/>
        <w:bCs/>
        <w:sz w:val="18"/>
        <w:szCs w:val="18"/>
      </w:rPr>
      <w:fldChar w:fldCharType="begin"/>
    </w:r>
    <w:r>
      <w:rPr>
        <w:b/>
        <w:bCs/>
        <w:sz w:val="18"/>
        <w:szCs w:val="18"/>
      </w:rPr>
      <w:instrText xml:space="preserve"> PAGE </w:instrText>
    </w:r>
    <w:r>
      <w:rPr>
        <w:b/>
        <w:bCs/>
        <w:sz w:val="18"/>
        <w:szCs w:val="18"/>
      </w:rPr>
      <w:fldChar w:fldCharType="separate"/>
    </w:r>
    <w:r w:rsidR="003D7ABD">
      <w:rPr>
        <w:b/>
        <w:bCs/>
        <w:noProof/>
        <w:sz w:val="18"/>
        <w:szCs w:val="18"/>
      </w:rPr>
      <w:t>16</w:t>
    </w:r>
    <w:r>
      <w:rPr>
        <w:b/>
        <w:bCs/>
        <w:sz w:val="18"/>
        <w:szCs w:val="18"/>
      </w:rPr>
      <w:fldChar w:fldCharType="end"/>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2B03" w14:textId="77777777" w:rsidR="0084179B" w:rsidRDefault="0084179B">
      <w:r>
        <w:separator/>
      </w:r>
    </w:p>
  </w:footnote>
  <w:footnote w:type="continuationSeparator" w:id="0">
    <w:p w14:paraId="59D0567A" w14:textId="77777777" w:rsidR="0084179B" w:rsidRDefault="0084179B">
      <w:r>
        <w:continuationSeparator/>
      </w:r>
    </w:p>
  </w:footnote>
  <w:footnote w:type="continuationNotice" w:id="1">
    <w:p w14:paraId="13320E8D" w14:textId="77777777" w:rsidR="0084179B" w:rsidRDefault="0084179B"/>
  </w:footnote>
  <w:footnote w:id="2">
    <w:p w14:paraId="6516C19E" w14:textId="477ABDA1" w:rsidR="000A7222" w:rsidRPr="000A7222" w:rsidRDefault="000A7222">
      <w:pPr>
        <w:pStyle w:val="FootnoteText"/>
        <w:rPr>
          <w:lang w:val="es-ES"/>
        </w:rPr>
      </w:pPr>
      <w:r w:rsidRPr="000A7222">
        <w:rPr>
          <w:rStyle w:val="FootnoteReference"/>
          <w:lang w:val="es-ES"/>
        </w:rPr>
        <w:tab/>
      </w:r>
      <w:r w:rsidRPr="000A7222">
        <w:rPr>
          <w:rStyle w:val="FootnoteReference"/>
          <w:sz w:val="20"/>
          <w:vertAlign w:val="baseline"/>
          <w:lang w:val="es-ES"/>
        </w:rPr>
        <w:t>*</w:t>
      </w:r>
      <w:r w:rsidRPr="000A7222">
        <w:rPr>
          <w:rStyle w:val="FootnoteReference"/>
          <w:sz w:val="20"/>
          <w:vertAlign w:val="baseline"/>
          <w:lang w:val="es-ES"/>
        </w:rPr>
        <w:tab/>
      </w:r>
      <w:r w:rsidRPr="0093403D">
        <w:rPr>
          <w:sz w:val="20"/>
          <w:lang w:val="es-ES"/>
        </w:rPr>
        <w:t xml:space="preserve">El presente informe </w:t>
      </w:r>
      <w:r w:rsidRPr="00802F2F">
        <w:rPr>
          <w:sz w:val="20"/>
          <w:lang w:val="es-ES"/>
        </w:rPr>
        <w:t>se presentó con retraso para poder incluir en él la información más reciente</w:t>
      </w:r>
      <w:r w:rsidRPr="0093403D">
        <w:rPr>
          <w:sz w:val="20"/>
          <w:lang w:val="es-ES"/>
        </w:rPr>
        <w:t>.</w:t>
      </w:r>
    </w:p>
  </w:footnote>
  <w:footnote w:id="3">
    <w:p w14:paraId="389BB09A" w14:textId="33F693C3" w:rsidR="00F60AB4" w:rsidRPr="00D4409B" w:rsidRDefault="00F60AB4">
      <w:pPr>
        <w:pStyle w:val="FootnoteText"/>
        <w:rPr>
          <w:lang w:val="es-ES"/>
        </w:rPr>
      </w:pPr>
      <w:r w:rsidRPr="00D4409B">
        <w:rPr>
          <w:lang w:val="es-ES"/>
        </w:rPr>
        <w:tab/>
      </w:r>
      <w:r>
        <w:rPr>
          <w:rStyle w:val="FootnoteReference"/>
        </w:rPr>
        <w:footnoteRef/>
      </w:r>
      <w:r w:rsidRPr="00D4409B">
        <w:rPr>
          <w:lang w:val="es-ES"/>
        </w:rPr>
        <w:t xml:space="preserve"> </w:t>
      </w:r>
      <w:r w:rsidRPr="00D4409B">
        <w:rPr>
          <w:lang w:val="es-ES"/>
        </w:rPr>
        <w:tab/>
        <w:t>A/HRC/42/18, A/HRC/46/21, A/HRC/49/23 y A/HRC/51/42</w:t>
      </w:r>
    </w:p>
  </w:footnote>
  <w:footnote w:id="4">
    <w:p w14:paraId="53DEF4FC" w14:textId="1B291164" w:rsidR="00ED1618" w:rsidRPr="00BC464C" w:rsidRDefault="00ED1618" w:rsidP="00ED1618">
      <w:pPr>
        <w:pStyle w:val="FootnoteText"/>
        <w:rPr>
          <w:lang w:val="es-ES"/>
        </w:rPr>
      </w:pPr>
      <w:r w:rsidRPr="00C63709">
        <w:rPr>
          <w:lang w:val="es-ES"/>
        </w:rPr>
        <w:tab/>
      </w:r>
      <w:r w:rsidR="00C63709">
        <w:rPr>
          <w:rStyle w:val="FootnoteReference"/>
        </w:rPr>
        <w:footnoteRef/>
      </w:r>
      <w:r w:rsidR="00C63709" w:rsidRPr="00C63709">
        <w:rPr>
          <w:lang w:val="es-ES"/>
        </w:rPr>
        <w:tab/>
      </w:r>
      <w:r w:rsidR="001A35C4" w:rsidRPr="001A35C4">
        <w:rPr>
          <w:lang w:val="es-ES"/>
        </w:rPr>
        <w:t>Véase Unión Interparlamentaria y Entidad de las Naciones Unidas para la Igualdad de Género y el Empoderamiento de las Mujeres, "</w:t>
      </w:r>
      <w:proofErr w:type="spellStart"/>
      <w:r w:rsidR="001A35C4" w:rsidRPr="001A35C4">
        <w:rPr>
          <w:lang w:val="es-ES"/>
        </w:rPr>
        <w:t>Women</w:t>
      </w:r>
      <w:proofErr w:type="spellEnd"/>
      <w:r w:rsidR="001A35C4" w:rsidRPr="001A35C4">
        <w:rPr>
          <w:lang w:val="es-ES"/>
        </w:rPr>
        <w:t xml:space="preserve"> in </w:t>
      </w:r>
      <w:proofErr w:type="spellStart"/>
      <w:r w:rsidR="001A35C4" w:rsidRPr="001A35C4">
        <w:rPr>
          <w:lang w:val="es-ES"/>
        </w:rPr>
        <w:t>politics</w:t>
      </w:r>
      <w:proofErr w:type="spellEnd"/>
      <w:r w:rsidR="001A35C4" w:rsidRPr="001A35C4">
        <w:rPr>
          <w:lang w:val="es-ES"/>
        </w:rPr>
        <w:t xml:space="preserve"> 2023".</w:t>
      </w:r>
    </w:p>
  </w:footnote>
  <w:footnote w:id="5">
    <w:p w14:paraId="2B6956E5" w14:textId="48B41FB0" w:rsidR="00ED1618" w:rsidRPr="00BC464C" w:rsidRDefault="00ED1618" w:rsidP="00ED1618">
      <w:pPr>
        <w:pStyle w:val="FootnoteText"/>
        <w:rPr>
          <w:lang w:val="es-ES"/>
        </w:rPr>
      </w:pPr>
      <w:r w:rsidRPr="00BC464C">
        <w:rPr>
          <w:lang w:val="es-ES"/>
        </w:rPr>
        <w:tab/>
      </w:r>
      <w:r w:rsidR="00C63709">
        <w:rPr>
          <w:rStyle w:val="FootnoteReference"/>
        </w:rPr>
        <w:footnoteRef/>
      </w:r>
      <w:r w:rsidR="00C63709" w:rsidRPr="00466EF6">
        <w:rPr>
          <w:lang w:val="es-ES"/>
        </w:rPr>
        <w:tab/>
      </w:r>
      <w:r w:rsidRPr="00BC464C">
        <w:rPr>
          <w:lang w:val="es-ES"/>
        </w:rPr>
        <w:tab/>
      </w:r>
      <w:proofErr w:type="spellStart"/>
      <w:r w:rsidRPr="00BC464C">
        <w:rPr>
          <w:lang w:val="es-ES"/>
        </w:rPr>
        <w:t>Ibid</w:t>
      </w:r>
      <w:proofErr w:type="spellEnd"/>
    </w:p>
  </w:footnote>
  <w:footnote w:id="6">
    <w:p w14:paraId="03375687" w14:textId="30D07A4C" w:rsidR="00ED1618" w:rsidRPr="005F21F4" w:rsidRDefault="00ED1618" w:rsidP="00ED1618">
      <w:pPr>
        <w:pStyle w:val="FootnoteText"/>
        <w:rPr>
          <w:lang w:val="es-ES"/>
        </w:rPr>
      </w:pPr>
      <w:r w:rsidRPr="00BC464C">
        <w:rPr>
          <w:lang w:val="es-ES"/>
        </w:rPr>
        <w:tab/>
      </w:r>
      <w:r w:rsidR="00C63709">
        <w:rPr>
          <w:rStyle w:val="FootnoteReference"/>
        </w:rPr>
        <w:footnoteRef/>
      </w:r>
      <w:r w:rsidR="00C63709" w:rsidRPr="00C63709">
        <w:rPr>
          <w:lang w:val="es-ES"/>
        </w:rPr>
        <w:tab/>
      </w:r>
      <w:r w:rsidRPr="005F21F4">
        <w:rPr>
          <w:rStyle w:val="Hyperlink"/>
          <w:u w:val="none"/>
          <w:lang w:val="es-ES"/>
        </w:rPr>
        <w:t>Por ejemplo, Cristiana Chamorro, la precandidata más popular de la oposición en 2021, permaneció en arresto domiciliario desde junio de 2021 hasta febrero de 2023, lo que le impidió presentarse a las elecciones presidenciales. A Berenice Quezada, candidata a la vicepresidencia, la policía le allanó el domicilio el 3 de agosto de 2021, al día siguiente de inscribir su candidatura, lo que dio lugar a una investigación relacionada con el terrorismo y a su inhabilitación arbitraria de la carrera presidencial, basada en su declaración llamando a votar "contra la dictadura".</w:t>
      </w:r>
    </w:p>
  </w:footnote>
  <w:footnote w:id="7">
    <w:p w14:paraId="6740D929" w14:textId="77777777" w:rsidR="00F60AB4" w:rsidRDefault="00F60AB4" w:rsidP="00F60AB4">
      <w:pPr>
        <w:pStyle w:val="FootnoteText"/>
        <w:rPr>
          <w:lang w:val="es-ES"/>
        </w:rPr>
      </w:pPr>
      <w:r w:rsidRPr="005F21F4">
        <w:rPr>
          <w:lang w:val="es-ES"/>
        </w:rPr>
        <w:tab/>
      </w:r>
      <w:r>
        <w:rPr>
          <w:rStyle w:val="FootnoteReference"/>
        </w:rPr>
        <w:footnoteRef/>
      </w:r>
      <w:r w:rsidRPr="00466EF6">
        <w:rPr>
          <w:lang w:val="es-ES"/>
        </w:rPr>
        <w:tab/>
      </w:r>
      <w:r w:rsidRPr="005F21F4">
        <w:rPr>
          <w:lang w:val="es-ES"/>
        </w:rPr>
        <w:t>A/HRC/49/23, p</w:t>
      </w:r>
      <w:r>
        <w:rPr>
          <w:lang w:val="es-ES"/>
        </w:rPr>
        <w:t>árr</w:t>
      </w:r>
      <w:r w:rsidRPr="005F21F4">
        <w:rPr>
          <w:lang w:val="es-ES"/>
        </w:rPr>
        <w:t>. 4-7</w:t>
      </w:r>
      <w:r w:rsidRPr="00F60AB4">
        <w:rPr>
          <w:lang w:val="es-ES"/>
        </w:rPr>
        <w:t xml:space="preserve"> </w:t>
      </w:r>
      <w:r>
        <w:rPr>
          <w:lang w:val="es-ES"/>
        </w:rPr>
        <w:t xml:space="preserve">y </w:t>
      </w:r>
      <w:r w:rsidRPr="005F21F4">
        <w:rPr>
          <w:lang w:val="es-ES"/>
        </w:rPr>
        <w:t>A/HRC/51/42, p</w:t>
      </w:r>
      <w:r>
        <w:rPr>
          <w:lang w:val="es-ES"/>
        </w:rPr>
        <w:t>árr</w:t>
      </w:r>
      <w:r w:rsidRPr="005F21F4">
        <w:rPr>
          <w:lang w:val="es-ES"/>
        </w:rPr>
        <w:t>. 7</w:t>
      </w:r>
    </w:p>
  </w:footnote>
  <w:footnote w:id="8">
    <w:p w14:paraId="63E8C129" w14:textId="4B49B3A9" w:rsidR="00ED1618" w:rsidRDefault="00ED1618" w:rsidP="00ED1618">
      <w:pPr>
        <w:pStyle w:val="FootnoteText"/>
        <w:rPr>
          <w:lang w:val="es-ES"/>
        </w:rPr>
      </w:pPr>
      <w:r w:rsidRPr="00EA7E0A">
        <w:rPr>
          <w:lang w:val="es-ES"/>
        </w:rPr>
        <w:tab/>
      </w:r>
      <w:r w:rsidR="00C63709">
        <w:rPr>
          <w:rStyle w:val="FootnoteReference"/>
        </w:rPr>
        <w:footnoteRef/>
      </w:r>
      <w:r w:rsidR="00C63709" w:rsidRPr="00F60AB4">
        <w:rPr>
          <w:lang w:val="es-ES"/>
        </w:rPr>
        <w:tab/>
      </w:r>
      <w:r w:rsidRPr="00EA7E0A">
        <w:rPr>
          <w:lang w:val="es-ES"/>
        </w:rPr>
        <w:tab/>
        <w:t>A/HRC/49/23, párr. 64</w:t>
      </w:r>
    </w:p>
  </w:footnote>
  <w:footnote w:id="9">
    <w:p w14:paraId="73473DC0" w14:textId="6CDEACF6" w:rsidR="00ED1618" w:rsidRDefault="00ED1618" w:rsidP="00ED1618">
      <w:pPr>
        <w:pStyle w:val="FootnoteText"/>
        <w:rPr>
          <w:lang w:val="es-PA"/>
        </w:rPr>
      </w:pPr>
      <w:r w:rsidRPr="00EA7E0A">
        <w:rPr>
          <w:lang w:val="es-PA"/>
        </w:rPr>
        <w:tab/>
      </w:r>
      <w:r w:rsidR="00C63709">
        <w:rPr>
          <w:rStyle w:val="FootnoteReference"/>
        </w:rPr>
        <w:footnoteRef/>
      </w:r>
      <w:r w:rsidR="00C63709" w:rsidRPr="00C63709">
        <w:rPr>
          <w:lang w:val="es-ES"/>
        </w:rPr>
        <w:tab/>
      </w:r>
      <w:r w:rsidR="00430058">
        <w:rPr>
          <w:lang w:val="es-ES"/>
        </w:rPr>
        <w:t xml:space="preserve">Ver: </w:t>
      </w:r>
      <w:r w:rsidRPr="00EA7E0A">
        <w:rPr>
          <w:lang w:val="es-PA"/>
        </w:rPr>
        <w:t xml:space="preserve">Urnas Abiertas, Nicaragua Observa: 6 de noviembre, </w:t>
      </w:r>
      <w:r w:rsidRPr="00C63709">
        <w:rPr>
          <w:lang w:val="es-PA"/>
        </w:rPr>
        <w:t>https://urnasabiertas.com/wp-content/uploads/2022/12/UA_Nicaragua-Observa_6N.pdf</w:t>
      </w:r>
    </w:p>
  </w:footnote>
  <w:footnote w:id="10">
    <w:p w14:paraId="0F18D242" w14:textId="1F868345" w:rsidR="00ED1618" w:rsidRDefault="00ED1618" w:rsidP="00ED1618">
      <w:pPr>
        <w:pStyle w:val="FootnoteText"/>
        <w:rPr>
          <w:lang w:val="es-PA"/>
        </w:rPr>
      </w:pPr>
      <w:r w:rsidRPr="00EA7E0A">
        <w:rPr>
          <w:lang w:val="es-PA"/>
        </w:rPr>
        <w:tab/>
      </w:r>
      <w:r w:rsidR="00C63709">
        <w:rPr>
          <w:rStyle w:val="FootnoteReference"/>
        </w:rPr>
        <w:footnoteRef/>
      </w:r>
      <w:r w:rsidR="00C63709" w:rsidRPr="00F60AB4">
        <w:rPr>
          <w:lang w:val="es-PA"/>
        </w:rPr>
        <w:tab/>
      </w:r>
      <w:proofErr w:type="spellStart"/>
      <w:r w:rsidRPr="00EA7E0A">
        <w:rPr>
          <w:lang w:val="es-PA"/>
        </w:rPr>
        <w:t>Ibid</w:t>
      </w:r>
      <w:proofErr w:type="spellEnd"/>
    </w:p>
  </w:footnote>
  <w:footnote w:id="11">
    <w:p w14:paraId="4646E9D8" w14:textId="54E6A4D6" w:rsidR="00ED1618" w:rsidRDefault="00ED1618" w:rsidP="00ED1618">
      <w:pPr>
        <w:pStyle w:val="FootnoteText"/>
        <w:rPr>
          <w:lang w:val="es-BO"/>
        </w:rPr>
      </w:pPr>
      <w:r w:rsidRPr="00EA7E0A">
        <w:rPr>
          <w:lang w:val="es-BO"/>
        </w:rPr>
        <w:tab/>
      </w:r>
      <w:r w:rsidR="00C63709">
        <w:rPr>
          <w:rStyle w:val="FootnoteReference"/>
        </w:rPr>
        <w:footnoteRef/>
      </w:r>
      <w:r w:rsidR="00C63709" w:rsidRPr="00F60AB4">
        <w:rPr>
          <w:lang w:val="es-PA"/>
        </w:rPr>
        <w:tab/>
      </w:r>
      <w:r w:rsidRPr="00EA7E0A">
        <w:rPr>
          <w:lang w:val="es-BO"/>
        </w:rPr>
        <w:tab/>
        <w:t>A/HRC/51/42, párr. 14</w:t>
      </w:r>
    </w:p>
  </w:footnote>
  <w:footnote w:id="12">
    <w:p w14:paraId="2985E254" w14:textId="118CE161" w:rsidR="00ED1618" w:rsidRDefault="00ED1618" w:rsidP="00ED1618">
      <w:pPr>
        <w:pStyle w:val="FootnoteText"/>
        <w:rPr>
          <w:lang w:val="es-ES"/>
        </w:rPr>
      </w:pPr>
      <w:r w:rsidRPr="00EA7E0A">
        <w:rPr>
          <w:lang w:val="es-ES"/>
        </w:rPr>
        <w:tab/>
      </w:r>
      <w:r w:rsidRPr="005F21F4">
        <w:rPr>
          <w:rStyle w:val="FootnoteReference"/>
        </w:rPr>
        <w:footnoteRef/>
      </w:r>
      <w:r w:rsidRPr="00EA7E0A">
        <w:rPr>
          <w:lang w:val="es-ES"/>
        </w:rPr>
        <w:tab/>
      </w:r>
      <w:r w:rsidR="005F2F7B">
        <w:rPr>
          <w:lang w:val="es-ES"/>
        </w:rPr>
        <w:t xml:space="preserve">Ibid. </w:t>
      </w:r>
    </w:p>
  </w:footnote>
  <w:footnote w:id="13">
    <w:p w14:paraId="104888B6" w14:textId="74899231" w:rsidR="00ED1618" w:rsidRDefault="00ED1618" w:rsidP="00ED1618">
      <w:pPr>
        <w:pStyle w:val="FootnoteText"/>
        <w:rPr>
          <w:lang w:val="es-BO"/>
        </w:rPr>
      </w:pPr>
      <w:r w:rsidRPr="00EA7E0A">
        <w:rPr>
          <w:lang w:val="es-BO"/>
        </w:rPr>
        <w:tab/>
      </w:r>
      <w:r w:rsidRPr="005F21F4">
        <w:rPr>
          <w:rStyle w:val="FootnoteReference"/>
        </w:rPr>
        <w:footnoteRef/>
      </w:r>
      <w:r w:rsidRPr="00EA7E0A">
        <w:rPr>
          <w:lang w:val="es-BO"/>
        </w:rPr>
        <w:tab/>
      </w:r>
      <w:r w:rsidR="00D64C6B">
        <w:rPr>
          <w:lang w:val="es-BO"/>
        </w:rPr>
        <w:t xml:space="preserve">Ver: </w:t>
      </w:r>
      <w:r w:rsidRPr="00EA7E0A">
        <w:rPr>
          <w:lang w:val="es-BO"/>
        </w:rPr>
        <w:t>https://www.laprensani.com/2022/09/05/politica/3039512-relator-de-la-onu-es-la-primera-vez-que-veo-tal-numero-de-organizaciones-de-la-sociedad-civil-declaradas-ilegales-de-un-dia-para-otro</w:t>
      </w:r>
    </w:p>
  </w:footnote>
  <w:footnote w:id="14">
    <w:p w14:paraId="49B15993" w14:textId="64AEF49E" w:rsidR="00ED1618" w:rsidRDefault="00ED1618" w:rsidP="00ED1618">
      <w:pPr>
        <w:pStyle w:val="FootnoteText"/>
      </w:pPr>
      <w:r w:rsidRPr="00EA7E0A">
        <w:rPr>
          <w:lang w:val="es-ES"/>
        </w:rPr>
        <w:tab/>
      </w:r>
      <w:r w:rsidRPr="005F21F4">
        <w:rPr>
          <w:rStyle w:val="FootnoteReference"/>
        </w:rPr>
        <w:footnoteRef/>
      </w:r>
      <w:r w:rsidRPr="00EA7E0A">
        <w:tab/>
        <w:t xml:space="preserve">CCPR/C/NIC/CO/4, </w:t>
      </w:r>
      <w:proofErr w:type="spellStart"/>
      <w:r w:rsidRPr="00EA7E0A">
        <w:t>párr</w:t>
      </w:r>
      <w:proofErr w:type="spellEnd"/>
      <w:r w:rsidRPr="00EA7E0A">
        <w:t>. 33-34.</w:t>
      </w:r>
    </w:p>
  </w:footnote>
  <w:footnote w:id="15">
    <w:p w14:paraId="33C643BB" w14:textId="26EB3BF3" w:rsidR="00ED1618" w:rsidRDefault="00ED1618" w:rsidP="00ED1618">
      <w:pPr>
        <w:pStyle w:val="FootnoteText"/>
      </w:pPr>
      <w:r w:rsidRPr="00EA7E0A">
        <w:tab/>
      </w:r>
      <w:r w:rsidRPr="005F21F4">
        <w:rPr>
          <w:rStyle w:val="FootnoteReference"/>
        </w:rPr>
        <w:footnoteRef/>
      </w:r>
      <w:r w:rsidRPr="00EA7E0A">
        <w:tab/>
      </w:r>
      <w:r w:rsidR="00F60AB4" w:rsidRPr="00F60AB4">
        <w:t>Inter-American Dialogue, “Dictatorial radicalization in Nicaragua. From repression to extremism?”</w:t>
      </w:r>
      <w:r w:rsidRPr="00EA7E0A">
        <w:t>, p. 3</w:t>
      </w:r>
    </w:p>
  </w:footnote>
  <w:footnote w:id="16">
    <w:p w14:paraId="059E163C" w14:textId="6C002D4C" w:rsidR="00F03565" w:rsidRPr="00D4409B" w:rsidRDefault="00F03565" w:rsidP="00F03565">
      <w:pPr>
        <w:pStyle w:val="FootnoteText"/>
        <w:rPr>
          <w:lang w:val="fr-FR"/>
        </w:rPr>
      </w:pPr>
      <w:r w:rsidRPr="00D4409B">
        <w:tab/>
      </w:r>
      <w:r w:rsidRPr="005F21F4">
        <w:rPr>
          <w:rStyle w:val="FootnoteReference"/>
        </w:rPr>
        <w:footnoteRef/>
      </w:r>
      <w:r w:rsidRPr="00D4409B">
        <w:rPr>
          <w:lang w:val="fr-FR"/>
        </w:rPr>
        <w:tab/>
      </w:r>
      <w:proofErr w:type="spellStart"/>
      <w:proofErr w:type="gramStart"/>
      <w:r w:rsidR="0052324A" w:rsidRPr="00D4409B">
        <w:rPr>
          <w:lang w:val="fr-FR"/>
        </w:rPr>
        <w:t>Véase</w:t>
      </w:r>
      <w:proofErr w:type="spellEnd"/>
      <w:r w:rsidR="0052324A" w:rsidRPr="00D4409B">
        <w:rPr>
          <w:lang w:val="fr-FR"/>
        </w:rPr>
        <w:t>:</w:t>
      </w:r>
      <w:proofErr w:type="gramEnd"/>
      <w:r w:rsidR="0052324A" w:rsidRPr="00D4409B">
        <w:rPr>
          <w:lang w:val="fr-FR"/>
        </w:rPr>
        <w:t xml:space="preserve"> </w:t>
      </w:r>
      <w:r w:rsidRPr="00D4409B">
        <w:rPr>
          <w:lang w:val="fr-FR"/>
        </w:rPr>
        <w:t>https://www.el19digital.com/articulos/ver/titulo:140775-policia-informa-sobre-actividad-ilicita-en-el-manejo-de-fondos-en-diferentes-diocesis-del-pais</w:t>
      </w:r>
    </w:p>
  </w:footnote>
  <w:footnote w:id="17">
    <w:p w14:paraId="04D0F7BD" w14:textId="63BA2E43" w:rsidR="00ED1618" w:rsidRPr="00BC464C" w:rsidRDefault="00ED1618" w:rsidP="00ED1618">
      <w:pPr>
        <w:pStyle w:val="FootnoteText"/>
        <w:rPr>
          <w:lang w:val="es-ES"/>
        </w:rPr>
      </w:pPr>
      <w:r w:rsidRPr="00D4409B">
        <w:rPr>
          <w:lang w:val="fr-FR"/>
        </w:rPr>
        <w:tab/>
      </w:r>
      <w:r w:rsidRPr="005F21F4">
        <w:rPr>
          <w:rStyle w:val="FootnoteReference"/>
        </w:rPr>
        <w:footnoteRef/>
      </w:r>
      <w:r w:rsidRPr="00BC464C">
        <w:rPr>
          <w:lang w:val="es-ES"/>
        </w:rPr>
        <w:tab/>
        <w:t>Véase secci</w:t>
      </w:r>
      <w:r w:rsidR="002C3B8E">
        <w:rPr>
          <w:lang w:val="es-ES"/>
        </w:rPr>
        <w:t>ón</w:t>
      </w:r>
      <w:r w:rsidRPr="00BC464C">
        <w:rPr>
          <w:lang w:val="es-ES"/>
        </w:rPr>
        <w:t xml:space="preserve"> I</w:t>
      </w:r>
      <w:r w:rsidR="002C3B8E">
        <w:rPr>
          <w:lang w:val="es-ES"/>
        </w:rPr>
        <w:t>I</w:t>
      </w:r>
      <w:r w:rsidRPr="00BC464C">
        <w:rPr>
          <w:lang w:val="es-ES"/>
        </w:rPr>
        <w:t xml:space="preserve">.A </w:t>
      </w:r>
    </w:p>
  </w:footnote>
  <w:footnote w:id="18">
    <w:p w14:paraId="5FBCBF90" w14:textId="6BC7F69A"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t xml:space="preserve">UA NIC 3/2022, UA NIC 6/2022 </w:t>
      </w:r>
    </w:p>
  </w:footnote>
  <w:footnote w:id="19">
    <w:p w14:paraId="670DD01A" w14:textId="6B74C77A"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t xml:space="preserve">Ley 977 </w:t>
      </w:r>
      <w:r w:rsidRPr="00F0537C">
        <w:rPr>
          <w:lang w:val="es-ES"/>
        </w:rPr>
        <w:t>Contra el Lavado de Activos, el</w:t>
      </w:r>
      <w:r>
        <w:rPr>
          <w:lang w:val="es-ES"/>
        </w:rPr>
        <w:t xml:space="preserve"> </w:t>
      </w:r>
      <w:r w:rsidRPr="00F0537C">
        <w:rPr>
          <w:lang w:val="es-ES"/>
        </w:rPr>
        <w:t>Financiamiento al Terrorismo y el Financiamiento a la Proliferación de Armas de</w:t>
      </w:r>
      <w:r>
        <w:rPr>
          <w:lang w:val="es-ES"/>
        </w:rPr>
        <w:t xml:space="preserve"> </w:t>
      </w:r>
      <w:r w:rsidRPr="00F0537C">
        <w:rPr>
          <w:lang w:val="es-ES"/>
        </w:rPr>
        <w:t>Destrucción Masiva</w:t>
      </w:r>
      <w:r w:rsidRPr="00BC464C">
        <w:rPr>
          <w:lang w:val="es-ES"/>
        </w:rPr>
        <w:t xml:space="preserve">, 2018; Ley 1055 </w:t>
      </w:r>
      <w:r w:rsidRPr="00366AFF">
        <w:rPr>
          <w:lang w:val="es-ES"/>
        </w:rPr>
        <w:t xml:space="preserve">de </w:t>
      </w:r>
      <w:r>
        <w:rPr>
          <w:lang w:val="es-ES"/>
        </w:rPr>
        <w:t>D</w:t>
      </w:r>
      <w:r w:rsidRPr="00366AFF">
        <w:rPr>
          <w:lang w:val="es-ES"/>
        </w:rPr>
        <w:t xml:space="preserve">efensa de los </w:t>
      </w:r>
      <w:r>
        <w:rPr>
          <w:lang w:val="es-ES"/>
        </w:rPr>
        <w:t>D</w:t>
      </w:r>
      <w:r w:rsidRPr="00366AFF">
        <w:rPr>
          <w:lang w:val="es-ES"/>
        </w:rPr>
        <w:t>erechos del</w:t>
      </w:r>
      <w:r w:rsidR="0069283F">
        <w:rPr>
          <w:lang w:val="es-ES"/>
        </w:rPr>
        <w:t xml:space="preserve"> </w:t>
      </w:r>
      <w:r>
        <w:rPr>
          <w:lang w:val="es-ES"/>
        </w:rPr>
        <w:t>P</w:t>
      </w:r>
      <w:r w:rsidRPr="00366AFF">
        <w:rPr>
          <w:lang w:val="es-ES"/>
        </w:rPr>
        <w:t xml:space="preserve">ueblo a la </w:t>
      </w:r>
      <w:r>
        <w:rPr>
          <w:lang w:val="es-ES"/>
        </w:rPr>
        <w:t>I</w:t>
      </w:r>
      <w:r w:rsidRPr="00366AFF">
        <w:rPr>
          <w:lang w:val="es-ES"/>
        </w:rPr>
        <w:t>ndependencia,</w:t>
      </w:r>
      <w:r>
        <w:rPr>
          <w:lang w:val="es-ES"/>
        </w:rPr>
        <w:t xml:space="preserve"> </w:t>
      </w:r>
      <w:r w:rsidRPr="00366AFF">
        <w:rPr>
          <w:lang w:val="es-ES"/>
        </w:rPr>
        <w:t xml:space="preserve">la </w:t>
      </w:r>
      <w:r>
        <w:rPr>
          <w:lang w:val="es-ES"/>
        </w:rPr>
        <w:t>S</w:t>
      </w:r>
      <w:r w:rsidRPr="00366AFF">
        <w:rPr>
          <w:lang w:val="es-ES"/>
        </w:rPr>
        <w:t xml:space="preserve">oberanía y </w:t>
      </w:r>
      <w:r>
        <w:rPr>
          <w:lang w:val="es-ES"/>
        </w:rPr>
        <w:t>A</w:t>
      </w:r>
      <w:r w:rsidRPr="00366AFF">
        <w:rPr>
          <w:lang w:val="es-ES"/>
        </w:rPr>
        <w:t xml:space="preserve">utodeterminación para la </w:t>
      </w:r>
      <w:r>
        <w:rPr>
          <w:lang w:val="es-ES"/>
        </w:rPr>
        <w:t>P</w:t>
      </w:r>
      <w:r w:rsidRPr="00366AFF">
        <w:rPr>
          <w:lang w:val="es-ES"/>
        </w:rPr>
        <w:t>az</w:t>
      </w:r>
      <w:r w:rsidRPr="00BC464C">
        <w:rPr>
          <w:lang w:val="es-ES"/>
        </w:rPr>
        <w:t>, 2020; Ley 1060 de Reforma del Código Procesal Penal, 2021.</w:t>
      </w:r>
    </w:p>
  </w:footnote>
  <w:footnote w:id="20">
    <w:p w14:paraId="17F558A7" w14:textId="24683FDE" w:rsidR="00ED1618" w:rsidRPr="00BC464C" w:rsidRDefault="00ED1618" w:rsidP="00ED1618">
      <w:pPr>
        <w:pStyle w:val="FootnoteText"/>
        <w:ind w:hanging="567"/>
        <w:rPr>
          <w:lang w:val="es-ES"/>
        </w:rPr>
      </w:pPr>
      <w:r w:rsidRPr="00BC464C">
        <w:rPr>
          <w:lang w:val="es-ES"/>
        </w:rPr>
        <w:tab/>
      </w:r>
      <w:r w:rsidRPr="005F21F4">
        <w:rPr>
          <w:rStyle w:val="FootnoteReference"/>
        </w:rPr>
        <w:footnoteRef/>
      </w:r>
      <w:r w:rsidRPr="00D4409B">
        <w:tab/>
      </w:r>
      <w:r w:rsidR="0069283F" w:rsidRPr="00D4409B">
        <w:t xml:space="preserve">CCPR/C/NIC/CO/4, </w:t>
      </w:r>
      <w:proofErr w:type="spellStart"/>
      <w:r w:rsidR="0069283F" w:rsidRPr="00D4409B">
        <w:t>párr</w:t>
      </w:r>
      <w:proofErr w:type="spellEnd"/>
      <w:r w:rsidR="0069283F" w:rsidRPr="00D4409B">
        <w:t xml:space="preserve">. </w:t>
      </w:r>
      <w:r w:rsidR="0069283F" w:rsidRPr="00BC464C">
        <w:rPr>
          <w:lang w:val="es-ES"/>
        </w:rPr>
        <w:t>15</w:t>
      </w:r>
      <w:r w:rsidR="0069283F">
        <w:rPr>
          <w:lang w:val="es-ES"/>
        </w:rPr>
        <w:t>-16 y 25-26</w:t>
      </w:r>
      <w:r w:rsidRPr="00BC464C">
        <w:rPr>
          <w:lang w:val="es-ES"/>
        </w:rPr>
        <w:t>.</w:t>
      </w:r>
    </w:p>
  </w:footnote>
  <w:footnote w:id="21">
    <w:p w14:paraId="3A56C507" w14:textId="5B52E7E6"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r>
      <w:proofErr w:type="spellStart"/>
      <w:r w:rsidR="0069283F">
        <w:rPr>
          <w:lang w:val="es-ES"/>
        </w:rPr>
        <w:t>Ibid</w:t>
      </w:r>
      <w:proofErr w:type="spellEnd"/>
      <w:r w:rsidR="0069283F">
        <w:rPr>
          <w:lang w:val="es-ES"/>
        </w:rPr>
        <w:t>, párr. 25-26</w:t>
      </w:r>
      <w:r w:rsidRPr="00BC464C">
        <w:rPr>
          <w:lang w:val="es-ES"/>
        </w:rPr>
        <w:t>.</w:t>
      </w:r>
    </w:p>
  </w:footnote>
  <w:footnote w:id="22">
    <w:p w14:paraId="2DD16686" w14:textId="0111FD43"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t xml:space="preserve">Artículo 22 </w:t>
      </w:r>
    </w:p>
  </w:footnote>
  <w:footnote w:id="23">
    <w:p w14:paraId="5556F95F" w14:textId="16974949" w:rsidR="00ED1618" w:rsidRPr="00BC464C" w:rsidRDefault="00ED1618" w:rsidP="00ED1618">
      <w:pPr>
        <w:pStyle w:val="FootnoteText"/>
        <w:rPr>
          <w:lang w:val="es-ES"/>
        </w:rPr>
      </w:pPr>
      <w:r w:rsidRPr="00BC464C">
        <w:rPr>
          <w:lang w:val="es-ES"/>
        </w:rPr>
        <w:tab/>
      </w:r>
      <w:r w:rsidRPr="005F21F4">
        <w:rPr>
          <w:rStyle w:val="FootnoteReference"/>
        </w:rPr>
        <w:footnoteRef/>
      </w:r>
      <w:r w:rsidR="003476E2">
        <w:rPr>
          <w:lang w:val="es-ES"/>
        </w:rPr>
        <w:tab/>
      </w:r>
      <w:r w:rsidRPr="00BC464C">
        <w:rPr>
          <w:lang w:val="es-ES"/>
        </w:rPr>
        <w:tab/>
        <w:t>Véase: A/HRC/51/42, párr. 32</w:t>
      </w:r>
    </w:p>
  </w:footnote>
  <w:footnote w:id="24">
    <w:p w14:paraId="04A9916D" w14:textId="2A2D99EE" w:rsidR="00ED1618" w:rsidRPr="00D4409B" w:rsidRDefault="00ED1618" w:rsidP="00ED1618">
      <w:pPr>
        <w:pStyle w:val="FootnoteText"/>
      </w:pPr>
      <w:r w:rsidRPr="00BC464C">
        <w:rPr>
          <w:lang w:val="es-ES"/>
        </w:rPr>
        <w:tab/>
      </w:r>
      <w:r w:rsidRPr="005F21F4">
        <w:rPr>
          <w:rStyle w:val="FootnoteReference"/>
        </w:rPr>
        <w:footnoteRef/>
      </w:r>
      <w:r w:rsidRPr="00BC464C">
        <w:rPr>
          <w:lang w:val="es-ES"/>
        </w:rPr>
        <w:tab/>
        <w:t xml:space="preserve">La incompatibilidad de la Ley 1060 con las normas internacionales fue señalada por el ACNUDH cuando se aprobó en 2021. </w:t>
      </w:r>
      <w:r w:rsidRPr="00D4409B">
        <w:t>A/HRC/49/23, par. 23</w:t>
      </w:r>
    </w:p>
  </w:footnote>
  <w:footnote w:id="25">
    <w:p w14:paraId="783CA2E3" w14:textId="737F6113" w:rsidR="00ED1618" w:rsidRPr="00D4409B" w:rsidRDefault="00ED1618" w:rsidP="00ED1618">
      <w:pPr>
        <w:pStyle w:val="FootnoteText"/>
      </w:pPr>
      <w:r w:rsidRPr="00D4409B">
        <w:tab/>
      </w:r>
      <w:r w:rsidRPr="005F21F4">
        <w:rPr>
          <w:rStyle w:val="FootnoteReference"/>
        </w:rPr>
        <w:footnoteRef/>
      </w:r>
      <w:r w:rsidRPr="00D4409B">
        <w:tab/>
        <w:t xml:space="preserve">CCPR/C/GC/35, </w:t>
      </w:r>
      <w:proofErr w:type="spellStart"/>
      <w:r w:rsidRPr="00D4409B">
        <w:t>párr</w:t>
      </w:r>
      <w:proofErr w:type="spellEnd"/>
      <w:r w:rsidRPr="00D4409B">
        <w:t xml:space="preserve">. 38. </w:t>
      </w:r>
    </w:p>
  </w:footnote>
  <w:footnote w:id="26">
    <w:p w14:paraId="4941E9AE" w14:textId="28D53473" w:rsidR="00ED1618" w:rsidRPr="00D4409B" w:rsidRDefault="00ED1618" w:rsidP="00ED1618">
      <w:pPr>
        <w:pStyle w:val="FootnoteText"/>
      </w:pPr>
      <w:r w:rsidRPr="00D4409B">
        <w:tab/>
      </w:r>
      <w:r w:rsidRPr="005F21F4">
        <w:rPr>
          <w:rStyle w:val="FootnoteReference"/>
        </w:rPr>
        <w:footnoteRef/>
      </w:r>
      <w:r w:rsidRPr="00D4409B">
        <w:tab/>
        <w:t>A/HRC/</w:t>
      </w:r>
      <w:r w:rsidR="00EA4C2B" w:rsidRPr="00D4409B">
        <w:t>51/42</w:t>
      </w:r>
      <w:r w:rsidRPr="00D4409B">
        <w:t xml:space="preserve">, </w:t>
      </w:r>
      <w:proofErr w:type="spellStart"/>
      <w:r w:rsidRPr="00D4409B">
        <w:t>párr</w:t>
      </w:r>
      <w:proofErr w:type="spellEnd"/>
      <w:r w:rsidR="00EA4C2B" w:rsidRPr="00D4409B">
        <w:t>.</w:t>
      </w:r>
      <w:r w:rsidRPr="00D4409B">
        <w:t xml:space="preserve"> 4</w:t>
      </w:r>
      <w:r w:rsidR="00EA4C2B" w:rsidRPr="00D4409B">
        <w:t>6</w:t>
      </w:r>
      <w:r w:rsidRPr="00D4409B">
        <w:t>.</w:t>
      </w:r>
    </w:p>
  </w:footnote>
  <w:footnote w:id="27">
    <w:p w14:paraId="00AEA4F0" w14:textId="1649F3A0" w:rsidR="00ED1618" w:rsidRPr="00BC464C" w:rsidRDefault="00ED1618" w:rsidP="00ED1618">
      <w:pPr>
        <w:pStyle w:val="FootnoteText"/>
        <w:rPr>
          <w:lang w:val="es-ES"/>
        </w:rPr>
      </w:pPr>
      <w:r w:rsidRPr="00D4409B">
        <w:tab/>
      </w:r>
      <w:r w:rsidRPr="005F21F4">
        <w:rPr>
          <w:rStyle w:val="FootnoteReference"/>
        </w:rPr>
        <w:footnoteRef/>
      </w:r>
      <w:r w:rsidRPr="00D4409B">
        <w:tab/>
        <w:t xml:space="preserve">CCPR/C/NIC/CO/4, </w:t>
      </w:r>
      <w:proofErr w:type="spellStart"/>
      <w:r w:rsidRPr="00D4409B">
        <w:t>párr</w:t>
      </w:r>
      <w:proofErr w:type="spellEnd"/>
      <w:r w:rsidR="00EA4C2B" w:rsidRPr="00D4409B">
        <w:t xml:space="preserve">. </w:t>
      </w:r>
      <w:r w:rsidR="00EA4C2B" w:rsidRPr="00D4409B">
        <w:rPr>
          <w:lang w:val="es-ES"/>
        </w:rPr>
        <w:t>23, 27 y</w:t>
      </w:r>
      <w:r w:rsidRPr="00BC464C">
        <w:rPr>
          <w:lang w:val="es-ES"/>
        </w:rPr>
        <w:t xml:space="preserve"> 29</w:t>
      </w:r>
    </w:p>
  </w:footnote>
  <w:footnote w:id="28">
    <w:p w14:paraId="46FA2DCE" w14:textId="2E13FE6B"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r>
      <w:r w:rsidR="007D0817">
        <w:rPr>
          <w:lang w:val="es-ES"/>
        </w:rPr>
        <w:t>V</w:t>
      </w:r>
      <w:r w:rsidR="00D84A72">
        <w:rPr>
          <w:lang w:val="es-ES"/>
        </w:rPr>
        <w:t>éa</w:t>
      </w:r>
      <w:r w:rsidR="007D0817">
        <w:rPr>
          <w:lang w:val="es-ES"/>
        </w:rPr>
        <w:t>se m</w:t>
      </w:r>
      <w:r w:rsidRPr="00BC464C">
        <w:rPr>
          <w:lang w:val="es-ES"/>
        </w:rPr>
        <w:t>ensaje</w:t>
      </w:r>
      <w:r w:rsidR="007D0817">
        <w:rPr>
          <w:lang w:val="es-ES"/>
        </w:rPr>
        <w:t>s</w:t>
      </w:r>
      <w:r w:rsidRPr="00BC464C">
        <w:rPr>
          <w:lang w:val="es-ES"/>
        </w:rPr>
        <w:t xml:space="preserve"> del </w:t>
      </w:r>
      <w:proofErr w:type="gramStart"/>
      <w:r w:rsidRPr="00BC464C">
        <w:rPr>
          <w:lang w:val="es-ES"/>
        </w:rPr>
        <w:t>Presidente</w:t>
      </w:r>
      <w:proofErr w:type="gramEnd"/>
      <w:r w:rsidRPr="00BC464C">
        <w:rPr>
          <w:lang w:val="es-ES"/>
        </w:rPr>
        <w:t xml:space="preserve"> y la Vicepresidenta en el que dan detalles sobre su decisión de deportar a las 222 personas https://www.youtube.com/watch?v=-rVuOVm6nag, https://www.el19digital.com/articulos/ver/titulo:136812-mensaje-del-presidente-comandante-daniel-al-pueblo-nicaraguense-09-02-23</w:t>
      </w:r>
    </w:p>
  </w:footnote>
  <w:footnote w:id="29">
    <w:p w14:paraId="25929F5D" w14:textId="22CC183A" w:rsidR="00FA0F22" w:rsidRPr="00D4409B" w:rsidRDefault="007966FC">
      <w:pPr>
        <w:pStyle w:val="FootnoteText"/>
        <w:rPr>
          <w:lang w:val="es-ES"/>
        </w:rPr>
      </w:pPr>
      <w:r w:rsidRPr="00D4409B">
        <w:rPr>
          <w:lang w:val="es-ES"/>
        </w:rPr>
        <w:tab/>
      </w:r>
      <w:r w:rsidR="00FA0F22">
        <w:rPr>
          <w:rStyle w:val="FootnoteReference"/>
        </w:rPr>
        <w:footnoteRef/>
      </w:r>
      <w:r w:rsidR="00221E3A" w:rsidRPr="00D4409B">
        <w:rPr>
          <w:lang w:val="es-ES"/>
        </w:rPr>
        <w:t xml:space="preserve"> </w:t>
      </w:r>
      <w:r w:rsidRPr="00D4409B">
        <w:rPr>
          <w:lang w:val="es-ES"/>
        </w:rPr>
        <w:tab/>
      </w:r>
      <w:r w:rsidR="00221E3A" w:rsidRPr="00D4409B">
        <w:rPr>
          <w:lang w:val="es-ES"/>
        </w:rPr>
        <w:t>V</w:t>
      </w:r>
      <w:r w:rsidR="00D84A72" w:rsidRPr="00D4409B">
        <w:rPr>
          <w:lang w:val="es-ES"/>
        </w:rPr>
        <w:t>éa</w:t>
      </w:r>
      <w:r w:rsidR="00221E3A" w:rsidRPr="00D4409B">
        <w:rPr>
          <w:lang w:val="es-ES"/>
        </w:rPr>
        <w:t xml:space="preserve">se: https://www.poderjudicial.gob.ni/prensa/notas_prensa_detalle.asp?id_noticia=12261 </w:t>
      </w:r>
      <w:r w:rsidR="00D84A72" w:rsidRPr="00D4409B">
        <w:rPr>
          <w:lang w:val="es-ES"/>
        </w:rPr>
        <w:t>y</w:t>
      </w:r>
      <w:r w:rsidR="00221E3A" w:rsidRPr="00D4409B">
        <w:rPr>
          <w:lang w:val="es-ES"/>
        </w:rPr>
        <w:t xml:space="preserve"> https://www.youtube.com/watch?v=fWHLqIJbWQA</w:t>
      </w:r>
    </w:p>
  </w:footnote>
  <w:footnote w:id="30">
    <w:p w14:paraId="06BC0E88" w14:textId="1B78878F" w:rsidR="00ED1618" w:rsidRDefault="00ED1618" w:rsidP="00ED1618">
      <w:pPr>
        <w:pStyle w:val="FootnoteText"/>
        <w:rPr>
          <w:lang w:val="es-ES"/>
        </w:rPr>
      </w:pPr>
      <w:r w:rsidRPr="00A42FB8">
        <w:rPr>
          <w:lang w:val="es-ES"/>
        </w:rPr>
        <w:tab/>
      </w:r>
      <w:r w:rsidRPr="005F21F4">
        <w:rPr>
          <w:rStyle w:val="FootnoteReference"/>
        </w:rPr>
        <w:footnoteRef/>
      </w:r>
      <w:r w:rsidRPr="00EA7E0A">
        <w:rPr>
          <w:lang w:val="es-ES"/>
        </w:rPr>
        <w:tab/>
        <w:t>A/HRC/51/42, párr. 45-46</w:t>
      </w:r>
    </w:p>
  </w:footnote>
  <w:footnote w:id="31">
    <w:p w14:paraId="77863C6A" w14:textId="79F5436D" w:rsidR="00ED1618" w:rsidRDefault="00ED1618" w:rsidP="00ED1618">
      <w:pPr>
        <w:pStyle w:val="FootnoteText"/>
        <w:rPr>
          <w:lang w:val="es-ES"/>
        </w:rPr>
      </w:pPr>
      <w:r w:rsidRPr="00EA7E0A">
        <w:rPr>
          <w:lang w:val="es-ES"/>
        </w:rPr>
        <w:tab/>
      </w:r>
      <w:r w:rsidRPr="005F21F4">
        <w:rPr>
          <w:rStyle w:val="FootnoteReference"/>
        </w:rPr>
        <w:footnoteRef/>
      </w:r>
      <w:r w:rsidRPr="00EA7E0A">
        <w:rPr>
          <w:lang w:val="es-ES"/>
        </w:rPr>
        <w:tab/>
        <w:t>https://noticias.asamblea.gob.ni/asamblea-nacional-aprueba-ley-de-reforma-al-articulo-21-de-la-constitucion-politica-de-la-republica-de-nicaragua/</w:t>
      </w:r>
    </w:p>
  </w:footnote>
  <w:footnote w:id="32">
    <w:p w14:paraId="73C89382" w14:textId="5128B292" w:rsidR="00ED1618" w:rsidRPr="00BC464C" w:rsidRDefault="00ED1618" w:rsidP="00ED1618">
      <w:pPr>
        <w:pStyle w:val="FootnoteText"/>
        <w:rPr>
          <w:lang w:val="es-ES"/>
        </w:rPr>
      </w:pPr>
      <w:r w:rsidRPr="00EA7E0A">
        <w:rPr>
          <w:lang w:val="es-ES"/>
        </w:rPr>
        <w:tab/>
      </w:r>
      <w:r w:rsidRPr="005F21F4">
        <w:rPr>
          <w:rStyle w:val="FootnoteReference"/>
        </w:rPr>
        <w:footnoteRef/>
      </w:r>
      <w:r w:rsidRPr="00BC464C">
        <w:rPr>
          <w:lang w:val="es-ES"/>
        </w:rPr>
        <w:tab/>
        <w:t>Según el artículo 192 de la Constitución, las reformas deben debatirse a lo largo de dos legislaturas.</w:t>
      </w:r>
    </w:p>
  </w:footnote>
  <w:footnote w:id="33">
    <w:p w14:paraId="70CFDCBB" w14:textId="2BF02802" w:rsidR="00ED1618" w:rsidRDefault="00ED1618" w:rsidP="00ED1618">
      <w:pPr>
        <w:pStyle w:val="FootnoteText"/>
        <w:rPr>
          <w:lang w:val="es-ES"/>
        </w:rPr>
      </w:pPr>
      <w:r w:rsidRPr="00BC464C">
        <w:rPr>
          <w:lang w:val="es-ES"/>
        </w:rPr>
        <w:tab/>
      </w:r>
      <w:r w:rsidRPr="005F21F4">
        <w:rPr>
          <w:rStyle w:val="FootnoteReference"/>
        </w:rPr>
        <w:footnoteRef/>
      </w:r>
      <w:r w:rsidRPr="00EA7E0A">
        <w:rPr>
          <w:lang w:val="es-ES"/>
        </w:rPr>
        <w:tab/>
      </w:r>
      <w:r w:rsidR="007C15D0">
        <w:rPr>
          <w:lang w:val="es-ES"/>
        </w:rPr>
        <w:t xml:space="preserve">Véase: </w:t>
      </w:r>
      <w:r w:rsidRPr="00EA7E0A">
        <w:rPr>
          <w:lang w:val="es-ES"/>
        </w:rPr>
        <w:t>el19digital.com/articulos/ver/titulo:137001-94-acusados-de-traidores-a-la-patria-pierden-nacionalidad-nicaraguense</w:t>
      </w:r>
    </w:p>
  </w:footnote>
  <w:footnote w:id="34">
    <w:p w14:paraId="7153F189" w14:textId="2F786C6A" w:rsidR="00ED1618" w:rsidRDefault="00ED1618" w:rsidP="00ED1618">
      <w:pPr>
        <w:pStyle w:val="FootnoteText"/>
        <w:rPr>
          <w:lang w:val="fr-FR"/>
        </w:rPr>
      </w:pPr>
      <w:r w:rsidRPr="00EA7E0A">
        <w:rPr>
          <w:lang w:val="es-ES"/>
        </w:rPr>
        <w:tab/>
      </w:r>
      <w:r w:rsidRPr="005F21F4">
        <w:rPr>
          <w:rStyle w:val="FootnoteReference"/>
        </w:rPr>
        <w:footnoteRef/>
      </w:r>
      <w:r w:rsidRPr="00EA7E0A">
        <w:rPr>
          <w:lang w:val="fr-FR"/>
        </w:rPr>
        <w:tab/>
        <w:t>CCPR/C/21/Rev.1/Add.9, par. 21</w:t>
      </w:r>
    </w:p>
  </w:footnote>
  <w:footnote w:id="35">
    <w:p w14:paraId="3C65FB7F" w14:textId="39E3E338" w:rsidR="00ED1618" w:rsidRPr="00BC464C" w:rsidRDefault="00ED1618" w:rsidP="00ED1618">
      <w:pPr>
        <w:pStyle w:val="FootnoteText"/>
        <w:rPr>
          <w:lang w:val="es-ES"/>
        </w:rPr>
      </w:pPr>
      <w:r w:rsidRPr="00EA7E0A">
        <w:rPr>
          <w:lang w:val="fr-FR"/>
        </w:rPr>
        <w:tab/>
      </w:r>
      <w:r w:rsidRPr="005F21F4">
        <w:rPr>
          <w:rStyle w:val="FootnoteReference"/>
        </w:rPr>
        <w:footnoteRef/>
      </w:r>
      <w:r w:rsidRPr="00BC464C">
        <w:rPr>
          <w:lang w:val="es-ES"/>
        </w:rPr>
        <w:tab/>
        <w:t>El Grupo de Trabajo sobre Desapariciones Forzadas o Involuntarias ha reconocido esta conexión desde sus informes iniciales en 1981 (E/CN.4/1435, par. 184).</w:t>
      </w:r>
    </w:p>
  </w:footnote>
  <w:footnote w:id="36">
    <w:p w14:paraId="2F6E122D" w14:textId="2E037B77" w:rsidR="00ED1618" w:rsidRPr="00D4409B" w:rsidRDefault="00ED1618" w:rsidP="00ED1618">
      <w:pPr>
        <w:pStyle w:val="FootnoteText"/>
        <w:rPr>
          <w:lang w:val="fr-FR"/>
        </w:rPr>
      </w:pPr>
      <w:r w:rsidRPr="00BC464C">
        <w:rPr>
          <w:lang w:val="es-ES"/>
        </w:rPr>
        <w:tab/>
      </w:r>
      <w:r w:rsidRPr="005F21F4">
        <w:rPr>
          <w:rStyle w:val="FootnoteReference"/>
        </w:rPr>
        <w:footnoteRef/>
      </w:r>
      <w:r w:rsidRPr="00D4409B">
        <w:rPr>
          <w:lang w:val="fr-FR"/>
        </w:rPr>
        <w:tab/>
      </w:r>
      <w:proofErr w:type="spellStart"/>
      <w:proofErr w:type="gramStart"/>
      <w:r w:rsidR="004334C6" w:rsidRPr="00D4409B">
        <w:rPr>
          <w:lang w:val="fr-FR"/>
        </w:rPr>
        <w:t>V</w:t>
      </w:r>
      <w:r w:rsidR="006F7117" w:rsidRPr="00D4409B">
        <w:rPr>
          <w:lang w:val="fr-FR"/>
        </w:rPr>
        <w:t>é</w:t>
      </w:r>
      <w:r w:rsidR="006F7117">
        <w:rPr>
          <w:lang w:val="fr-FR"/>
        </w:rPr>
        <w:t>a</w:t>
      </w:r>
      <w:r w:rsidR="004334C6" w:rsidRPr="00D4409B">
        <w:rPr>
          <w:lang w:val="fr-FR"/>
        </w:rPr>
        <w:t>se</w:t>
      </w:r>
      <w:proofErr w:type="spellEnd"/>
      <w:r w:rsidR="004334C6" w:rsidRPr="00D4409B">
        <w:rPr>
          <w:lang w:val="fr-FR"/>
        </w:rPr>
        <w:t>:</w:t>
      </w:r>
      <w:proofErr w:type="gramEnd"/>
      <w:r w:rsidR="004334C6" w:rsidRPr="00D4409B">
        <w:rPr>
          <w:lang w:val="fr-FR"/>
        </w:rPr>
        <w:t xml:space="preserve"> </w:t>
      </w:r>
      <w:r w:rsidRPr="00D4409B">
        <w:rPr>
          <w:lang w:val="fr-FR"/>
        </w:rPr>
        <w:t>https://www.el19digital.com/articulos/ver/titulo:137461-nota-de-prensa-de-la-procuraduria-general-de</w:t>
      </w:r>
    </w:p>
  </w:footnote>
  <w:footnote w:id="37">
    <w:p w14:paraId="2CBC166D" w14:textId="56A45D2B" w:rsidR="00ED1618" w:rsidRPr="00D4409B" w:rsidRDefault="00ED1618" w:rsidP="00ED1618">
      <w:pPr>
        <w:pStyle w:val="FootnoteText"/>
      </w:pPr>
      <w:r w:rsidRPr="00D4409B">
        <w:rPr>
          <w:lang w:val="fr-FR"/>
        </w:rPr>
        <w:tab/>
      </w:r>
      <w:r w:rsidRPr="005F21F4">
        <w:rPr>
          <w:rStyle w:val="FootnoteReference"/>
        </w:rPr>
        <w:footnoteRef/>
      </w:r>
      <w:r w:rsidRPr="00BC464C">
        <w:rPr>
          <w:lang w:val="es-ES"/>
        </w:rPr>
        <w:tab/>
        <w:t xml:space="preserve">Véase también CCPR/C/NIC/CO/4, párr. </w:t>
      </w:r>
      <w:r w:rsidRPr="00D4409B">
        <w:t>21-24</w:t>
      </w:r>
    </w:p>
  </w:footnote>
  <w:footnote w:id="38">
    <w:p w14:paraId="46B5116A" w14:textId="1476BC52" w:rsidR="00ED1618" w:rsidRPr="00D4409B" w:rsidRDefault="00ED1618" w:rsidP="00ED1618">
      <w:pPr>
        <w:pStyle w:val="FootnoteText"/>
      </w:pPr>
      <w:r w:rsidRPr="00D4409B">
        <w:tab/>
      </w:r>
      <w:r w:rsidRPr="005F21F4">
        <w:rPr>
          <w:rStyle w:val="FootnoteReference"/>
        </w:rPr>
        <w:footnoteRef/>
      </w:r>
      <w:r w:rsidRPr="00D4409B">
        <w:tab/>
        <w:t>A/HRC/43/49, p</w:t>
      </w:r>
      <w:r w:rsidR="004334C6" w:rsidRPr="00D4409B">
        <w:t>a</w:t>
      </w:r>
      <w:r w:rsidRPr="00D4409B">
        <w:t>rr 49.</w:t>
      </w:r>
    </w:p>
  </w:footnote>
  <w:footnote w:id="39">
    <w:p w14:paraId="2B69E3BB" w14:textId="5ED3802C" w:rsidR="00ED1618" w:rsidRPr="00D6015F" w:rsidRDefault="00ED1618" w:rsidP="00ED1618">
      <w:pPr>
        <w:pStyle w:val="FootnoteText"/>
        <w:rPr>
          <w:lang w:val="es-ES"/>
        </w:rPr>
      </w:pPr>
      <w:r w:rsidRPr="00D4409B">
        <w:tab/>
      </w:r>
      <w:r w:rsidRPr="005F21F4">
        <w:rPr>
          <w:rStyle w:val="FootnoteReference"/>
        </w:rPr>
        <w:footnoteRef/>
      </w:r>
      <w:r w:rsidRPr="00D4409B">
        <w:tab/>
        <w:t xml:space="preserve">CAT/C/51/4, </w:t>
      </w:r>
      <w:proofErr w:type="spellStart"/>
      <w:r w:rsidRPr="00D4409B">
        <w:t>párr</w:t>
      </w:r>
      <w:proofErr w:type="spellEnd"/>
      <w:r w:rsidRPr="00D4409B">
        <w:t xml:space="preserve">. </w:t>
      </w:r>
      <w:r w:rsidRPr="00EA7E0A">
        <w:rPr>
          <w:lang w:val="es-ES"/>
        </w:rPr>
        <w:t xml:space="preserve">32. Véase también A/HRC/43/49, párr. </w:t>
      </w:r>
      <w:r w:rsidRPr="00D6015F">
        <w:rPr>
          <w:lang w:val="es-ES"/>
        </w:rPr>
        <w:t>57; A/66/268, párr. 26; Norma de Mandela 43(1)(b).</w:t>
      </w:r>
    </w:p>
  </w:footnote>
  <w:footnote w:id="40">
    <w:p w14:paraId="185236B5" w14:textId="2A235F98" w:rsidR="00ED1618" w:rsidRPr="00BC464C" w:rsidRDefault="00ED1618" w:rsidP="00ED1618">
      <w:pPr>
        <w:pStyle w:val="FootnoteText"/>
        <w:rPr>
          <w:lang w:val="es-ES"/>
        </w:rPr>
      </w:pPr>
      <w:r w:rsidRPr="00D6015F">
        <w:rPr>
          <w:lang w:val="es-ES"/>
        </w:rPr>
        <w:tab/>
      </w:r>
      <w:r w:rsidRPr="005F21F4">
        <w:rPr>
          <w:rStyle w:val="FootnoteReference"/>
        </w:rPr>
        <w:footnoteRef/>
      </w:r>
      <w:r w:rsidRPr="00D6015F">
        <w:rPr>
          <w:lang w:val="es-ES"/>
        </w:rPr>
        <w:tab/>
      </w:r>
      <w:r w:rsidR="00DC0B8F">
        <w:rPr>
          <w:lang w:val="es-ES"/>
        </w:rPr>
        <w:t xml:space="preserve">Véase, por ejemplo: </w:t>
      </w:r>
      <w:r w:rsidRPr="00D6015F">
        <w:rPr>
          <w:lang w:val="es-ES"/>
        </w:rPr>
        <w:t xml:space="preserve">A/HRC/13/42, párr. </w:t>
      </w:r>
      <w:r w:rsidRPr="00EA7E0A">
        <w:rPr>
          <w:lang w:val="es-ES"/>
        </w:rPr>
        <w:t xml:space="preserve">28 y 32; CCPR/C/51/D/458/1991, anexo, párr. 9.4; y CCPR/C/61/D/577/1994, párr. </w:t>
      </w:r>
      <w:r w:rsidRPr="00BC464C">
        <w:rPr>
          <w:lang w:val="es-ES"/>
        </w:rPr>
        <w:t>8.4</w:t>
      </w:r>
    </w:p>
  </w:footnote>
  <w:footnote w:id="41">
    <w:p w14:paraId="250972F4" w14:textId="1E7EAD6D" w:rsidR="00ED1618" w:rsidRPr="00BC464C" w:rsidRDefault="00ED1618" w:rsidP="00ED1618">
      <w:pPr>
        <w:pStyle w:val="FootnoteText"/>
        <w:rPr>
          <w:lang w:val="es-ES"/>
        </w:rPr>
      </w:pPr>
      <w:r w:rsidRPr="00BC464C">
        <w:rPr>
          <w:lang w:val="es-ES"/>
        </w:rPr>
        <w:tab/>
      </w:r>
      <w:r w:rsidRPr="005F21F4">
        <w:rPr>
          <w:rStyle w:val="FootnoteReference"/>
        </w:rPr>
        <w:footnoteRef/>
      </w:r>
      <w:r w:rsidRPr="00D4409B">
        <w:tab/>
        <w:t xml:space="preserve">CCPR/C/NIC/CO/4, </w:t>
      </w:r>
      <w:proofErr w:type="spellStart"/>
      <w:r w:rsidRPr="00D4409B">
        <w:t>párr</w:t>
      </w:r>
      <w:proofErr w:type="spellEnd"/>
      <w:r w:rsidRPr="00D4409B">
        <w:t xml:space="preserve">. </w:t>
      </w:r>
      <w:r w:rsidRPr="00BC464C">
        <w:rPr>
          <w:lang w:val="es-ES"/>
        </w:rPr>
        <w:t>23</w:t>
      </w:r>
    </w:p>
  </w:footnote>
  <w:footnote w:id="42">
    <w:p w14:paraId="768BD321" w14:textId="54538AAE" w:rsidR="00ED1618" w:rsidRPr="00BC464C" w:rsidRDefault="00ED1618" w:rsidP="00ED1618">
      <w:pPr>
        <w:pStyle w:val="FootnoteText"/>
        <w:rPr>
          <w:lang w:val="es-ES"/>
        </w:rPr>
      </w:pPr>
      <w:r w:rsidRPr="00BC464C">
        <w:rPr>
          <w:lang w:val="es-ES"/>
        </w:rPr>
        <w:tab/>
      </w:r>
      <w:r w:rsidRPr="005F21F4">
        <w:rPr>
          <w:rStyle w:val="FootnoteReference"/>
        </w:rPr>
        <w:footnoteRef/>
      </w:r>
      <w:r w:rsidRPr="00EA0F15">
        <w:rPr>
          <w:lang w:val="es-ES"/>
        </w:rPr>
        <w:tab/>
      </w:r>
      <w:r w:rsidR="00EA0F15" w:rsidRPr="00EA0F15">
        <w:rPr>
          <w:lang w:val="es-ES"/>
        </w:rPr>
        <w:t xml:space="preserve">Comité de </w:t>
      </w:r>
      <w:r w:rsidR="00EA0F15" w:rsidRPr="00D4409B">
        <w:rPr>
          <w:lang w:val="es-ES"/>
        </w:rPr>
        <w:t>Derechos Humanos, Observa</w:t>
      </w:r>
      <w:r w:rsidR="00EA0F15">
        <w:rPr>
          <w:lang w:val="es-ES"/>
        </w:rPr>
        <w:t xml:space="preserve">ción General </w:t>
      </w:r>
      <w:proofErr w:type="spellStart"/>
      <w:r w:rsidR="00EA0F15">
        <w:rPr>
          <w:lang w:val="es-ES"/>
        </w:rPr>
        <w:t>Nº</w:t>
      </w:r>
      <w:proofErr w:type="spellEnd"/>
      <w:r w:rsidR="00EA0F15">
        <w:rPr>
          <w:lang w:val="es-ES"/>
        </w:rPr>
        <w:t xml:space="preserve"> 36</w:t>
      </w:r>
      <w:r w:rsidRPr="00EA0F15">
        <w:rPr>
          <w:lang w:val="es-ES"/>
        </w:rPr>
        <w:t xml:space="preserve">, párr. </w:t>
      </w:r>
      <w:r w:rsidRPr="00BC464C">
        <w:rPr>
          <w:lang w:val="es-ES"/>
        </w:rPr>
        <w:t>25</w:t>
      </w:r>
    </w:p>
  </w:footnote>
  <w:footnote w:id="43">
    <w:p w14:paraId="1CC7B711" w14:textId="1B582F2D" w:rsidR="00ED1618" w:rsidRPr="005E5C62" w:rsidRDefault="00ED1618" w:rsidP="00ED1618">
      <w:pPr>
        <w:pStyle w:val="FootnoteText"/>
      </w:pPr>
      <w:r w:rsidRPr="00BC464C">
        <w:rPr>
          <w:lang w:val="es-ES"/>
        </w:rPr>
        <w:tab/>
      </w:r>
      <w:r w:rsidRPr="005F21F4">
        <w:rPr>
          <w:rStyle w:val="FootnoteReference"/>
        </w:rPr>
        <w:footnoteRef/>
      </w:r>
      <w:r w:rsidRPr="005E5C62">
        <w:tab/>
        <w:t xml:space="preserve">A/HRC/43/49, </w:t>
      </w:r>
      <w:proofErr w:type="spellStart"/>
      <w:r w:rsidR="004334C6" w:rsidRPr="005E5C62">
        <w:t>párr</w:t>
      </w:r>
      <w:proofErr w:type="spellEnd"/>
      <w:r w:rsidR="004334C6" w:rsidRPr="005E5C62">
        <w:t xml:space="preserve">. </w:t>
      </w:r>
      <w:r w:rsidRPr="005E5C62">
        <w:t xml:space="preserve"> 47.</w:t>
      </w:r>
    </w:p>
  </w:footnote>
  <w:footnote w:id="44">
    <w:p w14:paraId="0EEBD66E" w14:textId="21169B14" w:rsidR="00ED1618" w:rsidRPr="00F60AB4" w:rsidRDefault="00ED1618" w:rsidP="00ED1618">
      <w:pPr>
        <w:pStyle w:val="FootnoteText"/>
        <w:rPr>
          <w:lang w:val="es-ES"/>
        </w:rPr>
      </w:pPr>
      <w:r w:rsidRPr="005E5C62">
        <w:tab/>
      </w:r>
      <w:r w:rsidRPr="005F21F4">
        <w:rPr>
          <w:rStyle w:val="FootnoteReference"/>
        </w:rPr>
        <w:footnoteRef/>
      </w:r>
      <w:r w:rsidRPr="00D4409B">
        <w:tab/>
        <w:t xml:space="preserve">CCPR/C/NIC/CO/4, </w:t>
      </w:r>
      <w:proofErr w:type="spellStart"/>
      <w:r w:rsidRPr="00D4409B">
        <w:t>párr</w:t>
      </w:r>
      <w:proofErr w:type="spellEnd"/>
      <w:r w:rsidR="00EA0F15" w:rsidRPr="00D4409B">
        <w:t>.</w:t>
      </w:r>
      <w:r w:rsidRPr="00D4409B">
        <w:t xml:space="preserve"> </w:t>
      </w:r>
      <w:r w:rsidRPr="00F60AB4">
        <w:rPr>
          <w:lang w:val="es-ES"/>
        </w:rPr>
        <w:t>23.</w:t>
      </w:r>
    </w:p>
  </w:footnote>
  <w:footnote w:id="45">
    <w:p w14:paraId="088DFF59" w14:textId="18B07712" w:rsidR="00ED1618" w:rsidRPr="00BC464C" w:rsidRDefault="00ED1618" w:rsidP="00ED1618">
      <w:pPr>
        <w:pStyle w:val="FootnoteText"/>
        <w:rPr>
          <w:lang w:val="es-ES"/>
        </w:rPr>
      </w:pPr>
      <w:r w:rsidRPr="00F60AB4">
        <w:rPr>
          <w:lang w:val="es-ES"/>
        </w:rPr>
        <w:tab/>
      </w:r>
      <w:r w:rsidRPr="005F21F4">
        <w:rPr>
          <w:rStyle w:val="FootnoteReference"/>
        </w:rPr>
        <w:footnoteRef/>
      </w:r>
      <w:r w:rsidRPr="00BC464C">
        <w:rPr>
          <w:lang w:val="es-ES"/>
        </w:rPr>
        <w:tab/>
        <w:t>Comité de los Derechos del Niño, "Informe y recomendaciones del día de debate general sobre los hijos de padres encarcelados", párr. 35, 38-40 y 46</w:t>
      </w:r>
      <w:r w:rsidR="003D521C">
        <w:rPr>
          <w:lang w:val="es-ES"/>
        </w:rPr>
        <w:t>.</w:t>
      </w:r>
      <w:r w:rsidRPr="00BC464C">
        <w:rPr>
          <w:lang w:val="es-ES"/>
        </w:rPr>
        <w:t>f</w:t>
      </w:r>
    </w:p>
  </w:footnote>
  <w:footnote w:id="46">
    <w:p w14:paraId="4A89B473" w14:textId="759C5982" w:rsidR="00ED1618" w:rsidRPr="00D4409B" w:rsidRDefault="00ED1618" w:rsidP="00ED1618">
      <w:pPr>
        <w:pStyle w:val="FootnoteText"/>
        <w:rPr>
          <w:lang w:val="fr-FR"/>
        </w:rPr>
      </w:pPr>
      <w:r w:rsidRPr="00BC464C">
        <w:rPr>
          <w:lang w:val="es-ES"/>
        </w:rPr>
        <w:tab/>
      </w:r>
      <w:r w:rsidRPr="005F21F4">
        <w:rPr>
          <w:rStyle w:val="FootnoteReference"/>
        </w:rPr>
        <w:footnoteRef/>
      </w:r>
      <w:r w:rsidRPr="00D4409B">
        <w:tab/>
        <w:t xml:space="preserve">E/C.12/NIC/CO/5, </w:t>
      </w:r>
      <w:proofErr w:type="spellStart"/>
      <w:r w:rsidRPr="00D4409B">
        <w:t>párr</w:t>
      </w:r>
      <w:proofErr w:type="spellEnd"/>
      <w:r w:rsidRPr="00D4409B">
        <w:t xml:space="preserve">. </w:t>
      </w:r>
      <w:r w:rsidRPr="00D4409B">
        <w:rPr>
          <w:lang w:val="fr-FR"/>
        </w:rPr>
        <w:t>11</w:t>
      </w:r>
    </w:p>
  </w:footnote>
  <w:footnote w:id="47">
    <w:p w14:paraId="1FDC85AF" w14:textId="36AB677C" w:rsidR="00ED1618" w:rsidRPr="00D4409B" w:rsidRDefault="00ED1618" w:rsidP="00ED1618">
      <w:pPr>
        <w:pStyle w:val="FootnoteText"/>
        <w:rPr>
          <w:lang w:val="fr-FR"/>
        </w:rPr>
      </w:pPr>
      <w:r w:rsidRPr="00D4409B">
        <w:rPr>
          <w:lang w:val="fr-FR"/>
        </w:rPr>
        <w:tab/>
      </w:r>
      <w:r w:rsidRPr="005F21F4">
        <w:rPr>
          <w:rStyle w:val="FootnoteReference"/>
        </w:rPr>
        <w:footnoteRef/>
      </w:r>
      <w:r w:rsidRPr="00D4409B">
        <w:rPr>
          <w:lang w:val="fr-FR"/>
        </w:rPr>
        <w:tab/>
      </w:r>
      <w:proofErr w:type="spellStart"/>
      <w:proofErr w:type="gramStart"/>
      <w:r w:rsidR="008D0773" w:rsidRPr="00D4409B">
        <w:rPr>
          <w:lang w:val="fr-FR"/>
        </w:rPr>
        <w:t>V</w:t>
      </w:r>
      <w:r w:rsidR="003D521C" w:rsidRPr="00D4409B">
        <w:rPr>
          <w:lang w:val="fr-FR"/>
        </w:rPr>
        <w:t>éase</w:t>
      </w:r>
      <w:proofErr w:type="spellEnd"/>
      <w:r w:rsidR="008D0773" w:rsidRPr="00D4409B">
        <w:rPr>
          <w:lang w:val="fr-FR"/>
        </w:rPr>
        <w:t>:</w:t>
      </w:r>
      <w:proofErr w:type="gramEnd"/>
      <w:r w:rsidR="008D0773" w:rsidRPr="00D4409B">
        <w:rPr>
          <w:lang w:val="fr-FR"/>
        </w:rPr>
        <w:t xml:space="preserve"> </w:t>
      </w:r>
      <w:r w:rsidRPr="00D4409B">
        <w:rPr>
          <w:lang w:val="fr-FR"/>
        </w:rPr>
        <w:t>https://www.globalforestwatch.org/dashboards/country/NIC/</w:t>
      </w:r>
    </w:p>
  </w:footnote>
  <w:footnote w:id="48">
    <w:p w14:paraId="6A013F3F" w14:textId="70F12854" w:rsidR="00ED1618" w:rsidRDefault="00ED1618" w:rsidP="00ED1618">
      <w:pPr>
        <w:pStyle w:val="FootnoteText"/>
        <w:rPr>
          <w:lang w:val="es-ES"/>
        </w:rPr>
      </w:pPr>
      <w:r w:rsidRPr="00D4409B">
        <w:rPr>
          <w:lang w:val="fr-FR"/>
        </w:rPr>
        <w:tab/>
      </w:r>
      <w:r w:rsidRPr="005F21F4">
        <w:rPr>
          <w:rStyle w:val="FootnoteReference"/>
        </w:rPr>
        <w:footnoteRef/>
      </w:r>
      <w:r w:rsidRPr="00EA7E0A">
        <w:rPr>
          <w:lang w:val="es-BO"/>
        </w:rPr>
        <w:tab/>
        <w:t xml:space="preserve">Fundación del Río, Informe "Nicaragua y su oro perverso", </w:t>
      </w:r>
      <w:r w:rsidRPr="00EA7E0A">
        <w:rPr>
          <w:lang w:val="es-ES"/>
        </w:rPr>
        <w:t>14 de julio de 2022, página 4.</w:t>
      </w:r>
    </w:p>
  </w:footnote>
  <w:footnote w:id="49">
    <w:p w14:paraId="7EB1B12D" w14:textId="0E782FD7" w:rsidR="00074AE8" w:rsidRDefault="00074AE8" w:rsidP="00074AE8">
      <w:pPr>
        <w:pStyle w:val="FootnoteText"/>
        <w:rPr>
          <w:lang w:val="es-ES"/>
        </w:rPr>
      </w:pPr>
      <w:r>
        <w:rPr>
          <w:lang w:val="es-ES"/>
        </w:rPr>
        <w:tab/>
      </w:r>
      <w:r w:rsidRPr="005F21F4">
        <w:rPr>
          <w:rStyle w:val="FootnoteReference"/>
        </w:rPr>
        <w:footnoteRef/>
      </w:r>
      <w:r>
        <w:rPr>
          <w:lang w:val="es-ES"/>
        </w:rPr>
        <w:tab/>
      </w:r>
      <w:proofErr w:type="spellStart"/>
      <w:r w:rsidRPr="00EA7E0A">
        <w:rPr>
          <w:lang w:val="es-ES"/>
        </w:rPr>
        <w:t>Ibid</w:t>
      </w:r>
      <w:proofErr w:type="spellEnd"/>
      <w:r w:rsidRPr="00EA7E0A">
        <w:rPr>
          <w:lang w:val="es-ES"/>
        </w:rPr>
        <w:t xml:space="preserve">, página </w:t>
      </w:r>
      <w:r>
        <w:rPr>
          <w:lang w:val="es-ES"/>
        </w:rPr>
        <w:t>7</w:t>
      </w:r>
    </w:p>
  </w:footnote>
  <w:footnote w:id="50">
    <w:p w14:paraId="6CB77C54" w14:textId="2FA7404B" w:rsidR="00ED1618" w:rsidRDefault="00ED1618" w:rsidP="00ED1618">
      <w:pPr>
        <w:pStyle w:val="FootnoteText"/>
        <w:rPr>
          <w:lang w:val="es-ES"/>
        </w:rPr>
      </w:pPr>
      <w:r w:rsidRPr="00EA7E0A">
        <w:rPr>
          <w:lang w:val="es-ES"/>
        </w:rPr>
        <w:tab/>
      </w:r>
      <w:r w:rsidRPr="005F21F4">
        <w:rPr>
          <w:rStyle w:val="FootnoteReference"/>
        </w:rPr>
        <w:footnoteRef/>
      </w:r>
      <w:r w:rsidRPr="00EA7E0A">
        <w:rPr>
          <w:lang w:val="es-ES"/>
        </w:rPr>
        <w:tab/>
        <w:t>Ibid</w:t>
      </w:r>
      <w:r w:rsidR="00592D43">
        <w:rPr>
          <w:lang w:val="es-ES"/>
        </w:rPr>
        <w:t>.</w:t>
      </w:r>
      <w:r w:rsidRPr="00EA7E0A">
        <w:rPr>
          <w:lang w:val="es-ES"/>
        </w:rPr>
        <w:t xml:space="preserve"> </w:t>
      </w:r>
    </w:p>
  </w:footnote>
  <w:footnote w:id="51">
    <w:p w14:paraId="56299D19" w14:textId="3E5A5357" w:rsidR="00ED1618" w:rsidRPr="00A42FB8" w:rsidRDefault="00ED1618" w:rsidP="00ED1618">
      <w:pPr>
        <w:pStyle w:val="FootnoteText"/>
        <w:rPr>
          <w:lang w:val="es-ES"/>
        </w:rPr>
      </w:pPr>
      <w:r w:rsidRPr="00EA7E0A">
        <w:rPr>
          <w:lang w:val="es-ES"/>
        </w:rPr>
        <w:tab/>
      </w:r>
      <w:r w:rsidRPr="005F21F4">
        <w:rPr>
          <w:rStyle w:val="FootnoteReference"/>
        </w:rPr>
        <w:footnoteRef/>
      </w:r>
      <w:r w:rsidRPr="00A42FB8">
        <w:rPr>
          <w:lang w:val="es-ES"/>
        </w:rPr>
        <w:tab/>
      </w:r>
      <w:r w:rsidR="00E73AAA" w:rsidRPr="00A42FB8">
        <w:rPr>
          <w:lang w:val="es-ES"/>
        </w:rPr>
        <w:t>V</w:t>
      </w:r>
      <w:r w:rsidR="00AF0034" w:rsidRPr="00A42FB8">
        <w:rPr>
          <w:lang w:val="es-ES"/>
        </w:rPr>
        <w:t>éase</w:t>
      </w:r>
      <w:r w:rsidR="00E73AAA" w:rsidRPr="00A42FB8">
        <w:rPr>
          <w:lang w:val="es-ES"/>
        </w:rPr>
        <w:t xml:space="preserve">: </w:t>
      </w:r>
      <w:r w:rsidRPr="00A42FB8">
        <w:rPr>
          <w:lang w:val="es-ES"/>
        </w:rPr>
        <w:t>https://www.policia.gob.ni/?p=98650</w:t>
      </w:r>
    </w:p>
  </w:footnote>
  <w:footnote w:id="52">
    <w:p w14:paraId="157CA838" w14:textId="6FE34930" w:rsidR="00ED1618" w:rsidRPr="00D4409B" w:rsidRDefault="00ED1618" w:rsidP="00ED1618">
      <w:pPr>
        <w:pStyle w:val="FootnoteText"/>
        <w:rPr>
          <w:lang w:val="fr-FR"/>
        </w:rPr>
      </w:pPr>
      <w:r w:rsidRPr="00A42FB8">
        <w:rPr>
          <w:lang w:val="es-ES"/>
        </w:rPr>
        <w:tab/>
      </w:r>
      <w:r w:rsidRPr="005F21F4">
        <w:rPr>
          <w:rStyle w:val="FootnoteReference"/>
        </w:rPr>
        <w:footnoteRef/>
      </w:r>
      <w:r w:rsidRPr="00D4409B">
        <w:rPr>
          <w:lang w:val="fr-FR"/>
        </w:rPr>
        <w:tab/>
      </w:r>
      <w:proofErr w:type="spellStart"/>
      <w:proofErr w:type="gramStart"/>
      <w:r w:rsidR="009271E6" w:rsidRPr="00D4409B">
        <w:rPr>
          <w:lang w:val="fr-FR"/>
        </w:rPr>
        <w:t>V</w:t>
      </w:r>
      <w:r w:rsidR="00AF0034" w:rsidRPr="00D4409B">
        <w:rPr>
          <w:lang w:val="fr-FR"/>
        </w:rPr>
        <w:t>é</w:t>
      </w:r>
      <w:r w:rsidR="00AF0034">
        <w:rPr>
          <w:lang w:val="fr-FR"/>
        </w:rPr>
        <w:t>ase</w:t>
      </w:r>
      <w:proofErr w:type="spellEnd"/>
      <w:r w:rsidR="009271E6" w:rsidRPr="00D4409B">
        <w:rPr>
          <w:lang w:val="fr-FR"/>
        </w:rPr>
        <w:t>:</w:t>
      </w:r>
      <w:proofErr w:type="gramEnd"/>
      <w:r w:rsidR="009271E6" w:rsidRPr="00D4409B">
        <w:rPr>
          <w:lang w:val="fr-FR"/>
        </w:rPr>
        <w:t xml:space="preserve"> </w:t>
      </w:r>
      <w:r w:rsidRPr="00D4409B">
        <w:rPr>
          <w:lang w:val="fr-FR"/>
        </w:rPr>
        <w:t>https://www.expedientepublico.org/misquitos-acorralados-en-su-propia-tierra/</w:t>
      </w:r>
    </w:p>
  </w:footnote>
  <w:footnote w:id="53">
    <w:p w14:paraId="6A4E218A" w14:textId="69F84806" w:rsidR="00ED1618" w:rsidRDefault="00ED1618" w:rsidP="00ED1618">
      <w:pPr>
        <w:pStyle w:val="FootnoteText"/>
        <w:rPr>
          <w:lang w:val="es-ES"/>
        </w:rPr>
      </w:pPr>
      <w:r w:rsidRPr="00D4409B">
        <w:rPr>
          <w:lang w:val="fr-FR"/>
        </w:rPr>
        <w:tab/>
      </w:r>
      <w:r w:rsidRPr="005F21F4">
        <w:rPr>
          <w:rStyle w:val="FootnoteReference"/>
        </w:rPr>
        <w:footnoteRef/>
      </w:r>
      <w:r w:rsidRPr="00EA7E0A">
        <w:rPr>
          <w:lang w:val="es-ES"/>
        </w:rPr>
        <w:tab/>
      </w:r>
      <w:r w:rsidR="00D7682F">
        <w:rPr>
          <w:lang w:val="es-ES"/>
        </w:rPr>
        <w:t>V</w:t>
      </w:r>
      <w:r w:rsidR="00AF0034">
        <w:rPr>
          <w:lang w:val="es-ES"/>
        </w:rPr>
        <w:t xml:space="preserve">éase: </w:t>
      </w:r>
      <w:r w:rsidRPr="00EA7E0A">
        <w:rPr>
          <w:lang w:val="es-ES"/>
        </w:rPr>
        <w:t>Ley 582, preámbulo</w:t>
      </w:r>
      <w:r w:rsidR="0080552F">
        <w:rPr>
          <w:lang w:val="es-ES"/>
        </w:rPr>
        <w:t>, p</w:t>
      </w:r>
      <w:r w:rsidR="00AF0034">
        <w:rPr>
          <w:lang w:val="es-ES"/>
        </w:rPr>
        <w:t>árr.</w:t>
      </w:r>
      <w:r w:rsidRPr="00EA7E0A">
        <w:rPr>
          <w:lang w:val="es-ES"/>
        </w:rPr>
        <w:t xml:space="preserve"> VIII</w:t>
      </w:r>
    </w:p>
  </w:footnote>
  <w:footnote w:id="54">
    <w:p w14:paraId="3AAB163E" w14:textId="38EEDE54" w:rsidR="00ED1618" w:rsidRPr="00BC464C" w:rsidRDefault="00ED1618" w:rsidP="00ED1618">
      <w:pPr>
        <w:pStyle w:val="FootnoteText"/>
        <w:rPr>
          <w:lang w:val="es-ES"/>
        </w:rPr>
      </w:pPr>
      <w:r w:rsidRPr="00EA7E0A">
        <w:rPr>
          <w:lang w:val="es-ES"/>
        </w:rPr>
        <w:tab/>
      </w:r>
      <w:r w:rsidRPr="005F21F4">
        <w:rPr>
          <w:rStyle w:val="FootnoteReference"/>
        </w:rPr>
        <w:footnoteRef/>
      </w:r>
      <w:r w:rsidRPr="00BC464C">
        <w:rPr>
          <w:lang w:val="es-ES"/>
        </w:rPr>
        <w:tab/>
        <w:t>Como ejemplo, véase la normativa de Managua, que se refleja en otros municipios: https://www.managua.gob.ni/es/acerca-de-alcaldia-de-managua/servicios/registro-civil/inscripcion-de-nacimiento/</w:t>
      </w:r>
    </w:p>
  </w:footnote>
  <w:footnote w:id="55">
    <w:p w14:paraId="50811F5D" w14:textId="5AB77C9D" w:rsidR="00ED1618" w:rsidRDefault="00ED1618" w:rsidP="00ED1618">
      <w:pPr>
        <w:pStyle w:val="FootnoteText"/>
        <w:rPr>
          <w:lang w:val="es-ES"/>
        </w:rPr>
      </w:pPr>
      <w:r w:rsidRPr="00BC464C">
        <w:rPr>
          <w:lang w:val="es-ES"/>
        </w:rPr>
        <w:tab/>
      </w:r>
      <w:r w:rsidRPr="005F21F4">
        <w:rPr>
          <w:rStyle w:val="FootnoteReference"/>
        </w:rPr>
        <w:footnoteRef/>
      </w:r>
      <w:r w:rsidRPr="00EA7E0A">
        <w:rPr>
          <w:lang w:val="es-ES"/>
        </w:rPr>
        <w:tab/>
      </w:r>
      <w:r w:rsidR="007F77AD">
        <w:rPr>
          <w:lang w:val="es-ES"/>
        </w:rPr>
        <w:t xml:space="preserve">Observación General </w:t>
      </w:r>
      <w:r w:rsidR="00DF0C6A">
        <w:rPr>
          <w:lang w:val="es-ES"/>
        </w:rPr>
        <w:t>No 14 (2000)</w:t>
      </w:r>
      <w:r w:rsidRPr="00EA7E0A">
        <w:rPr>
          <w:lang w:val="es-ES"/>
        </w:rPr>
        <w:t>, p</w:t>
      </w:r>
      <w:r w:rsidR="007916A7">
        <w:rPr>
          <w:lang w:val="es-ES"/>
        </w:rPr>
        <w:t>árr</w:t>
      </w:r>
      <w:r w:rsidRPr="00EA7E0A">
        <w:rPr>
          <w:lang w:val="es-ES"/>
        </w:rPr>
        <w:t>. 27</w:t>
      </w:r>
    </w:p>
  </w:footnote>
  <w:footnote w:id="56">
    <w:p w14:paraId="049D20A2" w14:textId="47A990D6" w:rsidR="00ED1618" w:rsidRPr="00A42FB8" w:rsidRDefault="00ED1618" w:rsidP="00ED1618">
      <w:pPr>
        <w:pStyle w:val="FootnoteText"/>
        <w:rPr>
          <w:lang w:val="es-ES"/>
        </w:rPr>
      </w:pPr>
      <w:r w:rsidRPr="00EA7E0A">
        <w:rPr>
          <w:lang w:val="es-ES"/>
        </w:rPr>
        <w:tab/>
      </w:r>
      <w:r w:rsidRPr="005F21F4">
        <w:rPr>
          <w:rStyle w:val="FootnoteReference"/>
        </w:rPr>
        <w:footnoteRef/>
      </w:r>
      <w:r w:rsidRPr="00A42FB8">
        <w:rPr>
          <w:lang w:val="es-ES"/>
        </w:rPr>
        <w:tab/>
      </w:r>
      <w:r w:rsidR="009A19F7" w:rsidRPr="00A42FB8">
        <w:rPr>
          <w:lang w:val="es-ES"/>
        </w:rPr>
        <w:t>V</w:t>
      </w:r>
      <w:r w:rsidR="007916A7" w:rsidRPr="00A42FB8">
        <w:rPr>
          <w:lang w:val="es-ES"/>
        </w:rPr>
        <w:t>éa</w:t>
      </w:r>
      <w:r w:rsidR="007916A7" w:rsidRPr="00D4409B">
        <w:rPr>
          <w:lang w:val="es-ES"/>
        </w:rPr>
        <w:t>se</w:t>
      </w:r>
      <w:r w:rsidR="009A19F7" w:rsidRPr="00A42FB8">
        <w:rPr>
          <w:lang w:val="es-ES"/>
        </w:rPr>
        <w:t xml:space="preserve">: </w:t>
      </w:r>
      <w:r w:rsidRPr="00A42FB8">
        <w:rPr>
          <w:lang w:val="es-ES"/>
        </w:rPr>
        <w:t>https://lac.unfpa.org/es/news/partera-vital-un-proyecto-pionero-que-articula-la-sabidur%C3%ADa-ancestral-con-los-servicios-de</w:t>
      </w:r>
    </w:p>
  </w:footnote>
  <w:footnote w:id="57">
    <w:p w14:paraId="4FF90FD0" w14:textId="0CCE516B" w:rsidR="007C0966" w:rsidRPr="00D4409B" w:rsidRDefault="007C0966" w:rsidP="007C0966">
      <w:pPr>
        <w:pStyle w:val="FootnoteText"/>
        <w:rPr>
          <w:lang w:val="fr-FR"/>
        </w:rPr>
      </w:pPr>
      <w:r w:rsidRPr="00A42FB8">
        <w:rPr>
          <w:lang w:val="es-ES"/>
        </w:rPr>
        <w:tab/>
      </w:r>
      <w:r w:rsidRPr="005F21F4">
        <w:rPr>
          <w:rStyle w:val="FootnoteReference"/>
        </w:rPr>
        <w:footnoteRef/>
      </w:r>
      <w:r w:rsidRPr="00BC464C">
        <w:rPr>
          <w:lang w:val="es-ES"/>
        </w:rPr>
        <w:tab/>
      </w:r>
      <w:r>
        <w:rPr>
          <w:lang w:val="es-ES"/>
        </w:rPr>
        <w:t>El</w:t>
      </w:r>
      <w:r w:rsidRPr="00BC464C">
        <w:rPr>
          <w:lang w:val="es-ES"/>
        </w:rPr>
        <w:t xml:space="preserve"> proyecto Bio-CLIMA</w:t>
      </w:r>
      <w:r>
        <w:rPr>
          <w:lang w:val="es-ES"/>
        </w:rPr>
        <w:t xml:space="preserve"> está</w:t>
      </w:r>
      <w:r w:rsidRPr="00BC464C">
        <w:rPr>
          <w:lang w:val="es-ES"/>
        </w:rPr>
        <w:t xml:space="preserve"> centrado en la reserva de la biosfera de </w:t>
      </w:r>
      <w:proofErr w:type="spellStart"/>
      <w:r w:rsidRPr="00BC464C">
        <w:rPr>
          <w:lang w:val="es-ES"/>
        </w:rPr>
        <w:t>Bosawas</w:t>
      </w:r>
      <w:proofErr w:type="spellEnd"/>
      <w:r w:rsidRPr="00BC464C">
        <w:rPr>
          <w:lang w:val="es-ES"/>
        </w:rPr>
        <w:t xml:space="preserve">, </w:t>
      </w:r>
      <w:r>
        <w:rPr>
          <w:lang w:val="es-ES"/>
        </w:rPr>
        <w:t>y tiene como</w:t>
      </w:r>
      <w:r w:rsidRPr="00BC464C">
        <w:rPr>
          <w:lang w:val="es-ES"/>
        </w:rPr>
        <w:t xml:space="preserve"> objetivo es frenar la deforestación y aumentar la absorción de dióxido de carbono. </w:t>
      </w:r>
      <w:r w:rsidRPr="00BC464C" w:rsidDel="00F33139">
        <w:rPr>
          <w:lang w:val="es-ES"/>
        </w:rPr>
        <w:t>Fue presentado por el Banco Centroamericano de Integración Económica</w:t>
      </w:r>
      <w:r w:rsidRPr="00BC464C">
        <w:rPr>
          <w:lang w:val="es-ES"/>
        </w:rPr>
        <w:t xml:space="preserve">, para ser ejecutado </w:t>
      </w:r>
      <w:proofErr w:type="gramStart"/>
      <w:r w:rsidRPr="00BC464C">
        <w:rPr>
          <w:lang w:val="es-ES"/>
        </w:rPr>
        <w:t>conjuntamente con</w:t>
      </w:r>
      <w:proofErr w:type="gramEnd"/>
      <w:r w:rsidRPr="00BC464C">
        <w:rPr>
          <w:lang w:val="es-ES"/>
        </w:rPr>
        <w:t xml:space="preserve"> el Gobierno de Nicaragua. En junio de 2021, el Fondo recibió una queja contra el proyecto por parte de la población de Bosawás, relacionada con la falta de consentimiento libre, previo e informado y el riesgo de aumento de la violencia.</w:t>
      </w:r>
      <w:r w:rsidR="007916A7">
        <w:rPr>
          <w:lang w:val="es-ES"/>
        </w:rPr>
        <w:t xml:space="preserve"> </w:t>
      </w:r>
      <w:proofErr w:type="spellStart"/>
      <w:proofErr w:type="gramStart"/>
      <w:r w:rsidR="007916A7" w:rsidRPr="00D4409B">
        <w:rPr>
          <w:lang w:val="fr-FR"/>
        </w:rPr>
        <w:t>Véase</w:t>
      </w:r>
      <w:proofErr w:type="spellEnd"/>
      <w:r w:rsidR="007916A7" w:rsidRPr="00D4409B">
        <w:rPr>
          <w:lang w:val="fr-FR"/>
        </w:rPr>
        <w:t>:</w:t>
      </w:r>
      <w:proofErr w:type="gramEnd"/>
      <w:r w:rsidRPr="00D4409B">
        <w:rPr>
          <w:lang w:val="fr-FR"/>
        </w:rPr>
        <w:t xml:space="preserve"> </w:t>
      </w:r>
      <w:hyperlink r:id="rId1" w:history="1">
        <w:r w:rsidRPr="00D4409B">
          <w:rPr>
            <w:rStyle w:val="Hyperlink"/>
            <w:lang w:val="fr-FR"/>
          </w:rPr>
          <w:t>https://www.</w:t>
        </w:r>
      </w:hyperlink>
      <w:r w:rsidRPr="00D4409B">
        <w:rPr>
          <w:lang w:val="fr-FR"/>
        </w:rPr>
        <w:t xml:space="preserve">greenclimate.fund/document/bio-clima-nicaragua </w:t>
      </w:r>
    </w:p>
  </w:footnote>
  <w:footnote w:id="58">
    <w:p w14:paraId="34C6D4A7" w14:textId="20988B71" w:rsidR="00ED1618" w:rsidRPr="00D4409B" w:rsidRDefault="00ED1618" w:rsidP="00ED1618">
      <w:pPr>
        <w:pStyle w:val="FootnoteText"/>
        <w:rPr>
          <w:lang w:val="fr-FR"/>
        </w:rPr>
      </w:pPr>
      <w:r w:rsidRPr="00D4409B">
        <w:rPr>
          <w:lang w:val="fr-FR"/>
        </w:rPr>
        <w:tab/>
      </w:r>
      <w:r w:rsidRPr="005F21F4">
        <w:rPr>
          <w:rStyle w:val="FootnoteReference"/>
        </w:rPr>
        <w:footnoteRef/>
      </w:r>
      <w:r w:rsidRPr="00D4409B">
        <w:rPr>
          <w:lang w:val="fr-FR"/>
        </w:rPr>
        <w:tab/>
      </w:r>
      <w:proofErr w:type="spellStart"/>
      <w:proofErr w:type="gramStart"/>
      <w:r w:rsidR="00B01D4E" w:rsidRPr="00D4409B">
        <w:rPr>
          <w:lang w:val="fr-FR"/>
        </w:rPr>
        <w:t>V</w:t>
      </w:r>
      <w:r w:rsidR="003B333C" w:rsidRPr="00D4409B">
        <w:rPr>
          <w:lang w:val="fr-FR"/>
        </w:rPr>
        <w:t>éase</w:t>
      </w:r>
      <w:proofErr w:type="spellEnd"/>
      <w:r w:rsidR="003B333C" w:rsidRPr="00D4409B">
        <w:rPr>
          <w:lang w:val="fr-FR"/>
        </w:rPr>
        <w:t>:</w:t>
      </w:r>
      <w:proofErr w:type="gramEnd"/>
      <w:r w:rsidR="00B01D4E" w:rsidRPr="00D4409B">
        <w:rPr>
          <w:lang w:val="fr-FR"/>
        </w:rPr>
        <w:t xml:space="preserve"> </w:t>
      </w:r>
      <w:r w:rsidRPr="00D4409B">
        <w:rPr>
          <w:lang w:val="fr-FR"/>
        </w:rPr>
        <w:t>https://www3.weforum.org/docs/WEF_GGGR_2022.pdf</w:t>
      </w:r>
    </w:p>
  </w:footnote>
  <w:footnote w:id="59">
    <w:p w14:paraId="2F70CD19" w14:textId="65C7E1AB" w:rsidR="00ED1618" w:rsidRPr="00BC464C" w:rsidRDefault="00ED1618" w:rsidP="002D679C">
      <w:pPr>
        <w:pStyle w:val="FootnoteText"/>
        <w:rPr>
          <w:lang w:val="es-ES"/>
        </w:rPr>
      </w:pPr>
      <w:r w:rsidRPr="003B333C">
        <w:rPr>
          <w:lang w:val="fr-FR"/>
        </w:rPr>
        <w:tab/>
      </w:r>
      <w:r w:rsidRPr="005F21F4">
        <w:rPr>
          <w:rStyle w:val="FootnoteReference"/>
        </w:rPr>
        <w:footnoteRef/>
      </w:r>
      <w:r w:rsidRPr="00BC464C">
        <w:rPr>
          <w:lang w:val="es-ES"/>
        </w:rPr>
        <w:tab/>
      </w:r>
      <w:r w:rsidR="00DA4767" w:rsidRPr="00CD20F9">
        <w:rPr>
          <w:lang w:val="es-ES"/>
        </w:rPr>
        <w:t xml:space="preserve">Ver </w:t>
      </w:r>
      <w:r w:rsidR="00DA4767">
        <w:rPr>
          <w:lang w:val="es-ES"/>
        </w:rPr>
        <w:t>por ejemplo:</w:t>
      </w:r>
      <w:r w:rsidR="00DA4767" w:rsidRPr="00CD20F9">
        <w:rPr>
          <w:lang w:val="es-ES"/>
        </w:rPr>
        <w:t xml:space="preserve"> </w:t>
      </w:r>
      <w:hyperlink r:id="rId2" w:history="1">
        <w:r w:rsidR="000C65C7" w:rsidRPr="0096363A">
          <w:rPr>
            <w:rStyle w:val="Hyperlink"/>
            <w:lang w:val="es-ES"/>
          </w:rPr>
          <w:t>https://www.intertextualnic.com/post/femicida-era-guarda-de-seguridad-en-hotel-pese-a-tener-antecedente-penal-por-intento-de-asesinato</w:t>
        </w:r>
      </w:hyperlink>
      <w:r w:rsidR="000C65C7">
        <w:rPr>
          <w:lang w:val="es-ES"/>
        </w:rPr>
        <w:t xml:space="preserve"> y </w:t>
      </w:r>
      <w:hyperlink r:id="rId3" w:history="1">
        <w:r w:rsidR="000C65C7" w:rsidRPr="0096363A">
          <w:rPr>
            <w:rStyle w:val="Hyperlink"/>
            <w:lang w:val="es-ES"/>
          </w:rPr>
          <w:t>https://www.el19digital.com/articulos/ver/titulo:138485-beneficio-legal-de-convivencia-familiar-una-segunda-oportunidad-de-cambio-y-compromiso</w:t>
        </w:r>
      </w:hyperlink>
      <w:r w:rsidR="000C65C7">
        <w:rPr>
          <w:lang w:val="es-ES"/>
        </w:rPr>
        <w:t xml:space="preserve">. </w:t>
      </w:r>
      <w:r w:rsidR="002D679C">
        <w:rPr>
          <w:lang w:val="es-ES"/>
        </w:rPr>
        <w:t>El programa permite</w:t>
      </w:r>
      <w:r w:rsidRPr="00BC464C">
        <w:rPr>
          <w:lang w:val="es-ES"/>
        </w:rPr>
        <w:t xml:space="preserve"> la liberación anual de miles de </w:t>
      </w:r>
      <w:r>
        <w:rPr>
          <w:lang w:val="es-ES"/>
        </w:rPr>
        <w:t>personas presas</w:t>
      </w:r>
      <w:r w:rsidRPr="00BC464C">
        <w:rPr>
          <w:lang w:val="es-ES"/>
        </w:rPr>
        <w:t>.</w:t>
      </w:r>
      <w:r w:rsidR="001F641C">
        <w:rPr>
          <w:lang w:val="es-ES"/>
        </w:rPr>
        <w:t xml:space="preserve"> </w:t>
      </w:r>
      <w:r w:rsidRPr="00BC464C">
        <w:rPr>
          <w:lang w:val="es-ES"/>
        </w:rPr>
        <w:t>El 31 de marzo de 2023, unas 2.500 personas fueron liberadas</w:t>
      </w:r>
      <w:r w:rsidR="002D679C">
        <w:rPr>
          <w:lang w:val="es-ES"/>
        </w:rPr>
        <w:t>.</w:t>
      </w:r>
      <w:r w:rsidRPr="00BC464C">
        <w:rPr>
          <w:lang w:val="es-ES"/>
        </w:rPr>
        <w:t xml:space="preserve"> </w:t>
      </w:r>
    </w:p>
  </w:footnote>
  <w:footnote w:id="60">
    <w:p w14:paraId="1578F6E0" w14:textId="0CD7375F" w:rsidR="00ED1618" w:rsidRPr="00D4409B" w:rsidRDefault="00ED1618" w:rsidP="00ED1618">
      <w:pPr>
        <w:pStyle w:val="FootnoteText"/>
        <w:rPr>
          <w:lang w:val="es-ES"/>
        </w:rPr>
      </w:pPr>
      <w:r w:rsidRPr="00BC464C">
        <w:rPr>
          <w:lang w:val="es-ES"/>
        </w:rPr>
        <w:tab/>
      </w:r>
      <w:r w:rsidRPr="005F21F4">
        <w:rPr>
          <w:rStyle w:val="FootnoteReference"/>
        </w:rPr>
        <w:footnoteRef/>
      </w:r>
      <w:r w:rsidRPr="00BC464C">
        <w:rPr>
          <w:lang w:val="es-ES"/>
        </w:rPr>
        <w:tab/>
        <w:t xml:space="preserve">Nicaragua es uno de los tres países latinoamericanos no incluidos en los </w:t>
      </w:r>
      <w:r w:rsidR="00C362B8">
        <w:rPr>
          <w:lang w:val="es-ES"/>
        </w:rPr>
        <w:t>informes</w:t>
      </w:r>
      <w:r w:rsidR="00C362B8" w:rsidRPr="00BC464C">
        <w:rPr>
          <w:lang w:val="es-ES"/>
        </w:rPr>
        <w:t xml:space="preserve"> </w:t>
      </w:r>
      <w:r w:rsidRPr="00BC464C">
        <w:rPr>
          <w:lang w:val="es-ES"/>
        </w:rPr>
        <w:t xml:space="preserve">sobre feminicidio de la Comisión Económica para América Latina y el Caribe. </w:t>
      </w:r>
      <w:proofErr w:type="gramStart"/>
      <w:r w:rsidRPr="00D4409B">
        <w:rPr>
          <w:lang w:val="es-ES"/>
        </w:rPr>
        <w:t>V</w:t>
      </w:r>
      <w:r w:rsidR="00683A18">
        <w:rPr>
          <w:lang w:val="es-ES"/>
        </w:rPr>
        <w:t>é</w:t>
      </w:r>
      <w:r w:rsidR="003B333C">
        <w:rPr>
          <w:lang w:val="es-ES"/>
        </w:rPr>
        <w:t>ase</w:t>
      </w:r>
      <w:r w:rsidR="008D0C7E" w:rsidRPr="00D4409B">
        <w:rPr>
          <w:lang w:val="es-ES"/>
        </w:rPr>
        <w:t> :</w:t>
      </w:r>
      <w:proofErr w:type="gramEnd"/>
      <w:r w:rsidR="008D0C7E" w:rsidRPr="00D4409B">
        <w:rPr>
          <w:lang w:val="es-ES"/>
        </w:rPr>
        <w:t xml:space="preserve"> </w:t>
      </w:r>
      <w:r w:rsidRPr="00D4409B">
        <w:rPr>
          <w:lang w:val="es-ES"/>
        </w:rPr>
        <w:t>https://oig.cepal.org/es/indicadores/feminicidio</w:t>
      </w:r>
    </w:p>
  </w:footnote>
  <w:footnote w:id="61">
    <w:p w14:paraId="0DE788A5" w14:textId="5016195D" w:rsidR="00ED1618" w:rsidRPr="00BC464C" w:rsidRDefault="00ED1618" w:rsidP="00ED1618">
      <w:pPr>
        <w:pStyle w:val="FootnoteText"/>
        <w:rPr>
          <w:lang w:val="es-ES"/>
        </w:rPr>
      </w:pPr>
      <w:r w:rsidRPr="00D4409B">
        <w:rPr>
          <w:lang w:val="es-ES"/>
        </w:rPr>
        <w:tab/>
      </w:r>
      <w:r w:rsidRPr="005F21F4">
        <w:rPr>
          <w:rStyle w:val="FootnoteReference"/>
        </w:rPr>
        <w:footnoteRef/>
      </w:r>
      <w:r w:rsidRPr="00BC464C">
        <w:rPr>
          <w:lang w:val="es-ES"/>
        </w:rPr>
        <w:tab/>
        <w:t>https://www.inide.gob.ni/docs/Anuarios/Anuario2021/Anuario_Estadistico2021.pdf. Página 172</w:t>
      </w:r>
    </w:p>
  </w:footnote>
  <w:footnote w:id="62">
    <w:p w14:paraId="0671DC04" w14:textId="7AD7F806"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t>La media agregada de Belice, Costa Rica, El Salvador, Guatemala, Honduras y Panamá (2,27 feminicidios por 100.000) es casi diez veces superior a la cifra oficial de Nicaragua (0,25).</w:t>
      </w:r>
    </w:p>
  </w:footnote>
  <w:footnote w:id="63">
    <w:p w14:paraId="59123029" w14:textId="7229789D" w:rsidR="00ED1618" w:rsidRPr="00BC464C" w:rsidRDefault="00ED1618" w:rsidP="00ED1618">
      <w:pPr>
        <w:pStyle w:val="FootnoteText"/>
        <w:rPr>
          <w:b/>
          <w:bCs/>
          <w:lang w:val="es-ES"/>
        </w:rPr>
      </w:pPr>
      <w:r w:rsidRPr="00BC464C">
        <w:rPr>
          <w:lang w:val="es-ES"/>
        </w:rPr>
        <w:tab/>
      </w:r>
      <w:r w:rsidRPr="005F21F4">
        <w:rPr>
          <w:rStyle w:val="FootnoteReference"/>
        </w:rPr>
        <w:footnoteRef/>
      </w:r>
      <w:r w:rsidRPr="00BC464C">
        <w:rPr>
          <w:lang w:val="es-ES"/>
        </w:rPr>
        <w:tab/>
        <w:t>La definición en la Ley No. 779 es inconsistente con el Protocolo Modelo Latinoamericano para la investigación de asesinatos de mujeres por razones de género (femicidio/feminicidio).</w:t>
      </w:r>
    </w:p>
  </w:footnote>
  <w:footnote w:id="64">
    <w:p w14:paraId="29CE8344" w14:textId="3773FAA6" w:rsidR="00ED1618" w:rsidRPr="00D4409B" w:rsidRDefault="00ED1618" w:rsidP="00ED1618">
      <w:pPr>
        <w:pStyle w:val="FootnoteText"/>
        <w:rPr>
          <w:lang w:val="fr-FR"/>
        </w:rPr>
      </w:pPr>
      <w:r w:rsidRPr="00BC464C">
        <w:rPr>
          <w:lang w:val="es-ES"/>
        </w:rPr>
        <w:tab/>
      </w:r>
      <w:r w:rsidRPr="005F21F4">
        <w:rPr>
          <w:rStyle w:val="FootnoteReference"/>
        </w:rPr>
        <w:footnoteRef/>
      </w:r>
      <w:r w:rsidRPr="00D4409B">
        <w:rPr>
          <w:lang w:val="fr-FR"/>
        </w:rPr>
        <w:tab/>
      </w:r>
      <w:proofErr w:type="spellStart"/>
      <w:proofErr w:type="gramStart"/>
      <w:r w:rsidR="00605FE3" w:rsidRPr="00D4409B">
        <w:rPr>
          <w:lang w:val="fr-FR"/>
        </w:rPr>
        <w:t>V</w:t>
      </w:r>
      <w:r w:rsidR="003D41C6" w:rsidRPr="00D4409B">
        <w:rPr>
          <w:lang w:val="fr-FR"/>
        </w:rPr>
        <w:t>éase</w:t>
      </w:r>
      <w:proofErr w:type="spellEnd"/>
      <w:r w:rsidR="003D41C6">
        <w:rPr>
          <w:lang w:val="fr-FR"/>
        </w:rPr>
        <w:t>:</w:t>
      </w:r>
      <w:proofErr w:type="gramEnd"/>
      <w:r w:rsidR="003D41C6">
        <w:rPr>
          <w:lang w:val="fr-FR"/>
        </w:rPr>
        <w:t xml:space="preserve"> </w:t>
      </w:r>
      <w:r w:rsidRPr="00D4409B">
        <w:rPr>
          <w:lang w:val="fr-FR"/>
        </w:rPr>
        <w:t>https://lacorrientenicaragua.org/wp-content/uploads/2023/02/InformeAnualObs22N.pdf</w:t>
      </w:r>
    </w:p>
  </w:footnote>
  <w:footnote w:id="65">
    <w:p w14:paraId="728E9088" w14:textId="7763828D" w:rsidR="00ED1618" w:rsidRPr="00BC464C" w:rsidRDefault="00ED1618" w:rsidP="00ED1618">
      <w:pPr>
        <w:pStyle w:val="FootnoteText"/>
        <w:rPr>
          <w:lang w:val="es-ES"/>
        </w:rPr>
      </w:pPr>
      <w:r w:rsidRPr="00D4409B">
        <w:rPr>
          <w:lang w:val="fr-FR"/>
        </w:rPr>
        <w:tab/>
      </w:r>
      <w:r w:rsidRPr="005F21F4">
        <w:rPr>
          <w:rStyle w:val="FootnoteReference"/>
        </w:rPr>
        <w:footnoteRef/>
      </w:r>
      <w:r w:rsidRPr="00BC464C">
        <w:rPr>
          <w:lang w:val="es-ES"/>
        </w:rPr>
        <w:tab/>
        <w:t xml:space="preserve"> Art. 36 y 315</w:t>
      </w:r>
    </w:p>
  </w:footnote>
  <w:footnote w:id="66">
    <w:p w14:paraId="624BA086" w14:textId="36DAF512"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t>Para 2020 y 2021</w:t>
      </w:r>
      <w:r w:rsidR="003A717F">
        <w:rPr>
          <w:lang w:val="es-ES"/>
        </w:rPr>
        <w:t>,</w:t>
      </w:r>
      <w:r w:rsidR="00B95BDF">
        <w:rPr>
          <w:lang w:val="es-ES"/>
        </w:rPr>
        <w:t xml:space="preserve"> v</w:t>
      </w:r>
      <w:r w:rsidR="003A717F">
        <w:rPr>
          <w:lang w:val="es-ES"/>
        </w:rPr>
        <w:t>éase</w:t>
      </w:r>
      <w:r w:rsidRPr="00BC464C">
        <w:rPr>
          <w:lang w:val="es-ES"/>
        </w:rPr>
        <w:t>: https://www.poderjudicial.gob.ni/pjupload/iml/pdf/ANUARIO2021b.pdf.Para 2022</w:t>
      </w:r>
      <w:r w:rsidR="003A717F">
        <w:rPr>
          <w:lang w:val="es-ES"/>
        </w:rPr>
        <w:t>,</w:t>
      </w:r>
      <w:r w:rsidR="005B0809">
        <w:rPr>
          <w:lang w:val="es-ES"/>
        </w:rPr>
        <w:t xml:space="preserve"> v</w:t>
      </w:r>
      <w:r w:rsidR="003A717F">
        <w:rPr>
          <w:lang w:val="es-ES"/>
        </w:rPr>
        <w:t>éase</w:t>
      </w:r>
      <w:r w:rsidRPr="00BC464C">
        <w:rPr>
          <w:lang w:val="es-ES"/>
        </w:rPr>
        <w:t xml:space="preserve"> https://www.poderjudicial.gob.ni/iml/boletines.asp</w:t>
      </w:r>
    </w:p>
  </w:footnote>
  <w:footnote w:id="67">
    <w:p w14:paraId="0A5A1CE9" w14:textId="33FAE4C8"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t>https://www.inide.gob.ni/docs/Anuarios/Anuario2021/Anuario_Estadistico2021.pdf página 172.</w:t>
      </w:r>
    </w:p>
  </w:footnote>
  <w:footnote w:id="68">
    <w:p w14:paraId="4AD8DD77" w14:textId="65D0272B" w:rsidR="00ED1618" w:rsidRPr="00D4409B" w:rsidRDefault="00ED1618" w:rsidP="00ED1618">
      <w:pPr>
        <w:pStyle w:val="FootnoteText"/>
        <w:rPr>
          <w:lang w:val="fr-FR"/>
        </w:rPr>
      </w:pPr>
      <w:r w:rsidRPr="00BC464C">
        <w:rPr>
          <w:lang w:val="es-ES"/>
        </w:rPr>
        <w:tab/>
      </w:r>
      <w:r w:rsidRPr="005F21F4">
        <w:rPr>
          <w:rStyle w:val="FootnoteReference"/>
        </w:rPr>
        <w:footnoteRef/>
      </w:r>
      <w:r w:rsidRPr="00EA7E0A">
        <w:rPr>
          <w:lang w:val="es-ES"/>
        </w:rPr>
        <w:tab/>
      </w:r>
      <w:r w:rsidR="00C362B8" w:rsidRPr="00BC464C">
        <w:rPr>
          <w:lang w:val="es-ES"/>
        </w:rPr>
        <w:t>Dada la falta de datos oficiales sobre derechos sexuales y reproductivos relativos a 2022 y 2023, el informe se centra en la información sobre años anteriores que estuvo disponible durante el periodo del informe</w:t>
      </w:r>
      <w:r w:rsidR="00C362B8">
        <w:rPr>
          <w:lang w:val="es-ES"/>
        </w:rPr>
        <w:t xml:space="preserve">. </w:t>
      </w:r>
      <w:proofErr w:type="spellStart"/>
      <w:proofErr w:type="gramStart"/>
      <w:r w:rsidR="00C362B8" w:rsidRPr="00D4409B">
        <w:rPr>
          <w:lang w:val="fr-FR"/>
        </w:rPr>
        <w:t>V</w:t>
      </w:r>
      <w:r w:rsidR="00C6737A" w:rsidRPr="00D4409B">
        <w:rPr>
          <w:lang w:val="fr-FR"/>
        </w:rPr>
        <w:t>éase</w:t>
      </w:r>
      <w:proofErr w:type="spellEnd"/>
      <w:r w:rsidR="00C362B8" w:rsidRPr="00D4409B">
        <w:rPr>
          <w:lang w:val="fr-FR"/>
        </w:rPr>
        <w:t>:</w:t>
      </w:r>
      <w:proofErr w:type="gramEnd"/>
      <w:r w:rsidR="00C362B8" w:rsidRPr="00D4409B">
        <w:rPr>
          <w:lang w:val="fr-FR"/>
        </w:rPr>
        <w:t xml:space="preserve"> </w:t>
      </w:r>
      <w:r w:rsidR="00C6737A" w:rsidRPr="00D4409B">
        <w:rPr>
          <w:lang w:val="fr-FR"/>
        </w:rPr>
        <w:t>https://www.poderjudicial.gob.ni/pjupload/iml/pdf/ANUARIO2021b.pdf, p. 2</w:t>
      </w:r>
      <w:r w:rsidR="00C6737A">
        <w:rPr>
          <w:lang w:val="fr-FR"/>
        </w:rPr>
        <w:t>4</w:t>
      </w:r>
    </w:p>
  </w:footnote>
  <w:footnote w:id="69">
    <w:p w14:paraId="12229322" w14:textId="7D7B99BF" w:rsidR="00ED1618" w:rsidRPr="00BC464C" w:rsidRDefault="00421E66" w:rsidP="00421E66">
      <w:pPr>
        <w:pStyle w:val="FootnoteText"/>
        <w:rPr>
          <w:lang w:val="es-ES"/>
        </w:rPr>
      </w:pPr>
      <w:r w:rsidRPr="00D4409B">
        <w:rPr>
          <w:lang w:val="fr-FR"/>
        </w:rPr>
        <w:tab/>
      </w:r>
      <w:r w:rsidR="00ED1618" w:rsidRPr="005F21F4">
        <w:rPr>
          <w:rStyle w:val="FootnoteReference"/>
        </w:rPr>
        <w:footnoteRef/>
      </w:r>
      <w:r>
        <w:rPr>
          <w:lang w:val="es-ES"/>
        </w:rPr>
        <w:tab/>
      </w:r>
      <w:r w:rsidR="007F4A0D">
        <w:rPr>
          <w:lang w:val="es-ES"/>
        </w:rPr>
        <w:t>V</w:t>
      </w:r>
      <w:r w:rsidR="00C6737A">
        <w:rPr>
          <w:lang w:val="es-ES"/>
        </w:rPr>
        <w:t>éase</w:t>
      </w:r>
      <w:r w:rsidR="007F4A0D">
        <w:rPr>
          <w:lang w:val="es-ES"/>
        </w:rPr>
        <w:t xml:space="preserve"> también</w:t>
      </w:r>
      <w:r w:rsidR="00D33B01">
        <w:rPr>
          <w:lang w:val="es-ES"/>
        </w:rPr>
        <w:t xml:space="preserve"> la Observación General No 35 del Comité de Derechos </w:t>
      </w:r>
      <w:proofErr w:type="gramStart"/>
      <w:r w:rsidR="00D33B01">
        <w:rPr>
          <w:lang w:val="es-ES"/>
        </w:rPr>
        <w:t xml:space="preserve">Humanos </w:t>
      </w:r>
      <w:r w:rsidR="00ED1618" w:rsidRPr="00EA7E0A">
        <w:rPr>
          <w:lang w:val="es-ES"/>
        </w:rPr>
        <w:t xml:space="preserve"> párr.</w:t>
      </w:r>
      <w:proofErr w:type="gramEnd"/>
      <w:r w:rsidR="00ED1618" w:rsidRPr="00EA7E0A">
        <w:rPr>
          <w:lang w:val="es-ES"/>
        </w:rPr>
        <w:t xml:space="preserve"> </w:t>
      </w:r>
      <w:r w:rsidR="00ED1618" w:rsidRPr="00BC464C">
        <w:rPr>
          <w:lang w:val="es-ES"/>
        </w:rPr>
        <w:t xml:space="preserve">8. </w:t>
      </w:r>
    </w:p>
  </w:footnote>
  <w:footnote w:id="70">
    <w:p w14:paraId="53733320" w14:textId="09C641A1"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t>Organización Mundial de la Salud A65/13, 16 de marzo de 2012. Párr</w:t>
      </w:r>
      <w:r w:rsidR="00C6737A">
        <w:rPr>
          <w:lang w:val="es-ES"/>
        </w:rPr>
        <w:t>.</w:t>
      </w:r>
      <w:r w:rsidRPr="00BC464C">
        <w:rPr>
          <w:lang w:val="es-ES"/>
        </w:rPr>
        <w:t>13</w:t>
      </w:r>
    </w:p>
  </w:footnote>
  <w:footnote w:id="71">
    <w:p w14:paraId="057D402D" w14:textId="72C72595" w:rsidR="00ED1618" w:rsidRPr="00BC464C" w:rsidRDefault="00ED1618" w:rsidP="00ED1618">
      <w:pPr>
        <w:pStyle w:val="FootnoteText"/>
        <w:rPr>
          <w:lang w:val="es-ES"/>
        </w:rPr>
      </w:pPr>
      <w:r w:rsidRPr="00BC464C">
        <w:rPr>
          <w:lang w:val="es-ES"/>
        </w:rPr>
        <w:tab/>
      </w:r>
      <w:r w:rsidRPr="005F21F4">
        <w:rPr>
          <w:rStyle w:val="FootnoteReference"/>
        </w:rPr>
        <w:footnoteRef/>
      </w:r>
      <w:r w:rsidRPr="00D4409B">
        <w:tab/>
        <w:t xml:space="preserve">CCPR/C/NIC/CO/4, </w:t>
      </w:r>
      <w:proofErr w:type="spellStart"/>
      <w:r w:rsidRPr="00D4409B">
        <w:t>párr</w:t>
      </w:r>
      <w:proofErr w:type="spellEnd"/>
      <w:r w:rsidRPr="00D4409B">
        <w:t xml:space="preserve">. </w:t>
      </w:r>
      <w:r w:rsidRPr="00BC464C">
        <w:rPr>
          <w:lang w:val="es-ES"/>
        </w:rPr>
        <w:t>19</w:t>
      </w:r>
    </w:p>
  </w:footnote>
  <w:footnote w:id="72">
    <w:p w14:paraId="3113A0E4" w14:textId="7ACF2B46"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t>UNFPA estableció que la tasa de prevalencia de uso de anticonceptivos en mujeres de 15 a 49 años en Nicaragua para 2022 es de sólo 53% y la tasa de cobertura de servicios esenciales es de 70%.</w:t>
      </w:r>
    </w:p>
  </w:footnote>
  <w:footnote w:id="73">
    <w:p w14:paraId="79CA0C20" w14:textId="73AFBE37" w:rsidR="00E67DD6" w:rsidRPr="00BC464C" w:rsidRDefault="00E67DD6" w:rsidP="00E67DD6">
      <w:pPr>
        <w:pStyle w:val="FootnoteText"/>
        <w:rPr>
          <w:lang w:val="es-ES"/>
        </w:rPr>
      </w:pPr>
      <w:r w:rsidRPr="00BC464C">
        <w:rPr>
          <w:lang w:val="es-ES"/>
        </w:rPr>
        <w:tab/>
      </w:r>
      <w:r w:rsidRPr="005F21F4">
        <w:rPr>
          <w:rStyle w:val="FootnoteReference"/>
        </w:rPr>
        <w:footnoteRef/>
      </w:r>
      <w:r w:rsidRPr="00BC464C">
        <w:rPr>
          <w:lang w:val="es-ES"/>
        </w:rPr>
        <w:tab/>
      </w:r>
      <w:r w:rsidR="008E5DCD">
        <w:rPr>
          <w:lang w:val="es-ES"/>
        </w:rPr>
        <w:t xml:space="preserve">Véase: </w:t>
      </w:r>
      <w:r w:rsidRPr="00BC464C">
        <w:rPr>
          <w:lang w:val="es-ES"/>
        </w:rPr>
        <w:t>https://www.inide.gob.ni/docs/compendio/Compendio20_21/Compendio_Estadisticas_Vitales_2020_</w:t>
      </w:r>
      <w:r>
        <w:rPr>
          <w:lang w:val="es-ES"/>
        </w:rPr>
        <w:br/>
      </w:r>
      <w:r w:rsidRPr="00BC464C">
        <w:rPr>
          <w:lang w:val="es-ES"/>
        </w:rPr>
        <w:t>2021.pdf. Página 52</w:t>
      </w:r>
      <w:r>
        <w:rPr>
          <w:lang w:val="es-ES"/>
        </w:rPr>
        <w:t xml:space="preserve"> y artículos 168 y 170 del Código Penal.</w:t>
      </w:r>
      <w:r w:rsidRPr="00BC464C">
        <w:rPr>
          <w:lang w:val="es-ES"/>
        </w:rPr>
        <w:t xml:space="preserve"> </w:t>
      </w:r>
    </w:p>
  </w:footnote>
  <w:footnote w:id="74">
    <w:p w14:paraId="3A06BEE6" w14:textId="4A40B9D5"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r>
      <w:r w:rsidR="008E5DCD">
        <w:rPr>
          <w:lang w:val="es-ES"/>
        </w:rPr>
        <w:t xml:space="preserve">Véase: </w:t>
      </w:r>
      <w:r w:rsidR="0027286C" w:rsidRPr="00BC464C">
        <w:rPr>
          <w:lang w:val="es-ES"/>
        </w:rPr>
        <w:t>https://www.inide.gob.ni/docs/compendio/Compendio20_21/Compendio_Estadisticas_Vitales_2020_</w:t>
      </w:r>
      <w:r w:rsidR="0027286C">
        <w:rPr>
          <w:lang w:val="es-ES"/>
        </w:rPr>
        <w:br/>
      </w:r>
      <w:r w:rsidR="0027286C" w:rsidRPr="00BC464C">
        <w:rPr>
          <w:lang w:val="es-ES"/>
        </w:rPr>
        <w:t>2021</w:t>
      </w:r>
      <w:r w:rsidRPr="00BC464C">
        <w:rPr>
          <w:lang w:val="es-ES"/>
        </w:rPr>
        <w:t xml:space="preserve"> </w:t>
      </w:r>
      <w:proofErr w:type="spellStart"/>
      <w:r w:rsidRPr="00BC464C">
        <w:rPr>
          <w:lang w:val="es-ES"/>
        </w:rPr>
        <w:t>pág</w:t>
      </w:r>
      <w:proofErr w:type="spellEnd"/>
      <w:r w:rsidRPr="00BC464C">
        <w:rPr>
          <w:lang w:val="es-ES"/>
        </w:rPr>
        <w:t xml:space="preserve"> 40.</w:t>
      </w:r>
    </w:p>
  </w:footnote>
  <w:footnote w:id="75">
    <w:p w14:paraId="2FD63F91" w14:textId="7AEEBE2F" w:rsidR="00ED1618" w:rsidRPr="00D4409B" w:rsidRDefault="00ED1618" w:rsidP="00ED1618">
      <w:pPr>
        <w:pStyle w:val="FootnoteText"/>
        <w:rPr>
          <w:lang w:val="fr-FR"/>
        </w:rPr>
      </w:pPr>
      <w:r w:rsidRPr="00BC464C">
        <w:rPr>
          <w:lang w:val="es-ES"/>
        </w:rPr>
        <w:tab/>
      </w:r>
      <w:r w:rsidRPr="005F21F4">
        <w:rPr>
          <w:rStyle w:val="FootnoteReference"/>
        </w:rPr>
        <w:footnoteRef/>
      </w:r>
      <w:r w:rsidRPr="00D4409B">
        <w:rPr>
          <w:lang w:val="fr-FR"/>
        </w:rPr>
        <w:tab/>
      </w:r>
      <w:proofErr w:type="spellStart"/>
      <w:proofErr w:type="gramStart"/>
      <w:r w:rsidR="008E5DCD" w:rsidRPr="00D4409B">
        <w:rPr>
          <w:lang w:val="fr-FR"/>
        </w:rPr>
        <w:t>Véase</w:t>
      </w:r>
      <w:proofErr w:type="spellEnd"/>
      <w:r w:rsidR="008E5DCD" w:rsidRPr="00D4409B">
        <w:rPr>
          <w:lang w:val="fr-FR"/>
        </w:rPr>
        <w:t>:</w:t>
      </w:r>
      <w:proofErr w:type="gramEnd"/>
      <w:r w:rsidR="008E5DCD" w:rsidRPr="00D4409B">
        <w:rPr>
          <w:lang w:val="fr-FR"/>
        </w:rPr>
        <w:t xml:space="preserve"> </w:t>
      </w:r>
      <w:r w:rsidRPr="00D4409B">
        <w:rPr>
          <w:lang w:val="fr-FR"/>
        </w:rPr>
        <w:t>https://www.who.int/es/news-room/fact-sheets/detail/adolescent-pregnancy</w:t>
      </w:r>
    </w:p>
  </w:footnote>
  <w:footnote w:id="76">
    <w:p w14:paraId="439E28E6" w14:textId="49962DCB" w:rsidR="000535AC" w:rsidRPr="00BC464C" w:rsidRDefault="000535AC" w:rsidP="000535AC">
      <w:pPr>
        <w:pStyle w:val="FootnoteText"/>
        <w:rPr>
          <w:lang w:val="es-ES"/>
        </w:rPr>
      </w:pPr>
      <w:r w:rsidRPr="00D4409B">
        <w:rPr>
          <w:lang w:val="fr-FR"/>
        </w:rPr>
        <w:tab/>
      </w:r>
      <w:r w:rsidRPr="005F21F4">
        <w:rPr>
          <w:rStyle w:val="FootnoteReference"/>
        </w:rPr>
        <w:footnoteRef/>
      </w:r>
      <w:r w:rsidRPr="00BC464C">
        <w:rPr>
          <w:lang w:val="es-ES"/>
        </w:rPr>
        <w:tab/>
      </w:r>
      <w:r w:rsidR="008E5DCD">
        <w:rPr>
          <w:lang w:val="es-ES"/>
        </w:rPr>
        <w:t xml:space="preserve">Véase: </w:t>
      </w:r>
      <w:hyperlink r:id="rId4" w:history="1">
        <w:r w:rsidR="008E5DCD" w:rsidRPr="008E5DCD">
          <w:rPr>
            <w:rStyle w:val="Hyperlink"/>
            <w:lang w:val="es-ES"/>
          </w:rPr>
          <w:t>https://apps.who.int/iris/bitstream/handle/10665/112320/WHO_RHR_14.08_eng.pdf?sequence=1</w:t>
        </w:r>
      </w:hyperlink>
      <w:r w:rsidR="00640BC7">
        <w:rPr>
          <w:lang w:val="es-ES"/>
        </w:rPr>
        <w:t xml:space="preserve"> y la Observación General </w:t>
      </w:r>
      <w:r w:rsidR="00EA54A2">
        <w:rPr>
          <w:lang w:val="es-ES"/>
        </w:rPr>
        <w:t>No 22 (2016) del Comité de Derechos Económicos, Sociales y Culturales</w:t>
      </w:r>
      <w:r w:rsidR="004B7E37">
        <w:rPr>
          <w:lang w:val="es-ES"/>
        </w:rPr>
        <w:t>, párr</w:t>
      </w:r>
      <w:r w:rsidR="008E5DCD">
        <w:rPr>
          <w:lang w:val="es-ES"/>
        </w:rPr>
        <w:t>.</w:t>
      </w:r>
      <w:r w:rsidR="004B7E37">
        <w:rPr>
          <w:lang w:val="es-ES"/>
        </w:rPr>
        <w:t xml:space="preserve"> 28. </w:t>
      </w:r>
    </w:p>
  </w:footnote>
  <w:footnote w:id="77">
    <w:p w14:paraId="65173817" w14:textId="37ED48DC" w:rsidR="00ED1618" w:rsidRDefault="0029222F" w:rsidP="0029222F">
      <w:pPr>
        <w:pStyle w:val="FootnoteText"/>
        <w:rPr>
          <w:lang w:val="es-ES"/>
        </w:rPr>
      </w:pPr>
      <w:r>
        <w:rPr>
          <w:lang w:val="es-ES"/>
        </w:rPr>
        <w:tab/>
      </w:r>
      <w:r w:rsidR="00ED1618" w:rsidRPr="005F21F4">
        <w:rPr>
          <w:rStyle w:val="FootnoteReference"/>
        </w:rPr>
        <w:footnoteRef/>
      </w:r>
      <w:r w:rsidR="00ED1618" w:rsidRPr="00EA7E0A">
        <w:rPr>
          <w:lang w:val="es-ES"/>
        </w:rPr>
        <w:tab/>
      </w:r>
      <w:r w:rsidR="00880D88">
        <w:rPr>
          <w:lang w:val="es-ES"/>
        </w:rPr>
        <w:t>Observación General No 22 (2016)</w:t>
      </w:r>
      <w:r w:rsidR="00DE50B8">
        <w:rPr>
          <w:lang w:val="es-ES"/>
        </w:rPr>
        <w:t>,</w:t>
      </w:r>
      <w:r w:rsidR="00ED1618" w:rsidRPr="00EA7E0A">
        <w:rPr>
          <w:lang w:val="es-ES"/>
        </w:rPr>
        <w:t xml:space="preserve"> </w:t>
      </w:r>
      <w:r w:rsidR="00927372" w:rsidRPr="00EA7E0A">
        <w:rPr>
          <w:lang w:val="es-ES"/>
        </w:rPr>
        <w:t>p</w:t>
      </w:r>
      <w:r w:rsidR="00927372">
        <w:rPr>
          <w:lang w:val="es-ES"/>
        </w:rPr>
        <w:t>árr</w:t>
      </w:r>
      <w:r w:rsidR="00DE50B8">
        <w:rPr>
          <w:lang w:val="es-ES"/>
        </w:rPr>
        <w:t>.</w:t>
      </w:r>
      <w:r w:rsidR="00ED1618" w:rsidRPr="00EA7E0A">
        <w:rPr>
          <w:lang w:val="es-ES"/>
        </w:rPr>
        <w:t xml:space="preserve"> 44-45</w:t>
      </w:r>
    </w:p>
  </w:footnote>
  <w:footnote w:id="78">
    <w:p w14:paraId="46CFC3D0" w14:textId="0E68BDD4" w:rsidR="00ED1618" w:rsidRPr="00D4409B" w:rsidRDefault="00ED1618" w:rsidP="00ED1618">
      <w:pPr>
        <w:pStyle w:val="FootnoteText"/>
        <w:rPr>
          <w:lang w:val="fr-FR"/>
        </w:rPr>
      </w:pPr>
      <w:r w:rsidRPr="00EA7E0A">
        <w:rPr>
          <w:lang w:val="es-ES"/>
        </w:rPr>
        <w:tab/>
      </w:r>
      <w:r w:rsidRPr="005F21F4">
        <w:rPr>
          <w:rStyle w:val="FootnoteReference"/>
        </w:rPr>
        <w:footnoteRef/>
      </w:r>
      <w:r w:rsidRPr="00D4409B">
        <w:rPr>
          <w:lang w:val="fr-FR"/>
        </w:rPr>
        <w:tab/>
      </w:r>
      <w:proofErr w:type="spellStart"/>
      <w:proofErr w:type="gramStart"/>
      <w:r w:rsidR="00DE50B8" w:rsidRPr="00D4409B">
        <w:rPr>
          <w:lang w:val="fr-FR"/>
        </w:rPr>
        <w:t>Véase</w:t>
      </w:r>
      <w:proofErr w:type="spellEnd"/>
      <w:r w:rsidR="00DE50B8" w:rsidRPr="00D4409B">
        <w:rPr>
          <w:lang w:val="fr-FR"/>
        </w:rPr>
        <w:t>:</w:t>
      </w:r>
      <w:proofErr w:type="gramEnd"/>
      <w:r w:rsidR="00DE50B8" w:rsidRPr="00D4409B">
        <w:rPr>
          <w:lang w:val="fr-FR"/>
        </w:rPr>
        <w:t xml:space="preserve"> </w:t>
      </w:r>
      <w:r w:rsidRPr="00D4409B">
        <w:rPr>
          <w:lang w:val="fr-FR"/>
        </w:rPr>
        <w:t>https://www.minsa.gob.ni/pub/Mapa_Mortalidad_Materna_Nicaraguacierre%202022.pdf</w:t>
      </w:r>
    </w:p>
  </w:footnote>
  <w:footnote w:id="79">
    <w:p w14:paraId="2B97ED43" w14:textId="2F62E317" w:rsidR="00ED1618" w:rsidRPr="00BC464C" w:rsidRDefault="00ED1618" w:rsidP="00ED1618">
      <w:pPr>
        <w:pStyle w:val="FootnoteText"/>
        <w:rPr>
          <w:lang w:val="es-ES"/>
        </w:rPr>
      </w:pPr>
      <w:r w:rsidRPr="00D4409B">
        <w:rPr>
          <w:lang w:val="fr-FR"/>
        </w:rPr>
        <w:tab/>
      </w:r>
      <w:r w:rsidRPr="005F21F4">
        <w:rPr>
          <w:rStyle w:val="FootnoteReference"/>
        </w:rPr>
        <w:footnoteRef/>
      </w:r>
      <w:r w:rsidRPr="00BC464C">
        <w:rPr>
          <w:lang w:val="es-ES"/>
        </w:rPr>
        <w:tab/>
        <w:t xml:space="preserve">El Comité para la Eliminación de la Discriminación contra la Mujer considera que todos los matrimonios </w:t>
      </w:r>
      <w:r w:rsidR="0008487E">
        <w:rPr>
          <w:lang w:val="es-ES"/>
        </w:rPr>
        <w:t xml:space="preserve">de </w:t>
      </w:r>
      <w:r w:rsidRPr="00BC464C">
        <w:rPr>
          <w:lang w:val="es-ES"/>
        </w:rPr>
        <w:t>menores de 18 años son matrimonios forzados</w:t>
      </w:r>
      <w:r w:rsidR="0008487E" w:rsidRPr="0008487E">
        <w:rPr>
          <w:lang w:val="es-ES"/>
        </w:rPr>
        <w:t>. Véase la Recomendación general conjunta núm. 31 del Comité para la Eliminación de la Discriminación contra la Mujer/Observación general núm. 18 del Comité de los Derechos del Niño (2014) sobre las prácticas nocivas, párr. 20 y 55 f).</w:t>
      </w:r>
    </w:p>
  </w:footnote>
  <w:footnote w:id="80">
    <w:p w14:paraId="7E75EFFD" w14:textId="7FAEA7EB" w:rsidR="00ED1618" w:rsidRPr="00BC464C" w:rsidRDefault="00ED1618" w:rsidP="00ED1618">
      <w:pPr>
        <w:pStyle w:val="FootnoteText"/>
        <w:rPr>
          <w:lang w:val="es-ES"/>
        </w:rPr>
      </w:pPr>
      <w:r w:rsidRPr="00BC464C">
        <w:rPr>
          <w:lang w:val="es-ES"/>
        </w:rPr>
        <w:tab/>
      </w:r>
      <w:r w:rsidRPr="005F21F4">
        <w:rPr>
          <w:rStyle w:val="FootnoteReference"/>
        </w:rPr>
        <w:footnoteRef/>
      </w:r>
      <w:r w:rsidRPr="00BC464C">
        <w:rPr>
          <w:lang w:val="es-ES"/>
        </w:rPr>
        <w:tab/>
        <w:t>https://www.inide.gob.ni/docs/compendio/Compendio20_21/Compendio_Estadisticas_Vitales_2020_</w:t>
      </w:r>
      <w:r w:rsidR="0029222F">
        <w:rPr>
          <w:lang w:val="es-ES"/>
        </w:rPr>
        <w:br/>
      </w:r>
      <w:r w:rsidRPr="00BC464C">
        <w:rPr>
          <w:lang w:val="es-ES"/>
        </w:rPr>
        <w:t>2021.pdf, pág</w:t>
      </w:r>
      <w:r w:rsidR="002E53A4">
        <w:rPr>
          <w:lang w:val="es-ES"/>
        </w:rPr>
        <w:t>.</w:t>
      </w:r>
      <w:r w:rsidRPr="00BC464C">
        <w:rPr>
          <w:lang w:val="es-ES"/>
        </w:rPr>
        <w:t xml:space="preserve">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A422" w14:textId="1A9F595D" w:rsidR="00120C9B" w:rsidRDefault="00AB2BC2">
    <w:pPr>
      <w:pStyle w:val="Header"/>
    </w:pPr>
    <w:r>
      <w:rPr>
        <w:rStyle w:val="NoneA"/>
      </w:rPr>
      <w:t>A/HRC/</w:t>
    </w:r>
    <w:r w:rsidR="000A7222">
      <w:rPr>
        <w:rStyle w:val="NoneA"/>
      </w:rPr>
      <w:t>56</w:t>
    </w:r>
    <w:r>
      <w:rPr>
        <w:rStyle w:val="NoneA"/>
      </w:rPr>
      <w:t>/</w:t>
    </w:r>
    <w:r w:rsidR="000A7222">
      <w:rPr>
        <w:rStyle w:val="NoneA"/>
      </w:rPr>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D663" w14:textId="5BB3328E" w:rsidR="00120C9B" w:rsidRDefault="00120C9B">
    <w:pPr>
      <w:pStyle w:val="Header"/>
      <w:jc w:val="right"/>
    </w:pPr>
    <w:r>
      <w:rPr>
        <w:rStyle w:val="NoneA"/>
      </w:rPr>
      <w:t>A/HRC/</w:t>
    </w:r>
    <w:r w:rsidR="000A7222">
      <w:rPr>
        <w:rStyle w:val="NoneA"/>
      </w:rPr>
      <w:t>56</w:t>
    </w:r>
    <w:r>
      <w:rPr>
        <w:rStyle w:val="NoneA"/>
      </w:rPr>
      <w:t>/</w:t>
    </w:r>
    <w:r w:rsidR="000A7222">
      <w:rPr>
        <w:rStyle w:val="NoneA"/>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A00"/>
    <w:multiLevelType w:val="hybridMultilevel"/>
    <w:tmpl w:val="12AEECD0"/>
    <w:lvl w:ilvl="0" w:tplc="FFFFFFFF">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4481A"/>
    <w:multiLevelType w:val="hybridMultilevel"/>
    <w:tmpl w:val="B146592A"/>
    <w:lvl w:ilvl="0" w:tplc="FFFFFFFF">
      <w:start w:val="1"/>
      <w:numFmt w:val="decimal"/>
      <w:lvlText w:val="%1."/>
      <w:lvlJc w:val="left"/>
      <w:pPr>
        <w:ind w:left="1778" w:hanging="360"/>
      </w:pPr>
      <w:rPr>
        <w:rFonts w:hint="default"/>
        <w:b w:val="0"/>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291E86"/>
    <w:multiLevelType w:val="hybridMultilevel"/>
    <w:tmpl w:val="45A40EC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C511E"/>
    <w:multiLevelType w:val="multilevel"/>
    <w:tmpl w:val="4E9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909DA"/>
    <w:multiLevelType w:val="hybridMultilevel"/>
    <w:tmpl w:val="471AF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E4E0095"/>
    <w:multiLevelType w:val="hybridMultilevel"/>
    <w:tmpl w:val="C6EE1E36"/>
    <w:lvl w:ilvl="0" w:tplc="FFFFFFFF">
      <w:start w:val="1"/>
      <w:numFmt w:val="decimal"/>
      <w:lvlText w:val="%1."/>
      <w:lvlJc w:val="left"/>
      <w:pPr>
        <w:ind w:left="1211" w:hanging="360"/>
      </w:pPr>
      <w:rPr>
        <w:rFonts w:hint="default"/>
        <w:b w:val="0"/>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 w15:restartNumberingAfterBreak="0">
    <w:nsid w:val="0E9A61C0"/>
    <w:multiLevelType w:val="hybridMultilevel"/>
    <w:tmpl w:val="C8AABED8"/>
    <w:lvl w:ilvl="0" w:tplc="FFFFFFFF">
      <w:start w:val="1"/>
      <w:numFmt w:val="decimal"/>
      <w:lvlText w:val="%1."/>
      <w:lvlJc w:val="left"/>
      <w:pPr>
        <w:ind w:left="1494" w:hanging="360"/>
      </w:pPr>
      <w:rPr>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8E4840"/>
    <w:multiLevelType w:val="multilevel"/>
    <w:tmpl w:val="15D0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05BCE"/>
    <w:multiLevelType w:val="hybridMultilevel"/>
    <w:tmpl w:val="8154EA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4360152"/>
    <w:multiLevelType w:val="hybridMultilevel"/>
    <w:tmpl w:val="C6EE1E36"/>
    <w:lvl w:ilvl="0" w:tplc="F20C4818">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A1B3B69"/>
    <w:multiLevelType w:val="hybridMultilevel"/>
    <w:tmpl w:val="9C3889C6"/>
    <w:lvl w:ilvl="0" w:tplc="420ADC5E">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442DB"/>
    <w:multiLevelType w:val="hybridMultilevel"/>
    <w:tmpl w:val="C6EE1E36"/>
    <w:lvl w:ilvl="0" w:tplc="FFFFFFFF">
      <w:start w:val="1"/>
      <w:numFmt w:val="decimal"/>
      <w:lvlText w:val="%1."/>
      <w:lvlJc w:val="left"/>
      <w:pPr>
        <w:ind w:left="1211" w:hanging="360"/>
      </w:pPr>
      <w:rPr>
        <w:rFonts w:hint="default"/>
        <w:b w:val="0"/>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354451"/>
    <w:multiLevelType w:val="hybridMultilevel"/>
    <w:tmpl w:val="0432470E"/>
    <w:lvl w:ilvl="0" w:tplc="2CD2C54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5BE1A6E"/>
    <w:multiLevelType w:val="hybridMultilevel"/>
    <w:tmpl w:val="D424FC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A856F29"/>
    <w:multiLevelType w:val="hybridMultilevel"/>
    <w:tmpl w:val="C6EE1E36"/>
    <w:lvl w:ilvl="0" w:tplc="FFFFFFFF">
      <w:start w:val="1"/>
      <w:numFmt w:val="decimal"/>
      <w:lvlText w:val="%1."/>
      <w:lvlJc w:val="left"/>
      <w:pPr>
        <w:ind w:left="1211" w:hanging="360"/>
      </w:pPr>
      <w:rPr>
        <w:rFonts w:hint="default"/>
        <w:b w:val="0"/>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2C590D71"/>
    <w:multiLevelType w:val="hybridMultilevel"/>
    <w:tmpl w:val="B146592A"/>
    <w:lvl w:ilvl="0" w:tplc="F20C4818">
      <w:start w:val="1"/>
      <w:numFmt w:val="decimal"/>
      <w:lvlText w:val="%1."/>
      <w:lvlJc w:val="left"/>
      <w:pPr>
        <w:ind w:left="1778"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C840B50"/>
    <w:multiLevelType w:val="hybridMultilevel"/>
    <w:tmpl w:val="6C4AC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F203B2"/>
    <w:multiLevelType w:val="hybridMultilevel"/>
    <w:tmpl w:val="C6EE1E36"/>
    <w:lvl w:ilvl="0" w:tplc="FFFFFFFF">
      <w:start w:val="1"/>
      <w:numFmt w:val="decimal"/>
      <w:lvlText w:val="%1."/>
      <w:lvlJc w:val="left"/>
      <w:pPr>
        <w:ind w:left="1778" w:hanging="360"/>
      </w:pPr>
      <w:rPr>
        <w:rFonts w:hint="default"/>
        <w:b w:val="0"/>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3" w15:restartNumberingAfterBreak="0">
    <w:nsid w:val="2DF71E64"/>
    <w:multiLevelType w:val="hybridMultilevel"/>
    <w:tmpl w:val="F0BCF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AB4907"/>
    <w:multiLevelType w:val="hybridMultilevel"/>
    <w:tmpl w:val="9C12C5DA"/>
    <w:lvl w:ilvl="0" w:tplc="F20C4818">
      <w:start w:val="1"/>
      <w:numFmt w:val="decimal"/>
      <w:lvlText w:val="%1."/>
      <w:lvlJc w:val="left"/>
      <w:pPr>
        <w:ind w:left="1710" w:hanging="576"/>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077CF1"/>
    <w:multiLevelType w:val="hybridMultilevel"/>
    <w:tmpl w:val="C6EE1E36"/>
    <w:lvl w:ilvl="0" w:tplc="F20C4818">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8AC5F57"/>
    <w:multiLevelType w:val="hybridMultilevel"/>
    <w:tmpl w:val="A4327EC0"/>
    <w:lvl w:ilvl="0" w:tplc="A03E03F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2922758"/>
    <w:multiLevelType w:val="hybridMultilevel"/>
    <w:tmpl w:val="21EE0022"/>
    <w:lvl w:ilvl="0" w:tplc="E2B014A6">
      <w:start w:val="23"/>
      <w:numFmt w:val="decimal"/>
      <w:lvlText w:val="%1."/>
      <w:lvlJc w:val="left"/>
      <w:pPr>
        <w:ind w:left="1495" w:hanging="360"/>
      </w:pPr>
      <w:rPr>
        <w:rFonts w:hint="default"/>
        <w:b w:val="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43D45F5A"/>
    <w:multiLevelType w:val="hybridMultilevel"/>
    <w:tmpl w:val="C6EE1E36"/>
    <w:lvl w:ilvl="0" w:tplc="FFFFFFFF">
      <w:start w:val="1"/>
      <w:numFmt w:val="decimal"/>
      <w:lvlText w:val="%1."/>
      <w:lvlJc w:val="left"/>
      <w:pPr>
        <w:ind w:left="1211" w:hanging="360"/>
      </w:pPr>
      <w:rPr>
        <w:rFonts w:hint="default"/>
        <w:b w:val="0"/>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0" w15:restartNumberingAfterBreak="0">
    <w:nsid w:val="449C6079"/>
    <w:multiLevelType w:val="hybridMultilevel"/>
    <w:tmpl w:val="C6EE1E36"/>
    <w:lvl w:ilvl="0" w:tplc="FFFFFFFF">
      <w:start w:val="1"/>
      <w:numFmt w:val="decimal"/>
      <w:lvlText w:val="%1."/>
      <w:lvlJc w:val="left"/>
      <w:pPr>
        <w:ind w:left="1211" w:hanging="360"/>
      </w:pPr>
      <w:rPr>
        <w:rFonts w:hint="default"/>
        <w:b w:val="0"/>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45A5092F"/>
    <w:multiLevelType w:val="hybridMultilevel"/>
    <w:tmpl w:val="C6EE1E36"/>
    <w:lvl w:ilvl="0" w:tplc="FFFFFFFF">
      <w:start w:val="1"/>
      <w:numFmt w:val="decimal"/>
      <w:lvlText w:val="%1."/>
      <w:lvlJc w:val="left"/>
      <w:pPr>
        <w:ind w:left="1211" w:hanging="360"/>
      </w:pPr>
      <w:rPr>
        <w:rFonts w:hint="default"/>
        <w:b w:val="0"/>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2" w15:restartNumberingAfterBreak="0">
    <w:nsid w:val="4DCF4725"/>
    <w:multiLevelType w:val="hybridMultilevel"/>
    <w:tmpl w:val="C6EE1E36"/>
    <w:lvl w:ilvl="0" w:tplc="FFFFFFFF">
      <w:start w:val="1"/>
      <w:numFmt w:val="decimal"/>
      <w:lvlText w:val="%1."/>
      <w:lvlJc w:val="left"/>
      <w:pPr>
        <w:ind w:left="1211" w:hanging="360"/>
      </w:pPr>
      <w:rPr>
        <w:rFonts w:hint="default"/>
        <w:b w:val="0"/>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534F548E"/>
    <w:multiLevelType w:val="hybridMultilevel"/>
    <w:tmpl w:val="1250CC3C"/>
    <w:lvl w:ilvl="0" w:tplc="D8328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228E2"/>
    <w:multiLevelType w:val="hybridMultilevel"/>
    <w:tmpl w:val="C6EE1E36"/>
    <w:lvl w:ilvl="0" w:tplc="FFFFFFFF">
      <w:start w:val="1"/>
      <w:numFmt w:val="decimal"/>
      <w:lvlText w:val="%1."/>
      <w:lvlJc w:val="left"/>
      <w:pPr>
        <w:ind w:left="1211" w:hanging="360"/>
      </w:pPr>
      <w:rPr>
        <w:rFonts w:hint="default"/>
        <w:b w:val="0"/>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5" w15:restartNumberingAfterBreak="0">
    <w:nsid w:val="560F3F1C"/>
    <w:multiLevelType w:val="hybridMultilevel"/>
    <w:tmpl w:val="B9F20DE4"/>
    <w:lvl w:ilvl="0" w:tplc="FFFFFFFF">
      <w:start w:val="1"/>
      <w:numFmt w:val="decimal"/>
      <w:lvlText w:val="%1."/>
      <w:lvlJc w:val="left"/>
      <w:pPr>
        <w:ind w:left="17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C77D7"/>
    <w:multiLevelType w:val="hybridMultilevel"/>
    <w:tmpl w:val="E0CCB47E"/>
    <w:lvl w:ilvl="0" w:tplc="20BAD03A">
      <w:start w:val="1"/>
      <w:numFmt w:val="upperLetter"/>
      <w:lvlText w:val="%1."/>
      <w:lvlJc w:val="left"/>
      <w:pPr>
        <w:ind w:left="1695" w:hanging="108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7" w15:restartNumberingAfterBreak="0">
    <w:nsid w:val="622210C1"/>
    <w:multiLevelType w:val="hybridMultilevel"/>
    <w:tmpl w:val="EC58A42A"/>
    <w:lvl w:ilvl="0" w:tplc="3D8EE5C2">
      <w:start w:val="6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8F52652"/>
    <w:multiLevelType w:val="hybridMultilevel"/>
    <w:tmpl w:val="C6EE1E36"/>
    <w:lvl w:ilvl="0" w:tplc="F20C4818">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B7B6F17"/>
    <w:multiLevelType w:val="hybridMultilevel"/>
    <w:tmpl w:val="0D223B4C"/>
    <w:lvl w:ilvl="0" w:tplc="6030AC6C">
      <w:start w:val="1"/>
      <w:numFmt w:val="decimal"/>
      <w:lvlText w:val="%1."/>
      <w:lvlJc w:val="left"/>
      <w:pPr>
        <w:ind w:left="502" w:hanging="360"/>
      </w:pPr>
      <w:rPr>
        <w:rFonts w:ascii="Times New Roman" w:hAnsi="Times New Roman" w:cs="Times New Roman" w:hint="default"/>
        <w:b w:val="0"/>
        <w:i w:val="0"/>
        <w:color w:val="auto"/>
        <w:sz w:val="24"/>
        <w:szCs w:val="24"/>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num w:numId="1" w16cid:durableId="131677157">
    <w:abstractNumId w:val="17"/>
  </w:num>
  <w:num w:numId="2" w16cid:durableId="1224633158">
    <w:abstractNumId w:val="11"/>
  </w:num>
  <w:num w:numId="3" w16cid:durableId="1515924178">
    <w:abstractNumId w:val="14"/>
  </w:num>
  <w:num w:numId="4" w16cid:durableId="1390769137">
    <w:abstractNumId w:val="37"/>
  </w:num>
  <w:num w:numId="5" w16cid:durableId="780227531">
    <w:abstractNumId w:val="25"/>
  </w:num>
  <w:num w:numId="6" w16cid:durableId="1544904727">
    <w:abstractNumId w:val="16"/>
  </w:num>
  <w:num w:numId="7" w16cid:durableId="802162359">
    <w:abstractNumId w:val="39"/>
  </w:num>
  <w:num w:numId="8" w16cid:durableId="1003167880">
    <w:abstractNumId w:val="10"/>
  </w:num>
  <w:num w:numId="9" w16cid:durableId="1230115658">
    <w:abstractNumId w:val="2"/>
  </w:num>
  <w:num w:numId="10" w16cid:durableId="863514910">
    <w:abstractNumId w:val="4"/>
  </w:num>
  <w:num w:numId="11" w16cid:durableId="94907651">
    <w:abstractNumId w:val="38"/>
  </w:num>
  <w:num w:numId="12" w16cid:durableId="333920937">
    <w:abstractNumId w:val="7"/>
  </w:num>
  <w:num w:numId="13" w16cid:durableId="317390879">
    <w:abstractNumId w:val="12"/>
  </w:num>
  <w:num w:numId="14" w16cid:durableId="1577589618">
    <w:abstractNumId w:val="24"/>
  </w:num>
  <w:num w:numId="15" w16cid:durableId="2078935982">
    <w:abstractNumId w:val="24"/>
    <w:lvlOverride w:ilvl="0">
      <w:lvl w:ilvl="0" w:tplc="F20C4818">
        <w:start w:val="1"/>
        <w:numFmt w:val="decimal"/>
        <w:lvlText w:val="%1."/>
        <w:lvlJc w:val="left"/>
        <w:pPr>
          <w:ind w:left="1710" w:hanging="576"/>
        </w:pPr>
        <w:rPr>
          <w:rFonts w:hint="default"/>
          <w:b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6" w16cid:durableId="1178420018">
    <w:abstractNumId w:val="33"/>
  </w:num>
  <w:num w:numId="17" w16cid:durableId="645937622">
    <w:abstractNumId w:val="21"/>
  </w:num>
  <w:num w:numId="18" w16cid:durableId="2067532854">
    <w:abstractNumId w:val="5"/>
  </w:num>
  <w:num w:numId="19" w16cid:durableId="651256227">
    <w:abstractNumId w:val="0"/>
  </w:num>
  <w:num w:numId="20" w16cid:durableId="16291182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678094">
    <w:abstractNumId w:val="6"/>
  </w:num>
  <w:num w:numId="22" w16cid:durableId="1197541155">
    <w:abstractNumId w:val="20"/>
  </w:num>
  <w:num w:numId="23" w16cid:durableId="1901207730">
    <w:abstractNumId w:val="13"/>
  </w:num>
  <w:num w:numId="24" w16cid:durableId="14618955">
    <w:abstractNumId w:val="26"/>
  </w:num>
  <w:num w:numId="25" w16cid:durableId="537860373">
    <w:abstractNumId w:val="18"/>
  </w:num>
  <w:num w:numId="26" w16cid:durableId="1590577413">
    <w:abstractNumId w:val="23"/>
  </w:num>
  <w:num w:numId="27" w16cid:durableId="361632547">
    <w:abstractNumId w:val="28"/>
  </w:num>
  <w:num w:numId="28" w16cid:durableId="1222251671">
    <w:abstractNumId w:val="27"/>
  </w:num>
  <w:num w:numId="29" w16cid:durableId="128741897">
    <w:abstractNumId w:val="40"/>
  </w:num>
  <w:num w:numId="30" w16cid:durableId="53821476">
    <w:abstractNumId w:val="8"/>
  </w:num>
  <w:num w:numId="31" w16cid:durableId="1955747824">
    <w:abstractNumId w:val="34"/>
  </w:num>
  <w:num w:numId="32" w16cid:durableId="1291714821">
    <w:abstractNumId w:val="31"/>
  </w:num>
  <w:num w:numId="33" w16cid:durableId="1195457146">
    <w:abstractNumId w:val="19"/>
  </w:num>
  <w:num w:numId="34" w16cid:durableId="234164076">
    <w:abstractNumId w:val="32"/>
  </w:num>
  <w:num w:numId="35" w16cid:durableId="1270696803">
    <w:abstractNumId w:val="30"/>
  </w:num>
  <w:num w:numId="36" w16cid:durableId="1561675474">
    <w:abstractNumId w:val="15"/>
  </w:num>
  <w:num w:numId="37" w16cid:durableId="620380647">
    <w:abstractNumId w:val="29"/>
  </w:num>
  <w:num w:numId="38" w16cid:durableId="1906526727">
    <w:abstractNumId w:val="22"/>
  </w:num>
  <w:num w:numId="39" w16cid:durableId="1054962566">
    <w:abstractNumId w:val="35"/>
  </w:num>
  <w:num w:numId="40" w16cid:durableId="557473963">
    <w:abstractNumId w:val="3"/>
  </w:num>
  <w:num w:numId="41" w16cid:durableId="1228497908">
    <w:abstractNumId w:val="9"/>
  </w:num>
  <w:num w:numId="42" w16cid:durableId="1325746956">
    <w:abstractNumId w:val="36"/>
  </w:num>
  <w:num w:numId="43" w16cid:durableId="1217398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567"/>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583"/>
    <w:rsid w:val="00000A27"/>
    <w:rsid w:val="0000273F"/>
    <w:rsid w:val="00002D3F"/>
    <w:rsid w:val="00003977"/>
    <w:rsid w:val="00003A2E"/>
    <w:rsid w:val="00003F08"/>
    <w:rsid w:val="00004C83"/>
    <w:rsid w:val="00006342"/>
    <w:rsid w:val="000104D1"/>
    <w:rsid w:val="0001131A"/>
    <w:rsid w:val="00011818"/>
    <w:rsid w:val="000127D8"/>
    <w:rsid w:val="00012E79"/>
    <w:rsid w:val="00014975"/>
    <w:rsid w:val="00015B4A"/>
    <w:rsid w:val="0001680B"/>
    <w:rsid w:val="0002056B"/>
    <w:rsid w:val="00021615"/>
    <w:rsid w:val="00021E31"/>
    <w:rsid w:val="0002360B"/>
    <w:rsid w:val="000239CB"/>
    <w:rsid w:val="00024E71"/>
    <w:rsid w:val="00025D38"/>
    <w:rsid w:val="00025F54"/>
    <w:rsid w:val="000263BB"/>
    <w:rsid w:val="000301A8"/>
    <w:rsid w:val="00030601"/>
    <w:rsid w:val="00034077"/>
    <w:rsid w:val="0003418A"/>
    <w:rsid w:val="000347A2"/>
    <w:rsid w:val="0003641E"/>
    <w:rsid w:val="00037F3E"/>
    <w:rsid w:val="00040430"/>
    <w:rsid w:val="000406FB"/>
    <w:rsid w:val="00042672"/>
    <w:rsid w:val="000427DC"/>
    <w:rsid w:val="00042B70"/>
    <w:rsid w:val="00042C57"/>
    <w:rsid w:val="00042E04"/>
    <w:rsid w:val="00042EFA"/>
    <w:rsid w:val="00044920"/>
    <w:rsid w:val="0004508F"/>
    <w:rsid w:val="00045F80"/>
    <w:rsid w:val="00046BE6"/>
    <w:rsid w:val="000535AC"/>
    <w:rsid w:val="00054DE7"/>
    <w:rsid w:val="00054FA1"/>
    <w:rsid w:val="00056BE1"/>
    <w:rsid w:val="000605B7"/>
    <w:rsid w:val="00060631"/>
    <w:rsid w:val="00060F79"/>
    <w:rsid w:val="000615CF"/>
    <w:rsid w:val="000616EB"/>
    <w:rsid w:val="00061DDF"/>
    <w:rsid w:val="00061F2A"/>
    <w:rsid w:val="000633C3"/>
    <w:rsid w:val="00063F99"/>
    <w:rsid w:val="00066ADB"/>
    <w:rsid w:val="00067D3C"/>
    <w:rsid w:val="00067F0D"/>
    <w:rsid w:val="00070296"/>
    <w:rsid w:val="0007082F"/>
    <w:rsid w:val="00070C37"/>
    <w:rsid w:val="00071000"/>
    <w:rsid w:val="00072016"/>
    <w:rsid w:val="00072451"/>
    <w:rsid w:val="00072B86"/>
    <w:rsid w:val="00072BC7"/>
    <w:rsid w:val="00073B06"/>
    <w:rsid w:val="000746FA"/>
    <w:rsid w:val="00074AE8"/>
    <w:rsid w:val="000750E2"/>
    <w:rsid w:val="00075239"/>
    <w:rsid w:val="00075D78"/>
    <w:rsid w:val="00076D0D"/>
    <w:rsid w:val="00077062"/>
    <w:rsid w:val="0007732F"/>
    <w:rsid w:val="00077BEA"/>
    <w:rsid w:val="00077C9C"/>
    <w:rsid w:val="00080793"/>
    <w:rsid w:val="00080971"/>
    <w:rsid w:val="00080FC9"/>
    <w:rsid w:val="000811EE"/>
    <w:rsid w:val="00082A3D"/>
    <w:rsid w:val="0008487E"/>
    <w:rsid w:val="00084EBB"/>
    <w:rsid w:val="00084F6F"/>
    <w:rsid w:val="000862BE"/>
    <w:rsid w:val="00086317"/>
    <w:rsid w:val="00087AC7"/>
    <w:rsid w:val="000905E6"/>
    <w:rsid w:val="000928AC"/>
    <w:rsid w:val="00092E26"/>
    <w:rsid w:val="00092E39"/>
    <w:rsid w:val="0009417A"/>
    <w:rsid w:val="00095825"/>
    <w:rsid w:val="000974D3"/>
    <w:rsid w:val="000A0535"/>
    <w:rsid w:val="000A0A94"/>
    <w:rsid w:val="000A13B2"/>
    <w:rsid w:val="000A187D"/>
    <w:rsid w:val="000A1B50"/>
    <w:rsid w:val="000A30E4"/>
    <w:rsid w:val="000A42C2"/>
    <w:rsid w:val="000A7222"/>
    <w:rsid w:val="000A7C52"/>
    <w:rsid w:val="000B185C"/>
    <w:rsid w:val="000B1A05"/>
    <w:rsid w:val="000B1A0D"/>
    <w:rsid w:val="000B1F1A"/>
    <w:rsid w:val="000B216A"/>
    <w:rsid w:val="000B22AB"/>
    <w:rsid w:val="000B2984"/>
    <w:rsid w:val="000B42BB"/>
    <w:rsid w:val="000B4602"/>
    <w:rsid w:val="000B587C"/>
    <w:rsid w:val="000B7B97"/>
    <w:rsid w:val="000C1A51"/>
    <w:rsid w:val="000C2DE7"/>
    <w:rsid w:val="000C412D"/>
    <w:rsid w:val="000C594C"/>
    <w:rsid w:val="000C65C7"/>
    <w:rsid w:val="000C6E47"/>
    <w:rsid w:val="000C7463"/>
    <w:rsid w:val="000C7595"/>
    <w:rsid w:val="000D08EB"/>
    <w:rsid w:val="000D2AE5"/>
    <w:rsid w:val="000D2F3D"/>
    <w:rsid w:val="000D36B2"/>
    <w:rsid w:val="000D4150"/>
    <w:rsid w:val="000D4EB8"/>
    <w:rsid w:val="000D54B9"/>
    <w:rsid w:val="000D6CC3"/>
    <w:rsid w:val="000D735F"/>
    <w:rsid w:val="000E0C41"/>
    <w:rsid w:val="000E118A"/>
    <w:rsid w:val="000E2FCD"/>
    <w:rsid w:val="000E32BB"/>
    <w:rsid w:val="000E4C0F"/>
    <w:rsid w:val="000E4D02"/>
    <w:rsid w:val="000E54D9"/>
    <w:rsid w:val="000E5A94"/>
    <w:rsid w:val="000E7838"/>
    <w:rsid w:val="000F008C"/>
    <w:rsid w:val="000F0F6D"/>
    <w:rsid w:val="000F1714"/>
    <w:rsid w:val="000F600D"/>
    <w:rsid w:val="000F6097"/>
    <w:rsid w:val="000F60AE"/>
    <w:rsid w:val="000F70A3"/>
    <w:rsid w:val="0010090A"/>
    <w:rsid w:val="00101F25"/>
    <w:rsid w:val="001020F1"/>
    <w:rsid w:val="001027B5"/>
    <w:rsid w:val="0010341C"/>
    <w:rsid w:val="00104220"/>
    <w:rsid w:val="00105330"/>
    <w:rsid w:val="00105D24"/>
    <w:rsid w:val="0010683F"/>
    <w:rsid w:val="00110851"/>
    <w:rsid w:val="00110AE5"/>
    <w:rsid w:val="00111124"/>
    <w:rsid w:val="00111A76"/>
    <w:rsid w:val="00111E18"/>
    <w:rsid w:val="00112354"/>
    <w:rsid w:val="0011298D"/>
    <w:rsid w:val="00114F49"/>
    <w:rsid w:val="00115631"/>
    <w:rsid w:val="00115683"/>
    <w:rsid w:val="0011668E"/>
    <w:rsid w:val="00117D65"/>
    <w:rsid w:val="00120342"/>
    <w:rsid w:val="00120C9B"/>
    <w:rsid w:val="00121504"/>
    <w:rsid w:val="0012154F"/>
    <w:rsid w:val="00122345"/>
    <w:rsid w:val="0012290A"/>
    <w:rsid w:val="00123C55"/>
    <w:rsid w:val="0012494E"/>
    <w:rsid w:val="00125293"/>
    <w:rsid w:val="00125812"/>
    <w:rsid w:val="00125F37"/>
    <w:rsid w:val="0012697B"/>
    <w:rsid w:val="00126CC4"/>
    <w:rsid w:val="00127EDD"/>
    <w:rsid w:val="00130597"/>
    <w:rsid w:val="00133476"/>
    <w:rsid w:val="001343E1"/>
    <w:rsid w:val="0013555F"/>
    <w:rsid w:val="00137D19"/>
    <w:rsid w:val="00140038"/>
    <w:rsid w:val="001409B0"/>
    <w:rsid w:val="00141418"/>
    <w:rsid w:val="00142349"/>
    <w:rsid w:val="001425C1"/>
    <w:rsid w:val="00143E4F"/>
    <w:rsid w:val="00145A5E"/>
    <w:rsid w:val="00147C69"/>
    <w:rsid w:val="00151E6D"/>
    <w:rsid w:val="00152393"/>
    <w:rsid w:val="001523A5"/>
    <w:rsid w:val="0015269C"/>
    <w:rsid w:val="00153391"/>
    <w:rsid w:val="00155989"/>
    <w:rsid w:val="00156A2D"/>
    <w:rsid w:val="0015707D"/>
    <w:rsid w:val="00157355"/>
    <w:rsid w:val="00160608"/>
    <w:rsid w:val="00163293"/>
    <w:rsid w:val="001634AA"/>
    <w:rsid w:val="00163CB6"/>
    <w:rsid w:val="00163F22"/>
    <w:rsid w:val="00164065"/>
    <w:rsid w:val="0016462D"/>
    <w:rsid w:val="001659B2"/>
    <w:rsid w:val="00165F26"/>
    <w:rsid w:val="00166A29"/>
    <w:rsid w:val="00166C86"/>
    <w:rsid w:val="00167621"/>
    <w:rsid w:val="00171F3B"/>
    <w:rsid w:val="001720CC"/>
    <w:rsid w:val="00172F12"/>
    <w:rsid w:val="00173C70"/>
    <w:rsid w:val="00174BFB"/>
    <w:rsid w:val="001772D6"/>
    <w:rsid w:val="00177781"/>
    <w:rsid w:val="001801C8"/>
    <w:rsid w:val="00180863"/>
    <w:rsid w:val="00181EA0"/>
    <w:rsid w:val="00182A9E"/>
    <w:rsid w:val="00183226"/>
    <w:rsid w:val="00183540"/>
    <w:rsid w:val="0018373F"/>
    <w:rsid w:val="00183C20"/>
    <w:rsid w:val="0018456F"/>
    <w:rsid w:val="001845EA"/>
    <w:rsid w:val="00186D46"/>
    <w:rsid w:val="0018706F"/>
    <w:rsid w:val="00191083"/>
    <w:rsid w:val="00191DE9"/>
    <w:rsid w:val="001924E0"/>
    <w:rsid w:val="001925D0"/>
    <w:rsid w:val="00192E9B"/>
    <w:rsid w:val="0019386C"/>
    <w:rsid w:val="00193B34"/>
    <w:rsid w:val="001942E8"/>
    <w:rsid w:val="001945E1"/>
    <w:rsid w:val="00195331"/>
    <w:rsid w:val="00197720"/>
    <w:rsid w:val="001A0574"/>
    <w:rsid w:val="001A1295"/>
    <w:rsid w:val="001A186B"/>
    <w:rsid w:val="001A18FC"/>
    <w:rsid w:val="001A2A31"/>
    <w:rsid w:val="001A35C4"/>
    <w:rsid w:val="001A363D"/>
    <w:rsid w:val="001A5B61"/>
    <w:rsid w:val="001A65D3"/>
    <w:rsid w:val="001A6897"/>
    <w:rsid w:val="001B0F26"/>
    <w:rsid w:val="001B556D"/>
    <w:rsid w:val="001C1730"/>
    <w:rsid w:val="001C220E"/>
    <w:rsid w:val="001C31D7"/>
    <w:rsid w:val="001C5F0B"/>
    <w:rsid w:val="001C62F9"/>
    <w:rsid w:val="001C71DE"/>
    <w:rsid w:val="001D053A"/>
    <w:rsid w:val="001D22A0"/>
    <w:rsid w:val="001D2D27"/>
    <w:rsid w:val="001D3DC7"/>
    <w:rsid w:val="001D463E"/>
    <w:rsid w:val="001D5555"/>
    <w:rsid w:val="001D7DE8"/>
    <w:rsid w:val="001D7E36"/>
    <w:rsid w:val="001E06E8"/>
    <w:rsid w:val="001E0A2D"/>
    <w:rsid w:val="001E362F"/>
    <w:rsid w:val="001E3885"/>
    <w:rsid w:val="001E4BEA"/>
    <w:rsid w:val="001E506F"/>
    <w:rsid w:val="001F3836"/>
    <w:rsid w:val="001F4143"/>
    <w:rsid w:val="001F641C"/>
    <w:rsid w:val="001F6753"/>
    <w:rsid w:val="0020096F"/>
    <w:rsid w:val="00201689"/>
    <w:rsid w:val="0020253F"/>
    <w:rsid w:val="00202C55"/>
    <w:rsid w:val="0020489F"/>
    <w:rsid w:val="00205522"/>
    <w:rsid w:val="00207758"/>
    <w:rsid w:val="00210210"/>
    <w:rsid w:val="002109A4"/>
    <w:rsid w:val="0021130F"/>
    <w:rsid w:val="00213F07"/>
    <w:rsid w:val="00215068"/>
    <w:rsid w:val="00215B8B"/>
    <w:rsid w:val="00216003"/>
    <w:rsid w:val="002162BF"/>
    <w:rsid w:val="002175DA"/>
    <w:rsid w:val="00220346"/>
    <w:rsid w:val="00220A91"/>
    <w:rsid w:val="002213CB"/>
    <w:rsid w:val="00221573"/>
    <w:rsid w:val="00221E3A"/>
    <w:rsid w:val="00222D06"/>
    <w:rsid w:val="002230FF"/>
    <w:rsid w:val="00223383"/>
    <w:rsid w:val="002240F1"/>
    <w:rsid w:val="00224E06"/>
    <w:rsid w:val="00226198"/>
    <w:rsid w:val="00226835"/>
    <w:rsid w:val="00227372"/>
    <w:rsid w:val="0023041B"/>
    <w:rsid w:val="00230C9A"/>
    <w:rsid w:val="00231A4E"/>
    <w:rsid w:val="00231B41"/>
    <w:rsid w:val="00232D9A"/>
    <w:rsid w:val="0023310F"/>
    <w:rsid w:val="0023361C"/>
    <w:rsid w:val="002367A2"/>
    <w:rsid w:val="00237220"/>
    <w:rsid w:val="002377AE"/>
    <w:rsid w:val="00237F4A"/>
    <w:rsid w:val="0024024B"/>
    <w:rsid w:val="0024055B"/>
    <w:rsid w:val="00240D4E"/>
    <w:rsid w:val="00241198"/>
    <w:rsid w:val="00244126"/>
    <w:rsid w:val="00244379"/>
    <w:rsid w:val="00245409"/>
    <w:rsid w:val="0024690F"/>
    <w:rsid w:val="0024706A"/>
    <w:rsid w:val="002472D9"/>
    <w:rsid w:val="002503FE"/>
    <w:rsid w:val="002505B2"/>
    <w:rsid w:val="00252FA9"/>
    <w:rsid w:val="002536FE"/>
    <w:rsid w:val="00253C4B"/>
    <w:rsid w:val="00254BA7"/>
    <w:rsid w:val="00255BF0"/>
    <w:rsid w:val="00257F9E"/>
    <w:rsid w:val="00260106"/>
    <w:rsid w:val="002612A8"/>
    <w:rsid w:val="00261A8D"/>
    <w:rsid w:val="00261FAE"/>
    <w:rsid w:val="00262A76"/>
    <w:rsid w:val="00263CA6"/>
    <w:rsid w:val="00263EBE"/>
    <w:rsid w:val="002647E7"/>
    <w:rsid w:val="002657E0"/>
    <w:rsid w:val="00271571"/>
    <w:rsid w:val="00271AEC"/>
    <w:rsid w:val="0027286C"/>
    <w:rsid w:val="00272B4B"/>
    <w:rsid w:val="00273C9B"/>
    <w:rsid w:val="0027476C"/>
    <w:rsid w:val="00275129"/>
    <w:rsid w:val="00276B8A"/>
    <w:rsid w:val="002775C1"/>
    <w:rsid w:val="002809BB"/>
    <w:rsid w:val="00280C62"/>
    <w:rsid w:val="00280D66"/>
    <w:rsid w:val="00281188"/>
    <w:rsid w:val="002811A2"/>
    <w:rsid w:val="00282CAE"/>
    <w:rsid w:val="00282D3A"/>
    <w:rsid w:val="00283031"/>
    <w:rsid w:val="002837B3"/>
    <w:rsid w:val="002845DB"/>
    <w:rsid w:val="00284EDB"/>
    <w:rsid w:val="00285142"/>
    <w:rsid w:val="0028714D"/>
    <w:rsid w:val="00287249"/>
    <w:rsid w:val="00291D5B"/>
    <w:rsid w:val="00291D8F"/>
    <w:rsid w:val="0029222F"/>
    <w:rsid w:val="00292876"/>
    <w:rsid w:val="00292B51"/>
    <w:rsid w:val="00292ED8"/>
    <w:rsid w:val="00293497"/>
    <w:rsid w:val="002936CF"/>
    <w:rsid w:val="002940DD"/>
    <w:rsid w:val="00295168"/>
    <w:rsid w:val="0029562D"/>
    <w:rsid w:val="00295D7C"/>
    <w:rsid w:val="00296758"/>
    <w:rsid w:val="002968D3"/>
    <w:rsid w:val="00296CC3"/>
    <w:rsid w:val="00297002"/>
    <w:rsid w:val="002A1705"/>
    <w:rsid w:val="002A205C"/>
    <w:rsid w:val="002A2678"/>
    <w:rsid w:val="002A3B12"/>
    <w:rsid w:val="002A4889"/>
    <w:rsid w:val="002A5092"/>
    <w:rsid w:val="002A5381"/>
    <w:rsid w:val="002A5B81"/>
    <w:rsid w:val="002B0A43"/>
    <w:rsid w:val="002B1512"/>
    <w:rsid w:val="002B23D6"/>
    <w:rsid w:val="002B3446"/>
    <w:rsid w:val="002B45E7"/>
    <w:rsid w:val="002B4981"/>
    <w:rsid w:val="002B6051"/>
    <w:rsid w:val="002C01F7"/>
    <w:rsid w:val="002C3B8E"/>
    <w:rsid w:val="002C4CC5"/>
    <w:rsid w:val="002C60B9"/>
    <w:rsid w:val="002C63DC"/>
    <w:rsid w:val="002C7187"/>
    <w:rsid w:val="002D1D3D"/>
    <w:rsid w:val="002D21C2"/>
    <w:rsid w:val="002D24B1"/>
    <w:rsid w:val="002D3670"/>
    <w:rsid w:val="002D4AB8"/>
    <w:rsid w:val="002D586F"/>
    <w:rsid w:val="002D679C"/>
    <w:rsid w:val="002E013F"/>
    <w:rsid w:val="002E04F1"/>
    <w:rsid w:val="002E1D4E"/>
    <w:rsid w:val="002E1DF2"/>
    <w:rsid w:val="002E2298"/>
    <w:rsid w:val="002E2630"/>
    <w:rsid w:val="002E427A"/>
    <w:rsid w:val="002E53A4"/>
    <w:rsid w:val="002E55B0"/>
    <w:rsid w:val="002E7562"/>
    <w:rsid w:val="002F01E7"/>
    <w:rsid w:val="002F088F"/>
    <w:rsid w:val="002F1A3C"/>
    <w:rsid w:val="002F1A82"/>
    <w:rsid w:val="002F2DB7"/>
    <w:rsid w:val="002F344F"/>
    <w:rsid w:val="002F3E39"/>
    <w:rsid w:val="002F4225"/>
    <w:rsid w:val="002F4BA0"/>
    <w:rsid w:val="002F4E0A"/>
    <w:rsid w:val="002F5CC7"/>
    <w:rsid w:val="002F5E5B"/>
    <w:rsid w:val="002F5F57"/>
    <w:rsid w:val="002F7353"/>
    <w:rsid w:val="00300B4F"/>
    <w:rsid w:val="00301200"/>
    <w:rsid w:val="00302619"/>
    <w:rsid w:val="0030542A"/>
    <w:rsid w:val="00305B90"/>
    <w:rsid w:val="00307DD0"/>
    <w:rsid w:val="00310F44"/>
    <w:rsid w:val="0031336E"/>
    <w:rsid w:val="00314258"/>
    <w:rsid w:val="00314738"/>
    <w:rsid w:val="00314B8F"/>
    <w:rsid w:val="00315277"/>
    <w:rsid w:val="0031630D"/>
    <w:rsid w:val="00320511"/>
    <w:rsid w:val="0032089F"/>
    <w:rsid w:val="00321401"/>
    <w:rsid w:val="00322857"/>
    <w:rsid w:val="00322E5A"/>
    <w:rsid w:val="00323E86"/>
    <w:rsid w:val="00325BE8"/>
    <w:rsid w:val="003263A6"/>
    <w:rsid w:val="0032643B"/>
    <w:rsid w:val="00330098"/>
    <w:rsid w:val="00330F5F"/>
    <w:rsid w:val="00331618"/>
    <w:rsid w:val="00331EC2"/>
    <w:rsid w:val="00332914"/>
    <w:rsid w:val="003335E8"/>
    <w:rsid w:val="00333651"/>
    <w:rsid w:val="003337A2"/>
    <w:rsid w:val="003341E8"/>
    <w:rsid w:val="003349A7"/>
    <w:rsid w:val="00336F1A"/>
    <w:rsid w:val="0033762C"/>
    <w:rsid w:val="0034046B"/>
    <w:rsid w:val="00340C97"/>
    <w:rsid w:val="0034264E"/>
    <w:rsid w:val="0034330B"/>
    <w:rsid w:val="00343CB6"/>
    <w:rsid w:val="00343E69"/>
    <w:rsid w:val="003445D5"/>
    <w:rsid w:val="00345FC2"/>
    <w:rsid w:val="00347524"/>
    <w:rsid w:val="003476E2"/>
    <w:rsid w:val="0034799D"/>
    <w:rsid w:val="00347ED7"/>
    <w:rsid w:val="0035020C"/>
    <w:rsid w:val="003503E9"/>
    <w:rsid w:val="00350874"/>
    <w:rsid w:val="003519AB"/>
    <w:rsid w:val="00351CC5"/>
    <w:rsid w:val="0035271E"/>
    <w:rsid w:val="0035358E"/>
    <w:rsid w:val="00353B49"/>
    <w:rsid w:val="0035436F"/>
    <w:rsid w:val="00354405"/>
    <w:rsid w:val="00355DE5"/>
    <w:rsid w:val="00356D2B"/>
    <w:rsid w:val="00357B56"/>
    <w:rsid w:val="00360A16"/>
    <w:rsid w:val="00360B65"/>
    <w:rsid w:val="00360F84"/>
    <w:rsid w:val="003620DC"/>
    <w:rsid w:val="003623A8"/>
    <w:rsid w:val="003629B4"/>
    <w:rsid w:val="003654E4"/>
    <w:rsid w:val="003668C6"/>
    <w:rsid w:val="00367B6A"/>
    <w:rsid w:val="00367F35"/>
    <w:rsid w:val="003720DD"/>
    <w:rsid w:val="00372198"/>
    <w:rsid w:val="00372615"/>
    <w:rsid w:val="003728A5"/>
    <w:rsid w:val="003728F0"/>
    <w:rsid w:val="003731DC"/>
    <w:rsid w:val="003747FE"/>
    <w:rsid w:val="00376127"/>
    <w:rsid w:val="00376E88"/>
    <w:rsid w:val="00377064"/>
    <w:rsid w:val="003803B4"/>
    <w:rsid w:val="003805B7"/>
    <w:rsid w:val="00380CB2"/>
    <w:rsid w:val="00381357"/>
    <w:rsid w:val="00381AB4"/>
    <w:rsid w:val="00381C39"/>
    <w:rsid w:val="00381E62"/>
    <w:rsid w:val="003820F8"/>
    <w:rsid w:val="00382716"/>
    <w:rsid w:val="00386659"/>
    <w:rsid w:val="003869B1"/>
    <w:rsid w:val="003874D1"/>
    <w:rsid w:val="00387A77"/>
    <w:rsid w:val="0039143A"/>
    <w:rsid w:val="00393148"/>
    <w:rsid w:val="0039358C"/>
    <w:rsid w:val="003936FE"/>
    <w:rsid w:val="00393D00"/>
    <w:rsid w:val="00395925"/>
    <w:rsid w:val="00395DC2"/>
    <w:rsid w:val="0039605D"/>
    <w:rsid w:val="00396625"/>
    <w:rsid w:val="0039688E"/>
    <w:rsid w:val="003A1942"/>
    <w:rsid w:val="003A19C1"/>
    <w:rsid w:val="003A26AD"/>
    <w:rsid w:val="003A26C1"/>
    <w:rsid w:val="003A32C4"/>
    <w:rsid w:val="003A38AA"/>
    <w:rsid w:val="003A436E"/>
    <w:rsid w:val="003A47A9"/>
    <w:rsid w:val="003A4965"/>
    <w:rsid w:val="003A4ED6"/>
    <w:rsid w:val="003A63D0"/>
    <w:rsid w:val="003A717F"/>
    <w:rsid w:val="003A7D62"/>
    <w:rsid w:val="003B02F0"/>
    <w:rsid w:val="003B0A62"/>
    <w:rsid w:val="003B0AA8"/>
    <w:rsid w:val="003B333C"/>
    <w:rsid w:val="003B4DE9"/>
    <w:rsid w:val="003B56D2"/>
    <w:rsid w:val="003B57C1"/>
    <w:rsid w:val="003B59B9"/>
    <w:rsid w:val="003B5A1E"/>
    <w:rsid w:val="003C04F9"/>
    <w:rsid w:val="003C13CF"/>
    <w:rsid w:val="003C176F"/>
    <w:rsid w:val="003C2105"/>
    <w:rsid w:val="003C2B0F"/>
    <w:rsid w:val="003C3B7F"/>
    <w:rsid w:val="003C481E"/>
    <w:rsid w:val="003C4CFB"/>
    <w:rsid w:val="003C5219"/>
    <w:rsid w:val="003C60B1"/>
    <w:rsid w:val="003D0666"/>
    <w:rsid w:val="003D13F9"/>
    <w:rsid w:val="003D2F6B"/>
    <w:rsid w:val="003D33E9"/>
    <w:rsid w:val="003D41C6"/>
    <w:rsid w:val="003D4476"/>
    <w:rsid w:val="003D45FE"/>
    <w:rsid w:val="003D4A51"/>
    <w:rsid w:val="003D51DD"/>
    <w:rsid w:val="003D521C"/>
    <w:rsid w:val="003D62AC"/>
    <w:rsid w:val="003D7090"/>
    <w:rsid w:val="003D7ABD"/>
    <w:rsid w:val="003D7D77"/>
    <w:rsid w:val="003E010F"/>
    <w:rsid w:val="003E07C9"/>
    <w:rsid w:val="003E11DB"/>
    <w:rsid w:val="003E123F"/>
    <w:rsid w:val="003E312C"/>
    <w:rsid w:val="003E4D95"/>
    <w:rsid w:val="003E5611"/>
    <w:rsid w:val="003E6F43"/>
    <w:rsid w:val="003E7740"/>
    <w:rsid w:val="003E788C"/>
    <w:rsid w:val="003F00F9"/>
    <w:rsid w:val="003F1A1E"/>
    <w:rsid w:val="003F1A7F"/>
    <w:rsid w:val="003F1E29"/>
    <w:rsid w:val="003F23E2"/>
    <w:rsid w:val="003F2A1A"/>
    <w:rsid w:val="003F353A"/>
    <w:rsid w:val="003F3C56"/>
    <w:rsid w:val="003F45C4"/>
    <w:rsid w:val="003F5293"/>
    <w:rsid w:val="003F5EEC"/>
    <w:rsid w:val="003F637D"/>
    <w:rsid w:val="003F6493"/>
    <w:rsid w:val="003F6835"/>
    <w:rsid w:val="003F683B"/>
    <w:rsid w:val="00400AA3"/>
    <w:rsid w:val="00401F71"/>
    <w:rsid w:val="00402C46"/>
    <w:rsid w:val="00402D87"/>
    <w:rsid w:val="00407AC5"/>
    <w:rsid w:val="00407AF7"/>
    <w:rsid w:val="00407B3B"/>
    <w:rsid w:val="00411082"/>
    <w:rsid w:val="0041151C"/>
    <w:rsid w:val="00414055"/>
    <w:rsid w:val="00417325"/>
    <w:rsid w:val="00421E66"/>
    <w:rsid w:val="00424005"/>
    <w:rsid w:val="0042497D"/>
    <w:rsid w:val="004249AB"/>
    <w:rsid w:val="00425984"/>
    <w:rsid w:val="00425C09"/>
    <w:rsid w:val="00425FD1"/>
    <w:rsid w:val="00426041"/>
    <w:rsid w:val="00426755"/>
    <w:rsid w:val="00426A19"/>
    <w:rsid w:val="00427204"/>
    <w:rsid w:val="00427D79"/>
    <w:rsid w:val="00430058"/>
    <w:rsid w:val="00431D87"/>
    <w:rsid w:val="00431F82"/>
    <w:rsid w:val="004320DC"/>
    <w:rsid w:val="004322ED"/>
    <w:rsid w:val="00432F81"/>
    <w:rsid w:val="004334C6"/>
    <w:rsid w:val="0043406C"/>
    <w:rsid w:val="004359CA"/>
    <w:rsid w:val="00435A7B"/>
    <w:rsid w:val="00435CCB"/>
    <w:rsid w:val="00436006"/>
    <w:rsid w:val="004362D9"/>
    <w:rsid w:val="00436E40"/>
    <w:rsid w:val="00437160"/>
    <w:rsid w:val="00437461"/>
    <w:rsid w:val="0044027A"/>
    <w:rsid w:val="004408AE"/>
    <w:rsid w:val="00441EAD"/>
    <w:rsid w:val="004421E0"/>
    <w:rsid w:val="004422E1"/>
    <w:rsid w:val="004432C6"/>
    <w:rsid w:val="00443563"/>
    <w:rsid w:val="00444162"/>
    <w:rsid w:val="00444D7A"/>
    <w:rsid w:val="00444FC2"/>
    <w:rsid w:val="00444FCD"/>
    <w:rsid w:val="0044669B"/>
    <w:rsid w:val="0044697B"/>
    <w:rsid w:val="0044754F"/>
    <w:rsid w:val="00447CE9"/>
    <w:rsid w:val="004505F1"/>
    <w:rsid w:val="0045102B"/>
    <w:rsid w:val="0045179D"/>
    <w:rsid w:val="00452534"/>
    <w:rsid w:val="004530D0"/>
    <w:rsid w:val="00453E60"/>
    <w:rsid w:val="00454012"/>
    <w:rsid w:val="00454A2D"/>
    <w:rsid w:val="00454DC7"/>
    <w:rsid w:val="00455F34"/>
    <w:rsid w:val="00456566"/>
    <w:rsid w:val="00457750"/>
    <w:rsid w:val="00457792"/>
    <w:rsid w:val="00457B0C"/>
    <w:rsid w:val="00457FDB"/>
    <w:rsid w:val="0046026D"/>
    <w:rsid w:val="00460D47"/>
    <w:rsid w:val="00461221"/>
    <w:rsid w:val="00461563"/>
    <w:rsid w:val="004616E0"/>
    <w:rsid w:val="004618A2"/>
    <w:rsid w:val="004639EA"/>
    <w:rsid w:val="00463E5C"/>
    <w:rsid w:val="0046493C"/>
    <w:rsid w:val="00466242"/>
    <w:rsid w:val="00466EF6"/>
    <w:rsid w:val="00467688"/>
    <w:rsid w:val="00470994"/>
    <w:rsid w:val="00472424"/>
    <w:rsid w:val="00474462"/>
    <w:rsid w:val="00474A17"/>
    <w:rsid w:val="00474EDC"/>
    <w:rsid w:val="004762E8"/>
    <w:rsid w:val="00477B23"/>
    <w:rsid w:val="00477F15"/>
    <w:rsid w:val="00480D58"/>
    <w:rsid w:val="00481204"/>
    <w:rsid w:val="004814EE"/>
    <w:rsid w:val="004818F3"/>
    <w:rsid w:val="00482AFF"/>
    <w:rsid w:val="004836FF"/>
    <w:rsid w:val="004847E1"/>
    <w:rsid w:val="00484DBB"/>
    <w:rsid w:val="00485A0D"/>
    <w:rsid w:val="00485BF3"/>
    <w:rsid w:val="0048724D"/>
    <w:rsid w:val="00487C3A"/>
    <w:rsid w:val="004905C0"/>
    <w:rsid w:val="00492B9B"/>
    <w:rsid w:val="00492E67"/>
    <w:rsid w:val="0049347F"/>
    <w:rsid w:val="004944FC"/>
    <w:rsid w:val="004A037B"/>
    <w:rsid w:val="004A0CC8"/>
    <w:rsid w:val="004A0FED"/>
    <w:rsid w:val="004A1C12"/>
    <w:rsid w:val="004A2080"/>
    <w:rsid w:val="004A2563"/>
    <w:rsid w:val="004A2817"/>
    <w:rsid w:val="004A2B75"/>
    <w:rsid w:val="004A2CA9"/>
    <w:rsid w:val="004A38F6"/>
    <w:rsid w:val="004A416B"/>
    <w:rsid w:val="004A4E1F"/>
    <w:rsid w:val="004A5710"/>
    <w:rsid w:val="004A57F9"/>
    <w:rsid w:val="004A6623"/>
    <w:rsid w:val="004A729B"/>
    <w:rsid w:val="004A7456"/>
    <w:rsid w:val="004A7A8A"/>
    <w:rsid w:val="004B0B96"/>
    <w:rsid w:val="004B0EA5"/>
    <w:rsid w:val="004B10F4"/>
    <w:rsid w:val="004B11DA"/>
    <w:rsid w:val="004B1860"/>
    <w:rsid w:val="004B2252"/>
    <w:rsid w:val="004B3215"/>
    <w:rsid w:val="004B423B"/>
    <w:rsid w:val="004B5794"/>
    <w:rsid w:val="004B6081"/>
    <w:rsid w:val="004B641D"/>
    <w:rsid w:val="004B7479"/>
    <w:rsid w:val="004B7E37"/>
    <w:rsid w:val="004C006B"/>
    <w:rsid w:val="004C01CB"/>
    <w:rsid w:val="004C3EBD"/>
    <w:rsid w:val="004C54D2"/>
    <w:rsid w:val="004C57D0"/>
    <w:rsid w:val="004C5C7E"/>
    <w:rsid w:val="004D1542"/>
    <w:rsid w:val="004D16DC"/>
    <w:rsid w:val="004D1B97"/>
    <w:rsid w:val="004D3157"/>
    <w:rsid w:val="004D3B48"/>
    <w:rsid w:val="004D4357"/>
    <w:rsid w:val="004D5835"/>
    <w:rsid w:val="004D795E"/>
    <w:rsid w:val="004D7F0C"/>
    <w:rsid w:val="004E07CC"/>
    <w:rsid w:val="004E22B1"/>
    <w:rsid w:val="004E2685"/>
    <w:rsid w:val="004E2BD1"/>
    <w:rsid w:val="004E2FDE"/>
    <w:rsid w:val="004E46BC"/>
    <w:rsid w:val="004E46FF"/>
    <w:rsid w:val="004E51BE"/>
    <w:rsid w:val="004E54F8"/>
    <w:rsid w:val="004E58B8"/>
    <w:rsid w:val="004E5978"/>
    <w:rsid w:val="004E5A5F"/>
    <w:rsid w:val="004E5BB5"/>
    <w:rsid w:val="004E5C2B"/>
    <w:rsid w:val="004F1062"/>
    <w:rsid w:val="004F31BC"/>
    <w:rsid w:val="004F3399"/>
    <w:rsid w:val="004F72FF"/>
    <w:rsid w:val="004F73C9"/>
    <w:rsid w:val="004F73D9"/>
    <w:rsid w:val="00500572"/>
    <w:rsid w:val="00500E98"/>
    <w:rsid w:val="00501A8C"/>
    <w:rsid w:val="00502109"/>
    <w:rsid w:val="00502832"/>
    <w:rsid w:val="00502DF9"/>
    <w:rsid w:val="00503A6A"/>
    <w:rsid w:val="005045B4"/>
    <w:rsid w:val="00504AF5"/>
    <w:rsid w:val="00507553"/>
    <w:rsid w:val="00507B3B"/>
    <w:rsid w:val="00510477"/>
    <w:rsid w:val="00511023"/>
    <w:rsid w:val="005135A3"/>
    <w:rsid w:val="005149DA"/>
    <w:rsid w:val="00515D75"/>
    <w:rsid w:val="0051652D"/>
    <w:rsid w:val="00516BAD"/>
    <w:rsid w:val="00516C4A"/>
    <w:rsid w:val="005179A4"/>
    <w:rsid w:val="00520C5A"/>
    <w:rsid w:val="00520E19"/>
    <w:rsid w:val="00522007"/>
    <w:rsid w:val="0052324A"/>
    <w:rsid w:val="00523303"/>
    <w:rsid w:val="005241E4"/>
    <w:rsid w:val="00524365"/>
    <w:rsid w:val="00525C36"/>
    <w:rsid w:val="0053195F"/>
    <w:rsid w:val="00532E0F"/>
    <w:rsid w:val="00533844"/>
    <w:rsid w:val="00535B92"/>
    <w:rsid w:val="005367AD"/>
    <w:rsid w:val="005368AD"/>
    <w:rsid w:val="005369C4"/>
    <w:rsid w:val="00537170"/>
    <w:rsid w:val="00540BB7"/>
    <w:rsid w:val="00541042"/>
    <w:rsid w:val="005431E8"/>
    <w:rsid w:val="00543397"/>
    <w:rsid w:val="00544867"/>
    <w:rsid w:val="0054497B"/>
    <w:rsid w:val="0054507A"/>
    <w:rsid w:val="005457CA"/>
    <w:rsid w:val="0054732A"/>
    <w:rsid w:val="00550120"/>
    <w:rsid w:val="0055100E"/>
    <w:rsid w:val="00551881"/>
    <w:rsid w:val="005548EB"/>
    <w:rsid w:val="00554CD7"/>
    <w:rsid w:val="00557835"/>
    <w:rsid w:val="00562266"/>
    <w:rsid w:val="00565538"/>
    <w:rsid w:val="005658D2"/>
    <w:rsid w:val="00565C5C"/>
    <w:rsid w:val="00566D6E"/>
    <w:rsid w:val="00567100"/>
    <w:rsid w:val="005674E8"/>
    <w:rsid w:val="005700B0"/>
    <w:rsid w:val="00570322"/>
    <w:rsid w:val="00570E43"/>
    <w:rsid w:val="0057135E"/>
    <w:rsid w:val="00571F0B"/>
    <w:rsid w:val="005741FF"/>
    <w:rsid w:val="00575472"/>
    <w:rsid w:val="00575DFF"/>
    <w:rsid w:val="00576DD6"/>
    <w:rsid w:val="005774A6"/>
    <w:rsid w:val="0058114B"/>
    <w:rsid w:val="00581916"/>
    <w:rsid w:val="00583AF6"/>
    <w:rsid w:val="00585CE4"/>
    <w:rsid w:val="005863E1"/>
    <w:rsid w:val="00586999"/>
    <w:rsid w:val="0058728D"/>
    <w:rsid w:val="00587423"/>
    <w:rsid w:val="005876C8"/>
    <w:rsid w:val="00587841"/>
    <w:rsid w:val="00587F1B"/>
    <w:rsid w:val="005904D0"/>
    <w:rsid w:val="005912AA"/>
    <w:rsid w:val="005918D9"/>
    <w:rsid w:val="00592384"/>
    <w:rsid w:val="0059262E"/>
    <w:rsid w:val="00592D43"/>
    <w:rsid w:val="00594452"/>
    <w:rsid w:val="00594D92"/>
    <w:rsid w:val="00596C3A"/>
    <w:rsid w:val="00596C87"/>
    <w:rsid w:val="00596D31"/>
    <w:rsid w:val="005978B5"/>
    <w:rsid w:val="00597D22"/>
    <w:rsid w:val="005A015F"/>
    <w:rsid w:val="005A0838"/>
    <w:rsid w:val="005A2261"/>
    <w:rsid w:val="005A2583"/>
    <w:rsid w:val="005A2812"/>
    <w:rsid w:val="005A5801"/>
    <w:rsid w:val="005A5C27"/>
    <w:rsid w:val="005A5D0C"/>
    <w:rsid w:val="005A62FB"/>
    <w:rsid w:val="005A646A"/>
    <w:rsid w:val="005A6736"/>
    <w:rsid w:val="005A7230"/>
    <w:rsid w:val="005A7DA2"/>
    <w:rsid w:val="005B0809"/>
    <w:rsid w:val="005B0B57"/>
    <w:rsid w:val="005B1986"/>
    <w:rsid w:val="005B1B96"/>
    <w:rsid w:val="005B2802"/>
    <w:rsid w:val="005B2D18"/>
    <w:rsid w:val="005B3AEF"/>
    <w:rsid w:val="005B3BA5"/>
    <w:rsid w:val="005B5381"/>
    <w:rsid w:val="005B7951"/>
    <w:rsid w:val="005C01DC"/>
    <w:rsid w:val="005C08DA"/>
    <w:rsid w:val="005C408F"/>
    <w:rsid w:val="005C4719"/>
    <w:rsid w:val="005C586E"/>
    <w:rsid w:val="005C6DC8"/>
    <w:rsid w:val="005C6DCD"/>
    <w:rsid w:val="005C72AE"/>
    <w:rsid w:val="005C73A8"/>
    <w:rsid w:val="005D0133"/>
    <w:rsid w:val="005D0677"/>
    <w:rsid w:val="005D0BE7"/>
    <w:rsid w:val="005D2D87"/>
    <w:rsid w:val="005D315F"/>
    <w:rsid w:val="005D4DA4"/>
    <w:rsid w:val="005D513E"/>
    <w:rsid w:val="005D5150"/>
    <w:rsid w:val="005D5A37"/>
    <w:rsid w:val="005E0114"/>
    <w:rsid w:val="005E4A88"/>
    <w:rsid w:val="005E5BD6"/>
    <w:rsid w:val="005E5C62"/>
    <w:rsid w:val="005E6832"/>
    <w:rsid w:val="005E7895"/>
    <w:rsid w:val="005F01B4"/>
    <w:rsid w:val="005F08C6"/>
    <w:rsid w:val="005F097B"/>
    <w:rsid w:val="005F0A87"/>
    <w:rsid w:val="005F21F4"/>
    <w:rsid w:val="005F2F7B"/>
    <w:rsid w:val="005F35BB"/>
    <w:rsid w:val="005F5006"/>
    <w:rsid w:val="005F5085"/>
    <w:rsid w:val="005F5A59"/>
    <w:rsid w:val="005F66D1"/>
    <w:rsid w:val="005F777C"/>
    <w:rsid w:val="006013B4"/>
    <w:rsid w:val="0060373F"/>
    <w:rsid w:val="00603ED4"/>
    <w:rsid w:val="006043C0"/>
    <w:rsid w:val="00605FE3"/>
    <w:rsid w:val="006104A6"/>
    <w:rsid w:val="00610B42"/>
    <w:rsid w:val="00610B72"/>
    <w:rsid w:val="006110E1"/>
    <w:rsid w:val="00612708"/>
    <w:rsid w:val="00613852"/>
    <w:rsid w:val="00613948"/>
    <w:rsid w:val="006144E1"/>
    <w:rsid w:val="00614E88"/>
    <w:rsid w:val="00616199"/>
    <w:rsid w:val="00617E1E"/>
    <w:rsid w:val="006220ED"/>
    <w:rsid w:val="00622434"/>
    <w:rsid w:val="006229EE"/>
    <w:rsid w:val="00624328"/>
    <w:rsid w:val="006244C4"/>
    <w:rsid w:val="00626EF2"/>
    <w:rsid w:val="006310BA"/>
    <w:rsid w:val="006312AF"/>
    <w:rsid w:val="00632B89"/>
    <w:rsid w:val="00634A79"/>
    <w:rsid w:val="00635213"/>
    <w:rsid w:val="00636F7B"/>
    <w:rsid w:val="00640BC7"/>
    <w:rsid w:val="00641626"/>
    <w:rsid w:val="00641AB9"/>
    <w:rsid w:val="00641C0A"/>
    <w:rsid w:val="0064215C"/>
    <w:rsid w:val="00642DF5"/>
    <w:rsid w:val="00643867"/>
    <w:rsid w:val="00643C06"/>
    <w:rsid w:val="00644DAC"/>
    <w:rsid w:val="006460A5"/>
    <w:rsid w:val="00646A95"/>
    <w:rsid w:val="0064793D"/>
    <w:rsid w:val="006505E4"/>
    <w:rsid w:val="00650AB8"/>
    <w:rsid w:val="006518C1"/>
    <w:rsid w:val="00653C51"/>
    <w:rsid w:val="00655AC0"/>
    <w:rsid w:val="00657E36"/>
    <w:rsid w:val="00660826"/>
    <w:rsid w:val="00661EDF"/>
    <w:rsid w:val="00663823"/>
    <w:rsid w:val="00663A27"/>
    <w:rsid w:val="00664B6E"/>
    <w:rsid w:val="00665FAA"/>
    <w:rsid w:val="00666F19"/>
    <w:rsid w:val="00670A71"/>
    <w:rsid w:val="0067267C"/>
    <w:rsid w:val="00672993"/>
    <w:rsid w:val="00672A83"/>
    <w:rsid w:val="00674336"/>
    <w:rsid w:val="00674944"/>
    <w:rsid w:val="00674CD7"/>
    <w:rsid w:val="00675350"/>
    <w:rsid w:val="00676568"/>
    <w:rsid w:val="00676976"/>
    <w:rsid w:val="00676B57"/>
    <w:rsid w:val="00680173"/>
    <w:rsid w:val="006809D4"/>
    <w:rsid w:val="00680ABE"/>
    <w:rsid w:val="00683002"/>
    <w:rsid w:val="00683A18"/>
    <w:rsid w:val="006840DC"/>
    <w:rsid w:val="00686E6E"/>
    <w:rsid w:val="006870E9"/>
    <w:rsid w:val="00690358"/>
    <w:rsid w:val="00690558"/>
    <w:rsid w:val="0069115F"/>
    <w:rsid w:val="0069168A"/>
    <w:rsid w:val="00691A3B"/>
    <w:rsid w:val="00691C16"/>
    <w:rsid w:val="00691F06"/>
    <w:rsid w:val="00692426"/>
    <w:rsid w:val="0069283F"/>
    <w:rsid w:val="006943CC"/>
    <w:rsid w:val="006969C3"/>
    <w:rsid w:val="006A0638"/>
    <w:rsid w:val="006A2F43"/>
    <w:rsid w:val="006A4216"/>
    <w:rsid w:val="006A4DF3"/>
    <w:rsid w:val="006A50A9"/>
    <w:rsid w:val="006A5B0F"/>
    <w:rsid w:val="006A6033"/>
    <w:rsid w:val="006A6A96"/>
    <w:rsid w:val="006A798F"/>
    <w:rsid w:val="006B00BA"/>
    <w:rsid w:val="006B10FE"/>
    <w:rsid w:val="006B11D9"/>
    <w:rsid w:val="006B14DC"/>
    <w:rsid w:val="006B220F"/>
    <w:rsid w:val="006B795D"/>
    <w:rsid w:val="006C26E6"/>
    <w:rsid w:val="006C434B"/>
    <w:rsid w:val="006C4A1C"/>
    <w:rsid w:val="006C635F"/>
    <w:rsid w:val="006C6608"/>
    <w:rsid w:val="006C72A7"/>
    <w:rsid w:val="006C7DE7"/>
    <w:rsid w:val="006D0959"/>
    <w:rsid w:val="006D09DE"/>
    <w:rsid w:val="006D1753"/>
    <w:rsid w:val="006D3213"/>
    <w:rsid w:val="006D35DF"/>
    <w:rsid w:val="006D3865"/>
    <w:rsid w:val="006D3EEE"/>
    <w:rsid w:val="006D434E"/>
    <w:rsid w:val="006D4446"/>
    <w:rsid w:val="006D5A00"/>
    <w:rsid w:val="006D5C82"/>
    <w:rsid w:val="006D78C0"/>
    <w:rsid w:val="006E069C"/>
    <w:rsid w:val="006E18E7"/>
    <w:rsid w:val="006E1CC9"/>
    <w:rsid w:val="006E21F6"/>
    <w:rsid w:val="006E23C8"/>
    <w:rsid w:val="006E30BC"/>
    <w:rsid w:val="006E3D42"/>
    <w:rsid w:val="006E6D49"/>
    <w:rsid w:val="006F0B61"/>
    <w:rsid w:val="006F28BC"/>
    <w:rsid w:val="006F3CA0"/>
    <w:rsid w:val="006F581C"/>
    <w:rsid w:val="006F5E57"/>
    <w:rsid w:val="006F6A6C"/>
    <w:rsid w:val="006F7117"/>
    <w:rsid w:val="006F7AAF"/>
    <w:rsid w:val="007000A4"/>
    <w:rsid w:val="00700D13"/>
    <w:rsid w:val="00700E0D"/>
    <w:rsid w:val="00701AE7"/>
    <w:rsid w:val="00701D05"/>
    <w:rsid w:val="007026B8"/>
    <w:rsid w:val="0070516C"/>
    <w:rsid w:val="007072E4"/>
    <w:rsid w:val="00707431"/>
    <w:rsid w:val="00710F56"/>
    <w:rsid w:val="00711A07"/>
    <w:rsid w:val="00712332"/>
    <w:rsid w:val="0071271A"/>
    <w:rsid w:val="0071462B"/>
    <w:rsid w:val="00714F85"/>
    <w:rsid w:val="00721731"/>
    <w:rsid w:val="0072198E"/>
    <w:rsid w:val="007236C7"/>
    <w:rsid w:val="00723A39"/>
    <w:rsid w:val="007245F9"/>
    <w:rsid w:val="00724A26"/>
    <w:rsid w:val="00724B53"/>
    <w:rsid w:val="00725A96"/>
    <w:rsid w:val="0072675C"/>
    <w:rsid w:val="007271C4"/>
    <w:rsid w:val="0072752E"/>
    <w:rsid w:val="007278B9"/>
    <w:rsid w:val="0073071E"/>
    <w:rsid w:val="00730C3A"/>
    <w:rsid w:val="00731524"/>
    <w:rsid w:val="00731838"/>
    <w:rsid w:val="00731D5D"/>
    <w:rsid w:val="007329C2"/>
    <w:rsid w:val="007353C1"/>
    <w:rsid w:val="00736ADD"/>
    <w:rsid w:val="00737F1F"/>
    <w:rsid w:val="00740CA0"/>
    <w:rsid w:val="00741620"/>
    <w:rsid w:val="0074166C"/>
    <w:rsid w:val="007424B4"/>
    <w:rsid w:val="007431F4"/>
    <w:rsid w:val="007441E2"/>
    <w:rsid w:val="007446E2"/>
    <w:rsid w:val="00744F1A"/>
    <w:rsid w:val="007456C3"/>
    <w:rsid w:val="00746046"/>
    <w:rsid w:val="00746069"/>
    <w:rsid w:val="0074711B"/>
    <w:rsid w:val="00752A6B"/>
    <w:rsid w:val="00753588"/>
    <w:rsid w:val="00753EB8"/>
    <w:rsid w:val="007552E5"/>
    <w:rsid w:val="00756A99"/>
    <w:rsid w:val="00756BFF"/>
    <w:rsid w:val="00757616"/>
    <w:rsid w:val="00761037"/>
    <w:rsid w:val="00761FC5"/>
    <w:rsid w:val="00765EA7"/>
    <w:rsid w:val="007671A6"/>
    <w:rsid w:val="00767C75"/>
    <w:rsid w:val="00770B66"/>
    <w:rsid w:val="00770F0B"/>
    <w:rsid w:val="00770FB7"/>
    <w:rsid w:val="007712F5"/>
    <w:rsid w:val="0077167B"/>
    <w:rsid w:val="00771EA1"/>
    <w:rsid w:val="00771FAC"/>
    <w:rsid w:val="00772D89"/>
    <w:rsid w:val="007730DF"/>
    <w:rsid w:val="0077451A"/>
    <w:rsid w:val="00775048"/>
    <w:rsid w:val="00775272"/>
    <w:rsid w:val="00775310"/>
    <w:rsid w:val="0077564F"/>
    <w:rsid w:val="0077675A"/>
    <w:rsid w:val="0077718D"/>
    <w:rsid w:val="00777A46"/>
    <w:rsid w:val="00781EFC"/>
    <w:rsid w:val="00782719"/>
    <w:rsid w:val="00782F0F"/>
    <w:rsid w:val="00783953"/>
    <w:rsid w:val="00783EAA"/>
    <w:rsid w:val="00784283"/>
    <w:rsid w:val="007842AD"/>
    <w:rsid w:val="007869B4"/>
    <w:rsid w:val="00787046"/>
    <w:rsid w:val="00790248"/>
    <w:rsid w:val="007916A7"/>
    <w:rsid w:val="00792498"/>
    <w:rsid w:val="00792AD1"/>
    <w:rsid w:val="00793243"/>
    <w:rsid w:val="00794565"/>
    <w:rsid w:val="0079534C"/>
    <w:rsid w:val="007965D6"/>
    <w:rsid w:val="007966FC"/>
    <w:rsid w:val="007A08E8"/>
    <w:rsid w:val="007A09ED"/>
    <w:rsid w:val="007A1D76"/>
    <w:rsid w:val="007A2E3B"/>
    <w:rsid w:val="007A33E0"/>
    <w:rsid w:val="007A5CAD"/>
    <w:rsid w:val="007A619A"/>
    <w:rsid w:val="007B205F"/>
    <w:rsid w:val="007B2F20"/>
    <w:rsid w:val="007B35CB"/>
    <w:rsid w:val="007B3AF1"/>
    <w:rsid w:val="007B5CDF"/>
    <w:rsid w:val="007B6362"/>
    <w:rsid w:val="007C02B2"/>
    <w:rsid w:val="007C0679"/>
    <w:rsid w:val="007C0966"/>
    <w:rsid w:val="007C15D0"/>
    <w:rsid w:val="007C505C"/>
    <w:rsid w:val="007C66B4"/>
    <w:rsid w:val="007D0326"/>
    <w:rsid w:val="007D0817"/>
    <w:rsid w:val="007D1334"/>
    <w:rsid w:val="007D15DA"/>
    <w:rsid w:val="007D1937"/>
    <w:rsid w:val="007D26FB"/>
    <w:rsid w:val="007D48A5"/>
    <w:rsid w:val="007D4E3B"/>
    <w:rsid w:val="007D5991"/>
    <w:rsid w:val="007D5D81"/>
    <w:rsid w:val="007D6ABD"/>
    <w:rsid w:val="007E1919"/>
    <w:rsid w:val="007E2738"/>
    <w:rsid w:val="007E2844"/>
    <w:rsid w:val="007E3079"/>
    <w:rsid w:val="007E31EB"/>
    <w:rsid w:val="007E332F"/>
    <w:rsid w:val="007E4260"/>
    <w:rsid w:val="007E4490"/>
    <w:rsid w:val="007E5462"/>
    <w:rsid w:val="007E5707"/>
    <w:rsid w:val="007E6BA0"/>
    <w:rsid w:val="007E73D6"/>
    <w:rsid w:val="007E7CB0"/>
    <w:rsid w:val="007F079D"/>
    <w:rsid w:val="007F1158"/>
    <w:rsid w:val="007F2171"/>
    <w:rsid w:val="007F2967"/>
    <w:rsid w:val="007F2E27"/>
    <w:rsid w:val="007F325A"/>
    <w:rsid w:val="007F4A0D"/>
    <w:rsid w:val="007F5BCB"/>
    <w:rsid w:val="007F5D60"/>
    <w:rsid w:val="007F77AD"/>
    <w:rsid w:val="0080139C"/>
    <w:rsid w:val="00801512"/>
    <w:rsid w:val="008017EC"/>
    <w:rsid w:val="00801850"/>
    <w:rsid w:val="00802574"/>
    <w:rsid w:val="00802ADE"/>
    <w:rsid w:val="00802F2F"/>
    <w:rsid w:val="00803E59"/>
    <w:rsid w:val="00804746"/>
    <w:rsid w:val="008053FF"/>
    <w:rsid w:val="0080552F"/>
    <w:rsid w:val="00806591"/>
    <w:rsid w:val="00807CAD"/>
    <w:rsid w:val="00807CE7"/>
    <w:rsid w:val="0081138C"/>
    <w:rsid w:val="00811E6A"/>
    <w:rsid w:val="008135D0"/>
    <w:rsid w:val="0081401F"/>
    <w:rsid w:val="008168BF"/>
    <w:rsid w:val="00817AAE"/>
    <w:rsid w:val="008213F5"/>
    <w:rsid w:val="00822B38"/>
    <w:rsid w:val="0082343F"/>
    <w:rsid w:val="0082370A"/>
    <w:rsid w:val="00824090"/>
    <w:rsid w:val="00824BF5"/>
    <w:rsid w:val="0082581D"/>
    <w:rsid w:val="00827754"/>
    <w:rsid w:val="00827E89"/>
    <w:rsid w:val="008330E2"/>
    <w:rsid w:val="00833806"/>
    <w:rsid w:val="00833E62"/>
    <w:rsid w:val="00834FB1"/>
    <w:rsid w:val="00835136"/>
    <w:rsid w:val="00837478"/>
    <w:rsid w:val="00840230"/>
    <w:rsid w:val="00841023"/>
    <w:rsid w:val="0084179B"/>
    <w:rsid w:val="00842D8E"/>
    <w:rsid w:val="008436DE"/>
    <w:rsid w:val="00845C6B"/>
    <w:rsid w:val="00847072"/>
    <w:rsid w:val="008478F8"/>
    <w:rsid w:val="00847A89"/>
    <w:rsid w:val="00847F8A"/>
    <w:rsid w:val="0085000D"/>
    <w:rsid w:val="0085100C"/>
    <w:rsid w:val="00851250"/>
    <w:rsid w:val="00851E93"/>
    <w:rsid w:val="00851F1E"/>
    <w:rsid w:val="00852C0E"/>
    <w:rsid w:val="00852D48"/>
    <w:rsid w:val="0085338D"/>
    <w:rsid w:val="008534EB"/>
    <w:rsid w:val="00853F46"/>
    <w:rsid w:val="0085479A"/>
    <w:rsid w:val="00855420"/>
    <w:rsid w:val="00857CB5"/>
    <w:rsid w:val="00857E03"/>
    <w:rsid w:val="00860630"/>
    <w:rsid w:val="008619A8"/>
    <w:rsid w:val="00862AA9"/>
    <w:rsid w:val="00862E6E"/>
    <w:rsid w:val="00865446"/>
    <w:rsid w:val="0086701C"/>
    <w:rsid w:val="008671C9"/>
    <w:rsid w:val="008671E1"/>
    <w:rsid w:val="00867ACB"/>
    <w:rsid w:val="008711FE"/>
    <w:rsid w:val="00871730"/>
    <w:rsid w:val="0087312D"/>
    <w:rsid w:val="00873FFA"/>
    <w:rsid w:val="008749A8"/>
    <w:rsid w:val="00875872"/>
    <w:rsid w:val="008760E8"/>
    <w:rsid w:val="00876C73"/>
    <w:rsid w:val="0087758B"/>
    <w:rsid w:val="008779EC"/>
    <w:rsid w:val="00880D88"/>
    <w:rsid w:val="00881476"/>
    <w:rsid w:val="00883050"/>
    <w:rsid w:val="0088442E"/>
    <w:rsid w:val="0088555C"/>
    <w:rsid w:val="00885C4E"/>
    <w:rsid w:val="00887D14"/>
    <w:rsid w:val="00890896"/>
    <w:rsid w:val="00890C4D"/>
    <w:rsid w:val="0089178C"/>
    <w:rsid w:val="008939D4"/>
    <w:rsid w:val="00894629"/>
    <w:rsid w:val="00894EDD"/>
    <w:rsid w:val="008958A6"/>
    <w:rsid w:val="00896166"/>
    <w:rsid w:val="00896BC0"/>
    <w:rsid w:val="00896F34"/>
    <w:rsid w:val="00897020"/>
    <w:rsid w:val="00897EFF"/>
    <w:rsid w:val="008A10E7"/>
    <w:rsid w:val="008A158E"/>
    <w:rsid w:val="008A1BEB"/>
    <w:rsid w:val="008A1C5C"/>
    <w:rsid w:val="008A233C"/>
    <w:rsid w:val="008A2A36"/>
    <w:rsid w:val="008A352B"/>
    <w:rsid w:val="008A40BF"/>
    <w:rsid w:val="008A4138"/>
    <w:rsid w:val="008A5255"/>
    <w:rsid w:val="008A5E01"/>
    <w:rsid w:val="008A5FB0"/>
    <w:rsid w:val="008A67F1"/>
    <w:rsid w:val="008A69EC"/>
    <w:rsid w:val="008A72F4"/>
    <w:rsid w:val="008B0A30"/>
    <w:rsid w:val="008B0B5C"/>
    <w:rsid w:val="008B1FD9"/>
    <w:rsid w:val="008B2736"/>
    <w:rsid w:val="008B3BEB"/>
    <w:rsid w:val="008B787E"/>
    <w:rsid w:val="008B7E8C"/>
    <w:rsid w:val="008C107E"/>
    <w:rsid w:val="008C1610"/>
    <w:rsid w:val="008C3969"/>
    <w:rsid w:val="008C4065"/>
    <w:rsid w:val="008C5A10"/>
    <w:rsid w:val="008C63AC"/>
    <w:rsid w:val="008C6708"/>
    <w:rsid w:val="008D022C"/>
    <w:rsid w:val="008D0773"/>
    <w:rsid w:val="008D0AEC"/>
    <w:rsid w:val="008D0C7E"/>
    <w:rsid w:val="008D1AF1"/>
    <w:rsid w:val="008D27AD"/>
    <w:rsid w:val="008D2B31"/>
    <w:rsid w:val="008D373A"/>
    <w:rsid w:val="008D3E94"/>
    <w:rsid w:val="008D5EA8"/>
    <w:rsid w:val="008D6072"/>
    <w:rsid w:val="008D6727"/>
    <w:rsid w:val="008D6FCF"/>
    <w:rsid w:val="008D7D4D"/>
    <w:rsid w:val="008E06D7"/>
    <w:rsid w:val="008E140F"/>
    <w:rsid w:val="008E201E"/>
    <w:rsid w:val="008E22B4"/>
    <w:rsid w:val="008E315E"/>
    <w:rsid w:val="008E3663"/>
    <w:rsid w:val="008E3B93"/>
    <w:rsid w:val="008E4DF6"/>
    <w:rsid w:val="008E5DCD"/>
    <w:rsid w:val="008E5E16"/>
    <w:rsid w:val="008E726D"/>
    <w:rsid w:val="008F0C23"/>
    <w:rsid w:val="008F0D42"/>
    <w:rsid w:val="008F0F17"/>
    <w:rsid w:val="008F2270"/>
    <w:rsid w:val="008F2C22"/>
    <w:rsid w:val="008F4B5C"/>
    <w:rsid w:val="008F516A"/>
    <w:rsid w:val="008F66EE"/>
    <w:rsid w:val="008F74F1"/>
    <w:rsid w:val="0090189F"/>
    <w:rsid w:val="00901DCC"/>
    <w:rsid w:val="00901F7E"/>
    <w:rsid w:val="00902734"/>
    <w:rsid w:val="0090501E"/>
    <w:rsid w:val="00906288"/>
    <w:rsid w:val="00910183"/>
    <w:rsid w:val="0091028C"/>
    <w:rsid w:val="0091043A"/>
    <w:rsid w:val="00913C13"/>
    <w:rsid w:val="00914211"/>
    <w:rsid w:val="0091447E"/>
    <w:rsid w:val="009146C7"/>
    <w:rsid w:val="0091550C"/>
    <w:rsid w:val="0091600C"/>
    <w:rsid w:val="00917C51"/>
    <w:rsid w:val="00920330"/>
    <w:rsid w:val="009222B4"/>
    <w:rsid w:val="00922B11"/>
    <w:rsid w:val="00925A22"/>
    <w:rsid w:val="00925DA8"/>
    <w:rsid w:val="00926231"/>
    <w:rsid w:val="009271E6"/>
    <w:rsid w:val="00927372"/>
    <w:rsid w:val="0093021D"/>
    <w:rsid w:val="00931BC2"/>
    <w:rsid w:val="00931ED7"/>
    <w:rsid w:val="00932605"/>
    <w:rsid w:val="00933FB9"/>
    <w:rsid w:val="0093403D"/>
    <w:rsid w:val="009349AA"/>
    <w:rsid w:val="009352B2"/>
    <w:rsid w:val="0093607A"/>
    <w:rsid w:val="00936269"/>
    <w:rsid w:val="009408FC"/>
    <w:rsid w:val="0094185F"/>
    <w:rsid w:val="0094239E"/>
    <w:rsid w:val="00942715"/>
    <w:rsid w:val="00943B69"/>
    <w:rsid w:val="009447FD"/>
    <w:rsid w:val="00947AD3"/>
    <w:rsid w:val="00950057"/>
    <w:rsid w:val="009508E0"/>
    <w:rsid w:val="00951471"/>
    <w:rsid w:val="00953B9A"/>
    <w:rsid w:val="0095407E"/>
    <w:rsid w:val="00955DBC"/>
    <w:rsid w:val="0095604F"/>
    <w:rsid w:val="009648A1"/>
    <w:rsid w:val="00964DB0"/>
    <w:rsid w:val="0096546D"/>
    <w:rsid w:val="00965631"/>
    <w:rsid w:val="00965823"/>
    <w:rsid w:val="00965F69"/>
    <w:rsid w:val="00966E47"/>
    <w:rsid w:val="0096714D"/>
    <w:rsid w:val="0097051C"/>
    <w:rsid w:val="00971C6D"/>
    <w:rsid w:val="009721D0"/>
    <w:rsid w:val="00972278"/>
    <w:rsid w:val="00972784"/>
    <w:rsid w:val="0097301D"/>
    <w:rsid w:val="00973792"/>
    <w:rsid w:val="00974D5A"/>
    <w:rsid w:val="0097657C"/>
    <w:rsid w:val="00980A46"/>
    <w:rsid w:val="00980C8C"/>
    <w:rsid w:val="00981785"/>
    <w:rsid w:val="00981D8F"/>
    <w:rsid w:val="0098419D"/>
    <w:rsid w:val="00984DBE"/>
    <w:rsid w:val="00984F19"/>
    <w:rsid w:val="00985E93"/>
    <w:rsid w:val="0099087F"/>
    <w:rsid w:val="00990AA3"/>
    <w:rsid w:val="00991881"/>
    <w:rsid w:val="0099289B"/>
    <w:rsid w:val="0099351D"/>
    <w:rsid w:val="00994310"/>
    <w:rsid w:val="00996328"/>
    <w:rsid w:val="0099675E"/>
    <w:rsid w:val="00996C27"/>
    <w:rsid w:val="009A0581"/>
    <w:rsid w:val="009A08C6"/>
    <w:rsid w:val="009A0CA8"/>
    <w:rsid w:val="009A156E"/>
    <w:rsid w:val="009A19F7"/>
    <w:rsid w:val="009A28C4"/>
    <w:rsid w:val="009A2AC2"/>
    <w:rsid w:val="009A371E"/>
    <w:rsid w:val="009A38B9"/>
    <w:rsid w:val="009A5EED"/>
    <w:rsid w:val="009A6516"/>
    <w:rsid w:val="009A7192"/>
    <w:rsid w:val="009A7206"/>
    <w:rsid w:val="009A74D8"/>
    <w:rsid w:val="009A7515"/>
    <w:rsid w:val="009A7705"/>
    <w:rsid w:val="009B054F"/>
    <w:rsid w:val="009B1031"/>
    <w:rsid w:val="009B109F"/>
    <w:rsid w:val="009B2A9A"/>
    <w:rsid w:val="009B33FB"/>
    <w:rsid w:val="009B3C24"/>
    <w:rsid w:val="009B3C98"/>
    <w:rsid w:val="009B3CDF"/>
    <w:rsid w:val="009B4B53"/>
    <w:rsid w:val="009B75F1"/>
    <w:rsid w:val="009B7870"/>
    <w:rsid w:val="009B797F"/>
    <w:rsid w:val="009C1780"/>
    <w:rsid w:val="009C2E34"/>
    <w:rsid w:val="009C3536"/>
    <w:rsid w:val="009C3DA9"/>
    <w:rsid w:val="009C418A"/>
    <w:rsid w:val="009C4680"/>
    <w:rsid w:val="009C4D3E"/>
    <w:rsid w:val="009C6BA6"/>
    <w:rsid w:val="009D0839"/>
    <w:rsid w:val="009D0B28"/>
    <w:rsid w:val="009D0EDF"/>
    <w:rsid w:val="009D19C6"/>
    <w:rsid w:val="009D30BC"/>
    <w:rsid w:val="009D6CC9"/>
    <w:rsid w:val="009D7662"/>
    <w:rsid w:val="009E005A"/>
    <w:rsid w:val="009E01C3"/>
    <w:rsid w:val="009E16AF"/>
    <w:rsid w:val="009E2E34"/>
    <w:rsid w:val="009E35DB"/>
    <w:rsid w:val="009E3959"/>
    <w:rsid w:val="009E40CF"/>
    <w:rsid w:val="009E5634"/>
    <w:rsid w:val="009E618F"/>
    <w:rsid w:val="009E6853"/>
    <w:rsid w:val="009E6A93"/>
    <w:rsid w:val="009E6DA4"/>
    <w:rsid w:val="009E7300"/>
    <w:rsid w:val="009E7DF2"/>
    <w:rsid w:val="009F36FA"/>
    <w:rsid w:val="009F3E7E"/>
    <w:rsid w:val="009F47EB"/>
    <w:rsid w:val="009F4A94"/>
    <w:rsid w:val="009F51AA"/>
    <w:rsid w:val="009F5553"/>
    <w:rsid w:val="009F5712"/>
    <w:rsid w:val="009F6148"/>
    <w:rsid w:val="009F664E"/>
    <w:rsid w:val="009F6716"/>
    <w:rsid w:val="009F7C3F"/>
    <w:rsid w:val="00A00BBE"/>
    <w:rsid w:val="00A00C1A"/>
    <w:rsid w:val="00A00D5F"/>
    <w:rsid w:val="00A016CA"/>
    <w:rsid w:val="00A02AF0"/>
    <w:rsid w:val="00A02EA9"/>
    <w:rsid w:val="00A035B2"/>
    <w:rsid w:val="00A051D7"/>
    <w:rsid w:val="00A05327"/>
    <w:rsid w:val="00A05D6A"/>
    <w:rsid w:val="00A06193"/>
    <w:rsid w:val="00A0629C"/>
    <w:rsid w:val="00A0699F"/>
    <w:rsid w:val="00A06E21"/>
    <w:rsid w:val="00A06E63"/>
    <w:rsid w:val="00A078BE"/>
    <w:rsid w:val="00A07A0B"/>
    <w:rsid w:val="00A10520"/>
    <w:rsid w:val="00A118EE"/>
    <w:rsid w:val="00A1262E"/>
    <w:rsid w:val="00A1279D"/>
    <w:rsid w:val="00A141DE"/>
    <w:rsid w:val="00A141ED"/>
    <w:rsid w:val="00A152EA"/>
    <w:rsid w:val="00A156CE"/>
    <w:rsid w:val="00A164AF"/>
    <w:rsid w:val="00A17096"/>
    <w:rsid w:val="00A206EB"/>
    <w:rsid w:val="00A2146D"/>
    <w:rsid w:val="00A23DFF"/>
    <w:rsid w:val="00A24D18"/>
    <w:rsid w:val="00A24D1D"/>
    <w:rsid w:val="00A2540E"/>
    <w:rsid w:val="00A2637B"/>
    <w:rsid w:val="00A30773"/>
    <w:rsid w:val="00A3088D"/>
    <w:rsid w:val="00A30C90"/>
    <w:rsid w:val="00A319B6"/>
    <w:rsid w:val="00A32FFD"/>
    <w:rsid w:val="00A342E6"/>
    <w:rsid w:val="00A36262"/>
    <w:rsid w:val="00A37220"/>
    <w:rsid w:val="00A404F0"/>
    <w:rsid w:val="00A41F09"/>
    <w:rsid w:val="00A42C23"/>
    <w:rsid w:val="00A42FB8"/>
    <w:rsid w:val="00A4401C"/>
    <w:rsid w:val="00A4487C"/>
    <w:rsid w:val="00A4544E"/>
    <w:rsid w:val="00A45E2D"/>
    <w:rsid w:val="00A46CAD"/>
    <w:rsid w:val="00A476F2"/>
    <w:rsid w:val="00A500B4"/>
    <w:rsid w:val="00A51361"/>
    <w:rsid w:val="00A532F7"/>
    <w:rsid w:val="00A535A4"/>
    <w:rsid w:val="00A552D0"/>
    <w:rsid w:val="00A556A7"/>
    <w:rsid w:val="00A55DA3"/>
    <w:rsid w:val="00A578EE"/>
    <w:rsid w:val="00A601AE"/>
    <w:rsid w:val="00A60A42"/>
    <w:rsid w:val="00A613C6"/>
    <w:rsid w:val="00A62933"/>
    <w:rsid w:val="00A63026"/>
    <w:rsid w:val="00A63263"/>
    <w:rsid w:val="00A63DB3"/>
    <w:rsid w:val="00A63E26"/>
    <w:rsid w:val="00A648C2"/>
    <w:rsid w:val="00A64F3A"/>
    <w:rsid w:val="00A66259"/>
    <w:rsid w:val="00A6632E"/>
    <w:rsid w:val="00A67878"/>
    <w:rsid w:val="00A73DF1"/>
    <w:rsid w:val="00A76727"/>
    <w:rsid w:val="00A83191"/>
    <w:rsid w:val="00A83856"/>
    <w:rsid w:val="00A84E4C"/>
    <w:rsid w:val="00A850D7"/>
    <w:rsid w:val="00A8515A"/>
    <w:rsid w:val="00A8530D"/>
    <w:rsid w:val="00A85E02"/>
    <w:rsid w:val="00A86232"/>
    <w:rsid w:val="00A874F2"/>
    <w:rsid w:val="00A8759C"/>
    <w:rsid w:val="00A91C61"/>
    <w:rsid w:val="00A92877"/>
    <w:rsid w:val="00A92F6C"/>
    <w:rsid w:val="00A964AF"/>
    <w:rsid w:val="00A96783"/>
    <w:rsid w:val="00A96D6F"/>
    <w:rsid w:val="00AA158A"/>
    <w:rsid w:val="00AA1F37"/>
    <w:rsid w:val="00AA2470"/>
    <w:rsid w:val="00AA346E"/>
    <w:rsid w:val="00AA34EC"/>
    <w:rsid w:val="00AA35D0"/>
    <w:rsid w:val="00AA3BCC"/>
    <w:rsid w:val="00AA4471"/>
    <w:rsid w:val="00AB0709"/>
    <w:rsid w:val="00AB0B00"/>
    <w:rsid w:val="00AB1FBC"/>
    <w:rsid w:val="00AB2B9A"/>
    <w:rsid w:val="00AB2BC2"/>
    <w:rsid w:val="00AB3265"/>
    <w:rsid w:val="00AB362B"/>
    <w:rsid w:val="00AB3CD8"/>
    <w:rsid w:val="00AB577B"/>
    <w:rsid w:val="00AB58AC"/>
    <w:rsid w:val="00AB614F"/>
    <w:rsid w:val="00AB7529"/>
    <w:rsid w:val="00AB7557"/>
    <w:rsid w:val="00AC0060"/>
    <w:rsid w:val="00AC0142"/>
    <w:rsid w:val="00AC01F8"/>
    <w:rsid w:val="00AC0E9E"/>
    <w:rsid w:val="00AC1418"/>
    <w:rsid w:val="00AC22EB"/>
    <w:rsid w:val="00AC2ECF"/>
    <w:rsid w:val="00AC44D2"/>
    <w:rsid w:val="00AC5D6C"/>
    <w:rsid w:val="00AC5EEF"/>
    <w:rsid w:val="00AD088F"/>
    <w:rsid w:val="00AD0E2C"/>
    <w:rsid w:val="00AD1334"/>
    <w:rsid w:val="00AD1F05"/>
    <w:rsid w:val="00AD222F"/>
    <w:rsid w:val="00AD2FDC"/>
    <w:rsid w:val="00AD37DD"/>
    <w:rsid w:val="00AD486E"/>
    <w:rsid w:val="00AD4D48"/>
    <w:rsid w:val="00AD5003"/>
    <w:rsid w:val="00AD53A8"/>
    <w:rsid w:val="00AD6538"/>
    <w:rsid w:val="00AD6D07"/>
    <w:rsid w:val="00AD6F70"/>
    <w:rsid w:val="00AE0228"/>
    <w:rsid w:val="00AE038D"/>
    <w:rsid w:val="00AE0F40"/>
    <w:rsid w:val="00AE1A1D"/>
    <w:rsid w:val="00AE32AC"/>
    <w:rsid w:val="00AE4CF3"/>
    <w:rsid w:val="00AE593B"/>
    <w:rsid w:val="00AE6010"/>
    <w:rsid w:val="00AF0034"/>
    <w:rsid w:val="00AF1093"/>
    <w:rsid w:val="00AF43B3"/>
    <w:rsid w:val="00AF4760"/>
    <w:rsid w:val="00AF479D"/>
    <w:rsid w:val="00AF5F87"/>
    <w:rsid w:val="00AF5FF8"/>
    <w:rsid w:val="00AF606D"/>
    <w:rsid w:val="00AF66F5"/>
    <w:rsid w:val="00B00A94"/>
    <w:rsid w:val="00B0146F"/>
    <w:rsid w:val="00B01D4E"/>
    <w:rsid w:val="00B01F9C"/>
    <w:rsid w:val="00B01FE8"/>
    <w:rsid w:val="00B0213F"/>
    <w:rsid w:val="00B02D52"/>
    <w:rsid w:val="00B04A6F"/>
    <w:rsid w:val="00B04AAA"/>
    <w:rsid w:val="00B04C58"/>
    <w:rsid w:val="00B0561C"/>
    <w:rsid w:val="00B05AB2"/>
    <w:rsid w:val="00B07304"/>
    <w:rsid w:val="00B079C3"/>
    <w:rsid w:val="00B10920"/>
    <w:rsid w:val="00B114A3"/>
    <w:rsid w:val="00B117E0"/>
    <w:rsid w:val="00B125B3"/>
    <w:rsid w:val="00B12B2B"/>
    <w:rsid w:val="00B12D2A"/>
    <w:rsid w:val="00B13136"/>
    <w:rsid w:val="00B136A3"/>
    <w:rsid w:val="00B14566"/>
    <w:rsid w:val="00B150C2"/>
    <w:rsid w:val="00B15D61"/>
    <w:rsid w:val="00B174F1"/>
    <w:rsid w:val="00B2037D"/>
    <w:rsid w:val="00B211C1"/>
    <w:rsid w:val="00B21FEB"/>
    <w:rsid w:val="00B2240D"/>
    <w:rsid w:val="00B22FE9"/>
    <w:rsid w:val="00B23716"/>
    <w:rsid w:val="00B23788"/>
    <w:rsid w:val="00B24085"/>
    <w:rsid w:val="00B2421E"/>
    <w:rsid w:val="00B246F5"/>
    <w:rsid w:val="00B24954"/>
    <w:rsid w:val="00B2673A"/>
    <w:rsid w:val="00B277A6"/>
    <w:rsid w:val="00B3060B"/>
    <w:rsid w:val="00B32C5B"/>
    <w:rsid w:val="00B33055"/>
    <w:rsid w:val="00B362F3"/>
    <w:rsid w:val="00B370A9"/>
    <w:rsid w:val="00B41C20"/>
    <w:rsid w:val="00B41F32"/>
    <w:rsid w:val="00B43564"/>
    <w:rsid w:val="00B4424A"/>
    <w:rsid w:val="00B44D38"/>
    <w:rsid w:val="00B456AA"/>
    <w:rsid w:val="00B472BD"/>
    <w:rsid w:val="00B47B14"/>
    <w:rsid w:val="00B47CAA"/>
    <w:rsid w:val="00B50F46"/>
    <w:rsid w:val="00B531B6"/>
    <w:rsid w:val="00B538D4"/>
    <w:rsid w:val="00B53F6D"/>
    <w:rsid w:val="00B54D56"/>
    <w:rsid w:val="00B550C3"/>
    <w:rsid w:val="00B556A0"/>
    <w:rsid w:val="00B55B18"/>
    <w:rsid w:val="00B55E81"/>
    <w:rsid w:val="00B56821"/>
    <w:rsid w:val="00B609A3"/>
    <w:rsid w:val="00B6373B"/>
    <w:rsid w:val="00B64018"/>
    <w:rsid w:val="00B641B3"/>
    <w:rsid w:val="00B65782"/>
    <w:rsid w:val="00B657DA"/>
    <w:rsid w:val="00B66EAB"/>
    <w:rsid w:val="00B66F74"/>
    <w:rsid w:val="00B67DAE"/>
    <w:rsid w:val="00B67ED0"/>
    <w:rsid w:val="00B70074"/>
    <w:rsid w:val="00B70F7A"/>
    <w:rsid w:val="00B71E9A"/>
    <w:rsid w:val="00B737F1"/>
    <w:rsid w:val="00B73BCE"/>
    <w:rsid w:val="00B75EB1"/>
    <w:rsid w:val="00B8074E"/>
    <w:rsid w:val="00B823DC"/>
    <w:rsid w:val="00B841F3"/>
    <w:rsid w:val="00B85269"/>
    <w:rsid w:val="00B8554C"/>
    <w:rsid w:val="00B85F8B"/>
    <w:rsid w:val="00B87DD5"/>
    <w:rsid w:val="00B90F5C"/>
    <w:rsid w:val="00B92A63"/>
    <w:rsid w:val="00B93E5D"/>
    <w:rsid w:val="00B95969"/>
    <w:rsid w:val="00B95BDF"/>
    <w:rsid w:val="00B968AA"/>
    <w:rsid w:val="00B96B4A"/>
    <w:rsid w:val="00BA0D55"/>
    <w:rsid w:val="00BA0F7D"/>
    <w:rsid w:val="00BA132D"/>
    <w:rsid w:val="00BA17B0"/>
    <w:rsid w:val="00BA1967"/>
    <w:rsid w:val="00BA217B"/>
    <w:rsid w:val="00BA2B61"/>
    <w:rsid w:val="00BA3206"/>
    <w:rsid w:val="00BA4E3F"/>
    <w:rsid w:val="00BA5820"/>
    <w:rsid w:val="00BA71CB"/>
    <w:rsid w:val="00BA7F15"/>
    <w:rsid w:val="00BB0476"/>
    <w:rsid w:val="00BB0918"/>
    <w:rsid w:val="00BB0EF0"/>
    <w:rsid w:val="00BB1EA9"/>
    <w:rsid w:val="00BB3242"/>
    <w:rsid w:val="00BB3852"/>
    <w:rsid w:val="00BB3BED"/>
    <w:rsid w:val="00BB4385"/>
    <w:rsid w:val="00BB45AD"/>
    <w:rsid w:val="00BB5934"/>
    <w:rsid w:val="00BB6304"/>
    <w:rsid w:val="00BC0583"/>
    <w:rsid w:val="00BC06FA"/>
    <w:rsid w:val="00BC2605"/>
    <w:rsid w:val="00BC2747"/>
    <w:rsid w:val="00BC275A"/>
    <w:rsid w:val="00BC2B94"/>
    <w:rsid w:val="00BC2DB1"/>
    <w:rsid w:val="00BC3183"/>
    <w:rsid w:val="00BC3573"/>
    <w:rsid w:val="00BC3EE1"/>
    <w:rsid w:val="00BC5454"/>
    <w:rsid w:val="00BC7DFD"/>
    <w:rsid w:val="00BD049F"/>
    <w:rsid w:val="00BD1AC4"/>
    <w:rsid w:val="00BD22DB"/>
    <w:rsid w:val="00BD2364"/>
    <w:rsid w:val="00BD3BAA"/>
    <w:rsid w:val="00BD4CA8"/>
    <w:rsid w:val="00BD4EC8"/>
    <w:rsid w:val="00BD4EFF"/>
    <w:rsid w:val="00BE0D63"/>
    <w:rsid w:val="00BE1B12"/>
    <w:rsid w:val="00BE21A9"/>
    <w:rsid w:val="00BE2535"/>
    <w:rsid w:val="00BE30B9"/>
    <w:rsid w:val="00BE6876"/>
    <w:rsid w:val="00BE6EAA"/>
    <w:rsid w:val="00BE6F3F"/>
    <w:rsid w:val="00BE77D9"/>
    <w:rsid w:val="00BF01F5"/>
    <w:rsid w:val="00BF1628"/>
    <w:rsid w:val="00BF1872"/>
    <w:rsid w:val="00BF18BA"/>
    <w:rsid w:val="00BF1978"/>
    <w:rsid w:val="00BF2339"/>
    <w:rsid w:val="00BF236B"/>
    <w:rsid w:val="00BF2A81"/>
    <w:rsid w:val="00BF35A4"/>
    <w:rsid w:val="00BF42AA"/>
    <w:rsid w:val="00BF4B6E"/>
    <w:rsid w:val="00BF5CB3"/>
    <w:rsid w:val="00BF6DE3"/>
    <w:rsid w:val="00BF70CC"/>
    <w:rsid w:val="00BF79C1"/>
    <w:rsid w:val="00C000A8"/>
    <w:rsid w:val="00C00935"/>
    <w:rsid w:val="00C01240"/>
    <w:rsid w:val="00C015B7"/>
    <w:rsid w:val="00C016D2"/>
    <w:rsid w:val="00C01750"/>
    <w:rsid w:val="00C01A61"/>
    <w:rsid w:val="00C02796"/>
    <w:rsid w:val="00C029E2"/>
    <w:rsid w:val="00C02C99"/>
    <w:rsid w:val="00C031B2"/>
    <w:rsid w:val="00C03B49"/>
    <w:rsid w:val="00C03D99"/>
    <w:rsid w:val="00C0550B"/>
    <w:rsid w:val="00C05677"/>
    <w:rsid w:val="00C05CA8"/>
    <w:rsid w:val="00C05E73"/>
    <w:rsid w:val="00C05E8A"/>
    <w:rsid w:val="00C06CAA"/>
    <w:rsid w:val="00C13008"/>
    <w:rsid w:val="00C13438"/>
    <w:rsid w:val="00C1422D"/>
    <w:rsid w:val="00C146BE"/>
    <w:rsid w:val="00C14C44"/>
    <w:rsid w:val="00C150C7"/>
    <w:rsid w:val="00C205EB"/>
    <w:rsid w:val="00C2088D"/>
    <w:rsid w:val="00C20D5E"/>
    <w:rsid w:val="00C20EC4"/>
    <w:rsid w:val="00C22935"/>
    <w:rsid w:val="00C22E1A"/>
    <w:rsid w:val="00C23102"/>
    <w:rsid w:val="00C26006"/>
    <w:rsid w:val="00C26A3C"/>
    <w:rsid w:val="00C271EF"/>
    <w:rsid w:val="00C30F6C"/>
    <w:rsid w:val="00C30FD5"/>
    <w:rsid w:val="00C34A28"/>
    <w:rsid w:val="00C34E18"/>
    <w:rsid w:val="00C34F11"/>
    <w:rsid w:val="00C34FFE"/>
    <w:rsid w:val="00C362B8"/>
    <w:rsid w:val="00C36B1D"/>
    <w:rsid w:val="00C37504"/>
    <w:rsid w:val="00C37714"/>
    <w:rsid w:val="00C406EE"/>
    <w:rsid w:val="00C418BC"/>
    <w:rsid w:val="00C4348B"/>
    <w:rsid w:val="00C44B73"/>
    <w:rsid w:val="00C452FB"/>
    <w:rsid w:val="00C46146"/>
    <w:rsid w:val="00C46610"/>
    <w:rsid w:val="00C46A9D"/>
    <w:rsid w:val="00C46B2C"/>
    <w:rsid w:val="00C4716C"/>
    <w:rsid w:val="00C476C2"/>
    <w:rsid w:val="00C50317"/>
    <w:rsid w:val="00C507A3"/>
    <w:rsid w:val="00C511D9"/>
    <w:rsid w:val="00C51E8E"/>
    <w:rsid w:val="00C54ACC"/>
    <w:rsid w:val="00C554D5"/>
    <w:rsid w:val="00C55CB1"/>
    <w:rsid w:val="00C6071C"/>
    <w:rsid w:val="00C6200F"/>
    <w:rsid w:val="00C621EF"/>
    <w:rsid w:val="00C62997"/>
    <w:rsid w:val="00C63709"/>
    <w:rsid w:val="00C6488D"/>
    <w:rsid w:val="00C65A06"/>
    <w:rsid w:val="00C65CF5"/>
    <w:rsid w:val="00C6601B"/>
    <w:rsid w:val="00C667B2"/>
    <w:rsid w:val="00C6736A"/>
    <w:rsid w:val="00C6737A"/>
    <w:rsid w:val="00C70E59"/>
    <w:rsid w:val="00C711E5"/>
    <w:rsid w:val="00C712B7"/>
    <w:rsid w:val="00C7336C"/>
    <w:rsid w:val="00C73B18"/>
    <w:rsid w:val="00C73C25"/>
    <w:rsid w:val="00C74290"/>
    <w:rsid w:val="00C74942"/>
    <w:rsid w:val="00C75B61"/>
    <w:rsid w:val="00C75F46"/>
    <w:rsid w:val="00C76437"/>
    <w:rsid w:val="00C76541"/>
    <w:rsid w:val="00C77629"/>
    <w:rsid w:val="00C8303B"/>
    <w:rsid w:val="00C83120"/>
    <w:rsid w:val="00C8356A"/>
    <w:rsid w:val="00C90B16"/>
    <w:rsid w:val="00C919FA"/>
    <w:rsid w:val="00C92143"/>
    <w:rsid w:val="00C92316"/>
    <w:rsid w:val="00C93D3C"/>
    <w:rsid w:val="00C95287"/>
    <w:rsid w:val="00C9551A"/>
    <w:rsid w:val="00C956FE"/>
    <w:rsid w:val="00C959F1"/>
    <w:rsid w:val="00C95A64"/>
    <w:rsid w:val="00C9630E"/>
    <w:rsid w:val="00C97A9B"/>
    <w:rsid w:val="00CA2E2E"/>
    <w:rsid w:val="00CA3444"/>
    <w:rsid w:val="00CA3580"/>
    <w:rsid w:val="00CA3D19"/>
    <w:rsid w:val="00CA4999"/>
    <w:rsid w:val="00CA4C0B"/>
    <w:rsid w:val="00CA5A83"/>
    <w:rsid w:val="00CA6B2C"/>
    <w:rsid w:val="00CA761E"/>
    <w:rsid w:val="00CA778C"/>
    <w:rsid w:val="00CB073C"/>
    <w:rsid w:val="00CB0EEA"/>
    <w:rsid w:val="00CB1487"/>
    <w:rsid w:val="00CB1F92"/>
    <w:rsid w:val="00CB2033"/>
    <w:rsid w:val="00CB2566"/>
    <w:rsid w:val="00CB3877"/>
    <w:rsid w:val="00CB3B86"/>
    <w:rsid w:val="00CB3F4F"/>
    <w:rsid w:val="00CB4143"/>
    <w:rsid w:val="00CB4FC8"/>
    <w:rsid w:val="00CB501C"/>
    <w:rsid w:val="00CB591E"/>
    <w:rsid w:val="00CB5CE1"/>
    <w:rsid w:val="00CB5D0B"/>
    <w:rsid w:val="00CB6A8F"/>
    <w:rsid w:val="00CC0ECD"/>
    <w:rsid w:val="00CC19D9"/>
    <w:rsid w:val="00CC254F"/>
    <w:rsid w:val="00CC29AD"/>
    <w:rsid w:val="00CC378D"/>
    <w:rsid w:val="00CC64BE"/>
    <w:rsid w:val="00CD0744"/>
    <w:rsid w:val="00CD089A"/>
    <w:rsid w:val="00CD233B"/>
    <w:rsid w:val="00CD371B"/>
    <w:rsid w:val="00CD3DF4"/>
    <w:rsid w:val="00CD46A3"/>
    <w:rsid w:val="00CD4D9E"/>
    <w:rsid w:val="00CD5536"/>
    <w:rsid w:val="00CD5B23"/>
    <w:rsid w:val="00CD7776"/>
    <w:rsid w:val="00CD7A2A"/>
    <w:rsid w:val="00CE0493"/>
    <w:rsid w:val="00CE0BAB"/>
    <w:rsid w:val="00CE14D5"/>
    <w:rsid w:val="00CE22D7"/>
    <w:rsid w:val="00CE34DD"/>
    <w:rsid w:val="00CE3820"/>
    <w:rsid w:val="00CE44CF"/>
    <w:rsid w:val="00CE48B6"/>
    <w:rsid w:val="00CE4E34"/>
    <w:rsid w:val="00CE7E38"/>
    <w:rsid w:val="00CF1521"/>
    <w:rsid w:val="00CF1C16"/>
    <w:rsid w:val="00CF2CA8"/>
    <w:rsid w:val="00CF2D27"/>
    <w:rsid w:val="00CF2FF5"/>
    <w:rsid w:val="00CF3867"/>
    <w:rsid w:val="00CF5C93"/>
    <w:rsid w:val="00D00BFD"/>
    <w:rsid w:val="00D018BB"/>
    <w:rsid w:val="00D01C3F"/>
    <w:rsid w:val="00D02291"/>
    <w:rsid w:val="00D02489"/>
    <w:rsid w:val="00D0318D"/>
    <w:rsid w:val="00D05CCD"/>
    <w:rsid w:val="00D05FB8"/>
    <w:rsid w:val="00D07025"/>
    <w:rsid w:val="00D07531"/>
    <w:rsid w:val="00D07A39"/>
    <w:rsid w:val="00D10B65"/>
    <w:rsid w:val="00D10F9F"/>
    <w:rsid w:val="00D11888"/>
    <w:rsid w:val="00D11E64"/>
    <w:rsid w:val="00D11FBA"/>
    <w:rsid w:val="00D12606"/>
    <w:rsid w:val="00D12954"/>
    <w:rsid w:val="00D12FC2"/>
    <w:rsid w:val="00D14D39"/>
    <w:rsid w:val="00D156AF"/>
    <w:rsid w:val="00D15E7A"/>
    <w:rsid w:val="00D164C2"/>
    <w:rsid w:val="00D16589"/>
    <w:rsid w:val="00D1659D"/>
    <w:rsid w:val="00D16685"/>
    <w:rsid w:val="00D17798"/>
    <w:rsid w:val="00D21D50"/>
    <w:rsid w:val="00D23C38"/>
    <w:rsid w:val="00D23F58"/>
    <w:rsid w:val="00D23F86"/>
    <w:rsid w:val="00D24A09"/>
    <w:rsid w:val="00D250C2"/>
    <w:rsid w:val="00D250CE"/>
    <w:rsid w:val="00D26A0F"/>
    <w:rsid w:val="00D27227"/>
    <w:rsid w:val="00D27A10"/>
    <w:rsid w:val="00D27C32"/>
    <w:rsid w:val="00D30197"/>
    <w:rsid w:val="00D309A3"/>
    <w:rsid w:val="00D31B8D"/>
    <w:rsid w:val="00D31FB4"/>
    <w:rsid w:val="00D32623"/>
    <w:rsid w:val="00D333F2"/>
    <w:rsid w:val="00D33B01"/>
    <w:rsid w:val="00D3438B"/>
    <w:rsid w:val="00D3468D"/>
    <w:rsid w:val="00D359CD"/>
    <w:rsid w:val="00D363B2"/>
    <w:rsid w:val="00D370A6"/>
    <w:rsid w:val="00D372C1"/>
    <w:rsid w:val="00D37334"/>
    <w:rsid w:val="00D4199C"/>
    <w:rsid w:val="00D43658"/>
    <w:rsid w:val="00D44089"/>
    <w:rsid w:val="00D4409B"/>
    <w:rsid w:val="00D44471"/>
    <w:rsid w:val="00D4457A"/>
    <w:rsid w:val="00D451D3"/>
    <w:rsid w:val="00D45317"/>
    <w:rsid w:val="00D457F9"/>
    <w:rsid w:val="00D45A70"/>
    <w:rsid w:val="00D46B6A"/>
    <w:rsid w:val="00D4722B"/>
    <w:rsid w:val="00D47A79"/>
    <w:rsid w:val="00D47BFC"/>
    <w:rsid w:val="00D51682"/>
    <w:rsid w:val="00D52C84"/>
    <w:rsid w:val="00D54C66"/>
    <w:rsid w:val="00D54F04"/>
    <w:rsid w:val="00D55C9D"/>
    <w:rsid w:val="00D56FCC"/>
    <w:rsid w:val="00D57E31"/>
    <w:rsid w:val="00D57E7C"/>
    <w:rsid w:val="00D57F98"/>
    <w:rsid w:val="00D60FBD"/>
    <w:rsid w:val="00D6177A"/>
    <w:rsid w:val="00D6286A"/>
    <w:rsid w:val="00D63618"/>
    <w:rsid w:val="00D63FE8"/>
    <w:rsid w:val="00D64C6B"/>
    <w:rsid w:val="00D650BB"/>
    <w:rsid w:val="00D65B16"/>
    <w:rsid w:val="00D667A3"/>
    <w:rsid w:val="00D66E2C"/>
    <w:rsid w:val="00D67F88"/>
    <w:rsid w:val="00D707DC"/>
    <w:rsid w:val="00D70856"/>
    <w:rsid w:val="00D72243"/>
    <w:rsid w:val="00D7239D"/>
    <w:rsid w:val="00D73061"/>
    <w:rsid w:val="00D73471"/>
    <w:rsid w:val="00D74C1D"/>
    <w:rsid w:val="00D75401"/>
    <w:rsid w:val="00D7682F"/>
    <w:rsid w:val="00D76D19"/>
    <w:rsid w:val="00D76EE8"/>
    <w:rsid w:val="00D76FC4"/>
    <w:rsid w:val="00D7728C"/>
    <w:rsid w:val="00D8085C"/>
    <w:rsid w:val="00D80AE1"/>
    <w:rsid w:val="00D835B5"/>
    <w:rsid w:val="00D83C83"/>
    <w:rsid w:val="00D844EE"/>
    <w:rsid w:val="00D84A72"/>
    <w:rsid w:val="00D8555D"/>
    <w:rsid w:val="00D8592C"/>
    <w:rsid w:val="00D86C1B"/>
    <w:rsid w:val="00D875F7"/>
    <w:rsid w:val="00D876C8"/>
    <w:rsid w:val="00D87EC5"/>
    <w:rsid w:val="00D909F5"/>
    <w:rsid w:val="00D90E4D"/>
    <w:rsid w:val="00D9158A"/>
    <w:rsid w:val="00D91F11"/>
    <w:rsid w:val="00D92221"/>
    <w:rsid w:val="00D92792"/>
    <w:rsid w:val="00D92CAA"/>
    <w:rsid w:val="00D933CB"/>
    <w:rsid w:val="00D94195"/>
    <w:rsid w:val="00D944E8"/>
    <w:rsid w:val="00D94B5E"/>
    <w:rsid w:val="00D94ECD"/>
    <w:rsid w:val="00D959FF"/>
    <w:rsid w:val="00D95D98"/>
    <w:rsid w:val="00D95DA2"/>
    <w:rsid w:val="00D96E0F"/>
    <w:rsid w:val="00D9746E"/>
    <w:rsid w:val="00D97B3C"/>
    <w:rsid w:val="00DA07CB"/>
    <w:rsid w:val="00DA15A0"/>
    <w:rsid w:val="00DA4767"/>
    <w:rsid w:val="00DA503C"/>
    <w:rsid w:val="00DA5E95"/>
    <w:rsid w:val="00DA60B0"/>
    <w:rsid w:val="00DA66CE"/>
    <w:rsid w:val="00DA6C15"/>
    <w:rsid w:val="00DA72B2"/>
    <w:rsid w:val="00DB0182"/>
    <w:rsid w:val="00DB01FA"/>
    <w:rsid w:val="00DB0C6A"/>
    <w:rsid w:val="00DB1F14"/>
    <w:rsid w:val="00DB24D4"/>
    <w:rsid w:val="00DB26E6"/>
    <w:rsid w:val="00DB4843"/>
    <w:rsid w:val="00DB48D7"/>
    <w:rsid w:val="00DB4E8A"/>
    <w:rsid w:val="00DB5674"/>
    <w:rsid w:val="00DB5C1E"/>
    <w:rsid w:val="00DB6586"/>
    <w:rsid w:val="00DB6674"/>
    <w:rsid w:val="00DB6E77"/>
    <w:rsid w:val="00DB7A10"/>
    <w:rsid w:val="00DB7C63"/>
    <w:rsid w:val="00DC01A5"/>
    <w:rsid w:val="00DC0B8F"/>
    <w:rsid w:val="00DC11A2"/>
    <w:rsid w:val="00DC1920"/>
    <w:rsid w:val="00DC30B6"/>
    <w:rsid w:val="00DC44E6"/>
    <w:rsid w:val="00DC5456"/>
    <w:rsid w:val="00DC567F"/>
    <w:rsid w:val="00DC57BB"/>
    <w:rsid w:val="00DC6FEE"/>
    <w:rsid w:val="00DC703B"/>
    <w:rsid w:val="00DD0022"/>
    <w:rsid w:val="00DD057B"/>
    <w:rsid w:val="00DD080D"/>
    <w:rsid w:val="00DD0C99"/>
    <w:rsid w:val="00DD0E5E"/>
    <w:rsid w:val="00DD1AC6"/>
    <w:rsid w:val="00DD247B"/>
    <w:rsid w:val="00DD25F7"/>
    <w:rsid w:val="00DD2FB6"/>
    <w:rsid w:val="00DD3B55"/>
    <w:rsid w:val="00DD5464"/>
    <w:rsid w:val="00DD59B5"/>
    <w:rsid w:val="00DD63E6"/>
    <w:rsid w:val="00DD7E80"/>
    <w:rsid w:val="00DE029D"/>
    <w:rsid w:val="00DE1D6A"/>
    <w:rsid w:val="00DE1E04"/>
    <w:rsid w:val="00DE385B"/>
    <w:rsid w:val="00DE3C93"/>
    <w:rsid w:val="00DE50B8"/>
    <w:rsid w:val="00DE66BF"/>
    <w:rsid w:val="00DE68B6"/>
    <w:rsid w:val="00DE6C82"/>
    <w:rsid w:val="00DE7B83"/>
    <w:rsid w:val="00DE7B91"/>
    <w:rsid w:val="00DE7D3E"/>
    <w:rsid w:val="00DF0C6A"/>
    <w:rsid w:val="00DF1138"/>
    <w:rsid w:val="00DF377B"/>
    <w:rsid w:val="00DF3DF9"/>
    <w:rsid w:val="00DF579C"/>
    <w:rsid w:val="00DF6A98"/>
    <w:rsid w:val="00DF6CCC"/>
    <w:rsid w:val="00DF7766"/>
    <w:rsid w:val="00DF7908"/>
    <w:rsid w:val="00E0121F"/>
    <w:rsid w:val="00E01300"/>
    <w:rsid w:val="00E01CAD"/>
    <w:rsid w:val="00E032C7"/>
    <w:rsid w:val="00E04C17"/>
    <w:rsid w:val="00E053F6"/>
    <w:rsid w:val="00E068A6"/>
    <w:rsid w:val="00E1017A"/>
    <w:rsid w:val="00E10898"/>
    <w:rsid w:val="00E11D2C"/>
    <w:rsid w:val="00E12277"/>
    <w:rsid w:val="00E12E9F"/>
    <w:rsid w:val="00E1307F"/>
    <w:rsid w:val="00E136A9"/>
    <w:rsid w:val="00E142D8"/>
    <w:rsid w:val="00E1539C"/>
    <w:rsid w:val="00E20015"/>
    <w:rsid w:val="00E209A4"/>
    <w:rsid w:val="00E21438"/>
    <w:rsid w:val="00E221E7"/>
    <w:rsid w:val="00E249FE"/>
    <w:rsid w:val="00E26843"/>
    <w:rsid w:val="00E300C5"/>
    <w:rsid w:val="00E32568"/>
    <w:rsid w:val="00E34658"/>
    <w:rsid w:val="00E34CF8"/>
    <w:rsid w:val="00E350C8"/>
    <w:rsid w:val="00E35442"/>
    <w:rsid w:val="00E357DA"/>
    <w:rsid w:val="00E3626C"/>
    <w:rsid w:val="00E370B3"/>
    <w:rsid w:val="00E43955"/>
    <w:rsid w:val="00E44710"/>
    <w:rsid w:val="00E45BF6"/>
    <w:rsid w:val="00E47C34"/>
    <w:rsid w:val="00E47F6C"/>
    <w:rsid w:val="00E50757"/>
    <w:rsid w:val="00E51038"/>
    <w:rsid w:val="00E5121A"/>
    <w:rsid w:val="00E5250B"/>
    <w:rsid w:val="00E5252E"/>
    <w:rsid w:val="00E52FA5"/>
    <w:rsid w:val="00E53480"/>
    <w:rsid w:val="00E53A93"/>
    <w:rsid w:val="00E546A3"/>
    <w:rsid w:val="00E54AB3"/>
    <w:rsid w:val="00E54B70"/>
    <w:rsid w:val="00E5635E"/>
    <w:rsid w:val="00E57153"/>
    <w:rsid w:val="00E57E79"/>
    <w:rsid w:val="00E6060D"/>
    <w:rsid w:val="00E6166F"/>
    <w:rsid w:val="00E61721"/>
    <w:rsid w:val="00E61CF6"/>
    <w:rsid w:val="00E62FDF"/>
    <w:rsid w:val="00E64889"/>
    <w:rsid w:val="00E650A0"/>
    <w:rsid w:val="00E6516B"/>
    <w:rsid w:val="00E65456"/>
    <w:rsid w:val="00E65497"/>
    <w:rsid w:val="00E659A0"/>
    <w:rsid w:val="00E65BE5"/>
    <w:rsid w:val="00E65D47"/>
    <w:rsid w:val="00E66B7F"/>
    <w:rsid w:val="00E67808"/>
    <w:rsid w:val="00E67DD6"/>
    <w:rsid w:val="00E70843"/>
    <w:rsid w:val="00E70A20"/>
    <w:rsid w:val="00E70F93"/>
    <w:rsid w:val="00E71CB4"/>
    <w:rsid w:val="00E735E9"/>
    <w:rsid w:val="00E73AAA"/>
    <w:rsid w:val="00E75AA6"/>
    <w:rsid w:val="00E7643D"/>
    <w:rsid w:val="00E816C9"/>
    <w:rsid w:val="00E81C54"/>
    <w:rsid w:val="00E82676"/>
    <w:rsid w:val="00E84086"/>
    <w:rsid w:val="00E8489A"/>
    <w:rsid w:val="00E86446"/>
    <w:rsid w:val="00E86B2D"/>
    <w:rsid w:val="00E8717E"/>
    <w:rsid w:val="00E87229"/>
    <w:rsid w:val="00E8772B"/>
    <w:rsid w:val="00E90B7E"/>
    <w:rsid w:val="00E91367"/>
    <w:rsid w:val="00E91F95"/>
    <w:rsid w:val="00E93BB6"/>
    <w:rsid w:val="00E93C77"/>
    <w:rsid w:val="00E9436C"/>
    <w:rsid w:val="00E94450"/>
    <w:rsid w:val="00E96624"/>
    <w:rsid w:val="00E96D41"/>
    <w:rsid w:val="00E97390"/>
    <w:rsid w:val="00EA0F15"/>
    <w:rsid w:val="00EA2913"/>
    <w:rsid w:val="00EA4120"/>
    <w:rsid w:val="00EA4180"/>
    <w:rsid w:val="00EA45AB"/>
    <w:rsid w:val="00EA46F1"/>
    <w:rsid w:val="00EA4AA5"/>
    <w:rsid w:val="00EA4C2B"/>
    <w:rsid w:val="00EA54A2"/>
    <w:rsid w:val="00EA5AC2"/>
    <w:rsid w:val="00EA6591"/>
    <w:rsid w:val="00EA6EA9"/>
    <w:rsid w:val="00EB029C"/>
    <w:rsid w:val="00EB0833"/>
    <w:rsid w:val="00EB12FE"/>
    <w:rsid w:val="00EB2179"/>
    <w:rsid w:val="00EB2500"/>
    <w:rsid w:val="00EB2C38"/>
    <w:rsid w:val="00EB3573"/>
    <w:rsid w:val="00EB4A06"/>
    <w:rsid w:val="00EB5AD2"/>
    <w:rsid w:val="00EB5E9C"/>
    <w:rsid w:val="00EC03DE"/>
    <w:rsid w:val="00EC270B"/>
    <w:rsid w:val="00EC2B60"/>
    <w:rsid w:val="00EC331C"/>
    <w:rsid w:val="00EC36D1"/>
    <w:rsid w:val="00EC4468"/>
    <w:rsid w:val="00EC4B6A"/>
    <w:rsid w:val="00EC6A99"/>
    <w:rsid w:val="00EC7A2D"/>
    <w:rsid w:val="00EC7A2F"/>
    <w:rsid w:val="00ED0A6E"/>
    <w:rsid w:val="00ED1618"/>
    <w:rsid w:val="00ED1A41"/>
    <w:rsid w:val="00ED233C"/>
    <w:rsid w:val="00ED3AE0"/>
    <w:rsid w:val="00ED3B6A"/>
    <w:rsid w:val="00ED54FC"/>
    <w:rsid w:val="00ED7056"/>
    <w:rsid w:val="00ED76E0"/>
    <w:rsid w:val="00ED7747"/>
    <w:rsid w:val="00ED7D1F"/>
    <w:rsid w:val="00EE036D"/>
    <w:rsid w:val="00EE10D1"/>
    <w:rsid w:val="00EE1212"/>
    <w:rsid w:val="00EE3EED"/>
    <w:rsid w:val="00EE5515"/>
    <w:rsid w:val="00EE6E6D"/>
    <w:rsid w:val="00EE7CD0"/>
    <w:rsid w:val="00EF1D01"/>
    <w:rsid w:val="00EF22BB"/>
    <w:rsid w:val="00EF2718"/>
    <w:rsid w:val="00EF28BD"/>
    <w:rsid w:val="00EF309B"/>
    <w:rsid w:val="00EF4BAE"/>
    <w:rsid w:val="00EF6416"/>
    <w:rsid w:val="00F01562"/>
    <w:rsid w:val="00F01751"/>
    <w:rsid w:val="00F01A83"/>
    <w:rsid w:val="00F01B52"/>
    <w:rsid w:val="00F0235C"/>
    <w:rsid w:val="00F0245A"/>
    <w:rsid w:val="00F02E88"/>
    <w:rsid w:val="00F03565"/>
    <w:rsid w:val="00F03C48"/>
    <w:rsid w:val="00F04FDB"/>
    <w:rsid w:val="00F05DA0"/>
    <w:rsid w:val="00F06372"/>
    <w:rsid w:val="00F06860"/>
    <w:rsid w:val="00F06B60"/>
    <w:rsid w:val="00F06BC8"/>
    <w:rsid w:val="00F105E9"/>
    <w:rsid w:val="00F11E30"/>
    <w:rsid w:val="00F122A5"/>
    <w:rsid w:val="00F12945"/>
    <w:rsid w:val="00F13B47"/>
    <w:rsid w:val="00F1491C"/>
    <w:rsid w:val="00F158B1"/>
    <w:rsid w:val="00F15EDF"/>
    <w:rsid w:val="00F17E59"/>
    <w:rsid w:val="00F200E2"/>
    <w:rsid w:val="00F209F2"/>
    <w:rsid w:val="00F21595"/>
    <w:rsid w:val="00F2165C"/>
    <w:rsid w:val="00F23A3B"/>
    <w:rsid w:val="00F23D36"/>
    <w:rsid w:val="00F24D4E"/>
    <w:rsid w:val="00F25CC0"/>
    <w:rsid w:val="00F25EC8"/>
    <w:rsid w:val="00F26079"/>
    <w:rsid w:val="00F26217"/>
    <w:rsid w:val="00F263D4"/>
    <w:rsid w:val="00F26A34"/>
    <w:rsid w:val="00F26DBE"/>
    <w:rsid w:val="00F27645"/>
    <w:rsid w:val="00F302FF"/>
    <w:rsid w:val="00F30A93"/>
    <w:rsid w:val="00F31553"/>
    <w:rsid w:val="00F31712"/>
    <w:rsid w:val="00F32130"/>
    <w:rsid w:val="00F33F1E"/>
    <w:rsid w:val="00F34E19"/>
    <w:rsid w:val="00F3627D"/>
    <w:rsid w:val="00F37F66"/>
    <w:rsid w:val="00F40371"/>
    <w:rsid w:val="00F417C2"/>
    <w:rsid w:val="00F42ED4"/>
    <w:rsid w:val="00F44DA8"/>
    <w:rsid w:val="00F452D7"/>
    <w:rsid w:val="00F459B9"/>
    <w:rsid w:val="00F459D2"/>
    <w:rsid w:val="00F45A4D"/>
    <w:rsid w:val="00F46317"/>
    <w:rsid w:val="00F463C1"/>
    <w:rsid w:val="00F467AA"/>
    <w:rsid w:val="00F47015"/>
    <w:rsid w:val="00F47404"/>
    <w:rsid w:val="00F47A46"/>
    <w:rsid w:val="00F5253D"/>
    <w:rsid w:val="00F52CA1"/>
    <w:rsid w:val="00F53833"/>
    <w:rsid w:val="00F55C9C"/>
    <w:rsid w:val="00F571C1"/>
    <w:rsid w:val="00F60063"/>
    <w:rsid w:val="00F6086E"/>
    <w:rsid w:val="00F60A6E"/>
    <w:rsid w:val="00F60AB4"/>
    <w:rsid w:val="00F626D2"/>
    <w:rsid w:val="00F66D8C"/>
    <w:rsid w:val="00F708B2"/>
    <w:rsid w:val="00F71322"/>
    <w:rsid w:val="00F71FF8"/>
    <w:rsid w:val="00F72B25"/>
    <w:rsid w:val="00F738F4"/>
    <w:rsid w:val="00F73E2B"/>
    <w:rsid w:val="00F74240"/>
    <w:rsid w:val="00F76551"/>
    <w:rsid w:val="00F76B45"/>
    <w:rsid w:val="00F77A36"/>
    <w:rsid w:val="00F77D05"/>
    <w:rsid w:val="00F806B6"/>
    <w:rsid w:val="00F8157D"/>
    <w:rsid w:val="00F82B0F"/>
    <w:rsid w:val="00F84FCF"/>
    <w:rsid w:val="00F8545D"/>
    <w:rsid w:val="00F854CE"/>
    <w:rsid w:val="00F856B9"/>
    <w:rsid w:val="00F858BC"/>
    <w:rsid w:val="00F870BD"/>
    <w:rsid w:val="00F873F8"/>
    <w:rsid w:val="00F87A8A"/>
    <w:rsid w:val="00F90148"/>
    <w:rsid w:val="00F9107F"/>
    <w:rsid w:val="00F918BB"/>
    <w:rsid w:val="00F91C56"/>
    <w:rsid w:val="00F92EA0"/>
    <w:rsid w:val="00F93D3E"/>
    <w:rsid w:val="00F96F3D"/>
    <w:rsid w:val="00F97101"/>
    <w:rsid w:val="00FA0807"/>
    <w:rsid w:val="00FA0CDE"/>
    <w:rsid w:val="00FA0F22"/>
    <w:rsid w:val="00FA0F25"/>
    <w:rsid w:val="00FA1779"/>
    <w:rsid w:val="00FA35A2"/>
    <w:rsid w:val="00FA475E"/>
    <w:rsid w:val="00FA494B"/>
    <w:rsid w:val="00FA5E6C"/>
    <w:rsid w:val="00FA751A"/>
    <w:rsid w:val="00FA75E8"/>
    <w:rsid w:val="00FA77A3"/>
    <w:rsid w:val="00FB0D9A"/>
    <w:rsid w:val="00FB0F0E"/>
    <w:rsid w:val="00FB1215"/>
    <w:rsid w:val="00FB135B"/>
    <w:rsid w:val="00FB262F"/>
    <w:rsid w:val="00FB2869"/>
    <w:rsid w:val="00FB38DC"/>
    <w:rsid w:val="00FB3F8D"/>
    <w:rsid w:val="00FB4A7B"/>
    <w:rsid w:val="00FB503B"/>
    <w:rsid w:val="00FB7CD5"/>
    <w:rsid w:val="00FC04D4"/>
    <w:rsid w:val="00FC11C7"/>
    <w:rsid w:val="00FC3AC3"/>
    <w:rsid w:val="00FC3D8E"/>
    <w:rsid w:val="00FC4D43"/>
    <w:rsid w:val="00FC64CD"/>
    <w:rsid w:val="00FC6AE7"/>
    <w:rsid w:val="00FD01BA"/>
    <w:rsid w:val="00FD0336"/>
    <w:rsid w:val="00FD2496"/>
    <w:rsid w:val="00FD2570"/>
    <w:rsid w:val="00FD5F2E"/>
    <w:rsid w:val="00FD6173"/>
    <w:rsid w:val="00FD66DF"/>
    <w:rsid w:val="00FD6E58"/>
    <w:rsid w:val="00FE4577"/>
    <w:rsid w:val="00FE512E"/>
    <w:rsid w:val="00FE52EA"/>
    <w:rsid w:val="00FE5F30"/>
    <w:rsid w:val="00FE67B2"/>
    <w:rsid w:val="00FF02CB"/>
    <w:rsid w:val="00FF073F"/>
    <w:rsid w:val="00FF0F08"/>
    <w:rsid w:val="00FF2C81"/>
    <w:rsid w:val="00FF33C7"/>
    <w:rsid w:val="00FF422D"/>
    <w:rsid w:val="00FF6164"/>
    <w:rsid w:val="00FF68CD"/>
    <w:rsid w:val="00FF6EFF"/>
    <w:rsid w:val="00FF7760"/>
    <w:rsid w:val="00FF7AB4"/>
    <w:rsid w:val="04482137"/>
    <w:rsid w:val="0880737E"/>
    <w:rsid w:val="08B44592"/>
    <w:rsid w:val="09B2DA32"/>
    <w:rsid w:val="0DB79959"/>
    <w:rsid w:val="13BF7D7B"/>
    <w:rsid w:val="15DA7EA3"/>
    <w:rsid w:val="1E5EA831"/>
    <w:rsid w:val="2509B865"/>
    <w:rsid w:val="2B0B4393"/>
    <w:rsid w:val="3472F066"/>
    <w:rsid w:val="36E3FE88"/>
    <w:rsid w:val="3B83B48E"/>
    <w:rsid w:val="48503B7D"/>
    <w:rsid w:val="4A057FA5"/>
    <w:rsid w:val="53BAB89B"/>
    <w:rsid w:val="55A831D3"/>
    <w:rsid w:val="6606A760"/>
    <w:rsid w:val="66CBC82F"/>
    <w:rsid w:val="679F0CB7"/>
    <w:rsid w:val="6B6EAF00"/>
    <w:rsid w:val="720176BB"/>
    <w:rsid w:val="765EBCB1"/>
    <w:rsid w:val="7B85C9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D94D4"/>
  <w15:docId w15:val="{AB7E1706-BAE1-4411-8F91-EC08C81F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aliases w:val="Table_G"/>
    <w:basedOn w:val="SingleTxtG"/>
    <w:next w:val="SingleTxtG"/>
    <w:link w:val="Heading1Char"/>
    <w:uiPriority w:val="9"/>
    <w:qFormat/>
    <w:rsid w:val="00ED161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0"/>
      <w:jc w:val="left"/>
      <w:outlineLvl w:val="0"/>
    </w:pPr>
    <w:rPr>
      <w:rFonts w:eastAsia="Times New Roman" w:cs="Times New Roman"/>
      <w:color w:val="auto"/>
      <w:bdr w:val="none" w:sz="0" w:space="0" w:color="auto"/>
      <w:lang w:val="en-GB" w:eastAsia="en-US"/>
    </w:rPr>
  </w:style>
  <w:style w:type="paragraph" w:styleId="Heading2">
    <w:name w:val="heading 2"/>
    <w:basedOn w:val="Normal"/>
    <w:next w:val="Normal"/>
    <w:link w:val="Heading2Char"/>
    <w:semiHidden/>
    <w:qFormat/>
    <w:rsid w:val="00ED1618"/>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1"/>
    </w:pPr>
    <w:rPr>
      <w:rFonts w:eastAsia="Times New Roman"/>
      <w:sz w:val="20"/>
      <w:szCs w:val="20"/>
      <w:bdr w:val="none" w:sz="0" w:space="0" w:color="auto"/>
      <w:lang w:val="en-GB"/>
    </w:rPr>
  </w:style>
  <w:style w:type="paragraph" w:styleId="Heading3">
    <w:name w:val="heading 3"/>
    <w:basedOn w:val="Normal"/>
    <w:next w:val="Normal"/>
    <w:link w:val="Heading3Char"/>
    <w:semiHidden/>
    <w:qFormat/>
    <w:rsid w:val="00ED1618"/>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2"/>
    </w:pPr>
    <w:rPr>
      <w:rFonts w:eastAsia="Times New Roman"/>
      <w:sz w:val="20"/>
      <w:szCs w:val="20"/>
      <w:bdr w:val="none" w:sz="0" w:space="0" w:color="auto"/>
      <w:lang w:val="en-GB"/>
    </w:rPr>
  </w:style>
  <w:style w:type="paragraph" w:styleId="Heading4">
    <w:name w:val="heading 4"/>
    <w:basedOn w:val="Normal"/>
    <w:next w:val="Normal"/>
    <w:link w:val="Heading4Char"/>
    <w:semiHidden/>
    <w:qFormat/>
    <w:rsid w:val="00ED1618"/>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3"/>
    </w:pPr>
    <w:rPr>
      <w:rFonts w:eastAsia="Times New Roman"/>
      <w:sz w:val="20"/>
      <w:szCs w:val="20"/>
      <w:bdr w:val="none" w:sz="0" w:space="0" w:color="auto"/>
      <w:lang w:val="en-GB"/>
    </w:rPr>
  </w:style>
  <w:style w:type="paragraph" w:styleId="Heading5">
    <w:name w:val="heading 5"/>
    <w:basedOn w:val="Normal"/>
    <w:next w:val="Normal"/>
    <w:link w:val="Heading5Char"/>
    <w:semiHidden/>
    <w:qFormat/>
    <w:rsid w:val="00ED1618"/>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4"/>
    </w:pPr>
    <w:rPr>
      <w:rFonts w:eastAsia="Times New Roman"/>
      <w:sz w:val="20"/>
      <w:szCs w:val="20"/>
      <w:bdr w:val="none" w:sz="0" w:space="0" w:color="auto"/>
      <w:lang w:val="en-GB"/>
    </w:rPr>
  </w:style>
  <w:style w:type="paragraph" w:styleId="Heading6">
    <w:name w:val="heading 6"/>
    <w:basedOn w:val="Normal"/>
    <w:next w:val="Normal"/>
    <w:link w:val="Heading6Char"/>
    <w:semiHidden/>
    <w:qFormat/>
    <w:rsid w:val="00ED1618"/>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5"/>
    </w:pPr>
    <w:rPr>
      <w:rFonts w:eastAsia="Times New Roman"/>
      <w:sz w:val="20"/>
      <w:szCs w:val="20"/>
      <w:bdr w:val="none" w:sz="0" w:space="0" w:color="auto"/>
      <w:lang w:val="en-GB"/>
    </w:rPr>
  </w:style>
  <w:style w:type="paragraph" w:styleId="Heading7">
    <w:name w:val="heading 7"/>
    <w:basedOn w:val="Normal"/>
    <w:next w:val="Normal"/>
    <w:link w:val="Heading7Char"/>
    <w:semiHidden/>
    <w:qFormat/>
    <w:rsid w:val="00ED1618"/>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6"/>
    </w:pPr>
    <w:rPr>
      <w:rFonts w:eastAsia="Times New Roman"/>
      <w:sz w:val="20"/>
      <w:szCs w:val="20"/>
      <w:bdr w:val="none" w:sz="0" w:space="0" w:color="auto"/>
      <w:lang w:val="en-GB"/>
    </w:rPr>
  </w:style>
  <w:style w:type="paragraph" w:styleId="Heading8">
    <w:name w:val="heading 8"/>
    <w:basedOn w:val="Normal"/>
    <w:next w:val="Normal"/>
    <w:link w:val="Heading8Char"/>
    <w:semiHidden/>
    <w:qFormat/>
    <w:rsid w:val="00ED1618"/>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7"/>
    </w:pPr>
    <w:rPr>
      <w:rFonts w:eastAsia="Times New Roman"/>
      <w:sz w:val="20"/>
      <w:szCs w:val="20"/>
      <w:bdr w:val="none" w:sz="0" w:space="0" w:color="auto"/>
      <w:lang w:val="en-GB"/>
    </w:rPr>
  </w:style>
  <w:style w:type="paragraph" w:styleId="Heading9">
    <w:name w:val="heading 9"/>
    <w:basedOn w:val="Normal"/>
    <w:next w:val="Normal"/>
    <w:link w:val="Heading9Char"/>
    <w:semiHidden/>
    <w:qFormat/>
    <w:rsid w:val="00ED1618"/>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8"/>
    </w:pPr>
    <w:rPr>
      <w:rFonts w:eastAsia="Times New Roman"/>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aliases w:val="6_G"/>
    <w:link w:val="HeaderChar"/>
    <w:uiPriority w:val="99"/>
    <w:qFormat/>
    <w:pPr>
      <w:pBdr>
        <w:bottom w:val="single" w:sz="4" w:space="0" w:color="000000"/>
      </w:pBdr>
      <w:suppressAutoHyphens/>
    </w:pPr>
    <w:rPr>
      <w:rFonts w:cs="Arial Unicode MS"/>
      <w:b/>
      <w:bCs/>
      <w:color w:val="000000"/>
      <w:sz w:val="18"/>
      <w:szCs w:val="18"/>
      <w:u w:color="000000"/>
      <w:lang w:val="en-US"/>
    </w:rPr>
  </w:style>
  <w:style w:type="character" w:customStyle="1" w:styleId="NoneA">
    <w:name w:val="None A"/>
    <w:rPr>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aliases w:val="3_G"/>
    <w:link w:val="FooterChar"/>
    <w:uiPriority w:val="99"/>
    <w:qFormat/>
    <w:pPr>
      <w:suppressAutoHyphens/>
    </w:pPr>
    <w:rPr>
      <w:rFonts w:eastAsia="Times New Roman"/>
      <w:color w:val="000000"/>
      <w:sz w:val="16"/>
      <w:szCs w:val="16"/>
      <w:u w:color="000000"/>
      <w:lang w:val="en-US"/>
    </w:rPr>
  </w:style>
  <w:style w:type="paragraph" w:customStyle="1" w:styleId="BodyA">
    <w:name w:val="Body A"/>
    <w:pPr>
      <w:suppressAutoHyphens/>
      <w:spacing w:line="240" w:lineRule="atLeast"/>
    </w:pPr>
    <w:rPr>
      <w:rFonts w:eastAsia="Times New Roman"/>
      <w:color w:val="000000"/>
      <w:u w:color="000000"/>
      <w:lang w:val="de-DE"/>
      <w14:textOutline w14:w="12700" w14:cap="flat" w14:cmpd="sng" w14:algn="ctr">
        <w14:noFill/>
        <w14:prstDash w14:val="solid"/>
        <w14:miter w14:lim="400000"/>
      </w14:textOutline>
    </w:rPr>
  </w:style>
  <w:style w:type="paragraph" w:customStyle="1" w:styleId="BodyAA">
    <w:name w:val="Body A A"/>
    <w:pPr>
      <w:suppressAutoHyphens/>
      <w:spacing w:line="240" w:lineRule="atLeast"/>
    </w:pPr>
    <w:rPr>
      <w:rFonts w:cs="Arial Unicode MS"/>
      <w:color w:val="000000"/>
      <w:u w:color="000000"/>
      <w:lang w:val="en-US"/>
    </w:rPr>
  </w:style>
  <w:style w:type="paragraph" w:customStyle="1" w:styleId="HChG">
    <w:name w:val="_ H _Ch_G"/>
    <w:next w:val="BodyA"/>
    <w:qFormat/>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lang w:val="en-US"/>
    </w:rPr>
  </w:style>
  <w:style w:type="paragraph" w:customStyle="1" w:styleId="H1G">
    <w:name w:val="_ H_1_G"/>
    <w:next w:val="BodyA"/>
    <w:qFormat/>
    <w:pPr>
      <w:keepNext/>
      <w:keepLines/>
      <w:tabs>
        <w:tab w:val="right" w:pos="851"/>
      </w:tabs>
      <w:suppressAutoHyphens/>
      <w:spacing w:before="360" w:after="240" w:line="270" w:lineRule="exact"/>
      <w:ind w:left="1134" w:right="1134" w:hanging="1134"/>
    </w:pPr>
    <w:rPr>
      <w:rFonts w:eastAsia="Times New Roman"/>
      <w:b/>
      <w:bC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SingleTxtG">
    <w:name w:val="_ Single Txt_G"/>
    <w:link w:val="SingleTxtGChar"/>
    <w:qFormat/>
    <w:pPr>
      <w:suppressAutoHyphens/>
      <w:spacing w:after="120" w:line="240" w:lineRule="atLeast"/>
      <w:ind w:left="1134" w:right="1134"/>
      <w:jc w:val="both"/>
    </w:pPr>
    <w:rPr>
      <w:rFonts w:cs="Arial Unicode MS"/>
      <w:color w:val="000000"/>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noteText">
    <w:name w:val="footnote text"/>
    <w:aliases w:val="5_G"/>
    <w:link w:val="FootnoteTextChar"/>
    <w:qFormat/>
    <w:pPr>
      <w:tabs>
        <w:tab w:val="right" w:pos="1021"/>
      </w:tabs>
      <w:suppressAutoHyphens/>
      <w:spacing w:line="220" w:lineRule="exact"/>
      <w:ind w:left="1134" w:right="1134" w:hanging="1134"/>
    </w:pPr>
    <w:rPr>
      <w:rFonts w:eastAsia="Times New Roman"/>
      <w:color w:val="000000"/>
      <w:sz w:val="18"/>
      <w:szCs w:val="18"/>
      <w:u w:color="000000"/>
      <w:lang w:val="en-US"/>
    </w:rPr>
  </w:style>
  <w:style w:type="character" w:customStyle="1" w:styleId="Hyperlink0">
    <w:name w:val="Hyperlink.0"/>
    <w:basedOn w:val="Hyperlink"/>
    <w:rPr>
      <w:outline w:val="0"/>
      <w:color w:val="0000FF"/>
      <w:u w:val="single" w:color="0000FF"/>
    </w:rPr>
  </w:style>
  <w:style w:type="paragraph" w:styleId="EndnoteText">
    <w:name w:val="endnote text"/>
    <w:aliases w:val="2_G"/>
    <w:link w:val="EndnoteTextChar"/>
    <w:uiPriority w:val="99"/>
    <w:qFormat/>
    <w:rPr>
      <w:rFonts w:eastAsia="Times New Roman"/>
      <w:color w:val="000000"/>
      <w:u w:color="000000"/>
      <w:lang w:val="en-US"/>
    </w:rPr>
  </w:style>
  <w:style w:type="character" w:customStyle="1" w:styleId="Hyperlink1">
    <w:name w:val="Hyperlink.1"/>
    <w:basedOn w:val="Hyperlink0"/>
    <w:rPr>
      <w:outline w:val="0"/>
      <w:color w:val="0000FF"/>
      <w:u w:val="single" w:color="0000FF"/>
      <w:lang w:val="es-ES_tradnl"/>
    </w:rPr>
  </w:style>
  <w:style w:type="character" w:customStyle="1" w:styleId="Hyperlink2">
    <w:name w:val="Hyperlink.2"/>
    <w:basedOn w:val="Hyperlink0"/>
    <w:rPr>
      <w:outline w:val="0"/>
      <w:color w:val="0000FF"/>
      <w:u w:val="single" w:color="0000FF"/>
      <w:lang w:val="en-US"/>
    </w:rPr>
  </w:style>
  <w:style w:type="character" w:customStyle="1" w:styleId="Hyperlink3">
    <w:name w:val="Hyperlink.3"/>
    <w:basedOn w:val="Hyperlink0"/>
    <w:rPr>
      <w:outline w:val="0"/>
      <w:color w:val="0000FF"/>
      <w:u w:val="single" w:color="0000FF"/>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5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8B1"/>
    <w:rPr>
      <w:rFonts w:ascii="Segoe UI" w:hAnsi="Segoe UI" w:cs="Segoe UI"/>
      <w:sz w:val="18"/>
      <w:szCs w:val="18"/>
      <w:lang w:val="en-US" w:eastAsia="en-US"/>
    </w:rPr>
  </w:style>
  <w:style w:type="character" w:styleId="FootnoteReference">
    <w:name w:val="footnote reference"/>
    <w:aliases w:val="4_G"/>
    <w:basedOn w:val="DefaultParagraphFont"/>
    <w:uiPriority w:val="99"/>
    <w:unhideWhenUsed/>
    <w:qFormat/>
    <w:rsid w:val="00CA761E"/>
    <w:rPr>
      <w:vertAlign w:val="superscript"/>
    </w:rPr>
  </w:style>
  <w:style w:type="paragraph" w:styleId="CommentSubject">
    <w:name w:val="annotation subject"/>
    <w:basedOn w:val="CommentText"/>
    <w:next w:val="CommentText"/>
    <w:link w:val="CommentSubjectChar"/>
    <w:uiPriority w:val="99"/>
    <w:semiHidden/>
    <w:unhideWhenUsed/>
    <w:rsid w:val="00D56FCC"/>
    <w:rPr>
      <w:b/>
      <w:bCs/>
    </w:rPr>
  </w:style>
  <w:style w:type="character" w:customStyle="1" w:styleId="CommentSubjectChar">
    <w:name w:val="Comment Subject Char"/>
    <w:basedOn w:val="CommentTextChar"/>
    <w:link w:val="CommentSubject"/>
    <w:uiPriority w:val="99"/>
    <w:semiHidden/>
    <w:rsid w:val="00D56FCC"/>
    <w:rPr>
      <w:b/>
      <w:bCs/>
      <w:lang w:val="en-US" w:eastAsia="en-US"/>
    </w:rPr>
  </w:style>
  <w:style w:type="character" w:customStyle="1" w:styleId="FootnoteTextChar">
    <w:name w:val="Footnote Text Char"/>
    <w:aliases w:val="5_G Char"/>
    <w:basedOn w:val="DefaultParagraphFont"/>
    <w:link w:val="FootnoteText"/>
    <w:rsid w:val="00314258"/>
    <w:rPr>
      <w:rFonts w:eastAsia="Times New Roman"/>
      <w:color w:val="000000"/>
      <w:sz w:val="18"/>
      <w:szCs w:val="18"/>
      <w:u w:color="000000"/>
      <w:lang w:val="en-US"/>
    </w:rPr>
  </w:style>
  <w:style w:type="paragraph" w:styleId="Revision">
    <w:name w:val="Revision"/>
    <w:hidden/>
    <w:uiPriority w:val="99"/>
    <w:semiHidden/>
    <w:rsid w:val="00367F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ne">
    <w:name w:val="None"/>
    <w:rsid w:val="009A7192"/>
  </w:style>
  <w:style w:type="character" w:customStyle="1" w:styleId="SingleTxtGChar">
    <w:name w:val="_ Single Txt_G Char"/>
    <w:link w:val="SingleTxtG"/>
    <w:locked/>
    <w:rsid w:val="009A7192"/>
    <w:rPr>
      <w:rFonts w:cs="Arial Unicode MS"/>
      <w:color w:val="000000"/>
      <w:u w:color="000000"/>
      <w:lang w:val="en-US"/>
    </w:rPr>
  </w:style>
  <w:style w:type="character" w:customStyle="1" w:styleId="EndnoteTextChar">
    <w:name w:val="Endnote Text Char"/>
    <w:aliases w:val="2_G Char"/>
    <w:basedOn w:val="DefaultParagraphFont"/>
    <w:link w:val="EndnoteText"/>
    <w:uiPriority w:val="99"/>
    <w:rsid w:val="00752A6B"/>
    <w:rPr>
      <w:rFonts w:eastAsia="Times New Roman"/>
      <w:color w:val="000000"/>
      <w:u w:color="000000"/>
      <w:lang w:val="en-US"/>
    </w:rPr>
  </w:style>
  <w:style w:type="character" w:styleId="FollowedHyperlink">
    <w:name w:val="FollowedHyperlink"/>
    <w:basedOn w:val="DefaultParagraphFont"/>
    <w:uiPriority w:val="99"/>
    <w:semiHidden/>
    <w:unhideWhenUsed/>
    <w:rsid w:val="002A1705"/>
    <w:rPr>
      <w:color w:val="FF00FF" w:themeColor="followedHyperlink"/>
      <w:u w:val="single"/>
    </w:rPr>
  </w:style>
  <w:style w:type="paragraph" w:customStyle="1" w:styleId="H23G">
    <w:name w:val="_ H_2/3_G"/>
    <w:basedOn w:val="Normal"/>
    <w:next w:val="Normal"/>
    <w:qFormat/>
    <w:rsid w:val="00BC2DB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outlineLvl w:val="3"/>
    </w:pPr>
    <w:rPr>
      <w:rFonts w:eastAsiaTheme="minorEastAsia"/>
      <w:b/>
      <w:sz w:val="20"/>
      <w:szCs w:val="20"/>
      <w:bdr w:val="none" w:sz="0" w:space="0" w:color="auto"/>
      <w:lang w:val="es-ES" w:eastAsia="es-ES"/>
    </w:rPr>
  </w:style>
  <w:style w:type="character" w:customStyle="1" w:styleId="rn-13yce4e">
    <w:name w:val="rn-13yce4e"/>
    <w:basedOn w:val="DefaultParagraphFont"/>
    <w:rsid w:val="007E2844"/>
  </w:style>
  <w:style w:type="character" w:customStyle="1" w:styleId="Heading1Char">
    <w:name w:val="Heading 1 Char"/>
    <w:aliases w:val="Table_G Char"/>
    <w:basedOn w:val="DefaultParagraphFont"/>
    <w:link w:val="Heading1"/>
    <w:uiPriority w:val="9"/>
    <w:rsid w:val="00ED1618"/>
    <w:rPr>
      <w:rFonts w:eastAsia="Times New Roman"/>
      <w:bdr w:val="none" w:sz="0" w:space="0" w:color="auto"/>
      <w:lang w:eastAsia="en-US"/>
    </w:rPr>
  </w:style>
  <w:style w:type="character" w:customStyle="1" w:styleId="Heading2Char">
    <w:name w:val="Heading 2 Char"/>
    <w:basedOn w:val="DefaultParagraphFont"/>
    <w:link w:val="Heading2"/>
    <w:semiHidden/>
    <w:rsid w:val="00ED1618"/>
    <w:rPr>
      <w:rFonts w:eastAsia="Times New Roman"/>
      <w:bdr w:val="none" w:sz="0" w:space="0" w:color="auto"/>
      <w:lang w:eastAsia="en-US"/>
    </w:rPr>
  </w:style>
  <w:style w:type="character" w:customStyle="1" w:styleId="Heading3Char">
    <w:name w:val="Heading 3 Char"/>
    <w:basedOn w:val="DefaultParagraphFont"/>
    <w:link w:val="Heading3"/>
    <w:semiHidden/>
    <w:rsid w:val="00ED1618"/>
    <w:rPr>
      <w:rFonts w:eastAsia="Times New Roman"/>
      <w:bdr w:val="none" w:sz="0" w:space="0" w:color="auto"/>
      <w:lang w:eastAsia="en-US"/>
    </w:rPr>
  </w:style>
  <w:style w:type="character" w:customStyle="1" w:styleId="Heading4Char">
    <w:name w:val="Heading 4 Char"/>
    <w:basedOn w:val="DefaultParagraphFont"/>
    <w:link w:val="Heading4"/>
    <w:semiHidden/>
    <w:rsid w:val="00ED1618"/>
    <w:rPr>
      <w:rFonts w:eastAsia="Times New Roman"/>
      <w:bdr w:val="none" w:sz="0" w:space="0" w:color="auto"/>
      <w:lang w:eastAsia="en-US"/>
    </w:rPr>
  </w:style>
  <w:style w:type="character" w:customStyle="1" w:styleId="Heading5Char">
    <w:name w:val="Heading 5 Char"/>
    <w:basedOn w:val="DefaultParagraphFont"/>
    <w:link w:val="Heading5"/>
    <w:semiHidden/>
    <w:rsid w:val="00ED1618"/>
    <w:rPr>
      <w:rFonts w:eastAsia="Times New Roman"/>
      <w:bdr w:val="none" w:sz="0" w:space="0" w:color="auto"/>
      <w:lang w:eastAsia="en-US"/>
    </w:rPr>
  </w:style>
  <w:style w:type="character" w:customStyle="1" w:styleId="Heading6Char">
    <w:name w:val="Heading 6 Char"/>
    <w:basedOn w:val="DefaultParagraphFont"/>
    <w:link w:val="Heading6"/>
    <w:semiHidden/>
    <w:rsid w:val="00ED1618"/>
    <w:rPr>
      <w:rFonts w:eastAsia="Times New Roman"/>
      <w:bdr w:val="none" w:sz="0" w:space="0" w:color="auto"/>
      <w:lang w:eastAsia="en-US"/>
    </w:rPr>
  </w:style>
  <w:style w:type="character" w:customStyle="1" w:styleId="Heading7Char">
    <w:name w:val="Heading 7 Char"/>
    <w:basedOn w:val="DefaultParagraphFont"/>
    <w:link w:val="Heading7"/>
    <w:semiHidden/>
    <w:rsid w:val="00ED1618"/>
    <w:rPr>
      <w:rFonts w:eastAsia="Times New Roman"/>
      <w:bdr w:val="none" w:sz="0" w:space="0" w:color="auto"/>
      <w:lang w:eastAsia="en-US"/>
    </w:rPr>
  </w:style>
  <w:style w:type="character" w:customStyle="1" w:styleId="Heading8Char">
    <w:name w:val="Heading 8 Char"/>
    <w:basedOn w:val="DefaultParagraphFont"/>
    <w:link w:val="Heading8"/>
    <w:semiHidden/>
    <w:rsid w:val="00ED1618"/>
    <w:rPr>
      <w:rFonts w:eastAsia="Times New Roman"/>
      <w:bdr w:val="none" w:sz="0" w:space="0" w:color="auto"/>
      <w:lang w:eastAsia="en-US"/>
    </w:rPr>
  </w:style>
  <w:style w:type="character" w:customStyle="1" w:styleId="Heading9Char">
    <w:name w:val="Heading 9 Char"/>
    <w:basedOn w:val="DefaultParagraphFont"/>
    <w:link w:val="Heading9"/>
    <w:semiHidden/>
    <w:rsid w:val="00ED1618"/>
    <w:rPr>
      <w:rFonts w:eastAsia="Times New Roman"/>
      <w:bdr w:val="none" w:sz="0" w:space="0" w:color="auto"/>
      <w:lang w:eastAsia="en-US"/>
    </w:rPr>
  </w:style>
  <w:style w:type="paragraph" w:customStyle="1" w:styleId="HMG">
    <w:name w:val="_ H __M_G"/>
    <w:basedOn w:val="Normal"/>
    <w:next w:val="Normal"/>
    <w:qFormat/>
    <w:rsid w:val="00ED161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240" w:line="360" w:lineRule="exact"/>
      <w:ind w:left="1134" w:right="1134" w:hanging="1134"/>
    </w:pPr>
    <w:rPr>
      <w:rFonts w:eastAsia="Times New Roman"/>
      <w:b/>
      <w:sz w:val="34"/>
      <w:szCs w:val="20"/>
      <w:bdr w:val="none" w:sz="0" w:space="0" w:color="auto"/>
      <w:lang w:val="en-GB"/>
    </w:rPr>
  </w:style>
  <w:style w:type="character" w:styleId="EndnoteReference">
    <w:name w:val="endnote reference"/>
    <w:aliases w:val="1_G"/>
    <w:basedOn w:val="FootnoteReference"/>
    <w:qFormat/>
    <w:rsid w:val="00ED1618"/>
    <w:rPr>
      <w:rFonts w:ascii="Times New Roman" w:hAnsi="Times New Roman"/>
      <w:sz w:val="18"/>
      <w:vertAlign w:val="superscript"/>
    </w:rPr>
  </w:style>
  <w:style w:type="character" w:customStyle="1" w:styleId="HeaderChar">
    <w:name w:val="Header Char"/>
    <w:aliases w:val="6_G Char"/>
    <w:basedOn w:val="DefaultParagraphFont"/>
    <w:link w:val="Header"/>
    <w:uiPriority w:val="99"/>
    <w:rsid w:val="00ED1618"/>
    <w:rPr>
      <w:rFonts w:cs="Arial Unicode MS"/>
      <w:b/>
      <w:bCs/>
      <w:color w:val="000000"/>
      <w:sz w:val="18"/>
      <w:szCs w:val="18"/>
      <w:u w:color="000000"/>
      <w:lang w:val="en-US"/>
    </w:rPr>
  </w:style>
  <w:style w:type="table" w:styleId="TableGrid">
    <w:name w:val="Table Grid"/>
    <w:basedOn w:val="TableNormal"/>
    <w:uiPriority w:val="39"/>
    <w:rsid w:val="00ED16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pPr>
    <w:rPr>
      <w:rFonts w:eastAsia="Times New Roman"/>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ED1618"/>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
    <w:rPr>
      <w:rFonts w:eastAsia="Times New Roman"/>
      <w:b/>
      <w:sz w:val="40"/>
      <w:szCs w:val="20"/>
      <w:bdr w:val="none" w:sz="0" w:space="0" w:color="auto"/>
      <w:lang w:val="en-GB"/>
    </w:rPr>
  </w:style>
  <w:style w:type="paragraph" w:customStyle="1" w:styleId="SLG">
    <w:name w:val="__S_L_G"/>
    <w:basedOn w:val="Normal"/>
    <w:next w:val="Normal"/>
    <w:rsid w:val="00ED1618"/>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580" w:lineRule="exact"/>
      <w:ind w:left="1134" w:right="1134"/>
    </w:pPr>
    <w:rPr>
      <w:rFonts w:eastAsia="Times New Roman"/>
      <w:b/>
      <w:sz w:val="56"/>
      <w:szCs w:val="20"/>
      <w:bdr w:val="none" w:sz="0" w:space="0" w:color="auto"/>
      <w:lang w:val="en-GB"/>
    </w:rPr>
  </w:style>
  <w:style w:type="paragraph" w:customStyle="1" w:styleId="SSG">
    <w:name w:val="__S_S_G"/>
    <w:basedOn w:val="Normal"/>
    <w:next w:val="Normal"/>
    <w:rsid w:val="00ED1618"/>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00" w:lineRule="exact"/>
      <w:ind w:left="1134" w:right="1134"/>
    </w:pPr>
    <w:rPr>
      <w:rFonts w:eastAsia="Times New Roman"/>
      <w:b/>
      <w:sz w:val="28"/>
      <w:szCs w:val="20"/>
      <w:bdr w:val="none" w:sz="0" w:space="0" w:color="auto"/>
      <w:lang w:val="en-GB"/>
    </w:rPr>
  </w:style>
  <w:style w:type="character" w:styleId="PageNumber">
    <w:name w:val="page number"/>
    <w:aliases w:val="7_G"/>
    <w:basedOn w:val="DefaultParagraphFont"/>
    <w:qFormat/>
    <w:rsid w:val="00ED1618"/>
    <w:rPr>
      <w:rFonts w:ascii="Times New Roman" w:hAnsi="Times New Roman"/>
      <w:b/>
      <w:sz w:val="18"/>
    </w:rPr>
  </w:style>
  <w:style w:type="paragraph" w:customStyle="1" w:styleId="XLargeG">
    <w:name w:val="__XLarge_G"/>
    <w:basedOn w:val="Normal"/>
    <w:next w:val="Normal"/>
    <w:rsid w:val="00ED1618"/>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
    <w:rPr>
      <w:rFonts w:eastAsia="Times New Roman"/>
      <w:b/>
      <w:sz w:val="40"/>
      <w:szCs w:val="20"/>
      <w:bdr w:val="none" w:sz="0" w:space="0" w:color="auto"/>
      <w:lang w:val="en-GB"/>
    </w:rPr>
  </w:style>
  <w:style w:type="paragraph" w:customStyle="1" w:styleId="Bullet1G">
    <w:name w:val="_Bullet 1_G"/>
    <w:basedOn w:val="Normal"/>
    <w:qFormat/>
    <w:rsid w:val="00ED1618"/>
    <w:pPr>
      <w:numPr>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character" w:customStyle="1" w:styleId="FooterChar">
    <w:name w:val="Footer Char"/>
    <w:aliases w:val="3_G Char"/>
    <w:basedOn w:val="DefaultParagraphFont"/>
    <w:link w:val="Footer"/>
    <w:uiPriority w:val="99"/>
    <w:rsid w:val="00ED1618"/>
    <w:rPr>
      <w:rFonts w:eastAsia="Times New Roman"/>
      <w:color w:val="000000"/>
      <w:sz w:val="16"/>
      <w:szCs w:val="16"/>
      <w:u w:color="000000"/>
      <w:lang w:val="en-US"/>
    </w:rPr>
  </w:style>
  <w:style w:type="paragraph" w:customStyle="1" w:styleId="Bullet2G">
    <w:name w:val="_Bullet 2_G"/>
    <w:basedOn w:val="Normal"/>
    <w:qFormat/>
    <w:rsid w:val="00ED1618"/>
    <w:pPr>
      <w:numPr>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H4G">
    <w:name w:val="_ H_4_G"/>
    <w:basedOn w:val="Normal"/>
    <w:next w:val="Normal"/>
    <w:qFormat/>
    <w:rsid w:val="00ED161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i/>
      <w:sz w:val="20"/>
      <w:szCs w:val="20"/>
      <w:bdr w:val="none" w:sz="0" w:space="0" w:color="auto"/>
      <w:lang w:val="en-GB"/>
    </w:rPr>
  </w:style>
  <w:style w:type="paragraph" w:customStyle="1" w:styleId="H56G">
    <w:name w:val="_ H_5/6_G"/>
    <w:basedOn w:val="Normal"/>
    <w:next w:val="Normal"/>
    <w:qFormat/>
    <w:rsid w:val="00ED161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sz w:val="20"/>
      <w:szCs w:val="20"/>
      <w:bdr w:val="none" w:sz="0" w:space="0" w:color="auto"/>
      <w:lang w:val="en-GB"/>
    </w:rPr>
  </w:style>
  <w:style w:type="paragraph" w:customStyle="1" w:styleId="ParNoG">
    <w:name w:val="_ParNo_G"/>
    <w:basedOn w:val="SingleTxtG"/>
    <w:qFormat/>
    <w:rsid w:val="00ED1618"/>
    <w:pPr>
      <w:numPr>
        <w:numId w:val="1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pPr>
    <w:rPr>
      <w:rFonts w:eastAsia="Times New Roman" w:cs="Times New Roman"/>
      <w:color w:val="auto"/>
      <w:bdr w:val="none" w:sz="0" w:space="0" w:color="auto"/>
      <w:lang w:val="en-GB" w:eastAsia="en-US"/>
    </w:rPr>
  </w:style>
  <w:style w:type="character" w:customStyle="1" w:styleId="A6">
    <w:name w:val="A6"/>
    <w:uiPriority w:val="99"/>
    <w:rsid w:val="00ED1618"/>
    <w:rPr>
      <w:rFonts w:cs="Sabon LT Std"/>
      <w:color w:val="000000"/>
      <w:sz w:val="16"/>
      <w:szCs w:val="16"/>
    </w:rPr>
  </w:style>
  <w:style w:type="paragraph" w:styleId="ListParagraph">
    <w:name w:val="List Paragraph"/>
    <w:aliases w:val="Párrafo de lista1,Biblio,Articulo,List Paragraph 1,Lista vistosa - Énfasis 11,List Paragraph (numbered (a)),Paragraph,List Paragraph1,Dot pt,Bullet Points,No Spacing1,List Paragraph Char Char Char,Indicator Text,Bullet 1"/>
    <w:basedOn w:val="Normal"/>
    <w:link w:val="ListParagraphChar"/>
    <w:uiPriority w:val="34"/>
    <w:qFormat/>
    <w:rsid w:val="00ED16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Párrafo de lista1 Char,Biblio Char,Articulo Char,List Paragraph 1 Char,Lista vistosa - Énfasis 11 Char,List Paragraph (numbered (a)) Char,Paragraph Char,List Paragraph1 Char,Dot pt Char,Bullet Points Char,No Spacing1 Char"/>
    <w:basedOn w:val="DefaultParagraphFont"/>
    <w:link w:val="ListParagraph"/>
    <w:uiPriority w:val="34"/>
    <w:qFormat/>
    <w:locked/>
    <w:rsid w:val="00ED1618"/>
    <w:rPr>
      <w:rFonts w:asciiTheme="minorHAnsi" w:eastAsiaTheme="minorHAnsi" w:hAnsiTheme="minorHAnsi" w:cstheme="minorBidi"/>
      <w:sz w:val="22"/>
      <w:szCs w:val="22"/>
      <w:bdr w:val="none" w:sz="0" w:space="0" w:color="auto"/>
      <w:lang w:val="en-US" w:eastAsia="en-US"/>
    </w:rPr>
  </w:style>
  <w:style w:type="character" w:customStyle="1" w:styleId="UnresolvedMention1">
    <w:name w:val="Unresolved Mention1"/>
    <w:basedOn w:val="DefaultParagraphFont"/>
    <w:uiPriority w:val="99"/>
    <w:semiHidden/>
    <w:unhideWhenUsed/>
    <w:rsid w:val="00ED1618"/>
    <w:rPr>
      <w:color w:val="605E5C"/>
      <w:shd w:val="clear" w:color="auto" w:fill="E1DFDD"/>
    </w:rPr>
  </w:style>
  <w:style w:type="character" w:customStyle="1" w:styleId="UnresolvedMention2">
    <w:name w:val="Unresolved Mention2"/>
    <w:basedOn w:val="DefaultParagraphFont"/>
    <w:uiPriority w:val="99"/>
    <w:semiHidden/>
    <w:unhideWhenUsed/>
    <w:rsid w:val="00ED1618"/>
    <w:rPr>
      <w:color w:val="605E5C"/>
      <w:shd w:val="clear" w:color="auto" w:fill="E1DFDD"/>
    </w:rPr>
  </w:style>
  <w:style w:type="character" w:styleId="UnresolvedMention">
    <w:name w:val="Unresolved Mention"/>
    <w:basedOn w:val="DefaultParagraphFont"/>
    <w:uiPriority w:val="99"/>
    <w:semiHidden/>
    <w:unhideWhenUsed/>
    <w:rsid w:val="00ED1618"/>
    <w:rPr>
      <w:color w:val="605E5C"/>
      <w:shd w:val="clear" w:color="auto" w:fill="E1DFDD"/>
    </w:rPr>
  </w:style>
  <w:style w:type="character" w:customStyle="1" w:styleId="ui-provider">
    <w:name w:val="ui-provider"/>
    <w:basedOn w:val="DefaultParagraphFont"/>
    <w:rsid w:val="00ED1618"/>
  </w:style>
  <w:style w:type="paragraph" w:styleId="NormalWeb">
    <w:name w:val="Normal (Web)"/>
    <w:basedOn w:val="Normal"/>
    <w:uiPriority w:val="99"/>
    <w:semiHidden/>
    <w:unhideWhenUsed/>
    <w:rsid w:val="00ED16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FA0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45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334117452">
      <w:bodyDiv w:val="1"/>
      <w:marLeft w:val="0"/>
      <w:marRight w:val="0"/>
      <w:marTop w:val="0"/>
      <w:marBottom w:val="0"/>
      <w:divBdr>
        <w:top w:val="none" w:sz="0" w:space="0" w:color="auto"/>
        <w:left w:val="none" w:sz="0" w:space="0" w:color="auto"/>
        <w:bottom w:val="none" w:sz="0" w:space="0" w:color="auto"/>
        <w:right w:val="none" w:sz="0" w:space="0" w:color="auto"/>
      </w:divBdr>
    </w:div>
    <w:div w:id="579100164">
      <w:bodyDiv w:val="1"/>
      <w:marLeft w:val="0"/>
      <w:marRight w:val="0"/>
      <w:marTop w:val="0"/>
      <w:marBottom w:val="0"/>
      <w:divBdr>
        <w:top w:val="none" w:sz="0" w:space="0" w:color="auto"/>
        <w:left w:val="none" w:sz="0" w:space="0" w:color="auto"/>
        <w:bottom w:val="none" w:sz="0" w:space="0" w:color="auto"/>
        <w:right w:val="none" w:sz="0" w:space="0" w:color="auto"/>
      </w:divBdr>
    </w:div>
    <w:div w:id="1567109459">
      <w:bodyDiv w:val="1"/>
      <w:marLeft w:val="0"/>
      <w:marRight w:val="0"/>
      <w:marTop w:val="0"/>
      <w:marBottom w:val="0"/>
      <w:divBdr>
        <w:top w:val="none" w:sz="0" w:space="0" w:color="auto"/>
        <w:left w:val="none" w:sz="0" w:space="0" w:color="auto"/>
        <w:bottom w:val="none" w:sz="0" w:space="0" w:color="auto"/>
        <w:right w:val="none" w:sz="0" w:space="0" w:color="auto"/>
      </w:divBdr>
    </w:div>
    <w:div w:id="189014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19digital.com/articulos/ver/titulo:138485-beneficio-legal-de-convivencia-familiar-una-segunda-oportunidad-de-cambio-y-compromiso" TargetMode="External"/><Relationship Id="rId2" Type="http://schemas.openxmlformats.org/officeDocument/2006/relationships/hyperlink" Target="https://www.intertextualnic.com/post/femicida-era-guarda-de-seguridad-en-hotel-pese-a-tener-antecedente-penal-por-intento-de-asesinato" TargetMode="External"/><Relationship Id="rId1" Type="http://schemas.openxmlformats.org/officeDocument/2006/relationships/hyperlink" Target="https://www.greenclimate.fund/document/bio-clima-nicaragua" TargetMode="External"/><Relationship Id="rId4" Type="http://schemas.openxmlformats.org/officeDocument/2006/relationships/hyperlink" Target="https://apps.who.int/iris/bitstream/handle/10665/112320/WHO_RHR_14.08_eng.pdf?sequence=1"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B0E76B4376C4E82B16D895B20928D" ma:contentTypeVersion="2" ma:contentTypeDescription="Create a new document." ma:contentTypeScope="" ma:versionID="03b28f7058057d3424bf2e7b83dd61bb">
  <xsd:schema xmlns:xsd="http://www.w3.org/2001/XMLSchema" xmlns:xs="http://www.w3.org/2001/XMLSchema" xmlns:p="http://schemas.microsoft.com/office/2006/metadata/properties" xmlns:ns2="428416fd-f5ff-4c2c-9217-9a0681051042" targetNamespace="http://schemas.microsoft.com/office/2006/metadata/properties" ma:root="true" ma:fieldsID="40ff6975188057e462c042bf578fdabe" ns2:_="">
    <xsd:import namespace="428416fd-f5ff-4c2c-9217-9a06810510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416fd-f5ff-4c2c-9217-9a0681051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72117-695D-401B-B868-C903FFF57CCC}">
  <ds:schemaRefs>
    <ds:schemaRef ds:uri="http://schemas.openxmlformats.org/officeDocument/2006/bibliography"/>
  </ds:schemaRefs>
</ds:datastoreItem>
</file>

<file path=customXml/itemProps2.xml><?xml version="1.0" encoding="utf-8"?>
<ds:datastoreItem xmlns:ds="http://schemas.openxmlformats.org/officeDocument/2006/customXml" ds:itemID="{C9ECFF75-9A9E-4E90-A2C0-427CDFAC49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C186F9-C122-4C91-9878-9F917AA9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416fd-f5ff-4c2c-9217-9a06810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436AE-D0C8-4102-ACD1-AD271D917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8440</Words>
  <Characters>48112</Characters>
  <Application>Microsoft Office Word</Application>
  <DocSecurity>0</DocSecurity>
  <Lines>400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56440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Izagirre</dc:creator>
  <cp:keywords>, docId:FA2606F4B0B631E429B68800C759970E</cp:keywords>
  <cp:lastModifiedBy>Jon Izagirre</cp:lastModifiedBy>
  <cp:revision>3</cp:revision>
  <dcterms:created xsi:type="dcterms:W3CDTF">2023-09-08T16:20:00Z</dcterms:created>
  <dcterms:modified xsi:type="dcterms:W3CDTF">2023-09-08T16:20:00Z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0x01010011DB0E76B4376C4E82B16D895B20928D</vt:lpwstr>
  </property>
</Properties>
</file>