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14:paraId="3D82F99B" w14:textId="77777777" w:rsidTr="00D3553A">
        <w:trPr>
          <w:trHeight w:val="851"/>
        </w:trPr>
        <w:tc>
          <w:tcPr>
            <w:tcW w:w="1259" w:type="dxa"/>
            <w:tcBorders>
              <w:top w:val="nil"/>
              <w:left w:val="nil"/>
              <w:bottom w:val="single" w:sz="4" w:space="0" w:color="auto"/>
              <w:right w:val="nil"/>
            </w:tcBorders>
          </w:tcPr>
          <w:p w14:paraId="74BB6615" w14:textId="77777777" w:rsidR="00446DE4" w:rsidRPr="000328F5" w:rsidRDefault="00446DE4" w:rsidP="0043536E">
            <w:pPr>
              <w:spacing w:after="80" w:line="340" w:lineRule="exact"/>
            </w:pPr>
          </w:p>
        </w:tc>
        <w:tc>
          <w:tcPr>
            <w:tcW w:w="2236" w:type="dxa"/>
            <w:tcBorders>
              <w:top w:val="nil"/>
              <w:left w:val="nil"/>
              <w:bottom w:val="single" w:sz="4" w:space="0" w:color="auto"/>
              <w:right w:val="nil"/>
            </w:tcBorders>
            <w:vAlign w:val="bottom"/>
          </w:tcPr>
          <w:p w14:paraId="54482D3D" w14:textId="0BFCA0D8" w:rsidR="00446DE4" w:rsidRPr="000328F5" w:rsidRDefault="00446DE4" w:rsidP="0043536E">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6FFC4F81" w14:textId="77777777" w:rsidR="00446DE4" w:rsidRPr="000328F5" w:rsidRDefault="00D3553A" w:rsidP="00D3553A">
            <w:pPr>
              <w:jc w:val="right"/>
            </w:pPr>
            <w:r w:rsidRPr="00D3553A">
              <w:rPr>
                <w:sz w:val="40"/>
              </w:rPr>
              <w:t>A</w:t>
            </w:r>
            <w:r>
              <w:t>/HRC/53/8/Add.1</w:t>
            </w:r>
          </w:p>
        </w:tc>
      </w:tr>
      <w:tr w:rsidR="003107FA" w:rsidRPr="000328F5" w14:paraId="760537F3" w14:textId="77777777" w:rsidTr="00D3553A">
        <w:trPr>
          <w:trHeight w:val="2835"/>
        </w:trPr>
        <w:tc>
          <w:tcPr>
            <w:tcW w:w="1259" w:type="dxa"/>
            <w:tcBorders>
              <w:top w:val="single" w:sz="4" w:space="0" w:color="auto"/>
              <w:left w:val="nil"/>
              <w:bottom w:val="single" w:sz="12" w:space="0" w:color="auto"/>
              <w:right w:val="nil"/>
            </w:tcBorders>
          </w:tcPr>
          <w:p w14:paraId="64AE7EF5" w14:textId="3D6FFAFD" w:rsidR="003107FA" w:rsidRPr="000328F5" w:rsidRDefault="003107FA" w:rsidP="0043536E">
            <w:pPr>
              <w:spacing w:before="120"/>
              <w:jc w:val="center"/>
            </w:pPr>
          </w:p>
        </w:tc>
        <w:tc>
          <w:tcPr>
            <w:tcW w:w="5450" w:type="dxa"/>
            <w:gridSpan w:val="2"/>
            <w:tcBorders>
              <w:top w:val="single" w:sz="4" w:space="0" w:color="auto"/>
              <w:left w:val="nil"/>
              <w:bottom w:val="single" w:sz="12" w:space="0" w:color="auto"/>
              <w:right w:val="nil"/>
            </w:tcBorders>
          </w:tcPr>
          <w:p w14:paraId="15495A11" w14:textId="6F8787C1" w:rsidR="003107FA" w:rsidRPr="000328F5" w:rsidRDefault="000328F5" w:rsidP="0043536E">
            <w:pPr>
              <w:spacing w:before="120" w:line="420" w:lineRule="exact"/>
              <w:rPr>
                <w:b/>
                <w:sz w:val="40"/>
                <w:szCs w:val="40"/>
              </w:rPr>
            </w:pPr>
            <w:proofErr w:type="spellStart"/>
            <w:r w:rsidRPr="000328F5">
              <w:rPr>
                <w:b/>
                <w:sz w:val="40"/>
                <w:szCs w:val="40"/>
              </w:rPr>
              <w:t>A</w:t>
            </w:r>
            <w:r w:rsidR="00343980">
              <w:rPr>
                <w:b/>
                <w:sz w:val="40"/>
                <w:szCs w:val="40"/>
              </w:rPr>
              <w:t>dvance</w:t>
            </w:r>
            <w:proofErr w:type="spellEnd"/>
            <w:r w:rsidR="00343980">
              <w:rPr>
                <w:b/>
                <w:sz w:val="40"/>
                <w:szCs w:val="40"/>
              </w:rPr>
              <w:t xml:space="preserve"> </w:t>
            </w:r>
            <w:proofErr w:type="spellStart"/>
            <w:r w:rsidR="00343980">
              <w:rPr>
                <w:b/>
                <w:sz w:val="40"/>
                <w:szCs w:val="40"/>
              </w:rPr>
              <w:t>version</w:t>
            </w:r>
            <w:proofErr w:type="spellEnd"/>
          </w:p>
        </w:tc>
        <w:tc>
          <w:tcPr>
            <w:tcW w:w="2930" w:type="dxa"/>
            <w:tcBorders>
              <w:top w:val="single" w:sz="4" w:space="0" w:color="auto"/>
              <w:left w:val="nil"/>
              <w:bottom w:val="single" w:sz="12" w:space="0" w:color="auto"/>
              <w:right w:val="nil"/>
            </w:tcBorders>
          </w:tcPr>
          <w:p w14:paraId="3A110895" w14:textId="77777777" w:rsidR="003107FA" w:rsidRDefault="00D3553A" w:rsidP="00D3553A">
            <w:pPr>
              <w:spacing w:before="240" w:line="240" w:lineRule="exact"/>
            </w:pPr>
            <w:proofErr w:type="spellStart"/>
            <w:r>
              <w:t>Distr</w:t>
            </w:r>
            <w:proofErr w:type="spellEnd"/>
            <w:r>
              <w:t>. general</w:t>
            </w:r>
          </w:p>
          <w:p w14:paraId="3A82FDC4" w14:textId="581158C9" w:rsidR="00D3553A" w:rsidRDefault="00B95BB6" w:rsidP="00D3553A">
            <w:pPr>
              <w:spacing w:line="240" w:lineRule="exact"/>
            </w:pPr>
            <w:r>
              <w:t>8</w:t>
            </w:r>
            <w:r w:rsidR="00D3553A">
              <w:t xml:space="preserve"> de junio de 2023</w:t>
            </w:r>
          </w:p>
          <w:p w14:paraId="4E4E268A" w14:textId="77777777" w:rsidR="00D3553A" w:rsidRDefault="00D3553A" w:rsidP="00D3553A">
            <w:pPr>
              <w:spacing w:line="240" w:lineRule="exact"/>
            </w:pPr>
          </w:p>
          <w:p w14:paraId="272949E9" w14:textId="77777777" w:rsidR="00D3553A" w:rsidRPr="000328F5" w:rsidRDefault="00D3553A" w:rsidP="00D3553A">
            <w:pPr>
              <w:spacing w:line="240" w:lineRule="exact"/>
            </w:pPr>
            <w:r>
              <w:t>Original: español</w:t>
            </w:r>
          </w:p>
        </w:tc>
      </w:tr>
    </w:tbl>
    <w:p w14:paraId="21A04E8E" w14:textId="77777777" w:rsidR="00D3553A" w:rsidRPr="00766159" w:rsidRDefault="00D3553A" w:rsidP="00D3553A">
      <w:pPr>
        <w:suppressAutoHyphens w:val="0"/>
        <w:spacing w:before="120"/>
        <w:rPr>
          <w:rFonts w:eastAsia="MS Mincho"/>
          <w:b/>
          <w:bCs/>
          <w:sz w:val="24"/>
          <w:szCs w:val="24"/>
          <w:lang w:eastAsia="es-ES"/>
        </w:rPr>
      </w:pPr>
      <w:r w:rsidRPr="00766159">
        <w:rPr>
          <w:rFonts w:eastAsia="MS Mincho"/>
          <w:b/>
          <w:bCs/>
          <w:sz w:val="24"/>
          <w:szCs w:val="24"/>
          <w:lang w:eastAsia="es-ES"/>
        </w:rPr>
        <w:t>Consejo de Derechos Humanos</w:t>
      </w:r>
    </w:p>
    <w:p w14:paraId="1DF262BF" w14:textId="77777777" w:rsidR="00D3553A" w:rsidRPr="00766159" w:rsidRDefault="00D3553A" w:rsidP="00D3553A">
      <w:pPr>
        <w:suppressAutoHyphens w:val="0"/>
        <w:rPr>
          <w:rFonts w:eastAsia="MS Mincho"/>
          <w:b/>
          <w:bCs/>
          <w:lang w:eastAsia="es-ES"/>
        </w:rPr>
      </w:pPr>
      <w:r w:rsidRPr="00766159">
        <w:rPr>
          <w:rFonts w:eastAsia="MS Mincho"/>
          <w:b/>
          <w:bCs/>
          <w:lang w:eastAsia="es-ES"/>
        </w:rPr>
        <w:t>5</w:t>
      </w:r>
      <w:r>
        <w:rPr>
          <w:rFonts w:eastAsia="MS Mincho"/>
          <w:b/>
          <w:bCs/>
          <w:lang w:eastAsia="es-ES"/>
        </w:rPr>
        <w:t>3</w:t>
      </w:r>
      <w:r w:rsidRPr="00766159">
        <w:rPr>
          <w:rFonts w:eastAsia="MS Mincho"/>
          <w:b/>
          <w:bCs/>
          <w:lang w:eastAsia="es-ES"/>
        </w:rPr>
        <w:t>º período de sesiones</w:t>
      </w:r>
    </w:p>
    <w:p w14:paraId="76C305F6" w14:textId="77777777" w:rsidR="00D3553A" w:rsidRPr="00766159" w:rsidRDefault="00D3553A" w:rsidP="00D3553A">
      <w:pPr>
        <w:suppressAutoHyphens w:val="0"/>
        <w:rPr>
          <w:rFonts w:eastAsia="MS Mincho"/>
          <w:bCs/>
          <w:lang w:val="fr-FR" w:eastAsia="es-ES"/>
        </w:rPr>
      </w:pPr>
      <w:r>
        <w:rPr>
          <w:rFonts w:eastAsia="MS Mincho"/>
          <w:bCs/>
          <w:lang w:val="fr-FR" w:eastAsia="es-ES"/>
        </w:rPr>
        <w:t>19</w:t>
      </w:r>
      <w:r w:rsidRPr="00766159">
        <w:rPr>
          <w:rFonts w:eastAsia="MS Mincho"/>
          <w:bCs/>
          <w:lang w:val="fr-FR" w:eastAsia="es-ES"/>
        </w:rPr>
        <w:t xml:space="preserve"> de </w:t>
      </w:r>
      <w:proofErr w:type="spellStart"/>
      <w:r>
        <w:rPr>
          <w:rFonts w:eastAsia="MS Mincho"/>
          <w:bCs/>
          <w:lang w:val="fr-FR" w:eastAsia="es-ES"/>
        </w:rPr>
        <w:t>junio</w:t>
      </w:r>
      <w:proofErr w:type="spellEnd"/>
      <w:r w:rsidRPr="00766159">
        <w:rPr>
          <w:rFonts w:eastAsia="MS Mincho"/>
          <w:bCs/>
          <w:lang w:val="fr-FR" w:eastAsia="es-ES"/>
        </w:rPr>
        <w:t>–</w:t>
      </w:r>
      <w:r>
        <w:rPr>
          <w:rFonts w:eastAsia="MS Mincho"/>
          <w:bCs/>
          <w:lang w:val="fr-FR" w:eastAsia="es-ES"/>
        </w:rPr>
        <w:t>14</w:t>
      </w:r>
      <w:r w:rsidRPr="00766159">
        <w:rPr>
          <w:rFonts w:eastAsia="MS Mincho"/>
          <w:bCs/>
          <w:lang w:val="fr-FR" w:eastAsia="es-ES"/>
        </w:rPr>
        <w:t xml:space="preserve"> de </w:t>
      </w:r>
      <w:proofErr w:type="spellStart"/>
      <w:r>
        <w:rPr>
          <w:rFonts w:eastAsia="MS Mincho"/>
          <w:bCs/>
          <w:lang w:val="fr-FR" w:eastAsia="es-ES"/>
        </w:rPr>
        <w:t>julio</w:t>
      </w:r>
      <w:proofErr w:type="spellEnd"/>
      <w:r w:rsidRPr="00766159">
        <w:rPr>
          <w:rFonts w:eastAsia="MS Mincho"/>
          <w:bCs/>
          <w:lang w:val="fr-FR" w:eastAsia="es-ES"/>
        </w:rPr>
        <w:t xml:space="preserve"> de 2023</w:t>
      </w:r>
    </w:p>
    <w:p w14:paraId="32C8A0A2" w14:textId="77777777" w:rsidR="00D3553A" w:rsidRPr="00766159" w:rsidRDefault="00D3553A" w:rsidP="00D3553A">
      <w:pPr>
        <w:suppressAutoHyphens w:val="0"/>
        <w:rPr>
          <w:rFonts w:eastAsia="MS Mincho"/>
          <w:lang w:eastAsia="es-ES"/>
        </w:rPr>
      </w:pPr>
      <w:r w:rsidRPr="00766159">
        <w:rPr>
          <w:rFonts w:eastAsia="MS Mincho"/>
          <w:lang w:eastAsia="es-ES"/>
        </w:rPr>
        <w:t>Tema 6 de la agenda</w:t>
      </w:r>
    </w:p>
    <w:p w14:paraId="55C740D7" w14:textId="77777777" w:rsidR="00D3553A" w:rsidRPr="00766159" w:rsidRDefault="00D3553A" w:rsidP="00D3553A">
      <w:pPr>
        <w:suppressAutoHyphens w:val="0"/>
        <w:rPr>
          <w:rFonts w:eastAsia="MS Mincho"/>
          <w:b/>
          <w:lang w:eastAsia="es-ES"/>
        </w:rPr>
      </w:pPr>
      <w:r w:rsidRPr="00766159">
        <w:rPr>
          <w:rFonts w:eastAsia="MS Mincho"/>
          <w:b/>
          <w:lang w:eastAsia="es-ES"/>
        </w:rPr>
        <w:t>Examen periódico universal</w:t>
      </w:r>
    </w:p>
    <w:p w14:paraId="580F57B6" w14:textId="77777777" w:rsidR="00D3553A" w:rsidRPr="00766159" w:rsidRDefault="00D3553A" w:rsidP="00D3553A">
      <w:pPr>
        <w:keepNext/>
        <w:keepLines/>
        <w:tabs>
          <w:tab w:val="right" w:pos="851"/>
        </w:tabs>
        <w:spacing w:before="360" w:after="240" w:line="300" w:lineRule="exact"/>
        <w:ind w:left="1134" w:right="1134" w:hanging="1134"/>
        <w:rPr>
          <w:rFonts w:eastAsia="MS Mincho"/>
          <w:b/>
          <w:sz w:val="28"/>
          <w:lang w:eastAsia="es-ES"/>
        </w:rPr>
      </w:pPr>
      <w:r w:rsidRPr="00766159">
        <w:rPr>
          <w:rFonts w:eastAsia="MS Mincho"/>
          <w:b/>
          <w:sz w:val="28"/>
          <w:lang w:eastAsia="es-ES"/>
        </w:rPr>
        <w:tab/>
      </w:r>
      <w:r w:rsidRPr="00766159">
        <w:rPr>
          <w:rFonts w:eastAsia="MS Mincho"/>
          <w:b/>
          <w:sz w:val="28"/>
          <w:lang w:eastAsia="es-ES"/>
        </w:rPr>
        <w:tab/>
        <w:t xml:space="preserve">Informe del Grupo de Trabajo sobre el Examen </w:t>
      </w:r>
      <w:r w:rsidRPr="00766159">
        <w:rPr>
          <w:rFonts w:eastAsia="MS Mincho"/>
          <w:b/>
          <w:sz w:val="28"/>
          <w:lang w:eastAsia="es-ES"/>
        </w:rPr>
        <w:br/>
        <w:t>Periódico Universal</w:t>
      </w:r>
      <w:r w:rsidRPr="00766159">
        <w:rPr>
          <w:rFonts w:eastAsia="MS Mincho"/>
          <w:lang w:eastAsia="es-ES"/>
        </w:rPr>
        <w:footnoteReference w:customMarkFollows="1" w:id="2"/>
        <w:t>*</w:t>
      </w:r>
    </w:p>
    <w:p w14:paraId="5FA4D8A0" w14:textId="73221B1C" w:rsidR="00D3553A" w:rsidRPr="00766159" w:rsidRDefault="00D3553A" w:rsidP="00D3553A">
      <w:pPr>
        <w:keepNext/>
        <w:keepLines/>
        <w:tabs>
          <w:tab w:val="right" w:pos="851"/>
        </w:tabs>
        <w:spacing w:before="360" w:after="240" w:line="300" w:lineRule="exact"/>
        <w:ind w:left="1134" w:right="1134" w:hanging="1134"/>
        <w:rPr>
          <w:rFonts w:eastAsia="MS Mincho"/>
          <w:b/>
          <w:sz w:val="28"/>
          <w:lang w:eastAsia="es-ES"/>
        </w:rPr>
      </w:pPr>
      <w:r w:rsidRPr="00766159">
        <w:rPr>
          <w:rFonts w:eastAsia="MS Mincho"/>
          <w:b/>
          <w:sz w:val="28"/>
          <w:lang w:eastAsia="es-ES"/>
        </w:rPr>
        <w:tab/>
      </w:r>
      <w:r w:rsidRPr="00766159">
        <w:rPr>
          <w:rFonts w:eastAsia="MS Mincho"/>
          <w:b/>
          <w:sz w:val="28"/>
          <w:lang w:eastAsia="es-ES"/>
        </w:rPr>
        <w:tab/>
      </w:r>
      <w:r>
        <w:rPr>
          <w:rFonts w:eastAsia="MS Mincho"/>
          <w:b/>
          <w:sz w:val="28"/>
        </w:rPr>
        <w:t>Perú</w:t>
      </w:r>
    </w:p>
    <w:p w14:paraId="52176776" w14:textId="77777777" w:rsidR="00D3553A" w:rsidRPr="00766159" w:rsidRDefault="00D3553A" w:rsidP="00D3553A">
      <w:pPr>
        <w:keepNext/>
        <w:keepLines/>
        <w:tabs>
          <w:tab w:val="right" w:pos="851"/>
        </w:tabs>
        <w:spacing w:before="360" w:after="240" w:line="270" w:lineRule="exact"/>
        <w:ind w:left="1134" w:right="1134" w:hanging="1134"/>
        <w:rPr>
          <w:rFonts w:eastAsia="MS Mincho"/>
          <w:b/>
          <w:sz w:val="24"/>
          <w:lang w:eastAsia="es-ES"/>
        </w:rPr>
      </w:pPr>
      <w:r w:rsidRPr="00766159">
        <w:rPr>
          <w:rFonts w:eastAsia="MS Mincho"/>
          <w:b/>
          <w:sz w:val="24"/>
          <w:lang w:eastAsia="es-ES"/>
        </w:rPr>
        <w:tab/>
      </w:r>
      <w:r w:rsidRPr="00766159">
        <w:rPr>
          <w:rFonts w:eastAsia="MS Mincho"/>
          <w:b/>
          <w:sz w:val="24"/>
          <w:lang w:eastAsia="es-ES"/>
        </w:rPr>
        <w:tab/>
        <w:t>Adición</w:t>
      </w:r>
    </w:p>
    <w:p w14:paraId="66E904F0" w14:textId="77777777" w:rsidR="00D3553A" w:rsidRPr="00766159" w:rsidRDefault="00D3553A" w:rsidP="00D3553A">
      <w:pPr>
        <w:keepNext/>
        <w:keepLines/>
        <w:tabs>
          <w:tab w:val="right" w:pos="851"/>
        </w:tabs>
        <w:spacing w:before="360" w:after="240" w:line="270" w:lineRule="exact"/>
        <w:ind w:left="1134" w:right="1134" w:hanging="1134"/>
        <w:rPr>
          <w:rFonts w:eastAsia="MS Mincho"/>
          <w:b/>
          <w:sz w:val="24"/>
          <w:lang w:eastAsia="es-ES"/>
        </w:rPr>
      </w:pPr>
      <w:r w:rsidRPr="00766159">
        <w:rPr>
          <w:rFonts w:eastAsia="MS Mincho"/>
          <w:b/>
          <w:sz w:val="24"/>
          <w:lang w:eastAsia="es-ES"/>
        </w:rPr>
        <w:tab/>
      </w:r>
      <w:r w:rsidRPr="00766159">
        <w:rPr>
          <w:rFonts w:eastAsia="MS Mincho"/>
          <w:b/>
          <w:sz w:val="24"/>
          <w:lang w:eastAsia="es-ES"/>
        </w:rPr>
        <w:tab/>
        <w:t>Observaciones sobre las conclusiones y/o recomendaciones</w:t>
      </w:r>
      <w:r>
        <w:rPr>
          <w:rFonts w:eastAsia="MS Mincho"/>
          <w:b/>
          <w:sz w:val="24"/>
          <w:lang w:eastAsia="es-ES"/>
        </w:rPr>
        <w:t>,</w:t>
      </w:r>
      <w:r w:rsidRPr="00766159">
        <w:rPr>
          <w:rFonts w:eastAsia="MS Mincho"/>
          <w:b/>
          <w:sz w:val="24"/>
          <w:lang w:eastAsia="es-ES"/>
        </w:rPr>
        <w:t xml:space="preserve"> compromisos voluntarios y respuestas del Estado examinado</w:t>
      </w:r>
    </w:p>
    <w:p w14:paraId="39A9096E" w14:textId="499AEFC7" w:rsidR="00D3553A" w:rsidRPr="00D3553A" w:rsidRDefault="00D3553A" w:rsidP="00D3553A">
      <w:pPr>
        <w:pStyle w:val="HChG"/>
        <w:rPr>
          <w:rFonts w:eastAsia="MS Mincho"/>
          <w:lang w:val="es-PE"/>
        </w:rPr>
      </w:pPr>
      <w:r w:rsidRPr="00766159">
        <w:rPr>
          <w:rFonts w:eastAsia="MS Mincho"/>
        </w:rPr>
        <w:br w:type="page"/>
      </w:r>
      <w:r>
        <w:rPr>
          <w:rFonts w:eastAsia="MS Mincho"/>
        </w:rPr>
        <w:lastRenderedPageBreak/>
        <w:tab/>
        <w:t>I.</w:t>
      </w:r>
      <w:r>
        <w:rPr>
          <w:rFonts w:eastAsia="MS Mincho"/>
        </w:rPr>
        <w:tab/>
      </w:r>
      <w:r w:rsidRPr="00D3553A">
        <w:rPr>
          <w:rFonts w:eastAsia="MS Mincho"/>
          <w:lang w:val="es-PE"/>
        </w:rPr>
        <w:t>Introducción</w:t>
      </w:r>
    </w:p>
    <w:p w14:paraId="180AD96E" w14:textId="22E9BC25" w:rsidR="00D3553A" w:rsidRPr="00D3553A" w:rsidRDefault="00D3553A" w:rsidP="00D3553A">
      <w:pPr>
        <w:pStyle w:val="SingleTxtG"/>
        <w:rPr>
          <w:rFonts w:eastAsia="MS Mincho"/>
        </w:rPr>
      </w:pPr>
      <w:r>
        <w:rPr>
          <w:rFonts w:eastAsia="MS Mincho"/>
        </w:rPr>
        <w:t>1.</w:t>
      </w:r>
      <w:r>
        <w:rPr>
          <w:rFonts w:eastAsia="MS Mincho"/>
        </w:rPr>
        <w:tab/>
      </w:r>
      <w:r w:rsidRPr="00D3553A">
        <w:rPr>
          <w:rFonts w:eastAsia="MS Mincho"/>
        </w:rPr>
        <w:t>El Estado agradece a las 68 delegaciones que participaron en el 42° período de sesiones del Grupo de Trabajo sobre el Examen Periódico Universal (EPU). A continuación, se da cuenta de la posición adoptada con relación a las 202 recomendaciones recibidas, las mismas que han sido evaluadas conforme a las obligaciones internacionales y nacionales en materia de derechos humanos (DDHH), la políticas y programas que a la fecha viene implementando y conforme a los precedentes jurisdiccionales del Tribunal Constitucional y el Poder Judicial.</w:t>
      </w:r>
    </w:p>
    <w:p w14:paraId="17A0FDDD" w14:textId="2CAA7293" w:rsidR="00D3553A" w:rsidRPr="00D3553A" w:rsidRDefault="00D3553A" w:rsidP="00D3553A">
      <w:pPr>
        <w:pStyle w:val="SingleTxtG"/>
        <w:rPr>
          <w:rFonts w:eastAsia="MS Mincho"/>
        </w:rPr>
      </w:pPr>
      <w:r>
        <w:rPr>
          <w:rFonts w:eastAsia="MS Mincho"/>
        </w:rPr>
        <w:t>2.</w:t>
      </w:r>
      <w:r>
        <w:rPr>
          <w:rFonts w:eastAsia="MS Mincho"/>
        </w:rPr>
        <w:tab/>
      </w:r>
      <w:r w:rsidRPr="00D3553A">
        <w:rPr>
          <w:rFonts w:eastAsia="MS Mincho"/>
        </w:rPr>
        <w:t>Con relación a las recomendaciones 111.6 y 111.15, es oportuno mencionar que éstas han sido cumplidas. Por un lado, en el 2018 se ratificó el Convenio 189 de la OIT</w:t>
      </w:r>
      <w:r>
        <w:rPr>
          <w:rStyle w:val="EndnoteReference"/>
          <w:rFonts w:eastAsia="MS Mincho"/>
        </w:rPr>
        <w:endnoteReference w:id="2"/>
      </w:r>
      <w:r w:rsidRPr="00D3553A">
        <w:rPr>
          <w:rFonts w:eastAsia="MS Mincho"/>
        </w:rPr>
        <w:t xml:space="preserve"> y en el 2020 se aprobó el mecanismo nacional para la implementación, reporte y seguimiento en DDHH mediante Decreto Supremo </w:t>
      </w:r>
      <w:proofErr w:type="spellStart"/>
      <w:r w:rsidRPr="00D3553A">
        <w:rPr>
          <w:rFonts w:eastAsia="MS Mincho"/>
        </w:rPr>
        <w:t>N°</w:t>
      </w:r>
      <w:proofErr w:type="spellEnd"/>
      <w:r w:rsidRPr="00D3553A">
        <w:rPr>
          <w:rFonts w:eastAsia="MS Mincho"/>
        </w:rPr>
        <w:t xml:space="preserve"> 010-2020-JUS</w:t>
      </w:r>
      <w:r>
        <w:rPr>
          <w:rStyle w:val="EndnoteReference"/>
          <w:rFonts w:eastAsia="MS Mincho"/>
        </w:rPr>
        <w:endnoteReference w:id="3"/>
      </w:r>
      <w:r w:rsidRPr="00D3553A">
        <w:rPr>
          <w:rFonts w:eastAsia="MS Mincho"/>
        </w:rPr>
        <w:t>.</w:t>
      </w:r>
    </w:p>
    <w:p w14:paraId="77152DB1" w14:textId="416E5BB6" w:rsidR="00D3553A" w:rsidRPr="00D3553A" w:rsidRDefault="00D3553A" w:rsidP="00D3553A">
      <w:pPr>
        <w:pStyle w:val="SingleTxtG"/>
        <w:rPr>
          <w:rFonts w:eastAsia="MS Mincho"/>
        </w:rPr>
      </w:pPr>
      <w:r>
        <w:rPr>
          <w:rFonts w:eastAsia="MS Mincho"/>
        </w:rPr>
        <w:t>3.</w:t>
      </w:r>
      <w:r>
        <w:rPr>
          <w:rFonts w:eastAsia="MS Mincho"/>
        </w:rPr>
        <w:tab/>
      </w:r>
      <w:r w:rsidRPr="00D3553A">
        <w:rPr>
          <w:rFonts w:eastAsia="MS Mincho"/>
        </w:rPr>
        <w:t>Asimismo, siguiendo la posición sostenida en el marco del Tercer Ciclo del EPU, relacionado a</w:t>
      </w:r>
      <w:r w:rsidRPr="00D3553A">
        <w:rPr>
          <w:rFonts w:eastAsia="MS Mincho"/>
          <w:lang w:val="es-PE"/>
        </w:rPr>
        <w:t xml:space="preserve"> las recomendaciones referidas a impulsar y ratificar diversos tratados internacionales de derechos humanos, el Perú reitera su intención de promover las medidas necesarias que faciliten la incorporación de dichos instrumentos al ordenamiento jurídico interno.</w:t>
      </w:r>
    </w:p>
    <w:p w14:paraId="0BCEA2E3" w14:textId="60C8E066" w:rsidR="00D3553A" w:rsidRPr="00D3553A" w:rsidRDefault="00D3553A" w:rsidP="00D3553A">
      <w:pPr>
        <w:pStyle w:val="HChG"/>
        <w:rPr>
          <w:rFonts w:eastAsia="MS Mincho"/>
        </w:rPr>
      </w:pPr>
      <w:r>
        <w:rPr>
          <w:rFonts w:eastAsia="MS Mincho"/>
        </w:rPr>
        <w:tab/>
        <w:t>II.</w:t>
      </w:r>
      <w:r>
        <w:rPr>
          <w:rFonts w:eastAsia="MS Mincho"/>
        </w:rPr>
        <w:tab/>
      </w:r>
      <w:r w:rsidRPr="00D3553A">
        <w:rPr>
          <w:rFonts w:eastAsia="MS Mincho"/>
        </w:rPr>
        <w:t>Marco general</w:t>
      </w:r>
    </w:p>
    <w:p w14:paraId="414049FB" w14:textId="6F7E5170" w:rsidR="00D3553A" w:rsidRDefault="00D3553A" w:rsidP="00D3553A">
      <w:pPr>
        <w:pStyle w:val="H1G"/>
      </w:pPr>
      <w:r>
        <w:tab/>
        <w:t>A.</w:t>
      </w:r>
      <w:r>
        <w:tab/>
      </w:r>
      <w:r w:rsidRPr="00D3553A">
        <w:rPr>
          <w:bCs/>
          <w:lang w:val="es-PE"/>
        </w:rPr>
        <w:t>Ratificación</w:t>
      </w:r>
      <w:r w:rsidRPr="00D3553A">
        <w:rPr>
          <w:bCs/>
        </w:rPr>
        <w:t xml:space="preserve"> de tratados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0"/>
        <w:gridCol w:w="1363"/>
        <w:gridCol w:w="4417"/>
      </w:tblGrid>
      <w:tr w:rsidR="00D3553A" w:rsidRPr="00D3553A" w14:paraId="2A30637F" w14:textId="77777777" w:rsidTr="00D3553A">
        <w:trPr>
          <w:tblHeader/>
        </w:trPr>
        <w:tc>
          <w:tcPr>
            <w:tcW w:w="1590" w:type="dxa"/>
            <w:tcBorders>
              <w:top w:val="single" w:sz="4" w:space="0" w:color="auto"/>
              <w:bottom w:val="single" w:sz="12" w:space="0" w:color="auto"/>
            </w:tcBorders>
            <w:shd w:val="clear" w:color="auto" w:fill="auto"/>
            <w:vAlign w:val="bottom"/>
          </w:tcPr>
          <w:p w14:paraId="70EE5AEE" w14:textId="77777777" w:rsidR="00D3553A" w:rsidRPr="00D3553A" w:rsidRDefault="00D3553A" w:rsidP="00D3553A">
            <w:pPr>
              <w:spacing w:before="80" w:after="80" w:line="200" w:lineRule="exact"/>
              <w:ind w:right="113"/>
              <w:rPr>
                <w:i/>
                <w:sz w:val="16"/>
              </w:rPr>
            </w:pPr>
            <w:r w:rsidRPr="00D3553A">
              <w:rPr>
                <w:i/>
                <w:sz w:val="16"/>
              </w:rPr>
              <w:t>Recomendación</w:t>
            </w:r>
          </w:p>
        </w:tc>
        <w:tc>
          <w:tcPr>
            <w:tcW w:w="1363" w:type="dxa"/>
            <w:tcBorders>
              <w:top w:val="single" w:sz="4" w:space="0" w:color="auto"/>
              <w:bottom w:val="single" w:sz="12" w:space="0" w:color="auto"/>
            </w:tcBorders>
            <w:shd w:val="clear" w:color="auto" w:fill="auto"/>
            <w:vAlign w:val="bottom"/>
          </w:tcPr>
          <w:p w14:paraId="0323473D" w14:textId="77777777" w:rsidR="00D3553A" w:rsidRPr="00D3553A" w:rsidRDefault="00D3553A" w:rsidP="00D3553A">
            <w:pPr>
              <w:spacing w:before="80" w:after="80" w:line="200" w:lineRule="exact"/>
              <w:ind w:right="113"/>
              <w:rPr>
                <w:i/>
                <w:sz w:val="16"/>
              </w:rPr>
            </w:pPr>
            <w:r w:rsidRPr="00D3553A">
              <w:rPr>
                <w:i/>
                <w:sz w:val="16"/>
              </w:rPr>
              <w:t>Posición</w:t>
            </w:r>
          </w:p>
        </w:tc>
        <w:tc>
          <w:tcPr>
            <w:tcW w:w="4417" w:type="dxa"/>
            <w:tcBorders>
              <w:top w:val="single" w:sz="4" w:space="0" w:color="auto"/>
              <w:bottom w:val="single" w:sz="12" w:space="0" w:color="auto"/>
            </w:tcBorders>
            <w:shd w:val="clear" w:color="auto" w:fill="auto"/>
            <w:vAlign w:val="bottom"/>
          </w:tcPr>
          <w:p w14:paraId="7B709C7D" w14:textId="77777777" w:rsidR="00D3553A" w:rsidRPr="00D3553A" w:rsidRDefault="00D3553A" w:rsidP="00D3553A">
            <w:pPr>
              <w:spacing w:before="80" w:after="80" w:line="200" w:lineRule="exact"/>
              <w:ind w:right="113"/>
              <w:rPr>
                <w:i/>
                <w:sz w:val="16"/>
              </w:rPr>
            </w:pPr>
            <w:r w:rsidRPr="00D3553A">
              <w:rPr>
                <w:i/>
                <w:sz w:val="16"/>
              </w:rPr>
              <w:t>Comentarios</w:t>
            </w:r>
          </w:p>
        </w:tc>
      </w:tr>
      <w:tr w:rsidR="00D3553A" w:rsidRPr="00D3553A" w14:paraId="3194C393" w14:textId="77777777" w:rsidTr="00D3553A">
        <w:trPr>
          <w:trHeight w:hRule="exact" w:val="113"/>
          <w:tblHeader/>
        </w:trPr>
        <w:tc>
          <w:tcPr>
            <w:tcW w:w="1590" w:type="dxa"/>
            <w:tcBorders>
              <w:top w:val="single" w:sz="12" w:space="0" w:color="auto"/>
            </w:tcBorders>
            <w:shd w:val="clear" w:color="auto" w:fill="auto"/>
          </w:tcPr>
          <w:p w14:paraId="392C7C13" w14:textId="77777777" w:rsidR="00D3553A" w:rsidRPr="00D3553A" w:rsidRDefault="00D3553A" w:rsidP="00D3553A">
            <w:pPr>
              <w:spacing w:before="40" w:after="120"/>
              <w:ind w:right="113"/>
            </w:pPr>
          </w:p>
        </w:tc>
        <w:tc>
          <w:tcPr>
            <w:tcW w:w="1363" w:type="dxa"/>
            <w:tcBorders>
              <w:top w:val="single" w:sz="12" w:space="0" w:color="auto"/>
            </w:tcBorders>
            <w:shd w:val="clear" w:color="auto" w:fill="auto"/>
          </w:tcPr>
          <w:p w14:paraId="7AA0ABEE" w14:textId="77777777" w:rsidR="00D3553A" w:rsidRPr="00D3553A" w:rsidRDefault="00D3553A" w:rsidP="00D3553A">
            <w:pPr>
              <w:spacing w:before="40" w:after="120"/>
              <w:ind w:right="113"/>
            </w:pPr>
          </w:p>
        </w:tc>
        <w:tc>
          <w:tcPr>
            <w:tcW w:w="4417" w:type="dxa"/>
            <w:tcBorders>
              <w:top w:val="single" w:sz="12" w:space="0" w:color="auto"/>
            </w:tcBorders>
            <w:shd w:val="clear" w:color="auto" w:fill="auto"/>
          </w:tcPr>
          <w:p w14:paraId="00F0D129" w14:textId="77777777" w:rsidR="00D3553A" w:rsidRPr="00D3553A" w:rsidRDefault="00D3553A" w:rsidP="00D3553A">
            <w:pPr>
              <w:spacing w:before="40" w:after="120"/>
              <w:ind w:right="113"/>
            </w:pPr>
          </w:p>
        </w:tc>
      </w:tr>
      <w:tr w:rsidR="00D3553A" w:rsidRPr="00D3553A" w14:paraId="27FB2917" w14:textId="77777777" w:rsidTr="00D3553A">
        <w:tc>
          <w:tcPr>
            <w:tcW w:w="1590" w:type="dxa"/>
            <w:shd w:val="clear" w:color="auto" w:fill="auto"/>
          </w:tcPr>
          <w:p w14:paraId="1D65C1E6" w14:textId="77777777" w:rsidR="00D3553A" w:rsidRPr="00D3553A" w:rsidRDefault="00D3553A" w:rsidP="00D3553A">
            <w:pPr>
              <w:spacing w:before="40" w:after="120"/>
              <w:ind w:right="113"/>
            </w:pPr>
            <w:r w:rsidRPr="00D3553A">
              <w:t>111.1</w:t>
            </w:r>
          </w:p>
          <w:p w14:paraId="63CC6853" w14:textId="77777777" w:rsidR="00D3553A" w:rsidRPr="00D3553A" w:rsidRDefault="00D3553A" w:rsidP="00D3553A">
            <w:pPr>
              <w:spacing w:before="40" w:after="120"/>
              <w:ind w:right="113"/>
            </w:pPr>
            <w:r w:rsidRPr="00D3553A">
              <w:t>111.2</w:t>
            </w:r>
          </w:p>
          <w:p w14:paraId="33CB14D7" w14:textId="77777777" w:rsidR="00D3553A" w:rsidRPr="00D3553A" w:rsidRDefault="00D3553A" w:rsidP="00D3553A">
            <w:pPr>
              <w:spacing w:before="40" w:after="120"/>
              <w:ind w:right="113"/>
            </w:pPr>
            <w:r w:rsidRPr="00D3553A">
              <w:t>111.18</w:t>
            </w:r>
          </w:p>
          <w:p w14:paraId="10EB4A09" w14:textId="77777777" w:rsidR="00D3553A" w:rsidRPr="00D3553A" w:rsidRDefault="00D3553A" w:rsidP="00D3553A">
            <w:pPr>
              <w:spacing w:before="40" w:after="120"/>
              <w:ind w:right="113"/>
            </w:pPr>
            <w:r w:rsidRPr="00D3553A">
              <w:t>111.19</w:t>
            </w:r>
          </w:p>
        </w:tc>
        <w:tc>
          <w:tcPr>
            <w:tcW w:w="1363" w:type="dxa"/>
            <w:shd w:val="clear" w:color="auto" w:fill="auto"/>
          </w:tcPr>
          <w:p w14:paraId="2D83EB26" w14:textId="77777777" w:rsidR="00D3553A" w:rsidRPr="00D3553A" w:rsidRDefault="00D3553A" w:rsidP="00D3553A">
            <w:pPr>
              <w:spacing w:before="40" w:after="120"/>
              <w:ind w:right="113"/>
            </w:pPr>
            <w:r w:rsidRPr="00D3553A">
              <w:t xml:space="preserve">Apoya </w:t>
            </w:r>
          </w:p>
        </w:tc>
        <w:tc>
          <w:tcPr>
            <w:tcW w:w="4417" w:type="dxa"/>
            <w:shd w:val="clear" w:color="auto" w:fill="auto"/>
          </w:tcPr>
          <w:p w14:paraId="38E0ED44" w14:textId="26114216" w:rsidR="00D3553A" w:rsidRPr="00D3553A" w:rsidRDefault="00D3553A" w:rsidP="00D3553A">
            <w:pPr>
              <w:spacing w:before="40" w:after="120"/>
              <w:ind w:right="113"/>
            </w:pPr>
            <w:r w:rsidRPr="00D3553A">
              <w:t>El Estado conforme a su compromiso en el Tercer Ciclo del EPU informa que ha mantenido una moratoria de facto respecto de la aplicación de la pena de muerte. Si bien la Constitución Política del Perú (CPP) establece que solo se puede aplicar la pena de muerte por delitos de traición a la patria en caso de guerra y por terrorismo, de acuerdo con las leyes y tratados que el Perú es parte, no se ha llevado a cabo la aplicación de la pena de muerte desde 1979</w:t>
            </w:r>
            <w:r>
              <w:rPr>
                <w:rStyle w:val="EndnoteReference"/>
              </w:rPr>
              <w:endnoteReference w:id="4"/>
            </w:r>
            <w:r w:rsidRPr="00D3553A">
              <w:t>.</w:t>
            </w:r>
          </w:p>
        </w:tc>
      </w:tr>
      <w:tr w:rsidR="00D3553A" w:rsidRPr="00D3553A" w14:paraId="2FFF47C4" w14:textId="77777777" w:rsidTr="00D3553A">
        <w:tc>
          <w:tcPr>
            <w:tcW w:w="1590" w:type="dxa"/>
            <w:shd w:val="clear" w:color="auto" w:fill="auto"/>
          </w:tcPr>
          <w:p w14:paraId="69641398" w14:textId="77777777" w:rsidR="00D3553A" w:rsidRPr="00D3553A" w:rsidRDefault="00D3553A" w:rsidP="00D3553A">
            <w:pPr>
              <w:spacing w:before="40" w:after="120"/>
              <w:ind w:right="113"/>
            </w:pPr>
            <w:r w:rsidRPr="00D3553A">
              <w:t>111.3</w:t>
            </w:r>
          </w:p>
          <w:p w14:paraId="3F50AFEC" w14:textId="77777777" w:rsidR="00D3553A" w:rsidRPr="00D3553A" w:rsidRDefault="00D3553A" w:rsidP="00D3553A">
            <w:pPr>
              <w:spacing w:before="40" w:after="120"/>
              <w:ind w:right="113"/>
            </w:pPr>
          </w:p>
        </w:tc>
        <w:tc>
          <w:tcPr>
            <w:tcW w:w="1363" w:type="dxa"/>
            <w:shd w:val="clear" w:color="auto" w:fill="auto"/>
          </w:tcPr>
          <w:p w14:paraId="1579B453" w14:textId="77777777" w:rsidR="00D3553A" w:rsidRPr="00D3553A" w:rsidRDefault="00D3553A" w:rsidP="00D3553A">
            <w:pPr>
              <w:spacing w:before="40" w:after="120"/>
              <w:ind w:right="113"/>
            </w:pPr>
            <w:r w:rsidRPr="00D3553A">
              <w:t>Apoya</w:t>
            </w:r>
          </w:p>
        </w:tc>
        <w:tc>
          <w:tcPr>
            <w:tcW w:w="4417" w:type="dxa"/>
            <w:shd w:val="clear" w:color="auto" w:fill="auto"/>
          </w:tcPr>
          <w:p w14:paraId="7907817B" w14:textId="37B87317" w:rsidR="00D3553A" w:rsidRPr="00D3553A" w:rsidRDefault="00D3553A" w:rsidP="00D3553A">
            <w:pPr>
              <w:spacing w:before="40" w:after="120"/>
              <w:ind w:right="113"/>
              <w:rPr>
                <w:lang w:val="es-PE"/>
              </w:rPr>
            </w:pPr>
            <w:r w:rsidRPr="00D3553A">
              <w:rPr>
                <w:lang w:val="es-PE"/>
              </w:rPr>
              <w:t>El Perú ha venido implementando diversas medidas para lograr este objetivo, incluyendo acciones dirigidas a facilitar la ratificación de dicho tratado. Así, el Plan Nacional de Derechos Humanos 2018-2021</w:t>
            </w:r>
            <w:r>
              <w:rPr>
                <w:rStyle w:val="EndnoteReference"/>
                <w:lang w:val="es-PE"/>
              </w:rPr>
              <w:endnoteReference w:id="5"/>
            </w:r>
            <w:r w:rsidRPr="00D3553A">
              <w:rPr>
                <w:lang w:val="es-PE"/>
              </w:rPr>
              <w:t xml:space="preserve"> (PNDH) estableció una acción estratégica específica para impulsar la ratificación del referido Protocolo Facultativo y con ello permitir la aceptación de la competencia del Comité para recibir y examinar comunicaciones relacionadas con el cumplimiento de los derechos económicos, sociales y culturales</w:t>
            </w:r>
            <w:r>
              <w:rPr>
                <w:rStyle w:val="EndnoteReference"/>
                <w:lang w:val="es-PE"/>
              </w:rPr>
              <w:endnoteReference w:id="6"/>
            </w:r>
            <w:r w:rsidRPr="00D3553A">
              <w:rPr>
                <w:lang w:val="es-PE"/>
              </w:rPr>
              <w:t>.</w:t>
            </w:r>
          </w:p>
        </w:tc>
      </w:tr>
      <w:tr w:rsidR="00D3553A" w:rsidRPr="00D3553A" w14:paraId="4BAFFBFE" w14:textId="77777777" w:rsidTr="00D3553A">
        <w:tc>
          <w:tcPr>
            <w:tcW w:w="1590" w:type="dxa"/>
            <w:tcBorders>
              <w:bottom w:val="single" w:sz="12" w:space="0" w:color="auto"/>
            </w:tcBorders>
            <w:shd w:val="clear" w:color="auto" w:fill="auto"/>
          </w:tcPr>
          <w:p w14:paraId="6F70FC3F" w14:textId="77777777" w:rsidR="00D3553A" w:rsidRPr="00D3553A" w:rsidRDefault="00D3553A" w:rsidP="00D3553A">
            <w:pPr>
              <w:spacing w:before="40" w:after="120"/>
              <w:ind w:right="113"/>
            </w:pPr>
            <w:r w:rsidRPr="00D3553A">
              <w:t>111.4</w:t>
            </w:r>
          </w:p>
          <w:p w14:paraId="5C89F91E" w14:textId="77777777" w:rsidR="00D3553A" w:rsidRPr="00D3553A" w:rsidRDefault="00D3553A" w:rsidP="00D3553A">
            <w:pPr>
              <w:spacing w:before="40" w:after="120"/>
              <w:ind w:right="113"/>
            </w:pPr>
            <w:r w:rsidRPr="00D3553A">
              <w:t>111.5</w:t>
            </w:r>
          </w:p>
          <w:p w14:paraId="50A11278" w14:textId="331FA24A" w:rsidR="00D3553A" w:rsidRPr="00D3553A" w:rsidRDefault="00D3553A" w:rsidP="00D3553A">
            <w:pPr>
              <w:spacing w:before="40" w:after="120"/>
              <w:ind w:right="113"/>
            </w:pPr>
            <w:r w:rsidRPr="00D3553A">
              <w:t>111.7</w:t>
            </w:r>
          </w:p>
        </w:tc>
        <w:tc>
          <w:tcPr>
            <w:tcW w:w="1363" w:type="dxa"/>
            <w:tcBorders>
              <w:bottom w:val="single" w:sz="12" w:space="0" w:color="auto"/>
            </w:tcBorders>
            <w:shd w:val="clear" w:color="auto" w:fill="auto"/>
          </w:tcPr>
          <w:p w14:paraId="4E4E5E15" w14:textId="77777777" w:rsidR="00D3553A" w:rsidRPr="00D3553A" w:rsidRDefault="00D3553A" w:rsidP="00D3553A">
            <w:pPr>
              <w:spacing w:before="40" w:after="120"/>
              <w:ind w:right="113"/>
            </w:pPr>
            <w:r w:rsidRPr="00D3553A">
              <w:t>Apoya</w:t>
            </w:r>
          </w:p>
        </w:tc>
        <w:tc>
          <w:tcPr>
            <w:tcW w:w="4417" w:type="dxa"/>
            <w:tcBorders>
              <w:bottom w:val="single" w:sz="12" w:space="0" w:color="auto"/>
            </w:tcBorders>
            <w:shd w:val="clear" w:color="auto" w:fill="auto"/>
          </w:tcPr>
          <w:p w14:paraId="2F7C3953" w14:textId="77777777" w:rsidR="00D3553A" w:rsidRPr="00D3553A" w:rsidRDefault="00D3553A" w:rsidP="00D3553A">
            <w:pPr>
              <w:spacing w:before="40" w:after="120"/>
              <w:ind w:right="113"/>
            </w:pPr>
          </w:p>
        </w:tc>
      </w:tr>
    </w:tbl>
    <w:p w14:paraId="28B858DE" w14:textId="4FDBD643" w:rsidR="00D3553A" w:rsidRDefault="00D3553A" w:rsidP="00D3553A">
      <w:pPr>
        <w:pStyle w:val="H1G"/>
        <w:rPr>
          <w:bCs/>
        </w:rPr>
      </w:pPr>
      <w:r>
        <w:lastRenderedPageBreak/>
        <w:tab/>
        <w:t>B.</w:t>
      </w:r>
      <w:r>
        <w:tab/>
      </w:r>
      <w:r w:rsidRPr="00D3553A">
        <w:rPr>
          <w:bCs/>
          <w:lang w:val="es-PE"/>
        </w:rPr>
        <w:t>Cooperación</w:t>
      </w:r>
      <w:r w:rsidRPr="00D3553A">
        <w:rPr>
          <w:bCs/>
        </w:rPr>
        <w:t xml:space="preserve"> con el Sistema de Naciones Unidas y obligaciones en DDHH transversales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3"/>
        <w:gridCol w:w="1369"/>
        <w:gridCol w:w="4408"/>
      </w:tblGrid>
      <w:tr w:rsidR="00D3553A" w:rsidRPr="00D3553A" w14:paraId="5FEF0DFB" w14:textId="77777777" w:rsidTr="00D3553A">
        <w:trPr>
          <w:tblHeader/>
        </w:trPr>
        <w:tc>
          <w:tcPr>
            <w:tcW w:w="1593" w:type="dxa"/>
            <w:tcBorders>
              <w:top w:val="single" w:sz="4" w:space="0" w:color="auto"/>
              <w:bottom w:val="single" w:sz="12" w:space="0" w:color="auto"/>
            </w:tcBorders>
            <w:shd w:val="clear" w:color="auto" w:fill="auto"/>
            <w:vAlign w:val="bottom"/>
          </w:tcPr>
          <w:p w14:paraId="50DF1F85" w14:textId="77777777" w:rsidR="00D3553A" w:rsidRPr="00D3553A" w:rsidRDefault="00D3553A" w:rsidP="00D3553A">
            <w:pPr>
              <w:spacing w:before="80" w:after="80" w:line="200" w:lineRule="exact"/>
              <w:ind w:right="113"/>
              <w:rPr>
                <w:i/>
                <w:sz w:val="16"/>
              </w:rPr>
            </w:pPr>
            <w:r w:rsidRPr="00D3553A">
              <w:rPr>
                <w:i/>
                <w:sz w:val="16"/>
              </w:rPr>
              <w:t>Recomendación</w:t>
            </w:r>
          </w:p>
        </w:tc>
        <w:tc>
          <w:tcPr>
            <w:tcW w:w="1369" w:type="dxa"/>
            <w:tcBorders>
              <w:top w:val="single" w:sz="4" w:space="0" w:color="auto"/>
              <w:bottom w:val="single" w:sz="12" w:space="0" w:color="auto"/>
            </w:tcBorders>
            <w:shd w:val="clear" w:color="auto" w:fill="auto"/>
            <w:vAlign w:val="bottom"/>
          </w:tcPr>
          <w:p w14:paraId="1AC907F0" w14:textId="77777777" w:rsidR="00D3553A" w:rsidRPr="00D3553A" w:rsidRDefault="00D3553A" w:rsidP="00D3553A">
            <w:pPr>
              <w:spacing w:before="80" w:after="80" w:line="200" w:lineRule="exact"/>
              <w:ind w:right="113"/>
              <w:rPr>
                <w:i/>
                <w:sz w:val="16"/>
              </w:rPr>
            </w:pPr>
            <w:r w:rsidRPr="00D3553A">
              <w:rPr>
                <w:i/>
                <w:sz w:val="16"/>
              </w:rPr>
              <w:t>Posición</w:t>
            </w:r>
          </w:p>
        </w:tc>
        <w:tc>
          <w:tcPr>
            <w:tcW w:w="4408" w:type="dxa"/>
            <w:tcBorders>
              <w:top w:val="single" w:sz="4" w:space="0" w:color="auto"/>
              <w:bottom w:val="single" w:sz="12" w:space="0" w:color="auto"/>
            </w:tcBorders>
            <w:shd w:val="clear" w:color="auto" w:fill="auto"/>
            <w:vAlign w:val="bottom"/>
          </w:tcPr>
          <w:p w14:paraId="2D4234C4" w14:textId="77777777" w:rsidR="00D3553A" w:rsidRPr="00D3553A" w:rsidRDefault="00D3553A" w:rsidP="00D3553A">
            <w:pPr>
              <w:spacing w:before="80" w:after="80" w:line="200" w:lineRule="exact"/>
              <w:ind w:right="113"/>
              <w:rPr>
                <w:i/>
                <w:sz w:val="16"/>
              </w:rPr>
            </w:pPr>
            <w:r w:rsidRPr="00D3553A">
              <w:rPr>
                <w:i/>
                <w:sz w:val="16"/>
              </w:rPr>
              <w:t>Comentarios</w:t>
            </w:r>
          </w:p>
        </w:tc>
      </w:tr>
      <w:tr w:rsidR="00D3553A" w:rsidRPr="00D3553A" w14:paraId="730E90A4" w14:textId="77777777" w:rsidTr="00D3553A">
        <w:trPr>
          <w:trHeight w:hRule="exact" w:val="113"/>
        </w:trPr>
        <w:tc>
          <w:tcPr>
            <w:tcW w:w="1593" w:type="dxa"/>
            <w:tcBorders>
              <w:top w:val="single" w:sz="12" w:space="0" w:color="auto"/>
            </w:tcBorders>
            <w:shd w:val="clear" w:color="auto" w:fill="auto"/>
          </w:tcPr>
          <w:p w14:paraId="44BB184A" w14:textId="77777777" w:rsidR="00D3553A" w:rsidRPr="00D3553A" w:rsidRDefault="00D3553A" w:rsidP="00D3553A">
            <w:pPr>
              <w:spacing w:before="40" w:after="120"/>
              <w:ind w:right="113"/>
            </w:pPr>
          </w:p>
        </w:tc>
        <w:tc>
          <w:tcPr>
            <w:tcW w:w="1369" w:type="dxa"/>
            <w:tcBorders>
              <w:top w:val="single" w:sz="12" w:space="0" w:color="auto"/>
            </w:tcBorders>
            <w:shd w:val="clear" w:color="auto" w:fill="auto"/>
          </w:tcPr>
          <w:p w14:paraId="589FABCB" w14:textId="77777777" w:rsidR="00D3553A" w:rsidRPr="00D3553A" w:rsidRDefault="00D3553A" w:rsidP="00D3553A">
            <w:pPr>
              <w:spacing w:before="40" w:after="120"/>
              <w:ind w:right="113"/>
            </w:pPr>
          </w:p>
        </w:tc>
        <w:tc>
          <w:tcPr>
            <w:tcW w:w="4408" w:type="dxa"/>
            <w:tcBorders>
              <w:top w:val="single" w:sz="12" w:space="0" w:color="auto"/>
            </w:tcBorders>
            <w:shd w:val="clear" w:color="auto" w:fill="auto"/>
          </w:tcPr>
          <w:p w14:paraId="008E6D95" w14:textId="77777777" w:rsidR="00D3553A" w:rsidRPr="00D3553A" w:rsidRDefault="00D3553A" w:rsidP="00D3553A">
            <w:pPr>
              <w:spacing w:before="40" w:after="120"/>
              <w:ind w:right="113"/>
            </w:pPr>
          </w:p>
        </w:tc>
      </w:tr>
      <w:tr w:rsidR="00D3553A" w:rsidRPr="00D3553A" w14:paraId="6F263D5C" w14:textId="77777777" w:rsidTr="00D3553A">
        <w:tc>
          <w:tcPr>
            <w:tcW w:w="1593" w:type="dxa"/>
            <w:tcBorders>
              <w:bottom w:val="single" w:sz="12" w:space="0" w:color="auto"/>
            </w:tcBorders>
            <w:shd w:val="clear" w:color="auto" w:fill="auto"/>
          </w:tcPr>
          <w:p w14:paraId="70F83AA9" w14:textId="77777777" w:rsidR="00D3553A" w:rsidRPr="00D3553A" w:rsidRDefault="00D3553A" w:rsidP="00D3553A">
            <w:pPr>
              <w:spacing w:before="40" w:after="120"/>
              <w:ind w:right="113"/>
            </w:pPr>
            <w:r w:rsidRPr="00D3553A">
              <w:t>111.9</w:t>
            </w:r>
          </w:p>
          <w:p w14:paraId="7DEF557C" w14:textId="77777777" w:rsidR="00D3553A" w:rsidRPr="00D3553A" w:rsidRDefault="00D3553A" w:rsidP="00D3553A">
            <w:pPr>
              <w:spacing w:before="40" w:after="120"/>
              <w:ind w:right="113"/>
            </w:pPr>
            <w:r w:rsidRPr="00D3553A">
              <w:t>111.10</w:t>
            </w:r>
          </w:p>
          <w:p w14:paraId="61AF6C0F" w14:textId="77777777" w:rsidR="00D3553A" w:rsidRPr="00D3553A" w:rsidRDefault="00D3553A" w:rsidP="00D3553A">
            <w:pPr>
              <w:spacing w:before="40" w:after="120"/>
              <w:ind w:right="113"/>
            </w:pPr>
            <w:r w:rsidRPr="00D3553A">
              <w:t>111.12</w:t>
            </w:r>
          </w:p>
          <w:p w14:paraId="21D15896" w14:textId="77777777" w:rsidR="00D3553A" w:rsidRPr="00D3553A" w:rsidRDefault="00D3553A" w:rsidP="00D3553A">
            <w:pPr>
              <w:spacing w:before="40" w:after="120"/>
              <w:ind w:right="113"/>
            </w:pPr>
            <w:r w:rsidRPr="00D3553A">
              <w:t>111.14</w:t>
            </w:r>
          </w:p>
          <w:p w14:paraId="774043DC" w14:textId="77777777" w:rsidR="00D3553A" w:rsidRPr="00D3553A" w:rsidRDefault="00D3553A" w:rsidP="00D3553A">
            <w:pPr>
              <w:spacing w:before="40" w:after="120"/>
              <w:ind w:right="113"/>
            </w:pPr>
            <w:r w:rsidRPr="00D3553A">
              <w:t>111.64</w:t>
            </w:r>
          </w:p>
          <w:p w14:paraId="77785929" w14:textId="77777777" w:rsidR="00D3553A" w:rsidRPr="00D3553A" w:rsidRDefault="00D3553A" w:rsidP="00D3553A">
            <w:pPr>
              <w:spacing w:before="40" w:after="120"/>
              <w:ind w:right="113"/>
            </w:pPr>
            <w:r w:rsidRPr="00D3553A">
              <w:t>111.82</w:t>
            </w:r>
          </w:p>
          <w:p w14:paraId="5F017F0A" w14:textId="77777777" w:rsidR="00D3553A" w:rsidRPr="00D3553A" w:rsidRDefault="00D3553A" w:rsidP="00D3553A">
            <w:pPr>
              <w:spacing w:before="40" w:after="120"/>
              <w:ind w:right="113"/>
            </w:pPr>
            <w:r w:rsidRPr="00D3553A">
              <w:t>111.100</w:t>
            </w:r>
          </w:p>
        </w:tc>
        <w:tc>
          <w:tcPr>
            <w:tcW w:w="1369" w:type="dxa"/>
            <w:tcBorders>
              <w:bottom w:val="single" w:sz="12" w:space="0" w:color="auto"/>
            </w:tcBorders>
            <w:shd w:val="clear" w:color="auto" w:fill="auto"/>
          </w:tcPr>
          <w:p w14:paraId="57739A4B" w14:textId="77777777" w:rsidR="00D3553A" w:rsidRPr="00D3553A" w:rsidRDefault="00D3553A" w:rsidP="00D3553A">
            <w:pPr>
              <w:spacing w:before="40" w:after="120"/>
              <w:ind w:right="113"/>
            </w:pPr>
            <w:r w:rsidRPr="00D3553A">
              <w:t>Apoya</w:t>
            </w:r>
          </w:p>
        </w:tc>
        <w:tc>
          <w:tcPr>
            <w:tcW w:w="4408" w:type="dxa"/>
            <w:tcBorders>
              <w:bottom w:val="single" w:sz="12" w:space="0" w:color="auto"/>
            </w:tcBorders>
            <w:shd w:val="clear" w:color="auto" w:fill="auto"/>
          </w:tcPr>
          <w:p w14:paraId="08F30C29" w14:textId="77777777" w:rsidR="00D3553A" w:rsidRPr="00D3553A" w:rsidRDefault="00D3553A" w:rsidP="00D3553A">
            <w:pPr>
              <w:spacing w:before="40" w:after="120"/>
              <w:ind w:right="113"/>
            </w:pPr>
          </w:p>
        </w:tc>
      </w:tr>
    </w:tbl>
    <w:p w14:paraId="3FB7B416" w14:textId="03D06E43" w:rsidR="00D3553A" w:rsidRDefault="00D3553A" w:rsidP="00D3553A">
      <w:pPr>
        <w:pStyle w:val="H1G"/>
        <w:rPr>
          <w:bCs/>
          <w:lang w:val="es-PE"/>
        </w:rPr>
      </w:pPr>
      <w:r>
        <w:tab/>
        <w:t>C.</w:t>
      </w:r>
      <w:r>
        <w:tab/>
      </w:r>
      <w:r w:rsidRPr="00D3553A">
        <w:rPr>
          <w:bCs/>
          <w:lang w:val="es-PE"/>
        </w:rPr>
        <w:t>Lucha contra la discriminación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9"/>
        <w:gridCol w:w="1338"/>
        <w:gridCol w:w="4413"/>
      </w:tblGrid>
      <w:tr w:rsidR="00D3553A" w:rsidRPr="00D3553A" w14:paraId="4C5F5D44" w14:textId="77777777" w:rsidTr="00D3553A">
        <w:trPr>
          <w:tblHeader/>
        </w:trPr>
        <w:tc>
          <w:tcPr>
            <w:tcW w:w="1619" w:type="dxa"/>
            <w:tcBorders>
              <w:top w:val="single" w:sz="4" w:space="0" w:color="auto"/>
              <w:bottom w:val="single" w:sz="12" w:space="0" w:color="auto"/>
            </w:tcBorders>
            <w:shd w:val="clear" w:color="auto" w:fill="auto"/>
            <w:vAlign w:val="bottom"/>
          </w:tcPr>
          <w:p w14:paraId="243B51F2" w14:textId="77777777" w:rsidR="00D3553A" w:rsidRPr="00D3553A" w:rsidRDefault="00D3553A" w:rsidP="00D3553A">
            <w:pPr>
              <w:spacing w:before="80" w:after="80" w:line="200" w:lineRule="exact"/>
              <w:ind w:right="113"/>
              <w:rPr>
                <w:i/>
                <w:sz w:val="16"/>
              </w:rPr>
            </w:pPr>
            <w:r w:rsidRPr="00D3553A">
              <w:rPr>
                <w:i/>
                <w:sz w:val="16"/>
              </w:rPr>
              <w:t>Recomendación</w:t>
            </w:r>
          </w:p>
        </w:tc>
        <w:tc>
          <w:tcPr>
            <w:tcW w:w="1338" w:type="dxa"/>
            <w:tcBorders>
              <w:top w:val="single" w:sz="4" w:space="0" w:color="auto"/>
              <w:bottom w:val="single" w:sz="12" w:space="0" w:color="auto"/>
            </w:tcBorders>
            <w:shd w:val="clear" w:color="auto" w:fill="auto"/>
            <w:vAlign w:val="bottom"/>
          </w:tcPr>
          <w:p w14:paraId="12C36897" w14:textId="77777777" w:rsidR="00D3553A" w:rsidRPr="00D3553A" w:rsidRDefault="00D3553A" w:rsidP="00D3553A">
            <w:pPr>
              <w:spacing w:before="80" w:after="80" w:line="200" w:lineRule="exact"/>
              <w:ind w:right="113"/>
              <w:rPr>
                <w:i/>
                <w:sz w:val="16"/>
              </w:rPr>
            </w:pPr>
            <w:r w:rsidRPr="00D3553A">
              <w:rPr>
                <w:i/>
                <w:sz w:val="16"/>
              </w:rPr>
              <w:t>Posición</w:t>
            </w:r>
          </w:p>
        </w:tc>
        <w:tc>
          <w:tcPr>
            <w:tcW w:w="4413" w:type="dxa"/>
            <w:tcBorders>
              <w:top w:val="single" w:sz="4" w:space="0" w:color="auto"/>
              <w:bottom w:val="single" w:sz="12" w:space="0" w:color="auto"/>
            </w:tcBorders>
            <w:shd w:val="clear" w:color="auto" w:fill="auto"/>
            <w:vAlign w:val="bottom"/>
          </w:tcPr>
          <w:p w14:paraId="6D901AC1" w14:textId="77777777" w:rsidR="00D3553A" w:rsidRPr="00D3553A" w:rsidRDefault="00D3553A" w:rsidP="00D3553A">
            <w:pPr>
              <w:spacing w:before="80" w:after="80" w:line="200" w:lineRule="exact"/>
              <w:ind w:right="113"/>
              <w:rPr>
                <w:i/>
                <w:sz w:val="16"/>
              </w:rPr>
            </w:pPr>
            <w:r w:rsidRPr="00D3553A">
              <w:rPr>
                <w:i/>
                <w:sz w:val="16"/>
              </w:rPr>
              <w:t>Comentarios</w:t>
            </w:r>
          </w:p>
        </w:tc>
      </w:tr>
      <w:tr w:rsidR="00D3553A" w:rsidRPr="00D3553A" w14:paraId="20FD9D84" w14:textId="77777777" w:rsidTr="00D3553A">
        <w:trPr>
          <w:trHeight w:hRule="exact" w:val="113"/>
          <w:tblHeader/>
        </w:trPr>
        <w:tc>
          <w:tcPr>
            <w:tcW w:w="1619" w:type="dxa"/>
            <w:tcBorders>
              <w:top w:val="single" w:sz="12" w:space="0" w:color="auto"/>
            </w:tcBorders>
            <w:shd w:val="clear" w:color="auto" w:fill="auto"/>
          </w:tcPr>
          <w:p w14:paraId="23841C4C" w14:textId="77777777" w:rsidR="00D3553A" w:rsidRPr="00D3553A" w:rsidRDefault="00D3553A" w:rsidP="00D3553A">
            <w:pPr>
              <w:spacing w:before="40" w:after="120"/>
              <w:ind w:right="113"/>
            </w:pPr>
          </w:p>
        </w:tc>
        <w:tc>
          <w:tcPr>
            <w:tcW w:w="1338" w:type="dxa"/>
            <w:tcBorders>
              <w:top w:val="single" w:sz="12" w:space="0" w:color="auto"/>
            </w:tcBorders>
            <w:shd w:val="clear" w:color="auto" w:fill="auto"/>
          </w:tcPr>
          <w:p w14:paraId="1E3E4DCD" w14:textId="77777777" w:rsidR="00D3553A" w:rsidRPr="00D3553A" w:rsidRDefault="00D3553A" w:rsidP="00D3553A">
            <w:pPr>
              <w:spacing w:before="40" w:after="120"/>
              <w:ind w:right="113"/>
            </w:pPr>
          </w:p>
        </w:tc>
        <w:tc>
          <w:tcPr>
            <w:tcW w:w="4413" w:type="dxa"/>
            <w:tcBorders>
              <w:top w:val="single" w:sz="12" w:space="0" w:color="auto"/>
            </w:tcBorders>
            <w:shd w:val="clear" w:color="auto" w:fill="auto"/>
          </w:tcPr>
          <w:p w14:paraId="573B822B" w14:textId="77777777" w:rsidR="00D3553A" w:rsidRPr="00D3553A" w:rsidRDefault="00D3553A" w:rsidP="00D3553A">
            <w:pPr>
              <w:spacing w:before="40" w:after="120"/>
              <w:ind w:right="113"/>
            </w:pPr>
          </w:p>
        </w:tc>
      </w:tr>
      <w:tr w:rsidR="00D3553A" w:rsidRPr="00D3553A" w14:paraId="27B7DB0F" w14:textId="77777777" w:rsidTr="00D3553A">
        <w:tc>
          <w:tcPr>
            <w:tcW w:w="1619" w:type="dxa"/>
            <w:tcBorders>
              <w:bottom w:val="single" w:sz="12" w:space="0" w:color="auto"/>
            </w:tcBorders>
            <w:shd w:val="clear" w:color="auto" w:fill="auto"/>
          </w:tcPr>
          <w:p w14:paraId="0189DCFD" w14:textId="77777777" w:rsidR="00D3553A" w:rsidRPr="00D3553A" w:rsidRDefault="00D3553A" w:rsidP="00D3553A">
            <w:pPr>
              <w:spacing w:before="40" w:after="120"/>
              <w:ind w:right="113"/>
            </w:pPr>
            <w:r w:rsidRPr="00D3553A">
              <w:t>111.16</w:t>
            </w:r>
          </w:p>
          <w:p w14:paraId="20EF7CE0" w14:textId="77777777" w:rsidR="00D3553A" w:rsidRPr="00D3553A" w:rsidRDefault="00D3553A" w:rsidP="00D3553A">
            <w:pPr>
              <w:spacing w:before="40" w:after="120"/>
              <w:ind w:right="113"/>
            </w:pPr>
            <w:r w:rsidRPr="00D3553A">
              <w:t>111.17</w:t>
            </w:r>
          </w:p>
          <w:p w14:paraId="1E96623D" w14:textId="77777777" w:rsidR="00D3553A" w:rsidRPr="00D3553A" w:rsidRDefault="00D3553A" w:rsidP="00D3553A">
            <w:pPr>
              <w:spacing w:before="40" w:after="120"/>
              <w:ind w:right="113"/>
            </w:pPr>
          </w:p>
        </w:tc>
        <w:tc>
          <w:tcPr>
            <w:tcW w:w="1338" w:type="dxa"/>
            <w:tcBorders>
              <w:bottom w:val="single" w:sz="12" w:space="0" w:color="auto"/>
            </w:tcBorders>
            <w:shd w:val="clear" w:color="auto" w:fill="auto"/>
          </w:tcPr>
          <w:p w14:paraId="0A437A5E" w14:textId="77777777" w:rsidR="00D3553A" w:rsidRPr="00D3553A" w:rsidRDefault="00D3553A" w:rsidP="00D3553A">
            <w:pPr>
              <w:spacing w:before="40" w:after="120"/>
              <w:ind w:right="113"/>
            </w:pPr>
            <w:r w:rsidRPr="00D3553A">
              <w:t>Apoya</w:t>
            </w:r>
          </w:p>
        </w:tc>
        <w:tc>
          <w:tcPr>
            <w:tcW w:w="4413" w:type="dxa"/>
            <w:tcBorders>
              <w:bottom w:val="single" w:sz="12" w:space="0" w:color="auto"/>
            </w:tcBorders>
            <w:shd w:val="clear" w:color="auto" w:fill="auto"/>
          </w:tcPr>
          <w:p w14:paraId="56564D1E" w14:textId="3C11531B" w:rsidR="00D3553A" w:rsidRPr="00D3553A" w:rsidRDefault="00D3553A" w:rsidP="00D3553A">
            <w:pPr>
              <w:spacing w:before="40" w:after="120"/>
              <w:ind w:right="113"/>
              <w:rPr>
                <w:lang w:val="es-PE"/>
              </w:rPr>
            </w:pPr>
            <w:r w:rsidRPr="00D3553A">
              <w:rPr>
                <w:lang w:val="es-PE"/>
              </w:rPr>
              <w:t>La CPP garantiza el derecho a la no discriminación por motivos raciales en el artículo 2.2. En ese sentido, se encuentra proscrita la discriminación por motivos como el origen, la raza, el sexo, idioma, religión entre otros</w:t>
            </w:r>
            <w:r w:rsidR="00C306B5">
              <w:rPr>
                <w:rStyle w:val="EndnoteReference"/>
                <w:lang w:val="es-PE"/>
              </w:rPr>
              <w:endnoteReference w:id="7"/>
            </w:r>
            <w:r w:rsidRPr="00D3553A">
              <w:rPr>
                <w:lang w:val="es-PE"/>
              </w:rPr>
              <w:t>.</w:t>
            </w:r>
          </w:p>
          <w:p w14:paraId="762D3C52" w14:textId="7FAE18C8" w:rsidR="00D3553A" w:rsidRPr="00D3553A" w:rsidRDefault="00D3553A" w:rsidP="00D3553A">
            <w:pPr>
              <w:spacing w:before="40" w:after="120"/>
              <w:ind w:right="113"/>
              <w:rPr>
                <w:lang w:val="es-PE"/>
              </w:rPr>
            </w:pPr>
            <w:r w:rsidRPr="00D3553A">
              <w:rPr>
                <w:lang w:val="es-PE"/>
              </w:rPr>
              <w:t>Por otro lado, el Código Penal peruano (CP) sanciona el delito de discriminación e incitación a la discriminación en su artículo 323</w:t>
            </w:r>
            <w:r w:rsidR="00C306B5">
              <w:rPr>
                <w:rStyle w:val="EndnoteReference"/>
                <w:lang w:val="es-PE"/>
              </w:rPr>
              <w:endnoteReference w:id="8"/>
            </w:r>
            <w:r w:rsidRPr="00D3553A">
              <w:rPr>
                <w:lang w:val="es-PE"/>
              </w:rPr>
              <w:t>.</w:t>
            </w:r>
          </w:p>
          <w:p w14:paraId="40701A90" w14:textId="14290555" w:rsidR="00D3553A" w:rsidRPr="00D3553A" w:rsidRDefault="00D3553A" w:rsidP="00D3553A">
            <w:pPr>
              <w:spacing w:before="40" w:after="120"/>
              <w:ind w:right="113"/>
              <w:rPr>
                <w:lang w:val="es-PE"/>
              </w:rPr>
            </w:pPr>
            <w:r w:rsidRPr="00D3553A">
              <w:rPr>
                <w:lang w:val="es-PE"/>
              </w:rPr>
              <w:t>Asimismo, es oportuno mencionar que el problema público de la futura Política Nacional Multisectorial de Derechos Humanos (PNMDH)</w:t>
            </w:r>
            <w:r w:rsidR="00C306B5">
              <w:rPr>
                <w:rStyle w:val="EndnoteReference"/>
                <w:lang w:val="es-PE"/>
              </w:rPr>
              <w:endnoteReference w:id="9"/>
            </w:r>
            <w:r w:rsidRPr="00D3553A">
              <w:rPr>
                <w:lang w:val="es-PE"/>
              </w:rPr>
              <w:t xml:space="preserve"> tendrá un horizonte temporal al 2030 con el objetivo de lograr la acción coordinada de las distintas instancias del Estado a fin de reducir la desigualdad en el ejercicio de los DDHH y la discriminación estructural.</w:t>
            </w:r>
          </w:p>
        </w:tc>
      </w:tr>
    </w:tbl>
    <w:p w14:paraId="6E22C126" w14:textId="5B837C99" w:rsidR="00D3553A" w:rsidRDefault="00D3553A" w:rsidP="00D3553A">
      <w:pPr>
        <w:pStyle w:val="H1G"/>
        <w:rPr>
          <w:bCs/>
          <w:lang w:val="es-PE"/>
        </w:rPr>
      </w:pPr>
      <w:r>
        <w:rPr>
          <w:lang w:val="es-PE"/>
        </w:rPr>
        <w:tab/>
        <w:t>D.</w:t>
      </w:r>
      <w:r>
        <w:rPr>
          <w:lang w:val="es-PE"/>
        </w:rPr>
        <w:tab/>
      </w:r>
      <w:r w:rsidR="000C14E8" w:rsidRPr="000C14E8">
        <w:rPr>
          <w:bCs/>
          <w:lang w:val="es-PE"/>
        </w:rPr>
        <w:t>Empresas y DDHH</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5"/>
        <w:gridCol w:w="1317"/>
        <w:gridCol w:w="4408"/>
      </w:tblGrid>
      <w:tr w:rsidR="000C14E8" w:rsidRPr="000C14E8" w14:paraId="271A383F" w14:textId="77777777" w:rsidTr="000C14E8">
        <w:trPr>
          <w:tblHeader/>
        </w:trPr>
        <w:tc>
          <w:tcPr>
            <w:tcW w:w="1645" w:type="dxa"/>
            <w:tcBorders>
              <w:top w:val="single" w:sz="4" w:space="0" w:color="auto"/>
              <w:bottom w:val="single" w:sz="12" w:space="0" w:color="auto"/>
            </w:tcBorders>
            <w:shd w:val="clear" w:color="auto" w:fill="auto"/>
            <w:vAlign w:val="bottom"/>
          </w:tcPr>
          <w:p w14:paraId="054E4D89" w14:textId="77777777" w:rsidR="000C14E8" w:rsidRPr="000C14E8" w:rsidRDefault="000C14E8" w:rsidP="000C14E8">
            <w:pPr>
              <w:spacing w:before="80" w:after="80" w:line="200" w:lineRule="exact"/>
              <w:ind w:right="113"/>
              <w:rPr>
                <w:i/>
                <w:sz w:val="16"/>
              </w:rPr>
            </w:pPr>
            <w:r w:rsidRPr="000C14E8">
              <w:rPr>
                <w:i/>
                <w:sz w:val="16"/>
              </w:rPr>
              <w:t>Recomendación</w:t>
            </w:r>
          </w:p>
        </w:tc>
        <w:tc>
          <w:tcPr>
            <w:tcW w:w="1317" w:type="dxa"/>
            <w:tcBorders>
              <w:top w:val="single" w:sz="4" w:space="0" w:color="auto"/>
              <w:bottom w:val="single" w:sz="12" w:space="0" w:color="auto"/>
            </w:tcBorders>
            <w:shd w:val="clear" w:color="auto" w:fill="auto"/>
            <w:vAlign w:val="bottom"/>
          </w:tcPr>
          <w:p w14:paraId="280134FF" w14:textId="77777777" w:rsidR="000C14E8" w:rsidRPr="000C14E8" w:rsidRDefault="000C14E8" w:rsidP="000C14E8">
            <w:pPr>
              <w:spacing w:before="80" w:after="80" w:line="200" w:lineRule="exact"/>
              <w:ind w:right="113"/>
              <w:rPr>
                <w:i/>
                <w:sz w:val="16"/>
              </w:rPr>
            </w:pPr>
            <w:r w:rsidRPr="000C14E8">
              <w:rPr>
                <w:i/>
                <w:sz w:val="16"/>
              </w:rPr>
              <w:t>Posición</w:t>
            </w:r>
          </w:p>
        </w:tc>
        <w:tc>
          <w:tcPr>
            <w:tcW w:w="4408" w:type="dxa"/>
            <w:tcBorders>
              <w:top w:val="single" w:sz="4" w:space="0" w:color="auto"/>
              <w:bottom w:val="single" w:sz="12" w:space="0" w:color="auto"/>
            </w:tcBorders>
            <w:shd w:val="clear" w:color="auto" w:fill="auto"/>
            <w:vAlign w:val="bottom"/>
          </w:tcPr>
          <w:p w14:paraId="515AE544" w14:textId="77777777" w:rsidR="000C14E8" w:rsidRPr="000C14E8" w:rsidRDefault="000C14E8" w:rsidP="000C14E8">
            <w:pPr>
              <w:spacing w:before="80" w:after="80" w:line="200" w:lineRule="exact"/>
              <w:ind w:right="113"/>
              <w:rPr>
                <w:i/>
                <w:sz w:val="16"/>
              </w:rPr>
            </w:pPr>
            <w:r w:rsidRPr="000C14E8">
              <w:rPr>
                <w:i/>
                <w:sz w:val="16"/>
              </w:rPr>
              <w:t>Comentarios</w:t>
            </w:r>
          </w:p>
        </w:tc>
      </w:tr>
      <w:tr w:rsidR="000C14E8" w:rsidRPr="000C14E8" w14:paraId="14734015" w14:textId="77777777" w:rsidTr="000C14E8">
        <w:trPr>
          <w:trHeight w:hRule="exact" w:val="113"/>
          <w:tblHeader/>
        </w:trPr>
        <w:tc>
          <w:tcPr>
            <w:tcW w:w="1645" w:type="dxa"/>
            <w:tcBorders>
              <w:top w:val="single" w:sz="12" w:space="0" w:color="auto"/>
            </w:tcBorders>
            <w:shd w:val="clear" w:color="auto" w:fill="auto"/>
          </w:tcPr>
          <w:p w14:paraId="61301351" w14:textId="77777777" w:rsidR="000C14E8" w:rsidRPr="000C14E8" w:rsidRDefault="000C14E8" w:rsidP="000C14E8">
            <w:pPr>
              <w:spacing w:before="40" w:after="120"/>
              <w:ind w:right="113"/>
            </w:pPr>
          </w:p>
        </w:tc>
        <w:tc>
          <w:tcPr>
            <w:tcW w:w="1317" w:type="dxa"/>
            <w:tcBorders>
              <w:top w:val="single" w:sz="12" w:space="0" w:color="auto"/>
            </w:tcBorders>
            <w:shd w:val="clear" w:color="auto" w:fill="auto"/>
          </w:tcPr>
          <w:p w14:paraId="0C61E5C4" w14:textId="77777777" w:rsidR="000C14E8" w:rsidRPr="000C14E8" w:rsidRDefault="000C14E8" w:rsidP="000C14E8">
            <w:pPr>
              <w:spacing w:before="40" w:after="120"/>
              <w:ind w:right="113"/>
            </w:pPr>
          </w:p>
        </w:tc>
        <w:tc>
          <w:tcPr>
            <w:tcW w:w="4408" w:type="dxa"/>
            <w:tcBorders>
              <w:top w:val="single" w:sz="12" w:space="0" w:color="auto"/>
            </w:tcBorders>
            <w:shd w:val="clear" w:color="auto" w:fill="auto"/>
          </w:tcPr>
          <w:p w14:paraId="22B853CA" w14:textId="77777777" w:rsidR="000C14E8" w:rsidRPr="000C14E8" w:rsidRDefault="000C14E8" w:rsidP="000C14E8">
            <w:pPr>
              <w:spacing w:before="40" w:after="120"/>
              <w:ind w:right="113"/>
            </w:pPr>
          </w:p>
        </w:tc>
      </w:tr>
      <w:tr w:rsidR="000C14E8" w:rsidRPr="000C14E8" w14:paraId="2645A8CF" w14:textId="77777777" w:rsidTr="000C14E8">
        <w:tc>
          <w:tcPr>
            <w:tcW w:w="1645" w:type="dxa"/>
            <w:tcBorders>
              <w:bottom w:val="single" w:sz="12" w:space="0" w:color="auto"/>
            </w:tcBorders>
            <w:shd w:val="clear" w:color="auto" w:fill="auto"/>
          </w:tcPr>
          <w:p w14:paraId="33EC9ADC" w14:textId="77777777" w:rsidR="000C14E8" w:rsidRPr="000C14E8" w:rsidRDefault="000C14E8" w:rsidP="000C14E8">
            <w:pPr>
              <w:spacing w:before="40" w:after="120"/>
              <w:ind w:right="113"/>
            </w:pPr>
            <w:r w:rsidRPr="000C14E8">
              <w:t>111.13</w:t>
            </w:r>
          </w:p>
          <w:p w14:paraId="16FDB8D3" w14:textId="77777777" w:rsidR="000C14E8" w:rsidRPr="000C14E8" w:rsidRDefault="000C14E8" w:rsidP="000C14E8">
            <w:pPr>
              <w:spacing w:before="40" w:after="120"/>
              <w:ind w:right="113"/>
            </w:pPr>
            <w:r w:rsidRPr="000C14E8">
              <w:t>111.110</w:t>
            </w:r>
          </w:p>
        </w:tc>
        <w:tc>
          <w:tcPr>
            <w:tcW w:w="1317" w:type="dxa"/>
            <w:tcBorders>
              <w:bottom w:val="single" w:sz="12" w:space="0" w:color="auto"/>
            </w:tcBorders>
            <w:shd w:val="clear" w:color="auto" w:fill="auto"/>
          </w:tcPr>
          <w:p w14:paraId="1EA83465" w14:textId="77777777" w:rsidR="000C14E8" w:rsidRPr="000C14E8" w:rsidRDefault="000C14E8" w:rsidP="000C14E8">
            <w:pPr>
              <w:spacing w:before="40" w:after="120"/>
              <w:ind w:right="113"/>
            </w:pPr>
            <w:r w:rsidRPr="000C14E8">
              <w:t>Apoya</w:t>
            </w:r>
          </w:p>
        </w:tc>
        <w:tc>
          <w:tcPr>
            <w:tcW w:w="4408" w:type="dxa"/>
            <w:tcBorders>
              <w:bottom w:val="single" w:sz="12" w:space="0" w:color="auto"/>
            </w:tcBorders>
            <w:shd w:val="clear" w:color="auto" w:fill="auto"/>
          </w:tcPr>
          <w:p w14:paraId="35EED3F2" w14:textId="77777777" w:rsidR="000C14E8" w:rsidRPr="000C14E8" w:rsidRDefault="000C14E8" w:rsidP="000C14E8">
            <w:pPr>
              <w:spacing w:before="40" w:after="120"/>
              <w:ind w:right="113"/>
            </w:pPr>
          </w:p>
        </w:tc>
      </w:tr>
    </w:tbl>
    <w:p w14:paraId="5E4FDAE0" w14:textId="753159A9" w:rsidR="000C14E8" w:rsidRDefault="000C14E8" w:rsidP="000C14E8">
      <w:pPr>
        <w:pStyle w:val="H1G"/>
        <w:rPr>
          <w:bCs/>
          <w:lang w:val="es-PE"/>
        </w:rPr>
      </w:pPr>
      <w:r>
        <w:rPr>
          <w:lang w:val="es-PE"/>
        </w:rPr>
        <w:tab/>
        <w:t>E.</w:t>
      </w:r>
      <w:r>
        <w:rPr>
          <w:lang w:val="es-PE"/>
        </w:rPr>
        <w:tab/>
      </w:r>
      <w:r w:rsidRPr="000C14E8">
        <w:rPr>
          <w:bCs/>
          <w:lang w:val="es-PE"/>
        </w:rPr>
        <w:t>Uso de la fuerza</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3"/>
        <w:gridCol w:w="1434"/>
        <w:gridCol w:w="4293"/>
      </w:tblGrid>
      <w:tr w:rsidR="000C14E8" w:rsidRPr="000C14E8" w14:paraId="677FF357" w14:textId="77777777" w:rsidTr="000C14E8">
        <w:trPr>
          <w:tblHeader/>
        </w:trPr>
        <w:tc>
          <w:tcPr>
            <w:tcW w:w="1643" w:type="dxa"/>
            <w:tcBorders>
              <w:top w:val="single" w:sz="4" w:space="0" w:color="auto"/>
              <w:bottom w:val="single" w:sz="12" w:space="0" w:color="auto"/>
            </w:tcBorders>
            <w:shd w:val="clear" w:color="auto" w:fill="auto"/>
            <w:vAlign w:val="bottom"/>
          </w:tcPr>
          <w:p w14:paraId="593D8941" w14:textId="77777777" w:rsidR="000C14E8" w:rsidRPr="000C14E8" w:rsidRDefault="000C14E8" w:rsidP="000C14E8">
            <w:pPr>
              <w:spacing w:before="80" w:after="80" w:line="200" w:lineRule="exact"/>
              <w:ind w:right="113"/>
              <w:rPr>
                <w:i/>
                <w:sz w:val="16"/>
              </w:rPr>
            </w:pPr>
            <w:r w:rsidRPr="000C14E8">
              <w:rPr>
                <w:i/>
                <w:sz w:val="16"/>
              </w:rPr>
              <w:t>Recomendación</w:t>
            </w:r>
          </w:p>
        </w:tc>
        <w:tc>
          <w:tcPr>
            <w:tcW w:w="1434" w:type="dxa"/>
            <w:tcBorders>
              <w:top w:val="single" w:sz="4" w:space="0" w:color="auto"/>
              <w:bottom w:val="single" w:sz="12" w:space="0" w:color="auto"/>
            </w:tcBorders>
            <w:shd w:val="clear" w:color="auto" w:fill="auto"/>
            <w:vAlign w:val="bottom"/>
          </w:tcPr>
          <w:p w14:paraId="28C76316" w14:textId="77777777" w:rsidR="000C14E8" w:rsidRPr="000C14E8" w:rsidRDefault="000C14E8" w:rsidP="000C14E8">
            <w:pPr>
              <w:spacing w:before="80" w:after="80" w:line="200" w:lineRule="exact"/>
              <w:ind w:right="113"/>
              <w:rPr>
                <w:i/>
                <w:sz w:val="16"/>
              </w:rPr>
            </w:pPr>
            <w:r w:rsidRPr="000C14E8">
              <w:rPr>
                <w:i/>
                <w:sz w:val="16"/>
              </w:rPr>
              <w:t>Posición</w:t>
            </w:r>
          </w:p>
        </w:tc>
        <w:tc>
          <w:tcPr>
            <w:tcW w:w="4293" w:type="dxa"/>
            <w:tcBorders>
              <w:top w:val="single" w:sz="4" w:space="0" w:color="auto"/>
              <w:bottom w:val="single" w:sz="12" w:space="0" w:color="auto"/>
            </w:tcBorders>
            <w:shd w:val="clear" w:color="auto" w:fill="auto"/>
            <w:vAlign w:val="bottom"/>
          </w:tcPr>
          <w:p w14:paraId="04310455" w14:textId="77777777" w:rsidR="000C14E8" w:rsidRPr="000C14E8" w:rsidRDefault="000C14E8" w:rsidP="000C14E8">
            <w:pPr>
              <w:spacing w:before="80" w:after="80" w:line="200" w:lineRule="exact"/>
              <w:ind w:right="113"/>
              <w:rPr>
                <w:i/>
                <w:sz w:val="16"/>
              </w:rPr>
            </w:pPr>
            <w:r w:rsidRPr="000C14E8">
              <w:rPr>
                <w:i/>
                <w:sz w:val="16"/>
              </w:rPr>
              <w:t>Comentarios</w:t>
            </w:r>
          </w:p>
        </w:tc>
      </w:tr>
      <w:tr w:rsidR="000C14E8" w:rsidRPr="000C14E8" w14:paraId="559BCF48" w14:textId="77777777" w:rsidTr="000C14E8">
        <w:trPr>
          <w:trHeight w:hRule="exact" w:val="113"/>
          <w:tblHeader/>
        </w:trPr>
        <w:tc>
          <w:tcPr>
            <w:tcW w:w="1643" w:type="dxa"/>
            <w:tcBorders>
              <w:top w:val="single" w:sz="12" w:space="0" w:color="auto"/>
            </w:tcBorders>
            <w:shd w:val="clear" w:color="auto" w:fill="auto"/>
          </w:tcPr>
          <w:p w14:paraId="5E6CE111" w14:textId="77777777" w:rsidR="000C14E8" w:rsidRPr="000C14E8" w:rsidRDefault="000C14E8" w:rsidP="000C14E8">
            <w:pPr>
              <w:spacing w:before="40" w:after="120"/>
              <w:ind w:right="113"/>
            </w:pPr>
          </w:p>
        </w:tc>
        <w:tc>
          <w:tcPr>
            <w:tcW w:w="1434" w:type="dxa"/>
            <w:tcBorders>
              <w:top w:val="single" w:sz="12" w:space="0" w:color="auto"/>
            </w:tcBorders>
            <w:shd w:val="clear" w:color="auto" w:fill="auto"/>
          </w:tcPr>
          <w:p w14:paraId="120329B0" w14:textId="77777777" w:rsidR="000C14E8" w:rsidRPr="000C14E8" w:rsidRDefault="000C14E8" w:rsidP="000C14E8">
            <w:pPr>
              <w:spacing w:before="40" w:after="120"/>
              <w:ind w:right="113"/>
            </w:pPr>
          </w:p>
        </w:tc>
        <w:tc>
          <w:tcPr>
            <w:tcW w:w="4293" w:type="dxa"/>
            <w:tcBorders>
              <w:top w:val="single" w:sz="12" w:space="0" w:color="auto"/>
            </w:tcBorders>
            <w:shd w:val="clear" w:color="auto" w:fill="auto"/>
          </w:tcPr>
          <w:p w14:paraId="1E62F69E" w14:textId="77777777" w:rsidR="000C14E8" w:rsidRPr="000C14E8" w:rsidRDefault="000C14E8" w:rsidP="000C14E8">
            <w:pPr>
              <w:spacing w:before="40" w:after="120"/>
              <w:ind w:right="113"/>
            </w:pPr>
          </w:p>
        </w:tc>
      </w:tr>
      <w:tr w:rsidR="000C14E8" w:rsidRPr="000C14E8" w14:paraId="2A02A7F8" w14:textId="77777777" w:rsidTr="000C14E8">
        <w:tc>
          <w:tcPr>
            <w:tcW w:w="1643" w:type="dxa"/>
            <w:tcBorders>
              <w:bottom w:val="single" w:sz="12" w:space="0" w:color="auto"/>
            </w:tcBorders>
            <w:shd w:val="clear" w:color="auto" w:fill="auto"/>
          </w:tcPr>
          <w:p w14:paraId="32A72EDE" w14:textId="77777777" w:rsidR="000C14E8" w:rsidRPr="000C14E8" w:rsidRDefault="000C14E8" w:rsidP="000C14E8">
            <w:pPr>
              <w:spacing w:before="40" w:after="120"/>
              <w:ind w:right="113"/>
            </w:pPr>
            <w:r w:rsidRPr="000C14E8">
              <w:t>111.20</w:t>
            </w:r>
          </w:p>
          <w:p w14:paraId="52BDC174" w14:textId="77777777" w:rsidR="000C14E8" w:rsidRPr="000C14E8" w:rsidRDefault="000C14E8" w:rsidP="000C14E8">
            <w:pPr>
              <w:spacing w:before="40" w:after="120"/>
              <w:ind w:right="113"/>
            </w:pPr>
            <w:r w:rsidRPr="000C14E8">
              <w:t>111.21</w:t>
            </w:r>
          </w:p>
          <w:p w14:paraId="54B371EE" w14:textId="77777777" w:rsidR="000C14E8" w:rsidRPr="000C14E8" w:rsidRDefault="000C14E8" w:rsidP="000C14E8">
            <w:pPr>
              <w:spacing w:before="40" w:after="120"/>
              <w:ind w:right="113"/>
            </w:pPr>
            <w:r w:rsidRPr="000C14E8">
              <w:t>111.23</w:t>
            </w:r>
          </w:p>
          <w:p w14:paraId="03269BCB" w14:textId="77777777" w:rsidR="000C14E8" w:rsidRPr="000C14E8" w:rsidRDefault="000C14E8" w:rsidP="000C14E8">
            <w:pPr>
              <w:spacing w:before="40" w:after="120"/>
              <w:ind w:right="113"/>
            </w:pPr>
            <w:r w:rsidRPr="000C14E8">
              <w:t>111.24</w:t>
            </w:r>
          </w:p>
          <w:p w14:paraId="7B337689" w14:textId="77777777" w:rsidR="000C14E8" w:rsidRPr="000C14E8" w:rsidRDefault="000C14E8" w:rsidP="000C14E8">
            <w:pPr>
              <w:spacing w:before="40" w:after="120"/>
              <w:ind w:right="113"/>
            </w:pPr>
            <w:r w:rsidRPr="000C14E8">
              <w:lastRenderedPageBreak/>
              <w:t>111.26</w:t>
            </w:r>
          </w:p>
          <w:p w14:paraId="00576408" w14:textId="77777777" w:rsidR="000C14E8" w:rsidRPr="000C14E8" w:rsidRDefault="000C14E8" w:rsidP="000C14E8">
            <w:pPr>
              <w:spacing w:before="40" w:after="120"/>
              <w:ind w:right="113"/>
            </w:pPr>
            <w:r w:rsidRPr="000C14E8">
              <w:t>111.27</w:t>
            </w:r>
          </w:p>
          <w:p w14:paraId="33A52D7F" w14:textId="77777777" w:rsidR="000C14E8" w:rsidRPr="000C14E8" w:rsidRDefault="000C14E8" w:rsidP="000C14E8">
            <w:pPr>
              <w:spacing w:before="40" w:after="120"/>
              <w:ind w:right="113"/>
            </w:pPr>
            <w:r w:rsidRPr="000C14E8">
              <w:t>111.28</w:t>
            </w:r>
          </w:p>
          <w:p w14:paraId="62CF2984" w14:textId="77777777" w:rsidR="000C14E8" w:rsidRPr="000C14E8" w:rsidRDefault="000C14E8" w:rsidP="000C14E8">
            <w:pPr>
              <w:spacing w:before="40" w:after="120"/>
              <w:ind w:right="113"/>
            </w:pPr>
            <w:r w:rsidRPr="000C14E8">
              <w:t>111.29</w:t>
            </w:r>
          </w:p>
          <w:p w14:paraId="4078A703" w14:textId="77777777" w:rsidR="000C14E8" w:rsidRPr="000C14E8" w:rsidRDefault="000C14E8" w:rsidP="000C14E8">
            <w:pPr>
              <w:spacing w:before="40" w:after="120"/>
              <w:ind w:right="113"/>
            </w:pPr>
            <w:r w:rsidRPr="000C14E8">
              <w:t>111.30</w:t>
            </w:r>
          </w:p>
        </w:tc>
        <w:tc>
          <w:tcPr>
            <w:tcW w:w="1434" w:type="dxa"/>
            <w:tcBorders>
              <w:bottom w:val="single" w:sz="12" w:space="0" w:color="auto"/>
            </w:tcBorders>
            <w:shd w:val="clear" w:color="auto" w:fill="auto"/>
          </w:tcPr>
          <w:p w14:paraId="6FABF3CE" w14:textId="77777777" w:rsidR="000C14E8" w:rsidRPr="000C14E8" w:rsidRDefault="000C14E8" w:rsidP="000C14E8">
            <w:pPr>
              <w:spacing w:before="40" w:after="120"/>
              <w:ind w:right="113"/>
            </w:pPr>
            <w:r w:rsidRPr="000C14E8">
              <w:lastRenderedPageBreak/>
              <w:t>Apoya</w:t>
            </w:r>
          </w:p>
        </w:tc>
        <w:tc>
          <w:tcPr>
            <w:tcW w:w="4293" w:type="dxa"/>
            <w:tcBorders>
              <w:bottom w:val="single" w:sz="12" w:space="0" w:color="auto"/>
            </w:tcBorders>
            <w:shd w:val="clear" w:color="auto" w:fill="auto"/>
          </w:tcPr>
          <w:p w14:paraId="69562CD4" w14:textId="4FCE9C24" w:rsidR="000C14E8" w:rsidRPr="000C14E8" w:rsidRDefault="000C14E8" w:rsidP="000C14E8">
            <w:pPr>
              <w:spacing w:before="40" w:after="120"/>
              <w:ind w:right="113"/>
            </w:pPr>
            <w:r w:rsidRPr="000C14E8">
              <w:t xml:space="preserve">Conforme a las disposiciones desarrolladas en los Decretos Legislativos </w:t>
            </w:r>
            <w:proofErr w:type="spellStart"/>
            <w:r w:rsidRPr="000C14E8">
              <w:t>N°</w:t>
            </w:r>
            <w:proofErr w:type="spellEnd"/>
            <w:r w:rsidRPr="000C14E8">
              <w:t xml:space="preserve"> 1095</w:t>
            </w:r>
            <w:r w:rsidR="00C306B5">
              <w:rPr>
                <w:rStyle w:val="EndnoteReference"/>
              </w:rPr>
              <w:endnoteReference w:id="10"/>
            </w:r>
            <w:r w:rsidRPr="000C14E8">
              <w:t xml:space="preserve"> y 1186</w:t>
            </w:r>
            <w:r w:rsidR="00C306B5">
              <w:rPr>
                <w:rStyle w:val="EndnoteReference"/>
              </w:rPr>
              <w:endnoteReference w:id="11"/>
            </w:r>
            <w:r w:rsidRPr="000C14E8">
              <w:t xml:space="preserve">, el Perú se compromete a continuar impulsando todas las acciones necesarias para garantizar el uso de la </w:t>
            </w:r>
            <w:r w:rsidRPr="000C14E8">
              <w:lastRenderedPageBreak/>
              <w:t>fuerza conforme a los estándares internacionales en materia de derechos humanos.</w:t>
            </w:r>
          </w:p>
        </w:tc>
      </w:tr>
    </w:tbl>
    <w:p w14:paraId="0149AC0C" w14:textId="6335C619" w:rsidR="000C14E8" w:rsidRDefault="000C14E8" w:rsidP="000C14E8">
      <w:pPr>
        <w:pStyle w:val="H1G"/>
        <w:rPr>
          <w:bCs/>
          <w:lang w:val="es-PE"/>
        </w:rPr>
      </w:pPr>
      <w:r>
        <w:rPr>
          <w:lang w:val="es-PE"/>
        </w:rPr>
        <w:lastRenderedPageBreak/>
        <w:tab/>
        <w:t>F.</w:t>
      </w:r>
      <w:r>
        <w:rPr>
          <w:lang w:val="es-PE"/>
        </w:rPr>
        <w:tab/>
      </w:r>
      <w:r w:rsidRPr="000C14E8">
        <w:rPr>
          <w:bCs/>
          <w:lang w:val="es-PE"/>
        </w:rPr>
        <w:t>Independencia y autonomía de entidades del Estado</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5"/>
        <w:gridCol w:w="1439"/>
        <w:gridCol w:w="4286"/>
      </w:tblGrid>
      <w:tr w:rsidR="000C14E8" w:rsidRPr="000C14E8" w14:paraId="776BDBD5" w14:textId="77777777" w:rsidTr="000C14E8">
        <w:trPr>
          <w:tblHeader/>
        </w:trPr>
        <w:tc>
          <w:tcPr>
            <w:tcW w:w="1645" w:type="dxa"/>
            <w:tcBorders>
              <w:top w:val="single" w:sz="4" w:space="0" w:color="auto"/>
              <w:bottom w:val="single" w:sz="12" w:space="0" w:color="auto"/>
            </w:tcBorders>
            <w:shd w:val="clear" w:color="auto" w:fill="auto"/>
            <w:vAlign w:val="bottom"/>
          </w:tcPr>
          <w:p w14:paraId="2C3C413D" w14:textId="77777777" w:rsidR="000C14E8" w:rsidRPr="000C14E8" w:rsidRDefault="000C14E8" w:rsidP="000C14E8">
            <w:pPr>
              <w:spacing w:before="80" w:after="80" w:line="200" w:lineRule="exact"/>
              <w:ind w:right="113"/>
              <w:rPr>
                <w:i/>
                <w:sz w:val="16"/>
              </w:rPr>
            </w:pPr>
            <w:r w:rsidRPr="000C14E8">
              <w:rPr>
                <w:i/>
                <w:sz w:val="16"/>
              </w:rPr>
              <w:t>Recomendación</w:t>
            </w:r>
          </w:p>
        </w:tc>
        <w:tc>
          <w:tcPr>
            <w:tcW w:w="1439" w:type="dxa"/>
            <w:tcBorders>
              <w:top w:val="single" w:sz="4" w:space="0" w:color="auto"/>
              <w:bottom w:val="single" w:sz="12" w:space="0" w:color="auto"/>
            </w:tcBorders>
            <w:shd w:val="clear" w:color="auto" w:fill="auto"/>
            <w:vAlign w:val="bottom"/>
          </w:tcPr>
          <w:p w14:paraId="1E9F9010" w14:textId="77777777" w:rsidR="000C14E8" w:rsidRPr="000C14E8" w:rsidRDefault="000C14E8" w:rsidP="000C14E8">
            <w:pPr>
              <w:spacing w:before="80" w:after="80" w:line="200" w:lineRule="exact"/>
              <w:ind w:right="113"/>
              <w:rPr>
                <w:i/>
                <w:sz w:val="16"/>
              </w:rPr>
            </w:pPr>
            <w:r w:rsidRPr="000C14E8">
              <w:rPr>
                <w:i/>
                <w:sz w:val="16"/>
              </w:rPr>
              <w:t>Posición</w:t>
            </w:r>
          </w:p>
        </w:tc>
        <w:tc>
          <w:tcPr>
            <w:tcW w:w="4286" w:type="dxa"/>
            <w:tcBorders>
              <w:top w:val="single" w:sz="4" w:space="0" w:color="auto"/>
              <w:bottom w:val="single" w:sz="12" w:space="0" w:color="auto"/>
            </w:tcBorders>
            <w:shd w:val="clear" w:color="auto" w:fill="auto"/>
            <w:vAlign w:val="bottom"/>
          </w:tcPr>
          <w:p w14:paraId="6A66738D" w14:textId="77777777" w:rsidR="000C14E8" w:rsidRPr="000C14E8" w:rsidRDefault="000C14E8" w:rsidP="000C14E8">
            <w:pPr>
              <w:spacing w:before="80" w:after="80" w:line="200" w:lineRule="exact"/>
              <w:ind w:right="113"/>
              <w:rPr>
                <w:i/>
                <w:sz w:val="16"/>
              </w:rPr>
            </w:pPr>
            <w:r w:rsidRPr="000C14E8">
              <w:rPr>
                <w:i/>
                <w:sz w:val="16"/>
              </w:rPr>
              <w:t>Comentarios</w:t>
            </w:r>
          </w:p>
        </w:tc>
      </w:tr>
      <w:tr w:rsidR="000C14E8" w:rsidRPr="000C14E8" w14:paraId="627307A4" w14:textId="77777777" w:rsidTr="000C14E8">
        <w:trPr>
          <w:trHeight w:hRule="exact" w:val="113"/>
          <w:tblHeader/>
        </w:trPr>
        <w:tc>
          <w:tcPr>
            <w:tcW w:w="1645" w:type="dxa"/>
            <w:tcBorders>
              <w:top w:val="single" w:sz="12" w:space="0" w:color="auto"/>
            </w:tcBorders>
            <w:shd w:val="clear" w:color="auto" w:fill="auto"/>
          </w:tcPr>
          <w:p w14:paraId="1D0454BF" w14:textId="77777777" w:rsidR="000C14E8" w:rsidRPr="000C14E8" w:rsidRDefault="000C14E8" w:rsidP="000C14E8">
            <w:pPr>
              <w:spacing w:before="40" w:after="120"/>
              <w:ind w:right="113"/>
            </w:pPr>
          </w:p>
        </w:tc>
        <w:tc>
          <w:tcPr>
            <w:tcW w:w="1439" w:type="dxa"/>
            <w:tcBorders>
              <w:top w:val="single" w:sz="12" w:space="0" w:color="auto"/>
            </w:tcBorders>
            <w:shd w:val="clear" w:color="auto" w:fill="auto"/>
          </w:tcPr>
          <w:p w14:paraId="4A33D810" w14:textId="77777777" w:rsidR="000C14E8" w:rsidRPr="000C14E8" w:rsidRDefault="000C14E8" w:rsidP="000C14E8">
            <w:pPr>
              <w:spacing w:before="40" w:after="120"/>
              <w:ind w:right="113"/>
            </w:pPr>
          </w:p>
        </w:tc>
        <w:tc>
          <w:tcPr>
            <w:tcW w:w="4286" w:type="dxa"/>
            <w:tcBorders>
              <w:top w:val="single" w:sz="12" w:space="0" w:color="auto"/>
            </w:tcBorders>
            <w:shd w:val="clear" w:color="auto" w:fill="auto"/>
          </w:tcPr>
          <w:p w14:paraId="41F4ABE3" w14:textId="77777777" w:rsidR="000C14E8" w:rsidRPr="000C14E8" w:rsidRDefault="000C14E8" w:rsidP="000C14E8">
            <w:pPr>
              <w:spacing w:before="40" w:after="120"/>
              <w:ind w:right="113"/>
            </w:pPr>
          </w:p>
        </w:tc>
      </w:tr>
      <w:tr w:rsidR="000C14E8" w:rsidRPr="000C14E8" w14:paraId="6E8A01EF" w14:textId="77777777" w:rsidTr="000C14E8">
        <w:tc>
          <w:tcPr>
            <w:tcW w:w="1645" w:type="dxa"/>
            <w:tcBorders>
              <w:bottom w:val="single" w:sz="12" w:space="0" w:color="auto"/>
            </w:tcBorders>
            <w:shd w:val="clear" w:color="auto" w:fill="auto"/>
          </w:tcPr>
          <w:p w14:paraId="7FDD84FE" w14:textId="77777777" w:rsidR="000C14E8" w:rsidRPr="000C14E8" w:rsidRDefault="000C14E8" w:rsidP="000C14E8">
            <w:pPr>
              <w:spacing w:before="40" w:after="120"/>
              <w:ind w:right="113"/>
            </w:pPr>
            <w:r w:rsidRPr="000C14E8">
              <w:t>111.31</w:t>
            </w:r>
          </w:p>
          <w:p w14:paraId="704405F9" w14:textId="77777777" w:rsidR="000C14E8" w:rsidRPr="000C14E8" w:rsidRDefault="000C14E8" w:rsidP="000C14E8">
            <w:pPr>
              <w:spacing w:before="40" w:after="120"/>
              <w:ind w:right="113"/>
            </w:pPr>
            <w:r w:rsidRPr="000C14E8">
              <w:t>111.34</w:t>
            </w:r>
          </w:p>
          <w:p w14:paraId="7CA60B7A" w14:textId="77777777" w:rsidR="000C14E8" w:rsidRPr="000C14E8" w:rsidRDefault="000C14E8" w:rsidP="000C14E8">
            <w:pPr>
              <w:spacing w:before="40" w:after="120"/>
              <w:ind w:right="113"/>
            </w:pPr>
            <w:r w:rsidRPr="000C14E8">
              <w:t>111.35</w:t>
            </w:r>
          </w:p>
          <w:p w14:paraId="0913486D" w14:textId="77777777" w:rsidR="000C14E8" w:rsidRPr="000C14E8" w:rsidRDefault="000C14E8" w:rsidP="000C14E8">
            <w:pPr>
              <w:spacing w:before="40" w:after="120"/>
              <w:ind w:right="113"/>
            </w:pPr>
            <w:r w:rsidRPr="000C14E8">
              <w:t>111.36</w:t>
            </w:r>
          </w:p>
          <w:p w14:paraId="43CE2FE0" w14:textId="77777777" w:rsidR="000C14E8" w:rsidRPr="000C14E8" w:rsidRDefault="000C14E8" w:rsidP="000C14E8">
            <w:pPr>
              <w:spacing w:before="40" w:after="120"/>
              <w:ind w:right="113"/>
            </w:pPr>
            <w:r w:rsidRPr="000C14E8">
              <w:t>111.40</w:t>
            </w:r>
          </w:p>
          <w:p w14:paraId="580F79A4" w14:textId="77777777" w:rsidR="000C14E8" w:rsidRPr="000C14E8" w:rsidRDefault="000C14E8" w:rsidP="000C14E8">
            <w:pPr>
              <w:spacing w:before="40" w:after="120"/>
              <w:ind w:right="113"/>
            </w:pPr>
            <w:r w:rsidRPr="000C14E8">
              <w:t>111.53</w:t>
            </w:r>
          </w:p>
          <w:p w14:paraId="64BA7D8A" w14:textId="77777777" w:rsidR="000C14E8" w:rsidRPr="000C14E8" w:rsidRDefault="000C14E8" w:rsidP="000C14E8">
            <w:pPr>
              <w:spacing w:before="40" w:after="120"/>
              <w:ind w:right="113"/>
            </w:pPr>
            <w:r w:rsidRPr="000C14E8">
              <w:t>111.54</w:t>
            </w:r>
          </w:p>
          <w:p w14:paraId="616F05BA" w14:textId="77777777" w:rsidR="000C14E8" w:rsidRPr="000C14E8" w:rsidRDefault="000C14E8" w:rsidP="000C14E8">
            <w:pPr>
              <w:spacing w:before="40" w:after="120"/>
              <w:ind w:right="113"/>
            </w:pPr>
            <w:r w:rsidRPr="000C14E8">
              <w:t>111.55</w:t>
            </w:r>
          </w:p>
          <w:p w14:paraId="7B3B8E4D" w14:textId="77777777" w:rsidR="000C14E8" w:rsidRPr="000C14E8" w:rsidRDefault="000C14E8" w:rsidP="000C14E8">
            <w:pPr>
              <w:spacing w:before="40" w:after="120"/>
              <w:ind w:right="113"/>
            </w:pPr>
            <w:r w:rsidRPr="000C14E8">
              <w:t>111.56</w:t>
            </w:r>
          </w:p>
        </w:tc>
        <w:tc>
          <w:tcPr>
            <w:tcW w:w="1439" w:type="dxa"/>
            <w:tcBorders>
              <w:bottom w:val="single" w:sz="12" w:space="0" w:color="auto"/>
            </w:tcBorders>
            <w:shd w:val="clear" w:color="auto" w:fill="auto"/>
          </w:tcPr>
          <w:p w14:paraId="36CF2918" w14:textId="77777777" w:rsidR="000C14E8" w:rsidRPr="000C14E8" w:rsidRDefault="000C14E8" w:rsidP="000C14E8">
            <w:pPr>
              <w:spacing w:before="40" w:after="120"/>
              <w:ind w:right="113"/>
            </w:pPr>
            <w:r w:rsidRPr="000C14E8">
              <w:t>Apoya</w:t>
            </w:r>
          </w:p>
        </w:tc>
        <w:tc>
          <w:tcPr>
            <w:tcW w:w="4286" w:type="dxa"/>
            <w:tcBorders>
              <w:bottom w:val="single" w:sz="12" w:space="0" w:color="auto"/>
            </w:tcBorders>
            <w:shd w:val="clear" w:color="auto" w:fill="auto"/>
          </w:tcPr>
          <w:p w14:paraId="446840C8" w14:textId="77777777" w:rsidR="000C14E8" w:rsidRPr="000C14E8" w:rsidRDefault="000C14E8" w:rsidP="000C14E8">
            <w:pPr>
              <w:spacing w:before="40" w:after="120"/>
              <w:ind w:right="113"/>
            </w:pPr>
          </w:p>
        </w:tc>
      </w:tr>
    </w:tbl>
    <w:p w14:paraId="20FDA80B" w14:textId="2028440C" w:rsidR="000C14E8" w:rsidRDefault="000C14E8" w:rsidP="000C14E8">
      <w:pPr>
        <w:pStyle w:val="H1G"/>
        <w:rPr>
          <w:bCs/>
          <w:lang w:val="es-PE"/>
        </w:rPr>
      </w:pPr>
      <w:r>
        <w:rPr>
          <w:lang w:val="es-PE"/>
        </w:rPr>
        <w:tab/>
        <w:t>G.</w:t>
      </w:r>
      <w:r>
        <w:rPr>
          <w:lang w:val="es-PE"/>
        </w:rPr>
        <w:tab/>
      </w:r>
      <w:r w:rsidRPr="000C14E8">
        <w:rPr>
          <w:bCs/>
          <w:lang w:val="es-PE"/>
        </w:rPr>
        <w:t>Lucha contra la corrupción, la delincuencia organizada transnacional y trata de personas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2"/>
        <w:gridCol w:w="1492"/>
        <w:gridCol w:w="4286"/>
      </w:tblGrid>
      <w:tr w:rsidR="000C14E8" w:rsidRPr="000C14E8" w14:paraId="6F7FF683" w14:textId="77777777" w:rsidTr="000C14E8">
        <w:trPr>
          <w:tblHeader/>
        </w:trPr>
        <w:tc>
          <w:tcPr>
            <w:tcW w:w="1592" w:type="dxa"/>
            <w:tcBorders>
              <w:top w:val="single" w:sz="4" w:space="0" w:color="auto"/>
              <w:bottom w:val="single" w:sz="12" w:space="0" w:color="auto"/>
            </w:tcBorders>
            <w:shd w:val="clear" w:color="auto" w:fill="auto"/>
            <w:vAlign w:val="bottom"/>
          </w:tcPr>
          <w:p w14:paraId="797B9855" w14:textId="77777777" w:rsidR="000C14E8" w:rsidRPr="000C14E8" w:rsidRDefault="000C14E8" w:rsidP="000C14E8">
            <w:pPr>
              <w:spacing w:before="80" w:after="80" w:line="200" w:lineRule="exact"/>
              <w:ind w:right="113"/>
              <w:rPr>
                <w:i/>
                <w:sz w:val="16"/>
              </w:rPr>
            </w:pPr>
            <w:r w:rsidRPr="000C14E8">
              <w:rPr>
                <w:i/>
                <w:sz w:val="16"/>
              </w:rPr>
              <w:t>Recomendación</w:t>
            </w:r>
          </w:p>
        </w:tc>
        <w:tc>
          <w:tcPr>
            <w:tcW w:w="1492" w:type="dxa"/>
            <w:tcBorders>
              <w:top w:val="single" w:sz="4" w:space="0" w:color="auto"/>
              <w:bottom w:val="single" w:sz="12" w:space="0" w:color="auto"/>
            </w:tcBorders>
            <w:shd w:val="clear" w:color="auto" w:fill="auto"/>
            <w:vAlign w:val="bottom"/>
          </w:tcPr>
          <w:p w14:paraId="158FE0EE" w14:textId="77777777" w:rsidR="000C14E8" w:rsidRPr="000C14E8" w:rsidRDefault="000C14E8" w:rsidP="000C14E8">
            <w:pPr>
              <w:spacing w:before="80" w:after="80" w:line="200" w:lineRule="exact"/>
              <w:ind w:right="113"/>
              <w:rPr>
                <w:i/>
                <w:sz w:val="16"/>
              </w:rPr>
            </w:pPr>
            <w:r w:rsidRPr="000C14E8">
              <w:rPr>
                <w:i/>
                <w:sz w:val="16"/>
              </w:rPr>
              <w:t>Posición</w:t>
            </w:r>
          </w:p>
        </w:tc>
        <w:tc>
          <w:tcPr>
            <w:tcW w:w="4286" w:type="dxa"/>
            <w:tcBorders>
              <w:top w:val="single" w:sz="4" w:space="0" w:color="auto"/>
              <w:bottom w:val="single" w:sz="12" w:space="0" w:color="auto"/>
            </w:tcBorders>
            <w:shd w:val="clear" w:color="auto" w:fill="auto"/>
            <w:vAlign w:val="bottom"/>
          </w:tcPr>
          <w:p w14:paraId="4BB4BB3D" w14:textId="77777777" w:rsidR="000C14E8" w:rsidRPr="000C14E8" w:rsidRDefault="000C14E8" w:rsidP="000C14E8">
            <w:pPr>
              <w:spacing w:before="80" w:after="80" w:line="200" w:lineRule="exact"/>
              <w:ind w:right="113"/>
              <w:rPr>
                <w:i/>
                <w:sz w:val="16"/>
              </w:rPr>
            </w:pPr>
            <w:r w:rsidRPr="000C14E8">
              <w:rPr>
                <w:i/>
                <w:sz w:val="16"/>
              </w:rPr>
              <w:t>Comentarios</w:t>
            </w:r>
          </w:p>
        </w:tc>
      </w:tr>
      <w:tr w:rsidR="000C14E8" w:rsidRPr="000C14E8" w14:paraId="410A5A0C" w14:textId="77777777" w:rsidTr="000C14E8">
        <w:trPr>
          <w:trHeight w:hRule="exact" w:val="113"/>
          <w:tblHeader/>
        </w:trPr>
        <w:tc>
          <w:tcPr>
            <w:tcW w:w="1592" w:type="dxa"/>
            <w:tcBorders>
              <w:top w:val="single" w:sz="12" w:space="0" w:color="auto"/>
            </w:tcBorders>
            <w:shd w:val="clear" w:color="auto" w:fill="auto"/>
          </w:tcPr>
          <w:p w14:paraId="090B2CD4" w14:textId="77777777" w:rsidR="000C14E8" w:rsidRPr="000C14E8" w:rsidRDefault="000C14E8" w:rsidP="000C14E8">
            <w:pPr>
              <w:spacing w:before="40" w:after="120"/>
              <w:ind w:right="113"/>
            </w:pPr>
          </w:p>
        </w:tc>
        <w:tc>
          <w:tcPr>
            <w:tcW w:w="1492" w:type="dxa"/>
            <w:tcBorders>
              <w:top w:val="single" w:sz="12" w:space="0" w:color="auto"/>
            </w:tcBorders>
            <w:shd w:val="clear" w:color="auto" w:fill="auto"/>
          </w:tcPr>
          <w:p w14:paraId="0CC38368" w14:textId="77777777" w:rsidR="000C14E8" w:rsidRPr="000C14E8" w:rsidRDefault="000C14E8" w:rsidP="000C14E8">
            <w:pPr>
              <w:spacing w:before="40" w:after="120"/>
              <w:ind w:right="113"/>
            </w:pPr>
          </w:p>
        </w:tc>
        <w:tc>
          <w:tcPr>
            <w:tcW w:w="4286" w:type="dxa"/>
            <w:tcBorders>
              <w:top w:val="single" w:sz="12" w:space="0" w:color="auto"/>
            </w:tcBorders>
            <w:shd w:val="clear" w:color="auto" w:fill="auto"/>
          </w:tcPr>
          <w:p w14:paraId="4394DDB6" w14:textId="77777777" w:rsidR="000C14E8" w:rsidRPr="000C14E8" w:rsidRDefault="000C14E8" w:rsidP="000C14E8">
            <w:pPr>
              <w:spacing w:before="40" w:after="120"/>
              <w:ind w:right="113"/>
            </w:pPr>
          </w:p>
        </w:tc>
      </w:tr>
      <w:tr w:rsidR="000C14E8" w:rsidRPr="000C14E8" w14:paraId="0ECA4389" w14:textId="77777777" w:rsidTr="000C14E8">
        <w:tc>
          <w:tcPr>
            <w:tcW w:w="1592" w:type="dxa"/>
            <w:tcBorders>
              <w:bottom w:val="single" w:sz="12" w:space="0" w:color="auto"/>
            </w:tcBorders>
            <w:shd w:val="clear" w:color="auto" w:fill="auto"/>
          </w:tcPr>
          <w:p w14:paraId="1B20FA40" w14:textId="77777777" w:rsidR="000C14E8" w:rsidRPr="000C14E8" w:rsidRDefault="000C14E8" w:rsidP="000C14E8">
            <w:pPr>
              <w:spacing w:before="40" w:after="120"/>
              <w:ind w:right="113"/>
            </w:pPr>
            <w:r w:rsidRPr="000C14E8">
              <w:t>111.32</w:t>
            </w:r>
          </w:p>
          <w:p w14:paraId="5B2D2A10" w14:textId="77777777" w:rsidR="000C14E8" w:rsidRPr="000C14E8" w:rsidRDefault="000C14E8" w:rsidP="000C14E8">
            <w:pPr>
              <w:spacing w:before="40" w:after="120"/>
              <w:ind w:right="113"/>
            </w:pPr>
            <w:r w:rsidRPr="000C14E8">
              <w:t>111.33</w:t>
            </w:r>
          </w:p>
          <w:p w14:paraId="6EB38638" w14:textId="77777777" w:rsidR="000C14E8" w:rsidRPr="000C14E8" w:rsidRDefault="000C14E8" w:rsidP="000C14E8">
            <w:pPr>
              <w:spacing w:before="40" w:after="120"/>
              <w:ind w:right="113"/>
            </w:pPr>
            <w:r w:rsidRPr="000C14E8">
              <w:t>111.42</w:t>
            </w:r>
          </w:p>
          <w:p w14:paraId="78310D73" w14:textId="77777777" w:rsidR="000C14E8" w:rsidRPr="000C14E8" w:rsidRDefault="000C14E8" w:rsidP="000C14E8">
            <w:pPr>
              <w:spacing w:before="40" w:after="120"/>
              <w:ind w:right="113"/>
            </w:pPr>
            <w:r w:rsidRPr="000C14E8">
              <w:t>111.65</w:t>
            </w:r>
          </w:p>
          <w:p w14:paraId="0CDDDF67" w14:textId="77777777" w:rsidR="000C14E8" w:rsidRPr="000C14E8" w:rsidRDefault="000C14E8" w:rsidP="000C14E8">
            <w:pPr>
              <w:spacing w:before="40" w:after="120"/>
              <w:ind w:right="113"/>
            </w:pPr>
            <w:r w:rsidRPr="000C14E8">
              <w:t>111.66</w:t>
            </w:r>
          </w:p>
          <w:p w14:paraId="36D0382D" w14:textId="77777777" w:rsidR="000C14E8" w:rsidRPr="000C14E8" w:rsidRDefault="000C14E8" w:rsidP="000C14E8">
            <w:pPr>
              <w:spacing w:before="40" w:after="120"/>
              <w:ind w:right="113"/>
            </w:pPr>
            <w:r w:rsidRPr="000C14E8">
              <w:t>111.67</w:t>
            </w:r>
          </w:p>
          <w:p w14:paraId="6D07F44E" w14:textId="77777777" w:rsidR="000C14E8" w:rsidRPr="000C14E8" w:rsidRDefault="000C14E8" w:rsidP="000C14E8">
            <w:pPr>
              <w:spacing w:before="40" w:after="120"/>
              <w:ind w:right="113"/>
            </w:pPr>
            <w:r w:rsidRPr="000C14E8">
              <w:t>111.68</w:t>
            </w:r>
          </w:p>
          <w:p w14:paraId="65344BFF" w14:textId="77777777" w:rsidR="000C14E8" w:rsidRPr="000C14E8" w:rsidRDefault="000C14E8" w:rsidP="000C14E8">
            <w:pPr>
              <w:spacing w:before="40" w:after="120"/>
              <w:ind w:right="113"/>
            </w:pPr>
            <w:r w:rsidRPr="000C14E8">
              <w:t>111.69</w:t>
            </w:r>
          </w:p>
          <w:p w14:paraId="225452A0" w14:textId="77777777" w:rsidR="000C14E8" w:rsidRPr="000C14E8" w:rsidRDefault="000C14E8" w:rsidP="000C14E8">
            <w:pPr>
              <w:spacing w:before="40" w:after="120"/>
              <w:ind w:right="113"/>
            </w:pPr>
            <w:r w:rsidRPr="000C14E8">
              <w:t>111.70</w:t>
            </w:r>
          </w:p>
          <w:p w14:paraId="17F28790" w14:textId="77777777" w:rsidR="000C14E8" w:rsidRPr="000C14E8" w:rsidRDefault="000C14E8" w:rsidP="000C14E8">
            <w:pPr>
              <w:spacing w:before="40" w:after="120"/>
              <w:ind w:right="113"/>
            </w:pPr>
            <w:r w:rsidRPr="000C14E8">
              <w:t>111.71</w:t>
            </w:r>
          </w:p>
          <w:p w14:paraId="4E476512" w14:textId="77777777" w:rsidR="000C14E8" w:rsidRPr="000C14E8" w:rsidRDefault="000C14E8" w:rsidP="000C14E8">
            <w:pPr>
              <w:spacing w:before="40" w:after="120"/>
              <w:ind w:right="113"/>
            </w:pPr>
            <w:r w:rsidRPr="000C14E8">
              <w:t>111.72</w:t>
            </w:r>
          </w:p>
          <w:p w14:paraId="23FD4180" w14:textId="77777777" w:rsidR="000C14E8" w:rsidRPr="000C14E8" w:rsidRDefault="000C14E8" w:rsidP="000C14E8">
            <w:pPr>
              <w:spacing w:before="40" w:after="120"/>
              <w:ind w:right="113"/>
            </w:pPr>
            <w:r w:rsidRPr="000C14E8">
              <w:t>111.73</w:t>
            </w:r>
          </w:p>
          <w:p w14:paraId="45C69CCC" w14:textId="77777777" w:rsidR="000C14E8" w:rsidRPr="000C14E8" w:rsidRDefault="000C14E8" w:rsidP="000C14E8">
            <w:pPr>
              <w:spacing w:before="40" w:after="120"/>
              <w:ind w:right="113"/>
            </w:pPr>
            <w:r w:rsidRPr="000C14E8">
              <w:t>111.74</w:t>
            </w:r>
          </w:p>
          <w:p w14:paraId="6F7A1B05" w14:textId="77777777" w:rsidR="000C14E8" w:rsidRPr="000C14E8" w:rsidRDefault="000C14E8" w:rsidP="000C14E8">
            <w:pPr>
              <w:spacing w:before="40" w:after="120"/>
              <w:ind w:right="113"/>
            </w:pPr>
            <w:r w:rsidRPr="000C14E8">
              <w:t>111.75</w:t>
            </w:r>
          </w:p>
        </w:tc>
        <w:tc>
          <w:tcPr>
            <w:tcW w:w="1492" w:type="dxa"/>
            <w:tcBorders>
              <w:bottom w:val="single" w:sz="12" w:space="0" w:color="auto"/>
            </w:tcBorders>
            <w:shd w:val="clear" w:color="auto" w:fill="auto"/>
          </w:tcPr>
          <w:p w14:paraId="3A6B71A6" w14:textId="77777777" w:rsidR="000C14E8" w:rsidRPr="000C14E8" w:rsidRDefault="000C14E8" w:rsidP="000C14E8">
            <w:pPr>
              <w:spacing w:before="40" w:after="120"/>
              <w:ind w:right="113"/>
            </w:pPr>
            <w:r w:rsidRPr="000C14E8">
              <w:t>Apoya</w:t>
            </w:r>
          </w:p>
        </w:tc>
        <w:tc>
          <w:tcPr>
            <w:tcW w:w="4286" w:type="dxa"/>
            <w:tcBorders>
              <w:bottom w:val="single" w:sz="12" w:space="0" w:color="auto"/>
            </w:tcBorders>
            <w:shd w:val="clear" w:color="auto" w:fill="auto"/>
          </w:tcPr>
          <w:p w14:paraId="46F3B742" w14:textId="77777777" w:rsidR="000C14E8" w:rsidRPr="000C14E8" w:rsidRDefault="000C14E8" w:rsidP="000C14E8">
            <w:pPr>
              <w:spacing w:before="40" w:after="120"/>
              <w:ind w:right="113"/>
            </w:pPr>
          </w:p>
        </w:tc>
      </w:tr>
    </w:tbl>
    <w:p w14:paraId="43C7491D" w14:textId="021B243B" w:rsidR="000C14E8" w:rsidRDefault="000C14E8" w:rsidP="000C14E8">
      <w:pPr>
        <w:pStyle w:val="H1G"/>
        <w:rPr>
          <w:bCs/>
          <w:lang w:val="es-PE"/>
        </w:rPr>
      </w:pPr>
      <w:r>
        <w:rPr>
          <w:lang w:val="es-PE"/>
        </w:rPr>
        <w:lastRenderedPageBreak/>
        <w:tab/>
        <w:t>H.</w:t>
      </w:r>
      <w:r>
        <w:rPr>
          <w:lang w:val="es-PE"/>
        </w:rPr>
        <w:tab/>
      </w:r>
      <w:r w:rsidRPr="000C14E8">
        <w:rPr>
          <w:bCs/>
          <w:lang w:val="es-PE"/>
        </w:rPr>
        <w:t>Investigación de denuncias en contextos de protestas sociales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9"/>
        <w:gridCol w:w="1363"/>
        <w:gridCol w:w="4298"/>
      </w:tblGrid>
      <w:tr w:rsidR="000C14E8" w:rsidRPr="000C14E8" w14:paraId="2AEF79B0" w14:textId="77777777" w:rsidTr="000C14E8">
        <w:trPr>
          <w:tblHeader/>
        </w:trPr>
        <w:tc>
          <w:tcPr>
            <w:tcW w:w="1709" w:type="dxa"/>
            <w:tcBorders>
              <w:top w:val="single" w:sz="4" w:space="0" w:color="auto"/>
              <w:bottom w:val="single" w:sz="12" w:space="0" w:color="auto"/>
            </w:tcBorders>
            <w:shd w:val="clear" w:color="auto" w:fill="auto"/>
            <w:vAlign w:val="bottom"/>
          </w:tcPr>
          <w:p w14:paraId="3105D315" w14:textId="77777777" w:rsidR="000C14E8" w:rsidRPr="000C14E8" w:rsidRDefault="000C14E8" w:rsidP="000C14E8">
            <w:pPr>
              <w:spacing w:before="80" w:after="80" w:line="200" w:lineRule="exact"/>
              <w:ind w:right="113"/>
              <w:rPr>
                <w:i/>
                <w:sz w:val="16"/>
              </w:rPr>
            </w:pPr>
            <w:r w:rsidRPr="000C14E8">
              <w:rPr>
                <w:i/>
                <w:sz w:val="16"/>
              </w:rPr>
              <w:t>Recomendación</w:t>
            </w:r>
          </w:p>
        </w:tc>
        <w:tc>
          <w:tcPr>
            <w:tcW w:w="1363" w:type="dxa"/>
            <w:tcBorders>
              <w:top w:val="single" w:sz="4" w:space="0" w:color="auto"/>
              <w:bottom w:val="single" w:sz="12" w:space="0" w:color="auto"/>
            </w:tcBorders>
            <w:shd w:val="clear" w:color="auto" w:fill="auto"/>
            <w:vAlign w:val="bottom"/>
          </w:tcPr>
          <w:p w14:paraId="477FA352" w14:textId="77777777" w:rsidR="000C14E8" w:rsidRPr="000C14E8" w:rsidRDefault="000C14E8" w:rsidP="000C14E8">
            <w:pPr>
              <w:spacing w:before="80" w:after="80" w:line="200" w:lineRule="exact"/>
              <w:ind w:right="113"/>
              <w:rPr>
                <w:i/>
                <w:sz w:val="16"/>
              </w:rPr>
            </w:pPr>
            <w:r w:rsidRPr="000C14E8">
              <w:rPr>
                <w:i/>
                <w:sz w:val="16"/>
              </w:rPr>
              <w:t>Posición</w:t>
            </w:r>
          </w:p>
        </w:tc>
        <w:tc>
          <w:tcPr>
            <w:tcW w:w="4298" w:type="dxa"/>
            <w:tcBorders>
              <w:top w:val="single" w:sz="4" w:space="0" w:color="auto"/>
              <w:bottom w:val="single" w:sz="12" w:space="0" w:color="auto"/>
            </w:tcBorders>
            <w:shd w:val="clear" w:color="auto" w:fill="auto"/>
            <w:vAlign w:val="bottom"/>
          </w:tcPr>
          <w:p w14:paraId="06A960B3" w14:textId="77777777" w:rsidR="000C14E8" w:rsidRPr="000C14E8" w:rsidRDefault="000C14E8" w:rsidP="000C14E8">
            <w:pPr>
              <w:spacing w:before="80" w:after="80" w:line="200" w:lineRule="exact"/>
              <w:ind w:right="113"/>
              <w:rPr>
                <w:i/>
                <w:sz w:val="16"/>
              </w:rPr>
            </w:pPr>
            <w:r w:rsidRPr="000C14E8">
              <w:rPr>
                <w:i/>
                <w:sz w:val="16"/>
              </w:rPr>
              <w:t>Comentarios</w:t>
            </w:r>
          </w:p>
        </w:tc>
      </w:tr>
      <w:tr w:rsidR="000C14E8" w:rsidRPr="000C14E8" w14:paraId="0970F3B1" w14:textId="77777777" w:rsidTr="000C14E8">
        <w:trPr>
          <w:trHeight w:hRule="exact" w:val="113"/>
          <w:tblHeader/>
        </w:trPr>
        <w:tc>
          <w:tcPr>
            <w:tcW w:w="1709" w:type="dxa"/>
            <w:tcBorders>
              <w:top w:val="single" w:sz="12" w:space="0" w:color="auto"/>
            </w:tcBorders>
            <w:shd w:val="clear" w:color="auto" w:fill="auto"/>
          </w:tcPr>
          <w:p w14:paraId="42A7AE3B" w14:textId="77777777" w:rsidR="000C14E8" w:rsidRPr="000C14E8" w:rsidRDefault="000C14E8" w:rsidP="000C14E8">
            <w:pPr>
              <w:spacing w:before="40" w:after="120"/>
              <w:ind w:right="113"/>
            </w:pPr>
          </w:p>
        </w:tc>
        <w:tc>
          <w:tcPr>
            <w:tcW w:w="1363" w:type="dxa"/>
            <w:tcBorders>
              <w:top w:val="single" w:sz="12" w:space="0" w:color="auto"/>
            </w:tcBorders>
            <w:shd w:val="clear" w:color="auto" w:fill="auto"/>
          </w:tcPr>
          <w:p w14:paraId="35D3F882" w14:textId="77777777" w:rsidR="000C14E8" w:rsidRPr="000C14E8" w:rsidRDefault="000C14E8" w:rsidP="000C14E8">
            <w:pPr>
              <w:spacing w:before="40" w:after="120"/>
              <w:ind w:right="113"/>
            </w:pPr>
          </w:p>
        </w:tc>
        <w:tc>
          <w:tcPr>
            <w:tcW w:w="4298" w:type="dxa"/>
            <w:tcBorders>
              <w:top w:val="single" w:sz="12" w:space="0" w:color="auto"/>
            </w:tcBorders>
            <w:shd w:val="clear" w:color="auto" w:fill="auto"/>
          </w:tcPr>
          <w:p w14:paraId="1FF15C5C" w14:textId="77777777" w:rsidR="000C14E8" w:rsidRPr="000C14E8" w:rsidRDefault="000C14E8" w:rsidP="000C14E8">
            <w:pPr>
              <w:spacing w:before="40" w:after="120"/>
              <w:ind w:right="113"/>
            </w:pPr>
          </w:p>
        </w:tc>
      </w:tr>
      <w:tr w:rsidR="000C14E8" w:rsidRPr="000C14E8" w14:paraId="274AE56E" w14:textId="77777777" w:rsidTr="000C14E8">
        <w:tc>
          <w:tcPr>
            <w:tcW w:w="1709" w:type="dxa"/>
            <w:tcBorders>
              <w:bottom w:val="single" w:sz="12" w:space="0" w:color="auto"/>
            </w:tcBorders>
            <w:shd w:val="clear" w:color="auto" w:fill="auto"/>
          </w:tcPr>
          <w:p w14:paraId="401C136E" w14:textId="77777777" w:rsidR="000C14E8" w:rsidRPr="000C14E8" w:rsidRDefault="000C14E8" w:rsidP="000C14E8">
            <w:pPr>
              <w:spacing w:before="40" w:after="120"/>
              <w:ind w:right="113"/>
            </w:pPr>
            <w:r w:rsidRPr="000C14E8">
              <w:t>111.37</w:t>
            </w:r>
          </w:p>
          <w:p w14:paraId="1022292C" w14:textId="77777777" w:rsidR="000C14E8" w:rsidRPr="000C14E8" w:rsidRDefault="000C14E8" w:rsidP="000C14E8">
            <w:pPr>
              <w:spacing w:before="40" w:after="120"/>
              <w:ind w:right="113"/>
            </w:pPr>
            <w:r w:rsidRPr="000C14E8">
              <w:t>111.38</w:t>
            </w:r>
          </w:p>
          <w:p w14:paraId="09923808" w14:textId="77777777" w:rsidR="000C14E8" w:rsidRPr="000C14E8" w:rsidRDefault="000C14E8" w:rsidP="000C14E8">
            <w:pPr>
              <w:spacing w:before="40" w:after="120"/>
              <w:ind w:right="113"/>
            </w:pPr>
            <w:r w:rsidRPr="000C14E8">
              <w:t>111.39</w:t>
            </w:r>
          </w:p>
          <w:p w14:paraId="497C437A" w14:textId="77777777" w:rsidR="000C14E8" w:rsidRPr="000C14E8" w:rsidRDefault="000C14E8" w:rsidP="000C14E8">
            <w:pPr>
              <w:spacing w:before="40" w:after="120"/>
              <w:ind w:right="113"/>
            </w:pPr>
            <w:r w:rsidRPr="000C14E8">
              <w:t>111.43</w:t>
            </w:r>
          </w:p>
          <w:p w14:paraId="3F357E7B" w14:textId="77777777" w:rsidR="000C14E8" w:rsidRPr="000C14E8" w:rsidRDefault="000C14E8" w:rsidP="000C14E8">
            <w:pPr>
              <w:spacing w:before="40" w:after="120"/>
              <w:ind w:right="113"/>
            </w:pPr>
            <w:r w:rsidRPr="000C14E8">
              <w:t>111.44</w:t>
            </w:r>
          </w:p>
          <w:p w14:paraId="02420263" w14:textId="77777777" w:rsidR="000C14E8" w:rsidRPr="000C14E8" w:rsidRDefault="000C14E8" w:rsidP="000C14E8">
            <w:pPr>
              <w:spacing w:before="40" w:after="120"/>
              <w:ind w:right="113"/>
            </w:pPr>
            <w:r w:rsidRPr="000C14E8">
              <w:t>111.45</w:t>
            </w:r>
          </w:p>
          <w:p w14:paraId="3962514E" w14:textId="77777777" w:rsidR="000C14E8" w:rsidRPr="000C14E8" w:rsidRDefault="000C14E8" w:rsidP="000C14E8">
            <w:pPr>
              <w:spacing w:before="40" w:after="120"/>
              <w:ind w:right="113"/>
            </w:pPr>
            <w:r w:rsidRPr="000C14E8">
              <w:t>111.47</w:t>
            </w:r>
          </w:p>
          <w:p w14:paraId="0BD5DFCE" w14:textId="77777777" w:rsidR="000C14E8" w:rsidRPr="000C14E8" w:rsidRDefault="000C14E8" w:rsidP="000C14E8">
            <w:pPr>
              <w:spacing w:before="40" w:after="120"/>
              <w:ind w:right="113"/>
            </w:pPr>
            <w:r w:rsidRPr="000C14E8">
              <w:t>111.48</w:t>
            </w:r>
          </w:p>
          <w:p w14:paraId="26F78A60" w14:textId="77777777" w:rsidR="000C14E8" w:rsidRPr="000C14E8" w:rsidRDefault="000C14E8" w:rsidP="000C14E8">
            <w:pPr>
              <w:spacing w:before="40" w:after="120"/>
              <w:ind w:right="113"/>
            </w:pPr>
            <w:r w:rsidRPr="000C14E8">
              <w:t>111.49</w:t>
            </w:r>
          </w:p>
          <w:p w14:paraId="0184429F" w14:textId="77777777" w:rsidR="000C14E8" w:rsidRPr="000C14E8" w:rsidRDefault="000C14E8" w:rsidP="000C14E8">
            <w:pPr>
              <w:spacing w:before="40" w:after="120"/>
              <w:ind w:right="113"/>
            </w:pPr>
            <w:r w:rsidRPr="000C14E8">
              <w:t>111.51</w:t>
            </w:r>
          </w:p>
          <w:p w14:paraId="49FC74A6" w14:textId="77777777" w:rsidR="000C14E8" w:rsidRPr="000C14E8" w:rsidRDefault="000C14E8" w:rsidP="000C14E8">
            <w:pPr>
              <w:spacing w:before="40" w:after="120"/>
              <w:ind w:right="113"/>
            </w:pPr>
            <w:r w:rsidRPr="000C14E8">
              <w:t>111.52</w:t>
            </w:r>
          </w:p>
          <w:p w14:paraId="7513E88F" w14:textId="77777777" w:rsidR="000C14E8" w:rsidRPr="000C14E8" w:rsidRDefault="000C14E8" w:rsidP="000C14E8">
            <w:pPr>
              <w:spacing w:before="40" w:after="120"/>
              <w:ind w:right="113"/>
            </w:pPr>
            <w:r w:rsidRPr="000C14E8">
              <w:t>111.57</w:t>
            </w:r>
          </w:p>
          <w:p w14:paraId="17CD9C9B" w14:textId="77777777" w:rsidR="000C14E8" w:rsidRPr="000C14E8" w:rsidRDefault="000C14E8" w:rsidP="000C14E8">
            <w:pPr>
              <w:spacing w:before="40" w:after="120"/>
              <w:ind w:right="113"/>
            </w:pPr>
            <w:r w:rsidRPr="000C14E8">
              <w:t>111.59</w:t>
            </w:r>
          </w:p>
          <w:p w14:paraId="45FD9417" w14:textId="77777777" w:rsidR="000C14E8" w:rsidRPr="000C14E8" w:rsidRDefault="000C14E8" w:rsidP="000C14E8">
            <w:pPr>
              <w:spacing w:before="40" w:after="120"/>
              <w:ind w:right="113"/>
            </w:pPr>
            <w:r w:rsidRPr="000C14E8">
              <w:t>111.63</w:t>
            </w:r>
          </w:p>
          <w:p w14:paraId="0649751F" w14:textId="583EBCF2" w:rsidR="000C14E8" w:rsidRPr="000C14E8" w:rsidRDefault="000C14E8" w:rsidP="000C14E8">
            <w:pPr>
              <w:spacing w:before="40" w:after="120"/>
              <w:ind w:right="113"/>
            </w:pPr>
            <w:r w:rsidRPr="000C14E8">
              <w:t>111.112</w:t>
            </w:r>
          </w:p>
        </w:tc>
        <w:tc>
          <w:tcPr>
            <w:tcW w:w="1363" w:type="dxa"/>
            <w:tcBorders>
              <w:bottom w:val="single" w:sz="12" w:space="0" w:color="auto"/>
            </w:tcBorders>
            <w:shd w:val="clear" w:color="auto" w:fill="auto"/>
          </w:tcPr>
          <w:p w14:paraId="4B1ECAC0" w14:textId="77777777" w:rsidR="000C14E8" w:rsidRPr="000C14E8" w:rsidRDefault="000C14E8" w:rsidP="000C14E8">
            <w:pPr>
              <w:spacing w:before="40" w:after="120"/>
              <w:ind w:right="113"/>
            </w:pPr>
            <w:r w:rsidRPr="000C14E8">
              <w:t>Apoya</w:t>
            </w:r>
          </w:p>
          <w:p w14:paraId="77551332" w14:textId="77777777" w:rsidR="000C14E8" w:rsidRPr="000C14E8" w:rsidRDefault="000C14E8" w:rsidP="000C14E8">
            <w:pPr>
              <w:spacing w:before="40" w:after="120"/>
              <w:ind w:right="113"/>
            </w:pPr>
          </w:p>
        </w:tc>
        <w:tc>
          <w:tcPr>
            <w:tcW w:w="4298" w:type="dxa"/>
            <w:tcBorders>
              <w:bottom w:val="single" w:sz="12" w:space="0" w:color="auto"/>
            </w:tcBorders>
            <w:shd w:val="clear" w:color="auto" w:fill="auto"/>
          </w:tcPr>
          <w:p w14:paraId="270B7BD1" w14:textId="4D417E9A" w:rsidR="000C14E8" w:rsidRPr="000C14E8" w:rsidRDefault="000C14E8" w:rsidP="000C14E8">
            <w:pPr>
              <w:spacing w:before="40" w:after="120"/>
              <w:ind w:right="113"/>
            </w:pPr>
            <w:r w:rsidRPr="000C14E8">
              <w:t>El Estado peruano participó en el Diálogo en el EPU, afrontando a la vez una situación compleja y dolorosa para nuestro país. Las situaciones de violencia generaron lamentables pérdidas de vidas y cientos de personas lesionadas tanto de la población civil como de las Fuerzas del Orden.</w:t>
            </w:r>
          </w:p>
          <w:p w14:paraId="6AAA7994" w14:textId="53D4954A" w:rsidR="000C14E8" w:rsidRPr="000C14E8" w:rsidRDefault="000C14E8" w:rsidP="000C14E8">
            <w:pPr>
              <w:spacing w:before="40" w:after="120"/>
              <w:ind w:right="113"/>
              <w:rPr>
                <w:lang w:val="es-PE"/>
              </w:rPr>
            </w:pPr>
            <w:r w:rsidRPr="000C14E8">
              <w:t>El Perú es respetuoso del derecho a la protesta, y rechaza toda forma de violencia que impactan en el derecho a la vida, a la salud, al acceso a la justicia, al trabajo y a la libertad empresarial, al derecho a la libertad de expresión y al derecho a libertad de tránsito.</w:t>
            </w:r>
          </w:p>
          <w:p w14:paraId="0E8DFB88" w14:textId="0C4E2C57" w:rsidR="000C14E8" w:rsidRPr="000C14E8" w:rsidRDefault="000C14E8" w:rsidP="000C14E8">
            <w:pPr>
              <w:spacing w:before="40" w:after="120"/>
              <w:ind w:right="113"/>
              <w:rPr>
                <w:lang w:val="es-PE"/>
              </w:rPr>
            </w:pPr>
            <w:r w:rsidRPr="000C14E8">
              <w:rPr>
                <w:lang w:val="es-PE"/>
              </w:rPr>
              <w:t>Ahora bien, en el marco de la Política General de Gobierno</w:t>
            </w:r>
            <w:r w:rsidR="00C306B5">
              <w:rPr>
                <w:rStyle w:val="EndnoteReference"/>
                <w:lang w:val="es-PE"/>
              </w:rPr>
              <w:endnoteReference w:id="12"/>
            </w:r>
            <w:r w:rsidRPr="000C14E8">
              <w:rPr>
                <w:lang w:val="es-PE"/>
              </w:rPr>
              <w:t>, el Estado ha considerado entre otros lineamientos prioritarios la “Concertación y diálogo nacional” y la “Paz social y gobernabilidad”, esta última dispone “garantizar el acceso a la justicia y apoyo a las familias de las víctimas de movilizaciones sociales”.</w:t>
            </w:r>
          </w:p>
          <w:p w14:paraId="65FF2F3C" w14:textId="17E1E447" w:rsidR="000C14E8" w:rsidRPr="000C14E8" w:rsidRDefault="000C14E8" w:rsidP="000C14E8">
            <w:pPr>
              <w:spacing w:before="40" w:after="120"/>
              <w:ind w:right="113"/>
              <w:rPr>
                <w:lang w:val="es-PE"/>
              </w:rPr>
            </w:pPr>
            <w:r w:rsidRPr="000C14E8">
              <w:rPr>
                <w:lang w:val="es-PE"/>
              </w:rPr>
              <w:t>De otro lado, se creó la Comisión Multisectorial</w:t>
            </w:r>
            <w:r w:rsidR="00C306B5">
              <w:rPr>
                <w:rStyle w:val="EndnoteReference"/>
                <w:lang w:val="es-PE"/>
              </w:rPr>
              <w:endnoteReference w:id="13"/>
            </w:r>
            <w:r w:rsidRPr="000C14E8">
              <w:rPr>
                <w:lang w:val="es-PE"/>
              </w:rPr>
              <w:t xml:space="preserve"> de naturaleza temporal para hacer seguimiento a las acciones y medidas destinadas a atender a los deudos de las personas fallecidas, así como para las personas que sufrieron lesiones de gravedad a consecuencia de las movilizaciones realizadas a nivel nacional, la misma que a la fecha ha atendido a 11 deudos (de 63 personas fallecidas) y a 155 personas heridas de gravedad (población civil y Fuerzas del Orden), por un monto ascendente a S/. 7´025.000.00 millones de soles</w:t>
            </w:r>
            <w:r w:rsidR="00C306B5">
              <w:rPr>
                <w:rStyle w:val="EndnoteReference"/>
                <w:lang w:val="es-PE"/>
              </w:rPr>
              <w:endnoteReference w:id="14"/>
            </w:r>
            <w:r w:rsidRPr="000C14E8">
              <w:rPr>
                <w:lang w:val="es-PE"/>
              </w:rPr>
              <w:t>.</w:t>
            </w:r>
          </w:p>
          <w:p w14:paraId="3E9123EB" w14:textId="6EA2FAA5" w:rsidR="000C14E8" w:rsidRPr="000C14E8" w:rsidRDefault="000C14E8" w:rsidP="000C14E8">
            <w:pPr>
              <w:spacing w:before="40" w:after="120"/>
              <w:ind w:right="113"/>
            </w:pPr>
            <w:r w:rsidRPr="000C14E8">
              <w:t>En cuanto a investigaciones en el marco de protestas y uso de la fuerza, el Ministerio Público, en ejercicio de sus atribuciones independientes y autónomas, al amparo de lo señalado en el artículo 158° de la CPP, el 3 de abril de 2023 conformó el Equipo Especial de Fiscales para casos con víctimas durante las protestas sociales (EFICAVIP)</w:t>
            </w:r>
            <w:r w:rsidRPr="000C14E8">
              <w:rPr>
                <w:lang w:val="es-PE"/>
              </w:rPr>
              <w:t xml:space="preserve"> </w:t>
            </w:r>
            <w:r w:rsidRPr="000C14E8">
              <w:t>a fin de que se avoque a dedicación exclusiva de los delitos cometidos contra la humanidad que hayan constituido casos de violación de derechos humanos y otros. El objetivo central es brindar una mayor celeridad a las investigaciones a fin de concluirlas en plazos razonables y oportunos</w:t>
            </w:r>
            <w:r w:rsidR="00C306B5">
              <w:rPr>
                <w:rStyle w:val="EndnoteReference"/>
              </w:rPr>
              <w:endnoteReference w:id="15"/>
            </w:r>
            <w:r w:rsidRPr="000C14E8">
              <w:t>.</w:t>
            </w:r>
          </w:p>
          <w:p w14:paraId="016F5635" w14:textId="3F89E529" w:rsidR="000C14E8" w:rsidRPr="000C14E8" w:rsidRDefault="000C14E8" w:rsidP="00373C18">
            <w:pPr>
              <w:spacing w:before="40" w:after="120"/>
              <w:ind w:right="113"/>
            </w:pPr>
            <w:r w:rsidRPr="000C14E8">
              <w:t>Sin perjuicio de lo señalado, la Inspectoría General de la Policía Nacional del Perú, ha iniciado investigaciones disciplinarias en el marco de protestas sociales por hechos sucedidos en Lima, Cusco, Junín, Ayacucho, Apurímac, La Libertad, Arequipa y Puno.</w:t>
            </w:r>
            <w:r w:rsidR="00C306B5">
              <w:rPr>
                <w:rStyle w:val="EndnoteReference"/>
              </w:rPr>
              <w:endnoteReference w:id="16"/>
            </w:r>
            <w:r w:rsidRPr="000C14E8">
              <w:t xml:space="preserve"> Por su parte, la Inspectoría General del Ministerio de Defensa también cuenta con investigaciones en su Inspectoría General</w:t>
            </w:r>
            <w:r w:rsidR="00E55C27">
              <w:rPr>
                <w:rStyle w:val="EndnoteReference"/>
              </w:rPr>
              <w:endnoteReference w:id="17"/>
            </w:r>
            <w:r w:rsidRPr="000C14E8">
              <w:t>.</w:t>
            </w:r>
          </w:p>
        </w:tc>
      </w:tr>
    </w:tbl>
    <w:p w14:paraId="66499D8F" w14:textId="2FAA8676" w:rsidR="000C14E8" w:rsidRDefault="00C306B5" w:rsidP="00C306B5">
      <w:pPr>
        <w:pStyle w:val="H1G"/>
        <w:rPr>
          <w:bCs/>
        </w:rPr>
      </w:pPr>
      <w:r>
        <w:rPr>
          <w:lang w:val="es-PE"/>
        </w:rPr>
        <w:lastRenderedPageBreak/>
        <w:tab/>
        <w:t>I.</w:t>
      </w:r>
      <w:r>
        <w:rPr>
          <w:lang w:val="es-PE"/>
        </w:rPr>
        <w:tab/>
      </w:r>
      <w:r w:rsidRPr="00C306B5">
        <w:rPr>
          <w:bCs/>
          <w:lang w:val="es-PE"/>
        </w:rPr>
        <w:t>Memoria</w:t>
      </w:r>
      <w:r w:rsidRPr="00C306B5">
        <w:rPr>
          <w:bCs/>
        </w:rPr>
        <w:t>, paz y reconciliación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5"/>
        <w:gridCol w:w="1317"/>
        <w:gridCol w:w="4408"/>
      </w:tblGrid>
      <w:tr w:rsidR="00C306B5" w:rsidRPr="00C306B5" w14:paraId="217DF7C7" w14:textId="77777777" w:rsidTr="00C306B5">
        <w:trPr>
          <w:tblHeader/>
        </w:trPr>
        <w:tc>
          <w:tcPr>
            <w:tcW w:w="1645" w:type="dxa"/>
            <w:tcBorders>
              <w:top w:val="single" w:sz="4" w:space="0" w:color="auto"/>
              <w:bottom w:val="single" w:sz="12" w:space="0" w:color="auto"/>
            </w:tcBorders>
            <w:shd w:val="clear" w:color="auto" w:fill="auto"/>
            <w:vAlign w:val="bottom"/>
          </w:tcPr>
          <w:p w14:paraId="3B75CEBD" w14:textId="77777777" w:rsidR="00C306B5" w:rsidRPr="00C306B5" w:rsidRDefault="00C306B5" w:rsidP="00C306B5">
            <w:pPr>
              <w:spacing w:before="80" w:after="80" w:line="200" w:lineRule="exact"/>
              <w:ind w:right="113"/>
              <w:rPr>
                <w:i/>
                <w:sz w:val="16"/>
              </w:rPr>
            </w:pPr>
            <w:r w:rsidRPr="00C306B5">
              <w:rPr>
                <w:i/>
                <w:sz w:val="16"/>
              </w:rPr>
              <w:t>Recomendación</w:t>
            </w:r>
          </w:p>
        </w:tc>
        <w:tc>
          <w:tcPr>
            <w:tcW w:w="1317" w:type="dxa"/>
            <w:tcBorders>
              <w:top w:val="single" w:sz="4" w:space="0" w:color="auto"/>
              <w:bottom w:val="single" w:sz="12" w:space="0" w:color="auto"/>
            </w:tcBorders>
            <w:shd w:val="clear" w:color="auto" w:fill="auto"/>
            <w:vAlign w:val="bottom"/>
          </w:tcPr>
          <w:p w14:paraId="3188F743" w14:textId="77777777" w:rsidR="00C306B5" w:rsidRPr="00C306B5" w:rsidRDefault="00C306B5" w:rsidP="00C306B5">
            <w:pPr>
              <w:spacing w:before="80" w:after="80" w:line="200" w:lineRule="exact"/>
              <w:ind w:right="113"/>
              <w:rPr>
                <w:i/>
                <w:sz w:val="16"/>
              </w:rPr>
            </w:pPr>
            <w:r w:rsidRPr="00C306B5">
              <w:rPr>
                <w:i/>
                <w:sz w:val="16"/>
              </w:rPr>
              <w:t>Posición</w:t>
            </w:r>
          </w:p>
        </w:tc>
        <w:tc>
          <w:tcPr>
            <w:tcW w:w="4408" w:type="dxa"/>
            <w:tcBorders>
              <w:top w:val="single" w:sz="4" w:space="0" w:color="auto"/>
              <w:bottom w:val="single" w:sz="12" w:space="0" w:color="auto"/>
            </w:tcBorders>
            <w:shd w:val="clear" w:color="auto" w:fill="auto"/>
            <w:vAlign w:val="bottom"/>
          </w:tcPr>
          <w:p w14:paraId="6E828D91" w14:textId="77777777" w:rsidR="00C306B5" w:rsidRPr="00C306B5" w:rsidRDefault="00C306B5" w:rsidP="00C306B5">
            <w:pPr>
              <w:spacing w:before="80" w:after="80" w:line="200" w:lineRule="exact"/>
              <w:ind w:right="113"/>
              <w:rPr>
                <w:i/>
                <w:sz w:val="16"/>
              </w:rPr>
            </w:pPr>
            <w:r w:rsidRPr="00C306B5">
              <w:rPr>
                <w:i/>
                <w:sz w:val="16"/>
              </w:rPr>
              <w:t>Comentarios</w:t>
            </w:r>
          </w:p>
        </w:tc>
      </w:tr>
      <w:tr w:rsidR="00C306B5" w:rsidRPr="00C306B5" w14:paraId="4C9FE16C" w14:textId="77777777" w:rsidTr="00C306B5">
        <w:trPr>
          <w:trHeight w:hRule="exact" w:val="113"/>
          <w:tblHeader/>
        </w:trPr>
        <w:tc>
          <w:tcPr>
            <w:tcW w:w="1645" w:type="dxa"/>
            <w:tcBorders>
              <w:top w:val="single" w:sz="12" w:space="0" w:color="auto"/>
            </w:tcBorders>
            <w:shd w:val="clear" w:color="auto" w:fill="auto"/>
          </w:tcPr>
          <w:p w14:paraId="5CB38656" w14:textId="77777777" w:rsidR="00C306B5" w:rsidRPr="00C306B5" w:rsidRDefault="00C306B5" w:rsidP="00C306B5">
            <w:pPr>
              <w:spacing w:before="40" w:after="120"/>
              <w:ind w:right="113"/>
            </w:pPr>
          </w:p>
        </w:tc>
        <w:tc>
          <w:tcPr>
            <w:tcW w:w="1317" w:type="dxa"/>
            <w:tcBorders>
              <w:top w:val="single" w:sz="12" w:space="0" w:color="auto"/>
            </w:tcBorders>
            <w:shd w:val="clear" w:color="auto" w:fill="auto"/>
          </w:tcPr>
          <w:p w14:paraId="6E356F33" w14:textId="77777777" w:rsidR="00C306B5" w:rsidRPr="00C306B5" w:rsidRDefault="00C306B5" w:rsidP="00C306B5">
            <w:pPr>
              <w:spacing w:before="40" w:after="120"/>
              <w:ind w:right="113"/>
            </w:pPr>
          </w:p>
        </w:tc>
        <w:tc>
          <w:tcPr>
            <w:tcW w:w="4408" w:type="dxa"/>
            <w:tcBorders>
              <w:top w:val="single" w:sz="12" w:space="0" w:color="auto"/>
            </w:tcBorders>
            <w:shd w:val="clear" w:color="auto" w:fill="auto"/>
          </w:tcPr>
          <w:p w14:paraId="12F7EF31" w14:textId="77777777" w:rsidR="00C306B5" w:rsidRPr="00C306B5" w:rsidRDefault="00C306B5" w:rsidP="00C306B5">
            <w:pPr>
              <w:spacing w:before="40" w:after="120"/>
              <w:ind w:right="113"/>
            </w:pPr>
          </w:p>
        </w:tc>
      </w:tr>
      <w:tr w:rsidR="00C306B5" w:rsidRPr="00C306B5" w14:paraId="05E5BF86" w14:textId="77777777" w:rsidTr="00C306B5">
        <w:tc>
          <w:tcPr>
            <w:tcW w:w="1645" w:type="dxa"/>
            <w:tcBorders>
              <w:bottom w:val="single" w:sz="12" w:space="0" w:color="auto"/>
            </w:tcBorders>
            <w:shd w:val="clear" w:color="auto" w:fill="auto"/>
          </w:tcPr>
          <w:p w14:paraId="789749C2" w14:textId="77777777" w:rsidR="00C306B5" w:rsidRPr="00C306B5" w:rsidRDefault="00C306B5" w:rsidP="00C306B5">
            <w:pPr>
              <w:spacing w:before="40" w:after="120"/>
              <w:ind w:right="113"/>
            </w:pPr>
            <w:r w:rsidRPr="00C306B5">
              <w:t>111.79</w:t>
            </w:r>
          </w:p>
        </w:tc>
        <w:tc>
          <w:tcPr>
            <w:tcW w:w="1317" w:type="dxa"/>
            <w:tcBorders>
              <w:bottom w:val="single" w:sz="12" w:space="0" w:color="auto"/>
            </w:tcBorders>
            <w:shd w:val="clear" w:color="auto" w:fill="auto"/>
          </w:tcPr>
          <w:p w14:paraId="5EF587B8" w14:textId="77777777" w:rsidR="00C306B5" w:rsidRPr="00C306B5" w:rsidRDefault="00C306B5" w:rsidP="00C306B5">
            <w:pPr>
              <w:spacing w:before="40" w:after="120"/>
              <w:ind w:right="113"/>
            </w:pPr>
            <w:r w:rsidRPr="00C306B5">
              <w:t>Apoya</w:t>
            </w:r>
          </w:p>
        </w:tc>
        <w:tc>
          <w:tcPr>
            <w:tcW w:w="4408" w:type="dxa"/>
            <w:tcBorders>
              <w:bottom w:val="single" w:sz="12" w:space="0" w:color="auto"/>
            </w:tcBorders>
            <w:shd w:val="clear" w:color="auto" w:fill="auto"/>
          </w:tcPr>
          <w:p w14:paraId="0C647B95" w14:textId="77777777" w:rsidR="00C306B5" w:rsidRPr="00C306B5" w:rsidRDefault="00C306B5" w:rsidP="00C306B5">
            <w:pPr>
              <w:spacing w:before="40" w:after="120"/>
              <w:ind w:right="113"/>
            </w:pPr>
          </w:p>
        </w:tc>
      </w:tr>
    </w:tbl>
    <w:p w14:paraId="3BF51C08" w14:textId="78CDE236" w:rsidR="00C306B5" w:rsidRDefault="00C306B5" w:rsidP="00C306B5">
      <w:pPr>
        <w:pStyle w:val="H1G"/>
        <w:rPr>
          <w:bCs/>
          <w:lang w:val="es-PE"/>
        </w:rPr>
      </w:pPr>
      <w:r>
        <w:tab/>
        <w:t>J.</w:t>
      </w:r>
      <w:r>
        <w:tab/>
      </w:r>
      <w:r w:rsidRPr="00C306B5">
        <w:rPr>
          <w:bCs/>
          <w:lang w:val="es-PE"/>
        </w:rPr>
        <w:t>Derecho a la educación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2"/>
        <w:gridCol w:w="1313"/>
        <w:gridCol w:w="4415"/>
      </w:tblGrid>
      <w:tr w:rsidR="00C306B5" w:rsidRPr="00C306B5" w14:paraId="1C5AA0CB" w14:textId="77777777" w:rsidTr="00C306B5">
        <w:trPr>
          <w:tblHeader/>
        </w:trPr>
        <w:tc>
          <w:tcPr>
            <w:tcW w:w="1642" w:type="dxa"/>
            <w:tcBorders>
              <w:top w:val="single" w:sz="4" w:space="0" w:color="auto"/>
              <w:bottom w:val="single" w:sz="12" w:space="0" w:color="auto"/>
            </w:tcBorders>
            <w:shd w:val="clear" w:color="auto" w:fill="auto"/>
            <w:vAlign w:val="bottom"/>
          </w:tcPr>
          <w:p w14:paraId="65C481E0" w14:textId="77777777" w:rsidR="00C306B5" w:rsidRPr="00C306B5" w:rsidRDefault="00C306B5" w:rsidP="00C306B5">
            <w:pPr>
              <w:spacing w:before="80" w:after="80" w:line="200" w:lineRule="exact"/>
              <w:ind w:right="113"/>
              <w:rPr>
                <w:i/>
                <w:sz w:val="16"/>
              </w:rPr>
            </w:pPr>
            <w:r w:rsidRPr="00C306B5">
              <w:rPr>
                <w:i/>
                <w:sz w:val="16"/>
              </w:rPr>
              <w:t>Recomendación</w:t>
            </w:r>
          </w:p>
        </w:tc>
        <w:tc>
          <w:tcPr>
            <w:tcW w:w="1313" w:type="dxa"/>
            <w:tcBorders>
              <w:top w:val="single" w:sz="4" w:space="0" w:color="auto"/>
              <w:bottom w:val="single" w:sz="12" w:space="0" w:color="auto"/>
            </w:tcBorders>
            <w:shd w:val="clear" w:color="auto" w:fill="auto"/>
            <w:vAlign w:val="bottom"/>
          </w:tcPr>
          <w:p w14:paraId="3EB76270" w14:textId="77777777" w:rsidR="00C306B5" w:rsidRPr="00C306B5" w:rsidRDefault="00C306B5" w:rsidP="00C306B5">
            <w:pPr>
              <w:spacing w:before="80" w:after="80" w:line="200" w:lineRule="exact"/>
              <w:ind w:right="113"/>
              <w:rPr>
                <w:i/>
                <w:sz w:val="16"/>
              </w:rPr>
            </w:pPr>
            <w:r w:rsidRPr="00C306B5">
              <w:rPr>
                <w:i/>
                <w:sz w:val="16"/>
              </w:rPr>
              <w:t>Posición</w:t>
            </w:r>
          </w:p>
        </w:tc>
        <w:tc>
          <w:tcPr>
            <w:tcW w:w="4415" w:type="dxa"/>
            <w:tcBorders>
              <w:top w:val="single" w:sz="4" w:space="0" w:color="auto"/>
              <w:bottom w:val="single" w:sz="12" w:space="0" w:color="auto"/>
            </w:tcBorders>
            <w:shd w:val="clear" w:color="auto" w:fill="auto"/>
            <w:vAlign w:val="bottom"/>
          </w:tcPr>
          <w:p w14:paraId="1C484A64" w14:textId="77777777" w:rsidR="00C306B5" w:rsidRPr="00C306B5" w:rsidRDefault="00C306B5" w:rsidP="00C306B5">
            <w:pPr>
              <w:spacing w:before="80" w:after="80" w:line="200" w:lineRule="exact"/>
              <w:ind w:right="113"/>
              <w:rPr>
                <w:i/>
                <w:sz w:val="16"/>
              </w:rPr>
            </w:pPr>
            <w:r w:rsidRPr="00C306B5">
              <w:rPr>
                <w:i/>
                <w:sz w:val="16"/>
              </w:rPr>
              <w:t>Comentarios</w:t>
            </w:r>
          </w:p>
        </w:tc>
      </w:tr>
      <w:tr w:rsidR="00C306B5" w:rsidRPr="00C306B5" w14:paraId="21A3AD21" w14:textId="77777777" w:rsidTr="00C306B5">
        <w:trPr>
          <w:trHeight w:hRule="exact" w:val="113"/>
          <w:tblHeader/>
        </w:trPr>
        <w:tc>
          <w:tcPr>
            <w:tcW w:w="1642" w:type="dxa"/>
            <w:tcBorders>
              <w:top w:val="single" w:sz="12" w:space="0" w:color="auto"/>
            </w:tcBorders>
            <w:shd w:val="clear" w:color="auto" w:fill="auto"/>
          </w:tcPr>
          <w:p w14:paraId="56A36036" w14:textId="77777777" w:rsidR="00C306B5" w:rsidRPr="00C306B5" w:rsidRDefault="00C306B5" w:rsidP="00C306B5">
            <w:pPr>
              <w:spacing w:before="40" w:after="120"/>
              <w:ind w:right="113"/>
            </w:pPr>
          </w:p>
        </w:tc>
        <w:tc>
          <w:tcPr>
            <w:tcW w:w="1313" w:type="dxa"/>
            <w:tcBorders>
              <w:top w:val="single" w:sz="12" w:space="0" w:color="auto"/>
            </w:tcBorders>
            <w:shd w:val="clear" w:color="auto" w:fill="auto"/>
          </w:tcPr>
          <w:p w14:paraId="54AEEB3B" w14:textId="77777777" w:rsidR="00C306B5" w:rsidRPr="00C306B5" w:rsidRDefault="00C306B5" w:rsidP="00C306B5">
            <w:pPr>
              <w:spacing w:before="40" w:after="120"/>
              <w:ind w:right="113"/>
            </w:pPr>
          </w:p>
        </w:tc>
        <w:tc>
          <w:tcPr>
            <w:tcW w:w="4415" w:type="dxa"/>
            <w:tcBorders>
              <w:top w:val="single" w:sz="12" w:space="0" w:color="auto"/>
            </w:tcBorders>
            <w:shd w:val="clear" w:color="auto" w:fill="auto"/>
          </w:tcPr>
          <w:p w14:paraId="55831AB0" w14:textId="77777777" w:rsidR="00C306B5" w:rsidRPr="00C306B5" w:rsidRDefault="00C306B5" w:rsidP="00C306B5">
            <w:pPr>
              <w:spacing w:before="40" w:after="120"/>
              <w:ind w:right="113"/>
            </w:pPr>
          </w:p>
        </w:tc>
      </w:tr>
      <w:tr w:rsidR="00C306B5" w:rsidRPr="00C306B5" w14:paraId="4CFB9558" w14:textId="77777777" w:rsidTr="00C306B5">
        <w:tc>
          <w:tcPr>
            <w:tcW w:w="1642" w:type="dxa"/>
            <w:shd w:val="clear" w:color="auto" w:fill="auto"/>
          </w:tcPr>
          <w:p w14:paraId="5BD743A4" w14:textId="77777777" w:rsidR="00C306B5" w:rsidRPr="00C306B5" w:rsidRDefault="00C306B5" w:rsidP="00C306B5">
            <w:pPr>
              <w:spacing w:before="40" w:after="120"/>
              <w:ind w:right="113"/>
            </w:pPr>
            <w:r w:rsidRPr="00C306B5">
              <w:t>111.11</w:t>
            </w:r>
          </w:p>
          <w:p w14:paraId="0E43AD2E" w14:textId="20633194" w:rsidR="00C306B5" w:rsidRPr="00C306B5" w:rsidRDefault="00C306B5" w:rsidP="00E55C27">
            <w:pPr>
              <w:spacing w:before="40" w:after="120"/>
              <w:ind w:right="113"/>
            </w:pPr>
            <w:r w:rsidRPr="00C306B5">
              <w:t>111.101</w:t>
            </w:r>
          </w:p>
        </w:tc>
        <w:tc>
          <w:tcPr>
            <w:tcW w:w="1313" w:type="dxa"/>
            <w:shd w:val="clear" w:color="auto" w:fill="auto"/>
          </w:tcPr>
          <w:p w14:paraId="55577BAD" w14:textId="77777777" w:rsidR="00C306B5" w:rsidRPr="00C306B5" w:rsidRDefault="00C306B5" w:rsidP="00C306B5">
            <w:pPr>
              <w:spacing w:before="40" w:after="120"/>
              <w:ind w:right="113"/>
            </w:pPr>
            <w:r w:rsidRPr="00C306B5">
              <w:t>Apoya / Toma nota</w:t>
            </w:r>
          </w:p>
        </w:tc>
        <w:tc>
          <w:tcPr>
            <w:tcW w:w="4415" w:type="dxa"/>
            <w:shd w:val="clear" w:color="auto" w:fill="auto"/>
          </w:tcPr>
          <w:p w14:paraId="175EC442" w14:textId="69C63016" w:rsidR="00C306B5" w:rsidRPr="00C306B5" w:rsidRDefault="00C306B5" w:rsidP="00C306B5">
            <w:pPr>
              <w:spacing w:before="40" w:after="120"/>
              <w:ind w:right="113"/>
            </w:pPr>
            <w:r w:rsidRPr="00C306B5">
              <w:t>El Estado peruano en el marco de su función constitucional</w:t>
            </w:r>
            <w:r w:rsidR="00E55C27">
              <w:rPr>
                <w:rStyle w:val="EndnoteReference"/>
              </w:rPr>
              <w:endnoteReference w:id="18"/>
            </w:r>
            <w:r w:rsidRPr="00C306B5">
              <w:t xml:space="preserve"> de la Ley </w:t>
            </w:r>
            <w:proofErr w:type="spellStart"/>
            <w:r w:rsidRPr="00C306B5">
              <w:t>N°</w:t>
            </w:r>
            <w:proofErr w:type="spellEnd"/>
            <w:r w:rsidRPr="00C306B5">
              <w:t xml:space="preserve"> 28044</w:t>
            </w:r>
            <w:r w:rsidR="00E55C27">
              <w:rPr>
                <w:rStyle w:val="EndnoteReference"/>
              </w:rPr>
              <w:endnoteReference w:id="19"/>
            </w:r>
            <w:r w:rsidRPr="00C306B5">
              <w:t xml:space="preserve"> y su reglamento</w:t>
            </w:r>
            <w:r w:rsidR="00E55C27">
              <w:rPr>
                <w:rStyle w:val="EndnoteReference"/>
              </w:rPr>
              <w:endnoteReference w:id="20"/>
            </w:r>
            <w:r w:rsidRPr="00C306B5">
              <w:t>. garantizará una educación sexual integral. Por ello apoya la recomendación vinculada a este compromiso.</w:t>
            </w:r>
          </w:p>
          <w:p w14:paraId="5937CE8B" w14:textId="1F3580A4" w:rsidR="00C306B5" w:rsidRPr="00C306B5" w:rsidRDefault="00C306B5" w:rsidP="00C306B5">
            <w:pPr>
              <w:spacing w:before="40" w:after="120"/>
              <w:ind w:right="113"/>
            </w:pPr>
            <w:r w:rsidRPr="00C306B5">
              <w:t xml:space="preserve">Sin perjuicio de ello, con relación a la recomendación de “derogar” la Ley </w:t>
            </w:r>
            <w:proofErr w:type="spellStart"/>
            <w:r w:rsidRPr="00C306B5">
              <w:t>N°</w:t>
            </w:r>
            <w:proofErr w:type="spellEnd"/>
            <w:r w:rsidRPr="00C306B5">
              <w:t xml:space="preserve"> 31498 “Ley que impulsa la calidad de los materiales y recursos educativos en el Perú” (anterior Proyecto de Ley </w:t>
            </w:r>
            <w:proofErr w:type="spellStart"/>
            <w:r w:rsidRPr="00C306B5">
              <w:t>N°</w:t>
            </w:r>
            <w:proofErr w:type="spellEnd"/>
            <w:r w:rsidRPr="00C306B5">
              <w:t xml:space="preserve"> 090472021-CR) “toma nota”, por ser una medida que requiere una evaluación de manera integral.</w:t>
            </w:r>
          </w:p>
        </w:tc>
      </w:tr>
      <w:tr w:rsidR="00C306B5" w:rsidRPr="00C306B5" w14:paraId="24EBD4C2" w14:textId="77777777" w:rsidTr="00C306B5">
        <w:tc>
          <w:tcPr>
            <w:tcW w:w="1642" w:type="dxa"/>
            <w:tcBorders>
              <w:bottom w:val="single" w:sz="12" w:space="0" w:color="auto"/>
            </w:tcBorders>
            <w:shd w:val="clear" w:color="auto" w:fill="auto"/>
          </w:tcPr>
          <w:p w14:paraId="6A9D2B8E" w14:textId="77777777" w:rsidR="00C306B5" w:rsidRPr="00C306B5" w:rsidRDefault="00C306B5" w:rsidP="00C306B5">
            <w:pPr>
              <w:spacing w:before="40" w:after="120"/>
              <w:ind w:right="113"/>
            </w:pPr>
            <w:r w:rsidRPr="00C306B5">
              <w:t>111.96</w:t>
            </w:r>
          </w:p>
          <w:p w14:paraId="2A9CD794" w14:textId="77777777" w:rsidR="00C306B5" w:rsidRPr="00C306B5" w:rsidRDefault="00C306B5" w:rsidP="00C306B5">
            <w:pPr>
              <w:spacing w:before="40" w:after="120"/>
              <w:ind w:right="113"/>
            </w:pPr>
            <w:r w:rsidRPr="00C306B5">
              <w:t>111.98</w:t>
            </w:r>
          </w:p>
          <w:p w14:paraId="5E071F4E" w14:textId="77777777" w:rsidR="00C306B5" w:rsidRPr="00C306B5" w:rsidRDefault="00C306B5" w:rsidP="00C306B5">
            <w:pPr>
              <w:spacing w:before="40" w:after="120"/>
              <w:ind w:right="113"/>
            </w:pPr>
            <w:r w:rsidRPr="00C306B5">
              <w:t>111.99</w:t>
            </w:r>
          </w:p>
          <w:p w14:paraId="5248EBAC" w14:textId="77777777" w:rsidR="00C306B5" w:rsidRPr="00C306B5" w:rsidRDefault="00C306B5" w:rsidP="00C306B5">
            <w:pPr>
              <w:spacing w:before="40" w:after="120"/>
              <w:ind w:right="113"/>
            </w:pPr>
            <w:r w:rsidRPr="00C306B5">
              <w:t>111.102</w:t>
            </w:r>
          </w:p>
          <w:p w14:paraId="5285F462" w14:textId="77777777" w:rsidR="00C306B5" w:rsidRPr="00C306B5" w:rsidRDefault="00C306B5" w:rsidP="00C306B5">
            <w:pPr>
              <w:spacing w:before="40" w:after="120"/>
              <w:ind w:right="113"/>
            </w:pPr>
            <w:r w:rsidRPr="00C306B5">
              <w:t>111.103</w:t>
            </w:r>
          </w:p>
          <w:p w14:paraId="77FD37B4" w14:textId="77777777" w:rsidR="00C306B5" w:rsidRPr="00C306B5" w:rsidRDefault="00C306B5" w:rsidP="00C306B5">
            <w:pPr>
              <w:spacing w:before="40" w:after="120"/>
              <w:ind w:right="113"/>
            </w:pPr>
            <w:r w:rsidRPr="00C306B5">
              <w:t>111.104</w:t>
            </w:r>
          </w:p>
          <w:p w14:paraId="484EE801" w14:textId="77777777" w:rsidR="00C306B5" w:rsidRPr="00C306B5" w:rsidRDefault="00C306B5" w:rsidP="00C306B5">
            <w:pPr>
              <w:spacing w:before="40" w:after="120"/>
              <w:ind w:right="113"/>
            </w:pPr>
            <w:r w:rsidRPr="00C306B5">
              <w:t>111.150</w:t>
            </w:r>
          </w:p>
          <w:p w14:paraId="162752B2" w14:textId="77777777" w:rsidR="00C306B5" w:rsidRPr="00C306B5" w:rsidRDefault="00C306B5" w:rsidP="00C306B5">
            <w:pPr>
              <w:spacing w:before="40" w:after="120"/>
              <w:ind w:right="113"/>
            </w:pPr>
            <w:r w:rsidRPr="00C306B5">
              <w:t>111.173</w:t>
            </w:r>
          </w:p>
          <w:p w14:paraId="7D9C3274" w14:textId="77777777" w:rsidR="00C306B5" w:rsidRPr="00C306B5" w:rsidRDefault="00C306B5" w:rsidP="00C306B5">
            <w:pPr>
              <w:spacing w:before="40" w:after="120"/>
              <w:ind w:right="113"/>
            </w:pPr>
            <w:r w:rsidRPr="00C306B5">
              <w:t>111.92</w:t>
            </w:r>
          </w:p>
        </w:tc>
        <w:tc>
          <w:tcPr>
            <w:tcW w:w="1313" w:type="dxa"/>
            <w:tcBorders>
              <w:bottom w:val="single" w:sz="12" w:space="0" w:color="auto"/>
            </w:tcBorders>
            <w:shd w:val="clear" w:color="auto" w:fill="auto"/>
          </w:tcPr>
          <w:p w14:paraId="6C488A64" w14:textId="77777777" w:rsidR="00C306B5" w:rsidRPr="00C306B5" w:rsidRDefault="00C306B5" w:rsidP="00C306B5">
            <w:pPr>
              <w:spacing w:before="40" w:after="120"/>
              <w:ind w:right="113"/>
            </w:pPr>
            <w:r w:rsidRPr="00C306B5">
              <w:t>Apoya</w:t>
            </w:r>
          </w:p>
        </w:tc>
        <w:tc>
          <w:tcPr>
            <w:tcW w:w="4415" w:type="dxa"/>
            <w:tcBorders>
              <w:bottom w:val="single" w:sz="12" w:space="0" w:color="auto"/>
            </w:tcBorders>
            <w:shd w:val="clear" w:color="auto" w:fill="auto"/>
          </w:tcPr>
          <w:p w14:paraId="35F22114" w14:textId="77777777" w:rsidR="00C306B5" w:rsidRPr="00C306B5" w:rsidRDefault="00C306B5" w:rsidP="00C306B5">
            <w:pPr>
              <w:spacing w:before="40" w:after="120"/>
              <w:ind w:right="113"/>
            </w:pPr>
          </w:p>
        </w:tc>
      </w:tr>
    </w:tbl>
    <w:p w14:paraId="0D6C2ADB" w14:textId="319A6030" w:rsidR="00C306B5" w:rsidRDefault="00E55C27" w:rsidP="00E55C27">
      <w:pPr>
        <w:pStyle w:val="H1G"/>
        <w:rPr>
          <w:bCs/>
        </w:rPr>
      </w:pPr>
      <w:r>
        <w:rPr>
          <w:lang w:val="es-PE"/>
        </w:rPr>
        <w:tab/>
        <w:t>K.</w:t>
      </w:r>
      <w:r>
        <w:rPr>
          <w:lang w:val="es-PE"/>
        </w:rPr>
        <w:tab/>
      </w:r>
      <w:r w:rsidRPr="00E55C27">
        <w:rPr>
          <w:bCs/>
          <w:lang w:val="es-PE"/>
        </w:rPr>
        <w:t>Derecho</w:t>
      </w:r>
      <w:r w:rsidRPr="00E55C27">
        <w:rPr>
          <w:bCs/>
        </w:rPr>
        <w:t xml:space="preserve"> a la </w:t>
      </w:r>
      <w:r w:rsidRPr="00E55C27">
        <w:rPr>
          <w:bCs/>
          <w:lang w:val="es-PE"/>
        </w:rPr>
        <w:t>vivienda</w:t>
      </w:r>
      <w:r w:rsidRPr="00E55C27">
        <w:rPr>
          <w:bCs/>
        </w:rPr>
        <w:t>, agua y saneamiento</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5"/>
        <w:gridCol w:w="1317"/>
        <w:gridCol w:w="4408"/>
      </w:tblGrid>
      <w:tr w:rsidR="00E55C27" w:rsidRPr="00E55C27" w14:paraId="30A78AC4" w14:textId="77777777" w:rsidTr="00E55C27">
        <w:trPr>
          <w:tblHeader/>
        </w:trPr>
        <w:tc>
          <w:tcPr>
            <w:tcW w:w="1645" w:type="dxa"/>
            <w:tcBorders>
              <w:top w:val="single" w:sz="4" w:space="0" w:color="auto"/>
              <w:bottom w:val="single" w:sz="12" w:space="0" w:color="auto"/>
            </w:tcBorders>
            <w:shd w:val="clear" w:color="auto" w:fill="auto"/>
            <w:vAlign w:val="bottom"/>
          </w:tcPr>
          <w:p w14:paraId="7A2C817D" w14:textId="77777777" w:rsidR="00E55C27" w:rsidRPr="00E55C27" w:rsidRDefault="00E55C27" w:rsidP="00E55C27">
            <w:pPr>
              <w:spacing w:before="80" w:after="80" w:line="200" w:lineRule="exact"/>
              <w:ind w:right="113"/>
              <w:rPr>
                <w:i/>
                <w:sz w:val="16"/>
              </w:rPr>
            </w:pPr>
            <w:r w:rsidRPr="00E55C27">
              <w:rPr>
                <w:i/>
                <w:sz w:val="16"/>
              </w:rPr>
              <w:t>Recomendación</w:t>
            </w:r>
          </w:p>
        </w:tc>
        <w:tc>
          <w:tcPr>
            <w:tcW w:w="1317" w:type="dxa"/>
            <w:tcBorders>
              <w:top w:val="single" w:sz="4" w:space="0" w:color="auto"/>
              <w:bottom w:val="single" w:sz="12" w:space="0" w:color="auto"/>
            </w:tcBorders>
            <w:shd w:val="clear" w:color="auto" w:fill="auto"/>
            <w:vAlign w:val="bottom"/>
          </w:tcPr>
          <w:p w14:paraId="1870976B" w14:textId="77777777" w:rsidR="00E55C27" w:rsidRPr="00E55C27" w:rsidRDefault="00E55C27" w:rsidP="00E55C27">
            <w:pPr>
              <w:spacing w:before="80" w:after="80" w:line="200" w:lineRule="exact"/>
              <w:ind w:right="113"/>
              <w:rPr>
                <w:i/>
                <w:sz w:val="16"/>
              </w:rPr>
            </w:pPr>
            <w:r w:rsidRPr="00E55C27">
              <w:rPr>
                <w:i/>
                <w:sz w:val="16"/>
              </w:rPr>
              <w:t>Posición</w:t>
            </w:r>
          </w:p>
        </w:tc>
        <w:tc>
          <w:tcPr>
            <w:tcW w:w="4408" w:type="dxa"/>
            <w:tcBorders>
              <w:top w:val="single" w:sz="4" w:space="0" w:color="auto"/>
              <w:bottom w:val="single" w:sz="12" w:space="0" w:color="auto"/>
            </w:tcBorders>
            <w:shd w:val="clear" w:color="auto" w:fill="auto"/>
            <w:vAlign w:val="bottom"/>
          </w:tcPr>
          <w:p w14:paraId="326D92DA" w14:textId="77777777" w:rsidR="00E55C27" w:rsidRPr="00E55C27" w:rsidRDefault="00E55C27" w:rsidP="00E55C27">
            <w:pPr>
              <w:spacing w:before="80" w:after="80" w:line="200" w:lineRule="exact"/>
              <w:ind w:right="113"/>
              <w:rPr>
                <w:i/>
                <w:sz w:val="16"/>
              </w:rPr>
            </w:pPr>
            <w:r w:rsidRPr="00E55C27">
              <w:rPr>
                <w:i/>
                <w:sz w:val="16"/>
              </w:rPr>
              <w:t>Comentarios</w:t>
            </w:r>
          </w:p>
        </w:tc>
      </w:tr>
      <w:tr w:rsidR="00E55C27" w:rsidRPr="00E55C27" w14:paraId="435E253B" w14:textId="77777777" w:rsidTr="00E55C27">
        <w:trPr>
          <w:trHeight w:hRule="exact" w:val="113"/>
          <w:tblHeader/>
        </w:trPr>
        <w:tc>
          <w:tcPr>
            <w:tcW w:w="1645" w:type="dxa"/>
            <w:tcBorders>
              <w:top w:val="single" w:sz="12" w:space="0" w:color="auto"/>
            </w:tcBorders>
            <w:shd w:val="clear" w:color="auto" w:fill="auto"/>
          </w:tcPr>
          <w:p w14:paraId="0AB5BC95" w14:textId="77777777" w:rsidR="00E55C27" w:rsidRPr="00E55C27" w:rsidRDefault="00E55C27" w:rsidP="00E55C27">
            <w:pPr>
              <w:spacing w:before="40" w:after="120"/>
              <w:ind w:right="113"/>
            </w:pPr>
          </w:p>
        </w:tc>
        <w:tc>
          <w:tcPr>
            <w:tcW w:w="1317" w:type="dxa"/>
            <w:tcBorders>
              <w:top w:val="single" w:sz="12" w:space="0" w:color="auto"/>
            </w:tcBorders>
            <w:shd w:val="clear" w:color="auto" w:fill="auto"/>
          </w:tcPr>
          <w:p w14:paraId="79105327" w14:textId="77777777" w:rsidR="00E55C27" w:rsidRPr="00E55C27" w:rsidRDefault="00E55C27" w:rsidP="00E55C27">
            <w:pPr>
              <w:spacing w:before="40" w:after="120"/>
              <w:ind w:right="113"/>
            </w:pPr>
          </w:p>
        </w:tc>
        <w:tc>
          <w:tcPr>
            <w:tcW w:w="4408" w:type="dxa"/>
            <w:tcBorders>
              <w:top w:val="single" w:sz="12" w:space="0" w:color="auto"/>
            </w:tcBorders>
            <w:shd w:val="clear" w:color="auto" w:fill="auto"/>
          </w:tcPr>
          <w:p w14:paraId="0252F3C3" w14:textId="77777777" w:rsidR="00E55C27" w:rsidRPr="00E55C27" w:rsidRDefault="00E55C27" w:rsidP="00E55C27">
            <w:pPr>
              <w:spacing w:before="40" w:after="120"/>
              <w:ind w:right="113"/>
            </w:pPr>
          </w:p>
        </w:tc>
      </w:tr>
      <w:tr w:rsidR="00E55C27" w:rsidRPr="00E55C27" w14:paraId="5E0EFCF8" w14:textId="77777777" w:rsidTr="00E55C27">
        <w:tc>
          <w:tcPr>
            <w:tcW w:w="1645" w:type="dxa"/>
            <w:tcBorders>
              <w:bottom w:val="single" w:sz="12" w:space="0" w:color="auto"/>
            </w:tcBorders>
            <w:shd w:val="clear" w:color="auto" w:fill="auto"/>
          </w:tcPr>
          <w:p w14:paraId="26834551" w14:textId="77777777" w:rsidR="00E55C27" w:rsidRPr="00E55C27" w:rsidRDefault="00E55C27" w:rsidP="00E55C27">
            <w:pPr>
              <w:spacing w:before="40" w:after="120"/>
              <w:ind w:right="113"/>
            </w:pPr>
            <w:r w:rsidRPr="00E55C27">
              <w:t>111.76</w:t>
            </w:r>
          </w:p>
          <w:p w14:paraId="1506EC2D" w14:textId="77777777" w:rsidR="00E55C27" w:rsidRPr="00E55C27" w:rsidRDefault="00E55C27" w:rsidP="00E55C27">
            <w:pPr>
              <w:spacing w:before="40" w:after="120"/>
              <w:ind w:right="113"/>
            </w:pPr>
            <w:r w:rsidRPr="00E55C27">
              <w:t>111.77</w:t>
            </w:r>
          </w:p>
          <w:p w14:paraId="459F3338" w14:textId="77777777" w:rsidR="00E55C27" w:rsidRPr="00E55C27" w:rsidRDefault="00E55C27" w:rsidP="00E55C27">
            <w:pPr>
              <w:spacing w:before="40" w:after="120"/>
              <w:ind w:right="113"/>
            </w:pPr>
            <w:r w:rsidRPr="00E55C27">
              <w:t>111.78</w:t>
            </w:r>
          </w:p>
          <w:p w14:paraId="077CC004" w14:textId="77777777" w:rsidR="00E55C27" w:rsidRPr="00E55C27" w:rsidRDefault="00E55C27" w:rsidP="00E55C27">
            <w:pPr>
              <w:spacing w:before="40" w:after="120"/>
              <w:ind w:right="113"/>
            </w:pPr>
            <w:r w:rsidRPr="00E55C27">
              <w:t>111.81</w:t>
            </w:r>
          </w:p>
          <w:p w14:paraId="57DF16AB" w14:textId="77777777" w:rsidR="00E55C27" w:rsidRPr="00E55C27" w:rsidRDefault="00E55C27" w:rsidP="00E55C27">
            <w:pPr>
              <w:spacing w:before="40" w:after="120"/>
              <w:ind w:right="113"/>
            </w:pPr>
            <w:r w:rsidRPr="00E55C27">
              <w:t>111.84</w:t>
            </w:r>
          </w:p>
          <w:p w14:paraId="24758753" w14:textId="77777777" w:rsidR="00E55C27" w:rsidRPr="00E55C27" w:rsidRDefault="00E55C27" w:rsidP="00E55C27">
            <w:pPr>
              <w:spacing w:before="40" w:after="120"/>
              <w:ind w:right="113"/>
            </w:pPr>
            <w:r w:rsidRPr="00E55C27">
              <w:t>111.109</w:t>
            </w:r>
          </w:p>
        </w:tc>
        <w:tc>
          <w:tcPr>
            <w:tcW w:w="1317" w:type="dxa"/>
            <w:tcBorders>
              <w:bottom w:val="single" w:sz="12" w:space="0" w:color="auto"/>
            </w:tcBorders>
            <w:shd w:val="clear" w:color="auto" w:fill="auto"/>
          </w:tcPr>
          <w:p w14:paraId="4BD52F87" w14:textId="77777777" w:rsidR="00E55C27" w:rsidRPr="00E55C27" w:rsidRDefault="00E55C27" w:rsidP="00E55C27">
            <w:pPr>
              <w:spacing w:before="40" w:after="120"/>
              <w:ind w:right="113"/>
            </w:pPr>
            <w:r w:rsidRPr="00E55C27">
              <w:t>Apoya</w:t>
            </w:r>
          </w:p>
        </w:tc>
        <w:tc>
          <w:tcPr>
            <w:tcW w:w="4408" w:type="dxa"/>
            <w:tcBorders>
              <w:bottom w:val="single" w:sz="12" w:space="0" w:color="auto"/>
            </w:tcBorders>
            <w:shd w:val="clear" w:color="auto" w:fill="auto"/>
          </w:tcPr>
          <w:p w14:paraId="4C8D269C" w14:textId="77777777" w:rsidR="00E55C27" w:rsidRPr="00E55C27" w:rsidRDefault="00E55C27" w:rsidP="00E55C27">
            <w:pPr>
              <w:spacing w:before="40" w:after="120"/>
              <w:ind w:right="113"/>
            </w:pPr>
          </w:p>
        </w:tc>
      </w:tr>
    </w:tbl>
    <w:p w14:paraId="0A68E0F1" w14:textId="380E0237" w:rsidR="00E55C27" w:rsidRDefault="00E55C27" w:rsidP="00E55C27">
      <w:pPr>
        <w:pStyle w:val="H1G"/>
        <w:rPr>
          <w:bCs/>
        </w:rPr>
      </w:pPr>
      <w:r>
        <w:lastRenderedPageBreak/>
        <w:tab/>
        <w:t>L.</w:t>
      </w:r>
      <w:r>
        <w:tab/>
      </w:r>
      <w:r w:rsidRPr="00E55C27">
        <w:rPr>
          <w:bCs/>
          <w:lang w:val="es-PE"/>
        </w:rPr>
        <w:t>Reducción</w:t>
      </w:r>
      <w:r w:rsidRPr="00E55C27">
        <w:rPr>
          <w:bCs/>
        </w:rPr>
        <w:t xml:space="preserve"> de desigualdad y seguridad alimentaria</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2"/>
        <w:gridCol w:w="1492"/>
        <w:gridCol w:w="4286"/>
      </w:tblGrid>
      <w:tr w:rsidR="00E55C27" w:rsidRPr="00E55C27" w14:paraId="38913873" w14:textId="77777777" w:rsidTr="00E55C27">
        <w:trPr>
          <w:tblHeader/>
        </w:trPr>
        <w:tc>
          <w:tcPr>
            <w:tcW w:w="1592" w:type="dxa"/>
            <w:tcBorders>
              <w:top w:val="single" w:sz="4" w:space="0" w:color="auto"/>
              <w:bottom w:val="single" w:sz="12" w:space="0" w:color="auto"/>
            </w:tcBorders>
            <w:shd w:val="clear" w:color="auto" w:fill="auto"/>
            <w:vAlign w:val="bottom"/>
          </w:tcPr>
          <w:p w14:paraId="50AEAAFF" w14:textId="77777777" w:rsidR="00E55C27" w:rsidRPr="00E55C27" w:rsidRDefault="00E55C27" w:rsidP="00E55C27">
            <w:pPr>
              <w:spacing w:before="80" w:after="80" w:line="200" w:lineRule="exact"/>
              <w:ind w:right="113"/>
              <w:rPr>
                <w:i/>
                <w:sz w:val="16"/>
              </w:rPr>
            </w:pPr>
            <w:r w:rsidRPr="00E55C27">
              <w:rPr>
                <w:i/>
                <w:sz w:val="16"/>
              </w:rPr>
              <w:t>Recomendación</w:t>
            </w:r>
          </w:p>
        </w:tc>
        <w:tc>
          <w:tcPr>
            <w:tcW w:w="1492" w:type="dxa"/>
            <w:tcBorders>
              <w:top w:val="single" w:sz="4" w:space="0" w:color="auto"/>
              <w:bottom w:val="single" w:sz="12" w:space="0" w:color="auto"/>
            </w:tcBorders>
            <w:shd w:val="clear" w:color="auto" w:fill="auto"/>
            <w:vAlign w:val="bottom"/>
          </w:tcPr>
          <w:p w14:paraId="57E2E5F5" w14:textId="77777777" w:rsidR="00E55C27" w:rsidRPr="00E55C27" w:rsidRDefault="00E55C27" w:rsidP="00E55C27">
            <w:pPr>
              <w:spacing w:before="80" w:after="80" w:line="200" w:lineRule="exact"/>
              <w:ind w:right="113"/>
              <w:rPr>
                <w:i/>
                <w:sz w:val="16"/>
              </w:rPr>
            </w:pPr>
            <w:r w:rsidRPr="00E55C27">
              <w:rPr>
                <w:i/>
                <w:sz w:val="16"/>
              </w:rPr>
              <w:t>Posición</w:t>
            </w:r>
          </w:p>
        </w:tc>
        <w:tc>
          <w:tcPr>
            <w:tcW w:w="4286" w:type="dxa"/>
            <w:tcBorders>
              <w:top w:val="single" w:sz="4" w:space="0" w:color="auto"/>
              <w:bottom w:val="single" w:sz="12" w:space="0" w:color="auto"/>
            </w:tcBorders>
            <w:shd w:val="clear" w:color="auto" w:fill="auto"/>
            <w:vAlign w:val="bottom"/>
          </w:tcPr>
          <w:p w14:paraId="369CCDD5" w14:textId="77777777" w:rsidR="00E55C27" w:rsidRPr="00E55C27" w:rsidRDefault="00E55C27" w:rsidP="00E55C27">
            <w:pPr>
              <w:spacing w:before="80" w:after="80" w:line="200" w:lineRule="exact"/>
              <w:ind w:right="113"/>
              <w:rPr>
                <w:i/>
                <w:sz w:val="16"/>
              </w:rPr>
            </w:pPr>
            <w:r w:rsidRPr="00E55C27">
              <w:rPr>
                <w:i/>
                <w:sz w:val="16"/>
              </w:rPr>
              <w:t>Comentarios</w:t>
            </w:r>
          </w:p>
        </w:tc>
      </w:tr>
      <w:tr w:rsidR="00E55C27" w:rsidRPr="00E55C27" w14:paraId="32115D16" w14:textId="77777777" w:rsidTr="00E55C27">
        <w:trPr>
          <w:trHeight w:hRule="exact" w:val="113"/>
          <w:tblHeader/>
        </w:trPr>
        <w:tc>
          <w:tcPr>
            <w:tcW w:w="1592" w:type="dxa"/>
            <w:tcBorders>
              <w:top w:val="single" w:sz="12" w:space="0" w:color="auto"/>
            </w:tcBorders>
            <w:shd w:val="clear" w:color="auto" w:fill="auto"/>
          </w:tcPr>
          <w:p w14:paraId="3946E78A" w14:textId="77777777" w:rsidR="00E55C27" w:rsidRPr="00E55C27" w:rsidRDefault="00E55C27" w:rsidP="00E55C27">
            <w:pPr>
              <w:spacing w:before="40" w:after="120"/>
              <w:ind w:right="113"/>
            </w:pPr>
          </w:p>
        </w:tc>
        <w:tc>
          <w:tcPr>
            <w:tcW w:w="1492" w:type="dxa"/>
            <w:tcBorders>
              <w:top w:val="single" w:sz="12" w:space="0" w:color="auto"/>
            </w:tcBorders>
            <w:shd w:val="clear" w:color="auto" w:fill="auto"/>
          </w:tcPr>
          <w:p w14:paraId="702D69AE" w14:textId="77777777" w:rsidR="00E55C27" w:rsidRPr="00E55C27" w:rsidRDefault="00E55C27" w:rsidP="00E55C27">
            <w:pPr>
              <w:spacing w:before="40" w:after="120"/>
              <w:ind w:right="113"/>
            </w:pPr>
          </w:p>
        </w:tc>
        <w:tc>
          <w:tcPr>
            <w:tcW w:w="4286" w:type="dxa"/>
            <w:tcBorders>
              <w:top w:val="single" w:sz="12" w:space="0" w:color="auto"/>
            </w:tcBorders>
            <w:shd w:val="clear" w:color="auto" w:fill="auto"/>
          </w:tcPr>
          <w:p w14:paraId="193C1C2B" w14:textId="77777777" w:rsidR="00E55C27" w:rsidRPr="00E55C27" w:rsidRDefault="00E55C27" w:rsidP="00E55C27">
            <w:pPr>
              <w:spacing w:before="40" w:after="120"/>
              <w:ind w:right="113"/>
            </w:pPr>
          </w:p>
        </w:tc>
      </w:tr>
      <w:tr w:rsidR="00E55C27" w:rsidRPr="00E55C27" w14:paraId="50568CEC" w14:textId="77777777" w:rsidTr="00E55C27">
        <w:tc>
          <w:tcPr>
            <w:tcW w:w="1592" w:type="dxa"/>
            <w:tcBorders>
              <w:bottom w:val="single" w:sz="12" w:space="0" w:color="auto"/>
            </w:tcBorders>
            <w:shd w:val="clear" w:color="auto" w:fill="auto"/>
          </w:tcPr>
          <w:p w14:paraId="362F65F9" w14:textId="77777777" w:rsidR="00E55C27" w:rsidRPr="00E55C27" w:rsidRDefault="00E55C27" w:rsidP="00E55C27">
            <w:pPr>
              <w:spacing w:before="40" w:after="120"/>
              <w:ind w:right="113"/>
            </w:pPr>
            <w:r w:rsidRPr="00E55C27">
              <w:t>111.83</w:t>
            </w:r>
          </w:p>
          <w:p w14:paraId="5367E543" w14:textId="77777777" w:rsidR="00E55C27" w:rsidRPr="00E55C27" w:rsidRDefault="00E55C27" w:rsidP="00E55C27">
            <w:pPr>
              <w:spacing w:before="40" w:after="120"/>
              <w:ind w:right="113"/>
            </w:pPr>
            <w:r w:rsidRPr="00E55C27">
              <w:t>111.86</w:t>
            </w:r>
          </w:p>
          <w:p w14:paraId="638FDB01" w14:textId="5F2CE90F" w:rsidR="00E55C27" w:rsidRPr="00E55C27" w:rsidRDefault="00E55C27" w:rsidP="00E55C27">
            <w:pPr>
              <w:spacing w:before="40" w:after="120"/>
              <w:ind w:right="113"/>
            </w:pPr>
            <w:r w:rsidRPr="00E55C27">
              <w:t>111.80</w:t>
            </w:r>
          </w:p>
        </w:tc>
        <w:tc>
          <w:tcPr>
            <w:tcW w:w="1492" w:type="dxa"/>
            <w:tcBorders>
              <w:bottom w:val="single" w:sz="12" w:space="0" w:color="auto"/>
            </w:tcBorders>
            <w:shd w:val="clear" w:color="auto" w:fill="auto"/>
          </w:tcPr>
          <w:p w14:paraId="20D18F0E" w14:textId="77777777" w:rsidR="00E55C27" w:rsidRPr="00E55C27" w:rsidRDefault="00E55C27" w:rsidP="00E55C27">
            <w:pPr>
              <w:spacing w:before="40" w:after="120"/>
              <w:ind w:right="113"/>
            </w:pPr>
            <w:r w:rsidRPr="00E55C27">
              <w:t>Apoya</w:t>
            </w:r>
          </w:p>
        </w:tc>
        <w:tc>
          <w:tcPr>
            <w:tcW w:w="4286" w:type="dxa"/>
            <w:tcBorders>
              <w:bottom w:val="single" w:sz="12" w:space="0" w:color="auto"/>
            </w:tcBorders>
            <w:shd w:val="clear" w:color="auto" w:fill="auto"/>
          </w:tcPr>
          <w:p w14:paraId="2269CFD3" w14:textId="77777777" w:rsidR="00E55C27" w:rsidRPr="00E55C27" w:rsidRDefault="00E55C27" w:rsidP="00E55C27">
            <w:pPr>
              <w:spacing w:before="40" w:after="120"/>
              <w:ind w:right="113"/>
            </w:pPr>
          </w:p>
        </w:tc>
      </w:tr>
    </w:tbl>
    <w:p w14:paraId="0C77CCCE" w14:textId="159D1A32" w:rsidR="00E55C27" w:rsidRDefault="00E55C27" w:rsidP="00E55C27">
      <w:pPr>
        <w:pStyle w:val="H1G"/>
        <w:rPr>
          <w:bCs/>
        </w:rPr>
      </w:pPr>
      <w:r>
        <w:tab/>
        <w:t>M.</w:t>
      </w:r>
      <w:r>
        <w:tab/>
      </w:r>
      <w:r w:rsidRPr="00E55C27">
        <w:rPr>
          <w:bCs/>
          <w:lang w:val="es-PE"/>
        </w:rPr>
        <w:t>Derechos</w:t>
      </w:r>
      <w:r w:rsidRPr="00E55C27">
        <w:rPr>
          <w:bCs/>
        </w:rPr>
        <w:t xml:space="preserve"> a la salud y salud sexual y reproductiva</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2"/>
        <w:gridCol w:w="1555"/>
        <w:gridCol w:w="4173"/>
      </w:tblGrid>
      <w:tr w:rsidR="00E55C27" w:rsidRPr="00E55C27" w14:paraId="38D5F96B" w14:textId="77777777" w:rsidTr="00E55C27">
        <w:trPr>
          <w:tblHeader/>
        </w:trPr>
        <w:tc>
          <w:tcPr>
            <w:tcW w:w="1642" w:type="dxa"/>
            <w:tcBorders>
              <w:top w:val="single" w:sz="4" w:space="0" w:color="auto"/>
              <w:bottom w:val="single" w:sz="12" w:space="0" w:color="auto"/>
            </w:tcBorders>
            <w:shd w:val="clear" w:color="auto" w:fill="auto"/>
            <w:vAlign w:val="bottom"/>
          </w:tcPr>
          <w:p w14:paraId="4D6E4CCF" w14:textId="77777777" w:rsidR="00E55C27" w:rsidRPr="00E55C27" w:rsidRDefault="00E55C27" w:rsidP="00E55C27">
            <w:pPr>
              <w:spacing w:before="80" w:after="80" w:line="200" w:lineRule="exact"/>
              <w:ind w:right="113"/>
              <w:rPr>
                <w:i/>
                <w:sz w:val="16"/>
              </w:rPr>
            </w:pPr>
            <w:r w:rsidRPr="00E55C27">
              <w:rPr>
                <w:i/>
                <w:sz w:val="16"/>
              </w:rPr>
              <w:t>Recomendación</w:t>
            </w:r>
          </w:p>
        </w:tc>
        <w:tc>
          <w:tcPr>
            <w:tcW w:w="1555" w:type="dxa"/>
            <w:tcBorders>
              <w:top w:val="single" w:sz="4" w:space="0" w:color="auto"/>
              <w:bottom w:val="single" w:sz="12" w:space="0" w:color="auto"/>
            </w:tcBorders>
            <w:shd w:val="clear" w:color="auto" w:fill="auto"/>
            <w:vAlign w:val="bottom"/>
          </w:tcPr>
          <w:p w14:paraId="1B8580BC" w14:textId="77777777" w:rsidR="00E55C27" w:rsidRPr="00E55C27" w:rsidRDefault="00E55C27" w:rsidP="00E55C27">
            <w:pPr>
              <w:spacing w:before="80" w:after="80" w:line="200" w:lineRule="exact"/>
              <w:ind w:right="113"/>
              <w:rPr>
                <w:i/>
                <w:sz w:val="16"/>
              </w:rPr>
            </w:pPr>
            <w:r w:rsidRPr="00E55C27">
              <w:rPr>
                <w:i/>
                <w:sz w:val="16"/>
              </w:rPr>
              <w:t>Posición</w:t>
            </w:r>
          </w:p>
        </w:tc>
        <w:tc>
          <w:tcPr>
            <w:tcW w:w="4173" w:type="dxa"/>
            <w:tcBorders>
              <w:top w:val="single" w:sz="4" w:space="0" w:color="auto"/>
              <w:bottom w:val="single" w:sz="12" w:space="0" w:color="auto"/>
            </w:tcBorders>
            <w:shd w:val="clear" w:color="auto" w:fill="auto"/>
            <w:vAlign w:val="bottom"/>
          </w:tcPr>
          <w:p w14:paraId="6BA87679" w14:textId="77777777" w:rsidR="00E55C27" w:rsidRPr="00E55C27" w:rsidRDefault="00E55C27" w:rsidP="00E55C27">
            <w:pPr>
              <w:spacing w:before="80" w:after="80" w:line="200" w:lineRule="exact"/>
              <w:ind w:right="113"/>
              <w:rPr>
                <w:i/>
                <w:sz w:val="16"/>
              </w:rPr>
            </w:pPr>
            <w:r w:rsidRPr="00E55C27">
              <w:rPr>
                <w:i/>
                <w:sz w:val="16"/>
              </w:rPr>
              <w:t>Comentarios</w:t>
            </w:r>
          </w:p>
        </w:tc>
      </w:tr>
      <w:tr w:rsidR="00E55C27" w:rsidRPr="00E55C27" w14:paraId="352E8F25" w14:textId="77777777" w:rsidTr="00E55C27">
        <w:trPr>
          <w:trHeight w:hRule="exact" w:val="113"/>
          <w:tblHeader/>
        </w:trPr>
        <w:tc>
          <w:tcPr>
            <w:tcW w:w="1642" w:type="dxa"/>
            <w:tcBorders>
              <w:top w:val="single" w:sz="12" w:space="0" w:color="auto"/>
            </w:tcBorders>
            <w:shd w:val="clear" w:color="auto" w:fill="auto"/>
          </w:tcPr>
          <w:p w14:paraId="54F22A59" w14:textId="77777777" w:rsidR="00E55C27" w:rsidRPr="00E55C27" w:rsidRDefault="00E55C27" w:rsidP="00E55C27">
            <w:pPr>
              <w:spacing w:before="40" w:after="120"/>
              <w:ind w:right="113"/>
            </w:pPr>
          </w:p>
        </w:tc>
        <w:tc>
          <w:tcPr>
            <w:tcW w:w="1555" w:type="dxa"/>
            <w:tcBorders>
              <w:top w:val="single" w:sz="12" w:space="0" w:color="auto"/>
            </w:tcBorders>
            <w:shd w:val="clear" w:color="auto" w:fill="auto"/>
          </w:tcPr>
          <w:p w14:paraId="694F7936" w14:textId="77777777" w:rsidR="00E55C27" w:rsidRPr="00E55C27" w:rsidRDefault="00E55C27" w:rsidP="00E55C27">
            <w:pPr>
              <w:spacing w:before="40" w:after="120"/>
              <w:ind w:right="113"/>
            </w:pPr>
          </w:p>
        </w:tc>
        <w:tc>
          <w:tcPr>
            <w:tcW w:w="4173" w:type="dxa"/>
            <w:tcBorders>
              <w:top w:val="single" w:sz="12" w:space="0" w:color="auto"/>
            </w:tcBorders>
            <w:shd w:val="clear" w:color="auto" w:fill="auto"/>
          </w:tcPr>
          <w:p w14:paraId="28EA0780" w14:textId="77777777" w:rsidR="00E55C27" w:rsidRPr="00E55C27" w:rsidRDefault="00E55C27" w:rsidP="00E55C27">
            <w:pPr>
              <w:spacing w:before="40" w:after="120"/>
              <w:ind w:right="113"/>
            </w:pPr>
          </w:p>
        </w:tc>
      </w:tr>
      <w:tr w:rsidR="00E55C27" w:rsidRPr="00E55C27" w14:paraId="22834E65" w14:textId="77777777" w:rsidTr="00E55C27">
        <w:tc>
          <w:tcPr>
            <w:tcW w:w="1642" w:type="dxa"/>
            <w:shd w:val="clear" w:color="auto" w:fill="auto"/>
          </w:tcPr>
          <w:p w14:paraId="03CE4249" w14:textId="77777777" w:rsidR="00E55C27" w:rsidRPr="00E55C27" w:rsidRDefault="00E55C27" w:rsidP="00E55C27">
            <w:pPr>
              <w:spacing w:before="40" w:after="120"/>
              <w:ind w:right="113"/>
            </w:pPr>
            <w:r w:rsidRPr="00E55C27">
              <w:t>111.85</w:t>
            </w:r>
          </w:p>
          <w:p w14:paraId="1AD197C7" w14:textId="77777777" w:rsidR="00E55C27" w:rsidRPr="00E55C27" w:rsidRDefault="00E55C27" w:rsidP="00E55C27">
            <w:pPr>
              <w:spacing w:before="40" w:after="120"/>
              <w:ind w:right="113"/>
            </w:pPr>
            <w:r w:rsidRPr="00E55C27">
              <w:t>111.88</w:t>
            </w:r>
          </w:p>
          <w:p w14:paraId="75B87C0A" w14:textId="77777777" w:rsidR="00E55C27" w:rsidRPr="00E55C27" w:rsidRDefault="00E55C27" w:rsidP="00E55C27">
            <w:pPr>
              <w:spacing w:before="40" w:after="120"/>
              <w:ind w:right="113"/>
            </w:pPr>
            <w:r w:rsidRPr="00E55C27">
              <w:t>111.90</w:t>
            </w:r>
          </w:p>
          <w:p w14:paraId="417B882A" w14:textId="77777777" w:rsidR="00E55C27" w:rsidRPr="00E55C27" w:rsidRDefault="00E55C27" w:rsidP="00E55C27">
            <w:pPr>
              <w:spacing w:before="40" w:after="120"/>
              <w:ind w:right="113"/>
            </w:pPr>
            <w:r w:rsidRPr="00E55C27">
              <w:t>111.94</w:t>
            </w:r>
          </w:p>
          <w:p w14:paraId="3B2388E7" w14:textId="77777777" w:rsidR="00E55C27" w:rsidRPr="00E55C27" w:rsidRDefault="00E55C27" w:rsidP="00E55C27">
            <w:pPr>
              <w:spacing w:before="40" w:after="120"/>
              <w:ind w:right="113"/>
            </w:pPr>
            <w:r w:rsidRPr="00E55C27">
              <w:t>111.95</w:t>
            </w:r>
          </w:p>
          <w:p w14:paraId="5D47D0FF" w14:textId="77777777" w:rsidR="00E55C27" w:rsidRPr="00E55C27" w:rsidRDefault="00E55C27" w:rsidP="00E55C27">
            <w:pPr>
              <w:spacing w:before="40" w:after="120"/>
              <w:ind w:right="113"/>
            </w:pPr>
            <w:r w:rsidRPr="00E55C27">
              <w:t>111.116</w:t>
            </w:r>
          </w:p>
          <w:p w14:paraId="2729A0A1" w14:textId="77777777" w:rsidR="00E55C27" w:rsidRPr="00E55C27" w:rsidRDefault="00E55C27" w:rsidP="00E55C27">
            <w:pPr>
              <w:spacing w:before="40" w:after="120"/>
              <w:ind w:right="113"/>
            </w:pPr>
            <w:r w:rsidRPr="00E55C27">
              <w:t>111.124</w:t>
            </w:r>
          </w:p>
        </w:tc>
        <w:tc>
          <w:tcPr>
            <w:tcW w:w="1555" w:type="dxa"/>
            <w:shd w:val="clear" w:color="auto" w:fill="auto"/>
          </w:tcPr>
          <w:p w14:paraId="0303F9BD" w14:textId="77777777" w:rsidR="00E55C27" w:rsidRPr="00E55C27" w:rsidRDefault="00E55C27" w:rsidP="00E55C27">
            <w:pPr>
              <w:spacing w:before="40" w:after="120"/>
              <w:ind w:right="113"/>
            </w:pPr>
            <w:r w:rsidRPr="00E55C27">
              <w:t>Apoya</w:t>
            </w:r>
          </w:p>
        </w:tc>
        <w:tc>
          <w:tcPr>
            <w:tcW w:w="4173" w:type="dxa"/>
            <w:shd w:val="clear" w:color="auto" w:fill="auto"/>
          </w:tcPr>
          <w:p w14:paraId="4A907272" w14:textId="77777777" w:rsidR="00E55C27" w:rsidRPr="00E55C27" w:rsidRDefault="00E55C27" w:rsidP="00E55C27">
            <w:pPr>
              <w:spacing w:before="40" w:after="120"/>
              <w:ind w:right="113"/>
            </w:pPr>
          </w:p>
        </w:tc>
      </w:tr>
      <w:tr w:rsidR="00E55C27" w:rsidRPr="00E55C27" w14:paraId="13BBF504" w14:textId="77777777" w:rsidTr="00E55C27">
        <w:tc>
          <w:tcPr>
            <w:tcW w:w="1642" w:type="dxa"/>
            <w:shd w:val="clear" w:color="auto" w:fill="auto"/>
          </w:tcPr>
          <w:p w14:paraId="51EA1C0F" w14:textId="454C48D9" w:rsidR="00E55C27" w:rsidRPr="00E55C27" w:rsidRDefault="00E55C27" w:rsidP="00E55C27">
            <w:pPr>
              <w:spacing w:before="40" w:after="120"/>
              <w:ind w:right="113"/>
            </w:pPr>
            <w:r w:rsidRPr="00E55C27">
              <w:t>111.89</w:t>
            </w:r>
          </w:p>
        </w:tc>
        <w:tc>
          <w:tcPr>
            <w:tcW w:w="1555" w:type="dxa"/>
            <w:shd w:val="clear" w:color="auto" w:fill="auto"/>
          </w:tcPr>
          <w:p w14:paraId="1D4350E8" w14:textId="77777777" w:rsidR="00E55C27" w:rsidRPr="00E55C27" w:rsidRDefault="00E55C27" w:rsidP="00E55C27">
            <w:pPr>
              <w:spacing w:before="40" w:after="120"/>
              <w:ind w:right="113"/>
            </w:pPr>
            <w:r w:rsidRPr="00E55C27">
              <w:t>Toma nota / Apoya</w:t>
            </w:r>
          </w:p>
        </w:tc>
        <w:tc>
          <w:tcPr>
            <w:tcW w:w="4173" w:type="dxa"/>
            <w:shd w:val="clear" w:color="auto" w:fill="auto"/>
          </w:tcPr>
          <w:p w14:paraId="62A5B307" w14:textId="33ED9A42" w:rsidR="00E55C27" w:rsidRPr="00E55C27" w:rsidRDefault="00E55C27" w:rsidP="00E55C27">
            <w:pPr>
              <w:spacing w:before="40" w:after="120"/>
              <w:ind w:right="113"/>
              <w:rPr>
                <w:lang w:val="es-PE"/>
              </w:rPr>
            </w:pPr>
            <w:r w:rsidRPr="00E55C27">
              <w:rPr>
                <w:lang w:val="es-PE"/>
              </w:rPr>
              <w:t>El Estado peruano reafirma su compromiso en garantizar el derecho humano a la salud</w:t>
            </w:r>
            <w:r>
              <w:rPr>
                <w:rStyle w:val="EndnoteReference"/>
                <w:lang w:val="es-PE"/>
              </w:rPr>
              <w:endnoteReference w:id="21"/>
            </w:r>
            <w:r w:rsidRPr="00E55C27">
              <w:rPr>
                <w:lang w:val="es-PE"/>
              </w:rPr>
              <w:t>, por lo que continuará promoviendo el acceso a los servicios de salud sexual y reproductiva, con especial énfasis en las niñas, adolescentes y mujeres.</w:t>
            </w:r>
          </w:p>
          <w:p w14:paraId="56C30C4E" w14:textId="779173CB" w:rsidR="00E55C27" w:rsidRPr="00E55C27" w:rsidRDefault="00E55C27" w:rsidP="00E55C27">
            <w:pPr>
              <w:spacing w:before="40" w:after="120"/>
              <w:ind w:right="113"/>
              <w:rPr>
                <w:lang w:val="es-PE"/>
              </w:rPr>
            </w:pPr>
            <w:r w:rsidRPr="00E55C27">
              <w:rPr>
                <w:lang w:val="es-PE"/>
              </w:rPr>
              <w:t>Asimismo, siguiendo la línea de la posición de Estado en el marco del Tercer Ciclo del EPU</w:t>
            </w:r>
            <w:r>
              <w:rPr>
                <w:rStyle w:val="EndnoteReference"/>
                <w:lang w:val="es-PE"/>
              </w:rPr>
              <w:endnoteReference w:id="22"/>
            </w:r>
            <w:r w:rsidRPr="00E55C27">
              <w:t>, se apoya el extremo de la recomendación relacionado a “seguir fortaleciendo el acceso a los servicios de salud sexual y reproductiva para las víctimas de violencia sexual”.</w:t>
            </w:r>
          </w:p>
        </w:tc>
      </w:tr>
      <w:tr w:rsidR="00E55C27" w:rsidRPr="00E55C27" w14:paraId="442B8501" w14:textId="77777777" w:rsidTr="00E55C27">
        <w:tc>
          <w:tcPr>
            <w:tcW w:w="1642" w:type="dxa"/>
            <w:shd w:val="clear" w:color="auto" w:fill="auto"/>
          </w:tcPr>
          <w:p w14:paraId="7454658E" w14:textId="28BF1318" w:rsidR="00E55C27" w:rsidRPr="00E55C27" w:rsidRDefault="00E55C27" w:rsidP="00E55C27">
            <w:pPr>
              <w:spacing w:before="40" w:after="120"/>
              <w:ind w:right="113"/>
            </w:pPr>
            <w:r w:rsidRPr="00E55C27">
              <w:t>111.91</w:t>
            </w:r>
          </w:p>
        </w:tc>
        <w:tc>
          <w:tcPr>
            <w:tcW w:w="1555" w:type="dxa"/>
            <w:shd w:val="clear" w:color="auto" w:fill="auto"/>
          </w:tcPr>
          <w:p w14:paraId="64C8EAA0" w14:textId="77777777" w:rsidR="00E55C27" w:rsidRPr="00E55C27" w:rsidRDefault="00E55C27" w:rsidP="00E55C27">
            <w:pPr>
              <w:spacing w:before="40" w:after="120"/>
              <w:ind w:right="113"/>
            </w:pPr>
            <w:r w:rsidRPr="00E55C27">
              <w:t>Apoya / Toma nota</w:t>
            </w:r>
          </w:p>
        </w:tc>
        <w:tc>
          <w:tcPr>
            <w:tcW w:w="4173" w:type="dxa"/>
            <w:shd w:val="clear" w:color="auto" w:fill="auto"/>
          </w:tcPr>
          <w:p w14:paraId="7E0C97E1" w14:textId="0F3588F3" w:rsidR="00E55C27" w:rsidRPr="00E55C27" w:rsidRDefault="00E55C27" w:rsidP="00E55C27">
            <w:pPr>
              <w:spacing w:before="40" w:after="120"/>
              <w:ind w:right="113"/>
            </w:pPr>
            <w:bookmarkStart w:id="0" w:name="_Hlk136337096"/>
            <w:r w:rsidRPr="00E55C27">
              <w:t xml:space="preserve">En atención a los comentarios previamente señalados, se apoya </w:t>
            </w:r>
            <w:bookmarkEnd w:id="0"/>
            <w:r w:rsidRPr="00E55C27">
              <w:t>esta recomendación sobre “garantizar el acceso a información y servicios de salud sexual y reproductiva”.</w:t>
            </w:r>
          </w:p>
        </w:tc>
      </w:tr>
      <w:tr w:rsidR="00E55C27" w:rsidRPr="00E55C27" w14:paraId="76BE34E3" w14:textId="77777777" w:rsidTr="00E55C27">
        <w:tc>
          <w:tcPr>
            <w:tcW w:w="1642" w:type="dxa"/>
            <w:shd w:val="clear" w:color="auto" w:fill="auto"/>
          </w:tcPr>
          <w:p w14:paraId="549A515A" w14:textId="77777777" w:rsidR="00E55C27" w:rsidRPr="00E55C27" w:rsidRDefault="00E55C27" w:rsidP="00E55C27">
            <w:pPr>
              <w:spacing w:before="40" w:after="120"/>
              <w:ind w:right="113"/>
            </w:pPr>
            <w:r w:rsidRPr="00E55C27">
              <w:t>111.97</w:t>
            </w:r>
          </w:p>
        </w:tc>
        <w:tc>
          <w:tcPr>
            <w:tcW w:w="1555" w:type="dxa"/>
            <w:shd w:val="clear" w:color="auto" w:fill="auto"/>
          </w:tcPr>
          <w:p w14:paraId="3F2FC94E" w14:textId="77777777" w:rsidR="00E55C27" w:rsidRPr="00E55C27" w:rsidRDefault="00E55C27" w:rsidP="00E55C27">
            <w:pPr>
              <w:spacing w:before="40" w:after="120"/>
              <w:ind w:right="113"/>
            </w:pPr>
            <w:r w:rsidRPr="00E55C27">
              <w:t>Toma nota / Apoya</w:t>
            </w:r>
          </w:p>
        </w:tc>
        <w:tc>
          <w:tcPr>
            <w:tcW w:w="4173" w:type="dxa"/>
            <w:shd w:val="clear" w:color="auto" w:fill="auto"/>
          </w:tcPr>
          <w:p w14:paraId="71161205" w14:textId="13D37D10" w:rsidR="00E55C27" w:rsidRPr="00E55C27" w:rsidRDefault="00E55C27" w:rsidP="00E55C27">
            <w:pPr>
              <w:spacing w:before="40" w:after="120"/>
              <w:ind w:right="113"/>
            </w:pPr>
            <w:r w:rsidRPr="00E55C27">
              <w:t>En el mismo sentido a lo indicado en el párrafo anterior, se apoya el extremo de la recomendación “desarrollar e implementar protocolos integrales de atención de la salud para salvaguardar la salud y los derechos sexuales y reproductivos”.</w:t>
            </w:r>
          </w:p>
        </w:tc>
      </w:tr>
      <w:tr w:rsidR="00E55C27" w:rsidRPr="00E55C27" w14:paraId="0E9D11A9" w14:textId="77777777" w:rsidTr="00E55C27">
        <w:tc>
          <w:tcPr>
            <w:tcW w:w="1642" w:type="dxa"/>
            <w:tcBorders>
              <w:bottom w:val="single" w:sz="12" w:space="0" w:color="auto"/>
            </w:tcBorders>
            <w:shd w:val="clear" w:color="auto" w:fill="auto"/>
          </w:tcPr>
          <w:p w14:paraId="670F9693" w14:textId="33719DCA" w:rsidR="00E55C27" w:rsidRPr="00E55C27" w:rsidRDefault="00E55C27" w:rsidP="00E55C27">
            <w:pPr>
              <w:spacing w:before="40" w:after="120"/>
              <w:ind w:right="113"/>
            </w:pPr>
            <w:r w:rsidRPr="00E55C27">
              <w:t>111.123</w:t>
            </w:r>
          </w:p>
        </w:tc>
        <w:tc>
          <w:tcPr>
            <w:tcW w:w="1555" w:type="dxa"/>
            <w:tcBorders>
              <w:bottom w:val="single" w:sz="12" w:space="0" w:color="auto"/>
            </w:tcBorders>
            <w:shd w:val="clear" w:color="auto" w:fill="auto"/>
          </w:tcPr>
          <w:p w14:paraId="5C10865A" w14:textId="77777777" w:rsidR="00E55C27" w:rsidRPr="00E55C27" w:rsidRDefault="00E55C27" w:rsidP="00E55C27">
            <w:pPr>
              <w:spacing w:before="40" w:after="120"/>
              <w:ind w:right="113"/>
            </w:pPr>
            <w:r w:rsidRPr="00E55C27">
              <w:t>Apoya / Toma nota</w:t>
            </w:r>
          </w:p>
        </w:tc>
        <w:tc>
          <w:tcPr>
            <w:tcW w:w="4173" w:type="dxa"/>
            <w:tcBorders>
              <w:bottom w:val="single" w:sz="12" w:space="0" w:color="auto"/>
            </w:tcBorders>
            <w:shd w:val="clear" w:color="auto" w:fill="auto"/>
          </w:tcPr>
          <w:p w14:paraId="55D6057B" w14:textId="577E0AC1" w:rsidR="00E55C27" w:rsidRPr="00E55C27" w:rsidRDefault="00E55C27" w:rsidP="00E55C27">
            <w:pPr>
              <w:spacing w:before="40" w:after="120"/>
              <w:ind w:right="113"/>
              <w:rPr>
                <w:lang w:val="es-PE"/>
              </w:rPr>
            </w:pPr>
            <w:r w:rsidRPr="00E55C27">
              <w:rPr>
                <w:lang w:val="es-PE"/>
              </w:rPr>
              <w:t>Igualmente, se apoya esta recomendación en lo referido a “considerar la legalización del aborto en casos de violación, incesto, amenaza a la vida o la salud de la mujer embarazada o malformación del feto”</w:t>
            </w:r>
            <w:r>
              <w:rPr>
                <w:rStyle w:val="EndnoteReference"/>
                <w:lang w:val="es-PE"/>
              </w:rPr>
              <w:endnoteReference w:id="23"/>
            </w:r>
            <w:r w:rsidRPr="00E55C27">
              <w:rPr>
                <w:lang w:val="es-PE"/>
              </w:rPr>
              <w:t>.</w:t>
            </w:r>
          </w:p>
        </w:tc>
      </w:tr>
    </w:tbl>
    <w:p w14:paraId="47029E3F" w14:textId="4671393B" w:rsidR="00E55C27" w:rsidRDefault="00E55C27" w:rsidP="00E55C27">
      <w:pPr>
        <w:pStyle w:val="H1G"/>
        <w:rPr>
          <w:bCs/>
          <w:lang w:val="es-PE"/>
        </w:rPr>
      </w:pPr>
      <w:r>
        <w:rPr>
          <w:lang w:val="es-PE"/>
        </w:rPr>
        <w:lastRenderedPageBreak/>
        <w:tab/>
        <w:t>N.</w:t>
      </w:r>
      <w:r>
        <w:rPr>
          <w:lang w:val="es-PE"/>
        </w:rPr>
        <w:tab/>
      </w:r>
      <w:r w:rsidRPr="00E55C27">
        <w:rPr>
          <w:bCs/>
          <w:lang w:val="es-PE"/>
        </w:rPr>
        <w:t>Medio ambiente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4"/>
        <w:gridCol w:w="1492"/>
        <w:gridCol w:w="4164"/>
      </w:tblGrid>
      <w:tr w:rsidR="00E55C27" w:rsidRPr="00E55C27" w14:paraId="6C42C328" w14:textId="77777777" w:rsidTr="00E55C27">
        <w:trPr>
          <w:tblHeader/>
        </w:trPr>
        <w:tc>
          <w:tcPr>
            <w:tcW w:w="1714" w:type="dxa"/>
            <w:tcBorders>
              <w:top w:val="single" w:sz="4" w:space="0" w:color="auto"/>
              <w:bottom w:val="single" w:sz="12" w:space="0" w:color="auto"/>
            </w:tcBorders>
            <w:shd w:val="clear" w:color="auto" w:fill="auto"/>
            <w:vAlign w:val="bottom"/>
          </w:tcPr>
          <w:p w14:paraId="7BEA751B" w14:textId="77777777" w:rsidR="00E55C27" w:rsidRPr="00E55C27" w:rsidRDefault="00E55C27" w:rsidP="00E55C27">
            <w:pPr>
              <w:spacing w:before="80" w:after="80" w:line="200" w:lineRule="exact"/>
              <w:ind w:right="113"/>
              <w:rPr>
                <w:i/>
                <w:sz w:val="16"/>
              </w:rPr>
            </w:pPr>
            <w:r w:rsidRPr="00E55C27">
              <w:rPr>
                <w:i/>
                <w:sz w:val="16"/>
              </w:rPr>
              <w:t>Recomendación</w:t>
            </w:r>
          </w:p>
        </w:tc>
        <w:tc>
          <w:tcPr>
            <w:tcW w:w="1492" w:type="dxa"/>
            <w:tcBorders>
              <w:top w:val="single" w:sz="4" w:space="0" w:color="auto"/>
              <w:bottom w:val="single" w:sz="12" w:space="0" w:color="auto"/>
            </w:tcBorders>
            <w:shd w:val="clear" w:color="auto" w:fill="auto"/>
            <w:vAlign w:val="bottom"/>
          </w:tcPr>
          <w:p w14:paraId="6C9B9686" w14:textId="77777777" w:rsidR="00E55C27" w:rsidRPr="00E55C27" w:rsidRDefault="00E55C27" w:rsidP="00E55C27">
            <w:pPr>
              <w:spacing w:before="80" w:after="80" w:line="200" w:lineRule="exact"/>
              <w:ind w:right="113"/>
              <w:rPr>
                <w:i/>
                <w:sz w:val="16"/>
              </w:rPr>
            </w:pPr>
            <w:r w:rsidRPr="00E55C27">
              <w:rPr>
                <w:i/>
                <w:sz w:val="16"/>
              </w:rPr>
              <w:t>Posición</w:t>
            </w:r>
          </w:p>
        </w:tc>
        <w:tc>
          <w:tcPr>
            <w:tcW w:w="4164" w:type="dxa"/>
            <w:tcBorders>
              <w:top w:val="single" w:sz="4" w:space="0" w:color="auto"/>
              <w:bottom w:val="single" w:sz="12" w:space="0" w:color="auto"/>
            </w:tcBorders>
            <w:shd w:val="clear" w:color="auto" w:fill="auto"/>
            <w:vAlign w:val="bottom"/>
          </w:tcPr>
          <w:p w14:paraId="27EA8D7D" w14:textId="77777777" w:rsidR="00E55C27" w:rsidRPr="00E55C27" w:rsidRDefault="00E55C27" w:rsidP="00E55C27">
            <w:pPr>
              <w:spacing w:before="80" w:after="80" w:line="200" w:lineRule="exact"/>
              <w:ind w:right="113"/>
              <w:rPr>
                <w:i/>
                <w:sz w:val="16"/>
              </w:rPr>
            </w:pPr>
            <w:r w:rsidRPr="00E55C27">
              <w:rPr>
                <w:i/>
                <w:sz w:val="16"/>
              </w:rPr>
              <w:t>Comentarios</w:t>
            </w:r>
          </w:p>
        </w:tc>
      </w:tr>
      <w:tr w:rsidR="00E55C27" w:rsidRPr="00E55C27" w14:paraId="08D8C18D" w14:textId="77777777" w:rsidTr="00E55C27">
        <w:trPr>
          <w:trHeight w:hRule="exact" w:val="113"/>
          <w:tblHeader/>
        </w:trPr>
        <w:tc>
          <w:tcPr>
            <w:tcW w:w="1714" w:type="dxa"/>
            <w:tcBorders>
              <w:top w:val="single" w:sz="12" w:space="0" w:color="auto"/>
            </w:tcBorders>
            <w:shd w:val="clear" w:color="auto" w:fill="auto"/>
          </w:tcPr>
          <w:p w14:paraId="32EA0659" w14:textId="77777777" w:rsidR="00E55C27" w:rsidRPr="00E55C27" w:rsidRDefault="00E55C27" w:rsidP="00E55C27">
            <w:pPr>
              <w:spacing w:before="40" w:after="120"/>
              <w:ind w:right="113"/>
            </w:pPr>
          </w:p>
        </w:tc>
        <w:tc>
          <w:tcPr>
            <w:tcW w:w="1492" w:type="dxa"/>
            <w:tcBorders>
              <w:top w:val="single" w:sz="12" w:space="0" w:color="auto"/>
            </w:tcBorders>
            <w:shd w:val="clear" w:color="auto" w:fill="auto"/>
          </w:tcPr>
          <w:p w14:paraId="57026391" w14:textId="77777777" w:rsidR="00E55C27" w:rsidRPr="00E55C27" w:rsidRDefault="00E55C27" w:rsidP="00E55C27">
            <w:pPr>
              <w:spacing w:before="40" w:after="120"/>
              <w:ind w:right="113"/>
            </w:pPr>
          </w:p>
        </w:tc>
        <w:tc>
          <w:tcPr>
            <w:tcW w:w="4164" w:type="dxa"/>
            <w:tcBorders>
              <w:top w:val="single" w:sz="12" w:space="0" w:color="auto"/>
            </w:tcBorders>
            <w:shd w:val="clear" w:color="auto" w:fill="auto"/>
          </w:tcPr>
          <w:p w14:paraId="11B28659" w14:textId="77777777" w:rsidR="00E55C27" w:rsidRPr="00E55C27" w:rsidRDefault="00E55C27" w:rsidP="00E55C27">
            <w:pPr>
              <w:spacing w:before="40" w:after="120"/>
              <w:ind w:right="113"/>
            </w:pPr>
          </w:p>
        </w:tc>
      </w:tr>
      <w:tr w:rsidR="00E55C27" w:rsidRPr="00E55C27" w14:paraId="36C920E8" w14:textId="77777777" w:rsidTr="00E55C27">
        <w:tc>
          <w:tcPr>
            <w:tcW w:w="1714" w:type="dxa"/>
            <w:tcBorders>
              <w:bottom w:val="single" w:sz="12" w:space="0" w:color="auto"/>
            </w:tcBorders>
            <w:shd w:val="clear" w:color="auto" w:fill="auto"/>
          </w:tcPr>
          <w:p w14:paraId="5845D210" w14:textId="77777777" w:rsidR="00E55C27" w:rsidRPr="00E55C27" w:rsidRDefault="00E55C27" w:rsidP="00E55C27">
            <w:pPr>
              <w:spacing w:before="40" w:after="120"/>
              <w:ind w:right="113"/>
            </w:pPr>
            <w:r w:rsidRPr="00E55C27">
              <w:t>111.105</w:t>
            </w:r>
          </w:p>
          <w:p w14:paraId="09988576" w14:textId="77777777" w:rsidR="00E55C27" w:rsidRPr="00E55C27" w:rsidRDefault="00E55C27" w:rsidP="00E55C27">
            <w:pPr>
              <w:spacing w:before="40" w:after="120"/>
              <w:ind w:right="113"/>
            </w:pPr>
            <w:r w:rsidRPr="00E55C27">
              <w:t>111.106</w:t>
            </w:r>
          </w:p>
          <w:p w14:paraId="3B44A495" w14:textId="77777777" w:rsidR="00E55C27" w:rsidRPr="00E55C27" w:rsidRDefault="00E55C27" w:rsidP="00E55C27">
            <w:pPr>
              <w:spacing w:before="40" w:after="120"/>
              <w:ind w:right="113"/>
            </w:pPr>
            <w:r w:rsidRPr="00E55C27">
              <w:t>111.107</w:t>
            </w:r>
          </w:p>
          <w:p w14:paraId="536AC21E" w14:textId="77777777" w:rsidR="00E55C27" w:rsidRPr="00E55C27" w:rsidRDefault="00E55C27" w:rsidP="00E55C27">
            <w:pPr>
              <w:spacing w:before="40" w:after="120"/>
              <w:ind w:right="113"/>
            </w:pPr>
            <w:r w:rsidRPr="00E55C27">
              <w:t>111.108</w:t>
            </w:r>
          </w:p>
          <w:p w14:paraId="41A5D882" w14:textId="77777777" w:rsidR="00E55C27" w:rsidRPr="00E55C27" w:rsidRDefault="00E55C27" w:rsidP="00E55C27">
            <w:pPr>
              <w:spacing w:before="40" w:after="120"/>
              <w:ind w:right="113"/>
            </w:pPr>
            <w:r w:rsidRPr="00E55C27">
              <w:t>111.111</w:t>
            </w:r>
          </w:p>
        </w:tc>
        <w:tc>
          <w:tcPr>
            <w:tcW w:w="1492" w:type="dxa"/>
            <w:tcBorders>
              <w:bottom w:val="single" w:sz="12" w:space="0" w:color="auto"/>
            </w:tcBorders>
            <w:shd w:val="clear" w:color="auto" w:fill="auto"/>
          </w:tcPr>
          <w:p w14:paraId="126FC461" w14:textId="77777777" w:rsidR="00E55C27" w:rsidRPr="00E55C27" w:rsidRDefault="00E55C27" w:rsidP="00E55C27">
            <w:pPr>
              <w:spacing w:before="40" w:after="120"/>
              <w:ind w:right="113"/>
            </w:pPr>
            <w:r w:rsidRPr="00E55C27">
              <w:t>Apoya</w:t>
            </w:r>
          </w:p>
        </w:tc>
        <w:tc>
          <w:tcPr>
            <w:tcW w:w="4164" w:type="dxa"/>
            <w:tcBorders>
              <w:bottom w:val="single" w:sz="12" w:space="0" w:color="auto"/>
            </w:tcBorders>
            <w:shd w:val="clear" w:color="auto" w:fill="auto"/>
          </w:tcPr>
          <w:p w14:paraId="64CD65D9" w14:textId="77777777" w:rsidR="00E55C27" w:rsidRPr="00E55C27" w:rsidRDefault="00E55C27" w:rsidP="00E55C27">
            <w:pPr>
              <w:spacing w:before="40" w:after="120"/>
              <w:ind w:right="113"/>
            </w:pPr>
          </w:p>
        </w:tc>
      </w:tr>
    </w:tbl>
    <w:p w14:paraId="00AD5DF6" w14:textId="3B814589" w:rsidR="00E55C27" w:rsidRDefault="00E55C27" w:rsidP="00E55C27">
      <w:pPr>
        <w:pStyle w:val="HChG"/>
        <w:rPr>
          <w:bCs/>
          <w:lang w:val="es-PE"/>
        </w:rPr>
      </w:pPr>
      <w:r>
        <w:rPr>
          <w:lang w:val="es-PE"/>
        </w:rPr>
        <w:tab/>
        <w:t>III.</w:t>
      </w:r>
      <w:r>
        <w:rPr>
          <w:lang w:val="es-PE"/>
        </w:rPr>
        <w:tab/>
      </w:r>
      <w:r w:rsidRPr="00E55C27">
        <w:rPr>
          <w:bCs/>
          <w:lang w:val="es-PE"/>
        </w:rPr>
        <w:t xml:space="preserve">Grupos de </w:t>
      </w:r>
      <w:r w:rsidRPr="00E55C27">
        <w:rPr>
          <w:bCs/>
        </w:rPr>
        <w:t>especial</w:t>
      </w:r>
      <w:r w:rsidRPr="00E55C27">
        <w:rPr>
          <w:bCs/>
          <w:lang w:val="es-PE"/>
        </w:rPr>
        <w:t xml:space="preserve"> protección</w:t>
      </w:r>
    </w:p>
    <w:p w14:paraId="695579CD" w14:textId="5A5E60C4" w:rsidR="00E55C27" w:rsidRDefault="00E55C27" w:rsidP="00E55C27">
      <w:pPr>
        <w:pStyle w:val="H1G"/>
        <w:rPr>
          <w:bCs/>
        </w:rPr>
      </w:pPr>
      <w:r>
        <w:rPr>
          <w:lang w:val="es-PE"/>
        </w:rPr>
        <w:tab/>
        <w:t>A.</w:t>
      </w:r>
      <w:r>
        <w:rPr>
          <w:lang w:val="es-PE"/>
        </w:rPr>
        <w:tab/>
      </w:r>
      <w:r w:rsidRPr="00E55C27">
        <w:rPr>
          <w:bCs/>
        </w:rPr>
        <w:t>Personas privadas de la libertad</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3"/>
        <w:gridCol w:w="1369"/>
        <w:gridCol w:w="4408"/>
      </w:tblGrid>
      <w:tr w:rsidR="00E55C27" w:rsidRPr="00E55C27" w14:paraId="62AF2A3E" w14:textId="77777777" w:rsidTr="00E55C27">
        <w:trPr>
          <w:tblHeader/>
        </w:trPr>
        <w:tc>
          <w:tcPr>
            <w:tcW w:w="1593" w:type="dxa"/>
            <w:tcBorders>
              <w:top w:val="single" w:sz="4" w:space="0" w:color="auto"/>
              <w:bottom w:val="single" w:sz="12" w:space="0" w:color="auto"/>
            </w:tcBorders>
            <w:shd w:val="clear" w:color="auto" w:fill="auto"/>
            <w:vAlign w:val="bottom"/>
          </w:tcPr>
          <w:p w14:paraId="36880E5D" w14:textId="77777777" w:rsidR="00E55C27" w:rsidRPr="00E55C27" w:rsidRDefault="00E55C27" w:rsidP="00E55C27">
            <w:pPr>
              <w:spacing w:before="80" w:after="80" w:line="200" w:lineRule="exact"/>
              <w:ind w:right="113"/>
              <w:rPr>
                <w:i/>
                <w:sz w:val="16"/>
              </w:rPr>
            </w:pPr>
            <w:r w:rsidRPr="00E55C27">
              <w:rPr>
                <w:i/>
                <w:sz w:val="16"/>
              </w:rPr>
              <w:t>Recomendación</w:t>
            </w:r>
          </w:p>
        </w:tc>
        <w:tc>
          <w:tcPr>
            <w:tcW w:w="1369" w:type="dxa"/>
            <w:tcBorders>
              <w:top w:val="single" w:sz="4" w:space="0" w:color="auto"/>
              <w:bottom w:val="single" w:sz="12" w:space="0" w:color="auto"/>
            </w:tcBorders>
            <w:shd w:val="clear" w:color="auto" w:fill="auto"/>
            <w:vAlign w:val="bottom"/>
          </w:tcPr>
          <w:p w14:paraId="1C9BD9A2" w14:textId="77777777" w:rsidR="00E55C27" w:rsidRPr="00E55C27" w:rsidRDefault="00E55C27" w:rsidP="00E55C27">
            <w:pPr>
              <w:spacing w:before="80" w:after="80" w:line="200" w:lineRule="exact"/>
              <w:ind w:right="113"/>
              <w:rPr>
                <w:i/>
                <w:sz w:val="16"/>
              </w:rPr>
            </w:pPr>
            <w:r w:rsidRPr="00E55C27">
              <w:rPr>
                <w:i/>
                <w:sz w:val="16"/>
              </w:rPr>
              <w:t>Posición</w:t>
            </w:r>
          </w:p>
        </w:tc>
        <w:tc>
          <w:tcPr>
            <w:tcW w:w="4408" w:type="dxa"/>
            <w:tcBorders>
              <w:top w:val="single" w:sz="4" w:space="0" w:color="auto"/>
              <w:bottom w:val="single" w:sz="12" w:space="0" w:color="auto"/>
            </w:tcBorders>
            <w:shd w:val="clear" w:color="auto" w:fill="auto"/>
            <w:vAlign w:val="bottom"/>
          </w:tcPr>
          <w:p w14:paraId="21F8D925" w14:textId="77777777" w:rsidR="00E55C27" w:rsidRPr="00E55C27" w:rsidRDefault="00E55C27" w:rsidP="00E55C27">
            <w:pPr>
              <w:spacing w:before="80" w:after="80" w:line="200" w:lineRule="exact"/>
              <w:ind w:right="113"/>
              <w:rPr>
                <w:i/>
                <w:sz w:val="16"/>
              </w:rPr>
            </w:pPr>
            <w:r w:rsidRPr="00E55C27">
              <w:rPr>
                <w:i/>
                <w:sz w:val="16"/>
              </w:rPr>
              <w:t>Comentarios</w:t>
            </w:r>
          </w:p>
        </w:tc>
      </w:tr>
      <w:tr w:rsidR="00E55C27" w:rsidRPr="00E55C27" w14:paraId="420245CC" w14:textId="77777777" w:rsidTr="00E55C27">
        <w:trPr>
          <w:trHeight w:hRule="exact" w:val="113"/>
          <w:tblHeader/>
        </w:trPr>
        <w:tc>
          <w:tcPr>
            <w:tcW w:w="1593" w:type="dxa"/>
            <w:tcBorders>
              <w:top w:val="single" w:sz="12" w:space="0" w:color="auto"/>
            </w:tcBorders>
            <w:shd w:val="clear" w:color="auto" w:fill="auto"/>
          </w:tcPr>
          <w:p w14:paraId="70825E85" w14:textId="77777777" w:rsidR="00E55C27" w:rsidRPr="00E55C27" w:rsidRDefault="00E55C27" w:rsidP="00E55C27">
            <w:pPr>
              <w:spacing w:before="40" w:after="120"/>
              <w:ind w:right="113"/>
            </w:pPr>
          </w:p>
        </w:tc>
        <w:tc>
          <w:tcPr>
            <w:tcW w:w="1369" w:type="dxa"/>
            <w:tcBorders>
              <w:top w:val="single" w:sz="12" w:space="0" w:color="auto"/>
            </w:tcBorders>
            <w:shd w:val="clear" w:color="auto" w:fill="auto"/>
          </w:tcPr>
          <w:p w14:paraId="54711784" w14:textId="77777777" w:rsidR="00E55C27" w:rsidRPr="00E55C27" w:rsidRDefault="00E55C27" w:rsidP="00E55C27">
            <w:pPr>
              <w:spacing w:before="40" w:after="120"/>
              <w:ind w:right="113"/>
            </w:pPr>
          </w:p>
        </w:tc>
        <w:tc>
          <w:tcPr>
            <w:tcW w:w="4408" w:type="dxa"/>
            <w:tcBorders>
              <w:top w:val="single" w:sz="12" w:space="0" w:color="auto"/>
            </w:tcBorders>
            <w:shd w:val="clear" w:color="auto" w:fill="auto"/>
          </w:tcPr>
          <w:p w14:paraId="119FFEE5" w14:textId="77777777" w:rsidR="00E55C27" w:rsidRPr="00E55C27" w:rsidRDefault="00E55C27" w:rsidP="00E55C27">
            <w:pPr>
              <w:spacing w:before="40" w:after="120"/>
              <w:ind w:right="113"/>
            </w:pPr>
          </w:p>
        </w:tc>
      </w:tr>
      <w:tr w:rsidR="00E55C27" w:rsidRPr="00E55C27" w14:paraId="3D3155F4" w14:textId="77777777" w:rsidTr="00E55C27">
        <w:tc>
          <w:tcPr>
            <w:tcW w:w="1593" w:type="dxa"/>
            <w:tcBorders>
              <w:bottom w:val="single" w:sz="12" w:space="0" w:color="auto"/>
            </w:tcBorders>
            <w:shd w:val="clear" w:color="auto" w:fill="auto"/>
          </w:tcPr>
          <w:p w14:paraId="74F48980" w14:textId="77777777" w:rsidR="00E55C27" w:rsidRPr="00E55C27" w:rsidRDefault="00E55C27" w:rsidP="00E55C27">
            <w:pPr>
              <w:spacing w:before="40" w:after="120"/>
              <w:ind w:right="113"/>
            </w:pPr>
            <w:r w:rsidRPr="00E55C27">
              <w:t>111.22</w:t>
            </w:r>
          </w:p>
          <w:p w14:paraId="644BF2CD" w14:textId="77777777" w:rsidR="00E55C27" w:rsidRPr="00E55C27" w:rsidRDefault="00E55C27" w:rsidP="00E55C27">
            <w:pPr>
              <w:spacing w:before="40" w:after="120"/>
              <w:ind w:right="113"/>
            </w:pPr>
            <w:r w:rsidRPr="00E55C27">
              <w:t>111.25</w:t>
            </w:r>
          </w:p>
          <w:p w14:paraId="50AE93B0" w14:textId="77777777" w:rsidR="00E55C27" w:rsidRPr="00E55C27" w:rsidRDefault="00E55C27" w:rsidP="00E55C27">
            <w:pPr>
              <w:spacing w:before="40" w:after="120"/>
              <w:ind w:right="113"/>
            </w:pPr>
            <w:r w:rsidRPr="00E55C27">
              <w:t>111.41</w:t>
            </w:r>
          </w:p>
          <w:p w14:paraId="5464B262" w14:textId="77777777" w:rsidR="00E55C27" w:rsidRPr="00E55C27" w:rsidRDefault="00E55C27" w:rsidP="00E55C27">
            <w:pPr>
              <w:spacing w:before="40" w:after="120"/>
              <w:ind w:right="113"/>
            </w:pPr>
            <w:r w:rsidRPr="00E55C27">
              <w:t>111.126</w:t>
            </w:r>
          </w:p>
        </w:tc>
        <w:tc>
          <w:tcPr>
            <w:tcW w:w="1369" w:type="dxa"/>
            <w:tcBorders>
              <w:bottom w:val="single" w:sz="12" w:space="0" w:color="auto"/>
            </w:tcBorders>
            <w:shd w:val="clear" w:color="auto" w:fill="auto"/>
          </w:tcPr>
          <w:p w14:paraId="75A5E86C" w14:textId="6C3C7C32" w:rsidR="00E55C27" w:rsidRPr="00E55C27" w:rsidRDefault="00E55C27" w:rsidP="00E55C27">
            <w:pPr>
              <w:spacing w:before="40" w:after="120"/>
              <w:ind w:right="113"/>
            </w:pPr>
            <w:r w:rsidRPr="00E55C27">
              <w:t>Apoya</w:t>
            </w:r>
          </w:p>
        </w:tc>
        <w:tc>
          <w:tcPr>
            <w:tcW w:w="4408" w:type="dxa"/>
            <w:tcBorders>
              <w:bottom w:val="single" w:sz="12" w:space="0" w:color="auto"/>
            </w:tcBorders>
            <w:shd w:val="clear" w:color="auto" w:fill="auto"/>
          </w:tcPr>
          <w:p w14:paraId="78D27722" w14:textId="77777777" w:rsidR="00E55C27" w:rsidRPr="00E55C27" w:rsidRDefault="00E55C27" w:rsidP="00E55C27">
            <w:pPr>
              <w:spacing w:before="40" w:after="120"/>
              <w:ind w:right="113"/>
            </w:pPr>
          </w:p>
        </w:tc>
      </w:tr>
    </w:tbl>
    <w:p w14:paraId="71B31C7C" w14:textId="1F326AE9" w:rsidR="00E55C27" w:rsidRDefault="00E55C27" w:rsidP="00E55C27">
      <w:pPr>
        <w:pStyle w:val="H1G"/>
        <w:rPr>
          <w:bCs/>
        </w:rPr>
      </w:pPr>
      <w:r>
        <w:tab/>
        <w:t>B.</w:t>
      </w:r>
      <w:r>
        <w:tab/>
      </w:r>
      <w:r w:rsidRPr="00E55C27">
        <w:rPr>
          <w:bCs/>
        </w:rPr>
        <w:t>Personas defensoras de derechos humanos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3"/>
        <w:gridCol w:w="1369"/>
        <w:gridCol w:w="4408"/>
      </w:tblGrid>
      <w:tr w:rsidR="00E55C27" w:rsidRPr="00E55C27" w14:paraId="572A0E83" w14:textId="77777777" w:rsidTr="00E55C27">
        <w:trPr>
          <w:tblHeader/>
        </w:trPr>
        <w:tc>
          <w:tcPr>
            <w:tcW w:w="1593" w:type="dxa"/>
            <w:tcBorders>
              <w:top w:val="single" w:sz="4" w:space="0" w:color="auto"/>
              <w:bottom w:val="single" w:sz="12" w:space="0" w:color="auto"/>
            </w:tcBorders>
            <w:shd w:val="clear" w:color="auto" w:fill="auto"/>
            <w:vAlign w:val="bottom"/>
          </w:tcPr>
          <w:p w14:paraId="5751C362" w14:textId="77777777" w:rsidR="00E55C27" w:rsidRPr="00E55C27" w:rsidRDefault="00E55C27" w:rsidP="00E55C27">
            <w:pPr>
              <w:spacing w:before="80" w:after="80" w:line="200" w:lineRule="exact"/>
              <w:ind w:right="113"/>
              <w:rPr>
                <w:i/>
                <w:sz w:val="16"/>
              </w:rPr>
            </w:pPr>
            <w:r w:rsidRPr="00E55C27">
              <w:rPr>
                <w:i/>
                <w:sz w:val="16"/>
              </w:rPr>
              <w:t>Recomendación</w:t>
            </w:r>
          </w:p>
        </w:tc>
        <w:tc>
          <w:tcPr>
            <w:tcW w:w="1369" w:type="dxa"/>
            <w:tcBorders>
              <w:top w:val="single" w:sz="4" w:space="0" w:color="auto"/>
              <w:bottom w:val="single" w:sz="12" w:space="0" w:color="auto"/>
            </w:tcBorders>
            <w:shd w:val="clear" w:color="auto" w:fill="auto"/>
            <w:vAlign w:val="bottom"/>
          </w:tcPr>
          <w:p w14:paraId="76C17A96" w14:textId="77777777" w:rsidR="00E55C27" w:rsidRPr="00E55C27" w:rsidRDefault="00E55C27" w:rsidP="00E55C27">
            <w:pPr>
              <w:spacing w:before="80" w:after="80" w:line="200" w:lineRule="exact"/>
              <w:ind w:right="113"/>
              <w:rPr>
                <w:i/>
                <w:sz w:val="16"/>
              </w:rPr>
            </w:pPr>
            <w:r w:rsidRPr="00E55C27">
              <w:rPr>
                <w:i/>
                <w:sz w:val="16"/>
              </w:rPr>
              <w:t>Posición</w:t>
            </w:r>
          </w:p>
        </w:tc>
        <w:tc>
          <w:tcPr>
            <w:tcW w:w="4408" w:type="dxa"/>
            <w:tcBorders>
              <w:top w:val="single" w:sz="4" w:space="0" w:color="auto"/>
              <w:bottom w:val="single" w:sz="12" w:space="0" w:color="auto"/>
            </w:tcBorders>
            <w:shd w:val="clear" w:color="auto" w:fill="auto"/>
            <w:vAlign w:val="bottom"/>
          </w:tcPr>
          <w:p w14:paraId="7788D396" w14:textId="77777777" w:rsidR="00E55C27" w:rsidRPr="00E55C27" w:rsidRDefault="00E55C27" w:rsidP="00E55C27">
            <w:pPr>
              <w:spacing w:before="80" w:after="80" w:line="200" w:lineRule="exact"/>
              <w:ind w:right="113"/>
              <w:rPr>
                <w:i/>
                <w:sz w:val="16"/>
              </w:rPr>
            </w:pPr>
            <w:r w:rsidRPr="00E55C27">
              <w:rPr>
                <w:i/>
                <w:sz w:val="16"/>
              </w:rPr>
              <w:t>Comentarios</w:t>
            </w:r>
          </w:p>
        </w:tc>
      </w:tr>
      <w:tr w:rsidR="00E55C27" w:rsidRPr="00E55C27" w14:paraId="0D3C33F0" w14:textId="77777777" w:rsidTr="00E55C27">
        <w:trPr>
          <w:trHeight w:hRule="exact" w:val="113"/>
          <w:tblHeader/>
        </w:trPr>
        <w:tc>
          <w:tcPr>
            <w:tcW w:w="1593" w:type="dxa"/>
            <w:tcBorders>
              <w:top w:val="single" w:sz="12" w:space="0" w:color="auto"/>
            </w:tcBorders>
            <w:shd w:val="clear" w:color="auto" w:fill="auto"/>
          </w:tcPr>
          <w:p w14:paraId="10B0143D" w14:textId="77777777" w:rsidR="00E55C27" w:rsidRPr="00E55C27" w:rsidRDefault="00E55C27" w:rsidP="00E55C27">
            <w:pPr>
              <w:spacing w:before="40" w:after="120"/>
              <w:ind w:right="113"/>
            </w:pPr>
          </w:p>
        </w:tc>
        <w:tc>
          <w:tcPr>
            <w:tcW w:w="1369" w:type="dxa"/>
            <w:tcBorders>
              <w:top w:val="single" w:sz="12" w:space="0" w:color="auto"/>
            </w:tcBorders>
            <w:shd w:val="clear" w:color="auto" w:fill="auto"/>
          </w:tcPr>
          <w:p w14:paraId="4E051F02" w14:textId="77777777" w:rsidR="00E55C27" w:rsidRPr="00E55C27" w:rsidRDefault="00E55C27" w:rsidP="00E55C27">
            <w:pPr>
              <w:spacing w:before="40" w:after="120"/>
              <w:ind w:right="113"/>
            </w:pPr>
          </w:p>
        </w:tc>
        <w:tc>
          <w:tcPr>
            <w:tcW w:w="4408" w:type="dxa"/>
            <w:tcBorders>
              <w:top w:val="single" w:sz="12" w:space="0" w:color="auto"/>
            </w:tcBorders>
            <w:shd w:val="clear" w:color="auto" w:fill="auto"/>
          </w:tcPr>
          <w:p w14:paraId="35836811" w14:textId="77777777" w:rsidR="00E55C27" w:rsidRPr="00E55C27" w:rsidRDefault="00E55C27" w:rsidP="00E55C27">
            <w:pPr>
              <w:spacing w:before="40" w:after="120"/>
              <w:ind w:right="113"/>
            </w:pPr>
          </w:p>
        </w:tc>
      </w:tr>
      <w:tr w:rsidR="00E55C27" w:rsidRPr="00E55C27" w14:paraId="396047A4" w14:textId="77777777" w:rsidTr="00E55C27">
        <w:tc>
          <w:tcPr>
            <w:tcW w:w="1593" w:type="dxa"/>
            <w:tcBorders>
              <w:bottom w:val="single" w:sz="12" w:space="0" w:color="auto"/>
            </w:tcBorders>
            <w:shd w:val="clear" w:color="auto" w:fill="auto"/>
          </w:tcPr>
          <w:p w14:paraId="037B9C86" w14:textId="77777777" w:rsidR="00E55C27" w:rsidRPr="00E55C27" w:rsidRDefault="00E55C27" w:rsidP="00E55C27">
            <w:pPr>
              <w:spacing w:before="40" w:after="120"/>
              <w:ind w:right="113"/>
            </w:pPr>
            <w:r w:rsidRPr="00E55C27">
              <w:t>111.46</w:t>
            </w:r>
          </w:p>
          <w:p w14:paraId="3830677E" w14:textId="77777777" w:rsidR="00E55C27" w:rsidRPr="00E55C27" w:rsidRDefault="00E55C27" w:rsidP="00E55C27">
            <w:pPr>
              <w:spacing w:before="40" w:after="120"/>
              <w:ind w:right="113"/>
            </w:pPr>
            <w:r w:rsidRPr="00E55C27">
              <w:t>111.50</w:t>
            </w:r>
          </w:p>
          <w:p w14:paraId="33FF2A0F" w14:textId="77777777" w:rsidR="00E55C27" w:rsidRPr="00E55C27" w:rsidRDefault="00E55C27" w:rsidP="00E55C27">
            <w:pPr>
              <w:spacing w:before="40" w:after="120"/>
              <w:ind w:right="113"/>
            </w:pPr>
            <w:r w:rsidRPr="00E55C27">
              <w:t>111.58</w:t>
            </w:r>
          </w:p>
          <w:p w14:paraId="5EFD60C2" w14:textId="77777777" w:rsidR="00E55C27" w:rsidRPr="00E55C27" w:rsidRDefault="00E55C27" w:rsidP="00E55C27">
            <w:pPr>
              <w:spacing w:before="40" w:after="120"/>
              <w:ind w:right="113"/>
            </w:pPr>
            <w:r w:rsidRPr="00E55C27">
              <w:t>111.60</w:t>
            </w:r>
          </w:p>
          <w:p w14:paraId="3975CE1D" w14:textId="77777777" w:rsidR="00E55C27" w:rsidRPr="00E55C27" w:rsidRDefault="00E55C27" w:rsidP="00E55C27">
            <w:pPr>
              <w:spacing w:before="40" w:after="120"/>
              <w:ind w:right="113"/>
            </w:pPr>
            <w:r w:rsidRPr="00E55C27">
              <w:t>111.61</w:t>
            </w:r>
          </w:p>
          <w:p w14:paraId="77710DFE" w14:textId="77777777" w:rsidR="00E55C27" w:rsidRPr="00E55C27" w:rsidRDefault="00E55C27" w:rsidP="00E55C27">
            <w:pPr>
              <w:spacing w:before="40" w:after="120"/>
              <w:ind w:right="113"/>
            </w:pPr>
            <w:r w:rsidRPr="00E55C27">
              <w:t>111.62</w:t>
            </w:r>
          </w:p>
          <w:p w14:paraId="4732B2D9" w14:textId="77777777" w:rsidR="00E55C27" w:rsidRPr="00E55C27" w:rsidRDefault="00E55C27" w:rsidP="00E55C27">
            <w:pPr>
              <w:spacing w:before="40" w:after="120"/>
              <w:ind w:right="113"/>
            </w:pPr>
            <w:r w:rsidRPr="00E55C27">
              <w:t>111.120</w:t>
            </w:r>
          </w:p>
        </w:tc>
        <w:tc>
          <w:tcPr>
            <w:tcW w:w="1369" w:type="dxa"/>
            <w:tcBorders>
              <w:bottom w:val="single" w:sz="12" w:space="0" w:color="auto"/>
            </w:tcBorders>
            <w:shd w:val="clear" w:color="auto" w:fill="auto"/>
          </w:tcPr>
          <w:p w14:paraId="7F04061F" w14:textId="77777777" w:rsidR="00E55C27" w:rsidRPr="00E55C27" w:rsidRDefault="00E55C27" w:rsidP="00E55C27">
            <w:pPr>
              <w:spacing w:before="40" w:after="120"/>
              <w:ind w:right="113"/>
            </w:pPr>
            <w:r w:rsidRPr="00E55C27">
              <w:t>Apoya</w:t>
            </w:r>
          </w:p>
        </w:tc>
        <w:tc>
          <w:tcPr>
            <w:tcW w:w="4408" w:type="dxa"/>
            <w:tcBorders>
              <w:bottom w:val="single" w:sz="12" w:space="0" w:color="auto"/>
            </w:tcBorders>
            <w:shd w:val="clear" w:color="auto" w:fill="auto"/>
          </w:tcPr>
          <w:p w14:paraId="586BC48D" w14:textId="77777777" w:rsidR="00E55C27" w:rsidRPr="00E55C27" w:rsidRDefault="00E55C27" w:rsidP="00E55C27">
            <w:pPr>
              <w:spacing w:before="40" w:after="120"/>
              <w:ind w:right="113"/>
            </w:pPr>
          </w:p>
        </w:tc>
      </w:tr>
    </w:tbl>
    <w:p w14:paraId="6C3C26C9" w14:textId="50320A9C" w:rsidR="00E55C27" w:rsidRPr="00E55C27" w:rsidRDefault="00E55C27" w:rsidP="00E55C27">
      <w:pPr>
        <w:pStyle w:val="H1G"/>
      </w:pPr>
      <w:r>
        <w:tab/>
        <w:t>C.</w:t>
      </w:r>
      <w:r>
        <w:tab/>
      </w:r>
      <w:r w:rsidRPr="00E55C27">
        <w:rPr>
          <w:bCs/>
        </w:rPr>
        <w:t>Igualdad de Género y combatir la violencia de género y protección efectiva de mujeres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9"/>
        <w:gridCol w:w="1361"/>
        <w:gridCol w:w="4420"/>
      </w:tblGrid>
      <w:tr w:rsidR="00E55C27" w:rsidRPr="00E55C27" w14:paraId="57CEB6E1" w14:textId="77777777" w:rsidTr="00E55C27">
        <w:trPr>
          <w:tblHeader/>
        </w:trPr>
        <w:tc>
          <w:tcPr>
            <w:tcW w:w="1589" w:type="dxa"/>
            <w:tcBorders>
              <w:top w:val="single" w:sz="4" w:space="0" w:color="auto"/>
              <w:bottom w:val="single" w:sz="12" w:space="0" w:color="auto"/>
            </w:tcBorders>
            <w:shd w:val="clear" w:color="auto" w:fill="auto"/>
            <w:vAlign w:val="bottom"/>
          </w:tcPr>
          <w:p w14:paraId="160C9C05" w14:textId="77777777" w:rsidR="00E55C27" w:rsidRPr="00E55C27" w:rsidRDefault="00E55C27" w:rsidP="00E55C27">
            <w:pPr>
              <w:spacing w:before="80" w:after="80" w:line="200" w:lineRule="exact"/>
              <w:ind w:right="113"/>
              <w:rPr>
                <w:i/>
                <w:sz w:val="16"/>
              </w:rPr>
            </w:pPr>
            <w:r w:rsidRPr="00E55C27">
              <w:rPr>
                <w:i/>
                <w:sz w:val="16"/>
              </w:rPr>
              <w:t>Recomendación</w:t>
            </w:r>
          </w:p>
        </w:tc>
        <w:tc>
          <w:tcPr>
            <w:tcW w:w="1361" w:type="dxa"/>
            <w:tcBorders>
              <w:top w:val="single" w:sz="4" w:space="0" w:color="auto"/>
              <w:bottom w:val="single" w:sz="12" w:space="0" w:color="auto"/>
            </w:tcBorders>
            <w:shd w:val="clear" w:color="auto" w:fill="auto"/>
            <w:vAlign w:val="bottom"/>
          </w:tcPr>
          <w:p w14:paraId="7CCA17B9" w14:textId="77777777" w:rsidR="00E55C27" w:rsidRPr="00E55C27" w:rsidRDefault="00E55C27" w:rsidP="00E55C27">
            <w:pPr>
              <w:spacing w:before="80" w:after="80" w:line="200" w:lineRule="exact"/>
              <w:ind w:right="113"/>
              <w:rPr>
                <w:i/>
                <w:sz w:val="16"/>
              </w:rPr>
            </w:pPr>
            <w:r w:rsidRPr="00E55C27">
              <w:rPr>
                <w:i/>
                <w:sz w:val="16"/>
              </w:rPr>
              <w:t>Posición</w:t>
            </w:r>
          </w:p>
        </w:tc>
        <w:tc>
          <w:tcPr>
            <w:tcW w:w="4420" w:type="dxa"/>
            <w:tcBorders>
              <w:top w:val="single" w:sz="4" w:space="0" w:color="auto"/>
              <w:bottom w:val="single" w:sz="12" w:space="0" w:color="auto"/>
            </w:tcBorders>
            <w:shd w:val="clear" w:color="auto" w:fill="auto"/>
            <w:vAlign w:val="bottom"/>
          </w:tcPr>
          <w:p w14:paraId="6FFCFEFA" w14:textId="77777777" w:rsidR="00E55C27" w:rsidRPr="00E55C27" w:rsidRDefault="00E55C27" w:rsidP="00E55C27">
            <w:pPr>
              <w:spacing w:before="80" w:after="80" w:line="200" w:lineRule="exact"/>
              <w:ind w:right="113"/>
              <w:rPr>
                <w:i/>
                <w:sz w:val="16"/>
              </w:rPr>
            </w:pPr>
            <w:r w:rsidRPr="00E55C27">
              <w:rPr>
                <w:i/>
                <w:sz w:val="16"/>
              </w:rPr>
              <w:t>Comentarios</w:t>
            </w:r>
          </w:p>
        </w:tc>
      </w:tr>
      <w:tr w:rsidR="00E55C27" w:rsidRPr="00E55C27" w14:paraId="72167EC1" w14:textId="77777777" w:rsidTr="00E55C27">
        <w:trPr>
          <w:trHeight w:hRule="exact" w:val="113"/>
          <w:tblHeader/>
        </w:trPr>
        <w:tc>
          <w:tcPr>
            <w:tcW w:w="1589" w:type="dxa"/>
            <w:tcBorders>
              <w:top w:val="single" w:sz="12" w:space="0" w:color="auto"/>
            </w:tcBorders>
            <w:shd w:val="clear" w:color="auto" w:fill="auto"/>
          </w:tcPr>
          <w:p w14:paraId="4321095C" w14:textId="77777777" w:rsidR="00E55C27" w:rsidRPr="00E55C27" w:rsidRDefault="00E55C27" w:rsidP="00E55C27">
            <w:pPr>
              <w:spacing w:before="40" w:after="120"/>
              <w:ind w:right="113"/>
            </w:pPr>
          </w:p>
        </w:tc>
        <w:tc>
          <w:tcPr>
            <w:tcW w:w="1361" w:type="dxa"/>
            <w:tcBorders>
              <w:top w:val="single" w:sz="12" w:space="0" w:color="auto"/>
            </w:tcBorders>
            <w:shd w:val="clear" w:color="auto" w:fill="auto"/>
          </w:tcPr>
          <w:p w14:paraId="6570E137" w14:textId="77777777" w:rsidR="00E55C27" w:rsidRPr="00E55C27" w:rsidRDefault="00E55C27" w:rsidP="00E55C27">
            <w:pPr>
              <w:spacing w:before="40" w:after="120"/>
              <w:ind w:right="113"/>
            </w:pPr>
          </w:p>
        </w:tc>
        <w:tc>
          <w:tcPr>
            <w:tcW w:w="4420" w:type="dxa"/>
            <w:tcBorders>
              <w:top w:val="single" w:sz="12" w:space="0" w:color="auto"/>
            </w:tcBorders>
            <w:shd w:val="clear" w:color="auto" w:fill="auto"/>
          </w:tcPr>
          <w:p w14:paraId="367CF02B" w14:textId="77777777" w:rsidR="00E55C27" w:rsidRPr="00E55C27" w:rsidRDefault="00E55C27" w:rsidP="00E55C27">
            <w:pPr>
              <w:spacing w:before="40" w:after="120"/>
              <w:ind w:right="113"/>
            </w:pPr>
          </w:p>
        </w:tc>
      </w:tr>
      <w:tr w:rsidR="00E55C27" w:rsidRPr="00E55C27" w14:paraId="5084C499" w14:textId="77777777" w:rsidTr="00E55C27">
        <w:tc>
          <w:tcPr>
            <w:tcW w:w="1589" w:type="dxa"/>
            <w:shd w:val="clear" w:color="auto" w:fill="auto"/>
          </w:tcPr>
          <w:p w14:paraId="304AAB88" w14:textId="77777777" w:rsidR="00E55C27" w:rsidRPr="00E55C27" w:rsidRDefault="00E55C27" w:rsidP="00E55C27">
            <w:pPr>
              <w:spacing w:before="40" w:after="120"/>
              <w:ind w:right="113"/>
            </w:pPr>
            <w:r w:rsidRPr="00E55C27">
              <w:t>111.8</w:t>
            </w:r>
          </w:p>
        </w:tc>
        <w:tc>
          <w:tcPr>
            <w:tcW w:w="1361" w:type="dxa"/>
            <w:shd w:val="clear" w:color="auto" w:fill="auto"/>
          </w:tcPr>
          <w:p w14:paraId="3BA3596C" w14:textId="77777777" w:rsidR="00E55C27" w:rsidRPr="00E55C27" w:rsidRDefault="00E55C27" w:rsidP="00E55C27">
            <w:pPr>
              <w:spacing w:before="40" w:after="120"/>
              <w:ind w:right="113"/>
            </w:pPr>
            <w:r w:rsidRPr="00E55C27">
              <w:t>Apoya / Toma nota</w:t>
            </w:r>
          </w:p>
        </w:tc>
        <w:tc>
          <w:tcPr>
            <w:tcW w:w="4420" w:type="dxa"/>
            <w:shd w:val="clear" w:color="auto" w:fill="auto"/>
          </w:tcPr>
          <w:p w14:paraId="15B15E8B" w14:textId="6409A9D9" w:rsidR="00E55C27" w:rsidRPr="00E55C27" w:rsidRDefault="00E55C27" w:rsidP="00E55C27">
            <w:pPr>
              <w:spacing w:before="40" w:after="120"/>
              <w:ind w:right="113"/>
            </w:pPr>
            <w:r w:rsidRPr="00E55C27">
              <w:t>El Estado peruano destaca su firme compromiso en combatir la violencia contra la mujer e integrantes del grupo familiar conforme al mandato de los tratados sobre dicha materia, la legislación nacional y las políticas y programas vigentes. No obstante, sobre la ratificación del tratado, se requiere realizar un análisis detallado a fin de asegurar que se consolidan los compromisos señalados.</w:t>
            </w:r>
          </w:p>
        </w:tc>
      </w:tr>
      <w:tr w:rsidR="00E55C27" w:rsidRPr="00E55C27" w14:paraId="0B939A80" w14:textId="77777777" w:rsidTr="00E55C27">
        <w:tc>
          <w:tcPr>
            <w:tcW w:w="1589" w:type="dxa"/>
            <w:shd w:val="clear" w:color="auto" w:fill="auto"/>
          </w:tcPr>
          <w:p w14:paraId="10771413" w14:textId="77777777" w:rsidR="00E55C27" w:rsidRPr="00E55C27" w:rsidRDefault="00E55C27" w:rsidP="00E55C27">
            <w:pPr>
              <w:spacing w:before="40" w:after="120"/>
              <w:ind w:right="113"/>
            </w:pPr>
            <w:r w:rsidRPr="00E55C27">
              <w:lastRenderedPageBreak/>
              <w:t>111.87</w:t>
            </w:r>
          </w:p>
          <w:p w14:paraId="4349E55C" w14:textId="77777777" w:rsidR="00E55C27" w:rsidRPr="00E55C27" w:rsidRDefault="00E55C27" w:rsidP="00E55C27">
            <w:pPr>
              <w:spacing w:before="40" w:after="120"/>
              <w:ind w:right="113"/>
            </w:pPr>
            <w:r w:rsidRPr="00E55C27">
              <w:t>111.113</w:t>
            </w:r>
          </w:p>
          <w:p w14:paraId="04F0C6B4" w14:textId="77777777" w:rsidR="00E55C27" w:rsidRPr="00E55C27" w:rsidRDefault="00E55C27" w:rsidP="00E55C27">
            <w:pPr>
              <w:spacing w:before="40" w:after="120"/>
              <w:ind w:right="113"/>
            </w:pPr>
            <w:r w:rsidRPr="00E55C27">
              <w:t>111.114</w:t>
            </w:r>
          </w:p>
          <w:p w14:paraId="2403976C" w14:textId="77777777" w:rsidR="00E55C27" w:rsidRPr="00E55C27" w:rsidRDefault="00E55C27" w:rsidP="00E55C27">
            <w:pPr>
              <w:spacing w:before="40" w:after="120"/>
              <w:ind w:right="113"/>
            </w:pPr>
            <w:r w:rsidRPr="00E55C27">
              <w:t>111.115</w:t>
            </w:r>
          </w:p>
          <w:p w14:paraId="38D4CE45" w14:textId="77777777" w:rsidR="00E55C27" w:rsidRPr="00E55C27" w:rsidRDefault="00E55C27" w:rsidP="00E55C27">
            <w:pPr>
              <w:spacing w:before="40" w:after="120"/>
              <w:ind w:right="113"/>
            </w:pPr>
            <w:r w:rsidRPr="00E55C27">
              <w:t>111.117</w:t>
            </w:r>
          </w:p>
          <w:p w14:paraId="56FA0435" w14:textId="77777777" w:rsidR="00E55C27" w:rsidRPr="00E55C27" w:rsidRDefault="00E55C27" w:rsidP="00E55C27">
            <w:pPr>
              <w:spacing w:before="40" w:after="120"/>
              <w:ind w:right="113"/>
            </w:pPr>
            <w:r w:rsidRPr="00E55C27">
              <w:t>111.118</w:t>
            </w:r>
          </w:p>
          <w:p w14:paraId="5080489C" w14:textId="77777777" w:rsidR="00E55C27" w:rsidRPr="00E55C27" w:rsidRDefault="00E55C27" w:rsidP="00E55C27">
            <w:pPr>
              <w:spacing w:before="40" w:after="120"/>
              <w:ind w:right="113"/>
            </w:pPr>
            <w:r w:rsidRPr="00E55C27">
              <w:t>111.119</w:t>
            </w:r>
          </w:p>
          <w:p w14:paraId="646E5CF7" w14:textId="77777777" w:rsidR="00E55C27" w:rsidRPr="00E55C27" w:rsidRDefault="00E55C27" w:rsidP="00E55C27">
            <w:pPr>
              <w:spacing w:before="40" w:after="120"/>
              <w:ind w:right="113"/>
            </w:pPr>
            <w:r w:rsidRPr="00E55C27">
              <w:t>111.121</w:t>
            </w:r>
          </w:p>
          <w:p w14:paraId="78F156D4" w14:textId="77777777" w:rsidR="00E55C27" w:rsidRPr="00E55C27" w:rsidRDefault="00E55C27" w:rsidP="00E55C27">
            <w:pPr>
              <w:spacing w:before="40" w:after="120"/>
              <w:ind w:right="113"/>
            </w:pPr>
            <w:r w:rsidRPr="00E55C27">
              <w:t>111.122</w:t>
            </w:r>
          </w:p>
          <w:p w14:paraId="5D9D00D2" w14:textId="77777777" w:rsidR="00E55C27" w:rsidRPr="00E55C27" w:rsidRDefault="00E55C27" w:rsidP="00E55C27">
            <w:pPr>
              <w:spacing w:before="40" w:after="120"/>
              <w:ind w:right="113"/>
            </w:pPr>
            <w:r w:rsidRPr="00E55C27">
              <w:t>111.125</w:t>
            </w:r>
          </w:p>
          <w:p w14:paraId="6B35513A" w14:textId="77777777" w:rsidR="00E55C27" w:rsidRPr="00E55C27" w:rsidRDefault="00E55C27" w:rsidP="00E55C27">
            <w:pPr>
              <w:spacing w:before="40" w:after="120"/>
              <w:ind w:right="113"/>
            </w:pPr>
            <w:r w:rsidRPr="00E55C27">
              <w:t>111.127</w:t>
            </w:r>
          </w:p>
          <w:p w14:paraId="777A0F36" w14:textId="77777777" w:rsidR="00E55C27" w:rsidRPr="00E55C27" w:rsidRDefault="00E55C27" w:rsidP="00E55C27">
            <w:pPr>
              <w:spacing w:before="40" w:after="120"/>
              <w:ind w:right="113"/>
            </w:pPr>
            <w:r w:rsidRPr="00E55C27">
              <w:t>111.128</w:t>
            </w:r>
          </w:p>
          <w:p w14:paraId="20A66F40" w14:textId="77777777" w:rsidR="00E55C27" w:rsidRPr="00E55C27" w:rsidRDefault="00E55C27" w:rsidP="00E55C27">
            <w:pPr>
              <w:spacing w:before="40" w:after="120"/>
              <w:ind w:right="113"/>
            </w:pPr>
            <w:r w:rsidRPr="00E55C27">
              <w:t>111.129</w:t>
            </w:r>
          </w:p>
          <w:p w14:paraId="2C069BA1" w14:textId="77777777" w:rsidR="00E55C27" w:rsidRPr="00E55C27" w:rsidRDefault="00E55C27" w:rsidP="00E55C27">
            <w:pPr>
              <w:spacing w:before="40" w:after="120"/>
              <w:ind w:right="113"/>
            </w:pPr>
            <w:r w:rsidRPr="00E55C27">
              <w:t>111.130</w:t>
            </w:r>
          </w:p>
          <w:p w14:paraId="148D3DDE" w14:textId="77777777" w:rsidR="00E55C27" w:rsidRPr="00E55C27" w:rsidRDefault="00E55C27" w:rsidP="00E55C27">
            <w:pPr>
              <w:spacing w:before="40" w:after="120"/>
              <w:ind w:right="113"/>
            </w:pPr>
            <w:r w:rsidRPr="00E55C27">
              <w:t>111.131</w:t>
            </w:r>
          </w:p>
          <w:p w14:paraId="098B20FA" w14:textId="77777777" w:rsidR="00E55C27" w:rsidRPr="00E55C27" w:rsidRDefault="00E55C27" w:rsidP="00E55C27">
            <w:pPr>
              <w:spacing w:before="40" w:after="120"/>
              <w:ind w:right="113"/>
            </w:pPr>
            <w:r w:rsidRPr="00E55C27">
              <w:t>111.132</w:t>
            </w:r>
          </w:p>
          <w:p w14:paraId="397CDA8E" w14:textId="77777777" w:rsidR="00E55C27" w:rsidRPr="00E55C27" w:rsidRDefault="00E55C27" w:rsidP="00E55C27">
            <w:pPr>
              <w:spacing w:before="40" w:after="120"/>
              <w:ind w:right="113"/>
            </w:pPr>
            <w:r w:rsidRPr="00E55C27">
              <w:t>111.134</w:t>
            </w:r>
          </w:p>
          <w:p w14:paraId="05D95B39" w14:textId="77777777" w:rsidR="00E55C27" w:rsidRPr="00E55C27" w:rsidRDefault="00E55C27" w:rsidP="00E55C27">
            <w:pPr>
              <w:spacing w:before="40" w:after="120"/>
              <w:ind w:right="113"/>
            </w:pPr>
            <w:r w:rsidRPr="00E55C27">
              <w:t>111.136</w:t>
            </w:r>
          </w:p>
          <w:p w14:paraId="7E8D40D1" w14:textId="77777777" w:rsidR="00E55C27" w:rsidRPr="00E55C27" w:rsidRDefault="00E55C27" w:rsidP="00E55C27">
            <w:pPr>
              <w:spacing w:before="40" w:after="120"/>
              <w:ind w:right="113"/>
            </w:pPr>
            <w:r w:rsidRPr="00E55C27">
              <w:t>111.137</w:t>
            </w:r>
          </w:p>
          <w:p w14:paraId="0BFC8B17" w14:textId="77777777" w:rsidR="00E55C27" w:rsidRPr="00E55C27" w:rsidRDefault="00E55C27" w:rsidP="00E55C27">
            <w:pPr>
              <w:spacing w:before="40" w:after="120"/>
              <w:ind w:right="113"/>
            </w:pPr>
            <w:r w:rsidRPr="00E55C27">
              <w:t>111.138</w:t>
            </w:r>
          </w:p>
          <w:p w14:paraId="727099E4" w14:textId="77777777" w:rsidR="00E55C27" w:rsidRPr="00E55C27" w:rsidRDefault="00E55C27" w:rsidP="00E55C27">
            <w:pPr>
              <w:spacing w:before="40" w:after="120"/>
              <w:ind w:right="113"/>
            </w:pPr>
            <w:r w:rsidRPr="00E55C27">
              <w:t>111.139</w:t>
            </w:r>
          </w:p>
          <w:p w14:paraId="64CCA3EE" w14:textId="77777777" w:rsidR="00E55C27" w:rsidRPr="00E55C27" w:rsidRDefault="00E55C27" w:rsidP="00E55C27">
            <w:pPr>
              <w:spacing w:before="40" w:after="120"/>
              <w:ind w:right="113"/>
            </w:pPr>
            <w:r w:rsidRPr="00E55C27">
              <w:t>111.140</w:t>
            </w:r>
          </w:p>
          <w:p w14:paraId="19B9D514" w14:textId="77777777" w:rsidR="00E55C27" w:rsidRPr="00E55C27" w:rsidRDefault="00E55C27" w:rsidP="00E55C27">
            <w:pPr>
              <w:spacing w:before="40" w:after="120"/>
              <w:ind w:right="113"/>
            </w:pPr>
            <w:r w:rsidRPr="00E55C27">
              <w:t>111.141</w:t>
            </w:r>
          </w:p>
        </w:tc>
        <w:tc>
          <w:tcPr>
            <w:tcW w:w="1361" w:type="dxa"/>
            <w:shd w:val="clear" w:color="auto" w:fill="auto"/>
          </w:tcPr>
          <w:p w14:paraId="09301E29" w14:textId="77777777" w:rsidR="00E55C27" w:rsidRPr="00E55C27" w:rsidRDefault="00E55C27" w:rsidP="00E55C27">
            <w:pPr>
              <w:spacing w:before="40" w:after="120"/>
              <w:ind w:right="113"/>
            </w:pPr>
            <w:r w:rsidRPr="00E55C27">
              <w:t>Apoya</w:t>
            </w:r>
          </w:p>
        </w:tc>
        <w:tc>
          <w:tcPr>
            <w:tcW w:w="4420" w:type="dxa"/>
            <w:shd w:val="clear" w:color="auto" w:fill="auto"/>
          </w:tcPr>
          <w:p w14:paraId="5C24D1DB" w14:textId="57E1110C" w:rsidR="00E55C27" w:rsidRPr="00E55C27" w:rsidRDefault="00E55C27" w:rsidP="00E55C27">
            <w:pPr>
              <w:spacing w:before="40" w:after="120"/>
              <w:ind w:right="113"/>
            </w:pPr>
            <w:r w:rsidRPr="00E55C27">
              <w:t>El Estado a la fecha cuenta con una Política Nacional de Igualdad de Género</w:t>
            </w:r>
            <w:r w:rsidR="00565865">
              <w:rPr>
                <w:rStyle w:val="EndnoteReference"/>
              </w:rPr>
              <w:endnoteReference w:id="24"/>
            </w:r>
            <w:r w:rsidRPr="00E55C27">
              <w:t>, siendo su horizonte temporal para su implementación hasta el 2030, y cuenta con 6 objetivos prioritarios</w:t>
            </w:r>
            <w:r w:rsidRPr="00E55C27">
              <w:rPr>
                <w:i/>
                <w:iCs/>
              </w:rPr>
              <w:t>: i)</w:t>
            </w:r>
            <w:r w:rsidRPr="00E55C27">
              <w:t xml:space="preserve"> Reducir la violencia hacia las mujeres; </w:t>
            </w:r>
            <w:proofErr w:type="spellStart"/>
            <w:r w:rsidRPr="00E55C27">
              <w:rPr>
                <w:i/>
                <w:iCs/>
              </w:rPr>
              <w:t>ii</w:t>
            </w:r>
            <w:proofErr w:type="spellEnd"/>
            <w:r w:rsidRPr="00E55C27">
              <w:rPr>
                <w:i/>
                <w:iCs/>
              </w:rPr>
              <w:t xml:space="preserve">) </w:t>
            </w:r>
            <w:r w:rsidRPr="00E55C27">
              <w:t xml:space="preserve">Garantizar el ejercicio de los derechos a la salud sexual y reproductiva de las mujeres; </w:t>
            </w:r>
            <w:proofErr w:type="spellStart"/>
            <w:r w:rsidRPr="00E55C27">
              <w:rPr>
                <w:i/>
                <w:iCs/>
              </w:rPr>
              <w:t>iii</w:t>
            </w:r>
            <w:proofErr w:type="spellEnd"/>
            <w:r w:rsidRPr="00E55C27">
              <w:rPr>
                <w:i/>
                <w:iCs/>
              </w:rPr>
              <w:t>)</w:t>
            </w:r>
            <w:r w:rsidRPr="00E55C27">
              <w:t xml:space="preserve"> Garantizar el acceso y participación de las mujeres en espacios de toma de decisiones; </w:t>
            </w:r>
            <w:proofErr w:type="spellStart"/>
            <w:r w:rsidRPr="00E55C27">
              <w:rPr>
                <w:i/>
                <w:iCs/>
              </w:rPr>
              <w:t>iv</w:t>
            </w:r>
            <w:proofErr w:type="spellEnd"/>
            <w:r w:rsidRPr="00E55C27">
              <w:rPr>
                <w:i/>
                <w:iCs/>
              </w:rPr>
              <w:t>)</w:t>
            </w:r>
            <w:r w:rsidRPr="00E55C27">
              <w:t xml:space="preserve"> Garantizar el ejercicio de los derechos económicos y sociales de las mujeres; </w:t>
            </w:r>
            <w:r w:rsidRPr="00E55C27">
              <w:rPr>
                <w:i/>
                <w:iCs/>
              </w:rPr>
              <w:t>v)</w:t>
            </w:r>
            <w:r w:rsidRPr="00E55C27">
              <w:t xml:space="preserve"> Reducir las barreras institucionales que obstaculizan la igualdad en los ámbitos público y privado entre hombres y mujeres; y, </w:t>
            </w:r>
            <w:r w:rsidRPr="00E55C27">
              <w:rPr>
                <w:i/>
                <w:iCs/>
              </w:rPr>
              <w:t xml:space="preserve">vi) </w:t>
            </w:r>
            <w:r w:rsidRPr="00E55C27">
              <w:t>Reducir la incidencia de los patrones socioculturales discriminatorios en la población.</w:t>
            </w:r>
            <w:r w:rsidRPr="00E55C27">
              <w:rPr>
                <w:lang w:val="es-PE"/>
              </w:rPr>
              <w:t xml:space="preserve"> </w:t>
            </w:r>
            <w:r w:rsidRPr="00E55C27">
              <w:t>Estos objetivos se materializan a través de 52 servicios que permiten la actuación interinstitucional de 21 entidades de la administración pública</w:t>
            </w:r>
            <w:r w:rsidR="00565865">
              <w:rPr>
                <w:rStyle w:val="EndnoteReference"/>
              </w:rPr>
              <w:endnoteReference w:id="25"/>
            </w:r>
            <w:r w:rsidRPr="00E55C27">
              <w:t>.</w:t>
            </w:r>
          </w:p>
        </w:tc>
      </w:tr>
      <w:tr w:rsidR="00E55C27" w:rsidRPr="00E55C27" w14:paraId="2452CEAF" w14:textId="77777777" w:rsidTr="00E55C27">
        <w:tc>
          <w:tcPr>
            <w:tcW w:w="1589" w:type="dxa"/>
            <w:shd w:val="clear" w:color="auto" w:fill="auto"/>
          </w:tcPr>
          <w:p w14:paraId="260817E6" w14:textId="2CA66068" w:rsidR="00E55C27" w:rsidRPr="00E55C27" w:rsidRDefault="00E55C27" w:rsidP="00E55C27">
            <w:pPr>
              <w:spacing w:before="40" w:after="120"/>
              <w:ind w:right="113"/>
            </w:pPr>
            <w:r w:rsidRPr="00E55C27">
              <w:t>111.133</w:t>
            </w:r>
          </w:p>
        </w:tc>
        <w:tc>
          <w:tcPr>
            <w:tcW w:w="1361" w:type="dxa"/>
            <w:shd w:val="clear" w:color="auto" w:fill="auto"/>
          </w:tcPr>
          <w:p w14:paraId="1F89AB46" w14:textId="77777777" w:rsidR="00E55C27" w:rsidRPr="00E55C27" w:rsidRDefault="00E55C27" w:rsidP="00E55C27">
            <w:pPr>
              <w:spacing w:before="40" w:after="120"/>
              <w:ind w:right="113"/>
            </w:pPr>
            <w:r w:rsidRPr="00E55C27">
              <w:t>Toma nota</w:t>
            </w:r>
          </w:p>
        </w:tc>
        <w:tc>
          <w:tcPr>
            <w:tcW w:w="4420" w:type="dxa"/>
            <w:shd w:val="clear" w:color="auto" w:fill="auto"/>
          </w:tcPr>
          <w:p w14:paraId="5F6E44D0" w14:textId="0A4D6C0E" w:rsidR="00E55C27" w:rsidRPr="00E55C27" w:rsidRDefault="00E55C27" w:rsidP="00E55C27">
            <w:pPr>
              <w:spacing w:before="40" w:after="120"/>
              <w:ind w:right="113"/>
            </w:pPr>
            <w:r w:rsidRPr="00E55C27">
              <w:t>Respecto de las recomendaciones que se “toman nota”, es preciso señalar que, conforme se ha indicado, el Perú ya cuenta una Política Nacional de Igualdad de Género que contiene lineamientos y servicios para la prevención y atención de la violencia de género a cargo de las entidades responsables.</w:t>
            </w:r>
          </w:p>
        </w:tc>
      </w:tr>
      <w:tr w:rsidR="00E55C27" w:rsidRPr="00E55C27" w14:paraId="6015DF1D" w14:textId="77777777" w:rsidTr="00E55C27">
        <w:tc>
          <w:tcPr>
            <w:tcW w:w="1589" w:type="dxa"/>
            <w:tcBorders>
              <w:bottom w:val="single" w:sz="12" w:space="0" w:color="auto"/>
            </w:tcBorders>
            <w:shd w:val="clear" w:color="auto" w:fill="auto"/>
          </w:tcPr>
          <w:p w14:paraId="1A9FA2B2" w14:textId="75788C2C" w:rsidR="00E55C27" w:rsidRPr="00E55C27" w:rsidRDefault="00E55C27" w:rsidP="00E55C27">
            <w:pPr>
              <w:spacing w:before="40" w:after="120"/>
              <w:ind w:right="113"/>
            </w:pPr>
            <w:r w:rsidRPr="00E55C27">
              <w:t>111.135</w:t>
            </w:r>
          </w:p>
        </w:tc>
        <w:tc>
          <w:tcPr>
            <w:tcW w:w="1361" w:type="dxa"/>
            <w:tcBorders>
              <w:bottom w:val="single" w:sz="12" w:space="0" w:color="auto"/>
            </w:tcBorders>
            <w:shd w:val="clear" w:color="auto" w:fill="auto"/>
          </w:tcPr>
          <w:p w14:paraId="79314C32" w14:textId="77777777" w:rsidR="00E55C27" w:rsidRPr="00E55C27" w:rsidRDefault="00E55C27" w:rsidP="00E55C27">
            <w:pPr>
              <w:spacing w:before="40" w:after="120"/>
              <w:ind w:right="113"/>
            </w:pPr>
            <w:r w:rsidRPr="00E55C27">
              <w:t>Toma nota</w:t>
            </w:r>
          </w:p>
        </w:tc>
        <w:tc>
          <w:tcPr>
            <w:tcW w:w="4420" w:type="dxa"/>
            <w:tcBorders>
              <w:bottom w:val="single" w:sz="12" w:space="0" w:color="auto"/>
            </w:tcBorders>
            <w:shd w:val="clear" w:color="auto" w:fill="auto"/>
          </w:tcPr>
          <w:p w14:paraId="3A8D76DD" w14:textId="663A7C79" w:rsidR="00E55C27" w:rsidRPr="00E55C27" w:rsidRDefault="00E55C27" w:rsidP="00E55C27">
            <w:pPr>
              <w:spacing w:before="40" w:after="120"/>
              <w:ind w:right="113"/>
            </w:pPr>
            <w:r w:rsidRPr="00E55C27">
              <w:t>En cuanto a la asignación de un presupuesto para enfrentar la violencia contra las mujeres, el Estado peruano viene liderando el Programa Presupuestal orientado a Resultados de Reducción de la Violencia contra la Mujer</w:t>
            </w:r>
            <w:r w:rsidR="00565865">
              <w:rPr>
                <w:rStyle w:val="EndnoteReference"/>
              </w:rPr>
              <w:endnoteReference w:id="26"/>
            </w:r>
            <w:r w:rsidRPr="00E55C27">
              <w:t>, documento que recoge 74 servicios a cargo de 7 entidades y basados en evidencia respecto a su efectividad para enfrentar la violencia contra las mujeres y los integrantes del grupo familiar</w:t>
            </w:r>
            <w:r w:rsidR="00565865">
              <w:rPr>
                <w:rStyle w:val="EndnoteReference"/>
              </w:rPr>
              <w:endnoteReference w:id="27"/>
            </w:r>
            <w:r w:rsidRPr="00E55C27">
              <w:t>.</w:t>
            </w:r>
          </w:p>
        </w:tc>
      </w:tr>
    </w:tbl>
    <w:p w14:paraId="0BCC5C7C" w14:textId="534A5CDF" w:rsidR="00E55C27" w:rsidRDefault="00565865" w:rsidP="00565865">
      <w:pPr>
        <w:pStyle w:val="H1G"/>
        <w:rPr>
          <w:bCs/>
        </w:rPr>
      </w:pPr>
      <w:r>
        <w:rPr>
          <w:lang w:val="es-PE"/>
        </w:rPr>
        <w:lastRenderedPageBreak/>
        <w:tab/>
        <w:t>D.</w:t>
      </w:r>
      <w:r>
        <w:rPr>
          <w:lang w:val="es-PE"/>
        </w:rPr>
        <w:tab/>
      </w:r>
      <w:r w:rsidRPr="00565865">
        <w:rPr>
          <w:bCs/>
        </w:rPr>
        <w:t>Niñas, niños y adolescentes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5"/>
        <w:gridCol w:w="1317"/>
        <w:gridCol w:w="4408"/>
      </w:tblGrid>
      <w:tr w:rsidR="00565865" w:rsidRPr="00565865" w14:paraId="7D45CCE9" w14:textId="77777777" w:rsidTr="00565865">
        <w:trPr>
          <w:tblHeader/>
        </w:trPr>
        <w:tc>
          <w:tcPr>
            <w:tcW w:w="1645" w:type="dxa"/>
            <w:tcBorders>
              <w:top w:val="single" w:sz="4" w:space="0" w:color="auto"/>
              <w:bottom w:val="single" w:sz="12" w:space="0" w:color="auto"/>
            </w:tcBorders>
            <w:shd w:val="clear" w:color="auto" w:fill="auto"/>
            <w:vAlign w:val="bottom"/>
          </w:tcPr>
          <w:p w14:paraId="5E25F190" w14:textId="77777777" w:rsidR="00565865" w:rsidRPr="00565865" w:rsidRDefault="00565865" w:rsidP="00565865">
            <w:pPr>
              <w:spacing w:before="80" w:after="80" w:line="200" w:lineRule="exact"/>
              <w:ind w:right="113"/>
              <w:rPr>
                <w:i/>
                <w:sz w:val="16"/>
              </w:rPr>
            </w:pPr>
            <w:r w:rsidRPr="00565865">
              <w:rPr>
                <w:i/>
                <w:sz w:val="16"/>
              </w:rPr>
              <w:t>Recomendación</w:t>
            </w:r>
          </w:p>
        </w:tc>
        <w:tc>
          <w:tcPr>
            <w:tcW w:w="1317" w:type="dxa"/>
            <w:tcBorders>
              <w:top w:val="single" w:sz="4" w:space="0" w:color="auto"/>
              <w:bottom w:val="single" w:sz="12" w:space="0" w:color="auto"/>
            </w:tcBorders>
            <w:shd w:val="clear" w:color="auto" w:fill="auto"/>
            <w:vAlign w:val="bottom"/>
          </w:tcPr>
          <w:p w14:paraId="70B1117A" w14:textId="77777777" w:rsidR="00565865" w:rsidRPr="00565865" w:rsidRDefault="00565865" w:rsidP="00565865">
            <w:pPr>
              <w:spacing w:before="80" w:after="80" w:line="200" w:lineRule="exact"/>
              <w:ind w:right="113"/>
              <w:rPr>
                <w:i/>
                <w:sz w:val="16"/>
              </w:rPr>
            </w:pPr>
            <w:r w:rsidRPr="00565865">
              <w:rPr>
                <w:i/>
                <w:sz w:val="16"/>
              </w:rPr>
              <w:t>Posición</w:t>
            </w:r>
          </w:p>
        </w:tc>
        <w:tc>
          <w:tcPr>
            <w:tcW w:w="4408" w:type="dxa"/>
            <w:tcBorders>
              <w:top w:val="single" w:sz="4" w:space="0" w:color="auto"/>
              <w:bottom w:val="single" w:sz="12" w:space="0" w:color="auto"/>
            </w:tcBorders>
            <w:shd w:val="clear" w:color="auto" w:fill="auto"/>
            <w:vAlign w:val="bottom"/>
          </w:tcPr>
          <w:p w14:paraId="53F8724D" w14:textId="77777777" w:rsidR="00565865" w:rsidRPr="00565865" w:rsidRDefault="00565865" w:rsidP="00565865">
            <w:pPr>
              <w:spacing w:before="80" w:after="80" w:line="200" w:lineRule="exact"/>
              <w:ind w:right="113"/>
              <w:rPr>
                <w:i/>
                <w:sz w:val="16"/>
              </w:rPr>
            </w:pPr>
            <w:r w:rsidRPr="00565865">
              <w:rPr>
                <w:i/>
                <w:sz w:val="16"/>
              </w:rPr>
              <w:t>Comentarios</w:t>
            </w:r>
          </w:p>
        </w:tc>
      </w:tr>
      <w:tr w:rsidR="00565865" w:rsidRPr="00565865" w14:paraId="274AAA52" w14:textId="77777777" w:rsidTr="00565865">
        <w:trPr>
          <w:trHeight w:hRule="exact" w:val="113"/>
          <w:tblHeader/>
        </w:trPr>
        <w:tc>
          <w:tcPr>
            <w:tcW w:w="1645" w:type="dxa"/>
            <w:tcBorders>
              <w:top w:val="single" w:sz="12" w:space="0" w:color="auto"/>
            </w:tcBorders>
            <w:shd w:val="clear" w:color="auto" w:fill="auto"/>
          </w:tcPr>
          <w:p w14:paraId="6E7B459A" w14:textId="77777777" w:rsidR="00565865" w:rsidRPr="00565865" w:rsidRDefault="00565865" w:rsidP="00565865">
            <w:pPr>
              <w:spacing w:before="40" w:after="120"/>
              <w:ind w:right="113"/>
            </w:pPr>
          </w:p>
        </w:tc>
        <w:tc>
          <w:tcPr>
            <w:tcW w:w="1317" w:type="dxa"/>
            <w:tcBorders>
              <w:top w:val="single" w:sz="12" w:space="0" w:color="auto"/>
            </w:tcBorders>
            <w:shd w:val="clear" w:color="auto" w:fill="auto"/>
          </w:tcPr>
          <w:p w14:paraId="0A2A0BFA" w14:textId="77777777" w:rsidR="00565865" w:rsidRPr="00565865" w:rsidRDefault="00565865" w:rsidP="00565865">
            <w:pPr>
              <w:spacing w:before="40" w:after="120"/>
              <w:ind w:right="113"/>
            </w:pPr>
          </w:p>
        </w:tc>
        <w:tc>
          <w:tcPr>
            <w:tcW w:w="4408" w:type="dxa"/>
            <w:tcBorders>
              <w:top w:val="single" w:sz="12" w:space="0" w:color="auto"/>
            </w:tcBorders>
            <w:shd w:val="clear" w:color="auto" w:fill="auto"/>
          </w:tcPr>
          <w:p w14:paraId="0A1A2002" w14:textId="77777777" w:rsidR="00565865" w:rsidRPr="00565865" w:rsidRDefault="00565865" w:rsidP="00565865">
            <w:pPr>
              <w:spacing w:before="40" w:after="120"/>
              <w:ind w:right="113"/>
            </w:pPr>
          </w:p>
        </w:tc>
      </w:tr>
      <w:tr w:rsidR="00565865" w:rsidRPr="00565865" w14:paraId="03A852BC" w14:textId="77777777" w:rsidTr="00565865">
        <w:tc>
          <w:tcPr>
            <w:tcW w:w="1645" w:type="dxa"/>
            <w:tcBorders>
              <w:bottom w:val="single" w:sz="12" w:space="0" w:color="auto"/>
            </w:tcBorders>
            <w:shd w:val="clear" w:color="auto" w:fill="auto"/>
          </w:tcPr>
          <w:p w14:paraId="79D2F7C8" w14:textId="77777777" w:rsidR="00565865" w:rsidRPr="00565865" w:rsidRDefault="00565865" w:rsidP="00565865">
            <w:pPr>
              <w:spacing w:before="40" w:after="120"/>
              <w:ind w:right="113"/>
            </w:pPr>
            <w:r w:rsidRPr="00565865">
              <w:t>111.142</w:t>
            </w:r>
          </w:p>
          <w:p w14:paraId="2D78BEA6" w14:textId="77777777" w:rsidR="00565865" w:rsidRPr="00565865" w:rsidRDefault="00565865" w:rsidP="00565865">
            <w:pPr>
              <w:spacing w:before="40" w:after="120"/>
              <w:ind w:right="113"/>
            </w:pPr>
            <w:r w:rsidRPr="00565865">
              <w:t>111.143</w:t>
            </w:r>
          </w:p>
          <w:p w14:paraId="0C36BE0D" w14:textId="77777777" w:rsidR="00565865" w:rsidRPr="00565865" w:rsidRDefault="00565865" w:rsidP="00565865">
            <w:pPr>
              <w:spacing w:before="40" w:after="120"/>
              <w:ind w:right="113"/>
            </w:pPr>
            <w:r w:rsidRPr="00565865">
              <w:t>111.144</w:t>
            </w:r>
          </w:p>
          <w:p w14:paraId="2B25A0BC" w14:textId="77777777" w:rsidR="00565865" w:rsidRPr="00565865" w:rsidRDefault="00565865" w:rsidP="00565865">
            <w:pPr>
              <w:spacing w:before="40" w:after="120"/>
              <w:ind w:right="113"/>
            </w:pPr>
            <w:r w:rsidRPr="00565865">
              <w:t>111.145</w:t>
            </w:r>
          </w:p>
          <w:p w14:paraId="5D9425FC" w14:textId="77777777" w:rsidR="00565865" w:rsidRPr="00565865" w:rsidRDefault="00565865" w:rsidP="00565865">
            <w:pPr>
              <w:spacing w:before="40" w:after="120"/>
              <w:ind w:right="113"/>
            </w:pPr>
            <w:r w:rsidRPr="00565865">
              <w:t>111.148</w:t>
            </w:r>
          </w:p>
          <w:p w14:paraId="17821EA6" w14:textId="77777777" w:rsidR="00565865" w:rsidRPr="00565865" w:rsidRDefault="00565865" w:rsidP="00565865">
            <w:pPr>
              <w:spacing w:before="40" w:after="120"/>
              <w:ind w:right="113"/>
            </w:pPr>
            <w:r w:rsidRPr="00565865">
              <w:t>111.146</w:t>
            </w:r>
          </w:p>
          <w:p w14:paraId="75DE8192" w14:textId="77777777" w:rsidR="00565865" w:rsidRPr="00565865" w:rsidRDefault="00565865" w:rsidP="00565865">
            <w:pPr>
              <w:spacing w:before="40" w:after="120"/>
              <w:ind w:right="113"/>
            </w:pPr>
            <w:r w:rsidRPr="00565865">
              <w:t>111.147</w:t>
            </w:r>
          </w:p>
          <w:p w14:paraId="741DB1E0" w14:textId="77777777" w:rsidR="00565865" w:rsidRPr="00565865" w:rsidRDefault="00565865" w:rsidP="00565865">
            <w:pPr>
              <w:spacing w:before="40" w:after="120"/>
              <w:ind w:right="113"/>
            </w:pPr>
            <w:r w:rsidRPr="00565865">
              <w:t>111.149</w:t>
            </w:r>
          </w:p>
          <w:p w14:paraId="323DD7AF" w14:textId="77777777" w:rsidR="00565865" w:rsidRPr="00565865" w:rsidRDefault="00565865" w:rsidP="00565865">
            <w:pPr>
              <w:spacing w:before="40" w:after="120"/>
              <w:ind w:right="113"/>
            </w:pPr>
            <w:r w:rsidRPr="00565865">
              <w:t>111.151</w:t>
            </w:r>
          </w:p>
          <w:p w14:paraId="0988316A" w14:textId="77777777" w:rsidR="00565865" w:rsidRPr="00565865" w:rsidRDefault="00565865" w:rsidP="00565865">
            <w:pPr>
              <w:spacing w:before="40" w:after="120"/>
              <w:ind w:right="113"/>
            </w:pPr>
            <w:r w:rsidRPr="00565865">
              <w:t>111.152</w:t>
            </w:r>
          </w:p>
          <w:p w14:paraId="48DC6502" w14:textId="77777777" w:rsidR="00565865" w:rsidRPr="00565865" w:rsidRDefault="00565865" w:rsidP="00565865">
            <w:pPr>
              <w:spacing w:before="40" w:after="120"/>
              <w:ind w:right="113"/>
            </w:pPr>
            <w:r w:rsidRPr="00565865">
              <w:t>111.153</w:t>
            </w:r>
          </w:p>
          <w:p w14:paraId="4A1BCBBA" w14:textId="77777777" w:rsidR="00565865" w:rsidRPr="00565865" w:rsidRDefault="00565865" w:rsidP="00565865">
            <w:pPr>
              <w:spacing w:before="40" w:after="120"/>
              <w:ind w:right="113"/>
            </w:pPr>
            <w:r w:rsidRPr="00565865">
              <w:t>111.154</w:t>
            </w:r>
          </w:p>
          <w:p w14:paraId="27637BC8" w14:textId="77777777" w:rsidR="00565865" w:rsidRPr="00565865" w:rsidRDefault="00565865" w:rsidP="00565865">
            <w:pPr>
              <w:spacing w:before="40" w:after="120"/>
              <w:ind w:right="113"/>
            </w:pPr>
            <w:r w:rsidRPr="00565865">
              <w:t>111.155</w:t>
            </w:r>
          </w:p>
          <w:p w14:paraId="2E908000" w14:textId="77777777" w:rsidR="00565865" w:rsidRPr="00565865" w:rsidRDefault="00565865" w:rsidP="00565865">
            <w:pPr>
              <w:spacing w:before="40" w:after="120"/>
              <w:ind w:right="113"/>
            </w:pPr>
            <w:r w:rsidRPr="00565865">
              <w:t>111.156</w:t>
            </w:r>
          </w:p>
          <w:p w14:paraId="788B3964" w14:textId="77777777" w:rsidR="00565865" w:rsidRPr="00565865" w:rsidRDefault="00565865" w:rsidP="00565865">
            <w:pPr>
              <w:spacing w:before="40" w:after="120"/>
              <w:ind w:right="113"/>
            </w:pPr>
            <w:r w:rsidRPr="00565865">
              <w:t>111.157</w:t>
            </w:r>
          </w:p>
          <w:p w14:paraId="1025B6C7" w14:textId="77777777" w:rsidR="00565865" w:rsidRPr="00565865" w:rsidRDefault="00565865" w:rsidP="00565865">
            <w:pPr>
              <w:spacing w:before="40" w:after="120"/>
              <w:ind w:right="113"/>
            </w:pPr>
            <w:r w:rsidRPr="00565865">
              <w:t>111.158</w:t>
            </w:r>
          </w:p>
          <w:p w14:paraId="11E1B71A" w14:textId="77777777" w:rsidR="00565865" w:rsidRPr="00565865" w:rsidRDefault="00565865" w:rsidP="00565865">
            <w:pPr>
              <w:spacing w:before="40" w:after="120"/>
              <w:ind w:right="113"/>
            </w:pPr>
            <w:r w:rsidRPr="00565865">
              <w:t>111.159</w:t>
            </w:r>
          </w:p>
        </w:tc>
        <w:tc>
          <w:tcPr>
            <w:tcW w:w="1317" w:type="dxa"/>
            <w:tcBorders>
              <w:bottom w:val="single" w:sz="12" w:space="0" w:color="auto"/>
            </w:tcBorders>
            <w:shd w:val="clear" w:color="auto" w:fill="auto"/>
          </w:tcPr>
          <w:p w14:paraId="1B3A2CE0" w14:textId="77777777" w:rsidR="00565865" w:rsidRPr="00565865" w:rsidRDefault="00565865" w:rsidP="00565865">
            <w:pPr>
              <w:spacing w:before="40" w:after="120"/>
              <w:ind w:right="113"/>
            </w:pPr>
            <w:r w:rsidRPr="00565865">
              <w:t>Apoya</w:t>
            </w:r>
          </w:p>
        </w:tc>
        <w:tc>
          <w:tcPr>
            <w:tcW w:w="4408" w:type="dxa"/>
            <w:tcBorders>
              <w:bottom w:val="single" w:sz="12" w:space="0" w:color="auto"/>
            </w:tcBorders>
            <w:shd w:val="clear" w:color="auto" w:fill="auto"/>
          </w:tcPr>
          <w:p w14:paraId="01CF2AC4" w14:textId="77777777" w:rsidR="00565865" w:rsidRPr="00565865" w:rsidRDefault="00565865" w:rsidP="00565865">
            <w:pPr>
              <w:spacing w:before="40" w:after="120"/>
              <w:ind w:right="113"/>
            </w:pPr>
          </w:p>
        </w:tc>
      </w:tr>
    </w:tbl>
    <w:p w14:paraId="66D9A875" w14:textId="5A3A1487" w:rsidR="00565865" w:rsidRDefault="00FC6630" w:rsidP="00FC6630">
      <w:pPr>
        <w:pStyle w:val="H1G"/>
        <w:rPr>
          <w:bCs/>
        </w:rPr>
      </w:pPr>
      <w:r>
        <w:tab/>
        <w:t>E.</w:t>
      </w:r>
      <w:r>
        <w:tab/>
      </w:r>
      <w:r w:rsidRPr="00FC6630">
        <w:rPr>
          <w:bCs/>
        </w:rPr>
        <w:t>Personas en situación de movilidad</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5"/>
        <w:gridCol w:w="1317"/>
        <w:gridCol w:w="4408"/>
      </w:tblGrid>
      <w:tr w:rsidR="00FC6630" w:rsidRPr="00FC6630" w14:paraId="24D34BBB" w14:textId="77777777" w:rsidTr="00FC6630">
        <w:trPr>
          <w:tblHeader/>
        </w:trPr>
        <w:tc>
          <w:tcPr>
            <w:tcW w:w="1645" w:type="dxa"/>
            <w:tcBorders>
              <w:top w:val="single" w:sz="4" w:space="0" w:color="auto"/>
              <w:bottom w:val="single" w:sz="12" w:space="0" w:color="auto"/>
            </w:tcBorders>
            <w:shd w:val="clear" w:color="auto" w:fill="auto"/>
            <w:vAlign w:val="bottom"/>
          </w:tcPr>
          <w:p w14:paraId="1B12461F" w14:textId="77777777" w:rsidR="00FC6630" w:rsidRPr="00FC6630" w:rsidRDefault="00FC6630" w:rsidP="00FC6630">
            <w:pPr>
              <w:spacing w:before="80" w:after="80" w:line="200" w:lineRule="exact"/>
              <w:ind w:right="113"/>
              <w:rPr>
                <w:i/>
                <w:sz w:val="16"/>
              </w:rPr>
            </w:pPr>
            <w:r w:rsidRPr="00FC6630">
              <w:rPr>
                <w:i/>
                <w:sz w:val="16"/>
              </w:rPr>
              <w:t>Recomendación</w:t>
            </w:r>
          </w:p>
        </w:tc>
        <w:tc>
          <w:tcPr>
            <w:tcW w:w="1317" w:type="dxa"/>
            <w:tcBorders>
              <w:top w:val="single" w:sz="4" w:space="0" w:color="auto"/>
              <w:bottom w:val="single" w:sz="12" w:space="0" w:color="auto"/>
            </w:tcBorders>
            <w:shd w:val="clear" w:color="auto" w:fill="auto"/>
            <w:vAlign w:val="bottom"/>
          </w:tcPr>
          <w:p w14:paraId="2718D248" w14:textId="77777777" w:rsidR="00FC6630" w:rsidRPr="00FC6630" w:rsidRDefault="00FC6630" w:rsidP="00FC6630">
            <w:pPr>
              <w:spacing w:before="80" w:after="80" w:line="200" w:lineRule="exact"/>
              <w:ind w:right="113"/>
              <w:rPr>
                <w:i/>
                <w:sz w:val="16"/>
              </w:rPr>
            </w:pPr>
            <w:r w:rsidRPr="00FC6630">
              <w:rPr>
                <w:i/>
                <w:sz w:val="16"/>
              </w:rPr>
              <w:t>Posición</w:t>
            </w:r>
          </w:p>
        </w:tc>
        <w:tc>
          <w:tcPr>
            <w:tcW w:w="4408" w:type="dxa"/>
            <w:tcBorders>
              <w:top w:val="single" w:sz="4" w:space="0" w:color="auto"/>
              <w:bottom w:val="single" w:sz="12" w:space="0" w:color="auto"/>
            </w:tcBorders>
            <w:shd w:val="clear" w:color="auto" w:fill="auto"/>
            <w:vAlign w:val="bottom"/>
          </w:tcPr>
          <w:p w14:paraId="7E47D56A" w14:textId="77777777" w:rsidR="00FC6630" w:rsidRPr="00FC6630" w:rsidRDefault="00FC6630" w:rsidP="00FC6630">
            <w:pPr>
              <w:spacing w:before="80" w:after="80" w:line="200" w:lineRule="exact"/>
              <w:ind w:right="113"/>
              <w:rPr>
                <w:i/>
                <w:sz w:val="16"/>
              </w:rPr>
            </w:pPr>
            <w:r w:rsidRPr="00FC6630">
              <w:rPr>
                <w:i/>
                <w:sz w:val="16"/>
              </w:rPr>
              <w:t>Comentarios</w:t>
            </w:r>
          </w:p>
        </w:tc>
      </w:tr>
      <w:tr w:rsidR="00FC6630" w:rsidRPr="00FC6630" w14:paraId="4F26566F" w14:textId="77777777" w:rsidTr="00FC6630">
        <w:trPr>
          <w:trHeight w:hRule="exact" w:val="113"/>
          <w:tblHeader/>
        </w:trPr>
        <w:tc>
          <w:tcPr>
            <w:tcW w:w="1645" w:type="dxa"/>
            <w:tcBorders>
              <w:top w:val="single" w:sz="12" w:space="0" w:color="auto"/>
            </w:tcBorders>
            <w:shd w:val="clear" w:color="auto" w:fill="auto"/>
          </w:tcPr>
          <w:p w14:paraId="22B980B9" w14:textId="77777777" w:rsidR="00FC6630" w:rsidRPr="00FC6630" w:rsidRDefault="00FC6630" w:rsidP="00FC6630">
            <w:pPr>
              <w:spacing w:before="40" w:after="120"/>
              <w:ind w:right="113"/>
            </w:pPr>
          </w:p>
        </w:tc>
        <w:tc>
          <w:tcPr>
            <w:tcW w:w="1317" w:type="dxa"/>
            <w:tcBorders>
              <w:top w:val="single" w:sz="12" w:space="0" w:color="auto"/>
            </w:tcBorders>
            <w:shd w:val="clear" w:color="auto" w:fill="auto"/>
          </w:tcPr>
          <w:p w14:paraId="418BEEA2" w14:textId="77777777" w:rsidR="00FC6630" w:rsidRPr="00FC6630" w:rsidRDefault="00FC6630" w:rsidP="00FC6630">
            <w:pPr>
              <w:spacing w:before="40" w:after="120"/>
              <w:ind w:right="113"/>
            </w:pPr>
          </w:p>
        </w:tc>
        <w:tc>
          <w:tcPr>
            <w:tcW w:w="4408" w:type="dxa"/>
            <w:tcBorders>
              <w:top w:val="single" w:sz="12" w:space="0" w:color="auto"/>
            </w:tcBorders>
            <w:shd w:val="clear" w:color="auto" w:fill="auto"/>
          </w:tcPr>
          <w:p w14:paraId="304E83E3" w14:textId="77777777" w:rsidR="00FC6630" w:rsidRPr="00FC6630" w:rsidRDefault="00FC6630" w:rsidP="00FC6630">
            <w:pPr>
              <w:spacing w:before="40" w:after="120"/>
              <w:ind w:right="113"/>
            </w:pPr>
          </w:p>
        </w:tc>
      </w:tr>
      <w:tr w:rsidR="00FC6630" w:rsidRPr="00FC6630" w14:paraId="7E64B701" w14:textId="77777777" w:rsidTr="00FC6630">
        <w:tc>
          <w:tcPr>
            <w:tcW w:w="1645" w:type="dxa"/>
            <w:tcBorders>
              <w:bottom w:val="single" w:sz="12" w:space="0" w:color="auto"/>
            </w:tcBorders>
            <w:shd w:val="clear" w:color="auto" w:fill="auto"/>
          </w:tcPr>
          <w:p w14:paraId="590D011A" w14:textId="77777777" w:rsidR="00FC6630" w:rsidRPr="00FC6630" w:rsidRDefault="00FC6630" w:rsidP="00FC6630">
            <w:pPr>
              <w:spacing w:before="40" w:after="120"/>
              <w:ind w:right="113"/>
            </w:pPr>
            <w:r w:rsidRPr="00FC6630">
              <w:t>111.93</w:t>
            </w:r>
          </w:p>
          <w:p w14:paraId="62F016D0" w14:textId="77777777" w:rsidR="00FC6630" w:rsidRPr="00FC6630" w:rsidRDefault="00FC6630" w:rsidP="00FC6630">
            <w:pPr>
              <w:spacing w:before="40" w:after="120"/>
              <w:ind w:right="113"/>
            </w:pPr>
            <w:r w:rsidRPr="00FC6630">
              <w:t>111.198</w:t>
            </w:r>
          </w:p>
          <w:p w14:paraId="2FA817A2" w14:textId="77777777" w:rsidR="00FC6630" w:rsidRPr="00FC6630" w:rsidRDefault="00FC6630" w:rsidP="00FC6630">
            <w:pPr>
              <w:spacing w:before="40" w:after="120"/>
              <w:ind w:right="113"/>
            </w:pPr>
            <w:r w:rsidRPr="00FC6630">
              <w:t>111.199</w:t>
            </w:r>
          </w:p>
          <w:p w14:paraId="5E9F752C" w14:textId="77777777" w:rsidR="00FC6630" w:rsidRPr="00FC6630" w:rsidRDefault="00FC6630" w:rsidP="00FC6630">
            <w:pPr>
              <w:spacing w:before="40" w:after="120"/>
              <w:ind w:right="113"/>
            </w:pPr>
            <w:r w:rsidRPr="00FC6630">
              <w:t>111.201</w:t>
            </w:r>
          </w:p>
          <w:p w14:paraId="265EF23A" w14:textId="77777777" w:rsidR="00FC6630" w:rsidRPr="00FC6630" w:rsidRDefault="00FC6630" w:rsidP="00FC6630">
            <w:pPr>
              <w:spacing w:before="40" w:after="120"/>
              <w:ind w:right="113"/>
            </w:pPr>
            <w:r w:rsidRPr="00FC6630">
              <w:t>111.202</w:t>
            </w:r>
          </w:p>
          <w:p w14:paraId="237F5B5C" w14:textId="77777777" w:rsidR="00FC6630" w:rsidRPr="00FC6630" w:rsidRDefault="00FC6630" w:rsidP="00FC6630">
            <w:pPr>
              <w:spacing w:before="40" w:after="120"/>
              <w:ind w:right="113"/>
            </w:pPr>
            <w:r w:rsidRPr="00FC6630">
              <w:t>111.200</w:t>
            </w:r>
          </w:p>
        </w:tc>
        <w:tc>
          <w:tcPr>
            <w:tcW w:w="1317" w:type="dxa"/>
            <w:tcBorders>
              <w:bottom w:val="single" w:sz="12" w:space="0" w:color="auto"/>
            </w:tcBorders>
            <w:shd w:val="clear" w:color="auto" w:fill="auto"/>
          </w:tcPr>
          <w:p w14:paraId="67E0AC6A" w14:textId="77777777" w:rsidR="00FC6630" w:rsidRPr="00FC6630" w:rsidRDefault="00FC6630" w:rsidP="00FC6630">
            <w:pPr>
              <w:spacing w:before="40" w:after="120"/>
              <w:ind w:right="113"/>
            </w:pPr>
            <w:r w:rsidRPr="00FC6630">
              <w:t>Apoya</w:t>
            </w:r>
          </w:p>
        </w:tc>
        <w:tc>
          <w:tcPr>
            <w:tcW w:w="4408" w:type="dxa"/>
            <w:tcBorders>
              <w:bottom w:val="single" w:sz="12" w:space="0" w:color="auto"/>
            </w:tcBorders>
            <w:shd w:val="clear" w:color="auto" w:fill="auto"/>
          </w:tcPr>
          <w:p w14:paraId="3143501A" w14:textId="77777777" w:rsidR="00FC6630" w:rsidRPr="00FC6630" w:rsidRDefault="00FC6630" w:rsidP="00FC6630">
            <w:pPr>
              <w:spacing w:before="40" w:after="120"/>
              <w:ind w:right="113"/>
            </w:pPr>
          </w:p>
        </w:tc>
      </w:tr>
    </w:tbl>
    <w:p w14:paraId="01326B65" w14:textId="1BC0D1B1" w:rsidR="00FC6630" w:rsidRDefault="00FC6630" w:rsidP="00FC6630">
      <w:pPr>
        <w:pStyle w:val="H1G"/>
        <w:rPr>
          <w:bCs/>
        </w:rPr>
      </w:pPr>
      <w:r>
        <w:tab/>
        <w:t>F.</w:t>
      </w:r>
      <w:r>
        <w:tab/>
      </w:r>
      <w:r w:rsidRPr="00FC6630">
        <w:rPr>
          <w:bCs/>
        </w:rPr>
        <w:t>Personas con discapacidad</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5"/>
        <w:gridCol w:w="1317"/>
        <w:gridCol w:w="4408"/>
      </w:tblGrid>
      <w:tr w:rsidR="00FC6630" w:rsidRPr="00FC6630" w14:paraId="69CCA9AB" w14:textId="77777777" w:rsidTr="00FC6630">
        <w:trPr>
          <w:tblHeader/>
        </w:trPr>
        <w:tc>
          <w:tcPr>
            <w:tcW w:w="1645" w:type="dxa"/>
            <w:tcBorders>
              <w:top w:val="single" w:sz="4" w:space="0" w:color="auto"/>
              <w:bottom w:val="single" w:sz="12" w:space="0" w:color="auto"/>
            </w:tcBorders>
            <w:shd w:val="clear" w:color="auto" w:fill="auto"/>
            <w:vAlign w:val="bottom"/>
          </w:tcPr>
          <w:p w14:paraId="63CE1DF4" w14:textId="77777777" w:rsidR="00FC6630" w:rsidRPr="00FC6630" w:rsidRDefault="00FC6630" w:rsidP="00FC6630">
            <w:pPr>
              <w:spacing w:before="80" w:after="80" w:line="200" w:lineRule="exact"/>
              <w:ind w:right="113"/>
              <w:rPr>
                <w:i/>
                <w:sz w:val="16"/>
              </w:rPr>
            </w:pPr>
            <w:r w:rsidRPr="00FC6630">
              <w:rPr>
                <w:i/>
                <w:sz w:val="16"/>
              </w:rPr>
              <w:t>Recomendación</w:t>
            </w:r>
          </w:p>
        </w:tc>
        <w:tc>
          <w:tcPr>
            <w:tcW w:w="1317" w:type="dxa"/>
            <w:tcBorders>
              <w:top w:val="single" w:sz="4" w:space="0" w:color="auto"/>
              <w:bottom w:val="single" w:sz="12" w:space="0" w:color="auto"/>
            </w:tcBorders>
            <w:shd w:val="clear" w:color="auto" w:fill="auto"/>
            <w:vAlign w:val="bottom"/>
          </w:tcPr>
          <w:p w14:paraId="755FFFEB" w14:textId="77777777" w:rsidR="00FC6630" w:rsidRPr="00FC6630" w:rsidRDefault="00FC6630" w:rsidP="00FC6630">
            <w:pPr>
              <w:spacing w:before="80" w:after="80" w:line="200" w:lineRule="exact"/>
              <w:ind w:right="113"/>
              <w:rPr>
                <w:i/>
                <w:sz w:val="16"/>
              </w:rPr>
            </w:pPr>
            <w:r w:rsidRPr="00FC6630">
              <w:rPr>
                <w:i/>
                <w:sz w:val="16"/>
              </w:rPr>
              <w:t>Posición</w:t>
            </w:r>
          </w:p>
        </w:tc>
        <w:tc>
          <w:tcPr>
            <w:tcW w:w="4408" w:type="dxa"/>
            <w:tcBorders>
              <w:top w:val="single" w:sz="4" w:space="0" w:color="auto"/>
              <w:bottom w:val="single" w:sz="12" w:space="0" w:color="auto"/>
            </w:tcBorders>
            <w:shd w:val="clear" w:color="auto" w:fill="auto"/>
            <w:vAlign w:val="bottom"/>
          </w:tcPr>
          <w:p w14:paraId="7EE9C8E3" w14:textId="77777777" w:rsidR="00FC6630" w:rsidRPr="00FC6630" w:rsidRDefault="00FC6630" w:rsidP="00FC6630">
            <w:pPr>
              <w:spacing w:before="80" w:after="80" w:line="200" w:lineRule="exact"/>
              <w:ind w:right="113"/>
              <w:rPr>
                <w:i/>
                <w:sz w:val="16"/>
              </w:rPr>
            </w:pPr>
            <w:r w:rsidRPr="00FC6630">
              <w:rPr>
                <w:i/>
                <w:sz w:val="16"/>
              </w:rPr>
              <w:t>Comentarios</w:t>
            </w:r>
          </w:p>
        </w:tc>
      </w:tr>
      <w:tr w:rsidR="00FC6630" w:rsidRPr="00FC6630" w14:paraId="12C21E88" w14:textId="77777777" w:rsidTr="00FC6630">
        <w:trPr>
          <w:trHeight w:hRule="exact" w:val="113"/>
          <w:tblHeader/>
        </w:trPr>
        <w:tc>
          <w:tcPr>
            <w:tcW w:w="1645" w:type="dxa"/>
            <w:tcBorders>
              <w:top w:val="single" w:sz="12" w:space="0" w:color="auto"/>
            </w:tcBorders>
            <w:shd w:val="clear" w:color="auto" w:fill="auto"/>
          </w:tcPr>
          <w:p w14:paraId="06F01114" w14:textId="77777777" w:rsidR="00FC6630" w:rsidRPr="00FC6630" w:rsidRDefault="00FC6630" w:rsidP="00FC6630">
            <w:pPr>
              <w:spacing w:before="40" w:after="120"/>
              <w:ind w:right="113"/>
            </w:pPr>
          </w:p>
        </w:tc>
        <w:tc>
          <w:tcPr>
            <w:tcW w:w="1317" w:type="dxa"/>
            <w:tcBorders>
              <w:top w:val="single" w:sz="12" w:space="0" w:color="auto"/>
            </w:tcBorders>
            <w:shd w:val="clear" w:color="auto" w:fill="auto"/>
          </w:tcPr>
          <w:p w14:paraId="42CBCE49" w14:textId="77777777" w:rsidR="00FC6630" w:rsidRPr="00FC6630" w:rsidRDefault="00FC6630" w:rsidP="00FC6630">
            <w:pPr>
              <w:spacing w:before="40" w:after="120"/>
              <w:ind w:right="113"/>
            </w:pPr>
          </w:p>
        </w:tc>
        <w:tc>
          <w:tcPr>
            <w:tcW w:w="4408" w:type="dxa"/>
            <w:tcBorders>
              <w:top w:val="single" w:sz="12" w:space="0" w:color="auto"/>
            </w:tcBorders>
            <w:shd w:val="clear" w:color="auto" w:fill="auto"/>
          </w:tcPr>
          <w:p w14:paraId="1FB58BD5" w14:textId="77777777" w:rsidR="00FC6630" w:rsidRPr="00FC6630" w:rsidRDefault="00FC6630" w:rsidP="00FC6630">
            <w:pPr>
              <w:spacing w:before="40" w:after="120"/>
              <w:ind w:right="113"/>
            </w:pPr>
          </w:p>
        </w:tc>
      </w:tr>
      <w:tr w:rsidR="00FC6630" w:rsidRPr="00FC6630" w14:paraId="0B1D3989" w14:textId="77777777" w:rsidTr="00FC6630">
        <w:tc>
          <w:tcPr>
            <w:tcW w:w="1645" w:type="dxa"/>
            <w:tcBorders>
              <w:bottom w:val="single" w:sz="12" w:space="0" w:color="auto"/>
            </w:tcBorders>
            <w:shd w:val="clear" w:color="auto" w:fill="auto"/>
          </w:tcPr>
          <w:p w14:paraId="6B95F30A" w14:textId="77777777" w:rsidR="00FC6630" w:rsidRPr="00FC6630" w:rsidRDefault="00FC6630" w:rsidP="00FC6630">
            <w:pPr>
              <w:spacing w:before="40" w:after="120"/>
              <w:ind w:right="113"/>
            </w:pPr>
            <w:r w:rsidRPr="00FC6630">
              <w:t>111.160</w:t>
            </w:r>
          </w:p>
          <w:p w14:paraId="7299B260" w14:textId="77777777" w:rsidR="00FC6630" w:rsidRPr="00FC6630" w:rsidRDefault="00FC6630" w:rsidP="00FC6630">
            <w:pPr>
              <w:spacing w:before="40" w:after="120"/>
              <w:ind w:right="113"/>
            </w:pPr>
            <w:r w:rsidRPr="00FC6630">
              <w:t>111.161</w:t>
            </w:r>
          </w:p>
          <w:p w14:paraId="0D5D14E0" w14:textId="77777777" w:rsidR="00FC6630" w:rsidRPr="00FC6630" w:rsidRDefault="00FC6630" w:rsidP="00FC6630">
            <w:pPr>
              <w:spacing w:before="40" w:after="120"/>
              <w:ind w:right="113"/>
            </w:pPr>
            <w:r w:rsidRPr="00FC6630">
              <w:t>111.162</w:t>
            </w:r>
          </w:p>
          <w:p w14:paraId="46F67C90" w14:textId="77777777" w:rsidR="00FC6630" w:rsidRPr="00FC6630" w:rsidRDefault="00FC6630" w:rsidP="00FC6630">
            <w:pPr>
              <w:spacing w:before="40" w:after="120"/>
              <w:ind w:right="113"/>
            </w:pPr>
            <w:r w:rsidRPr="00FC6630">
              <w:t>111.163</w:t>
            </w:r>
          </w:p>
          <w:p w14:paraId="79157A13" w14:textId="77777777" w:rsidR="00FC6630" w:rsidRPr="00FC6630" w:rsidRDefault="00FC6630" w:rsidP="00FC6630">
            <w:pPr>
              <w:spacing w:before="40" w:after="120"/>
              <w:ind w:right="113"/>
            </w:pPr>
            <w:r w:rsidRPr="00FC6630">
              <w:t>111.164</w:t>
            </w:r>
          </w:p>
          <w:p w14:paraId="47F91BF8" w14:textId="77777777" w:rsidR="00FC6630" w:rsidRPr="00FC6630" w:rsidRDefault="00FC6630" w:rsidP="00FC6630">
            <w:pPr>
              <w:spacing w:before="40" w:after="120"/>
              <w:ind w:right="113"/>
            </w:pPr>
            <w:r w:rsidRPr="00FC6630">
              <w:lastRenderedPageBreak/>
              <w:t>111.165</w:t>
            </w:r>
          </w:p>
          <w:p w14:paraId="3AB2D6AE" w14:textId="77777777" w:rsidR="00FC6630" w:rsidRPr="00FC6630" w:rsidRDefault="00FC6630" w:rsidP="00FC6630">
            <w:pPr>
              <w:spacing w:before="40" w:after="120"/>
              <w:ind w:right="113"/>
            </w:pPr>
            <w:r w:rsidRPr="00FC6630">
              <w:t>111.166</w:t>
            </w:r>
          </w:p>
          <w:p w14:paraId="79E2A607" w14:textId="77777777" w:rsidR="00FC6630" w:rsidRPr="00FC6630" w:rsidRDefault="00FC6630" w:rsidP="00FC6630">
            <w:pPr>
              <w:spacing w:before="40" w:after="120"/>
              <w:ind w:right="113"/>
            </w:pPr>
            <w:r w:rsidRPr="00FC6630">
              <w:t>111.167</w:t>
            </w:r>
          </w:p>
          <w:p w14:paraId="07084C10" w14:textId="77777777" w:rsidR="00FC6630" w:rsidRPr="00FC6630" w:rsidRDefault="00FC6630" w:rsidP="00FC6630">
            <w:pPr>
              <w:spacing w:before="40" w:after="120"/>
              <w:ind w:right="113"/>
            </w:pPr>
            <w:r w:rsidRPr="00FC6630">
              <w:t>111.168</w:t>
            </w:r>
          </w:p>
          <w:p w14:paraId="645ABC7B" w14:textId="77777777" w:rsidR="00FC6630" w:rsidRPr="00FC6630" w:rsidRDefault="00FC6630" w:rsidP="00FC6630">
            <w:pPr>
              <w:spacing w:before="40" w:after="120"/>
              <w:ind w:right="113"/>
            </w:pPr>
            <w:r w:rsidRPr="00FC6630">
              <w:t>111.169</w:t>
            </w:r>
          </w:p>
          <w:p w14:paraId="07FD9D25" w14:textId="77777777" w:rsidR="00FC6630" w:rsidRPr="00FC6630" w:rsidRDefault="00FC6630" w:rsidP="00FC6630">
            <w:pPr>
              <w:spacing w:before="40" w:after="120"/>
              <w:ind w:right="113"/>
            </w:pPr>
            <w:r w:rsidRPr="00FC6630">
              <w:t>111.170</w:t>
            </w:r>
          </w:p>
          <w:p w14:paraId="27823B7B" w14:textId="77777777" w:rsidR="00FC6630" w:rsidRPr="00FC6630" w:rsidRDefault="00FC6630" w:rsidP="00FC6630">
            <w:pPr>
              <w:spacing w:before="40" w:after="120"/>
              <w:ind w:right="113"/>
            </w:pPr>
            <w:r w:rsidRPr="00FC6630">
              <w:t>111.171</w:t>
            </w:r>
          </w:p>
        </w:tc>
        <w:tc>
          <w:tcPr>
            <w:tcW w:w="1317" w:type="dxa"/>
            <w:tcBorders>
              <w:bottom w:val="single" w:sz="12" w:space="0" w:color="auto"/>
            </w:tcBorders>
            <w:shd w:val="clear" w:color="auto" w:fill="auto"/>
          </w:tcPr>
          <w:p w14:paraId="4A30A983" w14:textId="77777777" w:rsidR="00FC6630" w:rsidRPr="00FC6630" w:rsidRDefault="00FC6630" w:rsidP="00FC6630">
            <w:pPr>
              <w:spacing w:before="40" w:after="120"/>
              <w:ind w:right="113"/>
            </w:pPr>
            <w:r w:rsidRPr="00FC6630">
              <w:lastRenderedPageBreak/>
              <w:t>Apoya</w:t>
            </w:r>
          </w:p>
        </w:tc>
        <w:tc>
          <w:tcPr>
            <w:tcW w:w="4408" w:type="dxa"/>
            <w:tcBorders>
              <w:bottom w:val="single" w:sz="12" w:space="0" w:color="auto"/>
            </w:tcBorders>
            <w:shd w:val="clear" w:color="auto" w:fill="auto"/>
          </w:tcPr>
          <w:p w14:paraId="47E3D989" w14:textId="77777777" w:rsidR="00FC6630" w:rsidRPr="00FC6630" w:rsidRDefault="00FC6630" w:rsidP="00FC6630">
            <w:pPr>
              <w:spacing w:before="40" w:after="120"/>
              <w:ind w:right="113"/>
            </w:pPr>
          </w:p>
        </w:tc>
      </w:tr>
    </w:tbl>
    <w:p w14:paraId="4F393610" w14:textId="1D5B9AB7" w:rsidR="00FC6630" w:rsidRDefault="00FC6630" w:rsidP="00FC6630">
      <w:pPr>
        <w:pStyle w:val="H1G"/>
        <w:rPr>
          <w:bCs/>
        </w:rPr>
      </w:pPr>
      <w:r>
        <w:tab/>
        <w:t>G.</w:t>
      </w:r>
      <w:r>
        <w:tab/>
      </w:r>
      <w:r w:rsidRPr="00FC6630">
        <w:rPr>
          <w:bCs/>
        </w:rPr>
        <w:t>Pueblos indígenas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5"/>
        <w:gridCol w:w="1317"/>
        <w:gridCol w:w="4408"/>
      </w:tblGrid>
      <w:tr w:rsidR="00FC6630" w:rsidRPr="00FC6630" w14:paraId="76E92C0E" w14:textId="77777777" w:rsidTr="00FC6630">
        <w:trPr>
          <w:tblHeader/>
        </w:trPr>
        <w:tc>
          <w:tcPr>
            <w:tcW w:w="1645" w:type="dxa"/>
            <w:tcBorders>
              <w:top w:val="single" w:sz="4" w:space="0" w:color="auto"/>
              <w:bottom w:val="single" w:sz="12" w:space="0" w:color="auto"/>
            </w:tcBorders>
            <w:shd w:val="clear" w:color="auto" w:fill="auto"/>
            <w:vAlign w:val="bottom"/>
          </w:tcPr>
          <w:p w14:paraId="3EE53AC8" w14:textId="77777777" w:rsidR="00FC6630" w:rsidRPr="00FC6630" w:rsidRDefault="00FC6630" w:rsidP="00FC6630">
            <w:pPr>
              <w:spacing w:before="80" w:after="80" w:line="200" w:lineRule="exact"/>
              <w:ind w:right="113"/>
              <w:rPr>
                <w:i/>
                <w:sz w:val="16"/>
              </w:rPr>
            </w:pPr>
            <w:r w:rsidRPr="00FC6630">
              <w:rPr>
                <w:i/>
                <w:sz w:val="16"/>
              </w:rPr>
              <w:t>Recomendación</w:t>
            </w:r>
          </w:p>
        </w:tc>
        <w:tc>
          <w:tcPr>
            <w:tcW w:w="1317" w:type="dxa"/>
            <w:tcBorders>
              <w:top w:val="single" w:sz="4" w:space="0" w:color="auto"/>
              <w:bottom w:val="single" w:sz="12" w:space="0" w:color="auto"/>
            </w:tcBorders>
            <w:shd w:val="clear" w:color="auto" w:fill="auto"/>
            <w:vAlign w:val="bottom"/>
          </w:tcPr>
          <w:p w14:paraId="7B0CF1FB" w14:textId="77777777" w:rsidR="00FC6630" w:rsidRPr="00FC6630" w:rsidRDefault="00FC6630" w:rsidP="00FC6630">
            <w:pPr>
              <w:spacing w:before="80" w:after="80" w:line="200" w:lineRule="exact"/>
              <w:ind w:right="113"/>
              <w:rPr>
                <w:i/>
                <w:sz w:val="16"/>
              </w:rPr>
            </w:pPr>
            <w:r w:rsidRPr="00FC6630">
              <w:rPr>
                <w:i/>
                <w:sz w:val="16"/>
              </w:rPr>
              <w:t>Posición</w:t>
            </w:r>
          </w:p>
        </w:tc>
        <w:tc>
          <w:tcPr>
            <w:tcW w:w="4408" w:type="dxa"/>
            <w:tcBorders>
              <w:top w:val="single" w:sz="4" w:space="0" w:color="auto"/>
              <w:bottom w:val="single" w:sz="12" w:space="0" w:color="auto"/>
            </w:tcBorders>
            <w:shd w:val="clear" w:color="auto" w:fill="auto"/>
            <w:vAlign w:val="bottom"/>
          </w:tcPr>
          <w:p w14:paraId="3AAC1688" w14:textId="77777777" w:rsidR="00FC6630" w:rsidRPr="00FC6630" w:rsidRDefault="00FC6630" w:rsidP="00FC6630">
            <w:pPr>
              <w:spacing w:before="80" w:after="80" w:line="200" w:lineRule="exact"/>
              <w:ind w:right="113"/>
              <w:rPr>
                <w:i/>
                <w:sz w:val="16"/>
              </w:rPr>
            </w:pPr>
            <w:r w:rsidRPr="00FC6630">
              <w:rPr>
                <w:i/>
                <w:sz w:val="16"/>
              </w:rPr>
              <w:t>Comentarios</w:t>
            </w:r>
          </w:p>
        </w:tc>
      </w:tr>
      <w:tr w:rsidR="00FC6630" w:rsidRPr="00FC6630" w14:paraId="5E4D55EA" w14:textId="77777777" w:rsidTr="00FC6630">
        <w:trPr>
          <w:trHeight w:hRule="exact" w:val="113"/>
          <w:tblHeader/>
        </w:trPr>
        <w:tc>
          <w:tcPr>
            <w:tcW w:w="1645" w:type="dxa"/>
            <w:tcBorders>
              <w:top w:val="single" w:sz="12" w:space="0" w:color="auto"/>
            </w:tcBorders>
            <w:shd w:val="clear" w:color="auto" w:fill="auto"/>
          </w:tcPr>
          <w:p w14:paraId="778A9655" w14:textId="77777777" w:rsidR="00FC6630" w:rsidRPr="00FC6630" w:rsidRDefault="00FC6630" w:rsidP="00FC6630">
            <w:pPr>
              <w:spacing w:before="40" w:after="120"/>
              <w:ind w:right="113"/>
            </w:pPr>
          </w:p>
        </w:tc>
        <w:tc>
          <w:tcPr>
            <w:tcW w:w="1317" w:type="dxa"/>
            <w:tcBorders>
              <w:top w:val="single" w:sz="12" w:space="0" w:color="auto"/>
            </w:tcBorders>
            <w:shd w:val="clear" w:color="auto" w:fill="auto"/>
          </w:tcPr>
          <w:p w14:paraId="1AB63264" w14:textId="77777777" w:rsidR="00FC6630" w:rsidRPr="00FC6630" w:rsidRDefault="00FC6630" w:rsidP="00FC6630">
            <w:pPr>
              <w:spacing w:before="40" w:after="120"/>
              <w:ind w:right="113"/>
            </w:pPr>
          </w:p>
        </w:tc>
        <w:tc>
          <w:tcPr>
            <w:tcW w:w="4408" w:type="dxa"/>
            <w:tcBorders>
              <w:top w:val="single" w:sz="12" w:space="0" w:color="auto"/>
            </w:tcBorders>
            <w:shd w:val="clear" w:color="auto" w:fill="auto"/>
          </w:tcPr>
          <w:p w14:paraId="5AB7F560" w14:textId="77777777" w:rsidR="00FC6630" w:rsidRPr="00FC6630" w:rsidRDefault="00FC6630" w:rsidP="00FC6630">
            <w:pPr>
              <w:spacing w:before="40" w:after="120"/>
              <w:ind w:right="113"/>
            </w:pPr>
          </w:p>
        </w:tc>
      </w:tr>
      <w:tr w:rsidR="00FC6630" w:rsidRPr="00FC6630" w14:paraId="234A6E71" w14:textId="77777777" w:rsidTr="00FC6630">
        <w:tc>
          <w:tcPr>
            <w:tcW w:w="1645" w:type="dxa"/>
            <w:tcBorders>
              <w:bottom w:val="single" w:sz="12" w:space="0" w:color="auto"/>
            </w:tcBorders>
            <w:shd w:val="clear" w:color="auto" w:fill="auto"/>
          </w:tcPr>
          <w:p w14:paraId="6A4C0E51" w14:textId="77777777" w:rsidR="00FC6630" w:rsidRPr="00FC6630" w:rsidRDefault="00FC6630" w:rsidP="00FC6630">
            <w:pPr>
              <w:spacing w:before="40" w:after="120"/>
              <w:ind w:right="113"/>
            </w:pPr>
            <w:r w:rsidRPr="00FC6630">
              <w:t>111.172</w:t>
            </w:r>
          </w:p>
          <w:p w14:paraId="02CE35BC" w14:textId="77777777" w:rsidR="00FC6630" w:rsidRPr="00FC6630" w:rsidRDefault="00FC6630" w:rsidP="00FC6630">
            <w:pPr>
              <w:spacing w:before="40" w:after="120"/>
              <w:ind w:right="113"/>
            </w:pPr>
            <w:r w:rsidRPr="00FC6630">
              <w:t>111.174</w:t>
            </w:r>
          </w:p>
          <w:p w14:paraId="3BF02DE3" w14:textId="77777777" w:rsidR="00FC6630" w:rsidRPr="00FC6630" w:rsidRDefault="00FC6630" w:rsidP="00FC6630">
            <w:pPr>
              <w:spacing w:before="40" w:after="120"/>
              <w:ind w:right="113"/>
            </w:pPr>
            <w:r w:rsidRPr="00FC6630">
              <w:t>111.175</w:t>
            </w:r>
          </w:p>
          <w:p w14:paraId="081D26FA" w14:textId="77777777" w:rsidR="00FC6630" w:rsidRPr="00FC6630" w:rsidRDefault="00FC6630" w:rsidP="00FC6630">
            <w:pPr>
              <w:spacing w:before="40" w:after="120"/>
              <w:ind w:right="113"/>
            </w:pPr>
            <w:r w:rsidRPr="00FC6630">
              <w:t>111.176</w:t>
            </w:r>
          </w:p>
          <w:p w14:paraId="616CF034" w14:textId="77777777" w:rsidR="00FC6630" w:rsidRPr="00FC6630" w:rsidRDefault="00FC6630" w:rsidP="00FC6630">
            <w:pPr>
              <w:spacing w:before="40" w:after="120"/>
              <w:ind w:right="113"/>
            </w:pPr>
            <w:r w:rsidRPr="00FC6630">
              <w:t>111.177</w:t>
            </w:r>
          </w:p>
          <w:p w14:paraId="2B47DB40" w14:textId="77777777" w:rsidR="00FC6630" w:rsidRPr="00FC6630" w:rsidRDefault="00FC6630" w:rsidP="00FC6630">
            <w:pPr>
              <w:spacing w:before="40" w:after="120"/>
              <w:ind w:right="113"/>
            </w:pPr>
            <w:r w:rsidRPr="00FC6630">
              <w:t>111.178</w:t>
            </w:r>
          </w:p>
          <w:p w14:paraId="7EB2F05A" w14:textId="77777777" w:rsidR="00FC6630" w:rsidRPr="00FC6630" w:rsidRDefault="00FC6630" w:rsidP="00FC6630">
            <w:pPr>
              <w:spacing w:before="40" w:after="120"/>
              <w:ind w:right="113"/>
            </w:pPr>
            <w:r w:rsidRPr="00FC6630">
              <w:t>111.179</w:t>
            </w:r>
          </w:p>
          <w:p w14:paraId="31BB9F30" w14:textId="77777777" w:rsidR="00FC6630" w:rsidRPr="00FC6630" w:rsidRDefault="00FC6630" w:rsidP="00FC6630">
            <w:pPr>
              <w:spacing w:before="40" w:after="120"/>
              <w:ind w:right="113"/>
            </w:pPr>
            <w:r w:rsidRPr="00FC6630">
              <w:t>111.180</w:t>
            </w:r>
          </w:p>
          <w:p w14:paraId="05D6BCE6" w14:textId="77777777" w:rsidR="00FC6630" w:rsidRPr="00FC6630" w:rsidRDefault="00FC6630" w:rsidP="00FC6630">
            <w:pPr>
              <w:spacing w:before="40" w:after="120"/>
              <w:ind w:right="113"/>
            </w:pPr>
            <w:r w:rsidRPr="00FC6630">
              <w:t>111.181</w:t>
            </w:r>
          </w:p>
          <w:p w14:paraId="5BEFF6FC" w14:textId="57E5DD61" w:rsidR="00FC6630" w:rsidRPr="00FC6630" w:rsidRDefault="00FC6630" w:rsidP="00FC6630">
            <w:pPr>
              <w:spacing w:before="40" w:after="120"/>
              <w:ind w:right="113"/>
            </w:pPr>
            <w:r w:rsidRPr="00FC6630">
              <w:t>111.182</w:t>
            </w:r>
          </w:p>
        </w:tc>
        <w:tc>
          <w:tcPr>
            <w:tcW w:w="1317" w:type="dxa"/>
            <w:tcBorders>
              <w:bottom w:val="single" w:sz="12" w:space="0" w:color="auto"/>
            </w:tcBorders>
            <w:shd w:val="clear" w:color="auto" w:fill="auto"/>
          </w:tcPr>
          <w:p w14:paraId="1FE30BF3" w14:textId="77777777" w:rsidR="00FC6630" w:rsidRPr="00FC6630" w:rsidRDefault="00FC6630" w:rsidP="00FC6630">
            <w:pPr>
              <w:spacing w:before="40" w:after="120"/>
              <w:ind w:right="113"/>
            </w:pPr>
            <w:r w:rsidRPr="00FC6630">
              <w:t>Apoya</w:t>
            </w:r>
          </w:p>
        </w:tc>
        <w:tc>
          <w:tcPr>
            <w:tcW w:w="4408" w:type="dxa"/>
            <w:tcBorders>
              <w:bottom w:val="single" w:sz="12" w:space="0" w:color="auto"/>
            </w:tcBorders>
            <w:shd w:val="clear" w:color="auto" w:fill="auto"/>
          </w:tcPr>
          <w:p w14:paraId="644E1A0E" w14:textId="77777777" w:rsidR="00FC6630" w:rsidRPr="00FC6630" w:rsidRDefault="00FC6630" w:rsidP="00FC6630">
            <w:pPr>
              <w:spacing w:before="40" w:after="120"/>
              <w:ind w:right="113"/>
            </w:pPr>
          </w:p>
        </w:tc>
      </w:tr>
    </w:tbl>
    <w:p w14:paraId="5E4B24FD" w14:textId="4D56527F" w:rsidR="00FC6630" w:rsidRDefault="00FC6630" w:rsidP="00FC6630">
      <w:pPr>
        <w:pStyle w:val="H1G"/>
        <w:rPr>
          <w:bCs/>
        </w:rPr>
      </w:pPr>
      <w:r>
        <w:tab/>
        <w:t>H.</w:t>
      </w:r>
      <w:r>
        <w:tab/>
      </w:r>
      <w:r w:rsidRPr="00FC6630">
        <w:rPr>
          <w:bCs/>
        </w:rPr>
        <w:t>Personas LGBTI</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2"/>
        <w:gridCol w:w="1313"/>
        <w:gridCol w:w="4415"/>
      </w:tblGrid>
      <w:tr w:rsidR="00FC6630" w:rsidRPr="00FC6630" w14:paraId="3F6A9614" w14:textId="77777777" w:rsidTr="00FC6630">
        <w:trPr>
          <w:tblHeader/>
        </w:trPr>
        <w:tc>
          <w:tcPr>
            <w:tcW w:w="1642" w:type="dxa"/>
            <w:tcBorders>
              <w:top w:val="single" w:sz="4" w:space="0" w:color="auto"/>
              <w:bottom w:val="single" w:sz="12" w:space="0" w:color="auto"/>
            </w:tcBorders>
            <w:shd w:val="clear" w:color="auto" w:fill="auto"/>
            <w:vAlign w:val="bottom"/>
          </w:tcPr>
          <w:p w14:paraId="6B1F2B9C" w14:textId="77777777" w:rsidR="00FC6630" w:rsidRPr="00FC6630" w:rsidRDefault="00FC6630" w:rsidP="00FC6630">
            <w:pPr>
              <w:spacing w:before="80" w:after="80" w:line="200" w:lineRule="exact"/>
              <w:ind w:right="113"/>
              <w:rPr>
                <w:i/>
                <w:sz w:val="16"/>
              </w:rPr>
            </w:pPr>
            <w:r w:rsidRPr="00FC6630">
              <w:rPr>
                <w:i/>
                <w:sz w:val="16"/>
              </w:rPr>
              <w:t>Recomendación</w:t>
            </w:r>
          </w:p>
        </w:tc>
        <w:tc>
          <w:tcPr>
            <w:tcW w:w="1313" w:type="dxa"/>
            <w:tcBorders>
              <w:top w:val="single" w:sz="4" w:space="0" w:color="auto"/>
              <w:bottom w:val="single" w:sz="12" w:space="0" w:color="auto"/>
            </w:tcBorders>
            <w:shd w:val="clear" w:color="auto" w:fill="auto"/>
            <w:vAlign w:val="bottom"/>
          </w:tcPr>
          <w:p w14:paraId="25D8FFA7" w14:textId="77777777" w:rsidR="00FC6630" w:rsidRPr="00FC6630" w:rsidRDefault="00FC6630" w:rsidP="00FC6630">
            <w:pPr>
              <w:spacing w:before="80" w:after="80" w:line="200" w:lineRule="exact"/>
              <w:ind w:right="113"/>
              <w:rPr>
                <w:i/>
                <w:sz w:val="16"/>
              </w:rPr>
            </w:pPr>
            <w:r w:rsidRPr="00FC6630">
              <w:rPr>
                <w:i/>
                <w:sz w:val="16"/>
              </w:rPr>
              <w:t>Posición</w:t>
            </w:r>
          </w:p>
        </w:tc>
        <w:tc>
          <w:tcPr>
            <w:tcW w:w="4415" w:type="dxa"/>
            <w:tcBorders>
              <w:top w:val="single" w:sz="4" w:space="0" w:color="auto"/>
              <w:bottom w:val="single" w:sz="12" w:space="0" w:color="auto"/>
            </w:tcBorders>
            <w:shd w:val="clear" w:color="auto" w:fill="auto"/>
            <w:vAlign w:val="bottom"/>
          </w:tcPr>
          <w:p w14:paraId="10D46670" w14:textId="77777777" w:rsidR="00FC6630" w:rsidRPr="00FC6630" w:rsidRDefault="00FC6630" w:rsidP="00FC6630">
            <w:pPr>
              <w:spacing w:before="80" w:after="80" w:line="200" w:lineRule="exact"/>
              <w:ind w:right="113"/>
              <w:rPr>
                <w:i/>
                <w:sz w:val="16"/>
              </w:rPr>
            </w:pPr>
            <w:r w:rsidRPr="00FC6630">
              <w:rPr>
                <w:i/>
                <w:sz w:val="16"/>
              </w:rPr>
              <w:t>Comentarios</w:t>
            </w:r>
          </w:p>
        </w:tc>
      </w:tr>
      <w:tr w:rsidR="00FC6630" w:rsidRPr="00FC6630" w14:paraId="1B298ACE" w14:textId="77777777" w:rsidTr="00FC6630">
        <w:trPr>
          <w:trHeight w:hRule="exact" w:val="113"/>
          <w:tblHeader/>
        </w:trPr>
        <w:tc>
          <w:tcPr>
            <w:tcW w:w="1642" w:type="dxa"/>
            <w:tcBorders>
              <w:top w:val="single" w:sz="12" w:space="0" w:color="auto"/>
            </w:tcBorders>
            <w:shd w:val="clear" w:color="auto" w:fill="auto"/>
          </w:tcPr>
          <w:p w14:paraId="30AD9F4B" w14:textId="77777777" w:rsidR="00FC6630" w:rsidRPr="00FC6630" w:rsidRDefault="00FC6630" w:rsidP="00FC6630">
            <w:pPr>
              <w:spacing w:before="40" w:after="120"/>
              <w:ind w:right="113"/>
            </w:pPr>
          </w:p>
        </w:tc>
        <w:tc>
          <w:tcPr>
            <w:tcW w:w="1313" w:type="dxa"/>
            <w:tcBorders>
              <w:top w:val="single" w:sz="12" w:space="0" w:color="auto"/>
            </w:tcBorders>
            <w:shd w:val="clear" w:color="auto" w:fill="auto"/>
          </w:tcPr>
          <w:p w14:paraId="0FC4D9A4" w14:textId="77777777" w:rsidR="00FC6630" w:rsidRPr="00FC6630" w:rsidRDefault="00FC6630" w:rsidP="00FC6630">
            <w:pPr>
              <w:spacing w:before="40" w:after="120"/>
              <w:ind w:right="113"/>
            </w:pPr>
          </w:p>
        </w:tc>
        <w:tc>
          <w:tcPr>
            <w:tcW w:w="4415" w:type="dxa"/>
            <w:tcBorders>
              <w:top w:val="single" w:sz="12" w:space="0" w:color="auto"/>
            </w:tcBorders>
            <w:shd w:val="clear" w:color="auto" w:fill="auto"/>
          </w:tcPr>
          <w:p w14:paraId="0DDE1072" w14:textId="77777777" w:rsidR="00FC6630" w:rsidRPr="00FC6630" w:rsidRDefault="00FC6630" w:rsidP="00FC6630">
            <w:pPr>
              <w:spacing w:before="40" w:after="120"/>
              <w:ind w:right="113"/>
            </w:pPr>
          </w:p>
        </w:tc>
      </w:tr>
      <w:tr w:rsidR="00FC6630" w:rsidRPr="00FC6630" w14:paraId="550D8AB3" w14:textId="77777777" w:rsidTr="00FC6630">
        <w:tc>
          <w:tcPr>
            <w:tcW w:w="1642" w:type="dxa"/>
            <w:shd w:val="clear" w:color="auto" w:fill="auto"/>
          </w:tcPr>
          <w:p w14:paraId="770C4A5D" w14:textId="77777777" w:rsidR="00FC6630" w:rsidRPr="00FC6630" w:rsidRDefault="00FC6630" w:rsidP="00FC6630">
            <w:pPr>
              <w:spacing w:before="40" w:after="120"/>
              <w:ind w:right="113"/>
            </w:pPr>
            <w:r w:rsidRPr="00FC6630">
              <w:t>111.183</w:t>
            </w:r>
          </w:p>
          <w:p w14:paraId="2D8DCE78" w14:textId="77777777" w:rsidR="00FC6630" w:rsidRPr="00FC6630" w:rsidRDefault="00FC6630" w:rsidP="00FC6630">
            <w:pPr>
              <w:spacing w:before="40" w:after="120"/>
              <w:ind w:right="113"/>
            </w:pPr>
            <w:r w:rsidRPr="00FC6630">
              <w:t>111.184</w:t>
            </w:r>
          </w:p>
          <w:p w14:paraId="34368EA9" w14:textId="77777777" w:rsidR="00FC6630" w:rsidRPr="00FC6630" w:rsidRDefault="00FC6630" w:rsidP="00FC6630">
            <w:pPr>
              <w:spacing w:before="40" w:after="120"/>
              <w:ind w:right="113"/>
            </w:pPr>
            <w:r w:rsidRPr="00FC6630">
              <w:t>111.185</w:t>
            </w:r>
          </w:p>
          <w:p w14:paraId="2C0BC4A9" w14:textId="77777777" w:rsidR="00FC6630" w:rsidRPr="00FC6630" w:rsidRDefault="00FC6630" w:rsidP="00FC6630">
            <w:pPr>
              <w:spacing w:before="40" w:after="120"/>
              <w:ind w:right="113"/>
            </w:pPr>
            <w:r w:rsidRPr="00FC6630">
              <w:t>111.186</w:t>
            </w:r>
          </w:p>
          <w:p w14:paraId="5A844403" w14:textId="77777777" w:rsidR="00FC6630" w:rsidRPr="00FC6630" w:rsidRDefault="00FC6630" w:rsidP="00FC6630">
            <w:pPr>
              <w:spacing w:before="40" w:after="120"/>
              <w:ind w:right="113"/>
            </w:pPr>
            <w:r w:rsidRPr="00FC6630">
              <w:t>111.187</w:t>
            </w:r>
          </w:p>
          <w:p w14:paraId="1F31FEE8" w14:textId="77777777" w:rsidR="00FC6630" w:rsidRPr="00FC6630" w:rsidRDefault="00FC6630" w:rsidP="00FC6630">
            <w:pPr>
              <w:spacing w:before="40" w:after="120"/>
              <w:ind w:right="113"/>
            </w:pPr>
            <w:r w:rsidRPr="00FC6630">
              <w:t>111.188</w:t>
            </w:r>
          </w:p>
          <w:p w14:paraId="5C0CDFA0" w14:textId="77777777" w:rsidR="00FC6630" w:rsidRPr="00FC6630" w:rsidRDefault="00FC6630" w:rsidP="00FC6630">
            <w:pPr>
              <w:spacing w:before="40" w:after="120"/>
              <w:ind w:right="113"/>
            </w:pPr>
            <w:r w:rsidRPr="00FC6630">
              <w:t>111.189</w:t>
            </w:r>
          </w:p>
          <w:p w14:paraId="74EBD2B1" w14:textId="77777777" w:rsidR="00FC6630" w:rsidRPr="00FC6630" w:rsidRDefault="00FC6630" w:rsidP="00FC6630">
            <w:pPr>
              <w:spacing w:before="40" w:after="120"/>
              <w:ind w:right="113"/>
            </w:pPr>
            <w:r w:rsidRPr="00FC6630">
              <w:t>111.193</w:t>
            </w:r>
          </w:p>
          <w:p w14:paraId="15FEBAC7" w14:textId="77777777" w:rsidR="00FC6630" w:rsidRPr="00FC6630" w:rsidRDefault="00FC6630" w:rsidP="00FC6630">
            <w:pPr>
              <w:spacing w:before="40" w:after="120"/>
              <w:ind w:right="113"/>
            </w:pPr>
            <w:r w:rsidRPr="00FC6630">
              <w:t>111.194</w:t>
            </w:r>
          </w:p>
          <w:p w14:paraId="68501C1D" w14:textId="77777777" w:rsidR="00FC6630" w:rsidRPr="00FC6630" w:rsidRDefault="00FC6630" w:rsidP="00FC6630">
            <w:pPr>
              <w:spacing w:before="40" w:after="120"/>
              <w:ind w:right="113"/>
            </w:pPr>
            <w:r w:rsidRPr="00FC6630">
              <w:t>111.195</w:t>
            </w:r>
          </w:p>
          <w:p w14:paraId="64536ABC" w14:textId="77777777" w:rsidR="00FC6630" w:rsidRPr="00FC6630" w:rsidRDefault="00FC6630" w:rsidP="00FC6630">
            <w:pPr>
              <w:spacing w:before="40" w:after="120"/>
              <w:ind w:right="113"/>
            </w:pPr>
            <w:r w:rsidRPr="00FC6630">
              <w:t>111.196</w:t>
            </w:r>
          </w:p>
          <w:p w14:paraId="6F32A535" w14:textId="77777777" w:rsidR="00FC6630" w:rsidRPr="00FC6630" w:rsidRDefault="00FC6630" w:rsidP="00FC6630">
            <w:pPr>
              <w:spacing w:before="40" w:after="120"/>
              <w:ind w:right="113"/>
            </w:pPr>
            <w:r w:rsidRPr="00FC6630">
              <w:t>111.197</w:t>
            </w:r>
          </w:p>
        </w:tc>
        <w:tc>
          <w:tcPr>
            <w:tcW w:w="1313" w:type="dxa"/>
            <w:shd w:val="clear" w:color="auto" w:fill="auto"/>
          </w:tcPr>
          <w:p w14:paraId="04F8C636" w14:textId="77777777" w:rsidR="00FC6630" w:rsidRPr="00FC6630" w:rsidRDefault="00FC6630" w:rsidP="00FC6630">
            <w:pPr>
              <w:spacing w:before="40" w:after="120"/>
              <w:ind w:right="113"/>
            </w:pPr>
            <w:r w:rsidRPr="00FC6630">
              <w:t>Apoya</w:t>
            </w:r>
          </w:p>
        </w:tc>
        <w:tc>
          <w:tcPr>
            <w:tcW w:w="4415" w:type="dxa"/>
            <w:shd w:val="clear" w:color="auto" w:fill="auto"/>
          </w:tcPr>
          <w:p w14:paraId="56D8C515" w14:textId="77777777" w:rsidR="00FC6630" w:rsidRPr="00FC6630" w:rsidRDefault="00FC6630" w:rsidP="00FC6630">
            <w:pPr>
              <w:spacing w:before="40" w:after="120"/>
              <w:ind w:right="113"/>
            </w:pPr>
          </w:p>
        </w:tc>
      </w:tr>
      <w:tr w:rsidR="00FC6630" w:rsidRPr="00FC6630" w14:paraId="73D0B44D" w14:textId="77777777" w:rsidTr="00FC6630">
        <w:tc>
          <w:tcPr>
            <w:tcW w:w="1642" w:type="dxa"/>
            <w:shd w:val="clear" w:color="auto" w:fill="auto"/>
          </w:tcPr>
          <w:p w14:paraId="038EC73A" w14:textId="77777777" w:rsidR="00FC6630" w:rsidRPr="00FC6630" w:rsidRDefault="00FC6630" w:rsidP="00FC6630">
            <w:pPr>
              <w:spacing w:before="40" w:after="120"/>
              <w:ind w:right="113"/>
            </w:pPr>
            <w:r w:rsidRPr="00FC6630">
              <w:lastRenderedPageBreak/>
              <w:t>111.192</w:t>
            </w:r>
          </w:p>
        </w:tc>
        <w:tc>
          <w:tcPr>
            <w:tcW w:w="1313" w:type="dxa"/>
            <w:shd w:val="clear" w:color="auto" w:fill="auto"/>
          </w:tcPr>
          <w:p w14:paraId="177DB984" w14:textId="77777777" w:rsidR="00FC6630" w:rsidRPr="00FC6630" w:rsidRDefault="00FC6630" w:rsidP="00FC6630">
            <w:pPr>
              <w:spacing w:before="40" w:after="120"/>
              <w:ind w:right="113"/>
            </w:pPr>
            <w:r w:rsidRPr="00FC6630">
              <w:t>Apoya / Toma nota</w:t>
            </w:r>
          </w:p>
        </w:tc>
        <w:tc>
          <w:tcPr>
            <w:tcW w:w="4415" w:type="dxa"/>
            <w:shd w:val="clear" w:color="auto" w:fill="auto"/>
          </w:tcPr>
          <w:p w14:paraId="1226C142" w14:textId="6A291A33" w:rsidR="00FC6630" w:rsidRPr="00FC6630" w:rsidRDefault="00FC6630" w:rsidP="00FC6630">
            <w:pPr>
              <w:spacing w:before="40" w:after="120"/>
              <w:ind w:right="113"/>
            </w:pPr>
            <w:r w:rsidRPr="00FC6630">
              <w:t>En atención a lo dispuesto en el PNDH y a la posición tomada en el Tercer Ciclo del EPU</w:t>
            </w:r>
            <w:r>
              <w:rPr>
                <w:rStyle w:val="EndnoteReference"/>
              </w:rPr>
              <w:endnoteReference w:id="28"/>
            </w:r>
            <w:r w:rsidRPr="00FC6630">
              <w:t>, el Estado peruano apoya el extremo de la recomendación relacionado a “</w:t>
            </w:r>
            <w:r w:rsidRPr="00FC6630">
              <w:rPr>
                <w:lang w:val="es-PE"/>
              </w:rPr>
              <w:t>realizar los cambios legislativos necesarios para garantizar los derechos de las personas LGBTQI+”.</w:t>
            </w:r>
          </w:p>
        </w:tc>
      </w:tr>
      <w:tr w:rsidR="00FC6630" w:rsidRPr="00FC6630" w14:paraId="799F6D12" w14:textId="77777777" w:rsidTr="00FC6630">
        <w:tc>
          <w:tcPr>
            <w:tcW w:w="1642" w:type="dxa"/>
            <w:tcBorders>
              <w:bottom w:val="single" w:sz="12" w:space="0" w:color="auto"/>
            </w:tcBorders>
            <w:shd w:val="clear" w:color="auto" w:fill="auto"/>
          </w:tcPr>
          <w:p w14:paraId="28A1D813" w14:textId="77777777" w:rsidR="00FC6630" w:rsidRPr="00FC6630" w:rsidRDefault="00FC6630" w:rsidP="00FC6630">
            <w:pPr>
              <w:spacing w:before="40" w:after="120"/>
              <w:ind w:right="113"/>
            </w:pPr>
            <w:r w:rsidRPr="00FC6630">
              <w:t>111.190</w:t>
            </w:r>
          </w:p>
          <w:p w14:paraId="4B3EC176" w14:textId="255071EF" w:rsidR="00FC6630" w:rsidRPr="00FC6630" w:rsidRDefault="00FC6630" w:rsidP="00FC6630">
            <w:pPr>
              <w:spacing w:before="40" w:after="120"/>
              <w:ind w:right="113"/>
            </w:pPr>
            <w:r w:rsidRPr="00FC6630">
              <w:t>111.191</w:t>
            </w:r>
          </w:p>
        </w:tc>
        <w:tc>
          <w:tcPr>
            <w:tcW w:w="1313" w:type="dxa"/>
            <w:tcBorders>
              <w:bottom w:val="single" w:sz="12" w:space="0" w:color="auto"/>
            </w:tcBorders>
            <w:shd w:val="clear" w:color="auto" w:fill="auto"/>
          </w:tcPr>
          <w:p w14:paraId="41909EAA" w14:textId="77777777" w:rsidR="00FC6630" w:rsidRPr="00FC6630" w:rsidRDefault="00FC6630" w:rsidP="00FC6630">
            <w:pPr>
              <w:spacing w:before="40" w:after="120"/>
              <w:ind w:right="113"/>
            </w:pPr>
            <w:r w:rsidRPr="00FC6630">
              <w:t>Toma nota</w:t>
            </w:r>
          </w:p>
        </w:tc>
        <w:tc>
          <w:tcPr>
            <w:tcW w:w="4415" w:type="dxa"/>
            <w:tcBorders>
              <w:bottom w:val="single" w:sz="12" w:space="0" w:color="auto"/>
            </w:tcBorders>
            <w:shd w:val="clear" w:color="auto" w:fill="auto"/>
          </w:tcPr>
          <w:p w14:paraId="47ED6744" w14:textId="0976A9D2" w:rsidR="00FC6630" w:rsidRPr="00FC6630" w:rsidRDefault="00FC6630" w:rsidP="00FC6630">
            <w:pPr>
              <w:spacing w:before="40" w:after="120"/>
              <w:ind w:right="113"/>
            </w:pPr>
            <w:r w:rsidRPr="00FC6630">
              <w:t xml:space="preserve">En respeto a la independencia y autonomía de las Entidades, sobre “dejar de apelar sentencias judiciales”, se resalta que </w:t>
            </w:r>
            <w:bookmarkStart w:id="1" w:name="_Hlk136256853"/>
            <w:r w:rsidRPr="00FC6630">
              <w:t xml:space="preserve">la interposición de un medio impugnatorio obedece estrictamente al ejercicio de un derecho que le asiste a los órganos del Sistema de Defensa Jurídica encargados de representar a las entidades, al formar parte de un proceso judicial (en virtud al emplazamiento realizado por la autoridad judicial), ante la existencia de un fallo que involucra las funciones de la institución, con el objeto que el superior jerárquico efectúe el control eficaz de la resolución judicial expedida en primera instancia. Es a esta consideración y no a otra, a la que se ciñe la actuación </w:t>
            </w:r>
            <w:proofErr w:type="spellStart"/>
            <w:r w:rsidRPr="00FC6630">
              <w:t>recursal</w:t>
            </w:r>
            <w:proofErr w:type="spellEnd"/>
            <w:r w:rsidRPr="00FC6630">
              <w:t xml:space="preserve"> de las Procuradurías Públicas, las misma que cuenta con una actuación de naturaleza autónoma y estrictamente jurídica</w:t>
            </w:r>
            <w:bookmarkEnd w:id="1"/>
            <w:r>
              <w:rPr>
                <w:rStyle w:val="EndnoteReference"/>
              </w:rPr>
              <w:endnoteReference w:id="29"/>
            </w:r>
            <w:r w:rsidRPr="00FC6630">
              <w:t>.</w:t>
            </w:r>
          </w:p>
        </w:tc>
      </w:tr>
    </w:tbl>
    <w:p w14:paraId="03A7AE9A" w14:textId="721D3103" w:rsidR="00FC6630" w:rsidRDefault="00FC6630" w:rsidP="00FC6630">
      <w:pPr>
        <w:pStyle w:val="HChG"/>
        <w:rPr>
          <w:bCs/>
          <w:lang w:val="es-PE"/>
        </w:rPr>
      </w:pPr>
      <w:r>
        <w:rPr>
          <w:lang w:val="es-PE"/>
        </w:rPr>
        <w:tab/>
        <w:t>IV.</w:t>
      </w:r>
      <w:r>
        <w:rPr>
          <w:lang w:val="es-PE"/>
        </w:rPr>
        <w:tab/>
      </w:r>
      <w:r w:rsidRPr="00FC6630">
        <w:rPr>
          <w:bCs/>
          <w:lang w:val="es-PE"/>
        </w:rPr>
        <w:t>Conclusión</w:t>
      </w:r>
    </w:p>
    <w:p w14:paraId="64EE314E" w14:textId="3180FD7E" w:rsidR="00FC6630" w:rsidRPr="00FC6630" w:rsidRDefault="00FC6630" w:rsidP="00FC6630">
      <w:pPr>
        <w:pStyle w:val="SingleTxtG"/>
        <w:rPr>
          <w:lang w:val="es-PE"/>
        </w:rPr>
      </w:pPr>
      <w:r>
        <w:t>4.</w:t>
      </w:r>
      <w:r>
        <w:tab/>
      </w:r>
      <w:r w:rsidRPr="00FC6630">
        <w:t>El Perú manifiesta su compromiso inquebrantable en garantizar y respetar los derechos humanos de todas las personas, en especial, de los grupos de especial protección. Asimismo, es consciente que aún subsisten ámbitos en los cuales es preciso redoblar esfuerzos, continuará realizando todas las medidas necesarias en aras del ideal de una sociedad justa, sin discriminación y con igualdad de oportunidades.</w:t>
      </w:r>
    </w:p>
    <w:p w14:paraId="5A6300D1" w14:textId="2C934484" w:rsidR="00FD7C12" w:rsidRPr="000328F5" w:rsidRDefault="00D3553A" w:rsidP="00D3553A">
      <w:pPr>
        <w:pStyle w:val="H4G"/>
      </w:pPr>
      <w:r>
        <w:t>Notas</w:t>
      </w:r>
    </w:p>
    <w:sectPr w:rsidR="00FD7C12" w:rsidRPr="000328F5" w:rsidSect="00D3553A">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94B0C" w14:textId="77777777" w:rsidR="00D3553A" w:rsidRDefault="00D3553A"/>
  </w:endnote>
  <w:endnote w:type="continuationSeparator" w:id="0">
    <w:p w14:paraId="5ECAC987" w14:textId="77777777" w:rsidR="00D3553A" w:rsidRDefault="00D3553A"/>
  </w:endnote>
  <w:endnote w:type="continuationNotice" w:id="1">
    <w:p w14:paraId="7C71061F" w14:textId="77777777" w:rsidR="00D3553A" w:rsidRDefault="00D3553A"/>
  </w:endnote>
  <w:endnote w:id="2">
    <w:p w14:paraId="58BF6F15" w14:textId="16861EF0" w:rsidR="00D3553A" w:rsidRDefault="00D3553A" w:rsidP="00D3553A">
      <w:pPr>
        <w:pStyle w:val="EndnoteText"/>
        <w:widowControl w:val="0"/>
        <w:tabs>
          <w:tab w:val="clear" w:pos="1021"/>
          <w:tab w:val="right" w:pos="1020"/>
        </w:tabs>
      </w:pPr>
      <w:r>
        <w:tab/>
      </w:r>
      <w:r>
        <w:rPr>
          <w:rStyle w:val="EndnoteReference"/>
        </w:rPr>
        <w:endnoteRef/>
      </w:r>
      <w:r>
        <w:tab/>
      </w:r>
      <w:r w:rsidRPr="00D3553A">
        <w:rPr>
          <w:u w:val="single"/>
          <w:lang w:val="es-ES"/>
        </w:rPr>
        <w:t xml:space="preserve">Ministerio de Relaciones Exteriores </w:t>
      </w:r>
      <w:r w:rsidRPr="00D3553A">
        <w:rPr>
          <w:lang w:val="es-ES"/>
        </w:rPr>
        <w:t>(RREE). D.S. N° 030-2018-RE. Publicación: 17.07.2018</w:t>
      </w:r>
      <w:r>
        <w:rPr>
          <w:lang w:val="es-ES"/>
        </w:rPr>
        <w:t>.</w:t>
      </w:r>
    </w:p>
  </w:endnote>
  <w:endnote w:id="3">
    <w:p w14:paraId="21FA464D" w14:textId="52EB9E60" w:rsidR="00D3553A" w:rsidRDefault="00D3553A" w:rsidP="00D3553A">
      <w:pPr>
        <w:pStyle w:val="EndnoteText"/>
        <w:widowControl w:val="0"/>
        <w:tabs>
          <w:tab w:val="clear" w:pos="1021"/>
          <w:tab w:val="right" w:pos="1020"/>
        </w:tabs>
      </w:pPr>
      <w:r>
        <w:tab/>
      </w:r>
      <w:r>
        <w:rPr>
          <w:rStyle w:val="EndnoteReference"/>
        </w:rPr>
        <w:endnoteRef/>
      </w:r>
      <w:r>
        <w:tab/>
      </w:r>
      <w:r w:rsidRPr="00D3553A">
        <w:rPr>
          <w:lang w:val="es-ES"/>
        </w:rPr>
        <w:t>Ministerio de Justicia y Derechos Humanos (MINJUSDH). D.S. N° 010-2020-JUS. Publicado: 21.08.2020. Aprueba el “Protocolo Intersectorial para la Participación del Estado peruano ante los Sistemas de Protección Internacional de Derechos Humanos”</w:t>
      </w:r>
      <w:r>
        <w:rPr>
          <w:lang w:val="es-ES"/>
        </w:rPr>
        <w:t>.</w:t>
      </w:r>
    </w:p>
  </w:endnote>
  <w:endnote w:id="4">
    <w:p w14:paraId="7F211736" w14:textId="57673E3C" w:rsidR="00D3553A" w:rsidRDefault="00D3553A" w:rsidP="00D3553A">
      <w:pPr>
        <w:pStyle w:val="EndnoteText"/>
        <w:widowControl w:val="0"/>
        <w:tabs>
          <w:tab w:val="clear" w:pos="1021"/>
          <w:tab w:val="right" w:pos="1020"/>
        </w:tabs>
      </w:pPr>
      <w:r>
        <w:tab/>
      </w:r>
      <w:r>
        <w:rPr>
          <w:rStyle w:val="EndnoteReference"/>
        </w:rPr>
        <w:endnoteRef/>
      </w:r>
      <w:r>
        <w:tab/>
      </w:r>
      <w:r w:rsidRPr="00D3553A">
        <w:rPr>
          <w:lang w:val="es-ES"/>
        </w:rPr>
        <w:t>RREE. OF. RE (DDH) N° 2-19-B/509. Fecha: 26.05.2023 y anexo. Segundo Ciclo del Examen del EPU (A/HRC/22/15/Add.1) y Tercer Ciclo del EPU (A/HRC/37/8/Add.1)</w:t>
      </w:r>
      <w:r>
        <w:rPr>
          <w:lang w:val="es-ES"/>
        </w:rPr>
        <w:t>.</w:t>
      </w:r>
    </w:p>
  </w:endnote>
  <w:endnote w:id="5">
    <w:p w14:paraId="5AF5B883" w14:textId="4A11B9E5" w:rsidR="00D3553A" w:rsidRDefault="00D3553A" w:rsidP="00D3553A">
      <w:pPr>
        <w:pStyle w:val="EndnoteText"/>
        <w:widowControl w:val="0"/>
        <w:tabs>
          <w:tab w:val="clear" w:pos="1021"/>
          <w:tab w:val="right" w:pos="1020"/>
        </w:tabs>
      </w:pPr>
      <w:r>
        <w:tab/>
      </w:r>
      <w:r>
        <w:rPr>
          <w:rStyle w:val="EndnoteReference"/>
        </w:rPr>
        <w:endnoteRef/>
      </w:r>
      <w:r>
        <w:tab/>
      </w:r>
      <w:r w:rsidRPr="00D3553A">
        <w:rPr>
          <w:lang w:val="es-ES"/>
        </w:rPr>
        <w:t>MINJUSDH. D.S. N° 008-2018-JUS. Fecha: 01.02.2023</w:t>
      </w:r>
      <w:r>
        <w:rPr>
          <w:lang w:val="es-ES"/>
        </w:rPr>
        <w:t>.</w:t>
      </w:r>
    </w:p>
  </w:endnote>
  <w:endnote w:id="6">
    <w:p w14:paraId="3A240E07" w14:textId="39D7A0D3" w:rsidR="00D3553A" w:rsidRDefault="00D3553A" w:rsidP="00D3553A">
      <w:pPr>
        <w:pStyle w:val="EndnoteText"/>
        <w:widowControl w:val="0"/>
        <w:tabs>
          <w:tab w:val="clear" w:pos="1021"/>
          <w:tab w:val="right" w:pos="1020"/>
        </w:tabs>
      </w:pPr>
      <w:r>
        <w:tab/>
      </w:r>
      <w:r>
        <w:rPr>
          <w:rStyle w:val="EndnoteReference"/>
        </w:rPr>
        <w:endnoteRef/>
      </w:r>
      <w:r>
        <w:tab/>
      </w:r>
      <w:r w:rsidRPr="00D3553A">
        <w:rPr>
          <w:lang w:val="es-ES"/>
        </w:rPr>
        <w:t>RREE. OF. RE (DDH) N° 2-19-B/516. Fecha: 30.05.2023</w:t>
      </w:r>
      <w:r>
        <w:rPr>
          <w:lang w:val="es-ES"/>
        </w:rPr>
        <w:t>.</w:t>
      </w:r>
    </w:p>
  </w:endnote>
  <w:endnote w:id="7">
    <w:p w14:paraId="3E47433A" w14:textId="7B6E1732" w:rsidR="00C306B5" w:rsidRDefault="00C306B5" w:rsidP="00C306B5">
      <w:pPr>
        <w:pStyle w:val="EndnoteText"/>
        <w:widowControl w:val="0"/>
        <w:tabs>
          <w:tab w:val="clear" w:pos="1021"/>
          <w:tab w:val="right" w:pos="1020"/>
        </w:tabs>
      </w:pPr>
      <w:r>
        <w:tab/>
      </w:r>
      <w:r>
        <w:rPr>
          <w:rStyle w:val="EndnoteReference"/>
        </w:rPr>
        <w:endnoteRef/>
      </w:r>
      <w:r>
        <w:tab/>
      </w:r>
      <w:r w:rsidRPr="00C306B5">
        <w:rPr>
          <w:lang w:val="es-ES"/>
        </w:rPr>
        <w:t>Constitución Política del Perú, 1993. Artículo 2.2.</w:t>
      </w:r>
    </w:p>
  </w:endnote>
  <w:endnote w:id="8">
    <w:p w14:paraId="5E9C855A" w14:textId="594997BC" w:rsidR="00C306B5" w:rsidRDefault="00C306B5" w:rsidP="00C306B5">
      <w:pPr>
        <w:pStyle w:val="EndnoteText"/>
        <w:widowControl w:val="0"/>
        <w:tabs>
          <w:tab w:val="clear" w:pos="1021"/>
          <w:tab w:val="right" w:pos="1020"/>
        </w:tabs>
      </w:pPr>
      <w:r>
        <w:tab/>
      </w:r>
      <w:r>
        <w:rPr>
          <w:rStyle w:val="EndnoteReference"/>
        </w:rPr>
        <w:endnoteRef/>
      </w:r>
      <w:r>
        <w:tab/>
      </w:r>
      <w:r w:rsidRPr="00C306B5">
        <w:rPr>
          <w:lang w:val="es-ES"/>
        </w:rPr>
        <w:t>Poder Ejecutivo (PE). Decreto Legislativo N° 635, Código Penal. Publicado el 8 de abril de 1991. Artículo 323.</w:t>
      </w:r>
    </w:p>
  </w:endnote>
  <w:endnote w:id="9">
    <w:p w14:paraId="72A6ACB8" w14:textId="77777777" w:rsidR="00C306B5" w:rsidRPr="00C306B5" w:rsidRDefault="00C306B5" w:rsidP="00C306B5">
      <w:pPr>
        <w:pStyle w:val="EndnoteText"/>
        <w:widowControl w:val="0"/>
      </w:pPr>
      <w:r>
        <w:tab/>
      </w:r>
      <w:r>
        <w:rPr>
          <w:rStyle w:val="EndnoteReference"/>
        </w:rPr>
        <w:endnoteRef/>
      </w:r>
      <w:r>
        <w:tab/>
      </w:r>
      <w:r w:rsidRPr="00C306B5">
        <w:t xml:space="preserve">MINJUSDH. Elaboración de la Política Nacional Multisectorial de DDHH. Disponible en: </w:t>
      </w:r>
    </w:p>
    <w:p w14:paraId="04BE4DCC" w14:textId="5021CF0F" w:rsidR="00C306B5" w:rsidRPr="00C306B5" w:rsidRDefault="00C306B5" w:rsidP="00C306B5">
      <w:pPr>
        <w:pStyle w:val="EndnoteText"/>
        <w:widowControl w:val="0"/>
        <w:tabs>
          <w:tab w:val="clear" w:pos="1021"/>
          <w:tab w:val="right" w:pos="1020"/>
        </w:tabs>
        <w:rPr>
          <w:lang w:val="es-ES"/>
        </w:rPr>
      </w:pPr>
      <w:r>
        <w:rPr>
          <w:lang w:val="es-ES"/>
        </w:rPr>
        <w:tab/>
      </w:r>
      <w:r>
        <w:rPr>
          <w:lang w:val="es-ES"/>
        </w:rPr>
        <w:tab/>
      </w:r>
      <w:hyperlink r:id="rId1" w:history="1">
        <w:r w:rsidRPr="00454CB3">
          <w:rPr>
            <w:rStyle w:val="Hyperlink"/>
            <w:lang w:val="es-ES"/>
          </w:rPr>
          <w:t>https://www.gob.pe/institucion/minjus/campa%C3%B1as/8898-elaboracion-de-la-politica-nacional-multisectorial-de-ddhh</w:t>
        </w:r>
      </w:hyperlink>
    </w:p>
  </w:endnote>
  <w:endnote w:id="10">
    <w:p w14:paraId="4B78BD7A" w14:textId="08B56F83" w:rsidR="00C306B5" w:rsidRDefault="00C306B5" w:rsidP="00C306B5">
      <w:pPr>
        <w:pStyle w:val="EndnoteText"/>
        <w:widowControl w:val="0"/>
        <w:tabs>
          <w:tab w:val="clear" w:pos="1021"/>
          <w:tab w:val="right" w:pos="1020"/>
        </w:tabs>
      </w:pPr>
      <w:r>
        <w:tab/>
      </w:r>
      <w:r>
        <w:rPr>
          <w:rStyle w:val="EndnoteReference"/>
        </w:rPr>
        <w:endnoteRef/>
      </w:r>
      <w:r>
        <w:tab/>
      </w:r>
      <w:r w:rsidRPr="00C306B5">
        <w:rPr>
          <w:lang w:val="es-ES"/>
        </w:rPr>
        <w:t>PE. D.L. N° 1095. Publicación: 01.09.2010</w:t>
      </w:r>
      <w:r>
        <w:rPr>
          <w:lang w:val="es-ES"/>
        </w:rPr>
        <w:t>.</w:t>
      </w:r>
    </w:p>
  </w:endnote>
  <w:endnote w:id="11">
    <w:p w14:paraId="4448FA81" w14:textId="1910DBF5" w:rsidR="00C306B5" w:rsidRDefault="00C306B5" w:rsidP="00C306B5">
      <w:pPr>
        <w:pStyle w:val="EndnoteText"/>
        <w:widowControl w:val="0"/>
        <w:tabs>
          <w:tab w:val="clear" w:pos="1021"/>
          <w:tab w:val="right" w:pos="1020"/>
        </w:tabs>
      </w:pPr>
      <w:r>
        <w:tab/>
      </w:r>
      <w:r>
        <w:rPr>
          <w:rStyle w:val="EndnoteReference"/>
        </w:rPr>
        <w:endnoteRef/>
      </w:r>
      <w:r>
        <w:tab/>
      </w:r>
      <w:r w:rsidRPr="00C306B5">
        <w:rPr>
          <w:lang w:val="es-ES"/>
        </w:rPr>
        <w:t>PE. D.L. N° 1186. Publicación: 16.08.2015</w:t>
      </w:r>
      <w:r>
        <w:rPr>
          <w:lang w:val="es-ES"/>
        </w:rPr>
        <w:t>.</w:t>
      </w:r>
    </w:p>
  </w:endnote>
  <w:endnote w:id="12">
    <w:p w14:paraId="2E07BCAE" w14:textId="62BD22C6" w:rsidR="00C306B5" w:rsidRDefault="00C306B5" w:rsidP="00C306B5">
      <w:pPr>
        <w:pStyle w:val="EndnoteText"/>
        <w:widowControl w:val="0"/>
        <w:tabs>
          <w:tab w:val="clear" w:pos="1021"/>
          <w:tab w:val="right" w:pos="1020"/>
        </w:tabs>
      </w:pPr>
      <w:r>
        <w:tab/>
      </w:r>
      <w:r>
        <w:rPr>
          <w:rStyle w:val="EndnoteReference"/>
        </w:rPr>
        <w:endnoteRef/>
      </w:r>
      <w:r>
        <w:tab/>
      </w:r>
      <w:r w:rsidRPr="00C306B5">
        <w:rPr>
          <w:lang w:val="es-ES"/>
        </w:rPr>
        <w:t>Presidencia del Consejo de Ministros (PCM). D.S. N° 042-2023-PCM</w:t>
      </w:r>
      <w:r>
        <w:rPr>
          <w:lang w:val="es-ES"/>
        </w:rPr>
        <w:t>.</w:t>
      </w:r>
    </w:p>
  </w:endnote>
  <w:endnote w:id="13">
    <w:p w14:paraId="627A6CE9" w14:textId="79F06999" w:rsidR="00C306B5" w:rsidRDefault="00C306B5" w:rsidP="00C306B5">
      <w:pPr>
        <w:pStyle w:val="EndnoteText"/>
        <w:widowControl w:val="0"/>
        <w:tabs>
          <w:tab w:val="clear" w:pos="1021"/>
          <w:tab w:val="right" w:pos="1020"/>
        </w:tabs>
      </w:pPr>
      <w:r>
        <w:tab/>
      </w:r>
      <w:r>
        <w:rPr>
          <w:rStyle w:val="EndnoteReference"/>
        </w:rPr>
        <w:endnoteRef/>
      </w:r>
      <w:r>
        <w:tab/>
      </w:r>
      <w:r w:rsidRPr="00C306B5">
        <w:rPr>
          <w:lang w:val="es-ES"/>
        </w:rPr>
        <w:t>MINJUSDH. Resolución Suprema N° 264-2022-JUS.</w:t>
      </w:r>
    </w:p>
  </w:endnote>
  <w:endnote w:id="14">
    <w:p w14:paraId="4FFF2D11" w14:textId="07062CBA" w:rsidR="00C306B5" w:rsidRDefault="00C306B5" w:rsidP="00C306B5">
      <w:pPr>
        <w:pStyle w:val="EndnoteText"/>
        <w:widowControl w:val="0"/>
        <w:tabs>
          <w:tab w:val="clear" w:pos="1021"/>
          <w:tab w:val="right" w:pos="1020"/>
        </w:tabs>
      </w:pPr>
      <w:r>
        <w:tab/>
      </w:r>
      <w:r>
        <w:rPr>
          <w:rStyle w:val="EndnoteReference"/>
        </w:rPr>
        <w:endnoteRef/>
      </w:r>
      <w:r>
        <w:tab/>
      </w:r>
      <w:r w:rsidRPr="00C306B5">
        <w:rPr>
          <w:lang w:val="es-ES"/>
        </w:rPr>
        <w:t>MINJUSDH. CMM-ST. Informe N° 35-2023-JUS/CMM-ST. Fecha: 05.05.2023. Pág. 8</w:t>
      </w:r>
      <w:r>
        <w:rPr>
          <w:lang w:val="es-ES"/>
        </w:rPr>
        <w:t>.</w:t>
      </w:r>
    </w:p>
  </w:endnote>
  <w:endnote w:id="15">
    <w:p w14:paraId="4C8A92BC" w14:textId="2AF0B02A" w:rsidR="00C306B5" w:rsidRDefault="00C306B5" w:rsidP="00C306B5">
      <w:pPr>
        <w:pStyle w:val="EndnoteText"/>
        <w:widowControl w:val="0"/>
        <w:tabs>
          <w:tab w:val="clear" w:pos="1021"/>
          <w:tab w:val="right" w:pos="1020"/>
        </w:tabs>
      </w:pPr>
      <w:r>
        <w:tab/>
      </w:r>
      <w:r>
        <w:rPr>
          <w:rStyle w:val="EndnoteReference"/>
        </w:rPr>
        <w:endnoteRef/>
      </w:r>
      <w:r>
        <w:tab/>
      </w:r>
      <w:r w:rsidRPr="00C306B5">
        <w:rPr>
          <w:lang w:val="es-ES"/>
        </w:rPr>
        <w:t>Ministerio Público – Fiscalía de la Nación (MPFN). R.F.N. N° 790-2023-MP-FN. Publicada: 03.04.2023.</w:t>
      </w:r>
    </w:p>
  </w:endnote>
  <w:endnote w:id="16">
    <w:p w14:paraId="2F3198BD" w14:textId="1B79DCEF" w:rsidR="00C306B5" w:rsidRDefault="00C306B5" w:rsidP="00C306B5">
      <w:pPr>
        <w:pStyle w:val="EndnoteText"/>
        <w:widowControl w:val="0"/>
        <w:tabs>
          <w:tab w:val="clear" w:pos="1021"/>
          <w:tab w:val="right" w:pos="1020"/>
        </w:tabs>
      </w:pPr>
      <w:r>
        <w:tab/>
      </w:r>
      <w:r>
        <w:rPr>
          <w:rStyle w:val="EndnoteReference"/>
        </w:rPr>
        <w:endnoteRef/>
      </w:r>
      <w:r>
        <w:tab/>
      </w:r>
      <w:r w:rsidRPr="00C306B5">
        <w:rPr>
          <w:lang w:val="es-ES"/>
        </w:rPr>
        <w:t>Policía Nacional del Perú (PNP). COMASGEN. Informe N° 77-2023-COMASGEN-CO PNP/DIVECS-SEC. Fecha: 21.03.2023.</w:t>
      </w:r>
    </w:p>
  </w:endnote>
  <w:endnote w:id="17">
    <w:p w14:paraId="24B9FEFC" w14:textId="07F06C40" w:rsidR="00E55C27" w:rsidRDefault="00E55C27" w:rsidP="00E55C27">
      <w:pPr>
        <w:pStyle w:val="EndnoteText"/>
        <w:widowControl w:val="0"/>
        <w:tabs>
          <w:tab w:val="clear" w:pos="1021"/>
          <w:tab w:val="right" w:pos="1020"/>
        </w:tabs>
      </w:pPr>
      <w:r>
        <w:tab/>
      </w:r>
      <w:r>
        <w:rPr>
          <w:rStyle w:val="EndnoteReference"/>
        </w:rPr>
        <w:endnoteRef/>
      </w:r>
      <w:r>
        <w:tab/>
      </w:r>
      <w:r w:rsidRPr="00E55C27">
        <w:rPr>
          <w:lang w:val="es-ES"/>
        </w:rPr>
        <w:t>Ministerio de Defensa (MINDEF). Inspectoría General. Información de acciones realizadas por la Inspectoría General del Comando Conjunto de las Fuerzas Armadas. Fecha: 06.03.2023.</w:t>
      </w:r>
    </w:p>
  </w:endnote>
  <w:endnote w:id="18">
    <w:p w14:paraId="4755C6E2" w14:textId="383C7B73" w:rsidR="00E55C27" w:rsidRDefault="00E55C27" w:rsidP="00E55C27">
      <w:pPr>
        <w:pStyle w:val="EndnoteText"/>
        <w:widowControl w:val="0"/>
        <w:tabs>
          <w:tab w:val="clear" w:pos="1021"/>
          <w:tab w:val="right" w:pos="1020"/>
        </w:tabs>
      </w:pPr>
      <w:r>
        <w:tab/>
      </w:r>
      <w:r>
        <w:rPr>
          <w:rStyle w:val="EndnoteReference"/>
        </w:rPr>
        <w:endnoteRef/>
      </w:r>
      <w:r>
        <w:tab/>
      </w:r>
      <w:r w:rsidRPr="00E55C27">
        <w:rPr>
          <w:lang w:val="es-ES"/>
        </w:rPr>
        <w:t>Art. 119 de la CPP</w:t>
      </w:r>
      <w:r>
        <w:rPr>
          <w:lang w:val="es-ES"/>
        </w:rPr>
        <w:t>.</w:t>
      </w:r>
    </w:p>
  </w:endnote>
  <w:endnote w:id="19">
    <w:p w14:paraId="6DC921A2" w14:textId="27FC26E0" w:rsidR="00E55C27" w:rsidRDefault="00E55C27" w:rsidP="00E55C27">
      <w:pPr>
        <w:pStyle w:val="EndnoteText"/>
        <w:widowControl w:val="0"/>
        <w:tabs>
          <w:tab w:val="clear" w:pos="1021"/>
          <w:tab w:val="right" w:pos="1020"/>
        </w:tabs>
      </w:pPr>
      <w:r>
        <w:tab/>
      </w:r>
      <w:r>
        <w:rPr>
          <w:rStyle w:val="EndnoteReference"/>
        </w:rPr>
        <w:endnoteRef/>
      </w:r>
      <w:r>
        <w:tab/>
      </w:r>
      <w:r w:rsidRPr="00E55C27">
        <w:rPr>
          <w:lang w:val="es-ES"/>
        </w:rPr>
        <w:t>CONGRESO. Ley N° 28044. Publicación: 29.07.2003</w:t>
      </w:r>
      <w:r>
        <w:rPr>
          <w:lang w:val="es-ES"/>
        </w:rPr>
        <w:t>.</w:t>
      </w:r>
    </w:p>
  </w:endnote>
  <w:endnote w:id="20">
    <w:p w14:paraId="732FA09E" w14:textId="2C0013BA" w:rsidR="00E55C27" w:rsidRDefault="00E55C27" w:rsidP="00E55C27">
      <w:pPr>
        <w:pStyle w:val="EndnoteText"/>
        <w:widowControl w:val="0"/>
        <w:tabs>
          <w:tab w:val="clear" w:pos="1021"/>
          <w:tab w:val="right" w:pos="1020"/>
        </w:tabs>
      </w:pPr>
      <w:r>
        <w:tab/>
      </w:r>
      <w:r>
        <w:rPr>
          <w:rStyle w:val="EndnoteReference"/>
        </w:rPr>
        <w:endnoteRef/>
      </w:r>
      <w:r>
        <w:tab/>
      </w:r>
      <w:r w:rsidRPr="00E55C27">
        <w:rPr>
          <w:lang w:val="es-ES"/>
        </w:rPr>
        <w:t>MINEDU. D.S. N° 011-2012-ED. Publicación: 07.07.2012</w:t>
      </w:r>
      <w:r>
        <w:rPr>
          <w:lang w:val="es-ES"/>
        </w:rPr>
        <w:t>.</w:t>
      </w:r>
    </w:p>
  </w:endnote>
  <w:endnote w:id="21">
    <w:p w14:paraId="3D4394C4" w14:textId="2FA8BA8E" w:rsidR="00E55C27" w:rsidRDefault="00E55C27" w:rsidP="00E55C27">
      <w:pPr>
        <w:pStyle w:val="EndnoteText"/>
        <w:widowControl w:val="0"/>
        <w:tabs>
          <w:tab w:val="clear" w:pos="1021"/>
          <w:tab w:val="right" w:pos="1020"/>
        </w:tabs>
      </w:pPr>
      <w:r>
        <w:tab/>
      </w:r>
      <w:r>
        <w:rPr>
          <w:rStyle w:val="EndnoteReference"/>
        </w:rPr>
        <w:endnoteRef/>
      </w:r>
      <w:r>
        <w:tab/>
      </w:r>
      <w:r w:rsidRPr="00E55C27">
        <w:rPr>
          <w:lang w:val="es-ES"/>
        </w:rPr>
        <w:t>PCM. D.S. N° 042-2023-PCM. Publicación: 25.03.2023</w:t>
      </w:r>
      <w:r>
        <w:rPr>
          <w:lang w:val="es-ES"/>
        </w:rPr>
        <w:t>.</w:t>
      </w:r>
    </w:p>
  </w:endnote>
  <w:endnote w:id="22">
    <w:p w14:paraId="221436C6" w14:textId="0CA47E9A" w:rsidR="00E55C27" w:rsidRDefault="00E55C27" w:rsidP="00E55C27">
      <w:pPr>
        <w:pStyle w:val="EndnoteText"/>
        <w:widowControl w:val="0"/>
        <w:tabs>
          <w:tab w:val="clear" w:pos="1021"/>
          <w:tab w:val="right" w:pos="1020"/>
        </w:tabs>
      </w:pPr>
      <w:r>
        <w:tab/>
      </w:r>
      <w:r>
        <w:rPr>
          <w:rStyle w:val="EndnoteReference"/>
        </w:rPr>
        <w:endnoteRef/>
      </w:r>
      <w:r>
        <w:tab/>
      </w:r>
      <w:r w:rsidRPr="00E55C27">
        <w:rPr>
          <w:lang w:val="es-ES"/>
        </w:rPr>
        <w:t xml:space="preserve">Estado Peruano. Adición. Observaciones sobre las conclusiones y/o recomendaciones, compromisos voluntarios y respuestas del Estado examinado. A/HRC/37/8/Add.1. Párr. 5. El Perú </w:t>
      </w:r>
      <w:r w:rsidRPr="00E55C27">
        <w:rPr>
          <w:u w:val="single"/>
          <w:lang w:val="es-ES"/>
        </w:rPr>
        <w:t>tomó nota</w:t>
      </w:r>
      <w:r w:rsidRPr="00E55C27">
        <w:rPr>
          <w:lang w:val="es-ES"/>
        </w:rPr>
        <w:t xml:space="preserve"> de la recomendación 111.102, la cual en un extremo consistía en “despenalizar el aborto en todas las circunstancias […]”.</w:t>
      </w:r>
    </w:p>
  </w:endnote>
  <w:endnote w:id="23">
    <w:p w14:paraId="196F7DE9" w14:textId="7A951E61" w:rsidR="00E55C27" w:rsidRDefault="00E55C27" w:rsidP="00E55C27">
      <w:pPr>
        <w:pStyle w:val="EndnoteText"/>
        <w:widowControl w:val="0"/>
        <w:tabs>
          <w:tab w:val="clear" w:pos="1021"/>
          <w:tab w:val="right" w:pos="1020"/>
        </w:tabs>
      </w:pPr>
      <w:r>
        <w:tab/>
      </w:r>
      <w:r>
        <w:rPr>
          <w:rStyle w:val="EndnoteReference"/>
        </w:rPr>
        <w:endnoteRef/>
      </w:r>
      <w:r>
        <w:tab/>
      </w:r>
      <w:r w:rsidRPr="00E55C27">
        <w:rPr>
          <w:lang w:val="es-ES"/>
        </w:rPr>
        <w:t>A/HRC/37/8/Add.1. Párr. 5. El Estado peruano aceptó la recomendación 111.98 “Adoptar políticas públicas para aumentar el acceso a la planificación familiar y los anticonceptivos de emergencia, la educación sexual integral y despenalizar el aborto en los casos de violación, incesto, peligro para la viabilidad del feto y para la salud de la madre (Canadá)”</w:t>
      </w:r>
      <w:r>
        <w:rPr>
          <w:lang w:val="es-ES"/>
        </w:rPr>
        <w:t>.</w:t>
      </w:r>
    </w:p>
  </w:endnote>
  <w:endnote w:id="24">
    <w:p w14:paraId="1CB06C30" w14:textId="2647DE7A" w:rsidR="00565865" w:rsidRDefault="00565865" w:rsidP="00565865">
      <w:pPr>
        <w:pStyle w:val="EndnoteText"/>
        <w:widowControl w:val="0"/>
        <w:tabs>
          <w:tab w:val="clear" w:pos="1021"/>
          <w:tab w:val="right" w:pos="1020"/>
        </w:tabs>
      </w:pPr>
      <w:r>
        <w:tab/>
      </w:r>
      <w:r>
        <w:rPr>
          <w:rStyle w:val="EndnoteReference"/>
        </w:rPr>
        <w:endnoteRef/>
      </w:r>
      <w:r>
        <w:tab/>
      </w:r>
      <w:r w:rsidRPr="00565865">
        <w:rPr>
          <w:lang w:val="es-ES"/>
        </w:rPr>
        <w:t>Ministerio de la Mujer y Poblaciones Vulnerables. (MIMP). D.S. N° 008-2019-MIMP. Publicación: 04.04.2019</w:t>
      </w:r>
      <w:r>
        <w:rPr>
          <w:lang w:val="es-ES"/>
        </w:rPr>
        <w:t>.</w:t>
      </w:r>
    </w:p>
  </w:endnote>
  <w:endnote w:id="25">
    <w:p w14:paraId="7057E002" w14:textId="52BD21FD" w:rsidR="00565865" w:rsidRDefault="00565865" w:rsidP="00565865">
      <w:pPr>
        <w:pStyle w:val="EndnoteText"/>
        <w:widowControl w:val="0"/>
        <w:tabs>
          <w:tab w:val="clear" w:pos="1021"/>
          <w:tab w:val="right" w:pos="1020"/>
        </w:tabs>
      </w:pPr>
      <w:r>
        <w:tab/>
      </w:r>
      <w:r>
        <w:rPr>
          <w:rStyle w:val="EndnoteReference"/>
        </w:rPr>
        <w:endnoteRef/>
      </w:r>
      <w:r>
        <w:tab/>
      </w:r>
      <w:r w:rsidRPr="00565865">
        <w:rPr>
          <w:lang w:val="es-ES"/>
        </w:rPr>
        <w:t xml:space="preserve">MIMP. Política Nacional de Igualdad de Género. Disponible en: </w:t>
      </w:r>
      <w:hyperlink r:id="rId2" w:history="1">
        <w:r w:rsidRPr="00565865">
          <w:rPr>
            <w:rStyle w:val="Hyperlink"/>
            <w:lang w:val="es-ES"/>
          </w:rPr>
          <w:t>https://www.mimp.gob.pe/PNIG/</w:t>
        </w:r>
      </w:hyperlink>
    </w:p>
  </w:endnote>
  <w:endnote w:id="26">
    <w:p w14:paraId="3A4E2100" w14:textId="6EFDEF54" w:rsidR="00565865" w:rsidRDefault="00565865" w:rsidP="00565865">
      <w:pPr>
        <w:pStyle w:val="EndnoteText"/>
        <w:widowControl w:val="0"/>
        <w:tabs>
          <w:tab w:val="clear" w:pos="1021"/>
          <w:tab w:val="right" w:pos="1020"/>
        </w:tabs>
      </w:pPr>
      <w:r>
        <w:tab/>
      </w:r>
      <w:r>
        <w:rPr>
          <w:rStyle w:val="EndnoteReference"/>
        </w:rPr>
        <w:endnoteRef/>
      </w:r>
      <w:r>
        <w:tab/>
      </w:r>
      <w:r w:rsidRPr="00565865">
        <w:rPr>
          <w:lang w:val="es-ES"/>
        </w:rPr>
        <w:t>Ministerio de Economía y Finanzas. R.S. Nº 024-2019-EF. Publicación: 30.12.2019</w:t>
      </w:r>
      <w:r>
        <w:rPr>
          <w:lang w:val="es-ES"/>
        </w:rPr>
        <w:t>.</w:t>
      </w:r>
    </w:p>
  </w:endnote>
  <w:endnote w:id="27">
    <w:p w14:paraId="6CC60B8A" w14:textId="5E91563C" w:rsidR="00565865" w:rsidRDefault="00565865" w:rsidP="00565865">
      <w:pPr>
        <w:pStyle w:val="EndnoteText"/>
        <w:widowControl w:val="0"/>
        <w:tabs>
          <w:tab w:val="clear" w:pos="1021"/>
          <w:tab w:val="right" w:pos="1020"/>
        </w:tabs>
      </w:pPr>
      <w:r>
        <w:tab/>
      </w:r>
      <w:r>
        <w:rPr>
          <w:rStyle w:val="EndnoteReference"/>
        </w:rPr>
        <w:endnoteRef/>
      </w:r>
      <w:r>
        <w:tab/>
      </w:r>
      <w:r w:rsidRPr="00565865">
        <w:rPr>
          <w:lang w:val="es-ES"/>
        </w:rPr>
        <w:t>MIMP. Oficio N° D000068-2023-MIMP-DVMM. Fecha: 25.04.2023</w:t>
      </w:r>
      <w:r>
        <w:rPr>
          <w:lang w:val="es-ES"/>
        </w:rPr>
        <w:t>.</w:t>
      </w:r>
    </w:p>
  </w:endnote>
  <w:endnote w:id="28">
    <w:p w14:paraId="45DF183A" w14:textId="3AD20445" w:rsidR="00FC6630" w:rsidRDefault="00FC6630" w:rsidP="00FC6630">
      <w:pPr>
        <w:pStyle w:val="EndnoteText"/>
        <w:widowControl w:val="0"/>
        <w:tabs>
          <w:tab w:val="clear" w:pos="1021"/>
          <w:tab w:val="right" w:pos="1020"/>
        </w:tabs>
      </w:pPr>
      <w:r>
        <w:tab/>
      </w:r>
      <w:r>
        <w:rPr>
          <w:rStyle w:val="EndnoteReference"/>
        </w:rPr>
        <w:endnoteRef/>
      </w:r>
      <w:r>
        <w:tab/>
      </w:r>
      <w:r w:rsidRPr="00FC6630">
        <w:rPr>
          <w:lang w:val="es-ES"/>
        </w:rPr>
        <w:t>A/HRC/37/8/Add.1. Párr. 5.</w:t>
      </w:r>
    </w:p>
  </w:endnote>
  <w:endnote w:id="29">
    <w:p w14:paraId="285D8B4C" w14:textId="5E2DC278" w:rsidR="00FC6630" w:rsidRDefault="00FC6630" w:rsidP="00FC6630">
      <w:pPr>
        <w:pStyle w:val="EndnoteText"/>
        <w:widowControl w:val="0"/>
        <w:tabs>
          <w:tab w:val="clear" w:pos="1021"/>
          <w:tab w:val="right" w:pos="1020"/>
        </w:tabs>
        <w:rPr>
          <w:lang w:val="es-ES"/>
        </w:rPr>
      </w:pPr>
      <w:r>
        <w:tab/>
      </w:r>
      <w:r>
        <w:rPr>
          <w:rStyle w:val="EndnoteReference"/>
        </w:rPr>
        <w:endnoteRef/>
      </w:r>
      <w:r>
        <w:tab/>
      </w:r>
      <w:r w:rsidRPr="00FC6630">
        <w:rPr>
          <w:lang w:val="es-ES"/>
        </w:rPr>
        <w:t>Registro Nacional de Identificación y Estado Civil (RENIEC). Informe N°000475-2023/OAJ/RENIEC. Fecha: 13.04.2023. Párr. 2.16.16</w:t>
      </w:r>
      <w:r>
        <w:rPr>
          <w:lang w:val="es-ES"/>
        </w:rPr>
        <w:t>.</w:t>
      </w:r>
    </w:p>
    <w:p w14:paraId="1C8A6623" w14:textId="7EAAA80E" w:rsidR="00FC6630" w:rsidRPr="00FC6630" w:rsidRDefault="00FC6630" w:rsidP="00FC6630">
      <w:pPr>
        <w:pStyle w:val="EndnoteText"/>
        <w:tabs>
          <w:tab w:val="clear" w:pos="1021"/>
          <w:tab w:val="right" w:pos="1020"/>
        </w:tabs>
        <w:spacing w:before="240" w:line="240" w:lineRule="atLeast"/>
        <w:ind w:firstLine="0"/>
        <w:jc w:val="center"/>
        <w:rPr>
          <w:u w:val="single"/>
        </w:rPr>
      </w:pPr>
      <w:r>
        <w:rPr>
          <w:u w:val="single"/>
          <w:lang w:val="es-ES"/>
        </w:rPr>
        <w:tab/>
      </w:r>
      <w:r>
        <w:rPr>
          <w:u w:val="single"/>
          <w:lang w:val="es-ES"/>
        </w:rPr>
        <w:tab/>
      </w:r>
      <w:r>
        <w:rPr>
          <w:u w:val="single"/>
          <w:lang w:val="es-ES"/>
        </w:rPr>
        <w:tab/>
      </w:r>
      <w:r w:rsidR="004B4310">
        <w:rPr>
          <w:u w:val="single"/>
          <w:lang w:val="es-ES"/>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DD076" w14:textId="77777777" w:rsidR="00D3553A" w:rsidRPr="00D3553A" w:rsidRDefault="00D3553A" w:rsidP="00D3553A">
    <w:pPr>
      <w:pStyle w:val="Footer"/>
      <w:tabs>
        <w:tab w:val="right" w:pos="9638"/>
      </w:tabs>
    </w:pPr>
    <w:r w:rsidRPr="00D3553A">
      <w:rPr>
        <w:b/>
        <w:sz w:val="18"/>
      </w:rPr>
      <w:fldChar w:fldCharType="begin"/>
    </w:r>
    <w:r w:rsidRPr="00D3553A">
      <w:rPr>
        <w:b/>
        <w:sz w:val="18"/>
      </w:rPr>
      <w:instrText xml:space="preserve"> PAGE  \* MERGEFORMAT </w:instrText>
    </w:r>
    <w:r w:rsidRPr="00D3553A">
      <w:rPr>
        <w:b/>
        <w:sz w:val="18"/>
      </w:rPr>
      <w:fldChar w:fldCharType="separate"/>
    </w:r>
    <w:r w:rsidRPr="00D3553A">
      <w:rPr>
        <w:b/>
        <w:noProof/>
        <w:sz w:val="18"/>
      </w:rPr>
      <w:t>2</w:t>
    </w:r>
    <w:r w:rsidRPr="00D3553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1D4E1" w14:textId="77777777" w:rsidR="00D3553A" w:rsidRPr="00D3553A" w:rsidRDefault="00D3553A" w:rsidP="00D3553A">
    <w:pPr>
      <w:pStyle w:val="Footer"/>
      <w:tabs>
        <w:tab w:val="right" w:pos="9638"/>
      </w:tabs>
      <w:rPr>
        <w:b/>
        <w:sz w:val="18"/>
      </w:rPr>
    </w:pPr>
    <w:r>
      <w:tab/>
    </w:r>
    <w:r w:rsidRPr="00D3553A">
      <w:rPr>
        <w:b/>
        <w:sz w:val="18"/>
      </w:rPr>
      <w:fldChar w:fldCharType="begin"/>
    </w:r>
    <w:r w:rsidRPr="00D3553A">
      <w:rPr>
        <w:b/>
        <w:sz w:val="18"/>
      </w:rPr>
      <w:instrText xml:space="preserve"> PAGE  \* MERGEFORMAT </w:instrText>
    </w:r>
    <w:r w:rsidRPr="00D3553A">
      <w:rPr>
        <w:b/>
        <w:sz w:val="18"/>
      </w:rPr>
      <w:fldChar w:fldCharType="separate"/>
    </w:r>
    <w:r w:rsidRPr="00D3553A">
      <w:rPr>
        <w:b/>
        <w:noProof/>
        <w:sz w:val="18"/>
      </w:rPr>
      <w:t>3</w:t>
    </w:r>
    <w:r w:rsidRPr="00D3553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6948" w14:textId="77777777" w:rsidR="00F46BCE" w:rsidRDefault="00F46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16B3B" w14:textId="77777777" w:rsidR="00D3553A" w:rsidRPr="000B175B" w:rsidRDefault="00D3553A" w:rsidP="000B175B">
      <w:pPr>
        <w:tabs>
          <w:tab w:val="right" w:pos="2155"/>
        </w:tabs>
        <w:spacing w:after="80"/>
        <w:ind w:left="680"/>
        <w:rPr>
          <w:u w:val="single"/>
        </w:rPr>
      </w:pPr>
      <w:r>
        <w:rPr>
          <w:u w:val="single"/>
        </w:rPr>
        <w:tab/>
      </w:r>
    </w:p>
  </w:footnote>
  <w:footnote w:type="continuationSeparator" w:id="0">
    <w:p w14:paraId="5B59A658" w14:textId="77777777" w:rsidR="00D3553A" w:rsidRPr="00FC68B7" w:rsidRDefault="00D3553A" w:rsidP="00FC68B7">
      <w:pPr>
        <w:tabs>
          <w:tab w:val="left" w:pos="2155"/>
        </w:tabs>
        <w:spacing w:after="80"/>
        <w:ind w:left="680"/>
        <w:rPr>
          <w:u w:val="single"/>
        </w:rPr>
      </w:pPr>
      <w:r>
        <w:rPr>
          <w:u w:val="single"/>
        </w:rPr>
        <w:tab/>
      </w:r>
    </w:p>
  </w:footnote>
  <w:footnote w:type="continuationNotice" w:id="1">
    <w:p w14:paraId="13EE319E" w14:textId="77777777" w:rsidR="00D3553A" w:rsidRDefault="00D3553A"/>
  </w:footnote>
  <w:footnote w:id="2">
    <w:p w14:paraId="0EF6A9D8" w14:textId="77777777" w:rsidR="00D3553A" w:rsidRDefault="00D3553A" w:rsidP="00D3553A">
      <w:pPr>
        <w:pStyle w:val="FootnoteText"/>
        <w:rPr>
          <w:sz w:val="20"/>
          <w:lang w:val="fr-CH"/>
        </w:rPr>
      </w:pPr>
      <w:r>
        <w:tab/>
      </w:r>
      <w:r w:rsidRPr="00E50623">
        <w:rPr>
          <w:rStyle w:val="FootnoteReference"/>
          <w:sz w:val="20"/>
          <w:vertAlign w:val="baseline"/>
          <w:lang w:val="fr-CH"/>
        </w:rPr>
        <w:t>*</w:t>
      </w:r>
      <w:r>
        <w:rPr>
          <w:lang w:val="fr-CH"/>
        </w:rPr>
        <w:tab/>
      </w:r>
      <w:r w:rsidRPr="00AF7E98">
        <w:rPr>
          <w:lang w:val="es-ES"/>
        </w:rPr>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8D39" w14:textId="32AC6EED" w:rsidR="00D3553A" w:rsidRPr="00D3553A" w:rsidRDefault="00F46BCE">
    <w:pPr>
      <w:pStyle w:val="Header"/>
    </w:pPr>
    <w:r>
      <w:rPr>
        <w:noProof/>
      </w:rPr>
      <w:pict w14:anchorId="77988E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59266" o:spid="_x0000_s1026" type="#_x0000_t136" style="position:absolute;margin-left:0;margin-top:0;width:599.5pt;height:79.9pt;rotation:315;z-index:-251655168;mso-position-horizontal:center;mso-position-horizontal-relative:margin;mso-position-vertical:center;mso-position-vertical-relative:margin" o:allowincell="f" fillcolor="silver" stroked="f">
          <v:fill opacity=".5"/>
          <v:textpath style="font-family:&quot;Times New Roman&quot;;font-size:1pt" string="Advance version"/>
        </v:shape>
      </w:pict>
    </w:r>
    <w:fldSimple w:instr=" TITLE  \* MERGEFORMAT ">
      <w:r w:rsidR="00D3553A">
        <w:t>A/HRC/53/8/Add.1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A7D7" w14:textId="43B54998" w:rsidR="00D3553A" w:rsidRPr="00D3553A" w:rsidRDefault="00F46BCE" w:rsidP="00D3553A">
    <w:pPr>
      <w:pStyle w:val="Header"/>
      <w:jc w:val="right"/>
    </w:pPr>
    <w:r>
      <w:rPr>
        <w:noProof/>
      </w:rPr>
      <w:pict w14:anchorId="5980F7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59267" o:spid="_x0000_s1027" type="#_x0000_t136" style="position:absolute;left:0;text-align:left;margin-left:0;margin-top:0;width:599.5pt;height:79.9pt;rotation:315;z-index:-251653120;mso-position-horizontal:center;mso-position-horizontal-relative:margin;mso-position-vertical:center;mso-position-vertical-relative:margin" o:allowincell="f" fillcolor="silver" stroked="f">
          <v:fill opacity=".5"/>
          <v:textpath style="font-family:&quot;Times New Roman&quot;;font-size:1pt" string="Advance version"/>
        </v:shape>
      </w:pict>
    </w:r>
    <w:fldSimple w:instr=" TITLE  \* MERGEFORMAT ">
      <w:r w:rsidR="00D3553A">
        <w:t>A/HRC/53/8/Add.1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272E" w14:textId="398B6095" w:rsidR="00F46BCE" w:rsidRDefault="00F46BCE">
    <w:pPr>
      <w:pStyle w:val="Header"/>
    </w:pPr>
    <w:r>
      <w:rPr>
        <w:noProof/>
      </w:rPr>
      <w:pict w14:anchorId="382D36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59265" o:spid="_x0000_s1025" type="#_x0000_t136" style="position:absolute;margin-left:0;margin-top:0;width:599.5pt;height:79.9pt;rotation:315;z-index:-251657216;mso-position-horizontal:center;mso-position-horizontal-relative:margin;mso-position-vertical:center;mso-position-vertical-relative:margin" o:allowincell="f" fillcolor="silver" stroked="f">
          <v:fill opacity=".5"/>
          <v:textpath style="font-family:&quot;Times New Roman&quot;;font-size:1pt" string="Advance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C965D28"/>
    <w:multiLevelType w:val="hybridMultilevel"/>
    <w:tmpl w:val="333AA81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50493EA6"/>
    <w:multiLevelType w:val="multilevel"/>
    <w:tmpl w:val="026C6A8A"/>
    <w:lvl w:ilvl="0">
      <w:start w:val="1"/>
      <w:numFmt w:val="upperRoman"/>
      <w:lvlText w:val="%1."/>
      <w:lvlJc w:val="left"/>
      <w:pPr>
        <w:ind w:left="1288" w:hanging="72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758208263">
    <w:abstractNumId w:val="4"/>
  </w:num>
  <w:num w:numId="2" w16cid:durableId="1988320187">
    <w:abstractNumId w:val="2"/>
  </w:num>
  <w:num w:numId="3" w16cid:durableId="1327594513">
    <w:abstractNumId w:val="3"/>
  </w:num>
  <w:num w:numId="4" w16cid:durableId="879627535">
    <w:abstractNumId w:val="5"/>
  </w:num>
  <w:num w:numId="5" w16cid:durableId="1702633548">
    <w:abstractNumId w:val="0"/>
  </w:num>
  <w:num w:numId="6" w16cid:durableId="49499780">
    <w:abstractNumId w:val="1"/>
  </w:num>
  <w:num w:numId="7" w16cid:durableId="140998929">
    <w:abstractNumId w:val="6"/>
  </w:num>
  <w:num w:numId="8" w16cid:durableId="144063567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s-ES" w:vendorID="64" w:dllVersion="6" w:nlCheck="1" w:checkStyle="1"/>
  <w:activeWritingStyle w:appName="MSWord" w:lang="es-ES" w:vendorID="64" w:dllVersion="0" w:nlCheck="1" w:checkStyle="0"/>
  <w:activeWritingStyle w:appName="MSWord" w:lang="en-GB" w:vendorID="64" w:dllVersion="0" w:nlCheck="1" w:checkStyle="0"/>
  <w:activeWritingStyle w:appName="MSWord" w:lang="fr-FR" w:vendorID="64" w:dllVersion="0" w:nlCheck="1" w:checkStyle="0"/>
  <w:activeWritingStyle w:appName="MSWord" w:lang="es-P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3A"/>
    <w:rsid w:val="000328F5"/>
    <w:rsid w:val="000403D1"/>
    <w:rsid w:val="000449AA"/>
    <w:rsid w:val="00050F6B"/>
    <w:rsid w:val="000720D1"/>
    <w:rsid w:val="00072C8C"/>
    <w:rsid w:val="00073E70"/>
    <w:rsid w:val="00091419"/>
    <w:rsid w:val="000931C0"/>
    <w:rsid w:val="000B175B"/>
    <w:rsid w:val="000B3A0F"/>
    <w:rsid w:val="000C14E8"/>
    <w:rsid w:val="000E0415"/>
    <w:rsid w:val="00146D32"/>
    <w:rsid w:val="001509BA"/>
    <w:rsid w:val="00184F17"/>
    <w:rsid w:val="001B4B04"/>
    <w:rsid w:val="001C6663"/>
    <w:rsid w:val="001C7895"/>
    <w:rsid w:val="001D26DF"/>
    <w:rsid w:val="002043CF"/>
    <w:rsid w:val="00211E0B"/>
    <w:rsid w:val="00211E72"/>
    <w:rsid w:val="00214047"/>
    <w:rsid w:val="0022130F"/>
    <w:rsid w:val="00237785"/>
    <w:rsid w:val="00241466"/>
    <w:rsid w:val="00253D58"/>
    <w:rsid w:val="002C0119"/>
    <w:rsid w:val="002C21F0"/>
    <w:rsid w:val="003107FA"/>
    <w:rsid w:val="003229D8"/>
    <w:rsid w:val="00335A2F"/>
    <w:rsid w:val="00343980"/>
    <w:rsid w:val="00373C18"/>
    <w:rsid w:val="0039277A"/>
    <w:rsid w:val="003972E0"/>
    <w:rsid w:val="003C2CC4"/>
    <w:rsid w:val="003D4B23"/>
    <w:rsid w:val="00424C80"/>
    <w:rsid w:val="004325CB"/>
    <w:rsid w:val="0043536E"/>
    <w:rsid w:val="0044503A"/>
    <w:rsid w:val="00446DE4"/>
    <w:rsid w:val="00451EC3"/>
    <w:rsid w:val="004859EC"/>
    <w:rsid w:val="00496A15"/>
    <w:rsid w:val="004B4310"/>
    <w:rsid w:val="004F55ED"/>
    <w:rsid w:val="005120EB"/>
    <w:rsid w:val="0052176C"/>
    <w:rsid w:val="005261E5"/>
    <w:rsid w:val="005420F2"/>
    <w:rsid w:val="00542574"/>
    <w:rsid w:val="005436AB"/>
    <w:rsid w:val="00546DBF"/>
    <w:rsid w:val="005552B5"/>
    <w:rsid w:val="00565865"/>
    <w:rsid w:val="00571365"/>
    <w:rsid w:val="005B048C"/>
    <w:rsid w:val="005B3DB3"/>
    <w:rsid w:val="005B6E48"/>
    <w:rsid w:val="005E2A01"/>
    <w:rsid w:val="005F2A1E"/>
    <w:rsid w:val="00611FC4"/>
    <w:rsid w:val="006176FB"/>
    <w:rsid w:val="006301B4"/>
    <w:rsid w:val="00640B26"/>
    <w:rsid w:val="00670741"/>
    <w:rsid w:val="006A7392"/>
    <w:rsid w:val="006B3189"/>
    <w:rsid w:val="006B7D65"/>
    <w:rsid w:val="006E564B"/>
    <w:rsid w:val="0072632A"/>
    <w:rsid w:val="0074200B"/>
    <w:rsid w:val="007A6296"/>
    <w:rsid w:val="007B6BA5"/>
    <w:rsid w:val="007C1B62"/>
    <w:rsid w:val="007C3390"/>
    <w:rsid w:val="007C4F4B"/>
    <w:rsid w:val="007D2CDC"/>
    <w:rsid w:val="007D5327"/>
    <w:rsid w:val="007F6611"/>
    <w:rsid w:val="008155C3"/>
    <w:rsid w:val="008175E9"/>
    <w:rsid w:val="0082243E"/>
    <w:rsid w:val="008242D7"/>
    <w:rsid w:val="00856CD2"/>
    <w:rsid w:val="00870DBD"/>
    <w:rsid w:val="00871FD5"/>
    <w:rsid w:val="0088487D"/>
    <w:rsid w:val="008979B1"/>
    <w:rsid w:val="008A6B25"/>
    <w:rsid w:val="008A6C4F"/>
    <w:rsid w:val="008C1E4D"/>
    <w:rsid w:val="008E0E46"/>
    <w:rsid w:val="008F1729"/>
    <w:rsid w:val="00907C3F"/>
    <w:rsid w:val="0093707B"/>
    <w:rsid w:val="009400EB"/>
    <w:rsid w:val="009427E3"/>
    <w:rsid w:val="00956D9B"/>
    <w:rsid w:val="00963CBA"/>
    <w:rsid w:val="009654B7"/>
    <w:rsid w:val="00987836"/>
    <w:rsid w:val="00991261"/>
    <w:rsid w:val="009A0B83"/>
    <w:rsid w:val="009B3800"/>
    <w:rsid w:val="009D50DB"/>
    <w:rsid w:val="00A05E0B"/>
    <w:rsid w:val="00A1427D"/>
    <w:rsid w:val="00A4634F"/>
    <w:rsid w:val="00A72F22"/>
    <w:rsid w:val="00A748A6"/>
    <w:rsid w:val="00A879A4"/>
    <w:rsid w:val="00A87E95"/>
    <w:rsid w:val="00A92E29"/>
    <w:rsid w:val="00AD09E9"/>
    <w:rsid w:val="00AF0576"/>
    <w:rsid w:val="00AF3829"/>
    <w:rsid w:val="00B037F0"/>
    <w:rsid w:val="00B30179"/>
    <w:rsid w:val="00B3317B"/>
    <w:rsid w:val="00B334DC"/>
    <w:rsid w:val="00B3631A"/>
    <w:rsid w:val="00B53013"/>
    <w:rsid w:val="00B572AC"/>
    <w:rsid w:val="00B67F5E"/>
    <w:rsid w:val="00B73E65"/>
    <w:rsid w:val="00B81E12"/>
    <w:rsid w:val="00B87E6C"/>
    <w:rsid w:val="00B95BB6"/>
    <w:rsid w:val="00B97FA8"/>
    <w:rsid w:val="00BC1385"/>
    <w:rsid w:val="00BC74E9"/>
    <w:rsid w:val="00BE618E"/>
    <w:rsid w:val="00C24693"/>
    <w:rsid w:val="00C306B5"/>
    <w:rsid w:val="00C35F0B"/>
    <w:rsid w:val="00C429FD"/>
    <w:rsid w:val="00C463DD"/>
    <w:rsid w:val="00C64458"/>
    <w:rsid w:val="00C745C3"/>
    <w:rsid w:val="00C81733"/>
    <w:rsid w:val="00CB0AB8"/>
    <w:rsid w:val="00CB7072"/>
    <w:rsid w:val="00CC0B55"/>
    <w:rsid w:val="00CC4E8A"/>
    <w:rsid w:val="00CE4A8F"/>
    <w:rsid w:val="00CF7D43"/>
    <w:rsid w:val="00D11129"/>
    <w:rsid w:val="00D2031B"/>
    <w:rsid w:val="00D22332"/>
    <w:rsid w:val="00D25FE2"/>
    <w:rsid w:val="00D3553A"/>
    <w:rsid w:val="00D43252"/>
    <w:rsid w:val="00D43867"/>
    <w:rsid w:val="00D550F9"/>
    <w:rsid w:val="00D978C6"/>
    <w:rsid w:val="00DA67AD"/>
    <w:rsid w:val="00DB18CE"/>
    <w:rsid w:val="00DE3EC0"/>
    <w:rsid w:val="00E12B6B"/>
    <w:rsid w:val="00E130AB"/>
    <w:rsid w:val="00E438D9"/>
    <w:rsid w:val="00E55C27"/>
    <w:rsid w:val="00E5644E"/>
    <w:rsid w:val="00E7260F"/>
    <w:rsid w:val="00E96630"/>
    <w:rsid w:val="00EB0FB9"/>
    <w:rsid w:val="00ED7A2A"/>
    <w:rsid w:val="00EF1D7F"/>
    <w:rsid w:val="00EF5BDB"/>
    <w:rsid w:val="00F07FD9"/>
    <w:rsid w:val="00F23933"/>
    <w:rsid w:val="00F40E75"/>
    <w:rsid w:val="00F46BCE"/>
    <w:rsid w:val="00F52936"/>
    <w:rsid w:val="00FA7DF3"/>
    <w:rsid w:val="00FC6630"/>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DA2D9"/>
  <w15:docId w15:val="{E7F7C309-0086-42A2-B994-685093D5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43CF"/>
    <w:pPr>
      <w:suppressAutoHyphens/>
      <w:spacing w:line="240" w:lineRule="atLeast"/>
    </w:pPr>
    <w:rPr>
      <w:lang w:val="es-ES" w:eastAsia="en-U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semiHidden/>
    <w:qFormat/>
    <w:rsid w:val="002C0119"/>
    <w:pPr>
      <w:spacing w:line="240" w:lineRule="auto"/>
      <w:outlineLvl w:val="1"/>
    </w:pPr>
    <w:rPr>
      <w:lang w:val="en-GB"/>
    </w:rPr>
  </w:style>
  <w:style w:type="paragraph" w:styleId="Heading3">
    <w:name w:val="heading 3"/>
    <w:basedOn w:val="Normal"/>
    <w:next w:val="Normal"/>
    <w:semiHidden/>
    <w:qFormat/>
    <w:rsid w:val="002C0119"/>
    <w:pPr>
      <w:spacing w:line="240" w:lineRule="auto"/>
      <w:outlineLvl w:val="2"/>
    </w:pPr>
    <w:rPr>
      <w:lang w:val="en-GB"/>
    </w:rPr>
  </w:style>
  <w:style w:type="paragraph" w:styleId="Heading4">
    <w:name w:val="heading 4"/>
    <w:basedOn w:val="Normal"/>
    <w:next w:val="Normal"/>
    <w:semiHidden/>
    <w:qFormat/>
    <w:rsid w:val="002C0119"/>
    <w:pPr>
      <w:spacing w:line="240" w:lineRule="auto"/>
      <w:outlineLvl w:val="3"/>
    </w:pPr>
    <w:rPr>
      <w:lang w:val="en-GB"/>
    </w:rPr>
  </w:style>
  <w:style w:type="paragraph" w:styleId="Heading5">
    <w:name w:val="heading 5"/>
    <w:basedOn w:val="Normal"/>
    <w:next w:val="Normal"/>
    <w:semiHidden/>
    <w:qFormat/>
    <w:rsid w:val="002C0119"/>
    <w:pPr>
      <w:spacing w:line="240" w:lineRule="auto"/>
      <w:outlineLvl w:val="4"/>
    </w:pPr>
    <w:rPr>
      <w:lang w:val="en-GB"/>
    </w:rPr>
  </w:style>
  <w:style w:type="paragraph" w:styleId="Heading6">
    <w:name w:val="heading 6"/>
    <w:basedOn w:val="Normal"/>
    <w:next w:val="Normal"/>
    <w:semiHidden/>
    <w:qFormat/>
    <w:rsid w:val="002C0119"/>
    <w:pPr>
      <w:spacing w:line="240" w:lineRule="auto"/>
      <w:outlineLvl w:val="5"/>
    </w:pPr>
    <w:rPr>
      <w:lang w:val="en-GB"/>
    </w:rPr>
  </w:style>
  <w:style w:type="paragraph" w:styleId="Heading7">
    <w:name w:val="heading 7"/>
    <w:basedOn w:val="Normal"/>
    <w:next w:val="Normal"/>
    <w:semiHidden/>
    <w:qFormat/>
    <w:rsid w:val="002C0119"/>
    <w:pPr>
      <w:spacing w:line="240" w:lineRule="auto"/>
      <w:outlineLvl w:val="6"/>
    </w:pPr>
    <w:rPr>
      <w:lang w:val="en-GB"/>
    </w:rPr>
  </w:style>
  <w:style w:type="paragraph" w:styleId="Heading8">
    <w:name w:val="heading 8"/>
    <w:basedOn w:val="Normal"/>
    <w:next w:val="Normal"/>
    <w:semiHidden/>
    <w:qFormat/>
    <w:rsid w:val="002C0119"/>
    <w:pPr>
      <w:spacing w:line="240" w:lineRule="auto"/>
      <w:outlineLvl w:val="7"/>
    </w:pPr>
    <w:rPr>
      <w:lang w:val="en-GB"/>
    </w:rPr>
  </w:style>
  <w:style w:type="paragraph" w:styleId="Heading9">
    <w:name w:val="heading 9"/>
    <w:basedOn w:val="Normal"/>
    <w:next w:val="Normal"/>
    <w:semiHidden/>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2C0119"/>
    <w:rPr>
      <w:rFonts w:ascii="Times New Roman" w:hAnsi="Times New Roman"/>
      <w:sz w:val="18"/>
      <w:vertAlign w:val="superscript"/>
    </w:rPr>
  </w:style>
  <w:style w:type="character" w:styleId="EndnoteReference">
    <w:name w:val="endnote reference"/>
    <w:aliases w:val="1_G"/>
    <w:basedOn w:val="FootnoteReference"/>
    <w:qFormat/>
    <w:rsid w:val="002C0119"/>
    <w:rPr>
      <w:rFonts w:ascii="Times New Roman" w:hAnsi="Times New Roman"/>
      <w:sz w:val="18"/>
      <w:vertAlign w:val="superscript"/>
    </w:rPr>
  </w:style>
  <w:style w:type="paragraph" w:styleId="Header">
    <w:name w:val="header"/>
    <w:aliases w:val="6_G"/>
    <w:basedOn w:val="Normal"/>
    <w:qFormat/>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6301B4"/>
    <w:rPr>
      <w:color w:val="auto"/>
      <w:u w:val="none"/>
    </w:rPr>
  </w:style>
  <w:style w:type="character" w:styleId="FollowedHyperlink">
    <w:name w:val="FollowedHyperlink"/>
    <w:basedOn w:val="DefaultParagraphFont"/>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2C0119"/>
  </w:style>
  <w:style w:type="character" w:styleId="PageNumber">
    <w:name w:val="page number"/>
    <w:aliases w:val="7_G"/>
    <w:basedOn w:val="DefaultParagraphFont"/>
    <w:qFormat/>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Footer">
    <w:name w:val="footer"/>
    <w:aliases w:val="3_G"/>
    <w:basedOn w:val="Normal"/>
    <w:qFormat/>
    <w:rsid w:val="002C0119"/>
    <w:pPr>
      <w:spacing w:line="240" w:lineRule="auto"/>
    </w:pPr>
    <w:rPr>
      <w:sz w:val="16"/>
      <w:lang w:val="en-GB"/>
    </w:rPr>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3631A"/>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C8173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81733"/>
    <w:rPr>
      <w:rFonts w:ascii="Tahoma" w:hAnsi="Tahoma" w:cs="Tahoma"/>
      <w:sz w:val="16"/>
      <w:szCs w:val="16"/>
      <w:lang w:val="es-ES" w:eastAsia="en-US"/>
    </w:rPr>
  </w:style>
  <w:style w:type="paragraph" w:customStyle="1" w:styleId="ParNoG">
    <w:name w:val="_ParNo_G"/>
    <w:basedOn w:val="SingleTxtG"/>
    <w:qFormat/>
    <w:rsid w:val="005F2A1E"/>
    <w:pPr>
      <w:numPr>
        <w:numId w:val="6"/>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D3553A"/>
    <w:rPr>
      <w:sz w:val="18"/>
      <w:lang w:val="en-GB" w:eastAsia="en-US"/>
    </w:rPr>
  </w:style>
  <w:style w:type="paragraph" w:styleId="ListParagraph">
    <w:name w:val="List Paragraph"/>
    <w:aliases w:val="Footnote,List Paragraph1,Fundamentacion,NUMBERED PARAGRAPH,List Paragraph 1,References,ReferencesCxSpLast,lp1,NIVEL ONE,Lista 123,Párrafo Normal,Bulleted List,Cita Pie de Página,titulo,Titulo 1,SubPárrafo de lista,Cuadro 2-1,paul2,Ha"/>
    <w:basedOn w:val="Normal"/>
    <w:uiPriority w:val="34"/>
    <w:qFormat/>
    <w:rsid w:val="00D3553A"/>
    <w:pPr>
      <w:suppressAutoHyphens w:val="0"/>
      <w:spacing w:after="160" w:line="259" w:lineRule="auto"/>
      <w:ind w:left="720"/>
      <w:contextualSpacing/>
    </w:pPr>
    <w:rPr>
      <w:rFonts w:asciiTheme="minorHAnsi" w:eastAsiaTheme="minorHAnsi" w:hAnsiTheme="minorHAnsi" w:cstheme="minorBidi"/>
      <w:sz w:val="22"/>
      <w:szCs w:val="22"/>
      <w:lang w:val="es-PE"/>
    </w:rPr>
  </w:style>
  <w:style w:type="character" w:styleId="UnresolvedMention">
    <w:name w:val="Unresolved Mention"/>
    <w:basedOn w:val="DefaultParagraphFont"/>
    <w:uiPriority w:val="99"/>
    <w:semiHidden/>
    <w:unhideWhenUsed/>
    <w:rsid w:val="00C30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mimp.gob.pe/PNIG/" TargetMode="External"/><Relationship Id="rId1" Type="http://schemas.openxmlformats.org/officeDocument/2006/relationships/hyperlink" Target="https://www.gob.pe/institucion/minjus/campa%C3%B1as/8898-elaboracion-de-la-politica-nacional-multisectorial-de-ddh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A_S.dotm</Template>
  <TotalTime>1</TotalTime>
  <Pages>13</Pages>
  <Words>2217</Words>
  <Characters>12637</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A/HRC/53/8/Add.1</vt:lpstr>
      <vt:lpstr/>
    </vt:vector>
  </TitlesOfParts>
  <Company>CSD</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A/HRC/53/8/Add.1</dc:title>
  <dc:creator>IHARA Sumiko</dc:creator>
  <cp:lastModifiedBy>Veronique</cp:lastModifiedBy>
  <cp:revision>3</cp:revision>
  <cp:lastPrinted>2008-01-29T08:30:00Z</cp:lastPrinted>
  <dcterms:created xsi:type="dcterms:W3CDTF">2023-06-09T08:10:00Z</dcterms:created>
  <dcterms:modified xsi:type="dcterms:W3CDTF">2023-06-19T14:13:00Z</dcterms:modified>
</cp:coreProperties>
</file>