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1A5D3C50" w14:textId="77777777" w:rsidTr="00562621">
        <w:trPr>
          <w:trHeight w:val="851"/>
        </w:trPr>
        <w:tc>
          <w:tcPr>
            <w:tcW w:w="1259" w:type="dxa"/>
            <w:tcBorders>
              <w:top w:val="nil"/>
              <w:left w:val="nil"/>
              <w:bottom w:val="single" w:sz="4" w:space="0" w:color="auto"/>
              <w:right w:val="nil"/>
            </w:tcBorders>
          </w:tcPr>
          <w:p w14:paraId="21C910E9"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399A722B" w14:textId="33685CEA"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751AA5F2" w14:textId="3A6B341C" w:rsidR="00446DE4" w:rsidRPr="00DE3EC0" w:rsidRDefault="008B6556" w:rsidP="008B6556">
            <w:pPr>
              <w:jc w:val="right"/>
            </w:pPr>
            <w:bookmarkStart w:id="0" w:name="OLE_LINK13"/>
            <w:bookmarkStart w:id="1" w:name="OLE_LINK14"/>
            <w:r w:rsidRPr="008B6556">
              <w:rPr>
                <w:sz w:val="40"/>
              </w:rPr>
              <w:t>A</w:t>
            </w:r>
            <w:r>
              <w:t>/HRC/53/27</w:t>
            </w:r>
            <w:bookmarkEnd w:id="0"/>
            <w:bookmarkEnd w:id="1"/>
          </w:p>
        </w:tc>
      </w:tr>
      <w:tr w:rsidR="003107FA" w14:paraId="2928D1E5" w14:textId="77777777" w:rsidTr="00562621">
        <w:trPr>
          <w:trHeight w:val="2835"/>
        </w:trPr>
        <w:tc>
          <w:tcPr>
            <w:tcW w:w="1259" w:type="dxa"/>
            <w:tcBorders>
              <w:top w:val="single" w:sz="4" w:space="0" w:color="auto"/>
              <w:left w:val="nil"/>
              <w:bottom w:val="single" w:sz="12" w:space="0" w:color="auto"/>
              <w:right w:val="nil"/>
            </w:tcBorders>
          </w:tcPr>
          <w:p w14:paraId="05DF853C" w14:textId="19001668"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6B06FCCD" w14:textId="1AD5D95A" w:rsidR="003107FA" w:rsidRPr="00B3317B" w:rsidRDefault="001638C2" w:rsidP="00562621">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39BB36AF" w14:textId="77777777" w:rsidR="003107FA" w:rsidRDefault="008B6556" w:rsidP="008B6556">
            <w:pPr>
              <w:spacing w:before="240" w:line="240" w:lineRule="exact"/>
            </w:pPr>
            <w:r>
              <w:t>Distr.: General</w:t>
            </w:r>
          </w:p>
          <w:p w14:paraId="6675DEA7" w14:textId="401D9711" w:rsidR="008B6556" w:rsidRDefault="008B6556" w:rsidP="008B6556">
            <w:pPr>
              <w:spacing w:line="240" w:lineRule="exact"/>
            </w:pPr>
            <w:r>
              <w:t>1</w:t>
            </w:r>
            <w:r w:rsidR="003400B6">
              <w:t>7</w:t>
            </w:r>
            <w:r>
              <w:t xml:space="preserve"> May 2023 </w:t>
            </w:r>
          </w:p>
          <w:p w14:paraId="31EFCB40" w14:textId="77777777" w:rsidR="008B6556" w:rsidRDefault="008B6556" w:rsidP="008B6556">
            <w:pPr>
              <w:spacing w:line="240" w:lineRule="exact"/>
            </w:pPr>
          </w:p>
          <w:p w14:paraId="061D328C" w14:textId="57552FB7" w:rsidR="008B6556" w:rsidRDefault="008B6556" w:rsidP="008B6556">
            <w:pPr>
              <w:spacing w:line="240" w:lineRule="exact"/>
            </w:pPr>
            <w:r>
              <w:t>Original: English</w:t>
            </w:r>
          </w:p>
        </w:tc>
      </w:tr>
    </w:tbl>
    <w:p w14:paraId="7E12DCDC" w14:textId="77777777" w:rsidR="008B6556" w:rsidRDefault="008B6556" w:rsidP="003400B6">
      <w:pPr>
        <w:suppressAutoHyphens w:val="0"/>
        <w:autoSpaceDE w:val="0"/>
        <w:autoSpaceDN w:val="0"/>
        <w:adjustRightInd w:val="0"/>
        <w:spacing w:before="120" w:line="240" w:lineRule="auto"/>
        <w:rPr>
          <w:rFonts w:ascii="TimesNewRoman,Bold" w:hAnsi="TimesNewRoman,Bold" w:cs="TimesNewRoman,Bold"/>
          <w:b/>
          <w:bCs/>
          <w:sz w:val="24"/>
          <w:szCs w:val="24"/>
          <w:lang w:eastAsia="fr-FR"/>
        </w:rPr>
      </w:pPr>
      <w:r>
        <w:rPr>
          <w:rFonts w:ascii="TimesNewRoman,Bold" w:hAnsi="TimesNewRoman,Bold" w:cs="TimesNewRoman,Bold"/>
          <w:b/>
          <w:bCs/>
          <w:sz w:val="24"/>
          <w:szCs w:val="24"/>
          <w:lang w:eastAsia="fr-FR"/>
        </w:rPr>
        <w:t>Human Rights Council</w:t>
      </w:r>
    </w:p>
    <w:p w14:paraId="34AFE553" w14:textId="77777777" w:rsidR="008B6556" w:rsidRDefault="008B6556" w:rsidP="008B6556">
      <w:pPr>
        <w:suppressAutoHyphens w:val="0"/>
        <w:autoSpaceDE w:val="0"/>
        <w:autoSpaceDN w:val="0"/>
        <w:adjustRightInd w:val="0"/>
        <w:spacing w:line="240" w:lineRule="auto"/>
        <w:rPr>
          <w:rFonts w:ascii="TimesNewRoman,Bold" w:hAnsi="TimesNewRoman,Bold" w:cs="TimesNewRoman,Bold"/>
          <w:b/>
          <w:bCs/>
          <w:lang w:eastAsia="fr-FR"/>
        </w:rPr>
      </w:pPr>
      <w:r>
        <w:rPr>
          <w:rFonts w:ascii="TimesNewRoman,Bold" w:hAnsi="TimesNewRoman,Bold" w:cs="TimesNewRoman,Bold"/>
          <w:b/>
          <w:bCs/>
          <w:lang w:eastAsia="fr-FR"/>
        </w:rPr>
        <w:t>Fifty-third session</w:t>
      </w:r>
    </w:p>
    <w:p w14:paraId="5AFD6F4D" w14:textId="77777777" w:rsidR="008B6556" w:rsidRDefault="008B6556" w:rsidP="008B6556">
      <w:pPr>
        <w:suppressAutoHyphens w:val="0"/>
        <w:autoSpaceDE w:val="0"/>
        <w:autoSpaceDN w:val="0"/>
        <w:adjustRightInd w:val="0"/>
        <w:spacing w:line="240" w:lineRule="auto"/>
        <w:rPr>
          <w:rFonts w:ascii="TimesNewRoman" w:hAnsi="TimesNewRoman" w:cs="TimesNewRoman"/>
          <w:lang w:eastAsia="fr-FR"/>
        </w:rPr>
      </w:pPr>
      <w:r>
        <w:rPr>
          <w:rFonts w:ascii="TimesNewRoman" w:hAnsi="TimesNewRoman" w:cs="TimesNewRoman"/>
          <w:lang w:eastAsia="fr-FR"/>
        </w:rPr>
        <w:t>19 June–14 July 2023</w:t>
      </w:r>
    </w:p>
    <w:p w14:paraId="47A3C81F" w14:textId="77777777" w:rsidR="008B6556" w:rsidRDefault="008B6556" w:rsidP="008B6556">
      <w:pPr>
        <w:suppressAutoHyphens w:val="0"/>
        <w:autoSpaceDE w:val="0"/>
        <w:autoSpaceDN w:val="0"/>
        <w:adjustRightInd w:val="0"/>
        <w:spacing w:line="240" w:lineRule="auto"/>
        <w:rPr>
          <w:rFonts w:ascii="TimesNewRoman" w:hAnsi="TimesNewRoman" w:cs="TimesNewRoman"/>
          <w:lang w:eastAsia="fr-FR"/>
        </w:rPr>
      </w:pPr>
      <w:r>
        <w:rPr>
          <w:rFonts w:ascii="TimesNewRoman" w:hAnsi="TimesNewRoman" w:cs="TimesNewRoman"/>
          <w:lang w:eastAsia="fr-FR"/>
        </w:rPr>
        <w:t>Agenda item 3</w:t>
      </w:r>
    </w:p>
    <w:p w14:paraId="71411D5B" w14:textId="77777777" w:rsidR="008B6556" w:rsidRDefault="008B6556" w:rsidP="008B6556">
      <w:pPr>
        <w:suppressAutoHyphens w:val="0"/>
        <w:autoSpaceDE w:val="0"/>
        <w:autoSpaceDN w:val="0"/>
        <w:adjustRightInd w:val="0"/>
        <w:spacing w:line="240" w:lineRule="auto"/>
        <w:rPr>
          <w:rFonts w:ascii="TimesNewRoman,Bold" w:hAnsi="TimesNewRoman,Bold" w:cs="TimesNewRoman,Bold"/>
          <w:b/>
          <w:bCs/>
          <w:lang w:eastAsia="fr-FR"/>
        </w:rPr>
      </w:pPr>
      <w:r>
        <w:rPr>
          <w:rFonts w:ascii="TimesNewRoman,Bold" w:hAnsi="TimesNewRoman,Bold" w:cs="TimesNewRoman,Bold"/>
          <w:b/>
          <w:bCs/>
          <w:lang w:eastAsia="fr-FR"/>
        </w:rPr>
        <w:t>Promotion and protection of all human rights, civil,</w:t>
      </w:r>
    </w:p>
    <w:p w14:paraId="1E08F80A" w14:textId="357B7FFD" w:rsidR="008B6556" w:rsidRDefault="008B6556" w:rsidP="008B6556">
      <w:pPr>
        <w:rPr>
          <w:rFonts w:ascii="TimesNewRoman,Bold" w:hAnsi="TimesNewRoman,Bold" w:cs="TimesNewRoman,Bold"/>
          <w:b/>
          <w:bCs/>
          <w:lang w:eastAsia="fr-FR"/>
        </w:rPr>
      </w:pPr>
      <w:r>
        <w:rPr>
          <w:rFonts w:ascii="TimesNewRoman,Bold" w:hAnsi="TimesNewRoman,Bold" w:cs="TimesNewRoman,Bold"/>
          <w:b/>
          <w:bCs/>
          <w:lang w:eastAsia="fr-FR"/>
        </w:rPr>
        <w:t>political, economic, social and cultural</w:t>
      </w:r>
    </w:p>
    <w:p w14:paraId="5DE9CB2D" w14:textId="33179798" w:rsidR="00ED66BC" w:rsidRDefault="00ED66BC" w:rsidP="00ED66BC">
      <w:pPr>
        <w:pStyle w:val="HChG"/>
      </w:pPr>
      <w:bookmarkStart w:id="2" w:name="_Toc71707456"/>
      <w:bookmarkStart w:id="3" w:name="_Toc71716408"/>
      <w:r>
        <w:tab/>
      </w:r>
      <w:r>
        <w:tab/>
        <w:t xml:space="preserve">Securing the </w:t>
      </w:r>
      <w:r w:rsidR="003400B6">
        <w:t>r</w:t>
      </w:r>
      <w:r w:rsidRPr="008B7F1F">
        <w:t xml:space="preserve">ight to education: </w:t>
      </w:r>
      <w:bookmarkEnd w:id="2"/>
      <w:bookmarkEnd w:id="3"/>
      <w:r w:rsidRPr="008B7F1F">
        <w:rPr>
          <w:lang w:val="en-US"/>
        </w:rPr>
        <w:t>advances</w:t>
      </w:r>
      <w:r>
        <w:rPr>
          <w:lang w:val="en-US"/>
        </w:rPr>
        <w:t xml:space="preserve"> and critical </w:t>
      </w:r>
      <w:r w:rsidRPr="008B7F1F">
        <w:rPr>
          <w:lang w:val="en-US"/>
        </w:rPr>
        <w:t>challenges</w:t>
      </w:r>
    </w:p>
    <w:p w14:paraId="525DAE38" w14:textId="087A79C6" w:rsidR="00CF586F" w:rsidRDefault="00ED66BC" w:rsidP="00ED66BC">
      <w:pPr>
        <w:pStyle w:val="H1G"/>
      </w:pPr>
      <w:r>
        <w:tab/>
      </w:r>
      <w:r>
        <w:tab/>
      </w:r>
      <w:r w:rsidRPr="008B7F1F">
        <w:t xml:space="preserve">Report of the Special Rapporteur on the right to education, </w:t>
      </w:r>
      <w:r>
        <w:t>Farida Shaheed</w:t>
      </w:r>
      <w:r w:rsidR="006E3091" w:rsidRPr="003400B6">
        <w:rPr>
          <w:rStyle w:val="FootnoteReference"/>
          <w:b w:val="0"/>
          <w:bCs/>
          <w:sz w:val="20"/>
          <w:vertAlign w:val="baseline"/>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1C7D96" w14:paraId="2B75332D" w14:textId="77777777" w:rsidTr="00C6263E">
        <w:trPr>
          <w:jc w:val="center"/>
        </w:trPr>
        <w:tc>
          <w:tcPr>
            <w:tcW w:w="9637" w:type="dxa"/>
            <w:shd w:val="clear" w:color="auto" w:fill="auto"/>
          </w:tcPr>
          <w:p w14:paraId="5A0FCE96" w14:textId="77777777" w:rsidR="001C7D96" w:rsidRPr="00C6263E" w:rsidRDefault="001C7D96" w:rsidP="00C6263E">
            <w:pPr>
              <w:spacing w:before="240" w:after="120"/>
              <w:ind w:left="255"/>
              <w:rPr>
                <w:i/>
                <w:sz w:val="24"/>
              </w:rPr>
            </w:pPr>
            <w:r w:rsidRPr="00C6263E">
              <w:rPr>
                <w:i/>
                <w:sz w:val="24"/>
              </w:rPr>
              <w:t>Summary</w:t>
            </w:r>
          </w:p>
        </w:tc>
      </w:tr>
      <w:tr w:rsidR="001C7D96" w14:paraId="07F359B7" w14:textId="77777777" w:rsidTr="00C6263E">
        <w:trPr>
          <w:jc w:val="center"/>
        </w:trPr>
        <w:tc>
          <w:tcPr>
            <w:tcW w:w="9637" w:type="dxa"/>
            <w:shd w:val="clear" w:color="auto" w:fill="auto"/>
          </w:tcPr>
          <w:p w14:paraId="4A39014A" w14:textId="5D187EC0" w:rsidR="001C7D96" w:rsidRPr="00FB4B99" w:rsidRDefault="00FB4B99" w:rsidP="00FB4B99">
            <w:pPr>
              <w:pStyle w:val="SingleTxtG"/>
            </w:pPr>
            <w:r>
              <w:tab/>
            </w:r>
            <w:r>
              <w:tab/>
            </w:r>
            <w:r w:rsidRPr="00FB4B99">
              <w:t>In her first report to the Human Rights Council, 25 years after the establishment of the mandate on the right to education, the Special Rapporteur reviews achievements, particularly on how the right to education is understood today and the obligations it entails, as well as contemporary and emerging issues that need to be considered to ensure the right to education for all, today and in the future.</w:t>
            </w:r>
          </w:p>
        </w:tc>
      </w:tr>
      <w:tr w:rsidR="001C7D96" w14:paraId="3A4756A2" w14:textId="77777777" w:rsidTr="00C6263E">
        <w:trPr>
          <w:jc w:val="center"/>
        </w:trPr>
        <w:tc>
          <w:tcPr>
            <w:tcW w:w="9637" w:type="dxa"/>
            <w:shd w:val="clear" w:color="auto" w:fill="auto"/>
          </w:tcPr>
          <w:p w14:paraId="1DC56F30" w14:textId="77777777" w:rsidR="001C7D96" w:rsidRDefault="001C7D96" w:rsidP="00C6263E"/>
        </w:tc>
      </w:tr>
    </w:tbl>
    <w:p w14:paraId="122CC1B4" w14:textId="2C46DB30" w:rsidR="003A5FD2" w:rsidRDefault="003A5FD2" w:rsidP="001C7D96"/>
    <w:p w14:paraId="35539B2D" w14:textId="77777777" w:rsidR="003A5FD2" w:rsidRDefault="003A5FD2">
      <w:pPr>
        <w:suppressAutoHyphens w:val="0"/>
        <w:spacing w:line="240" w:lineRule="auto"/>
      </w:pPr>
      <w:r>
        <w:br w:type="page"/>
      </w:r>
    </w:p>
    <w:p w14:paraId="3D464425" w14:textId="1C102C1D" w:rsidR="006E3091" w:rsidRPr="00A716DC" w:rsidRDefault="006E3091" w:rsidP="006E3091">
      <w:pPr>
        <w:pStyle w:val="HChG"/>
        <w:ind w:left="0" w:firstLine="0"/>
        <w:rPr>
          <w:b w:val="0"/>
        </w:rPr>
      </w:pPr>
      <w:r>
        <w:rPr>
          <w:b w:val="0"/>
        </w:rPr>
        <w:lastRenderedPageBreak/>
        <w:t>Content</w:t>
      </w:r>
      <w:r w:rsidR="003400B6">
        <w:rPr>
          <w:b w:val="0"/>
        </w:rPr>
        <w:t>s</w:t>
      </w:r>
    </w:p>
    <w:p w14:paraId="4BB11328" w14:textId="77777777" w:rsidR="006E3091" w:rsidRPr="00A716DC" w:rsidRDefault="006E3091" w:rsidP="006E3091">
      <w:pPr>
        <w:tabs>
          <w:tab w:val="right" w:pos="8929"/>
          <w:tab w:val="right" w:pos="9638"/>
        </w:tabs>
        <w:spacing w:after="120"/>
        <w:ind w:left="283"/>
      </w:pPr>
      <w:r>
        <w:rPr>
          <w:i/>
          <w:sz w:val="18"/>
        </w:rPr>
        <w:tab/>
      </w:r>
      <w:r>
        <w:rPr>
          <w:i/>
          <w:sz w:val="18"/>
        </w:rPr>
        <w:tab/>
        <w:t>Page</w:t>
      </w:r>
    </w:p>
    <w:p w14:paraId="6338B361" w14:textId="77777777" w:rsidR="006E3091" w:rsidRPr="0080506F" w:rsidRDefault="006E3091" w:rsidP="006E3091">
      <w:pPr>
        <w:tabs>
          <w:tab w:val="right" w:pos="850"/>
          <w:tab w:val="left" w:pos="1134"/>
          <w:tab w:val="left" w:pos="1559"/>
          <w:tab w:val="left" w:pos="1984"/>
          <w:tab w:val="left" w:leader="dot" w:pos="8929"/>
          <w:tab w:val="right" w:pos="9638"/>
        </w:tabs>
        <w:spacing w:after="120"/>
      </w:pPr>
      <w:r w:rsidRPr="00A716DC">
        <w:tab/>
      </w:r>
      <w:r>
        <w:t>I.</w:t>
      </w:r>
      <w:r>
        <w:tab/>
      </w:r>
      <w:r w:rsidRPr="00917F5D">
        <w:t>Introduction</w:t>
      </w:r>
      <w:r>
        <w:tab/>
      </w:r>
      <w:r>
        <w:tab/>
        <w:t>3</w:t>
      </w:r>
    </w:p>
    <w:p w14:paraId="114685E1" w14:textId="2D5FF07F" w:rsidR="006E3091" w:rsidRDefault="006E3091" w:rsidP="006E3091">
      <w:pPr>
        <w:tabs>
          <w:tab w:val="right" w:pos="850"/>
          <w:tab w:val="left" w:pos="1134"/>
          <w:tab w:val="left" w:pos="1559"/>
          <w:tab w:val="left" w:pos="1984"/>
          <w:tab w:val="left" w:leader="dot" w:pos="8929"/>
          <w:tab w:val="right" w:pos="9638"/>
        </w:tabs>
        <w:spacing w:after="120"/>
      </w:pPr>
      <w:r w:rsidRPr="0080506F">
        <w:tab/>
      </w:r>
      <w:r>
        <w:t>II.</w:t>
      </w:r>
      <w:r>
        <w:tab/>
      </w:r>
      <w:r w:rsidR="00305BD8" w:rsidRPr="00305BD8">
        <w:t>Legal and monitoring frameworks</w:t>
      </w:r>
      <w:r>
        <w:tab/>
      </w:r>
      <w:r>
        <w:tab/>
      </w:r>
      <w:r w:rsidR="00305BD8">
        <w:t>4</w:t>
      </w:r>
    </w:p>
    <w:p w14:paraId="33353213" w14:textId="1AAA1E1C" w:rsidR="00305BD8" w:rsidRPr="00F06BAC" w:rsidRDefault="00305BD8" w:rsidP="00305BD8">
      <w:pPr>
        <w:tabs>
          <w:tab w:val="right" w:pos="850"/>
          <w:tab w:val="left" w:pos="1134"/>
          <w:tab w:val="left" w:pos="1559"/>
          <w:tab w:val="left" w:pos="1984"/>
          <w:tab w:val="left" w:leader="dot" w:pos="8929"/>
          <w:tab w:val="right" w:pos="9638"/>
        </w:tabs>
        <w:spacing w:after="120"/>
      </w:pPr>
      <w:r>
        <w:tab/>
      </w:r>
      <w:r>
        <w:tab/>
        <w:t>A.</w:t>
      </w:r>
      <w:r>
        <w:tab/>
      </w:r>
      <w:r w:rsidRPr="00305BD8">
        <w:t>Universal acceptance of the right to education, a norm of international customary law</w:t>
      </w:r>
      <w:r>
        <w:tab/>
      </w:r>
      <w:r>
        <w:tab/>
        <w:t>4</w:t>
      </w:r>
    </w:p>
    <w:p w14:paraId="1ACED254" w14:textId="018DCC6B" w:rsidR="00305BD8" w:rsidRDefault="00305BD8" w:rsidP="00305BD8">
      <w:pPr>
        <w:tabs>
          <w:tab w:val="right" w:pos="850"/>
          <w:tab w:val="left" w:pos="1134"/>
          <w:tab w:val="left" w:pos="1559"/>
          <w:tab w:val="left" w:pos="1984"/>
          <w:tab w:val="left" w:leader="dot" w:pos="8929"/>
          <w:tab w:val="right" w:pos="9638"/>
        </w:tabs>
        <w:spacing w:after="120"/>
      </w:pPr>
      <w:r>
        <w:tab/>
      </w:r>
      <w:r>
        <w:tab/>
        <w:t>B.</w:t>
      </w:r>
      <w:r>
        <w:tab/>
      </w:r>
      <w:r w:rsidRPr="00305BD8">
        <w:t>Education as a public and common good</w:t>
      </w:r>
      <w:r w:rsidRPr="00F06BAC">
        <w:tab/>
      </w:r>
      <w:r w:rsidRPr="00F06BAC">
        <w:tab/>
      </w:r>
      <w:r>
        <w:t>5</w:t>
      </w:r>
    </w:p>
    <w:p w14:paraId="6B720786" w14:textId="7B3DC6E3" w:rsidR="00305BD8" w:rsidRDefault="00305BD8" w:rsidP="00305BD8">
      <w:pPr>
        <w:tabs>
          <w:tab w:val="right" w:pos="850"/>
          <w:tab w:val="left" w:pos="1134"/>
          <w:tab w:val="left" w:pos="1559"/>
          <w:tab w:val="left" w:pos="1984"/>
          <w:tab w:val="left" w:leader="dot" w:pos="8929"/>
          <w:tab w:val="right" w:pos="9638"/>
        </w:tabs>
        <w:spacing w:after="120"/>
      </w:pPr>
      <w:r>
        <w:tab/>
      </w:r>
      <w:r>
        <w:tab/>
      </w:r>
      <w:r w:rsidR="0084701D">
        <w:t>C</w:t>
      </w:r>
      <w:r>
        <w:t>.</w:t>
      </w:r>
      <w:r>
        <w:tab/>
      </w:r>
      <w:r w:rsidR="0084701D" w:rsidRPr="0084701D">
        <w:t>The need to reinforce implementation, accountability and monitoring processes</w:t>
      </w:r>
      <w:r w:rsidRPr="00F06BAC">
        <w:tab/>
      </w:r>
      <w:r w:rsidR="0084701D">
        <w:tab/>
        <w:t>5</w:t>
      </w:r>
    </w:p>
    <w:p w14:paraId="598AC2F5" w14:textId="36CA6A73" w:rsidR="006E3091" w:rsidRDefault="006E3091" w:rsidP="006E3091">
      <w:pPr>
        <w:tabs>
          <w:tab w:val="right" w:pos="850"/>
          <w:tab w:val="left" w:pos="1134"/>
          <w:tab w:val="left" w:pos="1559"/>
          <w:tab w:val="left" w:pos="1984"/>
          <w:tab w:val="left" w:leader="dot" w:pos="8929"/>
          <w:tab w:val="right" w:pos="9638"/>
        </w:tabs>
        <w:spacing w:after="120"/>
      </w:pPr>
      <w:r>
        <w:tab/>
        <w:t>III</w:t>
      </w:r>
      <w:r w:rsidRPr="00F06BAC">
        <w:t>.</w:t>
      </w:r>
      <w:r w:rsidRPr="00F06BAC">
        <w:tab/>
      </w:r>
      <w:r w:rsidR="007177F5" w:rsidRPr="007177F5">
        <w:t>The content of the right to education</w:t>
      </w:r>
      <w:r w:rsidRPr="00F06BAC">
        <w:tab/>
      </w:r>
      <w:r w:rsidR="007177F5">
        <w:tab/>
        <w:t>6</w:t>
      </w:r>
    </w:p>
    <w:p w14:paraId="3B661003" w14:textId="6FA68A3F" w:rsidR="006E3091" w:rsidRPr="00F06BAC" w:rsidRDefault="006E3091" w:rsidP="006E3091">
      <w:pPr>
        <w:tabs>
          <w:tab w:val="right" w:pos="850"/>
          <w:tab w:val="left" w:pos="1134"/>
          <w:tab w:val="left" w:pos="1559"/>
          <w:tab w:val="left" w:pos="1984"/>
          <w:tab w:val="left" w:leader="dot" w:pos="8929"/>
          <w:tab w:val="right" w:pos="9638"/>
        </w:tabs>
        <w:spacing w:after="120"/>
      </w:pPr>
      <w:r>
        <w:tab/>
      </w:r>
      <w:r>
        <w:tab/>
        <w:t>A.</w:t>
      </w:r>
      <w:r>
        <w:tab/>
      </w:r>
      <w:r w:rsidR="00962D64" w:rsidRPr="00962D64">
        <w:t>The aims of education: the right to learn</w:t>
      </w:r>
      <w:r>
        <w:tab/>
      </w:r>
      <w:r>
        <w:tab/>
      </w:r>
      <w:r w:rsidR="00962D64">
        <w:t>6</w:t>
      </w:r>
    </w:p>
    <w:p w14:paraId="55812937" w14:textId="2D9354E5" w:rsidR="006E3091" w:rsidRDefault="006E3091" w:rsidP="006E3091">
      <w:pPr>
        <w:tabs>
          <w:tab w:val="right" w:pos="850"/>
          <w:tab w:val="left" w:pos="1134"/>
          <w:tab w:val="left" w:pos="1559"/>
          <w:tab w:val="left" w:pos="1984"/>
          <w:tab w:val="left" w:leader="dot" w:pos="8929"/>
          <w:tab w:val="right" w:pos="9638"/>
        </w:tabs>
        <w:spacing w:after="120"/>
      </w:pPr>
      <w:r>
        <w:tab/>
      </w:r>
      <w:r>
        <w:tab/>
        <w:t>B.</w:t>
      </w:r>
      <w:r>
        <w:tab/>
      </w:r>
      <w:r w:rsidR="00962D64" w:rsidRPr="00962D64">
        <w:t>The right to life-long learning</w:t>
      </w:r>
      <w:r w:rsidRPr="00F06BAC">
        <w:tab/>
      </w:r>
      <w:r w:rsidRPr="00F06BAC">
        <w:tab/>
      </w:r>
      <w:r w:rsidR="00962D64">
        <w:t>8</w:t>
      </w:r>
    </w:p>
    <w:p w14:paraId="62D72569" w14:textId="7623ED24" w:rsidR="007177F5" w:rsidRPr="00F06BAC" w:rsidRDefault="007177F5" w:rsidP="007177F5">
      <w:pPr>
        <w:tabs>
          <w:tab w:val="right" w:pos="850"/>
          <w:tab w:val="left" w:pos="1134"/>
          <w:tab w:val="left" w:pos="1559"/>
          <w:tab w:val="left" w:pos="1984"/>
          <w:tab w:val="left" w:leader="dot" w:pos="8929"/>
          <w:tab w:val="right" w:pos="9638"/>
        </w:tabs>
        <w:spacing w:after="120"/>
      </w:pPr>
      <w:r>
        <w:tab/>
      </w:r>
      <w:r>
        <w:tab/>
      </w:r>
      <w:r w:rsidR="00C12319">
        <w:t>C</w:t>
      </w:r>
      <w:r>
        <w:t>.</w:t>
      </w:r>
      <w:r>
        <w:tab/>
      </w:r>
      <w:r w:rsidR="00C12319" w:rsidRPr="00C12319">
        <w:t>A right to free quality education</w:t>
      </w:r>
      <w:r>
        <w:tab/>
      </w:r>
      <w:r>
        <w:tab/>
      </w:r>
      <w:r w:rsidR="00C12319">
        <w:t>9</w:t>
      </w:r>
    </w:p>
    <w:p w14:paraId="72C326AD" w14:textId="6A738647" w:rsidR="007177F5" w:rsidRDefault="007177F5" w:rsidP="007177F5">
      <w:pPr>
        <w:tabs>
          <w:tab w:val="right" w:pos="850"/>
          <w:tab w:val="left" w:pos="1134"/>
          <w:tab w:val="left" w:pos="1559"/>
          <w:tab w:val="left" w:pos="1984"/>
          <w:tab w:val="left" w:leader="dot" w:pos="8929"/>
          <w:tab w:val="right" w:pos="9638"/>
        </w:tabs>
        <w:spacing w:after="120"/>
      </w:pPr>
      <w:r>
        <w:tab/>
      </w:r>
      <w:r>
        <w:tab/>
      </w:r>
      <w:r w:rsidR="00041E6B">
        <w:t>D</w:t>
      </w:r>
      <w:r>
        <w:t>.</w:t>
      </w:r>
      <w:r>
        <w:tab/>
      </w:r>
      <w:r w:rsidR="00041E6B" w:rsidRPr="00041E6B">
        <w:t>From an equal right to education to the right to equitable and inclusive education</w:t>
      </w:r>
      <w:r w:rsidRPr="00F06BAC">
        <w:tab/>
      </w:r>
      <w:r w:rsidRPr="00F06BAC">
        <w:tab/>
      </w:r>
      <w:r w:rsidR="00041E6B">
        <w:t>9</w:t>
      </w:r>
    </w:p>
    <w:p w14:paraId="496785CE" w14:textId="5AA8705D" w:rsidR="00CE3D22" w:rsidRPr="00F06BAC" w:rsidRDefault="00CE3D22" w:rsidP="00CE3D22">
      <w:pPr>
        <w:tabs>
          <w:tab w:val="right" w:pos="850"/>
          <w:tab w:val="left" w:pos="1134"/>
          <w:tab w:val="left" w:pos="1559"/>
          <w:tab w:val="left" w:pos="1984"/>
          <w:tab w:val="left" w:leader="dot" w:pos="8929"/>
          <w:tab w:val="right" w:pos="9638"/>
        </w:tabs>
        <w:spacing w:after="120"/>
      </w:pPr>
      <w:r>
        <w:tab/>
      </w:r>
      <w:r>
        <w:tab/>
        <w:t>E.</w:t>
      </w:r>
      <w:r>
        <w:tab/>
      </w:r>
      <w:r w:rsidRPr="00C10C23">
        <w:t>A right to participate in educational life</w:t>
      </w:r>
      <w:r>
        <w:tab/>
      </w:r>
      <w:r>
        <w:tab/>
        <w:t>11</w:t>
      </w:r>
    </w:p>
    <w:p w14:paraId="0AAAEB5A" w14:textId="48DD3CD5" w:rsidR="00962D64" w:rsidRDefault="00962D64" w:rsidP="00962D64">
      <w:pPr>
        <w:tabs>
          <w:tab w:val="right" w:pos="850"/>
          <w:tab w:val="left" w:pos="1134"/>
          <w:tab w:val="left" w:pos="1559"/>
          <w:tab w:val="left" w:pos="1984"/>
          <w:tab w:val="left" w:leader="dot" w:pos="8929"/>
          <w:tab w:val="right" w:pos="9638"/>
        </w:tabs>
        <w:spacing w:after="120"/>
      </w:pPr>
      <w:r>
        <w:tab/>
      </w:r>
      <w:r>
        <w:tab/>
      </w:r>
      <w:r w:rsidR="00CE3D22">
        <w:t>F</w:t>
      </w:r>
      <w:r>
        <w:t>.</w:t>
      </w:r>
      <w:r>
        <w:tab/>
      </w:r>
      <w:r w:rsidR="00CE3D22" w:rsidRPr="00CE3D22">
        <w:t>A right to public education</w:t>
      </w:r>
      <w:r>
        <w:tab/>
      </w:r>
      <w:r>
        <w:tab/>
      </w:r>
      <w:r w:rsidR="00C10C23">
        <w:t>1</w:t>
      </w:r>
      <w:r w:rsidR="00ED2398">
        <w:t>1</w:t>
      </w:r>
    </w:p>
    <w:p w14:paraId="5A138DBF" w14:textId="0EB2FFF6" w:rsidR="00962D64" w:rsidRDefault="00CE3D22" w:rsidP="00962D64">
      <w:pPr>
        <w:tabs>
          <w:tab w:val="right" w:pos="850"/>
          <w:tab w:val="left" w:pos="1134"/>
          <w:tab w:val="left" w:pos="1559"/>
          <w:tab w:val="left" w:pos="1984"/>
          <w:tab w:val="left" w:leader="dot" w:pos="8929"/>
          <w:tab w:val="right" w:pos="9638"/>
        </w:tabs>
        <w:spacing w:after="120"/>
      </w:pPr>
      <w:r>
        <w:tab/>
      </w:r>
      <w:r>
        <w:tab/>
        <w:t>G</w:t>
      </w:r>
      <w:r w:rsidR="00962D64">
        <w:t>.</w:t>
      </w:r>
      <w:r w:rsidR="00962D64">
        <w:tab/>
      </w:r>
      <w:r w:rsidR="000D5B54" w:rsidRPr="000D5B54">
        <w:t>The right to educational freedoms</w:t>
      </w:r>
      <w:r w:rsidR="00962D64" w:rsidRPr="00F06BAC">
        <w:tab/>
      </w:r>
      <w:r w:rsidR="00962D64" w:rsidRPr="00F06BAC">
        <w:tab/>
      </w:r>
      <w:r w:rsidR="00ED2398">
        <w:t>1</w:t>
      </w:r>
      <w:r w:rsidR="000D5B54">
        <w:t>2</w:t>
      </w:r>
    </w:p>
    <w:p w14:paraId="3303739C" w14:textId="498B2125" w:rsidR="00962D64" w:rsidRPr="00F06BAC" w:rsidRDefault="00962D64" w:rsidP="00962D64">
      <w:pPr>
        <w:tabs>
          <w:tab w:val="right" w:pos="850"/>
          <w:tab w:val="left" w:pos="1134"/>
          <w:tab w:val="left" w:pos="1559"/>
          <w:tab w:val="left" w:pos="1984"/>
          <w:tab w:val="left" w:leader="dot" w:pos="8929"/>
          <w:tab w:val="right" w:pos="9638"/>
        </w:tabs>
        <w:spacing w:after="120"/>
      </w:pPr>
      <w:r>
        <w:tab/>
      </w:r>
      <w:r>
        <w:tab/>
      </w:r>
      <w:r w:rsidR="00CE3D22">
        <w:t>H</w:t>
      </w:r>
      <w:r>
        <w:t>.</w:t>
      </w:r>
      <w:r>
        <w:tab/>
      </w:r>
      <w:r w:rsidR="000D5B54" w:rsidRPr="000D5B54">
        <w:t>Education should not be reduced to schooling</w:t>
      </w:r>
      <w:r>
        <w:tab/>
      </w:r>
      <w:r>
        <w:tab/>
      </w:r>
      <w:r w:rsidR="000D5B54">
        <w:t>13</w:t>
      </w:r>
    </w:p>
    <w:p w14:paraId="2676E9B0" w14:textId="5FC51D96" w:rsidR="00962D64" w:rsidRDefault="00962D64" w:rsidP="00962D64">
      <w:pPr>
        <w:tabs>
          <w:tab w:val="right" w:pos="850"/>
          <w:tab w:val="left" w:pos="1134"/>
          <w:tab w:val="left" w:pos="1559"/>
          <w:tab w:val="left" w:pos="1984"/>
          <w:tab w:val="left" w:leader="dot" w:pos="8929"/>
          <w:tab w:val="right" w:pos="9638"/>
        </w:tabs>
        <w:spacing w:after="120"/>
      </w:pPr>
      <w:r>
        <w:tab/>
      </w:r>
      <w:r>
        <w:tab/>
      </w:r>
      <w:r w:rsidR="00CE3D22">
        <w:t>I</w:t>
      </w:r>
      <w:r>
        <w:t>.</w:t>
      </w:r>
      <w:r>
        <w:tab/>
      </w:r>
      <w:r w:rsidR="00CE3D22" w:rsidRPr="00CE3D22">
        <w:t>The right to be safe in education</w:t>
      </w:r>
      <w:r w:rsidRPr="00F06BAC">
        <w:tab/>
      </w:r>
      <w:r w:rsidRPr="00F06BAC">
        <w:tab/>
      </w:r>
      <w:r w:rsidR="00CE3D22">
        <w:t>13</w:t>
      </w:r>
    </w:p>
    <w:p w14:paraId="571712EC" w14:textId="4B346CAF" w:rsidR="006E3091" w:rsidRDefault="006E3091" w:rsidP="006E3091">
      <w:pPr>
        <w:tabs>
          <w:tab w:val="right" w:pos="850"/>
          <w:tab w:val="left" w:pos="1134"/>
          <w:tab w:val="left" w:pos="1559"/>
          <w:tab w:val="left" w:pos="1984"/>
          <w:tab w:val="left" w:leader="dot" w:pos="8929"/>
          <w:tab w:val="right" w:pos="9638"/>
        </w:tabs>
        <w:spacing w:after="120"/>
      </w:pPr>
      <w:r>
        <w:tab/>
        <w:t>IV.</w:t>
      </w:r>
      <w:r>
        <w:tab/>
      </w:r>
      <w:r w:rsidR="00C1692A" w:rsidRPr="00DD361B">
        <w:t>Legal obligations for realizing the right to education</w:t>
      </w:r>
      <w:r w:rsidRPr="00F06BAC">
        <w:tab/>
      </w:r>
      <w:r>
        <w:tab/>
      </w:r>
      <w:r w:rsidR="00C1692A">
        <w:t>14</w:t>
      </w:r>
    </w:p>
    <w:p w14:paraId="2746384F" w14:textId="06977856" w:rsidR="00C1692A" w:rsidRPr="00F06BAC" w:rsidRDefault="00C1692A" w:rsidP="00C1692A">
      <w:pPr>
        <w:tabs>
          <w:tab w:val="right" w:pos="850"/>
          <w:tab w:val="left" w:pos="1134"/>
          <w:tab w:val="left" w:pos="1559"/>
          <w:tab w:val="left" w:pos="1984"/>
          <w:tab w:val="left" w:leader="dot" w:pos="8929"/>
          <w:tab w:val="right" w:pos="9638"/>
        </w:tabs>
        <w:spacing w:after="120"/>
      </w:pPr>
      <w:r>
        <w:tab/>
      </w:r>
      <w:r>
        <w:tab/>
        <w:t>A.</w:t>
      </w:r>
      <w:r>
        <w:tab/>
      </w:r>
      <w:r w:rsidR="00AA3350" w:rsidRPr="00DD361B">
        <w:t>Fully implementing the right to education</w:t>
      </w:r>
      <w:r>
        <w:tab/>
      </w:r>
      <w:r>
        <w:tab/>
      </w:r>
      <w:r w:rsidR="00AA3350">
        <w:t>14</w:t>
      </w:r>
    </w:p>
    <w:p w14:paraId="4BEAF655" w14:textId="30AF578B" w:rsidR="00C1692A" w:rsidRDefault="00C1692A" w:rsidP="00C1692A">
      <w:pPr>
        <w:tabs>
          <w:tab w:val="right" w:pos="850"/>
          <w:tab w:val="left" w:pos="1134"/>
          <w:tab w:val="left" w:pos="1559"/>
          <w:tab w:val="left" w:pos="1984"/>
          <w:tab w:val="left" w:leader="dot" w:pos="8929"/>
          <w:tab w:val="right" w:pos="9638"/>
        </w:tabs>
        <w:spacing w:after="120"/>
      </w:pPr>
      <w:r>
        <w:tab/>
      </w:r>
      <w:r>
        <w:tab/>
        <w:t>B.</w:t>
      </w:r>
      <w:r>
        <w:tab/>
      </w:r>
      <w:r w:rsidR="00AA3350" w:rsidRPr="00AA3350">
        <w:t>Financing education</w:t>
      </w:r>
      <w:r w:rsidRPr="00F06BAC">
        <w:tab/>
      </w:r>
      <w:r w:rsidRPr="00F06BAC">
        <w:tab/>
      </w:r>
      <w:r w:rsidR="00AA3350">
        <w:t>15</w:t>
      </w:r>
    </w:p>
    <w:p w14:paraId="0FF8E73C" w14:textId="31FCF6A0" w:rsidR="00C1692A" w:rsidRPr="00F06BAC" w:rsidRDefault="00C1692A" w:rsidP="00C1692A">
      <w:pPr>
        <w:tabs>
          <w:tab w:val="right" w:pos="850"/>
          <w:tab w:val="left" w:pos="1134"/>
          <w:tab w:val="left" w:pos="1559"/>
          <w:tab w:val="left" w:pos="1984"/>
          <w:tab w:val="left" w:leader="dot" w:pos="8929"/>
          <w:tab w:val="right" w:pos="9638"/>
        </w:tabs>
        <w:spacing w:after="120"/>
      </w:pPr>
      <w:r>
        <w:tab/>
      </w:r>
      <w:r>
        <w:tab/>
        <w:t>C.</w:t>
      </w:r>
      <w:r>
        <w:tab/>
      </w:r>
      <w:r w:rsidR="00AA3350" w:rsidRPr="00AA3350">
        <w:t>Regulating private actors</w:t>
      </w:r>
      <w:r>
        <w:tab/>
      </w:r>
      <w:r>
        <w:tab/>
      </w:r>
      <w:r w:rsidR="00AA3350">
        <w:t>16</w:t>
      </w:r>
    </w:p>
    <w:p w14:paraId="5ACB9FCB" w14:textId="3D25DE4D" w:rsidR="00C1692A" w:rsidRDefault="00C1692A" w:rsidP="00C1692A">
      <w:pPr>
        <w:tabs>
          <w:tab w:val="right" w:pos="850"/>
          <w:tab w:val="left" w:pos="1134"/>
          <w:tab w:val="left" w:pos="1559"/>
          <w:tab w:val="left" w:pos="1984"/>
          <w:tab w:val="left" w:leader="dot" w:pos="8929"/>
          <w:tab w:val="right" w:pos="9638"/>
        </w:tabs>
        <w:spacing w:after="120"/>
      </w:pPr>
      <w:r>
        <w:tab/>
      </w:r>
      <w:r>
        <w:tab/>
        <w:t>D.</w:t>
      </w:r>
      <w:r>
        <w:tab/>
      </w:r>
      <w:r w:rsidR="00C4701D" w:rsidRPr="00C4701D">
        <w:t>Enforcing the 4As scheme</w:t>
      </w:r>
      <w:r w:rsidRPr="00F06BAC">
        <w:tab/>
      </w:r>
      <w:r w:rsidRPr="00F06BAC">
        <w:tab/>
      </w:r>
      <w:r w:rsidR="00C4701D">
        <w:t>17</w:t>
      </w:r>
    </w:p>
    <w:p w14:paraId="50BE1506" w14:textId="653CA7BB" w:rsidR="00C1692A" w:rsidRPr="00F06BAC" w:rsidRDefault="00C1692A" w:rsidP="00C1692A">
      <w:pPr>
        <w:tabs>
          <w:tab w:val="right" w:pos="850"/>
          <w:tab w:val="left" w:pos="1134"/>
          <w:tab w:val="left" w:pos="1559"/>
          <w:tab w:val="left" w:pos="1984"/>
          <w:tab w:val="left" w:leader="dot" w:pos="8929"/>
          <w:tab w:val="right" w:pos="9638"/>
        </w:tabs>
        <w:spacing w:after="120"/>
      </w:pPr>
      <w:r>
        <w:tab/>
      </w:r>
      <w:r>
        <w:tab/>
        <w:t>E.</w:t>
      </w:r>
      <w:r>
        <w:tab/>
      </w:r>
      <w:r w:rsidR="00C4701D" w:rsidRPr="00C4701D">
        <w:t>Controlling the digitalization of education</w:t>
      </w:r>
      <w:r>
        <w:tab/>
      </w:r>
      <w:r>
        <w:tab/>
        <w:t>1</w:t>
      </w:r>
      <w:r w:rsidR="00C4701D">
        <w:t>9</w:t>
      </w:r>
    </w:p>
    <w:p w14:paraId="27395EB3" w14:textId="790B733B" w:rsidR="00C1692A" w:rsidRDefault="00C1692A" w:rsidP="00C1692A">
      <w:pPr>
        <w:tabs>
          <w:tab w:val="right" w:pos="850"/>
          <w:tab w:val="left" w:pos="1134"/>
          <w:tab w:val="left" w:pos="1559"/>
          <w:tab w:val="left" w:pos="1984"/>
          <w:tab w:val="left" w:leader="dot" w:pos="8929"/>
          <w:tab w:val="right" w:pos="9638"/>
        </w:tabs>
        <w:spacing w:after="120"/>
      </w:pPr>
      <w:r>
        <w:tab/>
      </w:r>
      <w:r>
        <w:tab/>
        <w:t>F.</w:t>
      </w:r>
      <w:r>
        <w:tab/>
      </w:r>
      <w:r w:rsidR="00C4701D" w:rsidRPr="00C4701D">
        <w:t>Recognizing the role of teachers</w:t>
      </w:r>
      <w:r>
        <w:tab/>
      </w:r>
      <w:r>
        <w:tab/>
      </w:r>
      <w:r w:rsidR="00C4701D">
        <w:t>20</w:t>
      </w:r>
    </w:p>
    <w:p w14:paraId="2B3DCFD0" w14:textId="09D213AD" w:rsidR="006E3091" w:rsidRPr="000012D8" w:rsidRDefault="006E3091" w:rsidP="006E3091">
      <w:pPr>
        <w:tabs>
          <w:tab w:val="right" w:pos="850"/>
          <w:tab w:val="left" w:pos="1134"/>
          <w:tab w:val="left" w:pos="1559"/>
          <w:tab w:val="left" w:pos="1984"/>
          <w:tab w:val="left" w:leader="dot" w:pos="8929"/>
          <w:tab w:val="right" w:pos="9638"/>
        </w:tabs>
        <w:spacing w:after="120"/>
      </w:pPr>
      <w:r w:rsidRPr="00C5288A">
        <w:tab/>
      </w:r>
      <w:r w:rsidRPr="000012D8">
        <w:t>V.</w:t>
      </w:r>
      <w:r w:rsidRPr="000012D8">
        <w:tab/>
      </w:r>
      <w:r w:rsidRPr="008E1314">
        <w:t>Conclusions and recommendations</w:t>
      </w:r>
      <w:r w:rsidRPr="000012D8">
        <w:tab/>
      </w:r>
      <w:r w:rsidRPr="000012D8">
        <w:tab/>
      </w:r>
      <w:r w:rsidR="00C4701D">
        <w:t>20</w:t>
      </w:r>
    </w:p>
    <w:p w14:paraId="052AA786" w14:textId="337925C2" w:rsidR="006E3091" w:rsidRDefault="006E3091" w:rsidP="003400B6">
      <w:pPr>
        <w:tabs>
          <w:tab w:val="right" w:pos="850"/>
          <w:tab w:val="left" w:pos="1134"/>
          <w:tab w:val="left" w:pos="1559"/>
          <w:tab w:val="left" w:pos="1984"/>
          <w:tab w:val="left" w:leader="dot" w:pos="8929"/>
          <w:tab w:val="right" w:pos="9638"/>
        </w:tabs>
        <w:spacing w:after="120"/>
      </w:pPr>
      <w:r w:rsidRPr="000012D8">
        <w:tab/>
      </w:r>
      <w:r>
        <w:br w:type="page"/>
      </w:r>
    </w:p>
    <w:p w14:paraId="1CCE2B77" w14:textId="6CC3B75E" w:rsidR="00931421" w:rsidRPr="00931421" w:rsidRDefault="00931421" w:rsidP="00931421">
      <w:pPr>
        <w:pStyle w:val="HChG"/>
      </w:pPr>
      <w:r>
        <w:lastRenderedPageBreak/>
        <w:tab/>
      </w:r>
      <w:r w:rsidRPr="00931421">
        <w:t>I.</w:t>
      </w:r>
      <w:r>
        <w:tab/>
      </w:r>
      <w:r w:rsidRPr="00931421">
        <w:t>Introduction</w:t>
      </w:r>
    </w:p>
    <w:p w14:paraId="68DF9BF6" w14:textId="3F806E40" w:rsidR="00931421" w:rsidRPr="00B43C28" w:rsidRDefault="00D3492F" w:rsidP="00D3492F">
      <w:pPr>
        <w:pStyle w:val="SingleTxtG"/>
        <w:rPr>
          <w:lang w:val="en-US"/>
        </w:rPr>
      </w:pPr>
      <w:r>
        <w:t>1.</w:t>
      </w:r>
      <w:r>
        <w:tab/>
      </w:r>
      <w:r w:rsidR="00931421" w:rsidRPr="00B43C28">
        <w:t xml:space="preserve">This first thematic report of the new Special Rapporteur on the right to education, Ms. Farida Shaheed, submitted </w:t>
      </w:r>
      <w:r w:rsidR="00931421">
        <w:t xml:space="preserve">in </w:t>
      </w:r>
      <w:r w:rsidR="00931421" w:rsidRPr="00B43C28">
        <w:t>pursuan</w:t>
      </w:r>
      <w:r w:rsidR="00931421">
        <w:t>ce</w:t>
      </w:r>
      <w:r w:rsidR="00931421" w:rsidRPr="00B43C28">
        <w:t xml:space="preserve"> </w:t>
      </w:r>
      <w:r w:rsidR="00931421">
        <w:t xml:space="preserve">of </w:t>
      </w:r>
      <w:r w:rsidR="00931421" w:rsidRPr="00B43C28">
        <w:t>Human Rights Council resolutions 8/4 and 44/3</w:t>
      </w:r>
      <w:r w:rsidR="00931421">
        <w:t xml:space="preserve">, coincides with the mandate’s </w:t>
      </w:r>
      <w:r w:rsidR="00931421" w:rsidRPr="00B43C28">
        <w:t>25</w:t>
      </w:r>
      <w:r w:rsidR="00931421" w:rsidRPr="00987851">
        <w:rPr>
          <w:vertAlign w:val="superscript"/>
        </w:rPr>
        <w:t>th</w:t>
      </w:r>
      <w:r w:rsidR="00931421">
        <w:t xml:space="preserve"> anniversary</w:t>
      </w:r>
      <w:r w:rsidR="00931421" w:rsidRPr="002245B5">
        <w:rPr>
          <w:lang w:val="en-US"/>
        </w:rPr>
        <w:t xml:space="preserve">, </w:t>
      </w:r>
      <w:r w:rsidR="00931421">
        <w:rPr>
          <w:lang w:val="en-US"/>
        </w:rPr>
        <w:t>and identifies key achievements and challenges</w:t>
      </w:r>
      <w:r w:rsidR="00931421" w:rsidRPr="00B43C28">
        <w:rPr>
          <w:lang w:val="en-US"/>
        </w:rPr>
        <w:t xml:space="preserve">. </w:t>
      </w:r>
    </w:p>
    <w:p w14:paraId="75330D07" w14:textId="17FC0E4B" w:rsidR="00931421" w:rsidRPr="00B608BD" w:rsidRDefault="00D3492F" w:rsidP="00D3492F">
      <w:pPr>
        <w:pStyle w:val="SingleTxtG"/>
        <w:rPr>
          <w:lang w:val="en-US"/>
        </w:rPr>
      </w:pPr>
      <w:r>
        <w:rPr>
          <w:lang w:val="en-US"/>
        </w:rPr>
        <w:t>2.</w:t>
      </w:r>
      <w:r>
        <w:rPr>
          <w:lang w:val="en-US"/>
        </w:rPr>
        <w:tab/>
      </w:r>
      <w:r w:rsidR="00931421" w:rsidRPr="00B608BD">
        <w:rPr>
          <w:lang w:val="en-US"/>
        </w:rPr>
        <w:t xml:space="preserve">2023 </w:t>
      </w:r>
      <w:r w:rsidR="00931421">
        <w:rPr>
          <w:lang w:val="en-US"/>
        </w:rPr>
        <w:t xml:space="preserve">also </w:t>
      </w:r>
      <w:r w:rsidR="00931421" w:rsidRPr="00B608BD">
        <w:rPr>
          <w:lang w:val="en-US"/>
        </w:rPr>
        <w:t>marks the 75</w:t>
      </w:r>
      <w:r w:rsidR="00931421" w:rsidRPr="00B608BD">
        <w:rPr>
          <w:vertAlign w:val="superscript"/>
          <w:lang w:val="en-US"/>
        </w:rPr>
        <w:t>th</w:t>
      </w:r>
      <w:r w:rsidR="00931421" w:rsidRPr="00B608BD">
        <w:rPr>
          <w:lang w:val="en-US"/>
        </w:rPr>
        <w:t xml:space="preserve"> anniversary of the Universal Declaration of Human Rights and the 30</w:t>
      </w:r>
      <w:r w:rsidR="00931421" w:rsidRPr="00B608BD">
        <w:rPr>
          <w:vertAlign w:val="superscript"/>
          <w:lang w:val="en-US"/>
        </w:rPr>
        <w:t>th</w:t>
      </w:r>
      <w:r w:rsidR="00931421" w:rsidRPr="00B608BD">
        <w:rPr>
          <w:lang w:val="en-US"/>
        </w:rPr>
        <w:t xml:space="preserve"> anniversary of the Vienna Declaration</w:t>
      </w:r>
      <w:r w:rsidR="00931421">
        <w:rPr>
          <w:lang w:val="en-US"/>
        </w:rPr>
        <w:t xml:space="preserve">, which </w:t>
      </w:r>
      <w:r w:rsidR="00931421" w:rsidRPr="00B608BD">
        <w:rPr>
          <w:lang w:val="en-US"/>
        </w:rPr>
        <w:t>reiterate</w:t>
      </w:r>
      <w:r w:rsidR="00931421">
        <w:rPr>
          <w:lang w:val="en-US"/>
        </w:rPr>
        <w:t>d</w:t>
      </w:r>
      <w:r w:rsidR="00931421" w:rsidRPr="00B608BD">
        <w:rPr>
          <w:lang w:val="en-US"/>
        </w:rPr>
        <w:t xml:space="preserve"> the universality, </w:t>
      </w:r>
      <w:r w:rsidR="00931421">
        <w:rPr>
          <w:lang w:val="en-US"/>
        </w:rPr>
        <w:t xml:space="preserve">inalienability, </w:t>
      </w:r>
      <w:proofErr w:type="gramStart"/>
      <w:r w:rsidR="00931421" w:rsidRPr="00B608BD">
        <w:rPr>
          <w:lang w:val="en-US"/>
        </w:rPr>
        <w:t>indivisibility</w:t>
      </w:r>
      <w:proofErr w:type="gramEnd"/>
      <w:r w:rsidR="00931421" w:rsidRPr="00B608BD">
        <w:rPr>
          <w:lang w:val="en-US"/>
        </w:rPr>
        <w:t xml:space="preserve"> and interdependence of human rights, </w:t>
      </w:r>
      <w:r w:rsidR="00931421" w:rsidRPr="00B608BD">
        <w:rPr>
          <w:spacing w:val="4"/>
        </w:rPr>
        <w:t>and recall</w:t>
      </w:r>
      <w:r w:rsidR="00931421">
        <w:rPr>
          <w:spacing w:val="4"/>
        </w:rPr>
        <w:t>ed</w:t>
      </w:r>
      <w:r w:rsidR="00931421" w:rsidRPr="00B608BD">
        <w:rPr>
          <w:spacing w:val="4"/>
        </w:rPr>
        <w:t xml:space="preserve"> </w:t>
      </w:r>
      <w:r w:rsidR="00931421">
        <w:rPr>
          <w:spacing w:val="4"/>
        </w:rPr>
        <w:t xml:space="preserve">States’ </w:t>
      </w:r>
      <w:r w:rsidR="00931421" w:rsidRPr="00B608BD">
        <w:rPr>
          <w:spacing w:val="4"/>
        </w:rPr>
        <w:t>dut</w:t>
      </w:r>
      <w:r w:rsidR="00931421">
        <w:rPr>
          <w:spacing w:val="4"/>
        </w:rPr>
        <w:t>ies</w:t>
      </w:r>
      <w:r w:rsidR="00931421" w:rsidRPr="00B608BD">
        <w:rPr>
          <w:spacing w:val="4"/>
        </w:rPr>
        <w:t>, regardless of political, economic and cultural systems, to promote and protect all human rights and fundamental freedoms</w:t>
      </w:r>
      <w:r w:rsidR="00931421">
        <w:rPr>
          <w:spacing w:val="4"/>
        </w:rPr>
        <w:t>,</w:t>
      </w:r>
      <w:r w:rsidR="00931421" w:rsidRPr="00B608BD">
        <w:rPr>
          <w:spacing w:val="4"/>
        </w:rPr>
        <w:t xml:space="preserve"> </w:t>
      </w:r>
      <w:r w:rsidR="00931421">
        <w:rPr>
          <w:spacing w:val="4"/>
        </w:rPr>
        <w:t>including the right to education (art. 5).</w:t>
      </w:r>
    </w:p>
    <w:p w14:paraId="6B613D3C" w14:textId="4C77E7EE" w:rsidR="00931421" w:rsidRPr="002245B5" w:rsidRDefault="00D3492F" w:rsidP="00D3492F">
      <w:pPr>
        <w:pStyle w:val="SingleTxtG"/>
        <w:rPr>
          <w:lang w:val="en-US"/>
        </w:rPr>
      </w:pPr>
      <w:r>
        <w:rPr>
          <w:lang w:val="en-US"/>
        </w:rPr>
        <w:t>3.</w:t>
      </w:r>
      <w:r>
        <w:rPr>
          <w:lang w:val="en-US"/>
        </w:rPr>
        <w:tab/>
      </w:r>
      <w:r w:rsidR="00931421">
        <w:rPr>
          <w:lang w:val="en-US"/>
        </w:rPr>
        <w:t xml:space="preserve">Over the years, a widening </w:t>
      </w:r>
      <w:r w:rsidR="00931421" w:rsidRPr="002245B5">
        <w:rPr>
          <w:lang w:val="en-US"/>
        </w:rPr>
        <w:t xml:space="preserve">consensus </w:t>
      </w:r>
      <w:r w:rsidR="00931421">
        <w:rPr>
          <w:lang w:val="en-US"/>
        </w:rPr>
        <w:t xml:space="preserve">has been achieved on </w:t>
      </w:r>
      <w:r w:rsidR="00931421" w:rsidRPr="002245B5">
        <w:rPr>
          <w:lang w:val="en-US"/>
        </w:rPr>
        <w:t>th</w:t>
      </w:r>
      <w:r w:rsidR="00931421">
        <w:rPr>
          <w:lang w:val="en-US"/>
        </w:rPr>
        <w:t xml:space="preserve">e </w:t>
      </w:r>
      <w:r w:rsidR="00931421" w:rsidRPr="002245B5">
        <w:rPr>
          <w:lang w:val="en-US"/>
        </w:rPr>
        <w:t xml:space="preserve">right </w:t>
      </w:r>
      <w:r w:rsidR="00931421">
        <w:rPr>
          <w:lang w:val="en-US"/>
        </w:rPr>
        <w:t>to education as</w:t>
      </w:r>
      <w:r w:rsidR="00931421" w:rsidRPr="002245B5">
        <w:rPr>
          <w:lang w:val="en-US"/>
        </w:rPr>
        <w:t xml:space="preserve"> an empowering right</w:t>
      </w:r>
      <w:r w:rsidR="00931421">
        <w:rPr>
          <w:lang w:val="en-US"/>
        </w:rPr>
        <w:t xml:space="preserve"> </w:t>
      </w:r>
      <w:r w:rsidR="00931421" w:rsidRPr="002245B5">
        <w:rPr>
          <w:lang w:val="en-US"/>
        </w:rPr>
        <w:t>to life-long learning for all</w:t>
      </w:r>
      <w:r w:rsidR="00931421">
        <w:rPr>
          <w:lang w:val="en-US"/>
        </w:rPr>
        <w:t xml:space="preserve"> and on the importance of </w:t>
      </w:r>
      <w:r w:rsidR="00931421" w:rsidRPr="002245B5">
        <w:rPr>
          <w:lang w:val="en-US"/>
        </w:rPr>
        <w:t xml:space="preserve">learning spaces </w:t>
      </w:r>
      <w:r w:rsidR="00931421">
        <w:rPr>
          <w:lang w:val="en-US"/>
        </w:rPr>
        <w:t>as</w:t>
      </w:r>
      <w:r w:rsidR="00931421" w:rsidRPr="002245B5">
        <w:rPr>
          <w:lang w:val="en-US"/>
        </w:rPr>
        <w:t xml:space="preserve"> platforms for </w:t>
      </w:r>
      <w:r w:rsidR="00931421" w:rsidRPr="002245B5">
        <w:t>child protection, inclusion</w:t>
      </w:r>
      <w:r w:rsidR="00931421">
        <w:t xml:space="preserve">, physical </w:t>
      </w:r>
      <w:r w:rsidR="00931421" w:rsidRPr="002245B5">
        <w:t>and mental health, psychosocial support, improved nutrition</w:t>
      </w:r>
      <w:r w:rsidR="00931421">
        <w:t xml:space="preserve">, </w:t>
      </w:r>
      <w:r w:rsidR="00931421" w:rsidRPr="002245B5">
        <w:t>the delivery of social services</w:t>
      </w:r>
      <w:r w:rsidR="00931421">
        <w:rPr>
          <w:lang w:val="en-US"/>
        </w:rPr>
        <w:t xml:space="preserve"> and the overall well-being and development of children</w:t>
      </w:r>
      <w:r w:rsidR="00931421" w:rsidRPr="002245B5">
        <w:rPr>
          <w:lang w:val="en-US"/>
        </w:rPr>
        <w:t xml:space="preserve">, their </w:t>
      </w:r>
      <w:proofErr w:type="gramStart"/>
      <w:r w:rsidR="00931421" w:rsidRPr="002245B5">
        <w:rPr>
          <w:lang w:val="en-US"/>
        </w:rPr>
        <w:t>families</w:t>
      </w:r>
      <w:proofErr w:type="gramEnd"/>
      <w:r w:rsidR="00931421" w:rsidRPr="002245B5">
        <w:rPr>
          <w:lang w:val="en-US"/>
        </w:rPr>
        <w:t xml:space="preserve"> and communities.</w:t>
      </w:r>
    </w:p>
    <w:p w14:paraId="50FDA9E2" w14:textId="05D65FAB" w:rsidR="00931421" w:rsidRPr="00B43C28" w:rsidRDefault="00D3492F" w:rsidP="00D3492F">
      <w:pPr>
        <w:pStyle w:val="SingleTxtG"/>
        <w:rPr>
          <w:lang w:val="en-US"/>
        </w:rPr>
      </w:pPr>
      <w:r>
        <w:rPr>
          <w:lang w:val="en-US"/>
        </w:rPr>
        <w:t>4.</w:t>
      </w:r>
      <w:r>
        <w:rPr>
          <w:lang w:val="en-US"/>
        </w:rPr>
        <w:tab/>
      </w:r>
      <w:r w:rsidR="00931421">
        <w:rPr>
          <w:lang w:val="en-US"/>
        </w:rPr>
        <w:t>R</w:t>
      </w:r>
      <w:r w:rsidR="00931421" w:rsidRPr="00B43C28">
        <w:rPr>
          <w:lang w:val="en-US"/>
        </w:rPr>
        <w:t>ealiz</w:t>
      </w:r>
      <w:r w:rsidR="00931421">
        <w:rPr>
          <w:lang w:val="en-US"/>
        </w:rPr>
        <w:t>ing</w:t>
      </w:r>
      <w:r w:rsidR="00931421" w:rsidRPr="00B43C28">
        <w:rPr>
          <w:lang w:val="en-US"/>
        </w:rPr>
        <w:t xml:space="preserve"> the right to education</w:t>
      </w:r>
      <w:r w:rsidR="00931421">
        <w:rPr>
          <w:lang w:val="en-US"/>
        </w:rPr>
        <w:t xml:space="preserve"> confronts many challenges, however</w:t>
      </w:r>
      <w:r w:rsidR="00931421" w:rsidRPr="00B43C28">
        <w:rPr>
          <w:lang w:val="en-US"/>
        </w:rPr>
        <w:t>.</w:t>
      </w:r>
      <w:r w:rsidR="00931421">
        <w:rPr>
          <w:lang w:val="en-US"/>
        </w:rPr>
        <w:t xml:space="preserve"> W</w:t>
      </w:r>
      <w:r w:rsidR="00931421" w:rsidRPr="00B43C28">
        <w:rPr>
          <w:lang w:val="en-US"/>
        </w:rPr>
        <w:t>orldwide</w:t>
      </w:r>
      <w:r w:rsidR="00931421">
        <w:rPr>
          <w:lang w:val="en-US"/>
        </w:rPr>
        <w:t>,</w:t>
      </w:r>
      <w:r w:rsidR="00931421" w:rsidRPr="00B43C28">
        <w:rPr>
          <w:lang w:val="en-US"/>
        </w:rPr>
        <w:t xml:space="preserve"> in 2021</w:t>
      </w:r>
      <w:r w:rsidR="00931421">
        <w:rPr>
          <w:lang w:val="en-US"/>
        </w:rPr>
        <w:t xml:space="preserve">, </w:t>
      </w:r>
      <w:r w:rsidR="00931421" w:rsidRPr="00B43C28">
        <w:rPr>
          <w:lang w:val="en-US"/>
        </w:rPr>
        <w:t>244 million children age</w:t>
      </w:r>
      <w:r w:rsidR="00931421">
        <w:rPr>
          <w:lang w:val="en-US"/>
        </w:rPr>
        <w:t>d</w:t>
      </w:r>
      <w:r w:rsidR="00931421" w:rsidRPr="00B43C28">
        <w:rPr>
          <w:lang w:val="en-US"/>
        </w:rPr>
        <w:t xml:space="preserve"> 6</w:t>
      </w:r>
      <w:r w:rsidR="00931421">
        <w:rPr>
          <w:lang w:val="en-US"/>
        </w:rPr>
        <w:t>-</w:t>
      </w:r>
      <w:r w:rsidR="00931421" w:rsidRPr="00B43C28">
        <w:rPr>
          <w:lang w:val="en-US"/>
        </w:rPr>
        <w:t>18 were out o</w:t>
      </w:r>
      <w:r w:rsidR="00931421">
        <w:rPr>
          <w:lang w:val="en-US"/>
        </w:rPr>
        <w:t>f</w:t>
      </w:r>
      <w:r w:rsidR="00931421" w:rsidRPr="00B43C28">
        <w:rPr>
          <w:lang w:val="en-US"/>
        </w:rPr>
        <w:t xml:space="preserve"> school</w:t>
      </w:r>
      <w:r w:rsidR="00931421">
        <w:rPr>
          <w:lang w:val="en-US"/>
        </w:rPr>
        <w:t>.</w:t>
      </w:r>
      <w:r w:rsidR="007A5E85">
        <w:rPr>
          <w:rStyle w:val="FootnoteReference"/>
          <w:lang w:val="en-US"/>
        </w:rPr>
        <w:footnoteReference w:id="3"/>
      </w:r>
      <w:r w:rsidR="00931421" w:rsidRPr="00B43C28">
        <w:t xml:space="preserve"> </w:t>
      </w:r>
      <w:r w:rsidR="00931421">
        <w:rPr>
          <w:lang w:val="en-US"/>
        </w:rPr>
        <w:t>E</w:t>
      </w:r>
      <w:r w:rsidR="00931421" w:rsidRPr="00B43C28">
        <w:rPr>
          <w:lang w:val="en-US"/>
        </w:rPr>
        <w:t xml:space="preserve">ducation sectors </w:t>
      </w:r>
      <w:r w:rsidR="00931421">
        <w:rPr>
          <w:lang w:val="en-US"/>
        </w:rPr>
        <w:t xml:space="preserve">were </w:t>
      </w:r>
      <w:r w:rsidR="00931421" w:rsidRPr="00B43C28">
        <w:rPr>
          <w:lang w:val="en-US"/>
        </w:rPr>
        <w:t>hard</w:t>
      </w:r>
      <w:r w:rsidR="00931421">
        <w:rPr>
          <w:lang w:val="en-US"/>
        </w:rPr>
        <w:t xml:space="preserve">-hit by Covid19, whose fallout </w:t>
      </w:r>
      <w:r w:rsidR="00931421" w:rsidRPr="00B43C28">
        <w:rPr>
          <w:lang w:val="en-US"/>
        </w:rPr>
        <w:t>further jeopardiz</w:t>
      </w:r>
      <w:r w:rsidR="00931421">
        <w:rPr>
          <w:lang w:val="en-US"/>
        </w:rPr>
        <w:t>es</w:t>
      </w:r>
      <w:r w:rsidR="00931421" w:rsidRPr="00B43C28">
        <w:rPr>
          <w:lang w:val="en-US"/>
        </w:rPr>
        <w:t xml:space="preserve"> Sustainable Development Goal 4 </w:t>
      </w:r>
      <w:r w:rsidR="00931421">
        <w:rPr>
          <w:lang w:val="en-US"/>
        </w:rPr>
        <w:t xml:space="preserve">(SDG4) </w:t>
      </w:r>
      <w:r w:rsidR="00931421" w:rsidRPr="00B43C28">
        <w:rPr>
          <w:lang w:val="en-US"/>
        </w:rPr>
        <w:t>to ensure inclusive and equitable quality education and promote lifelong learning for all.</w:t>
      </w:r>
      <w:r w:rsidR="007A5E85">
        <w:rPr>
          <w:rStyle w:val="FootnoteReference"/>
          <w:lang w:val="en-US"/>
        </w:rPr>
        <w:footnoteReference w:id="4"/>
      </w:r>
      <w:r w:rsidR="00931421" w:rsidRPr="00B43C28">
        <w:rPr>
          <w:lang w:val="en-US"/>
        </w:rPr>
        <w:t xml:space="preserve"> </w:t>
      </w:r>
      <w:r w:rsidR="00931421">
        <w:rPr>
          <w:lang w:val="en-US"/>
        </w:rPr>
        <w:t>In many places, e</w:t>
      </w:r>
      <w:r w:rsidR="00931421" w:rsidRPr="00B43C28">
        <w:rPr>
          <w:lang w:val="en-US"/>
        </w:rPr>
        <w:t>ducation</w:t>
      </w:r>
      <w:r w:rsidR="00931421">
        <w:rPr>
          <w:lang w:val="en-US"/>
        </w:rPr>
        <w:t xml:space="preserve"> confronts </w:t>
      </w:r>
      <w:r w:rsidR="00931421" w:rsidRPr="00B43C28">
        <w:rPr>
          <w:lang w:val="en-US"/>
        </w:rPr>
        <w:t xml:space="preserve">emergencies because of conflicts or environmental disasters </w:t>
      </w:r>
      <w:r w:rsidR="00931421">
        <w:rPr>
          <w:lang w:val="en-US"/>
        </w:rPr>
        <w:t xml:space="preserve">but systems </w:t>
      </w:r>
      <w:r w:rsidR="00931421" w:rsidRPr="00B43C28">
        <w:rPr>
          <w:lang w:val="en-US"/>
        </w:rPr>
        <w:t xml:space="preserve">lack resilience. </w:t>
      </w:r>
      <w:r w:rsidR="00931421">
        <w:t xml:space="preserve">An estimated 222 million </w:t>
      </w:r>
      <w:r w:rsidR="00931421" w:rsidRPr="008E0269">
        <w:t>crisis-affected children and adolescents need education support</w:t>
      </w:r>
      <w:r w:rsidR="00931421">
        <w:t>,</w:t>
      </w:r>
      <w:r w:rsidR="007A5E85">
        <w:rPr>
          <w:rStyle w:val="FootnoteReference"/>
        </w:rPr>
        <w:footnoteReference w:id="5"/>
      </w:r>
      <w:r w:rsidR="00931421">
        <w:t xml:space="preserve"> while</w:t>
      </w:r>
      <w:r w:rsidR="00931421" w:rsidRPr="008E0269">
        <w:t xml:space="preserve"> </w:t>
      </w:r>
      <w:r w:rsidR="00931421">
        <w:t>773 million adults, mostly women, are illiterate.</w:t>
      </w:r>
      <w:r w:rsidR="007A5E85">
        <w:rPr>
          <w:rStyle w:val="FootnoteReference"/>
        </w:rPr>
        <w:footnoteReference w:id="6"/>
      </w:r>
      <w:r w:rsidR="00931421">
        <w:t xml:space="preserve"> </w:t>
      </w:r>
      <w:r w:rsidR="00931421" w:rsidRPr="00B43C28">
        <w:rPr>
          <w:lang w:val="en-US"/>
        </w:rPr>
        <w:t>Worldwide</w:t>
      </w:r>
      <w:r w:rsidR="00931421">
        <w:rPr>
          <w:lang w:val="en-US"/>
        </w:rPr>
        <w:t>,</w:t>
      </w:r>
      <w:r w:rsidR="00931421" w:rsidRPr="00B43C28">
        <w:rPr>
          <w:lang w:val="en-US"/>
        </w:rPr>
        <w:t xml:space="preserve"> poverty and inequalit</w:t>
      </w:r>
      <w:r w:rsidR="00931421">
        <w:rPr>
          <w:lang w:val="en-US"/>
        </w:rPr>
        <w:t>y</w:t>
      </w:r>
      <w:r w:rsidR="00931421" w:rsidRPr="00B43C28">
        <w:rPr>
          <w:lang w:val="en-US"/>
        </w:rPr>
        <w:t xml:space="preserve"> </w:t>
      </w:r>
      <w:r w:rsidR="00931421">
        <w:rPr>
          <w:lang w:val="en-US"/>
        </w:rPr>
        <w:t>remain</w:t>
      </w:r>
      <w:r w:rsidR="00931421" w:rsidRPr="00B43C28">
        <w:rPr>
          <w:lang w:val="en-US"/>
        </w:rPr>
        <w:t xml:space="preserve"> striking, </w:t>
      </w:r>
      <w:r w:rsidR="00931421">
        <w:rPr>
          <w:lang w:val="en-US"/>
        </w:rPr>
        <w:t>with</w:t>
      </w:r>
      <w:r w:rsidR="00931421" w:rsidRPr="00B43C28">
        <w:rPr>
          <w:lang w:val="en-US"/>
        </w:rPr>
        <w:t xml:space="preserve"> </w:t>
      </w:r>
      <w:r w:rsidR="00931421">
        <w:rPr>
          <w:lang w:val="en-US"/>
        </w:rPr>
        <w:t xml:space="preserve">too often weak </w:t>
      </w:r>
      <w:r w:rsidR="00931421" w:rsidRPr="00B43C28">
        <w:rPr>
          <w:lang w:val="en-US"/>
        </w:rPr>
        <w:t xml:space="preserve">mobilization of </w:t>
      </w:r>
      <w:r w:rsidR="00931421">
        <w:rPr>
          <w:lang w:val="en-US"/>
        </w:rPr>
        <w:t xml:space="preserve">domestic </w:t>
      </w:r>
      <w:r w:rsidR="00931421" w:rsidRPr="00B43C28">
        <w:rPr>
          <w:lang w:val="en-US"/>
        </w:rPr>
        <w:t>financial resources. Further</w:t>
      </w:r>
      <w:r w:rsidR="00931421">
        <w:rPr>
          <w:lang w:val="en-US"/>
        </w:rPr>
        <w:t>more</w:t>
      </w:r>
      <w:r w:rsidR="00931421" w:rsidRPr="00B43C28">
        <w:rPr>
          <w:lang w:val="en-US"/>
        </w:rPr>
        <w:t xml:space="preserve">, </w:t>
      </w:r>
      <w:r w:rsidR="00931421">
        <w:rPr>
          <w:lang w:val="en-US"/>
        </w:rPr>
        <w:t xml:space="preserve">school </w:t>
      </w:r>
      <w:r w:rsidR="00931421" w:rsidRPr="00B43C28">
        <w:rPr>
          <w:lang w:val="en-US"/>
        </w:rPr>
        <w:t xml:space="preserve">access does not always result in </w:t>
      </w:r>
      <w:r w:rsidR="00931421">
        <w:rPr>
          <w:lang w:val="en-US"/>
        </w:rPr>
        <w:t>effective</w:t>
      </w:r>
      <w:r w:rsidR="00931421" w:rsidRPr="00B43C28">
        <w:rPr>
          <w:lang w:val="en-US"/>
        </w:rPr>
        <w:t xml:space="preserve"> learning </w:t>
      </w:r>
      <w:r w:rsidR="00931421">
        <w:rPr>
          <w:lang w:val="en-US"/>
        </w:rPr>
        <w:t xml:space="preserve">or </w:t>
      </w:r>
      <w:r w:rsidR="00931421" w:rsidRPr="00B43C28">
        <w:rPr>
          <w:lang w:val="en-US"/>
        </w:rPr>
        <w:t xml:space="preserve">empowerment. In many countries, increased </w:t>
      </w:r>
      <w:r w:rsidR="00931421">
        <w:rPr>
          <w:lang w:val="en-US"/>
        </w:rPr>
        <w:t xml:space="preserve">societal </w:t>
      </w:r>
      <w:r w:rsidR="00931421" w:rsidRPr="00B43C28">
        <w:rPr>
          <w:lang w:val="en-US"/>
        </w:rPr>
        <w:t>polarization</w:t>
      </w:r>
      <w:r w:rsidR="00931421">
        <w:rPr>
          <w:lang w:val="en-US"/>
        </w:rPr>
        <w:t xml:space="preserve"> around </w:t>
      </w:r>
      <w:r w:rsidR="00931421" w:rsidRPr="00B43C28">
        <w:rPr>
          <w:lang w:val="en-US"/>
        </w:rPr>
        <w:t xml:space="preserve">cultural diversity, history teaching, decolonization of curricula, critical race and gender theories, </w:t>
      </w:r>
      <w:r w:rsidR="00931421">
        <w:rPr>
          <w:lang w:val="en-US"/>
        </w:rPr>
        <w:t xml:space="preserve">and </w:t>
      </w:r>
      <w:r w:rsidR="00931421" w:rsidRPr="00B43C28">
        <w:rPr>
          <w:lang w:val="en-US"/>
        </w:rPr>
        <w:t>comprehensive sexual education</w:t>
      </w:r>
      <w:r w:rsidR="00931421" w:rsidRPr="009651F2">
        <w:rPr>
          <w:lang w:val="en-US"/>
        </w:rPr>
        <w:t xml:space="preserve"> impacts educational systems, </w:t>
      </w:r>
      <w:r w:rsidR="00931421">
        <w:rPr>
          <w:lang w:val="en-US"/>
        </w:rPr>
        <w:t>compounded by</w:t>
      </w:r>
      <w:r w:rsidR="00931421" w:rsidRPr="009651F2">
        <w:rPr>
          <w:lang w:val="en-US"/>
        </w:rPr>
        <w:t xml:space="preserve"> </w:t>
      </w:r>
      <w:r w:rsidR="00931421">
        <w:rPr>
          <w:lang w:val="en-US"/>
        </w:rPr>
        <w:t>insufficient protection of</w:t>
      </w:r>
      <w:r w:rsidR="00931421" w:rsidRPr="00B43C28">
        <w:rPr>
          <w:lang w:val="en-US"/>
        </w:rPr>
        <w:t xml:space="preserve"> academic freedoms. </w:t>
      </w:r>
    </w:p>
    <w:p w14:paraId="5F6A2DE7" w14:textId="5A11FFCC" w:rsidR="00931421" w:rsidRPr="001813D3" w:rsidRDefault="00D3492F" w:rsidP="00D3492F">
      <w:pPr>
        <w:pStyle w:val="SingleTxtG"/>
        <w:rPr>
          <w:lang w:val="en-US"/>
        </w:rPr>
      </w:pPr>
      <w:r>
        <w:rPr>
          <w:lang w:val="en-US"/>
        </w:rPr>
        <w:t>5.</w:t>
      </w:r>
      <w:r>
        <w:rPr>
          <w:lang w:val="en-US"/>
        </w:rPr>
        <w:tab/>
      </w:r>
      <w:r w:rsidR="00931421" w:rsidRPr="00B43C28">
        <w:rPr>
          <w:lang w:val="en-US"/>
        </w:rPr>
        <w:t>A renewed social contract for education</w:t>
      </w:r>
      <w:r w:rsidR="00931421">
        <w:rPr>
          <w:lang w:val="en-US"/>
        </w:rPr>
        <w:t>,</w:t>
      </w:r>
      <w:r w:rsidR="00931421" w:rsidRPr="00B43C28">
        <w:rPr>
          <w:lang w:val="en-US"/>
        </w:rPr>
        <w:t xml:space="preserve"> anchored </w:t>
      </w:r>
      <w:r w:rsidR="00931421">
        <w:rPr>
          <w:lang w:val="en-US"/>
        </w:rPr>
        <w:t>with</w:t>
      </w:r>
      <w:r w:rsidR="00931421" w:rsidRPr="00B43C28">
        <w:rPr>
          <w:lang w:val="en-US"/>
        </w:rPr>
        <w:t xml:space="preserve">in </w:t>
      </w:r>
      <w:r w:rsidR="00931421">
        <w:rPr>
          <w:lang w:val="en-US"/>
        </w:rPr>
        <w:t>a</w:t>
      </w:r>
      <w:r w:rsidR="00931421" w:rsidRPr="00B43C28">
        <w:rPr>
          <w:lang w:val="en-US"/>
        </w:rPr>
        <w:t xml:space="preserve"> human rights</w:t>
      </w:r>
      <w:r w:rsidR="00931421">
        <w:rPr>
          <w:lang w:val="en-US"/>
        </w:rPr>
        <w:t xml:space="preserve"> framework, is vital</w:t>
      </w:r>
      <w:r w:rsidR="00931421" w:rsidRPr="00B43C28">
        <w:rPr>
          <w:lang w:val="en-US"/>
        </w:rPr>
        <w:t xml:space="preserve">, </w:t>
      </w:r>
      <w:r w:rsidR="00931421">
        <w:rPr>
          <w:lang w:val="en-US"/>
        </w:rPr>
        <w:t xml:space="preserve">as </w:t>
      </w:r>
      <w:r w:rsidR="00931421" w:rsidRPr="00B43C28">
        <w:rPr>
          <w:lang w:val="en-US"/>
        </w:rPr>
        <w:t xml:space="preserve">called </w:t>
      </w:r>
      <w:r w:rsidR="00931421">
        <w:rPr>
          <w:lang w:val="en-US"/>
        </w:rPr>
        <w:t xml:space="preserve">for </w:t>
      </w:r>
      <w:r w:rsidR="00931421" w:rsidRPr="00B43C28">
        <w:rPr>
          <w:lang w:val="en-US"/>
        </w:rPr>
        <w:t>by the United Nations Secretary General</w:t>
      </w:r>
      <w:r w:rsidR="00931421">
        <w:rPr>
          <w:lang w:val="en-US"/>
        </w:rPr>
        <w:t>’s</w:t>
      </w:r>
      <w:r w:rsidR="00931421" w:rsidRPr="00B43C28">
        <w:rPr>
          <w:lang w:val="en-US"/>
        </w:rPr>
        <w:t xml:space="preserve"> </w:t>
      </w:r>
      <w:r w:rsidR="00931421" w:rsidRPr="00785169">
        <w:rPr>
          <w:lang w:val="en-US"/>
        </w:rPr>
        <w:t>Common</w:t>
      </w:r>
      <w:r w:rsidR="00931421" w:rsidRPr="00B43C28">
        <w:rPr>
          <w:lang w:val="en-US"/>
        </w:rPr>
        <w:t xml:space="preserve"> Agenda</w:t>
      </w:r>
      <w:r w:rsidR="00931421">
        <w:rPr>
          <w:lang w:val="en-US"/>
        </w:rPr>
        <w:t>,</w:t>
      </w:r>
      <w:r w:rsidR="007A5E85">
        <w:rPr>
          <w:rStyle w:val="FootnoteReference"/>
          <w:lang w:val="en-US"/>
        </w:rPr>
        <w:footnoteReference w:id="7"/>
      </w:r>
      <w:r w:rsidR="00931421" w:rsidRPr="00B43C28">
        <w:rPr>
          <w:lang w:val="en-US"/>
        </w:rPr>
        <w:t xml:space="preserve"> and the </w:t>
      </w:r>
      <w:r w:rsidR="00931421">
        <w:rPr>
          <w:lang w:val="en-US"/>
        </w:rPr>
        <w:t xml:space="preserve">UNESCO-led </w:t>
      </w:r>
      <w:r w:rsidR="00931421" w:rsidRPr="00B43C28">
        <w:rPr>
          <w:lang w:val="en-US"/>
        </w:rPr>
        <w:t>International Commission on the Futures of Education (</w:t>
      </w:r>
      <w:r w:rsidR="00931421">
        <w:rPr>
          <w:lang w:val="en-US"/>
        </w:rPr>
        <w:t>henceforth ‘</w:t>
      </w:r>
      <w:r w:rsidR="00931421" w:rsidRPr="00B43C28">
        <w:rPr>
          <w:lang w:val="en-US"/>
        </w:rPr>
        <w:t>UNESCO</w:t>
      </w:r>
      <w:r w:rsidR="00931421">
        <w:rPr>
          <w:lang w:val="en-US"/>
        </w:rPr>
        <w:t xml:space="preserve"> </w:t>
      </w:r>
      <w:r w:rsidR="00931421" w:rsidRPr="00B43C28">
        <w:rPr>
          <w:lang w:val="en-US"/>
        </w:rPr>
        <w:t>Commission</w:t>
      </w:r>
      <w:r w:rsidR="00931421">
        <w:rPr>
          <w:lang w:val="en-US"/>
        </w:rPr>
        <w:t>’</w:t>
      </w:r>
      <w:r w:rsidR="00931421" w:rsidRPr="00B43C28">
        <w:rPr>
          <w:lang w:val="en-US"/>
        </w:rPr>
        <w:t xml:space="preserve">). </w:t>
      </w:r>
      <w:r w:rsidR="00931421">
        <w:rPr>
          <w:lang w:val="en-US"/>
        </w:rPr>
        <w:t>T</w:t>
      </w:r>
      <w:r w:rsidR="00931421" w:rsidRPr="00B43C28">
        <w:rPr>
          <w:lang w:val="en-US"/>
        </w:rPr>
        <w:t xml:space="preserve">he </w:t>
      </w:r>
      <w:r w:rsidR="00931421">
        <w:rPr>
          <w:lang w:val="en-US"/>
        </w:rPr>
        <w:t xml:space="preserve">UNESCO </w:t>
      </w:r>
      <w:r w:rsidR="00931421" w:rsidRPr="00B43C28">
        <w:rPr>
          <w:lang w:val="en-US"/>
        </w:rPr>
        <w:t>Commission</w:t>
      </w:r>
      <w:r w:rsidR="00931421">
        <w:rPr>
          <w:lang w:val="en-US"/>
        </w:rPr>
        <w:t>’s landmark 2022 report</w:t>
      </w:r>
      <w:r w:rsidR="00931421" w:rsidRPr="00B43C28">
        <w:rPr>
          <w:lang w:val="en-US"/>
        </w:rPr>
        <w:t xml:space="preserve"> </w:t>
      </w:r>
      <w:r w:rsidR="00931421">
        <w:rPr>
          <w:lang w:val="en-US"/>
        </w:rPr>
        <w:t xml:space="preserve">underscored that this </w:t>
      </w:r>
      <w:r w:rsidR="00931421" w:rsidRPr="00B43C28">
        <w:rPr>
          <w:lang w:val="en-US"/>
        </w:rPr>
        <w:t xml:space="preserve">new social contract </w:t>
      </w:r>
      <w:r w:rsidR="00931421">
        <w:rPr>
          <w:lang w:val="en-US"/>
        </w:rPr>
        <w:t xml:space="preserve">must be firmly grounded </w:t>
      </w:r>
      <w:r w:rsidR="00931421" w:rsidRPr="00B43C28">
        <w:rPr>
          <w:lang w:val="en-US"/>
        </w:rPr>
        <w:t>in two foundational principles: an expanded vision of the right to education through</w:t>
      </w:r>
      <w:r w:rsidR="00931421">
        <w:rPr>
          <w:lang w:val="en-US"/>
        </w:rPr>
        <w:t>out</w:t>
      </w:r>
      <w:r w:rsidR="00931421" w:rsidRPr="00B43C28">
        <w:rPr>
          <w:lang w:val="en-US"/>
        </w:rPr>
        <w:t xml:space="preserve"> life</w:t>
      </w:r>
      <w:r w:rsidR="00931421">
        <w:rPr>
          <w:lang w:val="en-US"/>
        </w:rPr>
        <w:t>,</w:t>
      </w:r>
      <w:r w:rsidR="00931421" w:rsidRPr="00B43C28">
        <w:rPr>
          <w:lang w:val="en-US"/>
        </w:rPr>
        <w:t xml:space="preserve"> and a commitment to education as a public societal endeavor and a common good.</w:t>
      </w:r>
      <w:r w:rsidR="007A5E85">
        <w:rPr>
          <w:rStyle w:val="FootnoteReference"/>
          <w:lang w:val="en-US"/>
        </w:rPr>
        <w:footnoteReference w:id="8"/>
      </w:r>
      <w:r w:rsidR="00931421" w:rsidRPr="00B43C28">
        <w:rPr>
          <w:lang w:val="en-US"/>
        </w:rPr>
        <w:t xml:space="preserve"> </w:t>
      </w:r>
      <w:r w:rsidR="00931421">
        <w:rPr>
          <w:lang w:val="en-US"/>
        </w:rPr>
        <w:t>This</w:t>
      </w:r>
      <w:r w:rsidR="00931421" w:rsidRPr="00B43C28">
        <w:rPr>
          <w:lang w:val="en-US"/>
        </w:rPr>
        <w:t xml:space="preserve"> new social contract</w:t>
      </w:r>
      <w:r w:rsidR="00931421">
        <w:rPr>
          <w:lang w:val="en-US"/>
        </w:rPr>
        <w:t xml:space="preserve"> is necessary </w:t>
      </w:r>
      <w:r w:rsidR="00931421" w:rsidRPr="00B43C28">
        <w:rPr>
          <w:lang w:val="en-US"/>
        </w:rPr>
        <w:t>at the global</w:t>
      </w:r>
      <w:r w:rsidR="00931421">
        <w:rPr>
          <w:lang w:val="en-US"/>
        </w:rPr>
        <w:t>,</w:t>
      </w:r>
      <w:r w:rsidR="00931421" w:rsidRPr="00B43C28">
        <w:rPr>
          <w:lang w:val="en-US"/>
        </w:rPr>
        <w:t xml:space="preserve"> </w:t>
      </w:r>
      <w:proofErr w:type="gramStart"/>
      <w:r w:rsidR="00931421" w:rsidRPr="00B43C28">
        <w:rPr>
          <w:lang w:val="en-US"/>
        </w:rPr>
        <w:t>national</w:t>
      </w:r>
      <w:proofErr w:type="gramEnd"/>
      <w:r w:rsidR="00931421" w:rsidRPr="00B43C28">
        <w:rPr>
          <w:lang w:val="en-US"/>
        </w:rPr>
        <w:t xml:space="preserve"> and local levels.</w:t>
      </w:r>
    </w:p>
    <w:p w14:paraId="076FCDD7" w14:textId="27D3BE10" w:rsidR="00931421" w:rsidRPr="00103F6B" w:rsidRDefault="00D3492F" w:rsidP="00D3492F">
      <w:pPr>
        <w:pStyle w:val="SingleTxtG"/>
        <w:rPr>
          <w:lang w:val="en-US"/>
        </w:rPr>
      </w:pPr>
      <w:r>
        <w:rPr>
          <w:lang w:val="en-US"/>
        </w:rPr>
        <w:t>6.</w:t>
      </w:r>
      <w:r>
        <w:rPr>
          <w:lang w:val="en-US"/>
        </w:rPr>
        <w:tab/>
      </w:r>
      <w:r w:rsidR="00931421" w:rsidRPr="00103F6B">
        <w:rPr>
          <w:lang w:val="en-US"/>
        </w:rPr>
        <w:t>The principles underpinning the UNESCO Commission’s recommendations concur with the vision developed by successive education mandate</w:t>
      </w:r>
      <w:r w:rsidR="00931421">
        <w:rPr>
          <w:lang w:val="en-US"/>
        </w:rPr>
        <w:t>-</w:t>
      </w:r>
      <w:r w:rsidR="00931421" w:rsidRPr="00103F6B">
        <w:rPr>
          <w:lang w:val="en-US"/>
        </w:rPr>
        <w:t>holders over the years. This report reviews the achievements around the right to education and contemporary understanding of the ensuing obligations it entails, to better address critical emerging and persistent issues.</w:t>
      </w:r>
    </w:p>
    <w:p w14:paraId="67385931" w14:textId="5F78D475" w:rsidR="00931421" w:rsidRPr="00B43C28" w:rsidRDefault="00D3492F" w:rsidP="00D3492F">
      <w:pPr>
        <w:pStyle w:val="SingleTxtG"/>
        <w:rPr>
          <w:lang w:val="en-US"/>
        </w:rPr>
      </w:pPr>
      <w:r>
        <w:rPr>
          <w:lang w:val="en-US"/>
        </w:rPr>
        <w:t>7.</w:t>
      </w:r>
      <w:r>
        <w:rPr>
          <w:lang w:val="en-US"/>
        </w:rPr>
        <w:tab/>
      </w:r>
      <w:r w:rsidR="00931421" w:rsidRPr="00B43C28">
        <w:rPr>
          <w:lang w:val="en-US"/>
        </w:rPr>
        <w:t>The Special Rapporteur is</w:t>
      </w:r>
      <w:r w:rsidR="00931421" w:rsidRPr="00B43C28">
        <w:t xml:space="preserve"> grateful to the numerous States, public authorities, national human rights institutions and other national bodies, non-governmental organizations and experts who </w:t>
      </w:r>
      <w:r w:rsidR="00931421">
        <w:t>responded</w:t>
      </w:r>
      <w:r w:rsidR="00931421" w:rsidRPr="00B43C28">
        <w:t xml:space="preserve"> to her </w:t>
      </w:r>
      <w:r w:rsidR="00931421">
        <w:t>call for contributions. Although it was not possible to reference them all, they all substantially informed this report.</w:t>
      </w:r>
      <w:r w:rsidR="00221ACB">
        <w:rPr>
          <w:rStyle w:val="FootnoteReference"/>
        </w:rPr>
        <w:footnoteReference w:id="9"/>
      </w:r>
      <w:r w:rsidR="00931421" w:rsidRPr="00B43C28">
        <w:t xml:space="preserve"> </w:t>
      </w:r>
    </w:p>
    <w:p w14:paraId="7DB9A77A" w14:textId="5896922B" w:rsidR="00931421" w:rsidRPr="00C824D1" w:rsidRDefault="00C824D1" w:rsidP="00C824D1">
      <w:pPr>
        <w:pStyle w:val="HChG"/>
      </w:pPr>
      <w:r>
        <w:lastRenderedPageBreak/>
        <w:tab/>
      </w:r>
      <w:r w:rsidRPr="00C824D1">
        <w:t>II.</w:t>
      </w:r>
      <w:r>
        <w:tab/>
      </w:r>
      <w:r w:rsidR="00931421" w:rsidRPr="00C824D1">
        <w:t xml:space="preserve">Legal and monitoring frameworks </w:t>
      </w:r>
    </w:p>
    <w:p w14:paraId="7B795F33" w14:textId="4A9526B1" w:rsidR="00931421" w:rsidRPr="00B43C28" w:rsidRDefault="0016467D" w:rsidP="0016467D">
      <w:pPr>
        <w:pStyle w:val="H1G"/>
        <w:rPr>
          <w:lang w:val="en-US"/>
        </w:rPr>
      </w:pPr>
      <w:r>
        <w:rPr>
          <w:lang w:val="en-US"/>
        </w:rPr>
        <w:tab/>
        <w:t>A.</w:t>
      </w:r>
      <w:r>
        <w:rPr>
          <w:lang w:val="en-US"/>
        </w:rPr>
        <w:tab/>
      </w:r>
      <w:r w:rsidR="00931421" w:rsidRPr="0016467D">
        <w:t>Universal acceptance of the right to education, a norm of international customary law</w:t>
      </w:r>
      <w:r w:rsidR="00931421" w:rsidRPr="00B43C28">
        <w:rPr>
          <w:lang w:val="en-US"/>
        </w:rPr>
        <w:t xml:space="preserve"> </w:t>
      </w:r>
    </w:p>
    <w:p w14:paraId="6CB78D69" w14:textId="34139698" w:rsidR="00931421" w:rsidRPr="00B43C28" w:rsidRDefault="00625316" w:rsidP="00625316">
      <w:pPr>
        <w:pStyle w:val="SingleTxtG"/>
        <w:rPr>
          <w:lang w:val="en-US"/>
        </w:rPr>
      </w:pPr>
      <w:r>
        <w:rPr>
          <w:lang w:val="en-US"/>
        </w:rPr>
        <w:t>8.</w:t>
      </w:r>
      <w:r>
        <w:rPr>
          <w:lang w:val="en-US"/>
        </w:rPr>
        <w:tab/>
      </w:r>
      <w:r w:rsidR="00931421">
        <w:rPr>
          <w:lang w:val="en-US"/>
        </w:rPr>
        <w:t xml:space="preserve">Considerable </w:t>
      </w:r>
      <w:r w:rsidR="00931421" w:rsidRPr="00B43C28">
        <w:rPr>
          <w:lang w:val="en-US"/>
        </w:rPr>
        <w:t>evidence</w:t>
      </w:r>
      <w:r w:rsidR="00931421" w:rsidRPr="00BB00BB">
        <w:rPr>
          <w:lang w:val="en-US"/>
        </w:rPr>
        <w:t xml:space="preserve"> </w:t>
      </w:r>
      <w:r w:rsidR="00931421">
        <w:rPr>
          <w:lang w:val="en-US"/>
        </w:rPr>
        <w:t xml:space="preserve">supports </w:t>
      </w:r>
      <w:r w:rsidR="00931421" w:rsidRPr="00B43C28">
        <w:rPr>
          <w:lang w:val="en-US"/>
        </w:rPr>
        <w:t xml:space="preserve">the right to education </w:t>
      </w:r>
      <w:r w:rsidR="00931421">
        <w:rPr>
          <w:lang w:val="en-US"/>
        </w:rPr>
        <w:t>a</w:t>
      </w:r>
      <w:r w:rsidR="00931421" w:rsidRPr="00B43C28">
        <w:rPr>
          <w:lang w:val="en-US"/>
        </w:rPr>
        <w:t>s a norm of international customary law, based on the universality of treaty provisions</w:t>
      </w:r>
      <w:r w:rsidR="00931421">
        <w:rPr>
          <w:lang w:val="en-US"/>
        </w:rPr>
        <w:t>,</w:t>
      </w:r>
      <w:r w:rsidR="00931421" w:rsidRPr="00785169">
        <w:rPr>
          <w:lang w:val="en-US"/>
        </w:rPr>
        <w:t xml:space="preserve"> </w:t>
      </w:r>
      <w:r w:rsidR="00931421" w:rsidRPr="00B43C28">
        <w:rPr>
          <w:lang w:val="en-US"/>
        </w:rPr>
        <w:t xml:space="preserve">practice at national level, and States’ engagement with monitoring mechanisms. </w:t>
      </w:r>
      <w:r w:rsidR="00931421">
        <w:rPr>
          <w:lang w:val="en-US"/>
        </w:rPr>
        <w:t>Indeed</w:t>
      </w:r>
      <w:r w:rsidR="00931421" w:rsidRPr="00B43C28">
        <w:rPr>
          <w:lang w:val="en-US"/>
        </w:rPr>
        <w:t>, “there may be no better case for recognition of a fundamental human right as a matter of customary international law than the right to education”.</w:t>
      </w:r>
      <w:r w:rsidR="00931421" w:rsidRPr="00B43C28">
        <w:rPr>
          <w:rStyle w:val="FootnoteReference"/>
        </w:rPr>
        <w:t xml:space="preserve"> </w:t>
      </w:r>
      <w:r w:rsidR="007B08A0">
        <w:rPr>
          <w:rStyle w:val="FootnoteReference"/>
        </w:rPr>
        <w:footnoteReference w:id="10"/>
      </w:r>
    </w:p>
    <w:p w14:paraId="480E4715" w14:textId="45350869" w:rsidR="00931421" w:rsidRPr="00B43C28" w:rsidRDefault="00625316" w:rsidP="00625316">
      <w:pPr>
        <w:pStyle w:val="SingleTxtG"/>
        <w:rPr>
          <w:lang w:val="en-US"/>
        </w:rPr>
      </w:pPr>
      <w:r>
        <w:rPr>
          <w:lang w:val="en-US"/>
        </w:rPr>
        <w:t>9.</w:t>
      </w:r>
      <w:r>
        <w:rPr>
          <w:lang w:val="en-US"/>
        </w:rPr>
        <w:tab/>
      </w:r>
      <w:r w:rsidR="00931421">
        <w:rPr>
          <w:lang w:val="en-US"/>
        </w:rPr>
        <w:t>The right is enshrined in the International Covenant on Economic, Social and Cultural rights (</w:t>
      </w:r>
      <w:r w:rsidR="00931421" w:rsidRPr="00AE14E4">
        <w:rPr>
          <w:lang w:val="en-US"/>
        </w:rPr>
        <w:t>ICESCR</w:t>
      </w:r>
      <w:r w:rsidR="00931421">
        <w:rPr>
          <w:lang w:val="en-US"/>
        </w:rPr>
        <w:t xml:space="preserve">), ratified by </w:t>
      </w:r>
      <w:r w:rsidR="00931421" w:rsidRPr="00AE14E4">
        <w:rPr>
          <w:lang w:val="en-US"/>
        </w:rPr>
        <w:t xml:space="preserve">171 States and the </w:t>
      </w:r>
      <w:r w:rsidR="00931421">
        <w:rPr>
          <w:lang w:val="en-US"/>
        </w:rPr>
        <w:t>Convention on the Rights of the Child (</w:t>
      </w:r>
      <w:r w:rsidR="00931421" w:rsidRPr="00AE14E4">
        <w:rPr>
          <w:lang w:val="en-US"/>
        </w:rPr>
        <w:t>CRC</w:t>
      </w:r>
      <w:r w:rsidR="00931421">
        <w:rPr>
          <w:lang w:val="en-US"/>
        </w:rPr>
        <w:t xml:space="preserve">), ratified by </w:t>
      </w:r>
      <w:r w:rsidR="00931421" w:rsidRPr="00AE14E4">
        <w:rPr>
          <w:lang w:val="en-US"/>
        </w:rPr>
        <w:t xml:space="preserve">196 </w:t>
      </w:r>
      <w:r w:rsidR="00931421">
        <w:rPr>
          <w:lang w:val="en-US"/>
        </w:rPr>
        <w:t>– all but one (</w:t>
      </w:r>
      <w:r w:rsidR="00931421" w:rsidRPr="00AE14E4">
        <w:rPr>
          <w:lang w:val="en-US"/>
        </w:rPr>
        <w:t>the United States of America</w:t>
      </w:r>
      <w:r w:rsidR="00931421">
        <w:rPr>
          <w:lang w:val="en-US"/>
        </w:rPr>
        <w:t xml:space="preserve"> having only signed). </w:t>
      </w:r>
      <w:r w:rsidR="00931421" w:rsidRPr="00B43C28">
        <w:rPr>
          <w:lang w:val="en-US"/>
        </w:rPr>
        <w:t>Many other international and regional human rights instruments</w:t>
      </w:r>
      <w:r w:rsidR="00931421">
        <w:rPr>
          <w:lang w:val="en-US"/>
        </w:rPr>
        <w:t xml:space="preserve"> </w:t>
      </w:r>
      <w:r w:rsidR="00931421" w:rsidRPr="00B43C28">
        <w:rPr>
          <w:lang w:val="en-US"/>
        </w:rPr>
        <w:t>protect the right to education or some aspects</w:t>
      </w:r>
      <w:r w:rsidR="00931421">
        <w:rPr>
          <w:lang w:val="en-US"/>
        </w:rPr>
        <w:t xml:space="preserve"> of it</w:t>
      </w:r>
      <w:r w:rsidR="00931421" w:rsidRPr="00B43C28">
        <w:rPr>
          <w:lang w:val="en-US"/>
        </w:rPr>
        <w:t xml:space="preserve">, including for specific categories of people. An important body of interpretation and jurisprudence has </w:t>
      </w:r>
      <w:r w:rsidR="00931421">
        <w:rPr>
          <w:lang w:val="en-US"/>
        </w:rPr>
        <w:t>developed</w:t>
      </w:r>
      <w:r w:rsidR="00931421" w:rsidRPr="00B43C28">
        <w:rPr>
          <w:lang w:val="en-US"/>
        </w:rPr>
        <w:t xml:space="preserve">. </w:t>
      </w:r>
    </w:p>
    <w:p w14:paraId="66F0492F" w14:textId="724073FD" w:rsidR="00931421" w:rsidRPr="00B43C28" w:rsidRDefault="00625316" w:rsidP="00625316">
      <w:pPr>
        <w:pStyle w:val="SingleTxtG"/>
        <w:rPr>
          <w:lang w:val="en-US"/>
        </w:rPr>
      </w:pPr>
      <w:r>
        <w:t>10.</w:t>
      </w:r>
      <w:r>
        <w:tab/>
      </w:r>
      <w:r w:rsidR="00931421" w:rsidRPr="00B43C28">
        <w:t>SDG4</w:t>
      </w:r>
      <w:r w:rsidR="00931421">
        <w:t xml:space="preserve"> </w:t>
      </w:r>
      <w:r w:rsidR="00931421" w:rsidRPr="00B43C28">
        <w:t xml:space="preserve">and the Education 2030 Framework for Action further demonstrate </w:t>
      </w:r>
      <w:r w:rsidR="00931421">
        <w:t xml:space="preserve">States’ </w:t>
      </w:r>
      <w:r w:rsidR="00931421" w:rsidRPr="00B43C28">
        <w:t>commitment</w:t>
      </w:r>
      <w:r w:rsidR="00931421">
        <w:t>s</w:t>
      </w:r>
      <w:r w:rsidR="00931421" w:rsidRPr="00B43C28">
        <w:t xml:space="preserve"> to</w:t>
      </w:r>
      <w:r w:rsidR="00931421">
        <w:t xml:space="preserve"> </w:t>
      </w:r>
      <w:r w:rsidR="00931421" w:rsidRPr="00B43C28">
        <w:t xml:space="preserve">implementing the right to education. These instruments should </w:t>
      </w:r>
      <w:r w:rsidR="00931421">
        <w:t xml:space="preserve">be </w:t>
      </w:r>
      <w:r w:rsidR="00931421" w:rsidRPr="00B43C28">
        <w:t xml:space="preserve">considered as </w:t>
      </w:r>
      <w:r w:rsidR="00931421">
        <w:t xml:space="preserve">guides for </w:t>
      </w:r>
      <w:r w:rsidR="00931421" w:rsidRPr="00B43C28">
        <w:t xml:space="preserve">implementing </w:t>
      </w:r>
      <w:r w:rsidR="00931421">
        <w:t xml:space="preserve">the right to education and applied in a </w:t>
      </w:r>
      <w:r w:rsidR="00931421" w:rsidRPr="00B43C28">
        <w:t>human right</w:t>
      </w:r>
      <w:r w:rsidR="00931421">
        <w:t>s’</w:t>
      </w:r>
      <w:r w:rsidR="00931421" w:rsidRPr="00B43C28">
        <w:t xml:space="preserve"> complian</w:t>
      </w:r>
      <w:r w:rsidR="00931421">
        <w:t xml:space="preserve">t manner, an approach adopted by the </w:t>
      </w:r>
      <w:r w:rsidR="00931421" w:rsidRPr="00B43C28">
        <w:t xml:space="preserve">General Assembly, </w:t>
      </w:r>
      <w:r w:rsidR="00931421">
        <w:t xml:space="preserve">the </w:t>
      </w:r>
      <w:r w:rsidR="00931421" w:rsidRPr="00B43C28">
        <w:t xml:space="preserve">Human Rights Council, various treaty bodies </w:t>
      </w:r>
      <w:r w:rsidR="00931421">
        <w:t xml:space="preserve">and </w:t>
      </w:r>
      <w:r w:rsidR="00931421" w:rsidRPr="00B43C28">
        <w:t>UNESCO.</w:t>
      </w:r>
      <w:r w:rsidR="007B08A0">
        <w:rPr>
          <w:rStyle w:val="FootnoteReference"/>
        </w:rPr>
        <w:footnoteReference w:id="11"/>
      </w:r>
    </w:p>
    <w:p w14:paraId="1A36A97A" w14:textId="50B83DB6" w:rsidR="00931421" w:rsidRPr="00B43C28" w:rsidRDefault="00625316" w:rsidP="00625316">
      <w:pPr>
        <w:pStyle w:val="SingleTxtG"/>
        <w:rPr>
          <w:lang w:val="en-US"/>
        </w:rPr>
      </w:pPr>
      <w:r>
        <w:rPr>
          <w:lang w:val="en-US"/>
        </w:rPr>
        <w:t>11.</w:t>
      </w:r>
      <w:r>
        <w:rPr>
          <w:lang w:val="en-US"/>
        </w:rPr>
        <w:tab/>
      </w:r>
      <w:r w:rsidR="00931421">
        <w:rPr>
          <w:lang w:val="en-US"/>
        </w:rPr>
        <w:t>T</w:t>
      </w:r>
      <w:r w:rsidR="00931421" w:rsidRPr="00B43C28">
        <w:rPr>
          <w:lang w:val="en-US"/>
        </w:rPr>
        <w:t xml:space="preserve">he Special Rapporteur welcomes </w:t>
      </w:r>
      <w:r w:rsidR="00931421">
        <w:rPr>
          <w:lang w:val="en-US"/>
        </w:rPr>
        <w:t xml:space="preserve">UNESCO’s </w:t>
      </w:r>
      <w:r w:rsidR="00931421" w:rsidRPr="00B43C28">
        <w:rPr>
          <w:lang w:val="en-US"/>
        </w:rPr>
        <w:t>initiatives</w:t>
      </w:r>
      <w:r w:rsidR="00931421">
        <w:rPr>
          <w:lang w:val="en-US"/>
        </w:rPr>
        <w:t>,</w:t>
      </w:r>
      <w:r w:rsidR="00931421" w:rsidRPr="00B43C28">
        <w:rPr>
          <w:lang w:val="en-US"/>
        </w:rPr>
        <w:t xml:space="preserve"> follow</w:t>
      </w:r>
      <w:r w:rsidR="00931421">
        <w:rPr>
          <w:lang w:val="en-US"/>
        </w:rPr>
        <w:t xml:space="preserve">ing </w:t>
      </w:r>
      <w:r w:rsidR="00931421" w:rsidRPr="00B43C28">
        <w:rPr>
          <w:lang w:val="en-US"/>
        </w:rPr>
        <w:t>up on</w:t>
      </w:r>
      <w:r w:rsidR="00931421">
        <w:rPr>
          <w:lang w:val="en-US"/>
        </w:rPr>
        <w:t xml:space="preserve"> </w:t>
      </w:r>
      <w:r w:rsidR="00931421" w:rsidRPr="00B43C28">
        <w:rPr>
          <w:lang w:val="en-US"/>
        </w:rPr>
        <w:t>the UNESCO Commission</w:t>
      </w:r>
      <w:r w:rsidR="00931421">
        <w:rPr>
          <w:lang w:val="en-US"/>
        </w:rPr>
        <w:t xml:space="preserve">. These facilitate discussion on </w:t>
      </w:r>
      <w:r w:rsidR="00931421" w:rsidRPr="00B43C28">
        <w:rPr>
          <w:lang w:val="en-US"/>
        </w:rPr>
        <w:t xml:space="preserve">the Futures of </w:t>
      </w:r>
      <w:r w:rsidR="00931421">
        <w:rPr>
          <w:lang w:val="en-US"/>
        </w:rPr>
        <w:t>E</w:t>
      </w:r>
      <w:r w:rsidR="00931421" w:rsidRPr="00B43C28">
        <w:rPr>
          <w:lang w:val="en-US"/>
        </w:rPr>
        <w:t>ducation</w:t>
      </w:r>
      <w:r w:rsidR="00931421">
        <w:rPr>
          <w:lang w:val="en-US"/>
        </w:rPr>
        <w:t xml:space="preserve">, </w:t>
      </w:r>
      <w:proofErr w:type="gramStart"/>
      <w:r w:rsidR="00931421">
        <w:rPr>
          <w:lang w:val="en-US"/>
        </w:rPr>
        <w:t>i.e.</w:t>
      </w:r>
      <w:proofErr w:type="gramEnd"/>
      <w:r w:rsidR="00931421">
        <w:rPr>
          <w:lang w:val="en-US"/>
        </w:rPr>
        <w:t xml:space="preserve"> on </w:t>
      </w:r>
      <w:r w:rsidR="00931421" w:rsidRPr="00B43C28">
        <w:rPr>
          <w:lang w:val="en-US"/>
        </w:rPr>
        <w:t>how to understand the evolving right to education</w:t>
      </w:r>
      <w:r w:rsidR="00931421">
        <w:rPr>
          <w:lang w:val="en-US"/>
        </w:rPr>
        <w:t xml:space="preserve"> in the light of </w:t>
      </w:r>
      <w:r w:rsidR="00931421" w:rsidRPr="00B43C28">
        <w:rPr>
          <w:lang w:val="en-US"/>
        </w:rPr>
        <w:t>existing human right</w:t>
      </w:r>
      <w:r w:rsidR="00931421">
        <w:rPr>
          <w:lang w:val="en-US"/>
        </w:rPr>
        <w:t>s</w:t>
      </w:r>
      <w:r w:rsidR="00931421" w:rsidRPr="00B43C28">
        <w:rPr>
          <w:lang w:val="en-US"/>
        </w:rPr>
        <w:t xml:space="preserve"> standards</w:t>
      </w:r>
      <w:r w:rsidR="00931421">
        <w:rPr>
          <w:lang w:val="en-US"/>
        </w:rPr>
        <w:t>,</w:t>
      </w:r>
      <w:r w:rsidR="00931421" w:rsidRPr="00B43C28">
        <w:rPr>
          <w:lang w:val="en-US"/>
        </w:rPr>
        <w:t xml:space="preserve"> </w:t>
      </w:r>
      <w:r w:rsidR="00931421">
        <w:rPr>
          <w:lang w:val="en-US"/>
        </w:rPr>
        <w:t xml:space="preserve">changing contexts, and </w:t>
      </w:r>
      <w:r w:rsidR="00931421" w:rsidRPr="00B43C28">
        <w:rPr>
          <w:lang w:val="en-US"/>
        </w:rPr>
        <w:t xml:space="preserve">new demands placed on </w:t>
      </w:r>
      <w:r w:rsidR="00931421">
        <w:rPr>
          <w:lang w:val="en-US"/>
        </w:rPr>
        <w:t>education.</w:t>
      </w:r>
      <w:r w:rsidR="00931421" w:rsidRPr="00B43C28">
        <w:rPr>
          <w:lang w:val="en-US"/>
        </w:rPr>
        <w:t xml:space="preserve"> </w:t>
      </w:r>
      <w:r w:rsidR="00931421">
        <w:rPr>
          <w:lang w:val="en-US"/>
        </w:rPr>
        <w:t>C</w:t>
      </w:r>
      <w:r w:rsidR="00931421" w:rsidRPr="00B43C28">
        <w:rPr>
          <w:lang w:val="en-US"/>
        </w:rPr>
        <w:t xml:space="preserve">onsensus </w:t>
      </w:r>
      <w:r w:rsidR="00931421">
        <w:rPr>
          <w:lang w:val="en-US"/>
        </w:rPr>
        <w:t xml:space="preserve">on </w:t>
      </w:r>
      <w:r w:rsidR="00931421" w:rsidRPr="00B43C28">
        <w:rPr>
          <w:lang w:val="en-US"/>
        </w:rPr>
        <w:t xml:space="preserve">the right to education </w:t>
      </w:r>
      <w:r w:rsidR="00931421">
        <w:rPr>
          <w:lang w:val="en-US"/>
        </w:rPr>
        <w:t xml:space="preserve">is </w:t>
      </w:r>
      <w:r w:rsidR="00931421" w:rsidRPr="00B43C28">
        <w:rPr>
          <w:lang w:val="en-US"/>
        </w:rPr>
        <w:t>continuously evolv</w:t>
      </w:r>
      <w:r w:rsidR="00931421">
        <w:rPr>
          <w:lang w:val="en-US"/>
        </w:rPr>
        <w:t xml:space="preserve">ing through </w:t>
      </w:r>
      <w:r w:rsidR="00931421" w:rsidRPr="00B43C28">
        <w:rPr>
          <w:lang w:val="en-US"/>
        </w:rPr>
        <w:t xml:space="preserve">commitments </w:t>
      </w:r>
      <w:r w:rsidR="00931421">
        <w:rPr>
          <w:lang w:val="en-US"/>
        </w:rPr>
        <w:t xml:space="preserve">made in </w:t>
      </w:r>
      <w:r w:rsidR="00931421" w:rsidRPr="00B43C28">
        <w:rPr>
          <w:lang w:val="en-US"/>
        </w:rPr>
        <w:t>international living instruments</w:t>
      </w:r>
      <w:r w:rsidR="00931421">
        <w:rPr>
          <w:lang w:val="en-US"/>
        </w:rPr>
        <w:t xml:space="preserve"> and </w:t>
      </w:r>
      <w:r w:rsidR="00931421" w:rsidRPr="00B43C28">
        <w:rPr>
          <w:lang w:val="en-US"/>
        </w:rPr>
        <w:t>interpret</w:t>
      </w:r>
      <w:r w:rsidR="00931421">
        <w:rPr>
          <w:lang w:val="en-US"/>
        </w:rPr>
        <w:t>ations</w:t>
      </w:r>
      <w:r w:rsidR="00931421" w:rsidRPr="00B43C28">
        <w:rPr>
          <w:lang w:val="en-US"/>
        </w:rPr>
        <w:t xml:space="preserve"> </w:t>
      </w:r>
      <w:r w:rsidR="00931421">
        <w:rPr>
          <w:lang w:val="en-US"/>
        </w:rPr>
        <w:t xml:space="preserve">of </w:t>
      </w:r>
      <w:r w:rsidR="00931421" w:rsidRPr="00B43C28">
        <w:rPr>
          <w:lang w:val="en-US"/>
        </w:rPr>
        <w:t xml:space="preserve">the monitoring mechanisms States specifically created for </w:t>
      </w:r>
      <w:r w:rsidR="00931421">
        <w:rPr>
          <w:lang w:val="en-US"/>
        </w:rPr>
        <w:t xml:space="preserve">this </w:t>
      </w:r>
      <w:r w:rsidR="00931421" w:rsidRPr="00B43C28">
        <w:rPr>
          <w:lang w:val="en-US"/>
        </w:rPr>
        <w:t xml:space="preserve">purpose. </w:t>
      </w:r>
    </w:p>
    <w:p w14:paraId="1732CEB4" w14:textId="7688A3E3" w:rsidR="00931421" w:rsidRPr="00B43C28" w:rsidRDefault="00625316" w:rsidP="00625316">
      <w:pPr>
        <w:pStyle w:val="SingleTxtG"/>
        <w:rPr>
          <w:lang w:val="en-US"/>
        </w:rPr>
      </w:pPr>
      <w:r>
        <w:rPr>
          <w:lang w:val="en-US"/>
        </w:rPr>
        <w:t>12.</w:t>
      </w:r>
      <w:r>
        <w:rPr>
          <w:lang w:val="en-US"/>
        </w:rPr>
        <w:tab/>
      </w:r>
      <w:r w:rsidR="00931421" w:rsidRPr="00B43C28">
        <w:rPr>
          <w:lang w:val="en-US"/>
        </w:rPr>
        <w:t xml:space="preserve">Evolving norms </w:t>
      </w:r>
      <w:r w:rsidR="00931421">
        <w:rPr>
          <w:lang w:val="en-US"/>
        </w:rPr>
        <w:t xml:space="preserve">relate to, for instance, </w:t>
      </w:r>
      <w:r w:rsidR="00931421" w:rsidRPr="00B43C28">
        <w:rPr>
          <w:lang w:val="en-US"/>
        </w:rPr>
        <w:t>protecti</w:t>
      </w:r>
      <w:r w:rsidR="00931421">
        <w:rPr>
          <w:lang w:val="en-US"/>
        </w:rPr>
        <w:t>ng</w:t>
      </w:r>
      <w:r w:rsidR="00931421" w:rsidRPr="00B43C28">
        <w:rPr>
          <w:lang w:val="en-US"/>
        </w:rPr>
        <w:t xml:space="preserve"> the right to education in times of conflict, </w:t>
      </w:r>
      <w:r w:rsidR="00931421">
        <w:rPr>
          <w:lang w:val="en-US"/>
        </w:rPr>
        <w:t xml:space="preserve">when </w:t>
      </w:r>
      <w:r w:rsidR="00931421" w:rsidRPr="00B43C28">
        <w:rPr>
          <w:lang w:val="en-US"/>
        </w:rPr>
        <w:t>human rights norms continue to apply. The right to education suffers no derogation under the ICESCR. The Special Rapporteur welcomes the endorsement by 11</w:t>
      </w:r>
      <w:r w:rsidR="00931421">
        <w:rPr>
          <w:lang w:val="en-US"/>
        </w:rPr>
        <w:t>7</w:t>
      </w:r>
      <w:r w:rsidR="00931421" w:rsidRPr="00B43C28">
        <w:rPr>
          <w:lang w:val="en-US"/>
        </w:rPr>
        <w:t xml:space="preserve"> countries, as of </w:t>
      </w:r>
      <w:r w:rsidR="00931421">
        <w:rPr>
          <w:lang w:val="en-US"/>
        </w:rPr>
        <w:t>8 May</w:t>
      </w:r>
      <w:r w:rsidR="00931421" w:rsidRPr="00B43C28">
        <w:rPr>
          <w:lang w:val="en-US"/>
        </w:rPr>
        <w:t xml:space="preserve"> 2023, of the Safe Schools Declaration, an </w:t>
      </w:r>
      <w:r w:rsidR="00931421" w:rsidRPr="00B43C28">
        <w:t xml:space="preserve">intergovernmental commitment to protect education during armed conflict, </w:t>
      </w:r>
      <w:r w:rsidR="00931421" w:rsidRPr="00B43C28">
        <w:rPr>
          <w:lang w:val="en-US"/>
        </w:rPr>
        <w:t>and its related Guidelines for Protecting Schools and Universities from Military Use during Armed Conflict.</w:t>
      </w:r>
    </w:p>
    <w:p w14:paraId="49D990A3" w14:textId="646497A9" w:rsidR="00931421" w:rsidRPr="0002049B" w:rsidRDefault="00625316" w:rsidP="00625316">
      <w:pPr>
        <w:pStyle w:val="SingleTxtG"/>
        <w:rPr>
          <w:lang w:val="en-US"/>
        </w:rPr>
      </w:pPr>
      <w:r>
        <w:rPr>
          <w:lang w:val="en-US"/>
        </w:rPr>
        <w:t>13.</w:t>
      </w:r>
      <w:r>
        <w:rPr>
          <w:lang w:val="en-US"/>
        </w:rPr>
        <w:tab/>
      </w:r>
      <w:r w:rsidR="00931421" w:rsidRPr="00B43C28">
        <w:rPr>
          <w:lang w:val="en-US"/>
        </w:rPr>
        <w:t>The Safe School</w:t>
      </w:r>
      <w:r w:rsidR="00931421">
        <w:rPr>
          <w:lang w:val="en-US"/>
        </w:rPr>
        <w:t>s</w:t>
      </w:r>
      <w:r w:rsidR="00931421" w:rsidRPr="00B43C28">
        <w:rPr>
          <w:lang w:val="en-US"/>
        </w:rPr>
        <w:t xml:space="preserve"> Declaration</w:t>
      </w:r>
      <w:r w:rsidR="00931421">
        <w:rPr>
          <w:lang w:val="en-US"/>
        </w:rPr>
        <w:t xml:space="preserve">, </w:t>
      </w:r>
      <w:r w:rsidR="00931421" w:rsidRPr="00B43C28">
        <w:rPr>
          <w:lang w:val="en-US"/>
        </w:rPr>
        <w:t>urg</w:t>
      </w:r>
      <w:r w:rsidR="00931421">
        <w:rPr>
          <w:lang w:val="en-US"/>
        </w:rPr>
        <w:t>ing</w:t>
      </w:r>
      <w:r w:rsidR="00931421" w:rsidRPr="00B43C28">
        <w:rPr>
          <w:lang w:val="en-US"/>
        </w:rPr>
        <w:t xml:space="preserve"> p</w:t>
      </w:r>
      <w:proofErr w:type="spellStart"/>
      <w:r w:rsidR="00931421" w:rsidRPr="00B43C28">
        <w:t>arties</w:t>
      </w:r>
      <w:proofErr w:type="spellEnd"/>
      <w:r w:rsidR="00931421" w:rsidRPr="00B43C28">
        <w:t xml:space="preserve"> to armed conflict to </w:t>
      </w:r>
      <w:r w:rsidR="00931421">
        <w:t xml:space="preserve">avoid </w:t>
      </w:r>
      <w:r w:rsidR="00931421" w:rsidRPr="00B43C28">
        <w:t>u</w:t>
      </w:r>
      <w:r w:rsidR="00931421">
        <w:t>sing</w:t>
      </w:r>
      <w:r w:rsidR="00931421" w:rsidRPr="00B43C28">
        <w:t xml:space="preserve"> </w:t>
      </w:r>
      <w:r w:rsidR="00931421">
        <w:t xml:space="preserve">educational facilities </w:t>
      </w:r>
      <w:r w:rsidR="00931421" w:rsidRPr="00B43C28">
        <w:t>for any purpose in support of their military</w:t>
      </w:r>
      <w:r w:rsidR="00931421">
        <w:t xml:space="preserve"> </w:t>
      </w:r>
      <w:r w:rsidR="00931421" w:rsidRPr="00B43C28">
        <w:t>effort</w:t>
      </w:r>
      <w:r w:rsidR="00931421">
        <w:t xml:space="preserve">s, </w:t>
      </w:r>
      <w:r w:rsidR="00931421">
        <w:rPr>
          <w:lang w:val="en-US"/>
        </w:rPr>
        <w:t xml:space="preserve">is </w:t>
      </w:r>
      <w:r w:rsidR="00931421" w:rsidRPr="00B43C28">
        <w:rPr>
          <w:lang w:val="en-US"/>
        </w:rPr>
        <w:t>a crucial step</w:t>
      </w:r>
      <w:r w:rsidR="00931421" w:rsidRPr="00B43C28">
        <w:t xml:space="preserve">. </w:t>
      </w:r>
      <w:r w:rsidR="00931421" w:rsidRPr="00B43C28">
        <w:rPr>
          <w:lang w:eastAsia="en-GB"/>
        </w:rPr>
        <w:t>The International Committee of the Red Cross</w:t>
      </w:r>
      <w:r w:rsidR="00931421">
        <w:rPr>
          <w:lang w:eastAsia="en-GB"/>
        </w:rPr>
        <w:t>, stressed that  r</w:t>
      </w:r>
      <w:r w:rsidR="00931421" w:rsidRPr="00D45083">
        <w:t>ecommend</w:t>
      </w:r>
      <w:r w:rsidR="00931421">
        <w:t>ed</w:t>
      </w:r>
      <w:r w:rsidR="00931421" w:rsidRPr="00D45083">
        <w:t xml:space="preserve"> actions</w:t>
      </w:r>
      <w:r w:rsidR="00931421">
        <w:t>,</w:t>
      </w:r>
      <w:r w:rsidR="00931421" w:rsidRPr="00D45083">
        <w:t xml:space="preserve"> </w:t>
      </w:r>
      <w:r w:rsidR="00931421">
        <w:t xml:space="preserve">which </w:t>
      </w:r>
      <w:r w:rsidR="00931421" w:rsidRPr="00D45083">
        <w:t xml:space="preserve">go beyond what is required under </w:t>
      </w:r>
      <w:r w:rsidR="00931421">
        <w:rPr>
          <w:lang w:eastAsia="en-GB"/>
        </w:rPr>
        <w:t xml:space="preserve">international humanitarian law, </w:t>
      </w:r>
      <w:r w:rsidR="00931421">
        <w:t xml:space="preserve">are </w:t>
      </w:r>
      <w:r w:rsidR="00931421" w:rsidRPr="00D45083">
        <w:t xml:space="preserve">“not at odds with </w:t>
      </w:r>
      <w:r w:rsidR="00931421">
        <w:rPr>
          <w:lang w:eastAsia="en-GB"/>
        </w:rPr>
        <w:t>international humanitarian law”, as “</w:t>
      </w:r>
      <w:r w:rsidR="00931421" w:rsidRPr="00B43C28">
        <w:rPr>
          <w:lang w:eastAsia="en-GB"/>
        </w:rPr>
        <w:t>avoiding that education facilities become military objectives and therefore liable to attack goes a long way in ensuring the safety of civilians – students and education personnel – and in preserving the civilian character of schools and their corresponding protection from attack, so that they can continue</w:t>
      </w:r>
      <w:r w:rsidR="00931421">
        <w:rPr>
          <w:lang w:eastAsia="en-GB"/>
        </w:rPr>
        <w:t xml:space="preserve"> </w:t>
      </w:r>
      <w:r w:rsidR="00931421" w:rsidRPr="00B43C28">
        <w:rPr>
          <w:lang w:eastAsia="en-GB"/>
        </w:rPr>
        <w:t>to safely operate during armed conflict.”</w:t>
      </w:r>
      <w:r w:rsidR="007B08A0">
        <w:rPr>
          <w:rStyle w:val="FootnoteReference"/>
          <w:lang w:eastAsia="en-GB"/>
        </w:rPr>
        <w:footnoteReference w:id="12"/>
      </w:r>
      <w:r w:rsidR="00931421" w:rsidRPr="00B43C28">
        <w:rPr>
          <w:lang w:eastAsia="en-GB"/>
        </w:rPr>
        <w:t xml:space="preserve"> </w:t>
      </w:r>
      <w:r w:rsidR="00931421">
        <w:rPr>
          <w:lang w:eastAsia="en-GB"/>
        </w:rPr>
        <w:t xml:space="preserve">This also contributes to rebuilding post-conflict societies. </w:t>
      </w:r>
      <w:r w:rsidR="00931421">
        <w:t>M</w:t>
      </w:r>
      <w:r w:rsidR="00931421" w:rsidRPr="0002049B">
        <w:t xml:space="preserve">any reports </w:t>
      </w:r>
      <w:r w:rsidR="00931421">
        <w:t xml:space="preserve">demonstrate </w:t>
      </w:r>
      <w:r w:rsidR="00931421" w:rsidRPr="0002049B">
        <w:t xml:space="preserve">the use and destruction of </w:t>
      </w:r>
      <w:r w:rsidR="00931421">
        <w:t xml:space="preserve">educational facilities </w:t>
      </w:r>
      <w:r w:rsidR="00931421" w:rsidRPr="0002049B">
        <w:t>in Ukraine</w:t>
      </w:r>
      <w:r w:rsidR="00931421">
        <w:t>, Syria</w:t>
      </w:r>
      <w:r w:rsidR="00931421" w:rsidRPr="0002049B">
        <w:t xml:space="preserve"> </w:t>
      </w:r>
      <w:r w:rsidR="00931421">
        <w:t xml:space="preserve">and elsewhere, </w:t>
      </w:r>
      <w:r w:rsidR="00931421">
        <w:lastRenderedPageBreak/>
        <w:t xml:space="preserve">and make </w:t>
      </w:r>
      <w:r w:rsidR="00931421" w:rsidRPr="0002049B">
        <w:t>the endors</w:t>
      </w:r>
      <w:r w:rsidR="00931421">
        <w:t>ement</w:t>
      </w:r>
      <w:r w:rsidR="00931421" w:rsidRPr="0002049B">
        <w:t xml:space="preserve"> and implement</w:t>
      </w:r>
      <w:r w:rsidR="00931421">
        <w:t>ation</w:t>
      </w:r>
      <w:r w:rsidR="00931421" w:rsidRPr="0002049B">
        <w:t xml:space="preserve"> </w:t>
      </w:r>
      <w:r w:rsidR="00931421">
        <w:t xml:space="preserve">of </w:t>
      </w:r>
      <w:r w:rsidR="00931421" w:rsidRPr="0002049B">
        <w:t>the Safe School</w:t>
      </w:r>
      <w:r w:rsidR="00931421">
        <w:t>s</w:t>
      </w:r>
      <w:r w:rsidR="00931421" w:rsidRPr="0002049B">
        <w:t xml:space="preserve"> Declaration and its guidelines</w:t>
      </w:r>
      <w:r w:rsidR="00931421">
        <w:t xml:space="preserve"> crucial. Importantly, good practices have started emerging.</w:t>
      </w:r>
      <w:r w:rsidR="008A3953">
        <w:rPr>
          <w:rStyle w:val="FootnoteReference"/>
        </w:rPr>
        <w:footnoteReference w:id="13"/>
      </w:r>
    </w:p>
    <w:p w14:paraId="095FFB9E" w14:textId="330606CD" w:rsidR="00931421" w:rsidRPr="00B43C28" w:rsidRDefault="003A5E36" w:rsidP="00625316">
      <w:pPr>
        <w:pStyle w:val="SingleTxtG"/>
        <w:rPr>
          <w:lang w:val="en-US"/>
        </w:rPr>
      </w:pPr>
      <w:r>
        <w:t>14.</w:t>
      </w:r>
      <w:r>
        <w:tab/>
      </w:r>
      <w:r w:rsidR="00931421" w:rsidRPr="00B43C28">
        <w:t>The establishment of the Geneva Global Hub on Education in Emergencies is additional proof of international commitment to uphold the right to education at all times.</w:t>
      </w:r>
      <w:r w:rsidR="00931421" w:rsidRPr="00B43C28">
        <w:rPr>
          <w:lang w:val="en-US"/>
        </w:rPr>
        <w:t xml:space="preserve"> </w:t>
      </w:r>
      <w:r w:rsidR="00931421">
        <w:rPr>
          <w:lang w:val="en-US"/>
        </w:rPr>
        <w:t xml:space="preserve">As </w:t>
      </w:r>
      <w:r w:rsidR="00931421" w:rsidRPr="00B43C28">
        <w:rPr>
          <w:lang w:val="en-US"/>
        </w:rPr>
        <w:t xml:space="preserve">a </w:t>
      </w:r>
      <w:r w:rsidR="00931421">
        <w:rPr>
          <w:lang w:val="en-US"/>
        </w:rPr>
        <w:t xml:space="preserve">Hub </w:t>
      </w:r>
      <w:r w:rsidR="00931421" w:rsidRPr="00B43C28">
        <w:rPr>
          <w:lang w:val="en-US"/>
        </w:rPr>
        <w:t>member</w:t>
      </w:r>
      <w:r w:rsidR="00931421">
        <w:rPr>
          <w:lang w:val="en-US"/>
        </w:rPr>
        <w:t xml:space="preserve"> since 2022,</w:t>
      </w:r>
      <w:r w:rsidR="00931421" w:rsidRPr="00B43C28">
        <w:rPr>
          <w:lang w:val="en-US"/>
        </w:rPr>
        <w:t xml:space="preserve"> </w:t>
      </w:r>
      <w:r w:rsidR="00931421">
        <w:rPr>
          <w:lang w:val="en-US"/>
        </w:rPr>
        <w:t>the Special Rapporteur looks forward to building on</w:t>
      </w:r>
      <w:r w:rsidR="00931421" w:rsidRPr="00B43C28">
        <w:rPr>
          <w:lang w:val="en-US"/>
        </w:rPr>
        <w:t xml:space="preserve"> the work of her predecessors</w:t>
      </w:r>
      <w:r w:rsidR="00931421">
        <w:rPr>
          <w:lang w:val="en-US"/>
        </w:rPr>
        <w:t>,</w:t>
      </w:r>
      <w:r w:rsidR="00931421" w:rsidRPr="00B43C28">
        <w:rPr>
          <w:lang w:val="en-US"/>
        </w:rPr>
        <w:t xml:space="preserve"> </w:t>
      </w:r>
      <w:r w:rsidR="00931421">
        <w:rPr>
          <w:lang w:val="en-US"/>
        </w:rPr>
        <w:t>in</w:t>
      </w:r>
      <w:r w:rsidR="00931421" w:rsidRPr="00B43C28">
        <w:rPr>
          <w:lang w:val="en-US"/>
        </w:rPr>
        <w:t xml:space="preserve"> </w:t>
      </w:r>
      <w:r w:rsidR="00931421">
        <w:rPr>
          <w:lang w:val="en-US"/>
        </w:rPr>
        <w:t>stressing</w:t>
      </w:r>
      <w:r w:rsidR="00931421" w:rsidRPr="00B43C28">
        <w:t xml:space="preserve"> States</w:t>
      </w:r>
      <w:r w:rsidR="00931421">
        <w:t xml:space="preserve">’ obligations </w:t>
      </w:r>
      <w:r w:rsidR="00931421" w:rsidRPr="00B43C28">
        <w:t xml:space="preserve">to </w:t>
      </w:r>
      <w:r w:rsidR="00931421">
        <w:t>ensure</w:t>
      </w:r>
      <w:r w:rsidR="00931421" w:rsidRPr="00B43C28">
        <w:t xml:space="preserve"> the </w:t>
      </w:r>
      <w:r w:rsidR="00931421">
        <w:t xml:space="preserve">inherent right of </w:t>
      </w:r>
      <w:proofErr w:type="gramStart"/>
      <w:r w:rsidR="00931421">
        <w:t>each individual</w:t>
      </w:r>
      <w:proofErr w:type="gramEnd"/>
      <w:r w:rsidR="00931421" w:rsidRPr="00B43C28">
        <w:t xml:space="preserve"> to education, </w:t>
      </w:r>
      <w:r w:rsidR="00931421">
        <w:t xml:space="preserve">including in </w:t>
      </w:r>
      <w:r w:rsidR="00931421" w:rsidRPr="00B43C28">
        <w:t>emergency situation</w:t>
      </w:r>
      <w:r w:rsidR="00931421">
        <w:t>s</w:t>
      </w:r>
      <w:r w:rsidR="00931421" w:rsidRPr="00B43C28">
        <w:rPr>
          <w:lang w:val="en-US"/>
        </w:rPr>
        <w:t>.</w:t>
      </w:r>
      <w:r w:rsidR="008A3953">
        <w:rPr>
          <w:rStyle w:val="FootnoteReference"/>
          <w:lang w:val="en-US"/>
        </w:rPr>
        <w:footnoteReference w:id="14"/>
      </w:r>
    </w:p>
    <w:p w14:paraId="5C222C9B" w14:textId="220C64DD" w:rsidR="00931421" w:rsidRPr="004C704C" w:rsidRDefault="004C704C" w:rsidP="004C704C">
      <w:pPr>
        <w:pStyle w:val="H1G"/>
      </w:pPr>
      <w:r>
        <w:tab/>
      </w:r>
      <w:r w:rsidRPr="004C704C">
        <w:t>B.</w:t>
      </w:r>
      <w:r>
        <w:tab/>
      </w:r>
      <w:r w:rsidR="00931421" w:rsidRPr="004C704C">
        <w:t>Education as a public and common good</w:t>
      </w:r>
    </w:p>
    <w:p w14:paraId="384DE9C7" w14:textId="3A04DA12" w:rsidR="00931421" w:rsidRDefault="003A5E36" w:rsidP="003A5E36">
      <w:pPr>
        <w:pStyle w:val="SingleTxtG"/>
        <w:rPr>
          <w:lang w:eastAsia="en-GB"/>
        </w:rPr>
      </w:pPr>
      <w:r>
        <w:t>15.</w:t>
      </w:r>
      <w:r>
        <w:tab/>
      </w:r>
      <w:r w:rsidR="00931421" w:rsidRPr="00153F4B">
        <w:t xml:space="preserve">States have rightfully recognized </w:t>
      </w:r>
      <w:r w:rsidR="00931421">
        <w:t xml:space="preserve">their </w:t>
      </w:r>
      <w:r w:rsidR="00931421" w:rsidRPr="00D01A4D">
        <w:t xml:space="preserve">primary responsibility to deliver </w:t>
      </w:r>
      <w:r w:rsidR="00931421" w:rsidRPr="00153F4B">
        <w:t>education as a public good,</w:t>
      </w:r>
      <w:r w:rsidR="00931421">
        <w:t xml:space="preserve"> </w:t>
      </w:r>
      <w:r w:rsidR="00931421" w:rsidRPr="00153F4B">
        <w:t>and their central role as custodians of efficient</w:t>
      </w:r>
      <w:r w:rsidR="00931421">
        <w:t>,</w:t>
      </w:r>
      <w:r w:rsidR="00931421" w:rsidRPr="00153F4B">
        <w:t xml:space="preserve"> equitable and effective management and financing of public education accessible to all.</w:t>
      </w:r>
      <w:r w:rsidR="001A052E">
        <w:rPr>
          <w:rStyle w:val="FootnoteReference"/>
        </w:rPr>
        <w:footnoteReference w:id="15"/>
      </w:r>
      <w:r w:rsidR="00931421" w:rsidRPr="00153F4B">
        <w:rPr>
          <w:lang w:eastAsia="en-GB"/>
        </w:rPr>
        <w:t xml:space="preserve"> </w:t>
      </w:r>
    </w:p>
    <w:p w14:paraId="5FE6BB8C" w14:textId="36221C54" w:rsidR="00931421" w:rsidRPr="003742A7" w:rsidRDefault="003A5E36" w:rsidP="003A5E36">
      <w:pPr>
        <w:pStyle w:val="SingleTxtG"/>
        <w:rPr>
          <w:lang w:val="en-US"/>
        </w:rPr>
      </w:pPr>
      <w:r>
        <w:t>16.</w:t>
      </w:r>
      <w:r>
        <w:tab/>
      </w:r>
      <w:r w:rsidR="00931421">
        <w:t>Further r</w:t>
      </w:r>
      <w:r w:rsidR="00931421" w:rsidRPr="00953F4C">
        <w:t>ecogni</w:t>
      </w:r>
      <w:r w:rsidR="00931421">
        <w:t xml:space="preserve">tion of </w:t>
      </w:r>
      <w:r w:rsidR="00931421" w:rsidRPr="00953F4C">
        <w:t>education as a common good</w:t>
      </w:r>
      <w:r w:rsidR="00931421">
        <w:t xml:space="preserve"> is crucial for a new</w:t>
      </w:r>
      <w:r w:rsidR="00931421" w:rsidRPr="003742A7">
        <w:rPr>
          <w:lang w:val="en-US"/>
        </w:rPr>
        <w:t xml:space="preserve"> social contract</w:t>
      </w:r>
      <w:r w:rsidR="00931421">
        <w:rPr>
          <w:lang w:val="en-US"/>
        </w:rPr>
        <w:t>;</w:t>
      </w:r>
      <w:r w:rsidR="00931421" w:rsidRPr="003742A7">
        <w:rPr>
          <w:lang w:val="en-US"/>
        </w:rPr>
        <w:t xml:space="preserve"> </w:t>
      </w:r>
      <w:r w:rsidR="00931421">
        <w:rPr>
          <w:lang w:val="en-US"/>
        </w:rPr>
        <w:t xml:space="preserve">the aim of which goes beyond </w:t>
      </w:r>
      <w:r w:rsidR="00931421" w:rsidRPr="003742A7">
        <w:rPr>
          <w:lang w:val="en-US"/>
        </w:rPr>
        <w:t>guaranteeing adequate sustainable public funding</w:t>
      </w:r>
      <w:r w:rsidR="00931421">
        <w:rPr>
          <w:lang w:val="en-US"/>
        </w:rPr>
        <w:t>,</w:t>
      </w:r>
      <w:r w:rsidR="00931421" w:rsidRPr="003742A7">
        <w:rPr>
          <w:lang w:val="en-US"/>
        </w:rPr>
        <w:t xml:space="preserve"> </w:t>
      </w:r>
      <w:r w:rsidR="00931421">
        <w:rPr>
          <w:lang w:val="en-US"/>
        </w:rPr>
        <w:t xml:space="preserve">to </w:t>
      </w:r>
      <w:r w:rsidR="00931421" w:rsidRPr="003742A7">
        <w:rPr>
          <w:lang w:val="en-US"/>
        </w:rPr>
        <w:t>recogniz</w:t>
      </w:r>
      <w:r w:rsidR="00931421">
        <w:rPr>
          <w:lang w:val="en-US"/>
        </w:rPr>
        <w:t>ing</w:t>
      </w:r>
      <w:r w:rsidR="00931421" w:rsidRPr="003742A7">
        <w:rPr>
          <w:lang w:val="en-US"/>
        </w:rPr>
        <w:t xml:space="preserve"> education as </w:t>
      </w:r>
      <w:r w:rsidR="00931421">
        <w:rPr>
          <w:lang w:val="en-US"/>
        </w:rPr>
        <w:t xml:space="preserve">both </w:t>
      </w:r>
      <w:r w:rsidR="00931421" w:rsidRPr="003742A7">
        <w:rPr>
          <w:lang w:val="en-US"/>
        </w:rPr>
        <w:t>a</w:t>
      </w:r>
      <w:r w:rsidR="00931421">
        <w:rPr>
          <w:lang w:val="en-US"/>
        </w:rPr>
        <w:t>n individual and co-creative activity which contributes</w:t>
      </w:r>
      <w:r w:rsidR="00931421" w:rsidRPr="003742A7">
        <w:rPr>
          <w:lang w:val="en-US"/>
        </w:rPr>
        <w:t xml:space="preserve"> </w:t>
      </w:r>
      <w:r w:rsidR="00931421">
        <w:rPr>
          <w:lang w:val="en-US"/>
        </w:rPr>
        <w:t xml:space="preserve">to the enjoyment of </w:t>
      </w:r>
      <w:r w:rsidR="00931421" w:rsidRPr="003742A7">
        <w:rPr>
          <w:lang w:val="en-US"/>
        </w:rPr>
        <w:t xml:space="preserve">humanity’s </w:t>
      </w:r>
      <w:r w:rsidR="00931421">
        <w:rPr>
          <w:lang w:val="en-US"/>
        </w:rPr>
        <w:t xml:space="preserve">shared </w:t>
      </w:r>
      <w:r w:rsidR="00931421" w:rsidRPr="003742A7">
        <w:rPr>
          <w:lang w:val="en-US"/>
        </w:rPr>
        <w:t>cultural heritage; and</w:t>
      </w:r>
      <w:r w:rsidR="00931421">
        <w:rPr>
          <w:lang w:val="en-US"/>
        </w:rPr>
        <w:t xml:space="preserve"> to</w:t>
      </w:r>
      <w:r w:rsidR="00931421" w:rsidRPr="003742A7">
        <w:rPr>
          <w:lang w:val="en-US"/>
        </w:rPr>
        <w:t xml:space="preserve"> ensur</w:t>
      </w:r>
      <w:r w:rsidR="00931421">
        <w:rPr>
          <w:lang w:val="en-US"/>
        </w:rPr>
        <w:t>e</w:t>
      </w:r>
      <w:r w:rsidR="00931421" w:rsidRPr="003742A7">
        <w:rPr>
          <w:lang w:val="en-US"/>
        </w:rPr>
        <w:t xml:space="preserve"> that education is governed in common, at all levels in an inclusive and participatory way.</w:t>
      </w:r>
      <w:r w:rsidR="00A92FC0">
        <w:rPr>
          <w:rStyle w:val="FootnoteReference"/>
          <w:lang w:val="en-US"/>
        </w:rPr>
        <w:footnoteReference w:id="16"/>
      </w:r>
      <w:r w:rsidR="00931421" w:rsidRPr="003742A7">
        <w:rPr>
          <w:lang w:val="en-US"/>
        </w:rPr>
        <w:t xml:space="preserve"> </w:t>
      </w:r>
    </w:p>
    <w:p w14:paraId="296E6A2B" w14:textId="3D9605D7" w:rsidR="00931421" w:rsidRPr="00B43C28" w:rsidRDefault="00B357D4" w:rsidP="00B357D4">
      <w:pPr>
        <w:pStyle w:val="H1G"/>
        <w:rPr>
          <w:lang w:val="en-US"/>
        </w:rPr>
      </w:pPr>
      <w:r>
        <w:rPr>
          <w:lang w:val="en-US"/>
        </w:rPr>
        <w:tab/>
        <w:t>C.</w:t>
      </w:r>
      <w:r>
        <w:rPr>
          <w:lang w:val="en-US"/>
        </w:rPr>
        <w:tab/>
      </w:r>
      <w:r w:rsidR="00931421" w:rsidRPr="00B43C28">
        <w:rPr>
          <w:lang w:val="en-US"/>
        </w:rPr>
        <w:t xml:space="preserve">The need to reinforce implementation, </w:t>
      </w:r>
      <w:proofErr w:type="gramStart"/>
      <w:r w:rsidR="00931421" w:rsidRPr="00B43C28">
        <w:rPr>
          <w:lang w:val="en-US"/>
        </w:rPr>
        <w:t>accountability</w:t>
      </w:r>
      <w:proofErr w:type="gramEnd"/>
      <w:r w:rsidR="00931421" w:rsidRPr="00B43C28">
        <w:rPr>
          <w:lang w:val="en-US"/>
        </w:rPr>
        <w:t xml:space="preserve"> and monitoring processes</w:t>
      </w:r>
    </w:p>
    <w:p w14:paraId="6F52E3C1" w14:textId="0FAF2791" w:rsidR="00931421" w:rsidRPr="00B43C28" w:rsidRDefault="00454360" w:rsidP="00454360">
      <w:pPr>
        <w:pStyle w:val="SingleTxtG"/>
        <w:rPr>
          <w:lang w:val="en-US"/>
        </w:rPr>
      </w:pPr>
      <w:r>
        <w:rPr>
          <w:lang w:val="en-US"/>
        </w:rPr>
        <w:t>17.</w:t>
      </w:r>
      <w:r>
        <w:rPr>
          <w:lang w:val="en-US"/>
        </w:rPr>
        <w:tab/>
      </w:r>
      <w:r w:rsidR="00931421">
        <w:rPr>
          <w:lang w:val="en-US"/>
        </w:rPr>
        <w:t xml:space="preserve">Realizing the right to education necessitates more than an </w:t>
      </w:r>
      <w:r w:rsidR="00931421" w:rsidRPr="00B43C28">
        <w:rPr>
          <w:lang w:val="en-US"/>
        </w:rPr>
        <w:t xml:space="preserve">acceptance of </w:t>
      </w:r>
      <w:r w:rsidR="00931421">
        <w:rPr>
          <w:lang w:val="en-US"/>
        </w:rPr>
        <w:t xml:space="preserve">established </w:t>
      </w:r>
      <w:r w:rsidR="00931421" w:rsidRPr="00B43C28">
        <w:rPr>
          <w:lang w:val="en-US"/>
        </w:rPr>
        <w:t xml:space="preserve">norms. </w:t>
      </w:r>
      <w:r w:rsidR="00931421">
        <w:rPr>
          <w:lang w:val="en-US"/>
        </w:rPr>
        <w:t>I</w:t>
      </w:r>
      <w:r w:rsidR="00931421" w:rsidRPr="00B43C28">
        <w:rPr>
          <w:lang w:val="en-US"/>
        </w:rPr>
        <w:t xml:space="preserve">nternational instruments </w:t>
      </w:r>
      <w:r w:rsidR="00931421">
        <w:rPr>
          <w:lang w:val="en-US"/>
        </w:rPr>
        <w:t>must be</w:t>
      </w:r>
      <w:r w:rsidR="00931421" w:rsidRPr="00B43C28">
        <w:rPr>
          <w:lang w:val="en-US"/>
        </w:rPr>
        <w:t xml:space="preserve"> </w:t>
      </w:r>
      <w:r w:rsidR="00931421">
        <w:rPr>
          <w:lang w:val="en-US"/>
        </w:rPr>
        <w:t>sufficiently robustly worded</w:t>
      </w:r>
      <w:r w:rsidR="00931421" w:rsidRPr="00B43C28">
        <w:rPr>
          <w:lang w:val="en-US"/>
        </w:rPr>
        <w:t xml:space="preserve"> and detailed</w:t>
      </w:r>
      <w:r w:rsidR="00931421">
        <w:rPr>
          <w:lang w:val="en-US"/>
        </w:rPr>
        <w:t xml:space="preserve">, and, simultaneously, efficient guidance </w:t>
      </w:r>
      <w:r w:rsidR="00931421" w:rsidRPr="00B43C28">
        <w:rPr>
          <w:lang w:val="en-US"/>
        </w:rPr>
        <w:t xml:space="preserve">tools </w:t>
      </w:r>
      <w:r w:rsidR="00931421">
        <w:rPr>
          <w:lang w:val="en-US"/>
        </w:rPr>
        <w:t xml:space="preserve">for </w:t>
      </w:r>
      <w:r w:rsidR="00931421" w:rsidRPr="00B43C28">
        <w:rPr>
          <w:lang w:val="en-US"/>
        </w:rPr>
        <w:t>States and other stakeholders</w:t>
      </w:r>
      <w:r w:rsidR="00931421">
        <w:rPr>
          <w:lang w:val="en-US"/>
        </w:rPr>
        <w:t xml:space="preserve"> must be available,</w:t>
      </w:r>
      <w:r w:rsidR="00931421" w:rsidRPr="00B43C28">
        <w:rPr>
          <w:lang w:val="en-US"/>
        </w:rPr>
        <w:t xml:space="preserve"> including through technical assistance </w:t>
      </w:r>
      <w:r w:rsidR="00931421">
        <w:rPr>
          <w:lang w:val="en-US"/>
        </w:rPr>
        <w:t>and</w:t>
      </w:r>
      <w:r w:rsidR="00931421" w:rsidRPr="00B43C28">
        <w:rPr>
          <w:lang w:val="en-US"/>
        </w:rPr>
        <w:t xml:space="preserve"> strong monitoring mechanisms.</w:t>
      </w:r>
      <w:r w:rsidR="00931421">
        <w:rPr>
          <w:lang w:val="en-US"/>
        </w:rPr>
        <w:t xml:space="preserve"> </w:t>
      </w:r>
    </w:p>
    <w:p w14:paraId="2601AF0A" w14:textId="075108E3" w:rsidR="00931421" w:rsidRPr="00B43C28" w:rsidRDefault="00454360" w:rsidP="00454360">
      <w:pPr>
        <w:pStyle w:val="SingleTxtG"/>
        <w:rPr>
          <w:lang w:val="en-US"/>
        </w:rPr>
      </w:pPr>
      <w:r>
        <w:rPr>
          <w:lang w:val="en-US"/>
        </w:rPr>
        <w:t>18.</w:t>
      </w:r>
      <w:r>
        <w:rPr>
          <w:lang w:val="en-US"/>
        </w:rPr>
        <w:tab/>
      </w:r>
      <w:r w:rsidR="00931421" w:rsidRPr="00B43C28">
        <w:rPr>
          <w:lang w:val="en-US"/>
        </w:rPr>
        <w:t xml:space="preserve">One added value of the </w:t>
      </w:r>
      <w:r w:rsidR="00931421">
        <w:rPr>
          <w:lang w:val="en-US"/>
        </w:rPr>
        <w:t xml:space="preserve">education </w:t>
      </w:r>
      <w:r w:rsidR="00931421" w:rsidRPr="00B43C28">
        <w:rPr>
          <w:lang w:val="en-US"/>
        </w:rPr>
        <w:t xml:space="preserve">mandate </w:t>
      </w:r>
      <w:r w:rsidR="00931421">
        <w:rPr>
          <w:lang w:val="en-US"/>
        </w:rPr>
        <w:t xml:space="preserve">is </w:t>
      </w:r>
      <w:r w:rsidR="00931421" w:rsidRPr="00B43C28">
        <w:rPr>
          <w:lang w:val="en-US"/>
        </w:rPr>
        <w:t>its capacity to engage with States</w:t>
      </w:r>
      <w:r w:rsidR="00931421">
        <w:rPr>
          <w:lang w:val="en-US"/>
        </w:rPr>
        <w:t xml:space="preserve"> and other stakeholders and </w:t>
      </w:r>
      <w:r w:rsidR="00931421" w:rsidRPr="00B43C28">
        <w:rPr>
          <w:lang w:val="en-US"/>
        </w:rPr>
        <w:t>ensure</w:t>
      </w:r>
      <w:r w:rsidR="00931421">
        <w:rPr>
          <w:lang w:val="en-US"/>
        </w:rPr>
        <w:t xml:space="preserve"> </w:t>
      </w:r>
      <w:r w:rsidR="00931421" w:rsidRPr="00B43C28">
        <w:rPr>
          <w:lang w:val="en-US"/>
        </w:rPr>
        <w:t>accountability based on international human rights law</w:t>
      </w:r>
      <w:r w:rsidR="00931421">
        <w:rPr>
          <w:lang w:val="en-US"/>
        </w:rPr>
        <w:t xml:space="preserve"> – albeit with inadequate</w:t>
      </w:r>
      <w:r w:rsidR="00931421" w:rsidRPr="004F0905">
        <w:rPr>
          <w:lang w:val="en-US"/>
        </w:rPr>
        <w:t xml:space="preserve"> </w:t>
      </w:r>
      <w:r w:rsidR="00931421" w:rsidRPr="00B43C28">
        <w:rPr>
          <w:lang w:val="en-US"/>
        </w:rPr>
        <w:t>resources</w:t>
      </w:r>
      <w:r w:rsidR="00931421" w:rsidRPr="004F0905">
        <w:rPr>
          <w:lang w:val="en-US"/>
        </w:rPr>
        <w:t>.</w:t>
      </w:r>
      <w:r w:rsidR="00931421" w:rsidRPr="00B43C28">
        <w:rPr>
          <w:lang w:val="en-US"/>
        </w:rPr>
        <w:t xml:space="preserve"> Other international </w:t>
      </w:r>
      <w:r w:rsidR="00931421">
        <w:rPr>
          <w:lang w:val="en-US"/>
        </w:rPr>
        <w:t xml:space="preserve">monitoring </w:t>
      </w:r>
      <w:r w:rsidR="00931421" w:rsidRPr="00B43C28">
        <w:rPr>
          <w:lang w:val="en-US"/>
        </w:rPr>
        <w:t>bodies</w:t>
      </w:r>
      <w:r w:rsidR="00931421">
        <w:rPr>
          <w:lang w:val="en-US"/>
        </w:rPr>
        <w:t xml:space="preserve"> </w:t>
      </w:r>
      <w:r w:rsidR="00931421" w:rsidRPr="00B43C28">
        <w:rPr>
          <w:lang w:val="en-US"/>
        </w:rPr>
        <w:t xml:space="preserve">address </w:t>
      </w:r>
      <w:r w:rsidR="00931421">
        <w:rPr>
          <w:lang w:val="en-US"/>
        </w:rPr>
        <w:t xml:space="preserve">issues related to the </w:t>
      </w:r>
      <w:r w:rsidR="00931421" w:rsidRPr="00B43C28">
        <w:rPr>
          <w:lang w:val="en-US"/>
        </w:rPr>
        <w:t>right to education</w:t>
      </w:r>
      <w:r w:rsidR="00931421">
        <w:rPr>
          <w:lang w:val="en-US"/>
        </w:rPr>
        <w:t xml:space="preserve"> as one of many other issues.</w:t>
      </w:r>
      <w:r w:rsidR="00931421" w:rsidRPr="00B43C28">
        <w:rPr>
          <w:lang w:val="en-US"/>
        </w:rPr>
        <w:t xml:space="preserve"> Overall, international monitoring </w:t>
      </w:r>
      <w:r w:rsidR="00931421">
        <w:rPr>
          <w:lang w:val="en-US"/>
        </w:rPr>
        <w:t>of</w:t>
      </w:r>
      <w:r w:rsidR="00931421" w:rsidRPr="00B43C28">
        <w:rPr>
          <w:lang w:val="en-US"/>
        </w:rPr>
        <w:t xml:space="preserve"> the right to education remains poor</w:t>
      </w:r>
      <w:r w:rsidR="00931421">
        <w:rPr>
          <w:lang w:val="en-US"/>
        </w:rPr>
        <w:t>. This</w:t>
      </w:r>
      <w:r w:rsidR="00931421" w:rsidRPr="00B43C28">
        <w:rPr>
          <w:lang w:val="en-US"/>
        </w:rPr>
        <w:t xml:space="preserve"> </w:t>
      </w:r>
      <w:r w:rsidR="00931421">
        <w:rPr>
          <w:lang w:val="en-US"/>
        </w:rPr>
        <w:t xml:space="preserve">must </w:t>
      </w:r>
      <w:r w:rsidR="00931421" w:rsidRPr="00B43C28">
        <w:rPr>
          <w:lang w:val="en-US"/>
        </w:rPr>
        <w:t>be reinforced to feed in</w:t>
      </w:r>
      <w:r w:rsidR="00931421">
        <w:rPr>
          <w:lang w:val="en-US"/>
        </w:rPr>
        <w:t>to</w:t>
      </w:r>
      <w:r w:rsidR="00931421" w:rsidRPr="00B43C28">
        <w:rPr>
          <w:lang w:val="en-US"/>
        </w:rPr>
        <w:t xml:space="preserve"> policy </w:t>
      </w:r>
      <w:r w:rsidR="00931421">
        <w:rPr>
          <w:lang w:val="en-US"/>
        </w:rPr>
        <w:t xml:space="preserve">plans and </w:t>
      </w:r>
      <w:r w:rsidR="00931421" w:rsidRPr="00B43C28">
        <w:rPr>
          <w:lang w:val="en-US"/>
        </w:rPr>
        <w:t xml:space="preserve">reform. </w:t>
      </w:r>
    </w:p>
    <w:p w14:paraId="32BE016C" w14:textId="0FB35729" w:rsidR="00931421" w:rsidRPr="00B43C28" w:rsidRDefault="00454360" w:rsidP="00454360">
      <w:pPr>
        <w:pStyle w:val="SingleTxtG"/>
        <w:rPr>
          <w:lang w:val="en-US"/>
        </w:rPr>
      </w:pPr>
      <w:r>
        <w:rPr>
          <w:lang w:val="en-US"/>
        </w:rPr>
        <w:t>19.</w:t>
      </w:r>
      <w:r>
        <w:rPr>
          <w:lang w:val="en-US"/>
        </w:rPr>
        <w:tab/>
      </w:r>
      <w:r w:rsidR="00931421" w:rsidRPr="00B43C28">
        <w:rPr>
          <w:lang w:val="en-US"/>
        </w:rPr>
        <w:t xml:space="preserve">Since the </w:t>
      </w:r>
      <w:r w:rsidR="00931421">
        <w:rPr>
          <w:lang w:val="en-US"/>
        </w:rPr>
        <w:t xml:space="preserve">education </w:t>
      </w:r>
      <w:r w:rsidR="00931421" w:rsidRPr="00B43C28">
        <w:rPr>
          <w:lang w:val="en-US"/>
        </w:rPr>
        <w:t xml:space="preserve">mandate </w:t>
      </w:r>
      <w:r w:rsidR="00931421">
        <w:rPr>
          <w:lang w:val="en-US"/>
        </w:rPr>
        <w:t xml:space="preserve">was </w:t>
      </w:r>
      <w:r w:rsidR="00931421" w:rsidRPr="00B43C28">
        <w:rPr>
          <w:lang w:val="en-US"/>
        </w:rPr>
        <w:t>establish</w:t>
      </w:r>
      <w:r w:rsidR="00931421">
        <w:rPr>
          <w:lang w:val="en-US"/>
        </w:rPr>
        <w:t>ed</w:t>
      </w:r>
      <w:r w:rsidR="00931421" w:rsidRPr="00B43C28">
        <w:rPr>
          <w:lang w:val="en-US"/>
        </w:rPr>
        <w:t xml:space="preserve">, </w:t>
      </w:r>
      <w:r w:rsidR="00931421">
        <w:rPr>
          <w:lang w:val="en-US"/>
        </w:rPr>
        <w:t>31</w:t>
      </w:r>
      <w:r w:rsidR="00931421" w:rsidRPr="00B43C28">
        <w:rPr>
          <w:lang w:val="en-US"/>
        </w:rPr>
        <w:t xml:space="preserve"> country </w:t>
      </w:r>
      <w:r w:rsidR="00931421">
        <w:rPr>
          <w:lang w:val="en-US"/>
        </w:rPr>
        <w:t xml:space="preserve">or other </w:t>
      </w:r>
      <w:r w:rsidR="00931421" w:rsidRPr="00B43C28">
        <w:rPr>
          <w:lang w:val="en-US"/>
        </w:rPr>
        <w:t>visits have been conducted</w:t>
      </w:r>
      <w:r w:rsidR="00931421">
        <w:rPr>
          <w:lang w:val="en-US"/>
        </w:rPr>
        <w:t xml:space="preserve">. </w:t>
      </w:r>
      <w:r w:rsidR="00931421" w:rsidRPr="00B43C28">
        <w:t xml:space="preserve">The Special Rapporteur thanks </w:t>
      </w:r>
      <w:r w:rsidR="00931421">
        <w:t>stakeholders</w:t>
      </w:r>
      <w:r w:rsidR="00931421" w:rsidRPr="00B43C28">
        <w:t xml:space="preserve"> who have </w:t>
      </w:r>
      <w:r w:rsidR="00931421">
        <w:t>provided post-visit updates</w:t>
      </w:r>
      <w:bookmarkStart w:id="4" w:name="_Hlk129942565"/>
      <w:r w:rsidR="00931421">
        <w:t>,</w:t>
      </w:r>
      <w:bookmarkEnd w:id="4"/>
      <w:r w:rsidR="0051145A">
        <w:rPr>
          <w:rStyle w:val="FootnoteReference"/>
        </w:rPr>
        <w:footnoteReference w:id="17"/>
      </w:r>
      <w:r w:rsidR="00931421" w:rsidRPr="00B43C28">
        <w:t xml:space="preserve"> </w:t>
      </w:r>
      <w:r w:rsidR="00931421">
        <w:t>and intends to follow-up on the recommendations made by her predecessors.</w:t>
      </w:r>
    </w:p>
    <w:p w14:paraId="1D1AC3E7" w14:textId="737370AC" w:rsidR="00931421" w:rsidRDefault="00454360" w:rsidP="00454360">
      <w:pPr>
        <w:pStyle w:val="SingleTxtG"/>
      </w:pPr>
      <w:r>
        <w:t>20.</w:t>
      </w:r>
      <w:r>
        <w:tab/>
      </w:r>
      <w:r w:rsidR="00931421">
        <w:t>During the period</w:t>
      </w:r>
      <w:r w:rsidR="00931421" w:rsidRPr="00087B6A">
        <w:t xml:space="preserve"> </w:t>
      </w:r>
      <w:r w:rsidR="00931421">
        <w:t xml:space="preserve">from </w:t>
      </w:r>
      <w:r w:rsidR="00931421" w:rsidRPr="00087B6A">
        <w:t xml:space="preserve">December 2010 </w:t>
      </w:r>
      <w:r w:rsidR="00931421">
        <w:t>until</w:t>
      </w:r>
      <w:r w:rsidR="00931421" w:rsidRPr="00087B6A">
        <w:t xml:space="preserve"> April 2023, the education mandate has been involved in </w:t>
      </w:r>
      <w:r w:rsidR="00931421">
        <w:t>approximately</w:t>
      </w:r>
      <w:r w:rsidR="00931421" w:rsidRPr="00087B6A">
        <w:t xml:space="preserve"> 139 communications, </w:t>
      </w:r>
      <w:r w:rsidR="00931421">
        <w:t xml:space="preserve">quite well distributed across regions, </w:t>
      </w:r>
      <w:r w:rsidR="00931421" w:rsidRPr="00087B6A">
        <w:t>with a</w:t>
      </w:r>
      <w:r w:rsidR="00931421">
        <w:t xml:space="preserve"> generally </w:t>
      </w:r>
      <w:r w:rsidR="00931421" w:rsidRPr="00087B6A">
        <w:t xml:space="preserve">good </w:t>
      </w:r>
      <w:r w:rsidR="00931421">
        <w:t xml:space="preserve">response rate. </w:t>
      </w:r>
      <w:bookmarkStart w:id="5" w:name="_Hlk131919884"/>
      <w:r w:rsidR="00931421">
        <w:t>The highly diverse issues addressed in communications have included:</w:t>
      </w:r>
      <w:r w:rsidR="00931421" w:rsidRPr="00087B6A">
        <w:t xml:space="preserve"> discrimination in access to education, including for children with disabilities; respect for cultural rights and diversity, including minority language </w:t>
      </w:r>
      <w:r w:rsidR="00931421">
        <w:t>instruction</w:t>
      </w:r>
      <w:r w:rsidR="00931421" w:rsidRPr="00087B6A">
        <w:t xml:space="preserve">;  </w:t>
      </w:r>
      <w:r w:rsidR="00931421">
        <w:t>child protection in relation to</w:t>
      </w:r>
      <w:r w:rsidR="00931421" w:rsidRPr="00087B6A">
        <w:t xml:space="preserve"> harassment, early</w:t>
      </w:r>
      <w:r w:rsidR="00931421">
        <w:t>-age</w:t>
      </w:r>
      <w:r w:rsidR="00931421" w:rsidRPr="00087B6A">
        <w:t xml:space="preserve"> and forced marriage, </w:t>
      </w:r>
      <w:proofErr w:type="spellStart"/>
      <w:r w:rsidR="00931421" w:rsidRPr="00087B6A">
        <w:t>labor</w:t>
      </w:r>
      <w:proofErr w:type="spellEnd"/>
      <w:r w:rsidR="00931421" w:rsidRPr="00087B6A">
        <w:t>, exploitation and abduction</w:t>
      </w:r>
      <w:r w:rsidR="00931421">
        <w:t>;</w:t>
      </w:r>
      <w:r w:rsidR="00931421" w:rsidRPr="00087B6A">
        <w:t xml:space="preserve"> </w:t>
      </w:r>
      <w:bookmarkEnd w:id="5"/>
      <w:r w:rsidR="00931421" w:rsidRPr="00087B6A">
        <w:t>curricula</w:t>
      </w:r>
      <w:r w:rsidR="00931421">
        <w:t xml:space="preserve"> issues</w:t>
      </w:r>
      <w:r w:rsidR="00931421" w:rsidRPr="00087B6A">
        <w:t>; arbitrary restrictions on academic freedom, freedom of expression and peaceful assembly</w:t>
      </w:r>
      <w:r w:rsidR="00931421">
        <w:t xml:space="preserve">, </w:t>
      </w:r>
      <w:r w:rsidR="00931421" w:rsidRPr="00087B6A">
        <w:t>of learners and education</w:t>
      </w:r>
      <w:r w:rsidR="00931421">
        <w:t>al</w:t>
      </w:r>
      <w:r w:rsidR="00931421" w:rsidRPr="00087B6A">
        <w:t xml:space="preserve"> staff; banning NGOs</w:t>
      </w:r>
      <w:r w:rsidR="00931421">
        <w:t xml:space="preserve"> and </w:t>
      </w:r>
      <w:r w:rsidR="00931421" w:rsidRPr="00087B6A">
        <w:t xml:space="preserve">attacks against human rights defenders promoting the right to education; military attacks on schools and physical blockades limiting access to </w:t>
      </w:r>
      <w:r w:rsidR="00931421">
        <w:t>educational institutions</w:t>
      </w:r>
      <w:r w:rsidR="00931421" w:rsidRPr="00087B6A">
        <w:t>; restricting comprehensive sexual education</w:t>
      </w:r>
      <w:r w:rsidR="00931421">
        <w:t>,</w:t>
      </w:r>
      <w:r w:rsidR="00931421" w:rsidRPr="00087B6A">
        <w:t xml:space="preserve"> education on LGBTQI</w:t>
      </w:r>
      <w:r w:rsidR="00931421">
        <w:t>+</w:t>
      </w:r>
      <w:r w:rsidR="00931421" w:rsidRPr="00087B6A">
        <w:t xml:space="preserve"> rights and gender studies</w:t>
      </w:r>
      <w:r w:rsidR="00931421">
        <w:t>;</w:t>
      </w:r>
      <w:r w:rsidR="00931421" w:rsidRPr="00087B6A">
        <w:t xml:space="preserve"> </w:t>
      </w:r>
      <w:r w:rsidR="00931421">
        <w:t>detained</w:t>
      </w:r>
      <w:r w:rsidR="00931421" w:rsidRPr="00087B6A">
        <w:t xml:space="preserve"> minors</w:t>
      </w:r>
      <w:r w:rsidR="00931421">
        <w:t>;</w:t>
      </w:r>
      <w:r w:rsidR="00931421" w:rsidRPr="00087B6A">
        <w:t xml:space="preserve"> forced evictions </w:t>
      </w:r>
      <w:r w:rsidR="00931421">
        <w:t>affecting</w:t>
      </w:r>
      <w:r w:rsidR="00931421" w:rsidRPr="00087B6A">
        <w:t xml:space="preserve"> access to education</w:t>
      </w:r>
      <w:r w:rsidR="00931421">
        <w:t xml:space="preserve">, including  </w:t>
      </w:r>
      <w:r w:rsidR="00931421" w:rsidRPr="00087B6A">
        <w:t xml:space="preserve">indigenous and peasant </w:t>
      </w:r>
      <w:r w:rsidR="00931421" w:rsidRPr="00087B6A">
        <w:lastRenderedPageBreak/>
        <w:t>communities</w:t>
      </w:r>
      <w:r w:rsidR="00931421">
        <w:t>;</w:t>
      </w:r>
      <w:r w:rsidR="00931421" w:rsidRPr="00087B6A">
        <w:t xml:space="preserve"> the impact of privatization on education</w:t>
      </w:r>
      <w:r w:rsidR="00931421">
        <w:t>;</w:t>
      </w:r>
      <w:r w:rsidR="00931421" w:rsidRPr="00087B6A">
        <w:t xml:space="preserve"> budget cuts targeting basic services including education; </w:t>
      </w:r>
      <w:r w:rsidR="00931421">
        <w:t xml:space="preserve">and the </w:t>
      </w:r>
      <w:r w:rsidR="00931421" w:rsidRPr="00087B6A">
        <w:t xml:space="preserve">lack of access to </w:t>
      </w:r>
      <w:r w:rsidR="00931421">
        <w:t>education</w:t>
      </w:r>
      <w:r w:rsidR="00931421" w:rsidRPr="00087B6A">
        <w:t xml:space="preserve"> in informal settlements</w:t>
      </w:r>
      <w:r w:rsidR="00931421">
        <w:t>.</w:t>
      </w:r>
    </w:p>
    <w:p w14:paraId="1A271E0C" w14:textId="3257969E" w:rsidR="00931421" w:rsidRPr="00B43C28" w:rsidRDefault="00454360" w:rsidP="00454360">
      <w:pPr>
        <w:pStyle w:val="SingleTxtG"/>
        <w:rPr>
          <w:lang w:val="en-US"/>
        </w:rPr>
      </w:pPr>
      <w:r>
        <w:rPr>
          <w:lang w:val="en-US"/>
        </w:rPr>
        <w:t>21.</w:t>
      </w:r>
      <w:r>
        <w:rPr>
          <w:lang w:val="en-US"/>
        </w:rPr>
        <w:tab/>
      </w:r>
      <w:r w:rsidR="00931421">
        <w:rPr>
          <w:lang w:val="en-US"/>
        </w:rPr>
        <w:t xml:space="preserve">Regrettably, limited resources prevent </w:t>
      </w:r>
      <w:r w:rsidR="00931421" w:rsidRPr="00B43C28">
        <w:rPr>
          <w:lang w:val="en-US"/>
        </w:rPr>
        <w:t xml:space="preserve">the </w:t>
      </w:r>
      <w:r w:rsidR="00931421">
        <w:rPr>
          <w:lang w:val="en-US"/>
        </w:rPr>
        <w:t xml:space="preserve">mandate from </w:t>
      </w:r>
      <w:r w:rsidR="00931421" w:rsidRPr="00B43C28">
        <w:rPr>
          <w:lang w:val="en-US"/>
        </w:rPr>
        <w:t>respond</w:t>
      </w:r>
      <w:r w:rsidR="00931421">
        <w:rPr>
          <w:lang w:val="en-US"/>
        </w:rPr>
        <w:t>ing</w:t>
      </w:r>
      <w:r w:rsidR="00931421" w:rsidRPr="00B43C28">
        <w:rPr>
          <w:lang w:val="en-US"/>
        </w:rPr>
        <w:t xml:space="preserve"> to all allegations received</w:t>
      </w:r>
      <w:r w:rsidR="00931421">
        <w:rPr>
          <w:lang w:val="en-US"/>
        </w:rPr>
        <w:t xml:space="preserve"> and ensuring comprehensive follow-up. </w:t>
      </w:r>
      <w:r w:rsidR="00931421" w:rsidRPr="00B43C28">
        <w:rPr>
          <w:lang w:val="en-US"/>
        </w:rPr>
        <w:t>The Special Rapporteur intends to develop th</w:t>
      </w:r>
      <w:r w:rsidR="00931421">
        <w:rPr>
          <w:lang w:val="en-US"/>
        </w:rPr>
        <w:t xml:space="preserve">is </w:t>
      </w:r>
      <w:r w:rsidR="00931421" w:rsidRPr="00B43C28">
        <w:rPr>
          <w:lang w:val="en-US"/>
        </w:rPr>
        <w:t>aspect of her mandate</w:t>
      </w:r>
      <w:r w:rsidR="00931421">
        <w:rPr>
          <w:lang w:val="en-US"/>
        </w:rPr>
        <w:t xml:space="preserve"> and </w:t>
      </w:r>
      <w:r w:rsidR="00931421" w:rsidRPr="00B43C28">
        <w:rPr>
          <w:lang w:val="en-US"/>
        </w:rPr>
        <w:t>welcomes the Right to Education Initiative</w:t>
      </w:r>
      <w:r w:rsidR="00931421">
        <w:rPr>
          <w:lang w:val="en-US"/>
        </w:rPr>
        <w:t>’s</w:t>
      </w:r>
      <w:r w:rsidR="00931421" w:rsidRPr="00B43C28">
        <w:rPr>
          <w:lang w:val="en-US"/>
        </w:rPr>
        <w:t xml:space="preserve"> </w:t>
      </w:r>
      <w:r w:rsidR="00931421">
        <w:rPr>
          <w:lang w:val="en-US"/>
        </w:rPr>
        <w:t>M</w:t>
      </w:r>
      <w:r w:rsidR="00931421" w:rsidRPr="00B43C28">
        <w:rPr>
          <w:lang w:val="en-US"/>
        </w:rPr>
        <w:t xml:space="preserve">onitoring </w:t>
      </w:r>
      <w:r w:rsidR="00931421">
        <w:rPr>
          <w:lang w:val="en-US"/>
        </w:rPr>
        <w:t>G</w:t>
      </w:r>
      <w:r w:rsidR="00931421" w:rsidRPr="00B43C28">
        <w:rPr>
          <w:lang w:val="en-US"/>
        </w:rPr>
        <w:t>uide</w:t>
      </w:r>
      <w:r w:rsidR="00931421">
        <w:rPr>
          <w:lang w:val="en-US"/>
        </w:rPr>
        <w:t xml:space="preserve">, which facilitates </w:t>
      </w:r>
      <w:r w:rsidR="00931421" w:rsidRPr="00B43C28">
        <w:rPr>
          <w:lang w:val="en-US"/>
        </w:rPr>
        <w:t>civil society actors</w:t>
      </w:r>
      <w:r w:rsidR="00931421">
        <w:rPr>
          <w:lang w:val="en-US"/>
        </w:rPr>
        <w:t>’</w:t>
      </w:r>
      <w:r w:rsidR="00931421" w:rsidRPr="00B43C28">
        <w:rPr>
          <w:lang w:val="en-US"/>
        </w:rPr>
        <w:t xml:space="preserve"> </w:t>
      </w:r>
      <w:r w:rsidR="00931421">
        <w:rPr>
          <w:lang w:val="en-US"/>
        </w:rPr>
        <w:t>invaluable</w:t>
      </w:r>
      <w:r w:rsidR="00931421" w:rsidRPr="00B43C28">
        <w:rPr>
          <w:lang w:val="en-US"/>
        </w:rPr>
        <w:t xml:space="preserve"> contribut</w:t>
      </w:r>
      <w:r w:rsidR="00931421">
        <w:rPr>
          <w:lang w:val="en-US"/>
        </w:rPr>
        <w:t>ion</w:t>
      </w:r>
      <w:r w:rsidR="00931421" w:rsidRPr="00B43C28">
        <w:rPr>
          <w:lang w:val="en-US"/>
        </w:rPr>
        <w:t xml:space="preserve"> to the </w:t>
      </w:r>
      <w:r w:rsidR="00931421">
        <w:rPr>
          <w:lang w:val="en-US"/>
        </w:rPr>
        <w:t xml:space="preserve">monitoring </w:t>
      </w:r>
      <w:r w:rsidR="00931421" w:rsidRPr="00B43C28">
        <w:rPr>
          <w:lang w:val="en-US"/>
        </w:rPr>
        <w:t>process.</w:t>
      </w:r>
      <w:r w:rsidR="00B32E5D">
        <w:rPr>
          <w:rStyle w:val="FootnoteReference"/>
          <w:lang w:val="en-US"/>
        </w:rPr>
        <w:footnoteReference w:id="18"/>
      </w:r>
    </w:p>
    <w:p w14:paraId="645DDAEF" w14:textId="6D02D61B" w:rsidR="00931421" w:rsidRPr="00454360" w:rsidRDefault="00454360" w:rsidP="00454360">
      <w:pPr>
        <w:pStyle w:val="SingleTxtG"/>
      </w:pPr>
      <w:r>
        <w:t>22.</w:t>
      </w:r>
      <w:r>
        <w:tab/>
      </w:r>
      <w:r w:rsidR="00931421" w:rsidRPr="00454360">
        <w:t>Effective implementation and monitoring require reliable data. Limitations in education-related data regimes undermine the ability to effectively address inequalities and can even reinforce inequality.</w:t>
      </w:r>
      <w:r w:rsidR="006F7342">
        <w:rPr>
          <w:rStyle w:val="FootnoteReference"/>
        </w:rPr>
        <w:footnoteReference w:id="19"/>
      </w:r>
      <w:r w:rsidR="00931421" w:rsidRPr="00454360">
        <w:t xml:space="preserve"> Particular concern has been raised on missing or unreliable data as well as failures to </w:t>
      </w:r>
      <w:proofErr w:type="gramStart"/>
      <w:r w:rsidR="00931421" w:rsidRPr="00454360">
        <w:t>take into account</w:t>
      </w:r>
      <w:proofErr w:type="gramEnd"/>
      <w:r w:rsidR="00931421" w:rsidRPr="00454360">
        <w:t xml:space="preserve"> </w:t>
      </w:r>
      <w:proofErr w:type="spellStart"/>
      <w:r w:rsidR="00931421" w:rsidRPr="00454360">
        <w:t>intersectionalities</w:t>
      </w:r>
      <w:proofErr w:type="spellEnd"/>
      <w:r w:rsidR="00931421" w:rsidRPr="00454360">
        <w:t>,</w:t>
      </w:r>
      <w:r w:rsidR="006F7342">
        <w:rPr>
          <w:rStyle w:val="FootnoteReference"/>
        </w:rPr>
        <w:footnoteReference w:id="20"/>
      </w:r>
      <w:r w:rsidR="00931421" w:rsidRPr="00454360">
        <w:t xml:space="preserve"> for example regarding children with visual impairments, or forcibly displaced, asylum-seeking and refugee children worldwide. Efforts to harmonize data collection methodologies in emergencies and protracted crises should be encouraged.</w:t>
      </w:r>
      <w:r w:rsidR="00212D01">
        <w:rPr>
          <w:rStyle w:val="FootnoteReference"/>
        </w:rPr>
        <w:footnoteReference w:id="21"/>
      </w:r>
    </w:p>
    <w:p w14:paraId="705E482C" w14:textId="2C0A230B" w:rsidR="00931421" w:rsidRPr="00454360" w:rsidRDefault="00454360" w:rsidP="00454360">
      <w:pPr>
        <w:pStyle w:val="HChG"/>
      </w:pPr>
      <w:r>
        <w:tab/>
      </w:r>
      <w:r w:rsidRPr="00454360">
        <w:t>III.</w:t>
      </w:r>
      <w:r>
        <w:tab/>
      </w:r>
      <w:r w:rsidR="00931421" w:rsidRPr="00454360">
        <w:t xml:space="preserve">The content of the right to education </w:t>
      </w:r>
    </w:p>
    <w:p w14:paraId="67020268" w14:textId="2BEF436C" w:rsidR="00931421" w:rsidRDefault="00BA39FA" w:rsidP="00BA39FA">
      <w:pPr>
        <w:pStyle w:val="H1G"/>
        <w:rPr>
          <w:lang w:val="en-US"/>
        </w:rPr>
      </w:pPr>
      <w:r>
        <w:rPr>
          <w:lang w:val="en-US"/>
        </w:rPr>
        <w:tab/>
        <w:t>A.</w:t>
      </w:r>
      <w:r>
        <w:rPr>
          <w:lang w:val="en-US"/>
        </w:rPr>
        <w:tab/>
      </w:r>
      <w:r w:rsidR="00931421" w:rsidRPr="00B43C28">
        <w:rPr>
          <w:lang w:val="en-US"/>
        </w:rPr>
        <w:t>The aims of education: the right to learn</w:t>
      </w:r>
    </w:p>
    <w:p w14:paraId="0A08A785" w14:textId="4ABE0EB5" w:rsidR="00931421" w:rsidRDefault="00BA39FA" w:rsidP="00BA39FA">
      <w:pPr>
        <w:pStyle w:val="SingleTxtG"/>
      </w:pPr>
      <w:r>
        <w:rPr>
          <w:lang w:val="en-US"/>
        </w:rPr>
        <w:t>23.</w:t>
      </w:r>
      <w:r>
        <w:rPr>
          <w:lang w:val="en-US"/>
        </w:rPr>
        <w:tab/>
      </w:r>
      <w:r w:rsidR="00931421" w:rsidRPr="00B43C28">
        <w:rPr>
          <w:lang w:val="en-US"/>
        </w:rPr>
        <w:t xml:space="preserve">Since the adoption of the </w:t>
      </w:r>
      <w:r w:rsidR="00931421">
        <w:rPr>
          <w:lang w:val="en-US"/>
        </w:rPr>
        <w:t>Universal Declaration of Human Rights</w:t>
      </w:r>
      <w:r w:rsidR="00931421" w:rsidRPr="00B43C28">
        <w:rPr>
          <w:lang w:val="en-US"/>
        </w:rPr>
        <w:t xml:space="preserve">, States have reiterated in numerous instruments </w:t>
      </w:r>
      <w:r w:rsidR="00931421">
        <w:rPr>
          <w:lang w:val="en-US"/>
        </w:rPr>
        <w:t>that</w:t>
      </w:r>
      <w:r w:rsidR="00931421" w:rsidRPr="00B43C28">
        <w:t xml:space="preserve"> “education shall be directed to the full development of the human personality and to the strengthening of respect for human rights and fundamental freedoms. It shall promote understanding, tolerance and friendship among all nations, racial or religious groups, and shall further the activities of the United Nations for the maintenance of peace”.</w:t>
      </w:r>
      <w:r w:rsidR="00956191">
        <w:rPr>
          <w:rStyle w:val="FootnoteReference"/>
        </w:rPr>
        <w:footnoteReference w:id="22"/>
      </w:r>
      <w:r w:rsidR="00931421" w:rsidRPr="00B43C28">
        <w:t xml:space="preserve"> </w:t>
      </w:r>
    </w:p>
    <w:p w14:paraId="2AEADA74" w14:textId="0B034DA7" w:rsidR="00931421" w:rsidRPr="009F7332" w:rsidRDefault="00BA39FA" w:rsidP="00BA39FA">
      <w:pPr>
        <w:pStyle w:val="SingleTxtG"/>
      </w:pPr>
      <w:r>
        <w:t>24.</w:t>
      </w:r>
      <w:r>
        <w:tab/>
      </w:r>
      <w:r w:rsidR="00931421" w:rsidRPr="00B43C28">
        <w:t>These aims</w:t>
      </w:r>
      <w:r w:rsidR="00931421">
        <w:t>, centred around both individual and collective development,</w:t>
      </w:r>
      <w:r w:rsidR="00931421" w:rsidRPr="00B43C28">
        <w:t xml:space="preserve"> are </w:t>
      </w:r>
      <w:r w:rsidR="00931421">
        <w:t>continuously</w:t>
      </w:r>
      <w:r w:rsidR="00931421" w:rsidRPr="00B43C28">
        <w:t xml:space="preserve"> refined as new commitments are adopted, particularly through article 29 of the CRC, SDG Target 4.7, </w:t>
      </w:r>
      <w:r w:rsidR="00931421">
        <w:t xml:space="preserve">the </w:t>
      </w:r>
      <w:r w:rsidR="00931421" w:rsidRPr="00B43C28">
        <w:t>Incheon Declaration (para. 5)</w:t>
      </w:r>
      <w:r w:rsidR="00931421">
        <w:t xml:space="preserve"> and the </w:t>
      </w:r>
      <w:r w:rsidR="00931421" w:rsidRPr="00B43C28">
        <w:t>Education 2030 Framework for Action (para. 6)</w:t>
      </w:r>
      <w:r w:rsidR="00931421">
        <w:t xml:space="preserve">, as well as initiatives </w:t>
      </w:r>
      <w:r w:rsidR="00931421" w:rsidRPr="00B43C28">
        <w:t xml:space="preserve">to develop Human Rights Education, Global Citizenship Education, </w:t>
      </w:r>
      <w:r w:rsidR="00931421">
        <w:t xml:space="preserve">and </w:t>
      </w:r>
      <w:r w:rsidR="00931421" w:rsidRPr="00B43C28">
        <w:t>Education for Sustainable Development</w:t>
      </w:r>
      <w:r w:rsidR="00931421">
        <w:t>.</w:t>
      </w:r>
      <w:r w:rsidR="00931421" w:rsidRPr="00B43C28">
        <w:t xml:space="preserve"> </w:t>
      </w:r>
      <w:r w:rsidR="00931421">
        <w:t>T</w:t>
      </w:r>
      <w:r w:rsidR="00931421" w:rsidRPr="003504AD">
        <w:rPr>
          <w:lang w:val="en-US"/>
        </w:rPr>
        <w:t xml:space="preserve">he right to education must </w:t>
      </w:r>
      <w:r w:rsidR="00931421">
        <w:rPr>
          <w:lang w:val="en-US"/>
        </w:rPr>
        <w:t>empower</w:t>
      </w:r>
      <w:r w:rsidR="00931421" w:rsidRPr="003504AD">
        <w:rPr>
          <w:lang w:val="en-US"/>
        </w:rPr>
        <w:t xml:space="preserve"> people to </w:t>
      </w:r>
      <w:r w:rsidR="00931421">
        <w:rPr>
          <w:lang w:val="en-US"/>
        </w:rPr>
        <w:t>reach</w:t>
      </w:r>
      <w:r w:rsidR="00931421" w:rsidRPr="003504AD">
        <w:rPr>
          <w:lang w:val="en-US"/>
        </w:rPr>
        <w:t xml:space="preserve"> their full</w:t>
      </w:r>
      <w:r w:rsidR="00931421">
        <w:rPr>
          <w:lang w:val="en-US"/>
        </w:rPr>
        <w:t>est</w:t>
      </w:r>
      <w:r w:rsidR="00931421" w:rsidRPr="003504AD">
        <w:rPr>
          <w:lang w:val="en-US"/>
        </w:rPr>
        <w:t xml:space="preserve"> potential</w:t>
      </w:r>
      <w:r w:rsidR="00931421">
        <w:rPr>
          <w:lang w:val="en-US"/>
        </w:rPr>
        <w:t>, not only as individuals but also as members of their communities and society through meaningful</w:t>
      </w:r>
      <w:r w:rsidR="00931421" w:rsidRPr="003504AD">
        <w:rPr>
          <w:lang w:val="en-US"/>
        </w:rPr>
        <w:t xml:space="preserve"> social, cultural, economic, and political</w:t>
      </w:r>
      <w:r w:rsidR="00931421">
        <w:rPr>
          <w:lang w:val="en-US"/>
        </w:rPr>
        <w:t xml:space="preserve"> participation</w:t>
      </w:r>
      <w:r w:rsidR="00931421" w:rsidRPr="003504AD">
        <w:rPr>
          <w:lang w:val="en-US"/>
        </w:rPr>
        <w:t>.</w:t>
      </w:r>
      <w:r w:rsidR="00931421" w:rsidRPr="003504AD">
        <w:rPr>
          <w:rStyle w:val="FootnoteReference"/>
        </w:rPr>
        <w:t xml:space="preserve"> </w:t>
      </w:r>
      <w:r w:rsidR="00931421">
        <w:t>In addition, “the new social contract for e</w:t>
      </w:r>
      <w:r w:rsidR="00931421" w:rsidRPr="0042495F">
        <w:t xml:space="preserve">ducation must aim to unite us around collective endeavours and provide the knowledge, science, and innovation needed to shape sustainable futures for all anchored in social, economic, and </w:t>
      </w:r>
      <w:r w:rsidR="00931421" w:rsidRPr="009F7332">
        <w:t>environmental justice. It must redress past injustices while preparing us for environmental, technological, and social changes on the horizon.</w:t>
      </w:r>
      <w:r w:rsidR="00931421">
        <w:t>”</w:t>
      </w:r>
      <w:r w:rsidR="00107142">
        <w:rPr>
          <w:rStyle w:val="FootnoteReference"/>
        </w:rPr>
        <w:footnoteReference w:id="23"/>
      </w:r>
      <w:r w:rsidR="00931421">
        <w:t xml:space="preserve"> </w:t>
      </w:r>
    </w:p>
    <w:p w14:paraId="2C66D1F2" w14:textId="70702E3C" w:rsidR="00931421" w:rsidRPr="009F7332" w:rsidRDefault="00BA39FA" w:rsidP="00BA39FA">
      <w:pPr>
        <w:pStyle w:val="SingleTxtG"/>
      </w:pPr>
      <w:r>
        <w:t>25.</w:t>
      </w:r>
      <w:r>
        <w:tab/>
      </w:r>
      <w:r w:rsidR="00931421" w:rsidRPr="009F7332">
        <w:t>These aims must be read in conjunction with</w:t>
      </w:r>
      <w:r w:rsidR="00931421">
        <w:t xml:space="preserve"> proposals made by</w:t>
      </w:r>
      <w:r w:rsidR="00931421" w:rsidRPr="009F7332">
        <w:t xml:space="preserve"> the International Commission on Education for the Twenty-first Century, </w:t>
      </w:r>
      <w:r w:rsidR="00931421" w:rsidRPr="009F7332">
        <w:rPr>
          <w:i/>
        </w:rPr>
        <w:t>Learning: The Treasure Within</w:t>
      </w:r>
      <w:r w:rsidR="00931421" w:rsidRPr="009F7332">
        <w:t xml:space="preserve"> (“</w:t>
      </w:r>
      <w:proofErr w:type="spellStart"/>
      <w:proofErr w:type="gramStart"/>
      <w:r w:rsidR="00931421" w:rsidRPr="009F7332">
        <w:t>Delors</w:t>
      </w:r>
      <w:proofErr w:type="spellEnd"/>
      <w:proofErr w:type="gramEnd"/>
      <w:r w:rsidR="00931421" w:rsidRPr="009F7332">
        <w:t xml:space="preserve"> report”), which proposed </w:t>
      </w:r>
      <w:proofErr w:type="spellStart"/>
      <w:r w:rsidR="00931421" w:rsidRPr="009F7332">
        <w:t>centering</w:t>
      </w:r>
      <w:proofErr w:type="spellEnd"/>
      <w:r w:rsidR="00931421" w:rsidRPr="009F7332">
        <w:t xml:space="preserve"> </w:t>
      </w:r>
      <w:r w:rsidR="00931421">
        <w:t>long</w:t>
      </w:r>
      <w:r w:rsidR="00931421" w:rsidRPr="009F7332">
        <w:t xml:space="preserve">-life education on four key pillars: learning to know, </w:t>
      </w:r>
      <w:r w:rsidR="00931421">
        <w:t xml:space="preserve">to </w:t>
      </w:r>
      <w:r w:rsidR="00931421" w:rsidRPr="009F7332">
        <w:t xml:space="preserve">do, </w:t>
      </w:r>
      <w:r w:rsidR="00931421">
        <w:t>to</w:t>
      </w:r>
      <w:r w:rsidR="00931421" w:rsidRPr="009F7332">
        <w:t xml:space="preserve"> live together and </w:t>
      </w:r>
      <w:r w:rsidR="00931421">
        <w:t xml:space="preserve">to </w:t>
      </w:r>
      <w:r w:rsidR="00931421" w:rsidRPr="009F7332">
        <w:t>be.</w:t>
      </w:r>
      <w:r w:rsidR="00107142">
        <w:rPr>
          <w:rStyle w:val="FootnoteReference"/>
        </w:rPr>
        <w:footnoteReference w:id="24"/>
      </w:r>
      <w:r w:rsidR="00931421" w:rsidRPr="009F7332">
        <w:t xml:space="preserve"> In this regard, the Special Rapporteur warns against any potential confusion arising from the expression</w:t>
      </w:r>
      <w:r w:rsidR="00931421">
        <w:t xml:space="preserve">s </w:t>
      </w:r>
      <w:r w:rsidR="00931421" w:rsidRPr="009F7332">
        <w:t>“learning poverty”</w:t>
      </w:r>
      <w:r w:rsidR="00931421">
        <w:t>.</w:t>
      </w:r>
      <w:r w:rsidR="00931421" w:rsidRPr="009F7332">
        <w:t xml:space="preserve"> based on the criteria of 10-year-olds inability to read and understand a simple text. What the approach </w:t>
      </w:r>
      <w:r w:rsidR="00931421" w:rsidRPr="009F7332">
        <w:lastRenderedPageBreak/>
        <w:t>reveals is useful: latest estimates suggest 64.3 percent of 10-year-olds globally are unable to meet the criteria.</w:t>
      </w:r>
      <w:r w:rsidR="00107142">
        <w:rPr>
          <w:rStyle w:val="FootnoteReference"/>
        </w:rPr>
        <w:footnoteReference w:id="25"/>
      </w:r>
      <w:r w:rsidR="00931421" w:rsidRPr="009F7332">
        <w:t xml:space="preserve"> </w:t>
      </w:r>
      <w:r w:rsidR="00931421">
        <w:t xml:space="preserve">However, </w:t>
      </w:r>
      <w:r w:rsidR="00931421" w:rsidRPr="009F7332">
        <w:t>this</w:t>
      </w:r>
      <w:r w:rsidR="00931421">
        <w:t xml:space="preserve"> statistic </w:t>
      </w:r>
      <w:r w:rsidR="00931421" w:rsidRPr="009F7332">
        <w:t xml:space="preserve">only relates to one of </w:t>
      </w:r>
      <w:r w:rsidR="00931421">
        <w:t xml:space="preserve">the </w:t>
      </w:r>
      <w:r w:rsidR="00931421" w:rsidRPr="009F7332">
        <w:t>four essential features of the right to education as a right to learn</w:t>
      </w:r>
      <w:r w:rsidR="00931421">
        <w:t xml:space="preserve">: the </w:t>
      </w:r>
      <w:r w:rsidR="00931421" w:rsidRPr="009F7332">
        <w:t>right to know. It also</w:t>
      </w:r>
      <w:r w:rsidR="00931421">
        <w:t xml:space="preserve"> </w:t>
      </w:r>
      <w:r w:rsidR="00931421" w:rsidRPr="009F7332">
        <w:t>inadvertently suggests the problem lies with learners not educational systems.</w:t>
      </w:r>
    </w:p>
    <w:p w14:paraId="76B309AF" w14:textId="5841A08B" w:rsidR="00931421" w:rsidRPr="00126A2A" w:rsidRDefault="00BA39FA" w:rsidP="00BA39FA">
      <w:pPr>
        <w:pStyle w:val="SingleTxtG"/>
      </w:pPr>
      <w:r>
        <w:t>26.</w:t>
      </w:r>
      <w:r>
        <w:tab/>
      </w:r>
      <w:r w:rsidR="00931421" w:rsidRPr="009F7332">
        <w:t xml:space="preserve">The </w:t>
      </w:r>
      <w:r w:rsidR="00931421">
        <w:t>education</w:t>
      </w:r>
      <w:r w:rsidR="00931421" w:rsidRPr="009F7332">
        <w:t xml:space="preserve"> mandate has contributed to discussion</w:t>
      </w:r>
      <w:r w:rsidR="00931421">
        <w:t>s</w:t>
      </w:r>
      <w:r w:rsidR="00931421" w:rsidRPr="009F7332">
        <w:t xml:space="preserve"> </w:t>
      </w:r>
      <w:r w:rsidR="00931421">
        <w:t>about</w:t>
      </w:r>
      <w:r w:rsidR="00931421" w:rsidRPr="009F7332">
        <w:t xml:space="preserve"> the aims of education, </w:t>
      </w:r>
      <w:r w:rsidR="00931421">
        <w:t>emphasizing</w:t>
      </w:r>
      <w:r w:rsidR="00931421" w:rsidRPr="009F7332">
        <w:t xml:space="preserve"> that </w:t>
      </w:r>
      <w:r w:rsidR="00931421">
        <w:t>its</w:t>
      </w:r>
      <w:r w:rsidR="00931421" w:rsidRPr="009F7332">
        <w:t xml:space="preserve"> widely recognized objectives </w:t>
      </w:r>
      <w:r w:rsidR="00931421">
        <w:t xml:space="preserve">today </w:t>
      </w:r>
      <w:r w:rsidR="00931421" w:rsidRPr="009F7332">
        <w:t>are peace, acceptance, participation of all in developing society, understanding the “other”, recognition of cultural diversity and an education that is adequate and adapted to the specific needs of people in their own context</w:t>
      </w:r>
      <w:r w:rsidR="00931421">
        <w:t>.</w:t>
      </w:r>
      <w:r w:rsidR="00107142">
        <w:rPr>
          <w:rStyle w:val="FootnoteReference"/>
        </w:rPr>
        <w:footnoteReference w:id="26"/>
      </w:r>
      <w:r w:rsidR="00931421" w:rsidRPr="009F7332">
        <w:t xml:space="preserve"> </w:t>
      </w:r>
      <w:r w:rsidR="00931421">
        <w:rPr>
          <w:lang w:val="en-US"/>
        </w:rPr>
        <w:t>Furthermore, u</w:t>
      </w:r>
      <w:r w:rsidR="00931421" w:rsidRPr="009F7332">
        <w:rPr>
          <w:lang w:val="en-US"/>
        </w:rPr>
        <w:t>nderstanding t</w:t>
      </w:r>
      <w:r w:rsidR="00931421" w:rsidRPr="009F7332">
        <w:t xml:space="preserve">he right to education as a cultural right means that each person has the right to </w:t>
      </w:r>
      <w:r w:rsidR="00931421">
        <w:t xml:space="preserve">access all </w:t>
      </w:r>
      <w:r w:rsidR="00931421" w:rsidRPr="009F7332">
        <w:t xml:space="preserve">the cultural resources necessary to freely follow a process of identification, experience mutually rewarding lifelong relations, deal with the crucial challenges facing </w:t>
      </w:r>
      <w:r w:rsidR="00931421">
        <w:t>the</w:t>
      </w:r>
      <w:r w:rsidR="00931421" w:rsidRPr="009F7332">
        <w:t xml:space="preserve"> world, and to engage in practices that make it possible to take ownership of</w:t>
      </w:r>
      <w:r w:rsidR="00931421">
        <w:t>,</w:t>
      </w:r>
      <w:r w:rsidR="00931421" w:rsidRPr="009F7332">
        <w:t xml:space="preserve"> and contribute to</w:t>
      </w:r>
      <w:r w:rsidR="00931421">
        <w:t>,</w:t>
      </w:r>
      <w:r w:rsidR="00931421" w:rsidRPr="009F7332">
        <w:t xml:space="preserve"> cultural resources.</w:t>
      </w:r>
      <w:r w:rsidR="00F51ECF">
        <w:rPr>
          <w:rStyle w:val="FootnoteReference"/>
        </w:rPr>
        <w:footnoteReference w:id="27"/>
      </w:r>
      <w:r w:rsidR="00931421" w:rsidRPr="009F7332">
        <w:t xml:space="preserve"> </w:t>
      </w:r>
      <w:r w:rsidR="00931421" w:rsidRPr="009F7332">
        <w:rPr>
          <w:lang w:val="en-US"/>
        </w:rPr>
        <w:t xml:space="preserve">Beyond the transmission of cognitive learning and knowledge, </w:t>
      </w:r>
      <w:r w:rsidR="00931421" w:rsidRPr="009F7332">
        <w:t>education must always promote an ABCDE framework</w:t>
      </w:r>
      <w:r w:rsidR="00931421">
        <w:t>:</w:t>
      </w:r>
      <w:r w:rsidR="00931421" w:rsidRPr="009F7332">
        <w:t xml:space="preserve"> Acceptance, Belonging, Critical thinking, Diversity, and Empathy.</w:t>
      </w:r>
      <w:r w:rsidR="00F51ECF">
        <w:rPr>
          <w:rStyle w:val="FootnoteReference"/>
        </w:rPr>
        <w:footnoteReference w:id="28"/>
      </w:r>
      <w:r w:rsidR="00931421" w:rsidRPr="00126A2A">
        <w:t xml:space="preserve"> </w:t>
      </w:r>
      <w:r w:rsidR="00931421">
        <w:t xml:space="preserve">In particular, </w:t>
      </w:r>
      <w:r w:rsidR="00931421" w:rsidRPr="004F411D">
        <w:t>education must be free of propaganda and must always imply a focus on the free development and exercise of critical thinking</w:t>
      </w:r>
      <w:r w:rsidR="00931421">
        <w:t>, which is at the core of the right to learn</w:t>
      </w:r>
      <w:r w:rsidR="00931421" w:rsidRPr="004F411D">
        <w:t>.</w:t>
      </w:r>
      <w:r w:rsidR="00F51ECF">
        <w:rPr>
          <w:rStyle w:val="FootnoteReference"/>
        </w:rPr>
        <w:footnoteReference w:id="29"/>
      </w:r>
      <w:r w:rsidR="00931421">
        <w:t xml:space="preserve"> The Special Rapporteur also notes the </w:t>
      </w:r>
      <w:r w:rsidR="00931421" w:rsidRPr="00126A2A">
        <w:rPr>
          <w:lang w:val="en-US"/>
        </w:rPr>
        <w:t>increasing recognition of the vitality of socio-emotional learning</w:t>
      </w:r>
      <w:r w:rsidR="00931421" w:rsidRPr="00126A2A">
        <w:t>.</w:t>
      </w:r>
      <w:r w:rsidR="00BA2006">
        <w:rPr>
          <w:rStyle w:val="FootnoteReference"/>
        </w:rPr>
        <w:footnoteReference w:id="30"/>
      </w:r>
      <w:r w:rsidR="00931421" w:rsidRPr="00126A2A">
        <w:rPr>
          <w:lang w:val="en-US"/>
        </w:rPr>
        <w:t xml:space="preserve"> </w:t>
      </w:r>
    </w:p>
    <w:p w14:paraId="60EC777D" w14:textId="04BD534B" w:rsidR="00931421" w:rsidRDefault="00BA39FA" w:rsidP="00BA39FA">
      <w:pPr>
        <w:pStyle w:val="SingleTxtG"/>
      </w:pPr>
      <w:r>
        <w:rPr>
          <w:lang w:val="en-US"/>
        </w:rPr>
        <w:t>27.</w:t>
      </w:r>
      <w:r>
        <w:rPr>
          <w:lang w:val="en-US"/>
        </w:rPr>
        <w:tab/>
      </w:r>
      <w:r w:rsidR="00931421" w:rsidRPr="004C0459">
        <w:rPr>
          <w:lang w:val="en-US"/>
        </w:rPr>
        <w:t xml:space="preserve">The right to education </w:t>
      </w:r>
      <w:r w:rsidR="00931421">
        <w:rPr>
          <w:lang w:val="en-US"/>
        </w:rPr>
        <w:t xml:space="preserve">necessarily includes </w:t>
      </w:r>
      <w:r w:rsidR="00931421" w:rsidRPr="004C0459">
        <w:rPr>
          <w:lang w:val="en-US"/>
        </w:rPr>
        <w:t xml:space="preserve">access to information </w:t>
      </w:r>
      <w:r w:rsidR="00931421">
        <w:rPr>
          <w:lang w:val="en-US"/>
        </w:rPr>
        <w:t xml:space="preserve">and learning about </w:t>
      </w:r>
      <w:r w:rsidR="00931421" w:rsidRPr="004C0459">
        <w:rPr>
          <w:lang w:val="en-US"/>
        </w:rPr>
        <w:t xml:space="preserve">issues important for </w:t>
      </w:r>
      <w:r w:rsidR="00931421">
        <w:rPr>
          <w:lang w:val="en-US"/>
        </w:rPr>
        <w:t>reaching the aims of education, notably h</w:t>
      </w:r>
      <w:r w:rsidR="00931421" w:rsidRPr="004C0459">
        <w:rPr>
          <w:lang w:val="en-US"/>
        </w:rPr>
        <w:t>uman rights education</w:t>
      </w:r>
      <w:r w:rsidR="00931421">
        <w:rPr>
          <w:lang w:val="en-US"/>
        </w:rPr>
        <w:t xml:space="preserve">, which </w:t>
      </w:r>
      <w:r w:rsidR="00931421" w:rsidRPr="00534E29">
        <w:t xml:space="preserve">should </w:t>
      </w:r>
      <w:r w:rsidR="00931421">
        <w:t xml:space="preserve">be </w:t>
      </w:r>
      <w:r w:rsidR="00931421" w:rsidRPr="00534E29">
        <w:t>systematically and holistically integrate</w:t>
      </w:r>
      <w:r w:rsidR="00931421">
        <w:t>d</w:t>
      </w:r>
      <w:r w:rsidR="00931421" w:rsidRPr="004C0459">
        <w:rPr>
          <w:lang w:val="en-US"/>
        </w:rPr>
        <w:t>.</w:t>
      </w:r>
      <w:r w:rsidR="00DE2900">
        <w:rPr>
          <w:rStyle w:val="FootnoteReference"/>
          <w:lang w:val="en-US"/>
        </w:rPr>
        <w:footnoteReference w:id="31"/>
      </w:r>
      <w:r w:rsidR="00931421" w:rsidRPr="004C0459">
        <w:rPr>
          <w:lang w:val="en-US"/>
        </w:rPr>
        <w:t xml:space="preserve"> The 2011 U</w:t>
      </w:r>
      <w:r w:rsidR="00931421">
        <w:rPr>
          <w:lang w:val="en-US"/>
        </w:rPr>
        <w:t xml:space="preserve">nited Nations </w:t>
      </w:r>
      <w:r w:rsidR="00931421" w:rsidRPr="004C0459">
        <w:rPr>
          <w:lang w:val="en-US"/>
        </w:rPr>
        <w:t>Declaration on Human Rights Education and Training s</w:t>
      </w:r>
      <w:r w:rsidR="00931421">
        <w:rPr>
          <w:lang w:val="en-US"/>
        </w:rPr>
        <w:t xml:space="preserve">pecifies </w:t>
      </w:r>
      <w:r w:rsidR="00931421" w:rsidRPr="004C0459">
        <w:rPr>
          <w:lang w:val="en-US"/>
        </w:rPr>
        <w:t xml:space="preserve">that </w:t>
      </w:r>
      <w:r w:rsidR="00931421" w:rsidRPr="004C0459">
        <w:rPr>
          <w:spacing w:val="4"/>
        </w:rPr>
        <w:t>everyone has the right to know, seek and receive information about</w:t>
      </w:r>
      <w:r w:rsidR="00931421">
        <w:rPr>
          <w:spacing w:val="4"/>
        </w:rPr>
        <w:t>,</w:t>
      </w:r>
      <w:r w:rsidR="00931421" w:rsidRPr="004C0459">
        <w:rPr>
          <w:spacing w:val="4"/>
        </w:rPr>
        <w:t xml:space="preserve"> </w:t>
      </w:r>
      <w:r w:rsidR="00931421">
        <w:rPr>
          <w:spacing w:val="4"/>
        </w:rPr>
        <w:t xml:space="preserve">and to access education and training on, </w:t>
      </w:r>
      <w:r w:rsidR="00931421" w:rsidRPr="004C0459">
        <w:rPr>
          <w:spacing w:val="4"/>
        </w:rPr>
        <w:t>all human rights and fundamental freedoms.</w:t>
      </w:r>
      <w:r w:rsidR="00931421" w:rsidRPr="004C0459">
        <w:t xml:space="preserve"> </w:t>
      </w:r>
    </w:p>
    <w:p w14:paraId="1E29024B" w14:textId="3BA5B062" w:rsidR="00931421" w:rsidRPr="002E7ABE" w:rsidRDefault="00BA39FA" w:rsidP="00BA39FA">
      <w:pPr>
        <w:pStyle w:val="SingleTxtG"/>
        <w:rPr>
          <w:lang w:val="en-US"/>
        </w:rPr>
      </w:pPr>
      <w:r>
        <w:rPr>
          <w:lang w:val="en-US"/>
        </w:rPr>
        <w:t>28.</w:t>
      </w:r>
      <w:r>
        <w:rPr>
          <w:lang w:val="en-US"/>
        </w:rPr>
        <w:tab/>
      </w:r>
      <w:r w:rsidR="00931421" w:rsidRPr="002E7ABE">
        <w:rPr>
          <w:lang w:val="en-US"/>
        </w:rPr>
        <w:t xml:space="preserve">The right to learn about important issues </w:t>
      </w:r>
      <w:r w:rsidR="00931421" w:rsidRPr="002E7ABE">
        <w:t>includes accessing</w:t>
      </w:r>
      <w:r w:rsidR="00931421" w:rsidRPr="002E7ABE">
        <w:rPr>
          <w:lang w:val="en-US"/>
        </w:rPr>
        <w:t xml:space="preserve"> comprehensive sexual education, as mentioned in the 2030 Framework for Action (para. 63) and SDG indicator 4.7.2. </w:t>
      </w:r>
      <w:r w:rsidR="00931421" w:rsidRPr="002E7ABE">
        <w:rPr>
          <w:spacing w:val="4"/>
        </w:rPr>
        <w:t>In 2023, the Special Rapporteur and other Special procedures published a Compendium on Comprehensive Sexuality Education recalling international standards</w:t>
      </w:r>
      <w:r w:rsidR="00931421">
        <w:rPr>
          <w:spacing w:val="4"/>
        </w:rPr>
        <w:t xml:space="preserve"> obliging </w:t>
      </w:r>
      <w:r w:rsidR="00931421" w:rsidRPr="002E7ABE">
        <w:rPr>
          <w:spacing w:val="4"/>
        </w:rPr>
        <w:t>States to ensure the right to comprehensive sexual education</w:t>
      </w:r>
      <w:r w:rsidR="00931421">
        <w:rPr>
          <w:spacing w:val="4"/>
        </w:rPr>
        <w:t>,</w:t>
      </w:r>
      <w:r w:rsidR="00931421" w:rsidRPr="002E7ABE">
        <w:rPr>
          <w:spacing w:val="4"/>
        </w:rPr>
        <w:t xml:space="preserve"> without discrimination.</w:t>
      </w:r>
      <w:r w:rsidR="00DE2900">
        <w:rPr>
          <w:rStyle w:val="FootnoteReference"/>
          <w:spacing w:val="4"/>
        </w:rPr>
        <w:footnoteReference w:id="32"/>
      </w:r>
      <w:r w:rsidR="00931421" w:rsidRPr="002E7ABE">
        <w:rPr>
          <w:spacing w:val="4"/>
        </w:rPr>
        <w:t xml:space="preserve"> The mandate regularly receives allegations regarding </w:t>
      </w:r>
      <w:r w:rsidR="00931421">
        <w:rPr>
          <w:spacing w:val="4"/>
        </w:rPr>
        <w:t>States’ failure to respect and protect this element of education</w:t>
      </w:r>
      <w:r w:rsidR="00931421" w:rsidRPr="002E7ABE">
        <w:rPr>
          <w:spacing w:val="4"/>
        </w:rPr>
        <w:t>.</w:t>
      </w:r>
    </w:p>
    <w:p w14:paraId="743E2055" w14:textId="73829CAF" w:rsidR="00931421" w:rsidRPr="0042495F" w:rsidRDefault="00BA39FA" w:rsidP="00BA39FA">
      <w:pPr>
        <w:pStyle w:val="SingleTxtG"/>
        <w:rPr>
          <w:lang w:val="en-US"/>
        </w:rPr>
      </w:pPr>
      <w:r>
        <w:rPr>
          <w:lang w:val="en-US"/>
        </w:rPr>
        <w:t>29.</w:t>
      </w:r>
      <w:r>
        <w:rPr>
          <w:lang w:val="en-US"/>
        </w:rPr>
        <w:tab/>
      </w:r>
      <w:r w:rsidR="00931421">
        <w:rPr>
          <w:lang w:val="en-US"/>
        </w:rPr>
        <w:t>C</w:t>
      </w:r>
      <w:r w:rsidR="00931421" w:rsidRPr="006226E5">
        <w:rPr>
          <w:lang w:val="en-US"/>
        </w:rPr>
        <w:t xml:space="preserve">urricula, </w:t>
      </w:r>
      <w:proofErr w:type="gramStart"/>
      <w:r w:rsidR="00931421" w:rsidRPr="006226E5">
        <w:rPr>
          <w:lang w:val="en-US"/>
        </w:rPr>
        <w:t>pedagogy</w:t>
      </w:r>
      <w:proofErr w:type="gramEnd"/>
      <w:r w:rsidR="00931421" w:rsidRPr="006226E5">
        <w:rPr>
          <w:lang w:val="en-US"/>
        </w:rPr>
        <w:t xml:space="preserve"> and assessment </w:t>
      </w:r>
      <w:r w:rsidR="00931421">
        <w:rPr>
          <w:lang w:val="en-US"/>
        </w:rPr>
        <w:t xml:space="preserve">must align with </w:t>
      </w:r>
      <w:r w:rsidR="00931421">
        <w:t xml:space="preserve">the objectives of education as a human right </w:t>
      </w:r>
      <w:r w:rsidR="00931421" w:rsidRPr="006226E5">
        <w:t>and the leave</w:t>
      </w:r>
      <w:r w:rsidR="00931421">
        <w:t>-</w:t>
      </w:r>
      <w:r w:rsidR="00931421" w:rsidRPr="006226E5">
        <w:t>no</w:t>
      </w:r>
      <w:r w:rsidR="00931421">
        <w:t>-</w:t>
      </w:r>
      <w:r w:rsidR="00931421" w:rsidRPr="006226E5">
        <w:t>one</w:t>
      </w:r>
      <w:r w:rsidR="00931421">
        <w:t>-</w:t>
      </w:r>
      <w:r w:rsidR="00931421" w:rsidRPr="006226E5">
        <w:t>behind principle.</w:t>
      </w:r>
      <w:r w:rsidR="00931421" w:rsidRPr="006226E5">
        <w:rPr>
          <w:lang w:val="en-US"/>
        </w:rPr>
        <w:t xml:space="preserve"> In 2014, </w:t>
      </w:r>
      <w:r w:rsidR="00931421">
        <w:rPr>
          <w:lang w:val="en-US"/>
        </w:rPr>
        <w:t xml:space="preserve">the mandate </w:t>
      </w:r>
      <w:r w:rsidR="00931421" w:rsidRPr="006226E5">
        <w:rPr>
          <w:lang w:val="en-US"/>
        </w:rPr>
        <w:t xml:space="preserve">expressed concern that </w:t>
      </w:r>
      <w:r w:rsidR="00931421" w:rsidRPr="006226E5">
        <w:t xml:space="preserve">prevalent </w:t>
      </w:r>
      <w:r w:rsidR="00931421">
        <w:t xml:space="preserve">performance </w:t>
      </w:r>
      <w:r w:rsidR="00931421" w:rsidRPr="006226E5">
        <w:t xml:space="preserve">assessments reflect an instrumental role for education, driven by the concept of educational development in mere economic terms, </w:t>
      </w:r>
      <w:r w:rsidR="00931421">
        <w:t>over-</w:t>
      </w:r>
      <w:r w:rsidR="00931421" w:rsidRPr="006226E5">
        <w:t>emphasis</w:t>
      </w:r>
      <w:r w:rsidR="00931421">
        <w:t>ing</w:t>
      </w:r>
      <w:r w:rsidR="00931421" w:rsidRPr="006226E5">
        <w:t xml:space="preserve"> learning outcomes in mathematical and language skills</w:t>
      </w:r>
      <w:r w:rsidR="00931421">
        <w:t xml:space="preserve">, to the detriment of other skills and talents, </w:t>
      </w:r>
      <w:proofErr w:type="gramStart"/>
      <w:r w:rsidR="00931421">
        <w:t>e.g.</w:t>
      </w:r>
      <w:proofErr w:type="gramEnd"/>
      <w:r w:rsidR="00931421">
        <w:t xml:space="preserve"> in the creative arts and other non-academic pursuits.</w:t>
      </w:r>
      <w:r w:rsidR="00931421" w:rsidRPr="006226E5">
        <w:t xml:space="preserve"> Such a narrow approach is </w:t>
      </w:r>
      <w:r w:rsidR="00931421">
        <w:t xml:space="preserve">contrary to </w:t>
      </w:r>
      <w:r w:rsidR="00931421" w:rsidRPr="006226E5">
        <w:t>the</w:t>
      </w:r>
      <w:r w:rsidR="00931421">
        <w:t xml:space="preserve"> </w:t>
      </w:r>
      <w:r w:rsidR="00931421" w:rsidRPr="006226E5">
        <w:t>objectives assigned to education international</w:t>
      </w:r>
      <w:r w:rsidR="00931421">
        <w:t>ly</w:t>
      </w:r>
      <w:r w:rsidR="00931421" w:rsidRPr="006226E5">
        <w:t xml:space="preserve">. </w:t>
      </w:r>
      <w:r w:rsidR="00931421">
        <w:t>A</w:t>
      </w:r>
      <w:r w:rsidR="00931421" w:rsidRPr="006226E5">
        <w:t xml:space="preserve">ssessment systems </w:t>
      </w:r>
      <w:r w:rsidR="00931421">
        <w:t xml:space="preserve">should </w:t>
      </w:r>
      <w:r w:rsidR="00931421" w:rsidRPr="006226E5">
        <w:t xml:space="preserve">embody in full measure the </w:t>
      </w:r>
      <w:r w:rsidR="00931421">
        <w:t xml:space="preserve">key </w:t>
      </w:r>
      <w:r w:rsidR="00931421" w:rsidRPr="006226E5">
        <w:t>objectives of the right to education</w:t>
      </w:r>
      <w:r w:rsidR="00931421">
        <w:t>.</w:t>
      </w:r>
      <w:r w:rsidR="00DE2900">
        <w:rPr>
          <w:rStyle w:val="FootnoteReference"/>
        </w:rPr>
        <w:footnoteReference w:id="33"/>
      </w:r>
      <w:r w:rsidR="00931421" w:rsidRPr="006226E5">
        <w:t xml:space="preserve"> </w:t>
      </w:r>
    </w:p>
    <w:p w14:paraId="45637D08" w14:textId="2182ABFB" w:rsidR="00931421" w:rsidRPr="003504AD" w:rsidRDefault="00BA39FA" w:rsidP="00BA39FA">
      <w:pPr>
        <w:pStyle w:val="SingleTxtG"/>
      </w:pPr>
      <w:bookmarkStart w:id="6" w:name="_Hlk128992897"/>
      <w:bookmarkStart w:id="7" w:name="_Hlk128993301"/>
      <w:r>
        <w:rPr>
          <w:lang w:val="en-US"/>
        </w:rPr>
        <w:t>30.</w:t>
      </w:r>
      <w:r>
        <w:rPr>
          <w:lang w:val="en-US"/>
        </w:rPr>
        <w:tab/>
      </w:r>
      <w:r w:rsidR="00931421">
        <w:rPr>
          <w:lang w:val="en-US"/>
        </w:rPr>
        <w:t>Overall, e</w:t>
      </w:r>
      <w:r w:rsidR="00931421" w:rsidRPr="003504AD">
        <w:rPr>
          <w:lang w:val="en-US"/>
        </w:rPr>
        <w:t xml:space="preserve">ducation systems </w:t>
      </w:r>
      <w:r w:rsidR="00931421">
        <w:t>are not meeting these objectives and often not genuinely pursuing them</w:t>
      </w:r>
      <w:r w:rsidR="00931421" w:rsidRPr="003504AD">
        <w:t xml:space="preserve"> or worse, </w:t>
      </w:r>
      <w:r w:rsidR="00931421">
        <w:t>moving</w:t>
      </w:r>
      <w:r w:rsidR="00931421" w:rsidRPr="003504AD">
        <w:t xml:space="preserve"> in the opposite direction.</w:t>
      </w:r>
      <w:r w:rsidR="00931421" w:rsidRPr="003504AD">
        <w:rPr>
          <w:lang w:val="en-US"/>
        </w:rPr>
        <w:t xml:space="preserve"> The </w:t>
      </w:r>
      <w:r w:rsidR="00931421">
        <w:rPr>
          <w:lang w:val="en-US"/>
        </w:rPr>
        <w:t xml:space="preserve">previous </w:t>
      </w:r>
      <w:r w:rsidR="00931421" w:rsidRPr="003504AD">
        <w:rPr>
          <w:lang w:val="en-US"/>
        </w:rPr>
        <w:t xml:space="preserve">mandate </w:t>
      </w:r>
      <w:r w:rsidR="00931421">
        <w:rPr>
          <w:lang w:val="en-US"/>
        </w:rPr>
        <w:t>holder</w:t>
      </w:r>
      <w:r w:rsidR="00931421" w:rsidRPr="003504AD">
        <w:rPr>
          <w:lang w:val="en-US"/>
        </w:rPr>
        <w:t xml:space="preserve"> </w:t>
      </w:r>
      <w:r w:rsidR="00931421">
        <w:rPr>
          <w:lang w:val="en-US"/>
        </w:rPr>
        <w:t>expressed</w:t>
      </w:r>
      <w:r w:rsidR="00931421" w:rsidRPr="003504AD">
        <w:rPr>
          <w:lang w:val="en-US"/>
        </w:rPr>
        <w:t xml:space="preserve"> regret that </w:t>
      </w:r>
      <w:r w:rsidR="00931421">
        <w:rPr>
          <w:lang w:val="en-US"/>
        </w:rPr>
        <w:t xml:space="preserve">some </w:t>
      </w:r>
      <w:r w:rsidR="00931421" w:rsidRPr="003504AD">
        <w:t xml:space="preserve">education systems are perpetuating discrimination, </w:t>
      </w:r>
      <w:proofErr w:type="gramStart"/>
      <w:r w:rsidR="00931421" w:rsidRPr="003504AD">
        <w:t>exclusion</w:t>
      </w:r>
      <w:proofErr w:type="gramEnd"/>
      <w:r w:rsidR="00931421" w:rsidRPr="003504AD">
        <w:t xml:space="preserve"> and segregation, </w:t>
      </w:r>
      <w:r w:rsidR="00931421">
        <w:t xml:space="preserve">as well as assimilation, </w:t>
      </w:r>
      <w:r w:rsidR="00931421" w:rsidRPr="00E02910">
        <w:t>with reductive objective</w:t>
      </w:r>
      <w:r w:rsidR="00931421" w:rsidRPr="004F411D">
        <w:t>s</w:t>
      </w:r>
      <w:r w:rsidR="00931421">
        <w:t xml:space="preserve">, </w:t>
      </w:r>
      <w:r w:rsidR="00931421" w:rsidRPr="003504AD">
        <w:t>ill-suited to the needs of multicultural societies.</w:t>
      </w:r>
      <w:r w:rsidR="00F177EB">
        <w:rPr>
          <w:rStyle w:val="FootnoteReference"/>
        </w:rPr>
        <w:footnoteReference w:id="34"/>
      </w:r>
      <w:r w:rsidR="00931421" w:rsidRPr="003504AD">
        <w:t xml:space="preserve"> </w:t>
      </w:r>
      <w:r w:rsidR="00931421">
        <w:rPr>
          <w:lang w:val="en-US"/>
        </w:rPr>
        <w:t>As</w:t>
      </w:r>
      <w:r w:rsidR="00931421" w:rsidRPr="003504AD">
        <w:rPr>
          <w:lang w:val="en-US"/>
        </w:rPr>
        <w:t xml:space="preserve"> mentioned by the UNESCO Commission,</w:t>
      </w:r>
      <w:r w:rsidR="00931421" w:rsidRPr="003504AD">
        <w:t xml:space="preserve"> they wrongly instil a belief that short-term prerogatives are more important than longer-term sustainability. They </w:t>
      </w:r>
      <w:r w:rsidR="00931421" w:rsidRPr="003504AD">
        <w:lastRenderedPageBreak/>
        <w:t>have emphasized values of individual success, national competition and economic development, to the detriment of solidarity, understanding interdependencies, and caring for each other and the planet.</w:t>
      </w:r>
      <w:r w:rsidR="00931421" w:rsidRPr="003504AD">
        <w:rPr>
          <w:lang w:val="en-US"/>
        </w:rPr>
        <w:t xml:space="preserve"> </w:t>
      </w:r>
      <w:r w:rsidR="00931421">
        <w:rPr>
          <w:lang w:val="en-US"/>
        </w:rPr>
        <w:t>Moreover</w:t>
      </w:r>
      <w:r w:rsidR="00931421" w:rsidRPr="003504AD">
        <w:rPr>
          <w:lang w:val="en-US"/>
        </w:rPr>
        <w:t xml:space="preserve">, there is a need to “learn to unlearn” and </w:t>
      </w:r>
      <w:r w:rsidR="00931421" w:rsidRPr="003504AD">
        <w:t>critically examine established dominant knowledge.</w:t>
      </w:r>
      <w:r w:rsidR="00F177EB">
        <w:rPr>
          <w:rStyle w:val="FootnoteReference"/>
        </w:rPr>
        <w:footnoteReference w:id="35"/>
      </w:r>
      <w:r w:rsidR="00931421" w:rsidRPr="003504AD">
        <w:t xml:space="preserve"> </w:t>
      </w:r>
      <w:bookmarkEnd w:id="6"/>
      <w:bookmarkEnd w:id="7"/>
      <w:r w:rsidR="00931421">
        <w:t>Some contributors reported that the aims of education remain at the unfettered discretion of ministries of education, without any mechanism for monitoring or evaluation.</w:t>
      </w:r>
      <w:r w:rsidR="00F177EB">
        <w:rPr>
          <w:rStyle w:val="FootnoteReference"/>
        </w:rPr>
        <w:footnoteReference w:id="36"/>
      </w:r>
      <w:r w:rsidR="00931421">
        <w:t xml:space="preserve"> The Special Rapporteur considers these issues as crucial for addressing current and future challenges.</w:t>
      </w:r>
    </w:p>
    <w:p w14:paraId="36F90BFB" w14:textId="1B0499FD" w:rsidR="00931421" w:rsidRPr="005F2ADE" w:rsidRDefault="005F2ADE" w:rsidP="005F2ADE">
      <w:pPr>
        <w:pStyle w:val="H1G"/>
      </w:pPr>
      <w:r>
        <w:tab/>
      </w:r>
      <w:r w:rsidRPr="005F2ADE">
        <w:t>B.</w:t>
      </w:r>
      <w:r>
        <w:tab/>
      </w:r>
      <w:r w:rsidR="00931421" w:rsidRPr="005F2ADE">
        <w:t>The right to life-long learning</w:t>
      </w:r>
    </w:p>
    <w:p w14:paraId="355C79DD" w14:textId="3E6F2212" w:rsidR="00931421" w:rsidRPr="00800B93" w:rsidRDefault="005F2ADE" w:rsidP="005F2ADE">
      <w:pPr>
        <w:pStyle w:val="SingleTxtG"/>
        <w:rPr>
          <w:rFonts w:eastAsia="Calibri"/>
        </w:rPr>
      </w:pPr>
      <w:r>
        <w:t>31.</w:t>
      </w:r>
      <w:r>
        <w:tab/>
      </w:r>
      <w:r w:rsidR="00931421" w:rsidRPr="00B363B2">
        <w:t xml:space="preserve">The right to education </w:t>
      </w:r>
      <w:r w:rsidR="00931421">
        <w:t>i</w:t>
      </w:r>
      <w:r w:rsidR="00931421" w:rsidRPr="00B363B2">
        <w:t>s a right to life-long learning</w:t>
      </w:r>
      <w:r w:rsidR="00931421">
        <w:t xml:space="preserve"> </w:t>
      </w:r>
      <w:r w:rsidR="00931421" w:rsidRPr="00B363B2">
        <w:t>not limited to school-age children and youth</w:t>
      </w:r>
      <w:r w:rsidR="00931421">
        <w:t>, a</w:t>
      </w:r>
      <w:r w:rsidR="00931421" w:rsidRPr="00B363B2">
        <w:t xml:space="preserve">s </w:t>
      </w:r>
      <w:r w:rsidR="00931421">
        <w:t>previously emphasized</w:t>
      </w:r>
      <w:r w:rsidR="00931421" w:rsidRPr="00B363B2">
        <w:t xml:space="preserve"> by </w:t>
      </w:r>
      <w:r w:rsidR="00931421">
        <w:t>the mandate,</w:t>
      </w:r>
      <w:r w:rsidR="00193A26">
        <w:rPr>
          <w:rStyle w:val="FootnoteReference"/>
        </w:rPr>
        <w:footnoteReference w:id="37"/>
      </w:r>
      <w:r w:rsidR="00931421">
        <w:t xml:space="preserve"> and reasserted by the </w:t>
      </w:r>
      <w:proofErr w:type="gramStart"/>
      <w:r w:rsidR="00931421">
        <w:t>Agenda</w:t>
      </w:r>
      <w:proofErr w:type="gramEnd"/>
      <w:r w:rsidR="00931421">
        <w:t xml:space="preserve"> 2030 Framework, amongst others. </w:t>
      </w:r>
      <w:r w:rsidR="00931421" w:rsidRPr="00DC0E29">
        <w:t xml:space="preserve">In many circles, </w:t>
      </w:r>
      <w:r w:rsidR="00931421">
        <w:t xml:space="preserve">the </w:t>
      </w:r>
      <w:r w:rsidR="00931421" w:rsidRPr="00DC0E29">
        <w:t>emphasis is on access</w:t>
      </w:r>
      <w:r w:rsidR="00931421">
        <w:t>ing</w:t>
      </w:r>
      <w:r w:rsidR="00931421" w:rsidRPr="00DC0E29">
        <w:t xml:space="preserve"> primary, and sometimes secondary</w:t>
      </w:r>
      <w:r w:rsidR="00931421">
        <w:t>,</w:t>
      </w:r>
      <w:r w:rsidR="00931421" w:rsidRPr="00DC0E29">
        <w:t xml:space="preserve"> education</w:t>
      </w:r>
      <w:r w:rsidR="00931421">
        <w:t xml:space="preserve"> </w:t>
      </w:r>
      <w:r w:rsidR="00931421" w:rsidRPr="00DC0E29">
        <w:t xml:space="preserve">to </w:t>
      </w:r>
      <w:r w:rsidR="00931421">
        <w:t>attain</w:t>
      </w:r>
      <w:r w:rsidR="00931421" w:rsidRPr="00DC0E29">
        <w:t xml:space="preserve"> SDG4. </w:t>
      </w:r>
      <w:r w:rsidR="00931421">
        <w:t>However, while t</w:t>
      </w:r>
      <w:r w:rsidR="00931421" w:rsidRPr="00DC0E29">
        <w:t>h</w:t>
      </w:r>
      <w:r w:rsidR="00931421">
        <w:t>e</w:t>
      </w:r>
      <w:r w:rsidR="00931421" w:rsidRPr="00DC0E29">
        <w:t xml:space="preserve">se dimensions are </w:t>
      </w:r>
      <w:r w:rsidR="00931421">
        <w:t>crucial,</w:t>
      </w:r>
      <w:r w:rsidR="00931421" w:rsidRPr="00DC0E29">
        <w:t xml:space="preserve"> </w:t>
      </w:r>
      <w:r w:rsidR="00931421">
        <w:t>they are</w:t>
      </w:r>
      <w:r w:rsidR="00931421" w:rsidRPr="00DC0E29">
        <w:t xml:space="preserve"> insufficient to </w:t>
      </w:r>
      <w:r w:rsidR="00931421">
        <w:t xml:space="preserve">realize </w:t>
      </w:r>
      <w:r w:rsidR="00931421" w:rsidRPr="00DC0E29">
        <w:t>the right to education as a universal human right.</w:t>
      </w:r>
      <w:r w:rsidR="00931421">
        <w:t xml:space="preserve"> Everyone has a </w:t>
      </w:r>
      <w:r w:rsidR="00931421" w:rsidRPr="00B363B2">
        <w:t>right</w:t>
      </w:r>
      <w:r w:rsidR="00931421">
        <w:t xml:space="preserve"> </w:t>
      </w:r>
      <w:r w:rsidR="00931421" w:rsidRPr="00B363B2">
        <w:t xml:space="preserve">to </w:t>
      </w:r>
      <w:r w:rsidR="00931421">
        <w:t xml:space="preserve">fundamental </w:t>
      </w:r>
      <w:r w:rsidR="00931421" w:rsidRPr="00B363B2">
        <w:t xml:space="preserve">education, </w:t>
      </w:r>
      <w:r w:rsidR="00931421">
        <w:t>early childhood care and education (</w:t>
      </w:r>
      <w:r w:rsidR="00931421" w:rsidRPr="00B363B2">
        <w:t>ECCE</w:t>
      </w:r>
      <w:r w:rsidR="00931421">
        <w:t>),</w:t>
      </w:r>
      <w:r w:rsidR="00931421" w:rsidRPr="00B363B2">
        <w:t xml:space="preserve"> technical and vocational education</w:t>
      </w:r>
      <w:r w:rsidR="00931421">
        <w:t>,</w:t>
      </w:r>
      <w:r w:rsidR="00931421" w:rsidRPr="00B363B2">
        <w:t xml:space="preserve"> training/retraining</w:t>
      </w:r>
      <w:r w:rsidR="00931421">
        <w:t>,</w:t>
      </w:r>
      <w:r w:rsidR="00931421" w:rsidRPr="00B363B2">
        <w:t xml:space="preserve"> and higher education</w:t>
      </w:r>
      <w:r w:rsidR="00931421">
        <w:t xml:space="preserve">, regardless of age and other factors, </w:t>
      </w:r>
      <w:r w:rsidR="00931421" w:rsidRPr="0042495F">
        <w:t xml:space="preserve">embracing the transformative possibilities of education at all stages of life, </w:t>
      </w:r>
      <w:r w:rsidR="00931421" w:rsidRPr="004B2116">
        <w:t>in</w:t>
      </w:r>
      <w:r w:rsidR="00931421">
        <w:t xml:space="preserve"> a system that links </w:t>
      </w:r>
      <w:r w:rsidR="00931421" w:rsidRPr="00274099">
        <w:t>formal</w:t>
      </w:r>
      <w:r w:rsidR="00931421">
        <w:t>,</w:t>
      </w:r>
      <w:r w:rsidR="00931421" w:rsidRPr="00274099">
        <w:t xml:space="preserve"> informal </w:t>
      </w:r>
      <w:r w:rsidR="00931421">
        <w:t>and non-formal education,</w:t>
      </w:r>
      <w:r w:rsidR="00193A26">
        <w:rPr>
          <w:rStyle w:val="FootnoteReference"/>
        </w:rPr>
        <w:footnoteReference w:id="38"/>
      </w:r>
      <w:r w:rsidR="00931421" w:rsidRPr="00274099">
        <w:t xml:space="preserve"> </w:t>
      </w:r>
      <w:r w:rsidR="00931421">
        <w:t xml:space="preserve"> including opportunities for older adults. </w:t>
      </w:r>
    </w:p>
    <w:p w14:paraId="3B99836F" w14:textId="03EB3CA3" w:rsidR="00931421" w:rsidRPr="00800B93" w:rsidRDefault="005F2ADE" w:rsidP="005F2ADE">
      <w:pPr>
        <w:pStyle w:val="SingleTxtG"/>
        <w:rPr>
          <w:rFonts w:eastAsia="Calibri"/>
        </w:rPr>
      </w:pPr>
      <w:r>
        <w:t>32.</w:t>
      </w:r>
      <w:r>
        <w:tab/>
      </w:r>
      <w:r w:rsidR="00931421" w:rsidRPr="008313B2">
        <w:t>ECCE</w:t>
      </w:r>
      <w:r w:rsidR="00931421" w:rsidRPr="008313B2">
        <w:rPr>
          <w:rFonts w:eastAsia="Calibri"/>
        </w:rPr>
        <w:t xml:space="preserve"> lays the foundations for the right to lifelong education, as highlighted by </w:t>
      </w:r>
      <w:r w:rsidR="00931421">
        <w:rPr>
          <w:rFonts w:eastAsia="Calibri"/>
        </w:rPr>
        <w:t xml:space="preserve">the </w:t>
      </w:r>
      <w:r w:rsidR="00931421" w:rsidRPr="008313B2">
        <w:rPr>
          <w:rFonts w:eastAsia="Calibri"/>
        </w:rPr>
        <w:t>mandate</w:t>
      </w:r>
      <w:r w:rsidR="00931421">
        <w:rPr>
          <w:rFonts w:eastAsia="Calibri"/>
        </w:rPr>
        <w:t>’s</w:t>
      </w:r>
      <w:r w:rsidR="00931421" w:rsidRPr="008313B2">
        <w:rPr>
          <w:rFonts w:eastAsia="Calibri"/>
        </w:rPr>
        <w:t xml:space="preserve"> reports.</w:t>
      </w:r>
      <w:r w:rsidR="004D68FD">
        <w:rPr>
          <w:rStyle w:val="FootnoteReference"/>
          <w:rFonts w:eastAsia="Calibri"/>
        </w:rPr>
        <w:footnoteReference w:id="39"/>
      </w:r>
      <w:r w:rsidR="00931421" w:rsidRPr="008313B2">
        <w:rPr>
          <w:rFonts w:eastAsia="Calibri"/>
        </w:rPr>
        <w:t xml:space="preserve"> Yet, only half of States provide free pre-primary education, with costs prohibiting access for the most disadvantaged.</w:t>
      </w:r>
      <w:r w:rsidR="004D68FD">
        <w:rPr>
          <w:rStyle w:val="FootnoteReference"/>
          <w:rFonts w:eastAsia="Calibri"/>
        </w:rPr>
        <w:footnoteReference w:id="40"/>
      </w:r>
      <w:r w:rsidR="00931421" w:rsidRPr="008313B2">
        <w:rPr>
          <w:rFonts w:eastAsia="Calibri"/>
        </w:rPr>
        <w:t xml:space="preserve"> </w:t>
      </w:r>
      <w:r w:rsidR="00931421">
        <w:rPr>
          <w:rFonts w:eastAsia="Calibri"/>
        </w:rPr>
        <w:t>Adopting guidelines for implementing ECCE would be a useful step, as proposed by experts and civil society groups.</w:t>
      </w:r>
    </w:p>
    <w:p w14:paraId="30708676" w14:textId="4BB2CE3E" w:rsidR="00931421" w:rsidRPr="00800B93" w:rsidRDefault="005F2ADE" w:rsidP="005F2ADE">
      <w:pPr>
        <w:pStyle w:val="SingleTxtG"/>
        <w:rPr>
          <w:rFonts w:eastAsia="Calibri"/>
        </w:rPr>
      </w:pPr>
      <w:r>
        <w:t>33.</w:t>
      </w:r>
      <w:r>
        <w:tab/>
      </w:r>
      <w:r w:rsidR="00931421">
        <w:t>T</w:t>
      </w:r>
      <w:r w:rsidR="00931421" w:rsidRPr="005307FF">
        <w:t>he right to higher education is jeopardized in many ways.</w:t>
      </w:r>
      <w:r w:rsidR="005D7DA7">
        <w:rPr>
          <w:rStyle w:val="FootnoteReference"/>
        </w:rPr>
        <w:footnoteReference w:id="41"/>
      </w:r>
      <w:r w:rsidR="00931421" w:rsidRPr="005307FF">
        <w:t xml:space="preserve"> </w:t>
      </w:r>
      <w:r w:rsidR="00931421">
        <w:rPr>
          <w:rFonts w:eastAsia="Calibri"/>
          <w:highlight w:val="white"/>
        </w:rPr>
        <w:t>I</w:t>
      </w:r>
      <w:r w:rsidR="00931421" w:rsidRPr="005307FF">
        <w:rPr>
          <w:rFonts w:eastAsia="Calibri"/>
          <w:highlight w:val="white"/>
        </w:rPr>
        <w:t>nstitution</w:t>
      </w:r>
      <w:r w:rsidR="00931421">
        <w:rPr>
          <w:rFonts w:eastAsia="Calibri"/>
          <w:highlight w:val="white"/>
        </w:rPr>
        <w:t>al</w:t>
      </w:r>
      <w:r w:rsidR="00931421" w:rsidRPr="005307FF">
        <w:rPr>
          <w:rFonts w:eastAsia="Calibri"/>
          <w:highlight w:val="white"/>
        </w:rPr>
        <w:t xml:space="preserve"> </w:t>
      </w:r>
      <w:r w:rsidR="00931421">
        <w:rPr>
          <w:rFonts w:eastAsia="Calibri"/>
          <w:highlight w:val="white"/>
        </w:rPr>
        <w:t>models</w:t>
      </w:r>
      <w:r w:rsidR="00931421" w:rsidRPr="005307FF">
        <w:rPr>
          <w:rFonts w:eastAsia="Calibri"/>
          <w:highlight w:val="white"/>
        </w:rPr>
        <w:t xml:space="preserve"> perpetuat</w:t>
      </w:r>
      <w:r w:rsidR="00931421">
        <w:rPr>
          <w:rFonts w:eastAsia="Calibri"/>
          <w:highlight w:val="white"/>
        </w:rPr>
        <w:t>e</w:t>
      </w:r>
      <w:r w:rsidR="00931421" w:rsidRPr="005307FF">
        <w:rPr>
          <w:rFonts w:eastAsia="Calibri"/>
          <w:highlight w:val="white"/>
        </w:rPr>
        <w:t xml:space="preserve"> </w:t>
      </w:r>
      <w:r w:rsidR="00931421">
        <w:t xml:space="preserve">structural </w:t>
      </w:r>
      <w:r w:rsidR="00931421" w:rsidRPr="005307FF">
        <w:t>inequalities</w:t>
      </w:r>
      <w:r w:rsidR="00931421" w:rsidRPr="005307FF">
        <w:rPr>
          <w:rFonts w:eastAsia="Calibri"/>
          <w:highlight w:val="white"/>
        </w:rPr>
        <w:t xml:space="preserve">. </w:t>
      </w:r>
      <w:r w:rsidR="00931421">
        <w:rPr>
          <w:rFonts w:eastAsia="Calibri"/>
          <w:highlight w:val="white"/>
        </w:rPr>
        <w:t xml:space="preserve">Of particular concern are </w:t>
      </w:r>
      <w:r w:rsidR="00931421" w:rsidRPr="005307FF">
        <w:rPr>
          <w:rFonts w:eastAsia="Calibri"/>
          <w:highlight w:val="white"/>
        </w:rPr>
        <w:t xml:space="preserve">the </w:t>
      </w:r>
      <w:r w:rsidR="00931421">
        <w:rPr>
          <w:rFonts w:eastAsia="Calibri"/>
          <w:highlight w:val="white"/>
        </w:rPr>
        <w:t xml:space="preserve">worldwide </w:t>
      </w:r>
      <w:r w:rsidR="00931421" w:rsidRPr="005307FF">
        <w:rPr>
          <w:rFonts w:eastAsia="Calibri"/>
          <w:highlight w:val="white"/>
        </w:rPr>
        <w:t xml:space="preserve">vertical stratification of higher education systems, and the </w:t>
      </w:r>
      <w:r w:rsidR="00931421" w:rsidRPr="005307FF">
        <w:t xml:space="preserve">impact of </w:t>
      </w:r>
      <w:r w:rsidR="00931421">
        <w:rPr>
          <w:rFonts w:eastAsia="Calibri"/>
          <w:highlight w:val="white"/>
        </w:rPr>
        <w:t>concepts</w:t>
      </w:r>
      <w:r w:rsidR="00931421" w:rsidRPr="005307FF">
        <w:rPr>
          <w:rFonts w:eastAsia="Calibri"/>
          <w:highlight w:val="white"/>
        </w:rPr>
        <w:t xml:space="preserve"> of ‘merit’</w:t>
      </w:r>
      <w:r w:rsidR="00931421">
        <w:rPr>
          <w:rFonts w:eastAsia="Calibri"/>
          <w:highlight w:val="white"/>
        </w:rPr>
        <w:t>,</w:t>
      </w:r>
      <w:r w:rsidR="00931421" w:rsidRPr="005307FF">
        <w:rPr>
          <w:rFonts w:eastAsia="Calibri"/>
          <w:highlight w:val="white"/>
        </w:rPr>
        <w:t xml:space="preserve"> or ‘capacity’</w:t>
      </w:r>
      <w:r w:rsidR="00931421" w:rsidRPr="005307FF">
        <w:t xml:space="preserve"> </w:t>
      </w:r>
      <w:r w:rsidR="00931421">
        <w:t xml:space="preserve">that </w:t>
      </w:r>
      <w:r w:rsidR="00931421" w:rsidRPr="005307FF">
        <w:t>sustain, justif</w:t>
      </w:r>
      <w:r w:rsidR="00931421">
        <w:t>y</w:t>
      </w:r>
      <w:r w:rsidR="00931421" w:rsidRPr="005307FF">
        <w:t>, and legitimize inequalities</w:t>
      </w:r>
      <w:r w:rsidR="00931421">
        <w:t>.</w:t>
      </w:r>
      <w:r w:rsidR="00931421" w:rsidRPr="005307FF">
        <w:t xml:space="preserve"> </w:t>
      </w:r>
      <w:r w:rsidR="00931421">
        <w:t xml:space="preserve">Based on </w:t>
      </w:r>
      <w:r w:rsidR="00931421" w:rsidRPr="005307FF">
        <w:t>social justice</w:t>
      </w:r>
      <w:r w:rsidR="00931421" w:rsidRPr="003F25A0">
        <w:t xml:space="preserve"> </w:t>
      </w:r>
      <w:r w:rsidR="00931421" w:rsidRPr="005307FF">
        <w:t xml:space="preserve">principles, </w:t>
      </w:r>
      <w:r w:rsidR="00931421">
        <w:t>‘</w:t>
      </w:r>
      <w:r w:rsidR="00931421" w:rsidRPr="005307FF">
        <w:t>merit</w:t>
      </w:r>
      <w:r w:rsidR="00931421">
        <w:t>’ should</w:t>
      </w:r>
      <w:r w:rsidR="00931421" w:rsidRPr="005307FF">
        <w:t xml:space="preserve"> better reflect different pathways into higher education and reward individual capacities.</w:t>
      </w:r>
      <w:r w:rsidR="005D7DA7">
        <w:rPr>
          <w:rStyle w:val="FootnoteReference"/>
        </w:rPr>
        <w:footnoteReference w:id="42"/>
      </w:r>
      <w:r w:rsidR="00931421" w:rsidRPr="005307FF">
        <w:t xml:space="preserve"> </w:t>
      </w:r>
    </w:p>
    <w:p w14:paraId="10D0C549" w14:textId="3CCF760C" w:rsidR="00931421" w:rsidRPr="00341B76" w:rsidRDefault="005F2ADE" w:rsidP="005F2ADE">
      <w:pPr>
        <w:pStyle w:val="SingleTxtG"/>
        <w:rPr>
          <w:lang w:val="en-US"/>
        </w:rPr>
      </w:pPr>
      <w:r>
        <w:t>34.</w:t>
      </w:r>
      <w:r>
        <w:tab/>
      </w:r>
      <w:r w:rsidR="00931421" w:rsidRPr="00DB3987">
        <w:t>UNESCO</w:t>
      </w:r>
      <w:r w:rsidR="00931421">
        <w:t>’s</w:t>
      </w:r>
      <w:r w:rsidR="00931421" w:rsidRPr="00DB3987">
        <w:t xml:space="preserve"> Revised Recommendation concerning Technical and Vocational Education</w:t>
      </w:r>
      <w:r w:rsidR="00931421">
        <w:t xml:space="preserve"> (para 2(c))</w:t>
      </w:r>
      <w:r w:rsidR="00931421" w:rsidRPr="00DB3987">
        <w:t xml:space="preserve">, </w:t>
      </w:r>
      <w:r w:rsidR="00931421">
        <w:t xml:space="preserve">advocates for understanding </w:t>
      </w:r>
      <w:r w:rsidR="00931421" w:rsidRPr="00DB3987">
        <w:t xml:space="preserve">technical education as “an aspect of lifelong learning and a preparation for responsible citizenship”. At the juncture of the right to education and </w:t>
      </w:r>
      <w:r w:rsidR="00931421">
        <w:t xml:space="preserve">the </w:t>
      </w:r>
      <w:r w:rsidR="00931421" w:rsidRPr="00DB3987">
        <w:t>right to work, technical and vocational education</w:t>
      </w:r>
      <w:r w:rsidR="00931421">
        <w:t>/</w:t>
      </w:r>
      <w:r w:rsidR="00931421" w:rsidRPr="00DB3987">
        <w:t xml:space="preserve"> training </w:t>
      </w:r>
      <w:r w:rsidR="00931421">
        <w:t>is</w:t>
      </w:r>
      <w:r w:rsidR="00931421" w:rsidRPr="00DB3987">
        <w:t xml:space="preserve"> integral </w:t>
      </w:r>
      <w:r w:rsidR="00931421">
        <w:t>to</w:t>
      </w:r>
      <w:r w:rsidR="00931421" w:rsidRPr="00DB3987">
        <w:t xml:space="preserve"> lower</w:t>
      </w:r>
      <w:r w:rsidR="00931421">
        <w:t xml:space="preserve">, </w:t>
      </w:r>
      <w:r w:rsidR="00931421" w:rsidRPr="00DB3987">
        <w:t xml:space="preserve">upper </w:t>
      </w:r>
      <w:r w:rsidR="00931421">
        <w:t>and</w:t>
      </w:r>
      <w:r w:rsidR="00931421" w:rsidRPr="00DB3987">
        <w:t xml:space="preserve"> post-secondary </w:t>
      </w:r>
      <w:r w:rsidR="00931421">
        <w:t xml:space="preserve">through </w:t>
      </w:r>
      <w:r w:rsidR="00931421" w:rsidRPr="00DB3987">
        <w:t>to tertiary education</w:t>
      </w:r>
      <w:r w:rsidR="00931421">
        <w:t xml:space="preserve">, and </w:t>
      </w:r>
      <w:r w:rsidR="00931421" w:rsidRPr="00DB3987">
        <w:t xml:space="preserve">across </w:t>
      </w:r>
      <w:r w:rsidR="00931421">
        <w:t>all</w:t>
      </w:r>
      <w:r w:rsidR="00931421" w:rsidRPr="00DB3987">
        <w:t xml:space="preserve"> educational sectors (formal or school-based, non-formal or enterprise-based, informal or traditional apprenticeship). Therefore, States should ensure that technical and vocational education integrate </w:t>
      </w:r>
      <w:r w:rsidR="00931421">
        <w:t>broader</w:t>
      </w:r>
      <w:r w:rsidR="00931421" w:rsidRPr="00DB3987">
        <w:t xml:space="preserve"> education goals</w:t>
      </w:r>
      <w:r w:rsidR="00931421">
        <w:t>,</w:t>
      </w:r>
      <w:r w:rsidR="00931421" w:rsidRPr="00DB3987">
        <w:t xml:space="preserve"> </w:t>
      </w:r>
      <w:r w:rsidR="00931421">
        <w:t xml:space="preserve">including the </w:t>
      </w:r>
      <w:r w:rsidR="00931421" w:rsidRPr="00DB3987">
        <w:t>develop</w:t>
      </w:r>
      <w:r w:rsidR="00931421">
        <w:t>ment of</w:t>
      </w:r>
      <w:r w:rsidR="00931421" w:rsidRPr="00DB3987">
        <w:t xml:space="preserve"> social skills and critical thinking</w:t>
      </w:r>
      <w:r w:rsidR="00931421">
        <w:t xml:space="preserve">, in addition to </w:t>
      </w:r>
      <w:r w:rsidR="00931421" w:rsidRPr="00DB3987">
        <w:t xml:space="preserve">technical </w:t>
      </w:r>
      <w:r w:rsidR="00931421">
        <w:t xml:space="preserve">occupational </w:t>
      </w:r>
      <w:r w:rsidR="00931421" w:rsidRPr="00DB3987">
        <w:t>requirements.</w:t>
      </w:r>
      <w:r w:rsidR="005D7DA7">
        <w:rPr>
          <w:rStyle w:val="FootnoteReference"/>
        </w:rPr>
        <w:footnoteReference w:id="43"/>
      </w:r>
    </w:p>
    <w:p w14:paraId="4628C2DE" w14:textId="3309C477" w:rsidR="00931421" w:rsidRPr="007E11A1" w:rsidRDefault="007E11A1" w:rsidP="007E11A1">
      <w:pPr>
        <w:pStyle w:val="H1G"/>
      </w:pPr>
      <w:r>
        <w:lastRenderedPageBreak/>
        <w:tab/>
      </w:r>
      <w:r w:rsidRPr="007E11A1">
        <w:t>C.</w:t>
      </w:r>
      <w:r>
        <w:tab/>
      </w:r>
      <w:r w:rsidR="00931421" w:rsidRPr="007E11A1">
        <w:t>A right to free quality education</w:t>
      </w:r>
    </w:p>
    <w:p w14:paraId="3F665B62" w14:textId="65A73764" w:rsidR="00931421" w:rsidRDefault="00A30FEB" w:rsidP="00A30FEB">
      <w:pPr>
        <w:pStyle w:val="SingleTxtG"/>
        <w:rPr>
          <w:lang w:val="en-US"/>
        </w:rPr>
      </w:pPr>
      <w:r>
        <w:rPr>
          <w:lang w:val="en-US"/>
        </w:rPr>
        <w:t>35.</w:t>
      </w:r>
      <w:r>
        <w:rPr>
          <w:lang w:val="en-US"/>
        </w:rPr>
        <w:tab/>
      </w:r>
      <w:r w:rsidR="00931421">
        <w:rPr>
          <w:lang w:val="en-US"/>
        </w:rPr>
        <w:t>The right to education cannot be fulfilled if that education is not of quality, meaning that it must be</w:t>
      </w:r>
      <w:r w:rsidR="00931421">
        <w:t xml:space="preserve"> available, accessible, </w:t>
      </w:r>
      <w:proofErr w:type="gramStart"/>
      <w:r w:rsidR="00931421">
        <w:t>acceptable</w:t>
      </w:r>
      <w:proofErr w:type="gramEnd"/>
      <w:r w:rsidR="00931421">
        <w:t xml:space="preserve"> and adaptable, at all levels.</w:t>
      </w:r>
      <w:r w:rsidR="00983723">
        <w:rPr>
          <w:rStyle w:val="FootnoteReference"/>
        </w:rPr>
        <w:footnoteReference w:id="44"/>
      </w:r>
    </w:p>
    <w:p w14:paraId="479C5D40" w14:textId="5EE1BD02" w:rsidR="00931421" w:rsidRPr="00B43C28" w:rsidRDefault="00A30FEB" w:rsidP="00A30FEB">
      <w:pPr>
        <w:pStyle w:val="SingleTxtG"/>
        <w:rPr>
          <w:lang w:val="en-US"/>
        </w:rPr>
      </w:pPr>
      <w:r>
        <w:rPr>
          <w:lang w:val="en-US"/>
        </w:rPr>
        <w:t>36.</w:t>
      </w:r>
      <w:r>
        <w:rPr>
          <w:lang w:val="en-US"/>
        </w:rPr>
        <w:tab/>
      </w:r>
      <w:r w:rsidR="00931421" w:rsidRPr="00B43C28">
        <w:rPr>
          <w:lang w:val="en-US"/>
        </w:rPr>
        <w:t xml:space="preserve">International human rights law </w:t>
      </w:r>
      <w:r w:rsidR="00931421">
        <w:rPr>
          <w:lang w:val="en-US"/>
        </w:rPr>
        <w:t>specifies the</w:t>
      </w:r>
      <w:r w:rsidR="00931421" w:rsidRPr="00B43C28">
        <w:rPr>
          <w:lang w:val="en-US"/>
        </w:rPr>
        <w:t xml:space="preserve"> right to </w:t>
      </w:r>
      <w:r w:rsidR="00931421">
        <w:rPr>
          <w:lang w:val="en-US"/>
        </w:rPr>
        <w:t xml:space="preserve">compulsory, </w:t>
      </w:r>
      <w:r w:rsidR="00931421" w:rsidRPr="00B43C28">
        <w:rPr>
          <w:lang w:val="en-US"/>
        </w:rPr>
        <w:t xml:space="preserve">free </w:t>
      </w:r>
      <w:r w:rsidR="00931421">
        <w:rPr>
          <w:lang w:val="en-US"/>
        </w:rPr>
        <w:t xml:space="preserve">primary </w:t>
      </w:r>
      <w:proofErr w:type="gramStart"/>
      <w:r w:rsidR="00931421" w:rsidRPr="00B43C28">
        <w:rPr>
          <w:lang w:val="en-US"/>
        </w:rPr>
        <w:t>education</w:t>
      </w:r>
      <w:proofErr w:type="gramEnd"/>
      <w:r w:rsidR="00931421">
        <w:rPr>
          <w:lang w:val="en-US"/>
        </w:rPr>
        <w:t xml:space="preserve"> and </w:t>
      </w:r>
      <w:r w:rsidR="00931421" w:rsidRPr="00B363B2">
        <w:rPr>
          <w:shd w:val="clear" w:color="auto" w:fill="FFFFFF"/>
        </w:rPr>
        <w:t>progressiv</w:t>
      </w:r>
      <w:r w:rsidR="00931421">
        <w:rPr>
          <w:shd w:val="clear" w:color="auto" w:fill="FFFFFF"/>
        </w:rPr>
        <w:t>e</w:t>
      </w:r>
      <w:r w:rsidR="00931421" w:rsidRPr="00B363B2">
        <w:rPr>
          <w:shd w:val="clear" w:color="auto" w:fill="FFFFFF"/>
        </w:rPr>
        <w:t xml:space="preserve"> </w:t>
      </w:r>
      <w:r w:rsidR="00931421">
        <w:rPr>
          <w:shd w:val="clear" w:color="auto" w:fill="FFFFFF"/>
        </w:rPr>
        <w:t xml:space="preserve">implementation of </w:t>
      </w:r>
      <w:r w:rsidR="00931421">
        <w:rPr>
          <w:lang w:val="en-US"/>
        </w:rPr>
        <w:t>free</w:t>
      </w:r>
      <w:r w:rsidR="00931421" w:rsidRPr="00C75A10">
        <w:rPr>
          <w:lang w:val="en-US"/>
        </w:rPr>
        <w:t xml:space="preserve"> </w:t>
      </w:r>
      <w:r w:rsidR="00931421" w:rsidRPr="00B43C28">
        <w:rPr>
          <w:lang w:val="en-US"/>
        </w:rPr>
        <w:t xml:space="preserve">secondary and higher </w:t>
      </w:r>
      <w:r w:rsidR="00931421">
        <w:rPr>
          <w:lang w:val="en-US"/>
        </w:rPr>
        <w:t>education</w:t>
      </w:r>
      <w:r w:rsidR="00931421" w:rsidRPr="00B43C28">
        <w:rPr>
          <w:lang w:val="en-US"/>
        </w:rPr>
        <w:t xml:space="preserve"> </w:t>
      </w:r>
      <w:r w:rsidR="00931421" w:rsidRPr="00B363B2">
        <w:rPr>
          <w:shd w:val="clear" w:color="auto" w:fill="FFFFFF"/>
        </w:rPr>
        <w:t>(</w:t>
      </w:r>
      <w:r w:rsidR="00931421">
        <w:rPr>
          <w:shd w:val="clear" w:color="auto" w:fill="FFFFFF"/>
        </w:rPr>
        <w:t xml:space="preserve">ICESCR, </w:t>
      </w:r>
      <w:r w:rsidR="00931421" w:rsidRPr="00B363B2">
        <w:rPr>
          <w:shd w:val="clear" w:color="auto" w:fill="FFFFFF"/>
        </w:rPr>
        <w:t>art</w:t>
      </w:r>
      <w:r w:rsidR="00931421">
        <w:rPr>
          <w:shd w:val="clear" w:color="auto" w:fill="FFFFFF"/>
        </w:rPr>
        <w:t>.</w:t>
      </w:r>
      <w:r w:rsidR="00931421" w:rsidRPr="00B363B2">
        <w:rPr>
          <w:shd w:val="clear" w:color="auto" w:fill="FFFFFF"/>
        </w:rPr>
        <w:t xml:space="preserve"> </w:t>
      </w:r>
      <w:r w:rsidR="00931421" w:rsidRPr="00B43C28">
        <w:rPr>
          <w:lang w:val="en-US"/>
        </w:rPr>
        <w:t>13 and 14</w:t>
      </w:r>
      <w:r w:rsidR="00931421">
        <w:rPr>
          <w:lang w:val="en-US"/>
        </w:rPr>
        <w:t>;</w:t>
      </w:r>
      <w:r w:rsidR="00931421" w:rsidRPr="00B43C28">
        <w:rPr>
          <w:lang w:val="en-US"/>
        </w:rPr>
        <w:t xml:space="preserve"> </w:t>
      </w:r>
      <w:r w:rsidR="00931421">
        <w:rPr>
          <w:lang w:val="en-US"/>
        </w:rPr>
        <w:t xml:space="preserve">CRC, art. </w:t>
      </w:r>
      <w:r w:rsidR="00931421" w:rsidRPr="00B43C28">
        <w:rPr>
          <w:lang w:val="en-US"/>
        </w:rPr>
        <w:t>28)</w:t>
      </w:r>
      <w:r w:rsidR="00931421" w:rsidRPr="00B43C28">
        <w:rPr>
          <w:shd w:val="clear" w:color="auto" w:fill="FFFFFF"/>
        </w:rPr>
        <w:t>.</w:t>
      </w:r>
      <w:r w:rsidR="00931421" w:rsidRPr="00B363B2">
        <w:rPr>
          <w:shd w:val="clear" w:color="auto" w:fill="FFFFFF"/>
        </w:rPr>
        <w:t xml:space="preserve"> </w:t>
      </w:r>
    </w:p>
    <w:p w14:paraId="52F886B6" w14:textId="37B1C1CF" w:rsidR="00931421" w:rsidRDefault="00A30FEB" w:rsidP="00A30FEB">
      <w:pPr>
        <w:pStyle w:val="SingleTxtG"/>
        <w:rPr>
          <w:lang w:val="en-US"/>
        </w:rPr>
      </w:pPr>
      <w:r>
        <w:rPr>
          <w:shd w:val="clear" w:color="auto" w:fill="FFFFFF"/>
        </w:rPr>
        <w:t>37.</w:t>
      </w:r>
      <w:r>
        <w:rPr>
          <w:shd w:val="clear" w:color="auto" w:fill="FFFFFF"/>
        </w:rPr>
        <w:tab/>
      </w:r>
      <w:r w:rsidR="00931421">
        <w:rPr>
          <w:shd w:val="clear" w:color="auto" w:fill="FFFFFF"/>
        </w:rPr>
        <w:t xml:space="preserve">Although the education </w:t>
      </w:r>
      <w:r w:rsidR="00931421" w:rsidRPr="00B43C28">
        <w:rPr>
          <w:shd w:val="clear" w:color="auto" w:fill="FFFFFF"/>
        </w:rPr>
        <w:t xml:space="preserve">mandate and </w:t>
      </w:r>
      <w:r w:rsidR="00931421">
        <w:rPr>
          <w:shd w:val="clear" w:color="auto" w:fill="FFFFFF"/>
        </w:rPr>
        <w:t>T</w:t>
      </w:r>
      <w:r w:rsidR="00931421" w:rsidRPr="00B43C28">
        <w:rPr>
          <w:shd w:val="clear" w:color="auto" w:fill="FFFFFF"/>
        </w:rPr>
        <w:t>reaty bodies</w:t>
      </w:r>
      <w:r w:rsidR="00931421">
        <w:rPr>
          <w:shd w:val="clear" w:color="auto" w:fill="FFFFFF"/>
        </w:rPr>
        <w:t xml:space="preserve"> have repeatedly </w:t>
      </w:r>
      <w:r w:rsidR="00931421" w:rsidRPr="00B43C28">
        <w:rPr>
          <w:shd w:val="clear" w:color="auto" w:fill="FFFFFF"/>
        </w:rPr>
        <w:t>recommend</w:t>
      </w:r>
      <w:r w:rsidR="00931421">
        <w:rPr>
          <w:shd w:val="clear" w:color="auto" w:fill="FFFFFF"/>
        </w:rPr>
        <w:t>ed</w:t>
      </w:r>
      <w:r w:rsidR="00931421" w:rsidRPr="00B43C28">
        <w:rPr>
          <w:shd w:val="clear" w:color="auto" w:fill="FFFFFF"/>
        </w:rPr>
        <w:t xml:space="preserve"> ensur</w:t>
      </w:r>
      <w:r w:rsidR="00931421">
        <w:rPr>
          <w:shd w:val="clear" w:color="auto" w:fill="FFFFFF"/>
        </w:rPr>
        <w:t>ing</w:t>
      </w:r>
      <w:r w:rsidR="00931421" w:rsidRPr="00B43C28">
        <w:rPr>
          <w:shd w:val="clear" w:color="auto" w:fill="FFFFFF"/>
        </w:rPr>
        <w:t xml:space="preserve"> free education at all levels</w:t>
      </w:r>
      <w:r w:rsidR="00931421">
        <w:rPr>
          <w:shd w:val="clear" w:color="auto" w:fill="FFFFFF"/>
        </w:rPr>
        <w:t>,</w:t>
      </w:r>
      <w:r w:rsidR="00931421" w:rsidRPr="00B43C28">
        <w:rPr>
          <w:shd w:val="clear" w:color="auto" w:fill="FFFFFF"/>
        </w:rPr>
        <w:t xml:space="preserve"> </w:t>
      </w:r>
      <w:r w:rsidR="00931421">
        <w:rPr>
          <w:shd w:val="clear" w:color="auto" w:fill="FFFFFF"/>
        </w:rPr>
        <w:t xml:space="preserve">and </w:t>
      </w:r>
      <w:r w:rsidR="00931421" w:rsidRPr="00B43C28">
        <w:rPr>
          <w:shd w:val="clear" w:color="auto" w:fill="FFFFFF"/>
        </w:rPr>
        <w:t xml:space="preserve">SDG </w:t>
      </w:r>
      <w:r w:rsidR="00931421">
        <w:rPr>
          <w:shd w:val="clear" w:color="auto" w:fill="FFFFFF"/>
        </w:rPr>
        <w:t>t</w:t>
      </w:r>
      <w:r w:rsidR="00931421" w:rsidRPr="00B43C28">
        <w:rPr>
          <w:shd w:val="clear" w:color="auto" w:fill="FFFFFF"/>
        </w:rPr>
        <w:t>arget 4.1</w:t>
      </w:r>
      <w:r w:rsidR="00931421">
        <w:rPr>
          <w:shd w:val="clear" w:color="auto" w:fill="FFFFFF"/>
        </w:rPr>
        <w:t xml:space="preserve"> commits </w:t>
      </w:r>
      <w:r w:rsidR="00931421" w:rsidRPr="00B43C28">
        <w:rPr>
          <w:shd w:val="clear" w:color="auto" w:fill="FFFFFF"/>
        </w:rPr>
        <w:t>States</w:t>
      </w:r>
      <w:r w:rsidR="00931421">
        <w:rPr>
          <w:shd w:val="clear" w:color="auto" w:fill="FFFFFF"/>
        </w:rPr>
        <w:t xml:space="preserve"> </w:t>
      </w:r>
      <w:r w:rsidR="00931421" w:rsidRPr="00B43C28">
        <w:rPr>
          <w:shd w:val="clear" w:color="auto" w:fill="FFFFFF"/>
        </w:rPr>
        <w:t xml:space="preserve">to ensure that all girls and boys complete free, equitable and quality primary and secondary education </w:t>
      </w:r>
      <w:r w:rsidR="00931421">
        <w:rPr>
          <w:shd w:val="clear" w:color="auto" w:fill="FFFFFF"/>
        </w:rPr>
        <w:t>by 2030, there are p</w:t>
      </w:r>
      <w:r w:rsidR="00931421" w:rsidRPr="00B43C28">
        <w:rPr>
          <w:shd w:val="clear" w:color="auto" w:fill="FFFFFF"/>
        </w:rPr>
        <w:t>roposals to expressly state a right to free education at the pre-primary and secondary levels of education</w:t>
      </w:r>
      <w:r w:rsidR="00931421" w:rsidRPr="00974010">
        <w:rPr>
          <w:shd w:val="clear" w:color="auto" w:fill="FFFFFF"/>
        </w:rPr>
        <w:t xml:space="preserve"> </w:t>
      </w:r>
      <w:r w:rsidR="00931421" w:rsidRPr="00B43C28">
        <w:rPr>
          <w:shd w:val="clear" w:color="auto" w:fill="FFFFFF"/>
        </w:rPr>
        <w:t>through an international instrument.</w:t>
      </w:r>
      <w:r w:rsidR="00983723">
        <w:rPr>
          <w:rStyle w:val="FootnoteReference"/>
          <w:shd w:val="clear" w:color="auto" w:fill="FFFFFF"/>
        </w:rPr>
        <w:footnoteReference w:id="45"/>
      </w:r>
      <w:r w:rsidR="00931421" w:rsidRPr="00916961">
        <w:rPr>
          <w:shd w:val="clear" w:color="auto" w:fill="FFFFFF"/>
        </w:rPr>
        <w:t xml:space="preserve"> </w:t>
      </w:r>
      <w:r w:rsidR="00931421" w:rsidRPr="00B43C28">
        <w:rPr>
          <w:lang w:val="en-US"/>
        </w:rPr>
        <w:t xml:space="preserve">Reaffirming such commitments in a clear and more detailed legal instrument might be useful, </w:t>
      </w:r>
      <w:r w:rsidR="00931421">
        <w:rPr>
          <w:lang w:val="en-US"/>
        </w:rPr>
        <w:t xml:space="preserve">as this </w:t>
      </w:r>
      <w:r w:rsidR="00931421" w:rsidRPr="00B43C28">
        <w:rPr>
          <w:lang w:val="en-US"/>
        </w:rPr>
        <w:t xml:space="preserve">element of the right to education is far from being implemented, </w:t>
      </w:r>
      <w:r w:rsidR="00931421">
        <w:rPr>
          <w:lang w:val="en-US"/>
        </w:rPr>
        <w:t xml:space="preserve">with costs remaining an </w:t>
      </w:r>
      <w:r w:rsidR="00931421" w:rsidRPr="00B43C28">
        <w:rPr>
          <w:lang w:val="en-US"/>
        </w:rPr>
        <w:t xml:space="preserve">important obstacle </w:t>
      </w:r>
      <w:r w:rsidR="00931421">
        <w:rPr>
          <w:lang w:val="en-US"/>
        </w:rPr>
        <w:t xml:space="preserve">to accessing education </w:t>
      </w:r>
      <w:r w:rsidR="00931421" w:rsidRPr="00B43C28">
        <w:rPr>
          <w:lang w:val="en-US"/>
        </w:rPr>
        <w:t xml:space="preserve">in many </w:t>
      </w:r>
      <w:r w:rsidR="00931421">
        <w:rPr>
          <w:lang w:val="en-US"/>
        </w:rPr>
        <w:t>countries</w:t>
      </w:r>
      <w:r w:rsidR="00931421" w:rsidRPr="00B43C28">
        <w:rPr>
          <w:lang w:val="en-US"/>
        </w:rPr>
        <w:t xml:space="preserve">. </w:t>
      </w:r>
    </w:p>
    <w:p w14:paraId="068AEBE5" w14:textId="5DA32152" w:rsidR="00931421" w:rsidRPr="00EA4B7F" w:rsidRDefault="00A30FEB" w:rsidP="00A30FEB">
      <w:pPr>
        <w:pStyle w:val="SingleTxtG"/>
        <w:rPr>
          <w:lang w:val="en-US"/>
        </w:rPr>
      </w:pPr>
      <w:r>
        <w:rPr>
          <w:shd w:val="clear" w:color="auto" w:fill="FFFFFF"/>
        </w:rPr>
        <w:t>38.</w:t>
      </w:r>
      <w:r>
        <w:rPr>
          <w:shd w:val="clear" w:color="auto" w:fill="FFFFFF"/>
        </w:rPr>
        <w:tab/>
      </w:r>
      <w:r w:rsidR="00931421" w:rsidRPr="00EA4B7F">
        <w:rPr>
          <w:shd w:val="clear" w:color="auto" w:fill="FFFFFF"/>
        </w:rPr>
        <w:t>Many States already recognize the right to free education before and after the primary level, including up to higher education.</w:t>
      </w:r>
      <w:r w:rsidR="004E12D9">
        <w:rPr>
          <w:rStyle w:val="FootnoteReference"/>
          <w:shd w:val="clear" w:color="auto" w:fill="FFFFFF"/>
        </w:rPr>
        <w:footnoteReference w:id="46"/>
      </w:r>
      <w:r w:rsidR="00931421" w:rsidRPr="00EA4B7F">
        <w:rPr>
          <w:shd w:val="clear" w:color="auto" w:fill="FFFFFF"/>
        </w:rPr>
        <w:t xml:space="preserve"> However, </w:t>
      </w:r>
      <w:r w:rsidR="00931421" w:rsidRPr="00EA4B7F">
        <w:t>students unions regret</w:t>
      </w:r>
      <w:r w:rsidR="00931421">
        <w:t xml:space="preserve"> the</w:t>
      </w:r>
      <w:r w:rsidR="00931421" w:rsidRPr="00EA4B7F">
        <w:t xml:space="preserve"> lack of progressive introduction of free education</w:t>
      </w:r>
      <w:r w:rsidR="00931421">
        <w:t xml:space="preserve">, and even increasing </w:t>
      </w:r>
      <w:r w:rsidR="00931421" w:rsidRPr="00EA4B7F">
        <w:t>costs</w:t>
      </w:r>
      <w:r w:rsidR="00931421">
        <w:t>,</w:t>
      </w:r>
      <w:r w:rsidR="00931421" w:rsidRPr="00EA4B7F">
        <w:t xml:space="preserve"> </w:t>
      </w:r>
      <w:r w:rsidR="00931421">
        <w:t>effectively blocking access to many from</w:t>
      </w:r>
      <w:r w:rsidR="00931421" w:rsidRPr="00A65AD0">
        <w:t xml:space="preserve"> disadvantaged backgrounds</w:t>
      </w:r>
      <w:r w:rsidR="00931421">
        <w:t xml:space="preserve">. Some </w:t>
      </w:r>
      <w:r w:rsidR="00931421" w:rsidRPr="00EA4B7F">
        <w:t xml:space="preserve">consider that higher education </w:t>
      </w:r>
      <w:r w:rsidR="00931421" w:rsidRPr="00EA4B7F">
        <w:rPr>
          <w:lang w:val="en-US"/>
        </w:rPr>
        <w:t>tuition fees</w:t>
      </w:r>
      <w:r w:rsidR="00931421">
        <w:rPr>
          <w:lang w:val="en-US"/>
        </w:rPr>
        <w:t xml:space="preserve"> remain acceptable when </w:t>
      </w:r>
      <w:r w:rsidR="00931421" w:rsidRPr="00EA4B7F">
        <w:rPr>
          <w:lang w:val="en-US"/>
        </w:rPr>
        <w:t xml:space="preserve">financial support mechanisms are provided for students who cannot </w:t>
      </w:r>
      <w:r w:rsidR="00931421">
        <w:rPr>
          <w:lang w:val="en-US"/>
        </w:rPr>
        <w:t xml:space="preserve">afford </w:t>
      </w:r>
      <w:r w:rsidR="00931421" w:rsidRPr="00EA4B7F">
        <w:rPr>
          <w:lang w:val="en-US"/>
        </w:rPr>
        <w:t>the</w:t>
      </w:r>
      <w:r w:rsidR="00931421">
        <w:rPr>
          <w:lang w:val="en-US"/>
        </w:rPr>
        <w:t xml:space="preserve"> fees</w:t>
      </w:r>
      <w:r w:rsidR="00931421" w:rsidRPr="00EA4B7F">
        <w:rPr>
          <w:lang w:val="en-US"/>
        </w:rPr>
        <w:t>.</w:t>
      </w:r>
      <w:r w:rsidR="00931421">
        <w:rPr>
          <w:lang w:val="en-US"/>
        </w:rPr>
        <w:t xml:space="preserve"> The Special Rapporteur stresses, however, that such schemes are often for restricted numbers and accompanied by specific merit requirements that further entrench existing barriers. </w:t>
      </w:r>
    </w:p>
    <w:p w14:paraId="001EE95F" w14:textId="26EC58FD" w:rsidR="00931421" w:rsidRPr="00B43C28" w:rsidRDefault="00A30FEB" w:rsidP="00A30FEB">
      <w:pPr>
        <w:pStyle w:val="SingleTxtG"/>
        <w:rPr>
          <w:lang w:val="en-US"/>
        </w:rPr>
      </w:pPr>
      <w:r>
        <w:rPr>
          <w:lang w:val="en-US"/>
        </w:rPr>
        <w:t>39.</w:t>
      </w:r>
      <w:r>
        <w:rPr>
          <w:lang w:val="en-US"/>
        </w:rPr>
        <w:tab/>
      </w:r>
      <w:r w:rsidR="00931421" w:rsidRPr="00B43C28">
        <w:rPr>
          <w:lang w:val="en-US"/>
        </w:rPr>
        <w:t xml:space="preserve">When education is compulsory, it </w:t>
      </w:r>
      <w:r w:rsidR="00931421">
        <w:rPr>
          <w:lang w:val="en-US"/>
        </w:rPr>
        <w:t xml:space="preserve">must </w:t>
      </w:r>
      <w:r w:rsidR="00931421" w:rsidRPr="00B43C28">
        <w:rPr>
          <w:lang w:val="en-US"/>
        </w:rPr>
        <w:t>be free.</w:t>
      </w:r>
      <w:r w:rsidR="00931421">
        <w:rPr>
          <w:lang w:val="en-US"/>
        </w:rPr>
        <w:t xml:space="preserve"> I</w:t>
      </w:r>
      <w:r w:rsidR="00931421" w:rsidRPr="00B43C28">
        <w:rPr>
          <w:lang w:val="en-US"/>
        </w:rPr>
        <w:t>nternational law</w:t>
      </w:r>
      <w:r w:rsidR="00931421">
        <w:rPr>
          <w:lang w:val="en-US"/>
        </w:rPr>
        <w:t xml:space="preserve"> only requires c</w:t>
      </w:r>
      <w:r w:rsidR="00931421" w:rsidRPr="00B43C28">
        <w:rPr>
          <w:lang w:val="en-US"/>
        </w:rPr>
        <w:t xml:space="preserve">ompulsory primary education. </w:t>
      </w:r>
      <w:r w:rsidR="00931421">
        <w:rPr>
          <w:lang w:val="en-US"/>
        </w:rPr>
        <w:t>However, n</w:t>
      </w:r>
      <w:r w:rsidR="00931421" w:rsidRPr="00B43C28">
        <w:rPr>
          <w:lang w:val="en-US"/>
        </w:rPr>
        <w:t>ational laws often extend the compulsory aspect to secondary education</w:t>
      </w:r>
      <w:r w:rsidR="00931421">
        <w:rPr>
          <w:lang w:val="en-US"/>
        </w:rPr>
        <w:t xml:space="preserve">, sometimes </w:t>
      </w:r>
      <w:r w:rsidR="00931421" w:rsidRPr="00B43C28">
        <w:rPr>
          <w:lang w:val="en-US"/>
        </w:rPr>
        <w:t xml:space="preserve">up to 18 years of age. </w:t>
      </w:r>
    </w:p>
    <w:p w14:paraId="3415E737" w14:textId="3DAB8F96" w:rsidR="00931421" w:rsidRPr="00920437" w:rsidRDefault="00A30FEB" w:rsidP="00A30FEB">
      <w:pPr>
        <w:pStyle w:val="SingleTxtG"/>
        <w:rPr>
          <w:lang w:val="en-US"/>
        </w:rPr>
      </w:pPr>
      <w:r>
        <w:rPr>
          <w:lang w:val="en-US"/>
        </w:rPr>
        <w:t>40.</w:t>
      </w:r>
      <w:r>
        <w:rPr>
          <w:lang w:val="en-US"/>
        </w:rPr>
        <w:tab/>
      </w:r>
      <w:r w:rsidR="00931421">
        <w:rPr>
          <w:lang w:val="en-US"/>
        </w:rPr>
        <w:t>The mandate and treaty bodies have highlighted that providing free education includes removing fees but also indirect costs. These include, inter alia,</w:t>
      </w:r>
      <w:r w:rsidR="00931421" w:rsidRPr="00B43C28">
        <w:rPr>
          <w:lang w:val="en-US"/>
        </w:rPr>
        <w:t xml:space="preserve"> books, school materials</w:t>
      </w:r>
      <w:r w:rsidR="00931421">
        <w:rPr>
          <w:lang w:val="en-US"/>
        </w:rPr>
        <w:t>,</w:t>
      </w:r>
      <w:r w:rsidR="00931421" w:rsidRPr="00B43C28">
        <w:rPr>
          <w:lang w:val="en-US"/>
        </w:rPr>
        <w:t xml:space="preserve"> uniforms, </w:t>
      </w:r>
      <w:r w:rsidR="00931421">
        <w:rPr>
          <w:lang w:val="en-US"/>
        </w:rPr>
        <w:t xml:space="preserve">transportation, </w:t>
      </w:r>
      <w:r w:rsidR="00931421" w:rsidRPr="00B43C28">
        <w:rPr>
          <w:lang w:val="en-US"/>
        </w:rPr>
        <w:t>examination fees, utility contributions, security,</w:t>
      </w:r>
      <w:r w:rsidR="00931421">
        <w:rPr>
          <w:lang w:val="en-US"/>
        </w:rPr>
        <w:t xml:space="preserve"> p</w:t>
      </w:r>
      <w:proofErr w:type="spellStart"/>
      <w:r w:rsidR="00931421" w:rsidRPr="00B43C28">
        <w:t>arent</w:t>
      </w:r>
      <w:proofErr w:type="spellEnd"/>
      <w:r w:rsidR="00931421">
        <w:t>-t</w:t>
      </w:r>
      <w:r w:rsidR="00931421" w:rsidRPr="00B43C28">
        <w:t xml:space="preserve">eacher </w:t>
      </w:r>
      <w:r w:rsidR="00931421">
        <w:t>a</w:t>
      </w:r>
      <w:r w:rsidR="00931421" w:rsidRPr="00B43C28">
        <w:t xml:space="preserve">ssociation fees, </w:t>
      </w:r>
      <w:r w:rsidR="00931421" w:rsidRPr="00B43C28">
        <w:rPr>
          <w:lang w:val="en-US"/>
        </w:rPr>
        <w:t>paying volunteering teachers</w:t>
      </w:r>
      <w:r w:rsidR="00931421">
        <w:rPr>
          <w:lang w:val="en-US"/>
        </w:rPr>
        <w:t>, and boarding-school costs when parents have no other choice, and increasingly digital devices and internet connection costs</w:t>
      </w:r>
      <w:r w:rsidR="00931421" w:rsidRPr="00B43C28">
        <w:rPr>
          <w:lang w:val="en-US"/>
        </w:rPr>
        <w:t xml:space="preserve">. </w:t>
      </w:r>
      <w:r w:rsidR="00931421">
        <w:rPr>
          <w:lang w:val="en-US"/>
        </w:rPr>
        <w:t xml:space="preserve">Free lunches, particularly for those unable to pay, should also be provided for. States have also made efforts to </w:t>
      </w:r>
      <w:r w:rsidR="00931421" w:rsidRPr="00920437">
        <w:rPr>
          <w:lang w:val="en-US"/>
        </w:rPr>
        <w:t>financially support teaching aids</w:t>
      </w:r>
      <w:r w:rsidR="00931421">
        <w:rPr>
          <w:lang w:val="en-US"/>
        </w:rPr>
        <w:t>.</w:t>
      </w:r>
      <w:r w:rsidR="00931421" w:rsidRPr="00920437">
        <w:rPr>
          <w:lang w:val="en-US"/>
        </w:rPr>
        <w:t xml:space="preserve"> </w:t>
      </w:r>
      <w:r w:rsidR="00931421">
        <w:rPr>
          <w:lang w:val="en-US"/>
        </w:rPr>
        <w:t>C</w:t>
      </w:r>
      <w:r w:rsidR="00931421" w:rsidRPr="00920437">
        <w:rPr>
          <w:lang w:val="en-US"/>
        </w:rPr>
        <w:t xml:space="preserve">ontributions </w:t>
      </w:r>
      <w:r w:rsidR="00931421">
        <w:rPr>
          <w:lang w:val="en-US"/>
        </w:rPr>
        <w:t xml:space="preserve">also </w:t>
      </w:r>
      <w:r w:rsidR="00931421" w:rsidRPr="00920437">
        <w:rPr>
          <w:lang w:val="en-US"/>
        </w:rPr>
        <w:t>highlighted financial assistance to s</w:t>
      </w:r>
      <w:r w:rsidR="00931421" w:rsidRPr="004F411D">
        <w:rPr>
          <w:lang w:val="en-US"/>
        </w:rPr>
        <w:t xml:space="preserve">tudents with economic difficulties or social assistance schemes </w:t>
      </w:r>
      <w:proofErr w:type="gramStart"/>
      <w:r w:rsidR="00931421" w:rsidRPr="004F411D">
        <w:rPr>
          <w:lang w:val="en-US"/>
        </w:rPr>
        <w:t>as a way to</w:t>
      </w:r>
      <w:proofErr w:type="gramEnd"/>
      <w:r w:rsidR="00931421" w:rsidRPr="004F411D">
        <w:rPr>
          <w:lang w:val="en-US"/>
        </w:rPr>
        <w:t xml:space="preserve"> achieve free education</w:t>
      </w:r>
      <w:r w:rsidR="00931421">
        <w:rPr>
          <w:lang w:val="en-US"/>
        </w:rPr>
        <w:t xml:space="preserve"> and ensure economic accessibility</w:t>
      </w:r>
      <w:r w:rsidR="00931421" w:rsidRPr="004F411D">
        <w:rPr>
          <w:lang w:val="en-US"/>
        </w:rPr>
        <w:t>.</w:t>
      </w:r>
    </w:p>
    <w:p w14:paraId="7B4537BF" w14:textId="00F4FFA0" w:rsidR="00931421" w:rsidRPr="005B4959" w:rsidRDefault="00A30FEB" w:rsidP="00A30FEB">
      <w:pPr>
        <w:pStyle w:val="SingleTxtG"/>
        <w:rPr>
          <w:lang w:val="en-US"/>
        </w:rPr>
      </w:pPr>
      <w:r>
        <w:rPr>
          <w:lang w:val="en-US"/>
        </w:rPr>
        <w:t>41.</w:t>
      </w:r>
      <w:r>
        <w:rPr>
          <w:lang w:val="en-US"/>
        </w:rPr>
        <w:tab/>
      </w:r>
      <w:r w:rsidR="00931421">
        <w:rPr>
          <w:lang w:val="en-US"/>
        </w:rPr>
        <w:t>There are other, l</w:t>
      </w:r>
      <w:r w:rsidR="00931421" w:rsidRPr="005B4959">
        <w:rPr>
          <w:lang w:val="en-US"/>
        </w:rPr>
        <w:t xml:space="preserve">ess </w:t>
      </w:r>
      <w:r w:rsidR="00931421">
        <w:rPr>
          <w:lang w:val="en-US"/>
        </w:rPr>
        <w:t>tangible,</w:t>
      </w:r>
      <w:r w:rsidR="00931421" w:rsidRPr="005B4959">
        <w:rPr>
          <w:lang w:val="en-US"/>
        </w:rPr>
        <w:t xml:space="preserve"> costs</w:t>
      </w:r>
      <w:r w:rsidR="00931421">
        <w:rPr>
          <w:lang w:val="en-US"/>
        </w:rPr>
        <w:t>.</w:t>
      </w:r>
      <w:r w:rsidR="00931421" w:rsidRPr="005B4959">
        <w:rPr>
          <w:lang w:val="en-US"/>
        </w:rPr>
        <w:t xml:space="preserve"> </w:t>
      </w:r>
      <w:r w:rsidR="00931421">
        <w:rPr>
          <w:lang w:val="en-US"/>
        </w:rPr>
        <w:t xml:space="preserve">The mandate has previously warned that </w:t>
      </w:r>
      <w:r w:rsidR="00931421" w:rsidRPr="005B4959">
        <w:t xml:space="preserve">children and families bear the costs of </w:t>
      </w:r>
      <w:r w:rsidR="00931421" w:rsidRPr="005B4959">
        <w:rPr>
          <w:lang w:val="en-US"/>
        </w:rPr>
        <w:t>the digitalization of education</w:t>
      </w:r>
      <w:r w:rsidR="00931421" w:rsidRPr="005B4959" w:rsidDel="00445FFA">
        <w:t xml:space="preserve"> </w:t>
      </w:r>
      <w:r w:rsidR="00931421" w:rsidRPr="005B4959">
        <w:t xml:space="preserve">through, for </w:t>
      </w:r>
      <w:r w:rsidR="00931421">
        <w:t>instance</w:t>
      </w:r>
      <w:r w:rsidR="00931421" w:rsidRPr="005B4959">
        <w:t>, the mining of their data and violation</w:t>
      </w:r>
      <w:r w:rsidR="00931421">
        <w:t>s</w:t>
      </w:r>
      <w:r w:rsidR="00931421" w:rsidRPr="005B4959">
        <w:t xml:space="preserve"> of their right to privacy.</w:t>
      </w:r>
      <w:r w:rsidR="004E12D9">
        <w:rPr>
          <w:rStyle w:val="FootnoteReference"/>
        </w:rPr>
        <w:footnoteReference w:id="47"/>
      </w:r>
      <w:r w:rsidR="00931421" w:rsidRPr="005B4959">
        <w:t xml:space="preserve"> Commercial advertising and marketing in </w:t>
      </w:r>
      <w:r w:rsidR="00931421">
        <w:t>education settings</w:t>
      </w:r>
      <w:r w:rsidR="00931421" w:rsidRPr="005B4959">
        <w:t xml:space="preserve"> </w:t>
      </w:r>
      <w:r w:rsidR="00931421">
        <w:rPr>
          <w:lang w:val="en-US"/>
        </w:rPr>
        <w:t>are other hidden costs</w:t>
      </w:r>
      <w:r w:rsidR="00931421" w:rsidRPr="005B4959">
        <w:t xml:space="preserve"> </w:t>
      </w:r>
      <w:r w:rsidR="00931421">
        <w:t xml:space="preserve">and </w:t>
      </w:r>
      <w:r w:rsidR="00931421" w:rsidRPr="005B4959">
        <w:t>should be banned</w:t>
      </w:r>
      <w:r w:rsidR="00931421" w:rsidRPr="005B4959">
        <w:rPr>
          <w:lang w:val="en-US"/>
        </w:rPr>
        <w:t>.</w:t>
      </w:r>
      <w:r w:rsidR="004E12D9">
        <w:rPr>
          <w:rStyle w:val="FootnoteReference"/>
          <w:lang w:val="en-US"/>
        </w:rPr>
        <w:footnoteReference w:id="48"/>
      </w:r>
      <w:r w:rsidR="00931421" w:rsidRPr="005B4959">
        <w:rPr>
          <w:lang w:val="en-US"/>
        </w:rPr>
        <w:t xml:space="preserve"> </w:t>
      </w:r>
      <w:r w:rsidR="00931421">
        <w:rPr>
          <w:lang w:val="en-US"/>
        </w:rPr>
        <w:t>Ending the hidden cost of c</w:t>
      </w:r>
      <w:r w:rsidR="00931421" w:rsidRPr="005B4959">
        <w:rPr>
          <w:lang w:val="en-US"/>
        </w:rPr>
        <w:t>orruption</w:t>
      </w:r>
      <w:r w:rsidR="00931421">
        <w:rPr>
          <w:lang w:val="en-US"/>
        </w:rPr>
        <w:t xml:space="preserve"> will also help overcome </w:t>
      </w:r>
      <w:r w:rsidR="00931421" w:rsidRPr="005B4959">
        <w:rPr>
          <w:lang w:val="en-US"/>
        </w:rPr>
        <w:t>inequalities</w:t>
      </w:r>
      <w:r w:rsidR="00931421">
        <w:rPr>
          <w:lang w:val="en-US"/>
        </w:rPr>
        <w:t xml:space="preserve"> and improve </w:t>
      </w:r>
      <w:r w:rsidR="00931421" w:rsidRPr="005B4959">
        <w:rPr>
          <w:lang w:val="en-US"/>
        </w:rPr>
        <w:t>governance.</w:t>
      </w:r>
    </w:p>
    <w:p w14:paraId="0F7F6AAF" w14:textId="23EA52B7" w:rsidR="00931421" w:rsidRPr="00614496" w:rsidRDefault="00614496" w:rsidP="00614496">
      <w:pPr>
        <w:pStyle w:val="H1G"/>
      </w:pPr>
      <w:r>
        <w:tab/>
      </w:r>
      <w:r w:rsidRPr="00614496">
        <w:t>D.</w:t>
      </w:r>
      <w:r>
        <w:tab/>
      </w:r>
      <w:r w:rsidR="00931421" w:rsidRPr="00614496">
        <w:t>From an equal right to education to the right to equitable and inclusive education</w:t>
      </w:r>
    </w:p>
    <w:p w14:paraId="0FD2CCBD" w14:textId="3FFC6BCA" w:rsidR="00931421" w:rsidRPr="00022E0F" w:rsidRDefault="00614496" w:rsidP="00614496">
      <w:pPr>
        <w:pStyle w:val="SingleTxtG"/>
        <w:rPr>
          <w:lang w:val="en-US"/>
        </w:rPr>
      </w:pPr>
      <w:r>
        <w:rPr>
          <w:spacing w:val="4"/>
        </w:rPr>
        <w:t>42.</w:t>
      </w:r>
      <w:r>
        <w:rPr>
          <w:spacing w:val="4"/>
        </w:rPr>
        <w:tab/>
      </w:r>
      <w:r w:rsidR="00931421" w:rsidRPr="00022E0F">
        <w:rPr>
          <w:spacing w:val="4"/>
        </w:rPr>
        <w:t>Removing</w:t>
      </w:r>
      <w:r w:rsidR="00931421" w:rsidRPr="00B363B2">
        <w:rPr>
          <w:spacing w:val="4"/>
        </w:rPr>
        <w:t xml:space="preserve"> </w:t>
      </w:r>
      <w:r w:rsidR="00931421" w:rsidRPr="00022E0F">
        <w:rPr>
          <w:lang w:val="en-US"/>
        </w:rPr>
        <w:t xml:space="preserve">direct and indirect </w:t>
      </w:r>
      <w:r w:rsidR="00931421" w:rsidRPr="00B363B2">
        <w:rPr>
          <w:lang w:val="en-US"/>
        </w:rPr>
        <w:t>discrimination</w:t>
      </w:r>
      <w:r w:rsidR="00931421">
        <w:rPr>
          <w:lang w:val="en-US"/>
        </w:rPr>
        <w:t xml:space="preserve"> in education</w:t>
      </w:r>
      <w:r w:rsidR="00931421" w:rsidRPr="00022E0F">
        <w:rPr>
          <w:lang w:val="en-US"/>
        </w:rPr>
        <w:t xml:space="preserve">, as well as de jure and de facto barriers </w:t>
      </w:r>
      <w:r w:rsidR="00931421" w:rsidRPr="00B363B2">
        <w:t xml:space="preserve">are </w:t>
      </w:r>
      <w:r w:rsidR="00931421">
        <w:t xml:space="preserve">now </w:t>
      </w:r>
      <w:r w:rsidR="00931421" w:rsidRPr="00022E0F">
        <w:t>well-established State</w:t>
      </w:r>
      <w:r w:rsidR="00931421">
        <w:t>s</w:t>
      </w:r>
      <w:r w:rsidR="00931421" w:rsidRPr="00022E0F">
        <w:t xml:space="preserve"> obligations. </w:t>
      </w:r>
      <w:r w:rsidR="00931421">
        <w:t xml:space="preserve">The necessity of </w:t>
      </w:r>
      <w:r w:rsidR="00931421" w:rsidRPr="00022E0F">
        <w:t>intersectional approaches</w:t>
      </w:r>
      <w:r w:rsidR="00931421">
        <w:t xml:space="preserve"> is widely accepted</w:t>
      </w:r>
      <w:r w:rsidR="00931421" w:rsidRPr="00022E0F">
        <w:t>, a</w:t>
      </w:r>
      <w:r w:rsidR="00931421">
        <w:t>s is the requirement for States to go beyond</w:t>
      </w:r>
      <w:r w:rsidR="00931421" w:rsidRPr="00022E0F">
        <w:t xml:space="preserve"> prohibit</w:t>
      </w:r>
      <w:r w:rsidR="00931421">
        <w:t>ing</w:t>
      </w:r>
      <w:r w:rsidR="00931421" w:rsidRPr="00022E0F">
        <w:t xml:space="preserve"> </w:t>
      </w:r>
      <w:r w:rsidR="00931421" w:rsidRPr="00022E0F">
        <w:lastRenderedPageBreak/>
        <w:t xml:space="preserve">discrimination </w:t>
      </w:r>
      <w:r w:rsidR="00931421">
        <w:t xml:space="preserve">by </w:t>
      </w:r>
      <w:r w:rsidR="00931421" w:rsidRPr="00022E0F">
        <w:t>ensur</w:t>
      </w:r>
      <w:r w:rsidR="00931421">
        <w:t>ing</w:t>
      </w:r>
      <w:r w:rsidR="00931421" w:rsidRPr="00022E0F">
        <w:t xml:space="preserve"> </w:t>
      </w:r>
      <w:r w:rsidR="00931421">
        <w:t>that</w:t>
      </w:r>
      <w:r w:rsidR="00931421" w:rsidRPr="00022E0F">
        <w:t xml:space="preserve"> the </w:t>
      </w:r>
      <w:r w:rsidR="00931421" w:rsidRPr="00B363B2">
        <w:t>principle of equal</w:t>
      </w:r>
      <w:r w:rsidR="00931421" w:rsidRPr="00022E0F">
        <w:t xml:space="preserve"> opportunit</w:t>
      </w:r>
      <w:r w:rsidR="00931421">
        <w:t>y</w:t>
      </w:r>
      <w:r w:rsidR="00931421" w:rsidRPr="00022E0F">
        <w:t xml:space="preserve"> fully translates into concrete reality.</w:t>
      </w:r>
      <w:r w:rsidR="004E12D9">
        <w:rPr>
          <w:rStyle w:val="FootnoteReference"/>
        </w:rPr>
        <w:footnoteReference w:id="49"/>
      </w:r>
    </w:p>
    <w:p w14:paraId="4F54DD66" w14:textId="7D1628C6" w:rsidR="00931421" w:rsidRPr="00ED6E4C" w:rsidRDefault="00614496" w:rsidP="00614496">
      <w:pPr>
        <w:pStyle w:val="SingleTxtG"/>
        <w:rPr>
          <w:lang w:val="en-US"/>
        </w:rPr>
      </w:pPr>
      <w:r>
        <w:t>43.</w:t>
      </w:r>
      <w:r>
        <w:tab/>
      </w:r>
      <w:r w:rsidR="00931421">
        <w:t>T</w:t>
      </w:r>
      <w:r w:rsidR="00931421" w:rsidRPr="00022E0F">
        <w:t xml:space="preserve">he </w:t>
      </w:r>
      <w:r w:rsidR="00931421">
        <w:t xml:space="preserve">mandate has </w:t>
      </w:r>
      <w:r w:rsidR="00931421" w:rsidRPr="00022E0F">
        <w:t xml:space="preserve">underlined that States must pursue </w:t>
      </w:r>
      <w:r w:rsidR="00931421" w:rsidRPr="00B363B2">
        <w:t>inclusive and equitable approaches</w:t>
      </w:r>
      <w:r w:rsidR="00931421">
        <w:t xml:space="preserve"> to education</w:t>
      </w:r>
      <w:r w:rsidR="00931421" w:rsidRPr="00022E0F">
        <w:t xml:space="preserve">. This is echoed in SDG4 and the Education 2030 Framework for Action. </w:t>
      </w:r>
      <w:r w:rsidR="00931421" w:rsidRPr="00022E0F">
        <w:rPr>
          <w:lang w:val="en-US"/>
        </w:rPr>
        <w:t xml:space="preserve">SDG </w:t>
      </w:r>
      <w:r w:rsidR="00931421">
        <w:rPr>
          <w:lang w:val="en-US"/>
        </w:rPr>
        <w:t xml:space="preserve">target </w:t>
      </w:r>
      <w:r w:rsidR="00931421" w:rsidRPr="00022E0F">
        <w:rPr>
          <w:lang w:val="en-US"/>
        </w:rPr>
        <w:t xml:space="preserve">4A further </w:t>
      </w:r>
      <w:r w:rsidR="00931421" w:rsidRPr="00022E0F">
        <w:rPr>
          <w:rStyle w:val="Strong"/>
          <w:b w:val="0"/>
          <w:bCs w:val="0"/>
          <w:shd w:val="clear" w:color="auto" w:fill="FFFFFF"/>
        </w:rPr>
        <w:t>requires building</w:t>
      </w:r>
      <w:r w:rsidR="00931421">
        <w:rPr>
          <w:shd w:val="clear" w:color="auto" w:fill="FFFFFF"/>
        </w:rPr>
        <w:t>/</w:t>
      </w:r>
      <w:r w:rsidR="00931421" w:rsidRPr="00022E0F">
        <w:rPr>
          <w:shd w:val="clear" w:color="auto" w:fill="FFFFFF"/>
        </w:rPr>
        <w:t xml:space="preserve">upgrading facilities </w:t>
      </w:r>
      <w:r w:rsidR="00931421">
        <w:rPr>
          <w:shd w:val="clear" w:color="auto" w:fill="FFFFFF"/>
        </w:rPr>
        <w:t xml:space="preserve">to be </w:t>
      </w:r>
      <w:r w:rsidR="00931421" w:rsidRPr="00022E0F">
        <w:rPr>
          <w:shd w:val="clear" w:color="auto" w:fill="FFFFFF"/>
        </w:rPr>
        <w:t xml:space="preserve">child, </w:t>
      </w:r>
      <w:proofErr w:type="gramStart"/>
      <w:r w:rsidR="00931421" w:rsidRPr="00022E0F">
        <w:rPr>
          <w:shd w:val="clear" w:color="auto" w:fill="FFFFFF"/>
        </w:rPr>
        <w:t>disability</w:t>
      </w:r>
      <w:proofErr w:type="gramEnd"/>
      <w:r w:rsidR="00931421" w:rsidRPr="00022E0F">
        <w:rPr>
          <w:shd w:val="clear" w:color="auto" w:fill="FFFFFF"/>
        </w:rPr>
        <w:t xml:space="preserve"> and</w:t>
      </w:r>
      <w:r w:rsidR="00931421" w:rsidRPr="00B43C28">
        <w:rPr>
          <w:shd w:val="clear" w:color="auto" w:fill="FFFFFF"/>
        </w:rPr>
        <w:t xml:space="preserve"> gender</w:t>
      </w:r>
      <w:r w:rsidR="00931421">
        <w:rPr>
          <w:shd w:val="clear" w:color="auto" w:fill="FFFFFF"/>
        </w:rPr>
        <w:t>-</w:t>
      </w:r>
      <w:r w:rsidR="00931421" w:rsidRPr="00B43C28">
        <w:rPr>
          <w:shd w:val="clear" w:color="auto" w:fill="FFFFFF"/>
        </w:rPr>
        <w:t>sensitive</w:t>
      </w:r>
      <w:r w:rsidR="00931421">
        <w:rPr>
          <w:shd w:val="clear" w:color="auto" w:fill="FFFFFF"/>
        </w:rPr>
        <w:t>, as well as</w:t>
      </w:r>
      <w:r w:rsidR="00931421" w:rsidRPr="00B43C28">
        <w:rPr>
          <w:shd w:val="clear" w:color="auto" w:fill="FFFFFF"/>
        </w:rPr>
        <w:t xml:space="preserve"> safe, nonviolent, inclusive and effective learning environments for all. </w:t>
      </w:r>
    </w:p>
    <w:p w14:paraId="73F93079" w14:textId="7E68E8F5" w:rsidR="00931421" w:rsidRPr="005F28E8" w:rsidRDefault="00614496" w:rsidP="00614496">
      <w:pPr>
        <w:pStyle w:val="SingleTxtG"/>
        <w:rPr>
          <w:lang w:val="en-US"/>
        </w:rPr>
      </w:pPr>
      <w:r>
        <w:t>44.</w:t>
      </w:r>
      <w:r>
        <w:tab/>
      </w:r>
      <w:r w:rsidR="00931421">
        <w:t>N</w:t>
      </w:r>
      <w:r w:rsidR="00931421" w:rsidRPr="00B43C28">
        <w:t>on-discrimination, equality</w:t>
      </w:r>
      <w:r w:rsidR="00931421">
        <w:t xml:space="preserve">, </w:t>
      </w:r>
      <w:r w:rsidR="00931421" w:rsidRPr="00B43C28">
        <w:t xml:space="preserve">equity </w:t>
      </w:r>
      <w:r w:rsidR="00931421">
        <w:t xml:space="preserve">and inclusion </w:t>
      </w:r>
      <w:r w:rsidR="00931421" w:rsidRPr="00B43C28">
        <w:t xml:space="preserve">are sine qua non conditions </w:t>
      </w:r>
      <w:r w:rsidR="00931421">
        <w:t xml:space="preserve">for </w:t>
      </w:r>
      <w:r w:rsidR="00931421" w:rsidRPr="00B43C28">
        <w:t>ensuring the right to education for all</w:t>
      </w:r>
      <w:r w:rsidR="00931421">
        <w:t xml:space="preserve">. </w:t>
      </w:r>
      <w:r w:rsidR="00931421" w:rsidRPr="005F28E8">
        <w:t>Equit</w:t>
      </w:r>
      <w:r w:rsidR="00931421">
        <w:t xml:space="preserve">y </w:t>
      </w:r>
      <w:r w:rsidR="00931421" w:rsidRPr="005F28E8">
        <w:t>means ensuring that individual learners</w:t>
      </w:r>
      <w:r w:rsidR="00931421">
        <w:t>, particularly those with specific educational needs,</w:t>
      </w:r>
      <w:r w:rsidR="00931421" w:rsidRPr="005F28E8">
        <w:t xml:space="preserve"> receive the support they require to succeed, according to </w:t>
      </w:r>
      <w:r w:rsidR="00931421">
        <w:t xml:space="preserve">their </w:t>
      </w:r>
      <w:r w:rsidR="00931421" w:rsidRPr="005F28E8">
        <w:t>individual circumstances</w:t>
      </w:r>
      <w:r w:rsidR="00931421">
        <w:t>. E</w:t>
      </w:r>
      <w:r w:rsidR="00931421" w:rsidRPr="00B43C28">
        <w:t>xclusion</w:t>
      </w:r>
      <w:r w:rsidR="00931421">
        <w:t xml:space="preserve"> must be redressed through i</w:t>
      </w:r>
      <w:r w:rsidR="00931421" w:rsidRPr="005F28E8">
        <w:t>nclusive education</w:t>
      </w:r>
      <w:r w:rsidR="00931421">
        <w:t>, which is the best guarantee of equity,</w:t>
      </w:r>
      <w:r w:rsidR="00931421" w:rsidRPr="005F28E8">
        <w:t xml:space="preserve"> enabl</w:t>
      </w:r>
      <w:r w:rsidR="00931421">
        <w:t>ing</w:t>
      </w:r>
      <w:r w:rsidR="00931421" w:rsidRPr="005F28E8">
        <w:t xml:space="preserve"> all learners, regardless of background, physical and mental abilities or other characteristics, to learn in a</w:t>
      </w:r>
      <w:r w:rsidR="00931421">
        <w:t>n adapted and</w:t>
      </w:r>
      <w:r w:rsidR="00931421" w:rsidRPr="005F28E8">
        <w:t xml:space="preserve"> supportive environment.</w:t>
      </w:r>
      <w:r w:rsidR="00CD6F1D">
        <w:rPr>
          <w:rStyle w:val="FootnoteReference"/>
        </w:rPr>
        <w:footnoteReference w:id="50"/>
      </w:r>
      <w:r w:rsidR="00931421" w:rsidRPr="005F28E8">
        <w:t xml:space="preserve"> </w:t>
      </w:r>
    </w:p>
    <w:p w14:paraId="6C3FD828" w14:textId="2DD6BF2C" w:rsidR="00931421" w:rsidRPr="00B804ED" w:rsidRDefault="00614496" w:rsidP="00614496">
      <w:pPr>
        <w:pStyle w:val="SingleTxtG"/>
        <w:rPr>
          <w:lang w:val="en-US"/>
        </w:rPr>
      </w:pPr>
      <w:r>
        <w:rPr>
          <w:lang w:val="en-US"/>
        </w:rPr>
        <w:t>4</w:t>
      </w:r>
      <w:r w:rsidR="003D26DF">
        <w:rPr>
          <w:lang w:val="en-US"/>
        </w:rPr>
        <w:t>5</w:t>
      </w:r>
      <w:r>
        <w:rPr>
          <w:lang w:val="en-US"/>
        </w:rPr>
        <w:t>.</w:t>
      </w:r>
      <w:r>
        <w:rPr>
          <w:lang w:val="en-US"/>
        </w:rPr>
        <w:tab/>
      </w:r>
      <w:r w:rsidR="00931421" w:rsidRPr="00B804ED">
        <w:rPr>
          <w:lang w:val="en-US"/>
        </w:rPr>
        <w:t xml:space="preserve">The right to inclusive education developed as an international legal norm for persons living with disabilities, based on </w:t>
      </w:r>
      <w:r w:rsidR="00931421" w:rsidRPr="00B804ED">
        <w:t>this</w:t>
      </w:r>
      <w:r w:rsidR="00931421" w:rsidRPr="00B804ED">
        <w:rPr>
          <w:lang w:val="en-US"/>
        </w:rPr>
        <w:t xml:space="preserve"> mandate’s 2007 report,</w:t>
      </w:r>
      <w:r w:rsidR="00CD6F1D">
        <w:rPr>
          <w:rStyle w:val="FootnoteReference"/>
          <w:lang w:val="en-US"/>
        </w:rPr>
        <w:footnoteReference w:id="51"/>
      </w:r>
      <w:r w:rsidR="00931421" w:rsidRPr="00B804ED">
        <w:rPr>
          <w:lang w:val="en-US"/>
        </w:rPr>
        <w:t xml:space="preserve"> the </w:t>
      </w:r>
      <w:r w:rsidR="00931421" w:rsidRPr="00B804ED">
        <w:t>Convention on the Rights of People with Disabilities (art. 24)</w:t>
      </w:r>
      <w:r w:rsidR="00931421" w:rsidRPr="00B804ED">
        <w:rPr>
          <w:spacing w:val="4"/>
        </w:rPr>
        <w:t>,</w:t>
      </w:r>
      <w:r w:rsidR="00931421" w:rsidRPr="00B804ED">
        <w:rPr>
          <w:lang w:val="en-US"/>
        </w:rPr>
        <w:t xml:space="preserve"> and its supervisory Committee’s General Comment no. 4</w:t>
      </w:r>
      <w:r w:rsidR="00931421" w:rsidRPr="00B804ED">
        <w:t>.</w:t>
      </w:r>
      <w:r w:rsidR="00CD6F1D">
        <w:rPr>
          <w:rStyle w:val="FootnoteReference"/>
        </w:rPr>
        <w:footnoteReference w:id="52"/>
      </w:r>
      <w:r w:rsidR="00931421" w:rsidRPr="00B804ED">
        <w:t xml:space="preserve"> Many contributions</w:t>
      </w:r>
      <w:r w:rsidR="00931421">
        <w:t xml:space="preserve"> have</w:t>
      </w:r>
      <w:r w:rsidR="00931421" w:rsidRPr="00B804ED">
        <w:t xml:space="preserve"> not</w:t>
      </w:r>
      <w:r w:rsidR="00931421">
        <w:t>ed</w:t>
      </w:r>
      <w:r w:rsidR="00931421" w:rsidRPr="00B804ED">
        <w:t xml:space="preserve"> achievements but also </w:t>
      </w:r>
      <w:r w:rsidR="00931421">
        <w:t xml:space="preserve">further </w:t>
      </w:r>
      <w:r w:rsidR="00931421" w:rsidRPr="00B804ED">
        <w:t xml:space="preserve">efforts </w:t>
      </w:r>
      <w:r w:rsidR="00931421">
        <w:t>required</w:t>
      </w:r>
      <w:r w:rsidR="00931421" w:rsidRPr="00B804ED">
        <w:t>, notably to develop a</w:t>
      </w:r>
      <w:r w:rsidR="00931421" w:rsidRPr="004F411D">
        <w:rPr>
          <w:rStyle w:val="markedcontent"/>
        </w:rPr>
        <w:t xml:space="preserve"> robust system of screening </w:t>
      </w:r>
      <w:r w:rsidR="00931421">
        <w:rPr>
          <w:rStyle w:val="markedcontent"/>
        </w:rPr>
        <w:t>to ensure</w:t>
      </w:r>
      <w:r w:rsidR="00931421" w:rsidRPr="004F411D">
        <w:rPr>
          <w:rStyle w:val="markedcontent"/>
        </w:rPr>
        <w:t xml:space="preserve"> learners get appropriate educational intervention </w:t>
      </w:r>
      <w:r w:rsidR="00931421">
        <w:rPr>
          <w:rStyle w:val="markedcontent"/>
        </w:rPr>
        <w:t>o</w:t>
      </w:r>
      <w:r w:rsidR="00931421" w:rsidRPr="004F411D">
        <w:rPr>
          <w:rStyle w:val="markedcontent"/>
        </w:rPr>
        <w:t>n time</w:t>
      </w:r>
      <w:r w:rsidR="00931421">
        <w:rPr>
          <w:rStyle w:val="markedcontent"/>
        </w:rPr>
        <w:t>, and public advocacy efforts to reduce stigma and misconceptions.</w:t>
      </w:r>
    </w:p>
    <w:p w14:paraId="0B647BBC" w14:textId="642BF967" w:rsidR="00931421" w:rsidRPr="00477949" w:rsidRDefault="00614496" w:rsidP="00614496">
      <w:pPr>
        <w:pStyle w:val="SingleTxtG"/>
        <w:rPr>
          <w:lang w:val="en-US"/>
        </w:rPr>
      </w:pPr>
      <w:r>
        <w:rPr>
          <w:lang w:val="en-US"/>
        </w:rPr>
        <w:t>4</w:t>
      </w:r>
      <w:r w:rsidR="003D26DF">
        <w:rPr>
          <w:lang w:val="en-US"/>
        </w:rPr>
        <w:t>6</w:t>
      </w:r>
      <w:r>
        <w:rPr>
          <w:lang w:val="en-US"/>
        </w:rPr>
        <w:t>.</w:t>
      </w:r>
      <w:r>
        <w:rPr>
          <w:lang w:val="en-US"/>
        </w:rPr>
        <w:tab/>
      </w:r>
      <w:r w:rsidR="00931421">
        <w:rPr>
          <w:lang w:val="en-US"/>
        </w:rPr>
        <w:t>U</w:t>
      </w:r>
      <w:r w:rsidR="00931421" w:rsidRPr="00477949">
        <w:rPr>
          <w:lang w:val="en-US"/>
        </w:rPr>
        <w:t>sing the approach developed for persons living with disabilities</w:t>
      </w:r>
      <w:r w:rsidR="00931421">
        <w:rPr>
          <w:lang w:val="en-US"/>
        </w:rPr>
        <w:t>,</w:t>
      </w:r>
      <w:r w:rsidR="00931421" w:rsidRPr="00477949">
        <w:rPr>
          <w:lang w:val="en-US"/>
        </w:rPr>
        <w:t xml:space="preserve"> </w:t>
      </w:r>
      <w:r w:rsidR="00931421">
        <w:rPr>
          <w:lang w:val="en-US"/>
        </w:rPr>
        <w:t>t</w:t>
      </w:r>
      <w:r w:rsidR="00931421" w:rsidRPr="00477949">
        <w:rPr>
          <w:lang w:val="en-US"/>
        </w:rPr>
        <w:t xml:space="preserve">he right to inclusive education should be </w:t>
      </w:r>
      <w:r w:rsidR="00931421" w:rsidRPr="00477949">
        <w:t xml:space="preserve">applied to all marginalised groups. </w:t>
      </w:r>
      <w:r w:rsidR="00931421">
        <w:t>Inclusion is not integration, however.</w:t>
      </w:r>
      <w:r w:rsidR="00931421" w:rsidRPr="00477949">
        <w:t xml:space="preserve"> </w:t>
      </w:r>
      <w:r w:rsidR="00931421">
        <w:t>I</w:t>
      </w:r>
      <w:r w:rsidR="00931421" w:rsidRPr="00477949">
        <w:t xml:space="preserve">ntegration places everyone in mainstream educational institutions </w:t>
      </w:r>
      <w:r w:rsidR="00931421">
        <w:t>necessitating</w:t>
      </w:r>
      <w:r w:rsidR="00931421" w:rsidRPr="00477949">
        <w:t xml:space="preserve"> </w:t>
      </w:r>
      <w:r w:rsidR="00931421">
        <w:t>individuals</w:t>
      </w:r>
      <w:r w:rsidR="00931421" w:rsidRPr="00477949">
        <w:t xml:space="preserve"> to </w:t>
      </w:r>
      <w:r w:rsidR="00931421">
        <w:t>adapt;</w:t>
      </w:r>
      <w:r w:rsidR="00931421" w:rsidRPr="00477949">
        <w:t xml:space="preserve"> inclusion means modifying educational content, teaching methods, approaches, structures and strategies to overcome barriers so that all students enjoy an equitable learning experience and appropriate environment.</w:t>
      </w:r>
      <w:r w:rsidR="00CD6F1D">
        <w:rPr>
          <w:rStyle w:val="FootnoteReference"/>
        </w:rPr>
        <w:footnoteReference w:id="53"/>
      </w:r>
      <w:r w:rsidR="00931421">
        <w:t xml:space="preserve"> </w:t>
      </w:r>
      <w:r w:rsidR="00931421">
        <w:rPr>
          <w:lang w:val="en-US"/>
        </w:rPr>
        <w:t>It also requires</w:t>
      </w:r>
      <w:r w:rsidR="00931421" w:rsidRPr="00477949">
        <w:rPr>
          <w:lang w:val="en-US"/>
        </w:rPr>
        <w:t xml:space="preserve"> intercultural education, an approach increasingly adopted in many parts of the world</w:t>
      </w:r>
      <w:r w:rsidR="00931421" w:rsidRPr="00477949">
        <w:t>.</w:t>
      </w:r>
      <w:r w:rsidR="00F0309C">
        <w:rPr>
          <w:rStyle w:val="FootnoteReference"/>
        </w:rPr>
        <w:footnoteReference w:id="54"/>
      </w:r>
    </w:p>
    <w:p w14:paraId="6FFC31A9" w14:textId="79B84C10" w:rsidR="00931421" w:rsidRPr="00686649" w:rsidRDefault="00614496" w:rsidP="00614496">
      <w:pPr>
        <w:pStyle w:val="SingleTxtG"/>
      </w:pPr>
      <w:r>
        <w:t>4</w:t>
      </w:r>
      <w:r w:rsidR="003D26DF">
        <w:t>7</w:t>
      </w:r>
      <w:r>
        <w:t>.</w:t>
      </w:r>
      <w:r>
        <w:tab/>
      </w:r>
      <w:r w:rsidR="00931421">
        <w:t>Contributions</w:t>
      </w:r>
      <w:r w:rsidR="00931421" w:rsidRPr="001A7756">
        <w:t xml:space="preserve"> </w:t>
      </w:r>
      <w:r w:rsidR="00931421">
        <w:t>demonstrate</w:t>
      </w:r>
      <w:r w:rsidR="00931421" w:rsidRPr="001A7756">
        <w:t xml:space="preserve"> that </w:t>
      </w:r>
      <w:r w:rsidR="00931421">
        <w:t>despite</w:t>
      </w:r>
      <w:r w:rsidR="00931421" w:rsidRPr="001A7756" w:rsidDel="0017145A">
        <w:t xml:space="preserve"> </w:t>
      </w:r>
      <w:r w:rsidR="00931421" w:rsidRPr="001A7756">
        <w:t>commitments, discrimination, inequality, inequity and exclusion remain high</w:t>
      </w:r>
      <w:r w:rsidR="00931421">
        <w:t>, with increasing segregation in some cases.</w:t>
      </w:r>
      <w:r w:rsidR="00931421" w:rsidRPr="001A7756">
        <w:t xml:space="preserve"> </w:t>
      </w:r>
      <w:r w:rsidR="00931421">
        <w:t>Many</w:t>
      </w:r>
      <w:r w:rsidR="00931421" w:rsidRPr="001A7756">
        <w:t xml:space="preserve"> groups </w:t>
      </w:r>
      <w:r w:rsidR="00931421">
        <w:t>still lack</w:t>
      </w:r>
      <w:r w:rsidR="00931421" w:rsidRPr="001A7756">
        <w:t xml:space="preserve"> equitable opportunities,</w:t>
      </w:r>
      <w:r w:rsidR="00931421">
        <w:t xml:space="preserve"> </w:t>
      </w:r>
      <w:r w:rsidR="00931421" w:rsidRPr="001A7756">
        <w:t>for which the mandate has repeatedly made recommendations.</w:t>
      </w:r>
      <w:r w:rsidR="00F0309C">
        <w:rPr>
          <w:rStyle w:val="FootnoteReference"/>
        </w:rPr>
        <w:footnoteReference w:id="55"/>
      </w:r>
      <w:r w:rsidR="00931421" w:rsidRPr="001A7756">
        <w:t xml:space="preserve"> </w:t>
      </w:r>
      <w:r w:rsidR="00931421">
        <w:t>Contributions highlighted, for example,</w:t>
      </w:r>
      <w:r w:rsidR="00931421" w:rsidRPr="001A7756">
        <w:t xml:space="preserve"> girls </w:t>
      </w:r>
      <w:r w:rsidR="00931421">
        <w:t xml:space="preserve">who are </w:t>
      </w:r>
      <w:r w:rsidR="00931421" w:rsidRPr="001A7756">
        <w:t>pregnant, married, or mothers</w:t>
      </w:r>
      <w:r w:rsidR="00931421">
        <w:t>;</w:t>
      </w:r>
      <w:r w:rsidR="00931421" w:rsidRPr="001A7756">
        <w:t xml:space="preserve"> </w:t>
      </w:r>
      <w:r w:rsidR="00931421">
        <w:t>out-of-school</w:t>
      </w:r>
      <w:r w:rsidR="00931421" w:rsidRPr="001A7756">
        <w:t xml:space="preserve"> refugee children</w:t>
      </w:r>
      <w:r w:rsidR="00931421">
        <w:t>;</w:t>
      </w:r>
      <w:r w:rsidR="00931421" w:rsidRPr="001A7756">
        <w:t xml:space="preserve"> </w:t>
      </w:r>
      <w:r w:rsidR="00931421">
        <w:t>g</w:t>
      </w:r>
      <w:r w:rsidR="00931421" w:rsidRPr="001A7756">
        <w:t>irls in conflict-affected countries</w:t>
      </w:r>
      <w:r w:rsidR="00931421">
        <w:t xml:space="preserve">; </w:t>
      </w:r>
      <w:r w:rsidR="00931421" w:rsidRPr="001A7756">
        <w:t xml:space="preserve">stateless </w:t>
      </w:r>
      <w:r w:rsidR="00931421">
        <w:t xml:space="preserve">or displaced </w:t>
      </w:r>
      <w:r w:rsidR="00931421" w:rsidRPr="001A7756">
        <w:t>children</w:t>
      </w:r>
      <w:r w:rsidR="00931421">
        <w:t>;</w:t>
      </w:r>
      <w:r w:rsidR="00931421" w:rsidRPr="001A7756">
        <w:t xml:space="preserve"> </w:t>
      </w:r>
      <w:r w:rsidR="00931421">
        <w:t xml:space="preserve">minorities including the Roma, people living in poverty, those living in remote, rural or indigenous areas, migrant and working children, </w:t>
      </w:r>
      <w:r w:rsidR="00931421" w:rsidRPr="001A7756">
        <w:t>children with disabilities</w:t>
      </w:r>
      <w:r w:rsidR="00931421" w:rsidRPr="00D84A7A">
        <w:t xml:space="preserve"> </w:t>
      </w:r>
      <w:r w:rsidR="00931421">
        <w:t>and chronically-ill children</w:t>
      </w:r>
      <w:r w:rsidR="00931421" w:rsidRPr="001A7756">
        <w:t xml:space="preserve">. Laws </w:t>
      </w:r>
      <w:r w:rsidR="00931421">
        <w:t>against</w:t>
      </w:r>
      <w:r w:rsidR="00931421" w:rsidRPr="001A7756">
        <w:t xml:space="preserve"> discrimination</w:t>
      </w:r>
      <w:r w:rsidR="00931421">
        <w:t>, where they exist,</w:t>
      </w:r>
      <w:r w:rsidR="00931421" w:rsidRPr="001A7756">
        <w:t xml:space="preserve"> do not always explicitly mention sex, sexual orientation, gender identity and expression in a manner that applies to education. </w:t>
      </w:r>
      <w:r w:rsidR="00931421">
        <w:t>Issues are also raised regarding prohibitive tuition fees for foreign students in European countries, students in detention, discrimination based on political or religious grounds, and the compounding impact of school districts and local funding systems. Furthermore, p</w:t>
      </w:r>
      <w:r w:rsidR="00931421" w:rsidRPr="001A7756">
        <w:t>lans proposing differentiated approaches for various groups lack concrete guidelines and indicators.</w:t>
      </w:r>
    </w:p>
    <w:p w14:paraId="50FC6882" w14:textId="456260F8" w:rsidR="00931421" w:rsidRPr="000B2500" w:rsidRDefault="000B2500" w:rsidP="000B2500">
      <w:pPr>
        <w:pStyle w:val="H1G"/>
      </w:pPr>
      <w:r>
        <w:lastRenderedPageBreak/>
        <w:tab/>
      </w:r>
      <w:r w:rsidR="003D26DF">
        <w:t>E</w:t>
      </w:r>
      <w:r w:rsidRPr="000B2500">
        <w:t>.</w:t>
      </w:r>
      <w:r>
        <w:tab/>
      </w:r>
      <w:r w:rsidR="00931421" w:rsidRPr="000B2500">
        <w:t>A right to participate in educational life</w:t>
      </w:r>
    </w:p>
    <w:p w14:paraId="4ADA75E8" w14:textId="795F5236" w:rsidR="00931421" w:rsidRDefault="000B2500" w:rsidP="000B2500">
      <w:pPr>
        <w:pStyle w:val="SingleTxtG"/>
      </w:pPr>
      <w:r>
        <w:t>4</w:t>
      </w:r>
      <w:r w:rsidR="003D26DF">
        <w:t>8</w:t>
      </w:r>
      <w:r>
        <w:t>.</w:t>
      </w:r>
      <w:r>
        <w:tab/>
      </w:r>
      <w:r w:rsidR="00931421">
        <w:t>Inclusivity</w:t>
      </w:r>
      <w:r w:rsidR="00931421" w:rsidRPr="00C61A88">
        <w:t xml:space="preserve"> means recognizing the right of all stakeholders to participate in educational life</w:t>
      </w:r>
      <w:r w:rsidR="00931421">
        <w:t xml:space="preserve">, </w:t>
      </w:r>
      <w:r w:rsidR="00931421" w:rsidRPr="00C61A88">
        <w:t xml:space="preserve">based on </w:t>
      </w:r>
      <w:r w:rsidR="00931421">
        <w:t>active interpersonal</w:t>
      </w:r>
      <w:r w:rsidR="00931421" w:rsidRPr="00C61A88">
        <w:t xml:space="preserve"> relationships between students, educators, organizations and other</w:t>
      </w:r>
      <w:r w:rsidR="00931421">
        <w:t>s</w:t>
      </w:r>
      <w:r w:rsidR="00931421" w:rsidRPr="00C61A88">
        <w:t xml:space="preserve"> associated actors and </w:t>
      </w:r>
      <w:r w:rsidR="00931421">
        <w:t>the</w:t>
      </w:r>
      <w:r w:rsidR="00931421" w:rsidRPr="00C61A88">
        <w:t xml:space="preserve"> shar</w:t>
      </w:r>
      <w:r w:rsidR="00931421">
        <w:t>ing of</w:t>
      </w:r>
      <w:r w:rsidR="00931421" w:rsidRPr="00C61A88">
        <w:t xml:space="preserve"> cultural resources, </w:t>
      </w:r>
      <w:r w:rsidR="00931421">
        <w:t>as</w:t>
      </w:r>
      <w:r w:rsidR="00931421" w:rsidRPr="00C61A88">
        <w:t xml:space="preserve"> vectors of “identity, values and meaning”.</w:t>
      </w:r>
      <w:r w:rsidR="00C35419">
        <w:rPr>
          <w:rStyle w:val="FootnoteReference"/>
        </w:rPr>
        <w:footnoteReference w:id="56"/>
      </w:r>
      <w:r w:rsidR="00931421" w:rsidRPr="00C61A88">
        <w:t xml:space="preserve"> </w:t>
      </w:r>
      <w:r w:rsidR="00931421">
        <w:t>Many contributions highlighted the need to adopt a child-</w:t>
      </w:r>
      <w:proofErr w:type="spellStart"/>
      <w:r w:rsidR="00931421">
        <w:t>centered</w:t>
      </w:r>
      <w:proofErr w:type="spellEnd"/>
      <w:r w:rsidR="00931421">
        <w:t xml:space="preserve"> and child rights-based approach, allowing their meaningful participation in decision-making.</w:t>
      </w:r>
      <w:r w:rsidR="007777F5">
        <w:rPr>
          <w:rStyle w:val="FootnoteReference"/>
        </w:rPr>
        <w:footnoteReference w:id="57"/>
      </w:r>
    </w:p>
    <w:p w14:paraId="653FFF5D" w14:textId="78A8BD5A" w:rsidR="00931421" w:rsidRPr="00962DCD" w:rsidRDefault="000B2500" w:rsidP="000B2500">
      <w:pPr>
        <w:pStyle w:val="SingleTxtG"/>
      </w:pPr>
      <w:r>
        <w:t>4</w:t>
      </w:r>
      <w:r w:rsidR="003D26DF">
        <w:t>9</w:t>
      </w:r>
      <w:r>
        <w:t>.</w:t>
      </w:r>
      <w:r>
        <w:tab/>
      </w:r>
      <w:r w:rsidR="00931421">
        <w:t>C</w:t>
      </w:r>
      <w:r w:rsidR="00931421" w:rsidRPr="00962DCD">
        <w:t>hallenges</w:t>
      </w:r>
      <w:r w:rsidR="00931421">
        <w:t xml:space="preserve"> may result from</w:t>
      </w:r>
      <w:r w:rsidR="00931421" w:rsidRPr="00962DCD">
        <w:t xml:space="preserve"> divergent views within countries and communities</w:t>
      </w:r>
      <w:r w:rsidR="00931421">
        <w:t xml:space="preserve">; these need to be addressed. </w:t>
      </w:r>
      <w:r w:rsidR="00931421" w:rsidRPr="00962DCD">
        <w:t xml:space="preserve">Cultural resources must be used to enable informed debate </w:t>
      </w:r>
      <w:r w:rsidR="00931421">
        <w:t>and to gather</w:t>
      </w:r>
      <w:r w:rsidR="00931421" w:rsidRPr="00962DCD">
        <w:t xml:space="preserve"> contributions </w:t>
      </w:r>
      <w:r w:rsidR="00931421">
        <w:t xml:space="preserve">so as </w:t>
      </w:r>
      <w:r w:rsidR="00931421" w:rsidRPr="00962DCD">
        <w:t xml:space="preserve">to </w:t>
      </w:r>
      <w:r w:rsidR="00931421">
        <w:t>ensure full participation from all</w:t>
      </w:r>
      <w:r w:rsidR="00931421" w:rsidRPr="00962DCD">
        <w:t xml:space="preserve"> and </w:t>
      </w:r>
      <w:r w:rsidR="00931421">
        <w:t>provide representative</w:t>
      </w:r>
      <w:r w:rsidR="00931421" w:rsidRPr="00962DCD">
        <w:t xml:space="preserve"> perspectives.</w:t>
      </w:r>
      <w:r w:rsidR="00972F1A">
        <w:rPr>
          <w:rStyle w:val="FootnoteReference"/>
        </w:rPr>
        <w:footnoteReference w:id="58"/>
      </w:r>
      <w:r w:rsidR="00931421" w:rsidRPr="00962DCD">
        <w:t xml:space="preserve"> </w:t>
      </w:r>
      <w:r w:rsidR="00931421">
        <w:t>However, cultural resources may be misunderstood or apprehended from a prejudiced point of view. Some may also be used to justify</w:t>
      </w:r>
      <w:r w:rsidR="00931421" w:rsidRPr="00962DCD">
        <w:t xml:space="preserve"> discrimination and restrictions on freedom</w:t>
      </w:r>
      <w:r w:rsidR="00931421">
        <w:t>s</w:t>
      </w:r>
      <w:r w:rsidR="00931421" w:rsidRPr="00962DCD">
        <w:t>. The Special Rapporteur</w:t>
      </w:r>
      <w:r w:rsidR="00931421">
        <w:t xml:space="preserve"> recalls the vitality of ensuring cultural rights while guaranteeing that</w:t>
      </w:r>
      <w:r w:rsidR="00931421" w:rsidRPr="00962DCD">
        <w:t xml:space="preserve"> </w:t>
      </w:r>
      <w:r w:rsidR="00931421">
        <w:t>n</w:t>
      </w:r>
      <w:r w:rsidR="00931421" w:rsidRPr="00962DCD">
        <w:t>o one may invoke cultural diversity to infringe upon human rights guaranteed by international law, or to limit their scope</w:t>
      </w:r>
      <w:r w:rsidR="00931421">
        <w:t>.</w:t>
      </w:r>
      <w:r w:rsidR="003C1E44">
        <w:rPr>
          <w:rStyle w:val="FootnoteReference"/>
        </w:rPr>
        <w:footnoteReference w:id="59"/>
      </w:r>
      <w:r w:rsidR="00931421" w:rsidRPr="00962DCD">
        <w:t xml:space="preserve"> </w:t>
      </w:r>
      <w:r w:rsidR="00931421">
        <w:t>She also stresses the work</w:t>
      </w:r>
      <w:r w:rsidR="00931421" w:rsidRPr="00962DCD">
        <w:t xml:space="preserve"> of the Special Rapporteur on cultural rights on the writing and teaching of history</w:t>
      </w:r>
      <w:r w:rsidR="00931421">
        <w:t>, inter alia</w:t>
      </w:r>
      <w:r w:rsidR="00931421" w:rsidRPr="00962DCD">
        <w:t>.</w:t>
      </w:r>
      <w:r w:rsidR="003C1E44">
        <w:rPr>
          <w:rStyle w:val="FootnoteReference"/>
        </w:rPr>
        <w:footnoteReference w:id="60"/>
      </w:r>
      <w:r w:rsidR="00931421" w:rsidRPr="00962DCD">
        <w:t xml:space="preserve"> </w:t>
      </w:r>
      <w:r w:rsidR="00931421">
        <w:t xml:space="preserve"> </w:t>
      </w:r>
    </w:p>
    <w:p w14:paraId="7017E6B0" w14:textId="7C5EC666" w:rsidR="00931421" w:rsidRPr="009F3CED" w:rsidRDefault="003D26DF" w:rsidP="000B2500">
      <w:pPr>
        <w:pStyle w:val="SingleTxtG"/>
        <w:rPr>
          <w:b/>
        </w:rPr>
      </w:pPr>
      <w:r>
        <w:t>50</w:t>
      </w:r>
      <w:r w:rsidR="000B2500">
        <w:t>.</w:t>
      </w:r>
      <w:r w:rsidR="000B2500">
        <w:tab/>
      </w:r>
      <w:r w:rsidR="00931421">
        <w:t>The right to education is that of learners, not their families or communities. T</w:t>
      </w:r>
      <w:r w:rsidR="00931421" w:rsidRPr="007C77C4">
        <w:t>he responsibilities, rights and duties of parents or family or community members to provide</w:t>
      </w:r>
      <w:r w:rsidR="00931421">
        <w:t xml:space="preserve"> </w:t>
      </w:r>
      <w:r w:rsidR="00931421" w:rsidRPr="007C77C4">
        <w:t>appropriate direction and guidance</w:t>
      </w:r>
      <w:r w:rsidR="00931421">
        <w:t xml:space="preserve"> are to be respected</w:t>
      </w:r>
      <w:r w:rsidR="00931421" w:rsidRPr="007C77C4">
        <w:t xml:space="preserve">, </w:t>
      </w:r>
      <w:r w:rsidR="00931421">
        <w:t xml:space="preserve">but the </w:t>
      </w:r>
      <w:r w:rsidR="00931421" w:rsidRPr="001E4487">
        <w:rPr>
          <w:lang w:val="en-US"/>
        </w:rPr>
        <w:t xml:space="preserve">primacy of </w:t>
      </w:r>
      <w:r w:rsidR="00931421">
        <w:rPr>
          <w:lang w:val="en-US"/>
        </w:rPr>
        <w:t>children’s</w:t>
      </w:r>
      <w:r w:rsidR="00931421" w:rsidRPr="001E4487">
        <w:rPr>
          <w:lang w:val="en-US"/>
        </w:rPr>
        <w:t xml:space="preserve"> best interest</w:t>
      </w:r>
      <w:r w:rsidR="00931421">
        <w:rPr>
          <w:lang w:val="en-US"/>
        </w:rPr>
        <w:t>s</w:t>
      </w:r>
      <w:r w:rsidR="00931421" w:rsidRPr="007C77C4">
        <w:t xml:space="preserve"> </w:t>
      </w:r>
      <w:r w:rsidR="00931421">
        <w:t xml:space="preserve">must be ensured. This includes fully respecting their </w:t>
      </w:r>
      <w:r w:rsidR="00931421" w:rsidRPr="007C77C4">
        <w:t xml:space="preserve">rights to </w:t>
      </w:r>
      <w:r w:rsidR="00931421">
        <w:t xml:space="preserve">education, </w:t>
      </w:r>
      <w:r w:rsidR="00931421" w:rsidRPr="007C77C4">
        <w:t>to information</w:t>
      </w:r>
      <w:r w:rsidR="00931421">
        <w:t xml:space="preserve">, to </w:t>
      </w:r>
      <w:r w:rsidR="00931421" w:rsidRPr="007C77C4">
        <w:t xml:space="preserve">freedom of expression, thought, conscience and religion, and to express </w:t>
      </w:r>
      <w:r w:rsidR="00931421">
        <w:t xml:space="preserve">their </w:t>
      </w:r>
      <w:r w:rsidR="00931421" w:rsidRPr="007C77C4">
        <w:t xml:space="preserve">views freely in matters affecting </w:t>
      </w:r>
      <w:r w:rsidR="00931421">
        <w:t>them</w:t>
      </w:r>
      <w:r w:rsidR="00931421" w:rsidRPr="007C77C4">
        <w:t xml:space="preserve">, in accordance with </w:t>
      </w:r>
      <w:r w:rsidR="00931421">
        <w:t xml:space="preserve">their </w:t>
      </w:r>
      <w:r w:rsidR="00931421" w:rsidRPr="007C77C4">
        <w:t>capacity</w:t>
      </w:r>
      <w:r w:rsidR="00931421">
        <w:t>.</w:t>
      </w:r>
      <w:r w:rsidR="003E7BAF">
        <w:rPr>
          <w:rStyle w:val="FootnoteReference"/>
        </w:rPr>
        <w:footnoteReference w:id="61"/>
      </w:r>
      <w:r w:rsidR="00931421">
        <w:t xml:space="preserve"> Demands from parents and communities that children be barred from certain educational content (e.g. sports, arts, human rights education, comprehensive sexual education, science, etc.), would be at odds with the right to education.</w:t>
      </w:r>
      <w:r w:rsidR="003E7BAF">
        <w:rPr>
          <w:rStyle w:val="FootnoteReference"/>
        </w:rPr>
        <w:footnoteReference w:id="62"/>
      </w:r>
      <w:r w:rsidR="00931421">
        <w:t xml:space="preserve"> </w:t>
      </w:r>
    </w:p>
    <w:p w14:paraId="5FF9DA82" w14:textId="093C9AFE" w:rsidR="00931421" w:rsidRPr="00134E46" w:rsidRDefault="000B2500" w:rsidP="000B2500">
      <w:pPr>
        <w:pStyle w:val="SingleTxtG"/>
        <w:rPr>
          <w:lang w:val="en-US"/>
        </w:rPr>
      </w:pPr>
      <w:r>
        <w:rPr>
          <w:color w:val="000000"/>
          <w:shd w:val="clear" w:color="auto" w:fill="FFFFFF"/>
        </w:rPr>
        <w:t>5</w:t>
      </w:r>
      <w:r w:rsidR="003D26DF">
        <w:rPr>
          <w:color w:val="000000"/>
          <w:shd w:val="clear" w:color="auto" w:fill="FFFFFF"/>
        </w:rPr>
        <w:t>1</w:t>
      </w:r>
      <w:r>
        <w:rPr>
          <w:color w:val="000000"/>
          <w:shd w:val="clear" w:color="auto" w:fill="FFFFFF"/>
        </w:rPr>
        <w:t>.</w:t>
      </w:r>
      <w:r>
        <w:rPr>
          <w:color w:val="000000"/>
          <w:shd w:val="clear" w:color="auto" w:fill="FFFFFF"/>
        </w:rPr>
        <w:tab/>
      </w:r>
      <w:r w:rsidR="00931421" w:rsidRPr="00ED2D7C">
        <w:rPr>
          <w:color w:val="000000"/>
          <w:shd w:val="clear" w:color="auto" w:fill="FFFFFF"/>
        </w:rPr>
        <w:t>De</w:t>
      </w:r>
      <w:r w:rsidR="00931421">
        <w:rPr>
          <w:color w:val="000000"/>
          <w:shd w:val="clear" w:color="auto" w:fill="FFFFFF"/>
        </w:rPr>
        <w:t>-</w:t>
      </w:r>
      <w:r w:rsidR="00931421" w:rsidRPr="00ED2D7C">
        <w:rPr>
          <w:color w:val="000000"/>
          <w:shd w:val="clear" w:color="auto" w:fill="FFFFFF"/>
        </w:rPr>
        <w:t xml:space="preserve">colonial and intersectional perspectives provide a vocabulary with which to examine the quality of inclusion. </w:t>
      </w:r>
      <w:r w:rsidR="00931421">
        <w:rPr>
          <w:color w:val="000000"/>
          <w:shd w:val="clear" w:color="auto" w:fill="FFFFFF"/>
        </w:rPr>
        <w:t>T</w:t>
      </w:r>
      <w:r w:rsidR="00931421" w:rsidRPr="00ED2D7C">
        <w:rPr>
          <w:color w:val="000000"/>
          <w:shd w:val="clear" w:color="auto" w:fill="FFFFFF"/>
        </w:rPr>
        <w:t xml:space="preserve">his </w:t>
      </w:r>
      <w:r w:rsidR="00931421">
        <w:rPr>
          <w:color w:val="000000"/>
          <w:shd w:val="clear" w:color="auto" w:fill="FFFFFF"/>
        </w:rPr>
        <w:t>entails, inter alia</w:t>
      </w:r>
      <w:r w:rsidR="00931421" w:rsidRPr="00ED2D7C">
        <w:rPr>
          <w:color w:val="000000"/>
          <w:shd w:val="clear" w:color="auto" w:fill="FFFFFF"/>
        </w:rPr>
        <w:t xml:space="preserve">: changing curricula to include historically excluded stories; </w:t>
      </w:r>
      <w:r w:rsidR="00931421">
        <w:rPr>
          <w:color w:val="000000"/>
          <w:shd w:val="clear" w:color="auto" w:fill="FFFFFF"/>
        </w:rPr>
        <w:t xml:space="preserve">human rights education and rebuilding trust in institutions, </w:t>
      </w:r>
      <w:r w:rsidR="00931421" w:rsidRPr="00ED2D7C">
        <w:rPr>
          <w:color w:val="000000"/>
          <w:shd w:val="clear" w:color="auto" w:fill="FFFFFF"/>
        </w:rPr>
        <w:t>changing “chalk-and-talk” teaching</w:t>
      </w:r>
      <w:r w:rsidR="00931421">
        <w:rPr>
          <w:color w:val="000000"/>
          <w:shd w:val="clear" w:color="auto" w:fill="FFFFFF"/>
        </w:rPr>
        <w:t xml:space="preserve"> rather than </w:t>
      </w:r>
      <w:r w:rsidR="00931421" w:rsidRPr="00ED2D7C">
        <w:rPr>
          <w:color w:val="000000"/>
          <w:shd w:val="clear" w:color="auto" w:fill="FFFFFF"/>
        </w:rPr>
        <w:t xml:space="preserve">punishing </w:t>
      </w:r>
      <w:r w:rsidR="00931421">
        <w:rPr>
          <w:color w:val="000000"/>
          <w:shd w:val="clear" w:color="auto" w:fill="FFFFFF"/>
        </w:rPr>
        <w:t xml:space="preserve">those </w:t>
      </w:r>
      <w:r w:rsidR="00931421" w:rsidRPr="00ED2D7C">
        <w:rPr>
          <w:color w:val="000000"/>
          <w:shd w:val="clear" w:color="auto" w:fill="FFFFFF"/>
        </w:rPr>
        <w:t xml:space="preserve">who do not </w:t>
      </w:r>
      <w:r w:rsidR="00931421">
        <w:rPr>
          <w:color w:val="000000"/>
          <w:shd w:val="clear" w:color="auto" w:fill="FFFFFF"/>
        </w:rPr>
        <w:t>respond well to these methods</w:t>
      </w:r>
      <w:r w:rsidR="00931421" w:rsidRPr="00ED2D7C">
        <w:rPr>
          <w:color w:val="000000"/>
          <w:shd w:val="clear" w:color="auto" w:fill="FFFFFF"/>
        </w:rPr>
        <w:t xml:space="preserve">; bringing students’ </w:t>
      </w:r>
      <w:r w:rsidR="00931421">
        <w:rPr>
          <w:color w:val="000000"/>
          <w:shd w:val="clear" w:color="auto" w:fill="FFFFFF"/>
        </w:rPr>
        <w:t xml:space="preserve">identity vectors </w:t>
      </w:r>
      <w:r w:rsidR="00931421" w:rsidRPr="00ED2D7C">
        <w:rPr>
          <w:color w:val="000000"/>
          <w:shd w:val="clear" w:color="auto" w:fill="FFFFFF"/>
        </w:rPr>
        <w:t xml:space="preserve">into the classroom; </w:t>
      </w:r>
      <w:r w:rsidR="00931421">
        <w:rPr>
          <w:color w:val="000000"/>
          <w:shd w:val="clear" w:color="auto" w:fill="FFFFFF"/>
        </w:rPr>
        <w:t xml:space="preserve">exploring </w:t>
      </w:r>
      <w:r w:rsidR="00931421" w:rsidRPr="00ED2D7C">
        <w:rPr>
          <w:color w:val="000000"/>
          <w:shd w:val="clear" w:color="auto" w:fill="FFFFFF"/>
        </w:rPr>
        <w:t xml:space="preserve">other ways of knowing </w:t>
      </w:r>
      <w:r w:rsidR="00931421">
        <w:rPr>
          <w:color w:val="000000"/>
          <w:shd w:val="clear" w:color="auto" w:fill="FFFFFF"/>
        </w:rPr>
        <w:t xml:space="preserve">and recognizing diverse knowledge systems, </w:t>
      </w:r>
      <w:r w:rsidR="00931421" w:rsidRPr="00ED2D7C">
        <w:rPr>
          <w:color w:val="000000"/>
          <w:shd w:val="clear" w:color="auto" w:fill="FFFFFF"/>
        </w:rPr>
        <w:t>such as</w:t>
      </w:r>
      <w:r w:rsidR="00931421">
        <w:rPr>
          <w:color w:val="000000"/>
          <w:shd w:val="clear" w:color="auto" w:fill="FFFFFF"/>
        </w:rPr>
        <w:t xml:space="preserve"> those of</w:t>
      </w:r>
      <w:r w:rsidR="00931421" w:rsidRPr="00ED2D7C">
        <w:rPr>
          <w:color w:val="000000"/>
          <w:shd w:val="clear" w:color="auto" w:fill="FFFFFF"/>
        </w:rPr>
        <w:t xml:space="preserve"> indigenous </w:t>
      </w:r>
      <w:r w:rsidR="00931421">
        <w:rPr>
          <w:color w:val="000000"/>
          <w:shd w:val="clear" w:color="auto" w:fill="FFFFFF"/>
        </w:rPr>
        <w:t>and traditionally marginalized populations</w:t>
      </w:r>
      <w:r w:rsidR="00931421" w:rsidRPr="00ED2D7C">
        <w:rPr>
          <w:color w:val="000000"/>
          <w:shd w:val="clear" w:color="auto" w:fill="FFFFFF"/>
        </w:rPr>
        <w:t xml:space="preserve">. </w:t>
      </w:r>
      <w:r w:rsidR="00931421">
        <w:rPr>
          <w:color w:val="000000"/>
          <w:shd w:val="clear" w:color="auto" w:fill="FFFFFF"/>
        </w:rPr>
        <w:t xml:space="preserve">Without such </w:t>
      </w:r>
      <w:r w:rsidR="00931421" w:rsidRPr="00ED2D7C">
        <w:rPr>
          <w:color w:val="000000"/>
          <w:shd w:val="clear" w:color="auto" w:fill="FFFFFF"/>
        </w:rPr>
        <w:t>actions, pupils may be formally included in educational systems that</w:t>
      </w:r>
      <w:r w:rsidR="00931421">
        <w:rPr>
          <w:color w:val="000000"/>
          <w:shd w:val="clear" w:color="auto" w:fill="FFFFFF"/>
        </w:rPr>
        <w:t>, in fact,</w:t>
      </w:r>
      <w:r w:rsidR="00931421" w:rsidRPr="00ED2D7C">
        <w:rPr>
          <w:color w:val="000000"/>
          <w:shd w:val="clear" w:color="auto" w:fill="FFFFFF"/>
        </w:rPr>
        <w:t xml:space="preserve"> </w:t>
      </w:r>
      <w:r w:rsidR="00931421">
        <w:rPr>
          <w:color w:val="000000"/>
          <w:shd w:val="clear" w:color="auto" w:fill="FFFFFF"/>
        </w:rPr>
        <w:t xml:space="preserve">exclude </w:t>
      </w:r>
      <w:r w:rsidR="00931421" w:rsidRPr="00ED2D7C">
        <w:rPr>
          <w:color w:val="000000"/>
          <w:shd w:val="clear" w:color="auto" w:fill="FFFFFF"/>
        </w:rPr>
        <w:t>their needs, contributions and contexts.</w:t>
      </w:r>
      <w:r w:rsidR="00D541A5">
        <w:rPr>
          <w:rStyle w:val="FootnoteReference"/>
          <w:color w:val="000000"/>
          <w:shd w:val="clear" w:color="auto" w:fill="FFFFFF"/>
        </w:rPr>
        <w:footnoteReference w:id="63"/>
      </w:r>
    </w:p>
    <w:p w14:paraId="3AAF9BA8" w14:textId="4E447A06" w:rsidR="00931421" w:rsidRPr="000B2500" w:rsidRDefault="0060645B" w:rsidP="000B2500">
      <w:pPr>
        <w:pStyle w:val="H1G"/>
      </w:pPr>
      <w:r>
        <w:tab/>
      </w:r>
      <w:r w:rsidR="003D26DF">
        <w:t>F</w:t>
      </w:r>
      <w:r w:rsidR="000B2500" w:rsidRPr="000B2500">
        <w:t>.</w:t>
      </w:r>
      <w:r>
        <w:tab/>
      </w:r>
      <w:r w:rsidR="00931421" w:rsidRPr="000B2500">
        <w:t>A right to public education</w:t>
      </w:r>
    </w:p>
    <w:p w14:paraId="7B601B9C" w14:textId="2C13ED3E" w:rsidR="00931421" w:rsidRPr="0004169D" w:rsidRDefault="00AE0EDC" w:rsidP="00AE0EDC">
      <w:pPr>
        <w:pStyle w:val="SingleTxtG"/>
        <w:rPr>
          <w:lang w:val="en-US"/>
        </w:rPr>
      </w:pPr>
      <w:r>
        <w:t>5</w:t>
      </w:r>
      <w:r w:rsidR="003D26DF">
        <w:t>2</w:t>
      </w:r>
      <w:r>
        <w:t>.</w:t>
      </w:r>
      <w:r>
        <w:tab/>
      </w:r>
      <w:r w:rsidR="00931421" w:rsidRPr="0004169D">
        <w:t>As underscored by the mandate, the right to education requires States to deliver free, quality, public education for everyone.</w:t>
      </w:r>
      <w:r w:rsidR="00931421">
        <w:t xml:space="preserve"> </w:t>
      </w:r>
      <w:r w:rsidR="00931421" w:rsidRPr="0004169D">
        <w:t xml:space="preserve">This position is supported by the wording of relevant legal provisions </w:t>
      </w:r>
      <w:r w:rsidR="00931421">
        <w:t>(f</w:t>
      </w:r>
      <w:r w:rsidR="00931421" w:rsidRPr="0004169D">
        <w:t xml:space="preserve">or instance, </w:t>
      </w:r>
      <w:r w:rsidR="00931421">
        <w:t>parents’</w:t>
      </w:r>
      <w:r w:rsidR="00931421" w:rsidRPr="0004169D">
        <w:t xml:space="preserve"> freedom to choose </w:t>
      </w:r>
      <w:r w:rsidR="00931421">
        <w:t xml:space="preserve">private </w:t>
      </w:r>
      <w:r w:rsidR="00931421" w:rsidRPr="0004169D">
        <w:t xml:space="preserve">schools </w:t>
      </w:r>
      <w:r w:rsidR="00931421" w:rsidRPr="00266441">
        <w:t>for their children</w:t>
      </w:r>
      <w:r w:rsidR="00931421">
        <w:t xml:space="preserve"> </w:t>
      </w:r>
      <w:r w:rsidR="00931421" w:rsidRPr="0004169D">
        <w:t xml:space="preserve">other than those established by the public authorities is meaningless without </w:t>
      </w:r>
      <w:r w:rsidR="00931421">
        <w:t xml:space="preserve">universal access to </w:t>
      </w:r>
      <w:r w:rsidR="00931421" w:rsidRPr="0004169D">
        <w:t>public school</w:t>
      </w:r>
      <w:r w:rsidR="00931421">
        <w:t>ing)</w:t>
      </w:r>
      <w:r w:rsidR="00931421" w:rsidRPr="0004169D">
        <w:t xml:space="preserve">, and by </w:t>
      </w:r>
      <w:r w:rsidR="00931421">
        <w:t>international and domestic</w:t>
      </w:r>
      <w:r w:rsidR="00931421" w:rsidRPr="0004169D">
        <w:t xml:space="preserve"> mechanisms, </w:t>
      </w:r>
      <w:r w:rsidR="00931421">
        <w:t>reflecting</w:t>
      </w:r>
      <w:r w:rsidR="00931421" w:rsidRPr="0004169D">
        <w:t xml:space="preserve"> international consensus. Public education remains the main </w:t>
      </w:r>
      <w:r w:rsidR="00931421">
        <w:t>conduit</w:t>
      </w:r>
      <w:r w:rsidR="00931421" w:rsidRPr="0004169D">
        <w:t xml:space="preserve"> </w:t>
      </w:r>
      <w:r w:rsidR="00931421">
        <w:t>for</w:t>
      </w:r>
      <w:r w:rsidR="00931421" w:rsidRPr="0004169D">
        <w:t xml:space="preserve"> delivering education in a large majority of States and </w:t>
      </w:r>
      <w:r w:rsidR="00931421">
        <w:t xml:space="preserve">is </w:t>
      </w:r>
      <w:r w:rsidR="00931421" w:rsidRPr="0004169D">
        <w:t>often constitutionally protected. The Human Rights Council itself recognized the criticality of investing in public education.</w:t>
      </w:r>
      <w:r w:rsidR="00A9086E">
        <w:rPr>
          <w:rStyle w:val="FootnoteReference"/>
        </w:rPr>
        <w:footnoteReference w:id="64"/>
      </w:r>
      <w:r w:rsidR="00931421">
        <w:t xml:space="preserve"> </w:t>
      </w:r>
    </w:p>
    <w:p w14:paraId="569BE404" w14:textId="38BE1AC2" w:rsidR="00931421" w:rsidRPr="00A0630B" w:rsidRDefault="00AE0EDC" w:rsidP="00AE0EDC">
      <w:pPr>
        <w:pStyle w:val="SingleTxtG"/>
        <w:rPr>
          <w:lang w:val="en-US"/>
        </w:rPr>
      </w:pPr>
      <w:r>
        <w:lastRenderedPageBreak/>
        <w:t>5</w:t>
      </w:r>
      <w:r w:rsidR="003D26DF">
        <w:t>3</w:t>
      </w:r>
      <w:r>
        <w:t>.</w:t>
      </w:r>
      <w:r>
        <w:tab/>
      </w:r>
      <w:r w:rsidR="00931421" w:rsidRPr="00B43C28">
        <w:t xml:space="preserve">The </w:t>
      </w:r>
      <w:r w:rsidR="00931421">
        <w:t xml:space="preserve">Special Rapporteur reiterates the recommendation made by the </w:t>
      </w:r>
      <w:r w:rsidR="00931421" w:rsidRPr="00B43C28">
        <w:t xml:space="preserve">previous </w:t>
      </w:r>
      <w:r w:rsidR="00931421">
        <w:t>mandate-holder</w:t>
      </w:r>
      <w:r w:rsidR="00931421" w:rsidRPr="00B43C28">
        <w:t xml:space="preserve"> that States </w:t>
      </w:r>
      <w:r w:rsidR="00931421">
        <w:t xml:space="preserve">utilise the </w:t>
      </w:r>
      <w:r w:rsidR="00931421" w:rsidRPr="00B43C28">
        <w:t>Abidjan Guiding Principles</w:t>
      </w:r>
      <w:r w:rsidR="00931421">
        <w:t xml:space="preserve"> </w:t>
      </w:r>
      <w:r w:rsidR="00931421" w:rsidRPr="00390986">
        <w:t>on the human rights obligations of States to provide public education and to regulate private involvement in education</w:t>
      </w:r>
      <w:r w:rsidR="00931421">
        <w:t>.</w:t>
      </w:r>
      <w:r w:rsidR="00D8079D">
        <w:rPr>
          <w:rStyle w:val="FootnoteReference"/>
        </w:rPr>
        <w:footnoteReference w:id="65"/>
      </w:r>
      <w:r w:rsidR="00931421">
        <w:t xml:space="preserve"> </w:t>
      </w:r>
    </w:p>
    <w:p w14:paraId="22877141" w14:textId="7B3DB765" w:rsidR="00931421" w:rsidRPr="00B43C28" w:rsidRDefault="000662B2" w:rsidP="000662B2">
      <w:pPr>
        <w:pStyle w:val="H1G"/>
        <w:rPr>
          <w:lang w:val="en-US"/>
        </w:rPr>
      </w:pPr>
      <w:r>
        <w:rPr>
          <w:lang w:val="en-US"/>
        </w:rPr>
        <w:tab/>
      </w:r>
      <w:r w:rsidR="003D26DF">
        <w:rPr>
          <w:lang w:val="en-US"/>
        </w:rPr>
        <w:t>G</w:t>
      </w:r>
      <w:r>
        <w:rPr>
          <w:lang w:val="en-US"/>
        </w:rPr>
        <w:t>.</w:t>
      </w:r>
      <w:r>
        <w:rPr>
          <w:lang w:val="en-US"/>
        </w:rPr>
        <w:tab/>
      </w:r>
      <w:r w:rsidR="00931421" w:rsidRPr="00B43C28">
        <w:rPr>
          <w:lang w:val="en-US"/>
        </w:rPr>
        <w:t>The right to educational freedoms</w:t>
      </w:r>
    </w:p>
    <w:p w14:paraId="354E35A7" w14:textId="066C493D" w:rsidR="00931421" w:rsidRPr="007354DE" w:rsidRDefault="000662B2" w:rsidP="000662B2">
      <w:pPr>
        <w:pStyle w:val="SingleTxtG"/>
      </w:pPr>
      <w:r>
        <w:rPr>
          <w:lang w:val="en-US"/>
        </w:rPr>
        <w:t>5</w:t>
      </w:r>
      <w:r w:rsidR="003D26DF">
        <w:rPr>
          <w:lang w:val="en-US"/>
        </w:rPr>
        <w:t>4</w:t>
      </w:r>
      <w:r>
        <w:rPr>
          <w:lang w:val="en-US"/>
        </w:rPr>
        <w:t>.</w:t>
      </w:r>
      <w:r>
        <w:rPr>
          <w:lang w:val="en-US"/>
        </w:rPr>
        <w:tab/>
      </w:r>
      <w:r w:rsidR="00931421">
        <w:rPr>
          <w:lang w:val="en-US"/>
        </w:rPr>
        <w:t>E</w:t>
      </w:r>
      <w:r w:rsidR="00931421" w:rsidRPr="00B43C28">
        <w:rPr>
          <w:lang w:val="en-US"/>
        </w:rPr>
        <w:t xml:space="preserve">ducational freedoms are </w:t>
      </w:r>
      <w:r w:rsidR="00931421">
        <w:rPr>
          <w:lang w:val="en-US"/>
        </w:rPr>
        <w:t>essential</w:t>
      </w:r>
      <w:r w:rsidR="00931421" w:rsidRPr="00B43C28">
        <w:rPr>
          <w:lang w:val="en-US"/>
        </w:rPr>
        <w:t xml:space="preserve">. Under article 13 of ICESCR, </w:t>
      </w:r>
      <w:r w:rsidR="00931421" w:rsidRPr="00B43C28">
        <w:t xml:space="preserve">parents </w:t>
      </w:r>
      <w:r w:rsidR="00931421">
        <w:t xml:space="preserve">have the liberty </w:t>
      </w:r>
      <w:r w:rsidR="00931421" w:rsidRPr="00B43C28">
        <w:t>to choose schools</w:t>
      </w:r>
      <w:r w:rsidR="00931421" w:rsidRPr="00D97B7C">
        <w:t xml:space="preserve"> </w:t>
      </w:r>
      <w:r w:rsidR="00931421" w:rsidRPr="00B43C28">
        <w:t>for their children</w:t>
      </w:r>
      <w:r w:rsidR="00931421">
        <w:t>,</w:t>
      </w:r>
      <w:r w:rsidR="00931421" w:rsidRPr="00B43C28">
        <w:t xml:space="preserve"> to ensure the</w:t>
      </w:r>
      <w:r w:rsidR="00931421">
        <w:t>ir</w:t>
      </w:r>
      <w:r w:rsidR="00931421" w:rsidRPr="00B43C28">
        <w:t xml:space="preserve"> education </w:t>
      </w:r>
      <w:r w:rsidR="00931421">
        <w:t xml:space="preserve">is </w:t>
      </w:r>
      <w:r w:rsidR="00931421" w:rsidRPr="00B43C28">
        <w:t>in conformity with their own convictions</w:t>
      </w:r>
      <w:r w:rsidR="00931421">
        <w:t>;</w:t>
      </w:r>
      <w:r w:rsidR="00931421" w:rsidRPr="00B43C28">
        <w:t xml:space="preserve"> individuals and bodies </w:t>
      </w:r>
      <w:r w:rsidR="00931421">
        <w:t xml:space="preserve">have </w:t>
      </w:r>
      <w:r w:rsidR="00931421" w:rsidRPr="00B43C28">
        <w:t xml:space="preserve">the liberty to establish and direct educational institutions. These liberties </w:t>
      </w:r>
      <w:r w:rsidR="00931421">
        <w:t xml:space="preserve">include </w:t>
      </w:r>
      <w:r w:rsidR="00931421" w:rsidRPr="00B43C28">
        <w:t xml:space="preserve">the right to opt out </w:t>
      </w:r>
      <w:r w:rsidR="00931421">
        <w:t>of</w:t>
      </w:r>
      <w:r w:rsidR="00931421" w:rsidRPr="00B43C28">
        <w:t xml:space="preserve"> </w:t>
      </w:r>
      <w:r w:rsidR="00931421">
        <w:t xml:space="preserve">any </w:t>
      </w:r>
      <w:r w:rsidR="00931421" w:rsidRPr="00B43C28">
        <w:t xml:space="preserve">religious education, </w:t>
      </w:r>
      <w:r w:rsidR="00931421">
        <w:t>including one’s own.</w:t>
      </w:r>
      <w:r w:rsidR="00C363A4">
        <w:rPr>
          <w:rStyle w:val="FootnoteReference"/>
        </w:rPr>
        <w:footnoteReference w:id="66"/>
      </w:r>
      <w:r w:rsidR="00931421" w:rsidRPr="00B43C28">
        <w:t xml:space="preserve"> Th</w:t>
      </w:r>
      <w:r w:rsidR="00931421">
        <w:t xml:space="preserve">is </w:t>
      </w:r>
      <w:r w:rsidR="00931421" w:rsidRPr="00B43C28">
        <w:t>allow</w:t>
      </w:r>
      <w:r w:rsidR="00931421">
        <w:t>s</w:t>
      </w:r>
      <w:r w:rsidR="00931421" w:rsidRPr="00B43C28">
        <w:t xml:space="preserve"> for diversity in education</w:t>
      </w:r>
      <w:r w:rsidR="00931421">
        <w:t>,</w:t>
      </w:r>
      <w:r w:rsidR="00931421" w:rsidRPr="00B43C28">
        <w:t xml:space="preserve"> </w:t>
      </w:r>
      <w:r w:rsidR="00931421">
        <w:t xml:space="preserve">without absolving </w:t>
      </w:r>
      <w:r w:rsidR="00931421" w:rsidRPr="00B43C28">
        <w:t xml:space="preserve">public education systems </w:t>
      </w:r>
      <w:r w:rsidR="00931421">
        <w:t>from their obligations to protect</w:t>
      </w:r>
      <w:r w:rsidR="00931421" w:rsidRPr="00B43C28">
        <w:t xml:space="preserve"> </w:t>
      </w:r>
      <w:r w:rsidR="00931421">
        <w:t>cultural diversity</w:t>
      </w:r>
      <w:r w:rsidR="00931421" w:rsidRPr="00B43C28">
        <w:t>.</w:t>
      </w:r>
      <w:r w:rsidR="00C363A4">
        <w:rPr>
          <w:rStyle w:val="FootnoteReference"/>
        </w:rPr>
        <w:footnoteReference w:id="67"/>
      </w:r>
      <w:r w:rsidR="00931421" w:rsidRPr="00B43C28">
        <w:t xml:space="preserve"> </w:t>
      </w:r>
    </w:p>
    <w:p w14:paraId="146D0DA7" w14:textId="2ED0D71C" w:rsidR="00931421" w:rsidRPr="007354DE" w:rsidRDefault="000662B2" w:rsidP="000662B2">
      <w:pPr>
        <w:pStyle w:val="SingleTxtG"/>
        <w:rPr>
          <w:lang w:val="en-US"/>
        </w:rPr>
      </w:pPr>
      <w:r>
        <w:t>5</w:t>
      </w:r>
      <w:r w:rsidR="003D26DF">
        <w:t>5</w:t>
      </w:r>
      <w:r>
        <w:t>.</w:t>
      </w:r>
      <w:r>
        <w:tab/>
      </w:r>
      <w:r w:rsidR="00931421">
        <w:t xml:space="preserve">Measures which impinge on </w:t>
      </w:r>
      <w:r w:rsidR="00931421" w:rsidRPr="00B43C28">
        <w:rPr>
          <w:lang w:val="en-US"/>
        </w:rPr>
        <w:t xml:space="preserve">cultural pluralism, </w:t>
      </w:r>
      <w:r w:rsidR="00931421">
        <w:rPr>
          <w:lang w:val="en-US"/>
        </w:rPr>
        <w:t xml:space="preserve">or the rights of </w:t>
      </w:r>
      <w:r w:rsidR="00931421" w:rsidRPr="00B43C28">
        <w:rPr>
          <w:lang w:val="en-US"/>
        </w:rPr>
        <w:t xml:space="preserve">indigenous </w:t>
      </w:r>
      <w:r w:rsidR="00931421">
        <w:rPr>
          <w:lang w:val="en-US"/>
        </w:rPr>
        <w:t xml:space="preserve">or </w:t>
      </w:r>
      <w:r w:rsidR="00931421" w:rsidRPr="00B43C28">
        <w:rPr>
          <w:lang w:val="en-US"/>
        </w:rPr>
        <w:t xml:space="preserve">minority </w:t>
      </w:r>
      <w:r w:rsidR="00931421">
        <w:rPr>
          <w:lang w:val="en-US"/>
        </w:rPr>
        <w:t>groups</w:t>
      </w:r>
      <w:r w:rsidR="00931421" w:rsidRPr="00B43C28">
        <w:rPr>
          <w:lang w:val="en-US"/>
        </w:rPr>
        <w:t xml:space="preserve"> in education, in </w:t>
      </w:r>
      <w:proofErr w:type="spellStart"/>
      <w:r w:rsidR="00931421">
        <w:rPr>
          <w:lang w:val="en-US"/>
        </w:rPr>
        <w:t>favour</w:t>
      </w:r>
      <w:proofErr w:type="spellEnd"/>
      <w:r w:rsidR="00931421">
        <w:rPr>
          <w:lang w:val="en-US"/>
        </w:rPr>
        <w:t xml:space="preserve"> of assimilation</w:t>
      </w:r>
      <w:r w:rsidR="00931421" w:rsidRPr="00B43C28">
        <w:rPr>
          <w:lang w:val="en-US"/>
        </w:rPr>
        <w:t xml:space="preserve">, </w:t>
      </w:r>
      <w:r w:rsidR="00931421">
        <w:rPr>
          <w:lang w:val="en-US"/>
        </w:rPr>
        <w:t xml:space="preserve">whether </w:t>
      </w:r>
      <w:r w:rsidR="00931421" w:rsidRPr="00B43C28">
        <w:rPr>
          <w:lang w:val="en-US"/>
        </w:rPr>
        <w:t xml:space="preserve">in the name of nationalism, secularism or social cohesion, </w:t>
      </w:r>
      <w:r w:rsidR="00931421">
        <w:rPr>
          <w:lang w:val="en-US"/>
        </w:rPr>
        <w:t>are contrary to States’</w:t>
      </w:r>
      <w:r w:rsidR="00931421" w:rsidRPr="00B43C28">
        <w:rPr>
          <w:lang w:val="en-US"/>
        </w:rPr>
        <w:t xml:space="preserve"> </w:t>
      </w:r>
      <w:r w:rsidR="00931421">
        <w:rPr>
          <w:lang w:val="en-US"/>
        </w:rPr>
        <w:t>obligations</w:t>
      </w:r>
      <w:r w:rsidR="00931421" w:rsidRPr="00B43C28">
        <w:rPr>
          <w:lang w:val="en-US"/>
        </w:rPr>
        <w:t xml:space="preserve">. </w:t>
      </w:r>
      <w:r w:rsidR="00931421">
        <w:rPr>
          <w:lang w:val="en-US"/>
        </w:rPr>
        <w:t xml:space="preserve">The rights of minorities and indigenous people to establish and operate their own educational services, </w:t>
      </w:r>
      <w:r w:rsidR="00931421" w:rsidRPr="00B43C28">
        <w:t>in their own languages</w:t>
      </w:r>
      <w:r w:rsidR="00931421">
        <w:t xml:space="preserve"> and</w:t>
      </w:r>
      <w:r w:rsidR="00931421" w:rsidRPr="00B43C28">
        <w:t xml:space="preserve"> </w:t>
      </w:r>
      <w:r w:rsidR="00931421">
        <w:t xml:space="preserve">according </w:t>
      </w:r>
      <w:r w:rsidR="00931421" w:rsidRPr="00B43C28">
        <w:t>to their</w:t>
      </w:r>
      <w:r w:rsidR="00931421">
        <w:t xml:space="preserve"> </w:t>
      </w:r>
      <w:r w:rsidR="00931421" w:rsidRPr="00B43C28">
        <w:t>cultural methods of teaching and learning</w:t>
      </w:r>
      <w:r w:rsidR="00931421">
        <w:t>,</w:t>
      </w:r>
      <w:r w:rsidR="00931421" w:rsidRPr="00B43C28" w:rsidDel="009B663B">
        <w:rPr>
          <w:lang w:val="en-US"/>
        </w:rPr>
        <w:t xml:space="preserve"> </w:t>
      </w:r>
      <w:r w:rsidR="00931421">
        <w:rPr>
          <w:lang w:val="en-US"/>
        </w:rPr>
        <w:t>are recognized based on a</w:t>
      </w:r>
      <w:r w:rsidR="00931421" w:rsidRPr="00B43C28">
        <w:rPr>
          <w:lang w:val="en-US"/>
        </w:rPr>
        <w:t>rticles 27 of ICCPR</w:t>
      </w:r>
      <w:r w:rsidR="00931421">
        <w:rPr>
          <w:lang w:val="en-US"/>
        </w:rPr>
        <w:t>,</w:t>
      </w:r>
      <w:r w:rsidR="00931421" w:rsidRPr="00B43C28">
        <w:rPr>
          <w:lang w:val="en-US"/>
        </w:rPr>
        <w:t xml:space="preserve"> 30 of CRC, 3 and 4 of the U</w:t>
      </w:r>
      <w:r w:rsidR="00931421">
        <w:rPr>
          <w:lang w:val="en-US"/>
        </w:rPr>
        <w:t xml:space="preserve">N </w:t>
      </w:r>
      <w:r w:rsidR="00931421" w:rsidRPr="00B43C28">
        <w:rPr>
          <w:lang w:val="en-US"/>
        </w:rPr>
        <w:t>Declaration on the Rights of Persons Belonging to National or Ethnic, Religious and Linguistic Minorities</w:t>
      </w:r>
      <w:r w:rsidR="00931421">
        <w:rPr>
          <w:lang w:val="en-US"/>
        </w:rPr>
        <w:t>;</w:t>
      </w:r>
      <w:r w:rsidR="005048D3">
        <w:rPr>
          <w:rStyle w:val="FootnoteReference"/>
          <w:lang w:val="en-US"/>
        </w:rPr>
        <w:footnoteReference w:id="68"/>
      </w:r>
      <w:r w:rsidR="00931421" w:rsidRPr="00B43C28">
        <w:rPr>
          <w:lang w:val="en-US"/>
        </w:rPr>
        <w:t xml:space="preserve"> </w:t>
      </w:r>
      <w:r w:rsidR="00931421">
        <w:rPr>
          <w:lang w:val="en-US"/>
        </w:rPr>
        <w:t xml:space="preserve">and </w:t>
      </w:r>
      <w:r w:rsidR="00931421" w:rsidRPr="00B43C28">
        <w:t>14 of the U</w:t>
      </w:r>
      <w:r w:rsidR="00931421">
        <w:t xml:space="preserve">N </w:t>
      </w:r>
      <w:r w:rsidR="00931421" w:rsidRPr="00B43C28">
        <w:t>Declaration on the Rights of Indigenous Peoples.</w:t>
      </w:r>
    </w:p>
    <w:p w14:paraId="36B18C2C" w14:textId="31EE6341" w:rsidR="00931421" w:rsidRPr="007354DE" w:rsidRDefault="000662B2" w:rsidP="000662B2">
      <w:pPr>
        <w:pStyle w:val="SingleTxtG"/>
        <w:rPr>
          <w:lang w:val="en-US"/>
        </w:rPr>
      </w:pPr>
      <w:r>
        <w:rPr>
          <w:lang w:val="en-US"/>
        </w:rPr>
        <w:t>5</w:t>
      </w:r>
      <w:r w:rsidR="003D26DF">
        <w:rPr>
          <w:lang w:val="en-US"/>
        </w:rPr>
        <w:t>6</w:t>
      </w:r>
      <w:r>
        <w:rPr>
          <w:lang w:val="en-US"/>
        </w:rPr>
        <w:t>.</w:t>
      </w:r>
      <w:r>
        <w:rPr>
          <w:lang w:val="en-US"/>
        </w:rPr>
        <w:tab/>
      </w:r>
      <w:r w:rsidR="00931421" w:rsidRPr="00B43C28">
        <w:rPr>
          <w:lang w:val="en-US"/>
        </w:rPr>
        <w:t xml:space="preserve">The right to education implies respect for academic freedom, </w:t>
      </w:r>
      <w:r w:rsidR="00931421">
        <w:rPr>
          <w:lang w:val="en-US"/>
        </w:rPr>
        <w:t xml:space="preserve">to </w:t>
      </w:r>
      <w:r w:rsidR="00931421" w:rsidRPr="00B43C28">
        <w:t xml:space="preserve">be understood </w:t>
      </w:r>
      <w:r w:rsidR="00931421">
        <w:t xml:space="preserve">as </w:t>
      </w:r>
      <w:r w:rsidR="00931421" w:rsidRPr="00B43C28">
        <w:t>the freedom of individuals, as members of academic communities (e.g. faculty, students, staff, scholars, administrators and community participants)</w:t>
      </w:r>
      <w:r w:rsidR="00931421">
        <w:t>,</w:t>
      </w:r>
      <w:r w:rsidR="00931421" w:rsidRPr="00B43C28">
        <w:t xml:space="preserve"> or in their own pursuits, to conduct activities involving the discovery and transmission of information and ideas</w:t>
      </w:r>
      <w:r w:rsidR="00931421">
        <w:t xml:space="preserve"> </w:t>
      </w:r>
      <w:r w:rsidR="00931421" w:rsidRPr="00B43C28">
        <w:t>with the full protection of human rights law.</w:t>
      </w:r>
      <w:r w:rsidR="001C6A3B">
        <w:rPr>
          <w:rStyle w:val="FootnoteReference"/>
        </w:rPr>
        <w:footnoteReference w:id="69"/>
      </w:r>
      <w:r w:rsidR="00931421" w:rsidRPr="00B43C28">
        <w:t xml:space="preserve"> </w:t>
      </w:r>
      <w:r w:rsidR="00931421" w:rsidRPr="00B43C28">
        <w:rPr>
          <w:lang w:val="en-US"/>
        </w:rPr>
        <w:t xml:space="preserve">The mandate </w:t>
      </w:r>
      <w:r w:rsidR="00931421">
        <w:rPr>
          <w:lang w:val="en-US"/>
        </w:rPr>
        <w:t xml:space="preserve">regularly </w:t>
      </w:r>
      <w:r w:rsidR="00931421" w:rsidRPr="00B43C28">
        <w:rPr>
          <w:lang w:val="en-US"/>
        </w:rPr>
        <w:t xml:space="preserve">receives worrying information </w:t>
      </w:r>
      <w:r w:rsidR="00931421">
        <w:rPr>
          <w:lang w:val="en-US"/>
        </w:rPr>
        <w:t>indicating</w:t>
      </w:r>
      <w:r w:rsidR="00931421" w:rsidRPr="00B43C28">
        <w:rPr>
          <w:lang w:val="en-US"/>
        </w:rPr>
        <w:t xml:space="preserve"> an increasing trend of violations of academic freedom in many parts of the world. </w:t>
      </w:r>
      <w:r w:rsidR="00931421" w:rsidRPr="00243464">
        <w:rPr>
          <w:lang w:val="en-US"/>
        </w:rPr>
        <w:t xml:space="preserve">Particularly, students’ unions </w:t>
      </w:r>
      <w:r w:rsidR="00931421">
        <w:rPr>
          <w:lang w:val="en-US"/>
        </w:rPr>
        <w:t>report</w:t>
      </w:r>
      <w:r w:rsidR="00931421" w:rsidRPr="00243464">
        <w:rPr>
          <w:lang w:val="en-US"/>
        </w:rPr>
        <w:t xml:space="preserve"> the shrinking </w:t>
      </w:r>
      <w:r w:rsidR="00931421">
        <w:rPr>
          <w:lang w:val="en-US"/>
        </w:rPr>
        <w:t>civic</w:t>
      </w:r>
      <w:r w:rsidR="00931421" w:rsidRPr="00243464">
        <w:rPr>
          <w:lang w:val="en-US"/>
        </w:rPr>
        <w:t xml:space="preserve"> space </w:t>
      </w:r>
      <w:r w:rsidR="00931421" w:rsidRPr="004F411D">
        <w:t>for student engagement in higher education governance.</w:t>
      </w:r>
      <w:r w:rsidR="001C6A3B">
        <w:rPr>
          <w:rStyle w:val="FootnoteReference"/>
        </w:rPr>
        <w:footnoteReference w:id="70"/>
      </w:r>
      <w:r w:rsidR="00931421" w:rsidRPr="004F411D">
        <w:rPr>
          <w:lang w:val="en-US"/>
        </w:rPr>
        <w:t xml:space="preserve"> </w:t>
      </w:r>
      <w:r w:rsidR="00931421">
        <w:rPr>
          <w:lang w:val="en-US"/>
        </w:rPr>
        <w:t xml:space="preserve">This needs further development </w:t>
      </w:r>
      <w:r w:rsidR="00931421">
        <w:t>b</w:t>
      </w:r>
      <w:r w:rsidR="00931421" w:rsidRPr="00B43C28">
        <w:t xml:space="preserve">ased on the work of </w:t>
      </w:r>
      <w:r w:rsidR="00931421" w:rsidRPr="00B43C28">
        <w:rPr>
          <w:lang w:val="en-US"/>
        </w:rPr>
        <w:t>the Committee on Economic, Social and Cultural Rights,</w:t>
      </w:r>
      <w:r w:rsidR="001C6A3B">
        <w:rPr>
          <w:rStyle w:val="FootnoteReference"/>
          <w:lang w:val="en-US"/>
        </w:rPr>
        <w:footnoteReference w:id="71"/>
      </w:r>
      <w:r w:rsidR="00931421" w:rsidRPr="00B43C28">
        <w:rPr>
          <w:lang w:val="en-US"/>
        </w:rPr>
        <w:t xml:space="preserve"> and the Special Rapporteur on freedom of opinion and expression</w:t>
      </w:r>
      <w:r w:rsidR="00931421">
        <w:rPr>
          <w:lang w:val="en-US"/>
        </w:rPr>
        <w:t>.</w:t>
      </w:r>
      <w:r w:rsidR="00475138">
        <w:rPr>
          <w:rStyle w:val="FootnoteReference"/>
          <w:lang w:val="en-US"/>
        </w:rPr>
        <w:footnoteReference w:id="72"/>
      </w:r>
      <w:r w:rsidR="00931421" w:rsidRPr="00B43C28">
        <w:rPr>
          <w:lang w:val="en-US"/>
        </w:rPr>
        <w:t xml:space="preserve"> </w:t>
      </w:r>
      <w:r w:rsidR="00931421">
        <w:rPr>
          <w:lang w:val="en-US"/>
        </w:rPr>
        <w:t>T</w:t>
      </w:r>
      <w:r w:rsidR="00931421" w:rsidRPr="00B43C28">
        <w:rPr>
          <w:lang w:val="en-US"/>
        </w:rPr>
        <w:t xml:space="preserve">he Special Rapporteur supports the process leading to the draft </w:t>
      </w:r>
      <w:r w:rsidR="00931421" w:rsidRPr="00B43C28">
        <w:rPr>
          <w:rFonts w:eastAsia="Lato"/>
        </w:rPr>
        <w:t xml:space="preserve">Principles for Implementing the Right of Academic Freedom, which </w:t>
      </w:r>
      <w:r w:rsidR="00931421">
        <w:rPr>
          <w:rFonts w:eastAsia="Lato"/>
        </w:rPr>
        <w:t>can</w:t>
      </w:r>
      <w:r w:rsidR="00931421" w:rsidRPr="00B43C28">
        <w:rPr>
          <w:rFonts w:eastAsia="Lato"/>
        </w:rPr>
        <w:t xml:space="preserve"> provid</w:t>
      </w:r>
      <w:r w:rsidR="00931421">
        <w:rPr>
          <w:rFonts w:eastAsia="Lato"/>
        </w:rPr>
        <w:t>e</w:t>
      </w:r>
      <w:r w:rsidR="00931421" w:rsidRPr="00B43C28">
        <w:rPr>
          <w:rFonts w:eastAsia="Lato"/>
        </w:rPr>
        <w:t xml:space="preserve"> </w:t>
      </w:r>
      <w:r w:rsidR="00931421">
        <w:rPr>
          <w:rFonts w:eastAsia="Lato"/>
        </w:rPr>
        <w:t xml:space="preserve">useful </w:t>
      </w:r>
      <w:r w:rsidR="00931421" w:rsidRPr="00B43C28">
        <w:rPr>
          <w:rFonts w:eastAsia="Lato"/>
        </w:rPr>
        <w:t>guidance to U</w:t>
      </w:r>
      <w:r w:rsidR="00931421">
        <w:rPr>
          <w:rFonts w:eastAsia="Lato"/>
        </w:rPr>
        <w:t xml:space="preserve">N </w:t>
      </w:r>
      <w:r w:rsidR="00931421" w:rsidRPr="00B43C28">
        <w:rPr>
          <w:rFonts w:eastAsia="Lato"/>
        </w:rPr>
        <w:t>mechanisms, States and other stakeholders.</w:t>
      </w:r>
      <w:r w:rsidR="00992F0D">
        <w:rPr>
          <w:rStyle w:val="FootnoteReference"/>
          <w:rFonts w:eastAsia="Lato"/>
        </w:rPr>
        <w:footnoteReference w:id="73"/>
      </w:r>
      <w:r w:rsidR="00931421" w:rsidRPr="00B43C28">
        <w:rPr>
          <w:lang w:val="en-US"/>
        </w:rPr>
        <w:t xml:space="preserve"> </w:t>
      </w:r>
    </w:p>
    <w:p w14:paraId="545B38EB" w14:textId="5A05100A" w:rsidR="00931421" w:rsidRPr="003B5911" w:rsidRDefault="000662B2" w:rsidP="000662B2">
      <w:pPr>
        <w:pStyle w:val="SingleTxtG"/>
        <w:rPr>
          <w:lang w:val="en-US"/>
        </w:rPr>
      </w:pPr>
      <w:r>
        <w:rPr>
          <w:lang w:val="en-US"/>
        </w:rPr>
        <w:t>5</w:t>
      </w:r>
      <w:r w:rsidR="003D26DF">
        <w:rPr>
          <w:lang w:val="en-US"/>
        </w:rPr>
        <w:t>7</w:t>
      </w:r>
      <w:r>
        <w:rPr>
          <w:lang w:val="en-US"/>
        </w:rPr>
        <w:t>.</w:t>
      </w:r>
      <w:r>
        <w:rPr>
          <w:lang w:val="en-US"/>
        </w:rPr>
        <w:tab/>
      </w:r>
      <w:r w:rsidR="00931421">
        <w:rPr>
          <w:lang w:val="en-US"/>
        </w:rPr>
        <w:t>A specific challenge at the intersection between the rights to an inclusive education and academic freedom concerns concepts colloquially known as “</w:t>
      </w:r>
      <w:proofErr w:type="spellStart"/>
      <w:r w:rsidR="00931421">
        <w:rPr>
          <w:lang w:val="en-US"/>
        </w:rPr>
        <w:t>wokeism</w:t>
      </w:r>
      <w:proofErr w:type="spellEnd"/>
      <w:r w:rsidR="00931421">
        <w:rPr>
          <w:lang w:val="en-US"/>
        </w:rPr>
        <w:t xml:space="preserve">” and “cancel culture”. Legitimate efforts to review </w:t>
      </w:r>
      <w:r w:rsidR="00931421" w:rsidRPr="00ED2D7C">
        <w:rPr>
          <w:color w:val="000000"/>
          <w:shd w:val="clear" w:color="auto" w:fill="FFFFFF"/>
        </w:rPr>
        <w:t xml:space="preserve">curricula to include historically excluded </w:t>
      </w:r>
      <w:r w:rsidR="00931421">
        <w:rPr>
          <w:color w:val="000000"/>
          <w:shd w:val="clear" w:color="auto" w:fill="FFFFFF"/>
        </w:rPr>
        <w:t>narratives, be they of women or other marginalized groups in various contexts, have sometimes led to teaching staff being threatened and intimidated, or to calls for censoring books in school libraries. This is of great concern given the importance of encouraging debate while safeguarding the right to education, freedom of expression and academic freedoms, which the Special Rapporteur intends to address further.</w:t>
      </w:r>
    </w:p>
    <w:p w14:paraId="7AA9070B" w14:textId="0603024D" w:rsidR="00931421" w:rsidRPr="00114567" w:rsidRDefault="00114567" w:rsidP="00114567">
      <w:pPr>
        <w:pStyle w:val="H1G"/>
      </w:pPr>
      <w:r>
        <w:lastRenderedPageBreak/>
        <w:tab/>
      </w:r>
      <w:r w:rsidRPr="00114567">
        <w:t>H.</w:t>
      </w:r>
      <w:r>
        <w:tab/>
      </w:r>
      <w:r w:rsidR="00931421" w:rsidRPr="00114567">
        <w:t xml:space="preserve">Education should not be reduced to schooling </w:t>
      </w:r>
    </w:p>
    <w:p w14:paraId="6DC40515" w14:textId="682A0B81" w:rsidR="00931421" w:rsidRDefault="007733D2" w:rsidP="007733D2">
      <w:pPr>
        <w:pStyle w:val="SingleTxtG"/>
        <w:rPr>
          <w:lang w:val="en-US"/>
        </w:rPr>
      </w:pPr>
      <w:r>
        <w:rPr>
          <w:lang w:val="en-US"/>
        </w:rPr>
        <w:t>58.</w:t>
      </w:r>
      <w:r>
        <w:rPr>
          <w:lang w:val="en-US"/>
        </w:rPr>
        <w:tab/>
      </w:r>
      <w:r w:rsidR="00931421" w:rsidRPr="004B529F">
        <w:rPr>
          <w:lang w:val="en-US"/>
        </w:rPr>
        <w:t xml:space="preserve">Schools </w:t>
      </w:r>
      <w:r w:rsidR="00931421">
        <w:rPr>
          <w:lang w:val="en-US"/>
        </w:rPr>
        <w:t xml:space="preserve">must </w:t>
      </w:r>
      <w:r w:rsidR="00931421" w:rsidRPr="004B529F">
        <w:rPr>
          <w:lang w:val="en-US"/>
        </w:rPr>
        <w:t xml:space="preserve">be protected as spaces where students encounter challenges and possibilities not available elsewhere. </w:t>
      </w:r>
      <w:r w:rsidR="00931421">
        <w:rPr>
          <w:lang w:val="en-US"/>
        </w:rPr>
        <w:t>COVID-19 underscored the central and multiple roles schools play in implementing the right to education and many other rights. F</w:t>
      </w:r>
      <w:r w:rsidR="00931421" w:rsidRPr="004B529F">
        <w:rPr>
          <w:lang w:val="en-US"/>
        </w:rPr>
        <w:t xml:space="preserve">ormal and physical </w:t>
      </w:r>
      <w:r w:rsidR="00931421">
        <w:rPr>
          <w:lang w:val="en-US"/>
        </w:rPr>
        <w:t>educational facilities are irreplaceable</w:t>
      </w:r>
      <w:r w:rsidR="00931421" w:rsidRPr="004B529F">
        <w:rPr>
          <w:lang w:val="en-US"/>
        </w:rPr>
        <w:t>.</w:t>
      </w:r>
      <w:r w:rsidR="00992F0D">
        <w:rPr>
          <w:rStyle w:val="FootnoteReference"/>
          <w:lang w:val="en-US"/>
        </w:rPr>
        <w:footnoteReference w:id="74"/>
      </w:r>
      <w:r w:rsidR="00931421">
        <w:rPr>
          <w:lang w:val="en-US"/>
        </w:rPr>
        <w:t xml:space="preserve"> </w:t>
      </w:r>
    </w:p>
    <w:p w14:paraId="754110A5" w14:textId="3F013900" w:rsidR="00931421" w:rsidRPr="00B14410" w:rsidRDefault="007733D2" w:rsidP="007733D2">
      <w:pPr>
        <w:pStyle w:val="SingleTxtG"/>
        <w:rPr>
          <w:lang w:val="en-US"/>
        </w:rPr>
      </w:pPr>
      <w:r>
        <w:rPr>
          <w:lang w:val="en-US"/>
        </w:rPr>
        <w:t>59.</w:t>
      </w:r>
      <w:r>
        <w:rPr>
          <w:lang w:val="en-US"/>
        </w:rPr>
        <w:tab/>
      </w:r>
      <w:r w:rsidR="00931421" w:rsidRPr="00B14410">
        <w:rPr>
          <w:lang w:val="en-US"/>
        </w:rPr>
        <w:t xml:space="preserve">Education should not be reduced to schooling, however. </w:t>
      </w:r>
      <w:r w:rsidR="00931421" w:rsidRPr="00B14410">
        <w:t xml:space="preserve">Learning must be recognized regardless of where </w:t>
      </w:r>
      <w:r w:rsidR="00931421">
        <w:t>and how</w:t>
      </w:r>
      <w:r w:rsidR="00931421" w:rsidRPr="00B14410">
        <w:t xml:space="preserve"> it is achieved. </w:t>
      </w:r>
      <w:r w:rsidR="00931421" w:rsidRPr="00B14410">
        <w:rPr>
          <w:lang w:val="en-US"/>
        </w:rPr>
        <w:t xml:space="preserve">Numerous other spaces, </w:t>
      </w:r>
      <w:proofErr w:type="gramStart"/>
      <w:r w:rsidR="00931421" w:rsidRPr="00B14410">
        <w:rPr>
          <w:lang w:val="en-US"/>
        </w:rPr>
        <w:t>e.g.</w:t>
      </w:r>
      <w:proofErr w:type="gramEnd"/>
      <w:r w:rsidR="00931421" w:rsidRPr="00B14410">
        <w:rPr>
          <w:lang w:val="en-US"/>
        </w:rPr>
        <w:t xml:space="preserve"> cultural centers, libraries, families and communities</w:t>
      </w:r>
      <w:r w:rsidR="00931421">
        <w:rPr>
          <w:lang w:val="en-US"/>
        </w:rPr>
        <w:t xml:space="preserve"> </w:t>
      </w:r>
      <w:r w:rsidR="00931421" w:rsidRPr="00B14410">
        <w:rPr>
          <w:lang w:val="en-US"/>
        </w:rPr>
        <w:t xml:space="preserve">participate in education, and need support, which should be more clearly identified. As the UNESCO Commission </w:t>
      </w:r>
      <w:r w:rsidR="00931421">
        <w:rPr>
          <w:lang w:val="en-US"/>
        </w:rPr>
        <w:t>has reported</w:t>
      </w:r>
      <w:r w:rsidR="00931421" w:rsidRPr="00B14410">
        <w:rPr>
          <w:lang w:val="en-US"/>
        </w:rPr>
        <w:t xml:space="preserve">, </w:t>
      </w:r>
      <w:r w:rsidR="00931421">
        <w:rPr>
          <w:lang w:val="en-US"/>
        </w:rPr>
        <w:t xml:space="preserve">a </w:t>
      </w:r>
      <w:r w:rsidR="00931421" w:rsidRPr="00B14410">
        <w:rPr>
          <w:lang w:val="en-US"/>
        </w:rPr>
        <w:t>major task</w:t>
      </w:r>
      <w:r w:rsidR="00931421">
        <w:rPr>
          <w:lang w:val="en-US"/>
        </w:rPr>
        <w:t xml:space="preserve"> “</w:t>
      </w:r>
      <w:r w:rsidR="00931421" w:rsidRPr="00B14410">
        <w:rPr>
          <w:lang w:val="en-US"/>
        </w:rPr>
        <w:t xml:space="preserve">is to broaden thinking about where and when education takes place, expanding it to more times, spaces, and stages of life”, relying on what can be called “educational ecosystems” that connect natural, built, and virtual </w:t>
      </w:r>
      <w:r w:rsidR="00931421">
        <w:rPr>
          <w:lang w:val="en-US"/>
        </w:rPr>
        <w:t xml:space="preserve">learning </w:t>
      </w:r>
      <w:r w:rsidR="00931421" w:rsidRPr="00B14410">
        <w:rPr>
          <w:lang w:val="en-US"/>
        </w:rPr>
        <w:t>sites.</w:t>
      </w:r>
      <w:r w:rsidR="00C76818">
        <w:rPr>
          <w:rStyle w:val="FootnoteReference"/>
          <w:lang w:val="en-US"/>
        </w:rPr>
        <w:footnoteReference w:id="75"/>
      </w:r>
    </w:p>
    <w:p w14:paraId="19DE240D" w14:textId="312F32F0" w:rsidR="00931421" w:rsidRPr="003F0344" w:rsidRDefault="007733D2" w:rsidP="007733D2">
      <w:pPr>
        <w:pStyle w:val="SingleTxtG"/>
        <w:rPr>
          <w:lang w:val="en-US"/>
        </w:rPr>
      </w:pPr>
      <w:r>
        <w:rPr>
          <w:lang w:val="en-US"/>
        </w:rPr>
        <w:t>60.</w:t>
      </w:r>
      <w:r>
        <w:rPr>
          <w:lang w:val="en-US"/>
        </w:rPr>
        <w:tab/>
      </w:r>
      <w:r w:rsidR="00931421">
        <w:rPr>
          <w:lang w:val="en-US"/>
        </w:rPr>
        <w:t>The mandate has long recommended that n</w:t>
      </w:r>
      <w:r w:rsidR="00931421" w:rsidRPr="00C960E0">
        <w:t>on-formal education</w:t>
      </w:r>
      <w:r w:rsidR="00931421">
        <w:t xml:space="preserve"> </w:t>
      </w:r>
      <w:r w:rsidR="00931421" w:rsidRPr="00C960E0">
        <w:t xml:space="preserve">be </w:t>
      </w:r>
      <w:r w:rsidR="00931421">
        <w:t xml:space="preserve">acknowledged </w:t>
      </w:r>
      <w:r w:rsidR="00931421" w:rsidRPr="00C960E0">
        <w:t xml:space="preserve">as </w:t>
      </w:r>
      <w:r w:rsidR="00931421">
        <w:t xml:space="preserve">an </w:t>
      </w:r>
      <w:r w:rsidR="00931421" w:rsidRPr="00C960E0">
        <w:t xml:space="preserve">important means </w:t>
      </w:r>
      <w:r w:rsidR="00931421">
        <w:t xml:space="preserve">for </w:t>
      </w:r>
      <w:r w:rsidR="00931421" w:rsidRPr="00C960E0">
        <w:t>realiz</w:t>
      </w:r>
      <w:r w:rsidR="00931421">
        <w:t>ing</w:t>
      </w:r>
      <w:r w:rsidR="00931421" w:rsidRPr="00C960E0">
        <w:t xml:space="preserve"> the right to education.</w:t>
      </w:r>
      <w:r w:rsidR="00931421">
        <w:t xml:space="preserve"> It </w:t>
      </w:r>
      <w:r w:rsidR="00931421" w:rsidRPr="00C960E0">
        <w:t>can provid</w:t>
      </w:r>
      <w:r w:rsidR="00931421">
        <w:t>e</w:t>
      </w:r>
      <w:r w:rsidR="00931421" w:rsidRPr="00C960E0">
        <w:t xml:space="preserve"> “second chance” education to out-of-school children </w:t>
      </w:r>
      <w:r w:rsidR="00931421">
        <w:t>and adult learners, by</w:t>
      </w:r>
      <w:r w:rsidR="00931421" w:rsidRPr="00C960E0">
        <w:t xml:space="preserve"> expand</w:t>
      </w:r>
      <w:r w:rsidR="00931421">
        <w:t>ing</w:t>
      </w:r>
      <w:r w:rsidR="00931421" w:rsidRPr="00C960E0">
        <w:t xml:space="preserve"> educational opportunities beyond mainstream public-school system</w:t>
      </w:r>
      <w:r w:rsidR="00931421">
        <w:t>s, as well as providing multiple other benefits</w:t>
      </w:r>
      <w:r w:rsidR="00931421" w:rsidRPr="00C960E0">
        <w:t xml:space="preserve">. Within lifelong learning, it is </w:t>
      </w:r>
      <w:r w:rsidR="00931421">
        <w:t xml:space="preserve">essential </w:t>
      </w:r>
      <w:r w:rsidR="00931421" w:rsidRPr="00C960E0">
        <w:t>to recognize, validate and accredit learning, wherever it may have occurred.</w:t>
      </w:r>
      <w:r w:rsidR="00931421" w:rsidRPr="004B3B8E">
        <w:rPr>
          <w:rStyle w:val="FootnoteReference"/>
        </w:rPr>
        <w:t xml:space="preserve">  </w:t>
      </w:r>
      <w:r w:rsidR="00931421" w:rsidRPr="007E67A9">
        <w:t>Human rights considerations must be integrated into the design and oversight of non-formal education programmes</w:t>
      </w:r>
      <w:r w:rsidR="00931421">
        <w:t xml:space="preserve">, as for </w:t>
      </w:r>
      <w:r w:rsidR="00931421" w:rsidRPr="007E67A9">
        <w:t>any form of education</w:t>
      </w:r>
      <w:r w:rsidR="00931421">
        <w:t>. E</w:t>
      </w:r>
      <w:r w:rsidR="00931421" w:rsidRPr="007E67A9">
        <w:t xml:space="preserve">ducation systems </w:t>
      </w:r>
      <w:r w:rsidR="00931421">
        <w:t xml:space="preserve">should be reformed </w:t>
      </w:r>
      <w:r w:rsidR="00931421" w:rsidRPr="007E67A9">
        <w:t>to allow for a fluid transition between non-formal and formal programmes.</w:t>
      </w:r>
      <w:r w:rsidR="00C76818">
        <w:rPr>
          <w:rStyle w:val="FootnoteReference"/>
        </w:rPr>
        <w:footnoteReference w:id="76"/>
      </w:r>
      <w:r w:rsidR="00931421">
        <w:t xml:space="preserve"> </w:t>
      </w:r>
    </w:p>
    <w:p w14:paraId="49E9129A" w14:textId="1549669F" w:rsidR="00931421" w:rsidRPr="000B227F" w:rsidRDefault="007733D2" w:rsidP="007733D2">
      <w:pPr>
        <w:pStyle w:val="SingleTxtG"/>
        <w:rPr>
          <w:lang w:val="en-US"/>
        </w:rPr>
      </w:pPr>
      <w:r>
        <w:rPr>
          <w:lang w:val="en-US"/>
        </w:rPr>
        <w:t>61.</w:t>
      </w:r>
      <w:r>
        <w:rPr>
          <w:lang w:val="en-US"/>
        </w:rPr>
        <w:tab/>
      </w:r>
      <w:r w:rsidR="00931421">
        <w:rPr>
          <w:lang w:val="en-US"/>
        </w:rPr>
        <w:t>Under article 13 of ICESCR, it is primary education, not</w:t>
      </w:r>
      <w:r w:rsidR="00931421" w:rsidRPr="001E4487">
        <w:rPr>
          <w:lang w:val="en-US"/>
        </w:rPr>
        <w:t xml:space="preserve"> school</w:t>
      </w:r>
      <w:r w:rsidR="00931421">
        <w:rPr>
          <w:lang w:val="en-US"/>
        </w:rPr>
        <w:t>ing, that is compulsory</w:t>
      </w:r>
      <w:r w:rsidR="00931421" w:rsidRPr="001E4487">
        <w:rPr>
          <w:lang w:val="en-US"/>
        </w:rPr>
        <w:t xml:space="preserve">. </w:t>
      </w:r>
      <w:r w:rsidR="00931421">
        <w:rPr>
          <w:lang w:val="en-US"/>
        </w:rPr>
        <w:t xml:space="preserve">Home-schooling may therefore be considered as part of educational freedom, with families retaining the liberty to ensure the education of their children at home. Nevertheless, the same guarantees must apply for the right to education in all dimensions.  </w:t>
      </w:r>
    </w:p>
    <w:p w14:paraId="54F9E854" w14:textId="4E27B60C" w:rsidR="00931421" w:rsidRPr="00834DF2" w:rsidRDefault="00834DF2" w:rsidP="00834DF2">
      <w:pPr>
        <w:pStyle w:val="H1G"/>
      </w:pPr>
      <w:r>
        <w:tab/>
      </w:r>
      <w:r w:rsidRPr="00834DF2">
        <w:t>I.</w:t>
      </w:r>
      <w:r>
        <w:tab/>
      </w:r>
      <w:r w:rsidR="00931421" w:rsidRPr="00834DF2">
        <w:t xml:space="preserve">The right to be safe in education </w:t>
      </w:r>
    </w:p>
    <w:p w14:paraId="0B96BFCD" w14:textId="000DE394" w:rsidR="00931421" w:rsidRPr="00F92FFE" w:rsidRDefault="00DD361B" w:rsidP="00DD361B">
      <w:pPr>
        <w:pStyle w:val="SingleTxtG"/>
      </w:pPr>
      <w:r>
        <w:t>62.</w:t>
      </w:r>
      <w:r>
        <w:tab/>
      </w:r>
      <w:r w:rsidR="00931421" w:rsidRPr="00F92FFE">
        <w:t>E</w:t>
      </w:r>
      <w:r w:rsidR="00931421" w:rsidRPr="00F92FFE">
        <w:rPr>
          <w:color w:val="000000"/>
        </w:rPr>
        <w:t xml:space="preserve">very learner has the right to </w:t>
      </w:r>
      <w:r w:rsidR="00931421" w:rsidRPr="00F92FFE">
        <w:t xml:space="preserve">physical, psychological and emotional </w:t>
      </w:r>
      <w:r w:rsidR="00931421" w:rsidRPr="00F92FFE">
        <w:rPr>
          <w:color w:val="000000"/>
        </w:rPr>
        <w:t xml:space="preserve">safety and security in </w:t>
      </w:r>
      <w:r w:rsidR="00931421" w:rsidRPr="00F92FFE">
        <w:t>pursuing education.</w:t>
      </w:r>
      <w:r w:rsidR="00C76818">
        <w:rPr>
          <w:rStyle w:val="FootnoteReference"/>
        </w:rPr>
        <w:footnoteReference w:id="77"/>
      </w:r>
      <w:r w:rsidR="00931421" w:rsidRPr="00F92FFE">
        <w:t xml:space="preserve"> </w:t>
      </w:r>
      <w:r w:rsidR="00931421" w:rsidRPr="00F92FFE">
        <w:rPr>
          <w:color w:val="000000"/>
        </w:rPr>
        <w:t>As an estimated 246 million children experience violence in education,</w:t>
      </w:r>
      <w:r w:rsidR="009A4178">
        <w:rPr>
          <w:rStyle w:val="FootnoteReference"/>
          <w:color w:val="000000"/>
        </w:rPr>
        <w:footnoteReference w:id="78"/>
      </w:r>
      <w:r w:rsidR="00931421" w:rsidRPr="00F92FFE">
        <w:rPr>
          <w:color w:val="000000"/>
        </w:rPr>
        <w:t xml:space="preserve"> </w:t>
      </w:r>
      <w:r w:rsidR="00931421" w:rsidRPr="00F92FFE">
        <w:t xml:space="preserve">measures are required to prohibit corporal punishment and bullying in schools; prevent threats to (and by) learners, teachers and other school staff; stop violence </w:t>
      </w:r>
      <w:proofErr w:type="spellStart"/>
      <w:r w:rsidR="00931421" w:rsidRPr="00F92FFE">
        <w:t>en</w:t>
      </w:r>
      <w:proofErr w:type="spellEnd"/>
      <w:r w:rsidR="00931421" w:rsidRPr="00F92FFE">
        <w:t xml:space="preserve"> route </w:t>
      </w:r>
      <w:r w:rsidR="00931421" w:rsidRPr="00F92FFE">
        <w:rPr>
          <w:color w:val="000000"/>
        </w:rPr>
        <w:t>to school, in classes, playgrounds and online.</w:t>
      </w:r>
    </w:p>
    <w:p w14:paraId="52A241A7" w14:textId="76D16FD1" w:rsidR="00931421" w:rsidRPr="00F342A3" w:rsidRDefault="00DD361B" w:rsidP="00DD361B">
      <w:pPr>
        <w:pStyle w:val="SingleTxtG"/>
        <w:rPr>
          <w:lang w:val="en-US"/>
        </w:rPr>
      </w:pPr>
      <w:r>
        <w:rPr>
          <w:color w:val="000000"/>
        </w:rPr>
        <w:t>6</w:t>
      </w:r>
      <w:r w:rsidR="001C6403">
        <w:rPr>
          <w:color w:val="000000"/>
        </w:rPr>
        <w:t>3</w:t>
      </w:r>
      <w:r>
        <w:rPr>
          <w:color w:val="000000"/>
        </w:rPr>
        <w:t>.</w:t>
      </w:r>
      <w:r>
        <w:rPr>
          <w:color w:val="000000"/>
        </w:rPr>
        <w:tab/>
      </w:r>
      <w:r w:rsidR="00931421" w:rsidRPr="00F342A3">
        <w:rPr>
          <w:color w:val="000000"/>
        </w:rPr>
        <w:t xml:space="preserve">States </w:t>
      </w:r>
      <w:r w:rsidR="00931421">
        <w:rPr>
          <w:color w:val="000000"/>
        </w:rPr>
        <w:t xml:space="preserve">must </w:t>
      </w:r>
      <w:r w:rsidR="00931421" w:rsidRPr="00F342A3">
        <w:rPr>
          <w:lang w:val="en-US"/>
        </w:rPr>
        <w:t>adopt</w:t>
      </w:r>
      <w:r w:rsidR="00931421" w:rsidRPr="00F342A3">
        <w:rPr>
          <w:color w:val="000000"/>
        </w:rPr>
        <w:t xml:space="preserve"> </w:t>
      </w:r>
      <w:r w:rsidR="00931421" w:rsidRPr="00F342A3">
        <w:rPr>
          <w:lang w:val="en-US"/>
        </w:rPr>
        <w:t>safety regulations</w:t>
      </w:r>
      <w:r w:rsidR="00931421">
        <w:rPr>
          <w:lang w:val="en-US"/>
        </w:rPr>
        <w:t>,</w:t>
      </w:r>
      <w:r w:rsidR="00931421" w:rsidRPr="00F342A3">
        <w:rPr>
          <w:lang w:val="en-US"/>
        </w:rPr>
        <w:t xml:space="preserve"> </w:t>
      </w:r>
      <w:r w:rsidR="00931421">
        <w:rPr>
          <w:lang w:val="en-US"/>
        </w:rPr>
        <w:t xml:space="preserve">ensure </w:t>
      </w:r>
      <w:r w:rsidR="00931421" w:rsidRPr="00F342A3">
        <w:rPr>
          <w:lang w:val="en-US"/>
        </w:rPr>
        <w:t xml:space="preserve">emergency preparedness </w:t>
      </w:r>
      <w:r w:rsidR="00931421" w:rsidRPr="00F342A3">
        <w:rPr>
          <w:shd w:val="clear" w:color="auto" w:fill="FFFFFF"/>
        </w:rPr>
        <w:t>for crisis response</w:t>
      </w:r>
      <w:r w:rsidR="00931421">
        <w:rPr>
          <w:shd w:val="clear" w:color="auto" w:fill="FFFFFF"/>
        </w:rPr>
        <w:t>,</w:t>
      </w:r>
      <w:r w:rsidR="00931421">
        <w:rPr>
          <w:lang w:val="en-US"/>
        </w:rPr>
        <w:t xml:space="preserve"> and </w:t>
      </w:r>
      <w:r w:rsidR="00931421" w:rsidRPr="00F342A3">
        <w:rPr>
          <w:color w:val="000000"/>
        </w:rPr>
        <w:t>guarantee</w:t>
      </w:r>
      <w:r w:rsidR="00931421" w:rsidRPr="00F342A3">
        <w:rPr>
          <w:lang w:val="en-US"/>
        </w:rPr>
        <w:t xml:space="preserve"> that all educational settings</w:t>
      </w:r>
      <w:r w:rsidR="00931421">
        <w:rPr>
          <w:lang w:val="en-US"/>
        </w:rPr>
        <w:t xml:space="preserve"> </w:t>
      </w:r>
      <w:r w:rsidR="00931421" w:rsidRPr="00F342A3">
        <w:rPr>
          <w:lang w:val="en-US"/>
        </w:rPr>
        <w:t xml:space="preserve">comply. </w:t>
      </w:r>
      <w:r w:rsidR="00931421">
        <w:rPr>
          <w:lang w:val="en-US"/>
        </w:rPr>
        <w:t>Useful tools include the</w:t>
      </w:r>
      <w:r w:rsidR="00931421" w:rsidRPr="00F342A3">
        <w:rPr>
          <w:shd w:val="clear" w:color="auto" w:fill="FFFFFF"/>
        </w:rPr>
        <w:t xml:space="preserve"> </w:t>
      </w:r>
      <w:hyperlink r:id="rId11" w:history="1">
        <w:r w:rsidR="00931421" w:rsidRPr="00F342A3">
          <w:rPr>
            <w:rStyle w:val="Hyperlink"/>
            <w:shd w:val="clear" w:color="auto" w:fill="FFFFFF"/>
          </w:rPr>
          <w:t xml:space="preserve">Minimum Standards </w:t>
        </w:r>
        <w:r w:rsidR="00931421">
          <w:rPr>
            <w:rStyle w:val="Hyperlink"/>
            <w:shd w:val="clear" w:color="auto" w:fill="FFFFFF"/>
          </w:rPr>
          <w:t>in Education</w:t>
        </w:r>
        <w:r w:rsidR="00931421" w:rsidRPr="00F342A3">
          <w:rPr>
            <w:rStyle w:val="Hyperlink"/>
            <w:shd w:val="clear" w:color="auto" w:fill="FFFFFF"/>
          </w:rPr>
          <w:t xml:space="preserve"> </w:t>
        </w:r>
        <w:r w:rsidR="00931421">
          <w:rPr>
            <w:rStyle w:val="Hyperlink"/>
            <w:shd w:val="clear" w:color="auto" w:fill="FFFFFF"/>
          </w:rPr>
          <w:t>h</w:t>
        </w:r>
        <w:r w:rsidR="00931421" w:rsidRPr="00F342A3">
          <w:rPr>
            <w:rStyle w:val="Hyperlink"/>
            <w:shd w:val="clear" w:color="auto" w:fill="FFFFFF"/>
          </w:rPr>
          <w:t>andbook</w:t>
        </w:r>
      </w:hyperlink>
      <w:r w:rsidR="00931421" w:rsidRPr="00057100">
        <w:t xml:space="preserve"> </w:t>
      </w:r>
      <w:r w:rsidR="00931421">
        <w:t>by</w:t>
      </w:r>
      <w:r w:rsidR="00931421" w:rsidRPr="00057100">
        <w:t xml:space="preserve"> the </w:t>
      </w:r>
      <w:r w:rsidR="00931421" w:rsidRPr="00F342A3">
        <w:rPr>
          <w:shd w:val="clear" w:color="auto" w:fill="FFFFFF"/>
        </w:rPr>
        <w:t>Interagency Network for Education in Emergencies</w:t>
      </w:r>
      <w:r w:rsidR="00931421">
        <w:rPr>
          <w:shd w:val="clear" w:color="auto" w:fill="FFFFFF"/>
        </w:rPr>
        <w:t xml:space="preserve"> and </w:t>
      </w:r>
      <w:r w:rsidR="00931421">
        <w:rPr>
          <w:lang w:val="en-US"/>
        </w:rPr>
        <w:t>t</w:t>
      </w:r>
      <w:r w:rsidR="00931421" w:rsidRPr="00F342A3">
        <w:rPr>
          <w:lang w:val="en-US"/>
        </w:rPr>
        <w:t>he Comprehensive School Safety Framework</w:t>
      </w:r>
      <w:r w:rsidR="00931421">
        <w:rPr>
          <w:lang w:val="en-US"/>
        </w:rPr>
        <w:t xml:space="preserve"> of the </w:t>
      </w:r>
      <w:r w:rsidR="00931421" w:rsidRPr="00F342A3">
        <w:rPr>
          <w:lang w:val="en-US"/>
        </w:rPr>
        <w:t xml:space="preserve">Global Alliance for Disaster Risk Reduction and Resilience in the Education Sector. </w:t>
      </w:r>
    </w:p>
    <w:p w14:paraId="441F97E5" w14:textId="5D023CCD" w:rsidR="00931421" w:rsidRPr="00E63327" w:rsidRDefault="00DD361B" w:rsidP="00DD361B">
      <w:pPr>
        <w:pStyle w:val="SingleTxtG"/>
      </w:pPr>
      <w:r>
        <w:t>6</w:t>
      </w:r>
      <w:r w:rsidR="001C6403">
        <w:t>4</w:t>
      </w:r>
      <w:r>
        <w:t>.</w:t>
      </w:r>
      <w:r>
        <w:tab/>
      </w:r>
      <w:r w:rsidR="00931421" w:rsidRPr="0042495F">
        <w:t>S</w:t>
      </w:r>
      <w:r w:rsidR="00931421" w:rsidRPr="008C2A58">
        <w:t>afe</w:t>
      </w:r>
      <w:r w:rsidR="00931421">
        <w:t>ty is of course at greatest risk during</w:t>
      </w:r>
      <w:r w:rsidR="00931421" w:rsidRPr="008C2A58">
        <w:t xml:space="preserve"> </w:t>
      </w:r>
      <w:r w:rsidR="00931421">
        <w:t>periods</w:t>
      </w:r>
      <w:r w:rsidR="00931421" w:rsidRPr="008C2A58">
        <w:t xml:space="preserve"> of armed conflict</w:t>
      </w:r>
      <w:r w:rsidR="00931421">
        <w:t>, as stressed by m</w:t>
      </w:r>
      <w:r w:rsidR="00931421" w:rsidRPr="00DB5D99">
        <w:t xml:space="preserve">any </w:t>
      </w:r>
      <w:r w:rsidR="00931421">
        <w:t>contributions</w:t>
      </w:r>
      <w:r w:rsidR="00931421" w:rsidRPr="00DB5D99">
        <w:t xml:space="preserve">. In 2020 and 2021, </w:t>
      </w:r>
      <w:r w:rsidR="00931421" w:rsidRPr="008C2A58">
        <w:t xml:space="preserve">over </w:t>
      </w:r>
      <w:r w:rsidR="00931421" w:rsidRPr="00DB5D99">
        <w:t xml:space="preserve">5,000 reported attacks </w:t>
      </w:r>
      <w:r w:rsidR="00931421" w:rsidRPr="008C2A58">
        <w:t xml:space="preserve">and </w:t>
      </w:r>
      <w:r w:rsidR="00931421">
        <w:t xml:space="preserve">instances </w:t>
      </w:r>
      <w:r w:rsidR="00931421" w:rsidRPr="00DB5D99">
        <w:t xml:space="preserve">of military use of </w:t>
      </w:r>
      <w:r w:rsidR="00931421">
        <w:t xml:space="preserve">educational facilities were documented in </w:t>
      </w:r>
      <w:r w:rsidR="00931421" w:rsidRPr="008C2A58">
        <w:t>84</w:t>
      </w:r>
      <w:r w:rsidR="00931421" w:rsidRPr="00DB5D99">
        <w:t xml:space="preserve"> countries</w:t>
      </w:r>
      <w:r w:rsidR="00931421">
        <w:t xml:space="preserve"> with systematic patterns in 28 countries</w:t>
      </w:r>
      <w:r w:rsidR="00931421" w:rsidRPr="008C2A58">
        <w:t xml:space="preserve">. Over </w:t>
      </w:r>
      <w:r w:rsidR="00931421" w:rsidRPr="00DB5D99">
        <w:t xml:space="preserve">9,000 students and educators </w:t>
      </w:r>
      <w:r w:rsidR="00931421" w:rsidRPr="008C2A58">
        <w:t xml:space="preserve">were abducted, arrested, injured, or killed. Globally, </w:t>
      </w:r>
      <w:r w:rsidR="00931421">
        <w:t xml:space="preserve">this is an increase compared to the period </w:t>
      </w:r>
      <w:r w:rsidR="00931421" w:rsidRPr="008C2A58">
        <w:t>2018</w:t>
      </w:r>
      <w:r w:rsidR="00931421">
        <w:t>-</w:t>
      </w:r>
      <w:r w:rsidR="00931421" w:rsidRPr="008C2A58">
        <w:t>2019</w:t>
      </w:r>
      <w:r w:rsidR="00931421">
        <w:t xml:space="preserve"> – an </w:t>
      </w:r>
      <w:r w:rsidR="00931421" w:rsidRPr="008C2A58">
        <w:t xml:space="preserve">upward </w:t>
      </w:r>
      <w:r w:rsidR="00931421">
        <w:t xml:space="preserve">trend </w:t>
      </w:r>
      <w:r w:rsidR="00931421" w:rsidRPr="008C2A58">
        <w:t>continu</w:t>
      </w:r>
      <w:r w:rsidR="00931421">
        <w:t>ing</w:t>
      </w:r>
      <w:r w:rsidR="00931421" w:rsidRPr="008C2A58">
        <w:t xml:space="preserve"> in 2022. </w:t>
      </w:r>
      <w:r w:rsidR="00931421">
        <w:t xml:space="preserve">The </w:t>
      </w:r>
      <w:r w:rsidR="00931421" w:rsidRPr="00E63327">
        <w:t>impacts</w:t>
      </w:r>
      <w:r w:rsidR="00931421">
        <w:t xml:space="preserve"> on the right to education and lives of learners are devastating.</w:t>
      </w:r>
      <w:r w:rsidR="009A4178">
        <w:rPr>
          <w:rStyle w:val="FootnoteReference"/>
        </w:rPr>
        <w:footnoteReference w:id="79"/>
      </w:r>
      <w:r w:rsidR="00931421" w:rsidRPr="00E63327">
        <w:t xml:space="preserve"> </w:t>
      </w:r>
    </w:p>
    <w:p w14:paraId="743CEE2E" w14:textId="73206D04" w:rsidR="00931421" w:rsidRPr="00E63327" w:rsidRDefault="00DD361B" w:rsidP="00DD361B">
      <w:pPr>
        <w:pStyle w:val="SingleTxtG"/>
      </w:pPr>
      <w:r>
        <w:t>6</w:t>
      </w:r>
      <w:r w:rsidR="001C6403">
        <w:t>5</w:t>
      </w:r>
      <w:r>
        <w:t>.</w:t>
      </w:r>
      <w:r>
        <w:tab/>
      </w:r>
      <w:r w:rsidR="00931421" w:rsidRPr="00E63327">
        <w:t xml:space="preserve">The content and orientation of education is often instrumentalized during and after conflicts </w:t>
      </w:r>
      <w:r w:rsidR="00931421">
        <w:t>for political ends</w:t>
      </w:r>
      <w:r w:rsidR="00931421" w:rsidRPr="00E63327">
        <w:t xml:space="preserve">. This includes changing </w:t>
      </w:r>
      <w:r w:rsidR="00931421">
        <w:t>historical</w:t>
      </w:r>
      <w:r w:rsidR="00931421" w:rsidRPr="00E63327">
        <w:t xml:space="preserve"> narratives in </w:t>
      </w:r>
      <w:r w:rsidR="00931421">
        <w:t>text</w:t>
      </w:r>
      <w:r w:rsidR="00931421" w:rsidRPr="00E63327">
        <w:t xml:space="preserve">books, introducing hate speech and war propaganda in educational material, </w:t>
      </w:r>
      <w:r w:rsidR="00931421">
        <w:t xml:space="preserve">militarizing education, </w:t>
      </w:r>
      <w:r w:rsidR="00931421" w:rsidRPr="00E63327">
        <w:lastRenderedPageBreak/>
        <w:t xml:space="preserve">disrupting minority language education, banning or destroying schoolbooks, </w:t>
      </w:r>
      <w:r w:rsidR="00931421">
        <w:t>punishing political expression, and segregating</w:t>
      </w:r>
      <w:r w:rsidR="00931421" w:rsidRPr="00E63327">
        <w:t xml:space="preserve"> students according to national/ethnic origin or religion.</w:t>
      </w:r>
      <w:r w:rsidR="00796133">
        <w:rPr>
          <w:rStyle w:val="FootnoteReference"/>
        </w:rPr>
        <w:footnoteReference w:id="80"/>
      </w:r>
      <w:r w:rsidR="00931421" w:rsidRPr="00E63327">
        <w:t xml:space="preserve"> </w:t>
      </w:r>
    </w:p>
    <w:p w14:paraId="32FD40BA" w14:textId="6CC41D36" w:rsidR="00931421" w:rsidRPr="00E01819" w:rsidRDefault="00DD361B" w:rsidP="00DD361B">
      <w:pPr>
        <w:pStyle w:val="SingleTxtG"/>
        <w:rPr>
          <w:lang w:val="en-US"/>
        </w:rPr>
      </w:pPr>
      <w:r>
        <w:rPr>
          <w:lang w:val="en-US"/>
        </w:rPr>
        <w:t>6</w:t>
      </w:r>
      <w:r w:rsidR="001C6403">
        <w:rPr>
          <w:lang w:val="en-US"/>
        </w:rPr>
        <w:t>6</w:t>
      </w:r>
      <w:r>
        <w:rPr>
          <w:lang w:val="en-US"/>
        </w:rPr>
        <w:t>.</w:t>
      </w:r>
      <w:r>
        <w:rPr>
          <w:lang w:val="en-US"/>
        </w:rPr>
        <w:tab/>
      </w:r>
      <w:r w:rsidR="00931421" w:rsidRPr="0006785B">
        <w:rPr>
          <w:lang w:val="en-US"/>
        </w:rPr>
        <w:t xml:space="preserve">The impact of climate change on the right to education, and conversely the impact education </w:t>
      </w:r>
      <w:r w:rsidR="00931421">
        <w:rPr>
          <w:lang w:val="en-US"/>
        </w:rPr>
        <w:t xml:space="preserve">has </w:t>
      </w:r>
      <w:r w:rsidR="00931421" w:rsidRPr="0006785B">
        <w:rPr>
          <w:lang w:val="en-US"/>
        </w:rPr>
        <w:t>on climate change</w:t>
      </w:r>
      <w:r w:rsidR="00931421">
        <w:rPr>
          <w:lang w:val="en-US"/>
        </w:rPr>
        <w:t>,</w:t>
      </w:r>
      <w:r w:rsidR="00931421" w:rsidRPr="0006785B">
        <w:rPr>
          <w:lang w:val="en-US"/>
        </w:rPr>
        <w:t xml:space="preserve"> </w:t>
      </w:r>
      <w:r w:rsidR="00931421">
        <w:rPr>
          <w:lang w:val="en-US"/>
        </w:rPr>
        <w:t>are</w:t>
      </w:r>
      <w:r w:rsidR="00931421" w:rsidRPr="0006785B">
        <w:rPr>
          <w:lang w:val="en-US"/>
        </w:rPr>
        <w:t xml:space="preserve"> crucial</w:t>
      </w:r>
      <w:r w:rsidR="00931421">
        <w:rPr>
          <w:lang w:val="en-US"/>
        </w:rPr>
        <w:t xml:space="preserve"> too</w:t>
      </w:r>
      <w:r w:rsidR="00931421" w:rsidRPr="0006785B">
        <w:rPr>
          <w:lang w:val="en-US"/>
        </w:rPr>
        <w:t xml:space="preserve">. </w:t>
      </w:r>
      <w:r w:rsidR="00931421">
        <w:rPr>
          <w:lang w:val="en-US"/>
        </w:rPr>
        <w:t>As one</w:t>
      </w:r>
      <w:r w:rsidR="00931421" w:rsidRPr="0006785B">
        <w:rPr>
          <w:lang w:val="en-US"/>
        </w:rPr>
        <w:t xml:space="preserve"> billion children are at ‘extremely high risk’ of climate change</w:t>
      </w:r>
      <w:r w:rsidR="00931421" w:rsidRPr="0006785B" w:rsidDel="00C204FC">
        <w:rPr>
          <w:lang w:val="en-US"/>
        </w:rPr>
        <w:t xml:space="preserve"> </w:t>
      </w:r>
      <w:r w:rsidR="00931421" w:rsidRPr="0006785B">
        <w:rPr>
          <w:lang w:val="en-US"/>
        </w:rPr>
        <w:t>impact</w:t>
      </w:r>
      <w:r w:rsidR="00931421">
        <w:rPr>
          <w:lang w:val="en-US"/>
        </w:rPr>
        <w:t>,</w:t>
      </w:r>
      <w:r w:rsidR="00796133">
        <w:rPr>
          <w:rStyle w:val="FootnoteReference"/>
          <w:lang w:val="en-US"/>
        </w:rPr>
        <w:footnoteReference w:id="81"/>
      </w:r>
      <w:r w:rsidR="00931421" w:rsidRPr="009424D4">
        <w:t xml:space="preserve"> </w:t>
      </w:r>
      <w:r w:rsidR="00931421">
        <w:t>c</w:t>
      </w:r>
      <w:proofErr w:type="spellStart"/>
      <w:r w:rsidR="00931421" w:rsidRPr="009424D4">
        <w:rPr>
          <w:lang w:val="en-US"/>
        </w:rPr>
        <w:t>limate</w:t>
      </w:r>
      <w:proofErr w:type="spellEnd"/>
      <w:r w:rsidR="00931421">
        <w:rPr>
          <w:lang w:val="en-US"/>
        </w:rPr>
        <w:t>-</w:t>
      </w:r>
      <w:r w:rsidR="00931421" w:rsidRPr="009424D4">
        <w:rPr>
          <w:lang w:val="en-US"/>
        </w:rPr>
        <w:t>displaced persons are predicted to suffer exceptional educational vulnerabilities</w:t>
      </w:r>
      <w:r w:rsidR="00931421">
        <w:rPr>
          <w:lang w:val="en-US"/>
        </w:rPr>
        <w:t xml:space="preserve"> while </w:t>
      </w:r>
      <w:r w:rsidR="00931421" w:rsidRPr="009424D4">
        <w:rPr>
          <w:lang w:val="en-US"/>
        </w:rPr>
        <w:t>an international protection</w:t>
      </w:r>
      <w:r w:rsidR="00931421">
        <w:rPr>
          <w:lang w:val="en-US"/>
        </w:rPr>
        <w:t xml:space="preserve"> </w:t>
      </w:r>
      <w:r w:rsidR="00931421" w:rsidRPr="009424D4">
        <w:rPr>
          <w:lang w:val="en-US"/>
        </w:rPr>
        <w:t xml:space="preserve">framework </w:t>
      </w:r>
      <w:r w:rsidR="00931421">
        <w:rPr>
          <w:lang w:val="en-US"/>
        </w:rPr>
        <w:t>is lacking</w:t>
      </w:r>
      <w:r w:rsidR="00931421" w:rsidRPr="009424D4">
        <w:rPr>
          <w:lang w:val="en-US"/>
        </w:rPr>
        <w:t>.</w:t>
      </w:r>
      <w:r w:rsidR="00796133">
        <w:rPr>
          <w:rStyle w:val="FootnoteReference"/>
          <w:lang w:val="en-US"/>
        </w:rPr>
        <w:footnoteReference w:id="82"/>
      </w:r>
      <w:r w:rsidR="00931421" w:rsidRPr="00E01819">
        <w:t xml:space="preserve"> </w:t>
      </w:r>
      <w:r w:rsidR="00931421" w:rsidRPr="00E01819">
        <w:rPr>
          <w:lang w:val="en-US"/>
        </w:rPr>
        <w:t>To address climate change, education systems should introduce system-wide environmental education</w:t>
      </w:r>
      <w:r w:rsidR="00931421">
        <w:rPr>
          <w:lang w:val="en-US"/>
        </w:rPr>
        <w:t>,</w:t>
      </w:r>
      <w:r w:rsidR="00931421" w:rsidRPr="00E01819">
        <w:t xml:space="preserve"> </w:t>
      </w:r>
      <w:r w:rsidR="00931421">
        <w:rPr>
          <w:lang w:val="en-US"/>
        </w:rPr>
        <w:t>which currently many countries lack</w:t>
      </w:r>
      <w:r w:rsidR="00931421" w:rsidRPr="00E01819">
        <w:rPr>
          <w:lang w:val="en-US"/>
        </w:rPr>
        <w:t xml:space="preserve">. </w:t>
      </w:r>
    </w:p>
    <w:p w14:paraId="13CAF47C" w14:textId="6206E6CC" w:rsidR="00931421" w:rsidRPr="00DD361B" w:rsidRDefault="00DD361B" w:rsidP="00DD361B">
      <w:pPr>
        <w:pStyle w:val="HChG"/>
      </w:pPr>
      <w:r>
        <w:tab/>
      </w:r>
      <w:r w:rsidRPr="00DD361B">
        <w:t>IV.</w:t>
      </w:r>
      <w:r>
        <w:tab/>
      </w:r>
      <w:r w:rsidR="00931421" w:rsidRPr="00DD361B">
        <w:t xml:space="preserve">Legal obligations for realizing the right to education </w:t>
      </w:r>
    </w:p>
    <w:p w14:paraId="079D177E" w14:textId="7F13919B" w:rsidR="00931421" w:rsidRPr="00DD361B" w:rsidRDefault="0051649C" w:rsidP="00DD361B">
      <w:pPr>
        <w:pStyle w:val="H1G"/>
      </w:pPr>
      <w:r>
        <w:tab/>
      </w:r>
      <w:r w:rsidR="00DD361B" w:rsidRPr="00DD361B">
        <w:t>A.</w:t>
      </w:r>
      <w:r>
        <w:tab/>
      </w:r>
      <w:r w:rsidR="00931421" w:rsidRPr="00DD361B">
        <w:t xml:space="preserve">Fully implementing the right to education </w:t>
      </w:r>
    </w:p>
    <w:p w14:paraId="42D19AFE" w14:textId="309A8BD8" w:rsidR="00931421" w:rsidRPr="00455CFA" w:rsidRDefault="00BD0AA3" w:rsidP="00BD0AA3">
      <w:pPr>
        <w:pStyle w:val="SingleTxtG"/>
        <w:rPr>
          <w:lang w:val="en-US"/>
        </w:rPr>
      </w:pPr>
      <w:r>
        <w:rPr>
          <w:lang w:val="en-US"/>
        </w:rPr>
        <w:t>6</w:t>
      </w:r>
      <w:r w:rsidR="001C6403">
        <w:rPr>
          <w:lang w:val="en-US"/>
        </w:rPr>
        <w:t>7</w:t>
      </w:r>
      <w:r>
        <w:rPr>
          <w:lang w:val="en-US"/>
        </w:rPr>
        <w:t>.</w:t>
      </w:r>
      <w:r>
        <w:rPr>
          <w:lang w:val="en-US"/>
        </w:rPr>
        <w:tab/>
      </w:r>
      <w:r w:rsidR="00931421" w:rsidRPr="00455CFA">
        <w:rPr>
          <w:lang w:val="en-US"/>
        </w:rPr>
        <w:t xml:space="preserve">It is widely accepted today that </w:t>
      </w:r>
      <w:r w:rsidR="00931421" w:rsidRPr="00455CFA">
        <w:rPr>
          <w:shd w:val="clear" w:color="auto" w:fill="FFFFFF"/>
        </w:rPr>
        <w:t xml:space="preserve">States must respect, protect, and fulfil the right to education of everyone within their jurisdiction. This entails </w:t>
      </w:r>
      <w:r w:rsidR="00931421" w:rsidRPr="00455CFA">
        <w:rPr>
          <w:spacing w:val="4"/>
        </w:rPr>
        <w:t>taking steps</w:t>
      </w:r>
      <w:r w:rsidR="00931421">
        <w:rPr>
          <w:spacing w:val="4"/>
        </w:rPr>
        <w:t xml:space="preserve"> </w:t>
      </w:r>
      <w:r w:rsidR="00931421" w:rsidRPr="00455CFA">
        <w:rPr>
          <w:spacing w:val="4"/>
        </w:rPr>
        <w:t xml:space="preserve">to the maximum of available resources, </w:t>
      </w:r>
      <w:r w:rsidR="00931421">
        <w:rPr>
          <w:spacing w:val="4"/>
        </w:rPr>
        <w:t>nationally</w:t>
      </w:r>
      <w:r w:rsidR="00931421" w:rsidRPr="00455CFA">
        <w:rPr>
          <w:spacing w:val="4"/>
        </w:rPr>
        <w:t xml:space="preserve"> and through international assistance, to progressively achiev</w:t>
      </w:r>
      <w:r w:rsidR="00931421">
        <w:rPr>
          <w:spacing w:val="4"/>
        </w:rPr>
        <w:t>e</w:t>
      </w:r>
      <w:r w:rsidR="00931421" w:rsidRPr="00455CFA">
        <w:rPr>
          <w:spacing w:val="4"/>
        </w:rPr>
        <w:t xml:space="preserve"> the full realization of the right to education by all appropriate means (ICESCR, art. 2). V</w:t>
      </w:r>
      <w:r w:rsidR="00931421" w:rsidRPr="00455CFA">
        <w:t xml:space="preserve">arious obligations </w:t>
      </w:r>
      <w:r w:rsidR="00931421">
        <w:t>have</w:t>
      </w:r>
      <w:r w:rsidR="00931421" w:rsidRPr="00455CFA">
        <w:t xml:space="preserve"> immediate effect, however, such as </w:t>
      </w:r>
      <w:r w:rsidR="00931421">
        <w:t xml:space="preserve">obligations to respect and protect, including through </w:t>
      </w:r>
      <w:r w:rsidR="00931421" w:rsidRPr="00455CFA">
        <w:t>the guarantee of non-discrimination, and the obligations to take deliberate, concrete and targeted steps towards the full realization of the right to education and to move as expeditiously and effectively as possible in that direction. In addition, there are core obligations in relation to the right to education and a strong presumption of impermissibility of any retrogressive measures.</w:t>
      </w:r>
      <w:r w:rsidR="00945EC3">
        <w:rPr>
          <w:rStyle w:val="FootnoteReference"/>
        </w:rPr>
        <w:footnoteReference w:id="83"/>
      </w:r>
    </w:p>
    <w:p w14:paraId="24E0E99C" w14:textId="36D03175" w:rsidR="00931421" w:rsidRPr="0042495F" w:rsidRDefault="00BD0AA3" w:rsidP="00BD0AA3">
      <w:pPr>
        <w:pStyle w:val="SingleTxtG"/>
        <w:rPr>
          <w:lang w:val="en-US"/>
        </w:rPr>
      </w:pPr>
      <w:r>
        <w:rPr>
          <w:lang w:val="en-US"/>
        </w:rPr>
        <w:t>6</w:t>
      </w:r>
      <w:r w:rsidR="001C6403">
        <w:rPr>
          <w:lang w:val="en-US"/>
        </w:rPr>
        <w:t>8</w:t>
      </w:r>
      <w:r>
        <w:rPr>
          <w:lang w:val="en-US"/>
        </w:rPr>
        <w:t>.</w:t>
      </w:r>
      <w:r>
        <w:rPr>
          <w:lang w:val="en-US"/>
        </w:rPr>
        <w:tab/>
      </w:r>
      <w:r w:rsidR="00931421">
        <w:rPr>
          <w:lang w:val="en-US"/>
        </w:rPr>
        <w:t>T</w:t>
      </w:r>
      <w:r w:rsidR="00931421" w:rsidRPr="001577F0">
        <w:rPr>
          <w:lang w:val="en-US"/>
        </w:rPr>
        <w:t xml:space="preserve">he notion of progressive implementation to the maximum of available resources has led to de facto non-implementation </w:t>
      </w:r>
      <w:r w:rsidR="00931421">
        <w:rPr>
          <w:lang w:val="en-US"/>
        </w:rPr>
        <w:t xml:space="preserve">of the right to education and has been used as an easy excuse for failure to </w:t>
      </w:r>
      <w:proofErr w:type="gramStart"/>
      <w:r w:rsidR="00931421">
        <w:rPr>
          <w:lang w:val="en-US"/>
        </w:rPr>
        <w:t>take action</w:t>
      </w:r>
      <w:proofErr w:type="gramEnd"/>
      <w:r w:rsidR="00931421" w:rsidRPr="001577F0">
        <w:rPr>
          <w:lang w:val="en-US"/>
        </w:rPr>
        <w:t xml:space="preserve">. </w:t>
      </w:r>
      <w:r w:rsidR="00931421">
        <w:rPr>
          <w:lang w:val="en-US"/>
        </w:rPr>
        <w:t>T</w:t>
      </w:r>
      <w:r w:rsidR="00931421" w:rsidRPr="001577F0">
        <w:rPr>
          <w:lang w:val="en-US"/>
        </w:rPr>
        <w:t>he ICESCR</w:t>
      </w:r>
      <w:r w:rsidR="00931421">
        <w:rPr>
          <w:lang w:val="en-US"/>
        </w:rPr>
        <w:t xml:space="preserve"> was adopted more than half a century ago. Hence</w:t>
      </w:r>
      <w:r w:rsidR="00931421" w:rsidRPr="001577F0">
        <w:rPr>
          <w:lang w:val="en-US"/>
        </w:rPr>
        <w:t xml:space="preserve">, many States may </w:t>
      </w:r>
      <w:proofErr w:type="gramStart"/>
      <w:r w:rsidR="00931421" w:rsidRPr="001577F0">
        <w:rPr>
          <w:lang w:val="en-US"/>
        </w:rPr>
        <w:t>be considered to be</w:t>
      </w:r>
      <w:proofErr w:type="gramEnd"/>
      <w:r w:rsidR="00931421" w:rsidRPr="001577F0">
        <w:rPr>
          <w:lang w:val="en-US"/>
        </w:rPr>
        <w:t xml:space="preserve"> in violation of their obligations </w:t>
      </w:r>
      <w:r w:rsidR="00931421">
        <w:rPr>
          <w:lang w:val="en-US"/>
        </w:rPr>
        <w:t>regarding</w:t>
      </w:r>
      <w:r w:rsidR="00931421" w:rsidRPr="001577F0">
        <w:rPr>
          <w:lang w:val="en-US"/>
        </w:rPr>
        <w:t xml:space="preserve"> the right to education, </w:t>
      </w:r>
      <w:r w:rsidR="00931421">
        <w:rPr>
          <w:lang w:val="en-US"/>
        </w:rPr>
        <w:t>as</w:t>
      </w:r>
      <w:r w:rsidR="00931421" w:rsidRPr="001577F0">
        <w:rPr>
          <w:lang w:val="en-US"/>
        </w:rPr>
        <w:t xml:space="preserve"> efforts to mobilize domestic financial resources</w:t>
      </w:r>
      <w:r w:rsidR="00931421">
        <w:rPr>
          <w:lang w:val="en-US"/>
        </w:rPr>
        <w:t xml:space="preserve"> </w:t>
      </w:r>
      <w:r w:rsidR="00931421" w:rsidRPr="001577F0">
        <w:rPr>
          <w:lang w:val="en-US"/>
        </w:rPr>
        <w:t>and address inequalities</w:t>
      </w:r>
      <w:r w:rsidR="00931421">
        <w:rPr>
          <w:lang w:val="en-US"/>
        </w:rPr>
        <w:t>,</w:t>
      </w:r>
      <w:r w:rsidR="00931421" w:rsidRPr="001577F0">
        <w:rPr>
          <w:lang w:val="en-US"/>
        </w:rPr>
        <w:t xml:space="preserve"> prioritizing most marginalized people</w:t>
      </w:r>
      <w:r w:rsidR="00931421">
        <w:rPr>
          <w:lang w:val="en-US"/>
        </w:rPr>
        <w:t>, are still falling well below achievable objectives</w:t>
      </w:r>
      <w:r w:rsidR="00931421" w:rsidRPr="001577F0">
        <w:rPr>
          <w:lang w:val="en-US"/>
        </w:rPr>
        <w:t xml:space="preserve">. </w:t>
      </w:r>
      <w:r w:rsidR="00931421" w:rsidRPr="0042495F">
        <w:t xml:space="preserve">The </w:t>
      </w:r>
      <w:r w:rsidR="00931421" w:rsidRPr="001577F0">
        <w:t xml:space="preserve">progressive implementation and </w:t>
      </w:r>
      <w:r w:rsidR="00931421" w:rsidRPr="0042495F">
        <w:t>non-retrogression</w:t>
      </w:r>
      <w:r w:rsidR="00931421" w:rsidRPr="001577F0">
        <w:t xml:space="preserve"> principles</w:t>
      </w:r>
      <w:r w:rsidR="00931421" w:rsidRPr="0042495F">
        <w:t xml:space="preserve"> require States to demonstrate that </w:t>
      </w:r>
      <w:r w:rsidR="00931421">
        <w:t xml:space="preserve">any </w:t>
      </w:r>
      <w:r w:rsidR="00931421" w:rsidRPr="0042495F">
        <w:t xml:space="preserve">failure to meet their obligations is </w:t>
      </w:r>
      <w:r w:rsidR="00931421">
        <w:t xml:space="preserve">demonstrably attributable to inadequate </w:t>
      </w:r>
      <w:r w:rsidR="00931421" w:rsidRPr="0042495F">
        <w:t>resources</w:t>
      </w:r>
      <w:r w:rsidR="00931421">
        <w:t>,</w:t>
      </w:r>
      <w:r w:rsidR="00931421" w:rsidRPr="0042495F">
        <w:t xml:space="preserve"> rather than </w:t>
      </w:r>
      <w:r w:rsidR="00931421">
        <w:t>the result of political expediency to mobilize these</w:t>
      </w:r>
      <w:r w:rsidR="00931421" w:rsidRPr="0042495F">
        <w:t xml:space="preserve">. </w:t>
      </w:r>
      <w:r w:rsidR="00931421">
        <w:t>A</w:t>
      </w:r>
      <w:r w:rsidR="00931421" w:rsidRPr="0042495F">
        <w:t>ny retrogression must be temporary, proportionate</w:t>
      </w:r>
      <w:r w:rsidR="00931421">
        <w:t>, limited in time,</w:t>
      </w:r>
      <w:r w:rsidR="00931421" w:rsidRPr="0042495F">
        <w:t xml:space="preserve"> adequately monitored, and must ensure that the core obligations of non-discrimination, accountability, transparency, and participation are respected.</w:t>
      </w:r>
      <w:r w:rsidR="00931421" w:rsidRPr="0042495F">
        <w:rPr>
          <w:rStyle w:val="FootnoteReference"/>
        </w:rPr>
        <w:t xml:space="preserve"> </w:t>
      </w:r>
    </w:p>
    <w:p w14:paraId="2A5731C1" w14:textId="6C39F9B9" w:rsidR="00931421" w:rsidRDefault="00BD0AA3" w:rsidP="00BD0AA3">
      <w:pPr>
        <w:pStyle w:val="SingleTxtG"/>
        <w:rPr>
          <w:lang w:val="en-US"/>
        </w:rPr>
      </w:pPr>
      <w:r>
        <w:rPr>
          <w:lang w:val="en-US"/>
        </w:rPr>
        <w:t>6</w:t>
      </w:r>
      <w:r w:rsidR="001C6403">
        <w:rPr>
          <w:lang w:val="en-US"/>
        </w:rPr>
        <w:t>9</w:t>
      </w:r>
      <w:r>
        <w:rPr>
          <w:lang w:val="en-US"/>
        </w:rPr>
        <w:t>.</w:t>
      </w:r>
      <w:r>
        <w:rPr>
          <w:lang w:val="en-US"/>
        </w:rPr>
        <w:tab/>
      </w:r>
      <w:r w:rsidR="00931421" w:rsidRPr="0057452A">
        <w:rPr>
          <w:lang w:val="en-US"/>
        </w:rPr>
        <w:t xml:space="preserve">Progressive implementation is not an obstacle to </w:t>
      </w:r>
      <w:r w:rsidR="00931421">
        <w:rPr>
          <w:lang w:val="en-US"/>
        </w:rPr>
        <w:t xml:space="preserve">the enforceability and </w:t>
      </w:r>
      <w:r w:rsidR="00931421" w:rsidRPr="0057452A">
        <w:rPr>
          <w:lang w:val="en-US"/>
        </w:rPr>
        <w:t>justiciability</w:t>
      </w:r>
      <w:r w:rsidR="00931421">
        <w:rPr>
          <w:lang w:val="en-US"/>
        </w:rPr>
        <w:t xml:space="preserve"> of the right to education</w:t>
      </w:r>
      <w:r w:rsidR="00931421" w:rsidRPr="0057452A">
        <w:rPr>
          <w:lang w:val="en-US"/>
        </w:rPr>
        <w:t xml:space="preserve">. As </w:t>
      </w:r>
      <w:r w:rsidR="00931421">
        <w:rPr>
          <w:lang w:val="en-US"/>
        </w:rPr>
        <w:t>noted</w:t>
      </w:r>
      <w:r w:rsidR="00931421" w:rsidRPr="0057452A">
        <w:rPr>
          <w:lang w:val="en-US"/>
        </w:rPr>
        <w:t xml:space="preserve"> by a previous mandate-holder, </w:t>
      </w:r>
      <w:r w:rsidR="00931421" w:rsidRPr="0057452A">
        <w:t xml:space="preserve">international, </w:t>
      </w:r>
      <w:proofErr w:type="gramStart"/>
      <w:r w:rsidR="00931421" w:rsidRPr="0057452A">
        <w:t>regional</w:t>
      </w:r>
      <w:proofErr w:type="gramEnd"/>
      <w:r w:rsidR="00931421" w:rsidRPr="0057452A">
        <w:t xml:space="preserve"> and national jurisprudence has demonstrated the right to education </w:t>
      </w:r>
      <w:r w:rsidR="00931421">
        <w:t>to be</w:t>
      </w:r>
      <w:r w:rsidR="00931421" w:rsidRPr="0057452A">
        <w:t xml:space="preserve"> legally enforceable</w:t>
      </w:r>
      <w:r w:rsidR="00931421">
        <w:t xml:space="preserve"> </w:t>
      </w:r>
      <w:r w:rsidR="00931421" w:rsidRPr="0057452A">
        <w:t xml:space="preserve">through adjudicative mechanisms, including </w:t>
      </w:r>
      <w:r w:rsidR="00931421">
        <w:t xml:space="preserve">domestic </w:t>
      </w:r>
      <w:r w:rsidR="00931421" w:rsidRPr="0057452A">
        <w:t>courts.</w:t>
      </w:r>
      <w:r w:rsidR="00931421">
        <w:t xml:space="preserve"> </w:t>
      </w:r>
      <w:r w:rsidR="00931421" w:rsidRPr="0057452A">
        <w:t xml:space="preserve">Such justiciability should be publicly </w:t>
      </w:r>
      <w:r w:rsidR="00931421">
        <w:t>recognized</w:t>
      </w:r>
      <w:r w:rsidR="00931421" w:rsidRPr="0057452A">
        <w:t xml:space="preserve"> and </w:t>
      </w:r>
      <w:r w:rsidR="00931421">
        <w:t>endorsed</w:t>
      </w:r>
      <w:r w:rsidR="00931421" w:rsidRPr="0057452A">
        <w:t xml:space="preserve"> by governments </w:t>
      </w:r>
      <w:r w:rsidR="00931421">
        <w:t>and enacted</w:t>
      </w:r>
      <w:r w:rsidR="00931421" w:rsidRPr="0057452A">
        <w:t xml:space="preserve"> </w:t>
      </w:r>
      <w:r w:rsidR="00931421">
        <w:t xml:space="preserve">through </w:t>
      </w:r>
      <w:r w:rsidR="00931421" w:rsidRPr="0057452A">
        <w:t xml:space="preserve">the </w:t>
      </w:r>
      <w:r w:rsidR="00931421">
        <w:t xml:space="preserve">national </w:t>
      </w:r>
      <w:r w:rsidR="00931421" w:rsidRPr="0057452A">
        <w:t>constitution and domestic legislation.</w:t>
      </w:r>
      <w:r w:rsidR="001F4A94">
        <w:rPr>
          <w:rStyle w:val="FootnoteReference"/>
        </w:rPr>
        <w:footnoteReference w:id="84"/>
      </w:r>
      <w:r w:rsidR="00931421" w:rsidRPr="0057452A">
        <w:rPr>
          <w:lang w:val="en-US"/>
        </w:rPr>
        <w:t xml:space="preserve"> </w:t>
      </w:r>
    </w:p>
    <w:p w14:paraId="55CED3E3" w14:textId="59DA1FED" w:rsidR="00931421" w:rsidRPr="00300EC5" w:rsidRDefault="001C6403" w:rsidP="00BD0AA3">
      <w:pPr>
        <w:pStyle w:val="SingleTxtG"/>
        <w:rPr>
          <w:lang w:val="en-US"/>
        </w:rPr>
      </w:pPr>
      <w:r>
        <w:t>70</w:t>
      </w:r>
      <w:r w:rsidR="00BD0AA3">
        <w:t>.</w:t>
      </w:r>
      <w:r w:rsidR="00BD0AA3">
        <w:tab/>
      </w:r>
      <w:r w:rsidR="00931421" w:rsidRPr="00300EC5">
        <w:t xml:space="preserve">Many contributions </w:t>
      </w:r>
      <w:r w:rsidR="00931421">
        <w:t>validate</w:t>
      </w:r>
      <w:r w:rsidR="00931421" w:rsidRPr="00300EC5">
        <w:t xml:space="preserve"> the full</w:t>
      </w:r>
      <w:r w:rsidR="00931421">
        <w:t xml:space="preserve"> enforceability and</w:t>
      </w:r>
      <w:r w:rsidR="00931421" w:rsidRPr="00300EC5">
        <w:t xml:space="preserve"> justiciability of the right to education in respective countries</w:t>
      </w:r>
      <w:r w:rsidR="00931421">
        <w:t xml:space="preserve">. This is further supported </w:t>
      </w:r>
      <w:r w:rsidR="00931421">
        <w:rPr>
          <w:lang w:val="en-US"/>
        </w:rPr>
        <w:t>by</w:t>
      </w:r>
      <w:r w:rsidR="00931421" w:rsidRPr="0057452A">
        <w:rPr>
          <w:lang w:val="en-US"/>
        </w:rPr>
        <w:t xml:space="preserve"> the Optional Protocol to ICESCR</w:t>
      </w:r>
      <w:r w:rsidR="00931421">
        <w:rPr>
          <w:lang w:val="en-US"/>
        </w:rPr>
        <w:t>.</w:t>
      </w:r>
      <w:r w:rsidR="00931421" w:rsidRPr="0057452A">
        <w:rPr>
          <w:lang w:val="en-US"/>
        </w:rPr>
        <w:t xml:space="preserve"> </w:t>
      </w:r>
      <w:r w:rsidR="00931421" w:rsidRPr="00300EC5">
        <w:t xml:space="preserve">Some </w:t>
      </w:r>
      <w:r w:rsidR="00931421">
        <w:t xml:space="preserve">contributors </w:t>
      </w:r>
      <w:r w:rsidR="00931421" w:rsidRPr="00300EC5">
        <w:t>report</w:t>
      </w:r>
      <w:r w:rsidR="00931421">
        <w:t>ed</w:t>
      </w:r>
      <w:r w:rsidR="00931421" w:rsidRPr="00300EC5">
        <w:t xml:space="preserve"> however that justiciability </w:t>
      </w:r>
      <w:r w:rsidR="00931421">
        <w:t xml:space="preserve">is </w:t>
      </w:r>
      <w:r w:rsidR="00931421" w:rsidRPr="00300EC5">
        <w:t xml:space="preserve">limited to access issues. </w:t>
      </w:r>
      <w:r w:rsidR="00931421">
        <w:t>Furthermore, c</w:t>
      </w:r>
      <w:r w:rsidR="00931421" w:rsidRPr="00300EC5">
        <w:t>ourt decisions are not always implemented in a satisfactory manner</w:t>
      </w:r>
      <w:r w:rsidR="00931421">
        <w:t>,</w:t>
      </w:r>
      <w:r w:rsidR="00931421" w:rsidRPr="00300EC5">
        <w:t xml:space="preserve"> </w:t>
      </w:r>
      <w:r w:rsidR="00931421">
        <w:t>and in</w:t>
      </w:r>
      <w:r w:rsidR="00931421" w:rsidRPr="00300EC5">
        <w:t xml:space="preserve"> </w:t>
      </w:r>
      <w:r w:rsidR="00931421">
        <w:t>many</w:t>
      </w:r>
      <w:r w:rsidR="00931421" w:rsidRPr="00300EC5">
        <w:t xml:space="preserve"> countries </w:t>
      </w:r>
      <w:r w:rsidR="00931421">
        <w:t>no provision</w:t>
      </w:r>
      <w:r w:rsidR="00931421" w:rsidRPr="00300EC5">
        <w:t xml:space="preserve"> </w:t>
      </w:r>
      <w:r w:rsidR="00931421">
        <w:t xml:space="preserve">exists </w:t>
      </w:r>
      <w:r w:rsidR="00931421" w:rsidRPr="00300EC5">
        <w:t xml:space="preserve">for a collectivized student union approach to </w:t>
      </w:r>
      <w:r w:rsidR="00931421">
        <w:t>protect</w:t>
      </w:r>
      <w:r w:rsidR="00931421" w:rsidRPr="00300EC5">
        <w:t xml:space="preserve"> student rights.</w:t>
      </w:r>
    </w:p>
    <w:p w14:paraId="6D6EDC51" w14:textId="3B7D0226" w:rsidR="00931421" w:rsidRPr="00C25E89" w:rsidRDefault="00BD0AA3" w:rsidP="00BD0AA3">
      <w:pPr>
        <w:pStyle w:val="SingleTxtG"/>
        <w:rPr>
          <w:lang w:val="en-US"/>
        </w:rPr>
      </w:pPr>
      <w:r>
        <w:t>7</w:t>
      </w:r>
      <w:r w:rsidR="001C6403">
        <w:t>1</w:t>
      </w:r>
      <w:r>
        <w:t>.</w:t>
      </w:r>
      <w:r>
        <w:tab/>
      </w:r>
      <w:r w:rsidR="00931421">
        <w:t>Remedies and adjudication should be included as necessary elements of good governance in asserting the right to education. A</w:t>
      </w:r>
      <w:r w:rsidR="00931421" w:rsidRPr="0042495F">
        <w:t xml:space="preserve">ccessible, free or inexpensive mechanisms </w:t>
      </w:r>
      <w:r w:rsidR="00931421">
        <w:lastRenderedPageBreak/>
        <w:t xml:space="preserve">enabling </w:t>
      </w:r>
      <w:r w:rsidR="00931421" w:rsidRPr="0042495F">
        <w:t xml:space="preserve">students, parents and other stakeholders to </w:t>
      </w:r>
      <w:r w:rsidR="00931421">
        <w:t>challenge</w:t>
      </w:r>
      <w:r w:rsidR="00931421" w:rsidRPr="0042495F">
        <w:t xml:space="preserve"> </w:t>
      </w:r>
      <w:r w:rsidR="00931421">
        <w:t xml:space="preserve">and redress </w:t>
      </w:r>
      <w:r w:rsidR="00931421" w:rsidRPr="0042495F">
        <w:t>alleged violations of their rights</w:t>
      </w:r>
      <w:r w:rsidR="00931421">
        <w:t xml:space="preserve"> </w:t>
      </w:r>
      <w:r w:rsidR="00931421" w:rsidRPr="0042495F">
        <w:t>range from regular parent-teacher meetings</w:t>
      </w:r>
      <w:r w:rsidR="00931421">
        <w:t xml:space="preserve">, </w:t>
      </w:r>
      <w:r w:rsidR="00931421" w:rsidRPr="0042495F">
        <w:t>school boards and appeal bodies, to national human rights institutions</w:t>
      </w:r>
      <w:r w:rsidR="00931421">
        <w:t xml:space="preserve"> and national courts. G</w:t>
      </w:r>
      <w:r w:rsidR="00931421" w:rsidRPr="0042495F">
        <w:t xml:space="preserve">uidance must be provided to the judiciary and legal profession on how the right to education should be </w:t>
      </w:r>
      <w:r w:rsidR="00931421">
        <w:t>understood</w:t>
      </w:r>
      <w:r w:rsidR="00931421" w:rsidRPr="0042495F">
        <w:t>.</w:t>
      </w:r>
      <w:r w:rsidR="001F4A94">
        <w:rPr>
          <w:rStyle w:val="FootnoteReference"/>
        </w:rPr>
        <w:footnoteReference w:id="85"/>
      </w:r>
      <w:r w:rsidR="00931421">
        <w:t xml:space="preserve"> </w:t>
      </w:r>
    </w:p>
    <w:p w14:paraId="155CF758" w14:textId="6092B766" w:rsidR="00931421" w:rsidRPr="00443808" w:rsidRDefault="00BD0AA3" w:rsidP="00BD0AA3">
      <w:pPr>
        <w:pStyle w:val="SingleTxtG"/>
        <w:rPr>
          <w:lang w:val="en-US"/>
        </w:rPr>
      </w:pPr>
      <w:r>
        <w:t>7</w:t>
      </w:r>
      <w:r w:rsidR="001C6403">
        <w:t>2</w:t>
      </w:r>
      <w:r>
        <w:t>.</w:t>
      </w:r>
      <w:r>
        <w:tab/>
      </w:r>
      <w:r w:rsidR="00931421" w:rsidRPr="00443808">
        <w:t xml:space="preserve">The Special Rapporteur also considers that </w:t>
      </w:r>
      <w:r w:rsidR="00931421">
        <w:t>confirmed violations of</w:t>
      </w:r>
      <w:r w:rsidR="00931421" w:rsidRPr="00443808">
        <w:t xml:space="preserve"> </w:t>
      </w:r>
      <w:r w:rsidR="00931421">
        <w:t xml:space="preserve">the </w:t>
      </w:r>
      <w:r w:rsidR="00931421" w:rsidRPr="00443808">
        <w:t xml:space="preserve">right to education should </w:t>
      </w:r>
      <w:r w:rsidR="00931421">
        <w:t>result</w:t>
      </w:r>
      <w:r w:rsidR="00931421" w:rsidRPr="00443808">
        <w:t xml:space="preserve"> </w:t>
      </w:r>
      <w:r w:rsidR="00931421">
        <w:t xml:space="preserve">in tangible </w:t>
      </w:r>
      <w:r w:rsidR="00931421" w:rsidRPr="00443808">
        <w:t xml:space="preserve">reparation, including access to free quality education for those </w:t>
      </w:r>
      <w:r w:rsidR="00931421">
        <w:t xml:space="preserve">to </w:t>
      </w:r>
      <w:r w:rsidR="00931421" w:rsidRPr="00443808">
        <w:t>who</w:t>
      </w:r>
      <w:r w:rsidR="00931421">
        <w:t>m it has been denied</w:t>
      </w:r>
      <w:r w:rsidR="00931421" w:rsidRPr="00443808">
        <w:t xml:space="preserve"> (</w:t>
      </w:r>
      <w:r w:rsidR="00931421">
        <w:t xml:space="preserve">for example through </w:t>
      </w:r>
      <w:r w:rsidR="00931421" w:rsidRPr="00443808">
        <w:t xml:space="preserve">basic education and adult education). She also notes that education may be considered as a form of reparation in </w:t>
      </w:r>
      <w:r w:rsidR="00931421">
        <w:t>other</w:t>
      </w:r>
      <w:r w:rsidR="00931421" w:rsidRPr="00443808">
        <w:t xml:space="preserve"> cases, </w:t>
      </w:r>
      <w:r w:rsidR="00931421">
        <w:t xml:space="preserve">for example </w:t>
      </w:r>
      <w:r w:rsidR="00931421" w:rsidRPr="00443808">
        <w:t>for victims of conflict-related sexual violence and other serious human rights violations,</w:t>
      </w:r>
      <w:r w:rsidR="001F4A94">
        <w:rPr>
          <w:rStyle w:val="FootnoteReference"/>
        </w:rPr>
        <w:footnoteReference w:id="86"/>
      </w:r>
      <w:r w:rsidR="00931421" w:rsidRPr="00443808">
        <w:t xml:space="preserve"> an issue </w:t>
      </w:r>
      <w:r w:rsidR="00931421">
        <w:t>the Special Rapporteur</w:t>
      </w:r>
      <w:r w:rsidR="00931421" w:rsidRPr="00443808">
        <w:t xml:space="preserve"> is interested in addressing further.</w:t>
      </w:r>
    </w:p>
    <w:p w14:paraId="7DC3DF3F" w14:textId="35B4872A" w:rsidR="00931421" w:rsidRPr="00807887" w:rsidRDefault="00807887" w:rsidP="00807887">
      <w:pPr>
        <w:pStyle w:val="H1G"/>
      </w:pPr>
      <w:r>
        <w:tab/>
      </w:r>
      <w:r w:rsidRPr="00807887">
        <w:t>B.</w:t>
      </w:r>
      <w:r>
        <w:tab/>
      </w:r>
      <w:r w:rsidR="00931421" w:rsidRPr="00807887">
        <w:t xml:space="preserve">Financing education </w:t>
      </w:r>
    </w:p>
    <w:p w14:paraId="7F81E985" w14:textId="54C9611F" w:rsidR="00931421" w:rsidRPr="00443808" w:rsidRDefault="00807887" w:rsidP="00807887">
      <w:pPr>
        <w:pStyle w:val="SingleTxtG"/>
      </w:pPr>
      <w:r>
        <w:t>7</w:t>
      </w:r>
      <w:r w:rsidR="001C6403">
        <w:t>3</w:t>
      </w:r>
      <w:r>
        <w:t>.</w:t>
      </w:r>
      <w:r>
        <w:tab/>
      </w:r>
      <w:r w:rsidR="00931421" w:rsidRPr="00C75F6E">
        <w:t xml:space="preserve">Financing education is a legal obligation under international law. </w:t>
      </w:r>
      <w:r w:rsidR="00931421">
        <w:t>However, s</w:t>
      </w:r>
      <w:r w:rsidR="00931421" w:rsidRPr="00443808">
        <w:t xml:space="preserve">ystemic issues in </w:t>
      </w:r>
      <w:r w:rsidR="00931421">
        <w:t xml:space="preserve">national and global </w:t>
      </w:r>
      <w:r w:rsidR="00931421" w:rsidRPr="00443808">
        <w:t>education funding</w:t>
      </w:r>
      <w:r w:rsidR="00931421">
        <w:t xml:space="preserve"> </w:t>
      </w:r>
      <w:r w:rsidR="00931421" w:rsidRPr="00443808">
        <w:t xml:space="preserve">mean that </w:t>
      </w:r>
      <w:r w:rsidR="00931421">
        <w:t xml:space="preserve">certain </w:t>
      </w:r>
      <w:r w:rsidR="00931421" w:rsidRPr="00443808">
        <w:t xml:space="preserve">groups of children and youth are falling further behind. UNICEF estimates that in one out of 10 countries, learners from the richest 20 percent of households </w:t>
      </w:r>
      <w:r w:rsidR="00931421">
        <w:t xml:space="preserve">benefit from </w:t>
      </w:r>
      <w:r w:rsidR="00931421" w:rsidRPr="00443808">
        <w:t>four or more times the amount of public education spending than the poorest.</w:t>
      </w:r>
      <w:r w:rsidR="001F4A94">
        <w:rPr>
          <w:rStyle w:val="FootnoteReference"/>
        </w:rPr>
        <w:footnoteReference w:id="87"/>
      </w:r>
    </w:p>
    <w:p w14:paraId="355953AF" w14:textId="5542DE8D" w:rsidR="00931421" w:rsidRPr="00C75F6E" w:rsidRDefault="00807887" w:rsidP="00807887">
      <w:pPr>
        <w:pStyle w:val="SingleTxtG"/>
      </w:pPr>
      <w:r>
        <w:t>7</w:t>
      </w:r>
      <w:r w:rsidR="001C6403">
        <w:t>4</w:t>
      </w:r>
      <w:r>
        <w:t>.</w:t>
      </w:r>
      <w:r>
        <w:tab/>
      </w:r>
      <w:r w:rsidR="00931421" w:rsidRPr="00C75F6E">
        <w:t xml:space="preserve">The Transforming Education Summit </w:t>
      </w:r>
      <w:r w:rsidR="00931421">
        <w:t xml:space="preserve">(TES) </w:t>
      </w:r>
      <w:r w:rsidR="00931421" w:rsidRPr="00C75F6E">
        <w:t xml:space="preserve">called on Governments to increase the fiscal space for education at the national level, and </w:t>
      </w:r>
      <w:r w:rsidR="00931421">
        <w:t xml:space="preserve">to </w:t>
      </w:r>
      <w:r w:rsidR="00931421" w:rsidRPr="00C75F6E">
        <w:t xml:space="preserve">commit to ring-fencing funds </w:t>
      </w:r>
      <w:r w:rsidR="00931421">
        <w:t>for</w:t>
      </w:r>
      <w:r w:rsidR="00931421" w:rsidRPr="00C75F6E">
        <w:t xml:space="preserve"> social protection and education systems. </w:t>
      </w:r>
      <w:r w:rsidR="00931421">
        <w:t>T</w:t>
      </w:r>
      <w:r w:rsidR="00931421" w:rsidRPr="00C75F6E">
        <w:t>he Incheon and Paris Declarations</w:t>
      </w:r>
      <w:r w:rsidR="00931421">
        <w:t xml:space="preserve"> call upon</w:t>
      </w:r>
      <w:r w:rsidR="00931421" w:rsidRPr="00C75F6E">
        <w:t xml:space="preserve"> governments </w:t>
      </w:r>
      <w:r w:rsidR="00931421">
        <w:t xml:space="preserve">to </w:t>
      </w:r>
      <w:r w:rsidR="00931421" w:rsidRPr="00C75F6E">
        <w:t xml:space="preserve">allocate at least 4-6% of GDP and at least 15-20% of total public expenditure to education, protecting public education budgets from the </w:t>
      </w:r>
      <w:r w:rsidR="00931421">
        <w:t xml:space="preserve">fiscal </w:t>
      </w:r>
      <w:r w:rsidR="00931421" w:rsidRPr="00C75F6E">
        <w:t>constrain</w:t>
      </w:r>
      <w:r w:rsidR="00931421">
        <w:t>ts</w:t>
      </w:r>
      <w:r w:rsidR="00931421" w:rsidRPr="00C75F6E">
        <w:t xml:space="preserve"> resulting from the COVID</w:t>
      </w:r>
      <w:r w:rsidR="00931421">
        <w:t>-</w:t>
      </w:r>
      <w:r w:rsidR="00931421" w:rsidRPr="00C75F6E">
        <w:t>19 and global economic cris</w:t>
      </w:r>
      <w:r w:rsidR="00931421">
        <w:t>e</w:t>
      </w:r>
      <w:r w:rsidR="00931421" w:rsidRPr="00C75F6E">
        <w:t xml:space="preserve">s. Further, Governments </w:t>
      </w:r>
      <w:r w:rsidR="00931421">
        <w:t xml:space="preserve">should </w:t>
      </w:r>
      <w:r w:rsidR="00931421" w:rsidRPr="00C75F6E">
        <w:t>c</w:t>
      </w:r>
      <w:r w:rsidR="00931421" w:rsidRPr="00C75F6E">
        <w:rPr>
          <w:shd w:val="clear" w:color="auto" w:fill="FFFFFF"/>
        </w:rPr>
        <w:t>ommit to reach</w:t>
      </w:r>
      <w:r w:rsidR="00931421">
        <w:rPr>
          <w:shd w:val="clear" w:color="auto" w:fill="FFFFFF"/>
        </w:rPr>
        <w:t>ing</w:t>
      </w:r>
      <w:r w:rsidR="00931421" w:rsidRPr="00C75F6E">
        <w:rPr>
          <w:shd w:val="clear" w:color="auto" w:fill="FFFFFF"/>
        </w:rPr>
        <w:t xml:space="preserve"> an adequate tax-to-GDP ratio through ambitious and progressive tax reforms with linked commitments towards financing educational investment.</w:t>
      </w:r>
      <w:r w:rsidR="001F4A94">
        <w:rPr>
          <w:rStyle w:val="FootnoteReference"/>
          <w:shd w:val="clear" w:color="auto" w:fill="FFFFFF"/>
        </w:rPr>
        <w:footnoteReference w:id="88"/>
      </w:r>
      <w:r w:rsidR="00931421" w:rsidRPr="00C75F6E">
        <w:t xml:space="preserve"> </w:t>
      </w:r>
      <w:r w:rsidR="00931421">
        <w:t>P</w:t>
      </w:r>
      <w:r w:rsidR="00931421" w:rsidRPr="00443808">
        <w:t xml:space="preserve">rogressively realizing the right to education using maximum available resources </w:t>
      </w:r>
      <w:r w:rsidR="00931421">
        <w:t xml:space="preserve">means </w:t>
      </w:r>
      <w:r w:rsidR="00931421" w:rsidRPr="00443808">
        <w:t>go</w:t>
      </w:r>
      <w:r w:rsidR="00931421">
        <w:t>ing</w:t>
      </w:r>
      <w:r w:rsidR="00931421" w:rsidRPr="00443808">
        <w:t xml:space="preserve"> beyond the resources currently at governments’ disposal</w:t>
      </w:r>
      <w:r w:rsidR="00931421">
        <w:t>; it</w:t>
      </w:r>
      <w:r w:rsidR="00931421" w:rsidRPr="00443808">
        <w:t xml:space="preserve"> includes resources that could potentially be mobilised</w:t>
      </w:r>
      <w:r w:rsidR="00931421">
        <w:t>, in particular through progressive taxation</w:t>
      </w:r>
      <w:r w:rsidR="00931421" w:rsidRPr="00443808">
        <w:t>.</w:t>
      </w:r>
      <w:r w:rsidR="00611BD2">
        <w:rPr>
          <w:rStyle w:val="FootnoteReference"/>
        </w:rPr>
        <w:footnoteReference w:id="89"/>
      </w:r>
    </w:p>
    <w:p w14:paraId="06397551" w14:textId="7E9078C0" w:rsidR="00931421" w:rsidRPr="00443808" w:rsidRDefault="00807887" w:rsidP="00807887">
      <w:pPr>
        <w:pStyle w:val="SingleTxtG"/>
      </w:pPr>
      <w:r>
        <w:t>7</w:t>
      </w:r>
      <w:r w:rsidR="001C6403">
        <w:t>5</w:t>
      </w:r>
      <w:r>
        <w:t>.</w:t>
      </w:r>
      <w:r>
        <w:tab/>
      </w:r>
      <w:r w:rsidR="00931421">
        <w:t>R</w:t>
      </w:r>
      <w:r w:rsidR="00931421" w:rsidRPr="00443808">
        <w:t xml:space="preserve">esources </w:t>
      </w:r>
      <w:r w:rsidR="00931421">
        <w:t xml:space="preserve">must </w:t>
      </w:r>
      <w:r w:rsidR="00931421" w:rsidRPr="00443808">
        <w:t xml:space="preserve">reach the poorest and most marginalized. The </w:t>
      </w:r>
      <w:r w:rsidR="00931421">
        <w:t>TES</w:t>
      </w:r>
      <w:r w:rsidR="00931421" w:rsidRPr="00443808">
        <w:t xml:space="preserve"> </w:t>
      </w:r>
      <w:r w:rsidR="00931421">
        <w:t>further</w:t>
      </w:r>
      <w:r w:rsidR="00931421" w:rsidRPr="00443808">
        <w:t xml:space="preserve"> called on Governments to </w:t>
      </w:r>
      <w:r w:rsidR="00931421" w:rsidRPr="00443808">
        <w:rPr>
          <w:color w:val="333333"/>
        </w:rPr>
        <w:t xml:space="preserve">establish specific goals </w:t>
      </w:r>
      <w:r w:rsidR="00931421">
        <w:rPr>
          <w:color w:val="333333"/>
        </w:rPr>
        <w:t>regarding “</w:t>
      </w:r>
      <w:r w:rsidR="00931421" w:rsidRPr="00443808">
        <w:rPr>
          <w:color w:val="333333"/>
        </w:rPr>
        <w:t xml:space="preserve">the percentage of educational investment going to the 40% and 20% of families with lowest income, to those living in rural or </w:t>
      </w:r>
      <w:r w:rsidR="00931421">
        <w:rPr>
          <w:color w:val="333333"/>
        </w:rPr>
        <w:t>remote</w:t>
      </w:r>
      <w:r w:rsidR="00931421" w:rsidRPr="00443808">
        <w:rPr>
          <w:color w:val="333333"/>
        </w:rPr>
        <w:t xml:space="preserve"> areas, children with disabilities </w:t>
      </w:r>
      <w:r w:rsidR="00931421">
        <w:rPr>
          <w:color w:val="333333"/>
        </w:rPr>
        <w:t>and</w:t>
      </w:r>
      <w:r w:rsidR="00931421" w:rsidRPr="00443808">
        <w:rPr>
          <w:color w:val="333333"/>
        </w:rPr>
        <w:t xml:space="preserve"> th</w:t>
      </w:r>
      <w:r w:rsidR="00931421">
        <w:rPr>
          <w:color w:val="333333"/>
        </w:rPr>
        <w:t>e</w:t>
      </w:r>
      <w:r w:rsidR="00931421" w:rsidRPr="00443808">
        <w:rPr>
          <w:color w:val="333333"/>
        </w:rPr>
        <w:t xml:space="preserve"> especially vulnerable</w:t>
      </w:r>
      <w:r w:rsidR="00931421">
        <w:rPr>
          <w:color w:val="333333"/>
        </w:rPr>
        <w:t>”</w:t>
      </w:r>
      <w:r w:rsidR="00931421" w:rsidRPr="00443808">
        <w:rPr>
          <w:color w:val="333333"/>
        </w:rPr>
        <w:t>.</w:t>
      </w:r>
      <w:r w:rsidR="00611BD2">
        <w:rPr>
          <w:rStyle w:val="FootnoteReference"/>
          <w:color w:val="333333"/>
        </w:rPr>
        <w:footnoteReference w:id="90"/>
      </w:r>
      <w:r w:rsidR="00931421" w:rsidRPr="00443808">
        <w:rPr>
          <w:color w:val="333333"/>
        </w:rPr>
        <w:t xml:space="preserve"> </w:t>
      </w:r>
      <w:r w:rsidR="00931421">
        <w:rPr>
          <w:color w:val="333333"/>
        </w:rPr>
        <w:t xml:space="preserve">The Special Rapporteur stresses the </w:t>
      </w:r>
      <w:r w:rsidR="00931421" w:rsidRPr="00443808">
        <w:t>milestone benchmark</w:t>
      </w:r>
      <w:r w:rsidR="00931421">
        <w:t>,</w:t>
      </w:r>
      <w:r w:rsidR="00931421" w:rsidRPr="00443808">
        <w:t xml:space="preserve"> </w:t>
      </w:r>
      <w:r w:rsidR="00931421">
        <w:t xml:space="preserve">adopted by UNICEF, </w:t>
      </w:r>
      <w:r w:rsidR="00931421" w:rsidRPr="00443808">
        <w:t>of at least 15 percent of public education resources going to the poorest 20 percent of learners</w:t>
      </w:r>
      <w:r w:rsidR="00931421">
        <w:t>.</w:t>
      </w:r>
      <w:r w:rsidR="00611BD2">
        <w:rPr>
          <w:rStyle w:val="FootnoteReference"/>
        </w:rPr>
        <w:footnoteReference w:id="91"/>
      </w:r>
    </w:p>
    <w:p w14:paraId="39EA87F3" w14:textId="69383F6D" w:rsidR="00931421" w:rsidRDefault="00807887" w:rsidP="00807887">
      <w:pPr>
        <w:pStyle w:val="SingleTxtG"/>
      </w:pPr>
      <w:r>
        <w:t>7</w:t>
      </w:r>
      <w:r w:rsidR="001C6403">
        <w:t>6</w:t>
      </w:r>
      <w:r>
        <w:t>.</w:t>
      </w:r>
      <w:r>
        <w:tab/>
      </w:r>
      <w:r w:rsidR="00931421" w:rsidRPr="00C04F99">
        <w:t xml:space="preserve">Although </w:t>
      </w:r>
      <w:r w:rsidR="00931421">
        <w:t>g</w:t>
      </w:r>
      <w:r w:rsidR="00931421" w:rsidRPr="00C04F99">
        <w:t xml:space="preserve">overnments are the largest funders of education in all countries, </w:t>
      </w:r>
      <w:r w:rsidR="00931421">
        <w:t xml:space="preserve">where needed, </w:t>
      </w:r>
      <w:r w:rsidR="00931421" w:rsidRPr="00C04F99">
        <w:t>development assistance is also important. As the TES has called</w:t>
      </w:r>
      <w:r w:rsidR="00931421">
        <w:t xml:space="preserve"> for</w:t>
      </w:r>
      <w:r w:rsidR="00931421" w:rsidRPr="00C04F99">
        <w:t>, the international community shall s</w:t>
      </w:r>
      <w:r w:rsidR="00931421" w:rsidRPr="00C04F99">
        <w:rPr>
          <w:spacing w:val="-8"/>
        </w:rPr>
        <w:t>upport, complement and stimulate national efforts in educational investment</w:t>
      </w:r>
      <w:r w:rsidR="00931421">
        <w:t>;</w:t>
      </w:r>
      <w:r w:rsidR="00931421" w:rsidRPr="00C04F99">
        <w:t xml:space="preserve"> </w:t>
      </w:r>
      <w:proofErr w:type="spellStart"/>
      <w:r w:rsidR="00931421" w:rsidRPr="00C04F99">
        <w:t>fulfill</w:t>
      </w:r>
      <w:proofErr w:type="spellEnd"/>
      <w:r w:rsidR="00931421" w:rsidRPr="00C04F99">
        <w:t xml:space="preserve"> the established benchmark 0.7% of donor Gross National Income (GNI) for official development assistance (ODA)</w:t>
      </w:r>
      <w:r w:rsidR="00931421">
        <w:t>;</w:t>
      </w:r>
      <w:r w:rsidR="00931421" w:rsidRPr="00C04F99">
        <w:t xml:space="preserve"> increase the proportion of such aid going to education to 15% - 20% of total ODA and allocate these to the countries where the need is greatest. </w:t>
      </w:r>
    </w:p>
    <w:p w14:paraId="20434D16" w14:textId="50D96EA8" w:rsidR="00931421" w:rsidRPr="00876BF4" w:rsidRDefault="00807887" w:rsidP="00807887">
      <w:pPr>
        <w:pStyle w:val="SingleTxtG"/>
      </w:pPr>
      <w:r>
        <w:t>7</w:t>
      </w:r>
      <w:r w:rsidR="001C6403">
        <w:t>7</w:t>
      </w:r>
      <w:r>
        <w:t>.</w:t>
      </w:r>
      <w:r>
        <w:tab/>
      </w:r>
      <w:r w:rsidR="00931421">
        <w:t>S</w:t>
      </w:r>
      <w:r w:rsidR="00931421" w:rsidRPr="00876BF4">
        <w:t xml:space="preserve">uch international assistance must not lead to undue influence by international actors or other States on </w:t>
      </w:r>
      <w:r w:rsidR="00931421">
        <w:t xml:space="preserve">domestic </w:t>
      </w:r>
      <w:r w:rsidR="00931421" w:rsidRPr="00876BF4">
        <w:t>educational polic</w:t>
      </w:r>
      <w:r w:rsidR="00931421">
        <w:t>y concerns</w:t>
      </w:r>
      <w:r w:rsidR="00931421" w:rsidRPr="00876BF4">
        <w:t xml:space="preserve">, particularly </w:t>
      </w:r>
      <w:r w:rsidR="00931421">
        <w:t xml:space="preserve">with respect to </w:t>
      </w:r>
      <w:r w:rsidR="00931421" w:rsidRPr="00876BF4">
        <w:t xml:space="preserve">austerity measures and privatization of the sector. </w:t>
      </w:r>
      <w:r w:rsidR="00931421">
        <w:t>A</w:t>
      </w:r>
      <w:r w:rsidR="00931421" w:rsidRPr="00443808">
        <w:t>usterity measures exacerbate inequality, including in educatio</w:t>
      </w:r>
      <w:r w:rsidR="00931421">
        <w:t xml:space="preserve">n, and </w:t>
      </w:r>
      <w:r w:rsidR="00931421">
        <w:rPr>
          <w:bCs/>
        </w:rPr>
        <w:t xml:space="preserve">predictably lead to </w:t>
      </w:r>
      <w:r w:rsidR="00931421" w:rsidRPr="00443808">
        <w:rPr>
          <w:bCs/>
        </w:rPr>
        <w:t xml:space="preserve">an </w:t>
      </w:r>
      <w:r w:rsidR="00931421">
        <w:rPr>
          <w:bCs/>
        </w:rPr>
        <w:t>exponential increase</w:t>
      </w:r>
      <w:r w:rsidR="00931421" w:rsidRPr="00443808">
        <w:rPr>
          <w:bCs/>
        </w:rPr>
        <w:t xml:space="preserve"> </w:t>
      </w:r>
      <w:r w:rsidR="00931421">
        <w:rPr>
          <w:bCs/>
        </w:rPr>
        <w:t>in</w:t>
      </w:r>
      <w:r w:rsidR="00931421" w:rsidRPr="00443808">
        <w:rPr>
          <w:bCs/>
        </w:rPr>
        <w:t xml:space="preserve"> privatization and commercialization of education.</w:t>
      </w:r>
      <w:r w:rsidR="00931421">
        <w:rPr>
          <w:bCs/>
        </w:rPr>
        <w:t xml:space="preserve"> </w:t>
      </w:r>
      <w:r w:rsidR="00931421" w:rsidRPr="00876BF4">
        <w:t>As specified in the Maastricht Principles on Extra-Territorial Obligations, all States have extraterritorial obligations to respect, protect and fulfil economic, social and cultural rights, including as member</w:t>
      </w:r>
      <w:r w:rsidR="00931421">
        <w:t>s</w:t>
      </w:r>
      <w:r w:rsidR="00931421" w:rsidRPr="00876BF4">
        <w:t xml:space="preserve"> of international organization</w:t>
      </w:r>
      <w:r w:rsidR="00931421">
        <w:t>s</w:t>
      </w:r>
      <w:r w:rsidR="00931421" w:rsidRPr="00876BF4">
        <w:t xml:space="preserve">. A </w:t>
      </w:r>
      <w:r w:rsidR="00931421" w:rsidRPr="00876BF4">
        <w:lastRenderedPageBreak/>
        <w:t xml:space="preserve">State that transfers </w:t>
      </w:r>
      <w:r w:rsidR="00931421">
        <w:t xml:space="preserve">its </w:t>
      </w:r>
      <w:r w:rsidR="00931421" w:rsidRPr="00876BF4">
        <w:t xml:space="preserve">competence to, or participates </w:t>
      </w:r>
      <w:r w:rsidR="00931421">
        <w:t>with</w:t>
      </w:r>
      <w:r w:rsidR="00931421" w:rsidRPr="00876BF4">
        <w:t>in, an international organization must take all reasonable steps to ensure that the relevant organization acts consistently with the international human rights obligations of that State</w:t>
      </w:r>
      <w:r w:rsidR="00931421">
        <w:t>.</w:t>
      </w:r>
      <w:r w:rsidR="0083155B">
        <w:rPr>
          <w:rStyle w:val="FootnoteReference"/>
        </w:rPr>
        <w:footnoteReference w:id="92"/>
      </w:r>
    </w:p>
    <w:p w14:paraId="4A3085F8" w14:textId="0AC72F2C" w:rsidR="00931421" w:rsidRPr="00C11440" w:rsidRDefault="00C11440" w:rsidP="00C11440">
      <w:pPr>
        <w:pStyle w:val="H1G"/>
      </w:pPr>
      <w:r>
        <w:tab/>
      </w:r>
      <w:r w:rsidRPr="00C11440">
        <w:t>C.</w:t>
      </w:r>
      <w:r>
        <w:tab/>
      </w:r>
      <w:r w:rsidR="00931421" w:rsidRPr="00C11440">
        <w:t>Regulating private actors</w:t>
      </w:r>
    </w:p>
    <w:p w14:paraId="360BA704" w14:textId="158BB13F" w:rsidR="00931421" w:rsidRPr="002F56E3" w:rsidRDefault="00C11440" w:rsidP="00C11440">
      <w:pPr>
        <w:pStyle w:val="SingleTxtG"/>
      </w:pPr>
      <w:r>
        <w:t>7</w:t>
      </w:r>
      <w:r w:rsidR="001C6403">
        <w:t>8</w:t>
      </w:r>
      <w:r>
        <w:t>.</w:t>
      </w:r>
      <w:r>
        <w:tab/>
      </w:r>
      <w:r w:rsidR="00931421" w:rsidRPr="002F56E3">
        <w:t xml:space="preserve">The role of non-state actors in education has </w:t>
      </w:r>
      <w:r w:rsidR="00931421">
        <w:t xml:space="preserve">grown exponentially </w:t>
      </w:r>
      <w:r w:rsidR="00931421" w:rsidRPr="002F56E3">
        <w:t>in recent years in many countries, assuming a growing share of education provision.</w:t>
      </w:r>
      <w:r w:rsidR="00D7703B">
        <w:rPr>
          <w:rStyle w:val="FootnoteReference"/>
        </w:rPr>
        <w:footnoteReference w:id="93"/>
      </w:r>
      <w:r w:rsidR="00931421" w:rsidRPr="002F56E3">
        <w:t xml:space="preserve"> </w:t>
      </w:r>
    </w:p>
    <w:p w14:paraId="0D255B76" w14:textId="17FB4D53" w:rsidR="00931421" w:rsidRPr="002F56E3" w:rsidRDefault="00C11440" w:rsidP="00C11440">
      <w:pPr>
        <w:pStyle w:val="SingleTxtG"/>
      </w:pPr>
      <w:r>
        <w:t>7</w:t>
      </w:r>
      <w:r w:rsidR="001C6403">
        <w:t>9</w:t>
      </w:r>
      <w:r>
        <w:t>.</w:t>
      </w:r>
      <w:r>
        <w:tab/>
      </w:r>
      <w:r w:rsidR="00931421" w:rsidRPr="002F56E3">
        <w:t xml:space="preserve">Human rights provide a solid framework of legally binding obligations regarding the role of States and private actors to guide SDG4 implementation. </w:t>
      </w:r>
      <w:r w:rsidR="00931421">
        <w:t xml:space="preserve">A major </w:t>
      </w:r>
      <w:r w:rsidR="00931421" w:rsidRPr="002F56E3">
        <w:t>challenge is respecting educational freedoms within the framework of education conceived as a public and a common good</w:t>
      </w:r>
      <w:r w:rsidR="00931421">
        <w:t>,</w:t>
      </w:r>
      <w:r w:rsidR="00931421" w:rsidRPr="002F56E3">
        <w:t xml:space="preserve"> while preventing systemic negative impacts of the growth of private actors, particularly commercial actors, on the right to education. Getting rid of private educational institutions, such as universities, for political or ideological reasons under the guise of stringent regulation, would be at odds with international standards, for example. The growth of commercial school chains that can undermine human rights and social cohesion, however, is of concern, with the increasing use of digital technologies in education and the influence of EdTech adding urgency. </w:t>
      </w:r>
      <w:bookmarkStart w:id="8" w:name="_Hlk134174671"/>
      <w:r w:rsidR="00931421" w:rsidRPr="002F56E3">
        <w:t>The education mandate has dedicated four reports to the issue,</w:t>
      </w:r>
      <w:r w:rsidR="002F4C48">
        <w:rPr>
          <w:rStyle w:val="FootnoteReference"/>
        </w:rPr>
        <w:footnoteReference w:id="94"/>
      </w:r>
      <w:r w:rsidR="00931421" w:rsidRPr="002F56E3">
        <w:t xml:space="preserve"> warning about the danger of privatization “supplanting public education instead of supplementing it”.</w:t>
      </w:r>
      <w:bookmarkEnd w:id="8"/>
      <w:r w:rsidR="000B4312">
        <w:rPr>
          <w:rStyle w:val="FootnoteReference"/>
        </w:rPr>
        <w:footnoteReference w:id="95"/>
      </w:r>
      <w:r w:rsidR="00931421" w:rsidRPr="002F56E3">
        <w:t xml:space="preserve"> </w:t>
      </w:r>
    </w:p>
    <w:p w14:paraId="43330EA4" w14:textId="375407BC" w:rsidR="00931421" w:rsidRPr="002F56E3" w:rsidRDefault="001C6403" w:rsidP="00C11440">
      <w:pPr>
        <w:pStyle w:val="SingleTxtG"/>
      </w:pPr>
      <w:r>
        <w:t>80</w:t>
      </w:r>
      <w:r w:rsidR="00C11440">
        <w:t>.</w:t>
      </w:r>
      <w:r w:rsidR="00C11440">
        <w:tab/>
      </w:r>
      <w:r w:rsidR="00931421" w:rsidRPr="002F56E3">
        <w:t>States must prioritize the funding of free, high-quality public education and ensure that it is truly inclusive. While there is no State obligation to fund private schools, the protection and promotion of cultural diversity, and particularly the protections due to minorities, strongly support such measures. Free, community-run schools merit consideration too.</w:t>
      </w:r>
      <w:r w:rsidR="009C120A">
        <w:rPr>
          <w:rStyle w:val="FootnoteReference"/>
        </w:rPr>
        <w:footnoteReference w:id="96"/>
      </w:r>
      <w:r w:rsidR="00931421" w:rsidRPr="002F56E3">
        <w:t xml:space="preserve"> However, support given to private educational institutions must comply with the prohibition on discrimination.</w:t>
      </w:r>
      <w:r w:rsidR="009C120A">
        <w:rPr>
          <w:rStyle w:val="FootnoteReference"/>
        </w:rPr>
        <w:footnoteReference w:id="97"/>
      </w:r>
      <w:r w:rsidR="00931421" w:rsidRPr="002F56E3">
        <w:t xml:space="preserve"> State funding must meet certain requirements, especially with regard to respecting minimum human rights standards.</w:t>
      </w:r>
    </w:p>
    <w:p w14:paraId="6C43F20F" w14:textId="44A66ECC" w:rsidR="00931421" w:rsidRPr="00A16F91" w:rsidRDefault="00C11440" w:rsidP="00C11440">
      <w:pPr>
        <w:pStyle w:val="SingleTxtG"/>
      </w:pPr>
      <w:r>
        <w:t>8</w:t>
      </w:r>
      <w:r w:rsidR="001C6403">
        <w:t>1</w:t>
      </w:r>
      <w:r>
        <w:t>.</w:t>
      </w:r>
      <w:r>
        <w:tab/>
      </w:r>
      <w:r w:rsidR="00931421">
        <w:t xml:space="preserve">The Special Rapporteur welcomes the </w:t>
      </w:r>
      <w:r w:rsidR="00931421" w:rsidRPr="00A16F91">
        <w:t xml:space="preserve">shifts </w:t>
      </w:r>
      <w:r w:rsidR="00931421">
        <w:t xml:space="preserve">by </w:t>
      </w:r>
      <w:r w:rsidR="00931421" w:rsidRPr="00A16F91">
        <w:t>the World Bank's International Finance Corporation and the Global Partnership for Education</w:t>
      </w:r>
      <w:r w:rsidR="00931421">
        <w:t xml:space="preserve">, which have </w:t>
      </w:r>
      <w:r w:rsidR="00931421" w:rsidRPr="00A16F91">
        <w:t>resolve</w:t>
      </w:r>
      <w:r w:rsidR="00931421">
        <w:t>d</w:t>
      </w:r>
      <w:r w:rsidR="00931421" w:rsidRPr="00A16F91">
        <w:t xml:space="preserve"> not to provide funding to fee-charging/for-profit private education providers</w:t>
      </w:r>
      <w:r w:rsidR="00931421">
        <w:t>,</w:t>
      </w:r>
      <w:r w:rsidR="00C81861">
        <w:rPr>
          <w:rStyle w:val="FootnoteReference"/>
        </w:rPr>
        <w:footnoteReference w:id="98"/>
      </w:r>
      <w:r w:rsidR="00931421" w:rsidRPr="003272A7">
        <w:t xml:space="preserve"> the previous mandate holder having been in contact on this issue with the latter</w:t>
      </w:r>
      <w:r w:rsidR="00931421">
        <w:t>.</w:t>
      </w:r>
      <w:r w:rsidR="00031712">
        <w:rPr>
          <w:rStyle w:val="FootnoteReference"/>
        </w:rPr>
        <w:footnoteReference w:id="99"/>
      </w:r>
    </w:p>
    <w:p w14:paraId="68B423F4" w14:textId="5F5855CE" w:rsidR="00931421" w:rsidRPr="00B86CE9" w:rsidRDefault="00C11440" w:rsidP="00C11440">
      <w:pPr>
        <w:pStyle w:val="SingleTxtG"/>
      </w:pPr>
      <w:r>
        <w:t>8</w:t>
      </w:r>
      <w:r w:rsidR="001C6403">
        <w:t>2</w:t>
      </w:r>
      <w:r>
        <w:t>.</w:t>
      </w:r>
      <w:r>
        <w:tab/>
      </w:r>
      <w:r w:rsidR="00931421" w:rsidRPr="00B86CE9">
        <w:t>Under their obligation to protect, States must establish minimum educational standards and ensure these are also implemented by both public and private educational institutions in a manner that ensures the right to education, the rights of the child and educational freedoms. The Human Rights Council urged States to put into place “</w:t>
      </w:r>
      <w:r w:rsidR="00931421" w:rsidRPr="004E5111">
        <w:t xml:space="preserve">a regulatory framework for education providers, including those operating independently or in partnership with States, guided by international human rights obligations, that establishes, inter alia, minimum norms and standards for the creation and operation of educational services, addresses any negative impact of the commercialization of education, and strengthens access to appropriate remedies and reparation for victims </w:t>
      </w:r>
      <w:r w:rsidR="00931421" w:rsidRPr="00F37936">
        <w:t>of violations of the right to education</w:t>
      </w:r>
      <w:r w:rsidR="00931421" w:rsidRPr="00B86CE9">
        <w:t>.</w:t>
      </w:r>
      <w:r w:rsidR="006554AE">
        <w:rPr>
          <w:rStyle w:val="FootnoteReference"/>
        </w:rPr>
        <w:footnoteReference w:id="100"/>
      </w:r>
      <w:r w:rsidR="00931421">
        <w:t xml:space="preserve"> </w:t>
      </w:r>
    </w:p>
    <w:p w14:paraId="23209155" w14:textId="6B915FD7" w:rsidR="00931421" w:rsidRPr="00A16F91" w:rsidRDefault="00C11440" w:rsidP="00C11440">
      <w:pPr>
        <w:pStyle w:val="SingleTxtG"/>
      </w:pPr>
      <w:r>
        <w:t>8</w:t>
      </w:r>
      <w:r w:rsidR="001C6403">
        <w:t>3</w:t>
      </w:r>
      <w:r>
        <w:t>.</w:t>
      </w:r>
      <w:r>
        <w:tab/>
      </w:r>
      <w:r w:rsidR="00931421" w:rsidRPr="00A16F91">
        <w:t xml:space="preserve">The UN Guiding Principles on Business and Human Rights and the Abidjan Principles provide important guidance in this respect. The Abidjan Principles stress that States should impose public service obligations on private actors in education to ensure they contribute to the realisation of the right to education in such a way that: a) institutions deliver education </w:t>
      </w:r>
      <w:r w:rsidR="00931421" w:rsidRPr="00A16F91">
        <w:lastRenderedPageBreak/>
        <w:t>consistent with applicable human rights law and standards; and b) there are no adverse effects</w:t>
      </w:r>
      <w:r w:rsidR="00931421">
        <w:t xml:space="preserve"> </w:t>
      </w:r>
      <w:r w:rsidR="00931421" w:rsidRPr="00C15EB4">
        <w:t>of private educational institutions on the enjoyment of the right to education</w:t>
      </w:r>
      <w:r w:rsidR="00931421">
        <w:t xml:space="preserve"> or other rights.</w:t>
      </w:r>
    </w:p>
    <w:p w14:paraId="08941DDD" w14:textId="56AFDEF7" w:rsidR="00931421" w:rsidRPr="00A16F91" w:rsidRDefault="00C11440" w:rsidP="00C11440">
      <w:pPr>
        <w:pStyle w:val="SingleTxtG"/>
      </w:pPr>
      <w:r>
        <w:t>8</w:t>
      </w:r>
      <w:r w:rsidR="001C6403">
        <w:t>4</w:t>
      </w:r>
      <w:r>
        <w:t>.</w:t>
      </w:r>
      <w:r>
        <w:tab/>
      </w:r>
      <w:r w:rsidR="00931421" w:rsidRPr="00A16F91">
        <w:t>Education as a common public good means that all stakeholders</w:t>
      </w:r>
      <w:r w:rsidR="00931421">
        <w:t>, including non-state providers, where applicable,</w:t>
      </w:r>
      <w:r w:rsidR="00931421" w:rsidRPr="00A16F91">
        <w:t xml:space="preserve"> must </w:t>
      </w:r>
      <w:r w:rsidR="00931421">
        <w:t xml:space="preserve">meaningfully </w:t>
      </w:r>
      <w:r w:rsidR="00931421" w:rsidRPr="00A16F91">
        <w:t>participate in decision-making</w:t>
      </w:r>
      <w:r w:rsidR="00931421">
        <w:t xml:space="preserve"> on a basis of fair access.</w:t>
      </w:r>
      <w:r w:rsidR="00931421" w:rsidRPr="00A16F91">
        <w:t xml:space="preserve"> </w:t>
      </w:r>
      <w:r w:rsidR="00931421">
        <w:t>However, t</w:t>
      </w:r>
      <w:r w:rsidR="00931421" w:rsidRPr="00A16F91">
        <w:t xml:space="preserve">he increased commercialization of education shifts decision-making powers </w:t>
      </w:r>
      <w:r w:rsidR="00931421">
        <w:t xml:space="preserve">away </w:t>
      </w:r>
      <w:r w:rsidR="00931421" w:rsidRPr="00A16F91">
        <w:t>from democratic</w:t>
      </w:r>
      <w:r w:rsidR="00931421">
        <w:t xml:space="preserve"> –albeit flawed –</w:t>
      </w:r>
      <w:r w:rsidR="00931421" w:rsidRPr="00A16F91">
        <w:t xml:space="preserve">structures, to unaccountable and often powerful corporate actors. Powerful corporations increasingly influence educational policies and </w:t>
      </w:r>
      <w:r w:rsidR="00931421">
        <w:t xml:space="preserve">the </w:t>
      </w:r>
      <w:r w:rsidR="00931421" w:rsidRPr="00A16F91">
        <w:t xml:space="preserve">use of public resources in ways that benefit </w:t>
      </w:r>
      <w:r w:rsidR="00931421">
        <w:t>corporate interests</w:t>
      </w:r>
      <w:r w:rsidR="00931421" w:rsidRPr="00A16F91">
        <w:t>. Civil society is increasingly concerned about closed-door</w:t>
      </w:r>
      <w:r w:rsidR="00931421">
        <w:t>,</w:t>
      </w:r>
      <w:r w:rsidR="00931421" w:rsidRPr="00A16F91">
        <w:t xml:space="preserve"> non-transparent decision-making and </w:t>
      </w:r>
      <w:r w:rsidR="00931421">
        <w:t xml:space="preserve">the </w:t>
      </w:r>
      <w:r w:rsidR="00931421" w:rsidRPr="00A16F91">
        <w:t xml:space="preserve">disproportionate voice increasingly </w:t>
      </w:r>
      <w:r w:rsidR="00931421">
        <w:t>accorded</w:t>
      </w:r>
      <w:r w:rsidR="00931421" w:rsidRPr="00A16F91">
        <w:t xml:space="preserve"> to big donors and private actors in international fora</w:t>
      </w:r>
      <w:r w:rsidR="00931421">
        <w:t xml:space="preserve">. </w:t>
      </w:r>
      <w:r w:rsidR="00931421" w:rsidRPr="00AF38E9">
        <w:t>Allowing consumerism to overshadow human rights considerations</w:t>
      </w:r>
      <w:r w:rsidR="00931421">
        <w:t xml:space="preserve">, and even allowing human rights language to be instrumentalized to enhance profit, </w:t>
      </w:r>
      <w:r w:rsidR="00931421" w:rsidRPr="00AF38E9">
        <w:t>negatively impacts all stakeholders: students, teachers, other staff and parents as well as wider communities and society at large.</w:t>
      </w:r>
    </w:p>
    <w:p w14:paraId="0115962E" w14:textId="5AC40C40" w:rsidR="00931421" w:rsidRPr="00C20272" w:rsidRDefault="00D74A11" w:rsidP="00D74A11">
      <w:pPr>
        <w:pStyle w:val="H1G"/>
        <w:rPr>
          <w:lang w:val="en-US"/>
        </w:rPr>
      </w:pPr>
      <w:r>
        <w:rPr>
          <w:lang w:val="en-US"/>
        </w:rPr>
        <w:tab/>
        <w:t>D.</w:t>
      </w:r>
      <w:r>
        <w:rPr>
          <w:lang w:val="en-US"/>
        </w:rPr>
        <w:tab/>
      </w:r>
      <w:r w:rsidR="00931421">
        <w:rPr>
          <w:lang w:val="en-US"/>
        </w:rPr>
        <w:t>En</w:t>
      </w:r>
      <w:r>
        <w:rPr>
          <w:lang w:val="en-US"/>
        </w:rPr>
        <w:t>f</w:t>
      </w:r>
      <w:r w:rsidR="00931421">
        <w:rPr>
          <w:lang w:val="en-US"/>
        </w:rPr>
        <w:t>orcing t</w:t>
      </w:r>
      <w:r w:rsidR="00931421" w:rsidRPr="003648CD">
        <w:rPr>
          <w:lang w:val="en-US"/>
        </w:rPr>
        <w:t>he 4</w:t>
      </w:r>
      <w:r>
        <w:rPr>
          <w:lang w:val="en-US"/>
        </w:rPr>
        <w:t>A</w:t>
      </w:r>
      <w:r w:rsidR="00931421" w:rsidRPr="003648CD">
        <w:rPr>
          <w:lang w:val="en-US"/>
        </w:rPr>
        <w:t>s scheme</w:t>
      </w:r>
    </w:p>
    <w:p w14:paraId="0BDDB359" w14:textId="138B16D9" w:rsidR="00931421" w:rsidRPr="00A7046E" w:rsidRDefault="00D74A11" w:rsidP="00D74A11">
      <w:pPr>
        <w:pStyle w:val="SingleTxtG"/>
      </w:pPr>
      <w:r>
        <w:t>8</w:t>
      </w:r>
      <w:r w:rsidR="001C6403">
        <w:t>5</w:t>
      </w:r>
      <w:r>
        <w:t>.</w:t>
      </w:r>
      <w:r>
        <w:tab/>
      </w:r>
      <w:r w:rsidR="00931421" w:rsidRPr="00A7046E">
        <w:t>The education mandate’s very first report proposed the 4As framework: making education available, accessible, acceptable and adaptable,</w:t>
      </w:r>
      <w:r w:rsidR="006554AE">
        <w:rPr>
          <w:rStyle w:val="FootnoteReference"/>
        </w:rPr>
        <w:footnoteReference w:id="101"/>
      </w:r>
      <w:r w:rsidR="00931421" w:rsidRPr="00A7046E">
        <w:t xml:space="preserve"> an approach since adopted by the Committee on Economic, Social and Cultural Rights</w:t>
      </w:r>
      <w:r w:rsidR="00931421">
        <w:t>,</w:t>
      </w:r>
      <w:r w:rsidR="00D74D9F">
        <w:rPr>
          <w:rStyle w:val="FootnoteReference"/>
        </w:rPr>
        <w:footnoteReference w:id="102"/>
      </w:r>
      <w:r w:rsidR="00931421" w:rsidRPr="00A7046E">
        <w:t xml:space="preserve"> that is now the most common analytical framework used for interpreting and understanding the normative content of the right to education. This scheme, systematically used in the mandate’s reports, has been extended to other rights, and is widely used by other mechanisms and stakeholders, including UNESCO, and States</w:t>
      </w:r>
      <w:r w:rsidR="00931421">
        <w:t>.</w:t>
      </w:r>
      <w:r w:rsidR="00931421" w:rsidRPr="00A7046E">
        <w:t xml:space="preserve"> Based on existing practice, a useful summary of the 4As scheme, is as follows:</w:t>
      </w:r>
    </w:p>
    <w:p w14:paraId="1C17CAD6" w14:textId="5513596A" w:rsidR="00D74A11" w:rsidRDefault="00D74A11" w:rsidP="00D74A11">
      <w:pPr>
        <w:pStyle w:val="SingleTxtG"/>
      </w:pPr>
      <w:r>
        <w:t>8</w:t>
      </w:r>
      <w:r w:rsidR="001C6403">
        <w:t>6</w:t>
      </w:r>
      <w:r>
        <w:t>.</w:t>
      </w:r>
      <w:r>
        <w:tab/>
      </w:r>
      <w:r w:rsidR="00931421" w:rsidRPr="00FA156A">
        <w:t xml:space="preserve">Availability requires inter alia: </w:t>
      </w:r>
    </w:p>
    <w:p w14:paraId="70AE8A9E" w14:textId="234AE9DC" w:rsidR="00D74A11" w:rsidRDefault="00D74A11" w:rsidP="00D74A11">
      <w:pPr>
        <w:pStyle w:val="SingleTxtG"/>
        <w:ind w:firstLine="567"/>
      </w:pPr>
      <w:r>
        <w:t>(</w:t>
      </w:r>
      <w:r w:rsidR="00931421" w:rsidRPr="00FA156A">
        <w:t>a)</w:t>
      </w:r>
      <w:r>
        <w:tab/>
      </w:r>
      <w:r w:rsidR="00931421" w:rsidRPr="00FA156A">
        <w:t xml:space="preserve">functioning educational institutions and programmes </w:t>
      </w:r>
      <w:r w:rsidR="00931421">
        <w:t xml:space="preserve">to be </w:t>
      </w:r>
      <w:r w:rsidR="00931421" w:rsidRPr="00FA156A">
        <w:t xml:space="preserve">available in sufficient quantity; </w:t>
      </w:r>
    </w:p>
    <w:p w14:paraId="54FD8D80" w14:textId="77777777" w:rsidR="00D74A11" w:rsidRDefault="00D74A11" w:rsidP="00D74A11">
      <w:pPr>
        <w:pStyle w:val="SingleTxtG"/>
        <w:ind w:firstLine="567"/>
      </w:pPr>
      <w:r>
        <w:t>(</w:t>
      </w:r>
      <w:r w:rsidR="00931421" w:rsidRPr="00FA156A">
        <w:t>b)</w:t>
      </w:r>
      <w:r>
        <w:tab/>
      </w:r>
      <w:r w:rsidR="00931421" w:rsidRPr="00FA156A">
        <w:t>sufficient numbers of teaching and other staff w</w:t>
      </w:r>
      <w:r w:rsidR="00931421">
        <w:t xml:space="preserve">ith </w:t>
      </w:r>
      <w:r w:rsidR="00931421" w:rsidRPr="00FA156A">
        <w:t>the necessary skills, qualifications, and training receiv</w:t>
      </w:r>
      <w:r w:rsidR="00931421">
        <w:t>ing</w:t>
      </w:r>
      <w:r w:rsidR="00931421" w:rsidRPr="00FA156A">
        <w:t xml:space="preserve"> domestically competitive salaries; </w:t>
      </w:r>
    </w:p>
    <w:p w14:paraId="5604F23E" w14:textId="77777777" w:rsidR="00D74A11" w:rsidRDefault="00D74A11" w:rsidP="00D74A11">
      <w:pPr>
        <w:pStyle w:val="SingleTxtG"/>
        <w:ind w:firstLine="567"/>
      </w:pPr>
      <w:r>
        <w:t>(</w:t>
      </w:r>
      <w:r w:rsidR="00931421" w:rsidRPr="00FA156A">
        <w:t>c)</w:t>
      </w:r>
      <w:r>
        <w:tab/>
      </w:r>
      <w:r w:rsidR="00931421" w:rsidRPr="00FA156A">
        <w:t xml:space="preserve">adequate curricula, and pedagogical material, methodologies, and practices; </w:t>
      </w:r>
    </w:p>
    <w:p w14:paraId="58E91EE5" w14:textId="77777777" w:rsidR="00D74A11" w:rsidRDefault="00D74A11" w:rsidP="00D74A11">
      <w:pPr>
        <w:pStyle w:val="SingleTxtG"/>
        <w:ind w:firstLine="567"/>
      </w:pPr>
      <w:r>
        <w:t>(</w:t>
      </w:r>
      <w:r w:rsidR="00931421" w:rsidRPr="00FA156A">
        <w:t>d)</w:t>
      </w:r>
      <w:r>
        <w:tab/>
      </w:r>
      <w:r w:rsidR="00931421" w:rsidRPr="00FA156A">
        <w:t xml:space="preserve">adequate sanitation facilities; </w:t>
      </w:r>
    </w:p>
    <w:p w14:paraId="60551C2F" w14:textId="1739F8C2" w:rsidR="00D74A11" w:rsidRDefault="00D74A11" w:rsidP="00D74A11">
      <w:pPr>
        <w:pStyle w:val="SingleTxtG"/>
        <w:ind w:firstLine="567"/>
      </w:pPr>
      <w:r>
        <w:t>(</w:t>
      </w:r>
      <w:r w:rsidR="00931421" w:rsidRPr="00FA156A">
        <w:t>e)</w:t>
      </w:r>
      <w:r>
        <w:tab/>
      </w:r>
      <w:r w:rsidR="00931421" w:rsidRPr="00FA156A">
        <w:t>safe drinking water;</w:t>
      </w:r>
      <w:r w:rsidR="00070897">
        <w:rPr>
          <w:rStyle w:val="FootnoteReference"/>
        </w:rPr>
        <w:footnoteReference w:id="103"/>
      </w:r>
      <w:r w:rsidR="00931421" w:rsidRPr="00FA156A">
        <w:t xml:space="preserve"> </w:t>
      </w:r>
    </w:p>
    <w:p w14:paraId="7AFC0C22" w14:textId="77777777" w:rsidR="00D74A11" w:rsidRDefault="00D74A11" w:rsidP="00D74A11">
      <w:pPr>
        <w:pStyle w:val="SingleTxtG"/>
        <w:ind w:firstLine="567"/>
      </w:pPr>
      <w:r>
        <w:t>(</w:t>
      </w:r>
      <w:r w:rsidR="00931421" w:rsidRPr="00FA156A">
        <w:t>f)</w:t>
      </w:r>
      <w:r>
        <w:tab/>
      </w:r>
      <w:r w:rsidR="00931421" w:rsidRPr="00FA156A">
        <w:t xml:space="preserve">safe, adequate, and maintained infrastructure; </w:t>
      </w:r>
    </w:p>
    <w:p w14:paraId="5B909F8C" w14:textId="77777777" w:rsidR="00D74A11" w:rsidRDefault="00D74A11" w:rsidP="00D74A11">
      <w:pPr>
        <w:pStyle w:val="SingleTxtG"/>
        <w:ind w:firstLine="567"/>
      </w:pPr>
      <w:r>
        <w:t>(</w:t>
      </w:r>
      <w:r w:rsidR="00931421" w:rsidRPr="00FA156A">
        <w:t>g)</w:t>
      </w:r>
      <w:r>
        <w:tab/>
      </w:r>
      <w:r w:rsidR="00931421" w:rsidRPr="00FA156A">
        <w:t xml:space="preserve">safe and protective learning environments; </w:t>
      </w:r>
    </w:p>
    <w:p w14:paraId="3F023F76" w14:textId="77777777" w:rsidR="00D74A11" w:rsidRDefault="00D74A11" w:rsidP="00D74A11">
      <w:pPr>
        <w:pStyle w:val="SingleTxtG"/>
        <w:ind w:firstLine="567"/>
      </w:pPr>
      <w:r>
        <w:t>(</w:t>
      </w:r>
      <w:r w:rsidR="00931421" w:rsidRPr="00FA156A">
        <w:t>h)</w:t>
      </w:r>
      <w:r>
        <w:tab/>
      </w:r>
      <w:r w:rsidR="00931421" w:rsidRPr="00FA156A">
        <w:t>library, computer facilities and information technology</w:t>
      </w:r>
      <w:r w:rsidR="00931421" w:rsidRPr="000E1C00">
        <w:t xml:space="preserve"> </w:t>
      </w:r>
      <w:r w:rsidR="00931421" w:rsidRPr="00FA156A">
        <w:t>where appropriate; and</w:t>
      </w:r>
    </w:p>
    <w:p w14:paraId="5EAF3A18" w14:textId="238D11FC" w:rsidR="00931421" w:rsidRPr="00FA156A" w:rsidRDefault="00D74A11" w:rsidP="00D74A11">
      <w:pPr>
        <w:pStyle w:val="SingleTxtG"/>
        <w:ind w:firstLine="567"/>
      </w:pPr>
      <w:r>
        <w:t>(</w:t>
      </w:r>
      <w:proofErr w:type="spellStart"/>
      <w:r w:rsidR="00931421" w:rsidRPr="00FA156A">
        <w:t>i</w:t>
      </w:r>
      <w:proofErr w:type="spellEnd"/>
      <w:r w:rsidR="00931421" w:rsidRPr="00FA156A">
        <w:t>)</w:t>
      </w:r>
      <w:r>
        <w:tab/>
      </w:r>
      <w:r w:rsidR="00931421" w:rsidRPr="00FA156A">
        <w:t>decent working conditions, and social protection for staff. Arrangements necessary to construct, maintain and manage service delivery in relation to educational infrastructure and equipment are also necessary.</w:t>
      </w:r>
      <w:r w:rsidR="00070897">
        <w:rPr>
          <w:rStyle w:val="FootnoteReference"/>
        </w:rPr>
        <w:footnoteReference w:id="104"/>
      </w:r>
      <w:r w:rsidR="00931421" w:rsidRPr="00FA156A">
        <w:t xml:space="preserve"> </w:t>
      </w:r>
    </w:p>
    <w:p w14:paraId="5FCF6CB1" w14:textId="558748C6" w:rsidR="00931421" w:rsidRPr="00FA156A" w:rsidRDefault="00D74A11" w:rsidP="00D74A11">
      <w:pPr>
        <w:pStyle w:val="SingleTxtG"/>
      </w:pPr>
      <w:r>
        <w:t>8</w:t>
      </w:r>
      <w:r w:rsidR="001C6403">
        <w:t>7</w:t>
      </w:r>
      <w:r>
        <w:t>.</w:t>
      </w:r>
      <w:r>
        <w:tab/>
      </w:r>
      <w:r w:rsidR="00931421" w:rsidRPr="00FA156A">
        <w:t xml:space="preserve">As education </w:t>
      </w:r>
      <w:r w:rsidR="00931421">
        <w:t xml:space="preserve">is </w:t>
      </w:r>
      <w:r w:rsidR="00931421" w:rsidRPr="00FA156A">
        <w:t>not reduc</w:t>
      </w:r>
      <w:r w:rsidR="00931421">
        <w:t xml:space="preserve">ible </w:t>
      </w:r>
      <w:r w:rsidR="00931421" w:rsidRPr="00FA156A">
        <w:t xml:space="preserve">to schooling, one aspect the Special Rapporteur intends to address is how </w:t>
      </w:r>
      <w:proofErr w:type="gramStart"/>
      <w:r w:rsidR="00931421" w:rsidRPr="00FA156A">
        <w:t>far</w:t>
      </w:r>
      <w:proofErr w:type="gramEnd"/>
      <w:r w:rsidR="00931421" w:rsidRPr="00FA156A">
        <w:t xml:space="preserve"> the concept of availability must be broadened to include, for example, the availability of books as well as digital technologies not just in educational institutions but in homes, community centres and libraries, inter alia. The “right to read” for example,</w:t>
      </w:r>
      <w:r w:rsidR="00070897">
        <w:rPr>
          <w:rStyle w:val="FootnoteReference"/>
        </w:rPr>
        <w:footnoteReference w:id="105"/>
      </w:r>
      <w:r w:rsidR="00931421" w:rsidRPr="00FA156A">
        <w:t xml:space="preserve"> should be expanded beyond school walls.</w:t>
      </w:r>
    </w:p>
    <w:p w14:paraId="44FAEE6E" w14:textId="72AE4DDE" w:rsidR="00931421" w:rsidRPr="00FA156A" w:rsidRDefault="00D74A11" w:rsidP="00D74A11">
      <w:pPr>
        <w:pStyle w:val="SingleTxtG"/>
      </w:pPr>
      <w:r>
        <w:lastRenderedPageBreak/>
        <w:t>8</w:t>
      </w:r>
      <w:r w:rsidR="001C6403">
        <w:t>8</w:t>
      </w:r>
      <w:r>
        <w:t>.</w:t>
      </w:r>
      <w:r>
        <w:tab/>
      </w:r>
      <w:r w:rsidR="00931421" w:rsidRPr="00FA156A">
        <w:t>Accessibility, which includes physical, economic, and information accessibility, requires that educational institutions and programmes be accessible to everyone without any discrimination. The information element refers to the right to seek, receive and impart information concerning education issues and is linked to the right to participate in decision-making processes that may affect rights.</w:t>
      </w:r>
      <w:r w:rsidR="00071712">
        <w:rPr>
          <w:rStyle w:val="FootnoteReference"/>
        </w:rPr>
        <w:footnoteReference w:id="106"/>
      </w:r>
      <w:r w:rsidR="00931421" w:rsidRPr="00FA156A">
        <w:t xml:space="preserve"> </w:t>
      </w:r>
      <w:r w:rsidR="00931421">
        <w:t xml:space="preserve">This </w:t>
      </w:r>
      <w:r w:rsidR="00931421" w:rsidRPr="00FA156A">
        <w:t xml:space="preserve">also includes information </w:t>
      </w:r>
      <w:r w:rsidR="00931421">
        <w:t xml:space="preserve">necessary </w:t>
      </w:r>
      <w:r w:rsidR="00931421" w:rsidRPr="00FA156A">
        <w:t xml:space="preserve">for learners, education staff, as well as families and communities, </w:t>
      </w:r>
      <w:r w:rsidR="00931421">
        <w:t xml:space="preserve">on </w:t>
      </w:r>
      <w:r w:rsidR="00931421" w:rsidRPr="00FA156A">
        <w:t>how to use, maintain and repair educational infrastructure and equipment, including digital one</w:t>
      </w:r>
      <w:r w:rsidR="00931421">
        <w:t>s</w:t>
      </w:r>
      <w:r w:rsidR="00931421" w:rsidRPr="00FA156A">
        <w:t xml:space="preserve">. </w:t>
      </w:r>
    </w:p>
    <w:p w14:paraId="4AD358AA" w14:textId="587EF770" w:rsidR="00931421" w:rsidRPr="00FA156A" w:rsidRDefault="00D74A11" w:rsidP="00D74A11">
      <w:pPr>
        <w:pStyle w:val="SingleTxtG"/>
      </w:pPr>
      <w:r>
        <w:t>8</w:t>
      </w:r>
      <w:r w:rsidR="001C6403">
        <w:t>9</w:t>
      </w:r>
      <w:r>
        <w:t>.</w:t>
      </w:r>
      <w:r>
        <w:tab/>
      </w:r>
      <w:r w:rsidR="00931421" w:rsidRPr="00FA156A">
        <w:t>The Committee on Economic, Social and Cultural Rights specified that the accessibility element can also be fulfilled via modern technology and distance learning programme</w:t>
      </w:r>
      <w:r w:rsidR="00931421">
        <w:t>s</w:t>
      </w:r>
      <w:r w:rsidR="00931421" w:rsidRPr="00FA156A">
        <w:t>, particularly in emergencies. However, most accessible approaches to distance learning may be low-tech or no-tech.</w:t>
      </w:r>
      <w:r w:rsidR="00164472">
        <w:rPr>
          <w:rStyle w:val="FootnoteReference"/>
        </w:rPr>
        <w:footnoteReference w:id="107"/>
      </w:r>
      <w:r w:rsidR="00931421" w:rsidRPr="00FA156A">
        <w:t xml:space="preserve"> Furthermore, digital technology should not be used as a justification for the unavailability of schools or campuses for all learners</w:t>
      </w:r>
      <w:r w:rsidR="00931421">
        <w:t>;</w:t>
      </w:r>
      <w:r w:rsidR="00931421" w:rsidRPr="00FA156A">
        <w:t xml:space="preserve"> </w:t>
      </w:r>
      <w:r w:rsidR="00931421">
        <w:t>it should</w:t>
      </w:r>
      <w:r w:rsidR="00931421" w:rsidRPr="00FA156A">
        <w:t xml:space="preserve"> aim </w:t>
      </w:r>
      <w:r w:rsidR="00931421">
        <w:t xml:space="preserve">to </w:t>
      </w:r>
      <w:r w:rsidR="00931421" w:rsidRPr="00FA156A">
        <w:t>support – and not replac</w:t>
      </w:r>
      <w:r w:rsidR="00931421">
        <w:t>e</w:t>
      </w:r>
      <w:r w:rsidR="00931421" w:rsidRPr="00FA156A">
        <w:t xml:space="preserve"> – schools and teachers.</w:t>
      </w:r>
      <w:r w:rsidR="00164472">
        <w:rPr>
          <w:rStyle w:val="FootnoteReference"/>
        </w:rPr>
        <w:footnoteReference w:id="108"/>
      </w:r>
      <w:r w:rsidR="00931421" w:rsidRPr="00FA156A">
        <w:t xml:space="preserve"> Internet shutdowns are also problematic for the accessib</w:t>
      </w:r>
      <w:r w:rsidR="00931421">
        <w:t>i</w:t>
      </w:r>
      <w:r w:rsidR="00931421" w:rsidRPr="00FA156A">
        <w:t>l</w:t>
      </w:r>
      <w:r w:rsidR="00931421">
        <w:t xml:space="preserve">ity </w:t>
      </w:r>
      <w:r w:rsidR="00931421" w:rsidRPr="00FA156A">
        <w:t>e</w:t>
      </w:r>
      <w:r w:rsidR="00931421">
        <w:t>lement</w:t>
      </w:r>
      <w:r w:rsidR="00931421" w:rsidRPr="00FA156A">
        <w:t xml:space="preserve"> as they can, for example, foreclose access to online classes and information needed for studies</w:t>
      </w:r>
      <w:r w:rsidR="00931421">
        <w:t>,</w:t>
      </w:r>
      <w:r w:rsidR="00931421" w:rsidRPr="00FA156A">
        <w:rPr>
          <w:vertAlign w:val="superscript"/>
        </w:rPr>
        <w:t xml:space="preserve"> </w:t>
      </w:r>
      <w:r w:rsidR="00931421" w:rsidRPr="00FA156A">
        <w:t xml:space="preserve"> </w:t>
      </w:r>
      <w:r w:rsidR="00931421">
        <w:t>and prevent registering for exams.</w:t>
      </w:r>
    </w:p>
    <w:p w14:paraId="1797C646" w14:textId="09ABAC3C" w:rsidR="00931421" w:rsidRPr="00FA156A" w:rsidRDefault="001C6403" w:rsidP="00D74A11">
      <w:pPr>
        <w:pStyle w:val="SingleTxtG"/>
      </w:pPr>
      <w:r>
        <w:t>90</w:t>
      </w:r>
      <w:r w:rsidR="00D74A11">
        <w:t>.</w:t>
      </w:r>
      <w:r w:rsidR="00D74A11">
        <w:tab/>
      </w:r>
      <w:r w:rsidR="00931421" w:rsidRPr="00FA156A">
        <w:t>Acceptability requires</w:t>
      </w:r>
      <w:r w:rsidR="00931421">
        <w:t>,</w:t>
      </w:r>
      <w:r w:rsidR="00931421" w:rsidRPr="00FA156A">
        <w:t xml:space="preserve"> </w:t>
      </w:r>
      <w:r w:rsidR="00931421" w:rsidRPr="00FA156A">
        <w:rPr>
          <w:shd w:val="clear" w:color="auto" w:fill="FFFFFF"/>
        </w:rPr>
        <w:t>inter alia</w:t>
      </w:r>
      <w:r w:rsidR="00931421">
        <w:rPr>
          <w:shd w:val="clear" w:color="auto" w:fill="FFFFFF"/>
        </w:rPr>
        <w:t>,</w:t>
      </w:r>
      <w:r w:rsidR="00931421" w:rsidRPr="00FA156A">
        <w:rPr>
          <w:shd w:val="clear" w:color="auto" w:fill="FFFFFF"/>
        </w:rPr>
        <w:t xml:space="preserve"> that the form and substance of education, including curricula and teaching methodologies, are acceptable </w:t>
      </w:r>
      <w:r w:rsidR="00931421" w:rsidRPr="00FA156A">
        <w:t>(e.g. relevant, culturally appropriate and of good quality)</w:t>
      </w:r>
      <w:r w:rsidR="00931421" w:rsidRPr="00FA156A">
        <w:rPr>
          <w:shd w:val="clear" w:color="auto" w:fill="FFFFFF"/>
        </w:rPr>
        <w:t xml:space="preserve"> to students and, in appropriate cases, parents or legal guardians; and are directed towards the aims and objectives guaranteed under international human rights law. Curricula should be human rights compliant, including being free from stereotypes. This condition particularly </w:t>
      </w:r>
      <w:r w:rsidR="00931421" w:rsidRPr="00FA156A">
        <w:t>entails the recognition of cultural rights within education systems, to ensure their relevance.</w:t>
      </w:r>
      <w:r w:rsidR="00164472">
        <w:rPr>
          <w:rStyle w:val="FootnoteReference"/>
        </w:rPr>
        <w:footnoteReference w:id="109"/>
      </w:r>
      <w:r w:rsidR="00931421" w:rsidRPr="00FA156A">
        <w:t xml:space="preserve"> It also requires, for example, having discussions about </w:t>
      </w:r>
      <w:r w:rsidR="00931421">
        <w:t xml:space="preserve">the </w:t>
      </w:r>
      <w:r w:rsidR="00931421" w:rsidRPr="00FA156A">
        <w:t>possible effects of the digitalization of education, such as student isolation and health, students’ development, respect for the right to privacy of students and data protection.</w:t>
      </w:r>
      <w:r w:rsidR="00164472">
        <w:rPr>
          <w:rStyle w:val="FootnoteReference"/>
        </w:rPr>
        <w:footnoteReference w:id="110"/>
      </w:r>
    </w:p>
    <w:p w14:paraId="34CED105" w14:textId="20A1DA65" w:rsidR="00931421" w:rsidRPr="00FA156A" w:rsidRDefault="00D74A11" w:rsidP="00D74A11">
      <w:pPr>
        <w:pStyle w:val="SingleTxtG"/>
      </w:pPr>
      <w:r>
        <w:t>9</w:t>
      </w:r>
      <w:r w:rsidR="001C6403">
        <w:t>1</w:t>
      </w:r>
      <w:r>
        <w:t>.</w:t>
      </w:r>
      <w:r>
        <w:tab/>
      </w:r>
      <w:r w:rsidR="00931421" w:rsidRPr="00FA156A">
        <w:t>Adaptability is a continuous system-wide ever-evolving requirement. It requires that education be flexible so it can adapt to the needs of changing societies and communities and the needs of students in diverse soci</w:t>
      </w:r>
      <w:r w:rsidR="00931421">
        <w:t>o-</w:t>
      </w:r>
      <w:r w:rsidR="00931421" w:rsidRPr="00FA156A">
        <w:t>cultural settings, taking into consideration, particularly, migration and refugee flows, new conflicts, environmental disasters and climate change</w:t>
      </w:r>
      <w:r w:rsidR="00931421">
        <w:t>, as well as crises like the Covid19 pandemic</w:t>
      </w:r>
      <w:r w:rsidR="00931421" w:rsidRPr="00FA156A">
        <w:t xml:space="preserve">. </w:t>
      </w:r>
      <w:r w:rsidR="00931421">
        <w:t>For example, Ukraine reported on efforts made to ensure the continuation of education, including for learners forced to relocate abroad.</w:t>
      </w:r>
      <w:r w:rsidR="00164472">
        <w:rPr>
          <w:rStyle w:val="FootnoteReference"/>
        </w:rPr>
        <w:footnoteReference w:id="111"/>
      </w:r>
      <w:r w:rsidR="00931421" w:rsidRPr="004F411D">
        <w:t xml:space="preserve"> </w:t>
      </w:r>
      <w:r w:rsidR="00931421">
        <w:t>Adaptation</w:t>
      </w:r>
      <w:r w:rsidR="00931421" w:rsidRPr="00FA156A">
        <w:t xml:space="preserve"> necessitates measures to develop multiple talents and literacies – digital, scientific, textual, ecological, mathematical – enabling individuals to enhance their agency facing the rapid spread of misinformation and disinformation</w:t>
      </w:r>
      <w:r w:rsidR="00931421">
        <w:t>,</w:t>
      </w:r>
      <w:r w:rsidR="00931421" w:rsidRPr="00FA156A">
        <w:t xml:space="preserve"> and identify true from false information.</w:t>
      </w:r>
      <w:r w:rsidR="00164472">
        <w:rPr>
          <w:rStyle w:val="FootnoteReference"/>
        </w:rPr>
        <w:footnoteReference w:id="112"/>
      </w:r>
    </w:p>
    <w:p w14:paraId="05991974" w14:textId="362880BF" w:rsidR="00931421" w:rsidRPr="00FA156A" w:rsidRDefault="00D74A11" w:rsidP="00D74A11">
      <w:pPr>
        <w:pStyle w:val="SingleTxtG"/>
      </w:pPr>
      <w:r>
        <w:t>9</w:t>
      </w:r>
      <w:r w:rsidR="001C6403">
        <w:t>2</w:t>
      </w:r>
      <w:r>
        <w:t>.</w:t>
      </w:r>
      <w:r>
        <w:tab/>
      </w:r>
      <w:r w:rsidR="00931421" w:rsidRPr="00FA156A">
        <w:t>Implementing the 4As framework demands the involvement of numerous ministries other than education</w:t>
      </w:r>
      <w:r w:rsidR="00931421">
        <w:t xml:space="preserve"> (e.g. water and transport)</w:t>
      </w:r>
      <w:r w:rsidR="00931421" w:rsidRPr="00FA156A">
        <w:t>, as well as close cooperation among institutions, teachers, families and communities to ensure that the needs of learners and their families are understood</w:t>
      </w:r>
      <w:r w:rsidR="00931421">
        <w:t xml:space="preserve"> and incorporated</w:t>
      </w:r>
      <w:r w:rsidR="00931421" w:rsidRPr="00FA156A">
        <w:t>. This is at odds with certain authoritarian and top-down attitudes reinforced in times of crisis, as exemplified in many parts of the world</w:t>
      </w:r>
      <w:r w:rsidR="00931421">
        <w:t xml:space="preserve"> during the Covid-19 pandemic</w:t>
      </w:r>
      <w:r w:rsidR="00931421" w:rsidRPr="00FA156A">
        <w:t>.</w:t>
      </w:r>
      <w:r w:rsidR="00C62174">
        <w:rPr>
          <w:rStyle w:val="FootnoteReference"/>
        </w:rPr>
        <w:footnoteReference w:id="113"/>
      </w:r>
      <w:r w:rsidR="00931421" w:rsidRPr="00FA156A">
        <w:t xml:space="preserve"> </w:t>
      </w:r>
    </w:p>
    <w:p w14:paraId="00BFB6BA" w14:textId="7187684C" w:rsidR="00931421" w:rsidRPr="00FA156A" w:rsidRDefault="00D74A11" w:rsidP="00D74A11">
      <w:pPr>
        <w:pStyle w:val="SingleTxtG"/>
      </w:pPr>
      <w:r>
        <w:t>9</w:t>
      </w:r>
      <w:r w:rsidR="001C6403">
        <w:t>3</w:t>
      </w:r>
      <w:r>
        <w:t>.</w:t>
      </w:r>
      <w:r>
        <w:tab/>
      </w:r>
      <w:r w:rsidR="00931421" w:rsidRPr="00FA156A">
        <w:t xml:space="preserve">The Special Rapporteur notes that, beyond the original 4As framework, there has been an evolution towards adding accountability as a fifth dimension, as a means to better understand the status of the right to education and </w:t>
      </w:r>
      <w:r w:rsidR="00931421">
        <w:t xml:space="preserve">to </w:t>
      </w:r>
      <w:r w:rsidR="00931421" w:rsidRPr="00FA156A">
        <w:t>encourage States to adopt and implement solid legal and policy frameworks protecting this right.</w:t>
      </w:r>
      <w:r w:rsidR="00C62174">
        <w:rPr>
          <w:rStyle w:val="FootnoteReference"/>
        </w:rPr>
        <w:footnoteReference w:id="114"/>
      </w:r>
    </w:p>
    <w:p w14:paraId="6AC690E8" w14:textId="1B8DA555" w:rsidR="00931421" w:rsidRPr="005C78A6" w:rsidRDefault="005C78A6" w:rsidP="005C78A6">
      <w:pPr>
        <w:pStyle w:val="H1G"/>
      </w:pPr>
      <w:r>
        <w:lastRenderedPageBreak/>
        <w:tab/>
      </w:r>
      <w:r w:rsidRPr="005C78A6">
        <w:t>E.</w:t>
      </w:r>
      <w:r>
        <w:tab/>
      </w:r>
      <w:r w:rsidR="00931421" w:rsidRPr="005C78A6">
        <w:t xml:space="preserve">Controlling the digitalization of education </w:t>
      </w:r>
    </w:p>
    <w:p w14:paraId="6E6A2601" w14:textId="5E6F16B0" w:rsidR="00931421" w:rsidRPr="003E29DD" w:rsidRDefault="00BC08B7" w:rsidP="005C78A6">
      <w:pPr>
        <w:pStyle w:val="SingleTxtG"/>
      </w:pPr>
      <w:r>
        <w:t>9</w:t>
      </w:r>
      <w:r w:rsidR="001C6403">
        <w:t>4</w:t>
      </w:r>
      <w:r>
        <w:t>.</w:t>
      </w:r>
      <w:r>
        <w:tab/>
      </w:r>
      <w:r w:rsidR="00931421" w:rsidRPr="003E29DD">
        <w:t>The impact of the digitalization of education on the right to education is a central concern of the mandate. The Special Rapporteur agrees with her predecessors that digital technology opens new learning pathways but brings serious challenges. A rigorous stock-taking on “techno</w:t>
      </w:r>
      <w:r w:rsidR="00931421">
        <w:t>-</w:t>
      </w:r>
      <w:r w:rsidR="00931421" w:rsidRPr="003E29DD">
        <w:t>solutionism” is yet to take place, particularly on lessons learned during the Covid-19 pandemic. We do know that students from already disadvantaged backgrounds suffered the most through lack of access to good teaching and social isolation. Online learning opportunities were hampered by a lack of access to digital devices and poor internet connectivity. Usage must not exacerbate educational inequalities in a context where the gender digital divide is increasing, nor lead to human rights violations within education, particularly of the right to freedom of opinion and expression, information, privacy, health, cultural rights as well as academic freedoms.</w:t>
      </w:r>
      <w:r w:rsidR="00C62174">
        <w:rPr>
          <w:rStyle w:val="FootnoteReference"/>
        </w:rPr>
        <w:footnoteReference w:id="115"/>
      </w:r>
      <w:r w:rsidR="00931421" w:rsidRPr="003E29DD">
        <w:t xml:space="preserve"> On-line safety, digital literacy, accessible learning platforms and mental health support are also critical in future policy development.</w:t>
      </w:r>
    </w:p>
    <w:p w14:paraId="49F66763" w14:textId="4606C9E3" w:rsidR="00931421" w:rsidRPr="005F3230" w:rsidRDefault="00BC08B7" w:rsidP="005C78A6">
      <w:pPr>
        <w:pStyle w:val="SingleTxtG"/>
      </w:pPr>
      <w:r>
        <w:t>9</w:t>
      </w:r>
      <w:r w:rsidR="001C6403">
        <w:t>5</w:t>
      </w:r>
      <w:r>
        <w:t>.</w:t>
      </w:r>
      <w:r>
        <w:tab/>
      </w:r>
      <w:r w:rsidR="00931421">
        <w:t>A</w:t>
      </w:r>
      <w:r w:rsidR="00931421" w:rsidRPr="005F3230">
        <w:t xml:space="preserve"> critical emerging issue is artificial intelligence</w:t>
      </w:r>
      <w:r w:rsidR="00931421" w:rsidRPr="005F3230">
        <w:rPr>
          <w:rStyle w:val="CommentReference"/>
        </w:rPr>
        <w:t>,</w:t>
      </w:r>
      <w:r w:rsidR="00931421">
        <w:t xml:space="preserve"> the</w:t>
      </w:r>
      <w:r w:rsidR="00931421" w:rsidRPr="005F3230">
        <w:t xml:space="preserve"> impact </w:t>
      </w:r>
      <w:r w:rsidR="00931421">
        <w:t xml:space="preserve">of which remains </w:t>
      </w:r>
      <w:r w:rsidR="00931421" w:rsidRPr="005F3230">
        <w:t>little understood</w:t>
      </w:r>
      <w:r w:rsidR="00931421">
        <w:t xml:space="preserve"> while it </w:t>
      </w:r>
      <w:r w:rsidR="00931421" w:rsidRPr="005F3230">
        <w:t>can have important consequences for human creativity, acquiring knowledge</w:t>
      </w:r>
      <w:r w:rsidR="00931421">
        <w:t xml:space="preserve">, intellectual and cultural property rights </w:t>
      </w:r>
      <w:r w:rsidR="00931421" w:rsidRPr="005F3230">
        <w:t>and gauging learning. This needs urgent attention, as investments rapidly expand this technology.</w:t>
      </w:r>
      <w:r w:rsidR="00931421">
        <w:t xml:space="preserve"> </w:t>
      </w:r>
      <w:r w:rsidR="00931421" w:rsidRPr="005F3230">
        <w:t>The Special Rapporteur welcomes the UNESCO Recommendation on the Ethics of Artificial Intelligence</w:t>
      </w:r>
      <w:r w:rsidR="00931421">
        <w:t>, and notes precautionary measures already adopted by some States</w:t>
      </w:r>
      <w:r w:rsidR="00931421" w:rsidRPr="005F3230">
        <w:t>.</w:t>
      </w:r>
      <w:r w:rsidR="00931421">
        <w:t xml:space="preserve"> </w:t>
      </w:r>
      <w:r w:rsidR="00931421" w:rsidRPr="005F3230">
        <w:t>Italy</w:t>
      </w:r>
      <w:r w:rsidR="00931421">
        <w:t>, for example,</w:t>
      </w:r>
      <w:r w:rsidR="00931421" w:rsidRPr="005F3230">
        <w:t xml:space="preserve"> </w:t>
      </w:r>
      <w:r w:rsidR="00931421">
        <w:t>is reported to have</w:t>
      </w:r>
      <w:r w:rsidR="00931421" w:rsidRPr="005F3230">
        <w:t xml:space="preserve"> recently banned </w:t>
      </w:r>
      <w:proofErr w:type="spellStart"/>
      <w:r w:rsidR="00931421" w:rsidRPr="005F3230">
        <w:t>ChatGPT</w:t>
      </w:r>
      <w:proofErr w:type="spellEnd"/>
      <w:r w:rsidR="00931421" w:rsidRPr="005F3230">
        <w:t xml:space="preserve"> due to privacy concerns of students and minors.</w:t>
      </w:r>
      <w:r w:rsidR="00C62174">
        <w:rPr>
          <w:rStyle w:val="FootnoteReference"/>
        </w:rPr>
        <w:footnoteReference w:id="116"/>
      </w:r>
      <w:r w:rsidR="00931421" w:rsidRPr="005F3230">
        <w:t xml:space="preserve"> Further, it is important to examine who populates digital spaces, in which languages</w:t>
      </w:r>
      <w:r w:rsidR="00931421">
        <w:t>,</w:t>
      </w:r>
      <w:r w:rsidR="00931421" w:rsidRPr="005F3230">
        <w:t xml:space="preserve"> with which cultural backgrounds</w:t>
      </w:r>
      <w:r w:rsidR="00931421">
        <w:t>,</w:t>
      </w:r>
      <w:r w:rsidR="00931421" w:rsidRPr="005F3230">
        <w:t xml:space="preserve"> and to secure the protection of cultural diversity in such context.</w:t>
      </w:r>
      <w:r w:rsidR="0003626E">
        <w:rPr>
          <w:rStyle w:val="FootnoteReference"/>
        </w:rPr>
        <w:footnoteReference w:id="117"/>
      </w:r>
      <w:r w:rsidR="00931421" w:rsidRPr="005F3230">
        <w:t xml:space="preserve"> </w:t>
      </w:r>
      <w:r w:rsidR="00931421">
        <w:t>A</w:t>
      </w:r>
      <w:r w:rsidR="00931421" w:rsidRPr="005F3230">
        <w:t>lgorithms are not neutral</w:t>
      </w:r>
      <w:r w:rsidR="00931421">
        <w:t xml:space="preserve">. These are </w:t>
      </w:r>
      <w:r w:rsidR="00931421" w:rsidRPr="005F3230">
        <w:t xml:space="preserve">developed </w:t>
      </w:r>
      <w:r w:rsidR="00931421">
        <w:t>using</w:t>
      </w:r>
      <w:r w:rsidR="00931421" w:rsidRPr="005F3230">
        <w:t xml:space="preserve"> metadata that exclude information on marginalized groups and </w:t>
      </w:r>
      <w:r w:rsidR="00931421">
        <w:t>are</w:t>
      </w:r>
      <w:r w:rsidR="00931421" w:rsidRPr="005F3230">
        <w:t xml:space="preserve"> therefore </w:t>
      </w:r>
      <w:r w:rsidR="00931421">
        <w:t xml:space="preserve">unrepresentative or </w:t>
      </w:r>
      <w:r w:rsidR="00931421" w:rsidRPr="005F3230">
        <w:t xml:space="preserve">biased. </w:t>
      </w:r>
      <w:r w:rsidR="00931421">
        <w:t>Separately</w:t>
      </w:r>
      <w:r w:rsidR="00931421" w:rsidRPr="005F3230">
        <w:t xml:space="preserve">, civil society organizations have called for a ban on biometric recognition systems that enable mass surveillance. The Special Rapporteur notes with interest </w:t>
      </w:r>
      <w:r w:rsidR="00931421">
        <w:t xml:space="preserve">reports </w:t>
      </w:r>
      <w:r w:rsidR="00931421" w:rsidRPr="005F3230">
        <w:t>that data protection authorities in France and Sweden rejected consent as a legal basis for facial recognition systems in schools given the power imbalance between students and schools and directed schools to use less intrusive means to track attendance or give access to school buildings.</w:t>
      </w:r>
      <w:r w:rsidR="006505EA">
        <w:rPr>
          <w:rStyle w:val="FootnoteReference"/>
        </w:rPr>
        <w:footnoteReference w:id="118"/>
      </w:r>
      <w:r w:rsidR="00931421" w:rsidRPr="005F3230">
        <w:t xml:space="preserve"> </w:t>
      </w:r>
      <w:r w:rsidR="00931421" w:rsidRPr="005F3230" w:rsidDel="008C2B6B">
        <w:t>So-called ‘enhancement technologies’ are another type of ‘emerging technology’ that can potentially impact the right to education.</w:t>
      </w:r>
      <w:r w:rsidR="006505EA">
        <w:rPr>
          <w:rStyle w:val="FootnoteReference"/>
        </w:rPr>
        <w:footnoteReference w:id="119"/>
      </w:r>
    </w:p>
    <w:p w14:paraId="67D28A31" w14:textId="517A6192" w:rsidR="00931421" w:rsidRPr="003E29DD" w:rsidRDefault="00BC08B7" w:rsidP="005C78A6">
      <w:pPr>
        <w:pStyle w:val="SingleTxtG"/>
      </w:pPr>
      <w:r>
        <w:t>9</w:t>
      </w:r>
      <w:r w:rsidR="001C6403">
        <w:t>6</w:t>
      </w:r>
      <w:r>
        <w:t>.</w:t>
      </w:r>
      <w:r>
        <w:tab/>
      </w:r>
      <w:r w:rsidR="00931421" w:rsidRPr="003E29DD">
        <w:t>Another aspect of the digital discussion is whether</w:t>
      </w:r>
      <w:r w:rsidR="00931421">
        <w:t>,</w:t>
      </w:r>
      <w:r w:rsidR="00931421" w:rsidRPr="003E29DD">
        <w:t xml:space="preserve"> and to what extent</w:t>
      </w:r>
      <w:r w:rsidR="00931421">
        <w:t>,</w:t>
      </w:r>
      <w:r w:rsidR="00931421" w:rsidRPr="003E29DD">
        <w:t xml:space="preserve"> a right to internet connectivity should be recognized as one aspect of the right to education. Several elements must be considered. Firstly, States should support everyone’s right of access to, and use of, information and communications technology in self-determined, empowering ways, most notably through ensuring basic services, including electricity and telephone and computer/Internet connections.</w:t>
      </w:r>
      <w:r w:rsidR="006505EA">
        <w:rPr>
          <w:rStyle w:val="FootnoteReference"/>
        </w:rPr>
        <w:footnoteReference w:id="120"/>
      </w:r>
      <w:r w:rsidR="00931421" w:rsidRPr="003E29DD">
        <w:t xml:space="preserve"> Further, the understanding of the right to education should be broadened to include digital competencies and access to the internet as a means of supporting the right to education, the right to information and cultural rights.</w:t>
      </w:r>
      <w:r w:rsidR="006505EA">
        <w:rPr>
          <w:rStyle w:val="FootnoteReference"/>
        </w:rPr>
        <w:footnoteReference w:id="121"/>
      </w:r>
      <w:r w:rsidR="00931421" w:rsidRPr="003E29DD">
        <w:t xml:space="preserve"> Additionally, while access to quality education may be progressively realized, the right to non-discrimination is immediately applicable. In this light, the right to education guarantees access to the internet insofar as this is necessary to ensure equitable access and equal participation</w:t>
      </w:r>
      <w:r w:rsidR="00931421">
        <w:t>.</w:t>
      </w:r>
      <w:r w:rsidR="006505EA">
        <w:rPr>
          <w:rStyle w:val="FootnoteReference"/>
        </w:rPr>
        <w:footnoteReference w:id="122"/>
      </w:r>
      <w:r w:rsidR="00931421" w:rsidRPr="003E29DD">
        <w:t xml:space="preserve"> </w:t>
      </w:r>
      <w:r w:rsidR="00931421">
        <w:t>A</w:t>
      </w:r>
      <w:r w:rsidR="00931421" w:rsidRPr="003E29DD">
        <w:t>s stated in UNESCO’s 2021 Rewired Global Declaration on Connectivity for Education: “Connectivity initiatives should be guided by an ethic of inclusion and begin with those facing disadvantage.”</w:t>
      </w:r>
      <w:r w:rsidR="006505EA">
        <w:rPr>
          <w:rStyle w:val="FootnoteReference"/>
        </w:rPr>
        <w:footnoteReference w:id="123"/>
      </w:r>
      <w:r w:rsidR="00931421" w:rsidRPr="003E29DD">
        <w:t xml:space="preserve"> </w:t>
      </w:r>
    </w:p>
    <w:p w14:paraId="5F8097BE" w14:textId="470F71F7" w:rsidR="00931421" w:rsidRPr="005F3230" w:rsidRDefault="00BC08B7" w:rsidP="005C78A6">
      <w:pPr>
        <w:pStyle w:val="SingleTxtG"/>
      </w:pPr>
      <w:r>
        <w:t>9</w:t>
      </w:r>
      <w:r w:rsidR="001C6403">
        <w:t>7</w:t>
      </w:r>
      <w:r>
        <w:t>.</w:t>
      </w:r>
      <w:r>
        <w:tab/>
      </w:r>
      <w:r w:rsidR="00931421">
        <w:t>T</w:t>
      </w:r>
      <w:r w:rsidR="00931421" w:rsidRPr="005F3230">
        <w:t>hese issues must be addressed while understanding the profit</w:t>
      </w:r>
      <w:r w:rsidR="00931421">
        <w:t>s</w:t>
      </w:r>
      <w:r w:rsidR="00931421" w:rsidRPr="005F3230">
        <w:t xml:space="preserve">-driven agenda of digital technology companies. The digitalization of education should be </w:t>
      </w:r>
      <w:r w:rsidR="00931421">
        <w:t>focused</w:t>
      </w:r>
      <w:r w:rsidR="00931421" w:rsidRPr="005F3230">
        <w:t xml:space="preserve"> </w:t>
      </w:r>
      <w:r w:rsidR="00931421">
        <w:t>on</w:t>
      </w:r>
      <w:r w:rsidR="00931421" w:rsidRPr="005F3230">
        <w:t xml:space="preserve"> </w:t>
      </w:r>
      <w:r w:rsidR="00931421">
        <w:t xml:space="preserve">adding </w:t>
      </w:r>
      <w:r w:rsidR="00931421" w:rsidRPr="0089072C">
        <w:lastRenderedPageBreak/>
        <w:t xml:space="preserve">significant value </w:t>
      </w:r>
      <w:r w:rsidR="00931421">
        <w:t>to improving</w:t>
      </w:r>
      <w:r w:rsidR="00931421" w:rsidRPr="005F3230">
        <w:t xml:space="preserve"> implementation of the right to education for all. The best interests of students</w:t>
      </w:r>
      <w:r w:rsidR="00931421">
        <w:t xml:space="preserve"> </w:t>
      </w:r>
      <w:r w:rsidR="00931421" w:rsidRPr="008371A1">
        <w:t xml:space="preserve">should always be </w:t>
      </w:r>
      <w:r w:rsidR="00931421">
        <w:t>the</w:t>
      </w:r>
      <w:r w:rsidR="00931421" w:rsidRPr="008371A1">
        <w:t xml:space="preserve"> primary consideration</w:t>
      </w:r>
      <w:r w:rsidR="00931421">
        <w:t xml:space="preserve">, and, </w:t>
      </w:r>
      <w:r w:rsidR="00931421" w:rsidRPr="005F3230">
        <w:t xml:space="preserve">having </w:t>
      </w:r>
      <w:r w:rsidR="00931421">
        <w:t>regard to</w:t>
      </w:r>
      <w:r w:rsidR="00931421" w:rsidRPr="005F3230">
        <w:t xml:space="preserve"> their age and maturity,</w:t>
      </w:r>
      <w:r w:rsidR="006505EA">
        <w:rPr>
          <w:rStyle w:val="FootnoteReference"/>
        </w:rPr>
        <w:footnoteReference w:id="124"/>
      </w:r>
      <w:r w:rsidR="00931421" w:rsidRPr="00B66517">
        <w:t xml:space="preserve"> understood through </w:t>
      </w:r>
      <w:r w:rsidR="00931421">
        <w:t xml:space="preserve">their </w:t>
      </w:r>
      <w:r w:rsidR="00931421" w:rsidRPr="00B66517">
        <w:t>meaningful and representative participation</w:t>
      </w:r>
      <w:r w:rsidR="00931421">
        <w:t>.</w:t>
      </w:r>
    </w:p>
    <w:p w14:paraId="31F63021" w14:textId="060F0504" w:rsidR="00931421" w:rsidRPr="008E6AAA" w:rsidRDefault="008E6AAA" w:rsidP="008E6AAA">
      <w:pPr>
        <w:pStyle w:val="H1G"/>
      </w:pPr>
      <w:r>
        <w:tab/>
      </w:r>
      <w:r w:rsidRPr="008E6AAA">
        <w:t>F.</w:t>
      </w:r>
      <w:r>
        <w:tab/>
      </w:r>
      <w:r w:rsidR="00931421" w:rsidRPr="008E6AAA">
        <w:t>Recognizing the role of teachers</w:t>
      </w:r>
    </w:p>
    <w:p w14:paraId="5CD7EFD9" w14:textId="37B236BC" w:rsidR="00931421" w:rsidRPr="004039FE" w:rsidRDefault="008E6AAA" w:rsidP="008E6AAA">
      <w:pPr>
        <w:pStyle w:val="SingleTxtG"/>
      </w:pPr>
      <w:r>
        <w:t>9</w:t>
      </w:r>
      <w:r w:rsidR="001C6403">
        <w:t>8</w:t>
      </w:r>
      <w:r>
        <w:t>.</w:t>
      </w:r>
      <w:r>
        <w:tab/>
      </w:r>
      <w:r w:rsidR="00931421" w:rsidRPr="004039FE">
        <w:t xml:space="preserve">Teachers are pivotal for the right to education and therefore our collective future. Yet, their role is </w:t>
      </w:r>
      <w:r w:rsidR="00931421">
        <w:t xml:space="preserve">woefully </w:t>
      </w:r>
      <w:r w:rsidR="00931421" w:rsidRPr="004039FE">
        <w:t xml:space="preserve">undervalued </w:t>
      </w:r>
      <w:r w:rsidR="00931421">
        <w:t xml:space="preserve">and undercompensated. </w:t>
      </w:r>
      <w:r w:rsidR="00931421" w:rsidRPr="004039FE">
        <w:t xml:space="preserve">One study indicates that </w:t>
      </w:r>
      <w:r w:rsidR="00931421" w:rsidRPr="004039FE">
        <w:rPr>
          <w:bCs/>
          <w:color w:val="111111"/>
          <w:shd w:val="clear" w:color="auto" w:fill="FFFFFF"/>
        </w:rPr>
        <w:t>educators were earning</w:t>
      </w:r>
      <w:r w:rsidR="00931421">
        <w:rPr>
          <w:bCs/>
          <w:color w:val="111111"/>
          <w:shd w:val="clear" w:color="auto" w:fill="FFFFFF"/>
        </w:rPr>
        <w:t>, on average,</w:t>
      </w:r>
      <w:r w:rsidR="00931421" w:rsidRPr="004039FE">
        <w:rPr>
          <w:bCs/>
          <w:color w:val="111111"/>
          <w:shd w:val="clear" w:color="auto" w:fill="FFFFFF"/>
        </w:rPr>
        <w:t xml:space="preserve"> </w:t>
      </w:r>
      <w:r w:rsidR="00931421" w:rsidRPr="00C84C5D">
        <w:rPr>
          <w:bCs/>
          <w:color w:val="111111"/>
          <w:shd w:val="clear" w:color="auto" w:fill="FFFFFF"/>
        </w:rPr>
        <w:t>48% below the local average cost of goods and services</w:t>
      </w:r>
      <w:r w:rsidR="00931421">
        <w:rPr>
          <w:bCs/>
          <w:color w:val="111111"/>
          <w:shd w:val="clear" w:color="auto" w:fill="FFFFFF"/>
        </w:rPr>
        <w:t xml:space="preserve"> across 100 countries surveyed</w:t>
      </w:r>
      <w:r w:rsidR="00931421" w:rsidRPr="004039FE">
        <w:rPr>
          <w:bCs/>
          <w:color w:val="111111"/>
          <w:shd w:val="clear" w:color="auto" w:fill="FFFFFF"/>
        </w:rPr>
        <w:t xml:space="preserve">, with </w:t>
      </w:r>
      <w:r w:rsidR="00931421" w:rsidRPr="004039FE">
        <w:rPr>
          <w:color w:val="000000"/>
        </w:rPr>
        <w:t>teachers living below the poverty line</w:t>
      </w:r>
      <w:r w:rsidR="00931421">
        <w:rPr>
          <w:color w:val="000000"/>
        </w:rPr>
        <w:t>,</w:t>
      </w:r>
      <w:r w:rsidR="00931421" w:rsidRPr="004039FE">
        <w:rPr>
          <w:color w:val="000000"/>
        </w:rPr>
        <w:t xml:space="preserve"> even in high income countries</w:t>
      </w:r>
      <w:r w:rsidR="00931421" w:rsidRPr="004039FE">
        <w:rPr>
          <w:bCs/>
          <w:color w:val="111111"/>
          <w:shd w:val="clear" w:color="auto" w:fill="FFFFFF"/>
        </w:rPr>
        <w:t>.</w:t>
      </w:r>
      <w:r w:rsidR="006505EA">
        <w:rPr>
          <w:rStyle w:val="FootnoteReference"/>
          <w:bCs/>
          <w:color w:val="111111"/>
          <w:shd w:val="clear" w:color="auto" w:fill="FFFFFF"/>
        </w:rPr>
        <w:footnoteReference w:id="125"/>
      </w:r>
      <w:r w:rsidR="00931421" w:rsidRPr="004039FE">
        <w:rPr>
          <w:bCs/>
          <w:color w:val="111111"/>
          <w:shd w:val="clear" w:color="auto" w:fill="FFFFFF"/>
        </w:rPr>
        <w:t xml:space="preserve"> </w:t>
      </w:r>
    </w:p>
    <w:p w14:paraId="589EE4A3" w14:textId="542C64E9" w:rsidR="00931421" w:rsidRPr="004039FE" w:rsidRDefault="008E6AAA" w:rsidP="008E6AAA">
      <w:pPr>
        <w:pStyle w:val="SingleTxtG"/>
      </w:pPr>
      <w:r>
        <w:t>9</w:t>
      </w:r>
      <w:r w:rsidR="001C6403">
        <w:t>9</w:t>
      </w:r>
      <w:r>
        <w:t>.</w:t>
      </w:r>
      <w:r>
        <w:tab/>
      </w:r>
      <w:r w:rsidR="00931421" w:rsidRPr="004039FE">
        <w:t xml:space="preserve">Restrictions are also imposed on teachers’ </w:t>
      </w:r>
      <w:r w:rsidR="00931421">
        <w:t>human rights</w:t>
      </w:r>
      <w:r w:rsidR="00931421" w:rsidRPr="004039FE">
        <w:t xml:space="preserve">, particularly their academic freedom, trade union rights, and </w:t>
      </w:r>
      <w:r w:rsidR="00931421">
        <w:t xml:space="preserve">their </w:t>
      </w:r>
      <w:r w:rsidR="00931421" w:rsidRPr="004039FE">
        <w:t xml:space="preserve">right to participate in decision-making. In conflict or </w:t>
      </w:r>
      <w:r w:rsidR="00931421">
        <w:t>politically fractious</w:t>
      </w:r>
      <w:r w:rsidR="00931421" w:rsidRPr="004039FE">
        <w:t xml:space="preserve"> </w:t>
      </w:r>
      <w:r w:rsidR="00931421">
        <w:t>environments</w:t>
      </w:r>
      <w:r w:rsidR="00931421" w:rsidRPr="004039FE">
        <w:t xml:space="preserve">, teachers </w:t>
      </w:r>
      <w:r w:rsidR="00931421">
        <w:t xml:space="preserve">are on the frontline, being </w:t>
      </w:r>
      <w:r w:rsidR="00931421" w:rsidRPr="004039FE">
        <w:t xml:space="preserve">punished for </w:t>
      </w:r>
      <w:r w:rsidR="00931421">
        <w:t xml:space="preserve">expressing </w:t>
      </w:r>
      <w:r w:rsidR="00931421" w:rsidRPr="004039FE">
        <w:t xml:space="preserve">their views or </w:t>
      </w:r>
      <w:r w:rsidR="00931421">
        <w:t>not supporting prevailing</w:t>
      </w:r>
      <w:r w:rsidR="00931421" w:rsidRPr="004039FE">
        <w:t xml:space="preserve"> </w:t>
      </w:r>
      <w:r w:rsidR="00931421">
        <w:t>narratives,</w:t>
      </w:r>
      <w:r w:rsidR="00931421" w:rsidRPr="00EB3D30">
        <w:t xml:space="preserve"> being </w:t>
      </w:r>
      <w:r w:rsidR="00931421">
        <w:t xml:space="preserve">subjected to </w:t>
      </w:r>
      <w:r w:rsidR="00931421" w:rsidRPr="00EB3D30">
        <w:t>threat</w:t>
      </w:r>
      <w:r w:rsidR="00931421">
        <w:t>s and</w:t>
      </w:r>
      <w:r w:rsidR="00931421" w:rsidRPr="00EB3D30">
        <w:t xml:space="preserve"> coerc</w:t>
      </w:r>
      <w:r w:rsidR="00931421">
        <w:t>ion</w:t>
      </w:r>
      <w:r w:rsidR="00931421" w:rsidRPr="00EB3D30">
        <w:t xml:space="preserve">, </w:t>
      </w:r>
      <w:r w:rsidR="00931421">
        <w:t xml:space="preserve">being </w:t>
      </w:r>
      <w:r w:rsidR="00931421" w:rsidRPr="00EA1718">
        <w:t xml:space="preserve">dismissed, </w:t>
      </w:r>
      <w:r w:rsidR="00931421">
        <w:t>demoted, un</w:t>
      </w:r>
      <w:r w:rsidR="00931421" w:rsidRPr="00EA1718">
        <w:t>paid, arbitrarily detained</w:t>
      </w:r>
      <w:r w:rsidR="00931421">
        <w:t>,</w:t>
      </w:r>
      <w:r w:rsidR="00931421" w:rsidRPr="00EA1718">
        <w:t xml:space="preserve"> </w:t>
      </w:r>
      <w:r w:rsidR="00931421">
        <w:t xml:space="preserve">even </w:t>
      </w:r>
      <w:r w:rsidR="00931421" w:rsidRPr="00EA1718">
        <w:t xml:space="preserve">attacked </w:t>
      </w:r>
      <w:r w:rsidR="00931421">
        <w:t>and</w:t>
      </w:r>
      <w:r w:rsidR="00931421" w:rsidRPr="00EA1718">
        <w:t xml:space="preserve"> killed</w:t>
      </w:r>
      <w:r w:rsidR="00931421" w:rsidRPr="004039FE">
        <w:t xml:space="preserve">. </w:t>
      </w:r>
    </w:p>
    <w:p w14:paraId="026ED4C6" w14:textId="0A1E5214" w:rsidR="00931421" w:rsidRPr="004039FE" w:rsidRDefault="001C6403" w:rsidP="008E6AAA">
      <w:pPr>
        <w:pStyle w:val="SingleTxtG"/>
      </w:pPr>
      <w:r>
        <w:t>100</w:t>
      </w:r>
      <w:r w:rsidR="008E6AAA">
        <w:t>.</w:t>
      </w:r>
      <w:r w:rsidR="008E6AAA">
        <w:tab/>
      </w:r>
      <w:r w:rsidR="00931421" w:rsidRPr="004039FE">
        <w:t xml:space="preserve">The mandate </w:t>
      </w:r>
      <w:r w:rsidR="00931421">
        <w:t>continues to</w:t>
      </w:r>
      <w:r w:rsidR="00931421" w:rsidRPr="004039FE">
        <w:t xml:space="preserve"> insist on the importance of </w:t>
      </w:r>
      <w:r w:rsidR="008E7649" w:rsidRPr="004039FE">
        <w:t>teachers’</w:t>
      </w:r>
      <w:r w:rsidR="00931421" w:rsidRPr="004039FE">
        <w:t xml:space="preserve"> rights and </w:t>
      </w:r>
      <w:r w:rsidR="00931421">
        <w:t xml:space="preserve">recognition of </w:t>
      </w:r>
      <w:r w:rsidR="00931421" w:rsidRPr="004039FE">
        <w:t xml:space="preserve">their </w:t>
      </w:r>
      <w:r w:rsidR="00931421">
        <w:t>invaluable</w:t>
      </w:r>
      <w:r w:rsidR="00931421" w:rsidRPr="004039FE">
        <w:t xml:space="preserve"> contribution to the right to education, including during the Covid19 pandemic.</w:t>
      </w:r>
      <w:r w:rsidR="006505EA">
        <w:rPr>
          <w:rStyle w:val="FootnoteReference"/>
        </w:rPr>
        <w:footnoteReference w:id="126"/>
      </w:r>
      <w:r w:rsidR="00931421" w:rsidRPr="004039FE">
        <w:t xml:space="preserve"> As new demands are placed on </w:t>
      </w:r>
      <w:r w:rsidR="00931421">
        <w:t>educators</w:t>
      </w:r>
      <w:r w:rsidR="00931421" w:rsidRPr="004039FE">
        <w:t xml:space="preserve"> to ad</w:t>
      </w:r>
      <w:r w:rsidR="00931421">
        <w:t xml:space="preserve">apt </w:t>
      </w:r>
      <w:r w:rsidR="00931421" w:rsidRPr="004039FE">
        <w:t xml:space="preserve">to </w:t>
      </w:r>
      <w:r w:rsidR="00931421">
        <w:t>ever evolving</w:t>
      </w:r>
      <w:r w:rsidR="00931421" w:rsidRPr="004039FE">
        <w:t xml:space="preserve"> </w:t>
      </w:r>
      <w:r w:rsidR="00931421">
        <w:t xml:space="preserve">demands, </w:t>
      </w:r>
      <w:r w:rsidR="00931421" w:rsidRPr="004039FE">
        <w:t>technologies</w:t>
      </w:r>
      <w:r w:rsidR="00931421">
        <w:t xml:space="preserve"> and contexts</w:t>
      </w:r>
      <w:r w:rsidR="00931421" w:rsidRPr="004039FE">
        <w:t>,</w:t>
      </w:r>
      <w:r w:rsidR="006505EA">
        <w:rPr>
          <w:rStyle w:val="FootnoteReference"/>
        </w:rPr>
        <w:footnoteReference w:id="127"/>
      </w:r>
      <w:r w:rsidR="006505EA">
        <w:t xml:space="preserve"> </w:t>
      </w:r>
      <w:r w:rsidR="00931421">
        <w:t xml:space="preserve">it is crucial that they benefit from </w:t>
      </w:r>
      <w:r w:rsidR="00931421" w:rsidRPr="004039FE">
        <w:t xml:space="preserve">sufficient </w:t>
      </w:r>
      <w:r w:rsidR="00931421">
        <w:t xml:space="preserve">support and </w:t>
      </w:r>
      <w:r w:rsidR="00931421" w:rsidRPr="004039FE">
        <w:t xml:space="preserve">training </w:t>
      </w:r>
      <w:r w:rsidR="00931421">
        <w:t>as</w:t>
      </w:r>
      <w:r w:rsidR="00931421" w:rsidRPr="004039FE">
        <w:t xml:space="preserve"> lifelong learning </w:t>
      </w:r>
      <w:r w:rsidR="00931421">
        <w:t xml:space="preserve">themselves. This requires sound </w:t>
      </w:r>
      <w:r w:rsidR="00931421" w:rsidRPr="004039FE">
        <w:t xml:space="preserve">relationships </w:t>
      </w:r>
      <w:r w:rsidR="00931421">
        <w:t xml:space="preserve">to be established </w:t>
      </w:r>
      <w:r w:rsidR="00931421" w:rsidRPr="004039FE">
        <w:t>among Governments,</w:t>
      </w:r>
      <w:r w:rsidR="00931421">
        <w:t xml:space="preserve"> educators, learners, </w:t>
      </w:r>
      <w:r w:rsidR="00931421" w:rsidRPr="004039FE">
        <w:t>parents and communities.</w:t>
      </w:r>
      <w:r w:rsidR="006505EA">
        <w:rPr>
          <w:rStyle w:val="FootnoteReference"/>
        </w:rPr>
        <w:footnoteReference w:id="128"/>
      </w:r>
      <w:r w:rsidR="00931421" w:rsidRPr="004039FE">
        <w:t xml:space="preserve"> </w:t>
      </w:r>
      <w:r w:rsidR="00931421">
        <w:t>T</w:t>
      </w:r>
      <w:r w:rsidR="00931421" w:rsidRPr="004039FE">
        <w:t xml:space="preserve">he Special Rapporteur </w:t>
      </w:r>
      <w:r w:rsidR="00931421">
        <w:t>will</w:t>
      </w:r>
      <w:r w:rsidR="00931421" w:rsidRPr="004039FE">
        <w:t xml:space="preserve"> devote her next report to </w:t>
      </w:r>
      <w:r w:rsidR="00931421">
        <w:t>teachers</w:t>
      </w:r>
      <w:r w:rsidR="00931421" w:rsidRPr="004039FE">
        <w:t>.</w:t>
      </w:r>
    </w:p>
    <w:p w14:paraId="2CAA4CDE" w14:textId="3A9D94F3" w:rsidR="00931421" w:rsidRPr="007E4B8C" w:rsidRDefault="007E4B8C" w:rsidP="007E4B8C">
      <w:pPr>
        <w:pStyle w:val="HChG"/>
      </w:pPr>
      <w:r>
        <w:tab/>
      </w:r>
      <w:r w:rsidRPr="007E4B8C">
        <w:t>V.</w:t>
      </w:r>
      <w:r>
        <w:tab/>
      </w:r>
      <w:r w:rsidR="00931421" w:rsidRPr="007E4B8C">
        <w:t>Conclusions and recommendations</w:t>
      </w:r>
    </w:p>
    <w:p w14:paraId="1C53B9BE" w14:textId="166E8245" w:rsidR="00931421" w:rsidRPr="003400B6" w:rsidRDefault="001C6403" w:rsidP="001C6403">
      <w:pPr>
        <w:pStyle w:val="SingleTxtG"/>
        <w:rPr>
          <w:b/>
          <w:bCs/>
        </w:rPr>
      </w:pPr>
      <w:r w:rsidRPr="003400B6">
        <w:t>101.</w:t>
      </w:r>
      <w:r w:rsidRPr="003400B6">
        <w:rPr>
          <w:b/>
          <w:bCs/>
        </w:rPr>
        <w:tab/>
      </w:r>
      <w:r w:rsidR="00931421" w:rsidRPr="003400B6">
        <w:rPr>
          <w:b/>
          <w:bCs/>
        </w:rPr>
        <w:t xml:space="preserve">The mandate of the Special Rapporteur on the right to education, over the 25 years since its establishment, has substantially contributed to an evolving understanding of the right to education and the obligations it entails, </w:t>
      </w:r>
      <w:proofErr w:type="spellStart"/>
      <w:r w:rsidR="00931421" w:rsidRPr="003400B6">
        <w:rPr>
          <w:b/>
          <w:bCs/>
        </w:rPr>
        <w:t>catalyzing</w:t>
      </w:r>
      <w:proofErr w:type="spellEnd"/>
      <w:r w:rsidR="00931421" w:rsidRPr="003400B6">
        <w:rPr>
          <w:b/>
          <w:bCs/>
        </w:rPr>
        <w:t xml:space="preserve">, accompanying or reflecting developments and progresses also achieved at the national level or by other human rights mechanisms.  </w:t>
      </w:r>
    </w:p>
    <w:p w14:paraId="29C31F1D" w14:textId="0F165608" w:rsidR="00931421" w:rsidRPr="003400B6" w:rsidRDefault="001C6403" w:rsidP="001C6403">
      <w:pPr>
        <w:pStyle w:val="SingleTxtG"/>
        <w:rPr>
          <w:b/>
          <w:bCs/>
        </w:rPr>
      </w:pPr>
      <w:r w:rsidRPr="003400B6">
        <w:t>102.</w:t>
      </w:r>
      <w:r w:rsidRPr="003400B6">
        <w:rPr>
          <w:b/>
          <w:bCs/>
        </w:rPr>
        <w:tab/>
      </w:r>
      <w:r w:rsidR="00931421" w:rsidRPr="003400B6">
        <w:rPr>
          <w:b/>
          <w:bCs/>
        </w:rPr>
        <w:t xml:space="preserve">Reflections around the evolving right to education, initiated by UNESCO following the Transformation Education Summit and the report of the UNESCO-led International Commission on the Futures of Education must continue. The intention is to identify what significant in-depth changes are required in the way education is conceptualized and delivered. To do this, we must simultaneously have a foot in the past and future. The foot in the past is necessary to address the continued exclusion of many from quality education systems and the failure to ensure effective and relevant learning outcomes for diversely situated people, which in themselves are sufficient to justify re-thinking models and approaches. The foot in the future is necessary to address more recent and emerging challenges, such as increased polarizations in societies accompanied by democratic backslides, climate change, and the digital revolution including the emergence of artificial intelligence. </w:t>
      </w:r>
    </w:p>
    <w:p w14:paraId="748F700E" w14:textId="58F3DDCE" w:rsidR="00931421" w:rsidRPr="003400B6" w:rsidRDefault="001C6403" w:rsidP="001C6403">
      <w:pPr>
        <w:pStyle w:val="SingleTxtG"/>
        <w:rPr>
          <w:b/>
          <w:bCs/>
        </w:rPr>
      </w:pPr>
      <w:r w:rsidRPr="003400B6">
        <w:t>103.</w:t>
      </w:r>
      <w:r w:rsidRPr="003400B6">
        <w:tab/>
      </w:r>
      <w:r w:rsidR="00931421" w:rsidRPr="003400B6">
        <w:rPr>
          <w:b/>
          <w:bCs/>
        </w:rPr>
        <w:t xml:space="preserve">The right to education as collectively understood today, must be considered the backbone of rethinking education models. In such exercises, it is important to carefully assess what to reiterate, keep, strengthen, adapt and adjust, and what needs to be changed significantly. The difficulty is to be open to positive changes while resisting forces detrimental to education, particularly voices calling for change under the guise of human rights language but pursuing other agendas, such as ensuring education systems become marketable products and services. An approach based on the right to </w:t>
      </w:r>
      <w:r w:rsidR="00931421" w:rsidRPr="003400B6">
        <w:rPr>
          <w:b/>
          <w:bCs/>
        </w:rPr>
        <w:lastRenderedPageBreak/>
        <w:t xml:space="preserve">education can guide actions for transforming education towards more efficient systems, able to respond to new challenges. Considering education as a public and as a common good further opens new ways of ensuring participation of all relevant stakeholders in educational life, including at the local level, and allows reinforcing the interrelation between education, science and culture. The right to education understood as a right to life-long learning, in a system that links formal, non-formal and informal spaces for education, must be at the </w:t>
      </w:r>
      <w:proofErr w:type="spellStart"/>
      <w:r w:rsidR="00931421" w:rsidRPr="003400B6">
        <w:rPr>
          <w:b/>
          <w:bCs/>
        </w:rPr>
        <w:t>center</w:t>
      </w:r>
      <w:proofErr w:type="spellEnd"/>
      <w:r w:rsidR="00931421" w:rsidRPr="003400B6">
        <w:rPr>
          <w:b/>
          <w:bCs/>
        </w:rPr>
        <w:t xml:space="preserve"> of all reflections leading to a new social contract on education, at the local, national and international levels. At stake is also the promise made after the Covid-19 pandemic to build back better, rather than pursuing business as usual.</w:t>
      </w:r>
    </w:p>
    <w:p w14:paraId="1E911203" w14:textId="49AA596B" w:rsidR="00A1282C" w:rsidRPr="00A1282C" w:rsidRDefault="00A1282C" w:rsidP="00A1282C">
      <w:pPr>
        <w:pStyle w:val="SingleTxtG"/>
        <w:spacing w:before="240" w:after="0"/>
        <w:jc w:val="center"/>
        <w:rPr>
          <w:u w:val="single"/>
        </w:rPr>
      </w:pPr>
      <w:r>
        <w:rPr>
          <w:u w:val="single"/>
        </w:rPr>
        <w:tab/>
      </w:r>
      <w:r>
        <w:rPr>
          <w:u w:val="single"/>
        </w:rPr>
        <w:tab/>
      </w:r>
      <w:r>
        <w:rPr>
          <w:u w:val="single"/>
        </w:rPr>
        <w:tab/>
      </w:r>
      <w:r w:rsidR="003400B6">
        <w:rPr>
          <w:u w:val="single"/>
        </w:rPr>
        <w:tab/>
      </w:r>
    </w:p>
    <w:sectPr w:rsidR="00A1282C" w:rsidRPr="00A1282C" w:rsidSect="008B6556">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16177" w14:textId="77777777" w:rsidR="00AD6982" w:rsidRDefault="00AD6982"/>
  </w:endnote>
  <w:endnote w:type="continuationSeparator" w:id="0">
    <w:p w14:paraId="48B94EA4" w14:textId="77777777" w:rsidR="00AD6982" w:rsidRDefault="00AD6982"/>
  </w:endnote>
  <w:endnote w:type="continuationNotice" w:id="1">
    <w:p w14:paraId="1D656F29" w14:textId="77777777" w:rsidR="00AD6982" w:rsidRDefault="00AD69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20B0604020202020204"/>
    <w:charset w:val="00"/>
    <w:family w:val="swiss"/>
    <w:notTrueType/>
    <w:pitch w:val="variable"/>
    <w:sig w:usb0="20000287" w:usb1="00000001" w:usb2="00000000" w:usb3="00000000" w:csb0="0000019F" w:csb1="00000000"/>
  </w:font>
  <w:font w:name="ı'EDXˇ">
    <w:altName w:val="Calibri"/>
    <w:panose1 w:val="020B0604020202020204"/>
    <w:charset w:val="4D"/>
    <w:family w:val="auto"/>
    <w:pitch w:val="default"/>
    <w:sig w:usb0="00000003" w:usb1="00000000" w:usb2="00000000" w:usb3="00000000" w:csb0="00000001" w:csb1="00000000"/>
  </w:font>
  <w:font w:name="TimesNewRoman,Bold">
    <w:altName w:val="Times New Roman"/>
    <w:panose1 w:val="020B0604020202020204"/>
    <w:charset w:val="00"/>
    <w:family w:val="auto"/>
    <w:notTrueType/>
    <w:pitch w:val="default"/>
    <w:sig w:usb0="00000003" w:usb1="00000000" w:usb2="00000000" w:usb3="00000000" w:csb0="00000001" w:csb1="00000000"/>
  </w:font>
  <w:font w:name="TimesNewRoman">
    <w:altName w:val="Times New Roman"/>
    <w:panose1 w:val="020B0604020202020204"/>
    <w:charset w:val="00"/>
    <w:family w:val="auto"/>
    <w:notTrueType/>
    <w:pitch w:val="default"/>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1D513" w14:textId="430C164C" w:rsidR="008B6556" w:rsidRPr="008B6556" w:rsidRDefault="008B6556" w:rsidP="008B6556">
    <w:pPr>
      <w:pStyle w:val="Footer"/>
      <w:tabs>
        <w:tab w:val="right" w:pos="9638"/>
      </w:tabs>
      <w:rPr>
        <w:sz w:val="18"/>
      </w:rPr>
    </w:pPr>
    <w:r w:rsidRPr="008B6556">
      <w:rPr>
        <w:b/>
        <w:sz w:val="18"/>
      </w:rPr>
      <w:fldChar w:fldCharType="begin"/>
    </w:r>
    <w:r w:rsidRPr="008B6556">
      <w:rPr>
        <w:b/>
        <w:sz w:val="18"/>
      </w:rPr>
      <w:instrText xml:space="preserve"> PAGE  \* MERGEFORMAT </w:instrText>
    </w:r>
    <w:r w:rsidRPr="008B6556">
      <w:rPr>
        <w:b/>
        <w:sz w:val="18"/>
      </w:rPr>
      <w:fldChar w:fldCharType="separate"/>
    </w:r>
    <w:r w:rsidRPr="008B6556">
      <w:rPr>
        <w:b/>
        <w:noProof/>
        <w:sz w:val="18"/>
      </w:rPr>
      <w:t>2</w:t>
    </w:r>
    <w:r w:rsidRPr="008B655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E76B0" w14:textId="4F4B3C5D" w:rsidR="008B6556" w:rsidRPr="008B6556" w:rsidRDefault="008B6556" w:rsidP="008B6556">
    <w:pPr>
      <w:pStyle w:val="Footer"/>
      <w:tabs>
        <w:tab w:val="right" w:pos="9638"/>
      </w:tabs>
      <w:rPr>
        <w:b/>
        <w:sz w:val="18"/>
      </w:rPr>
    </w:pPr>
    <w:r>
      <w:tab/>
    </w:r>
    <w:r w:rsidRPr="008B6556">
      <w:rPr>
        <w:b/>
        <w:sz w:val="18"/>
      </w:rPr>
      <w:fldChar w:fldCharType="begin"/>
    </w:r>
    <w:r w:rsidRPr="008B6556">
      <w:rPr>
        <w:b/>
        <w:sz w:val="18"/>
      </w:rPr>
      <w:instrText xml:space="preserve"> PAGE  \* MERGEFORMAT </w:instrText>
    </w:r>
    <w:r w:rsidRPr="008B6556">
      <w:rPr>
        <w:b/>
        <w:sz w:val="18"/>
      </w:rPr>
      <w:fldChar w:fldCharType="separate"/>
    </w:r>
    <w:r w:rsidRPr="008B6556">
      <w:rPr>
        <w:b/>
        <w:noProof/>
        <w:sz w:val="18"/>
      </w:rPr>
      <w:t>3</w:t>
    </w:r>
    <w:r w:rsidRPr="008B655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5EE74" w14:textId="77777777" w:rsidR="001B78B8" w:rsidRDefault="001B78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F162F" w14:textId="77777777" w:rsidR="00AD6982" w:rsidRPr="000B175B" w:rsidRDefault="00AD6982" w:rsidP="000B175B">
      <w:pPr>
        <w:tabs>
          <w:tab w:val="right" w:pos="2155"/>
        </w:tabs>
        <w:spacing w:after="80"/>
        <w:ind w:left="680"/>
        <w:rPr>
          <w:u w:val="single"/>
        </w:rPr>
      </w:pPr>
      <w:r>
        <w:rPr>
          <w:u w:val="single"/>
        </w:rPr>
        <w:tab/>
      </w:r>
    </w:p>
  </w:footnote>
  <w:footnote w:type="continuationSeparator" w:id="0">
    <w:p w14:paraId="77E47AEB" w14:textId="77777777" w:rsidR="00AD6982" w:rsidRPr="00FC68B7" w:rsidRDefault="00AD6982" w:rsidP="00FC68B7">
      <w:pPr>
        <w:tabs>
          <w:tab w:val="left" w:pos="2155"/>
        </w:tabs>
        <w:spacing w:after="80"/>
        <w:ind w:left="680"/>
        <w:rPr>
          <w:u w:val="single"/>
        </w:rPr>
      </w:pPr>
      <w:r>
        <w:rPr>
          <w:u w:val="single"/>
        </w:rPr>
        <w:tab/>
      </w:r>
    </w:p>
  </w:footnote>
  <w:footnote w:type="continuationNotice" w:id="1">
    <w:p w14:paraId="7B0CF526" w14:textId="77777777" w:rsidR="00AD6982" w:rsidRDefault="00AD6982"/>
  </w:footnote>
  <w:footnote w:id="2">
    <w:p w14:paraId="5D9E5BBF" w14:textId="507AFEAC" w:rsidR="006E3091" w:rsidRPr="006E3091" w:rsidRDefault="006E3091">
      <w:pPr>
        <w:pStyle w:val="FootnoteText"/>
      </w:pPr>
      <w:r>
        <w:rPr>
          <w:rStyle w:val="FootnoteReference"/>
        </w:rPr>
        <w:tab/>
      </w:r>
      <w:r w:rsidRPr="006E3091">
        <w:rPr>
          <w:rStyle w:val="FootnoteReference"/>
          <w:sz w:val="20"/>
          <w:vertAlign w:val="baseline"/>
        </w:rPr>
        <w:t>*</w:t>
      </w:r>
      <w:r>
        <w:rPr>
          <w:rStyle w:val="FootnoteReference"/>
          <w:sz w:val="20"/>
          <w:vertAlign w:val="baseline"/>
        </w:rPr>
        <w:tab/>
      </w:r>
      <w:r w:rsidRPr="00CF761C">
        <w:rPr>
          <w:szCs w:val="18"/>
        </w:rPr>
        <w:t>The present report was submitted after the deadline in order to reflect recent developments</w:t>
      </w:r>
      <w:r>
        <w:t>.</w:t>
      </w:r>
    </w:p>
  </w:footnote>
  <w:footnote w:id="3">
    <w:p w14:paraId="34E1516F" w14:textId="6114C417" w:rsidR="007A5E85" w:rsidRDefault="007A5E85" w:rsidP="007A5E85">
      <w:pPr>
        <w:pStyle w:val="FootnoteText"/>
        <w:widowControl w:val="0"/>
        <w:tabs>
          <w:tab w:val="clear" w:pos="1021"/>
          <w:tab w:val="right" w:pos="1020"/>
        </w:tabs>
      </w:pPr>
      <w:r>
        <w:tab/>
      </w:r>
      <w:r>
        <w:rPr>
          <w:rStyle w:val="FootnoteReference"/>
        </w:rPr>
        <w:footnoteRef/>
      </w:r>
      <w:r>
        <w:tab/>
      </w:r>
      <w:hyperlink r:id="rId1" w:history="1">
        <w:r w:rsidRPr="009F33D8">
          <w:rPr>
            <w:rStyle w:val="Hyperlink"/>
          </w:rPr>
          <w:t>https://unesdoc.unesco.org/ark:/48223/pf0000382577</w:t>
        </w:r>
      </w:hyperlink>
      <w:r w:rsidRPr="009F33D8">
        <w:rPr>
          <w:rStyle w:val="Hyperlink"/>
        </w:rPr>
        <w:t>, p. 1.</w:t>
      </w:r>
      <w:r>
        <w:t xml:space="preserve"> </w:t>
      </w:r>
    </w:p>
  </w:footnote>
  <w:footnote w:id="4">
    <w:p w14:paraId="0D23909A" w14:textId="2E18B245" w:rsidR="007A5E85" w:rsidRDefault="007A5E85" w:rsidP="007A5E85">
      <w:pPr>
        <w:pStyle w:val="FootnoteText"/>
        <w:tabs>
          <w:tab w:val="clear" w:pos="1021"/>
          <w:tab w:val="right" w:pos="1020"/>
        </w:tabs>
        <w:ind w:right="-1"/>
        <w:jc w:val="both"/>
      </w:pPr>
      <w:r>
        <w:tab/>
      </w:r>
      <w:r>
        <w:rPr>
          <w:rStyle w:val="FootnoteReference"/>
        </w:rPr>
        <w:footnoteRef/>
      </w:r>
      <w:r>
        <w:tab/>
      </w:r>
      <w:hyperlink r:id="rId2" w:history="1">
        <w:r w:rsidRPr="004B2AD3">
          <w:rPr>
            <w:rStyle w:val="Hyperlink"/>
            <w:szCs w:val="18"/>
          </w:rPr>
          <w:t>The-Sustainable-Development-Goals-Report-2022.pdf (un.org)</w:t>
        </w:r>
      </w:hyperlink>
      <w:r w:rsidRPr="004B2AD3">
        <w:rPr>
          <w:szCs w:val="18"/>
        </w:rPr>
        <w:t>, pp. 34-35.</w:t>
      </w:r>
    </w:p>
  </w:footnote>
  <w:footnote w:id="5">
    <w:p w14:paraId="392A0F04" w14:textId="732E113F" w:rsidR="007A5E85" w:rsidRDefault="007A5E85" w:rsidP="007A5E85">
      <w:pPr>
        <w:pStyle w:val="FootnoteText"/>
        <w:widowControl w:val="0"/>
        <w:tabs>
          <w:tab w:val="clear" w:pos="1021"/>
          <w:tab w:val="right" w:pos="1020"/>
        </w:tabs>
      </w:pPr>
      <w:r>
        <w:tab/>
      </w:r>
      <w:r>
        <w:rPr>
          <w:rStyle w:val="FootnoteReference"/>
        </w:rPr>
        <w:footnoteRef/>
      </w:r>
      <w:r>
        <w:tab/>
      </w:r>
      <w:hyperlink r:id="rId3" w:history="1">
        <w:r w:rsidRPr="004B2AD3">
          <w:rPr>
            <w:rStyle w:val="Hyperlink"/>
            <w:szCs w:val="18"/>
          </w:rPr>
          <w:t>ecw_222million_study_advocacypaper.pdf (educationcannotwait.org)</w:t>
        </w:r>
      </w:hyperlink>
      <w:r w:rsidRPr="004B2AD3">
        <w:rPr>
          <w:rStyle w:val="Hyperlink"/>
          <w:szCs w:val="18"/>
        </w:rPr>
        <w:t>.</w:t>
      </w:r>
      <w:r>
        <w:t xml:space="preserve"> </w:t>
      </w:r>
    </w:p>
  </w:footnote>
  <w:footnote w:id="6">
    <w:p w14:paraId="0C20CFC8" w14:textId="2DFF4288" w:rsidR="007A5E85" w:rsidRPr="008E7649" w:rsidRDefault="007A5E85" w:rsidP="007A5E85">
      <w:pPr>
        <w:pStyle w:val="FootnoteText"/>
        <w:widowControl w:val="0"/>
        <w:tabs>
          <w:tab w:val="clear" w:pos="1021"/>
          <w:tab w:val="right" w:pos="1020"/>
        </w:tabs>
        <w:rPr>
          <w:lang w:val="fr-FR"/>
        </w:rPr>
      </w:pPr>
      <w:r>
        <w:tab/>
      </w:r>
      <w:r>
        <w:rPr>
          <w:rStyle w:val="FootnoteReference"/>
        </w:rPr>
        <w:footnoteRef/>
      </w:r>
      <w:r w:rsidRPr="008E7649">
        <w:rPr>
          <w:lang w:val="fr-FR"/>
        </w:rPr>
        <w:tab/>
      </w:r>
      <w:hyperlink r:id="rId4" w:history="1">
        <w:proofErr w:type="spellStart"/>
        <w:r w:rsidRPr="008E7649">
          <w:rPr>
            <w:rStyle w:val="Hyperlink"/>
            <w:szCs w:val="18"/>
            <w:lang w:val="fr-FR"/>
          </w:rPr>
          <w:t>Literacy</w:t>
        </w:r>
        <w:proofErr w:type="spellEnd"/>
        <w:r w:rsidRPr="008E7649">
          <w:rPr>
            <w:rStyle w:val="Hyperlink"/>
            <w:szCs w:val="18"/>
            <w:lang w:val="fr-FR"/>
          </w:rPr>
          <w:t xml:space="preserve"> | UNESCO UIS</w:t>
        </w:r>
      </w:hyperlink>
      <w:r w:rsidRPr="004B2AD3">
        <w:rPr>
          <w:szCs w:val="18"/>
          <w:lang w:val="fr-FR"/>
        </w:rPr>
        <w:t>.</w:t>
      </w:r>
      <w:r w:rsidRPr="008E7649">
        <w:rPr>
          <w:lang w:val="fr-FR"/>
        </w:rPr>
        <w:t xml:space="preserve"> </w:t>
      </w:r>
    </w:p>
  </w:footnote>
  <w:footnote w:id="7">
    <w:p w14:paraId="18A6BA30" w14:textId="27761812" w:rsidR="007A5E85" w:rsidRDefault="007A5E85" w:rsidP="007A5E85">
      <w:pPr>
        <w:pStyle w:val="FootnoteText"/>
        <w:widowControl w:val="0"/>
        <w:tabs>
          <w:tab w:val="clear" w:pos="1021"/>
          <w:tab w:val="right" w:pos="1020"/>
        </w:tabs>
      </w:pPr>
      <w:r w:rsidRPr="008E7649">
        <w:rPr>
          <w:lang w:val="fr-FR"/>
        </w:rPr>
        <w:tab/>
      </w:r>
      <w:r>
        <w:rPr>
          <w:rStyle w:val="FootnoteReference"/>
        </w:rPr>
        <w:footnoteRef/>
      </w:r>
      <w:r w:rsidRPr="008E7649">
        <w:rPr>
          <w:lang w:val="fr-FR"/>
        </w:rPr>
        <w:tab/>
      </w:r>
      <w:proofErr w:type="spellStart"/>
      <w:r w:rsidRPr="004B2AD3">
        <w:rPr>
          <w:szCs w:val="18"/>
          <w:lang w:val="fr-FR"/>
        </w:rPr>
        <w:t>Chapter</w:t>
      </w:r>
      <w:proofErr w:type="spellEnd"/>
      <w:r w:rsidRPr="004B2AD3">
        <w:rPr>
          <w:szCs w:val="18"/>
          <w:lang w:val="fr-FR"/>
        </w:rPr>
        <w:t xml:space="preserve"> II. </w:t>
      </w:r>
      <w:r w:rsidRPr="004B2AD3">
        <w:rPr>
          <w:szCs w:val="18"/>
        </w:rPr>
        <w:t>Para. 29.</w:t>
      </w:r>
      <w:r>
        <w:t xml:space="preserve"> </w:t>
      </w:r>
    </w:p>
  </w:footnote>
  <w:footnote w:id="8">
    <w:p w14:paraId="7F8F1C22" w14:textId="309B393D" w:rsidR="007A5E85" w:rsidRDefault="007A5E85" w:rsidP="007A5E85">
      <w:pPr>
        <w:pStyle w:val="FootnoteText"/>
        <w:widowControl w:val="0"/>
        <w:tabs>
          <w:tab w:val="clear" w:pos="1021"/>
          <w:tab w:val="right" w:pos="1020"/>
        </w:tabs>
      </w:pPr>
      <w:r>
        <w:tab/>
      </w:r>
      <w:r>
        <w:rPr>
          <w:rStyle w:val="FootnoteReference"/>
        </w:rPr>
        <w:footnoteRef/>
      </w:r>
      <w:r>
        <w:tab/>
      </w:r>
      <w:r w:rsidRPr="004B2AD3">
        <w:rPr>
          <w:szCs w:val="18"/>
        </w:rPr>
        <w:t>International Commission on the Futures of Education, Reimagining our futures together, A new social contract for education, UNESCO, 20</w:t>
      </w:r>
      <w:r w:rsidR="009C03D5">
        <w:rPr>
          <w:szCs w:val="18"/>
        </w:rPr>
        <w:t>2</w:t>
      </w:r>
      <w:r w:rsidRPr="004B2AD3">
        <w:rPr>
          <w:szCs w:val="18"/>
        </w:rPr>
        <w:t>1, p 11 and 146.</w:t>
      </w:r>
      <w:r>
        <w:t xml:space="preserve"> </w:t>
      </w:r>
    </w:p>
  </w:footnote>
  <w:footnote w:id="9">
    <w:p w14:paraId="397B83A4" w14:textId="2FC284E5" w:rsidR="00221ACB" w:rsidRDefault="00221ACB" w:rsidP="00221ACB">
      <w:pPr>
        <w:pStyle w:val="FootnoteText"/>
        <w:widowControl w:val="0"/>
        <w:tabs>
          <w:tab w:val="clear" w:pos="1021"/>
          <w:tab w:val="right" w:pos="1020"/>
        </w:tabs>
      </w:pPr>
      <w:r>
        <w:tab/>
      </w:r>
      <w:r>
        <w:rPr>
          <w:rStyle w:val="FootnoteReference"/>
        </w:rPr>
        <w:footnoteRef/>
      </w:r>
      <w:r>
        <w:tab/>
      </w:r>
      <w:r>
        <w:rPr>
          <w:szCs w:val="18"/>
        </w:rPr>
        <w:t xml:space="preserve">Responses </w:t>
      </w:r>
      <w:r w:rsidRPr="004B2AD3">
        <w:rPr>
          <w:szCs w:val="18"/>
        </w:rPr>
        <w:t xml:space="preserve">are available on the website of the Special Rapporteur, </w:t>
      </w:r>
      <w:r>
        <w:rPr>
          <w:szCs w:val="18"/>
        </w:rPr>
        <w:t>at:</w:t>
      </w:r>
      <w:r w:rsidRPr="004B2AD3">
        <w:rPr>
          <w:szCs w:val="18"/>
        </w:rPr>
        <w:t xml:space="preserve"> </w:t>
      </w:r>
      <w:hyperlink r:id="rId5" w:history="1">
        <w:r w:rsidRPr="007046BE">
          <w:rPr>
            <w:rStyle w:val="Hyperlink"/>
            <w:szCs w:val="18"/>
          </w:rPr>
          <w:t>https://www.ohchr.org/en/special-procedures/sr-education</w:t>
        </w:r>
      </w:hyperlink>
      <w:r>
        <w:rPr>
          <w:szCs w:val="18"/>
        </w:rPr>
        <w:t>. Some</w:t>
      </w:r>
      <w:r w:rsidRPr="00A454C3">
        <w:rPr>
          <w:szCs w:val="18"/>
        </w:rPr>
        <w:t xml:space="preserve"> </w:t>
      </w:r>
      <w:r w:rsidRPr="004B2AD3">
        <w:rPr>
          <w:szCs w:val="18"/>
        </w:rPr>
        <w:t xml:space="preserve">are referred to directly in footnotes. </w:t>
      </w:r>
      <w:r>
        <w:t xml:space="preserve"> </w:t>
      </w:r>
    </w:p>
  </w:footnote>
  <w:footnote w:id="10">
    <w:p w14:paraId="6E850189" w14:textId="5D7E2AA5" w:rsidR="007B08A0" w:rsidRDefault="007B08A0" w:rsidP="007B08A0">
      <w:pPr>
        <w:pStyle w:val="FootnoteText"/>
        <w:widowControl w:val="0"/>
        <w:tabs>
          <w:tab w:val="clear" w:pos="1021"/>
          <w:tab w:val="right" w:pos="1020"/>
        </w:tabs>
      </w:pPr>
      <w:r>
        <w:tab/>
      </w:r>
      <w:r>
        <w:rPr>
          <w:rStyle w:val="FootnoteReference"/>
        </w:rPr>
        <w:footnoteRef/>
      </w:r>
      <w:r>
        <w:tab/>
      </w:r>
      <w:r w:rsidRPr="004B2AD3">
        <w:rPr>
          <w:szCs w:val="18"/>
        </w:rPr>
        <w:t>William A. Schabas, The Customary International Law of Human Rights, Oxford University Press, 2021, p. 312.</w:t>
      </w:r>
      <w:r>
        <w:t xml:space="preserve"> </w:t>
      </w:r>
    </w:p>
  </w:footnote>
  <w:footnote w:id="11">
    <w:p w14:paraId="2DAEB53C" w14:textId="4C174772" w:rsidR="007B08A0" w:rsidRDefault="007B08A0" w:rsidP="007B08A0">
      <w:pPr>
        <w:pStyle w:val="FootnoteText"/>
        <w:widowControl w:val="0"/>
        <w:tabs>
          <w:tab w:val="clear" w:pos="1021"/>
          <w:tab w:val="right" w:pos="1020"/>
        </w:tabs>
      </w:pPr>
      <w:r>
        <w:tab/>
      </w:r>
      <w:r>
        <w:rPr>
          <w:rStyle w:val="FootnoteReference"/>
        </w:rPr>
        <w:footnoteRef/>
      </w:r>
      <w:r>
        <w:tab/>
      </w:r>
      <w:r w:rsidRPr="004B2AD3">
        <w:rPr>
          <w:szCs w:val="18"/>
        </w:rPr>
        <w:t>A/HRC/41/37, paras. 4-6.</w:t>
      </w:r>
      <w:r>
        <w:t xml:space="preserve"> </w:t>
      </w:r>
    </w:p>
  </w:footnote>
  <w:footnote w:id="12">
    <w:p w14:paraId="31B5E386" w14:textId="215ACB77" w:rsidR="007B08A0" w:rsidRDefault="007B08A0" w:rsidP="007B08A0">
      <w:pPr>
        <w:pStyle w:val="FootnoteText"/>
        <w:widowControl w:val="0"/>
        <w:tabs>
          <w:tab w:val="clear" w:pos="1021"/>
          <w:tab w:val="right" w:pos="1020"/>
        </w:tabs>
      </w:pPr>
      <w:r>
        <w:tab/>
      </w:r>
      <w:r>
        <w:rPr>
          <w:rStyle w:val="FootnoteReference"/>
        </w:rPr>
        <w:footnoteRef/>
      </w:r>
      <w:r>
        <w:tab/>
      </w:r>
      <w:hyperlink r:id="rId6" w:history="1">
        <w:r w:rsidRPr="004B2AD3">
          <w:rPr>
            <w:rStyle w:val="Hyperlink"/>
            <w:szCs w:val="18"/>
          </w:rPr>
          <w:t>The Safe Schools Declaration and the Guidelines for Protecting Schools and Universities from Military Use during Armed Conflict | International Committee of the Red Cross (icrc.org)</w:t>
        </w:r>
      </w:hyperlink>
      <w:r w:rsidRPr="004B2AD3">
        <w:rPr>
          <w:szCs w:val="18"/>
        </w:rPr>
        <w:t xml:space="preserve">. See also Global Coalition to Protect Education from Attack (GCPEA), “Practical Impact of the Safe Schools Declaration: Fact Sheet,” January 2022, </w:t>
      </w:r>
      <w:hyperlink r:id="rId7" w:history="1">
        <w:r w:rsidRPr="004B2AD3">
          <w:rPr>
            <w:rStyle w:val="Hyperlink"/>
            <w:szCs w:val="18"/>
          </w:rPr>
          <w:t>http://protectingeducation.org/wp-content/uploads/documents/SSD-Fact-Sheet.pdf</w:t>
        </w:r>
      </w:hyperlink>
      <w:r w:rsidRPr="004B2AD3">
        <w:rPr>
          <w:szCs w:val="18"/>
        </w:rPr>
        <w:t xml:space="preserve">, and Commentary of the Guidelines, </w:t>
      </w:r>
      <w:hyperlink r:id="rId8" w:history="1">
        <w:r w:rsidRPr="004B2AD3">
          <w:rPr>
            <w:rStyle w:val="Hyperlink"/>
            <w:szCs w:val="18"/>
          </w:rPr>
          <w:t>Human Rights Watch (protectingeducation.org)</w:t>
        </w:r>
      </w:hyperlink>
      <w:r w:rsidRPr="004B2AD3">
        <w:rPr>
          <w:szCs w:val="18"/>
        </w:rPr>
        <w:t>.</w:t>
      </w:r>
      <w:r>
        <w:t xml:space="preserve"> </w:t>
      </w:r>
    </w:p>
  </w:footnote>
  <w:footnote w:id="13">
    <w:p w14:paraId="021B132D" w14:textId="07F9C954" w:rsidR="008A3953" w:rsidRDefault="008A3953" w:rsidP="008A3953">
      <w:pPr>
        <w:pStyle w:val="FootnoteText"/>
        <w:widowControl w:val="0"/>
        <w:tabs>
          <w:tab w:val="clear" w:pos="1021"/>
          <w:tab w:val="right" w:pos="1020"/>
        </w:tabs>
      </w:pPr>
      <w:r>
        <w:tab/>
      </w:r>
      <w:r>
        <w:rPr>
          <w:rStyle w:val="FootnoteReference"/>
        </w:rPr>
        <w:footnoteRef/>
      </w:r>
      <w:r>
        <w:tab/>
      </w:r>
      <w:r w:rsidRPr="004F411D">
        <w:rPr>
          <w:szCs w:val="18"/>
        </w:rPr>
        <w:t xml:space="preserve">GCPEA, paras. </w:t>
      </w:r>
      <w:r w:rsidRPr="004F411D">
        <w:t>19-28</w:t>
      </w:r>
      <w:r w:rsidRPr="004F411D">
        <w:rPr>
          <w:szCs w:val="18"/>
        </w:rPr>
        <w:t xml:space="preserve">; </w:t>
      </w:r>
      <w:proofErr w:type="spellStart"/>
      <w:r w:rsidRPr="004F411D">
        <w:rPr>
          <w:szCs w:val="18"/>
        </w:rPr>
        <w:t>Hala</w:t>
      </w:r>
      <w:proofErr w:type="spellEnd"/>
      <w:r w:rsidRPr="004F411D">
        <w:rPr>
          <w:szCs w:val="18"/>
        </w:rPr>
        <w:t xml:space="preserve"> Systems and Starling Lab</w:t>
      </w:r>
      <w:r>
        <w:rPr>
          <w:szCs w:val="18"/>
        </w:rPr>
        <w:t>.</w:t>
      </w:r>
      <w:r>
        <w:t xml:space="preserve"> </w:t>
      </w:r>
    </w:p>
  </w:footnote>
  <w:footnote w:id="14">
    <w:p w14:paraId="093FC1BD" w14:textId="2492B64B" w:rsidR="008A3953" w:rsidRDefault="008A3953" w:rsidP="008A3953">
      <w:pPr>
        <w:pStyle w:val="FootnoteText"/>
        <w:widowControl w:val="0"/>
        <w:tabs>
          <w:tab w:val="clear" w:pos="1021"/>
          <w:tab w:val="right" w:pos="1020"/>
        </w:tabs>
      </w:pPr>
      <w:r>
        <w:tab/>
      </w:r>
      <w:r>
        <w:rPr>
          <w:rStyle w:val="FootnoteReference"/>
        </w:rPr>
        <w:footnoteRef/>
      </w:r>
      <w:r>
        <w:tab/>
      </w:r>
      <w:r w:rsidRPr="004F411D">
        <w:rPr>
          <w:szCs w:val="18"/>
        </w:rPr>
        <w:t xml:space="preserve">A/HRC/8/10, para. </w:t>
      </w:r>
      <w:r w:rsidRPr="004B2AD3">
        <w:rPr>
          <w:szCs w:val="18"/>
        </w:rPr>
        <w:t>37. See also A/69/269.</w:t>
      </w:r>
      <w:r>
        <w:t xml:space="preserve"> </w:t>
      </w:r>
    </w:p>
  </w:footnote>
  <w:footnote w:id="15">
    <w:p w14:paraId="672EB349" w14:textId="6340C2BA" w:rsidR="001A052E" w:rsidRDefault="001A052E" w:rsidP="001A052E">
      <w:pPr>
        <w:pStyle w:val="FootnoteText"/>
        <w:widowControl w:val="0"/>
        <w:tabs>
          <w:tab w:val="clear" w:pos="1021"/>
          <w:tab w:val="right" w:pos="1020"/>
        </w:tabs>
      </w:pPr>
      <w:r>
        <w:tab/>
      </w:r>
      <w:r>
        <w:rPr>
          <w:rStyle w:val="FootnoteReference"/>
        </w:rPr>
        <w:footnoteRef/>
      </w:r>
      <w:r>
        <w:tab/>
      </w:r>
      <w:r w:rsidRPr="004B2AD3">
        <w:rPr>
          <w:szCs w:val="18"/>
        </w:rPr>
        <w:t xml:space="preserve">Brussels Declaration, 2018, para. 15; Transforming Education Summit, 2022, </w:t>
      </w:r>
      <w:hyperlink r:id="rId9" w:history="1">
        <w:r w:rsidRPr="004B2AD3">
          <w:rPr>
            <w:rStyle w:val="Hyperlink"/>
            <w:szCs w:val="18"/>
          </w:rPr>
          <w:t xml:space="preserve">Digital Learning </w:t>
        </w:r>
        <w:proofErr w:type="gramStart"/>
        <w:r w:rsidRPr="004B2AD3">
          <w:rPr>
            <w:rStyle w:val="Hyperlink"/>
            <w:szCs w:val="18"/>
          </w:rPr>
          <w:t>For</w:t>
        </w:r>
        <w:proofErr w:type="gramEnd"/>
        <w:r w:rsidRPr="004B2AD3">
          <w:rPr>
            <w:rStyle w:val="Hyperlink"/>
            <w:szCs w:val="18"/>
          </w:rPr>
          <w:t xml:space="preserve"> All | United Nations</w:t>
        </w:r>
      </w:hyperlink>
      <w:r w:rsidRPr="004B2AD3">
        <w:rPr>
          <w:szCs w:val="18"/>
        </w:rPr>
        <w:t>.</w:t>
      </w:r>
      <w:r>
        <w:t xml:space="preserve"> </w:t>
      </w:r>
    </w:p>
  </w:footnote>
  <w:footnote w:id="16">
    <w:p w14:paraId="55A592C3" w14:textId="74391539" w:rsidR="00A92FC0" w:rsidRDefault="00A92FC0" w:rsidP="00A92FC0">
      <w:pPr>
        <w:pStyle w:val="FootnoteText"/>
        <w:widowControl w:val="0"/>
        <w:tabs>
          <w:tab w:val="clear" w:pos="1021"/>
          <w:tab w:val="right" w:pos="1020"/>
        </w:tabs>
      </w:pPr>
      <w:r>
        <w:tab/>
      </w:r>
      <w:r>
        <w:rPr>
          <w:rStyle w:val="FootnoteReference"/>
        </w:rPr>
        <w:footnoteRef/>
      </w:r>
      <w:r>
        <w:tab/>
      </w:r>
      <w:r w:rsidRPr="004B2AD3">
        <w:rPr>
          <w:szCs w:val="18"/>
        </w:rPr>
        <w:t xml:space="preserve">UNESCO Commission, pp. 12-13, and 149. UNESCO, Rethinking education, Towards a global common </w:t>
      </w:r>
      <w:proofErr w:type="gramStart"/>
      <w:r w:rsidRPr="004B2AD3">
        <w:rPr>
          <w:szCs w:val="18"/>
        </w:rPr>
        <w:t>good</w:t>
      </w:r>
      <w:r w:rsidRPr="007856B7">
        <w:rPr>
          <w:szCs w:val="18"/>
        </w:rPr>
        <w:t>?</w:t>
      </w:r>
      <w:r>
        <w:rPr>
          <w:szCs w:val="18"/>
        </w:rPr>
        <w:t>,</w:t>
      </w:r>
      <w:proofErr w:type="gramEnd"/>
      <w:r>
        <w:rPr>
          <w:szCs w:val="18"/>
        </w:rPr>
        <w:t xml:space="preserve"> 2015.</w:t>
      </w:r>
      <w:r>
        <w:t xml:space="preserve"> </w:t>
      </w:r>
    </w:p>
  </w:footnote>
  <w:footnote w:id="17">
    <w:p w14:paraId="6E238BA5" w14:textId="2E23EA8C" w:rsidR="0051145A" w:rsidRDefault="0051145A" w:rsidP="0051145A">
      <w:pPr>
        <w:pStyle w:val="FootnoteText"/>
        <w:widowControl w:val="0"/>
        <w:tabs>
          <w:tab w:val="clear" w:pos="1021"/>
          <w:tab w:val="right" w:pos="1020"/>
        </w:tabs>
      </w:pPr>
      <w:r>
        <w:tab/>
      </w:r>
      <w:r>
        <w:rPr>
          <w:rStyle w:val="FootnoteReference"/>
        </w:rPr>
        <w:footnoteRef/>
      </w:r>
      <w:r>
        <w:tab/>
      </w:r>
      <w:r w:rsidRPr="004B2AD3">
        <w:rPr>
          <w:szCs w:val="18"/>
        </w:rPr>
        <w:t xml:space="preserve">Ecuador, </w:t>
      </w:r>
      <w:r w:rsidRPr="004F411D">
        <w:rPr>
          <w:szCs w:val="18"/>
        </w:rPr>
        <w:t xml:space="preserve">7; </w:t>
      </w:r>
      <w:r w:rsidRPr="004B2AD3">
        <w:rPr>
          <w:szCs w:val="18"/>
        </w:rPr>
        <w:t>Kazakhstan, page 5; Qatar, page 10</w:t>
      </w:r>
      <w:r w:rsidRPr="004F411D">
        <w:rPr>
          <w:szCs w:val="18"/>
        </w:rPr>
        <w:t xml:space="preserve">; </w:t>
      </w:r>
      <w:r w:rsidRPr="00D56C40">
        <w:rPr>
          <w:szCs w:val="18"/>
          <w:lang w:val="en-US"/>
        </w:rPr>
        <w:t>National CRPD Monitoring Mechanism of the German Institute for Human Rights</w:t>
      </w:r>
      <w:r w:rsidR="006666C1" w:rsidRPr="00D56C40">
        <w:rPr>
          <w:szCs w:val="18"/>
          <w:lang w:val="en-US"/>
        </w:rPr>
        <w:t>.</w:t>
      </w:r>
      <w:r>
        <w:t xml:space="preserve"> </w:t>
      </w:r>
    </w:p>
  </w:footnote>
  <w:footnote w:id="18">
    <w:p w14:paraId="6539ED42" w14:textId="2AD4624F" w:rsidR="00B32E5D" w:rsidRDefault="00B32E5D" w:rsidP="00B32E5D">
      <w:pPr>
        <w:pStyle w:val="FootnoteText"/>
        <w:widowControl w:val="0"/>
        <w:tabs>
          <w:tab w:val="clear" w:pos="1021"/>
          <w:tab w:val="right" w:pos="1020"/>
        </w:tabs>
      </w:pPr>
      <w:r>
        <w:tab/>
      </w:r>
      <w:r>
        <w:rPr>
          <w:rStyle w:val="FootnoteReference"/>
        </w:rPr>
        <w:footnoteRef/>
      </w:r>
      <w:r>
        <w:tab/>
      </w:r>
      <w:hyperlink r:id="rId10" w:history="1">
        <w:r w:rsidRPr="004B2AD3">
          <w:rPr>
            <w:rStyle w:val="Hyperlink"/>
            <w:szCs w:val="18"/>
          </w:rPr>
          <w:t>Monitoring Guide | Right to education project (right-to-education.org)</w:t>
        </w:r>
      </w:hyperlink>
      <w:r w:rsidRPr="004B2AD3">
        <w:rPr>
          <w:szCs w:val="18"/>
        </w:rPr>
        <w:t>.</w:t>
      </w:r>
      <w:r>
        <w:t xml:space="preserve"> </w:t>
      </w:r>
    </w:p>
  </w:footnote>
  <w:footnote w:id="19">
    <w:p w14:paraId="0A10BE31" w14:textId="341A3549" w:rsidR="006F7342" w:rsidRDefault="006F7342" w:rsidP="006F7342">
      <w:pPr>
        <w:pStyle w:val="FootnoteText"/>
        <w:widowControl w:val="0"/>
        <w:tabs>
          <w:tab w:val="clear" w:pos="1021"/>
          <w:tab w:val="right" w:pos="1020"/>
        </w:tabs>
      </w:pPr>
      <w:r>
        <w:tab/>
      </w:r>
      <w:r>
        <w:rPr>
          <w:rStyle w:val="FootnoteReference"/>
        </w:rPr>
        <w:footnoteRef/>
      </w:r>
      <w:r>
        <w:tab/>
      </w:r>
      <w:hyperlink r:id="rId11" w:history="1">
        <w:r w:rsidRPr="004B2AD3">
          <w:rPr>
            <w:rStyle w:val="Hyperlink"/>
            <w:szCs w:val="18"/>
          </w:rPr>
          <w:t>NORRAG –We Need More and Better Data on Education: 38 Organizations Issue a Collective Call to Fund Education Data that Will Allow the World to Reach Sustainable Development Goal 4 - NORRAG -</w:t>
        </w:r>
      </w:hyperlink>
      <w:r w:rsidRPr="004B2AD3">
        <w:rPr>
          <w:rStyle w:val="Hyperlink"/>
          <w:szCs w:val="18"/>
        </w:rPr>
        <w:t xml:space="preserve">; </w:t>
      </w:r>
      <w:hyperlink r:id="rId12" w:history="1">
        <w:r w:rsidRPr="004B2AD3">
          <w:rPr>
            <w:rStyle w:val="Hyperlink"/>
            <w:szCs w:val="18"/>
          </w:rPr>
          <w:t>Education and the New Inequality Divides | Global Challenges</w:t>
        </w:r>
      </w:hyperlink>
      <w:r>
        <w:t xml:space="preserve"> </w:t>
      </w:r>
    </w:p>
  </w:footnote>
  <w:footnote w:id="20">
    <w:p w14:paraId="3A124F08" w14:textId="3353C33B" w:rsidR="006F7342" w:rsidRDefault="006F7342" w:rsidP="006F7342">
      <w:pPr>
        <w:pStyle w:val="FootnoteText"/>
        <w:widowControl w:val="0"/>
        <w:tabs>
          <w:tab w:val="clear" w:pos="1021"/>
          <w:tab w:val="right" w:pos="1020"/>
        </w:tabs>
      </w:pPr>
      <w:r>
        <w:tab/>
      </w:r>
      <w:r>
        <w:rPr>
          <w:rStyle w:val="FootnoteReference"/>
        </w:rPr>
        <w:footnoteRef/>
      </w:r>
      <w:r>
        <w:tab/>
      </w:r>
      <w:hyperlink r:id="rId13" w:history="1">
        <w:r w:rsidRPr="004B2AD3">
          <w:rPr>
            <w:rStyle w:val="Hyperlink"/>
            <w:szCs w:val="18"/>
          </w:rPr>
          <w:t>Missing Data project - NORRAG -</w:t>
        </w:r>
      </w:hyperlink>
      <w:r>
        <w:t xml:space="preserve"> </w:t>
      </w:r>
    </w:p>
  </w:footnote>
  <w:footnote w:id="21">
    <w:p w14:paraId="20DCAA3E" w14:textId="1C6934D3" w:rsidR="00212D01" w:rsidRDefault="00212D01" w:rsidP="00212D01">
      <w:pPr>
        <w:pStyle w:val="FootnoteText"/>
        <w:widowControl w:val="0"/>
        <w:tabs>
          <w:tab w:val="clear" w:pos="1021"/>
          <w:tab w:val="right" w:pos="1020"/>
        </w:tabs>
      </w:pPr>
      <w:r>
        <w:tab/>
      </w:r>
      <w:r>
        <w:rPr>
          <w:rStyle w:val="FootnoteReference"/>
        </w:rPr>
        <w:footnoteRef/>
      </w:r>
      <w:r>
        <w:tab/>
      </w:r>
      <w:hyperlink r:id="rId14" w:history="1">
        <w:r w:rsidRPr="004B2AD3">
          <w:rPr>
            <w:rStyle w:val="Hyperlink"/>
            <w:szCs w:val="18"/>
          </w:rPr>
          <w:t>ecw_222million_study_advocacypaper.pdf (educationcannotwait.org)</w:t>
        </w:r>
      </w:hyperlink>
      <w:r w:rsidRPr="004B2AD3">
        <w:rPr>
          <w:szCs w:val="18"/>
        </w:rPr>
        <w:t xml:space="preserve"> ; </w:t>
      </w:r>
      <w:hyperlink r:id="rId15" w:history="1">
        <w:r w:rsidRPr="004B2AD3">
          <w:rPr>
            <w:rStyle w:val="Hyperlink"/>
            <w:szCs w:val="18"/>
          </w:rPr>
          <w:t xml:space="preserve">NORRAG –New INEE Reference Group to drive reforms and set global standards for </w:t>
        </w:r>
        <w:proofErr w:type="spellStart"/>
        <w:r w:rsidRPr="004B2AD3">
          <w:rPr>
            <w:rStyle w:val="Hyperlink"/>
            <w:szCs w:val="18"/>
          </w:rPr>
          <w:t>EiE</w:t>
        </w:r>
        <w:proofErr w:type="spellEnd"/>
        <w:r w:rsidRPr="004B2AD3">
          <w:rPr>
            <w:rStyle w:val="Hyperlink"/>
            <w:szCs w:val="18"/>
          </w:rPr>
          <w:t xml:space="preserve"> data by ECW, FHI 360, INEE, NORRAG, and UIS - NORRAG -</w:t>
        </w:r>
      </w:hyperlink>
      <w:r w:rsidRPr="004B2AD3">
        <w:rPr>
          <w:szCs w:val="18"/>
        </w:rPr>
        <w:t xml:space="preserve">. </w:t>
      </w:r>
      <w:r>
        <w:t xml:space="preserve"> </w:t>
      </w:r>
    </w:p>
  </w:footnote>
  <w:footnote w:id="22">
    <w:p w14:paraId="78471B6E" w14:textId="47064FF1" w:rsidR="00956191" w:rsidRDefault="00956191" w:rsidP="00956191">
      <w:pPr>
        <w:pStyle w:val="FootnoteText"/>
        <w:widowControl w:val="0"/>
        <w:tabs>
          <w:tab w:val="clear" w:pos="1021"/>
          <w:tab w:val="right" w:pos="1020"/>
        </w:tabs>
      </w:pPr>
      <w:r>
        <w:tab/>
      </w:r>
      <w:r>
        <w:rPr>
          <w:rStyle w:val="FootnoteReference"/>
        </w:rPr>
        <w:footnoteRef/>
      </w:r>
      <w:r>
        <w:tab/>
      </w:r>
      <w:r w:rsidRPr="004B2AD3">
        <w:rPr>
          <w:szCs w:val="18"/>
        </w:rPr>
        <w:t>Article 26. See also Convention against Discrimination in Education (art. 5), ICESCR (art. 13) and CRC (art. 29).</w:t>
      </w:r>
      <w:r>
        <w:t xml:space="preserve"> </w:t>
      </w:r>
    </w:p>
  </w:footnote>
  <w:footnote w:id="23">
    <w:p w14:paraId="18C6AFC6" w14:textId="270E1757" w:rsidR="00107142" w:rsidRDefault="00107142" w:rsidP="00107142">
      <w:pPr>
        <w:pStyle w:val="FootnoteText"/>
        <w:widowControl w:val="0"/>
        <w:tabs>
          <w:tab w:val="clear" w:pos="1021"/>
          <w:tab w:val="right" w:pos="1020"/>
        </w:tabs>
      </w:pPr>
      <w:r>
        <w:tab/>
      </w:r>
      <w:r>
        <w:rPr>
          <w:rStyle w:val="FootnoteReference"/>
        </w:rPr>
        <w:footnoteRef/>
      </w:r>
      <w:r>
        <w:tab/>
      </w:r>
      <w:r w:rsidRPr="004B2AD3">
        <w:rPr>
          <w:szCs w:val="18"/>
        </w:rPr>
        <w:t xml:space="preserve">UNESCO Commission, p. 11. </w:t>
      </w:r>
      <w:r>
        <w:t xml:space="preserve"> </w:t>
      </w:r>
    </w:p>
  </w:footnote>
  <w:footnote w:id="24">
    <w:p w14:paraId="0A34FEE5" w14:textId="6394FCDD" w:rsidR="00107142" w:rsidRDefault="00107142" w:rsidP="00107142">
      <w:pPr>
        <w:pStyle w:val="FootnoteText"/>
        <w:widowControl w:val="0"/>
        <w:tabs>
          <w:tab w:val="clear" w:pos="1021"/>
          <w:tab w:val="right" w:pos="1020"/>
        </w:tabs>
      </w:pPr>
      <w:r>
        <w:tab/>
      </w:r>
      <w:r>
        <w:rPr>
          <w:rStyle w:val="FootnoteReference"/>
        </w:rPr>
        <w:footnoteRef/>
      </w:r>
      <w:r>
        <w:tab/>
      </w:r>
      <w:r w:rsidRPr="004B2AD3">
        <w:rPr>
          <w:szCs w:val="18"/>
        </w:rPr>
        <w:t>A/71/358 (Life-long learning).</w:t>
      </w:r>
      <w:r>
        <w:t xml:space="preserve"> </w:t>
      </w:r>
    </w:p>
  </w:footnote>
  <w:footnote w:id="25">
    <w:p w14:paraId="1AAA9AF0" w14:textId="31E786DC" w:rsidR="00107142" w:rsidRDefault="00107142" w:rsidP="00107142">
      <w:pPr>
        <w:pStyle w:val="FootnoteText"/>
        <w:widowControl w:val="0"/>
        <w:tabs>
          <w:tab w:val="clear" w:pos="1021"/>
          <w:tab w:val="right" w:pos="1020"/>
        </w:tabs>
      </w:pPr>
      <w:r>
        <w:tab/>
      </w:r>
      <w:r>
        <w:rPr>
          <w:rStyle w:val="FootnoteReference"/>
        </w:rPr>
        <w:footnoteRef/>
      </w:r>
      <w:r>
        <w:tab/>
      </w:r>
      <w:r w:rsidRPr="004B2AD3">
        <w:rPr>
          <w:szCs w:val="18"/>
        </w:rPr>
        <w:t>UNICEF, para. 6.</w:t>
      </w:r>
      <w:r>
        <w:t xml:space="preserve"> </w:t>
      </w:r>
    </w:p>
  </w:footnote>
  <w:footnote w:id="26">
    <w:p w14:paraId="45574146" w14:textId="1EE1BE99" w:rsidR="00107142" w:rsidRDefault="00107142" w:rsidP="00107142">
      <w:pPr>
        <w:pStyle w:val="FootnoteText"/>
        <w:widowControl w:val="0"/>
        <w:tabs>
          <w:tab w:val="clear" w:pos="1021"/>
          <w:tab w:val="right" w:pos="1020"/>
        </w:tabs>
      </w:pPr>
      <w:r>
        <w:tab/>
      </w:r>
      <w:r>
        <w:rPr>
          <w:rStyle w:val="FootnoteReference"/>
        </w:rPr>
        <w:footnoteRef/>
      </w:r>
      <w:r>
        <w:tab/>
      </w:r>
      <w:r w:rsidRPr="004B2AD3">
        <w:rPr>
          <w:szCs w:val="18"/>
        </w:rPr>
        <w:t>A/74/243, para. 20 (Contributions of the right to education to the prevention of atrocity crimes).</w:t>
      </w:r>
      <w:r>
        <w:t xml:space="preserve"> </w:t>
      </w:r>
    </w:p>
  </w:footnote>
  <w:footnote w:id="27">
    <w:p w14:paraId="397975B7" w14:textId="138AF364" w:rsidR="00F51ECF" w:rsidRDefault="00F51ECF" w:rsidP="00F51ECF">
      <w:pPr>
        <w:pStyle w:val="FootnoteText"/>
        <w:tabs>
          <w:tab w:val="clear" w:pos="1021"/>
          <w:tab w:val="right" w:pos="1020"/>
        </w:tabs>
        <w:ind w:right="-1"/>
        <w:jc w:val="both"/>
      </w:pPr>
      <w:r>
        <w:tab/>
      </w:r>
      <w:r>
        <w:rPr>
          <w:rStyle w:val="FootnoteReference"/>
        </w:rPr>
        <w:footnoteRef/>
      </w:r>
      <w:r>
        <w:tab/>
      </w:r>
      <w:r w:rsidRPr="004B2AD3">
        <w:rPr>
          <w:szCs w:val="18"/>
        </w:rPr>
        <w:t>A/HRC/47/32 (Cultural dimensions of the right to education or the right to education as a cultural right), para. 52.</w:t>
      </w:r>
      <w:r>
        <w:t xml:space="preserve"> </w:t>
      </w:r>
    </w:p>
  </w:footnote>
  <w:footnote w:id="28">
    <w:p w14:paraId="34DA73EE" w14:textId="1B7389BE" w:rsidR="00F51ECF" w:rsidRDefault="00F51ECF" w:rsidP="00F51ECF">
      <w:pPr>
        <w:pStyle w:val="FootnoteText"/>
        <w:widowControl w:val="0"/>
        <w:tabs>
          <w:tab w:val="clear" w:pos="1021"/>
          <w:tab w:val="right" w:pos="1020"/>
        </w:tabs>
      </w:pPr>
      <w:r>
        <w:tab/>
      </w:r>
      <w:r>
        <w:rPr>
          <w:rStyle w:val="FootnoteReference"/>
        </w:rPr>
        <w:footnoteRef/>
      </w:r>
      <w:r>
        <w:tab/>
      </w:r>
      <w:r w:rsidRPr="004B2AD3">
        <w:rPr>
          <w:szCs w:val="18"/>
        </w:rPr>
        <w:t>A/74/243, para. 68.</w:t>
      </w:r>
      <w:r>
        <w:t xml:space="preserve"> </w:t>
      </w:r>
    </w:p>
  </w:footnote>
  <w:footnote w:id="29">
    <w:p w14:paraId="4BD5B820" w14:textId="347EBEC0" w:rsidR="00F51ECF" w:rsidRDefault="00F51ECF" w:rsidP="00F51ECF">
      <w:pPr>
        <w:pStyle w:val="FootnoteText"/>
        <w:widowControl w:val="0"/>
        <w:tabs>
          <w:tab w:val="clear" w:pos="1021"/>
          <w:tab w:val="right" w:pos="1020"/>
        </w:tabs>
      </w:pPr>
      <w:r>
        <w:tab/>
      </w:r>
      <w:r>
        <w:rPr>
          <w:rStyle w:val="FootnoteReference"/>
        </w:rPr>
        <w:footnoteRef/>
      </w:r>
      <w:r>
        <w:tab/>
      </w:r>
      <w:r w:rsidRPr="004B2AD3">
        <w:rPr>
          <w:szCs w:val="18"/>
        </w:rPr>
        <w:t>A/74/243, para. 36.</w:t>
      </w:r>
      <w:r>
        <w:t xml:space="preserve"> </w:t>
      </w:r>
    </w:p>
  </w:footnote>
  <w:footnote w:id="30">
    <w:p w14:paraId="68B8DA06" w14:textId="3ABEE807" w:rsidR="00BA2006" w:rsidRDefault="00BA2006" w:rsidP="00BA2006">
      <w:pPr>
        <w:pStyle w:val="FootnoteText"/>
        <w:widowControl w:val="0"/>
        <w:tabs>
          <w:tab w:val="clear" w:pos="1021"/>
          <w:tab w:val="right" w:pos="1020"/>
        </w:tabs>
      </w:pPr>
      <w:r>
        <w:tab/>
      </w:r>
      <w:r>
        <w:rPr>
          <w:rStyle w:val="FootnoteReference"/>
        </w:rPr>
        <w:footnoteRef/>
      </w:r>
      <w:r>
        <w:tab/>
      </w:r>
      <w:hyperlink r:id="rId16" w:history="1">
        <w:r w:rsidRPr="004B2AD3">
          <w:rPr>
            <w:rStyle w:val="Hyperlink"/>
            <w:szCs w:val="18"/>
          </w:rPr>
          <w:t>Guidelines for implementing Social and Emotional Learning in schools</w:t>
        </w:r>
      </w:hyperlink>
      <w:r w:rsidRPr="004B2AD3">
        <w:rPr>
          <w:szCs w:val="18"/>
        </w:rPr>
        <w:t>, Mahatma Gandhi Institute of Education for Peace and sustainable Development, UNESCO.</w:t>
      </w:r>
      <w:r>
        <w:t xml:space="preserve"> </w:t>
      </w:r>
    </w:p>
  </w:footnote>
  <w:footnote w:id="31">
    <w:p w14:paraId="6E3110AD" w14:textId="5FB57FD4" w:rsidR="00DE2900" w:rsidRDefault="00DE2900" w:rsidP="00DE2900">
      <w:pPr>
        <w:pStyle w:val="FootnoteText"/>
        <w:widowControl w:val="0"/>
        <w:tabs>
          <w:tab w:val="clear" w:pos="1021"/>
          <w:tab w:val="right" w:pos="1020"/>
        </w:tabs>
      </w:pPr>
      <w:r>
        <w:tab/>
      </w:r>
      <w:r>
        <w:rPr>
          <w:rStyle w:val="FootnoteReference"/>
        </w:rPr>
        <w:footnoteRef/>
      </w:r>
      <w:r>
        <w:tab/>
      </w:r>
      <w:r w:rsidRPr="004B2AD3">
        <w:rPr>
          <w:szCs w:val="18"/>
        </w:rPr>
        <w:t xml:space="preserve">CRC/GC/2001/1, paras. 15, 16 and 19. </w:t>
      </w:r>
      <w:r>
        <w:t xml:space="preserve"> </w:t>
      </w:r>
    </w:p>
  </w:footnote>
  <w:footnote w:id="32">
    <w:p w14:paraId="5E6C7638" w14:textId="070A99F1" w:rsidR="00DE2900" w:rsidRDefault="00DE2900" w:rsidP="00DE2900">
      <w:pPr>
        <w:pStyle w:val="FootnoteText"/>
        <w:widowControl w:val="0"/>
        <w:tabs>
          <w:tab w:val="clear" w:pos="1021"/>
          <w:tab w:val="right" w:pos="1020"/>
        </w:tabs>
      </w:pPr>
      <w:r>
        <w:tab/>
      </w:r>
      <w:r>
        <w:rPr>
          <w:rStyle w:val="FootnoteReference"/>
        </w:rPr>
        <w:footnoteRef/>
      </w:r>
      <w:r>
        <w:tab/>
      </w:r>
      <w:hyperlink r:id="rId17" w:history="1">
        <w:r w:rsidRPr="004B2AD3">
          <w:rPr>
            <w:rStyle w:val="Hyperlink"/>
            <w:szCs w:val="18"/>
          </w:rPr>
          <w:t>A Compendium on Comprehensive Sexuality Education | OHCHR</w:t>
        </w:r>
      </w:hyperlink>
      <w:r w:rsidRPr="004B2AD3">
        <w:rPr>
          <w:szCs w:val="18"/>
        </w:rPr>
        <w:t>.</w:t>
      </w:r>
      <w:r>
        <w:t xml:space="preserve"> </w:t>
      </w:r>
    </w:p>
  </w:footnote>
  <w:footnote w:id="33">
    <w:p w14:paraId="74C1D956" w14:textId="257B9757" w:rsidR="00DE2900" w:rsidRDefault="00DE2900" w:rsidP="00DE2900">
      <w:pPr>
        <w:pStyle w:val="FootnoteText"/>
        <w:widowControl w:val="0"/>
        <w:tabs>
          <w:tab w:val="clear" w:pos="1021"/>
          <w:tab w:val="right" w:pos="1020"/>
        </w:tabs>
      </w:pPr>
      <w:r>
        <w:tab/>
      </w:r>
      <w:r>
        <w:rPr>
          <w:rStyle w:val="FootnoteReference"/>
        </w:rPr>
        <w:footnoteRef/>
      </w:r>
      <w:r>
        <w:tab/>
      </w:r>
      <w:r w:rsidRPr="004B2AD3">
        <w:rPr>
          <w:szCs w:val="18"/>
        </w:rPr>
        <w:t>A/HRC/26/27, (Assessment of the educational assessment of students)</w:t>
      </w:r>
      <w:r>
        <w:rPr>
          <w:szCs w:val="18"/>
        </w:rPr>
        <w:t>.</w:t>
      </w:r>
      <w:r>
        <w:t xml:space="preserve"> </w:t>
      </w:r>
    </w:p>
  </w:footnote>
  <w:footnote w:id="34">
    <w:p w14:paraId="58169612" w14:textId="3B41D753" w:rsidR="00F177EB" w:rsidRDefault="00F177EB" w:rsidP="00F177EB">
      <w:pPr>
        <w:pStyle w:val="FootnoteText"/>
        <w:widowControl w:val="0"/>
        <w:tabs>
          <w:tab w:val="clear" w:pos="1021"/>
          <w:tab w:val="right" w:pos="1020"/>
        </w:tabs>
      </w:pPr>
      <w:r>
        <w:tab/>
      </w:r>
      <w:r>
        <w:rPr>
          <w:rStyle w:val="FootnoteReference"/>
        </w:rPr>
        <w:footnoteRef/>
      </w:r>
      <w:r>
        <w:tab/>
      </w:r>
      <w:r w:rsidRPr="004B2AD3">
        <w:rPr>
          <w:szCs w:val="18"/>
        </w:rPr>
        <w:t>A/HRC/</w:t>
      </w:r>
      <w:r>
        <w:rPr>
          <w:szCs w:val="18"/>
        </w:rPr>
        <w:t>47</w:t>
      </w:r>
      <w:r w:rsidRPr="004B2AD3">
        <w:rPr>
          <w:szCs w:val="18"/>
        </w:rPr>
        <w:t>/32, para. 9. Belarus Helsinki Committee, paras. 2 and 15.</w:t>
      </w:r>
      <w:r>
        <w:t xml:space="preserve"> </w:t>
      </w:r>
    </w:p>
  </w:footnote>
  <w:footnote w:id="35">
    <w:p w14:paraId="38D39697" w14:textId="0D7742E0" w:rsidR="00F177EB" w:rsidRDefault="00F177EB" w:rsidP="00F177EB">
      <w:pPr>
        <w:pStyle w:val="FootnoteText"/>
        <w:widowControl w:val="0"/>
        <w:tabs>
          <w:tab w:val="clear" w:pos="1021"/>
          <w:tab w:val="right" w:pos="1020"/>
        </w:tabs>
      </w:pPr>
      <w:r>
        <w:tab/>
      </w:r>
      <w:r>
        <w:rPr>
          <w:rStyle w:val="FootnoteReference"/>
        </w:rPr>
        <w:footnoteRef/>
      </w:r>
      <w:r>
        <w:tab/>
      </w:r>
      <w:r w:rsidRPr="004B2AD3">
        <w:rPr>
          <w:szCs w:val="18"/>
        </w:rPr>
        <w:t>UNESCO Commission, p. 11.</w:t>
      </w:r>
      <w:r>
        <w:t xml:space="preserve"> </w:t>
      </w:r>
    </w:p>
  </w:footnote>
  <w:footnote w:id="36">
    <w:p w14:paraId="2D0C7E0C" w14:textId="13AC4583" w:rsidR="00F177EB" w:rsidRDefault="00F177EB" w:rsidP="00F177EB">
      <w:pPr>
        <w:pStyle w:val="FootnoteText"/>
        <w:tabs>
          <w:tab w:val="clear" w:pos="1021"/>
          <w:tab w:val="right" w:pos="1020"/>
        </w:tabs>
        <w:jc w:val="both"/>
      </w:pPr>
      <w:r>
        <w:tab/>
      </w:r>
      <w:r>
        <w:rPr>
          <w:rStyle w:val="FootnoteReference"/>
        </w:rPr>
        <w:footnoteRef/>
      </w:r>
      <w:r>
        <w:tab/>
      </w:r>
      <w:r w:rsidRPr="004F411D">
        <w:rPr>
          <w:szCs w:val="18"/>
        </w:rPr>
        <w:t>Cypriot Commissioner for Children's Rights, 3.</w:t>
      </w:r>
      <w:r>
        <w:t xml:space="preserve"> </w:t>
      </w:r>
    </w:p>
  </w:footnote>
  <w:footnote w:id="37">
    <w:p w14:paraId="6BD1EDA5" w14:textId="1920842F" w:rsidR="00193A26" w:rsidRDefault="00193A26" w:rsidP="00193A26">
      <w:pPr>
        <w:pStyle w:val="FootnoteText"/>
        <w:widowControl w:val="0"/>
        <w:tabs>
          <w:tab w:val="clear" w:pos="1021"/>
          <w:tab w:val="right" w:pos="1020"/>
        </w:tabs>
      </w:pPr>
      <w:r>
        <w:tab/>
      </w:r>
      <w:r>
        <w:rPr>
          <w:rStyle w:val="FootnoteReference"/>
        </w:rPr>
        <w:footnoteRef/>
      </w:r>
      <w:r>
        <w:tab/>
      </w:r>
      <w:r w:rsidRPr="004B2AD3">
        <w:rPr>
          <w:szCs w:val="18"/>
        </w:rPr>
        <w:t>A/71/358, paras 41 and ff.</w:t>
      </w:r>
      <w:r>
        <w:t xml:space="preserve"> </w:t>
      </w:r>
    </w:p>
  </w:footnote>
  <w:footnote w:id="38">
    <w:p w14:paraId="487AD884" w14:textId="1D5A1F1E" w:rsidR="00193A26" w:rsidRDefault="00193A26" w:rsidP="00193A26">
      <w:pPr>
        <w:pStyle w:val="FootnoteText"/>
        <w:widowControl w:val="0"/>
        <w:tabs>
          <w:tab w:val="clear" w:pos="1021"/>
          <w:tab w:val="right" w:pos="1020"/>
        </w:tabs>
      </w:pPr>
      <w:r>
        <w:tab/>
      </w:r>
      <w:r>
        <w:rPr>
          <w:rStyle w:val="FootnoteReference"/>
        </w:rPr>
        <w:footnoteRef/>
      </w:r>
      <w:r>
        <w:tab/>
      </w:r>
      <w:r w:rsidRPr="004B2AD3">
        <w:rPr>
          <w:szCs w:val="18"/>
        </w:rPr>
        <w:t>A/71/358; UNESCO Commission, p. 12, 117 and 152.</w:t>
      </w:r>
      <w:r>
        <w:t xml:space="preserve"> </w:t>
      </w:r>
    </w:p>
  </w:footnote>
  <w:footnote w:id="39">
    <w:p w14:paraId="60B78B99" w14:textId="4DA9474F" w:rsidR="004D68FD" w:rsidRDefault="004D68FD" w:rsidP="004D68FD">
      <w:pPr>
        <w:pStyle w:val="FootnoteText"/>
        <w:widowControl w:val="0"/>
        <w:tabs>
          <w:tab w:val="clear" w:pos="1021"/>
          <w:tab w:val="right" w:pos="1020"/>
        </w:tabs>
      </w:pPr>
      <w:r>
        <w:tab/>
      </w:r>
      <w:r>
        <w:rPr>
          <w:rStyle w:val="FootnoteReference"/>
        </w:rPr>
        <w:footnoteRef/>
      </w:r>
      <w:r>
        <w:tab/>
      </w:r>
      <w:r w:rsidRPr="004B2AD3">
        <w:rPr>
          <w:szCs w:val="18"/>
        </w:rPr>
        <w:t xml:space="preserve">A/77/324 (ECCE); Right to Education Initiative, 2022, </w:t>
      </w:r>
      <w:hyperlink r:id="rId18" w:history="1">
        <w:r w:rsidRPr="004B2AD3">
          <w:rPr>
            <w:rStyle w:val="Hyperlink"/>
            <w:color w:val="1155CC"/>
            <w:szCs w:val="18"/>
          </w:rPr>
          <w:t>Early Childhood Care and Education as a gateway to inclusive education: an analysis of UN Special Rapporteurs’ Reports</w:t>
        </w:r>
      </w:hyperlink>
      <w:r w:rsidRPr="004B2AD3">
        <w:rPr>
          <w:color w:val="351C75"/>
          <w:szCs w:val="18"/>
        </w:rPr>
        <w:t>.</w:t>
      </w:r>
      <w:r>
        <w:t xml:space="preserve"> </w:t>
      </w:r>
    </w:p>
  </w:footnote>
  <w:footnote w:id="40">
    <w:p w14:paraId="7281E5F2" w14:textId="1519D50D" w:rsidR="004D68FD" w:rsidRDefault="004D68FD" w:rsidP="004D68FD">
      <w:pPr>
        <w:pStyle w:val="FootnoteText"/>
        <w:widowControl w:val="0"/>
        <w:tabs>
          <w:tab w:val="clear" w:pos="1021"/>
          <w:tab w:val="right" w:pos="1020"/>
        </w:tabs>
      </w:pPr>
      <w:r>
        <w:tab/>
      </w:r>
      <w:r>
        <w:rPr>
          <w:rStyle w:val="FootnoteReference"/>
        </w:rPr>
        <w:footnoteRef/>
      </w:r>
      <w:r>
        <w:tab/>
      </w:r>
      <w:hyperlink r:id="rId19" w:history="1">
        <w:r w:rsidRPr="004B2AD3">
          <w:rPr>
            <w:rStyle w:val="Hyperlink"/>
            <w:szCs w:val="18"/>
          </w:rPr>
          <w:t>Why early childhood care and education matters | UNESCO</w:t>
        </w:r>
      </w:hyperlink>
      <w:r w:rsidRPr="004B2AD3">
        <w:rPr>
          <w:rStyle w:val="Hyperlink"/>
          <w:szCs w:val="18"/>
        </w:rPr>
        <w:t>.</w:t>
      </w:r>
      <w:r>
        <w:t xml:space="preserve"> </w:t>
      </w:r>
    </w:p>
  </w:footnote>
  <w:footnote w:id="41">
    <w:p w14:paraId="020E6823" w14:textId="15276E4E" w:rsidR="005D7DA7" w:rsidRDefault="005D7DA7" w:rsidP="005D7DA7">
      <w:pPr>
        <w:pStyle w:val="FootnoteText"/>
        <w:widowControl w:val="0"/>
        <w:tabs>
          <w:tab w:val="clear" w:pos="1021"/>
          <w:tab w:val="right" w:pos="1020"/>
        </w:tabs>
      </w:pPr>
      <w:r>
        <w:tab/>
      </w:r>
      <w:r>
        <w:rPr>
          <w:rStyle w:val="FootnoteReference"/>
        </w:rPr>
        <w:footnoteRef/>
      </w:r>
      <w:r w:rsidRPr="006666C1">
        <w:rPr>
          <w:lang w:val="fr-FR"/>
        </w:rPr>
        <w:tab/>
      </w:r>
      <w:proofErr w:type="spellStart"/>
      <w:r w:rsidRPr="00361E1C">
        <w:rPr>
          <w:szCs w:val="18"/>
          <w:lang w:val="fr-FR"/>
        </w:rPr>
        <w:t>European</w:t>
      </w:r>
      <w:proofErr w:type="spellEnd"/>
      <w:r w:rsidRPr="00361E1C">
        <w:rPr>
          <w:szCs w:val="18"/>
          <w:lang w:val="fr-FR"/>
        </w:rPr>
        <w:t xml:space="preserve"> </w:t>
      </w:r>
      <w:proofErr w:type="spellStart"/>
      <w:r w:rsidRPr="00361E1C">
        <w:rPr>
          <w:szCs w:val="18"/>
          <w:lang w:val="fr-FR"/>
        </w:rPr>
        <w:t>Students</w:t>
      </w:r>
      <w:proofErr w:type="spellEnd"/>
      <w:r w:rsidRPr="00361E1C">
        <w:rPr>
          <w:szCs w:val="18"/>
          <w:lang w:val="fr-FR"/>
        </w:rPr>
        <w:t xml:space="preserve"> Union, </w:t>
      </w:r>
      <w:proofErr w:type="gramStart"/>
      <w:r w:rsidRPr="00361E1C">
        <w:rPr>
          <w:szCs w:val="18"/>
          <w:lang w:val="fr-FR"/>
        </w:rPr>
        <w:t>1;</w:t>
      </w:r>
      <w:proofErr w:type="gramEnd"/>
      <w:r w:rsidRPr="00361E1C">
        <w:rPr>
          <w:szCs w:val="18"/>
          <w:lang w:val="fr-FR"/>
        </w:rPr>
        <w:t xml:space="preserve"> Fédération des </w:t>
      </w:r>
      <w:proofErr w:type="spellStart"/>
      <w:r w:rsidRPr="00361E1C">
        <w:rPr>
          <w:szCs w:val="18"/>
          <w:lang w:val="fr-FR"/>
        </w:rPr>
        <w:t>Etudiant.e.s</w:t>
      </w:r>
      <w:proofErr w:type="spellEnd"/>
      <w:r w:rsidRPr="00361E1C">
        <w:rPr>
          <w:szCs w:val="18"/>
          <w:lang w:val="fr-FR"/>
        </w:rPr>
        <w:t xml:space="preserve"> Francophones, p. 1. </w:t>
      </w:r>
      <w:r w:rsidRPr="004B2AD3">
        <w:rPr>
          <w:szCs w:val="18"/>
        </w:rPr>
        <w:t>Italian Students’ Union, p. 4.</w:t>
      </w:r>
      <w:r>
        <w:t xml:space="preserve"> </w:t>
      </w:r>
    </w:p>
  </w:footnote>
  <w:footnote w:id="42">
    <w:p w14:paraId="259EF5DE" w14:textId="41A471B8" w:rsidR="005D7DA7" w:rsidRDefault="005D7DA7" w:rsidP="005D7DA7">
      <w:pPr>
        <w:pStyle w:val="FootnoteText"/>
        <w:widowControl w:val="0"/>
        <w:tabs>
          <w:tab w:val="clear" w:pos="1021"/>
          <w:tab w:val="right" w:pos="1020"/>
        </w:tabs>
      </w:pPr>
      <w:r>
        <w:tab/>
      </w:r>
      <w:r>
        <w:rPr>
          <w:rStyle w:val="FootnoteReference"/>
        </w:rPr>
        <w:footnoteRef/>
      </w:r>
      <w:r>
        <w:tab/>
      </w:r>
      <w:r w:rsidRPr="004B2AD3">
        <w:rPr>
          <w:szCs w:val="18"/>
          <w:shd w:val="clear" w:color="auto" w:fill="FFFFFF"/>
        </w:rPr>
        <w:t>UNESCO International Institute for Higher Education in Latin America and the Caribbean (IESALC)</w:t>
      </w:r>
      <w:r w:rsidRPr="004B2AD3">
        <w:rPr>
          <w:szCs w:val="18"/>
        </w:rPr>
        <w:t>, paras. 42 and 45</w:t>
      </w:r>
      <w:r>
        <w:rPr>
          <w:szCs w:val="18"/>
        </w:rPr>
        <w:t>.</w:t>
      </w:r>
      <w:r>
        <w:t xml:space="preserve"> </w:t>
      </w:r>
    </w:p>
  </w:footnote>
  <w:footnote w:id="43">
    <w:p w14:paraId="7DF07941" w14:textId="1973A3E2" w:rsidR="005D7DA7" w:rsidRDefault="005D7DA7" w:rsidP="005D7DA7">
      <w:pPr>
        <w:pStyle w:val="FootnoteText"/>
        <w:widowControl w:val="0"/>
        <w:tabs>
          <w:tab w:val="clear" w:pos="1021"/>
          <w:tab w:val="right" w:pos="1020"/>
        </w:tabs>
      </w:pPr>
      <w:r>
        <w:tab/>
      </w:r>
      <w:r>
        <w:rPr>
          <w:rStyle w:val="FootnoteReference"/>
        </w:rPr>
        <w:footnoteRef/>
      </w:r>
      <w:r>
        <w:tab/>
      </w:r>
      <w:r w:rsidRPr="004B2AD3">
        <w:rPr>
          <w:szCs w:val="18"/>
        </w:rPr>
        <w:t>A/67/310, para. 25, 31 and 89; A/71/358, para. 67.</w:t>
      </w:r>
      <w:r>
        <w:t xml:space="preserve"> </w:t>
      </w:r>
    </w:p>
  </w:footnote>
  <w:footnote w:id="44">
    <w:p w14:paraId="5B04EBD7" w14:textId="6EDC3881" w:rsidR="00983723" w:rsidRDefault="00983723" w:rsidP="00983723">
      <w:pPr>
        <w:pStyle w:val="FootnoteText"/>
        <w:widowControl w:val="0"/>
        <w:tabs>
          <w:tab w:val="clear" w:pos="1021"/>
          <w:tab w:val="right" w:pos="1020"/>
        </w:tabs>
      </w:pPr>
      <w:r>
        <w:tab/>
      </w:r>
      <w:r>
        <w:rPr>
          <w:rStyle w:val="FootnoteReference"/>
        </w:rPr>
        <w:footnoteRef/>
      </w:r>
      <w:r>
        <w:tab/>
      </w:r>
      <w:r w:rsidRPr="004B2AD3">
        <w:rPr>
          <w:szCs w:val="18"/>
        </w:rPr>
        <w:t>Abidjan Principles, 9 and 14; A/HRC/20/21 (</w:t>
      </w:r>
      <w:r w:rsidRPr="004B2AD3">
        <w:rPr>
          <w:spacing w:val="4"/>
          <w:szCs w:val="18"/>
          <w:shd w:val="clear" w:color="auto" w:fill="FAFAF8"/>
        </w:rPr>
        <w:t>Normative action for quality education).</w:t>
      </w:r>
      <w:r>
        <w:t xml:space="preserve"> </w:t>
      </w:r>
    </w:p>
  </w:footnote>
  <w:footnote w:id="45">
    <w:p w14:paraId="3964FCDD" w14:textId="1E24621B" w:rsidR="00983723" w:rsidRDefault="00983723" w:rsidP="00983723">
      <w:pPr>
        <w:pStyle w:val="FootnoteText"/>
        <w:widowControl w:val="0"/>
        <w:tabs>
          <w:tab w:val="clear" w:pos="1021"/>
          <w:tab w:val="right" w:pos="1020"/>
        </w:tabs>
      </w:pPr>
      <w:r>
        <w:tab/>
      </w:r>
      <w:r>
        <w:rPr>
          <w:rStyle w:val="FootnoteReference"/>
        </w:rPr>
        <w:footnoteRef/>
      </w:r>
      <w:r>
        <w:tab/>
      </w:r>
      <w:r w:rsidRPr="004B2AD3">
        <w:rPr>
          <w:szCs w:val="18"/>
        </w:rPr>
        <w:t xml:space="preserve">Human Rights Watch, p. 2. </w:t>
      </w:r>
      <w:r>
        <w:rPr>
          <w:szCs w:val="18"/>
        </w:rPr>
        <w:t xml:space="preserve">See also </w:t>
      </w:r>
      <w:r w:rsidRPr="004B2AD3">
        <w:rPr>
          <w:szCs w:val="18"/>
        </w:rPr>
        <w:t>Tashkent Declaration, 2(V) and 3(VIII). Right to Education Initiative, p. 4.</w:t>
      </w:r>
      <w:r>
        <w:t xml:space="preserve"> </w:t>
      </w:r>
    </w:p>
  </w:footnote>
  <w:footnote w:id="46">
    <w:p w14:paraId="56423FB9" w14:textId="34BEDC61" w:rsidR="004E12D9" w:rsidRDefault="004E12D9" w:rsidP="004E12D9">
      <w:pPr>
        <w:pStyle w:val="FootnoteText"/>
        <w:widowControl w:val="0"/>
        <w:tabs>
          <w:tab w:val="clear" w:pos="1021"/>
          <w:tab w:val="right" w:pos="1020"/>
        </w:tabs>
      </w:pPr>
      <w:r>
        <w:tab/>
      </w:r>
      <w:r>
        <w:rPr>
          <w:rStyle w:val="FootnoteReference"/>
        </w:rPr>
        <w:footnoteRef/>
      </w:r>
      <w:r>
        <w:tab/>
      </w:r>
      <w:r w:rsidRPr="004B2AD3">
        <w:rPr>
          <w:szCs w:val="18"/>
        </w:rPr>
        <w:t>For example, Ecuador, question 3; Djibouti, p. 5</w:t>
      </w:r>
      <w:r>
        <w:rPr>
          <w:szCs w:val="18"/>
        </w:rPr>
        <w:t>.</w:t>
      </w:r>
      <w:r>
        <w:t xml:space="preserve"> </w:t>
      </w:r>
    </w:p>
  </w:footnote>
  <w:footnote w:id="47">
    <w:p w14:paraId="165D4F3C" w14:textId="16430611" w:rsidR="004E12D9" w:rsidRDefault="004E12D9" w:rsidP="004E12D9">
      <w:pPr>
        <w:pStyle w:val="FootnoteText"/>
        <w:widowControl w:val="0"/>
        <w:tabs>
          <w:tab w:val="clear" w:pos="1021"/>
          <w:tab w:val="right" w:pos="1020"/>
        </w:tabs>
      </w:pPr>
      <w:r>
        <w:tab/>
      </w:r>
      <w:r>
        <w:rPr>
          <w:rStyle w:val="FootnoteReference"/>
        </w:rPr>
        <w:footnoteRef/>
      </w:r>
      <w:r>
        <w:tab/>
      </w:r>
      <w:r w:rsidRPr="004B2AD3">
        <w:rPr>
          <w:szCs w:val="18"/>
        </w:rPr>
        <w:t>A/HRC/50/32, paras. 4 and 97 d).</w:t>
      </w:r>
      <w:r>
        <w:t xml:space="preserve"> </w:t>
      </w:r>
    </w:p>
  </w:footnote>
  <w:footnote w:id="48">
    <w:p w14:paraId="51FF5F83" w14:textId="68B09CFA" w:rsidR="004E12D9" w:rsidRDefault="004E12D9" w:rsidP="004E12D9">
      <w:pPr>
        <w:pStyle w:val="FootnoteText"/>
        <w:widowControl w:val="0"/>
        <w:tabs>
          <w:tab w:val="clear" w:pos="1021"/>
          <w:tab w:val="right" w:pos="1020"/>
        </w:tabs>
      </w:pPr>
      <w:r>
        <w:tab/>
      </w:r>
      <w:r>
        <w:rPr>
          <w:rStyle w:val="FootnoteReference"/>
        </w:rPr>
        <w:footnoteRef/>
      </w:r>
      <w:r>
        <w:tab/>
      </w:r>
      <w:r w:rsidRPr="004B2AD3">
        <w:rPr>
          <w:szCs w:val="18"/>
        </w:rPr>
        <w:t>A/69/286, paras. 69 and 104 e).</w:t>
      </w:r>
      <w:r>
        <w:t xml:space="preserve"> </w:t>
      </w:r>
    </w:p>
  </w:footnote>
  <w:footnote w:id="49">
    <w:p w14:paraId="51BFEF29" w14:textId="76428372" w:rsidR="004E12D9" w:rsidRDefault="004E12D9" w:rsidP="004E12D9">
      <w:pPr>
        <w:pStyle w:val="FootnoteText"/>
        <w:widowControl w:val="0"/>
        <w:tabs>
          <w:tab w:val="clear" w:pos="1021"/>
          <w:tab w:val="right" w:pos="1020"/>
        </w:tabs>
      </w:pPr>
      <w:r>
        <w:tab/>
      </w:r>
      <w:r>
        <w:rPr>
          <w:rStyle w:val="FootnoteReference"/>
        </w:rPr>
        <w:footnoteRef/>
      </w:r>
      <w:r>
        <w:tab/>
      </w:r>
      <w:r w:rsidRPr="004B2AD3">
        <w:rPr>
          <w:szCs w:val="18"/>
        </w:rPr>
        <w:t>A/72/496, para. 20 (Inclusion, equity, and the right to education); A/HRC/17/29 (Equality of opportunity in education).</w:t>
      </w:r>
      <w:r>
        <w:t xml:space="preserve"> </w:t>
      </w:r>
    </w:p>
  </w:footnote>
  <w:footnote w:id="50">
    <w:p w14:paraId="19BDF3BF" w14:textId="6CD5D71F" w:rsidR="00CD6F1D" w:rsidRDefault="00CD6F1D" w:rsidP="00CD6F1D">
      <w:pPr>
        <w:pStyle w:val="FootnoteText"/>
        <w:widowControl w:val="0"/>
        <w:tabs>
          <w:tab w:val="clear" w:pos="1021"/>
          <w:tab w:val="right" w:pos="1020"/>
        </w:tabs>
      </w:pPr>
      <w:r>
        <w:tab/>
      </w:r>
      <w:r>
        <w:rPr>
          <w:rStyle w:val="FootnoteReference"/>
        </w:rPr>
        <w:footnoteRef/>
      </w:r>
      <w:r>
        <w:tab/>
      </w:r>
      <w:r w:rsidRPr="004B2AD3">
        <w:rPr>
          <w:szCs w:val="18"/>
        </w:rPr>
        <w:t>A/72/496, para. 19</w:t>
      </w:r>
      <w:r>
        <w:rPr>
          <w:szCs w:val="18"/>
        </w:rPr>
        <w:t>.</w:t>
      </w:r>
      <w:r w:rsidRPr="004B2AD3">
        <w:rPr>
          <w:szCs w:val="18"/>
        </w:rPr>
        <w:t xml:space="preserve"> and 110. </w:t>
      </w:r>
      <w:r>
        <w:t xml:space="preserve"> </w:t>
      </w:r>
    </w:p>
  </w:footnote>
  <w:footnote w:id="51">
    <w:p w14:paraId="0FE84DFF" w14:textId="2207DE4C" w:rsidR="00CD6F1D" w:rsidRDefault="00CD6F1D" w:rsidP="00CD6F1D">
      <w:pPr>
        <w:pStyle w:val="FootnoteText"/>
        <w:widowControl w:val="0"/>
        <w:tabs>
          <w:tab w:val="clear" w:pos="1021"/>
          <w:tab w:val="right" w:pos="1020"/>
        </w:tabs>
      </w:pPr>
      <w:r>
        <w:tab/>
      </w:r>
      <w:r>
        <w:rPr>
          <w:rStyle w:val="FootnoteReference"/>
        </w:rPr>
        <w:footnoteRef/>
      </w:r>
      <w:r>
        <w:tab/>
      </w:r>
      <w:r w:rsidRPr="004B2AD3">
        <w:rPr>
          <w:szCs w:val="18"/>
        </w:rPr>
        <w:t>A/HRC/4/29; Contribution, Inclusion International, p. 7.</w:t>
      </w:r>
      <w:r>
        <w:t xml:space="preserve"> </w:t>
      </w:r>
    </w:p>
  </w:footnote>
  <w:footnote w:id="52">
    <w:p w14:paraId="2270B641" w14:textId="738B4E84" w:rsidR="00CD6F1D" w:rsidRDefault="00CD6F1D" w:rsidP="00CD6F1D">
      <w:pPr>
        <w:pStyle w:val="FootnoteText"/>
        <w:widowControl w:val="0"/>
        <w:tabs>
          <w:tab w:val="clear" w:pos="1021"/>
          <w:tab w:val="right" w:pos="1020"/>
        </w:tabs>
      </w:pPr>
      <w:r>
        <w:tab/>
      </w:r>
      <w:r>
        <w:rPr>
          <w:rStyle w:val="FootnoteReference"/>
        </w:rPr>
        <w:footnoteRef/>
      </w:r>
      <w:r>
        <w:tab/>
      </w:r>
      <w:r w:rsidRPr="004B2AD3">
        <w:rPr>
          <w:szCs w:val="18"/>
        </w:rPr>
        <w:t>Committee on the Rights of People with Disabilities, General Comment 4, para. 10 a). See also A/HRC/25/29.</w:t>
      </w:r>
      <w:r>
        <w:t xml:space="preserve"> </w:t>
      </w:r>
    </w:p>
  </w:footnote>
  <w:footnote w:id="53">
    <w:p w14:paraId="52AD5414" w14:textId="6ABCB70B" w:rsidR="00CD6F1D" w:rsidRDefault="00CD6F1D" w:rsidP="00CD6F1D">
      <w:pPr>
        <w:pStyle w:val="FootnoteText"/>
        <w:widowControl w:val="0"/>
        <w:tabs>
          <w:tab w:val="clear" w:pos="1021"/>
          <w:tab w:val="right" w:pos="1020"/>
        </w:tabs>
      </w:pPr>
      <w:r>
        <w:tab/>
      </w:r>
      <w:r>
        <w:rPr>
          <w:rStyle w:val="FootnoteReference"/>
        </w:rPr>
        <w:footnoteRef/>
      </w:r>
      <w:r>
        <w:tab/>
      </w:r>
      <w:r w:rsidRPr="004B2AD3">
        <w:rPr>
          <w:szCs w:val="18"/>
        </w:rPr>
        <w:t>Committee on the Rights of People with Disabilities, General Comment 4, para. 11.</w:t>
      </w:r>
      <w:r>
        <w:t xml:space="preserve"> </w:t>
      </w:r>
    </w:p>
  </w:footnote>
  <w:footnote w:id="54">
    <w:p w14:paraId="060BC561" w14:textId="06C26439" w:rsidR="00F0309C" w:rsidRDefault="00F0309C" w:rsidP="00F0309C">
      <w:pPr>
        <w:pStyle w:val="FootnoteText"/>
        <w:widowControl w:val="0"/>
        <w:tabs>
          <w:tab w:val="clear" w:pos="1021"/>
          <w:tab w:val="right" w:pos="1020"/>
        </w:tabs>
      </w:pPr>
      <w:r>
        <w:tab/>
      </w:r>
      <w:r>
        <w:rPr>
          <w:rStyle w:val="FootnoteReference"/>
        </w:rPr>
        <w:footnoteRef/>
      </w:r>
      <w:r>
        <w:tab/>
      </w:r>
      <w:r w:rsidRPr="004B2AD3">
        <w:rPr>
          <w:szCs w:val="18"/>
        </w:rPr>
        <w:t>A/HRC/47/32, paras. 4-5 and 32-41</w:t>
      </w:r>
      <w:r w:rsidRPr="007856B7">
        <w:rPr>
          <w:szCs w:val="18"/>
        </w:rPr>
        <w:t>.</w:t>
      </w:r>
      <w:r w:rsidRPr="004B2AD3">
        <w:rPr>
          <w:szCs w:val="18"/>
        </w:rPr>
        <w:t>, Contribution, El Salvador, 6 a).</w:t>
      </w:r>
      <w:r>
        <w:t xml:space="preserve"> </w:t>
      </w:r>
    </w:p>
  </w:footnote>
  <w:footnote w:id="55">
    <w:p w14:paraId="2E4B017E" w14:textId="3633EE5D" w:rsidR="00F0309C" w:rsidRDefault="00F0309C" w:rsidP="00F0309C">
      <w:pPr>
        <w:pStyle w:val="FootnoteText"/>
        <w:widowControl w:val="0"/>
        <w:tabs>
          <w:tab w:val="clear" w:pos="1021"/>
          <w:tab w:val="right" w:pos="1020"/>
        </w:tabs>
      </w:pPr>
      <w:r>
        <w:tab/>
      </w:r>
      <w:r>
        <w:rPr>
          <w:rStyle w:val="FootnoteReference"/>
        </w:rPr>
        <w:footnoteRef/>
      </w:r>
      <w:r>
        <w:tab/>
      </w:r>
      <w:r>
        <w:rPr>
          <w:szCs w:val="18"/>
        </w:rPr>
        <w:t xml:space="preserve">Notably, </w:t>
      </w:r>
      <w:r w:rsidRPr="004B2AD3">
        <w:rPr>
          <w:szCs w:val="18"/>
        </w:rPr>
        <w:t>A/72/496 (Inclusion, equity, and the right to education); A /76/158 (migrants) A/73/262 (refugees)</w:t>
      </w:r>
      <w:r w:rsidRPr="004B2AD3">
        <w:rPr>
          <w:szCs w:val="18"/>
          <w:lang w:val="en-US"/>
        </w:rPr>
        <w:t>, A/HRC/14/24 (migrants, refugees and asylum-seekers); A/HRC/11/8 (persons in detention); E/CN.4/2006/45 (Girls’ right to education).</w:t>
      </w:r>
      <w:r>
        <w:t xml:space="preserve"> </w:t>
      </w:r>
    </w:p>
  </w:footnote>
  <w:footnote w:id="56">
    <w:p w14:paraId="64B9C366" w14:textId="63441DE5" w:rsidR="00C35419" w:rsidRDefault="00C35419" w:rsidP="00C35419">
      <w:pPr>
        <w:pStyle w:val="FootnoteText"/>
        <w:widowControl w:val="0"/>
        <w:tabs>
          <w:tab w:val="clear" w:pos="1021"/>
          <w:tab w:val="right" w:pos="1020"/>
        </w:tabs>
      </w:pPr>
      <w:r>
        <w:tab/>
      </w:r>
      <w:r>
        <w:rPr>
          <w:rStyle w:val="FootnoteReference"/>
        </w:rPr>
        <w:footnoteRef/>
      </w:r>
      <w:r>
        <w:tab/>
      </w:r>
      <w:r w:rsidRPr="004F411D">
        <w:t>A/HRC/47/32, para. 53-59, 82.</w:t>
      </w:r>
      <w:r>
        <w:t xml:space="preserve"> See also UNESCO, Culture Sector. </w:t>
      </w:r>
    </w:p>
  </w:footnote>
  <w:footnote w:id="57">
    <w:p w14:paraId="58E1D60E" w14:textId="5A23B6A0" w:rsidR="007777F5" w:rsidRDefault="007777F5" w:rsidP="007777F5">
      <w:pPr>
        <w:pStyle w:val="FootnoteText"/>
        <w:widowControl w:val="0"/>
        <w:tabs>
          <w:tab w:val="clear" w:pos="1021"/>
          <w:tab w:val="right" w:pos="1020"/>
        </w:tabs>
      </w:pPr>
      <w:r>
        <w:tab/>
      </w:r>
      <w:r>
        <w:rPr>
          <w:rStyle w:val="FootnoteReference"/>
        </w:rPr>
        <w:footnoteRef/>
      </w:r>
      <w:r>
        <w:tab/>
      </w:r>
      <w:r w:rsidRPr="004B2AD3">
        <w:rPr>
          <w:szCs w:val="18"/>
        </w:rPr>
        <w:t xml:space="preserve">For example, </w:t>
      </w:r>
      <w:r w:rsidRPr="004F411D">
        <w:rPr>
          <w:szCs w:val="18"/>
        </w:rPr>
        <w:t>Cypriot Commissioner for Children's Rights, 10.</w:t>
      </w:r>
      <w:r>
        <w:t xml:space="preserve"> </w:t>
      </w:r>
    </w:p>
  </w:footnote>
  <w:footnote w:id="58">
    <w:p w14:paraId="446C16D9" w14:textId="5DEDE973" w:rsidR="00972F1A" w:rsidRDefault="00972F1A" w:rsidP="00972F1A">
      <w:pPr>
        <w:pStyle w:val="FootnoteText"/>
        <w:widowControl w:val="0"/>
        <w:tabs>
          <w:tab w:val="clear" w:pos="1021"/>
          <w:tab w:val="right" w:pos="1020"/>
        </w:tabs>
      </w:pPr>
      <w:r>
        <w:tab/>
      </w:r>
      <w:r>
        <w:rPr>
          <w:rStyle w:val="FootnoteReference"/>
        </w:rPr>
        <w:footnoteRef/>
      </w:r>
      <w:r>
        <w:tab/>
      </w:r>
      <w:r w:rsidRPr="004F411D">
        <w:t>A/HRC/47/32, para. 55.</w:t>
      </w:r>
      <w:r>
        <w:t xml:space="preserve"> </w:t>
      </w:r>
    </w:p>
  </w:footnote>
  <w:footnote w:id="59">
    <w:p w14:paraId="6722B71E" w14:textId="33F9EE75" w:rsidR="003C1E44" w:rsidRDefault="003C1E44" w:rsidP="003C1E44">
      <w:pPr>
        <w:pStyle w:val="FootnoteText"/>
        <w:widowControl w:val="0"/>
        <w:tabs>
          <w:tab w:val="clear" w:pos="1021"/>
          <w:tab w:val="right" w:pos="1020"/>
        </w:tabs>
      </w:pPr>
      <w:r>
        <w:tab/>
      </w:r>
      <w:r>
        <w:rPr>
          <w:rStyle w:val="FootnoteReference"/>
        </w:rPr>
        <w:footnoteRef/>
      </w:r>
      <w:r>
        <w:tab/>
      </w:r>
      <w:r w:rsidRPr="004F411D">
        <w:t>UNESCO Universal Declaration on cultural diversity, article 4.</w:t>
      </w:r>
      <w:r>
        <w:t xml:space="preserve"> </w:t>
      </w:r>
    </w:p>
  </w:footnote>
  <w:footnote w:id="60">
    <w:p w14:paraId="7C7524B2" w14:textId="4987ABBE" w:rsidR="003C1E44" w:rsidRDefault="003C1E44" w:rsidP="003C1E44">
      <w:pPr>
        <w:pStyle w:val="FootnoteText"/>
        <w:widowControl w:val="0"/>
        <w:tabs>
          <w:tab w:val="clear" w:pos="1021"/>
          <w:tab w:val="right" w:pos="1020"/>
        </w:tabs>
      </w:pPr>
      <w:r>
        <w:tab/>
      </w:r>
      <w:r>
        <w:rPr>
          <w:rStyle w:val="FootnoteReference"/>
        </w:rPr>
        <w:footnoteRef/>
      </w:r>
      <w:r>
        <w:tab/>
      </w:r>
      <w:r w:rsidRPr="004F411D">
        <w:t>A/68/296.</w:t>
      </w:r>
      <w:r>
        <w:t xml:space="preserve"> </w:t>
      </w:r>
    </w:p>
  </w:footnote>
  <w:footnote w:id="61">
    <w:p w14:paraId="3BA2E2DF" w14:textId="07AD1EA4" w:rsidR="003E7BAF" w:rsidRDefault="003E7BAF" w:rsidP="003E7BAF">
      <w:pPr>
        <w:pStyle w:val="FootnoteText"/>
        <w:widowControl w:val="0"/>
        <w:tabs>
          <w:tab w:val="clear" w:pos="1021"/>
          <w:tab w:val="right" w:pos="1020"/>
        </w:tabs>
      </w:pPr>
      <w:r>
        <w:tab/>
      </w:r>
      <w:r>
        <w:rPr>
          <w:rStyle w:val="FootnoteReference"/>
        </w:rPr>
        <w:footnoteRef/>
      </w:r>
      <w:r>
        <w:tab/>
      </w:r>
      <w:r w:rsidRPr="004F411D">
        <w:t xml:space="preserve">A/HRC/47/32, para. </w:t>
      </w:r>
      <w:r w:rsidRPr="004B2AD3">
        <w:rPr>
          <w:szCs w:val="18"/>
        </w:rPr>
        <w:t>79 h)</w:t>
      </w:r>
      <w:r>
        <w:t xml:space="preserve"> </w:t>
      </w:r>
    </w:p>
  </w:footnote>
  <w:footnote w:id="62">
    <w:p w14:paraId="5AEE4378" w14:textId="756BA9CE" w:rsidR="003E7BAF" w:rsidRDefault="003E7BAF" w:rsidP="003E7BAF">
      <w:pPr>
        <w:pStyle w:val="FootnoteText"/>
        <w:widowControl w:val="0"/>
        <w:tabs>
          <w:tab w:val="clear" w:pos="1021"/>
          <w:tab w:val="right" w:pos="1020"/>
        </w:tabs>
      </w:pPr>
      <w:r>
        <w:tab/>
      </w:r>
      <w:r>
        <w:rPr>
          <w:rStyle w:val="FootnoteReference"/>
        </w:rPr>
        <w:footnoteRef/>
      </w:r>
      <w:r>
        <w:tab/>
      </w:r>
      <w:r w:rsidRPr="004B2AD3">
        <w:rPr>
          <w:szCs w:val="18"/>
        </w:rPr>
        <w:t xml:space="preserve">On an emblematic court case, </w:t>
      </w:r>
      <w:r>
        <w:rPr>
          <w:szCs w:val="18"/>
        </w:rPr>
        <w:t xml:space="preserve">see contribution of </w:t>
      </w:r>
      <w:r w:rsidRPr="004B2AD3">
        <w:rPr>
          <w:szCs w:val="18"/>
        </w:rPr>
        <w:t>Portuguese Ombudsman Institution, 5.</w:t>
      </w:r>
      <w:r>
        <w:t xml:space="preserve"> </w:t>
      </w:r>
    </w:p>
  </w:footnote>
  <w:footnote w:id="63">
    <w:p w14:paraId="7512A962" w14:textId="1F0A6866" w:rsidR="00D541A5" w:rsidRDefault="00D541A5" w:rsidP="00D541A5">
      <w:pPr>
        <w:pStyle w:val="FootnoteText"/>
        <w:widowControl w:val="0"/>
        <w:tabs>
          <w:tab w:val="clear" w:pos="1021"/>
          <w:tab w:val="right" w:pos="1020"/>
        </w:tabs>
      </w:pPr>
      <w:r>
        <w:tab/>
      </w:r>
      <w:r>
        <w:rPr>
          <w:rStyle w:val="FootnoteReference"/>
        </w:rPr>
        <w:footnoteRef/>
      </w:r>
      <w:r>
        <w:tab/>
      </w:r>
      <w:r w:rsidRPr="004B2AD3">
        <w:rPr>
          <w:color w:val="000000"/>
          <w:szCs w:val="18"/>
          <w:shd w:val="clear" w:color="auto" w:fill="FFFFFF"/>
        </w:rPr>
        <w:t>Moira V. </w:t>
      </w:r>
      <w:proofErr w:type="spellStart"/>
      <w:r w:rsidRPr="004B2AD3">
        <w:rPr>
          <w:rStyle w:val="Strong"/>
          <w:b w:val="0"/>
          <w:bCs w:val="0"/>
          <w:color w:val="000000"/>
          <w:szCs w:val="18"/>
          <w:shd w:val="clear" w:color="auto" w:fill="FFFFFF"/>
        </w:rPr>
        <w:t>Faul</w:t>
      </w:r>
      <w:proofErr w:type="spellEnd"/>
      <w:r w:rsidRPr="004B2AD3">
        <w:rPr>
          <w:color w:val="000000"/>
          <w:szCs w:val="18"/>
          <w:shd w:val="clear" w:color="auto" w:fill="FFFFFF"/>
        </w:rPr>
        <w:t>, Patrick </w:t>
      </w:r>
      <w:proofErr w:type="spellStart"/>
      <w:r w:rsidRPr="004B2AD3">
        <w:rPr>
          <w:rStyle w:val="Strong"/>
          <w:b w:val="0"/>
          <w:bCs w:val="0"/>
          <w:color w:val="000000"/>
          <w:szCs w:val="18"/>
          <w:shd w:val="clear" w:color="auto" w:fill="FFFFFF"/>
        </w:rPr>
        <w:t>Montjouridès</w:t>
      </w:r>
      <w:proofErr w:type="spellEnd"/>
      <w:r w:rsidRPr="004B2AD3">
        <w:rPr>
          <w:color w:val="000000"/>
          <w:szCs w:val="18"/>
          <w:shd w:val="clear" w:color="auto" w:fill="FFFFFF"/>
        </w:rPr>
        <w:t xml:space="preserve"> and </w:t>
      </w:r>
      <w:proofErr w:type="spellStart"/>
      <w:r w:rsidRPr="004B2AD3">
        <w:rPr>
          <w:color w:val="000000"/>
          <w:szCs w:val="18"/>
          <w:shd w:val="clear" w:color="auto" w:fill="FFFFFF"/>
        </w:rPr>
        <w:t>Arushi</w:t>
      </w:r>
      <w:proofErr w:type="spellEnd"/>
      <w:r w:rsidRPr="004B2AD3">
        <w:rPr>
          <w:color w:val="000000"/>
          <w:szCs w:val="18"/>
          <w:shd w:val="clear" w:color="auto" w:fill="FFFFFF"/>
        </w:rPr>
        <w:t> </w:t>
      </w:r>
      <w:proofErr w:type="spellStart"/>
      <w:r w:rsidRPr="004B2AD3">
        <w:rPr>
          <w:rStyle w:val="Strong"/>
          <w:b w:val="0"/>
          <w:bCs w:val="0"/>
          <w:color w:val="000000"/>
          <w:szCs w:val="18"/>
          <w:shd w:val="clear" w:color="auto" w:fill="FFFFFF"/>
        </w:rPr>
        <w:t>Terway</w:t>
      </w:r>
      <w:proofErr w:type="spellEnd"/>
      <w:r w:rsidRPr="004B2AD3">
        <w:rPr>
          <w:szCs w:val="18"/>
        </w:rPr>
        <w:t xml:space="preserve">, </w:t>
      </w:r>
      <w:hyperlink r:id="rId20" w:history="1">
        <w:r w:rsidRPr="004B2AD3">
          <w:rPr>
            <w:rStyle w:val="Hyperlink"/>
            <w:szCs w:val="18"/>
          </w:rPr>
          <w:t>Education and the New Inequality Divides | Global Challenges</w:t>
        </w:r>
      </w:hyperlink>
      <w:r w:rsidRPr="004B2AD3">
        <w:rPr>
          <w:rStyle w:val="Hyperlink"/>
          <w:szCs w:val="18"/>
        </w:rPr>
        <w:t>.</w:t>
      </w:r>
      <w:r>
        <w:t xml:space="preserve"> </w:t>
      </w:r>
    </w:p>
  </w:footnote>
  <w:footnote w:id="64">
    <w:p w14:paraId="138140F6" w14:textId="3A749B9D" w:rsidR="00A9086E" w:rsidRDefault="00A9086E" w:rsidP="00A9086E">
      <w:pPr>
        <w:pStyle w:val="FootnoteText"/>
        <w:widowControl w:val="0"/>
        <w:tabs>
          <w:tab w:val="clear" w:pos="1021"/>
          <w:tab w:val="right" w:pos="1020"/>
        </w:tabs>
      </w:pPr>
      <w:r>
        <w:tab/>
      </w:r>
      <w:r>
        <w:rPr>
          <w:rStyle w:val="FootnoteReference"/>
        </w:rPr>
        <w:footnoteRef/>
      </w:r>
      <w:r>
        <w:tab/>
      </w:r>
      <w:r w:rsidRPr="004B2AD3">
        <w:rPr>
          <w:szCs w:val="18"/>
        </w:rPr>
        <w:t>A/HRC/41/37, paras. 31, 38-40, 80.</w:t>
      </w:r>
      <w:r>
        <w:t xml:space="preserve"> </w:t>
      </w:r>
    </w:p>
  </w:footnote>
  <w:footnote w:id="65">
    <w:p w14:paraId="70156821" w14:textId="103E3630" w:rsidR="00D8079D" w:rsidRDefault="00D8079D" w:rsidP="00D8079D">
      <w:pPr>
        <w:pStyle w:val="FootnoteText"/>
        <w:widowControl w:val="0"/>
        <w:tabs>
          <w:tab w:val="clear" w:pos="1021"/>
          <w:tab w:val="right" w:pos="1020"/>
        </w:tabs>
      </w:pPr>
      <w:r>
        <w:tab/>
      </w:r>
      <w:r>
        <w:rPr>
          <w:rStyle w:val="FootnoteReference"/>
        </w:rPr>
        <w:footnoteRef/>
      </w:r>
      <w:r>
        <w:tab/>
      </w:r>
      <w:r w:rsidRPr="004B2AD3">
        <w:rPr>
          <w:szCs w:val="18"/>
        </w:rPr>
        <w:t>A/HRC/41/37, para. 77.</w:t>
      </w:r>
      <w:r>
        <w:t xml:space="preserve"> </w:t>
      </w:r>
    </w:p>
  </w:footnote>
  <w:footnote w:id="66">
    <w:p w14:paraId="11770650" w14:textId="0BB86E6F" w:rsidR="00C363A4" w:rsidRDefault="00C363A4" w:rsidP="00C363A4">
      <w:pPr>
        <w:pStyle w:val="FootnoteText"/>
        <w:widowControl w:val="0"/>
        <w:tabs>
          <w:tab w:val="clear" w:pos="1021"/>
          <w:tab w:val="right" w:pos="1020"/>
        </w:tabs>
      </w:pPr>
      <w:r>
        <w:tab/>
      </w:r>
      <w:r>
        <w:rPr>
          <w:rStyle w:val="FootnoteReference"/>
        </w:rPr>
        <w:footnoteRef/>
      </w:r>
      <w:r>
        <w:tab/>
      </w:r>
      <w:r w:rsidRPr="004B2AD3">
        <w:rPr>
          <w:szCs w:val="18"/>
        </w:rPr>
        <w:t xml:space="preserve">Human Rights Committee, General Comment No. 22 (1993), para. 6, and </w:t>
      </w:r>
      <w:r>
        <w:rPr>
          <w:szCs w:val="18"/>
        </w:rPr>
        <w:t>OHCHR</w:t>
      </w:r>
      <w:r w:rsidRPr="004B2AD3">
        <w:rPr>
          <w:szCs w:val="18"/>
        </w:rPr>
        <w:t>, #Faith4Rights toolkit, module 12.</w:t>
      </w:r>
      <w:r>
        <w:t xml:space="preserve"> </w:t>
      </w:r>
    </w:p>
  </w:footnote>
  <w:footnote w:id="67">
    <w:p w14:paraId="0342699A" w14:textId="23299F3B" w:rsidR="00C363A4" w:rsidRDefault="00C363A4" w:rsidP="00C363A4">
      <w:pPr>
        <w:pStyle w:val="FootnoteText"/>
        <w:widowControl w:val="0"/>
        <w:tabs>
          <w:tab w:val="clear" w:pos="1021"/>
          <w:tab w:val="right" w:pos="1020"/>
        </w:tabs>
      </w:pPr>
      <w:r>
        <w:tab/>
      </w:r>
      <w:r>
        <w:rPr>
          <w:rStyle w:val="FootnoteReference"/>
        </w:rPr>
        <w:footnoteRef/>
      </w:r>
      <w:r>
        <w:tab/>
      </w:r>
      <w:r w:rsidRPr="008E7649">
        <w:t>A/HRC/47/32, para. 24</w:t>
      </w:r>
      <w:r w:rsidRPr="004B2AD3">
        <w:rPr>
          <w:szCs w:val="18"/>
        </w:rPr>
        <w:t>.</w:t>
      </w:r>
      <w:r>
        <w:t xml:space="preserve"> </w:t>
      </w:r>
    </w:p>
  </w:footnote>
  <w:footnote w:id="68">
    <w:p w14:paraId="1CD91E3F" w14:textId="3B58B2BB" w:rsidR="005048D3" w:rsidRDefault="005048D3" w:rsidP="005048D3">
      <w:pPr>
        <w:pStyle w:val="FootnoteText"/>
        <w:widowControl w:val="0"/>
        <w:tabs>
          <w:tab w:val="clear" w:pos="1021"/>
          <w:tab w:val="right" w:pos="1020"/>
        </w:tabs>
      </w:pPr>
      <w:r>
        <w:tab/>
      </w:r>
      <w:r>
        <w:rPr>
          <w:rStyle w:val="FootnoteReference"/>
        </w:rPr>
        <w:footnoteRef/>
      </w:r>
      <w:r>
        <w:tab/>
      </w:r>
      <w:r w:rsidRPr="004B2AD3">
        <w:rPr>
          <w:szCs w:val="18"/>
        </w:rPr>
        <w:t xml:space="preserve">See also Language Rights of Linguistic Minorities, A Practical Guide for Implementation, p. 21. </w:t>
      </w:r>
      <w:hyperlink r:id="rId21" w:history="1">
        <w:r w:rsidRPr="004B2AD3">
          <w:rPr>
            <w:rStyle w:val="Hyperlink"/>
            <w:szCs w:val="18"/>
          </w:rPr>
          <w:t>LanguageRightsLinguisticMinorities_EN.pdf (ohchr.org)</w:t>
        </w:r>
      </w:hyperlink>
      <w:r w:rsidRPr="004B2AD3">
        <w:rPr>
          <w:szCs w:val="18"/>
        </w:rPr>
        <w:t xml:space="preserve">, </w:t>
      </w:r>
      <w:r>
        <w:t xml:space="preserve"> </w:t>
      </w:r>
    </w:p>
  </w:footnote>
  <w:footnote w:id="69">
    <w:p w14:paraId="450C36BC" w14:textId="079CCE08" w:rsidR="001C6A3B" w:rsidRDefault="001C6A3B" w:rsidP="001C6A3B">
      <w:pPr>
        <w:pStyle w:val="FootnoteText"/>
        <w:widowControl w:val="0"/>
        <w:tabs>
          <w:tab w:val="clear" w:pos="1021"/>
          <w:tab w:val="right" w:pos="1020"/>
        </w:tabs>
      </w:pPr>
      <w:r>
        <w:tab/>
      </w:r>
      <w:r>
        <w:rPr>
          <w:rStyle w:val="FootnoteReference"/>
        </w:rPr>
        <w:footnoteRef/>
      </w:r>
      <w:r>
        <w:tab/>
      </w:r>
      <w:r w:rsidRPr="004B2AD3">
        <w:rPr>
          <w:szCs w:val="18"/>
        </w:rPr>
        <w:t>A/75/261, para. 8.</w:t>
      </w:r>
      <w:r>
        <w:t xml:space="preserve"> </w:t>
      </w:r>
    </w:p>
  </w:footnote>
  <w:footnote w:id="70">
    <w:p w14:paraId="3AF437B5" w14:textId="49E6C05A" w:rsidR="001C6A3B" w:rsidRDefault="001C6A3B" w:rsidP="001C6A3B">
      <w:pPr>
        <w:pStyle w:val="FootnoteText"/>
        <w:widowControl w:val="0"/>
        <w:tabs>
          <w:tab w:val="clear" w:pos="1021"/>
          <w:tab w:val="right" w:pos="1020"/>
        </w:tabs>
      </w:pPr>
      <w:r>
        <w:tab/>
      </w:r>
      <w:r>
        <w:rPr>
          <w:rStyle w:val="FootnoteReference"/>
        </w:rPr>
        <w:footnoteRef/>
      </w:r>
      <w:r>
        <w:tab/>
      </w:r>
      <w:r w:rsidRPr="004B2AD3">
        <w:rPr>
          <w:szCs w:val="18"/>
        </w:rPr>
        <w:t>E</w:t>
      </w:r>
      <w:r w:rsidRPr="004F411D">
        <w:rPr>
          <w:szCs w:val="18"/>
        </w:rPr>
        <w:t>uropean Students Union, para. 16.</w:t>
      </w:r>
      <w:r>
        <w:t xml:space="preserve"> </w:t>
      </w:r>
    </w:p>
  </w:footnote>
  <w:footnote w:id="71">
    <w:p w14:paraId="0D96A300" w14:textId="02B527CD" w:rsidR="001C6A3B" w:rsidRDefault="001C6A3B" w:rsidP="001C6A3B">
      <w:pPr>
        <w:pStyle w:val="FootnoteText"/>
        <w:widowControl w:val="0"/>
        <w:tabs>
          <w:tab w:val="clear" w:pos="1021"/>
          <w:tab w:val="right" w:pos="1020"/>
        </w:tabs>
      </w:pPr>
      <w:r>
        <w:tab/>
      </w:r>
      <w:r>
        <w:rPr>
          <w:rStyle w:val="FootnoteReference"/>
        </w:rPr>
        <w:footnoteRef/>
      </w:r>
      <w:r>
        <w:tab/>
      </w:r>
      <w:r w:rsidRPr="004B2AD3">
        <w:rPr>
          <w:szCs w:val="18"/>
        </w:rPr>
        <w:t>General Comment 13, paras. 38-40.</w:t>
      </w:r>
      <w:r>
        <w:t xml:space="preserve"> </w:t>
      </w:r>
    </w:p>
  </w:footnote>
  <w:footnote w:id="72">
    <w:p w14:paraId="4FB144F0" w14:textId="1E5CFC37" w:rsidR="00475138" w:rsidRDefault="00475138" w:rsidP="00475138">
      <w:pPr>
        <w:pStyle w:val="FootnoteText"/>
        <w:widowControl w:val="0"/>
        <w:tabs>
          <w:tab w:val="clear" w:pos="1021"/>
          <w:tab w:val="right" w:pos="1020"/>
        </w:tabs>
      </w:pPr>
      <w:r>
        <w:tab/>
      </w:r>
      <w:r>
        <w:rPr>
          <w:rStyle w:val="FootnoteReference"/>
        </w:rPr>
        <w:footnoteRef/>
      </w:r>
      <w:r>
        <w:tab/>
      </w:r>
      <w:r w:rsidRPr="004B2AD3">
        <w:rPr>
          <w:szCs w:val="18"/>
        </w:rPr>
        <w:t>A/75/261.</w:t>
      </w:r>
      <w:r>
        <w:t xml:space="preserve"> </w:t>
      </w:r>
    </w:p>
  </w:footnote>
  <w:footnote w:id="73">
    <w:p w14:paraId="21628F94" w14:textId="34E6CAC5" w:rsidR="00992F0D" w:rsidRDefault="00992F0D" w:rsidP="00992F0D">
      <w:pPr>
        <w:pStyle w:val="FootnoteText"/>
        <w:tabs>
          <w:tab w:val="clear" w:pos="1021"/>
          <w:tab w:val="right" w:pos="1020"/>
        </w:tabs>
        <w:ind w:right="-1"/>
        <w:jc w:val="both"/>
      </w:pPr>
      <w:r>
        <w:tab/>
      </w:r>
      <w:r>
        <w:rPr>
          <w:rStyle w:val="FootnoteReference"/>
        </w:rPr>
        <w:footnoteRef/>
      </w:r>
      <w:r>
        <w:tab/>
      </w:r>
      <w:hyperlink r:id="rId22" w:history="1">
        <w:r w:rsidRPr="004B2AD3">
          <w:rPr>
            <w:rStyle w:val="Hyperlink"/>
            <w:szCs w:val="18"/>
          </w:rPr>
          <w:t>Untitled | Scholars at Risk</w:t>
        </w:r>
      </w:hyperlink>
      <w:r w:rsidRPr="004B2AD3">
        <w:rPr>
          <w:szCs w:val="18"/>
        </w:rPr>
        <w:t>.</w:t>
      </w:r>
      <w:r>
        <w:t xml:space="preserve"> </w:t>
      </w:r>
    </w:p>
  </w:footnote>
  <w:footnote w:id="74">
    <w:p w14:paraId="300849E0" w14:textId="7108B977" w:rsidR="00992F0D" w:rsidRDefault="00992F0D" w:rsidP="00992F0D">
      <w:pPr>
        <w:pStyle w:val="FootnoteText"/>
        <w:widowControl w:val="0"/>
        <w:tabs>
          <w:tab w:val="clear" w:pos="1021"/>
          <w:tab w:val="right" w:pos="1020"/>
        </w:tabs>
      </w:pPr>
      <w:r>
        <w:tab/>
      </w:r>
      <w:r>
        <w:rPr>
          <w:rStyle w:val="FootnoteReference"/>
        </w:rPr>
        <w:footnoteRef/>
      </w:r>
      <w:r>
        <w:tab/>
      </w:r>
      <w:r w:rsidRPr="004B2AD3">
        <w:rPr>
          <w:szCs w:val="18"/>
        </w:rPr>
        <w:t>A/HRC/44/39 (</w:t>
      </w:r>
      <w:r w:rsidRPr="004B2AD3">
        <w:rPr>
          <w:spacing w:val="4"/>
          <w:szCs w:val="18"/>
          <w:shd w:val="clear" w:color="auto" w:fill="FAFAF8"/>
        </w:rPr>
        <w:t>Impact of the COVID-19 crisis on the right to education;</w:t>
      </w:r>
      <w:r w:rsidRPr="004B2AD3">
        <w:rPr>
          <w:szCs w:val="18"/>
        </w:rPr>
        <w:t xml:space="preserve"> UNESCO Commission, p. 152. </w:t>
      </w:r>
      <w:r>
        <w:t xml:space="preserve"> </w:t>
      </w:r>
    </w:p>
  </w:footnote>
  <w:footnote w:id="75">
    <w:p w14:paraId="2CF48AF2" w14:textId="0D067EEB" w:rsidR="00C76818" w:rsidRDefault="00C76818" w:rsidP="00C76818">
      <w:pPr>
        <w:pStyle w:val="FootnoteText"/>
        <w:widowControl w:val="0"/>
        <w:tabs>
          <w:tab w:val="clear" w:pos="1021"/>
          <w:tab w:val="right" w:pos="1020"/>
        </w:tabs>
      </w:pPr>
      <w:r>
        <w:tab/>
      </w:r>
      <w:r>
        <w:rPr>
          <w:rStyle w:val="FootnoteReference"/>
        </w:rPr>
        <w:footnoteRef/>
      </w:r>
      <w:r>
        <w:tab/>
      </w:r>
      <w:r w:rsidRPr="004B2AD3">
        <w:rPr>
          <w:szCs w:val="18"/>
        </w:rPr>
        <w:t>UNESCO Commission, pp. 152-153.</w:t>
      </w:r>
      <w:r>
        <w:t xml:space="preserve"> </w:t>
      </w:r>
    </w:p>
  </w:footnote>
  <w:footnote w:id="76">
    <w:p w14:paraId="7AC1E1B3" w14:textId="344E9200" w:rsidR="00C76818" w:rsidRDefault="00C76818" w:rsidP="00C76818">
      <w:pPr>
        <w:pStyle w:val="FootnoteText"/>
        <w:widowControl w:val="0"/>
        <w:tabs>
          <w:tab w:val="clear" w:pos="1021"/>
          <w:tab w:val="right" w:pos="1020"/>
        </w:tabs>
      </w:pPr>
      <w:r>
        <w:tab/>
      </w:r>
      <w:r>
        <w:rPr>
          <w:rStyle w:val="FootnoteReference"/>
        </w:rPr>
        <w:footnoteRef/>
      </w:r>
      <w:r>
        <w:tab/>
      </w:r>
      <w:r w:rsidRPr="004B2AD3">
        <w:rPr>
          <w:szCs w:val="18"/>
        </w:rPr>
        <w:t>A/HRC/35/24 (</w:t>
      </w:r>
      <w:r w:rsidRPr="004B2AD3">
        <w:rPr>
          <w:spacing w:val="4"/>
          <w:szCs w:val="18"/>
          <w:shd w:val="clear" w:color="auto" w:fill="FAFAF8"/>
        </w:rPr>
        <w:t>Realizing the right to education through non-formal education)</w:t>
      </w:r>
      <w:r w:rsidRPr="009F33D8">
        <w:t>.</w:t>
      </w:r>
      <w:r>
        <w:t xml:space="preserve"> </w:t>
      </w:r>
    </w:p>
  </w:footnote>
  <w:footnote w:id="77">
    <w:p w14:paraId="73BA3009" w14:textId="61392F37" w:rsidR="00C76818" w:rsidRDefault="00C76818" w:rsidP="00C76818">
      <w:pPr>
        <w:pStyle w:val="FootnoteText"/>
        <w:widowControl w:val="0"/>
        <w:tabs>
          <w:tab w:val="clear" w:pos="1021"/>
          <w:tab w:val="right" w:pos="1020"/>
        </w:tabs>
      </w:pPr>
      <w:r>
        <w:tab/>
      </w:r>
      <w:r>
        <w:rPr>
          <w:rStyle w:val="FootnoteReference"/>
        </w:rPr>
        <w:footnoteRef/>
      </w:r>
      <w:r>
        <w:tab/>
      </w:r>
      <w:r>
        <w:rPr>
          <w:szCs w:val="18"/>
        </w:rPr>
        <w:t>E</w:t>
      </w:r>
      <w:r w:rsidRPr="004B2AD3">
        <w:rPr>
          <w:szCs w:val="18"/>
        </w:rPr>
        <w:t>/CN.4/2004/45, paras. 50-52, “Schools can be deadly”; A/CN.4/2005/50, Chapter IV.</w:t>
      </w:r>
      <w:r>
        <w:t xml:space="preserve"> </w:t>
      </w:r>
    </w:p>
  </w:footnote>
  <w:footnote w:id="78">
    <w:p w14:paraId="2FE04463" w14:textId="7E71AE18" w:rsidR="009A4178" w:rsidRDefault="009A4178" w:rsidP="009A4178">
      <w:pPr>
        <w:pStyle w:val="FootnoteText"/>
        <w:widowControl w:val="0"/>
        <w:tabs>
          <w:tab w:val="clear" w:pos="1021"/>
          <w:tab w:val="right" w:pos="1020"/>
        </w:tabs>
      </w:pPr>
      <w:r>
        <w:tab/>
      </w:r>
      <w:r>
        <w:rPr>
          <w:rStyle w:val="FootnoteReference"/>
        </w:rPr>
        <w:footnoteRef/>
      </w:r>
      <w:r>
        <w:tab/>
      </w:r>
      <w:hyperlink r:id="rId23" w:history="1">
        <w:r w:rsidRPr="004B2AD3">
          <w:rPr>
            <w:rStyle w:val="Hyperlink"/>
            <w:szCs w:val="18"/>
          </w:rPr>
          <w:t>Safe to Learn | End Violence (end-violence.org)</w:t>
        </w:r>
      </w:hyperlink>
      <w:r>
        <w:rPr>
          <w:rStyle w:val="Hyperlink"/>
          <w:szCs w:val="18"/>
        </w:rPr>
        <w:t xml:space="preserve">, </w:t>
      </w:r>
      <w:r w:rsidRPr="007035D7">
        <w:rPr>
          <w:rStyle w:val="Hyperlink"/>
          <w:szCs w:val="18"/>
        </w:rPr>
        <w:t xml:space="preserve">Festus </w:t>
      </w:r>
      <w:proofErr w:type="spellStart"/>
      <w:r w:rsidRPr="007035D7">
        <w:rPr>
          <w:rStyle w:val="Hyperlink"/>
          <w:szCs w:val="18"/>
        </w:rPr>
        <w:t>Fajemilo</w:t>
      </w:r>
      <w:proofErr w:type="spellEnd"/>
      <w:r w:rsidRPr="007035D7">
        <w:rPr>
          <w:rStyle w:val="Hyperlink"/>
          <w:szCs w:val="18"/>
        </w:rPr>
        <w:t xml:space="preserve"> Foundation (FFF)</w:t>
      </w:r>
      <w:r>
        <w:rPr>
          <w:rStyle w:val="Hyperlink"/>
          <w:szCs w:val="18"/>
        </w:rPr>
        <w:t>, p. 2</w:t>
      </w:r>
      <w:r w:rsidR="002E7486">
        <w:rPr>
          <w:rStyle w:val="Hyperlink"/>
          <w:szCs w:val="18"/>
        </w:rPr>
        <w:t>.</w:t>
      </w:r>
      <w:r>
        <w:t xml:space="preserve"> </w:t>
      </w:r>
    </w:p>
  </w:footnote>
  <w:footnote w:id="79">
    <w:p w14:paraId="39E36A60" w14:textId="60CFF8E0" w:rsidR="009A4178" w:rsidRDefault="009A4178" w:rsidP="009A4178">
      <w:pPr>
        <w:pStyle w:val="FootnoteText"/>
        <w:widowControl w:val="0"/>
        <w:tabs>
          <w:tab w:val="clear" w:pos="1021"/>
          <w:tab w:val="right" w:pos="1020"/>
        </w:tabs>
      </w:pPr>
      <w:r>
        <w:tab/>
      </w:r>
      <w:r>
        <w:rPr>
          <w:rStyle w:val="FootnoteReference"/>
        </w:rPr>
        <w:footnoteRef/>
      </w:r>
      <w:r>
        <w:tab/>
      </w:r>
      <w:r w:rsidRPr="004F411D">
        <w:t xml:space="preserve">GCPEA, </w:t>
      </w:r>
      <w:r w:rsidRPr="004B2AD3">
        <w:rPr>
          <w:szCs w:val="18"/>
        </w:rPr>
        <w:t>para. 37</w:t>
      </w:r>
      <w:r w:rsidRPr="004F411D">
        <w:t xml:space="preserve">. </w:t>
      </w:r>
      <w:r>
        <w:t xml:space="preserve"> </w:t>
      </w:r>
    </w:p>
  </w:footnote>
  <w:footnote w:id="80">
    <w:p w14:paraId="3E032A6A" w14:textId="20655233" w:rsidR="00796133" w:rsidRDefault="00796133" w:rsidP="00796133">
      <w:pPr>
        <w:pStyle w:val="FootnoteText"/>
        <w:widowControl w:val="0"/>
        <w:tabs>
          <w:tab w:val="clear" w:pos="1021"/>
          <w:tab w:val="right" w:pos="1020"/>
        </w:tabs>
      </w:pPr>
      <w:r>
        <w:tab/>
      </w:r>
      <w:r>
        <w:rPr>
          <w:rStyle w:val="FootnoteReference"/>
        </w:rPr>
        <w:footnoteRef/>
      </w:r>
      <w:r>
        <w:tab/>
      </w:r>
      <w:r w:rsidRPr="004B2AD3">
        <w:rPr>
          <w:szCs w:val="18"/>
        </w:rPr>
        <w:t xml:space="preserve">A/68/296. </w:t>
      </w:r>
      <w:r>
        <w:t xml:space="preserve"> </w:t>
      </w:r>
    </w:p>
  </w:footnote>
  <w:footnote w:id="81">
    <w:p w14:paraId="4C94178B" w14:textId="638D2632" w:rsidR="00796133" w:rsidRDefault="00796133" w:rsidP="00796133">
      <w:pPr>
        <w:pStyle w:val="FootnoteText"/>
        <w:widowControl w:val="0"/>
        <w:tabs>
          <w:tab w:val="clear" w:pos="1021"/>
          <w:tab w:val="right" w:pos="1020"/>
        </w:tabs>
      </w:pPr>
      <w:r>
        <w:tab/>
      </w:r>
      <w:r>
        <w:rPr>
          <w:rStyle w:val="FootnoteReference"/>
        </w:rPr>
        <w:footnoteRef/>
      </w:r>
      <w:r>
        <w:tab/>
      </w:r>
      <w:r w:rsidRPr="00800B93">
        <w:t>UNICEF</w:t>
      </w:r>
      <w:r w:rsidRPr="00800B93">
        <w:rPr>
          <w:szCs w:val="18"/>
        </w:rPr>
        <w:t>, para. 20</w:t>
      </w:r>
      <w:r w:rsidRPr="00800B93">
        <w:t>.</w:t>
      </w:r>
      <w:r>
        <w:t xml:space="preserve"> </w:t>
      </w:r>
    </w:p>
  </w:footnote>
  <w:footnote w:id="82">
    <w:p w14:paraId="3AA19CED" w14:textId="49AF4FA7" w:rsidR="00796133" w:rsidRDefault="00796133" w:rsidP="00796133">
      <w:pPr>
        <w:pStyle w:val="FootnoteText"/>
        <w:widowControl w:val="0"/>
        <w:tabs>
          <w:tab w:val="clear" w:pos="1021"/>
          <w:tab w:val="right" w:pos="1020"/>
        </w:tabs>
      </w:pPr>
      <w:r>
        <w:tab/>
      </w:r>
      <w:r>
        <w:rPr>
          <w:rStyle w:val="FootnoteReference"/>
        </w:rPr>
        <w:footnoteRef/>
      </w:r>
      <w:r>
        <w:tab/>
      </w:r>
      <w:r w:rsidRPr="00C61D0F">
        <w:t>UNESCO</w:t>
      </w:r>
      <w:r w:rsidRPr="00C61D0F">
        <w:rPr>
          <w:szCs w:val="18"/>
        </w:rPr>
        <w:t xml:space="preserve">, Education </w:t>
      </w:r>
      <w:r>
        <w:rPr>
          <w:szCs w:val="18"/>
        </w:rPr>
        <w:t>Sector</w:t>
      </w:r>
      <w:r w:rsidRPr="00C61D0F">
        <w:rPr>
          <w:szCs w:val="18"/>
        </w:rPr>
        <w:t>, p. 4.</w:t>
      </w:r>
      <w:r w:rsidRPr="00C61D0F">
        <w:t xml:space="preserve"> </w:t>
      </w:r>
      <w:r>
        <w:t xml:space="preserve"> </w:t>
      </w:r>
    </w:p>
  </w:footnote>
  <w:footnote w:id="83">
    <w:p w14:paraId="33F39810" w14:textId="28B9B128" w:rsidR="00945EC3" w:rsidRDefault="00945EC3" w:rsidP="00945EC3">
      <w:pPr>
        <w:pStyle w:val="FootnoteText"/>
        <w:widowControl w:val="0"/>
        <w:tabs>
          <w:tab w:val="clear" w:pos="1021"/>
          <w:tab w:val="right" w:pos="1020"/>
        </w:tabs>
      </w:pPr>
      <w:r>
        <w:tab/>
      </w:r>
      <w:r>
        <w:rPr>
          <w:rStyle w:val="FootnoteReference"/>
        </w:rPr>
        <w:footnoteRef/>
      </w:r>
      <w:r>
        <w:tab/>
      </w:r>
      <w:r w:rsidRPr="008E7649">
        <w:rPr>
          <w:szCs w:val="18"/>
        </w:rPr>
        <w:t xml:space="preserve">General Comment 13, paras. </w:t>
      </w:r>
      <w:r w:rsidRPr="004B2AD3">
        <w:rPr>
          <w:szCs w:val="18"/>
        </w:rPr>
        <w:t>43-45 and 57.</w:t>
      </w:r>
      <w:r>
        <w:t xml:space="preserve"> </w:t>
      </w:r>
    </w:p>
  </w:footnote>
  <w:footnote w:id="84">
    <w:p w14:paraId="072E0E0B" w14:textId="7B9FF7FF" w:rsidR="001F4A94" w:rsidRDefault="001F4A94" w:rsidP="001F4A94">
      <w:pPr>
        <w:pStyle w:val="FootnoteText"/>
        <w:widowControl w:val="0"/>
        <w:tabs>
          <w:tab w:val="clear" w:pos="1021"/>
          <w:tab w:val="right" w:pos="1020"/>
        </w:tabs>
      </w:pPr>
      <w:r>
        <w:tab/>
      </w:r>
      <w:r>
        <w:rPr>
          <w:rStyle w:val="FootnoteReference"/>
        </w:rPr>
        <w:footnoteRef/>
      </w:r>
      <w:r>
        <w:tab/>
      </w:r>
      <w:r w:rsidRPr="004B2AD3">
        <w:rPr>
          <w:szCs w:val="18"/>
        </w:rPr>
        <w:t>A/HRC/23/35 (Justiciability and the right to education), para. 81.</w:t>
      </w:r>
      <w:r>
        <w:t xml:space="preserve"> </w:t>
      </w:r>
    </w:p>
  </w:footnote>
  <w:footnote w:id="85">
    <w:p w14:paraId="45C83935" w14:textId="53C0384A" w:rsidR="001F4A94" w:rsidRDefault="001F4A94" w:rsidP="001F4A94">
      <w:pPr>
        <w:pStyle w:val="FootnoteText"/>
        <w:widowControl w:val="0"/>
        <w:tabs>
          <w:tab w:val="clear" w:pos="1021"/>
          <w:tab w:val="right" w:pos="1020"/>
        </w:tabs>
      </w:pPr>
      <w:r>
        <w:tab/>
      </w:r>
      <w:r>
        <w:rPr>
          <w:rStyle w:val="FootnoteReference"/>
        </w:rPr>
        <w:footnoteRef/>
      </w:r>
      <w:r>
        <w:tab/>
      </w:r>
      <w:r w:rsidRPr="004B2AD3">
        <w:rPr>
          <w:szCs w:val="18"/>
        </w:rPr>
        <w:t>A/HRC/38/32 (Governance and the right to education), paras. 95-97.</w:t>
      </w:r>
      <w:r>
        <w:t xml:space="preserve"> </w:t>
      </w:r>
    </w:p>
  </w:footnote>
  <w:footnote w:id="86">
    <w:p w14:paraId="7792A35C" w14:textId="5B27B261" w:rsidR="001F4A94" w:rsidRDefault="001F4A94" w:rsidP="001F4A94">
      <w:pPr>
        <w:pStyle w:val="FootnoteText"/>
        <w:widowControl w:val="0"/>
        <w:tabs>
          <w:tab w:val="clear" w:pos="1021"/>
          <w:tab w:val="right" w:pos="1020"/>
        </w:tabs>
      </w:pPr>
      <w:r>
        <w:tab/>
      </w:r>
      <w:r>
        <w:rPr>
          <w:rStyle w:val="FootnoteReference"/>
        </w:rPr>
        <w:footnoteRef/>
      </w:r>
      <w:r>
        <w:tab/>
      </w:r>
      <w:r w:rsidRPr="004B2AD3">
        <w:rPr>
          <w:szCs w:val="18"/>
        </w:rPr>
        <w:t>Global Survivors Fund.</w:t>
      </w:r>
      <w:r>
        <w:t xml:space="preserve"> </w:t>
      </w:r>
    </w:p>
  </w:footnote>
  <w:footnote w:id="87">
    <w:p w14:paraId="4C9FB402" w14:textId="03E7F742" w:rsidR="001F4A94" w:rsidRDefault="001F4A94" w:rsidP="001F4A94">
      <w:pPr>
        <w:pStyle w:val="FootnoteText"/>
        <w:widowControl w:val="0"/>
        <w:tabs>
          <w:tab w:val="clear" w:pos="1021"/>
          <w:tab w:val="right" w:pos="1020"/>
        </w:tabs>
      </w:pPr>
      <w:r>
        <w:tab/>
      </w:r>
      <w:r>
        <w:rPr>
          <w:rStyle w:val="FootnoteReference"/>
        </w:rPr>
        <w:footnoteRef/>
      </w:r>
      <w:r>
        <w:tab/>
      </w:r>
      <w:r w:rsidRPr="004B2AD3">
        <w:rPr>
          <w:szCs w:val="18"/>
        </w:rPr>
        <w:t>UNICEF, para. 19.</w:t>
      </w:r>
      <w:r>
        <w:t xml:space="preserve"> </w:t>
      </w:r>
    </w:p>
  </w:footnote>
  <w:footnote w:id="88">
    <w:p w14:paraId="5C273FA2" w14:textId="1112AEA9" w:rsidR="001F4A94" w:rsidRDefault="001F4A94" w:rsidP="001F4A94">
      <w:pPr>
        <w:pStyle w:val="FootnoteText"/>
        <w:widowControl w:val="0"/>
        <w:tabs>
          <w:tab w:val="clear" w:pos="1021"/>
          <w:tab w:val="right" w:pos="1020"/>
        </w:tabs>
      </w:pPr>
      <w:r>
        <w:tab/>
      </w:r>
      <w:r>
        <w:rPr>
          <w:rStyle w:val="FootnoteReference"/>
        </w:rPr>
        <w:footnoteRef/>
      </w:r>
      <w:r>
        <w:tab/>
      </w:r>
      <w:hyperlink r:id="rId24" w:history="1">
        <w:r w:rsidRPr="004B2AD3">
          <w:rPr>
            <w:rStyle w:val="Hyperlink"/>
            <w:szCs w:val="18"/>
          </w:rPr>
          <w:t>Financing Education | United Nations</w:t>
        </w:r>
      </w:hyperlink>
      <w:r w:rsidRPr="004B2AD3">
        <w:rPr>
          <w:rStyle w:val="Hyperlink"/>
          <w:szCs w:val="18"/>
        </w:rPr>
        <w:t>, “More investment”</w:t>
      </w:r>
      <w:r w:rsidRPr="004B2AD3">
        <w:rPr>
          <w:szCs w:val="18"/>
        </w:rPr>
        <w:t>.</w:t>
      </w:r>
      <w:r>
        <w:t xml:space="preserve"> </w:t>
      </w:r>
    </w:p>
  </w:footnote>
  <w:footnote w:id="89">
    <w:p w14:paraId="0160BC91" w14:textId="43EE6EA5" w:rsidR="00611BD2" w:rsidRDefault="00611BD2" w:rsidP="00611BD2">
      <w:pPr>
        <w:pStyle w:val="FootnoteText"/>
        <w:widowControl w:val="0"/>
        <w:tabs>
          <w:tab w:val="clear" w:pos="1021"/>
          <w:tab w:val="right" w:pos="1020"/>
        </w:tabs>
      </w:pPr>
      <w:r>
        <w:tab/>
      </w:r>
      <w:r>
        <w:rPr>
          <w:rStyle w:val="FootnoteReference"/>
        </w:rPr>
        <w:footnoteRef/>
      </w:r>
      <w:r>
        <w:tab/>
      </w:r>
      <w:proofErr w:type="spellStart"/>
      <w:r w:rsidRPr="004B2AD3">
        <w:rPr>
          <w:szCs w:val="18"/>
        </w:rPr>
        <w:t>TaxEd</w:t>
      </w:r>
      <w:proofErr w:type="spellEnd"/>
      <w:r w:rsidRPr="004B2AD3">
        <w:rPr>
          <w:szCs w:val="18"/>
        </w:rPr>
        <w:t xml:space="preserve"> Alliance, page 2. </w:t>
      </w:r>
      <w:r>
        <w:t xml:space="preserve"> </w:t>
      </w:r>
    </w:p>
  </w:footnote>
  <w:footnote w:id="90">
    <w:p w14:paraId="11B229D0" w14:textId="383E524B" w:rsidR="00611BD2" w:rsidRDefault="00611BD2" w:rsidP="00611BD2">
      <w:pPr>
        <w:pStyle w:val="FootnoteText"/>
        <w:widowControl w:val="0"/>
        <w:tabs>
          <w:tab w:val="clear" w:pos="1021"/>
          <w:tab w:val="right" w:pos="1020"/>
        </w:tabs>
      </w:pPr>
      <w:r>
        <w:tab/>
      </w:r>
      <w:r>
        <w:rPr>
          <w:rStyle w:val="FootnoteReference"/>
        </w:rPr>
        <w:footnoteRef/>
      </w:r>
      <w:r>
        <w:tab/>
      </w:r>
      <w:hyperlink r:id="rId25" w:history="1">
        <w:r w:rsidRPr="004B2AD3">
          <w:rPr>
            <w:rStyle w:val="Hyperlink"/>
            <w:szCs w:val="18"/>
          </w:rPr>
          <w:t>Financing Education | United Nations</w:t>
        </w:r>
      </w:hyperlink>
      <w:r w:rsidRPr="004B2AD3">
        <w:rPr>
          <w:szCs w:val="18"/>
        </w:rPr>
        <w:t>, “More equitably”</w:t>
      </w:r>
      <w:r>
        <w:rPr>
          <w:szCs w:val="18"/>
        </w:rPr>
        <w:t>.</w:t>
      </w:r>
      <w:r>
        <w:t xml:space="preserve"> </w:t>
      </w:r>
    </w:p>
  </w:footnote>
  <w:footnote w:id="91">
    <w:p w14:paraId="077559D6" w14:textId="37E2D70B" w:rsidR="00611BD2" w:rsidRDefault="00611BD2" w:rsidP="00611BD2">
      <w:pPr>
        <w:pStyle w:val="FootnoteText"/>
        <w:widowControl w:val="0"/>
        <w:tabs>
          <w:tab w:val="clear" w:pos="1021"/>
          <w:tab w:val="right" w:pos="1020"/>
        </w:tabs>
      </w:pPr>
      <w:r>
        <w:tab/>
      </w:r>
      <w:r>
        <w:rPr>
          <w:rStyle w:val="FootnoteReference"/>
        </w:rPr>
        <w:footnoteRef/>
      </w:r>
      <w:r>
        <w:tab/>
      </w:r>
      <w:r w:rsidRPr="004B2AD3">
        <w:rPr>
          <w:szCs w:val="18"/>
        </w:rPr>
        <w:t xml:space="preserve">UNICEF, </w:t>
      </w:r>
      <w:r w:rsidRPr="004B2AD3">
        <w:rPr>
          <w:rStyle w:val="Hyperlink"/>
          <w:szCs w:val="18"/>
        </w:rPr>
        <w:t>para. 18.</w:t>
      </w:r>
      <w:r>
        <w:t xml:space="preserve"> </w:t>
      </w:r>
    </w:p>
  </w:footnote>
  <w:footnote w:id="92">
    <w:p w14:paraId="4076FDEB" w14:textId="61617C24" w:rsidR="0083155B" w:rsidRDefault="0083155B" w:rsidP="0083155B">
      <w:pPr>
        <w:pStyle w:val="FootnoteText"/>
        <w:widowControl w:val="0"/>
        <w:tabs>
          <w:tab w:val="clear" w:pos="1021"/>
          <w:tab w:val="right" w:pos="1020"/>
        </w:tabs>
      </w:pPr>
      <w:r>
        <w:tab/>
      </w:r>
      <w:r>
        <w:rPr>
          <w:rStyle w:val="FootnoteReference"/>
        </w:rPr>
        <w:footnoteRef/>
      </w:r>
      <w:r>
        <w:tab/>
      </w:r>
      <w:hyperlink r:id="rId26" w:history="1">
        <w:r w:rsidRPr="004B2AD3">
          <w:rPr>
            <w:rStyle w:val="Hyperlink"/>
            <w:szCs w:val="18"/>
          </w:rPr>
          <w:t>Maastricht_ETO_Principles_21Oct11.pdf (ciel.org)</w:t>
        </w:r>
      </w:hyperlink>
      <w:r w:rsidRPr="004B2AD3">
        <w:rPr>
          <w:szCs w:val="18"/>
        </w:rPr>
        <w:t>, art. 15.</w:t>
      </w:r>
      <w:r>
        <w:t xml:space="preserve"> </w:t>
      </w:r>
    </w:p>
  </w:footnote>
  <w:footnote w:id="93">
    <w:p w14:paraId="2B1B88F7" w14:textId="6C769160" w:rsidR="00D7703B" w:rsidRDefault="00D7703B" w:rsidP="00D7703B">
      <w:pPr>
        <w:pStyle w:val="FootnoteText"/>
        <w:widowControl w:val="0"/>
        <w:tabs>
          <w:tab w:val="clear" w:pos="1021"/>
          <w:tab w:val="right" w:pos="1020"/>
        </w:tabs>
      </w:pPr>
      <w:r>
        <w:tab/>
      </w:r>
      <w:r>
        <w:rPr>
          <w:rStyle w:val="FootnoteReference"/>
        </w:rPr>
        <w:footnoteRef/>
      </w:r>
      <w:r>
        <w:tab/>
      </w:r>
      <w:r w:rsidRPr="004B2AD3">
        <w:rPr>
          <w:szCs w:val="18"/>
        </w:rPr>
        <w:t>Global Education Monitoring (GEM) Report 2021/22 on Non-State Actors</w:t>
      </w:r>
      <w:r>
        <w:rPr>
          <w:szCs w:val="18"/>
        </w:rPr>
        <w:t>, p. 32.</w:t>
      </w:r>
      <w:r>
        <w:t xml:space="preserve"> </w:t>
      </w:r>
    </w:p>
  </w:footnote>
  <w:footnote w:id="94">
    <w:p w14:paraId="5C8E02C6" w14:textId="092855A5" w:rsidR="002F4C48" w:rsidRDefault="002F4C48" w:rsidP="002F4C48">
      <w:pPr>
        <w:pStyle w:val="FootnoteText"/>
        <w:widowControl w:val="0"/>
        <w:tabs>
          <w:tab w:val="clear" w:pos="1021"/>
          <w:tab w:val="right" w:pos="1020"/>
        </w:tabs>
      </w:pPr>
      <w:r>
        <w:tab/>
      </w:r>
      <w:r>
        <w:rPr>
          <w:rStyle w:val="FootnoteReference"/>
        </w:rPr>
        <w:footnoteRef/>
      </w:r>
      <w:r>
        <w:tab/>
      </w:r>
      <w:r w:rsidRPr="004B2AD3">
        <w:rPr>
          <w:szCs w:val="18"/>
        </w:rPr>
        <w:t xml:space="preserve">A/HRC/41/37, A/70/242, A/HRC/29/30, and A/69/402. </w:t>
      </w:r>
      <w:r>
        <w:t xml:space="preserve"> </w:t>
      </w:r>
    </w:p>
  </w:footnote>
  <w:footnote w:id="95">
    <w:p w14:paraId="1ED215BD" w14:textId="72DB108D" w:rsidR="000B4312" w:rsidRDefault="000B4312" w:rsidP="000B4312">
      <w:pPr>
        <w:pStyle w:val="FootnoteText"/>
        <w:widowControl w:val="0"/>
        <w:tabs>
          <w:tab w:val="clear" w:pos="1021"/>
          <w:tab w:val="right" w:pos="1020"/>
        </w:tabs>
      </w:pPr>
      <w:r>
        <w:tab/>
      </w:r>
      <w:r>
        <w:rPr>
          <w:rStyle w:val="FootnoteReference"/>
        </w:rPr>
        <w:footnoteRef/>
      </w:r>
      <w:r>
        <w:tab/>
      </w:r>
      <w:r w:rsidRPr="004B2AD3">
        <w:rPr>
          <w:szCs w:val="18"/>
        </w:rPr>
        <w:t>A/69/402, para. 38.</w:t>
      </w:r>
      <w:r>
        <w:t xml:space="preserve"> </w:t>
      </w:r>
    </w:p>
  </w:footnote>
  <w:footnote w:id="96">
    <w:p w14:paraId="3863D971" w14:textId="4EB91AB7" w:rsidR="009C120A" w:rsidRDefault="009C120A" w:rsidP="009C120A">
      <w:pPr>
        <w:pStyle w:val="FootnoteText"/>
        <w:widowControl w:val="0"/>
        <w:tabs>
          <w:tab w:val="clear" w:pos="1021"/>
          <w:tab w:val="right" w:pos="1020"/>
        </w:tabs>
      </w:pPr>
      <w:r>
        <w:tab/>
      </w:r>
      <w:r>
        <w:rPr>
          <w:rStyle w:val="FootnoteReference"/>
        </w:rPr>
        <w:footnoteRef/>
      </w:r>
      <w:r>
        <w:tab/>
      </w:r>
      <w:r w:rsidRPr="004B2AD3">
        <w:rPr>
          <w:szCs w:val="18"/>
        </w:rPr>
        <w:t>The contribution from OIDEL discusses this issue, question 1.</w:t>
      </w:r>
      <w:r>
        <w:t xml:space="preserve"> </w:t>
      </w:r>
    </w:p>
  </w:footnote>
  <w:footnote w:id="97">
    <w:p w14:paraId="2DB982FA" w14:textId="0E07A118" w:rsidR="009C120A" w:rsidRDefault="009C120A" w:rsidP="009C120A">
      <w:pPr>
        <w:pStyle w:val="FootnoteText"/>
        <w:widowControl w:val="0"/>
        <w:tabs>
          <w:tab w:val="clear" w:pos="1021"/>
          <w:tab w:val="right" w:pos="1020"/>
        </w:tabs>
      </w:pPr>
      <w:r>
        <w:tab/>
      </w:r>
      <w:r>
        <w:rPr>
          <w:rStyle w:val="FootnoteReference"/>
        </w:rPr>
        <w:footnoteRef/>
      </w:r>
      <w:r>
        <w:tab/>
      </w:r>
      <w:r w:rsidRPr="004B2AD3">
        <w:rPr>
          <w:szCs w:val="18"/>
        </w:rPr>
        <w:t>Linguistic Rights of Minorities, op. cit., p. 22-23.</w:t>
      </w:r>
      <w:r>
        <w:t xml:space="preserve"> </w:t>
      </w:r>
    </w:p>
  </w:footnote>
  <w:footnote w:id="98">
    <w:p w14:paraId="6FCB075B" w14:textId="6A30C807" w:rsidR="00C81861" w:rsidRDefault="00C81861" w:rsidP="00C81861">
      <w:pPr>
        <w:pStyle w:val="FootnoteText"/>
        <w:widowControl w:val="0"/>
        <w:tabs>
          <w:tab w:val="clear" w:pos="1021"/>
          <w:tab w:val="right" w:pos="1020"/>
        </w:tabs>
      </w:pPr>
      <w:r>
        <w:tab/>
      </w:r>
      <w:r>
        <w:rPr>
          <w:rStyle w:val="FootnoteReference"/>
        </w:rPr>
        <w:footnoteRef/>
      </w:r>
      <w:r>
        <w:tab/>
      </w:r>
      <w:r w:rsidRPr="004B2AD3">
        <w:rPr>
          <w:szCs w:val="18"/>
        </w:rPr>
        <w:t xml:space="preserve">Coalition of the Global Initiative for Economic, Social and Cultural Rights (GI-ESCR), </w:t>
      </w:r>
      <w:proofErr w:type="spellStart"/>
      <w:r w:rsidRPr="004B2AD3">
        <w:rPr>
          <w:szCs w:val="18"/>
        </w:rPr>
        <w:t>Actionaid</w:t>
      </w:r>
      <w:proofErr w:type="spellEnd"/>
      <w:r w:rsidRPr="004B2AD3">
        <w:rPr>
          <w:szCs w:val="18"/>
        </w:rPr>
        <w:t>, Amnesty International, the Coalition for Transparency and Accountability in Education (COTAE), The East African Centre for Human Rights (</w:t>
      </w:r>
      <w:proofErr w:type="spellStart"/>
      <w:r w:rsidRPr="004B2AD3">
        <w:rPr>
          <w:szCs w:val="18"/>
        </w:rPr>
        <w:t>EACHRights</w:t>
      </w:r>
      <w:proofErr w:type="spellEnd"/>
      <w:r w:rsidRPr="004B2AD3">
        <w:rPr>
          <w:szCs w:val="18"/>
        </w:rPr>
        <w:t xml:space="preserve">), the Initiative for Social and Economic Rights (ISER), the </w:t>
      </w:r>
      <w:proofErr w:type="spellStart"/>
      <w:r w:rsidRPr="004B2AD3">
        <w:rPr>
          <w:szCs w:val="18"/>
        </w:rPr>
        <w:t>Mouvement</w:t>
      </w:r>
      <w:proofErr w:type="spellEnd"/>
      <w:r w:rsidRPr="004B2AD3">
        <w:rPr>
          <w:szCs w:val="18"/>
        </w:rPr>
        <w:t xml:space="preserve"> </w:t>
      </w:r>
      <w:proofErr w:type="spellStart"/>
      <w:r w:rsidRPr="004B2AD3">
        <w:rPr>
          <w:szCs w:val="18"/>
        </w:rPr>
        <w:t>Ivoirien</w:t>
      </w:r>
      <w:proofErr w:type="spellEnd"/>
      <w:r w:rsidRPr="004B2AD3">
        <w:rPr>
          <w:szCs w:val="18"/>
        </w:rPr>
        <w:t xml:space="preserve"> des Droits </w:t>
      </w:r>
      <w:proofErr w:type="spellStart"/>
      <w:r w:rsidRPr="004B2AD3">
        <w:rPr>
          <w:szCs w:val="18"/>
        </w:rPr>
        <w:t>Humains</w:t>
      </w:r>
      <w:proofErr w:type="spellEnd"/>
      <w:r w:rsidRPr="004B2AD3">
        <w:rPr>
          <w:szCs w:val="18"/>
        </w:rPr>
        <w:t xml:space="preserve"> (MIDH) and OXFAM, para. 6.</w:t>
      </w:r>
      <w:r>
        <w:t xml:space="preserve"> </w:t>
      </w:r>
    </w:p>
  </w:footnote>
  <w:footnote w:id="99">
    <w:p w14:paraId="3FF56B04" w14:textId="45F5B6A6" w:rsidR="00031712" w:rsidRDefault="00031712" w:rsidP="00031712">
      <w:pPr>
        <w:pStyle w:val="FootnoteText"/>
        <w:widowControl w:val="0"/>
        <w:tabs>
          <w:tab w:val="clear" w:pos="1021"/>
          <w:tab w:val="right" w:pos="1020"/>
        </w:tabs>
      </w:pPr>
      <w:r>
        <w:tab/>
      </w:r>
      <w:r>
        <w:rPr>
          <w:rStyle w:val="FootnoteReference"/>
        </w:rPr>
        <w:footnoteRef/>
      </w:r>
      <w:r>
        <w:tab/>
      </w:r>
      <w:r w:rsidRPr="004B2AD3">
        <w:rPr>
          <w:szCs w:val="18"/>
        </w:rPr>
        <w:t>OTH 34/2019.</w:t>
      </w:r>
      <w:r>
        <w:t xml:space="preserve"> </w:t>
      </w:r>
    </w:p>
  </w:footnote>
  <w:footnote w:id="100">
    <w:p w14:paraId="5AE0BC37" w14:textId="0D6E95D2" w:rsidR="006554AE" w:rsidRDefault="006554AE" w:rsidP="006554AE">
      <w:pPr>
        <w:pStyle w:val="FootnoteText"/>
        <w:widowControl w:val="0"/>
        <w:tabs>
          <w:tab w:val="clear" w:pos="1021"/>
          <w:tab w:val="right" w:pos="1020"/>
        </w:tabs>
      </w:pPr>
      <w:r>
        <w:tab/>
      </w:r>
      <w:r>
        <w:rPr>
          <w:rStyle w:val="FootnoteReference"/>
        </w:rPr>
        <w:footnoteRef/>
      </w:r>
      <w:r>
        <w:tab/>
      </w:r>
      <w:r w:rsidRPr="004B2AD3">
        <w:rPr>
          <w:szCs w:val="18"/>
        </w:rPr>
        <w:t xml:space="preserve">Resolution </w:t>
      </w:r>
      <w:r>
        <w:rPr>
          <w:szCs w:val="18"/>
        </w:rPr>
        <w:t>47/6, para. 12.</w:t>
      </w:r>
      <w:r>
        <w:t xml:space="preserve"> </w:t>
      </w:r>
    </w:p>
  </w:footnote>
  <w:footnote w:id="101">
    <w:p w14:paraId="6BF02B78" w14:textId="513E80BC" w:rsidR="006554AE" w:rsidRDefault="006554AE" w:rsidP="006554AE">
      <w:pPr>
        <w:pStyle w:val="FootnoteText"/>
        <w:widowControl w:val="0"/>
        <w:tabs>
          <w:tab w:val="clear" w:pos="1021"/>
          <w:tab w:val="right" w:pos="1020"/>
        </w:tabs>
      </w:pPr>
      <w:r>
        <w:tab/>
      </w:r>
      <w:r>
        <w:rPr>
          <w:rStyle w:val="FootnoteReference"/>
        </w:rPr>
        <w:footnoteRef/>
      </w:r>
      <w:r>
        <w:tab/>
      </w:r>
      <w:r w:rsidRPr="00A7046E">
        <w:t>E/CN.4/1999/49, Chapter II, E/CN.4/2000/6.</w:t>
      </w:r>
      <w:r>
        <w:t xml:space="preserve"> </w:t>
      </w:r>
    </w:p>
  </w:footnote>
  <w:footnote w:id="102">
    <w:p w14:paraId="59F842D2" w14:textId="236FE585" w:rsidR="00D74D9F" w:rsidRDefault="00D74D9F" w:rsidP="00D74D9F">
      <w:pPr>
        <w:pStyle w:val="FootnoteText"/>
        <w:widowControl w:val="0"/>
        <w:tabs>
          <w:tab w:val="clear" w:pos="1021"/>
          <w:tab w:val="right" w:pos="1020"/>
        </w:tabs>
      </w:pPr>
      <w:r>
        <w:tab/>
      </w:r>
      <w:r>
        <w:rPr>
          <w:rStyle w:val="FootnoteReference"/>
        </w:rPr>
        <w:footnoteRef/>
      </w:r>
      <w:r>
        <w:tab/>
      </w:r>
      <w:r w:rsidRPr="004F411D">
        <w:t>General Comment 13, para. 6.</w:t>
      </w:r>
      <w:r>
        <w:t xml:space="preserve"> </w:t>
      </w:r>
    </w:p>
  </w:footnote>
  <w:footnote w:id="103">
    <w:p w14:paraId="2608E91E" w14:textId="09ED90F5" w:rsidR="00070897" w:rsidRDefault="00070897" w:rsidP="00070897">
      <w:pPr>
        <w:pStyle w:val="FootnoteText"/>
        <w:widowControl w:val="0"/>
        <w:tabs>
          <w:tab w:val="clear" w:pos="1021"/>
          <w:tab w:val="right" w:pos="1020"/>
        </w:tabs>
      </w:pPr>
      <w:r>
        <w:tab/>
      </w:r>
      <w:r>
        <w:rPr>
          <w:rStyle w:val="FootnoteReference"/>
        </w:rPr>
        <w:footnoteRef/>
      </w:r>
      <w:r>
        <w:tab/>
      </w:r>
      <w:r w:rsidRPr="004B2AD3">
        <w:rPr>
          <w:szCs w:val="18"/>
        </w:rPr>
        <w:t>See also A/75/718, (</w:t>
      </w:r>
      <w:r w:rsidRPr="004B2AD3">
        <w:rPr>
          <w:spacing w:val="4"/>
          <w:szCs w:val="18"/>
        </w:rPr>
        <w:t>Interrelations between the right to education and the rights to water and sanitation).</w:t>
      </w:r>
      <w:r>
        <w:t xml:space="preserve"> </w:t>
      </w:r>
    </w:p>
  </w:footnote>
  <w:footnote w:id="104">
    <w:p w14:paraId="75F7BA20" w14:textId="634AA029" w:rsidR="00070897" w:rsidRDefault="00070897" w:rsidP="00070897">
      <w:pPr>
        <w:pStyle w:val="FootnoteText"/>
        <w:widowControl w:val="0"/>
        <w:tabs>
          <w:tab w:val="clear" w:pos="1021"/>
          <w:tab w:val="right" w:pos="1020"/>
        </w:tabs>
      </w:pPr>
      <w:r>
        <w:tab/>
      </w:r>
      <w:r>
        <w:rPr>
          <w:rStyle w:val="FootnoteReference"/>
        </w:rPr>
        <w:footnoteRef/>
      </w:r>
      <w:r>
        <w:tab/>
      </w:r>
      <w:r w:rsidRPr="004B2AD3">
        <w:rPr>
          <w:szCs w:val="18"/>
        </w:rPr>
        <w:t xml:space="preserve">A/HRC/47/32, para. 61; A/75/178, para. 24. </w:t>
      </w:r>
      <w:r>
        <w:t xml:space="preserve"> </w:t>
      </w:r>
    </w:p>
  </w:footnote>
  <w:footnote w:id="105">
    <w:p w14:paraId="41FFB9E8" w14:textId="2C48D74E" w:rsidR="00070897" w:rsidRDefault="00070897" w:rsidP="00070897">
      <w:pPr>
        <w:pStyle w:val="FootnoteText"/>
        <w:widowControl w:val="0"/>
        <w:tabs>
          <w:tab w:val="clear" w:pos="1021"/>
          <w:tab w:val="right" w:pos="1020"/>
        </w:tabs>
      </w:pPr>
      <w:r>
        <w:tab/>
      </w:r>
      <w:r>
        <w:rPr>
          <w:rStyle w:val="FootnoteReference"/>
        </w:rPr>
        <w:footnoteRef/>
      </w:r>
      <w:r>
        <w:tab/>
      </w:r>
      <w:r w:rsidRPr="004B2AD3">
        <w:rPr>
          <w:szCs w:val="18"/>
        </w:rPr>
        <w:t xml:space="preserve">Lea Shaver, </w:t>
      </w:r>
      <w:hyperlink r:id="rId27" w:history="1">
        <w:r w:rsidRPr="004B2AD3">
          <w:rPr>
            <w:rStyle w:val="Hyperlink"/>
            <w:szCs w:val="18"/>
          </w:rPr>
          <w:t>Ending Book Hunger</w:t>
        </w:r>
      </w:hyperlink>
      <w:r w:rsidRPr="004B2AD3">
        <w:rPr>
          <w:szCs w:val="18"/>
        </w:rPr>
        <w:t>.</w:t>
      </w:r>
      <w:r>
        <w:t xml:space="preserve"> </w:t>
      </w:r>
    </w:p>
  </w:footnote>
  <w:footnote w:id="106">
    <w:p w14:paraId="23EE208E" w14:textId="680AEB9E" w:rsidR="00071712" w:rsidRDefault="00071712" w:rsidP="00071712">
      <w:pPr>
        <w:pStyle w:val="FootnoteText"/>
        <w:widowControl w:val="0"/>
        <w:tabs>
          <w:tab w:val="clear" w:pos="1021"/>
          <w:tab w:val="right" w:pos="1020"/>
        </w:tabs>
      </w:pPr>
      <w:r>
        <w:tab/>
      </w:r>
      <w:r>
        <w:rPr>
          <w:rStyle w:val="FootnoteReference"/>
        </w:rPr>
        <w:footnoteRef/>
      </w:r>
      <w:r>
        <w:tab/>
      </w:r>
      <w:r w:rsidRPr="004B2AD3">
        <w:rPr>
          <w:szCs w:val="18"/>
        </w:rPr>
        <w:t>For example, A/75/178, para. 36; A/HRC/25/32, para. 25-26.</w:t>
      </w:r>
      <w:r>
        <w:t xml:space="preserve"> </w:t>
      </w:r>
    </w:p>
  </w:footnote>
  <w:footnote w:id="107">
    <w:p w14:paraId="0BCB51A9" w14:textId="2A5A981D" w:rsidR="00164472" w:rsidRDefault="00164472" w:rsidP="00164472">
      <w:pPr>
        <w:pStyle w:val="FootnoteText"/>
        <w:widowControl w:val="0"/>
        <w:tabs>
          <w:tab w:val="clear" w:pos="1021"/>
          <w:tab w:val="right" w:pos="1020"/>
        </w:tabs>
      </w:pPr>
      <w:r>
        <w:tab/>
      </w:r>
      <w:r>
        <w:rPr>
          <w:rStyle w:val="FootnoteReference"/>
        </w:rPr>
        <w:footnoteRef/>
      </w:r>
      <w:r>
        <w:tab/>
      </w:r>
      <w:r w:rsidRPr="004B2AD3">
        <w:rPr>
          <w:szCs w:val="18"/>
        </w:rPr>
        <w:t>A/HRC/44/39, paras. 33 and 84 e).</w:t>
      </w:r>
      <w:r>
        <w:t xml:space="preserve"> </w:t>
      </w:r>
    </w:p>
  </w:footnote>
  <w:footnote w:id="108">
    <w:p w14:paraId="19E76193" w14:textId="5F90CBEE" w:rsidR="00164472" w:rsidRDefault="00164472" w:rsidP="00164472">
      <w:pPr>
        <w:pStyle w:val="FootnoteText"/>
        <w:widowControl w:val="0"/>
        <w:tabs>
          <w:tab w:val="clear" w:pos="1021"/>
          <w:tab w:val="right" w:pos="1020"/>
        </w:tabs>
      </w:pPr>
      <w:r>
        <w:tab/>
      </w:r>
      <w:r>
        <w:rPr>
          <w:rStyle w:val="FootnoteReference"/>
        </w:rPr>
        <w:footnoteRef/>
      </w:r>
      <w:r>
        <w:tab/>
      </w:r>
      <w:r w:rsidRPr="004B2AD3">
        <w:rPr>
          <w:szCs w:val="18"/>
        </w:rPr>
        <w:t>A/HRC/50/32 (Impact of the digitalization of education on the right to education), para. 24.</w:t>
      </w:r>
      <w:r>
        <w:t xml:space="preserve"> </w:t>
      </w:r>
    </w:p>
  </w:footnote>
  <w:footnote w:id="109">
    <w:p w14:paraId="684C928A" w14:textId="57BC3850" w:rsidR="00164472" w:rsidRDefault="00164472" w:rsidP="00164472">
      <w:pPr>
        <w:pStyle w:val="FootnoteText"/>
        <w:widowControl w:val="0"/>
        <w:tabs>
          <w:tab w:val="clear" w:pos="1021"/>
          <w:tab w:val="right" w:pos="1020"/>
        </w:tabs>
      </w:pPr>
      <w:r>
        <w:tab/>
      </w:r>
      <w:r>
        <w:rPr>
          <w:rStyle w:val="FootnoteReference"/>
        </w:rPr>
        <w:footnoteRef/>
      </w:r>
      <w:r>
        <w:tab/>
      </w:r>
      <w:r w:rsidRPr="004B2AD3">
        <w:rPr>
          <w:szCs w:val="18"/>
        </w:rPr>
        <w:t>A/HRC/47/32, para. 63.</w:t>
      </w:r>
      <w:r>
        <w:t xml:space="preserve"> </w:t>
      </w:r>
    </w:p>
  </w:footnote>
  <w:footnote w:id="110">
    <w:p w14:paraId="19FB3A76" w14:textId="3206466B" w:rsidR="00164472" w:rsidRDefault="00164472" w:rsidP="00164472">
      <w:pPr>
        <w:pStyle w:val="FootnoteText"/>
        <w:widowControl w:val="0"/>
        <w:tabs>
          <w:tab w:val="clear" w:pos="1021"/>
          <w:tab w:val="right" w:pos="1020"/>
        </w:tabs>
      </w:pPr>
      <w:r>
        <w:tab/>
      </w:r>
      <w:r>
        <w:rPr>
          <w:rStyle w:val="FootnoteReference"/>
        </w:rPr>
        <w:footnoteRef/>
      </w:r>
      <w:r>
        <w:tab/>
      </w:r>
      <w:r w:rsidRPr="004B2AD3">
        <w:rPr>
          <w:szCs w:val="18"/>
        </w:rPr>
        <w:t>A/HRC/50/32, para. 32.</w:t>
      </w:r>
      <w:r>
        <w:t xml:space="preserve"> </w:t>
      </w:r>
    </w:p>
  </w:footnote>
  <w:footnote w:id="111">
    <w:p w14:paraId="0BD106C7" w14:textId="7F4C87EC" w:rsidR="00164472" w:rsidRDefault="00164472" w:rsidP="00164472">
      <w:pPr>
        <w:pStyle w:val="FootnoteText"/>
        <w:widowControl w:val="0"/>
        <w:tabs>
          <w:tab w:val="clear" w:pos="1021"/>
          <w:tab w:val="right" w:pos="1020"/>
        </w:tabs>
      </w:pPr>
      <w:r>
        <w:tab/>
      </w:r>
      <w:r>
        <w:rPr>
          <w:rStyle w:val="FootnoteReference"/>
        </w:rPr>
        <w:footnoteRef/>
      </w:r>
      <w:r>
        <w:tab/>
      </w:r>
      <w:r w:rsidRPr="004F411D">
        <w:rPr>
          <w:szCs w:val="18"/>
        </w:rPr>
        <w:t>pp. 5-9.</w:t>
      </w:r>
      <w:r>
        <w:t xml:space="preserve"> </w:t>
      </w:r>
    </w:p>
  </w:footnote>
  <w:footnote w:id="112">
    <w:p w14:paraId="7C440DA2" w14:textId="7F069430" w:rsidR="00164472" w:rsidRDefault="00164472" w:rsidP="00164472">
      <w:pPr>
        <w:pStyle w:val="FootnoteText"/>
        <w:widowControl w:val="0"/>
        <w:tabs>
          <w:tab w:val="clear" w:pos="1021"/>
          <w:tab w:val="right" w:pos="1020"/>
        </w:tabs>
      </w:pPr>
      <w:r>
        <w:tab/>
      </w:r>
      <w:r>
        <w:rPr>
          <w:rStyle w:val="FootnoteReference"/>
        </w:rPr>
        <w:footnoteRef/>
      </w:r>
      <w:r>
        <w:tab/>
      </w:r>
      <w:r w:rsidRPr="004B2AD3">
        <w:rPr>
          <w:szCs w:val="18"/>
        </w:rPr>
        <w:t>UNESCO Commission, p. 149.</w:t>
      </w:r>
      <w:r>
        <w:t xml:space="preserve"> </w:t>
      </w:r>
    </w:p>
  </w:footnote>
  <w:footnote w:id="113">
    <w:p w14:paraId="4ADFE658" w14:textId="047E76C8" w:rsidR="00C62174" w:rsidRDefault="00C62174" w:rsidP="00C62174">
      <w:pPr>
        <w:pStyle w:val="FootnoteText"/>
        <w:widowControl w:val="0"/>
        <w:tabs>
          <w:tab w:val="clear" w:pos="1021"/>
          <w:tab w:val="right" w:pos="1020"/>
        </w:tabs>
      </w:pPr>
      <w:r>
        <w:tab/>
      </w:r>
      <w:r>
        <w:rPr>
          <w:rStyle w:val="FootnoteReference"/>
        </w:rPr>
        <w:footnoteRef/>
      </w:r>
      <w:r>
        <w:tab/>
      </w:r>
      <w:r w:rsidRPr="004B2AD3">
        <w:rPr>
          <w:szCs w:val="18"/>
        </w:rPr>
        <w:t>A/HRC/44/39, para. 15.</w:t>
      </w:r>
      <w:r>
        <w:t xml:space="preserve"> </w:t>
      </w:r>
    </w:p>
  </w:footnote>
  <w:footnote w:id="114">
    <w:p w14:paraId="72B91A93" w14:textId="24634FA9" w:rsidR="00C62174" w:rsidRDefault="00C62174" w:rsidP="00C62174">
      <w:pPr>
        <w:pStyle w:val="FootnoteText"/>
        <w:widowControl w:val="0"/>
        <w:tabs>
          <w:tab w:val="clear" w:pos="1021"/>
          <w:tab w:val="right" w:pos="1020"/>
        </w:tabs>
      </w:pPr>
      <w:r>
        <w:tab/>
      </w:r>
      <w:r>
        <w:rPr>
          <w:rStyle w:val="FootnoteReference"/>
        </w:rPr>
        <w:footnoteRef/>
      </w:r>
      <w:r>
        <w:tab/>
      </w:r>
      <w:r w:rsidRPr="004B2AD3">
        <w:rPr>
          <w:szCs w:val="18"/>
        </w:rPr>
        <w:t>UNESCO</w:t>
      </w:r>
      <w:r>
        <w:rPr>
          <w:szCs w:val="18"/>
        </w:rPr>
        <w:t>, Education Sector</w:t>
      </w:r>
      <w:r w:rsidRPr="004B2AD3">
        <w:rPr>
          <w:szCs w:val="18"/>
        </w:rPr>
        <w:t>, 2.</w:t>
      </w:r>
      <w:r>
        <w:t xml:space="preserve"> </w:t>
      </w:r>
    </w:p>
  </w:footnote>
  <w:footnote w:id="115">
    <w:p w14:paraId="66C64DE1" w14:textId="71EFB581" w:rsidR="00C62174" w:rsidRDefault="00C62174" w:rsidP="00C62174">
      <w:pPr>
        <w:pStyle w:val="FootnoteText"/>
        <w:widowControl w:val="0"/>
        <w:tabs>
          <w:tab w:val="clear" w:pos="1021"/>
          <w:tab w:val="right" w:pos="1020"/>
        </w:tabs>
      </w:pPr>
      <w:r>
        <w:tab/>
      </w:r>
      <w:r>
        <w:rPr>
          <w:rStyle w:val="FootnoteReference"/>
        </w:rPr>
        <w:footnoteRef/>
      </w:r>
      <w:r>
        <w:tab/>
      </w:r>
      <w:r w:rsidRPr="004B2AD3">
        <w:rPr>
          <w:szCs w:val="18"/>
        </w:rPr>
        <w:t>A/HRC/32/37 (I</w:t>
      </w:r>
      <w:r w:rsidRPr="004B2AD3">
        <w:rPr>
          <w:spacing w:val="4"/>
          <w:szCs w:val="18"/>
          <w:shd w:val="clear" w:color="auto" w:fill="FAFAF8"/>
        </w:rPr>
        <w:t>ssues and challenges to the right to education in the digital age)</w:t>
      </w:r>
      <w:r w:rsidRPr="004B2AD3">
        <w:rPr>
          <w:szCs w:val="18"/>
        </w:rPr>
        <w:t>; A/HRC/50/32.</w:t>
      </w:r>
      <w:r>
        <w:t xml:space="preserve"> </w:t>
      </w:r>
    </w:p>
  </w:footnote>
  <w:footnote w:id="116">
    <w:p w14:paraId="302149E1" w14:textId="4F1CC62D" w:rsidR="00C62174" w:rsidRDefault="00C62174" w:rsidP="00C62174">
      <w:pPr>
        <w:pStyle w:val="FootnoteText"/>
        <w:widowControl w:val="0"/>
        <w:tabs>
          <w:tab w:val="clear" w:pos="1021"/>
          <w:tab w:val="right" w:pos="1020"/>
        </w:tabs>
      </w:pPr>
      <w:r>
        <w:tab/>
      </w:r>
      <w:r>
        <w:rPr>
          <w:rStyle w:val="FootnoteReference"/>
        </w:rPr>
        <w:footnoteRef/>
      </w:r>
      <w:r>
        <w:tab/>
      </w:r>
      <w:hyperlink r:id="rId28" w:history="1">
        <w:proofErr w:type="spellStart"/>
        <w:r w:rsidRPr="004B2AD3">
          <w:rPr>
            <w:rStyle w:val="Hyperlink"/>
            <w:szCs w:val="18"/>
          </w:rPr>
          <w:t>ChatGPT</w:t>
        </w:r>
        <w:proofErr w:type="spellEnd"/>
        <w:r w:rsidRPr="004B2AD3">
          <w:rPr>
            <w:rStyle w:val="Hyperlink"/>
            <w:szCs w:val="18"/>
          </w:rPr>
          <w:t xml:space="preserve"> banned in Italy over privacy concerns - BBC News</w:t>
        </w:r>
      </w:hyperlink>
      <w:r>
        <w:t xml:space="preserve"> </w:t>
      </w:r>
    </w:p>
  </w:footnote>
  <w:footnote w:id="117">
    <w:p w14:paraId="5381CD0B" w14:textId="2FFBC109" w:rsidR="0003626E" w:rsidRDefault="0003626E" w:rsidP="0003626E">
      <w:pPr>
        <w:pStyle w:val="FootnoteText"/>
        <w:widowControl w:val="0"/>
        <w:tabs>
          <w:tab w:val="clear" w:pos="1021"/>
          <w:tab w:val="right" w:pos="1020"/>
        </w:tabs>
      </w:pPr>
      <w:r>
        <w:tab/>
      </w:r>
      <w:r>
        <w:rPr>
          <w:rStyle w:val="FootnoteReference"/>
        </w:rPr>
        <w:footnoteRef/>
      </w:r>
      <w:r>
        <w:tab/>
      </w:r>
      <w:r w:rsidRPr="004B2AD3">
        <w:rPr>
          <w:szCs w:val="18"/>
        </w:rPr>
        <w:t>New Humanity, p. 4.</w:t>
      </w:r>
      <w:r>
        <w:t xml:space="preserve"> </w:t>
      </w:r>
    </w:p>
  </w:footnote>
  <w:footnote w:id="118">
    <w:p w14:paraId="1C498C4F" w14:textId="5201E73A" w:rsidR="006505EA" w:rsidRDefault="006505EA" w:rsidP="006505EA">
      <w:pPr>
        <w:pStyle w:val="FootnoteText"/>
        <w:widowControl w:val="0"/>
        <w:tabs>
          <w:tab w:val="clear" w:pos="1021"/>
          <w:tab w:val="right" w:pos="1020"/>
        </w:tabs>
      </w:pPr>
      <w:r>
        <w:tab/>
      </w:r>
      <w:r>
        <w:rPr>
          <w:rStyle w:val="FootnoteReference"/>
        </w:rPr>
        <w:footnoteRef/>
      </w:r>
      <w:r>
        <w:tab/>
      </w:r>
      <w:r w:rsidRPr="004B2AD3">
        <w:rPr>
          <w:rFonts w:eastAsia="Source Sans Pro"/>
          <w:szCs w:val="18"/>
        </w:rPr>
        <w:t xml:space="preserve">Access Now, paras 17-18. </w:t>
      </w:r>
      <w:r>
        <w:t xml:space="preserve"> </w:t>
      </w:r>
    </w:p>
  </w:footnote>
  <w:footnote w:id="119">
    <w:p w14:paraId="0D7BF3F1" w14:textId="69ACB171" w:rsidR="006505EA" w:rsidRDefault="006505EA" w:rsidP="006505EA">
      <w:pPr>
        <w:pStyle w:val="FootnoteText"/>
        <w:widowControl w:val="0"/>
        <w:tabs>
          <w:tab w:val="clear" w:pos="1021"/>
          <w:tab w:val="right" w:pos="1020"/>
        </w:tabs>
      </w:pPr>
      <w:r>
        <w:tab/>
      </w:r>
      <w:r>
        <w:rPr>
          <w:rStyle w:val="FootnoteReference"/>
        </w:rPr>
        <w:footnoteRef/>
      </w:r>
      <w:r>
        <w:tab/>
      </w:r>
      <w:r w:rsidRPr="004B2AD3">
        <w:rPr>
          <w:szCs w:val="18"/>
        </w:rPr>
        <w:t>New Humanity, p. 4.</w:t>
      </w:r>
      <w:r>
        <w:t xml:space="preserve"> </w:t>
      </w:r>
    </w:p>
  </w:footnote>
  <w:footnote w:id="120">
    <w:p w14:paraId="34109F10" w14:textId="451F61ED" w:rsidR="006505EA" w:rsidRDefault="006505EA" w:rsidP="006505EA">
      <w:pPr>
        <w:pStyle w:val="FootnoteText"/>
        <w:widowControl w:val="0"/>
        <w:tabs>
          <w:tab w:val="clear" w:pos="1021"/>
          <w:tab w:val="right" w:pos="1020"/>
        </w:tabs>
      </w:pPr>
      <w:r>
        <w:tab/>
      </w:r>
      <w:r>
        <w:rPr>
          <w:rStyle w:val="FootnoteReference"/>
        </w:rPr>
        <w:footnoteRef/>
      </w:r>
      <w:r>
        <w:tab/>
      </w:r>
      <w:r w:rsidRPr="004B2AD3">
        <w:rPr>
          <w:szCs w:val="18"/>
        </w:rPr>
        <w:t>A/HRC/50/32, paras. 13-14.</w:t>
      </w:r>
      <w:r>
        <w:t xml:space="preserve"> </w:t>
      </w:r>
    </w:p>
  </w:footnote>
  <w:footnote w:id="121">
    <w:p w14:paraId="5F84E702" w14:textId="7B0B5EC9" w:rsidR="006505EA" w:rsidRDefault="006505EA" w:rsidP="006505EA">
      <w:pPr>
        <w:pStyle w:val="FootnoteText"/>
        <w:widowControl w:val="0"/>
        <w:tabs>
          <w:tab w:val="clear" w:pos="1021"/>
          <w:tab w:val="right" w:pos="1020"/>
        </w:tabs>
      </w:pPr>
      <w:r>
        <w:tab/>
      </w:r>
      <w:r>
        <w:rPr>
          <w:rStyle w:val="FootnoteReference"/>
        </w:rPr>
        <w:footnoteRef/>
      </w:r>
      <w:r>
        <w:tab/>
        <w:t xml:space="preserve">UNESCO Commission, p. 34. </w:t>
      </w:r>
    </w:p>
  </w:footnote>
  <w:footnote w:id="122">
    <w:p w14:paraId="3B487899" w14:textId="268B5F9A" w:rsidR="006505EA" w:rsidRDefault="006505EA" w:rsidP="006505EA">
      <w:pPr>
        <w:pStyle w:val="FootnoteText"/>
        <w:widowControl w:val="0"/>
        <w:tabs>
          <w:tab w:val="clear" w:pos="1021"/>
          <w:tab w:val="right" w:pos="1020"/>
        </w:tabs>
      </w:pPr>
      <w:r>
        <w:tab/>
      </w:r>
      <w:r>
        <w:rPr>
          <w:rStyle w:val="FootnoteReference"/>
        </w:rPr>
        <w:footnoteRef/>
      </w:r>
      <w:r>
        <w:tab/>
      </w:r>
      <w:r w:rsidRPr="004B2AD3">
        <w:rPr>
          <w:szCs w:val="18"/>
        </w:rPr>
        <w:t>Access now, para 4.</w:t>
      </w:r>
      <w:r>
        <w:t xml:space="preserve"> </w:t>
      </w:r>
    </w:p>
  </w:footnote>
  <w:footnote w:id="123">
    <w:p w14:paraId="5EFE037E" w14:textId="425C2EF4" w:rsidR="006505EA" w:rsidRDefault="006505EA" w:rsidP="006505EA">
      <w:pPr>
        <w:pStyle w:val="FootnoteText"/>
        <w:widowControl w:val="0"/>
        <w:tabs>
          <w:tab w:val="clear" w:pos="1021"/>
          <w:tab w:val="right" w:pos="1020"/>
        </w:tabs>
      </w:pPr>
      <w:r>
        <w:tab/>
      </w:r>
      <w:r>
        <w:rPr>
          <w:rStyle w:val="FootnoteReference"/>
        </w:rPr>
        <w:footnoteRef/>
      </w:r>
      <w:r>
        <w:tab/>
      </w:r>
      <w:r w:rsidRPr="00425A22">
        <w:t>https://unesdoc.unesco.org/ark:/48223/pf0000380598/PDF/380598eng.pdf.multi</w:t>
      </w:r>
      <w:r>
        <w:t xml:space="preserve"> </w:t>
      </w:r>
    </w:p>
  </w:footnote>
  <w:footnote w:id="124">
    <w:p w14:paraId="3693F2E3" w14:textId="6A2258C8" w:rsidR="006505EA" w:rsidRDefault="006505EA" w:rsidP="006505EA">
      <w:pPr>
        <w:pStyle w:val="FootnoteText"/>
        <w:widowControl w:val="0"/>
        <w:tabs>
          <w:tab w:val="clear" w:pos="1021"/>
          <w:tab w:val="right" w:pos="1020"/>
        </w:tabs>
      </w:pPr>
      <w:r>
        <w:tab/>
      </w:r>
      <w:r>
        <w:rPr>
          <w:rStyle w:val="FootnoteReference"/>
        </w:rPr>
        <w:footnoteRef/>
      </w:r>
      <w:r>
        <w:tab/>
      </w:r>
      <w:r w:rsidRPr="004B2AD3">
        <w:rPr>
          <w:szCs w:val="18"/>
        </w:rPr>
        <w:t>A/HRC/50/32, summary and para. 95.</w:t>
      </w:r>
      <w:r>
        <w:t xml:space="preserve"> </w:t>
      </w:r>
    </w:p>
  </w:footnote>
  <w:footnote w:id="125">
    <w:p w14:paraId="4AEAAE67" w14:textId="3AA36B97" w:rsidR="006505EA" w:rsidRDefault="006505EA" w:rsidP="006505EA">
      <w:pPr>
        <w:pStyle w:val="FootnoteText"/>
        <w:widowControl w:val="0"/>
        <w:tabs>
          <w:tab w:val="clear" w:pos="1021"/>
          <w:tab w:val="right" w:pos="1020"/>
        </w:tabs>
      </w:pPr>
      <w:r>
        <w:tab/>
      </w:r>
      <w:r>
        <w:rPr>
          <w:rStyle w:val="FootnoteReference"/>
        </w:rPr>
        <w:footnoteRef/>
      </w:r>
      <w:r>
        <w:tab/>
      </w:r>
      <w:hyperlink r:id="rId29" w:history="1">
        <w:r w:rsidRPr="004B2AD3">
          <w:rPr>
            <w:rStyle w:val="Hyperlink"/>
            <w:szCs w:val="18"/>
          </w:rPr>
          <w:t>Teaching Salary Index | Teaching Abroad Direct</w:t>
        </w:r>
      </w:hyperlink>
      <w:r>
        <w:t xml:space="preserve"> </w:t>
      </w:r>
    </w:p>
  </w:footnote>
  <w:footnote w:id="126">
    <w:p w14:paraId="44F07809" w14:textId="0539E5B1" w:rsidR="006505EA" w:rsidRDefault="006505EA" w:rsidP="006505EA">
      <w:pPr>
        <w:pStyle w:val="FootnoteText"/>
        <w:widowControl w:val="0"/>
        <w:tabs>
          <w:tab w:val="clear" w:pos="1021"/>
          <w:tab w:val="right" w:pos="1020"/>
        </w:tabs>
      </w:pPr>
      <w:r>
        <w:tab/>
      </w:r>
      <w:r>
        <w:rPr>
          <w:rStyle w:val="FootnoteReference"/>
        </w:rPr>
        <w:footnoteRef/>
      </w:r>
      <w:r>
        <w:tab/>
      </w:r>
      <w:r w:rsidRPr="004B2AD3">
        <w:rPr>
          <w:szCs w:val="18"/>
        </w:rPr>
        <w:t>A/HRC/44/39, III D.</w:t>
      </w:r>
      <w:r>
        <w:t xml:space="preserve"> </w:t>
      </w:r>
    </w:p>
  </w:footnote>
  <w:footnote w:id="127">
    <w:p w14:paraId="0350C295" w14:textId="4069AF86" w:rsidR="006505EA" w:rsidRDefault="006505EA" w:rsidP="006505EA">
      <w:pPr>
        <w:pStyle w:val="FootnoteText"/>
        <w:widowControl w:val="0"/>
        <w:tabs>
          <w:tab w:val="clear" w:pos="1021"/>
          <w:tab w:val="right" w:pos="1020"/>
        </w:tabs>
      </w:pPr>
      <w:r>
        <w:tab/>
      </w:r>
      <w:r>
        <w:rPr>
          <w:rStyle w:val="FootnoteReference"/>
        </w:rPr>
        <w:footnoteRef/>
      </w:r>
      <w:r>
        <w:tab/>
      </w:r>
      <w:r w:rsidRPr="004B2AD3">
        <w:rPr>
          <w:szCs w:val="18"/>
        </w:rPr>
        <w:t>A/HRC/50/32, IV F and para. 98.</w:t>
      </w:r>
      <w:r>
        <w:t xml:space="preserve"> </w:t>
      </w:r>
    </w:p>
  </w:footnote>
  <w:footnote w:id="128">
    <w:p w14:paraId="508224E5" w14:textId="31BA3E08" w:rsidR="006505EA" w:rsidRDefault="006505EA" w:rsidP="006505EA">
      <w:pPr>
        <w:pStyle w:val="FootnoteText"/>
        <w:widowControl w:val="0"/>
        <w:tabs>
          <w:tab w:val="clear" w:pos="1021"/>
          <w:tab w:val="right" w:pos="1020"/>
        </w:tabs>
      </w:pPr>
      <w:r>
        <w:tab/>
      </w:r>
      <w:r>
        <w:rPr>
          <w:rStyle w:val="FootnoteReference"/>
        </w:rPr>
        <w:footnoteRef/>
      </w:r>
      <w:r>
        <w:tab/>
      </w:r>
      <w:r w:rsidRPr="004B2AD3">
        <w:rPr>
          <w:szCs w:val="18"/>
        </w:rPr>
        <w:t>HRC/44/39, para. 84 s</w:t>
      </w:r>
      <w:r w:rsidRPr="007856B7">
        <w:rPr>
          <w:szCs w:val="18"/>
        </w:rPr>
        <w:t>)</w:t>
      </w:r>
      <w:r w:rsidRPr="004B2AD3">
        <w:rPr>
          <w:szCs w:val="18"/>
        </w:rPr>
        <w:t>). See also, El Salvador, AE.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3E170" w14:textId="5FC29711" w:rsidR="008B6556" w:rsidRPr="008B6556" w:rsidRDefault="00AD6982">
    <w:pPr>
      <w:pStyle w:val="Header"/>
    </w:pPr>
    <w:r>
      <w:rPr>
        <w:noProof/>
      </w:rPr>
      <w:pict w14:anchorId="037CE3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121812" o:spid="_x0000_s1027" type="#_x0000_t136" alt="" style="position:absolute;margin-left:0;margin-top:0;width:617.7pt;height:61.75pt;rotation:315;z-index:-251642880;mso-wrap-edited:f;mso-width-percent:0;mso-height-percent:0;mso-position-horizontal:center;mso-position-horizontal-relative:margin;mso-position-vertical:center;mso-position-vertical-relative:margin;mso-width-percent:0;mso-height-percent:0" o:allowincell="f" fillcolor="black [3213]" stroked="f">
          <v:fill opacity="12451f"/>
          <v:textpath style="font-family:&quot;Times New Roman&quot;;font-size:1pt" string="Advance unedited version"/>
          <w10:wrap anchorx="margin" anchory="margin"/>
        </v:shape>
      </w:pict>
    </w:r>
    <w:fldSimple w:instr=" TITLE  \* MERGEFORMAT ">
      <w:r w:rsidR="008B6556">
        <w:t>A/HRC/53/27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85C8C" w14:textId="4190EECC" w:rsidR="008B6556" w:rsidRPr="008B6556" w:rsidRDefault="00AD6982" w:rsidP="008B6556">
    <w:pPr>
      <w:pStyle w:val="Header"/>
      <w:jc w:val="right"/>
    </w:pPr>
    <w:r>
      <w:rPr>
        <w:noProof/>
      </w:rPr>
      <w:pict w14:anchorId="04DFDC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121813" o:spid="_x0000_s1026" type="#_x0000_t136" alt="" style="position:absolute;left:0;text-align:left;margin-left:0;margin-top:0;width:617.7pt;height:61.75pt;rotation:315;z-index:-251640832;mso-wrap-edited:f;mso-width-percent:0;mso-height-percent:0;mso-position-horizontal:center;mso-position-horizontal-relative:margin;mso-position-vertical:center;mso-position-vertical-relative:margin;mso-width-percent:0;mso-height-percent:0" o:allowincell="f" fillcolor="black [3213]" stroked="f">
          <v:fill opacity="12451f"/>
          <v:textpath style="font-family:&quot;Times New Roman&quot;;font-size:1pt" string="Advance unedited version"/>
          <w10:wrap anchorx="margin" anchory="margin"/>
        </v:shape>
      </w:pict>
    </w:r>
    <w:fldSimple w:instr=" TITLE  \* MERGEFORMAT ">
      <w:r w:rsidR="008B6556">
        <w:t>A/HRC/53/27</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44D3F" w14:textId="2F005EDF" w:rsidR="001B78B8" w:rsidRDefault="00AD6982">
    <w:pPr>
      <w:pStyle w:val="Header"/>
    </w:pPr>
    <w:r>
      <w:rPr>
        <w:noProof/>
      </w:rPr>
      <w:pict w14:anchorId="7960DD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121811" o:spid="_x0000_s1025" type="#_x0000_t136" alt="" style="position:absolute;margin-left:0;margin-top:0;width:617.7pt;height:61.75pt;rotation:315;z-index:-251644928;mso-wrap-edited:f;mso-width-percent:0;mso-height-percent:0;mso-position-horizontal:center;mso-position-horizontal-relative:margin;mso-position-vertical:center;mso-position-vertical-relative:margin;mso-width-percent:0;mso-height-percent:0" o:allowincell="f" fillcolor="black [3213]" stroked="f">
          <v:fill opacity="12451f"/>
          <v:textpath style="font-family:&quot;Times New Roman&quot;;font-size:1pt" string="Advance unedited ver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4F10"/>
    <w:multiLevelType w:val="hybridMultilevel"/>
    <w:tmpl w:val="67BAD54C"/>
    <w:lvl w:ilvl="0" w:tplc="6BECD93A">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D60063"/>
    <w:multiLevelType w:val="hybridMultilevel"/>
    <w:tmpl w:val="219A69DC"/>
    <w:lvl w:ilvl="0" w:tplc="59BAB2D6">
      <w:start w:val="1"/>
      <w:numFmt w:val="lowerRoman"/>
      <w:pStyle w:val="Subtitle"/>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28C962AE"/>
    <w:multiLevelType w:val="hybridMultilevel"/>
    <w:tmpl w:val="85B04496"/>
    <w:lvl w:ilvl="0" w:tplc="C350504A">
      <w:start w:val="1"/>
      <w:numFmt w:val="bullet"/>
      <w:pStyle w:val="Bulllets"/>
      <w:lvlText w:val=""/>
      <w:lvlJc w:val="left"/>
      <w:pPr>
        <w:ind w:left="720" w:hanging="360"/>
      </w:pPr>
      <w:rPr>
        <w:rFonts w:ascii="Symbol" w:hAnsi="Symbol" w:hint="default"/>
        <w:color w:val="C5192D"/>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48103DB"/>
    <w:multiLevelType w:val="hybridMultilevel"/>
    <w:tmpl w:val="E4D45CA6"/>
    <w:lvl w:ilvl="0" w:tplc="ABAC4FAC">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A61399"/>
    <w:multiLevelType w:val="hybridMultilevel"/>
    <w:tmpl w:val="5196510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A12132"/>
    <w:multiLevelType w:val="hybridMultilevel"/>
    <w:tmpl w:val="ACB065EE"/>
    <w:lvl w:ilvl="0" w:tplc="D72ADF40">
      <w:start w:val="1"/>
      <w:numFmt w:val="decimal"/>
      <w:pStyle w:val="TOCHeading"/>
      <w:lvlText w:val="%1."/>
      <w:lvlJc w:val="left"/>
      <w:pPr>
        <w:ind w:left="786" w:hanging="360"/>
      </w:pPr>
      <w:rPr>
        <w:rFonts w:ascii="Times New Roman" w:hAnsi="Times New Roman" w:cs="Times New Roman" w:hint="default"/>
        <w:b w:val="0"/>
        <w:bCs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4305C0"/>
    <w:multiLevelType w:val="hybridMultilevel"/>
    <w:tmpl w:val="604845FE"/>
    <w:lvl w:ilvl="0" w:tplc="AD3E9E4C">
      <w:start w:val="1"/>
      <w:numFmt w:val="upperRoman"/>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91249852">
    <w:abstractNumId w:val="1"/>
  </w:num>
  <w:num w:numId="2" w16cid:durableId="1544172408">
    <w:abstractNumId w:val="7"/>
  </w:num>
  <w:num w:numId="3" w16cid:durableId="1711608915">
    <w:abstractNumId w:val="3"/>
  </w:num>
  <w:num w:numId="4" w16cid:durableId="1684623873">
    <w:abstractNumId w:val="9"/>
  </w:num>
  <w:num w:numId="5" w16cid:durableId="1051459883">
    <w:abstractNumId w:val="8"/>
  </w:num>
  <w:num w:numId="6" w16cid:durableId="1900938496">
    <w:abstractNumId w:val="6"/>
  </w:num>
  <w:num w:numId="7" w16cid:durableId="2113893983">
    <w:abstractNumId w:val="0"/>
  </w:num>
  <w:num w:numId="8" w16cid:durableId="1933735217">
    <w:abstractNumId w:val="5"/>
  </w:num>
  <w:num w:numId="9" w16cid:durableId="540167828">
    <w:abstractNumId w:val="2"/>
  </w:num>
  <w:num w:numId="10" w16cid:durableId="1065765199">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39"/>
  <w:removePersonalInformation/>
  <w:removeDateAndTime/>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cumentProtection w:edit="trackedChanges" w:enforcement="1"/>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556"/>
    <w:rsid w:val="00007F7F"/>
    <w:rsid w:val="00022DB5"/>
    <w:rsid w:val="00031712"/>
    <w:rsid w:val="0003626E"/>
    <w:rsid w:val="000403D1"/>
    <w:rsid w:val="00041E6B"/>
    <w:rsid w:val="000449AA"/>
    <w:rsid w:val="00050F6B"/>
    <w:rsid w:val="0005662A"/>
    <w:rsid w:val="000662B2"/>
    <w:rsid w:val="00070897"/>
    <w:rsid w:val="00071712"/>
    <w:rsid w:val="00072C8C"/>
    <w:rsid w:val="00073E70"/>
    <w:rsid w:val="000876EB"/>
    <w:rsid w:val="00091419"/>
    <w:rsid w:val="000931C0"/>
    <w:rsid w:val="000B175B"/>
    <w:rsid w:val="000B2500"/>
    <w:rsid w:val="000B2851"/>
    <w:rsid w:val="000B3A0F"/>
    <w:rsid w:val="000B4312"/>
    <w:rsid w:val="000B4A3B"/>
    <w:rsid w:val="000C59D8"/>
    <w:rsid w:val="000D1851"/>
    <w:rsid w:val="000D5B54"/>
    <w:rsid w:val="000E0415"/>
    <w:rsid w:val="00107142"/>
    <w:rsid w:val="00114567"/>
    <w:rsid w:val="00146D32"/>
    <w:rsid w:val="001509BA"/>
    <w:rsid w:val="001638C2"/>
    <w:rsid w:val="00164472"/>
    <w:rsid w:val="0016467D"/>
    <w:rsid w:val="00193A26"/>
    <w:rsid w:val="001A052E"/>
    <w:rsid w:val="001B4B04"/>
    <w:rsid w:val="001B78B8"/>
    <w:rsid w:val="001C6403"/>
    <w:rsid w:val="001C6663"/>
    <w:rsid w:val="001C6A3B"/>
    <w:rsid w:val="001C7895"/>
    <w:rsid w:val="001C7D96"/>
    <w:rsid w:val="001D0363"/>
    <w:rsid w:val="001D26DF"/>
    <w:rsid w:val="001E2790"/>
    <w:rsid w:val="001F4A94"/>
    <w:rsid w:val="00211E0B"/>
    <w:rsid w:val="00211E72"/>
    <w:rsid w:val="00212D01"/>
    <w:rsid w:val="00214047"/>
    <w:rsid w:val="0022130F"/>
    <w:rsid w:val="00221ACB"/>
    <w:rsid w:val="00237785"/>
    <w:rsid w:val="002410DD"/>
    <w:rsid w:val="00241466"/>
    <w:rsid w:val="00253D58"/>
    <w:rsid w:val="0027725F"/>
    <w:rsid w:val="00292CC1"/>
    <w:rsid w:val="00296324"/>
    <w:rsid w:val="002A7BAB"/>
    <w:rsid w:val="002C21F0"/>
    <w:rsid w:val="002E7486"/>
    <w:rsid w:val="002F4C48"/>
    <w:rsid w:val="00305BD8"/>
    <w:rsid w:val="003107FA"/>
    <w:rsid w:val="00320A51"/>
    <w:rsid w:val="003229D8"/>
    <w:rsid w:val="003314D1"/>
    <w:rsid w:val="00335A2F"/>
    <w:rsid w:val="003400B6"/>
    <w:rsid w:val="00341937"/>
    <w:rsid w:val="0039277A"/>
    <w:rsid w:val="003972E0"/>
    <w:rsid w:val="003975ED"/>
    <w:rsid w:val="003A2BFD"/>
    <w:rsid w:val="003A5E36"/>
    <w:rsid w:val="003A5FD2"/>
    <w:rsid w:val="003C1E44"/>
    <w:rsid w:val="003C2CC4"/>
    <w:rsid w:val="003D26DF"/>
    <w:rsid w:val="003D4B23"/>
    <w:rsid w:val="003E7BAF"/>
    <w:rsid w:val="00424C80"/>
    <w:rsid w:val="004325CB"/>
    <w:rsid w:val="0044503A"/>
    <w:rsid w:val="00446DE4"/>
    <w:rsid w:val="00447761"/>
    <w:rsid w:val="00451EC3"/>
    <w:rsid w:val="00454360"/>
    <w:rsid w:val="004721B1"/>
    <w:rsid w:val="00475138"/>
    <w:rsid w:val="004859EC"/>
    <w:rsid w:val="00496A15"/>
    <w:rsid w:val="004B75D2"/>
    <w:rsid w:val="004C704C"/>
    <w:rsid w:val="004D1140"/>
    <w:rsid w:val="004D68FD"/>
    <w:rsid w:val="004E12D9"/>
    <w:rsid w:val="004E7974"/>
    <w:rsid w:val="004F55ED"/>
    <w:rsid w:val="005048D3"/>
    <w:rsid w:val="0051145A"/>
    <w:rsid w:val="0051649C"/>
    <w:rsid w:val="0052176C"/>
    <w:rsid w:val="005261E5"/>
    <w:rsid w:val="005420F2"/>
    <w:rsid w:val="00542574"/>
    <w:rsid w:val="005436AB"/>
    <w:rsid w:val="00546924"/>
    <w:rsid w:val="00546DBF"/>
    <w:rsid w:val="00553D76"/>
    <w:rsid w:val="005552B5"/>
    <w:rsid w:val="0056117B"/>
    <w:rsid w:val="00562621"/>
    <w:rsid w:val="00571365"/>
    <w:rsid w:val="00573A30"/>
    <w:rsid w:val="005A0E16"/>
    <w:rsid w:val="005B3DB3"/>
    <w:rsid w:val="005B6E48"/>
    <w:rsid w:val="005C78A6"/>
    <w:rsid w:val="005D53BE"/>
    <w:rsid w:val="005D7DA7"/>
    <w:rsid w:val="005E1712"/>
    <w:rsid w:val="005F2ADE"/>
    <w:rsid w:val="0060645B"/>
    <w:rsid w:val="00611BD2"/>
    <w:rsid w:val="00611FC4"/>
    <w:rsid w:val="00614496"/>
    <w:rsid w:val="006176FB"/>
    <w:rsid w:val="00625316"/>
    <w:rsid w:val="00640B26"/>
    <w:rsid w:val="006505EA"/>
    <w:rsid w:val="006554AE"/>
    <w:rsid w:val="00655B60"/>
    <w:rsid w:val="006666C1"/>
    <w:rsid w:val="00670741"/>
    <w:rsid w:val="00696BD6"/>
    <w:rsid w:val="006A6B9D"/>
    <w:rsid w:val="006A7392"/>
    <w:rsid w:val="006B3189"/>
    <w:rsid w:val="006B7D65"/>
    <w:rsid w:val="006D4E2D"/>
    <w:rsid w:val="006D6DA6"/>
    <w:rsid w:val="006E3091"/>
    <w:rsid w:val="006E564B"/>
    <w:rsid w:val="006F13F0"/>
    <w:rsid w:val="006F5035"/>
    <w:rsid w:val="006F7342"/>
    <w:rsid w:val="007065EB"/>
    <w:rsid w:val="007177F5"/>
    <w:rsid w:val="00720183"/>
    <w:rsid w:val="0072632A"/>
    <w:rsid w:val="0074200B"/>
    <w:rsid w:val="0075243F"/>
    <w:rsid w:val="007733D2"/>
    <w:rsid w:val="007777F5"/>
    <w:rsid w:val="00796133"/>
    <w:rsid w:val="007A5E85"/>
    <w:rsid w:val="007A6296"/>
    <w:rsid w:val="007A671B"/>
    <w:rsid w:val="007A79E4"/>
    <w:rsid w:val="007B08A0"/>
    <w:rsid w:val="007B6BA5"/>
    <w:rsid w:val="007C1B62"/>
    <w:rsid w:val="007C3390"/>
    <w:rsid w:val="007C4F4B"/>
    <w:rsid w:val="007D2CDC"/>
    <w:rsid w:val="007D5327"/>
    <w:rsid w:val="007D59DC"/>
    <w:rsid w:val="007E11A1"/>
    <w:rsid w:val="007E4B8C"/>
    <w:rsid w:val="007F6611"/>
    <w:rsid w:val="00807887"/>
    <w:rsid w:val="008155C3"/>
    <w:rsid w:val="008175E9"/>
    <w:rsid w:val="0082243E"/>
    <w:rsid w:val="008242D7"/>
    <w:rsid w:val="0083155B"/>
    <w:rsid w:val="00834DF2"/>
    <w:rsid w:val="0084701D"/>
    <w:rsid w:val="00856CD2"/>
    <w:rsid w:val="00861BC6"/>
    <w:rsid w:val="00871FD5"/>
    <w:rsid w:val="008847BB"/>
    <w:rsid w:val="008979B1"/>
    <w:rsid w:val="008A3953"/>
    <w:rsid w:val="008A6B25"/>
    <w:rsid w:val="008A6C4F"/>
    <w:rsid w:val="008B6556"/>
    <w:rsid w:val="008C1E4D"/>
    <w:rsid w:val="008E0E46"/>
    <w:rsid w:val="008E6AAA"/>
    <w:rsid w:val="008E7649"/>
    <w:rsid w:val="008F22BC"/>
    <w:rsid w:val="0090452C"/>
    <w:rsid w:val="00907C3F"/>
    <w:rsid w:val="009132A1"/>
    <w:rsid w:val="0092237C"/>
    <w:rsid w:val="00931421"/>
    <w:rsid w:val="0093707B"/>
    <w:rsid w:val="009400EB"/>
    <w:rsid w:val="009427E3"/>
    <w:rsid w:val="00945EC3"/>
    <w:rsid w:val="00946575"/>
    <w:rsid w:val="00956191"/>
    <w:rsid w:val="00956D9B"/>
    <w:rsid w:val="00962D64"/>
    <w:rsid w:val="00963CBA"/>
    <w:rsid w:val="009654B7"/>
    <w:rsid w:val="00972F1A"/>
    <w:rsid w:val="00983723"/>
    <w:rsid w:val="00991261"/>
    <w:rsid w:val="00992F0D"/>
    <w:rsid w:val="009A0B83"/>
    <w:rsid w:val="009A4178"/>
    <w:rsid w:val="009B3800"/>
    <w:rsid w:val="009C03D5"/>
    <w:rsid w:val="009C120A"/>
    <w:rsid w:val="009D22AC"/>
    <w:rsid w:val="009D50DB"/>
    <w:rsid w:val="009E1C4E"/>
    <w:rsid w:val="00A0036A"/>
    <w:rsid w:val="00A05E0B"/>
    <w:rsid w:val="00A1282C"/>
    <w:rsid w:val="00A1427D"/>
    <w:rsid w:val="00A30FEB"/>
    <w:rsid w:val="00A4634F"/>
    <w:rsid w:val="00A51CF3"/>
    <w:rsid w:val="00A72F22"/>
    <w:rsid w:val="00A73D32"/>
    <w:rsid w:val="00A748A6"/>
    <w:rsid w:val="00A82246"/>
    <w:rsid w:val="00A879A4"/>
    <w:rsid w:val="00A87E95"/>
    <w:rsid w:val="00A9086E"/>
    <w:rsid w:val="00A92E29"/>
    <w:rsid w:val="00A92FC0"/>
    <w:rsid w:val="00AA3350"/>
    <w:rsid w:val="00AA61E9"/>
    <w:rsid w:val="00AC5AE2"/>
    <w:rsid w:val="00AD09E9"/>
    <w:rsid w:val="00AD6982"/>
    <w:rsid w:val="00AE0EDC"/>
    <w:rsid w:val="00AF0576"/>
    <w:rsid w:val="00AF3829"/>
    <w:rsid w:val="00B037F0"/>
    <w:rsid w:val="00B2327D"/>
    <w:rsid w:val="00B2718F"/>
    <w:rsid w:val="00B30179"/>
    <w:rsid w:val="00B32E5D"/>
    <w:rsid w:val="00B3317B"/>
    <w:rsid w:val="00B334DC"/>
    <w:rsid w:val="00B357D4"/>
    <w:rsid w:val="00B3631A"/>
    <w:rsid w:val="00B53013"/>
    <w:rsid w:val="00B67F5E"/>
    <w:rsid w:val="00B73E65"/>
    <w:rsid w:val="00B81E12"/>
    <w:rsid w:val="00B87110"/>
    <w:rsid w:val="00B97FA8"/>
    <w:rsid w:val="00BA2006"/>
    <w:rsid w:val="00BA39FA"/>
    <w:rsid w:val="00BC08B7"/>
    <w:rsid w:val="00BC1385"/>
    <w:rsid w:val="00BC74E9"/>
    <w:rsid w:val="00BD0AA3"/>
    <w:rsid w:val="00BE618E"/>
    <w:rsid w:val="00BE655C"/>
    <w:rsid w:val="00C10C23"/>
    <w:rsid w:val="00C11440"/>
    <w:rsid w:val="00C12319"/>
    <w:rsid w:val="00C1692A"/>
    <w:rsid w:val="00C217E7"/>
    <w:rsid w:val="00C24693"/>
    <w:rsid w:val="00C35419"/>
    <w:rsid w:val="00C35F0B"/>
    <w:rsid w:val="00C363A4"/>
    <w:rsid w:val="00C463DD"/>
    <w:rsid w:val="00C4701D"/>
    <w:rsid w:val="00C62174"/>
    <w:rsid w:val="00C64458"/>
    <w:rsid w:val="00C745C3"/>
    <w:rsid w:val="00C76818"/>
    <w:rsid w:val="00C81861"/>
    <w:rsid w:val="00C824D1"/>
    <w:rsid w:val="00CA2A58"/>
    <w:rsid w:val="00CC0B55"/>
    <w:rsid w:val="00CD6995"/>
    <w:rsid w:val="00CD6F1D"/>
    <w:rsid w:val="00CE3D22"/>
    <w:rsid w:val="00CE4A8F"/>
    <w:rsid w:val="00CF0214"/>
    <w:rsid w:val="00CF1060"/>
    <w:rsid w:val="00CF586F"/>
    <w:rsid w:val="00CF7D43"/>
    <w:rsid w:val="00D11129"/>
    <w:rsid w:val="00D2031B"/>
    <w:rsid w:val="00D22332"/>
    <w:rsid w:val="00D25FE2"/>
    <w:rsid w:val="00D3492F"/>
    <w:rsid w:val="00D43252"/>
    <w:rsid w:val="00D541A5"/>
    <w:rsid w:val="00D550F9"/>
    <w:rsid w:val="00D56C40"/>
    <w:rsid w:val="00D572B0"/>
    <w:rsid w:val="00D62E90"/>
    <w:rsid w:val="00D74A11"/>
    <w:rsid w:val="00D74D9F"/>
    <w:rsid w:val="00D76BE5"/>
    <w:rsid w:val="00D7703B"/>
    <w:rsid w:val="00D8079D"/>
    <w:rsid w:val="00D978C6"/>
    <w:rsid w:val="00DA67AD"/>
    <w:rsid w:val="00DB18CE"/>
    <w:rsid w:val="00DB5566"/>
    <w:rsid w:val="00DD361B"/>
    <w:rsid w:val="00DE2900"/>
    <w:rsid w:val="00DE3EC0"/>
    <w:rsid w:val="00E11593"/>
    <w:rsid w:val="00E12B6B"/>
    <w:rsid w:val="00E130AB"/>
    <w:rsid w:val="00E30B57"/>
    <w:rsid w:val="00E438D9"/>
    <w:rsid w:val="00E5644E"/>
    <w:rsid w:val="00E63595"/>
    <w:rsid w:val="00E7260F"/>
    <w:rsid w:val="00E806EE"/>
    <w:rsid w:val="00E96630"/>
    <w:rsid w:val="00EA432F"/>
    <w:rsid w:val="00EB0FB9"/>
    <w:rsid w:val="00ED0CA9"/>
    <w:rsid w:val="00ED2398"/>
    <w:rsid w:val="00ED2AE4"/>
    <w:rsid w:val="00ED3BC0"/>
    <w:rsid w:val="00ED66BC"/>
    <w:rsid w:val="00ED7A2A"/>
    <w:rsid w:val="00EF1D7F"/>
    <w:rsid w:val="00EF5BDB"/>
    <w:rsid w:val="00F0309C"/>
    <w:rsid w:val="00F07FD9"/>
    <w:rsid w:val="00F177EB"/>
    <w:rsid w:val="00F23933"/>
    <w:rsid w:val="00F24119"/>
    <w:rsid w:val="00F40E75"/>
    <w:rsid w:val="00F42CD9"/>
    <w:rsid w:val="00F463B8"/>
    <w:rsid w:val="00F51ECF"/>
    <w:rsid w:val="00F52936"/>
    <w:rsid w:val="00F54083"/>
    <w:rsid w:val="00F677CB"/>
    <w:rsid w:val="00F67B04"/>
    <w:rsid w:val="00F973F1"/>
    <w:rsid w:val="00FA7DF3"/>
    <w:rsid w:val="00FB4B99"/>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4D4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semiHidden/>
    <w:qFormat/>
    <w:rsid w:val="00CF0214"/>
    <w:pPr>
      <w:spacing w:line="240" w:lineRule="auto"/>
      <w:outlineLvl w:val="1"/>
    </w:pPr>
  </w:style>
  <w:style w:type="paragraph" w:styleId="Heading3">
    <w:name w:val="heading 3"/>
    <w:basedOn w:val="Normal"/>
    <w:next w:val="Normal"/>
    <w:link w:val="Heading3Char"/>
    <w:semiHidden/>
    <w:qFormat/>
    <w:rsid w:val="00CF0214"/>
    <w:pPr>
      <w:spacing w:line="240" w:lineRule="auto"/>
      <w:outlineLvl w:val="2"/>
    </w:pPr>
  </w:style>
  <w:style w:type="paragraph" w:styleId="Heading4">
    <w:name w:val="heading 4"/>
    <w:basedOn w:val="Normal"/>
    <w:next w:val="Normal"/>
    <w:link w:val="Heading4Char"/>
    <w:semiHidden/>
    <w:qFormat/>
    <w:rsid w:val="00CF0214"/>
    <w:pPr>
      <w:spacing w:line="240" w:lineRule="auto"/>
      <w:outlineLvl w:val="3"/>
    </w:pPr>
  </w:style>
  <w:style w:type="paragraph" w:styleId="Heading5">
    <w:name w:val="heading 5"/>
    <w:basedOn w:val="Normal"/>
    <w:next w:val="Normal"/>
    <w:link w:val="Heading5Char"/>
    <w:semiHidden/>
    <w:qFormat/>
    <w:rsid w:val="00CF0214"/>
    <w:pPr>
      <w:spacing w:line="240" w:lineRule="auto"/>
      <w:outlineLvl w:val="4"/>
    </w:pPr>
  </w:style>
  <w:style w:type="paragraph" w:styleId="Heading6">
    <w:name w:val="heading 6"/>
    <w:basedOn w:val="Normal"/>
    <w:next w:val="Normal"/>
    <w:link w:val="Heading6Char"/>
    <w:semiHidden/>
    <w:qFormat/>
    <w:rsid w:val="00CF0214"/>
    <w:pPr>
      <w:spacing w:line="240" w:lineRule="auto"/>
      <w:outlineLvl w:val="5"/>
    </w:pPr>
  </w:style>
  <w:style w:type="paragraph" w:styleId="Heading7">
    <w:name w:val="heading 7"/>
    <w:basedOn w:val="Normal"/>
    <w:next w:val="Normal"/>
    <w:link w:val="Heading7Char"/>
    <w:semiHidden/>
    <w:qFormat/>
    <w:rsid w:val="00CF0214"/>
    <w:pPr>
      <w:spacing w:line="240" w:lineRule="auto"/>
      <w:outlineLvl w:val="6"/>
    </w:pPr>
  </w:style>
  <w:style w:type="paragraph" w:styleId="Heading8">
    <w:name w:val="heading 8"/>
    <w:basedOn w:val="Normal"/>
    <w:next w:val="Normal"/>
    <w:link w:val="Heading8Char"/>
    <w:semiHidden/>
    <w:qFormat/>
    <w:rsid w:val="00CF0214"/>
    <w:pPr>
      <w:spacing w:line="240" w:lineRule="auto"/>
      <w:outlineLvl w:val="7"/>
    </w:pPr>
  </w:style>
  <w:style w:type="paragraph" w:styleId="Heading9">
    <w:name w:val="heading 9"/>
    <w:basedOn w:val="Normal"/>
    <w:next w:val="Normal"/>
    <w:link w:val="Heading9Char"/>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Appel note de bas de p.,Footnote text,ftref,Texto de nota al pie,referencia nota al pie,Appel note de bas de page,Footnote Ref,16 Point,Superscript 6 Point,Ref,de nota al pie,callout,Footnote,Footnote Refernece,f"/>
    <w:basedOn w:val="DefaultParagraphFont"/>
    <w:link w:val="BVIfnrCharCharCharChar"/>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link w:val="HeaderChar"/>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Texto,nota,pie,Ref.,al,FA Fu,FA Fuﬂnotentext,Footnote Text Char Char Char Char Char,Footnote Text Char Char Char Char,Footnote reference,Footnote Text Char Char Char,Texto nota pie Car Car,Texto nota pie Car Car Car,Footnote Text Cha"/>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1"/>
      </w:numPr>
      <w:spacing w:after="120"/>
      <w:ind w:right="1134"/>
      <w:jc w:val="both"/>
    </w:pPr>
  </w:style>
  <w:style w:type="paragraph" w:styleId="Footer">
    <w:name w:val="footer"/>
    <w:aliases w:val="3_G"/>
    <w:basedOn w:val="Normal"/>
    <w:link w:val="FooterChar"/>
    <w:qFormat/>
    <w:rsid w:val="00CF0214"/>
    <w:pPr>
      <w:spacing w:line="240" w:lineRule="auto"/>
    </w:pPr>
    <w:rPr>
      <w:sz w:val="16"/>
    </w:rPr>
  </w:style>
  <w:style w:type="paragraph" w:customStyle="1" w:styleId="Bullet2G">
    <w:name w:val="_Bullet 2_G"/>
    <w:basedOn w:val="Normal"/>
    <w:qFormat/>
    <w:rsid w:val="00CF0214"/>
    <w:pPr>
      <w:numPr>
        <w:numId w:val="2"/>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3"/>
      </w:numPr>
      <w:kinsoku w:val="0"/>
      <w:overflowPunct w:val="0"/>
      <w:autoSpaceDE w:val="0"/>
      <w:autoSpaceDN w:val="0"/>
      <w:adjustRightInd w:val="0"/>
      <w:snapToGrid w:val="0"/>
    </w:pPr>
  </w:style>
  <w:style w:type="character" w:customStyle="1" w:styleId="HChGChar">
    <w:name w:val="_ H _Ch_G Char"/>
    <w:link w:val="HChG"/>
    <w:rsid w:val="006E3091"/>
    <w:rPr>
      <w:b/>
      <w:sz w:val="28"/>
      <w:lang w:val="en-GB" w:eastAsia="en-US"/>
    </w:rPr>
  </w:style>
  <w:style w:type="paragraph" w:customStyle="1" w:styleId="BVIfnrCharCharCharChar">
    <w:name w:val="BVI fnr Char Char Char Char"/>
    <w:aliases w:val="BVI fnr Car Car Char Char Char Char,BVI fnr Car Char Char Char Char,BVI fnr Car Car Car Car Char Char Char Char"/>
    <w:basedOn w:val="Normal"/>
    <w:link w:val="FootnoteReference"/>
    <w:uiPriority w:val="99"/>
    <w:rsid w:val="006E3091"/>
    <w:pPr>
      <w:suppressAutoHyphens w:val="0"/>
      <w:spacing w:after="160" w:line="240" w:lineRule="exact"/>
    </w:pPr>
    <w:rPr>
      <w:sz w:val="18"/>
      <w:vertAlign w:val="superscript"/>
      <w:lang w:val="fr-FR" w:eastAsia="fr-FR"/>
    </w:rPr>
  </w:style>
  <w:style w:type="character" w:customStyle="1" w:styleId="FootnoteTextChar">
    <w:name w:val="Footnote Text Char"/>
    <w:aliases w:val="5_G Char,Texto Char,nota Char,pie Char,Ref. Char,al Char,FA Fu Char,FA Fuﬂnotentext Char,Footnote Text Char Char Char Char Char Char,Footnote Text Char Char Char Char Char1,Footnote reference Char,Footnote Text Char Char Char Char1"/>
    <w:basedOn w:val="DefaultParagraphFont"/>
    <w:link w:val="FootnoteText"/>
    <w:qFormat/>
    <w:rsid w:val="006E3091"/>
    <w:rPr>
      <w:sz w:val="18"/>
      <w:lang w:val="en-GB" w:eastAsia="en-US"/>
    </w:rPr>
  </w:style>
  <w:style w:type="character" w:customStyle="1" w:styleId="HeaderChar">
    <w:name w:val="Header Char"/>
    <w:aliases w:val="6_G Char"/>
    <w:link w:val="Header"/>
    <w:rsid w:val="00931421"/>
    <w:rPr>
      <w:b/>
      <w:sz w:val="18"/>
      <w:lang w:val="en-GB" w:eastAsia="en-US"/>
    </w:rPr>
  </w:style>
  <w:style w:type="character" w:customStyle="1" w:styleId="FooterChar">
    <w:name w:val="Footer Char"/>
    <w:aliases w:val="3_G Char"/>
    <w:link w:val="Footer"/>
    <w:rsid w:val="00931421"/>
    <w:rPr>
      <w:sz w:val="16"/>
      <w:lang w:val="en-GB" w:eastAsia="en-US"/>
    </w:rPr>
  </w:style>
  <w:style w:type="character" w:customStyle="1" w:styleId="EndnoteTextChar">
    <w:name w:val="Endnote Text Char"/>
    <w:aliases w:val="2_G Char"/>
    <w:link w:val="EndnoteText"/>
    <w:rsid w:val="00931421"/>
    <w:rPr>
      <w:sz w:val="18"/>
      <w:lang w:val="en-GB" w:eastAsia="en-US"/>
    </w:rPr>
  </w:style>
  <w:style w:type="character" w:customStyle="1" w:styleId="Heading1Char">
    <w:name w:val="Heading 1 Char"/>
    <w:aliases w:val="Table_G Char"/>
    <w:link w:val="Heading1"/>
    <w:rsid w:val="00931421"/>
    <w:rPr>
      <w:lang w:val="en-GB" w:eastAsia="en-US"/>
    </w:rPr>
  </w:style>
  <w:style w:type="character" w:customStyle="1" w:styleId="Heading2Char">
    <w:name w:val="Heading 2 Char"/>
    <w:link w:val="Heading2"/>
    <w:semiHidden/>
    <w:rsid w:val="00931421"/>
    <w:rPr>
      <w:lang w:val="en-GB" w:eastAsia="en-US"/>
    </w:rPr>
  </w:style>
  <w:style w:type="character" w:customStyle="1" w:styleId="Heading3Char">
    <w:name w:val="Heading 3 Char"/>
    <w:link w:val="Heading3"/>
    <w:semiHidden/>
    <w:rsid w:val="00931421"/>
    <w:rPr>
      <w:lang w:val="en-GB" w:eastAsia="en-US"/>
    </w:rPr>
  </w:style>
  <w:style w:type="character" w:customStyle="1" w:styleId="Heading4Char">
    <w:name w:val="Heading 4 Char"/>
    <w:link w:val="Heading4"/>
    <w:semiHidden/>
    <w:rsid w:val="00931421"/>
    <w:rPr>
      <w:lang w:val="en-GB" w:eastAsia="en-US"/>
    </w:rPr>
  </w:style>
  <w:style w:type="character" w:customStyle="1" w:styleId="Heading5Char">
    <w:name w:val="Heading 5 Char"/>
    <w:link w:val="Heading5"/>
    <w:semiHidden/>
    <w:rsid w:val="00931421"/>
    <w:rPr>
      <w:lang w:val="en-GB" w:eastAsia="en-US"/>
    </w:rPr>
  </w:style>
  <w:style w:type="character" w:customStyle="1" w:styleId="Heading6Char">
    <w:name w:val="Heading 6 Char"/>
    <w:link w:val="Heading6"/>
    <w:semiHidden/>
    <w:rsid w:val="00931421"/>
    <w:rPr>
      <w:lang w:val="en-GB" w:eastAsia="en-US"/>
    </w:rPr>
  </w:style>
  <w:style w:type="character" w:customStyle="1" w:styleId="Heading7Char">
    <w:name w:val="Heading 7 Char"/>
    <w:link w:val="Heading7"/>
    <w:semiHidden/>
    <w:rsid w:val="00931421"/>
    <w:rPr>
      <w:lang w:val="en-GB" w:eastAsia="en-US"/>
    </w:rPr>
  </w:style>
  <w:style w:type="character" w:customStyle="1" w:styleId="Heading8Char">
    <w:name w:val="Heading 8 Char"/>
    <w:link w:val="Heading8"/>
    <w:semiHidden/>
    <w:rsid w:val="00931421"/>
    <w:rPr>
      <w:lang w:val="en-GB" w:eastAsia="en-US"/>
    </w:rPr>
  </w:style>
  <w:style w:type="character" w:customStyle="1" w:styleId="Heading9Char">
    <w:name w:val="Heading 9 Char"/>
    <w:link w:val="Heading9"/>
    <w:semiHidden/>
    <w:rsid w:val="00931421"/>
    <w:rPr>
      <w:lang w:val="en-GB" w:eastAsia="en-US"/>
    </w:rPr>
  </w:style>
  <w:style w:type="paragraph" w:styleId="ListParagraph">
    <w:name w:val="List Paragraph"/>
    <w:aliases w:val="Bullets,List Paragraph1,Liste 1,Normal10,Normal11,Normal12,Normal13,Normal14,Normal15,Normal2,Normal3,Normal4,Normal5,Normal6,Normal7,Normal8,Normal9,Numbered List Paragraph,Paragrafo elenco,References,ReferencesCxSpLast,normal"/>
    <w:basedOn w:val="Normal"/>
    <w:link w:val="ListParagraphChar"/>
    <w:uiPriority w:val="34"/>
    <w:qFormat/>
    <w:rsid w:val="00931421"/>
    <w:pPr>
      <w:suppressAutoHyphens w:val="0"/>
      <w:spacing w:line="220" w:lineRule="exact"/>
      <w:ind w:left="720" w:hanging="288"/>
      <w:contextualSpacing/>
    </w:pPr>
    <w:rPr>
      <w:rFonts w:eastAsia="Calibri"/>
      <w:lang w:val="fr-CH"/>
    </w:rPr>
  </w:style>
  <w:style w:type="character" w:styleId="CommentReference">
    <w:name w:val="annotation reference"/>
    <w:uiPriority w:val="99"/>
    <w:semiHidden/>
    <w:unhideWhenUsed/>
    <w:rsid w:val="00931421"/>
    <w:rPr>
      <w:sz w:val="16"/>
      <w:szCs w:val="16"/>
    </w:rPr>
  </w:style>
  <w:style w:type="paragraph" w:styleId="CommentText">
    <w:name w:val="annotation text"/>
    <w:basedOn w:val="Normal"/>
    <w:link w:val="CommentTextChar"/>
    <w:uiPriority w:val="99"/>
    <w:semiHidden/>
    <w:unhideWhenUsed/>
    <w:rsid w:val="00931421"/>
    <w:pPr>
      <w:suppressAutoHyphens w:val="0"/>
      <w:spacing w:line="220" w:lineRule="exact"/>
      <w:ind w:left="288" w:hanging="288"/>
    </w:pPr>
    <w:rPr>
      <w:rFonts w:eastAsia="Calibri"/>
      <w:lang w:val="fr-CH"/>
    </w:rPr>
  </w:style>
  <w:style w:type="character" w:customStyle="1" w:styleId="CommentTextChar">
    <w:name w:val="Comment Text Char"/>
    <w:basedOn w:val="DefaultParagraphFont"/>
    <w:link w:val="CommentText"/>
    <w:uiPriority w:val="99"/>
    <w:semiHidden/>
    <w:rsid w:val="00931421"/>
    <w:rPr>
      <w:rFonts w:eastAsia="Calibri"/>
      <w:lang w:val="fr-CH" w:eastAsia="en-US"/>
    </w:rPr>
  </w:style>
  <w:style w:type="paragraph" w:styleId="CommentSubject">
    <w:name w:val="annotation subject"/>
    <w:basedOn w:val="CommentText"/>
    <w:next w:val="CommentText"/>
    <w:link w:val="CommentSubjectChar"/>
    <w:uiPriority w:val="99"/>
    <w:semiHidden/>
    <w:unhideWhenUsed/>
    <w:rsid w:val="00931421"/>
    <w:rPr>
      <w:b/>
      <w:bCs/>
    </w:rPr>
  </w:style>
  <w:style w:type="character" w:customStyle="1" w:styleId="CommentSubjectChar">
    <w:name w:val="Comment Subject Char"/>
    <w:basedOn w:val="CommentTextChar"/>
    <w:link w:val="CommentSubject"/>
    <w:uiPriority w:val="99"/>
    <w:semiHidden/>
    <w:rsid w:val="00931421"/>
    <w:rPr>
      <w:rFonts w:eastAsia="Calibri"/>
      <w:b/>
      <w:bCs/>
      <w:lang w:val="fr-CH" w:eastAsia="en-US"/>
    </w:rPr>
  </w:style>
  <w:style w:type="character" w:customStyle="1" w:styleId="SingleTxtGChar">
    <w:name w:val="_ Single Txt_G Char"/>
    <w:link w:val="SingleTxtG"/>
    <w:locked/>
    <w:rsid w:val="00931421"/>
    <w:rPr>
      <w:lang w:val="en-GB" w:eastAsia="en-US"/>
    </w:rPr>
  </w:style>
  <w:style w:type="paragraph" w:customStyle="1" w:styleId="Default">
    <w:name w:val="Default"/>
    <w:rsid w:val="00931421"/>
    <w:pPr>
      <w:autoSpaceDE w:val="0"/>
      <w:autoSpaceDN w:val="0"/>
      <w:adjustRightInd w:val="0"/>
      <w:spacing w:line="220" w:lineRule="exact"/>
      <w:ind w:left="288" w:hanging="288"/>
    </w:pPr>
    <w:rPr>
      <w:rFonts w:ascii="Calibri" w:eastAsia="Calibri" w:hAnsi="Calibri" w:cs="Calibri"/>
      <w:color w:val="000000"/>
      <w:sz w:val="24"/>
      <w:szCs w:val="24"/>
      <w:lang w:val="en-GB" w:eastAsia="en-US"/>
    </w:rPr>
  </w:style>
  <w:style w:type="character" w:customStyle="1" w:styleId="UnresolvedMention1">
    <w:name w:val="Unresolved Mention1"/>
    <w:uiPriority w:val="99"/>
    <w:semiHidden/>
    <w:unhideWhenUsed/>
    <w:rsid w:val="00931421"/>
    <w:rPr>
      <w:color w:val="605E5C"/>
      <w:shd w:val="clear" w:color="auto" w:fill="E1DFDD"/>
    </w:rPr>
  </w:style>
  <w:style w:type="character" w:styleId="Strong">
    <w:name w:val="Strong"/>
    <w:uiPriority w:val="22"/>
    <w:qFormat/>
    <w:rsid w:val="00931421"/>
    <w:rPr>
      <w:b/>
      <w:bCs/>
    </w:rPr>
  </w:style>
  <w:style w:type="character" w:styleId="Emphasis">
    <w:name w:val="Emphasis"/>
    <w:uiPriority w:val="20"/>
    <w:qFormat/>
    <w:rsid w:val="00931421"/>
    <w:rPr>
      <w:i/>
      <w:iCs/>
    </w:rPr>
  </w:style>
  <w:style w:type="paragraph" w:styleId="NormalWeb">
    <w:name w:val="Normal (Web)"/>
    <w:basedOn w:val="Normal"/>
    <w:uiPriority w:val="99"/>
    <w:semiHidden/>
    <w:unhideWhenUsed/>
    <w:rsid w:val="00931421"/>
    <w:pPr>
      <w:suppressAutoHyphens w:val="0"/>
      <w:spacing w:before="100" w:beforeAutospacing="1" w:after="100" w:afterAutospacing="1" w:line="220" w:lineRule="exact"/>
      <w:ind w:left="288" w:hanging="288"/>
    </w:pPr>
    <w:rPr>
      <w:sz w:val="24"/>
      <w:szCs w:val="24"/>
      <w:lang w:eastAsia="en-GB"/>
    </w:rPr>
  </w:style>
  <w:style w:type="paragraph" w:styleId="Subtitle">
    <w:name w:val="Subtitle"/>
    <w:aliases w:val="Subtitle 1"/>
    <w:basedOn w:val="Normal"/>
    <w:next w:val="Normal"/>
    <w:link w:val="SubtitleChar"/>
    <w:uiPriority w:val="11"/>
    <w:qFormat/>
    <w:rsid w:val="00931421"/>
    <w:pPr>
      <w:numPr>
        <w:numId w:val="9"/>
      </w:numPr>
      <w:suppressAutoHyphens w:val="0"/>
      <w:spacing w:after="200" w:line="220" w:lineRule="exact"/>
    </w:pPr>
    <w:rPr>
      <w:rFonts w:eastAsia="SimSun"/>
      <w:sz w:val="22"/>
      <w:szCs w:val="30"/>
      <w:lang w:val="fr-CH"/>
    </w:rPr>
  </w:style>
  <w:style w:type="character" w:customStyle="1" w:styleId="SubtitleChar">
    <w:name w:val="Subtitle Char"/>
    <w:aliases w:val="Subtitle 1 Char"/>
    <w:basedOn w:val="DefaultParagraphFont"/>
    <w:link w:val="Subtitle"/>
    <w:uiPriority w:val="11"/>
    <w:rsid w:val="00931421"/>
    <w:rPr>
      <w:rFonts w:eastAsia="SimSun"/>
      <w:sz w:val="22"/>
      <w:szCs w:val="30"/>
      <w:lang w:val="fr-CH" w:eastAsia="en-US"/>
    </w:rPr>
  </w:style>
  <w:style w:type="paragraph" w:styleId="TOCHeading">
    <w:name w:val="TOC Heading"/>
    <w:basedOn w:val="ListParagraph"/>
    <w:next w:val="Normal"/>
    <w:uiPriority w:val="39"/>
    <w:unhideWhenUsed/>
    <w:qFormat/>
    <w:rsid w:val="00931421"/>
    <w:pPr>
      <w:numPr>
        <w:numId w:val="5"/>
      </w:numPr>
      <w:tabs>
        <w:tab w:val="num" w:pos="360"/>
      </w:tabs>
      <w:spacing w:after="200" w:line="288" w:lineRule="auto"/>
      <w:ind w:left="720" w:hanging="288"/>
      <w:jc w:val="both"/>
    </w:pPr>
    <w:rPr>
      <w:rFonts w:eastAsia="SimSun"/>
      <w:sz w:val="22"/>
      <w:szCs w:val="22"/>
      <w:lang w:val="en-US"/>
    </w:rPr>
  </w:style>
  <w:style w:type="paragraph" w:customStyle="1" w:styleId="Bulllets">
    <w:name w:val="Bulllets"/>
    <w:basedOn w:val="Normal"/>
    <w:qFormat/>
    <w:rsid w:val="00931421"/>
    <w:pPr>
      <w:widowControl w:val="0"/>
      <w:numPr>
        <w:numId w:val="10"/>
      </w:numPr>
      <w:suppressAutoHyphens w:val="0"/>
      <w:autoSpaceDE w:val="0"/>
      <w:autoSpaceDN w:val="0"/>
      <w:adjustRightInd w:val="0"/>
      <w:spacing w:after="120" w:line="220" w:lineRule="exact"/>
      <w:ind w:left="714" w:hanging="357"/>
    </w:pPr>
    <w:rPr>
      <w:rFonts w:ascii="Myriad Pro" w:hAnsi="Myriad Pro" w:cs="ı'EDXˇ"/>
      <w:sz w:val="24"/>
      <w:szCs w:val="24"/>
      <w:lang w:val="en-CA" w:eastAsia="en-GB"/>
    </w:rPr>
  </w:style>
  <w:style w:type="character" w:customStyle="1" w:styleId="ListParagraphChar">
    <w:name w:val="List Paragraph Char"/>
    <w:aliases w:val="Bullets Char,List Paragraph1 Char,Liste 1 Char,Normal10 Char,Normal11 Char,Normal12 Char,Normal13 Char,Normal14 Char,Normal15 Char,Normal2 Char,Normal3 Char,Normal4 Char,Normal5 Char,Normal6 Char,Normal7 Char,Normal8 Char,normal Char"/>
    <w:link w:val="ListParagraph"/>
    <w:uiPriority w:val="34"/>
    <w:qFormat/>
    <w:locked/>
    <w:rsid w:val="00931421"/>
    <w:rPr>
      <w:rFonts w:eastAsia="Calibri"/>
      <w:lang w:val="fr-CH" w:eastAsia="en-US"/>
    </w:rPr>
  </w:style>
  <w:style w:type="paragraph" w:styleId="Revision">
    <w:name w:val="Revision"/>
    <w:hidden/>
    <w:uiPriority w:val="99"/>
    <w:semiHidden/>
    <w:rsid w:val="00931421"/>
    <w:pPr>
      <w:spacing w:line="220" w:lineRule="exact"/>
      <w:ind w:left="288" w:hanging="288"/>
    </w:pPr>
    <w:rPr>
      <w:rFonts w:eastAsia="Calibri"/>
      <w:lang w:val="fr-CH" w:eastAsia="en-US"/>
    </w:rPr>
  </w:style>
  <w:style w:type="paragraph" w:customStyle="1" w:styleId="li-space">
    <w:name w:val="li-space"/>
    <w:basedOn w:val="Normal"/>
    <w:rsid w:val="00931421"/>
    <w:pPr>
      <w:suppressAutoHyphens w:val="0"/>
      <w:spacing w:before="100" w:beforeAutospacing="1" w:after="100" w:afterAutospacing="1" w:line="220" w:lineRule="exact"/>
      <w:ind w:left="288" w:hanging="288"/>
    </w:pPr>
    <w:rPr>
      <w:sz w:val="24"/>
      <w:szCs w:val="24"/>
      <w:lang w:eastAsia="en-GB"/>
    </w:rPr>
  </w:style>
  <w:style w:type="character" w:styleId="UnresolvedMention">
    <w:name w:val="Unresolved Mention"/>
    <w:uiPriority w:val="99"/>
    <w:semiHidden/>
    <w:unhideWhenUsed/>
    <w:rsid w:val="00931421"/>
    <w:rPr>
      <w:color w:val="605E5C"/>
      <w:shd w:val="clear" w:color="auto" w:fill="E1DFDD"/>
    </w:rPr>
  </w:style>
  <w:style w:type="character" w:customStyle="1" w:styleId="markedcontent">
    <w:name w:val="markedcontent"/>
    <w:basedOn w:val="DefaultParagraphFont"/>
    <w:rsid w:val="00931421"/>
  </w:style>
  <w:style w:type="character" w:customStyle="1" w:styleId="UnresolvedMention2">
    <w:name w:val="Unresolved Mention2"/>
    <w:uiPriority w:val="99"/>
    <w:semiHidden/>
    <w:unhideWhenUsed/>
    <w:rsid w:val="00931421"/>
    <w:rPr>
      <w:color w:val="605E5C"/>
      <w:shd w:val="clear" w:color="auto" w:fill="E1DFDD"/>
    </w:rPr>
  </w:style>
  <w:style w:type="character" w:customStyle="1" w:styleId="UnresolvedMention11">
    <w:name w:val="Unresolved Mention11"/>
    <w:uiPriority w:val="99"/>
    <w:semiHidden/>
    <w:unhideWhenUsed/>
    <w:rsid w:val="009314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ee.org/resources/inee-minimum-standards-201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protectingeducation.org/wp-content/uploads/documents/documents_commentary_on_the_guidelines.pdf" TargetMode="External"/><Relationship Id="rId13" Type="http://schemas.openxmlformats.org/officeDocument/2006/relationships/hyperlink" Target="https://www.norrag.org/missing-data-project/" TargetMode="External"/><Relationship Id="rId18" Type="http://schemas.openxmlformats.org/officeDocument/2006/relationships/hyperlink" Target="https://www.right-to-education.org/resource/early-childhood-care-and-education-gateway-inclusive-education-analysis-un-special" TargetMode="External"/><Relationship Id="rId26" Type="http://schemas.openxmlformats.org/officeDocument/2006/relationships/hyperlink" Target="https://www.ciel.org/wp-content/uploads/2015/05/Maastricht_ETO_Principles_21Oct11.pdf" TargetMode="External"/><Relationship Id="rId3" Type="http://schemas.openxmlformats.org/officeDocument/2006/relationships/hyperlink" Target="https://www.educationcannotwait.org/sites/default/files/2022-06/ecw_222million_study_advocacypaper.pdf" TargetMode="External"/><Relationship Id="rId21" Type="http://schemas.openxmlformats.org/officeDocument/2006/relationships/hyperlink" Target="https://www.ohchr.org/sites/default/files/Documents/Issues/Minorities/SR/LanguageRightsLinguisticMinorities_EN.pdf" TargetMode="External"/><Relationship Id="rId7" Type="http://schemas.openxmlformats.org/officeDocument/2006/relationships/hyperlink" Target="http://protectingeducation.org/wp-content/uploads/documents/SSD-Fact-Sheet.pdf" TargetMode="External"/><Relationship Id="rId12" Type="http://schemas.openxmlformats.org/officeDocument/2006/relationships/hyperlink" Target="https://globalchallenges.ch/issue/9/education-and-the-new-inequality-divides/" TargetMode="External"/><Relationship Id="rId17" Type="http://schemas.openxmlformats.org/officeDocument/2006/relationships/hyperlink" Target="https://www.ohchr.org/en/documents/thematic-reports/compendium-comprehensive-sexuality-education" TargetMode="External"/><Relationship Id="rId25" Type="http://schemas.openxmlformats.org/officeDocument/2006/relationships/hyperlink" Target="https://www.un.org/en/transforming-education-summit/financing-education" TargetMode="External"/><Relationship Id="rId2" Type="http://schemas.openxmlformats.org/officeDocument/2006/relationships/hyperlink" Target="https://unstats.un.org/sdgs/report/2022/The-Sustainable-Development-Goals-Report-2022.pdf" TargetMode="External"/><Relationship Id="rId16" Type="http://schemas.openxmlformats.org/officeDocument/2006/relationships/hyperlink" Target="file:///C:\Users\mariateresa.nieto\AppData\Local\Downloads\files\04c02568-c63a-4ca4-99e7-4f537f79abf7_SEL%20Guideline_Final.pdf%20(d1c337161ud3pr.cloudfront.net)" TargetMode="External"/><Relationship Id="rId20" Type="http://schemas.openxmlformats.org/officeDocument/2006/relationships/hyperlink" Target="https://globalchallenges.ch/issue/9/education-and-the-new-inequality-divides/" TargetMode="External"/><Relationship Id="rId29" Type="http://schemas.openxmlformats.org/officeDocument/2006/relationships/hyperlink" Target="https://www.teachingabroaddirect.co.uk/blog/teaching-salary-index" TargetMode="External"/><Relationship Id="rId1" Type="http://schemas.openxmlformats.org/officeDocument/2006/relationships/hyperlink" Target="https://unesdoc.unesco.org/ark:/48223/pf0000382577" TargetMode="External"/><Relationship Id="rId6" Type="http://schemas.openxmlformats.org/officeDocument/2006/relationships/hyperlink" Target="https://www.icrc.org/en/document/safe-schools-declaration-and-guidelines-protecting-schools-and-universities-military-use" TargetMode="External"/><Relationship Id="rId11" Type="http://schemas.openxmlformats.org/officeDocument/2006/relationships/hyperlink" Target="https://www.norrag.org/we-need-more-and-better-data-on-education-38-organizations-issue-a-collective-call-to-fund-education-data-that-will-allow-the-world-to-reach-sustainable-development-goal-4-by-unesco-institute-for-sta/" TargetMode="External"/><Relationship Id="rId24" Type="http://schemas.openxmlformats.org/officeDocument/2006/relationships/hyperlink" Target="https://www.un.org/en/transforming-education-summit/financing-education" TargetMode="External"/><Relationship Id="rId5" Type="http://schemas.openxmlformats.org/officeDocument/2006/relationships/hyperlink" Target="https://www.ohchr.org/en/special-procedures/sr-education" TargetMode="External"/><Relationship Id="rId15" Type="http://schemas.openxmlformats.org/officeDocument/2006/relationships/hyperlink" Target="https://www.norrag.org/new-inee-reference-group-to-drive-reforms-and-set-global-standards-for-eie-data-by-ecw-fhi-360-inee-norrag-and-uis/" TargetMode="External"/><Relationship Id="rId23" Type="http://schemas.openxmlformats.org/officeDocument/2006/relationships/hyperlink" Target="https://www.end-violence.org/safe-to-learn" TargetMode="External"/><Relationship Id="rId28" Type="http://schemas.openxmlformats.org/officeDocument/2006/relationships/hyperlink" Target="https://www.bbc.com/news/technology-65139406" TargetMode="External"/><Relationship Id="rId10" Type="http://schemas.openxmlformats.org/officeDocument/2006/relationships/hyperlink" Target="https://www.right-to-education.org/monitoring/" TargetMode="External"/><Relationship Id="rId19" Type="http://schemas.openxmlformats.org/officeDocument/2006/relationships/hyperlink" Target="https://www.unesco.org/en/articles/why-early-childhood-care-and-education-matters" TargetMode="External"/><Relationship Id="rId4" Type="http://schemas.openxmlformats.org/officeDocument/2006/relationships/hyperlink" Target="http://uis.unesco.org/en/topic/literacy" TargetMode="External"/><Relationship Id="rId9" Type="http://schemas.openxmlformats.org/officeDocument/2006/relationships/hyperlink" Target="https://www.un.org/en/transforming-education-summit/digital-learning-all" TargetMode="External"/><Relationship Id="rId14" Type="http://schemas.openxmlformats.org/officeDocument/2006/relationships/hyperlink" Target="https://www.educationcannotwait.org/sites/default/files/2022-06/ecw_222million_study_advocacypaper.pdf" TargetMode="External"/><Relationship Id="rId22" Type="http://schemas.openxmlformats.org/officeDocument/2006/relationships/hyperlink" Target="https://www.scholarsatrisk.org/principles/" TargetMode="External"/><Relationship Id="rId27" Type="http://schemas.openxmlformats.org/officeDocument/2006/relationships/hyperlink" Target="https://www.bookhunger.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BFB62EAC18204449E81721C220244C6" ma:contentTypeVersion="7" ma:contentTypeDescription="Create a new document." ma:contentTypeScope="" ma:versionID="bbe41630a23e172d54f42c61f58790fd">
  <xsd:schema xmlns:xsd="http://www.w3.org/2001/XMLSchema" xmlns:xs="http://www.w3.org/2001/XMLSchema" xmlns:p="http://schemas.microsoft.com/office/2006/metadata/properties" xmlns:ns2="f62cadcd-e163-4118-ac05-a32b5a627a72" xmlns:ns3="c6dba373-5722-4c9c-915a-b35ecc6dedf9" targetNamespace="http://schemas.microsoft.com/office/2006/metadata/properties" ma:root="true" ma:fieldsID="2e39bbb0373ade4d883f179a0dfe7a87" ns2:_="" ns3:_="">
    <xsd:import namespace="f62cadcd-e163-4118-ac05-a32b5a627a72"/>
    <xsd:import namespace="c6dba373-5722-4c9c-915a-b35ecc6dedf9"/>
    <xsd:element name="properties">
      <xsd:complexType>
        <xsd:sequence>
          <xsd:element name="documentManagement">
            <xsd:complexType>
              <xsd:all>
                <xsd:element ref="ns2:Mandate_x0020_Comments" minOccurs="0"/>
                <xsd:element ref="ns2:Section_x0020_Chief_x0020_comments" minOccurs="0"/>
                <xsd:element ref="ns2:Branch_x0020_Assistant_x0020_comments" minOccurs="0"/>
                <xsd:element ref="ns2:Branch_x0020_comments" minOccurs="0"/>
                <xsd:element ref="ns2:Referenc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2cadcd-e163-4118-ac05-a32b5a627a72" elementFormDefault="qualified">
    <xsd:import namespace="http://schemas.microsoft.com/office/2006/documentManagement/types"/>
    <xsd:import namespace="http://schemas.microsoft.com/office/infopath/2007/PartnerControls"/>
    <xsd:element name="Mandate_x0020_Comments" ma:index="8" nillable="true" ma:displayName="Mandate comments" ma:internalName="Mandate_x0020_Comments">
      <xsd:simpleType>
        <xsd:restriction base="dms:Note">
          <xsd:maxLength value="255"/>
        </xsd:restriction>
      </xsd:simpleType>
    </xsd:element>
    <xsd:element name="Section_x0020_Chief_x0020_comments" ma:index="9" nillable="true" ma:displayName="Chief of Section/Sagnik" ma:internalName="Section_x0020_Chief_x0020_comments">
      <xsd:simpleType>
        <xsd:restriction base="dms:Note">
          <xsd:maxLength value="255"/>
        </xsd:restriction>
      </xsd:simpleType>
    </xsd:element>
    <xsd:element name="Branch_x0020_Assistant_x0020_comments" ma:index="10" nillable="true" ma:displayName="Branch Assistant" ma:internalName="Branch_x0020_Assistant_x0020_comments">
      <xsd:simpleType>
        <xsd:restriction base="dms:Note">
          <xsd:maxLength value="255"/>
        </xsd:restriction>
      </xsd:simpleType>
    </xsd:element>
    <xsd:element name="Branch_x0020_comments" ma:index="11" nillable="true" ma:displayName="Chief of Branch" ma:internalName="Branch_x0020_comments">
      <xsd:simpleType>
        <xsd:restriction base="dms:Note">
          <xsd:maxLength value="255"/>
        </xsd:restriction>
      </xsd:simpleType>
    </xsd:element>
    <xsd:element name="Reference" ma:index="12" nillable="true" ma:displayName="Reference" ma:internalName="Reference">
      <xsd:simpleType>
        <xsd:restriction base="dms:Text">
          <xsd:maxLength value="50"/>
        </xsd:restriction>
      </xsd:simpleType>
    </xsd:element>
  </xsd:schema>
  <xsd:schema xmlns:xsd="http://www.w3.org/2001/XMLSchema" xmlns:xs="http://www.w3.org/2001/XMLSchema" xmlns:dms="http://schemas.microsoft.com/office/2006/documentManagement/types" xmlns:pc="http://schemas.microsoft.com/office/infopath/2007/PartnerControls" targetNamespace="c6dba373-5722-4c9c-915a-b35ecc6dedf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ction_x0020_Chief_x0020_comments xmlns="f62cadcd-e163-4118-ac05-a32b5a627a72" xsi:nil="true"/>
    <Mandate_x0020_Comments xmlns="f62cadcd-e163-4118-ac05-a32b5a627a72" xsi:nil="true"/>
    <Branch_x0020_Assistant_x0020_comments xmlns="f62cadcd-e163-4118-ac05-a32b5a627a72" xsi:nil="true"/>
    <Branch_x0020_comments xmlns="f62cadcd-e163-4118-ac05-a32b5a627a72" xsi:nil="true"/>
    <Reference xmlns="f62cadcd-e163-4118-ac05-a32b5a627a72" xsi:nil="true"/>
  </documentManagement>
</p:properties>
</file>

<file path=customXml/itemProps1.xml><?xml version="1.0" encoding="utf-8"?>
<ds:datastoreItem xmlns:ds="http://schemas.openxmlformats.org/officeDocument/2006/customXml" ds:itemID="{0205CA9F-8686-4180-8E66-B5DF8956749C}">
  <ds:schemaRefs>
    <ds:schemaRef ds:uri="http://schemas.openxmlformats.org/officeDocument/2006/bibliography"/>
  </ds:schemaRefs>
</ds:datastoreItem>
</file>

<file path=customXml/itemProps2.xml><?xml version="1.0" encoding="utf-8"?>
<ds:datastoreItem xmlns:ds="http://schemas.openxmlformats.org/officeDocument/2006/customXml" ds:itemID="{8A2B0354-9436-4F05-B446-60892D037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2cadcd-e163-4118-ac05-a32b5a627a72"/>
    <ds:schemaRef ds:uri="c6dba373-5722-4c9c-915a-b35ecc6de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11B545-E230-4C4B-B483-00F131C39029}">
  <ds:schemaRefs>
    <ds:schemaRef ds:uri="http://schemas.microsoft.com/sharepoint/v3/contenttype/forms"/>
  </ds:schemaRefs>
</ds:datastoreItem>
</file>

<file path=customXml/itemProps4.xml><?xml version="1.0" encoding="utf-8"?>
<ds:datastoreItem xmlns:ds="http://schemas.openxmlformats.org/officeDocument/2006/customXml" ds:itemID="{ABFF61BE-BC73-4D1D-84DD-E6D13D47EED3}">
  <ds:schemaRefs>
    <ds:schemaRef ds:uri="http://schemas.microsoft.com/office/2006/metadata/properties"/>
    <ds:schemaRef ds:uri="http://schemas.microsoft.com/office/infopath/2007/PartnerControls"/>
    <ds:schemaRef ds:uri="f62cadcd-e163-4118-ac05-a32b5a627a72"/>
  </ds:schemaRefs>
</ds:datastoreItem>
</file>

<file path=docProps/app.xml><?xml version="1.0" encoding="utf-8"?>
<Properties xmlns="http://schemas.openxmlformats.org/officeDocument/2006/extended-properties" xmlns:vt="http://schemas.openxmlformats.org/officeDocument/2006/docPropsVTypes">
  <Template>C:\UN-Docs2017\Templates\A\A_E.dotm</Template>
  <TotalTime>8</TotalTime>
  <Pages>21</Pages>
  <Words>10089</Words>
  <Characters>56601</Characters>
  <Application>Microsoft Office Word</Application>
  <DocSecurity>6</DocSecurity>
  <Lines>844</Lines>
  <Paragraphs>166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A/HRC/53/27</vt:lpstr>
      <vt:lpstr/>
    </vt:vector>
  </TitlesOfParts>
  <Manager/>
  <Company/>
  <LinksUpToDate>false</LinksUpToDate>
  <CharactersWithSpaces>66524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A/HRC/53/27</dc:title>
  <dc:creator/>
  <cp:lastModifiedBy/>
  <cp:revision>6</cp:revision>
  <cp:lastPrinted>2008-01-29T08:30:00Z</cp:lastPrinted>
  <dcterms:created xsi:type="dcterms:W3CDTF">2023-06-20T13:33:00Z</dcterms:created>
  <dcterms:modified xsi:type="dcterms:W3CDTF">2023-06-20T23:29:00Z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0x0101009BFB62EAC18204449E81721C220244C6</vt:lpwstr>
  </property>
</Properties>
</file>