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47553" w:rsidRPr="00347553" w14:paraId="719C70B9" w14:textId="77777777">
        <w:trPr>
          <w:trHeight w:val="851"/>
        </w:trPr>
        <w:tc>
          <w:tcPr>
            <w:tcW w:w="1259" w:type="dxa"/>
            <w:tcBorders>
              <w:top w:val="nil"/>
              <w:left w:val="nil"/>
              <w:bottom w:val="single" w:sz="4" w:space="0" w:color="auto"/>
              <w:right w:val="nil"/>
            </w:tcBorders>
          </w:tcPr>
          <w:p w14:paraId="69B5CB62" w14:textId="77777777" w:rsidR="00AB537A" w:rsidRPr="00347553" w:rsidRDefault="00AB537A">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E4858D9" w14:textId="0839B475" w:rsidR="00AB537A" w:rsidRPr="00347553" w:rsidRDefault="00AB537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8856C67" w14:textId="33CEDE67" w:rsidR="00AB537A" w:rsidRPr="00347553" w:rsidRDefault="00AB537A">
            <w:pPr>
              <w:jc w:val="right"/>
            </w:pPr>
            <w:r w:rsidRPr="00347553">
              <w:rPr>
                <w:sz w:val="40"/>
              </w:rPr>
              <w:t>A</w:t>
            </w:r>
            <w:r w:rsidRPr="00347553">
              <w:t>/HRC/5</w:t>
            </w:r>
            <w:r w:rsidR="00F111E0" w:rsidRPr="00347553">
              <w:t>3</w:t>
            </w:r>
            <w:r w:rsidRPr="00347553">
              <w:t>/</w:t>
            </w:r>
            <w:r w:rsidR="005B61CF">
              <w:t>36</w:t>
            </w:r>
            <w:r w:rsidRPr="00347553">
              <w:t>/Add.1</w:t>
            </w:r>
          </w:p>
        </w:tc>
      </w:tr>
      <w:tr w:rsidR="00347553" w:rsidRPr="00347553" w14:paraId="07760160" w14:textId="77777777">
        <w:trPr>
          <w:trHeight w:val="2835"/>
        </w:trPr>
        <w:tc>
          <w:tcPr>
            <w:tcW w:w="1259" w:type="dxa"/>
            <w:tcBorders>
              <w:top w:val="single" w:sz="4" w:space="0" w:color="auto"/>
              <w:left w:val="nil"/>
              <w:bottom w:val="single" w:sz="12" w:space="0" w:color="auto"/>
              <w:right w:val="nil"/>
            </w:tcBorders>
          </w:tcPr>
          <w:p w14:paraId="199D6A16" w14:textId="4BEE18C9" w:rsidR="00AB537A" w:rsidRPr="00347553" w:rsidRDefault="00AB537A">
            <w:pPr>
              <w:spacing w:before="120"/>
              <w:jc w:val="center"/>
            </w:pPr>
          </w:p>
        </w:tc>
        <w:tc>
          <w:tcPr>
            <w:tcW w:w="5450" w:type="dxa"/>
            <w:gridSpan w:val="2"/>
            <w:tcBorders>
              <w:top w:val="single" w:sz="4" w:space="0" w:color="auto"/>
              <w:left w:val="nil"/>
              <w:bottom w:val="single" w:sz="12" w:space="0" w:color="auto"/>
              <w:right w:val="nil"/>
            </w:tcBorders>
          </w:tcPr>
          <w:p w14:paraId="46FB91A7" w14:textId="7128F93A" w:rsidR="00AB537A" w:rsidRPr="00347553" w:rsidRDefault="003D354F">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C0F8E55" w14:textId="77777777" w:rsidR="00AB537A" w:rsidRPr="00347553" w:rsidRDefault="00AB537A">
            <w:pPr>
              <w:spacing w:before="240" w:line="240" w:lineRule="exact"/>
            </w:pPr>
            <w:r w:rsidRPr="00347553">
              <w:t>Distr.: General</w:t>
            </w:r>
          </w:p>
          <w:p w14:paraId="3BD4247A" w14:textId="50F45855" w:rsidR="00AB537A" w:rsidRDefault="0009343E">
            <w:pPr>
              <w:spacing w:line="240" w:lineRule="exact"/>
            </w:pPr>
            <w:r>
              <w:t>25</w:t>
            </w:r>
            <w:r w:rsidR="002B61D2">
              <w:t xml:space="preserve"> April</w:t>
            </w:r>
            <w:r w:rsidR="00AB537A" w:rsidRPr="005B61CF">
              <w:t xml:space="preserve"> 202</w:t>
            </w:r>
            <w:r w:rsidR="00F111E0" w:rsidRPr="005B61CF">
              <w:t>3</w:t>
            </w:r>
          </w:p>
          <w:p w14:paraId="0C62997F" w14:textId="77777777" w:rsidR="002B61D2" w:rsidRPr="00347553" w:rsidRDefault="002B61D2">
            <w:pPr>
              <w:spacing w:line="240" w:lineRule="exact"/>
            </w:pPr>
          </w:p>
          <w:p w14:paraId="54882EBE" w14:textId="77777777" w:rsidR="00AB537A" w:rsidRPr="00347553" w:rsidRDefault="00AB537A">
            <w:pPr>
              <w:spacing w:line="240" w:lineRule="exact"/>
            </w:pPr>
            <w:r w:rsidRPr="00347553">
              <w:t>Original: English</w:t>
            </w:r>
          </w:p>
        </w:tc>
      </w:tr>
    </w:tbl>
    <w:p w14:paraId="551F64E3" w14:textId="77777777" w:rsidR="00AB537A" w:rsidRPr="00347553" w:rsidRDefault="00AB537A" w:rsidP="00AB537A">
      <w:pPr>
        <w:spacing w:before="120"/>
        <w:rPr>
          <w:b/>
          <w:bCs/>
          <w:sz w:val="24"/>
          <w:szCs w:val="24"/>
        </w:rPr>
      </w:pPr>
      <w:r w:rsidRPr="00347553">
        <w:rPr>
          <w:b/>
          <w:bCs/>
          <w:sz w:val="24"/>
          <w:szCs w:val="24"/>
        </w:rPr>
        <w:t>Human Rights Council</w:t>
      </w:r>
    </w:p>
    <w:p w14:paraId="306E4E54" w14:textId="6C89A964" w:rsidR="00AB537A" w:rsidRPr="00347553" w:rsidRDefault="00AB537A" w:rsidP="00AB537A">
      <w:pPr>
        <w:rPr>
          <w:b/>
          <w:bCs/>
        </w:rPr>
      </w:pPr>
      <w:r w:rsidRPr="00347553">
        <w:rPr>
          <w:b/>
          <w:bCs/>
        </w:rPr>
        <w:t>Fift</w:t>
      </w:r>
      <w:r w:rsidR="00F111E0" w:rsidRPr="00347553">
        <w:rPr>
          <w:b/>
          <w:bCs/>
        </w:rPr>
        <w:t>y</w:t>
      </w:r>
      <w:r w:rsidR="00C22292">
        <w:rPr>
          <w:b/>
          <w:bCs/>
        </w:rPr>
        <w:t>-</w:t>
      </w:r>
      <w:r w:rsidR="00F111E0" w:rsidRPr="00347553">
        <w:rPr>
          <w:b/>
          <w:bCs/>
        </w:rPr>
        <w:t>third</w:t>
      </w:r>
      <w:r w:rsidRPr="00347553">
        <w:rPr>
          <w:b/>
          <w:bCs/>
        </w:rPr>
        <w:t xml:space="preserve"> session</w:t>
      </w:r>
    </w:p>
    <w:p w14:paraId="12BFBBA5" w14:textId="172D9479" w:rsidR="00AB537A" w:rsidRPr="00347553" w:rsidRDefault="005B61CF" w:rsidP="00AB537A">
      <w:r w:rsidRPr="005B61CF">
        <w:t>19</w:t>
      </w:r>
      <w:r w:rsidR="00AB537A" w:rsidRPr="005B61CF">
        <w:t xml:space="preserve"> June–</w:t>
      </w:r>
      <w:r w:rsidRPr="005B61CF">
        <w:t>14 July</w:t>
      </w:r>
      <w:r w:rsidR="00AB537A" w:rsidRPr="005B61CF">
        <w:t xml:space="preserve"> 202</w:t>
      </w:r>
      <w:r w:rsidR="00F111E0" w:rsidRPr="005B61CF">
        <w:t>3</w:t>
      </w:r>
    </w:p>
    <w:p w14:paraId="608E5539" w14:textId="77777777" w:rsidR="00AB537A" w:rsidRPr="00347553" w:rsidRDefault="00AB537A" w:rsidP="00AB537A">
      <w:r w:rsidRPr="00347553">
        <w:t>Agenda item 3</w:t>
      </w:r>
    </w:p>
    <w:p w14:paraId="4F6852F5" w14:textId="77777777" w:rsidR="00AB537A" w:rsidRPr="00347553" w:rsidRDefault="00AB537A" w:rsidP="00AB537A">
      <w:pPr>
        <w:rPr>
          <w:b/>
          <w:bCs/>
        </w:rPr>
      </w:pPr>
      <w:r w:rsidRPr="00347553">
        <w:rPr>
          <w:b/>
          <w:bCs/>
        </w:rPr>
        <w:t>Promotion and protection of all human rights, civil,</w:t>
      </w:r>
    </w:p>
    <w:p w14:paraId="70436661" w14:textId="77777777" w:rsidR="00AB537A" w:rsidRPr="00347553" w:rsidRDefault="00AB537A" w:rsidP="00AB537A">
      <w:pPr>
        <w:rPr>
          <w:b/>
          <w:bCs/>
        </w:rPr>
      </w:pPr>
      <w:r w:rsidRPr="00347553">
        <w:rPr>
          <w:b/>
          <w:bCs/>
        </w:rPr>
        <w:t xml:space="preserve">political, economic, </w:t>
      </w:r>
      <w:proofErr w:type="gramStart"/>
      <w:r w:rsidRPr="00347553">
        <w:rPr>
          <w:b/>
          <w:bCs/>
        </w:rPr>
        <w:t>social</w:t>
      </w:r>
      <w:proofErr w:type="gramEnd"/>
      <w:r w:rsidRPr="00347553">
        <w:rPr>
          <w:b/>
          <w:bCs/>
        </w:rPr>
        <w:t xml:space="preserve"> and cultural rights, </w:t>
      </w:r>
    </w:p>
    <w:p w14:paraId="64BB8E39" w14:textId="77777777" w:rsidR="00AB537A" w:rsidRPr="00347553" w:rsidRDefault="00AB537A" w:rsidP="00AB537A">
      <w:pPr>
        <w:rPr>
          <w:b/>
          <w:bCs/>
        </w:rPr>
      </w:pPr>
      <w:r w:rsidRPr="00347553">
        <w:rPr>
          <w:b/>
          <w:bCs/>
        </w:rPr>
        <w:t xml:space="preserve">including the right to development </w:t>
      </w:r>
    </w:p>
    <w:p w14:paraId="2267010C" w14:textId="1A204BBA" w:rsidR="00AB537A" w:rsidRPr="002B61D2" w:rsidRDefault="00AB537A" w:rsidP="002B61D2">
      <w:pPr>
        <w:pStyle w:val="HChG"/>
        <w:rPr>
          <w:rFonts w:eastAsia="Arial Unicode MS" w:cs="Arial Unicode MS"/>
          <w:b w:val="0"/>
          <w:bCs/>
          <w:szCs w:val="28"/>
          <w:lang w:val="en-US"/>
        </w:rPr>
      </w:pPr>
      <w:r w:rsidRPr="00347553">
        <w:rPr>
          <w:rFonts w:eastAsia="Arial Unicode MS" w:cs="Arial Unicode MS"/>
          <w:bCs/>
          <w:szCs w:val="28"/>
          <w:lang w:val="en-US"/>
        </w:rPr>
        <w:tab/>
      </w:r>
      <w:r w:rsidR="00860098" w:rsidRPr="00347553">
        <w:rPr>
          <w:rFonts w:eastAsia="Arial Unicode MS" w:cs="Arial Unicode MS"/>
          <w:bCs/>
          <w:szCs w:val="28"/>
          <w:lang w:val="en-US"/>
        </w:rPr>
        <w:tab/>
      </w:r>
      <w:r w:rsidRPr="002B61D2">
        <w:rPr>
          <w:rStyle w:val="HChGChar"/>
          <w:rFonts w:eastAsia="Arial Unicode MS"/>
          <w:b/>
          <w:bCs/>
        </w:rPr>
        <w:t xml:space="preserve">Visit to </w:t>
      </w:r>
      <w:r w:rsidR="00F111E0" w:rsidRPr="002B61D2">
        <w:rPr>
          <w:rStyle w:val="HChGChar"/>
          <w:rFonts w:eastAsia="Arial Unicode MS"/>
          <w:b/>
          <w:bCs/>
        </w:rPr>
        <w:t>Türkiy</w:t>
      </w:r>
      <w:r w:rsidR="00F111E0" w:rsidRPr="002B61D2">
        <w:rPr>
          <w:rFonts w:eastAsia="Arial Unicode MS" w:cs="Arial Unicode MS"/>
          <w:b w:val="0"/>
          <w:bCs/>
          <w:szCs w:val="28"/>
          <w:lang w:val="en-US"/>
        </w:rPr>
        <w:t>e</w:t>
      </w:r>
    </w:p>
    <w:p w14:paraId="66C1EE90" w14:textId="4E52810B" w:rsidR="00AB537A" w:rsidRPr="00347553" w:rsidRDefault="002B61D2" w:rsidP="002B61D2">
      <w:pPr>
        <w:pStyle w:val="H1G"/>
        <w:rPr>
          <w:rFonts w:eastAsia="Arial Unicode MS"/>
          <w:lang w:val="en-US"/>
        </w:rPr>
      </w:pPr>
      <w:r>
        <w:rPr>
          <w:rFonts w:eastAsia="Arial Unicode MS"/>
          <w:lang w:val="en-US"/>
        </w:rPr>
        <w:tab/>
      </w:r>
      <w:r>
        <w:rPr>
          <w:rFonts w:eastAsia="Arial Unicode MS"/>
          <w:lang w:val="en-US"/>
        </w:rPr>
        <w:tab/>
      </w:r>
      <w:r w:rsidR="00AB537A" w:rsidRPr="00347553">
        <w:rPr>
          <w:rFonts w:eastAsia="Arial Unicode MS"/>
          <w:lang w:val="en-US"/>
        </w:rPr>
        <w:t>Report of the Special Rapporteur on violence against women</w:t>
      </w:r>
      <w:r w:rsidR="00F111E0" w:rsidRPr="00347553">
        <w:rPr>
          <w:rFonts w:eastAsia="Arial Unicode MS"/>
          <w:lang w:val="en-US"/>
        </w:rPr>
        <w:t xml:space="preserve"> and girls</w:t>
      </w:r>
      <w:r w:rsidR="00A17866">
        <w:rPr>
          <w:rFonts w:eastAsia="Arial Unicode MS"/>
          <w:lang w:val="en-US"/>
        </w:rPr>
        <w:t>,</w:t>
      </w:r>
      <w:r w:rsidR="00AB537A" w:rsidRPr="00347553">
        <w:rPr>
          <w:rFonts w:eastAsia="Arial Unicode MS"/>
          <w:lang w:val="en-US"/>
        </w:rPr>
        <w:t xml:space="preserve"> its </w:t>
      </w:r>
      <w:proofErr w:type="gramStart"/>
      <w:r w:rsidR="00AB537A" w:rsidRPr="00347553">
        <w:rPr>
          <w:rFonts w:eastAsia="Arial Unicode MS"/>
          <w:lang w:val="en-US"/>
        </w:rPr>
        <w:t>causes</w:t>
      </w:r>
      <w:proofErr w:type="gramEnd"/>
      <w:r w:rsidR="00AB537A" w:rsidRPr="00347553">
        <w:rPr>
          <w:rFonts w:eastAsia="Arial Unicode MS"/>
          <w:lang w:val="en-US"/>
        </w:rPr>
        <w:t xml:space="preserve"> and consequences</w:t>
      </w:r>
      <w:r w:rsidRPr="002B61D2">
        <w:rPr>
          <w:rStyle w:val="FootnoteReference"/>
          <w:rFonts w:eastAsia="Arial Unicode MS"/>
          <w:b w:val="0"/>
          <w:bCs/>
          <w:sz w:val="20"/>
          <w:vertAlign w:val="baseline"/>
          <w:lang w:val="en-US"/>
        </w:rPr>
        <w:footnoteReference w:customMarkFollows="1" w:id="1"/>
        <w:t>*</w:t>
      </w:r>
      <w:r w:rsidR="004C31F8" w:rsidRPr="00C44465">
        <w:rPr>
          <w:rFonts w:eastAsia="Arial Unicode MS"/>
          <w:b w:val="0"/>
          <w:bCs/>
          <w:position w:val="6"/>
          <w:sz w:val="20"/>
          <w:lang w:val="en-US"/>
        </w:rPr>
        <w:t xml:space="preserve">, </w:t>
      </w:r>
      <w:r w:rsidR="004C31F8" w:rsidRPr="004C31F8">
        <w:rPr>
          <w:rStyle w:val="FootnoteReference"/>
          <w:rFonts w:eastAsia="Arial Unicode MS"/>
          <w:b w:val="0"/>
          <w:bCs/>
          <w:sz w:val="20"/>
          <w:vertAlign w:val="baseline"/>
          <w:lang w:val="en-US"/>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47553" w:rsidRPr="00347553" w14:paraId="3072F15C" w14:textId="77777777">
        <w:trPr>
          <w:jc w:val="center"/>
        </w:trPr>
        <w:tc>
          <w:tcPr>
            <w:tcW w:w="9629" w:type="dxa"/>
            <w:shd w:val="clear" w:color="auto" w:fill="auto"/>
          </w:tcPr>
          <w:p w14:paraId="42076322" w14:textId="77777777" w:rsidR="00AB537A" w:rsidRPr="00347553" w:rsidRDefault="00AB537A">
            <w:pPr>
              <w:spacing w:before="240" w:after="120"/>
              <w:ind w:left="255"/>
              <w:rPr>
                <w:i/>
                <w:sz w:val="24"/>
              </w:rPr>
            </w:pPr>
            <w:r w:rsidRPr="00347553">
              <w:rPr>
                <w:i/>
                <w:sz w:val="24"/>
              </w:rPr>
              <w:t>Summary</w:t>
            </w:r>
          </w:p>
        </w:tc>
      </w:tr>
      <w:tr w:rsidR="00AB537A" w:rsidRPr="00347553" w14:paraId="757B37A8" w14:textId="77777777">
        <w:trPr>
          <w:jc w:val="center"/>
        </w:trPr>
        <w:tc>
          <w:tcPr>
            <w:tcW w:w="9629" w:type="dxa"/>
            <w:shd w:val="clear" w:color="auto" w:fill="auto"/>
          </w:tcPr>
          <w:p w14:paraId="1AC0E76E" w14:textId="270550BC" w:rsidR="00AB537A" w:rsidRPr="00347553" w:rsidRDefault="00AB537A" w:rsidP="002B61D2">
            <w:pPr>
              <w:pStyle w:val="SingleTxtG"/>
              <w:ind w:firstLine="562"/>
              <w:rPr>
                <w:lang w:val="en-GB"/>
              </w:rPr>
            </w:pPr>
            <w:r w:rsidRPr="00347553">
              <w:rPr>
                <w:lang w:val="en-US"/>
              </w:rPr>
              <w:t>The Special Rapporteur on violence against women</w:t>
            </w:r>
            <w:r w:rsidR="00A17866">
              <w:rPr>
                <w:lang w:val="en-US"/>
              </w:rPr>
              <w:t xml:space="preserve"> and girls</w:t>
            </w:r>
            <w:r w:rsidRPr="00347553">
              <w:rPr>
                <w:lang w:val="en-US"/>
              </w:rPr>
              <w:t xml:space="preserve">, its </w:t>
            </w:r>
            <w:proofErr w:type="gramStart"/>
            <w:r w:rsidRPr="00347553">
              <w:rPr>
                <w:lang w:val="en-US"/>
              </w:rPr>
              <w:t>causes</w:t>
            </w:r>
            <w:proofErr w:type="gramEnd"/>
            <w:r w:rsidRPr="00347553">
              <w:rPr>
                <w:lang w:val="en-US"/>
              </w:rPr>
              <w:t xml:space="preserve"> and consequences, Reem Alsalem, </w:t>
            </w:r>
            <w:r w:rsidR="00F111E0" w:rsidRPr="00347553">
              <w:rPr>
                <w:lang w:val="en-US"/>
              </w:rPr>
              <w:t xml:space="preserve">undertook an official country visit to Türkiye from </w:t>
            </w:r>
            <w:r w:rsidR="00E25EDF" w:rsidRPr="00347553">
              <w:rPr>
                <w:lang w:val="en-US"/>
              </w:rPr>
              <w:t>18</w:t>
            </w:r>
            <w:r w:rsidRPr="00347553">
              <w:rPr>
                <w:lang w:val="en-US"/>
              </w:rPr>
              <w:t xml:space="preserve"> to </w:t>
            </w:r>
            <w:r w:rsidR="00F111E0" w:rsidRPr="00347553">
              <w:rPr>
                <w:lang w:val="en-US"/>
              </w:rPr>
              <w:t>27</w:t>
            </w:r>
            <w:r w:rsidRPr="00347553">
              <w:rPr>
                <w:lang w:val="en-US"/>
              </w:rPr>
              <w:t xml:space="preserve"> </w:t>
            </w:r>
            <w:r w:rsidR="00F111E0" w:rsidRPr="00347553">
              <w:rPr>
                <w:lang w:val="en-US"/>
              </w:rPr>
              <w:t>July</w:t>
            </w:r>
            <w:r w:rsidRPr="00347553">
              <w:rPr>
                <w:lang w:val="en-US"/>
              </w:rPr>
              <w:t xml:space="preserve"> 202</w:t>
            </w:r>
            <w:r w:rsidR="00F111E0" w:rsidRPr="00347553">
              <w:rPr>
                <w:lang w:val="en-US"/>
              </w:rPr>
              <w:t>3</w:t>
            </w:r>
            <w:r w:rsidRPr="00347553">
              <w:rPr>
                <w:lang w:val="en-US"/>
              </w:rPr>
              <w:t xml:space="preserve">. In the report, she examines </w:t>
            </w:r>
            <w:r w:rsidR="00F111E0" w:rsidRPr="00347553">
              <w:rPr>
                <w:lang w:val="en-US"/>
              </w:rPr>
              <w:t xml:space="preserve">the </w:t>
            </w:r>
            <w:r w:rsidRPr="00347553">
              <w:rPr>
                <w:lang w:val="en-US"/>
              </w:rPr>
              <w:t>gaps and challenges in fulfilling the obligations of the State to eliminate violence against women</w:t>
            </w:r>
            <w:r w:rsidR="00F111E0" w:rsidRPr="00347553">
              <w:rPr>
                <w:lang w:val="en-US"/>
              </w:rPr>
              <w:t xml:space="preserve"> and girls</w:t>
            </w:r>
            <w:r w:rsidRPr="00347553">
              <w:rPr>
                <w:lang w:val="en-US"/>
              </w:rPr>
              <w:t xml:space="preserve">, its </w:t>
            </w:r>
            <w:proofErr w:type="gramStart"/>
            <w:r w:rsidRPr="00347553">
              <w:rPr>
                <w:lang w:val="en-US"/>
              </w:rPr>
              <w:t>causes</w:t>
            </w:r>
            <w:proofErr w:type="gramEnd"/>
            <w:r w:rsidRPr="00347553">
              <w:rPr>
                <w:lang w:val="en-US"/>
              </w:rPr>
              <w:t xml:space="preserve"> and consequences, and recommends measures for preventing and combating violence against women </w:t>
            </w:r>
            <w:r w:rsidR="00F111E0" w:rsidRPr="00347553">
              <w:rPr>
                <w:lang w:val="en-US"/>
              </w:rPr>
              <w:t xml:space="preserve">and girls </w:t>
            </w:r>
            <w:r w:rsidRPr="00347553">
              <w:rPr>
                <w:lang w:val="en-US"/>
              </w:rPr>
              <w:t>in the country</w:t>
            </w:r>
            <w:r w:rsidR="00A17866">
              <w:rPr>
                <w:lang w:val="en-US"/>
              </w:rPr>
              <w:t>.</w:t>
            </w:r>
          </w:p>
        </w:tc>
      </w:tr>
    </w:tbl>
    <w:p w14:paraId="131319ED" w14:textId="5965ECBF" w:rsidR="002B61D2" w:rsidRDefault="002B61D2" w:rsidP="00AB537A">
      <w:pPr>
        <w:pStyle w:val="Body"/>
        <w:rPr>
          <w:rFonts w:eastAsia="Arial Unicode MS" w:cs="Arial Unicode MS"/>
          <w:b/>
          <w:bCs/>
          <w:color w:val="auto"/>
          <w:sz w:val="24"/>
          <w:szCs w:val="24"/>
          <w:lang w:val="en-US"/>
        </w:rPr>
      </w:pPr>
      <w:r>
        <w:rPr>
          <w:rFonts w:eastAsia="Arial Unicode MS" w:cs="Arial Unicode MS"/>
          <w:b/>
          <w:bCs/>
          <w:color w:val="auto"/>
          <w:sz w:val="24"/>
          <w:szCs w:val="24"/>
          <w:lang w:val="en-US"/>
        </w:rPr>
        <w:br w:type="page"/>
      </w:r>
    </w:p>
    <w:p w14:paraId="11A0515A" w14:textId="6FCB843D" w:rsidR="00AB537A" w:rsidRDefault="002B61D2" w:rsidP="002B61D2">
      <w:pPr>
        <w:pStyle w:val="HChG"/>
        <w:rPr>
          <w:rFonts w:eastAsia="Arial Unicode MS"/>
          <w:lang w:val="en-US"/>
        </w:rPr>
      </w:pPr>
      <w:r>
        <w:rPr>
          <w:rFonts w:eastAsia="Arial Unicode MS"/>
          <w:lang w:val="en-US"/>
        </w:rPr>
        <w:lastRenderedPageBreak/>
        <w:t>Annex</w:t>
      </w:r>
    </w:p>
    <w:p w14:paraId="6D9D1C8E" w14:textId="69AD9B18" w:rsidR="002B61D2" w:rsidRDefault="002B61D2" w:rsidP="002B61D2">
      <w:pPr>
        <w:pStyle w:val="HChG"/>
        <w:rPr>
          <w:rFonts w:eastAsia="Arial Unicode MS" w:cs="Arial Unicode MS"/>
          <w:bCs/>
          <w:szCs w:val="24"/>
          <w:lang w:val="en-US"/>
        </w:rPr>
      </w:pPr>
      <w:r>
        <w:rPr>
          <w:rFonts w:eastAsia="Arial Unicode MS"/>
          <w:lang w:val="en-US"/>
        </w:rPr>
        <w:tab/>
      </w:r>
      <w:r>
        <w:rPr>
          <w:rFonts w:eastAsia="Arial Unicode MS"/>
          <w:lang w:val="en-US"/>
        </w:rPr>
        <w:tab/>
      </w:r>
      <w:r w:rsidRPr="00347553">
        <w:rPr>
          <w:rFonts w:eastAsia="Arial Unicode MS"/>
          <w:lang w:val="en-US"/>
        </w:rPr>
        <w:t>Report of the Special Rapporteur on violence against women and girls</w:t>
      </w:r>
      <w:r>
        <w:rPr>
          <w:rFonts w:eastAsia="Arial Unicode MS"/>
          <w:lang w:val="en-US"/>
        </w:rPr>
        <w:t>,</w:t>
      </w:r>
      <w:r w:rsidRPr="00347553">
        <w:rPr>
          <w:rFonts w:eastAsia="Arial Unicode MS"/>
          <w:lang w:val="en-US"/>
        </w:rPr>
        <w:t xml:space="preserve"> its </w:t>
      </w:r>
      <w:proofErr w:type="gramStart"/>
      <w:r w:rsidRPr="00347553">
        <w:rPr>
          <w:rFonts w:eastAsia="Arial Unicode MS"/>
          <w:lang w:val="en-US"/>
        </w:rPr>
        <w:t>causes</w:t>
      </w:r>
      <w:proofErr w:type="gramEnd"/>
      <w:r w:rsidRPr="00347553">
        <w:rPr>
          <w:rFonts w:eastAsia="Arial Unicode MS"/>
          <w:lang w:val="en-US"/>
        </w:rPr>
        <w:t xml:space="preserve"> and consequences</w:t>
      </w:r>
      <w:r>
        <w:rPr>
          <w:rFonts w:eastAsia="Arial Unicode MS"/>
          <w:lang w:val="en-US"/>
        </w:rPr>
        <w:t xml:space="preserve"> on her visit to Türkiye</w:t>
      </w:r>
    </w:p>
    <w:p w14:paraId="624589F9" w14:textId="4423CC0C" w:rsidR="00AB537A" w:rsidRPr="00347553" w:rsidRDefault="00CD171B" w:rsidP="00C22292">
      <w:pPr>
        <w:pStyle w:val="HChG"/>
        <w:tabs>
          <w:tab w:val="clear" w:pos="851"/>
          <w:tab w:val="right" w:pos="567"/>
          <w:tab w:val="left" w:pos="1701"/>
        </w:tabs>
        <w:ind w:hanging="567"/>
        <w:rPr>
          <w:rFonts w:eastAsiaTheme="minorHAnsi"/>
        </w:rPr>
      </w:pPr>
      <w:r w:rsidRPr="00347553">
        <w:rPr>
          <w:rFonts w:eastAsiaTheme="minorHAnsi"/>
        </w:rPr>
        <w:tab/>
      </w:r>
      <w:r w:rsidR="00AB537A" w:rsidRPr="00347553">
        <w:rPr>
          <w:rFonts w:eastAsia="Calibri"/>
          <w:lang w:val="en-US"/>
        </w:rPr>
        <w:t>I.</w:t>
      </w:r>
      <w:r w:rsidR="00AB537A" w:rsidRPr="00347553">
        <w:rPr>
          <w:rFonts w:eastAsia="Calibri"/>
          <w:lang w:val="en-US"/>
        </w:rPr>
        <w:tab/>
      </w:r>
      <w:r w:rsidR="00AB537A" w:rsidRPr="00347553">
        <w:t>Introduction</w:t>
      </w:r>
    </w:p>
    <w:p w14:paraId="20CB027B" w14:textId="3E9F4096" w:rsidR="00AB537A" w:rsidRPr="00472720" w:rsidRDefault="00AB537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rFonts w:eastAsiaTheme="minorHAnsi"/>
          <w:lang w:val="en-GB"/>
        </w:rPr>
      </w:pPr>
      <w:r w:rsidRPr="00472720">
        <w:rPr>
          <w:rStyle w:val="NoneB"/>
          <w:lang w:val="en-GB"/>
        </w:rPr>
        <w:t>The Special Rapporteur on violence against women</w:t>
      </w:r>
      <w:r w:rsidR="0098119C" w:rsidRPr="00472720">
        <w:rPr>
          <w:rStyle w:val="NoneB"/>
          <w:lang w:val="en-GB"/>
        </w:rPr>
        <w:t xml:space="preserve"> and girls</w:t>
      </w:r>
      <w:r w:rsidRPr="00472720">
        <w:rPr>
          <w:rStyle w:val="NoneB"/>
          <w:lang w:val="en-GB"/>
        </w:rPr>
        <w:t xml:space="preserve">, its </w:t>
      </w:r>
      <w:proofErr w:type="gramStart"/>
      <w:r w:rsidRPr="00472720">
        <w:rPr>
          <w:rStyle w:val="NoneB"/>
          <w:lang w:val="en-GB"/>
        </w:rPr>
        <w:t>causes</w:t>
      </w:r>
      <w:proofErr w:type="gramEnd"/>
      <w:r w:rsidRPr="00472720">
        <w:rPr>
          <w:rStyle w:val="NoneB"/>
          <w:lang w:val="en-GB"/>
        </w:rPr>
        <w:t xml:space="preserve"> and consequences, Reem Alsalem, conducted an official visit to </w:t>
      </w:r>
      <w:r w:rsidR="0098119C" w:rsidRPr="00472720">
        <w:rPr>
          <w:rStyle w:val="NoneB"/>
          <w:lang w:val="en-GB"/>
        </w:rPr>
        <w:t>Türkiye</w:t>
      </w:r>
      <w:r w:rsidRPr="00472720">
        <w:rPr>
          <w:rStyle w:val="NoneB"/>
          <w:lang w:val="en-GB"/>
        </w:rPr>
        <w:t xml:space="preserve"> from </w:t>
      </w:r>
      <w:r w:rsidR="0098119C" w:rsidRPr="00472720">
        <w:rPr>
          <w:rStyle w:val="NoneB"/>
          <w:lang w:val="en-GB"/>
        </w:rPr>
        <w:t>18</w:t>
      </w:r>
      <w:r w:rsidRPr="00472720">
        <w:rPr>
          <w:rStyle w:val="NoneB"/>
          <w:lang w:val="en-GB"/>
        </w:rPr>
        <w:t xml:space="preserve"> to </w:t>
      </w:r>
      <w:r w:rsidR="0098119C" w:rsidRPr="00472720">
        <w:rPr>
          <w:rStyle w:val="NoneB"/>
          <w:lang w:val="en-GB"/>
        </w:rPr>
        <w:t>27</w:t>
      </w:r>
      <w:r w:rsidRPr="00472720">
        <w:rPr>
          <w:rStyle w:val="NoneB"/>
          <w:lang w:val="en-GB"/>
        </w:rPr>
        <w:t xml:space="preserve"> </w:t>
      </w:r>
      <w:r w:rsidR="0098119C" w:rsidRPr="00472720">
        <w:rPr>
          <w:rStyle w:val="NoneB"/>
          <w:lang w:val="en-GB"/>
        </w:rPr>
        <w:t xml:space="preserve">July </w:t>
      </w:r>
      <w:r w:rsidRPr="00472720">
        <w:rPr>
          <w:rStyle w:val="NoneB"/>
          <w:lang w:val="en-GB"/>
        </w:rPr>
        <w:t>202</w:t>
      </w:r>
      <w:r w:rsidR="0098119C" w:rsidRPr="00472720">
        <w:rPr>
          <w:rStyle w:val="NoneB"/>
          <w:lang w:val="en-GB"/>
        </w:rPr>
        <w:t>2</w:t>
      </w:r>
      <w:r w:rsidRPr="00472720">
        <w:rPr>
          <w:rStyle w:val="NoneB"/>
          <w:lang w:val="en-GB"/>
        </w:rPr>
        <w:t>, at the invitation of the Government. The main objective of the visit was to assess the situation of gender-based violence against women</w:t>
      </w:r>
      <w:r w:rsidR="0098119C" w:rsidRPr="00472720">
        <w:rPr>
          <w:rStyle w:val="NoneB"/>
          <w:lang w:val="en-GB"/>
        </w:rPr>
        <w:t xml:space="preserve"> and girls</w:t>
      </w:r>
      <w:r w:rsidRPr="00472720">
        <w:rPr>
          <w:rStyle w:val="NoneB"/>
          <w:lang w:val="en-GB"/>
        </w:rPr>
        <w:t xml:space="preserve"> in the country, as well as the laws, </w:t>
      </w:r>
      <w:proofErr w:type="gramStart"/>
      <w:r w:rsidRPr="00472720">
        <w:rPr>
          <w:rStyle w:val="NoneB"/>
          <w:lang w:val="en-GB"/>
        </w:rPr>
        <w:t>policies</w:t>
      </w:r>
      <w:proofErr w:type="gramEnd"/>
      <w:r w:rsidRPr="00472720">
        <w:rPr>
          <w:rStyle w:val="NoneB"/>
          <w:lang w:val="en-GB"/>
        </w:rPr>
        <w:t xml:space="preserve"> and services to prevent and combat it, in order to provide recommendations to strengthen these efforts and fully implement </w:t>
      </w:r>
      <w:r w:rsidR="0098119C" w:rsidRPr="00472720">
        <w:rPr>
          <w:rStyle w:val="NoneB"/>
          <w:lang w:val="en-GB"/>
        </w:rPr>
        <w:t>Türkiye’s</w:t>
      </w:r>
      <w:r w:rsidRPr="00472720">
        <w:rPr>
          <w:rStyle w:val="NoneB"/>
          <w:lang w:val="en-GB"/>
        </w:rPr>
        <w:t xml:space="preserve"> international obligations on violence against women and women’s human rights.</w:t>
      </w:r>
      <w:r w:rsidR="00895FC2" w:rsidRPr="00472720">
        <w:t xml:space="preserve"> </w:t>
      </w:r>
    </w:p>
    <w:p w14:paraId="2B29C513" w14:textId="09223770" w:rsidR="004F7ECF" w:rsidRPr="00472720" w:rsidRDefault="00AB537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472720">
        <w:rPr>
          <w:rStyle w:val="NoneB"/>
          <w:lang w:val="en-GB"/>
        </w:rPr>
        <w:t xml:space="preserve">The Special Rapporteur </w:t>
      </w:r>
      <w:r w:rsidR="00895FC2" w:rsidRPr="00472720">
        <w:rPr>
          <w:rStyle w:val="NoneB"/>
          <w:lang w:val="en-GB"/>
        </w:rPr>
        <w:t>extends her sincere appreciation to the Government of Türkiye for the invitation to visit the country and for its engagement and cooperation before</w:t>
      </w:r>
      <w:r w:rsidR="004F7ECF" w:rsidRPr="00472720">
        <w:rPr>
          <w:rStyle w:val="NoneB"/>
          <w:lang w:val="en-GB"/>
        </w:rPr>
        <w:t>,</w:t>
      </w:r>
      <w:r w:rsidR="00895FC2" w:rsidRPr="00472720">
        <w:rPr>
          <w:rStyle w:val="NoneB"/>
          <w:lang w:val="en-GB"/>
        </w:rPr>
        <w:t xml:space="preserve"> during and after the visit</w:t>
      </w:r>
      <w:r w:rsidR="007D7A1E" w:rsidRPr="00472720">
        <w:rPr>
          <w:rStyle w:val="NoneB"/>
          <w:lang w:val="en-GB"/>
        </w:rPr>
        <w:t>,</w:t>
      </w:r>
      <w:r w:rsidRPr="00472720">
        <w:rPr>
          <w:rStyle w:val="NoneB"/>
          <w:lang w:val="en-GB"/>
        </w:rPr>
        <w:t xml:space="preserve"> as well as for the frank and constructive dialogue. </w:t>
      </w:r>
    </w:p>
    <w:p w14:paraId="272AE72D" w14:textId="0D6E4A3E" w:rsidR="00AB537A" w:rsidRPr="00472720" w:rsidRDefault="00AB537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472720">
        <w:rPr>
          <w:rStyle w:val="NoneB"/>
          <w:lang w:val="en-GB"/>
        </w:rPr>
        <w:t>During her visit, the Special Rapporteur met with several high</w:t>
      </w:r>
      <w:r w:rsidR="00895FC2" w:rsidRPr="00472720">
        <w:rPr>
          <w:rStyle w:val="NoneB"/>
          <w:lang w:val="en-GB"/>
        </w:rPr>
        <w:t>-</w:t>
      </w:r>
      <w:r w:rsidRPr="00472720">
        <w:rPr>
          <w:rStyle w:val="NoneB"/>
          <w:lang w:val="en-GB"/>
        </w:rPr>
        <w:t xml:space="preserve">ranking Government officials, including the </w:t>
      </w:r>
      <w:r w:rsidR="00895FC2" w:rsidRPr="00472720">
        <w:rPr>
          <w:rStyle w:val="NoneB"/>
          <w:lang w:val="en-GB"/>
        </w:rPr>
        <w:t xml:space="preserve">Minister of Family and Social Services; the Minister of Internal Affairs; the Deputy Minister of Justice; along with representatives from the General Directorate on the Status of Women </w:t>
      </w:r>
      <w:r w:rsidR="00144250" w:rsidRPr="00472720">
        <w:rPr>
          <w:rStyle w:val="NoneB"/>
          <w:lang w:val="en-GB"/>
        </w:rPr>
        <w:t>of</w:t>
      </w:r>
      <w:r w:rsidR="00895FC2" w:rsidRPr="00472720">
        <w:rPr>
          <w:rStyle w:val="NoneB"/>
          <w:lang w:val="en-GB"/>
        </w:rPr>
        <w:t xml:space="preserve"> the Ministry of Family</w:t>
      </w:r>
      <w:r w:rsidR="009207D3">
        <w:rPr>
          <w:rStyle w:val="NoneB"/>
          <w:lang w:val="en-GB"/>
        </w:rPr>
        <w:t xml:space="preserve"> </w:t>
      </w:r>
      <w:r w:rsidR="00895FC2" w:rsidRPr="00472720">
        <w:rPr>
          <w:rStyle w:val="NoneB"/>
          <w:lang w:val="en-GB"/>
        </w:rPr>
        <w:t xml:space="preserve">and Social </w:t>
      </w:r>
      <w:r w:rsidR="00144250" w:rsidRPr="00472720">
        <w:rPr>
          <w:rStyle w:val="NoneB"/>
          <w:lang w:val="en-GB"/>
        </w:rPr>
        <w:t>Services</w:t>
      </w:r>
      <w:r w:rsidR="00895FC2" w:rsidRPr="00472720">
        <w:rPr>
          <w:rStyle w:val="NoneB"/>
          <w:lang w:val="en-GB"/>
        </w:rPr>
        <w:t xml:space="preserve">; </w:t>
      </w:r>
      <w:r w:rsidR="007D7A1E" w:rsidRPr="00472720">
        <w:rPr>
          <w:rStyle w:val="NoneB"/>
          <w:lang w:val="en-GB"/>
        </w:rPr>
        <w:t xml:space="preserve">the </w:t>
      </w:r>
      <w:r w:rsidR="00144250" w:rsidRPr="00472720">
        <w:rPr>
          <w:rStyle w:val="NoneB"/>
          <w:lang w:val="en-GB"/>
        </w:rPr>
        <w:t xml:space="preserve">Directorate for EU Affairs of </w:t>
      </w:r>
      <w:r w:rsidR="00895FC2" w:rsidRPr="00472720">
        <w:rPr>
          <w:rStyle w:val="NoneB"/>
          <w:lang w:val="en-GB"/>
        </w:rPr>
        <w:t>the Ministry of Foreign Affairs; and the Ministry of Education.  She also met with the Chair of the Committee on Equal Opportunity for Men and Women of the Grand National Assembly</w:t>
      </w:r>
      <w:r w:rsidR="004F7ECF" w:rsidRPr="00472720">
        <w:rPr>
          <w:rStyle w:val="NoneB"/>
          <w:lang w:val="en-GB"/>
        </w:rPr>
        <w:t>,</w:t>
      </w:r>
      <w:r w:rsidR="00895FC2" w:rsidRPr="00472720">
        <w:rPr>
          <w:rStyle w:val="NoneB"/>
          <w:lang w:val="en-GB"/>
        </w:rPr>
        <w:t xml:space="preserve"> the Chief Ombudsman and the President of the Human Rights and Equality Institution.  In addition, she met with the Governor of Istanbul; the Governor of Diyarbakir; the Deputy Secretary General of the Gaziantep Metropolitan Municipality; the Governor of Gaziantep; and the Deputy Governor of Izmir.</w:t>
      </w:r>
      <w:r w:rsidRPr="00472720">
        <w:rPr>
          <w:rStyle w:val="NoneB"/>
          <w:lang w:val="en-GB"/>
        </w:rPr>
        <w:t xml:space="preserve"> </w:t>
      </w:r>
      <w:r w:rsidR="00FA2F7C" w:rsidRPr="00472720">
        <w:rPr>
          <w:rStyle w:val="NoneB"/>
          <w:lang w:val="en-GB"/>
        </w:rPr>
        <w:t xml:space="preserve">The Special Rapporteur also visited ŞÖNİMs (Violence Prevention and Monitoring Centers) and ADEM’s in these provinces, along with the Family Academy in Gaziantep.  </w:t>
      </w:r>
      <w:bookmarkStart w:id="0" w:name="_Hlk129615867"/>
      <w:r w:rsidR="0053501A">
        <w:rPr>
          <w:rStyle w:val="NoneB"/>
          <w:lang w:val="en-GB"/>
        </w:rPr>
        <w:t>S</w:t>
      </w:r>
      <w:r w:rsidR="00FA2F7C" w:rsidRPr="00472720">
        <w:rPr>
          <w:rStyle w:val="NoneB"/>
          <w:lang w:val="en-GB"/>
        </w:rPr>
        <w:t>he</w:t>
      </w:r>
      <w:r w:rsidR="0053501A">
        <w:rPr>
          <w:rStyle w:val="NoneB"/>
          <w:lang w:val="en-GB"/>
        </w:rPr>
        <w:t xml:space="preserve"> also</w:t>
      </w:r>
      <w:r w:rsidR="00FA2F7C" w:rsidRPr="00472720">
        <w:rPr>
          <w:rStyle w:val="NoneB"/>
          <w:lang w:val="en-GB"/>
        </w:rPr>
        <w:t xml:space="preserve"> </w:t>
      </w:r>
      <w:r w:rsidR="007D7A1E" w:rsidRPr="00472720">
        <w:rPr>
          <w:rStyle w:val="NoneB"/>
          <w:lang w:val="en-GB"/>
        </w:rPr>
        <w:t>visited</w:t>
      </w:r>
      <w:r w:rsidR="00FA2F7C" w:rsidRPr="00472720">
        <w:rPr>
          <w:rStyle w:val="NoneB"/>
          <w:lang w:val="en-GB"/>
        </w:rPr>
        <w:t xml:space="preserve"> the Gaziantep Removal Centre as organized by the Provincial Directorate of Migration Management</w:t>
      </w:r>
      <w:bookmarkEnd w:id="0"/>
      <w:r w:rsidR="00FA2F7C" w:rsidRPr="00472720">
        <w:rPr>
          <w:rStyle w:val="NoneB"/>
          <w:lang w:val="en-GB"/>
        </w:rPr>
        <w:t xml:space="preserve">. She regrets however that she was unable to meet with the Ministry of Health; </w:t>
      </w:r>
      <w:r w:rsidR="004F7ECF" w:rsidRPr="00472720">
        <w:rPr>
          <w:rStyle w:val="NoneB"/>
          <w:lang w:val="en-GB"/>
        </w:rPr>
        <w:t>nor was</w:t>
      </w:r>
      <w:r w:rsidR="00FA2F7C" w:rsidRPr="00472720">
        <w:rPr>
          <w:rStyle w:val="NoneB"/>
          <w:lang w:val="en-GB"/>
        </w:rPr>
        <w:t xml:space="preserve"> she </w:t>
      </w:r>
      <w:r w:rsidR="0053501A">
        <w:rPr>
          <w:rStyle w:val="NoneB"/>
          <w:lang w:val="en-GB"/>
        </w:rPr>
        <w:t>granted permission</w:t>
      </w:r>
      <w:r w:rsidR="0053501A" w:rsidRPr="00472720">
        <w:rPr>
          <w:rStyle w:val="NoneB"/>
          <w:lang w:val="en-GB"/>
        </w:rPr>
        <w:t xml:space="preserve"> </w:t>
      </w:r>
      <w:r w:rsidR="00FA2F7C" w:rsidRPr="00472720">
        <w:rPr>
          <w:rStyle w:val="NoneB"/>
          <w:lang w:val="en-GB"/>
        </w:rPr>
        <w:t xml:space="preserve">to visit a shelter for women </w:t>
      </w:r>
      <w:r w:rsidR="00B37047">
        <w:rPr>
          <w:rStyle w:val="NoneB"/>
          <w:lang w:val="en-GB"/>
        </w:rPr>
        <w:t>n</w:t>
      </w:r>
      <w:r w:rsidR="00FA2F7C" w:rsidRPr="00472720">
        <w:rPr>
          <w:rStyle w:val="NoneB"/>
          <w:lang w:val="en-GB"/>
        </w:rPr>
        <w:t>or a women’s prison.</w:t>
      </w:r>
    </w:p>
    <w:p w14:paraId="0545E780" w14:textId="1E1C0D2C" w:rsidR="00FA2F7C" w:rsidRPr="00472720" w:rsidRDefault="00FA2F7C"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472720">
        <w:rPr>
          <w:rStyle w:val="NoneB"/>
          <w:lang w:val="en-GB"/>
        </w:rPr>
        <w:t xml:space="preserve">During the visit the Special Rapporteur </w:t>
      </w:r>
      <w:r w:rsidR="00341C9F" w:rsidRPr="00472720">
        <w:rPr>
          <w:rStyle w:val="NoneB"/>
          <w:lang w:val="en-GB"/>
        </w:rPr>
        <w:t xml:space="preserve">also </w:t>
      </w:r>
      <w:r w:rsidRPr="00472720">
        <w:rPr>
          <w:rStyle w:val="NoneB"/>
          <w:lang w:val="en-GB"/>
        </w:rPr>
        <w:t xml:space="preserve">met with representatives from international organizations, including </w:t>
      </w:r>
      <w:r w:rsidR="004F7ECF" w:rsidRPr="00472720">
        <w:rPr>
          <w:rStyle w:val="NoneB"/>
          <w:lang w:val="en-GB"/>
        </w:rPr>
        <w:t>relevant</w:t>
      </w:r>
      <w:r w:rsidRPr="00472720">
        <w:rPr>
          <w:rStyle w:val="NoneB"/>
          <w:lang w:val="en-GB"/>
        </w:rPr>
        <w:t xml:space="preserve"> agencies </w:t>
      </w:r>
      <w:r w:rsidR="004F7ECF" w:rsidRPr="00472720">
        <w:rPr>
          <w:rStyle w:val="NoneB"/>
          <w:lang w:val="en-GB"/>
        </w:rPr>
        <w:t>from</w:t>
      </w:r>
      <w:r w:rsidRPr="00472720">
        <w:rPr>
          <w:rStyle w:val="NoneB"/>
          <w:lang w:val="en-GB"/>
        </w:rPr>
        <w:t xml:space="preserve"> the UN Country Team, civil society organizations, trade unions, bar associations, Turkish and foreign national women and girl victims of violence, and other relevant stakeholders.</w:t>
      </w:r>
    </w:p>
    <w:p w14:paraId="33F36F8E" w14:textId="5B22E578" w:rsidR="00AB537A" w:rsidRPr="00472720" w:rsidRDefault="00AB537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472720">
        <w:rPr>
          <w:rStyle w:val="NoneB"/>
          <w:lang w:val="en-GB"/>
        </w:rPr>
        <w:t>The Special Rapporteur would like to express her gratitude to the Office of the United Nations Resident Coordinator, UN</w:t>
      </w:r>
      <w:r w:rsidR="00895FC2" w:rsidRPr="00472720">
        <w:rPr>
          <w:rStyle w:val="NoneB"/>
          <w:lang w:val="en-GB"/>
        </w:rPr>
        <w:t xml:space="preserve"> Women, UN</w:t>
      </w:r>
      <w:r w:rsidRPr="00472720">
        <w:rPr>
          <w:rStyle w:val="NoneB"/>
          <w:lang w:val="en-GB"/>
        </w:rPr>
        <w:t>FPA and UNDP for their extensive support in preparing and facilitating th</w:t>
      </w:r>
      <w:r w:rsidR="00710771" w:rsidRPr="00472720">
        <w:rPr>
          <w:rStyle w:val="NoneB"/>
          <w:lang w:val="en-GB"/>
        </w:rPr>
        <w:t>e</w:t>
      </w:r>
      <w:r w:rsidRPr="00472720">
        <w:rPr>
          <w:rStyle w:val="NoneB"/>
          <w:lang w:val="en-GB"/>
        </w:rPr>
        <w:t xml:space="preserve"> visit, and to all representatives from international entities and civil society organizations for generously sharing their time and knowledge. </w:t>
      </w:r>
      <w:r w:rsidR="00030599" w:rsidRPr="00472720">
        <w:rPr>
          <w:rStyle w:val="NoneB"/>
          <w:lang w:val="en-GB"/>
        </w:rPr>
        <w:t xml:space="preserve">In particular, she wishes to express her </w:t>
      </w:r>
      <w:r w:rsidR="00B54C8D" w:rsidRPr="00472720">
        <w:rPr>
          <w:rStyle w:val="NoneB"/>
          <w:lang w:val="en-GB"/>
        </w:rPr>
        <w:t>deepest appreciation</w:t>
      </w:r>
      <w:r w:rsidR="00030599" w:rsidRPr="00472720">
        <w:rPr>
          <w:rStyle w:val="NoneB"/>
          <w:lang w:val="en-GB"/>
        </w:rPr>
        <w:t xml:space="preserve"> to all the victims who agreed to relate their personal and often </w:t>
      </w:r>
      <w:r w:rsidR="00B54C8D" w:rsidRPr="00472720">
        <w:rPr>
          <w:rStyle w:val="NoneB"/>
          <w:lang w:val="en-GB"/>
        </w:rPr>
        <w:t>painful</w:t>
      </w:r>
      <w:r w:rsidR="00030599" w:rsidRPr="00472720">
        <w:rPr>
          <w:rStyle w:val="NoneB"/>
          <w:lang w:val="en-GB"/>
        </w:rPr>
        <w:t xml:space="preserve"> experiences of violence and gender-based discrimination, allowing her to gain an insight into some of the systematic problems they face</w:t>
      </w:r>
      <w:r w:rsidR="00341C9F" w:rsidRPr="00472720">
        <w:rPr>
          <w:rStyle w:val="NoneB"/>
          <w:lang w:val="en-GB"/>
        </w:rPr>
        <w:t xml:space="preserve"> </w:t>
      </w:r>
      <w:r w:rsidR="00030599" w:rsidRPr="00472720">
        <w:rPr>
          <w:rStyle w:val="NoneB"/>
          <w:lang w:val="en-GB"/>
        </w:rPr>
        <w:t>and their right to live a life free from violence.</w:t>
      </w:r>
    </w:p>
    <w:p w14:paraId="0D3FA29B" w14:textId="64CA083B" w:rsidR="00DD0FF5" w:rsidRPr="00472720" w:rsidRDefault="00DD0FF5"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472720">
        <w:t xml:space="preserve">The visit of the Special Rapporteur followed the examination of the eighth periodic report of Türkiye by the CEDAW Committee in June 2022. She therefore hopes that the recommendations </w:t>
      </w:r>
      <w:r w:rsidRPr="00472720">
        <w:rPr>
          <w:rStyle w:val="NoneB"/>
          <w:lang w:val="en-GB"/>
        </w:rPr>
        <w:t>outlined</w:t>
      </w:r>
      <w:r w:rsidRPr="00472720">
        <w:t xml:space="preserve"> in the present report will be implemented in conjunction with those provided by the Committee (see CEDAW/C/TUR/CO/8), as a means of developing a road map to assist the Government in its efforts to eliminate violence against women and girls and to uphold the rights of women in the public and private spheres, in line with the CEDAW Convention, the Declaration on the Elimination of Violence against Women</w:t>
      </w:r>
      <w:r w:rsidRPr="00472720">
        <w:footnoteReference w:id="3"/>
      </w:r>
      <w:r w:rsidRPr="00472720">
        <w:t xml:space="preserve"> and</w:t>
      </w:r>
      <w:r w:rsidRPr="00472720" w:rsidDel="00CB5655">
        <w:t xml:space="preserve"> </w:t>
      </w:r>
      <w:r w:rsidRPr="00472720">
        <w:t>Goal 5 of the Sustainable Development Goals, in particular target 5.5.</w:t>
      </w:r>
    </w:p>
    <w:p w14:paraId="3A1152BE" w14:textId="4CB0021A" w:rsidR="00CF69A7" w:rsidRPr="00347553" w:rsidRDefault="0028582B" w:rsidP="00C22292">
      <w:pPr>
        <w:pStyle w:val="HChG"/>
        <w:tabs>
          <w:tab w:val="clear" w:pos="851"/>
          <w:tab w:val="right" w:pos="567"/>
          <w:tab w:val="left" w:pos="1701"/>
        </w:tabs>
        <w:ind w:hanging="567"/>
      </w:pPr>
      <w:r>
        <w:rPr>
          <w:lang w:val="en-US"/>
        </w:rPr>
        <w:lastRenderedPageBreak/>
        <w:tab/>
      </w:r>
      <w:r w:rsidR="00FE42AC" w:rsidRPr="00347553">
        <w:t>I</w:t>
      </w:r>
      <w:r w:rsidR="00CF69A7" w:rsidRPr="00347553">
        <w:t>I</w:t>
      </w:r>
      <w:r w:rsidR="005B61CF">
        <w:t>.</w:t>
      </w:r>
      <w:r w:rsidR="005B61CF">
        <w:tab/>
      </w:r>
      <w:r w:rsidR="00CF69A7" w:rsidRPr="00347553">
        <w:t>Manifestations of gender-based violence against women</w:t>
      </w:r>
    </w:p>
    <w:p w14:paraId="55A7387E" w14:textId="18CAE4CE" w:rsidR="00FE42AC"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Violence against women in Türkiye is </w:t>
      </w:r>
      <w:r w:rsidR="00EF3486">
        <w:t>widespread</w:t>
      </w:r>
      <w:r w:rsidR="00EF3486" w:rsidRPr="00347553">
        <w:t xml:space="preserve"> </w:t>
      </w:r>
      <w:r w:rsidRPr="00347553">
        <w:t>and occurs both in the private and the public spheres</w:t>
      </w:r>
      <w:r w:rsidR="00B50D1E">
        <w:t>.</w:t>
      </w:r>
      <w:r w:rsidRPr="00347553">
        <w:t xml:space="preserve">  According to data received every four out of </w:t>
      </w:r>
      <w:r w:rsidR="007D7A1E">
        <w:t>ten</w:t>
      </w:r>
      <w:r w:rsidRPr="00347553">
        <w:t xml:space="preserve"> women </w:t>
      </w:r>
      <w:r w:rsidR="002E7AC7">
        <w:t xml:space="preserve">has </w:t>
      </w:r>
      <w:r w:rsidRPr="00347553">
        <w:t>experienced physical violence by their husband or an intimate male partner.</w:t>
      </w:r>
      <w:r w:rsidRPr="00347553">
        <w:rPr>
          <w:rStyle w:val="FootnoteReference"/>
        </w:rPr>
        <w:footnoteReference w:id="4"/>
      </w:r>
      <w:r w:rsidR="00B50D1E">
        <w:t xml:space="preserve"> </w:t>
      </w:r>
      <w:r w:rsidRPr="00347553">
        <w:t xml:space="preserve">The persistence of </w:t>
      </w:r>
      <w:r w:rsidR="00B50D1E">
        <w:t xml:space="preserve">entrenched patriarchal attitudes, and </w:t>
      </w:r>
      <w:r w:rsidRPr="00347553">
        <w:t xml:space="preserve"> discriminatory stereotypes</w:t>
      </w:r>
      <w:r w:rsidR="00B50D1E">
        <w:t xml:space="preserve"> are compounded by</w:t>
      </w:r>
      <w:r w:rsidRPr="00347553">
        <w:t xml:space="preserve"> official declarations made by some public and religious figures concerning the roles and responsibilities of women in the family and in society</w:t>
      </w:r>
      <w:r w:rsidR="00B50D1E">
        <w:t xml:space="preserve"> </w:t>
      </w:r>
      <w:r w:rsidRPr="00347553">
        <w:t xml:space="preserve">which </w:t>
      </w:r>
      <w:r w:rsidR="00B50D1E" w:rsidRPr="00347553">
        <w:t>overstate</w:t>
      </w:r>
      <w:r w:rsidRPr="00347553">
        <w:t xml:space="preserve"> the traditional role </w:t>
      </w:r>
      <w:r w:rsidR="00B50D1E">
        <w:t>they play</w:t>
      </w:r>
      <w:r w:rsidRPr="00347553">
        <w:t xml:space="preserve"> as mothers and wives, undermin</w:t>
      </w:r>
      <w:r w:rsidR="00B50D1E">
        <w:t>ing</w:t>
      </w:r>
      <w:r w:rsidRPr="00347553">
        <w:t xml:space="preserve"> women’s social status, autonomy, educational opportunities and professional careers, </w:t>
      </w:r>
      <w:r w:rsidR="00B50D1E">
        <w:t>and</w:t>
      </w:r>
      <w:r w:rsidRPr="00347553">
        <w:t xml:space="preserve"> constitute an underlying cause of gender-based violence against women. </w:t>
      </w:r>
      <w:r w:rsidR="00EF3486">
        <w:t xml:space="preserve">Violence against women </w:t>
      </w:r>
      <w:r w:rsidR="00BE6EEB">
        <w:t>from</w:t>
      </w:r>
      <w:r w:rsidR="00EF3486">
        <w:t xml:space="preserve"> minority groups is </w:t>
      </w:r>
      <w:r w:rsidR="00BE6EEB">
        <w:t xml:space="preserve">of </w:t>
      </w:r>
      <w:r w:rsidR="00EF3486">
        <w:t xml:space="preserve">particular concern. </w:t>
      </w:r>
      <w:r w:rsidR="002E7AC7" w:rsidRPr="00347553">
        <w:t xml:space="preserve">Online violence against women and girls is </w:t>
      </w:r>
      <w:r w:rsidR="002E7AC7">
        <w:t xml:space="preserve">also </w:t>
      </w:r>
      <w:r w:rsidR="002E7AC7" w:rsidRPr="00347553">
        <w:t>an emerging issue in the country</w:t>
      </w:r>
      <w:r w:rsidR="002E7AC7">
        <w:t xml:space="preserve">. </w:t>
      </w:r>
    </w:p>
    <w:p w14:paraId="5EAF1B91" w14:textId="44317FD1"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Türkiye, like other countries across the globe, was significantly impacted by the COVID-19 pandemic.</w:t>
      </w:r>
      <w:r w:rsidR="00E609BB">
        <w:t xml:space="preserve">  To respond to these challenges, the ALO 183 H</w:t>
      </w:r>
      <w:r w:rsidR="00E609BB" w:rsidRPr="009207D3">
        <w:t>elpline</w:t>
      </w:r>
      <w:r w:rsidR="00E609BB">
        <w:t xml:space="preserve"> </w:t>
      </w:r>
      <w:r w:rsidR="00E609BB" w:rsidRPr="009207D3">
        <w:t xml:space="preserve">was </w:t>
      </w:r>
      <w:r w:rsidR="00E609BB">
        <w:t>expanded to reduce response waiting times for victims seeking support, and 71 facilities in 49 provinces were used as shelters during the pandemic.</w:t>
      </w:r>
      <w:r w:rsidR="009207D3">
        <w:t xml:space="preserve">, </w:t>
      </w:r>
      <w:r w:rsidR="0053501A">
        <w:t>F</w:t>
      </w:r>
      <w:r w:rsidRPr="00347553">
        <w:t xml:space="preserve">ewer police interventions and the </w:t>
      </w:r>
      <w:r w:rsidR="00EF4579">
        <w:t>limited access to</w:t>
      </w:r>
      <w:r w:rsidRPr="00347553">
        <w:t xml:space="preserve"> courts and essential services for </w:t>
      </w:r>
      <w:r w:rsidRPr="00472720">
        <w:rPr>
          <w:rStyle w:val="NoneB"/>
          <w:lang w:val="en-GB"/>
        </w:rPr>
        <w:t>victims</w:t>
      </w:r>
      <w:r w:rsidRPr="00347553">
        <w:t xml:space="preserve"> have emboldened perpetrators and aggravated risks faced by women and girls. The economic impact has also disproportionately affected women.</w:t>
      </w:r>
      <w:r w:rsidR="00C24BCA" w:rsidRPr="00C24BCA">
        <w:t xml:space="preserve"> </w:t>
      </w:r>
    </w:p>
    <w:p w14:paraId="5B80F738" w14:textId="3AD65053" w:rsidR="00CF69A7" w:rsidRPr="00347553" w:rsidRDefault="00CF69A7" w:rsidP="00C22292">
      <w:pPr>
        <w:pStyle w:val="H1G"/>
        <w:numPr>
          <w:ilvl w:val="0"/>
          <w:numId w:val="7"/>
        </w:numPr>
        <w:tabs>
          <w:tab w:val="clear" w:pos="851"/>
          <w:tab w:val="left" w:pos="1701"/>
        </w:tabs>
        <w:ind w:hanging="513"/>
      </w:pPr>
      <w:r w:rsidRPr="00347553">
        <w:t>Femicide or gender-related killings of women</w:t>
      </w:r>
    </w:p>
    <w:p w14:paraId="6A3DC7B8" w14:textId="3A014480" w:rsidR="00FE42AC"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According to government sources, at least </w:t>
      </w:r>
      <w:r w:rsidRPr="0057336E">
        <w:t xml:space="preserve">3,175 femicides have been reported in Türkiye between 2010 </w:t>
      </w:r>
      <w:r w:rsidRPr="00472720">
        <w:rPr>
          <w:rStyle w:val="NoneB"/>
          <w:lang w:val="en-GB"/>
        </w:rPr>
        <w:t>and</w:t>
      </w:r>
      <w:r w:rsidRPr="0057336E">
        <w:t xml:space="preserve"> 2020 and more than 300 </w:t>
      </w:r>
      <w:r w:rsidRPr="00347553">
        <w:t xml:space="preserve">women were murdered in 2021, mostly by their intimate or former </w:t>
      </w:r>
      <w:r w:rsidRPr="00472720">
        <w:rPr>
          <w:rStyle w:val="NoneB"/>
          <w:lang w:val="en-GB"/>
        </w:rPr>
        <w:t>intimate</w:t>
      </w:r>
      <w:r w:rsidRPr="00347553">
        <w:t xml:space="preserve"> partners or husbands or members of their families. The actual numbers are estimated to be much higher</w:t>
      </w:r>
      <w:r w:rsidR="0053501A">
        <w:t xml:space="preserve"> due to</w:t>
      </w:r>
      <w:r w:rsidR="00B37047">
        <w:t xml:space="preserve"> </w:t>
      </w:r>
      <w:r w:rsidRPr="00347553">
        <w:t>widespread underreporting</w:t>
      </w:r>
      <w:r w:rsidR="00FE42AC" w:rsidRPr="00347553">
        <w:t>.</w:t>
      </w:r>
    </w:p>
    <w:p w14:paraId="17AC71AA" w14:textId="0C36A0C8" w:rsidR="00CF69A7" w:rsidRPr="00723365"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t xml:space="preserve">The Special Rapporteur notes that in many cases of killings committed by former or current intimate </w:t>
      </w:r>
      <w:r w:rsidRPr="00472720">
        <w:rPr>
          <w:rStyle w:val="NoneB"/>
          <w:lang w:val="en-GB"/>
        </w:rPr>
        <w:t>partners</w:t>
      </w:r>
      <w:r w:rsidRPr="00347553">
        <w:t xml:space="preserve">, the victims had previously reported acts of violence to the police but had not been provided with adequate and effective protection. </w:t>
      </w:r>
      <w:r w:rsidRPr="00347553">
        <w:rPr>
          <w:lang w:val="en-US"/>
        </w:rPr>
        <w:t xml:space="preserve">  Many crimes against women and girls, including femicide are, committed in the name of so-called “honour”</w:t>
      </w:r>
      <w:r w:rsidR="00AC370B">
        <w:rPr>
          <w:lang w:val="en-US"/>
        </w:rPr>
        <w:t>.</w:t>
      </w:r>
      <w:r w:rsidR="00B50D1E">
        <w:rPr>
          <w:lang w:val="en-US"/>
        </w:rPr>
        <w:t xml:space="preserve"> </w:t>
      </w:r>
      <w:r w:rsidRPr="00347553">
        <w:rPr>
          <w:lang w:val="en-US"/>
        </w:rPr>
        <w:t xml:space="preserve"> </w:t>
      </w:r>
      <w:r w:rsidR="00AC370B">
        <w:rPr>
          <w:lang w:val="en-US"/>
        </w:rPr>
        <w:t>R</w:t>
      </w:r>
      <w:r w:rsidRPr="00347553">
        <w:rPr>
          <w:lang w:val="en-US"/>
        </w:rPr>
        <w:t xml:space="preserve">eports of </w:t>
      </w:r>
      <w:r w:rsidR="00B50D1E" w:rsidRPr="00347553">
        <w:t xml:space="preserve">suspicious deaths and </w:t>
      </w:r>
      <w:r w:rsidR="00AC370B">
        <w:t xml:space="preserve">forced </w:t>
      </w:r>
      <w:r w:rsidR="00B50D1E" w:rsidRPr="00347553">
        <w:t xml:space="preserve">suicides </w:t>
      </w:r>
      <w:r w:rsidR="00AC370B">
        <w:t>among</w:t>
      </w:r>
      <w:r w:rsidR="00B50D1E" w:rsidRPr="00347553">
        <w:t xml:space="preserve"> women and girls</w:t>
      </w:r>
      <w:r w:rsidR="00AC370B">
        <w:t xml:space="preserve"> is</w:t>
      </w:r>
      <w:r w:rsidR="00B50D1E">
        <w:t xml:space="preserve"> </w:t>
      </w:r>
      <w:r w:rsidRPr="00347553">
        <w:rPr>
          <w:lang w:val="en-US"/>
        </w:rPr>
        <w:t>particularly concerning.</w:t>
      </w:r>
      <w:r w:rsidR="00AC370B">
        <w:rPr>
          <w:rStyle w:val="FootnoteReference"/>
          <w:lang w:val="en-US"/>
        </w:rPr>
        <w:footnoteReference w:id="5"/>
      </w:r>
      <w:r w:rsidRPr="00347553">
        <w:rPr>
          <w:lang w:val="en-US"/>
        </w:rPr>
        <w:t xml:space="preserve"> </w:t>
      </w:r>
      <w:r w:rsidR="00A763F1" w:rsidRPr="00A763F1">
        <w:t xml:space="preserve"> </w:t>
      </w:r>
      <w:r w:rsidR="00AD7976" w:rsidRPr="00FE29FB">
        <w:t xml:space="preserve">In its judgement number 2010/111 of 11 May 2010, the General Assembly of the Court of Appeals attempted to resolve this ambiguity by introducing three standards: (1) the perpetrator acts with the ‘belief of having a duty’ in the crime of so-called ‘custom’, (2) ‘unjust provocation’ cannot be applied if the crime is committed in the name of ‘custom’, and (3) in case of provocation, the crime’s qualified form shall be changed to so-called ‘honour killing’. However, the Supreme Court of Appeals </w:t>
      </w:r>
      <w:r w:rsidR="0053501A" w:rsidRPr="00FE29FB">
        <w:t>found</w:t>
      </w:r>
      <w:r w:rsidR="00AD7976" w:rsidRPr="00FE29FB">
        <w:t xml:space="preserve"> it difficult to </w:t>
      </w:r>
      <w:r w:rsidR="0053501A" w:rsidRPr="00FE29FB">
        <w:t>establish a standard for the determination of the content of murder in the name of ‘honor’since there was no standard for the application of ‘unjust provocation provisions in such conditions</w:t>
      </w:r>
      <w:proofErr w:type="gramStart"/>
      <w:r w:rsidR="0053501A" w:rsidRPr="00FE29FB">
        <w:t>’</w:t>
      </w:r>
      <w:r w:rsidR="0053501A">
        <w:t xml:space="preserve"> </w:t>
      </w:r>
      <w:r w:rsidR="00AD7976" w:rsidRPr="00AD7976">
        <w:t>.</w:t>
      </w:r>
      <w:proofErr w:type="gramEnd"/>
      <w:r w:rsidR="00AD7976">
        <w:rPr>
          <w:rStyle w:val="FootnoteReference"/>
        </w:rPr>
        <w:footnoteReference w:id="6"/>
      </w:r>
    </w:p>
    <w:p w14:paraId="4D914DA4" w14:textId="5FBE12E4" w:rsidR="00CF69A7" w:rsidRPr="00347553" w:rsidRDefault="00CF69A7" w:rsidP="00C22292">
      <w:pPr>
        <w:pStyle w:val="H1G"/>
        <w:numPr>
          <w:ilvl w:val="0"/>
          <w:numId w:val="7"/>
        </w:numPr>
        <w:tabs>
          <w:tab w:val="clear" w:pos="851"/>
          <w:tab w:val="right" w:pos="567"/>
          <w:tab w:val="left" w:pos="1701"/>
        </w:tabs>
        <w:ind w:left="1134" w:hanging="513"/>
        <w:rPr>
          <w:rStyle w:val="NoneB"/>
          <w:b w:val="0"/>
          <w:bCs/>
          <w:szCs w:val="24"/>
        </w:rPr>
      </w:pPr>
      <w:r w:rsidRPr="00347553">
        <w:rPr>
          <w:rStyle w:val="NoneB"/>
          <w:bCs/>
          <w:szCs w:val="24"/>
        </w:rPr>
        <w:t>Domestic violence</w:t>
      </w:r>
    </w:p>
    <w:p w14:paraId="02B1D6C0" w14:textId="26C2E263" w:rsidR="00A522DE" w:rsidRDefault="00A522DE"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C04276">
        <w:t xml:space="preserve">Domestic violence continues to pervade society in </w:t>
      </w:r>
      <w:r>
        <w:t>Türkiye</w:t>
      </w:r>
      <w:r w:rsidRPr="00C04276">
        <w:t>, with</w:t>
      </w:r>
      <w:r w:rsidRPr="00347553">
        <w:t xml:space="preserve"> incidents recorded by the police over the past six years</w:t>
      </w:r>
      <w:r>
        <w:t xml:space="preserve"> indicating</w:t>
      </w:r>
      <w:r w:rsidRPr="00347553">
        <w:t xml:space="preserve"> a steady rise. In 2016 there were 162,110 recorded incidents and this had risen to 268,817 incidents in 2021.</w:t>
      </w:r>
      <w:r>
        <w:rPr>
          <w:rStyle w:val="FootnoteReference"/>
        </w:rPr>
        <w:footnoteReference w:id="7"/>
      </w:r>
      <w:r w:rsidRPr="00347553">
        <w:t xml:space="preserve">  </w:t>
      </w:r>
    </w:p>
    <w:p w14:paraId="24DAB3AB" w14:textId="7C8AC718"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bookmarkStart w:id="1" w:name="_Hlk129957969"/>
      <w:r w:rsidRPr="00347553">
        <w:lastRenderedPageBreak/>
        <w:t>Domestic violence</w:t>
      </w:r>
      <w:r w:rsidR="00B37047">
        <w:t xml:space="preserve"> is </w:t>
      </w:r>
      <w:r w:rsidRPr="00347553">
        <w:t xml:space="preserve">still considered mostly a private matter and not an issue of public concern in most parts of the country. </w:t>
      </w:r>
      <w:r w:rsidR="0053501A">
        <w:t>I</w:t>
      </w:r>
      <w:r w:rsidRPr="00347553">
        <w:t>ncidence</w:t>
      </w:r>
      <w:r w:rsidR="0053501A">
        <w:t>s</w:t>
      </w:r>
      <w:r w:rsidRPr="00347553">
        <w:t xml:space="preserve"> of domestic violence </w:t>
      </w:r>
      <w:r w:rsidR="0053501A">
        <w:t>are</w:t>
      </w:r>
      <w:r w:rsidRPr="00347553">
        <w:t xml:space="preserve"> still underreported, owing in part to the lack of public awareness about this problem, fear of retaliation and stigmatization, the lack of trust in law </w:t>
      </w:r>
      <w:r w:rsidRPr="00472720">
        <w:rPr>
          <w:rStyle w:val="NoneB"/>
          <w:lang w:val="en-GB"/>
        </w:rPr>
        <w:t>enforcement</w:t>
      </w:r>
      <w:r w:rsidRPr="00347553">
        <w:t xml:space="preserve"> agencies and the low quality of existing services and protection mechanisms for victims of violence.</w:t>
      </w:r>
      <w:r w:rsidR="002E4992" w:rsidRPr="002E4992">
        <w:t xml:space="preserve"> </w:t>
      </w:r>
    </w:p>
    <w:bookmarkEnd w:id="1"/>
    <w:p w14:paraId="752B6349" w14:textId="7304D47C" w:rsidR="00CF69A7" w:rsidRPr="0057336E"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57336E">
        <w:t xml:space="preserve">The dissemination of a new circular in April 2022 by the Ministry of Interior outlining a range of measures to combat domestic violence is a welcome development. It includes establishing local risk management teams to monitor threats to victims of recurrent domestic violence </w:t>
      </w:r>
      <w:r w:rsidRPr="00472720">
        <w:rPr>
          <w:rStyle w:val="NoneB"/>
          <w:lang w:val="en-GB"/>
        </w:rPr>
        <w:t>and</w:t>
      </w:r>
      <w:r w:rsidRPr="0057336E">
        <w:t xml:space="preserve"> those at high risk, creating a system of instant notification to the police when convicted perpetrators of domestic violence are released from prison, increasing the use of electronic tags to be worn by perpetrators, providing more training for police officers, and increasing financial resources.</w:t>
      </w:r>
      <w:r w:rsidRPr="0057336E">
        <w:rPr>
          <w:rStyle w:val="FootnoteReference"/>
        </w:rPr>
        <w:footnoteReference w:id="8"/>
      </w:r>
      <w:r w:rsidRPr="0057336E">
        <w:t xml:space="preserve"> </w:t>
      </w:r>
      <w:r w:rsidR="002E4992" w:rsidRPr="002E4992">
        <w:t xml:space="preserve">In 2022, Violence Prevention and Monitoring Centres </w:t>
      </w:r>
      <w:r w:rsidR="002E4992">
        <w:t xml:space="preserve">were accessed by </w:t>
      </w:r>
      <w:r w:rsidR="002E4992" w:rsidRPr="002E4992">
        <w:t>256.507 women and 16.230 children</w:t>
      </w:r>
      <w:r w:rsidR="002E4992">
        <w:t xml:space="preserve">. </w:t>
      </w:r>
      <w:r w:rsidR="002E4992" w:rsidRPr="002E4992">
        <w:t xml:space="preserve"> </w:t>
      </w:r>
    </w:p>
    <w:p w14:paraId="63D09F78" w14:textId="5E16F66F" w:rsidR="00CF69A7" w:rsidRPr="00347553" w:rsidRDefault="00CF69A7" w:rsidP="00C22292">
      <w:pPr>
        <w:pStyle w:val="H1G"/>
        <w:numPr>
          <w:ilvl w:val="0"/>
          <w:numId w:val="7"/>
        </w:numPr>
        <w:tabs>
          <w:tab w:val="clear" w:pos="851"/>
          <w:tab w:val="right" w:pos="567"/>
          <w:tab w:val="left" w:pos="1701"/>
        </w:tabs>
        <w:ind w:left="1134" w:hanging="567"/>
        <w:rPr>
          <w:rStyle w:val="NoneB"/>
          <w:rFonts w:eastAsiaTheme="minorHAnsi"/>
          <w:b w:val="0"/>
          <w:szCs w:val="24"/>
          <w:lang w:val="en-GB"/>
        </w:rPr>
      </w:pPr>
      <w:r w:rsidRPr="0028582B">
        <w:rPr>
          <w:rStyle w:val="NoneB"/>
          <w:bCs/>
          <w:szCs w:val="24"/>
        </w:rPr>
        <w:t>Sexual</w:t>
      </w:r>
      <w:r w:rsidRPr="00347553">
        <w:rPr>
          <w:rFonts w:eastAsiaTheme="minorHAnsi"/>
        </w:rPr>
        <w:t xml:space="preserve"> violence and sexual harassment (including in the workplace)</w:t>
      </w:r>
    </w:p>
    <w:p w14:paraId="55829FDA" w14:textId="1B588120"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According to data received 12% of all married women in </w:t>
      </w:r>
      <w:r w:rsidR="00E12698" w:rsidRPr="00347553">
        <w:t>Türk</w:t>
      </w:r>
      <w:r w:rsidR="00E12698">
        <w:t>i</w:t>
      </w:r>
      <w:r w:rsidR="00E12698" w:rsidRPr="00347553">
        <w:t>ye</w:t>
      </w:r>
      <w:r w:rsidRPr="00347553">
        <w:t xml:space="preserve"> stated that they experienced sexual </w:t>
      </w:r>
      <w:r w:rsidRPr="00472720">
        <w:rPr>
          <w:rStyle w:val="NoneB"/>
          <w:lang w:val="en-GB"/>
        </w:rPr>
        <w:t>violence</w:t>
      </w:r>
      <w:r w:rsidRPr="00347553">
        <w:t xml:space="preserve"> at any time in their lifetime and 5% of them in 20</w:t>
      </w:r>
      <w:r w:rsidR="002E4992">
        <w:t>14</w:t>
      </w:r>
      <w:r w:rsidRPr="00347553">
        <w:t>.</w:t>
      </w:r>
      <w:r w:rsidRPr="00347553">
        <w:rPr>
          <w:rStyle w:val="FootnoteReference"/>
        </w:rPr>
        <w:footnoteReference w:id="9"/>
      </w:r>
      <w:r w:rsidRPr="00347553">
        <w:t xml:space="preserve"> Sexual violence within intimate partner relationships is still largely a taboo subject, with low levels of reporting. When intimate partner sexual abuse is reported, it is often less likely to result in prosecutions and convictions than assault by a stranger. </w:t>
      </w:r>
    </w:p>
    <w:p w14:paraId="26D0F1D8" w14:textId="2D5E67A4"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During her visit the Special Rapporteur was informed of the significant efforts being made to afford women and girls economic independence, in line with the 2018-2023 Strategic Paper and Action Plan on Women</w:t>
      </w:r>
      <w:r w:rsidR="00EF3486">
        <w:t>’</w:t>
      </w:r>
      <w:r w:rsidRPr="00347553">
        <w:t xml:space="preserve">s empowerment. Efforts being made in some provinces is laudable, and some women and girls are benefiting greatly from the programmes that </w:t>
      </w:r>
      <w:r w:rsidRPr="00472720">
        <w:rPr>
          <w:rStyle w:val="NoneB"/>
          <w:lang w:val="en-GB"/>
        </w:rPr>
        <w:t>have</w:t>
      </w:r>
      <w:r w:rsidRPr="00347553">
        <w:t xml:space="preserve"> been established, including through cooperatives, which are providing them with the opportunity to earn a living independent of their spouse or partner, including for rural women. </w:t>
      </w:r>
      <w:r w:rsidR="00E12698" w:rsidRPr="00347553">
        <w:t>The Special Rapporteur was also encouraged by the Government’s commitment to recognize unpaid care work</w:t>
      </w:r>
      <w:r w:rsidR="00E12698">
        <w:t>.</w:t>
      </w:r>
    </w:p>
    <w:p w14:paraId="38DAB3ED" w14:textId="19BACF34"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For those women and girls already included in the workforce, ratification of the International Labour Organisation Convention 190 on sexual harassment in the workplace would provide the necessary basis for legislation to protect women and girls from physical, </w:t>
      </w:r>
      <w:proofErr w:type="gramStart"/>
      <w:r w:rsidRPr="00347553">
        <w:t>psychological</w:t>
      </w:r>
      <w:proofErr w:type="gramEnd"/>
      <w:r w:rsidRPr="00347553">
        <w:t xml:space="preserve"> and sexual violence at work. While relevant laws protect women against sexual harassment, exploitation and abuse at the workplace, enforcement is still problematic. Trade unions, particularly the women’s groups within these unions, are however doing important work to raise awareness, advocacy and pursue concrete actions to address the issue of sexual harassment and abuse and the wider issue of gender-based violence in the workplace, including through their active engagement with the Committee to Combat Mobbing within the Ministry of Labour</w:t>
      </w:r>
      <w:r w:rsidR="00E12698">
        <w:t xml:space="preserve">. </w:t>
      </w:r>
    </w:p>
    <w:p w14:paraId="39355760" w14:textId="2EABC274"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rPr>
          <w:rStyle w:val="NoneB"/>
        </w:rPr>
        <w:t>Although public awareness on violence against women</w:t>
      </w:r>
      <w:r w:rsidR="0053501A">
        <w:rPr>
          <w:rStyle w:val="NoneB"/>
        </w:rPr>
        <w:t xml:space="preserve"> </w:t>
      </w:r>
      <w:r w:rsidRPr="00347553">
        <w:rPr>
          <w:rStyle w:val="NoneB"/>
        </w:rPr>
        <w:t xml:space="preserve">has increased in recent years, there remain harmful stereotypes about sexual harassment </w:t>
      </w:r>
      <w:r w:rsidR="00C346A8">
        <w:rPr>
          <w:rStyle w:val="NoneB"/>
        </w:rPr>
        <w:t>often</w:t>
      </w:r>
      <w:r w:rsidRPr="00347553">
        <w:rPr>
          <w:rStyle w:val="NoneB"/>
        </w:rPr>
        <w:t xml:space="preserve"> resulting in victims being blamed</w:t>
      </w:r>
      <w:r w:rsidR="00C346A8">
        <w:rPr>
          <w:rStyle w:val="NoneB"/>
        </w:rPr>
        <w:t>.</w:t>
      </w:r>
      <w:r w:rsidRPr="00347553">
        <w:rPr>
          <w:rStyle w:val="NoneB"/>
        </w:rPr>
        <w:t xml:space="preserve"> While the Special Rapporteur welcomes the amendments to the Labour Law to prohibit harassmen</w:t>
      </w:r>
      <w:r w:rsidR="00C346A8">
        <w:rPr>
          <w:rStyle w:val="NoneB"/>
        </w:rPr>
        <w:t>t in the workplace</w:t>
      </w:r>
      <w:r w:rsidRPr="00347553">
        <w:rPr>
          <w:rStyle w:val="NoneB"/>
        </w:rPr>
        <w:t xml:space="preserve"> much work is needed to implement them fully.</w:t>
      </w:r>
      <w:r w:rsidR="003F0DFB">
        <w:rPr>
          <w:rStyle w:val="NoneB"/>
        </w:rPr>
        <w:t xml:space="preserve"> </w:t>
      </w:r>
      <w:r w:rsidR="00C346A8">
        <w:rPr>
          <w:rStyle w:val="NoneB"/>
        </w:rPr>
        <w:t>Sexual h</w:t>
      </w:r>
      <w:r w:rsidRPr="00347553">
        <w:rPr>
          <w:rStyle w:val="NoneB"/>
        </w:rPr>
        <w:t xml:space="preserve">arassment in public </w:t>
      </w:r>
      <w:r w:rsidR="00C346A8">
        <w:rPr>
          <w:rStyle w:val="NoneB"/>
        </w:rPr>
        <w:t xml:space="preserve">spaces </w:t>
      </w:r>
      <w:r w:rsidRPr="00347553">
        <w:rPr>
          <w:rStyle w:val="NoneB"/>
        </w:rPr>
        <w:t xml:space="preserve">is also not sufficiently addressed. </w:t>
      </w:r>
    </w:p>
    <w:p w14:paraId="4E65D444" w14:textId="7A1E19D9" w:rsidR="00CF69A7" w:rsidRPr="00347553" w:rsidRDefault="00CF69A7" w:rsidP="00C22292">
      <w:pPr>
        <w:pStyle w:val="H1G"/>
        <w:numPr>
          <w:ilvl w:val="0"/>
          <w:numId w:val="7"/>
        </w:numPr>
        <w:tabs>
          <w:tab w:val="clear" w:pos="851"/>
          <w:tab w:val="right" w:pos="567"/>
          <w:tab w:val="left" w:pos="1701"/>
        </w:tabs>
        <w:ind w:left="1134" w:hanging="567"/>
        <w:rPr>
          <w:rStyle w:val="NoneB"/>
          <w:b w:val="0"/>
          <w:sz w:val="20"/>
          <w:lang w:val="en-GB"/>
        </w:rPr>
      </w:pPr>
      <w:r w:rsidRPr="00F73335">
        <w:rPr>
          <w:rStyle w:val="NoneB"/>
          <w:bCs/>
          <w:szCs w:val="24"/>
        </w:rPr>
        <w:t>Violence</w:t>
      </w:r>
      <w:r w:rsidRPr="00347553">
        <w:t xml:space="preserve"> against women in politics </w:t>
      </w:r>
    </w:p>
    <w:p w14:paraId="338D1F1A" w14:textId="0E4F9756" w:rsidR="00CF69A7" w:rsidRPr="00347553" w:rsidRDefault="00B3704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rPr>
          <w:rStyle w:val="NoneB"/>
        </w:rPr>
        <w:t>According</w:t>
      </w:r>
      <w:r w:rsidR="00CF69A7" w:rsidRPr="00347553">
        <w:rPr>
          <w:rStyle w:val="NoneB"/>
        </w:rPr>
        <w:t xml:space="preserve"> to statistics provided by the General Directorate on the Status of Women the number of women Members of Parliament in the general elections held on 7 June 2015 was 98, with the representation rate of 17.82 per cent. In the general elections held on 24 </w:t>
      </w:r>
      <w:r w:rsidR="00CF69A7" w:rsidRPr="00347553">
        <w:rPr>
          <w:rStyle w:val="NoneB"/>
        </w:rPr>
        <w:lastRenderedPageBreak/>
        <w:t>June 2018, the number of women MPs and the representation rate in the parliament were 104 and 17,45 per cent respectively. In the current Presidential System of Government that entered into force with the 24 June 2018 elections, o</w:t>
      </w:r>
      <w:r w:rsidR="0030434E">
        <w:rPr>
          <w:rStyle w:val="NoneB"/>
        </w:rPr>
        <w:t>ne</w:t>
      </w:r>
      <w:r w:rsidR="00CF69A7" w:rsidRPr="00347553">
        <w:rPr>
          <w:rStyle w:val="NoneB"/>
        </w:rPr>
        <w:t xml:space="preserve"> female minister (5</w:t>
      </w:r>
      <w:r w:rsidR="0030434E">
        <w:rPr>
          <w:rStyle w:val="NoneB"/>
        </w:rPr>
        <w:t>,88</w:t>
      </w:r>
      <w:r w:rsidR="00CF69A7" w:rsidRPr="00347553">
        <w:rPr>
          <w:rStyle w:val="NoneB"/>
        </w:rPr>
        <w:t xml:space="preserve"> per cent) </w:t>
      </w:r>
      <w:proofErr w:type="gramStart"/>
      <w:r w:rsidR="00CF69A7" w:rsidRPr="00347553">
        <w:rPr>
          <w:rStyle w:val="NoneB"/>
        </w:rPr>
        <w:t>serve</w:t>
      </w:r>
      <w:proofErr w:type="gramEnd"/>
      <w:r w:rsidR="00CF69A7" w:rsidRPr="00347553">
        <w:rPr>
          <w:rStyle w:val="NoneB"/>
        </w:rPr>
        <w:t xml:space="preserve"> in the cabinet. Furthermore, there are </w:t>
      </w:r>
      <w:r w:rsidR="0030434E">
        <w:rPr>
          <w:rStyle w:val="NoneB"/>
        </w:rPr>
        <w:t>three</w:t>
      </w:r>
      <w:r w:rsidR="00CF69A7" w:rsidRPr="00347553">
        <w:rPr>
          <w:rStyle w:val="NoneB"/>
        </w:rPr>
        <w:t xml:space="preserve"> (</w:t>
      </w:r>
      <w:r w:rsidR="0030434E">
        <w:rPr>
          <w:rStyle w:val="NoneB"/>
        </w:rPr>
        <w:t>5</w:t>
      </w:r>
      <w:r w:rsidR="00CF69A7" w:rsidRPr="00347553">
        <w:rPr>
          <w:rStyle w:val="NoneB"/>
        </w:rPr>
        <w:t>,</w:t>
      </w:r>
      <w:r w:rsidR="0030434E">
        <w:rPr>
          <w:rStyle w:val="NoneB"/>
        </w:rPr>
        <w:t>08</w:t>
      </w:r>
      <w:r w:rsidR="00CF69A7" w:rsidRPr="00347553">
        <w:rPr>
          <w:rStyle w:val="NoneB"/>
        </w:rPr>
        <w:t xml:space="preserve"> per cent) Deputy Ministers in the Ministries. </w:t>
      </w:r>
    </w:p>
    <w:p w14:paraId="47EEFF96" w14:textId="6A8A90AA"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Style w:val="NoneB"/>
        </w:rPr>
        <w:t xml:space="preserve">One of the main barriers preventing women from participating in political and public life is the risk of being subjected to gendered violence or harassment. While there is lack of solid evidence base on its root causes, </w:t>
      </w:r>
      <w:proofErr w:type="gramStart"/>
      <w:r w:rsidRPr="00347553">
        <w:rPr>
          <w:rStyle w:val="NoneB"/>
        </w:rPr>
        <w:t>manifestations</w:t>
      </w:r>
      <w:proofErr w:type="gramEnd"/>
      <w:r w:rsidRPr="00347553">
        <w:rPr>
          <w:rStyle w:val="NoneB"/>
        </w:rPr>
        <w:t xml:space="preserve"> and consequences in Türkiye, testimonies by women in public positions reveal widespread online and offline violence cutting across party and other lines. Acts of such violence tend to be treated as isolated incidents rather than manifestations of widespread, structural discrimination against women in political and public life. </w:t>
      </w:r>
      <w:r w:rsidR="0064563B">
        <w:rPr>
          <w:rStyle w:val="FootnoteReference"/>
          <w:lang w:val="en-US"/>
        </w:rPr>
        <w:footnoteReference w:id="10"/>
      </w:r>
    </w:p>
    <w:p w14:paraId="36D000D9" w14:textId="40E55F37" w:rsidR="00CF69A7" w:rsidRPr="00347553" w:rsidRDefault="00CF69A7" w:rsidP="00C22292">
      <w:pPr>
        <w:pStyle w:val="H1G"/>
        <w:numPr>
          <w:ilvl w:val="0"/>
          <w:numId w:val="7"/>
        </w:numPr>
        <w:tabs>
          <w:tab w:val="clear" w:pos="851"/>
          <w:tab w:val="right" w:pos="1276"/>
          <w:tab w:val="left" w:pos="1701"/>
        </w:tabs>
        <w:ind w:hanging="513"/>
        <w:rPr>
          <w:rStyle w:val="NoneB"/>
          <w:b w:val="0"/>
          <w:bCs/>
          <w:szCs w:val="24"/>
        </w:rPr>
      </w:pPr>
      <w:r w:rsidRPr="00F73335">
        <w:t>Child</w:t>
      </w:r>
      <w:r w:rsidRPr="00347553">
        <w:rPr>
          <w:rStyle w:val="NoneB"/>
          <w:bCs/>
          <w:szCs w:val="24"/>
        </w:rPr>
        <w:t xml:space="preserve"> marriage</w:t>
      </w:r>
    </w:p>
    <w:p w14:paraId="64BD5920" w14:textId="60DCBE92"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lang w:val="en-US"/>
        </w:rPr>
        <w:t xml:space="preserve">Harmful practices, such as forced and early marriage </w:t>
      </w:r>
      <w:r w:rsidR="00C346A8">
        <w:rPr>
          <w:lang w:val="en-US"/>
        </w:rPr>
        <w:t>pose</w:t>
      </w:r>
      <w:r w:rsidRPr="00347553">
        <w:rPr>
          <w:lang w:val="en-US"/>
        </w:rPr>
        <w:t xml:space="preserve"> a barrier </w:t>
      </w:r>
      <w:r w:rsidR="00C346A8">
        <w:rPr>
          <w:lang w:val="en-US"/>
        </w:rPr>
        <w:t>to</w:t>
      </w:r>
      <w:r w:rsidRPr="00347553">
        <w:rPr>
          <w:lang w:val="en-US"/>
        </w:rPr>
        <w:t xml:space="preserve"> the advancement of women in the country and increase the risk of violence against girls. The legal age of marriage is 18 under the Civil Code, however exceptions are allowed for marriages at the age of 17 (Articles 11 and 124 Turkish Civil Code) with approval of the parents or guardians and, </w:t>
      </w:r>
      <w:r w:rsidRPr="00472720">
        <w:rPr>
          <w:rStyle w:val="NoneB"/>
          <w:lang w:val="en-GB"/>
        </w:rPr>
        <w:t>in</w:t>
      </w:r>
      <w:r w:rsidRPr="00347553">
        <w:rPr>
          <w:lang w:val="en-US"/>
        </w:rPr>
        <w:t xml:space="preserve"> exceptional circumstances, at the age of 16</w:t>
      </w:r>
      <w:r w:rsidR="009B0B60">
        <w:rPr>
          <w:lang w:val="en-US"/>
        </w:rPr>
        <w:t xml:space="preserve"> </w:t>
      </w:r>
      <w:r w:rsidRPr="00347553">
        <w:rPr>
          <w:lang w:val="en-US"/>
        </w:rPr>
        <w:t xml:space="preserve">with the approval of a judge. Religious marriages conducted by sheikhs or imams are not recognized by the Turkish authorities, </w:t>
      </w:r>
      <w:r w:rsidR="00EF3486">
        <w:rPr>
          <w:lang w:val="en-US"/>
        </w:rPr>
        <w:t>though they are tolerated</w:t>
      </w:r>
      <w:r w:rsidRPr="00347553">
        <w:rPr>
          <w:lang w:val="en-US"/>
        </w:rPr>
        <w:t>.</w:t>
      </w:r>
      <w:r w:rsidRPr="00347553">
        <w:rPr>
          <w:rStyle w:val="FootnoteReference"/>
          <w:lang w:val="en-US"/>
        </w:rPr>
        <w:footnoteReference w:id="11"/>
      </w:r>
      <w:r w:rsidRPr="00347553">
        <w:rPr>
          <w:lang w:val="en-US"/>
        </w:rPr>
        <w:t xml:space="preserve"> </w:t>
      </w:r>
    </w:p>
    <w:p w14:paraId="630D447D" w14:textId="76755D8A" w:rsidR="00FE42AC"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lang w:val="en-US"/>
        </w:rPr>
        <w:t>A 2014 study commissioned by the Turkish Government demonstrated that more than 26% of women reported having been married before the age of 18 and almost 20% of those who were married as a child reported that they were compelled to do so and had not consented</w:t>
      </w:r>
      <w:r w:rsidRPr="00347553">
        <w:rPr>
          <w:rStyle w:val="FootnoteReference"/>
          <w:lang w:val="en-US"/>
        </w:rPr>
        <w:footnoteReference w:id="12"/>
      </w:r>
      <w:r w:rsidRPr="00347553">
        <w:rPr>
          <w:lang w:val="en-US"/>
        </w:rPr>
        <w:t xml:space="preserve">. </w:t>
      </w:r>
      <w:r w:rsidR="00EF3486">
        <w:rPr>
          <w:lang w:val="en-US"/>
        </w:rPr>
        <w:t xml:space="preserve">The practice is particularly widespread amongst Syrian refugees in </w:t>
      </w:r>
      <w:r w:rsidR="00BE6EEB">
        <w:rPr>
          <w:lang w:val="en-US"/>
        </w:rPr>
        <w:t>Türkiye</w:t>
      </w:r>
      <w:r w:rsidR="00EF3486">
        <w:rPr>
          <w:lang w:val="en-US"/>
        </w:rPr>
        <w:t>, in part as an economic coping mechanism</w:t>
      </w:r>
      <w:r w:rsidR="00F62BBA">
        <w:rPr>
          <w:lang w:val="en-US"/>
        </w:rPr>
        <w:t>.</w:t>
      </w:r>
      <w:r w:rsidR="00C03DE4">
        <w:rPr>
          <w:rStyle w:val="FootnoteReference"/>
          <w:lang w:val="en-US"/>
        </w:rPr>
        <w:footnoteReference w:id="13"/>
      </w:r>
    </w:p>
    <w:p w14:paraId="71078BD0" w14:textId="01B6A775"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lang w:val="en-US"/>
        </w:rPr>
        <w:t xml:space="preserve">The National Strategy and Action Plan on the Prevention of Early and Forced Marriage, drafted in 2018 and revised in 2020 has not yet been officially endorsed. However, </w:t>
      </w:r>
      <w:r w:rsidR="008F09AF">
        <w:rPr>
          <w:lang w:val="en-US"/>
        </w:rPr>
        <w:t>in 2022</w:t>
      </w:r>
      <w:r w:rsidRPr="00347553">
        <w:rPr>
          <w:lang w:val="en-US"/>
        </w:rPr>
        <w:t xml:space="preserve"> </w:t>
      </w:r>
      <w:r w:rsidR="008F09AF">
        <w:rPr>
          <w:lang w:val="en-US"/>
        </w:rPr>
        <w:t xml:space="preserve">some </w:t>
      </w:r>
      <w:r w:rsidR="008F09AF" w:rsidRPr="008F09AF">
        <w:rPr>
          <w:lang w:val="en-US"/>
        </w:rPr>
        <w:t xml:space="preserve">140 </w:t>
      </w:r>
      <w:r w:rsidR="008F09AF">
        <w:rPr>
          <w:lang w:val="en-US"/>
        </w:rPr>
        <w:t xml:space="preserve">provincial staff received trainings on supporting implementation of </w:t>
      </w:r>
      <w:r w:rsidRPr="00347553">
        <w:rPr>
          <w:lang w:val="en-US"/>
        </w:rPr>
        <w:t xml:space="preserve">provincial action plans on combating early and forced marriage. </w:t>
      </w:r>
    </w:p>
    <w:p w14:paraId="498B932A" w14:textId="00D93D11" w:rsidR="00CF69A7" w:rsidRPr="00347553" w:rsidRDefault="00CF69A7" w:rsidP="00C22292">
      <w:pPr>
        <w:pStyle w:val="H1G"/>
        <w:numPr>
          <w:ilvl w:val="0"/>
          <w:numId w:val="7"/>
        </w:numPr>
        <w:tabs>
          <w:tab w:val="clear" w:pos="851"/>
          <w:tab w:val="left" w:pos="1701"/>
        </w:tabs>
        <w:ind w:left="1134" w:hanging="513"/>
        <w:rPr>
          <w:rStyle w:val="A5"/>
          <w:rFonts w:cs="Times New Roman"/>
          <w:b w:val="0"/>
          <w:color w:val="auto"/>
          <w:sz w:val="24"/>
          <w:szCs w:val="20"/>
        </w:rPr>
      </w:pPr>
      <w:r w:rsidRPr="00347553">
        <w:t>Trafficking of women and girls</w:t>
      </w:r>
    </w:p>
    <w:p w14:paraId="0A997B9E" w14:textId="0F927C49"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rPr>
      </w:pPr>
      <w:r w:rsidRPr="00347553">
        <w:rPr>
          <w:rStyle w:val="NoneB"/>
        </w:rPr>
        <w:t xml:space="preserve">Türkiye acceded to the </w:t>
      </w:r>
      <w:r w:rsidRPr="00347553">
        <w:t>UN Convention against Transnational Organized Crime (Palermo Protocol)</w:t>
      </w:r>
      <w:r w:rsidR="00C346A8">
        <w:t xml:space="preserve"> in 2003</w:t>
      </w:r>
      <w:r w:rsidRPr="00347553">
        <w:rPr>
          <w:rStyle w:val="NoneB"/>
        </w:rPr>
        <w:t xml:space="preserve"> with </w:t>
      </w:r>
      <w:r w:rsidRPr="00347553">
        <w:rPr>
          <w:rFonts w:eastAsia="Calibri"/>
          <w:spacing w:val="4"/>
          <w:w w:val="103"/>
          <w:kern w:val="14"/>
        </w:rPr>
        <w:t xml:space="preserve">Article 80 of the Turkish Penal Code No. 5237 </w:t>
      </w:r>
      <w:r w:rsidRPr="00347553">
        <w:rPr>
          <w:rStyle w:val="NoneB"/>
          <w:lang w:val="en-GB"/>
        </w:rPr>
        <w:t>providing for</w:t>
      </w:r>
      <w:r w:rsidRPr="00347553">
        <w:rPr>
          <w:rStyle w:val="NoneB"/>
        </w:rPr>
        <w:t xml:space="preserve"> the elements that constitute the crime of trafficking and to prohibit it.  The </w:t>
      </w:r>
      <w:r w:rsidR="00C346A8">
        <w:rPr>
          <w:rStyle w:val="NoneB"/>
        </w:rPr>
        <w:t xml:space="preserve">2016 </w:t>
      </w:r>
      <w:r w:rsidRPr="00347553">
        <w:rPr>
          <w:rStyle w:val="NoneB"/>
        </w:rPr>
        <w:t xml:space="preserve">Regulation on </w:t>
      </w:r>
      <w:r w:rsidRPr="00472720">
        <w:rPr>
          <w:rStyle w:val="NoneB"/>
          <w:lang w:val="en-GB"/>
        </w:rPr>
        <w:t>Combating</w:t>
      </w:r>
      <w:r w:rsidRPr="00347553">
        <w:rPr>
          <w:rStyle w:val="NoneB"/>
        </w:rPr>
        <w:t xml:space="preserve"> Human Trafficking and Protection of Victims has improved the protection of victims in a more systematic manner. Since </w:t>
      </w:r>
      <w:r w:rsidR="00C346A8">
        <w:rPr>
          <w:rStyle w:val="NoneB"/>
        </w:rPr>
        <w:t>then</w:t>
      </w:r>
      <w:r w:rsidR="00723365">
        <w:rPr>
          <w:rStyle w:val="NoneB"/>
        </w:rPr>
        <w:t>,</w:t>
      </w:r>
      <w:r w:rsidRPr="00347553">
        <w:rPr>
          <w:rStyle w:val="NoneB"/>
        </w:rPr>
        <w:t xml:space="preserve"> </w:t>
      </w:r>
      <w:r w:rsidR="00C346A8">
        <w:rPr>
          <w:rStyle w:val="NoneB"/>
        </w:rPr>
        <w:t xml:space="preserve">the </w:t>
      </w:r>
      <w:r w:rsidRPr="00347553">
        <w:rPr>
          <w:rStyle w:val="NoneB"/>
        </w:rPr>
        <w:t xml:space="preserve">capacity </w:t>
      </w:r>
      <w:r w:rsidR="00C346A8">
        <w:rPr>
          <w:rStyle w:val="NoneB"/>
        </w:rPr>
        <w:t>to</w:t>
      </w:r>
      <w:r w:rsidRPr="00347553">
        <w:rPr>
          <w:rStyle w:val="NoneB"/>
        </w:rPr>
        <w:t xml:space="preserve"> identify victims, including of forced labour</w:t>
      </w:r>
      <w:r w:rsidR="00C71855">
        <w:rPr>
          <w:rStyle w:val="NoneB"/>
        </w:rPr>
        <w:t>,</w:t>
      </w:r>
      <w:r w:rsidRPr="00347553">
        <w:rPr>
          <w:rStyle w:val="NoneB"/>
        </w:rPr>
        <w:t xml:space="preserve"> has significantly increased. Psychosocial support has also been included as part of service provision towards victims of trafficking. </w:t>
      </w:r>
    </w:p>
    <w:p w14:paraId="4474A8EE" w14:textId="5742EA0D"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rPr>
      </w:pPr>
      <w:r w:rsidRPr="00347553">
        <w:rPr>
          <w:rStyle w:val="NoneB"/>
        </w:rPr>
        <w:t>Despite this progress, the Special Rapporteur is particularly concerned about the difficulties for victims to secure access to protection services when formal criminal proceedings have not been initiated against their alleged traffickers, due to misinterpretations of the law.</w:t>
      </w:r>
      <w:r w:rsidRPr="00347553">
        <w:rPr>
          <w:rFonts w:eastAsia="Calibri"/>
          <w:b/>
          <w:sz w:val="24"/>
          <w:szCs w:val="24"/>
          <w:u w:color="000000"/>
          <w:lang w:val="en-US" w:eastAsia="en-GB"/>
        </w:rPr>
        <w:t xml:space="preserve"> </w:t>
      </w:r>
      <w:r w:rsidRPr="00347553">
        <w:rPr>
          <w:lang w:val="en-US"/>
        </w:rPr>
        <w:t xml:space="preserve">There is also no provision in Turkish legislation </w:t>
      </w:r>
      <w:r w:rsidRPr="00347553">
        <w:t xml:space="preserve">to </w:t>
      </w:r>
      <w:r w:rsidRPr="00347553">
        <w:rPr>
          <w:lang w:val="en-US"/>
        </w:rPr>
        <w:t xml:space="preserve">protect child victims of </w:t>
      </w:r>
      <w:r w:rsidRPr="00472720">
        <w:rPr>
          <w:rStyle w:val="NoneB"/>
          <w:lang w:val="en-GB"/>
        </w:rPr>
        <w:t>trafficking</w:t>
      </w:r>
      <w:r w:rsidRPr="00347553">
        <w:rPr>
          <w:lang w:val="en-US"/>
        </w:rPr>
        <w:t xml:space="preserve">, including for the purposes of sexual exploitation, </w:t>
      </w:r>
      <w:r w:rsidRPr="00347553">
        <w:t xml:space="preserve">nor </w:t>
      </w:r>
      <w:r w:rsidRPr="00347553">
        <w:rPr>
          <w:lang w:val="en-US"/>
        </w:rPr>
        <w:t xml:space="preserve">from being prosecuted for their involvement in unlawful activities. </w:t>
      </w:r>
    </w:p>
    <w:p w14:paraId="5635559C" w14:textId="406047B1" w:rsidR="00CF69A7" w:rsidRPr="00F73335" w:rsidRDefault="00F73335" w:rsidP="00C22292">
      <w:pPr>
        <w:pStyle w:val="HChG"/>
        <w:tabs>
          <w:tab w:val="clear" w:pos="851"/>
          <w:tab w:val="right" w:pos="567"/>
          <w:tab w:val="left" w:pos="1701"/>
        </w:tabs>
        <w:ind w:hanging="708"/>
      </w:pPr>
      <w:r>
        <w:rPr>
          <w:rStyle w:val="NoneB"/>
          <w:lang w:val="en-GB"/>
        </w:rPr>
        <w:lastRenderedPageBreak/>
        <w:tab/>
      </w:r>
      <w:r w:rsidR="003F0DFB" w:rsidRPr="00F73335">
        <w:rPr>
          <w:rStyle w:val="NoneB"/>
          <w:lang w:val="en-GB"/>
        </w:rPr>
        <w:t>III</w:t>
      </w:r>
      <w:r w:rsidR="00CF69A7" w:rsidRPr="00F73335">
        <w:rPr>
          <w:rStyle w:val="NoneB"/>
          <w:lang w:val="en-GB"/>
        </w:rPr>
        <w:t>.</w:t>
      </w:r>
      <w:r>
        <w:rPr>
          <w:rStyle w:val="NoneB"/>
          <w:lang w:val="en-GB"/>
        </w:rPr>
        <w:tab/>
      </w:r>
      <w:r w:rsidR="00CF69A7" w:rsidRPr="00F73335">
        <w:rPr>
          <w:rStyle w:val="NoneB"/>
          <w:lang w:val="en-GB"/>
        </w:rPr>
        <w:t xml:space="preserve">Groups of women and girls who are </w:t>
      </w:r>
      <w:r w:rsidR="00C71855" w:rsidRPr="00F73335">
        <w:rPr>
          <w:rStyle w:val="NoneB"/>
          <w:lang w:val="en-GB"/>
        </w:rPr>
        <w:t xml:space="preserve">at </w:t>
      </w:r>
      <w:r w:rsidR="00CF69A7" w:rsidRPr="00F73335">
        <w:rPr>
          <w:rStyle w:val="NoneB"/>
          <w:lang w:val="en-GB"/>
        </w:rPr>
        <w:t>particular risk of v</w:t>
      </w:r>
      <w:r w:rsidR="00FE42AC" w:rsidRPr="00F73335">
        <w:rPr>
          <w:rStyle w:val="NoneB"/>
          <w:lang w:val="en-GB"/>
        </w:rPr>
        <w:t>iolence</w:t>
      </w:r>
    </w:p>
    <w:p w14:paraId="57222CBE" w14:textId="3D19D78E"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During her visit, the Special Rapporteur paid special attention to the situation of women and girls who encounter multiple and intersecting forms of discrimination and violence and experience higher rates of all forms of violence against </w:t>
      </w:r>
      <w:r w:rsidR="0053501A">
        <w:t>them</w:t>
      </w:r>
      <w:r w:rsidRPr="00347553">
        <w:t>.</w:t>
      </w:r>
    </w:p>
    <w:p w14:paraId="551B6484" w14:textId="236F4378"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Despite the fact </w:t>
      </w:r>
      <w:r w:rsidRPr="00347553">
        <w:rPr>
          <w:spacing w:val="4"/>
          <w:w w:val="103"/>
          <w:kern w:val="14"/>
        </w:rPr>
        <w:t xml:space="preserve">that the principle of non-discrimination, including on the basis of sex, is enshrined in the Constitution intersecting forms of discrimination against </w:t>
      </w:r>
      <w:bookmarkStart w:id="2" w:name="_Hlk128594361"/>
      <w:r w:rsidRPr="00347553">
        <w:rPr>
          <w:spacing w:val="4"/>
          <w:w w:val="103"/>
          <w:kern w:val="14"/>
        </w:rPr>
        <w:t xml:space="preserve">disadvantaged and marginalized groups of women </w:t>
      </w:r>
      <w:bookmarkEnd w:id="2"/>
      <w:r w:rsidR="0053501A">
        <w:rPr>
          <w:spacing w:val="4"/>
          <w:w w:val="103"/>
          <w:kern w:val="14"/>
        </w:rPr>
        <w:t xml:space="preserve">and girls </w:t>
      </w:r>
      <w:r w:rsidRPr="00347553">
        <w:rPr>
          <w:spacing w:val="4"/>
          <w:w w:val="103"/>
          <w:kern w:val="14"/>
        </w:rPr>
        <w:t xml:space="preserve">persist, particularly </w:t>
      </w:r>
      <w:r w:rsidR="0053501A">
        <w:rPr>
          <w:spacing w:val="4"/>
          <w:w w:val="103"/>
          <w:kern w:val="14"/>
        </w:rPr>
        <w:t>those that are</w:t>
      </w:r>
      <w:r w:rsidR="0053501A" w:rsidRPr="00347553">
        <w:rPr>
          <w:spacing w:val="4"/>
          <w:w w:val="103"/>
          <w:kern w:val="14"/>
        </w:rPr>
        <w:t xml:space="preserve"> </w:t>
      </w:r>
      <w:r w:rsidR="0053501A">
        <w:rPr>
          <w:spacing w:val="4"/>
          <w:w w:val="103"/>
          <w:kern w:val="14"/>
        </w:rPr>
        <w:t>-</w:t>
      </w:r>
      <w:r w:rsidRPr="00347553">
        <w:rPr>
          <w:spacing w:val="4"/>
          <w:w w:val="103"/>
          <w:kern w:val="14"/>
        </w:rPr>
        <w:t>Kurdish, refugee</w:t>
      </w:r>
      <w:r w:rsidR="0053501A">
        <w:rPr>
          <w:spacing w:val="4"/>
          <w:w w:val="103"/>
          <w:kern w:val="14"/>
        </w:rPr>
        <w:t>s</w:t>
      </w:r>
      <w:r w:rsidRPr="00347553">
        <w:rPr>
          <w:spacing w:val="4"/>
          <w:w w:val="103"/>
          <w:kern w:val="14"/>
        </w:rPr>
        <w:t xml:space="preserve"> and asylum-seek</w:t>
      </w:r>
      <w:r w:rsidR="0053501A">
        <w:rPr>
          <w:spacing w:val="4"/>
          <w:w w:val="103"/>
          <w:kern w:val="14"/>
        </w:rPr>
        <w:t>ers</w:t>
      </w:r>
      <w:r w:rsidRPr="00347553">
        <w:rPr>
          <w:spacing w:val="4"/>
          <w:w w:val="103"/>
          <w:kern w:val="14"/>
        </w:rPr>
        <w:t xml:space="preserve">, </w:t>
      </w:r>
      <w:r w:rsidR="0053501A">
        <w:rPr>
          <w:spacing w:val="4"/>
          <w:w w:val="103"/>
          <w:kern w:val="14"/>
        </w:rPr>
        <w:t xml:space="preserve">those </w:t>
      </w:r>
      <w:r w:rsidRPr="00347553">
        <w:rPr>
          <w:spacing w:val="4"/>
          <w:w w:val="103"/>
          <w:kern w:val="14"/>
        </w:rPr>
        <w:t>with disabilities</w:t>
      </w:r>
      <w:r w:rsidRPr="00347553">
        <w:t xml:space="preserve">, lesbian and bisexual transgender and </w:t>
      </w:r>
      <w:proofErr w:type="gramStart"/>
      <w:r w:rsidRPr="00347553">
        <w:t>intersex</w:t>
      </w:r>
      <w:r w:rsidR="0053501A">
        <w:t>(</w:t>
      </w:r>
      <w:proofErr w:type="gramEnd"/>
      <w:r w:rsidR="0053501A">
        <w:t xml:space="preserve">LBTI) </w:t>
      </w:r>
      <w:r w:rsidRPr="00347553">
        <w:t xml:space="preserve">, </w:t>
      </w:r>
      <w:r w:rsidR="0053501A">
        <w:t>as well as those</w:t>
      </w:r>
      <w:r w:rsidR="0053501A" w:rsidRPr="00347553">
        <w:t xml:space="preserve"> </w:t>
      </w:r>
      <w:r w:rsidRPr="00347553">
        <w:t xml:space="preserve">living in remote </w:t>
      </w:r>
      <w:r w:rsidR="0053501A">
        <w:t xml:space="preserve">rural </w:t>
      </w:r>
      <w:r w:rsidRPr="00347553">
        <w:t xml:space="preserve">areas and women human rights defenders. </w:t>
      </w:r>
    </w:p>
    <w:p w14:paraId="012DFE70" w14:textId="7E7C271C" w:rsidR="0057336E"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The afore-mentioned disadvantaged and marginalized groups of women face multiple forms of </w:t>
      </w:r>
      <w:r w:rsidRPr="00472720">
        <w:rPr>
          <w:rStyle w:val="NoneB"/>
          <w:lang w:val="en-GB"/>
        </w:rPr>
        <w:t>discrimination</w:t>
      </w:r>
      <w:r w:rsidRPr="00347553">
        <w:t xml:space="preserve">, and as a result they often endure extreme forms of marginalization, </w:t>
      </w:r>
      <w:r w:rsidR="0053501A">
        <w:t>exclusion</w:t>
      </w:r>
      <w:r w:rsidR="0053501A" w:rsidRPr="00347553">
        <w:t xml:space="preserve"> </w:t>
      </w:r>
      <w:r w:rsidRPr="00347553">
        <w:t xml:space="preserve">and the denial of social and economic rights and their rights to </w:t>
      </w:r>
      <w:r w:rsidR="0053501A">
        <w:t xml:space="preserve">political </w:t>
      </w:r>
      <w:r w:rsidRPr="00347553">
        <w:t xml:space="preserve">participation and representation are curtailed. Their vulnerable economic status, combined with the patriarchal values, exposes them to various forms of violence. </w:t>
      </w:r>
    </w:p>
    <w:p w14:paraId="76DF2BCB" w14:textId="4EE51568" w:rsidR="00CF69A7" w:rsidRPr="00347553" w:rsidRDefault="00CF69A7" w:rsidP="00C22292">
      <w:pPr>
        <w:pStyle w:val="H1G"/>
        <w:numPr>
          <w:ilvl w:val="0"/>
          <w:numId w:val="8"/>
        </w:numPr>
        <w:tabs>
          <w:tab w:val="clear" w:pos="851"/>
          <w:tab w:val="right" w:pos="567"/>
          <w:tab w:val="left" w:pos="1701"/>
        </w:tabs>
        <w:ind w:left="1134" w:hanging="567"/>
      </w:pPr>
      <w:r w:rsidRPr="00347553">
        <w:t>Women with Disabilities</w:t>
      </w:r>
    </w:p>
    <w:p w14:paraId="5619BC33" w14:textId="669AC780" w:rsidR="003F0DFB"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In 2019, the Committee on the Rights of Persons with Disabilities expressed concerns about “the absence of a </w:t>
      </w:r>
      <w:r w:rsidRPr="00472720">
        <w:rPr>
          <w:rStyle w:val="NoneB"/>
          <w:lang w:val="en-GB"/>
        </w:rPr>
        <w:t>strategy</w:t>
      </w:r>
      <w:r w:rsidRPr="00347553">
        <w:t xml:space="preserve"> to identify situations with a heightened risk of abuse and to address cases of gender-based violence against women and girls with disabilities, in particular in the family, residential facilities and schools;” (CRPD/C/TUR/CO/1, para. 34). The Special Rapporteur received reports that women with psychosocial disabilities faced significant obstacles to obtaining access to justice. The prevalent practice of restricting the exercise of legal capacity makes it impossible for such women to initiate or participate in legal proceedings on their own behalf, and public officials, because of their prejudices, tend to doubt the credibility of the</w:t>
      </w:r>
      <w:r w:rsidR="0053501A">
        <w:t>ir</w:t>
      </w:r>
      <w:r w:rsidRPr="00347553">
        <w:t xml:space="preserve"> testimonies. Women and girls with disabilities</w:t>
      </w:r>
      <w:r w:rsidR="00EF3486">
        <w:t xml:space="preserve">, particularly non-Turkish </w:t>
      </w:r>
      <w:r w:rsidR="00F65194">
        <w:t>women</w:t>
      </w:r>
      <w:r w:rsidR="00EF3486">
        <w:t>,</w:t>
      </w:r>
      <w:r w:rsidRPr="00347553">
        <w:t xml:space="preserve"> face additional obstacles to leaving situations of family violence. They often live in a circle of poverty, </w:t>
      </w:r>
      <w:proofErr w:type="gramStart"/>
      <w:r w:rsidRPr="00347553">
        <w:t>violence</w:t>
      </w:r>
      <w:proofErr w:type="gramEnd"/>
      <w:r w:rsidRPr="00347553">
        <w:t xml:space="preserve"> and homelessness. Service providers are also often slow to react to financial abuse by family members. </w:t>
      </w:r>
      <w:r w:rsidR="0053501A">
        <w:t>Furthermore, the</w:t>
      </w:r>
      <w:r w:rsidRPr="00347553">
        <w:t xml:space="preserve"> Special Rapporteur noted that there is a lack of culturally sensitive accessibility for disabled women. </w:t>
      </w:r>
    </w:p>
    <w:p w14:paraId="24691010" w14:textId="730ED280" w:rsidR="003F0DFB" w:rsidRPr="003F0DFB" w:rsidRDefault="003F0DFB" w:rsidP="00C22292">
      <w:pPr>
        <w:pStyle w:val="H1G"/>
        <w:numPr>
          <w:ilvl w:val="0"/>
          <w:numId w:val="8"/>
        </w:numPr>
        <w:tabs>
          <w:tab w:val="clear" w:pos="851"/>
          <w:tab w:val="right" w:pos="720"/>
          <w:tab w:val="left" w:pos="1701"/>
        </w:tabs>
        <w:ind w:hanging="513"/>
        <w:rPr>
          <w:b w:val="0"/>
          <w:bCs/>
          <w:szCs w:val="24"/>
        </w:rPr>
      </w:pPr>
      <w:r>
        <w:rPr>
          <w:bCs/>
          <w:szCs w:val="24"/>
        </w:rPr>
        <w:t xml:space="preserve">Civil </w:t>
      </w:r>
      <w:r w:rsidRPr="00F73335">
        <w:t>society</w:t>
      </w:r>
      <w:r>
        <w:rPr>
          <w:bCs/>
          <w:szCs w:val="24"/>
        </w:rPr>
        <w:t xml:space="preserve"> actors and w</w:t>
      </w:r>
      <w:r w:rsidRPr="00347553">
        <w:rPr>
          <w:bCs/>
          <w:szCs w:val="24"/>
        </w:rPr>
        <w:t xml:space="preserve">omen </w:t>
      </w:r>
      <w:r>
        <w:rPr>
          <w:bCs/>
          <w:szCs w:val="24"/>
        </w:rPr>
        <w:t>h</w:t>
      </w:r>
      <w:r w:rsidRPr="00347553">
        <w:rPr>
          <w:bCs/>
          <w:szCs w:val="24"/>
        </w:rPr>
        <w:t xml:space="preserve">uman </w:t>
      </w:r>
      <w:r>
        <w:rPr>
          <w:bCs/>
          <w:szCs w:val="24"/>
        </w:rPr>
        <w:t>r</w:t>
      </w:r>
      <w:r w:rsidRPr="00347553">
        <w:rPr>
          <w:bCs/>
          <w:szCs w:val="24"/>
        </w:rPr>
        <w:t xml:space="preserve">ights </w:t>
      </w:r>
      <w:r>
        <w:rPr>
          <w:bCs/>
          <w:szCs w:val="24"/>
        </w:rPr>
        <w:t>d</w:t>
      </w:r>
      <w:r w:rsidRPr="00347553">
        <w:rPr>
          <w:bCs/>
          <w:szCs w:val="24"/>
        </w:rPr>
        <w:t>efenders</w:t>
      </w:r>
      <w:r>
        <w:tab/>
      </w:r>
    </w:p>
    <w:p w14:paraId="6321E622" w14:textId="5AE46BB0" w:rsidR="00F62BBA" w:rsidRPr="00347553" w:rsidRDefault="00F62BB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F0DFB">
        <w:rPr>
          <w:rFonts w:eastAsia="Arial Unicode MS"/>
          <w:u w:color="000000"/>
          <w:bdr w:val="nil"/>
        </w:rPr>
        <w:t xml:space="preserve">The Special Rapporteur is deeply concerned about the growing polarization of Turkish society around women’s rights and gender issues.  Türkiye has traditionally had a vibrant and active civil society with rights-based women’s organizations, </w:t>
      </w:r>
      <w:r w:rsidRPr="00347553">
        <w:t>including those representing the rights of minority ethnic groups, women human rights defenders, journalists, migrant women</w:t>
      </w:r>
      <w:r>
        <w:t xml:space="preserve"> </w:t>
      </w:r>
      <w:r w:rsidRPr="00347553">
        <w:t>and women and girls of diverse sexual orientation and gender identit</w:t>
      </w:r>
      <w:r w:rsidRPr="003F0DFB">
        <w:rPr>
          <w:rFonts w:eastAsia="Arial Unicode MS"/>
          <w:u w:color="000000"/>
          <w:bdr w:val="nil"/>
        </w:rPr>
        <w:t xml:space="preserve">y. While civil society organizations and initiatives have remained active the space for advocacy, policy dialogue and participation in decision-making is shrinking, with reports suggesting that women’s organizations were not included in the preparation of the State’s report to the CEDAW Committee in June 2022. </w:t>
      </w:r>
    </w:p>
    <w:p w14:paraId="1A3E5F28" w14:textId="08043840" w:rsidR="00F62BBA" w:rsidRDefault="00F62BB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t xml:space="preserve">The introduction of Law No.7262 for the Prevention of the Financing of the Proliferation of Weapons of Mass Destruction, which entered into force in December 2020, provides for additional </w:t>
      </w:r>
      <w:r w:rsidRPr="00472720">
        <w:rPr>
          <w:rStyle w:val="NoneB"/>
          <w:lang w:val="en-GB"/>
        </w:rPr>
        <w:t>restrictions</w:t>
      </w:r>
      <w:r>
        <w:t xml:space="preserve"> and financial reporting obligations for civil society organizations, which is having significant implications on their ability to carry out legitimate and lawful activities and the right to association of their members.  Of particular concern is the infringement on the right of women and girls, including LBTI women, women human rights defenders and Kurdish women, to exercise their rights to freedom of expression, opinion, and assembly.  </w:t>
      </w:r>
    </w:p>
    <w:p w14:paraId="31EAA56E" w14:textId="24EEA5A6" w:rsidR="00F62BBA" w:rsidRDefault="00F62BB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t xml:space="preserve">The Special Rapporteur is especially concerned by reports of the violent dispersal and detention of women during rallies to celebrate the International Day on the Elimination of </w:t>
      </w:r>
      <w:r>
        <w:lastRenderedPageBreak/>
        <w:t xml:space="preserve">Violence against Women, on 25 November 2022.  Similarly, numerous gatherings organized by women’s rights organizations to coincide with the 10th anniversary of the Istanbul Convention and the date Türkiye’s withdrawal came into effect in May and July 2021, were reportedly subjected to arbitrary restrictions and excessive use of force by police. A press </w:t>
      </w:r>
      <w:r w:rsidRPr="00472720">
        <w:rPr>
          <w:rStyle w:val="NoneB"/>
          <w:lang w:val="en-GB"/>
        </w:rPr>
        <w:t>statement</w:t>
      </w:r>
      <w:r>
        <w:t xml:space="preserve"> outside of the Council of State building in Ankara by the Women’s Platform for Equality was prevented from going ahead by police on 24 June </w:t>
      </w:r>
      <w:r w:rsidRPr="009B0B60">
        <w:rPr>
          <w:sz w:val="22"/>
          <w:szCs w:val="22"/>
        </w:rPr>
        <w:t xml:space="preserve">2021.  </w:t>
      </w:r>
      <w:r w:rsidRPr="009B0B60">
        <w:t>The annual LGBTI Pride march in Istanbul was also banned for the eighth successive year in 2022.</w:t>
      </w:r>
    </w:p>
    <w:p w14:paraId="56D2D3FC" w14:textId="7255A632" w:rsidR="003F0DFB" w:rsidRPr="00347553" w:rsidRDefault="00F3613B"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t>W</w:t>
      </w:r>
      <w:r w:rsidR="00CF69A7" w:rsidRPr="00347553">
        <w:t>omen human rights defenders</w:t>
      </w:r>
      <w:r>
        <w:t>, particularly those working on gender justice, LGBTI rights and from eth</w:t>
      </w:r>
      <w:r w:rsidR="009B0B60">
        <w:t>n</w:t>
      </w:r>
      <w:r>
        <w:t xml:space="preserve">ic minorities, </w:t>
      </w:r>
      <w:r w:rsidR="00CF69A7" w:rsidRPr="00347553">
        <w:t>have been targeted, criticized, threatened, intimidated, subjected to surveillance and harass</w:t>
      </w:r>
      <w:r>
        <w:t>ment</w:t>
      </w:r>
      <w:r w:rsidR="00CF69A7" w:rsidRPr="00347553">
        <w:t xml:space="preserve">, including online, because of their gender and their work. </w:t>
      </w:r>
      <w:proofErr w:type="gramStart"/>
      <w:r w:rsidR="00B37047">
        <w:t>T</w:t>
      </w:r>
      <w:r w:rsidR="008F09AF">
        <w:t>he majority of</w:t>
      </w:r>
      <w:proofErr w:type="gramEnd"/>
      <w:r w:rsidR="00CF69A7" w:rsidRPr="00347553">
        <w:t xml:space="preserve"> documented incidents show that women human rights defenders, as well as their family members and intimate partners, face reprisals, death threats, verbal abuse and harassment by State and non-State actors to delegitimize their work. </w:t>
      </w:r>
    </w:p>
    <w:p w14:paraId="5E535BA4" w14:textId="49F94E84" w:rsidR="00FE42AC" w:rsidRPr="003F0DFB" w:rsidRDefault="00FE42AC" w:rsidP="00C22292">
      <w:pPr>
        <w:pStyle w:val="H1G"/>
        <w:numPr>
          <w:ilvl w:val="0"/>
          <w:numId w:val="8"/>
        </w:numPr>
        <w:tabs>
          <w:tab w:val="clear" w:pos="851"/>
          <w:tab w:val="right" w:pos="720"/>
          <w:tab w:val="left" w:pos="1701"/>
        </w:tabs>
        <w:ind w:hanging="513"/>
        <w:rPr>
          <w:b w:val="0"/>
          <w:szCs w:val="24"/>
        </w:rPr>
      </w:pPr>
      <w:r w:rsidRPr="00F73335">
        <w:t>Kurdish</w:t>
      </w:r>
      <w:r w:rsidRPr="00347553">
        <w:rPr>
          <w:szCs w:val="24"/>
        </w:rPr>
        <w:t xml:space="preserve"> Women</w:t>
      </w:r>
    </w:p>
    <w:p w14:paraId="3AF6A569" w14:textId="5AD5C4A6" w:rsidR="00CF69A7"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The Special Rapporteur reiterates the concerns outlined by the CEDAW Committee in relation to the intersecting forms of discrimination faced by Kurdish women and girls based on their ethnic and linguistic identity, their marginalization in society and limited enjoyment of their human rights, along with the concerns about the </w:t>
      </w:r>
      <w:r w:rsidRPr="00347553">
        <w:rPr>
          <w:spacing w:val="4"/>
          <w:w w:val="103"/>
          <w:kern w:val="14"/>
        </w:rPr>
        <w:t xml:space="preserve">high number of predominantly Kurdish civilians, including many women, </w:t>
      </w:r>
      <w:r w:rsidRPr="00347553">
        <w:t xml:space="preserve">who </w:t>
      </w:r>
      <w:r w:rsidRPr="00347553">
        <w:rPr>
          <w:spacing w:val="4"/>
          <w:w w:val="103"/>
          <w:kern w:val="14"/>
        </w:rPr>
        <w:t xml:space="preserve">have reportedly been killed or have been subjected to violence, including sexual violence, by the Turkish security forces in the context of counter-terrorism operations against the Kurdish Workers </w:t>
      </w:r>
      <w:r w:rsidRPr="00472720">
        <w:rPr>
          <w:rStyle w:val="NoneB"/>
          <w:lang w:val="en-GB"/>
        </w:rPr>
        <w:t>Party</w:t>
      </w:r>
      <w:r w:rsidRPr="00347553">
        <w:rPr>
          <w:spacing w:val="4"/>
          <w:w w:val="103"/>
          <w:kern w:val="14"/>
        </w:rPr>
        <w:t xml:space="preserve"> (PKK), which is considered a terrorist organization by </w:t>
      </w:r>
      <w:r w:rsidR="00B37047">
        <w:rPr>
          <w:spacing w:val="4"/>
          <w:w w:val="103"/>
          <w:kern w:val="14"/>
        </w:rPr>
        <w:t>Türkiye</w:t>
      </w:r>
      <w:r w:rsidR="0053501A">
        <w:rPr>
          <w:spacing w:val="4"/>
          <w:w w:val="103"/>
          <w:kern w:val="14"/>
        </w:rPr>
        <w:t xml:space="preserve"> and a number of other States</w:t>
      </w:r>
      <w:r w:rsidRPr="00347553">
        <w:rPr>
          <w:spacing w:val="4"/>
          <w:w w:val="103"/>
          <w:kern w:val="14"/>
        </w:rPr>
        <w:t>.</w:t>
      </w:r>
      <w:r w:rsidRPr="00347553">
        <w:rPr>
          <w:rStyle w:val="FootnoteReference"/>
        </w:rPr>
        <w:t xml:space="preserve"> </w:t>
      </w:r>
      <w:r w:rsidRPr="00347553">
        <w:rPr>
          <w:rStyle w:val="FootnoteReference"/>
        </w:rPr>
        <w:footnoteReference w:id="14"/>
      </w:r>
      <w:r w:rsidRPr="00347553">
        <w:rPr>
          <w:spacing w:val="4"/>
          <w:w w:val="103"/>
          <w:kern w:val="14"/>
        </w:rPr>
        <w:t xml:space="preserve"> </w:t>
      </w:r>
      <w:r w:rsidRPr="00347553">
        <w:t xml:space="preserve">The Special Rapporteur is further concerned by reports suggesting that Kurdish women and girls in remote areas often live in poor economic and social conditions, </w:t>
      </w:r>
      <w:r w:rsidR="00F65194">
        <w:t xml:space="preserve">and </w:t>
      </w:r>
      <w:r w:rsidR="00A70321">
        <w:t xml:space="preserve">are routinely subjected to harassment and intimidation, with many facing </w:t>
      </w:r>
      <w:r w:rsidR="0053501A">
        <w:t>arbitrary</w:t>
      </w:r>
      <w:r w:rsidR="00A70321">
        <w:t xml:space="preserve"> and prolonged detention, unfair trials with limited access to legal aid.</w:t>
      </w:r>
      <w:r w:rsidRPr="00347553">
        <w:t xml:space="preserve"> </w:t>
      </w:r>
      <w:r w:rsidR="0053501A">
        <w:t xml:space="preserve">They </w:t>
      </w:r>
      <w:r w:rsidR="009D2D28">
        <w:t xml:space="preserve">are </w:t>
      </w:r>
      <w:proofErr w:type="gramStart"/>
      <w:r w:rsidR="0053501A">
        <w:t>also  disproportionate</w:t>
      </w:r>
      <w:r w:rsidR="009D2D28">
        <w:t>ly</w:t>
      </w:r>
      <w:proofErr w:type="gramEnd"/>
      <w:r w:rsidR="0053501A">
        <w:t xml:space="preserve"> </w:t>
      </w:r>
      <w:r w:rsidR="009D2D28">
        <w:t xml:space="preserve">represented among the </w:t>
      </w:r>
      <w:r w:rsidR="0053501A">
        <w:t xml:space="preserve">number of victims of honor killings </w:t>
      </w:r>
    </w:p>
    <w:p w14:paraId="233489FC" w14:textId="21D0006E" w:rsidR="00CF69A7" w:rsidRPr="00347553" w:rsidRDefault="00CF69A7" w:rsidP="00C22292">
      <w:pPr>
        <w:pStyle w:val="H1G"/>
        <w:numPr>
          <w:ilvl w:val="0"/>
          <w:numId w:val="8"/>
        </w:numPr>
        <w:tabs>
          <w:tab w:val="clear" w:pos="851"/>
          <w:tab w:val="right" w:pos="720"/>
          <w:tab w:val="left" w:pos="1701"/>
        </w:tabs>
        <w:ind w:hanging="513"/>
        <w:rPr>
          <w:b w:val="0"/>
          <w:szCs w:val="24"/>
        </w:rPr>
      </w:pPr>
      <w:r w:rsidRPr="00F73335">
        <w:t>LBTI</w:t>
      </w:r>
      <w:r w:rsidRPr="00347553">
        <w:rPr>
          <w:szCs w:val="24"/>
        </w:rPr>
        <w:t xml:space="preserve"> women </w:t>
      </w:r>
    </w:p>
    <w:p w14:paraId="49570347" w14:textId="7627766B" w:rsidR="00347553"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rPr>
          <w:rStyle w:val="NoneB"/>
        </w:rPr>
        <w:t xml:space="preserve">There remain pervasive negative stereotypes about persons of diverse sexual orientation and gender identity, leading to the invisibility of violence against </w:t>
      </w:r>
      <w:r w:rsidR="0052771B">
        <w:rPr>
          <w:rStyle w:val="NoneB"/>
        </w:rPr>
        <w:t xml:space="preserve">LBTI </w:t>
      </w:r>
      <w:r w:rsidRPr="00347553">
        <w:rPr>
          <w:rStyle w:val="NoneB"/>
        </w:rPr>
        <w:t>women</w:t>
      </w:r>
      <w:r w:rsidR="00F65194">
        <w:rPr>
          <w:rStyle w:val="NoneB"/>
        </w:rPr>
        <w:t>.</w:t>
      </w:r>
      <w:r w:rsidRPr="00347553">
        <w:rPr>
          <w:rStyle w:val="NoneB"/>
        </w:rPr>
        <w:t xml:space="preserve"> </w:t>
      </w:r>
      <w:r w:rsidR="00F65194">
        <w:rPr>
          <w:rStyle w:val="NoneB"/>
        </w:rPr>
        <w:t xml:space="preserve">Transwomen, particularly </w:t>
      </w:r>
      <w:r w:rsidR="0053501A">
        <w:rPr>
          <w:rStyle w:val="NoneB"/>
        </w:rPr>
        <w:t xml:space="preserve">foreign </w:t>
      </w:r>
      <w:r w:rsidR="00F65194">
        <w:rPr>
          <w:rStyle w:val="NoneB"/>
        </w:rPr>
        <w:t xml:space="preserve">sex workers, are </w:t>
      </w:r>
      <w:r w:rsidR="0053501A">
        <w:rPr>
          <w:rStyle w:val="NoneB"/>
        </w:rPr>
        <w:t xml:space="preserve">reportedly </w:t>
      </w:r>
      <w:r w:rsidR="00F65194">
        <w:rPr>
          <w:rStyle w:val="NoneB"/>
        </w:rPr>
        <w:t xml:space="preserve">at </w:t>
      </w:r>
      <w:r w:rsidR="0053501A">
        <w:rPr>
          <w:rStyle w:val="NoneB"/>
        </w:rPr>
        <w:t xml:space="preserve">higher </w:t>
      </w:r>
      <w:r w:rsidR="00F65194">
        <w:rPr>
          <w:rStyle w:val="NoneB"/>
        </w:rPr>
        <w:t>risk of violence. T</w:t>
      </w:r>
      <w:r w:rsidR="000B1512">
        <w:rPr>
          <w:rStyle w:val="NoneB"/>
        </w:rPr>
        <w:t xml:space="preserve">he apparent tolerance of acts of intimidation and violence </w:t>
      </w:r>
      <w:r w:rsidR="00F65194">
        <w:rPr>
          <w:rStyle w:val="NoneB"/>
        </w:rPr>
        <w:t xml:space="preserve">against LBTI women </w:t>
      </w:r>
      <w:r w:rsidR="003F0DFB">
        <w:rPr>
          <w:rStyle w:val="NoneB"/>
        </w:rPr>
        <w:t xml:space="preserve">by the authorities </w:t>
      </w:r>
      <w:r w:rsidR="00F65194">
        <w:rPr>
          <w:rStyle w:val="NoneB"/>
        </w:rPr>
        <w:t>has done little to prevent it.</w:t>
      </w:r>
      <w:r w:rsidRPr="00347553">
        <w:rPr>
          <w:rStyle w:val="NoneB"/>
        </w:rPr>
        <w:t xml:space="preserve"> </w:t>
      </w:r>
      <w:r w:rsidR="00F65194">
        <w:rPr>
          <w:rStyle w:val="NoneB"/>
        </w:rPr>
        <w:t>I</w:t>
      </w:r>
      <w:r w:rsidRPr="00347553">
        <w:rPr>
          <w:rStyle w:val="NoneB"/>
        </w:rPr>
        <w:t xml:space="preserve">nsufficient data collection </w:t>
      </w:r>
      <w:r w:rsidR="00F65194">
        <w:rPr>
          <w:rStyle w:val="NoneB"/>
        </w:rPr>
        <w:t xml:space="preserve">also </w:t>
      </w:r>
      <w:r w:rsidRPr="00347553">
        <w:rPr>
          <w:rStyle w:val="NoneB"/>
        </w:rPr>
        <w:t>mak</w:t>
      </w:r>
      <w:r w:rsidR="00F65194">
        <w:rPr>
          <w:rStyle w:val="NoneB"/>
        </w:rPr>
        <w:t>es</w:t>
      </w:r>
      <w:r w:rsidRPr="00347553">
        <w:rPr>
          <w:rStyle w:val="NoneB"/>
        </w:rPr>
        <w:t xml:space="preserve"> it difficult to assess and address the violence against this group. LBTI women victims tend to mistrust available </w:t>
      </w:r>
      <w:r w:rsidR="0053501A">
        <w:rPr>
          <w:rStyle w:val="NoneB"/>
        </w:rPr>
        <w:t xml:space="preserve">government provided </w:t>
      </w:r>
      <w:r w:rsidRPr="00347553">
        <w:rPr>
          <w:rStyle w:val="NoneB"/>
        </w:rPr>
        <w:t xml:space="preserve">services, often due to negative past experiences; civil society organizations and their services end up as the main or sole providers of shelters, psychosocial and health care support.  </w:t>
      </w:r>
      <w:r w:rsidRPr="00347553">
        <w:rPr>
          <w:rStyle w:val="NoneB"/>
          <w:lang w:val="en-GB"/>
        </w:rPr>
        <w:t>There are also indications that</w:t>
      </w:r>
      <w:r w:rsidR="008B4365">
        <w:rPr>
          <w:rStyle w:val="NoneB"/>
          <w:lang w:val="en-GB"/>
        </w:rPr>
        <w:t xml:space="preserve"> LBTI </w:t>
      </w:r>
      <w:r w:rsidRPr="00347553">
        <w:rPr>
          <w:rStyle w:val="NoneB"/>
          <w:lang w:val="en-GB"/>
        </w:rPr>
        <w:t>women in detention are at heightened risk of discrimination.</w:t>
      </w:r>
    </w:p>
    <w:p w14:paraId="01DA58F7" w14:textId="3D320041" w:rsidR="00347553" w:rsidRPr="00347553" w:rsidRDefault="003F0DFB" w:rsidP="00C22292">
      <w:pPr>
        <w:pStyle w:val="H1G"/>
        <w:numPr>
          <w:ilvl w:val="0"/>
          <w:numId w:val="8"/>
        </w:numPr>
        <w:tabs>
          <w:tab w:val="clear" w:pos="851"/>
          <w:tab w:val="right" w:pos="567"/>
          <w:tab w:val="left" w:pos="1701"/>
        </w:tabs>
        <w:ind w:left="1134" w:hanging="567"/>
        <w:rPr>
          <w:rStyle w:val="NoneB"/>
          <w:lang w:val="en-GB"/>
        </w:rPr>
      </w:pPr>
      <w:r>
        <w:rPr>
          <w:rStyle w:val="NoneB"/>
          <w:bCs/>
          <w:szCs w:val="24"/>
        </w:rPr>
        <w:t xml:space="preserve"> </w:t>
      </w:r>
      <w:r w:rsidR="00347553" w:rsidRPr="009D2D28">
        <w:t>Refugee</w:t>
      </w:r>
      <w:r w:rsidR="00347553" w:rsidRPr="009D2D28">
        <w:rPr>
          <w:rStyle w:val="NoneB"/>
          <w:bCs/>
          <w:szCs w:val="24"/>
        </w:rPr>
        <w:t xml:space="preserve"> and migrant women and girls</w:t>
      </w:r>
    </w:p>
    <w:p w14:paraId="1304BE8B" w14:textId="7160CDF0" w:rsidR="00347553" w:rsidRPr="00347553" w:rsidRDefault="00FE42AC"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Türkiye is strategically located along the migration route, and serves as a country of origin, </w:t>
      </w:r>
      <w:proofErr w:type="gramStart"/>
      <w:r w:rsidRPr="00347553">
        <w:t>transit</w:t>
      </w:r>
      <w:proofErr w:type="gramEnd"/>
      <w:r w:rsidRPr="00347553">
        <w:t xml:space="preserve"> and destination. Türkiye continues to host the world’s largest number of refugees, </w:t>
      </w:r>
      <w:r w:rsidR="00A31FAA">
        <w:t xml:space="preserve">with </w:t>
      </w:r>
      <w:r w:rsidRPr="00347553">
        <w:t xml:space="preserve">around 3.7 million from Syria granted temporary protection status, and over 400,000 from Afghanistan, Iraq, and other non-European countries. </w:t>
      </w:r>
      <w:r w:rsidR="00A31FAA" w:rsidRPr="00347553">
        <w:t>Türk</w:t>
      </w:r>
      <w:r w:rsidR="00A31FAA">
        <w:t xml:space="preserve">iye’s </w:t>
      </w:r>
      <w:r w:rsidRPr="00347553">
        <w:t xml:space="preserve">accession to the 1951 Refugee Convention includes a geographical limitation whereby it only fully </w:t>
      </w:r>
      <w:r w:rsidRPr="00472720">
        <w:rPr>
          <w:rStyle w:val="NoneB"/>
          <w:lang w:val="en-GB"/>
        </w:rPr>
        <w:t>recognises</w:t>
      </w:r>
      <w:r w:rsidRPr="00347553">
        <w:t xml:space="preserve"> as refugees people fleeing persecution in Europe.  </w:t>
      </w:r>
      <w:r w:rsidR="0053501A">
        <w:t xml:space="preserve"> </w:t>
      </w:r>
      <w:r w:rsidRPr="00347553">
        <w:t xml:space="preserve">In 2013 however Türkiye adopted a comprehensive new Law on Foreigners and International Protection (LFIP), which establishes a dedicated legal framework for asylum and affirms Turkiye’s obligations towards all persons in need of international protection, regardless of country of origin, at the level of binding domestic law. The Directorate General of Migration Management (DGMM) </w:t>
      </w:r>
      <w:r w:rsidR="00A31FAA">
        <w:lastRenderedPageBreak/>
        <w:t xml:space="preserve">is </w:t>
      </w:r>
      <w:r w:rsidRPr="00347553">
        <w:t>mandated to take charge of migration and asylum.</w:t>
      </w:r>
      <w:r w:rsidRPr="00347553">
        <w:rPr>
          <w:rStyle w:val="FootnoteReference"/>
        </w:rPr>
        <w:footnoteReference w:id="15"/>
      </w:r>
      <w:r w:rsidRPr="00347553">
        <w:t xml:space="preserve">. </w:t>
      </w:r>
      <w:r w:rsidR="008C4120" w:rsidRPr="008C4120">
        <w:t xml:space="preserve">In 2016, Türkiye reached an agreement </w:t>
      </w:r>
      <w:r w:rsidR="008C4120">
        <w:t xml:space="preserve">with the EU whereby </w:t>
      </w:r>
      <w:r w:rsidR="008C4120" w:rsidRPr="008C4120">
        <w:t xml:space="preserve">all new irregular migrants and asylum seekers arriving from </w:t>
      </w:r>
      <w:r w:rsidR="00E609BB" w:rsidRPr="008C4120">
        <w:t>Türk</w:t>
      </w:r>
      <w:r w:rsidR="00E609BB">
        <w:t>iye</w:t>
      </w:r>
      <w:r w:rsidR="008C4120" w:rsidRPr="008C4120">
        <w:t xml:space="preserve"> to the Greek islands and whose applications for asylum have been declared inadmissible should be returned to Türk</w:t>
      </w:r>
      <w:r w:rsidR="008C4120">
        <w:t>i</w:t>
      </w:r>
      <w:r w:rsidR="008C4120" w:rsidRPr="008C4120">
        <w:t>y</w:t>
      </w:r>
      <w:r w:rsidR="008C4120">
        <w:t xml:space="preserve">e, </w:t>
      </w:r>
      <w:r w:rsidR="008C4120" w:rsidRPr="008C4120">
        <w:t>at an immeasurable cost to people seeking safety and protection.</w:t>
      </w:r>
    </w:p>
    <w:p w14:paraId="04CA9627" w14:textId="29C9648E" w:rsidR="00347553" w:rsidRPr="00347553" w:rsidRDefault="00FE42AC"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Syrian women under temporary protection; as well as Syrian refugees, migrants and other women and girls that are undocumented or that do not have a regular migratory status are particularly at risk of gender-based violence. The Special Rapporteur is deeply concerned at the </w:t>
      </w:r>
      <w:r w:rsidRPr="00472720">
        <w:rPr>
          <w:rStyle w:val="NoneB"/>
          <w:lang w:val="en-GB"/>
        </w:rPr>
        <w:t>relentless</w:t>
      </w:r>
      <w:r w:rsidRPr="00347553">
        <w:t xml:space="preserve"> wave of violence and threats of violence that many face at the hands of multiple actors. The increased xenophobia and racism that Syrian migrants are subjected to in different parts of the country, has also affected women and girls, including those with a disability. Racism has been particularly felt by Syrian children, including girls</w:t>
      </w:r>
      <w:r w:rsidR="0053501A">
        <w:t>,</w:t>
      </w:r>
      <w:r w:rsidRPr="00347553">
        <w:t xml:space="preserve"> in Turkish schools, making schools unsafe for </w:t>
      </w:r>
      <w:r w:rsidR="0053501A">
        <w:t>them</w:t>
      </w:r>
      <w:r w:rsidRPr="00347553">
        <w:t xml:space="preserve">. The different policies that have been introduced to regulate the entrance and stay of Syrians in the country, </w:t>
      </w:r>
      <w:r w:rsidR="0053501A">
        <w:t xml:space="preserve">rendering them more unstable, </w:t>
      </w:r>
      <w:r w:rsidRPr="00347553">
        <w:t>further discouraged Syrian women and girls from reporting violence or seeking protection</w:t>
      </w:r>
      <w:r w:rsidR="00A70321">
        <w:t xml:space="preserve"> </w:t>
      </w:r>
      <w:r w:rsidRPr="00347553">
        <w:t>for fear of retaliation and</w:t>
      </w:r>
      <w:r w:rsidR="00DD0FF5">
        <w:t>/or</w:t>
      </w:r>
      <w:r w:rsidRPr="00347553">
        <w:t xml:space="preserve"> deportation</w:t>
      </w:r>
      <w:r w:rsidR="00DD0FF5">
        <w:t>.</w:t>
      </w:r>
    </w:p>
    <w:p w14:paraId="3FEB74AB" w14:textId="2E235283" w:rsidR="00347553" w:rsidRPr="00347553" w:rsidRDefault="00FE42AC"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Furthermore, </w:t>
      </w:r>
      <w:r w:rsidRPr="00472720">
        <w:rPr>
          <w:rStyle w:val="NoneB"/>
          <w:lang w:val="en-GB"/>
        </w:rPr>
        <w:t>available</w:t>
      </w:r>
      <w:r w:rsidRPr="00347553">
        <w:t xml:space="preserve"> national attention and response services including shelters, special services for vulnerable groups do not generally attend to non-Turkish women and girls that would otherwise meet the eligibility criteria to benefit from the services. As a result, </w:t>
      </w:r>
      <w:r w:rsidR="00DD0FF5">
        <w:t xml:space="preserve">refugee and migrant </w:t>
      </w:r>
      <w:r w:rsidRPr="00347553">
        <w:t>women are reportedly unwilling to access ŞÖNİM centres due to concerns that they will not obtain appropriate or adequate support.</w:t>
      </w:r>
    </w:p>
    <w:p w14:paraId="7821B0C3" w14:textId="1C21248A" w:rsidR="00347553" w:rsidRPr="00347553" w:rsidRDefault="00FE42AC"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DD0FF5">
        <w:t>While commending the efforts of the Government to guarantee access to the territory f</w:t>
      </w:r>
      <w:r w:rsidRPr="00DA1C4B">
        <w:t xml:space="preserve">or persons in need of international protection, in the context of the migrants and refugees who have arrived in Türkiye since 2018, the Special Rapporteur is concerned about the lack of </w:t>
      </w:r>
      <w:r w:rsidR="009D2D28">
        <w:t xml:space="preserve">a </w:t>
      </w:r>
      <w:r w:rsidRPr="00DA1C4B">
        <w:t>gender-based violence</w:t>
      </w:r>
      <w:r w:rsidR="0053501A">
        <w:t xml:space="preserve"> </w:t>
      </w:r>
      <w:r w:rsidRPr="00DA1C4B">
        <w:t>) strategy</w:t>
      </w:r>
      <w:r w:rsidR="0053501A">
        <w:t xml:space="preserve"> </w:t>
      </w:r>
      <w:r w:rsidRPr="00DA1C4B">
        <w:t xml:space="preserve">and activities for the identification and prevention of, and response to, situations of </w:t>
      </w:r>
      <w:r w:rsidR="0053501A">
        <w:t>all forms of violence</w:t>
      </w:r>
      <w:r w:rsidR="0053501A" w:rsidRPr="00DA1C4B">
        <w:t xml:space="preserve"> </w:t>
      </w:r>
      <w:r w:rsidRPr="00DA1C4B">
        <w:t xml:space="preserve">affecting migrants and refugees, including measures aimed at facilitating the access of women to migration alternatives and/or </w:t>
      </w:r>
      <w:r w:rsidRPr="00472720">
        <w:rPr>
          <w:rStyle w:val="NoneB"/>
          <w:lang w:val="en-GB"/>
        </w:rPr>
        <w:t>simplified</w:t>
      </w:r>
      <w:r w:rsidRPr="00DA1C4B">
        <w:t xml:space="preserve"> regularization procedures, particularly in the context of its response to migrants and refugees from Syria.</w:t>
      </w:r>
      <w:r w:rsidR="00DD0FF5">
        <w:t xml:space="preserve"> </w:t>
      </w:r>
      <w:r w:rsidRPr="00347553">
        <w:t xml:space="preserve">She is further concerned by reports indicating that the principle of </w:t>
      </w:r>
      <w:r w:rsidRPr="00D81C52">
        <w:rPr>
          <w:i/>
          <w:iCs/>
        </w:rPr>
        <w:t>non-refoulement</w:t>
      </w:r>
      <w:r w:rsidRPr="00347553">
        <w:t>, which prohibits the return of refugees to places where their lives or freedom would be threatened, is often not upheld</w:t>
      </w:r>
      <w:r w:rsidR="0052771B">
        <w:t>.</w:t>
      </w:r>
      <w:r w:rsidRPr="00347553">
        <w:rPr>
          <w:rStyle w:val="FootnoteReference"/>
        </w:rPr>
        <w:footnoteReference w:id="16"/>
      </w:r>
    </w:p>
    <w:p w14:paraId="3D8F3024" w14:textId="704FC0E1" w:rsidR="00347553" w:rsidRPr="00347553" w:rsidRDefault="00DA1C4B" w:rsidP="00C22292">
      <w:pPr>
        <w:pStyle w:val="H1G"/>
        <w:numPr>
          <w:ilvl w:val="0"/>
          <w:numId w:val="8"/>
        </w:numPr>
        <w:tabs>
          <w:tab w:val="clear" w:pos="851"/>
          <w:tab w:val="right" w:pos="567"/>
          <w:tab w:val="left" w:pos="1701"/>
        </w:tabs>
        <w:ind w:left="1134" w:hanging="567"/>
        <w:rPr>
          <w:rFonts w:eastAsiaTheme="minorHAnsi"/>
          <w:b w:val="0"/>
          <w:szCs w:val="24"/>
        </w:rPr>
      </w:pPr>
      <w:r w:rsidRPr="00F73335">
        <w:t>W</w:t>
      </w:r>
      <w:r w:rsidR="00347553" w:rsidRPr="00F73335">
        <w:t>omen</w:t>
      </w:r>
      <w:r w:rsidR="00347553" w:rsidRPr="00347553">
        <w:rPr>
          <w:rFonts w:eastAsiaTheme="minorHAnsi"/>
          <w:szCs w:val="24"/>
        </w:rPr>
        <w:t xml:space="preserve"> in detention </w:t>
      </w:r>
    </w:p>
    <w:p w14:paraId="34EDC8DE" w14:textId="3E837768" w:rsidR="0057336E" w:rsidRPr="00347553" w:rsidRDefault="00CF69A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t xml:space="preserve">The Special Rapporteur regrets that she was unable to visit a women’s detention centre or prison as requested, however she was able to visit the Gaziantep Removal Centre where she met with </w:t>
      </w:r>
      <w:r w:rsidRPr="00472720">
        <w:rPr>
          <w:rStyle w:val="NoneB"/>
          <w:lang w:val="en-GB"/>
        </w:rPr>
        <w:t>some</w:t>
      </w:r>
      <w:r w:rsidRPr="00347553">
        <w:t xml:space="preserve"> migrant women who are being detained pending a decision as to whether they have broken the law</w:t>
      </w:r>
      <w:r w:rsidR="0053501A">
        <w:t xml:space="preserve"> and </w:t>
      </w:r>
      <w:r w:rsidR="009D2D28">
        <w:t>may face</w:t>
      </w:r>
      <w:r w:rsidR="008C4120">
        <w:t xml:space="preserve"> </w:t>
      </w:r>
      <w:r w:rsidR="0053501A">
        <w:t>removal</w:t>
      </w:r>
      <w:r w:rsidRPr="00347553">
        <w:t>.</w:t>
      </w:r>
      <w:r w:rsidR="00DA1C4B">
        <w:t xml:space="preserve"> </w:t>
      </w:r>
      <w:r w:rsidRPr="00347553">
        <w:t xml:space="preserve">It is not uncommon for migrant women, including Syrian women to be separated from their family members and spouses and to be deported on their own.  </w:t>
      </w:r>
      <w:r w:rsidR="0057336E" w:rsidRPr="00347553">
        <w:t>Based on information received, an estimated 8.43% of foreign nationals who entered the prison</w:t>
      </w:r>
      <w:r w:rsidR="00B74807">
        <w:t xml:space="preserve"> system</w:t>
      </w:r>
      <w:r w:rsidR="0057336E" w:rsidRPr="00347553">
        <w:t xml:space="preserve"> in 2020 are women. They have problems being able to reach consulates and embassies. Due to the lack of translation services, they are unable to obtain adequate services including health and legal services. Furthermore, it may take 2-3 years to be transferred to another country, including their own, due to the lack of return arrangements and agreements with many countries.  In addition, some female foreign national prisoners are at risk of being deported when released if they do not have international protection status.</w:t>
      </w:r>
      <w:r w:rsidR="0057336E" w:rsidRPr="00347553">
        <w:rPr>
          <w:rStyle w:val="FootnoteReference"/>
        </w:rPr>
        <w:footnoteReference w:id="17"/>
      </w:r>
    </w:p>
    <w:p w14:paraId="6434C9D0" w14:textId="5488B03D" w:rsidR="00347553" w:rsidRPr="00347553" w:rsidRDefault="0057336E"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According to information received many of the women and girls in detention centres in Türkiye have been victims of multiple and intersecting forms of violence, sexual assault, </w:t>
      </w:r>
      <w:proofErr w:type="gramStart"/>
      <w:r w:rsidRPr="00347553">
        <w:t>trauma</w:t>
      </w:r>
      <w:proofErr w:type="gramEnd"/>
      <w:r w:rsidRPr="00347553">
        <w:t xml:space="preserve"> and abuse.  </w:t>
      </w:r>
      <w:r w:rsidR="00CF69A7" w:rsidRPr="00472720">
        <w:rPr>
          <w:rStyle w:val="NoneB"/>
          <w:lang w:val="en-GB"/>
        </w:rPr>
        <w:t>While</w:t>
      </w:r>
      <w:r w:rsidR="00CF69A7" w:rsidRPr="00347553">
        <w:t xml:space="preserve"> there are provisions for mother and child programmes in some detention centres, the lack of adequate medical care for children and on-site paediatricians </w:t>
      </w:r>
      <w:r w:rsidR="00CF69A7" w:rsidRPr="00347553">
        <w:lastRenderedPageBreak/>
        <w:t xml:space="preserve">within some facilities is of considerable concern.  Overcrowding, as well as lack of adequate facilities, and access to health </w:t>
      </w:r>
      <w:r>
        <w:t xml:space="preserve">care </w:t>
      </w:r>
      <w:r w:rsidR="00CF69A7" w:rsidRPr="00347553">
        <w:t xml:space="preserve">is also of concern. </w:t>
      </w:r>
    </w:p>
    <w:p w14:paraId="7A5D2388" w14:textId="658A4708" w:rsidR="001F326C" w:rsidRPr="00347553" w:rsidRDefault="008437D6" w:rsidP="00C22292">
      <w:pPr>
        <w:pStyle w:val="HChG"/>
        <w:tabs>
          <w:tab w:val="clear" w:pos="851"/>
          <w:tab w:val="left" w:pos="567"/>
          <w:tab w:val="left" w:pos="1701"/>
        </w:tabs>
        <w:ind w:hanging="992"/>
        <w:rPr>
          <w:b w:val="0"/>
          <w:bCs/>
          <w:szCs w:val="28"/>
          <w:lang w:val="en-US"/>
        </w:rPr>
      </w:pPr>
      <w:r>
        <w:rPr>
          <w:rStyle w:val="NoneB"/>
          <w:lang w:val="en-GB"/>
        </w:rPr>
        <w:tab/>
        <w:t>IV.</w:t>
      </w:r>
      <w:r>
        <w:rPr>
          <w:rStyle w:val="NoneB"/>
          <w:lang w:val="en-GB"/>
        </w:rPr>
        <w:tab/>
      </w:r>
      <w:r w:rsidR="001F326C" w:rsidRPr="005332EA">
        <w:rPr>
          <w:rStyle w:val="NoneB"/>
          <w:lang w:val="en-GB"/>
        </w:rPr>
        <w:t>State</w:t>
      </w:r>
      <w:r w:rsidR="001F326C" w:rsidRPr="00347553">
        <w:t xml:space="preserve"> </w:t>
      </w:r>
      <w:r w:rsidR="001F326C" w:rsidRPr="008437D6">
        <w:rPr>
          <w:rStyle w:val="NoneB"/>
          <w:lang w:val="en-GB"/>
        </w:rPr>
        <w:t>response</w:t>
      </w:r>
      <w:r w:rsidR="001F326C" w:rsidRPr="00347553">
        <w:t xml:space="preserve"> and measures to address violence against women</w:t>
      </w:r>
    </w:p>
    <w:p w14:paraId="04B5E738" w14:textId="020F9F7A" w:rsidR="001F326C" w:rsidRPr="00347553" w:rsidRDefault="001F326C" w:rsidP="00C22292">
      <w:pPr>
        <w:pStyle w:val="H1G"/>
        <w:numPr>
          <w:ilvl w:val="0"/>
          <w:numId w:val="9"/>
        </w:numPr>
        <w:tabs>
          <w:tab w:val="clear" w:pos="851"/>
          <w:tab w:val="right" w:pos="567"/>
          <w:tab w:val="left" w:pos="1701"/>
        </w:tabs>
        <w:ind w:hanging="513"/>
        <w:rPr>
          <w:lang w:val="en-US"/>
        </w:rPr>
      </w:pPr>
      <w:r w:rsidRPr="00347553">
        <w:rPr>
          <w:lang w:val="en-US"/>
        </w:rPr>
        <w:t xml:space="preserve">Incorporation </w:t>
      </w:r>
      <w:r w:rsidR="00D71B45" w:rsidRPr="00347553">
        <w:rPr>
          <w:lang w:val="en-US"/>
        </w:rPr>
        <w:t xml:space="preserve">and implementation </w:t>
      </w:r>
      <w:r w:rsidRPr="00347553">
        <w:rPr>
          <w:lang w:val="en-US"/>
        </w:rPr>
        <w:t>of the international legal framework</w:t>
      </w:r>
      <w:r w:rsidR="00D71B45" w:rsidRPr="00347553">
        <w:rPr>
          <w:lang w:val="en-US"/>
        </w:rPr>
        <w:t xml:space="preserve"> on violence against women</w:t>
      </w:r>
    </w:p>
    <w:p w14:paraId="178901DA" w14:textId="1ADDFDBD" w:rsidR="00556D58" w:rsidRPr="00347553" w:rsidRDefault="004F7ECF"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rPr>
      </w:pPr>
      <w:r w:rsidRPr="005332EA">
        <w:rPr>
          <w:rStyle w:val="NoneB"/>
          <w:lang w:val="en-GB"/>
        </w:rPr>
        <w:t>Türkiye</w:t>
      </w:r>
      <w:r w:rsidRPr="00347553">
        <w:rPr>
          <w:rStyle w:val="NoneB"/>
        </w:rPr>
        <w:t xml:space="preserve"> is party to eight of the nine principal human rights treaties, including the Convention on </w:t>
      </w:r>
      <w:r w:rsidRPr="00472720">
        <w:rPr>
          <w:rStyle w:val="NoneB"/>
          <w:lang w:val="en-GB"/>
        </w:rPr>
        <w:t>the</w:t>
      </w:r>
      <w:r w:rsidRPr="00347553">
        <w:rPr>
          <w:rStyle w:val="NoneB"/>
        </w:rPr>
        <w:t xml:space="preserve"> </w:t>
      </w:r>
      <w:r w:rsidRPr="005332EA">
        <w:t>Elimination</w:t>
      </w:r>
      <w:r w:rsidRPr="00347553">
        <w:rPr>
          <w:rStyle w:val="NoneB"/>
        </w:rPr>
        <w:t xml:space="preserve"> of All Forms of Discrimination against Women</w:t>
      </w:r>
      <w:r w:rsidR="00710771" w:rsidRPr="00347553">
        <w:rPr>
          <w:rStyle w:val="NoneB"/>
        </w:rPr>
        <w:t xml:space="preserve"> (CEDAW)</w:t>
      </w:r>
      <w:r w:rsidRPr="00347553">
        <w:rPr>
          <w:rStyle w:val="NoneB"/>
        </w:rPr>
        <w:t>, ratified in 19</w:t>
      </w:r>
      <w:r w:rsidR="00E13F78" w:rsidRPr="00347553">
        <w:rPr>
          <w:rStyle w:val="NoneB"/>
        </w:rPr>
        <w:t>85</w:t>
      </w:r>
      <w:r w:rsidRPr="00347553">
        <w:rPr>
          <w:rStyle w:val="NoneB"/>
        </w:rPr>
        <w:t xml:space="preserve">, </w:t>
      </w:r>
      <w:r w:rsidR="00E13F78" w:rsidRPr="00347553">
        <w:rPr>
          <w:rStyle w:val="NoneB"/>
        </w:rPr>
        <w:t xml:space="preserve">together with the Optional Protocol thereto, which it ratified in </w:t>
      </w:r>
      <w:r w:rsidRPr="00347553">
        <w:rPr>
          <w:rStyle w:val="NoneB"/>
        </w:rPr>
        <w:t>2002.</w:t>
      </w:r>
      <w:r w:rsidR="005F1200" w:rsidRPr="00347553">
        <w:rPr>
          <w:rStyle w:val="NoneB"/>
        </w:rPr>
        <w:t xml:space="preserve"> </w:t>
      </w:r>
    </w:p>
    <w:p w14:paraId="081127F7" w14:textId="515BEC83" w:rsidR="004F7ECF" w:rsidRPr="00347553" w:rsidRDefault="00715341"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rPr>
      </w:pPr>
      <w:r w:rsidRPr="00347553">
        <w:rPr>
          <w:rStyle w:val="NoneB"/>
        </w:rPr>
        <w:t xml:space="preserve">According to </w:t>
      </w:r>
      <w:r w:rsidR="005F1200" w:rsidRPr="00347553">
        <w:rPr>
          <w:rStyle w:val="NoneB"/>
        </w:rPr>
        <w:t xml:space="preserve">article 90 of the Constitution, international treaties ratified by Türkiye form an integral part of national </w:t>
      </w:r>
      <w:r w:rsidR="00E65172" w:rsidRPr="00347553">
        <w:rPr>
          <w:rStyle w:val="NoneB"/>
        </w:rPr>
        <w:t xml:space="preserve">law </w:t>
      </w:r>
      <w:r w:rsidR="00A75389" w:rsidRPr="00347553">
        <w:rPr>
          <w:rStyle w:val="NoneB"/>
        </w:rPr>
        <w:t>whereby</w:t>
      </w:r>
      <w:r w:rsidR="005F1200" w:rsidRPr="00347553">
        <w:rPr>
          <w:rStyle w:val="NoneB"/>
        </w:rPr>
        <w:t xml:space="preserve"> </w:t>
      </w:r>
      <w:r w:rsidR="00A75389" w:rsidRPr="00347553">
        <w:rPr>
          <w:rStyle w:val="NoneB"/>
        </w:rPr>
        <w:t xml:space="preserve">“the provisions of international agreements shall prevail.” </w:t>
      </w:r>
      <w:r w:rsidR="00556D58" w:rsidRPr="00347553">
        <w:rPr>
          <w:rStyle w:val="NoneB"/>
        </w:rPr>
        <w:t xml:space="preserve">However, this does not always apply in practice, as the lack of full harmonization of the </w:t>
      </w:r>
      <w:r w:rsidR="00556D58" w:rsidRPr="00472720">
        <w:rPr>
          <w:rStyle w:val="NoneB"/>
          <w:lang w:val="en-GB"/>
        </w:rPr>
        <w:t>relevant</w:t>
      </w:r>
      <w:r w:rsidR="00556D58" w:rsidRPr="00347553">
        <w:rPr>
          <w:rStyle w:val="NoneB"/>
        </w:rPr>
        <w:t xml:space="preserve"> laws with international human rights standards, combined with implementation gaps in almost all social policies related to women’s rights and the elimination of violence against women are hampering progress in this regard. </w:t>
      </w:r>
    </w:p>
    <w:p w14:paraId="3042CC7F" w14:textId="05BB2633" w:rsidR="001F326C" w:rsidRPr="00347553" w:rsidRDefault="001F326C" w:rsidP="00C22292">
      <w:pPr>
        <w:pStyle w:val="HChG"/>
        <w:numPr>
          <w:ilvl w:val="0"/>
          <w:numId w:val="2"/>
        </w:numPr>
        <w:tabs>
          <w:tab w:val="left" w:pos="1701"/>
        </w:tabs>
        <w:rPr>
          <w:rStyle w:val="NoneB"/>
          <w:b w:val="0"/>
          <w:bCs/>
          <w:i/>
          <w:iCs/>
          <w:sz w:val="20"/>
        </w:rPr>
      </w:pPr>
      <w:r w:rsidRPr="00347553">
        <w:rPr>
          <w:b w:val="0"/>
          <w:bCs/>
          <w:i/>
          <w:iCs/>
          <w:sz w:val="20"/>
          <w:lang w:val="en-US"/>
        </w:rPr>
        <w:t xml:space="preserve">Withdrawal from the </w:t>
      </w:r>
      <w:bookmarkStart w:id="3" w:name="_Hlk126851969"/>
      <w:bookmarkStart w:id="4" w:name="_Hlk126851950"/>
      <w:r w:rsidRPr="00347553">
        <w:rPr>
          <w:b w:val="0"/>
          <w:bCs/>
          <w:i/>
          <w:iCs/>
          <w:sz w:val="20"/>
          <w:lang w:val="en-US"/>
        </w:rPr>
        <w:t xml:space="preserve">Council of Europe Convention on Preventing and Combating Violence against Women and Domestic Violence </w:t>
      </w:r>
      <w:bookmarkEnd w:id="3"/>
      <w:r w:rsidRPr="00347553">
        <w:rPr>
          <w:b w:val="0"/>
          <w:bCs/>
          <w:i/>
          <w:iCs/>
          <w:sz w:val="20"/>
          <w:lang w:val="en-US"/>
        </w:rPr>
        <w:t>(Istanbul Convention)</w:t>
      </w:r>
    </w:p>
    <w:p w14:paraId="44B0451A" w14:textId="1D0CAC2F" w:rsidR="0035774D" w:rsidRPr="00347553" w:rsidRDefault="002059D4"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bookmarkStart w:id="5" w:name="_Hlk129602418"/>
      <w:bookmarkEnd w:id="4"/>
      <w:r w:rsidRPr="00347553">
        <w:t>Türkiye</w:t>
      </w:r>
      <w:r w:rsidR="0035774D" w:rsidRPr="00347553">
        <w:t xml:space="preserve"> was the first country</w:t>
      </w:r>
      <w:r w:rsidR="0035774D" w:rsidRPr="00347553">
        <w:rPr>
          <w:lang w:val="en-US"/>
        </w:rPr>
        <w:t xml:space="preserve"> to both sign and ratify</w:t>
      </w:r>
      <w:r w:rsidR="0035774D" w:rsidRPr="00347553">
        <w:rPr>
          <w:vertAlign w:val="superscript"/>
          <w:lang w:val="en-US"/>
        </w:rPr>
        <w:footnoteReference w:id="18"/>
      </w:r>
      <w:r w:rsidR="0035774D" w:rsidRPr="00347553">
        <w:rPr>
          <w:lang w:val="en-US"/>
        </w:rPr>
        <w:t xml:space="preserve"> the </w:t>
      </w:r>
      <w:r w:rsidRPr="00347553">
        <w:rPr>
          <w:rStyle w:val="NoneB"/>
        </w:rPr>
        <w:t>Council of Europe Convention on Preventing and Combating Violence against Women and Domestic Violence (</w:t>
      </w:r>
      <w:r w:rsidR="0035774D" w:rsidRPr="00347553">
        <w:rPr>
          <w:lang w:val="en-US"/>
        </w:rPr>
        <w:t>Istanbul Convention</w:t>
      </w:r>
      <w:r w:rsidRPr="00347553">
        <w:rPr>
          <w:lang w:val="en-US"/>
        </w:rPr>
        <w:t>)</w:t>
      </w:r>
      <w:r w:rsidR="0035774D" w:rsidRPr="00347553">
        <w:rPr>
          <w:lang w:val="en-US"/>
        </w:rPr>
        <w:t>, and initially took well-placed pride in the fact that it was developed under its leadership. The Istanbul Convention is the only international treaty that is specifically designed to tackle systematic and widespread violence against women and girls, and that provides a comprehensive structure for combatting gender-based violence in all its form</w:t>
      </w:r>
      <w:r w:rsidRPr="00347553">
        <w:rPr>
          <w:lang w:val="en-US"/>
        </w:rPr>
        <w:t>s</w:t>
      </w:r>
      <w:r w:rsidR="0035774D" w:rsidRPr="00347553">
        <w:rPr>
          <w:lang w:val="en-US"/>
        </w:rPr>
        <w:t xml:space="preserve"> through its four key principles of prevention, protection, criminal </w:t>
      </w:r>
      <w:proofErr w:type="gramStart"/>
      <w:r w:rsidR="0035774D" w:rsidRPr="00347553">
        <w:rPr>
          <w:lang w:val="en-US"/>
        </w:rPr>
        <w:t>prosecution</w:t>
      </w:r>
      <w:proofErr w:type="gramEnd"/>
      <w:r w:rsidR="0035774D" w:rsidRPr="00347553">
        <w:rPr>
          <w:lang w:val="en-US"/>
        </w:rPr>
        <w:t xml:space="preserve"> and policy co-ordination.</w:t>
      </w:r>
    </w:p>
    <w:p w14:paraId="62EB079B" w14:textId="14F356C7" w:rsidR="00586583" w:rsidRPr="00347553" w:rsidRDefault="009251E9"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Style w:val="NoneB"/>
        </w:rPr>
        <w:t xml:space="preserve">On 20 March 2021, </w:t>
      </w:r>
      <w:r w:rsidR="0019562D" w:rsidRPr="00347553">
        <w:rPr>
          <w:rStyle w:val="NoneB"/>
        </w:rPr>
        <w:t>Decree No. 3718</w:t>
      </w:r>
      <w:r w:rsidR="00420532" w:rsidRPr="00347553">
        <w:rPr>
          <w:rFonts w:eastAsia="Calibri"/>
          <w:sz w:val="16"/>
          <w:szCs w:val="16"/>
          <w:vertAlign w:val="superscript"/>
        </w:rPr>
        <w:footnoteReference w:id="19"/>
      </w:r>
      <w:r w:rsidR="0019562D" w:rsidRPr="00347553">
        <w:rPr>
          <w:rStyle w:val="NoneB"/>
          <w:sz w:val="16"/>
          <w:szCs w:val="16"/>
        </w:rPr>
        <w:t xml:space="preserve"> </w:t>
      </w:r>
      <w:r w:rsidR="0019562D" w:rsidRPr="00347553">
        <w:rPr>
          <w:rStyle w:val="NoneB"/>
        </w:rPr>
        <w:t xml:space="preserve">of the President of the Republic announced </w:t>
      </w:r>
      <w:r w:rsidRPr="00347553">
        <w:rPr>
          <w:rStyle w:val="NoneB"/>
        </w:rPr>
        <w:t>Türkiye’s withdrawal from the Istanbul Convention</w:t>
      </w:r>
      <w:r w:rsidR="009F794C" w:rsidRPr="00347553">
        <w:rPr>
          <w:rStyle w:val="FootnoteReference"/>
          <w:lang w:val="en-US"/>
        </w:rPr>
        <w:footnoteReference w:id="20"/>
      </w:r>
      <w:r w:rsidRPr="00347553">
        <w:rPr>
          <w:rStyle w:val="NoneB"/>
        </w:rPr>
        <w:t xml:space="preserve">. </w:t>
      </w:r>
      <w:r w:rsidR="001813DE" w:rsidRPr="00347553">
        <w:t xml:space="preserve">On 28 April 2022, the Council of State of Türkiye deliberated ten cases filed against the </w:t>
      </w:r>
      <w:r w:rsidR="00801A05" w:rsidRPr="00347553">
        <w:t>decision to</w:t>
      </w:r>
      <w:r w:rsidR="001813DE" w:rsidRPr="00347553">
        <w:t xml:space="preserve"> withdraw</w:t>
      </w:r>
      <w:r w:rsidR="00710771" w:rsidRPr="00347553">
        <w:t xml:space="preserve"> from the Istanbul Convention</w:t>
      </w:r>
      <w:r w:rsidR="001813DE" w:rsidRPr="00347553">
        <w:t xml:space="preserve">. In submitting it’s opinion, the Council of State Prosecutor's </w:t>
      </w:r>
      <w:r w:rsidR="00B54534" w:rsidRPr="00347553">
        <w:t>O</w:t>
      </w:r>
      <w:r w:rsidR="001813DE" w:rsidRPr="00347553">
        <w:t xml:space="preserve">ffice </w:t>
      </w:r>
      <w:r w:rsidR="001813DE" w:rsidRPr="00347553">
        <w:rPr>
          <w:lang w:val="en-US"/>
        </w:rPr>
        <w:t xml:space="preserve">stated that withdrawing from the </w:t>
      </w:r>
      <w:r w:rsidR="009F794C" w:rsidRPr="00347553">
        <w:rPr>
          <w:lang w:val="en-US"/>
        </w:rPr>
        <w:t xml:space="preserve">Istanbul </w:t>
      </w:r>
      <w:r w:rsidR="00586583" w:rsidRPr="00347553">
        <w:rPr>
          <w:lang w:val="en-US"/>
        </w:rPr>
        <w:t>C</w:t>
      </w:r>
      <w:r w:rsidR="001813DE" w:rsidRPr="00347553">
        <w:rPr>
          <w:lang w:val="en-US"/>
        </w:rPr>
        <w:t xml:space="preserve">onvention by a </w:t>
      </w:r>
      <w:r w:rsidR="00586583" w:rsidRPr="00347553">
        <w:rPr>
          <w:lang w:val="en-US"/>
        </w:rPr>
        <w:t>p</w:t>
      </w:r>
      <w:r w:rsidR="001813DE" w:rsidRPr="00347553">
        <w:rPr>
          <w:lang w:val="en-US"/>
        </w:rPr>
        <w:t>residential de</w:t>
      </w:r>
      <w:r w:rsidR="00E35506" w:rsidRPr="00347553">
        <w:rPr>
          <w:lang w:val="en-US"/>
        </w:rPr>
        <w:t>cree</w:t>
      </w:r>
      <w:r w:rsidR="001813DE" w:rsidRPr="00347553">
        <w:rPr>
          <w:lang w:val="en-US"/>
        </w:rPr>
        <w:t xml:space="preserve"> was unlawful as it was initially ratified by the Parliament.  </w:t>
      </w:r>
      <w:r w:rsidR="00586583" w:rsidRPr="00347553">
        <w:t>As the</w:t>
      </w:r>
      <w:r w:rsidR="001813DE" w:rsidRPr="00347553">
        <w:t xml:space="preserve"> Parliament had not annulled the law regarding the ratification of the Convention</w:t>
      </w:r>
      <w:r w:rsidR="009F794C" w:rsidRPr="00347553">
        <w:t>,</w:t>
      </w:r>
      <w:r w:rsidR="001813DE" w:rsidRPr="00347553">
        <w:t xml:space="preserve"> </w:t>
      </w:r>
      <w:r w:rsidR="00801A05" w:rsidRPr="00347553">
        <w:t>nor</w:t>
      </w:r>
      <w:r w:rsidR="001813DE" w:rsidRPr="00347553">
        <w:t xml:space="preserve"> had </w:t>
      </w:r>
      <w:r w:rsidR="00801A05" w:rsidRPr="00347553">
        <w:t>i</w:t>
      </w:r>
      <w:r w:rsidR="001813DE" w:rsidRPr="00347553">
        <w:t xml:space="preserve">t passed a new law regarding its termination, it was </w:t>
      </w:r>
      <w:r w:rsidR="00586583" w:rsidRPr="00347553">
        <w:t xml:space="preserve">thus </w:t>
      </w:r>
      <w:r w:rsidR="001813DE" w:rsidRPr="00347553">
        <w:t xml:space="preserve">concluded that the presidential decision was not </w:t>
      </w:r>
      <w:r w:rsidR="00801A05" w:rsidRPr="00347553">
        <w:t>legally recognized</w:t>
      </w:r>
      <w:r w:rsidR="009F794C" w:rsidRPr="00347553">
        <w:t xml:space="preserve"> in accordance with</w:t>
      </w:r>
      <w:r w:rsidR="001813DE" w:rsidRPr="00347553">
        <w:t xml:space="preserve"> the principle of parallelism of authority and proceedings.</w:t>
      </w:r>
      <w:r w:rsidR="001813DE" w:rsidRPr="00347553">
        <w:rPr>
          <w:rStyle w:val="NoneB"/>
        </w:rPr>
        <w:t xml:space="preserve"> On 19 July 2022, a decision was taken by the </w:t>
      </w:r>
      <w:r w:rsidR="00586583" w:rsidRPr="00347553">
        <w:rPr>
          <w:rStyle w:val="NoneB"/>
        </w:rPr>
        <w:t xml:space="preserve">10th Chamber of the </w:t>
      </w:r>
      <w:r w:rsidR="001813DE" w:rsidRPr="00347553">
        <w:rPr>
          <w:rStyle w:val="NoneB"/>
        </w:rPr>
        <w:t xml:space="preserve">Council of State of Türkiye, </w:t>
      </w:r>
      <w:r w:rsidR="001813DE" w:rsidRPr="00347553">
        <w:t xml:space="preserve">by a vote of three to two, </w:t>
      </w:r>
      <w:r w:rsidR="00710771" w:rsidRPr="00347553">
        <w:t xml:space="preserve">to </w:t>
      </w:r>
      <w:r w:rsidR="001813DE" w:rsidRPr="00347553">
        <w:t>reject a request to annul the Presidential Decree on withdrawal from the Istanbul Convention.</w:t>
      </w:r>
      <w:r w:rsidR="00586583" w:rsidRPr="00347553">
        <w:t xml:space="preserve"> </w:t>
      </w:r>
    </w:p>
    <w:p w14:paraId="164AEE7E" w14:textId="0A364831" w:rsidR="0035774D" w:rsidRPr="00347553" w:rsidRDefault="0035774D"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lang w:val="en-US"/>
        </w:rPr>
      </w:pPr>
      <w:r w:rsidRPr="00347553">
        <w:t xml:space="preserve">The Special Rapporteur regrets that </w:t>
      </w:r>
      <w:r w:rsidR="002059D4" w:rsidRPr="00347553">
        <w:t>Türkiye</w:t>
      </w:r>
      <w:r w:rsidRPr="00347553">
        <w:t xml:space="preserve"> is the first and only country to withdraw from the Istanbul Convention, especially as the decision was taken without a parliamentary debate and </w:t>
      </w:r>
      <w:r w:rsidRPr="00472720">
        <w:rPr>
          <w:rStyle w:val="NoneB"/>
          <w:lang w:val="en-GB"/>
        </w:rPr>
        <w:t>reportedly</w:t>
      </w:r>
      <w:r w:rsidRPr="00347553">
        <w:t xml:space="preserve"> without wider consultation with civil society, including women's groups, survivors of violence, and women human rights defenders. </w:t>
      </w:r>
      <w:r w:rsidRPr="00347553">
        <w:rPr>
          <w:lang w:val="en-US"/>
        </w:rPr>
        <w:t>Of particular concern is the reasoning for its withdrawal, with an official statement issued by the Presidency Communications Directorate justifying the decision with misleading claims that the Istanbul Convention was “incompatible with Turkey’s social and family values…</w:t>
      </w:r>
      <w:r w:rsidRPr="00347553">
        <w:rPr>
          <w:i/>
          <w:iCs/>
          <w:lang w:val="en-US"/>
        </w:rPr>
        <w:t>”</w:t>
      </w:r>
      <w:r w:rsidRPr="00347553">
        <w:rPr>
          <w:i/>
          <w:iCs/>
          <w:vertAlign w:val="superscript"/>
          <w:lang w:val="en-US"/>
        </w:rPr>
        <w:footnoteReference w:id="21"/>
      </w:r>
      <w:r w:rsidRPr="00347553">
        <w:rPr>
          <w:lang w:val="en-US"/>
        </w:rPr>
        <w:t xml:space="preserve"> </w:t>
      </w:r>
    </w:p>
    <w:p w14:paraId="093F5913" w14:textId="5F7C2D5B" w:rsidR="00D02CB6" w:rsidRPr="00347553" w:rsidRDefault="00D02CB6"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b/>
          <w:bCs/>
        </w:rPr>
      </w:pPr>
      <w:r w:rsidRPr="00347553">
        <w:lastRenderedPageBreak/>
        <w:t>In response to this announcement</w:t>
      </w:r>
      <w:r w:rsidR="009D3CF5">
        <w:t xml:space="preserve"> </w:t>
      </w:r>
      <w:r w:rsidRPr="00347553">
        <w:t xml:space="preserve">the CEDAW committee characterized the withdrawal as “a deliberately retrogressive measure” that was “inconsistent with Turkey’s due diligence obligation under” </w:t>
      </w:r>
      <w:r w:rsidRPr="00472720">
        <w:rPr>
          <w:rStyle w:val="NoneB"/>
          <w:lang w:val="en-GB"/>
        </w:rPr>
        <w:t>CEDAW</w:t>
      </w:r>
      <w:r w:rsidRPr="00347553">
        <w:t xml:space="preserve"> to prevent and protect women and girls from violence.</w:t>
      </w:r>
      <w:r w:rsidR="002059D4" w:rsidRPr="00347553">
        <w:rPr>
          <w:rStyle w:val="FootnoteReference"/>
        </w:rPr>
        <w:footnoteReference w:id="22"/>
      </w:r>
      <w:r w:rsidRPr="00347553">
        <w:t xml:space="preserve"> </w:t>
      </w:r>
    </w:p>
    <w:p w14:paraId="1BEA8789" w14:textId="39E4E6AF" w:rsidR="00881BFB" w:rsidRPr="00723365" w:rsidRDefault="00136803"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t xml:space="preserve">In August 2022, the Special Rapporteur, along with </w:t>
      </w:r>
      <w:r w:rsidR="00D02CB6" w:rsidRPr="00347553">
        <w:t xml:space="preserve">the </w:t>
      </w:r>
      <w:r w:rsidR="001B3113" w:rsidRPr="00347553">
        <w:t>UN W</w:t>
      </w:r>
      <w:r w:rsidR="00D02CB6" w:rsidRPr="00347553">
        <w:t xml:space="preserve">orking </w:t>
      </w:r>
      <w:r w:rsidR="001B3113" w:rsidRPr="00347553">
        <w:t>G</w:t>
      </w:r>
      <w:r w:rsidR="00D02CB6" w:rsidRPr="00347553">
        <w:t>roup on discrimination against women and girls</w:t>
      </w:r>
      <w:r w:rsidR="001B3113" w:rsidRPr="00347553">
        <w:t>,</w:t>
      </w:r>
      <w:r w:rsidR="00D02CB6" w:rsidRPr="00347553">
        <w:t xml:space="preserve"> </w:t>
      </w:r>
      <w:r w:rsidR="001B3113" w:rsidRPr="00347553">
        <w:t xml:space="preserve">and </w:t>
      </w:r>
      <w:r w:rsidR="00D02CB6" w:rsidRPr="00347553">
        <w:t>the CEDAW Committee</w:t>
      </w:r>
      <w:r w:rsidRPr="00347553">
        <w:t xml:space="preserve">, sent an expert opinion letter to the Council of </w:t>
      </w:r>
      <w:r w:rsidR="006C3A3E" w:rsidRPr="00347553">
        <w:t xml:space="preserve">State of </w:t>
      </w:r>
      <w:r w:rsidRPr="00347553">
        <w:t>Türkiye expressing their concerns about the decision to withdraw from the Istanbul Convention.</w:t>
      </w:r>
      <w:r w:rsidRPr="00347553">
        <w:rPr>
          <w:rStyle w:val="FootnoteReference"/>
        </w:rPr>
        <w:footnoteReference w:id="23"/>
      </w:r>
      <w:r w:rsidRPr="00347553">
        <w:t xml:space="preserve"> In t</w:t>
      </w:r>
      <w:r w:rsidR="006C3A3E" w:rsidRPr="00347553">
        <w:t>he letter</w:t>
      </w:r>
      <w:r w:rsidRPr="00347553">
        <w:t xml:space="preserve">, the human rights </w:t>
      </w:r>
      <w:r w:rsidR="001B3113" w:rsidRPr="00347553">
        <w:t>expert</w:t>
      </w:r>
      <w:r w:rsidRPr="00347553">
        <w:t>s</w:t>
      </w:r>
      <w:r w:rsidR="001B3113" w:rsidRPr="00347553">
        <w:t xml:space="preserve"> noted</w:t>
      </w:r>
      <w:r w:rsidRPr="00347553">
        <w:t xml:space="preserve"> that the Istanbul </w:t>
      </w:r>
      <w:r w:rsidR="00801A05" w:rsidRPr="00347553">
        <w:rPr>
          <w:lang w:val="en-US"/>
        </w:rPr>
        <w:t>Convention</w:t>
      </w:r>
      <w:r w:rsidR="001B3113" w:rsidRPr="00347553">
        <w:rPr>
          <w:lang w:val="en-US"/>
        </w:rPr>
        <w:t>,</w:t>
      </w:r>
      <w:r w:rsidRPr="00347553">
        <w:rPr>
          <w:lang w:val="en-US"/>
        </w:rPr>
        <w:t xml:space="preserve"> together with other key human rights treaties t</w:t>
      </w:r>
      <w:r w:rsidR="00B00656">
        <w:rPr>
          <w:lang w:val="en-US"/>
        </w:rPr>
        <w:t>o</w:t>
      </w:r>
      <w:r w:rsidRPr="00347553">
        <w:rPr>
          <w:lang w:val="en-US"/>
        </w:rPr>
        <w:t xml:space="preserve"> </w:t>
      </w:r>
      <w:r w:rsidR="00B00656">
        <w:rPr>
          <w:lang w:val="en-US"/>
        </w:rPr>
        <w:t xml:space="preserve">which </w:t>
      </w:r>
      <w:r w:rsidR="001B3113" w:rsidRPr="00347553">
        <w:rPr>
          <w:lang w:val="en-US"/>
        </w:rPr>
        <w:t>Türkiye</w:t>
      </w:r>
      <w:r w:rsidRPr="00347553">
        <w:rPr>
          <w:lang w:val="en-US"/>
        </w:rPr>
        <w:t xml:space="preserve"> is </w:t>
      </w:r>
      <w:r w:rsidR="00B00656">
        <w:rPr>
          <w:lang w:val="en-US"/>
        </w:rPr>
        <w:t>a signatory(including CEDAW and</w:t>
      </w:r>
      <w:r w:rsidRPr="00347553">
        <w:rPr>
          <w:lang w:val="en-US"/>
        </w:rPr>
        <w:t xml:space="preserve"> </w:t>
      </w:r>
      <w:r w:rsidR="0035774D" w:rsidRPr="00347553">
        <w:rPr>
          <w:lang w:val="en-US"/>
        </w:rPr>
        <w:t xml:space="preserve"> the</w:t>
      </w:r>
      <w:r w:rsidRPr="00347553">
        <w:rPr>
          <w:lang w:val="en-US"/>
        </w:rPr>
        <w:t xml:space="preserve"> European Convention on Human Rights</w:t>
      </w:r>
      <w:r w:rsidR="00B00656">
        <w:rPr>
          <w:lang w:val="en-US"/>
        </w:rPr>
        <w:t>)</w:t>
      </w:r>
      <w:r w:rsidRPr="00347553">
        <w:rPr>
          <w:lang w:val="en-US"/>
        </w:rPr>
        <w:t xml:space="preserve"> have been central to the development of </w:t>
      </w:r>
      <w:r w:rsidR="009D3CF5" w:rsidRPr="00347553">
        <w:rPr>
          <w:lang w:val="en-US"/>
        </w:rPr>
        <w:t>Türkiye</w:t>
      </w:r>
      <w:r w:rsidRPr="00347553">
        <w:rPr>
          <w:lang w:val="en-US"/>
        </w:rPr>
        <w:t>’s national laws and mechanisms to end discrimination against women and girls and to achieve gender equality</w:t>
      </w:r>
      <w:r w:rsidR="0035774D" w:rsidRPr="00347553">
        <w:rPr>
          <w:lang w:val="en-US"/>
        </w:rPr>
        <w:t xml:space="preserve">. </w:t>
      </w:r>
      <w:r w:rsidR="00B62004" w:rsidRPr="00347553">
        <w:rPr>
          <w:rStyle w:val="NoneB"/>
        </w:rPr>
        <w:t xml:space="preserve">In </w:t>
      </w:r>
      <w:r w:rsidRPr="00347553">
        <w:rPr>
          <w:rStyle w:val="NoneB"/>
        </w:rPr>
        <w:t>withdrawing from the Istanbul Convention,</w:t>
      </w:r>
      <w:r w:rsidR="00B62004" w:rsidRPr="00347553">
        <w:rPr>
          <w:rStyle w:val="NoneB"/>
        </w:rPr>
        <w:t xml:space="preserve"> the Government of </w:t>
      </w:r>
      <w:r w:rsidR="001B3113" w:rsidRPr="00347553">
        <w:rPr>
          <w:rStyle w:val="NoneB"/>
        </w:rPr>
        <w:t>Türkiye</w:t>
      </w:r>
      <w:r w:rsidR="00B62004" w:rsidRPr="00347553">
        <w:rPr>
          <w:rStyle w:val="NoneB"/>
        </w:rPr>
        <w:t xml:space="preserve"> </w:t>
      </w:r>
      <w:r w:rsidRPr="00347553">
        <w:rPr>
          <w:rStyle w:val="NoneB"/>
        </w:rPr>
        <w:t>conveyed</w:t>
      </w:r>
      <w:r w:rsidR="00B62004" w:rsidRPr="00347553">
        <w:rPr>
          <w:rStyle w:val="NoneB"/>
        </w:rPr>
        <w:t xml:space="preserve"> the message that its </w:t>
      </w:r>
      <w:r w:rsidR="00D02CB6" w:rsidRPr="00347553">
        <w:rPr>
          <w:rStyle w:val="NoneB"/>
        </w:rPr>
        <w:t>commitment</w:t>
      </w:r>
      <w:r w:rsidR="00B62004" w:rsidRPr="00347553">
        <w:rPr>
          <w:rStyle w:val="NoneB"/>
        </w:rPr>
        <w:t xml:space="preserve"> towards ending discrimination against women and girls has been weakened. </w:t>
      </w:r>
      <w:r w:rsidR="008C4355" w:rsidRPr="00347553">
        <w:t xml:space="preserve">  </w:t>
      </w:r>
    </w:p>
    <w:p w14:paraId="4BA5421A" w14:textId="1D728D43" w:rsidR="0008405E" w:rsidRPr="00347553" w:rsidRDefault="00BA00D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rPr>
      </w:pPr>
      <w:r w:rsidRPr="00347553">
        <w:rPr>
          <w:rStyle w:val="NoneB"/>
        </w:rPr>
        <w:t xml:space="preserve">The </w:t>
      </w:r>
      <w:r w:rsidR="00D02CB6" w:rsidRPr="00347553">
        <w:rPr>
          <w:rStyle w:val="NoneB"/>
        </w:rPr>
        <w:t xml:space="preserve">withdrawal of </w:t>
      </w:r>
      <w:r w:rsidR="001B3113" w:rsidRPr="00347553">
        <w:rPr>
          <w:rStyle w:val="NoneB"/>
        </w:rPr>
        <w:t>Türkiye</w:t>
      </w:r>
      <w:r w:rsidR="00D02CB6" w:rsidRPr="00347553">
        <w:rPr>
          <w:rStyle w:val="NoneB"/>
        </w:rPr>
        <w:t xml:space="preserve"> from the Istanbul Convention played into the hands</w:t>
      </w:r>
      <w:r w:rsidR="00136803" w:rsidRPr="00347553">
        <w:rPr>
          <w:rStyle w:val="NoneB"/>
        </w:rPr>
        <w:t xml:space="preserve"> of </w:t>
      </w:r>
      <w:r w:rsidR="00D02CB6" w:rsidRPr="00347553">
        <w:rPr>
          <w:lang w:val="en-US"/>
        </w:rPr>
        <w:t xml:space="preserve">public figures and regressive voices within Turkish society </w:t>
      </w:r>
      <w:r w:rsidR="00FF0649">
        <w:rPr>
          <w:lang w:val="en-US"/>
        </w:rPr>
        <w:t>who</w:t>
      </w:r>
      <w:r w:rsidR="00D02CB6" w:rsidRPr="00347553">
        <w:rPr>
          <w:lang w:val="en-US"/>
        </w:rPr>
        <w:t xml:space="preserve"> had </w:t>
      </w:r>
      <w:r w:rsidR="00061924" w:rsidRPr="00347553">
        <w:rPr>
          <w:rStyle w:val="NoneB"/>
        </w:rPr>
        <w:t>organized</w:t>
      </w:r>
      <w:r w:rsidR="00136803" w:rsidRPr="00347553">
        <w:rPr>
          <w:rStyle w:val="NoneB"/>
        </w:rPr>
        <w:t xml:space="preserve"> campaigns of misinformation </w:t>
      </w:r>
      <w:r w:rsidRPr="00347553">
        <w:rPr>
          <w:rStyle w:val="NoneB"/>
        </w:rPr>
        <w:t xml:space="preserve">particularly </w:t>
      </w:r>
      <w:r w:rsidRPr="00472720">
        <w:rPr>
          <w:rStyle w:val="NoneB"/>
          <w:lang w:val="en-GB"/>
        </w:rPr>
        <w:t>around</w:t>
      </w:r>
      <w:r w:rsidRPr="00347553">
        <w:rPr>
          <w:rStyle w:val="NoneB"/>
        </w:rPr>
        <w:t xml:space="preserve"> </w:t>
      </w:r>
      <w:r w:rsidR="00136803" w:rsidRPr="00347553">
        <w:rPr>
          <w:rStyle w:val="NoneB"/>
        </w:rPr>
        <w:t>the term “gender”.</w:t>
      </w:r>
      <w:r w:rsidR="00061924" w:rsidRPr="00347553">
        <w:rPr>
          <w:rStyle w:val="NoneB"/>
        </w:rPr>
        <w:t xml:space="preserve"> </w:t>
      </w:r>
      <w:r w:rsidRPr="00347553">
        <w:rPr>
          <w:rStyle w:val="NoneB"/>
        </w:rPr>
        <w:t>The Special Rapporteur regrets that the</w:t>
      </w:r>
      <w:r w:rsidR="00061924" w:rsidRPr="00347553">
        <w:rPr>
          <w:rStyle w:val="NoneB"/>
        </w:rPr>
        <w:t xml:space="preserve"> Government of </w:t>
      </w:r>
      <w:r w:rsidR="001B3113" w:rsidRPr="00347553">
        <w:rPr>
          <w:rStyle w:val="NoneB"/>
        </w:rPr>
        <w:t>Türkiye</w:t>
      </w:r>
      <w:r w:rsidR="00061924" w:rsidRPr="00347553">
        <w:rPr>
          <w:rStyle w:val="NoneB"/>
        </w:rPr>
        <w:t xml:space="preserve"> </w:t>
      </w:r>
      <w:r w:rsidRPr="00347553">
        <w:rPr>
          <w:rStyle w:val="NoneB"/>
        </w:rPr>
        <w:t>did</w:t>
      </w:r>
      <w:r w:rsidR="00061924" w:rsidRPr="00347553">
        <w:rPr>
          <w:rStyle w:val="NoneB"/>
        </w:rPr>
        <w:t xml:space="preserve"> </w:t>
      </w:r>
      <w:r w:rsidRPr="00347553">
        <w:rPr>
          <w:rStyle w:val="NoneB"/>
        </w:rPr>
        <w:t>not take more proactive steps to</w:t>
      </w:r>
      <w:r w:rsidR="00061924" w:rsidRPr="00347553">
        <w:rPr>
          <w:rStyle w:val="NoneB"/>
        </w:rPr>
        <w:t xml:space="preserve"> </w:t>
      </w:r>
      <w:r w:rsidR="00881BFB" w:rsidRPr="00347553">
        <w:rPr>
          <w:rStyle w:val="NoneB"/>
        </w:rPr>
        <w:t>counteract these</w:t>
      </w:r>
      <w:r w:rsidR="00061924" w:rsidRPr="00347553">
        <w:rPr>
          <w:rStyle w:val="NoneB"/>
        </w:rPr>
        <w:t xml:space="preserve"> campaigns </w:t>
      </w:r>
      <w:r w:rsidRPr="00347553">
        <w:rPr>
          <w:rStyle w:val="NoneB"/>
        </w:rPr>
        <w:t>and</w:t>
      </w:r>
      <w:r w:rsidR="00061924" w:rsidRPr="00347553">
        <w:rPr>
          <w:rStyle w:val="NoneB"/>
        </w:rPr>
        <w:t xml:space="preserve"> clarify to the Turkish public that “gender” is mentioned in article 4 of the Istanbul Convention as one of the grounds on which discrimination is not allowed</w:t>
      </w:r>
      <w:r w:rsidR="00881BFB" w:rsidRPr="00347553">
        <w:rPr>
          <w:rStyle w:val="NoneB"/>
        </w:rPr>
        <w:t xml:space="preserve"> and that the relevant article does not</w:t>
      </w:r>
      <w:r w:rsidR="00061924" w:rsidRPr="00347553">
        <w:rPr>
          <w:rStyle w:val="NoneB"/>
        </w:rPr>
        <w:t xml:space="preserve"> promulgate or advocate for any </w:t>
      </w:r>
      <w:proofErr w:type="gramStart"/>
      <w:r w:rsidR="00061924" w:rsidRPr="00347553">
        <w:rPr>
          <w:rStyle w:val="NoneB"/>
        </w:rPr>
        <w:t>particular gender</w:t>
      </w:r>
      <w:proofErr w:type="gramEnd"/>
      <w:r w:rsidR="00061924" w:rsidRPr="00347553">
        <w:rPr>
          <w:rStyle w:val="NoneB"/>
        </w:rPr>
        <w:t xml:space="preserve"> ideology or sexual orientation. </w:t>
      </w:r>
      <w:r w:rsidR="00881BFB" w:rsidRPr="00347553">
        <w:rPr>
          <w:rStyle w:val="NoneB"/>
        </w:rPr>
        <w:t>The duty</w:t>
      </w:r>
      <w:r w:rsidR="00061924" w:rsidRPr="00347553">
        <w:rPr>
          <w:lang w:val="en-US"/>
        </w:rPr>
        <w:t xml:space="preserve"> not to discriminate on any grounds is a fundamental principle of human rights law and is enshrined in many of the treaties t</w:t>
      </w:r>
      <w:r w:rsidR="00513715" w:rsidRPr="00347553">
        <w:rPr>
          <w:lang w:val="en-US"/>
        </w:rPr>
        <w:t>o which</w:t>
      </w:r>
      <w:r w:rsidR="00061924" w:rsidRPr="00347553">
        <w:rPr>
          <w:lang w:val="en-US"/>
        </w:rPr>
        <w:t xml:space="preserve"> </w:t>
      </w:r>
      <w:r w:rsidR="00513715" w:rsidRPr="00347553">
        <w:rPr>
          <w:lang w:val="en-US"/>
        </w:rPr>
        <w:t>Türkiye</w:t>
      </w:r>
      <w:r w:rsidR="00061924" w:rsidRPr="00347553">
        <w:rPr>
          <w:lang w:val="en-US"/>
        </w:rPr>
        <w:t xml:space="preserve"> is party.</w:t>
      </w:r>
      <w:r w:rsidR="00061924" w:rsidRPr="00347553">
        <w:rPr>
          <w:rStyle w:val="FootnoteReference"/>
          <w:lang w:val="en-US"/>
        </w:rPr>
        <w:footnoteReference w:id="24"/>
      </w:r>
      <w:r w:rsidR="00881BFB" w:rsidRPr="00347553">
        <w:rPr>
          <w:lang w:val="en-US"/>
        </w:rPr>
        <w:t xml:space="preserve"> </w:t>
      </w:r>
    </w:p>
    <w:bookmarkEnd w:id="5"/>
    <w:p w14:paraId="1F8E4529" w14:textId="7741DBCE" w:rsidR="0029409C" w:rsidRPr="00347553" w:rsidRDefault="0029409C" w:rsidP="00C22292">
      <w:pPr>
        <w:pStyle w:val="H1G"/>
        <w:numPr>
          <w:ilvl w:val="0"/>
          <w:numId w:val="9"/>
        </w:numPr>
        <w:tabs>
          <w:tab w:val="clear" w:pos="851"/>
          <w:tab w:val="right" w:pos="720"/>
          <w:tab w:val="left" w:pos="1701"/>
        </w:tabs>
        <w:ind w:hanging="513"/>
        <w:rPr>
          <w:b w:val="0"/>
          <w:bCs/>
          <w:szCs w:val="24"/>
        </w:rPr>
      </w:pPr>
      <w:r w:rsidRPr="00C36FB8">
        <w:rPr>
          <w:lang w:val="en-US"/>
        </w:rPr>
        <w:t>Constitutional</w:t>
      </w:r>
      <w:r w:rsidRPr="00347553">
        <w:rPr>
          <w:bCs/>
          <w:szCs w:val="24"/>
        </w:rPr>
        <w:t>, legislative and policy framework</w:t>
      </w:r>
    </w:p>
    <w:p w14:paraId="6C496989" w14:textId="4EA1F3F8" w:rsidR="00B74807" w:rsidRPr="003F0DFB" w:rsidRDefault="00715341"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rPr>
          <w:rStyle w:val="NoneB"/>
        </w:rPr>
        <w:t>Article 10 of the Constitution of Türkiye specifically provides that everyone is equal before the law without distinction</w:t>
      </w:r>
      <w:r w:rsidR="003972E5" w:rsidRPr="00347553">
        <w:rPr>
          <w:rFonts w:eastAsia="Calibri"/>
          <w:spacing w:val="4"/>
          <w:w w:val="103"/>
          <w:kern w:val="14"/>
        </w:rPr>
        <w:t xml:space="preserve">, including </w:t>
      </w:r>
      <w:r w:rsidR="006C0DE3" w:rsidRPr="00347553">
        <w:rPr>
          <w:rFonts w:eastAsia="Calibri"/>
          <w:spacing w:val="4"/>
          <w:w w:val="103"/>
          <w:kern w:val="14"/>
        </w:rPr>
        <w:t>o</w:t>
      </w:r>
      <w:r w:rsidR="003972E5" w:rsidRPr="00347553">
        <w:rPr>
          <w:rFonts w:eastAsia="Calibri"/>
          <w:spacing w:val="4"/>
          <w:w w:val="103"/>
          <w:kern w:val="14"/>
        </w:rPr>
        <w:t xml:space="preserve">n the grounds of language, race, colour, sex, political opinion, philosophical </w:t>
      </w:r>
      <w:proofErr w:type="gramStart"/>
      <w:r w:rsidR="003972E5" w:rsidRPr="00347553">
        <w:rPr>
          <w:rFonts w:eastAsia="Calibri"/>
          <w:spacing w:val="4"/>
          <w:w w:val="103"/>
          <w:kern w:val="14"/>
        </w:rPr>
        <w:t>belief</w:t>
      </w:r>
      <w:proofErr w:type="gramEnd"/>
      <w:r w:rsidR="00B54534" w:rsidRPr="00347553">
        <w:rPr>
          <w:rFonts w:eastAsia="Calibri"/>
          <w:spacing w:val="4"/>
          <w:w w:val="103"/>
          <w:kern w:val="14"/>
        </w:rPr>
        <w:t xml:space="preserve"> and</w:t>
      </w:r>
      <w:r w:rsidR="003972E5" w:rsidRPr="00347553">
        <w:rPr>
          <w:rFonts w:eastAsia="Calibri"/>
          <w:spacing w:val="4"/>
          <w:w w:val="103"/>
          <w:kern w:val="14"/>
        </w:rPr>
        <w:t xml:space="preserve"> religion. Men and women have equal rights before the law, and t</w:t>
      </w:r>
      <w:r w:rsidRPr="00347553">
        <w:rPr>
          <w:rStyle w:val="NoneB"/>
        </w:rPr>
        <w:t xml:space="preserve">he State </w:t>
      </w:r>
      <w:r w:rsidR="003972E5" w:rsidRPr="00347553">
        <w:rPr>
          <w:rStyle w:val="NoneB"/>
        </w:rPr>
        <w:t>is</w:t>
      </w:r>
      <w:r w:rsidRPr="00347553">
        <w:rPr>
          <w:rStyle w:val="NoneB"/>
        </w:rPr>
        <w:t xml:space="preserve"> oblig</w:t>
      </w:r>
      <w:r w:rsidR="003972E5" w:rsidRPr="00347553">
        <w:rPr>
          <w:rStyle w:val="NoneB"/>
        </w:rPr>
        <w:t>ed</w:t>
      </w:r>
      <w:r w:rsidRPr="00347553">
        <w:rPr>
          <w:rStyle w:val="NoneB"/>
        </w:rPr>
        <w:t xml:space="preserve"> to ensure that </w:t>
      </w:r>
      <w:r w:rsidR="003972E5" w:rsidRPr="00347553">
        <w:rPr>
          <w:rStyle w:val="NoneB"/>
        </w:rPr>
        <w:t>such</w:t>
      </w:r>
      <w:r w:rsidRPr="00347553">
        <w:rPr>
          <w:rStyle w:val="NoneB"/>
        </w:rPr>
        <w:t xml:space="preserve"> equality exists in practice and any </w:t>
      </w:r>
      <w:r w:rsidRPr="00472720">
        <w:rPr>
          <w:rStyle w:val="NoneB"/>
          <w:lang w:val="en-GB"/>
        </w:rPr>
        <w:t>measures</w:t>
      </w:r>
      <w:r w:rsidRPr="00347553">
        <w:rPr>
          <w:rStyle w:val="NoneB"/>
        </w:rPr>
        <w:t xml:space="preserve"> taken for this purpose shall not be interpreted as contrary to the principle of equality.</w:t>
      </w:r>
    </w:p>
    <w:p w14:paraId="2FE7461B" w14:textId="77777777" w:rsidR="00A23FDF" w:rsidRDefault="0029409C" w:rsidP="00C22292">
      <w:pPr>
        <w:pStyle w:val="BodyA"/>
        <w:tabs>
          <w:tab w:val="left" w:pos="1701"/>
        </w:tabs>
        <w:spacing w:before="100" w:after="100" w:line="276" w:lineRule="auto"/>
        <w:ind w:left="720" w:firstLine="720"/>
        <w:jc w:val="both"/>
        <w:rPr>
          <w:b/>
          <w:bCs/>
          <w:color w:val="auto"/>
        </w:rPr>
      </w:pPr>
      <w:r w:rsidRPr="00347553">
        <w:rPr>
          <w:b/>
          <w:bCs/>
          <w:color w:val="auto"/>
        </w:rPr>
        <w:t xml:space="preserve">(i) Legislative framework and policies on combating and preventing violence against </w:t>
      </w:r>
    </w:p>
    <w:p w14:paraId="205F5892" w14:textId="18167084" w:rsidR="0029409C" w:rsidRPr="00347553" w:rsidRDefault="0029409C" w:rsidP="00C22292">
      <w:pPr>
        <w:pStyle w:val="BodyA"/>
        <w:tabs>
          <w:tab w:val="left" w:pos="1701"/>
        </w:tabs>
        <w:spacing w:before="100" w:after="100" w:line="276" w:lineRule="auto"/>
        <w:ind w:left="720" w:firstLine="720"/>
        <w:jc w:val="both"/>
        <w:rPr>
          <w:rStyle w:val="NoneB"/>
          <w:rFonts w:eastAsia="Times New Roman" w:cs="Times New Roman"/>
          <w:color w:val="auto"/>
        </w:rPr>
      </w:pPr>
      <w:r w:rsidRPr="00347553">
        <w:rPr>
          <w:b/>
          <w:bCs/>
          <w:color w:val="auto"/>
        </w:rPr>
        <w:t>women</w:t>
      </w:r>
    </w:p>
    <w:p w14:paraId="076E628B" w14:textId="36194683" w:rsidR="0029409C" w:rsidRPr="00347553" w:rsidRDefault="00815EF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C</w:t>
      </w:r>
      <w:r w:rsidR="005D2B03" w:rsidRPr="00347553">
        <w:t xml:space="preserve">onsiderable strides </w:t>
      </w:r>
      <w:r w:rsidRPr="00347553">
        <w:t xml:space="preserve">have been made </w:t>
      </w:r>
      <w:r w:rsidR="005D2B03" w:rsidRPr="00347553">
        <w:t xml:space="preserve">over the last 15 years </w:t>
      </w:r>
      <w:r w:rsidRPr="00347553">
        <w:t xml:space="preserve">to </w:t>
      </w:r>
      <w:r w:rsidR="005D2B03" w:rsidRPr="00347553">
        <w:t xml:space="preserve">strengthen </w:t>
      </w:r>
      <w:r w:rsidRPr="00347553">
        <w:t>the country’s</w:t>
      </w:r>
      <w:r w:rsidR="005D2B03" w:rsidRPr="00347553">
        <w:t xml:space="preserve"> legal framework to eliminate discrimination and combat violence against women and girls, including</w:t>
      </w:r>
      <w:r w:rsidR="009C07BC" w:rsidRPr="00347553">
        <w:t xml:space="preserve"> through the adoption of </w:t>
      </w:r>
      <w:bookmarkStart w:id="6" w:name="_Hlk127026078"/>
      <w:bookmarkStart w:id="7" w:name="_Hlk127026310"/>
      <w:r w:rsidRPr="00347553">
        <w:t xml:space="preserve">Law No. 6284/2012 </w:t>
      </w:r>
      <w:bookmarkEnd w:id="6"/>
      <w:r w:rsidRPr="00347553">
        <w:t>on the Protection of Family and Prevention of Violence against Women</w:t>
      </w:r>
      <w:bookmarkEnd w:id="7"/>
      <w:r w:rsidRPr="00347553">
        <w:t>, and four</w:t>
      </w:r>
      <w:r w:rsidR="009C07BC" w:rsidRPr="00347553">
        <w:t xml:space="preserve"> consecutive National Action Plans to Combat Violence Against Women since 2007, with the most recent being its Fourth National Action Plan for the </w:t>
      </w:r>
      <w:r w:rsidR="009C07BC" w:rsidRPr="00472720">
        <w:rPr>
          <w:rStyle w:val="NoneB"/>
          <w:lang w:val="en-GB"/>
        </w:rPr>
        <w:t>Period</w:t>
      </w:r>
      <w:r w:rsidR="009C07BC" w:rsidRPr="00347553">
        <w:t xml:space="preserve"> of 2021-2025. The inclusion of several important measures in the recently adopted National Human Rights Action Plan is also a welcome development.</w:t>
      </w:r>
      <w:r w:rsidRPr="00347553">
        <w:t xml:space="preserve"> Although this progress is indeed important, considerable gaps </w:t>
      </w:r>
      <w:r w:rsidR="00EF104A" w:rsidRPr="00347553">
        <w:t xml:space="preserve">remain </w:t>
      </w:r>
      <w:r w:rsidRPr="00347553">
        <w:t xml:space="preserve">with respect to </w:t>
      </w:r>
      <w:r w:rsidR="00EF104A" w:rsidRPr="00347553">
        <w:t xml:space="preserve">both the scope and </w:t>
      </w:r>
      <w:r w:rsidR="00EF104A" w:rsidRPr="00DA1C4B">
        <w:t xml:space="preserve">implementation of </w:t>
      </w:r>
      <w:r w:rsidRPr="00DA1C4B">
        <w:t xml:space="preserve">laws relating to the rights of women and girls, </w:t>
      </w:r>
      <w:r w:rsidR="00EF104A" w:rsidRPr="00347553">
        <w:t xml:space="preserve">and as such </w:t>
      </w:r>
      <w:r w:rsidRPr="00347553">
        <w:t>continue to pose significant challenges particularly at the local level and in remote areas</w:t>
      </w:r>
      <w:r w:rsidR="0029409C" w:rsidRPr="00347553">
        <w:t>.</w:t>
      </w:r>
    </w:p>
    <w:p w14:paraId="2A895C92" w14:textId="199DCD05" w:rsidR="0029409C" w:rsidRPr="00347553" w:rsidRDefault="00DE1098"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While t</w:t>
      </w:r>
      <w:r w:rsidR="00B54534" w:rsidRPr="00347553">
        <w:t>he Special Rapporteur welcomes the</w:t>
      </w:r>
      <w:r w:rsidRPr="00347553">
        <w:t xml:space="preserve"> adoption of a Parliamentary Inquiry Commission</w:t>
      </w:r>
      <w:r w:rsidRPr="00347553">
        <w:rPr>
          <w:rStyle w:val="FootnoteReference"/>
        </w:rPr>
        <w:footnoteReference w:id="25"/>
      </w:r>
      <w:r w:rsidRPr="00347553">
        <w:t xml:space="preserve"> </w:t>
      </w:r>
      <w:r w:rsidR="009403C2" w:rsidRPr="00347553">
        <w:t xml:space="preserve">report </w:t>
      </w:r>
      <w:r w:rsidR="005E0453" w:rsidRPr="00347553">
        <w:t>in March 2022 by the Turkish Grand National Assembly</w:t>
      </w:r>
      <w:r w:rsidR="004632EF" w:rsidRPr="00347553">
        <w:t>,</w:t>
      </w:r>
      <w:r w:rsidR="005E0453" w:rsidRPr="00347553">
        <w:t xml:space="preserve"> which </w:t>
      </w:r>
      <w:r w:rsidR="009403C2" w:rsidRPr="00347553">
        <w:t>examin</w:t>
      </w:r>
      <w:r w:rsidR="005E0453" w:rsidRPr="00347553">
        <w:t>es</w:t>
      </w:r>
      <w:r w:rsidR="009403C2" w:rsidRPr="00347553">
        <w:t xml:space="preserve"> the causes of violence against women</w:t>
      </w:r>
      <w:r w:rsidR="004632EF" w:rsidRPr="00347553">
        <w:t xml:space="preserve"> in Türkiye</w:t>
      </w:r>
      <w:r w:rsidR="009403C2" w:rsidRPr="00347553">
        <w:t xml:space="preserve">, she notes that </w:t>
      </w:r>
      <w:r w:rsidR="005E0453" w:rsidRPr="00347553">
        <w:t>the</w:t>
      </w:r>
      <w:r w:rsidR="009403C2" w:rsidRPr="00347553">
        <w:t xml:space="preserve"> </w:t>
      </w:r>
      <w:r w:rsidR="005E0453" w:rsidRPr="00347553">
        <w:t xml:space="preserve">report </w:t>
      </w:r>
      <w:r w:rsidR="00BA00DA" w:rsidRPr="00347553">
        <w:t xml:space="preserve">produced by the Commission </w:t>
      </w:r>
      <w:r w:rsidR="005E0453" w:rsidRPr="00347553">
        <w:t>provides</w:t>
      </w:r>
      <w:r w:rsidR="009403C2" w:rsidRPr="00347553">
        <w:t xml:space="preserve"> </w:t>
      </w:r>
      <w:r w:rsidR="00BA00DA" w:rsidRPr="00347553">
        <w:t xml:space="preserve">only </w:t>
      </w:r>
      <w:r w:rsidR="005E0453" w:rsidRPr="00347553">
        <w:t>a limited</w:t>
      </w:r>
      <w:r w:rsidR="009403C2" w:rsidRPr="00347553">
        <w:t xml:space="preserve"> analysis </w:t>
      </w:r>
      <w:r w:rsidR="005E0453" w:rsidRPr="00347553">
        <w:t>of</w:t>
      </w:r>
      <w:r w:rsidR="009403C2" w:rsidRPr="00347553">
        <w:t xml:space="preserve"> the implementation of </w:t>
      </w:r>
      <w:r w:rsidR="004632EF" w:rsidRPr="00347553">
        <w:t>the country’s</w:t>
      </w:r>
      <w:r w:rsidR="009403C2" w:rsidRPr="00347553">
        <w:t xml:space="preserve"> </w:t>
      </w:r>
      <w:r w:rsidR="004632EF" w:rsidRPr="00347553">
        <w:t xml:space="preserve">wide-ranging </w:t>
      </w:r>
      <w:r w:rsidR="009403C2" w:rsidRPr="00347553">
        <w:t>framework to combat domestic violence</w:t>
      </w:r>
      <w:r w:rsidR="00102DE3" w:rsidRPr="00347553">
        <w:t>.</w:t>
      </w:r>
      <w:r w:rsidR="004632EF" w:rsidRPr="00347553">
        <w:t xml:space="preserve"> </w:t>
      </w:r>
      <w:r w:rsidR="005D0509" w:rsidRPr="00347553">
        <w:t xml:space="preserve">The the report </w:t>
      </w:r>
      <w:r w:rsidR="009C14F1">
        <w:t xml:space="preserve">does acknowledge </w:t>
      </w:r>
      <w:r w:rsidR="005D0509" w:rsidRPr="00347553">
        <w:t>that</w:t>
      </w:r>
      <w:r w:rsidR="00BA00DA" w:rsidRPr="00347553">
        <w:t xml:space="preserve"> gaps in protection </w:t>
      </w:r>
      <w:r w:rsidR="005D0509" w:rsidRPr="00347553">
        <w:t>exist and provi</w:t>
      </w:r>
      <w:r w:rsidR="009C14F1">
        <w:t>des</w:t>
      </w:r>
      <w:r w:rsidR="005D0509" w:rsidRPr="00347553">
        <w:t xml:space="preserve"> </w:t>
      </w:r>
      <w:r w:rsidR="00BA00DA" w:rsidRPr="00347553">
        <w:t xml:space="preserve">numerous recommendations to improve coordination between agencies, to increase awareness, capacity, monitoring and training, and to standardize data collection. </w:t>
      </w:r>
    </w:p>
    <w:p w14:paraId="10F3DA00" w14:textId="5972417B" w:rsidR="0029409C" w:rsidRPr="00347553" w:rsidRDefault="003F0DFB" w:rsidP="00C22292">
      <w:pPr>
        <w:pStyle w:val="SingleTxtG"/>
        <w:tabs>
          <w:tab w:val="left" w:pos="1701"/>
        </w:tabs>
        <w:spacing w:line="276" w:lineRule="auto"/>
        <w:rPr>
          <w:i/>
          <w:iCs/>
        </w:rPr>
      </w:pPr>
      <w:r>
        <w:rPr>
          <w:i/>
          <w:iCs/>
        </w:rPr>
        <w:t xml:space="preserve"> </w:t>
      </w:r>
      <w:r w:rsidR="0094327D">
        <w:rPr>
          <w:i/>
          <w:iCs/>
        </w:rPr>
        <w:tab/>
      </w:r>
      <w:r w:rsidR="0029409C" w:rsidRPr="00347553">
        <w:rPr>
          <w:i/>
          <w:iCs/>
        </w:rPr>
        <w:t>(a) Law No. 6284/2012 on the Protection of Family and Prevention of Violence against Women</w:t>
      </w:r>
    </w:p>
    <w:p w14:paraId="1122FADB" w14:textId="25196DFB" w:rsidR="0029409C" w:rsidRPr="00347553" w:rsidRDefault="00EF104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Law No. 6284/2012 on the Protection of Family and Prevention of Violence against Women</w:t>
      </w:r>
      <w:r w:rsidR="00110169" w:rsidRPr="00347553">
        <w:t xml:space="preserve">, and it’s Implementing Regulation </w:t>
      </w:r>
      <w:r w:rsidR="002746D9" w:rsidRPr="00347553">
        <w:t xml:space="preserve">represent an important step in advancing women’s rights.  The law contains many progressive provisions, </w:t>
      </w:r>
      <w:r w:rsidR="007457FD" w:rsidRPr="00347553">
        <w:t>including</w:t>
      </w:r>
      <w:r w:rsidR="002746D9" w:rsidRPr="00347553">
        <w:t xml:space="preserve"> comprehensive measures on prevention, </w:t>
      </w:r>
      <w:proofErr w:type="gramStart"/>
      <w:r w:rsidR="002746D9" w:rsidRPr="00347553">
        <w:t>protection</w:t>
      </w:r>
      <w:proofErr w:type="gramEnd"/>
      <w:r w:rsidR="002746D9" w:rsidRPr="00347553">
        <w:t xml:space="preserve"> and reparation. The law refers to </w:t>
      </w:r>
      <w:r w:rsidR="007457FD" w:rsidRPr="00347553">
        <w:t>many</w:t>
      </w:r>
      <w:r w:rsidR="002746D9" w:rsidRPr="00347553">
        <w:t xml:space="preserve"> forms of violence against women and girls in all settings and provides for a national inter-sectorial system for its implementation</w:t>
      </w:r>
      <w:r w:rsidR="00C46245" w:rsidRPr="00347553">
        <w:t xml:space="preserve">. </w:t>
      </w:r>
      <w:r w:rsidR="000A68BD" w:rsidRPr="00347553">
        <w:t>Law</w:t>
      </w:r>
      <w:r w:rsidR="002746D9" w:rsidRPr="00347553">
        <w:t xml:space="preserve"> </w:t>
      </w:r>
      <w:r w:rsidR="002F0AB0" w:rsidRPr="00347553">
        <w:t xml:space="preserve">No.6284 also </w:t>
      </w:r>
      <w:r w:rsidR="00C9755D" w:rsidRPr="00347553">
        <w:t xml:space="preserve">broadens the definition of gender-based </w:t>
      </w:r>
      <w:r w:rsidR="00C9755D" w:rsidRPr="00472720">
        <w:rPr>
          <w:rStyle w:val="NoneB"/>
          <w:lang w:val="en-GB"/>
        </w:rPr>
        <w:t>violence</w:t>
      </w:r>
      <w:r w:rsidR="00C9755D" w:rsidRPr="00347553">
        <w:t xml:space="preserve"> to include physical, verbal, sexual, economic, and psychological violence </w:t>
      </w:r>
      <w:r w:rsidR="000A68BD" w:rsidRPr="00347553">
        <w:t>and establishes measures to protect women, children, family members and victims of stalking, who have been subjected to violence or are at the risk of violence</w:t>
      </w:r>
      <w:r w:rsidR="005D5FAE" w:rsidRPr="00347553">
        <w:rPr>
          <w:rStyle w:val="FootnoteReference"/>
        </w:rPr>
        <w:footnoteReference w:id="26"/>
      </w:r>
      <w:r w:rsidR="007457FD" w:rsidRPr="00347553">
        <w:t>.  It also</w:t>
      </w:r>
      <w:r w:rsidR="000A68BD" w:rsidRPr="00347553">
        <w:t xml:space="preserve"> enables the prosecution and punishment of perpetrators.  </w:t>
      </w:r>
      <w:r w:rsidR="002746D9" w:rsidRPr="00347553">
        <w:t xml:space="preserve">It recalls, as its foundation, </w:t>
      </w:r>
      <w:r w:rsidR="005D5FAE" w:rsidRPr="00347553">
        <w:t xml:space="preserve">the Constitution along with the international agreements to which Türkiye is a party, especially </w:t>
      </w:r>
      <w:r w:rsidR="0053501A">
        <w:t xml:space="preserve">CEDAW and </w:t>
      </w:r>
      <w:r w:rsidR="005D5FAE" w:rsidRPr="00347553">
        <w:t>the Istanbul Convention</w:t>
      </w:r>
      <w:r w:rsidR="000D1AC6" w:rsidRPr="00347553">
        <w:t>,</w:t>
      </w:r>
      <w:r w:rsidR="002746D9" w:rsidRPr="00347553">
        <w:t xml:space="preserve"> </w:t>
      </w:r>
      <w:r w:rsidR="005D5FAE" w:rsidRPr="00347553">
        <w:t>noting that they and other current regulations shall prevail</w:t>
      </w:r>
      <w:r w:rsidR="002746D9" w:rsidRPr="00347553">
        <w:t>.</w:t>
      </w:r>
      <w:r w:rsidR="005D5FAE" w:rsidRPr="00347553">
        <w:rPr>
          <w:rStyle w:val="FootnoteReference"/>
        </w:rPr>
        <w:footnoteReference w:id="27"/>
      </w:r>
      <w:r w:rsidR="002746D9" w:rsidRPr="00347553">
        <w:t xml:space="preserve">  </w:t>
      </w:r>
    </w:p>
    <w:p w14:paraId="5871FBD5" w14:textId="5B9CEE4E" w:rsidR="0029409C" w:rsidRPr="00347553" w:rsidRDefault="00DB6522"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Law No. 6284 </w:t>
      </w:r>
      <w:r w:rsidR="006D4247" w:rsidRPr="00347553">
        <w:t>extend</w:t>
      </w:r>
      <w:r w:rsidR="00206AC8" w:rsidRPr="00347553">
        <w:t>s</w:t>
      </w:r>
      <w:r w:rsidR="006D4247" w:rsidRPr="00347553">
        <w:t xml:space="preserve"> existing protective measures to all women, regardless of their marital status, and proposes</w:t>
      </w:r>
      <w:r w:rsidRPr="00347553">
        <w:t xml:space="preserve"> </w:t>
      </w:r>
      <w:r w:rsidR="006D4247" w:rsidRPr="00347553">
        <w:t xml:space="preserve">numerous </w:t>
      </w:r>
      <w:r w:rsidRPr="00347553">
        <w:t>protective measures</w:t>
      </w:r>
      <w:r w:rsidR="006D4247" w:rsidRPr="00347553">
        <w:rPr>
          <w:rStyle w:val="FootnoteReference"/>
        </w:rPr>
        <w:footnoteReference w:id="28"/>
      </w:r>
      <w:r w:rsidR="006D4247" w:rsidRPr="00347553">
        <w:t>. While t</w:t>
      </w:r>
      <w:r w:rsidRPr="00347553">
        <w:t xml:space="preserve">he </w:t>
      </w:r>
      <w:r w:rsidR="006D4247" w:rsidRPr="00347553">
        <w:t>Law protects</w:t>
      </w:r>
      <w:r w:rsidRPr="00347553">
        <w:t xml:space="preserve"> </w:t>
      </w:r>
      <w:r w:rsidR="006D4247" w:rsidRPr="00347553">
        <w:t>survivors of all forms of violence against women</w:t>
      </w:r>
      <w:r w:rsidR="004F0E53">
        <w:t xml:space="preserve"> it </w:t>
      </w:r>
      <w:r w:rsidRPr="00347553">
        <w:t xml:space="preserve">does not qualify acts of </w:t>
      </w:r>
      <w:r w:rsidR="006D4247" w:rsidRPr="00347553">
        <w:t xml:space="preserve">violence against women </w:t>
      </w:r>
      <w:r w:rsidRPr="00347553">
        <w:t xml:space="preserve">as </w:t>
      </w:r>
      <w:r w:rsidRPr="00472720">
        <w:rPr>
          <w:rStyle w:val="NoneB"/>
          <w:lang w:val="en-GB"/>
        </w:rPr>
        <w:t>misdemeanours</w:t>
      </w:r>
      <w:r w:rsidRPr="00347553">
        <w:t xml:space="preserve"> or criminal offences.</w:t>
      </w:r>
      <w:r w:rsidR="004632EF" w:rsidRPr="00347553">
        <w:t xml:space="preserve">  For example, p</w:t>
      </w:r>
      <w:r w:rsidR="00BA599B" w:rsidRPr="00347553">
        <w:t xml:space="preserve">sychological violence is recognized </w:t>
      </w:r>
      <w:r w:rsidR="004632EF" w:rsidRPr="00347553">
        <w:t xml:space="preserve">in Law No. 6284, </w:t>
      </w:r>
      <w:r w:rsidR="00BA599B" w:rsidRPr="00347553">
        <w:t xml:space="preserve">but it is not </w:t>
      </w:r>
      <w:r w:rsidR="008C34CC">
        <w:t xml:space="preserve">explicitly </w:t>
      </w:r>
      <w:r w:rsidR="00BA599B" w:rsidRPr="00347553">
        <w:t xml:space="preserve">criminalized in the </w:t>
      </w:r>
      <w:r w:rsidR="002F0AB0" w:rsidRPr="00347553">
        <w:t>Pen</w:t>
      </w:r>
      <w:r w:rsidR="00BA599B" w:rsidRPr="00347553">
        <w:t>al Code.</w:t>
      </w:r>
      <w:r w:rsidR="00BA599B" w:rsidRPr="00347553">
        <w:rPr>
          <w:rStyle w:val="FootnoteReference"/>
        </w:rPr>
        <w:footnoteReference w:id="29"/>
      </w:r>
      <w:r w:rsidR="00BA599B" w:rsidRPr="00347553">
        <w:t xml:space="preserve"> </w:t>
      </w:r>
    </w:p>
    <w:p w14:paraId="4B277A6D" w14:textId="2E6F190D" w:rsidR="00B606D1" w:rsidRPr="00347553" w:rsidRDefault="000D701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Law No. 6284</w:t>
      </w:r>
      <w:r w:rsidR="004632EF" w:rsidRPr="00347553">
        <w:t xml:space="preserve"> contains numerous promising initiatives</w:t>
      </w:r>
      <w:r w:rsidR="00893882" w:rsidRPr="00347553">
        <w:t xml:space="preserve"> however its implementation is limited due to its incomplete “operationalization”</w:t>
      </w:r>
      <w:r w:rsidR="00DC0DB8" w:rsidRPr="00347553">
        <w:t xml:space="preserve">, along with the lack of </w:t>
      </w:r>
      <w:r w:rsidR="00DC0DB8" w:rsidRPr="00472720">
        <w:rPr>
          <w:rStyle w:val="NoneB"/>
          <w:lang w:val="en-GB"/>
        </w:rPr>
        <w:t>proper</w:t>
      </w:r>
      <w:r w:rsidR="00DC0DB8" w:rsidRPr="00347553">
        <w:t xml:space="preserve"> coordination between the police, the judiciary, social services the health care system and other relevant actors</w:t>
      </w:r>
      <w:r w:rsidR="00DC0DB8" w:rsidRPr="00347553">
        <w:rPr>
          <w:rFonts w:eastAsia="Arial Unicode MS"/>
          <w:u w:color="000000"/>
          <w:bdr w:val="nil"/>
          <w:lang w:eastAsia="en-GB"/>
        </w:rPr>
        <w:t xml:space="preserve">. </w:t>
      </w:r>
    </w:p>
    <w:p w14:paraId="5B6A3538" w14:textId="7720E515" w:rsidR="003F0DFB" w:rsidRPr="009B0B60" w:rsidRDefault="00B606D1"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DA1C4B">
        <w:rPr>
          <w:rFonts w:eastAsia="Arial Unicode MS"/>
          <w:u w:color="000000"/>
          <w:bdr w:val="nil"/>
          <w:lang w:val="en-US" w:eastAsia="en-GB"/>
        </w:rPr>
        <w:t xml:space="preserve">Furthermore, many of the interlocutors with whom the Special Rapporteur met indicated that withdrawal from the Istanbul Convention has not only hindered advancement, but it has also created confusion as to the legality and continued applicability of key provisions in Law No. 6284, that were based on the Convention. </w:t>
      </w:r>
    </w:p>
    <w:p w14:paraId="7692709F" w14:textId="6BE56BEC" w:rsidR="00320F1D" w:rsidRPr="0094327D" w:rsidRDefault="00320F1D" w:rsidP="00C22292">
      <w:pPr>
        <w:pStyle w:val="SingleTxtG"/>
        <w:tabs>
          <w:tab w:val="left" w:pos="1701"/>
        </w:tabs>
        <w:ind w:firstLine="306"/>
        <w:rPr>
          <w:i/>
          <w:iCs/>
        </w:rPr>
      </w:pPr>
      <w:r w:rsidRPr="0094327D">
        <w:rPr>
          <w:i/>
          <w:iCs/>
        </w:rPr>
        <w:t>(b) Penal Code</w:t>
      </w:r>
      <w:r w:rsidR="00895073" w:rsidRPr="0094327D">
        <w:rPr>
          <w:i/>
          <w:iCs/>
        </w:rPr>
        <w:t xml:space="preserve"> and other criminal legislation</w:t>
      </w:r>
    </w:p>
    <w:p w14:paraId="4780CEB5" w14:textId="73A205BD" w:rsidR="002A71D4" w:rsidRPr="00347553" w:rsidRDefault="00BA599B"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A new</w:t>
      </w:r>
      <w:r w:rsidR="00EF104A" w:rsidRPr="00347553">
        <w:t xml:space="preserve"> Penal Code was adopted </w:t>
      </w:r>
      <w:r w:rsidRPr="00347553">
        <w:t xml:space="preserve">in 2004 </w:t>
      </w:r>
      <w:r w:rsidR="00EF104A" w:rsidRPr="00347553">
        <w:t>w</w:t>
      </w:r>
      <w:r w:rsidRPr="00347553">
        <w:t>ith a view to</w:t>
      </w:r>
      <w:r w:rsidR="00EF104A" w:rsidRPr="00347553">
        <w:t xml:space="preserve"> harmoniz</w:t>
      </w:r>
      <w:r w:rsidRPr="00347553">
        <w:t>ing</w:t>
      </w:r>
      <w:r w:rsidR="00EF104A" w:rsidRPr="00347553">
        <w:t xml:space="preserve"> </w:t>
      </w:r>
      <w:r w:rsidRPr="00347553">
        <w:t xml:space="preserve">Türkiye’s </w:t>
      </w:r>
      <w:r w:rsidR="00DC0DB8" w:rsidRPr="00347553">
        <w:t>criminal</w:t>
      </w:r>
      <w:r w:rsidR="00EF104A" w:rsidRPr="00347553">
        <w:t xml:space="preserve"> law </w:t>
      </w:r>
      <w:r w:rsidRPr="00347553">
        <w:t>with</w:t>
      </w:r>
      <w:r w:rsidR="00EF104A" w:rsidRPr="00347553">
        <w:t xml:space="preserve"> EU </w:t>
      </w:r>
      <w:r w:rsidR="0053501A">
        <w:t xml:space="preserve">and international </w:t>
      </w:r>
      <w:r w:rsidR="00EF104A" w:rsidRPr="00347553">
        <w:t>norms.</w:t>
      </w:r>
      <w:r w:rsidRPr="00347553">
        <w:t xml:space="preserve">  </w:t>
      </w:r>
      <w:r w:rsidR="00EF104A" w:rsidRPr="00347553">
        <w:t xml:space="preserve">Article 3 </w:t>
      </w:r>
      <w:r w:rsidR="00A96D99" w:rsidRPr="00347553">
        <w:t xml:space="preserve">of </w:t>
      </w:r>
      <w:r w:rsidR="00EF104A" w:rsidRPr="00347553">
        <w:t xml:space="preserve">the Penal Code states that no discrimination shall be made between persons </w:t>
      </w:r>
      <w:r w:rsidR="004F0E53">
        <w:t xml:space="preserve">on </w:t>
      </w:r>
      <w:proofErr w:type="gramStart"/>
      <w:r w:rsidR="004F0E53">
        <w:t>a number of</w:t>
      </w:r>
      <w:proofErr w:type="gramEnd"/>
      <w:r w:rsidR="004F0E53">
        <w:t xml:space="preserve"> grounds, including on the basis of sex. </w:t>
      </w:r>
    </w:p>
    <w:p w14:paraId="45114428" w14:textId="7E8A67DE" w:rsidR="00973712" w:rsidRPr="00347553" w:rsidRDefault="00302917"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The</w:t>
      </w:r>
      <w:r w:rsidR="00A96D99" w:rsidRPr="00347553">
        <w:t xml:space="preserve"> new Penal Code introduc</w:t>
      </w:r>
      <w:r w:rsidRPr="00347553">
        <w:t xml:space="preserve">ed </w:t>
      </w:r>
      <w:proofErr w:type="gramStart"/>
      <w:r w:rsidRPr="00347553">
        <w:t>a number of</w:t>
      </w:r>
      <w:proofErr w:type="gramEnd"/>
      <w:r w:rsidRPr="00347553">
        <w:t xml:space="preserve"> positive amendments,</w:t>
      </w:r>
      <w:r w:rsidR="00A96D99" w:rsidRPr="00347553">
        <w:t xml:space="preserve"> </w:t>
      </w:r>
      <w:r w:rsidRPr="00347553">
        <w:t>including the prohibition of</w:t>
      </w:r>
      <w:r w:rsidR="00A96D99" w:rsidRPr="00347553">
        <w:t xml:space="preserve"> virginity tests</w:t>
      </w:r>
      <w:r w:rsidRPr="00347553">
        <w:t xml:space="preserve">; </w:t>
      </w:r>
      <w:r w:rsidR="0035211D">
        <w:t xml:space="preserve">and </w:t>
      </w:r>
      <w:r w:rsidRPr="00347553">
        <w:t>provi</w:t>
      </w:r>
      <w:r w:rsidR="00FD4FC3" w:rsidRPr="00347553">
        <w:t>sion</w:t>
      </w:r>
      <w:r w:rsidRPr="00347553">
        <w:t xml:space="preserve"> for </w:t>
      </w:r>
      <w:r w:rsidR="00A96D99" w:rsidRPr="00347553">
        <w:t>longer prison terms for polygamy</w:t>
      </w:r>
      <w:r w:rsidR="0035211D">
        <w:t>..</w:t>
      </w:r>
      <w:r w:rsidR="00A96D99" w:rsidRPr="00347553">
        <w:t xml:space="preserve">. The Code </w:t>
      </w:r>
      <w:r w:rsidR="00BA599B" w:rsidRPr="00347553">
        <w:t xml:space="preserve">also </w:t>
      </w:r>
      <w:r w:rsidRPr="00347553">
        <w:t xml:space="preserve">outlines the </w:t>
      </w:r>
      <w:r w:rsidR="00A96D99" w:rsidRPr="00347553">
        <w:t xml:space="preserve">conditions under which honour killings </w:t>
      </w:r>
      <w:r w:rsidRPr="00347553">
        <w:t>are considered by the Courts</w:t>
      </w:r>
      <w:r w:rsidR="00C34CE1" w:rsidRPr="00347553">
        <w:t xml:space="preserve"> </w:t>
      </w:r>
      <w:r w:rsidR="00A96D99" w:rsidRPr="00347553">
        <w:t>an</w:t>
      </w:r>
      <w:r w:rsidRPr="00347553">
        <w:t>d introduced</w:t>
      </w:r>
      <w:r w:rsidR="00A96D99" w:rsidRPr="00347553">
        <w:t xml:space="preserve"> </w:t>
      </w:r>
      <w:r w:rsidR="009C14F1">
        <w:t xml:space="preserve">life </w:t>
      </w:r>
      <w:r w:rsidR="00C34CE1" w:rsidRPr="00347553">
        <w:t xml:space="preserve">sentences </w:t>
      </w:r>
      <w:r w:rsidR="00A96D99" w:rsidRPr="00347553">
        <w:t xml:space="preserve">for those convicted of honour crimes. </w:t>
      </w:r>
      <w:r w:rsidR="00C34CE1" w:rsidRPr="00347553">
        <w:t>T</w:t>
      </w:r>
      <w:r w:rsidR="002A71D4" w:rsidRPr="00347553">
        <w:t>he offence of sexual violence does not stipulate that there must have been use of force and marital rape is explicitly recognized as an offence under Article 102(2), although it is subject to prosecution only if the victim files a complaint.</w:t>
      </w:r>
    </w:p>
    <w:p w14:paraId="11D70166" w14:textId="1EBFBCD1" w:rsidR="00973712" w:rsidRPr="00347553" w:rsidRDefault="00895073"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The Law on Amending the Criminal Procedure Code and Certain Laws, commonly known as the "4th Judicial Package," was adopted by Parliament and published in the Official Gazette No. 31541 of 14 July 2021.</w:t>
      </w:r>
      <w:r w:rsidR="0029409C" w:rsidRPr="00347553">
        <w:t xml:space="preserve">  The new</w:t>
      </w:r>
      <w:r w:rsidRPr="00347553">
        <w:t xml:space="preserve"> law was passed by Parliament </w:t>
      </w:r>
      <w:r w:rsidR="0029409C" w:rsidRPr="00347553">
        <w:t>in May</w:t>
      </w:r>
      <w:r w:rsidR="00973712" w:rsidRPr="00347553">
        <w:t xml:space="preserve"> </w:t>
      </w:r>
      <w:r w:rsidR="0029409C" w:rsidRPr="00347553">
        <w:t xml:space="preserve">2022 and is </w:t>
      </w:r>
      <w:r w:rsidRPr="00347553">
        <w:t>aimed at increasing penalties for perpetrators of domestic violence.  The new law introduces the crime of stalking, with a prison sentence of six months to two years (article 123 of the Turkish Penal Code). The law also punishes the intentional killing of a woman with a prison sentence of aggravated life imprisonment. Intentional injury of a woman is now considered a “catalogue” offense enabling perpetrators to be placed in pretrial detention</w:t>
      </w:r>
      <w:r w:rsidR="004F0E53">
        <w:t>.</w:t>
      </w:r>
      <w:r w:rsidRPr="00347553">
        <w:rPr>
          <w:rStyle w:val="FootnoteReference"/>
        </w:rPr>
        <w:footnoteReference w:id="30"/>
      </w:r>
      <w:r w:rsidR="00973712" w:rsidRPr="00347553">
        <w:t xml:space="preserve"> </w:t>
      </w:r>
    </w:p>
    <w:p w14:paraId="37A2C57F" w14:textId="3337563C" w:rsidR="00895073" w:rsidRPr="0053501A" w:rsidRDefault="00973712"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53501A">
        <w:t xml:space="preserve">The amendments made to the Criminal Procedure Code provide that in addition to “strong criminal suspicion”, “concrete evidence” will be sought for imposing pre-trial detention </w:t>
      </w:r>
      <w:r w:rsidRPr="0053501A">
        <w:rPr>
          <w:rStyle w:val="NoneB"/>
          <w:lang w:val="en-GB"/>
        </w:rPr>
        <w:t>during</w:t>
      </w:r>
      <w:r w:rsidRPr="0053501A">
        <w:t xml:space="preserve"> trial in the catalogue of crimes including sexual assault and abuse. </w:t>
      </w:r>
      <w:r w:rsidR="000F2DE4" w:rsidRPr="0053501A">
        <w:t>Despite these positive clauses, t</w:t>
      </w:r>
      <w:r w:rsidRPr="0053501A">
        <w:t xml:space="preserve">he Special Rapporteur was informed that </w:t>
      </w:r>
      <w:r w:rsidR="009C14F1">
        <w:t xml:space="preserve">some </w:t>
      </w:r>
      <w:r w:rsidRPr="0053501A">
        <w:t xml:space="preserve">men committing violence against women </w:t>
      </w:r>
      <w:r w:rsidR="001559F8">
        <w:t xml:space="preserve">have </w:t>
      </w:r>
      <w:r w:rsidRPr="0053501A">
        <w:t>successfully refer</w:t>
      </w:r>
      <w:r w:rsidR="001559F8">
        <w:t>red</w:t>
      </w:r>
      <w:r w:rsidRPr="0053501A">
        <w:t xml:space="preserve"> to “custom” </w:t>
      </w:r>
      <w:proofErr w:type="gramStart"/>
      <w:r w:rsidRPr="0053501A">
        <w:t>in order to</w:t>
      </w:r>
      <w:proofErr w:type="gramEnd"/>
      <w:r w:rsidRPr="0053501A">
        <w:t xml:space="preserve"> have their sentences reduced under Article 29 of the Criminal Code.</w:t>
      </w:r>
    </w:p>
    <w:p w14:paraId="43E32522" w14:textId="7A65201F" w:rsidR="00723365" w:rsidRDefault="000D0041"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While some of the</w:t>
      </w:r>
      <w:r w:rsidR="00973712" w:rsidRPr="00347553">
        <w:t xml:space="preserve"> afore-mentioned</w:t>
      </w:r>
      <w:r w:rsidRPr="00347553">
        <w:t xml:space="preserve"> amendments represent </w:t>
      </w:r>
      <w:r w:rsidR="000F2DE4" w:rsidRPr="00347553">
        <w:t xml:space="preserve">important </w:t>
      </w:r>
      <w:r w:rsidRPr="00347553">
        <w:t xml:space="preserve">steps in strengthening the legislation, the Special Rapporteur is concerned that </w:t>
      </w:r>
      <w:r w:rsidR="000F2DE4" w:rsidRPr="00347553">
        <w:t>the</w:t>
      </w:r>
      <w:r w:rsidRPr="00347553">
        <w:t xml:space="preserve"> lack of genuine </w:t>
      </w:r>
      <w:r w:rsidRPr="00472720">
        <w:rPr>
          <w:rStyle w:val="NoneB"/>
          <w:lang w:val="en-GB"/>
        </w:rPr>
        <w:t>political</w:t>
      </w:r>
      <w:r w:rsidRPr="00347553">
        <w:t xml:space="preserve"> will, </w:t>
      </w:r>
      <w:r w:rsidR="00660846" w:rsidRPr="00347553">
        <w:t xml:space="preserve">combined with </w:t>
      </w:r>
      <w:r w:rsidR="000F2DE4" w:rsidRPr="00347553">
        <w:t>gender bias by the judiciary</w:t>
      </w:r>
      <w:r w:rsidR="00304E96" w:rsidRPr="00347553">
        <w:t xml:space="preserve"> and law enforcement</w:t>
      </w:r>
      <w:r w:rsidR="000F2DE4" w:rsidRPr="00347553">
        <w:t xml:space="preserve">, </w:t>
      </w:r>
      <w:r w:rsidR="00304E96" w:rsidRPr="00347553">
        <w:t>often</w:t>
      </w:r>
      <w:r w:rsidRPr="00347553">
        <w:t xml:space="preserve"> uphold</w:t>
      </w:r>
      <w:r w:rsidR="00304E96" w:rsidRPr="00347553">
        <w:t>s</w:t>
      </w:r>
      <w:r w:rsidRPr="00347553">
        <w:t xml:space="preserve"> perpetrator impunity.  The limited capacity to guarantee full and effective investigation of cases</w:t>
      </w:r>
      <w:r w:rsidR="007262EC" w:rsidRPr="00347553">
        <w:t>, along with limited allocation of resources</w:t>
      </w:r>
      <w:r w:rsidRPr="00347553">
        <w:t xml:space="preserve"> does little to discourage perpetrators and remains a serious problem in preventing cases of violence against women and girls</w:t>
      </w:r>
      <w:r w:rsidR="00973712" w:rsidRPr="00347553">
        <w:t>.</w:t>
      </w:r>
    </w:p>
    <w:p w14:paraId="37D761D3" w14:textId="3BB079B8" w:rsidR="00723365" w:rsidRPr="00723365" w:rsidRDefault="00723365" w:rsidP="00C22292">
      <w:pPr>
        <w:pStyle w:val="SingleTxtG"/>
        <w:tabs>
          <w:tab w:val="left" w:pos="1701"/>
        </w:tabs>
        <w:ind w:left="1494"/>
        <w:rPr>
          <w:i/>
          <w:iCs/>
        </w:rPr>
      </w:pPr>
      <w:r w:rsidRPr="00723365">
        <w:rPr>
          <w:i/>
          <w:iCs/>
        </w:rPr>
        <w:t>(c) National Action Plan</w:t>
      </w:r>
    </w:p>
    <w:p w14:paraId="46A4112D" w14:textId="148E2DF1" w:rsidR="00723365" w:rsidRDefault="00966E0B"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723365">
        <w:t>Türkiye has had a national plan in place since 2007 to eradicate violence against women</w:t>
      </w:r>
      <w:r w:rsidRPr="0053501A">
        <w:t xml:space="preserve">. </w:t>
      </w:r>
      <w:bookmarkStart w:id="8" w:name="_Hlk127974223"/>
      <w:r w:rsidRPr="0053501A">
        <w:t xml:space="preserve">The 4th National Action Plan (NAP) </w:t>
      </w:r>
      <w:bookmarkEnd w:id="8"/>
      <w:r w:rsidRPr="0053501A">
        <w:t>for Combating Violence against Women (2022-2025was introduced in</w:t>
      </w:r>
      <w:r w:rsidRPr="00347553">
        <w:t xml:space="preserve"> 202</w:t>
      </w:r>
      <w:r w:rsidR="008C4120">
        <w:t>1</w:t>
      </w:r>
      <w:r w:rsidR="00C47222" w:rsidRPr="00347553">
        <w:t>, while</w:t>
      </w:r>
      <w:r w:rsidRPr="00347553">
        <w:t xml:space="preserve"> </w:t>
      </w:r>
      <w:r w:rsidR="00C47222" w:rsidRPr="00347553">
        <w:t>a</w:t>
      </w:r>
      <w:r w:rsidRPr="00347553">
        <w:t xml:space="preserve"> Coordination Plan on Combating Violence against Women (2020–2021) was </w:t>
      </w:r>
      <w:r w:rsidR="00C47222" w:rsidRPr="00347553">
        <w:t>developed jointly between several key Ministries and the Presidency of Religious Affairs.</w:t>
      </w:r>
      <w:r w:rsidR="00C47222" w:rsidRPr="00347553">
        <w:rPr>
          <w:rStyle w:val="FootnoteReference"/>
        </w:rPr>
        <w:footnoteReference w:id="31"/>
      </w:r>
      <w:r w:rsidR="001D3245" w:rsidRPr="00347553">
        <w:t xml:space="preserve"> Provincial Action Plans for Combating Violence against Women are also in place in all provinces</w:t>
      </w:r>
      <w:r w:rsidR="00E61283">
        <w:t>.</w:t>
      </w:r>
      <w:r w:rsidR="001D3245" w:rsidRPr="00347553">
        <w:t xml:space="preserve"> </w:t>
      </w:r>
    </w:p>
    <w:p w14:paraId="12910F81" w14:textId="2D852096" w:rsidR="00BF32A0" w:rsidRPr="00347553" w:rsidRDefault="009403C2"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The 4th National Action Plan (2022-2025) proposes a wide range of measures including</w:t>
      </w:r>
      <w:r w:rsidR="004F0E53">
        <w:t xml:space="preserve"> aimed at </w:t>
      </w:r>
      <w:r w:rsidR="004F0E53" w:rsidRPr="00472720">
        <w:rPr>
          <w:rStyle w:val="NoneB"/>
          <w:lang w:val="en-GB"/>
        </w:rPr>
        <w:t>improving</w:t>
      </w:r>
      <w:r w:rsidR="004F0E53">
        <w:t xml:space="preserve"> risk </w:t>
      </w:r>
      <w:r w:rsidR="00097FF6">
        <w:t xml:space="preserve">assessment. </w:t>
      </w:r>
      <w:r w:rsidRPr="00347553">
        <w:t xml:space="preserve">The plan also includes the positive recommendations that “stalking” and “forced marriage” should be separately named as crimes in the Turkish Criminal Code, which could provide additional protections from domestic violence. </w:t>
      </w:r>
    </w:p>
    <w:p w14:paraId="7D1FB27A" w14:textId="673FF082" w:rsidR="00BF32A0" w:rsidRPr="00347553" w:rsidRDefault="001D3245"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While welcoming the </w:t>
      </w:r>
      <w:proofErr w:type="gramStart"/>
      <w:r w:rsidRPr="00347553">
        <w:t>aforementioned initiatives</w:t>
      </w:r>
      <w:proofErr w:type="gramEnd"/>
      <w:r w:rsidR="0053501A">
        <w:t>,</w:t>
      </w:r>
      <w:r w:rsidRPr="00347553">
        <w:t xml:space="preserve"> the Special Rapporteur notes that the previous </w:t>
      </w:r>
      <w:r w:rsidRPr="00472720">
        <w:rPr>
          <w:rStyle w:val="NoneB"/>
          <w:lang w:val="en-GB"/>
        </w:rPr>
        <w:t>strategies</w:t>
      </w:r>
      <w:r w:rsidRPr="00347553">
        <w:t xml:space="preserve"> lacked a holistic and human rights</w:t>
      </w:r>
      <w:r w:rsidR="00FB1484" w:rsidRPr="00347553">
        <w:t>-</w:t>
      </w:r>
      <w:r w:rsidRPr="00347553">
        <w:t xml:space="preserve">based approach to violence against women, as they did not sufficiently address the need for adequate crisis services, shelters or safe houses for women and children. </w:t>
      </w:r>
      <w:r w:rsidR="00097FF6">
        <w:t>She</w:t>
      </w:r>
      <w:r w:rsidRPr="00347553">
        <w:t xml:space="preserve"> is also concerned about reports suggesting that the most recent </w:t>
      </w:r>
      <w:r w:rsidR="002A71D4" w:rsidRPr="00347553">
        <w:t>2021-2025 action plan to combat violence against women was adopted after only one meeting with relevant stakeholders</w:t>
      </w:r>
      <w:r w:rsidR="00EC54EF" w:rsidRPr="00347553">
        <w:t xml:space="preserve"> and as such does not include specific recommendations made </w:t>
      </w:r>
      <w:r w:rsidR="009403C2" w:rsidRPr="00347553">
        <w:t xml:space="preserve">by </w:t>
      </w:r>
      <w:r w:rsidR="00EC54EF" w:rsidRPr="00347553">
        <w:t xml:space="preserve">civil society and women’s </w:t>
      </w:r>
      <w:r w:rsidR="00FB1484" w:rsidRPr="00347553">
        <w:t xml:space="preserve">rights </w:t>
      </w:r>
      <w:r w:rsidR="00EC54EF" w:rsidRPr="00347553">
        <w:t xml:space="preserve">organisation. </w:t>
      </w:r>
    </w:p>
    <w:p w14:paraId="20E1B736" w14:textId="1AFA9926" w:rsidR="0018572D" w:rsidRPr="00347553" w:rsidRDefault="00BF32A0"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T</w:t>
      </w:r>
      <w:r w:rsidR="00A137D8" w:rsidRPr="00347553">
        <w:t>he plan</w:t>
      </w:r>
      <w:r w:rsidR="00EC54EF" w:rsidRPr="00347553">
        <w:t xml:space="preserve"> also </w:t>
      </w:r>
      <w:r w:rsidR="009403C2" w:rsidRPr="00347553">
        <w:t xml:space="preserve">fails to mention the Istanbul Convention, GREVIO’s </w:t>
      </w:r>
      <w:r w:rsidR="00FB1484" w:rsidRPr="00347553">
        <w:t xml:space="preserve">2018 </w:t>
      </w:r>
      <w:r w:rsidR="009403C2" w:rsidRPr="00347553">
        <w:t xml:space="preserve">baseline report on </w:t>
      </w:r>
      <w:r w:rsidR="00FB1484" w:rsidRPr="00347553">
        <w:t>Türkiye</w:t>
      </w:r>
      <w:r w:rsidR="009403C2" w:rsidRPr="00347553">
        <w:t xml:space="preserve">, or the CEDAW Committee’s specific recommendations to </w:t>
      </w:r>
      <w:r w:rsidR="00FB1484" w:rsidRPr="00347553">
        <w:t>Türkiye</w:t>
      </w:r>
      <w:r w:rsidR="009403C2" w:rsidRPr="00347553">
        <w:t xml:space="preserve"> in 2016.  It also </w:t>
      </w:r>
      <w:r w:rsidR="00EC54EF" w:rsidRPr="00472720">
        <w:rPr>
          <w:rStyle w:val="NoneB"/>
          <w:lang w:val="en-GB"/>
        </w:rPr>
        <w:t>anticipates</w:t>
      </w:r>
      <w:r w:rsidR="00EC54EF" w:rsidRPr="00347553">
        <w:t xml:space="preserve"> a more significant role for religious counsellors in psycho-social services that will be provided to women in shelters and </w:t>
      </w:r>
      <w:r w:rsidR="00097FF6">
        <w:t>their</w:t>
      </w:r>
      <w:r w:rsidR="00EC54EF" w:rsidRPr="00347553">
        <w:t xml:space="preserve"> spouses </w:t>
      </w:r>
      <w:proofErr w:type="gramStart"/>
      <w:r w:rsidR="00EC54EF" w:rsidRPr="00347553">
        <w:t>during the course of</w:t>
      </w:r>
      <w:proofErr w:type="gramEnd"/>
      <w:r w:rsidR="00EC54EF" w:rsidRPr="00347553">
        <w:t xml:space="preserve"> divorce </w:t>
      </w:r>
      <w:r w:rsidR="00097FF6">
        <w:t>proceedings</w:t>
      </w:r>
      <w:r w:rsidR="002A71D4" w:rsidRPr="00347553">
        <w:t xml:space="preserve">.  </w:t>
      </w:r>
      <w:r w:rsidR="0018572D" w:rsidRPr="00347553">
        <w:t>The plan</w:t>
      </w:r>
      <w:r w:rsidR="002A71D4" w:rsidRPr="00347553">
        <w:t xml:space="preserve"> </w:t>
      </w:r>
      <w:r w:rsidR="0018572D" w:rsidRPr="00347553">
        <w:t>does not</w:t>
      </w:r>
      <w:r w:rsidR="002A71D4" w:rsidRPr="00347553">
        <w:t xml:space="preserve"> outline the outcome of the previous five-year plans, while the data and evidence base informing the plan is outdated, as it relies on the </w:t>
      </w:r>
      <w:r w:rsidR="00EC54EF" w:rsidRPr="00347553">
        <w:t xml:space="preserve">country’s </w:t>
      </w:r>
      <w:r w:rsidR="002A71D4" w:rsidRPr="00347553">
        <w:t>most recen</w:t>
      </w:r>
      <w:r w:rsidR="00EC54EF" w:rsidRPr="00347553">
        <w:t>t</w:t>
      </w:r>
      <w:r w:rsidR="002A71D4" w:rsidRPr="00347553">
        <w:t xml:space="preserve"> research findings</w:t>
      </w:r>
      <w:r w:rsidR="00EC54EF" w:rsidRPr="00347553">
        <w:t xml:space="preserve"> last conducted in 2014.</w:t>
      </w:r>
      <w:r w:rsidR="00EC54EF" w:rsidRPr="00347553">
        <w:rPr>
          <w:rStyle w:val="FootnoteReference"/>
        </w:rPr>
        <w:t xml:space="preserve"> </w:t>
      </w:r>
      <w:r w:rsidR="002A71D4" w:rsidRPr="00347553">
        <w:rPr>
          <w:rStyle w:val="FootnoteReference"/>
        </w:rPr>
        <w:footnoteReference w:id="32"/>
      </w:r>
      <w:r w:rsidR="002A71D4" w:rsidRPr="00347553">
        <w:t xml:space="preserve">  </w:t>
      </w:r>
    </w:p>
    <w:p w14:paraId="0217A575" w14:textId="3DF4A9B9" w:rsidR="00723365" w:rsidRDefault="00FB1484"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The Special Rapporteur is encouraged however by the </w:t>
      </w:r>
      <w:r w:rsidR="0006365B">
        <w:t>adoption</w:t>
      </w:r>
      <w:r w:rsidR="0006365B" w:rsidRPr="00347553">
        <w:t xml:space="preserve"> </w:t>
      </w:r>
      <w:r w:rsidRPr="00347553">
        <w:t>of local Gender Equality Action Plans at the municipal and district level</w:t>
      </w:r>
      <w:r w:rsidR="00A233C6" w:rsidRPr="00347553">
        <w:t>,</w:t>
      </w:r>
      <w:r w:rsidRPr="00347553">
        <w:t xml:space="preserve"> with dedicated action points and task forces focusing on violence against women</w:t>
      </w:r>
      <w:r w:rsidR="0006365B">
        <w:t xml:space="preserve"> and urges their operationalization</w:t>
      </w:r>
      <w:r w:rsidR="00A233C6" w:rsidRPr="00347553">
        <w:t>.</w:t>
      </w:r>
      <w:r w:rsidR="00A233C6" w:rsidRPr="00347553">
        <w:rPr>
          <w:rStyle w:val="FootnoteReference"/>
        </w:rPr>
        <w:footnoteReference w:id="33"/>
      </w:r>
      <w:r w:rsidRPr="00347553">
        <w:t xml:space="preserve"> </w:t>
      </w:r>
    </w:p>
    <w:p w14:paraId="2418D435" w14:textId="5EFF262F" w:rsidR="00723365" w:rsidRPr="0094327D" w:rsidRDefault="00723365" w:rsidP="00C22292">
      <w:pPr>
        <w:pStyle w:val="SingleTxtG"/>
        <w:tabs>
          <w:tab w:val="left" w:pos="1701"/>
        </w:tabs>
        <w:ind w:left="1494"/>
        <w:rPr>
          <w:i/>
          <w:iCs/>
        </w:rPr>
      </w:pPr>
      <w:r w:rsidRPr="0094327D">
        <w:rPr>
          <w:i/>
          <w:iCs/>
        </w:rPr>
        <w:t>d) National Action Plan on Women Peace and Security</w:t>
      </w:r>
    </w:p>
    <w:p w14:paraId="1085110C" w14:textId="01EE1347" w:rsidR="0092413A" w:rsidRPr="00723365" w:rsidRDefault="0092413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723365">
        <w:rPr>
          <w:rFonts w:eastAsia="Calibri"/>
          <w:w w:val="103"/>
          <w:u w:color="000000"/>
          <w:lang w:eastAsia="en-GB"/>
        </w:rPr>
        <w:t>n line with CEDAW’s concluding observations of 2022</w:t>
      </w:r>
      <w:r w:rsidR="005122E6">
        <w:rPr>
          <w:rStyle w:val="FootnoteReference"/>
          <w:rFonts w:eastAsia="Calibri"/>
          <w:w w:val="103"/>
          <w:u w:color="000000"/>
          <w:lang w:eastAsia="en-GB"/>
        </w:rPr>
        <w:footnoteReference w:id="34"/>
      </w:r>
      <w:r w:rsidRPr="00723365">
        <w:rPr>
          <w:rFonts w:eastAsia="Calibri"/>
          <w:w w:val="103"/>
          <w:u w:color="000000"/>
          <w:lang w:eastAsia="en-GB"/>
        </w:rPr>
        <w:t>, the Special Rapporteur urges the Government to establish a clear time frame for the finalization and adoption of the draft national action plan for the implementation of Security Council resolution 1325 (2000), in cooperation with representatives of women’s organizations, and ensure that it takes into consideration the full spectrum of the Human Rights Council’s agenda on women peace and security and implement it without</w:t>
      </w:r>
      <w:r w:rsidR="00097FF6" w:rsidRPr="00723365">
        <w:rPr>
          <w:rFonts w:eastAsia="Calibri"/>
          <w:w w:val="103"/>
          <w:u w:color="000000"/>
          <w:lang w:eastAsia="en-GB"/>
        </w:rPr>
        <w:t xml:space="preserve"> </w:t>
      </w:r>
      <w:r w:rsidRPr="00723365">
        <w:rPr>
          <w:rFonts w:eastAsia="Calibri"/>
          <w:w w:val="103"/>
          <w:u w:color="000000"/>
          <w:lang w:eastAsia="en-GB"/>
        </w:rPr>
        <w:t>delay.</w:t>
      </w:r>
    </w:p>
    <w:p w14:paraId="0B676679" w14:textId="6FCCAFED" w:rsidR="00630846" w:rsidRPr="00347553" w:rsidRDefault="00723365" w:rsidP="00C22292">
      <w:pPr>
        <w:pStyle w:val="SingleTxtG"/>
        <w:tabs>
          <w:tab w:val="left" w:pos="1701"/>
        </w:tabs>
        <w:ind w:firstLine="306"/>
        <w:rPr>
          <w:i/>
          <w:iCs/>
        </w:rPr>
      </w:pPr>
      <w:r w:rsidRPr="0094327D">
        <w:rPr>
          <w:i/>
          <w:iCs/>
        </w:rPr>
        <w:t>e)</w:t>
      </w:r>
      <w:r w:rsidR="00B74807" w:rsidRPr="0094327D">
        <w:rPr>
          <w:i/>
          <w:iCs/>
        </w:rPr>
        <w:t xml:space="preserve"> </w:t>
      </w:r>
      <w:r w:rsidRPr="0094327D">
        <w:rPr>
          <w:i/>
          <w:iCs/>
        </w:rPr>
        <w:t>Data collection and analysis</w:t>
      </w:r>
    </w:p>
    <w:p w14:paraId="75C98D5E" w14:textId="25663F78" w:rsidR="00630846" w:rsidRPr="00347553" w:rsidRDefault="00630846"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Style w:val="NoneB"/>
          <w:lang w:val="en-GB"/>
        </w:rPr>
        <w:t>T</w:t>
      </w:r>
      <w:r w:rsidRPr="00347553">
        <w:rPr>
          <w:rStyle w:val="NoneB"/>
        </w:rPr>
        <w:t>he last national prevalence survey in Türkiye was conducted in 2014</w:t>
      </w:r>
      <w:r w:rsidRPr="00347553">
        <w:rPr>
          <w:rStyle w:val="FootnoteReference"/>
          <w:lang w:val="en-US"/>
        </w:rPr>
        <w:footnoteReference w:id="35"/>
      </w:r>
      <w:r w:rsidRPr="00347553">
        <w:rPr>
          <w:rStyle w:val="NoneB"/>
        </w:rPr>
        <w:t xml:space="preserve">, and it indicates that 38% of women (45% in certain regions) had been physically or sexually abused by their husband or partner at least </w:t>
      </w:r>
      <w:r w:rsidRPr="00472720">
        <w:rPr>
          <w:rStyle w:val="NoneB"/>
          <w:lang w:val="en-GB"/>
        </w:rPr>
        <w:t>once</w:t>
      </w:r>
      <w:r w:rsidRPr="00347553">
        <w:rPr>
          <w:rStyle w:val="NoneB"/>
        </w:rPr>
        <w:t xml:space="preserve"> during their lifetime, while 44% had been subjected to emotional violence, and 30% to economic violence from their husbands, male </w:t>
      </w:r>
      <w:proofErr w:type="gramStart"/>
      <w:r w:rsidRPr="00347553">
        <w:rPr>
          <w:rStyle w:val="NoneB"/>
        </w:rPr>
        <w:t>partners</w:t>
      </w:r>
      <w:proofErr w:type="gramEnd"/>
      <w:r w:rsidRPr="00347553">
        <w:rPr>
          <w:rStyle w:val="NoneB"/>
        </w:rPr>
        <w:t xml:space="preserve"> or ex-partners. </w:t>
      </w:r>
      <w:r w:rsidRPr="00630846">
        <w:rPr>
          <w:lang w:val="en-US"/>
        </w:rPr>
        <w:t>The lack of emphasis on</w:t>
      </w:r>
      <w:r w:rsidRPr="00347553">
        <w:t xml:space="preserve"> data collection in the country prevents authorities and the public from having a solid grasp on the scale of violence against women or the gaps in implementing protection which contribute to ongoing risks for victims. There are discrepancies in the data on the number of protective and preventive orders issued over the past five years but the available data shows that the number of orders being issued is increasing.</w:t>
      </w:r>
      <w:r>
        <w:t xml:space="preserve"> </w:t>
      </w:r>
      <w:r w:rsidRPr="00347553">
        <w:t>The National Action Plan (2022 -2025) includes a specific goal relating to the collection of data and statistics, which is much needed</w:t>
      </w:r>
      <w:r w:rsidR="009D2D28">
        <w:t>,</w:t>
      </w:r>
      <w:r w:rsidR="0030434E">
        <w:t xml:space="preserve"> and the Special Rapporteur welcomes the proposed follow up national prevalence survey for 2024.</w:t>
      </w:r>
    </w:p>
    <w:p w14:paraId="53F6FA92" w14:textId="5E9DACAB" w:rsidR="003F0DFB" w:rsidRPr="0006365B" w:rsidRDefault="00630846"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Non-governmental organizations, particularly women’s organizations</w:t>
      </w:r>
      <w:r>
        <w:t>,</w:t>
      </w:r>
      <w:r w:rsidRPr="00347553">
        <w:t xml:space="preserve"> have been working to complement national statistics with data gathering, documentation and analysis at the local level</w:t>
      </w:r>
      <w:r>
        <w:t xml:space="preserve"> </w:t>
      </w:r>
      <w:r w:rsidRPr="00347553">
        <w:t>of violence against women and girls</w:t>
      </w:r>
      <w:r>
        <w:t>,</w:t>
      </w:r>
      <w:r w:rsidRPr="00347553">
        <w:t xml:space="preserve"> including femicide. One of the country’s largest women’s rights networks, We Will Stop Femicide (WWSF), has been providing legal support to survivors of domestic violence, and collating information and data on </w:t>
      </w:r>
      <w:r>
        <w:t xml:space="preserve">gender-based </w:t>
      </w:r>
      <w:r w:rsidRPr="00347553">
        <w:t xml:space="preserve">violence and associated injuries and femicide over many years. </w:t>
      </w:r>
      <w:r w:rsidRPr="0006365B">
        <w:t xml:space="preserve">It is therefore very concerning that WWFS was shut down by the Prosecutors Office in April 2022 for allegedly acting with immorality by “disintegrating the family structure by ignoring the concept of the family under the guise of defending women’s rights”. </w:t>
      </w:r>
    </w:p>
    <w:p w14:paraId="1B3A76DC" w14:textId="28053C1E" w:rsidR="00A478ED" w:rsidRPr="0094327D" w:rsidRDefault="00035F2D" w:rsidP="00C22292">
      <w:pPr>
        <w:pStyle w:val="H1G"/>
        <w:numPr>
          <w:ilvl w:val="0"/>
          <w:numId w:val="9"/>
        </w:numPr>
        <w:tabs>
          <w:tab w:val="clear" w:pos="851"/>
          <w:tab w:val="left" w:pos="1701"/>
        </w:tabs>
        <w:ind w:hanging="513"/>
        <w:rPr>
          <w:b w:val="0"/>
          <w:bCs/>
          <w:szCs w:val="24"/>
          <w:lang w:val="en-US"/>
        </w:rPr>
      </w:pPr>
      <w:r w:rsidRPr="00C36FB8">
        <w:rPr>
          <w:lang w:val="en-US"/>
        </w:rPr>
        <w:t>National</w:t>
      </w:r>
      <w:r w:rsidRPr="00347553">
        <w:rPr>
          <w:bCs/>
          <w:szCs w:val="24"/>
          <w:lang w:val="en-US"/>
        </w:rPr>
        <w:t xml:space="preserve"> machinery for the advancement of women and girls and </w:t>
      </w:r>
      <w:r w:rsidR="00723365">
        <w:rPr>
          <w:bCs/>
          <w:szCs w:val="24"/>
          <w:lang w:val="en-US"/>
        </w:rPr>
        <w:t xml:space="preserve">     </w:t>
      </w:r>
      <w:r w:rsidRPr="00347553">
        <w:rPr>
          <w:bCs/>
          <w:szCs w:val="24"/>
          <w:lang w:val="en-US"/>
        </w:rPr>
        <w:t>independent human rights institutions</w:t>
      </w:r>
    </w:p>
    <w:p w14:paraId="6DB08230" w14:textId="61F6174D" w:rsidR="00723365" w:rsidRDefault="005A72CF"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In accordance with Decree Law No. 633 on Organization and Duties of the Ministry of Family and Social Policies, the </w:t>
      </w:r>
      <w:bookmarkStart w:id="9" w:name="_Hlk127982947"/>
      <w:r w:rsidRPr="00347553">
        <w:t xml:space="preserve">General Directorate on the Status of Women </w:t>
      </w:r>
      <w:bookmarkEnd w:id="9"/>
      <w:r w:rsidRPr="00347553">
        <w:t>was restructured in 2018 and is designated as the body responsible for ensuring the full application and fulfilment of the relevant rights enshrined in the Constitution and in international human rights instruments</w:t>
      </w:r>
      <w:r w:rsidR="0030462C">
        <w:t>,</w:t>
      </w:r>
      <w:r w:rsidRPr="00347553">
        <w:t xml:space="preserve"> </w:t>
      </w:r>
      <w:r w:rsidR="0030462C">
        <w:t xml:space="preserve">and for </w:t>
      </w:r>
      <w:r w:rsidRPr="00347553">
        <w:t xml:space="preserve">gender-mainstreaming across all public policies related to the rights of women. </w:t>
      </w:r>
      <w:r w:rsidR="004F0111" w:rsidRPr="00347553">
        <w:t xml:space="preserve">The adoption of </w:t>
      </w:r>
      <w:r w:rsidR="00F9714A" w:rsidRPr="00347553">
        <w:t xml:space="preserve">a </w:t>
      </w:r>
      <w:r w:rsidR="00392EB5" w:rsidRPr="00347553">
        <w:t>Strategy Paper and Action Plan on Women’s Empowerment (2018–2023)</w:t>
      </w:r>
      <w:r w:rsidR="00F9714A" w:rsidRPr="00347553">
        <w:t xml:space="preserve"> prepared by the General Directorate</w:t>
      </w:r>
      <w:r w:rsidR="008A0DCD" w:rsidRPr="00347553">
        <w:t xml:space="preserve"> is a welcome development</w:t>
      </w:r>
      <w:r w:rsidR="004F0111" w:rsidRPr="00347553">
        <w:t xml:space="preserve">.  </w:t>
      </w:r>
      <w:r w:rsidR="00392EB5" w:rsidRPr="00347553">
        <w:t xml:space="preserve"> </w:t>
      </w:r>
    </w:p>
    <w:p w14:paraId="2AB72D05" w14:textId="38E8D67D" w:rsidR="00035F2D" w:rsidRPr="00723365" w:rsidRDefault="002E07EF"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
        </w:rPr>
      </w:pPr>
      <w:r w:rsidRPr="00347553">
        <w:t xml:space="preserve">The Special Rapporteur notes </w:t>
      </w:r>
      <w:r w:rsidR="00035F2D" w:rsidRPr="00347553">
        <w:t xml:space="preserve">that </w:t>
      </w:r>
      <w:r w:rsidR="00F9714A" w:rsidRPr="00347553">
        <w:t>while</w:t>
      </w:r>
      <w:r w:rsidRPr="00347553">
        <w:t xml:space="preserve"> the </w:t>
      </w:r>
      <w:bookmarkStart w:id="10" w:name="_Hlk127985667"/>
      <w:r w:rsidR="00F929DB" w:rsidRPr="00347553">
        <w:t>General Directorate on the Status of Women</w:t>
      </w:r>
      <w:r w:rsidRPr="00347553">
        <w:t xml:space="preserve"> </w:t>
      </w:r>
      <w:bookmarkEnd w:id="10"/>
      <w:r w:rsidR="00F9714A" w:rsidRPr="00347553">
        <w:t xml:space="preserve">has </w:t>
      </w:r>
      <w:r w:rsidRPr="00347553">
        <w:t xml:space="preserve">a mandate to lead and coordinate the design and implementation of gender equality policies within the </w:t>
      </w:r>
      <w:r w:rsidRPr="00472720">
        <w:rPr>
          <w:rStyle w:val="NoneB"/>
          <w:lang w:val="en-GB"/>
        </w:rPr>
        <w:t>respective</w:t>
      </w:r>
      <w:r w:rsidRPr="00347553">
        <w:t xml:space="preserve"> entities at the national and local levels, the percentage of the official budget allocated for the implementation of gender equality policies is </w:t>
      </w:r>
      <w:r w:rsidR="00F929DB" w:rsidRPr="00347553">
        <w:t>insufficient</w:t>
      </w:r>
      <w:r w:rsidRPr="00347553">
        <w:t xml:space="preserve">.  </w:t>
      </w:r>
      <w:r w:rsidR="009D74A7" w:rsidRPr="00347553">
        <w:t xml:space="preserve">Furthermore, </w:t>
      </w:r>
      <w:r w:rsidRPr="00723365">
        <w:rPr>
          <w:rStyle w:val="None"/>
          <w:bCs/>
        </w:rPr>
        <w:t xml:space="preserve">coordination between the </w:t>
      </w:r>
      <w:r w:rsidR="00F929DB" w:rsidRPr="00347553">
        <w:t xml:space="preserve">Directorate </w:t>
      </w:r>
      <w:r w:rsidR="00AC77A1" w:rsidRPr="00723365">
        <w:rPr>
          <w:rStyle w:val="None"/>
          <w:bCs/>
        </w:rPr>
        <w:t xml:space="preserve">and </w:t>
      </w:r>
      <w:r w:rsidR="0018572D" w:rsidRPr="00347553">
        <w:t>other line Ministries in the implementation of the National Action Plan on violence against women and children</w:t>
      </w:r>
      <w:r w:rsidR="0018572D" w:rsidRPr="00723365">
        <w:rPr>
          <w:rStyle w:val="None"/>
          <w:bCs/>
        </w:rPr>
        <w:t xml:space="preserve"> </w:t>
      </w:r>
      <w:r w:rsidRPr="00723365">
        <w:rPr>
          <w:rStyle w:val="None"/>
          <w:bCs/>
        </w:rPr>
        <w:t xml:space="preserve">should be </w:t>
      </w:r>
      <w:r w:rsidR="009D74A7" w:rsidRPr="00723365">
        <w:rPr>
          <w:rStyle w:val="None"/>
          <w:bCs/>
        </w:rPr>
        <w:t xml:space="preserve">strengthened. </w:t>
      </w:r>
    </w:p>
    <w:p w14:paraId="32C00589" w14:textId="57795A5E" w:rsidR="00CE2192" w:rsidRPr="00347553" w:rsidRDefault="00F9714A"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While the</w:t>
      </w:r>
      <w:r w:rsidR="0077505F" w:rsidRPr="00347553">
        <w:t xml:space="preserve"> Special Rapporteur </w:t>
      </w:r>
      <w:r w:rsidR="0077505F" w:rsidRPr="00347553">
        <w:rPr>
          <w:spacing w:val="4"/>
          <w:w w:val="103"/>
          <w:kern w:val="14"/>
        </w:rPr>
        <w:t xml:space="preserve">welcomes the establishment </w:t>
      </w:r>
      <w:r w:rsidR="00035F2D" w:rsidRPr="00347553">
        <w:rPr>
          <w:spacing w:val="4"/>
          <w:w w:val="103"/>
          <w:kern w:val="14"/>
        </w:rPr>
        <w:t>o</w:t>
      </w:r>
      <w:r w:rsidRPr="00347553">
        <w:rPr>
          <w:spacing w:val="4"/>
          <w:w w:val="103"/>
          <w:kern w:val="14"/>
        </w:rPr>
        <w:t xml:space="preserve">f </w:t>
      </w:r>
      <w:r w:rsidR="0018572D" w:rsidRPr="00347553">
        <w:rPr>
          <w:spacing w:val="4"/>
          <w:w w:val="103"/>
          <w:kern w:val="14"/>
        </w:rPr>
        <w:t xml:space="preserve">the </w:t>
      </w:r>
      <w:r w:rsidR="0018572D" w:rsidRPr="00347553">
        <w:t xml:space="preserve">Human Rights and Equality Institution of Türkiye (HREIT) </w:t>
      </w:r>
      <w:r w:rsidR="0077505F" w:rsidRPr="00347553">
        <w:rPr>
          <w:spacing w:val="4"/>
          <w:w w:val="103"/>
          <w:kern w:val="14"/>
        </w:rPr>
        <w:t>she reiterates the concerns outlined by the CEDAW Committee</w:t>
      </w:r>
      <w:r w:rsidR="0077505F" w:rsidRPr="00347553">
        <w:rPr>
          <w:rStyle w:val="FootnoteReference"/>
          <w:spacing w:val="4"/>
          <w:w w:val="103"/>
          <w:kern w:val="14"/>
          <w:sz w:val="20"/>
        </w:rPr>
        <w:footnoteReference w:id="36"/>
      </w:r>
      <w:r w:rsidR="0077505F" w:rsidRPr="00347553">
        <w:rPr>
          <w:spacing w:val="4"/>
          <w:w w:val="103"/>
          <w:kern w:val="14"/>
        </w:rPr>
        <w:t xml:space="preserve"> with regards to the </w:t>
      </w:r>
      <w:proofErr w:type="gramStart"/>
      <w:r w:rsidR="0077505F" w:rsidRPr="00347553">
        <w:rPr>
          <w:spacing w:val="4"/>
          <w:w w:val="103"/>
          <w:kern w:val="14"/>
        </w:rPr>
        <w:t>current status</w:t>
      </w:r>
      <w:proofErr w:type="gramEnd"/>
      <w:r w:rsidR="0077505F" w:rsidRPr="00347553">
        <w:rPr>
          <w:spacing w:val="4"/>
          <w:w w:val="103"/>
          <w:kern w:val="14"/>
        </w:rPr>
        <w:t xml:space="preserve"> of </w:t>
      </w:r>
      <w:r w:rsidRPr="00347553">
        <w:rPr>
          <w:spacing w:val="4"/>
          <w:w w:val="103"/>
          <w:kern w:val="14"/>
        </w:rPr>
        <w:t>HREIT</w:t>
      </w:r>
      <w:r w:rsidR="0077505F" w:rsidRPr="00347553">
        <w:rPr>
          <w:spacing w:val="4"/>
          <w:w w:val="103"/>
          <w:kern w:val="14"/>
        </w:rPr>
        <w:t xml:space="preserve">, </w:t>
      </w:r>
      <w:r w:rsidR="003350C2" w:rsidRPr="00347553">
        <w:rPr>
          <w:spacing w:val="4"/>
          <w:w w:val="103"/>
          <w:kern w:val="14"/>
        </w:rPr>
        <w:t>particularly with regards to the</w:t>
      </w:r>
      <w:r w:rsidR="0077505F" w:rsidRPr="00347553">
        <w:rPr>
          <w:spacing w:val="4"/>
          <w:w w:val="103"/>
          <w:kern w:val="14"/>
        </w:rPr>
        <w:t xml:space="preserve"> impartiality in the appointment of its members and of adequate human and financial </w:t>
      </w:r>
      <w:r w:rsidR="0077505F" w:rsidRPr="00472720">
        <w:rPr>
          <w:rStyle w:val="NoneB"/>
          <w:lang w:val="en-GB"/>
        </w:rPr>
        <w:t>resources</w:t>
      </w:r>
      <w:r w:rsidR="0077505F" w:rsidRPr="00347553">
        <w:rPr>
          <w:spacing w:val="4"/>
          <w:w w:val="103"/>
          <w:kern w:val="14"/>
        </w:rPr>
        <w:t xml:space="preserve"> allocated to it.  She is also concerned at reports she received during her visit suggesting that </w:t>
      </w:r>
      <w:r w:rsidR="0077505F" w:rsidRPr="00347553">
        <w:t xml:space="preserve">the </w:t>
      </w:r>
      <w:r w:rsidR="003350C2" w:rsidRPr="00347553">
        <w:t>HREIT</w:t>
      </w:r>
      <w:r w:rsidR="0077505F" w:rsidRPr="00347553">
        <w:t xml:space="preserve"> has openly called for change or the repealing of domestic law and international treaties which are deemed to have a detrimental effect on traditional family values, namely the Istanbul Convention and Law No. 6284.</w:t>
      </w:r>
    </w:p>
    <w:p w14:paraId="37FCA3A6" w14:textId="1AE7212D" w:rsidR="00CE2192" w:rsidRPr="00347553" w:rsidRDefault="00CE2192" w:rsidP="00C22292">
      <w:pPr>
        <w:pStyle w:val="H1G"/>
        <w:numPr>
          <w:ilvl w:val="0"/>
          <w:numId w:val="9"/>
        </w:numPr>
        <w:tabs>
          <w:tab w:val="clear" w:pos="851"/>
          <w:tab w:val="right" w:pos="567"/>
          <w:tab w:val="left" w:pos="1701"/>
        </w:tabs>
        <w:ind w:left="1134" w:hanging="513"/>
        <w:rPr>
          <w:b w:val="0"/>
          <w:bCs/>
        </w:rPr>
      </w:pPr>
      <w:r w:rsidRPr="00C36FB8">
        <w:rPr>
          <w:lang w:val="en-US"/>
        </w:rPr>
        <w:t>Access</w:t>
      </w:r>
      <w:r w:rsidRPr="00347553">
        <w:rPr>
          <w:bCs/>
        </w:rPr>
        <w:t xml:space="preserve"> </w:t>
      </w:r>
      <w:r w:rsidRPr="00C36FB8">
        <w:rPr>
          <w:lang w:val="en-US"/>
        </w:rPr>
        <w:t>to</w:t>
      </w:r>
      <w:r w:rsidRPr="00347553">
        <w:rPr>
          <w:bCs/>
        </w:rPr>
        <w:t xml:space="preserve"> essential services</w:t>
      </w:r>
    </w:p>
    <w:p w14:paraId="270D0728" w14:textId="5F6E75BC" w:rsidR="00CE2192" w:rsidRPr="00347553" w:rsidRDefault="008A0DCD"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lang w:val="en-US"/>
        </w:rPr>
        <w:t xml:space="preserve">Service providers and other interlocutors with whom the Special Rapporteur met, all pointed to the dire shortage of </w:t>
      </w:r>
      <w:r w:rsidRPr="00472720">
        <w:rPr>
          <w:rStyle w:val="NoneB"/>
          <w:lang w:val="en-GB"/>
        </w:rPr>
        <w:t>adequate</w:t>
      </w:r>
      <w:r w:rsidRPr="00347553">
        <w:rPr>
          <w:lang w:val="en-US"/>
        </w:rPr>
        <w:t xml:space="preserve"> shelters across the country offering a safe house for women and girls who have been victims of violence, particularly within migrant </w:t>
      </w:r>
      <w:r w:rsidR="0053501A">
        <w:rPr>
          <w:lang w:val="en-US"/>
        </w:rPr>
        <w:t xml:space="preserve">and Kurdish </w:t>
      </w:r>
      <w:r w:rsidRPr="00347553">
        <w:rPr>
          <w:lang w:val="en-US"/>
        </w:rPr>
        <w:t>communities, and in rural and remote areas.</w:t>
      </w:r>
    </w:p>
    <w:p w14:paraId="1E8F63D3" w14:textId="2BA79F1D" w:rsidR="00CE2192" w:rsidRPr="00347553" w:rsidRDefault="000B6F4D"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Municipal Law No. 5393 requires that every municipality with a population over 100.000 establish a guesthouse/shelter.</w:t>
      </w:r>
      <w:r w:rsidRPr="00347553">
        <w:rPr>
          <w:sz w:val="23"/>
          <w:szCs w:val="23"/>
        </w:rPr>
        <w:t xml:space="preserve"> </w:t>
      </w:r>
      <w:r w:rsidR="008A0DCD" w:rsidRPr="00347553">
        <w:rPr>
          <w:lang w:val="en-US"/>
        </w:rPr>
        <w:t>Currently there are 149 shelters operating with a total capacity of 3624</w:t>
      </w:r>
      <w:r w:rsidR="008A0DCD" w:rsidRPr="00347553">
        <w:rPr>
          <w:rStyle w:val="FootnoteReference"/>
          <w:lang w:val="en-US"/>
        </w:rPr>
        <w:footnoteReference w:id="37"/>
      </w:r>
      <w:r w:rsidR="008A0DCD" w:rsidRPr="00347553">
        <w:rPr>
          <w:lang w:val="en-US"/>
        </w:rPr>
        <w:t xml:space="preserve"> which is insufficient to cover the needs. </w:t>
      </w:r>
      <w:r w:rsidR="008A0DCD" w:rsidRPr="008C4120">
        <w:rPr>
          <w:lang w:val="en-US"/>
        </w:rPr>
        <w:t xml:space="preserve">There are only 33 women shelters which belong to a </w:t>
      </w:r>
      <w:r w:rsidR="008A0DCD" w:rsidRPr="008C4120">
        <w:rPr>
          <w:rStyle w:val="NoneB"/>
          <w:lang w:val="en-GB"/>
        </w:rPr>
        <w:t>municipality</w:t>
      </w:r>
      <w:r w:rsidR="008A0DCD" w:rsidRPr="008C4120">
        <w:rPr>
          <w:lang w:val="en-US"/>
        </w:rPr>
        <w:t>,</w:t>
      </w:r>
      <w:r w:rsidR="008A0DCD" w:rsidRPr="00347553">
        <w:rPr>
          <w:lang w:val="en-US"/>
        </w:rPr>
        <w:t xml:space="preserve"> and several municipalities have not yet opened </w:t>
      </w:r>
      <w:r w:rsidR="00AE55F5" w:rsidRPr="00347553">
        <w:rPr>
          <w:lang w:val="en-US"/>
        </w:rPr>
        <w:t>shelters</w:t>
      </w:r>
      <w:r w:rsidR="008A0DCD" w:rsidRPr="00347553">
        <w:rPr>
          <w:lang w:val="en-US"/>
        </w:rPr>
        <w:t>. Violence Prevention and Monitoring Centers (</w:t>
      </w:r>
      <w:r w:rsidR="00135412" w:rsidRPr="00347553">
        <w:rPr>
          <w:lang w:val="en-US"/>
        </w:rPr>
        <w:t>ŞÖNİMs</w:t>
      </w:r>
      <w:r w:rsidR="008A0DCD" w:rsidRPr="00347553">
        <w:rPr>
          <w:lang w:val="en-US"/>
        </w:rPr>
        <w:t>) are in service in all 81 Provinces.</w:t>
      </w:r>
      <w:r w:rsidR="00306709">
        <w:rPr>
          <w:lang w:val="en-US"/>
        </w:rPr>
        <w:t xml:space="preserve"> </w:t>
      </w:r>
      <w:r w:rsidR="008A0DCD" w:rsidRPr="00347553">
        <w:rPr>
          <w:lang w:val="en-US"/>
        </w:rPr>
        <w:t>These Centers do not operate on a 24</w:t>
      </w:r>
      <w:r w:rsidR="00AE55F5" w:rsidRPr="00347553">
        <w:rPr>
          <w:lang w:val="en-US"/>
        </w:rPr>
        <w:t xml:space="preserve">/7 </w:t>
      </w:r>
      <w:r w:rsidR="008A0DCD" w:rsidRPr="00347553">
        <w:rPr>
          <w:lang w:val="en-US"/>
        </w:rPr>
        <w:t xml:space="preserve">basis, </w:t>
      </w:r>
      <w:r w:rsidR="00AE55F5" w:rsidRPr="00347553">
        <w:rPr>
          <w:lang w:val="en-US"/>
        </w:rPr>
        <w:t>and they also</w:t>
      </w:r>
      <w:r w:rsidR="008A0DCD" w:rsidRPr="00347553">
        <w:rPr>
          <w:lang w:val="en-US"/>
        </w:rPr>
        <w:t xml:space="preserve"> lack adequate human and financial resources</w:t>
      </w:r>
      <w:r w:rsidR="009D74A7" w:rsidRPr="00347553">
        <w:rPr>
          <w:lang w:val="en-US"/>
        </w:rPr>
        <w:t>, including translation capacity</w:t>
      </w:r>
      <w:r w:rsidR="008A0DCD" w:rsidRPr="00347553">
        <w:rPr>
          <w:lang w:val="en-US"/>
        </w:rPr>
        <w:t xml:space="preserve">. Women’s counselling centers </w:t>
      </w:r>
      <w:r w:rsidR="00983B8E" w:rsidRPr="00347553">
        <w:rPr>
          <w:lang w:val="en-US"/>
        </w:rPr>
        <w:t xml:space="preserve">are also </w:t>
      </w:r>
      <w:r w:rsidR="00AE55F5" w:rsidRPr="00347553">
        <w:rPr>
          <w:lang w:val="en-US"/>
        </w:rPr>
        <w:t>deficient</w:t>
      </w:r>
      <w:r w:rsidR="00983B8E" w:rsidRPr="00347553">
        <w:rPr>
          <w:lang w:val="en-US"/>
        </w:rPr>
        <w:t xml:space="preserve"> </w:t>
      </w:r>
      <w:r w:rsidR="008A0DCD" w:rsidRPr="00347553">
        <w:rPr>
          <w:lang w:val="en-US"/>
        </w:rPr>
        <w:t>nationwide</w:t>
      </w:r>
      <w:r w:rsidR="00983B8E" w:rsidRPr="00347553">
        <w:rPr>
          <w:lang w:val="en-US"/>
        </w:rPr>
        <w:t xml:space="preserve">, as </w:t>
      </w:r>
      <w:r w:rsidR="00AE55F5" w:rsidRPr="00347553">
        <w:rPr>
          <w:lang w:val="en-US"/>
        </w:rPr>
        <w:t>are</w:t>
      </w:r>
      <w:r w:rsidR="008A0DCD" w:rsidRPr="00347553">
        <w:rPr>
          <w:lang w:val="en-US"/>
        </w:rPr>
        <w:t xml:space="preserve"> </w:t>
      </w:r>
      <w:r w:rsidR="00AE55F5" w:rsidRPr="00347553">
        <w:rPr>
          <w:lang w:val="en-US"/>
        </w:rPr>
        <w:t>o</w:t>
      </w:r>
      <w:r w:rsidR="008A0DCD" w:rsidRPr="00347553">
        <w:rPr>
          <w:lang w:val="en-US"/>
        </w:rPr>
        <w:t xml:space="preserve">utreach services to </w:t>
      </w:r>
      <w:r w:rsidR="00AE55F5" w:rsidRPr="00347553">
        <w:rPr>
          <w:lang w:val="en-US"/>
        </w:rPr>
        <w:t xml:space="preserve">the </w:t>
      </w:r>
      <w:r w:rsidR="008A0DCD" w:rsidRPr="00347553">
        <w:rPr>
          <w:lang w:val="en-US"/>
        </w:rPr>
        <w:t>most vulnerable groups</w:t>
      </w:r>
      <w:r w:rsidR="00983B8E" w:rsidRPr="00347553">
        <w:rPr>
          <w:lang w:val="en-US"/>
        </w:rPr>
        <w:t>, particularly</w:t>
      </w:r>
      <w:r w:rsidR="000E2A7E" w:rsidRPr="00347553">
        <w:rPr>
          <w:lang w:val="en-US"/>
        </w:rPr>
        <w:t xml:space="preserve"> for migrant and refugee women, </w:t>
      </w:r>
      <w:r w:rsidR="003E6591" w:rsidRPr="00347553">
        <w:rPr>
          <w:lang w:val="en-US"/>
        </w:rPr>
        <w:t xml:space="preserve">women from ethnic minorities </w:t>
      </w:r>
      <w:r w:rsidR="000E2A7E" w:rsidRPr="00347553">
        <w:rPr>
          <w:lang w:val="en-US"/>
        </w:rPr>
        <w:t>and women and girls</w:t>
      </w:r>
      <w:r w:rsidR="00983B8E" w:rsidRPr="00347553">
        <w:rPr>
          <w:lang w:val="en-US"/>
        </w:rPr>
        <w:t xml:space="preserve"> in</w:t>
      </w:r>
      <w:r w:rsidR="008A0DCD" w:rsidRPr="00347553">
        <w:rPr>
          <w:lang w:val="en-US"/>
        </w:rPr>
        <w:t xml:space="preserve"> remote areas</w:t>
      </w:r>
      <w:r w:rsidR="003E6591" w:rsidRPr="00347553">
        <w:rPr>
          <w:lang w:val="en-US"/>
        </w:rPr>
        <w:t>.</w:t>
      </w:r>
      <w:r w:rsidR="00D76092" w:rsidRPr="00D76092">
        <w:t xml:space="preserve"> </w:t>
      </w:r>
      <w:r w:rsidR="00D76092" w:rsidRPr="00D76092">
        <w:rPr>
          <w:lang w:val="en-US"/>
        </w:rPr>
        <w:t>A</w:t>
      </w:r>
      <w:r w:rsidR="00D76092">
        <w:rPr>
          <w:lang w:val="en-US"/>
        </w:rPr>
        <w:t>ccording to Government figure</w:t>
      </w:r>
      <w:r w:rsidR="00D76092" w:rsidRPr="00D76092">
        <w:rPr>
          <w:lang w:val="en-US"/>
        </w:rPr>
        <w:t>s</w:t>
      </w:r>
      <w:r w:rsidR="00D76092">
        <w:rPr>
          <w:lang w:val="en-US"/>
        </w:rPr>
        <w:t xml:space="preserve"> as</w:t>
      </w:r>
      <w:r w:rsidR="00D76092" w:rsidRPr="00D76092">
        <w:rPr>
          <w:lang w:val="en-US"/>
        </w:rPr>
        <w:t xml:space="preserve"> of 2023</w:t>
      </w:r>
      <w:r w:rsidR="0053501A">
        <w:rPr>
          <w:lang w:val="en-US"/>
        </w:rPr>
        <w:t>,</w:t>
      </w:r>
      <w:r w:rsidR="00D76092" w:rsidRPr="00D76092">
        <w:rPr>
          <w:lang w:val="en-US"/>
        </w:rPr>
        <w:t xml:space="preserve"> women's shelters </w:t>
      </w:r>
      <w:r w:rsidR="00D76092">
        <w:rPr>
          <w:lang w:val="en-US"/>
        </w:rPr>
        <w:t xml:space="preserve">across the country are operating at an </w:t>
      </w:r>
      <w:r w:rsidR="00D76092" w:rsidRPr="00D76092">
        <w:rPr>
          <w:lang w:val="en-US"/>
        </w:rPr>
        <w:t>80</w:t>
      </w:r>
      <w:r w:rsidR="0053501A">
        <w:rPr>
          <w:lang w:val="en-US"/>
        </w:rPr>
        <w:t xml:space="preserve"> </w:t>
      </w:r>
      <w:r w:rsidR="00D76092">
        <w:rPr>
          <w:lang w:val="en-US"/>
        </w:rPr>
        <w:t>per cent</w:t>
      </w:r>
      <w:r w:rsidR="00D76092" w:rsidRPr="00D76092">
        <w:rPr>
          <w:lang w:val="en-US"/>
        </w:rPr>
        <w:t xml:space="preserve"> occupancy rate.</w:t>
      </w:r>
    </w:p>
    <w:p w14:paraId="29A8DEE3" w14:textId="588FF200" w:rsidR="00CE2192" w:rsidRPr="00347553" w:rsidRDefault="008A0DCD"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lang w:val="en-US"/>
        </w:rPr>
        <w:t xml:space="preserve">The limited support provided to those shelters that are in place, as well as a lack of coordinated, gender-friendly and comprehensive essential services for the survivors of violence is of considerable </w:t>
      </w:r>
      <w:r w:rsidRPr="00472720">
        <w:rPr>
          <w:rStyle w:val="NoneB"/>
          <w:lang w:val="en-GB"/>
        </w:rPr>
        <w:t>concern</w:t>
      </w:r>
      <w:r w:rsidRPr="00347553">
        <w:rPr>
          <w:lang w:val="en-US"/>
        </w:rPr>
        <w:t>.  The lack of safe refuge, as well as awareness of their rights in such cases only seeks to contribute to the high level of impunity of perpetrators.</w:t>
      </w:r>
    </w:p>
    <w:p w14:paraId="3C61FF01" w14:textId="2543DB5E" w:rsidR="00CE2192" w:rsidRPr="00347553" w:rsidRDefault="000B6F4D" w:rsidP="00C22292">
      <w:pPr>
        <w:pStyle w:val="SingleTxtG"/>
        <w:numPr>
          <w:ilvl w:val="0"/>
          <w:numId w:val="6"/>
        </w:numPr>
        <w:pBdr>
          <w:top w:val="nil"/>
          <w:left w:val="nil"/>
          <w:bottom w:val="nil"/>
          <w:right w:val="nil"/>
          <w:between w:val="nil"/>
          <w:bar w:val="nil"/>
        </w:pBdr>
        <w:tabs>
          <w:tab w:val="left" w:pos="1701"/>
        </w:tabs>
        <w:spacing w:line="240" w:lineRule="exact"/>
        <w:ind w:left="1134" w:firstLine="0"/>
        <w:rPr>
          <w:rStyle w:val="NoneB"/>
          <w:lang w:val="en-GB"/>
        </w:rPr>
      </w:pPr>
      <w:r w:rsidRPr="00347553">
        <w:t xml:space="preserve">Whilst the introduction of a general social support helpline 24/7 (Alo 183) is a step in the right direction, there are </w:t>
      </w:r>
      <w:r w:rsidRPr="00472720">
        <w:rPr>
          <w:rStyle w:val="NoneB"/>
          <w:lang w:val="en-GB"/>
        </w:rPr>
        <w:t>concerns</w:t>
      </w:r>
      <w:r w:rsidRPr="00347553">
        <w:t xml:space="preserve"> that it is not specialized and not offered in all relevant languages.  </w:t>
      </w:r>
      <w:r w:rsidR="0058279E" w:rsidRPr="00347553">
        <w:rPr>
          <w:rStyle w:val="NoneB"/>
        </w:rPr>
        <w:t>In addition, there is no specialized hotline that provides services for victims of sexual violence</w:t>
      </w:r>
      <w:r w:rsidR="000E2A7E" w:rsidRPr="00347553">
        <w:rPr>
          <w:rStyle w:val="NoneB"/>
        </w:rPr>
        <w:t>.</w:t>
      </w:r>
    </w:p>
    <w:p w14:paraId="5F03862B" w14:textId="3743782B" w:rsidR="00CE2192" w:rsidRPr="00347553" w:rsidRDefault="0058279E"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Style w:val="NoneB"/>
        </w:rPr>
        <w:t>The mobile application KADES (</w:t>
      </w:r>
      <w:r w:rsidRPr="00347553">
        <w:t>Women’s Emergency Support Applicatio</w:t>
      </w:r>
      <w:r w:rsidR="000E2A7E" w:rsidRPr="00347553">
        <w:t>n</w:t>
      </w:r>
      <w:r w:rsidRPr="00347553">
        <w:rPr>
          <w:rStyle w:val="NoneB"/>
        </w:rPr>
        <w:t>), launched in 2018, is a</w:t>
      </w:r>
      <w:r w:rsidR="000E2A7E" w:rsidRPr="00347553">
        <w:rPr>
          <w:rStyle w:val="NoneB"/>
        </w:rPr>
        <w:t xml:space="preserve"> progressive </w:t>
      </w:r>
      <w:r w:rsidR="000E2A7E" w:rsidRPr="00472720">
        <w:rPr>
          <w:rStyle w:val="NoneB"/>
          <w:lang w:val="en-GB"/>
        </w:rPr>
        <w:t>electronic</w:t>
      </w:r>
      <w:r w:rsidR="000E2A7E" w:rsidRPr="00347553">
        <w:t xml:space="preserve"> monitoring system, which monitors the geographic activities of the perpetrators and their proximity to the victims. </w:t>
      </w:r>
      <w:r w:rsidR="000E2A7E" w:rsidRPr="00347553">
        <w:rPr>
          <w:rStyle w:val="NoneB"/>
          <w:lang w:val="en-GB"/>
        </w:rPr>
        <w:t xml:space="preserve">It is an </w:t>
      </w:r>
      <w:r w:rsidR="000E2A7E" w:rsidRPr="00347553">
        <w:rPr>
          <w:rStyle w:val="NoneB"/>
        </w:rPr>
        <w:t>essential</w:t>
      </w:r>
      <w:r w:rsidR="000E2A7E" w:rsidRPr="00347553">
        <w:t xml:space="preserve"> </w:t>
      </w:r>
      <w:r w:rsidRPr="00347553">
        <w:rPr>
          <w:rStyle w:val="NoneB"/>
        </w:rPr>
        <w:t>tool for increasing women's access to emergency support services and speeding up response times</w:t>
      </w:r>
      <w:r w:rsidR="00AE0E3F">
        <w:rPr>
          <w:rStyle w:val="NoneB"/>
        </w:rPr>
        <w:t xml:space="preserve">, </w:t>
      </w:r>
      <w:proofErr w:type="gramStart"/>
      <w:r w:rsidR="00AE0E3F">
        <w:rPr>
          <w:rStyle w:val="NoneB"/>
        </w:rPr>
        <w:t>In</w:t>
      </w:r>
      <w:proofErr w:type="gramEnd"/>
      <w:r w:rsidR="00AE0E3F">
        <w:rPr>
          <w:rStyle w:val="NoneB"/>
        </w:rPr>
        <w:t xml:space="preserve"> 2022 it was translated into several additional languages, while a</w:t>
      </w:r>
      <w:r w:rsidR="00AE0E3F" w:rsidRPr="00AE0E3F">
        <w:rPr>
          <w:rStyle w:val="NoneB"/>
        </w:rPr>
        <w:t xml:space="preserve"> promotional SMS was sent to approximately 46 million women </w:t>
      </w:r>
      <w:r w:rsidR="00AE0E3F">
        <w:rPr>
          <w:rStyle w:val="NoneB"/>
        </w:rPr>
        <w:t xml:space="preserve">resulting in </w:t>
      </w:r>
      <w:r w:rsidR="00AE0E3F" w:rsidRPr="00AE0E3F">
        <w:rPr>
          <w:rStyle w:val="NoneB"/>
        </w:rPr>
        <w:t>604,477 women report</w:t>
      </w:r>
      <w:r w:rsidR="00AE0E3F">
        <w:rPr>
          <w:rStyle w:val="NoneB"/>
        </w:rPr>
        <w:t xml:space="preserve">edly using it. </w:t>
      </w:r>
      <w:r w:rsidR="000B6F4D" w:rsidRPr="00347553">
        <w:t>Currently,</w:t>
      </w:r>
      <w:r w:rsidRPr="00347553">
        <w:t xml:space="preserve"> however</w:t>
      </w:r>
      <w:r w:rsidR="000B6F4D" w:rsidRPr="00347553">
        <w:t xml:space="preserve"> the application can only be activated through a Turkish identity number, which excludes unregistered migrant and refugee women as well as women</w:t>
      </w:r>
      <w:r w:rsidR="00AD1797">
        <w:t xml:space="preserve"> </w:t>
      </w:r>
      <w:r w:rsidR="00FB0D9E" w:rsidRPr="00347553">
        <w:t>of diverse gender identities</w:t>
      </w:r>
      <w:r w:rsidR="000B6F4D" w:rsidRPr="00347553">
        <w:t xml:space="preserve">. </w:t>
      </w:r>
    </w:p>
    <w:p w14:paraId="0E71BB55" w14:textId="050CF79A" w:rsidR="007E3E01" w:rsidRPr="00347553" w:rsidRDefault="007E3E01" w:rsidP="00C22292">
      <w:pPr>
        <w:pStyle w:val="H1G"/>
        <w:numPr>
          <w:ilvl w:val="0"/>
          <w:numId w:val="9"/>
        </w:numPr>
        <w:tabs>
          <w:tab w:val="clear" w:pos="851"/>
          <w:tab w:val="right" w:pos="567"/>
          <w:tab w:val="left" w:pos="1701"/>
        </w:tabs>
        <w:ind w:left="1134" w:hanging="567"/>
        <w:rPr>
          <w:rStyle w:val="NoneB"/>
          <w:b w:val="0"/>
          <w:bCs/>
          <w:szCs w:val="24"/>
          <w:lang w:val="en-GB"/>
        </w:rPr>
      </w:pPr>
      <w:r w:rsidRPr="00347553">
        <w:rPr>
          <w:rStyle w:val="NoneB"/>
          <w:bCs/>
          <w:szCs w:val="24"/>
          <w:lang w:val="en-GB"/>
        </w:rPr>
        <w:t xml:space="preserve">Access </w:t>
      </w:r>
      <w:r w:rsidRPr="00C36FB8">
        <w:rPr>
          <w:lang w:val="en-US"/>
        </w:rPr>
        <w:t>to</w:t>
      </w:r>
      <w:r w:rsidRPr="00347553">
        <w:rPr>
          <w:rStyle w:val="NoneB"/>
          <w:bCs/>
          <w:szCs w:val="24"/>
          <w:lang w:val="en-GB"/>
        </w:rPr>
        <w:t xml:space="preserve"> Justice</w:t>
      </w:r>
    </w:p>
    <w:p w14:paraId="1A98B941" w14:textId="3265ED5A" w:rsidR="00973712" w:rsidRPr="00347553" w:rsidRDefault="000E2A7E"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Style w:val="NoneB"/>
        </w:rPr>
        <w:t xml:space="preserve">In terms of access to justice, the Special Rapporteur notes that </w:t>
      </w:r>
      <w:r w:rsidR="00C50338" w:rsidRPr="00347553">
        <w:rPr>
          <w:rStyle w:val="NoneB"/>
        </w:rPr>
        <w:t xml:space="preserve">considerable efforts have been made to introduce various mechanisms and policies to protect victims of violence, including through the establishment of Judicial Support and Victim Services’ Directorates (ADMs), </w:t>
      </w:r>
      <w:r w:rsidR="00C50338" w:rsidRPr="00472720">
        <w:rPr>
          <w:rStyle w:val="NoneB"/>
          <w:lang w:val="en-GB"/>
        </w:rPr>
        <w:t>which</w:t>
      </w:r>
      <w:r w:rsidR="00C50338" w:rsidRPr="00347553">
        <w:rPr>
          <w:rStyle w:val="NoneB"/>
        </w:rPr>
        <w:t xml:space="preserve"> are currently </w:t>
      </w:r>
      <w:r w:rsidR="005B083E" w:rsidRPr="00347553">
        <w:rPr>
          <w:rStyle w:val="NoneB"/>
        </w:rPr>
        <w:t>in place in</w:t>
      </w:r>
      <w:r w:rsidR="00C50338" w:rsidRPr="00347553">
        <w:rPr>
          <w:rStyle w:val="NoneB"/>
        </w:rPr>
        <w:t xml:space="preserve"> 99 courthouses across the country;</w:t>
      </w:r>
      <w:r w:rsidR="00C50338" w:rsidRPr="00347553">
        <w:rPr>
          <w:rStyle w:val="FootnoteReference"/>
          <w:lang w:val="en-US"/>
        </w:rPr>
        <w:footnoteReference w:id="38"/>
      </w:r>
      <w:r w:rsidR="00C50338" w:rsidRPr="00347553">
        <w:rPr>
          <w:rStyle w:val="NoneB"/>
        </w:rPr>
        <w:t xml:space="preserve">  </w:t>
      </w:r>
      <w:r w:rsidR="0060079C" w:rsidRPr="00347553">
        <w:t xml:space="preserve">the </w:t>
      </w:r>
      <w:r w:rsidR="00C50338" w:rsidRPr="00347553">
        <w:t xml:space="preserve">implementation of </w:t>
      </w:r>
      <w:r w:rsidR="0060079C" w:rsidRPr="00347553">
        <w:t xml:space="preserve">hospital-based Child Monitoring Centers (ÇİM), primarily for victims of sexual or other </w:t>
      </w:r>
      <w:r w:rsidR="00F7389A" w:rsidRPr="00347553">
        <w:t>v</w:t>
      </w:r>
      <w:r w:rsidR="0060079C" w:rsidRPr="00347553">
        <w:t>iolenc</w:t>
      </w:r>
      <w:r w:rsidR="00F7389A" w:rsidRPr="00347553">
        <w:t>e</w:t>
      </w:r>
      <w:r w:rsidR="00C50338" w:rsidRPr="00347553">
        <w:t>;</w:t>
      </w:r>
      <w:r w:rsidR="0060079C" w:rsidRPr="00347553">
        <w:t xml:space="preserve"> </w:t>
      </w:r>
      <w:r w:rsidR="00C50338" w:rsidRPr="00347553">
        <w:t xml:space="preserve">as well as </w:t>
      </w:r>
      <w:r w:rsidR="0060079C" w:rsidRPr="00347553">
        <w:t>an increase in the numbers of well-equipped child-friendly interview rooms in courthouses</w:t>
      </w:r>
      <w:r w:rsidR="00C50338" w:rsidRPr="00347553">
        <w:t>.</w:t>
      </w:r>
      <w:r w:rsidR="00C50338" w:rsidRPr="00347553">
        <w:rPr>
          <w:rStyle w:val="FootnoteReference"/>
        </w:rPr>
        <w:footnoteReference w:id="39"/>
      </w:r>
    </w:p>
    <w:p w14:paraId="4EACE606" w14:textId="0B4F6679" w:rsidR="00973712" w:rsidRPr="00347553" w:rsidRDefault="00C50338"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While the afore-mentioned developments are indeed positive, the Special Rapporteur is concerned that many women </w:t>
      </w:r>
      <w:r w:rsidR="00306709">
        <w:t>who</w:t>
      </w:r>
      <w:r w:rsidR="00306709" w:rsidRPr="00347553">
        <w:t xml:space="preserve"> </w:t>
      </w:r>
      <w:r w:rsidRPr="00347553">
        <w:t xml:space="preserve">she interacted with are unaware of their rights to access justice </w:t>
      </w:r>
      <w:r w:rsidR="00FB0D9E" w:rsidRPr="00347553">
        <w:t>or are otherwise discouraged to report abuse b</w:t>
      </w:r>
      <w:r w:rsidR="00530FC0" w:rsidRPr="00347553">
        <w:t>ased on the interactions they have with</w:t>
      </w:r>
      <w:r w:rsidR="00FB0D9E" w:rsidRPr="00347553">
        <w:t xml:space="preserve"> </w:t>
      </w:r>
      <w:r w:rsidR="007E3E01" w:rsidRPr="00347553">
        <w:t xml:space="preserve">the law enforcement officers. More generally, the ineffective prosecution of perpetrators also discourages reporting and </w:t>
      </w:r>
      <w:r w:rsidR="00973712" w:rsidRPr="00347553">
        <w:t xml:space="preserve">only seeks to embolden the culprits. The limited scope of legal aid, both economically and substantively, resulting in non-eligibility for legal aid of women earning the minimum wage, the cumbersome procedure to prove eligibility, and language barriers faced by women seeking justice, including </w:t>
      </w:r>
      <w:r w:rsidR="00FB0D9E" w:rsidRPr="00347553">
        <w:t xml:space="preserve">Turkish women </w:t>
      </w:r>
      <w:r w:rsidR="0053501A">
        <w:t>of</w:t>
      </w:r>
      <w:r w:rsidR="0053501A" w:rsidRPr="00347553">
        <w:t xml:space="preserve"> </w:t>
      </w:r>
      <w:r w:rsidR="0053501A">
        <w:t>different</w:t>
      </w:r>
      <w:r w:rsidR="0053501A" w:rsidRPr="00347553">
        <w:t xml:space="preserve"> </w:t>
      </w:r>
      <w:r w:rsidR="00FB0D9E" w:rsidRPr="00347553">
        <w:t>ethnic backgrounds</w:t>
      </w:r>
      <w:r w:rsidR="00973712" w:rsidRPr="00347553">
        <w:t xml:space="preserve">, and women </w:t>
      </w:r>
      <w:r w:rsidR="00530FC0" w:rsidRPr="00347553">
        <w:t>who</w:t>
      </w:r>
      <w:r w:rsidR="00973712" w:rsidRPr="00347553">
        <w:t xml:space="preserve"> are refugees, migrant or under temporary protection </w:t>
      </w:r>
      <w:r w:rsidR="0053501A">
        <w:t>or no reg</w:t>
      </w:r>
      <w:r w:rsidR="00CC7166">
        <w:t>u</w:t>
      </w:r>
      <w:r w:rsidR="0053501A">
        <w:t xml:space="preserve">lar status </w:t>
      </w:r>
      <w:r w:rsidR="00973712" w:rsidRPr="00347553">
        <w:t xml:space="preserve">is of considerable concern. </w:t>
      </w:r>
    </w:p>
    <w:p w14:paraId="42EE2719" w14:textId="001ADC18" w:rsidR="007E3E01" w:rsidRPr="00347553" w:rsidRDefault="007E3E01"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It is also problematic that </w:t>
      </w:r>
      <w:r w:rsidR="0053501A">
        <w:t>many</w:t>
      </w:r>
      <w:r w:rsidR="0053501A" w:rsidRPr="00347553">
        <w:t xml:space="preserve"> </w:t>
      </w:r>
      <w:r w:rsidRPr="00347553">
        <w:t xml:space="preserve">cases of domestic violence </w:t>
      </w:r>
      <w:r w:rsidR="0053501A">
        <w:t>appear to be</w:t>
      </w:r>
      <w:r w:rsidR="0053501A" w:rsidRPr="00347553">
        <w:t xml:space="preserve"> </w:t>
      </w:r>
      <w:r w:rsidRPr="00347553">
        <w:t xml:space="preserve">referred to mandatory mediation by the police. For example, </w:t>
      </w:r>
      <w:r w:rsidR="00CC7166">
        <w:t>i</w:t>
      </w:r>
      <w:r w:rsidRPr="00347553">
        <w:t xml:space="preserve">n the case of Aysa Tuba Arslan who </w:t>
      </w:r>
      <w:r w:rsidR="00C41FCD" w:rsidRPr="00347553">
        <w:t xml:space="preserve">died on 11 October, 2019 of injuries inflicted by her former husband </w:t>
      </w:r>
      <w:r w:rsidRPr="00347553">
        <w:t xml:space="preserve">had been referred to mediation </w:t>
      </w:r>
      <w:proofErr w:type="gramStart"/>
      <w:r w:rsidRPr="00347553">
        <w:t>despite the fact that</w:t>
      </w:r>
      <w:proofErr w:type="gramEnd"/>
      <w:r w:rsidRPr="00347553">
        <w:t xml:space="preserve"> she </w:t>
      </w:r>
      <w:r w:rsidR="00C41FCD" w:rsidRPr="00347553">
        <w:t xml:space="preserve">had lodged 23 complaints with the police and the prosecutor’s office against her former </w:t>
      </w:r>
      <w:r w:rsidR="00C41FCD" w:rsidRPr="00472720">
        <w:rPr>
          <w:rStyle w:val="NoneB"/>
          <w:lang w:val="en-GB"/>
        </w:rPr>
        <w:t>husband</w:t>
      </w:r>
      <w:r w:rsidR="00C41FCD" w:rsidRPr="00347553">
        <w:t xml:space="preserve"> between 2018 and 2019, obtaining four preventive orders which he breached repeatedly without consequences. </w:t>
      </w:r>
      <w:r w:rsidR="00C41FCD" w:rsidRPr="00347553">
        <w:rPr>
          <w:rStyle w:val="FootnoteReference"/>
        </w:rPr>
        <w:footnoteReference w:id="40"/>
      </w:r>
    </w:p>
    <w:p w14:paraId="06EDB374" w14:textId="217A37AC" w:rsidR="00135412" w:rsidRPr="00347553" w:rsidRDefault="00C606EB"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 xml:space="preserve">Furthermore, </w:t>
      </w:r>
      <w:r w:rsidRPr="00347553">
        <w:rPr>
          <w:spacing w:val="4"/>
          <w:w w:val="103"/>
          <w:kern w:val="14"/>
        </w:rPr>
        <w:t xml:space="preserve">the adoption of the 2017 constitutional amendments has had a detrimental impact on the judiciary, further undermining its ability to independently discharge </w:t>
      </w:r>
      <w:r w:rsidRPr="00472720">
        <w:rPr>
          <w:rStyle w:val="NoneB"/>
          <w:lang w:val="en-GB"/>
        </w:rPr>
        <w:t>its</w:t>
      </w:r>
      <w:r w:rsidRPr="00347553">
        <w:rPr>
          <w:spacing w:val="4"/>
          <w:w w:val="103"/>
          <w:kern w:val="14"/>
        </w:rPr>
        <w:t xml:space="preserve"> mandate, with approximately 20 percent of active judges and prosecutors</w:t>
      </w:r>
      <w:r w:rsidR="00BC253E" w:rsidRPr="00347553">
        <w:rPr>
          <w:spacing w:val="4"/>
          <w:w w:val="103"/>
          <w:kern w:val="14"/>
        </w:rPr>
        <w:t>, including women,</w:t>
      </w:r>
      <w:r w:rsidRPr="00347553">
        <w:rPr>
          <w:spacing w:val="4"/>
          <w:w w:val="103"/>
          <w:kern w:val="14"/>
        </w:rPr>
        <w:t xml:space="preserve"> dismissed during the state of emergency on grounds of “association with terrorism”.  Many women judges have yet to be reinstated, despite their acquittal of criminal charges.  The current climate of fear</w:t>
      </w:r>
      <w:r w:rsidR="00FB0D9E" w:rsidRPr="00347553">
        <w:rPr>
          <w:spacing w:val="4"/>
          <w:w w:val="103"/>
          <w:kern w:val="14"/>
        </w:rPr>
        <w:t xml:space="preserve"> of reprisals for actual or perceived political opinion,</w:t>
      </w:r>
      <w:r w:rsidRPr="00347553">
        <w:rPr>
          <w:spacing w:val="4"/>
          <w:w w:val="103"/>
          <w:kern w:val="14"/>
        </w:rPr>
        <w:t xml:space="preserve"> does little to encourage women judges from returning to their previous positions, while those who have replaced them are </w:t>
      </w:r>
      <w:r w:rsidRPr="00347553">
        <w:rPr>
          <w:w w:val="103"/>
        </w:rPr>
        <w:t>often inexperienced facing an already heavy caseload</w:t>
      </w:r>
      <w:r w:rsidR="00872FCD" w:rsidRPr="00347553">
        <w:rPr>
          <w:w w:val="103"/>
        </w:rPr>
        <w:t xml:space="preserve">, thus emboldening </w:t>
      </w:r>
      <w:proofErr w:type="gramStart"/>
      <w:r w:rsidR="00872FCD" w:rsidRPr="00347553">
        <w:rPr>
          <w:w w:val="103"/>
        </w:rPr>
        <w:t>perpetrators</w:t>
      </w:r>
      <w:proofErr w:type="gramEnd"/>
      <w:r w:rsidR="00872FCD" w:rsidRPr="00347553">
        <w:rPr>
          <w:w w:val="103"/>
        </w:rPr>
        <w:t xml:space="preserve"> and increasing impunity</w:t>
      </w:r>
      <w:r w:rsidR="005B083E" w:rsidRPr="00347553">
        <w:rPr>
          <w:rStyle w:val="FootnoteReference"/>
          <w:w w:val="103"/>
        </w:rPr>
        <w:footnoteReference w:id="41"/>
      </w:r>
      <w:r w:rsidR="00872FCD" w:rsidRPr="00347553">
        <w:rPr>
          <w:w w:val="103"/>
        </w:rPr>
        <w:t>.</w:t>
      </w:r>
    </w:p>
    <w:p w14:paraId="5E91DEAE" w14:textId="2D23E349" w:rsidR="00135412" w:rsidRPr="00C36FB8" w:rsidRDefault="00135412" w:rsidP="00C22292">
      <w:pPr>
        <w:pStyle w:val="H1G"/>
        <w:numPr>
          <w:ilvl w:val="0"/>
          <w:numId w:val="9"/>
        </w:numPr>
        <w:tabs>
          <w:tab w:val="clear" w:pos="851"/>
          <w:tab w:val="right" w:pos="567"/>
          <w:tab w:val="left" w:pos="1701"/>
        </w:tabs>
        <w:ind w:left="1134" w:hanging="567"/>
        <w:rPr>
          <w:b w:val="0"/>
          <w:bCs/>
        </w:rPr>
      </w:pPr>
      <w:r w:rsidRPr="00C36FB8">
        <w:rPr>
          <w:lang w:val="en-US"/>
        </w:rPr>
        <w:t>Protection</w:t>
      </w:r>
      <w:r w:rsidRPr="00347553">
        <w:rPr>
          <w:bCs/>
        </w:rPr>
        <w:t xml:space="preserve"> orders</w:t>
      </w:r>
    </w:p>
    <w:p w14:paraId="6160A83D" w14:textId="68B688BE" w:rsidR="00115247" w:rsidRPr="00347553" w:rsidRDefault="003946D5"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Fonts w:eastAsia="Arial Unicode MS"/>
          <w:u w:color="000000"/>
          <w:bdr w:val="nil"/>
          <w:lang w:eastAsia="en-GB"/>
        </w:rPr>
        <w:t>Under Law No. 6284, victims of domestic violence can apply to the police</w:t>
      </w:r>
      <w:r w:rsidR="00135412" w:rsidRPr="00347553">
        <w:rPr>
          <w:rFonts w:eastAsia="Arial Unicode MS"/>
          <w:u w:color="000000"/>
          <w:bdr w:val="nil"/>
          <w:lang w:eastAsia="en-GB"/>
        </w:rPr>
        <w:t>,</w:t>
      </w:r>
      <w:r w:rsidRPr="00347553">
        <w:rPr>
          <w:rFonts w:eastAsia="Arial Unicode MS"/>
          <w:u w:color="000000"/>
          <w:bdr w:val="nil"/>
          <w:lang w:eastAsia="en-GB"/>
        </w:rPr>
        <w:t xml:space="preserve"> </w:t>
      </w:r>
      <w:r w:rsidR="00135412" w:rsidRPr="00347553">
        <w:rPr>
          <w:rFonts w:eastAsia="Arial Unicode MS"/>
          <w:u w:color="000000"/>
          <w:bdr w:val="nil"/>
          <w:lang w:eastAsia="en-GB"/>
        </w:rPr>
        <w:t xml:space="preserve">the district governor’s </w:t>
      </w:r>
      <w:proofErr w:type="gramStart"/>
      <w:r w:rsidR="00135412" w:rsidRPr="00347553">
        <w:rPr>
          <w:rFonts w:eastAsia="Arial Unicode MS"/>
          <w:u w:color="000000"/>
          <w:bdr w:val="nil"/>
          <w:lang w:eastAsia="en-GB"/>
        </w:rPr>
        <w:t>office</w:t>
      </w:r>
      <w:proofErr w:type="gramEnd"/>
      <w:r w:rsidR="00135412" w:rsidRPr="00347553">
        <w:rPr>
          <w:rFonts w:eastAsia="Arial Unicode MS"/>
          <w:u w:color="000000"/>
          <w:bdr w:val="nil"/>
          <w:lang w:eastAsia="en-GB"/>
        </w:rPr>
        <w:t xml:space="preserve"> </w:t>
      </w:r>
      <w:r w:rsidRPr="00347553">
        <w:rPr>
          <w:rFonts w:eastAsia="Arial Unicode MS"/>
          <w:u w:color="000000"/>
          <w:bdr w:val="nil"/>
          <w:lang w:eastAsia="en-GB"/>
        </w:rPr>
        <w:t xml:space="preserve">or </w:t>
      </w:r>
      <w:r w:rsidR="00135412" w:rsidRPr="00347553">
        <w:rPr>
          <w:rFonts w:eastAsia="Arial Unicode MS"/>
          <w:u w:color="000000"/>
          <w:bdr w:val="nil"/>
          <w:lang w:eastAsia="en-GB"/>
        </w:rPr>
        <w:t xml:space="preserve">the courts </w:t>
      </w:r>
      <w:r w:rsidRPr="00347553">
        <w:rPr>
          <w:rFonts w:eastAsia="Arial Unicode MS"/>
          <w:u w:color="000000"/>
          <w:bdr w:val="nil"/>
          <w:lang w:eastAsia="en-GB"/>
        </w:rPr>
        <w:t xml:space="preserve">for </w:t>
      </w:r>
      <w:r w:rsidR="00135412" w:rsidRPr="00347553">
        <w:rPr>
          <w:rFonts w:eastAsia="Arial Unicode MS"/>
          <w:u w:color="000000"/>
          <w:bdr w:val="nil"/>
          <w:lang w:eastAsia="en-GB"/>
        </w:rPr>
        <w:t xml:space="preserve">protection </w:t>
      </w:r>
      <w:r w:rsidRPr="00347553">
        <w:rPr>
          <w:rFonts w:eastAsia="Arial Unicode MS"/>
          <w:u w:color="000000"/>
          <w:bdr w:val="nil"/>
          <w:lang w:eastAsia="en-GB"/>
        </w:rPr>
        <w:t xml:space="preserve">orders </w:t>
      </w:r>
      <w:r w:rsidR="00135412" w:rsidRPr="00347553">
        <w:rPr>
          <w:rFonts w:eastAsia="Arial Unicode MS"/>
          <w:u w:color="000000"/>
          <w:bdr w:val="nil"/>
          <w:lang w:eastAsia="en-GB"/>
        </w:rPr>
        <w:t xml:space="preserve">(articles 3 and 4) </w:t>
      </w:r>
      <w:r w:rsidRPr="00347553">
        <w:rPr>
          <w:rFonts w:eastAsia="Arial Unicode MS"/>
          <w:u w:color="000000"/>
          <w:bdr w:val="nil"/>
          <w:lang w:eastAsia="en-GB"/>
        </w:rPr>
        <w:t xml:space="preserve">which can include a range of measures aimed at compelling perpetrators of domestic violence to stop all forms of harassment and </w:t>
      </w:r>
      <w:r w:rsidRPr="00472720">
        <w:rPr>
          <w:rStyle w:val="NoneB"/>
          <w:lang w:val="en-GB"/>
        </w:rPr>
        <w:t>abuse</w:t>
      </w:r>
      <w:r w:rsidRPr="00347553">
        <w:rPr>
          <w:rFonts w:eastAsia="Arial Unicode MS"/>
          <w:u w:color="000000"/>
          <w:bdr w:val="nil"/>
          <w:lang w:eastAsia="en-GB"/>
        </w:rPr>
        <w:t>, including by barring them from approaching and contacting the victim.</w:t>
      </w:r>
      <w:r w:rsidR="00115247" w:rsidRPr="007B5C8E">
        <w:rPr>
          <w:rStyle w:val="FootnoteReference"/>
          <w:rFonts w:eastAsia="Arial Unicode MS"/>
          <w:u w:color="000000"/>
          <w:bdr w:val="nil"/>
          <w:lang w:eastAsia="en-GB"/>
        </w:rPr>
        <w:footnoteReference w:id="42"/>
      </w:r>
    </w:p>
    <w:p w14:paraId="0F5AC402" w14:textId="029019C7" w:rsidR="00EE344F" w:rsidRPr="00347553" w:rsidRDefault="00D41204"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Fonts w:eastAsia="Arial Unicode MS"/>
          <w:u w:color="000000"/>
          <w:bdr w:val="nil"/>
          <w:lang w:eastAsia="en-GB"/>
        </w:rPr>
        <w:t xml:space="preserve">Courts often issue preventive orders for short periods, in some cases just weeks or a month, irrespective of the </w:t>
      </w:r>
      <w:r w:rsidRPr="00472720">
        <w:rPr>
          <w:rStyle w:val="NoneB"/>
          <w:lang w:val="en-GB"/>
        </w:rPr>
        <w:t>persistent</w:t>
      </w:r>
      <w:r w:rsidRPr="00347553">
        <w:rPr>
          <w:rFonts w:eastAsia="Arial Unicode MS"/>
          <w:u w:color="000000"/>
          <w:bdr w:val="nil"/>
          <w:lang w:eastAsia="en-GB"/>
        </w:rPr>
        <w:t xml:space="preserve"> risk and threat of violence. When courts convict perpetrators of domestic violence for crimes such as intentional injury, </w:t>
      </w:r>
      <w:proofErr w:type="gramStart"/>
      <w:r w:rsidRPr="00347553">
        <w:rPr>
          <w:rFonts w:eastAsia="Arial Unicode MS"/>
          <w:u w:color="000000"/>
          <w:bdr w:val="nil"/>
          <w:lang w:eastAsia="en-GB"/>
        </w:rPr>
        <w:t>threats</w:t>
      </w:r>
      <w:proofErr w:type="gramEnd"/>
      <w:r w:rsidRPr="00347553">
        <w:rPr>
          <w:rFonts w:eastAsia="Arial Unicode MS"/>
          <w:u w:color="000000"/>
          <w:bdr w:val="nil"/>
          <w:lang w:eastAsia="en-GB"/>
        </w:rPr>
        <w:t xml:space="preserve"> and insults, </w:t>
      </w:r>
      <w:r w:rsidR="00737EDB" w:rsidRPr="00347553">
        <w:rPr>
          <w:rFonts w:eastAsia="Arial Unicode MS"/>
          <w:u w:color="000000"/>
          <w:bdr w:val="nil"/>
          <w:lang w:eastAsia="en-GB"/>
        </w:rPr>
        <w:t xml:space="preserve">which happens rarely, </w:t>
      </w:r>
      <w:r w:rsidRPr="00347553">
        <w:rPr>
          <w:rFonts w:eastAsia="Arial Unicode MS"/>
          <w:u w:color="000000"/>
          <w:bdr w:val="nil"/>
          <w:lang w:eastAsia="en-GB"/>
        </w:rPr>
        <w:t>the penalties are often issued late and are too little to constitute an effective deterrent to prevent further abuse</w:t>
      </w:r>
      <w:r w:rsidR="00306709">
        <w:rPr>
          <w:rFonts w:eastAsia="Arial Unicode MS"/>
          <w:u w:color="000000"/>
          <w:bdr w:val="nil"/>
          <w:lang w:eastAsia="en-GB"/>
        </w:rPr>
        <w:t xml:space="preserve">. </w:t>
      </w:r>
      <w:r w:rsidR="00EE344F" w:rsidRPr="00347553">
        <w:t xml:space="preserve">In December 2019 the Ministry of Justice issued a </w:t>
      </w:r>
      <w:proofErr w:type="gramStart"/>
      <w:r w:rsidR="00EE344F" w:rsidRPr="00347553">
        <w:t>circular</w:t>
      </w:r>
      <w:r w:rsidR="00A70321">
        <w:t xml:space="preserve"> </w:t>
      </w:r>
      <w:r w:rsidR="00EE344F" w:rsidRPr="00347553">
        <w:t>outlining steps</w:t>
      </w:r>
      <w:proofErr w:type="gramEnd"/>
      <w:r w:rsidR="00EE344F" w:rsidRPr="00347553">
        <w:t xml:space="preserve"> to overcome problems during the implementation of preventive and protective orders</w:t>
      </w:r>
      <w:r w:rsidR="00C234B1">
        <w:t>, which includes the</w:t>
      </w:r>
      <w:r w:rsidR="00EE344F" w:rsidRPr="00347553">
        <w:t xml:space="preserve"> introduc</w:t>
      </w:r>
      <w:r w:rsidR="00C234B1">
        <w:t>tion of</w:t>
      </w:r>
      <w:r w:rsidR="00EE344F" w:rsidRPr="00347553">
        <w:t xml:space="preserve"> specialist prosecutors to deal with domestic violence and violence against women; </w:t>
      </w:r>
      <w:r w:rsidR="00C234B1">
        <w:t xml:space="preserve">and provides </w:t>
      </w:r>
      <w:r w:rsidR="00EE344F" w:rsidRPr="00347553">
        <w:t>detailed guidance on</w:t>
      </w:r>
      <w:r w:rsidR="00C234B1">
        <w:t>:</w:t>
      </w:r>
      <w:r w:rsidR="00EE344F" w:rsidRPr="00347553">
        <w:t xml:space="preserve"> applying protective orders</w:t>
      </w:r>
      <w:r w:rsidR="00C234B1">
        <w:t xml:space="preserve">, </w:t>
      </w:r>
      <w:r w:rsidR="00EE344F" w:rsidRPr="00347553">
        <w:t xml:space="preserve">dealing with the police; referral to social services and </w:t>
      </w:r>
      <w:r w:rsidR="00C234B1">
        <w:t>SONIMs</w:t>
      </w:r>
      <w:r w:rsidR="00EE344F" w:rsidRPr="00347553">
        <w:t>;</w:t>
      </w:r>
      <w:r w:rsidR="00C234B1">
        <w:t xml:space="preserve"> among others</w:t>
      </w:r>
      <w:r w:rsidR="00EE344F" w:rsidRPr="00347553">
        <w:t>.</w:t>
      </w:r>
      <w:r w:rsidR="00C234B1">
        <w:t xml:space="preserve"> </w:t>
      </w:r>
      <w:r w:rsidR="00EE344F" w:rsidRPr="00347553">
        <w:t>The General Directorate of Security introduced its own measures in January 2020 to rearrange and increase the number of police units assigned to dealing with domestic violence, with an emphasis on recruiting more female officers.</w:t>
      </w:r>
    </w:p>
    <w:p w14:paraId="56AAB285" w14:textId="0DBF1A55" w:rsidR="00A907ED" w:rsidRPr="00347553" w:rsidRDefault="00872FCD"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Fonts w:eastAsia="Arial Unicode MS"/>
          <w:u w:color="000000"/>
          <w:bdr w:val="nil"/>
          <w:lang w:eastAsia="en-GB"/>
        </w:rPr>
        <w:t>W</w:t>
      </w:r>
      <w:r w:rsidR="00D41204" w:rsidRPr="00347553">
        <w:rPr>
          <w:rFonts w:eastAsia="Arial Unicode MS"/>
          <w:u w:color="000000"/>
          <w:bdr w:val="nil"/>
          <w:lang w:eastAsia="en-GB"/>
        </w:rPr>
        <w:t>hile there are provisions in law to address femicide, data shows a lack of effective enforcement of protective and preventive orders. The Interior Ministry’s figures presented to a parliamentary commission on violence against women demonstrate that in around 8.5 percent of cases of women killed between 2016 and 2021, the woman had been granted an ongoing protective or preventive order at the time of her death</w:t>
      </w:r>
    </w:p>
    <w:p w14:paraId="65D3BD95" w14:textId="7761D4F0" w:rsidR="00A907ED" w:rsidRPr="00347553" w:rsidRDefault="00D41204"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rFonts w:eastAsia="Arial Unicode MS"/>
          <w:u w:color="000000"/>
          <w:bdr w:val="nil"/>
          <w:lang w:eastAsia="en-GB"/>
        </w:rPr>
        <w:t>The view that violence against women is a private matter remains prevalent among law enforcement officers, leading to interventions being delayed, signs of domestic violence being ignored</w:t>
      </w:r>
      <w:r w:rsidR="008B4365">
        <w:rPr>
          <w:rFonts w:eastAsia="Arial Unicode MS"/>
          <w:u w:color="000000"/>
          <w:bdr w:val="nil"/>
          <w:lang w:eastAsia="en-GB"/>
        </w:rPr>
        <w:t>,</w:t>
      </w:r>
      <w:r w:rsidRPr="00347553">
        <w:rPr>
          <w:rFonts w:eastAsia="Arial Unicode MS"/>
          <w:u w:color="000000"/>
          <w:bdr w:val="nil"/>
          <w:lang w:eastAsia="en-GB"/>
        </w:rPr>
        <w:t xml:space="preserve"> and claims being dismissed. Victims </w:t>
      </w:r>
      <w:r w:rsidR="00135412" w:rsidRPr="00347553">
        <w:rPr>
          <w:rFonts w:eastAsia="Arial Unicode MS"/>
          <w:u w:color="000000"/>
          <w:bdr w:val="nil"/>
          <w:lang w:eastAsia="en-GB"/>
        </w:rPr>
        <w:t xml:space="preserve">are </w:t>
      </w:r>
      <w:r w:rsidRPr="00347553">
        <w:rPr>
          <w:rFonts w:eastAsia="Arial Unicode MS"/>
          <w:u w:color="000000"/>
          <w:bdr w:val="nil"/>
          <w:lang w:eastAsia="en-GB"/>
        </w:rPr>
        <w:t xml:space="preserve">often discouraged from reporting offences and investigations into reports of violence against women are often less than diligent. </w:t>
      </w:r>
    </w:p>
    <w:p w14:paraId="5974CA4C" w14:textId="5FE76F95" w:rsidR="00FE42AC" w:rsidRPr="004F7FAF" w:rsidRDefault="00FE42AC" w:rsidP="00F12A46">
      <w:pPr>
        <w:pStyle w:val="H1G"/>
        <w:numPr>
          <w:ilvl w:val="0"/>
          <w:numId w:val="9"/>
        </w:numPr>
        <w:tabs>
          <w:tab w:val="clear" w:pos="851"/>
          <w:tab w:val="right" w:pos="1134"/>
          <w:tab w:val="left" w:pos="1701"/>
        </w:tabs>
        <w:ind w:left="1134" w:hanging="513"/>
        <w:rPr>
          <w:rFonts w:eastAsiaTheme="minorHAnsi"/>
          <w:b w:val="0"/>
          <w:szCs w:val="24"/>
        </w:rPr>
      </w:pPr>
      <w:r w:rsidRPr="004F7FAF">
        <w:rPr>
          <w:rFonts w:eastAsiaTheme="minorHAnsi"/>
          <w:szCs w:val="24"/>
        </w:rPr>
        <w:t xml:space="preserve">Access to sexual and reproductive rights </w:t>
      </w:r>
    </w:p>
    <w:p w14:paraId="7081A42B" w14:textId="63756AF8" w:rsidR="00FE42AC" w:rsidRPr="00347553" w:rsidRDefault="00FE42AC"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w w:val="103"/>
        </w:rPr>
        <w:t xml:space="preserve">Access to sexual and reproductive health services, including modern contraceptives, is very limited, especially for women </w:t>
      </w:r>
      <w:r w:rsidRPr="00347553">
        <w:rPr>
          <w:bCs/>
          <w:w w:val="103"/>
        </w:rPr>
        <w:t>belonging to ethnic minorities</w:t>
      </w:r>
      <w:r w:rsidRPr="00347553">
        <w:rPr>
          <w:w w:val="103"/>
        </w:rPr>
        <w:t xml:space="preserve"> and rural women, resulting in a significant number of early and unwanted pregnancies. The Special Rapporteur is concerned that the ability of women to exercise their legal right to abortion within 10 weeks of pregnancy is not effectively possible in practice given that </w:t>
      </w:r>
      <w:proofErr w:type="gramStart"/>
      <w:r w:rsidRPr="00347553">
        <w:rPr>
          <w:w w:val="103"/>
        </w:rPr>
        <w:t>a large number of</w:t>
      </w:r>
      <w:proofErr w:type="gramEnd"/>
      <w:r w:rsidRPr="00347553">
        <w:rPr>
          <w:w w:val="103"/>
        </w:rPr>
        <w:t xml:space="preserve"> public hospitals refuse to perform abortions, which compels many women to resort to expensive private clinics or to unsafe abortion. Migrant and refugee women find it particularly difficult to realize their sexual and reproductive rights, as do women with disabilities. </w:t>
      </w:r>
    </w:p>
    <w:p w14:paraId="5A110189" w14:textId="2A958B08" w:rsidR="00FE42AC" w:rsidRPr="00A23FDF" w:rsidRDefault="00FE42AC"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rPr>
          <w:w w:val="103"/>
        </w:rPr>
        <w:t xml:space="preserve">The Special Rapporteur therefore urges the Government to ensure that these fundamental rights are restored, by ensuring that all women and girls have access to quality and free contraceptives, </w:t>
      </w:r>
      <w:r w:rsidR="002C0879">
        <w:rPr>
          <w:w w:val="103"/>
        </w:rPr>
        <w:t xml:space="preserve">and </w:t>
      </w:r>
      <w:r w:rsidRPr="00347553">
        <w:rPr>
          <w:w w:val="103"/>
        </w:rPr>
        <w:t>family planning services as well as safe and legal abortions, in line with relevant international standards. The requirement for parental or spousal agreement for abortions to proceed should be removed from legislation.</w:t>
      </w:r>
    </w:p>
    <w:p w14:paraId="756F3292" w14:textId="3D837988" w:rsidR="00CE2192" w:rsidRPr="00347553" w:rsidRDefault="00CE2192" w:rsidP="00C22292">
      <w:pPr>
        <w:pStyle w:val="H1G"/>
        <w:numPr>
          <w:ilvl w:val="0"/>
          <w:numId w:val="9"/>
        </w:numPr>
        <w:tabs>
          <w:tab w:val="clear" w:pos="851"/>
          <w:tab w:val="right" w:pos="567"/>
          <w:tab w:val="left" w:pos="1701"/>
        </w:tabs>
        <w:ind w:left="1134" w:hanging="567"/>
        <w:rPr>
          <w:b w:val="0"/>
          <w:bCs/>
          <w:szCs w:val="24"/>
        </w:rPr>
      </w:pPr>
      <w:r w:rsidRPr="00347553">
        <w:rPr>
          <w:bCs/>
          <w:szCs w:val="24"/>
        </w:rPr>
        <w:t xml:space="preserve">Disaster </w:t>
      </w:r>
      <w:r w:rsidRPr="00C36FB8">
        <w:rPr>
          <w:lang w:val="en-US"/>
        </w:rPr>
        <w:t>risk</w:t>
      </w:r>
      <w:r w:rsidRPr="00347553">
        <w:rPr>
          <w:bCs/>
          <w:szCs w:val="24"/>
        </w:rPr>
        <w:t xml:space="preserve"> management</w:t>
      </w:r>
      <w:r w:rsidR="00737EDB" w:rsidRPr="00347553">
        <w:rPr>
          <w:bCs/>
          <w:szCs w:val="24"/>
        </w:rPr>
        <w:t xml:space="preserve"> and response</w:t>
      </w:r>
    </w:p>
    <w:p w14:paraId="45F409BE" w14:textId="46036AB4" w:rsidR="00CE2192" w:rsidRPr="00347553" w:rsidRDefault="00CE2192" w:rsidP="00C22292">
      <w:pPr>
        <w:pStyle w:val="SingleTxtG"/>
        <w:numPr>
          <w:ilvl w:val="0"/>
          <w:numId w:val="6"/>
        </w:numPr>
        <w:pBdr>
          <w:top w:val="nil"/>
          <w:left w:val="nil"/>
          <w:bottom w:val="nil"/>
          <w:right w:val="nil"/>
          <w:between w:val="nil"/>
          <w:bar w:val="nil"/>
        </w:pBdr>
        <w:tabs>
          <w:tab w:val="left" w:pos="1701"/>
        </w:tabs>
        <w:spacing w:line="240" w:lineRule="exact"/>
        <w:ind w:left="1134" w:firstLine="0"/>
      </w:pPr>
      <w:r w:rsidRPr="00347553">
        <w:t>The devastating earthquake that struck south-eastern Türkiye in the early hours of the morning on 6</w:t>
      </w:r>
      <w:r w:rsidRPr="00347553">
        <w:rPr>
          <w:vertAlign w:val="superscript"/>
        </w:rPr>
        <w:t>th</w:t>
      </w:r>
      <w:r w:rsidRPr="00347553">
        <w:t xml:space="preserve"> February 2023</w:t>
      </w:r>
      <w:r w:rsidR="002165ED" w:rsidRPr="00347553">
        <w:t xml:space="preserve"> happened several months after the Special Rap</w:t>
      </w:r>
      <w:r w:rsidR="00191F05" w:rsidRPr="00347553">
        <w:t>p</w:t>
      </w:r>
      <w:r w:rsidR="002165ED" w:rsidRPr="00347553">
        <w:t>orteur</w:t>
      </w:r>
      <w:r w:rsidR="00191F05" w:rsidRPr="00347553">
        <w:t>’s</w:t>
      </w:r>
      <w:r w:rsidR="002165ED" w:rsidRPr="00347553">
        <w:t xml:space="preserve"> visit.  </w:t>
      </w:r>
      <w:r w:rsidR="00191F05" w:rsidRPr="00347553">
        <w:t>It is estimated that as many as 4 million people have left the earthquake affected area, and at the time of writing, 3,41,156 people lost their lives and 108,068 people were injured.</w:t>
      </w:r>
      <w:r w:rsidR="00191F05" w:rsidRPr="00347553">
        <w:rPr>
          <w:rStyle w:val="FootnoteReference"/>
        </w:rPr>
        <w:footnoteReference w:id="43"/>
      </w:r>
      <w:r w:rsidR="002C0879">
        <w:t xml:space="preserve">  </w:t>
      </w:r>
      <w:r w:rsidRPr="00347553">
        <w:t xml:space="preserve">While recognising the enormous human and financial challenges the country now faces in rebuilding the cities and lives that have been destroyed, the Special Rapporteur is concerned </w:t>
      </w:r>
      <w:r w:rsidR="00737EDB" w:rsidRPr="00347553">
        <w:t xml:space="preserve">about the differentiated and gendered impact that the disaster has had on </w:t>
      </w:r>
      <w:r w:rsidRPr="00347553">
        <w:rPr>
          <w:lang w:eastAsia="fr-FR"/>
        </w:rPr>
        <w:t xml:space="preserve">women and girls </w:t>
      </w:r>
      <w:r w:rsidR="00191F05" w:rsidRPr="00347553">
        <w:rPr>
          <w:lang w:eastAsia="fr-FR"/>
        </w:rPr>
        <w:t xml:space="preserve">who </w:t>
      </w:r>
      <w:r w:rsidRPr="00347553">
        <w:rPr>
          <w:lang w:eastAsia="fr-FR"/>
        </w:rPr>
        <w:t xml:space="preserve">may be exposed to an even higher risk of gender-based violence, </w:t>
      </w:r>
      <w:r w:rsidR="002165ED" w:rsidRPr="00347553">
        <w:rPr>
          <w:lang w:eastAsia="fr-FR"/>
        </w:rPr>
        <w:t xml:space="preserve">including sexual </w:t>
      </w:r>
      <w:r w:rsidR="002165ED" w:rsidRPr="00472720">
        <w:rPr>
          <w:rStyle w:val="NoneB"/>
          <w:lang w:val="en-GB"/>
        </w:rPr>
        <w:t>violence</w:t>
      </w:r>
      <w:r w:rsidR="00191F05" w:rsidRPr="00347553">
        <w:rPr>
          <w:lang w:eastAsia="fr-FR"/>
        </w:rPr>
        <w:t>,</w:t>
      </w:r>
      <w:r w:rsidR="002165ED" w:rsidRPr="00347553">
        <w:rPr>
          <w:lang w:eastAsia="fr-FR"/>
        </w:rPr>
        <w:t xml:space="preserve"> </w:t>
      </w:r>
      <w:r w:rsidRPr="00347553">
        <w:rPr>
          <w:lang w:eastAsia="fr-FR"/>
        </w:rPr>
        <w:t xml:space="preserve">particularly as access to shelters, or safe spaces </w:t>
      </w:r>
      <w:r w:rsidR="002165ED" w:rsidRPr="00347553">
        <w:rPr>
          <w:lang w:eastAsia="fr-FR"/>
        </w:rPr>
        <w:t xml:space="preserve">are </w:t>
      </w:r>
      <w:r w:rsidRPr="00347553">
        <w:rPr>
          <w:lang w:eastAsia="fr-FR"/>
        </w:rPr>
        <w:t>limited. A</w:t>
      </w:r>
      <w:r w:rsidRPr="00347553">
        <w:t xml:space="preserve">n increase of women’s engagement in unpaid work, such as carrying a particularly high care burden </w:t>
      </w:r>
      <w:proofErr w:type="gramStart"/>
      <w:r w:rsidRPr="00347553">
        <w:t>being in charge of</w:t>
      </w:r>
      <w:proofErr w:type="gramEnd"/>
      <w:r w:rsidRPr="00347553">
        <w:t xml:space="preserve"> finding resources to sustain their family, is also likely</w:t>
      </w:r>
      <w:r w:rsidRPr="00347553">
        <w:rPr>
          <w:lang w:eastAsia="fr-FR"/>
        </w:rPr>
        <w:t xml:space="preserve">. </w:t>
      </w:r>
      <w:r w:rsidR="002165ED" w:rsidRPr="00347553">
        <w:t xml:space="preserve">She is </w:t>
      </w:r>
      <w:r w:rsidR="002C0879">
        <w:t xml:space="preserve">also </w:t>
      </w:r>
      <w:r w:rsidR="002165ED" w:rsidRPr="00347553">
        <w:t>concerned about r</w:t>
      </w:r>
      <w:r w:rsidRPr="00347553">
        <w:t>eports</w:t>
      </w:r>
      <w:r w:rsidR="002165ED" w:rsidRPr="00347553">
        <w:t xml:space="preserve"> received </w:t>
      </w:r>
      <w:r w:rsidRPr="00347553">
        <w:t xml:space="preserve">suggesting that in some cases unaccompanied children, including girls, have been handed over to adults claiming to be their relatives, without any </w:t>
      </w:r>
      <w:r w:rsidR="002165ED" w:rsidRPr="00347553">
        <w:t xml:space="preserve">appropriate </w:t>
      </w:r>
      <w:r w:rsidRPr="00347553">
        <w:t xml:space="preserve">supervision or </w:t>
      </w:r>
      <w:r w:rsidR="002165ED" w:rsidRPr="00347553">
        <w:t xml:space="preserve">adequate </w:t>
      </w:r>
      <w:r w:rsidRPr="00347553">
        <w:t xml:space="preserve">monitoring leading to possible abductions and trafficking of children, including girls. </w:t>
      </w:r>
    </w:p>
    <w:p w14:paraId="0CB6B456" w14:textId="14200F3F" w:rsidR="00472D4E" w:rsidRPr="00347553" w:rsidRDefault="007B0C9E" w:rsidP="00F12A46">
      <w:pPr>
        <w:pStyle w:val="HChG"/>
        <w:tabs>
          <w:tab w:val="clear" w:pos="851"/>
          <w:tab w:val="left" w:pos="1134"/>
        </w:tabs>
        <w:ind w:hanging="708"/>
      </w:pPr>
      <w:r>
        <w:t>IV.</w:t>
      </w:r>
      <w:r>
        <w:tab/>
      </w:r>
      <w:r w:rsidR="00472D4E" w:rsidRPr="006A2E7C">
        <w:t>Conclusion</w:t>
      </w:r>
      <w:r w:rsidR="00472D4E" w:rsidRPr="00347553">
        <w:t xml:space="preserve"> and recommendations </w:t>
      </w:r>
    </w:p>
    <w:p w14:paraId="7C642B1D" w14:textId="0C214918" w:rsidR="00723365" w:rsidRDefault="00DA1C4B" w:rsidP="00C22292">
      <w:pPr>
        <w:pStyle w:val="SingleTxtG"/>
        <w:numPr>
          <w:ilvl w:val="0"/>
          <w:numId w:val="6"/>
        </w:numPr>
        <w:tabs>
          <w:tab w:val="left" w:pos="1701"/>
        </w:tabs>
        <w:ind w:left="1134" w:firstLine="0"/>
        <w:rPr>
          <w:b/>
          <w:bCs/>
        </w:rPr>
      </w:pPr>
      <w:proofErr w:type="gramStart"/>
      <w:r w:rsidRPr="00347553">
        <w:rPr>
          <w:b/>
          <w:bCs/>
        </w:rPr>
        <w:t xml:space="preserve">On </w:t>
      </w:r>
      <w:r w:rsidRPr="004C7D67">
        <w:rPr>
          <w:b/>
          <w:bCs/>
        </w:rPr>
        <w:t>t</w:t>
      </w:r>
      <w:r w:rsidRPr="00F17DC4">
        <w:rPr>
          <w:b/>
          <w:bCs/>
        </w:rPr>
        <w:t>he basis of</w:t>
      </w:r>
      <w:proofErr w:type="gramEnd"/>
      <w:r w:rsidRPr="00F17DC4">
        <w:rPr>
          <w:b/>
          <w:bCs/>
        </w:rPr>
        <w:t xml:space="preserve"> the above findings and in a spirit of cooperation and dialogue, the Special Rapporteur offers the following recommendations, which should be considered in conjunction with the relevant recommendations made by the Committee on the Elimination of Discrimination against Women in June 2022 (see CEDAW/TUR/C/CO/8).</w:t>
      </w:r>
    </w:p>
    <w:p w14:paraId="757DE72F" w14:textId="59BE4BFA" w:rsidR="00723365" w:rsidRPr="00F17DC4" w:rsidRDefault="00723365" w:rsidP="00C22292">
      <w:pPr>
        <w:pStyle w:val="SingleTxtG"/>
        <w:pBdr>
          <w:top w:val="nil"/>
          <w:left w:val="nil"/>
          <w:bottom w:val="nil"/>
          <w:right w:val="nil"/>
          <w:between w:val="nil"/>
          <w:bar w:val="nil"/>
        </w:pBdr>
        <w:tabs>
          <w:tab w:val="left" w:pos="1701"/>
        </w:tabs>
        <w:suppressAutoHyphens w:val="0"/>
        <w:spacing w:line="276" w:lineRule="auto"/>
        <w:ind w:firstLine="567"/>
        <w:rPr>
          <w:rStyle w:val="None"/>
          <w:b/>
          <w:bCs/>
        </w:rPr>
      </w:pPr>
      <w:r w:rsidRPr="00F17DC4">
        <w:rPr>
          <w:rStyle w:val="None"/>
          <w:b/>
          <w:bCs/>
        </w:rPr>
        <w:t>(</w:t>
      </w:r>
      <w:r w:rsidRPr="00761E2B">
        <w:rPr>
          <w:rStyle w:val="None"/>
        </w:rPr>
        <w:t>a</w:t>
      </w:r>
      <w:r w:rsidRPr="00F17DC4">
        <w:rPr>
          <w:rStyle w:val="None"/>
          <w:b/>
          <w:bCs/>
        </w:rPr>
        <w:t>)</w:t>
      </w:r>
      <w:r w:rsidR="003F0DFB">
        <w:rPr>
          <w:rStyle w:val="None"/>
          <w:b/>
          <w:bCs/>
        </w:rPr>
        <w:tab/>
      </w:r>
      <w:r w:rsidRPr="00F17DC4">
        <w:rPr>
          <w:rStyle w:val="None"/>
          <w:b/>
          <w:bCs/>
        </w:rPr>
        <w:t xml:space="preserve">The Government should reverse its decision to withdraw from the Istanbul Convention and re-join the 37 countries that have ratified it in recognition of its value and </w:t>
      </w:r>
      <w:proofErr w:type="gramStart"/>
      <w:r w:rsidRPr="00F17DC4">
        <w:rPr>
          <w:rStyle w:val="None"/>
          <w:b/>
          <w:bCs/>
        </w:rPr>
        <w:t>comprehensiveness;</w:t>
      </w:r>
      <w:proofErr w:type="gramEnd"/>
    </w:p>
    <w:p w14:paraId="2ED67CC9" w14:textId="73FDDF0E" w:rsidR="00723365" w:rsidRDefault="00723365" w:rsidP="00C22292">
      <w:pPr>
        <w:pStyle w:val="SingleTxtG"/>
        <w:pBdr>
          <w:top w:val="nil"/>
          <w:left w:val="nil"/>
          <w:bottom w:val="nil"/>
          <w:right w:val="nil"/>
          <w:between w:val="nil"/>
          <w:bar w:val="nil"/>
        </w:pBdr>
        <w:tabs>
          <w:tab w:val="left" w:pos="1701"/>
        </w:tabs>
        <w:suppressAutoHyphens w:val="0"/>
        <w:spacing w:line="276" w:lineRule="auto"/>
        <w:ind w:firstLine="567"/>
        <w:rPr>
          <w:b/>
          <w:bCs/>
        </w:rPr>
      </w:pPr>
      <w:r w:rsidRPr="00761E2B">
        <w:t>(b)</w:t>
      </w:r>
      <w:r w:rsidR="003F0DFB" w:rsidRPr="00761E2B">
        <w:tab/>
      </w:r>
      <w:r w:rsidRPr="00F17DC4">
        <w:rPr>
          <w:b/>
          <w:bCs/>
        </w:rPr>
        <w:t>Ensure that the CEDAW Convention, its Optional Protocol, general recommendation No. 35 of the</w:t>
      </w:r>
      <w:r w:rsidRPr="00F17DC4">
        <w:t xml:space="preserve"> </w:t>
      </w:r>
      <w:r w:rsidRPr="00F17DC4">
        <w:rPr>
          <w:b/>
          <w:bCs/>
        </w:rPr>
        <w:t xml:space="preserve">Committee and the Committee’s jurisprudence are included as an integral part of the professional training of judges, prosecutors, lawyers, police officers and civil servants </w:t>
      </w:r>
      <w:proofErr w:type="gramStart"/>
      <w:r w:rsidRPr="00F17DC4">
        <w:rPr>
          <w:b/>
          <w:bCs/>
        </w:rPr>
        <w:t>in order to</w:t>
      </w:r>
      <w:proofErr w:type="gramEnd"/>
      <w:r w:rsidRPr="00F17DC4">
        <w:rPr>
          <w:b/>
          <w:bCs/>
        </w:rPr>
        <w:t xml:space="preserve"> ensure their direct application in line with the Constitution of Türkiye.</w:t>
      </w:r>
    </w:p>
    <w:p w14:paraId="1B707FBA" w14:textId="6D6304E8" w:rsidR="00DA1C4B" w:rsidRPr="00C22292" w:rsidRDefault="00DA1C4B" w:rsidP="00C22292">
      <w:pPr>
        <w:pStyle w:val="SingleTxtG"/>
        <w:numPr>
          <w:ilvl w:val="0"/>
          <w:numId w:val="6"/>
        </w:numPr>
        <w:tabs>
          <w:tab w:val="left" w:pos="1701"/>
        </w:tabs>
        <w:rPr>
          <w:b/>
          <w:bCs/>
        </w:rPr>
      </w:pPr>
      <w:r w:rsidRPr="00C22292">
        <w:rPr>
          <w:b/>
          <w:bCs/>
        </w:rPr>
        <w:t xml:space="preserve">Constitutional, legislative, </w:t>
      </w:r>
      <w:proofErr w:type="gramStart"/>
      <w:r w:rsidRPr="00C22292">
        <w:rPr>
          <w:b/>
          <w:bCs/>
        </w:rPr>
        <w:t>judicial</w:t>
      </w:r>
      <w:proofErr w:type="gramEnd"/>
      <w:r w:rsidRPr="00C22292">
        <w:rPr>
          <w:b/>
          <w:bCs/>
        </w:rPr>
        <w:t xml:space="preserve"> and institutional framework on combating and preventing violence against women</w:t>
      </w:r>
      <w:r w:rsidRPr="00C22292">
        <w:rPr>
          <w:b/>
          <w:bCs/>
          <w:vertAlign w:val="superscript"/>
        </w:rPr>
        <w:t xml:space="preserve"> </w:t>
      </w:r>
    </w:p>
    <w:p w14:paraId="55653C91" w14:textId="6EF4F48F" w:rsidR="003F0DFB" w:rsidRDefault="00DA1C4B" w:rsidP="00C22292">
      <w:pPr>
        <w:pStyle w:val="SingleTxtG"/>
        <w:pBdr>
          <w:top w:val="nil"/>
          <w:left w:val="nil"/>
          <w:bottom w:val="nil"/>
          <w:right w:val="nil"/>
          <w:between w:val="nil"/>
          <w:bar w:val="nil"/>
        </w:pBdr>
        <w:tabs>
          <w:tab w:val="left" w:pos="1701"/>
        </w:tabs>
        <w:suppressAutoHyphens w:val="0"/>
        <w:spacing w:line="276" w:lineRule="auto"/>
        <w:ind w:firstLine="567"/>
        <w:rPr>
          <w:b/>
          <w:bCs/>
        </w:rPr>
      </w:pPr>
      <w:r w:rsidRPr="00761E2B">
        <w:rPr>
          <w:rStyle w:val="None"/>
        </w:rPr>
        <w:t>(</w:t>
      </w:r>
      <w:r w:rsidR="003F0DFB" w:rsidRPr="00761E2B">
        <w:rPr>
          <w:rStyle w:val="None"/>
        </w:rPr>
        <w:t>a</w:t>
      </w:r>
      <w:r w:rsidRPr="00761E2B">
        <w:rPr>
          <w:rStyle w:val="None"/>
        </w:rPr>
        <w:t>)</w:t>
      </w:r>
      <w:r w:rsidRPr="003F0DFB">
        <w:rPr>
          <w:rStyle w:val="None"/>
          <w:b/>
          <w:bCs/>
        </w:rPr>
        <w:tab/>
      </w:r>
      <w:r w:rsidRPr="003F0DFB">
        <w:rPr>
          <w:b/>
          <w:bCs/>
        </w:rPr>
        <w:t>Ensure</w:t>
      </w:r>
      <w:r w:rsidR="0006365B" w:rsidRPr="003F0DFB">
        <w:rPr>
          <w:b/>
          <w:bCs/>
        </w:rPr>
        <w:t xml:space="preserve"> a robust inter-institutional coordination mechanism, as well as</w:t>
      </w:r>
      <w:r w:rsidRPr="003F0DFB">
        <w:rPr>
          <w:b/>
          <w:bCs/>
        </w:rPr>
        <w:t xml:space="preserve"> increased budget allocation for the implementation of Law No. 6284 </w:t>
      </w:r>
      <w:r w:rsidR="00462779" w:rsidRPr="003F0DFB">
        <w:rPr>
          <w:b/>
          <w:bCs/>
        </w:rPr>
        <w:t>and the 4</w:t>
      </w:r>
      <w:r w:rsidR="00462779" w:rsidRPr="003F0DFB">
        <w:rPr>
          <w:b/>
          <w:bCs/>
          <w:vertAlign w:val="superscript"/>
        </w:rPr>
        <w:t>th</w:t>
      </w:r>
      <w:r w:rsidR="00462779" w:rsidRPr="003F0DFB">
        <w:rPr>
          <w:b/>
          <w:bCs/>
        </w:rPr>
        <w:t xml:space="preserve"> National Action Plan on ending gender-based violence </w:t>
      </w:r>
      <w:r w:rsidRPr="003F0DFB">
        <w:rPr>
          <w:b/>
          <w:bCs/>
        </w:rPr>
        <w:t xml:space="preserve">and guarantee the systematic participation of women's organizations in its implementation and other decision-making processes concerning the protection of women's rights at the national and local level; </w:t>
      </w:r>
      <w:r w:rsidR="0053501A">
        <w:rPr>
          <w:b/>
          <w:bCs/>
        </w:rPr>
        <w:t xml:space="preserve">convene </w:t>
      </w:r>
      <w:r w:rsidR="00CD0ECE">
        <w:rPr>
          <w:b/>
          <w:bCs/>
        </w:rPr>
        <w:t xml:space="preserve"> the</w:t>
      </w:r>
      <w:r w:rsidR="00CD0ECE" w:rsidRPr="00CD0ECE">
        <w:rPr>
          <w:b/>
          <w:bCs/>
        </w:rPr>
        <w:t xml:space="preserve"> Committee on Monitoring Violence against Women</w:t>
      </w:r>
      <w:r w:rsidR="00CD0ECE">
        <w:rPr>
          <w:b/>
          <w:bCs/>
        </w:rPr>
        <w:t xml:space="preserve"> more </w:t>
      </w:r>
      <w:r w:rsidR="0053501A">
        <w:rPr>
          <w:b/>
          <w:bCs/>
        </w:rPr>
        <w:t>frequently beyond once a year</w:t>
      </w:r>
      <w:r w:rsidR="00CD0ECE">
        <w:rPr>
          <w:b/>
          <w:bCs/>
        </w:rPr>
        <w:t>;</w:t>
      </w:r>
    </w:p>
    <w:p w14:paraId="5C49B2C6" w14:textId="6AECB170" w:rsidR="00DA1C4B" w:rsidRPr="00F17DC4" w:rsidRDefault="00DA1C4B" w:rsidP="00C22292">
      <w:pPr>
        <w:pStyle w:val="SingleTxtG"/>
        <w:pBdr>
          <w:top w:val="nil"/>
          <w:left w:val="nil"/>
          <w:bottom w:val="nil"/>
          <w:right w:val="nil"/>
          <w:between w:val="nil"/>
          <w:bar w:val="nil"/>
        </w:pBdr>
        <w:tabs>
          <w:tab w:val="left" w:pos="1701"/>
        </w:tabs>
        <w:suppressAutoHyphens w:val="0"/>
        <w:spacing w:line="276" w:lineRule="auto"/>
        <w:ind w:firstLine="567"/>
        <w:rPr>
          <w:b/>
          <w:bCs/>
        </w:rPr>
      </w:pPr>
      <w:r w:rsidRPr="00761E2B">
        <w:t>(b)</w:t>
      </w:r>
      <w:r w:rsidRPr="00F17DC4">
        <w:tab/>
      </w:r>
      <w:r w:rsidR="00CD0ECE">
        <w:rPr>
          <w:b/>
        </w:rPr>
        <w:t>Update the</w:t>
      </w:r>
      <w:r w:rsidR="00E85B35">
        <w:rPr>
          <w:b/>
        </w:rPr>
        <w:t xml:space="preserve"> </w:t>
      </w:r>
      <w:r w:rsidR="00462779" w:rsidRPr="006C04B6">
        <w:rPr>
          <w:b/>
        </w:rPr>
        <w:t xml:space="preserve">National Action Plan on violence against women </w:t>
      </w:r>
      <w:r w:rsidR="00CD0ECE" w:rsidRPr="006C04B6">
        <w:rPr>
          <w:b/>
        </w:rPr>
        <w:t>t</w:t>
      </w:r>
      <w:r w:rsidR="00CD0ECE">
        <w:rPr>
          <w:b/>
        </w:rPr>
        <w:t>o ensure that it</w:t>
      </w:r>
      <w:r w:rsidR="00CD0ECE" w:rsidRPr="006C04B6">
        <w:rPr>
          <w:b/>
        </w:rPr>
        <w:t xml:space="preserve"> </w:t>
      </w:r>
      <w:r w:rsidR="00E85B35">
        <w:rPr>
          <w:b/>
        </w:rPr>
        <w:t xml:space="preserve">incorporates: </w:t>
      </w:r>
      <w:r w:rsidR="00462779">
        <w:rPr>
          <w:b/>
        </w:rPr>
        <w:t xml:space="preserve">a robust inter-institutional mechanism for its </w:t>
      </w:r>
      <w:proofErr w:type="gramStart"/>
      <w:r w:rsidR="00462779">
        <w:rPr>
          <w:b/>
        </w:rPr>
        <w:t>implementation</w:t>
      </w:r>
      <w:r w:rsidR="00E85B35">
        <w:rPr>
          <w:b/>
        </w:rPr>
        <w:t xml:space="preserve">; </w:t>
      </w:r>
      <w:r w:rsidR="00462779">
        <w:rPr>
          <w:b/>
        </w:rPr>
        <w:t xml:space="preserve"> </w:t>
      </w:r>
      <w:r w:rsidR="00E85B35">
        <w:rPr>
          <w:b/>
        </w:rPr>
        <w:t>clear</w:t>
      </w:r>
      <w:proofErr w:type="gramEnd"/>
      <w:r w:rsidR="00E85B35">
        <w:rPr>
          <w:b/>
        </w:rPr>
        <w:t xml:space="preserve"> </w:t>
      </w:r>
      <w:r w:rsidR="00462779">
        <w:rPr>
          <w:b/>
        </w:rPr>
        <w:t xml:space="preserve">roles and responsibilities </w:t>
      </w:r>
      <w:r w:rsidR="00E85B35">
        <w:rPr>
          <w:b/>
        </w:rPr>
        <w:t>for relevant</w:t>
      </w:r>
      <w:r w:rsidR="00462779">
        <w:rPr>
          <w:b/>
        </w:rPr>
        <w:t xml:space="preserve"> line ministries</w:t>
      </w:r>
      <w:r w:rsidR="00E85B35">
        <w:rPr>
          <w:b/>
        </w:rPr>
        <w:t>;</w:t>
      </w:r>
      <w:r w:rsidR="003F0DFB">
        <w:rPr>
          <w:b/>
        </w:rPr>
        <w:t xml:space="preserve"> </w:t>
      </w:r>
      <w:r w:rsidR="00462779" w:rsidRPr="006C04B6">
        <w:rPr>
          <w:b/>
        </w:rPr>
        <w:t xml:space="preserve">adequate </w:t>
      </w:r>
      <w:r w:rsidR="00E85B35">
        <w:rPr>
          <w:b/>
        </w:rPr>
        <w:t xml:space="preserve">financial and human </w:t>
      </w:r>
      <w:r w:rsidR="00462779" w:rsidRPr="006C04B6">
        <w:rPr>
          <w:b/>
        </w:rPr>
        <w:t>resources</w:t>
      </w:r>
      <w:r w:rsidR="00E85B35">
        <w:rPr>
          <w:b/>
        </w:rPr>
        <w:t>;</w:t>
      </w:r>
      <w:r w:rsidR="00462779" w:rsidRPr="006C04B6">
        <w:rPr>
          <w:b/>
        </w:rPr>
        <w:t xml:space="preserve"> </w:t>
      </w:r>
      <w:r w:rsidR="00E85B35">
        <w:rPr>
          <w:b/>
        </w:rPr>
        <w:t xml:space="preserve">and </w:t>
      </w:r>
      <w:r w:rsidR="00462779" w:rsidRPr="006C04B6">
        <w:rPr>
          <w:b/>
        </w:rPr>
        <w:t xml:space="preserve">a timeline and measurable targets requiring authorities at the federal, provincial and local levels to implement relevant laws to prevent and eliminate all forms of de facto discrimination against women. </w:t>
      </w:r>
    </w:p>
    <w:p w14:paraId="125C4B6C" w14:textId="7475A157" w:rsidR="00DA1C4B" w:rsidRPr="00F17DC4" w:rsidRDefault="00DA1C4B" w:rsidP="00C22292">
      <w:pPr>
        <w:pStyle w:val="SingleTxtG"/>
        <w:pBdr>
          <w:top w:val="nil"/>
          <w:left w:val="nil"/>
          <w:bottom w:val="nil"/>
          <w:right w:val="nil"/>
          <w:between w:val="nil"/>
          <w:bar w:val="nil"/>
        </w:pBdr>
        <w:tabs>
          <w:tab w:val="left" w:pos="1418"/>
          <w:tab w:val="left" w:pos="1701"/>
        </w:tabs>
        <w:suppressAutoHyphens w:val="0"/>
        <w:spacing w:line="276" w:lineRule="auto"/>
        <w:ind w:firstLine="567"/>
        <w:rPr>
          <w:b/>
          <w:bCs/>
        </w:rPr>
      </w:pPr>
      <w:r w:rsidRPr="00761E2B">
        <w:t>(c)</w:t>
      </w:r>
      <w:r w:rsidR="003F0DFB">
        <w:rPr>
          <w:b/>
          <w:bCs/>
        </w:rPr>
        <w:tab/>
      </w:r>
      <w:r w:rsidRPr="003F0DFB">
        <w:rPr>
          <w:b/>
          <w:bCs/>
        </w:rPr>
        <w:t>Strengthen</w:t>
      </w:r>
      <w:r w:rsidRPr="00F17DC4">
        <w:rPr>
          <w:b/>
          <w:bCs/>
        </w:rPr>
        <w:t xml:space="preserve"> the specialized judicial units on violence against women</w:t>
      </w:r>
      <w:r w:rsidR="0006365B">
        <w:rPr>
          <w:b/>
          <w:bCs/>
        </w:rPr>
        <w:t xml:space="preserve"> and </w:t>
      </w:r>
      <w:r w:rsidR="00E85B35">
        <w:rPr>
          <w:b/>
          <w:bCs/>
        </w:rPr>
        <w:t xml:space="preserve">expand </w:t>
      </w:r>
      <w:r w:rsidR="0006365B">
        <w:rPr>
          <w:b/>
          <w:bCs/>
        </w:rPr>
        <w:t>their outreach</w:t>
      </w:r>
      <w:r w:rsidRPr="00F17DC4">
        <w:rPr>
          <w:b/>
          <w:bCs/>
        </w:rPr>
        <w:t xml:space="preserve">, including </w:t>
      </w:r>
      <w:r w:rsidR="00E85B35">
        <w:rPr>
          <w:b/>
          <w:bCs/>
        </w:rPr>
        <w:t>to</w:t>
      </w:r>
      <w:r w:rsidRPr="00F17DC4">
        <w:rPr>
          <w:b/>
          <w:bCs/>
        </w:rPr>
        <w:t xml:space="preserve"> remote and rural areas, and provide adequate resources and funding for their full </w:t>
      </w:r>
      <w:proofErr w:type="gramStart"/>
      <w:r w:rsidRPr="00F17DC4">
        <w:rPr>
          <w:b/>
          <w:bCs/>
        </w:rPr>
        <w:t>implementation;</w:t>
      </w:r>
      <w:proofErr w:type="gramEnd"/>
      <w:r w:rsidRPr="00F17DC4">
        <w:rPr>
          <w:b/>
          <w:bCs/>
        </w:rPr>
        <w:t xml:space="preserve"> </w:t>
      </w:r>
    </w:p>
    <w:p w14:paraId="79C61A84" w14:textId="5FBB798B" w:rsidR="00DA1C4B" w:rsidRPr="00F17DC4" w:rsidRDefault="00DA1C4B" w:rsidP="00C22292">
      <w:pPr>
        <w:pStyle w:val="SingleTxtG"/>
        <w:pBdr>
          <w:top w:val="nil"/>
          <w:left w:val="nil"/>
          <w:bottom w:val="nil"/>
          <w:right w:val="nil"/>
          <w:between w:val="nil"/>
          <w:bar w:val="nil"/>
        </w:pBdr>
        <w:tabs>
          <w:tab w:val="left" w:pos="1418"/>
          <w:tab w:val="left" w:pos="1701"/>
        </w:tabs>
        <w:suppressAutoHyphens w:val="0"/>
        <w:spacing w:line="276" w:lineRule="auto"/>
        <w:ind w:firstLine="567"/>
        <w:rPr>
          <w:b/>
          <w:bCs/>
        </w:rPr>
      </w:pPr>
      <w:r w:rsidRPr="00761E2B">
        <w:t>(</w:t>
      </w:r>
      <w:r w:rsidR="003F0DFB" w:rsidRPr="00761E2B">
        <w:t>d</w:t>
      </w:r>
      <w:r w:rsidRPr="00761E2B">
        <w:t>)</w:t>
      </w:r>
      <w:r w:rsidR="003F0DFB">
        <w:rPr>
          <w:b/>
          <w:bCs/>
        </w:rPr>
        <w:tab/>
      </w:r>
      <w:r w:rsidRPr="00F17DC4">
        <w:rPr>
          <w:b/>
          <w:bCs/>
        </w:rPr>
        <w:t xml:space="preserve">Ensure sustainable funding for </w:t>
      </w:r>
      <w:proofErr w:type="gramStart"/>
      <w:r w:rsidRPr="00F17DC4">
        <w:rPr>
          <w:b/>
          <w:bCs/>
        </w:rPr>
        <w:t>a sufficient number of</w:t>
      </w:r>
      <w:proofErr w:type="gramEnd"/>
      <w:r w:rsidRPr="00F17DC4">
        <w:rPr>
          <w:b/>
          <w:bCs/>
        </w:rPr>
        <w:t xml:space="preserve"> safe shelters throughout the country, offering culturally sensitive accessibility for women with disabilities, and other groups of women with particular vulnerabilities, in line with the mandate’s report on a human rights-based approach to integrated services and protection measures on violence against women, with a focus on shelters and protection orders (A/HRC/35/30)</w:t>
      </w:r>
      <w:r w:rsidR="0006365B">
        <w:rPr>
          <w:b/>
          <w:bCs/>
        </w:rPr>
        <w:t>. Due consideration should be given to enabling women to empower themselves economically</w:t>
      </w:r>
      <w:r w:rsidR="00E85B35">
        <w:rPr>
          <w:b/>
          <w:bCs/>
        </w:rPr>
        <w:t>,</w:t>
      </w:r>
      <w:r w:rsidR="0006365B">
        <w:rPr>
          <w:b/>
          <w:bCs/>
        </w:rPr>
        <w:t xml:space="preserve"> so </w:t>
      </w:r>
      <w:r w:rsidR="00462779">
        <w:rPr>
          <w:b/>
          <w:bCs/>
        </w:rPr>
        <w:t xml:space="preserve">they are not forced to remain with their </w:t>
      </w:r>
      <w:proofErr w:type="gramStart"/>
      <w:r w:rsidR="00462779">
        <w:rPr>
          <w:b/>
          <w:bCs/>
        </w:rPr>
        <w:t>abusers</w:t>
      </w:r>
      <w:r w:rsidRPr="00F17DC4">
        <w:rPr>
          <w:b/>
          <w:bCs/>
        </w:rPr>
        <w:t>;</w:t>
      </w:r>
      <w:proofErr w:type="gramEnd"/>
    </w:p>
    <w:p w14:paraId="3FF42134" w14:textId="1B8EF58A" w:rsidR="00DA1C4B" w:rsidRPr="00F17DC4" w:rsidRDefault="00DA1C4B" w:rsidP="00C22292">
      <w:pPr>
        <w:pStyle w:val="SingleTxtG"/>
        <w:pBdr>
          <w:top w:val="nil"/>
          <w:left w:val="nil"/>
          <w:bottom w:val="nil"/>
          <w:right w:val="nil"/>
          <w:between w:val="nil"/>
          <w:bar w:val="nil"/>
        </w:pBdr>
        <w:tabs>
          <w:tab w:val="left" w:pos="1418"/>
          <w:tab w:val="left" w:pos="1701"/>
        </w:tabs>
        <w:suppressAutoHyphens w:val="0"/>
        <w:spacing w:line="276" w:lineRule="auto"/>
        <w:ind w:firstLine="567"/>
        <w:rPr>
          <w:b/>
          <w:bCs/>
        </w:rPr>
      </w:pPr>
      <w:r w:rsidRPr="00761E2B">
        <w:t>(</w:t>
      </w:r>
      <w:r w:rsidR="003F0DFB" w:rsidRPr="00761E2B">
        <w:t>e</w:t>
      </w:r>
      <w:r w:rsidRPr="00761E2B">
        <w:t>)</w:t>
      </w:r>
      <w:r w:rsidR="00761E2B">
        <w:rPr>
          <w:b/>
          <w:bCs/>
        </w:rPr>
        <w:tab/>
      </w:r>
      <w:r w:rsidRPr="00F17DC4">
        <w:rPr>
          <w:b/>
          <w:bCs/>
        </w:rPr>
        <w:t xml:space="preserve">Establish an Observatory on violence against women and include in its mandate a femicide prevention watch that should include the collection of administrative data by police and other relevant stakeholders  on: 1) all intimate partner gender related killings of women and girls based on the determined relationship between the victim and the perpetrator2) family-related gender based killings of women and girls based on the determined family relationship between the victim and the perpetrator, or family related femicide and 3 ) other gender-related killings or femicide. </w:t>
      </w:r>
    </w:p>
    <w:p w14:paraId="13AAAD6C" w14:textId="633732F0" w:rsidR="00DA1C4B" w:rsidRPr="00F17DC4" w:rsidRDefault="00DA1C4B" w:rsidP="00C22292">
      <w:pPr>
        <w:pStyle w:val="SingleTxtG"/>
        <w:pBdr>
          <w:top w:val="nil"/>
          <w:left w:val="nil"/>
          <w:bottom w:val="nil"/>
          <w:right w:val="nil"/>
          <w:between w:val="nil"/>
          <w:bar w:val="nil"/>
        </w:pBdr>
        <w:tabs>
          <w:tab w:val="left" w:pos="1134"/>
          <w:tab w:val="left" w:pos="1701"/>
        </w:tabs>
        <w:suppressAutoHyphens w:val="0"/>
        <w:spacing w:line="276" w:lineRule="auto"/>
        <w:ind w:firstLine="567"/>
        <w:rPr>
          <w:b/>
          <w:bCs/>
        </w:rPr>
      </w:pPr>
      <w:r w:rsidRPr="00761E2B">
        <w:t>(</w:t>
      </w:r>
      <w:r w:rsidR="003F0DFB" w:rsidRPr="00761E2B">
        <w:t>f</w:t>
      </w:r>
      <w:r w:rsidRPr="00761E2B">
        <w:t>)</w:t>
      </w:r>
      <w:r w:rsidR="00761E2B">
        <w:rPr>
          <w:b/>
          <w:bCs/>
        </w:rPr>
        <w:tab/>
      </w:r>
      <w:r w:rsidR="00E85B35">
        <w:rPr>
          <w:b/>
          <w:bCs/>
        </w:rPr>
        <w:t>E</w:t>
      </w:r>
      <w:r w:rsidR="00A70321">
        <w:rPr>
          <w:b/>
          <w:bCs/>
        </w:rPr>
        <w:t xml:space="preserve">nsure </w:t>
      </w:r>
      <w:r w:rsidRPr="00F17DC4">
        <w:rPr>
          <w:b/>
          <w:bCs/>
        </w:rPr>
        <w:t xml:space="preserve">effective </w:t>
      </w:r>
      <w:r w:rsidR="00A70321">
        <w:rPr>
          <w:b/>
          <w:bCs/>
        </w:rPr>
        <w:t xml:space="preserve">implementation of </w:t>
      </w:r>
      <w:r w:rsidRPr="00F17DC4">
        <w:rPr>
          <w:b/>
          <w:bCs/>
        </w:rPr>
        <w:t xml:space="preserve">protection orders for all forms of violence against women and domestic violence. The orders must be easily available 24/7 and enforced to protect the well-being and safety of those under their protection, including </w:t>
      </w:r>
      <w:proofErr w:type="gramStart"/>
      <w:r w:rsidRPr="00F17DC4">
        <w:rPr>
          <w:b/>
          <w:bCs/>
        </w:rPr>
        <w:t>children;</w:t>
      </w:r>
      <w:proofErr w:type="gramEnd"/>
      <w:r w:rsidRPr="00F17DC4">
        <w:t xml:space="preserve"> </w:t>
      </w:r>
    </w:p>
    <w:p w14:paraId="15CBC06F" w14:textId="5FAC2AA4" w:rsidR="00DA1C4B" w:rsidRPr="00F17DC4" w:rsidRDefault="00DA1C4B" w:rsidP="00C22292">
      <w:pPr>
        <w:pStyle w:val="SingleTxtG"/>
        <w:pBdr>
          <w:top w:val="nil"/>
          <w:left w:val="nil"/>
          <w:bottom w:val="nil"/>
          <w:right w:val="nil"/>
          <w:between w:val="nil"/>
          <w:bar w:val="nil"/>
        </w:pBdr>
        <w:tabs>
          <w:tab w:val="left" w:pos="1134"/>
          <w:tab w:val="left" w:pos="1701"/>
        </w:tabs>
        <w:suppressAutoHyphens w:val="0"/>
        <w:spacing w:line="276" w:lineRule="auto"/>
        <w:ind w:firstLine="567"/>
        <w:rPr>
          <w:b/>
          <w:bCs/>
        </w:rPr>
      </w:pPr>
      <w:r w:rsidRPr="00761E2B">
        <w:t>(</w:t>
      </w:r>
      <w:r w:rsidR="003F0DFB" w:rsidRPr="00761E2B">
        <w:t>g</w:t>
      </w:r>
      <w:r w:rsidRPr="00761E2B">
        <w:t>)</w:t>
      </w:r>
      <w:r w:rsidR="00A23FDF">
        <w:rPr>
          <w:b/>
          <w:bCs/>
        </w:rPr>
        <w:tab/>
      </w:r>
      <w:r w:rsidRPr="00F17DC4">
        <w:rPr>
          <w:b/>
          <w:bCs/>
        </w:rPr>
        <w:t xml:space="preserve">Increase </w:t>
      </w:r>
      <w:r w:rsidR="0053501A">
        <w:rPr>
          <w:b/>
          <w:bCs/>
        </w:rPr>
        <w:t>access of</w:t>
      </w:r>
      <w:r w:rsidR="0053501A" w:rsidRPr="00F17DC4">
        <w:rPr>
          <w:b/>
          <w:bCs/>
        </w:rPr>
        <w:t xml:space="preserve"> </w:t>
      </w:r>
      <w:r w:rsidRPr="00F17DC4">
        <w:rPr>
          <w:b/>
          <w:bCs/>
        </w:rPr>
        <w:t xml:space="preserve">of non-Turkish women </w:t>
      </w:r>
      <w:r w:rsidR="0053501A">
        <w:rPr>
          <w:b/>
          <w:bCs/>
        </w:rPr>
        <w:t>to</w:t>
      </w:r>
      <w:r w:rsidR="0053501A" w:rsidRPr="00F17DC4">
        <w:rPr>
          <w:b/>
          <w:bCs/>
        </w:rPr>
        <w:t xml:space="preserve"> </w:t>
      </w:r>
      <w:r w:rsidRPr="00F17DC4">
        <w:rPr>
          <w:b/>
          <w:bCs/>
        </w:rPr>
        <w:t xml:space="preserve">prevention, </w:t>
      </w:r>
      <w:proofErr w:type="gramStart"/>
      <w:r w:rsidRPr="00F17DC4">
        <w:rPr>
          <w:b/>
          <w:bCs/>
        </w:rPr>
        <w:t>assistance</w:t>
      </w:r>
      <w:proofErr w:type="gramEnd"/>
      <w:r w:rsidRPr="00F17DC4">
        <w:rPr>
          <w:b/>
          <w:bCs/>
        </w:rPr>
        <w:t xml:space="preserve"> and response mechanisms, including through the provision of translation services, as well as through enlisting social workers from the communities of these women themselves.</w:t>
      </w:r>
    </w:p>
    <w:p w14:paraId="44A21EA4" w14:textId="17ED6E15" w:rsidR="00DA1C4B" w:rsidRPr="006C04B6" w:rsidRDefault="003F0DFB" w:rsidP="00C22292">
      <w:pPr>
        <w:pStyle w:val="SingleTxtG"/>
        <w:tabs>
          <w:tab w:val="left" w:pos="1701"/>
        </w:tabs>
        <w:ind w:firstLine="567"/>
        <w:rPr>
          <w:b/>
        </w:rPr>
      </w:pPr>
      <w:r w:rsidRPr="00761E2B">
        <w:rPr>
          <w:bCs/>
        </w:rPr>
        <w:t>(h)</w:t>
      </w:r>
      <w:r w:rsidR="00DA1C4B" w:rsidRPr="006C04B6">
        <w:rPr>
          <w:b/>
        </w:rPr>
        <w:tab/>
      </w:r>
      <w:r w:rsidR="009750DF">
        <w:rPr>
          <w:b/>
        </w:rPr>
        <w:t xml:space="preserve">Strengthen </w:t>
      </w:r>
      <w:r w:rsidR="00DA1C4B">
        <w:rPr>
          <w:b/>
        </w:rPr>
        <w:t xml:space="preserve">the mandate of </w:t>
      </w:r>
      <w:r w:rsidR="00DA1C4B" w:rsidRPr="006C04B6">
        <w:rPr>
          <w:b/>
        </w:rPr>
        <w:t xml:space="preserve">the </w:t>
      </w:r>
      <w:r w:rsidR="00DA1C4B">
        <w:rPr>
          <w:b/>
        </w:rPr>
        <w:t xml:space="preserve">Directorate on the Status of Women within the Ministry of Family and Social Affairs, and </w:t>
      </w:r>
      <w:r w:rsidR="009750DF">
        <w:rPr>
          <w:b/>
        </w:rPr>
        <w:t>consolidate</w:t>
      </w:r>
      <w:r w:rsidR="00DA1C4B" w:rsidRPr="006C04B6">
        <w:rPr>
          <w:b/>
        </w:rPr>
        <w:t xml:space="preserve"> efforts aimed at ensuring systematic and institutionalized coordination between </w:t>
      </w:r>
      <w:r w:rsidR="00DA1C4B">
        <w:rPr>
          <w:b/>
        </w:rPr>
        <w:t xml:space="preserve">it and other relevant line </w:t>
      </w:r>
      <w:proofErr w:type="gramStart"/>
      <w:r w:rsidR="00DA1C4B">
        <w:rPr>
          <w:b/>
        </w:rPr>
        <w:t>ministries;</w:t>
      </w:r>
      <w:proofErr w:type="gramEnd"/>
    </w:p>
    <w:p w14:paraId="1A7E5BE3" w14:textId="67E3BF94" w:rsidR="00DA1C4B" w:rsidRPr="006C04B6" w:rsidRDefault="003F0DFB" w:rsidP="00C22292">
      <w:pPr>
        <w:pStyle w:val="SingleTxtG"/>
        <w:tabs>
          <w:tab w:val="left" w:pos="1701"/>
        </w:tabs>
        <w:ind w:firstLine="567"/>
        <w:rPr>
          <w:b/>
        </w:rPr>
      </w:pPr>
      <w:r w:rsidRPr="00761E2B">
        <w:rPr>
          <w:bCs/>
        </w:rPr>
        <w:t>(i)</w:t>
      </w:r>
      <w:r w:rsidR="00DA1C4B" w:rsidRPr="006C04B6">
        <w:rPr>
          <w:b/>
        </w:rPr>
        <w:tab/>
        <w:t xml:space="preserve">Expand the activities of the </w:t>
      </w:r>
      <w:r w:rsidR="004C7D67">
        <w:rPr>
          <w:b/>
        </w:rPr>
        <w:t>Ombudsman</w:t>
      </w:r>
      <w:r w:rsidR="00DA1C4B" w:rsidRPr="006C04B6">
        <w:rPr>
          <w:b/>
        </w:rPr>
        <w:t xml:space="preserve">, particularly in relation to receiving complaints from women who have been victims of </w:t>
      </w:r>
      <w:r w:rsidR="0053501A">
        <w:rPr>
          <w:b/>
        </w:rPr>
        <w:t xml:space="preserve">gender-based violence including </w:t>
      </w:r>
      <w:r w:rsidR="00DA1C4B" w:rsidRPr="006C04B6">
        <w:rPr>
          <w:b/>
        </w:rPr>
        <w:t>rape and sexual violence</w:t>
      </w:r>
    </w:p>
    <w:p w14:paraId="7C97D2ED" w14:textId="27398CA0" w:rsidR="00DA1C4B" w:rsidRDefault="003F0DFB" w:rsidP="00C22292">
      <w:pPr>
        <w:pStyle w:val="SingleTxtG"/>
        <w:tabs>
          <w:tab w:val="left" w:pos="1701"/>
        </w:tabs>
        <w:ind w:firstLine="567"/>
        <w:rPr>
          <w:b/>
        </w:rPr>
      </w:pPr>
      <w:r w:rsidRPr="00761E2B">
        <w:rPr>
          <w:bCs/>
        </w:rPr>
        <w:t>(j)</w:t>
      </w:r>
      <w:r w:rsidR="00DA1C4B" w:rsidRPr="006C04B6">
        <w:rPr>
          <w:b/>
        </w:rPr>
        <w:tab/>
        <w:t>Encourage women to report incidents of gender-based violence, including domestic violence</w:t>
      </w:r>
      <w:r w:rsidR="00462779">
        <w:rPr>
          <w:b/>
        </w:rPr>
        <w:t xml:space="preserve"> by tackling the rampant impunity for c</w:t>
      </w:r>
      <w:r w:rsidR="00E85B35">
        <w:rPr>
          <w:b/>
        </w:rPr>
        <w:t>ases</w:t>
      </w:r>
      <w:r w:rsidR="00462779">
        <w:rPr>
          <w:b/>
        </w:rPr>
        <w:t xml:space="preserve"> of violence against women, particularly femicide and domestic </w:t>
      </w:r>
      <w:proofErr w:type="gramStart"/>
      <w:r w:rsidR="00462779">
        <w:rPr>
          <w:b/>
        </w:rPr>
        <w:t>violence</w:t>
      </w:r>
      <w:r w:rsidR="00DA1C4B" w:rsidRPr="006C04B6">
        <w:rPr>
          <w:b/>
        </w:rPr>
        <w:t xml:space="preserve">, </w:t>
      </w:r>
      <w:r w:rsidR="00E85B35">
        <w:rPr>
          <w:b/>
        </w:rPr>
        <w:t xml:space="preserve"> and</w:t>
      </w:r>
      <w:proofErr w:type="gramEnd"/>
      <w:r w:rsidR="00462779" w:rsidRPr="006C04B6">
        <w:rPr>
          <w:b/>
        </w:rPr>
        <w:t xml:space="preserve"> </w:t>
      </w:r>
      <w:r w:rsidR="00DA1C4B" w:rsidRPr="006C04B6">
        <w:rPr>
          <w:b/>
        </w:rPr>
        <w:t>ensu</w:t>
      </w:r>
      <w:r w:rsidR="00E85B35">
        <w:rPr>
          <w:b/>
        </w:rPr>
        <w:t>re</w:t>
      </w:r>
      <w:r w:rsidR="00DA1C4B" w:rsidRPr="006C04B6">
        <w:rPr>
          <w:b/>
        </w:rPr>
        <w:t xml:space="preserve"> that all </w:t>
      </w:r>
      <w:r w:rsidR="0053501A">
        <w:rPr>
          <w:b/>
        </w:rPr>
        <w:t xml:space="preserve">such </w:t>
      </w:r>
      <w:r w:rsidR="00DA1C4B" w:rsidRPr="006C04B6">
        <w:rPr>
          <w:b/>
        </w:rPr>
        <w:t>cases are effectively investigated and that perpetrators are prosecuted and adequately punished;</w:t>
      </w:r>
    </w:p>
    <w:p w14:paraId="6783C887" w14:textId="0AC03CFC" w:rsidR="00DA1C4B" w:rsidRPr="00BF22F1" w:rsidRDefault="00DA1C4B" w:rsidP="00C22292">
      <w:pPr>
        <w:pStyle w:val="SingleTxtG"/>
        <w:tabs>
          <w:tab w:val="left" w:pos="1701"/>
        </w:tabs>
        <w:ind w:firstLine="567"/>
        <w:rPr>
          <w:b/>
          <w:bCs/>
          <w:w w:val="103"/>
        </w:rPr>
      </w:pPr>
      <w:r w:rsidRPr="00761E2B">
        <w:rPr>
          <w:bCs/>
        </w:rPr>
        <w:t>(</w:t>
      </w:r>
      <w:r w:rsidR="003F0DFB" w:rsidRPr="00761E2B">
        <w:rPr>
          <w:bCs/>
        </w:rPr>
        <w:t>k)</w:t>
      </w:r>
      <w:r w:rsidR="00A23FDF">
        <w:rPr>
          <w:b/>
        </w:rPr>
        <w:tab/>
      </w:r>
      <w:r w:rsidRPr="00A222C9">
        <w:rPr>
          <w:b/>
          <w:bCs/>
          <w:w w:val="103"/>
        </w:rPr>
        <w:t xml:space="preserve">Reinstate without delay all judges, including women, dismissed following the attempted coup against the Government and acquitted from criminal charges, and provide them with appropriate </w:t>
      </w:r>
      <w:proofErr w:type="gramStart"/>
      <w:r w:rsidRPr="00A222C9">
        <w:rPr>
          <w:b/>
          <w:bCs/>
          <w:w w:val="103"/>
        </w:rPr>
        <w:t>reparation</w:t>
      </w:r>
      <w:r>
        <w:rPr>
          <w:b/>
          <w:bCs/>
          <w:w w:val="103"/>
        </w:rPr>
        <w:t>;</w:t>
      </w:r>
      <w:proofErr w:type="gramEnd"/>
    </w:p>
    <w:p w14:paraId="45B0DBC1" w14:textId="371C4DBE" w:rsidR="00DA1C4B" w:rsidRDefault="00DA1C4B" w:rsidP="00C22292">
      <w:pPr>
        <w:pStyle w:val="SingleTxtG"/>
        <w:tabs>
          <w:tab w:val="left" w:pos="1701"/>
        </w:tabs>
        <w:ind w:firstLine="567"/>
        <w:rPr>
          <w:b/>
        </w:rPr>
      </w:pPr>
      <w:r w:rsidRPr="00761E2B">
        <w:rPr>
          <w:bCs/>
        </w:rPr>
        <w:t>(</w:t>
      </w:r>
      <w:r w:rsidR="003F0DFB" w:rsidRPr="00761E2B">
        <w:rPr>
          <w:bCs/>
        </w:rPr>
        <w:t>l</w:t>
      </w:r>
      <w:r w:rsidRPr="00761E2B">
        <w:rPr>
          <w:bCs/>
        </w:rPr>
        <w:t>)</w:t>
      </w:r>
      <w:r w:rsidR="00A23FDF">
        <w:rPr>
          <w:b/>
          <w:bCs/>
          <w:w w:val="103"/>
        </w:rPr>
        <w:tab/>
      </w:r>
      <w:r w:rsidR="009750DF">
        <w:rPr>
          <w:b/>
          <w:bCs/>
        </w:rPr>
        <w:t xml:space="preserve">Ensure </w:t>
      </w:r>
      <w:r w:rsidRPr="00347553">
        <w:rPr>
          <w:b/>
          <w:bCs/>
        </w:rPr>
        <w:t xml:space="preserve">mandatory </w:t>
      </w:r>
      <w:r w:rsidR="0053501A">
        <w:rPr>
          <w:b/>
          <w:bCs/>
        </w:rPr>
        <w:t xml:space="preserve">relevant </w:t>
      </w:r>
      <w:r w:rsidRPr="00347553">
        <w:rPr>
          <w:b/>
          <w:bCs/>
        </w:rPr>
        <w:t xml:space="preserve">training to all members of the judiciary, including members of judicial committees, and law enforcement officers on the rights of women and on gender-sensitive investigation and interrogation procedures in cases of gender-based violence against </w:t>
      </w:r>
      <w:proofErr w:type="gramStart"/>
      <w:r w:rsidRPr="00347553">
        <w:rPr>
          <w:b/>
          <w:bCs/>
        </w:rPr>
        <w:t>women;</w:t>
      </w:r>
      <w:proofErr w:type="gramEnd"/>
    </w:p>
    <w:p w14:paraId="2CEB467E" w14:textId="53DF3562" w:rsidR="00DA1C4B" w:rsidRDefault="00DA1C4B" w:rsidP="00C22292">
      <w:pPr>
        <w:pStyle w:val="SingleTxtG"/>
        <w:tabs>
          <w:tab w:val="left" w:pos="1701"/>
        </w:tabs>
        <w:ind w:firstLine="567"/>
        <w:rPr>
          <w:b/>
          <w:bCs/>
        </w:rPr>
      </w:pPr>
      <w:r w:rsidRPr="00761E2B">
        <w:rPr>
          <w:bCs/>
        </w:rPr>
        <w:t>(</w:t>
      </w:r>
      <w:r w:rsidR="003F0DFB" w:rsidRPr="00761E2B">
        <w:rPr>
          <w:bCs/>
        </w:rPr>
        <w:t>m</w:t>
      </w:r>
      <w:r w:rsidRPr="00761E2B">
        <w:rPr>
          <w:bCs/>
        </w:rPr>
        <w:t>)</w:t>
      </w:r>
      <w:r w:rsidR="00A23FDF">
        <w:rPr>
          <w:b/>
        </w:rPr>
        <w:tab/>
      </w:r>
      <w:r w:rsidRPr="00347553">
        <w:rPr>
          <w:b/>
          <w:bCs/>
        </w:rPr>
        <w:t xml:space="preserve">Shift the police services delivery model towards more intervention and prevention and continue to work towards changing the underlying attitudes and behaviour of </w:t>
      </w:r>
      <w:r w:rsidR="00F576E7">
        <w:rPr>
          <w:b/>
          <w:bCs/>
        </w:rPr>
        <w:t>law enfo</w:t>
      </w:r>
      <w:r w:rsidR="00A70321">
        <w:rPr>
          <w:b/>
          <w:bCs/>
        </w:rPr>
        <w:t>r</w:t>
      </w:r>
      <w:r w:rsidR="00F576E7">
        <w:rPr>
          <w:b/>
          <w:bCs/>
        </w:rPr>
        <w:t>cement</w:t>
      </w:r>
      <w:r w:rsidRPr="00347553">
        <w:rPr>
          <w:b/>
          <w:bCs/>
        </w:rPr>
        <w:t xml:space="preserve">, and introduce a risk assessment of cases of violence against </w:t>
      </w:r>
      <w:proofErr w:type="gramStart"/>
      <w:r w:rsidRPr="00347553">
        <w:rPr>
          <w:b/>
          <w:bCs/>
        </w:rPr>
        <w:t>women;</w:t>
      </w:r>
      <w:proofErr w:type="gramEnd"/>
    </w:p>
    <w:p w14:paraId="58FC1F45" w14:textId="350FD5C1" w:rsidR="00DA1C4B" w:rsidRDefault="00DA1C4B" w:rsidP="00C22292">
      <w:pPr>
        <w:pStyle w:val="SingleTxtG"/>
        <w:tabs>
          <w:tab w:val="left" w:pos="1701"/>
        </w:tabs>
        <w:ind w:firstLine="567"/>
        <w:rPr>
          <w:b/>
          <w:bCs/>
        </w:rPr>
      </w:pPr>
      <w:r w:rsidRPr="00761E2B">
        <w:rPr>
          <w:bCs/>
        </w:rPr>
        <w:t>(</w:t>
      </w:r>
      <w:r w:rsidR="003F0DFB" w:rsidRPr="00761E2B">
        <w:rPr>
          <w:bCs/>
        </w:rPr>
        <w:t>n</w:t>
      </w:r>
      <w:r w:rsidRPr="00761E2B">
        <w:rPr>
          <w:bCs/>
        </w:rPr>
        <w:t>)</w:t>
      </w:r>
      <w:r w:rsidR="00A23FDF">
        <w:rPr>
          <w:b/>
          <w:bCs/>
        </w:rPr>
        <w:tab/>
      </w:r>
      <w:r>
        <w:rPr>
          <w:b/>
          <w:bCs/>
        </w:rPr>
        <w:t>E</w:t>
      </w:r>
      <w:r w:rsidRPr="00835034">
        <w:rPr>
          <w:b/>
          <w:bCs/>
        </w:rPr>
        <w:t xml:space="preserve">nsure that the Ministry of Justice coordinates the creation of an effective system for recording all breaches of protective and preventive orders (via the UYAP online judicial data system), categorizing the form of breach and the response to the breach, and publish full data regarding the </w:t>
      </w:r>
      <w:proofErr w:type="gramStart"/>
      <w:r w:rsidRPr="00835034">
        <w:rPr>
          <w:b/>
          <w:bCs/>
        </w:rPr>
        <w:t>breaches</w:t>
      </w:r>
      <w:r>
        <w:rPr>
          <w:b/>
          <w:bCs/>
        </w:rPr>
        <w:t>;</w:t>
      </w:r>
      <w:proofErr w:type="gramEnd"/>
    </w:p>
    <w:p w14:paraId="5B488F8D" w14:textId="6EB1981D" w:rsidR="00DA1C4B" w:rsidRPr="00347553" w:rsidRDefault="00DA1C4B" w:rsidP="00C22292">
      <w:pPr>
        <w:pStyle w:val="SingleTxtG"/>
        <w:tabs>
          <w:tab w:val="left" w:pos="1701"/>
        </w:tabs>
        <w:spacing w:line="276" w:lineRule="auto"/>
        <w:ind w:firstLine="567"/>
        <w:rPr>
          <w:b/>
          <w:bCs/>
        </w:rPr>
      </w:pPr>
      <w:r w:rsidRPr="00761E2B">
        <w:rPr>
          <w:bCs/>
        </w:rPr>
        <w:t>(</w:t>
      </w:r>
      <w:r w:rsidR="003F0DFB" w:rsidRPr="00761E2B">
        <w:rPr>
          <w:bCs/>
        </w:rPr>
        <w:t>o</w:t>
      </w:r>
      <w:r w:rsidRPr="00761E2B">
        <w:rPr>
          <w:bCs/>
        </w:rPr>
        <w:t>)</w:t>
      </w:r>
      <w:r w:rsidRPr="003F0DFB">
        <w:rPr>
          <w:b/>
        </w:rPr>
        <w:tab/>
      </w:r>
      <w:r w:rsidR="00F576E7">
        <w:rPr>
          <w:b/>
          <w:bCs/>
        </w:rPr>
        <w:t>Guarantee the access of women</w:t>
      </w:r>
      <w:r w:rsidR="00E85B35">
        <w:rPr>
          <w:b/>
          <w:bCs/>
        </w:rPr>
        <w:t xml:space="preserve"> and girls</w:t>
      </w:r>
      <w:r w:rsidR="00F576E7">
        <w:rPr>
          <w:b/>
          <w:bCs/>
        </w:rPr>
        <w:t xml:space="preserve"> to sexual and reproductive health</w:t>
      </w:r>
      <w:r w:rsidR="00A70321">
        <w:rPr>
          <w:b/>
          <w:bCs/>
        </w:rPr>
        <w:t xml:space="preserve"> services</w:t>
      </w:r>
      <w:r w:rsidR="00F576E7">
        <w:rPr>
          <w:b/>
          <w:bCs/>
        </w:rPr>
        <w:t xml:space="preserve">, including </w:t>
      </w:r>
      <w:r w:rsidR="00A70321">
        <w:rPr>
          <w:b/>
          <w:bCs/>
        </w:rPr>
        <w:t xml:space="preserve">safe </w:t>
      </w:r>
      <w:r w:rsidR="00F576E7">
        <w:rPr>
          <w:b/>
          <w:bCs/>
        </w:rPr>
        <w:t>abortion</w:t>
      </w:r>
    </w:p>
    <w:p w14:paraId="09B80D3C" w14:textId="48189609" w:rsidR="00DA1C4B" w:rsidRDefault="00DA1C4B" w:rsidP="00C22292">
      <w:pPr>
        <w:pStyle w:val="SingleTxtG"/>
        <w:pBdr>
          <w:top w:val="nil"/>
          <w:left w:val="nil"/>
          <w:bottom w:val="nil"/>
          <w:right w:val="nil"/>
          <w:between w:val="nil"/>
          <w:bar w:val="nil"/>
        </w:pBdr>
        <w:tabs>
          <w:tab w:val="left" w:pos="1701"/>
        </w:tabs>
        <w:suppressAutoHyphens w:val="0"/>
        <w:spacing w:line="276" w:lineRule="auto"/>
        <w:ind w:firstLine="567"/>
        <w:rPr>
          <w:b/>
          <w:bCs/>
        </w:rPr>
      </w:pPr>
      <w:r w:rsidRPr="00761E2B">
        <w:rPr>
          <w:bCs/>
        </w:rPr>
        <w:t>(</w:t>
      </w:r>
      <w:r w:rsidR="003F0DFB" w:rsidRPr="00761E2B">
        <w:rPr>
          <w:bCs/>
        </w:rPr>
        <w:t>p</w:t>
      </w:r>
      <w:r w:rsidRPr="00761E2B">
        <w:rPr>
          <w:bCs/>
        </w:rPr>
        <w:t>)</w:t>
      </w:r>
      <w:r w:rsidR="00A23FDF">
        <w:rPr>
          <w:bCs/>
        </w:rPr>
        <w:tab/>
      </w:r>
      <w:r w:rsidRPr="00347553">
        <w:rPr>
          <w:b/>
          <w:bCs/>
        </w:rPr>
        <w:t xml:space="preserve">Ensure the inclusion of age-appropriate, </w:t>
      </w:r>
      <w:proofErr w:type="gramStart"/>
      <w:r w:rsidRPr="00347553">
        <w:rPr>
          <w:b/>
          <w:bCs/>
        </w:rPr>
        <w:t>comprehensive</w:t>
      </w:r>
      <w:proofErr w:type="gramEnd"/>
      <w:r w:rsidRPr="00347553">
        <w:rPr>
          <w:b/>
          <w:bCs/>
        </w:rPr>
        <w:t xml:space="preserve"> and scientifically accurate education on sexual and reproductive health as a compulsory curriculum component for adolescents, including information on early pregnancy prevention and access to abortion, and monitor its implementation.</w:t>
      </w:r>
    </w:p>
    <w:p w14:paraId="74E077AF" w14:textId="206E7203" w:rsidR="00DA1C4B" w:rsidRDefault="00DA1C4B" w:rsidP="00C22292">
      <w:pPr>
        <w:pStyle w:val="SingleTxtG"/>
        <w:tabs>
          <w:tab w:val="left" w:pos="1701"/>
        </w:tabs>
        <w:ind w:firstLine="567"/>
        <w:rPr>
          <w:b/>
          <w:bCs/>
          <w:w w:val="103"/>
        </w:rPr>
      </w:pPr>
      <w:r w:rsidRPr="00761E2B">
        <w:rPr>
          <w:bCs/>
        </w:rPr>
        <w:t>(</w:t>
      </w:r>
      <w:r w:rsidR="003F0DFB" w:rsidRPr="00761E2B">
        <w:rPr>
          <w:bCs/>
        </w:rPr>
        <w:t>q</w:t>
      </w:r>
      <w:r w:rsidRPr="00761E2B">
        <w:rPr>
          <w:bCs/>
        </w:rPr>
        <w:t>)</w:t>
      </w:r>
      <w:r w:rsidR="00A23FDF">
        <w:rPr>
          <w:bCs/>
        </w:rPr>
        <w:tab/>
      </w:r>
      <w:r w:rsidRPr="00347553">
        <w:rPr>
          <w:b/>
          <w:bCs/>
          <w:w w:val="103"/>
        </w:rPr>
        <w:t xml:space="preserve">Amend the Turkish Labour Law and the Penal Code to explicitly criminalize sexual harassment in the workplace and ensure that victims of sexual harassment in the workplace have access to effective, independent and confidential complaint procedure and that all complaints are effectively investigated, perpetrators are prosecuted and adequately punished, and victims are protected from </w:t>
      </w:r>
      <w:proofErr w:type="gramStart"/>
      <w:r w:rsidRPr="00347553">
        <w:rPr>
          <w:b/>
          <w:bCs/>
          <w:w w:val="103"/>
        </w:rPr>
        <w:t>retaliation;</w:t>
      </w:r>
      <w:proofErr w:type="gramEnd"/>
    </w:p>
    <w:p w14:paraId="0BF3B658" w14:textId="15600A0E" w:rsidR="00DA1C4B" w:rsidRDefault="00DA1C4B" w:rsidP="00C22292">
      <w:pPr>
        <w:pStyle w:val="SingleTxtG"/>
        <w:tabs>
          <w:tab w:val="left" w:pos="1701"/>
        </w:tabs>
        <w:ind w:firstLine="567"/>
        <w:rPr>
          <w:b/>
          <w:lang w:val="en-US"/>
        </w:rPr>
      </w:pPr>
      <w:r w:rsidRPr="00761E2B">
        <w:rPr>
          <w:bCs/>
        </w:rPr>
        <w:t>(</w:t>
      </w:r>
      <w:r w:rsidR="00A23FDF" w:rsidRPr="00761E2B">
        <w:rPr>
          <w:bCs/>
        </w:rPr>
        <w:t>r</w:t>
      </w:r>
      <w:r w:rsidRPr="00761E2B">
        <w:rPr>
          <w:bCs/>
        </w:rPr>
        <w:t>)</w:t>
      </w:r>
      <w:r w:rsidR="00A23FDF">
        <w:rPr>
          <w:b/>
        </w:rPr>
        <w:tab/>
      </w:r>
      <w:r w:rsidR="0053501A">
        <w:rPr>
          <w:b/>
          <w:lang w:val="en-US"/>
        </w:rPr>
        <w:t>Work more effectively to eradicate</w:t>
      </w:r>
      <w:r w:rsidRPr="00697707">
        <w:rPr>
          <w:b/>
          <w:lang w:val="en-US"/>
        </w:rPr>
        <w:t xml:space="preserve"> child marriage</w:t>
      </w:r>
      <w:r w:rsidR="00462779">
        <w:rPr>
          <w:b/>
          <w:lang w:val="en-US"/>
        </w:rPr>
        <w:t>, including the de facto tolerance of religious marriages</w:t>
      </w:r>
      <w:r w:rsidR="00A70321">
        <w:rPr>
          <w:b/>
          <w:lang w:val="en-US"/>
        </w:rPr>
        <w:t>,</w:t>
      </w:r>
      <w:r w:rsidRPr="00697707">
        <w:rPr>
          <w:b/>
          <w:lang w:val="en-US"/>
        </w:rPr>
        <w:t xml:space="preserve"> </w:t>
      </w:r>
      <w:r w:rsidR="0053501A">
        <w:rPr>
          <w:b/>
          <w:lang w:val="en-US"/>
        </w:rPr>
        <w:t xml:space="preserve">through </w:t>
      </w:r>
      <w:r w:rsidR="0053501A">
        <w:rPr>
          <w:b/>
        </w:rPr>
        <w:t>explicitly outlaw</w:t>
      </w:r>
      <w:r w:rsidR="00CC7166">
        <w:rPr>
          <w:b/>
        </w:rPr>
        <w:t>ing</w:t>
      </w:r>
      <w:r w:rsidR="0053501A">
        <w:rPr>
          <w:b/>
        </w:rPr>
        <w:t xml:space="preserve"> child marriage in the penal code, </w:t>
      </w:r>
      <w:r w:rsidR="0053501A" w:rsidRPr="00697707">
        <w:rPr>
          <w:b/>
          <w:lang w:val="en-US"/>
        </w:rPr>
        <w:t xml:space="preserve"> </w:t>
      </w:r>
      <w:r w:rsidR="0053501A">
        <w:rPr>
          <w:b/>
          <w:lang w:val="en-US"/>
        </w:rPr>
        <w:t xml:space="preserve">and </w:t>
      </w:r>
      <w:r w:rsidRPr="00697707">
        <w:rPr>
          <w:b/>
          <w:lang w:val="en-US"/>
        </w:rPr>
        <w:t>strengthen awareness-raising efforts regarding the harmful effects of child marriage on the health and development of girls, in line with Joint general recommendation/general comment No. 31 of the Committee on the Elimination of Discrimination against Women and No. 18 of the Committee on the Rights of the Child on harmful practices.</w:t>
      </w:r>
    </w:p>
    <w:p w14:paraId="22600F08" w14:textId="7240B2E7" w:rsidR="00A23FDF" w:rsidRPr="00A23FDF" w:rsidRDefault="00A23FDF" w:rsidP="00C22292">
      <w:pPr>
        <w:pStyle w:val="SingleTxtG"/>
        <w:tabs>
          <w:tab w:val="left" w:pos="1701"/>
        </w:tabs>
        <w:spacing w:line="276" w:lineRule="auto"/>
        <w:ind w:firstLine="567"/>
        <w:rPr>
          <w:b/>
          <w:bCs/>
        </w:rPr>
      </w:pPr>
      <w:r>
        <w:rPr>
          <w:b/>
          <w:lang w:val="en-US"/>
        </w:rPr>
        <w:t>(s)</w:t>
      </w:r>
      <w:r>
        <w:rPr>
          <w:rFonts w:eastAsia="Arial Unicode MS" w:cs="Arial Unicode MS"/>
          <w:b/>
          <w:bCs/>
          <w:lang w:val="en-US"/>
        </w:rPr>
        <w:tab/>
      </w:r>
      <w:r w:rsidR="0053501A">
        <w:rPr>
          <w:b/>
          <w:bCs/>
        </w:rPr>
        <w:t>T</w:t>
      </w:r>
      <w:r w:rsidRPr="00A23FDF">
        <w:rPr>
          <w:b/>
          <w:bCs/>
        </w:rPr>
        <w:t>he Government should</w:t>
      </w:r>
      <w:r w:rsidRPr="00A23FDF">
        <w:rPr>
          <w:bCs/>
        </w:rPr>
        <w:t xml:space="preserve"> </w:t>
      </w:r>
      <w:r w:rsidRPr="00A23FDF">
        <w:rPr>
          <w:b/>
          <w:bCs/>
        </w:rPr>
        <w:t>take measures to</w:t>
      </w:r>
      <w:r w:rsidRPr="00A23FDF">
        <w:rPr>
          <w:b/>
        </w:rPr>
        <w:t xml:space="preserve"> eradicate discriminatory and sexist portrayals of women in the media;</w:t>
      </w:r>
      <w:r w:rsidRPr="00A23FDF">
        <w:rPr>
          <w:b/>
          <w:bCs/>
        </w:rPr>
        <w:t xml:space="preserve"> ensure that the activities and freedom of expression of representatives of non-governmental organizations working on the rights of women are not restricted; and develop legislation to criminalize new forms of online violence against women and girls</w:t>
      </w:r>
    </w:p>
    <w:p w14:paraId="038AD845" w14:textId="1A2ABAF7" w:rsidR="00DA1C4B" w:rsidRPr="00C22292" w:rsidRDefault="00DA1C4B" w:rsidP="00C22292">
      <w:pPr>
        <w:pStyle w:val="SingleTxtG"/>
        <w:numPr>
          <w:ilvl w:val="0"/>
          <w:numId w:val="6"/>
        </w:numPr>
        <w:tabs>
          <w:tab w:val="left" w:pos="1701"/>
        </w:tabs>
        <w:ind w:left="1560" w:hanging="425"/>
        <w:rPr>
          <w:b/>
        </w:rPr>
      </w:pPr>
      <w:r w:rsidRPr="00C22292">
        <w:rPr>
          <w:b/>
        </w:rPr>
        <w:t>Women with disabilities</w:t>
      </w:r>
    </w:p>
    <w:p w14:paraId="00977C1A" w14:textId="3E90019E" w:rsidR="00DA1C4B" w:rsidRDefault="00DA1C4B" w:rsidP="00C22292">
      <w:pPr>
        <w:pStyle w:val="SingleTxtG"/>
        <w:numPr>
          <w:ilvl w:val="0"/>
          <w:numId w:val="3"/>
        </w:numPr>
        <w:tabs>
          <w:tab w:val="left" w:pos="1701"/>
        </w:tabs>
        <w:ind w:left="1134" w:firstLine="567"/>
        <w:rPr>
          <w:b/>
        </w:rPr>
      </w:pPr>
      <w:r w:rsidRPr="006C04B6">
        <w:rPr>
          <w:b/>
        </w:rPr>
        <w:t xml:space="preserve">Strengthen implementation of legislation and provide for accessible monitoring and reporting mechanisms to detect, </w:t>
      </w:r>
      <w:proofErr w:type="gramStart"/>
      <w:r w:rsidRPr="006C04B6">
        <w:rPr>
          <w:b/>
        </w:rPr>
        <w:t>prevent</w:t>
      </w:r>
      <w:proofErr w:type="gramEnd"/>
      <w:r w:rsidRPr="006C04B6">
        <w:rPr>
          <w:b/>
        </w:rPr>
        <w:t xml:space="preserve"> and combat all forms of violence, including sexual violence, against women and girls with disabilities in line with recommendations made by the Committee on the Rights of Persons with Disabilities.</w:t>
      </w:r>
      <w:r w:rsidRPr="009F3C51">
        <w:rPr>
          <w:b/>
          <w:sz w:val="18"/>
          <w:szCs w:val="18"/>
          <w:vertAlign w:val="superscript"/>
        </w:rPr>
        <w:footnoteReference w:id="44"/>
      </w:r>
      <w:r w:rsidRPr="009F3C51">
        <w:rPr>
          <w:b/>
          <w:sz w:val="18"/>
          <w:szCs w:val="18"/>
        </w:rPr>
        <w:t xml:space="preserve"> </w:t>
      </w:r>
      <w:r w:rsidRPr="006C04B6">
        <w:rPr>
          <w:b/>
        </w:rPr>
        <w:t xml:space="preserve"> </w:t>
      </w:r>
      <w:r w:rsidR="00462779">
        <w:rPr>
          <w:b/>
        </w:rPr>
        <w:t>Modalities for including and assisting non-Turkish women and girls with disabilities should be particularly strengthened</w:t>
      </w:r>
      <w:r w:rsidR="00A70321">
        <w:rPr>
          <w:b/>
        </w:rPr>
        <w:t>.</w:t>
      </w:r>
    </w:p>
    <w:p w14:paraId="4E80AB4A" w14:textId="6896E6EC" w:rsidR="00DA1C4B" w:rsidRPr="00C22292" w:rsidRDefault="00DA1C4B" w:rsidP="00845C39">
      <w:pPr>
        <w:pStyle w:val="SingleTxtG"/>
        <w:numPr>
          <w:ilvl w:val="0"/>
          <w:numId w:val="6"/>
        </w:numPr>
        <w:ind w:left="1560" w:hanging="426"/>
        <w:rPr>
          <w:b/>
        </w:rPr>
      </w:pPr>
      <w:r w:rsidRPr="00C22292">
        <w:rPr>
          <w:b/>
        </w:rPr>
        <w:t>Women human rights defenders</w:t>
      </w:r>
    </w:p>
    <w:p w14:paraId="3938186A" w14:textId="23F0D9B9" w:rsidR="00DA1C4B" w:rsidRDefault="00A23FDF" w:rsidP="00C22292">
      <w:pPr>
        <w:pStyle w:val="SingleTxtG"/>
        <w:tabs>
          <w:tab w:val="left" w:pos="2268"/>
        </w:tabs>
        <w:ind w:firstLine="567"/>
        <w:rPr>
          <w:b/>
        </w:rPr>
      </w:pPr>
      <w:r w:rsidRPr="00C22292">
        <w:rPr>
          <w:bCs/>
        </w:rPr>
        <w:t>(a)</w:t>
      </w:r>
      <w:r w:rsidR="00C22292">
        <w:rPr>
          <w:b/>
        </w:rPr>
        <w:tab/>
      </w:r>
      <w:r w:rsidR="00DA1C4B" w:rsidRPr="00835034">
        <w:rPr>
          <w:b/>
        </w:rPr>
        <w:t>Ensure that women human rights defenders, and women representatives from non-governmental organizations can freely carry out their legitimate activities and create an enabling environment for them to advocate for women’s human rights; investigate, prosecute and punish all abuses against them, including by public officials; ensure that they are protected from all forms of intimidation, violence and reprisal, in line with international law and the Declaration on the Right and Responsibility of Individuals, Groups and Organs of Society to Promote and Protect Universally Recognized Human Rights and Fundamental Freedoms; amend provisions that restrict the civic space and funding for civil society organizations, for allegedly “acting against the law and against morality”; refrain from applying article 7 of the Anti-Terror Law relating to leaders and members of armed organisations to convict women human rights defenders and sentence them to lengthy prison sentences.</w:t>
      </w:r>
    </w:p>
    <w:p w14:paraId="380D7A58" w14:textId="5901F9F4" w:rsidR="00DA1C4B" w:rsidRDefault="00723365" w:rsidP="00C22292">
      <w:pPr>
        <w:pStyle w:val="SingleTxtG"/>
        <w:tabs>
          <w:tab w:val="left" w:pos="1560"/>
          <w:tab w:val="left" w:pos="1701"/>
        </w:tabs>
        <w:rPr>
          <w:b/>
        </w:rPr>
      </w:pPr>
      <w:r>
        <w:rPr>
          <w:b/>
        </w:rPr>
        <w:t>9</w:t>
      </w:r>
      <w:r w:rsidR="00A23FDF">
        <w:rPr>
          <w:b/>
        </w:rPr>
        <w:t>2</w:t>
      </w:r>
      <w:r>
        <w:rPr>
          <w:b/>
        </w:rPr>
        <w:t>.</w:t>
      </w:r>
      <w:r w:rsidR="00DE0DE3">
        <w:rPr>
          <w:b/>
        </w:rPr>
        <w:tab/>
      </w:r>
      <w:r w:rsidR="00DA1C4B">
        <w:rPr>
          <w:b/>
        </w:rPr>
        <w:t>Kurdish women</w:t>
      </w:r>
    </w:p>
    <w:p w14:paraId="530F9EF9" w14:textId="67BB9487" w:rsidR="004C7D67" w:rsidRPr="00D81C52" w:rsidRDefault="00A23FDF" w:rsidP="00C22292">
      <w:pPr>
        <w:pStyle w:val="SingleTxtG"/>
        <w:ind w:firstLine="567"/>
        <w:rPr>
          <w:b/>
          <w:bCs/>
          <w:w w:val="103"/>
          <w:lang w:val="en-US"/>
        </w:rPr>
      </w:pPr>
      <w:r w:rsidRPr="00C22292">
        <w:rPr>
          <w:w w:val="103"/>
        </w:rPr>
        <w:t>(</w:t>
      </w:r>
      <w:r w:rsidR="004C7D67" w:rsidRPr="00C22292">
        <w:rPr>
          <w:w w:val="103"/>
        </w:rPr>
        <w:t>a</w:t>
      </w:r>
      <w:r w:rsidR="00C22292" w:rsidRPr="00C22292">
        <w:rPr>
          <w:w w:val="103"/>
        </w:rPr>
        <w:t>)</w:t>
      </w:r>
      <w:r w:rsidR="00C22292">
        <w:rPr>
          <w:b/>
          <w:bCs/>
          <w:w w:val="103"/>
        </w:rPr>
        <w:tab/>
      </w:r>
      <w:r w:rsidR="004C7D67" w:rsidRPr="00A222C9">
        <w:rPr>
          <w:b/>
          <w:bCs/>
          <w:w w:val="103"/>
        </w:rPr>
        <w:t xml:space="preserve">Investigate, </w:t>
      </w:r>
      <w:proofErr w:type="gramStart"/>
      <w:r w:rsidR="004C7D67" w:rsidRPr="00A222C9">
        <w:rPr>
          <w:b/>
          <w:bCs/>
          <w:w w:val="103"/>
        </w:rPr>
        <w:t>prosecute</w:t>
      </w:r>
      <w:proofErr w:type="gramEnd"/>
      <w:r w:rsidR="004C7D67" w:rsidRPr="00A222C9">
        <w:rPr>
          <w:b/>
          <w:bCs/>
          <w:w w:val="103"/>
        </w:rPr>
        <w:t xml:space="preserve"> and adequately punish all acts of sexual and gender-based violence</w:t>
      </w:r>
      <w:r w:rsidR="004C7D67">
        <w:rPr>
          <w:b/>
          <w:bCs/>
          <w:w w:val="103"/>
        </w:rPr>
        <w:t>,</w:t>
      </w:r>
      <w:r w:rsidR="004C7D67" w:rsidRPr="00A222C9">
        <w:rPr>
          <w:b/>
          <w:bCs/>
          <w:w w:val="103"/>
        </w:rPr>
        <w:t xml:space="preserve"> </w:t>
      </w:r>
      <w:r w:rsidR="004C7D67">
        <w:rPr>
          <w:b/>
          <w:bCs/>
          <w:w w:val="103"/>
        </w:rPr>
        <w:t xml:space="preserve">including against </w:t>
      </w:r>
      <w:r w:rsidR="0053501A">
        <w:rPr>
          <w:b/>
          <w:bCs/>
          <w:w w:val="103"/>
        </w:rPr>
        <w:t>-</w:t>
      </w:r>
      <w:r w:rsidR="004C7D67">
        <w:rPr>
          <w:b/>
          <w:bCs/>
          <w:w w:val="103"/>
        </w:rPr>
        <w:t>Kurdish women and girls,</w:t>
      </w:r>
      <w:r w:rsidR="004C7D67" w:rsidRPr="00A222C9">
        <w:rPr>
          <w:b/>
          <w:bCs/>
          <w:w w:val="103"/>
        </w:rPr>
        <w:t xml:space="preserve"> perpetrated by the Turkish security and defence forces,</w:t>
      </w:r>
      <w:r w:rsidR="004C7D67">
        <w:rPr>
          <w:b/>
          <w:bCs/>
          <w:w w:val="103"/>
        </w:rPr>
        <w:t xml:space="preserve"> </w:t>
      </w:r>
      <w:r w:rsidR="004C7D67" w:rsidRPr="00A222C9">
        <w:rPr>
          <w:b/>
          <w:bCs/>
          <w:w w:val="103"/>
        </w:rPr>
        <w:t>as well as by any other armed group</w:t>
      </w:r>
      <w:r w:rsidR="0053501A">
        <w:rPr>
          <w:b/>
          <w:bCs/>
          <w:w w:val="103"/>
        </w:rPr>
        <w:t>, and ensure respect for</w:t>
      </w:r>
      <w:r w:rsidR="0053501A" w:rsidRPr="0053501A">
        <w:rPr>
          <w:b/>
          <w:bCs/>
          <w:w w:val="103"/>
          <w:lang w:val="en-US"/>
        </w:rPr>
        <w:t xml:space="preserve"> article 3 of the Geneva Conventions irrespective of its positions on the status of the conflict in the Turkish-Kurdish regions and the PKK</w:t>
      </w:r>
    </w:p>
    <w:p w14:paraId="781B41A8" w14:textId="1CA38912" w:rsidR="00DA1C4B" w:rsidRPr="00A23FDF" w:rsidRDefault="004C7D67" w:rsidP="00C22292">
      <w:pPr>
        <w:pStyle w:val="SingleTxtG"/>
        <w:tabs>
          <w:tab w:val="left" w:pos="1701"/>
        </w:tabs>
        <w:ind w:firstLine="567"/>
        <w:rPr>
          <w:b/>
          <w:bCs/>
          <w:w w:val="103"/>
        </w:rPr>
      </w:pPr>
      <w:r w:rsidRPr="00C22292">
        <w:rPr>
          <w:w w:val="103"/>
        </w:rPr>
        <w:t>(b)</w:t>
      </w:r>
      <w:r w:rsidRPr="00C22292">
        <w:rPr>
          <w:w w:val="103"/>
        </w:rPr>
        <w:tab/>
      </w:r>
      <w:r w:rsidRPr="00A222C9">
        <w:rPr>
          <w:b/>
          <w:bCs/>
          <w:w w:val="103"/>
        </w:rPr>
        <w:t xml:space="preserve">Establish an independent and impartial investigation mechanism for this purpose, with international assistance, to conducted effective, impartial and transparent inquiries into such </w:t>
      </w:r>
      <w:proofErr w:type="gramStart"/>
      <w:r w:rsidRPr="00A222C9">
        <w:rPr>
          <w:b/>
          <w:bCs/>
          <w:w w:val="103"/>
        </w:rPr>
        <w:t>violations;</w:t>
      </w:r>
      <w:proofErr w:type="gramEnd"/>
    </w:p>
    <w:p w14:paraId="48B2B301" w14:textId="249D5410" w:rsidR="00DA1C4B" w:rsidRPr="00C22292" w:rsidRDefault="00DA1C4B" w:rsidP="00845C39">
      <w:pPr>
        <w:pStyle w:val="SingleTxtG"/>
        <w:numPr>
          <w:ilvl w:val="0"/>
          <w:numId w:val="5"/>
        </w:numPr>
        <w:ind w:left="1701" w:hanging="567"/>
        <w:rPr>
          <w:b/>
        </w:rPr>
      </w:pPr>
      <w:r w:rsidRPr="00C22292">
        <w:rPr>
          <w:b/>
        </w:rPr>
        <w:t>LBTI women</w:t>
      </w:r>
    </w:p>
    <w:p w14:paraId="02FBF0CC" w14:textId="20134628" w:rsidR="00DA1C4B" w:rsidRPr="00A23FDF" w:rsidRDefault="00DA1C4B" w:rsidP="00C22292">
      <w:pPr>
        <w:pStyle w:val="SingleTxtG"/>
        <w:numPr>
          <w:ilvl w:val="0"/>
          <w:numId w:val="4"/>
        </w:numPr>
        <w:tabs>
          <w:tab w:val="left" w:pos="2268"/>
        </w:tabs>
        <w:ind w:left="1134" w:firstLine="567"/>
        <w:rPr>
          <w:b/>
        </w:rPr>
      </w:pPr>
      <w:r w:rsidRPr="006C04B6">
        <w:rPr>
          <w:b/>
        </w:rPr>
        <w:t xml:space="preserve">Address the stigma and discrimination, as well as the lack of </w:t>
      </w:r>
      <w:r w:rsidR="00F576E7">
        <w:rPr>
          <w:b/>
        </w:rPr>
        <w:t xml:space="preserve">effective </w:t>
      </w:r>
      <w:r w:rsidRPr="006C04B6">
        <w:rPr>
          <w:b/>
        </w:rPr>
        <w:t xml:space="preserve">protection measures in place </w:t>
      </w:r>
      <w:r w:rsidR="0053501A">
        <w:rPr>
          <w:b/>
        </w:rPr>
        <w:t>LBTI women</w:t>
      </w:r>
      <w:r w:rsidRPr="006C04B6">
        <w:rPr>
          <w:b/>
        </w:rPr>
        <w:t xml:space="preserve">, including by raising public awareness of their rights, in cooperation with civil </w:t>
      </w:r>
      <w:proofErr w:type="gramStart"/>
      <w:r w:rsidRPr="006C04B6">
        <w:rPr>
          <w:b/>
        </w:rPr>
        <w:t>society;</w:t>
      </w:r>
      <w:proofErr w:type="gramEnd"/>
    </w:p>
    <w:p w14:paraId="1651852C" w14:textId="2C67FB37" w:rsidR="00DA1C4B" w:rsidRPr="00C22292" w:rsidRDefault="00DA1C4B" w:rsidP="00845C39">
      <w:pPr>
        <w:pStyle w:val="SingleTxtG"/>
        <w:numPr>
          <w:ilvl w:val="0"/>
          <w:numId w:val="5"/>
        </w:numPr>
        <w:ind w:left="1701" w:hanging="567"/>
        <w:rPr>
          <w:rStyle w:val="None"/>
          <w:b/>
          <w:bCs/>
          <w:lang w:val="en-US"/>
        </w:rPr>
      </w:pPr>
      <w:r w:rsidRPr="00C22292">
        <w:rPr>
          <w:rStyle w:val="None"/>
          <w:rFonts w:eastAsia="Arial Unicode MS" w:cs="Arial Unicode MS"/>
          <w:b/>
          <w:bCs/>
          <w:lang w:val="en-US"/>
        </w:rPr>
        <w:t>Migrant and refugee women</w:t>
      </w:r>
      <w:r w:rsidRPr="00C22292">
        <w:rPr>
          <w:rStyle w:val="None"/>
          <w:rFonts w:eastAsia="Arial Unicode MS" w:cs="Arial Unicode MS"/>
          <w:b/>
          <w:bCs/>
        </w:rPr>
        <w:t xml:space="preserve"> </w:t>
      </w:r>
    </w:p>
    <w:p w14:paraId="506EB244" w14:textId="7FFE93C2" w:rsidR="00DA1C4B" w:rsidRPr="00347553" w:rsidRDefault="00DA1C4B" w:rsidP="00C22292">
      <w:pPr>
        <w:pStyle w:val="SingleTxtG"/>
        <w:tabs>
          <w:tab w:val="left" w:pos="2268"/>
        </w:tabs>
        <w:spacing w:line="276" w:lineRule="auto"/>
        <w:ind w:firstLine="567"/>
        <w:rPr>
          <w:rStyle w:val="None"/>
          <w:b/>
          <w:bCs/>
        </w:rPr>
      </w:pPr>
      <w:r w:rsidRPr="00347553">
        <w:rPr>
          <w:rStyle w:val="None"/>
          <w:bCs/>
        </w:rPr>
        <w:t>(a)</w:t>
      </w:r>
      <w:r w:rsidRPr="00347553">
        <w:rPr>
          <w:rStyle w:val="None"/>
          <w:b/>
          <w:bCs/>
        </w:rPr>
        <w:tab/>
        <w:t>Strengthen efforts to combat discrimination against migrant, asylum-seeking and refugee women and girls, and ensure that they have full and equal access to asylum procedures and/or migratory alternatives, in line with general recommendation No. 32 (2014) on the gender-related dimensions of refugee status, asylum, nationality and statelessness of women of the Committee</w:t>
      </w:r>
      <w:r w:rsidRPr="00347553">
        <w:t xml:space="preserve"> </w:t>
      </w:r>
      <w:r w:rsidRPr="00347553">
        <w:rPr>
          <w:b/>
          <w:bCs/>
        </w:rPr>
        <w:t xml:space="preserve">on the Elimination of Discrimination against </w:t>
      </w:r>
      <w:proofErr w:type="gramStart"/>
      <w:r w:rsidRPr="00347553">
        <w:rPr>
          <w:b/>
          <w:bCs/>
        </w:rPr>
        <w:t>Women</w:t>
      </w:r>
      <w:r w:rsidRPr="00347553">
        <w:rPr>
          <w:rStyle w:val="None"/>
          <w:b/>
          <w:bCs/>
        </w:rPr>
        <w:t>;</w:t>
      </w:r>
      <w:proofErr w:type="gramEnd"/>
    </w:p>
    <w:p w14:paraId="41B9BDE9" w14:textId="03BA76AD" w:rsidR="00DA1C4B" w:rsidRDefault="00DA1C4B" w:rsidP="00C22292">
      <w:pPr>
        <w:pStyle w:val="SingleTxtG"/>
        <w:tabs>
          <w:tab w:val="left" w:pos="2268"/>
        </w:tabs>
        <w:ind w:firstLine="567"/>
        <w:rPr>
          <w:b/>
          <w:bCs/>
          <w:w w:val="103"/>
        </w:rPr>
      </w:pPr>
      <w:r w:rsidRPr="00347553">
        <w:rPr>
          <w:rStyle w:val="None"/>
          <w:bCs/>
        </w:rPr>
        <w:t>(b)</w:t>
      </w:r>
      <w:r w:rsidRPr="00347553">
        <w:tab/>
      </w:r>
      <w:r w:rsidRPr="00347553">
        <w:rPr>
          <w:rStyle w:val="None"/>
          <w:b/>
          <w:bCs/>
        </w:rPr>
        <w:t xml:space="preserve">Strengthen the investigative capacity of the police, to ensure that victims of trafficking </w:t>
      </w:r>
      <w:r w:rsidR="0053501A">
        <w:rPr>
          <w:rStyle w:val="None"/>
          <w:b/>
          <w:bCs/>
        </w:rPr>
        <w:t xml:space="preserve">are properly identified, </w:t>
      </w:r>
      <w:proofErr w:type="gramStart"/>
      <w:r w:rsidR="0053501A">
        <w:rPr>
          <w:rStyle w:val="None"/>
          <w:b/>
          <w:bCs/>
        </w:rPr>
        <w:t>protected</w:t>
      </w:r>
      <w:proofErr w:type="gramEnd"/>
      <w:r w:rsidR="0053501A">
        <w:rPr>
          <w:rStyle w:val="None"/>
          <w:b/>
          <w:bCs/>
        </w:rPr>
        <w:t xml:space="preserve"> and assisted, including through the establishment of specialized shelters and that those </w:t>
      </w:r>
      <w:r w:rsidRPr="00347553">
        <w:rPr>
          <w:rStyle w:val="None"/>
          <w:b/>
          <w:bCs/>
        </w:rPr>
        <w:t xml:space="preserve">who may be in need of international protection </w:t>
      </w:r>
      <w:r w:rsidR="0053501A">
        <w:rPr>
          <w:rStyle w:val="None"/>
          <w:b/>
          <w:bCs/>
        </w:rPr>
        <w:t>have access</w:t>
      </w:r>
      <w:r w:rsidRPr="00347553">
        <w:rPr>
          <w:rStyle w:val="None"/>
          <w:b/>
          <w:bCs/>
        </w:rPr>
        <w:t>to asylum procedures</w:t>
      </w:r>
      <w:r w:rsidR="008B4365">
        <w:rPr>
          <w:rStyle w:val="None"/>
          <w:b/>
          <w:bCs/>
        </w:rPr>
        <w:t xml:space="preserve"> </w:t>
      </w:r>
    </w:p>
    <w:p w14:paraId="1D3CDBE1" w14:textId="30149C85" w:rsidR="0053501A" w:rsidRPr="00CC7166" w:rsidRDefault="00CC7166" w:rsidP="00C22292">
      <w:pPr>
        <w:pStyle w:val="SingleTxtG"/>
        <w:tabs>
          <w:tab w:val="left" w:pos="2268"/>
        </w:tabs>
        <w:ind w:firstLine="567"/>
        <w:rPr>
          <w:b/>
          <w:w w:val="103"/>
        </w:rPr>
      </w:pPr>
      <w:r>
        <w:rPr>
          <w:rStyle w:val="None"/>
          <w:bCs/>
        </w:rPr>
        <w:t>(c)</w:t>
      </w:r>
      <w:r w:rsidR="00C22292">
        <w:rPr>
          <w:rStyle w:val="None"/>
          <w:bCs/>
        </w:rPr>
        <w:tab/>
      </w:r>
      <w:r w:rsidR="0053501A" w:rsidRPr="00D81C52">
        <w:rPr>
          <w:rStyle w:val="None"/>
          <w:b/>
        </w:rPr>
        <w:t xml:space="preserve">Women and girls in need of international protection in </w:t>
      </w:r>
      <w:r w:rsidRPr="00CC7166">
        <w:rPr>
          <w:rStyle w:val="None"/>
          <w:b/>
        </w:rPr>
        <w:t>Türkiye</w:t>
      </w:r>
      <w:r w:rsidR="0053501A" w:rsidRPr="00D81C52">
        <w:rPr>
          <w:rStyle w:val="None"/>
          <w:b/>
        </w:rPr>
        <w:t xml:space="preserve"> should be protected against push-back, refoulement, particularly at the Turkish-EU border.</w:t>
      </w:r>
    </w:p>
    <w:p w14:paraId="0DB75A01" w14:textId="36876A40" w:rsidR="00DA1C4B" w:rsidRPr="00835034" w:rsidRDefault="00723365" w:rsidP="00C22292">
      <w:pPr>
        <w:pStyle w:val="SingleTxtG"/>
        <w:tabs>
          <w:tab w:val="left" w:pos="1701"/>
        </w:tabs>
        <w:rPr>
          <w:b/>
          <w:i/>
          <w:iCs/>
        </w:rPr>
      </w:pPr>
      <w:r w:rsidRPr="00C22292">
        <w:rPr>
          <w:bCs/>
        </w:rPr>
        <w:t>9</w:t>
      </w:r>
      <w:r w:rsidR="00A23FDF" w:rsidRPr="00C22292">
        <w:rPr>
          <w:bCs/>
        </w:rPr>
        <w:t>5</w:t>
      </w:r>
      <w:r w:rsidRPr="00C22292">
        <w:rPr>
          <w:bCs/>
        </w:rPr>
        <w:t>.</w:t>
      </w:r>
      <w:r w:rsidR="00C22292">
        <w:rPr>
          <w:b/>
          <w:i/>
          <w:iCs/>
        </w:rPr>
        <w:tab/>
      </w:r>
      <w:r w:rsidR="00DA1C4B" w:rsidRPr="00C22292">
        <w:rPr>
          <w:b/>
        </w:rPr>
        <w:t>Women in detention</w:t>
      </w:r>
    </w:p>
    <w:p w14:paraId="4E04A158" w14:textId="602B9BA1" w:rsidR="00DA1C4B" w:rsidRPr="00347553" w:rsidRDefault="00117784" w:rsidP="00117784">
      <w:pPr>
        <w:pStyle w:val="SingleTxtG"/>
        <w:tabs>
          <w:tab w:val="left" w:pos="2268"/>
        </w:tabs>
        <w:ind w:firstLine="567"/>
        <w:rPr>
          <w:b/>
          <w:bCs/>
        </w:rPr>
      </w:pPr>
      <w:r w:rsidRPr="00117784">
        <w:rPr>
          <w:bCs/>
        </w:rPr>
        <w:t>(</w:t>
      </w:r>
      <w:r w:rsidR="00DA1C4B" w:rsidRPr="00117784">
        <w:rPr>
          <w:bCs/>
        </w:rPr>
        <w:t>a)</w:t>
      </w:r>
      <w:r w:rsidR="00DA1C4B" w:rsidRPr="006C04B6">
        <w:rPr>
          <w:b/>
        </w:rPr>
        <w:tab/>
      </w:r>
      <w:r w:rsidR="00DA1C4B">
        <w:rPr>
          <w:b/>
          <w:bCs/>
        </w:rPr>
        <w:t>I</w:t>
      </w:r>
      <w:r w:rsidR="00DA1C4B" w:rsidRPr="00347553">
        <w:rPr>
          <w:b/>
        </w:rPr>
        <w:t xml:space="preserve">mprove prison conditions for women and their children, </w:t>
      </w:r>
      <w:r w:rsidR="0053501A">
        <w:rPr>
          <w:b/>
        </w:rPr>
        <w:t>ensuring</w:t>
      </w:r>
      <w:r w:rsidR="0053501A" w:rsidRPr="00347553">
        <w:rPr>
          <w:b/>
        </w:rPr>
        <w:t xml:space="preserve"> </w:t>
      </w:r>
      <w:r w:rsidR="00DA1C4B" w:rsidRPr="00347553">
        <w:rPr>
          <w:b/>
        </w:rPr>
        <w:t>that there are adequate health-care facilities, including facilities for obstetric and gynaecological care, and adopt a gendered approach to the incarceration of women and girls, in line with the United Nations Rules for the Treatment of Women Prisoners and Non-custodial Measures for Women Offenders (the Bangkok Rules).</w:t>
      </w:r>
    </w:p>
    <w:p w14:paraId="4397D71B" w14:textId="5F04C5F9" w:rsidR="00E4050E" w:rsidRPr="00DE0DE3" w:rsidRDefault="00DE0DE3" w:rsidP="00C22292">
      <w:pPr>
        <w:tabs>
          <w:tab w:val="left" w:pos="1701"/>
        </w:tabs>
        <w:spacing w:before="240"/>
        <w:ind w:left="1134" w:right="1134"/>
        <w:jc w:val="center"/>
        <w:rPr>
          <w:u w:val="single"/>
          <w:lang w:val="en-US"/>
        </w:rPr>
      </w:pPr>
      <w:r>
        <w:rPr>
          <w:u w:val="single"/>
          <w:lang w:val="en-US"/>
        </w:rPr>
        <w:tab/>
      </w:r>
      <w:r>
        <w:rPr>
          <w:u w:val="single"/>
          <w:lang w:val="en-US"/>
        </w:rPr>
        <w:tab/>
      </w:r>
      <w:r>
        <w:rPr>
          <w:u w:val="single"/>
          <w:lang w:val="en-US"/>
        </w:rPr>
        <w:tab/>
      </w:r>
    </w:p>
    <w:sectPr w:rsidR="00E4050E" w:rsidRPr="00DE0DE3" w:rsidSect="00C22292">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6EF6" w14:textId="77777777" w:rsidR="006F643A" w:rsidRDefault="006F643A" w:rsidP="00AB537A">
      <w:pPr>
        <w:spacing w:line="240" w:lineRule="auto"/>
      </w:pPr>
      <w:r>
        <w:separator/>
      </w:r>
    </w:p>
  </w:endnote>
  <w:endnote w:type="continuationSeparator" w:id="0">
    <w:p w14:paraId="7D08FC4F" w14:textId="77777777" w:rsidR="006F643A" w:rsidRDefault="006F643A" w:rsidP="00AB5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gul Helio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9CC6" w14:textId="77777777" w:rsidR="009C2CA9" w:rsidRPr="00EC54F0" w:rsidRDefault="00B03828">
    <w:pPr>
      <w:pStyle w:val="Footer"/>
      <w:tabs>
        <w:tab w:val="right" w:pos="9638"/>
      </w:tabs>
      <w:rPr>
        <w:sz w:val="18"/>
      </w:rPr>
    </w:pPr>
    <w:r w:rsidRPr="00EC54F0">
      <w:rPr>
        <w:b/>
        <w:sz w:val="18"/>
      </w:rPr>
      <w:fldChar w:fldCharType="begin"/>
    </w:r>
    <w:r w:rsidRPr="00EC54F0">
      <w:rPr>
        <w:b/>
        <w:sz w:val="18"/>
      </w:rPr>
      <w:instrText xml:space="preserve"> PAGE  \* MERGEFORMAT </w:instrText>
    </w:r>
    <w:r w:rsidRPr="00EC54F0">
      <w:rPr>
        <w:b/>
        <w:sz w:val="18"/>
      </w:rPr>
      <w:fldChar w:fldCharType="separate"/>
    </w:r>
    <w:r>
      <w:rPr>
        <w:b/>
        <w:noProof/>
        <w:sz w:val="18"/>
      </w:rPr>
      <w:t>16</w:t>
    </w:r>
    <w:r w:rsidRPr="00EC54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54FA" w14:textId="77777777" w:rsidR="009C2CA9" w:rsidRPr="00EC54F0" w:rsidRDefault="00B03828">
    <w:pPr>
      <w:pStyle w:val="Footer"/>
      <w:tabs>
        <w:tab w:val="right" w:pos="9638"/>
      </w:tabs>
      <w:rPr>
        <w:b/>
        <w:sz w:val="18"/>
      </w:rPr>
    </w:pPr>
    <w:r>
      <w:tab/>
    </w:r>
    <w:r w:rsidRPr="00EC54F0">
      <w:rPr>
        <w:b/>
        <w:sz w:val="18"/>
      </w:rPr>
      <w:fldChar w:fldCharType="begin"/>
    </w:r>
    <w:r w:rsidRPr="00EC54F0">
      <w:rPr>
        <w:b/>
        <w:sz w:val="18"/>
      </w:rPr>
      <w:instrText xml:space="preserve"> PAGE  \* MERGEFORMAT </w:instrText>
    </w:r>
    <w:r w:rsidRPr="00EC54F0">
      <w:rPr>
        <w:b/>
        <w:sz w:val="18"/>
      </w:rPr>
      <w:fldChar w:fldCharType="separate"/>
    </w:r>
    <w:r>
      <w:rPr>
        <w:b/>
        <w:noProof/>
        <w:sz w:val="18"/>
      </w:rPr>
      <w:t>15</w:t>
    </w:r>
    <w:r w:rsidRPr="00EC54F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8DAF" w14:textId="77777777" w:rsidR="006F643A" w:rsidRDefault="006F643A" w:rsidP="00AB537A">
      <w:pPr>
        <w:spacing w:line="240" w:lineRule="auto"/>
      </w:pPr>
      <w:r>
        <w:separator/>
      </w:r>
    </w:p>
  </w:footnote>
  <w:footnote w:type="continuationSeparator" w:id="0">
    <w:p w14:paraId="5C092299" w14:textId="77777777" w:rsidR="006F643A" w:rsidRDefault="006F643A" w:rsidP="00AB537A">
      <w:pPr>
        <w:spacing w:line="240" w:lineRule="auto"/>
      </w:pPr>
      <w:r>
        <w:continuationSeparator/>
      </w:r>
    </w:p>
  </w:footnote>
  <w:footnote w:id="1">
    <w:p w14:paraId="5E14380D" w14:textId="60227EBE" w:rsidR="002B61D2" w:rsidRPr="002B61D2" w:rsidRDefault="002B61D2">
      <w:pPr>
        <w:pStyle w:val="FootnoteText"/>
      </w:pPr>
      <w:r>
        <w:rPr>
          <w:rStyle w:val="FootnoteReference"/>
        </w:rPr>
        <w:tab/>
      </w:r>
      <w:r w:rsidRPr="002B61D2">
        <w:rPr>
          <w:rStyle w:val="FootnoteReference"/>
          <w:sz w:val="20"/>
          <w:vertAlign w:val="baseline"/>
        </w:rPr>
        <w:t>*</w:t>
      </w:r>
      <w:r>
        <w:rPr>
          <w:rStyle w:val="FootnoteReference"/>
          <w:sz w:val="20"/>
          <w:vertAlign w:val="baseline"/>
        </w:rPr>
        <w:tab/>
      </w:r>
      <w:r>
        <w:t>The summary of the report is being circulated in all official languages. The report itself, which is annexed to the summary, is being circulated in the language</w:t>
      </w:r>
      <w:r w:rsidRPr="00BA277D">
        <w:rPr>
          <w:color w:val="FF0000"/>
        </w:rPr>
        <w:t xml:space="preserve"> </w:t>
      </w:r>
      <w:r>
        <w:t>of submission</w:t>
      </w:r>
      <w:r w:rsidRPr="00BA277D">
        <w:rPr>
          <w:color w:val="FF0000"/>
        </w:rPr>
        <w:t xml:space="preserve"> </w:t>
      </w:r>
      <w:r>
        <w:t>only.</w:t>
      </w:r>
    </w:p>
  </w:footnote>
  <w:footnote w:id="2">
    <w:p w14:paraId="4E2D72B7" w14:textId="4F7F9ADC" w:rsidR="004C31F8" w:rsidRPr="004C31F8" w:rsidRDefault="004C31F8">
      <w:pPr>
        <w:pStyle w:val="FootnoteText"/>
      </w:pPr>
      <w:r>
        <w:rPr>
          <w:rStyle w:val="FootnoteReference"/>
        </w:rPr>
        <w:tab/>
      </w:r>
      <w:r w:rsidRPr="004C31F8">
        <w:rPr>
          <w:rStyle w:val="FootnoteReference"/>
          <w:sz w:val="20"/>
          <w:vertAlign w:val="baseline"/>
        </w:rPr>
        <w:t>**</w:t>
      </w:r>
      <w:r>
        <w:rPr>
          <w:rStyle w:val="FootnoteReference"/>
          <w:sz w:val="20"/>
          <w:vertAlign w:val="baseline"/>
        </w:rPr>
        <w:tab/>
      </w:r>
      <w:r w:rsidR="00BB1561" w:rsidRPr="00BB1561">
        <w:rPr>
          <w:szCs w:val="18"/>
          <w:lang w:eastAsia="en-GB"/>
        </w:rPr>
        <w:t xml:space="preserve">The present report was submitted after the deadline </w:t>
      </w:r>
      <w:proofErr w:type="gramStart"/>
      <w:r w:rsidR="00BB1561" w:rsidRPr="00BB1561">
        <w:rPr>
          <w:szCs w:val="18"/>
          <w:lang w:eastAsia="en-GB"/>
        </w:rPr>
        <w:t>in order to</w:t>
      </w:r>
      <w:proofErr w:type="gramEnd"/>
      <w:r w:rsidR="00BB1561" w:rsidRPr="00BB1561">
        <w:rPr>
          <w:szCs w:val="18"/>
          <w:lang w:eastAsia="en-GB"/>
        </w:rPr>
        <w:t xml:space="preserve"> reflect the most recent information.</w:t>
      </w:r>
    </w:p>
  </w:footnote>
  <w:footnote w:id="3">
    <w:p w14:paraId="5D4DC430" w14:textId="61474F0B" w:rsidR="00DD0FF5" w:rsidRPr="003F0DFB" w:rsidRDefault="005B61CF" w:rsidP="005B61CF">
      <w:pPr>
        <w:pStyle w:val="FootnoteText"/>
        <w:kinsoku w:val="0"/>
        <w:overflowPunct w:val="0"/>
        <w:autoSpaceDE w:val="0"/>
        <w:autoSpaceDN w:val="0"/>
        <w:adjustRightInd w:val="0"/>
        <w:snapToGrid w:val="0"/>
        <w:spacing w:line="240" w:lineRule="auto"/>
        <w:jc w:val="both"/>
        <w:rPr>
          <w:szCs w:val="18"/>
        </w:rPr>
      </w:pPr>
      <w:r>
        <w:rPr>
          <w:szCs w:val="18"/>
        </w:rPr>
        <w:tab/>
      </w:r>
      <w:r w:rsidR="00DD0FF5" w:rsidRPr="003F0DFB">
        <w:rPr>
          <w:rStyle w:val="FootnoteReference"/>
          <w:szCs w:val="18"/>
        </w:rPr>
        <w:footnoteRef/>
      </w:r>
      <w:r>
        <w:rPr>
          <w:szCs w:val="18"/>
        </w:rPr>
        <w:t xml:space="preserve"> </w:t>
      </w:r>
      <w:r>
        <w:rPr>
          <w:szCs w:val="18"/>
        </w:rPr>
        <w:tab/>
      </w:r>
      <w:r w:rsidR="00DD0FF5" w:rsidRPr="005B61CF">
        <w:rPr>
          <w:rFonts w:eastAsiaTheme="minorHAnsi"/>
        </w:rPr>
        <w:t>General</w:t>
      </w:r>
      <w:r w:rsidR="00DD0FF5" w:rsidRPr="003F0DFB">
        <w:rPr>
          <w:szCs w:val="18"/>
        </w:rPr>
        <w:t xml:space="preserve"> Assembly resolution 48/104.</w:t>
      </w:r>
    </w:p>
  </w:footnote>
  <w:footnote w:id="4">
    <w:p w14:paraId="643D93BE" w14:textId="4E9AB1F4" w:rsidR="00CF69A7" w:rsidRPr="003F0DFB" w:rsidRDefault="005B61CF" w:rsidP="005B61CF">
      <w:pPr>
        <w:pStyle w:val="FootnoteText"/>
        <w:kinsoku w:val="0"/>
        <w:overflowPunct w:val="0"/>
        <w:autoSpaceDE w:val="0"/>
        <w:autoSpaceDN w:val="0"/>
        <w:adjustRightInd w:val="0"/>
        <w:snapToGrid w:val="0"/>
        <w:spacing w:line="240" w:lineRule="auto"/>
        <w:jc w:val="both"/>
        <w:rPr>
          <w:szCs w:val="18"/>
        </w:rPr>
      </w:pPr>
      <w:r>
        <w:rPr>
          <w:szCs w:val="18"/>
        </w:rPr>
        <w:tab/>
      </w:r>
      <w:r w:rsidR="00CF69A7" w:rsidRPr="003F0DFB">
        <w:rPr>
          <w:rStyle w:val="FootnoteReference"/>
          <w:szCs w:val="18"/>
        </w:rPr>
        <w:footnoteRef/>
      </w:r>
      <w:r w:rsidR="00CF69A7" w:rsidRPr="003F0DFB">
        <w:rPr>
          <w:szCs w:val="18"/>
        </w:rPr>
        <w:t xml:space="preserve"> </w:t>
      </w:r>
      <w:r>
        <w:rPr>
          <w:szCs w:val="18"/>
        </w:rPr>
        <w:tab/>
      </w:r>
      <w:r w:rsidR="007D7A1E" w:rsidRPr="003F0DFB">
        <w:rPr>
          <w:szCs w:val="18"/>
        </w:rPr>
        <w:t xml:space="preserve">2022 </w:t>
      </w:r>
      <w:r w:rsidR="00E15D61">
        <w:rPr>
          <w:rFonts w:eastAsiaTheme="minorHAnsi"/>
        </w:rPr>
        <w:t>S</w:t>
      </w:r>
      <w:r w:rsidR="00CF69A7" w:rsidRPr="005B61CF">
        <w:rPr>
          <w:rFonts w:eastAsiaTheme="minorHAnsi"/>
        </w:rPr>
        <w:t>urvey</w:t>
      </w:r>
      <w:r w:rsidR="00CF69A7" w:rsidRPr="003F0DFB">
        <w:rPr>
          <w:szCs w:val="18"/>
        </w:rPr>
        <w:t xml:space="preserve"> Hacettepe University Institute of Population Studies and the General Directorate of Women’s Status</w:t>
      </w:r>
      <w:r w:rsidR="007D7A1E" w:rsidRPr="003F0DFB">
        <w:rPr>
          <w:szCs w:val="18"/>
        </w:rPr>
        <w:t>:  https://fs.hacettepe.edu.tr/hips/dosyalar/Ara%C5%9Ft%C4%B1rmalar%20-%20raporlar/Aile%20i%C3%A7i%20%C5%9Eiddet%20Ara%C5%9Ft%C4%B1rmalar%C4%B1/2008-TDVAW_Summary_Report.pdf</w:t>
      </w:r>
      <w:r w:rsidR="002B61D2">
        <w:rPr>
          <w:szCs w:val="18"/>
        </w:rPr>
        <w:t>.</w:t>
      </w:r>
    </w:p>
  </w:footnote>
  <w:footnote w:id="5">
    <w:p w14:paraId="12ADFA01" w14:textId="1D73BF9E" w:rsidR="00AC370B" w:rsidRPr="003F0DFB" w:rsidRDefault="005B61CF" w:rsidP="005B61CF">
      <w:pPr>
        <w:pStyle w:val="FootnoteText"/>
        <w:kinsoku w:val="0"/>
        <w:overflowPunct w:val="0"/>
        <w:autoSpaceDE w:val="0"/>
        <w:autoSpaceDN w:val="0"/>
        <w:adjustRightInd w:val="0"/>
        <w:snapToGrid w:val="0"/>
        <w:spacing w:line="240" w:lineRule="auto"/>
        <w:jc w:val="both"/>
        <w:rPr>
          <w:szCs w:val="18"/>
        </w:rPr>
      </w:pPr>
      <w:r>
        <w:rPr>
          <w:szCs w:val="18"/>
        </w:rPr>
        <w:tab/>
      </w:r>
      <w:r w:rsidR="00AC370B" w:rsidRPr="003F0DFB">
        <w:rPr>
          <w:rStyle w:val="FootnoteReference"/>
          <w:szCs w:val="18"/>
        </w:rPr>
        <w:footnoteRef/>
      </w:r>
      <w:r w:rsidR="00AC370B" w:rsidRPr="003F0DFB">
        <w:rPr>
          <w:szCs w:val="18"/>
        </w:rPr>
        <w:t xml:space="preserve"> </w:t>
      </w:r>
      <w:r>
        <w:rPr>
          <w:szCs w:val="18"/>
        </w:rPr>
        <w:tab/>
      </w:r>
      <w:r w:rsidR="00AC370B" w:rsidRPr="005B61CF">
        <w:rPr>
          <w:rFonts w:eastAsiaTheme="minorHAnsi"/>
        </w:rPr>
        <w:t>Human</w:t>
      </w:r>
      <w:r w:rsidR="00AC370B" w:rsidRPr="003F0DFB">
        <w:rPr>
          <w:szCs w:val="18"/>
        </w:rPr>
        <w:t xml:space="preserve"> Rights Association 2020 </w:t>
      </w:r>
      <w:r w:rsidR="00E15D61">
        <w:rPr>
          <w:szCs w:val="18"/>
        </w:rPr>
        <w:t>R</w:t>
      </w:r>
      <w:r w:rsidR="00AC370B" w:rsidRPr="003F0DFB">
        <w:rPr>
          <w:szCs w:val="18"/>
        </w:rPr>
        <w:t>eport - 178 incidents of suspicious deaths</w:t>
      </w:r>
      <w:r w:rsidR="00E15D61">
        <w:rPr>
          <w:szCs w:val="18"/>
        </w:rPr>
        <w:t>;</w:t>
      </w:r>
      <w:r w:rsidR="00AC370B" w:rsidRPr="003F0DFB">
        <w:rPr>
          <w:szCs w:val="18"/>
        </w:rPr>
        <w:t xml:space="preserve"> 41 suspicious suicides or attempted suicides</w:t>
      </w:r>
      <w:r w:rsidR="00C22292">
        <w:rPr>
          <w:szCs w:val="18"/>
        </w:rPr>
        <w:t>.</w:t>
      </w:r>
    </w:p>
  </w:footnote>
  <w:footnote w:id="6">
    <w:p w14:paraId="7BE5219A" w14:textId="3C02239C" w:rsidR="00AD7976" w:rsidRDefault="002B61D2" w:rsidP="002B61D2">
      <w:pPr>
        <w:pStyle w:val="FootnoteText"/>
        <w:rPr>
          <w:rFonts w:eastAsiaTheme="minorHAnsi"/>
        </w:rPr>
      </w:pPr>
      <w:r>
        <w:tab/>
      </w:r>
      <w:r w:rsidR="00AD7976">
        <w:rPr>
          <w:rStyle w:val="FootnoteReference"/>
        </w:rPr>
        <w:footnoteRef/>
      </w:r>
      <w:r>
        <w:tab/>
      </w:r>
      <w:r w:rsidR="00AD7976">
        <w:rPr>
          <w:rFonts w:eastAsiaTheme="minorHAnsi"/>
        </w:rPr>
        <w:t>The General Assembly of the Supreme Court of Appeals, Decision no. 2010/111, File no.</w:t>
      </w:r>
    </w:p>
    <w:p w14:paraId="270CF79F" w14:textId="56FF4076" w:rsidR="00AD7976" w:rsidRDefault="00AD7976" w:rsidP="002B61D2">
      <w:pPr>
        <w:pStyle w:val="FootnoteText"/>
      </w:pPr>
      <w:r>
        <w:rPr>
          <w:rFonts w:eastAsiaTheme="minorHAnsi"/>
        </w:rPr>
        <w:tab/>
      </w:r>
      <w:r w:rsidR="002B61D2">
        <w:rPr>
          <w:rFonts w:eastAsiaTheme="minorHAnsi"/>
        </w:rPr>
        <w:tab/>
      </w:r>
      <w:r>
        <w:rPr>
          <w:rFonts w:eastAsiaTheme="minorHAnsi"/>
        </w:rPr>
        <w:t>2009/1–56</w:t>
      </w:r>
    </w:p>
  </w:footnote>
  <w:footnote w:id="7">
    <w:p w14:paraId="5116A327" w14:textId="1958C929" w:rsidR="00A522DE" w:rsidRPr="003F0DFB" w:rsidRDefault="0028582B" w:rsidP="0028582B">
      <w:pPr>
        <w:pStyle w:val="FootnoteText"/>
        <w:kinsoku w:val="0"/>
        <w:overflowPunct w:val="0"/>
        <w:autoSpaceDE w:val="0"/>
        <w:autoSpaceDN w:val="0"/>
        <w:adjustRightInd w:val="0"/>
        <w:snapToGrid w:val="0"/>
        <w:spacing w:line="240" w:lineRule="auto"/>
        <w:jc w:val="both"/>
        <w:rPr>
          <w:rFonts w:eastAsiaTheme="minorHAnsi"/>
          <w:szCs w:val="18"/>
        </w:rPr>
      </w:pPr>
      <w:r>
        <w:rPr>
          <w:szCs w:val="18"/>
        </w:rPr>
        <w:tab/>
      </w:r>
      <w:r w:rsidR="00A522DE" w:rsidRPr="003F0DFB">
        <w:rPr>
          <w:rStyle w:val="FootnoteReference"/>
          <w:szCs w:val="18"/>
        </w:rPr>
        <w:footnoteRef/>
      </w:r>
      <w:r w:rsidR="00A522DE" w:rsidRPr="003F0DFB">
        <w:rPr>
          <w:szCs w:val="18"/>
        </w:rPr>
        <w:t xml:space="preserve"> </w:t>
      </w:r>
      <w:r>
        <w:rPr>
          <w:szCs w:val="18"/>
        </w:rPr>
        <w:tab/>
      </w:r>
      <w:r w:rsidR="00A522DE" w:rsidRPr="005B61CF">
        <w:rPr>
          <w:rFonts w:eastAsiaTheme="minorHAnsi"/>
        </w:rPr>
        <w:t>Security</w:t>
      </w:r>
      <w:r w:rsidR="00A522DE" w:rsidRPr="003F0DFB">
        <w:rPr>
          <w:rFonts w:eastAsiaTheme="minorHAnsi"/>
          <w:szCs w:val="18"/>
        </w:rPr>
        <w:t xml:space="preserve"> </w:t>
      </w:r>
      <w:r w:rsidR="00A522DE" w:rsidRPr="005B61CF">
        <w:rPr>
          <w:szCs w:val="18"/>
        </w:rPr>
        <w:t>General</w:t>
      </w:r>
      <w:r w:rsidR="00A522DE" w:rsidRPr="003F0DFB">
        <w:rPr>
          <w:rFonts w:eastAsiaTheme="minorHAnsi"/>
          <w:szCs w:val="18"/>
        </w:rPr>
        <w:t xml:space="preserve"> Directorate and Gendarmerie General Command common crimes department</w:t>
      </w:r>
      <w:r>
        <w:rPr>
          <w:rFonts w:eastAsiaTheme="minorHAnsi"/>
          <w:szCs w:val="18"/>
        </w:rPr>
        <w:t xml:space="preserve"> </w:t>
      </w:r>
      <w:r w:rsidR="00A522DE" w:rsidRPr="003F0DFB">
        <w:rPr>
          <w:rFonts w:eastAsiaTheme="minorHAnsi"/>
          <w:szCs w:val="18"/>
        </w:rPr>
        <w:t xml:space="preserve">data </w:t>
      </w:r>
      <w:r w:rsidR="00A522DE" w:rsidRPr="005B61CF">
        <w:rPr>
          <w:rFonts w:eastAsiaTheme="minorHAnsi"/>
        </w:rPr>
        <w:t>reported</w:t>
      </w:r>
      <w:r w:rsidR="00A522DE" w:rsidRPr="003F0DFB">
        <w:rPr>
          <w:rFonts w:eastAsiaTheme="minorHAnsi"/>
          <w:szCs w:val="18"/>
        </w:rPr>
        <w:t xml:space="preserve"> to the Parliamentary Enquiry Commission Investigating all aspects of the reasons for violence against wom</w:t>
      </w:r>
      <w:r w:rsidR="002B61D2">
        <w:rPr>
          <w:rFonts w:eastAsiaTheme="minorHAnsi"/>
          <w:szCs w:val="18"/>
        </w:rPr>
        <w:t>en.</w:t>
      </w:r>
    </w:p>
    <w:p w14:paraId="361E7ADD" w14:textId="019F15FF" w:rsidR="00A522DE" w:rsidRPr="0028582B" w:rsidRDefault="0028582B" w:rsidP="0028582B">
      <w:pPr>
        <w:pStyle w:val="FootnoteText"/>
        <w:kinsoku w:val="0"/>
        <w:overflowPunct w:val="0"/>
        <w:autoSpaceDE w:val="0"/>
        <w:autoSpaceDN w:val="0"/>
        <w:adjustRightInd w:val="0"/>
        <w:snapToGrid w:val="0"/>
        <w:spacing w:line="240" w:lineRule="auto"/>
        <w:jc w:val="both"/>
        <w:rPr>
          <w:rFonts w:eastAsiaTheme="minorHAnsi"/>
          <w:szCs w:val="18"/>
        </w:rPr>
      </w:pPr>
      <w:r>
        <w:rPr>
          <w:rFonts w:eastAsiaTheme="minorHAnsi"/>
          <w:szCs w:val="18"/>
        </w:rPr>
        <w:tab/>
      </w:r>
      <w:r w:rsidR="00E15D61">
        <w:rPr>
          <w:rFonts w:eastAsiaTheme="minorHAnsi"/>
          <w:szCs w:val="18"/>
        </w:rPr>
        <w:tab/>
      </w:r>
      <w:r w:rsidR="00A522DE" w:rsidRPr="003F0DFB">
        <w:rPr>
          <w:rFonts w:eastAsiaTheme="minorHAnsi"/>
          <w:szCs w:val="18"/>
        </w:rPr>
        <w:t xml:space="preserve">March 6, 2022: see </w:t>
      </w:r>
      <w:hyperlink r:id="rId1" w:history="1">
        <w:r w:rsidRPr="00060612">
          <w:rPr>
            <w:rStyle w:val="Hyperlink"/>
            <w:rFonts w:eastAsiaTheme="minorHAnsi"/>
            <w:szCs w:val="18"/>
          </w:rPr>
          <w:t>https://www5.tbmm.gov.tr//sirasayi/donem27/yil01/ss315.pdf</w:t>
        </w:r>
      </w:hyperlink>
      <w:r>
        <w:rPr>
          <w:rFonts w:eastAsiaTheme="minorHAnsi"/>
          <w:szCs w:val="18"/>
        </w:rPr>
        <w:t xml:space="preserve"> </w:t>
      </w:r>
      <w:r w:rsidR="00A522DE" w:rsidRPr="003F0DFB">
        <w:rPr>
          <w:rFonts w:eastAsiaTheme="minorHAnsi"/>
          <w:szCs w:val="18"/>
        </w:rPr>
        <w:t>p.426.</w:t>
      </w:r>
    </w:p>
  </w:footnote>
  <w:footnote w:id="8">
    <w:p w14:paraId="2EF9D998" w14:textId="45E65390" w:rsidR="00CF69A7" w:rsidRPr="003F0DFB" w:rsidRDefault="00F73335" w:rsidP="00F73335">
      <w:pPr>
        <w:pStyle w:val="FootnoteText"/>
        <w:kinsoku w:val="0"/>
        <w:overflowPunct w:val="0"/>
        <w:autoSpaceDE w:val="0"/>
        <w:autoSpaceDN w:val="0"/>
        <w:adjustRightInd w:val="0"/>
        <w:snapToGrid w:val="0"/>
        <w:spacing w:line="240" w:lineRule="auto"/>
        <w:jc w:val="both"/>
        <w:rPr>
          <w:szCs w:val="18"/>
        </w:rPr>
      </w:pPr>
      <w:r>
        <w:rPr>
          <w:szCs w:val="18"/>
        </w:rPr>
        <w:tab/>
      </w:r>
      <w:r w:rsidR="00CF69A7" w:rsidRPr="003F0DFB">
        <w:rPr>
          <w:rStyle w:val="FootnoteReference"/>
          <w:szCs w:val="18"/>
        </w:rPr>
        <w:footnoteRef/>
      </w:r>
      <w:r w:rsidR="00CF69A7" w:rsidRPr="003F0DFB">
        <w:rPr>
          <w:szCs w:val="18"/>
        </w:rPr>
        <w:t xml:space="preserve"> </w:t>
      </w:r>
      <w:r>
        <w:rPr>
          <w:szCs w:val="18"/>
        </w:rPr>
        <w:tab/>
      </w:r>
      <w:r w:rsidR="00CF69A7" w:rsidRPr="003F0DFB">
        <w:rPr>
          <w:szCs w:val="18"/>
        </w:rPr>
        <w:t xml:space="preserve">Interior Ministry website, Combatting Violence against Women action plan circular sent to 81 provincial governorates, </w:t>
      </w:r>
      <w:r w:rsidR="00E15D61">
        <w:rPr>
          <w:szCs w:val="18"/>
        </w:rPr>
        <w:t xml:space="preserve">1 </w:t>
      </w:r>
      <w:r w:rsidR="00CF69A7" w:rsidRPr="003F0DFB">
        <w:rPr>
          <w:szCs w:val="18"/>
        </w:rPr>
        <w:t>April</w:t>
      </w:r>
      <w:r w:rsidR="00BB1561">
        <w:rPr>
          <w:szCs w:val="18"/>
        </w:rPr>
        <w:t xml:space="preserve"> </w:t>
      </w:r>
      <w:r w:rsidR="00CF69A7" w:rsidRPr="003F0DFB">
        <w:rPr>
          <w:szCs w:val="18"/>
        </w:rPr>
        <w:t>2022</w:t>
      </w:r>
      <w:r w:rsidR="00C22292">
        <w:rPr>
          <w:szCs w:val="18"/>
        </w:rPr>
        <w:t>.</w:t>
      </w:r>
    </w:p>
  </w:footnote>
  <w:footnote w:id="9">
    <w:p w14:paraId="7AA3C488" w14:textId="7D660EE7" w:rsidR="00CF69A7" w:rsidRPr="003F0DFB" w:rsidRDefault="00F73335" w:rsidP="00761E2B">
      <w:pPr>
        <w:pStyle w:val="FootnoteText"/>
        <w:kinsoku w:val="0"/>
        <w:overflowPunct w:val="0"/>
        <w:autoSpaceDE w:val="0"/>
        <w:autoSpaceDN w:val="0"/>
        <w:adjustRightInd w:val="0"/>
        <w:snapToGrid w:val="0"/>
        <w:spacing w:line="240" w:lineRule="auto"/>
        <w:rPr>
          <w:szCs w:val="18"/>
        </w:rPr>
      </w:pPr>
      <w:r>
        <w:rPr>
          <w:szCs w:val="18"/>
        </w:rPr>
        <w:tab/>
      </w:r>
      <w:r w:rsidR="00CF69A7" w:rsidRPr="003F0DFB">
        <w:rPr>
          <w:rStyle w:val="FootnoteReference"/>
          <w:szCs w:val="18"/>
        </w:rPr>
        <w:footnoteRef/>
      </w:r>
      <w:r w:rsidR="00CF69A7" w:rsidRPr="003F0DFB">
        <w:rPr>
          <w:szCs w:val="18"/>
        </w:rPr>
        <w:t xml:space="preserve"> </w:t>
      </w:r>
      <w:r>
        <w:rPr>
          <w:szCs w:val="18"/>
        </w:rPr>
        <w:tab/>
      </w:r>
      <w:r w:rsidR="00CF69A7" w:rsidRPr="003F0DFB">
        <w:rPr>
          <w:szCs w:val="18"/>
        </w:rPr>
        <w:t>The General Directorate on the Status of Women (2014), “The Research on Domestic Violence against Women in Turkey” http://kadininstatusu.aile.gov.tr/data/542950d5369dc32358ee2bba/Ana%20Rapor.pdf (Accessed on 05.09.2015).</w:t>
      </w:r>
    </w:p>
  </w:footnote>
  <w:footnote w:id="10">
    <w:p w14:paraId="6EB1CD23" w14:textId="3536BBA5" w:rsidR="0064563B" w:rsidRDefault="0064563B">
      <w:pPr>
        <w:pStyle w:val="FootnoteText"/>
      </w:pPr>
      <w:r>
        <w:tab/>
      </w:r>
      <w:r>
        <w:tab/>
      </w:r>
      <w:r>
        <w:rPr>
          <w:rStyle w:val="FootnoteReference"/>
        </w:rPr>
        <w:footnoteRef/>
      </w:r>
      <w:r>
        <w:t xml:space="preserve"> </w:t>
      </w:r>
      <w:r w:rsidRPr="0064563B">
        <w:t>https://www2.unwomen.org/-/media/field%20office%20eca/attachments/publications/2020/07/wpp_brochure_eng-min.pdf?la=en&amp;vs=3539</w:t>
      </w:r>
      <w:r w:rsidR="002B61D2">
        <w:t>.</w:t>
      </w:r>
    </w:p>
  </w:footnote>
  <w:footnote w:id="11">
    <w:p w14:paraId="77B77CCE" w14:textId="4F56A296" w:rsidR="00CF69A7" w:rsidRPr="003F0DFB" w:rsidRDefault="00F73335" w:rsidP="00F73335">
      <w:pPr>
        <w:pStyle w:val="FootnoteText"/>
        <w:kinsoku w:val="0"/>
        <w:overflowPunct w:val="0"/>
        <w:autoSpaceDE w:val="0"/>
        <w:autoSpaceDN w:val="0"/>
        <w:adjustRightInd w:val="0"/>
        <w:snapToGrid w:val="0"/>
        <w:spacing w:line="240" w:lineRule="auto"/>
        <w:jc w:val="both"/>
        <w:rPr>
          <w:szCs w:val="18"/>
          <w:lang w:val="en-US"/>
        </w:rPr>
      </w:pPr>
      <w:r>
        <w:rPr>
          <w:szCs w:val="18"/>
        </w:rPr>
        <w:tab/>
      </w:r>
      <w:r w:rsidR="00CF69A7" w:rsidRPr="003F0DFB">
        <w:rPr>
          <w:rStyle w:val="FootnoteReference"/>
          <w:szCs w:val="18"/>
        </w:rPr>
        <w:footnoteRef/>
      </w:r>
      <w:r w:rsidR="00CF69A7" w:rsidRPr="003F0DFB">
        <w:rPr>
          <w:szCs w:val="18"/>
        </w:rPr>
        <w:t xml:space="preserve"> </w:t>
      </w:r>
      <w:r>
        <w:rPr>
          <w:szCs w:val="18"/>
        </w:rPr>
        <w:tab/>
      </w:r>
      <w:r w:rsidR="00CF69A7" w:rsidRPr="003F0DFB">
        <w:rPr>
          <w:szCs w:val="18"/>
        </w:rPr>
        <w:t xml:space="preserve">Hurriyet </w:t>
      </w:r>
      <w:r w:rsidR="00CF69A7" w:rsidRPr="00F73335">
        <w:rPr>
          <w:rFonts w:eastAsiaTheme="minorHAnsi"/>
        </w:rPr>
        <w:t>Daily</w:t>
      </w:r>
      <w:r w:rsidR="00CF69A7" w:rsidRPr="003F0DFB">
        <w:rPr>
          <w:szCs w:val="18"/>
        </w:rPr>
        <w:t xml:space="preserve"> News, Top Court Ruling on Religious Marriages Sparks Debate in Turkey, May 201</w:t>
      </w:r>
      <w:r w:rsidR="00E15D61">
        <w:rPr>
          <w:szCs w:val="18"/>
        </w:rPr>
        <w:t>1</w:t>
      </w:r>
    </w:p>
  </w:footnote>
  <w:footnote w:id="12">
    <w:p w14:paraId="553BDE26" w14:textId="200ED801" w:rsidR="00CF69A7" w:rsidRPr="003F0DFB" w:rsidRDefault="00F73335" w:rsidP="00F73335">
      <w:pPr>
        <w:pStyle w:val="FootnoteText"/>
        <w:kinsoku w:val="0"/>
        <w:overflowPunct w:val="0"/>
        <w:autoSpaceDE w:val="0"/>
        <w:autoSpaceDN w:val="0"/>
        <w:adjustRightInd w:val="0"/>
        <w:snapToGrid w:val="0"/>
        <w:spacing w:line="240" w:lineRule="auto"/>
        <w:jc w:val="both"/>
        <w:rPr>
          <w:szCs w:val="18"/>
        </w:rPr>
      </w:pPr>
      <w:r>
        <w:rPr>
          <w:szCs w:val="18"/>
        </w:rPr>
        <w:tab/>
      </w:r>
      <w:r w:rsidR="00CF69A7" w:rsidRPr="003F0DFB">
        <w:rPr>
          <w:rStyle w:val="FootnoteReference"/>
          <w:szCs w:val="18"/>
        </w:rPr>
        <w:footnoteRef/>
      </w:r>
      <w:r w:rsidR="00CF69A7" w:rsidRPr="003F0DFB">
        <w:rPr>
          <w:szCs w:val="18"/>
        </w:rPr>
        <w:t xml:space="preserve"> </w:t>
      </w:r>
      <w:r>
        <w:rPr>
          <w:szCs w:val="18"/>
        </w:rPr>
        <w:tab/>
      </w:r>
      <w:r w:rsidR="00CF69A7" w:rsidRPr="00F73335">
        <w:rPr>
          <w:rFonts w:eastAsiaTheme="minorHAnsi"/>
        </w:rPr>
        <w:t>Family</w:t>
      </w:r>
      <w:r w:rsidR="00CF69A7" w:rsidRPr="003F0DFB">
        <w:rPr>
          <w:szCs w:val="18"/>
        </w:rPr>
        <w:t xml:space="preserve"> and </w:t>
      </w:r>
      <w:r w:rsidR="00CF69A7" w:rsidRPr="00F73335">
        <w:rPr>
          <w:rFonts w:eastAsiaTheme="minorHAnsi"/>
        </w:rPr>
        <w:t>Social</w:t>
      </w:r>
      <w:r w:rsidR="00CF69A7" w:rsidRPr="003F0DFB">
        <w:rPr>
          <w:szCs w:val="18"/>
        </w:rPr>
        <w:t xml:space="preserve"> Policies Ministry and Hacettepe University, ‘Research on Domestic Violence against Women in Turkey, 2015, http://www.openaccess.hacettepe.edu.tr:8080/xmlui/handle/11655/23338 page 14.</w:t>
      </w:r>
    </w:p>
  </w:footnote>
  <w:footnote w:id="13">
    <w:p w14:paraId="21BF7DCD" w14:textId="0FC980D6" w:rsidR="00C03DE4" w:rsidRPr="003F0DFB" w:rsidRDefault="00F73335" w:rsidP="00F73335">
      <w:pPr>
        <w:pStyle w:val="FootnoteText"/>
        <w:kinsoku w:val="0"/>
        <w:overflowPunct w:val="0"/>
        <w:autoSpaceDE w:val="0"/>
        <w:autoSpaceDN w:val="0"/>
        <w:adjustRightInd w:val="0"/>
        <w:snapToGrid w:val="0"/>
        <w:spacing w:line="240" w:lineRule="auto"/>
        <w:jc w:val="both"/>
      </w:pPr>
      <w:r>
        <w:tab/>
      </w:r>
      <w:r w:rsidR="00C03DE4" w:rsidRPr="003F0DFB">
        <w:rPr>
          <w:rStyle w:val="FootnoteReference"/>
        </w:rPr>
        <w:footnoteRef/>
      </w:r>
      <w:r w:rsidR="00C03DE4" w:rsidRPr="003F0DFB">
        <w:t xml:space="preserve"> </w:t>
      </w:r>
      <w:r>
        <w:tab/>
      </w:r>
      <w:r w:rsidR="00C03DE4" w:rsidRPr="003F0DFB">
        <w:t xml:space="preserve">2018 </w:t>
      </w:r>
      <w:r w:rsidR="00C03DE4" w:rsidRPr="00F73335">
        <w:rPr>
          <w:rFonts w:eastAsiaTheme="minorHAnsi"/>
        </w:rPr>
        <w:t>Turkish</w:t>
      </w:r>
      <w:r w:rsidR="00C03DE4" w:rsidRPr="003F0DFB">
        <w:t xml:space="preserve"> Demographic and Health Survey on the prevalence of child, early and forced marriage among Turkey’s Syrian migrant population</w:t>
      </w:r>
      <w:r w:rsidR="002B61D2">
        <w:t>.</w:t>
      </w:r>
    </w:p>
  </w:footnote>
  <w:footnote w:id="14">
    <w:p w14:paraId="117D1B8D" w14:textId="6488B106" w:rsidR="00CF69A7" w:rsidRPr="003F0DFB" w:rsidRDefault="005332EA" w:rsidP="005332EA">
      <w:pPr>
        <w:pStyle w:val="FootnoteText"/>
        <w:kinsoku w:val="0"/>
        <w:overflowPunct w:val="0"/>
        <w:autoSpaceDE w:val="0"/>
        <w:autoSpaceDN w:val="0"/>
        <w:adjustRightInd w:val="0"/>
        <w:snapToGrid w:val="0"/>
        <w:spacing w:line="240" w:lineRule="auto"/>
        <w:jc w:val="both"/>
        <w:rPr>
          <w:szCs w:val="18"/>
        </w:rPr>
      </w:pPr>
      <w:r>
        <w:rPr>
          <w:szCs w:val="18"/>
        </w:rPr>
        <w:tab/>
      </w:r>
      <w:r w:rsidR="00CF69A7" w:rsidRPr="003F0DFB">
        <w:rPr>
          <w:rStyle w:val="FootnoteReference"/>
          <w:szCs w:val="18"/>
        </w:rPr>
        <w:footnoteRef/>
      </w:r>
      <w:r w:rsidR="00CF69A7" w:rsidRPr="003F0DFB">
        <w:rPr>
          <w:szCs w:val="18"/>
        </w:rPr>
        <w:t xml:space="preserve"> </w:t>
      </w:r>
      <w:r>
        <w:rPr>
          <w:szCs w:val="18"/>
        </w:rPr>
        <w:tab/>
      </w:r>
      <w:r w:rsidR="00CF69A7" w:rsidRPr="009B0B60">
        <w:rPr>
          <w:bCs/>
          <w:sz w:val="16"/>
          <w:szCs w:val="16"/>
        </w:rPr>
        <w:t>CEDAW/C/TUR/CO/8</w:t>
      </w:r>
      <w:r w:rsidR="002B61D2">
        <w:rPr>
          <w:bCs/>
          <w:sz w:val="16"/>
          <w:szCs w:val="16"/>
        </w:rPr>
        <w:t>.</w:t>
      </w:r>
    </w:p>
  </w:footnote>
  <w:footnote w:id="15">
    <w:p w14:paraId="2FBDEAC9" w14:textId="672115B9" w:rsidR="00FE42AC" w:rsidRPr="003F0DFB" w:rsidRDefault="005332EA" w:rsidP="005332EA">
      <w:pPr>
        <w:pStyle w:val="FootnoteText"/>
        <w:kinsoku w:val="0"/>
        <w:overflowPunct w:val="0"/>
        <w:autoSpaceDE w:val="0"/>
        <w:autoSpaceDN w:val="0"/>
        <w:adjustRightInd w:val="0"/>
        <w:snapToGrid w:val="0"/>
        <w:spacing w:line="240" w:lineRule="auto"/>
        <w:jc w:val="both"/>
        <w:rPr>
          <w:szCs w:val="18"/>
        </w:rPr>
      </w:pPr>
      <w:r>
        <w:rPr>
          <w:szCs w:val="18"/>
        </w:rPr>
        <w:tab/>
      </w:r>
      <w:r w:rsidR="00FE42AC" w:rsidRPr="003F0DFB">
        <w:rPr>
          <w:rStyle w:val="FootnoteReference"/>
          <w:szCs w:val="18"/>
        </w:rPr>
        <w:footnoteRef/>
      </w:r>
      <w:r w:rsidR="00FE42AC" w:rsidRPr="003F0DFB">
        <w:rPr>
          <w:szCs w:val="18"/>
        </w:rPr>
        <w:t xml:space="preserve"> </w:t>
      </w:r>
      <w:r>
        <w:rPr>
          <w:szCs w:val="18"/>
        </w:rPr>
        <w:tab/>
      </w:r>
      <w:r w:rsidR="00FE42AC" w:rsidRPr="003F0DFB">
        <w:rPr>
          <w:szCs w:val="18"/>
        </w:rPr>
        <w:t>Grevio, 2018 report - https://rm.coe.int/eng-grevio-report-turquie/16808e5283</w:t>
      </w:r>
      <w:r w:rsidR="002B61D2">
        <w:rPr>
          <w:szCs w:val="18"/>
        </w:rPr>
        <w:t>.</w:t>
      </w:r>
    </w:p>
  </w:footnote>
  <w:footnote w:id="16">
    <w:p w14:paraId="1FD23A1E" w14:textId="6EFC710F" w:rsidR="00FE42AC" w:rsidRPr="003F0DFB" w:rsidRDefault="005332EA" w:rsidP="005332EA">
      <w:pPr>
        <w:pStyle w:val="FootnoteText"/>
        <w:kinsoku w:val="0"/>
        <w:overflowPunct w:val="0"/>
        <w:autoSpaceDE w:val="0"/>
        <w:autoSpaceDN w:val="0"/>
        <w:adjustRightInd w:val="0"/>
        <w:snapToGrid w:val="0"/>
        <w:spacing w:line="240" w:lineRule="auto"/>
        <w:jc w:val="both"/>
        <w:rPr>
          <w:szCs w:val="18"/>
        </w:rPr>
      </w:pPr>
      <w:r>
        <w:rPr>
          <w:szCs w:val="18"/>
        </w:rPr>
        <w:tab/>
      </w:r>
      <w:r w:rsidR="00FE42AC" w:rsidRPr="003F0DFB">
        <w:rPr>
          <w:rStyle w:val="FootnoteReference"/>
          <w:szCs w:val="18"/>
        </w:rPr>
        <w:footnoteRef/>
      </w:r>
      <w:r w:rsidR="00FE42AC" w:rsidRPr="003F0DFB">
        <w:rPr>
          <w:szCs w:val="18"/>
        </w:rPr>
        <w:t xml:space="preserve"> </w:t>
      </w:r>
      <w:r>
        <w:rPr>
          <w:szCs w:val="18"/>
        </w:rPr>
        <w:tab/>
      </w:r>
      <w:r w:rsidR="00FE42AC" w:rsidRPr="003F0DFB">
        <w:rPr>
          <w:szCs w:val="18"/>
        </w:rPr>
        <w:t>https://</w:t>
      </w:r>
      <w:r w:rsidR="00FE42AC" w:rsidRPr="005332EA">
        <w:rPr>
          <w:rFonts w:eastAsiaTheme="minorHAnsi"/>
        </w:rPr>
        <w:t>www</w:t>
      </w:r>
      <w:r w:rsidR="00FE42AC" w:rsidRPr="003F0DFB">
        <w:rPr>
          <w:szCs w:val="18"/>
        </w:rPr>
        <w:t>.hrw.org/news/2022/11/17/why-eu-cant-count-turkey-protect-asylum-seekers</w:t>
      </w:r>
      <w:r w:rsidR="002B61D2">
        <w:rPr>
          <w:szCs w:val="18"/>
        </w:rPr>
        <w:t>.</w:t>
      </w:r>
    </w:p>
  </w:footnote>
  <w:footnote w:id="17">
    <w:p w14:paraId="4D2D6DA8" w14:textId="7B4B3A56" w:rsidR="000C0BB4" w:rsidRPr="003F0DFB" w:rsidRDefault="002B61D2" w:rsidP="004F7FAF">
      <w:pPr>
        <w:tabs>
          <w:tab w:val="right" w:pos="0"/>
        </w:tabs>
        <w:rPr>
          <w:sz w:val="18"/>
          <w:szCs w:val="18"/>
        </w:rPr>
      </w:pPr>
      <w:r>
        <w:rPr>
          <w:sz w:val="18"/>
          <w:szCs w:val="18"/>
        </w:rPr>
        <w:t>.</w:t>
      </w:r>
    </w:p>
  </w:footnote>
  <w:footnote w:id="18">
    <w:p w14:paraId="0B85FF6F" w14:textId="458ABF70" w:rsidR="0035774D" w:rsidRPr="003F0DFB" w:rsidRDefault="005332EA" w:rsidP="005332EA">
      <w:pPr>
        <w:pStyle w:val="FootnoteText"/>
        <w:kinsoku w:val="0"/>
        <w:overflowPunct w:val="0"/>
        <w:autoSpaceDE w:val="0"/>
        <w:autoSpaceDN w:val="0"/>
        <w:adjustRightInd w:val="0"/>
        <w:snapToGrid w:val="0"/>
        <w:spacing w:line="240" w:lineRule="auto"/>
        <w:jc w:val="both"/>
        <w:rPr>
          <w:szCs w:val="18"/>
        </w:rPr>
      </w:pPr>
      <w:r>
        <w:rPr>
          <w:szCs w:val="18"/>
        </w:rPr>
        <w:tab/>
      </w:r>
      <w:r w:rsidR="0035774D" w:rsidRPr="003F0DFB">
        <w:rPr>
          <w:rStyle w:val="FootnoteReference"/>
          <w:szCs w:val="18"/>
        </w:rPr>
        <w:footnoteRef/>
      </w:r>
      <w:r w:rsidR="0035774D" w:rsidRPr="003F0DFB">
        <w:rPr>
          <w:szCs w:val="18"/>
        </w:rPr>
        <w:t xml:space="preserve"> </w:t>
      </w:r>
      <w:r>
        <w:rPr>
          <w:szCs w:val="18"/>
        </w:rPr>
        <w:tab/>
      </w:r>
      <w:r w:rsidR="0035774D" w:rsidRPr="003F0DFB">
        <w:rPr>
          <w:rStyle w:val="NoneB"/>
          <w:szCs w:val="18"/>
        </w:rPr>
        <w:t>11 and 14 May 2012, respectively</w:t>
      </w:r>
      <w:r w:rsidR="002B61D2">
        <w:rPr>
          <w:rStyle w:val="NoneB"/>
          <w:szCs w:val="18"/>
        </w:rPr>
        <w:t>.</w:t>
      </w:r>
    </w:p>
  </w:footnote>
  <w:footnote w:id="19">
    <w:p w14:paraId="52B8D46E" w14:textId="7998F086" w:rsidR="00420532" w:rsidRPr="003F0DFB" w:rsidRDefault="005332EA" w:rsidP="005332EA">
      <w:pPr>
        <w:pStyle w:val="FootnoteText"/>
        <w:kinsoku w:val="0"/>
        <w:overflowPunct w:val="0"/>
        <w:autoSpaceDE w:val="0"/>
        <w:autoSpaceDN w:val="0"/>
        <w:adjustRightInd w:val="0"/>
        <w:snapToGrid w:val="0"/>
        <w:spacing w:line="240" w:lineRule="auto"/>
        <w:jc w:val="both"/>
        <w:rPr>
          <w:szCs w:val="18"/>
        </w:rPr>
      </w:pPr>
      <w:r>
        <w:rPr>
          <w:szCs w:val="18"/>
        </w:rPr>
        <w:tab/>
      </w:r>
      <w:r w:rsidR="00420532" w:rsidRPr="003F0DFB">
        <w:rPr>
          <w:rStyle w:val="FootnoteReference"/>
          <w:szCs w:val="18"/>
        </w:rPr>
        <w:footnoteRef/>
      </w:r>
      <w:r w:rsidR="00420532" w:rsidRPr="003F0DFB">
        <w:rPr>
          <w:szCs w:val="18"/>
        </w:rPr>
        <w:t xml:space="preserve"> </w:t>
      </w:r>
      <w:r>
        <w:rPr>
          <w:szCs w:val="18"/>
        </w:rPr>
        <w:tab/>
      </w:r>
      <w:r w:rsidR="00420532" w:rsidRPr="003F0DFB">
        <w:rPr>
          <w:szCs w:val="18"/>
        </w:rPr>
        <w:t xml:space="preserve">The </w:t>
      </w:r>
      <w:r w:rsidR="00DC61DF" w:rsidRPr="005332EA">
        <w:rPr>
          <w:rFonts w:eastAsiaTheme="minorHAnsi"/>
        </w:rPr>
        <w:t>Decision</w:t>
      </w:r>
      <w:r w:rsidR="00DC61DF" w:rsidRPr="003F0DFB">
        <w:rPr>
          <w:szCs w:val="18"/>
        </w:rPr>
        <w:t xml:space="preserve"> issued by the President</w:t>
      </w:r>
      <w:r w:rsidR="00420532" w:rsidRPr="003F0DFB">
        <w:rPr>
          <w:szCs w:val="18"/>
        </w:rPr>
        <w:t xml:space="preserve"> was based on the authority granted by Presidential Decree No. 9 to ratify, implement, cease implementation, and terminate international treaties.</w:t>
      </w:r>
    </w:p>
  </w:footnote>
  <w:footnote w:id="20">
    <w:p w14:paraId="333274AD" w14:textId="536DB42A" w:rsidR="009F794C" w:rsidRPr="003F0DFB" w:rsidRDefault="005332EA" w:rsidP="005332EA">
      <w:pPr>
        <w:pStyle w:val="FootnoteText"/>
        <w:kinsoku w:val="0"/>
        <w:overflowPunct w:val="0"/>
        <w:autoSpaceDE w:val="0"/>
        <w:autoSpaceDN w:val="0"/>
        <w:adjustRightInd w:val="0"/>
        <w:snapToGrid w:val="0"/>
        <w:spacing w:line="240" w:lineRule="auto"/>
        <w:jc w:val="both"/>
        <w:rPr>
          <w:szCs w:val="18"/>
        </w:rPr>
      </w:pPr>
      <w:r>
        <w:rPr>
          <w:szCs w:val="18"/>
        </w:rPr>
        <w:tab/>
      </w:r>
      <w:r w:rsidR="009F794C" w:rsidRPr="003F0DFB">
        <w:rPr>
          <w:rStyle w:val="FootnoteReference"/>
          <w:szCs w:val="18"/>
        </w:rPr>
        <w:footnoteRef/>
      </w:r>
      <w:r w:rsidR="009F794C" w:rsidRPr="003F0DFB">
        <w:rPr>
          <w:szCs w:val="18"/>
        </w:rPr>
        <w:t xml:space="preserve"> </w:t>
      </w:r>
      <w:r>
        <w:rPr>
          <w:szCs w:val="18"/>
        </w:rPr>
        <w:tab/>
      </w:r>
      <w:hyperlink r:id="rId2" w:history="1">
        <w:r w:rsidRPr="00060612">
          <w:rPr>
            <w:rStyle w:val="Hyperlink"/>
            <w:rFonts w:eastAsiaTheme="minorHAnsi"/>
            <w:szCs w:val="18"/>
          </w:rPr>
          <w:t>https</w:t>
        </w:r>
        <w:r w:rsidRPr="00060612">
          <w:rPr>
            <w:rStyle w:val="Hyperlink"/>
            <w:szCs w:val="18"/>
          </w:rPr>
          <w:t>://www.coe.int/en/web/istanbul-convention/about-the-convention</w:t>
        </w:r>
      </w:hyperlink>
      <w:r w:rsidR="002B61D2">
        <w:rPr>
          <w:rStyle w:val="Hyperlink"/>
          <w:szCs w:val="18"/>
        </w:rPr>
        <w:t>.</w:t>
      </w:r>
      <w:r w:rsidR="00944F30" w:rsidRPr="003F0DFB">
        <w:rPr>
          <w:szCs w:val="18"/>
        </w:rPr>
        <w:t xml:space="preserve">  </w:t>
      </w:r>
    </w:p>
  </w:footnote>
  <w:footnote w:id="21">
    <w:p w14:paraId="3E63671A" w14:textId="32A58341" w:rsidR="0035774D" w:rsidRPr="003F0DFB" w:rsidRDefault="005332EA" w:rsidP="005332EA">
      <w:pPr>
        <w:pStyle w:val="FootnoteText"/>
        <w:kinsoku w:val="0"/>
        <w:overflowPunct w:val="0"/>
        <w:autoSpaceDE w:val="0"/>
        <w:autoSpaceDN w:val="0"/>
        <w:adjustRightInd w:val="0"/>
        <w:snapToGrid w:val="0"/>
        <w:spacing w:line="240" w:lineRule="auto"/>
        <w:jc w:val="both"/>
        <w:rPr>
          <w:szCs w:val="18"/>
        </w:rPr>
      </w:pPr>
      <w:r>
        <w:rPr>
          <w:szCs w:val="18"/>
        </w:rPr>
        <w:tab/>
      </w:r>
      <w:r w:rsidR="0035774D" w:rsidRPr="003F0DFB">
        <w:rPr>
          <w:rStyle w:val="FootnoteReference"/>
          <w:szCs w:val="18"/>
        </w:rPr>
        <w:footnoteRef/>
      </w:r>
      <w:r w:rsidR="0035774D" w:rsidRPr="003F0DFB">
        <w:rPr>
          <w:szCs w:val="18"/>
        </w:rPr>
        <w:t xml:space="preserve"> </w:t>
      </w:r>
      <w:r>
        <w:rPr>
          <w:szCs w:val="18"/>
        </w:rPr>
        <w:tab/>
      </w:r>
      <w:hyperlink r:id="rId3" w:history="1">
        <w:r w:rsidR="0035774D" w:rsidRPr="002B61D2">
          <w:rPr>
            <w:szCs w:val="18"/>
          </w:rPr>
          <w:t xml:space="preserve">The Republic of </w:t>
        </w:r>
        <w:r w:rsidR="0035774D" w:rsidRPr="002B61D2">
          <w:rPr>
            <w:rFonts w:eastAsiaTheme="minorHAnsi"/>
          </w:rPr>
          <w:t>Türkiye</w:t>
        </w:r>
        <w:r w:rsidR="0035774D" w:rsidRPr="002B61D2">
          <w:rPr>
            <w:szCs w:val="18"/>
          </w:rPr>
          <w:t xml:space="preserve"> Directorate of Communications (iletisim.gov.tr)</w:t>
        </w:r>
      </w:hyperlink>
      <w:r w:rsidR="002B61D2" w:rsidRPr="002B61D2">
        <w:rPr>
          <w:szCs w:val="18"/>
        </w:rPr>
        <w:t>.</w:t>
      </w:r>
    </w:p>
  </w:footnote>
  <w:footnote w:id="22">
    <w:p w14:paraId="31327654" w14:textId="12A91FD8" w:rsidR="002059D4" w:rsidRPr="0094327D" w:rsidRDefault="0094327D" w:rsidP="0094327D">
      <w:pPr>
        <w:pStyle w:val="FootnoteText"/>
        <w:kinsoku w:val="0"/>
        <w:overflowPunct w:val="0"/>
        <w:autoSpaceDE w:val="0"/>
        <w:autoSpaceDN w:val="0"/>
        <w:adjustRightInd w:val="0"/>
        <w:snapToGrid w:val="0"/>
        <w:spacing w:line="240" w:lineRule="auto"/>
        <w:jc w:val="both"/>
        <w:rPr>
          <w:rFonts w:eastAsia="Calibri"/>
          <w:szCs w:val="18"/>
        </w:rPr>
      </w:pPr>
      <w:r>
        <w:rPr>
          <w:szCs w:val="18"/>
        </w:rPr>
        <w:tab/>
      </w:r>
      <w:r w:rsidR="002059D4" w:rsidRPr="003F0DFB">
        <w:rPr>
          <w:rStyle w:val="FootnoteReference"/>
          <w:szCs w:val="18"/>
        </w:rPr>
        <w:footnoteRef/>
      </w:r>
      <w:r w:rsidR="002059D4" w:rsidRPr="003F0DFB">
        <w:rPr>
          <w:szCs w:val="18"/>
        </w:rPr>
        <w:t xml:space="preserve"> </w:t>
      </w:r>
      <w:r>
        <w:rPr>
          <w:szCs w:val="18"/>
        </w:rPr>
        <w:tab/>
      </w:r>
      <w:r w:rsidR="001B3113" w:rsidRPr="009B0B60">
        <w:rPr>
          <w:rFonts w:eastAsia="Calibri"/>
          <w:bCs/>
          <w:sz w:val="16"/>
          <w:szCs w:val="16"/>
        </w:rPr>
        <w:t>CEDAW/C/TUR/CO/8</w:t>
      </w:r>
      <w:r w:rsidR="002B61D2">
        <w:rPr>
          <w:rFonts w:eastAsia="Calibri"/>
          <w:bCs/>
          <w:sz w:val="16"/>
          <w:szCs w:val="16"/>
        </w:rPr>
        <w:t>.</w:t>
      </w:r>
    </w:p>
  </w:footnote>
  <w:footnote w:id="23">
    <w:p w14:paraId="66D6693E" w14:textId="7D376307" w:rsidR="00136803"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136803" w:rsidRPr="003F0DFB">
        <w:rPr>
          <w:rStyle w:val="FootnoteReference"/>
          <w:szCs w:val="18"/>
        </w:rPr>
        <w:footnoteRef/>
      </w:r>
      <w:r w:rsidR="00136803" w:rsidRPr="003F0DFB">
        <w:rPr>
          <w:szCs w:val="18"/>
        </w:rPr>
        <w:t xml:space="preserve"> </w:t>
      </w:r>
      <w:r>
        <w:rPr>
          <w:szCs w:val="18"/>
        </w:rPr>
        <w:tab/>
      </w:r>
      <w:r w:rsidR="00136803" w:rsidRPr="003F0DFB">
        <w:rPr>
          <w:szCs w:val="18"/>
        </w:rPr>
        <w:t>https://</w:t>
      </w:r>
      <w:r w:rsidR="00136803" w:rsidRPr="0094327D">
        <w:rPr>
          <w:rStyle w:val="NoneB"/>
        </w:rPr>
        <w:t>www</w:t>
      </w:r>
      <w:r w:rsidR="00136803" w:rsidRPr="003F0DFB">
        <w:rPr>
          <w:szCs w:val="18"/>
        </w:rPr>
        <w:t>.ohchr.org/en/documents/open-letters/expert-opinion-council-state-turkiye-withdrawal-istanbul-convention</w:t>
      </w:r>
      <w:r w:rsidR="002B61D2">
        <w:rPr>
          <w:szCs w:val="18"/>
        </w:rPr>
        <w:t>.</w:t>
      </w:r>
    </w:p>
  </w:footnote>
  <w:footnote w:id="24">
    <w:p w14:paraId="633DD3CC" w14:textId="41716B17" w:rsidR="00061924" w:rsidRPr="003F0DFB" w:rsidRDefault="0094327D" w:rsidP="002B61D2">
      <w:pPr>
        <w:pStyle w:val="FootnoteText"/>
        <w:rPr>
          <w:szCs w:val="18"/>
        </w:rPr>
      </w:pPr>
      <w:r>
        <w:rPr>
          <w:szCs w:val="18"/>
        </w:rPr>
        <w:tab/>
      </w:r>
      <w:r w:rsidR="00061924" w:rsidRPr="003F0DFB">
        <w:rPr>
          <w:rStyle w:val="FootnoteReference"/>
          <w:szCs w:val="18"/>
        </w:rPr>
        <w:footnoteRef/>
      </w:r>
      <w:r w:rsidR="002B61D2">
        <w:rPr>
          <w:szCs w:val="18"/>
        </w:rPr>
        <w:tab/>
      </w:r>
      <w:hyperlink r:id="rId4" w:history="1">
        <w:r w:rsidR="002B61D2" w:rsidRPr="00A1667B">
          <w:rPr>
            <w:rStyle w:val="Hyperlink"/>
            <w:lang w:val="en-US"/>
          </w:rPr>
          <w:t>https</w:t>
        </w:r>
        <w:r w:rsidR="002B61D2" w:rsidRPr="00A1667B">
          <w:rPr>
            <w:rStyle w:val="Hyperlink"/>
            <w:szCs w:val="18"/>
          </w:rPr>
          <w:t>://</w:t>
        </w:r>
        <w:r w:rsidR="002B61D2" w:rsidRPr="00A1667B">
          <w:rPr>
            <w:rStyle w:val="Hyperlink"/>
          </w:rPr>
          <w:t>www</w:t>
        </w:r>
        <w:r w:rsidR="002B61D2" w:rsidRPr="00A1667B">
          <w:rPr>
            <w:rStyle w:val="Hyperlink"/>
            <w:szCs w:val="18"/>
          </w:rPr>
          <w:t>.ohchr.org/sites/default/files/2022-08/</w:t>
        </w:r>
        <w:r w:rsidR="002B61D2" w:rsidRPr="00A1667B">
          <w:rPr>
            <w:rStyle w:val="Hyperlink"/>
          </w:rPr>
          <w:t>ExpertopiniontotheCouncilofStateofTurkiyeonthewithdrafwalfromtheIstanbulConventionEnglishOriginal</w:t>
        </w:r>
        <w:r w:rsidR="002B61D2" w:rsidRPr="00A1667B">
          <w:rPr>
            <w:rStyle w:val="Hyperlink"/>
            <w:szCs w:val="18"/>
          </w:rPr>
          <w:t>.pdf</w:t>
        </w:r>
      </w:hyperlink>
      <w:r w:rsidR="002B61D2">
        <w:rPr>
          <w:lang w:val="en-US"/>
        </w:rPr>
        <w:t>.</w:t>
      </w:r>
      <w:r w:rsidR="00D005D4" w:rsidRPr="003F0DFB">
        <w:rPr>
          <w:szCs w:val="18"/>
        </w:rPr>
        <w:t xml:space="preserve"> </w:t>
      </w:r>
    </w:p>
  </w:footnote>
  <w:footnote w:id="25">
    <w:p w14:paraId="21EBD641" w14:textId="1545D7E8" w:rsidR="00DE1098"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DE1098" w:rsidRPr="003F0DFB">
        <w:rPr>
          <w:rStyle w:val="FootnoteReference"/>
          <w:szCs w:val="18"/>
        </w:rPr>
        <w:footnoteRef/>
      </w:r>
      <w:r w:rsidR="00DE1098" w:rsidRPr="003F0DFB">
        <w:rPr>
          <w:szCs w:val="18"/>
        </w:rPr>
        <w:t xml:space="preserve"> </w:t>
      </w:r>
      <w:r>
        <w:rPr>
          <w:szCs w:val="18"/>
        </w:rPr>
        <w:tab/>
      </w:r>
      <w:r w:rsidR="00DE1098" w:rsidRPr="0094327D">
        <w:rPr>
          <w:rStyle w:val="NoneB"/>
        </w:rPr>
        <w:t>Parliamentary</w:t>
      </w:r>
      <w:r w:rsidR="00DE1098" w:rsidRPr="003F0DFB">
        <w:rPr>
          <w:szCs w:val="18"/>
        </w:rPr>
        <w:t xml:space="preserve"> Inquiry Commission </w:t>
      </w:r>
      <w:r w:rsidR="00BB1561">
        <w:rPr>
          <w:szCs w:val="18"/>
        </w:rPr>
        <w:t>Report:</w:t>
      </w:r>
      <w:r w:rsidR="00DE1098" w:rsidRPr="003F0DFB">
        <w:rPr>
          <w:szCs w:val="18"/>
        </w:rPr>
        <w:t xml:space="preserve"> Causes of Violence Against Women in All Aspects and Determine the Measures to be Taken (March 2021)</w:t>
      </w:r>
    </w:p>
  </w:footnote>
  <w:footnote w:id="26">
    <w:p w14:paraId="7B3E80B0" w14:textId="3AF0BE50" w:rsidR="005D5FAE"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5D5FAE" w:rsidRPr="003F0DFB">
        <w:rPr>
          <w:rStyle w:val="FootnoteReference"/>
          <w:szCs w:val="18"/>
        </w:rPr>
        <w:footnoteRef/>
      </w:r>
      <w:r w:rsidR="005D5FAE" w:rsidRPr="003F0DFB">
        <w:rPr>
          <w:szCs w:val="18"/>
        </w:rPr>
        <w:t xml:space="preserve"> </w:t>
      </w:r>
      <w:r>
        <w:rPr>
          <w:szCs w:val="18"/>
        </w:rPr>
        <w:tab/>
      </w:r>
      <w:r w:rsidR="005D5FAE" w:rsidRPr="0094327D">
        <w:rPr>
          <w:rStyle w:val="NoneB"/>
        </w:rPr>
        <w:t>Article</w:t>
      </w:r>
      <w:r w:rsidR="005D5FAE" w:rsidRPr="003F0DFB">
        <w:rPr>
          <w:szCs w:val="18"/>
        </w:rPr>
        <w:t xml:space="preserve"> 1(1)</w:t>
      </w:r>
      <w:r w:rsidR="00DE0DE3">
        <w:rPr>
          <w:szCs w:val="18"/>
        </w:rPr>
        <w:t>.</w:t>
      </w:r>
    </w:p>
  </w:footnote>
  <w:footnote w:id="27">
    <w:p w14:paraId="2FDAA7D1" w14:textId="40C1CFDD" w:rsidR="005D5FAE"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5D5FAE" w:rsidRPr="003F0DFB">
        <w:rPr>
          <w:rStyle w:val="FootnoteReference"/>
          <w:szCs w:val="18"/>
        </w:rPr>
        <w:footnoteRef/>
      </w:r>
      <w:r w:rsidR="005D5FAE" w:rsidRPr="003F0DFB">
        <w:rPr>
          <w:szCs w:val="18"/>
        </w:rPr>
        <w:t xml:space="preserve"> </w:t>
      </w:r>
      <w:r>
        <w:rPr>
          <w:szCs w:val="18"/>
        </w:rPr>
        <w:tab/>
      </w:r>
      <w:r w:rsidR="005D5FAE" w:rsidRPr="0094327D">
        <w:rPr>
          <w:rStyle w:val="NoneB"/>
        </w:rPr>
        <w:t>Article</w:t>
      </w:r>
      <w:r w:rsidR="005D5FAE" w:rsidRPr="003F0DFB">
        <w:rPr>
          <w:szCs w:val="18"/>
        </w:rPr>
        <w:t xml:space="preserve"> 1 (2) (a)</w:t>
      </w:r>
      <w:r w:rsidR="00DE0DE3">
        <w:rPr>
          <w:szCs w:val="18"/>
        </w:rPr>
        <w:t>.</w:t>
      </w:r>
    </w:p>
  </w:footnote>
  <w:footnote w:id="28">
    <w:p w14:paraId="4E8E2A9D" w14:textId="66503217" w:rsidR="006D4247"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6D4247" w:rsidRPr="003F0DFB">
        <w:rPr>
          <w:rStyle w:val="FootnoteReference"/>
          <w:szCs w:val="18"/>
        </w:rPr>
        <w:footnoteRef/>
      </w:r>
      <w:r w:rsidR="006D4247" w:rsidRPr="003F0DFB">
        <w:rPr>
          <w:szCs w:val="18"/>
        </w:rPr>
        <w:t xml:space="preserve"> </w:t>
      </w:r>
      <w:r>
        <w:rPr>
          <w:szCs w:val="18"/>
        </w:rPr>
        <w:tab/>
      </w:r>
      <w:r w:rsidR="006D4247" w:rsidRPr="0094327D">
        <w:rPr>
          <w:rStyle w:val="NoneB"/>
        </w:rPr>
        <w:t>Nicole</w:t>
      </w:r>
      <w:r w:rsidR="006D4247" w:rsidRPr="003F0DFB">
        <w:rPr>
          <w:szCs w:val="18"/>
        </w:rPr>
        <w:t xml:space="preserve"> Pope, </w:t>
      </w:r>
      <w:r w:rsidR="006D4247" w:rsidRPr="003F0DFB">
        <w:rPr>
          <w:rFonts w:hint="eastAsia"/>
          <w:szCs w:val="18"/>
        </w:rPr>
        <w:t>‘</w:t>
      </w:r>
      <w:r w:rsidR="006D4247" w:rsidRPr="003F0DFB">
        <w:rPr>
          <w:szCs w:val="18"/>
        </w:rPr>
        <w:t>Good on Paper, Poor in Practice: Combating Gender Violence in Turkey</w:t>
      </w:r>
      <w:r w:rsidR="006D4247" w:rsidRPr="003F0DFB">
        <w:rPr>
          <w:rFonts w:hint="eastAsia"/>
          <w:szCs w:val="18"/>
        </w:rPr>
        <w:t>’</w:t>
      </w:r>
      <w:r w:rsidR="006D4247" w:rsidRPr="003F0DFB">
        <w:rPr>
          <w:szCs w:val="18"/>
        </w:rPr>
        <w:t xml:space="preserve"> (2014) 4 Turkish Review</w:t>
      </w:r>
      <w:r>
        <w:rPr>
          <w:szCs w:val="18"/>
        </w:rPr>
        <w:t xml:space="preserve"> </w:t>
      </w:r>
      <w:r w:rsidR="006D4247" w:rsidRPr="003F0DFB">
        <w:rPr>
          <w:szCs w:val="18"/>
        </w:rPr>
        <w:t>600</w:t>
      </w:r>
      <w:r w:rsidR="006D4247" w:rsidRPr="003F0DFB">
        <w:rPr>
          <w:rFonts w:hint="eastAsia"/>
          <w:szCs w:val="18"/>
        </w:rPr>
        <w:t>–</w:t>
      </w:r>
      <w:r w:rsidR="006D4247" w:rsidRPr="003F0DFB">
        <w:rPr>
          <w:szCs w:val="18"/>
        </w:rPr>
        <w:t>604</w:t>
      </w:r>
      <w:r w:rsidR="00DE0DE3">
        <w:rPr>
          <w:szCs w:val="18"/>
        </w:rPr>
        <w:t>.</w:t>
      </w:r>
    </w:p>
  </w:footnote>
  <w:footnote w:id="29">
    <w:p w14:paraId="018FDE6D" w14:textId="2546EA34" w:rsidR="00BA599B"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BA599B" w:rsidRPr="003F0DFB">
        <w:rPr>
          <w:rStyle w:val="FootnoteReference"/>
          <w:szCs w:val="18"/>
        </w:rPr>
        <w:footnoteRef/>
      </w:r>
      <w:r w:rsidR="00BA599B" w:rsidRPr="003F0DFB">
        <w:rPr>
          <w:szCs w:val="18"/>
        </w:rPr>
        <w:t xml:space="preserve"> </w:t>
      </w:r>
      <w:r>
        <w:rPr>
          <w:szCs w:val="18"/>
        </w:rPr>
        <w:tab/>
      </w:r>
      <w:r w:rsidR="00BA599B" w:rsidRPr="003F0DFB">
        <w:rPr>
          <w:szCs w:val="18"/>
        </w:rPr>
        <w:t xml:space="preserve">In judicial </w:t>
      </w:r>
      <w:r w:rsidR="00BA599B" w:rsidRPr="0094327D">
        <w:rPr>
          <w:rStyle w:val="NoneB"/>
        </w:rPr>
        <w:t>practice</w:t>
      </w:r>
      <w:r w:rsidR="00BA599B" w:rsidRPr="003F0DFB">
        <w:rPr>
          <w:szCs w:val="18"/>
        </w:rPr>
        <w:t xml:space="preserve"> i</w:t>
      </w:r>
      <w:r w:rsidR="00BB1561">
        <w:rPr>
          <w:szCs w:val="18"/>
        </w:rPr>
        <w:t>t</w:t>
      </w:r>
      <w:r w:rsidR="00BA599B" w:rsidRPr="003F0DFB">
        <w:rPr>
          <w:szCs w:val="18"/>
        </w:rPr>
        <w:t xml:space="preserve"> i</w:t>
      </w:r>
      <w:r w:rsidR="00BB1561">
        <w:rPr>
          <w:szCs w:val="18"/>
        </w:rPr>
        <w:t>s</w:t>
      </w:r>
      <w:r w:rsidR="00BA599B" w:rsidRPr="003F0DFB">
        <w:rPr>
          <w:szCs w:val="18"/>
        </w:rPr>
        <w:t xml:space="preserve"> mostly dealt with under the offences of threat, blackmail, coercion, </w:t>
      </w:r>
      <w:proofErr w:type="gramStart"/>
      <w:r w:rsidR="00BA599B" w:rsidRPr="003F0DFB">
        <w:rPr>
          <w:szCs w:val="18"/>
        </w:rPr>
        <w:t>defamation</w:t>
      </w:r>
      <w:proofErr w:type="gramEnd"/>
      <w:r w:rsidR="00BA599B" w:rsidRPr="003F0DFB">
        <w:rPr>
          <w:szCs w:val="18"/>
        </w:rPr>
        <w:t xml:space="preserve"> and</w:t>
      </w:r>
      <w:r>
        <w:rPr>
          <w:szCs w:val="18"/>
        </w:rPr>
        <w:t xml:space="preserve"> </w:t>
      </w:r>
      <w:r w:rsidR="00BA599B" w:rsidRPr="003F0DFB">
        <w:rPr>
          <w:szCs w:val="18"/>
        </w:rPr>
        <w:t>ill-treatment. GREVIO Report, 75</w:t>
      </w:r>
      <w:r w:rsidR="00DE0DE3">
        <w:rPr>
          <w:szCs w:val="18"/>
        </w:rPr>
        <w:t>.</w:t>
      </w:r>
    </w:p>
  </w:footnote>
  <w:footnote w:id="30">
    <w:p w14:paraId="060EB6A2" w14:textId="35883615" w:rsidR="00895073"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895073" w:rsidRPr="003F0DFB">
        <w:rPr>
          <w:rStyle w:val="FootnoteReference"/>
          <w:szCs w:val="18"/>
        </w:rPr>
        <w:footnoteRef/>
      </w:r>
      <w:r w:rsidR="00895073" w:rsidRPr="003F0DFB">
        <w:rPr>
          <w:szCs w:val="18"/>
        </w:rPr>
        <w:t xml:space="preserve"> </w:t>
      </w:r>
      <w:r>
        <w:rPr>
          <w:szCs w:val="18"/>
        </w:rPr>
        <w:tab/>
      </w:r>
      <w:r w:rsidR="00895073" w:rsidRPr="003F0DFB">
        <w:rPr>
          <w:szCs w:val="18"/>
        </w:rPr>
        <w:t>H</w:t>
      </w:r>
      <w:r w:rsidR="009B0B60">
        <w:rPr>
          <w:szCs w:val="18"/>
        </w:rPr>
        <w:t xml:space="preserve">uman </w:t>
      </w:r>
      <w:r w:rsidR="009B0B60" w:rsidRPr="0094327D">
        <w:rPr>
          <w:rStyle w:val="NoneB"/>
        </w:rPr>
        <w:t>Rights</w:t>
      </w:r>
      <w:r w:rsidR="009B0B60">
        <w:rPr>
          <w:szCs w:val="18"/>
        </w:rPr>
        <w:t xml:space="preserve"> Watch, </w:t>
      </w:r>
      <w:r w:rsidR="009B0B60" w:rsidRPr="009B0B60">
        <w:rPr>
          <w:szCs w:val="18"/>
        </w:rPr>
        <w:t>https://www.hrw.org/news/2022/05/26/turkey-fails-domestic-violence-victims</w:t>
      </w:r>
      <w:r w:rsidR="00DE0DE3">
        <w:rPr>
          <w:szCs w:val="18"/>
        </w:rPr>
        <w:t>.</w:t>
      </w:r>
    </w:p>
  </w:footnote>
  <w:footnote w:id="31">
    <w:p w14:paraId="2FAD7A4D" w14:textId="1AD20C31" w:rsidR="00C47222"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C47222" w:rsidRPr="003F0DFB">
        <w:rPr>
          <w:rStyle w:val="FootnoteReference"/>
          <w:szCs w:val="18"/>
        </w:rPr>
        <w:footnoteRef/>
      </w:r>
      <w:r w:rsidR="00C47222" w:rsidRPr="003F0DFB">
        <w:rPr>
          <w:szCs w:val="18"/>
        </w:rPr>
        <w:t xml:space="preserve"> </w:t>
      </w:r>
      <w:r>
        <w:rPr>
          <w:szCs w:val="18"/>
        </w:rPr>
        <w:tab/>
      </w:r>
      <w:r w:rsidR="00C47222" w:rsidRPr="0094327D">
        <w:rPr>
          <w:rStyle w:val="NoneB"/>
        </w:rPr>
        <w:t>Including</w:t>
      </w:r>
      <w:r w:rsidR="00C47222" w:rsidRPr="003F0DFB">
        <w:rPr>
          <w:szCs w:val="18"/>
        </w:rPr>
        <w:t xml:space="preserve"> Ministry of </w:t>
      </w:r>
      <w:r w:rsidR="00E15D61">
        <w:rPr>
          <w:szCs w:val="18"/>
        </w:rPr>
        <w:t xml:space="preserve">Family </w:t>
      </w:r>
      <w:r w:rsidR="00C47222" w:rsidRPr="003F0DFB">
        <w:rPr>
          <w:szCs w:val="18"/>
        </w:rPr>
        <w:t>and Social Services</w:t>
      </w:r>
      <w:r w:rsidR="00E15D61">
        <w:rPr>
          <w:szCs w:val="18"/>
        </w:rPr>
        <w:t>;</w:t>
      </w:r>
      <w:r w:rsidR="00C47222" w:rsidRPr="003F0DFB">
        <w:rPr>
          <w:szCs w:val="18"/>
        </w:rPr>
        <w:t xml:space="preserve"> Ministry of Interior</w:t>
      </w:r>
      <w:r w:rsidR="00E15D61">
        <w:rPr>
          <w:szCs w:val="18"/>
        </w:rPr>
        <w:t xml:space="preserve">; </w:t>
      </w:r>
      <w:r w:rsidR="00C47222" w:rsidRPr="003F0DFB">
        <w:rPr>
          <w:szCs w:val="18"/>
        </w:rPr>
        <w:t>Ministry of Justice</w:t>
      </w:r>
      <w:r w:rsidR="00E15D61">
        <w:rPr>
          <w:szCs w:val="18"/>
        </w:rPr>
        <w:t xml:space="preserve">; </w:t>
      </w:r>
      <w:r w:rsidR="00C47222" w:rsidRPr="003F0DFB">
        <w:rPr>
          <w:szCs w:val="18"/>
        </w:rPr>
        <w:t>Ministry of National Education</w:t>
      </w:r>
      <w:r w:rsidR="00E15D61">
        <w:rPr>
          <w:szCs w:val="18"/>
        </w:rPr>
        <w:t xml:space="preserve">; </w:t>
      </w:r>
      <w:r w:rsidR="00C47222" w:rsidRPr="003F0DFB">
        <w:rPr>
          <w:szCs w:val="18"/>
        </w:rPr>
        <w:t>Ministry of Health</w:t>
      </w:r>
      <w:r w:rsidR="00C22292">
        <w:rPr>
          <w:szCs w:val="18"/>
        </w:rPr>
        <w:t>.</w:t>
      </w:r>
    </w:p>
  </w:footnote>
  <w:footnote w:id="32">
    <w:p w14:paraId="2BC5F3C6" w14:textId="6485FBD6" w:rsidR="002A71D4"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2A71D4" w:rsidRPr="003F0DFB">
        <w:rPr>
          <w:rStyle w:val="FootnoteReference"/>
          <w:szCs w:val="18"/>
        </w:rPr>
        <w:footnoteRef/>
      </w:r>
      <w:r w:rsidR="002A71D4" w:rsidRPr="003F0DFB">
        <w:rPr>
          <w:szCs w:val="18"/>
        </w:rPr>
        <w:t xml:space="preserve">  </w:t>
      </w:r>
      <w:r>
        <w:rPr>
          <w:szCs w:val="18"/>
        </w:rPr>
        <w:tab/>
      </w:r>
      <w:r w:rsidR="002A71D4" w:rsidRPr="0094327D">
        <w:rPr>
          <w:rStyle w:val="NoneB"/>
        </w:rPr>
        <w:t>Ministry</w:t>
      </w:r>
      <w:r w:rsidR="002A71D4" w:rsidRPr="003F0DFB">
        <w:rPr>
          <w:szCs w:val="18"/>
        </w:rPr>
        <w:t xml:space="preserve"> of Family and Social Services “Research on Domestic Violence Against Women in Turkey” conducted in 2008 and 2014 to analyze categories and frequency of violence, and demographics.</w:t>
      </w:r>
    </w:p>
  </w:footnote>
  <w:footnote w:id="33">
    <w:p w14:paraId="5E1FAE5F" w14:textId="06DEACFD" w:rsidR="00A233C6"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A233C6" w:rsidRPr="003F0DFB">
        <w:rPr>
          <w:rStyle w:val="FootnoteReference"/>
          <w:szCs w:val="18"/>
        </w:rPr>
        <w:footnoteRef/>
      </w:r>
      <w:r w:rsidR="00A233C6" w:rsidRPr="003F0DFB">
        <w:rPr>
          <w:szCs w:val="18"/>
        </w:rPr>
        <w:t xml:space="preserve"> </w:t>
      </w:r>
      <w:r>
        <w:rPr>
          <w:szCs w:val="18"/>
        </w:rPr>
        <w:tab/>
      </w:r>
      <w:r w:rsidR="00A233C6" w:rsidRPr="0094327D">
        <w:rPr>
          <w:rStyle w:val="NoneB"/>
        </w:rPr>
        <w:t>Association</w:t>
      </w:r>
      <w:r w:rsidR="00A233C6" w:rsidRPr="003F0DFB">
        <w:rPr>
          <w:szCs w:val="18"/>
        </w:rPr>
        <w:t xml:space="preserve"> for Humane Living and Democratic Society (İYADER), “The First Digital Monitoring Meeting for Municipalities’ Local Gender Equality Action Plans Has Been Conducted”, (24 November 2022) http://iyader.org.tr/2021/11/24/izlemecalismasi/</w:t>
      </w:r>
      <w:r w:rsidR="00DE0DE3">
        <w:rPr>
          <w:szCs w:val="18"/>
        </w:rPr>
        <w:t>.</w:t>
      </w:r>
    </w:p>
  </w:footnote>
  <w:footnote w:id="34">
    <w:p w14:paraId="5B52D0BF" w14:textId="279F2899" w:rsidR="005122E6" w:rsidRPr="003F0DFB" w:rsidRDefault="0094327D" w:rsidP="0094327D">
      <w:pPr>
        <w:pStyle w:val="FootnoteText"/>
        <w:kinsoku w:val="0"/>
        <w:overflowPunct w:val="0"/>
        <w:autoSpaceDE w:val="0"/>
        <w:autoSpaceDN w:val="0"/>
        <w:adjustRightInd w:val="0"/>
        <w:snapToGrid w:val="0"/>
        <w:spacing w:line="240" w:lineRule="auto"/>
        <w:jc w:val="both"/>
      </w:pPr>
      <w:r>
        <w:tab/>
      </w:r>
      <w:r w:rsidR="005122E6" w:rsidRPr="003F0DFB">
        <w:rPr>
          <w:rStyle w:val="FootnoteReference"/>
        </w:rPr>
        <w:footnoteRef/>
      </w:r>
      <w:r w:rsidR="005122E6" w:rsidRPr="003F0DFB">
        <w:t xml:space="preserve"> </w:t>
      </w:r>
      <w:r>
        <w:tab/>
      </w:r>
      <w:r w:rsidR="005122E6" w:rsidRPr="0094327D">
        <w:rPr>
          <w:rStyle w:val="NoneB"/>
        </w:rPr>
        <w:t>CEDAW</w:t>
      </w:r>
      <w:r w:rsidR="005122E6" w:rsidRPr="003F0DFB">
        <w:rPr>
          <w:szCs w:val="18"/>
        </w:rPr>
        <w:t>/C/TUR/CO/8</w:t>
      </w:r>
      <w:r w:rsidR="00DE0DE3">
        <w:rPr>
          <w:szCs w:val="18"/>
        </w:rPr>
        <w:t>.</w:t>
      </w:r>
    </w:p>
  </w:footnote>
  <w:footnote w:id="35">
    <w:p w14:paraId="3AE9C614" w14:textId="658CA3A2" w:rsidR="00630846"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630846" w:rsidRPr="003F0DFB">
        <w:rPr>
          <w:rStyle w:val="FootnoteReference"/>
          <w:szCs w:val="18"/>
        </w:rPr>
        <w:footnoteRef/>
      </w:r>
      <w:r w:rsidR="00630846" w:rsidRPr="003F0DFB">
        <w:rPr>
          <w:szCs w:val="18"/>
        </w:rPr>
        <w:t xml:space="preserve"> </w:t>
      </w:r>
      <w:r>
        <w:rPr>
          <w:szCs w:val="18"/>
        </w:rPr>
        <w:tab/>
      </w:r>
      <w:r w:rsidR="00630846" w:rsidRPr="003F0DFB">
        <w:rPr>
          <w:szCs w:val="18"/>
        </w:rPr>
        <w:t xml:space="preserve">Hacettepe </w:t>
      </w:r>
      <w:r w:rsidR="00630846" w:rsidRPr="0094327D">
        <w:rPr>
          <w:rStyle w:val="NoneB"/>
        </w:rPr>
        <w:t>University</w:t>
      </w:r>
      <w:r w:rsidR="00630846" w:rsidRPr="003F0DFB">
        <w:rPr>
          <w:szCs w:val="18"/>
        </w:rPr>
        <w:t xml:space="preserve"> Institute of Population Studies. (2014). National Research on Domestic Violence against Women in Turkey</w:t>
      </w:r>
      <w:r w:rsidR="00C22292">
        <w:rPr>
          <w:szCs w:val="18"/>
        </w:rPr>
        <w:t>.</w:t>
      </w:r>
    </w:p>
  </w:footnote>
  <w:footnote w:id="36">
    <w:p w14:paraId="10C0A222" w14:textId="39308A69" w:rsidR="0077505F"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77505F" w:rsidRPr="003F0DFB">
        <w:rPr>
          <w:rStyle w:val="FootnoteReference"/>
          <w:szCs w:val="18"/>
        </w:rPr>
        <w:footnoteRef/>
      </w:r>
      <w:r w:rsidR="0077505F" w:rsidRPr="003F0DFB">
        <w:rPr>
          <w:szCs w:val="18"/>
        </w:rPr>
        <w:t xml:space="preserve"> </w:t>
      </w:r>
      <w:r>
        <w:rPr>
          <w:szCs w:val="18"/>
        </w:rPr>
        <w:tab/>
      </w:r>
      <w:r w:rsidR="0077505F" w:rsidRPr="0094327D">
        <w:rPr>
          <w:rStyle w:val="NoneB"/>
        </w:rPr>
        <w:t>CEDAW</w:t>
      </w:r>
      <w:r w:rsidR="0077505F" w:rsidRPr="003F0DFB">
        <w:rPr>
          <w:szCs w:val="18"/>
        </w:rPr>
        <w:t>/C/TUR/CO/8</w:t>
      </w:r>
      <w:r w:rsidR="00DE0DE3">
        <w:rPr>
          <w:szCs w:val="18"/>
        </w:rPr>
        <w:t>.</w:t>
      </w:r>
    </w:p>
  </w:footnote>
  <w:footnote w:id="37">
    <w:p w14:paraId="372AF589" w14:textId="1BA03C4D" w:rsidR="008A0DCD"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8A0DCD" w:rsidRPr="003F0DFB">
        <w:rPr>
          <w:rStyle w:val="FootnoteReference"/>
          <w:szCs w:val="18"/>
        </w:rPr>
        <w:footnoteRef/>
      </w:r>
      <w:r w:rsidR="008A0DCD" w:rsidRPr="003F0DFB">
        <w:rPr>
          <w:szCs w:val="18"/>
        </w:rPr>
        <w:t xml:space="preserve"> </w:t>
      </w:r>
      <w:r>
        <w:rPr>
          <w:szCs w:val="18"/>
        </w:rPr>
        <w:tab/>
      </w:r>
      <w:r w:rsidR="008A0DCD" w:rsidRPr="003F0DFB">
        <w:rPr>
          <w:szCs w:val="18"/>
          <w:lang w:val="en-US"/>
        </w:rPr>
        <w:t>112 under the Ministry of Family</w:t>
      </w:r>
      <w:r w:rsidR="00E15D61">
        <w:rPr>
          <w:szCs w:val="18"/>
          <w:lang w:val="en-US"/>
        </w:rPr>
        <w:t xml:space="preserve"> </w:t>
      </w:r>
      <w:r w:rsidR="008A0DCD" w:rsidRPr="003F0DFB">
        <w:rPr>
          <w:szCs w:val="18"/>
          <w:lang w:val="en-US"/>
        </w:rPr>
        <w:t xml:space="preserve">and Social Services; 33 </w:t>
      </w:r>
      <w:proofErr w:type="gramStart"/>
      <w:r w:rsidR="008A0DCD" w:rsidRPr="003F0DFB">
        <w:rPr>
          <w:szCs w:val="18"/>
          <w:lang w:val="en-US"/>
        </w:rPr>
        <w:t>run</w:t>
      </w:r>
      <w:proofErr w:type="gramEnd"/>
      <w:r w:rsidR="008A0DCD" w:rsidRPr="003F0DFB">
        <w:rPr>
          <w:szCs w:val="18"/>
          <w:lang w:val="en-US"/>
        </w:rPr>
        <w:t xml:space="preserve"> by Municipalities; and 3 run by the Directorate General of Migration Management</w:t>
      </w:r>
      <w:r w:rsidR="00DE0DE3">
        <w:rPr>
          <w:szCs w:val="18"/>
          <w:lang w:val="en-US"/>
        </w:rPr>
        <w:t>.</w:t>
      </w:r>
      <w:r w:rsidR="008A0DCD" w:rsidRPr="003F0DFB">
        <w:rPr>
          <w:szCs w:val="18"/>
          <w:lang w:val="en-US"/>
        </w:rPr>
        <w:t xml:space="preserve"> </w:t>
      </w:r>
    </w:p>
  </w:footnote>
  <w:footnote w:id="38">
    <w:p w14:paraId="05D6223A" w14:textId="428BA5E2" w:rsidR="00C50338"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C50338" w:rsidRPr="003F0DFB">
        <w:rPr>
          <w:rStyle w:val="FootnoteReference"/>
          <w:szCs w:val="18"/>
        </w:rPr>
        <w:footnoteRef/>
      </w:r>
      <w:r w:rsidR="00C50338" w:rsidRPr="003F0DFB">
        <w:rPr>
          <w:szCs w:val="18"/>
        </w:rPr>
        <w:t xml:space="preserve"> </w:t>
      </w:r>
      <w:r>
        <w:rPr>
          <w:szCs w:val="18"/>
        </w:rPr>
        <w:tab/>
      </w:r>
      <w:r w:rsidR="00BB1561" w:rsidRPr="00BB1561">
        <w:rPr>
          <w:szCs w:val="18"/>
        </w:rPr>
        <w:t>CEDAW/C/TUR/8</w:t>
      </w:r>
    </w:p>
  </w:footnote>
  <w:footnote w:id="39">
    <w:p w14:paraId="06C1D685" w14:textId="7307B34C" w:rsidR="00C50338" w:rsidRPr="003F0DFB" w:rsidRDefault="0094327D" w:rsidP="0094327D">
      <w:pPr>
        <w:pStyle w:val="FootnoteText"/>
        <w:kinsoku w:val="0"/>
        <w:overflowPunct w:val="0"/>
        <w:autoSpaceDE w:val="0"/>
        <w:autoSpaceDN w:val="0"/>
        <w:adjustRightInd w:val="0"/>
        <w:snapToGrid w:val="0"/>
        <w:spacing w:line="240" w:lineRule="auto"/>
        <w:jc w:val="both"/>
        <w:rPr>
          <w:szCs w:val="18"/>
        </w:rPr>
      </w:pPr>
      <w:r>
        <w:rPr>
          <w:szCs w:val="18"/>
        </w:rPr>
        <w:tab/>
      </w:r>
      <w:r w:rsidR="00C50338" w:rsidRPr="003F0DFB">
        <w:rPr>
          <w:rStyle w:val="FootnoteReference"/>
          <w:szCs w:val="18"/>
        </w:rPr>
        <w:footnoteRef/>
      </w:r>
      <w:r w:rsidR="00C50338" w:rsidRPr="003F0DFB">
        <w:rPr>
          <w:szCs w:val="18"/>
        </w:rPr>
        <w:t xml:space="preserve"> </w:t>
      </w:r>
      <w:r>
        <w:rPr>
          <w:szCs w:val="18"/>
        </w:rPr>
        <w:tab/>
      </w:r>
      <w:r w:rsidR="00C50338" w:rsidRPr="0094327D">
        <w:rPr>
          <w:rStyle w:val="NoneB"/>
        </w:rPr>
        <w:t>Ibid</w:t>
      </w:r>
      <w:r w:rsidR="00DE0DE3">
        <w:rPr>
          <w:rStyle w:val="NoneB"/>
        </w:rPr>
        <w:t>.</w:t>
      </w:r>
    </w:p>
  </w:footnote>
  <w:footnote w:id="40">
    <w:p w14:paraId="18BDCB45" w14:textId="097668F1" w:rsidR="005B083E" w:rsidRPr="003F0DFB" w:rsidRDefault="006A2E7C" w:rsidP="0094327D">
      <w:pPr>
        <w:pStyle w:val="FootnoteText"/>
        <w:kinsoku w:val="0"/>
        <w:overflowPunct w:val="0"/>
        <w:autoSpaceDE w:val="0"/>
        <w:autoSpaceDN w:val="0"/>
        <w:adjustRightInd w:val="0"/>
        <w:snapToGrid w:val="0"/>
        <w:spacing w:line="240" w:lineRule="auto"/>
        <w:jc w:val="both"/>
        <w:rPr>
          <w:szCs w:val="18"/>
        </w:rPr>
      </w:pPr>
      <w:bookmarkStart w:id="11" w:name="_Hlk129606428"/>
      <w:r>
        <w:rPr>
          <w:rStyle w:val="NoneB"/>
        </w:rPr>
        <w:tab/>
      </w:r>
      <w:r>
        <w:rPr>
          <w:rStyle w:val="NoneB"/>
        </w:rPr>
        <w:tab/>
      </w:r>
      <w:r w:rsidR="00C41FCD" w:rsidRPr="0094327D">
        <w:rPr>
          <w:rStyle w:val="NoneB"/>
        </w:rPr>
        <w:t>Human</w:t>
      </w:r>
      <w:r w:rsidR="00C41FCD" w:rsidRPr="003F0DFB">
        <w:rPr>
          <w:szCs w:val="18"/>
        </w:rPr>
        <w:t xml:space="preserve"> Rights Watch, </w:t>
      </w:r>
      <w:hyperlink r:id="rId5" w:history="1">
        <w:r w:rsidR="00C41FCD" w:rsidRPr="003F0DFB">
          <w:rPr>
            <w:rStyle w:val="Hyperlink"/>
            <w:szCs w:val="18"/>
          </w:rPr>
          <w:t>https://www.hrw.org/report/2022/05/26/combatting-domestic-violence-turkey/deadly-impact-failure-protect</w:t>
        </w:r>
      </w:hyperlink>
      <w:bookmarkEnd w:id="11"/>
      <w:r w:rsidR="00DE0DE3">
        <w:rPr>
          <w:rStyle w:val="Hyperlink"/>
          <w:szCs w:val="18"/>
        </w:rPr>
        <w:t>.</w:t>
      </w:r>
      <w:r w:rsidR="00C41FCD" w:rsidRPr="003F0DFB">
        <w:rPr>
          <w:szCs w:val="18"/>
        </w:rPr>
        <w:t xml:space="preserve"> </w:t>
      </w:r>
    </w:p>
  </w:footnote>
  <w:footnote w:id="41">
    <w:p w14:paraId="75B7A691" w14:textId="7F3305E0" w:rsidR="005B083E" w:rsidRPr="003F0DFB" w:rsidRDefault="006A2E7C" w:rsidP="0094327D">
      <w:pPr>
        <w:pStyle w:val="FootnoteText"/>
        <w:kinsoku w:val="0"/>
        <w:overflowPunct w:val="0"/>
        <w:autoSpaceDE w:val="0"/>
        <w:autoSpaceDN w:val="0"/>
        <w:adjustRightInd w:val="0"/>
        <w:snapToGrid w:val="0"/>
        <w:spacing w:line="240" w:lineRule="auto"/>
        <w:jc w:val="both"/>
        <w:rPr>
          <w:szCs w:val="18"/>
        </w:rPr>
      </w:pPr>
      <w:r>
        <w:rPr>
          <w:szCs w:val="18"/>
        </w:rPr>
        <w:tab/>
      </w:r>
      <w:r w:rsidR="005B083E" w:rsidRPr="003F0DFB">
        <w:rPr>
          <w:rStyle w:val="FootnoteReference"/>
          <w:szCs w:val="18"/>
        </w:rPr>
        <w:footnoteRef/>
      </w:r>
      <w:r w:rsidR="005B083E" w:rsidRPr="003F0DFB">
        <w:rPr>
          <w:szCs w:val="18"/>
        </w:rPr>
        <w:t xml:space="preserve"> </w:t>
      </w:r>
      <w:r>
        <w:rPr>
          <w:szCs w:val="18"/>
        </w:rPr>
        <w:tab/>
      </w:r>
      <w:r w:rsidR="00E15D61" w:rsidRPr="00E15D61">
        <w:rPr>
          <w:rStyle w:val="NoneB"/>
        </w:rPr>
        <w:t>CEDAW/C/TUR/CO/8</w:t>
      </w:r>
      <w:r w:rsidR="00C22292">
        <w:rPr>
          <w:rStyle w:val="NoneB"/>
        </w:rPr>
        <w:t>.</w:t>
      </w:r>
    </w:p>
  </w:footnote>
  <w:footnote w:id="42">
    <w:p w14:paraId="6DA92377" w14:textId="2CFF62AA" w:rsidR="00115247" w:rsidRPr="003F0DFB" w:rsidRDefault="006A2E7C" w:rsidP="0094327D">
      <w:pPr>
        <w:pStyle w:val="FootnoteText"/>
        <w:kinsoku w:val="0"/>
        <w:overflowPunct w:val="0"/>
        <w:autoSpaceDE w:val="0"/>
        <w:autoSpaceDN w:val="0"/>
        <w:adjustRightInd w:val="0"/>
        <w:snapToGrid w:val="0"/>
        <w:spacing w:line="240" w:lineRule="auto"/>
        <w:jc w:val="both"/>
        <w:rPr>
          <w:szCs w:val="18"/>
        </w:rPr>
      </w:pPr>
      <w:r>
        <w:rPr>
          <w:szCs w:val="18"/>
        </w:rPr>
        <w:tab/>
      </w:r>
      <w:r w:rsidR="00115247" w:rsidRPr="003F0DFB">
        <w:rPr>
          <w:rStyle w:val="FootnoteReference"/>
          <w:szCs w:val="18"/>
        </w:rPr>
        <w:footnoteRef/>
      </w:r>
      <w:r w:rsidR="00115247" w:rsidRPr="003F0DFB">
        <w:rPr>
          <w:szCs w:val="18"/>
        </w:rPr>
        <w:t xml:space="preserve"> </w:t>
      </w:r>
      <w:r>
        <w:rPr>
          <w:szCs w:val="18"/>
        </w:rPr>
        <w:tab/>
      </w:r>
      <w:r w:rsidR="00BC253E" w:rsidRPr="0094327D">
        <w:rPr>
          <w:rStyle w:val="NoneB"/>
        </w:rPr>
        <w:t>Human</w:t>
      </w:r>
      <w:r w:rsidR="00BC253E" w:rsidRPr="003F0DFB">
        <w:rPr>
          <w:szCs w:val="18"/>
        </w:rPr>
        <w:t xml:space="preserve"> Rights Watch, </w:t>
      </w:r>
      <w:hyperlink r:id="rId6" w:history="1">
        <w:r w:rsidR="00BC253E" w:rsidRPr="003F0DFB">
          <w:rPr>
            <w:rStyle w:val="Hyperlink"/>
            <w:szCs w:val="18"/>
          </w:rPr>
          <w:t>https://www.hrw.org/report/2022/05/26/combatting-domestic-violence-turkey/deadly-impact-failure-protect</w:t>
        </w:r>
      </w:hyperlink>
      <w:r w:rsidR="00DE0DE3">
        <w:rPr>
          <w:rStyle w:val="Hyperlink"/>
          <w:szCs w:val="18"/>
        </w:rPr>
        <w:t>.</w:t>
      </w:r>
    </w:p>
  </w:footnote>
  <w:footnote w:id="43">
    <w:p w14:paraId="7CE5F49D" w14:textId="5C78D060" w:rsidR="00191F05" w:rsidRPr="003F0DFB" w:rsidRDefault="006A2E7C" w:rsidP="00761E2B">
      <w:pPr>
        <w:pStyle w:val="FootnoteText"/>
        <w:kinsoku w:val="0"/>
        <w:overflowPunct w:val="0"/>
        <w:autoSpaceDE w:val="0"/>
        <w:autoSpaceDN w:val="0"/>
        <w:adjustRightInd w:val="0"/>
        <w:snapToGrid w:val="0"/>
        <w:spacing w:line="240" w:lineRule="auto"/>
        <w:rPr>
          <w:szCs w:val="18"/>
        </w:rPr>
      </w:pPr>
      <w:r>
        <w:rPr>
          <w:szCs w:val="18"/>
        </w:rPr>
        <w:tab/>
      </w:r>
      <w:r w:rsidR="00191F05" w:rsidRPr="003F0DFB">
        <w:rPr>
          <w:rStyle w:val="FootnoteReference"/>
          <w:szCs w:val="18"/>
        </w:rPr>
        <w:footnoteRef/>
      </w:r>
      <w:r w:rsidR="00191F05" w:rsidRPr="003F0DFB">
        <w:rPr>
          <w:szCs w:val="18"/>
        </w:rPr>
        <w:t xml:space="preserve"> </w:t>
      </w:r>
      <w:r>
        <w:rPr>
          <w:szCs w:val="18"/>
        </w:rPr>
        <w:tab/>
      </w:r>
      <w:r w:rsidR="00191F05" w:rsidRPr="0094327D">
        <w:rPr>
          <w:rStyle w:val="NoneB"/>
        </w:rPr>
        <w:t>Turkey</w:t>
      </w:r>
      <w:r w:rsidR="00191F05" w:rsidRPr="003F0DFB">
        <w:rPr>
          <w:szCs w:val="18"/>
        </w:rPr>
        <w:t xml:space="preserve">-Earthquake: </w:t>
      </w:r>
      <w:proofErr w:type="gramStart"/>
      <w:r w:rsidR="00191F05" w:rsidRPr="003F0DFB">
        <w:rPr>
          <w:szCs w:val="18"/>
        </w:rPr>
        <w:t>Emergency Situation</w:t>
      </w:r>
      <w:proofErr w:type="gramEnd"/>
      <w:r w:rsidR="00191F05" w:rsidRPr="003F0DFB">
        <w:rPr>
          <w:szCs w:val="18"/>
        </w:rPr>
        <w:t xml:space="preserve"> Report (17.02.2023): https://reliefweb.int/report/turkiye/turkey-earthquake-emergency-situation-report-17022023</w:t>
      </w:r>
      <w:r w:rsidR="00DE0DE3">
        <w:rPr>
          <w:szCs w:val="18"/>
        </w:rPr>
        <w:t>.</w:t>
      </w:r>
    </w:p>
  </w:footnote>
  <w:footnote w:id="44">
    <w:p w14:paraId="136DA5AF" w14:textId="0BF2070A" w:rsidR="00DA1C4B" w:rsidRPr="003F0DFB" w:rsidRDefault="00DA1C4B" w:rsidP="0094327D">
      <w:pPr>
        <w:pStyle w:val="FootnoteText"/>
        <w:kinsoku w:val="0"/>
        <w:overflowPunct w:val="0"/>
        <w:autoSpaceDE w:val="0"/>
        <w:autoSpaceDN w:val="0"/>
        <w:adjustRightInd w:val="0"/>
        <w:snapToGrid w:val="0"/>
        <w:spacing w:line="240" w:lineRule="auto"/>
        <w:jc w:val="both"/>
        <w:rPr>
          <w:szCs w:val="18"/>
        </w:rPr>
      </w:pPr>
      <w:r w:rsidRPr="003F0DFB">
        <w:rPr>
          <w:szCs w:val="18"/>
        </w:rPr>
        <w:tab/>
      </w:r>
      <w:r w:rsidR="007B0C9E">
        <w:rPr>
          <w:szCs w:val="18"/>
        </w:rPr>
        <w:tab/>
      </w:r>
      <w:r w:rsidRPr="003F0DFB">
        <w:rPr>
          <w:rStyle w:val="FootnoteReference"/>
          <w:szCs w:val="18"/>
        </w:rPr>
        <w:footnoteRef/>
      </w:r>
      <w:r w:rsidRPr="003F0DFB">
        <w:rPr>
          <w:szCs w:val="18"/>
        </w:rPr>
        <w:t xml:space="preserve"> </w:t>
      </w:r>
      <w:r w:rsidR="007B0C9E">
        <w:rPr>
          <w:szCs w:val="18"/>
        </w:rPr>
        <w:tab/>
      </w:r>
      <w:r w:rsidRPr="0094327D">
        <w:rPr>
          <w:rStyle w:val="NoneB"/>
        </w:rPr>
        <w:t>CRPD</w:t>
      </w:r>
      <w:r w:rsidRPr="003F0DFB">
        <w:rPr>
          <w:szCs w:val="18"/>
        </w:rPr>
        <w:t>/C/TUR/CO/1, para. 34</w:t>
      </w:r>
      <w:r w:rsidR="00DE0DE3">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6B30" w14:textId="77777777" w:rsidR="009C2CA9" w:rsidRPr="00EC54F0" w:rsidRDefault="0009343E">
    <w:pPr>
      <w:pStyle w:val="Header"/>
    </w:pPr>
    <w:fldSimple w:instr=" TITLE  \* MERGEFORMAT ">
      <w:r w:rsidR="00B03828">
        <w:t>A/HRC/50/</w:t>
      </w:r>
      <w:r w:rsidR="00B03828" w:rsidRPr="00134CDC">
        <w:rPr>
          <w:highlight w:val="yellow"/>
        </w:rPr>
        <w:t>XXX</w:t>
      </w:r>
      <w:r w:rsidR="00B03828">
        <w:t>/Add.1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66CD" w14:textId="3B5AFD80" w:rsidR="009C2CA9" w:rsidRPr="00EC54F0" w:rsidRDefault="0009343E" w:rsidP="002B61D2">
    <w:pPr>
      <w:pStyle w:val="Header"/>
    </w:pPr>
    <w:fldSimple w:instr=" TITLE  \* MERGEFORMAT ">
      <w:r w:rsidR="00B03828">
        <w:t>A/HRC/5</w:t>
      </w:r>
      <w:r w:rsidR="00F111E0">
        <w:t>3</w:t>
      </w:r>
      <w:r w:rsidR="00B03828">
        <w:t>/</w:t>
      </w:r>
      <w:r w:rsidR="005B61CF">
        <w:t>36</w:t>
      </w:r>
      <w:r w:rsidR="00B03828">
        <w:t>/Add.1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086"/>
    <w:multiLevelType w:val="hybridMultilevel"/>
    <w:tmpl w:val="ABBAABEC"/>
    <w:lvl w:ilvl="0" w:tplc="EB20C0EE">
      <w:start w:val="1"/>
      <w:numFmt w:val="upperLetter"/>
      <w:lvlText w:val="%1."/>
      <w:lvlJc w:val="left"/>
      <w:pPr>
        <w:ind w:left="1080" w:hanging="360"/>
      </w:pPr>
      <w:rPr>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3B710F"/>
    <w:multiLevelType w:val="hybridMultilevel"/>
    <w:tmpl w:val="BE68316A"/>
    <w:lvl w:ilvl="0" w:tplc="FC62D074">
      <w:start w:val="1"/>
      <w:numFmt w:val="decimal"/>
      <w:lvlText w:val="%1."/>
      <w:lvlJc w:val="left"/>
      <w:pPr>
        <w:ind w:left="1800" w:hanging="360"/>
      </w:pPr>
      <w:rPr>
        <w:b w:val="0"/>
      </w:rPr>
    </w:lvl>
    <w:lvl w:ilvl="1" w:tplc="08090019">
      <w:start w:val="1"/>
      <w:numFmt w:val="lowerLetter"/>
      <w:lvlText w:val="%2."/>
      <w:lvlJc w:val="left"/>
      <w:pPr>
        <w:ind w:left="2455" w:hanging="360"/>
      </w:pPr>
    </w:lvl>
    <w:lvl w:ilvl="2" w:tplc="0809001B" w:tentative="1">
      <w:start w:val="1"/>
      <w:numFmt w:val="lowerRoman"/>
      <w:lvlText w:val="%3."/>
      <w:lvlJc w:val="right"/>
      <w:pPr>
        <w:ind w:left="3175" w:hanging="180"/>
      </w:pPr>
    </w:lvl>
    <w:lvl w:ilvl="3" w:tplc="0809000F" w:tentative="1">
      <w:start w:val="1"/>
      <w:numFmt w:val="decimal"/>
      <w:lvlText w:val="%4."/>
      <w:lvlJc w:val="left"/>
      <w:pPr>
        <w:ind w:left="3895" w:hanging="360"/>
      </w:pPr>
    </w:lvl>
    <w:lvl w:ilvl="4" w:tplc="08090019" w:tentative="1">
      <w:start w:val="1"/>
      <w:numFmt w:val="lowerLetter"/>
      <w:lvlText w:val="%5."/>
      <w:lvlJc w:val="left"/>
      <w:pPr>
        <w:ind w:left="4615" w:hanging="360"/>
      </w:pPr>
    </w:lvl>
    <w:lvl w:ilvl="5" w:tplc="0809001B" w:tentative="1">
      <w:start w:val="1"/>
      <w:numFmt w:val="lowerRoman"/>
      <w:lvlText w:val="%6."/>
      <w:lvlJc w:val="right"/>
      <w:pPr>
        <w:ind w:left="5335" w:hanging="180"/>
      </w:pPr>
    </w:lvl>
    <w:lvl w:ilvl="6" w:tplc="0809000F" w:tentative="1">
      <w:start w:val="1"/>
      <w:numFmt w:val="decimal"/>
      <w:lvlText w:val="%7."/>
      <w:lvlJc w:val="left"/>
      <w:pPr>
        <w:ind w:left="6055" w:hanging="360"/>
      </w:pPr>
    </w:lvl>
    <w:lvl w:ilvl="7" w:tplc="08090019" w:tentative="1">
      <w:start w:val="1"/>
      <w:numFmt w:val="lowerLetter"/>
      <w:lvlText w:val="%8."/>
      <w:lvlJc w:val="left"/>
      <w:pPr>
        <w:ind w:left="6775" w:hanging="360"/>
      </w:pPr>
    </w:lvl>
    <w:lvl w:ilvl="8" w:tplc="0809001B" w:tentative="1">
      <w:start w:val="1"/>
      <w:numFmt w:val="lowerRoman"/>
      <w:lvlText w:val="%9."/>
      <w:lvlJc w:val="right"/>
      <w:pPr>
        <w:ind w:left="7495" w:hanging="180"/>
      </w:pPr>
    </w:lvl>
  </w:abstractNum>
  <w:abstractNum w:abstractNumId="2" w15:restartNumberingAfterBreak="0">
    <w:nsid w:val="255274FC"/>
    <w:multiLevelType w:val="hybridMultilevel"/>
    <w:tmpl w:val="EE803282"/>
    <w:lvl w:ilvl="0" w:tplc="EA82395A">
      <w:start w:val="1"/>
      <w:numFmt w:val="upperLetter"/>
      <w:lvlText w:val="%1."/>
      <w:lvlJc w:val="left"/>
      <w:pPr>
        <w:ind w:left="1080" w:hanging="360"/>
      </w:pPr>
      <w:rPr>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D6708D"/>
    <w:multiLevelType w:val="hybridMultilevel"/>
    <w:tmpl w:val="DC5C6276"/>
    <w:lvl w:ilvl="0" w:tplc="AE7A1D3E">
      <w:start w:val="93"/>
      <w:numFmt w:val="decimal"/>
      <w:lvlText w:val="%1."/>
      <w:lvlJc w:val="left"/>
      <w:pPr>
        <w:ind w:left="1494" w:hanging="36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30A6C"/>
    <w:multiLevelType w:val="hybridMultilevel"/>
    <w:tmpl w:val="C9EE6980"/>
    <w:lvl w:ilvl="0" w:tplc="C4A20194">
      <w:start w:val="1"/>
      <w:numFmt w:val="decimal"/>
      <w:lvlText w:val="%1."/>
      <w:lvlJc w:val="left"/>
      <w:pPr>
        <w:ind w:left="1495" w:hanging="360"/>
      </w:pPr>
      <w:rPr>
        <w:b w:val="0"/>
        <w:bCs w:val="0"/>
        <w:i w:val="0"/>
        <w:iCs w:val="0"/>
      </w:rPr>
    </w:lvl>
    <w:lvl w:ilvl="1" w:tplc="08090019">
      <w:start w:val="1"/>
      <w:numFmt w:val="lowerLetter"/>
      <w:lvlText w:val="%2."/>
      <w:lvlJc w:val="left"/>
      <w:pPr>
        <w:ind w:left="2574" w:hanging="360"/>
      </w:pPr>
    </w:lvl>
    <w:lvl w:ilvl="2" w:tplc="9052240E">
      <w:start w:val="1"/>
      <w:numFmt w:val="upperLetter"/>
      <w:lvlText w:val="%3."/>
      <w:lvlJc w:val="left"/>
      <w:pPr>
        <w:ind w:left="3624" w:hanging="51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E140B8F"/>
    <w:multiLevelType w:val="hybridMultilevel"/>
    <w:tmpl w:val="B4325018"/>
    <w:lvl w:ilvl="0" w:tplc="3D4864BC">
      <w:start w:val="1"/>
      <w:numFmt w:val="lowerLetter"/>
      <w:lvlText w:val="(%1)"/>
      <w:lvlJc w:val="left"/>
      <w:pPr>
        <w:ind w:left="2128" w:hanging="360"/>
      </w:pPr>
      <w:rPr>
        <w:rFonts w:hint="default"/>
        <w:b w:val="0"/>
        <w:bCs/>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6" w15:restartNumberingAfterBreak="0">
    <w:nsid w:val="4E671697"/>
    <w:multiLevelType w:val="hybridMultilevel"/>
    <w:tmpl w:val="CE6CC04E"/>
    <w:lvl w:ilvl="0" w:tplc="F1283DA8">
      <w:start w:val="1"/>
      <w:numFmt w:val="lowerLetter"/>
      <w:lvlText w:val="(%1)"/>
      <w:lvlJc w:val="left"/>
      <w:pPr>
        <w:ind w:left="2521" w:hanging="360"/>
      </w:pPr>
      <w:rPr>
        <w:rFonts w:hint="default"/>
        <w:b w:val="0"/>
        <w:bCs/>
      </w:rPr>
    </w:lvl>
    <w:lvl w:ilvl="1" w:tplc="08090019" w:tentative="1">
      <w:start w:val="1"/>
      <w:numFmt w:val="lowerLetter"/>
      <w:lvlText w:val="%2."/>
      <w:lvlJc w:val="left"/>
      <w:pPr>
        <w:ind w:left="3241" w:hanging="360"/>
      </w:pPr>
    </w:lvl>
    <w:lvl w:ilvl="2" w:tplc="0809001B" w:tentative="1">
      <w:start w:val="1"/>
      <w:numFmt w:val="lowerRoman"/>
      <w:lvlText w:val="%3."/>
      <w:lvlJc w:val="right"/>
      <w:pPr>
        <w:ind w:left="3961" w:hanging="180"/>
      </w:pPr>
    </w:lvl>
    <w:lvl w:ilvl="3" w:tplc="0809000F" w:tentative="1">
      <w:start w:val="1"/>
      <w:numFmt w:val="decimal"/>
      <w:lvlText w:val="%4."/>
      <w:lvlJc w:val="left"/>
      <w:pPr>
        <w:ind w:left="4681" w:hanging="360"/>
      </w:pPr>
    </w:lvl>
    <w:lvl w:ilvl="4" w:tplc="08090019" w:tentative="1">
      <w:start w:val="1"/>
      <w:numFmt w:val="lowerLetter"/>
      <w:lvlText w:val="%5."/>
      <w:lvlJc w:val="left"/>
      <w:pPr>
        <w:ind w:left="5401" w:hanging="360"/>
      </w:pPr>
    </w:lvl>
    <w:lvl w:ilvl="5" w:tplc="0809001B" w:tentative="1">
      <w:start w:val="1"/>
      <w:numFmt w:val="lowerRoman"/>
      <w:lvlText w:val="%6."/>
      <w:lvlJc w:val="right"/>
      <w:pPr>
        <w:ind w:left="6121" w:hanging="180"/>
      </w:pPr>
    </w:lvl>
    <w:lvl w:ilvl="6" w:tplc="0809000F" w:tentative="1">
      <w:start w:val="1"/>
      <w:numFmt w:val="decimal"/>
      <w:lvlText w:val="%7."/>
      <w:lvlJc w:val="left"/>
      <w:pPr>
        <w:ind w:left="6841" w:hanging="360"/>
      </w:pPr>
    </w:lvl>
    <w:lvl w:ilvl="7" w:tplc="08090019" w:tentative="1">
      <w:start w:val="1"/>
      <w:numFmt w:val="lowerLetter"/>
      <w:lvlText w:val="%8."/>
      <w:lvlJc w:val="left"/>
      <w:pPr>
        <w:ind w:left="7561" w:hanging="360"/>
      </w:pPr>
    </w:lvl>
    <w:lvl w:ilvl="8" w:tplc="0809001B" w:tentative="1">
      <w:start w:val="1"/>
      <w:numFmt w:val="lowerRoman"/>
      <w:lvlText w:val="%9."/>
      <w:lvlJc w:val="right"/>
      <w:pPr>
        <w:ind w:left="8281" w:hanging="180"/>
      </w:pPr>
    </w:lvl>
  </w:abstractNum>
  <w:abstractNum w:abstractNumId="7" w15:restartNumberingAfterBreak="0">
    <w:nsid w:val="667906CB"/>
    <w:multiLevelType w:val="hybridMultilevel"/>
    <w:tmpl w:val="FEC2E97A"/>
    <w:lvl w:ilvl="0" w:tplc="2864E8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74412B66"/>
    <w:multiLevelType w:val="hybridMultilevel"/>
    <w:tmpl w:val="0A1AE3BA"/>
    <w:lvl w:ilvl="0" w:tplc="DACEBD28">
      <w:start w:val="1"/>
      <w:numFmt w:val="upperLetter"/>
      <w:lvlText w:val="%1."/>
      <w:lvlJc w:val="left"/>
      <w:pPr>
        <w:ind w:left="1080" w:hanging="360"/>
      </w:pPr>
      <w:rPr>
        <w:b/>
        <w:bCs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51992696">
    <w:abstractNumId w:val="1"/>
  </w:num>
  <w:num w:numId="2" w16cid:durableId="30154694">
    <w:abstractNumId w:val="7"/>
  </w:num>
  <w:num w:numId="3" w16cid:durableId="255402028">
    <w:abstractNumId w:val="6"/>
  </w:num>
  <w:num w:numId="4" w16cid:durableId="1651253459">
    <w:abstractNumId w:val="5"/>
  </w:num>
  <w:num w:numId="5" w16cid:durableId="1034572919">
    <w:abstractNumId w:val="3"/>
  </w:num>
  <w:num w:numId="6" w16cid:durableId="1112432877">
    <w:abstractNumId w:val="4"/>
  </w:num>
  <w:num w:numId="7" w16cid:durableId="1597127916">
    <w:abstractNumId w:val="8"/>
  </w:num>
  <w:num w:numId="8" w16cid:durableId="869105131">
    <w:abstractNumId w:val="0"/>
  </w:num>
  <w:num w:numId="9" w16cid:durableId="195444139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7A"/>
    <w:rsid w:val="00000427"/>
    <w:rsid w:val="00001124"/>
    <w:rsid w:val="00010186"/>
    <w:rsid w:val="000101A4"/>
    <w:rsid w:val="0001025B"/>
    <w:rsid w:val="00011A55"/>
    <w:rsid w:val="00014C33"/>
    <w:rsid w:val="00022BE9"/>
    <w:rsid w:val="00024B2D"/>
    <w:rsid w:val="00030599"/>
    <w:rsid w:val="000351AF"/>
    <w:rsid w:val="00035F2D"/>
    <w:rsid w:val="000604B7"/>
    <w:rsid w:val="00061924"/>
    <w:rsid w:val="0006365B"/>
    <w:rsid w:val="00073A32"/>
    <w:rsid w:val="0007409E"/>
    <w:rsid w:val="00080A51"/>
    <w:rsid w:val="0008405E"/>
    <w:rsid w:val="0009343E"/>
    <w:rsid w:val="00097753"/>
    <w:rsid w:val="00097FF6"/>
    <w:rsid w:val="000A183D"/>
    <w:rsid w:val="000A68BD"/>
    <w:rsid w:val="000A7C39"/>
    <w:rsid w:val="000B1512"/>
    <w:rsid w:val="000B3768"/>
    <w:rsid w:val="000B6D05"/>
    <w:rsid w:val="000B6F4D"/>
    <w:rsid w:val="000C0BB4"/>
    <w:rsid w:val="000C59C4"/>
    <w:rsid w:val="000D0041"/>
    <w:rsid w:val="000D1AC6"/>
    <w:rsid w:val="000D3AA5"/>
    <w:rsid w:val="000D7017"/>
    <w:rsid w:val="000E2A7E"/>
    <w:rsid w:val="000F2DE4"/>
    <w:rsid w:val="000F40E2"/>
    <w:rsid w:val="00102DE3"/>
    <w:rsid w:val="001057C1"/>
    <w:rsid w:val="00110169"/>
    <w:rsid w:val="001118AF"/>
    <w:rsid w:val="00115247"/>
    <w:rsid w:val="00117784"/>
    <w:rsid w:val="00135412"/>
    <w:rsid w:val="00136803"/>
    <w:rsid w:val="00142199"/>
    <w:rsid w:val="00144250"/>
    <w:rsid w:val="001559F8"/>
    <w:rsid w:val="00161FBA"/>
    <w:rsid w:val="0017139F"/>
    <w:rsid w:val="00171433"/>
    <w:rsid w:val="00173B76"/>
    <w:rsid w:val="001813DE"/>
    <w:rsid w:val="0018572D"/>
    <w:rsid w:val="00186B1E"/>
    <w:rsid w:val="00187BB1"/>
    <w:rsid w:val="00191F05"/>
    <w:rsid w:val="001953FC"/>
    <w:rsid w:val="0019562D"/>
    <w:rsid w:val="001A1880"/>
    <w:rsid w:val="001B3113"/>
    <w:rsid w:val="001B3A26"/>
    <w:rsid w:val="001B5118"/>
    <w:rsid w:val="001C3A28"/>
    <w:rsid w:val="001C7B46"/>
    <w:rsid w:val="001D3245"/>
    <w:rsid w:val="001F326C"/>
    <w:rsid w:val="001F7522"/>
    <w:rsid w:val="002059D4"/>
    <w:rsid w:val="00206AC8"/>
    <w:rsid w:val="002165ED"/>
    <w:rsid w:val="00217AC9"/>
    <w:rsid w:val="0022055E"/>
    <w:rsid w:val="00220968"/>
    <w:rsid w:val="00233279"/>
    <w:rsid w:val="0024799C"/>
    <w:rsid w:val="00267FC1"/>
    <w:rsid w:val="00271383"/>
    <w:rsid w:val="002746D9"/>
    <w:rsid w:val="002828F8"/>
    <w:rsid w:val="0028420F"/>
    <w:rsid w:val="002853AC"/>
    <w:rsid w:val="0028582B"/>
    <w:rsid w:val="00290647"/>
    <w:rsid w:val="0029409C"/>
    <w:rsid w:val="002A078E"/>
    <w:rsid w:val="002A71D4"/>
    <w:rsid w:val="002B443C"/>
    <w:rsid w:val="002B61D2"/>
    <w:rsid w:val="002C0879"/>
    <w:rsid w:val="002D1D1F"/>
    <w:rsid w:val="002D371B"/>
    <w:rsid w:val="002E07EF"/>
    <w:rsid w:val="002E291A"/>
    <w:rsid w:val="002E4992"/>
    <w:rsid w:val="002E7AC7"/>
    <w:rsid w:val="002F0AB0"/>
    <w:rsid w:val="002F3C40"/>
    <w:rsid w:val="002F400B"/>
    <w:rsid w:val="002F7A9D"/>
    <w:rsid w:val="00302917"/>
    <w:rsid w:val="0030434E"/>
    <w:rsid w:val="0030462C"/>
    <w:rsid w:val="00304E96"/>
    <w:rsid w:val="00306709"/>
    <w:rsid w:val="00320AE1"/>
    <w:rsid w:val="00320F1D"/>
    <w:rsid w:val="0032524E"/>
    <w:rsid w:val="003347A0"/>
    <w:rsid w:val="003350C2"/>
    <w:rsid w:val="00341C9F"/>
    <w:rsid w:val="00343CB5"/>
    <w:rsid w:val="00347553"/>
    <w:rsid w:val="0035211D"/>
    <w:rsid w:val="003557C1"/>
    <w:rsid w:val="0035774D"/>
    <w:rsid w:val="00366F11"/>
    <w:rsid w:val="00367EFF"/>
    <w:rsid w:val="003826E7"/>
    <w:rsid w:val="00392EB5"/>
    <w:rsid w:val="003946D5"/>
    <w:rsid w:val="003972E5"/>
    <w:rsid w:val="003A1A39"/>
    <w:rsid w:val="003A48DF"/>
    <w:rsid w:val="003D354F"/>
    <w:rsid w:val="003D5F4F"/>
    <w:rsid w:val="003E6591"/>
    <w:rsid w:val="003F0DFB"/>
    <w:rsid w:val="003F0E28"/>
    <w:rsid w:val="003F5AE1"/>
    <w:rsid w:val="00402CFF"/>
    <w:rsid w:val="004038D0"/>
    <w:rsid w:val="00406E1C"/>
    <w:rsid w:val="00420532"/>
    <w:rsid w:val="00420537"/>
    <w:rsid w:val="00426D48"/>
    <w:rsid w:val="004322CF"/>
    <w:rsid w:val="00434A53"/>
    <w:rsid w:val="00436711"/>
    <w:rsid w:val="00437416"/>
    <w:rsid w:val="004428A7"/>
    <w:rsid w:val="004551DD"/>
    <w:rsid w:val="00462779"/>
    <w:rsid w:val="004632EF"/>
    <w:rsid w:val="00466FAF"/>
    <w:rsid w:val="00472720"/>
    <w:rsid w:val="00472D4E"/>
    <w:rsid w:val="004732D9"/>
    <w:rsid w:val="00473BE9"/>
    <w:rsid w:val="004746E6"/>
    <w:rsid w:val="004849AD"/>
    <w:rsid w:val="00487AFD"/>
    <w:rsid w:val="004925C4"/>
    <w:rsid w:val="004A2F9C"/>
    <w:rsid w:val="004A4C51"/>
    <w:rsid w:val="004B64B1"/>
    <w:rsid w:val="004C31F8"/>
    <w:rsid w:val="004C7D67"/>
    <w:rsid w:val="004F0111"/>
    <w:rsid w:val="004F095A"/>
    <w:rsid w:val="004F0E53"/>
    <w:rsid w:val="004F3408"/>
    <w:rsid w:val="004F50EA"/>
    <w:rsid w:val="004F6505"/>
    <w:rsid w:val="004F7ECF"/>
    <w:rsid w:val="004F7FAF"/>
    <w:rsid w:val="005122E6"/>
    <w:rsid w:val="00513715"/>
    <w:rsid w:val="0052771B"/>
    <w:rsid w:val="00530FC0"/>
    <w:rsid w:val="005332EA"/>
    <w:rsid w:val="0053501A"/>
    <w:rsid w:val="005418D3"/>
    <w:rsid w:val="00544F68"/>
    <w:rsid w:val="00545C1C"/>
    <w:rsid w:val="005545D4"/>
    <w:rsid w:val="00556D58"/>
    <w:rsid w:val="00566E84"/>
    <w:rsid w:val="0057336E"/>
    <w:rsid w:val="00575CD4"/>
    <w:rsid w:val="0058279E"/>
    <w:rsid w:val="00586583"/>
    <w:rsid w:val="00587A44"/>
    <w:rsid w:val="0059455B"/>
    <w:rsid w:val="00595482"/>
    <w:rsid w:val="005A08D8"/>
    <w:rsid w:val="005A72CF"/>
    <w:rsid w:val="005B083E"/>
    <w:rsid w:val="005B61CF"/>
    <w:rsid w:val="005C04EF"/>
    <w:rsid w:val="005C160C"/>
    <w:rsid w:val="005C3892"/>
    <w:rsid w:val="005C7668"/>
    <w:rsid w:val="005D0509"/>
    <w:rsid w:val="005D1A3D"/>
    <w:rsid w:val="005D2B03"/>
    <w:rsid w:val="005D5FAE"/>
    <w:rsid w:val="005E0453"/>
    <w:rsid w:val="005E36B3"/>
    <w:rsid w:val="005E654E"/>
    <w:rsid w:val="005F1200"/>
    <w:rsid w:val="0060079C"/>
    <w:rsid w:val="006102C9"/>
    <w:rsid w:val="006134AB"/>
    <w:rsid w:val="00625B57"/>
    <w:rsid w:val="00630846"/>
    <w:rsid w:val="00641DE3"/>
    <w:rsid w:val="0064563B"/>
    <w:rsid w:val="00657AC4"/>
    <w:rsid w:val="00660846"/>
    <w:rsid w:val="006702C3"/>
    <w:rsid w:val="00671ABC"/>
    <w:rsid w:val="006730B2"/>
    <w:rsid w:val="00685987"/>
    <w:rsid w:val="00692753"/>
    <w:rsid w:val="006930A1"/>
    <w:rsid w:val="00694581"/>
    <w:rsid w:val="006A218A"/>
    <w:rsid w:val="006A2E7C"/>
    <w:rsid w:val="006A5824"/>
    <w:rsid w:val="006C0DE3"/>
    <w:rsid w:val="006C3A3E"/>
    <w:rsid w:val="006C6ED1"/>
    <w:rsid w:val="006D4247"/>
    <w:rsid w:val="006F643A"/>
    <w:rsid w:val="006F7557"/>
    <w:rsid w:val="006F7C7C"/>
    <w:rsid w:val="0070233B"/>
    <w:rsid w:val="00710771"/>
    <w:rsid w:val="007114D3"/>
    <w:rsid w:val="00715341"/>
    <w:rsid w:val="00720729"/>
    <w:rsid w:val="00723365"/>
    <w:rsid w:val="0072358D"/>
    <w:rsid w:val="00724749"/>
    <w:rsid w:val="007262EC"/>
    <w:rsid w:val="00733495"/>
    <w:rsid w:val="00737E54"/>
    <w:rsid w:val="00737EDB"/>
    <w:rsid w:val="007457FD"/>
    <w:rsid w:val="007508FB"/>
    <w:rsid w:val="00761E2B"/>
    <w:rsid w:val="007620BF"/>
    <w:rsid w:val="0077505F"/>
    <w:rsid w:val="00797B53"/>
    <w:rsid w:val="007A2629"/>
    <w:rsid w:val="007A2CCA"/>
    <w:rsid w:val="007B0C9E"/>
    <w:rsid w:val="007B1F56"/>
    <w:rsid w:val="007B5C8E"/>
    <w:rsid w:val="007C3F96"/>
    <w:rsid w:val="007D7A1E"/>
    <w:rsid w:val="007E0396"/>
    <w:rsid w:val="007E0794"/>
    <w:rsid w:val="007E3A4D"/>
    <w:rsid w:val="007E3E01"/>
    <w:rsid w:val="007E51B0"/>
    <w:rsid w:val="007E549B"/>
    <w:rsid w:val="007F6E6F"/>
    <w:rsid w:val="007F720E"/>
    <w:rsid w:val="00801A05"/>
    <w:rsid w:val="008077BA"/>
    <w:rsid w:val="00815EFA"/>
    <w:rsid w:val="00833AB1"/>
    <w:rsid w:val="00841797"/>
    <w:rsid w:val="008437D6"/>
    <w:rsid w:val="00845C39"/>
    <w:rsid w:val="00850EA8"/>
    <w:rsid w:val="00855000"/>
    <w:rsid w:val="00857E07"/>
    <w:rsid w:val="00860098"/>
    <w:rsid w:val="00861A8B"/>
    <w:rsid w:val="00863345"/>
    <w:rsid w:val="00863ABB"/>
    <w:rsid w:val="00870F8F"/>
    <w:rsid w:val="00872FCD"/>
    <w:rsid w:val="00881BFB"/>
    <w:rsid w:val="00881FF5"/>
    <w:rsid w:val="00885319"/>
    <w:rsid w:val="00886697"/>
    <w:rsid w:val="008868B5"/>
    <w:rsid w:val="00893882"/>
    <w:rsid w:val="00895073"/>
    <w:rsid w:val="00895FC2"/>
    <w:rsid w:val="008A0DCD"/>
    <w:rsid w:val="008B2666"/>
    <w:rsid w:val="008B2EAB"/>
    <w:rsid w:val="008B4365"/>
    <w:rsid w:val="008C34CC"/>
    <w:rsid w:val="008C4120"/>
    <w:rsid w:val="008C4355"/>
    <w:rsid w:val="008D7229"/>
    <w:rsid w:val="008E2EA7"/>
    <w:rsid w:val="008F09AF"/>
    <w:rsid w:val="008F338E"/>
    <w:rsid w:val="008F4A2C"/>
    <w:rsid w:val="00900430"/>
    <w:rsid w:val="009051BE"/>
    <w:rsid w:val="00906706"/>
    <w:rsid w:val="009114FE"/>
    <w:rsid w:val="00911853"/>
    <w:rsid w:val="00912E71"/>
    <w:rsid w:val="00914B33"/>
    <w:rsid w:val="009152B1"/>
    <w:rsid w:val="009207D3"/>
    <w:rsid w:val="0092385E"/>
    <w:rsid w:val="0092413A"/>
    <w:rsid w:val="009251E9"/>
    <w:rsid w:val="009268A5"/>
    <w:rsid w:val="009403C2"/>
    <w:rsid w:val="0094327D"/>
    <w:rsid w:val="00944A0C"/>
    <w:rsid w:val="00944F30"/>
    <w:rsid w:val="00966E0B"/>
    <w:rsid w:val="00973712"/>
    <w:rsid w:val="009750DF"/>
    <w:rsid w:val="00976BB9"/>
    <w:rsid w:val="0098119C"/>
    <w:rsid w:val="00983B8E"/>
    <w:rsid w:val="00985DB9"/>
    <w:rsid w:val="00993AAA"/>
    <w:rsid w:val="009B0B60"/>
    <w:rsid w:val="009B19DA"/>
    <w:rsid w:val="009C07BC"/>
    <w:rsid w:val="009C14F1"/>
    <w:rsid w:val="009C203B"/>
    <w:rsid w:val="009C2CA9"/>
    <w:rsid w:val="009D2D28"/>
    <w:rsid w:val="009D3CF5"/>
    <w:rsid w:val="009D5F95"/>
    <w:rsid w:val="009D74A7"/>
    <w:rsid w:val="009E33F7"/>
    <w:rsid w:val="009E610C"/>
    <w:rsid w:val="009F3108"/>
    <w:rsid w:val="009F65B7"/>
    <w:rsid w:val="009F794C"/>
    <w:rsid w:val="00A00BE8"/>
    <w:rsid w:val="00A0556A"/>
    <w:rsid w:val="00A1053E"/>
    <w:rsid w:val="00A137D8"/>
    <w:rsid w:val="00A177B6"/>
    <w:rsid w:val="00A17866"/>
    <w:rsid w:val="00A233C6"/>
    <w:rsid w:val="00A23FDF"/>
    <w:rsid w:val="00A31FAA"/>
    <w:rsid w:val="00A478ED"/>
    <w:rsid w:val="00A522DE"/>
    <w:rsid w:val="00A546BA"/>
    <w:rsid w:val="00A65D83"/>
    <w:rsid w:val="00A70321"/>
    <w:rsid w:val="00A75389"/>
    <w:rsid w:val="00A763F1"/>
    <w:rsid w:val="00A7641F"/>
    <w:rsid w:val="00A814DD"/>
    <w:rsid w:val="00A81520"/>
    <w:rsid w:val="00A816F0"/>
    <w:rsid w:val="00A84139"/>
    <w:rsid w:val="00A85BFE"/>
    <w:rsid w:val="00A85D89"/>
    <w:rsid w:val="00A907ED"/>
    <w:rsid w:val="00A93445"/>
    <w:rsid w:val="00A941C3"/>
    <w:rsid w:val="00A95BCE"/>
    <w:rsid w:val="00A964F8"/>
    <w:rsid w:val="00A96D99"/>
    <w:rsid w:val="00AA4622"/>
    <w:rsid w:val="00AB537A"/>
    <w:rsid w:val="00AC01CF"/>
    <w:rsid w:val="00AC370B"/>
    <w:rsid w:val="00AC77A1"/>
    <w:rsid w:val="00AD13B9"/>
    <w:rsid w:val="00AD1797"/>
    <w:rsid w:val="00AD7976"/>
    <w:rsid w:val="00AE0B38"/>
    <w:rsid w:val="00AE0E3F"/>
    <w:rsid w:val="00AE55F5"/>
    <w:rsid w:val="00AE63B0"/>
    <w:rsid w:val="00AF54AE"/>
    <w:rsid w:val="00B00656"/>
    <w:rsid w:val="00B03828"/>
    <w:rsid w:val="00B057E7"/>
    <w:rsid w:val="00B1531C"/>
    <w:rsid w:val="00B37047"/>
    <w:rsid w:val="00B37E4F"/>
    <w:rsid w:val="00B50D1E"/>
    <w:rsid w:val="00B54534"/>
    <w:rsid w:val="00B54C8D"/>
    <w:rsid w:val="00B606D1"/>
    <w:rsid w:val="00B61352"/>
    <w:rsid w:val="00B62004"/>
    <w:rsid w:val="00B67345"/>
    <w:rsid w:val="00B74807"/>
    <w:rsid w:val="00B87687"/>
    <w:rsid w:val="00B96327"/>
    <w:rsid w:val="00BA00DA"/>
    <w:rsid w:val="00BA0D19"/>
    <w:rsid w:val="00BA468D"/>
    <w:rsid w:val="00BA599B"/>
    <w:rsid w:val="00BA68B8"/>
    <w:rsid w:val="00BB1561"/>
    <w:rsid w:val="00BC253E"/>
    <w:rsid w:val="00BD7599"/>
    <w:rsid w:val="00BE561E"/>
    <w:rsid w:val="00BE5B56"/>
    <w:rsid w:val="00BE6EEB"/>
    <w:rsid w:val="00BF18B1"/>
    <w:rsid w:val="00BF32A0"/>
    <w:rsid w:val="00C038C4"/>
    <w:rsid w:val="00C03DE4"/>
    <w:rsid w:val="00C04276"/>
    <w:rsid w:val="00C22292"/>
    <w:rsid w:val="00C234B1"/>
    <w:rsid w:val="00C24BCA"/>
    <w:rsid w:val="00C25AB4"/>
    <w:rsid w:val="00C346A8"/>
    <w:rsid w:val="00C34CE1"/>
    <w:rsid w:val="00C36FB8"/>
    <w:rsid w:val="00C41FCD"/>
    <w:rsid w:val="00C44465"/>
    <w:rsid w:val="00C46245"/>
    <w:rsid w:val="00C47222"/>
    <w:rsid w:val="00C50338"/>
    <w:rsid w:val="00C53303"/>
    <w:rsid w:val="00C53DAB"/>
    <w:rsid w:val="00C606EB"/>
    <w:rsid w:val="00C63119"/>
    <w:rsid w:val="00C64A9E"/>
    <w:rsid w:val="00C655DD"/>
    <w:rsid w:val="00C71855"/>
    <w:rsid w:val="00C9755D"/>
    <w:rsid w:val="00CB5078"/>
    <w:rsid w:val="00CC58D0"/>
    <w:rsid w:val="00CC7166"/>
    <w:rsid w:val="00CD0ECE"/>
    <w:rsid w:val="00CD171B"/>
    <w:rsid w:val="00CE2192"/>
    <w:rsid w:val="00CF0A72"/>
    <w:rsid w:val="00CF2B08"/>
    <w:rsid w:val="00CF69A7"/>
    <w:rsid w:val="00D005D4"/>
    <w:rsid w:val="00D01B75"/>
    <w:rsid w:val="00D02799"/>
    <w:rsid w:val="00D02CB6"/>
    <w:rsid w:val="00D03EB5"/>
    <w:rsid w:val="00D05CB6"/>
    <w:rsid w:val="00D07A1F"/>
    <w:rsid w:val="00D150F6"/>
    <w:rsid w:val="00D402D3"/>
    <w:rsid w:val="00D40E1B"/>
    <w:rsid w:val="00D41204"/>
    <w:rsid w:val="00D43AF8"/>
    <w:rsid w:val="00D459EE"/>
    <w:rsid w:val="00D56EB3"/>
    <w:rsid w:val="00D57B39"/>
    <w:rsid w:val="00D7095C"/>
    <w:rsid w:val="00D71B45"/>
    <w:rsid w:val="00D71C6D"/>
    <w:rsid w:val="00D757AD"/>
    <w:rsid w:val="00D76092"/>
    <w:rsid w:val="00D81C52"/>
    <w:rsid w:val="00D8513F"/>
    <w:rsid w:val="00DA1C4B"/>
    <w:rsid w:val="00DB3FEC"/>
    <w:rsid w:val="00DB6522"/>
    <w:rsid w:val="00DC0DB8"/>
    <w:rsid w:val="00DC1275"/>
    <w:rsid w:val="00DC61DF"/>
    <w:rsid w:val="00DD0796"/>
    <w:rsid w:val="00DD0FF5"/>
    <w:rsid w:val="00DD5BA3"/>
    <w:rsid w:val="00DE0DE3"/>
    <w:rsid w:val="00DE1098"/>
    <w:rsid w:val="00DF75B0"/>
    <w:rsid w:val="00E05331"/>
    <w:rsid w:val="00E12698"/>
    <w:rsid w:val="00E13016"/>
    <w:rsid w:val="00E1320A"/>
    <w:rsid w:val="00E13F78"/>
    <w:rsid w:val="00E1539A"/>
    <w:rsid w:val="00E15D61"/>
    <w:rsid w:val="00E17F10"/>
    <w:rsid w:val="00E227CA"/>
    <w:rsid w:val="00E2283C"/>
    <w:rsid w:val="00E25EDF"/>
    <w:rsid w:val="00E27636"/>
    <w:rsid w:val="00E33E83"/>
    <w:rsid w:val="00E35506"/>
    <w:rsid w:val="00E4050E"/>
    <w:rsid w:val="00E46FCA"/>
    <w:rsid w:val="00E609BB"/>
    <w:rsid w:val="00E61283"/>
    <w:rsid w:val="00E61364"/>
    <w:rsid w:val="00E65172"/>
    <w:rsid w:val="00E82D6E"/>
    <w:rsid w:val="00E85B35"/>
    <w:rsid w:val="00E92BC5"/>
    <w:rsid w:val="00EA7D65"/>
    <w:rsid w:val="00EB6D05"/>
    <w:rsid w:val="00EC0330"/>
    <w:rsid w:val="00EC54EF"/>
    <w:rsid w:val="00ED5B1D"/>
    <w:rsid w:val="00EE0BFF"/>
    <w:rsid w:val="00EE344F"/>
    <w:rsid w:val="00EF05AD"/>
    <w:rsid w:val="00EF104A"/>
    <w:rsid w:val="00EF3486"/>
    <w:rsid w:val="00EF4579"/>
    <w:rsid w:val="00EF7DF9"/>
    <w:rsid w:val="00F04673"/>
    <w:rsid w:val="00F111E0"/>
    <w:rsid w:val="00F12A46"/>
    <w:rsid w:val="00F17DC4"/>
    <w:rsid w:val="00F33E3D"/>
    <w:rsid w:val="00F3613B"/>
    <w:rsid w:val="00F53C58"/>
    <w:rsid w:val="00F576E7"/>
    <w:rsid w:val="00F62BBA"/>
    <w:rsid w:val="00F63F79"/>
    <w:rsid w:val="00F65194"/>
    <w:rsid w:val="00F73335"/>
    <w:rsid w:val="00F7389A"/>
    <w:rsid w:val="00F819B2"/>
    <w:rsid w:val="00F8680F"/>
    <w:rsid w:val="00F90E54"/>
    <w:rsid w:val="00F929DB"/>
    <w:rsid w:val="00F94E12"/>
    <w:rsid w:val="00F955F9"/>
    <w:rsid w:val="00F9714A"/>
    <w:rsid w:val="00FA2F7C"/>
    <w:rsid w:val="00FA6ED3"/>
    <w:rsid w:val="00FB0D9E"/>
    <w:rsid w:val="00FB1484"/>
    <w:rsid w:val="00FB5FCC"/>
    <w:rsid w:val="00FC1559"/>
    <w:rsid w:val="00FC7FBD"/>
    <w:rsid w:val="00FD4FC3"/>
    <w:rsid w:val="00FD6368"/>
    <w:rsid w:val="00FE29FB"/>
    <w:rsid w:val="00FE42AC"/>
    <w:rsid w:val="00FF0649"/>
    <w:rsid w:val="00FF7A63"/>
    <w:rsid w:val="00FF7F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8467"/>
  <w15:docId w15:val="{732FC6C4-A359-41FB-9B1E-6C46D9F5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44"/>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B537A"/>
    <w:pPr>
      <w:spacing w:after="120"/>
      <w:ind w:left="1134" w:right="1134"/>
      <w:jc w:val="both"/>
    </w:pPr>
  </w:style>
  <w:style w:type="paragraph" w:customStyle="1" w:styleId="HChG">
    <w:name w:val="_ H _Ch_G"/>
    <w:basedOn w:val="Normal"/>
    <w:next w:val="Normal"/>
    <w:link w:val="HChGChar"/>
    <w:qFormat/>
    <w:rsid w:val="00AB537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f,Ref"/>
    <w:basedOn w:val="DefaultParagraphFont"/>
    <w:link w:val="Char2"/>
    <w:qFormat/>
    <w:rsid w:val="00AB537A"/>
    <w:rPr>
      <w:rFonts w:ascii="Times New Roman" w:hAnsi="Times New Roman"/>
      <w:sz w:val="18"/>
      <w:vertAlign w:val="superscript"/>
    </w:rPr>
  </w:style>
  <w:style w:type="paragraph" w:styleId="Header">
    <w:name w:val="header"/>
    <w:aliases w:val="6_G"/>
    <w:basedOn w:val="Normal"/>
    <w:link w:val="HeaderChar"/>
    <w:qFormat/>
    <w:rsid w:val="00AB53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B537A"/>
    <w:rPr>
      <w:rFonts w:ascii="Times New Roman" w:eastAsia="Times New Roman" w:hAnsi="Times New Roman" w:cs="Times New Roman"/>
      <w:b/>
      <w:sz w:val="18"/>
      <w:szCs w:val="20"/>
    </w:rPr>
  </w:style>
  <w:style w:type="table" w:styleId="TableGrid">
    <w:name w:val="Table Grid"/>
    <w:basedOn w:val="TableNormal"/>
    <w:rsid w:val="00AB537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AB537A"/>
    <w:rPr>
      <w:color w:val="auto"/>
      <w:u w:val="none"/>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t,single space"/>
    <w:basedOn w:val="Normal"/>
    <w:link w:val="FootnoteTextChar"/>
    <w:uiPriority w:val="99"/>
    <w:qFormat/>
    <w:rsid w:val="00AB537A"/>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single space Char"/>
    <w:basedOn w:val="DefaultParagraphFont"/>
    <w:link w:val="FootnoteText"/>
    <w:uiPriority w:val="99"/>
    <w:rsid w:val="00AB537A"/>
    <w:rPr>
      <w:rFonts w:ascii="Times New Roman" w:eastAsia="Times New Roman" w:hAnsi="Times New Roman" w:cs="Times New Roman"/>
      <w:sz w:val="18"/>
      <w:szCs w:val="20"/>
    </w:rPr>
  </w:style>
  <w:style w:type="paragraph" w:styleId="Footer">
    <w:name w:val="footer"/>
    <w:aliases w:val="3_G"/>
    <w:basedOn w:val="Normal"/>
    <w:link w:val="FooterChar"/>
    <w:qFormat/>
    <w:rsid w:val="00AB537A"/>
    <w:pPr>
      <w:spacing w:line="240" w:lineRule="auto"/>
    </w:pPr>
    <w:rPr>
      <w:sz w:val="16"/>
    </w:rPr>
  </w:style>
  <w:style w:type="character" w:customStyle="1" w:styleId="FooterChar">
    <w:name w:val="Footer Char"/>
    <w:aliases w:val="3_G Char"/>
    <w:basedOn w:val="DefaultParagraphFont"/>
    <w:link w:val="Footer"/>
    <w:rsid w:val="00AB537A"/>
    <w:rPr>
      <w:rFonts w:ascii="Times New Roman" w:eastAsia="Times New Roman" w:hAnsi="Times New Roman" w:cs="Times New Roman"/>
      <w:sz w:val="16"/>
      <w:szCs w:val="20"/>
    </w:rPr>
  </w:style>
  <w:style w:type="paragraph" w:customStyle="1" w:styleId="H1G">
    <w:name w:val="_ H_1_G"/>
    <w:basedOn w:val="Normal"/>
    <w:next w:val="Normal"/>
    <w:qFormat/>
    <w:rsid w:val="00AB537A"/>
    <w:pPr>
      <w:keepNext/>
      <w:keepLines/>
      <w:tabs>
        <w:tab w:val="right" w:pos="851"/>
      </w:tabs>
      <w:spacing w:before="360" w:after="240" w:line="270" w:lineRule="exact"/>
      <w:ind w:left="1134" w:right="1134" w:hanging="1134"/>
    </w:pPr>
    <w:rPr>
      <w:b/>
      <w:sz w:val="24"/>
    </w:rPr>
  </w:style>
  <w:style w:type="paragraph" w:customStyle="1" w:styleId="Body">
    <w:name w:val="Body"/>
    <w:rsid w:val="00AB537A"/>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eastAsia="en-GB"/>
    </w:rPr>
  </w:style>
  <w:style w:type="character" w:customStyle="1" w:styleId="HChGChar">
    <w:name w:val="_ H _Ch_G Char"/>
    <w:link w:val="HChG"/>
    <w:rsid w:val="00AB537A"/>
    <w:rPr>
      <w:rFonts w:ascii="Times New Roman" w:eastAsia="Times New Roman" w:hAnsi="Times New Roman" w:cs="Times New Roman"/>
      <w:b/>
      <w:sz w:val="28"/>
      <w:szCs w:val="20"/>
    </w:rPr>
  </w:style>
  <w:style w:type="paragraph" w:customStyle="1" w:styleId="BodyA">
    <w:name w:val="Body A"/>
    <w:rsid w:val="00AB537A"/>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0"/>
      <w:szCs w:val="20"/>
      <w:u w:color="000000"/>
      <w:bdr w:val="nil"/>
      <w:lang w:val="en-US" w:eastAsia="en-GB"/>
    </w:rPr>
  </w:style>
  <w:style w:type="paragraph" w:customStyle="1" w:styleId="Default">
    <w:name w:val="Default"/>
    <w:rsid w:val="00AB537A"/>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u w:color="000000"/>
      <w:bdr w:val="nil"/>
      <w:lang w:val="en-US" w:eastAsia="en-GB"/>
    </w:rPr>
  </w:style>
  <w:style w:type="paragraph" w:customStyle="1" w:styleId="BodyB">
    <w:name w:val="Body B"/>
    <w:rsid w:val="00AB537A"/>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uiPriority w:val="99"/>
    <w:rsid w:val="00AB537A"/>
    <w:pPr>
      <w:pBdr>
        <w:top w:val="nil"/>
        <w:left w:val="nil"/>
        <w:bottom w:val="nil"/>
        <w:right w:val="nil"/>
        <w:between w:val="nil"/>
        <w:bar w:val="nil"/>
      </w:pBdr>
      <w:suppressAutoHyphens/>
      <w:spacing w:before="100" w:after="100" w:line="240" w:lineRule="atLeast"/>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AB537A"/>
  </w:style>
  <w:style w:type="character" w:customStyle="1" w:styleId="SingleTxtGChar">
    <w:name w:val="_ Single Txt_G Char"/>
    <w:link w:val="SingleTxtG"/>
    <w:rsid w:val="00AB537A"/>
    <w:rPr>
      <w:rFonts w:ascii="Times New Roman" w:eastAsia="Times New Roman" w:hAnsi="Times New Roman" w:cs="Times New Roman"/>
      <w:sz w:val="20"/>
      <w:szCs w:val="20"/>
    </w:rPr>
  </w:style>
  <w:style w:type="character" w:customStyle="1" w:styleId="NoneB">
    <w:name w:val="None B"/>
    <w:rsid w:val="00AB537A"/>
    <w:rPr>
      <w:lang w:val="en-US"/>
    </w:rPr>
  </w:style>
  <w:style w:type="character" w:customStyle="1" w:styleId="A5">
    <w:name w:val="A5"/>
    <w:uiPriority w:val="99"/>
    <w:rsid w:val="00AB537A"/>
    <w:rPr>
      <w:rFonts w:cs="Mogul Helios"/>
      <w:color w:val="000000"/>
      <w:sz w:val="22"/>
      <w:szCs w:val="22"/>
    </w:rPr>
  </w:style>
  <w:style w:type="character" w:customStyle="1" w:styleId="apple-converted-space">
    <w:name w:val="apple-converted-space"/>
    <w:basedOn w:val="DefaultParagraphFont"/>
    <w:rsid w:val="00AB537A"/>
  </w:style>
  <w:style w:type="paragraph" w:styleId="ListParagraph">
    <w:name w:val="List Paragraph"/>
    <w:basedOn w:val="Normal"/>
    <w:uiPriority w:val="34"/>
    <w:qFormat/>
    <w:rsid w:val="00E13016"/>
    <w:pPr>
      <w:ind w:left="720"/>
      <w:contextualSpacing/>
    </w:pPr>
  </w:style>
  <w:style w:type="character" w:styleId="UnresolvedMention">
    <w:name w:val="Unresolved Mention"/>
    <w:basedOn w:val="DefaultParagraphFont"/>
    <w:uiPriority w:val="99"/>
    <w:semiHidden/>
    <w:unhideWhenUsed/>
    <w:rsid w:val="00911853"/>
    <w:rPr>
      <w:color w:val="605E5C"/>
      <w:shd w:val="clear" w:color="auto" w:fill="E1DFDD"/>
    </w:rPr>
  </w:style>
  <w:style w:type="character" w:styleId="EndnoteReference">
    <w:name w:val="endnote reference"/>
    <w:aliases w:val="1_G"/>
    <w:basedOn w:val="FootnoteReference"/>
    <w:qFormat/>
    <w:rsid w:val="0017139F"/>
    <w:rPr>
      <w:rFonts w:ascii="Times New Roman" w:hAnsi="Times New Roman"/>
      <w:sz w:val="18"/>
      <w:vertAlign w:val="superscript"/>
    </w:rPr>
  </w:style>
  <w:style w:type="character" w:customStyle="1" w:styleId="Hyperlink1">
    <w:name w:val="Hyperlink.1"/>
    <w:rsid w:val="0017139F"/>
    <w:rPr>
      <w:color w:val="0563C1"/>
      <w:u w:val="single" w:color="0563C1"/>
      <w:lang w:val="es-ES_tradnl"/>
      <w14:textOutline w14:w="0" w14:cap="rnd" w14:cmpd="sng" w14:algn="ctr">
        <w14:noFill/>
        <w14:prstDash w14:val="solid"/>
        <w14:bevel/>
      </w14:textOutline>
    </w:rPr>
  </w:style>
  <w:style w:type="paragraph" w:customStyle="1" w:styleId="Char2">
    <w:name w:val="Char2"/>
    <w:basedOn w:val="Normal"/>
    <w:link w:val="FootnoteReference"/>
    <w:rsid w:val="00A0556A"/>
    <w:pPr>
      <w:suppressAutoHyphens w:val="0"/>
      <w:spacing w:after="160" w:line="240" w:lineRule="exact"/>
    </w:pPr>
    <w:rPr>
      <w:rFonts w:eastAsiaTheme="minorHAnsi" w:cstheme="minorBidi"/>
      <w:sz w:val="18"/>
      <w:szCs w:val="22"/>
      <w:vertAlign w:val="superscript"/>
    </w:rPr>
  </w:style>
  <w:style w:type="character" w:styleId="CommentReference">
    <w:name w:val="annotation reference"/>
    <w:basedOn w:val="DefaultParagraphFont"/>
    <w:semiHidden/>
    <w:unhideWhenUsed/>
    <w:rsid w:val="00944A0C"/>
    <w:rPr>
      <w:sz w:val="16"/>
      <w:szCs w:val="16"/>
    </w:rPr>
  </w:style>
  <w:style w:type="paragraph" w:styleId="CommentText">
    <w:name w:val="annotation text"/>
    <w:basedOn w:val="Normal"/>
    <w:link w:val="CommentTextChar"/>
    <w:semiHidden/>
    <w:unhideWhenUsed/>
    <w:rsid w:val="00944A0C"/>
    <w:pPr>
      <w:spacing w:line="240" w:lineRule="auto"/>
    </w:pPr>
  </w:style>
  <w:style w:type="character" w:customStyle="1" w:styleId="CommentTextChar">
    <w:name w:val="Comment Text Char"/>
    <w:basedOn w:val="DefaultParagraphFont"/>
    <w:link w:val="CommentText"/>
    <w:semiHidden/>
    <w:rsid w:val="00944A0C"/>
    <w:rPr>
      <w:rFonts w:ascii="Times New Roman" w:eastAsia="Times New Roman" w:hAnsi="Times New Roman" w:cs="Times New Roman"/>
      <w:sz w:val="20"/>
      <w:szCs w:val="20"/>
    </w:rPr>
  </w:style>
  <w:style w:type="paragraph" w:styleId="Revision">
    <w:name w:val="Revision"/>
    <w:hidden/>
    <w:uiPriority w:val="99"/>
    <w:semiHidden/>
    <w:rsid w:val="00233279"/>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2E71"/>
    <w:rPr>
      <w:b/>
      <w:bCs/>
    </w:rPr>
  </w:style>
  <w:style w:type="character" w:customStyle="1" w:styleId="CommentSubjectChar">
    <w:name w:val="Comment Subject Char"/>
    <w:basedOn w:val="CommentTextChar"/>
    <w:link w:val="CommentSubject"/>
    <w:uiPriority w:val="99"/>
    <w:semiHidden/>
    <w:rsid w:val="00912E71"/>
    <w:rPr>
      <w:rFonts w:ascii="Times New Roman" w:eastAsia="Times New Roman" w:hAnsi="Times New Roman" w:cs="Times New Roman"/>
      <w:b/>
      <w:bCs/>
      <w:sz w:val="20"/>
      <w:szCs w:val="20"/>
    </w:rPr>
  </w:style>
  <w:style w:type="paragraph" w:customStyle="1" w:styleId="7P">
    <w:name w:val="_ 7_ P"/>
    <w:basedOn w:val="Normal"/>
    <w:next w:val="Normal"/>
    <w:qFormat/>
    <w:rsid w:val="008633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SingleTxt">
    <w:name w:val="__Single Txt"/>
    <w:basedOn w:val="Normal"/>
    <w:rsid w:val="008633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20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23">
          <w:marLeft w:val="0"/>
          <w:marRight w:val="0"/>
          <w:marTop w:val="0"/>
          <w:marBottom w:val="600"/>
          <w:divBdr>
            <w:top w:val="none" w:sz="0" w:space="0" w:color="auto"/>
            <w:left w:val="none" w:sz="0" w:space="0" w:color="auto"/>
            <w:bottom w:val="none" w:sz="0" w:space="0" w:color="auto"/>
            <w:right w:val="none" w:sz="0" w:space="0" w:color="auto"/>
          </w:divBdr>
          <w:divsChild>
            <w:div w:id="1701974645">
              <w:marLeft w:val="0"/>
              <w:marRight w:val="0"/>
              <w:marTop w:val="0"/>
              <w:marBottom w:val="0"/>
              <w:divBdr>
                <w:top w:val="none" w:sz="0" w:space="0" w:color="auto"/>
                <w:left w:val="none" w:sz="0" w:space="0" w:color="auto"/>
                <w:bottom w:val="none" w:sz="0" w:space="0" w:color="auto"/>
                <w:right w:val="none" w:sz="0" w:space="0" w:color="auto"/>
              </w:divBdr>
              <w:divsChild>
                <w:div w:id="994846088">
                  <w:marLeft w:val="0"/>
                  <w:marRight w:val="0"/>
                  <w:marTop w:val="0"/>
                  <w:marBottom w:val="0"/>
                  <w:divBdr>
                    <w:top w:val="none" w:sz="0" w:space="0" w:color="auto"/>
                    <w:left w:val="none" w:sz="0" w:space="0" w:color="auto"/>
                    <w:bottom w:val="none" w:sz="0" w:space="0" w:color="auto"/>
                    <w:right w:val="none" w:sz="0" w:space="0" w:color="auto"/>
                  </w:divBdr>
                  <w:divsChild>
                    <w:div w:id="991297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8531233">
          <w:marLeft w:val="0"/>
          <w:marRight w:val="0"/>
          <w:marTop w:val="0"/>
          <w:marBottom w:val="0"/>
          <w:divBdr>
            <w:top w:val="none" w:sz="0" w:space="0" w:color="auto"/>
            <w:left w:val="none" w:sz="0" w:space="0" w:color="auto"/>
            <w:bottom w:val="none" w:sz="0" w:space="0" w:color="auto"/>
            <w:right w:val="none" w:sz="0" w:space="0" w:color="auto"/>
          </w:divBdr>
          <w:divsChild>
            <w:div w:id="886144153">
              <w:marLeft w:val="0"/>
              <w:marRight w:val="0"/>
              <w:marTop w:val="0"/>
              <w:marBottom w:val="0"/>
              <w:divBdr>
                <w:top w:val="none" w:sz="0" w:space="0" w:color="auto"/>
                <w:left w:val="none" w:sz="0" w:space="0" w:color="auto"/>
                <w:bottom w:val="none" w:sz="0" w:space="0" w:color="auto"/>
                <w:right w:val="none" w:sz="0" w:space="0" w:color="auto"/>
              </w:divBdr>
              <w:divsChild>
                <w:div w:id="671221465">
                  <w:marLeft w:val="0"/>
                  <w:marRight w:val="0"/>
                  <w:marTop w:val="0"/>
                  <w:marBottom w:val="600"/>
                  <w:divBdr>
                    <w:top w:val="none" w:sz="0" w:space="0" w:color="auto"/>
                    <w:left w:val="none" w:sz="0" w:space="0" w:color="auto"/>
                    <w:bottom w:val="none" w:sz="0" w:space="0" w:color="auto"/>
                    <w:right w:val="none" w:sz="0" w:space="0" w:color="auto"/>
                  </w:divBdr>
                </w:div>
              </w:divsChild>
            </w:div>
            <w:div w:id="1344278798">
              <w:marLeft w:val="0"/>
              <w:marRight w:val="0"/>
              <w:marTop w:val="0"/>
              <w:marBottom w:val="0"/>
              <w:divBdr>
                <w:top w:val="none" w:sz="0" w:space="0" w:color="auto"/>
                <w:left w:val="none" w:sz="0" w:space="0" w:color="auto"/>
                <w:bottom w:val="none" w:sz="0" w:space="0" w:color="auto"/>
                <w:right w:val="none" w:sz="0" w:space="0" w:color="auto"/>
              </w:divBdr>
              <w:divsChild>
                <w:div w:id="996878688">
                  <w:marLeft w:val="0"/>
                  <w:marRight w:val="0"/>
                  <w:marTop w:val="0"/>
                  <w:marBottom w:val="0"/>
                  <w:divBdr>
                    <w:top w:val="none" w:sz="0" w:space="0" w:color="auto"/>
                    <w:left w:val="none" w:sz="0" w:space="0" w:color="auto"/>
                    <w:bottom w:val="none" w:sz="0" w:space="0" w:color="auto"/>
                    <w:right w:val="none" w:sz="0" w:space="0" w:color="auto"/>
                  </w:divBdr>
                  <w:divsChild>
                    <w:div w:id="1879735550">
                      <w:marLeft w:val="0"/>
                      <w:marRight w:val="0"/>
                      <w:marTop w:val="0"/>
                      <w:marBottom w:val="600"/>
                      <w:divBdr>
                        <w:top w:val="none" w:sz="0" w:space="0" w:color="auto"/>
                        <w:left w:val="none" w:sz="0" w:space="0" w:color="auto"/>
                        <w:bottom w:val="none" w:sz="0" w:space="0" w:color="auto"/>
                        <w:right w:val="none" w:sz="0" w:space="0" w:color="auto"/>
                      </w:divBdr>
                    </w:div>
                  </w:divsChild>
                </w:div>
                <w:div w:id="1156921032">
                  <w:marLeft w:val="0"/>
                  <w:marRight w:val="0"/>
                  <w:marTop w:val="0"/>
                  <w:marBottom w:val="0"/>
                  <w:divBdr>
                    <w:top w:val="none" w:sz="0" w:space="0" w:color="auto"/>
                    <w:left w:val="none" w:sz="0" w:space="0" w:color="auto"/>
                    <w:bottom w:val="none" w:sz="0" w:space="0" w:color="auto"/>
                    <w:right w:val="none" w:sz="0" w:space="0" w:color="auto"/>
                  </w:divBdr>
                  <w:divsChild>
                    <w:div w:id="1985350141">
                      <w:marLeft w:val="0"/>
                      <w:marRight w:val="0"/>
                      <w:marTop w:val="0"/>
                      <w:marBottom w:val="600"/>
                      <w:divBdr>
                        <w:top w:val="none" w:sz="0" w:space="0" w:color="auto"/>
                        <w:left w:val="none" w:sz="0" w:space="0" w:color="auto"/>
                        <w:bottom w:val="none" w:sz="0" w:space="0" w:color="auto"/>
                        <w:right w:val="none" w:sz="0" w:space="0" w:color="auto"/>
                      </w:divBdr>
                    </w:div>
                  </w:divsChild>
                </w:div>
                <w:div w:id="1259868774">
                  <w:marLeft w:val="0"/>
                  <w:marRight w:val="0"/>
                  <w:marTop w:val="0"/>
                  <w:marBottom w:val="0"/>
                  <w:divBdr>
                    <w:top w:val="none" w:sz="0" w:space="0" w:color="auto"/>
                    <w:left w:val="none" w:sz="0" w:space="0" w:color="auto"/>
                    <w:bottom w:val="none" w:sz="0" w:space="0" w:color="auto"/>
                    <w:right w:val="none" w:sz="0" w:space="0" w:color="auto"/>
                  </w:divBdr>
                  <w:divsChild>
                    <w:div w:id="11045440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898009102">
              <w:marLeft w:val="0"/>
              <w:marRight w:val="0"/>
              <w:marTop w:val="0"/>
              <w:marBottom w:val="0"/>
              <w:divBdr>
                <w:top w:val="none" w:sz="0" w:space="0" w:color="auto"/>
                <w:left w:val="none" w:sz="0" w:space="0" w:color="auto"/>
                <w:bottom w:val="none" w:sz="0" w:space="0" w:color="auto"/>
                <w:right w:val="none" w:sz="0" w:space="0" w:color="auto"/>
              </w:divBdr>
              <w:divsChild>
                <w:div w:id="800003180">
                  <w:marLeft w:val="0"/>
                  <w:marRight w:val="0"/>
                  <w:marTop w:val="0"/>
                  <w:marBottom w:val="0"/>
                  <w:divBdr>
                    <w:top w:val="none" w:sz="0" w:space="0" w:color="auto"/>
                    <w:left w:val="none" w:sz="0" w:space="0" w:color="auto"/>
                    <w:bottom w:val="none" w:sz="0" w:space="0" w:color="auto"/>
                    <w:right w:val="none" w:sz="0" w:space="0" w:color="auto"/>
                  </w:divBdr>
                  <w:divsChild>
                    <w:div w:id="740106040">
                      <w:marLeft w:val="0"/>
                      <w:marRight w:val="0"/>
                      <w:marTop w:val="360"/>
                      <w:marBottom w:val="360"/>
                      <w:divBdr>
                        <w:top w:val="single" w:sz="6" w:space="6" w:color="D5D5D5"/>
                        <w:left w:val="none" w:sz="0" w:space="0" w:color="auto"/>
                        <w:bottom w:val="single" w:sz="6" w:space="6" w:color="D5D5D5"/>
                        <w:right w:val="none" w:sz="0" w:space="0" w:color="auto"/>
                      </w:divBdr>
                    </w:div>
                  </w:divsChild>
                </w:div>
              </w:divsChild>
            </w:div>
          </w:divsChild>
        </w:div>
        <w:div w:id="1762212894">
          <w:marLeft w:val="0"/>
          <w:marRight w:val="0"/>
          <w:marTop w:val="0"/>
          <w:marBottom w:val="0"/>
          <w:divBdr>
            <w:top w:val="none" w:sz="0" w:space="0" w:color="auto"/>
            <w:left w:val="none" w:sz="0" w:space="0" w:color="auto"/>
            <w:bottom w:val="none" w:sz="0" w:space="0" w:color="auto"/>
            <w:right w:val="none" w:sz="0" w:space="0" w:color="auto"/>
          </w:divBdr>
          <w:divsChild>
            <w:div w:id="1488672470">
              <w:marLeft w:val="0"/>
              <w:marRight w:val="0"/>
              <w:marTop w:val="0"/>
              <w:marBottom w:val="0"/>
              <w:divBdr>
                <w:top w:val="none" w:sz="0" w:space="0" w:color="auto"/>
                <w:left w:val="none" w:sz="0" w:space="0" w:color="auto"/>
                <w:bottom w:val="none" w:sz="0" w:space="0" w:color="auto"/>
                <w:right w:val="none" w:sz="0" w:space="0" w:color="auto"/>
              </w:divBdr>
              <w:divsChild>
                <w:div w:id="1380782400">
                  <w:marLeft w:val="0"/>
                  <w:marRight w:val="0"/>
                  <w:marTop w:val="0"/>
                  <w:marBottom w:val="0"/>
                  <w:divBdr>
                    <w:top w:val="none" w:sz="0" w:space="0" w:color="auto"/>
                    <w:left w:val="none" w:sz="0" w:space="0" w:color="auto"/>
                    <w:bottom w:val="none" w:sz="0" w:space="0" w:color="auto"/>
                    <w:right w:val="none" w:sz="0" w:space="0" w:color="auto"/>
                  </w:divBdr>
                  <w:divsChild>
                    <w:div w:id="699354210">
                      <w:marLeft w:val="0"/>
                      <w:marRight w:val="0"/>
                      <w:marTop w:val="0"/>
                      <w:marBottom w:val="0"/>
                      <w:divBdr>
                        <w:top w:val="none" w:sz="0" w:space="0" w:color="auto"/>
                        <w:left w:val="none" w:sz="0" w:space="0" w:color="auto"/>
                        <w:bottom w:val="none" w:sz="0" w:space="0" w:color="auto"/>
                        <w:right w:val="none" w:sz="0" w:space="0" w:color="auto"/>
                      </w:divBdr>
                    </w:div>
                    <w:div w:id="1742605325">
                      <w:marLeft w:val="240"/>
                      <w:marRight w:val="0"/>
                      <w:marTop w:val="0"/>
                      <w:marBottom w:val="0"/>
                      <w:divBdr>
                        <w:top w:val="none" w:sz="0" w:space="0" w:color="auto"/>
                        <w:left w:val="none" w:sz="0" w:space="0" w:color="auto"/>
                        <w:bottom w:val="none" w:sz="0" w:space="0" w:color="auto"/>
                        <w:right w:val="none" w:sz="0" w:space="0" w:color="auto"/>
                      </w:divBdr>
                    </w:div>
                  </w:divsChild>
                </w:div>
                <w:div w:id="15311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0248">
          <w:marLeft w:val="0"/>
          <w:marRight w:val="0"/>
          <w:marTop w:val="0"/>
          <w:marBottom w:val="0"/>
          <w:divBdr>
            <w:top w:val="single" w:sz="6" w:space="12" w:color="CCCCCC"/>
            <w:left w:val="single" w:sz="6" w:space="12" w:color="CCCCCC"/>
            <w:bottom w:val="single" w:sz="6" w:space="12" w:color="CCCCCC"/>
            <w:right w:val="single" w:sz="6" w:space="12" w:color="CCCCCC"/>
          </w:divBdr>
          <w:divsChild>
            <w:div w:id="885413066">
              <w:marLeft w:val="0"/>
              <w:marRight w:val="0"/>
              <w:marTop w:val="0"/>
              <w:marBottom w:val="0"/>
              <w:divBdr>
                <w:top w:val="none" w:sz="0" w:space="0" w:color="auto"/>
                <w:left w:val="none" w:sz="0" w:space="0" w:color="auto"/>
                <w:bottom w:val="none" w:sz="0" w:space="0" w:color="auto"/>
                <w:right w:val="none" w:sz="0" w:space="0" w:color="auto"/>
              </w:divBdr>
              <w:divsChild>
                <w:div w:id="1840465115">
                  <w:marLeft w:val="0"/>
                  <w:marRight w:val="0"/>
                  <w:marTop w:val="0"/>
                  <w:marBottom w:val="0"/>
                  <w:divBdr>
                    <w:top w:val="none" w:sz="0" w:space="0" w:color="auto"/>
                    <w:left w:val="none" w:sz="0" w:space="0" w:color="auto"/>
                    <w:bottom w:val="none" w:sz="0" w:space="0" w:color="auto"/>
                    <w:right w:val="none" w:sz="0" w:space="0" w:color="auto"/>
                  </w:divBdr>
                  <w:divsChild>
                    <w:div w:id="272976966">
                      <w:marLeft w:val="0"/>
                      <w:marRight w:val="0"/>
                      <w:marTop w:val="0"/>
                      <w:marBottom w:val="0"/>
                      <w:divBdr>
                        <w:top w:val="none" w:sz="0" w:space="0" w:color="auto"/>
                        <w:left w:val="none" w:sz="0" w:space="0" w:color="auto"/>
                        <w:bottom w:val="none" w:sz="0" w:space="0" w:color="auto"/>
                        <w:right w:val="none" w:sz="0" w:space="0" w:color="auto"/>
                      </w:divBdr>
                      <w:divsChild>
                        <w:div w:id="223689312">
                          <w:marLeft w:val="0"/>
                          <w:marRight w:val="0"/>
                          <w:marTop w:val="0"/>
                          <w:marBottom w:val="0"/>
                          <w:divBdr>
                            <w:top w:val="none" w:sz="0" w:space="0" w:color="auto"/>
                            <w:left w:val="none" w:sz="0" w:space="0" w:color="auto"/>
                            <w:bottom w:val="none" w:sz="0" w:space="0" w:color="auto"/>
                            <w:right w:val="none" w:sz="0" w:space="0" w:color="auto"/>
                          </w:divBdr>
                        </w:div>
                        <w:div w:id="358897490">
                          <w:marLeft w:val="0"/>
                          <w:marRight w:val="0"/>
                          <w:marTop w:val="0"/>
                          <w:marBottom w:val="0"/>
                          <w:divBdr>
                            <w:top w:val="none" w:sz="0" w:space="0" w:color="auto"/>
                            <w:left w:val="none" w:sz="0" w:space="0" w:color="auto"/>
                            <w:bottom w:val="none" w:sz="0" w:space="0" w:color="auto"/>
                            <w:right w:val="none" w:sz="0" w:space="0" w:color="auto"/>
                          </w:divBdr>
                        </w:div>
                        <w:div w:id="1658995774">
                          <w:marLeft w:val="0"/>
                          <w:marRight w:val="240"/>
                          <w:marTop w:val="0"/>
                          <w:marBottom w:val="0"/>
                          <w:divBdr>
                            <w:top w:val="none" w:sz="0" w:space="0" w:color="auto"/>
                            <w:left w:val="none" w:sz="0" w:space="0" w:color="auto"/>
                            <w:bottom w:val="none" w:sz="0" w:space="0" w:color="auto"/>
                            <w:right w:val="none" w:sz="0" w:space="0" w:color="auto"/>
                          </w:divBdr>
                          <w:divsChild>
                            <w:div w:id="8393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6735">
                      <w:marLeft w:val="240"/>
                      <w:marRight w:val="0"/>
                      <w:marTop w:val="0"/>
                      <w:marBottom w:val="0"/>
                      <w:divBdr>
                        <w:top w:val="none" w:sz="0" w:space="0" w:color="auto"/>
                        <w:left w:val="single" w:sz="6" w:space="12" w:color="CCCCCC"/>
                        <w:bottom w:val="none" w:sz="0" w:space="0" w:color="auto"/>
                        <w:right w:val="none" w:sz="0" w:space="0" w:color="auto"/>
                      </w:divBdr>
                    </w:div>
                  </w:divsChild>
                </w:div>
              </w:divsChild>
            </w:div>
          </w:divsChild>
        </w:div>
      </w:divsChild>
    </w:div>
    <w:div w:id="696739884">
      <w:bodyDiv w:val="1"/>
      <w:marLeft w:val="0"/>
      <w:marRight w:val="0"/>
      <w:marTop w:val="0"/>
      <w:marBottom w:val="0"/>
      <w:divBdr>
        <w:top w:val="none" w:sz="0" w:space="0" w:color="auto"/>
        <w:left w:val="none" w:sz="0" w:space="0" w:color="auto"/>
        <w:bottom w:val="none" w:sz="0" w:space="0" w:color="auto"/>
        <w:right w:val="none" w:sz="0" w:space="0" w:color="auto"/>
      </w:divBdr>
    </w:div>
    <w:div w:id="857043917">
      <w:bodyDiv w:val="1"/>
      <w:marLeft w:val="0"/>
      <w:marRight w:val="0"/>
      <w:marTop w:val="0"/>
      <w:marBottom w:val="0"/>
      <w:divBdr>
        <w:top w:val="none" w:sz="0" w:space="0" w:color="auto"/>
        <w:left w:val="none" w:sz="0" w:space="0" w:color="auto"/>
        <w:bottom w:val="none" w:sz="0" w:space="0" w:color="auto"/>
        <w:right w:val="none" w:sz="0" w:space="0" w:color="auto"/>
      </w:divBdr>
    </w:div>
    <w:div w:id="1026099510">
      <w:bodyDiv w:val="1"/>
      <w:marLeft w:val="0"/>
      <w:marRight w:val="0"/>
      <w:marTop w:val="0"/>
      <w:marBottom w:val="0"/>
      <w:divBdr>
        <w:top w:val="none" w:sz="0" w:space="0" w:color="auto"/>
        <w:left w:val="none" w:sz="0" w:space="0" w:color="auto"/>
        <w:bottom w:val="none" w:sz="0" w:space="0" w:color="auto"/>
        <w:right w:val="none" w:sz="0" w:space="0" w:color="auto"/>
      </w:divBdr>
    </w:div>
    <w:div w:id="1715425622">
      <w:bodyDiv w:val="1"/>
      <w:marLeft w:val="0"/>
      <w:marRight w:val="0"/>
      <w:marTop w:val="0"/>
      <w:marBottom w:val="0"/>
      <w:divBdr>
        <w:top w:val="none" w:sz="0" w:space="0" w:color="auto"/>
        <w:left w:val="none" w:sz="0" w:space="0" w:color="auto"/>
        <w:bottom w:val="none" w:sz="0" w:space="0" w:color="auto"/>
        <w:right w:val="none" w:sz="0" w:space="0" w:color="auto"/>
      </w:divBdr>
    </w:div>
    <w:div w:id="1990402060">
      <w:bodyDiv w:val="1"/>
      <w:marLeft w:val="0"/>
      <w:marRight w:val="0"/>
      <w:marTop w:val="0"/>
      <w:marBottom w:val="0"/>
      <w:divBdr>
        <w:top w:val="none" w:sz="0" w:space="0" w:color="auto"/>
        <w:left w:val="none" w:sz="0" w:space="0" w:color="auto"/>
        <w:bottom w:val="none" w:sz="0" w:space="0" w:color="auto"/>
        <w:right w:val="none" w:sz="0" w:space="0" w:color="auto"/>
      </w:divBdr>
      <w:divsChild>
        <w:div w:id="1914772838">
          <w:marLeft w:val="0"/>
          <w:marRight w:val="0"/>
          <w:marTop w:val="0"/>
          <w:marBottom w:val="0"/>
          <w:divBdr>
            <w:top w:val="single" w:sz="6" w:space="12" w:color="CCCCCC"/>
            <w:left w:val="single" w:sz="6" w:space="12" w:color="CCCCCC"/>
            <w:bottom w:val="single" w:sz="6" w:space="12" w:color="CCCCCC"/>
            <w:right w:val="single" w:sz="6" w:space="12" w:color="CCCCCC"/>
          </w:divBdr>
          <w:divsChild>
            <w:div w:id="524249021">
              <w:marLeft w:val="0"/>
              <w:marRight w:val="0"/>
              <w:marTop w:val="0"/>
              <w:marBottom w:val="0"/>
              <w:divBdr>
                <w:top w:val="none" w:sz="0" w:space="0" w:color="auto"/>
                <w:left w:val="none" w:sz="0" w:space="0" w:color="auto"/>
                <w:bottom w:val="none" w:sz="0" w:space="0" w:color="auto"/>
                <w:right w:val="none" w:sz="0" w:space="0" w:color="auto"/>
              </w:divBdr>
              <w:divsChild>
                <w:div w:id="1038046802">
                  <w:marLeft w:val="0"/>
                  <w:marRight w:val="0"/>
                  <w:marTop w:val="0"/>
                  <w:marBottom w:val="0"/>
                  <w:divBdr>
                    <w:top w:val="none" w:sz="0" w:space="0" w:color="auto"/>
                    <w:left w:val="none" w:sz="0" w:space="0" w:color="auto"/>
                    <w:bottom w:val="none" w:sz="0" w:space="0" w:color="auto"/>
                    <w:right w:val="none" w:sz="0" w:space="0" w:color="auto"/>
                  </w:divBdr>
                  <w:divsChild>
                    <w:div w:id="1217089862">
                      <w:marLeft w:val="0"/>
                      <w:marRight w:val="0"/>
                      <w:marTop w:val="0"/>
                      <w:marBottom w:val="0"/>
                      <w:divBdr>
                        <w:top w:val="none" w:sz="0" w:space="0" w:color="auto"/>
                        <w:left w:val="none" w:sz="0" w:space="0" w:color="auto"/>
                        <w:bottom w:val="none" w:sz="0" w:space="0" w:color="auto"/>
                        <w:right w:val="none" w:sz="0" w:space="0" w:color="auto"/>
                      </w:divBdr>
                      <w:divsChild>
                        <w:div w:id="1119639974">
                          <w:marLeft w:val="0"/>
                          <w:marRight w:val="0"/>
                          <w:marTop w:val="0"/>
                          <w:marBottom w:val="0"/>
                          <w:divBdr>
                            <w:top w:val="none" w:sz="0" w:space="0" w:color="auto"/>
                            <w:left w:val="none" w:sz="0" w:space="0" w:color="auto"/>
                            <w:bottom w:val="none" w:sz="0" w:space="0" w:color="auto"/>
                            <w:right w:val="none" w:sz="0" w:space="0" w:color="auto"/>
                          </w:divBdr>
                        </w:div>
                        <w:div w:id="1504854973">
                          <w:marLeft w:val="0"/>
                          <w:marRight w:val="240"/>
                          <w:marTop w:val="0"/>
                          <w:marBottom w:val="0"/>
                          <w:divBdr>
                            <w:top w:val="none" w:sz="0" w:space="0" w:color="auto"/>
                            <w:left w:val="none" w:sz="0" w:space="0" w:color="auto"/>
                            <w:bottom w:val="none" w:sz="0" w:space="0" w:color="auto"/>
                            <w:right w:val="none" w:sz="0" w:space="0" w:color="auto"/>
                          </w:divBdr>
                          <w:divsChild>
                            <w:div w:id="1633562453">
                              <w:marLeft w:val="0"/>
                              <w:marRight w:val="0"/>
                              <w:marTop w:val="0"/>
                              <w:marBottom w:val="0"/>
                              <w:divBdr>
                                <w:top w:val="none" w:sz="0" w:space="0" w:color="auto"/>
                                <w:left w:val="none" w:sz="0" w:space="0" w:color="auto"/>
                                <w:bottom w:val="none" w:sz="0" w:space="0" w:color="auto"/>
                                <w:right w:val="none" w:sz="0" w:space="0" w:color="auto"/>
                              </w:divBdr>
                            </w:div>
                          </w:divsChild>
                        </w:div>
                        <w:div w:id="1749113354">
                          <w:marLeft w:val="0"/>
                          <w:marRight w:val="0"/>
                          <w:marTop w:val="0"/>
                          <w:marBottom w:val="0"/>
                          <w:divBdr>
                            <w:top w:val="none" w:sz="0" w:space="0" w:color="auto"/>
                            <w:left w:val="none" w:sz="0" w:space="0" w:color="auto"/>
                            <w:bottom w:val="none" w:sz="0" w:space="0" w:color="auto"/>
                            <w:right w:val="none" w:sz="0" w:space="0" w:color="auto"/>
                          </w:divBdr>
                        </w:div>
                      </w:divsChild>
                    </w:div>
                    <w:div w:id="2124029142">
                      <w:marLeft w:val="240"/>
                      <w:marRight w:val="0"/>
                      <w:marTop w:val="0"/>
                      <w:marBottom w:val="0"/>
                      <w:divBdr>
                        <w:top w:val="none" w:sz="0" w:space="0" w:color="auto"/>
                        <w:left w:val="single" w:sz="6" w:space="12" w:color="CCCCCC"/>
                        <w:bottom w:val="none" w:sz="0" w:space="0" w:color="auto"/>
                        <w:right w:val="none" w:sz="0" w:space="0" w:color="auto"/>
                      </w:divBdr>
                    </w:div>
                  </w:divsChild>
                </w:div>
              </w:divsChild>
            </w:div>
          </w:divsChild>
        </w:div>
        <w:div w:id="1955474634">
          <w:marLeft w:val="0"/>
          <w:marRight w:val="0"/>
          <w:marTop w:val="0"/>
          <w:marBottom w:val="600"/>
          <w:divBdr>
            <w:top w:val="none" w:sz="0" w:space="0" w:color="auto"/>
            <w:left w:val="none" w:sz="0" w:space="0" w:color="auto"/>
            <w:bottom w:val="none" w:sz="0" w:space="0" w:color="auto"/>
            <w:right w:val="none" w:sz="0" w:space="0" w:color="auto"/>
          </w:divBdr>
          <w:divsChild>
            <w:div w:id="151802999">
              <w:marLeft w:val="0"/>
              <w:marRight w:val="0"/>
              <w:marTop w:val="0"/>
              <w:marBottom w:val="0"/>
              <w:divBdr>
                <w:top w:val="none" w:sz="0" w:space="0" w:color="auto"/>
                <w:left w:val="none" w:sz="0" w:space="0" w:color="auto"/>
                <w:bottom w:val="none" w:sz="0" w:space="0" w:color="auto"/>
                <w:right w:val="none" w:sz="0" w:space="0" w:color="auto"/>
              </w:divBdr>
              <w:divsChild>
                <w:div w:id="1499686516">
                  <w:marLeft w:val="0"/>
                  <w:marRight w:val="0"/>
                  <w:marTop w:val="0"/>
                  <w:marBottom w:val="0"/>
                  <w:divBdr>
                    <w:top w:val="none" w:sz="0" w:space="0" w:color="auto"/>
                    <w:left w:val="none" w:sz="0" w:space="0" w:color="auto"/>
                    <w:bottom w:val="none" w:sz="0" w:space="0" w:color="auto"/>
                    <w:right w:val="none" w:sz="0" w:space="0" w:color="auto"/>
                  </w:divBdr>
                  <w:divsChild>
                    <w:div w:id="1176771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8967960">
          <w:marLeft w:val="0"/>
          <w:marRight w:val="0"/>
          <w:marTop w:val="0"/>
          <w:marBottom w:val="0"/>
          <w:divBdr>
            <w:top w:val="none" w:sz="0" w:space="0" w:color="auto"/>
            <w:left w:val="none" w:sz="0" w:space="0" w:color="auto"/>
            <w:bottom w:val="none" w:sz="0" w:space="0" w:color="auto"/>
            <w:right w:val="none" w:sz="0" w:space="0" w:color="auto"/>
          </w:divBdr>
          <w:divsChild>
            <w:div w:id="505443798">
              <w:marLeft w:val="0"/>
              <w:marRight w:val="0"/>
              <w:marTop w:val="0"/>
              <w:marBottom w:val="0"/>
              <w:divBdr>
                <w:top w:val="none" w:sz="0" w:space="0" w:color="auto"/>
                <w:left w:val="none" w:sz="0" w:space="0" w:color="auto"/>
                <w:bottom w:val="none" w:sz="0" w:space="0" w:color="auto"/>
                <w:right w:val="none" w:sz="0" w:space="0" w:color="auto"/>
              </w:divBdr>
              <w:divsChild>
                <w:div w:id="351339361">
                  <w:marLeft w:val="0"/>
                  <w:marRight w:val="0"/>
                  <w:marTop w:val="0"/>
                  <w:marBottom w:val="0"/>
                  <w:divBdr>
                    <w:top w:val="none" w:sz="0" w:space="0" w:color="auto"/>
                    <w:left w:val="none" w:sz="0" w:space="0" w:color="auto"/>
                    <w:bottom w:val="none" w:sz="0" w:space="0" w:color="auto"/>
                    <w:right w:val="none" w:sz="0" w:space="0" w:color="auto"/>
                  </w:divBdr>
                  <w:divsChild>
                    <w:div w:id="196045141">
                      <w:marLeft w:val="0"/>
                      <w:marRight w:val="0"/>
                      <w:marTop w:val="360"/>
                      <w:marBottom w:val="360"/>
                      <w:divBdr>
                        <w:top w:val="single" w:sz="6" w:space="6" w:color="D5D5D5"/>
                        <w:left w:val="none" w:sz="0" w:space="0" w:color="auto"/>
                        <w:bottom w:val="single" w:sz="6" w:space="6" w:color="D5D5D5"/>
                        <w:right w:val="none" w:sz="0" w:space="0" w:color="auto"/>
                      </w:divBdr>
                    </w:div>
                  </w:divsChild>
                </w:div>
              </w:divsChild>
            </w:div>
            <w:div w:id="1014764422">
              <w:marLeft w:val="0"/>
              <w:marRight w:val="0"/>
              <w:marTop w:val="0"/>
              <w:marBottom w:val="0"/>
              <w:divBdr>
                <w:top w:val="none" w:sz="0" w:space="0" w:color="auto"/>
                <w:left w:val="none" w:sz="0" w:space="0" w:color="auto"/>
                <w:bottom w:val="none" w:sz="0" w:space="0" w:color="auto"/>
                <w:right w:val="none" w:sz="0" w:space="0" w:color="auto"/>
              </w:divBdr>
              <w:divsChild>
                <w:div w:id="873813360">
                  <w:marLeft w:val="0"/>
                  <w:marRight w:val="0"/>
                  <w:marTop w:val="0"/>
                  <w:marBottom w:val="600"/>
                  <w:divBdr>
                    <w:top w:val="none" w:sz="0" w:space="0" w:color="auto"/>
                    <w:left w:val="none" w:sz="0" w:space="0" w:color="auto"/>
                    <w:bottom w:val="none" w:sz="0" w:space="0" w:color="auto"/>
                    <w:right w:val="none" w:sz="0" w:space="0" w:color="auto"/>
                  </w:divBdr>
                </w:div>
              </w:divsChild>
            </w:div>
            <w:div w:id="2140758316">
              <w:marLeft w:val="0"/>
              <w:marRight w:val="0"/>
              <w:marTop w:val="0"/>
              <w:marBottom w:val="0"/>
              <w:divBdr>
                <w:top w:val="none" w:sz="0" w:space="0" w:color="auto"/>
                <w:left w:val="none" w:sz="0" w:space="0" w:color="auto"/>
                <w:bottom w:val="none" w:sz="0" w:space="0" w:color="auto"/>
                <w:right w:val="none" w:sz="0" w:space="0" w:color="auto"/>
              </w:divBdr>
              <w:divsChild>
                <w:div w:id="1233538954">
                  <w:marLeft w:val="0"/>
                  <w:marRight w:val="0"/>
                  <w:marTop w:val="0"/>
                  <w:marBottom w:val="0"/>
                  <w:divBdr>
                    <w:top w:val="none" w:sz="0" w:space="0" w:color="auto"/>
                    <w:left w:val="none" w:sz="0" w:space="0" w:color="auto"/>
                    <w:bottom w:val="none" w:sz="0" w:space="0" w:color="auto"/>
                    <w:right w:val="none" w:sz="0" w:space="0" w:color="auto"/>
                  </w:divBdr>
                  <w:divsChild>
                    <w:div w:id="1363171383">
                      <w:marLeft w:val="0"/>
                      <w:marRight w:val="0"/>
                      <w:marTop w:val="0"/>
                      <w:marBottom w:val="600"/>
                      <w:divBdr>
                        <w:top w:val="none" w:sz="0" w:space="0" w:color="auto"/>
                        <w:left w:val="none" w:sz="0" w:space="0" w:color="auto"/>
                        <w:bottom w:val="none" w:sz="0" w:space="0" w:color="auto"/>
                        <w:right w:val="none" w:sz="0" w:space="0" w:color="auto"/>
                      </w:divBdr>
                    </w:div>
                  </w:divsChild>
                </w:div>
                <w:div w:id="1236235272">
                  <w:marLeft w:val="0"/>
                  <w:marRight w:val="0"/>
                  <w:marTop w:val="0"/>
                  <w:marBottom w:val="0"/>
                  <w:divBdr>
                    <w:top w:val="none" w:sz="0" w:space="0" w:color="auto"/>
                    <w:left w:val="none" w:sz="0" w:space="0" w:color="auto"/>
                    <w:bottom w:val="none" w:sz="0" w:space="0" w:color="auto"/>
                    <w:right w:val="none" w:sz="0" w:space="0" w:color="auto"/>
                  </w:divBdr>
                  <w:divsChild>
                    <w:div w:id="2015646504">
                      <w:marLeft w:val="0"/>
                      <w:marRight w:val="0"/>
                      <w:marTop w:val="0"/>
                      <w:marBottom w:val="600"/>
                      <w:divBdr>
                        <w:top w:val="none" w:sz="0" w:space="0" w:color="auto"/>
                        <w:left w:val="none" w:sz="0" w:space="0" w:color="auto"/>
                        <w:bottom w:val="none" w:sz="0" w:space="0" w:color="auto"/>
                        <w:right w:val="none" w:sz="0" w:space="0" w:color="auto"/>
                      </w:divBdr>
                    </w:div>
                  </w:divsChild>
                </w:div>
                <w:div w:id="1329093620">
                  <w:marLeft w:val="0"/>
                  <w:marRight w:val="0"/>
                  <w:marTop w:val="0"/>
                  <w:marBottom w:val="0"/>
                  <w:divBdr>
                    <w:top w:val="none" w:sz="0" w:space="0" w:color="auto"/>
                    <w:left w:val="none" w:sz="0" w:space="0" w:color="auto"/>
                    <w:bottom w:val="none" w:sz="0" w:space="0" w:color="auto"/>
                    <w:right w:val="none" w:sz="0" w:space="0" w:color="auto"/>
                  </w:divBdr>
                  <w:divsChild>
                    <w:div w:id="10366565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103599903">
          <w:marLeft w:val="0"/>
          <w:marRight w:val="0"/>
          <w:marTop w:val="0"/>
          <w:marBottom w:val="0"/>
          <w:divBdr>
            <w:top w:val="none" w:sz="0" w:space="0" w:color="auto"/>
            <w:left w:val="none" w:sz="0" w:space="0" w:color="auto"/>
            <w:bottom w:val="none" w:sz="0" w:space="0" w:color="auto"/>
            <w:right w:val="none" w:sz="0" w:space="0" w:color="auto"/>
          </w:divBdr>
          <w:divsChild>
            <w:div w:id="2121411116">
              <w:marLeft w:val="0"/>
              <w:marRight w:val="0"/>
              <w:marTop w:val="0"/>
              <w:marBottom w:val="0"/>
              <w:divBdr>
                <w:top w:val="none" w:sz="0" w:space="0" w:color="auto"/>
                <w:left w:val="none" w:sz="0" w:space="0" w:color="auto"/>
                <w:bottom w:val="none" w:sz="0" w:space="0" w:color="auto"/>
                <w:right w:val="none" w:sz="0" w:space="0" w:color="auto"/>
              </w:divBdr>
              <w:divsChild>
                <w:div w:id="769158031">
                  <w:marLeft w:val="0"/>
                  <w:marRight w:val="0"/>
                  <w:marTop w:val="0"/>
                  <w:marBottom w:val="0"/>
                  <w:divBdr>
                    <w:top w:val="none" w:sz="0" w:space="0" w:color="auto"/>
                    <w:left w:val="none" w:sz="0" w:space="0" w:color="auto"/>
                    <w:bottom w:val="none" w:sz="0" w:space="0" w:color="auto"/>
                    <w:right w:val="none" w:sz="0" w:space="0" w:color="auto"/>
                  </w:divBdr>
                  <w:divsChild>
                    <w:div w:id="252053092">
                      <w:marLeft w:val="0"/>
                      <w:marRight w:val="0"/>
                      <w:marTop w:val="0"/>
                      <w:marBottom w:val="0"/>
                      <w:divBdr>
                        <w:top w:val="none" w:sz="0" w:space="0" w:color="auto"/>
                        <w:left w:val="none" w:sz="0" w:space="0" w:color="auto"/>
                        <w:bottom w:val="none" w:sz="0" w:space="0" w:color="auto"/>
                        <w:right w:val="none" w:sz="0" w:space="0" w:color="auto"/>
                      </w:divBdr>
                    </w:div>
                    <w:div w:id="1077433645">
                      <w:marLeft w:val="240"/>
                      <w:marRight w:val="0"/>
                      <w:marTop w:val="0"/>
                      <w:marBottom w:val="0"/>
                      <w:divBdr>
                        <w:top w:val="none" w:sz="0" w:space="0" w:color="auto"/>
                        <w:left w:val="none" w:sz="0" w:space="0" w:color="auto"/>
                        <w:bottom w:val="none" w:sz="0" w:space="0" w:color="auto"/>
                        <w:right w:val="none" w:sz="0" w:space="0" w:color="auto"/>
                      </w:divBdr>
                    </w:div>
                  </w:divsChild>
                </w:div>
                <w:div w:id="1724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letisim.gov.tr/english/haberler/detay/statement-regarding-turkeys-withdrawal-from-the-istanbul-convention" TargetMode="External"/><Relationship Id="rId2" Type="http://schemas.openxmlformats.org/officeDocument/2006/relationships/hyperlink" Target="https://www.coe.int/en/web/istanbul-convention/about-the-convention" TargetMode="External"/><Relationship Id="rId1" Type="http://schemas.openxmlformats.org/officeDocument/2006/relationships/hyperlink" Target="https://www5.tbmm.gov.tr//sirasayi/donem27/yil01/ss315.pdf" TargetMode="External"/><Relationship Id="rId6" Type="http://schemas.openxmlformats.org/officeDocument/2006/relationships/hyperlink" Target="https://www.hrw.org/report/2022/05/26/combatting-domestic-violence-turkey/deadly-impact-failure-protect" TargetMode="External"/><Relationship Id="rId5" Type="http://schemas.openxmlformats.org/officeDocument/2006/relationships/hyperlink" Target="https://www.hrw.org/report/2022/05/26/combatting-domestic-violence-turkey/deadly-impact-failure-protect" TargetMode="External"/><Relationship Id="rId4" Type="http://schemas.openxmlformats.org/officeDocument/2006/relationships/hyperlink" Target="https://www.ohchr.org/sites/default/files/2022-08/ExpertopiniontotheCouncilofStateofTurkiyeonthewithdrafwalfromtheIstanbulConventionEnglishOrig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4631-B557-4F09-817A-0330189D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10042</Words>
  <Characters>57246</Characters>
  <Application>Microsoft Office Word</Application>
  <DocSecurity>0</DocSecurity>
  <Lines>854</Lines>
  <Paragraphs>179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Mccann</dc:creator>
  <cp:keywords/>
  <dc:description/>
  <cp:lastModifiedBy>Veronique</cp:lastModifiedBy>
  <cp:revision>2</cp:revision>
  <dcterms:created xsi:type="dcterms:W3CDTF">2023-06-07T10:35:00Z</dcterms:created>
  <dcterms:modified xsi:type="dcterms:W3CDTF">2023-06-07T10:35:00Z</dcterms:modified>
</cp:coreProperties>
</file>