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190"/>
        <w:tblW w:w="96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9"/>
        <w:gridCol w:w="2236"/>
        <w:gridCol w:w="3214"/>
        <w:gridCol w:w="2930"/>
      </w:tblGrid>
      <w:tr w:rsidR="00BC0583" w14:paraId="14D0F62D" w14:textId="77777777" w:rsidTr="009A4AF1">
        <w:trPr>
          <w:trHeight w:val="691"/>
        </w:trPr>
        <w:tc>
          <w:tcPr>
            <w:tcW w:w="1259" w:type="dxa"/>
            <w:tcBorders>
              <w:top w:val="nil"/>
              <w:left w:val="nil"/>
              <w:bottom w:val="single" w:sz="4" w:space="0" w:color="000000"/>
              <w:right w:val="nil"/>
            </w:tcBorders>
            <w:shd w:val="clear" w:color="auto" w:fill="auto"/>
            <w:tcMar>
              <w:top w:w="80" w:type="dxa"/>
              <w:left w:w="80" w:type="dxa"/>
              <w:bottom w:w="80" w:type="dxa"/>
              <w:right w:w="80" w:type="dxa"/>
            </w:tcMar>
          </w:tcPr>
          <w:p w14:paraId="2CEE9823" w14:textId="77777777" w:rsidR="00BC0583" w:rsidRDefault="00BC0583" w:rsidP="009A4AF1"/>
        </w:tc>
        <w:tc>
          <w:tcPr>
            <w:tcW w:w="223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4F4876" w14:textId="25D067E2" w:rsidR="00BC0583" w:rsidRPr="00EC3315" w:rsidRDefault="00BC0583" w:rsidP="009A4AF1">
            <w:pPr>
              <w:rPr>
                <w:sz w:val="28"/>
                <w:szCs w:val="28"/>
              </w:rPr>
            </w:pPr>
            <w:bookmarkStart w:id="0" w:name="_GoBack"/>
            <w:bookmarkEnd w:id="0"/>
          </w:p>
        </w:tc>
        <w:tc>
          <w:tcPr>
            <w:tcW w:w="6144"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49BB739" w14:textId="4739F292" w:rsidR="008017EC" w:rsidRDefault="00D359CD" w:rsidP="009A4AF1">
            <w:pPr>
              <w:pStyle w:val="BodyA"/>
              <w:jc w:val="right"/>
            </w:pPr>
            <w:r w:rsidRPr="00A64748">
              <w:rPr>
                <w:sz w:val="40"/>
                <w:szCs w:val="40"/>
                <w:lang w:val="en-US"/>
              </w:rPr>
              <w:t>A</w:t>
            </w:r>
            <w:r w:rsidR="00455F34" w:rsidRPr="00A64748">
              <w:rPr>
                <w:lang w:val="en-US"/>
              </w:rPr>
              <w:t>/HRC/</w:t>
            </w:r>
            <w:r w:rsidR="00012073" w:rsidRPr="00A64748">
              <w:rPr>
                <w:lang w:val="en-US"/>
              </w:rPr>
              <w:t>51</w:t>
            </w:r>
            <w:r w:rsidR="00455F34" w:rsidRPr="00A64748">
              <w:rPr>
                <w:lang w:val="en-US"/>
              </w:rPr>
              <w:t>/</w:t>
            </w:r>
            <w:r w:rsidR="00012073" w:rsidRPr="00A64748">
              <w:rPr>
                <w:lang w:val="en-US"/>
              </w:rPr>
              <w:t>42</w:t>
            </w:r>
          </w:p>
        </w:tc>
      </w:tr>
      <w:tr w:rsidR="00BC0583" w:rsidRPr="00CD77CC" w14:paraId="40EDC71A" w14:textId="77777777" w:rsidTr="009A4AF1">
        <w:trPr>
          <w:trHeight w:val="2735"/>
        </w:trPr>
        <w:tc>
          <w:tcPr>
            <w:tcW w:w="1259"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2F80E88D" w14:textId="1CEE2EF3" w:rsidR="00BC0583" w:rsidRDefault="00BC0583" w:rsidP="009A4AF1"/>
        </w:tc>
        <w:tc>
          <w:tcPr>
            <w:tcW w:w="5450" w:type="dxa"/>
            <w:gridSpan w:val="2"/>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7F6638A5" w14:textId="3842762E" w:rsidR="008017EC" w:rsidRPr="00462B45" w:rsidRDefault="001241A2" w:rsidP="009A4AF1">
            <w:pPr>
              <w:rPr>
                <w:b/>
                <w:sz w:val="40"/>
                <w:szCs w:val="40"/>
              </w:rPr>
            </w:pPr>
            <w:r>
              <w:rPr>
                <w:b/>
                <w:sz w:val="40"/>
                <w:szCs w:val="40"/>
              </w:rPr>
              <w:t>Advance Edited Version</w:t>
            </w:r>
          </w:p>
        </w:tc>
        <w:tc>
          <w:tcPr>
            <w:tcW w:w="2930"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0F980077" w14:textId="71204999" w:rsidR="008017EC" w:rsidRPr="006460A5" w:rsidRDefault="00120C9B" w:rsidP="009A4AF1">
            <w:pPr>
              <w:pStyle w:val="BodyA"/>
              <w:spacing w:before="240" w:line="240" w:lineRule="exact"/>
              <w:rPr>
                <w:lang w:val="es-ES"/>
              </w:rPr>
            </w:pPr>
            <w:proofErr w:type="spellStart"/>
            <w:r w:rsidRPr="006460A5">
              <w:rPr>
                <w:lang w:val="es-ES"/>
              </w:rPr>
              <w:t>Distr</w:t>
            </w:r>
            <w:proofErr w:type="spellEnd"/>
            <w:r w:rsidR="00EC3315">
              <w:rPr>
                <w:lang w:val="es-ES"/>
              </w:rPr>
              <w:t>.</w:t>
            </w:r>
            <w:r w:rsidRPr="006460A5">
              <w:rPr>
                <w:lang w:val="es-ES"/>
              </w:rPr>
              <w:t xml:space="preserve">: </w:t>
            </w:r>
            <w:r w:rsidR="00462B45">
              <w:rPr>
                <w:lang w:val="es-ES"/>
              </w:rPr>
              <w:t>g</w:t>
            </w:r>
            <w:r w:rsidRPr="006460A5">
              <w:rPr>
                <w:lang w:val="es-ES"/>
              </w:rPr>
              <w:t>eneral</w:t>
            </w:r>
          </w:p>
          <w:p w14:paraId="5370A164" w14:textId="5D2B975A" w:rsidR="00462B45" w:rsidRDefault="005F0078" w:rsidP="009B646D">
            <w:pPr>
              <w:pStyle w:val="BodyA"/>
              <w:spacing w:line="240" w:lineRule="exact"/>
              <w:rPr>
                <w:lang w:val="es-ES"/>
              </w:rPr>
            </w:pPr>
            <w:r>
              <w:rPr>
                <w:lang w:val="es-ES"/>
              </w:rPr>
              <w:t>1</w:t>
            </w:r>
            <w:r w:rsidR="0001336E">
              <w:rPr>
                <w:lang w:val="es-ES"/>
              </w:rPr>
              <w:t>2</w:t>
            </w:r>
            <w:r w:rsidR="00120C9B" w:rsidRPr="006460A5">
              <w:rPr>
                <w:lang w:val="es-ES"/>
              </w:rPr>
              <w:t xml:space="preserve"> de </w:t>
            </w:r>
            <w:r w:rsidR="00207442">
              <w:rPr>
                <w:lang w:val="es-ES"/>
              </w:rPr>
              <w:t>septiembre</w:t>
            </w:r>
            <w:r w:rsidR="00120C9B" w:rsidRPr="006460A5">
              <w:rPr>
                <w:lang w:val="es-ES"/>
              </w:rPr>
              <w:t xml:space="preserve"> de 2022</w:t>
            </w:r>
          </w:p>
          <w:p w14:paraId="2A536ED3" w14:textId="77777777" w:rsidR="009B646D" w:rsidRDefault="009B646D" w:rsidP="00877CE9">
            <w:pPr>
              <w:pStyle w:val="BodyA"/>
              <w:spacing w:line="240" w:lineRule="exact"/>
              <w:rPr>
                <w:lang w:val="es-ES"/>
              </w:rPr>
            </w:pPr>
          </w:p>
          <w:p w14:paraId="06BDF85D" w14:textId="1282C84A" w:rsidR="008017EC" w:rsidRPr="006C4A1C" w:rsidRDefault="00012073" w:rsidP="009A4AF1">
            <w:pPr>
              <w:pStyle w:val="BodyA"/>
              <w:spacing w:line="240" w:lineRule="exact"/>
              <w:rPr>
                <w:lang w:val="es-ES"/>
              </w:rPr>
            </w:pPr>
            <w:r>
              <w:rPr>
                <w:lang w:val="es-ES"/>
              </w:rPr>
              <w:t xml:space="preserve">Original: </w:t>
            </w:r>
            <w:r w:rsidR="005F0078">
              <w:rPr>
                <w:lang w:val="es-ES"/>
              </w:rPr>
              <w:t>e</w:t>
            </w:r>
            <w:r>
              <w:rPr>
                <w:lang w:val="es-ES"/>
              </w:rPr>
              <w:t>spañol</w:t>
            </w:r>
          </w:p>
        </w:tc>
      </w:tr>
    </w:tbl>
    <w:p w14:paraId="7CFBF693" w14:textId="77777777" w:rsidR="008017EC" w:rsidRPr="003F6493" w:rsidRDefault="00120C9B">
      <w:pPr>
        <w:pStyle w:val="BodyA"/>
        <w:spacing w:before="120"/>
        <w:rPr>
          <w:b/>
          <w:bCs/>
          <w:sz w:val="24"/>
          <w:szCs w:val="24"/>
          <w:lang w:val="es-ES"/>
        </w:rPr>
      </w:pPr>
      <w:r w:rsidRPr="003F6493">
        <w:rPr>
          <w:b/>
          <w:bCs/>
          <w:sz w:val="24"/>
          <w:szCs w:val="24"/>
          <w:lang w:val="es-ES"/>
        </w:rPr>
        <w:t>Consejo de Derechos Humanos</w:t>
      </w:r>
    </w:p>
    <w:p w14:paraId="692F6634" w14:textId="2626685C" w:rsidR="008017EC" w:rsidRPr="00C73B18" w:rsidRDefault="005F0078">
      <w:pPr>
        <w:pStyle w:val="BodyA"/>
        <w:rPr>
          <w:b/>
          <w:bCs/>
          <w:lang w:val="es-ES"/>
        </w:rPr>
      </w:pPr>
      <w:r>
        <w:rPr>
          <w:b/>
          <w:bCs/>
          <w:lang w:val="es-ES"/>
        </w:rPr>
        <w:t>51</w:t>
      </w:r>
      <w:r w:rsidR="001F0629" w:rsidRPr="00A64748">
        <w:rPr>
          <w:b/>
          <w:bCs/>
          <w:vertAlign w:val="superscript"/>
          <w:lang w:val="es-ES"/>
        </w:rPr>
        <w:t>er</w:t>
      </w:r>
      <w:r w:rsidR="00012073">
        <w:rPr>
          <w:b/>
          <w:bCs/>
          <w:lang w:val="es-ES"/>
        </w:rPr>
        <w:t xml:space="preserve"> </w:t>
      </w:r>
      <w:r w:rsidR="001F0629">
        <w:rPr>
          <w:b/>
          <w:bCs/>
          <w:lang w:val="es-ES"/>
        </w:rPr>
        <w:t xml:space="preserve">período de </w:t>
      </w:r>
      <w:r w:rsidR="00120C9B" w:rsidRPr="00C73B18">
        <w:rPr>
          <w:b/>
          <w:bCs/>
          <w:lang w:val="es-ES"/>
        </w:rPr>
        <w:t>sesi</w:t>
      </w:r>
      <w:r w:rsidR="001F0629">
        <w:rPr>
          <w:b/>
          <w:bCs/>
          <w:lang w:val="es-ES"/>
        </w:rPr>
        <w:t>ones</w:t>
      </w:r>
    </w:p>
    <w:p w14:paraId="5A70BC05" w14:textId="2A7E4DAA" w:rsidR="008017EC" w:rsidRPr="006460A5" w:rsidRDefault="00012073">
      <w:pPr>
        <w:pStyle w:val="BodyA"/>
        <w:rPr>
          <w:lang w:val="es-ES"/>
        </w:rPr>
      </w:pPr>
      <w:r>
        <w:rPr>
          <w:lang w:val="es-ES"/>
        </w:rPr>
        <w:t>12</w:t>
      </w:r>
      <w:r w:rsidR="003F6493" w:rsidRPr="00C73B18">
        <w:rPr>
          <w:lang w:val="es-ES"/>
        </w:rPr>
        <w:t xml:space="preserve"> de </w:t>
      </w:r>
      <w:r>
        <w:rPr>
          <w:lang w:val="es-ES"/>
        </w:rPr>
        <w:t>septiembre</w:t>
      </w:r>
      <w:r w:rsidR="001F0629">
        <w:rPr>
          <w:lang w:val="es-ES"/>
        </w:rPr>
        <w:t xml:space="preserve"> a </w:t>
      </w:r>
      <w:r>
        <w:rPr>
          <w:lang w:val="es-ES"/>
        </w:rPr>
        <w:t>7</w:t>
      </w:r>
      <w:r w:rsidR="00AB2BC2" w:rsidRPr="00C73B18">
        <w:rPr>
          <w:lang w:val="es-ES"/>
        </w:rPr>
        <w:t xml:space="preserve"> de </w:t>
      </w:r>
      <w:r>
        <w:rPr>
          <w:lang w:val="es-ES"/>
        </w:rPr>
        <w:t>octubre</w:t>
      </w:r>
      <w:r w:rsidR="00120C9B" w:rsidRPr="00C73B18">
        <w:rPr>
          <w:lang w:val="es-ES"/>
        </w:rPr>
        <w:t xml:space="preserve"> de 2022</w:t>
      </w:r>
    </w:p>
    <w:p w14:paraId="31E9F192" w14:textId="77777777" w:rsidR="008017EC" w:rsidRPr="006460A5" w:rsidRDefault="00042E04">
      <w:pPr>
        <w:pStyle w:val="BodyA"/>
        <w:rPr>
          <w:lang w:val="es-ES"/>
        </w:rPr>
      </w:pPr>
      <w:r>
        <w:rPr>
          <w:lang w:val="es-ES"/>
        </w:rPr>
        <w:t>Tema 2 de la agenda</w:t>
      </w:r>
    </w:p>
    <w:p w14:paraId="76E53B23" w14:textId="3E1C74C7" w:rsidR="008017EC" w:rsidRPr="006460A5" w:rsidRDefault="00120C9B">
      <w:pPr>
        <w:pStyle w:val="BodyAA"/>
        <w:rPr>
          <w:lang w:val="es-ES"/>
        </w:rPr>
      </w:pPr>
      <w:r w:rsidRPr="006460A5">
        <w:rPr>
          <w:b/>
          <w:bCs/>
          <w:lang w:val="es-ES"/>
        </w:rPr>
        <w:t>Informe anual de</w:t>
      </w:r>
      <w:r w:rsidR="001F0629">
        <w:rPr>
          <w:b/>
          <w:bCs/>
          <w:lang w:val="es-ES"/>
        </w:rPr>
        <w:t>l</w:t>
      </w:r>
      <w:r w:rsidR="00042E04">
        <w:rPr>
          <w:b/>
          <w:bCs/>
          <w:lang w:val="es-ES"/>
        </w:rPr>
        <w:t xml:space="preserve"> </w:t>
      </w:r>
      <w:r w:rsidRPr="006460A5">
        <w:rPr>
          <w:b/>
          <w:bCs/>
          <w:lang w:val="es-ES"/>
        </w:rPr>
        <w:t>Alt</w:t>
      </w:r>
      <w:r w:rsidR="001F0629">
        <w:rPr>
          <w:b/>
          <w:bCs/>
          <w:lang w:val="es-ES"/>
        </w:rPr>
        <w:t>o</w:t>
      </w:r>
      <w:r w:rsidRPr="006460A5">
        <w:rPr>
          <w:b/>
          <w:bCs/>
          <w:lang w:val="es-ES"/>
        </w:rPr>
        <w:t xml:space="preserve"> Comisionad</w:t>
      </w:r>
      <w:r w:rsidR="001F0629">
        <w:rPr>
          <w:b/>
          <w:bCs/>
          <w:lang w:val="es-ES"/>
        </w:rPr>
        <w:t>o</w:t>
      </w:r>
      <w:r w:rsidRPr="006460A5">
        <w:rPr>
          <w:b/>
          <w:bCs/>
          <w:lang w:val="es-ES"/>
        </w:rPr>
        <w:t xml:space="preserve"> de las Naciones Unidas</w:t>
      </w:r>
      <w:r w:rsidRPr="006460A5">
        <w:rPr>
          <w:rFonts w:ascii="Arial Unicode MS" w:hAnsi="Arial Unicode MS"/>
          <w:lang w:val="es-ES"/>
        </w:rPr>
        <w:br/>
      </w:r>
      <w:r w:rsidRPr="006460A5">
        <w:rPr>
          <w:b/>
          <w:bCs/>
          <w:lang w:val="es-ES"/>
        </w:rPr>
        <w:t>para los Derechos Humanos e informes de la Oficina del</w:t>
      </w:r>
      <w:r w:rsidRPr="006460A5">
        <w:rPr>
          <w:rFonts w:ascii="Arial Unicode MS" w:hAnsi="Arial Unicode MS"/>
          <w:lang w:val="es-ES"/>
        </w:rPr>
        <w:br/>
      </w:r>
      <w:r w:rsidRPr="006460A5">
        <w:rPr>
          <w:b/>
          <w:bCs/>
          <w:lang w:val="es-ES"/>
        </w:rPr>
        <w:t>Alto Comisionado y del Secretario General</w:t>
      </w:r>
    </w:p>
    <w:p w14:paraId="531AAA65" w14:textId="0565ADBA" w:rsidR="008017EC" w:rsidRPr="00EB7F74" w:rsidRDefault="00120C9B" w:rsidP="009A4AF1">
      <w:pPr>
        <w:pStyle w:val="HChG"/>
        <w:rPr>
          <w:lang w:val="es-ES"/>
        </w:rPr>
      </w:pPr>
      <w:r w:rsidRPr="006460A5">
        <w:rPr>
          <w:lang w:val="es-ES"/>
        </w:rPr>
        <w:tab/>
      </w:r>
      <w:r w:rsidRPr="00EB7F74">
        <w:rPr>
          <w:lang w:val="es-ES"/>
        </w:rPr>
        <w:tab/>
      </w:r>
      <w:r w:rsidRPr="00EB7F74">
        <w:rPr>
          <w:rStyle w:val="NoneA"/>
          <w:rFonts w:eastAsia="Arial Unicode MS"/>
          <w:lang w:val="es-ES"/>
        </w:rPr>
        <w:t>Situación de los derechos humanos en Nicaragua</w:t>
      </w:r>
    </w:p>
    <w:p w14:paraId="4107C81F" w14:textId="73EDAED0" w:rsidR="008017EC" w:rsidRPr="006460A5" w:rsidRDefault="00120C9B">
      <w:pPr>
        <w:pStyle w:val="H1G"/>
        <w:rPr>
          <w:sz w:val="20"/>
          <w:szCs w:val="20"/>
          <w:lang w:val="es-ES"/>
        </w:rPr>
      </w:pPr>
      <w:r w:rsidRPr="006460A5">
        <w:rPr>
          <w:rStyle w:val="NoneA"/>
          <w:lang w:val="es-ES"/>
        </w:rPr>
        <w:tab/>
      </w:r>
      <w:r w:rsidRPr="006460A5">
        <w:rPr>
          <w:rStyle w:val="NoneA"/>
          <w:lang w:val="es-ES"/>
        </w:rPr>
        <w:tab/>
      </w:r>
      <w:r w:rsidRPr="006460A5">
        <w:rPr>
          <w:rFonts w:eastAsia="Arial Unicode MS" w:cs="Arial Unicode MS"/>
          <w:lang w:val="es-ES"/>
        </w:rPr>
        <w:t>Informe de</w:t>
      </w:r>
      <w:r w:rsidR="00FA1338">
        <w:rPr>
          <w:rFonts w:eastAsia="Arial Unicode MS" w:cs="Arial Unicode MS"/>
          <w:lang w:val="es-ES"/>
        </w:rPr>
        <w:t xml:space="preserve"> </w:t>
      </w:r>
      <w:r w:rsidRPr="006460A5">
        <w:rPr>
          <w:rFonts w:eastAsia="Arial Unicode MS" w:cs="Arial Unicode MS"/>
          <w:lang w:val="es-ES"/>
        </w:rPr>
        <w:t>l</w:t>
      </w:r>
      <w:r w:rsidR="00FA1338">
        <w:rPr>
          <w:rFonts w:eastAsia="Arial Unicode MS" w:cs="Arial Unicode MS"/>
          <w:lang w:val="es-ES"/>
        </w:rPr>
        <w:t>a</w:t>
      </w:r>
      <w:r w:rsidRPr="006460A5">
        <w:rPr>
          <w:rFonts w:eastAsia="Arial Unicode MS" w:cs="Arial Unicode MS"/>
          <w:lang w:val="es-ES"/>
        </w:rPr>
        <w:t xml:space="preserve"> Alt</w:t>
      </w:r>
      <w:r w:rsidR="00FA1338">
        <w:rPr>
          <w:rFonts w:eastAsia="Arial Unicode MS" w:cs="Arial Unicode MS"/>
          <w:lang w:val="es-ES"/>
        </w:rPr>
        <w:t>a</w:t>
      </w:r>
      <w:r w:rsidRPr="006460A5">
        <w:rPr>
          <w:rFonts w:eastAsia="Arial Unicode MS" w:cs="Arial Unicode MS"/>
          <w:lang w:val="es-ES"/>
        </w:rPr>
        <w:t xml:space="preserve"> Comisionad</w:t>
      </w:r>
      <w:r w:rsidR="00FA1338">
        <w:rPr>
          <w:rFonts w:eastAsia="Arial Unicode MS" w:cs="Arial Unicode MS"/>
          <w:lang w:val="es-ES"/>
        </w:rPr>
        <w:t>a</w:t>
      </w:r>
      <w:r w:rsidRPr="006460A5">
        <w:rPr>
          <w:rFonts w:eastAsia="Arial Unicode MS" w:cs="Arial Unicode MS"/>
          <w:lang w:val="es-ES"/>
        </w:rPr>
        <w:t xml:space="preserve"> de las Naciones Unidas para los Derechos Humanos</w:t>
      </w:r>
      <w:r w:rsidR="006D0DC6" w:rsidRPr="006D0DC6">
        <w:rPr>
          <w:rStyle w:val="FootnoteReference"/>
          <w:rFonts w:eastAsia="Arial Unicode MS" w:cs="Arial Unicode MS"/>
          <w:b w:val="0"/>
          <w:sz w:val="20"/>
          <w:vertAlign w:val="baseline"/>
        </w:rPr>
        <w:footnoteReference w:customMarkFollows="1" w:id="2"/>
        <w:t>*</w:t>
      </w:r>
    </w:p>
    <w:tbl>
      <w:tblPr>
        <w:tblW w:w="96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22"/>
      </w:tblGrid>
      <w:tr w:rsidR="00BC0583" w:rsidRPr="00C01A90" w14:paraId="0F407FAA" w14:textId="77777777">
        <w:trPr>
          <w:trHeight w:val="305"/>
          <w:jc w:val="center"/>
        </w:trPr>
        <w:tc>
          <w:tcPr>
            <w:tcW w:w="9622" w:type="dxa"/>
            <w:tcBorders>
              <w:top w:val="single" w:sz="4" w:space="0" w:color="000000"/>
              <w:left w:val="single" w:sz="4" w:space="0" w:color="000000"/>
              <w:bottom w:val="nil"/>
              <w:right w:val="single" w:sz="4" w:space="0" w:color="000000"/>
            </w:tcBorders>
            <w:shd w:val="clear" w:color="auto" w:fill="auto"/>
            <w:tcMar>
              <w:top w:w="80" w:type="dxa"/>
              <w:left w:w="335" w:type="dxa"/>
              <w:bottom w:w="80" w:type="dxa"/>
              <w:right w:w="80" w:type="dxa"/>
            </w:tcMar>
          </w:tcPr>
          <w:p w14:paraId="5B4A07E6" w14:textId="77777777" w:rsidR="008017EC" w:rsidRPr="002A5B81" w:rsidRDefault="00120C9B">
            <w:pPr>
              <w:pStyle w:val="Body"/>
              <w:spacing w:before="240" w:after="120"/>
              <w:ind w:left="255"/>
              <w:rPr>
                <w:i/>
                <w:iCs/>
                <w:lang w:val="es-ES"/>
              </w:rPr>
            </w:pPr>
            <w:r w:rsidRPr="002A5B81">
              <w:rPr>
                <w:i/>
                <w:iCs/>
                <w:lang w:val="es-ES"/>
              </w:rPr>
              <w:t>Resumen</w:t>
            </w:r>
          </w:p>
          <w:p w14:paraId="62952886" w14:textId="335921E4" w:rsidR="00801850" w:rsidRPr="00801850" w:rsidRDefault="00012073" w:rsidP="00052985">
            <w:pPr>
              <w:pStyle w:val="Body"/>
              <w:spacing w:before="240" w:after="120"/>
              <w:ind w:left="794" w:right="618" w:firstLine="567"/>
              <w:rPr>
                <w:lang w:val="es-ES"/>
              </w:rPr>
            </w:pPr>
            <w:r w:rsidRPr="00012073">
              <w:rPr>
                <w:sz w:val="20"/>
                <w:szCs w:val="20"/>
                <w:lang w:val="es-ES_tradnl"/>
              </w:rPr>
              <w:t>E</w:t>
            </w:r>
            <w:r w:rsidR="00655B31">
              <w:rPr>
                <w:sz w:val="20"/>
                <w:szCs w:val="20"/>
                <w:lang w:val="es-ES_tradnl"/>
              </w:rPr>
              <w:t>l presente</w:t>
            </w:r>
            <w:r w:rsidRPr="00012073">
              <w:rPr>
                <w:sz w:val="20"/>
                <w:szCs w:val="20"/>
                <w:lang w:val="es-ES_tradnl"/>
              </w:rPr>
              <w:t xml:space="preserve"> informe, presentado de conformidad con la resolución 49/3 del Consejo de Derechos Humanos, contiene una actualización de la situación de derechos humanos en Nicar</w:t>
            </w:r>
            <w:r w:rsidR="00613DB4">
              <w:rPr>
                <w:sz w:val="20"/>
                <w:szCs w:val="20"/>
                <w:lang w:val="es-ES_tradnl"/>
              </w:rPr>
              <w:t>a</w:t>
            </w:r>
            <w:r w:rsidRPr="00012073">
              <w:rPr>
                <w:sz w:val="20"/>
                <w:szCs w:val="20"/>
                <w:lang w:val="es-ES_tradnl"/>
              </w:rPr>
              <w:t xml:space="preserve">gua y una evaluación detallada de la aplicación de las recomendaciones formuladas al Estado por </w:t>
            </w:r>
            <w:r w:rsidR="00300730">
              <w:rPr>
                <w:sz w:val="20"/>
                <w:szCs w:val="20"/>
                <w:lang w:val="es-ES_tradnl"/>
              </w:rPr>
              <w:t>la Oficina del Alto Comisionado de las Naciones Unidas para los Derechos Humanos</w:t>
            </w:r>
            <w:r w:rsidRPr="00012073">
              <w:rPr>
                <w:sz w:val="20"/>
                <w:szCs w:val="20"/>
                <w:lang w:val="es-ES_tradnl"/>
              </w:rPr>
              <w:t xml:space="preserve">, los mecanismos del Consejo de Derechos </w:t>
            </w:r>
            <w:r w:rsidRPr="002B2294">
              <w:rPr>
                <w:sz w:val="20"/>
                <w:szCs w:val="20"/>
                <w:lang w:val="es-ES_tradnl"/>
              </w:rPr>
              <w:t xml:space="preserve">Humanos y los </w:t>
            </w:r>
            <w:r w:rsidR="00AE52B2" w:rsidRPr="002B2294">
              <w:rPr>
                <w:sz w:val="20"/>
                <w:szCs w:val="20"/>
                <w:lang w:val="es-ES_tradnl"/>
              </w:rPr>
              <w:t>ó</w:t>
            </w:r>
            <w:r w:rsidRPr="002B2294">
              <w:rPr>
                <w:sz w:val="20"/>
                <w:szCs w:val="20"/>
                <w:lang w:val="es-ES_tradnl"/>
              </w:rPr>
              <w:t xml:space="preserve">rganos de </w:t>
            </w:r>
            <w:r w:rsidR="0071035D" w:rsidRPr="002B2294">
              <w:rPr>
                <w:sz w:val="20"/>
                <w:szCs w:val="20"/>
                <w:lang w:val="es-ES_tradnl"/>
              </w:rPr>
              <w:t>t</w:t>
            </w:r>
            <w:r w:rsidRPr="002B2294">
              <w:rPr>
                <w:sz w:val="20"/>
                <w:szCs w:val="20"/>
                <w:lang w:val="es-ES_tradnl"/>
              </w:rPr>
              <w:t>ratados desde</w:t>
            </w:r>
            <w:r w:rsidRPr="00012073">
              <w:rPr>
                <w:sz w:val="20"/>
                <w:szCs w:val="20"/>
                <w:lang w:val="es-ES_tradnl"/>
              </w:rPr>
              <w:t xml:space="preserve"> 2018</w:t>
            </w:r>
            <w:r>
              <w:rPr>
                <w:sz w:val="20"/>
                <w:szCs w:val="20"/>
                <w:lang w:val="es-ES_tradnl"/>
              </w:rPr>
              <w:t>.</w:t>
            </w:r>
          </w:p>
        </w:tc>
      </w:tr>
      <w:tr w:rsidR="00BC0583" w:rsidRPr="00C01A90" w14:paraId="376B3773" w14:textId="77777777">
        <w:trPr>
          <w:trHeight w:val="305"/>
          <w:jc w:val="center"/>
        </w:trPr>
        <w:tc>
          <w:tcPr>
            <w:tcW w:w="962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4ACEF" w14:textId="77777777" w:rsidR="00BC0583" w:rsidRPr="00D359CD" w:rsidRDefault="00BC0583">
            <w:pPr>
              <w:rPr>
                <w:lang w:val="es-ES"/>
              </w:rPr>
            </w:pPr>
          </w:p>
        </w:tc>
      </w:tr>
    </w:tbl>
    <w:p w14:paraId="1CF6F1BB" w14:textId="77777777" w:rsidR="00BC0583" w:rsidRPr="00D359CD" w:rsidRDefault="00F158B1">
      <w:pPr>
        <w:pStyle w:val="BodyA"/>
        <w:widowControl w:val="0"/>
        <w:spacing w:line="240" w:lineRule="auto"/>
        <w:jc w:val="center"/>
        <w:rPr>
          <w:lang w:val="es-ES"/>
        </w:rPr>
      </w:pPr>
      <w:r w:rsidRPr="00D359CD">
        <w:rPr>
          <w:rFonts w:ascii="Arial Unicode MS" w:eastAsia="Arial Unicode MS" w:hAnsi="Arial Unicode MS" w:cs="Arial Unicode MS"/>
          <w:shd w:val="clear" w:color="auto" w:fill="FFFF00"/>
          <w:lang w:val="es-ES"/>
        </w:rPr>
        <w:br w:type="page"/>
      </w:r>
    </w:p>
    <w:p w14:paraId="48A4643B" w14:textId="0D55F28A" w:rsidR="008017EC" w:rsidRPr="00D359CD" w:rsidRDefault="00120C9B">
      <w:pPr>
        <w:pStyle w:val="HChG"/>
        <w:rPr>
          <w:lang w:val="es-ES"/>
        </w:rPr>
      </w:pPr>
      <w:r w:rsidRPr="00D359CD">
        <w:rPr>
          <w:rFonts w:eastAsia="Arial Unicode MS" w:cs="Arial Unicode MS"/>
          <w:lang w:val="es-ES"/>
        </w:rPr>
        <w:lastRenderedPageBreak/>
        <w:tab/>
        <w:t>I.</w:t>
      </w:r>
      <w:r w:rsidRPr="00D359CD">
        <w:rPr>
          <w:rFonts w:eastAsia="Arial Unicode MS" w:cs="Arial Unicode MS"/>
          <w:lang w:val="es-ES"/>
        </w:rPr>
        <w:tab/>
        <w:t>Introducción</w:t>
      </w:r>
      <w:r w:rsidR="00012073">
        <w:rPr>
          <w:rFonts w:eastAsia="Arial Unicode MS" w:cs="Arial Unicode MS"/>
          <w:lang w:val="es-ES"/>
        </w:rPr>
        <w:t xml:space="preserve"> y metodología</w:t>
      </w:r>
    </w:p>
    <w:p w14:paraId="13A769AF" w14:textId="508E52C6"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1.</w:t>
      </w:r>
      <w:r w:rsidRPr="00012073">
        <w:rPr>
          <w:lang w:val="es-PA"/>
        </w:rPr>
        <w:tab/>
      </w:r>
      <w:r w:rsidR="00012073" w:rsidRPr="00012073">
        <w:rPr>
          <w:lang w:val="es-PA"/>
        </w:rPr>
        <w:t xml:space="preserve">En la resolución 49/3, aprobada el 31 de marzo de 2022, el Consejo de Derechos Humanos solicitó a la Alta Comisionada </w:t>
      </w:r>
      <w:r w:rsidR="0071035D">
        <w:rPr>
          <w:lang w:val="es-PA"/>
        </w:rPr>
        <w:t xml:space="preserve">que </w:t>
      </w:r>
      <w:r w:rsidR="00012073" w:rsidRPr="00012073">
        <w:rPr>
          <w:lang w:val="es-PA"/>
        </w:rPr>
        <w:t>prepara</w:t>
      </w:r>
      <w:r w:rsidR="0071035D">
        <w:rPr>
          <w:lang w:val="es-PA"/>
        </w:rPr>
        <w:t>se</w:t>
      </w:r>
      <w:r w:rsidR="00012073" w:rsidRPr="00012073">
        <w:rPr>
          <w:lang w:val="es-PA"/>
        </w:rPr>
        <w:t xml:space="preserve"> un informe exhaustivo sobre la situación de derechos humanos en Nicaragua que cont</w:t>
      </w:r>
      <w:r w:rsidR="0071035D">
        <w:rPr>
          <w:lang w:val="es-PA"/>
        </w:rPr>
        <w:t>uvier</w:t>
      </w:r>
      <w:r w:rsidR="00012073" w:rsidRPr="00012073">
        <w:rPr>
          <w:lang w:val="es-PA"/>
        </w:rPr>
        <w:t xml:space="preserve">a una evaluación detallada de la aplicación de las recomendaciones formuladas en sus informes anteriores, y de las recomendaciones de los mecanismos del </w:t>
      </w:r>
      <w:r w:rsidR="00012073" w:rsidRPr="00B172E4">
        <w:rPr>
          <w:lang w:val="es-PA"/>
        </w:rPr>
        <w:t xml:space="preserve">Consejo y los </w:t>
      </w:r>
      <w:r w:rsidR="0071035D" w:rsidRPr="00B172E4">
        <w:rPr>
          <w:lang w:val="es-PA"/>
        </w:rPr>
        <w:t>ó</w:t>
      </w:r>
      <w:r w:rsidR="00012073" w:rsidRPr="00B172E4">
        <w:rPr>
          <w:lang w:val="es-PA"/>
        </w:rPr>
        <w:t xml:space="preserve">rganos de </w:t>
      </w:r>
      <w:r w:rsidR="0071035D" w:rsidRPr="00B172E4">
        <w:rPr>
          <w:lang w:val="es-PA"/>
        </w:rPr>
        <w:t>t</w:t>
      </w:r>
      <w:r w:rsidR="00012073" w:rsidRPr="00B172E4">
        <w:rPr>
          <w:lang w:val="es-PA"/>
        </w:rPr>
        <w:t>ratados.</w:t>
      </w:r>
    </w:p>
    <w:p w14:paraId="188E1580" w14:textId="08C6E00F"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2.</w:t>
      </w:r>
      <w:r w:rsidRPr="00012073">
        <w:rPr>
          <w:lang w:val="es-PA"/>
        </w:rPr>
        <w:tab/>
      </w:r>
      <w:r w:rsidR="00012073" w:rsidRPr="00012073">
        <w:rPr>
          <w:lang w:val="es-PA"/>
        </w:rPr>
        <w:t xml:space="preserve">El capítulo II resume la situación de derechos humanos desde marzo de 2022, resaltando los hechos más preocupantes documentados por la Oficina </w:t>
      </w:r>
      <w:r w:rsidR="00F60CEE" w:rsidRPr="00012073">
        <w:rPr>
          <w:lang w:val="es-PA"/>
        </w:rPr>
        <w:t xml:space="preserve">del Alto Comisionado de las Naciones Unidas para los Derechos Humanos </w:t>
      </w:r>
      <w:r w:rsidR="00327514" w:rsidRPr="00A64748">
        <w:rPr>
          <w:lang w:val="es-ES"/>
        </w:rPr>
        <w:t xml:space="preserve">(ACNUDH) </w:t>
      </w:r>
      <w:r w:rsidR="00012073" w:rsidRPr="00012073">
        <w:rPr>
          <w:lang w:val="es-PA"/>
        </w:rPr>
        <w:t xml:space="preserve">a través del análisis de documentos e informes oficiales y no gubernamentales, videos y fotografías, 43 reuniones presenciales y a distancia con diferentes </w:t>
      </w:r>
      <w:r w:rsidR="00012073" w:rsidRPr="00B172E4">
        <w:rPr>
          <w:lang w:val="es-PA"/>
        </w:rPr>
        <w:t>actores, incluidos integrantes</w:t>
      </w:r>
      <w:r w:rsidR="00012073" w:rsidRPr="00012073">
        <w:rPr>
          <w:lang w:val="es-PA"/>
        </w:rPr>
        <w:t xml:space="preserve"> de la sociedad civil y miembros de la comunidad internacional, así como 25 entrevistas con víctimas, familiares, abogados y testigos de violaciones de derechos humanos.</w:t>
      </w:r>
    </w:p>
    <w:p w14:paraId="1DDB8873" w14:textId="18442186"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3.</w:t>
      </w:r>
      <w:r w:rsidRPr="00012073">
        <w:rPr>
          <w:lang w:val="es-PA"/>
        </w:rPr>
        <w:tab/>
      </w:r>
      <w:r w:rsidR="00012073" w:rsidRPr="00012073">
        <w:rPr>
          <w:lang w:val="es-PA"/>
        </w:rPr>
        <w:t>E</w:t>
      </w:r>
      <w:r w:rsidR="00936A10">
        <w:rPr>
          <w:lang w:val="es-PA"/>
        </w:rPr>
        <w:t>n e</w:t>
      </w:r>
      <w:r w:rsidR="00012073" w:rsidRPr="00012073">
        <w:rPr>
          <w:lang w:val="es-PA"/>
        </w:rPr>
        <w:t xml:space="preserve">l capítulo </w:t>
      </w:r>
      <w:r w:rsidR="00012073" w:rsidRPr="00936A10">
        <w:rPr>
          <w:lang w:val="es-PA"/>
        </w:rPr>
        <w:t xml:space="preserve">III </w:t>
      </w:r>
      <w:r w:rsidR="00936A10" w:rsidRPr="00936A10">
        <w:rPr>
          <w:lang w:val="es-PA"/>
        </w:rPr>
        <w:t xml:space="preserve">se </w:t>
      </w:r>
      <w:r w:rsidR="00012073" w:rsidRPr="00B86645">
        <w:rPr>
          <w:lang w:val="es-PA"/>
        </w:rPr>
        <w:t>evalúa</w:t>
      </w:r>
      <w:r w:rsidR="00012073" w:rsidRPr="00344025">
        <w:rPr>
          <w:lang w:val="es-PA"/>
        </w:rPr>
        <w:t xml:space="preserve"> la</w:t>
      </w:r>
      <w:r w:rsidR="00012073" w:rsidRPr="00012073">
        <w:rPr>
          <w:lang w:val="es-PA"/>
        </w:rPr>
        <w:t xml:space="preserve"> aplicación de las recomendaciones formuladas al Estado en los informes de</w:t>
      </w:r>
      <w:r w:rsidR="00327514">
        <w:rPr>
          <w:lang w:val="es-PA"/>
        </w:rPr>
        <w:t xml:space="preserve">l </w:t>
      </w:r>
      <w:r w:rsidR="00012073" w:rsidRPr="00012073">
        <w:rPr>
          <w:lang w:val="es-PA"/>
        </w:rPr>
        <w:t>ACNUDH</w:t>
      </w:r>
      <w:r w:rsidR="006F662E">
        <w:rPr>
          <w:lang w:val="es-PA"/>
        </w:rPr>
        <w:t>.</w:t>
      </w:r>
      <w:r w:rsidR="00012073" w:rsidRPr="00012073">
        <w:rPr>
          <w:lang w:val="es-PA"/>
        </w:rPr>
        <w:t xml:space="preserve"> </w:t>
      </w:r>
      <w:r w:rsidR="006F662E">
        <w:rPr>
          <w:lang w:val="es-PA"/>
        </w:rPr>
        <w:t>E</w:t>
      </w:r>
      <w:r w:rsidR="00012073" w:rsidRPr="00012073">
        <w:rPr>
          <w:lang w:val="es-PA"/>
        </w:rPr>
        <w:t>l primero</w:t>
      </w:r>
      <w:r w:rsidR="00137A50" w:rsidRPr="006F3262">
        <w:rPr>
          <w:rStyle w:val="FootnoteReference"/>
        </w:rPr>
        <w:footnoteReference w:id="3"/>
      </w:r>
      <w:r w:rsidR="006F662E">
        <w:rPr>
          <w:lang w:val="es-PA"/>
        </w:rPr>
        <w:t xml:space="preserve">, </w:t>
      </w:r>
      <w:r w:rsidR="00137A50">
        <w:rPr>
          <w:lang w:val="es-PA"/>
        </w:rPr>
        <w:t xml:space="preserve">de </w:t>
      </w:r>
      <w:r w:rsidR="00012073" w:rsidRPr="00012073">
        <w:rPr>
          <w:lang w:val="es-PA"/>
        </w:rPr>
        <w:t>2018</w:t>
      </w:r>
      <w:r w:rsidR="006F662E">
        <w:rPr>
          <w:lang w:val="es-PA"/>
        </w:rPr>
        <w:t>, fue</w:t>
      </w:r>
      <w:r w:rsidR="00012073" w:rsidRPr="00012073">
        <w:rPr>
          <w:lang w:val="es-PA"/>
        </w:rPr>
        <w:t xml:space="preserve"> elaborado en cumplimiento del </w:t>
      </w:r>
      <w:r w:rsidR="00012073" w:rsidRPr="00B172E4">
        <w:rPr>
          <w:lang w:val="es-PA"/>
        </w:rPr>
        <w:t>mandato universal de la Alta Comisionada, y</w:t>
      </w:r>
      <w:r w:rsidR="00012073" w:rsidRPr="00012073">
        <w:rPr>
          <w:lang w:val="es-PA"/>
        </w:rPr>
        <w:t xml:space="preserve"> los otros tres </w:t>
      </w:r>
      <w:r w:rsidR="00C85FB6">
        <w:rPr>
          <w:lang w:val="es-PA"/>
        </w:rPr>
        <w:t xml:space="preserve">se </w:t>
      </w:r>
      <w:r w:rsidR="00012073" w:rsidRPr="00012073">
        <w:rPr>
          <w:lang w:val="es-PA"/>
        </w:rPr>
        <w:t>presenta</w:t>
      </w:r>
      <w:r w:rsidR="00C85FB6">
        <w:rPr>
          <w:lang w:val="es-PA"/>
        </w:rPr>
        <w:t>ron</w:t>
      </w:r>
      <w:r w:rsidR="00012073" w:rsidRPr="00012073">
        <w:rPr>
          <w:lang w:val="es-PA"/>
        </w:rPr>
        <w:t xml:space="preserve"> al Consejo de Derechos Humanos en 2019</w:t>
      </w:r>
      <w:r w:rsidR="00012073" w:rsidRPr="006F3262">
        <w:rPr>
          <w:rStyle w:val="FootnoteReference"/>
        </w:rPr>
        <w:footnoteReference w:id="4"/>
      </w:r>
      <w:r w:rsidR="00012073" w:rsidRPr="00012073">
        <w:rPr>
          <w:lang w:val="es-PA"/>
        </w:rPr>
        <w:t>, 2021</w:t>
      </w:r>
      <w:r w:rsidR="00012073" w:rsidRPr="006F3262">
        <w:rPr>
          <w:rStyle w:val="FootnoteReference"/>
        </w:rPr>
        <w:footnoteReference w:id="5"/>
      </w:r>
      <w:r w:rsidR="00012073" w:rsidRPr="00012073">
        <w:rPr>
          <w:lang w:val="es-PA"/>
        </w:rPr>
        <w:t xml:space="preserve"> y 2022</w:t>
      </w:r>
      <w:r w:rsidR="00012073" w:rsidRPr="006F3262">
        <w:rPr>
          <w:rStyle w:val="FootnoteReference"/>
        </w:rPr>
        <w:footnoteReference w:id="6"/>
      </w:r>
      <w:r w:rsidR="00012073" w:rsidRPr="00012073">
        <w:rPr>
          <w:lang w:val="es-PA"/>
        </w:rPr>
        <w:t xml:space="preserve">, en cumplimiento de sendas resoluciones del Consejo. Los cuatro informes contienen 47 recomendaciones dirigidas al Estado y 9 a la comunidad internacional y al Consejo de Derechos Humanos. También se evalúa el cumplimiento de las recomendaciones formuladas a Nicaragua en el marco del </w:t>
      </w:r>
      <w:r w:rsidR="00BD7FF4">
        <w:rPr>
          <w:lang w:val="es-PA"/>
        </w:rPr>
        <w:t>e</w:t>
      </w:r>
      <w:r w:rsidR="00012073" w:rsidRPr="00012073">
        <w:rPr>
          <w:lang w:val="es-PA"/>
        </w:rPr>
        <w:t xml:space="preserve">xamen </w:t>
      </w:r>
      <w:r w:rsidR="00BD7FF4">
        <w:rPr>
          <w:lang w:val="es-PA"/>
        </w:rPr>
        <w:t>p</w:t>
      </w:r>
      <w:r w:rsidR="00012073" w:rsidRPr="00012073">
        <w:rPr>
          <w:lang w:val="es-PA"/>
        </w:rPr>
        <w:t xml:space="preserve">eriódico </w:t>
      </w:r>
      <w:r w:rsidR="00BD7FF4">
        <w:rPr>
          <w:lang w:val="es-PA"/>
        </w:rPr>
        <w:t>u</w:t>
      </w:r>
      <w:r w:rsidR="00012073" w:rsidRPr="00012073">
        <w:rPr>
          <w:lang w:val="es-PA"/>
        </w:rPr>
        <w:t>niversal en 2019</w:t>
      </w:r>
      <w:r w:rsidR="00012073" w:rsidRPr="006F3262">
        <w:rPr>
          <w:rStyle w:val="FootnoteReference"/>
        </w:rPr>
        <w:footnoteReference w:id="7"/>
      </w:r>
      <w:r w:rsidR="00012073" w:rsidRPr="00012073">
        <w:rPr>
          <w:lang w:val="es-PA"/>
        </w:rPr>
        <w:t xml:space="preserve"> (de 259 recomendaciones, el Estado aceptó 135</w:t>
      </w:r>
      <w:r w:rsidR="00012073" w:rsidRPr="006F3262">
        <w:rPr>
          <w:rStyle w:val="FootnoteReference"/>
        </w:rPr>
        <w:footnoteReference w:id="8"/>
      </w:r>
      <w:r w:rsidR="00012073" w:rsidRPr="00012073">
        <w:rPr>
          <w:lang w:val="es-PA"/>
        </w:rPr>
        <w:t>), y por el Grupo de Trabajo sobre la Detención Arbitraria en nueve casos</w:t>
      </w:r>
      <w:r w:rsidR="00012073" w:rsidRPr="006F3262">
        <w:rPr>
          <w:rStyle w:val="FootnoteReference"/>
        </w:rPr>
        <w:footnoteReference w:id="9"/>
      </w:r>
      <w:r w:rsidR="00012073" w:rsidRPr="00012073">
        <w:rPr>
          <w:lang w:val="es-PA"/>
        </w:rPr>
        <w:t xml:space="preserve"> (38</w:t>
      </w:r>
      <w:r w:rsidR="00E7156B">
        <w:rPr>
          <w:lang w:val="es-PA"/>
        </w:rPr>
        <w:t> </w:t>
      </w:r>
      <w:r w:rsidR="00012073" w:rsidRPr="00012073">
        <w:rPr>
          <w:lang w:val="es-PA"/>
        </w:rPr>
        <w:t>recomendaciones). Finalmente, se evalúa el cumplimiento de las 43 recomendaciones adoptadas por el Comité de Derechos Económicos, Sociales y Culturales en 2021</w:t>
      </w:r>
      <w:r w:rsidR="001425ED" w:rsidRPr="006F3262">
        <w:rPr>
          <w:rStyle w:val="FootnoteReference"/>
        </w:rPr>
        <w:footnoteReference w:id="10"/>
      </w:r>
      <w:r w:rsidR="00012073" w:rsidRPr="00012073">
        <w:rPr>
          <w:lang w:val="es-PA"/>
        </w:rPr>
        <w:t xml:space="preserve">. </w:t>
      </w:r>
      <w:r w:rsidR="00967737">
        <w:rPr>
          <w:lang w:val="es-PA"/>
        </w:rPr>
        <w:t>El</w:t>
      </w:r>
      <w:r w:rsidR="00967737" w:rsidRPr="00012073">
        <w:rPr>
          <w:lang w:val="es-PA"/>
        </w:rPr>
        <w:t xml:space="preserve"> </w:t>
      </w:r>
      <w:r w:rsidR="00012073" w:rsidRPr="00012073">
        <w:rPr>
          <w:lang w:val="es-PA"/>
        </w:rPr>
        <w:t>Comité contra la Tortura y</w:t>
      </w:r>
      <w:r w:rsidR="00967737">
        <w:rPr>
          <w:lang w:val="es-PA"/>
        </w:rPr>
        <w:t xml:space="preserve"> el C</w:t>
      </w:r>
      <w:r w:rsidR="00C11C6F">
        <w:rPr>
          <w:lang w:val="es-PA"/>
        </w:rPr>
        <w:t>omité</w:t>
      </w:r>
      <w:r w:rsidR="00012073" w:rsidRPr="00012073">
        <w:rPr>
          <w:lang w:val="es-PA"/>
        </w:rPr>
        <w:t xml:space="preserve"> para la Eliminación de la Discriminación Racial adoptaron observaciones </w:t>
      </w:r>
      <w:r w:rsidR="00EE6F12">
        <w:rPr>
          <w:lang w:val="es-PA"/>
        </w:rPr>
        <w:t xml:space="preserve">finales de carácter </w:t>
      </w:r>
      <w:r w:rsidR="00012073" w:rsidRPr="00012073">
        <w:rPr>
          <w:lang w:val="es-PA"/>
        </w:rPr>
        <w:t>provisional en julio y agosto de 2022, respectivamente, por ello, la evaluación sobre su cumplimiento no se incluye en este informe.</w:t>
      </w:r>
    </w:p>
    <w:p w14:paraId="0A0E590E" w14:textId="41634468"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4.</w:t>
      </w:r>
      <w:r w:rsidRPr="00012073">
        <w:rPr>
          <w:lang w:val="es-PA"/>
        </w:rPr>
        <w:tab/>
      </w:r>
      <w:r w:rsidR="00012073" w:rsidRPr="00012073">
        <w:rPr>
          <w:lang w:val="es-PA"/>
        </w:rPr>
        <w:t xml:space="preserve">En abril y mayo de 2022, </w:t>
      </w:r>
      <w:r w:rsidR="00F07832">
        <w:rPr>
          <w:lang w:val="es-PA"/>
        </w:rPr>
        <w:t xml:space="preserve">el </w:t>
      </w:r>
      <w:r w:rsidR="00012073" w:rsidRPr="00012073">
        <w:rPr>
          <w:lang w:val="es-PA"/>
        </w:rPr>
        <w:t>ACNUDH solicitó información al Gobierno de Nicaragua sobre la implementación de las 396 recomendaciones, sin obtener respuesta. También solicitó información a diversas agencias del sistema de Naciones Unidas, a víctimas de violaciones de derechos humanos y a la sociedad civil, a quienes agradece su cooperación. Además, se consultaron fuentes oficiales, registros de ACNUDH, y otras fuentes fidedignas y abiertas conforme a la metodología de monitoreo de la Oficina.</w:t>
      </w:r>
    </w:p>
    <w:p w14:paraId="637B272E" w14:textId="1F7B0038" w:rsidR="00012073" w:rsidRPr="00012073" w:rsidRDefault="00012073" w:rsidP="00BE4D19">
      <w:pPr>
        <w:pStyle w:val="HChG"/>
        <w:rPr>
          <w:b w:val="0"/>
          <w:bCs w:val="0"/>
          <w:lang w:val="es-ES"/>
        </w:rPr>
      </w:pPr>
      <w:r w:rsidRPr="00012073">
        <w:rPr>
          <w:lang w:val="es-ES"/>
        </w:rPr>
        <w:tab/>
        <w:t>II.</w:t>
      </w:r>
      <w:r w:rsidR="00BE4D19">
        <w:rPr>
          <w:lang w:val="es-ES"/>
        </w:rPr>
        <w:tab/>
      </w:r>
      <w:r w:rsidRPr="00012073">
        <w:rPr>
          <w:lang w:val="es-ES"/>
        </w:rPr>
        <w:t xml:space="preserve">Situación actual de los derechos humanos en Nicaragua </w:t>
      </w:r>
    </w:p>
    <w:p w14:paraId="6B110687" w14:textId="15BCFC49" w:rsidR="00F77E47" w:rsidRDefault="006925DE" w:rsidP="006925DE">
      <w:pPr>
        <w:pStyle w:val="H1G"/>
        <w:rPr>
          <w:lang w:val="es-PA"/>
        </w:rPr>
      </w:pPr>
      <w:r>
        <w:rPr>
          <w:lang w:val="es-PA"/>
        </w:rPr>
        <w:tab/>
      </w:r>
      <w:r w:rsidR="009A4AF1">
        <w:rPr>
          <w:lang w:val="es-PA"/>
        </w:rPr>
        <w:t>A</w:t>
      </w:r>
      <w:r>
        <w:rPr>
          <w:lang w:val="es-PA"/>
        </w:rPr>
        <w:t>.</w:t>
      </w:r>
      <w:r>
        <w:rPr>
          <w:lang w:val="es-PA"/>
        </w:rPr>
        <w:tab/>
        <w:t>C</w:t>
      </w:r>
      <w:r w:rsidR="00012073" w:rsidRPr="00012073">
        <w:rPr>
          <w:lang w:val="es-PA"/>
        </w:rPr>
        <w:t>ontexto</w:t>
      </w:r>
    </w:p>
    <w:p w14:paraId="7CB435E0" w14:textId="743F7473" w:rsidR="00F77E47"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Pr>
          <w:lang w:val="es-PA"/>
        </w:rPr>
        <w:t>5.</w:t>
      </w:r>
      <w:r>
        <w:rPr>
          <w:lang w:val="es-PA"/>
        </w:rPr>
        <w:tab/>
      </w:r>
      <w:r w:rsidR="00012073" w:rsidRPr="00012073">
        <w:rPr>
          <w:lang w:val="es-PA"/>
        </w:rPr>
        <w:t>En 2022</w:t>
      </w:r>
      <w:r w:rsidR="00F73289">
        <w:rPr>
          <w:lang w:val="es-PA"/>
        </w:rPr>
        <w:t xml:space="preserve">, el </w:t>
      </w:r>
      <w:r w:rsidR="00012073" w:rsidRPr="00012073">
        <w:rPr>
          <w:lang w:val="es-PA"/>
        </w:rPr>
        <w:t>ACNUDH constató un deterioro de la situación de los derechos humanos, en particular los derechos civiles y políticos, en un contexto caracterizado por la ausencia de diálogo, profundización de la crisis política, y aislamiento de Nicaragua de la comunidad internacional.</w:t>
      </w:r>
    </w:p>
    <w:p w14:paraId="627A7D5F" w14:textId="4475BF7A" w:rsidR="00F77E47"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Pr>
          <w:lang w:val="es-PA"/>
        </w:rPr>
        <w:lastRenderedPageBreak/>
        <w:t>6.</w:t>
      </w:r>
      <w:r>
        <w:rPr>
          <w:lang w:val="es-PA"/>
        </w:rPr>
        <w:tab/>
      </w:r>
      <w:r w:rsidR="00012073" w:rsidRPr="00012073">
        <w:rPr>
          <w:lang w:val="es-PA"/>
        </w:rPr>
        <w:t xml:space="preserve">En enero de 2021, </w:t>
      </w:r>
      <w:r w:rsidR="00936A10">
        <w:rPr>
          <w:lang w:val="es-PA"/>
        </w:rPr>
        <w:t xml:space="preserve">el Presidente de Nicaragua, </w:t>
      </w:r>
      <w:r w:rsidR="00DA3ED4">
        <w:rPr>
          <w:lang w:val="es-PA"/>
        </w:rPr>
        <w:t>Daniel</w:t>
      </w:r>
      <w:r w:rsidR="00936A10" w:rsidRPr="00012073">
        <w:rPr>
          <w:lang w:val="es-PA"/>
        </w:rPr>
        <w:t xml:space="preserve"> </w:t>
      </w:r>
      <w:r w:rsidR="00012073" w:rsidRPr="00012073">
        <w:rPr>
          <w:lang w:val="es-PA"/>
        </w:rPr>
        <w:t>Ortega</w:t>
      </w:r>
      <w:r w:rsidR="00936A10">
        <w:rPr>
          <w:lang w:val="es-PA"/>
        </w:rPr>
        <w:t>,</w:t>
      </w:r>
      <w:r w:rsidR="00012073" w:rsidRPr="00012073">
        <w:rPr>
          <w:lang w:val="es-PA"/>
        </w:rPr>
        <w:t xml:space="preserve"> anunció públicamente un diálogo nacional para después de las elecciones del 7 de noviembre</w:t>
      </w:r>
      <w:r w:rsidR="00012073" w:rsidRPr="006F3262">
        <w:rPr>
          <w:rStyle w:val="FootnoteReference"/>
        </w:rPr>
        <w:footnoteReference w:id="11"/>
      </w:r>
      <w:r w:rsidR="00012073" w:rsidRPr="00012073">
        <w:rPr>
          <w:lang w:val="es-PA"/>
        </w:rPr>
        <w:t>. El tono amenazante y peyorativo de sus declaraciones con respecto a las personas detenidas en el contexto electoral</w:t>
      </w:r>
      <w:r w:rsidR="00012073" w:rsidRPr="006F3262">
        <w:rPr>
          <w:rStyle w:val="FootnoteReference"/>
        </w:rPr>
        <w:footnoteReference w:id="12"/>
      </w:r>
      <w:r w:rsidR="00012073" w:rsidRPr="00012073">
        <w:rPr>
          <w:lang w:val="es-PA"/>
        </w:rPr>
        <w:t xml:space="preserve"> diluyó cualquier expectativa de una salida basada en el diálogo para resolver la crisis. En marzo de 2022, Nicaragua expulsó al </w:t>
      </w:r>
      <w:r w:rsidR="00500DA6">
        <w:rPr>
          <w:lang w:val="es-PA"/>
        </w:rPr>
        <w:t>n</w:t>
      </w:r>
      <w:r w:rsidR="00012073" w:rsidRPr="00012073">
        <w:rPr>
          <w:lang w:val="es-PA"/>
        </w:rPr>
        <w:t xml:space="preserve">uncio </w:t>
      </w:r>
      <w:r w:rsidR="00500DA6">
        <w:rPr>
          <w:lang w:val="es-PA"/>
        </w:rPr>
        <w:t>a</w:t>
      </w:r>
      <w:r w:rsidR="00012073" w:rsidRPr="00012073">
        <w:rPr>
          <w:lang w:val="es-PA"/>
        </w:rPr>
        <w:t xml:space="preserve">postólico, quien había apoyado el diálogo al principio de la crisis. En abril, Nicaragua precipitó su desvinculación de la Organización de </w:t>
      </w:r>
      <w:r w:rsidR="000915ED">
        <w:rPr>
          <w:lang w:val="es-PA"/>
        </w:rPr>
        <w:t xml:space="preserve">los </w:t>
      </w:r>
      <w:r w:rsidR="00012073" w:rsidRPr="00012073">
        <w:rPr>
          <w:lang w:val="es-PA"/>
        </w:rPr>
        <w:t xml:space="preserve">Estados Americanos (OEA) tras haber </w:t>
      </w:r>
      <w:r w:rsidR="00012073" w:rsidRPr="00BA7CF0">
        <w:rPr>
          <w:lang w:val="es-PA"/>
        </w:rPr>
        <w:t>denunciado la Carta de la organización en</w:t>
      </w:r>
      <w:r w:rsidR="00012073" w:rsidRPr="00012073">
        <w:rPr>
          <w:lang w:val="es-PA"/>
        </w:rPr>
        <w:t xml:space="preserve"> noviembre de 2021. Sin esperar los dos años de preaviso dispuestos en</w:t>
      </w:r>
      <w:r w:rsidR="003260DD">
        <w:rPr>
          <w:lang w:val="es-PA"/>
        </w:rPr>
        <w:t xml:space="preserve"> el artículo 143 de</w:t>
      </w:r>
      <w:r w:rsidR="00012073" w:rsidRPr="00012073">
        <w:rPr>
          <w:lang w:val="es-PA"/>
        </w:rPr>
        <w:t xml:space="preserve"> la Carta, Nicaragua retiró a sus representantes ante la Organización, tomó por la fuerza sus oficinas en Managua con la participación de agentes de la Dirección de Operaciones Especiales de la Policía, y expulsó a su personal</w:t>
      </w:r>
      <w:r w:rsidR="00012073" w:rsidRPr="006F3262">
        <w:rPr>
          <w:rStyle w:val="FootnoteReference"/>
        </w:rPr>
        <w:footnoteReference w:id="13"/>
      </w:r>
      <w:r w:rsidR="00012073" w:rsidRPr="00012073">
        <w:rPr>
          <w:lang w:val="es-PA"/>
        </w:rPr>
        <w:t xml:space="preserve">. </w:t>
      </w:r>
      <w:r w:rsidR="00012073" w:rsidRPr="00936A10">
        <w:rPr>
          <w:lang w:val="es-PA"/>
        </w:rPr>
        <w:t xml:space="preserve">La </w:t>
      </w:r>
      <w:r w:rsidR="00012073" w:rsidRPr="00B86645">
        <w:rPr>
          <w:lang w:val="es-PA"/>
        </w:rPr>
        <w:t>Vicepresidenta</w:t>
      </w:r>
      <w:r w:rsidR="00936A10" w:rsidRPr="00A64748">
        <w:rPr>
          <w:lang w:val="es-PA"/>
        </w:rPr>
        <w:t xml:space="preserve"> de Nicaragua</w:t>
      </w:r>
      <w:r w:rsidR="00DA3ED4">
        <w:rPr>
          <w:lang w:val="es-PA"/>
        </w:rPr>
        <w:t>, Rosario Murillo,</w:t>
      </w:r>
      <w:r w:rsidR="00936A10" w:rsidRPr="00A64748">
        <w:rPr>
          <w:lang w:val="es-PA"/>
        </w:rPr>
        <w:t xml:space="preserve"> </w:t>
      </w:r>
      <w:r w:rsidR="00012073" w:rsidRPr="00344025">
        <w:rPr>
          <w:lang w:val="es-PA"/>
        </w:rPr>
        <w:t>anunció que el inmueble había sido declarado de utilidad públi</w:t>
      </w:r>
      <w:r w:rsidR="00012073" w:rsidRPr="00730A98">
        <w:rPr>
          <w:lang w:val="es-PA"/>
        </w:rPr>
        <w:t>ca</w:t>
      </w:r>
      <w:r w:rsidR="00012073" w:rsidRPr="00936A10">
        <w:rPr>
          <w:rStyle w:val="FootnoteReference"/>
        </w:rPr>
        <w:footnoteReference w:id="14"/>
      </w:r>
      <w:r w:rsidR="00012073" w:rsidRPr="00936A10">
        <w:rPr>
          <w:lang w:val="es-PA"/>
        </w:rPr>
        <w:t>. Así, el aislamiento de Nicaragua</w:t>
      </w:r>
      <w:r w:rsidR="00012073" w:rsidRPr="00012073">
        <w:rPr>
          <w:lang w:val="es-PA"/>
        </w:rPr>
        <w:t xml:space="preserve"> de la comunidad internacional se ha acentuado, recibiendo condenas por estas acciones</w:t>
      </w:r>
      <w:r w:rsidR="00012073" w:rsidRPr="006F3262">
        <w:rPr>
          <w:rStyle w:val="FootnoteReference"/>
        </w:rPr>
        <w:footnoteReference w:id="15"/>
      </w:r>
      <w:r w:rsidR="00012073" w:rsidRPr="00012073">
        <w:rPr>
          <w:lang w:val="es-PA"/>
        </w:rPr>
        <w:t xml:space="preserve"> y por la </w:t>
      </w:r>
      <w:r w:rsidR="00012073" w:rsidRPr="00AC7394">
        <w:rPr>
          <w:lang w:val="es-PA"/>
        </w:rPr>
        <w:t xml:space="preserve">situación </w:t>
      </w:r>
      <w:r w:rsidR="00AC7394" w:rsidRPr="00A64748">
        <w:rPr>
          <w:lang w:val="es-PA"/>
        </w:rPr>
        <w:t>en la que se encuentran los</w:t>
      </w:r>
      <w:r w:rsidR="00AC7394" w:rsidRPr="00AC7394">
        <w:rPr>
          <w:lang w:val="es-PA"/>
        </w:rPr>
        <w:t xml:space="preserve"> </w:t>
      </w:r>
      <w:r w:rsidR="00012073" w:rsidRPr="00AC7394">
        <w:rPr>
          <w:lang w:val="es-PA"/>
        </w:rPr>
        <w:t>derechos humanos</w:t>
      </w:r>
      <w:r w:rsidR="00012073" w:rsidRPr="00AC7394">
        <w:rPr>
          <w:rStyle w:val="FootnoteReference"/>
        </w:rPr>
        <w:footnoteReference w:id="16"/>
      </w:r>
      <w:r w:rsidR="00012073" w:rsidRPr="00AC7394">
        <w:rPr>
          <w:lang w:val="es-PA"/>
        </w:rPr>
        <w:t>,</w:t>
      </w:r>
      <w:r w:rsidR="00012073" w:rsidRPr="00012073">
        <w:rPr>
          <w:lang w:val="es-PA"/>
        </w:rPr>
        <w:t xml:space="preserve"> como también nuevas sanciones institucionales e individuales a sus funcionarios, incluidos jueces y fiscales, de parte de algunos Estados. </w:t>
      </w:r>
    </w:p>
    <w:p w14:paraId="0130DD41" w14:textId="34373194" w:rsidR="00F77E47"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Pr>
          <w:lang w:val="es-PA"/>
        </w:rPr>
        <w:t>7.</w:t>
      </w:r>
      <w:r>
        <w:rPr>
          <w:lang w:val="es-PA"/>
        </w:rPr>
        <w:tab/>
      </w:r>
      <w:r w:rsidR="00012073" w:rsidRPr="00012073">
        <w:rPr>
          <w:lang w:val="es-AR"/>
        </w:rPr>
        <w:t xml:space="preserve">El 16 de agosto, el Consejo Supremo Electoral convocó elecciones municipales el 6 de noviembre de </w:t>
      </w:r>
      <w:r w:rsidR="00012073" w:rsidRPr="00AC7394">
        <w:rPr>
          <w:lang w:val="es-AR"/>
        </w:rPr>
        <w:t>2022 para renovar autoridades en</w:t>
      </w:r>
      <w:r w:rsidR="00012073" w:rsidRPr="00012073">
        <w:rPr>
          <w:lang w:val="es-AR"/>
        </w:rPr>
        <w:t xml:space="preserve"> los 153 municipios del país, de los cuales el </w:t>
      </w:r>
      <w:r w:rsidR="00012073" w:rsidRPr="00012073">
        <w:rPr>
          <w:lang w:val="es-ES"/>
        </w:rPr>
        <w:t>Frente Sandinista de Liberación Nacional</w:t>
      </w:r>
      <w:r w:rsidR="00012073" w:rsidRPr="00012073">
        <w:rPr>
          <w:lang w:val="es-AR"/>
        </w:rPr>
        <w:t xml:space="preserve"> controla 139. En julio, cinco </w:t>
      </w:r>
      <w:r w:rsidR="00012073" w:rsidRPr="00012073">
        <w:rPr>
          <w:lang w:val="es-PA"/>
        </w:rPr>
        <w:t xml:space="preserve">alcaldes opositores fueron destituidos </w:t>
      </w:r>
      <w:r w:rsidR="00012073" w:rsidRPr="00012073">
        <w:rPr>
          <w:i/>
          <w:iCs/>
          <w:lang w:val="es-PA"/>
        </w:rPr>
        <w:t>de facto</w:t>
      </w:r>
      <w:r w:rsidR="00012073" w:rsidRPr="00012073">
        <w:rPr>
          <w:lang w:val="es-PA"/>
        </w:rPr>
        <w:t xml:space="preserve"> por funcionarios del Gobierno y la </w:t>
      </w:r>
      <w:r w:rsidR="00BE242D">
        <w:rPr>
          <w:lang w:val="es-PA"/>
        </w:rPr>
        <w:t>P</w:t>
      </w:r>
      <w:r w:rsidR="00012073" w:rsidRPr="00012073">
        <w:rPr>
          <w:lang w:val="es-PA"/>
        </w:rPr>
        <w:t xml:space="preserve">olicía, </w:t>
      </w:r>
      <w:r w:rsidR="00BE242D">
        <w:rPr>
          <w:lang w:val="es-PA"/>
        </w:rPr>
        <w:t>con</w:t>
      </w:r>
      <w:r w:rsidR="00BE242D" w:rsidRPr="00012073">
        <w:rPr>
          <w:lang w:val="es-PA"/>
        </w:rPr>
        <w:t xml:space="preserve"> </w:t>
      </w:r>
      <w:r w:rsidR="00012073" w:rsidRPr="00012073">
        <w:rPr>
          <w:lang w:val="es-PA"/>
        </w:rPr>
        <w:t>el argumento de que su partido, Ciudadanos por la Libertad, ya no cuenta con personalidad jurídica</w:t>
      </w:r>
      <w:r w:rsidR="00012073" w:rsidRPr="006F3262">
        <w:rPr>
          <w:rStyle w:val="FootnoteReference"/>
        </w:rPr>
        <w:footnoteReference w:id="17"/>
      </w:r>
      <w:r w:rsidR="00012073" w:rsidRPr="00012073">
        <w:rPr>
          <w:lang w:val="es-PA"/>
        </w:rPr>
        <w:t>, circunstancia no contemplada en la legislación electoral ni municipal como causal de remoción. El Instituto Nicaragüense de Fomento Municipal nombró nuevas autoridades del partido de Gobierno en reemplazo de las cinco destituidas. El Consejo Supremo Electoral no se ha pronunciado al respecto. En mayo, la Asamblea Nacional aprobó una nueva reforma electoral</w:t>
      </w:r>
      <w:r w:rsidR="00BE242D">
        <w:rPr>
          <w:lang w:val="es-PA"/>
        </w:rPr>
        <w:t>, la Ley núm. 1116 (Ley de Reforma a la Ley núm. 331, Ley Electoral)</w:t>
      </w:r>
      <w:r w:rsidR="00012073" w:rsidRPr="00012073">
        <w:rPr>
          <w:lang w:val="es-PA"/>
        </w:rPr>
        <w:t xml:space="preserve"> que no enmendó los aspectos observados en el último informe de</w:t>
      </w:r>
      <w:r w:rsidR="00BE242D">
        <w:rPr>
          <w:lang w:val="es-PA"/>
        </w:rPr>
        <w:t>l</w:t>
      </w:r>
      <w:r w:rsidR="00012073" w:rsidRPr="00012073">
        <w:rPr>
          <w:lang w:val="es-PA"/>
        </w:rPr>
        <w:t xml:space="preserve"> ACNUDH </w:t>
      </w:r>
      <w:r w:rsidR="00BE242D">
        <w:rPr>
          <w:lang w:val="es-PA"/>
        </w:rPr>
        <w:t xml:space="preserve">con respecto </w:t>
      </w:r>
      <w:r w:rsidR="00012073" w:rsidRPr="00012073">
        <w:rPr>
          <w:lang w:val="es-PA"/>
        </w:rPr>
        <w:t xml:space="preserve">a la </w:t>
      </w:r>
      <w:r w:rsidR="00BE242D">
        <w:rPr>
          <w:lang w:val="es-PA"/>
        </w:rPr>
        <w:t>Ley núm. </w:t>
      </w:r>
      <w:r w:rsidR="00012073" w:rsidRPr="00012073">
        <w:rPr>
          <w:lang w:val="es-PA"/>
        </w:rPr>
        <w:t>1070</w:t>
      </w:r>
      <w:r w:rsidR="00BE242D">
        <w:rPr>
          <w:lang w:val="es-PA"/>
        </w:rPr>
        <w:t xml:space="preserve"> (</w:t>
      </w:r>
      <w:r w:rsidR="00BE242D" w:rsidRPr="00012073">
        <w:rPr>
          <w:lang w:val="es-PA"/>
        </w:rPr>
        <w:t xml:space="preserve">Ley </w:t>
      </w:r>
      <w:r w:rsidR="00BE242D">
        <w:rPr>
          <w:lang w:val="es-PA"/>
        </w:rPr>
        <w:t>de Reforma y Adición a la Ley núm. 331, Ley Electoral)</w:t>
      </w:r>
      <w:r w:rsidR="00012073" w:rsidRPr="00012073">
        <w:rPr>
          <w:lang w:val="es-PA"/>
        </w:rPr>
        <w:t xml:space="preserve">, norma cuyas restricciones </w:t>
      </w:r>
      <w:r w:rsidR="00BE242D">
        <w:rPr>
          <w:lang w:val="es-PA"/>
        </w:rPr>
        <w:t>de</w:t>
      </w:r>
      <w:r w:rsidR="00012073" w:rsidRPr="00012073">
        <w:rPr>
          <w:lang w:val="es-PA"/>
        </w:rPr>
        <w:t xml:space="preserve"> los derechos políticos y libertades civiles</w:t>
      </w:r>
      <w:r w:rsidR="00012073" w:rsidRPr="006F3262">
        <w:rPr>
          <w:rStyle w:val="FootnoteReference"/>
        </w:rPr>
        <w:footnoteReference w:id="18"/>
      </w:r>
      <w:r w:rsidR="00012073" w:rsidRPr="00012073">
        <w:rPr>
          <w:lang w:val="es-PA"/>
        </w:rPr>
        <w:t xml:space="preserve"> son incompatibles con </w:t>
      </w:r>
      <w:r w:rsidR="00BE242D">
        <w:rPr>
          <w:lang w:val="es-PA"/>
        </w:rPr>
        <w:t xml:space="preserve">los </w:t>
      </w:r>
      <w:r w:rsidR="00012073" w:rsidRPr="00AC7394">
        <w:rPr>
          <w:lang w:val="es-PA"/>
        </w:rPr>
        <w:t xml:space="preserve">estándares internacionales </w:t>
      </w:r>
      <w:r w:rsidR="00AC7394" w:rsidRPr="00AC7394">
        <w:rPr>
          <w:lang w:val="es-PA"/>
        </w:rPr>
        <w:t xml:space="preserve">de </w:t>
      </w:r>
      <w:r w:rsidR="00012073" w:rsidRPr="00AC7394">
        <w:rPr>
          <w:lang w:val="es-PA"/>
        </w:rPr>
        <w:t>derechos políticos y</w:t>
      </w:r>
      <w:r w:rsidR="00012073" w:rsidRPr="00012073">
        <w:rPr>
          <w:lang w:val="es-PA"/>
        </w:rPr>
        <w:t xml:space="preserve"> deben ser modificadas.</w:t>
      </w:r>
    </w:p>
    <w:p w14:paraId="2AC64A13" w14:textId="51782FDA" w:rsidR="00F77E47" w:rsidRDefault="005A7F95" w:rsidP="006925DE">
      <w:pPr>
        <w:pStyle w:val="H1G"/>
        <w:rPr>
          <w:b w:val="0"/>
          <w:lang w:val="es-PA"/>
        </w:rPr>
      </w:pPr>
      <w:r>
        <w:rPr>
          <w:lang w:val="es-PA"/>
        </w:rPr>
        <w:tab/>
      </w:r>
      <w:r w:rsidR="009A4AF1">
        <w:rPr>
          <w:lang w:val="es-PA"/>
        </w:rPr>
        <w:t>B</w:t>
      </w:r>
      <w:r w:rsidR="00012073" w:rsidRPr="00012073">
        <w:rPr>
          <w:lang w:val="es-PA"/>
        </w:rPr>
        <w:t>.</w:t>
      </w:r>
      <w:r>
        <w:rPr>
          <w:lang w:val="es-PA"/>
        </w:rPr>
        <w:tab/>
      </w:r>
      <w:r w:rsidR="00012073" w:rsidRPr="00012073">
        <w:rPr>
          <w:lang w:val="es-PA"/>
        </w:rPr>
        <w:t>Derechos a la libertad personal y a la integridad física y moral</w:t>
      </w:r>
    </w:p>
    <w:p w14:paraId="743F12D5" w14:textId="44094F62" w:rsidR="00F77E47"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Pr>
          <w:lang w:val="es-PA"/>
        </w:rPr>
        <w:t>8.</w:t>
      </w:r>
      <w:r>
        <w:rPr>
          <w:lang w:val="es-PA"/>
        </w:rPr>
        <w:tab/>
      </w:r>
      <w:r w:rsidR="00012073" w:rsidRPr="00012073">
        <w:rPr>
          <w:lang w:val="es-PA"/>
        </w:rPr>
        <w:t>Al momento de redactar este informe, 180 personas detenidas en el marco de la crisis (18 mujeres y 162 hombres) continuaban privadas de libertad, entre ellas quienes fueron detenidas en el contexto electoral entre mayo y noviembre de 2021. Cincuenta de ellas (11</w:t>
      </w:r>
      <w:r w:rsidR="0027244E">
        <w:rPr>
          <w:lang w:val="es-PA"/>
        </w:rPr>
        <w:t> </w:t>
      </w:r>
      <w:r w:rsidR="00012073" w:rsidRPr="00012073">
        <w:rPr>
          <w:lang w:val="es-PA"/>
        </w:rPr>
        <w:t xml:space="preserve">mujeres y 39 hombres) fueron juzgadas en </w:t>
      </w:r>
      <w:r w:rsidR="00012073" w:rsidRPr="00345710">
        <w:rPr>
          <w:lang w:val="es-PA"/>
        </w:rPr>
        <w:t>primera</w:t>
      </w:r>
      <w:r w:rsidR="00012073" w:rsidRPr="00012073">
        <w:rPr>
          <w:lang w:val="es-PA"/>
        </w:rPr>
        <w:t xml:space="preserve"> instancia entre enero y mayo de 2022 bajo cargos de menoscabo a la integridad nacional, propagación de noticias falsas, lavado de activos y delitos conexos, figuras contempladas en las </w:t>
      </w:r>
      <w:r w:rsidR="00345710">
        <w:rPr>
          <w:lang w:val="es-PA"/>
        </w:rPr>
        <w:t>L</w:t>
      </w:r>
      <w:r w:rsidR="00012073" w:rsidRPr="00012073">
        <w:rPr>
          <w:lang w:val="es-PA"/>
        </w:rPr>
        <w:t xml:space="preserve">eyes </w:t>
      </w:r>
      <w:proofErr w:type="spellStart"/>
      <w:r w:rsidR="00F05F43">
        <w:rPr>
          <w:lang w:val="es-PA"/>
        </w:rPr>
        <w:t>núms</w:t>
      </w:r>
      <w:proofErr w:type="spellEnd"/>
      <w:r w:rsidR="00F05F43">
        <w:rPr>
          <w:lang w:val="es-PA"/>
        </w:rPr>
        <w:t>. </w:t>
      </w:r>
      <w:r w:rsidR="00012073" w:rsidRPr="00012073">
        <w:rPr>
          <w:lang w:val="es-PA"/>
        </w:rPr>
        <w:t xml:space="preserve">1042, 1055 y en el Código </w:t>
      </w:r>
      <w:r w:rsidR="00012073" w:rsidRPr="00345710">
        <w:rPr>
          <w:lang w:val="es-PA"/>
        </w:rPr>
        <w:t>Penal</w:t>
      </w:r>
      <w:r w:rsidR="009B646D">
        <w:rPr>
          <w:rStyle w:val="FootnoteReference"/>
          <w:lang w:val="es-ES"/>
        </w:rPr>
        <w:t xml:space="preserve"> </w:t>
      </w:r>
      <w:r w:rsidR="00FA2657" w:rsidRPr="00345710">
        <w:rPr>
          <w:lang w:val="es-ES"/>
        </w:rPr>
        <w:t>(párr</w:t>
      </w:r>
      <w:r w:rsidR="008B6E1E" w:rsidRPr="00A64748">
        <w:rPr>
          <w:lang w:val="es-ES"/>
        </w:rPr>
        <w:t>.</w:t>
      </w:r>
      <w:r w:rsidR="00FA2657" w:rsidRPr="00345710">
        <w:rPr>
          <w:lang w:val="es-ES"/>
        </w:rPr>
        <w:t xml:space="preserve"> 40</w:t>
      </w:r>
      <w:r w:rsidR="00936A10">
        <w:rPr>
          <w:lang w:val="es-ES"/>
        </w:rPr>
        <w:t xml:space="preserve"> </w:t>
      </w:r>
      <w:r w:rsidR="00344025">
        <w:rPr>
          <w:lang w:val="es-ES"/>
        </w:rPr>
        <w:t>más abajo</w:t>
      </w:r>
      <w:r w:rsidR="00FA2657" w:rsidRPr="00345710">
        <w:rPr>
          <w:lang w:val="es-ES"/>
        </w:rPr>
        <w:t>)</w:t>
      </w:r>
      <w:r w:rsidR="00FA2657" w:rsidRPr="00345710">
        <w:rPr>
          <w:lang w:val="es-PA"/>
        </w:rPr>
        <w:t>.</w:t>
      </w:r>
      <w:r w:rsidR="00FA2657" w:rsidRPr="00012073">
        <w:rPr>
          <w:lang w:val="es-PA"/>
        </w:rPr>
        <w:t xml:space="preserve"> </w:t>
      </w:r>
      <w:r w:rsidR="00012073" w:rsidRPr="00012073">
        <w:rPr>
          <w:lang w:val="es-PA"/>
        </w:rPr>
        <w:t>Sus juicios se celebraron a puerta cerrada, sin presencia de público, la mayoría en un centro de detención policial</w:t>
      </w:r>
      <w:r w:rsidR="00FA2657">
        <w:rPr>
          <w:lang w:val="es-PA"/>
        </w:rPr>
        <w:t xml:space="preserve">, en lugar de en </w:t>
      </w:r>
      <w:r w:rsidR="00012073" w:rsidRPr="00012073">
        <w:rPr>
          <w:lang w:val="es-PA"/>
        </w:rPr>
        <w:t>tribunales de justicia</w:t>
      </w:r>
      <w:r w:rsidR="00FA2657">
        <w:rPr>
          <w:lang w:val="es-PA"/>
        </w:rPr>
        <w:t>;</w:t>
      </w:r>
      <w:r w:rsidR="00B86645">
        <w:rPr>
          <w:lang w:val="es-PA"/>
        </w:rPr>
        <w:t xml:space="preserve"> y</w:t>
      </w:r>
      <w:r w:rsidR="00012073" w:rsidRPr="00012073">
        <w:rPr>
          <w:lang w:val="es-PA"/>
        </w:rPr>
        <w:t xml:space="preserve"> no se permitió a los abogados defensores revisar los expedientes ni reunirse con sus clientes más que por breves minutos antes de las audiencias y sin la debida privacidad. Todas las </w:t>
      </w:r>
      <w:r w:rsidR="00012073" w:rsidRPr="00012073">
        <w:rPr>
          <w:lang w:val="es-PA"/>
        </w:rPr>
        <w:lastRenderedPageBreak/>
        <w:t>personas acusadas fueron declaradas culpables y condenadas a penas de prisión de hasta 13</w:t>
      </w:r>
      <w:r w:rsidR="00FA2657">
        <w:rPr>
          <w:lang w:val="es-PA"/>
        </w:rPr>
        <w:t> </w:t>
      </w:r>
      <w:r w:rsidR="00012073" w:rsidRPr="00012073">
        <w:rPr>
          <w:lang w:val="es-PA"/>
        </w:rPr>
        <w:t>años e inhabilitación para ejercer cargos públicos. En fase de apelación, estas sentencias fueron confirmadas y actualmente se tramita el recurso de casación, sin que</w:t>
      </w:r>
      <w:r w:rsidR="001B694B">
        <w:rPr>
          <w:lang w:val="es-PA"/>
        </w:rPr>
        <w:t xml:space="preserve"> se hayan </w:t>
      </w:r>
      <w:r w:rsidR="006D7419">
        <w:rPr>
          <w:lang w:val="es-PA"/>
        </w:rPr>
        <w:t>revocado</w:t>
      </w:r>
      <w:r w:rsidR="00012073" w:rsidRPr="00012073">
        <w:rPr>
          <w:lang w:val="es-PA"/>
        </w:rPr>
        <w:t xml:space="preserve"> los fallos, con excepción de uno solo. </w:t>
      </w:r>
    </w:p>
    <w:p w14:paraId="65D88CE5" w14:textId="195A9B6C" w:rsidR="00F77E47" w:rsidRPr="00D955F1"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D955F1">
        <w:rPr>
          <w:lang w:val="es-ES"/>
        </w:rPr>
        <w:t>9.</w:t>
      </w:r>
      <w:r w:rsidRPr="00D955F1">
        <w:rPr>
          <w:lang w:val="es-ES"/>
        </w:rPr>
        <w:tab/>
      </w:r>
      <w:r w:rsidR="00012073" w:rsidRPr="00012073">
        <w:rPr>
          <w:lang w:val="es-PA"/>
        </w:rPr>
        <w:t xml:space="preserve">A pesar de haber sido sentenciadas, 28 de estas </w:t>
      </w:r>
      <w:r w:rsidR="00012073" w:rsidRPr="00D955F1">
        <w:rPr>
          <w:lang w:val="es-PA"/>
        </w:rPr>
        <w:t xml:space="preserve">personas permanecen </w:t>
      </w:r>
      <w:r w:rsidR="00D955F1">
        <w:rPr>
          <w:lang w:val="es-PA"/>
        </w:rPr>
        <w:t xml:space="preserve">supuestamente </w:t>
      </w:r>
      <w:r w:rsidR="00012073" w:rsidRPr="00D955F1">
        <w:rPr>
          <w:lang w:val="es-PA"/>
        </w:rPr>
        <w:t xml:space="preserve">en la </w:t>
      </w:r>
      <w:r w:rsidR="00012073" w:rsidRPr="00D955F1">
        <w:rPr>
          <w:lang w:val="es-ES"/>
        </w:rPr>
        <w:t>Dirección de Auxilio Judicial</w:t>
      </w:r>
      <w:r w:rsidR="00E0464C" w:rsidRPr="00D955F1">
        <w:rPr>
          <w:lang w:val="es-ES"/>
        </w:rPr>
        <w:t xml:space="preserve"> Complejo</w:t>
      </w:r>
      <w:r w:rsidR="00012073" w:rsidRPr="00D955F1">
        <w:rPr>
          <w:lang w:val="es-ES"/>
        </w:rPr>
        <w:t xml:space="preserve"> Evaristo Vásquez</w:t>
      </w:r>
      <w:r w:rsidR="00012073" w:rsidRPr="00D955F1">
        <w:rPr>
          <w:lang w:val="es-PA"/>
        </w:rPr>
        <w:t xml:space="preserve">, centro de detención policial en el que no corresponde recluir a personas sentenciadas. </w:t>
      </w:r>
      <w:r w:rsidR="00012073" w:rsidRPr="00D955F1">
        <w:rPr>
          <w:lang w:val="es-ES"/>
        </w:rPr>
        <w:t>Se continúan reportando las mismas condiciones inhumanas de detención referidas en el último informe</w:t>
      </w:r>
      <w:r w:rsidR="00012073" w:rsidRPr="00D955F1">
        <w:rPr>
          <w:rStyle w:val="FootnoteReference"/>
        </w:rPr>
        <w:footnoteReference w:id="19"/>
      </w:r>
      <w:r w:rsidR="00012073" w:rsidRPr="00D955F1">
        <w:rPr>
          <w:lang w:val="es-ES"/>
        </w:rPr>
        <w:t>, lo que pondría</w:t>
      </w:r>
      <w:r w:rsidR="00012073" w:rsidRPr="00D955F1">
        <w:rPr>
          <w:lang w:val="es-PA"/>
        </w:rPr>
        <w:t xml:space="preserve"> en peligro su salud física y mental. Todavía se les habría impedido recibir visitas de sus</w:t>
      </w:r>
      <w:r w:rsidR="00012073" w:rsidRPr="00D955F1">
        <w:rPr>
          <w:lang w:val="es-AR"/>
        </w:rPr>
        <w:t xml:space="preserve"> hijos e hijas menores y con discapacidades, lo que habría motivado que al menos dos detenidos realicen una huelga de hambre. </w:t>
      </w:r>
      <w:r w:rsidR="00012073" w:rsidRPr="00D955F1">
        <w:rPr>
          <w:lang w:val="es-ES"/>
        </w:rPr>
        <w:t xml:space="preserve">El 2 de julio, luego que la esposa y organizaciones de la sociedad civil denunciaran públicamente las condiciones </w:t>
      </w:r>
      <w:r w:rsidR="002E649B" w:rsidRPr="00D955F1">
        <w:rPr>
          <w:lang w:val="es-ES"/>
        </w:rPr>
        <w:t xml:space="preserve">inhumanas </w:t>
      </w:r>
      <w:r w:rsidR="00012073" w:rsidRPr="00D955F1">
        <w:rPr>
          <w:lang w:val="es-ES"/>
        </w:rPr>
        <w:t>de detención de Félix Maradiaga y las demás personas detenidas</w:t>
      </w:r>
      <w:r w:rsidR="00012073" w:rsidRPr="00D955F1">
        <w:rPr>
          <w:rStyle w:val="FootnoteReference"/>
        </w:rPr>
        <w:footnoteReference w:id="20"/>
      </w:r>
      <w:r w:rsidR="00012073" w:rsidRPr="00D955F1">
        <w:rPr>
          <w:lang w:val="es-ES"/>
        </w:rPr>
        <w:t>, medios oficialistas divulgaron imágenes en las que se aprecia el notorio deterioro físico de</w:t>
      </w:r>
      <w:r w:rsidR="002E649B" w:rsidRPr="00D955F1">
        <w:rPr>
          <w:lang w:val="es-ES"/>
        </w:rPr>
        <w:t>l Sr.</w:t>
      </w:r>
      <w:r w:rsidR="00012073" w:rsidRPr="00D955F1">
        <w:rPr>
          <w:lang w:val="es-ES"/>
        </w:rPr>
        <w:t xml:space="preserve"> Maradiaga</w:t>
      </w:r>
      <w:r w:rsidR="00012073" w:rsidRPr="00D955F1">
        <w:rPr>
          <w:rStyle w:val="FootnoteReference"/>
        </w:rPr>
        <w:footnoteReference w:id="21"/>
      </w:r>
      <w:r w:rsidR="00012073" w:rsidRPr="00D955F1">
        <w:rPr>
          <w:lang w:val="es-ES"/>
        </w:rPr>
        <w:t>.</w:t>
      </w:r>
    </w:p>
    <w:p w14:paraId="4A473DCA" w14:textId="7D574E0F" w:rsidR="00F77E47"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10.</w:t>
      </w:r>
      <w:r>
        <w:rPr>
          <w:lang w:val="es-ES"/>
        </w:rPr>
        <w:tab/>
      </w:r>
      <w:r w:rsidR="00012073" w:rsidRPr="00D955F1">
        <w:rPr>
          <w:lang w:val="es-AR"/>
        </w:rPr>
        <w:t xml:space="preserve">La muerte de </w:t>
      </w:r>
      <w:r w:rsidR="00012073" w:rsidRPr="00D955F1">
        <w:rPr>
          <w:lang w:val="es-ES"/>
        </w:rPr>
        <w:t>Hugo Torres el 12 de febrero, que habría sido trasladado</w:t>
      </w:r>
      <w:r w:rsidR="00012073" w:rsidRPr="00012073">
        <w:rPr>
          <w:lang w:val="es-ES"/>
        </w:rPr>
        <w:t xml:space="preserve"> de</w:t>
      </w:r>
      <w:r w:rsidR="00E0464C">
        <w:rPr>
          <w:lang w:val="es-ES"/>
        </w:rPr>
        <w:t>l Complejo</w:t>
      </w:r>
      <w:r w:rsidR="00E0464C" w:rsidRPr="00012073">
        <w:rPr>
          <w:lang w:val="es-ES"/>
        </w:rPr>
        <w:t xml:space="preserve"> Evaristo Vásquez </w:t>
      </w:r>
      <w:r w:rsidR="00012073" w:rsidRPr="00012073">
        <w:rPr>
          <w:lang w:val="es-ES"/>
        </w:rPr>
        <w:t xml:space="preserve">a un centro médico policial debido a una seria enfermedad, donde falleció unas semanas después, </w:t>
      </w:r>
      <w:r w:rsidR="00012073" w:rsidRPr="00FA7EE9">
        <w:rPr>
          <w:lang w:val="es-ES"/>
        </w:rPr>
        <w:t>llev</w:t>
      </w:r>
      <w:r w:rsidR="00FA7EE9" w:rsidRPr="00A64748">
        <w:rPr>
          <w:lang w:val="es-ES"/>
        </w:rPr>
        <w:t>ó</w:t>
      </w:r>
      <w:r w:rsidR="00012073" w:rsidRPr="00FA7EE9">
        <w:rPr>
          <w:lang w:val="es-ES"/>
        </w:rPr>
        <w:t xml:space="preserve"> al Estado</w:t>
      </w:r>
      <w:r w:rsidR="00012073" w:rsidRPr="00012073">
        <w:rPr>
          <w:lang w:val="es-ES"/>
        </w:rPr>
        <w:t xml:space="preserve"> a otorgar el beneficio de la detención domiciliaria a 12 personas con afecciones </w:t>
      </w:r>
      <w:r w:rsidR="00A91012">
        <w:rPr>
          <w:lang w:val="es-ES"/>
        </w:rPr>
        <w:t>de</w:t>
      </w:r>
      <w:r w:rsidR="00012073" w:rsidRPr="00012073">
        <w:rPr>
          <w:lang w:val="es-ES"/>
        </w:rPr>
        <w:t xml:space="preserve"> salud y/o de edad avanzada. Es urgente que se autorice el traslado a hospitales de todas las personas detenidas que requieren atención médica especializada.</w:t>
      </w:r>
    </w:p>
    <w:p w14:paraId="4B323CD2" w14:textId="05287D30" w:rsidR="00F77E47"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11.</w:t>
      </w:r>
      <w:r>
        <w:rPr>
          <w:lang w:val="es-ES"/>
        </w:rPr>
        <w:tab/>
      </w:r>
      <w:r w:rsidR="00012073" w:rsidRPr="00012073">
        <w:rPr>
          <w:lang w:val="es-ES"/>
        </w:rPr>
        <w:t xml:space="preserve">El conflicto por la tierra en territorios de pueblos indígenas sigue generando episodios de violencia en los territorios de </w:t>
      </w:r>
      <w:r w:rsidR="00012073" w:rsidRPr="00171928">
        <w:rPr>
          <w:lang w:val="es-ES"/>
        </w:rPr>
        <w:t xml:space="preserve">la </w:t>
      </w:r>
      <w:r w:rsidR="00012073" w:rsidRPr="00706F1F">
        <w:rPr>
          <w:lang w:val="es-ES"/>
        </w:rPr>
        <w:t xml:space="preserve">Costa </w:t>
      </w:r>
      <w:r w:rsidR="006640D2" w:rsidRPr="00706F1F">
        <w:rPr>
          <w:lang w:val="es-ES"/>
        </w:rPr>
        <w:t>Caribe</w:t>
      </w:r>
      <w:r w:rsidR="006640D2" w:rsidRPr="00012073">
        <w:rPr>
          <w:lang w:val="es-ES"/>
        </w:rPr>
        <w:t xml:space="preserve"> </w:t>
      </w:r>
      <w:r w:rsidR="00012073" w:rsidRPr="00012073">
        <w:rPr>
          <w:lang w:val="es-ES"/>
        </w:rPr>
        <w:t xml:space="preserve">y amenazas a la integridad de sus miembros. El 13 de febrero, la Comisión Interamericana de Derechos Humanos amplió medidas cautelares para proteger la vida e integridad personal de las </w:t>
      </w:r>
      <w:r w:rsidR="004B2427">
        <w:rPr>
          <w:lang w:val="es-ES"/>
        </w:rPr>
        <w:t>c</w:t>
      </w:r>
      <w:r w:rsidR="00012073" w:rsidRPr="00012073">
        <w:rPr>
          <w:lang w:val="es-ES"/>
        </w:rPr>
        <w:t xml:space="preserve">omunidades </w:t>
      </w:r>
      <w:proofErr w:type="spellStart"/>
      <w:r w:rsidR="00775DA6">
        <w:rPr>
          <w:lang w:val="es-ES"/>
        </w:rPr>
        <w:t>m</w:t>
      </w:r>
      <w:r w:rsidR="00012073" w:rsidRPr="00012073">
        <w:rPr>
          <w:lang w:val="es-ES"/>
        </w:rPr>
        <w:t>usawas</w:t>
      </w:r>
      <w:proofErr w:type="spellEnd"/>
      <w:r w:rsidR="00012073" w:rsidRPr="00012073">
        <w:rPr>
          <w:lang w:val="es-ES"/>
        </w:rPr>
        <w:t xml:space="preserve">, </w:t>
      </w:r>
      <w:proofErr w:type="spellStart"/>
      <w:r w:rsidR="005031F9">
        <w:rPr>
          <w:lang w:val="es-ES"/>
        </w:rPr>
        <w:t>s</w:t>
      </w:r>
      <w:r w:rsidR="00012073" w:rsidRPr="00012073">
        <w:rPr>
          <w:lang w:val="es-ES"/>
        </w:rPr>
        <w:t>uniwas</w:t>
      </w:r>
      <w:proofErr w:type="spellEnd"/>
      <w:r w:rsidR="00012073" w:rsidRPr="00012073">
        <w:rPr>
          <w:lang w:val="es-ES"/>
        </w:rPr>
        <w:t xml:space="preserve"> y </w:t>
      </w:r>
      <w:proofErr w:type="spellStart"/>
      <w:r w:rsidR="005031F9">
        <w:rPr>
          <w:lang w:val="es-ES"/>
        </w:rPr>
        <w:t>w</w:t>
      </w:r>
      <w:r w:rsidR="00012073" w:rsidRPr="00012073">
        <w:rPr>
          <w:lang w:val="es-ES"/>
        </w:rPr>
        <w:t>ilú</w:t>
      </w:r>
      <w:proofErr w:type="spellEnd"/>
      <w:r w:rsidR="00012073" w:rsidRPr="00012073">
        <w:rPr>
          <w:lang w:val="es-ES"/>
        </w:rPr>
        <w:t xml:space="preserve"> del </w:t>
      </w:r>
      <w:r w:rsidR="005031F9">
        <w:rPr>
          <w:lang w:val="es-ES"/>
        </w:rPr>
        <w:t>t</w:t>
      </w:r>
      <w:r w:rsidR="00012073" w:rsidRPr="00012073">
        <w:rPr>
          <w:lang w:val="es-ES"/>
        </w:rPr>
        <w:t xml:space="preserve">erritorio </w:t>
      </w:r>
      <w:proofErr w:type="spellStart"/>
      <w:r w:rsidR="00012073" w:rsidRPr="00012073">
        <w:rPr>
          <w:lang w:val="es-ES"/>
        </w:rPr>
        <w:t>Mayangna</w:t>
      </w:r>
      <w:proofErr w:type="spellEnd"/>
      <w:r w:rsidR="00012073" w:rsidRPr="00012073">
        <w:rPr>
          <w:lang w:val="es-ES"/>
        </w:rPr>
        <w:t xml:space="preserve"> </w:t>
      </w:r>
      <w:proofErr w:type="spellStart"/>
      <w:r w:rsidR="00012073" w:rsidRPr="00012073">
        <w:rPr>
          <w:lang w:val="es-ES"/>
        </w:rPr>
        <w:t>Sauni</w:t>
      </w:r>
      <w:proofErr w:type="spellEnd"/>
      <w:r w:rsidR="00012073" w:rsidRPr="00012073">
        <w:rPr>
          <w:lang w:val="es-ES"/>
        </w:rPr>
        <w:t xml:space="preserve"> As debido a la violencia armada de terceros. El saneamiento de tierras sigue pendiente</w:t>
      </w:r>
      <w:r w:rsidR="00171928">
        <w:rPr>
          <w:lang w:val="es-ES"/>
        </w:rPr>
        <w:t xml:space="preserve">, </w:t>
      </w:r>
      <w:r w:rsidR="00012073" w:rsidRPr="00012073">
        <w:rPr>
          <w:lang w:val="es-ES"/>
        </w:rPr>
        <w:t xml:space="preserve">como en otros casos, a pesar </w:t>
      </w:r>
      <w:r w:rsidR="00171928">
        <w:rPr>
          <w:lang w:val="es-ES"/>
        </w:rPr>
        <w:t xml:space="preserve">de </w:t>
      </w:r>
      <w:r w:rsidR="00012073" w:rsidRPr="00012073">
        <w:rPr>
          <w:lang w:val="es-ES"/>
        </w:rPr>
        <w:t>que el título de propiedad colectiva les fue entregado en 2005</w:t>
      </w:r>
      <w:r w:rsidR="00012073" w:rsidRPr="006F3262">
        <w:rPr>
          <w:rStyle w:val="FootnoteReference"/>
        </w:rPr>
        <w:footnoteReference w:id="22"/>
      </w:r>
      <w:r w:rsidR="00012073" w:rsidRPr="00012073">
        <w:rPr>
          <w:lang w:val="es-ES"/>
        </w:rPr>
        <w:t xml:space="preserve">. </w:t>
      </w:r>
    </w:p>
    <w:p w14:paraId="74C0F663" w14:textId="1EE18234" w:rsidR="00F77E47" w:rsidRDefault="005A7F95" w:rsidP="006925DE">
      <w:pPr>
        <w:pStyle w:val="H1G"/>
        <w:rPr>
          <w:b w:val="0"/>
          <w:lang w:val="es-ES"/>
        </w:rPr>
      </w:pPr>
      <w:r>
        <w:rPr>
          <w:lang w:val="es-ES"/>
        </w:rPr>
        <w:tab/>
      </w:r>
      <w:r w:rsidR="009A4AF1">
        <w:rPr>
          <w:lang w:val="es-ES"/>
        </w:rPr>
        <w:t>C</w:t>
      </w:r>
      <w:r w:rsidR="00012073" w:rsidRPr="00012073">
        <w:rPr>
          <w:lang w:val="es-ES"/>
        </w:rPr>
        <w:t>.</w:t>
      </w:r>
      <w:r>
        <w:rPr>
          <w:lang w:val="es-ES"/>
        </w:rPr>
        <w:tab/>
      </w:r>
      <w:r w:rsidR="00012073" w:rsidRPr="00012073">
        <w:rPr>
          <w:lang w:val="es-ES"/>
        </w:rPr>
        <w:t xml:space="preserve">Restricciones del espacio cívico </w:t>
      </w:r>
    </w:p>
    <w:p w14:paraId="40F9489B" w14:textId="3FFDC2D7" w:rsidR="00F77E47"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12.</w:t>
      </w:r>
      <w:r>
        <w:rPr>
          <w:lang w:val="es-ES"/>
        </w:rPr>
        <w:tab/>
      </w:r>
      <w:r w:rsidR="00012073" w:rsidRPr="00012073">
        <w:rPr>
          <w:lang w:val="es-ES"/>
        </w:rPr>
        <w:t>El Estado de Nicaragua ha continuado restringiendo el espacio cívico</w:t>
      </w:r>
      <w:r w:rsidR="00012073" w:rsidRPr="006F3262">
        <w:rPr>
          <w:rStyle w:val="FootnoteReference"/>
        </w:rPr>
        <w:footnoteReference w:id="23"/>
      </w:r>
      <w:r w:rsidR="00012073" w:rsidRPr="00012073">
        <w:rPr>
          <w:lang w:val="es-ES"/>
        </w:rPr>
        <w:t xml:space="preserve">, con especial </w:t>
      </w:r>
      <w:r w:rsidR="00E83C74">
        <w:rPr>
          <w:lang w:val="es-ES"/>
        </w:rPr>
        <w:t>repercusi</w:t>
      </w:r>
      <w:r w:rsidR="00D955F1">
        <w:rPr>
          <w:lang w:val="es-ES"/>
        </w:rPr>
        <w:t>ón</w:t>
      </w:r>
      <w:r w:rsidR="00E83C74">
        <w:rPr>
          <w:lang w:val="es-ES"/>
        </w:rPr>
        <w:t xml:space="preserve"> en</w:t>
      </w:r>
      <w:r w:rsidR="00012073" w:rsidRPr="00012073">
        <w:rPr>
          <w:lang w:val="es-ES"/>
        </w:rPr>
        <w:t xml:space="preserve"> los derechos a la libertad de asociación y de expresión</w:t>
      </w:r>
      <w:r w:rsidR="00012073" w:rsidRPr="00012073">
        <w:rPr>
          <w:lang w:val="es-PA"/>
        </w:rPr>
        <w:t>. En lo que va del año, canceló la personalidad jurídica de 1</w:t>
      </w:r>
      <w:r w:rsidR="00E95490">
        <w:rPr>
          <w:lang w:val="es-PA"/>
        </w:rPr>
        <w:t>.</w:t>
      </w:r>
      <w:r w:rsidR="00012073" w:rsidRPr="00012073">
        <w:rPr>
          <w:lang w:val="es-PA"/>
        </w:rPr>
        <w:t>112 organizaciones</w:t>
      </w:r>
      <w:r w:rsidR="00012073" w:rsidRPr="006F3262">
        <w:rPr>
          <w:rStyle w:val="FootnoteReference"/>
        </w:rPr>
        <w:footnoteReference w:id="24"/>
      </w:r>
      <w:r w:rsidR="00012073" w:rsidRPr="00012073">
        <w:rPr>
          <w:lang w:val="es-PA"/>
        </w:rPr>
        <w:t xml:space="preserve"> de derechos humanos</w:t>
      </w:r>
      <w:r w:rsidR="00B86645">
        <w:rPr>
          <w:lang w:val="es-PA"/>
        </w:rPr>
        <w:t xml:space="preserve"> y</w:t>
      </w:r>
      <w:r w:rsidR="00012073" w:rsidRPr="00012073">
        <w:rPr>
          <w:lang w:val="es-PA"/>
        </w:rPr>
        <w:t xml:space="preserve"> de desarrollo, asociaciones profesionales, incluyendo médicas, entidades vinculadas con la Iglesia católica y otras, sumando al menos 1</w:t>
      </w:r>
      <w:r w:rsidR="00E95490">
        <w:rPr>
          <w:lang w:val="es-PA"/>
        </w:rPr>
        <w:t>.</w:t>
      </w:r>
      <w:r w:rsidR="00012073" w:rsidRPr="00012073">
        <w:rPr>
          <w:lang w:val="es-PA"/>
        </w:rPr>
        <w:t xml:space="preserve">178 desde 2018. En julio, el Relator Especial sobre </w:t>
      </w:r>
      <w:r w:rsidR="004B1F3A">
        <w:rPr>
          <w:lang w:val="es-PA"/>
        </w:rPr>
        <w:t>los</w:t>
      </w:r>
      <w:r w:rsidR="004B1F3A" w:rsidRPr="00012073">
        <w:rPr>
          <w:lang w:val="es-PA"/>
        </w:rPr>
        <w:t xml:space="preserve"> </w:t>
      </w:r>
      <w:r w:rsidR="00012073" w:rsidRPr="00012073">
        <w:rPr>
          <w:lang w:val="es-PA"/>
        </w:rPr>
        <w:t>derecho</w:t>
      </w:r>
      <w:r w:rsidR="004B1F3A">
        <w:rPr>
          <w:lang w:val="es-PA"/>
        </w:rPr>
        <w:t>s</w:t>
      </w:r>
      <w:r w:rsidR="00012073" w:rsidRPr="00012073">
        <w:rPr>
          <w:lang w:val="es-PA"/>
        </w:rPr>
        <w:t xml:space="preserve"> a la libertad de reunión pacífica y de asociación expresó su preocupación por la cancelación de la personalidad jurídica de cientos de organizaciones</w:t>
      </w:r>
      <w:r w:rsidR="00012073" w:rsidRPr="006F3262">
        <w:rPr>
          <w:rStyle w:val="FootnoteReference"/>
        </w:rPr>
        <w:footnoteReference w:id="25"/>
      </w:r>
      <w:r w:rsidR="00012073" w:rsidRPr="00012073">
        <w:rPr>
          <w:lang w:val="es-PA"/>
        </w:rPr>
        <w:t xml:space="preserve">. </w:t>
      </w:r>
    </w:p>
    <w:p w14:paraId="19DBDA66" w14:textId="06492ADB" w:rsidR="00F77E47"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13.</w:t>
      </w:r>
      <w:r>
        <w:rPr>
          <w:lang w:val="es-ES"/>
        </w:rPr>
        <w:tab/>
      </w:r>
      <w:r w:rsidR="00012073" w:rsidRPr="00012073">
        <w:rPr>
          <w:lang w:val="es-ES"/>
        </w:rPr>
        <w:t xml:space="preserve">Las cancelaciones han alcanzado también a 12 universidades, </w:t>
      </w:r>
      <w:r w:rsidR="005B4DA6">
        <w:rPr>
          <w:lang w:val="es-ES"/>
        </w:rPr>
        <w:t xml:space="preserve">lo que </w:t>
      </w:r>
      <w:r w:rsidR="00012073" w:rsidRPr="00012073">
        <w:rPr>
          <w:lang w:val="es-ES"/>
        </w:rPr>
        <w:t xml:space="preserve">afecta </w:t>
      </w:r>
      <w:r w:rsidR="00135091">
        <w:rPr>
          <w:lang w:val="es-ES"/>
        </w:rPr>
        <w:t>a</w:t>
      </w:r>
      <w:r w:rsidR="00012073" w:rsidRPr="00012073">
        <w:rPr>
          <w:lang w:val="es-ES"/>
        </w:rPr>
        <w:t>l derecho a la educación</w:t>
      </w:r>
      <w:r w:rsidR="00135091">
        <w:rPr>
          <w:lang w:val="es-ES"/>
        </w:rPr>
        <w:t xml:space="preserve">, que también </w:t>
      </w:r>
      <w:r w:rsidR="00012073" w:rsidRPr="00012073">
        <w:rPr>
          <w:lang w:val="es-ES"/>
        </w:rPr>
        <w:t xml:space="preserve">se vio impactado por otras medidas de restricción a la autonomía universitaria y a la libertad de cátedra </w:t>
      </w:r>
      <w:r w:rsidR="00F2682B">
        <w:rPr>
          <w:lang w:val="es-ES"/>
        </w:rPr>
        <w:t xml:space="preserve">estipuladas en </w:t>
      </w:r>
      <w:r w:rsidR="00012073" w:rsidRPr="00012073">
        <w:rPr>
          <w:lang w:val="es-ES"/>
        </w:rPr>
        <w:t>la reforma de la Ley de Autonomía de las Instituciones de Educación Superior</w:t>
      </w:r>
      <w:r w:rsidR="00F66966">
        <w:rPr>
          <w:lang w:val="es-ES"/>
        </w:rPr>
        <w:t xml:space="preserve"> (Ley núm.</w:t>
      </w:r>
      <w:r w:rsidR="00344025">
        <w:rPr>
          <w:lang w:val="es-ES"/>
        </w:rPr>
        <w:t> </w:t>
      </w:r>
      <w:r w:rsidR="00F66966">
        <w:rPr>
          <w:lang w:val="es-ES"/>
        </w:rPr>
        <w:t>1114)</w:t>
      </w:r>
      <w:r w:rsidR="00012073" w:rsidRPr="00012073">
        <w:rPr>
          <w:lang w:val="es-ES"/>
        </w:rPr>
        <w:t>. La reforma somete la aprobación de los programas académicos de todas las universidades a la potestad de un órgano central.</w:t>
      </w:r>
    </w:p>
    <w:p w14:paraId="62042964" w14:textId="26FB0059" w:rsidR="00F77E47"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Pr>
          <w:lang w:val="es-PA"/>
        </w:rPr>
        <w:t>14.</w:t>
      </w:r>
      <w:r>
        <w:rPr>
          <w:lang w:val="es-PA"/>
        </w:rPr>
        <w:tab/>
      </w:r>
      <w:r w:rsidR="00012073" w:rsidRPr="00012073">
        <w:rPr>
          <w:lang w:val="es-PA"/>
        </w:rPr>
        <w:t xml:space="preserve">En abril de 2022, la Asamblea Nacional aprobó la Ley </w:t>
      </w:r>
      <w:r w:rsidR="00F66966">
        <w:rPr>
          <w:lang w:val="es-PA"/>
        </w:rPr>
        <w:t>núm</w:t>
      </w:r>
      <w:r w:rsidR="00EB2C25">
        <w:rPr>
          <w:lang w:val="es-PA"/>
        </w:rPr>
        <w:t>. </w:t>
      </w:r>
      <w:r w:rsidR="00012073" w:rsidRPr="00012073">
        <w:rPr>
          <w:lang w:val="es-PA"/>
        </w:rPr>
        <w:t>1115</w:t>
      </w:r>
      <w:r w:rsidR="00217CEB">
        <w:rPr>
          <w:lang w:val="es-PA"/>
        </w:rPr>
        <w:t xml:space="preserve"> (</w:t>
      </w:r>
      <w:r w:rsidR="00217CEB" w:rsidRPr="00983F5F">
        <w:rPr>
          <w:lang w:val="es-PA"/>
        </w:rPr>
        <w:t xml:space="preserve">Ley General de Regulación y Control de Organismos </w:t>
      </w:r>
      <w:r w:rsidR="00217CEB">
        <w:rPr>
          <w:lang w:val="es-PA"/>
        </w:rPr>
        <w:t>S</w:t>
      </w:r>
      <w:r w:rsidR="00217CEB" w:rsidRPr="00983F5F">
        <w:rPr>
          <w:lang w:val="es-PA"/>
        </w:rPr>
        <w:t>in Fines de Lucro</w:t>
      </w:r>
      <w:r w:rsidR="001A23C6">
        <w:rPr>
          <w:lang w:val="es-PA"/>
        </w:rPr>
        <w:t>)</w:t>
      </w:r>
      <w:r w:rsidR="00217CEB" w:rsidRPr="00A64748">
        <w:rPr>
          <w:rStyle w:val="FootnoteReference"/>
          <w:lang w:val="es-ES"/>
        </w:rPr>
        <w:t xml:space="preserve"> </w:t>
      </w:r>
      <w:r w:rsidR="00012073" w:rsidRPr="00012073">
        <w:rPr>
          <w:lang w:val="es-PA"/>
        </w:rPr>
        <w:t xml:space="preserve">que reemplazó la Ley General sobre </w:t>
      </w:r>
      <w:r w:rsidR="00012073" w:rsidRPr="00012073">
        <w:rPr>
          <w:lang w:val="es-PA"/>
        </w:rPr>
        <w:lastRenderedPageBreak/>
        <w:t xml:space="preserve">Personas Jurídicas </w:t>
      </w:r>
      <w:r w:rsidR="0076556D">
        <w:rPr>
          <w:lang w:val="es-PA"/>
        </w:rPr>
        <w:t>S</w:t>
      </w:r>
      <w:r w:rsidR="00012073" w:rsidRPr="00012073">
        <w:rPr>
          <w:lang w:val="es-PA"/>
        </w:rPr>
        <w:t>in Fines de Lucro</w:t>
      </w:r>
      <w:r w:rsidR="0076556D">
        <w:rPr>
          <w:lang w:val="es-PA"/>
        </w:rPr>
        <w:t>,</w:t>
      </w:r>
      <w:r w:rsidR="00012073" w:rsidRPr="00012073">
        <w:rPr>
          <w:lang w:val="es-PA"/>
        </w:rPr>
        <w:t xml:space="preserve"> de 1992. Cinco titulares de mandatos de los </w:t>
      </w:r>
      <w:r w:rsidR="00607164">
        <w:rPr>
          <w:lang w:val="es-PA"/>
        </w:rPr>
        <w:t>p</w:t>
      </w:r>
      <w:r w:rsidR="00012073" w:rsidRPr="00012073">
        <w:rPr>
          <w:lang w:val="es-PA"/>
        </w:rPr>
        <w:t xml:space="preserve">rocedimientos </w:t>
      </w:r>
      <w:r w:rsidR="00607164">
        <w:rPr>
          <w:lang w:val="es-PA"/>
        </w:rPr>
        <w:t>e</w:t>
      </w:r>
      <w:r w:rsidR="00012073" w:rsidRPr="00012073">
        <w:rPr>
          <w:lang w:val="es-PA"/>
        </w:rPr>
        <w:t xml:space="preserve">speciales observaron que la nueva ley no </w:t>
      </w:r>
      <w:r w:rsidR="00625F35">
        <w:rPr>
          <w:lang w:val="es-PA"/>
        </w:rPr>
        <w:t>respetaría los</w:t>
      </w:r>
      <w:r w:rsidR="00012073" w:rsidRPr="00012073">
        <w:rPr>
          <w:lang w:val="es-PA"/>
        </w:rPr>
        <w:t xml:space="preserve"> estándares internacionales de derechos humanos por, entre otros aspectos, prohibir las actividades políticas de las organizaciones y someter toda su actividad a la autorización previa del Gobierno</w:t>
      </w:r>
      <w:r w:rsidR="00012073" w:rsidRPr="006F3262">
        <w:rPr>
          <w:rStyle w:val="FootnoteReference"/>
        </w:rPr>
        <w:footnoteReference w:id="26"/>
      </w:r>
      <w:r w:rsidR="00012073" w:rsidRPr="00012073">
        <w:rPr>
          <w:lang w:val="es-PA"/>
        </w:rPr>
        <w:t xml:space="preserve">. </w:t>
      </w:r>
      <w:r w:rsidR="00BD409A">
        <w:rPr>
          <w:lang w:val="es-PA"/>
        </w:rPr>
        <w:t xml:space="preserve">El </w:t>
      </w:r>
      <w:r w:rsidR="00012073" w:rsidRPr="00012073">
        <w:rPr>
          <w:lang w:val="es-PA"/>
        </w:rPr>
        <w:t>ACNUDH también manifestó sus preocupaciones respecto a esta ley</w:t>
      </w:r>
      <w:r w:rsidR="00012073" w:rsidRPr="006F3262">
        <w:rPr>
          <w:rStyle w:val="FootnoteReference"/>
        </w:rPr>
        <w:footnoteReference w:id="27"/>
      </w:r>
      <w:r w:rsidR="00012073" w:rsidRPr="00012073">
        <w:rPr>
          <w:lang w:val="es-PA"/>
        </w:rPr>
        <w:t xml:space="preserve">, que, desde su entrada en vigor el 6 de mayo de 2022, también ha sido aplicada en la cancelación de organizaciones. </w:t>
      </w:r>
    </w:p>
    <w:p w14:paraId="480D973B" w14:textId="38A4D7E3"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15.</w:t>
      </w:r>
      <w:r w:rsidRPr="00012073">
        <w:rPr>
          <w:lang w:val="es-ES"/>
        </w:rPr>
        <w:tab/>
      </w:r>
      <w:r w:rsidR="00012073" w:rsidRPr="00012073">
        <w:rPr>
          <w:lang w:val="es-ES"/>
        </w:rPr>
        <w:t xml:space="preserve">La libertad de expresión también siguió sufriendo embates. </w:t>
      </w:r>
      <w:r w:rsidR="00012073" w:rsidRPr="00012073">
        <w:rPr>
          <w:lang w:val="es-PA"/>
        </w:rPr>
        <w:t>Nicaragua cayó 23</w:t>
      </w:r>
      <w:r w:rsidR="003B69C9">
        <w:rPr>
          <w:lang w:val="es-PA"/>
        </w:rPr>
        <w:t> </w:t>
      </w:r>
      <w:r w:rsidR="00012073" w:rsidRPr="00012073">
        <w:rPr>
          <w:lang w:val="es-PA"/>
        </w:rPr>
        <w:t>puntos en la Clasificación Mundial de la Libertad de Prensa, pasando de la categoría “difícil” a “muy grave”, ocupando el lugar 160 entre 180 países</w:t>
      </w:r>
      <w:r w:rsidR="00012073" w:rsidRPr="006F3262">
        <w:rPr>
          <w:rStyle w:val="FootnoteReference"/>
        </w:rPr>
        <w:footnoteReference w:id="28"/>
      </w:r>
      <w:r w:rsidR="00012073" w:rsidRPr="00012073">
        <w:rPr>
          <w:lang w:val="es-PA"/>
        </w:rPr>
        <w:t xml:space="preserve">. </w:t>
      </w:r>
      <w:r w:rsidR="00012073" w:rsidRPr="00012073">
        <w:rPr>
          <w:lang w:val="es-ES"/>
        </w:rPr>
        <w:t xml:space="preserve">En marzo, el </w:t>
      </w:r>
      <w:r w:rsidR="00012073" w:rsidRPr="00012073">
        <w:rPr>
          <w:lang w:val="es-PA"/>
        </w:rPr>
        <w:t xml:space="preserve">gerente general de </w:t>
      </w:r>
      <w:r w:rsidR="00012073" w:rsidRPr="00A64748">
        <w:rPr>
          <w:i/>
          <w:iCs/>
          <w:lang w:val="es-PA"/>
        </w:rPr>
        <w:t>La Prensa</w:t>
      </w:r>
      <w:r w:rsidR="00012073" w:rsidRPr="00012073">
        <w:rPr>
          <w:lang w:val="es-PA"/>
        </w:rPr>
        <w:t xml:space="preserve">, detenido en el contexto electoral de 2021, fue sentenciado a </w:t>
      </w:r>
      <w:r w:rsidR="00FB1F4B">
        <w:rPr>
          <w:lang w:val="es-PA"/>
        </w:rPr>
        <w:t>nueve</w:t>
      </w:r>
      <w:r w:rsidR="00012073" w:rsidRPr="00012073">
        <w:rPr>
          <w:lang w:val="es-PA"/>
        </w:rPr>
        <w:t xml:space="preserve"> años de prisión por lavado de activos atribuidos al periódico. En julio, personal de este diario abandonó el país alegando el constante asedio en su contra, </w:t>
      </w:r>
      <w:r w:rsidR="00AA6792">
        <w:rPr>
          <w:lang w:val="es-PA"/>
        </w:rPr>
        <w:t>que</w:t>
      </w:r>
      <w:r w:rsidR="00F9412A">
        <w:rPr>
          <w:lang w:val="es-PA"/>
        </w:rPr>
        <w:t xml:space="preserve"> se </w:t>
      </w:r>
      <w:r w:rsidR="00012073" w:rsidRPr="00012073">
        <w:rPr>
          <w:lang w:val="es-PA"/>
        </w:rPr>
        <w:t>sum</w:t>
      </w:r>
      <w:r w:rsidR="00F9412A">
        <w:rPr>
          <w:lang w:val="es-PA"/>
        </w:rPr>
        <w:t>an</w:t>
      </w:r>
      <w:r w:rsidR="00012073" w:rsidRPr="00012073">
        <w:rPr>
          <w:lang w:val="es-PA"/>
        </w:rPr>
        <w:t xml:space="preserve"> a los </w:t>
      </w:r>
      <w:r w:rsidR="00F9412A" w:rsidRPr="00012073">
        <w:rPr>
          <w:lang w:val="es-PA"/>
        </w:rPr>
        <w:t xml:space="preserve">otros </w:t>
      </w:r>
      <w:r w:rsidR="00012073" w:rsidRPr="00012073">
        <w:rPr>
          <w:lang w:val="es-PA"/>
        </w:rPr>
        <w:t>120 periodistas que permanecerían en el exilio</w:t>
      </w:r>
      <w:r w:rsidR="00012073" w:rsidRPr="006F3262">
        <w:rPr>
          <w:rStyle w:val="FootnoteReference"/>
        </w:rPr>
        <w:footnoteReference w:id="29"/>
      </w:r>
      <w:r w:rsidR="00012073" w:rsidRPr="00012073">
        <w:rPr>
          <w:lang w:val="es-PA"/>
        </w:rPr>
        <w:t xml:space="preserve">. </w:t>
      </w:r>
      <w:r w:rsidR="00012073" w:rsidRPr="00012073">
        <w:rPr>
          <w:lang w:val="es-ES"/>
        </w:rPr>
        <w:t xml:space="preserve">Además, </w:t>
      </w:r>
      <w:r w:rsidR="00012073" w:rsidRPr="00012073">
        <w:rPr>
          <w:lang w:val="es-PA"/>
        </w:rPr>
        <w:t xml:space="preserve">tres periodistas fueron sentenciados hasta </w:t>
      </w:r>
      <w:r w:rsidR="00B97D25">
        <w:rPr>
          <w:lang w:val="es-PA"/>
        </w:rPr>
        <w:t xml:space="preserve">a </w:t>
      </w:r>
      <w:r w:rsidR="00012073" w:rsidRPr="00012073">
        <w:rPr>
          <w:lang w:val="es-PA"/>
        </w:rPr>
        <w:t xml:space="preserve">13 años de prisión por los delitos de propagación de noticias falsas y menoscabo a la integridad nacional. El Gobierno también ha censurado a artistas musicales, impidiéndoles su ingreso a Nicaragua, o deteniéndolos y luego expulsándolos del país pese a ser nacionales nicaragüenses. Entre mayo y agosto, las autoridades cesaron las operaciones de 12 medios radiofónicos y televisivos de la Iglesia </w:t>
      </w:r>
      <w:r w:rsidR="00871443">
        <w:rPr>
          <w:lang w:val="es-PA"/>
        </w:rPr>
        <w:t>c</w:t>
      </w:r>
      <w:r w:rsidR="00012073" w:rsidRPr="00012073">
        <w:rPr>
          <w:lang w:val="es-PA"/>
        </w:rPr>
        <w:t>atólica, especialmente en Matagalpa, argumentando que no tenían permiso de funcionamiento</w:t>
      </w:r>
      <w:r w:rsidR="00871443">
        <w:rPr>
          <w:lang w:val="es-PA"/>
        </w:rPr>
        <w:t xml:space="preserve">, lo que fue </w:t>
      </w:r>
      <w:r w:rsidR="00012073" w:rsidRPr="00012073">
        <w:rPr>
          <w:lang w:val="es-PA"/>
        </w:rPr>
        <w:t>objetado por los representantes de los medios. También cesaron al menos cinco medios no confesionales alegando el incumplimiento de la normativa del sector.</w:t>
      </w:r>
    </w:p>
    <w:p w14:paraId="4C6F8DB2" w14:textId="746A9A0D"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16.</w:t>
      </w:r>
      <w:r w:rsidRPr="00012073">
        <w:rPr>
          <w:lang w:val="es-ES"/>
        </w:rPr>
        <w:tab/>
      </w:r>
      <w:r w:rsidR="00871443">
        <w:rPr>
          <w:lang w:val="es-ES"/>
        </w:rPr>
        <w:t xml:space="preserve">El </w:t>
      </w:r>
      <w:r w:rsidR="00012073" w:rsidRPr="00012073">
        <w:rPr>
          <w:lang w:val="es-ES"/>
        </w:rPr>
        <w:t xml:space="preserve">ACNUDH continuó documentando actos de hostigamiento, especialmente contra personas defensoras de derechos </w:t>
      </w:r>
      <w:r w:rsidR="00012073" w:rsidRPr="00045F75">
        <w:rPr>
          <w:lang w:val="es-ES"/>
        </w:rPr>
        <w:t xml:space="preserve">humanos, periodistas, clérigos, opositores políticos o personas consideradas como tales, que han consistido principalmente en presencia policial constante e intimidatoria frente a sus domicilios o lugares de trabajo, </w:t>
      </w:r>
      <w:r w:rsidR="00A257F7" w:rsidRPr="00045F75">
        <w:rPr>
          <w:lang w:val="es-ES"/>
        </w:rPr>
        <w:t xml:space="preserve">lo que </w:t>
      </w:r>
      <w:r w:rsidR="00012073" w:rsidRPr="00045F75">
        <w:rPr>
          <w:lang w:val="es-ES"/>
        </w:rPr>
        <w:t>afecta su privacidad y sus actividades</w:t>
      </w:r>
      <w:r w:rsidR="00A257F7" w:rsidRPr="00045F75">
        <w:rPr>
          <w:lang w:val="es-ES"/>
        </w:rPr>
        <w:t xml:space="preserve">; </w:t>
      </w:r>
      <w:r w:rsidR="00012073" w:rsidRPr="00045F75">
        <w:rPr>
          <w:lang w:val="es-ES"/>
        </w:rPr>
        <w:t>seguimientos permanentes</w:t>
      </w:r>
      <w:r w:rsidR="00A257F7" w:rsidRPr="00045F75">
        <w:rPr>
          <w:lang w:val="es-ES"/>
        </w:rPr>
        <w:t>;</w:t>
      </w:r>
      <w:r w:rsidR="00012073" w:rsidRPr="00045F75">
        <w:rPr>
          <w:lang w:val="es-ES"/>
        </w:rPr>
        <w:t xml:space="preserve"> detenci</w:t>
      </w:r>
      <w:r w:rsidR="00F91779" w:rsidRPr="00045F75">
        <w:rPr>
          <w:lang w:val="es-ES"/>
        </w:rPr>
        <w:t>ones</w:t>
      </w:r>
      <w:r w:rsidR="00012073" w:rsidRPr="00045F75">
        <w:rPr>
          <w:lang w:val="es-ES"/>
        </w:rPr>
        <w:t xml:space="preserve"> selectiva</w:t>
      </w:r>
      <w:r w:rsidR="00F91779" w:rsidRPr="00045F75">
        <w:rPr>
          <w:lang w:val="es-ES"/>
        </w:rPr>
        <w:t>s</w:t>
      </w:r>
      <w:r w:rsidR="00012073" w:rsidRPr="00045F75">
        <w:rPr>
          <w:lang w:val="es-ES"/>
        </w:rPr>
        <w:t xml:space="preserve"> </w:t>
      </w:r>
      <w:r w:rsidR="006D7419" w:rsidRPr="00045F75">
        <w:rPr>
          <w:lang w:val="es-ES"/>
        </w:rPr>
        <w:t xml:space="preserve">y/o captaciones fotográficas </w:t>
      </w:r>
      <w:r w:rsidR="00012073" w:rsidRPr="00045F75">
        <w:rPr>
          <w:lang w:val="es-ES"/>
        </w:rPr>
        <w:t xml:space="preserve">de vehículos y </w:t>
      </w:r>
      <w:r w:rsidR="006D7419" w:rsidRPr="00045F75">
        <w:rPr>
          <w:lang w:val="es-ES"/>
        </w:rPr>
        <w:t>requerimiento de los</w:t>
      </w:r>
      <w:r w:rsidR="00884E04" w:rsidRPr="00045F75">
        <w:rPr>
          <w:lang w:val="es-ES"/>
        </w:rPr>
        <w:t xml:space="preserve"> </w:t>
      </w:r>
      <w:r w:rsidR="00012073" w:rsidRPr="00045F75">
        <w:rPr>
          <w:lang w:val="es-ES"/>
        </w:rPr>
        <w:t>documentos</w:t>
      </w:r>
      <w:r w:rsidR="006D7419" w:rsidRPr="00045F75">
        <w:rPr>
          <w:lang w:val="es-ES"/>
        </w:rPr>
        <w:t xml:space="preserve"> de sus ocupantes</w:t>
      </w:r>
      <w:r w:rsidR="00012073" w:rsidRPr="00045F75">
        <w:rPr>
          <w:lang w:val="es-ES"/>
        </w:rPr>
        <w:t xml:space="preserve">, y en cercar las calles de acceso a las instalaciones de organizaciones consideradas críticas </w:t>
      </w:r>
      <w:r w:rsidR="00CC18C2" w:rsidRPr="00045F75">
        <w:rPr>
          <w:lang w:val="es-ES"/>
        </w:rPr>
        <w:t xml:space="preserve">con el </w:t>
      </w:r>
      <w:r w:rsidR="00012073" w:rsidRPr="00045F75">
        <w:rPr>
          <w:lang w:val="es-ES"/>
        </w:rPr>
        <w:t>Gobierno. Funcionarios y ciudadanos afines al Frente Sandinista de Liberación Nacional también habrían participado en estos actos</w:t>
      </w:r>
      <w:r w:rsidR="00012073" w:rsidRPr="00012073">
        <w:rPr>
          <w:lang w:val="es-ES"/>
        </w:rPr>
        <w:t xml:space="preserve"> de hostigamiento, intimidando a otras personas por supuestamente utilizar las redes sociales contra el Gobierno.</w:t>
      </w:r>
      <w:r w:rsidR="009B646D">
        <w:rPr>
          <w:lang w:val="es-ES"/>
        </w:rPr>
        <w:t xml:space="preserve"> </w:t>
      </w:r>
    </w:p>
    <w:p w14:paraId="6E9BC8A4" w14:textId="4D5942F5"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17.</w:t>
      </w:r>
      <w:r w:rsidRPr="00012073">
        <w:rPr>
          <w:lang w:val="es-ES"/>
        </w:rPr>
        <w:tab/>
      </w:r>
      <w:r w:rsidR="00012073" w:rsidRPr="00012073">
        <w:rPr>
          <w:lang w:val="es-ES"/>
        </w:rPr>
        <w:t xml:space="preserve">El 1 de agosto, los actos de hostigamiento contra un sacerdote católico escalaron a hechos violentos cuando la </w:t>
      </w:r>
      <w:r w:rsidR="00C80E3E">
        <w:rPr>
          <w:lang w:val="es-ES"/>
        </w:rPr>
        <w:t>P</w:t>
      </w:r>
      <w:r w:rsidR="00012073" w:rsidRPr="00012073">
        <w:rPr>
          <w:lang w:val="es-ES"/>
        </w:rPr>
        <w:t>olicía pretendió incautar los equipos de un medio de comunicación de la Iglesia que transmitía desde la parroquia Jesús de la Divina Misericordia, en Sébaco</w:t>
      </w:r>
      <w:r w:rsidR="00C80E3E">
        <w:rPr>
          <w:lang w:val="es-ES"/>
        </w:rPr>
        <w:t xml:space="preserve"> (</w:t>
      </w:r>
      <w:r w:rsidR="00012073" w:rsidRPr="00012073">
        <w:rPr>
          <w:lang w:val="es-ES"/>
        </w:rPr>
        <w:t>Matagalpa</w:t>
      </w:r>
      <w:r w:rsidR="00C80E3E">
        <w:rPr>
          <w:lang w:val="es-ES"/>
        </w:rPr>
        <w:t>)</w:t>
      </w:r>
      <w:r w:rsidR="00012073" w:rsidRPr="00012073">
        <w:rPr>
          <w:lang w:val="es-ES"/>
        </w:rPr>
        <w:t xml:space="preserve">. Decenas de policías y antimotines incursionaron violentamente en las instalaciones ocasionando destrozos. El párroco, junto a otras seis personas, permanecieron retenidos en la casa cural, desde donde el sacerdote pidió auxilio </w:t>
      </w:r>
      <w:r w:rsidR="00290364">
        <w:rPr>
          <w:lang w:val="es-ES"/>
        </w:rPr>
        <w:t>a través de</w:t>
      </w:r>
      <w:r w:rsidR="00290364" w:rsidRPr="00012073">
        <w:rPr>
          <w:lang w:val="es-ES"/>
        </w:rPr>
        <w:t xml:space="preserve"> </w:t>
      </w:r>
      <w:r w:rsidR="00012073" w:rsidRPr="00012073">
        <w:rPr>
          <w:lang w:val="es-ES"/>
        </w:rPr>
        <w:t xml:space="preserve">las redes sociales. Decenas de personas acudieron al llamado. Según los videos difundidos, la </w:t>
      </w:r>
      <w:r w:rsidR="00290364">
        <w:rPr>
          <w:lang w:val="es-ES"/>
        </w:rPr>
        <w:t>P</w:t>
      </w:r>
      <w:r w:rsidR="00012073" w:rsidRPr="00012073">
        <w:rPr>
          <w:lang w:val="es-ES"/>
        </w:rPr>
        <w:t>olicía hizo uso de la fuerza, disparó munición y gases lacrimógenos. Un ciudadano habría sufrido una seria lesión ocular y otros habrían sido golpeados</w:t>
      </w:r>
      <w:r w:rsidR="00012073" w:rsidRPr="006F3262">
        <w:rPr>
          <w:rStyle w:val="FootnoteReference"/>
        </w:rPr>
        <w:footnoteReference w:id="30"/>
      </w:r>
      <w:r w:rsidR="00012073" w:rsidRPr="00012073">
        <w:rPr>
          <w:lang w:val="es-ES"/>
        </w:rPr>
        <w:t xml:space="preserve">. Las siete personas permanecieron cercadas en la casa cural por tres días, sin acceso a alimentos y con la electricidad cortada. </w:t>
      </w:r>
    </w:p>
    <w:p w14:paraId="696D39C1" w14:textId="01724B62"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18.</w:t>
      </w:r>
      <w:r w:rsidRPr="00012073">
        <w:rPr>
          <w:lang w:val="es-ES"/>
        </w:rPr>
        <w:tab/>
      </w:r>
      <w:r w:rsidR="00012073" w:rsidRPr="00012073">
        <w:rPr>
          <w:lang w:val="es-ES"/>
        </w:rPr>
        <w:t xml:space="preserve">Al menos otros dos sacerdotes católicos fueron hostigados en mayo. Uno de ellos, el Obispo de Matagalpa, de cuya diócesis dependía la mayoría de los medios de comunicación clausurados, inició una huelga de hambre demandando al Gobierno que cesara el acoso en su contra y en contra de su círculo familiar. El 4 de agosto decenas de policías cercaron la </w:t>
      </w:r>
      <w:r w:rsidR="009C1633">
        <w:rPr>
          <w:lang w:val="es-ES"/>
        </w:rPr>
        <w:t>c</w:t>
      </w:r>
      <w:r w:rsidR="00012073" w:rsidRPr="00012073">
        <w:rPr>
          <w:lang w:val="es-ES"/>
        </w:rPr>
        <w:t xml:space="preserve">uria </w:t>
      </w:r>
      <w:r w:rsidR="009C1633">
        <w:rPr>
          <w:lang w:val="es-ES"/>
        </w:rPr>
        <w:t>a</w:t>
      </w:r>
      <w:r w:rsidR="00012073" w:rsidRPr="00012073">
        <w:rPr>
          <w:lang w:val="es-ES"/>
        </w:rPr>
        <w:t xml:space="preserve">rzobispal en Matagalpa, impidiendo la circulación de toda persona y que el Obispo llegara </w:t>
      </w:r>
      <w:r w:rsidR="00012073" w:rsidRPr="00012073">
        <w:rPr>
          <w:lang w:val="es-ES"/>
        </w:rPr>
        <w:lastRenderedPageBreak/>
        <w:t xml:space="preserve">a la </w:t>
      </w:r>
      <w:r w:rsidR="00422EF5">
        <w:rPr>
          <w:lang w:val="es-ES"/>
        </w:rPr>
        <w:t>c</w:t>
      </w:r>
      <w:r w:rsidR="00012073" w:rsidRPr="00012073">
        <w:rPr>
          <w:lang w:val="es-ES"/>
        </w:rPr>
        <w:t>atedral para oficiar una misa</w:t>
      </w:r>
      <w:r w:rsidR="00012073" w:rsidRPr="006F3262">
        <w:rPr>
          <w:rStyle w:val="FootnoteReference"/>
        </w:rPr>
        <w:footnoteReference w:id="31"/>
      </w:r>
      <w:r w:rsidR="00012073" w:rsidRPr="00012073">
        <w:rPr>
          <w:lang w:val="es-ES"/>
        </w:rPr>
        <w:t xml:space="preserve">. El Obispo, otros cinco sacerdotes y seis laicos permanecían retenidos y rodeados por decenas de agentes antimotines en la </w:t>
      </w:r>
      <w:r w:rsidR="00717FCE">
        <w:rPr>
          <w:lang w:val="es-ES"/>
        </w:rPr>
        <w:t>c</w:t>
      </w:r>
      <w:r w:rsidR="00012073" w:rsidRPr="00012073">
        <w:rPr>
          <w:lang w:val="es-ES"/>
        </w:rPr>
        <w:t xml:space="preserve">uria </w:t>
      </w:r>
      <w:r w:rsidR="00717FCE">
        <w:rPr>
          <w:lang w:val="es-ES"/>
        </w:rPr>
        <w:t>a</w:t>
      </w:r>
      <w:r w:rsidR="00012073" w:rsidRPr="00012073">
        <w:rPr>
          <w:lang w:val="es-ES"/>
        </w:rPr>
        <w:t>rzobispal al momento de redactar este informe</w:t>
      </w:r>
      <w:r w:rsidR="00053730">
        <w:rPr>
          <w:lang w:val="es-ES"/>
        </w:rPr>
        <w:t xml:space="preserve"> </w:t>
      </w:r>
      <w:r w:rsidR="00053730">
        <w:rPr>
          <w:rFonts w:cs="Times New Roman"/>
          <w:lang w:val="es-ES"/>
        </w:rPr>
        <w:t>―</w:t>
      </w:r>
      <w:r w:rsidR="00576A07">
        <w:rPr>
          <w:lang w:val="es-PA"/>
        </w:rPr>
        <w:t>u</w:t>
      </w:r>
      <w:r w:rsidR="00053730">
        <w:rPr>
          <w:lang w:val="es-PA"/>
        </w:rPr>
        <w:t>na laica pudo salir el 7 de agosto y dos laicos, el</w:t>
      </w:r>
      <w:r w:rsidR="00596047">
        <w:rPr>
          <w:lang w:val="es-PA"/>
        </w:rPr>
        <w:t> </w:t>
      </w:r>
      <w:r w:rsidR="00053730">
        <w:rPr>
          <w:lang w:val="es-PA"/>
        </w:rPr>
        <w:t>17</w:t>
      </w:r>
      <w:r w:rsidR="00053730">
        <w:rPr>
          <w:rFonts w:cs="Times New Roman"/>
          <w:lang w:val="es-PA"/>
        </w:rPr>
        <w:t>―</w:t>
      </w:r>
      <w:r w:rsidR="00012073" w:rsidRPr="00012073">
        <w:rPr>
          <w:lang w:val="es-ES"/>
        </w:rPr>
        <w:t>. El 5 de agosto, la Policía informó que estaba iniciando una investigación penal, sindicando al Obispo de incitar al odio con el propósito de desestabilizar al Estado y atacar a las autoridades</w:t>
      </w:r>
      <w:r w:rsidR="00012073" w:rsidRPr="006F3262">
        <w:rPr>
          <w:rStyle w:val="FootnoteReference"/>
        </w:rPr>
        <w:footnoteReference w:id="32"/>
      </w:r>
      <w:r w:rsidR="00012073" w:rsidRPr="00012073">
        <w:rPr>
          <w:lang w:val="es-ES"/>
        </w:rPr>
        <w:t xml:space="preserve">. También comunicó que las personas investigadas deberían permanecer en sus casas, y citó a declarar a quienes se habían apostado frente a la </w:t>
      </w:r>
      <w:r w:rsidR="00F219CA">
        <w:rPr>
          <w:lang w:val="es-ES"/>
        </w:rPr>
        <w:t>c</w:t>
      </w:r>
      <w:r w:rsidR="00012073" w:rsidRPr="00012073">
        <w:rPr>
          <w:lang w:val="es-ES"/>
        </w:rPr>
        <w:t xml:space="preserve">uria </w:t>
      </w:r>
      <w:r w:rsidR="00F219CA">
        <w:rPr>
          <w:lang w:val="es-ES"/>
        </w:rPr>
        <w:t>a</w:t>
      </w:r>
      <w:r w:rsidR="00012073" w:rsidRPr="00012073">
        <w:rPr>
          <w:lang w:val="es-ES"/>
        </w:rPr>
        <w:t>rzobispal para orar y distender la situación el día anterior.</w:t>
      </w:r>
    </w:p>
    <w:p w14:paraId="1E4D9CD3" w14:textId="7B9B5D67"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19.</w:t>
      </w:r>
      <w:r w:rsidRPr="00012073">
        <w:rPr>
          <w:lang w:val="es-ES"/>
        </w:rPr>
        <w:tab/>
      </w:r>
      <w:r w:rsidR="00012073" w:rsidRPr="00012073">
        <w:rPr>
          <w:lang w:val="es-ES"/>
        </w:rPr>
        <w:t xml:space="preserve">Otras violaciones a los derechos de las personas percibidas como opositoras han consistido en privarles de salir del país, mediante la retención de </w:t>
      </w:r>
      <w:r w:rsidR="002F54D9">
        <w:rPr>
          <w:lang w:val="es-ES"/>
        </w:rPr>
        <w:t xml:space="preserve">sus </w:t>
      </w:r>
      <w:r w:rsidR="00012073" w:rsidRPr="00012073">
        <w:rPr>
          <w:lang w:val="es-ES"/>
        </w:rPr>
        <w:t xml:space="preserve">pasaportes por parte de funcionarios migratorios. En otros tres casos documentados por </w:t>
      </w:r>
      <w:r w:rsidR="002F54D9">
        <w:rPr>
          <w:lang w:val="es-ES"/>
        </w:rPr>
        <w:t xml:space="preserve">el </w:t>
      </w:r>
      <w:r w:rsidR="00012073" w:rsidRPr="00012073">
        <w:rPr>
          <w:lang w:val="es-ES"/>
        </w:rPr>
        <w:t xml:space="preserve">ACNUDH, funcionarios consulares en el exterior exigieron a activistas exiliados que regresaran a Nicaragua para renovar sus pasaportes, por instrucción expresa de la capital. La Oficina también ha documentado cuatro casos en los que </w:t>
      </w:r>
      <w:r w:rsidR="00B33D96">
        <w:rPr>
          <w:lang w:val="es-ES"/>
        </w:rPr>
        <w:t xml:space="preserve">se impidió </w:t>
      </w:r>
      <w:r w:rsidR="00B33D96" w:rsidRPr="00012073">
        <w:rPr>
          <w:lang w:val="es-ES"/>
        </w:rPr>
        <w:t xml:space="preserve">arbitrariamente </w:t>
      </w:r>
      <w:r w:rsidR="00B33D96">
        <w:rPr>
          <w:lang w:val="es-ES"/>
        </w:rPr>
        <w:t xml:space="preserve">a </w:t>
      </w:r>
      <w:r w:rsidR="00012073" w:rsidRPr="00012073">
        <w:rPr>
          <w:lang w:val="es-ES"/>
        </w:rPr>
        <w:t>ciudadanos nicaragüenses ingresar o regresar a su propio país.</w:t>
      </w:r>
    </w:p>
    <w:p w14:paraId="2285F9DC" w14:textId="5BEBAEBD"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20.</w:t>
      </w:r>
      <w:r w:rsidRPr="00012073">
        <w:rPr>
          <w:lang w:val="es-ES"/>
        </w:rPr>
        <w:tab/>
      </w:r>
      <w:r w:rsidR="00012073" w:rsidRPr="00012073">
        <w:rPr>
          <w:lang w:val="es-AR"/>
        </w:rPr>
        <w:t>Las restricciones del espacio cívico y la persecución a personas percibidas como opositoras, además del empeoramiento de la situación socioeconómica, han provocado un aumento en el número de personas que han salido de Nicaragua hacia los Estados Unidos</w:t>
      </w:r>
      <w:r w:rsidR="007272BD">
        <w:rPr>
          <w:lang w:val="es-AR"/>
        </w:rPr>
        <w:t xml:space="preserve"> de América</w:t>
      </w:r>
      <w:r w:rsidR="00012073" w:rsidRPr="00012073">
        <w:rPr>
          <w:lang w:val="es-AR"/>
        </w:rPr>
        <w:t>, pasando de 5</w:t>
      </w:r>
      <w:r w:rsidR="00BB761B">
        <w:rPr>
          <w:lang w:val="es-AR"/>
        </w:rPr>
        <w:t>.</w:t>
      </w:r>
      <w:r w:rsidR="00012073" w:rsidRPr="00012073">
        <w:rPr>
          <w:lang w:val="es-AR"/>
        </w:rPr>
        <w:t>450 personas interceptadas en</w:t>
      </w:r>
      <w:r w:rsidR="004B3C37">
        <w:rPr>
          <w:lang w:val="es-AR"/>
        </w:rPr>
        <w:t xml:space="preserve"> la</w:t>
      </w:r>
      <w:r w:rsidR="00012073" w:rsidRPr="00012073">
        <w:rPr>
          <w:lang w:val="es-AR"/>
        </w:rPr>
        <w:t xml:space="preserve"> frontera en todo 2020 a 84</w:t>
      </w:r>
      <w:r w:rsidR="00BB761B">
        <w:rPr>
          <w:lang w:val="es-AR"/>
        </w:rPr>
        <w:t>.</w:t>
      </w:r>
      <w:r w:rsidR="00012073" w:rsidRPr="00012073">
        <w:rPr>
          <w:lang w:val="es-AR"/>
        </w:rPr>
        <w:t>055 en los seis primeros meses de 2022. El número de refugiados y solicitantes de asilo en Costa Rica había llegado a más 150</w:t>
      </w:r>
      <w:r w:rsidR="00BB761B">
        <w:rPr>
          <w:lang w:val="es-AR"/>
        </w:rPr>
        <w:t>.</w:t>
      </w:r>
      <w:r w:rsidR="00012073" w:rsidRPr="00012073">
        <w:rPr>
          <w:lang w:val="es-AR"/>
        </w:rPr>
        <w:t xml:space="preserve">000 personas </w:t>
      </w:r>
      <w:r w:rsidR="001A387C">
        <w:rPr>
          <w:lang w:val="es-AR"/>
        </w:rPr>
        <w:t>en</w:t>
      </w:r>
      <w:r w:rsidR="00012073" w:rsidRPr="00012073">
        <w:rPr>
          <w:lang w:val="es-AR"/>
        </w:rPr>
        <w:t xml:space="preserve"> marzo de 2022</w:t>
      </w:r>
      <w:r w:rsidR="00012073" w:rsidRPr="006F3262">
        <w:rPr>
          <w:rStyle w:val="FootnoteReference"/>
        </w:rPr>
        <w:footnoteReference w:id="33"/>
      </w:r>
      <w:r w:rsidR="00012073" w:rsidRPr="00012073">
        <w:rPr>
          <w:lang w:val="es-AR"/>
        </w:rPr>
        <w:t>.</w:t>
      </w:r>
    </w:p>
    <w:p w14:paraId="08CF3109" w14:textId="3B86E642" w:rsidR="00012073" w:rsidRPr="00012073" w:rsidRDefault="00BE4D19" w:rsidP="00BE4D19">
      <w:pPr>
        <w:pStyle w:val="HChG"/>
        <w:rPr>
          <w:b w:val="0"/>
          <w:bCs w:val="0"/>
          <w:lang w:val="es-PA"/>
        </w:rPr>
      </w:pPr>
      <w:r>
        <w:rPr>
          <w:lang w:val="es-PA"/>
        </w:rPr>
        <w:tab/>
      </w:r>
      <w:r w:rsidR="00012073" w:rsidRPr="00012073">
        <w:rPr>
          <w:lang w:val="es-PA"/>
        </w:rPr>
        <w:t>III.</w:t>
      </w:r>
      <w:r w:rsidR="00012073" w:rsidRPr="00012073">
        <w:rPr>
          <w:lang w:val="es-PA"/>
        </w:rPr>
        <w:tab/>
        <w:t xml:space="preserve">Evaluación de las recomendaciones dirigidas a Nicaragua </w:t>
      </w:r>
    </w:p>
    <w:p w14:paraId="0F98DE05" w14:textId="4E047C45" w:rsidR="00012073" w:rsidRPr="00012073" w:rsidRDefault="00012073" w:rsidP="006925DE">
      <w:pPr>
        <w:pStyle w:val="H1G"/>
        <w:rPr>
          <w:b w:val="0"/>
          <w:bCs w:val="0"/>
          <w:lang w:val="es-ES"/>
        </w:rPr>
      </w:pPr>
      <w:r w:rsidRPr="00012073">
        <w:rPr>
          <w:lang w:val="es-ES"/>
        </w:rPr>
        <w:tab/>
      </w:r>
      <w:r w:rsidR="009A4AF1">
        <w:rPr>
          <w:lang w:val="es-ES"/>
        </w:rPr>
        <w:t>A</w:t>
      </w:r>
      <w:r w:rsidRPr="00012073">
        <w:rPr>
          <w:lang w:val="es-ES"/>
        </w:rPr>
        <w:t>.</w:t>
      </w:r>
      <w:r w:rsidRPr="00012073">
        <w:rPr>
          <w:lang w:val="es-ES"/>
        </w:rPr>
        <w:tab/>
        <w:t>Diálogo</w:t>
      </w:r>
    </w:p>
    <w:p w14:paraId="768A1EAF" w14:textId="7E960285"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21.</w:t>
      </w:r>
      <w:r w:rsidRPr="00012073">
        <w:rPr>
          <w:lang w:val="es-ES"/>
        </w:rPr>
        <w:tab/>
      </w:r>
      <w:r w:rsidR="00012073" w:rsidRPr="00012073">
        <w:rPr>
          <w:lang w:val="es-ES"/>
        </w:rPr>
        <w:t>En agosto de 2018</w:t>
      </w:r>
      <w:r w:rsidR="001A387C">
        <w:rPr>
          <w:lang w:val="es-ES"/>
        </w:rPr>
        <w:t>, el</w:t>
      </w:r>
      <w:r w:rsidR="00012073" w:rsidRPr="00012073">
        <w:rPr>
          <w:lang w:val="es-ES"/>
        </w:rPr>
        <w:t xml:space="preserve"> ACNUDH </w:t>
      </w:r>
      <w:r w:rsidR="00012073" w:rsidRPr="00C34BE1">
        <w:rPr>
          <w:lang w:val="es-ES"/>
        </w:rPr>
        <w:t>recomendó al Gobierno</w:t>
      </w:r>
      <w:r w:rsidR="00012073" w:rsidRPr="00012073">
        <w:rPr>
          <w:lang w:val="es-ES"/>
        </w:rPr>
        <w:t xml:space="preserve"> que reanudara el diálogo nacional </w:t>
      </w:r>
      <w:r w:rsidR="00906D71">
        <w:rPr>
          <w:rFonts w:cs="Times New Roman"/>
          <w:lang w:val="es-ES"/>
        </w:rPr>
        <w:t>―</w:t>
      </w:r>
      <w:r w:rsidR="00012073" w:rsidRPr="00012073">
        <w:rPr>
          <w:lang w:val="es-ES"/>
        </w:rPr>
        <w:t>cuya primera fase había tenido lugar entre mayo y junio de ese año</w:t>
      </w:r>
      <w:r w:rsidR="00906D71">
        <w:rPr>
          <w:rFonts w:cs="Times New Roman"/>
          <w:lang w:val="es-ES"/>
        </w:rPr>
        <w:t>―</w:t>
      </w:r>
      <w:r w:rsidR="00012073" w:rsidRPr="00012073">
        <w:rPr>
          <w:lang w:val="es-ES"/>
        </w:rPr>
        <w:t xml:space="preserve"> y buscara </w:t>
      </w:r>
      <w:r w:rsidR="00012073" w:rsidRPr="0029270A">
        <w:rPr>
          <w:lang w:val="es-ES"/>
        </w:rPr>
        <w:t>“lograr acuerdos basados en los derechos humanos”</w:t>
      </w:r>
      <w:r w:rsidR="00012073" w:rsidRPr="0029270A">
        <w:rPr>
          <w:rStyle w:val="FootnoteReference"/>
        </w:rPr>
        <w:footnoteReference w:id="34"/>
      </w:r>
      <w:r w:rsidR="00012073" w:rsidRPr="0029270A">
        <w:rPr>
          <w:lang w:val="es-ES"/>
        </w:rPr>
        <w:t>. En</w:t>
      </w:r>
      <w:r w:rsidR="00012073" w:rsidRPr="00012073">
        <w:rPr>
          <w:lang w:val="es-ES"/>
        </w:rPr>
        <w:t xml:space="preserve"> febrero de 2019, el Gobierno y la Alianza Cívica por la Justicia y la Democracia retomaron las negociaciones que permitieron llegar a acuerdos que incluían la liberación de personas presas y el respeto a las libertades públicas. El diálogo se estancó varios meses y en julio el Gobierno lo dio por terminado. </w:t>
      </w:r>
    </w:p>
    <w:p w14:paraId="2BC81A9C" w14:textId="08A6B5B8"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22.</w:t>
      </w:r>
      <w:r w:rsidRPr="00012073">
        <w:rPr>
          <w:lang w:val="es-ES"/>
        </w:rPr>
        <w:tab/>
      </w:r>
      <w:r w:rsidR="00BD31FC">
        <w:rPr>
          <w:lang w:val="es-ES"/>
        </w:rPr>
        <w:t xml:space="preserve">El </w:t>
      </w:r>
      <w:r w:rsidR="00012073" w:rsidRPr="00012073">
        <w:rPr>
          <w:lang w:val="es-ES"/>
        </w:rPr>
        <w:t>ACNUDH</w:t>
      </w:r>
      <w:r w:rsidR="00012073" w:rsidRPr="006F3262">
        <w:rPr>
          <w:rStyle w:val="FootnoteReference"/>
        </w:rPr>
        <w:footnoteReference w:id="35"/>
      </w:r>
      <w:r w:rsidR="00012073" w:rsidRPr="00012073">
        <w:rPr>
          <w:lang w:val="es-ES"/>
        </w:rPr>
        <w:t xml:space="preserve"> y el </w:t>
      </w:r>
      <w:r w:rsidR="00012073" w:rsidRPr="00012073">
        <w:rPr>
          <w:lang w:val="es-PA"/>
        </w:rPr>
        <w:t>Comité de Derechos Económicos, Sociales y Culturales</w:t>
      </w:r>
      <w:r w:rsidR="00012073" w:rsidRPr="006F3262">
        <w:rPr>
          <w:rStyle w:val="FootnoteReference"/>
        </w:rPr>
        <w:footnoteReference w:id="36"/>
      </w:r>
      <w:r w:rsidR="00012073" w:rsidRPr="00012073">
        <w:rPr>
          <w:lang w:val="es-ES"/>
        </w:rPr>
        <w:t xml:space="preserve"> han reiterado al Estado la recomendación de restaurar el diálogo nacional. Durante el </w:t>
      </w:r>
      <w:r w:rsidR="005B11B4">
        <w:rPr>
          <w:lang w:val="es-PA"/>
        </w:rPr>
        <w:t>e</w:t>
      </w:r>
      <w:r w:rsidR="00012073" w:rsidRPr="00012073">
        <w:rPr>
          <w:lang w:val="es-PA"/>
        </w:rPr>
        <w:t xml:space="preserve">xamen </w:t>
      </w:r>
      <w:r w:rsidR="005B11B4">
        <w:rPr>
          <w:lang w:val="es-PA"/>
        </w:rPr>
        <w:t>p</w:t>
      </w:r>
      <w:r w:rsidR="00012073" w:rsidRPr="00012073">
        <w:rPr>
          <w:lang w:val="es-PA"/>
        </w:rPr>
        <w:t xml:space="preserve">eriódico </w:t>
      </w:r>
      <w:r w:rsidR="005B11B4">
        <w:rPr>
          <w:lang w:val="es-PA"/>
        </w:rPr>
        <w:t>u</w:t>
      </w:r>
      <w:r w:rsidR="00012073" w:rsidRPr="00012073">
        <w:rPr>
          <w:lang w:val="es-PA"/>
        </w:rPr>
        <w:t>niversal</w:t>
      </w:r>
      <w:r w:rsidR="00012073" w:rsidRPr="006F3262">
        <w:rPr>
          <w:rStyle w:val="FootnoteReference"/>
        </w:rPr>
        <w:footnoteReference w:id="37"/>
      </w:r>
      <w:r w:rsidR="00012073" w:rsidRPr="00012073">
        <w:rPr>
          <w:lang w:val="es-ES"/>
        </w:rPr>
        <w:t>, siete Estados también lo recomendaron, y si bien Nicaragua aceptó cuatro de esas recomendaciones, el diálogo hasta el día de hoy no se ha reanudado</w:t>
      </w:r>
      <w:r w:rsidR="00012073" w:rsidRPr="00012073">
        <w:rPr>
          <w:lang w:val="es-PA"/>
        </w:rPr>
        <w:t>, a pesar del anuncio del Presidente</w:t>
      </w:r>
      <w:r w:rsidR="00DA3ED4">
        <w:rPr>
          <w:lang w:val="es-PA"/>
        </w:rPr>
        <w:t xml:space="preserve">, Daniel </w:t>
      </w:r>
      <w:r w:rsidR="00012073" w:rsidRPr="00012073">
        <w:rPr>
          <w:lang w:val="es-PA"/>
        </w:rPr>
        <w:t>Ortega</w:t>
      </w:r>
      <w:r w:rsidR="00DA3ED4">
        <w:rPr>
          <w:lang w:val="es-PA"/>
        </w:rPr>
        <w:t>,</w:t>
      </w:r>
      <w:r w:rsidR="00012073" w:rsidRPr="00012073">
        <w:rPr>
          <w:lang w:val="es-PA"/>
        </w:rPr>
        <w:t xml:space="preserve"> en </w:t>
      </w:r>
      <w:r w:rsidR="00012073" w:rsidRPr="0029270A">
        <w:rPr>
          <w:lang w:val="es-PA"/>
        </w:rPr>
        <w:t>2021</w:t>
      </w:r>
      <w:r w:rsidR="002D7F26" w:rsidRPr="0029270A">
        <w:rPr>
          <w:lang w:val="es-PA"/>
        </w:rPr>
        <w:t xml:space="preserve"> (párr</w:t>
      </w:r>
      <w:r w:rsidR="008B6E1E" w:rsidRPr="0029270A">
        <w:rPr>
          <w:lang w:val="es-PA"/>
        </w:rPr>
        <w:t>. 6)</w:t>
      </w:r>
      <w:r w:rsidR="00012073" w:rsidRPr="0029270A">
        <w:rPr>
          <w:lang w:val="es-PA"/>
        </w:rPr>
        <w:t>.</w:t>
      </w:r>
    </w:p>
    <w:p w14:paraId="36B1900A" w14:textId="56509DD6" w:rsidR="00012073" w:rsidRPr="00012073" w:rsidRDefault="00012073" w:rsidP="006925DE">
      <w:pPr>
        <w:pStyle w:val="H1G"/>
        <w:rPr>
          <w:b w:val="0"/>
          <w:bCs w:val="0"/>
          <w:lang w:val="es-PA"/>
        </w:rPr>
      </w:pPr>
      <w:r w:rsidRPr="00012073">
        <w:rPr>
          <w:lang w:val="es-PA"/>
        </w:rPr>
        <w:tab/>
      </w:r>
      <w:r w:rsidR="009A4AF1">
        <w:rPr>
          <w:lang w:val="es-PA"/>
        </w:rPr>
        <w:t>B</w:t>
      </w:r>
      <w:r w:rsidRPr="00012073">
        <w:rPr>
          <w:lang w:val="es-PA"/>
        </w:rPr>
        <w:t>.</w:t>
      </w:r>
      <w:r w:rsidRPr="00012073">
        <w:rPr>
          <w:lang w:val="es-PA"/>
        </w:rPr>
        <w:tab/>
        <w:t xml:space="preserve">Justicia y rendición de cuentas </w:t>
      </w:r>
    </w:p>
    <w:p w14:paraId="54EFA068" w14:textId="454F2762"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23.</w:t>
      </w:r>
      <w:r w:rsidRPr="00012073">
        <w:rPr>
          <w:lang w:val="es-PA"/>
        </w:rPr>
        <w:tab/>
      </w:r>
      <w:r w:rsidR="00012073" w:rsidRPr="00012073">
        <w:rPr>
          <w:lang w:val="es-PA"/>
        </w:rPr>
        <w:t xml:space="preserve">En su informe de 2018, </w:t>
      </w:r>
      <w:r w:rsidR="00344E84">
        <w:rPr>
          <w:lang w:val="es-PA"/>
        </w:rPr>
        <w:t xml:space="preserve">el </w:t>
      </w:r>
      <w:r w:rsidR="00012073" w:rsidRPr="00012073">
        <w:rPr>
          <w:lang w:val="es-PA"/>
        </w:rPr>
        <w:t xml:space="preserve">ACNUDH </w:t>
      </w:r>
      <w:r w:rsidR="00012073" w:rsidRPr="00C34BE1">
        <w:rPr>
          <w:lang w:val="es-PA"/>
        </w:rPr>
        <w:t>recomendó a Nicaragua</w:t>
      </w:r>
      <w:r w:rsidR="00012073" w:rsidRPr="00012073">
        <w:rPr>
          <w:lang w:val="es-PA"/>
        </w:rPr>
        <w:t xml:space="preserve"> “[a]</w:t>
      </w:r>
      <w:proofErr w:type="spellStart"/>
      <w:r w:rsidR="00012073" w:rsidRPr="00012073">
        <w:rPr>
          <w:lang w:val="es-PA"/>
        </w:rPr>
        <w:t>segurar</w:t>
      </w:r>
      <w:proofErr w:type="spellEnd"/>
      <w:r w:rsidR="00012073" w:rsidRPr="00012073">
        <w:rPr>
          <w:lang w:val="es-PA"/>
        </w:rPr>
        <w:t xml:space="preserve"> que se realicen prontamente investigaciones independientes, imparciales, efectivas, completas y </w:t>
      </w:r>
      <w:r w:rsidR="00012073" w:rsidRPr="00012073">
        <w:rPr>
          <w:lang w:val="es-PA"/>
        </w:rPr>
        <w:lastRenderedPageBreak/>
        <w:t>transparentes en relación con todas las denuncias de serias violaciones a los derechos humanos y abusos que han ocurrido desde el 18 de abril […]”</w:t>
      </w:r>
      <w:r w:rsidR="00012073" w:rsidRPr="006F3262">
        <w:rPr>
          <w:rStyle w:val="FootnoteReference"/>
        </w:rPr>
        <w:footnoteReference w:id="38"/>
      </w:r>
      <w:r w:rsidR="00012073" w:rsidRPr="00012073">
        <w:rPr>
          <w:lang w:val="es-PA"/>
        </w:rPr>
        <w:t>.</w:t>
      </w:r>
    </w:p>
    <w:p w14:paraId="07E98848" w14:textId="3534CAA7"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24.</w:t>
      </w:r>
      <w:r w:rsidRPr="00012073">
        <w:rPr>
          <w:lang w:val="es-PA"/>
        </w:rPr>
        <w:tab/>
      </w:r>
      <w:r w:rsidR="00012073" w:rsidRPr="00012073">
        <w:rPr>
          <w:lang w:val="es-PA"/>
        </w:rPr>
        <w:t>El 29 de abril de 2018, sin la participación de la sociedad civil ni de las víctimas, la Asamblea Nacional creó la Comisión de la Verdad, Justicia y Paz. Esta instancia fue cuestionada por actores locales por su falta de independencia y credibilidad</w:t>
      </w:r>
      <w:r w:rsidR="00012073" w:rsidRPr="006F3262">
        <w:rPr>
          <w:rStyle w:val="FootnoteReference"/>
        </w:rPr>
        <w:footnoteReference w:id="39"/>
      </w:r>
      <w:r w:rsidR="00012073" w:rsidRPr="00012073">
        <w:rPr>
          <w:lang w:val="es-PA"/>
        </w:rPr>
        <w:t xml:space="preserve">. En mayo de 2019, la Asamblea Nacional aprobó la </w:t>
      </w:r>
      <w:r w:rsidR="002D6A23">
        <w:rPr>
          <w:lang w:val="es-PA"/>
        </w:rPr>
        <w:t>Ley de Atención Integral a Víctimas</w:t>
      </w:r>
      <w:r w:rsidR="002D6A23" w:rsidRPr="00012073">
        <w:rPr>
          <w:lang w:val="es-PA"/>
        </w:rPr>
        <w:t xml:space="preserve"> </w:t>
      </w:r>
      <w:r w:rsidR="003C587E">
        <w:rPr>
          <w:lang w:val="es-PA"/>
        </w:rPr>
        <w:t>(</w:t>
      </w:r>
      <w:r w:rsidR="002D6A23" w:rsidRPr="00012073">
        <w:rPr>
          <w:lang w:val="es-PA"/>
        </w:rPr>
        <w:t xml:space="preserve">Ley </w:t>
      </w:r>
      <w:r w:rsidR="002D6A23">
        <w:rPr>
          <w:lang w:val="es-PA"/>
        </w:rPr>
        <w:t>núm. </w:t>
      </w:r>
      <w:r w:rsidR="002D6A23" w:rsidRPr="00012073">
        <w:rPr>
          <w:lang w:val="es-PA"/>
        </w:rPr>
        <w:t>994</w:t>
      </w:r>
      <w:r w:rsidR="003C587E">
        <w:rPr>
          <w:lang w:val="es-PA"/>
        </w:rPr>
        <w:t>)</w:t>
      </w:r>
      <w:r w:rsidR="00012073" w:rsidRPr="00012073">
        <w:rPr>
          <w:lang w:val="es-PA"/>
        </w:rPr>
        <w:t xml:space="preserve"> que dispuso que el Estado respondería por los daños causados a las “víctimas del golpe de Estado fallido”, excluyendo con ello a la población que fue víctima de las fuerzas de seguridad y elementos progubernamentales</w:t>
      </w:r>
      <w:r w:rsidR="00012073" w:rsidRPr="006F3262">
        <w:rPr>
          <w:rStyle w:val="FootnoteReference"/>
        </w:rPr>
        <w:footnoteReference w:id="40"/>
      </w:r>
      <w:r w:rsidR="00012073" w:rsidRPr="00012073">
        <w:rPr>
          <w:lang w:val="es-PA"/>
        </w:rPr>
        <w:t xml:space="preserve">. En junio se aprobó la Ley de Amnistía </w:t>
      </w:r>
      <w:r w:rsidR="00724F2D">
        <w:rPr>
          <w:lang w:val="es-PA"/>
        </w:rPr>
        <w:t>núm. </w:t>
      </w:r>
      <w:r w:rsidR="00012073" w:rsidRPr="00012073">
        <w:rPr>
          <w:lang w:val="es-PA"/>
        </w:rPr>
        <w:t>996 que, aunque permitió la liberación de 106 personas detenidas en conexión con las protestas, sin contemplar ninguna otra reparación, favoreció con la impunidad a actores estatales y no estatales que cometieron abusos y violaciones a los derechos humanos</w:t>
      </w:r>
      <w:r w:rsidR="00012073" w:rsidRPr="006F3262">
        <w:rPr>
          <w:rStyle w:val="FootnoteReference"/>
        </w:rPr>
        <w:footnoteReference w:id="41"/>
      </w:r>
      <w:r w:rsidR="00012073" w:rsidRPr="00012073">
        <w:rPr>
          <w:lang w:val="es-PA"/>
        </w:rPr>
        <w:t>.</w:t>
      </w:r>
    </w:p>
    <w:p w14:paraId="251DE51C" w14:textId="5979EAE2"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25.</w:t>
      </w:r>
      <w:r w:rsidRPr="00012073">
        <w:rPr>
          <w:lang w:val="es-PA"/>
        </w:rPr>
        <w:tab/>
      </w:r>
      <w:r w:rsidR="00012073" w:rsidRPr="00012073">
        <w:rPr>
          <w:lang w:val="es-PA"/>
        </w:rPr>
        <w:t xml:space="preserve">Las medidas adoptadas por el Estado fueron, en todo caso, insuficientes e impeditivas para la averiguación de la verdad, la consecución de la justicia, la adjudicación de responsabilidades y el otorgamiento de reparaciones. </w:t>
      </w:r>
      <w:r w:rsidR="009218D9">
        <w:rPr>
          <w:lang w:val="es-PA"/>
        </w:rPr>
        <w:t xml:space="preserve">El </w:t>
      </w:r>
      <w:r w:rsidR="00012073" w:rsidRPr="00012073">
        <w:rPr>
          <w:lang w:val="es-PA"/>
        </w:rPr>
        <w:t xml:space="preserve">ACNUDH recomendó al Estado la derogación de las Leyes </w:t>
      </w:r>
      <w:proofErr w:type="spellStart"/>
      <w:r w:rsidR="009218D9">
        <w:rPr>
          <w:lang w:val="es-PA"/>
        </w:rPr>
        <w:t>núms</w:t>
      </w:r>
      <w:proofErr w:type="spellEnd"/>
      <w:r w:rsidR="009218D9">
        <w:rPr>
          <w:lang w:val="es-PA"/>
        </w:rPr>
        <w:t xml:space="preserve">. </w:t>
      </w:r>
      <w:r w:rsidR="00012073" w:rsidRPr="00012073">
        <w:rPr>
          <w:lang w:val="es-PA"/>
        </w:rPr>
        <w:t>994 y 996, lo que no se ha cumplido; también recomendó, al igual que órganos internacionales y regionales de derechos humanos, que establezca un plan de acción integral orientado a la rendición de cuentas que sea inclusivo y se centre en las víctimas</w:t>
      </w:r>
      <w:r w:rsidR="00012073" w:rsidRPr="006F3262">
        <w:rPr>
          <w:rStyle w:val="FootnoteReference"/>
        </w:rPr>
        <w:footnoteReference w:id="42"/>
      </w:r>
      <w:r w:rsidR="00012073" w:rsidRPr="00012073">
        <w:rPr>
          <w:lang w:val="es-PA"/>
        </w:rPr>
        <w:t xml:space="preserve">. Durante el </w:t>
      </w:r>
      <w:r w:rsidR="00C05784">
        <w:rPr>
          <w:lang w:val="es-PA"/>
        </w:rPr>
        <w:t>e</w:t>
      </w:r>
      <w:r w:rsidR="00012073" w:rsidRPr="00012073">
        <w:rPr>
          <w:lang w:val="es-PA"/>
        </w:rPr>
        <w:t xml:space="preserve">xamen </w:t>
      </w:r>
      <w:r w:rsidR="00C05784">
        <w:rPr>
          <w:lang w:val="es-PA"/>
        </w:rPr>
        <w:t>p</w:t>
      </w:r>
      <w:r w:rsidR="00012073" w:rsidRPr="00012073">
        <w:rPr>
          <w:lang w:val="es-PA"/>
        </w:rPr>
        <w:t xml:space="preserve">eriódico </w:t>
      </w:r>
      <w:r w:rsidR="00C05784">
        <w:rPr>
          <w:lang w:val="es-PA"/>
        </w:rPr>
        <w:t>u</w:t>
      </w:r>
      <w:r w:rsidR="00012073" w:rsidRPr="00012073">
        <w:rPr>
          <w:lang w:val="es-PA"/>
        </w:rPr>
        <w:t>niversal, Nicaragua recibió 20 recomendaciones para implementar medidas sobre rendición de cuentas y reparaciones a las víctimas de violaciones de derechos humanos desde abril de 2018. El Gobierno no aceptó 16</w:t>
      </w:r>
      <w:r w:rsidR="00012073" w:rsidRPr="006F3262">
        <w:rPr>
          <w:rStyle w:val="FootnoteReference"/>
        </w:rPr>
        <w:footnoteReference w:id="43"/>
      </w:r>
      <w:r w:rsidR="00012073" w:rsidRPr="00012073">
        <w:rPr>
          <w:lang w:val="es-PA"/>
        </w:rPr>
        <w:t>, por considerar que distorsionaban la realidad, y aceptó cuatro</w:t>
      </w:r>
      <w:r w:rsidR="00012073" w:rsidRPr="006F3262">
        <w:rPr>
          <w:rStyle w:val="FootnoteReference"/>
        </w:rPr>
        <w:footnoteReference w:id="44"/>
      </w:r>
      <w:r w:rsidR="00012073" w:rsidRPr="00012073">
        <w:rPr>
          <w:lang w:val="es-PA"/>
        </w:rPr>
        <w:t>, aún por implementar.</w:t>
      </w:r>
    </w:p>
    <w:p w14:paraId="06EB2A6F" w14:textId="0C274475"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26.</w:t>
      </w:r>
      <w:r w:rsidRPr="00012073">
        <w:rPr>
          <w:lang w:val="es-PA"/>
        </w:rPr>
        <w:tab/>
      </w:r>
      <w:r w:rsidR="00F928CF">
        <w:rPr>
          <w:lang w:val="es-PA"/>
        </w:rPr>
        <w:t xml:space="preserve">El </w:t>
      </w:r>
      <w:r w:rsidR="00012073" w:rsidRPr="00012073">
        <w:rPr>
          <w:lang w:val="es-PA"/>
        </w:rPr>
        <w:t>ACNUDH no ha conocido ninguna condena contra miembros de las fuerzas de seguridad por las violaciones de derechos humanos ocurridas desde 2018, y solo ha podido documentar dos condenas contra elementos progubernamentales, que no llegaron a cumplirse</w:t>
      </w:r>
      <w:r w:rsidR="00012073" w:rsidRPr="006F3262">
        <w:rPr>
          <w:rStyle w:val="FootnoteReference"/>
        </w:rPr>
        <w:footnoteReference w:id="45"/>
      </w:r>
      <w:r w:rsidR="00012073" w:rsidRPr="00012073">
        <w:rPr>
          <w:lang w:val="es-PA"/>
        </w:rPr>
        <w:t xml:space="preserve">. En febrero de 2022, </w:t>
      </w:r>
      <w:r w:rsidR="00F928CF">
        <w:rPr>
          <w:lang w:val="es-PA"/>
        </w:rPr>
        <w:t xml:space="preserve">el </w:t>
      </w:r>
      <w:r w:rsidR="00012073" w:rsidRPr="00012073">
        <w:rPr>
          <w:lang w:val="es-PA"/>
        </w:rPr>
        <w:t>ACNUDH volvió a recomendar a Nicaragua que diseñe y aplique un plan de acción integral para la rendición de cuentas</w:t>
      </w:r>
      <w:r w:rsidR="00012073" w:rsidRPr="006F3262">
        <w:rPr>
          <w:rStyle w:val="FootnoteReference"/>
        </w:rPr>
        <w:footnoteReference w:id="46"/>
      </w:r>
      <w:r w:rsidR="00012073" w:rsidRPr="00012073">
        <w:rPr>
          <w:lang w:val="es-PA"/>
        </w:rPr>
        <w:t>. El Estado no ha informado sobre las medidas que habría adoptado para aplicar esta recomendación, y en el pasado ha invocado la Ley de Amnistía como impedimento para la rendición de cuentas</w:t>
      </w:r>
      <w:r w:rsidR="00012073" w:rsidRPr="006F3262">
        <w:rPr>
          <w:rStyle w:val="FootnoteReference"/>
        </w:rPr>
        <w:footnoteReference w:id="47"/>
      </w:r>
      <w:r w:rsidR="00012073" w:rsidRPr="00012073">
        <w:rPr>
          <w:lang w:val="es-PA"/>
        </w:rPr>
        <w:t>.</w:t>
      </w:r>
    </w:p>
    <w:p w14:paraId="06C78DD7" w14:textId="5E51662C" w:rsidR="00012073" w:rsidRPr="00012073" w:rsidRDefault="00012073" w:rsidP="006925DE">
      <w:pPr>
        <w:pStyle w:val="H1G"/>
        <w:rPr>
          <w:b w:val="0"/>
          <w:bCs w:val="0"/>
          <w:lang w:val="es-PA"/>
        </w:rPr>
      </w:pPr>
      <w:r w:rsidRPr="00012073">
        <w:rPr>
          <w:lang w:val="es-PA"/>
        </w:rPr>
        <w:tab/>
      </w:r>
      <w:r w:rsidR="009A4AF1">
        <w:rPr>
          <w:lang w:val="es-PA"/>
        </w:rPr>
        <w:t>C</w:t>
      </w:r>
      <w:r w:rsidRPr="00012073">
        <w:rPr>
          <w:lang w:val="es-PA"/>
        </w:rPr>
        <w:t>.</w:t>
      </w:r>
      <w:r w:rsidRPr="00012073">
        <w:rPr>
          <w:lang w:val="es-PA"/>
        </w:rPr>
        <w:tab/>
        <w:t>Reformas institucionales y legislativas</w:t>
      </w:r>
    </w:p>
    <w:p w14:paraId="30991659" w14:textId="49062787"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27.</w:t>
      </w:r>
      <w:r w:rsidRPr="00012073">
        <w:rPr>
          <w:lang w:val="es-PA"/>
        </w:rPr>
        <w:tab/>
      </w:r>
      <w:r w:rsidR="00F928CF">
        <w:rPr>
          <w:lang w:val="es-PA"/>
        </w:rPr>
        <w:t xml:space="preserve">El </w:t>
      </w:r>
      <w:r w:rsidR="00012073" w:rsidRPr="00012073">
        <w:rPr>
          <w:lang w:val="es-PA"/>
        </w:rPr>
        <w:t>ACNUDH ha recomendado a Nicaragua reformas legislativas e institucionales que fortalezcan entidades fundamentales para la democracia y los derechos humanos.</w:t>
      </w:r>
    </w:p>
    <w:p w14:paraId="7BFB125F" w14:textId="69324822"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28.</w:t>
      </w:r>
      <w:r w:rsidRPr="00012073">
        <w:rPr>
          <w:lang w:val="es-PA"/>
        </w:rPr>
        <w:tab/>
      </w:r>
      <w:r w:rsidR="00012073" w:rsidRPr="00012073">
        <w:rPr>
          <w:lang w:val="es-PA"/>
        </w:rPr>
        <w:t xml:space="preserve">En 2018, ante la insuficiente respuesta de la Procuraduría para la Defensa de los Derechos Humanos frente a las violaciones de derechos humanos, </w:t>
      </w:r>
      <w:r w:rsidR="00F928CF">
        <w:rPr>
          <w:lang w:val="es-PA"/>
        </w:rPr>
        <w:t xml:space="preserve">el </w:t>
      </w:r>
      <w:r w:rsidR="00012073" w:rsidRPr="00012073">
        <w:rPr>
          <w:lang w:val="es-PA"/>
        </w:rPr>
        <w:t>ACNUDH le recomendó que cumpliera adecuadamente y con independencia su mandato como institución nacional de derechos humanos y como mecanismo nacional de prevención de la tortura</w:t>
      </w:r>
      <w:r w:rsidR="00012073" w:rsidRPr="006F3262">
        <w:rPr>
          <w:rStyle w:val="FootnoteReference"/>
        </w:rPr>
        <w:footnoteReference w:id="48"/>
      </w:r>
      <w:r w:rsidR="00012073" w:rsidRPr="00012073">
        <w:rPr>
          <w:lang w:val="es-PA"/>
        </w:rPr>
        <w:t xml:space="preserve">. En 2019, la Alianza Global de las Instituciones Nacionales de Derechos Humanos le rebajó la </w:t>
      </w:r>
      <w:r w:rsidR="00932447">
        <w:rPr>
          <w:lang w:val="es-PA"/>
        </w:rPr>
        <w:lastRenderedPageBreak/>
        <w:t>clase</w:t>
      </w:r>
      <w:r w:rsidR="00932447" w:rsidRPr="00012073">
        <w:rPr>
          <w:lang w:val="es-PA"/>
        </w:rPr>
        <w:t xml:space="preserve"> </w:t>
      </w:r>
      <w:r w:rsidR="00012073" w:rsidRPr="00012073">
        <w:rPr>
          <w:lang w:val="es-PA"/>
        </w:rPr>
        <w:t>de “A” a “B” por no conducirse con independencia según los</w:t>
      </w:r>
      <w:r w:rsidR="00F928CF">
        <w:rPr>
          <w:lang w:val="es-PA"/>
        </w:rPr>
        <w:t xml:space="preserve"> </w:t>
      </w:r>
      <w:r w:rsidR="00F928CF" w:rsidRPr="00F928CF">
        <w:rPr>
          <w:lang w:val="es-PA"/>
        </w:rPr>
        <w:t>principios relativos al estatuto de las instituciones nacionales de promoción y protección de los derechos humanos</w:t>
      </w:r>
      <w:r w:rsidR="00012073" w:rsidRPr="00012073">
        <w:rPr>
          <w:lang w:val="es-PA"/>
        </w:rPr>
        <w:t xml:space="preserve"> </w:t>
      </w:r>
      <w:r w:rsidR="00F928CF">
        <w:rPr>
          <w:lang w:val="es-PA"/>
        </w:rPr>
        <w:t>(</w:t>
      </w:r>
      <w:r w:rsidR="00012073" w:rsidRPr="00012073">
        <w:rPr>
          <w:lang w:val="es-PA"/>
        </w:rPr>
        <w:t>Principios de París</w:t>
      </w:r>
      <w:r w:rsidR="00F928CF">
        <w:rPr>
          <w:lang w:val="es-PA"/>
        </w:rPr>
        <w:t>)</w:t>
      </w:r>
      <w:r w:rsidR="00012073" w:rsidRPr="006F3262">
        <w:rPr>
          <w:rStyle w:val="FootnoteReference"/>
        </w:rPr>
        <w:footnoteReference w:id="49"/>
      </w:r>
      <w:r w:rsidR="00012073" w:rsidRPr="00012073">
        <w:rPr>
          <w:lang w:val="es-PA"/>
        </w:rPr>
        <w:t>. Posteriores recomendaciones</w:t>
      </w:r>
      <w:r w:rsidR="00012073" w:rsidRPr="006F3262">
        <w:rPr>
          <w:rStyle w:val="FootnoteReference"/>
        </w:rPr>
        <w:footnoteReference w:id="50"/>
      </w:r>
      <w:r w:rsidR="00012073" w:rsidRPr="00012073">
        <w:rPr>
          <w:lang w:val="es-PA"/>
        </w:rPr>
        <w:t xml:space="preserve"> para que la Procuraduría fortaleciera su independencia no fueron implementadas.</w:t>
      </w:r>
    </w:p>
    <w:p w14:paraId="69FCAFA2" w14:textId="46F968B2"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29.</w:t>
      </w:r>
      <w:r w:rsidRPr="00012073">
        <w:rPr>
          <w:lang w:val="es-PA"/>
        </w:rPr>
        <w:tab/>
      </w:r>
      <w:r w:rsidR="00012073" w:rsidRPr="00012073">
        <w:rPr>
          <w:lang w:val="es-PA"/>
        </w:rPr>
        <w:t xml:space="preserve">Desde 2019, </w:t>
      </w:r>
      <w:r w:rsidR="00F928CF">
        <w:rPr>
          <w:lang w:val="es-PA"/>
        </w:rPr>
        <w:t xml:space="preserve">el </w:t>
      </w:r>
      <w:r w:rsidR="00012073" w:rsidRPr="00012073">
        <w:rPr>
          <w:lang w:val="es-PA"/>
        </w:rPr>
        <w:t>ACNUDH ha recomendado al Estado realizar una reforma integral del sector</w:t>
      </w:r>
      <w:r w:rsidR="000D46D8">
        <w:rPr>
          <w:lang w:val="es-PA"/>
        </w:rPr>
        <w:t xml:space="preserve"> de la</w:t>
      </w:r>
      <w:r w:rsidR="00012073" w:rsidRPr="00012073">
        <w:rPr>
          <w:lang w:val="es-PA"/>
        </w:rPr>
        <w:t xml:space="preserve"> seguridad</w:t>
      </w:r>
      <w:r w:rsidR="00012073" w:rsidRPr="006F3262">
        <w:rPr>
          <w:rStyle w:val="FootnoteReference"/>
        </w:rPr>
        <w:footnoteReference w:id="51"/>
      </w:r>
      <w:r w:rsidR="00012073" w:rsidRPr="00012073">
        <w:rPr>
          <w:lang w:val="es-PA"/>
        </w:rPr>
        <w:t>, especialmente con el fin de desarticular y desarmar a elementos progubernamentales</w:t>
      </w:r>
      <w:r w:rsidR="00012073" w:rsidRPr="006F3262">
        <w:rPr>
          <w:rStyle w:val="FootnoteReference"/>
        </w:rPr>
        <w:footnoteReference w:id="52"/>
      </w:r>
      <w:r w:rsidR="00012073" w:rsidRPr="00012073">
        <w:rPr>
          <w:lang w:val="es-PA"/>
        </w:rPr>
        <w:t xml:space="preserve">. La reforma no se ha llevado a cabo y </w:t>
      </w:r>
      <w:r w:rsidR="00F928CF">
        <w:rPr>
          <w:lang w:val="es-PA"/>
        </w:rPr>
        <w:t xml:space="preserve">el </w:t>
      </w:r>
      <w:r w:rsidR="00012073" w:rsidRPr="00012073">
        <w:rPr>
          <w:lang w:val="es-PA"/>
        </w:rPr>
        <w:t>ACNUDH no ha recibido información del Gobierno sobre acciones dirigidas a la desarticulación y desarme de estos grupos. Si bien entre 2021 y 2022 la Oficina no ha documentado ataques armados de estos elementos, sí ha recibido información de que continúan acosando a quienes consideran opositores o críticos del Gobierno.</w:t>
      </w:r>
    </w:p>
    <w:p w14:paraId="1DEAD410" w14:textId="1C215CFF"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30.</w:t>
      </w:r>
      <w:r w:rsidRPr="00012073">
        <w:rPr>
          <w:lang w:val="es-PA"/>
        </w:rPr>
        <w:tab/>
      </w:r>
      <w:r w:rsidR="00012073" w:rsidRPr="00012073">
        <w:rPr>
          <w:lang w:val="es-PA"/>
        </w:rPr>
        <w:t xml:space="preserve">En 2019, frente a la falta de investigación de las graves violaciones de derechos humanos, </w:t>
      </w:r>
      <w:r w:rsidR="000163EA">
        <w:rPr>
          <w:lang w:val="es-PA"/>
        </w:rPr>
        <w:t xml:space="preserve">el </w:t>
      </w:r>
      <w:r w:rsidR="00012073" w:rsidRPr="00012073">
        <w:rPr>
          <w:lang w:val="es-PA"/>
        </w:rPr>
        <w:t xml:space="preserve">ACNUDH recomendó al Estado crear una unidad especial dentro del Ministerio Público para cumplir dicha obligación. También le recomendó introducir reformas en el sector </w:t>
      </w:r>
      <w:r w:rsidR="000163EA">
        <w:rPr>
          <w:lang w:val="es-PA"/>
        </w:rPr>
        <w:t xml:space="preserve">de la </w:t>
      </w:r>
      <w:r w:rsidR="00012073" w:rsidRPr="00012073">
        <w:rPr>
          <w:lang w:val="es-PA"/>
        </w:rPr>
        <w:t xml:space="preserve">justicia, en consonancia con los Principios Básicos </w:t>
      </w:r>
      <w:r w:rsidR="002A49E9">
        <w:rPr>
          <w:lang w:val="es-PA"/>
        </w:rPr>
        <w:t>r</w:t>
      </w:r>
      <w:r w:rsidR="00012073" w:rsidRPr="00012073">
        <w:rPr>
          <w:lang w:val="es-PA"/>
        </w:rPr>
        <w:t>elativos a la Independencia de la Judicatura y las Directrices sobre la Función de los Fiscales</w:t>
      </w:r>
      <w:r w:rsidR="00012073" w:rsidRPr="006F3262">
        <w:rPr>
          <w:rStyle w:val="FootnoteReference"/>
        </w:rPr>
        <w:footnoteReference w:id="53"/>
      </w:r>
      <w:r w:rsidR="00012073" w:rsidRPr="00012073">
        <w:rPr>
          <w:lang w:val="es-PA"/>
        </w:rPr>
        <w:t>, recomendación reiterada en 2022</w:t>
      </w:r>
      <w:r w:rsidR="00012073" w:rsidRPr="006F3262">
        <w:rPr>
          <w:rStyle w:val="FootnoteReference"/>
        </w:rPr>
        <w:footnoteReference w:id="54"/>
      </w:r>
      <w:r w:rsidR="00012073" w:rsidRPr="00012073">
        <w:rPr>
          <w:lang w:val="es-PA"/>
        </w:rPr>
        <w:t xml:space="preserve">. Sin embargo, </w:t>
      </w:r>
      <w:r w:rsidR="00534683">
        <w:rPr>
          <w:lang w:val="es-PA"/>
        </w:rPr>
        <w:t xml:space="preserve">el </w:t>
      </w:r>
      <w:r w:rsidR="00012073" w:rsidRPr="00012073">
        <w:rPr>
          <w:lang w:val="es-PA"/>
        </w:rPr>
        <w:t>ACNUDH no pudo constatar ni obtener información oficial sobre su implementación.</w:t>
      </w:r>
    </w:p>
    <w:p w14:paraId="54D6271A" w14:textId="6B4A4AB8"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31.</w:t>
      </w:r>
      <w:r w:rsidRPr="00012073">
        <w:rPr>
          <w:lang w:val="es-PA"/>
        </w:rPr>
        <w:tab/>
      </w:r>
      <w:r w:rsidR="00012073" w:rsidRPr="00012073">
        <w:rPr>
          <w:lang w:val="es-PA"/>
        </w:rPr>
        <w:t xml:space="preserve">En 2019 y 2021, </w:t>
      </w:r>
      <w:r w:rsidR="00893004">
        <w:rPr>
          <w:lang w:val="es-PA"/>
        </w:rPr>
        <w:t xml:space="preserve">el </w:t>
      </w:r>
      <w:r w:rsidR="00012073" w:rsidRPr="00012073">
        <w:rPr>
          <w:lang w:val="es-PA"/>
        </w:rPr>
        <w:t>ACNUDH recomendó a Nicaragua realizar reformas electorales para garantizar elecciones libres, justas y transparentes</w:t>
      </w:r>
      <w:r w:rsidR="00012073" w:rsidRPr="006F3262">
        <w:rPr>
          <w:rStyle w:val="FootnoteReference"/>
        </w:rPr>
        <w:footnoteReference w:id="55"/>
      </w:r>
      <w:r w:rsidR="00012073" w:rsidRPr="00012073">
        <w:rPr>
          <w:lang w:val="es-PA"/>
        </w:rPr>
        <w:t xml:space="preserve">. En mayo de 2021, la Asamblea Nacional adoptó la Ley </w:t>
      </w:r>
      <w:r w:rsidR="00893004">
        <w:rPr>
          <w:lang w:val="es-PA"/>
        </w:rPr>
        <w:t>núm. </w:t>
      </w:r>
      <w:r w:rsidR="00012073" w:rsidRPr="00012073">
        <w:rPr>
          <w:lang w:val="es-PA"/>
        </w:rPr>
        <w:t>1070</w:t>
      </w:r>
      <w:r w:rsidR="005769D2" w:rsidRPr="00A64748">
        <w:rPr>
          <w:rStyle w:val="FootnoteReference"/>
          <w:lang w:val="es-ES"/>
        </w:rPr>
        <w:t xml:space="preserve"> </w:t>
      </w:r>
      <w:r w:rsidR="005769D2">
        <w:rPr>
          <w:lang w:val="es-ES"/>
        </w:rPr>
        <w:t>(párr. 7</w:t>
      </w:r>
      <w:r w:rsidR="00730A98">
        <w:rPr>
          <w:lang w:val="es-ES"/>
        </w:rPr>
        <w:t xml:space="preserve"> más arriba</w:t>
      </w:r>
      <w:r w:rsidR="005769D2">
        <w:rPr>
          <w:lang w:val="es-ES"/>
        </w:rPr>
        <w:t>)</w:t>
      </w:r>
      <w:r w:rsidR="005769D2" w:rsidRPr="00012073">
        <w:rPr>
          <w:lang w:val="es-PA"/>
        </w:rPr>
        <w:t xml:space="preserve">. </w:t>
      </w:r>
      <w:r w:rsidR="00012073" w:rsidRPr="00012073">
        <w:rPr>
          <w:lang w:val="es-PA"/>
        </w:rPr>
        <w:t>El 7 de noviembre de 2021 se realizaron las elecciones generales sin observación internacional independiente</w:t>
      </w:r>
      <w:r w:rsidR="00291DE9">
        <w:rPr>
          <w:lang w:val="es-PA"/>
        </w:rPr>
        <w:t>,</w:t>
      </w:r>
      <w:r w:rsidR="00012073" w:rsidRPr="00012073">
        <w:rPr>
          <w:lang w:val="es-PA"/>
        </w:rPr>
        <w:t xml:space="preserve"> sin la participación de tres partidos de oposición cancelados y </w:t>
      </w:r>
      <w:r w:rsidR="00291DE9">
        <w:rPr>
          <w:lang w:val="es-PA"/>
        </w:rPr>
        <w:t xml:space="preserve">con </w:t>
      </w:r>
      <w:r w:rsidR="00012073" w:rsidRPr="00012073">
        <w:rPr>
          <w:lang w:val="es-PA"/>
        </w:rPr>
        <w:t>siete aspirantes a la presidencia encarcelados antes de los comicios. La Asamblea General de la OEA determinó que las elecciones “no fueron libres, justas ni transparentes y [que] no t[</w:t>
      </w:r>
      <w:proofErr w:type="spellStart"/>
      <w:r w:rsidR="00012073" w:rsidRPr="00012073">
        <w:rPr>
          <w:lang w:val="es-PA"/>
        </w:rPr>
        <w:t>uvieron</w:t>
      </w:r>
      <w:proofErr w:type="spellEnd"/>
      <w:r w:rsidR="00012073" w:rsidRPr="00012073">
        <w:rPr>
          <w:lang w:val="es-PA"/>
        </w:rPr>
        <w:t>] legitimidad democrática”</w:t>
      </w:r>
      <w:r w:rsidR="00012073" w:rsidRPr="006F3262">
        <w:rPr>
          <w:rStyle w:val="FootnoteReference"/>
        </w:rPr>
        <w:footnoteReference w:id="56"/>
      </w:r>
      <w:r w:rsidR="00012073" w:rsidRPr="00012073">
        <w:rPr>
          <w:lang w:val="es-PA"/>
        </w:rPr>
        <w:t xml:space="preserve">. En marzo de 2022, </w:t>
      </w:r>
      <w:r w:rsidR="0002255A">
        <w:rPr>
          <w:lang w:val="es-PA"/>
        </w:rPr>
        <w:t xml:space="preserve">el </w:t>
      </w:r>
      <w:r w:rsidR="00012073" w:rsidRPr="00012073">
        <w:rPr>
          <w:lang w:val="es-PA"/>
        </w:rPr>
        <w:t>ACNUDH reiteró al Estado la recomendación de efectuar reformas en el organismo electoral, especialmente de cara a las próximas elecciones municipales de noviembre</w:t>
      </w:r>
      <w:r w:rsidR="00012073" w:rsidRPr="006F3262">
        <w:rPr>
          <w:rStyle w:val="FootnoteReference"/>
        </w:rPr>
        <w:footnoteReference w:id="57"/>
      </w:r>
      <w:r w:rsidR="00012073" w:rsidRPr="00012073">
        <w:rPr>
          <w:lang w:val="es-PA"/>
        </w:rPr>
        <w:t xml:space="preserve">. La Ley </w:t>
      </w:r>
      <w:r w:rsidR="0062181A">
        <w:rPr>
          <w:lang w:val="es-PA"/>
        </w:rPr>
        <w:t>núm. </w:t>
      </w:r>
      <w:r w:rsidR="00012073" w:rsidRPr="00012073">
        <w:rPr>
          <w:lang w:val="es-PA"/>
        </w:rPr>
        <w:t>1116 de reforma electoral adoptada en mayo de 2022 no da garantías para comicios justos y trasparentes</w:t>
      </w:r>
      <w:r w:rsidR="009722E5">
        <w:rPr>
          <w:lang w:val="es-PA"/>
        </w:rPr>
        <w:t xml:space="preserve"> (párr. 7)</w:t>
      </w:r>
      <w:r w:rsidR="00012073" w:rsidRPr="00012073">
        <w:rPr>
          <w:lang w:val="es-PA"/>
        </w:rPr>
        <w:t xml:space="preserve">. </w:t>
      </w:r>
    </w:p>
    <w:p w14:paraId="36A7009D" w14:textId="33269C63"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32.</w:t>
      </w:r>
      <w:r w:rsidRPr="00012073">
        <w:rPr>
          <w:lang w:val="es-PA"/>
        </w:rPr>
        <w:tab/>
      </w:r>
      <w:r w:rsidR="00012073" w:rsidRPr="00012073">
        <w:rPr>
          <w:lang w:val="es-PA"/>
        </w:rPr>
        <w:t xml:space="preserve">Sobre legislación penal, </w:t>
      </w:r>
      <w:r w:rsidR="009722E5">
        <w:rPr>
          <w:lang w:val="es-PA"/>
        </w:rPr>
        <w:t xml:space="preserve">el </w:t>
      </w:r>
      <w:r w:rsidR="00012073" w:rsidRPr="00012073">
        <w:rPr>
          <w:lang w:val="es-PA"/>
        </w:rPr>
        <w:t>ACNUDH recomendó modificaciones para garantizar que las detenciones, incautaciones y allanamientos sean precedidos de una orden judicial, y que la prisión preventiva proceda solo excepcionalmente conforme a criterios de necesidad y proporcionalidad</w:t>
      </w:r>
      <w:r w:rsidR="00012073" w:rsidRPr="006F3262">
        <w:rPr>
          <w:rStyle w:val="FootnoteReference"/>
        </w:rPr>
        <w:footnoteReference w:id="58"/>
      </w:r>
      <w:r w:rsidR="00012073" w:rsidRPr="00012073">
        <w:rPr>
          <w:lang w:val="es-PA"/>
        </w:rPr>
        <w:t xml:space="preserve">. La recomendación no fue acatada y en 2021 la Asamblea Nacional adoptó la </w:t>
      </w:r>
      <w:r w:rsidR="00102F1B" w:rsidRPr="00983F5F">
        <w:rPr>
          <w:lang w:val="es-PA"/>
        </w:rPr>
        <w:t>Ley de Reforma y Adición a la Ley 406, Código Procesal Penal</w:t>
      </w:r>
      <w:r w:rsidR="00102F1B">
        <w:rPr>
          <w:lang w:val="es-PA"/>
        </w:rPr>
        <w:t xml:space="preserve"> </w:t>
      </w:r>
      <w:r w:rsidR="00ED61F0">
        <w:rPr>
          <w:lang w:val="es-PA"/>
        </w:rPr>
        <w:t>(</w:t>
      </w:r>
      <w:r w:rsidR="00102F1B" w:rsidRPr="00012073">
        <w:rPr>
          <w:lang w:val="es-PA"/>
        </w:rPr>
        <w:t xml:space="preserve">Ley </w:t>
      </w:r>
      <w:r w:rsidR="00102F1B" w:rsidRPr="003E5CA4">
        <w:rPr>
          <w:lang w:val="es-PA"/>
        </w:rPr>
        <w:t>núm. 1060</w:t>
      </w:r>
      <w:r w:rsidR="00ED61F0" w:rsidRPr="00A64748">
        <w:rPr>
          <w:lang w:val="es-ES"/>
        </w:rPr>
        <w:t>)</w:t>
      </w:r>
      <w:r w:rsidR="00012073" w:rsidRPr="003E5CA4">
        <w:rPr>
          <w:lang w:val="es-PA"/>
        </w:rPr>
        <w:t>, que permite discrecionalmente la detención de una persona hasta por 90 días sin conocer los cargos en su contra</w:t>
      </w:r>
      <w:r w:rsidR="00012073" w:rsidRPr="003E5CA4">
        <w:rPr>
          <w:rStyle w:val="FootnoteReference"/>
        </w:rPr>
        <w:footnoteReference w:id="59"/>
      </w:r>
      <w:r w:rsidR="00012073" w:rsidRPr="003E5CA4">
        <w:rPr>
          <w:lang w:val="es-PA"/>
        </w:rPr>
        <w:t xml:space="preserve">. El Estado tampoco ha examinado la compatibilidad del artículo </w:t>
      </w:r>
      <w:r w:rsidR="006D7419" w:rsidRPr="00A64748">
        <w:rPr>
          <w:lang w:val="es-PA"/>
        </w:rPr>
        <w:t>5</w:t>
      </w:r>
      <w:r w:rsidR="00012073" w:rsidRPr="003E5CA4">
        <w:rPr>
          <w:lang w:val="es-PA"/>
        </w:rPr>
        <w:t>65 del Código Penal</w:t>
      </w:r>
      <w:r w:rsidR="00012073" w:rsidRPr="003E5CA4">
        <w:rPr>
          <w:rStyle w:val="FootnoteReference"/>
        </w:rPr>
        <w:footnoteReference w:id="60"/>
      </w:r>
      <w:r w:rsidR="00012073" w:rsidRPr="003E5CA4">
        <w:rPr>
          <w:lang w:val="es-PA"/>
        </w:rPr>
        <w:t>, que impone la prisión preventiva automática por ciertos delitos, con el artículo 9</w:t>
      </w:r>
      <w:r w:rsidR="008461D0" w:rsidRPr="003E5CA4">
        <w:rPr>
          <w:lang w:val="es-PA"/>
        </w:rPr>
        <w:t>, párrafo </w:t>
      </w:r>
      <w:r w:rsidR="00012073" w:rsidRPr="003E5CA4">
        <w:rPr>
          <w:lang w:val="es-PA"/>
        </w:rPr>
        <w:t>3</w:t>
      </w:r>
      <w:r w:rsidR="008461D0" w:rsidRPr="003E5CA4">
        <w:rPr>
          <w:lang w:val="es-PA"/>
        </w:rPr>
        <w:t>,</w:t>
      </w:r>
      <w:r w:rsidR="00012073" w:rsidRPr="003E5CA4">
        <w:rPr>
          <w:lang w:val="es-PA"/>
        </w:rPr>
        <w:t xml:space="preserve"> del Pacto Internacional de Derechos Civiles y Políticos, como le fue</w:t>
      </w:r>
      <w:r w:rsidR="00012073" w:rsidRPr="00012073">
        <w:rPr>
          <w:lang w:val="es-PA"/>
        </w:rPr>
        <w:t xml:space="preserve"> recomendado por el Grupo de Trabajo sobre la Detención Arbitraria</w:t>
      </w:r>
      <w:r w:rsidR="00012073" w:rsidRPr="006F3262">
        <w:rPr>
          <w:rStyle w:val="FootnoteReference"/>
        </w:rPr>
        <w:footnoteReference w:id="61"/>
      </w:r>
      <w:r w:rsidR="00012073" w:rsidRPr="00012073">
        <w:rPr>
          <w:lang w:val="es-PA"/>
        </w:rPr>
        <w:t xml:space="preserve">. La norma observada </w:t>
      </w:r>
      <w:r w:rsidR="00012073" w:rsidRPr="00012073">
        <w:rPr>
          <w:lang w:val="es-PA"/>
        </w:rPr>
        <w:lastRenderedPageBreak/>
        <w:t>sigue vigente en contra de estándares internacionales sobre la excepcionalidad de esta medida.</w:t>
      </w:r>
    </w:p>
    <w:p w14:paraId="3FCF5DA7" w14:textId="56270CE5"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33.</w:t>
      </w:r>
      <w:r w:rsidRPr="00012073">
        <w:rPr>
          <w:lang w:val="es-PA"/>
        </w:rPr>
        <w:tab/>
      </w:r>
      <w:r w:rsidR="00012073" w:rsidRPr="00012073">
        <w:rPr>
          <w:lang w:val="es-PA"/>
        </w:rPr>
        <w:t xml:space="preserve">En otros ámbitos, tampoco se aplicaron las recomendaciones dirigidas a modificar las leyes </w:t>
      </w:r>
      <w:proofErr w:type="spellStart"/>
      <w:r w:rsidR="00971FD6">
        <w:rPr>
          <w:lang w:val="es-PA"/>
        </w:rPr>
        <w:t>núms</w:t>
      </w:r>
      <w:proofErr w:type="spellEnd"/>
      <w:r w:rsidR="00971FD6">
        <w:rPr>
          <w:lang w:val="es-PA"/>
        </w:rPr>
        <w:t>. </w:t>
      </w:r>
      <w:r w:rsidR="00012073" w:rsidRPr="00012073">
        <w:rPr>
          <w:lang w:val="es-PA"/>
        </w:rPr>
        <w:t>872</w:t>
      </w:r>
      <w:r w:rsidR="001A2839">
        <w:rPr>
          <w:lang w:val="es-PA"/>
        </w:rPr>
        <w:t xml:space="preserve"> (párr. </w:t>
      </w:r>
      <w:r w:rsidR="001A2839" w:rsidRPr="00D758B4">
        <w:rPr>
          <w:lang w:val="es-PA"/>
        </w:rPr>
        <w:t>35</w:t>
      </w:r>
      <w:r w:rsidR="001A2839">
        <w:rPr>
          <w:lang w:val="es-PA"/>
        </w:rPr>
        <w:t>)</w:t>
      </w:r>
      <w:r w:rsidR="00012073" w:rsidRPr="00012073">
        <w:rPr>
          <w:lang w:val="es-PA"/>
        </w:rPr>
        <w:t>, 1040</w:t>
      </w:r>
      <w:r w:rsidR="001A2839">
        <w:rPr>
          <w:lang w:val="es-PA"/>
        </w:rPr>
        <w:t xml:space="preserve"> (párr. </w:t>
      </w:r>
      <w:r w:rsidR="001A2839" w:rsidRPr="00D758B4">
        <w:rPr>
          <w:lang w:val="es-PA"/>
        </w:rPr>
        <w:t>38</w:t>
      </w:r>
      <w:r w:rsidR="001A2839">
        <w:rPr>
          <w:lang w:val="es-PA"/>
        </w:rPr>
        <w:t>)</w:t>
      </w:r>
      <w:r w:rsidR="00012073" w:rsidRPr="00012073">
        <w:rPr>
          <w:lang w:val="es-PA"/>
        </w:rPr>
        <w:t>, 1042</w:t>
      </w:r>
      <w:r w:rsidR="001A2839">
        <w:rPr>
          <w:lang w:val="es-PA"/>
        </w:rPr>
        <w:t xml:space="preserve"> (párr. 40) </w:t>
      </w:r>
      <w:r w:rsidR="00012073" w:rsidRPr="00012073">
        <w:rPr>
          <w:lang w:val="es-PA"/>
        </w:rPr>
        <w:t>y 1055</w:t>
      </w:r>
      <w:r w:rsidR="001A2839">
        <w:rPr>
          <w:rStyle w:val="FootnoteReference"/>
        </w:rPr>
        <w:t xml:space="preserve"> </w:t>
      </w:r>
      <w:r w:rsidR="001A2839">
        <w:t>(</w:t>
      </w:r>
      <w:proofErr w:type="spellStart"/>
      <w:r w:rsidR="001A2839">
        <w:t>párr</w:t>
      </w:r>
      <w:proofErr w:type="spellEnd"/>
      <w:r w:rsidR="001A2839">
        <w:t>. 40)</w:t>
      </w:r>
      <w:r w:rsidR="001A2839" w:rsidRPr="00012073">
        <w:rPr>
          <w:lang w:val="es-PA"/>
        </w:rPr>
        <w:t>.</w:t>
      </w:r>
    </w:p>
    <w:p w14:paraId="1148A89C" w14:textId="70E7C646" w:rsidR="00012073" w:rsidRPr="00EC3315" w:rsidRDefault="00012073" w:rsidP="006925DE">
      <w:pPr>
        <w:pStyle w:val="H1G"/>
        <w:rPr>
          <w:lang w:val="es-ES"/>
        </w:rPr>
      </w:pPr>
      <w:r w:rsidRPr="00EC3315">
        <w:rPr>
          <w:lang w:val="es-ES"/>
        </w:rPr>
        <w:tab/>
      </w:r>
      <w:r w:rsidR="009A4AF1">
        <w:rPr>
          <w:lang w:val="es-ES"/>
        </w:rPr>
        <w:t>D</w:t>
      </w:r>
      <w:r w:rsidRPr="00EC3315">
        <w:rPr>
          <w:lang w:val="es-ES"/>
        </w:rPr>
        <w:t>.</w:t>
      </w:r>
      <w:r w:rsidRPr="00EC3315">
        <w:rPr>
          <w:lang w:val="es-ES"/>
        </w:rPr>
        <w:tab/>
        <w:t>Espacio cívico</w:t>
      </w:r>
    </w:p>
    <w:p w14:paraId="2B793374" w14:textId="592B1203" w:rsidR="00012073" w:rsidRPr="00A64748" w:rsidRDefault="00012073" w:rsidP="003157A8">
      <w:pPr>
        <w:pStyle w:val="H23G"/>
        <w:rPr>
          <w:rStyle w:val="FootnoteReference"/>
          <w:sz w:val="20"/>
          <w:vertAlign w:val="baseline"/>
          <w:lang w:val="es-ES"/>
        </w:rPr>
      </w:pPr>
      <w:r w:rsidRPr="009A4AF1">
        <w:rPr>
          <w:rStyle w:val="FootnoteReference"/>
          <w:b w:val="0"/>
          <w:i/>
          <w:vertAlign w:val="baseline"/>
        </w:rPr>
        <w:tab/>
      </w:r>
      <w:r w:rsidR="005F6934">
        <w:t>1.</w:t>
      </w:r>
      <w:r w:rsidRPr="00A64748">
        <w:rPr>
          <w:rStyle w:val="FootnoteReference"/>
          <w:vertAlign w:val="baseline"/>
        </w:rPr>
        <w:tab/>
        <w:t>Libertad de reunión pacífica</w:t>
      </w:r>
    </w:p>
    <w:p w14:paraId="63B7A741" w14:textId="3600C234"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34.</w:t>
      </w:r>
      <w:r w:rsidRPr="00012073">
        <w:rPr>
          <w:lang w:val="es-PA"/>
        </w:rPr>
        <w:tab/>
      </w:r>
      <w:r w:rsidR="00012073" w:rsidRPr="00012073">
        <w:rPr>
          <w:lang w:val="es-PA"/>
        </w:rPr>
        <w:t xml:space="preserve">En agosto de 2018, </w:t>
      </w:r>
      <w:r w:rsidR="00971FD6">
        <w:rPr>
          <w:lang w:val="es-PA"/>
        </w:rPr>
        <w:t xml:space="preserve">el </w:t>
      </w:r>
      <w:r w:rsidR="00012073" w:rsidRPr="00012073">
        <w:rPr>
          <w:lang w:val="es-PA"/>
        </w:rPr>
        <w:t>ACNUDH recomendó al Estado que “[a]</w:t>
      </w:r>
      <w:proofErr w:type="spellStart"/>
      <w:r w:rsidR="00012073" w:rsidRPr="00012073">
        <w:rPr>
          <w:lang w:val="es-PA"/>
        </w:rPr>
        <w:t>segurar</w:t>
      </w:r>
      <w:proofErr w:type="spellEnd"/>
      <w:r w:rsidR="00012073" w:rsidRPr="00012073">
        <w:rPr>
          <w:lang w:val="es-PA"/>
        </w:rPr>
        <w:t xml:space="preserve">[a] que el derecho a la libertad de reunión pacífica </w:t>
      </w:r>
      <w:r w:rsidR="00AB17E0">
        <w:rPr>
          <w:lang w:val="es-PA"/>
        </w:rPr>
        <w:t>[fuera]</w:t>
      </w:r>
      <w:r w:rsidR="00AB17E0" w:rsidRPr="00012073">
        <w:rPr>
          <w:lang w:val="es-PA"/>
        </w:rPr>
        <w:t xml:space="preserve"> </w:t>
      </w:r>
      <w:r w:rsidR="00012073" w:rsidRPr="00012073">
        <w:rPr>
          <w:lang w:val="es-PA"/>
        </w:rPr>
        <w:t>plenamente respetado a través del debido control de las manifestaciones públicas, de conformidad con los estándares y normas internacionales”</w:t>
      </w:r>
      <w:r w:rsidR="00012073" w:rsidRPr="006F3262">
        <w:rPr>
          <w:rStyle w:val="FootnoteReference"/>
        </w:rPr>
        <w:footnoteReference w:id="62"/>
      </w:r>
      <w:r w:rsidR="00012073" w:rsidRPr="00012073">
        <w:rPr>
          <w:lang w:val="es-PA"/>
        </w:rPr>
        <w:t xml:space="preserve">. Sin embargo, las manifestaciones contra el Gobierno y en demanda de la liberación de las personas detenidas continuaron siendo reprimidas con uso excesivo de la fuerza por </w:t>
      </w:r>
      <w:r w:rsidR="00012073" w:rsidRPr="003E5CA4">
        <w:rPr>
          <w:lang w:val="es-PA"/>
        </w:rPr>
        <w:t xml:space="preserve">parte de la </w:t>
      </w:r>
      <w:r w:rsidR="00F82FFD" w:rsidRPr="003E5CA4">
        <w:rPr>
          <w:lang w:val="es-PA"/>
        </w:rPr>
        <w:t>P</w:t>
      </w:r>
      <w:r w:rsidR="00012073" w:rsidRPr="003E5CA4">
        <w:rPr>
          <w:lang w:val="es-PA"/>
        </w:rPr>
        <w:t xml:space="preserve">olicía, o atacadas por elementos progubernamentales con la </w:t>
      </w:r>
      <w:r w:rsidR="003E5CA4" w:rsidRPr="00A64748">
        <w:rPr>
          <w:lang w:val="es-ES"/>
        </w:rPr>
        <w:t>aquiescencia</w:t>
      </w:r>
      <w:r w:rsidR="003E5CA4" w:rsidRPr="003E5CA4">
        <w:rPr>
          <w:lang w:val="es-PA"/>
        </w:rPr>
        <w:t xml:space="preserve"> </w:t>
      </w:r>
      <w:r w:rsidR="00012073" w:rsidRPr="003E5CA4">
        <w:rPr>
          <w:lang w:val="es-PA"/>
        </w:rPr>
        <w:t>de las</w:t>
      </w:r>
      <w:r w:rsidR="00012073" w:rsidRPr="00012073">
        <w:rPr>
          <w:lang w:val="es-PA"/>
        </w:rPr>
        <w:t xml:space="preserve"> fuerzas de seguridad</w:t>
      </w:r>
      <w:r w:rsidR="00012073" w:rsidRPr="006F3262">
        <w:rPr>
          <w:rStyle w:val="FootnoteReference"/>
        </w:rPr>
        <w:footnoteReference w:id="63"/>
      </w:r>
      <w:r w:rsidR="00012073" w:rsidRPr="00012073">
        <w:rPr>
          <w:lang w:val="es-PA"/>
        </w:rPr>
        <w:t>.</w:t>
      </w:r>
    </w:p>
    <w:p w14:paraId="179858B5" w14:textId="03A04196"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35.</w:t>
      </w:r>
      <w:r w:rsidRPr="00012073">
        <w:rPr>
          <w:lang w:val="es-PA"/>
        </w:rPr>
        <w:tab/>
      </w:r>
      <w:r w:rsidR="003F7A7D">
        <w:rPr>
          <w:lang w:val="es-PA"/>
        </w:rPr>
        <w:t>Desde</w:t>
      </w:r>
      <w:r w:rsidR="00012073" w:rsidRPr="00012073">
        <w:rPr>
          <w:lang w:val="es-PA"/>
        </w:rPr>
        <w:t xml:space="preserve"> septiembre de 2018, con base en una interpretación restringida del artículo</w:t>
      </w:r>
      <w:r w:rsidR="00DD74F6">
        <w:rPr>
          <w:lang w:val="es-PA"/>
        </w:rPr>
        <w:t> </w:t>
      </w:r>
      <w:r w:rsidR="00012073" w:rsidRPr="00012073">
        <w:rPr>
          <w:lang w:val="es-PA"/>
        </w:rPr>
        <w:t xml:space="preserve">7 de la </w:t>
      </w:r>
      <w:r w:rsidR="00036913" w:rsidRPr="00983F5F">
        <w:rPr>
          <w:lang w:val="es-PA"/>
        </w:rPr>
        <w:t>Ley de Organización, Funciones, Carrera y Régimen Especial de Seguridad Social de la Policía Nacional</w:t>
      </w:r>
      <w:r w:rsidR="00036913" w:rsidRPr="00012073">
        <w:rPr>
          <w:lang w:val="es-PA"/>
        </w:rPr>
        <w:t xml:space="preserve"> </w:t>
      </w:r>
      <w:r w:rsidR="00036913">
        <w:rPr>
          <w:lang w:val="es-PA"/>
        </w:rPr>
        <w:t>(</w:t>
      </w:r>
      <w:r w:rsidR="00012073" w:rsidRPr="00012073">
        <w:rPr>
          <w:lang w:val="es-PA"/>
        </w:rPr>
        <w:t xml:space="preserve">Ley </w:t>
      </w:r>
      <w:r w:rsidR="002A6999">
        <w:rPr>
          <w:lang w:val="es-PA"/>
        </w:rPr>
        <w:t>núm. </w:t>
      </w:r>
      <w:r w:rsidR="00012073" w:rsidRPr="00012073">
        <w:rPr>
          <w:lang w:val="es-PA"/>
        </w:rPr>
        <w:t>872</w:t>
      </w:r>
      <w:r w:rsidR="00036913">
        <w:rPr>
          <w:lang w:val="es-PA"/>
        </w:rPr>
        <w:t>)</w:t>
      </w:r>
      <w:r w:rsidR="00012073" w:rsidRPr="00012073">
        <w:rPr>
          <w:lang w:val="es-PA"/>
        </w:rPr>
        <w:t xml:space="preserve">, la </w:t>
      </w:r>
      <w:r w:rsidR="003F5EAB">
        <w:rPr>
          <w:lang w:val="es-PA"/>
        </w:rPr>
        <w:t>P</w:t>
      </w:r>
      <w:r w:rsidR="00012073" w:rsidRPr="00012073">
        <w:rPr>
          <w:lang w:val="es-PA"/>
        </w:rPr>
        <w:t>olicía ha prohibido manifestaciones y exigido solicitudes para autorizar concentraciones públicas</w:t>
      </w:r>
      <w:r w:rsidR="00012073" w:rsidRPr="006F3262">
        <w:rPr>
          <w:rStyle w:val="FootnoteReference"/>
        </w:rPr>
        <w:footnoteReference w:id="64"/>
      </w:r>
      <w:r w:rsidR="00012073" w:rsidRPr="00012073">
        <w:rPr>
          <w:lang w:val="es-PA"/>
        </w:rPr>
        <w:t xml:space="preserve">. Las comunicaciones y solicitudes de manifestaciones </w:t>
      </w:r>
      <w:r w:rsidR="00D9423D">
        <w:rPr>
          <w:lang w:val="es-PA"/>
        </w:rPr>
        <w:t>presentad</w:t>
      </w:r>
      <w:r w:rsidR="00C96250">
        <w:rPr>
          <w:lang w:val="es-PA"/>
        </w:rPr>
        <w:t>a</w:t>
      </w:r>
      <w:r w:rsidR="00D9423D">
        <w:rPr>
          <w:lang w:val="es-PA"/>
        </w:rPr>
        <w:t>s por</w:t>
      </w:r>
      <w:r w:rsidR="006C1924">
        <w:rPr>
          <w:lang w:val="es-PA"/>
        </w:rPr>
        <w:t xml:space="preserve"> los que </w:t>
      </w:r>
      <w:r w:rsidR="00012073" w:rsidRPr="00012073">
        <w:rPr>
          <w:lang w:val="es-PA"/>
        </w:rPr>
        <w:t xml:space="preserve">la </w:t>
      </w:r>
      <w:r w:rsidR="006C1924">
        <w:rPr>
          <w:lang w:val="es-PA"/>
        </w:rPr>
        <w:t>P</w:t>
      </w:r>
      <w:r w:rsidR="00012073" w:rsidRPr="00012073">
        <w:rPr>
          <w:lang w:val="es-PA"/>
        </w:rPr>
        <w:t>olicía percibía como opositores</w:t>
      </w:r>
      <w:r w:rsidR="006C1924" w:rsidRPr="006C1924">
        <w:rPr>
          <w:lang w:val="es-PA"/>
        </w:rPr>
        <w:t xml:space="preserve"> </w:t>
      </w:r>
      <w:r w:rsidR="006C1924" w:rsidRPr="00012073">
        <w:rPr>
          <w:lang w:val="es-PA"/>
        </w:rPr>
        <w:t>fueron rechazadas automáticamente o no fueron recibidas</w:t>
      </w:r>
      <w:r w:rsidR="00012073" w:rsidRPr="00012073">
        <w:rPr>
          <w:lang w:val="es-PA"/>
        </w:rPr>
        <w:t>. Cualquier protesta no autorizada, o intento de llevarse a cabo, fue inmediatamente disipada o impedida.</w:t>
      </w:r>
    </w:p>
    <w:p w14:paraId="4A8FE767" w14:textId="044FC75F"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36.</w:t>
      </w:r>
      <w:r w:rsidRPr="00012073">
        <w:rPr>
          <w:lang w:val="es-PA"/>
        </w:rPr>
        <w:tab/>
      </w:r>
      <w:r w:rsidR="00012073" w:rsidRPr="00012073">
        <w:rPr>
          <w:lang w:val="es-PA"/>
        </w:rPr>
        <w:t xml:space="preserve">Desde 2019, </w:t>
      </w:r>
      <w:r w:rsidR="002A6999">
        <w:rPr>
          <w:lang w:val="es-PA"/>
        </w:rPr>
        <w:t xml:space="preserve">el </w:t>
      </w:r>
      <w:r w:rsidR="00012073" w:rsidRPr="00012073">
        <w:rPr>
          <w:lang w:val="es-PA"/>
        </w:rPr>
        <w:t>ACNUDH recomendó al Gobierno garantizar el derecho de reunión pacífica</w:t>
      </w:r>
      <w:r w:rsidR="00012073" w:rsidRPr="006F3262">
        <w:rPr>
          <w:rStyle w:val="FootnoteReference"/>
        </w:rPr>
        <w:footnoteReference w:id="65"/>
      </w:r>
      <w:r w:rsidR="00012073" w:rsidRPr="00012073">
        <w:rPr>
          <w:lang w:val="es-PA"/>
        </w:rPr>
        <w:t xml:space="preserve"> y poner fin a las restricciones indebidas a la libertad de circulación</w:t>
      </w:r>
      <w:r w:rsidR="00012073" w:rsidRPr="006F3262">
        <w:rPr>
          <w:rStyle w:val="FootnoteReference"/>
        </w:rPr>
        <w:footnoteReference w:id="66"/>
      </w:r>
      <w:r w:rsidR="00012073" w:rsidRPr="00012073">
        <w:rPr>
          <w:lang w:val="es-PA"/>
        </w:rPr>
        <w:t xml:space="preserve">. Durante el </w:t>
      </w:r>
      <w:r w:rsidR="004B16F2">
        <w:rPr>
          <w:lang w:val="es-PA"/>
        </w:rPr>
        <w:t>e</w:t>
      </w:r>
      <w:r w:rsidR="00012073" w:rsidRPr="00012073">
        <w:rPr>
          <w:lang w:val="es-PA"/>
        </w:rPr>
        <w:t xml:space="preserve">xamen </w:t>
      </w:r>
      <w:r w:rsidR="004B16F2">
        <w:rPr>
          <w:lang w:val="es-PA"/>
        </w:rPr>
        <w:t>p</w:t>
      </w:r>
      <w:r w:rsidR="00012073" w:rsidRPr="00012073">
        <w:rPr>
          <w:lang w:val="es-PA"/>
        </w:rPr>
        <w:t xml:space="preserve">eriódico </w:t>
      </w:r>
      <w:r w:rsidR="004B16F2">
        <w:rPr>
          <w:lang w:val="es-PA"/>
        </w:rPr>
        <w:t>u</w:t>
      </w:r>
      <w:r w:rsidR="00012073" w:rsidRPr="00012073">
        <w:rPr>
          <w:lang w:val="es-PA"/>
        </w:rPr>
        <w:t>niversal, Nicaragua recibió 26 recomendaciones para que garantizara este derecho y despenalizara el derecho a celebrar manifestaciones pacíficas</w:t>
      </w:r>
      <w:r w:rsidR="00012073" w:rsidRPr="006F3262">
        <w:rPr>
          <w:rStyle w:val="FootnoteReference"/>
        </w:rPr>
        <w:footnoteReference w:id="67"/>
      </w:r>
      <w:r w:rsidR="00012073" w:rsidRPr="00012073">
        <w:rPr>
          <w:lang w:val="es-PA"/>
        </w:rPr>
        <w:t xml:space="preserve">. A pesar </w:t>
      </w:r>
      <w:r w:rsidR="004B16F2">
        <w:rPr>
          <w:lang w:val="es-PA"/>
        </w:rPr>
        <w:t xml:space="preserve">de </w:t>
      </w:r>
      <w:r w:rsidR="00012073" w:rsidRPr="00012073">
        <w:rPr>
          <w:lang w:val="es-PA"/>
        </w:rPr>
        <w:t>aceptar diez de esas recomendaciones, el Gobierno ha mantenido las restricciones hasta la actualidad, de manera que en Nicaragua ya no se realizan protestas públicas contra el Gobierno.</w:t>
      </w:r>
    </w:p>
    <w:p w14:paraId="0DAD377B" w14:textId="711C58B5" w:rsidR="00012073" w:rsidRPr="009A4AF1" w:rsidRDefault="00012073" w:rsidP="006925DE">
      <w:pPr>
        <w:pStyle w:val="H23G"/>
        <w:rPr>
          <w:b w:val="0"/>
          <w:i/>
        </w:rPr>
      </w:pPr>
      <w:r w:rsidRPr="00012073">
        <w:tab/>
      </w:r>
      <w:r w:rsidR="005F6934">
        <w:t>2.</w:t>
      </w:r>
      <w:r w:rsidRPr="00A64748">
        <w:rPr>
          <w:rStyle w:val="FootnoteReference"/>
          <w:vertAlign w:val="baseline"/>
        </w:rPr>
        <w:tab/>
        <w:t>Libertad de asociación</w:t>
      </w:r>
    </w:p>
    <w:p w14:paraId="49363416" w14:textId="1C08451A"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37.</w:t>
      </w:r>
      <w:r w:rsidRPr="00012073">
        <w:rPr>
          <w:lang w:val="es-PA"/>
        </w:rPr>
        <w:tab/>
      </w:r>
      <w:r w:rsidR="00012073" w:rsidRPr="00012073">
        <w:rPr>
          <w:lang w:val="es-PA"/>
        </w:rPr>
        <w:t xml:space="preserve">El Estado ha clausurado organizaciones de la sociedad civil argumentando que habían apoyado acciones terroristas y/o incumplido deberes administrativos desde noviembre de 2018. En algunos casos, se hizo uso excesivo de la fuerza y </w:t>
      </w:r>
      <w:r w:rsidR="004B16F2">
        <w:rPr>
          <w:lang w:val="es-PA"/>
        </w:rPr>
        <w:t xml:space="preserve">se </w:t>
      </w:r>
      <w:r w:rsidR="00012073" w:rsidRPr="00012073">
        <w:rPr>
          <w:lang w:val="es-PA"/>
        </w:rPr>
        <w:t>realiz</w:t>
      </w:r>
      <w:r w:rsidR="004B16F2">
        <w:rPr>
          <w:lang w:val="es-PA"/>
        </w:rPr>
        <w:t>aron</w:t>
      </w:r>
      <w:r w:rsidR="00012073" w:rsidRPr="00012073">
        <w:rPr>
          <w:lang w:val="es-PA"/>
        </w:rPr>
        <w:t xml:space="preserve"> allanamientos en las organizaciones e incautaciones de sus bienes sin orden judicial</w:t>
      </w:r>
      <w:r w:rsidR="00012073" w:rsidRPr="006F3262">
        <w:rPr>
          <w:rStyle w:val="FootnoteReference"/>
        </w:rPr>
        <w:footnoteReference w:id="68"/>
      </w:r>
      <w:r w:rsidR="00012073" w:rsidRPr="00012073">
        <w:rPr>
          <w:lang w:val="es-PA"/>
        </w:rPr>
        <w:t>.</w:t>
      </w:r>
    </w:p>
    <w:p w14:paraId="3F7917FE" w14:textId="1B7614CA"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38.</w:t>
      </w:r>
      <w:r w:rsidRPr="00012073">
        <w:rPr>
          <w:lang w:val="es-PA"/>
        </w:rPr>
        <w:tab/>
      </w:r>
      <w:r w:rsidR="00012073" w:rsidRPr="00012073">
        <w:rPr>
          <w:lang w:val="es-PA"/>
        </w:rPr>
        <w:t xml:space="preserve">En 2019, </w:t>
      </w:r>
      <w:r w:rsidR="001F5D67">
        <w:rPr>
          <w:lang w:val="es-PA"/>
        </w:rPr>
        <w:t xml:space="preserve">el </w:t>
      </w:r>
      <w:r w:rsidR="00012073" w:rsidRPr="00012073">
        <w:rPr>
          <w:lang w:val="es-PA"/>
        </w:rPr>
        <w:t>ACNUDH recomendó al Estado garantizar la libertad de asociación, restablecer la personalidad jurídica de las organizaciones sancionadas y restituirles sus activos</w:t>
      </w:r>
      <w:r w:rsidR="00012073" w:rsidRPr="006F3262">
        <w:rPr>
          <w:rStyle w:val="FootnoteReference"/>
        </w:rPr>
        <w:footnoteReference w:id="69"/>
      </w:r>
      <w:r w:rsidR="00012073" w:rsidRPr="00012073">
        <w:rPr>
          <w:lang w:val="es-PA"/>
        </w:rPr>
        <w:t xml:space="preserve">. Durante el </w:t>
      </w:r>
      <w:r w:rsidR="001F5D67">
        <w:rPr>
          <w:lang w:val="es-PA"/>
        </w:rPr>
        <w:t>e</w:t>
      </w:r>
      <w:r w:rsidR="00012073" w:rsidRPr="00012073">
        <w:rPr>
          <w:lang w:val="es-PA"/>
        </w:rPr>
        <w:t xml:space="preserve">xamen </w:t>
      </w:r>
      <w:r w:rsidR="001F5D67">
        <w:rPr>
          <w:lang w:val="es-PA"/>
        </w:rPr>
        <w:t>p</w:t>
      </w:r>
      <w:r w:rsidR="00012073" w:rsidRPr="00012073">
        <w:rPr>
          <w:lang w:val="es-PA"/>
        </w:rPr>
        <w:t xml:space="preserve">eriódico </w:t>
      </w:r>
      <w:r w:rsidR="001F5D67">
        <w:rPr>
          <w:lang w:val="es-PA"/>
        </w:rPr>
        <w:t>u</w:t>
      </w:r>
      <w:r w:rsidR="00012073" w:rsidRPr="00012073">
        <w:rPr>
          <w:lang w:val="es-PA"/>
        </w:rPr>
        <w:t>niversal se formularon 23</w:t>
      </w:r>
      <w:r w:rsidR="004B16F2">
        <w:rPr>
          <w:lang w:val="es-PA"/>
        </w:rPr>
        <w:t> </w:t>
      </w:r>
      <w:r w:rsidR="00012073" w:rsidRPr="00012073">
        <w:rPr>
          <w:lang w:val="es-PA"/>
        </w:rPr>
        <w:t>recomendaciones en el mismo sentido</w:t>
      </w:r>
      <w:r w:rsidR="00012073" w:rsidRPr="006F3262">
        <w:rPr>
          <w:rStyle w:val="FootnoteReference"/>
        </w:rPr>
        <w:footnoteReference w:id="70"/>
      </w:r>
      <w:r w:rsidR="00012073" w:rsidRPr="00012073">
        <w:rPr>
          <w:lang w:val="es-PA"/>
        </w:rPr>
        <w:t xml:space="preserve">, </w:t>
      </w:r>
      <w:r w:rsidR="004B16F2">
        <w:rPr>
          <w:lang w:val="es-PA"/>
        </w:rPr>
        <w:t>10</w:t>
      </w:r>
      <w:r w:rsidR="004B16F2" w:rsidRPr="00012073">
        <w:rPr>
          <w:lang w:val="es-PA"/>
        </w:rPr>
        <w:t xml:space="preserve"> </w:t>
      </w:r>
      <w:r w:rsidR="00012073" w:rsidRPr="00012073">
        <w:rPr>
          <w:lang w:val="es-PA"/>
        </w:rPr>
        <w:t xml:space="preserve">de ellas aceptadas por Nicaragua. En lugar de cumplirlas, la Asamblea Nacional reforzó el marco legal restrictivo para el ejercicio de este derecho. En 2020 aprobó la Ley </w:t>
      </w:r>
      <w:r w:rsidR="004B16F2" w:rsidRPr="00FE4383">
        <w:rPr>
          <w:lang w:val="es-PA"/>
        </w:rPr>
        <w:t>núm. </w:t>
      </w:r>
      <w:r w:rsidR="00012073" w:rsidRPr="00FE4383">
        <w:rPr>
          <w:lang w:val="es-PA"/>
        </w:rPr>
        <w:t>1040</w:t>
      </w:r>
      <w:r w:rsidR="00C96250" w:rsidRPr="00A64748">
        <w:rPr>
          <w:lang w:val="es-PA"/>
        </w:rPr>
        <w:t xml:space="preserve"> </w:t>
      </w:r>
      <w:r w:rsidR="00C96250" w:rsidRPr="00FE4383">
        <w:rPr>
          <w:lang w:val="es-PA"/>
        </w:rPr>
        <w:t>de Regulación</w:t>
      </w:r>
      <w:r w:rsidR="00C96250" w:rsidRPr="00983F5F">
        <w:rPr>
          <w:lang w:val="es-PA"/>
        </w:rPr>
        <w:t xml:space="preserve"> de Agentes Extranjeros</w:t>
      </w:r>
      <w:r w:rsidR="00012073" w:rsidRPr="00012073">
        <w:rPr>
          <w:lang w:val="es-PA"/>
        </w:rPr>
        <w:t xml:space="preserve"> que prevé la cancelación de la </w:t>
      </w:r>
      <w:r w:rsidR="00012073" w:rsidRPr="00012073">
        <w:rPr>
          <w:lang w:val="es-PA"/>
        </w:rPr>
        <w:lastRenderedPageBreak/>
        <w:t xml:space="preserve">personalidad jurídica de las organizaciones que obtengan fondos extranjeros para realizar actividades que, en criterio del Gobierno, interfieran en los asuntos internos de Nicaragua. Cuatro expertos de los </w:t>
      </w:r>
      <w:r w:rsidR="00607164">
        <w:rPr>
          <w:lang w:val="es-PA"/>
        </w:rPr>
        <w:t>p</w:t>
      </w:r>
      <w:r w:rsidR="00012073" w:rsidRPr="00012073">
        <w:rPr>
          <w:lang w:val="es-PA"/>
        </w:rPr>
        <w:t xml:space="preserve">rocedimientos </w:t>
      </w:r>
      <w:r w:rsidR="00607164">
        <w:rPr>
          <w:lang w:val="es-PA"/>
        </w:rPr>
        <w:t>e</w:t>
      </w:r>
      <w:r w:rsidR="00012073" w:rsidRPr="00012073">
        <w:rPr>
          <w:lang w:val="es-PA"/>
        </w:rPr>
        <w:t xml:space="preserve">speciales y </w:t>
      </w:r>
      <w:r w:rsidR="001F5D67">
        <w:rPr>
          <w:lang w:val="es-PA"/>
        </w:rPr>
        <w:t xml:space="preserve">el </w:t>
      </w:r>
      <w:r w:rsidR="00012073" w:rsidRPr="00012073">
        <w:rPr>
          <w:lang w:val="es-PA"/>
        </w:rPr>
        <w:t>ACNUDH exhortaron al Gobierno a revisar la norma por presentar problemas graves y fundamentales de compatibilidad con el derecho internacional</w:t>
      </w:r>
      <w:r w:rsidR="00012073" w:rsidRPr="006F3262">
        <w:rPr>
          <w:rStyle w:val="FootnoteReference"/>
        </w:rPr>
        <w:footnoteReference w:id="71"/>
      </w:r>
      <w:r w:rsidR="00012073" w:rsidRPr="00012073">
        <w:rPr>
          <w:lang w:val="es-PA"/>
        </w:rPr>
        <w:t xml:space="preserve">. En febrero de 2022, </w:t>
      </w:r>
      <w:r w:rsidR="004B16F2">
        <w:rPr>
          <w:lang w:val="es-PA"/>
        </w:rPr>
        <w:t xml:space="preserve">el </w:t>
      </w:r>
      <w:r w:rsidR="00012073" w:rsidRPr="00012073">
        <w:rPr>
          <w:lang w:val="es-PA"/>
        </w:rPr>
        <w:t>ACNUDH reiteró su recomendación de restituir la personalidad jurídica y los bienes de las organizaciones sancionadas</w:t>
      </w:r>
      <w:r w:rsidR="00012073" w:rsidRPr="006F3262">
        <w:rPr>
          <w:rStyle w:val="FootnoteReference"/>
        </w:rPr>
        <w:footnoteReference w:id="72"/>
      </w:r>
      <w:r w:rsidR="00012073" w:rsidRPr="00012073">
        <w:rPr>
          <w:lang w:val="es-PA"/>
        </w:rPr>
        <w:t>. No obstante, como se detalló anteriormente, las cancelaciones continuaron hasta sumar 1</w:t>
      </w:r>
      <w:r w:rsidR="0088189D">
        <w:rPr>
          <w:lang w:val="es-PA"/>
        </w:rPr>
        <w:t>.</w:t>
      </w:r>
      <w:r w:rsidR="00012073" w:rsidRPr="00012073">
        <w:rPr>
          <w:lang w:val="es-PA"/>
        </w:rPr>
        <w:t>178</w:t>
      </w:r>
      <w:r w:rsidR="0088189D">
        <w:rPr>
          <w:lang w:val="es-PA"/>
        </w:rPr>
        <w:t> </w:t>
      </w:r>
      <w:r w:rsidR="00012073" w:rsidRPr="00012073">
        <w:rPr>
          <w:lang w:val="es-PA"/>
        </w:rPr>
        <w:t xml:space="preserve">organizaciones. </w:t>
      </w:r>
    </w:p>
    <w:p w14:paraId="239A499C" w14:textId="6E048B0B" w:rsidR="00012073" w:rsidRPr="009A4AF1" w:rsidRDefault="00012073" w:rsidP="006925DE">
      <w:pPr>
        <w:pStyle w:val="H23G"/>
        <w:rPr>
          <w:b w:val="0"/>
          <w:i/>
        </w:rPr>
      </w:pPr>
      <w:r w:rsidRPr="009A4AF1">
        <w:rPr>
          <w:b w:val="0"/>
          <w:i/>
        </w:rPr>
        <w:tab/>
      </w:r>
      <w:r w:rsidR="005F6934">
        <w:t>3.</w:t>
      </w:r>
      <w:r w:rsidRPr="00A64748">
        <w:rPr>
          <w:rStyle w:val="FootnoteReference"/>
          <w:vertAlign w:val="baseline"/>
        </w:rPr>
        <w:tab/>
        <w:t>Libertad de expresión</w:t>
      </w:r>
    </w:p>
    <w:p w14:paraId="7106B372" w14:textId="73017F1B"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39.</w:t>
      </w:r>
      <w:r w:rsidRPr="00012073">
        <w:rPr>
          <w:lang w:val="es-PA"/>
        </w:rPr>
        <w:tab/>
      </w:r>
      <w:r w:rsidR="00012073" w:rsidRPr="00012073">
        <w:rPr>
          <w:lang w:val="es-PA"/>
        </w:rPr>
        <w:t>Desde 2018 se ha recomendado a Nicaragua que garantice la libertad de expresión, la libertad individual y la seguridad de periodistas y medios de comunicación</w:t>
      </w:r>
      <w:r w:rsidR="00012073" w:rsidRPr="006F3262">
        <w:rPr>
          <w:rStyle w:val="FootnoteReference"/>
        </w:rPr>
        <w:footnoteReference w:id="73"/>
      </w:r>
      <w:r w:rsidR="00012073" w:rsidRPr="00012073">
        <w:rPr>
          <w:lang w:val="es-PA"/>
        </w:rPr>
        <w:t>. Sin embargo, el grave deterioro de la libertad de expresión no se ha revertido. El asesinato del periodista Ángel Gahona en 2018 permanece impune</w:t>
      </w:r>
      <w:r w:rsidR="00012073" w:rsidRPr="006F3262">
        <w:rPr>
          <w:rStyle w:val="FootnoteReference"/>
        </w:rPr>
        <w:footnoteReference w:id="74"/>
      </w:r>
      <w:r w:rsidR="00012073" w:rsidRPr="00012073">
        <w:rPr>
          <w:lang w:val="es-PA"/>
        </w:rPr>
        <w:t>. Tampoco se han esclarecido otras múltiples agresiones y ataques contra periodistas, trabajadores de la información y medios de comunicación</w:t>
      </w:r>
      <w:r w:rsidR="00012073" w:rsidRPr="006F3262">
        <w:rPr>
          <w:rStyle w:val="FootnoteReference"/>
        </w:rPr>
        <w:footnoteReference w:id="75"/>
      </w:r>
      <w:r w:rsidR="00012073" w:rsidRPr="00012073">
        <w:rPr>
          <w:lang w:val="es-PA"/>
        </w:rPr>
        <w:t xml:space="preserve">, y, como </w:t>
      </w:r>
      <w:r w:rsidR="001959AD">
        <w:rPr>
          <w:lang w:val="es-PA"/>
        </w:rPr>
        <w:t xml:space="preserve">ya se ha </w:t>
      </w:r>
      <w:r w:rsidR="00012073" w:rsidRPr="00012073">
        <w:rPr>
          <w:lang w:val="es-PA"/>
        </w:rPr>
        <w:t xml:space="preserve">mencionado, la censura y </w:t>
      </w:r>
      <w:r w:rsidR="001959AD">
        <w:rPr>
          <w:lang w:val="es-PA"/>
        </w:rPr>
        <w:t xml:space="preserve">la </w:t>
      </w:r>
      <w:r w:rsidR="00012073" w:rsidRPr="00012073">
        <w:rPr>
          <w:lang w:val="es-PA"/>
        </w:rPr>
        <w:t>clausura de estaciones de radio y televisión continuaron en 2022.</w:t>
      </w:r>
    </w:p>
    <w:p w14:paraId="291F0B16" w14:textId="65F7EB0F"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40.</w:t>
      </w:r>
      <w:r w:rsidRPr="00012073">
        <w:rPr>
          <w:lang w:val="es-PA"/>
        </w:rPr>
        <w:tab/>
      </w:r>
      <w:r w:rsidR="00012073" w:rsidRPr="00012073">
        <w:rPr>
          <w:lang w:val="es-PA"/>
        </w:rPr>
        <w:t xml:space="preserve">A pesar de las observaciones de </w:t>
      </w:r>
      <w:r w:rsidR="00750C6C">
        <w:rPr>
          <w:lang w:val="es-PA"/>
        </w:rPr>
        <w:t>los titulares de mandato de los p</w:t>
      </w:r>
      <w:r w:rsidR="00012073" w:rsidRPr="00012073">
        <w:rPr>
          <w:lang w:val="es-PA"/>
        </w:rPr>
        <w:t xml:space="preserve">rocedimientos </w:t>
      </w:r>
      <w:r w:rsidR="00750C6C">
        <w:rPr>
          <w:lang w:val="es-PA"/>
        </w:rPr>
        <w:t>e</w:t>
      </w:r>
      <w:r w:rsidR="00012073" w:rsidRPr="00012073">
        <w:rPr>
          <w:lang w:val="es-PA"/>
        </w:rPr>
        <w:t>speciales</w:t>
      </w:r>
      <w:r w:rsidR="00012073" w:rsidRPr="006F3262">
        <w:rPr>
          <w:rStyle w:val="FootnoteReference"/>
        </w:rPr>
        <w:footnoteReference w:id="76"/>
      </w:r>
      <w:r w:rsidR="00012073" w:rsidRPr="00012073">
        <w:rPr>
          <w:lang w:val="es-PA"/>
        </w:rPr>
        <w:t xml:space="preserve"> y las recomendaciones de</w:t>
      </w:r>
      <w:r w:rsidR="00F05F43">
        <w:rPr>
          <w:lang w:val="es-PA"/>
        </w:rPr>
        <w:t>l</w:t>
      </w:r>
      <w:r w:rsidR="00012073" w:rsidRPr="00012073">
        <w:rPr>
          <w:lang w:val="es-PA"/>
        </w:rPr>
        <w:t xml:space="preserve"> ACNUDH para modificar la Ley</w:t>
      </w:r>
      <w:r w:rsidR="00F05F43">
        <w:rPr>
          <w:lang w:val="es-PA"/>
        </w:rPr>
        <w:t xml:space="preserve"> Especial de Ciberdelitos (Ley</w:t>
      </w:r>
      <w:r w:rsidR="00012073" w:rsidRPr="00012073">
        <w:rPr>
          <w:lang w:val="es-PA"/>
        </w:rPr>
        <w:t xml:space="preserve"> </w:t>
      </w:r>
      <w:r w:rsidR="00F05F43">
        <w:rPr>
          <w:lang w:val="es-PA"/>
        </w:rPr>
        <w:t>núm. </w:t>
      </w:r>
      <w:r w:rsidR="00012073" w:rsidRPr="00012073">
        <w:rPr>
          <w:lang w:val="es-PA"/>
        </w:rPr>
        <w:t>1042</w:t>
      </w:r>
      <w:r w:rsidR="00F05F43">
        <w:rPr>
          <w:lang w:val="es-PA"/>
        </w:rPr>
        <w:t>)</w:t>
      </w:r>
      <w:r w:rsidR="00012073" w:rsidRPr="00012073">
        <w:rPr>
          <w:lang w:val="es-PA"/>
        </w:rPr>
        <w:t xml:space="preserve">, que sanciona con prisión de hasta </w:t>
      </w:r>
      <w:r w:rsidR="00F05F43">
        <w:rPr>
          <w:lang w:val="es-PA"/>
        </w:rPr>
        <w:t>cinco</w:t>
      </w:r>
      <w:r w:rsidR="00F05F43" w:rsidRPr="00012073">
        <w:rPr>
          <w:lang w:val="es-PA"/>
        </w:rPr>
        <w:t xml:space="preserve"> </w:t>
      </w:r>
      <w:r w:rsidR="00012073" w:rsidRPr="00012073">
        <w:rPr>
          <w:lang w:val="es-PA"/>
        </w:rPr>
        <w:t xml:space="preserve">años a quienes propaguen información “falsa” o “tergiversada”, y la Ley </w:t>
      </w:r>
      <w:r w:rsidR="00F05F43">
        <w:rPr>
          <w:lang w:val="es-PA"/>
        </w:rPr>
        <w:t>de Defensa de los Derechos del Pueblo a la Independencia, la Soberanía y Autodeterminación para la Paz (Ley núm. </w:t>
      </w:r>
      <w:r w:rsidR="00012073" w:rsidRPr="00012073">
        <w:rPr>
          <w:lang w:val="es-PA"/>
        </w:rPr>
        <w:t>1055</w:t>
      </w:r>
      <w:r w:rsidR="00F05F43">
        <w:rPr>
          <w:lang w:val="es-PA"/>
        </w:rPr>
        <w:t>)</w:t>
      </w:r>
      <w:r w:rsidR="00012073" w:rsidRPr="00012073">
        <w:rPr>
          <w:lang w:val="es-PA"/>
        </w:rPr>
        <w:t>, que en combinación con el artículo</w:t>
      </w:r>
      <w:r w:rsidR="00F05F43">
        <w:rPr>
          <w:lang w:val="es-PA"/>
        </w:rPr>
        <w:t> </w:t>
      </w:r>
      <w:r w:rsidR="00012073" w:rsidRPr="00012073">
        <w:rPr>
          <w:lang w:val="es-PA"/>
        </w:rPr>
        <w:t>410 del Código Penal</w:t>
      </w:r>
      <w:r w:rsidR="00F05F43">
        <w:rPr>
          <w:lang w:val="es-PA"/>
        </w:rPr>
        <w:t xml:space="preserve"> (delito de menoscabo a la integridad nacional)</w:t>
      </w:r>
      <w:r w:rsidR="00012073" w:rsidRPr="00012073">
        <w:rPr>
          <w:lang w:val="es-PA"/>
        </w:rPr>
        <w:t xml:space="preserve"> sanciona con prisión </w:t>
      </w:r>
      <w:r w:rsidR="00F05F43">
        <w:rPr>
          <w:lang w:val="es-PA"/>
        </w:rPr>
        <w:t xml:space="preserve">de </w:t>
      </w:r>
      <w:r w:rsidR="00012073" w:rsidRPr="00012073">
        <w:rPr>
          <w:lang w:val="es-PA"/>
        </w:rPr>
        <w:t xml:space="preserve">hasta 15 años a quienes se considere “traidores </w:t>
      </w:r>
      <w:r w:rsidR="00F05F43">
        <w:rPr>
          <w:lang w:val="es-PA"/>
        </w:rPr>
        <w:t>a</w:t>
      </w:r>
      <w:r w:rsidR="00F05F43" w:rsidRPr="00012073">
        <w:rPr>
          <w:lang w:val="es-PA"/>
        </w:rPr>
        <w:t xml:space="preserve"> </w:t>
      </w:r>
      <w:r w:rsidR="00012073" w:rsidRPr="00012073">
        <w:rPr>
          <w:lang w:val="es-PA"/>
        </w:rPr>
        <w:t xml:space="preserve">la patria” por demandar o “aplaudir” la imposición de sanciones contra el Estado y sus ciudadanos, ambas siguen vigentes. </w:t>
      </w:r>
    </w:p>
    <w:p w14:paraId="26F90969" w14:textId="1C730D9F" w:rsidR="00012073" w:rsidRPr="009A4AF1" w:rsidRDefault="00012073" w:rsidP="006925DE">
      <w:pPr>
        <w:pStyle w:val="H23G"/>
        <w:rPr>
          <w:b w:val="0"/>
          <w:i/>
        </w:rPr>
      </w:pPr>
      <w:r w:rsidRPr="009A4AF1">
        <w:rPr>
          <w:b w:val="0"/>
          <w:i/>
          <w:lang w:val="es-PA"/>
        </w:rPr>
        <w:tab/>
      </w:r>
      <w:r w:rsidR="005F6934">
        <w:t>4.</w:t>
      </w:r>
      <w:r w:rsidRPr="00A64748">
        <w:rPr>
          <w:rStyle w:val="FootnoteReference"/>
          <w:vertAlign w:val="baseline"/>
          <w:lang w:val="es-ES"/>
        </w:rPr>
        <w:tab/>
      </w:r>
      <w:proofErr w:type="spellStart"/>
      <w:r w:rsidRPr="00A64748">
        <w:rPr>
          <w:rStyle w:val="FootnoteReference"/>
          <w:vertAlign w:val="baseline"/>
        </w:rPr>
        <w:t>Persecución</w:t>
      </w:r>
      <w:proofErr w:type="spellEnd"/>
      <w:r w:rsidRPr="00A64748">
        <w:rPr>
          <w:rStyle w:val="FootnoteReference"/>
          <w:vertAlign w:val="baseline"/>
        </w:rPr>
        <w:t xml:space="preserve"> contra </w:t>
      </w:r>
      <w:proofErr w:type="spellStart"/>
      <w:r w:rsidRPr="00A64748">
        <w:rPr>
          <w:rStyle w:val="FootnoteReference"/>
          <w:vertAlign w:val="baseline"/>
        </w:rPr>
        <w:t>personas</w:t>
      </w:r>
      <w:proofErr w:type="spellEnd"/>
      <w:r w:rsidRPr="00A64748">
        <w:rPr>
          <w:rStyle w:val="FootnoteReference"/>
          <w:vertAlign w:val="baseline"/>
        </w:rPr>
        <w:t xml:space="preserve"> </w:t>
      </w:r>
      <w:proofErr w:type="spellStart"/>
      <w:r w:rsidRPr="00A64748">
        <w:rPr>
          <w:rStyle w:val="FootnoteReference"/>
          <w:vertAlign w:val="baseline"/>
        </w:rPr>
        <w:t>defensoras</w:t>
      </w:r>
      <w:proofErr w:type="spellEnd"/>
      <w:r w:rsidRPr="00A64748">
        <w:rPr>
          <w:rStyle w:val="FootnoteReference"/>
          <w:vertAlign w:val="baseline"/>
        </w:rPr>
        <w:t xml:space="preserve"> de </w:t>
      </w:r>
      <w:proofErr w:type="spellStart"/>
      <w:r w:rsidRPr="00A64748">
        <w:rPr>
          <w:rStyle w:val="FootnoteReference"/>
          <w:vertAlign w:val="baseline"/>
        </w:rPr>
        <w:t>derechos</w:t>
      </w:r>
      <w:proofErr w:type="spellEnd"/>
      <w:r w:rsidRPr="00A64748">
        <w:rPr>
          <w:rStyle w:val="FootnoteReference"/>
          <w:vertAlign w:val="baseline"/>
        </w:rPr>
        <w:t xml:space="preserve"> </w:t>
      </w:r>
      <w:proofErr w:type="spellStart"/>
      <w:r w:rsidRPr="00A64748">
        <w:rPr>
          <w:rStyle w:val="FootnoteReference"/>
          <w:vertAlign w:val="baseline"/>
        </w:rPr>
        <w:t>humanos</w:t>
      </w:r>
      <w:proofErr w:type="spellEnd"/>
      <w:r w:rsidRPr="00A64748">
        <w:rPr>
          <w:rStyle w:val="FootnoteReference"/>
          <w:vertAlign w:val="baseline"/>
        </w:rPr>
        <w:t xml:space="preserve">, </w:t>
      </w:r>
      <w:proofErr w:type="spellStart"/>
      <w:r w:rsidRPr="00A64748">
        <w:rPr>
          <w:rStyle w:val="FootnoteReference"/>
          <w:vertAlign w:val="baseline"/>
        </w:rPr>
        <w:t>activistas</w:t>
      </w:r>
      <w:proofErr w:type="spellEnd"/>
      <w:r w:rsidRPr="00A64748">
        <w:rPr>
          <w:rStyle w:val="FootnoteReference"/>
          <w:vertAlign w:val="baseline"/>
        </w:rPr>
        <w:t xml:space="preserve"> </w:t>
      </w:r>
      <w:proofErr w:type="spellStart"/>
      <w:r w:rsidRPr="00A64748">
        <w:rPr>
          <w:rStyle w:val="FootnoteReference"/>
          <w:vertAlign w:val="baseline"/>
        </w:rPr>
        <w:t>políticos</w:t>
      </w:r>
      <w:proofErr w:type="spellEnd"/>
      <w:r w:rsidRPr="00A64748">
        <w:rPr>
          <w:rStyle w:val="FootnoteReference"/>
          <w:vertAlign w:val="baseline"/>
        </w:rPr>
        <w:t xml:space="preserve">, </w:t>
      </w:r>
      <w:proofErr w:type="spellStart"/>
      <w:r w:rsidRPr="00A64748">
        <w:rPr>
          <w:rStyle w:val="FootnoteReference"/>
          <w:vertAlign w:val="baseline"/>
        </w:rPr>
        <w:t>periodistas</w:t>
      </w:r>
      <w:proofErr w:type="spellEnd"/>
      <w:r w:rsidRPr="00A64748">
        <w:rPr>
          <w:rStyle w:val="FootnoteReference"/>
          <w:vertAlign w:val="baseline"/>
        </w:rPr>
        <w:t xml:space="preserve"> y</w:t>
      </w:r>
      <w:r w:rsidR="009A2C6D">
        <w:t> </w:t>
      </w:r>
      <w:proofErr w:type="spellStart"/>
      <w:r w:rsidRPr="00A64748">
        <w:rPr>
          <w:rStyle w:val="FootnoteReference"/>
          <w:vertAlign w:val="baseline"/>
        </w:rPr>
        <w:t>disidentes</w:t>
      </w:r>
      <w:proofErr w:type="spellEnd"/>
    </w:p>
    <w:p w14:paraId="3AEAC062" w14:textId="63D10D4B"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41.</w:t>
      </w:r>
      <w:r w:rsidRPr="00012073">
        <w:rPr>
          <w:lang w:val="es-ES"/>
        </w:rPr>
        <w:tab/>
      </w:r>
      <w:r w:rsidR="00E26587">
        <w:rPr>
          <w:lang w:val="es-ES"/>
        </w:rPr>
        <w:t xml:space="preserve">El </w:t>
      </w:r>
      <w:r w:rsidR="00012073" w:rsidRPr="00012073">
        <w:rPr>
          <w:lang w:val="es-ES"/>
        </w:rPr>
        <w:t xml:space="preserve">ACNUDH recomendó a Nicaragua cesar, condenar y sancionar los ataques contra personas defensoras de derechos humanos, activistas, periodistas, o cualquier persona </w:t>
      </w:r>
      <w:r w:rsidR="00FA6532">
        <w:rPr>
          <w:lang w:val="es-ES"/>
        </w:rPr>
        <w:t>percibida</w:t>
      </w:r>
      <w:r w:rsidR="00012073" w:rsidRPr="00012073">
        <w:rPr>
          <w:lang w:val="es-ES"/>
        </w:rPr>
        <w:t xml:space="preserve"> como crítica con</w:t>
      </w:r>
      <w:r w:rsidR="00A574F8">
        <w:rPr>
          <w:lang w:val="es-ES"/>
        </w:rPr>
        <w:t xml:space="preserve"> </w:t>
      </w:r>
      <w:r w:rsidR="00012073" w:rsidRPr="00012073">
        <w:rPr>
          <w:lang w:val="es-ES"/>
        </w:rPr>
        <w:t>el Gobierno</w:t>
      </w:r>
      <w:r w:rsidR="00012073" w:rsidRPr="006F3262">
        <w:rPr>
          <w:rStyle w:val="FootnoteReference"/>
        </w:rPr>
        <w:footnoteReference w:id="77"/>
      </w:r>
      <w:r w:rsidR="00012073" w:rsidRPr="00012073">
        <w:rPr>
          <w:lang w:val="es-ES"/>
        </w:rPr>
        <w:t xml:space="preserve">. Durante el </w:t>
      </w:r>
      <w:r w:rsidR="00E26587">
        <w:rPr>
          <w:lang w:val="es-ES"/>
        </w:rPr>
        <w:t>e</w:t>
      </w:r>
      <w:r w:rsidR="00012073" w:rsidRPr="00012073">
        <w:rPr>
          <w:lang w:val="es-ES"/>
        </w:rPr>
        <w:t xml:space="preserve">xamen </w:t>
      </w:r>
      <w:r w:rsidR="00E26587">
        <w:rPr>
          <w:lang w:val="es-ES"/>
        </w:rPr>
        <w:t>p</w:t>
      </w:r>
      <w:r w:rsidR="00012073" w:rsidRPr="00012073">
        <w:rPr>
          <w:lang w:val="es-ES"/>
        </w:rPr>
        <w:t xml:space="preserve">eriódico </w:t>
      </w:r>
      <w:r w:rsidR="00E26587">
        <w:rPr>
          <w:lang w:val="es-ES"/>
        </w:rPr>
        <w:t>u</w:t>
      </w:r>
      <w:r w:rsidR="00012073" w:rsidRPr="00012073">
        <w:rPr>
          <w:lang w:val="es-ES"/>
        </w:rPr>
        <w:t>niversal, tres Estados recomendaron garantizar que las organizaciones de derechos humanos puedan llevar a cabo libremente sus actividades, sin temor a represalias, y que cesaran y se investigaran todos los casos de violencia y represalias contra ellas</w:t>
      </w:r>
      <w:r w:rsidR="00012073" w:rsidRPr="006F3262">
        <w:rPr>
          <w:rStyle w:val="FootnoteReference"/>
        </w:rPr>
        <w:footnoteReference w:id="78"/>
      </w:r>
      <w:r w:rsidR="00012073" w:rsidRPr="00012073">
        <w:rPr>
          <w:lang w:val="es-ES"/>
        </w:rPr>
        <w:t>. El Gobierno no aceptó dichas recomendaciones.</w:t>
      </w:r>
    </w:p>
    <w:p w14:paraId="5AE35521" w14:textId="44FAC7D5"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b/>
          <w:lang w:val="es-PA"/>
        </w:rPr>
      </w:pPr>
      <w:r w:rsidRPr="00012073">
        <w:rPr>
          <w:lang w:val="es-PA"/>
        </w:rPr>
        <w:t>42.</w:t>
      </w:r>
      <w:r w:rsidRPr="00012073">
        <w:rPr>
          <w:lang w:val="es-PA"/>
        </w:rPr>
        <w:tab/>
      </w:r>
      <w:r w:rsidR="00E26587">
        <w:rPr>
          <w:lang w:val="es-ES"/>
        </w:rPr>
        <w:t xml:space="preserve">El </w:t>
      </w:r>
      <w:r w:rsidR="00012073" w:rsidRPr="00012073">
        <w:rPr>
          <w:lang w:val="es-ES"/>
        </w:rPr>
        <w:t>ACNUDH ha seguido documentando actos de hostigamiento hacia estos grupos</w:t>
      </w:r>
      <w:r w:rsidR="00012073" w:rsidRPr="006F3262">
        <w:rPr>
          <w:rStyle w:val="FootnoteReference"/>
        </w:rPr>
        <w:footnoteReference w:id="79"/>
      </w:r>
      <w:r w:rsidR="00012073" w:rsidRPr="00012073">
        <w:rPr>
          <w:lang w:val="es-ES"/>
        </w:rPr>
        <w:t xml:space="preserve">. Las autoridades no han avanzado en la investigación de los casos reportados anteriormente por la Oficina y tampoco los ha condenado públicamente. Por el contrario, en 2021 y 2022 </w:t>
      </w:r>
      <w:r w:rsidR="00012073" w:rsidRPr="00012073">
        <w:rPr>
          <w:lang w:val="es-ES"/>
        </w:rPr>
        <w:lastRenderedPageBreak/>
        <w:t>continuaron realizando declaraciones estigmatizadoras y discursos de odio contra críticos y opositores</w:t>
      </w:r>
      <w:r w:rsidR="00012073" w:rsidRPr="006F3262">
        <w:rPr>
          <w:rStyle w:val="FootnoteReference"/>
        </w:rPr>
        <w:footnoteReference w:id="80"/>
      </w:r>
      <w:r w:rsidR="00012073" w:rsidRPr="00012073">
        <w:rPr>
          <w:lang w:val="es-ES"/>
        </w:rPr>
        <w:t>.</w:t>
      </w:r>
    </w:p>
    <w:p w14:paraId="5E45B18C" w14:textId="5E720C27" w:rsidR="00012073" w:rsidRPr="00012073" w:rsidRDefault="00012073" w:rsidP="006925DE">
      <w:pPr>
        <w:pStyle w:val="H1G"/>
        <w:rPr>
          <w:b w:val="0"/>
          <w:bCs w:val="0"/>
          <w:lang w:val="es-PA"/>
        </w:rPr>
      </w:pPr>
      <w:r w:rsidRPr="00012073">
        <w:rPr>
          <w:lang w:val="es-PA"/>
        </w:rPr>
        <w:tab/>
      </w:r>
      <w:r w:rsidR="009A4AF1">
        <w:rPr>
          <w:lang w:val="es-PA"/>
        </w:rPr>
        <w:t>E</w:t>
      </w:r>
      <w:r w:rsidRPr="00012073">
        <w:rPr>
          <w:lang w:val="es-PA"/>
        </w:rPr>
        <w:t>.</w:t>
      </w:r>
      <w:r w:rsidRPr="00012073">
        <w:rPr>
          <w:lang w:val="es-PA"/>
        </w:rPr>
        <w:tab/>
        <w:t>Detenciones arbitrarias y debido proceso</w:t>
      </w:r>
    </w:p>
    <w:p w14:paraId="32B92A8B" w14:textId="28D62F69"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43.</w:t>
      </w:r>
      <w:r w:rsidRPr="00012073">
        <w:rPr>
          <w:lang w:val="es-PA"/>
        </w:rPr>
        <w:tab/>
      </w:r>
      <w:r w:rsidR="00172362">
        <w:rPr>
          <w:lang w:val="es-PA"/>
        </w:rPr>
        <w:t xml:space="preserve">El </w:t>
      </w:r>
      <w:r w:rsidR="00012073" w:rsidRPr="00012073">
        <w:rPr>
          <w:lang w:val="es-PA"/>
        </w:rPr>
        <w:t xml:space="preserve">ACNUDH ha recomendado constantemente al Estado abstenerse de detener arbitrariamente a personas críticas del Gobierno o percibidas como opositoras de </w:t>
      </w:r>
      <w:r w:rsidR="00172362">
        <w:rPr>
          <w:lang w:val="es-PA"/>
        </w:rPr>
        <w:t>e</w:t>
      </w:r>
      <w:r w:rsidR="00012073" w:rsidRPr="00012073">
        <w:rPr>
          <w:lang w:val="es-PA"/>
        </w:rPr>
        <w:t>ste, y</w:t>
      </w:r>
      <w:r w:rsidR="008B24F8">
        <w:rPr>
          <w:lang w:val="es-PA"/>
        </w:rPr>
        <w:t> </w:t>
      </w:r>
      <w:r w:rsidR="00012073" w:rsidRPr="00012073">
        <w:rPr>
          <w:lang w:val="es-PA"/>
        </w:rPr>
        <w:t>ponerlas en libertad de inmediato, retirando los cargos penales en su contra</w:t>
      </w:r>
      <w:r w:rsidR="00012073" w:rsidRPr="006F3262">
        <w:rPr>
          <w:rStyle w:val="FootnoteReference"/>
        </w:rPr>
        <w:footnoteReference w:id="81"/>
      </w:r>
      <w:r w:rsidR="00012073" w:rsidRPr="00012073">
        <w:rPr>
          <w:lang w:val="es-PA"/>
        </w:rPr>
        <w:t xml:space="preserve">. Durante el </w:t>
      </w:r>
      <w:r w:rsidR="00172362">
        <w:rPr>
          <w:lang w:val="es-PA"/>
        </w:rPr>
        <w:t>e</w:t>
      </w:r>
      <w:r w:rsidR="00012073" w:rsidRPr="00012073">
        <w:rPr>
          <w:lang w:val="es-PA"/>
        </w:rPr>
        <w:t xml:space="preserve">xamen </w:t>
      </w:r>
      <w:r w:rsidR="00172362">
        <w:rPr>
          <w:lang w:val="es-PA"/>
        </w:rPr>
        <w:t>p</w:t>
      </w:r>
      <w:r w:rsidR="00012073" w:rsidRPr="00012073">
        <w:rPr>
          <w:lang w:val="es-PA"/>
        </w:rPr>
        <w:t xml:space="preserve">eriódico </w:t>
      </w:r>
      <w:r w:rsidR="00172362">
        <w:rPr>
          <w:lang w:val="es-PA"/>
        </w:rPr>
        <w:t>u</w:t>
      </w:r>
      <w:r w:rsidR="00012073" w:rsidRPr="00012073">
        <w:rPr>
          <w:lang w:val="es-PA"/>
        </w:rPr>
        <w:t>niversal</w:t>
      </w:r>
      <w:r w:rsidR="00172362">
        <w:rPr>
          <w:lang w:val="es-PA"/>
        </w:rPr>
        <w:t>,</w:t>
      </w:r>
      <w:r w:rsidR="00012073" w:rsidRPr="00012073" w:rsidDel="007A4422">
        <w:rPr>
          <w:lang w:val="es-PA"/>
        </w:rPr>
        <w:t xml:space="preserve"> </w:t>
      </w:r>
      <w:r w:rsidR="00012073" w:rsidRPr="00012073">
        <w:rPr>
          <w:lang w:val="es-PA"/>
        </w:rPr>
        <w:t>los Estados formularon 23 recomendaciones similares</w:t>
      </w:r>
      <w:r w:rsidR="00012073" w:rsidRPr="006F3262">
        <w:rPr>
          <w:rStyle w:val="FootnoteReference"/>
        </w:rPr>
        <w:footnoteReference w:id="82"/>
      </w:r>
      <w:r w:rsidR="00012073" w:rsidRPr="00012073">
        <w:rPr>
          <w:lang w:val="es-PA"/>
        </w:rPr>
        <w:t xml:space="preserve">, de las cuales Nicaragua aceptó </w:t>
      </w:r>
      <w:r w:rsidR="00172362">
        <w:rPr>
          <w:lang w:val="es-PA"/>
        </w:rPr>
        <w:t>6</w:t>
      </w:r>
      <w:r w:rsidR="00172362" w:rsidRPr="00012073">
        <w:rPr>
          <w:lang w:val="es-PA"/>
        </w:rPr>
        <w:t xml:space="preserve"> </w:t>
      </w:r>
      <w:r w:rsidR="00012073" w:rsidRPr="00012073">
        <w:rPr>
          <w:lang w:val="es-PA"/>
        </w:rPr>
        <w:t>y rechazó 17, alegando que se fundaban en una distorsión de la realidad. Entre junio de 2019 y mayo de 2022, el Grupo de Trabajo sobre la Detención Arbitraria emitió nueve opiniones respecto a 37 personas en las que concluyó que sus detenciones fueron arbitrarias, entre otras razones por carecer de fundamento jurídico o por haberse practicado como respuesta al ejercicio legítimo de derechos y libertades</w:t>
      </w:r>
      <w:r w:rsidR="00D226B5" w:rsidRPr="00A64748">
        <w:rPr>
          <w:rStyle w:val="FootnoteReference"/>
          <w:lang w:val="es-ES"/>
        </w:rPr>
        <w:t xml:space="preserve"> </w:t>
      </w:r>
      <w:r w:rsidR="00D226B5" w:rsidRPr="00A64748">
        <w:rPr>
          <w:lang w:val="es-ES"/>
        </w:rPr>
        <w:t>(párr.</w:t>
      </w:r>
      <w:r w:rsidR="003E5CA4">
        <w:rPr>
          <w:lang w:val="es-ES"/>
        </w:rPr>
        <w:t> </w:t>
      </w:r>
      <w:r w:rsidR="00D226B5" w:rsidRPr="00A64748">
        <w:rPr>
          <w:lang w:val="es-ES"/>
        </w:rPr>
        <w:t>3)</w:t>
      </w:r>
      <w:r w:rsidR="00D226B5" w:rsidRPr="00012073">
        <w:rPr>
          <w:lang w:val="es-PA"/>
        </w:rPr>
        <w:t xml:space="preserve">. </w:t>
      </w:r>
      <w:r w:rsidR="00012073" w:rsidRPr="00012073">
        <w:rPr>
          <w:lang w:val="es-PA"/>
        </w:rPr>
        <w:t>El Grupo de Trabajo recomendó al Estado la liberación de estas personas y otras medidas de reparación. Veintidós fueron liberadas, pero el Estado no las indemnizó ni investigó a los responsables de sus detenciones. Tres de estas personas fueron nuevamente detenidas entre 2020 y 2021 y, junto a otras 13 detenidas por primera vez en 2021, fueron condenadas y permanecen privadas de libertad, excepto Hugo Torres</w:t>
      </w:r>
      <w:r w:rsidR="00172362">
        <w:rPr>
          <w:lang w:val="es-PA"/>
        </w:rPr>
        <w:t>,</w:t>
      </w:r>
      <w:r w:rsidR="00012073" w:rsidRPr="00012073">
        <w:rPr>
          <w:lang w:val="es-PA"/>
        </w:rPr>
        <w:t xml:space="preserve"> fallecido el 12 de febrero como se mencionó antes.</w:t>
      </w:r>
    </w:p>
    <w:p w14:paraId="04A1D271" w14:textId="4469D360"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44.</w:t>
      </w:r>
      <w:r w:rsidRPr="00012073">
        <w:rPr>
          <w:lang w:val="es-PA"/>
        </w:rPr>
        <w:tab/>
      </w:r>
      <w:r w:rsidR="00012073" w:rsidRPr="00012073">
        <w:rPr>
          <w:lang w:val="es-PA"/>
        </w:rPr>
        <w:t>El Estado liberó a personas arbitrariamente detenidas en el contexto de la crisis</w:t>
      </w:r>
      <w:r w:rsidR="00012073" w:rsidRPr="006F3262">
        <w:rPr>
          <w:rStyle w:val="FootnoteReference"/>
        </w:rPr>
        <w:footnoteReference w:id="83"/>
      </w:r>
      <w:r w:rsidR="00012073" w:rsidRPr="00012073">
        <w:rPr>
          <w:lang w:val="es-PA"/>
        </w:rPr>
        <w:t xml:space="preserve">, pero las liberaciones nunca alcanzaron a la totalidad de ellas. Según </w:t>
      </w:r>
      <w:r w:rsidR="00C45E56">
        <w:rPr>
          <w:lang w:val="es-PA"/>
        </w:rPr>
        <w:t xml:space="preserve">la </w:t>
      </w:r>
      <w:r w:rsidR="00012073" w:rsidRPr="00012073">
        <w:rPr>
          <w:lang w:val="es-PA"/>
        </w:rPr>
        <w:t>sociedad civil, 42</w:t>
      </w:r>
      <w:r w:rsidR="00BD2608">
        <w:rPr>
          <w:lang w:val="es-PA"/>
        </w:rPr>
        <w:t> </w:t>
      </w:r>
      <w:r w:rsidR="00012073" w:rsidRPr="00012073">
        <w:rPr>
          <w:lang w:val="es-PA"/>
        </w:rPr>
        <w:t xml:space="preserve">personas liberadas (3 mujeres y 39 hombres), incluso con la </w:t>
      </w:r>
      <w:r w:rsidR="00012073" w:rsidRPr="00D226B5">
        <w:rPr>
          <w:lang w:val="es-PA"/>
        </w:rPr>
        <w:t>Ley de Amnistía, fueron</w:t>
      </w:r>
      <w:r w:rsidR="00012073" w:rsidRPr="00012073">
        <w:rPr>
          <w:lang w:val="es-PA"/>
        </w:rPr>
        <w:t xml:space="preserve"> nuevamente detenidas y condenadas</w:t>
      </w:r>
      <w:r w:rsidR="00012073" w:rsidRPr="006F3262">
        <w:rPr>
          <w:rStyle w:val="FootnoteReference"/>
        </w:rPr>
        <w:footnoteReference w:id="84"/>
      </w:r>
      <w:r w:rsidR="00012073" w:rsidRPr="00012073">
        <w:rPr>
          <w:lang w:val="es-PA"/>
        </w:rPr>
        <w:t xml:space="preserve">. </w:t>
      </w:r>
    </w:p>
    <w:p w14:paraId="4F12F884" w14:textId="348A9B05"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45.</w:t>
      </w:r>
      <w:r w:rsidRPr="00012073">
        <w:rPr>
          <w:lang w:val="es-PA"/>
        </w:rPr>
        <w:tab/>
      </w:r>
      <w:r w:rsidR="00012073" w:rsidRPr="00012073">
        <w:rPr>
          <w:lang w:val="es-PA"/>
        </w:rPr>
        <w:t>A Nicaragua también se le ha recomendado garantizar la independencia e imparcialidad judicial</w:t>
      </w:r>
      <w:r w:rsidR="00012073" w:rsidRPr="006F3262">
        <w:rPr>
          <w:rStyle w:val="FootnoteReference"/>
        </w:rPr>
        <w:footnoteReference w:id="85"/>
      </w:r>
      <w:r w:rsidR="00012073" w:rsidRPr="00012073">
        <w:rPr>
          <w:lang w:val="es-PA"/>
        </w:rPr>
        <w:t xml:space="preserve">. </w:t>
      </w:r>
      <w:r w:rsidR="00BD2608">
        <w:rPr>
          <w:lang w:val="es-PA"/>
        </w:rPr>
        <w:t xml:space="preserve">El </w:t>
      </w:r>
      <w:r w:rsidR="00012073" w:rsidRPr="00012073">
        <w:rPr>
          <w:lang w:val="es-PA"/>
        </w:rPr>
        <w:t xml:space="preserve">ACNUDH ha formulado sus recomendaciones con base en sus observaciones sobre la impunidad a favor de quienes cometieron violaciones </w:t>
      </w:r>
      <w:r w:rsidR="00501305">
        <w:rPr>
          <w:lang w:val="es-PA"/>
        </w:rPr>
        <w:t>de</w:t>
      </w:r>
      <w:r w:rsidR="00012073" w:rsidRPr="00012073">
        <w:rPr>
          <w:lang w:val="es-PA"/>
        </w:rPr>
        <w:t xml:space="preserve"> los derechos humanos desde 2018 y sobre la violación del debido proceso contra disidentes, periodistas, defensores de derechos humanos, líderes sociales y campesinos, estudiantes, empresarios y opositores al Gobierno contra quienes se abrieron causas penales. </w:t>
      </w:r>
    </w:p>
    <w:p w14:paraId="25D4B406" w14:textId="7BB6F2B9"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46.</w:t>
      </w:r>
      <w:r w:rsidRPr="00012073">
        <w:rPr>
          <w:lang w:val="es-PA"/>
        </w:rPr>
        <w:tab/>
      </w:r>
      <w:r w:rsidR="00012073" w:rsidRPr="00012073">
        <w:rPr>
          <w:lang w:val="es-PA"/>
        </w:rPr>
        <w:t xml:space="preserve">Los procesos contra estas personas se han caracterizado por vulneraciones a la presunción de inocencia, </w:t>
      </w:r>
      <w:r w:rsidR="00DC668A">
        <w:rPr>
          <w:lang w:val="es-PA"/>
        </w:rPr>
        <w:t>e</w:t>
      </w:r>
      <w:r w:rsidR="00012073" w:rsidRPr="00012073">
        <w:rPr>
          <w:lang w:val="es-PA"/>
        </w:rPr>
        <w:t>l derecho a la defensa, la igualdad de armas</w:t>
      </w:r>
      <w:r w:rsidR="00F30C72">
        <w:rPr>
          <w:lang w:val="es-PA"/>
        </w:rPr>
        <w:t xml:space="preserve"> procesales</w:t>
      </w:r>
      <w:r w:rsidR="00012073" w:rsidRPr="00012073">
        <w:rPr>
          <w:lang w:val="es-PA"/>
        </w:rPr>
        <w:t>, la publicidad de las audiencias y los principios de imparcialidad, independencia y del juez natural</w:t>
      </w:r>
      <w:r w:rsidR="00012073" w:rsidRPr="006F3262">
        <w:rPr>
          <w:rStyle w:val="FootnoteReference"/>
        </w:rPr>
        <w:footnoteReference w:id="86"/>
      </w:r>
      <w:r w:rsidR="00012073" w:rsidRPr="00012073">
        <w:rPr>
          <w:lang w:val="es-PA"/>
        </w:rPr>
        <w:t>. Estas violaciones también fueron señaladas por el Grupo de Trabajo sobre la Detención Arbitraria en los nueve casos mencionados ante</w:t>
      </w:r>
      <w:r w:rsidR="007B1230">
        <w:rPr>
          <w:lang w:val="es-PA"/>
        </w:rPr>
        <w:t>riormente (párr. 3)</w:t>
      </w:r>
      <w:r w:rsidR="00012073" w:rsidRPr="00012073">
        <w:rPr>
          <w:lang w:val="es-PA"/>
        </w:rPr>
        <w:t>, donde concluyó que</w:t>
      </w:r>
      <w:r w:rsidR="0047751E">
        <w:rPr>
          <w:lang w:val="es-PA"/>
        </w:rPr>
        <w:t xml:space="preserve"> </w:t>
      </w:r>
      <w:r w:rsidR="00AB16C8">
        <w:rPr>
          <w:lang w:val="es-PA"/>
        </w:rPr>
        <w:t>no se respetaron</w:t>
      </w:r>
      <w:r w:rsidR="00012073" w:rsidRPr="00012073">
        <w:rPr>
          <w:lang w:val="es-PA"/>
        </w:rPr>
        <w:t xml:space="preserve"> las normas internacionales relativas al derecho a un juicio imparcial. Como se señaló anteriormente, los procesos penales en contra de las personas detenidas en el contexto electoral de 2021 tampoco respetaron los estándares de un juicio justo, </w:t>
      </w:r>
      <w:r w:rsidR="00AB16C8">
        <w:rPr>
          <w:lang w:val="es-PA"/>
        </w:rPr>
        <w:t>poniendo</w:t>
      </w:r>
      <w:r w:rsidR="00012073" w:rsidRPr="00012073">
        <w:rPr>
          <w:lang w:val="es-PA"/>
        </w:rPr>
        <w:t xml:space="preserve"> en evidencia que las recomendaciones de</w:t>
      </w:r>
      <w:r w:rsidR="0041138F">
        <w:rPr>
          <w:lang w:val="es-PA"/>
        </w:rPr>
        <w:t>l</w:t>
      </w:r>
      <w:r w:rsidR="00012073" w:rsidRPr="00012073">
        <w:rPr>
          <w:lang w:val="es-PA"/>
        </w:rPr>
        <w:t xml:space="preserve"> ACNUDH y otros mecanismos de derechos humanos sobre imparcialidad e independencia judicial no han sido implementadas. El Poder Judicial y </w:t>
      </w:r>
      <w:r w:rsidR="0041138F">
        <w:rPr>
          <w:lang w:val="es-PA"/>
        </w:rPr>
        <w:t xml:space="preserve">el </w:t>
      </w:r>
      <w:r w:rsidR="00012073" w:rsidRPr="00012073">
        <w:rPr>
          <w:lang w:val="es-PA"/>
        </w:rPr>
        <w:t>Ministerio Público continúan obrando en provecho del Gobierno.</w:t>
      </w:r>
    </w:p>
    <w:p w14:paraId="6C0B1C60" w14:textId="2BA54920" w:rsidR="00012073" w:rsidRPr="00012073" w:rsidRDefault="00012073" w:rsidP="006925DE">
      <w:pPr>
        <w:pStyle w:val="H1G"/>
        <w:rPr>
          <w:b w:val="0"/>
          <w:bCs w:val="0"/>
          <w:lang w:val="es-ES"/>
        </w:rPr>
      </w:pPr>
      <w:r w:rsidRPr="00012073">
        <w:rPr>
          <w:lang w:val="es-ES"/>
        </w:rPr>
        <w:lastRenderedPageBreak/>
        <w:tab/>
      </w:r>
      <w:r w:rsidR="009A4AF1">
        <w:rPr>
          <w:lang w:val="es-ES"/>
        </w:rPr>
        <w:t>F</w:t>
      </w:r>
      <w:r w:rsidRPr="00012073">
        <w:rPr>
          <w:lang w:val="es-ES"/>
        </w:rPr>
        <w:t>.</w:t>
      </w:r>
      <w:r w:rsidRPr="00012073">
        <w:rPr>
          <w:lang w:val="es-ES"/>
        </w:rPr>
        <w:tab/>
        <w:t>Tortura, malos tratos y condiciones de detención</w:t>
      </w:r>
    </w:p>
    <w:p w14:paraId="014C72AF" w14:textId="694AF572"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47.</w:t>
      </w:r>
      <w:r w:rsidRPr="00012073">
        <w:rPr>
          <w:lang w:val="es-ES"/>
        </w:rPr>
        <w:tab/>
      </w:r>
      <w:r w:rsidR="00012073" w:rsidRPr="00012073">
        <w:rPr>
          <w:lang w:val="es-ES"/>
        </w:rPr>
        <w:t>En 2019</w:t>
      </w:r>
      <w:r w:rsidR="00FC063A">
        <w:rPr>
          <w:lang w:val="es-ES"/>
        </w:rPr>
        <w:t>,</w:t>
      </w:r>
      <w:r w:rsidR="00012073" w:rsidRPr="00012073">
        <w:rPr>
          <w:lang w:val="es-ES"/>
        </w:rPr>
        <w:t xml:space="preserve"> </w:t>
      </w:r>
      <w:r w:rsidR="00FC063A">
        <w:rPr>
          <w:lang w:val="es-ES"/>
        </w:rPr>
        <w:t xml:space="preserve">el </w:t>
      </w:r>
      <w:r w:rsidR="00012073" w:rsidRPr="00012073">
        <w:rPr>
          <w:lang w:val="es-ES"/>
        </w:rPr>
        <w:t>ACNUDH recomendó al Gobierno adoptar medidas inmediatas para poner fin y prevenir eficazmente los actos de tortura y malos tratos durante la privación de libertad, incluida la reclusión prolongada en régimen de aislamiento; llevar a cabo investigaciones rápidas, imparciales y eficaces de toda denuncia de tortura y malos tratos, y llevar a los autores ante la justicia y garantizar la reparación a las víctimas</w:t>
      </w:r>
      <w:r w:rsidR="00012073" w:rsidRPr="006F3262">
        <w:rPr>
          <w:rStyle w:val="FootnoteReference"/>
        </w:rPr>
        <w:footnoteReference w:id="87"/>
      </w:r>
      <w:r w:rsidR="00012073" w:rsidRPr="00012073">
        <w:rPr>
          <w:lang w:val="es-ES"/>
        </w:rPr>
        <w:t>. El Gobierno no ha informado de ninguna medida a este respecto.</w:t>
      </w:r>
    </w:p>
    <w:p w14:paraId="6CD854F3" w14:textId="04C3DEE7"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48.</w:t>
      </w:r>
      <w:r w:rsidRPr="00012073">
        <w:rPr>
          <w:lang w:val="es-ES"/>
        </w:rPr>
        <w:tab/>
      </w:r>
      <w:r w:rsidR="00012073" w:rsidRPr="00012073">
        <w:rPr>
          <w:lang w:val="es-ES"/>
        </w:rPr>
        <w:t xml:space="preserve">Durante el </w:t>
      </w:r>
      <w:r w:rsidR="007D3FE5">
        <w:rPr>
          <w:lang w:val="es-ES"/>
        </w:rPr>
        <w:t>e</w:t>
      </w:r>
      <w:r w:rsidR="00012073" w:rsidRPr="00012073">
        <w:rPr>
          <w:lang w:val="es-ES"/>
        </w:rPr>
        <w:t xml:space="preserve">xamen </w:t>
      </w:r>
      <w:r w:rsidR="007D3FE5">
        <w:rPr>
          <w:lang w:val="es-ES"/>
        </w:rPr>
        <w:t>p</w:t>
      </w:r>
      <w:r w:rsidR="00012073" w:rsidRPr="00012073">
        <w:rPr>
          <w:lang w:val="es-ES"/>
        </w:rPr>
        <w:t xml:space="preserve">eriódico </w:t>
      </w:r>
      <w:r w:rsidR="007D3FE5">
        <w:rPr>
          <w:lang w:val="es-ES"/>
        </w:rPr>
        <w:t>u</w:t>
      </w:r>
      <w:r w:rsidR="00012073" w:rsidRPr="00012073">
        <w:rPr>
          <w:lang w:val="es-ES"/>
        </w:rPr>
        <w:t>niversal, el Gobierno recibió tres recomendaciones: proteger los derechos de las personas detenidas</w:t>
      </w:r>
      <w:r w:rsidR="00012073" w:rsidRPr="006F3262">
        <w:rPr>
          <w:rStyle w:val="FootnoteReference"/>
        </w:rPr>
        <w:footnoteReference w:id="88"/>
      </w:r>
      <w:r w:rsidR="00012073" w:rsidRPr="00012073">
        <w:rPr>
          <w:lang w:val="es-ES"/>
        </w:rPr>
        <w:t>, evitar que la Policía Nacional cometiera actos de tortura</w:t>
      </w:r>
      <w:r w:rsidR="00012073" w:rsidRPr="006F3262">
        <w:rPr>
          <w:rStyle w:val="FootnoteReference"/>
        </w:rPr>
        <w:footnoteReference w:id="89"/>
      </w:r>
      <w:r w:rsidR="00012073" w:rsidRPr="00012073">
        <w:rPr>
          <w:lang w:val="es-ES"/>
        </w:rPr>
        <w:t xml:space="preserve"> y no tolerar los malos tratos en centros de detención</w:t>
      </w:r>
      <w:r w:rsidR="00012073" w:rsidRPr="006F3262">
        <w:rPr>
          <w:rStyle w:val="FootnoteReference"/>
        </w:rPr>
        <w:footnoteReference w:id="90"/>
      </w:r>
      <w:r w:rsidR="00012073" w:rsidRPr="00012073">
        <w:rPr>
          <w:lang w:val="es-ES"/>
        </w:rPr>
        <w:t xml:space="preserve">. El Gobierno aceptó solo la primera, pero </w:t>
      </w:r>
      <w:r w:rsidR="007F53EC">
        <w:rPr>
          <w:lang w:val="es-ES"/>
        </w:rPr>
        <w:t xml:space="preserve">el </w:t>
      </w:r>
      <w:r w:rsidR="00012073" w:rsidRPr="00012073">
        <w:rPr>
          <w:lang w:val="es-ES"/>
        </w:rPr>
        <w:t xml:space="preserve">ACNUDH no recibió información </w:t>
      </w:r>
      <w:r w:rsidR="00555CA5">
        <w:rPr>
          <w:lang w:val="es-ES"/>
        </w:rPr>
        <w:t>indicando que fuera</w:t>
      </w:r>
      <w:r w:rsidR="00012073" w:rsidRPr="00012073">
        <w:rPr>
          <w:lang w:val="es-ES"/>
        </w:rPr>
        <w:t xml:space="preserve"> implementada.</w:t>
      </w:r>
    </w:p>
    <w:p w14:paraId="423FE304" w14:textId="614DE7D6"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49.</w:t>
      </w:r>
      <w:r w:rsidRPr="00012073">
        <w:rPr>
          <w:lang w:val="es-ES"/>
        </w:rPr>
        <w:tab/>
      </w:r>
      <w:r w:rsidR="00012073" w:rsidRPr="00012073">
        <w:rPr>
          <w:lang w:val="es-ES"/>
        </w:rPr>
        <w:t xml:space="preserve">La </w:t>
      </w:r>
      <w:r w:rsidR="00F928CF" w:rsidRPr="00012073">
        <w:rPr>
          <w:lang w:val="es-PA"/>
        </w:rPr>
        <w:t>Procuraduría para la Defensa de los Derechos Humanos</w:t>
      </w:r>
      <w:r w:rsidR="00012073" w:rsidRPr="00012073">
        <w:rPr>
          <w:lang w:val="es-ES"/>
        </w:rPr>
        <w:t xml:space="preserve"> publicó en diciembre de 2021 su inf</w:t>
      </w:r>
      <w:r w:rsidR="00012073" w:rsidRPr="00F408BE">
        <w:rPr>
          <w:lang w:val="es-ES"/>
        </w:rPr>
        <w:t>or</w:t>
      </w:r>
      <w:r w:rsidR="00012073" w:rsidRPr="00E95490">
        <w:rPr>
          <w:lang w:val="es-ES"/>
        </w:rPr>
        <w:t>me “Avances Derechos Humanos Nicaragua 2021”</w:t>
      </w:r>
      <w:r w:rsidR="00555CA5" w:rsidRPr="00E95490">
        <w:rPr>
          <w:lang w:val="es-ES"/>
        </w:rPr>
        <w:t xml:space="preserve"> </w:t>
      </w:r>
      <w:r w:rsidR="00555CA5" w:rsidRPr="00F408BE">
        <w:rPr>
          <w:lang w:val="es-ES"/>
        </w:rPr>
        <w:t>sobre</w:t>
      </w:r>
      <w:r w:rsidR="00555CA5">
        <w:rPr>
          <w:lang w:val="es-ES"/>
        </w:rPr>
        <w:t xml:space="preserve"> </w:t>
      </w:r>
      <w:r w:rsidR="00012073" w:rsidRPr="00012073">
        <w:rPr>
          <w:lang w:val="es-ES"/>
        </w:rPr>
        <w:t>el per</w:t>
      </w:r>
      <w:r w:rsidR="003961E3">
        <w:rPr>
          <w:lang w:val="es-ES"/>
        </w:rPr>
        <w:t>í</w:t>
      </w:r>
      <w:r w:rsidR="00012073" w:rsidRPr="00012073">
        <w:rPr>
          <w:lang w:val="es-ES"/>
        </w:rPr>
        <w:t xml:space="preserve">odo de 2007 a 2021, y no menciona ninguna acción realizada para prevenir malos tratos y torturas. Las actuales condiciones de detención de las personas recluidas en </w:t>
      </w:r>
      <w:r w:rsidR="00E0464C">
        <w:rPr>
          <w:lang w:val="es-ES"/>
        </w:rPr>
        <w:t>el Complejo</w:t>
      </w:r>
      <w:r w:rsidR="00E0464C" w:rsidRPr="00012073">
        <w:rPr>
          <w:lang w:val="es-ES"/>
        </w:rPr>
        <w:t xml:space="preserve"> Evaristo Vásquez</w:t>
      </w:r>
      <w:r w:rsidR="00012073" w:rsidRPr="00012073">
        <w:rPr>
          <w:lang w:val="es-ES"/>
        </w:rPr>
        <w:t xml:space="preserve"> a partir de mayo de 2021</w:t>
      </w:r>
      <w:r w:rsidR="00B17AE2">
        <w:rPr>
          <w:lang w:val="es-ES"/>
        </w:rPr>
        <w:t xml:space="preserve"> (párr. 9</w:t>
      </w:r>
      <w:r w:rsidR="00730A98">
        <w:rPr>
          <w:lang w:val="es-ES"/>
        </w:rPr>
        <w:t xml:space="preserve"> más arriba</w:t>
      </w:r>
      <w:r w:rsidR="00B17AE2">
        <w:rPr>
          <w:lang w:val="es-ES"/>
        </w:rPr>
        <w:t>)</w:t>
      </w:r>
      <w:r w:rsidR="00012073" w:rsidRPr="00012073">
        <w:rPr>
          <w:lang w:val="es-ES"/>
        </w:rPr>
        <w:t xml:space="preserve"> confirmarían la falta de medidas adoptadas por el Estado.</w:t>
      </w:r>
    </w:p>
    <w:p w14:paraId="27F4F5AF" w14:textId="1781956B"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50.</w:t>
      </w:r>
      <w:r w:rsidRPr="00012073">
        <w:rPr>
          <w:lang w:val="es-ES"/>
        </w:rPr>
        <w:tab/>
      </w:r>
      <w:r w:rsidR="00012073" w:rsidRPr="00012073">
        <w:rPr>
          <w:lang w:val="es-ES"/>
        </w:rPr>
        <w:t>Desde 2018, el Relator Especial sobre la tortura y otros tratos o penas crueles, inhumanos o degradantes, junto a otros relatores, ha enviado seis comunicaciones al Gobierno</w:t>
      </w:r>
      <w:r w:rsidR="00012073" w:rsidRPr="006F3262">
        <w:rPr>
          <w:rStyle w:val="FootnoteReference"/>
        </w:rPr>
        <w:footnoteReference w:id="91"/>
      </w:r>
      <w:r w:rsidR="00012073" w:rsidRPr="00012073">
        <w:rPr>
          <w:lang w:val="es-ES"/>
        </w:rPr>
        <w:t xml:space="preserve"> solicitando información sobre alegaciones de torturas o malos tratos en 37 casos, sin obtener respuesta. En octubre de 2018 y en enero de 2021, solicitó al Gobierno visitar el país, pero tampoco obtuvo respuesta. </w:t>
      </w:r>
    </w:p>
    <w:p w14:paraId="7B81FD42" w14:textId="7779D231"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51.</w:t>
      </w:r>
      <w:r w:rsidRPr="00012073">
        <w:rPr>
          <w:lang w:val="es-ES"/>
        </w:rPr>
        <w:tab/>
      </w:r>
      <w:r w:rsidR="00012073" w:rsidRPr="00012073">
        <w:rPr>
          <w:lang w:val="es-ES"/>
        </w:rPr>
        <w:t>En julio de 2022</w:t>
      </w:r>
      <w:r w:rsidR="00280B5B">
        <w:rPr>
          <w:lang w:val="es-ES"/>
        </w:rPr>
        <w:t>,</w:t>
      </w:r>
      <w:r w:rsidR="00012073" w:rsidRPr="00012073">
        <w:rPr>
          <w:lang w:val="es-ES"/>
        </w:rPr>
        <w:t xml:space="preserve"> el Gobierno </w:t>
      </w:r>
      <w:r w:rsidR="00F31B7A">
        <w:rPr>
          <w:lang w:val="es-ES"/>
        </w:rPr>
        <w:t>se ausentó del</w:t>
      </w:r>
      <w:r w:rsidR="00012073" w:rsidRPr="00012073">
        <w:rPr>
          <w:lang w:val="es-ES"/>
        </w:rPr>
        <w:t xml:space="preserve"> diálogo con el Comité contra la Tortura con ocasión de la revisión del segundo informe periódico de Nicaragua. </w:t>
      </w:r>
      <w:r w:rsidR="000E202A">
        <w:rPr>
          <w:lang w:val="es-ES"/>
        </w:rPr>
        <w:t>El Canciller dirigió</w:t>
      </w:r>
      <w:r w:rsidR="00012073" w:rsidRPr="00012073">
        <w:rPr>
          <w:lang w:val="es-ES"/>
        </w:rPr>
        <w:t xml:space="preserve"> una nota al Presidente del Comité descalificando ese órgano y expresando que en su país no se practica la tortura</w:t>
      </w:r>
      <w:r w:rsidR="00012073" w:rsidRPr="006F3262">
        <w:rPr>
          <w:rStyle w:val="FootnoteReference"/>
        </w:rPr>
        <w:footnoteReference w:id="92"/>
      </w:r>
      <w:r w:rsidR="00012073" w:rsidRPr="00012073">
        <w:rPr>
          <w:lang w:val="es-ES"/>
        </w:rPr>
        <w:t xml:space="preserve">. El Comité </w:t>
      </w:r>
      <w:r w:rsidR="00554216">
        <w:rPr>
          <w:lang w:val="es-ES"/>
        </w:rPr>
        <w:t>concluyó</w:t>
      </w:r>
      <w:r w:rsidR="00012073" w:rsidRPr="00012073">
        <w:rPr>
          <w:lang w:val="es-ES"/>
        </w:rPr>
        <w:t xml:space="preserve"> que en Nicaragua se han producido violaciones sistemáticas de la Convención contra la Tortura</w:t>
      </w:r>
      <w:r w:rsidR="00F73A90">
        <w:rPr>
          <w:lang w:val="es-ES"/>
        </w:rPr>
        <w:t xml:space="preserve"> y Otros Tratos o Penas Crueles, Inhumanos o Degradantes</w:t>
      </w:r>
      <w:r w:rsidR="00012073" w:rsidRPr="006F3262">
        <w:rPr>
          <w:rStyle w:val="FootnoteReference"/>
        </w:rPr>
        <w:footnoteReference w:id="93"/>
      </w:r>
      <w:r w:rsidR="00012073" w:rsidRPr="00012073">
        <w:rPr>
          <w:lang w:val="es-ES"/>
        </w:rPr>
        <w:t>.</w:t>
      </w:r>
    </w:p>
    <w:p w14:paraId="44DDC024" w14:textId="45337222" w:rsidR="00012073" w:rsidRPr="00012073" w:rsidRDefault="00012073" w:rsidP="006925DE">
      <w:pPr>
        <w:pStyle w:val="H1G"/>
        <w:rPr>
          <w:b w:val="0"/>
          <w:bCs w:val="0"/>
          <w:lang w:val="es-ES"/>
        </w:rPr>
      </w:pPr>
      <w:r w:rsidRPr="00012073">
        <w:rPr>
          <w:lang w:val="es-ES"/>
        </w:rPr>
        <w:tab/>
      </w:r>
      <w:r w:rsidR="009A4AF1">
        <w:rPr>
          <w:lang w:val="es-ES"/>
        </w:rPr>
        <w:t>G</w:t>
      </w:r>
      <w:r w:rsidRPr="00012073">
        <w:rPr>
          <w:lang w:val="es-ES"/>
        </w:rPr>
        <w:t>.</w:t>
      </w:r>
      <w:r w:rsidRPr="00012073">
        <w:rPr>
          <w:lang w:val="es-ES"/>
        </w:rPr>
        <w:tab/>
        <w:t>Derechos económicos, sociales y culturales</w:t>
      </w:r>
    </w:p>
    <w:p w14:paraId="0A2105F7" w14:textId="3500B704"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52.</w:t>
      </w:r>
      <w:r w:rsidRPr="00012073">
        <w:rPr>
          <w:lang w:val="es-ES"/>
        </w:rPr>
        <w:tab/>
      </w:r>
      <w:r w:rsidR="00012073" w:rsidRPr="00012073">
        <w:rPr>
          <w:lang w:val="es-ES"/>
        </w:rPr>
        <w:t xml:space="preserve">Evaluar la aplicación de las recomendaciones sobre derechos económicos, sociales y culturales resulta </w:t>
      </w:r>
      <w:r w:rsidR="00F31B7A">
        <w:rPr>
          <w:lang w:val="es-ES"/>
        </w:rPr>
        <w:t>especialmente complejo</w:t>
      </w:r>
      <w:r w:rsidR="00012073" w:rsidRPr="00012073">
        <w:rPr>
          <w:lang w:val="es-ES"/>
        </w:rPr>
        <w:t xml:space="preserve"> debido a la esca</w:t>
      </w:r>
      <w:r w:rsidR="00F31B7A">
        <w:rPr>
          <w:lang w:val="es-ES"/>
        </w:rPr>
        <w:t>s</w:t>
      </w:r>
      <w:r w:rsidR="00012073" w:rsidRPr="00012073">
        <w:rPr>
          <w:lang w:val="es-ES"/>
        </w:rPr>
        <w:t>a información oficial pública y actualizada. Esto ha determinado que respecto a ciertos temas y derechos la evaluación no haya podido ser efectuada.</w:t>
      </w:r>
    </w:p>
    <w:p w14:paraId="2FEE82E3" w14:textId="4E4B2CC1"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53.</w:t>
      </w:r>
      <w:r w:rsidRPr="00012073">
        <w:rPr>
          <w:lang w:val="es-ES"/>
        </w:rPr>
        <w:tab/>
      </w:r>
      <w:r w:rsidR="00012073" w:rsidRPr="00012073">
        <w:rPr>
          <w:lang w:val="es-ES"/>
        </w:rPr>
        <w:t xml:space="preserve">Nicaragua ha realizado esfuerzos por mantener el gasto en salud y educación, en cumplimiento parcial de la recomendación del </w:t>
      </w:r>
      <w:r w:rsidR="00012073" w:rsidRPr="00012073">
        <w:rPr>
          <w:lang w:val="es-PA"/>
        </w:rPr>
        <w:t>Comité de Derechos Económicos, Sociales y Culturales</w:t>
      </w:r>
      <w:r w:rsidR="00012073" w:rsidRPr="00012073" w:rsidDel="00140537">
        <w:rPr>
          <w:lang w:val="es-PA"/>
        </w:rPr>
        <w:t xml:space="preserve"> </w:t>
      </w:r>
      <w:r w:rsidR="00012073" w:rsidRPr="00012073">
        <w:rPr>
          <w:lang w:val="es-ES"/>
        </w:rPr>
        <w:t>de implementar un presupuesto que garantice el disfrute de estos derechos por toda la población</w:t>
      </w:r>
      <w:r w:rsidR="00012073" w:rsidRPr="006F3262">
        <w:rPr>
          <w:rStyle w:val="FootnoteReference"/>
        </w:rPr>
        <w:footnoteReference w:id="94"/>
      </w:r>
      <w:r w:rsidR="00012073" w:rsidRPr="00012073">
        <w:rPr>
          <w:lang w:val="es-ES"/>
        </w:rPr>
        <w:t xml:space="preserve">, y de seis recomendaciones recibidas durante el </w:t>
      </w:r>
      <w:r w:rsidR="000E04EF">
        <w:rPr>
          <w:lang w:val="es-ES"/>
        </w:rPr>
        <w:t>e</w:t>
      </w:r>
      <w:r w:rsidR="00012073" w:rsidRPr="00012073">
        <w:rPr>
          <w:lang w:val="es-ES"/>
        </w:rPr>
        <w:t xml:space="preserve">xamen </w:t>
      </w:r>
      <w:r w:rsidR="000E04EF">
        <w:rPr>
          <w:lang w:val="es-ES"/>
        </w:rPr>
        <w:t>p</w:t>
      </w:r>
      <w:r w:rsidR="00012073" w:rsidRPr="00012073">
        <w:rPr>
          <w:lang w:val="es-ES"/>
        </w:rPr>
        <w:t xml:space="preserve">eriódico </w:t>
      </w:r>
      <w:r w:rsidR="000E04EF">
        <w:rPr>
          <w:lang w:val="es-ES"/>
        </w:rPr>
        <w:t>u</w:t>
      </w:r>
      <w:r w:rsidR="00012073" w:rsidRPr="00012073">
        <w:rPr>
          <w:lang w:val="es-ES"/>
        </w:rPr>
        <w:t>niversal</w:t>
      </w:r>
      <w:r w:rsidR="00012073" w:rsidRPr="006F3262">
        <w:rPr>
          <w:rStyle w:val="FootnoteReference"/>
        </w:rPr>
        <w:footnoteReference w:id="95"/>
      </w:r>
      <w:r w:rsidR="00012073" w:rsidRPr="00012073">
        <w:rPr>
          <w:lang w:val="es-ES"/>
        </w:rPr>
        <w:t xml:space="preserve">, todas aceptadas por el Gobierno. El presupuesto aprobado para 2022 en salud y </w:t>
      </w:r>
      <w:r w:rsidR="00012073" w:rsidRPr="00012073">
        <w:rPr>
          <w:lang w:val="es-ES"/>
        </w:rPr>
        <w:lastRenderedPageBreak/>
        <w:t>educación (21</w:t>
      </w:r>
      <w:r w:rsidR="00730A98">
        <w:rPr>
          <w:lang w:val="es-ES"/>
        </w:rPr>
        <w:t>,</w:t>
      </w:r>
      <w:r w:rsidR="00012073" w:rsidRPr="00012073">
        <w:rPr>
          <w:lang w:val="es-ES"/>
        </w:rPr>
        <w:t>5</w:t>
      </w:r>
      <w:r w:rsidR="00E363A2">
        <w:rPr>
          <w:lang w:val="es-ES"/>
        </w:rPr>
        <w:t> </w:t>
      </w:r>
      <w:r w:rsidR="00012073" w:rsidRPr="00012073">
        <w:rPr>
          <w:lang w:val="es-ES"/>
        </w:rPr>
        <w:t>% y 23</w:t>
      </w:r>
      <w:r w:rsidR="00E363A2">
        <w:rPr>
          <w:lang w:val="es-ES"/>
        </w:rPr>
        <w:t> </w:t>
      </w:r>
      <w:r w:rsidR="00012073" w:rsidRPr="00012073">
        <w:rPr>
          <w:lang w:val="es-ES"/>
        </w:rPr>
        <w:t>%, respectivamente</w:t>
      </w:r>
      <w:r w:rsidR="00012073" w:rsidRPr="006F3262">
        <w:rPr>
          <w:rStyle w:val="FootnoteReference"/>
        </w:rPr>
        <w:footnoteReference w:id="96"/>
      </w:r>
      <w:r w:rsidR="00012073" w:rsidRPr="00012073">
        <w:rPr>
          <w:lang w:val="es-ES"/>
        </w:rPr>
        <w:t>) se ha mantenido similar al de 2021 y continúa por encima de las medias regionales y de países desarrollados</w:t>
      </w:r>
      <w:r w:rsidR="00012073" w:rsidRPr="006F3262">
        <w:rPr>
          <w:rStyle w:val="FootnoteReference"/>
        </w:rPr>
        <w:footnoteReference w:id="97"/>
      </w:r>
      <w:r w:rsidR="00012073" w:rsidRPr="00012073">
        <w:rPr>
          <w:lang w:val="es-ES"/>
        </w:rPr>
        <w:t>.</w:t>
      </w:r>
    </w:p>
    <w:p w14:paraId="6C20141B" w14:textId="215ED62C"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54.</w:t>
      </w:r>
      <w:r w:rsidRPr="00012073">
        <w:rPr>
          <w:lang w:val="es-ES"/>
        </w:rPr>
        <w:tab/>
      </w:r>
      <w:r w:rsidR="00012073" w:rsidRPr="00012073">
        <w:rPr>
          <w:lang w:val="es-ES"/>
        </w:rPr>
        <w:t>En la misma recomendación, se pedía fortalecer la rendición de cuentas y transparencia fiscal y evaluar el impacto de la Ley de Concertación Tributaria. El Gobierno no ha informado de ninguna medida al respecto, tampoco sobre cómo garantizar la transparencia y la rendición de cuentas en el combate a la corrupción</w:t>
      </w:r>
      <w:r w:rsidR="00012073" w:rsidRPr="006F3262">
        <w:rPr>
          <w:rStyle w:val="FootnoteReference"/>
        </w:rPr>
        <w:footnoteReference w:id="98"/>
      </w:r>
      <w:r w:rsidR="00012073" w:rsidRPr="00012073">
        <w:rPr>
          <w:lang w:val="es-ES"/>
        </w:rPr>
        <w:t>. Nicaragua sería el segundo país en la región donde existe una mayor percepción pública de corrupción</w:t>
      </w:r>
      <w:r w:rsidR="00012073" w:rsidRPr="006F3262">
        <w:rPr>
          <w:rStyle w:val="FootnoteReference"/>
        </w:rPr>
        <w:footnoteReference w:id="99"/>
      </w:r>
      <w:r w:rsidR="00012073" w:rsidRPr="00012073">
        <w:rPr>
          <w:lang w:val="es-ES"/>
        </w:rPr>
        <w:t>, indicador que ha empeorado desde 2012</w:t>
      </w:r>
      <w:r w:rsidR="00012073" w:rsidRPr="006F3262">
        <w:rPr>
          <w:rStyle w:val="FootnoteReference"/>
        </w:rPr>
        <w:footnoteReference w:id="100"/>
      </w:r>
      <w:r w:rsidR="00012073" w:rsidRPr="00012073">
        <w:rPr>
          <w:lang w:val="es-ES"/>
        </w:rPr>
        <w:t>.</w:t>
      </w:r>
    </w:p>
    <w:p w14:paraId="25B04141" w14:textId="0024DDD5"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55.</w:t>
      </w:r>
      <w:r w:rsidRPr="00012073">
        <w:rPr>
          <w:lang w:val="es-ES"/>
        </w:rPr>
        <w:tab/>
      </w:r>
      <w:r w:rsidR="00012073" w:rsidRPr="00012073">
        <w:rPr>
          <w:lang w:val="es-ES"/>
        </w:rPr>
        <w:t>Nicaragua tampoco ha avanzado en la implementación de las recomendaciones sobre la discriminación en el disfrute de los derechos económicos, sociales y culturales</w:t>
      </w:r>
      <w:r w:rsidR="00012073" w:rsidRPr="006F3262">
        <w:rPr>
          <w:rStyle w:val="FootnoteReference"/>
        </w:rPr>
        <w:footnoteReference w:id="101"/>
      </w:r>
      <w:r w:rsidR="00012073" w:rsidRPr="00012073">
        <w:rPr>
          <w:lang w:val="es-ES"/>
        </w:rPr>
        <w:t xml:space="preserve">, incluyendo el desarrollo de legislación integral, y sobre la readmisión en sus centros de estudio y trabajo de estudiantes y personal académico y médico expulsados por sus posiciones </w:t>
      </w:r>
      <w:r w:rsidR="00AA7DF0">
        <w:rPr>
          <w:lang w:val="es-ES"/>
        </w:rPr>
        <w:t>políticas</w:t>
      </w:r>
      <w:r w:rsidR="00012073" w:rsidRPr="006F3262">
        <w:rPr>
          <w:rStyle w:val="FootnoteReference"/>
        </w:rPr>
        <w:footnoteReference w:id="102"/>
      </w:r>
      <w:r w:rsidR="00012073" w:rsidRPr="00012073">
        <w:rPr>
          <w:lang w:val="es-ES"/>
        </w:rPr>
        <w:t>. Además, ha tomado medidas contrarias a las recomendaciones respecto al derecho a la educación</w:t>
      </w:r>
      <w:r w:rsidR="00012073" w:rsidRPr="006F3262">
        <w:rPr>
          <w:rStyle w:val="FootnoteReference"/>
        </w:rPr>
        <w:footnoteReference w:id="103"/>
      </w:r>
      <w:r w:rsidR="00012073" w:rsidRPr="00012073">
        <w:rPr>
          <w:lang w:val="es-ES"/>
        </w:rPr>
        <w:t>, como se señaló anteriormente</w:t>
      </w:r>
      <w:r w:rsidR="00BC7471">
        <w:rPr>
          <w:lang w:val="es-ES"/>
        </w:rPr>
        <w:t xml:space="preserve"> (párr. 13)</w:t>
      </w:r>
      <w:r w:rsidR="00012073" w:rsidRPr="00012073">
        <w:rPr>
          <w:lang w:val="es-ES"/>
        </w:rPr>
        <w:t>.</w:t>
      </w:r>
    </w:p>
    <w:p w14:paraId="75C40E63" w14:textId="11FBB394"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56.</w:t>
      </w:r>
      <w:r w:rsidRPr="00012073">
        <w:rPr>
          <w:lang w:val="es-ES"/>
        </w:rPr>
        <w:tab/>
      </w:r>
      <w:r w:rsidR="00012073" w:rsidRPr="00012073">
        <w:rPr>
          <w:lang w:val="es-PA"/>
        </w:rPr>
        <w:t xml:space="preserve">Respecto a la recomendación </w:t>
      </w:r>
      <w:r w:rsidR="00012073" w:rsidRPr="00012073">
        <w:rPr>
          <w:lang w:val="es-ES"/>
        </w:rPr>
        <w:t>de realizar esfuerzos para la igualdad de género en el trabajo</w:t>
      </w:r>
      <w:r w:rsidR="00012073" w:rsidRPr="006F3262">
        <w:rPr>
          <w:rStyle w:val="FootnoteReference"/>
        </w:rPr>
        <w:footnoteReference w:id="104"/>
      </w:r>
      <w:r w:rsidR="00012073" w:rsidRPr="00012073">
        <w:rPr>
          <w:lang w:val="es-ES"/>
        </w:rPr>
        <w:t xml:space="preserve">, el Gobierno viene luchando contra la brecha salarial en la administración pública, como dio a conocer en el Primer Informe Nacional Voluntario sobre los </w:t>
      </w:r>
      <w:r w:rsidR="00AD121A">
        <w:rPr>
          <w:lang w:val="es-ES"/>
        </w:rPr>
        <w:t>Objetivos de Desarrollo Sostenible</w:t>
      </w:r>
      <w:r w:rsidR="00012073" w:rsidRPr="00012073">
        <w:rPr>
          <w:lang w:val="es-ES"/>
        </w:rPr>
        <w:t>. Esta brecha habría disminuido del 27</w:t>
      </w:r>
      <w:r w:rsidR="002524C0">
        <w:rPr>
          <w:lang w:val="es-ES"/>
        </w:rPr>
        <w:t>,</w:t>
      </w:r>
      <w:r w:rsidR="00012073" w:rsidRPr="00012073">
        <w:rPr>
          <w:lang w:val="es-ES"/>
        </w:rPr>
        <w:t>3</w:t>
      </w:r>
      <w:r w:rsidR="00920159">
        <w:rPr>
          <w:lang w:val="es-ES"/>
        </w:rPr>
        <w:t> </w:t>
      </w:r>
      <w:r w:rsidR="00012073" w:rsidRPr="00012073">
        <w:rPr>
          <w:lang w:val="es-ES"/>
        </w:rPr>
        <w:t>% en 2007 hasta 7</w:t>
      </w:r>
      <w:r w:rsidR="00F73A90">
        <w:rPr>
          <w:lang w:val="es-ES"/>
        </w:rPr>
        <w:t>,</w:t>
      </w:r>
      <w:r w:rsidR="00012073" w:rsidRPr="00012073">
        <w:rPr>
          <w:lang w:val="es-ES"/>
        </w:rPr>
        <w:t>6</w:t>
      </w:r>
      <w:r w:rsidR="00920159">
        <w:rPr>
          <w:lang w:val="es-ES"/>
        </w:rPr>
        <w:t> </w:t>
      </w:r>
      <w:r w:rsidR="00012073" w:rsidRPr="00012073">
        <w:rPr>
          <w:lang w:val="es-ES"/>
        </w:rPr>
        <w:t>% en 2020 en el Gobierno Central</w:t>
      </w:r>
      <w:r w:rsidR="00012073" w:rsidRPr="006F3262">
        <w:rPr>
          <w:rStyle w:val="FootnoteReference"/>
        </w:rPr>
        <w:footnoteReference w:id="105"/>
      </w:r>
      <w:r w:rsidR="00012073" w:rsidRPr="00012073">
        <w:rPr>
          <w:lang w:val="es-ES"/>
        </w:rPr>
        <w:t>.</w:t>
      </w:r>
    </w:p>
    <w:p w14:paraId="7D68D982" w14:textId="37DF70EB"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57.</w:t>
      </w:r>
      <w:r w:rsidRPr="00012073">
        <w:rPr>
          <w:lang w:val="es-ES"/>
        </w:rPr>
        <w:tab/>
      </w:r>
      <w:r w:rsidR="00012073" w:rsidRPr="00012073">
        <w:rPr>
          <w:lang w:val="es-ES"/>
        </w:rPr>
        <w:t>Nicaragua también recibió recomendaciones sobre los derechos al agua y al saneamiento</w:t>
      </w:r>
      <w:r w:rsidR="00012073" w:rsidRPr="006F3262">
        <w:rPr>
          <w:rStyle w:val="FootnoteReference"/>
        </w:rPr>
        <w:footnoteReference w:id="106"/>
      </w:r>
      <w:r w:rsidR="00012073" w:rsidRPr="00012073">
        <w:rPr>
          <w:lang w:val="es-ES"/>
        </w:rPr>
        <w:t xml:space="preserve">. Según el mismo informe voluntario, de 2007 a 2020 hubo una inversión de 809.900.000 </w:t>
      </w:r>
      <w:r w:rsidR="00991E33">
        <w:rPr>
          <w:lang w:val="es-ES"/>
        </w:rPr>
        <w:t xml:space="preserve">dólares </w:t>
      </w:r>
      <w:r w:rsidR="00BD1D4D">
        <w:rPr>
          <w:lang w:val="es-ES"/>
        </w:rPr>
        <w:t>de los Estados</w:t>
      </w:r>
      <w:r w:rsidR="00312BC0">
        <w:rPr>
          <w:lang w:val="es-ES"/>
        </w:rPr>
        <w:t xml:space="preserve"> Unidos </w:t>
      </w:r>
      <w:r w:rsidR="00012073" w:rsidRPr="00012073">
        <w:rPr>
          <w:lang w:val="es-ES"/>
        </w:rPr>
        <w:t>en este sector, aumentando las coberturas urbanas de agua potable de 65</w:t>
      </w:r>
      <w:r w:rsidR="00A60E71">
        <w:rPr>
          <w:lang w:val="es-ES"/>
        </w:rPr>
        <w:t>,</w:t>
      </w:r>
      <w:r w:rsidR="00012073" w:rsidRPr="00012073">
        <w:rPr>
          <w:lang w:val="es-ES"/>
        </w:rPr>
        <w:t>0</w:t>
      </w:r>
      <w:r w:rsidR="00292CF9">
        <w:rPr>
          <w:lang w:val="es-ES"/>
        </w:rPr>
        <w:t> </w:t>
      </w:r>
      <w:r w:rsidR="00012073" w:rsidRPr="00012073">
        <w:rPr>
          <w:lang w:val="es-ES"/>
        </w:rPr>
        <w:t>% a 91</w:t>
      </w:r>
      <w:r w:rsidR="00A60E71">
        <w:rPr>
          <w:lang w:val="es-ES"/>
        </w:rPr>
        <w:t>,</w:t>
      </w:r>
      <w:r w:rsidR="00012073" w:rsidRPr="00012073">
        <w:rPr>
          <w:lang w:val="es-ES"/>
        </w:rPr>
        <w:t>5</w:t>
      </w:r>
      <w:r w:rsidR="00292CF9">
        <w:rPr>
          <w:lang w:val="es-ES"/>
        </w:rPr>
        <w:t> </w:t>
      </w:r>
      <w:r w:rsidR="00012073" w:rsidRPr="00012073">
        <w:rPr>
          <w:lang w:val="es-ES"/>
        </w:rPr>
        <w:t>%, y la de alcantarillado de 33</w:t>
      </w:r>
      <w:r w:rsidR="00A60E71">
        <w:rPr>
          <w:lang w:val="es-ES"/>
        </w:rPr>
        <w:t>,</w:t>
      </w:r>
      <w:r w:rsidR="00012073" w:rsidRPr="00012073">
        <w:rPr>
          <w:lang w:val="es-ES"/>
        </w:rPr>
        <w:t>0</w:t>
      </w:r>
      <w:r w:rsidR="002524C0">
        <w:rPr>
          <w:lang w:val="es-ES"/>
        </w:rPr>
        <w:t> </w:t>
      </w:r>
      <w:r w:rsidR="00012073" w:rsidRPr="00012073">
        <w:rPr>
          <w:lang w:val="es-ES"/>
        </w:rPr>
        <w:t>% a 54</w:t>
      </w:r>
      <w:r w:rsidR="00A60E71">
        <w:rPr>
          <w:lang w:val="es-ES"/>
        </w:rPr>
        <w:t>,</w:t>
      </w:r>
      <w:r w:rsidR="00012073" w:rsidRPr="00012073">
        <w:rPr>
          <w:lang w:val="es-ES"/>
        </w:rPr>
        <w:t>0</w:t>
      </w:r>
      <w:r w:rsidR="002524C0">
        <w:rPr>
          <w:lang w:val="es-ES"/>
        </w:rPr>
        <w:t> </w:t>
      </w:r>
      <w:r w:rsidR="00012073" w:rsidRPr="00012073">
        <w:rPr>
          <w:lang w:val="es-ES"/>
        </w:rPr>
        <w:t>%. En el ámbito rural, la cobertura de agua potable pasó de 26</w:t>
      </w:r>
      <w:r w:rsidR="00A60E71">
        <w:rPr>
          <w:lang w:val="es-ES"/>
        </w:rPr>
        <w:t>,</w:t>
      </w:r>
      <w:r w:rsidR="00012073" w:rsidRPr="00012073">
        <w:rPr>
          <w:lang w:val="es-ES"/>
        </w:rPr>
        <w:t>7</w:t>
      </w:r>
      <w:r w:rsidR="00587618">
        <w:rPr>
          <w:lang w:val="es-ES"/>
        </w:rPr>
        <w:t> </w:t>
      </w:r>
      <w:r w:rsidR="00012073" w:rsidRPr="00012073">
        <w:rPr>
          <w:lang w:val="es-ES"/>
        </w:rPr>
        <w:t>% a 55</w:t>
      </w:r>
      <w:r w:rsidR="00A60E71">
        <w:rPr>
          <w:lang w:val="es-ES"/>
        </w:rPr>
        <w:t>,</w:t>
      </w:r>
      <w:r w:rsidR="00012073" w:rsidRPr="00012073">
        <w:rPr>
          <w:lang w:val="es-ES"/>
        </w:rPr>
        <w:t>4</w:t>
      </w:r>
      <w:r w:rsidR="00587618">
        <w:rPr>
          <w:lang w:val="es-ES"/>
        </w:rPr>
        <w:t> </w:t>
      </w:r>
      <w:r w:rsidR="00012073" w:rsidRPr="00012073">
        <w:rPr>
          <w:lang w:val="es-ES"/>
        </w:rPr>
        <w:t>%, y la de alcantarillado de 36</w:t>
      </w:r>
      <w:r w:rsidR="00A60E71">
        <w:rPr>
          <w:lang w:val="es-ES"/>
        </w:rPr>
        <w:t>,</w:t>
      </w:r>
      <w:r w:rsidR="00012073" w:rsidRPr="00012073">
        <w:rPr>
          <w:lang w:val="es-ES"/>
        </w:rPr>
        <w:t>1</w:t>
      </w:r>
      <w:r w:rsidR="00A60E71">
        <w:rPr>
          <w:lang w:val="es-ES"/>
        </w:rPr>
        <w:t> </w:t>
      </w:r>
      <w:r w:rsidR="00012073" w:rsidRPr="00012073">
        <w:rPr>
          <w:lang w:val="es-ES"/>
        </w:rPr>
        <w:t>% a 50</w:t>
      </w:r>
      <w:r w:rsidR="00A60E71">
        <w:rPr>
          <w:lang w:val="es-ES"/>
        </w:rPr>
        <w:t>,</w:t>
      </w:r>
      <w:r w:rsidR="00012073" w:rsidRPr="00012073">
        <w:rPr>
          <w:lang w:val="es-ES"/>
        </w:rPr>
        <w:t>9</w:t>
      </w:r>
      <w:r w:rsidR="00A60E71">
        <w:rPr>
          <w:lang w:val="es-ES"/>
        </w:rPr>
        <w:t> </w:t>
      </w:r>
      <w:r w:rsidR="00012073" w:rsidRPr="00012073">
        <w:rPr>
          <w:lang w:val="es-ES"/>
        </w:rPr>
        <w:t>%</w:t>
      </w:r>
      <w:r w:rsidR="00012073" w:rsidRPr="006F3262">
        <w:rPr>
          <w:rStyle w:val="FootnoteReference"/>
        </w:rPr>
        <w:footnoteReference w:id="107"/>
      </w:r>
      <w:r w:rsidR="00012073" w:rsidRPr="00012073">
        <w:rPr>
          <w:lang w:val="es-ES"/>
        </w:rPr>
        <w:t>.</w:t>
      </w:r>
    </w:p>
    <w:p w14:paraId="3A6D3FA5" w14:textId="1816699A" w:rsidR="00012073" w:rsidRPr="00012073" w:rsidRDefault="00012073" w:rsidP="006925DE">
      <w:pPr>
        <w:pStyle w:val="H1G"/>
        <w:rPr>
          <w:b w:val="0"/>
          <w:bCs w:val="0"/>
          <w:lang w:val="es-ES"/>
        </w:rPr>
      </w:pPr>
      <w:r w:rsidRPr="00012073">
        <w:rPr>
          <w:lang w:val="es-ES"/>
        </w:rPr>
        <w:tab/>
      </w:r>
      <w:r w:rsidR="009A4AF1">
        <w:rPr>
          <w:lang w:val="es-ES"/>
        </w:rPr>
        <w:t>H</w:t>
      </w:r>
      <w:r w:rsidRPr="00012073">
        <w:rPr>
          <w:lang w:val="es-ES"/>
        </w:rPr>
        <w:t>.</w:t>
      </w:r>
      <w:r w:rsidRPr="00012073">
        <w:rPr>
          <w:lang w:val="es-ES"/>
        </w:rPr>
        <w:tab/>
        <w:t>Derechos de las mujeres y las niñas</w:t>
      </w:r>
    </w:p>
    <w:p w14:paraId="0C2F7AAE" w14:textId="1F9525FF"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58.</w:t>
      </w:r>
      <w:r w:rsidRPr="00012073">
        <w:rPr>
          <w:lang w:val="es-ES"/>
        </w:rPr>
        <w:tab/>
      </w:r>
      <w:r w:rsidR="00012073" w:rsidRPr="00012073">
        <w:rPr>
          <w:lang w:val="es-ES"/>
        </w:rPr>
        <w:t>Nicaragua ha recibido recomendaciones de enmendar la prohibición total del aborto y alinearla con los estándares internacionales sobre derechos sexuales y reproductivos, y de adoptar otras medidas que garanticen los derechos sexuales y reproductivos</w:t>
      </w:r>
      <w:r w:rsidR="00012073" w:rsidRPr="006F3262">
        <w:rPr>
          <w:rStyle w:val="FootnoteReference"/>
        </w:rPr>
        <w:footnoteReference w:id="108"/>
      </w:r>
      <w:r w:rsidR="00012073" w:rsidRPr="00012073">
        <w:rPr>
          <w:lang w:val="es-ES"/>
        </w:rPr>
        <w:t xml:space="preserve">. </w:t>
      </w:r>
      <w:r w:rsidR="005C744E">
        <w:rPr>
          <w:lang w:val="es-ES"/>
        </w:rPr>
        <w:t xml:space="preserve">El </w:t>
      </w:r>
      <w:r w:rsidR="005C744E" w:rsidRPr="00012073">
        <w:rPr>
          <w:lang w:val="es-ES"/>
        </w:rPr>
        <w:t xml:space="preserve">ACNUDH </w:t>
      </w:r>
      <w:r w:rsidR="00012073" w:rsidRPr="00012073">
        <w:rPr>
          <w:lang w:val="es-ES"/>
        </w:rPr>
        <w:t>no ha sido informad</w:t>
      </w:r>
      <w:r w:rsidR="00C605C7">
        <w:rPr>
          <w:lang w:val="es-ES"/>
        </w:rPr>
        <w:t>o</w:t>
      </w:r>
      <w:r w:rsidR="00012073" w:rsidRPr="00012073">
        <w:rPr>
          <w:lang w:val="es-ES"/>
        </w:rPr>
        <w:t xml:space="preserve"> sobre la aplicación de estas recomendaciones. </w:t>
      </w:r>
      <w:r w:rsidR="007E326D">
        <w:rPr>
          <w:lang w:val="es-ES"/>
        </w:rPr>
        <w:t>El Gobierno</w:t>
      </w:r>
      <w:r w:rsidR="00012073" w:rsidRPr="00012073">
        <w:rPr>
          <w:lang w:val="es-ES"/>
        </w:rPr>
        <w:t xml:space="preserve"> señaló que se habría tratado de imponer el aborto contra la tradición y cultura nicaragüenses</w:t>
      </w:r>
      <w:r w:rsidR="00012073" w:rsidRPr="006F3262">
        <w:rPr>
          <w:rStyle w:val="FootnoteReference"/>
        </w:rPr>
        <w:footnoteReference w:id="109"/>
      </w:r>
      <w:r w:rsidR="00012073" w:rsidRPr="00012073">
        <w:rPr>
          <w:lang w:val="es-ES"/>
        </w:rPr>
        <w:t xml:space="preserve">. </w:t>
      </w:r>
      <w:r w:rsidR="00012073" w:rsidRPr="00012073">
        <w:rPr>
          <w:lang w:val="es-AR"/>
        </w:rPr>
        <w:t>Entre 2019 y 2021 se habrían invertido 4</w:t>
      </w:r>
      <w:r w:rsidR="004D5732">
        <w:rPr>
          <w:lang w:val="es-AR"/>
        </w:rPr>
        <w:t>,</w:t>
      </w:r>
      <w:r w:rsidR="00012073" w:rsidRPr="00012073">
        <w:rPr>
          <w:lang w:val="es-AR"/>
        </w:rPr>
        <w:t xml:space="preserve">2 millones </w:t>
      </w:r>
      <w:r w:rsidR="00521BB5">
        <w:rPr>
          <w:lang w:val="es-AR"/>
        </w:rPr>
        <w:t>de dólares</w:t>
      </w:r>
      <w:r w:rsidR="00521BB5" w:rsidRPr="00012073">
        <w:rPr>
          <w:lang w:val="es-AR"/>
        </w:rPr>
        <w:t xml:space="preserve"> </w:t>
      </w:r>
      <w:r w:rsidR="00012073" w:rsidRPr="00012073">
        <w:rPr>
          <w:lang w:val="es-AR"/>
        </w:rPr>
        <w:t xml:space="preserve">en la compra de anticonceptivos, que habrían sido </w:t>
      </w:r>
      <w:r w:rsidR="007E326D">
        <w:rPr>
          <w:lang w:val="es-AR"/>
        </w:rPr>
        <w:t>in</w:t>
      </w:r>
      <w:r w:rsidR="00012073" w:rsidRPr="00012073">
        <w:rPr>
          <w:lang w:val="es-AR"/>
        </w:rPr>
        <w:t>suficientes para evitar las rupturas de stock. Los anticonceptivos orales de emergencia continúan sin estar disponibles en centros públicos de salud.</w:t>
      </w:r>
    </w:p>
    <w:p w14:paraId="1482219B" w14:textId="04FE01BB"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lastRenderedPageBreak/>
        <w:t>59.</w:t>
      </w:r>
      <w:r w:rsidRPr="00012073">
        <w:rPr>
          <w:lang w:val="es-ES"/>
        </w:rPr>
        <w:tab/>
      </w:r>
      <w:r w:rsidR="00012073" w:rsidRPr="00012073">
        <w:rPr>
          <w:lang w:val="es-ES"/>
        </w:rPr>
        <w:t>También se ha recomendado a Nicaragua</w:t>
      </w:r>
      <w:r w:rsidR="00012073" w:rsidRPr="00012073">
        <w:rPr>
          <w:vertAlign w:val="superscript"/>
          <w:lang w:val="es-ES"/>
        </w:rPr>
        <w:t xml:space="preserve"> </w:t>
      </w:r>
      <w:r w:rsidR="00012073" w:rsidRPr="00012073">
        <w:rPr>
          <w:lang w:val="es-ES"/>
        </w:rPr>
        <w:t>fortalecer la participación de las mujeres en los ámbitos económico y político</w:t>
      </w:r>
      <w:r w:rsidR="00012073" w:rsidRPr="006F3262">
        <w:rPr>
          <w:rStyle w:val="FootnoteReference"/>
        </w:rPr>
        <w:footnoteReference w:id="110"/>
      </w:r>
      <w:r w:rsidR="00012073" w:rsidRPr="00012073">
        <w:rPr>
          <w:lang w:val="es-ES"/>
        </w:rPr>
        <w:t>. Según el Índice Global de Brecha de Género</w:t>
      </w:r>
      <w:r w:rsidR="00012073" w:rsidRPr="006F3262">
        <w:rPr>
          <w:rStyle w:val="FootnoteReference"/>
        </w:rPr>
        <w:footnoteReference w:id="111"/>
      </w:r>
      <w:r w:rsidR="00012073" w:rsidRPr="00012073">
        <w:rPr>
          <w:lang w:val="es-ES"/>
        </w:rPr>
        <w:t>, Nicaragua se encontraría entre los países más igualitarios del mundo entre mujeres y hombres por indicadores educativos, políticos y económicos, y cuenta con el segundo mayor porcentaje de mujeres alcaldesas en América Latina y el Caribe (42</w:t>
      </w:r>
      <w:r w:rsidR="008F5F47">
        <w:rPr>
          <w:lang w:val="es-ES"/>
        </w:rPr>
        <w:t>,</w:t>
      </w:r>
      <w:r w:rsidR="00012073" w:rsidRPr="00012073">
        <w:rPr>
          <w:lang w:val="es-ES"/>
        </w:rPr>
        <w:t>5</w:t>
      </w:r>
      <w:r w:rsidR="00A64AE9">
        <w:rPr>
          <w:lang w:val="es-ES"/>
        </w:rPr>
        <w:t> </w:t>
      </w:r>
      <w:r w:rsidR="00012073" w:rsidRPr="00012073">
        <w:rPr>
          <w:lang w:val="es-ES"/>
        </w:rPr>
        <w:t>%)</w:t>
      </w:r>
      <w:r w:rsidR="00012073" w:rsidRPr="006F3262">
        <w:rPr>
          <w:rStyle w:val="FootnoteReference"/>
        </w:rPr>
        <w:footnoteReference w:id="112"/>
      </w:r>
      <w:r w:rsidR="00012073" w:rsidRPr="00012073">
        <w:rPr>
          <w:lang w:val="es-ES"/>
        </w:rPr>
        <w:t>. La</w:t>
      </w:r>
      <w:r w:rsidR="00012073" w:rsidRPr="00012073" w:rsidDel="00565BBE">
        <w:rPr>
          <w:lang w:val="es-ES"/>
        </w:rPr>
        <w:t xml:space="preserve"> Ley Electoral </w:t>
      </w:r>
      <w:r w:rsidR="001F22DC">
        <w:rPr>
          <w:lang w:val="es-ES"/>
        </w:rPr>
        <w:t>núm. </w:t>
      </w:r>
      <w:r w:rsidR="00012073" w:rsidRPr="00012073" w:rsidDel="00565BBE">
        <w:rPr>
          <w:lang w:val="es-ES"/>
        </w:rPr>
        <w:t xml:space="preserve">1070 </w:t>
      </w:r>
      <w:r w:rsidR="00012073" w:rsidRPr="00012073">
        <w:rPr>
          <w:lang w:val="es-ES"/>
        </w:rPr>
        <w:t>sustenta la paridad de género al establecer cuotas del 50</w:t>
      </w:r>
      <w:r w:rsidR="00A64AE9">
        <w:rPr>
          <w:lang w:val="es-ES"/>
        </w:rPr>
        <w:t> </w:t>
      </w:r>
      <w:r w:rsidR="00012073" w:rsidRPr="00012073">
        <w:rPr>
          <w:lang w:val="es-ES"/>
        </w:rPr>
        <w:t>% para hombres y mujeres en la composición del Consejo Supremo Electoral,</w:t>
      </w:r>
      <w:r w:rsidR="00012073" w:rsidRPr="00012073" w:rsidDel="00565BBE">
        <w:rPr>
          <w:lang w:val="es-ES"/>
        </w:rPr>
        <w:t xml:space="preserve"> en </w:t>
      </w:r>
      <w:r w:rsidR="00012073" w:rsidRPr="00012073">
        <w:rPr>
          <w:lang w:val="es-ES"/>
        </w:rPr>
        <w:t xml:space="preserve">los órganos internos de los partidos </w:t>
      </w:r>
      <w:r w:rsidR="00012073" w:rsidRPr="00012073" w:rsidDel="00565BBE">
        <w:rPr>
          <w:lang w:val="es-ES"/>
        </w:rPr>
        <w:t xml:space="preserve">y en </w:t>
      </w:r>
      <w:r w:rsidR="00012073" w:rsidRPr="00012073">
        <w:rPr>
          <w:lang w:val="es-ES"/>
        </w:rPr>
        <w:t>las listas electorales para comicios locales, regionales y nacionales</w:t>
      </w:r>
      <w:r w:rsidR="00012073" w:rsidRPr="006F3262">
        <w:rPr>
          <w:rStyle w:val="FootnoteReference"/>
        </w:rPr>
        <w:footnoteReference w:id="113"/>
      </w:r>
      <w:r w:rsidR="00012073" w:rsidRPr="00012073">
        <w:rPr>
          <w:lang w:val="es-ES"/>
        </w:rPr>
        <w:t>.</w:t>
      </w:r>
    </w:p>
    <w:p w14:paraId="5F4FFA38" w14:textId="7F58994C"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60.</w:t>
      </w:r>
      <w:r w:rsidRPr="00012073">
        <w:rPr>
          <w:lang w:val="es-ES"/>
        </w:rPr>
        <w:tab/>
      </w:r>
      <w:r w:rsidR="00012073" w:rsidRPr="00012073">
        <w:rPr>
          <w:lang w:val="es-ES"/>
        </w:rPr>
        <w:t xml:space="preserve">En materia de violencia de género, acceso de las mujeres a la justicia y mortalidad materna, Nicaragua también recibió recomendaciones durante el </w:t>
      </w:r>
      <w:r w:rsidR="009E213A">
        <w:rPr>
          <w:lang w:val="es-ES"/>
        </w:rPr>
        <w:t>e</w:t>
      </w:r>
      <w:r w:rsidR="00012073" w:rsidRPr="00012073">
        <w:rPr>
          <w:lang w:val="es-ES"/>
        </w:rPr>
        <w:t xml:space="preserve">xamen </w:t>
      </w:r>
      <w:r w:rsidR="009E213A">
        <w:rPr>
          <w:lang w:val="es-ES"/>
        </w:rPr>
        <w:t>p</w:t>
      </w:r>
      <w:r w:rsidR="00012073" w:rsidRPr="00012073">
        <w:rPr>
          <w:lang w:val="es-ES"/>
        </w:rPr>
        <w:t xml:space="preserve">eriódico </w:t>
      </w:r>
      <w:r w:rsidR="009E213A">
        <w:rPr>
          <w:lang w:val="es-ES"/>
        </w:rPr>
        <w:t>u</w:t>
      </w:r>
      <w:r w:rsidR="00012073" w:rsidRPr="00012073">
        <w:rPr>
          <w:lang w:val="es-ES"/>
        </w:rPr>
        <w:t>niversal</w:t>
      </w:r>
      <w:r w:rsidR="00012073" w:rsidRPr="006F3262">
        <w:rPr>
          <w:rStyle w:val="FootnoteReference"/>
        </w:rPr>
        <w:footnoteReference w:id="114"/>
      </w:r>
      <w:r w:rsidR="00012073" w:rsidRPr="00012073">
        <w:rPr>
          <w:lang w:val="es-ES"/>
        </w:rPr>
        <w:t>, una de ellas dirigida a la creación de registros completos y transparentes de la incidencia de la violencia doméstica, la violencia sexual y la mortalidad materna, así como los feminicidios.</w:t>
      </w:r>
    </w:p>
    <w:p w14:paraId="1A3F180E" w14:textId="3AD7AEC5"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61.</w:t>
      </w:r>
      <w:r w:rsidRPr="00012073">
        <w:rPr>
          <w:lang w:val="es-ES"/>
        </w:rPr>
        <w:tab/>
      </w:r>
      <w:r w:rsidR="00012073" w:rsidRPr="00012073">
        <w:rPr>
          <w:lang w:val="es-ES"/>
        </w:rPr>
        <w:t>Debido a la insuficiencia</w:t>
      </w:r>
      <w:r w:rsidR="00012073" w:rsidRPr="00012073" w:rsidDel="00A165B8">
        <w:rPr>
          <w:lang w:val="es-ES"/>
        </w:rPr>
        <w:t xml:space="preserve"> </w:t>
      </w:r>
      <w:r w:rsidR="00012073" w:rsidRPr="00012073">
        <w:rPr>
          <w:lang w:val="es-ES"/>
        </w:rPr>
        <w:t>de datos oficiales, no es posible conocer la magnitud de la violencia contra las mujeres en Nicaragua. En 2020 existió una gran disparidad entre el número de feminicidios documentados por la sociedad civil y el reportado por el Gobierno</w:t>
      </w:r>
      <w:r w:rsidR="00012073" w:rsidRPr="006F3262">
        <w:rPr>
          <w:rStyle w:val="FootnoteReference"/>
        </w:rPr>
        <w:footnoteReference w:id="115"/>
      </w:r>
      <w:r w:rsidR="00AD3F46">
        <w:rPr>
          <w:lang w:val="es-ES"/>
        </w:rPr>
        <w:t xml:space="preserve"> quien,</w:t>
      </w:r>
      <w:r w:rsidR="00012073" w:rsidRPr="00012073">
        <w:rPr>
          <w:lang w:val="es-ES"/>
        </w:rPr>
        <w:t xml:space="preserve"> en 2021, ya no publicó cifras. Sin embargo, ha informado sobre la creación de más de 100</w:t>
      </w:r>
      <w:r w:rsidR="007342BA">
        <w:rPr>
          <w:lang w:val="es-ES"/>
        </w:rPr>
        <w:t> </w:t>
      </w:r>
      <w:r w:rsidR="00012073" w:rsidRPr="00012073">
        <w:rPr>
          <w:lang w:val="es-ES"/>
        </w:rPr>
        <w:t xml:space="preserve">Comisarías de la Mujer especializadas en </w:t>
      </w:r>
      <w:r w:rsidR="00612629">
        <w:rPr>
          <w:lang w:val="es-ES"/>
        </w:rPr>
        <w:t>el tema</w:t>
      </w:r>
      <w:r w:rsidR="00012073" w:rsidRPr="006F3262">
        <w:rPr>
          <w:rStyle w:val="FootnoteReference"/>
        </w:rPr>
        <w:footnoteReference w:id="116"/>
      </w:r>
      <w:r w:rsidR="00012073" w:rsidRPr="00012073">
        <w:rPr>
          <w:lang w:val="es-ES"/>
        </w:rPr>
        <w:t>.</w:t>
      </w:r>
    </w:p>
    <w:p w14:paraId="018A7F2C" w14:textId="737DC411"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62.</w:t>
      </w:r>
      <w:r w:rsidRPr="00012073">
        <w:rPr>
          <w:lang w:val="es-ES"/>
        </w:rPr>
        <w:tab/>
      </w:r>
      <w:r w:rsidR="00012073" w:rsidRPr="00012073">
        <w:rPr>
          <w:lang w:val="es-ES"/>
        </w:rPr>
        <w:t>Respecto a la tasa de mortalidad materna, el Gobierno incluyó su reducción como objetivo prioritario en el Plan Nacional de Lucha contra la Pobreza y para el Desarrollo Humano (2022-2026) y en 2021 afirmó haber logrado reducirla a 37 por cada 100</w:t>
      </w:r>
      <w:r w:rsidR="007B4414">
        <w:rPr>
          <w:lang w:val="es-ES"/>
        </w:rPr>
        <w:t>.000</w:t>
      </w:r>
      <w:r w:rsidR="0099796B">
        <w:rPr>
          <w:lang w:val="es-ES"/>
        </w:rPr>
        <w:t> </w:t>
      </w:r>
      <w:r w:rsidR="00012073" w:rsidRPr="00012073">
        <w:rPr>
          <w:lang w:val="es-ES"/>
        </w:rPr>
        <w:t>nacimientos</w:t>
      </w:r>
      <w:r w:rsidR="00012073" w:rsidRPr="006F3262">
        <w:rPr>
          <w:rStyle w:val="FootnoteReference"/>
        </w:rPr>
        <w:footnoteReference w:id="117"/>
      </w:r>
      <w:r w:rsidR="00012073" w:rsidRPr="00012073">
        <w:rPr>
          <w:lang w:val="es-ES"/>
        </w:rPr>
        <w:t>, lo que supondría una reducción del 68</w:t>
      </w:r>
      <w:r w:rsidR="0099796B">
        <w:rPr>
          <w:lang w:val="es-ES"/>
        </w:rPr>
        <w:t> </w:t>
      </w:r>
      <w:r w:rsidR="00012073" w:rsidRPr="00012073">
        <w:rPr>
          <w:lang w:val="es-ES"/>
        </w:rPr>
        <w:t>% de muertes desde 2006, cuando era de 115</w:t>
      </w:r>
      <w:r w:rsidR="0099796B">
        <w:rPr>
          <w:lang w:val="es-ES"/>
        </w:rPr>
        <w:t xml:space="preserve"> por </w:t>
      </w:r>
      <w:r w:rsidR="00012073" w:rsidRPr="00012073">
        <w:rPr>
          <w:lang w:val="es-ES"/>
        </w:rPr>
        <w:t>100</w:t>
      </w:r>
      <w:r w:rsidR="0099796B">
        <w:rPr>
          <w:lang w:val="es-ES"/>
        </w:rPr>
        <w:t>.</w:t>
      </w:r>
      <w:r w:rsidR="00CB1A11">
        <w:rPr>
          <w:lang w:val="es-ES"/>
        </w:rPr>
        <w:t>000</w:t>
      </w:r>
      <w:r w:rsidR="00012073" w:rsidRPr="00012073">
        <w:rPr>
          <w:lang w:val="es-ES"/>
        </w:rPr>
        <w:t>. Sin embargo, la reducción acelerada desde 2017, que no responde a las tendencias del pasado, no ha sido validada por organismos internacionales.</w:t>
      </w:r>
    </w:p>
    <w:p w14:paraId="393D634C" w14:textId="4E7B83D8"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63.</w:t>
      </w:r>
      <w:r w:rsidRPr="00012073">
        <w:rPr>
          <w:lang w:val="es-ES"/>
        </w:rPr>
        <w:tab/>
      </w:r>
      <w:r w:rsidR="00012073" w:rsidRPr="00012073">
        <w:rPr>
          <w:lang w:val="es-AR"/>
        </w:rPr>
        <w:t xml:space="preserve">Con relación a las recomendaciones sobre los derechos de las niñas durante el </w:t>
      </w:r>
      <w:r w:rsidR="00CB1A11">
        <w:rPr>
          <w:lang w:val="es-AR"/>
        </w:rPr>
        <w:t>e</w:t>
      </w:r>
      <w:r w:rsidR="00012073" w:rsidRPr="00012073">
        <w:rPr>
          <w:lang w:val="es-AR"/>
        </w:rPr>
        <w:t xml:space="preserve">xamen </w:t>
      </w:r>
      <w:r w:rsidR="00CB1A11">
        <w:rPr>
          <w:lang w:val="es-AR"/>
        </w:rPr>
        <w:t>p</w:t>
      </w:r>
      <w:r w:rsidR="00012073" w:rsidRPr="00012073">
        <w:rPr>
          <w:lang w:val="es-AR"/>
        </w:rPr>
        <w:t xml:space="preserve">eriódico </w:t>
      </w:r>
      <w:r w:rsidR="00CB1A11">
        <w:rPr>
          <w:lang w:val="es-AR"/>
        </w:rPr>
        <w:t>u</w:t>
      </w:r>
      <w:r w:rsidR="00012073" w:rsidRPr="00012073">
        <w:rPr>
          <w:lang w:val="es-AR"/>
        </w:rPr>
        <w:t>niversal</w:t>
      </w:r>
      <w:r w:rsidR="00012073" w:rsidRPr="006F3262">
        <w:rPr>
          <w:rStyle w:val="FootnoteReference"/>
        </w:rPr>
        <w:footnoteReference w:id="118"/>
      </w:r>
      <w:r w:rsidR="00012073" w:rsidRPr="00012073">
        <w:rPr>
          <w:lang w:val="es-AR"/>
        </w:rPr>
        <w:t xml:space="preserve">, cabe destacar que a pesar de contar con programas de prevención familiar y un </w:t>
      </w:r>
      <w:r w:rsidR="00F95E17">
        <w:rPr>
          <w:lang w:val="es-AR"/>
        </w:rPr>
        <w:t>p</w:t>
      </w:r>
      <w:r w:rsidR="00012073" w:rsidRPr="00012073">
        <w:rPr>
          <w:lang w:val="es-AR"/>
        </w:rPr>
        <w:t xml:space="preserve">rotocolo </w:t>
      </w:r>
      <w:r w:rsidR="00F95E17">
        <w:rPr>
          <w:lang w:val="es-AR"/>
        </w:rPr>
        <w:t>i</w:t>
      </w:r>
      <w:r w:rsidR="00012073" w:rsidRPr="00012073">
        <w:rPr>
          <w:lang w:val="es-AR"/>
        </w:rPr>
        <w:t xml:space="preserve">nterinstitucional de </w:t>
      </w:r>
      <w:r w:rsidR="00F95E17">
        <w:rPr>
          <w:lang w:val="es-AR"/>
        </w:rPr>
        <w:t>a</w:t>
      </w:r>
      <w:r w:rsidR="00012073" w:rsidRPr="00012073">
        <w:rPr>
          <w:lang w:val="es-AR"/>
        </w:rPr>
        <w:t>tención (</w:t>
      </w:r>
      <w:r w:rsidR="00F95E17">
        <w:rPr>
          <w:lang w:val="es-AR"/>
        </w:rPr>
        <w:t>Decreto Presidencial núm. </w:t>
      </w:r>
      <w:r w:rsidR="00012073" w:rsidRPr="00012073">
        <w:rPr>
          <w:lang w:val="es-AR"/>
        </w:rPr>
        <w:t xml:space="preserve">25-2020) contra la violencia sexual </w:t>
      </w:r>
      <w:r w:rsidR="00A73B18">
        <w:rPr>
          <w:lang w:val="es-AR"/>
        </w:rPr>
        <w:t>en</w:t>
      </w:r>
      <w:r w:rsidR="00A73B18" w:rsidRPr="00012073">
        <w:rPr>
          <w:lang w:val="es-AR"/>
        </w:rPr>
        <w:t xml:space="preserve"> </w:t>
      </w:r>
      <w:r w:rsidR="00012073" w:rsidRPr="00012073">
        <w:rPr>
          <w:lang w:val="es-AR"/>
        </w:rPr>
        <w:t>la infancia, se estima que la tasa de fecundidad entre niñas y mujeres de 10 a 19 años en Nicaragua sería la más alta de Centroamérica, con las niñas de 10 a 14 años doblando la media regional</w:t>
      </w:r>
      <w:r w:rsidR="00012073" w:rsidRPr="006F3262">
        <w:rPr>
          <w:rStyle w:val="FootnoteReference"/>
        </w:rPr>
        <w:footnoteReference w:id="119"/>
      </w:r>
      <w:r w:rsidR="00012073" w:rsidRPr="00012073">
        <w:rPr>
          <w:lang w:val="es-AR"/>
        </w:rPr>
        <w:t xml:space="preserve">, sin que existan datos oficiales recientes. La ausencia de un plan multisectorial y la no implementación de la </w:t>
      </w:r>
      <w:r w:rsidR="00753A6E">
        <w:rPr>
          <w:iCs/>
          <w:lang w:val="es-AR"/>
        </w:rPr>
        <w:t>e</w:t>
      </w:r>
      <w:r w:rsidR="00012073" w:rsidRPr="00A64748">
        <w:rPr>
          <w:iCs/>
          <w:lang w:val="es-AR"/>
        </w:rPr>
        <w:t xml:space="preserve">strategia </w:t>
      </w:r>
      <w:r w:rsidR="00753A6E">
        <w:rPr>
          <w:iCs/>
          <w:lang w:val="es-AR"/>
        </w:rPr>
        <w:t>relativa al</w:t>
      </w:r>
      <w:r w:rsidR="00753A6E" w:rsidRPr="00A64748">
        <w:rPr>
          <w:iCs/>
          <w:lang w:val="es-AR"/>
        </w:rPr>
        <w:t xml:space="preserve"> </w:t>
      </w:r>
      <w:r w:rsidR="00753A6E">
        <w:rPr>
          <w:iCs/>
          <w:lang w:val="es-AR"/>
        </w:rPr>
        <w:t>e</w:t>
      </w:r>
      <w:r w:rsidR="00012073" w:rsidRPr="00A64748">
        <w:rPr>
          <w:iCs/>
          <w:lang w:val="es-AR"/>
        </w:rPr>
        <w:t xml:space="preserve">mbarazo </w:t>
      </w:r>
      <w:r w:rsidR="00753A6E">
        <w:rPr>
          <w:iCs/>
          <w:lang w:val="es-AR"/>
        </w:rPr>
        <w:t>a</w:t>
      </w:r>
      <w:r w:rsidR="00012073" w:rsidRPr="00A64748">
        <w:rPr>
          <w:iCs/>
          <w:lang w:val="es-AR"/>
        </w:rPr>
        <w:t>dolescente</w:t>
      </w:r>
      <w:r w:rsidR="00012073" w:rsidRPr="00012073">
        <w:rPr>
          <w:i/>
          <w:lang w:val="es-AR"/>
        </w:rPr>
        <w:t>,</w:t>
      </w:r>
      <w:r w:rsidR="00012073" w:rsidRPr="00012073">
        <w:rPr>
          <w:lang w:val="es-AR"/>
        </w:rPr>
        <w:t xml:space="preserve"> además de la falta de alcance de los programas familiares de prevención a </w:t>
      </w:r>
      <w:r w:rsidR="002F30FB">
        <w:rPr>
          <w:lang w:val="es-AR"/>
        </w:rPr>
        <w:t xml:space="preserve">las </w:t>
      </w:r>
      <w:r w:rsidR="00012073" w:rsidRPr="00012073">
        <w:rPr>
          <w:lang w:val="es-AR"/>
        </w:rPr>
        <w:t>poblaciones rurales</w:t>
      </w:r>
      <w:r w:rsidR="009253FA">
        <w:rPr>
          <w:lang w:val="es-AR"/>
        </w:rPr>
        <w:t xml:space="preserve"> y las personas</w:t>
      </w:r>
      <w:r w:rsidR="00012073" w:rsidRPr="00012073">
        <w:rPr>
          <w:lang w:val="es-AR"/>
        </w:rPr>
        <w:t xml:space="preserve"> afrodescendientes, indígenas, con discapacidad y </w:t>
      </w:r>
      <w:r w:rsidR="00FE64E1" w:rsidRPr="00FE64E1">
        <w:rPr>
          <w:lang w:val="es-AR"/>
        </w:rPr>
        <w:t>lesbianas, gais, bisexuales, transgénero e intersexuales</w:t>
      </w:r>
      <w:r w:rsidR="00DD652A">
        <w:rPr>
          <w:lang w:val="es-AR"/>
        </w:rPr>
        <w:t xml:space="preserve"> (</w:t>
      </w:r>
      <w:r w:rsidR="00DD652A" w:rsidRPr="00DD652A">
        <w:rPr>
          <w:lang w:val="es-AR"/>
        </w:rPr>
        <w:t>LGBTI</w:t>
      </w:r>
      <w:r w:rsidR="00DD652A" w:rsidRPr="00A64748">
        <w:rPr>
          <w:lang w:val="es-AR"/>
        </w:rPr>
        <w:t>)</w:t>
      </w:r>
      <w:r w:rsidR="00012073" w:rsidRPr="00DD652A">
        <w:rPr>
          <w:lang w:val="es-AR"/>
        </w:rPr>
        <w:t>, continúan</w:t>
      </w:r>
      <w:r w:rsidR="00012073" w:rsidRPr="00012073">
        <w:rPr>
          <w:lang w:val="es-AR"/>
        </w:rPr>
        <w:t xml:space="preserve"> siendo desafíos importantes, así como la no disponibilidad de anticonceptivos mencionada anteriormente.</w:t>
      </w:r>
    </w:p>
    <w:p w14:paraId="031729D0" w14:textId="1EACD9E2" w:rsidR="00012073" w:rsidRPr="00012073" w:rsidRDefault="00012073" w:rsidP="006925DE">
      <w:pPr>
        <w:pStyle w:val="H1G"/>
        <w:rPr>
          <w:b w:val="0"/>
          <w:bCs w:val="0"/>
          <w:lang w:val="es-ES"/>
        </w:rPr>
      </w:pPr>
      <w:r w:rsidRPr="00012073">
        <w:rPr>
          <w:lang w:val="es-ES"/>
        </w:rPr>
        <w:tab/>
      </w:r>
      <w:r w:rsidR="009A4AF1">
        <w:rPr>
          <w:lang w:val="es-ES"/>
        </w:rPr>
        <w:t>I</w:t>
      </w:r>
      <w:r w:rsidRPr="00012073">
        <w:rPr>
          <w:lang w:val="es-ES"/>
        </w:rPr>
        <w:t>.</w:t>
      </w:r>
      <w:r w:rsidRPr="00012073">
        <w:rPr>
          <w:lang w:val="es-ES"/>
        </w:rPr>
        <w:tab/>
        <w:t>Derechos de los pueblos indígenas y afrodescendientes</w:t>
      </w:r>
    </w:p>
    <w:p w14:paraId="2AABCF47" w14:textId="5DD4F9AF"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64.</w:t>
      </w:r>
      <w:r w:rsidRPr="00012073">
        <w:rPr>
          <w:lang w:val="es-ES"/>
        </w:rPr>
        <w:tab/>
      </w:r>
      <w:r w:rsidR="00012073" w:rsidRPr="00012073">
        <w:rPr>
          <w:lang w:val="es-ES"/>
        </w:rPr>
        <w:t xml:space="preserve">Nicaragua ha recibido varias recomendaciones para que adopte medidas para proteger el derecho a la tierra y el territorio de los pueblos indígenas, incluyendo la restitución de las tierras ocupadas por colonos no indígenas, y para investigar los ataques contra pueblos indígenas por parte de colonos y terceros ocupantes, llevando a los responsables ante la </w:t>
      </w:r>
      <w:r w:rsidR="00012073" w:rsidRPr="00012073">
        <w:rPr>
          <w:lang w:val="es-ES"/>
        </w:rPr>
        <w:lastRenderedPageBreak/>
        <w:t>justicia</w:t>
      </w:r>
      <w:r w:rsidR="00012073" w:rsidRPr="006F3262">
        <w:rPr>
          <w:rStyle w:val="FootnoteReference"/>
        </w:rPr>
        <w:footnoteReference w:id="120"/>
      </w:r>
      <w:r w:rsidR="00012073" w:rsidRPr="00012073">
        <w:rPr>
          <w:lang w:val="es-ES"/>
        </w:rPr>
        <w:t xml:space="preserve">. </w:t>
      </w:r>
      <w:r w:rsidR="008F5F47">
        <w:rPr>
          <w:lang w:val="es-ES"/>
        </w:rPr>
        <w:t xml:space="preserve">El </w:t>
      </w:r>
      <w:r w:rsidR="00012073" w:rsidRPr="00012073">
        <w:rPr>
          <w:lang w:val="es-ES"/>
        </w:rPr>
        <w:t>ACNUDH no ha recibido información sobre avances en el proceso de saneamiento de tierras ni sobre investigaciones de los ataques</w:t>
      </w:r>
      <w:r w:rsidR="00012073" w:rsidRPr="006F3262">
        <w:rPr>
          <w:rStyle w:val="FootnoteReference"/>
        </w:rPr>
        <w:footnoteReference w:id="121"/>
      </w:r>
      <w:r w:rsidR="00012073" w:rsidRPr="00012073">
        <w:rPr>
          <w:lang w:val="es-ES"/>
        </w:rPr>
        <w:t>.</w:t>
      </w:r>
    </w:p>
    <w:p w14:paraId="1C3BB1E9" w14:textId="49B91E87"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65.</w:t>
      </w:r>
      <w:r w:rsidRPr="00012073">
        <w:rPr>
          <w:lang w:val="es-ES"/>
        </w:rPr>
        <w:tab/>
      </w:r>
      <w:r w:rsidR="00012073" w:rsidRPr="00012073">
        <w:rPr>
          <w:lang w:val="es-ES"/>
        </w:rPr>
        <w:t xml:space="preserve">Respecto a las recomendaciones del </w:t>
      </w:r>
      <w:r w:rsidR="00012073" w:rsidRPr="00012073">
        <w:rPr>
          <w:lang w:val="es-PA"/>
        </w:rPr>
        <w:t xml:space="preserve">Comité </w:t>
      </w:r>
      <w:r w:rsidR="00012073" w:rsidRPr="00012073">
        <w:rPr>
          <w:lang w:val="es-ES"/>
        </w:rPr>
        <w:t>para que el Estado diseñe e implemente, en consulta con los pueblos indígenas y afrodescendientes, un procedimiento adecuado de consulta previa, libre e informada respecto de cualquier medida que afecte sus derechos</w:t>
      </w:r>
      <w:r w:rsidR="00012073" w:rsidRPr="006F3262">
        <w:rPr>
          <w:rStyle w:val="FootnoteReference"/>
        </w:rPr>
        <w:footnoteReference w:id="122"/>
      </w:r>
      <w:r w:rsidR="00012073" w:rsidRPr="00012073">
        <w:rPr>
          <w:lang w:val="es-ES"/>
        </w:rPr>
        <w:t>, y de que garantice que las autoridades indígenas legítimas no sean suplantadas por otras “paralelas”</w:t>
      </w:r>
      <w:r w:rsidR="00012073" w:rsidRPr="006F3262">
        <w:rPr>
          <w:rStyle w:val="FootnoteReference"/>
        </w:rPr>
        <w:footnoteReference w:id="123"/>
      </w:r>
      <w:r w:rsidR="00012073" w:rsidRPr="00012073">
        <w:rPr>
          <w:lang w:val="es-ES"/>
        </w:rPr>
        <w:t>, el Gobierno tampoco ha dado a conocer ninguna iniciativa.</w:t>
      </w:r>
    </w:p>
    <w:p w14:paraId="3924FD54" w14:textId="7A988365" w:rsidR="00012073" w:rsidRPr="00012073" w:rsidRDefault="00012073" w:rsidP="006925DE">
      <w:pPr>
        <w:pStyle w:val="H1G"/>
        <w:rPr>
          <w:b w:val="0"/>
          <w:bCs w:val="0"/>
          <w:lang w:val="es-ES"/>
        </w:rPr>
      </w:pPr>
      <w:r w:rsidRPr="00012073">
        <w:rPr>
          <w:lang w:val="es-AR"/>
        </w:rPr>
        <w:tab/>
      </w:r>
      <w:r w:rsidR="009A4AF1">
        <w:rPr>
          <w:lang w:val="es-AR"/>
        </w:rPr>
        <w:t>J</w:t>
      </w:r>
      <w:r w:rsidRPr="00012073">
        <w:rPr>
          <w:lang w:val="es-AR"/>
        </w:rPr>
        <w:t>.</w:t>
      </w:r>
      <w:r w:rsidRPr="00012073">
        <w:rPr>
          <w:lang w:val="es-AR"/>
        </w:rPr>
        <w:tab/>
        <w:t>Derechos de otras poblaciones y grupos en situación de vulnerabilidad</w:t>
      </w:r>
    </w:p>
    <w:p w14:paraId="5B175682" w14:textId="6C79B4DB" w:rsidR="00012073" w:rsidRPr="00A64748" w:rsidRDefault="00012073" w:rsidP="003843D9">
      <w:pPr>
        <w:pStyle w:val="H23G"/>
      </w:pPr>
      <w:r w:rsidRPr="009A4AF1">
        <w:tab/>
      </w:r>
      <w:r w:rsidR="003843D9">
        <w:t>1.</w:t>
      </w:r>
      <w:r w:rsidRPr="00A64748">
        <w:tab/>
        <w:t>Niñez</w:t>
      </w:r>
    </w:p>
    <w:p w14:paraId="295E8EA6" w14:textId="73EC4251" w:rsidR="00012073" w:rsidRPr="003E5CA4"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AR"/>
        </w:rPr>
      </w:pPr>
      <w:r w:rsidRPr="003E5CA4">
        <w:rPr>
          <w:lang w:val="es-AR"/>
        </w:rPr>
        <w:t>66.</w:t>
      </w:r>
      <w:r w:rsidRPr="003E5CA4">
        <w:rPr>
          <w:lang w:val="es-AR"/>
        </w:rPr>
        <w:tab/>
      </w:r>
      <w:r w:rsidR="00012073" w:rsidRPr="00012073">
        <w:rPr>
          <w:lang w:val="es-AR"/>
        </w:rPr>
        <w:t xml:space="preserve">Con relación a las recomendaciones sobre los derechos de la niñez durante el </w:t>
      </w:r>
      <w:r w:rsidR="00E41124">
        <w:rPr>
          <w:lang w:val="es-AR"/>
        </w:rPr>
        <w:t>e</w:t>
      </w:r>
      <w:r w:rsidR="00012073" w:rsidRPr="00012073">
        <w:rPr>
          <w:lang w:val="es-AR"/>
        </w:rPr>
        <w:t xml:space="preserve">xamen </w:t>
      </w:r>
      <w:r w:rsidR="00E41124">
        <w:rPr>
          <w:lang w:val="es-AR"/>
        </w:rPr>
        <w:t>p</w:t>
      </w:r>
      <w:r w:rsidR="00012073" w:rsidRPr="00012073">
        <w:rPr>
          <w:lang w:val="es-AR"/>
        </w:rPr>
        <w:t xml:space="preserve">eriódico </w:t>
      </w:r>
      <w:r w:rsidR="00E41124">
        <w:rPr>
          <w:lang w:val="es-AR"/>
        </w:rPr>
        <w:t>u</w:t>
      </w:r>
      <w:r w:rsidR="00012073" w:rsidRPr="00012073">
        <w:rPr>
          <w:lang w:val="es-AR"/>
        </w:rPr>
        <w:t>niversal</w:t>
      </w:r>
      <w:r w:rsidR="00012073" w:rsidRPr="006F3262">
        <w:rPr>
          <w:rStyle w:val="FootnoteReference"/>
        </w:rPr>
        <w:footnoteReference w:id="124"/>
      </w:r>
      <w:r w:rsidR="00012073" w:rsidRPr="00012073">
        <w:rPr>
          <w:lang w:val="es-AR"/>
        </w:rPr>
        <w:t xml:space="preserve">, </w:t>
      </w:r>
      <w:r w:rsidR="00012073" w:rsidRPr="003E5CA4">
        <w:rPr>
          <w:lang w:val="es-AR"/>
        </w:rPr>
        <w:t>según</w:t>
      </w:r>
      <w:r w:rsidR="000F5C53">
        <w:rPr>
          <w:lang w:val="es-AR"/>
        </w:rPr>
        <w:t xml:space="preserve"> la</w:t>
      </w:r>
      <w:r w:rsidR="00012073" w:rsidRPr="003E5CA4">
        <w:rPr>
          <w:lang w:val="es-AR"/>
        </w:rPr>
        <w:t xml:space="preserve"> información recibida de</w:t>
      </w:r>
      <w:r w:rsidR="00607164" w:rsidRPr="003E5CA4">
        <w:rPr>
          <w:lang w:val="es-AR"/>
        </w:rPr>
        <w:t>l Fondo de las Naciones Unidas para la Infancia</w:t>
      </w:r>
      <w:r w:rsidR="00012073" w:rsidRPr="003E5CA4">
        <w:rPr>
          <w:lang w:val="es-AR"/>
        </w:rPr>
        <w:t>, Nicaragua dedic</w:t>
      </w:r>
      <w:r w:rsidR="000F5C53">
        <w:rPr>
          <w:lang w:val="es-AR"/>
        </w:rPr>
        <w:t>ó</w:t>
      </w:r>
      <w:r w:rsidR="00012073" w:rsidRPr="003E5CA4">
        <w:rPr>
          <w:lang w:val="es-AR"/>
        </w:rPr>
        <w:t xml:space="preserve"> el 72</w:t>
      </w:r>
      <w:r w:rsidR="008F5F47" w:rsidRPr="003E5CA4">
        <w:rPr>
          <w:lang w:val="es-AR"/>
        </w:rPr>
        <w:t>,</w:t>
      </w:r>
      <w:r w:rsidR="00012073" w:rsidRPr="003E5CA4">
        <w:rPr>
          <w:lang w:val="es-AR"/>
        </w:rPr>
        <w:t>7</w:t>
      </w:r>
      <w:r w:rsidR="008F5F47" w:rsidRPr="003E5CA4">
        <w:rPr>
          <w:lang w:val="es-AR"/>
        </w:rPr>
        <w:t> </w:t>
      </w:r>
      <w:r w:rsidR="00012073" w:rsidRPr="003E5CA4">
        <w:rPr>
          <w:lang w:val="es-AR"/>
        </w:rPr>
        <w:t>% del gasto social de 2019 a</w:t>
      </w:r>
      <w:r w:rsidR="00A65170" w:rsidRPr="003E5CA4">
        <w:rPr>
          <w:lang w:val="es-AR"/>
        </w:rPr>
        <w:t xml:space="preserve"> la</w:t>
      </w:r>
      <w:r w:rsidR="00012073" w:rsidRPr="003E5CA4">
        <w:rPr>
          <w:lang w:val="es-AR"/>
        </w:rPr>
        <w:t xml:space="preserve"> niñez y adolescencia, </w:t>
      </w:r>
      <w:r w:rsidR="0050706F" w:rsidRPr="003E5CA4">
        <w:rPr>
          <w:lang w:val="es-AR"/>
        </w:rPr>
        <w:t xml:space="preserve">el </w:t>
      </w:r>
      <w:r w:rsidR="00012073" w:rsidRPr="003E5CA4">
        <w:rPr>
          <w:lang w:val="es-AR"/>
        </w:rPr>
        <w:t>7</w:t>
      </w:r>
      <w:r w:rsidR="008F5F47" w:rsidRPr="003E5CA4">
        <w:rPr>
          <w:lang w:val="es-AR"/>
        </w:rPr>
        <w:t>,</w:t>
      </w:r>
      <w:r w:rsidR="00012073" w:rsidRPr="003E5CA4">
        <w:rPr>
          <w:lang w:val="es-AR"/>
        </w:rPr>
        <w:t>5</w:t>
      </w:r>
      <w:r w:rsidR="008F5F47" w:rsidRPr="003E5CA4">
        <w:rPr>
          <w:lang w:val="es-AR"/>
        </w:rPr>
        <w:t> </w:t>
      </w:r>
      <w:r w:rsidR="00012073" w:rsidRPr="003E5CA4">
        <w:rPr>
          <w:lang w:val="es-AR"/>
        </w:rPr>
        <w:t xml:space="preserve">% del </w:t>
      </w:r>
      <w:r w:rsidR="00607164" w:rsidRPr="003E5CA4">
        <w:rPr>
          <w:lang w:val="es-AR"/>
        </w:rPr>
        <w:t>producto interno bruto</w:t>
      </w:r>
      <w:r w:rsidR="00012073" w:rsidRPr="003E5CA4">
        <w:rPr>
          <w:lang w:val="es-AR"/>
        </w:rPr>
        <w:t>, superando a otros países de la región. Las principales carencias observadas se refieren a los derechos sexuales y reproductivos, reflejadas en los párrafos 59 y 64.</w:t>
      </w:r>
    </w:p>
    <w:p w14:paraId="2B932C7B" w14:textId="551912D7" w:rsidR="00012073" w:rsidRPr="009A4AF1" w:rsidRDefault="00012073" w:rsidP="006925DE">
      <w:pPr>
        <w:pStyle w:val="H23G"/>
        <w:rPr>
          <w:b w:val="0"/>
          <w:i/>
        </w:rPr>
      </w:pPr>
      <w:r w:rsidRPr="00012073">
        <w:tab/>
      </w:r>
      <w:r w:rsidR="00E41124">
        <w:t>2.</w:t>
      </w:r>
      <w:r w:rsidRPr="00A64748">
        <w:tab/>
        <w:t xml:space="preserve">Personas </w:t>
      </w:r>
      <w:r w:rsidR="00D741A0">
        <w:t>lesbianas, gais, bisexuales, transgénero e intersexuales</w:t>
      </w:r>
    </w:p>
    <w:p w14:paraId="481E2AAC" w14:textId="789B2BCD"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AR"/>
        </w:rPr>
      </w:pPr>
      <w:r w:rsidRPr="00012073">
        <w:rPr>
          <w:lang w:val="es-AR"/>
        </w:rPr>
        <w:t>67.</w:t>
      </w:r>
      <w:r w:rsidRPr="00012073">
        <w:rPr>
          <w:lang w:val="es-AR"/>
        </w:rPr>
        <w:tab/>
      </w:r>
      <w:r w:rsidR="00012073" w:rsidRPr="00012073">
        <w:rPr>
          <w:lang w:val="es-AR"/>
        </w:rPr>
        <w:t xml:space="preserve">Las recomendaciones del </w:t>
      </w:r>
      <w:r w:rsidR="00607164">
        <w:rPr>
          <w:lang w:val="es-AR"/>
        </w:rPr>
        <w:t>e</w:t>
      </w:r>
      <w:r w:rsidR="00012073" w:rsidRPr="00012073">
        <w:rPr>
          <w:lang w:val="es-AR"/>
        </w:rPr>
        <w:t xml:space="preserve">xamen </w:t>
      </w:r>
      <w:r w:rsidR="00607164">
        <w:rPr>
          <w:lang w:val="es-AR"/>
        </w:rPr>
        <w:t>p</w:t>
      </w:r>
      <w:r w:rsidR="00012073" w:rsidRPr="00012073">
        <w:rPr>
          <w:lang w:val="es-AR"/>
        </w:rPr>
        <w:t xml:space="preserve">eriódico </w:t>
      </w:r>
      <w:r w:rsidR="00607164">
        <w:rPr>
          <w:lang w:val="es-AR"/>
        </w:rPr>
        <w:t>u</w:t>
      </w:r>
      <w:r w:rsidR="00012073" w:rsidRPr="00012073">
        <w:rPr>
          <w:lang w:val="es-AR"/>
        </w:rPr>
        <w:t>niversal</w:t>
      </w:r>
      <w:r w:rsidR="007311DF">
        <w:rPr>
          <w:lang w:val="es-AR"/>
        </w:rPr>
        <w:t xml:space="preserve"> sobre personas </w:t>
      </w:r>
      <w:r w:rsidR="00D741A0" w:rsidRPr="00FE64E1">
        <w:rPr>
          <w:lang w:val="es-AR"/>
        </w:rPr>
        <w:t>lesbianas, gais, bisexuales, transgénero e intersexuales</w:t>
      </w:r>
      <w:r w:rsidR="00D741A0">
        <w:rPr>
          <w:lang w:val="es-AR"/>
        </w:rPr>
        <w:t xml:space="preserve"> (</w:t>
      </w:r>
      <w:r w:rsidR="007311DF">
        <w:rPr>
          <w:lang w:val="es-AR"/>
        </w:rPr>
        <w:t>LGBTI</w:t>
      </w:r>
      <w:r w:rsidR="00D741A0">
        <w:rPr>
          <w:lang w:val="es-AR"/>
        </w:rPr>
        <w:t>)</w:t>
      </w:r>
      <w:r w:rsidR="00012073" w:rsidRPr="00012073">
        <w:rPr>
          <w:lang w:val="es-AR"/>
        </w:rPr>
        <w:t xml:space="preserve">, aceptadas todas por el Gobierno, estaban dirigidas </w:t>
      </w:r>
      <w:r w:rsidR="007311DF">
        <w:rPr>
          <w:lang w:val="es-AR"/>
        </w:rPr>
        <w:t xml:space="preserve">a </w:t>
      </w:r>
      <w:r w:rsidR="00012073" w:rsidRPr="00012073">
        <w:rPr>
          <w:lang w:val="es-AR"/>
        </w:rPr>
        <w:t xml:space="preserve">aumentar </w:t>
      </w:r>
      <w:r w:rsidR="007311DF">
        <w:rPr>
          <w:lang w:val="es-AR"/>
        </w:rPr>
        <w:t>su</w:t>
      </w:r>
      <w:r w:rsidR="007311DF" w:rsidRPr="00012073">
        <w:rPr>
          <w:lang w:val="es-AR"/>
        </w:rPr>
        <w:t xml:space="preserve"> </w:t>
      </w:r>
      <w:r w:rsidR="00012073" w:rsidRPr="00012073">
        <w:rPr>
          <w:lang w:val="es-AR"/>
        </w:rPr>
        <w:t>visibilidad, eliminar la violencia y discriminación contra ellas, y liberar a aquellas detenidas desde los acontecimientos de 2018</w:t>
      </w:r>
      <w:r w:rsidR="00012073" w:rsidRPr="006F3262">
        <w:rPr>
          <w:rStyle w:val="FootnoteReference"/>
        </w:rPr>
        <w:footnoteReference w:id="125"/>
      </w:r>
      <w:r w:rsidR="00012073" w:rsidRPr="00012073">
        <w:rPr>
          <w:lang w:val="es-AR"/>
        </w:rPr>
        <w:t>.</w:t>
      </w:r>
    </w:p>
    <w:p w14:paraId="4857E6F8" w14:textId="58380816"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AR"/>
        </w:rPr>
      </w:pPr>
      <w:r w:rsidRPr="00012073">
        <w:rPr>
          <w:lang w:val="es-AR"/>
        </w:rPr>
        <w:t>68.</w:t>
      </w:r>
      <w:r w:rsidRPr="00012073">
        <w:rPr>
          <w:lang w:val="es-AR"/>
        </w:rPr>
        <w:tab/>
      </w:r>
      <w:r w:rsidR="00012073" w:rsidRPr="00012073">
        <w:rPr>
          <w:lang w:val="es-AR"/>
        </w:rPr>
        <w:t xml:space="preserve">Las estadísticas oficiales continúan careciendo de datos sobre violencia o discriminación contra personas LGBTI. </w:t>
      </w:r>
      <w:r w:rsidR="00012073" w:rsidRPr="00012073">
        <w:rPr>
          <w:lang w:val="es-ES"/>
        </w:rPr>
        <w:t>En mayo de 2021,</w:t>
      </w:r>
      <w:r w:rsidR="00012073" w:rsidRPr="00012073">
        <w:rPr>
          <w:lang w:val="es-PA"/>
        </w:rPr>
        <w:t xml:space="preserve"> </w:t>
      </w:r>
      <w:r w:rsidR="00012073" w:rsidRPr="00012073">
        <w:rPr>
          <w:lang w:val="es-AR"/>
        </w:rPr>
        <w:t>dos hombres fueron condenados a cadena perpetua revisable por el asesinato de una mujer trans, siendo el primer caso donde se aplicó esta pena por un delito de odio.</w:t>
      </w:r>
    </w:p>
    <w:p w14:paraId="6F4493CE" w14:textId="4E02B073"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AR"/>
        </w:rPr>
      </w:pPr>
      <w:r w:rsidRPr="00012073">
        <w:rPr>
          <w:lang w:val="es-AR"/>
        </w:rPr>
        <w:t>69.</w:t>
      </w:r>
      <w:r w:rsidRPr="00012073">
        <w:rPr>
          <w:lang w:val="es-AR"/>
        </w:rPr>
        <w:tab/>
      </w:r>
      <w:r w:rsidR="00012073" w:rsidRPr="00012073">
        <w:rPr>
          <w:lang w:val="es-AR"/>
        </w:rPr>
        <w:t>Las mujeres trans privadas de libertad en el contexto de la crisis fueron recluidas en prisiones de hombres y sometidas a tratos discriminatorios y degradantes</w:t>
      </w:r>
      <w:r w:rsidR="00012073" w:rsidRPr="006F3262">
        <w:rPr>
          <w:rStyle w:val="FootnoteReference"/>
        </w:rPr>
        <w:footnoteReference w:id="126"/>
      </w:r>
      <w:r w:rsidR="00012073" w:rsidRPr="00012073">
        <w:rPr>
          <w:lang w:val="es-AR"/>
        </w:rPr>
        <w:t>.</w:t>
      </w:r>
    </w:p>
    <w:p w14:paraId="34E72C44" w14:textId="270F40C5" w:rsidR="00012073" w:rsidRPr="00012073" w:rsidRDefault="00012073" w:rsidP="00FF4371">
      <w:pPr>
        <w:pStyle w:val="H1G"/>
        <w:rPr>
          <w:b w:val="0"/>
          <w:lang w:val="es-PA"/>
        </w:rPr>
      </w:pPr>
      <w:r w:rsidRPr="00012073">
        <w:rPr>
          <w:lang w:val="es-PA"/>
        </w:rPr>
        <w:tab/>
      </w:r>
      <w:r w:rsidR="009A4AF1">
        <w:rPr>
          <w:lang w:val="es-PA"/>
        </w:rPr>
        <w:t>K</w:t>
      </w:r>
      <w:r w:rsidRPr="00012073">
        <w:rPr>
          <w:lang w:val="es-PA"/>
        </w:rPr>
        <w:t>.</w:t>
      </w:r>
      <w:r w:rsidRPr="00012073">
        <w:rPr>
          <w:lang w:val="es-PA"/>
        </w:rPr>
        <w:tab/>
        <w:t xml:space="preserve">Cooperación con </w:t>
      </w:r>
      <w:r w:rsidR="008F5F47">
        <w:rPr>
          <w:lang w:val="es-PA"/>
        </w:rPr>
        <w:t xml:space="preserve">el </w:t>
      </w:r>
      <w:r w:rsidRPr="00012073">
        <w:rPr>
          <w:lang w:val="es-PA"/>
        </w:rPr>
        <w:t>ACNUDH y otros mecanismos de derechos humanos</w:t>
      </w:r>
    </w:p>
    <w:p w14:paraId="2399EBDF" w14:textId="33EAB3DB"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AR"/>
        </w:rPr>
      </w:pPr>
      <w:r w:rsidRPr="00012073">
        <w:rPr>
          <w:lang w:val="es-AR"/>
        </w:rPr>
        <w:t>70.</w:t>
      </w:r>
      <w:r w:rsidRPr="00012073">
        <w:rPr>
          <w:lang w:val="es-AR"/>
        </w:rPr>
        <w:tab/>
      </w:r>
      <w:r w:rsidR="00012073" w:rsidRPr="00012073">
        <w:rPr>
          <w:lang w:val="es-PA"/>
        </w:rPr>
        <w:t>Desde que en agosto de 2018 Nicaragua diera por concluida la invitación a</w:t>
      </w:r>
      <w:r w:rsidR="008F5F47">
        <w:rPr>
          <w:lang w:val="es-PA"/>
        </w:rPr>
        <w:t>l</w:t>
      </w:r>
      <w:r w:rsidR="00012073" w:rsidRPr="00012073">
        <w:rPr>
          <w:lang w:val="es-PA"/>
        </w:rPr>
        <w:t xml:space="preserve"> ACNUDH al país, la Alta Comisionada ha instado al Gobierno a permitir su retorno, reanudar una cooperación constructiva</w:t>
      </w:r>
      <w:r w:rsidR="00012073" w:rsidRPr="006F3262">
        <w:rPr>
          <w:rStyle w:val="FootnoteReference"/>
        </w:rPr>
        <w:footnoteReference w:id="127"/>
      </w:r>
      <w:r w:rsidR="00012073" w:rsidRPr="00012073">
        <w:rPr>
          <w:lang w:val="es-PA"/>
        </w:rPr>
        <w:t xml:space="preserve"> y colaborar con otros mecanismos y organismos de derechos humanos</w:t>
      </w:r>
      <w:r w:rsidR="00012073" w:rsidRPr="006F3262">
        <w:rPr>
          <w:rStyle w:val="FootnoteReference"/>
        </w:rPr>
        <w:footnoteReference w:id="128"/>
      </w:r>
      <w:r w:rsidR="00012073" w:rsidRPr="00012073">
        <w:rPr>
          <w:lang w:val="es-PA"/>
        </w:rPr>
        <w:t xml:space="preserve">. Durante </w:t>
      </w:r>
      <w:r w:rsidR="00012073" w:rsidRPr="00012073">
        <w:rPr>
          <w:lang w:val="es-AR"/>
        </w:rPr>
        <w:t xml:space="preserve">el </w:t>
      </w:r>
      <w:r w:rsidR="00607164">
        <w:rPr>
          <w:lang w:val="es-AR"/>
        </w:rPr>
        <w:t>e</w:t>
      </w:r>
      <w:r w:rsidR="00012073" w:rsidRPr="00012073">
        <w:rPr>
          <w:lang w:val="es-AR"/>
        </w:rPr>
        <w:t xml:space="preserve">xamen </w:t>
      </w:r>
      <w:r w:rsidR="00607164">
        <w:rPr>
          <w:lang w:val="es-AR"/>
        </w:rPr>
        <w:t>p</w:t>
      </w:r>
      <w:r w:rsidR="00012073" w:rsidRPr="00012073">
        <w:rPr>
          <w:lang w:val="es-AR"/>
        </w:rPr>
        <w:t xml:space="preserve">eriódico </w:t>
      </w:r>
      <w:r w:rsidR="00607164">
        <w:rPr>
          <w:lang w:val="es-AR"/>
        </w:rPr>
        <w:t>u</w:t>
      </w:r>
      <w:r w:rsidR="00012073" w:rsidRPr="00012073">
        <w:rPr>
          <w:lang w:val="es-AR"/>
        </w:rPr>
        <w:t>niversal, se formularon 28 recomendaciones similares, solo dos de ellas aceptadas por el Gobierno</w:t>
      </w:r>
      <w:r w:rsidR="00012073" w:rsidRPr="006F3262">
        <w:rPr>
          <w:rStyle w:val="FootnoteReference"/>
        </w:rPr>
        <w:footnoteReference w:id="129"/>
      </w:r>
      <w:r w:rsidR="00012073" w:rsidRPr="00012073">
        <w:rPr>
          <w:lang w:val="es-AR"/>
        </w:rPr>
        <w:t>.</w:t>
      </w:r>
    </w:p>
    <w:p w14:paraId="62FA8235" w14:textId="7E7A465F"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71.</w:t>
      </w:r>
      <w:r w:rsidRPr="00012073">
        <w:rPr>
          <w:lang w:val="es-PA"/>
        </w:rPr>
        <w:tab/>
      </w:r>
      <w:r w:rsidR="00012073" w:rsidRPr="00012073">
        <w:rPr>
          <w:lang w:val="es-PA"/>
        </w:rPr>
        <w:t>El Estado no ha permitido el reingreso d</w:t>
      </w:r>
      <w:r w:rsidR="008F5F47">
        <w:rPr>
          <w:lang w:val="es-PA"/>
        </w:rPr>
        <w:t xml:space="preserve">el </w:t>
      </w:r>
      <w:r w:rsidR="00012073" w:rsidRPr="00012073">
        <w:rPr>
          <w:lang w:val="es-PA"/>
        </w:rPr>
        <w:t>ACNUDH y, desde finales de 2020, ha rechazado sus informes. A partir de enero de 2022, tampoco ha respondido a sus comunicaciones y solicitudes de información.</w:t>
      </w:r>
    </w:p>
    <w:p w14:paraId="3F620DEF" w14:textId="28AC8BC1"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lastRenderedPageBreak/>
        <w:t>72.</w:t>
      </w:r>
      <w:r w:rsidRPr="00012073">
        <w:rPr>
          <w:lang w:val="es-PA"/>
        </w:rPr>
        <w:tab/>
      </w:r>
      <w:r w:rsidR="00012073" w:rsidRPr="00012073">
        <w:rPr>
          <w:lang w:val="es-PA"/>
        </w:rPr>
        <w:t xml:space="preserve">De las 20 comunicaciones conjuntas y 13 casos individuales presentados por los </w:t>
      </w:r>
      <w:r w:rsidR="004F2436">
        <w:rPr>
          <w:lang w:val="es-PA"/>
        </w:rPr>
        <w:t>titulares de mandato de los p</w:t>
      </w:r>
      <w:r w:rsidR="00012073" w:rsidRPr="00012073">
        <w:rPr>
          <w:lang w:val="es-PA"/>
        </w:rPr>
        <w:t xml:space="preserve">rocedimientos </w:t>
      </w:r>
      <w:r w:rsidR="004F2436">
        <w:rPr>
          <w:lang w:val="es-PA"/>
        </w:rPr>
        <w:t>e</w:t>
      </w:r>
      <w:r w:rsidR="00012073" w:rsidRPr="00012073">
        <w:rPr>
          <w:lang w:val="es-PA"/>
        </w:rPr>
        <w:t>speciales desde abril de 2018, el Estado solo ha respondido a una</w:t>
      </w:r>
      <w:r w:rsidR="00012073" w:rsidRPr="006F3262">
        <w:rPr>
          <w:rStyle w:val="FootnoteReference"/>
        </w:rPr>
        <w:footnoteReference w:id="130"/>
      </w:r>
      <w:r w:rsidR="00012073" w:rsidRPr="00012073">
        <w:rPr>
          <w:lang w:val="es-PA"/>
        </w:rPr>
        <w:t xml:space="preserve">. Tampoco ha permitido visitas de estos </w:t>
      </w:r>
      <w:r w:rsidR="004F2436">
        <w:rPr>
          <w:lang w:val="es-PA"/>
        </w:rPr>
        <w:t>titulares de mandato</w:t>
      </w:r>
      <w:r w:rsidR="004F2436" w:rsidRPr="00012073">
        <w:rPr>
          <w:lang w:val="es-PA"/>
        </w:rPr>
        <w:t xml:space="preserve"> </w:t>
      </w:r>
      <w:r w:rsidR="00012073" w:rsidRPr="00012073">
        <w:rPr>
          <w:lang w:val="es-PA"/>
        </w:rPr>
        <w:t xml:space="preserve">desde 2009, a pesar de la invitación permanente </w:t>
      </w:r>
      <w:r w:rsidR="00763692">
        <w:rPr>
          <w:lang w:val="es-PA"/>
        </w:rPr>
        <w:t xml:space="preserve">que </w:t>
      </w:r>
      <w:r w:rsidR="004F2436">
        <w:rPr>
          <w:lang w:val="es-PA"/>
        </w:rPr>
        <w:t xml:space="preserve">se </w:t>
      </w:r>
      <w:r w:rsidR="00763692">
        <w:rPr>
          <w:lang w:val="es-PA"/>
        </w:rPr>
        <w:t>extendió</w:t>
      </w:r>
      <w:r w:rsidR="00012073" w:rsidRPr="00012073">
        <w:rPr>
          <w:lang w:val="es-PA"/>
        </w:rPr>
        <w:t xml:space="preserve"> en 2006, y de que cinco titulares de mandatos lo solicitaron desde 2018</w:t>
      </w:r>
      <w:r w:rsidR="00012073" w:rsidRPr="006F3262">
        <w:rPr>
          <w:rStyle w:val="FootnoteReference"/>
        </w:rPr>
        <w:footnoteReference w:id="131"/>
      </w:r>
      <w:r w:rsidR="00012073" w:rsidRPr="00012073">
        <w:rPr>
          <w:lang w:val="es-PA"/>
        </w:rPr>
        <w:t>.</w:t>
      </w:r>
    </w:p>
    <w:p w14:paraId="2FBD6C22" w14:textId="380EBE6F"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73.</w:t>
      </w:r>
      <w:r w:rsidRPr="00012073">
        <w:rPr>
          <w:lang w:val="es-PA"/>
        </w:rPr>
        <w:tab/>
      </w:r>
      <w:r w:rsidR="00012073" w:rsidRPr="00012073">
        <w:rPr>
          <w:lang w:val="es-AR"/>
        </w:rPr>
        <w:t>En 2019</w:t>
      </w:r>
      <w:r w:rsidR="004F2436">
        <w:rPr>
          <w:lang w:val="es-AR"/>
        </w:rPr>
        <w:t>,</w:t>
      </w:r>
      <w:r w:rsidR="00012073" w:rsidRPr="00012073">
        <w:rPr>
          <w:lang w:val="es-AR"/>
        </w:rPr>
        <w:t xml:space="preserve"> Nicaragua cumplió parcialmente la recomendación de colaborar con los </w:t>
      </w:r>
      <w:r w:rsidR="004F2436">
        <w:rPr>
          <w:lang w:val="es-AR"/>
        </w:rPr>
        <w:t>ó</w:t>
      </w:r>
      <w:r w:rsidR="00012073" w:rsidRPr="00012073">
        <w:rPr>
          <w:lang w:val="es-AR"/>
        </w:rPr>
        <w:t xml:space="preserve">rganos de </w:t>
      </w:r>
      <w:r w:rsidR="004F2436">
        <w:rPr>
          <w:lang w:val="es-AR"/>
        </w:rPr>
        <w:t>t</w:t>
      </w:r>
      <w:r w:rsidR="00012073" w:rsidRPr="00012073">
        <w:rPr>
          <w:lang w:val="es-AR"/>
        </w:rPr>
        <w:t>ratados y presentó seis informes que debía presentar entre 2010 y 2013</w:t>
      </w:r>
      <w:r w:rsidR="00012073" w:rsidRPr="006F3262">
        <w:rPr>
          <w:rStyle w:val="FootnoteReference"/>
        </w:rPr>
        <w:footnoteReference w:id="132"/>
      </w:r>
      <w:r w:rsidR="00012073" w:rsidRPr="00012073">
        <w:rPr>
          <w:lang w:val="es-AR"/>
        </w:rPr>
        <w:t>. Las revisiones en 2020 debieron posponerse por la pandemia de</w:t>
      </w:r>
      <w:r w:rsidR="004F2436">
        <w:rPr>
          <w:lang w:val="es-AR"/>
        </w:rPr>
        <w:t xml:space="preserve"> enfermedad por coronavirus</w:t>
      </w:r>
      <w:r w:rsidR="00012073" w:rsidRPr="00012073">
        <w:rPr>
          <w:lang w:val="es-AR"/>
        </w:rPr>
        <w:t xml:space="preserve"> </w:t>
      </w:r>
      <w:r w:rsidR="004F2436">
        <w:rPr>
          <w:lang w:val="es-AR"/>
        </w:rPr>
        <w:t>(</w:t>
      </w:r>
      <w:r w:rsidR="00012073" w:rsidRPr="00012073">
        <w:rPr>
          <w:lang w:val="es-AR"/>
        </w:rPr>
        <w:t>COVID-19</w:t>
      </w:r>
      <w:r w:rsidR="004F2436">
        <w:rPr>
          <w:lang w:val="es-AR"/>
        </w:rPr>
        <w:t>)</w:t>
      </w:r>
      <w:r w:rsidR="00012073" w:rsidRPr="00012073">
        <w:rPr>
          <w:lang w:val="es-AR"/>
        </w:rPr>
        <w:t xml:space="preserve">. La primera tuvo lugar en octubre de 2021, ante el </w:t>
      </w:r>
      <w:r w:rsidR="00012073" w:rsidRPr="00012073">
        <w:rPr>
          <w:lang w:val="es-PA"/>
        </w:rPr>
        <w:t>Comité de Derechos Económicos, Sociales y Culturales,</w:t>
      </w:r>
      <w:r w:rsidR="00012073" w:rsidRPr="00012073" w:rsidDel="00D1264E">
        <w:rPr>
          <w:lang w:val="es-PA"/>
        </w:rPr>
        <w:t xml:space="preserve"> </w:t>
      </w:r>
      <w:r w:rsidR="00012073" w:rsidRPr="00012073">
        <w:rPr>
          <w:lang w:val="es-PA"/>
        </w:rPr>
        <w:t>y Nicaragua participó en la sesión, pero lo hizo en “calidad de escucha” sin responder a las preguntas del Comité</w:t>
      </w:r>
      <w:r w:rsidR="00012073" w:rsidRPr="006F3262">
        <w:rPr>
          <w:rStyle w:val="FootnoteReference"/>
        </w:rPr>
        <w:footnoteReference w:id="133"/>
      </w:r>
      <w:r w:rsidR="00012073" w:rsidRPr="00012073">
        <w:rPr>
          <w:lang w:val="es-PA"/>
        </w:rPr>
        <w:t>. El Estado no compareció en otras dos, ante el Comité contra la Tortura en julio de 2022</w:t>
      </w:r>
      <w:r w:rsidR="00012073" w:rsidRPr="006F3262">
        <w:rPr>
          <w:rStyle w:val="FootnoteReference"/>
        </w:rPr>
        <w:footnoteReference w:id="134"/>
      </w:r>
      <w:r w:rsidR="00012073" w:rsidRPr="00012073">
        <w:rPr>
          <w:lang w:val="es-PA"/>
        </w:rPr>
        <w:t xml:space="preserve"> y el Comité para la Eliminación de la Discriminación Racial en agosto de 2022</w:t>
      </w:r>
      <w:r w:rsidR="00012073" w:rsidRPr="006F3262">
        <w:rPr>
          <w:rStyle w:val="FootnoteReference"/>
        </w:rPr>
        <w:footnoteReference w:id="135"/>
      </w:r>
      <w:r w:rsidR="00012073" w:rsidRPr="00012073">
        <w:rPr>
          <w:lang w:val="es-PA"/>
        </w:rPr>
        <w:t xml:space="preserve">. </w:t>
      </w:r>
    </w:p>
    <w:p w14:paraId="10EA13D2" w14:textId="24930AB6"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012073">
        <w:rPr>
          <w:lang w:val="es-ES"/>
        </w:rPr>
        <w:t>74.</w:t>
      </w:r>
      <w:r w:rsidRPr="00012073">
        <w:rPr>
          <w:lang w:val="es-ES"/>
        </w:rPr>
        <w:tab/>
      </w:r>
      <w:r w:rsidR="00012073" w:rsidRPr="00012073">
        <w:rPr>
          <w:lang w:val="es-PA"/>
        </w:rPr>
        <w:t xml:space="preserve">Desde 2018, Nicaragua no ratificó ni se adhirió a ningún tratado de derechos humanos, como le </w:t>
      </w:r>
      <w:r w:rsidR="004F2436">
        <w:rPr>
          <w:lang w:val="es-PA"/>
        </w:rPr>
        <w:t>había sido</w:t>
      </w:r>
      <w:r w:rsidR="004F2436" w:rsidRPr="00012073">
        <w:rPr>
          <w:lang w:val="es-PA"/>
        </w:rPr>
        <w:t xml:space="preserve"> </w:t>
      </w:r>
      <w:r w:rsidR="00012073" w:rsidRPr="00012073">
        <w:rPr>
          <w:lang w:val="es-PA"/>
        </w:rPr>
        <w:t>recomendado</w:t>
      </w:r>
      <w:r w:rsidR="00012073" w:rsidRPr="006F3262">
        <w:rPr>
          <w:rStyle w:val="FootnoteReference"/>
        </w:rPr>
        <w:footnoteReference w:id="136"/>
      </w:r>
      <w:r w:rsidR="00012073" w:rsidRPr="00012073">
        <w:rPr>
          <w:lang w:val="es-ES"/>
        </w:rPr>
        <w:t>.</w:t>
      </w:r>
    </w:p>
    <w:p w14:paraId="7F070CFE" w14:textId="18772D27" w:rsidR="00012073" w:rsidRPr="00085205" w:rsidRDefault="00012073" w:rsidP="00085205">
      <w:pPr>
        <w:pStyle w:val="HChG"/>
      </w:pPr>
      <w:r w:rsidRPr="00012073">
        <w:rPr>
          <w:lang w:val="es-PA"/>
        </w:rPr>
        <w:tab/>
        <w:t>IV.</w:t>
      </w:r>
      <w:r w:rsidRPr="00012073">
        <w:rPr>
          <w:lang w:val="es-PA"/>
        </w:rPr>
        <w:tab/>
      </w:r>
      <w:proofErr w:type="spellStart"/>
      <w:r w:rsidR="00085205" w:rsidRPr="00085205">
        <w:t>Seguimiento</w:t>
      </w:r>
      <w:proofErr w:type="spellEnd"/>
      <w:r w:rsidR="00085205" w:rsidRPr="00085205">
        <w:t xml:space="preserve"> de las </w:t>
      </w:r>
      <w:proofErr w:type="spellStart"/>
      <w:r w:rsidR="00085205" w:rsidRPr="00085205">
        <w:t>recomendaciones</w:t>
      </w:r>
      <w:proofErr w:type="spellEnd"/>
      <w:r w:rsidR="00085205" w:rsidRPr="00085205">
        <w:t xml:space="preserve"> a la </w:t>
      </w:r>
      <w:proofErr w:type="spellStart"/>
      <w:r w:rsidR="00085205" w:rsidRPr="00085205">
        <w:t>comunidad</w:t>
      </w:r>
      <w:proofErr w:type="spellEnd"/>
      <w:r w:rsidR="00085205" w:rsidRPr="00085205">
        <w:t xml:space="preserve"> </w:t>
      </w:r>
      <w:proofErr w:type="spellStart"/>
      <w:r w:rsidR="00085205" w:rsidRPr="00085205">
        <w:t>internacional</w:t>
      </w:r>
      <w:proofErr w:type="spellEnd"/>
      <w:r w:rsidR="00085205" w:rsidRPr="00085205">
        <w:t xml:space="preserve"> y al </w:t>
      </w:r>
      <w:proofErr w:type="spellStart"/>
      <w:r w:rsidR="00085205" w:rsidRPr="00085205">
        <w:t>Consejo</w:t>
      </w:r>
      <w:proofErr w:type="spellEnd"/>
      <w:r w:rsidR="00085205" w:rsidRPr="00085205">
        <w:t xml:space="preserve"> de Derechos </w:t>
      </w:r>
      <w:proofErr w:type="spellStart"/>
      <w:r w:rsidR="00085205" w:rsidRPr="00085205">
        <w:t>Humanos</w:t>
      </w:r>
      <w:proofErr w:type="spellEnd"/>
    </w:p>
    <w:p w14:paraId="4C8A64D5" w14:textId="3AC4A24C"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AR"/>
        </w:rPr>
      </w:pPr>
      <w:r w:rsidRPr="00012073">
        <w:rPr>
          <w:lang w:val="es-AR"/>
        </w:rPr>
        <w:t>75.</w:t>
      </w:r>
      <w:r w:rsidRPr="00012073">
        <w:rPr>
          <w:lang w:val="es-AR"/>
        </w:rPr>
        <w:tab/>
      </w:r>
      <w:r w:rsidR="00012073" w:rsidRPr="00012073">
        <w:rPr>
          <w:lang w:val="es-AR"/>
        </w:rPr>
        <w:t>La Alta Comisionada recomendó a la comunidad internacional y al Consejo de Derechos Humanos adoptar medidas para prevenir un mayor deterioro de la situación de derechos humanos en Nicaragua, apoyar al Estado a encontrar una solución a la crisis y cumplir sus obligaciones internacionales</w:t>
      </w:r>
      <w:r w:rsidR="00012073" w:rsidRPr="006F3262">
        <w:rPr>
          <w:rStyle w:val="FootnoteReference"/>
        </w:rPr>
        <w:footnoteReference w:id="137"/>
      </w:r>
      <w:r w:rsidR="00012073" w:rsidRPr="00012073">
        <w:rPr>
          <w:lang w:val="es-AR"/>
        </w:rPr>
        <w:t>.</w:t>
      </w:r>
    </w:p>
    <w:p w14:paraId="744B2341" w14:textId="3FC67007"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PA"/>
        </w:rPr>
      </w:pPr>
      <w:r w:rsidRPr="00012073">
        <w:rPr>
          <w:lang w:val="es-PA"/>
        </w:rPr>
        <w:t>76.</w:t>
      </w:r>
      <w:r w:rsidRPr="00012073">
        <w:rPr>
          <w:lang w:val="es-PA"/>
        </w:rPr>
        <w:tab/>
      </w:r>
      <w:r w:rsidR="00012073" w:rsidRPr="00012073">
        <w:rPr>
          <w:lang w:val="es-AR"/>
        </w:rPr>
        <w:t xml:space="preserve">Durante el </w:t>
      </w:r>
      <w:r w:rsidR="00B30D6B">
        <w:rPr>
          <w:lang w:val="es-AR"/>
        </w:rPr>
        <w:t>e</w:t>
      </w:r>
      <w:r w:rsidR="00012073" w:rsidRPr="00012073">
        <w:rPr>
          <w:lang w:val="es-AR"/>
        </w:rPr>
        <w:t xml:space="preserve">xamen </w:t>
      </w:r>
      <w:r w:rsidR="00B30D6B">
        <w:rPr>
          <w:lang w:val="es-AR"/>
        </w:rPr>
        <w:t>p</w:t>
      </w:r>
      <w:r w:rsidR="00012073" w:rsidRPr="00012073">
        <w:rPr>
          <w:lang w:val="es-AR"/>
        </w:rPr>
        <w:t xml:space="preserve">eriódico </w:t>
      </w:r>
      <w:r w:rsidR="00B30D6B">
        <w:rPr>
          <w:lang w:val="es-AR"/>
        </w:rPr>
        <w:t>u</w:t>
      </w:r>
      <w:r w:rsidR="00012073" w:rsidRPr="00012073">
        <w:rPr>
          <w:lang w:val="es-AR"/>
        </w:rPr>
        <w:t>niversal, así como en diferentes declaraciones y resoluciones, diversos Estados han manifestado su preocupación por la situación de derechos humanos en Nicaragua y formulado recomendaciones</w:t>
      </w:r>
      <w:r w:rsidR="00012073" w:rsidRPr="00012073">
        <w:rPr>
          <w:lang w:val="es-PA"/>
        </w:rPr>
        <w:t>.</w:t>
      </w:r>
    </w:p>
    <w:p w14:paraId="019479B1" w14:textId="3C5C661E"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lang w:val="es-AR"/>
        </w:rPr>
      </w:pPr>
      <w:r w:rsidRPr="00012073">
        <w:rPr>
          <w:lang w:val="es-AR"/>
        </w:rPr>
        <w:t>77.</w:t>
      </w:r>
      <w:r w:rsidRPr="00012073">
        <w:rPr>
          <w:lang w:val="es-AR"/>
        </w:rPr>
        <w:tab/>
      </w:r>
      <w:r w:rsidR="00012073" w:rsidRPr="00012073">
        <w:rPr>
          <w:lang w:val="es-AR"/>
        </w:rPr>
        <w:t>La adopción de cuatro resoluciones por el Consejo de Derechos Humanos</w:t>
      </w:r>
      <w:r w:rsidR="00012073" w:rsidRPr="006F3262">
        <w:rPr>
          <w:rStyle w:val="FootnoteReference"/>
        </w:rPr>
        <w:footnoteReference w:id="138"/>
      </w:r>
      <w:r w:rsidR="00012073" w:rsidRPr="00012073">
        <w:rPr>
          <w:lang w:val="es-AR"/>
        </w:rPr>
        <w:t xml:space="preserve"> también forma parte de la implementación de estas recomendaciones. Estas llaman al Gobierno a dar una respuesta a la crisis basada en los derechos humanos y han permitido a</w:t>
      </w:r>
      <w:r w:rsidR="004F2436">
        <w:rPr>
          <w:lang w:val="es-AR"/>
        </w:rPr>
        <w:t>l</w:t>
      </w:r>
      <w:r w:rsidR="00012073" w:rsidRPr="00012073">
        <w:rPr>
          <w:lang w:val="es-AR"/>
        </w:rPr>
        <w:t xml:space="preserve"> ACNUDH continuar su trabajo de monitoreo e información a través de informes escritos y actualizaciones orales que han contribuido a que la situación de Nicaragua se mantenga en la agenda internacional de derechos humanos.</w:t>
      </w:r>
    </w:p>
    <w:p w14:paraId="380D1F31" w14:textId="5DCDD475" w:rsidR="00012073" w:rsidRPr="00012073"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b/>
          <w:bCs/>
          <w:lang w:val="es-PA"/>
        </w:rPr>
      </w:pPr>
      <w:r w:rsidRPr="00012073">
        <w:rPr>
          <w:bCs/>
          <w:lang w:val="es-PA"/>
        </w:rPr>
        <w:t>78.</w:t>
      </w:r>
      <w:r w:rsidRPr="00012073">
        <w:rPr>
          <w:bCs/>
          <w:lang w:val="es-PA"/>
        </w:rPr>
        <w:tab/>
      </w:r>
      <w:r w:rsidR="00012073" w:rsidRPr="00012073">
        <w:rPr>
          <w:lang w:val="es-AR"/>
        </w:rPr>
        <w:t>Sobre la recomendación para que el Consejo de Derechos Humanos considere medidas adicionales para reforzar la rendición de cuentas por graves violaciones de derechos humanos</w:t>
      </w:r>
      <w:r w:rsidR="00012073" w:rsidRPr="006F3262">
        <w:rPr>
          <w:rStyle w:val="FootnoteReference"/>
        </w:rPr>
        <w:footnoteReference w:id="139"/>
      </w:r>
      <w:r w:rsidR="00012073" w:rsidRPr="00012073">
        <w:rPr>
          <w:lang w:val="es-AR"/>
        </w:rPr>
        <w:t xml:space="preserve">, el Consejo </w:t>
      </w:r>
      <w:r w:rsidR="00090E2C">
        <w:rPr>
          <w:lang w:val="es-AR"/>
        </w:rPr>
        <w:t>creó</w:t>
      </w:r>
      <w:r w:rsidR="00B30D6B">
        <w:rPr>
          <w:lang w:val="es-AR"/>
        </w:rPr>
        <w:t>,</w:t>
      </w:r>
      <w:r w:rsidR="00090E2C" w:rsidRPr="00012073">
        <w:rPr>
          <w:lang w:val="es-AR"/>
        </w:rPr>
        <w:t xml:space="preserve"> </w:t>
      </w:r>
      <w:r w:rsidR="00012073" w:rsidRPr="00012073">
        <w:rPr>
          <w:lang w:val="es-AR"/>
        </w:rPr>
        <w:t xml:space="preserve">mediante </w:t>
      </w:r>
      <w:r w:rsidR="00B30D6B">
        <w:rPr>
          <w:lang w:val="es-AR"/>
        </w:rPr>
        <w:t xml:space="preserve">la </w:t>
      </w:r>
      <w:r w:rsidR="00012073" w:rsidRPr="00012073">
        <w:rPr>
          <w:lang w:val="es-AR"/>
        </w:rPr>
        <w:t>resolución 49/3</w:t>
      </w:r>
      <w:r w:rsidR="00B30D6B">
        <w:rPr>
          <w:lang w:val="es-AR"/>
        </w:rPr>
        <w:t>,</w:t>
      </w:r>
      <w:r w:rsidR="00012073" w:rsidRPr="00012073">
        <w:rPr>
          <w:lang w:val="es-AR"/>
        </w:rPr>
        <w:t xml:space="preserve"> un Grupo de Expertos en Derechos Humanos sobre Nicaragua con un mandato que incluye </w:t>
      </w:r>
      <w:r w:rsidR="00B30D6B">
        <w:rPr>
          <w:lang w:val="es-AR"/>
        </w:rPr>
        <w:t>el establecimiento de los</w:t>
      </w:r>
      <w:r w:rsidR="00012073" w:rsidRPr="00012073">
        <w:rPr>
          <w:lang w:val="es-AR"/>
        </w:rPr>
        <w:t xml:space="preserve"> hechos </w:t>
      </w:r>
      <w:r w:rsidR="00B30D6B">
        <w:rPr>
          <w:lang w:val="es-AR"/>
        </w:rPr>
        <w:t xml:space="preserve">relativos a las presuntas violaciones </w:t>
      </w:r>
      <w:r w:rsidR="00012073" w:rsidRPr="00012073">
        <w:rPr>
          <w:lang w:val="es-AR"/>
        </w:rPr>
        <w:t xml:space="preserve">y la </w:t>
      </w:r>
      <w:r w:rsidR="00B30D6B">
        <w:rPr>
          <w:lang w:val="es-AR"/>
        </w:rPr>
        <w:t>identificación</w:t>
      </w:r>
      <w:r w:rsidR="00B30D6B" w:rsidRPr="00012073">
        <w:rPr>
          <w:lang w:val="es-AR"/>
        </w:rPr>
        <w:t xml:space="preserve"> </w:t>
      </w:r>
      <w:r w:rsidR="00012073" w:rsidRPr="00012073">
        <w:rPr>
          <w:lang w:val="es-AR"/>
        </w:rPr>
        <w:t>de</w:t>
      </w:r>
      <w:r w:rsidR="00B30D6B">
        <w:rPr>
          <w:lang w:val="es-AR"/>
        </w:rPr>
        <w:t xml:space="preserve"> los</w:t>
      </w:r>
      <w:r w:rsidR="00012073" w:rsidRPr="00012073">
        <w:rPr>
          <w:lang w:val="es-AR"/>
        </w:rPr>
        <w:t xml:space="preserve"> responsables.</w:t>
      </w:r>
    </w:p>
    <w:p w14:paraId="6A7274DD" w14:textId="5B1EFFCE" w:rsidR="00012073" w:rsidRPr="00012073" w:rsidRDefault="00BE4D19" w:rsidP="00BE4D19">
      <w:pPr>
        <w:pStyle w:val="HChG"/>
        <w:rPr>
          <w:b w:val="0"/>
          <w:bCs w:val="0"/>
          <w:lang w:val="es-PA"/>
        </w:rPr>
      </w:pPr>
      <w:r>
        <w:rPr>
          <w:lang w:val="es-PA"/>
        </w:rPr>
        <w:lastRenderedPageBreak/>
        <w:tab/>
      </w:r>
      <w:r w:rsidR="00012073" w:rsidRPr="00012073">
        <w:rPr>
          <w:lang w:val="es-PA"/>
        </w:rPr>
        <w:t>V.</w:t>
      </w:r>
      <w:r>
        <w:rPr>
          <w:lang w:val="es-PA"/>
        </w:rPr>
        <w:tab/>
      </w:r>
      <w:r w:rsidR="00012073" w:rsidRPr="00012073">
        <w:rPr>
          <w:lang w:val="es-PA"/>
        </w:rPr>
        <w:t xml:space="preserve">Conclusiones </w:t>
      </w:r>
    </w:p>
    <w:p w14:paraId="43FA3453" w14:textId="0946022B" w:rsidR="00012073" w:rsidRPr="00A64748"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b/>
          <w:bCs/>
          <w:lang w:val="es-PA"/>
        </w:rPr>
      </w:pPr>
      <w:r w:rsidRPr="00A64748">
        <w:rPr>
          <w:bCs/>
          <w:lang w:val="es-PA"/>
        </w:rPr>
        <w:t>79.</w:t>
      </w:r>
      <w:r w:rsidRPr="00A64748">
        <w:rPr>
          <w:bCs/>
          <w:lang w:val="es-PA"/>
        </w:rPr>
        <w:tab/>
      </w:r>
      <w:r w:rsidR="00012073" w:rsidRPr="00A64748">
        <w:rPr>
          <w:b/>
          <w:bCs/>
          <w:lang w:val="es-PA"/>
        </w:rPr>
        <w:t xml:space="preserve">La situación de derechos humanos en Nicaragua se ha deteriorado progresivamente desde 2018 sin que el Gobierno haya mostrado voluntad política de afrontar la crisis mediante el diálogo y la implementación de recomendaciones formuladas por mecanismos de derechos humanos. La falta de reformas institucionales y legislativas encaminadas a restaurar el estado de derecho y la separación de poderes, el aislamiento de la comunidad internacional, así como las severas restricciones al espacio cívico, el hostigamiento a las voces críticas y la situación de las personas detenidas en el contexto de la crisis indican dicho deterioro. </w:t>
      </w:r>
    </w:p>
    <w:p w14:paraId="70B63F86" w14:textId="260E2FA1" w:rsidR="00012073" w:rsidRPr="00A64748"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b/>
          <w:bCs/>
          <w:lang w:val="es-PA"/>
        </w:rPr>
      </w:pPr>
      <w:r w:rsidRPr="00A64748">
        <w:rPr>
          <w:bCs/>
          <w:lang w:val="es-PA"/>
        </w:rPr>
        <w:t>80.</w:t>
      </w:r>
      <w:r w:rsidRPr="00A64748">
        <w:rPr>
          <w:bCs/>
          <w:lang w:val="es-PA"/>
        </w:rPr>
        <w:tab/>
      </w:r>
      <w:r w:rsidR="00012073" w:rsidRPr="00A64748">
        <w:rPr>
          <w:b/>
          <w:bCs/>
          <w:lang w:val="es-PA"/>
        </w:rPr>
        <w:t xml:space="preserve">Las recomendaciones hechas por la Alta Comisionada en todos sus informes constituyen una hoja de ruta </w:t>
      </w:r>
      <w:r w:rsidR="0005231B" w:rsidRPr="00A64748">
        <w:rPr>
          <w:b/>
          <w:bCs/>
          <w:lang w:val="es-PA"/>
        </w:rPr>
        <w:t>con</w:t>
      </w:r>
      <w:r w:rsidR="00012073" w:rsidRPr="00A64748">
        <w:rPr>
          <w:b/>
          <w:bCs/>
          <w:lang w:val="es-PA"/>
        </w:rPr>
        <w:t xml:space="preserve"> acciones concretas para que Nicaragua diseñe soluciones en pos de superar la crítica situación actual, con apoyo de la comunidad internacional.</w:t>
      </w:r>
    </w:p>
    <w:p w14:paraId="1AAFDCB0" w14:textId="77777777" w:rsidR="00012073" w:rsidRPr="00012073" w:rsidRDefault="00012073" w:rsidP="00BE4D19">
      <w:pPr>
        <w:pStyle w:val="HChG"/>
        <w:rPr>
          <w:b w:val="0"/>
          <w:bCs w:val="0"/>
          <w:lang w:val="es-PA"/>
        </w:rPr>
      </w:pPr>
      <w:r w:rsidRPr="00012073">
        <w:rPr>
          <w:lang w:val="es-PA"/>
        </w:rPr>
        <w:tab/>
        <w:t>VI.</w:t>
      </w:r>
      <w:r w:rsidRPr="00012073">
        <w:rPr>
          <w:lang w:val="es-PA"/>
        </w:rPr>
        <w:tab/>
        <w:t>Recomendaciones</w:t>
      </w:r>
    </w:p>
    <w:p w14:paraId="67B1F9B7" w14:textId="1552D6FC" w:rsidR="00012073" w:rsidRPr="00163677" w:rsidRDefault="00520D08" w:rsidP="00520D08">
      <w:pPr>
        <w:pStyle w:val="SingleTxtG"/>
        <w:pBdr>
          <w:top w:val="none" w:sz="0" w:space="0" w:color="auto"/>
          <w:left w:val="none" w:sz="0" w:space="0" w:color="auto"/>
          <w:bottom w:val="none" w:sz="0" w:space="0" w:color="auto"/>
          <w:right w:val="none" w:sz="0" w:space="0" w:color="auto"/>
          <w:between w:val="none" w:sz="0" w:space="0" w:color="auto"/>
          <w:bar w:val="none" w:sz="0" w:color="auto"/>
        </w:pBdr>
        <w:rPr>
          <w:b/>
          <w:lang w:val="es-PA"/>
        </w:rPr>
      </w:pPr>
      <w:r w:rsidRPr="00163677">
        <w:rPr>
          <w:lang w:val="es-PA"/>
        </w:rPr>
        <w:t>81.</w:t>
      </w:r>
      <w:r w:rsidRPr="00163677">
        <w:rPr>
          <w:lang w:val="es-PA"/>
        </w:rPr>
        <w:tab/>
      </w:r>
      <w:r w:rsidR="00012073" w:rsidRPr="00163677">
        <w:rPr>
          <w:b/>
          <w:lang w:val="es-PA"/>
        </w:rPr>
        <w:t>La Alta Comisionada insta firmemente a</w:t>
      </w:r>
      <w:r w:rsidR="00EC4EDC">
        <w:rPr>
          <w:b/>
          <w:lang w:val="es-PA"/>
        </w:rPr>
        <w:t xml:space="preserve"> </w:t>
      </w:r>
      <w:r w:rsidR="00012073" w:rsidRPr="00163677">
        <w:rPr>
          <w:b/>
          <w:lang w:val="es-PA"/>
        </w:rPr>
        <w:t xml:space="preserve">Nicaragua a implementar cuanto antes las recomendaciones formuladas por </w:t>
      </w:r>
      <w:r w:rsidR="00EC4EDC">
        <w:rPr>
          <w:b/>
          <w:lang w:val="es-PA"/>
        </w:rPr>
        <w:t>el</w:t>
      </w:r>
      <w:r w:rsidR="00EC4EDC" w:rsidRPr="00163677">
        <w:rPr>
          <w:b/>
          <w:lang w:val="es-PA"/>
        </w:rPr>
        <w:t xml:space="preserve"> </w:t>
      </w:r>
      <w:r w:rsidR="00012073" w:rsidRPr="00163677">
        <w:rPr>
          <w:b/>
          <w:lang w:val="es-PA"/>
        </w:rPr>
        <w:t xml:space="preserve">ACNUDH y los mecanismos de derechos humanos que quedan incumplidas, y en particular: </w:t>
      </w:r>
    </w:p>
    <w:p w14:paraId="31C5E102" w14:textId="2E3729FF" w:rsidR="00012073" w:rsidRPr="00012073" w:rsidRDefault="00520D08" w:rsidP="00520D08">
      <w:pPr>
        <w:pStyle w:val="SingleTxtG"/>
        <w:ind w:firstLine="567"/>
        <w:rPr>
          <w:b/>
          <w:lang w:val="es-PA"/>
        </w:rPr>
      </w:pPr>
      <w:r w:rsidRPr="00012073">
        <w:rPr>
          <w:rFonts w:cs="Times New Roman"/>
          <w:b/>
          <w:lang w:val="es-PA"/>
        </w:rPr>
        <w:t>a)</w:t>
      </w:r>
      <w:r w:rsidRPr="00012073">
        <w:rPr>
          <w:rFonts w:cs="Times New Roman"/>
          <w:b/>
          <w:lang w:val="es-PA"/>
        </w:rPr>
        <w:tab/>
      </w:r>
      <w:r w:rsidR="00012073" w:rsidRPr="00012073">
        <w:rPr>
          <w:b/>
          <w:lang w:val="es-PA"/>
        </w:rPr>
        <w:t xml:space="preserve">Restaurar el </w:t>
      </w:r>
      <w:r w:rsidR="00F32846">
        <w:rPr>
          <w:b/>
          <w:lang w:val="es-PA"/>
        </w:rPr>
        <w:t>e</w:t>
      </w:r>
      <w:r w:rsidR="00012073" w:rsidRPr="00012073">
        <w:rPr>
          <w:b/>
          <w:lang w:val="es-PA"/>
        </w:rPr>
        <w:t>stado de derecho mediante una reforma judicial que garantice la independencia e imparcialidad del poder judicial.</w:t>
      </w:r>
    </w:p>
    <w:p w14:paraId="0F55E96A" w14:textId="5B06C818" w:rsidR="00012073" w:rsidRPr="00F81DE2" w:rsidRDefault="00520D08" w:rsidP="00520D08">
      <w:pPr>
        <w:pStyle w:val="SingleTxtG"/>
        <w:ind w:firstLine="567"/>
        <w:rPr>
          <w:b/>
          <w:lang w:val="es-PA"/>
        </w:rPr>
      </w:pPr>
      <w:r w:rsidRPr="00F81DE2">
        <w:rPr>
          <w:rFonts w:cs="Times New Roman"/>
          <w:b/>
          <w:lang w:val="es-PA"/>
        </w:rPr>
        <w:t>b)</w:t>
      </w:r>
      <w:r w:rsidRPr="00F81DE2">
        <w:rPr>
          <w:rFonts w:cs="Times New Roman"/>
          <w:b/>
          <w:lang w:val="es-PA"/>
        </w:rPr>
        <w:tab/>
      </w:r>
      <w:r w:rsidR="00012073" w:rsidRPr="00F81DE2">
        <w:rPr>
          <w:b/>
          <w:lang w:val="es-PA"/>
        </w:rPr>
        <w:t>Alinear la legislación interna con las normas y estándares internacionales de derechos humanos, especialmente la Ley Electoral (</w:t>
      </w:r>
      <w:proofErr w:type="spellStart"/>
      <w:r w:rsidR="00F8382C" w:rsidRPr="00F81DE2">
        <w:rPr>
          <w:b/>
          <w:lang w:val="es-PA"/>
        </w:rPr>
        <w:t>núm</w:t>
      </w:r>
      <w:r w:rsidR="00F81DE2" w:rsidRPr="00F81DE2">
        <w:rPr>
          <w:b/>
          <w:lang w:val="es-PA"/>
        </w:rPr>
        <w:t>s</w:t>
      </w:r>
      <w:proofErr w:type="spellEnd"/>
      <w:r w:rsidR="00F8382C" w:rsidRPr="00F81DE2">
        <w:rPr>
          <w:b/>
          <w:lang w:val="es-PA"/>
        </w:rPr>
        <w:t>. </w:t>
      </w:r>
      <w:r w:rsidR="00012073" w:rsidRPr="00F81DE2">
        <w:rPr>
          <w:b/>
          <w:lang w:val="es-PA"/>
        </w:rPr>
        <w:t xml:space="preserve">1070 y 1116), la Ley </w:t>
      </w:r>
      <w:r w:rsidR="00F81DE2" w:rsidRPr="00A64748">
        <w:rPr>
          <w:b/>
          <w:lang w:val="es-PA"/>
        </w:rPr>
        <w:t>núm. </w:t>
      </w:r>
      <w:r w:rsidR="00012073" w:rsidRPr="00F81DE2">
        <w:rPr>
          <w:b/>
          <w:lang w:val="es-PA"/>
        </w:rPr>
        <w:t>1115,</w:t>
      </w:r>
      <w:r w:rsidR="00012073" w:rsidRPr="00F81DE2">
        <w:rPr>
          <w:b/>
          <w:bCs/>
          <w:lang w:val="es-AR"/>
        </w:rPr>
        <w:t xml:space="preserve"> la</w:t>
      </w:r>
      <w:r w:rsidR="00012073" w:rsidRPr="00F81DE2">
        <w:rPr>
          <w:lang w:val="es-AR"/>
        </w:rPr>
        <w:t xml:space="preserve"> </w:t>
      </w:r>
      <w:r w:rsidR="00012073" w:rsidRPr="00F81DE2">
        <w:rPr>
          <w:b/>
          <w:lang w:val="es-PA"/>
        </w:rPr>
        <w:t xml:space="preserve">Ley </w:t>
      </w:r>
      <w:r w:rsidR="00F81DE2" w:rsidRPr="00A64748">
        <w:rPr>
          <w:b/>
          <w:lang w:val="es-PA"/>
        </w:rPr>
        <w:t>núm. </w:t>
      </w:r>
      <w:r w:rsidR="00012073" w:rsidRPr="00F81DE2">
        <w:rPr>
          <w:b/>
          <w:lang w:val="es-PA"/>
        </w:rPr>
        <w:t xml:space="preserve">1040, la Ley </w:t>
      </w:r>
      <w:r w:rsidR="00F81DE2" w:rsidRPr="00A64748">
        <w:rPr>
          <w:b/>
          <w:lang w:val="es-PA"/>
        </w:rPr>
        <w:t>núm. </w:t>
      </w:r>
      <w:r w:rsidR="00012073" w:rsidRPr="00F81DE2">
        <w:rPr>
          <w:b/>
          <w:lang w:val="es-PA"/>
        </w:rPr>
        <w:t xml:space="preserve">1042 y la Ley </w:t>
      </w:r>
      <w:r w:rsidR="00F81DE2" w:rsidRPr="00A64748">
        <w:rPr>
          <w:b/>
          <w:lang w:val="es-PA"/>
        </w:rPr>
        <w:t>núm. </w:t>
      </w:r>
      <w:r w:rsidR="00012073" w:rsidRPr="00F81DE2">
        <w:rPr>
          <w:b/>
          <w:lang w:val="es-PA"/>
        </w:rPr>
        <w:t>1055.</w:t>
      </w:r>
    </w:p>
    <w:p w14:paraId="6DE83942" w14:textId="3B9B9743" w:rsidR="00012073" w:rsidRPr="00012073" w:rsidRDefault="00520D08" w:rsidP="00520D08">
      <w:pPr>
        <w:pStyle w:val="SingleTxtG"/>
        <w:ind w:firstLine="567"/>
        <w:rPr>
          <w:b/>
          <w:lang w:val="es-PA"/>
        </w:rPr>
      </w:pPr>
      <w:r w:rsidRPr="00012073">
        <w:rPr>
          <w:rFonts w:cs="Times New Roman"/>
          <w:b/>
          <w:lang w:val="es-PA"/>
        </w:rPr>
        <w:t>c)</w:t>
      </w:r>
      <w:r w:rsidRPr="00012073">
        <w:rPr>
          <w:rFonts w:cs="Times New Roman"/>
          <w:b/>
          <w:lang w:val="es-PA"/>
        </w:rPr>
        <w:tab/>
      </w:r>
      <w:r w:rsidR="00012073" w:rsidRPr="00012073">
        <w:rPr>
          <w:b/>
          <w:lang w:val="es-PA"/>
        </w:rPr>
        <w:t>Liberar inmediatamente y sin condiciones a todas las personas arbitrariamente detenidas y sentenciadas, dejando sin efecto sus procesos y condenas.</w:t>
      </w:r>
    </w:p>
    <w:p w14:paraId="00E98A33" w14:textId="33681933" w:rsidR="00012073" w:rsidRPr="00012073" w:rsidRDefault="00520D08" w:rsidP="00520D08">
      <w:pPr>
        <w:pStyle w:val="SingleTxtG"/>
        <w:ind w:firstLine="567"/>
        <w:rPr>
          <w:b/>
          <w:lang w:val="es-PA"/>
        </w:rPr>
      </w:pPr>
      <w:r w:rsidRPr="00012073">
        <w:rPr>
          <w:rFonts w:cs="Times New Roman"/>
          <w:b/>
          <w:lang w:val="es-PA"/>
        </w:rPr>
        <w:t>d)</w:t>
      </w:r>
      <w:r w:rsidRPr="00012073">
        <w:rPr>
          <w:rFonts w:cs="Times New Roman"/>
          <w:b/>
          <w:lang w:val="es-PA"/>
        </w:rPr>
        <w:tab/>
      </w:r>
      <w:r w:rsidR="00012073" w:rsidRPr="00012073">
        <w:rPr>
          <w:b/>
          <w:lang w:val="es-PA"/>
        </w:rPr>
        <w:t>Reponer el espacio cívico, restaurando la personalidad jurídica y los bienes de las organizaciones que fueron clausuradas,</w:t>
      </w:r>
      <w:r w:rsidR="00012073" w:rsidRPr="00012073">
        <w:rPr>
          <w:b/>
          <w:lang w:val="es-ES"/>
        </w:rPr>
        <w:t xml:space="preserve"> protegiendo su libre funcionamiento, y</w:t>
      </w:r>
      <w:r w:rsidR="00012073" w:rsidRPr="00012073">
        <w:rPr>
          <w:b/>
          <w:lang w:val="es-PA"/>
        </w:rPr>
        <w:t xml:space="preserve"> absteniéndose de cancelar arbitrariamente la personalidad jurídica de más organizaciones y medios de comunicación. </w:t>
      </w:r>
    </w:p>
    <w:p w14:paraId="1A676553" w14:textId="6FEEB379" w:rsidR="00012073" w:rsidRDefault="00520D08" w:rsidP="00520D08">
      <w:pPr>
        <w:pStyle w:val="SingleTxtG"/>
        <w:ind w:firstLine="567"/>
        <w:rPr>
          <w:b/>
          <w:lang w:val="es-PA"/>
        </w:rPr>
      </w:pPr>
      <w:r>
        <w:rPr>
          <w:rFonts w:cs="Times New Roman"/>
          <w:b/>
          <w:lang w:val="es-PA"/>
        </w:rPr>
        <w:t>e)</w:t>
      </w:r>
      <w:r>
        <w:rPr>
          <w:rFonts w:cs="Times New Roman"/>
          <w:b/>
          <w:lang w:val="es-PA"/>
        </w:rPr>
        <w:tab/>
      </w:r>
      <w:r w:rsidR="00012073" w:rsidRPr="00012073">
        <w:rPr>
          <w:b/>
          <w:lang w:val="es-PA"/>
        </w:rPr>
        <w:t xml:space="preserve">Eliminar todos los obstáculos que favorecen la impunidad de los perpetradores de violaciones </w:t>
      </w:r>
      <w:r w:rsidR="00592762">
        <w:rPr>
          <w:b/>
          <w:lang w:val="es-PA"/>
        </w:rPr>
        <w:t>de</w:t>
      </w:r>
      <w:r w:rsidR="00592762" w:rsidRPr="00012073">
        <w:rPr>
          <w:b/>
          <w:lang w:val="es-PA"/>
        </w:rPr>
        <w:t xml:space="preserve"> </w:t>
      </w:r>
      <w:r w:rsidR="00012073" w:rsidRPr="00012073">
        <w:rPr>
          <w:b/>
          <w:lang w:val="es-PA"/>
        </w:rPr>
        <w:t xml:space="preserve">los derechos humanos cometidas desde abril de 2018, y </w:t>
      </w:r>
      <w:r w:rsidR="00D530E3">
        <w:rPr>
          <w:b/>
          <w:lang w:val="es-PA"/>
        </w:rPr>
        <w:t xml:space="preserve">proporcionar </w:t>
      </w:r>
      <w:r w:rsidR="00012073" w:rsidRPr="00012073">
        <w:rPr>
          <w:b/>
          <w:lang w:val="es-PA"/>
        </w:rPr>
        <w:t>repara</w:t>
      </w:r>
      <w:r w:rsidR="00D530E3">
        <w:rPr>
          <w:b/>
          <w:lang w:val="es-PA"/>
        </w:rPr>
        <w:t>ciones</w:t>
      </w:r>
      <w:r w:rsidR="00012073" w:rsidRPr="00012073">
        <w:rPr>
          <w:b/>
          <w:lang w:val="es-PA"/>
        </w:rPr>
        <w:t xml:space="preserve"> a todas las víctimas.</w:t>
      </w:r>
    </w:p>
    <w:p w14:paraId="02283E64" w14:textId="0D401EEA" w:rsidR="008017EC" w:rsidRPr="003F062B" w:rsidRDefault="00520D08" w:rsidP="00520D08">
      <w:pPr>
        <w:pStyle w:val="SingleTxtG"/>
        <w:ind w:firstLine="567"/>
        <w:rPr>
          <w:b/>
          <w:lang w:val="es-PA"/>
        </w:rPr>
      </w:pPr>
      <w:r w:rsidRPr="003F062B">
        <w:rPr>
          <w:rFonts w:cs="Times New Roman"/>
          <w:b/>
          <w:lang w:val="es-PA"/>
        </w:rPr>
        <w:t>f)</w:t>
      </w:r>
      <w:r w:rsidRPr="003F062B">
        <w:rPr>
          <w:rFonts w:cs="Times New Roman"/>
          <w:b/>
          <w:lang w:val="es-PA"/>
        </w:rPr>
        <w:tab/>
      </w:r>
      <w:r w:rsidR="00012073" w:rsidRPr="003F062B">
        <w:rPr>
          <w:b/>
          <w:lang w:val="es-PA"/>
        </w:rPr>
        <w:t>Permitir el acceso de</w:t>
      </w:r>
      <w:r w:rsidR="00D530E3">
        <w:rPr>
          <w:b/>
          <w:lang w:val="es-PA"/>
        </w:rPr>
        <w:t>l</w:t>
      </w:r>
      <w:r w:rsidR="00012073" w:rsidRPr="003F062B">
        <w:rPr>
          <w:b/>
          <w:lang w:val="es-PA"/>
        </w:rPr>
        <w:t xml:space="preserve"> ACNUDH a Nicaragua y cooperar efectivamente con e</w:t>
      </w:r>
      <w:r w:rsidR="00E7547D">
        <w:rPr>
          <w:b/>
          <w:lang w:val="es-PA"/>
        </w:rPr>
        <w:t>ste organismo</w:t>
      </w:r>
      <w:r w:rsidR="00120C9B" w:rsidRPr="003F062B">
        <w:rPr>
          <w:b/>
          <w:bCs/>
          <w:lang w:val="es-ES"/>
        </w:rPr>
        <w:t>.</w:t>
      </w:r>
    </w:p>
    <w:p w14:paraId="5CEE2D1C" w14:textId="77777777" w:rsidR="00BC0583" w:rsidRPr="00D359CD" w:rsidRDefault="00F158B1" w:rsidP="00105D24">
      <w:pPr>
        <w:pStyle w:val="SingleTxtG"/>
        <w:spacing w:before="240" w:after="0"/>
        <w:ind w:left="1701"/>
        <w:jc w:val="center"/>
        <w:rPr>
          <w:lang w:val="es-ES"/>
        </w:rPr>
      </w:pPr>
      <w:r w:rsidRPr="00D359CD">
        <w:rPr>
          <w:u w:val="single"/>
          <w:lang w:val="es-ES"/>
        </w:rPr>
        <w:tab/>
      </w:r>
      <w:r w:rsidRPr="00D359CD">
        <w:rPr>
          <w:u w:val="single"/>
          <w:lang w:val="es-ES"/>
        </w:rPr>
        <w:tab/>
      </w:r>
      <w:r w:rsidRPr="00D359CD">
        <w:rPr>
          <w:u w:val="single"/>
          <w:lang w:val="es-ES"/>
        </w:rPr>
        <w:tab/>
      </w:r>
      <w:r w:rsidRPr="00D359CD">
        <w:rPr>
          <w:u w:val="single"/>
          <w:lang w:val="es-ES"/>
        </w:rPr>
        <w:tab/>
        <w:t xml:space="preserve"> </w:t>
      </w:r>
    </w:p>
    <w:sectPr w:rsidR="00BC0583" w:rsidRPr="00D359CD" w:rsidSect="001A10E9">
      <w:headerReference w:type="even" r:id="rId11"/>
      <w:headerReference w:type="default" r:id="rId12"/>
      <w:footerReference w:type="even" r:id="rId13"/>
      <w:pgSz w:w="11900"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6B4A7" w14:textId="77777777" w:rsidR="00F17827" w:rsidRDefault="00F17827">
      <w:r>
        <w:separator/>
      </w:r>
    </w:p>
  </w:endnote>
  <w:endnote w:type="continuationSeparator" w:id="0">
    <w:p w14:paraId="0F22C19F" w14:textId="77777777" w:rsidR="00F17827" w:rsidRDefault="00F17827">
      <w:r>
        <w:continuationSeparator/>
      </w:r>
    </w:p>
  </w:endnote>
  <w:endnote w:type="continuationNotice" w:id="1">
    <w:p w14:paraId="6E1FDED6" w14:textId="77777777" w:rsidR="00F17827" w:rsidRDefault="00F17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abon LT Std">
    <w:altName w:val="Sabon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4219" w14:textId="1560018F" w:rsidR="00FF1B96" w:rsidRDefault="00FF1B96">
    <w:pPr>
      <w:pStyle w:val="Footer"/>
      <w:tabs>
        <w:tab w:val="right" w:pos="9612"/>
      </w:tabs>
    </w:pPr>
    <w:r>
      <w:rPr>
        <w:b/>
        <w:bCs/>
        <w:sz w:val="18"/>
        <w:szCs w:val="18"/>
      </w:rPr>
      <w:fldChar w:fldCharType="begin"/>
    </w:r>
    <w:r>
      <w:rPr>
        <w:b/>
        <w:bCs/>
        <w:sz w:val="18"/>
        <w:szCs w:val="18"/>
      </w:rPr>
      <w:instrText xml:space="preserve"> PAGE </w:instrText>
    </w:r>
    <w:r>
      <w:rPr>
        <w:b/>
        <w:bCs/>
        <w:sz w:val="18"/>
        <w:szCs w:val="18"/>
      </w:rPr>
      <w:fldChar w:fldCharType="separate"/>
    </w:r>
    <w:r w:rsidR="001241A2">
      <w:rPr>
        <w:b/>
        <w:bCs/>
        <w:noProof/>
        <w:sz w:val="18"/>
        <w:szCs w:val="18"/>
      </w:rPr>
      <w:t>16</w:t>
    </w:r>
    <w:r>
      <w:rPr>
        <w:b/>
        <w:bCs/>
        <w:sz w:val="18"/>
        <w:szCs w:val="18"/>
      </w:rPr>
      <w:fldChar w:fldCharType="end"/>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89DF3" w14:textId="77777777" w:rsidR="00F17827" w:rsidRDefault="00F17827">
      <w:r>
        <w:separator/>
      </w:r>
    </w:p>
  </w:footnote>
  <w:footnote w:type="continuationSeparator" w:id="0">
    <w:p w14:paraId="762755FC" w14:textId="77777777" w:rsidR="00F17827" w:rsidRDefault="00F17827">
      <w:r>
        <w:continuationSeparator/>
      </w:r>
    </w:p>
  </w:footnote>
  <w:footnote w:type="continuationNotice" w:id="1">
    <w:p w14:paraId="3B2A19CC" w14:textId="77777777" w:rsidR="00F17827" w:rsidRDefault="00F17827"/>
  </w:footnote>
  <w:footnote w:id="2">
    <w:p w14:paraId="005846B8" w14:textId="1B9CCE93" w:rsidR="006D0DC6" w:rsidRPr="006D0DC6" w:rsidRDefault="006D0DC6">
      <w:pPr>
        <w:pStyle w:val="FootnoteText"/>
        <w:rPr>
          <w:lang w:val="en-GB"/>
        </w:rPr>
      </w:pPr>
      <w:r>
        <w:rPr>
          <w:rStyle w:val="FootnoteReference"/>
        </w:rPr>
        <w:tab/>
      </w:r>
      <w:r w:rsidRPr="006D0DC6">
        <w:rPr>
          <w:rStyle w:val="FootnoteReference"/>
          <w:sz w:val="20"/>
          <w:vertAlign w:val="baseline"/>
        </w:rPr>
        <w:t>*</w:t>
      </w:r>
      <w:r>
        <w:rPr>
          <w:rStyle w:val="FootnoteReference"/>
          <w:sz w:val="20"/>
          <w:vertAlign w:val="baseline"/>
        </w:rPr>
        <w:tab/>
      </w:r>
      <w:r w:rsidRPr="006D0DC6">
        <w:rPr>
          <w:color w:val="242424"/>
          <w:szCs w:val="18"/>
          <w:shd w:val="clear" w:color="auto" w:fill="FFFFFF"/>
        </w:rPr>
        <w:t xml:space="preserve">Este informe se </w:t>
      </w:r>
      <w:proofErr w:type="spellStart"/>
      <w:r w:rsidRPr="006D0DC6">
        <w:rPr>
          <w:color w:val="242424"/>
          <w:szCs w:val="18"/>
          <w:shd w:val="clear" w:color="auto" w:fill="FFFFFF"/>
        </w:rPr>
        <w:t>presenta</w:t>
      </w:r>
      <w:proofErr w:type="spellEnd"/>
      <w:r w:rsidRPr="006D0DC6">
        <w:rPr>
          <w:color w:val="242424"/>
          <w:szCs w:val="18"/>
          <w:shd w:val="clear" w:color="auto" w:fill="FFFFFF"/>
        </w:rPr>
        <w:t xml:space="preserve"> con </w:t>
      </w:r>
      <w:proofErr w:type="spellStart"/>
      <w:r w:rsidRPr="006D0DC6">
        <w:rPr>
          <w:color w:val="242424"/>
          <w:szCs w:val="18"/>
          <w:shd w:val="clear" w:color="auto" w:fill="FFFFFF"/>
        </w:rPr>
        <w:t>retraso</w:t>
      </w:r>
      <w:proofErr w:type="spellEnd"/>
      <w:r w:rsidRPr="006D0DC6">
        <w:rPr>
          <w:color w:val="242424"/>
          <w:szCs w:val="18"/>
          <w:shd w:val="clear" w:color="auto" w:fill="FFFFFF"/>
        </w:rPr>
        <w:t xml:space="preserve"> para </w:t>
      </w:r>
      <w:proofErr w:type="spellStart"/>
      <w:r w:rsidRPr="006D0DC6">
        <w:rPr>
          <w:color w:val="242424"/>
          <w:szCs w:val="18"/>
          <w:shd w:val="clear" w:color="auto" w:fill="FFFFFF"/>
        </w:rPr>
        <w:t>incluir</w:t>
      </w:r>
      <w:proofErr w:type="spellEnd"/>
      <w:r w:rsidRPr="006D0DC6">
        <w:rPr>
          <w:color w:val="242424"/>
          <w:szCs w:val="18"/>
          <w:shd w:val="clear" w:color="auto" w:fill="FFFFFF"/>
        </w:rPr>
        <w:t xml:space="preserve"> en </w:t>
      </w:r>
      <w:proofErr w:type="spellStart"/>
      <w:r w:rsidRPr="006D0DC6">
        <w:rPr>
          <w:color w:val="242424"/>
          <w:szCs w:val="18"/>
          <w:shd w:val="clear" w:color="auto" w:fill="FFFFFF"/>
        </w:rPr>
        <w:t>él</w:t>
      </w:r>
      <w:proofErr w:type="spellEnd"/>
      <w:r w:rsidRPr="006D0DC6">
        <w:rPr>
          <w:color w:val="242424"/>
          <w:szCs w:val="18"/>
          <w:shd w:val="clear" w:color="auto" w:fill="FFFFFF"/>
        </w:rPr>
        <w:t xml:space="preserve"> la </w:t>
      </w:r>
      <w:proofErr w:type="spellStart"/>
      <w:r w:rsidRPr="006D0DC6">
        <w:rPr>
          <w:color w:val="242424"/>
          <w:szCs w:val="18"/>
          <w:shd w:val="clear" w:color="auto" w:fill="FFFFFF"/>
        </w:rPr>
        <w:t>información</w:t>
      </w:r>
      <w:proofErr w:type="spellEnd"/>
      <w:r w:rsidRPr="006D0DC6">
        <w:rPr>
          <w:color w:val="242424"/>
          <w:szCs w:val="18"/>
          <w:shd w:val="clear" w:color="auto" w:fill="FFFFFF"/>
        </w:rPr>
        <w:t xml:space="preserve"> </w:t>
      </w:r>
      <w:proofErr w:type="spellStart"/>
      <w:r w:rsidRPr="006D0DC6">
        <w:rPr>
          <w:color w:val="242424"/>
          <w:szCs w:val="18"/>
          <w:shd w:val="clear" w:color="auto" w:fill="FFFFFF"/>
        </w:rPr>
        <w:t>más</w:t>
      </w:r>
      <w:proofErr w:type="spellEnd"/>
      <w:r w:rsidRPr="006D0DC6">
        <w:rPr>
          <w:color w:val="242424"/>
          <w:szCs w:val="18"/>
          <w:shd w:val="clear" w:color="auto" w:fill="FFFFFF"/>
        </w:rPr>
        <w:t xml:space="preserve"> </w:t>
      </w:r>
      <w:proofErr w:type="spellStart"/>
      <w:r w:rsidRPr="006D0DC6">
        <w:rPr>
          <w:color w:val="242424"/>
          <w:szCs w:val="18"/>
          <w:shd w:val="clear" w:color="auto" w:fill="FFFFFF"/>
        </w:rPr>
        <w:t>reciente</w:t>
      </w:r>
      <w:proofErr w:type="spellEnd"/>
      <w:r w:rsidRPr="006D0DC6">
        <w:rPr>
          <w:color w:val="242424"/>
          <w:szCs w:val="18"/>
          <w:shd w:val="clear" w:color="auto" w:fill="FFFFFF"/>
        </w:rPr>
        <w:t>.</w:t>
      </w:r>
    </w:p>
  </w:footnote>
  <w:footnote w:id="3">
    <w:p w14:paraId="142FB8D8" w14:textId="013CA405" w:rsidR="00FF1B96" w:rsidRPr="00A64748" w:rsidRDefault="00FF1B96" w:rsidP="00137A50">
      <w:pPr>
        <w:pStyle w:val="FootnoteText"/>
        <w:rPr>
          <w:lang w:val="es-ES"/>
        </w:rPr>
      </w:pPr>
      <w:r w:rsidRPr="009B646D">
        <w:tab/>
      </w:r>
      <w:r w:rsidRPr="009B646D">
        <w:rPr>
          <w:rStyle w:val="FootnoteReference"/>
        </w:rPr>
        <w:footnoteRef/>
      </w:r>
      <w:r w:rsidRPr="00A64748">
        <w:rPr>
          <w:lang w:val="es-ES"/>
        </w:rPr>
        <w:tab/>
        <w:t>ACNUDH, “</w:t>
      </w:r>
      <w:r w:rsidR="00FD57F1" w:rsidRPr="00A64748">
        <w:rPr>
          <w:color w:val="000000"/>
          <w:lang w:val="es-ES"/>
        </w:rPr>
        <w:t>Violaciones de derechos humanos y abusos en el contexto de las protestas en Nicaragua 18 de abril – 18 de agosto de 2018</w:t>
      </w:r>
      <w:r w:rsidR="00DA3ED4" w:rsidRPr="009B646D">
        <w:rPr>
          <w:lang w:val="es-ES"/>
        </w:rPr>
        <w:t>”</w:t>
      </w:r>
      <w:r w:rsidRPr="009B646D">
        <w:rPr>
          <w:lang w:val="es-ES"/>
        </w:rPr>
        <w:t xml:space="preserve">. Disponible en </w:t>
      </w:r>
      <w:hyperlink r:id="rId1" w:history="1">
        <w:r w:rsidRPr="00A64748">
          <w:rPr>
            <w:rStyle w:val="Hyperlink"/>
            <w:u w:val="none"/>
            <w:lang w:val="es-ES"/>
          </w:rPr>
          <w:t>http://www.oacnudh.org/wp-content/uploads/2018/08/Nicaragua-Report-FINAL_SP.pdf</w:t>
        </w:r>
      </w:hyperlink>
      <w:r w:rsidRPr="009B646D">
        <w:rPr>
          <w:lang w:val="es-ES"/>
        </w:rPr>
        <w:t>.</w:t>
      </w:r>
    </w:p>
  </w:footnote>
  <w:footnote w:id="4">
    <w:p w14:paraId="3FC929CE" w14:textId="78C4112A" w:rsidR="00FF1B96" w:rsidRPr="00A64748" w:rsidRDefault="00FF1B96" w:rsidP="00012073">
      <w:pPr>
        <w:pStyle w:val="FootnoteText"/>
        <w:rPr>
          <w:lang w:val="es-ES"/>
        </w:rPr>
      </w:pPr>
      <w:r w:rsidRPr="00A64748">
        <w:rPr>
          <w:lang w:val="es-ES"/>
        </w:rPr>
        <w:tab/>
      </w:r>
      <w:r w:rsidRPr="009B646D">
        <w:rPr>
          <w:rStyle w:val="FootnoteReference"/>
        </w:rPr>
        <w:footnoteRef/>
      </w:r>
      <w:r w:rsidRPr="00A64748">
        <w:rPr>
          <w:lang w:val="es-ES"/>
        </w:rPr>
        <w:tab/>
      </w:r>
      <w:r w:rsidRPr="00A64748">
        <w:rPr>
          <w:lang w:val="es-ES"/>
        </w:rPr>
        <w:tab/>
      </w:r>
      <w:hyperlink r:id="rId2" w:history="1">
        <w:r w:rsidRPr="00A64748">
          <w:rPr>
            <w:rStyle w:val="Hyperlink"/>
            <w:color w:val="0000FF"/>
            <w:u w:val="none"/>
          </w:rPr>
          <w:t>A/HRC/42/18</w:t>
        </w:r>
      </w:hyperlink>
      <w:r w:rsidRPr="00A64748">
        <w:rPr>
          <w:lang w:val="es-ES"/>
        </w:rPr>
        <w:t>.</w:t>
      </w:r>
    </w:p>
  </w:footnote>
  <w:footnote w:id="5">
    <w:p w14:paraId="23559CE4" w14:textId="292FA9BA" w:rsidR="00FF1B96" w:rsidRPr="00A64748" w:rsidRDefault="00FF1B96" w:rsidP="00012073">
      <w:pPr>
        <w:pStyle w:val="FootnoteText"/>
        <w:rPr>
          <w:lang w:val="es-ES"/>
        </w:rPr>
      </w:pPr>
      <w:r w:rsidRPr="00A64748">
        <w:rPr>
          <w:lang w:val="es-ES"/>
        </w:rPr>
        <w:tab/>
      </w:r>
      <w:r w:rsidRPr="009B646D">
        <w:rPr>
          <w:rStyle w:val="FootnoteReference"/>
        </w:rPr>
        <w:footnoteRef/>
      </w:r>
      <w:r w:rsidRPr="00A64748">
        <w:rPr>
          <w:lang w:val="es-ES"/>
        </w:rPr>
        <w:tab/>
      </w:r>
      <w:hyperlink r:id="rId3" w:history="1">
        <w:r w:rsidRPr="00A64748">
          <w:rPr>
            <w:rStyle w:val="Hyperlink"/>
            <w:color w:val="0000FF"/>
            <w:u w:val="none"/>
          </w:rPr>
          <w:t>A/HRC/46/21</w:t>
        </w:r>
      </w:hyperlink>
      <w:r w:rsidRPr="00A64748">
        <w:rPr>
          <w:lang w:val="es-ES"/>
        </w:rPr>
        <w:t>.</w:t>
      </w:r>
      <w:r w:rsidR="009B646D" w:rsidRPr="009B646D">
        <w:rPr>
          <w:lang w:val="es-ES"/>
        </w:rPr>
        <w:t xml:space="preserve"> </w:t>
      </w:r>
    </w:p>
  </w:footnote>
  <w:footnote w:id="6">
    <w:p w14:paraId="267098EB" w14:textId="4752709F" w:rsidR="00FF1B96" w:rsidRPr="00A64748" w:rsidRDefault="00FF1B96" w:rsidP="00012073">
      <w:pPr>
        <w:pStyle w:val="FootnoteText"/>
        <w:rPr>
          <w:lang w:val="es-ES"/>
        </w:rPr>
      </w:pPr>
      <w:r w:rsidRPr="00A64748">
        <w:rPr>
          <w:lang w:val="es-ES"/>
        </w:rPr>
        <w:tab/>
      </w:r>
      <w:r w:rsidRPr="009B646D">
        <w:rPr>
          <w:rStyle w:val="FootnoteReference"/>
        </w:rPr>
        <w:footnoteRef/>
      </w:r>
      <w:r w:rsidRPr="00A64748">
        <w:rPr>
          <w:lang w:val="es-ES"/>
        </w:rPr>
        <w:tab/>
      </w:r>
      <w:bookmarkStart w:id="1" w:name="_Hlk113873391"/>
      <w:r w:rsidR="00A64748" w:rsidRPr="00A64748">
        <w:rPr>
          <w:rStyle w:val="Hyperlink"/>
          <w:color w:val="0000FF"/>
          <w:u w:val="none"/>
        </w:rPr>
        <w:fldChar w:fldCharType="begin"/>
      </w:r>
      <w:r w:rsidR="00A64748" w:rsidRPr="00A64748">
        <w:rPr>
          <w:rStyle w:val="Hyperlink"/>
          <w:color w:val="0000FF"/>
          <w:u w:val="none"/>
        </w:rPr>
        <w:instrText xml:space="preserve"> HYPERLINK "http://undocs.org/fr/A/HRC/49/23" </w:instrText>
      </w:r>
      <w:r w:rsidR="00A64748" w:rsidRPr="00A64748">
        <w:rPr>
          <w:rStyle w:val="Hyperlink"/>
          <w:color w:val="0000FF"/>
          <w:u w:val="none"/>
        </w:rPr>
        <w:fldChar w:fldCharType="separate"/>
      </w:r>
      <w:r w:rsidRPr="00A64748">
        <w:rPr>
          <w:rStyle w:val="Hyperlink"/>
          <w:color w:val="0000FF"/>
          <w:u w:val="none"/>
        </w:rPr>
        <w:t>A/HRC/49/23</w:t>
      </w:r>
      <w:bookmarkEnd w:id="1"/>
      <w:r w:rsidR="00A64748" w:rsidRPr="00A64748">
        <w:rPr>
          <w:rStyle w:val="Hyperlink"/>
          <w:color w:val="0000FF"/>
          <w:u w:val="none"/>
        </w:rPr>
        <w:fldChar w:fldCharType="end"/>
      </w:r>
      <w:r w:rsidRPr="00A64748">
        <w:rPr>
          <w:lang w:val="es-ES"/>
        </w:rPr>
        <w:t xml:space="preserve">. </w:t>
      </w:r>
    </w:p>
  </w:footnote>
  <w:footnote w:id="7">
    <w:p w14:paraId="48A72ACA" w14:textId="7E47EB73" w:rsidR="00FF1B96" w:rsidRPr="009B646D" w:rsidRDefault="00FF1B96" w:rsidP="00012073">
      <w:pPr>
        <w:pStyle w:val="FootnoteText"/>
        <w:rPr>
          <w:lang w:val="en-GB"/>
        </w:rPr>
      </w:pPr>
      <w:r w:rsidRPr="00A64748">
        <w:rPr>
          <w:lang w:val="es-ES"/>
        </w:rPr>
        <w:tab/>
      </w:r>
      <w:r w:rsidRPr="009B646D">
        <w:rPr>
          <w:rStyle w:val="FootnoteReference"/>
        </w:rPr>
        <w:footnoteRef/>
      </w:r>
      <w:r w:rsidRPr="009B646D">
        <w:rPr>
          <w:lang w:val="en-GB"/>
        </w:rPr>
        <w:tab/>
      </w:r>
      <w:hyperlink r:id="rId4" w:history="1">
        <w:r w:rsidRPr="00A64748">
          <w:rPr>
            <w:rStyle w:val="Hyperlink"/>
            <w:color w:val="0000FF"/>
            <w:u w:val="none"/>
          </w:rPr>
          <w:t>A/HRC/42/16</w:t>
        </w:r>
      </w:hyperlink>
      <w:r w:rsidRPr="009B646D">
        <w:rPr>
          <w:lang w:val="en-GB"/>
        </w:rPr>
        <w:t>.</w:t>
      </w:r>
    </w:p>
  </w:footnote>
  <w:footnote w:id="8">
    <w:p w14:paraId="502162CB" w14:textId="36E0C08A" w:rsidR="00FF1B96" w:rsidRPr="009B646D" w:rsidRDefault="00FF1B96" w:rsidP="00012073">
      <w:pPr>
        <w:pStyle w:val="FootnoteText"/>
      </w:pPr>
      <w:r w:rsidRPr="009B646D">
        <w:rPr>
          <w:lang w:val="en-GB"/>
        </w:rPr>
        <w:tab/>
      </w:r>
      <w:r w:rsidRPr="009B646D">
        <w:rPr>
          <w:rStyle w:val="FootnoteReference"/>
        </w:rPr>
        <w:footnoteRef/>
      </w:r>
      <w:r w:rsidRPr="009B646D">
        <w:rPr>
          <w:lang w:val="en-GB"/>
        </w:rPr>
        <w:tab/>
      </w:r>
      <w:hyperlink r:id="rId5" w:history="1">
        <w:r w:rsidRPr="00A64748">
          <w:rPr>
            <w:rStyle w:val="Hyperlink"/>
            <w:color w:val="0000FF"/>
            <w:u w:val="none"/>
          </w:rPr>
          <w:t>A/HRC/42/16/Add.1</w:t>
        </w:r>
      </w:hyperlink>
      <w:r w:rsidRPr="009B646D">
        <w:t>.</w:t>
      </w:r>
    </w:p>
  </w:footnote>
  <w:footnote w:id="9">
    <w:p w14:paraId="2BD7F6AA" w14:textId="3FAF437A" w:rsidR="00FF1B96" w:rsidRPr="00A64748" w:rsidRDefault="00FF1B96" w:rsidP="00012073">
      <w:pPr>
        <w:pStyle w:val="FootnoteText"/>
        <w:rPr>
          <w:lang w:val="es-ES"/>
        </w:rPr>
      </w:pPr>
      <w:r w:rsidRPr="009B646D">
        <w:rPr>
          <w:lang w:val="en-GB"/>
        </w:rPr>
        <w:tab/>
      </w:r>
      <w:r w:rsidRPr="009B646D">
        <w:rPr>
          <w:rStyle w:val="FootnoteReference"/>
        </w:rPr>
        <w:footnoteRef/>
      </w:r>
      <w:r w:rsidRPr="00A64748">
        <w:rPr>
          <w:lang w:val="es-ES"/>
        </w:rPr>
        <w:tab/>
        <w:t xml:space="preserve">Opiniones </w:t>
      </w:r>
      <w:proofErr w:type="spellStart"/>
      <w:r w:rsidRPr="00A64748">
        <w:rPr>
          <w:lang w:val="es-ES"/>
        </w:rPr>
        <w:t>núms</w:t>
      </w:r>
      <w:proofErr w:type="spellEnd"/>
      <w:r w:rsidRPr="00A64748">
        <w:rPr>
          <w:lang w:val="es-ES"/>
        </w:rPr>
        <w:t xml:space="preserve">. 16/2019, 19/2019, 43/2019, 17/2020, 21/2020 y 39/2020, entre otras. </w:t>
      </w:r>
    </w:p>
  </w:footnote>
  <w:footnote w:id="10">
    <w:p w14:paraId="4B8529C5" w14:textId="1B9E4BDF" w:rsidR="00FF1B96" w:rsidRPr="00A64748" w:rsidRDefault="00FF1B96" w:rsidP="001425ED">
      <w:pPr>
        <w:pStyle w:val="FootnoteText"/>
        <w:rPr>
          <w:lang w:val="en-US"/>
        </w:rPr>
      </w:pPr>
      <w:r w:rsidRPr="009B646D">
        <w:rPr>
          <w:lang w:val="es-ES"/>
        </w:rPr>
        <w:tab/>
      </w:r>
      <w:r w:rsidRPr="009B646D">
        <w:rPr>
          <w:rStyle w:val="FootnoteReference"/>
        </w:rPr>
        <w:footnoteRef/>
      </w:r>
      <w:r w:rsidRPr="00A64748">
        <w:rPr>
          <w:lang w:val="en-US"/>
        </w:rPr>
        <w:tab/>
      </w:r>
      <w:hyperlink r:id="rId6" w:history="1">
        <w:r w:rsidRPr="00A64748">
          <w:rPr>
            <w:rStyle w:val="Hyperlink"/>
            <w:color w:val="0000FF"/>
            <w:u w:val="none"/>
          </w:rPr>
          <w:t>E/C.12/NIC/CO/5</w:t>
        </w:r>
      </w:hyperlink>
      <w:r w:rsidRPr="00A64748">
        <w:rPr>
          <w:lang w:val="en-US"/>
        </w:rPr>
        <w:t>.</w:t>
      </w:r>
    </w:p>
  </w:footnote>
  <w:footnote w:id="11">
    <w:p w14:paraId="0E063DFA" w14:textId="7838B7C7" w:rsidR="00FF1B96" w:rsidRPr="00A64748" w:rsidRDefault="00FF1B96" w:rsidP="00012073">
      <w:pPr>
        <w:pStyle w:val="FootnoteText"/>
        <w:rPr>
          <w:lang w:val="en-US"/>
        </w:rPr>
      </w:pPr>
      <w:r w:rsidRPr="00A64748">
        <w:rPr>
          <w:lang w:val="en-US"/>
        </w:rPr>
        <w:tab/>
      </w:r>
      <w:r w:rsidRPr="009B646D">
        <w:rPr>
          <w:rStyle w:val="FootnoteReference"/>
        </w:rPr>
        <w:footnoteRef/>
      </w:r>
      <w:r w:rsidRPr="00A64748">
        <w:rPr>
          <w:lang w:val="en-US"/>
        </w:rPr>
        <w:tab/>
      </w:r>
      <w:r w:rsidR="00344025" w:rsidRPr="009B646D">
        <w:t>Vé</w:t>
      </w:r>
      <w:proofErr w:type="spellStart"/>
      <w:r w:rsidR="00344025" w:rsidRPr="00A64748">
        <w:rPr>
          <w:lang w:val="en-US"/>
        </w:rPr>
        <w:t>ase</w:t>
      </w:r>
      <w:proofErr w:type="spellEnd"/>
      <w:r w:rsidR="00344025" w:rsidRPr="00877CE9">
        <w:fldChar w:fldCharType="begin"/>
      </w:r>
      <w:r w:rsidR="00344025" w:rsidRPr="00A64748">
        <w:rPr>
          <w:lang w:val="en-US"/>
        </w:rPr>
        <w:instrText xml:space="preserve"> HYPERLINK " https://www.el19digital.com/articulos/ver/titulo:111762-llamado-del-presidente-daniel-ortega-unamonos-y-seremos-mas-fuertes-para-derrotar-la-pobreza" </w:instrText>
      </w:r>
      <w:r w:rsidR="00344025" w:rsidRPr="00877CE9">
        <w:fldChar w:fldCharType="separate"/>
      </w:r>
      <w:r w:rsidR="00344025" w:rsidRPr="00A64748">
        <w:rPr>
          <w:rStyle w:val="Hyperlink"/>
          <w:u w:val="none"/>
          <w:lang w:val="en-US"/>
        </w:rPr>
        <w:t xml:space="preserve"> https://www.el19digital.com/articulos/ver/titulo:111762-llamado-del-presidente-daniel-ortega-unamonos-y-seremos-mas-fuertes-para-derrotar-la-pobreza</w:t>
      </w:r>
      <w:r w:rsidR="00344025" w:rsidRPr="00877CE9">
        <w:fldChar w:fldCharType="end"/>
      </w:r>
      <w:r w:rsidR="00DA3ED4" w:rsidRPr="00A64748">
        <w:rPr>
          <w:lang w:val="en-US"/>
        </w:rPr>
        <w:t>.</w:t>
      </w:r>
    </w:p>
  </w:footnote>
  <w:footnote w:id="12">
    <w:p w14:paraId="208447FC" w14:textId="32EF3C56" w:rsidR="00FF1B96" w:rsidRPr="00A64748" w:rsidRDefault="00FF1B96" w:rsidP="00012073">
      <w:pPr>
        <w:pStyle w:val="FootnoteText"/>
      </w:pPr>
      <w:r w:rsidRPr="00A64748">
        <w:rPr>
          <w:lang w:val="en-US"/>
        </w:rPr>
        <w:tab/>
      </w:r>
      <w:r w:rsidRPr="009B646D">
        <w:rPr>
          <w:rStyle w:val="FootnoteReference"/>
        </w:rPr>
        <w:footnoteRef/>
      </w:r>
      <w:r w:rsidRPr="00A64748">
        <w:tab/>
      </w:r>
      <w:proofErr w:type="spellStart"/>
      <w:r w:rsidR="00344025" w:rsidRPr="009B646D">
        <w:t>Véase</w:t>
      </w:r>
      <w:proofErr w:type="spellEnd"/>
      <w:r w:rsidR="00344025" w:rsidRPr="00877CE9">
        <w:fldChar w:fldCharType="begin"/>
      </w:r>
      <w:r w:rsidR="00344025" w:rsidRPr="009B646D">
        <w:instrText xml:space="preserve"> HYPERLINK "</w:instrText>
      </w:r>
      <w:r w:rsidR="00344025" w:rsidRPr="00A64748">
        <w:rPr>
          <w:lang w:val="en-US"/>
        </w:rPr>
        <w:instrText xml:space="preserve"> </w:instrText>
      </w:r>
      <w:r w:rsidR="00344025" w:rsidRPr="00A64748">
        <w:instrText>https://www.el19digital.com/articulos/ver/titulo:122538-acto-del-45-aniversario-del-transito-a-la-inmortalidad-de-carlos-fonseca-amador</w:instrText>
      </w:r>
      <w:r w:rsidR="00344025" w:rsidRPr="009B646D">
        <w:instrText xml:space="preserve">" </w:instrText>
      </w:r>
      <w:r w:rsidR="00344025" w:rsidRPr="00877CE9">
        <w:fldChar w:fldCharType="separate"/>
      </w:r>
      <w:r w:rsidR="00344025" w:rsidRPr="00A64748">
        <w:rPr>
          <w:rStyle w:val="Hyperlink"/>
          <w:u w:val="none"/>
        </w:rPr>
        <w:t xml:space="preserve"> https://www.el19digital.com/articulos/ver/titulo:122538-acto-del-45-aniversario-del-transito-a-la-inmortalidad-de-carlos-fonseca-amador</w:t>
      </w:r>
      <w:r w:rsidR="00344025" w:rsidRPr="00877CE9">
        <w:fldChar w:fldCharType="end"/>
      </w:r>
      <w:r w:rsidR="00DA3ED4" w:rsidRPr="009B646D">
        <w:t>.</w:t>
      </w:r>
      <w:r w:rsidR="00DA3ED4" w:rsidRPr="00A64748">
        <w:rPr>
          <w:rStyle w:val="Hyperlink"/>
          <w:u w:val="none"/>
        </w:rPr>
        <w:t xml:space="preserve"> </w:t>
      </w:r>
    </w:p>
  </w:footnote>
  <w:footnote w:id="13">
    <w:p w14:paraId="25649A0F" w14:textId="47C7FB74" w:rsidR="00FF1B96" w:rsidRPr="00A64748" w:rsidRDefault="00FF1B96" w:rsidP="00012073">
      <w:pPr>
        <w:pStyle w:val="FootnoteText"/>
      </w:pPr>
      <w:r w:rsidRPr="00A64748">
        <w:tab/>
      </w:r>
      <w:r w:rsidRPr="009B646D">
        <w:rPr>
          <w:rStyle w:val="FootnoteReference"/>
        </w:rPr>
        <w:footnoteRef/>
      </w:r>
      <w:r w:rsidRPr="00A64748">
        <w:tab/>
      </w:r>
      <w:proofErr w:type="spellStart"/>
      <w:r w:rsidRPr="00A64748">
        <w:t>Véase</w:t>
      </w:r>
      <w:proofErr w:type="spellEnd"/>
      <w:r w:rsidRPr="00A64748">
        <w:t xml:space="preserve"> https://www.youtube.com/watch?v=zTRsyMx8VhA.</w:t>
      </w:r>
    </w:p>
  </w:footnote>
  <w:footnote w:id="14">
    <w:p w14:paraId="1F76ED78" w14:textId="27B92F5F" w:rsidR="00FF1B96" w:rsidRPr="00A64748" w:rsidRDefault="00FF1B96" w:rsidP="00012073">
      <w:pPr>
        <w:pStyle w:val="FootnoteText"/>
      </w:pPr>
      <w:r w:rsidRPr="00A64748">
        <w:tab/>
      </w:r>
      <w:r w:rsidRPr="009B646D">
        <w:rPr>
          <w:rStyle w:val="FootnoteReference"/>
        </w:rPr>
        <w:footnoteRef/>
      </w:r>
      <w:r w:rsidRPr="00A64748">
        <w:tab/>
      </w:r>
      <w:proofErr w:type="spellStart"/>
      <w:r w:rsidRPr="00A64748">
        <w:t>Véase</w:t>
      </w:r>
      <w:proofErr w:type="spellEnd"/>
      <w:r w:rsidRPr="00A64748">
        <w:t xml:space="preserve"> </w:t>
      </w:r>
      <w:hyperlink r:id="rId7" w:history="1">
        <w:r w:rsidRPr="00A64748">
          <w:rPr>
            <w:rStyle w:val="Hyperlink"/>
            <w:u w:val="none"/>
          </w:rPr>
          <w:t>https://www.el19digital.com/articulos/ver/titulo:127519-inmueble-que-ocupaba-oea-en-nicaragua-es-declarado-de-utilidad-publica</w:t>
        </w:r>
      </w:hyperlink>
      <w:r w:rsidR="00DA3ED4" w:rsidRPr="009B646D">
        <w:t>.</w:t>
      </w:r>
    </w:p>
  </w:footnote>
  <w:footnote w:id="15">
    <w:p w14:paraId="3080DB07" w14:textId="6DF8A549" w:rsidR="00FF1B96" w:rsidRPr="00A64748" w:rsidRDefault="00FF1B96" w:rsidP="00012073">
      <w:pPr>
        <w:pStyle w:val="FootnoteText"/>
      </w:pPr>
      <w:r w:rsidRPr="00A64748">
        <w:tab/>
      </w:r>
      <w:r w:rsidRPr="009B646D">
        <w:rPr>
          <w:rStyle w:val="FootnoteReference"/>
        </w:rPr>
        <w:footnoteRef/>
      </w:r>
      <w:r w:rsidRPr="00A64748">
        <w:tab/>
      </w:r>
      <w:r w:rsidR="00AF2A75" w:rsidRPr="00A64748">
        <w:t>OEA</w:t>
      </w:r>
      <w:r w:rsidR="00D955F1" w:rsidRPr="009B646D">
        <w:t xml:space="preserve">, </w:t>
      </w:r>
      <w:r w:rsidR="00D955F1" w:rsidRPr="00A64748">
        <w:t xml:space="preserve">CP/RES. 1203 (2389/22), disponible en </w:t>
      </w:r>
      <w:hyperlink r:id="rId8" w:history="1">
        <w:r w:rsidR="00D955F1" w:rsidRPr="00A64748">
          <w:rPr>
            <w:rStyle w:val="Hyperlink"/>
            <w:u w:val="none"/>
          </w:rPr>
          <w:t>https://www.oas.org/es/council/CP/documentation/res_decs/</w:t>
        </w:r>
      </w:hyperlink>
      <w:r w:rsidR="00DA3ED4" w:rsidRPr="009B646D">
        <w:t>.</w:t>
      </w:r>
    </w:p>
  </w:footnote>
  <w:footnote w:id="16">
    <w:p w14:paraId="5A5F6B7D" w14:textId="02606C2B" w:rsidR="00FF1B96" w:rsidRPr="00A64748" w:rsidRDefault="00FF1B96" w:rsidP="00012073">
      <w:pPr>
        <w:pStyle w:val="FootnoteText"/>
      </w:pPr>
      <w:r w:rsidRPr="00A64748">
        <w:tab/>
      </w:r>
      <w:r w:rsidRPr="009B646D">
        <w:rPr>
          <w:rStyle w:val="FootnoteReference"/>
        </w:rPr>
        <w:footnoteRef/>
      </w:r>
      <w:r w:rsidRPr="00A64748">
        <w:tab/>
      </w:r>
      <w:proofErr w:type="spellStart"/>
      <w:r w:rsidRPr="00A64748">
        <w:t>Véase</w:t>
      </w:r>
      <w:proofErr w:type="spellEnd"/>
      <w:r w:rsidRPr="00A64748">
        <w:t xml:space="preserve"> </w:t>
      </w:r>
      <w:hyperlink r:id="rId9" w:history="1">
        <w:r w:rsidRPr="00A64748">
          <w:rPr>
            <w:rStyle w:val="Hyperlink"/>
            <w:u w:val="none"/>
          </w:rPr>
          <w:t>https://www.eeas.europa.eu/eeas/nicaragua-declaraci%C3%B3n-del-portavoz-sobre-el-cierre-de-siete-emisoras-de-radio-y-el-cierre-de_es?s=189</w:t>
        </w:r>
      </w:hyperlink>
      <w:r w:rsidRPr="00A64748">
        <w:t xml:space="preserve">, </w:t>
      </w:r>
      <w:hyperlink r:id="rId10" w:history="1">
        <w:r w:rsidRPr="00A64748">
          <w:rPr>
            <w:rStyle w:val="Hyperlink"/>
            <w:u w:val="none"/>
          </w:rPr>
          <w:t>https://www.europarl.europa.eu/news/es/press-room/20220531IPR31809/nicaragua-la-ue-debe-sancionar-a-los-jueces-responsables-de-la-represion</w:t>
        </w:r>
      </w:hyperlink>
      <w:r w:rsidR="00DA3ED4" w:rsidRPr="009B646D">
        <w:t>.</w:t>
      </w:r>
    </w:p>
  </w:footnote>
  <w:footnote w:id="17">
    <w:p w14:paraId="19AB9359" w14:textId="53A58BA9" w:rsidR="00FF1B96" w:rsidRPr="009B646D" w:rsidRDefault="00FF1B96" w:rsidP="00012073">
      <w:pPr>
        <w:pStyle w:val="FootnoteText"/>
        <w:rPr>
          <w:lang w:val="es-PA"/>
        </w:rPr>
      </w:pPr>
      <w:r w:rsidRPr="00A64748">
        <w:tab/>
      </w:r>
      <w:r w:rsidRPr="009B646D">
        <w:rPr>
          <w:rStyle w:val="FootnoteReference"/>
        </w:rPr>
        <w:footnoteRef/>
      </w:r>
      <w:r w:rsidRPr="009B646D">
        <w:rPr>
          <w:lang w:val="es-ES"/>
        </w:rPr>
        <w:tab/>
      </w:r>
      <w:hyperlink r:id="rId11" w:history="1">
        <w:r w:rsidRPr="00A64748">
          <w:rPr>
            <w:rStyle w:val="Hyperlink"/>
            <w:color w:val="0000FF"/>
            <w:u w:val="none"/>
          </w:rPr>
          <w:t>A/HRC/49/23</w:t>
        </w:r>
      </w:hyperlink>
      <w:r w:rsidRPr="009B646D">
        <w:rPr>
          <w:lang w:val="es-PA"/>
        </w:rPr>
        <w:t xml:space="preserve">, </w:t>
      </w:r>
      <w:proofErr w:type="spellStart"/>
      <w:r w:rsidRPr="009B646D">
        <w:rPr>
          <w:lang w:val="es-PA"/>
        </w:rPr>
        <w:t>párrs</w:t>
      </w:r>
      <w:proofErr w:type="spellEnd"/>
      <w:r w:rsidRPr="009B646D">
        <w:rPr>
          <w:lang w:val="es-PA"/>
        </w:rPr>
        <w:t>. 9 y 10.</w:t>
      </w:r>
    </w:p>
  </w:footnote>
  <w:footnote w:id="18">
    <w:p w14:paraId="72CE84FF" w14:textId="6FF34ED8" w:rsidR="00FF1B96" w:rsidRPr="009B646D" w:rsidRDefault="00FF1B96" w:rsidP="00012073">
      <w:pPr>
        <w:pStyle w:val="FootnoteText"/>
        <w:rPr>
          <w:lang w:val="es-PA"/>
        </w:rPr>
      </w:pPr>
      <w:r w:rsidRPr="009B646D">
        <w:rPr>
          <w:lang w:val="es-ES"/>
        </w:rPr>
        <w:tab/>
      </w:r>
      <w:r w:rsidRPr="009B646D">
        <w:rPr>
          <w:rStyle w:val="FootnoteReference"/>
        </w:rPr>
        <w:footnoteRef/>
      </w:r>
      <w:r w:rsidRPr="009B646D">
        <w:rPr>
          <w:lang w:val="es-ES"/>
        </w:rPr>
        <w:tab/>
      </w:r>
      <w:proofErr w:type="spellStart"/>
      <w:r w:rsidRPr="00A64748">
        <w:rPr>
          <w:i/>
          <w:iCs/>
          <w:lang w:val="es-PA"/>
        </w:rPr>
        <w:t>Ibid</w:t>
      </w:r>
      <w:proofErr w:type="spellEnd"/>
      <w:r w:rsidRPr="009B646D">
        <w:rPr>
          <w:lang w:val="es-PA"/>
        </w:rPr>
        <w:t xml:space="preserve">., </w:t>
      </w:r>
      <w:proofErr w:type="spellStart"/>
      <w:r w:rsidRPr="009B646D">
        <w:rPr>
          <w:lang w:val="es-PA"/>
        </w:rPr>
        <w:t>párrs</w:t>
      </w:r>
      <w:proofErr w:type="spellEnd"/>
      <w:r w:rsidRPr="009B646D">
        <w:rPr>
          <w:lang w:val="es-PA"/>
        </w:rPr>
        <w:t xml:space="preserve">. 4 a 7. </w:t>
      </w:r>
    </w:p>
  </w:footnote>
  <w:footnote w:id="19">
    <w:p w14:paraId="2BBC0A94" w14:textId="0D0394DF" w:rsidR="00FF1B96" w:rsidRPr="009B646D" w:rsidRDefault="00FF1B96" w:rsidP="00012073">
      <w:pPr>
        <w:pStyle w:val="FootnoteText"/>
        <w:rPr>
          <w:lang w:val="es-PA"/>
        </w:rPr>
      </w:pPr>
      <w:r w:rsidRPr="009B646D">
        <w:rPr>
          <w:lang w:val="es-PA"/>
        </w:rPr>
        <w:tab/>
      </w:r>
      <w:r w:rsidRPr="009B646D">
        <w:rPr>
          <w:rStyle w:val="FootnoteReference"/>
        </w:rPr>
        <w:footnoteRef/>
      </w:r>
      <w:r w:rsidRPr="009B646D">
        <w:rPr>
          <w:lang w:val="es-PA"/>
        </w:rPr>
        <w:tab/>
      </w:r>
      <w:hyperlink r:id="rId12" w:history="1">
        <w:r w:rsidRPr="00A64748">
          <w:rPr>
            <w:rStyle w:val="Hyperlink"/>
            <w:color w:val="0000FF"/>
            <w:u w:val="none"/>
          </w:rPr>
          <w:t>A/HRC/49/23</w:t>
        </w:r>
      </w:hyperlink>
      <w:r w:rsidRPr="009B646D">
        <w:rPr>
          <w:lang w:val="es-PA"/>
        </w:rPr>
        <w:t xml:space="preserve">, </w:t>
      </w:r>
      <w:proofErr w:type="spellStart"/>
      <w:r w:rsidRPr="009B646D">
        <w:rPr>
          <w:lang w:val="es-PA"/>
        </w:rPr>
        <w:t>párrs</w:t>
      </w:r>
      <w:proofErr w:type="spellEnd"/>
      <w:r w:rsidRPr="009B646D">
        <w:rPr>
          <w:lang w:val="es-PA"/>
        </w:rPr>
        <w:t>. 25 y 26.</w:t>
      </w:r>
    </w:p>
  </w:footnote>
  <w:footnote w:id="20">
    <w:p w14:paraId="67EEA269" w14:textId="095BC6FE" w:rsidR="00FF1B96" w:rsidRPr="00A64748" w:rsidRDefault="00FF1B96" w:rsidP="00012073">
      <w:pPr>
        <w:pStyle w:val="FootnoteText"/>
      </w:pPr>
      <w:r w:rsidRPr="009B646D">
        <w:rPr>
          <w:lang w:val="es-ES"/>
        </w:rPr>
        <w:tab/>
      </w:r>
      <w:r w:rsidRPr="009B646D">
        <w:rPr>
          <w:rStyle w:val="FootnoteReference"/>
        </w:rPr>
        <w:footnoteRef/>
      </w:r>
      <w:r w:rsidRPr="00A64748">
        <w:tab/>
      </w:r>
      <w:proofErr w:type="spellStart"/>
      <w:r w:rsidRPr="00A64748">
        <w:t>Véase</w:t>
      </w:r>
      <w:proofErr w:type="spellEnd"/>
      <w:r w:rsidRPr="00A64748">
        <w:t xml:space="preserve"> </w:t>
      </w:r>
      <w:hyperlink r:id="rId13" w:history="1">
        <w:r w:rsidRPr="00A64748">
          <w:rPr>
            <w:rStyle w:val="Hyperlink"/>
            <w:u w:val="none"/>
          </w:rPr>
          <w:t>https://www.youtube.com/watch?v=ogYh9H1VYGI</w:t>
        </w:r>
      </w:hyperlink>
      <w:r w:rsidRPr="00A64748">
        <w:t xml:space="preserve">. </w:t>
      </w:r>
    </w:p>
  </w:footnote>
  <w:footnote w:id="21">
    <w:p w14:paraId="78318C85" w14:textId="56D0D44C" w:rsidR="00945F9A" w:rsidRPr="00A64748" w:rsidRDefault="00FF1B96" w:rsidP="00C34BE1">
      <w:pPr>
        <w:pStyle w:val="FootnoteText"/>
      </w:pPr>
      <w:r w:rsidRPr="00A64748">
        <w:rPr>
          <w:rFonts w:eastAsia="Times New Roman"/>
          <w:color w:val="000000"/>
          <w:szCs w:val="18"/>
          <w:u w:color="000000"/>
          <w:lang w:eastAsia="en-GB"/>
        </w:rPr>
        <w:tab/>
      </w:r>
      <w:r w:rsidRPr="009B646D">
        <w:rPr>
          <w:rStyle w:val="FootnoteReference"/>
          <w:rFonts w:eastAsia="Times New Roman"/>
          <w:color w:val="000000"/>
          <w:szCs w:val="18"/>
          <w:u w:color="000000"/>
          <w:lang w:eastAsia="en-GB"/>
        </w:rPr>
        <w:footnoteRef/>
      </w:r>
      <w:r w:rsidRPr="00A64748">
        <w:rPr>
          <w:rFonts w:eastAsia="Times New Roman"/>
          <w:color w:val="000000"/>
          <w:szCs w:val="18"/>
          <w:u w:color="000000"/>
          <w:lang w:eastAsia="en-GB"/>
        </w:rPr>
        <w:tab/>
      </w:r>
      <w:proofErr w:type="spellStart"/>
      <w:r w:rsidR="00DA3ED4" w:rsidRPr="009B646D">
        <w:rPr>
          <w:rFonts w:eastAsia="Times New Roman"/>
          <w:color w:val="000000"/>
          <w:szCs w:val="18"/>
          <w:u w:color="000000"/>
          <w:lang w:eastAsia="en-GB"/>
        </w:rPr>
        <w:t>Véase</w:t>
      </w:r>
      <w:proofErr w:type="spellEnd"/>
      <w:r w:rsidR="00DA3ED4" w:rsidRPr="009B646D">
        <w:rPr>
          <w:rFonts w:eastAsia="Times New Roman"/>
          <w:color w:val="000000"/>
          <w:szCs w:val="18"/>
          <w:u w:color="000000"/>
          <w:lang w:eastAsia="en-GB"/>
        </w:rPr>
        <w:t xml:space="preserve"> </w:t>
      </w:r>
      <w:hyperlink r:id="rId14" w:history="1">
        <w:r w:rsidR="00DA3ED4" w:rsidRPr="00A64748">
          <w:rPr>
            <w:rStyle w:val="Hyperlink"/>
            <w:u w:val="none"/>
          </w:rPr>
          <w:t>https://www.el19digital.com/articulos/ver/titulo:129845-condenan-a-13-anos-de-prision-al-delincuente-felix-alejandro-maradiaga-blandon</w:t>
        </w:r>
      </w:hyperlink>
      <w:r w:rsidR="00D337E7" w:rsidRPr="00A64748">
        <w:rPr>
          <w:rFonts w:eastAsia="Times New Roman"/>
          <w:color w:val="000000"/>
          <w:szCs w:val="18"/>
          <w:u w:color="000000"/>
          <w:lang w:eastAsia="en-GB"/>
        </w:rPr>
        <w:t>.</w:t>
      </w:r>
    </w:p>
  </w:footnote>
  <w:footnote w:id="22">
    <w:p w14:paraId="5AAC7111" w14:textId="246D5C5A" w:rsidR="00FF1B96" w:rsidRPr="00A64748" w:rsidRDefault="00FF1B96" w:rsidP="00012073">
      <w:pPr>
        <w:pStyle w:val="FootnoteText"/>
      </w:pPr>
      <w:r w:rsidRPr="00A64748">
        <w:tab/>
      </w:r>
      <w:r w:rsidRPr="009B646D">
        <w:rPr>
          <w:rStyle w:val="FootnoteReference"/>
        </w:rPr>
        <w:footnoteRef/>
      </w:r>
      <w:r w:rsidRPr="00A64748">
        <w:tab/>
      </w:r>
      <w:hyperlink r:id="rId15" w:history="1">
        <w:r w:rsidRPr="00A64748">
          <w:rPr>
            <w:rStyle w:val="Hyperlink"/>
            <w:u w:val="none"/>
          </w:rPr>
          <w:t>Véase https://www.oas.org/es/CIDH/jsForm/?File=/es/cidh/prensa/comunicados/2022/032.asp</w:t>
        </w:r>
      </w:hyperlink>
      <w:r w:rsidRPr="00A64748">
        <w:rPr>
          <w:rStyle w:val="Hyperlink"/>
          <w:u w:val="none"/>
        </w:rPr>
        <w:t>.</w:t>
      </w:r>
      <w:r w:rsidRPr="00A64748">
        <w:t xml:space="preserve"> </w:t>
      </w:r>
    </w:p>
  </w:footnote>
  <w:footnote w:id="23">
    <w:p w14:paraId="247A902A" w14:textId="1D0E2A02" w:rsidR="00FF1B96" w:rsidRPr="009B646D" w:rsidRDefault="00FF1B96" w:rsidP="00535BE3">
      <w:pPr>
        <w:pStyle w:val="FootnoteText"/>
        <w:rPr>
          <w:lang w:val="es-PA"/>
        </w:rPr>
      </w:pPr>
      <w:r w:rsidRPr="00A64748">
        <w:tab/>
      </w:r>
      <w:r w:rsidRPr="009B646D">
        <w:rPr>
          <w:rStyle w:val="FootnoteReference"/>
        </w:rPr>
        <w:footnoteRef/>
      </w:r>
      <w:r w:rsidRPr="009B646D">
        <w:rPr>
          <w:lang w:val="es-PA"/>
        </w:rPr>
        <w:tab/>
      </w:r>
      <w:hyperlink r:id="rId16" w:history="1">
        <w:r w:rsidRPr="00A64748">
          <w:rPr>
            <w:rStyle w:val="Hyperlink"/>
            <w:color w:val="0000FF"/>
            <w:u w:val="none"/>
          </w:rPr>
          <w:t>A/HRC/46/21</w:t>
        </w:r>
      </w:hyperlink>
      <w:r w:rsidRPr="009B646D">
        <w:rPr>
          <w:lang w:val="es-PA"/>
        </w:rPr>
        <w:t xml:space="preserve">, </w:t>
      </w:r>
      <w:proofErr w:type="spellStart"/>
      <w:r w:rsidRPr="009B646D">
        <w:rPr>
          <w:lang w:val="es-PA"/>
        </w:rPr>
        <w:t>párrs</w:t>
      </w:r>
      <w:proofErr w:type="spellEnd"/>
      <w:r w:rsidRPr="009B646D">
        <w:rPr>
          <w:lang w:val="es-PA"/>
        </w:rPr>
        <w:t xml:space="preserve">. 18 y 19; y </w:t>
      </w:r>
      <w:hyperlink r:id="rId17" w:history="1">
        <w:r w:rsidRPr="00A64748">
          <w:rPr>
            <w:rStyle w:val="Hyperlink"/>
            <w:color w:val="0000FF"/>
            <w:u w:val="none"/>
          </w:rPr>
          <w:t>A/HRC/49/23</w:t>
        </w:r>
      </w:hyperlink>
      <w:r w:rsidRPr="009B646D">
        <w:rPr>
          <w:lang w:val="es-PA"/>
        </w:rPr>
        <w:t xml:space="preserve">, párr. 50. </w:t>
      </w:r>
    </w:p>
  </w:footnote>
  <w:footnote w:id="24">
    <w:p w14:paraId="0CF95FD2" w14:textId="3FEA137C" w:rsidR="00FF1B96" w:rsidRPr="00A64748" w:rsidRDefault="00FF1B96" w:rsidP="00012073">
      <w:pPr>
        <w:pStyle w:val="FootnoteText"/>
      </w:pPr>
      <w:r w:rsidRPr="009B646D">
        <w:rPr>
          <w:lang w:val="es-PA"/>
        </w:rPr>
        <w:tab/>
      </w:r>
      <w:r w:rsidRPr="009B646D">
        <w:rPr>
          <w:rStyle w:val="FootnoteReference"/>
        </w:rPr>
        <w:footnoteRef/>
      </w:r>
      <w:r w:rsidRPr="009B646D">
        <w:rPr>
          <w:lang w:val="es-PA"/>
        </w:rPr>
        <w:tab/>
        <w:t xml:space="preserve">Según información de la </w:t>
      </w:r>
      <w:r w:rsidRPr="00A64748">
        <w:rPr>
          <w:i/>
          <w:iCs/>
          <w:lang w:val="es-PA"/>
        </w:rPr>
        <w:t>Gaceta Oficial</w:t>
      </w:r>
      <w:r w:rsidRPr="009B646D">
        <w:rPr>
          <w:lang w:val="es-PA"/>
        </w:rPr>
        <w:t>.</w:t>
      </w:r>
      <w:r w:rsidR="003E5CA4" w:rsidRPr="009B646D">
        <w:rPr>
          <w:lang w:val="es-PA"/>
        </w:rPr>
        <w:t xml:space="preserve"> </w:t>
      </w:r>
      <w:proofErr w:type="spellStart"/>
      <w:r w:rsidR="003E5CA4" w:rsidRPr="00A64748">
        <w:t>Véase</w:t>
      </w:r>
      <w:proofErr w:type="spellEnd"/>
      <w:r w:rsidR="003E5CA4" w:rsidRPr="00A64748">
        <w:t xml:space="preserve"> </w:t>
      </w:r>
      <w:hyperlink r:id="rId18" w:history="1">
        <w:r w:rsidR="003E5CA4" w:rsidRPr="00A64748">
          <w:rPr>
            <w:rStyle w:val="Hyperlink"/>
            <w:u w:val="none"/>
          </w:rPr>
          <w:t>http://legislacion.asamblea.gob.ni/Normaweb.nsf/xpMainDIL.xsp</w:t>
        </w:r>
      </w:hyperlink>
      <w:r w:rsidR="003E5CA4" w:rsidRPr="009B646D">
        <w:t>.</w:t>
      </w:r>
      <w:r w:rsidRPr="00A64748">
        <w:t xml:space="preserve"> </w:t>
      </w:r>
    </w:p>
  </w:footnote>
  <w:footnote w:id="25">
    <w:p w14:paraId="55DDB67B" w14:textId="34B95A0C" w:rsidR="00FF1B96" w:rsidRPr="00A64748" w:rsidRDefault="00FF1B96" w:rsidP="00012073">
      <w:pPr>
        <w:pStyle w:val="FootnoteText"/>
      </w:pPr>
      <w:r w:rsidRPr="00A64748">
        <w:tab/>
      </w:r>
      <w:r w:rsidRPr="009B646D">
        <w:rPr>
          <w:rStyle w:val="FootnoteReference"/>
        </w:rPr>
        <w:footnoteRef/>
      </w:r>
      <w:r w:rsidRPr="00A64748">
        <w:tab/>
      </w:r>
      <w:proofErr w:type="spellStart"/>
      <w:r w:rsidRPr="00A64748">
        <w:t>Véase</w:t>
      </w:r>
      <w:proofErr w:type="spellEnd"/>
      <w:r w:rsidRPr="00A64748">
        <w:t xml:space="preserve"> </w:t>
      </w:r>
      <w:hyperlink r:id="rId19" w:history="1">
        <w:r w:rsidRPr="00A64748">
          <w:rPr>
            <w:rStyle w:val="Hyperlink"/>
            <w:u w:val="none"/>
          </w:rPr>
          <w:t>https://www.ohchr.org/es/press-releases/2022/07/nicaragua-un-experts-denounce-arbitrary-shutdown-civil-society-organisations</w:t>
        </w:r>
      </w:hyperlink>
      <w:r w:rsidRPr="00A64748">
        <w:rPr>
          <w:rStyle w:val="Hyperlink"/>
          <w:u w:val="none"/>
        </w:rPr>
        <w:t>.</w:t>
      </w:r>
      <w:r w:rsidRPr="00A64748">
        <w:t xml:space="preserve"> </w:t>
      </w:r>
    </w:p>
  </w:footnote>
  <w:footnote w:id="26">
    <w:p w14:paraId="434B0A50" w14:textId="4E4A080E" w:rsidR="00FF1B96" w:rsidRPr="009B646D" w:rsidRDefault="00FF1B96" w:rsidP="00012073">
      <w:pPr>
        <w:pStyle w:val="FootnoteText"/>
        <w:rPr>
          <w:lang w:val="es-ES"/>
        </w:rPr>
      </w:pPr>
      <w:r w:rsidRPr="00A64748">
        <w:tab/>
      </w:r>
      <w:r w:rsidRPr="009B646D">
        <w:rPr>
          <w:rStyle w:val="FootnoteReference"/>
        </w:rPr>
        <w:footnoteRef/>
      </w:r>
      <w:r w:rsidRPr="009B646D">
        <w:rPr>
          <w:lang w:val="es-ES"/>
        </w:rPr>
        <w:tab/>
        <w:t xml:space="preserve">Véase la comunicación NIC 1/2022. Todas las comunicaciones mencionadas en el presente informe están disponibles en </w:t>
      </w:r>
      <w:hyperlink r:id="rId20" w:history="1">
        <w:r w:rsidRPr="00A64748">
          <w:rPr>
            <w:rStyle w:val="Hyperlink"/>
            <w:u w:val="none"/>
            <w:lang w:val="es-ES"/>
          </w:rPr>
          <w:t>https://spcommreports.ohchr.org/Tmsearch/TMDocuments</w:t>
        </w:r>
      </w:hyperlink>
      <w:r w:rsidRPr="009B646D">
        <w:rPr>
          <w:lang w:val="es-ES"/>
        </w:rPr>
        <w:t>.</w:t>
      </w:r>
    </w:p>
  </w:footnote>
  <w:footnote w:id="27">
    <w:p w14:paraId="30D77FB9" w14:textId="0F6520E5" w:rsidR="00FF1B96" w:rsidRPr="00A64748" w:rsidRDefault="00FF1B96" w:rsidP="00012073">
      <w:pPr>
        <w:pStyle w:val="FootnoteText"/>
      </w:pPr>
      <w:r w:rsidRPr="009B646D">
        <w:rPr>
          <w:lang w:val="es-ES"/>
        </w:rPr>
        <w:tab/>
      </w:r>
      <w:r w:rsidRPr="009B646D">
        <w:rPr>
          <w:rStyle w:val="FootnoteReference"/>
        </w:rPr>
        <w:footnoteRef/>
      </w:r>
      <w:r w:rsidRPr="00A64748">
        <w:tab/>
      </w:r>
      <w:proofErr w:type="spellStart"/>
      <w:r w:rsidRPr="00A64748">
        <w:t>Véase</w:t>
      </w:r>
      <w:proofErr w:type="spellEnd"/>
      <w:r w:rsidRPr="00A64748">
        <w:t xml:space="preserve"> </w:t>
      </w:r>
      <w:hyperlink r:id="rId21" w:history="1">
        <w:r w:rsidRPr="00A64748">
          <w:rPr>
            <w:rStyle w:val="Hyperlink"/>
            <w:u w:val="none"/>
          </w:rPr>
          <w:t>https://www.ohchr.org/es/statements/2022/05/nicaraguas-crackdown-civil-society</w:t>
        </w:r>
      </w:hyperlink>
      <w:r w:rsidRPr="00A64748">
        <w:rPr>
          <w:rStyle w:val="Hyperlink"/>
          <w:u w:val="none"/>
        </w:rPr>
        <w:t>.</w:t>
      </w:r>
    </w:p>
  </w:footnote>
  <w:footnote w:id="28">
    <w:p w14:paraId="564BA749" w14:textId="0923D3E3" w:rsidR="00FF1B96" w:rsidRPr="00A64748" w:rsidRDefault="00FF1B96" w:rsidP="00012073">
      <w:pPr>
        <w:pStyle w:val="FootnoteText"/>
      </w:pPr>
      <w:r w:rsidRPr="00A64748">
        <w:tab/>
      </w:r>
      <w:r w:rsidRPr="009B646D">
        <w:rPr>
          <w:rStyle w:val="FootnoteReference"/>
        </w:rPr>
        <w:footnoteRef/>
      </w:r>
      <w:r w:rsidRPr="00A64748">
        <w:tab/>
      </w:r>
      <w:proofErr w:type="spellStart"/>
      <w:r w:rsidRPr="00A64748">
        <w:t>Véase</w:t>
      </w:r>
      <w:proofErr w:type="spellEnd"/>
      <w:r w:rsidRPr="00A64748">
        <w:t xml:space="preserve"> </w:t>
      </w:r>
      <w:hyperlink r:id="rId22" w:history="1">
        <w:r w:rsidRPr="00A64748">
          <w:rPr>
            <w:rStyle w:val="Hyperlink"/>
            <w:u w:val="none"/>
          </w:rPr>
          <w:t>https://www.rsf-es.org/clasificacion-2022-analisis-general-la-nueva-era-de-la-polarizacion/</w:t>
        </w:r>
      </w:hyperlink>
      <w:r w:rsidRPr="00A64748">
        <w:rPr>
          <w:rStyle w:val="Hyperlink"/>
          <w:u w:val="none"/>
        </w:rPr>
        <w:t>.</w:t>
      </w:r>
      <w:r w:rsidRPr="00A64748">
        <w:t xml:space="preserve"> </w:t>
      </w:r>
    </w:p>
  </w:footnote>
  <w:footnote w:id="29">
    <w:p w14:paraId="2F5D7582" w14:textId="3E8453ED" w:rsidR="00FF1B96" w:rsidRPr="00A64748" w:rsidRDefault="00FF1B96" w:rsidP="00535BE3">
      <w:pPr>
        <w:pStyle w:val="FootnoteText"/>
      </w:pPr>
      <w:r w:rsidRPr="00A64748">
        <w:tab/>
      </w:r>
      <w:r w:rsidRPr="009B646D">
        <w:rPr>
          <w:rStyle w:val="FootnoteReference"/>
        </w:rPr>
        <w:footnoteRef/>
      </w:r>
      <w:r w:rsidRPr="00A64748">
        <w:tab/>
      </w:r>
      <w:proofErr w:type="spellStart"/>
      <w:r w:rsidR="00344025" w:rsidRPr="009B646D">
        <w:t>Véase</w:t>
      </w:r>
      <w:proofErr w:type="spellEnd"/>
      <w:r w:rsidR="00344025" w:rsidRPr="00877CE9">
        <w:fldChar w:fldCharType="begin"/>
      </w:r>
      <w:r w:rsidR="00344025" w:rsidRPr="009B646D">
        <w:instrText xml:space="preserve"> HYPERLINK "</w:instrText>
      </w:r>
      <w:r w:rsidR="00344025" w:rsidRPr="00A64748">
        <w:rPr>
          <w:lang w:val="en-US"/>
        </w:rPr>
        <w:instrText xml:space="preserve"> </w:instrText>
      </w:r>
      <w:r w:rsidR="00344025" w:rsidRPr="00A64748">
        <w:instrText>https://www.dw.com/es/unos-120-periodistas-de-nicaragua-en-el-exilio-desde-2018/a-60405528</w:instrText>
      </w:r>
      <w:r w:rsidR="00344025" w:rsidRPr="009B646D">
        <w:instrText xml:space="preserve">" </w:instrText>
      </w:r>
      <w:r w:rsidR="00344025" w:rsidRPr="00877CE9">
        <w:fldChar w:fldCharType="separate"/>
      </w:r>
      <w:r w:rsidR="00344025" w:rsidRPr="00A64748">
        <w:rPr>
          <w:rStyle w:val="Hyperlink"/>
          <w:u w:val="none"/>
        </w:rPr>
        <w:t xml:space="preserve"> https://www.dw.com/es/unos-120-periodistas-de-nicaragua-en-el-exilio-desde-2018/a-60405528</w:t>
      </w:r>
      <w:r w:rsidR="00344025" w:rsidRPr="00877CE9">
        <w:fldChar w:fldCharType="end"/>
      </w:r>
      <w:r w:rsidR="00C60B8F" w:rsidRPr="009B646D">
        <w:t>.</w:t>
      </w:r>
      <w:r w:rsidR="00C60B8F" w:rsidRPr="00A64748">
        <w:rPr>
          <w:rStyle w:val="Hyperlink"/>
          <w:u w:val="none"/>
        </w:rPr>
        <w:t xml:space="preserve"> </w:t>
      </w:r>
    </w:p>
  </w:footnote>
  <w:footnote w:id="30">
    <w:p w14:paraId="2F71DBD6" w14:textId="0144F007" w:rsidR="00FF1B96" w:rsidRPr="00A64748" w:rsidRDefault="00FF1B96" w:rsidP="00012073">
      <w:pPr>
        <w:pStyle w:val="FootnoteText"/>
      </w:pPr>
      <w:r w:rsidRPr="00A64748">
        <w:tab/>
      </w:r>
      <w:r w:rsidRPr="009B646D">
        <w:rPr>
          <w:rStyle w:val="FootnoteReference"/>
        </w:rPr>
        <w:footnoteRef/>
      </w:r>
      <w:r w:rsidRPr="00A64748">
        <w:tab/>
      </w:r>
      <w:proofErr w:type="spellStart"/>
      <w:r w:rsidRPr="00A64748">
        <w:t>Véase</w:t>
      </w:r>
      <w:proofErr w:type="spellEnd"/>
      <w:r w:rsidRPr="00A64748">
        <w:t xml:space="preserve"> </w:t>
      </w:r>
      <w:hyperlink r:id="rId23" w:history="1">
        <w:r w:rsidRPr="00A64748">
          <w:rPr>
            <w:rStyle w:val="Hyperlink"/>
            <w:u w:val="none"/>
          </w:rPr>
          <w:t>https://www.youtube.com/watch?v=6xKAUa78Dls</w:t>
        </w:r>
      </w:hyperlink>
      <w:r w:rsidRPr="00A64748">
        <w:t>.</w:t>
      </w:r>
    </w:p>
  </w:footnote>
  <w:footnote w:id="31">
    <w:p w14:paraId="3E0B71E4" w14:textId="0FACBFF1" w:rsidR="00FF1B96" w:rsidRPr="00A64748" w:rsidRDefault="00FF1B96">
      <w:pPr>
        <w:pStyle w:val="FootnoteText"/>
      </w:pPr>
      <w:r w:rsidRPr="00A64748">
        <w:tab/>
      </w:r>
      <w:r w:rsidRPr="009B646D">
        <w:rPr>
          <w:rStyle w:val="FootnoteReference"/>
        </w:rPr>
        <w:footnoteRef/>
      </w:r>
      <w:r w:rsidRPr="00A64748">
        <w:tab/>
      </w:r>
      <w:proofErr w:type="spellStart"/>
      <w:r w:rsidRPr="009B646D">
        <w:t>Véase</w:t>
      </w:r>
      <w:proofErr w:type="spellEnd"/>
      <w:r w:rsidRPr="009B646D">
        <w:t xml:space="preserve"> </w:t>
      </w:r>
      <w:r w:rsidRPr="00A64748">
        <w:t xml:space="preserve">https://www.expedientepublico.org/monsenor-rolando-alvarez-al-regimen-queremos-que-nos-dejen-en-paz. </w:t>
      </w:r>
    </w:p>
  </w:footnote>
  <w:footnote w:id="32">
    <w:p w14:paraId="6C9AD18B" w14:textId="20C050A7" w:rsidR="00FF1B96" w:rsidRPr="00A64748" w:rsidRDefault="00FF1B96">
      <w:pPr>
        <w:pStyle w:val="FootnoteText"/>
      </w:pPr>
      <w:r w:rsidRPr="00A64748">
        <w:tab/>
      </w:r>
      <w:r w:rsidRPr="009B646D">
        <w:rPr>
          <w:rStyle w:val="FootnoteReference"/>
        </w:rPr>
        <w:footnoteRef/>
      </w:r>
      <w:r w:rsidRPr="00A64748">
        <w:tab/>
      </w:r>
      <w:proofErr w:type="spellStart"/>
      <w:r w:rsidR="00344025" w:rsidRPr="00A64748">
        <w:t>Véase</w:t>
      </w:r>
      <w:proofErr w:type="spellEnd"/>
      <w:r w:rsidR="00344025" w:rsidRPr="00A64748">
        <w:t xml:space="preserve"> </w:t>
      </w:r>
      <w:hyperlink r:id="rId24" w:history="1">
        <w:r w:rsidR="00344025" w:rsidRPr="00A64748">
          <w:rPr>
            <w:rStyle w:val="Hyperlink"/>
            <w:u w:val="none"/>
          </w:rPr>
          <w:t>https://twitter.com/vppolicial/status/1555722200677842944</w:t>
        </w:r>
      </w:hyperlink>
      <w:r w:rsidR="00344025" w:rsidRPr="00A64748">
        <w:rPr>
          <w:rStyle w:val="Hyperlink"/>
          <w:u w:val="none"/>
        </w:rPr>
        <w:t>.</w:t>
      </w:r>
      <w:r w:rsidR="009B646D" w:rsidRPr="009B646D">
        <w:t xml:space="preserve"> </w:t>
      </w:r>
    </w:p>
  </w:footnote>
  <w:footnote w:id="33">
    <w:p w14:paraId="0A65B0FE" w14:textId="57EFA655" w:rsidR="00FF1B96" w:rsidRPr="00A64748" w:rsidRDefault="00FF1B96">
      <w:pPr>
        <w:pStyle w:val="FootnoteText"/>
      </w:pPr>
      <w:r w:rsidRPr="00A64748">
        <w:tab/>
      </w:r>
      <w:r w:rsidRPr="009B646D">
        <w:rPr>
          <w:rStyle w:val="FootnoteReference"/>
        </w:rPr>
        <w:footnoteRef/>
      </w:r>
      <w:r w:rsidRPr="00A64748">
        <w:tab/>
      </w:r>
      <w:proofErr w:type="spellStart"/>
      <w:r w:rsidRPr="00A64748">
        <w:t>Véase</w:t>
      </w:r>
      <w:proofErr w:type="spellEnd"/>
      <w:r w:rsidRPr="00A64748">
        <w:t xml:space="preserve"> </w:t>
      </w:r>
      <w:hyperlink r:id="rId25" w:history="1">
        <w:r w:rsidRPr="00A64748">
          <w:rPr>
            <w:rStyle w:val="Hyperlink"/>
            <w:u w:val="none"/>
          </w:rPr>
          <w:t>https://www.acnur.org/desplazamiento-en-centroamerica.html</w:t>
        </w:r>
      </w:hyperlink>
      <w:r w:rsidRPr="00A64748">
        <w:rPr>
          <w:rStyle w:val="Hyperlink"/>
          <w:u w:val="none"/>
        </w:rPr>
        <w:t xml:space="preserve">. </w:t>
      </w:r>
    </w:p>
  </w:footnote>
  <w:footnote w:id="34">
    <w:p w14:paraId="7A43BE89" w14:textId="58D9B937" w:rsidR="00FF1B96" w:rsidRPr="009B646D" w:rsidRDefault="00FF1B96">
      <w:pPr>
        <w:pStyle w:val="FootnoteText"/>
        <w:rPr>
          <w:lang w:val="es-PA"/>
        </w:rPr>
      </w:pPr>
      <w:r w:rsidRPr="00A64748">
        <w:tab/>
      </w:r>
      <w:r w:rsidRPr="009B646D">
        <w:rPr>
          <w:rStyle w:val="FootnoteReference"/>
        </w:rPr>
        <w:footnoteRef/>
      </w:r>
      <w:r w:rsidRPr="009B646D">
        <w:rPr>
          <w:lang w:val="es-ES"/>
        </w:rPr>
        <w:tab/>
      </w:r>
      <w:r w:rsidRPr="009B646D">
        <w:rPr>
          <w:lang w:val="es-PA"/>
        </w:rPr>
        <w:t>ACNUDH</w:t>
      </w:r>
      <w:r w:rsidRPr="00A64748">
        <w:rPr>
          <w:lang w:val="es-PA"/>
        </w:rPr>
        <w:t>,</w:t>
      </w:r>
      <w:r w:rsidRPr="009B646D">
        <w:rPr>
          <w:lang w:val="es-PA"/>
        </w:rPr>
        <w:t xml:space="preserve"> </w:t>
      </w:r>
      <w:r w:rsidRPr="00A64748">
        <w:rPr>
          <w:lang w:val="es-ES"/>
        </w:rPr>
        <w:t>“</w:t>
      </w:r>
      <w:r w:rsidR="00143A76" w:rsidRPr="00A64748">
        <w:rPr>
          <w:color w:val="000000"/>
          <w:lang w:val="es-ES"/>
        </w:rPr>
        <w:t>Violaciones de derechos humanos y abusos en el contexto de las protestas en Nicaragua 18 de abril – 18 de agosto de 2018</w:t>
      </w:r>
      <w:r w:rsidRPr="00A64748">
        <w:rPr>
          <w:rStyle w:val="Hyperlink"/>
          <w:u w:val="none"/>
          <w:lang w:val="es-ES"/>
        </w:rPr>
        <w:t>”</w:t>
      </w:r>
      <w:r w:rsidRPr="00A64748">
        <w:rPr>
          <w:lang w:val="es-ES"/>
        </w:rPr>
        <w:t xml:space="preserve">, párr. </w:t>
      </w:r>
      <w:r w:rsidRPr="009B646D">
        <w:rPr>
          <w:lang w:val="es-PA"/>
        </w:rPr>
        <w:t>119.8.</w:t>
      </w:r>
    </w:p>
  </w:footnote>
  <w:footnote w:id="35">
    <w:p w14:paraId="13F18BCD" w14:textId="08A835EC"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26" w:history="1">
        <w:r w:rsidRPr="00A64748">
          <w:rPr>
            <w:rStyle w:val="Hyperlink"/>
            <w:color w:val="0000FF"/>
            <w:u w:val="none"/>
          </w:rPr>
          <w:t>A/HRC/42/18</w:t>
        </w:r>
      </w:hyperlink>
      <w:r w:rsidRPr="009B646D">
        <w:rPr>
          <w:lang w:val="es-ES"/>
        </w:rPr>
        <w:t xml:space="preserve">, párr. 65 a); </w:t>
      </w:r>
      <w:hyperlink r:id="rId27" w:history="1">
        <w:r w:rsidRPr="00A64748">
          <w:rPr>
            <w:rStyle w:val="Hyperlink"/>
            <w:color w:val="0000FF"/>
            <w:u w:val="none"/>
          </w:rPr>
          <w:t>A/HRC/46/21</w:t>
        </w:r>
      </w:hyperlink>
      <w:r w:rsidRPr="009B646D">
        <w:rPr>
          <w:lang w:val="es-ES"/>
        </w:rPr>
        <w:t xml:space="preserve">, párr. 70; y </w:t>
      </w:r>
      <w:hyperlink r:id="rId28" w:history="1">
        <w:r w:rsidRPr="00A64748">
          <w:rPr>
            <w:rStyle w:val="Hyperlink"/>
            <w:color w:val="0000FF"/>
            <w:u w:val="none"/>
          </w:rPr>
          <w:t>A/HRC/49/23</w:t>
        </w:r>
      </w:hyperlink>
      <w:r w:rsidRPr="009B646D">
        <w:rPr>
          <w:lang w:val="es-ES"/>
        </w:rPr>
        <w:t>, párr. 66 b).</w:t>
      </w:r>
    </w:p>
  </w:footnote>
  <w:footnote w:id="36">
    <w:p w14:paraId="348CFF08" w14:textId="6540846C" w:rsidR="00FF1B96" w:rsidRPr="009B646D" w:rsidRDefault="00FF1B96">
      <w:pPr>
        <w:pStyle w:val="FootnoteText"/>
        <w:rPr>
          <w:lang w:val="es-PA"/>
        </w:rPr>
      </w:pPr>
      <w:r w:rsidRPr="009B646D">
        <w:rPr>
          <w:lang w:val="es-ES"/>
        </w:rPr>
        <w:tab/>
      </w:r>
      <w:r w:rsidRPr="009B646D">
        <w:rPr>
          <w:rStyle w:val="FootnoteReference"/>
        </w:rPr>
        <w:footnoteRef/>
      </w:r>
      <w:r w:rsidRPr="00A64748">
        <w:rPr>
          <w:lang w:val="en-US"/>
        </w:rPr>
        <w:tab/>
      </w:r>
      <w:hyperlink r:id="rId29" w:history="1">
        <w:r w:rsidRPr="00A64748">
          <w:rPr>
            <w:rStyle w:val="Hyperlink"/>
            <w:color w:val="0000FF"/>
            <w:u w:val="none"/>
          </w:rPr>
          <w:t>E/C.12/NIC/CO/5</w:t>
        </w:r>
      </w:hyperlink>
      <w:r w:rsidRPr="00A64748">
        <w:rPr>
          <w:lang w:val="en-US"/>
        </w:rPr>
        <w:t xml:space="preserve">, </w:t>
      </w:r>
      <w:proofErr w:type="spellStart"/>
      <w:r w:rsidRPr="00A64748">
        <w:rPr>
          <w:lang w:val="en-US"/>
        </w:rPr>
        <w:t>párr</w:t>
      </w:r>
      <w:proofErr w:type="spellEnd"/>
      <w:r w:rsidRPr="00A64748">
        <w:rPr>
          <w:lang w:val="en-US"/>
        </w:rPr>
        <w:t xml:space="preserve">. </w:t>
      </w:r>
      <w:r w:rsidRPr="009B646D">
        <w:rPr>
          <w:lang w:val="es-ES"/>
        </w:rPr>
        <w:t>6.</w:t>
      </w:r>
    </w:p>
  </w:footnote>
  <w:footnote w:id="37">
    <w:p w14:paraId="20209B4B" w14:textId="058B51BC"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30" w:history="1">
        <w:r w:rsidRPr="00A64748">
          <w:rPr>
            <w:rStyle w:val="Hyperlink"/>
            <w:color w:val="0000FF"/>
            <w:u w:val="none"/>
          </w:rPr>
          <w:t>A/HRC/42/16</w:t>
        </w:r>
      </w:hyperlink>
      <w:r w:rsidRPr="009B646D">
        <w:rPr>
          <w:lang w:val="es-PA"/>
        </w:rPr>
        <w:t xml:space="preserve">, </w:t>
      </w:r>
      <w:proofErr w:type="spellStart"/>
      <w:r w:rsidRPr="009B646D">
        <w:rPr>
          <w:lang w:val="es-PA"/>
        </w:rPr>
        <w:t>párrs</w:t>
      </w:r>
      <w:proofErr w:type="spellEnd"/>
      <w:r w:rsidRPr="009B646D">
        <w:rPr>
          <w:lang w:val="es-PA"/>
        </w:rPr>
        <w:t>. 125.</w:t>
      </w:r>
      <w:r w:rsidRPr="009B646D">
        <w:rPr>
          <w:lang w:val="es-ES"/>
        </w:rPr>
        <w:t>113, 125.127, 125.131, 125.132, 125.143, 125.144 y 125.149.</w:t>
      </w:r>
    </w:p>
  </w:footnote>
  <w:footnote w:id="38">
    <w:p w14:paraId="72A8A0AF" w14:textId="5667E324"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9B646D">
        <w:rPr>
          <w:lang w:val="es-PA"/>
        </w:rPr>
        <w:t xml:space="preserve">ACNUDH, </w:t>
      </w:r>
      <w:r w:rsidRPr="00A64748">
        <w:rPr>
          <w:lang w:val="es-ES"/>
        </w:rPr>
        <w:t>“</w:t>
      </w:r>
      <w:r w:rsidR="00143A76" w:rsidRPr="00A64748">
        <w:rPr>
          <w:color w:val="000000"/>
          <w:lang w:val="es-ES"/>
        </w:rPr>
        <w:t>Violaciones de derechos humanos y abusos en el contexto de las protestas en Nicaragua 18 de abril – 18 de agosto de 2018</w:t>
      </w:r>
      <w:r w:rsidRPr="00A64748">
        <w:rPr>
          <w:rStyle w:val="Hyperlink"/>
          <w:u w:val="none"/>
          <w:lang w:val="es-ES"/>
        </w:rPr>
        <w:t>”</w:t>
      </w:r>
      <w:r w:rsidRPr="00A64748">
        <w:rPr>
          <w:lang w:val="es-ES"/>
        </w:rPr>
        <w:t xml:space="preserve">, párr. </w:t>
      </w:r>
      <w:r w:rsidRPr="009B646D">
        <w:rPr>
          <w:lang w:val="es-PA"/>
        </w:rPr>
        <w:t>119.3.</w:t>
      </w:r>
    </w:p>
  </w:footnote>
  <w:footnote w:id="39">
    <w:p w14:paraId="4A295AFA" w14:textId="02AC6EBA"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31" w:history="1">
        <w:r w:rsidRPr="00A64748">
          <w:rPr>
            <w:rStyle w:val="Hyperlink"/>
            <w:color w:val="0000FF"/>
            <w:u w:val="none"/>
          </w:rPr>
          <w:t>A/HRC/42/18</w:t>
        </w:r>
      </w:hyperlink>
      <w:r w:rsidRPr="009B646D">
        <w:rPr>
          <w:lang w:val="es-PA"/>
        </w:rPr>
        <w:t>, párr. 48.</w:t>
      </w:r>
    </w:p>
  </w:footnote>
  <w:footnote w:id="40">
    <w:p w14:paraId="5A76733D" w14:textId="36E82A9B"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A64748">
        <w:rPr>
          <w:i/>
          <w:iCs/>
          <w:lang w:val="es-PA"/>
        </w:rPr>
        <w:t>Ibid.</w:t>
      </w:r>
      <w:r w:rsidRPr="009B646D">
        <w:rPr>
          <w:lang w:val="es-PA"/>
        </w:rPr>
        <w:t>, párr. 51.</w:t>
      </w:r>
    </w:p>
  </w:footnote>
  <w:footnote w:id="41">
    <w:p w14:paraId="0D2FE1A0" w14:textId="06C36FAB"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proofErr w:type="spellStart"/>
      <w:r w:rsidRPr="009B646D">
        <w:rPr>
          <w:i/>
          <w:iCs/>
          <w:lang w:val="es-PA"/>
        </w:rPr>
        <w:t>Ibid</w:t>
      </w:r>
      <w:proofErr w:type="spellEnd"/>
      <w:r w:rsidRPr="009B646D">
        <w:rPr>
          <w:i/>
          <w:iCs/>
          <w:lang w:val="es-PA"/>
        </w:rPr>
        <w:t>.</w:t>
      </w:r>
      <w:r w:rsidRPr="009B646D">
        <w:rPr>
          <w:lang w:val="es-PA"/>
        </w:rPr>
        <w:t xml:space="preserve">, </w:t>
      </w:r>
      <w:proofErr w:type="spellStart"/>
      <w:r w:rsidRPr="009B646D">
        <w:rPr>
          <w:lang w:val="es-PA"/>
        </w:rPr>
        <w:t>párrs</w:t>
      </w:r>
      <w:proofErr w:type="spellEnd"/>
      <w:r w:rsidRPr="009B646D">
        <w:rPr>
          <w:lang w:val="es-PA"/>
        </w:rPr>
        <w:t>. 51 y 52.</w:t>
      </w:r>
    </w:p>
  </w:footnote>
  <w:footnote w:id="42">
    <w:p w14:paraId="00EF7146" w14:textId="0E2A47D0" w:rsidR="00FF1B96" w:rsidRPr="00A64748" w:rsidRDefault="00FF1B96">
      <w:pPr>
        <w:pStyle w:val="FootnoteText"/>
        <w:rPr>
          <w:lang w:val="es-AR"/>
        </w:rPr>
      </w:pPr>
      <w:r w:rsidRPr="009B646D">
        <w:rPr>
          <w:lang w:val="es-ES"/>
        </w:rPr>
        <w:tab/>
      </w:r>
      <w:r w:rsidRPr="009B646D">
        <w:rPr>
          <w:rStyle w:val="FootnoteReference"/>
        </w:rPr>
        <w:footnoteRef/>
      </w:r>
      <w:r w:rsidRPr="009B646D">
        <w:rPr>
          <w:lang w:val="es-ES"/>
        </w:rPr>
        <w:tab/>
      </w:r>
      <w:r w:rsidRPr="009B646D">
        <w:rPr>
          <w:i/>
          <w:iCs/>
          <w:lang w:val="es-PA"/>
        </w:rPr>
        <w:t>Ibid.</w:t>
      </w:r>
      <w:r w:rsidRPr="009B646D">
        <w:rPr>
          <w:lang w:val="es-PA"/>
        </w:rPr>
        <w:t xml:space="preserve">, párr. </w:t>
      </w:r>
      <w:r w:rsidRPr="00A64748">
        <w:rPr>
          <w:lang w:val="es-AR"/>
        </w:rPr>
        <w:t>65 d).</w:t>
      </w:r>
    </w:p>
  </w:footnote>
  <w:footnote w:id="43">
    <w:p w14:paraId="7CD93C1B" w14:textId="6A4ED934" w:rsidR="00FF1B96" w:rsidRPr="009B646D" w:rsidRDefault="00FF1B96">
      <w:pPr>
        <w:pStyle w:val="FootnoteText"/>
        <w:rPr>
          <w:lang w:val="es-PA"/>
        </w:rPr>
      </w:pPr>
      <w:r w:rsidRPr="00A64748">
        <w:rPr>
          <w:lang w:val="es-AR"/>
        </w:rPr>
        <w:tab/>
      </w:r>
      <w:r w:rsidRPr="009B646D">
        <w:rPr>
          <w:rStyle w:val="FootnoteReference"/>
        </w:rPr>
        <w:footnoteRef/>
      </w:r>
      <w:r w:rsidRPr="00A64748">
        <w:rPr>
          <w:lang w:val="es-AR"/>
        </w:rPr>
        <w:tab/>
      </w:r>
      <w:hyperlink r:id="rId32" w:history="1">
        <w:r w:rsidRPr="00A64748">
          <w:rPr>
            <w:rStyle w:val="Hyperlink"/>
            <w:lang w:val="es-AR"/>
          </w:rPr>
          <w:t>A/HRC/42/16</w:t>
        </w:r>
      </w:hyperlink>
      <w:r w:rsidRPr="00A64748">
        <w:rPr>
          <w:lang w:val="es-AR"/>
        </w:rPr>
        <w:t xml:space="preserve">, </w:t>
      </w:r>
      <w:proofErr w:type="spellStart"/>
      <w:r w:rsidRPr="00A64748">
        <w:rPr>
          <w:lang w:val="es-AR"/>
        </w:rPr>
        <w:t>párrs</w:t>
      </w:r>
      <w:proofErr w:type="spellEnd"/>
      <w:r w:rsidRPr="00A64748">
        <w:rPr>
          <w:lang w:val="es-AR"/>
        </w:rPr>
        <w:t>. 125.84, 125.86, 125.88, 125.91 a 125.</w:t>
      </w:r>
      <w:r w:rsidRPr="009B646D">
        <w:rPr>
          <w:lang w:val="es-PA"/>
        </w:rPr>
        <w:t>94, 125.96 a 125.102, 125.104 y 125.106.</w:t>
      </w:r>
    </w:p>
  </w:footnote>
  <w:footnote w:id="44">
    <w:p w14:paraId="34E3C20F" w14:textId="2C9BAA0B"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proofErr w:type="spellStart"/>
      <w:r w:rsidRPr="009B646D">
        <w:rPr>
          <w:i/>
          <w:iCs/>
          <w:lang w:val="es-PA"/>
        </w:rPr>
        <w:t>Ibid</w:t>
      </w:r>
      <w:proofErr w:type="spellEnd"/>
      <w:r w:rsidRPr="009B646D">
        <w:rPr>
          <w:i/>
          <w:iCs/>
          <w:lang w:val="es-PA"/>
        </w:rPr>
        <w:t>.</w:t>
      </w:r>
      <w:r w:rsidRPr="009B646D">
        <w:rPr>
          <w:lang w:val="es-PA"/>
        </w:rPr>
        <w:t xml:space="preserve">, </w:t>
      </w:r>
      <w:proofErr w:type="spellStart"/>
      <w:r w:rsidRPr="009B646D">
        <w:rPr>
          <w:lang w:val="es-PA"/>
        </w:rPr>
        <w:t>párrs</w:t>
      </w:r>
      <w:proofErr w:type="spellEnd"/>
      <w:r w:rsidRPr="009B646D">
        <w:rPr>
          <w:lang w:val="es-PA"/>
        </w:rPr>
        <w:t>. 125.85, 125.87, 125.89 y 125.90.</w:t>
      </w:r>
    </w:p>
  </w:footnote>
  <w:footnote w:id="45">
    <w:p w14:paraId="20988E32" w14:textId="6AD72E94"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9B646D">
        <w:rPr>
          <w:lang w:val="es-PA"/>
        </w:rPr>
        <w:t xml:space="preserve">El perpetrador de la muerte de la estudiante brasileña </w:t>
      </w:r>
      <w:proofErr w:type="spellStart"/>
      <w:r w:rsidRPr="009B646D">
        <w:rPr>
          <w:lang w:val="es-PA"/>
        </w:rPr>
        <w:t>Rayneia</w:t>
      </w:r>
      <w:proofErr w:type="spellEnd"/>
      <w:r w:rsidRPr="009B646D">
        <w:rPr>
          <w:lang w:val="es-PA"/>
        </w:rPr>
        <w:t xml:space="preserve"> Lima fue liberado por la Ley de Amnistía. El autor de la muerte de Jorge Rugama fue condenado a un año de prisión por homicidio imprudente, sanción que no cumplió al suspenderse la pena.</w:t>
      </w:r>
      <w:r w:rsidR="009B646D" w:rsidRPr="009B646D">
        <w:rPr>
          <w:lang w:val="es-PA"/>
        </w:rPr>
        <w:t xml:space="preserve"> </w:t>
      </w:r>
    </w:p>
  </w:footnote>
  <w:footnote w:id="46">
    <w:p w14:paraId="1793D85A" w14:textId="0DAE9A46"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33" w:history="1">
        <w:r w:rsidRPr="007C26C4">
          <w:rPr>
            <w:rStyle w:val="Hyperlink"/>
            <w:color w:val="0000FF"/>
            <w:u w:val="none"/>
          </w:rPr>
          <w:t>A/HRC/49/23</w:t>
        </w:r>
      </w:hyperlink>
      <w:r w:rsidRPr="009B646D">
        <w:rPr>
          <w:lang w:val="es-PA"/>
        </w:rPr>
        <w:t>, párr. 66 e).</w:t>
      </w:r>
    </w:p>
  </w:footnote>
  <w:footnote w:id="47">
    <w:p w14:paraId="1DDFB36A" w14:textId="721C5C77"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9B646D">
        <w:rPr>
          <w:lang w:val="es-PA"/>
        </w:rPr>
        <w:t xml:space="preserve">Comunicación del Gobierno de 27 de enero de 2020. </w:t>
      </w:r>
    </w:p>
  </w:footnote>
  <w:footnote w:id="48">
    <w:p w14:paraId="29F29E42" w14:textId="335045F8"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9B646D">
        <w:rPr>
          <w:lang w:val="es-PA"/>
        </w:rPr>
        <w:t xml:space="preserve">La Procuraduría para la Defensa de los Derechos Humanos asumió este mandato en 2012, en el marco del Protocolo Facultativo de la Convención contra la Tortura y Otros Tratos o Penas Crueles, Inhumanos o Degradantes. </w:t>
      </w:r>
    </w:p>
  </w:footnote>
  <w:footnote w:id="49">
    <w:p w14:paraId="5BAE1F05" w14:textId="10A5B56A" w:rsidR="00FF1B96" w:rsidRPr="00A64748" w:rsidRDefault="00FF1B96">
      <w:pPr>
        <w:pStyle w:val="FootnoteText"/>
      </w:pPr>
      <w:r w:rsidRPr="009B646D">
        <w:rPr>
          <w:lang w:val="es-ES"/>
        </w:rPr>
        <w:tab/>
      </w:r>
      <w:r w:rsidRPr="009B646D">
        <w:rPr>
          <w:rStyle w:val="FootnoteReference"/>
        </w:rPr>
        <w:footnoteRef/>
      </w:r>
      <w:r w:rsidRPr="00A64748">
        <w:tab/>
      </w:r>
      <w:proofErr w:type="spellStart"/>
      <w:r w:rsidRPr="00A64748">
        <w:t>Véase</w:t>
      </w:r>
      <w:proofErr w:type="spellEnd"/>
      <w:r w:rsidRPr="00A64748">
        <w:t xml:space="preserve"> </w:t>
      </w:r>
      <w:hyperlink r:id="rId34" w:history="1">
        <w:r w:rsidRPr="00A64748">
          <w:rPr>
            <w:rStyle w:val="Hyperlink"/>
            <w:u w:val="none"/>
          </w:rPr>
          <w:t>https://ganhri.org/wp-content/uploads/2019/11/SCA-Report-March-2019-ES.pdf</w:t>
        </w:r>
      </w:hyperlink>
      <w:r w:rsidRPr="00A64748">
        <w:rPr>
          <w:rStyle w:val="Hyperlink"/>
          <w:u w:val="none"/>
        </w:rPr>
        <w:t>.</w:t>
      </w:r>
      <w:r w:rsidRPr="00A64748">
        <w:t xml:space="preserve"> </w:t>
      </w:r>
    </w:p>
  </w:footnote>
  <w:footnote w:id="50">
    <w:p w14:paraId="41E8E2E0" w14:textId="553AE1AB" w:rsidR="00FF1B96" w:rsidRPr="009B646D" w:rsidRDefault="00FF1B96">
      <w:pPr>
        <w:pStyle w:val="FootnoteText"/>
        <w:rPr>
          <w:lang w:val="es-PA"/>
        </w:rPr>
      </w:pPr>
      <w:r w:rsidRPr="00A64748">
        <w:tab/>
      </w:r>
      <w:r w:rsidRPr="009B646D">
        <w:rPr>
          <w:rStyle w:val="FootnoteReference"/>
        </w:rPr>
        <w:footnoteRef/>
      </w:r>
      <w:r w:rsidRPr="009B646D">
        <w:rPr>
          <w:lang w:val="es-ES"/>
        </w:rPr>
        <w:tab/>
      </w:r>
      <w:hyperlink r:id="rId35" w:history="1">
        <w:r w:rsidRPr="00A64748">
          <w:rPr>
            <w:rStyle w:val="Hyperlink"/>
            <w:color w:val="0000FF"/>
            <w:u w:val="none"/>
          </w:rPr>
          <w:t>A/HRC/42/18</w:t>
        </w:r>
      </w:hyperlink>
      <w:r w:rsidRPr="009B646D">
        <w:rPr>
          <w:lang w:val="es-PA"/>
        </w:rPr>
        <w:t>, párr. 66 </w:t>
      </w:r>
      <w:r w:rsidR="006D7419" w:rsidRPr="00A64748">
        <w:rPr>
          <w:lang w:val="es-PA"/>
        </w:rPr>
        <w:t>a</w:t>
      </w:r>
      <w:r w:rsidRPr="009B646D">
        <w:rPr>
          <w:lang w:val="es-PA"/>
        </w:rPr>
        <w:t xml:space="preserve">) y </w:t>
      </w:r>
      <w:r w:rsidR="006D7419" w:rsidRPr="00A64748">
        <w:rPr>
          <w:lang w:val="es-PA"/>
        </w:rPr>
        <w:t>b</w:t>
      </w:r>
      <w:r w:rsidRPr="009B646D">
        <w:rPr>
          <w:lang w:val="es-PA"/>
        </w:rPr>
        <w:t xml:space="preserve">); </w:t>
      </w:r>
      <w:hyperlink r:id="rId36" w:history="1">
        <w:r w:rsidRPr="00A64748">
          <w:rPr>
            <w:rStyle w:val="Hyperlink"/>
            <w:color w:val="0000FF"/>
            <w:u w:val="none"/>
          </w:rPr>
          <w:t>A/HRC/42/16</w:t>
        </w:r>
      </w:hyperlink>
      <w:r w:rsidRPr="009B646D">
        <w:rPr>
          <w:lang w:val="es-PA"/>
        </w:rPr>
        <w:t xml:space="preserve">, </w:t>
      </w:r>
      <w:proofErr w:type="spellStart"/>
      <w:r w:rsidRPr="009B646D">
        <w:rPr>
          <w:lang w:val="es-PA"/>
        </w:rPr>
        <w:t>párrs</w:t>
      </w:r>
      <w:proofErr w:type="spellEnd"/>
      <w:r w:rsidRPr="009B646D">
        <w:rPr>
          <w:lang w:val="es-PA"/>
        </w:rPr>
        <w:t xml:space="preserve">. </w:t>
      </w:r>
      <w:r w:rsidRPr="00A64748">
        <w:rPr>
          <w:lang w:val="es-ES"/>
        </w:rPr>
        <w:t xml:space="preserve">125.37, 125.38, 125.40 a 125.42, 125.44, 125.45; y </w:t>
      </w:r>
      <w:hyperlink r:id="rId37" w:history="1">
        <w:r w:rsidRPr="00A64748">
          <w:rPr>
            <w:rStyle w:val="Hyperlink"/>
            <w:color w:val="0000FF"/>
            <w:u w:val="none"/>
          </w:rPr>
          <w:t>E/C.12/NIC/CO/5</w:t>
        </w:r>
      </w:hyperlink>
      <w:r w:rsidRPr="00A64748">
        <w:rPr>
          <w:lang w:val="es-ES"/>
        </w:rPr>
        <w:t>, p</w:t>
      </w:r>
      <w:r w:rsidRPr="009B646D">
        <w:rPr>
          <w:lang w:val="es-ES"/>
        </w:rPr>
        <w:t>árr</w:t>
      </w:r>
      <w:r w:rsidRPr="00A64748">
        <w:rPr>
          <w:lang w:val="es-ES"/>
        </w:rPr>
        <w:t xml:space="preserve">. </w:t>
      </w:r>
      <w:r w:rsidRPr="009B646D">
        <w:rPr>
          <w:lang w:val="es-PA"/>
        </w:rPr>
        <w:t>8.</w:t>
      </w:r>
    </w:p>
  </w:footnote>
  <w:footnote w:id="51">
    <w:p w14:paraId="1E547FF9" w14:textId="7CCE8044"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38" w:history="1">
        <w:r w:rsidRPr="00A64748">
          <w:rPr>
            <w:rStyle w:val="Hyperlink"/>
            <w:color w:val="0000FF"/>
            <w:u w:val="none"/>
          </w:rPr>
          <w:t>A/HRC/42/18</w:t>
        </w:r>
      </w:hyperlink>
      <w:r w:rsidRPr="009B646D">
        <w:rPr>
          <w:lang w:val="es-PA"/>
        </w:rPr>
        <w:t xml:space="preserve">, párr. 65 d) iv); y </w:t>
      </w:r>
      <w:hyperlink r:id="rId39" w:history="1">
        <w:r w:rsidRPr="00A64748">
          <w:rPr>
            <w:rStyle w:val="Hyperlink"/>
            <w:color w:val="0000FF"/>
            <w:u w:val="none"/>
          </w:rPr>
          <w:t>A/HRC/49/23</w:t>
        </w:r>
      </w:hyperlink>
      <w:r w:rsidRPr="009B646D">
        <w:rPr>
          <w:lang w:val="es-PA"/>
        </w:rPr>
        <w:t>, párr. 66 e).</w:t>
      </w:r>
    </w:p>
  </w:footnote>
  <w:footnote w:id="52">
    <w:p w14:paraId="2ABE29B5" w14:textId="36E2E3A0"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9B646D">
        <w:rPr>
          <w:lang w:val="es-PA"/>
        </w:rPr>
        <w:t xml:space="preserve">ACNUDH, </w:t>
      </w:r>
      <w:r w:rsidRPr="00A64748">
        <w:rPr>
          <w:lang w:val="es-ES"/>
        </w:rPr>
        <w:t>“</w:t>
      </w:r>
      <w:r w:rsidR="00143A76" w:rsidRPr="00A64748">
        <w:rPr>
          <w:color w:val="000000"/>
          <w:lang w:val="es-ES"/>
        </w:rPr>
        <w:t>Violaciones de derechos humanos y abusos en el contexto de las protestas en Nicaragua 18 de abril – 18 de agosto de 2018</w:t>
      </w:r>
      <w:r w:rsidRPr="00A64748">
        <w:rPr>
          <w:rStyle w:val="Hyperlink"/>
          <w:u w:val="none"/>
          <w:lang w:val="es-ES"/>
        </w:rPr>
        <w:t>”</w:t>
      </w:r>
      <w:r w:rsidRPr="00A64748">
        <w:rPr>
          <w:lang w:val="es-ES"/>
        </w:rPr>
        <w:t>, párr</w:t>
      </w:r>
      <w:r w:rsidRPr="009B646D">
        <w:rPr>
          <w:lang w:val="es-ES"/>
        </w:rPr>
        <w:t xml:space="preserve">. </w:t>
      </w:r>
      <w:r w:rsidRPr="009B646D">
        <w:rPr>
          <w:lang w:val="es-PA"/>
        </w:rPr>
        <w:t xml:space="preserve">119.2; y </w:t>
      </w:r>
      <w:hyperlink r:id="rId40" w:history="1">
        <w:r w:rsidRPr="00A64748">
          <w:rPr>
            <w:rStyle w:val="Hyperlink"/>
            <w:color w:val="0000FF"/>
            <w:u w:val="none"/>
          </w:rPr>
          <w:t>A/HRC/42/18</w:t>
        </w:r>
      </w:hyperlink>
      <w:r w:rsidRPr="009B646D">
        <w:rPr>
          <w:lang w:val="es-PA"/>
        </w:rPr>
        <w:t xml:space="preserve">, párr. 65 d) iv); y </w:t>
      </w:r>
      <w:hyperlink r:id="rId41" w:history="1">
        <w:r w:rsidRPr="00A64748">
          <w:rPr>
            <w:rStyle w:val="Hyperlink"/>
            <w:color w:val="0000FF"/>
            <w:u w:val="none"/>
          </w:rPr>
          <w:t>A/HRC/42/16</w:t>
        </w:r>
      </w:hyperlink>
      <w:r w:rsidRPr="009B646D">
        <w:rPr>
          <w:lang w:val="es-PA"/>
        </w:rPr>
        <w:t xml:space="preserve">, </w:t>
      </w:r>
      <w:proofErr w:type="spellStart"/>
      <w:r w:rsidRPr="009B646D">
        <w:rPr>
          <w:lang w:val="es-PA"/>
        </w:rPr>
        <w:t>párrs</w:t>
      </w:r>
      <w:proofErr w:type="spellEnd"/>
      <w:r w:rsidRPr="009B646D">
        <w:rPr>
          <w:lang w:val="es-PA"/>
        </w:rPr>
        <w:t>. 125.60 y 125.129.</w:t>
      </w:r>
    </w:p>
  </w:footnote>
  <w:footnote w:id="53">
    <w:p w14:paraId="5C52CBB6" w14:textId="263BCC0D" w:rsidR="00FF1B96" w:rsidRPr="00A64748" w:rsidRDefault="00FF1B96">
      <w:pPr>
        <w:pStyle w:val="FootnoteText"/>
        <w:rPr>
          <w:lang w:val="it-IT"/>
        </w:rPr>
      </w:pPr>
      <w:r w:rsidRPr="009B646D">
        <w:rPr>
          <w:lang w:val="es-ES"/>
        </w:rPr>
        <w:tab/>
      </w:r>
      <w:r w:rsidRPr="009B646D">
        <w:rPr>
          <w:rStyle w:val="FootnoteReference"/>
        </w:rPr>
        <w:footnoteRef/>
      </w:r>
      <w:r w:rsidRPr="009B646D">
        <w:rPr>
          <w:lang w:val="es-ES"/>
        </w:rPr>
        <w:tab/>
      </w:r>
      <w:hyperlink r:id="rId42" w:history="1">
        <w:r w:rsidRPr="00A64748">
          <w:rPr>
            <w:rStyle w:val="Hyperlink"/>
            <w:color w:val="0000FF"/>
            <w:u w:val="none"/>
          </w:rPr>
          <w:t>A/HRC/42/18</w:t>
        </w:r>
      </w:hyperlink>
      <w:r w:rsidRPr="009B646D">
        <w:rPr>
          <w:lang w:val="es-PA"/>
        </w:rPr>
        <w:t xml:space="preserve">, párr. </w:t>
      </w:r>
      <w:r w:rsidRPr="00A64748">
        <w:rPr>
          <w:lang w:val="it-IT"/>
        </w:rPr>
        <w:t xml:space="preserve">65 d) ii. </w:t>
      </w:r>
    </w:p>
  </w:footnote>
  <w:footnote w:id="54">
    <w:p w14:paraId="6F5DDF7A" w14:textId="5CED0935" w:rsidR="00FF1B96" w:rsidRPr="00A64748" w:rsidRDefault="00FF1B96">
      <w:pPr>
        <w:pStyle w:val="FootnoteText"/>
        <w:rPr>
          <w:lang w:val="it-IT"/>
        </w:rPr>
      </w:pPr>
      <w:r w:rsidRPr="00A64748">
        <w:rPr>
          <w:lang w:val="it-IT"/>
        </w:rPr>
        <w:tab/>
      </w:r>
      <w:r w:rsidRPr="009B646D">
        <w:rPr>
          <w:rStyle w:val="FootnoteReference"/>
        </w:rPr>
        <w:footnoteRef/>
      </w:r>
      <w:r w:rsidRPr="00A64748">
        <w:rPr>
          <w:lang w:val="it-IT"/>
        </w:rPr>
        <w:tab/>
      </w:r>
      <w:hyperlink r:id="rId43" w:history="1">
        <w:r w:rsidRPr="00A64748">
          <w:rPr>
            <w:rStyle w:val="Hyperlink"/>
            <w:color w:val="0000FF"/>
            <w:u w:val="none"/>
          </w:rPr>
          <w:t>A/HRC/49/23</w:t>
        </w:r>
      </w:hyperlink>
      <w:r w:rsidRPr="00A64748">
        <w:rPr>
          <w:lang w:val="it-IT"/>
        </w:rPr>
        <w:t xml:space="preserve">, párr. 66 e). </w:t>
      </w:r>
    </w:p>
  </w:footnote>
  <w:footnote w:id="55">
    <w:p w14:paraId="7F534DC4" w14:textId="45C3F04B" w:rsidR="00FF1B96" w:rsidRPr="009B646D" w:rsidRDefault="00FF1B96">
      <w:pPr>
        <w:pStyle w:val="FootnoteText"/>
        <w:rPr>
          <w:lang w:val="es-PA"/>
        </w:rPr>
      </w:pPr>
      <w:r w:rsidRPr="00A64748">
        <w:rPr>
          <w:lang w:val="it-IT"/>
        </w:rPr>
        <w:tab/>
      </w:r>
      <w:r w:rsidRPr="009B646D">
        <w:rPr>
          <w:rStyle w:val="FootnoteReference"/>
        </w:rPr>
        <w:footnoteRef/>
      </w:r>
      <w:r w:rsidRPr="009B646D">
        <w:rPr>
          <w:lang w:val="es-ES"/>
        </w:rPr>
        <w:tab/>
      </w:r>
      <w:hyperlink r:id="rId44" w:history="1">
        <w:r w:rsidRPr="00A64748">
          <w:rPr>
            <w:rStyle w:val="Hyperlink"/>
            <w:color w:val="0000FF"/>
            <w:u w:val="none"/>
          </w:rPr>
          <w:t>A/HRC/42/18</w:t>
        </w:r>
      </w:hyperlink>
      <w:r w:rsidRPr="009B646D">
        <w:rPr>
          <w:lang w:val="es-PA"/>
        </w:rPr>
        <w:t xml:space="preserve">, párr. 65 h); </w:t>
      </w:r>
      <w:hyperlink r:id="rId45" w:history="1">
        <w:r w:rsidRPr="00A64748">
          <w:rPr>
            <w:rStyle w:val="Hyperlink"/>
            <w:color w:val="0000FF"/>
            <w:u w:val="none"/>
          </w:rPr>
          <w:t>A/HRC/46/21</w:t>
        </w:r>
      </w:hyperlink>
      <w:r w:rsidRPr="009B646D">
        <w:rPr>
          <w:lang w:val="es-PA"/>
        </w:rPr>
        <w:t xml:space="preserve">, párr. 71 b). En el </w:t>
      </w:r>
      <w:r w:rsidRPr="009B646D">
        <w:rPr>
          <w:lang w:val="es-AR"/>
        </w:rPr>
        <w:t xml:space="preserve">examen periódico universal </w:t>
      </w:r>
      <w:r w:rsidRPr="009B646D">
        <w:rPr>
          <w:lang w:val="es-PA"/>
        </w:rPr>
        <w:t>se formularon dos recomendaciones</w:t>
      </w:r>
      <w:r w:rsidRPr="00A64748">
        <w:rPr>
          <w:lang w:val="es-PA"/>
        </w:rPr>
        <w:t>:</w:t>
      </w:r>
      <w:r w:rsidRPr="009B646D">
        <w:rPr>
          <w:lang w:val="es-PA"/>
        </w:rPr>
        <w:t xml:space="preserve"> </w:t>
      </w:r>
      <w:hyperlink r:id="rId46" w:history="1">
        <w:r w:rsidRPr="00A64748">
          <w:rPr>
            <w:rStyle w:val="Hyperlink"/>
            <w:color w:val="0000FF"/>
            <w:u w:val="none"/>
          </w:rPr>
          <w:t>A/HRC/42/16</w:t>
        </w:r>
      </w:hyperlink>
      <w:r w:rsidRPr="009B646D">
        <w:rPr>
          <w:lang w:val="es-PA"/>
        </w:rPr>
        <w:t xml:space="preserve">, </w:t>
      </w:r>
      <w:proofErr w:type="spellStart"/>
      <w:r w:rsidRPr="009B646D">
        <w:rPr>
          <w:lang w:val="es-PA"/>
        </w:rPr>
        <w:t>párrs</w:t>
      </w:r>
      <w:proofErr w:type="spellEnd"/>
      <w:r w:rsidRPr="009B646D">
        <w:rPr>
          <w:lang w:val="es-PA"/>
        </w:rPr>
        <w:t>. 125.93 y 125.114.</w:t>
      </w:r>
    </w:p>
  </w:footnote>
  <w:footnote w:id="56">
    <w:p w14:paraId="303A0FC0" w14:textId="1DF9AE9E" w:rsidR="00FF1B96" w:rsidRPr="00A64748" w:rsidRDefault="00FF1B96">
      <w:pPr>
        <w:pStyle w:val="FootnoteText"/>
        <w:rPr>
          <w:lang w:val="es-ES"/>
        </w:rPr>
      </w:pPr>
      <w:r w:rsidRPr="009B646D">
        <w:rPr>
          <w:lang w:val="es-ES"/>
        </w:rPr>
        <w:tab/>
      </w:r>
      <w:r w:rsidRPr="009B646D">
        <w:rPr>
          <w:rStyle w:val="FootnoteReference"/>
        </w:rPr>
        <w:footnoteRef/>
      </w:r>
      <w:r w:rsidRPr="009B646D">
        <w:rPr>
          <w:lang w:val="es-ES"/>
        </w:rPr>
        <w:tab/>
      </w:r>
      <w:r w:rsidR="00C34BE1" w:rsidRPr="009B646D">
        <w:rPr>
          <w:lang w:val="es-ES"/>
        </w:rPr>
        <w:t xml:space="preserve">Documento </w:t>
      </w:r>
      <w:r w:rsidRPr="00A64748">
        <w:rPr>
          <w:lang w:val="es-ES"/>
        </w:rPr>
        <w:t>AG/DOC.5749/21.</w:t>
      </w:r>
    </w:p>
  </w:footnote>
  <w:footnote w:id="57">
    <w:p w14:paraId="3E7B1510" w14:textId="7B43D787" w:rsidR="00FF1B96" w:rsidRPr="00A64748" w:rsidRDefault="00FF1B96">
      <w:pPr>
        <w:pStyle w:val="FootnoteText"/>
        <w:rPr>
          <w:lang w:val="es-ES"/>
        </w:rPr>
      </w:pPr>
      <w:r w:rsidRPr="009B646D">
        <w:rPr>
          <w:lang w:val="es-ES"/>
        </w:rPr>
        <w:tab/>
      </w:r>
      <w:r w:rsidRPr="009B646D">
        <w:rPr>
          <w:rStyle w:val="FootnoteReference"/>
        </w:rPr>
        <w:footnoteRef/>
      </w:r>
      <w:r w:rsidRPr="009B646D">
        <w:rPr>
          <w:lang w:val="es-ES"/>
        </w:rPr>
        <w:tab/>
      </w:r>
      <w:hyperlink r:id="rId47" w:history="1">
        <w:r w:rsidRPr="00A64748">
          <w:rPr>
            <w:rStyle w:val="Hyperlink"/>
            <w:color w:val="0000FF"/>
            <w:u w:val="none"/>
          </w:rPr>
          <w:t>A/HRC/49/23</w:t>
        </w:r>
      </w:hyperlink>
      <w:r w:rsidR="00A64748" w:rsidRPr="009B646D">
        <w:rPr>
          <w:lang w:val="es-PA"/>
        </w:rPr>
        <w:t xml:space="preserve">, </w:t>
      </w:r>
      <w:r w:rsidRPr="00A64748">
        <w:rPr>
          <w:lang w:val="es-ES"/>
        </w:rPr>
        <w:t>párr. 66 f).</w:t>
      </w:r>
    </w:p>
  </w:footnote>
  <w:footnote w:id="58">
    <w:p w14:paraId="49EC46D3" w14:textId="2F4F5D98" w:rsidR="00FF1B96" w:rsidRPr="00A64748" w:rsidRDefault="00FF1B96">
      <w:pPr>
        <w:pStyle w:val="FootnoteText"/>
        <w:rPr>
          <w:lang w:val="es-ES"/>
        </w:rPr>
      </w:pPr>
      <w:r w:rsidRPr="009B646D">
        <w:rPr>
          <w:lang w:val="es-ES"/>
        </w:rPr>
        <w:tab/>
      </w:r>
      <w:r w:rsidRPr="009B646D">
        <w:rPr>
          <w:rStyle w:val="FootnoteReference"/>
        </w:rPr>
        <w:footnoteRef/>
      </w:r>
      <w:r w:rsidRPr="009B646D">
        <w:rPr>
          <w:lang w:val="es-ES"/>
        </w:rPr>
        <w:tab/>
      </w:r>
      <w:hyperlink r:id="rId48" w:history="1">
        <w:r w:rsidRPr="00A64748">
          <w:rPr>
            <w:rStyle w:val="Hyperlink"/>
            <w:color w:val="0000FF"/>
            <w:u w:val="none"/>
          </w:rPr>
          <w:t>A/HRC/42/18</w:t>
        </w:r>
      </w:hyperlink>
      <w:r w:rsidRPr="00A64748">
        <w:rPr>
          <w:lang w:val="es-ES"/>
        </w:rPr>
        <w:t>, párr. 65 g).</w:t>
      </w:r>
    </w:p>
  </w:footnote>
  <w:footnote w:id="59">
    <w:p w14:paraId="48650027" w14:textId="6161B299"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49" w:history="1">
        <w:r w:rsidRPr="00A64748">
          <w:rPr>
            <w:rStyle w:val="Hyperlink"/>
            <w:color w:val="0000FF"/>
            <w:u w:val="none"/>
          </w:rPr>
          <w:t>A/HRC/49/23</w:t>
        </w:r>
      </w:hyperlink>
      <w:r w:rsidRPr="009B646D">
        <w:rPr>
          <w:lang w:val="es-PA"/>
        </w:rPr>
        <w:t xml:space="preserve">, párr. 23. </w:t>
      </w:r>
    </w:p>
  </w:footnote>
  <w:footnote w:id="60">
    <w:p w14:paraId="65C3AEB5" w14:textId="1E9CC120"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9B646D">
        <w:rPr>
          <w:lang w:val="es-PA"/>
        </w:rPr>
        <w:t>Reformado por la Ley núm. 952.</w:t>
      </w:r>
    </w:p>
  </w:footnote>
  <w:footnote w:id="61">
    <w:p w14:paraId="1F124E17" w14:textId="0C71ADAC"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9B646D">
        <w:rPr>
          <w:lang w:val="es-PA"/>
        </w:rPr>
        <w:t xml:space="preserve">Opinión núm. 39/2020, </w:t>
      </w:r>
      <w:proofErr w:type="spellStart"/>
      <w:r w:rsidRPr="009B646D">
        <w:rPr>
          <w:lang w:val="es-PA"/>
        </w:rPr>
        <w:t>párr</w:t>
      </w:r>
      <w:proofErr w:type="spellEnd"/>
      <w:r w:rsidRPr="009B646D">
        <w:rPr>
          <w:lang w:val="es-PA"/>
        </w:rPr>
        <w:t xml:space="preserve"> .58. </w:t>
      </w:r>
    </w:p>
  </w:footnote>
  <w:footnote w:id="62">
    <w:p w14:paraId="080CE385" w14:textId="038EDBF1"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9B646D">
        <w:rPr>
          <w:lang w:val="es-PA"/>
        </w:rPr>
        <w:t xml:space="preserve">ACNUDH, </w:t>
      </w:r>
      <w:r w:rsidRPr="00A64748">
        <w:rPr>
          <w:lang w:val="es-ES"/>
        </w:rPr>
        <w:t>“</w:t>
      </w:r>
      <w:r w:rsidR="00143A76" w:rsidRPr="00A64748">
        <w:rPr>
          <w:color w:val="000000"/>
          <w:lang w:val="es-ES"/>
        </w:rPr>
        <w:t>Violaciones de derechos humanos y abusos en el contexto de las protestas en Nicaragua 18 de abril – 18 de agosto de 2018</w:t>
      </w:r>
      <w:r w:rsidR="00730A98" w:rsidRPr="009B646D">
        <w:rPr>
          <w:lang w:val="es-ES"/>
        </w:rPr>
        <w:t>”</w:t>
      </w:r>
      <w:r w:rsidRPr="00A64748">
        <w:rPr>
          <w:lang w:val="es-ES"/>
        </w:rPr>
        <w:t xml:space="preserve">, párr. </w:t>
      </w:r>
      <w:r w:rsidRPr="009B646D">
        <w:rPr>
          <w:lang w:val="es-PA"/>
        </w:rPr>
        <w:t>119.6.</w:t>
      </w:r>
    </w:p>
  </w:footnote>
  <w:footnote w:id="63">
    <w:p w14:paraId="718116D7" w14:textId="0C704459"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50" w:history="1">
        <w:r w:rsidRPr="00A64748">
          <w:rPr>
            <w:rStyle w:val="Hyperlink"/>
            <w:color w:val="0000FF"/>
            <w:u w:val="none"/>
          </w:rPr>
          <w:t>A/HRC/42/18</w:t>
        </w:r>
      </w:hyperlink>
      <w:r w:rsidRPr="009B646D">
        <w:rPr>
          <w:lang w:val="es-PA"/>
        </w:rPr>
        <w:t xml:space="preserve">, </w:t>
      </w:r>
      <w:proofErr w:type="spellStart"/>
      <w:r w:rsidRPr="009B646D">
        <w:rPr>
          <w:lang w:val="es-PA"/>
        </w:rPr>
        <w:t>párrs</w:t>
      </w:r>
      <w:proofErr w:type="spellEnd"/>
      <w:r w:rsidRPr="009B646D">
        <w:rPr>
          <w:lang w:val="es-PA"/>
        </w:rPr>
        <w:t>. 11, 15, 16.</w:t>
      </w:r>
    </w:p>
  </w:footnote>
  <w:footnote w:id="64">
    <w:p w14:paraId="06CD221B" w14:textId="55300ABF"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A64748">
        <w:rPr>
          <w:i/>
          <w:iCs/>
          <w:lang w:val="es-PA"/>
        </w:rPr>
        <w:t>Ibid.</w:t>
      </w:r>
      <w:r w:rsidRPr="009B646D">
        <w:rPr>
          <w:lang w:val="es-PA"/>
        </w:rPr>
        <w:t>, párr. 10.</w:t>
      </w:r>
    </w:p>
  </w:footnote>
  <w:footnote w:id="65">
    <w:p w14:paraId="06A22A4C" w14:textId="384A453E"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9B646D">
        <w:rPr>
          <w:i/>
          <w:iCs/>
          <w:lang w:val="es-PA"/>
        </w:rPr>
        <w:t>Ibid.</w:t>
      </w:r>
      <w:r w:rsidRPr="009B646D">
        <w:rPr>
          <w:lang w:val="es-PA"/>
        </w:rPr>
        <w:t>, párr. 65 b).</w:t>
      </w:r>
    </w:p>
  </w:footnote>
  <w:footnote w:id="66">
    <w:p w14:paraId="163D6837" w14:textId="29AE6413"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51" w:history="1">
        <w:r w:rsidRPr="00A64748">
          <w:rPr>
            <w:rStyle w:val="Hyperlink"/>
            <w:color w:val="0000FF"/>
            <w:u w:val="none"/>
          </w:rPr>
          <w:t>A/HRC/46/21</w:t>
        </w:r>
      </w:hyperlink>
      <w:r w:rsidRPr="009B646D">
        <w:rPr>
          <w:lang w:val="es-PA"/>
        </w:rPr>
        <w:t>, párr. 71 a) y c).</w:t>
      </w:r>
    </w:p>
  </w:footnote>
  <w:footnote w:id="67">
    <w:p w14:paraId="4CD3BC8E" w14:textId="094F7686"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52" w:history="1">
        <w:r w:rsidRPr="00A64748">
          <w:rPr>
            <w:rStyle w:val="Hyperlink"/>
            <w:color w:val="0000FF"/>
            <w:u w:val="none"/>
          </w:rPr>
          <w:t>A/HRC/42/16</w:t>
        </w:r>
      </w:hyperlink>
      <w:r w:rsidRPr="009B646D">
        <w:rPr>
          <w:lang w:val="es-PA"/>
        </w:rPr>
        <w:t xml:space="preserve">, </w:t>
      </w:r>
      <w:proofErr w:type="spellStart"/>
      <w:r w:rsidRPr="009B646D">
        <w:rPr>
          <w:lang w:val="es-PA"/>
        </w:rPr>
        <w:t>párrs</w:t>
      </w:r>
      <w:proofErr w:type="spellEnd"/>
      <w:r w:rsidRPr="009B646D">
        <w:rPr>
          <w:lang w:val="es-PA"/>
        </w:rPr>
        <w:t>. 125.110, 125.111, 125.113, 125.115, 125.117, 125.119, 125.121, 125.123, 125.124, 125.126, 125.128, 125.129, 125.135, 125.140, 125.142, 125.146, 125.148, 125.151, 125.153, 125.155, 125.157, 125.160, 125.162, 125.164, 125.167 y 125.168.</w:t>
      </w:r>
    </w:p>
  </w:footnote>
  <w:footnote w:id="68">
    <w:p w14:paraId="71F57DD5" w14:textId="56FB7780"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53" w:history="1">
        <w:r w:rsidRPr="00A64748">
          <w:rPr>
            <w:rStyle w:val="Hyperlink"/>
            <w:color w:val="0000FF"/>
            <w:u w:val="none"/>
          </w:rPr>
          <w:t>A/HRC/42/18</w:t>
        </w:r>
      </w:hyperlink>
      <w:r w:rsidRPr="009B646D">
        <w:rPr>
          <w:lang w:val="es-PA"/>
        </w:rPr>
        <w:t xml:space="preserve">, párr. 20. </w:t>
      </w:r>
    </w:p>
  </w:footnote>
  <w:footnote w:id="69">
    <w:p w14:paraId="71E943F2" w14:textId="5D51B255"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9B646D">
        <w:rPr>
          <w:i/>
          <w:iCs/>
          <w:lang w:val="es-PA"/>
        </w:rPr>
        <w:t>Ibid.</w:t>
      </w:r>
      <w:r w:rsidRPr="009B646D">
        <w:rPr>
          <w:lang w:val="es-PA"/>
        </w:rPr>
        <w:t>, párr. 65 b) y c).</w:t>
      </w:r>
    </w:p>
  </w:footnote>
  <w:footnote w:id="70">
    <w:p w14:paraId="1CE08697" w14:textId="6CDD2B4C"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54" w:history="1">
        <w:r w:rsidRPr="00A64748">
          <w:rPr>
            <w:rStyle w:val="Hyperlink"/>
            <w:color w:val="0000FF"/>
            <w:u w:val="none"/>
          </w:rPr>
          <w:t>A/HRC/42/16</w:t>
        </w:r>
      </w:hyperlink>
      <w:r w:rsidRPr="009B646D">
        <w:rPr>
          <w:lang w:val="es-PA"/>
        </w:rPr>
        <w:t xml:space="preserve">, </w:t>
      </w:r>
      <w:proofErr w:type="spellStart"/>
      <w:r w:rsidRPr="009B646D">
        <w:rPr>
          <w:lang w:val="es-PA"/>
        </w:rPr>
        <w:t>párrs</w:t>
      </w:r>
      <w:proofErr w:type="spellEnd"/>
      <w:r w:rsidRPr="009B646D">
        <w:rPr>
          <w:lang w:val="es-PA"/>
        </w:rPr>
        <w:t>. 125.67, 125.87, 125.110, 125.111, 125.115, 125.120, 125.121, 125.124, 125.126, 125.135, 125.136, 125.140, 125.142, 125.146, 125.148, 125.151, 125.155, 125.157, 125.164, 125.166 a 125.168 y 125.253.</w:t>
      </w:r>
    </w:p>
  </w:footnote>
  <w:footnote w:id="71">
    <w:p w14:paraId="1EBB0743" w14:textId="31208360"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t xml:space="preserve">Véase la comunicación </w:t>
      </w:r>
      <w:r w:rsidRPr="009B646D">
        <w:rPr>
          <w:lang w:val="es-PA"/>
        </w:rPr>
        <w:t xml:space="preserve">NIC 3/2020; y </w:t>
      </w:r>
      <w:hyperlink r:id="rId55" w:history="1">
        <w:r w:rsidRPr="00A64748">
          <w:rPr>
            <w:rStyle w:val="Hyperlink"/>
            <w:color w:val="0000FF"/>
            <w:u w:val="none"/>
          </w:rPr>
          <w:t>A/HRC/46/21</w:t>
        </w:r>
      </w:hyperlink>
      <w:r w:rsidRPr="009B646D">
        <w:rPr>
          <w:lang w:val="es-PA"/>
        </w:rPr>
        <w:t>, párr. 71 d).</w:t>
      </w:r>
    </w:p>
  </w:footnote>
  <w:footnote w:id="72">
    <w:p w14:paraId="08124586" w14:textId="5ED18396"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56" w:history="1">
        <w:r w:rsidRPr="00A64748">
          <w:rPr>
            <w:rStyle w:val="Hyperlink"/>
            <w:color w:val="0000FF"/>
            <w:u w:val="none"/>
          </w:rPr>
          <w:t>A/HRC/49/23</w:t>
        </w:r>
      </w:hyperlink>
      <w:r w:rsidRPr="009B646D">
        <w:rPr>
          <w:lang w:val="es-PA"/>
        </w:rPr>
        <w:t>, párr. 66 d).</w:t>
      </w:r>
    </w:p>
  </w:footnote>
  <w:footnote w:id="73">
    <w:p w14:paraId="4001D14A" w14:textId="603D4263"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9B646D">
        <w:rPr>
          <w:lang w:val="es-PA"/>
        </w:rPr>
        <w:t xml:space="preserve">ACNUDH, </w:t>
      </w:r>
      <w:r w:rsidRPr="00A64748">
        <w:rPr>
          <w:lang w:val="es-ES"/>
        </w:rPr>
        <w:t>“</w:t>
      </w:r>
      <w:r w:rsidR="00143A76" w:rsidRPr="00A64748">
        <w:rPr>
          <w:color w:val="000000"/>
          <w:lang w:val="es-ES"/>
        </w:rPr>
        <w:t>Violaciones de derechos humanos y abusos en el contexto de las protestas en Nicaragua 18 de abril – 18 de agosto de 2018</w:t>
      </w:r>
      <w:r w:rsidRPr="00A64748">
        <w:rPr>
          <w:rStyle w:val="Hyperlink"/>
          <w:u w:val="none"/>
          <w:lang w:val="es-ES"/>
        </w:rPr>
        <w:t>”</w:t>
      </w:r>
      <w:r w:rsidRPr="00A64748">
        <w:rPr>
          <w:lang w:val="es-ES"/>
        </w:rPr>
        <w:t xml:space="preserve">, párrs. </w:t>
      </w:r>
      <w:r w:rsidRPr="009B646D">
        <w:rPr>
          <w:lang w:val="es-PA"/>
        </w:rPr>
        <w:t xml:space="preserve">119.1 y </w:t>
      </w:r>
      <w:r w:rsidR="00F73A90" w:rsidRPr="00A64748">
        <w:rPr>
          <w:lang w:val="es-PA"/>
        </w:rPr>
        <w:t>119.</w:t>
      </w:r>
      <w:r w:rsidRPr="009B646D">
        <w:rPr>
          <w:lang w:val="es-PA"/>
        </w:rPr>
        <w:t xml:space="preserve">9; </w:t>
      </w:r>
      <w:hyperlink r:id="rId57" w:history="1">
        <w:r w:rsidRPr="00A64748">
          <w:rPr>
            <w:rStyle w:val="Hyperlink"/>
            <w:color w:val="0000FF"/>
            <w:u w:val="none"/>
          </w:rPr>
          <w:t>A/HRC/42/18</w:t>
        </w:r>
      </w:hyperlink>
      <w:r w:rsidRPr="009B646D">
        <w:rPr>
          <w:lang w:val="es-PA"/>
        </w:rPr>
        <w:t xml:space="preserve">, párr. 65 b) y c); </w:t>
      </w:r>
      <w:hyperlink r:id="rId58" w:history="1">
        <w:r w:rsidRPr="00A64748">
          <w:rPr>
            <w:rStyle w:val="Hyperlink"/>
            <w:color w:val="0000FF"/>
            <w:u w:val="none"/>
          </w:rPr>
          <w:t>A/HRC/46/21</w:t>
        </w:r>
      </w:hyperlink>
      <w:r w:rsidRPr="009B646D">
        <w:rPr>
          <w:lang w:val="es-PA"/>
        </w:rPr>
        <w:t xml:space="preserve">, párr. 71 b), c) y d); </w:t>
      </w:r>
      <w:hyperlink r:id="rId59" w:history="1">
        <w:r w:rsidRPr="00A64748">
          <w:rPr>
            <w:rStyle w:val="Hyperlink"/>
            <w:color w:val="0000FF"/>
            <w:u w:val="none"/>
          </w:rPr>
          <w:t>A/HRC/49/23</w:t>
        </w:r>
      </w:hyperlink>
      <w:r w:rsidRPr="009B646D">
        <w:rPr>
          <w:lang w:val="es-PA"/>
        </w:rPr>
        <w:t xml:space="preserve">, párr. 66 c); y </w:t>
      </w:r>
      <w:hyperlink r:id="rId60" w:history="1">
        <w:r w:rsidRPr="00A64748">
          <w:rPr>
            <w:rStyle w:val="Hyperlink"/>
            <w:color w:val="0000FF"/>
            <w:u w:val="none"/>
          </w:rPr>
          <w:t>A/HRC/42/1</w:t>
        </w:r>
        <w:r w:rsidRPr="00A64748">
          <w:rPr>
            <w:rStyle w:val="Hyperlink"/>
            <w:lang w:val="es-PA"/>
          </w:rPr>
          <w:t>6</w:t>
        </w:r>
      </w:hyperlink>
      <w:r w:rsidRPr="009B646D">
        <w:rPr>
          <w:lang w:val="es-PA"/>
        </w:rPr>
        <w:t xml:space="preserve">, </w:t>
      </w:r>
      <w:proofErr w:type="spellStart"/>
      <w:r w:rsidRPr="009B646D">
        <w:rPr>
          <w:lang w:val="es-PA"/>
        </w:rPr>
        <w:t>párrs</w:t>
      </w:r>
      <w:proofErr w:type="spellEnd"/>
      <w:r w:rsidRPr="009B646D">
        <w:rPr>
          <w:lang w:val="es-PA"/>
        </w:rPr>
        <w:t>. 125.68, 125.79, 125.85, 125.87, 125.92, 125.96, 125.109 a 125.111, 125.113, 125.116, 125.117, 125.119, 125.120, 125.122, 125.124, 125.126, 125.128-130, 125.134, 125.135, 125.138, 125.139, 125.141, 125.142, 125.145, 125.146, 125.148, 125.150, 125.152, 125.154 a 125.156, 125.158 a 125.160, 125.162 y 125.164 a 125.168.</w:t>
      </w:r>
      <w:r w:rsidR="009B646D" w:rsidRPr="009B646D">
        <w:rPr>
          <w:lang w:val="es-PA"/>
        </w:rPr>
        <w:t xml:space="preserve"> </w:t>
      </w:r>
    </w:p>
  </w:footnote>
  <w:footnote w:id="74">
    <w:p w14:paraId="20C6D2C9" w14:textId="74BD5B71"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9B646D">
        <w:rPr>
          <w:lang w:val="es-PA"/>
        </w:rPr>
        <w:t xml:space="preserve">ACNUDH, </w:t>
      </w:r>
      <w:r w:rsidRPr="00A64748">
        <w:rPr>
          <w:lang w:val="es-ES"/>
        </w:rPr>
        <w:t>“</w:t>
      </w:r>
      <w:r w:rsidR="00143A76" w:rsidRPr="00A64748">
        <w:rPr>
          <w:color w:val="000000"/>
          <w:lang w:val="es-ES"/>
        </w:rPr>
        <w:t>Violaciones de derechos humanos y abusos en el contexto de las protestas en Nicaragua 18 de abril – 18 de agosto de 2018</w:t>
      </w:r>
      <w:r w:rsidRPr="00A64748">
        <w:rPr>
          <w:rStyle w:val="Hyperlink"/>
          <w:u w:val="none"/>
          <w:lang w:val="es-ES"/>
        </w:rPr>
        <w:t>”</w:t>
      </w:r>
      <w:r w:rsidRPr="00A64748">
        <w:rPr>
          <w:lang w:val="es-ES"/>
        </w:rPr>
        <w:t xml:space="preserve">, párr. </w:t>
      </w:r>
      <w:r w:rsidRPr="009B646D">
        <w:rPr>
          <w:lang w:val="es-PA"/>
        </w:rPr>
        <w:t>92.</w:t>
      </w:r>
    </w:p>
  </w:footnote>
  <w:footnote w:id="75">
    <w:p w14:paraId="069126C4" w14:textId="550AEBDD"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proofErr w:type="spellStart"/>
      <w:r w:rsidRPr="00A64748">
        <w:rPr>
          <w:i/>
          <w:iCs/>
          <w:lang w:val="es-PA"/>
        </w:rPr>
        <w:t>Ibid</w:t>
      </w:r>
      <w:proofErr w:type="spellEnd"/>
      <w:r w:rsidRPr="00A64748">
        <w:rPr>
          <w:i/>
          <w:iCs/>
          <w:lang w:val="es-PA"/>
        </w:rPr>
        <w:t>.</w:t>
      </w:r>
      <w:r w:rsidRPr="009B646D">
        <w:rPr>
          <w:lang w:val="es-PA"/>
        </w:rPr>
        <w:t>,</w:t>
      </w:r>
      <w:r w:rsidRPr="009B646D" w:rsidDel="00AA0C35">
        <w:rPr>
          <w:lang w:val="es-PA"/>
        </w:rPr>
        <w:t xml:space="preserve"> </w:t>
      </w:r>
      <w:proofErr w:type="spellStart"/>
      <w:r w:rsidRPr="009B646D">
        <w:rPr>
          <w:lang w:val="es-PA"/>
        </w:rPr>
        <w:t>parrs</w:t>
      </w:r>
      <w:proofErr w:type="spellEnd"/>
      <w:r w:rsidRPr="009B646D">
        <w:rPr>
          <w:lang w:val="es-PA"/>
        </w:rPr>
        <w:t xml:space="preserve">. 93 a 95; </w:t>
      </w:r>
      <w:hyperlink r:id="rId61" w:history="1">
        <w:r w:rsidRPr="00A64748">
          <w:rPr>
            <w:rStyle w:val="Hyperlink"/>
            <w:color w:val="0000FF"/>
            <w:u w:val="none"/>
          </w:rPr>
          <w:t>A/HRC/42/18</w:t>
        </w:r>
      </w:hyperlink>
      <w:r w:rsidRPr="009B646D">
        <w:rPr>
          <w:lang w:val="es-PA"/>
        </w:rPr>
        <w:t xml:space="preserve">, </w:t>
      </w:r>
      <w:proofErr w:type="spellStart"/>
      <w:r w:rsidRPr="009B646D">
        <w:rPr>
          <w:lang w:val="es-PA"/>
        </w:rPr>
        <w:t>párrs</w:t>
      </w:r>
      <w:proofErr w:type="spellEnd"/>
      <w:r w:rsidRPr="009B646D">
        <w:rPr>
          <w:lang w:val="es-PA"/>
        </w:rPr>
        <w:t xml:space="preserve">. 18 y 19; </w:t>
      </w:r>
      <w:hyperlink r:id="rId62" w:history="1">
        <w:r w:rsidRPr="00A64748">
          <w:rPr>
            <w:rStyle w:val="Hyperlink"/>
            <w:color w:val="0000FF"/>
            <w:u w:val="none"/>
          </w:rPr>
          <w:t>A/HRC/46/21</w:t>
        </w:r>
      </w:hyperlink>
      <w:r w:rsidRPr="009B646D">
        <w:rPr>
          <w:lang w:val="es-PA"/>
        </w:rPr>
        <w:t xml:space="preserve">, </w:t>
      </w:r>
      <w:proofErr w:type="spellStart"/>
      <w:r w:rsidRPr="009B646D">
        <w:rPr>
          <w:lang w:val="es-PA"/>
        </w:rPr>
        <w:t>párrs</w:t>
      </w:r>
      <w:proofErr w:type="spellEnd"/>
      <w:r w:rsidRPr="009B646D">
        <w:rPr>
          <w:lang w:val="es-PA"/>
        </w:rPr>
        <w:t xml:space="preserve">. 21 y 22; y </w:t>
      </w:r>
      <w:hyperlink r:id="rId63" w:history="1">
        <w:r w:rsidRPr="00A64748">
          <w:rPr>
            <w:rStyle w:val="Hyperlink"/>
            <w:color w:val="0000FF"/>
            <w:u w:val="none"/>
          </w:rPr>
          <w:t>A/HRC/49/23</w:t>
        </w:r>
      </w:hyperlink>
      <w:r w:rsidRPr="009B646D">
        <w:rPr>
          <w:lang w:val="es-PA"/>
        </w:rPr>
        <w:t xml:space="preserve">, </w:t>
      </w:r>
      <w:proofErr w:type="spellStart"/>
      <w:r w:rsidRPr="009B646D">
        <w:rPr>
          <w:lang w:val="es-PA"/>
        </w:rPr>
        <w:t>párrs</w:t>
      </w:r>
      <w:proofErr w:type="spellEnd"/>
      <w:r w:rsidRPr="009B646D">
        <w:rPr>
          <w:lang w:val="es-PA"/>
        </w:rPr>
        <w:t>. 40 a 43.</w:t>
      </w:r>
    </w:p>
  </w:footnote>
  <w:footnote w:id="76">
    <w:p w14:paraId="0988D418" w14:textId="2C30645E" w:rsidR="00FF1B96" w:rsidRPr="009B646D" w:rsidRDefault="00FF1B96">
      <w:pPr>
        <w:pStyle w:val="FootnoteText"/>
        <w:rPr>
          <w:lang w:val="es-ES"/>
        </w:rPr>
      </w:pPr>
      <w:r w:rsidRPr="009B646D">
        <w:rPr>
          <w:lang w:val="es-ES"/>
        </w:rPr>
        <w:tab/>
      </w:r>
      <w:r w:rsidRPr="009B646D">
        <w:rPr>
          <w:rStyle w:val="FootnoteReference"/>
        </w:rPr>
        <w:footnoteRef/>
      </w:r>
      <w:r w:rsidRPr="009B646D">
        <w:rPr>
          <w:lang w:val="es-ES"/>
        </w:rPr>
        <w:tab/>
        <w:t>Véase la comunicación NIC 3/2020.</w:t>
      </w:r>
    </w:p>
  </w:footnote>
  <w:footnote w:id="77">
    <w:p w14:paraId="5EAC68C2" w14:textId="66F16FBE"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64" w:history="1">
        <w:r w:rsidRPr="00A64748">
          <w:rPr>
            <w:rStyle w:val="Hyperlink"/>
            <w:color w:val="0000FF"/>
            <w:u w:val="none"/>
          </w:rPr>
          <w:t>A/HRC/42/18</w:t>
        </w:r>
      </w:hyperlink>
      <w:r w:rsidRPr="009B646D">
        <w:rPr>
          <w:lang w:val="es-PA"/>
        </w:rPr>
        <w:t xml:space="preserve">, párr. 65 b); y </w:t>
      </w:r>
      <w:hyperlink r:id="rId65" w:history="1">
        <w:r w:rsidRPr="00A64748">
          <w:rPr>
            <w:rStyle w:val="Hyperlink"/>
            <w:color w:val="0000FF"/>
            <w:u w:val="none"/>
          </w:rPr>
          <w:t>A/HRC/49/23</w:t>
        </w:r>
      </w:hyperlink>
      <w:r w:rsidRPr="009B646D">
        <w:rPr>
          <w:lang w:val="es-PA"/>
        </w:rPr>
        <w:t xml:space="preserve">, párr. </w:t>
      </w:r>
      <w:r w:rsidRPr="009B646D">
        <w:rPr>
          <w:lang w:val="es-ES"/>
        </w:rPr>
        <w:t>66 c).</w:t>
      </w:r>
    </w:p>
  </w:footnote>
  <w:footnote w:id="78">
    <w:p w14:paraId="173BD5D0" w14:textId="7A4B2A77"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66" w:history="1">
        <w:r w:rsidRPr="00A64748">
          <w:rPr>
            <w:rStyle w:val="Hyperlink"/>
            <w:color w:val="0000FF"/>
            <w:u w:val="none"/>
          </w:rPr>
          <w:t>A/HRC/42/16</w:t>
        </w:r>
      </w:hyperlink>
      <w:r w:rsidRPr="009B646D">
        <w:rPr>
          <w:lang w:val="es-PA"/>
        </w:rPr>
        <w:t xml:space="preserve">, </w:t>
      </w:r>
      <w:proofErr w:type="spellStart"/>
      <w:r w:rsidRPr="009B646D">
        <w:rPr>
          <w:lang w:val="es-PA"/>
        </w:rPr>
        <w:t>párrs</w:t>
      </w:r>
      <w:proofErr w:type="spellEnd"/>
      <w:r w:rsidRPr="009B646D">
        <w:rPr>
          <w:lang w:val="es-PA"/>
        </w:rPr>
        <w:t>. 125.</w:t>
      </w:r>
      <w:r w:rsidRPr="009B646D">
        <w:rPr>
          <w:lang w:val="es-ES"/>
        </w:rPr>
        <w:t>133, 125.163 y 125.165.</w:t>
      </w:r>
    </w:p>
  </w:footnote>
  <w:footnote w:id="79">
    <w:p w14:paraId="6D863F49" w14:textId="0491D858"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67" w:history="1">
        <w:r w:rsidRPr="00A64748">
          <w:rPr>
            <w:rStyle w:val="Hyperlink"/>
            <w:color w:val="0000FF"/>
            <w:u w:val="none"/>
          </w:rPr>
          <w:t>A/HRC/46/21</w:t>
        </w:r>
      </w:hyperlink>
      <w:r w:rsidRPr="009B646D">
        <w:rPr>
          <w:lang w:val="es-ES"/>
        </w:rPr>
        <w:t xml:space="preserve">, párr. 16; y </w:t>
      </w:r>
      <w:hyperlink r:id="rId68" w:history="1">
        <w:r w:rsidRPr="00A64748">
          <w:rPr>
            <w:rStyle w:val="Hyperlink"/>
            <w:color w:val="0000FF"/>
            <w:u w:val="none"/>
          </w:rPr>
          <w:t>A/HRC/49/23</w:t>
        </w:r>
      </w:hyperlink>
      <w:r w:rsidRPr="009B646D">
        <w:rPr>
          <w:lang w:val="es-ES"/>
        </w:rPr>
        <w:t xml:space="preserve">, </w:t>
      </w:r>
      <w:proofErr w:type="spellStart"/>
      <w:r w:rsidRPr="009B646D">
        <w:rPr>
          <w:lang w:val="es-ES"/>
        </w:rPr>
        <w:t>párrs</w:t>
      </w:r>
      <w:proofErr w:type="spellEnd"/>
      <w:r w:rsidRPr="009B646D">
        <w:rPr>
          <w:lang w:val="es-ES"/>
        </w:rPr>
        <w:t xml:space="preserve">. 40 y 45. </w:t>
      </w:r>
    </w:p>
  </w:footnote>
  <w:footnote w:id="80">
    <w:p w14:paraId="5236D299" w14:textId="1A0B0A0E" w:rsidR="00FF1B96" w:rsidRPr="00A64748" w:rsidRDefault="00FF1B96">
      <w:pPr>
        <w:pStyle w:val="FootnoteText"/>
        <w:rPr>
          <w:lang w:val="es-ES"/>
        </w:rPr>
      </w:pPr>
      <w:r w:rsidRPr="009B646D">
        <w:rPr>
          <w:lang w:val="es-ES"/>
        </w:rPr>
        <w:tab/>
      </w:r>
      <w:r w:rsidRPr="009B646D">
        <w:rPr>
          <w:rStyle w:val="FootnoteReference"/>
        </w:rPr>
        <w:footnoteRef/>
      </w:r>
      <w:r w:rsidRPr="009B646D">
        <w:rPr>
          <w:lang w:val="es-ES"/>
        </w:rPr>
        <w:tab/>
      </w:r>
      <w:r w:rsidR="00F73A90" w:rsidRPr="009B646D">
        <w:rPr>
          <w:lang w:val="es-ES"/>
        </w:rPr>
        <w:t>Véas</w:t>
      </w:r>
      <w:r w:rsidR="00F73A90" w:rsidRPr="00A64748">
        <w:rPr>
          <w:lang w:val="es-ES"/>
        </w:rPr>
        <w:t>e</w:t>
      </w:r>
      <w:hyperlink r:id="rId69" w:history="1">
        <w:r w:rsidR="00F73A90" w:rsidRPr="00A64748">
          <w:rPr>
            <w:rStyle w:val="Hyperlink"/>
            <w:u w:val="none"/>
            <w:lang w:val="es-ES"/>
          </w:rPr>
          <w:t xml:space="preserve"> https://www.el19digital.com/articulos/ver/titulo:122538-acto-del-45-aniversario-del-transito-a-la-inmortalidad-de-carlos-fonseca-amador</w:t>
        </w:r>
      </w:hyperlink>
      <w:r w:rsidRPr="00A64748">
        <w:rPr>
          <w:rStyle w:val="Hyperlink"/>
          <w:u w:val="none"/>
          <w:lang w:val="es-ES"/>
        </w:rPr>
        <w:t xml:space="preserve">; </w:t>
      </w:r>
      <w:hyperlink r:id="rId70" w:history="1">
        <w:r w:rsidRPr="00A64748">
          <w:rPr>
            <w:rStyle w:val="Hyperlink"/>
            <w:u w:val="none"/>
            <w:lang w:val="es-ES"/>
          </w:rPr>
          <w:t>https://www.el19digital.com/articulos/ver/titulo:124381-acto-solemne-de-juramentacion-e-inauguracion-del-nuevo-periodo-del-pueblo-presidente</w:t>
        </w:r>
      </w:hyperlink>
      <w:r w:rsidRPr="009B646D">
        <w:rPr>
          <w:lang w:val="es-ES"/>
        </w:rPr>
        <w:t>.</w:t>
      </w:r>
    </w:p>
  </w:footnote>
  <w:footnote w:id="81">
    <w:p w14:paraId="1C3A13D2" w14:textId="6FFAF2E9"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9B646D">
        <w:rPr>
          <w:lang w:val="es-PA"/>
        </w:rPr>
        <w:t xml:space="preserve">ACNUDH, </w:t>
      </w:r>
      <w:r w:rsidRPr="00A64748">
        <w:rPr>
          <w:lang w:val="es-ES"/>
        </w:rPr>
        <w:t>“</w:t>
      </w:r>
      <w:r w:rsidR="00143A76" w:rsidRPr="00A64748">
        <w:rPr>
          <w:color w:val="000000"/>
          <w:lang w:val="es-ES"/>
        </w:rPr>
        <w:t>Violaciones de derechos humanos y abusos en el contexto de las protestas en Nicaragua 18 de abril – 18 de agosto de 2018</w:t>
      </w:r>
      <w:r w:rsidRPr="00A64748">
        <w:rPr>
          <w:rStyle w:val="Hyperlink"/>
          <w:u w:val="none"/>
          <w:lang w:val="es-ES"/>
        </w:rPr>
        <w:t>”</w:t>
      </w:r>
      <w:r w:rsidRPr="00A64748">
        <w:rPr>
          <w:lang w:val="es-ES"/>
        </w:rPr>
        <w:t xml:space="preserve">, párr. </w:t>
      </w:r>
      <w:r w:rsidRPr="009B646D">
        <w:rPr>
          <w:lang w:val="es-PA"/>
        </w:rPr>
        <w:t xml:space="preserve">119.4; </w:t>
      </w:r>
      <w:hyperlink r:id="rId71" w:history="1">
        <w:r w:rsidRPr="00A64748">
          <w:rPr>
            <w:rStyle w:val="Hyperlink"/>
            <w:color w:val="0000FF"/>
            <w:u w:val="none"/>
          </w:rPr>
          <w:t>A/HRC/42/18</w:t>
        </w:r>
      </w:hyperlink>
      <w:r w:rsidRPr="009B646D">
        <w:rPr>
          <w:lang w:val="es-PA"/>
        </w:rPr>
        <w:t xml:space="preserve">, párr. 65 f); </w:t>
      </w:r>
      <w:hyperlink r:id="rId72" w:history="1">
        <w:r w:rsidRPr="00A64748">
          <w:rPr>
            <w:rStyle w:val="Hyperlink"/>
            <w:color w:val="0000FF"/>
            <w:u w:val="none"/>
          </w:rPr>
          <w:t>A/HRC/46/21</w:t>
        </w:r>
      </w:hyperlink>
      <w:r w:rsidRPr="009B646D">
        <w:rPr>
          <w:lang w:val="es-PA"/>
        </w:rPr>
        <w:t xml:space="preserve">, párr. 71 a) y c); y </w:t>
      </w:r>
      <w:hyperlink r:id="rId73" w:history="1">
        <w:r w:rsidRPr="00A64748">
          <w:rPr>
            <w:rStyle w:val="Hyperlink"/>
            <w:color w:val="0000FF"/>
            <w:u w:val="none"/>
          </w:rPr>
          <w:t>A/HRC/49/23</w:t>
        </w:r>
      </w:hyperlink>
      <w:r w:rsidRPr="009B646D">
        <w:rPr>
          <w:lang w:val="es-PA"/>
        </w:rPr>
        <w:t>, párr. 66 a).</w:t>
      </w:r>
    </w:p>
  </w:footnote>
  <w:footnote w:id="82">
    <w:p w14:paraId="7B1729C4" w14:textId="139FB939"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74" w:history="1">
        <w:r w:rsidRPr="00A64748">
          <w:rPr>
            <w:rStyle w:val="Hyperlink"/>
            <w:color w:val="0000FF"/>
            <w:u w:val="none"/>
          </w:rPr>
          <w:t>A/HRC/42/16</w:t>
        </w:r>
      </w:hyperlink>
      <w:r w:rsidRPr="009B646D">
        <w:rPr>
          <w:lang w:val="es-PA"/>
        </w:rPr>
        <w:t xml:space="preserve">, </w:t>
      </w:r>
      <w:proofErr w:type="spellStart"/>
      <w:r w:rsidRPr="009B646D">
        <w:rPr>
          <w:lang w:val="es-PA"/>
        </w:rPr>
        <w:t>párrs</w:t>
      </w:r>
      <w:proofErr w:type="spellEnd"/>
      <w:r w:rsidRPr="009B646D">
        <w:rPr>
          <w:lang w:val="es-PA"/>
        </w:rPr>
        <w:t xml:space="preserve">. 125.66, 125.68 a 125.84, 125.86, 125.108, 125.120, 125.143 y 125.153. </w:t>
      </w:r>
    </w:p>
  </w:footnote>
  <w:footnote w:id="83">
    <w:p w14:paraId="1679F947" w14:textId="0DEA1B0D"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75" w:history="1">
        <w:r w:rsidRPr="00A64748">
          <w:rPr>
            <w:rStyle w:val="Hyperlink"/>
            <w:color w:val="0000FF"/>
            <w:u w:val="none"/>
          </w:rPr>
          <w:t>A/HRC/42/18</w:t>
        </w:r>
      </w:hyperlink>
      <w:r w:rsidRPr="009B646D">
        <w:rPr>
          <w:lang w:val="es-PA"/>
        </w:rPr>
        <w:t xml:space="preserve">, párr. 6. </w:t>
      </w:r>
    </w:p>
  </w:footnote>
  <w:footnote w:id="84">
    <w:p w14:paraId="605CC78C" w14:textId="72ADD2DB" w:rsidR="00FF1B96" w:rsidRPr="00A64748" w:rsidRDefault="00FF1B96">
      <w:pPr>
        <w:pStyle w:val="FootnoteText"/>
        <w:rPr>
          <w:lang w:val="es-ES"/>
        </w:rPr>
      </w:pPr>
      <w:r w:rsidRPr="009B646D">
        <w:rPr>
          <w:lang w:val="es-PA"/>
        </w:rPr>
        <w:tab/>
      </w:r>
      <w:r w:rsidRPr="009B646D">
        <w:rPr>
          <w:rStyle w:val="FootnoteReference"/>
        </w:rPr>
        <w:footnoteRef/>
      </w:r>
      <w:r w:rsidRPr="00A64748">
        <w:rPr>
          <w:lang w:val="es-ES"/>
        </w:rPr>
        <w:tab/>
        <w:t xml:space="preserve">Véase https://presasypresospoliticosnicaragua.org/wp-content/uploads/2022/07/Lista-informe-p%C3%BAblico-de-PP-junio-2022.pdf. </w:t>
      </w:r>
    </w:p>
  </w:footnote>
  <w:footnote w:id="85">
    <w:p w14:paraId="62602CE2" w14:textId="409CAAB2"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76" w:history="1">
        <w:r w:rsidRPr="00A64748">
          <w:rPr>
            <w:rStyle w:val="Hyperlink"/>
            <w:color w:val="0000FF"/>
            <w:u w:val="none"/>
          </w:rPr>
          <w:t>A/HRC/42/18</w:t>
        </w:r>
      </w:hyperlink>
      <w:r w:rsidRPr="009B646D">
        <w:rPr>
          <w:lang w:val="es-PA"/>
        </w:rPr>
        <w:t xml:space="preserve">, párr. 65 d) ii); </w:t>
      </w:r>
      <w:hyperlink r:id="rId77" w:history="1">
        <w:r w:rsidRPr="00A64748">
          <w:rPr>
            <w:rStyle w:val="Hyperlink"/>
            <w:color w:val="0000FF"/>
            <w:u w:val="none"/>
          </w:rPr>
          <w:t>A/HRC/49/23</w:t>
        </w:r>
      </w:hyperlink>
      <w:r w:rsidRPr="009B646D">
        <w:rPr>
          <w:lang w:val="es-PA"/>
        </w:rPr>
        <w:t xml:space="preserve">, párr. </w:t>
      </w:r>
      <w:r w:rsidRPr="009B646D">
        <w:rPr>
          <w:lang w:val="it-IT"/>
        </w:rPr>
        <w:t xml:space="preserve">66 e); </w:t>
      </w:r>
      <w:hyperlink r:id="rId78" w:history="1">
        <w:r w:rsidRPr="00A64748">
          <w:rPr>
            <w:rStyle w:val="Hyperlink"/>
            <w:color w:val="0000FF"/>
            <w:u w:val="none"/>
          </w:rPr>
          <w:t>E/C.12/NIC/CO/5</w:t>
        </w:r>
      </w:hyperlink>
      <w:r w:rsidRPr="009B646D">
        <w:rPr>
          <w:lang w:val="it-IT"/>
        </w:rPr>
        <w:t>, párr. </w:t>
      </w:r>
      <w:r w:rsidRPr="009B646D">
        <w:rPr>
          <w:lang w:val="es-PA"/>
        </w:rPr>
        <w:t xml:space="preserve">7; y </w:t>
      </w:r>
      <w:hyperlink r:id="rId79" w:history="1">
        <w:r w:rsidRPr="00A64748">
          <w:rPr>
            <w:rStyle w:val="Hyperlink"/>
            <w:color w:val="0000FF"/>
            <w:u w:val="none"/>
          </w:rPr>
          <w:t>A/HRC/42/16</w:t>
        </w:r>
      </w:hyperlink>
      <w:r w:rsidRPr="009B646D">
        <w:rPr>
          <w:lang w:val="es-PA"/>
        </w:rPr>
        <w:t xml:space="preserve">, </w:t>
      </w:r>
      <w:proofErr w:type="spellStart"/>
      <w:r w:rsidRPr="009B646D">
        <w:rPr>
          <w:lang w:val="es-PA"/>
        </w:rPr>
        <w:t>párrs</w:t>
      </w:r>
      <w:proofErr w:type="spellEnd"/>
      <w:r w:rsidRPr="009B646D">
        <w:rPr>
          <w:lang w:val="es-PA"/>
        </w:rPr>
        <w:t xml:space="preserve">. 125.39, 125.95, 125.97, 125.100, 125.101 y 125.105. </w:t>
      </w:r>
    </w:p>
  </w:footnote>
  <w:footnote w:id="86">
    <w:p w14:paraId="1EA6D0F1" w14:textId="75736058"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80" w:history="1">
        <w:r w:rsidRPr="00A64748">
          <w:rPr>
            <w:rStyle w:val="Hyperlink"/>
            <w:color w:val="0000FF"/>
            <w:u w:val="none"/>
          </w:rPr>
          <w:t>A/HRC/42/18</w:t>
        </w:r>
      </w:hyperlink>
      <w:r w:rsidRPr="009B646D">
        <w:rPr>
          <w:lang w:val="es-PA"/>
        </w:rPr>
        <w:t xml:space="preserve">, </w:t>
      </w:r>
      <w:proofErr w:type="spellStart"/>
      <w:r w:rsidRPr="009B646D">
        <w:rPr>
          <w:lang w:val="es-PA"/>
        </w:rPr>
        <w:t>párrs</w:t>
      </w:r>
      <w:proofErr w:type="spellEnd"/>
      <w:r w:rsidRPr="009B646D">
        <w:rPr>
          <w:lang w:val="es-PA"/>
        </w:rPr>
        <w:t>. 39 a 47 y 64.</w:t>
      </w:r>
    </w:p>
  </w:footnote>
  <w:footnote w:id="87">
    <w:p w14:paraId="23D1D5C9" w14:textId="410E42BE"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A64748">
        <w:rPr>
          <w:i/>
          <w:iCs/>
          <w:lang w:val="es-ES"/>
        </w:rPr>
        <w:t>Ibid.</w:t>
      </w:r>
      <w:r w:rsidRPr="009B646D">
        <w:rPr>
          <w:lang w:val="es-ES"/>
        </w:rPr>
        <w:t>, párr. 65 e).</w:t>
      </w:r>
    </w:p>
  </w:footnote>
  <w:footnote w:id="88">
    <w:p w14:paraId="440345C7" w14:textId="7F10C9EA"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81" w:history="1">
        <w:r w:rsidRPr="00A64748">
          <w:rPr>
            <w:rStyle w:val="Hyperlink"/>
            <w:color w:val="0000FF"/>
            <w:u w:val="none"/>
          </w:rPr>
          <w:t>A/HRC/42/16</w:t>
        </w:r>
      </w:hyperlink>
      <w:r w:rsidRPr="009B646D">
        <w:rPr>
          <w:lang w:val="es-PA"/>
        </w:rPr>
        <w:t>, párr. 125.59.</w:t>
      </w:r>
    </w:p>
  </w:footnote>
  <w:footnote w:id="89">
    <w:p w14:paraId="4C98CCC1" w14:textId="3B50FDE3"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A64748">
        <w:rPr>
          <w:i/>
          <w:iCs/>
          <w:lang w:val="es-PA"/>
        </w:rPr>
        <w:t>Ibid.</w:t>
      </w:r>
      <w:r w:rsidRPr="009B646D">
        <w:rPr>
          <w:lang w:val="es-PA"/>
        </w:rPr>
        <w:t>, párr. 125.56.</w:t>
      </w:r>
    </w:p>
  </w:footnote>
  <w:footnote w:id="90">
    <w:p w14:paraId="1CF3E806" w14:textId="0F47DA76"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9B646D">
        <w:rPr>
          <w:i/>
          <w:iCs/>
          <w:lang w:val="es-ES"/>
        </w:rPr>
        <w:t>Ibid.</w:t>
      </w:r>
      <w:r w:rsidRPr="009B646D">
        <w:rPr>
          <w:lang w:val="es-PA"/>
        </w:rPr>
        <w:t xml:space="preserve">, párr. 125.65. </w:t>
      </w:r>
    </w:p>
  </w:footnote>
  <w:footnote w:id="91">
    <w:p w14:paraId="5C759A98" w14:textId="29F77B0A"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PA"/>
        </w:rPr>
        <w:tab/>
        <w:t>Véanse las comunicaciones NIC 4/2018, NIC 1/2020 y NIC 3/2021 a NIC 6/2021.</w:t>
      </w:r>
    </w:p>
  </w:footnote>
  <w:footnote w:id="92">
    <w:p w14:paraId="26B8A5CB" w14:textId="77777777"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9B646D">
        <w:rPr>
          <w:lang w:val="es-PA"/>
        </w:rPr>
        <w:t xml:space="preserve">Comunicación del Canciller de 29 de junio de 2022. </w:t>
      </w:r>
    </w:p>
  </w:footnote>
  <w:footnote w:id="93">
    <w:p w14:paraId="14BD17CB" w14:textId="4192501E" w:rsidR="00FF1B96" w:rsidRPr="009B646D" w:rsidRDefault="00FF1B96">
      <w:pPr>
        <w:pStyle w:val="FootnoteText"/>
        <w:rPr>
          <w:lang w:val="es-ES"/>
        </w:rPr>
      </w:pPr>
      <w:r w:rsidRPr="009B646D">
        <w:rPr>
          <w:lang w:val="es-ES"/>
        </w:rPr>
        <w:tab/>
      </w:r>
      <w:r w:rsidRPr="009B646D">
        <w:rPr>
          <w:rStyle w:val="FootnoteReference"/>
        </w:rPr>
        <w:footnoteRef/>
      </w:r>
      <w:r w:rsidRPr="009B646D">
        <w:rPr>
          <w:lang w:val="es-ES"/>
        </w:rPr>
        <w:tab/>
        <w:t xml:space="preserve">Véase </w:t>
      </w:r>
      <w:hyperlink r:id="rId82" w:history="1">
        <w:r w:rsidRPr="00A64748">
          <w:rPr>
            <w:rStyle w:val="Hyperlink"/>
            <w:u w:val="none"/>
            <w:lang w:val="es-ES"/>
          </w:rPr>
          <w:t>https://media.un.org/en/asset/k1o/k1ow6ov3m3</w:t>
        </w:r>
      </w:hyperlink>
      <w:r w:rsidRPr="009B646D">
        <w:rPr>
          <w:lang w:val="es-ES"/>
        </w:rPr>
        <w:t xml:space="preserve"> </w:t>
      </w:r>
      <w:r w:rsidRPr="00A64748">
        <w:rPr>
          <w:lang w:val="es-ES"/>
        </w:rPr>
        <w:t>(en inglés solamente)</w:t>
      </w:r>
      <w:r w:rsidRPr="009B646D">
        <w:rPr>
          <w:lang w:val="es-ES"/>
        </w:rPr>
        <w:t>.</w:t>
      </w:r>
    </w:p>
  </w:footnote>
  <w:footnote w:id="94">
    <w:p w14:paraId="35467F51" w14:textId="5B045550" w:rsidR="00FF1B96" w:rsidRPr="009B646D" w:rsidRDefault="00FF1B96">
      <w:pPr>
        <w:pStyle w:val="FootnoteText"/>
        <w:rPr>
          <w:lang w:val="es-PA"/>
        </w:rPr>
      </w:pPr>
      <w:r w:rsidRPr="009B646D">
        <w:rPr>
          <w:lang w:val="es-ES"/>
        </w:rPr>
        <w:tab/>
      </w:r>
      <w:r w:rsidRPr="009B646D">
        <w:rPr>
          <w:rStyle w:val="FootnoteReference"/>
        </w:rPr>
        <w:footnoteRef/>
      </w:r>
      <w:r w:rsidRPr="00A64748">
        <w:rPr>
          <w:lang w:val="es-AR"/>
        </w:rPr>
        <w:tab/>
      </w:r>
      <w:hyperlink r:id="rId83" w:history="1">
        <w:r w:rsidRPr="00A64748">
          <w:rPr>
            <w:rStyle w:val="Hyperlink"/>
            <w:color w:val="0000FF"/>
            <w:u w:val="none"/>
          </w:rPr>
          <w:t>E/C.12/NIC/CO/5</w:t>
        </w:r>
      </w:hyperlink>
      <w:r w:rsidRPr="00A64748">
        <w:rPr>
          <w:lang w:val="es-AR"/>
        </w:rPr>
        <w:t xml:space="preserve">, párr. </w:t>
      </w:r>
      <w:r w:rsidRPr="009B646D">
        <w:rPr>
          <w:lang w:val="es-PA"/>
        </w:rPr>
        <w:t>16.</w:t>
      </w:r>
    </w:p>
  </w:footnote>
  <w:footnote w:id="95">
    <w:p w14:paraId="6C8F2595" w14:textId="384753BF"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hyperlink r:id="rId84" w:history="1">
        <w:r w:rsidRPr="00A64748">
          <w:rPr>
            <w:rStyle w:val="Hyperlink"/>
            <w:color w:val="0000FF"/>
            <w:u w:val="none"/>
          </w:rPr>
          <w:t>A/HRC/42/16</w:t>
        </w:r>
      </w:hyperlink>
      <w:r w:rsidRPr="009B646D">
        <w:rPr>
          <w:lang w:val="es-PA"/>
        </w:rPr>
        <w:t xml:space="preserve">, </w:t>
      </w:r>
      <w:proofErr w:type="spellStart"/>
      <w:r w:rsidRPr="009B646D">
        <w:rPr>
          <w:lang w:val="es-PA"/>
        </w:rPr>
        <w:t>párrs</w:t>
      </w:r>
      <w:proofErr w:type="spellEnd"/>
      <w:r w:rsidRPr="009B646D">
        <w:rPr>
          <w:lang w:val="es-PA"/>
        </w:rPr>
        <w:t>. 125.181, 125.203, 125.209, 125.211, 125.212 y 125.222.</w:t>
      </w:r>
    </w:p>
  </w:footnote>
  <w:footnote w:id="96">
    <w:p w14:paraId="4AA1B931" w14:textId="75AC3242" w:rsidR="00FF1B96" w:rsidRPr="00A64748" w:rsidRDefault="00FF1B96">
      <w:pPr>
        <w:pStyle w:val="FootnoteText"/>
        <w:rPr>
          <w:lang w:val="es-ES"/>
        </w:rPr>
      </w:pPr>
      <w:r w:rsidRPr="009B646D">
        <w:rPr>
          <w:lang w:val="es-ES"/>
        </w:rPr>
        <w:tab/>
      </w:r>
      <w:r w:rsidRPr="009B646D">
        <w:rPr>
          <w:rStyle w:val="FootnoteReference"/>
        </w:rPr>
        <w:footnoteRef/>
      </w:r>
      <w:r w:rsidRPr="009B646D">
        <w:rPr>
          <w:lang w:val="es-ES"/>
        </w:rPr>
        <w:tab/>
        <w:t>Véase https://www.el19digital.com/articulos/ver/titulo:123683-asamblea-nacional-aprueba-presupuesto-general-de-la-republica-2022.</w:t>
      </w:r>
    </w:p>
  </w:footnote>
  <w:footnote w:id="97">
    <w:p w14:paraId="394A7494" w14:textId="177C7058"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t>El gasto en salud representó en promedio el 12,7 % del gasto público total para América Latina y el 18,1 % para los países de la Organización de Cooperación y Desarrollo Económicos (OCDE) en 2018. En el caso de la educación, el promedio fue del 16,1 % para América Latina y del 12,2 % en los países de la OCDE. Disponible en https://datos.bancomundial.org/</w:t>
      </w:r>
      <w:r w:rsidRPr="009B646D">
        <w:rPr>
          <w:lang w:val="es-PA"/>
        </w:rPr>
        <w:t>.</w:t>
      </w:r>
    </w:p>
  </w:footnote>
  <w:footnote w:id="98">
    <w:p w14:paraId="78671B31" w14:textId="48C28921" w:rsidR="00FF1B96" w:rsidRPr="00A64748" w:rsidRDefault="00FF1B96">
      <w:pPr>
        <w:pStyle w:val="FootnoteText"/>
        <w:rPr>
          <w:lang w:val="es-ES"/>
        </w:rPr>
      </w:pPr>
      <w:r w:rsidRPr="009B646D">
        <w:rPr>
          <w:lang w:val="es-ES"/>
        </w:rPr>
        <w:tab/>
      </w:r>
      <w:r w:rsidRPr="009B646D">
        <w:rPr>
          <w:rStyle w:val="FootnoteReference"/>
        </w:rPr>
        <w:footnoteRef/>
      </w:r>
      <w:r w:rsidRPr="00A64748">
        <w:rPr>
          <w:lang w:val="es-ES"/>
        </w:rPr>
        <w:tab/>
      </w:r>
      <w:hyperlink r:id="rId85" w:history="1">
        <w:r w:rsidRPr="00A64748">
          <w:rPr>
            <w:rStyle w:val="Hyperlink"/>
            <w:color w:val="0000FF"/>
            <w:u w:val="none"/>
          </w:rPr>
          <w:t>E/C.12/NIC/CO/5</w:t>
        </w:r>
      </w:hyperlink>
      <w:r w:rsidRPr="00A64748">
        <w:rPr>
          <w:lang w:val="es-ES"/>
        </w:rPr>
        <w:t>, párr. 14.</w:t>
      </w:r>
    </w:p>
  </w:footnote>
  <w:footnote w:id="99">
    <w:p w14:paraId="268B274E" w14:textId="34A9F463" w:rsidR="00FF1B96" w:rsidRPr="00A64748" w:rsidRDefault="00FF1B96">
      <w:pPr>
        <w:pStyle w:val="FootnoteText"/>
        <w:rPr>
          <w:lang w:val="es-ES"/>
        </w:rPr>
      </w:pPr>
      <w:r w:rsidRPr="00A64748">
        <w:rPr>
          <w:lang w:val="es-ES"/>
        </w:rPr>
        <w:tab/>
      </w:r>
      <w:r w:rsidRPr="009B646D">
        <w:rPr>
          <w:rStyle w:val="FootnoteReference"/>
        </w:rPr>
        <w:footnoteRef/>
      </w:r>
      <w:r w:rsidRPr="00A64748">
        <w:rPr>
          <w:lang w:val="es-ES"/>
        </w:rPr>
        <w:tab/>
      </w:r>
      <w:r w:rsidR="00F73A90" w:rsidRPr="009B646D">
        <w:rPr>
          <w:lang w:val="es-ES"/>
        </w:rPr>
        <w:t>Vé</w:t>
      </w:r>
      <w:r w:rsidR="00F73A90" w:rsidRPr="00A64748">
        <w:rPr>
          <w:lang w:val="es-ES"/>
        </w:rPr>
        <w:t>ase</w:t>
      </w:r>
      <w:hyperlink r:id="rId86" w:history="1">
        <w:r w:rsidR="00F73A90" w:rsidRPr="00A64748">
          <w:rPr>
            <w:rStyle w:val="Hyperlink"/>
            <w:u w:val="none"/>
            <w:lang w:val="es-ES"/>
          </w:rPr>
          <w:t xml:space="preserve"> https://www.transparency.org/en/news/cpi-2021-americas-a-region-in-crisis</w:t>
        </w:r>
      </w:hyperlink>
      <w:r w:rsidR="00F73A90" w:rsidRPr="00A64748">
        <w:rPr>
          <w:lang w:val="es-ES"/>
        </w:rPr>
        <w:t>.</w:t>
      </w:r>
    </w:p>
  </w:footnote>
  <w:footnote w:id="100">
    <w:p w14:paraId="436FA298" w14:textId="771139CD" w:rsidR="00FF1B96" w:rsidRPr="00A64748" w:rsidRDefault="00FF1B96">
      <w:pPr>
        <w:pStyle w:val="FootnoteText"/>
        <w:rPr>
          <w:lang w:val="en-US"/>
        </w:rPr>
      </w:pPr>
      <w:r w:rsidRPr="00A64748">
        <w:rPr>
          <w:lang w:val="es-ES"/>
        </w:rPr>
        <w:tab/>
      </w:r>
      <w:r w:rsidRPr="009B646D">
        <w:rPr>
          <w:rStyle w:val="FootnoteReference"/>
        </w:rPr>
        <w:footnoteRef/>
      </w:r>
      <w:r w:rsidRPr="00A64748">
        <w:rPr>
          <w:lang w:val="en-US"/>
        </w:rPr>
        <w:tab/>
      </w:r>
      <w:r w:rsidRPr="00A64748">
        <w:rPr>
          <w:i/>
          <w:iCs/>
          <w:lang w:val="en-US"/>
        </w:rPr>
        <w:t>Ibid</w:t>
      </w:r>
      <w:r w:rsidRPr="00A64748">
        <w:rPr>
          <w:lang w:val="en-US"/>
        </w:rPr>
        <w:t xml:space="preserve">. </w:t>
      </w:r>
    </w:p>
  </w:footnote>
  <w:footnote w:id="101">
    <w:p w14:paraId="2CBD7118" w14:textId="73AF4D41" w:rsidR="00FF1B96" w:rsidRPr="00A64748" w:rsidRDefault="00FF1B96">
      <w:pPr>
        <w:pStyle w:val="FootnoteText"/>
        <w:rPr>
          <w:lang w:val="en-US"/>
        </w:rPr>
      </w:pPr>
      <w:r w:rsidRPr="00A64748">
        <w:rPr>
          <w:lang w:val="en-US"/>
        </w:rPr>
        <w:tab/>
      </w:r>
      <w:r w:rsidRPr="009B646D">
        <w:rPr>
          <w:rStyle w:val="FootnoteReference"/>
        </w:rPr>
        <w:footnoteRef/>
      </w:r>
      <w:r w:rsidRPr="00A64748">
        <w:rPr>
          <w:lang w:val="en-US"/>
        </w:rPr>
        <w:tab/>
      </w:r>
      <w:hyperlink r:id="rId87" w:history="1">
        <w:r w:rsidRPr="00A64748">
          <w:rPr>
            <w:rStyle w:val="Hyperlink"/>
            <w:color w:val="0000FF"/>
            <w:u w:val="none"/>
          </w:rPr>
          <w:t>E/C.12/NIC/CO/5</w:t>
        </w:r>
      </w:hyperlink>
      <w:r w:rsidRPr="00A64748">
        <w:rPr>
          <w:lang w:val="en-US"/>
        </w:rPr>
        <w:t xml:space="preserve">, </w:t>
      </w:r>
      <w:proofErr w:type="spellStart"/>
      <w:r w:rsidRPr="00A64748">
        <w:rPr>
          <w:lang w:val="en-US"/>
        </w:rPr>
        <w:t>párr</w:t>
      </w:r>
      <w:proofErr w:type="spellEnd"/>
      <w:r w:rsidRPr="00A64748">
        <w:rPr>
          <w:lang w:val="en-US"/>
        </w:rPr>
        <w:t>. 18.</w:t>
      </w:r>
    </w:p>
  </w:footnote>
  <w:footnote w:id="102">
    <w:p w14:paraId="7AA87151" w14:textId="580692C5" w:rsidR="00FF1B96" w:rsidRPr="009B646D" w:rsidRDefault="00FF1B96">
      <w:pPr>
        <w:pStyle w:val="FootnoteText"/>
      </w:pPr>
      <w:r w:rsidRPr="00A64748">
        <w:rPr>
          <w:lang w:val="en-US"/>
        </w:rPr>
        <w:tab/>
      </w:r>
      <w:r w:rsidRPr="009B646D">
        <w:rPr>
          <w:rStyle w:val="FootnoteReference"/>
        </w:rPr>
        <w:footnoteRef/>
      </w:r>
      <w:r w:rsidRPr="00A64748">
        <w:rPr>
          <w:lang w:val="en-US"/>
        </w:rPr>
        <w:tab/>
      </w:r>
      <w:hyperlink r:id="rId88" w:history="1">
        <w:r w:rsidRPr="00A64748">
          <w:rPr>
            <w:rStyle w:val="Hyperlink"/>
            <w:color w:val="0000FF"/>
            <w:u w:val="none"/>
          </w:rPr>
          <w:t>A/HRC/49/23</w:t>
        </w:r>
      </w:hyperlink>
      <w:r w:rsidRPr="00A64748">
        <w:rPr>
          <w:lang w:val="en-US"/>
        </w:rPr>
        <w:t xml:space="preserve">, </w:t>
      </w:r>
      <w:proofErr w:type="spellStart"/>
      <w:r w:rsidRPr="00A64748">
        <w:rPr>
          <w:lang w:val="en-US"/>
        </w:rPr>
        <w:t>párr</w:t>
      </w:r>
      <w:proofErr w:type="spellEnd"/>
      <w:r w:rsidRPr="00A64748">
        <w:rPr>
          <w:lang w:val="en-US"/>
        </w:rPr>
        <w:t xml:space="preserve">. </w:t>
      </w:r>
      <w:r w:rsidRPr="009B646D">
        <w:t xml:space="preserve">66 h); </w:t>
      </w:r>
      <w:r w:rsidRPr="00A64748">
        <w:rPr>
          <w:lang w:val="en-US"/>
        </w:rPr>
        <w:t xml:space="preserve">y </w:t>
      </w:r>
      <w:hyperlink r:id="rId89" w:history="1">
        <w:r w:rsidRPr="00A64748">
          <w:rPr>
            <w:rStyle w:val="Hyperlink"/>
            <w:color w:val="0000FF"/>
            <w:u w:val="none"/>
          </w:rPr>
          <w:t>E/C.12/NIC/CO/5</w:t>
        </w:r>
      </w:hyperlink>
      <w:r w:rsidRPr="009B646D">
        <w:t>, p</w:t>
      </w:r>
      <w:proofErr w:type="spellStart"/>
      <w:r w:rsidRPr="00A64748">
        <w:rPr>
          <w:lang w:val="en-US"/>
        </w:rPr>
        <w:t>árr</w:t>
      </w:r>
      <w:proofErr w:type="spellEnd"/>
      <w:r w:rsidRPr="009B646D">
        <w:t>. 10.</w:t>
      </w:r>
    </w:p>
  </w:footnote>
  <w:footnote w:id="103">
    <w:p w14:paraId="2B103B32" w14:textId="0C082D66" w:rsidR="00FF1B96" w:rsidRPr="00A64748" w:rsidRDefault="00FF1B96">
      <w:pPr>
        <w:pStyle w:val="FootnoteText"/>
        <w:rPr>
          <w:lang w:val="en-US"/>
        </w:rPr>
      </w:pPr>
      <w:r w:rsidRPr="009B646D">
        <w:tab/>
      </w:r>
      <w:r w:rsidRPr="009B646D">
        <w:rPr>
          <w:rStyle w:val="FootnoteReference"/>
        </w:rPr>
        <w:footnoteRef/>
      </w:r>
      <w:r w:rsidRPr="009B646D">
        <w:tab/>
      </w:r>
      <w:hyperlink r:id="rId90" w:history="1">
        <w:r w:rsidRPr="00A64748">
          <w:rPr>
            <w:rStyle w:val="Hyperlink"/>
            <w:color w:val="0000FF"/>
            <w:u w:val="none"/>
          </w:rPr>
          <w:t>E/C.12/NIC/CO/5</w:t>
        </w:r>
      </w:hyperlink>
      <w:r w:rsidRPr="009B646D">
        <w:t xml:space="preserve">, </w:t>
      </w:r>
      <w:proofErr w:type="spellStart"/>
      <w:r w:rsidRPr="00A64748">
        <w:rPr>
          <w:lang w:val="en-US"/>
        </w:rPr>
        <w:t>párr</w:t>
      </w:r>
      <w:proofErr w:type="spellEnd"/>
      <w:r w:rsidRPr="009B646D">
        <w:t xml:space="preserve">. </w:t>
      </w:r>
      <w:r w:rsidRPr="00A64748">
        <w:rPr>
          <w:lang w:val="en-US"/>
        </w:rPr>
        <w:t>49.</w:t>
      </w:r>
    </w:p>
  </w:footnote>
  <w:footnote w:id="104">
    <w:p w14:paraId="4358EADE" w14:textId="6936FACC" w:rsidR="00FF1B96" w:rsidRPr="00A64748" w:rsidRDefault="00FF1B96">
      <w:pPr>
        <w:pStyle w:val="FootnoteText"/>
        <w:rPr>
          <w:lang w:val="en-US"/>
        </w:rPr>
      </w:pPr>
      <w:r w:rsidRPr="00A64748">
        <w:rPr>
          <w:lang w:val="en-US"/>
        </w:rPr>
        <w:tab/>
      </w:r>
      <w:r w:rsidRPr="009B646D">
        <w:rPr>
          <w:rStyle w:val="FootnoteReference"/>
        </w:rPr>
        <w:footnoteRef/>
      </w:r>
      <w:r w:rsidRPr="00A64748">
        <w:rPr>
          <w:lang w:val="en-US"/>
        </w:rPr>
        <w:tab/>
      </w:r>
      <w:hyperlink r:id="rId91" w:history="1">
        <w:r w:rsidRPr="00A64748">
          <w:rPr>
            <w:rStyle w:val="Hyperlink"/>
            <w:color w:val="0000FF"/>
            <w:u w:val="none"/>
          </w:rPr>
          <w:t>E/C.12/NIC/CO/5</w:t>
        </w:r>
      </w:hyperlink>
      <w:r w:rsidRPr="00A64748">
        <w:rPr>
          <w:lang w:val="en-US"/>
        </w:rPr>
        <w:t>, p</w:t>
      </w:r>
      <w:proofErr w:type="spellStart"/>
      <w:r w:rsidRPr="009B646D">
        <w:t>árr</w:t>
      </w:r>
      <w:proofErr w:type="spellEnd"/>
      <w:r w:rsidRPr="00A64748">
        <w:rPr>
          <w:lang w:val="en-US"/>
        </w:rPr>
        <w:t>. 20.</w:t>
      </w:r>
    </w:p>
  </w:footnote>
  <w:footnote w:id="105">
    <w:p w14:paraId="45372356" w14:textId="1E184A07" w:rsidR="00FF1B96" w:rsidRPr="00A64748" w:rsidRDefault="00FF1B96">
      <w:pPr>
        <w:pStyle w:val="FootnoteText"/>
        <w:rPr>
          <w:lang w:val="es-ES"/>
        </w:rPr>
      </w:pPr>
      <w:r w:rsidRPr="00A64748">
        <w:rPr>
          <w:lang w:val="en-US"/>
        </w:rPr>
        <w:tab/>
      </w:r>
      <w:r w:rsidRPr="009B646D">
        <w:rPr>
          <w:rStyle w:val="FootnoteReference"/>
        </w:rPr>
        <w:footnoteRef/>
      </w:r>
      <w:r w:rsidRPr="00A64748">
        <w:rPr>
          <w:lang w:val="es-ES"/>
        </w:rPr>
        <w:tab/>
      </w:r>
      <w:bookmarkStart w:id="2" w:name="_Hlk106305728"/>
      <w:r w:rsidRPr="00A64748">
        <w:rPr>
          <w:lang w:val="es-ES"/>
        </w:rPr>
        <w:t xml:space="preserve">Véase </w:t>
      </w:r>
      <w:hyperlink r:id="rId92" w:history="1">
        <w:r w:rsidRPr="00A64748">
          <w:rPr>
            <w:rStyle w:val="Hyperlink"/>
            <w:u w:val="none"/>
            <w:lang w:val="es-ES"/>
          </w:rPr>
          <w:t>https://ods9.org/resource/273/informe-nacional-voluntario-2021-de-nicaragua</w:t>
        </w:r>
      </w:hyperlink>
      <w:r w:rsidRPr="00A64748">
        <w:rPr>
          <w:lang w:val="es-ES"/>
        </w:rPr>
        <w:t>, pág. 59</w:t>
      </w:r>
      <w:bookmarkEnd w:id="2"/>
      <w:r w:rsidRPr="00A64748">
        <w:rPr>
          <w:lang w:val="es-ES"/>
        </w:rPr>
        <w:t>.</w:t>
      </w:r>
    </w:p>
  </w:footnote>
  <w:footnote w:id="106">
    <w:p w14:paraId="6F53682A" w14:textId="7E3FA2BD" w:rsidR="00FF1B96" w:rsidRPr="009B646D" w:rsidRDefault="00FF1B96">
      <w:pPr>
        <w:pStyle w:val="FootnoteText"/>
        <w:rPr>
          <w:lang w:val="es-PA"/>
        </w:rPr>
      </w:pPr>
      <w:r w:rsidRPr="00A64748">
        <w:rPr>
          <w:lang w:val="es-ES"/>
        </w:rPr>
        <w:tab/>
      </w:r>
      <w:r w:rsidRPr="009B646D">
        <w:rPr>
          <w:rStyle w:val="FootnoteReference"/>
        </w:rPr>
        <w:footnoteRef/>
      </w:r>
      <w:r w:rsidRPr="009B646D">
        <w:rPr>
          <w:lang w:val="es-ES"/>
        </w:rPr>
        <w:tab/>
      </w:r>
      <w:hyperlink r:id="rId93" w:history="1">
        <w:r w:rsidRPr="00A64748">
          <w:rPr>
            <w:rStyle w:val="Hyperlink"/>
            <w:color w:val="0000FF"/>
            <w:u w:val="none"/>
          </w:rPr>
          <w:t>A/HRC/42/16</w:t>
        </w:r>
      </w:hyperlink>
      <w:r w:rsidRPr="009B646D">
        <w:rPr>
          <w:lang w:val="es-PA"/>
        </w:rPr>
        <w:t xml:space="preserve">, </w:t>
      </w:r>
      <w:proofErr w:type="spellStart"/>
      <w:r w:rsidRPr="009B646D">
        <w:rPr>
          <w:lang w:val="es-PA"/>
        </w:rPr>
        <w:t>párrs</w:t>
      </w:r>
      <w:proofErr w:type="spellEnd"/>
      <w:r w:rsidRPr="009B646D">
        <w:rPr>
          <w:lang w:val="es-ES"/>
        </w:rPr>
        <w:t xml:space="preserve">. </w:t>
      </w:r>
      <w:r w:rsidRPr="009B646D">
        <w:rPr>
          <w:lang w:val="es-PA"/>
        </w:rPr>
        <w:t>125.178 y 125.186.</w:t>
      </w:r>
    </w:p>
  </w:footnote>
  <w:footnote w:id="107">
    <w:p w14:paraId="6DD00FDC" w14:textId="53613486" w:rsidR="00FF1B96" w:rsidRPr="00A64748" w:rsidRDefault="00FF1B96">
      <w:pPr>
        <w:pStyle w:val="FootnoteText"/>
        <w:rPr>
          <w:lang w:val="en-US"/>
        </w:rPr>
      </w:pPr>
      <w:r w:rsidRPr="009B646D">
        <w:rPr>
          <w:lang w:val="es-ES"/>
        </w:rPr>
        <w:tab/>
      </w:r>
      <w:r w:rsidRPr="009B646D">
        <w:rPr>
          <w:rStyle w:val="FootnoteReference"/>
        </w:rPr>
        <w:footnoteRef/>
      </w:r>
      <w:r w:rsidRPr="00A64748">
        <w:rPr>
          <w:lang w:val="es-ES"/>
        </w:rPr>
        <w:tab/>
        <w:t xml:space="preserve">Véase https://ods9.org/resource/273/informe-nacional-voluntario-2021-de-nicaragua, págs. </w:t>
      </w:r>
      <w:r w:rsidRPr="00A64748">
        <w:rPr>
          <w:lang w:val="en-US"/>
        </w:rPr>
        <w:t xml:space="preserve">40 a 42. </w:t>
      </w:r>
    </w:p>
  </w:footnote>
  <w:footnote w:id="108">
    <w:p w14:paraId="61FD6DD2" w14:textId="463F8F60" w:rsidR="00FF1B96" w:rsidRPr="009B646D" w:rsidRDefault="00FF1B96">
      <w:pPr>
        <w:pStyle w:val="FootnoteText"/>
        <w:rPr>
          <w:lang w:val="es-ES"/>
        </w:rPr>
      </w:pPr>
      <w:r w:rsidRPr="00A64748">
        <w:rPr>
          <w:lang w:val="en-US"/>
        </w:rPr>
        <w:tab/>
      </w:r>
      <w:r w:rsidRPr="009B646D">
        <w:rPr>
          <w:rStyle w:val="FootnoteReference"/>
        </w:rPr>
        <w:footnoteRef/>
      </w:r>
      <w:r w:rsidRPr="00A64748">
        <w:rPr>
          <w:lang w:val="en-US"/>
        </w:rPr>
        <w:tab/>
      </w:r>
      <w:hyperlink r:id="rId94" w:history="1">
        <w:r w:rsidRPr="00A64748">
          <w:rPr>
            <w:rStyle w:val="Hyperlink"/>
            <w:color w:val="0000FF"/>
            <w:u w:val="none"/>
          </w:rPr>
          <w:t>A/HRC/49/23</w:t>
        </w:r>
      </w:hyperlink>
      <w:r w:rsidRPr="00A64748">
        <w:rPr>
          <w:lang w:val="en-US"/>
        </w:rPr>
        <w:t xml:space="preserve">, </w:t>
      </w:r>
      <w:proofErr w:type="spellStart"/>
      <w:r w:rsidRPr="00A64748">
        <w:rPr>
          <w:lang w:val="en-US"/>
        </w:rPr>
        <w:t>párr</w:t>
      </w:r>
      <w:proofErr w:type="spellEnd"/>
      <w:r w:rsidRPr="00A64748">
        <w:rPr>
          <w:lang w:val="en-US"/>
        </w:rPr>
        <w:t xml:space="preserve">. 66 j); </w:t>
      </w:r>
      <w:hyperlink r:id="rId95" w:history="1">
        <w:r w:rsidRPr="00A64748">
          <w:rPr>
            <w:rStyle w:val="Hyperlink"/>
            <w:color w:val="0000FF"/>
            <w:u w:val="none"/>
          </w:rPr>
          <w:t>E/C.12/NIC/CO/5</w:t>
        </w:r>
      </w:hyperlink>
      <w:r w:rsidRPr="00A64748">
        <w:rPr>
          <w:lang w:val="en-US"/>
        </w:rPr>
        <w:t xml:space="preserve">, </w:t>
      </w:r>
      <w:proofErr w:type="spellStart"/>
      <w:r w:rsidRPr="00A64748">
        <w:rPr>
          <w:lang w:val="en-US"/>
        </w:rPr>
        <w:t>párr</w:t>
      </w:r>
      <w:proofErr w:type="spellEnd"/>
      <w:r w:rsidRPr="00A64748">
        <w:rPr>
          <w:lang w:val="en-US"/>
        </w:rPr>
        <w:t xml:space="preserve">. </w:t>
      </w:r>
      <w:r w:rsidRPr="009B646D">
        <w:rPr>
          <w:lang w:val="es-PA"/>
        </w:rPr>
        <w:t xml:space="preserve">45; y </w:t>
      </w:r>
      <w:hyperlink r:id="rId96" w:history="1">
        <w:r w:rsidRPr="00A64748">
          <w:rPr>
            <w:rStyle w:val="Hyperlink"/>
            <w:color w:val="0000FF"/>
            <w:u w:val="none"/>
          </w:rPr>
          <w:t>A/HRC/42/16</w:t>
        </w:r>
      </w:hyperlink>
      <w:r w:rsidRPr="009B646D">
        <w:rPr>
          <w:lang w:val="es-PA"/>
        </w:rPr>
        <w:t xml:space="preserve">, </w:t>
      </w:r>
      <w:proofErr w:type="spellStart"/>
      <w:r w:rsidRPr="009B646D">
        <w:rPr>
          <w:lang w:val="es-PA"/>
        </w:rPr>
        <w:t>párrs</w:t>
      </w:r>
      <w:proofErr w:type="spellEnd"/>
      <w:r w:rsidRPr="009B646D">
        <w:rPr>
          <w:lang w:val="es-PA"/>
        </w:rPr>
        <w:t>. 125.</w:t>
      </w:r>
      <w:r w:rsidRPr="009B646D">
        <w:rPr>
          <w:lang w:val="es-ES"/>
        </w:rPr>
        <w:t>217 y 125.220.</w:t>
      </w:r>
    </w:p>
  </w:footnote>
  <w:footnote w:id="109">
    <w:p w14:paraId="526AF7B7" w14:textId="231DD791" w:rsidR="00FF1B96" w:rsidRPr="00A64748" w:rsidRDefault="00FF1B96">
      <w:pPr>
        <w:pStyle w:val="FootnoteText"/>
      </w:pPr>
      <w:r w:rsidRPr="009B646D">
        <w:rPr>
          <w:lang w:val="es-AR"/>
        </w:rPr>
        <w:tab/>
      </w:r>
      <w:r w:rsidRPr="009B646D">
        <w:rPr>
          <w:rStyle w:val="FootnoteReference"/>
        </w:rPr>
        <w:footnoteRef/>
      </w:r>
      <w:r w:rsidRPr="00A64748">
        <w:tab/>
      </w:r>
      <w:proofErr w:type="spellStart"/>
      <w:r w:rsidRPr="00A64748">
        <w:t>Véase</w:t>
      </w:r>
      <w:proofErr w:type="spellEnd"/>
      <w:r w:rsidRPr="00A64748">
        <w:t xml:space="preserve"> </w:t>
      </w:r>
      <w:hyperlink r:id="rId97" w:history="1">
        <w:r w:rsidRPr="00A64748">
          <w:rPr>
            <w:rStyle w:val="Hyperlink"/>
            <w:u w:val="none"/>
          </w:rPr>
          <w:t>https://www.el19digital.com/articulos/ver/titulo:116982-companera-rosario-murillo-en-multinoticias-09-06-21</w:t>
        </w:r>
      </w:hyperlink>
      <w:r w:rsidRPr="00A64748">
        <w:t>.</w:t>
      </w:r>
    </w:p>
  </w:footnote>
  <w:footnote w:id="110">
    <w:p w14:paraId="6CAE0CEE" w14:textId="35A874ED" w:rsidR="00FF1B96" w:rsidRPr="009B646D" w:rsidRDefault="00FF1B96">
      <w:pPr>
        <w:pStyle w:val="FootnoteText"/>
        <w:rPr>
          <w:lang w:val="es-PA"/>
        </w:rPr>
      </w:pPr>
      <w:r w:rsidRPr="00A64748">
        <w:tab/>
      </w:r>
      <w:r w:rsidRPr="009B646D">
        <w:rPr>
          <w:rStyle w:val="FootnoteReference"/>
        </w:rPr>
        <w:footnoteRef/>
      </w:r>
      <w:r w:rsidRPr="009B646D">
        <w:rPr>
          <w:lang w:val="es-AR"/>
        </w:rPr>
        <w:tab/>
      </w:r>
      <w:hyperlink r:id="rId98" w:history="1">
        <w:r w:rsidRPr="00A64748">
          <w:rPr>
            <w:rStyle w:val="Hyperlink"/>
            <w:color w:val="0000FF"/>
            <w:u w:val="none"/>
          </w:rPr>
          <w:t>A/HRC/42/16</w:t>
        </w:r>
      </w:hyperlink>
      <w:r w:rsidRPr="009B646D">
        <w:rPr>
          <w:lang w:val="es-PA"/>
        </w:rPr>
        <w:t xml:space="preserve">, </w:t>
      </w:r>
      <w:proofErr w:type="spellStart"/>
      <w:r w:rsidRPr="009B646D">
        <w:rPr>
          <w:lang w:val="es-PA"/>
        </w:rPr>
        <w:t>párrs</w:t>
      </w:r>
      <w:proofErr w:type="spellEnd"/>
      <w:r w:rsidRPr="009B646D">
        <w:rPr>
          <w:lang w:val="es-PA"/>
        </w:rPr>
        <w:t>. 125.</w:t>
      </w:r>
      <w:r w:rsidRPr="009B646D">
        <w:rPr>
          <w:lang w:val="es-ES"/>
        </w:rPr>
        <w:t xml:space="preserve">185 y 125. 238; </w:t>
      </w:r>
      <w:hyperlink r:id="rId99" w:history="1">
        <w:r w:rsidRPr="00A64748">
          <w:rPr>
            <w:rStyle w:val="Hyperlink"/>
            <w:color w:val="0000FF"/>
            <w:u w:val="none"/>
          </w:rPr>
          <w:t>E/C.12/NIC/CO/5</w:t>
        </w:r>
      </w:hyperlink>
      <w:r w:rsidRPr="009B646D">
        <w:rPr>
          <w:lang w:val="es-PA"/>
        </w:rPr>
        <w:t xml:space="preserve">, </w:t>
      </w:r>
      <w:proofErr w:type="spellStart"/>
      <w:r w:rsidRPr="009B646D">
        <w:rPr>
          <w:lang w:val="es-PA"/>
        </w:rPr>
        <w:t>párrs</w:t>
      </w:r>
      <w:proofErr w:type="spellEnd"/>
      <w:r w:rsidRPr="009B646D">
        <w:rPr>
          <w:lang w:val="es-PA"/>
        </w:rPr>
        <w:t xml:space="preserve">. 20 y 26. </w:t>
      </w:r>
    </w:p>
  </w:footnote>
  <w:footnote w:id="111">
    <w:p w14:paraId="6C33046A" w14:textId="30C930CC" w:rsidR="00FF1B96" w:rsidRPr="00A64748" w:rsidRDefault="00FF1B96">
      <w:pPr>
        <w:pStyle w:val="FootnoteText"/>
        <w:rPr>
          <w:lang w:val="es-ES"/>
        </w:rPr>
      </w:pPr>
      <w:r w:rsidRPr="009B646D">
        <w:rPr>
          <w:lang w:val="es-PA"/>
        </w:rPr>
        <w:tab/>
      </w:r>
      <w:r w:rsidRPr="009B646D">
        <w:rPr>
          <w:rStyle w:val="FootnoteReference"/>
        </w:rPr>
        <w:footnoteRef/>
      </w:r>
      <w:r w:rsidRPr="00A64748">
        <w:rPr>
          <w:lang w:val="es-ES"/>
        </w:rPr>
        <w:tab/>
        <w:t xml:space="preserve">Véase </w:t>
      </w:r>
      <w:hyperlink r:id="rId100" w:history="1">
        <w:r w:rsidRPr="00A64748">
          <w:rPr>
            <w:rStyle w:val="Hyperlink"/>
            <w:u w:val="none"/>
            <w:lang w:val="es-ES"/>
          </w:rPr>
          <w:t>https://www3.weforum.org/docs/WEF_GGGR_2021.pdf</w:t>
        </w:r>
      </w:hyperlink>
      <w:r w:rsidR="00F73A90" w:rsidRPr="00A64748">
        <w:rPr>
          <w:lang w:val="es-ES"/>
        </w:rPr>
        <w:t xml:space="preserve"> (en inglés sola</w:t>
      </w:r>
      <w:r w:rsidR="00F73A90" w:rsidRPr="009B646D">
        <w:rPr>
          <w:lang w:val="es-ES"/>
        </w:rPr>
        <w:t>mente).</w:t>
      </w:r>
    </w:p>
  </w:footnote>
  <w:footnote w:id="112">
    <w:p w14:paraId="7C3D3D62" w14:textId="116DF465" w:rsidR="00FF1B96" w:rsidRPr="00A64748" w:rsidRDefault="00FF1B96">
      <w:pPr>
        <w:pStyle w:val="FootnoteText"/>
        <w:rPr>
          <w:lang w:val="es-PA"/>
        </w:rPr>
      </w:pPr>
      <w:r w:rsidRPr="00A64748">
        <w:rPr>
          <w:lang w:val="es-ES"/>
        </w:rPr>
        <w:tab/>
      </w:r>
      <w:r w:rsidRPr="009B646D">
        <w:rPr>
          <w:rStyle w:val="FootnoteReference"/>
        </w:rPr>
        <w:footnoteRef/>
      </w:r>
      <w:r w:rsidRPr="00A64748">
        <w:rPr>
          <w:lang w:val="es-PA"/>
        </w:rPr>
        <w:tab/>
      </w:r>
      <w:r w:rsidRPr="009B646D">
        <w:rPr>
          <w:lang w:val="es-PA"/>
        </w:rPr>
        <w:t>Véase</w:t>
      </w:r>
      <w:r w:rsidRPr="00A64748">
        <w:rPr>
          <w:lang w:val="es-PA"/>
        </w:rPr>
        <w:t xml:space="preserve"> </w:t>
      </w:r>
      <w:hyperlink r:id="rId101" w:history="1">
        <w:r w:rsidRPr="00A64748">
          <w:rPr>
            <w:rStyle w:val="Hyperlink"/>
            <w:u w:val="none"/>
            <w:lang w:val="es-PA"/>
          </w:rPr>
          <w:t>https://oig.cepal.org/es/indicadores</w:t>
        </w:r>
      </w:hyperlink>
      <w:r w:rsidRPr="00A64748">
        <w:rPr>
          <w:lang w:val="es-PA"/>
        </w:rPr>
        <w:t xml:space="preserve">. </w:t>
      </w:r>
    </w:p>
  </w:footnote>
  <w:footnote w:id="113">
    <w:p w14:paraId="5468C193" w14:textId="148BABA1" w:rsidR="00FF1B96" w:rsidRPr="009B646D" w:rsidRDefault="00FF1B96">
      <w:pPr>
        <w:pStyle w:val="FootnoteText"/>
        <w:rPr>
          <w:lang w:val="es-PA"/>
        </w:rPr>
      </w:pPr>
      <w:r w:rsidRPr="00A64748">
        <w:rPr>
          <w:lang w:val="es-PA"/>
        </w:rPr>
        <w:tab/>
      </w:r>
      <w:r w:rsidRPr="009B646D">
        <w:rPr>
          <w:rStyle w:val="FootnoteReference"/>
        </w:rPr>
        <w:footnoteRef/>
      </w:r>
      <w:r w:rsidRPr="009B646D">
        <w:rPr>
          <w:lang w:val="es-AR"/>
        </w:rPr>
        <w:tab/>
      </w:r>
      <w:hyperlink r:id="rId102" w:history="1">
        <w:r w:rsidRPr="00A64748">
          <w:rPr>
            <w:rStyle w:val="Hyperlink"/>
            <w:color w:val="0000FF"/>
            <w:u w:val="none"/>
          </w:rPr>
          <w:t>A/HRC/49/23</w:t>
        </w:r>
      </w:hyperlink>
      <w:r w:rsidRPr="009B646D">
        <w:rPr>
          <w:lang w:val="es-ES"/>
        </w:rPr>
        <w:t>, párr. 36.</w:t>
      </w:r>
    </w:p>
  </w:footnote>
  <w:footnote w:id="114">
    <w:p w14:paraId="51D710AC" w14:textId="36DE4685" w:rsidR="00FF1B96" w:rsidRPr="009B646D" w:rsidRDefault="00FF1B96">
      <w:pPr>
        <w:pStyle w:val="FootnoteText"/>
        <w:rPr>
          <w:lang w:val="es-PA"/>
        </w:rPr>
      </w:pPr>
      <w:r w:rsidRPr="009B646D">
        <w:rPr>
          <w:lang w:val="es-AR"/>
        </w:rPr>
        <w:tab/>
      </w:r>
      <w:r w:rsidRPr="009B646D">
        <w:rPr>
          <w:rStyle w:val="FootnoteReference"/>
        </w:rPr>
        <w:footnoteRef/>
      </w:r>
      <w:r w:rsidRPr="009B646D">
        <w:rPr>
          <w:lang w:val="es-AR"/>
        </w:rPr>
        <w:tab/>
      </w:r>
      <w:hyperlink r:id="rId103" w:history="1">
        <w:r w:rsidRPr="00A64748">
          <w:rPr>
            <w:rStyle w:val="Hyperlink"/>
            <w:color w:val="0000FF"/>
            <w:u w:val="none"/>
          </w:rPr>
          <w:t>A/HRC/42/16</w:t>
        </w:r>
      </w:hyperlink>
      <w:r w:rsidRPr="009B646D">
        <w:rPr>
          <w:lang w:val="es-PA"/>
        </w:rPr>
        <w:t xml:space="preserve">, </w:t>
      </w:r>
      <w:proofErr w:type="spellStart"/>
      <w:r w:rsidRPr="009B646D">
        <w:rPr>
          <w:lang w:val="es-PA"/>
        </w:rPr>
        <w:t>párrs</w:t>
      </w:r>
      <w:proofErr w:type="spellEnd"/>
      <w:r w:rsidRPr="009B646D">
        <w:rPr>
          <w:lang w:val="es-PA"/>
        </w:rPr>
        <w:t xml:space="preserve">. </w:t>
      </w:r>
      <w:r w:rsidRPr="009B646D">
        <w:rPr>
          <w:lang w:val="es-ES"/>
        </w:rPr>
        <w:t>125.236, 125.237, 125.241 y 125.244. Todas ellas aceptadas por el Gobierno.</w:t>
      </w:r>
    </w:p>
  </w:footnote>
  <w:footnote w:id="115">
    <w:p w14:paraId="42A78262" w14:textId="73244FE8" w:rsidR="00FF1B96" w:rsidRPr="009B646D" w:rsidRDefault="00FF1B96">
      <w:pPr>
        <w:pStyle w:val="FootnoteText"/>
        <w:rPr>
          <w:lang w:val="es-PA"/>
        </w:rPr>
      </w:pPr>
      <w:r w:rsidRPr="009B646D">
        <w:rPr>
          <w:lang w:val="es-AR"/>
        </w:rPr>
        <w:tab/>
      </w:r>
      <w:r w:rsidRPr="009B646D">
        <w:rPr>
          <w:rStyle w:val="FootnoteReference"/>
        </w:rPr>
        <w:footnoteRef/>
      </w:r>
      <w:r w:rsidRPr="009B646D">
        <w:rPr>
          <w:lang w:val="es-AR"/>
        </w:rPr>
        <w:tab/>
      </w:r>
      <w:hyperlink r:id="rId104" w:history="1">
        <w:r w:rsidRPr="00A64748">
          <w:rPr>
            <w:rStyle w:val="Hyperlink"/>
            <w:color w:val="0000FF"/>
            <w:u w:val="none"/>
          </w:rPr>
          <w:t>A/HRC/46/21</w:t>
        </w:r>
      </w:hyperlink>
      <w:r w:rsidRPr="009B646D">
        <w:rPr>
          <w:lang w:val="es-ES"/>
        </w:rPr>
        <w:t xml:space="preserve">, </w:t>
      </w:r>
      <w:proofErr w:type="spellStart"/>
      <w:r w:rsidRPr="009B646D">
        <w:rPr>
          <w:lang w:val="es-ES"/>
        </w:rPr>
        <w:t>párrs</w:t>
      </w:r>
      <w:proofErr w:type="spellEnd"/>
      <w:r w:rsidRPr="009B646D">
        <w:rPr>
          <w:lang w:val="es-ES"/>
        </w:rPr>
        <w:t>. 34 y 35.</w:t>
      </w:r>
    </w:p>
  </w:footnote>
  <w:footnote w:id="116">
    <w:p w14:paraId="2F41B2A8" w14:textId="6DF30923" w:rsidR="00FF1B96" w:rsidRPr="00A64748" w:rsidRDefault="00FF1B96">
      <w:pPr>
        <w:pStyle w:val="FootnoteText"/>
        <w:rPr>
          <w:lang w:val="es-ES"/>
        </w:rPr>
      </w:pPr>
      <w:r w:rsidRPr="009B646D">
        <w:rPr>
          <w:lang w:val="es-AR"/>
        </w:rPr>
        <w:tab/>
      </w:r>
      <w:r w:rsidRPr="009B646D">
        <w:rPr>
          <w:rStyle w:val="FootnoteReference"/>
        </w:rPr>
        <w:footnoteRef/>
      </w:r>
      <w:r w:rsidRPr="00A64748">
        <w:rPr>
          <w:lang w:val="es-ES"/>
        </w:rPr>
        <w:tab/>
        <w:t xml:space="preserve">Véase </w:t>
      </w:r>
      <w:hyperlink r:id="rId105" w:history="1">
        <w:r w:rsidRPr="00A64748">
          <w:rPr>
            <w:rStyle w:val="Hyperlink"/>
            <w:u w:val="none"/>
            <w:lang w:val="es-ES"/>
          </w:rPr>
          <w:t>https://www.el19digital.com/articulos/ver/titulo:126803-policia-nacional-inauguro-la-comisaria-de-la-mujer-numero-113-en-ticuantepe</w:t>
        </w:r>
      </w:hyperlink>
      <w:r w:rsidRPr="00A64748">
        <w:rPr>
          <w:rStyle w:val="Hyperlink"/>
          <w:u w:val="none"/>
          <w:lang w:val="es-ES"/>
        </w:rPr>
        <w:t>.</w:t>
      </w:r>
      <w:r w:rsidR="009B646D" w:rsidRPr="009B646D">
        <w:rPr>
          <w:lang w:val="es-ES"/>
        </w:rPr>
        <w:t xml:space="preserve"> </w:t>
      </w:r>
    </w:p>
  </w:footnote>
  <w:footnote w:id="117">
    <w:p w14:paraId="066FB4B2" w14:textId="1662DD35" w:rsidR="00FF1B96" w:rsidRPr="00A64748" w:rsidRDefault="00FF1B96">
      <w:pPr>
        <w:pStyle w:val="FootnoteText"/>
      </w:pPr>
      <w:r w:rsidRPr="00A64748">
        <w:rPr>
          <w:lang w:val="es-ES"/>
        </w:rPr>
        <w:tab/>
      </w:r>
      <w:r w:rsidRPr="009B646D">
        <w:rPr>
          <w:rStyle w:val="FootnoteReference"/>
        </w:rPr>
        <w:footnoteRef/>
      </w:r>
      <w:r w:rsidRPr="00A64748">
        <w:tab/>
      </w:r>
      <w:proofErr w:type="spellStart"/>
      <w:r w:rsidRPr="00A64748">
        <w:t>Véase</w:t>
      </w:r>
      <w:proofErr w:type="spellEnd"/>
      <w:r w:rsidRPr="00A64748">
        <w:t xml:space="preserve"> </w:t>
      </w:r>
      <w:hyperlink r:id="rId106" w:history="1">
        <w:r w:rsidRPr="00A64748">
          <w:rPr>
            <w:rStyle w:val="Hyperlink"/>
            <w:u w:val="none"/>
          </w:rPr>
          <w:t>https://www.el19digital.com/articulos/ver/titulo:125214-nicaragua-redujo-la-mortalidad-materna-en-68-entre-2006-y-2021</w:t>
        </w:r>
      </w:hyperlink>
      <w:r w:rsidRPr="00A64748">
        <w:t xml:space="preserve">. </w:t>
      </w:r>
    </w:p>
  </w:footnote>
  <w:footnote w:id="118">
    <w:p w14:paraId="0673C617" w14:textId="27131112" w:rsidR="00FF1B96" w:rsidRPr="009B646D" w:rsidRDefault="00FF1B96">
      <w:pPr>
        <w:pStyle w:val="FootnoteText"/>
        <w:rPr>
          <w:lang w:val="es-AR"/>
        </w:rPr>
      </w:pPr>
      <w:r w:rsidRPr="00A64748">
        <w:tab/>
      </w:r>
      <w:r w:rsidRPr="009B646D">
        <w:rPr>
          <w:rStyle w:val="FootnoteReference"/>
        </w:rPr>
        <w:footnoteRef/>
      </w:r>
      <w:r w:rsidRPr="009B646D">
        <w:rPr>
          <w:lang w:val="es-AR"/>
        </w:rPr>
        <w:tab/>
      </w:r>
      <w:hyperlink r:id="rId107" w:history="1">
        <w:r w:rsidRPr="00A64748">
          <w:rPr>
            <w:rStyle w:val="Hyperlink"/>
            <w:color w:val="0000FF"/>
            <w:u w:val="none"/>
          </w:rPr>
          <w:t>A/HRC/42/16</w:t>
        </w:r>
      </w:hyperlink>
      <w:r w:rsidRPr="009B646D">
        <w:rPr>
          <w:lang w:val="es-AR"/>
        </w:rPr>
        <w:t xml:space="preserve">, </w:t>
      </w:r>
      <w:proofErr w:type="spellStart"/>
      <w:r w:rsidRPr="009B646D">
        <w:rPr>
          <w:lang w:val="es-AR"/>
        </w:rPr>
        <w:t>párrs</w:t>
      </w:r>
      <w:proofErr w:type="spellEnd"/>
      <w:r w:rsidRPr="009B646D">
        <w:rPr>
          <w:lang w:val="es-AR"/>
        </w:rPr>
        <w:t>. 125.207, 125.214 y 125.237.</w:t>
      </w:r>
    </w:p>
  </w:footnote>
  <w:footnote w:id="119">
    <w:p w14:paraId="22832764" w14:textId="1E0496F4" w:rsidR="00FF1B96" w:rsidRPr="00A64748" w:rsidRDefault="00FF1B96">
      <w:pPr>
        <w:pStyle w:val="FootnoteText"/>
        <w:rPr>
          <w:lang w:val="es-ES"/>
        </w:rPr>
      </w:pPr>
      <w:r w:rsidRPr="009B646D">
        <w:rPr>
          <w:lang w:val="es-ES"/>
        </w:rPr>
        <w:tab/>
      </w:r>
      <w:r w:rsidRPr="009B646D">
        <w:rPr>
          <w:rStyle w:val="FootnoteReference"/>
        </w:rPr>
        <w:footnoteRef/>
      </w:r>
      <w:r w:rsidRPr="009B646D">
        <w:rPr>
          <w:lang w:val="es-ES"/>
        </w:rPr>
        <w:tab/>
      </w:r>
      <w:r w:rsidRPr="00A64748">
        <w:rPr>
          <w:lang w:val="es-ES"/>
        </w:rPr>
        <w:t xml:space="preserve">Véase </w:t>
      </w:r>
      <w:hyperlink r:id="rId108" w:history="1">
        <w:r w:rsidRPr="00A64748">
          <w:rPr>
            <w:rStyle w:val="Hyperlink"/>
            <w:u w:val="none"/>
            <w:lang w:val="es-ES"/>
          </w:rPr>
          <w:t>https://population.un.org/wpp/Download/Standard/Fertility/</w:t>
        </w:r>
      </w:hyperlink>
      <w:r w:rsidR="00D741A0" w:rsidRPr="00A64748">
        <w:rPr>
          <w:rStyle w:val="Hyperlink"/>
          <w:u w:val="none"/>
          <w:lang w:val="es-ES"/>
        </w:rPr>
        <w:t>.</w:t>
      </w:r>
    </w:p>
  </w:footnote>
  <w:footnote w:id="120">
    <w:p w14:paraId="1C8AE24D" w14:textId="5F963DBE" w:rsidR="00FF1B96" w:rsidRPr="009B646D" w:rsidRDefault="00FF1B96">
      <w:pPr>
        <w:pStyle w:val="FootnoteText"/>
        <w:rPr>
          <w:lang w:val="es-PA"/>
        </w:rPr>
      </w:pPr>
      <w:r w:rsidRPr="00A64748">
        <w:rPr>
          <w:lang w:val="es-ES"/>
        </w:rPr>
        <w:tab/>
      </w:r>
      <w:r w:rsidRPr="009B646D">
        <w:rPr>
          <w:rStyle w:val="FootnoteReference"/>
        </w:rPr>
        <w:footnoteRef/>
      </w:r>
      <w:r w:rsidRPr="00A64748">
        <w:rPr>
          <w:lang w:val="es-ES"/>
        </w:rPr>
        <w:tab/>
      </w:r>
      <w:hyperlink r:id="rId109" w:history="1">
        <w:r w:rsidRPr="00A64748">
          <w:rPr>
            <w:rStyle w:val="Hyperlink"/>
            <w:color w:val="0000FF"/>
            <w:u w:val="none"/>
          </w:rPr>
          <w:t>A/HRC/49/23</w:t>
        </w:r>
      </w:hyperlink>
      <w:r w:rsidRPr="00A64748">
        <w:rPr>
          <w:lang w:val="es-ES"/>
        </w:rPr>
        <w:t xml:space="preserve">, </w:t>
      </w:r>
      <w:r w:rsidRPr="009B646D">
        <w:rPr>
          <w:lang w:val="es-ES"/>
        </w:rPr>
        <w:t xml:space="preserve">párr. 66 i); </w:t>
      </w:r>
      <w:hyperlink r:id="rId110" w:history="1">
        <w:r w:rsidRPr="00A64748">
          <w:rPr>
            <w:rStyle w:val="Hyperlink"/>
            <w:color w:val="0000FF"/>
            <w:u w:val="none"/>
          </w:rPr>
          <w:t>A/HRC/42/16</w:t>
        </w:r>
      </w:hyperlink>
      <w:r w:rsidRPr="009B646D">
        <w:rPr>
          <w:lang w:val="es-ES"/>
        </w:rPr>
        <w:t xml:space="preserve">, </w:t>
      </w:r>
      <w:proofErr w:type="spellStart"/>
      <w:r w:rsidRPr="00A64748">
        <w:rPr>
          <w:lang w:val="es-ES"/>
        </w:rPr>
        <w:t>párrs</w:t>
      </w:r>
      <w:proofErr w:type="spellEnd"/>
      <w:r w:rsidRPr="00A64748">
        <w:rPr>
          <w:lang w:val="es-ES"/>
        </w:rPr>
        <w:t xml:space="preserve">. 125.254 y 125.255; y </w:t>
      </w:r>
      <w:hyperlink r:id="rId111" w:history="1">
        <w:r w:rsidRPr="00A64748">
          <w:rPr>
            <w:rStyle w:val="Hyperlink"/>
            <w:color w:val="0000FF"/>
            <w:u w:val="none"/>
          </w:rPr>
          <w:t>E/C.12/NIC/CO/5</w:t>
        </w:r>
      </w:hyperlink>
      <w:r w:rsidRPr="00A64748">
        <w:rPr>
          <w:lang w:val="es-ES"/>
        </w:rPr>
        <w:t xml:space="preserve">, párr. </w:t>
      </w:r>
      <w:r w:rsidRPr="009B646D">
        <w:rPr>
          <w:lang w:val="es-ES"/>
        </w:rPr>
        <w:t xml:space="preserve">12 c) </w:t>
      </w:r>
      <w:r w:rsidRPr="009D2AD9">
        <w:t>y</w:t>
      </w:r>
      <w:r w:rsidR="009D2AD9">
        <w:t> </w:t>
      </w:r>
      <w:r w:rsidRPr="009D2AD9">
        <w:t>d</w:t>
      </w:r>
      <w:r w:rsidRPr="009B646D">
        <w:rPr>
          <w:lang w:val="es-ES"/>
        </w:rPr>
        <w:t>).</w:t>
      </w:r>
    </w:p>
  </w:footnote>
  <w:footnote w:id="121">
    <w:p w14:paraId="17185594" w14:textId="028FF20B" w:rsidR="00FF1B96" w:rsidRPr="00A64748" w:rsidRDefault="00FF1B96">
      <w:pPr>
        <w:pStyle w:val="FootnoteText"/>
        <w:rPr>
          <w:lang w:val="en-US"/>
        </w:rPr>
      </w:pPr>
      <w:r w:rsidRPr="009B646D">
        <w:rPr>
          <w:lang w:val="es-AR"/>
        </w:rPr>
        <w:tab/>
      </w:r>
      <w:r w:rsidRPr="009B646D">
        <w:rPr>
          <w:rStyle w:val="FootnoteReference"/>
        </w:rPr>
        <w:footnoteRef/>
      </w:r>
      <w:r w:rsidRPr="009B646D">
        <w:rPr>
          <w:lang w:val="es-AR"/>
        </w:rPr>
        <w:tab/>
      </w:r>
      <w:hyperlink r:id="rId112" w:history="1">
        <w:r w:rsidRPr="00A64748">
          <w:rPr>
            <w:rStyle w:val="Hyperlink"/>
            <w:color w:val="0000FF"/>
            <w:u w:val="none"/>
          </w:rPr>
          <w:t>A/HRC/46/21</w:t>
        </w:r>
      </w:hyperlink>
      <w:r w:rsidRPr="009B646D">
        <w:rPr>
          <w:lang w:val="es-PA"/>
        </w:rPr>
        <w:t xml:space="preserve">, </w:t>
      </w:r>
      <w:proofErr w:type="spellStart"/>
      <w:r w:rsidRPr="009B646D">
        <w:rPr>
          <w:lang w:val="es-PA"/>
        </w:rPr>
        <w:t>párrs</w:t>
      </w:r>
      <w:proofErr w:type="spellEnd"/>
      <w:r w:rsidRPr="009B646D">
        <w:rPr>
          <w:lang w:val="es-PA"/>
        </w:rPr>
        <w:t xml:space="preserve">. 49 a 52; y </w:t>
      </w:r>
      <w:hyperlink r:id="rId113" w:history="1">
        <w:r w:rsidRPr="00A64748">
          <w:rPr>
            <w:rStyle w:val="Hyperlink"/>
            <w:color w:val="0000FF"/>
            <w:u w:val="none"/>
          </w:rPr>
          <w:t>A/HRC/49/23</w:t>
        </w:r>
      </w:hyperlink>
      <w:r w:rsidRPr="009B646D">
        <w:rPr>
          <w:lang w:val="es-PA"/>
        </w:rPr>
        <w:t xml:space="preserve">, </w:t>
      </w:r>
      <w:proofErr w:type="spellStart"/>
      <w:r w:rsidRPr="009B646D">
        <w:rPr>
          <w:lang w:val="es-PA"/>
        </w:rPr>
        <w:t>párrs</w:t>
      </w:r>
      <w:proofErr w:type="spellEnd"/>
      <w:r w:rsidRPr="009B646D">
        <w:rPr>
          <w:lang w:val="es-PA"/>
        </w:rPr>
        <w:t xml:space="preserve">. </w:t>
      </w:r>
      <w:r w:rsidRPr="00A64748">
        <w:rPr>
          <w:lang w:val="en-US"/>
        </w:rPr>
        <w:t>33 a 35.</w:t>
      </w:r>
    </w:p>
  </w:footnote>
  <w:footnote w:id="122">
    <w:p w14:paraId="1B97CBAF" w14:textId="062AA727" w:rsidR="00FF1B96" w:rsidRPr="009B646D" w:rsidRDefault="00FF1B96">
      <w:pPr>
        <w:pStyle w:val="FootnoteText"/>
        <w:rPr>
          <w:lang w:val="es-PA"/>
        </w:rPr>
      </w:pPr>
      <w:r w:rsidRPr="00A64748">
        <w:rPr>
          <w:lang w:val="en-US"/>
        </w:rPr>
        <w:tab/>
      </w:r>
      <w:r w:rsidRPr="009B646D">
        <w:rPr>
          <w:rStyle w:val="FootnoteReference"/>
        </w:rPr>
        <w:footnoteRef/>
      </w:r>
      <w:r w:rsidRPr="00A64748">
        <w:rPr>
          <w:lang w:val="en-US"/>
        </w:rPr>
        <w:tab/>
      </w:r>
      <w:hyperlink r:id="rId114" w:history="1">
        <w:r w:rsidRPr="00A64748">
          <w:rPr>
            <w:rStyle w:val="Hyperlink"/>
            <w:color w:val="0000FF"/>
            <w:u w:val="none"/>
          </w:rPr>
          <w:t>E/C.12/NIC/CO/5</w:t>
        </w:r>
      </w:hyperlink>
      <w:r w:rsidRPr="00A64748">
        <w:rPr>
          <w:lang w:val="en-US"/>
        </w:rPr>
        <w:t xml:space="preserve">, </w:t>
      </w:r>
      <w:proofErr w:type="spellStart"/>
      <w:r w:rsidRPr="00A64748">
        <w:rPr>
          <w:lang w:val="en-US"/>
        </w:rPr>
        <w:t>párr</w:t>
      </w:r>
      <w:proofErr w:type="spellEnd"/>
      <w:r w:rsidRPr="00A64748">
        <w:rPr>
          <w:lang w:val="en-US"/>
        </w:rPr>
        <w:t xml:space="preserve">. </w:t>
      </w:r>
      <w:r w:rsidRPr="009B646D">
        <w:rPr>
          <w:lang w:val="es-ES"/>
        </w:rPr>
        <w:t>12 a).</w:t>
      </w:r>
    </w:p>
  </w:footnote>
  <w:footnote w:id="123">
    <w:p w14:paraId="296DC5E7" w14:textId="26B5A75C" w:rsidR="00FF1B96" w:rsidRPr="00A64748" w:rsidRDefault="00FF1B96">
      <w:pPr>
        <w:pStyle w:val="FootnoteText"/>
        <w:rPr>
          <w:lang w:val="es-ES"/>
        </w:rPr>
      </w:pPr>
      <w:r w:rsidRPr="009B646D">
        <w:rPr>
          <w:lang w:val="es-AR"/>
        </w:rPr>
        <w:tab/>
      </w:r>
      <w:r w:rsidRPr="009B646D">
        <w:rPr>
          <w:rStyle w:val="FootnoteReference"/>
        </w:rPr>
        <w:footnoteRef/>
      </w:r>
      <w:r w:rsidRPr="00A64748">
        <w:rPr>
          <w:lang w:val="es-ES"/>
        </w:rPr>
        <w:tab/>
      </w:r>
      <w:r w:rsidRPr="00A64748">
        <w:rPr>
          <w:i/>
          <w:iCs/>
          <w:lang w:val="es-ES"/>
        </w:rPr>
        <w:t>Ibid.</w:t>
      </w:r>
      <w:r w:rsidRPr="00A64748">
        <w:rPr>
          <w:lang w:val="es-ES"/>
        </w:rPr>
        <w:t>, párr. 12 b).</w:t>
      </w:r>
    </w:p>
  </w:footnote>
  <w:footnote w:id="124">
    <w:p w14:paraId="734DF3C6" w14:textId="735BD0A6" w:rsidR="00FF1B96" w:rsidRPr="009B646D" w:rsidRDefault="00FF1B96">
      <w:pPr>
        <w:pStyle w:val="FootnoteText"/>
        <w:rPr>
          <w:lang w:val="es-AR"/>
        </w:rPr>
      </w:pPr>
      <w:r w:rsidRPr="009B646D">
        <w:rPr>
          <w:lang w:val="es-ES"/>
        </w:rPr>
        <w:tab/>
      </w:r>
      <w:r w:rsidRPr="009B646D">
        <w:rPr>
          <w:rStyle w:val="FootnoteReference"/>
        </w:rPr>
        <w:footnoteRef/>
      </w:r>
      <w:r w:rsidRPr="009B646D">
        <w:rPr>
          <w:lang w:val="es-AR"/>
        </w:rPr>
        <w:tab/>
      </w:r>
      <w:hyperlink r:id="rId115" w:history="1">
        <w:r w:rsidRPr="00A64748">
          <w:rPr>
            <w:rStyle w:val="Hyperlink"/>
            <w:color w:val="0000FF"/>
            <w:u w:val="none"/>
          </w:rPr>
          <w:t>A/HRC/42/16</w:t>
        </w:r>
      </w:hyperlink>
      <w:r w:rsidRPr="009B646D">
        <w:rPr>
          <w:lang w:val="es-AR"/>
        </w:rPr>
        <w:t xml:space="preserve">, </w:t>
      </w:r>
      <w:proofErr w:type="spellStart"/>
      <w:r w:rsidRPr="009B646D">
        <w:rPr>
          <w:lang w:val="es-AR"/>
        </w:rPr>
        <w:t>párrs</w:t>
      </w:r>
      <w:proofErr w:type="spellEnd"/>
      <w:r w:rsidRPr="009B646D">
        <w:rPr>
          <w:lang w:val="es-AR"/>
        </w:rPr>
        <w:t>. 125.207, 125.214, 125.237, 125.247 a 125.253 y 125.175.</w:t>
      </w:r>
    </w:p>
  </w:footnote>
  <w:footnote w:id="125">
    <w:p w14:paraId="108DF05D" w14:textId="48C008EC"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proofErr w:type="spellStart"/>
      <w:r w:rsidRPr="00A64748">
        <w:rPr>
          <w:i/>
          <w:iCs/>
          <w:lang w:val="es-ES"/>
        </w:rPr>
        <w:t>Ibid</w:t>
      </w:r>
      <w:proofErr w:type="spellEnd"/>
      <w:r w:rsidRPr="00A64748">
        <w:rPr>
          <w:i/>
          <w:iCs/>
          <w:lang w:val="es-ES"/>
        </w:rPr>
        <w:t>.</w:t>
      </w:r>
      <w:r w:rsidRPr="00A64748">
        <w:rPr>
          <w:lang w:val="es-ES"/>
        </w:rPr>
        <w:t xml:space="preserve">, </w:t>
      </w:r>
      <w:proofErr w:type="spellStart"/>
      <w:r w:rsidRPr="009B646D">
        <w:rPr>
          <w:lang w:val="es-PA"/>
        </w:rPr>
        <w:t>párrs</w:t>
      </w:r>
      <w:proofErr w:type="spellEnd"/>
      <w:r w:rsidRPr="009B646D">
        <w:rPr>
          <w:lang w:val="es-PA"/>
        </w:rPr>
        <w:t xml:space="preserve">. </w:t>
      </w:r>
      <w:r w:rsidRPr="009B646D">
        <w:rPr>
          <w:lang w:val="es-AR"/>
        </w:rPr>
        <w:t>125.46 y 125.66.</w:t>
      </w:r>
    </w:p>
  </w:footnote>
  <w:footnote w:id="126">
    <w:p w14:paraId="304AD5F6" w14:textId="6C33414C" w:rsidR="00FF1B96" w:rsidRPr="009B646D" w:rsidRDefault="00FF1B96">
      <w:pPr>
        <w:pStyle w:val="FootnoteText"/>
        <w:rPr>
          <w:lang w:val="es-PA"/>
        </w:rPr>
      </w:pPr>
      <w:r w:rsidRPr="009B646D">
        <w:rPr>
          <w:lang w:val="es-PA"/>
        </w:rPr>
        <w:tab/>
      </w:r>
      <w:r w:rsidRPr="009B646D">
        <w:rPr>
          <w:rStyle w:val="FootnoteReference"/>
        </w:rPr>
        <w:footnoteRef/>
      </w:r>
      <w:r w:rsidRPr="009B646D">
        <w:rPr>
          <w:lang w:val="es-PA"/>
        </w:rPr>
        <w:t xml:space="preserve"> </w:t>
      </w:r>
      <w:r w:rsidRPr="009B646D">
        <w:rPr>
          <w:lang w:val="es-PA"/>
        </w:rPr>
        <w:tab/>
      </w:r>
      <w:hyperlink r:id="rId116" w:history="1">
        <w:r w:rsidRPr="00A64748">
          <w:rPr>
            <w:rStyle w:val="Hyperlink"/>
            <w:color w:val="0000FF"/>
            <w:u w:val="none"/>
          </w:rPr>
          <w:t>A/HRC/46/21</w:t>
        </w:r>
      </w:hyperlink>
      <w:r w:rsidRPr="009B646D">
        <w:rPr>
          <w:lang w:val="es-PA"/>
        </w:rPr>
        <w:t>, párr. 42.</w:t>
      </w:r>
    </w:p>
  </w:footnote>
  <w:footnote w:id="127">
    <w:p w14:paraId="41FEFE5B" w14:textId="383CA51B" w:rsidR="00FF1B96" w:rsidRPr="009B646D" w:rsidRDefault="00FF1B96">
      <w:pPr>
        <w:pStyle w:val="FootnoteText"/>
        <w:rPr>
          <w:lang w:val="es-PA"/>
        </w:rPr>
      </w:pPr>
      <w:r w:rsidRPr="009B646D">
        <w:rPr>
          <w:lang w:val="es-AR"/>
        </w:rPr>
        <w:tab/>
      </w:r>
      <w:r w:rsidRPr="009B646D">
        <w:rPr>
          <w:rStyle w:val="FootnoteReference"/>
        </w:rPr>
        <w:footnoteRef/>
      </w:r>
      <w:r w:rsidRPr="009B646D">
        <w:rPr>
          <w:lang w:val="es-ES"/>
        </w:rPr>
        <w:tab/>
      </w:r>
      <w:r w:rsidRPr="00A64748">
        <w:rPr>
          <w:i/>
          <w:iCs/>
          <w:lang w:val="es-ES"/>
        </w:rPr>
        <w:t>Ibid.</w:t>
      </w:r>
      <w:r w:rsidRPr="009B646D">
        <w:rPr>
          <w:lang w:val="es-PA"/>
        </w:rPr>
        <w:t xml:space="preserve">, 71 f); y </w:t>
      </w:r>
      <w:hyperlink r:id="rId117" w:history="1">
        <w:r w:rsidRPr="00A64748">
          <w:rPr>
            <w:rStyle w:val="Hyperlink"/>
            <w:color w:val="0000FF"/>
            <w:u w:val="none"/>
          </w:rPr>
          <w:t>A/HRC/49/23</w:t>
        </w:r>
      </w:hyperlink>
      <w:r w:rsidRPr="009B646D">
        <w:rPr>
          <w:lang w:val="es-PA"/>
        </w:rPr>
        <w:t>, párr. 66 m).</w:t>
      </w:r>
    </w:p>
  </w:footnote>
  <w:footnote w:id="128">
    <w:p w14:paraId="6E70C78A" w14:textId="4448565F" w:rsidR="00FF1B96" w:rsidRPr="009B646D" w:rsidRDefault="00FF1B96">
      <w:pPr>
        <w:pStyle w:val="FootnoteText"/>
        <w:rPr>
          <w:lang w:val="es-AR"/>
        </w:rPr>
      </w:pPr>
      <w:r w:rsidRPr="009B646D">
        <w:rPr>
          <w:lang w:val="es-ES"/>
        </w:rPr>
        <w:tab/>
      </w:r>
      <w:r w:rsidRPr="009B646D">
        <w:rPr>
          <w:rStyle w:val="FootnoteReference"/>
        </w:rPr>
        <w:footnoteRef/>
      </w:r>
      <w:r w:rsidRPr="009B646D">
        <w:rPr>
          <w:lang w:val="es-ES"/>
        </w:rPr>
        <w:tab/>
      </w:r>
      <w:r w:rsidRPr="009B646D">
        <w:rPr>
          <w:lang w:val="es-AR"/>
        </w:rPr>
        <w:t xml:space="preserve">ACNUDH, </w:t>
      </w:r>
      <w:r w:rsidRPr="00A64748">
        <w:rPr>
          <w:lang w:val="es-ES"/>
        </w:rPr>
        <w:t>“</w:t>
      </w:r>
      <w:r w:rsidR="00205B1A" w:rsidRPr="00A64748">
        <w:rPr>
          <w:color w:val="000000"/>
          <w:lang w:val="es-ES"/>
        </w:rPr>
        <w:t>Violaciones de derechos humanos y abusos en el contexto de las protestas en Nicaragua 18 de abril – 18 de agosto de 2018</w:t>
      </w:r>
      <w:r w:rsidRPr="00A64748">
        <w:rPr>
          <w:rStyle w:val="Hyperlink"/>
          <w:u w:val="none"/>
          <w:lang w:val="es-ES"/>
        </w:rPr>
        <w:t>”</w:t>
      </w:r>
      <w:r w:rsidRPr="00A64748">
        <w:rPr>
          <w:lang w:val="es-ES"/>
        </w:rPr>
        <w:t xml:space="preserve">, párr. </w:t>
      </w:r>
      <w:r w:rsidRPr="009B646D">
        <w:rPr>
          <w:lang w:val="es-AR"/>
        </w:rPr>
        <w:t>19.16.</w:t>
      </w:r>
    </w:p>
  </w:footnote>
  <w:footnote w:id="129">
    <w:p w14:paraId="77A3FB35" w14:textId="076CCC04" w:rsidR="00FF1B96" w:rsidRPr="009B646D" w:rsidRDefault="00FF1B96">
      <w:pPr>
        <w:pStyle w:val="FootnoteText"/>
        <w:rPr>
          <w:lang w:val="es-AR"/>
        </w:rPr>
      </w:pPr>
      <w:r w:rsidRPr="009B646D">
        <w:rPr>
          <w:lang w:val="es-ES"/>
        </w:rPr>
        <w:tab/>
      </w:r>
      <w:r w:rsidRPr="009B646D">
        <w:rPr>
          <w:rStyle w:val="FootnoteReference"/>
        </w:rPr>
        <w:footnoteRef/>
      </w:r>
      <w:r w:rsidRPr="009B646D">
        <w:rPr>
          <w:lang w:val="es-ES"/>
        </w:rPr>
        <w:tab/>
      </w:r>
      <w:hyperlink r:id="rId118" w:history="1">
        <w:r w:rsidRPr="00A64748">
          <w:rPr>
            <w:rStyle w:val="Hyperlink"/>
            <w:color w:val="0000FF"/>
            <w:u w:val="none"/>
          </w:rPr>
          <w:t>A/HRC/42/16</w:t>
        </w:r>
      </w:hyperlink>
      <w:r w:rsidRPr="009B646D">
        <w:rPr>
          <w:lang w:val="es-PA"/>
        </w:rPr>
        <w:t xml:space="preserve">, </w:t>
      </w:r>
      <w:proofErr w:type="spellStart"/>
      <w:r w:rsidRPr="009B646D">
        <w:rPr>
          <w:lang w:val="es-PA"/>
        </w:rPr>
        <w:t>párrs</w:t>
      </w:r>
      <w:proofErr w:type="spellEnd"/>
      <w:r w:rsidRPr="009B646D">
        <w:rPr>
          <w:lang w:val="es-PA"/>
        </w:rPr>
        <w:t xml:space="preserve">. </w:t>
      </w:r>
      <w:r w:rsidRPr="009B646D">
        <w:rPr>
          <w:lang w:val="es-AR"/>
        </w:rPr>
        <w:t xml:space="preserve">125.8 a 125.36. </w:t>
      </w:r>
    </w:p>
  </w:footnote>
  <w:footnote w:id="130">
    <w:p w14:paraId="68E906AE" w14:textId="7F8824FA" w:rsidR="00FF1B96" w:rsidRPr="009B646D" w:rsidRDefault="00FF1B96">
      <w:pPr>
        <w:pStyle w:val="FootnoteText"/>
        <w:rPr>
          <w:lang w:val="es-AR"/>
        </w:rPr>
      </w:pPr>
      <w:r w:rsidRPr="009B646D">
        <w:rPr>
          <w:lang w:val="es-AR"/>
        </w:rPr>
        <w:tab/>
      </w:r>
      <w:r w:rsidRPr="009B646D">
        <w:rPr>
          <w:rStyle w:val="FootnoteReference"/>
        </w:rPr>
        <w:footnoteRef/>
      </w:r>
      <w:r w:rsidRPr="009B646D">
        <w:rPr>
          <w:lang w:val="es-AR"/>
        </w:rPr>
        <w:tab/>
        <w:t>Véase la comunicación NIC 5/2018.</w:t>
      </w:r>
    </w:p>
  </w:footnote>
  <w:footnote w:id="131">
    <w:p w14:paraId="4EB226BD" w14:textId="58F14315" w:rsidR="00FF1B96" w:rsidRPr="009B646D" w:rsidRDefault="00FF1B96">
      <w:pPr>
        <w:pStyle w:val="FootnoteText"/>
        <w:rPr>
          <w:lang w:val="es-AR"/>
        </w:rPr>
      </w:pPr>
      <w:r w:rsidRPr="009B646D">
        <w:rPr>
          <w:lang w:val="es-AR"/>
        </w:rPr>
        <w:tab/>
      </w:r>
      <w:r w:rsidRPr="009B646D">
        <w:rPr>
          <w:rStyle w:val="FootnoteReference"/>
        </w:rPr>
        <w:footnoteRef/>
      </w:r>
      <w:r w:rsidRPr="009B646D">
        <w:rPr>
          <w:lang w:val="es-AR"/>
        </w:rPr>
        <w:tab/>
        <w:t xml:space="preserve">Detención arbitraria, desapariciones forzadas, libertad de reunión </w:t>
      </w:r>
      <w:r w:rsidR="00276E88" w:rsidRPr="00A64748">
        <w:rPr>
          <w:lang w:val="es-AR"/>
        </w:rPr>
        <w:t xml:space="preserve">pacífica </w:t>
      </w:r>
      <w:r w:rsidRPr="009B646D">
        <w:rPr>
          <w:lang w:val="es-AR"/>
        </w:rPr>
        <w:t>y de asociación, tortura, y</w:t>
      </w:r>
      <w:r w:rsidR="002D50A4">
        <w:rPr>
          <w:lang w:val="es-AR"/>
        </w:rPr>
        <w:t> </w:t>
      </w:r>
      <w:r w:rsidRPr="009B646D">
        <w:rPr>
          <w:lang w:val="es-AR"/>
        </w:rPr>
        <w:t>sustancias tóxicas.</w:t>
      </w:r>
    </w:p>
  </w:footnote>
  <w:footnote w:id="132">
    <w:p w14:paraId="2384FF39" w14:textId="5C96C7C6" w:rsidR="00FF1B96" w:rsidRPr="00A64748" w:rsidRDefault="00FF1B96">
      <w:pPr>
        <w:pStyle w:val="FootnoteText"/>
      </w:pPr>
      <w:r w:rsidRPr="009B646D">
        <w:rPr>
          <w:lang w:val="es-AR"/>
        </w:rPr>
        <w:tab/>
      </w:r>
      <w:r w:rsidRPr="009B646D">
        <w:rPr>
          <w:rStyle w:val="FootnoteReference"/>
        </w:rPr>
        <w:footnoteRef/>
      </w:r>
      <w:r w:rsidRPr="00A64748">
        <w:tab/>
      </w:r>
      <w:proofErr w:type="spellStart"/>
      <w:r w:rsidRPr="00A64748">
        <w:t>Véase</w:t>
      </w:r>
      <w:proofErr w:type="spellEnd"/>
      <w:r w:rsidRPr="00A64748">
        <w:t xml:space="preserve"> </w:t>
      </w:r>
      <w:hyperlink r:id="rId119" w:history="1">
        <w:r w:rsidR="001A10E9" w:rsidRPr="001A10E9">
          <w:rPr>
            <w:rStyle w:val="Hyperlink"/>
            <w:u w:val="none"/>
          </w:rPr>
          <w:t>https://tbinternet.ohchr.org/_layouts/15/TreatyBodyExternal/countries.aspx?</w:t>
        </w:r>
        <w:r w:rsidR="001A10E9" w:rsidRPr="001A10E9">
          <w:rPr>
            <w:rStyle w:val="Hyperlink"/>
            <w:u w:val="none"/>
          </w:rPr>
          <w:br/>
        </w:r>
        <w:proofErr w:type="spellStart"/>
        <w:r w:rsidR="001A10E9" w:rsidRPr="001A10E9">
          <w:rPr>
            <w:rStyle w:val="Hyperlink"/>
            <w:u w:val="none"/>
          </w:rPr>
          <w:t>CountryCode</w:t>
        </w:r>
        <w:proofErr w:type="spellEnd"/>
        <w:r w:rsidR="001A10E9" w:rsidRPr="001A10E9">
          <w:rPr>
            <w:rStyle w:val="Hyperlink"/>
            <w:u w:val="none"/>
          </w:rPr>
          <w:t>=</w:t>
        </w:r>
        <w:proofErr w:type="spellStart"/>
        <w:r w:rsidR="001A10E9" w:rsidRPr="001A10E9">
          <w:rPr>
            <w:rStyle w:val="Hyperlink"/>
            <w:u w:val="none"/>
          </w:rPr>
          <w:t>NIC&amp;L</w:t>
        </w:r>
      </w:hyperlink>
      <w:r w:rsidRPr="001A10E9">
        <w:t>ang</w:t>
      </w:r>
      <w:proofErr w:type="spellEnd"/>
      <w:r w:rsidRPr="001A10E9">
        <w:t>=SP.</w:t>
      </w:r>
    </w:p>
  </w:footnote>
  <w:footnote w:id="133">
    <w:p w14:paraId="403FEA06" w14:textId="1392088A" w:rsidR="00FF1B96" w:rsidRPr="00A64748" w:rsidRDefault="00FF1B96">
      <w:pPr>
        <w:pStyle w:val="FootnoteText"/>
        <w:rPr>
          <w:lang w:val="es-ES"/>
        </w:rPr>
      </w:pPr>
      <w:r w:rsidRPr="00A64748">
        <w:tab/>
      </w:r>
      <w:r w:rsidRPr="009B646D">
        <w:rPr>
          <w:rStyle w:val="FootnoteReference"/>
        </w:rPr>
        <w:footnoteRef/>
      </w:r>
      <w:r w:rsidRPr="009B646D">
        <w:tab/>
      </w:r>
      <w:hyperlink r:id="rId120" w:history="1">
        <w:r w:rsidRPr="00A64748">
          <w:rPr>
            <w:rStyle w:val="Hyperlink"/>
            <w:color w:val="0000FF"/>
            <w:u w:val="none"/>
          </w:rPr>
          <w:t>E/C.12/NIC/CO/5</w:t>
        </w:r>
      </w:hyperlink>
      <w:r w:rsidRPr="009B646D">
        <w:t xml:space="preserve">, </w:t>
      </w:r>
      <w:proofErr w:type="spellStart"/>
      <w:r w:rsidRPr="009B646D">
        <w:t>párrs</w:t>
      </w:r>
      <w:proofErr w:type="spellEnd"/>
      <w:r w:rsidRPr="009B646D">
        <w:t xml:space="preserve">. </w:t>
      </w:r>
      <w:r w:rsidRPr="00A64748">
        <w:rPr>
          <w:lang w:val="es-ES"/>
        </w:rPr>
        <w:t>2 y 3.</w:t>
      </w:r>
    </w:p>
  </w:footnote>
  <w:footnote w:id="134">
    <w:p w14:paraId="6F01CA7C" w14:textId="714098F2" w:rsidR="00FF1B96" w:rsidRPr="00A64748" w:rsidRDefault="00FF1B96">
      <w:pPr>
        <w:pStyle w:val="FootnoteText"/>
        <w:rPr>
          <w:lang w:val="es-ES"/>
        </w:rPr>
      </w:pPr>
      <w:r w:rsidRPr="00A64748">
        <w:rPr>
          <w:lang w:val="es-ES"/>
        </w:rPr>
        <w:tab/>
      </w:r>
      <w:r w:rsidRPr="009B646D">
        <w:rPr>
          <w:rStyle w:val="FootnoteReference"/>
        </w:rPr>
        <w:footnoteRef/>
      </w:r>
      <w:r w:rsidRPr="00A64748">
        <w:rPr>
          <w:lang w:val="es-ES"/>
        </w:rPr>
        <w:tab/>
      </w:r>
      <w:r w:rsidRPr="009B646D">
        <w:rPr>
          <w:lang w:val="es-ES"/>
        </w:rPr>
        <w:t xml:space="preserve">Véase </w:t>
      </w:r>
      <w:hyperlink r:id="rId121" w:history="1">
        <w:r w:rsidRPr="00A64748">
          <w:rPr>
            <w:rStyle w:val="Hyperlink"/>
            <w:u w:val="none"/>
            <w:lang w:val="es-ES"/>
          </w:rPr>
          <w:t>https://ohchr.org/en/press-releases/2022/07/committee-against-torture-considers-situation-nicaragua-absence-delegation</w:t>
        </w:r>
      </w:hyperlink>
      <w:r w:rsidRPr="009B646D">
        <w:rPr>
          <w:lang w:val="es-ES"/>
        </w:rPr>
        <w:t xml:space="preserve"> (en inglés solamente).</w:t>
      </w:r>
    </w:p>
  </w:footnote>
  <w:footnote w:id="135">
    <w:p w14:paraId="32C1DCE0" w14:textId="66DA0F3A" w:rsidR="00FF1B96" w:rsidRPr="00A64748" w:rsidRDefault="00FF1B96">
      <w:pPr>
        <w:pStyle w:val="FootnoteText"/>
        <w:rPr>
          <w:lang w:val="es-ES"/>
        </w:rPr>
      </w:pPr>
      <w:r w:rsidRPr="00A64748">
        <w:rPr>
          <w:lang w:val="es-ES"/>
        </w:rPr>
        <w:tab/>
      </w:r>
      <w:r w:rsidRPr="009B646D">
        <w:rPr>
          <w:rStyle w:val="FootnoteReference"/>
        </w:rPr>
        <w:footnoteRef/>
      </w:r>
      <w:r w:rsidRPr="00A64748">
        <w:rPr>
          <w:lang w:val="es-ES"/>
        </w:rPr>
        <w:tab/>
      </w:r>
      <w:r w:rsidRPr="009B646D">
        <w:rPr>
          <w:lang w:val="es-ES"/>
        </w:rPr>
        <w:t xml:space="preserve">Véase </w:t>
      </w:r>
      <w:hyperlink r:id="rId122" w:history="1">
        <w:r w:rsidRPr="00A64748">
          <w:rPr>
            <w:rStyle w:val="Hyperlink"/>
            <w:u w:val="none"/>
            <w:lang w:val="es-ES"/>
          </w:rPr>
          <w:t>https://media.un.org/en/asset/k1r/k1rfw9qasz</w:t>
        </w:r>
      </w:hyperlink>
      <w:r w:rsidRPr="00A64748">
        <w:rPr>
          <w:lang w:val="es-ES"/>
        </w:rPr>
        <w:t xml:space="preserve"> </w:t>
      </w:r>
      <w:r w:rsidRPr="009B646D">
        <w:rPr>
          <w:lang w:val="es-ES"/>
        </w:rPr>
        <w:t>(en inglés solamente).</w:t>
      </w:r>
    </w:p>
  </w:footnote>
  <w:footnote w:id="136">
    <w:p w14:paraId="52435185" w14:textId="4B99B2A8" w:rsidR="00FF1B96" w:rsidRPr="009B646D" w:rsidRDefault="00FF1B96">
      <w:pPr>
        <w:pStyle w:val="FootnoteText"/>
        <w:rPr>
          <w:lang w:val="es-PA"/>
        </w:rPr>
      </w:pPr>
      <w:r w:rsidRPr="00A64748">
        <w:rPr>
          <w:lang w:val="es-ES"/>
        </w:rPr>
        <w:tab/>
      </w:r>
      <w:r w:rsidRPr="009B646D">
        <w:rPr>
          <w:rStyle w:val="FootnoteReference"/>
        </w:rPr>
        <w:footnoteRef/>
      </w:r>
      <w:r w:rsidRPr="00A64748">
        <w:rPr>
          <w:lang w:val="es-ES"/>
        </w:rPr>
        <w:tab/>
      </w:r>
      <w:hyperlink r:id="rId123" w:history="1">
        <w:r w:rsidRPr="00A64748">
          <w:rPr>
            <w:rStyle w:val="Hyperlink"/>
            <w:color w:val="0000FF"/>
            <w:u w:val="none"/>
          </w:rPr>
          <w:t>E/C.12/NIC/CO/5</w:t>
        </w:r>
      </w:hyperlink>
      <w:r w:rsidRPr="00A64748">
        <w:rPr>
          <w:lang w:val="es-ES"/>
        </w:rPr>
        <w:t xml:space="preserve">, párr. </w:t>
      </w:r>
      <w:r w:rsidRPr="009B646D">
        <w:rPr>
          <w:lang w:val="es-ES"/>
        </w:rPr>
        <w:t>54;</w:t>
      </w:r>
      <w:r w:rsidRPr="009B646D">
        <w:rPr>
          <w:lang w:val="es-PA"/>
        </w:rPr>
        <w:t xml:space="preserve"> y </w:t>
      </w:r>
      <w:hyperlink r:id="rId124" w:history="1">
        <w:r w:rsidRPr="00A64748">
          <w:rPr>
            <w:rStyle w:val="Hyperlink"/>
            <w:color w:val="0000FF"/>
            <w:u w:val="none"/>
          </w:rPr>
          <w:t>A/HRC/42/16</w:t>
        </w:r>
      </w:hyperlink>
      <w:r w:rsidRPr="009B646D">
        <w:rPr>
          <w:lang w:val="es-PA"/>
        </w:rPr>
        <w:t xml:space="preserve">, </w:t>
      </w:r>
      <w:proofErr w:type="spellStart"/>
      <w:r w:rsidRPr="009B646D">
        <w:rPr>
          <w:lang w:val="es-PA"/>
        </w:rPr>
        <w:t>párrs</w:t>
      </w:r>
      <w:proofErr w:type="spellEnd"/>
      <w:r w:rsidRPr="009B646D">
        <w:rPr>
          <w:lang w:val="es-PA"/>
        </w:rPr>
        <w:t>. 125.1 a 125.7.</w:t>
      </w:r>
    </w:p>
  </w:footnote>
  <w:footnote w:id="137">
    <w:p w14:paraId="7B9B347A" w14:textId="55D76492"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9B646D">
        <w:rPr>
          <w:lang w:val="es-PA"/>
        </w:rPr>
        <w:t xml:space="preserve">ACNUDH, </w:t>
      </w:r>
      <w:r w:rsidRPr="00A64748">
        <w:rPr>
          <w:lang w:val="es-ES"/>
        </w:rPr>
        <w:t>“</w:t>
      </w:r>
      <w:r w:rsidR="00205B1A" w:rsidRPr="00A64748">
        <w:rPr>
          <w:color w:val="000000"/>
          <w:lang w:val="es-ES"/>
        </w:rPr>
        <w:t>Violaciones de derechos humanos y abusos en el contexto de las protestas en Nicaragua 18 de abril – 18 de agosto de 2018</w:t>
      </w:r>
      <w:r w:rsidRPr="00A64748">
        <w:rPr>
          <w:rStyle w:val="Hyperlink"/>
          <w:u w:val="none"/>
          <w:lang w:val="es-ES"/>
        </w:rPr>
        <w:t>”</w:t>
      </w:r>
      <w:r w:rsidRPr="00A64748">
        <w:rPr>
          <w:lang w:val="es-ES"/>
        </w:rPr>
        <w:t xml:space="preserve">, párr. </w:t>
      </w:r>
      <w:r w:rsidRPr="009B646D">
        <w:rPr>
          <w:lang w:val="es-PA"/>
        </w:rPr>
        <w:t xml:space="preserve">119.15 y 16; </w:t>
      </w:r>
      <w:hyperlink r:id="rId125" w:history="1">
        <w:r w:rsidRPr="00A64748">
          <w:rPr>
            <w:rStyle w:val="Hyperlink"/>
            <w:color w:val="0000FF"/>
            <w:u w:val="none"/>
          </w:rPr>
          <w:t>A/HRC/42/18</w:t>
        </w:r>
      </w:hyperlink>
      <w:r w:rsidRPr="009B646D">
        <w:rPr>
          <w:lang w:val="es-PA"/>
        </w:rPr>
        <w:t xml:space="preserve">, párr. 67; </w:t>
      </w:r>
      <w:hyperlink r:id="rId126" w:history="1">
        <w:r w:rsidRPr="00A64748">
          <w:rPr>
            <w:rStyle w:val="Hyperlink"/>
            <w:color w:val="0000FF"/>
            <w:u w:val="none"/>
          </w:rPr>
          <w:t>A/HRC/46/21</w:t>
        </w:r>
      </w:hyperlink>
      <w:r w:rsidRPr="009B646D">
        <w:rPr>
          <w:lang w:val="es-PA"/>
        </w:rPr>
        <w:t xml:space="preserve">, párr. 72; y </w:t>
      </w:r>
      <w:hyperlink r:id="rId127" w:history="1">
        <w:r w:rsidRPr="00A64748">
          <w:rPr>
            <w:rStyle w:val="Hyperlink"/>
            <w:color w:val="0000FF"/>
            <w:u w:val="none"/>
          </w:rPr>
          <w:t>A/HRC/49/23</w:t>
        </w:r>
      </w:hyperlink>
      <w:r w:rsidRPr="009B646D">
        <w:rPr>
          <w:lang w:val="es-PA"/>
        </w:rPr>
        <w:t xml:space="preserve">, </w:t>
      </w:r>
      <w:proofErr w:type="spellStart"/>
      <w:r w:rsidRPr="009B646D">
        <w:rPr>
          <w:lang w:val="es-PA"/>
        </w:rPr>
        <w:t>párrs</w:t>
      </w:r>
      <w:proofErr w:type="spellEnd"/>
      <w:r w:rsidRPr="009B646D">
        <w:rPr>
          <w:lang w:val="es-PA"/>
        </w:rPr>
        <w:t xml:space="preserve">. 67 y 68. </w:t>
      </w:r>
    </w:p>
  </w:footnote>
  <w:footnote w:id="138">
    <w:p w14:paraId="0C39325F" w14:textId="3EA0DED9"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00DA3ED4" w:rsidRPr="009B646D">
        <w:rPr>
          <w:lang w:val="es-ES"/>
        </w:rPr>
        <w:t xml:space="preserve">Resoluciones </w:t>
      </w:r>
      <w:r w:rsidRPr="009B646D">
        <w:rPr>
          <w:lang w:val="es-PA"/>
        </w:rPr>
        <w:t>40/2, 43/2, 46/2 y 49/3.</w:t>
      </w:r>
    </w:p>
  </w:footnote>
  <w:footnote w:id="139">
    <w:p w14:paraId="094E1858" w14:textId="25623267" w:rsidR="00FF1B96" w:rsidRPr="009B646D" w:rsidRDefault="00FF1B96">
      <w:pPr>
        <w:pStyle w:val="FootnoteText"/>
        <w:rPr>
          <w:lang w:val="es-PA"/>
        </w:rPr>
      </w:pPr>
      <w:r w:rsidRPr="009B646D">
        <w:rPr>
          <w:lang w:val="es-ES"/>
        </w:rPr>
        <w:tab/>
      </w:r>
      <w:r w:rsidRPr="009B646D">
        <w:rPr>
          <w:rStyle w:val="FootnoteReference"/>
        </w:rPr>
        <w:footnoteRef/>
      </w:r>
      <w:r w:rsidRPr="009B646D">
        <w:rPr>
          <w:lang w:val="es-ES"/>
        </w:rPr>
        <w:tab/>
      </w:r>
      <w:r w:rsidRPr="009B646D">
        <w:rPr>
          <w:lang w:val="es-PA"/>
        </w:rPr>
        <w:t xml:space="preserve">ACNUDH, </w:t>
      </w:r>
      <w:r w:rsidRPr="00A64748">
        <w:rPr>
          <w:lang w:val="es-ES"/>
        </w:rPr>
        <w:t>“</w:t>
      </w:r>
      <w:r w:rsidR="00205B1A" w:rsidRPr="00A64748">
        <w:rPr>
          <w:color w:val="000000"/>
          <w:lang w:val="es-ES"/>
        </w:rPr>
        <w:t>Violaciones de derechos humanos y abusos en el contexto de las protestas en Nicaragua 18 de abril – 18 de agosto de 2018</w:t>
      </w:r>
      <w:r w:rsidRPr="00A64748">
        <w:rPr>
          <w:rStyle w:val="Hyperlink"/>
          <w:u w:val="none"/>
          <w:lang w:val="es-ES"/>
        </w:rPr>
        <w:t>”</w:t>
      </w:r>
      <w:r w:rsidRPr="00A64748">
        <w:rPr>
          <w:lang w:val="es-ES"/>
        </w:rPr>
        <w:t xml:space="preserve">, párr. </w:t>
      </w:r>
      <w:r w:rsidRPr="009B646D">
        <w:rPr>
          <w:lang w:val="es-PA"/>
        </w:rPr>
        <w:t xml:space="preserve">119.15; y </w:t>
      </w:r>
      <w:hyperlink r:id="rId128" w:history="1">
        <w:r w:rsidRPr="00A64748">
          <w:rPr>
            <w:rStyle w:val="Hyperlink"/>
            <w:color w:val="0000FF"/>
            <w:u w:val="none"/>
          </w:rPr>
          <w:t>A/HRC/49/23</w:t>
        </w:r>
      </w:hyperlink>
      <w:r w:rsidRPr="009B646D">
        <w:rPr>
          <w:lang w:val="es-PA"/>
        </w:rPr>
        <w:t xml:space="preserve">, párr. </w:t>
      </w:r>
      <w:r w:rsidRPr="009B646D">
        <w:rPr>
          <w:lang w:val="es-AR"/>
        </w:rPr>
        <w:t>68 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A422" w14:textId="431D3050" w:rsidR="00FF1B96" w:rsidRDefault="00FF1B96">
    <w:pPr>
      <w:pStyle w:val="Header"/>
    </w:pPr>
    <w:r>
      <w:rPr>
        <w:rStyle w:val="NoneA"/>
      </w:rPr>
      <w:t>A/HRC/51/42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D663" w14:textId="47148E43" w:rsidR="00FF1B96" w:rsidRDefault="00FF1B96">
    <w:pPr>
      <w:pStyle w:val="Header"/>
      <w:jc w:val="right"/>
    </w:pPr>
    <w:r>
      <w:rPr>
        <w:rStyle w:val="NoneA"/>
      </w:rPr>
      <w:t>A/HRC/51/42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A00"/>
    <w:multiLevelType w:val="hybridMultilevel"/>
    <w:tmpl w:val="9B4677B2"/>
    <w:lvl w:ilvl="0" w:tplc="716A83E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C511E"/>
    <w:multiLevelType w:val="multilevel"/>
    <w:tmpl w:val="4E96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909DA"/>
    <w:multiLevelType w:val="hybridMultilevel"/>
    <w:tmpl w:val="471AFC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E4840"/>
    <w:multiLevelType w:val="multilevel"/>
    <w:tmpl w:val="15D0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60152"/>
    <w:multiLevelType w:val="hybridMultilevel"/>
    <w:tmpl w:val="C6EE1E36"/>
    <w:lvl w:ilvl="0" w:tplc="F20C4818">
      <w:start w:val="1"/>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A1B3B69"/>
    <w:multiLevelType w:val="hybridMultilevel"/>
    <w:tmpl w:val="9C3889C6"/>
    <w:lvl w:ilvl="0" w:tplc="420ADC5E">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54451"/>
    <w:multiLevelType w:val="hybridMultilevel"/>
    <w:tmpl w:val="0432470E"/>
    <w:lvl w:ilvl="0" w:tplc="2CD2C54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25BE1A6E"/>
    <w:multiLevelType w:val="hybridMultilevel"/>
    <w:tmpl w:val="D424FC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590D71"/>
    <w:multiLevelType w:val="hybridMultilevel"/>
    <w:tmpl w:val="EBEAFE78"/>
    <w:lvl w:ilvl="0" w:tplc="DA72EB1A">
      <w:start w:val="1"/>
      <w:numFmt w:val="decimal"/>
      <w:lvlText w:val="%1."/>
      <w:lvlJc w:val="left"/>
      <w:pPr>
        <w:ind w:left="1211"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C6C6F33"/>
    <w:multiLevelType w:val="hybridMultilevel"/>
    <w:tmpl w:val="37CE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40B50"/>
    <w:multiLevelType w:val="hybridMultilevel"/>
    <w:tmpl w:val="6C4AC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71E64"/>
    <w:multiLevelType w:val="hybridMultilevel"/>
    <w:tmpl w:val="F0BCF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077CF1"/>
    <w:multiLevelType w:val="hybridMultilevel"/>
    <w:tmpl w:val="C6EE1E36"/>
    <w:lvl w:ilvl="0" w:tplc="F20C4818">
      <w:start w:val="1"/>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8AC5F57"/>
    <w:multiLevelType w:val="hybridMultilevel"/>
    <w:tmpl w:val="A4327EC0"/>
    <w:lvl w:ilvl="0" w:tplc="A03E03FE">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2922758"/>
    <w:multiLevelType w:val="hybridMultilevel"/>
    <w:tmpl w:val="21EE0022"/>
    <w:lvl w:ilvl="0" w:tplc="E2B014A6">
      <w:start w:val="23"/>
      <w:numFmt w:val="decimal"/>
      <w:lvlText w:val="%1."/>
      <w:lvlJc w:val="left"/>
      <w:pPr>
        <w:ind w:left="1495" w:hanging="360"/>
      </w:pPr>
      <w:rPr>
        <w:rFonts w:hint="default"/>
        <w:b w:val="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5" w15:restartNumberingAfterBreak="0">
    <w:nsid w:val="534F548E"/>
    <w:multiLevelType w:val="hybridMultilevel"/>
    <w:tmpl w:val="1250CC3C"/>
    <w:lvl w:ilvl="0" w:tplc="D8328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210C1"/>
    <w:multiLevelType w:val="hybridMultilevel"/>
    <w:tmpl w:val="EC58A42A"/>
    <w:lvl w:ilvl="0" w:tplc="3D8EE5C2">
      <w:start w:val="6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F52652"/>
    <w:multiLevelType w:val="hybridMultilevel"/>
    <w:tmpl w:val="C6EE1E36"/>
    <w:lvl w:ilvl="0" w:tplc="F20C4818">
      <w:start w:val="1"/>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7B7B6F17"/>
    <w:multiLevelType w:val="hybridMultilevel"/>
    <w:tmpl w:val="0D223B4C"/>
    <w:lvl w:ilvl="0" w:tplc="6030AC6C">
      <w:start w:val="1"/>
      <w:numFmt w:val="decimal"/>
      <w:lvlText w:val="%1."/>
      <w:lvlJc w:val="left"/>
      <w:pPr>
        <w:ind w:left="502" w:hanging="360"/>
      </w:pPr>
      <w:rPr>
        <w:rFonts w:ascii="Times New Roman" w:hAnsi="Times New Roman" w:cs="Times New Roman" w:hint="default"/>
        <w:b w:val="0"/>
        <w:i w:val="0"/>
        <w:color w:val="auto"/>
        <w:sz w:val="24"/>
        <w:szCs w:val="24"/>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num w:numId="1">
    <w:abstractNumId w:val="6"/>
  </w:num>
  <w:num w:numId="2">
    <w:abstractNumId w:val="3"/>
  </w:num>
  <w:num w:numId="3">
    <w:abstractNumId w:val="5"/>
  </w:num>
  <w:num w:numId="4">
    <w:abstractNumId w:val="16"/>
  </w:num>
  <w:num w:numId="5">
    <w:abstractNumId w:val="15"/>
  </w:num>
  <w:num w:numId="6">
    <w:abstractNumId w:val="10"/>
  </w:num>
  <w:num w:numId="7">
    <w:abstractNumId w:val="1"/>
  </w:num>
  <w:num w:numId="8">
    <w:abstractNumId w:val="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4"/>
  </w:num>
  <w:num w:numId="13">
    <w:abstractNumId w:val="12"/>
  </w:num>
  <w:num w:numId="14">
    <w:abstractNumId w:val="7"/>
  </w:num>
  <w:num w:numId="15">
    <w:abstractNumId w:val="11"/>
  </w:num>
  <w:num w:numId="16">
    <w:abstractNumId w:val="14"/>
  </w:num>
  <w:num w:numId="17">
    <w:abstractNumId w:val="13"/>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autoHyphenation/>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83"/>
    <w:rsid w:val="00000A27"/>
    <w:rsid w:val="0000273F"/>
    <w:rsid w:val="00002D3F"/>
    <w:rsid w:val="00003977"/>
    <w:rsid w:val="00003A2E"/>
    <w:rsid w:val="00003F08"/>
    <w:rsid w:val="00004C83"/>
    <w:rsid w:val="00006342"/>
    <w:rsid w:val="000104D1"/>
    <w:rsid w:val="0001131A"/>
    <w:rsid w:val="00011818"/>
    <w:rsid w:val="00012073"/>
    <w:rsid w:val="000127D8"/>
    <w:rsid w:val="00012E79"/>
    <w:rsid w:val="0001336E"/>
    <w:rsid w:val="00015B4A"/>
    <w:rsid w:val="000163EA"/>
    <w:rsid w:val="000164A0"/>
    <w:rsid w:val="0001680B"/>
    <w:rsid w:val="0002056B"/>
    <w:rsid w:val="00020726"/>
    <w:rsid w:val="00021615"/>
    <w:rsid w:val="00021E31"/>
    <w:rsid w:val="0002255A"/>
    <w:rsid w:val="0002360B"/>
    <w:rsid w:val="000239CB"/>
    <w:rsid w:val="00024E71"/>
    <w:rsid w:val="00025D38"/>
    <w:rsid w:val="00025F54"/>
    <w:rsid w:val="000263BB"/>
    <w:rsid w:val="000301A8"/>
    <w:rsid w:val="00030601"/>
    <w:rsid w:val="00034077"/>
    <w:rsid w:val="0003418A"/>
    <w:rsid w:val="000347A2"/>
    <w:rsid w:val="000349A2"/>
    <w:rsid w:val="0003641E"/>
    <w:rsid w:val="00036913"/>
    <w:rsid w:val="00037510"/>
    <w:rsid w:val="00037F3E"/>
    <w:rsid w:val="00040430"/>
    <w:rsid w:val="000406FB"/>
    <w:rsid w:val="00042672"/>
    <w:rsid w:val="000427DC"/>
    <w:rsid w:val="00042B70"/>
    <w:rsid w:val="00042C57"/>
    <w:rsid w:val="00042E04"/>
    <w:rsid w:val="00042EFA"/>
    <w:rsid w:val="00044920"/>
    <w:rsid w:val="0004508F"/>
    <w:rsid w:val="00045F75"/>
    <w:rsid w:val="00045F80"/>
    <w:rsid w:val="00046BE6"/>
    <w:rsid w:val="0005231B"/>
    <w:rsid w:val="00052985"/>
    <w:rsid w:val="00053730"/>
    <w:rsid w:val="0005389C"/>
    <w:rsid w:val="00054DE7"/>
    <w:rsid w:val="00054FA1"/>
    <w:rsid w:val="00055852"/>
    <w:rsid w:val="00056BE1"/>
    <w:rsid w:val="0005787F"/>
    <w:rsid w:val="000605B7"/>
    <w:rsid w:val="00060631"/>
    <w:rsid w:val="00060F79"/>
    <w:rsid w:val="000615CF"/>
    <w:rsid w:val="000616EB"/>
    <w:rsid w:val="00061C9E"/>
    <w:rsid w:val="00061DDF"/>
    <w:rsid w:val="00061F2A"/>
    <w:rsid w:val="000633C3"/>
    <w:rsid w:val="00063F99"/>
    <w:rsid w:val="00066ADB"/>
    <w:rsid w:val="00067D3C"/>
    <w:rsid w:val="00067F0D"/>
    <w:rsid w:val="00070296"/>
    <w:rsid w:val="0007082F"/>
    <w:rsid w:val="00070C37"/>
    <w:rsid w:val="00071000"/>
    <w:rsid w:val="00072016"/>
    <w:rsid w:val="00072B86"/>
    <w:rsid w:val="00072BC7"/>
    <w:rsid w:val="0007360C"/>
    <w:rsid w:val="00073B06"/>
    <w:rsid w:val="000746FA"/>
    <w:rsid w:val="000750E2"/>
    <w:rsid w:val="00075239"/>
    <w:rsid w:val="00075D78"/>
    <w:rsid w:val="00076D0D"/>
    <w:rsid w:val="00077062"/>
    <w:rsid w:val="0007732F"/>
    <w:rsid w:val="00077BEA"/>
    <w:rsid w:val="00077C9C"/>
    <w:rsid w:val="00080793"/>
    <w:rsid w:val="00080971"/>
    <w:rsid w:val="00080FC9"/>
    <w:rsid w:val="000811EE"/>
    <w:rsid w:val="00082A3D"/>
    <w:rsid w:val="0008310C"/>
    <w:rsid w:val="000832AD"/>
    <w:rsid w:val="000835EC"/>
    <w:rsid w:val="00084EBB"/>
    <w:rsid w:val="00084F6F"/>
    <w:rsid w:val="00085205"/>
    <w:rsid w:val="000862BE"/>
    <w:rsid w:val="00086317"/>
    <w:rsid w:val="00087AC7"/>
    <w:rsid w:val="000905E6"/>
    <w:rsid w:val="00090E2C"/>
    <w:rsid w:val="0009106E"/>
    <w:rsid w:val="000915ED"/>
    <w:rsid w:val="000928AC"/>
    <w:rsid w:val="00092E26"/>
    <w:rsid w:val="0009417A"/>
    <w:rsid w:val="00095825"/>
    <w:rsid w:val="000974D3"/>
    <w:rsid w:val="000A0535"/>
    <w:rsid w:val="000A0A94"/>
    <w:rsid w:val="000A13B2"/>
    <w:rsid w:val="000A187D"/>
    <w:rsid w:val="000A1B50"/>
    <w:rsid w:val="000A30E4"/>
    <w:rsid w:val="000A42C2"/>
    <w:rsid w:val="000A5FAF"/>
    <w:rsid w:val="000A7C52"/>
    <w:rsid w:val="000B185C"/>
    <w:rsid w:val="000B1A05"/>
    <w:rsid w:val="000B1A0D"/>
    <w:rsid w:val="000B1F1A"/>
    <w:rsid w:val="000B216A"/>
    <w:rsid w:val="000B22AB"/>
    <w:rsid w:val="000B2984"/>
    <w:rsid w:val="000B42BB"/>
    <w:rsid w:val="000B4602"/>
    <w:rsid w:val="000B4E54"/>
    <w:rsid w:val="000B587C"/>
    <w:rsid w:val="000B7B97"/>
    <w:rsid w:val="000B7D4B"/>
    <w:rsid w:val="000C2DE7"/>
    <w:rsid w:val="000C412D"/>
    <w:rsid w:val="000C52C3"/>
    <w:rsid w:val="000C594C"/>
    <w:rsid w:val="000C70E9"/>
    <w:rsid w:val="000C7340"/>
    <w:rsid w:val="000C7463"/>
    <w:rsid w:val="000C7595"/>
    <w:rsid w:val="000D08EB"/>
    <w:rsid w:val="000D2AE5"/>
    <w:rsid w:val="000D2F3D"/>
    <w:rsid w:val="000D36B2"/>
    <w:rsid w:val="000D4150"/>
    <w:rsid w:val="000D46D8"/>
    <w:rsid w:val="000D54B9"/>
    <w:rsid w:val="000D6CC3"/>
    <w:rsid w:val="000D72D3"/>
    <w:rsid w:val="000D735F"/>
    <w:rsid w:val="000E04EF"/>
    <w:rsid w:val="000E04F1"/>
    <w:rsid w:val="000E0733"/>
    <w:rsid w:val="000E0C41"/>
    <w:rsid w:val="000E202A"/>
    <w:rsid w:val="000E2FCD"/>
    <w:rsid w:val="000E32BB"/>
    <w:rsid w:val="000E4B90"/>
    <w:rsid w:val="000E4C0F"/>
    <w:rsid w:val="000E4D02"/>
    <w:rsid w:val="000E54D9"/>
    <w:rsid w:val="000E5A94"/>
    <w:rsid w:val="000E7838"/>
    <w:rsid w:val="000F008C"/>
    <w:rsid w:val="000F0F6D"/>
    <w:rsid w:val="000F5C53"/>
    <w:rsid w:val="000F600D"/>
    <w:rsid w:val="000F6097"/>
    <w:rsid w:val="000F60AE"/>
    <w:rsid w:val="000F70A3"/>
    <w:rsid w:val="0010090A"/>
    <w:rsid w:val="00101F25"/>
    <w:rsid w:val="001020F1"/>
    <w:rsid w:val="001027B5"/>
    <w:rsid w:val="00102F1B"/>
    <w:rsid w:val="0010341C"/>
    <w:rsid w:val="00104220"/>
    <w:rsid w:val="00105330"/>
    <w:rsid w:val="001053EE"/>
    <w:rsid w:val="00105D24"/>
    <w:rsid w:val="0010683F"/>
    <w:rsid w:val="00110851"/>
    <w:rsid w:val="00110AE5"/>
    <w:rsid w:val="00111124"/>
    <w:rsid w:val="00111A76"/>
    <w:rsid w:val="00111E18"/>
    <w:rsid w:val="00112354"/>
    <w:rsid w:val="0011298D"/>
    <w:rsid w:val="00114BCC"/>
    <w:rsid w:val="00114F49"/>
    <w:rsid w:val="00115631"/>
    <w:rsid w:val="00115683"/>
    <w:rsid w:val="0011668E"/>
    <w:rsid w:val="00117D65"/>
    <w:rsid w:val="00120342"/>
    <w:rsid w:val="00120C9B"/>
    <w:rsid w:val="00121504"/>
    <w:rsid w:val="0012154F"/>
    <w:rsid w:val="00122345"/>
    <w:rsid w:val="0012290A"/>
    <w:rsid w:val="00123C55"/>
    <w:rsid w:val="001241A2"/>
    <w:rsid w:val="0012494E"/>
    <w:rsid w:val="00125293"/>
    <w:rsid w:val="00125812"/>
    <w:rsid w:val="00125F37"/>
    <w:rsid w:val="0012697B"/>
    <w:rsid w:val="00127EDD"/>
    <w:rsid w:val="00133476"/>
    <w:rsid w:val="001343E1"/>
    <w:rsid w:val="00135091"/>
    <w:rsid w:val="0013555F"/>
    <w:rsid w:val="00137A50"/>
    <w:rsid w:val="00137D19"/>
    <w:rsid w:val="00140038"/>
    <w:rsid w:val="001409B0"/>
    <w:rsid w:val="00141418"/>
    <w:rsid w:val="00142349"/>
    <w:rsid w:val="001425C1"/>
    <w:rsid w:val="001425ED"/>
    <w:rsid w:val="00142E9F"/>
    <w:rsid w:val="00143A76"/>
    <w:rsid w:val="00143E4F"/>
    <w:rsid w:val="001452CA"/>
    <w:rsid w:val="00145A5E"/>
    <w:rsid w:val="00147C69"/>
    <w:rsid w:val="00151E6D"/>
    <w:rsid w:val="00152393"/>
    <w:rsid w:val="001523A5"/>
    <w:rsid w:val="0015269C"/>
    <w:rsid w:val="00153391"/>
    <w:rsid w:val="00155989"/>
    <w:rsid w:val="001559F0"/>
    <w:rsid w:val="00156A2D"/>
    <w:rsid w:val="00156D78"/>
    <w:rsid w:val="00157355"/>
    <w:rsid w:val="00160608"/>
    <w:rsid w:val="00161CC9"/>
    <w:rsid w:val="00163293"/>
    <w:rsid w:val="001634AA"/>
    <w:rsid w:val="00163677"/>
    <w:rsid w:val="00163F22"/>
    <w:rsid w:val="0016462D"/>
    <w:rsid w:val="001659B2"/>
    <w:rsid w:val="00165F26"/>
    <w:rsid w:val="00166A29"/>
    <w:rsid w:val="00166C86"/>
    <w:rsid w:val="00167621"/>
    <w:rsid w:val="00167A55"/>
    <w:rsid w:val="00171928"/>
    <w:rsid w:val="00171F3B"/>
    <w:rsid w:val="001720CC"/>
    <w:rsid w:val="00172362"/>
    <w:rsid w:val="00172F12"/>
    <w:rsid w:val="00173C70"/>
    <w:rsid w:val="00174BFB"/>
    <w:rsid w:val="001772D6"/>
    <w:rsid w:val="00177781"/>
    <w:rsid w:val="001801C8"/>
    <w:rsid w:val="001813AF"/>
    <w:rsid w:val="00181EA0"/>
    <w:rsid w:val="00182A9E"/>
    <w:rsid w:val="00183226"/>
    <w:rsid w:val="00183540"/>
    <w:rsid w:val="0018373F"/>
    <w:rsid w:val="00183C20"/>
    <w:rsid w:val="001840B9"/>
    <w:rsid w:val="0018456F"/>
    <w:rsid w:val="001845EA"/>
    <w:rsid w:val="00186D46"/>
    <w:rsid w:val="0018706F"/>
    <w:rsid w:val="00191083"/>
    <w:rsid w:val="00191DE9"/>
    <w:rsid w:val="001924E0"/>
    <w:rsid w:val="001925D0"/>
    <w:rsid w:val="001926D9"/>
    <w:rsid w:val="0019386C"/>
    <w:rsid w:val="00193B34"/>
    <w:rsid w:val="001945E1"/>
    <w:rsid w:val="001946E9"/>
    <w:rsid w:val="001959AD"/>
    <w:rsid w:val="00197720"/>
    <w:rsid w:val="001A0574"/>
    <w:rsid w:val="001A10E9"/>
    <w:rsid w:val="001A1295"/>
    <w:rsid w:val="001A186B"/>
    <w:rsid w:val="001A18FC"/>
    <w:rsid w:val="001A23C6"/>
    <w:rsid w:val="001A2839"/>
    <w:rsid w:val="001A2A31"/>
    <w:rsid w:val="001A30FF"/>
    <w:rsid w:val="001A363D"/>
    <w:rsid w:val="001A387C"/>
    <w:rsid w:val="001A5B61"/>
    <w:rsid w:val="001A5B8E"/>
    <w:rsid w:val="001A65D3"/>
    <w:rsid w:val="001A6897"/>
    <w:rsid w:val="001B196C"/>
    <w:rsid w:val="001B4592"/>
    <w:rsid w:val="001B556D"/>
    <w:rsid w:val="001B694B"/>
    <w:rsid w:val="001C1730"/>
    <w:rsid w:val="001C220E"/>
    <w:rsid w:val="001C2E35"/>
    <w:rsid w:val="001C31D7"/>
    <w:rsid w:val="001C5F0B"/>
    <w:rsid w:val="001C62F9"/>
    <w:rsid w:val="001C71DE"/>
    <w:rsid w:val="001D053A"/>
    <w:rsid w:val="001D22A0"/>
    <w:rsid w:val="001D2D27"/>
    <w:rsid w:val="001D3DC7"/>
    <w:rsid w:val="001D463E"/>
    <w:rsid w:val="001D5555"/>
    <w:rsid w:val="001D7DE8"/>
    <w:rsid w:val="001D7E36"/>
    <w:rsid w:val="001E06E8"/>
    <w:rsid w:val="001E0A2D"/>
    <w:rsid w:val="001E362F"/>
    <w:rsid w:val="001E3885"/>
    <w:rsid w:val="001E4BEA"/>
    <w:rsid w:val="001E506F"/>
    <w:rsid w:val="001E5B40"/>
    <w:rsid w:val="001F0629"/>
    <w:rsid w:val="001F22DC"/>
    <w:rsid w:val="001F3172"/>
    <w:rsid w:val="001F3836"/>
    <w:rsid w:val="001F4143"/>
    <w:rsid w:val="001F5D67"/>
    <w:rsid w:val="001F6753"/>
    <w:rsid w:val="0020096F"/>
    <w:rsid w:val="00201689"/>
    <w:rsid w:val="0020253F"/>
    <w:rsid w:val="00202C55"/>
    <w:rsid w:val="002031ED"/>
    <w:rsid w:val="0020489F"/>
    <w:rsid w:val="00205522"/>
    <w:rsid w:val="00205B1A"/>
    <w:rsid w:val="00207442"/>
    <w:rsid w:val="00207758"/>
    <w:rsid w:val="00210210"/>
    <w:rsid w:val="002109A4"/>
    <w:rsid w:val="0021130F"/>
    <w:rsid w:val="00213F07"/>
    <w:rsid w:val="00215068"/>
    <w:rsid w:val="00215972"/>
    <w:rsid w:val="00215B8B"/>
    <w:rsid w:val="00216003"/>
    <w:rsid w:val="002162BF"/>
    <w:rsid w:val="002175DA"/>
    <w:rsid w:val="00217CEB"/>
    <w:rsid w:val="00220346"/>
    <w:rsid w:val="00220A91"/>
    <w:rsid w:val="002213CB"/>
    <w:rsid w:val="00221573"/>
    <w:rsid w:val="00222D06"/>
    <w:rsid w:val="00223383"/>
    <w:rsid w:val="002240F1"/>
    <w:rsid w:val="002245C5"/>
    <w:rsid w:val="00224E06"/>
    <w:rsid w:val="00226198"/>
    <w:rsid w:val="00226835"/>
    <w:rsid w:val="00227372"/>
    <w:rsid w:val="0023041B"/>
    <w:rsid w:val="00230C9A"/>
    <w:rsid w:val="00231A4E"/>
    <w:rsid w:val="00231B41"/>
    <w:rsid w:val="002320F9"/>
    <w:rsid w:val="00232D9A"/>
    <w:rsid w:val="0023361C"/>
    <w:rsid w:val="00235CCE"/>
    <w:rsid w:val="002367A2"/>
    <w:rsid w:val="00237220"/>
    <w:rsid w:val="002377AE"/>
    <w:rsid w:val="00237F4A"/>
    <w:rsid w:val="0024055B"/>
    <w:rsid w:val="00240D4E"/>
    <w:rsid w:val="00241198"/>
    <w:rsid w:val="00244126"/>
    <w:rsid w:val="00244379"/>
    <w:rsid w:val="0024690F"/>
    <w:rsid w:val="0024706A"/>
    <w:rsid w:val="002472D9"/>
    <w:rsid w:val="002503FE"/>
    <w:rsid w:val="00250919"/>
    <w:rsid w:val="002524C0"/>
    <w:rsid w:val="00252FA9"/>
    <w:rsid w:val="002536FE"/>
    <w:rsid w:val="00253C4B"/>
    <w:rsid w:val="00254BA7"/>
    <w:rsid w:val="00257F9E"/>
    <w:rsid w:val="002612A8"/>
    <w:rsid w:val="002616D2"/>
    <w:rsid w:val="00261A8D"/>
    <w:rsid w:val="00261FAE"/>
    <w:rsid w:val="00262A76"/>
    <w:rsid w:val="00263CA6"/>
    <w:rsid w:val="00263EBE"/>
    <w:rsid w:val="002647E7"/>
    <w:rsid w:val="002657E0"/>
    <w:rsid w:val="00270F98"/>
    <w:rsid w:val="00271571"/>
    <w:rsid w:val="00271AEC"/>
    <w:rsid w:val="0027244E"/>
    <w:rsid w:val="00272B4B"/>
    <w:rsid w:val="00273C9B"/>
    <w:rsid w:val="00274032"/>
    <w:rsid w:val="0027476C"/>
    <w:rsid w:val="00275129"/>
    <w:rsid w:val="00276B8A"/>
    <w:rsid w:val="00276E88"/>
    <w:rsid w:val="002775C1"/>
    <w:rsid w:val="002809BB"/>
    <w:rsid w:val="00280B5B"/>
    <w:rsid w:val="00280C62"/>
    <w:rsid w:val="00280D66"/>
    <w:rsid w:val="00281188"/>
    <w:rsid w:val="002811A2"/>
    <w:rsid w:val="00282CAE"/>
    <w:rsid w:val="00282D3A"/>
    <w:rsid w:val="00283031"/>
    <w:rsid w:val="002837B3"/>
    <w:rsid w:val="00283A50"/>
    <w:rsid w:val="002845DB"/>
    <w:rsid w:val="00284EDB"/>
    <w:rsid w:val="00285142"/>
    <w:rsid w:val="0028714D"/>
    <w:rsid w:val="00290364"/>
    <w:rsid w:val="00291D5B"/>
    <w:rsid w:val="00291D8F"/>
    <w:rsid w:val="00291DE9"/>
    <w:rsid w:val="0029270A"/>
    <w:rsid w:val="0029282C"/>
    <w:rsid w:val="00292B51"/>
    <w:rsid w:val="00292CF9"/>
    <w:rsid w:val="00292ED8"/>
    <w:rsid w:val="00293497"/>
    <w:rsid w:val="002936CF"/>
    <w:rsid w:val="002940DD"/>
    <w:rsid w:val="00294B44"/>
    <w:rsid w:val="00295168"/>
    <w:rsid w:val="0029562D"/>
    <w:rsid w:val="00295D7C"/>
    <w:rsid w:val="00296758"/>
    <w:rsid w:val="002968D3"/>
    <w:rsid w:val="00296CC3"/>
    <w:rsid w:val="00297002"/>
    <w:rsid w:val="002A02EB"/>
    <w:rsid w:val="002A1705"/>
    <w:rsid w:val="002A205C"/>
    <w:rsid w:val="002A2678"/>
    <w:rsid w:val="002A320D"/>
    <w:rsid w:val="002A3B12"/>
    <w:rsid w:val="002A4889"/>
    <w:rsid w:val="002A49E9"/>
    <w:rsid w:val="002A5092"/>
    <w:rsid w:val="002A5381"/>
    <w:rsid w:val="002A5B81"/>
    <w:rsid w:val="002A6999"/>
    <w:rsid w:val="002B0A43"/>
    <w:rsid w:val="002B1512"/>
    <w:rsid w:val="002B1F50"/>
    <w:rsid w:val="002B2294"/>
    <w:rsid w:val="002B23D6"/>
    <w:rsid w:val="002B3446"/>
    <w:rsid w:val="002B45E7"/>
    <w:rsid w:val="002B4981"/>
    <w:rsid w:val="002B6051"/>
    <w:rsid w:val="002C01F7"/>
    <w:rsid w:val="002C4CC5"/>
    <w:rsid w:val="002C60B9"/>
    <w:rsid w:val="002C63DC"/>
    <w:rsid w:val="002C7187"/>
    <w:rsid w:val="002D1D3D"/>
    <w:rsid w:val="002D21C2"/>
    <w:rsid w:val="002D24B1"/>
    <w:rsid w:val="002D3670"/>
    <w:rsid w:val="002D4AB8"/>
    <w:rsid w:val="002D50A4"/>
    <w:rsid w:val="002D6A23"/>
    <w:rsid w:val="002D7F26"/>
    <w:rsid w:val="002E1D4E"/>
    <w:rsid w:val="002E1DF2"/>
    <w:rsid w:val="002E2298"/>
    <w:rsid w:val="002E2630"/>
    <w:rsid w:val="002E427A"/>
    <w:rsid w:val="002E55B0"/>
    <w:rsid w:val="002E649B"/>
    <w:rsid w:val="002E7562"/>
    <w:rsid w:val="002F1A3C"/>
    <w:rsid w:val="002F1A82"/>
    <w:rsid w:val="002F2DB7"/>
    <w:rsid w:val="002F30FB"/>
    <w:rsid w:val="002F344F"/>
    <w:rsid w:val="002F4E0A"/>
    <w:rsid w:val="002F54D9"/>
    <w:rsid w:val="002F5E5B"/>
    <w:rsid w:val="002F5F57"/>
    <w:rsid w:val="002F7353"/>
    <w:rsid w:val="002F7783"/>
    <w:rsid w:val="00300730"/>
    <w:rsid w:val="00300B4F"/>
    <w:rsid w:val="00301200"/>
    <w:rsid w:val="00302619"/>
    <w:rsid w:val="0030542A"/>
    <w:rsid w:val="00305B90"/>
    <w:rsid w:val="003061F8"/>
    <w:rsid w:val="00307DD0"/>
    <w:rsid w:val="00310D5F"/>
    <w:rsid w:val="00310F44"/>
    <w:rsid w:val="00312BC0"/>
    <w:rsid w:val="0031336E"/>
    <w:rsid w:val="00313B89"/>
    <w:rsid w:val="00314258"/>
    <w:rsid w:val="00314738"/>
    <w:rsid w:val="0031485E"/>
    <w:rsid w:val="00314B8F"/>
    <w:rsid w:val="003157A8"/>
    <w:rsid w:val="0031630D"/>
    <w:rsid w:val="00320511"/>
    <w:rsid w:val="0032089F"/>
    <w:rsid w:val="003213ED"/>
    <w:rsid w:val="00321401"/>
    <w:rsid w:val="00322857"/>
    <w:rsid w:val="00322E1A"/>
    <w:rsid w:val="00322E5A"/>
    <w:rsid w:val="00323E86"/>
    <w:rsid w:val="00325B94"/>
    <w:rsid w:val="00325BE8"/>
    <w:rsid w:val="003260DD"/>
    <w:rsid w:val="003263A6"/>
    <w:rsid w:val="0032643B"/>
    <w:rsid w:val="00327514"/>
    <w:rsid w:val="00330098"/>
    <w:rsid w:val="00330F5F"/>
    <w:rsid w:val="0033150D"/>
    <w:rsid w:val="00331EC2"/>
    <w:rsid w:val="00332914"/>
    <w:rsid w:val="003335E8"/>
    <w:rsid w:val="00333651"/>
    <w:rsid w:val="003337A2"/>
    <w:rsid w:val="003341E8"/>
    <w:rsid w:val="00336038"/>
    <w:rsid w:val="00336F1A"/>
    <w:rsid w:val="00337501"/>
    <w:rsid w:val="0033762C"/>
    <w:rsid w:val="0034046B"/>
    <w:rsid w:val="00340AEA"/>
    <w:rsid w:val="0034330B"/>
    <w:rsid w:val="00343CB6"/>
    <w:rsid w:val="00343E69"/>
    <w:rsid w:val="00344025"/>
    <w:rsid w:val="003445D5"/>
    <w:rsid w:val="00344E84"/>
    <w:rsid w:val="00345710"/>
    <w:rsid w:val="00345FC2"/>
    <w:rsid w:val="00347524"/>
    <w:rsid w:val="0034799D"/>
    <w:rsid w:val="00347ED7"/>
    <w:rsid w:val="0035020C"/>
    <w:rsid w:val="003503E9"/>
    <w:rsid w:val="00350874"/>
    <w:rsid w:val="003519AB"/>
    <w:rsid w:val="0035271E"/>
    <w:rsid w:val="0035358E"/>
    <w:rsid w:val="00353B49"/>
    <w:rsid w:val="0035436F"/>
    <w:rsid w:val="00354405"/>
    <w:rsid w:val="00355DE5"/>
    <w:rsid w:val="00356D2B"/>
    <w:rsid w:val="00356D7F"/>
    <w:rsid w:val="00357B56"/>
    <w:rsid w:val="00360A16"/>
    <w:rsid w:val="00360F84"/>
    <w:rsid w:val="003620DC"/>
    <w:rsid w:val="003623A8"/>
    <w:rsid w:val="003629B4"/>
    <w:rsid w:val="003654E4"/>
    <w:rsid w:val="003668C6"/>
    <w:rsid w:val="00367B6A"/>
    <w:rsid w:val="00367F35"/>
    <w:rsid w:val="003705BD"/>
    <w:rsid w:val="003720DD"/>
    <w:rsid w:val="00372198"/>
    <w:rsid w:val="00372615"/>
    <w:rsid w:val="003728A5"/>
    <w:rsid w:val="003728F0"/>
    <w:rsid w:val="003731DC"/>
    <w:rsid w:val="003747FE"/>
    <w:rsid w:val="00376127"/>
    <w:rsid w:val="00376E88"/>
    <w:rsid w:val="00377064"/>
    <w:rsid w:val="003803B4"/>
    <w:rsid w:val="003805B7"/>
    <w:rsid w:val="00380CB2"/>
    <w:rsid w:val="00381AB4"/>
    <w:rsid w:val="00381C39"/>
    <w:rsid w:val="00382716"/>
    <w:rsid w:val="00382A37"/>
    <w:rsid w:val="003843D9"/>
    <w:rsid w:val="003847AC"/>
    <w:rsid w:val="003869B1"/>
    <w:rsid w:val="003874D1"/>
    <w:rsid w:val="00387A77"/>
    <w:rsid w:val="0039143A"/>
    <w:rsid w:val="00393148"/>
    <w:rsid w:val="0039358C"/>
    <w:rsid w:val="003936FE"/>
    <w:rsid w:val="00393D00"/>
    <w:rsid w:val="00395925"/>
    <w:rsid w:val="00395DC2"/>
    <w:rsid w:val="0039605D"/>
    <w:rsid w:val="003961E3"/>
    <w:rsid w:val="00396625"/>
    <w:rsid w:val="0039688E"/>
    <w:rsid w:val="003A1942"/>
    <w:rsid w:val="003A19C1"/>
    <w:rsid w:val="003A26AD"/>
    <w:rsid w:val="003A26C1"/>
    <w:rsid w:val="003A32C4"/>
    <w:rsid w:val="003A38AA"/>
    <w:rsid w:val="003A436E"/>
    <w:rsid w:val="003A47A9"/>
    <w:rsid w:val="003A4965"/>
    <w:rsid w:val="003A4ED6"/>
    <w:rsid w:val="003A63D0"/>
    <w:rsid w:val="003A7D62"/>
    <w:rsid w:val="003B02F0"/>
    <w:rsid w:val="003B0A62"/>
    <w:rsid w:val="003B0AA8"/>
    <w:rsid w:val="003B4DE9"/>
    <w:rsid w:val="003B56D2"/>
    <w:rsid w:val="003B57C1"/>
    <w:rsid w:val="003B59B9"/>
    <w:rsid w:val="003B68D6"/>
    <w:rsid w:val="003B69C9"/>
    <w:rsid w:val="003C04F9"/>
    <w:rsid w:val="003C13CF"/>
    <w:rsid w:val="003C176F"/>
    <w:rsid w:val="003C2105"/>
    <w:rsid w:val="003C2B0F"/>
    <w:rsid w:val="003C3B7F"/>
    <w:rsid w:val="003C43A2"/>
    <w:rsid w:val="003C481E"/>
    <w:rsid w:val="003C4CFB"/>
    <w:rsid w:val="003C5219"/>
    <w:rsid w:val="003C587E"/>
    <w:rsid w:val="003C60B1"/>
    <w:rsid w:val="003D0488"/>
    <w:rsid w:val="003D0666"/>
    <w:rsid w:val="003D13F9"/>
    <w:rsid w:val="003D2F6B"/>
    <w:rsid w:val="003D33E9"/>
    <w:rsid w:val="003D4476"/>
    <w:rsid w:val="003D45FE"/>
    <w:rsid w:val="003D4A51"/>
    <w:rsid w:val="003D51DD"/>
    <w:rsid w:val="003D62AC"/>
    <w:rsid w:val="003D7090"/>
    <w:rsid w:val="003D7D77"/>
    <w:rsid w:val="003E010F"/>
    <w:rsid w:val="003E11DB"/>
    <w:rsid w:val="003E123F"/>
    <w:rsid w:val="003E312C"/>
    <w:rsid w:val="003E5611"/>
    <w:rsid w:val="003E5CA4"/>
    <w:rsid w:val="003E6F43"/>
    <w:rsid w:val="003E7740"/>
    <w:rsid w:val="003E788C"/>
    <w:rsid w:val="003F00F9"/>
    <w:rsid w:val="003F062B"/>
    <w:rsid w:val="003F1A1E"/>
    <w:rsid w:val="003F1A7F"/>
    <w:rsid w:val="003F1E29"/>
    <w:rsid w:val="003F23E2"/>
    <w:rsid w:val="003F2A1A"/>
    <w:rsid w:val="003F353A"/>
    <w:rsid w:val="003F3C56"/>
    <w:rsid w:val="003F3FD8"/>
    <w:rsid w:val="003F5293"/>
    <w:rsid w:val="003F5EAB"/>
    <w:rsid w:val="003F5EEC"/>
    <w:rsid w:val="003F6493"/>
    <w:rsid w:val="003F6835"/>
    <w:rsid w:val="003F683B"/>
    <w:rsid w:val="003F7A7D"/>
    <w:rsid w:val="00400AA3"/>
    <w:rsid w:val="00401F71"/>
    <w:rsid w:val="00402C46"/>
    <w:rsid w:val="00402D87"/>
    <w:rsid w:val="00407AF7"/>
    <w:rsid w:val="00407B3B"/>
    <w:rsid w:val="0041138F"/>
    <w:rsid w:val="0041151C"/>
    <w:rsid w:val="00414055"/>
    <w:rsid w:val="00422EF5"/>
    <w:rsid w:val="00424005"/>
    <w:rsid w:val="0042497D"/>
    <w:rsid w:val="004249AB"/>
    <w:rsid w:val="00425984"/>
    <w:rsid w:val="00425C09"/>
    <w:rsid w:val="00425FD1"/>
    <w:rsid w:val="00426041"/>
    <w:rsid w:val="00426755"/>
    <w:rsid w:val="00426A19"/>
    <w:rsid w:val="00427204"/>
    <w:rsid w:val="00427D79"/>
    <w:rsid w:val="00431D87"/>
    <w:rsid w:val="00431F82"/>
    <w:rsid w:val="004320DC"/>
    <w:rsid w:val="004322ED"/>
    <w:rsid w:val="00432F81"/>
    <w:rsid w:val="0043406C"/>
    <w:rsid w:val="00435A7B"/>
    <w:rsid w:val="00435CCB"/>
    <w:rsid w:val="00436006"/>
    <w:rsid w:val="004362D9"/>
    <w:rsid w:val="00436E40"/>
    <w:rsid w:val="00437461"/>
    <w:rsid w:val="0044027A"/>
    <w:rsid w:val="004408AE"/>
    <w:rsid w:val="004421E0"/>
    <w:rsid w:val="004422E1"/>
    <w:rsid w:val="004432C6"/>
    <w:rsid w:val="00443563"/>
    <w:rsid w:val="00444162"/>
    <w:rsid w:val="00444D7A"/>
    <w:rsid w:val="00444FC2"/>
    <w:rsid w:val="00444FCD"/>
    <w:rsid w:val="0044669B"/>
    <w:rsid w:val="0044697B"/>
    <w:rsid w:val="0044754F"/>
    <w:rsid w:val="004505F1"/>
    <w:rsid w:val="0045102B"/>
    <w:rsid w:val="0045179D"/>
    <w:rsid w:val="00452534"/>
    <w:rsid w:val="004530D0"/>
    <w:rsid w:val="00453E60"/>
    <w:rsid w:val="00454012"/>
    <w:rsid w:val="00454A2D"/>
    <w:rsid w:val="00454DC7"/>
    <w:rsid w:val="00455F34"/>
    <w:rsid w:val="00456566"/>
    <w:rsid w:val="00457750"/>
    <w:rsid w:val="00457792"/>
    <w:rsid w:val="00457B0C"/>
    <w:rsid w:val="00457FDB"/>
    <w:rsid w:val="0046026D"/>
    <w:rsid w:val="00460D47"/>
    <w:rsid w:val="00461221"/>
    <w:rsid w:val="00461563"/>
    <w:rsid w:val="004616E0"/>
    <w:rsid w:val="004618A2"/>
    <w:rsid w:val="00462B45"/>
    <w:rsid w:val="004634B7"/>
    <w:rsid w:val="004639EA"/>
    <w:rsid w:val="00463E5C"/>
    <w:rsid w:val="0046493C"/>
    <w:rsid w:val="00467688"/>
    <w:rsid w:val="00470994"/>
    <w:rsid w:val="00472424"/>
    <w:rsid w:val="00474462"/>
    <w:rsid w:val="004749D0"/>
    <w:rsid w:val="00474EDC"/>
    <w:rsid w:val="004762E8"/>
    <w:rsid w:val="0047751E"/>
    <w:rsid w:val="00477B23"/>
    <w:rsid w:val="00477F15"/>
    <w:rsid w:val="00480D58"/>
    <w:rsid w:val="00481204"/>
    <w:rsid w:val="004814EE"/>
    <w:rsid w:val="004818F3"/>
    <w:rsid w:val="00482AFF"/>
    <w:rsid w:val="004836FF"/>
    <w:rsid w:val="004847E1"/>
    <w:rsid w:val="00484DBB"/>
    <w:rsid w:val="00485A0D"/>
    <w:rsid w:val="0048724D"/>
    <w:rsid w:val="00487C3A"/>
    <w:rsid w:val="004905C0"/>
    <w:rsid w:val="00492B9B"/>
    <w:rsid w:val="00492E67"/>
    <w:rsid w:val="0049347F"/>
    <w:rsid w:val="004944FC"/>
    <w:rsid w:val="00495582"/>
    <w:rsid w:val="00497FD0"/>
    <w:rsid w:val="004A0CC8"/>
    <w:rsid w:val="004A0FED"/>
    <w:rsid w:val="004A1C12"/>
    <w:rsid w:val="004A2080"/>
    <w:rsid w:val="004A2563"/>
    <w:rsid w:val="004A2572"/>
    <w:rsid w:val="004A2817"/>
    <w:rsid w:val="004A2B75"/>
    <w:rsid w:val="004A2CA9"/>
    <w:rsid w:val="004A38F6"/>
    <w:rsid w:val="004A416B"/>
    <w:rsid w:val="004A4E1F"/>
    <w:rsid w:val="004A5710"/>
    <w:rsid w:val="004A57F9"/>
    <w:rsid w:val="004A6623"/>
    <w:rsid w:val="004A729B"/>
    <w:rsid w:val="004A7456"/>
    <w:rsid w:val="004A7A8A"/>
    <w:rsid w:val="004B0B96"/>
    <w:rsid w:val="004B0EA5"/>
    <w:rsid w:val="004B10F4"/>
    <w:rsid w:val="004B11DA"/>
    <w:rsid w:val="004B16F2"/>
    <w:rsid w:val="004B1860"/>
    <w:rsid w:val="004B1F3A"/>
    <w:rsid w:val="004B2252"/>
    <w:rsid w:val="004B2427"/>
    <w:rsid w:val="004B3215"/>
    <w:rsid w:val="004B376C"/>
    <w:rsid w:val="004B3C37"/>
    <w:rsid w:val="004B423B"/>
    <w:rsid w:val="004B5794"/>
    <w:rsid w:val="004B6081"/>
    <w:rsid w:val="004B641D"/>
    <w:rsid w:val="004B7479"/>
    <w:rsid w:val="004C006B"/>
    <w:rsid w:val="004C01CB"/>
    <w:rsid w:val="004C0F1A"/>
    <w:rsid w:val="004C34A1"/>
    <w:rsid w:val="004C54D2"/>
    <w:rsid w:val="004C5C7E"/>
    <w:rsid w:val="004D1542"/>
    <w:rsid w:val="004D16DC"/>
    <w:rsid w:val="004D1B97"/>
    <w:rsid w:val="004D3157"/>
    <w:rsid w:val="004D3B48"/>
    <w:rsid w:val="004D4357"/>
    <w:rsid w:val="004D5732"/>
    <w:rsid w:val="004D5835"/>
    <w:rsid w:val="004D795E"/>
    <w:rsid w:val="004E07CC"/>
    <w:rsid w:val="004E08A2"/>
    <w:rsid w:val="004E1ACA"/>
    <w:rsid w:val="004E219F"/>
    <w:rsid w:val="004E22B1"/>
    <w:rsid w:val="004E2685"/>
    <w:rsid w:val="004E2BD1"/>
    <w:rsid w:val="004E2FDE"/>
    <w:rsid w:val="004E46BC"/>
    <w:rsid w:val="004E46FF"/>
    <w:rsid w:val="004E51BE"/>
    <w:rsid w:val="004E549D"/>
    <w:rsid w:val="004E54F8"/>
    <w:rsid w:val="004E58B8"/>
    <w:rsid w:val="004E5978"/>
    <w:rsid w:val="004E5A5F"/>
    <w:rsid w:val="004E5BB5"/>
    <w:rsid w:val="004E5C2B"/>
    <w:rsid w:val="004E70FA"/>
    <w:rsid w:val="004F1062"/>
    <w:rsid w:val="004F2436"/>
    <w:rsid w:val="004F31BC"/>
    <w:rsid w:val="004F3399"/>
    <w:rsid w:val="004F72FF"/>
    <w:rsid w:val="004F73D9"/>
    <w:rsid w:val="00500572"/>
    <w:rsid w:val="00500DA6"/>
    <w:rsid w:val="00500E98"/>
    <w:rsid w:val="00501305"/>
    <w:rsid w:val="00501A8C"/>
    <w:rsid w:val="00502109"/>
    <w:rsid w:val="00502832"/>
    <w:rsid w:val="00502DF9"/>
    <w:rsid w:val="005031F9"/>
    <w:rsid w:val="00503A6A"/>
    <w:rsid w:val="005045B4"/>
    <w:rsid w:val="00504AF5"/>
    <w:rsid w:val="00506C31"/>
    <w:rsid w:val="0050706F"/>
    <w:rsid w:val="00507553"/>
    <w:rsid w:val="00507B3B"/>
    <w:rsid w:val="00510477"/>
    <w:rsid w:val="00511023"/>
    <w:rsid w:val="00511996"/>
    <w:rsid w:val="005149DA"/>
    <w:rsid w:val="00515D75"/>
    <w:rsid w:val="0051652D"/>
    <w:rsid w:val="00516BAD"/>
    <w:rsid w:val="005179A4"/>
    <w:rsid w:val="00520D08"/>
    <w:rsid w:val="00520E19"/>
    <w:rsid w:val="00521BB5"/>
    <w:rsid w:val="00522007"/>
    <w:rsid w:val="00523303"/>
    <w:rsid w:val="00523CA3"/>
    <w:rsid w:val="005241E4"/>
    <w:rsid w:val="00524365"/>
    <w:rsid w:val="00525C36"/>
    <w:rsid w:val="0052721F"/>
    <w:rsid w:val="0053195F"/>
    <w:rsid w:val="00532E0F"/>
    <w:rsid w:val="00533844"/>
    <w:rsid w:val="00534683"/>
    <w:rsid w:val="00534688"/>
    <w:rsid w:val="00535B92"/>
    <w:rsid w:val="00535BE3"/>
    <w:rsid w:val="005367AD"/>
    <w:rsid w:val="005368AD"/>
    <w:rsid w:val="005369C4"/>
    <w:rsid w:val="00541042"/>
    <w:rsid w:val="005429DC"/>
    <w:rsid w:val="00542B18"/>
    <w:rsid w:val="005431E8"/>
    <w:rsid w:val="00543397"/>
    <w:rsid w:val="00544867"/>
    <w:rsid w:val="0054497B"/>
    <w:rsid w:val="0054507A"/>
    <w:rsid w:val="005457CA"/>
    <w:rsid w:val="00545D4A"/>
    <w:rsid w:val="0054732A"/>
    <w:rsid w:val="00550120"/>
    <w:rsid w:val="00550B70"/>
    <w:rsid w:val="0055100E"/>
    <w:rsid w:val="00551881"/>
    <w:rsid w:val="00554216"/>
    <w:rsid w:val="005548EB"/>
    <w:rsid w:val="00554CD7"/>
    <w:rsid w:val="00555CA5"/>
    <w:rsid w:val="00557835"/>
    <w:rsid w:val="00562266"/>
    <w:rsid w:val="00563378"/>
    <w:rsid w:val="00564FF4"/>
    <w:rsid w:val="00565538"/>
    <w:rsid w:val="005658D2"/>
    <w:rsid w:val="00565C5C"/>
    <w:rsid w:val="00566D6E"/>
    <w:rsid w:val="00567100"/>
    <w:rsid w:val="005674E8"/>
    <w:rsid w:val="005700B0"/>
    <w:rsid w:val="00570322"/>
    <w:rsid w:val="005709ED"/>
    <w:rsid w:val="0057135E"/>
    <w:rsid w:val="00571F0B"/>
    <w:rsid w:val="005741FF"/>
    <w:rsid w:val="00575472"/>
    <w:rsid w:val="00575DFF"/>
    <w:rsid w:val="005769D2"/>
    <w:rsid w:val="00576A07"/>
    <w:rsid w:val="00576DD6"/>
    <w:rsid w:val="005774A6"/>
    <w:rsid w:val="0058114B"/>
    <w:rsid w:val="00581916"/>
    <w:rsid w:val="00583AF6"/>
    <w:rsid w:val="00585CE4"/>
    <w:rsid w:val="005863E1"/>
    <w:rsid w:val="00586999"/>
    <w:rsid w:val="0058728D"/>
    <w:rsid w:val="00587423"/>
    <w:rsid w:val="00587618"/>
    <w:rsid w:val="005876C8"/>
    <w:rsid w:val="00587841"/>
    <w:rsid w:val="00587F1B"/>
    <w:rsid w:val="005904D0"/>
    <w:rsid w:val="005912AA"/>
    <w:rsid w:val="005918D9"/>
    <w:rsid w:val="00592384"/>
    <w:rsid w:val="0059262E"/>
    <w:rsid w:val="00592762"/>
    <w:rsid w:val="00594452"/>
    <w:rsid w:val="00594D92"/>
    <w:rsid w:val="00595DC1"/>
    <w:rsid w:val="00596047"/>
    <w:rsid w:val="00596C3A"/>
    <w:rsid w:val="00596C87"/>
    <w:rsid w:val="00596D31"/>
    <w:rsid w:val="005978B5"/>
    <w:rsid w:val="00597D22"/>
    <w:rsid w:val="005A015F"/>
    <w:rsid w:val="005A0838"/>
    <w:rsid w:val="005A1EA3"/>
    <w:rsid w:val="005A2261"/>
    <w:rsid w:val="005A2431"/>
    <w:rsid w:val="005A2583"/>
    <w:rsid w:val="005A2812"/>
    <w:rsid w:val="005A4217"/>
    <w:rsid w:val="005A5801"/>
    <w:rsid w:val="005A5D0C"/>
    <w:rsid w:val="005A62FB"/>
    <w:rsid w:val="005A646A"/>
    <w:rsid w:val="005A6736"/>
    <w:rsid w:val="005A7230"/>
    <w:rsid w:val="005A7DA2"/>
    <w:rsid w:val="005A7F95"/>
    <w:rsid w:val="005B0B57"/>
    <w:rsid w:val="005B11B4"/>
    <w:rsid w:val="005B1986"/>
    <w:rsid w:val="005B1B96"/>
    <w:rsid w:val="005B2802"/>
    <w:rsid w:val="005B2D18"/>
    <w:rsid w:val="005B3AEF"/>
    <w:rsid w:val="005B3BA5"/>
    <w:rsid w:val="005B4DA6"/>
    <w:rsid w:val="005B5381"/>
    <w:rsid w:val="005B7951"/>
    <w:rsid w:val="005C01DC"/>
    <w:rsid w:val="005C08DA"/>
    <w:rsid w:val="005C4719"/>
    <w:rsid w:val="005C6DC8"/>
    <w:rsid w:val="005C72AE"/>
    <w:rsid w:val="005C73A8"/>
    <w:rsid w:val="005C744E"/>
    <w:rsid w:val="005C7DA0"/>
    <w:rsid w:val="005D0133"/>
    <w:rsid w:val="005D0677"/>
    <w:rsid w:val="005D0BE7"/>
    <w:rsid w:val="005D2D87"/>
    <w:rsid w:val="005D43B5"/>
    <w:rsid w:val="005D44B4"/>
    <w:rsid w:val="005D4DA4"/>
    <w:rsid w:val="005D513E"/>
    <w:rsid w:val="005D5150"/>
    <w:rsid w:val="005D5A37"/>
    <w:rsid w:val="005E0114"/>
    <w:rsid w:val="005E1DA6"/>
    <w:rsid w:val="005E4A88"/>
    <w:rsid w:val="005E5BD6"/>
    <w:rsid w:val="005E6832"/>
    <w:rsid w:val="005E7895"/>
    <w:rsid w:val="005F0078"/>
    <w:rsid w:val="005F01B4"/>
    <w:rsid w:val="005F08C6"/>
    <w:rsid w:val="005F097B"/>
    <w:rsid w:val="005F0A87"/>
    <w:rsid w:val="005F35BB"/>
    <w:rsid w:val="005F5006"/>
    <w:rsid w:val="005F5085"/>
    <w:rsid w:val="005F5A59"/>
    <w:rsid w:val="005F5D8D"/>
    <w:rsid w:val="005F66D1"/>
    <w:rsid w:val="005F6934"/>
    <w:rsid w:val="005F777C"/>
    <w:rsid w:val="006013B4"/>
    <w:rsid w:val="0060373F"/>
    <w:rsid w:val="00603ED4"/>
    <w:rsid w:val="00604707"/>
    <w:rsid w:val="00607164"/>
    <w:rsid w:val="006104A6"/>
    <w:rsid w:val="00610B42"/>
    <w:rsid w:val="00610B72"/>
    <w:rsid w:val="006110E1"/>
    <w:rsid w:val="00612629"/>
    <w:rsid w:val="00613852"/>
    <w:rsid w:val="00613948"/>
    <w:rsid w:val="00613DB4"/>
    <w:rsid w:val="006144E1"/>
    <w:rsid w:val="00614E88"/>
    <w:rsid w:val="00616199"/>
    <w:rsid w:val="00617E1E"/>
    <w:rsid w:val="0062181A"/>
    <w:rsid w:val="006220ED"/>
    <w:rsid w:val="00622434"/>
    <w:rsid w:val="006229EE"/>
    <w:rsid w:val="00624328"/>
    <w:rsid w:val="006245C3"/>
    <w:rsid w:val="00625F35"/>
    <w:rsid w:val="00626EF2"/>
    <w:rsid w:val="006310BA"/>
    <w:rsid w:val="006312AF"/>
    <w:rsid w:val="00632B89"/>
    <w:rsid w:val="00634A79"/>
    <w:rsid w:val="00635213"/>
    <w:rsid w:val="0064054B"/>
    <w:rsid w:val="00640560"/>
    <w:rsid w:val="00641626"/>
    <w:rsid w:val="00641AB9"/>
    <w:rsid w:val="00641C0A"/>
    <w:rsid w:val="0064215C"/>
    <w:rsid w:val="00642DF5"/>
    <w:rsid w:val="00643867"/>
    <w:rsid w:val="00644DAC"/>
    <w:rsid w:val="006460A5"/>
    <w:rsid w:val="0064638E"/>
    <w:rsid w:val="00646448"/>
    <w:rsid w:val="00646A95"/>
    <w:rsid w:val="0064793D"/>
    <w:rsid w:val="006505E4"/>
    <w:rsid w:val="00650AB8"/>
    <w:rsid w:val="00653C51"/>
    <w:rsid w:val="00655AC0"/>
    <w:rsid w:val="00655B31"/>
    <w:rsid w:val="00657E36"/>
    <w:rsid w:val="00660826"/>
    <w:rsid w:val="00661EDF"/>
    <w:rsid w:val="00663823"/>
    <w:rsid w:val="00663A27"/>
    <w:rsid w:val="006640D2"/>
    <w:rsid w:val="00664B6E"/>
    <w:rsid w:val="00665FAA"/>
    <w:rsid w:val="00666F19"/>
    <w:rsid w:val="0066737C"/>
    <w:rsid w:val="00670A71"/>
    <w:rsid w:val="00672993"/>
    <w:rsid w:val="00672A83"/>
    <w:rsid w:val="00674336"/>
    <w:rsid w:val="00674944"/>
    <w:rsid w:val="00674CD7"/>
    <w:rsid w:val="00675350"/>
    <w:rsid w:val="00676568"/>
    <w:rsid w:val="00676976"/>
    <w:rsid w:val="00680173"/>
    <w:rsid w:val="006809D4"/>
    <w:rsid w:val="00680ABE"/>
    <w:rsid w:val="00683002"/>
    <w:rsid w:val="006840DC"/>
    <w:rsid w:val="00686E6E"/>
    <w:rsid w:val="006870E9"/>
    <w:rsid w:val="00687480"/>
    <w:rsid w:val="00690358"/>
    <w:rsid w:val="00690558"/>
    <w:rsid w:val="0069115F"/>
    <w:rsid w:val="0069168A"/>
    <w:rsid w:val="00691A3B"/>
    <w:rsid w:val="00691C16"/>
    <w:rsid w:val="00691F06"/>
    <w:rsid w:val="00692426"/>
    <w:rsid w:val="006925DE"/>
    <w:rsid w:val="006943CC"/>
    <w:rsid w:val="006969C3"/>
    <w:rsid w:val="006A0638"/>
    <w:rsid w:val="006A19D1"/>
    <w:rsid w:val="006A2F43"/>
    <w:rsid w:val="006A4216"/>
    <w:rsid w:val="006A50A9"/>
    <w:rsid w:val="006A5B0F"/>
    <w:rsid w:val="006A6033"/>
    <w:rsid w:val="006A691E"/>
    <w:rsid w:val="006A6A96"/>
    <w:rsid w:val="006A798F"/>
    <w:rsid w:val="006B00BA"/>
    <w:rsid w:val="006B10FE"/>
    <w:rsid w:val="006B11D9"/>
    <w:rsid w:val="006B14DC"/>
    <w:rsid w:val="006B220F"/>
    <w:rsid w:val="006B795D"/>
    <w:rsid w:val="006C028A"/>
    <w:rsid w:val="006C1924"/>
    <w:rsid w:val="006C26E6"/>
    <w:rsid w:val="006C434B"/>
    <w:rsid w:val="006C4A1C"/>
    <w:rsid w:val="006C5C61"/>
    <w:rsid w:val="006C635F"/>
    <w:rsid w:val="006C6608"/>
    <w:rsid w:val="006C7DE7"/>
    <w:rsid w:val="006C7ECB"/>
    <w:rsid w:val="006D09DE"/>
    <w:rsid w:val="006D0DC6"/>
    <w:rsid w:val="006D1753"/>
    <w:rsid w:val="006D3496"/>
    <w:rsid w:val="006D35DF"/>
    <w:rsid w:val="006D3865"/>
    <w:rsid w:val="006D434E"/>
    <w:rsid w:val="006D4446"/>
    <w:rsid w:val="006D5A00"/>
    <w:rsid w:val="006D5C82"/>
    <w:rsid w:val="006D7419"/>
    <w:rsid w:val="006D78C0"/>
    <w:rsid w:val="006E129B"/>
    <w:rsid w:val="006E18E7"/>
    <w:rsid w:val="006E1CC9"/>
    <w:rsid w:val="006E21F6"/>
    <w:rsid w:val="006E23C8"/>
    <w:rsid w:val="006E2753"/>
    <w:rsid w:val="006E2FA1"/>
    <w:rsid w:val="006E30BC"/>
    <w:rsid w:val="006E3D42"/>
    <w:rsid w:val="006E6D49"/>
    <w:rsid w:val="006F0B61"/>
    <w:rsid w:val="006F28BC"/>
    <w:rsid w:val="006F3262"/>
    <w:rsid w:val="006F3CA0"/>
    <w:rsid w:val="006F581C"/>
    <w:rsid w:val="006F5E57"/>
    <w:rsid w:val="006F662E"/>
    <w:rsid w:val="006F6A6C"/>
    <w:rsid w:val="006F7AAF"/>
    <w:rsid w:val="007000A4"/>
    <w:rsid w:val="00700D13"/>
    <w:rsid w:val="00700E0D"/>
    <w:rsid w:val="00701AE7"/>
    <w:rsid w:val="00701D05"/>
    <w:rsid w:val="007026B8"/>
    <w:rsid w:val="0070516C"/>
    <w:rsid w:val="00706F1F"/>
    <w:rsid w:val="007072E4"/>
    <w:rsid w:val="00707431"/>
    <w:rsid w:val="00707993"/>
    <w:rsid w:val="0071035D"/>
    <w:rsid w:val="00710F56"/>
    <w:rsid w:val="00711A07"/>
    <w:rsid w:val="00712332"/>
    <w:rsid w:val="0071271A"/>
    <w:rsid w:val="0071462B"/>
    <w:rsid w:val="00714F85"/>
    <w:rsid w:val="00717FCE"/>
    <w:rsid w:val="00721731"/>
    <w:rsid w:val="0072198E"/>
    <w:rsid w:val="007245F9"/>
    <w:rsid w:val="00724B53"/>
    <w:rsid w:val="00724F2D"/>
    <w:rsid w:val="00725A96"/>
    <w:rsid w:val="0072675C"/>
    <w:rsid w:val="0072677C"/>
    <w:rsid w:val="007271C4"/>
    <w:rsid w:val="007272BD"/>
    <w:rsid w:val="0072752E"/>
    <w:rsid w:val="007278B9"/>
    <w:rsid w:val="0073071E"/>
    <w:rsid w:val="00730A98"/>
    <w:rsid w:val="00730C3A"/>
    <w:rsid w:val="007311DF"/>
    <w:rsid w:val="00731524"/>
    <w:rsid w:val="00731838"/>
    <w:rsid w:val="00731D5D"/>
    <w:rsid w:val="007329C2"/>
    <w:rsid w:val="007342BA"/>
    <w:rsid w:val="007353C1"/>
    <w:rsid w:val="00736ADD"/>
    <w:rsid w:val="00737F1F"/>
    <w:rsid w:val="00741620"/>
    <w:rsid w:val="0074166C"/>
    <w:rsid w:val="007424B4"/>
    <w:rsid w:val="007431F4"/>
    <w:rsid w:val="007441E2"/>
    <w:rsid w:val="007446E2"/>
    <w:rsid w:val="00744F1A"/>
    <w:rsid w:val="007456C3"/>
    <w:rsid w:val="00746046"/>
    <w:rsid w:val="00746069"/>
    <w:rsid w:val="0074711B"/>
    <w:rsid w:val="00747130"/>
    <w:rsid w:val="00750C6C"/>
    <w:rsid w:val="00752906"/>
    <w:rsid w:val="00752A6B"/>
    <w:rsid w:val="00753588"/>
    <w:rsid w:val="00753A6E"/>
    <w:rsid w:val="00753EB8"/>
    <w:rsid w:val="007552E5"/>
    <w:rsid w:val="00756A11"/>
    <w:rsid w:val="00756A99"/>
    <w:rsid w:val="00756BFF"/>
    <w:rsid w:val="00757616"/>
    <w:rsid w:val="00761037"/>
    <w:rsid w:val="00761FC5"/>
    <w:rsid w:val="00763692"/>
    <w:rsid w:val="0076556D"/>
    <w:rsid w:val="00765EA7"/>
    <w:rsid w:val="00766194"/>
    <w:rsid w:val="007671A6"/>
    <w:rsid w:val="00767C75"/>
    <w:rsid w:val="00770259"/>
    <w:rsid w:val="00770B66"/>
    <w:rsid w:val="00770F0B"/>
    <w:rsid w:val="00770FB7"/>
    <w:rsid w:val="007712F5"/>
    <w:rsid w:val="0077167B"/>
    <w:rsid w:val="00771EA1"/>
    <w:rsid w:val="00771FAC"/>
    <w:rsid w:val="0077216A"/>
    <w:rsid w:val="00772D89"/>
    <w:rsid w:val="007730DF"/>
    <w:rsid w:val="0077451A"/>
    <w:rsid w:val="00775048"/>
    <w:rsid w:val="00775310"/>
    <w:rsid w:val="0077564F"/>
    <w:rsid w:val="00775DA6"/>
    <w:rsid w:val="0077675A"/>
    <w:rsid w:val="0077718D"/>
    <w:rsid w:val="00777A46"/>
    <w:rsid w:val="00782719"/>
    <w:rsid w:val="00782F0F"/>
    <w:rsid w:val="00783953"/>
    <w:rsid w:val="00783EAA"/>
    <w:rsid w:val="007842AD"/>
    <w:rsid w:val="0078483F"/>
    <w:rsid w:val="00786417"/>
    <w:rsid w:val="007869B4"/>
    <w:rsid w:val="00787046"/>
    <w:rsid w:val="00790248"/>
    <w:rsid w:val="00792498"/>
    <w:rsid w:val="00792AD1"/>
    <w:rsid w:val="00793243"/>
    <w:rsid w:val="00794565"/>
    <w:rsid w:val="0079534C"/>
    <w:rsid w:val="007A012E"/>
    <w:rsid w:val="007A08E8"/>
    <w:rsid w:val="007A09ED"/>
    <w:rsid w:val="007A1D76"/>
    <w:rsid w:val="007A294D"/>
    <w:rsid w:val="007A2E3B"/>
    <w:rsid w:val="007A2EDF"/>
    <w:rsid w:val="007A33E0"/>
    <w:rsid w:val="007A619A"/>
    <w:rsid w:val="007B1230"/>
    <w:rsid w:val="007B205F"/>
    <w:rsid w:val="007B2F20"/>
    <w:rsid w:val="007B35CB"/>
    <w:rsid w:val="007B3AF1"/>
    <w:rsid w:val="007B4414"/>
    <w:rsid w:val="007B5CDF"/>
    <w:rsid w:val="007B6E4B"/>
    <w:rsid w:val="007C02B2"/>
    <w:rsid w:val="007C26C4"/>
    <w:rsid w:val="007C3CE2"/>
    <w:rsid w:val="007C505C"/>
    <w:rsid w:val="007C6409"/>
    <w:rsid w:val="007C66B4"/>
    <w:rsid w:val="007D1334"/>
    <w:rsid w:val="007D15DA"/>
    <w:rsid w:val="007D1937"/>
    <w:rsid w:val="007D26FB"/>
    <w:rsid w:val="007D3FE5"/>
    <w:rsid w:val="007D48A5"/>
    <w:rsid w:val="007D4E3B"/>
    <w:rsid w:val="007D5991"/>
    <w:rsid w:val="007D5B9D"/>
    <w:rsid w:val="007D5D81"/>
    <w:rsid w:val="007E2572"/>
    <w:rsid w:val="007E2738"/>
    <w:rsid w:val="007E2844"/>
    <w:rsid w:val="007E3079"/>
    <w:rsid w:val="007E31EB"/>
    <w:rsid w:val="007E326D"/>
    <w:rsid w:val="007E332F"/>
    <w:rsid w:val="007E415C"/>
    <w:rsid w:val="007E4260"/>
    <w:rsid w:val="007E4490"/>
    <w:rsid w:val="007E5462"/>
    <w:rsid w:val="007E5707"/>
    <w:rsid w:val="007E571F"/>
    <w:rsid w:val="007E63DE"/>
    <w:rsid w:val="007E6BA0"/>
    <w:rsid w:val="007E73D6"/>
    <w:rsid w:val="007E7CB0"/>
    <w:rsid w:val="007F03D8"/>
    <w:rsid w:val="007F079D"/>
    <w:rsid w:val="007F1158"/>
    <w:rsid w:val="007F2171"/>
    <w:rsid w:val="007F282B"/>
    <w:rsid w:val="007F2967"/>
    <w:rsid w:val="007F2E27"/>
    <w:rsid w:val="007F325A"/>
    <w:rsid w:val="007F53EC"/>
    <w:rsid w:val="007F5BCB"/>
    <w:rsid w:val="007F5D60"/>
    <w:rsid w:val="007F63AC"/>
    <w:rsid w:val="007F7818"/>
    <w:rsid w:val="0080139C"/>
    <w:rsid w:val="00801512"/>
    <w:rsid w:val="008017EC"/>
    <w:rsid w:val="00801850"/>
    <w:rsid w:val="00802574"/>
    <w:rsid w:val="00802ADE"/>
    <w:rsid w:val="00803E59"/>
    <w:rsid w:val="00804746"/>
    <w:rsid w:val="00804EB5"/>
    <w:rsid w:val="008053FF"/>
    <w:rsid w:val="00806591"/>
    <w:rsid w:val="00807CAD"/>
    <w:rsid w:val="00807CE7"/>
    <w:rsid w:val="00810788"/>
    <w:rsid w:val="0081138C"/>
    <w:rsid w:val="00811AB7"/>
    <w:rsid w:val="00811E6A"/>
    <w:rsid w:val="008135D0"/>
    <w:rsid w:val="0081401F"/>
    <w:rsid w:val="00814288"/>
    <w:rsid w:val="008168BF"/>
    <w:rsid w:val="00817AAE"/>
    <w:rsid w:val="00822B38"/>
    <w:rsid w:val="0082370A"/>
    <w:rsid w:val="00824090"/>
    <w:rsid w:val="00824BF5"/>
    <w:rsid w:val="0082581D"/>
    <w:rsid w:val="00827754"/>
    <w:rsid w:val="00827E89"/>
    <w:rsid w:val="00830F31"/>
    <w:rsid w:val="008330E2"/>
    <w:rsid w:val="00833E62"/>
    <w:rsid w:val="00834FB1"/>
    <w:rsid w:val="00835136"/>
    <w:rsid w:val="00836ED3"/>
    <w:rsid w:val="00837478"/>
    <w:rsid w:val="00840230"/>
    <w:rsid w:val="00841023"/>
    <w:rsid w:val="00842D8E"/>
    <w:rsid w:val="008436DE"/>
    <w:rsid w:val="00843B15"/>
    <w:rsid w:val="00845C6B"/>
    <w:rsid w:val="008461D0"/>
    <w:rsid w:val="008478F8"/>
    <w:rsid w:val="00847F8A"/>
    <w:rsid w:val="0085000D"/>
    <w:rsid w:val="0085100C"/>
    <w:rsid w:val="00851250"/>
    <w:rsid w:val="00851E93"/>
    <w:rsid w:val="00851F1E"/>
    <w:rsid w:val="008526AF"/>
    <w:rsid w:val="00852C0E"/>
    <w:rsid w:val="00852D48"/>
    <w:rsid w:val="0085338D"/>
    <w:rsid w:val="008534EB"/>
    <w:rsid w:val="008536C9"/>
    <w:rsid w:val="00853F46"/>
    <w:rsid w:val="0085479A"/>
    <w:rsid w:val="00855420"/>
    <w:rsid w:val="0085567C"/>
    <w:rsid w:val="00857CB5"/>
    <w:rsid w:val="00857E03"/>
    <w:rsid w:val="00860630"/>
    <w:rsid w:val="008619A8"/>
    <w:rsid w:val="00862AA9"/>
    <w:rsid w:val="00862E6E"/>
    <w:rsid w:val="00865446"/>
    <w:rsid w:val="0086701C"/>
    <w:rsid w:val="008671C9"/>
    <w:rsid w:val="00867ACB"/>
    <w:rsid w:val="008711FE"/>
    <w:rsid w:val="00871443"/>
    <w:rsid w:val="00871730"/>
    <w:rsid w:val="0087312D"/>
    <w:rsid w:val="008749A8"/>
    <w:rsid w:val="00875872"/>
    <w:rsid w:val="00876C73"/>
    <w:rsid w:val="0087758B"/>
    <w:rsid w:val="008779EC"/>
    <w:rsid w:val="00877CE9"/>
    <w:rsid w:val="00881476"/>
    <w:rsid w:val="0088189D"/>
    <w:rsid w:val="008819DC"/>
    <w:rsid w:val="00883050"/>
    <w:rsid w:val="0088442E"/>
    <w:rsid w:val="00884E04"/>
    <w:rsid w:val="0088555C"/>
    <w:rsid w:val="00885C4E"/>
    <w:rsid w:val="00887D14"/>
    <w:rsid w:val="00890896"/>
    <w:rsid w:val="00890C4D"/>
    <w:rsid w:val="0089178C"/>
    <w:rsid w:val="00893004"/>
    <w:rsid w:val="0089323B"/>
    <w:rsid w:val="00894629"/>
    <w:rsid w:val="00894A62"/>
    <w:rsid w:val="00894EDD"/>
    <w:rsid w:val="008958A6"/>
    <w:rsid w:val="00896166"/>
    <w:rsid w:val="00896BC0"/>
    <w:rsid w:val="00896F34"/>
    <w:rsid w:val="00897020"/>
    <w:rsid w:val="00897EFF"/>
    <w:rsid w:val="008A10E7"/>
    <w:rsid w:val="008A158E"/>
    <w:rsid w:val="008A1BEB"/>
    <w:rsid w:val="008A1C5C"/>
    <w:rsid w:val="008A233C"/>
    <w:rsid w:val="008A2A36"/>
    <w:rsid w:val="008A352B"/>
    <w:rsid w:val="008A40BF"/>
    <w:rsid w:val="008A4138"/>
    <w:rsid w:val="008A5562"/>
    <w:rsid w:val="008A5E01"/>
    <w:rsid w:val="008A5FB0"/>
    <w:rsid w:val="008A6083"/>
    <w:rsid w:val="008A67F1"/>
    <w:rsid w:val="008A69EC"/>
    <w:rsid w:val="008A72F4"/>
    <w:rsid w:val="008B0A30"/>
    <w:rsid w:val="008B0B5C"/>
    <w:rsid w:val="008B1FD9"/>
    <w:rsid w:val="008B24F8"/>
    <w:rsid w:val="008B2736"/>
    <w:rsid w:val="008B6E1E"/>
    <w:rsid w:val="008B787E"/>
    <w:rsid w:val="008B7E8C"/>
    <w:rsid w:val="008C1610"/>
    <w:rsid w:val="008C3969"/>
    <w:rsid w:val="008C4065"/>
    <w:rsid w:val="008C5A10"/>
    <w:rsid w:val="008C63AC"/>
    <w:rsid w:val="008C6708"/>
    <w:rsid w:val="008D022C"/>
    <w:rsid w:val="008D0AEC"/>
    <w:rsid w:val="008D1AF1"/>
    <w:rsid w:val="008D24CF"/>
    <w:rsid w:val="008D27AD"/>
    <w:rsid w:val="008D2B31"/>
    <w:rsid w:val="008D373A"/>
    <w:rsid w:val="008D3E94"/>
    <w:rsid w:val="008D427C"/>
    <w:rsid w:val="008D6072"/>
    <w:rsid w:val="008D6FCF"/>
    <w:rsid w:val="008D7D4D"/>
    <w:rsid w:val="008E06D7"/>
    <w:rsid w:val="008E140F"/>
    <w:rsid w:val="008E201E"/>
    <w:rsid w:val="008E22B4"/>
    <w:rsid w:val="008E2955"/>
    <w:rsid w:val="008E315E"/>
    <w:rsid w:val="008E3663"/>
    <w:rsid w:val="008E4BAB"/>
    <w:rsid w:val="008E4DF6"/>
    <w:rsid w:val="008E5E16"/>
    <w:rsid w:val="008E726D"/>
    <w:rsid w:val="008F09F7"/>
    <w:rsid w:val="008F0C23"/>
    <w:rsid w:val="008F0D42"/>
    <w:rsid w:val="008F0F17"/>
    <w:rsid w:val="008F2270"/>
    <w:rsid w:val="008F2C22"/>
    <w:rsid w:val="008F2CED"/>
    <w:rsid w:val="008F4B5C"/>
    <w:rsid w:val="008F516A"/>
    <w:rsid w:val="008F5F47"/>
    <w:rsid w:val="008F66EE"/>
    <w:rsid w:val="008F74F1"/>
    <w:rsid w:val="0090189F"/>
    <w:rsid w:val="00901AF6"/>
    <w:rsid w:val="00901CA9"/>
    <w:rsid w:val="00901DCC"/>
    <w:rsid w:val="00902734"/>
    <w:rsid w:val="0090501E"/>
    <w:rsid w:val="00906288"/>
    <w:rsid w:val="00906D71"/>
    <w:rsid w:val="00906DF3"/>
    <w:rsid w:val="00910183"/>
    <w:rsid w:val="0091028C"/>
    <w:rsid w:val="0091043A"/>
    <w:rsid w:val="00913C13"/>
    <w:rsid w:val="00914211"/>
    <w:rsid w:val="0091447E"/>
    <w:rsid w:val="009146C7"/>
    <w:rsid w:val="0091550C"/>
    <w:rsid w:val="0091600C"/>
    <w:rsid w:val="00917C51"/>
    <w:rsid w:val="00920159"/>
    <w:rsid w:val="00920330"/>
    <w:rsid w:val="009218D9"/>
    <w:rsid w:val="009222B4"/>
    <w:rsid w:val="00922B11"/>
    <w:rsid w:val="009253FA"/>
    <w:rsid w:val="00925A22"/>
    <w:rsid w:val="0093021D"/>
    <w:rsid w:val="00931BC2"/>
    <w:rsid w:val="00932447"/>
    <w:rsid w:val="00932464"/>
    <w:rsid w:val="00932605"/>
    <w:rsid w:val="00933FB9"/>
    <w:rsid w:val="0093403D"/>
    <w:rsid w:val="009349AA"/>
    <w:rsid w:val="009352B2"/>
    <w:rsid w:val="0093607A"/>
    <w:rsid w:val="00936269"/>
    <w:rsid w:val="00936A10"/>
    <w:rsid w:val="009408FC"/>
    <w:rsid w:val="0094185F"/>
    <w:rsid w:val="0094239E"/>
    <w:rsid w:val="00942715"/>
    <w:rsid w:val="00943B69"/>
    <w:rsid w:val="00943B73"/>
    <w:rsid w:val="009447FD"/>
    <w:rsid w:val="00945F9A"/>
    <w:rsid w:val="00947AD3"/>
    <w:rsid w:val="00950057"/>
    <w:rsid w:val="00951471"/>
    <w:rsid w:val="00953B9A"/>
    <w:rsid w:val="0095407E"/>
    <w:rsid w:val="00955DBC"/>
    <w:rsid w:val="0095604F"/>
    <w:rsid w:val="009648A1"/>
    <w:rsid w:val="00964DB0"/>
    <w:rsid w:val="0096546D"/>
    <w:rsid w:val="00965631"/>
    <w:rsid w:val="00966E47"/>
    <w:rsid w:val="0096714D"/>
    <w:rsid w:val="00967737"/>
    <w:rsid w:val="0097051C"/>
    <w:rsid w:val="00971C6D"/>
    <w:rsid w:val="00971FD6"/>
    <w:rsid w:val="009721D0"/>
    <w:rsid w:val="00972278"/>
    <w:rsid w:val="009722E5"/>
    <w:rsid w:val="00972784"/>
    <w:rsid w:val="0097301D"/>
    <w:rsid w:val="00973792"/>
    <w:rsid w:val="00974B00"/>
    <w:rsid w:val="00974D5A"/>
    <w:rsid w:val="0097657C"/>
    <w:rsid w:val="00980A46"/>
    <w:rsid w:val="00980C8C"/>
    <w:rsid w:val="00981785"/>
    <w:rsid w:val="00981D8F"/>
    <w:rsid w:val="0098419D"/>
    <w:rsid w:val="00984DBE"/>
    <w:rsid w:val="00984F19"/>
    <w:rsid w:val="00990AA3"/>
    <w:rsid w:val="00991881"/>
    <w:rsid w:val="00991E33"/>
    <w:rsid w:val="0099289B"/>
    <w:rsid w:val="00992D05"/>
    <w:rsid w:val="0099351D"/>
    <w:rsid w:val="00993C53"/>
    <w:rsid w:val="00994310"/>
    <w:rsid w:val="00994B99"/>
    <w:rsid w:val="00996328"/>
    <w:rsid w:val="00996C27"/>
    <w:rsid w:val="0099796B"/>
    <w:rsid w:val="009A0581"/>
    <w:rsid w:val="009A08C6"/>
    <w:rsid w:val="009A0CA8"/>
    <w:rsid w:val="009A156E"/>
    <w:rsid w:val="009A2AC2"/>
    <w:rsid w:val="009A2C6D"/>
    <w:rsid w:val="009A3167"/>
    <w:rsid w:val="009A371E"/>
    <w:rsid w:val="009A38B9"/>
    <w:rsid w:val="009A4AF1"/>
    <w:rsid w:val="009A5EED"/>
    <w:rsid w:val="009A6516"/>
    <w:rsid w:val="009A7192"/>
    <w:rsid w:val="009A7206"/>
    <w:rsid w:val="009A74D8"/>
    <w:rsid w:val="009A7515"/>
    <w:rsid w:val="009A7705"/>
    <w:rsid w:val="009B1031"/>
    <w:rsid w:val="009B109F"/>
    <w:rsid w:val="009B2A9A"/>
    <w:rsid w:val="009B2B25"/>
    <w:rsid w:val="009B33FB"/>
    <w:rsid w:val="009B3C24"/>
    <w:rsid w:val="009B3C98"/>
    <w:rsid w:val="009B4B53"/>
    <w:rsid w:val="009B646D"/>
    <w:rsid w:val="009B75F1"/>
    <w:rsid w:val="009B7870"/>
    <w:rsid w:val="009B797F"/>
    <w:rsid w:val="009C1633"/>
    <w:rsid w:val="009C1780"/>
    <w:rsid w:val="009C2E34"/>
    <w:rsid w:val="009C3536"/>
    <w:rsid w:val="009C3DA9"/>
    <w:rsid w:val="009C4680"/>
    <w:rsid w:val="009C4D3E"/>
    <w:rsid w:val="009C56C5"/>
    <w:rsid w:val="009D0839"/>
    <w:rsid w:val="009D0B28"/>
    <w:rsid w:val="009D0EDF"/>
    <w:rsid w:val="009D19C6"/>
    <w:rsid w:val="009D2AD9"/>
    <w:rsid w:val="009D30BC"/>
    <w:rsid w:val="009D401D"/>
    <w:rsid w:val="009D7662"/>
    <w:rsid w:val="009D7AC5"/>
    <w:rsid w:val="009E005A"/>
    <w:rsid w:val="009E01C3"/>
    <w:rsid w:val="009E16AF"/>
    <w:rsid w:val="009E213A"/>
    <w:rsid w:val="009E35DB"/>
    <w:rsid w:val="009E3835"/>
    <w:rsid w:val="009E3959"/>
    <w:rsid w:val="009E40CF"/>
    <w:rsid w:val="009E44A0"/>
    <w:rsid w:val="009E5634"/>
    <w:rsid w:val="009E618F"/>
    <w:rsid w:val="009E6853"/>
    <w:rsid w:val="009E6A93"/>
    <w:rsid w:val="009E6DA4"/>
    <w:rsid w:val="009E7300"/>
    <w:rsid w:val="009E7DF2"/>
    <w:rsid w:val="009F1594"/>
    <w:rsid w:val="009F36FA"/>
    <w:rsid w:val="009F3E7E"/>
    <w:rsid w:val="009F47EB"/>
    <w:rsid w:val="009F4A94"/>
    <w:rsid w:val="009F51AA"/>
    <w:rsid w:val="009F5712"/>
    <w:rsid w:val="009F6148"/>
    <w:rsid w:val="009F6716"/>
    <w:rsid w:val="009F7C3F"/>
    <w:rsid w:val="00A00BBE"/>
    <w:rsid w:val="00A00C1A"/>
    <w:rsid w:val="00A016CA"/>
    <w:rsid w:val="00A02AF0"/>
    <w:rsid w:val="00A02EA9"/>
    <w:rsid w:val="00A035B2"/>
    <w:rsid w:val="00A051D7"/>
    <w:rsid w:val="00A05327"/>
    <w:rsid w:val="00A05D6A"/>
    <w:rsid w:val="00A06193"/>
    <w:rsid w:val="00A0629C"/>
    <w:rsid w:val="00A0699F"/>
    <w:rsid w:val="00A06E21"/>
    <w:rsid w:val="00A06E63"/>
    <w:rsid w:val="00A078BE"/>
    <w:rsid w:val="00A07A0B"/>
    <w:rsid w:val="00A10520"/>
    <w:rsid w:val="00A118EE"/>
    <w:rsid w:val="00A1262E"/>
    <w:rsid w:val="00A1279D"/>
    <w:rsid w:val="00A132DD"/>
    <w:rsid w:val="00A141DE"/>
    <w:rsid w:val="00A141ED"/>
    <w:rsid w:val="00A156CE"/>
    <w:rsid w:val="00A164AF"/>
    <w:rsid w:val="00A17096"/>
    <w:rsid w:val="00A201C8"/>
    <w:rsid w:val="00A206EB"/>
    <w:rsid w:val="00A2146D"/>
    <w:rsid w:val="00A23DFF"/>
    <w:rsid w:val="00A24D18"/>
    <w:rsid w:val="00A24D1D"/>
    <w:rsid w:val="00A2540E"/>
    <w:rsid w:val="00A257F7"/>
    <w:rsid w:val="00A2637B"/>
    <w:rsid w:val="00A3088D"/>
    <w:rsid w:val="00A30C90"/>
    <w:rsid w:val="00A319B6"/>
    <w:rsid w:val="00A32FFD"/>
    <w:rsid w:val="00A342E6"/>
    <w:rsid w:val="00A36262"/>
    <w:rsid w:val="00A37220"/>
    <w:rsid w:val="00A404F0"/>
    <w:rsid w:val="00A40697"/>
    <w:rsid w:val="00A41F09"/>
    <w:rsid w:val="00A42C23"/>
    <w:rsid w:val="00A4401C"/>
    <w:rsid w:val="00A4487C"/>
    <w:rsid w:val="00A4544E"/>
    <w:rsid w:val="00A45E2D"/>
    <w:rsid w:val="00A46CAD"/>
    <w:rsid w:val="00A476F2"/>
    <w:rsid w:val="00A500B4"/>
    <w:rsid w:val="00A51361"/>
    <w:rsid w:val="00A513DC"/>
    <w:rsid w:val="00A52BBA"/>
    <w:rsid w:val="00A532F7"/>
    <w:rsid w:val="00A535A4"/>
    <w:rsid w:val="00A552D0"/>
    <w:rsid w:val="00A556A7"/>
    <w:rsid w:val="00A55DA3"/>
    <w:rsid w:val="00A574F8"/>
    <w:rsid w:val="00A601AE"/>
    <w:rsid w:val="00A60A42"/>
    <w:rsid w:val="00A60E71"/>
    <w:rsid w:val="00A613C6"/>
    <w:rsid w:val="00A62933"/>
    <w:rsid w:val="00A63263"/>
    <w:rsid w:val="00A63871"/>
    <w:rsid w:val="00A63DB3"/>
    <w:rsid w:val="00A63E26"/>
    <w:rsid w:val="00A64748"/>
    <w:rsid w:val="00A64803"/>
    <w:rsid w:val="00A648C2"/>
    <w:rsid w:val="00A64AE9"/>
    <w:rsid w:val="00A64F3A"/>
    <w:rsid w:val="00A65170"/>
    <w:rsid w:val="00A66259"/>
    <w:rsid w:val="00A6632E"/>
    <w:rsid w:val="00A66CAD"/>
    <w:rsid w:val="00A67878"/>
    <w:rsid w:val="00A73B18"/>
    <w:rsid w:val="00A73DF1"/>
    <w:rsid w:val="00A76727"/>
    <w:rsid w:val="00A83191"/>
    <w:rsid w:val="00A83856"/>
    <w:rsid w:val="00A84E4C"/>
    <w:rsid w:val="00A850D7"/>
    <w:rsid w:val="00A8530D"/>
    <w:rsid w:val="00A85E02"/>
    <w:rsid w:val="00A86232"/>
    <w:rsid w:val="00A874F2"/>
    <w:rsid w:val="00A8759C"/>
    <w:rsid w:val="00A91012"/>
    <w:rsid w:val="00A91C61"/>
    <w:rsid w:val="00A92877"/>
    <w:rsid w:val="00A92F6C"/>
    <w:rsid w:val="00A964AF"/>
    <w:rsid w:val="00A96783"/>
    <w:rsid w:val="00A96D6F"/>
    <w:rsid w:val="00AA158A"/>
    <w:rsid w:val="00AA1F37"/>
    <w:rsid w:val="00AA346E"/>
    <w:rsid w:val="00AA34EC"/>
    <w:rsid w:val="00AA35D0"/>
    <w:rsid w:val="00AA3BCC"/>
    <w:rsid w:val="00AA4471"/>
    <w:rsid w:val="00AA6792"/>
    <w:rsid w:val="00AA7DF0"/>
    <w:rsid w:val="00AB0709"/>
    <w:rsid w:val="00AB0B00"/>
    <w:rsid w:val="00AB16C8"/>
    <w:rsid w:val="00AB17E0"/>
    <w:rsid w:val="00AB2B9A"/>
    <w:rsid w:val="00AB2BC2"/>
    <w:rsid w:val="00AB3265"/>
    <w:rsid w:val="00AB3CD8"/>
    <w:rsid w:val="00AB577B"/>
    <w:rsid w:val="00AB58AC"/>
    <w:rsid w:val="00AB614F"/>
    <w:rsid w:val="00AB6EBB"/>
    <w:rsid w:val="00AB7529"/>
    <w:rsid w:val="00AB7557"/>
    <w:rsid w:val="00AC0060"/>
    <w:rsid w:val="00AC0142"/>
    <w:rsid w:val="00AC01F8"/>
    <w:rsid w:val="00AC0E9E"/>
    <w:rsid w:val="00AC22EB"/>
    <w:rsid w:val="00AC2ECF"/>
    <w:rsid w:val="00AC314D"/>
    <w:rsid w:val="00AC44D2"/>
    <w:rsid w:val="00AC5D6C"/>
    <w:rsid w:val="00AC72D6"/>
    <w:rsid w:val="00AC7394"/>
    <w:rsid w:val="00AD088F"/>
    <w:rsid w:val="00AD0E2C"/>
    <w:rsid w:val="00AD121A"/>
    <w:rsid w:val="00AD1334"/>
    <w:rsid w:val="00AD1F05"/>
    <w:rsid w:val="00AD222F"/>
    <w:rsid w:val="00AD2FDC"/>
    <w:rsid w:val="00AD37DD"/>
    <w:rsid w:val="00AD3F46"/>
    <w:rsid w:val="00AD486E"/>
    <w:rsid w:val="00AD4D48"/>
    <w:rsid w:val="00AD5003"/>
    <w:rsid w:val="00AD53A8"/>
    <w:rsid w:val="00AD6538"/>
    <w:rsid w:val="00AD6D07"/>
    <w:rsid w:val="00AE0228"/>
    <w:rsid w:val="00AE038D"/>
    <w:rsid w:val="00AE0F40"/>
    <w:rsid w:val="00AE1A1D"/>
    <w:rsid w:val="00AE32AC"/>
    <w:rsid w:val="00AE3E28"/>
    <w:rsid w:val="00AE4CF3"/>
    <w:rsid w:val="00AE52B2"/>
    <w:rsid w:val="00AE593B"/>
    <w:rsid w:val="00AE6010"/>
    <w:rsid w:val="00AF2A75"/>
    <w:rsid w:val="00AF43B3"/>
    <w:rsid w:val="00AF4760"/>
    <w:rsid w:val="00AF479D"/>
    <w:rsid w:val="00AF5F87"/>
    <w:rsid w:val="00AF5FF8"/>
    <w:rsid w:val="00AF606D"/>
    <w:rsid w:val="00AF66F5"/>
    <w:rsid w:val="00B00A94"/>
    <w:rsid w:val="00B012CF"/>
    <w:rsid w:val="00B0146F"/>
    <w:rsid w:val="00B01F9C"/>
    <w:rsid w:val="00B01FE8"/>
    <w:rsid w:val="00B0213F"/>
    <w:rsid w:val="00B02D52"/>
    <w:rsid w:val="00B04A6F"/>
    <w:rsid w:val="00B04AAA"/>
    <w:rsid w:val="00B04C58"/>
    <w:rsid w:val="00B0561C"/>
    <w:rsid w:val="00B05AB2"/>
    <w:rsid w:val="00B07304"/>
    <w:rsid w:val="00B079C3"/>
    <w:rsid w:val="00B10920"/>
    <w:rsid w:val="00B114A3"/>
    <w:rsid w:val="00B117E0"/>
    <w:rsid w:val="00B125B3"/>
    <w:rsid w:val="00B12B2B"/>
    <w:rsid w:val="00B13136"/>
    <w:rsid w:val="00B136A3"/>
    <w:rsid w:val="00B14566"/>
    <w:rsid w:val="00B15D61"/>
    <w:rsid w:val="00B172E4"/>
    <w:rsid w:val="00B174F1"/>
    <w:rsid w:val="00B17AE2"/>
    <w:rsid w:val="00B2037D"/>
    <w:rsid w:val="00B211C1"/>
    <w:rsid w:val="00B21FEB"/>
    <w:rsid w:val="00B2240D"/>
    <w:rsid w:val="00B22FE9"/>
    <w:rsid w:val="00B23716"/>
    <w:rsid w:val="00B23788"/>
    <w:rsid w:val="00B24085"/>
    <w:rsid w:val="00B2421E"/>
    <w:rsid w:val="00B246F5"/>
    <w:rsid w:val="00B24A3D"/>
    <w:rsid w:val="00B24F68"/>
    <w:rsid w:val="00B2673A"/>
    <w:rsid w:val="00B3060B"/>
    <w:rsid w:val="00B30782"/>
    <w:rsid w:val="00B30D6B"/>
    <w:rsid w:val="00B32C5B"/>
    <w:rsid w:val="00B33055"/>
    <w:rsid w:val="00B33D96"/>
    <w:rsid w:val="00B362F3"/>
    <w:rsid w:val="00B370A9"/>
    <w:rsid w:val="00B3733D"/>
    <w:rsid w:val="00B41C20"/>
    <w:rsid w:val="00B41F32"/>
    <w:rsid w:val="00B4237F"/>
    <w:rsid w:val="00B43564"/>
    <w:rsid w:val="00B43F08"/>
    <w:rsid w:val="00B4424A"/>
    <w:rsid w:val="00B44D38"/>
    <w:rsid w:val="00B456AA"/>
    <w:rsid w:val="00B472BD"/>
    <w:rsid w:val="00B47B14"/>
    <w:rsid w:val="00B47CAA"/>
    <w:rsid w:val="00B50F46"/>
    <w:rsid w:val="00B531B6"/>
    <w:rsid w:val="00B538D4"/>
    <w:rsid w:val="00B53F6D"/>
    <w:rsid w:val="00B54D56"/>
    <w:rsid w:val="00B550C3"/>
    <w:rsid w:val="00B556A0"/>
    <w:rsid w:val="00B55B18"/>
    <w:rsid w:val="00B55E81"/>
    <w:rsid w:val="00B56821"/>
    <w:rsid w:val="00B609A3"/>
    <w:rsid w:val="00B6373B"/>
    <w:rsid w:val="00B64018"/>
    <w:rsid w:val="00B641B3"/>
    <w:rsid w:val="00B65782"/>
    <w:rsid w:val="00B657DA"/>
    <w:rsid w:val="00B66EAB"/>
    <w:rsid w:val="00B66F74"/>
    <w:rsid w:val="00B67DAE"/>
    <w:rsid w:val="00B67ED0"/>
    <w:rsid w:val="00B70074"/>
    <w:rsid w:val="00B70F7A"/>
    <w:rsid w:val="00B71E9A"/>
    <w:rsid w:val="00B73270"/>
    <w:rsid w:val="00B737F1"/>
    <w:rsid w:val="00B73BCE"/>
    <w:rsid w:val="00B73F46"/>
    <w:rsid w:val="00B75EB1"/>
    <w:rsid w:val="00B76237"/>
    <w:rsid w:val="00B76E7A"/>
    <w:rsid w:val="00B77795"/>
    <w:rsid w:val="00B77945"/>
    <w:rsid w:val="00B8074E"/>
    <w:rsid w:val="00B823DC"/>
    <w:rsid w:val="00B82F33"/>
    <w:rsid w:val="00B841F3"/>
    <w:rsid w:val="00B8554C"/>
    <w:rsid w:val="00B85F8B"/>
    <w:rsid w:val="00B86257"/>
    <w:rsid w:val="00B86645"/>
    <w:rsid w:val="00B87DD5"/>
    <w:rsid w:val="00B90F5C"/>
    <w:rsid w:val="00B92A63"/>
    <w:rsid w:val="00B93380"/>
    <w:rsid w:val="00B93E5D"/>
    <w:rsid w:val="00B95969"/>
    <w:rsid w:val="00B968AA"/>
    <w:rsid w:val="00B96B4A"/>
    <w:rsid w:val="00B97D25"/>
    <w:rsid w:val="00BA0D55"/>
    <w:rsid w:val="00BA0F7D"/>
    <w:rsid w:val="00BA132D"/>
    <w:rsid w:val="00BA17B0"/>
    <w:rsid w:val="00BA1967"/>
    <w:rsid w:val="00BA2B61"/>
    <w:rsid w:val="00BA3206"/>
    <w:rsid w:val="00BA4E3F"/>
    <w:rsid w:val="00BA5820"/>
    <w:rsid w:val="00BA71CB"/>
    <w:rsid w:val="00BA7CF0"/>
    <w:rsid w:val="00BA7F15"/>
    <w:rsid w:val="00BB0476"/>
    <w:rsid w:val="00BB0918"/>
    <w:rsid w:val="00BB1EA9"/>
    <w:rsid w:val="00BB3242"/>
    <w:rsid w:val="00BB3852"/>
    <w:rsid w:val="00BB3BED"/>
    <w:rsid w:val="00BB4385"/>
    <w:rsid w:val="00BB45AD"/>
    <w:rsid w:val="00BB6304"/>
    <w:rsid w:val="00BB761B"/>
    <w:rsid w:val="00BC0583"/>
    <w:rsid w:val="00BC06FA"/>
    <w:rsid w:val="00BC2605"/>
    <w:rsid w:val="00BC2747"/>
    <w:rsid w:val="00BC275A"/>
    <w:rsid w:val="00BC2B94"/>
    <w:rsid w:val="00BC2DB1"/>
    <w:rsid w:val="00BC3183"/>
    <w:rsid w:val="00BC3573"/>
    <w:rsid w:val="00BC3EE1"/>
    <w:rsid w:val="00BC50EF"/>
    <w:rsid w:val="00BC5454"/>
    <w:rsid w:val="00BC724C"/>
    <w:rsid w:val="00BC7471"/>
    <w:rsid w:val="00BD049F"/>
    <w:rsid w:val="00BD09EA"/>
    <w:rsid w:val="00BD1D4D"/>
    <w:rsid w:val="00BD22DB"/>
    <w:rsid w:val="00BD2364"/>
    <w:rsid w:val="00BD2608"/>
    <w:rsid w:val="00BD31FC"/>
    <w:rsid w:val="00BD3BAA"/>
    <w:rsid w:val="00BD409A"/>
    <w:rsid w:val="00BD4CA8"/>
    <w:rsid w:val="00BD4EC8"/>
    <w:rsid w:val="00BD4EFF"/>
    <w:rsid w:val="00BD6780"/>
    <w:rsid w:val="00BD7FF4"/>
    <w:rsid w:val="00BE1B12"/>
    <w:rsid w:val="00BE21A9"/>
    <w:rsid w:val="00BE242D"/>
    <w:rsid w:val="00BE2535"/>
    <w:rsid w:val="00BE30B9"/>
    <w:rsid w:val="00BE4D19"/>
    <w:rsid w:val="00BE6876"/>
    <w:rsid w:val="00BE71B9"/>
    <w:rsid w:val="00BF01F5"/>
    <w:rsid w:val="00BF1628"/>
    <w:rsid w:val="00BF1872"/>
    <w:rsid w:val="00BF18BA"/>
    <w:rsid w:val="00BF1978"/>
    <w:rsid w:val="00BF2339"/>
    <w:rsid w:val="00BF236B"/>
    <w:rsid w:val="00BF2A81"/>
    <w:rsid w:val="00BF2DB6"/>
    <w:rsid w:val="00BF35A4"/>
    <w:rsid w:val="00BF42AA"/>
    <w:rsid w:val="00BF4B6E"/>
    <w:rsid w:val="00BF57DA"/>
    <w:rsid w:val="00BF5CB3"/>
    <w:rsid w:val="00BF6DE3"/>
    <w:rsid w:val="00BF70CC"/>
    <w:rsid w:val="00BF79C1"/>
    <w:rsid w:val="00C000A8"/>
    <w:rsid w:val="00C00935"/>
    <w:rsid w:val="00C01240"/>
    <w:rsid w:val="00C015B7"/>
    <w:rsid w:val="00C016D2"/>
    <w:rsid w:val="00C01750"/>
    <w:rsid w:val="00C01A61"/>
    <w:rsid w:val="00C01A90"/>
    <w:rsid w:val="00C02796"/>
    <w:rsid w:val="00C029E2"/>
    <w:rsid w:val="00C02C99"/>
    <w:rsid w:val="00C03B49"/>
    <w:rsid w:val="00C03D99"/>
    <w:rsid w:val="00C0550B"/>
    <w:rsid w:val="00C05677"/>
    <w:rsid w:val="00C05784"/>
    <w:rsid w:val="00C05CA8"/>
    <w:rsid w:val="00C05E73"/>
    <w:rsid w:val="00C05E8A"/>
    <w:rsid w:val="00C06CAA"/>
    <w:rsid w:val="00C10816"/>
    <w:rsid w:val="00C10C60"/>
    <w:rsid w:val="00C11C6F"/>
    <w:rsid w:val="00C13008"/>
    <w:rsid w:val="00C13438"/>
    <w:rsid w:val="00C1422D"/>
    <w:rsid w:val="00C146BE"/>
    <w:rsid w:val="00C150C7"/>
    <w:rsid w:val="00C15E3F"/>
    <w:rsid w:val="00C17E4C"/>
    <w:rsid w:val="00C205EB"/>
    <w:rsid w:val="00C2088D"/>
    <w:rsid w:val="00C20D5E"/>
    <w:rsid w:val="00C20EC4"/>
    <w:rsid w:val="00C22935"/>
    <w:rsid w:val="00C22E1A"/>
    <w:rsid w:val="00C23102"/>
    <w:rsid w:val="00C26006"/>
    <w:rsid w:val="00C26A3C"/>
    <w:rsid w:val="00C27710"/>
    <w:rsid w:val="00C30DE3"/>
    <w:rsid w:val="00C30F6C"/>
    <w:rsid w:val="00C30FD5"/>
    <w:rsid w:val="00C34BE1"/>
    <w:rsid w:val="00C34E18"/>
    <w:rsid w:val="00C34F11"/>
    <w:rsid w:val="00C34FFE"/>
    <w:rsid w:val="00C36B1D"/>
    <w:rsid w:val="00C37504"/>
    <w:rsid w:val="00C37714"/>
    <w:rsid w:val="00C406EE"/>
    <w:rsid w:val="00C418BC"/>
    <w:rsid w:val="00C4348B"/>
    <w:rsid w:val="00C44B73"/>
    <w:rsid w:val="00C452FB"/>
    <w:rsid w:val="00C45E56"/>
    <w:rsid w:val="00C46146"/>
    <w:rsid w:val="00C46610"/>
    <w:rsid w:val="00C46A9D"/>
    <w:rsid w:val="00C46B2C"/>
    <w:rsid w:val="00C4716C"/>
    <w:rsid w:val="00C476C2"/>
    <w:rsid w:val="00C50317"/>
    <w:rsid w:val="00C507A3"/>
    <w:rsid w:val="00C511D9"/>
    <w:rsid w:val="00C51E8E"/>
    <w:rsid w:val="00C54ACC"/>
    <w:rsid w:val="00C554D5"/>
    <w:rsid w:val="00C55CB1"/>
    <w:rsid w:val="00C605C7"/>
    <w:rsid w:val="00C6071C"/>
    <w:rsid w:val="00C60B8F"/>
    <w:rsid w:val="00C6200F"/>
    <w:rsid w:val="00C621EF"/>
    <w:rsid w:val="00C62414"/>
    <w:rsid w:val="00C62997"/>
    <w:rsid w:val="00C6488D"/>
    <w:rsid w:val="00C65A06"/>
    <w:rsid w:val="00C65CF5"/>
    <w:rsid w:val="00C6601B"/>
    <w:rsid w:val="00C667B2"/>
    <w:rsid w:val="00C6736A"/>
    <w:rsid w:val="00C70E59"/>
    <w:rsid w:val="00C711E5"/>
    <w:rsid w:val="00C712B7"/>
    <w:rsid w:val="00C7336C"/>
    <w:rsid w:val="00C73B18"/>
    <w:rsid w:val="00C73C25"/>
    <w:rsid w:val="00C74290"/>
    <w:rsid w:val="00C7472F"/>
    <w:rsid w:val="00C75B61"/>
    <w:rsid w:val="00C75C44"/>
    <w:rsid w:val="00C75F46"/>
    <w:rsid w:val="00C76437"/>
    <w:rsid w:val="00C76541"/>
    <w:rsid w:val="00C77629"/>
    <w:rsid w:val="00C80E3E"/>
    <w:rsid w:val="00C8303B"/>
    <w:rsid w:val="00C83120"/>
    <w:rsid w:val="00C8356A"/>
    <w:rsid w:val="00C85FB6"/>
    <w:rsid w:val="00C90B16"/>
    <w:rsid w:val="00C919FA"/>
    <w:rsid w:val="00C91A3D"/>
    <w:rsid w:val="00C92143"/>
    <w:rsid w:val="00C93D3C"/>
    <w:rsid w:val="00C95287"/>
    <w:rsid w:val="00C9551A"/>
    <w:rsid w:val="00C956FE"/>
    <w:rsid w:val="00C959F1"/>
    <w:rsid w:val="00C96250"/>
    <w:rsid w:val="00C9630E"/>
    <w:rsid w:val="00C97A9B"/>
    <w:rsid w:val="00CA08A6"/>
    <w:rsid w:val="00CA2E2E"/>
    <w:rsid w:val="00CA3D19"/>
    <w:rsid w:val="00CA4999"/>
    <w:rsid w:val="00CA4C0B"/>
    <w:rsid w:val="00CA5A83"/>
    <w:rsid w:val="00CA6B2C"/>
    <w:rsid w:val="00CA760B"/>
    <w:rsid w:val="00CA761E"/>
    <w:rsid w:val="00CA778C"/>
    <w:rsid w:val="00CB073C"/>
    <w:rsid w:val="00CB0EEA"/>
    <w:rsid w:val="00CB1487"/>
    <w:rsid w:val="00CB1A11"/>
    <w:rsid w:val="00CB2033"/>
    <w:rsid w:val="00CB3877"/>
    <w:rsid w:val="00CB3B86"/>
    <w:rsid w:val="00CB3F4F"/>
    <w:rsid w:val="00CB4143"/>
    <w:rsid w:val="00CB4FC8"/>
    <w:rsid w:val="00CB501C"/>
    <w:rsid w:val="00CB591E"/>
    <w:rsid w:val="00CB5CE1"/>
    <w:rsid w:val="00CB5D0B"/>
    <w:rsid w:val="00CB6A8F"/>
    <w:rsid w:val="00CC0ECD"/>
    <w:rsid w:val="00CC18C2"/>
    <w:rsid w:val="00CC19D9"/>
    <w:rsid w:val="00CC254F"/>
    <w:rsid w:val="00CC29AD"/>
    <w:rsid w:val="00CC378D"/>
    <w:rsid w:val="00CC64BE"/>
    <w:rsid w:val="00CD0744"/>
    <w:rsid w:val="00CD089A"/>
    <w:rsid w:val="00CD233B"/>
    <w:rsid w:val="00CD371B"/>
    <w:rsid w:val="00CD3DF4"/>
    <w:rsid w:val="00CD46A3"/>
    <w:rsid w:val="00CD4D9E"/>
    <w:rsid w:val="00CD5536"/>
    <w:rsid w:val="00CD5B23"/>
    <w:rsid w:val="00CD7776"/>
    <w:rsid w:val="00CD77CC"/>
    <w:rsid w:val="00CD7A2A"/>
    <w:rsid w:val="00CD7E84"/>
    <w:rsid w:val="00CE22D7"/>
    <w:rsid w:val="00CE3820"/>
    <w:rsid w:val="00CE44CF"/>
    <w:rsid w:val="00CE48B6"/>
    <w:rsid w:val="00CE4E34"/>
    <w:rsid w:val="00CE7E38"/>
    <w:rsid w:val="00CF1521"/>
    <w:rsid w:val="00CF1C16"/>
    <w:rsid w:val="00CF2CA8"/>
    <w:rsid w:val="00CF2D27"/>
    <w:rsid w:val="00CF2FF5"/>
    <w:rsid w:val="00CF3867"/>
    <w:rsid w:val="00CF5C93"/>
    <w:rsid w:val="00D00BFD"/>
    <w:rsid w:val="00D018BB"/>
    <w:rsid w:val="00D01C3F"/>
    <w:rsid w:val="00D02291"/>
    <w:rsid w:val="00D02489"/>
    <w:rsid w:val="00D0318D"/>
    <w:rsid w:val="00D05FB8"/>
    <w:rsid w:val="00D07025"/>
    <w:rsid w:val="00D07531"/>
    <w:rsid w:val="00D07A39"/>
    <w:rsid w:val="00D10B65"/>
    <w:rsid w:val="00D10F9F"/>
    <w:rsid w:val="00D11888"/>
    <w:rsid w:val="00D11E64"/>
    <w:rsid w:val="00D11FBA"/>
    <w:rsid w:val="00D12606"/>
    <w:rsid w:val="00D12954"/>
    <w:rsid w:val="00D12FC2"/>
    <w:rsid w:val="00D14D39"/>
    <w:rsid w:val="00D156AF"/>
    <w:rsid w:val="00D15E7A"/>
    <w:rsid w:val="00D164C2"/>
    <w:rsid w:val="00D16589"/>
    <w:rsid w:val="00D1659D"/>
    <w:rsid w:val="00D16685"/>
    <w:rsid w:val="00D21D50"/>
    <w:rsid w:val="00D226B5"/>
    <w:rsid w:val="00D2351B"/>
    <w:rsid w:val="00D23C38"/>
    <w:rsid w:val="00D23F86"/>
    <w:rsid w:val="00D24A09"/>
    <w:rsid w:val="00D250C2"/>
    <w:rsid w:val="00D250CE"/>
    <w:rsid w:val="00D26A0F"/>
    <w:rsid w:val="00D27227"/>
    <w:rsid w:val="00D27A10"/>
    <w:rsid w:val="00D27C32"/>
    <w:rsid w:val="00D30197"/>
    <w:rsid w:val="00D309A3"/>
    <w:rsid w:val="00D31B8D"/>
    <w:rsid w:val="00D31FB4"/>
    <w:rsid w:val="00D32623"/>
    <w:rsid w:val="00D333F2"/>
    <w:rsid w:val="00D337E7"/>
    <w:rsid w:val="00D3438B"/>
    <w:rsid w:val="00D345D3"/>
    <w:rsid w:val="00D3468D"/>
    <w:rsid w:val="00D34BDD"/>
    <w:rsid w:val="00D359CD"/>
    <w:rsid w:val="00D370A6"/>
    <w:rsid w:val="00D372C1"/>
    <w:rsid w:val="00D37334"/>
    <w:rsid w:val="00D4199C"/>
    <w:rsid w:val="00D43658"/>
    <w:rsid w:val="00D43E5C"/>
    <w:rsid w:val="00D44089"/>
    <w:rsid w:val="00D44471"/>
    <w:rsid w:val="00D4457A"/>
    <w:rsid w:val="00D451D3"/>
    <w:rsid w:val="00D45317"/>
    <w:rsid w:val="00D457F9"/>
    <w:rsid w:val="00D45A70"/>
    <w:rsid w:val="00D46B6A"/>
    <w:rsid w:val="00D4722B"/>
    <w:rsid w:val="00D47A79"/>
    <w:rsid w:val="00D47BFC"/>
    <w:rsid w:val="00D51682"/>
    <w:rsid w:val="00D52C84"/>
    <w:rsid w:val="00D530E3"/>
    <w:rsid w:val="00D54C66"/>
    <w:rsid w:val="00D55C9D"/>
    <w:rsid w:val="00D56FCC"/>
    <w:rsid w:val="00D57E31"/>
    <w:rsid w:val="00D57E7C"/>
    <w:rsid w:val="00D57F98"/>
    <w:rsid w:val="00D60FBD"/>
    <w:rsid w:val="00D6128E"/>
    <w:rsid w:val="00D61368"/>
    <w:rsid w:val="00D6177A"/>
    <w:rsid w:val="00D6286A"/>
    <w:rsid w:val="00D63618"/>
    <w:rsid w:val="00D63CC0"/>
    <w:rsid w:val="00D63FE8"/>
    <w:rsid w:val="00D650BB"/>
    <w:rsid w:val="00D65B16"/>
    <w:rsid w:val="00D667A3"/>
    <w:rsid w:val="00D66E2C"/>
    <w:rsid w:val="00D67F88"/>
    <w:rsid w:val="00D707DC"/>
    <w:rsid w:val="00D70856"/>
    <w:rsid w:val="00D72243"/>
    <w:rsid w:val="00D7239D"/>
    <w:rsid w:val="00D73471"/>
    <w:rsid w:val="00D741A0"/>
    <w:rsid w:val="00D7427D"/>
    <w:rsid w:val="00D74C1D"/>
    <w:rsid w:val="00D75401"/>
    <w:rsid w:val="00D76EE8"/>
    <w:rsid w:val="00D76FC4"/>
    <w:rsid w:val="00D7728C"/>
    <w:rsid w:val="00D8085C"/>
    <w:rsid w:val="00D80AE1"/>
    <w:rsid w:val="00D835B5"/>
    <w:rsid w:val="00D83C83"/>
    <w:rsid w:val="00D8555D"/>
    <w:rsid w:val="00D8592C"/>
    <w:rsid w:val="00D8691D"/>
    <w:rsid w:val="00D86C1B"/>
    <w:rsid w:val="00D87579"/>
    <w:rsid w:val="00D875F7"/>
    <w:rsid w:val="00D876C8"/>
    <w:rsid w:val="00D87EC5"/>
    <w:rsid w:val="00D909F5"/>
    <w:rsid w:val="00D90E4D"/>
    <w:rsid w:val="00D9158A"/>
    <w:rsid w:val="00D91F11"/>
    <w:rsid w:val="00D92221"/>
    <w:rsid w:val="00D92792"/>
    <w:rsid w:val="00D933CB"/>
    <w:rsid w:val="00D9423D"/>
    <w:rsid w:val="00D944E8"/>
    <w:rsid w:val="00D94A33"/>
    <w:rsid w:val="00D94B5E"/>
    <w:rsid w:val="00D94ECD"/>
    <w:rsid w:val="00D955F1"/>
    <w:rsid w:val="00D959FF"/>
    <w:rsid w:val="00D95D98"/>
    <w:rsid w:val="00D9746E"/>
    <w:rsid w:val="00D97B3C"/>
    <w:rsid w:val="00DA07CB"/>
    <w:rsid w:val="00DA15A0"/>
    <w:rsid w:val="00DA3ED4"/>
    <w:rsid w:val="00DA503C"/>
    <w:rsid w:val="00DA5E95"/>
    <w:rsid w:val="00DA60B0"/>
    <w:rsid w:val="00DA66CE"/>
    <w:rsid w:val="00DA6C15"/>
    <w:rsid w:val="00DA72B2"/>
    <w:rsid w:val="00DB0182"/>
    <w:rsid w:val="00DB01FA"/>
    <w:rsid w:val="00DB0C6A"/>
    <w:rsid w:val="00DB1F14"/>
    <w:rsid w:val="00DB26E6"/>
    <w:rsid w:val="00DB3823"/>
    <w:rsid w:val="00DB4843"/>
    <w:rsid w:val="00DB48D7"/>
    <w:rsid w:val="00DB5674"/>
    <w:rsid w:val="00DB5C1E"/>
    <w:rsid w:val="00DB5CEC"/>
    <w:rsid w:val="00DB6674"/>
    <w:rsid w:val="00DB6E77"/>
    <w:rsid w:val="00DB7A10"/>
    <w:rsid w:val="00DB7C63"/>
    <w:rsid w:val="00DC01A5"/>
    <w:rsid w:val="00DC11A2"/>
    <w:rsid w:val="00DC1920"/>
    <w:rsid w:val="00DC30B6"/>
    <w:rsid w:val="00DC44E6"/>
    <w:rsid w:val="00DC5456"/>
    <w:rsid w:val="00DC567F"/>
    <w:rsid w:val="00DC57BB"/>
    <w:rsid w:val="00DC668A"/>
    <w:rsid w:val="00DC703B"/>
    <w:rsid w:val="00DD0022"/>
    <w:rsid w:val="00DD057B"/>
    <w:rsid w:val="00DD080D"/>
    <w:rsid w:val="00DD0C99"/>
    <w:rsid w:val="00DD0E5E"/>
    <w:rsid w:val="00DD22A9"/>
    <w:rsid w:val="00DD247B"/>
    <w:rsid w:val="00DD25F7"/>
    <w:rsid w:val="00DD2FB6"/>
    <w:rsid w:val="00DD3B55"/>
    <w:rsid w:val="00DD5464"/>
    <w:rsid w:val="00DD59B5"/>
    <w:rsid w:val="00DD63E6"/>
    <w:rsid w:val="00DD652A"/>
    <w:rsid w:val="00DD74F6"/>
    <w:rsid w:val="00DD7E80"/>
    <w:rsid w:val="00DE029D"/>
    <w:rsid w:val="00DE1D6A"/>
    <w:rsid w:val="00DE1E04"/>
    <w:rsid w:val="00DE385B"/>
    <w:rsid w:val="00DE56CA"/>
    <w:rsid w:val="00DE68B6"/>
    <w:rsid w:val="00DE6C82"/>
    <w:rsid w:val="00DE7B83"/>
    <w:rsid w:val="00DE7B91"/>
    <w:rsid w:val="00DE7D3E"/>
    <w:rsid w:val="00DF1138"/>
    <w:rsid w:val="00DF1F30"/>
    <w:rsid w:val="00DF377B"/>
    <w:rsid w:val="00DF3DF9"/>
    <w:rsid w:val="00DF579C"/>
    <w:rsid w:val="00DF6A98"/>
    <w:rsid w:val="00DF6CCC"/>
    <w:rsid w:val="00DF7766"/>
    <w:rsid w:val="00DF7908"/>
    <w:rsid w:val="00E00946"/>
    <w:rsid w:val="00E0121F"/>
    <w:rsid w:val="00E01300"/>
    <w:rsid w:val="00E01CAD"/>
    <w:rsid w:val="00E02FAE"/>
    <w:rsid w:val="00E032C7"/>
    <w:rsid w:val="00E0464C"/>
    <w:rsid w:val="00E053F6"/>
    <w:rsid w:val="00E068A6"/>
    <w:rsid w:val="00E1017A"/>
    <w:rsid w:val="00E10898"/>
    <w:rsid w:val="00E11D2C"/>
    <w:rsid w:val="00E12277"/>
    <w:rsid w:val="00E1307F"/>
    <w:rsid w:val="00E136A9"/>
    <w:rsid w:val="00E1539C"/>
    <w:rsid w:val="00E155C2"/>
    <w:rsid w:val="00E1725A"/>
    <w:rsid w:val="00E209A4"/>
    <w:rsid w:val="00E21438"/>
    <w:rsid w:val="00E221E7"/>
    <w:rsid w:val="00E23CC4"/>
    <w:rsid w:val="00E249FE"/>
    <w:rsid w:val="00E2518B"/>
    <w:rsid w:val="00E26587"/>
    <w:rsid w:val="00E271F1"/>
    <w:rsid w:val="00E300C5"/>
    <w:rsid w:val="00E30747"/>
    <w:rsid w:val="00E30855"/>
    <w:rsid w:val="00E32568"/>
    <w:rsid w:val="00E34658"/>
    <w:rsid w:val="00E34CF8"/>
    <w:rsid w:val="00E350C8"/>
    <w:rsid w:val="00E35442"/>
    <w:rsid w:val="00E357DA"/>
    <w:rsid w:val="00E3626C"/>
    <w:rsid w:val="00E363A2"/>
    <w:rsid w:val="00E370B3"/>
    <w:rsid w:val="00E41124"/>
    <w:rsid w:val="00E43955"/>
    <w:rsid w:val="00E44710"/>
    <w:rsid w:val="00E453A4"/>
    <w:rsid w:val="00E45BF6"/>
    <w:rsid w:val="00E47C34"/>
    <w:rsid w:val="00E50757"/>
    <w:rsid w:val="00E5252E"/>
    <w:rsid w:val="00E53480"/>
    <w:rsid w:val="00E53A93"/>
    <w:rsid w:val="00E54AB3"/>
    <w:rsid w:val="00E54B70"/>
    <w:rsid w:val="00E5635E"/>
    <w:rsid w:val="00E57153"/>
    <w:rsid w:val="00E57E79"/>
    <w:rsid w:val="00E6060D"/>
    <w:rsid w:val="00E6166F"/>
    <w:rsid w:val="00E61721"/>
    <w:rsid w:val="00E61CF6"/>
    <w:rsid w:val="00E62FDF"/>
    <w:rsid w:val="00E6516B"/>
    <w:rsid w:val="00E65456"/>
    <w:rsid w:val="00E659A0"/>
    <w:rsid w:val="00E65BE5"/>
    <w:rsid w:val="00E65D47"/>
    <w:rsid w:val="00E66B7F"/>
    <w:rsid w:val="00E67808"/>
    <w:rsid w:val="00E70A20"/>
    <w:rsid w:val="00E70F93"/>
    <w:rsid w:val="00E7156B"/>
    <w:rsid w:val="00E71CB4"/>
    <w:rsid w:val="00E7547D"/>
    <w:rsid w:val="00E75AA6"/>
    <w:rsid w:val="00E7643D"/>
    <w:rsid w:val="00E816C9"/>
    <w:rsid w:val="00E81C54"/>
    <w:rsid w:val="00E82676"/>
    <w:rsid w:val="00E82E6D"/>
    <w:rsid w:val="00E83C74"/>
    <w:rsid w:val="00E84086"/>
    <w:rsid w:val="00E8489A"/>
    <w:rsid w:val="00E86446"/>
    <w:rsid w:val="00E864D6"/>
    <w:rsid w:val="00E86B2D"/>
    <w:rsid w:val="00E8717E"/>
    <w:rsid w:val="00E87229"/>
    <w:rsid w:val="00E8772B"/>
    <w:rsid w:val="00E90B7E"/>
    <w:rsid w:val="00E90E03"/>
    <w:rsid w:val="00E91367"/>
    <w:rsid w:val="00E91F95"/>
    <w:rsid w:val="00E93BB6"/>
    <w:rsid w:val="00E93C77"/>
    <w:rsid w:val="00E9436C"/>
    <w:rsid w:val="00E94450"/>
    <w:rsid w:val="00E95490"/>
    <w:rsid w:val="00E96624"/>
    <w:rsid w:val="00E96D41"/>
    <w:rsid w:val="00E97390"/>
    <w:rsid w:val="00EA2913"/>
    <w:rsid w:val="00EA4120"/>
    <w:rsid w:val="00EA4180"/>
    <w:rsid w:val="00EA45AB"/>
    <w:rsid w:val="00EA46F1"/>
    <w:rsid w:val="00EA4AA5"/>
    <w:rsid w:val="00EA5AC2"/>
    <w:rsid w:val="00EA6490"/>
    <w:rsid w:val="00EA6EA9"/>
    <w:rsid w:val="00EB029C"/>
    <w:rsid w:val="00EB12FE"/>
    <w:rsid w:val="00EB2179"/>
    <w:rsid w:val="00EB2500"/>
    <w:rsid w:val="00EB2C25"/>
    <w:rsid w:val="00EB2C38"/>
    <w:rsid w:val="00EB3573"/>
    <w:rsid w:val="00EB5AD2"/>
    <w:rsid w:val="00EB5E9C"/>
    <w:rsid w:val="00EB7F74"/>
    <w:rsid w:val="00EC03DE"/>
    <w:rsid w:val="00EC0726"/>
    <w:rsid w:val="00EC270B"/>
    <w:rsid w:val="00EC2B60"/>
    <w:rsid w:val="00EC3315"/>
    <w:rsid w:val="00EC331C"/>
    <w:rsid w:val="00EC36D1"/>
    <w:rsid w:val="00EC4468"/>
    <w:rsid w:val="00EC4B6A"/>
    <w:rsid w:val="00EC4EDC"/>
    <w:rsid w:val="00EC6A99"/>
    <w:rsid w:val="00ED0A6E"/>
    <w:rsid w:val="00ED1A41"/>
    <w:rsid w:val="00ED215A"/>
    <w:rsid w:val="00ED233C"/>
    <w:rsid w:val="00ED54FC"/>
    <w:rsid w:val="00ED61F0"/>
    <w:rsid w:val="00ED6A5A"/>
    <w:rsid w:val="00ED7056"/>
    <w:rsid w:val="00ED76E0"/>
    <w:rsid w:val="00ED7A7F"/>
    <w:rsid w:val="00ED7D1F"/>
    <w:rsid w:val="00EE036D"/>
    <w:rsid w:val="00EE10D1"/>
    <w:rsid w:val="00EE1212"/>
    <w:rsid w:val="00EE2643"/>
    <w:rsid w:val="00EE3EED"/>
    <w:rsid w:val="00EE5515"/>
    <w:rsid w:val="00EE6E6D"/>
    <w:rsid w:val="00EE6F12"/>
    <w:rsid w:val="00EE72F5"/>
    <w:rsid w:val="00EF1D01"/>
    <w:rsid w:val="00EF22BB"/>
    <w:rsid w:val="00EF23D2"/>
    <w:rsid w:val="00EF2718"/>
    <w:rsid w:val="00EF28BD"/>
    <w:rsid w:val="00EF309B"/>
    <w:rsid w:val="00EF4BAE"/>
    <w:rsid w:val="00EF7640"/>
    <w:rsid w:val="00F00BCF"/>
    <w:rsid w:val="00F01562"/>
    <w:rsid w:val="00F01751"/>
    <w:rsid w:val="00F01A83"/>
    <w:rsid w:val="00F01B52"/>
    <w:rsid w:val="00F0235C"/>
    <w:rsid w:val="00F0245A"/>
    <w:rsid w:val="00F03C48"/>
    <w:rsid w:val="00F04FDB"/>
    <w:rsid w:val="00F05812"/>
    <w:rsid w:val="00F05DA0"/>
    <w:rsid w:val="00F05F43"/>
    <w:rsid w:val="00F06372"/>
    <w:rsid w:val="00F06860"/>
    <w:rsid w:val="00F06B60"/>
    <w:rsid w:val="00F06BC8"/>
    <w:rsid w:val="00F07832"/>
    <w:rsid w:val="00F105E9"/>
    <w:rsid w:val="00F122A5"/>
    <w:rsid w:val="00F12945"/>
    <w:rsid w:val="00F13B47"/>
    <w:rsid w:val="00F1491C"/>
    <w:rsid w:val="00F158B1"/>
    <w:rsid w:val="00F15EDF"/>
    <w:rsid w:val="00F17827"/>
    <w:rsid w:val="00F17E59"/>
    <w:rsid w:val="00F200E2"/>
    <w:rsid w:val="00F209F2"/>
    <w:rsid w:val="00F21595"/>
    <w:rsid w:val="00F2165C"/>
    <w:rsid w:val="00F219CA"/>
    <w:rsid w:val="00F23A3B"/>
    <w:rsid w:val="00F23D36"/>
    <w:rsid w:val="00F24D4E"/>
    <w:rsid w:val="00F25EC8"/>
    <w:rsid w:val="00F26079"/>
    <w:rsid w:val="00F26217"/>
    <w:rsid w:val="00F263D4"/>
    <w:rsid w:val="00F2682B"/>
    <w:rsid w:val="00F26A34"/>
    <w:rsid w:val="00F27645"/>
    <w:rsid w:val="00F302FF"/>
    <w:rsid w:val="00F30A93"/>
    <w:rsid w:val="00F30C72"/>
    <w:rsid w:val="00F31553"/>
    <w:rsid w:val="00F31712"/>
    <w:rsid w:val="00F31B7A"/>
    <w:rsid w:val="00F32130"/>
    <w:rsid w:val="00F32846"/>
    <w:rsid w:val="00F37F66"/>
    <w:rsid w:val="00F40371"/>
    <w:rsid w:val="00F408BE"/>
    <w:rsid w:val="00F417C2"/>
    <w:rsid w:val="00F42ED4"/>
    <w:rsid w:val="00F44DA8"/>
    <w:rsid w:val="00F452D7"/>
    <w:rsid w:val="00F459B9"/>
    <w:rsid w:val="00F459D2"/>
    <w:rsid w:val="00F46317"/>
    <w:rsid w:val="00F463C1"/>
    <w:rsid w:val="00F467AA"/>
    <w:rsid w:val="00F47015"/>
    <w:rsid w:val="00F47404"/>
    <w:rsid w:val="00F47A46"/>
    <w:rsid w:val="00F5253D"/>
    <w:rsid w:val="00F52CA1"/>
    <w:rsid w:val="00F53833"/>
    <w:rsid w:val="00F54884"/>
    <w:rsid w:val="00F554C7"/>
    <w:rsid w:val="00F55C9C"/>
    <w:rsid w:val="00F571C1"/>
    <w:rsid w:val="00F57CA5"/>
    <w:rsid w:val="00F60063"/>
    <w:rsid w:val="00F60A6E"/>
    <w:rsid w:val="00F60CEE"/>
    <w:rsid w:val="00F626D2"/>
    <w:rsid w:val="00F66966"/>
    <w:rsid w:val="00F66CB8"/>
    <w:rsid w:val="00F66D8C"/>
    <w:rsid w:val="00F708B2"/>
    <w:rsid w:val="00F71322"/>
    <w:rsid w:val="00F714C8"/>
    <w:rsid w:val="00F71FF8"/>
    <w:rsid w:val="00F72672"/>
    <w:rsid w:val="00F72B25"/>
    <w:rsid w:val="00F73289"/>
    <w:rsid w:val="00F738F4"/>
    <w:rsid w:val="00F73A90"/>
    <w:rsid w:val="00F74240"/>
    <w:rsid w:val="00F76551"/>
    <w:rsid w:val="00F76B45"/>
    <w:rsid w:val="00F77A36"/>
    <w:rsid w:val="00F77D05"/>
    <w:rsid w:val="00F77E47"/>
    <w:rsid w:val="00F806B6"/>
    <w:rsid w:val="00F81DE2"/>
    <w:rsid w:val="00F82B0F"/>
    <w:rsid w:val="00F82FFD"/>
    <w:rsid w:val="00F8382C"/>
    <w:rsid w:val="00F84FCF"/>
    <w:rsid w:val="00F8545D"/>
    <w:rsid w:val="00F854CE"/>
    <w:rsid w:val="00F856B9"/>
    <w:rsid w:val="00F858BC"/>
    <w:rsid w:val="00F870BD"/>
    <w:rsid w:val="00F873F8"/>
    <w:rsid w:val="00F87A8A"/>
    <w:rsid w:val="00F90148"/>
    <w:rsid w:val="00F9107F"/>
    <w:rsid w:val="00F91779"/>
    <w:rsid w:val="00F918BB"/>
    <w:rsid w:val="00F91C56"/>
    <w:rsid w:val="00F928CF"/>
    <w:rsid w:val="00F92EA0"/>
    <w:rsid w:val="00F93D3E"/>
    <w:rsid w:val="00F9412A"/>
    <w:rsid w:val="00F95E17"/>
    <w:rsid w:val="00F97101"/>
    <w:rsid w:val="00FA0807"/>
    <w:rsid w:val="00FA0CDE"/>
    <w:rsid w:val="00FA0F25"/>
    <w:rsid w:val="00FA1338"/>
    <w:rsid w:val="00FA1779"/>
    <w:rsid w:val="00FA2657"/>
    <w:rsid w:val="00FA35A2"/>
    <w:rsid w:val="00FA475E"/>
    <w:rsid w:val="00FA4796"/>
    <w:rsid w:val="00FA494B"/>
    <w:rsid w:val="00FA5E6C"/>
    <w:rsid w:val="00FA6532"/>
    <w:rsid w:val="00FA751A"/>
    <w:rsid w:val="00FA75E8"/>
    <w:rsid w:val="00FA77A3"/>
    <w:rsid w:val="00FA7EE9"/>
    <w:rsid w:val="00FB0D9A"/>
    <w:rsid w:val="00FB0F0E"/>
    <w:rsid w:val="00FB11C1"/>
    <w:rsid w:val="00FB1215"/>
    <w:rsid w:val="00FB135B"/>
    <w:rsid w:val="00FB1C82"/>
    <w:rsid w:val="00FB1F4B"/>
    <w:rsid w:val="00FB262F"/>
    <w:rsid w:val="00FB2869"/>
    <w:rsid w:val="00FB3060"/>
    <w:rsid w:val="00FB38DC"/>
    <w:rsid w:val="00FB3F8D"/>
    <w:rsid w:val="00FB4A7B"/>
    <w:rsid w:val="00FB503B"/>
    <w:rsid w:val="00FB7CD5"/>
    <w:rsid w:val="00FC04D4"/>
    <w:rsid w:val="00FC063A"/>
    <w:rsid w:val="00FC11C7"/>
    <w:rsid w:val="00FC37AD"/>
    <w:rsid w:val="00FC3AC3"/>
    <w:rsid w:val="00FC3D8E"/>
    <w:rsid w:val="00FC48F4"/>
    <w:rsid w:val="00FC4D43"/>
    <w:rsid w:val="00FC6AE7"/>
    <w:rsid w:val="00FD0336"/>
    <w:rsid w:val="00FD2496"/>
    <w:rsid w:val="00FD2570"/>
    <w:rsid w:val="00FD57F1"/>
    <w:rsid w:val="00FD5F2E"/>
    <w:rsid w:val="00FD6173"/>
    <w:rsid w:val="00FD66DF"/>
    <w:rsid w:val="00FD6E58"/>
    <w:rsid w:val="00FE4383"/>
    <w:rsid w:val="00FE4577"/>
    <w:rsid w:val="00FE512E"/>
    <w:rsid w:val="00FE52EA"/>
    <w:rsid w:val="00FE5F30"/>
    <w:rsid w:val="00FE64E1"/>
    <w:rsid w:val="00FE67B2"/>
    <w:rsid w:val="00FF02CB"/>
    <w:rsid w:val="00FF073F"/>
    <w:rsid w:val="00FF0F08"/>
    <w:rsid w:val="00FF1B96"/>
    <w:rsid w:val="00FF2C81"/>
    <w:rsid w:val="00FF33C7"/>
    <w:rsid w:val="00FF4371"/>
    <w:rsid w:val="00FF6164"/>
    <w:rsid w:val="00FF68CD"/>
    <w:rsid w:val="00FF6EFF"/>
    <w:rsid w:val="00FF7760"/>
    <w:rsid w:val="00FF7A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CD94D4"/>
  <w15:docId w15:val="{C81A78C4-2F12-49E5-A9FD-71DBC638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aliases w:val="Table_G"/>
    <w:basedOn w:val="Normal"/>
    <w:next w:val="Normal"/>
    <w:link w:val="Heading1Char"/>
    <w:uiPriority w:val="9"/>
    <w:qFormat/>
    <w:rsid w:val="00012073"/>
    <w:pPr>
      <w:keepNext/>
      <w:keepLines/>
      <w:pBdr>
        <w:top w:val="none" w:sz="0" w:space="0" w:color="auto"/>
        <w:left w:val="none" w:sz="0" w:space="0" w:color="auto"/>
        <w:bottom w:val="none" w:sz="0" w:space="0" w:color="auto"/>
        <w:right w:val="none" w:sz="0" w:space="0" w:color="auto"/>
        <w:between w:val="none" w:sz="0" w:space="0" w:color="auto"/>
        <w:bar w:val="none" w:sz="0" w:color="auto"/>
      </w:pBdr>
      <w:ind w:left="1134"/>
      <w:outlineLvl w:val="0"/>
    </w:pPr>
    <w:rPr>
      <w:rFonts w:eastAsiaTheme="minorHAnsi"/>
      <w:sz w:val="20"/>
      <w:szCs w:val="20"/>
      <w:bdr w:val="none" w:sz="0" w:space="0" w:color="auto"/>
      <w:lang w:val="fr-CH"/>
    </w:rPr>
  </w:style>
  <w:style w:type="paragraph" w:styleId="Heading2">
    <w:name w:val="heading 2"/>
    <w:basedOn w:val="Normal"/>
    <w:next w:val="Normal"/>
    <w:link w:val="Heading2Char"/>
    <w:uiPriority w:val="9"/>
    <w:semiHidden/>
    <w:unhideWhenUsed/>
    <w:qFormat/>
    <w:rsid w:val="005119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34BE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012073"/>
    <w:rPr>
      <w:rFonts w:eastAsiaTheme="minorHAnsi"/>
      <w:bdr w:val="none" w:sz="0" w:space="0" w:color="auto"/>
      <w:lang w:val="fr-CH" w:eastAsia="en-US"/>
    </w:rPr>
  </w:style>
  <w:style w:type="character" w:styleId="Hyperlink">
    <w:name w:val="Hyperlink"/>
    <w:uiPriority w:val="99"/>
    <w:rPr>
      <w:u w:val="single"/>
    </w:rPr>
  </w:style>
  <w:style w:type="paragraph" w:styleId="Header">
    <w:name w:val="header"/>
    <w:link w:val="HeaderChar"/>
    <w:uiPriority w:val="99"/>
    <w:pPr>
      <w:pBdr>
        <w:bottom w:val="single" w:sz="4" w:space="0" w:color="000000"/>
      </w:pBdr>
      <w:suppressAutoHyphens/>
    </w:pPr>
    <w:rPr>
      <w:rFonts w:cs="Arial Unicode MS"/>
      <w:b/>
      <w:bCs/>
      <w:color w:val="000000"/>
      <w:sz w:val="18"/>
      <w:szCs w:val="18"/>
      <w:u w:color="000000"/>
      <w:lang w:val="en-US"/>
    </w:rPr>
  </w:style>
  <w:style w:type="character" w:customStyle="1" w:styleId="HeaderChar">
    <w:name w:val="Header Char"/>
    <w:basedOn w:val="DefaultParagraphFont"/>
    <w:link w:val="Header"/>
    <w:uiPriority w:val="99"/>
    <w:rsid w:val="00012073"/>
    <w:rPr>
      <w:rFonts w:cs="Arial Unicode MS"/>
      <w:b/>
      <w:bCs/>
      <w:color w:val="000000"/>
      <w:sz w:val="18"/>
      <w:szCs w:val="18"/>
      <w:u w:color="000000"/>
      <w:lang w:val="en-US"/>
    </w:rPr>
  </w:style>
  <w:style w:type="character" w:customStyle="1" w:styleId="NoneA">
    <w:name w:val="None A"/>
    <w:rPr>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link w:val="FooterChar"/>
    <w:uiPriority w:val="99"/>
    <w:pPr>
      <w:suppressAutoHyphens/>
    </w:pPr>
    <w:rPr>
      <w:rFonts w:eastAsia="Times New Roman"/>
      <w:color w:val="000000"/>
      <w:sz w:val="16"/>
      <w:szCs w:val="16"/>
      <w:u w:color="000000"/>
      <w:lang w:val="en-US"/>
    </w:rPr>
  </w:style>
  <w:style w:type="character" w:customStyle="1" w:styleId="FooterChar">
    <w:name w:val="Footer Char"/>
    <w:basedOn w:val="DefaultParagraphFont"/>
    <w:link w:val="Footer"/>
    <w:uiPriority w:val="99"/>
    <w:rsid w:val="00012073"/>
    <w:rPr>
      <w:rFonts w:eastAsia="Times New Roman"/>
      <w:color w:val="000000"/>
      <w:sz w:val="16"/>
      <w:szCs w:val="16"/>
      <w:u w:color="000000"/>
      <w:lang w:val="en-US"/>
    </w:rPr>
  </w:style>
  <w:style w:type="paragraph" w:customStyle="1" w:styleId="BodyA">
    <w:name w:val="Body A"/>
    <w:pPr>
      <w:suppressAutoHyphens/>
      <w:spacing w:line="240" w:lineRule="atLeast"/>
    </w:pPr>
    <w:rPr>
      <w:rFonts w:eastAsia="Times New Roman"/>
      <w:color w:val="000000"/>
      <w:u w:color="000000"/>
      <w:lang w:val="de-DE"/>
      <w14:textOutline w14:w="12700" w14:cap="flat" w14:cmpd="sng" w14:algn="ctr">
        <w14:noFill/>
        <w14:prstDash w14:val="solid"/>
        <w14:miter w14:lim="400000"/>
      </w14:textOutline>
    </w:rPr>
  </w:style>
  <w:style w:type="paragraph" w:customStyle="1" w:styleId="BodyAA">
    <w:name w:val="Body A A"/>
    <w:pPr>
      <w:suppressAutoHyphens/>
      <w:spacing w:line="240" w:lineRule="atLeast"/>
    </w:pPr>
    <w:rPr>
      <w:rFonts w:cs="Arial Unicode MS"/>
      <w:color w:val="000000"/>
      <w:u w:color="000000"/>
      <w:lang w:val="en-US"/>
    </w:rPr>
  </w:style>
  <w:style w:type="paragraph" w:customStyle="1" w:styleId="HChG">
    <w:name w:val="_ H _Ch_G"/>
    <w:next w:val="BodyA"/>
    <w:qFormat/>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lang w:val="en-US"/>
    </w:rPr>
  </w:style>
  <w:style w:type="paragraph" w:customStyle="1" w:styleId="H1G">
    <w:name w:val="_ H_1_G"/>
    <w:next w:val="BodyA"/>
    <w:pPr>
      <w:keepNext/>
      <w:keepLines/>
      <w:tabs>
        <w:tab w:val="right" w:pos="851"/>
      </w:tabs>
      <w:suppressAutoHyphens/>
      <w:spacing w:before="360" w:after="240" w:line="270" w:lineRule="exact"/>
      <w:ind w:left="1134" w:right="1134" w:hanging="1134"/>
    </w:pPr>
    <w:rPr>
      <w:rFonts w:eastAsia="Times New Roman"/>
      <w:b/>
      <w:bC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SingleTxtG">
    <w:name w:val="_ Single Txt_G"/>
    <w:link w:val="SingleTxtGChar"/>
    <w:qFormat/>
    <w:pPr>
      <w:suppressAutoHyphens/>
      <w:spacing w:after="120" w:line="240" w:lineRule="atLeast"/>
      <w:ind w:left="1134" w:right="1134"/>
      <w:jc w:val="both"/>
    </w:pPr>
    <w:rPr>
      <w:rFonts w:cs="Arial Unicode MS"/>
      <w:color w:val="000000"/>
      <w:u w:color="000000"/>
      <w:lang w:val="en-US"/>
    </w:rPr>
  </w:style>
  <w:style w:type="character" w:customStyle="1" w:styleId="SingleTxtGChar">
    <w:name w:val="_ Single Txt_G Char"/>
    <w:link w:val="SingleTxtG"/>
    <w:locked/>
    <w:rsid w:val="009A7192"/>
    <w:rPr>
      <w:rFonts w:cs="Arial Unicode MS"/>
      <w:color w:val="000000"/>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noteText">
    <w:name w:val="footnote text"/>
    <w:aliases w:val="5_G"/>
    <w:basedOn w:val="Normal"/>
    <w:link w:val="FootnoteTextChar"/>
    <w:qFormat/>
    <w:rsid w:val="001559F0"/>
    <w:pPr>
      <w:pBdr>
        <w:top w:val="none" w:sz="0" w:space="0" w:color="auto"/>
        <w:left w:val="none" w:sz="0" w:space="0" w:color="auto"/>
        <w:bottom w:val="none" w:sz="0" w:space="0" w:color="auto"/>
        <w:right w:val="none" w:sz="0" w:space="0" w:color="auto"/>
        <w:between w:val="none" w:sz="0" w:space="0" w:color="auto"/>
        <w:bar w:val="none" w:sz="0" w:color="auto"/>
      </w:pBdr>
      <w:tabs>
        <w:tab w:val="right" w:pos="1021"/>
      </w:tabs>
      <w:suppressAutoHyphens/>
      <w:kinsoku w:val="0"/>
      <w:overflowPunct w:val="0"/>
      <w:autoSpaceDE w:val="0"/>
      <w:autoSpaceDN w:val="0"/>
      <w:adjustRightInd w:val="0"/>
      <w:snapToGrid w:val="0"/>
      <w:spacing w:line="220" w:lineRule="exact"/>
      <w:ind w:left="1134" w:right="1134" w:hanging="1134"/>
    </w:pPr>
    <w:rPr>
      <w:rFonts w:eastAsiaTheme="minorEastAsia"/>
      <w:sz w:val="18"/>
      <w:szCs w:val="20"/>
      <w:bdr w:val="none" w:sz="0" w:space="0" w:color="auto"/>
      <w:lang w:val="fr-CH" w:eastAsia="zh-CN"/>
    </w:rPr>
  </w:style>
  <w:style w:type="character" w:customStyle="1" w:styleId="FootnoteTextChar">
    <w:name w:val="Footnote Text Char"/>
    <w:aliases w:val="5_G Char"/>
    <w:basedOn w:val="DefaultParagraphFont"/>
    <w:link w:val="FootnoteText"/>
    <w:rsid w:val="001559F0"/>
    <w:rPr>
      <w:rFonts w:eastAsiaTheme="minorEastAsia"/>
      <w:sz w:val="18"/>
      <w:bdr w:val="none" w:sz="0" w:space="0" w:color="auto"/>
      <w:lang w:val="fr-CH" w:eastAsia="zh-CN"/>
    </w:rPr>
  </w:style>
  <w:style w:type="character" w:customStyle="1" w:styleId="Hyperlink0">
    <w:name w:val="Hyperlink.0"/>
    <w:basedOn w:val="Hyperlink"/>
    <w:rPr>
      <w:outline w:val="0"/>
      <w:color w:val="0000FF"/>
      <w:u w:val="single" w:color="0000FF"/>
    </w:rPr>
  </w:style>
  <w:style w:type="paragraph" w:styleId="EndnoteText">
    <w:name w:val="endnote text"/>
    <w:link w:val="EndnoteTextChar"/>
    <w:uiPriority w:val="99"/>
    <w:rPr>
      <w:rFonts w:eastAsia="Times New Roman"/>
      <w:color w:val="000000"/>
      <w:u w:color="000000"/>
      <w:lang w:val="en-US"/>
    </w:rPr>
  </w:style>
  <w:style w:type="character" w:customStyle="1" w:styleId="EndnoteTextChar">
    <w:name w:val="Endnote Text Char"/>
    <w:basedOn w:val="DefaultParagraphFont"/>
    <w:link w:val="EndnoteText"/>
    <w:uiPriority w:val="99"/>
    <w:rsid w:val="00752A6B"/>
    <w:rPr>
      <w:rFonts w:eastAsia="Times New Roman"/>
      <w:color w:val="000000"/>
      <w:u w:color="000000"/>
      <w:lang w:val="en-US"/>
    </w:rPr>
  </w:style>
  <w:style w:type="character" w:customStyle="1" w:styleId="Hyperlink1">
    <w:name w:val="Hyperlink.1"/>
    <w:basedOn w:val="Hyperlink0"/>
    <w:rPr>
      <w:outline w:val="0"/>
      <w:color w:val="0000FF"/>
      <w:u w:val="single" w:color="0000FF"/>
      <w:lang w:val="es-ES_tradnl"/>
    </w:rPr>
  </w:style>
  <w:style w:type="character" w:customStyle="1" w:styleId="Hyperlink2">
    <w:name w:val="Hyperlink.2"/>
    <w:basedOn w:val="Hyperlink0"/>
    <w:rPr>
      <w:outline w:val="0"/>
      <w:color w:val="0000FF"/>
      <w:u w:val="single" w:color="0000FF"/>
      <w:lang w:val="en-US"/>
    </w:rPr>
  </w:style>
  <w:style w:type="character" w:customStyle="1" w:styleId="Hyperlink3">
    <w:name w:val="Hyperlink.3"/>
    <w:basedOn w:val="Hyperlink0"/>
    <w:rPr>
      <w:outline w:val="0"/>
      <w:color w:val="0000FF"/>
      <w:u w:val="single" w:color="0000FF"/>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5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8B1"/>
    <w:rPr>
      <w:rFonts w:ascii="Segoe UI" w:hAnsi="Segoe UI" w:cs="Segoe UI"/>
      <w:sz w:val="18"/>
      <w:szCs w:val="18"/>
      <w:lang w:val="en-US" w:eastAsia="en-US"/>
    </w:rPr>
  </w:style>
  <w:style w:type="character" w:styleId="FootnoteReference">
    <w:name w:val="footnote reference"/>
    <w:aliases w:val="4_G"/>
    <w:basedOn w:val="DefaultParagraphFont"/>
    <w:qFormat/>
    <w:rsid w:val="001559F0"/>
    <w:rPr>
      <w:rFonts w:ascii="Times New Roman" w:hAnsi="Times New Roman"/>
      <w:sz w:val="18"/>
      <w:vertAlign w:val="superscript"/>
      <w:lang w:val="fr-CH"/>
    </w:rPr>
  </w:style>
  <w:style w:type="paragraph" w:styleId="CommentSubject">
    <w:name w:val="annotation subject"/>
    <w:basedOn w:val="CommentText"/>
    <w:next w:val="CommentText"/>
    <w:link w:val="CommentSubjectChar"/>
    <w:uiPriority w:val="99"/>
    <w:semiHidden/>
    <w:unhideWhenUsed/>
    <w:rsid w:val="00D56FCC"/>
    <w:rPr>
      <w:b/>
      <w:bCs/>
    </w:rPr>
  </w:style>
  <w:style w:type="character" w:customStyle="1" w:styleId="CommentSubjectChar">
    <w:name w:val="Comment Subject Char"/>
    <w:basedOn w:val="CommentTextChar"/>
    <w:link w:val="CommentSubject"/>
    <w:uiPriority w:val="99"/>
    <w:semiHidden/>
    <w:rsid w:val="00D56FCC"/>
    <w:rPr>
      <w:b/>
      <w:bCs/>
      <w:lang w:val="en-US" w:eastAsia="en-US"/>
    </w:rPr>
  </w:style>
  <w:style w:type="paragraph" w:styleId="Revision">
    <w:name w:val="Revision"/>
    <w:hidden/>
    <w:uiPriority w:val="99"/>
    <w:semiHidden/>
    <w:rsid w:val="00367F3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ne">
    <w:name w:val="None"/>
    <w:rsid w:val="009A7192"/>
  </w:style>
  <w:style w:type="character" w:styleId="FollowedHyperlink">
    <w:name w:val="FollowedHyperlink"/>
    <w:basedOn w:val="DefaultParagraphFont"/>
    <w:uiPriority w:val="99"/>
    <w:semiHidden/>
    <w:unhideWhenUsed/>
    <w:rsid w:val="002A1705"/>
    <w:rPr>
      <w:color w:val="FF00FF" w:themeColor="followedHyperlink"/>
      <w:u w:val="single"/>
    </w:rPr>
  </w:style>
  <w:style w:type="paragraph" w:customStyle="1" w:styleId="H23G">
    <w:name w:val="_ H_2/3_G"/>
    <w:basedOn w:val="Normal"/>
    <w:next w:val="Normal"/>
    <w:qFormat/>
    <w:rsid w:val="00BC2DB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outlineLvl w:val="3"/>
    </w:pPr>
    <w:rPr>
      <w:rFonts w:eastAsiaTheme="minorEastAsia"/>
      <w:b/>
      <w:sz w:val="20"/>
      <w:szCs w:val="20"/>
      <w:bdr w:val="none" w:sz="0" w:space="0" w:color="auto"/>
      <w:lang w:val="es-ES" w:eastAsia="es-ES"/>
    </w:rPr>
  </w:style>
  <w:style w:type="character" w:customStyle="1" w:styleId="rn-13yce4e">
    <w:name w:val="rn-13yce4e"/>
    <w:basedOn w:val="DefaultParagraphFont"/>
    <w:rsid w:val="007E2844"/>
  </w:style>
  <w:style w:type="character" w:customStyle="1" w:styleId="A6">
    <w:name w:val="A6"/>
    <w:uiPriority w:val="99"/>
    <w:rsid w:val="00012073"/>
    <w:rPr>
      <w:rFonts w:cs="Sabon LT Std"/>
      <w:color w:val="000000"/>
      <w:sz w:val="16"/>
      <w:szCs w:val="16"/>
    </w:rPr>
  </w:style>
  <w:style w:type="paragraph" w:styleId="ListParagraph">
    <w:name w:val="List Paragraph"/>
    <w:aliases w:val="Párrafo de lista1,Biblio,Articulo,List Paragraph 1,Lista vistosa - Énfasis 11,List Paragraph (numbered (a)),Paragraph,List Paragraph1,Dot pt,Bullet Points,No Spacing1,List Paragraph Char Char Char,Indicator Text,Bullet 1"/>
    <w:basedOn w:val="Normal"/>
    <w:link w:val="ListParagraphChar"/>
    <w:uiPriority w:val="34"/>
    <w:qFormat/>
    <w:rsid w:val="0001207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ListParagraphChar">
    <w:name w:val="List Paragraph Char"/>
    <w:aliases w:val="Párrafo de lista1 Char,Biblio Char,Articulo Char,List Paragraph 1 Char,Lista vistosa - Énfasis 11 Char,List Paragraph (numbered (a)) Char,Paragraph Char,List Paragraph1 Char,Dot pt Char,Bullet Points Char,No Spacing1 Char"/>
    <w:basedOn w:val="DefaultParagraphFont"/>
    <w:link w:val="ListParagraph"/>
    <w:uiPriority w:val="34"/>
    <w:qFormat/>
    <w:locked/>
    <w:rsid w:val="00012073"/>
    <w:rPr>
      <w:rFonts w:asciiTheme="minorHAnsi" w:eastAsiaTheme="minorHAnsi" w:hAnsiTheme="minorHAnsi" w:cstheme="minorBidi"/>
      <w:sz w:val="22"/>
      <w:szCs w:val="22"/>
      <w:bdr w:val="none" w:sz="0" w:space="0" w:color="auto"/>
      <w:lang w:val="en-US" w:eastAsia="en-US"/>
    </w:rPr>
  </w:style>
  <w:style w:type="character" w:customStyle="1" w:styleId="UnresolvedMention1">
    <w:name w:val="Unresolved Mention1"/>
    <w:basedOn w:val="DefaultParagraphFont"/>
    <w:uiPriority w:val="99"/>
    <w:semiHidden/>
    <w:unhideWhenUsed/>
    <w:rsid w:val="00AC314D"/>
    <w:rPr>
      <w:color w:val="605E5C"/>
      <w:shd w:val="clear" w:color="auto" w:fill="E1DFDD"/>
    </w:rPr>
  </w:style>
  <w:style w:type="character" w:customStyle="1" w:styleId="UnresolvedMention">
    <w:name w:val="Unresolved Mention"/>
    <w:basedOn w:val="DefaultParagraphFont"/>
    <w:uiPriority w:val="99"/>
    <w:semiHidden/>
    <w:unhideWhenUsed/>
    <w:rsid w:val="00D337E7"/>
    <w:rPr>
      <w:color w:val="605E5C"/>
      <w:shd w:val="clear" w:color="auto" w:fill="E1DFDD"/>
    </w:rPr>
  </w:style>
  <w:style w:type="paragraph" w:styleId="HTMLPreformatted">
    <w:name w:val="HTML Preformatted"/>
    <w:basedOn w:val="Normal"/>
    <w:link w:val="HTMLPreformattedChar"/>
    <w:uiPriority w:val="99"/>
    <w:unhideWhenUsed/>
    <w:rsid w:val="006C5C6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zh-CN"/>
    </w:rPr>
  </w:style>
  <w:style w:type="character" w:customStyle="1" w:styleId="HTMLPreformattedChar">
    <w:name w:val="HTML Preformatted Char"/>
    <w:basedOn w:val="DefaultParagraphFont"/>
    <w:link w:val="HTMLPreformatted"/>
    <w:uiPriority w:val="99"/>
    <w:rsid w:val="006C5C61"/>
    <w:rPr>
      <w:rFonts w:ascii="Courier New" w:eastAsia="Times New Roman" w:hAnsi="Courier New" w:cs="Courier New"/>
      <w:bdr w:val="none" w:sz="0" w:space="0" w:color="auto"/>
      <w:lang w:val="en-US" w:eastAsia="zh-CN"/>
    </w:rPr>
  </w:style>
  <w:style w:type="character" w:customStyle="1" w:styleId="y2iqfc">
    <w:name w:val="y2iqfc"/>
    <w:basedOn w:val="DefaultParagraphFont"/>
    <w:rsid w:val="006C5C61"/>
  </w:style>
  <w:style w:type="character" w:customStyle="1" w:styleId="Heading3Char">
    <w:name w:val="Heading 3 Char"/>
    <w:basedOn w:val="DefaultParagraphFont"/>
    <w:link w:val="Heading3"/>
    <w:uiPriority w:val="9"/>
    <w:semiHidden/>
    <w:rsid w:val="00C34BE1"/>
    <w:rPr>
      <w:rFonts w:asciiTheme="majorHAnsi" w:eastAsiaTheme="majorEastAsia" w:hAnsiTheme="majorHAnsi" w:cstheme="majorBidi"/>
      <w:color w:val="243F60" w:themeColor="accent1" w:themeShade="7F"/>
      <w:sz w:val="24"/>
      <w:szCs w:val="24"/>
      <w:lang w:val="en-US" w:eastAsia="en-US"/>
    </w:rPr>
  </w:style>
  <w:style w:type="character" w:styleId="Strong">
    <w:name w:val="Strong"/>
    <w:basedOn w:val="DefaultParagraphFont"/>
    <w:uiPriority w:val="22"/>
    <w:qFormat/>
    <w:rsid w:val="00C34BE1"/>
    <w:rPr>
      <w:b/>
      <w:bCs/>
    </w:rPr>
  </w:style>
  <w:style w:type="paragraph" w:styleId="NormalWeb">
    <w:name w:val="Normal (Web)"/>
    <w:basedOn w:val="Normal"/>
    <w:uiPriority w:val="99"/>
    <w:semiHidden/>
    <w:unhideWhenUsed/>
    <w:rsid w:val="00C34B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CN"/>
    </w:rPr>
  </w:style>
  <w:style w:type="character" w:customStyle="1" w:styleId="Heading2Char">
    <w:name w:val="Heading 2 Char"/>
    <w:basedOn w:val="DefaultParagraphFont"/>
    <w:link w:val="Heading2"/>
    <w:uiPriority w:val="9"/>
    <w:semiHidden/>
    <w:rsid w:val="00511996"/>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4508">
      <w:bodyDiv w:val="1"/>
      <w:marLeft w:val="0"/>
      <w:marRight w:val="0"/>
      <w:marTop w:val="0"/>
      <w:marBottom w:val="0"/>
      <w:divBdr>
        <w:top w:val="none" w:sz="0" w:space="0" w:color="auto"/>
        <w:left w:val="none" w:sz="0" w:space="0" w:color="auto"/>
        <w:bottom w:val="none" w:sz="0" w:space="0" w:color="auto"/>
        <w:right w:val="none" w:sz="0" w:space="0" w:color="auto"/>
      </w:divBdr>
    </w:div>
    <w:div w:id="213589027">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334117452">
      <w:bodyDiv w:val="1"/>
      <w:marLeft w:val="0"/>
      <w:marRight w:val="0"/>
      <w:marTop w:val="0"/>
      <w:marBottom w:val="0"/>
      <w:divBdr>
        <w:top w:val="none" w:sz="0" w:space="0" w:color="auto"/>
        <w:left w:val="none" w:sz="0" w:space="0" w:color="auto"/>
        <w:bottom w:val="none" w:sz="0" w:space="0" w:color="auto"/>
        <w:right w:val="none" w:sz="0" w:space="0" w:color="auto"/>
      </w:divBdr>
    </w:div>
    <w:div w:id="360862498">
      <w:bodyDiv w:val="1"/>
      <w:marLeft w:val="0"/>
      <w:marRight w:val="0"/>
      <w:marTop w:val="0"/>
      <w:marBottom w:val="0"/>
      <w:divBdr>
        <w:top w:val="none" w:sz="0" w:space="0" w:color="auto"/>
        <w:left w:val="none" w:sz="0" w:space="0" w:color="auto"/>
        <w:bottom w:val="none" w:sz="0" w:space="0" w:color="auto"/>
        <w:right w:val="none" w:sz="0" w:space="0" w:color="auto"/>
      </w:divBdr>
      <w:divsChild>
        <w:div w:id="1816413353">
          <w:blockQuote w:val="1"/>
          <w:marLeft w:val="150"/>
          <w:marRight w:val="0"/>
          <w:marTop w:val="0"/>
          <w:marBottom w:val="300"/>
          <w:divBdr>
            <w:top w:val="none" w:sz="0" w:space="0" w:color="auto"/>
            <w:left w:val="single" w:sz="48" w:space="15" w:color="BCBCBC"/>
            <w:bottom w:val="none" w:sz="0" w:space="0" w:color="auto"/>
            <w:right w:val="none" w:sz="0" w:space="0" w:color="auto"/>
          </w:divBdr>
        </w:div>
      </w:divsChild>
    </w:div>
    <w:div w:id="446431521">
      <w:bodyDiv w:val="1"/>
      <w:marLeft w:val="0"/>
      <w:marRight w:val="0"/>
      <w:marTop w:val="0"/>
      <w:marBottom w:val="0"/>
      <w:divBdr>
        <w:top w:val="none" w:sz="0" w:space="0" w:color="auto"/>
        <w:left w:val="none" w:sz="0" w:space="0" w:color="auto"/>
        <w:bottom w:val="none" w:sz="0" w:space="0" w:color="auto"/>
        <w:right w:val="none" w:sz="0" w:space="0" w:color="auto"/>
      </w:divBdr>
    </w:div>
    <w:div w:id="579100164">
      <w:bodyDiv w:val="1"/>
      <w:marLeft w:val="0"/>
      <w:marRight w:val="0"/>
      <w:marTop w:val="0"/>
      <w:marBottom w:val="0"/>
      <w:divBdr>
        <w:top w:val="none" w:sz="0" w:space="0" w:color="auto"/>
        <w:left w:val="none" w:sz="0" w:space="0" w:color="auto"/>
        <w:bottom w:val="none" w:sz="0" w:space="0" w:color="auto"/>
        <w:right w:val="none" w:sz="0" w:space="0" w:color="auto"/>
      </w:divBdr>
    </w:div>
    <w:div w:id="1567109459">
      <w:bodyDiv w:val="1"/>
      <w:marLeft w:val="0"/>
      <w:marRight w:val="0"/>
      <w:marTop w:val="0"/>
      <w:marBottom w:val="0"/>
      <w:divBdr>
        <w:top w:val="none" w:sz="0" w:space="0" w:color="auto"/>
        <w:left w:val="none" w:sz="0" w:space="0" w:color="auto"/>
        <w:bottom w:val="none" w:sz="0" w:space="0" w:color="auto"/>
        <w:right w:val="none" w:sz="0" w:space="0" w:color="auto"/>
      </w:divBdr>
    </w:div>
    <w:div w:id="1890145862">
      <w:bodyDiv w:val="1"/>
      <w:marLeft w:val="0"/>
      <w:marRight w:val="0"/>
      <w:marTop w:val="0"/>
      <w:marBottom w:val="0"/>
      <w:divBdr>
        <w:top w:val="none" w:sz="0" w:space="0" w:color="auto"/>
        <w:left w:val="none" w:sz="0" w:space="0" w:color="auto"/>
        <w:bottom w:val="none" w:sz="0" w:space="0" w:color="auto"/>
        <w:right w:val="none" w:sz="0" w:space="0" w:color="auto"/>
      </w:divBdr>
    </w:div>
    <w:div w:id="2080133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undocs.org/fr/A/HRC/42/18" TargetMode="External"/><Relationship Id="rId117" Type="http://schemas.openxmlformats.org/officeDocument/2006/relationships/hyperlink" Target="http://undocs.org/fr/A/HRC/49/23" TargetMode="External"/><Relationship Id="rId21" Type="http://schemas.openxmlformats.org/officeDocument/2006/relationships/hyperlink" Target="https://www.ohchr.org/es/statements/2022/05/nicaraguas-crackdown-civil-society" TargetMode="External"/><Relationship Id="rId42" Type="http://schemas.openxmlformats.org/officeDocument/2006/relationships/hyperlink" Target="http://undocs.org/fr/A/HRC/42/18" TargetMode="External"/><Relationship Id="rId47" Type="http://schemas.openxmlformats.org/officeDocument/2006/relationships/hyperlink" Target="http://undocs.org/fr/A/HRC/49/23" TargetMode="External"/><Relationship Id="rId63" Type="http://schemas.openxmlformats.org/officeDocument/2006/relationships/hyperlink" Target="http://undocs.org/fr/A/HRC/49/23" TargetMode="External"/><Relationship Id="rId68" Type="http://schemas.openxmlformats.org/officeDocument/2006/relationships/hyperlink" Target="http://undocs.org/fr/A/HRC/49/23" TargetMode="External"/><Relationship Id="rId84" Type="http://schemas.openxmlformats.org/officeDocument/2006/relationships/hyperlink" Target="http://undocs.org/fr/A/HRC/42/16" TargetMode="External"/><Relationship Id="rId89" Type="http://schemas.openxmlformats.org/officeDocument/2006/relationships/hyperlink" Target="http://undocs.org/fr/E/C.12/NIC/CO/5" TargetMode="External"/><Relationship Id="rId112" Type="http://schemas.openxmlformats.org/officeDocument/2006/relationships/hyperlink" Target="http://undocs.org/fr/A/HRC/46/21" TargetMode="External"/><Relationship Id="rId16" Type="http://schemas.openxmlformats.org/officeDocument/2006/relationships/hyperlink" Target="http://undocs.org/fr/A/HRC/46/21" TargetMode="External"/><Relationship Id="rId107" Type="http://schemas.openxmlformats.org/officeDocument/2006/relationships/hyperlink" Target="http://undocs.org/fr/A/HRC/42/16" TargetMode="External"/><Relationship Id="rId11" Type="http://schemas.openxmlformats.org/officeDocument/2006/relationships/hyperlink" Target="http://undocs.org/fr/A/HRC/49/23" TargetMode="External"/><Relationship Id="rId32" Type="http://schemas.openxmlformats.org/officeDocument/2006/relationships/hyperlink" Target="http://undocs.org/fr/A/HRC/42/16" TargetMode="External"/><Relationship Id="rId37" Type="http://schemas.openxmlformats.org/officeDocument/2006/relationships/hyperlink" Target="http://undocs.org/fr/E/C.12/NIC/CO/5" TargetMode="External"/><Relationship Id="rId53" Type="http://schemas.openxmlformats.org/officeDocument/2006/relationships/hyperlink" Target="http://undocs.org/fr/A/HRC/42/18" TargetMode="External"/><Relationship Id="rId58" Type="http://schemas.openxmlformats.org/officeDocument/2006/relationships/hyperlink" Target="http://undocs.org/fr/A/HRC/46/21" TargetMode="External"/><Relationship Id="rId74" Type="http://schemas.openxmlformats.org/officeDocument/2006/relationships/hyperlink" Target="http://undocs.org/fr/A/HRC/42/16" TargetMode="External"/><Relationship Id="rId79" Type="http://schemas.openxmlformats.org/officeDocument/2006/relationships/hyperlink" Target="http://undocs.org/fr/A/HRC/42/16" TargetMode="External"/><Relationship Id="rId102" Type="http://schemas.openxmlformats.org/officeDocument/2006/relationships/hyperlink" Target="http://undocs.org/fr/A/HRC/49/23" TargetMode="External"/><Relationship Id="rId123" Type="http://schemas.openxmlformats.org/officeDocument/2006/relationships/hyperlink" Target="http://undocs.org/fr/E/C.12/NIC/CO/5" TargetMode="External"/><Relationship Id="rId128" Type="http://schemas.openxmlformats.org/officeDocument/2006/relationships/hyperlink" Target="http://undocs.org/fr/A/HRC/49/23" TargetMode="External"/><Relationship Id="rId5" Type="http://schemas.openxmlformats.org/officeDocument/2006/relationships/hyperlink" Target="http://undocs.org/fr/A/HRC/42/16/Add.1" TargetMode="External"/><Relationship Id="rId90" Type="http://schemas.openxmlformats.org/officeDocument/2006/relationships/hyperlink" Target="http://undocs.org/fr/E/C.12/NIC/CO/5" TargetMode="External"/><Relationship Id="rId95" Type="http://schemas.openxmlformats.org/officeDocument/2006/relationships/hyperlink" Target="http://undocs.org/fr/E/C.12/NIC/CO/5" TargetMode="External"/><Relationship Id="rId19" Type="http://schemas.openxmlformats.org/officeDocument/2006/relationships/hyperlink" Target="https://www.ohchr.org/es/press-releases/2022/07/nicaragua-un-experts-denounce-arbitrary-shutdown-civil-society-organisations" TargetMode="External"/><Relationship Id="rId14" Type="http://schemas.openxmlformats.org/officeDocument/2006/relationships/hyperlink" Target="https://www.el19digital.com/articulos/ver/titulo:129845-condenan-a-13-anos-de-prision-al-delincuente-felix-alejandro-maradiaga-blandon" TargetMode="External"/><Relationship Id="rId22" Type="http://schemas.openxmlformats.org/officeDocument/2006/relationships/hyperlink" Target="https://www.rsf-es.org/clasificacion-2022-analisis-general-la-nueva-era-de-la-polarizacion/" TargetMode="External"/><Relationship Id="rId27" Type="http://schemas.openxmlformats.org/officeDocument/2006/relationships/hyperlink" Target="http://undocs.org/fr/A/HRC/46/21" TargetMode="External"/><Relationship Id="rId30" Type="http://schemas.openxmlformats.org/officeDocument/2006/relationships/hyperlink" Target="http://undocs.org/fr/A/HRC/42/16" TargetMode="External"/><Relationship Id="rId35" Type="http://schemas.openxmlformats.org/officeDocument/2006/relationships/hyperlink" Target="http://undocs.org/fr/A/HRC/42/18" TargetMode="External"/><Relationship Id="rId43" Type="http://schemas.openxmlformats.org/officeDocument/2006/relationships/hyperlink" Target="http://undocs.org/fr/A/HRC/49/23" TargetMode="External"/><Relationship Id="rId48" Type="http://schemas.openxmlformats.org/officeDocument/2006/relationships/hyperlink" Target="http://undocs.org/fr/A/HRC/42/18" TargetMode="External"/><Relationship Id="rId56" Type="http://schemas.openxmlformats.org/officeDocument/2006/relationships/hyperlink" Target="http://undocs.org/fr/A/HRC/49/23" TargetMode="External"/><Relationship Id="rId64" Type="http://schemas.openxmlformats.org/officeDocument/2006/relationships/hyperlink" Target="http://undocs.org/fr/A/HRC/42/18" TargetMode="External"/><Relationship Id="rId69" Type="http://schemas.openxmlformats.org/officeDocument/2006/relationships/hyperlink" Target="%20https://www.el19digital.com/articulos/ver/titulo:122538-acto-del-45-aniversario-del-transito-a-la-inmortalidad-de-carlos-fonseca-amador" TargetMode="External"/><Relationship Id="rId77" Type="http://schemas.openxmlformats.org/officeDocument/2006/relationships/hyperlink" Target="http://undocs.org/fr/A/HRC/49/23" TargetMode="External"/><Relationship Id="rId100" Type="http://schemas.openxmlformats.org/officeDocument/2006/relationships/hyperlink" Target="https://www3.weforum.org/docs/WEF_GGGR_2021.pdf" TargetMode="External"/><Relationship Id="rId105" Type="http://schemas.openxmlformats.org/officeDocument/2006/relationships/hyperlink" Target="https://www.el19digital.com/articulos/ver/titulo:126803-policia-nacional-inauguro-la-comisaria-de-la-mujer-numero-113-en-ticuantepe" TargetMode="External"/><Relationship Id="rId113" Type="http://schemas.openxmlformats.org/officeDocument/2006/relationships/hyperlink" Target="http://undocs.org/fr/A/HRC/49/23" TargetMode="External"/><Relationship Id="rId118" Type="http://schemas.openxmlformats.org/officeDocument/2006/relationships/hyperlink" Target="http://undocs.org/fr/A/HRC/42/16" TargetMode="External"/><Relationship Id="rId126" Type="http://schemas.openxmlformats.org/officeDocument/2006/relationships/hyperlink" Target="http://undocs.org/fr/A/HRC/46/21" TargetMode="External"/><Relationship Id="rId8" Type="http://schemas.openxmlformats.org/officeDocument/2006/relationships/hyperlink" Target="https://www.oas.org/es/council/CP/documentation/res_decs/" TargetMode="External"/><Relationship Id="rId51" Type="http://schemas.openxmlformats.org/officeDocument/2006/relationships/hyperlink" Target="http://undocs.org/fr/A/HRC/46/21" TargetMode="External"/><Relationship Id="rId72" Type="http://schemas.openxmlformats.org/officeDocument/2006/relationships/hyperlink" Target="http://undocs.org/fr/A/HRC/46/21" TargetMode="External"/><Relationship Id="rId80" Type="http://schemas.openxmlformats.org/officeDocument/2006/relationships/hyperlink" Target="http://undocs.org/fr/A/HRC/42/18" TargetMode="External"/><Relationship Id="rId85" Type="http://schemas.openxmlformats.org/officeDocument/2006/relationships/hyperlink" Target="http://undocs.org/fr/E/C.12/NIC/CO/5" TargetMode="External"/><Relationship Id="rId93" Type="http://schemas.openxmlformats.org/officeDocument/2006/relationships/hyperlink" Target="http://undocs.org/fr/A/HRC/42/16" TargetMode="External"/><Relationship Id="rId98" Type="http://schemas.openxmlformats.org/officeDocument/2006/relationships/hyperlink" Target="http://undocs.org/fr/A/HRC/42/16" TargetMode="External"/><Relationship Id="rId121" Type="http://schemas.openxmlformats.org/officeDocument/2006/relationships/hyperlink" Target="https://ohchr.org/en/press-releases/2022/07/committee-against-torture-considers-situation-nicaragua-absence-delegation" TargetMode="External"/><Relationship Id="rId3" Type="http://schemas.openxmlformats.org/officeDocument/2006/relationships/hyperlink" Target="http://undocs.org/fr/A/HRC/46/21" TargetMode="External"/><Relationship Id="rId12" Type="http://schemas.openxmlformats.org/officeDocument/2006/relationships/hyperlink" Target="http://undocs.org/fr/A/HRC/49/23" TargetMode="External"/><Relationship Id="rId17" Type="http://schemas.openxmlformats.org/officeDocument/2006/relationships/hyperlink" Target="http://undocs.org/fr/A/HRC/49/23" TargetMode="External"/><Relationship Id="rId25" Type="http://schemas.openxmlformats.org/officeDocument/2006/relationships/hyperlink" Target="https://www.acnur.org/desplazamiento-en-centroamerica.html" TargetMode="External"/><Relationship Id="rId33" Type="http://schemas.openxmlformats.org/officeDocument/2006/relationships/hyperlink" Target="http://undocs.org/fr/A/HRC/49/23" TargetMode="External"/><Relationship Id="rId38" Type="http://schemas.openxmlformats.org/officeDocument/2006/relationships/hyperlink" Target="http://undocs.org/fr/A/HRC/42/18" TargetMode="External"/><Relationship Id="rId46" Type="http://schemas.openxmlformats.org/officeDocument/2006/relationships/hyperlink" Target="http://undocs.org/fr/A/HRC/42/16" TargetMode="External"/><Relationship Id="rId59" Type="http://schemas.openxmlformats.org/officeDocument/2006/relationships/hyperlink" Target="http://undocs.org/fr/A/HRC/49/23" TargetMode="External"/><Relationship Id="rId67" Type="http://schemas.openxmlformats.org/officeDocument/2006/relationships/hyperlink" Target="http://undocs.org/fr/A/HRC/46/21" TargetMode="External"/><Relationship Id="rId103" Type="http://schemas.openxmlformats.org/officeDocument/2006/relationships/hyperlink" Target="http://undocs.org/fr/A/HRC/42/16" TargetMode="External"/><Relationship Id="rId108" Type="http://schemas.openxmlformats.org/officeDocument/2006/relationships/hyperlink" Target="https://population.un.org/wpp/Download/Standard/Fertility/" TargetMode="External"/><Relationship Id="rId116" Type="http://schemas.openxmlformats.org/officeDocument/2006/relationships/hyperlink" Target="http://undocs.org/fr/A/HRC/46/21" TargetMode="External"/><Relationship Id="rId124" Type="http://schemas.openxmlformats.org/officeDocument/2006/relationships/hyperlink" Target="http://undocs.org/fr/A/HRC/42/16" TargetMode="External"/><Relationship Id="rId20" Type="http://schemas.openxmlformats.org/officeDocument/2006/relationships/hyperlink" Target="https://spcommreports.ohchr.org/Tmsearch/TMDocuments" TargetMode="External"/><Relationship Id="rId41" Type="http://schemas.openxmlformats.org/officeDocument/2006/relationships/hyperlink" Target="http://undocs.org/fr/A/HRC/42/16" TargetMode="External"/><Relationship Id="rId54" Type="http://schemas.openxmlformats.org/officeDocument/2006/relationships/hyperlink" Target="http://undocs.org/fr/A/HRC/42/16" TargetMode="External"/><Relationship Id="rId62" Type="http://schemas.openxmlformats.org/officeDocument/2006/relationships/hyperlink" Target="http://undocs.org/fr/A/HRC/46/21" TargetMode="External"/><Relationship Id="rId70" Type="http://schemas.openxmlformats.org/officeDocument/2006/relationships/hyperlink" Target="https://www.el19digital.com/articulos/ver/titulo:124381-acto-solemne-de-juramentacion-e-inauguracion-del-nuevo-periodo-del-pueblo-presidente" TargetMode="External"/><Relationship Id="rId75" Type="http://schemas.openxmlformats.org/officeDocument/2006/relationships/hyperlink" Target="http://undocs.org/fr/A/HRC/42/18" TargetMode="External"/><Relationship Id="rId83" Type="http://schemas.openxmlformats.org/officeDocument/2006/relationships/hyperlink" Target="http://undocs.org/fr/E/C.12/NIC/CO/5" TargetMode="External"/><Relationship Id="rId88" Type="http://schemas.openxmlformats.org/officeDocument/2006/relationships/hyperlink" Target="http://undocs.org/fr/A/HRC/49/23" TargetMode="External"/><Relationship Id="rId91" Type="http://schemas.openxmlformats.org/officeDocument/2006/relationships/hyperlink" Target="http://undocs.org/fr/E/C.12/NIC/CO/5" TargetMode="External"/><Relationship Id="rId96" Type="http://schemas.openxmlformats.org/officeDocument/2006/relationships/hyperlink" Target="http://undocs.org/fr/A/HRC/42/16" TargetMode="External"/><Relationship Id="rId111" Type="http://schemas.openxmlformats.org/officeDocument/2006/relationships/hyperlink" Target="http://undocs.org/fr/E/C.12/NIC/CO/5" TargetMode="External"/><Relationship Id="rId1" Type="http://schemas.openxmlformats.org/officeDocument/2006/relationships/hyperlink" Target="http://www.oacnudh.org/wp-content/uploads/2018/08/Nicaragua-Report-FINAL_SP.pdf" TargetMode="External"/><Relationship Id="rId6" Type="http://schemas.openxmlformats.org/officeDocument/2006/relationships/hyperlink" Target="http://undocs.org/fr/E/C.12/NIC/CO/5" TargetMode="External"/><Relationship Id="rId15" Type="http://schemas.openxmlformats.org/officeDocument/2006/relationships/hyperlink" Target="https://unitednations-my.sharepoint.com/personal/elena_alonsoperez-avila_un_org/Documents/V&#233;ase%20https:/www.oas.org/es/CIDH/jsForm/?File=/es/cidh/prensa/comunicados/2022/032.asp" TargetMode="External"/><Relationship Id="rId23" Type="http://schemas.openxmlformats.org/officeDocument/2006/relationships/hyperlink" Target="https://www.youtube.com/watch?v=6xKAUa78Dls" TargetMode="External"/><Relationship Id="rId28" Type="http://schemas.openxmlformats.org/officeDocument/2006/relationships/hyperlink" Target="http://undocs.org/fr/A/HRC/49/23" TargetMode="External"/><Relationship Id="rId36" Type="http://schemas.openxmlformats.org/officeDocument/2006/relationships/hyperlink" Target="http://undocs.org/fr/A/HRC/42/16" TargetMode="External"/><Relationship Id="rId49" Type="http://schemas.openxmlformats.org/officeDocument/2006/relationships/hyperlink" Target="http://undocs.org/fr/A/HRC/49/23" TargetMode="External"/><Relationship Id="rId57" Type="http://schemas.openxmlformats.org/officeDocument/2006/relationships/hyperlink" Target="http://undocs.org/fr/A/HRC/42/18" TargetMode="External"/><Relationship Id="rId106" Type="http://schemas.openxmlformats.org/officeDocument/2006/relationships/hyperlink" Target="https://www.el19digital.com/articulos/ver/titulo:125214-nicaragua-redujo-la-mortalidad-materna-en-68-entre-2006-y-2021" TargetMode="External"/><Relationship Id="rId114" Type="http://schemas.openxmlformats.org/officeDocument/2006/relationships/hyperlink" Target="http://undocs.org/fr/E/C.12/NIC/CO/5" TargetMode="External"/><Relationship Id="rId119" Type="http://schemas.openxmlformats.org/officeDocument/2006/relationships/hyperlink" Target="https://tbinternet.ohchr.org/_layouts/15/TreatyBodyExternal/countries.aspx?CountryCode=NIC&amp;L" TargetMode="External"/><Relationship Id="rId127" Type="http://schemas.openxmlformats.org/officeDocument/2006/relationships/hyperlink" Target="http://undocs.org/fr/A/HRC/49/23" TargetMode="External"/><Relationship Id="rId10" Type="http://schemas.openxmlformats.org/officeDocument/2006/relationships/hyperlink" Target="https://www.europarl.europa.eu/news/es/press-room/20220531IPR31809/nicaragua-la-ue-debe-sancionar-a-los-jueces-responsables-de-la-represion" TargetMode="External"/><Relationship Id="rId31" Type="http://schemas.openxmlformats.org/officeDocument/2006/relationships/hyperlink" Target="http://undocs.org/fr/A/HRC/42/18" TargetMode="External"/><Relationship Id="rId44" Type="http://schemas.openxmlformats.org/officeDocument/2006/relationships/hyperlink" Target="http://undocs.org/fr/A/HRC/42/18" TargetMode="External"/><Relationship Id="rId52" Type="http://schemas.openxmlformats.org/officeDocument/2006/relationships/hyperlink" Target="http://undocs.org/fr/A/HRC/42/16" TargetMode="External"/><Relationship Id="rId60" Type="http://schemas.openxmlformats.org/officeDocument/2006/relationships/hyperlink" Target="http://undocs.org/fr/A/HRC/42/16" TargetMode="External"/><Relationship Id="rId65" Type="http://schemas.openxmlformats.org/officeDocument/2006/relationships/hyperlink" Target="http://undocs.org/fr/A/HRC/49/23" TargetMode="External"/><Relationship Id="rId73" Type="http://schemas.openxmlformats.org/officeDocument/2006/relationships/hyperlink" Target="http://undocs.org/fr/A/HRC/49/23" TargetMode="External"/><Relationship Id="rId78" Type="http://schemas.openxmlformats.org/officeDocument/2006/relationships/hyperlink" Target="http://undocs.org/fr/E/C.12/NIC/CO/5" TargetMode="External"/><Relationship Id="rId81" Type="http://schemas.openxmlformats.org/officeDocument/2006/relationships/hyperlink" Target="http://undocs.org/fr/A/HRC/42/16" TargetMode="External"/><Relationship Id="rId86" Type="http://schemas.openxmlformats.org/officeDocument/2006/relationships/hyperlink" Target="%20https://www.transparency.org/en/news/cpi-2021-americas-a-region-in-crisis" TargetMode="External"/><Relationship Id="rId94" Type="http://schemas.openxmlformats.org/officeDocument/2006/relationships/hyperlink" Target="http://undocs.org/fr/A/HRC/49/23" TargetMode="External"/><Relationship Id="rId99" Type="http://schemas.openxmlformats.org/officeDocument/2006/relationships/hyperlink" Target="http://undocs.org/fr/E/C.12/NIC/CO/5" TargetMode="External"/><Relationship Id="rId101" Type="http://schemas.openxmlformats.org/officeDocument/2006/relationships/hyperlink" Target="https://oig.cepal.org/es/indicadores" TargetMode="External"/><Relationship Id="rId122" Type="http://schemas.openxmlformats.org/officeDocument/2006/relationships/hyperlink" Target="https://media.un.org/en/asset/k1r/k1rfw9qasz" TargetMode="External"/><Relationship Id="rId4" Type="http://schemas.openxmlformats.org/officeDocument/2006/relationships/hyperlink" Target="http://undocs.org/fr/A/HRC/42/16" TargetMode="External"/><Relationship Id="rId9" Type="http://schemas.openxmlformats.org/officeDocument/2006/relationships/hyperlink" Target="https://www.eeas.europa.eu/eeas/nicaragua-declaraci%C3%B3n-del-portavoz-sobre-el-cierre-de-siete-emisoras-de-radio-y-el-cierre-de_es?s=189" TargetMode="External"/><Relationship Id="rId13" Type="http://schemas.openxmlformats.org/officeDocument/2006/relationships/hyperlink" Target="https://www.youtube.com/watch?v=ogYh9H1VYGI" TargetMode="External"/><Relationship Id="rId18" Type="http://schemas.openxmlformats.org/officeDocument/2006/relationships/hyperlink" Target="http://legislacion.asamblea.gob.ni/Normaweb.nsf/xpMainDIL.xsp" TargetMode="External"/><Relationship Id="rId39" Type="http://schemas.openxmlformats.org/officeDocument/2006/relationships/hyperlink" Target="http://undocs.org/fr/A/HRC/49/23" TargetMode="External"/><Relationship Id="rId109" Type="http://schemas.openxmlformats.org/officeDocument/2006/relationships/hyperlink" Target="http://undocs.org/fr/A/HRC/49/23" TargetMode="External"/><Relationship Id="rId34" Type="http://schemas.openxmlformats.org/officeDocument/2006/relationships/hyperlink" Target="https://ganhri.org/wp-content/uploads/2019/11/SCA-Report-March-2019-ES.pdf" TargetMode="External"/><Relationship Id="rId50" Type="http://schemas.openxmlformats.org/officeDocument/2006/relationships/hyperlink" Target="http://undocs.org/fr/A/HRC/42/18" TargetMode="External"/><Relationship Id="rId55" Type="http://schemas.openxmlformats.org/officeDocument/2006/relationships/hyperlink" Target="http://undocs.org/fr/A/HRC/46/21" TargetMode="External"/><Relationship Id="rId76" Type="http://schemas.openxmlformats.org/officeDocument/2006/relationships/hyperlink" Target="http://undocs.org/fr/A/HRC/42/18" TargetMode="External"/><Relationship Id="rId97" Type="http://schemas.openxmlformats.org/officeDocument/2006/relationships/hyperlink" Target="https://www.el19digital.com/articulos/ver/titulo:116982-companera-rosario-murillo-en-multinoticias-09-06-21" TargetMode="External"/><Relationship Id="rId104" Type="http://schemas.openxmlformats.org/officeDocument/2006/relationships/hyperlink" Target="http://undocs.org/fr/A/HRC/46/21" TargetMode="External"/><Relationship Id="rId120" Type="http://schemas.openxmlformats.org/officeDocument/2006/relationships/hyperlink" Target="http://undocs.org/fr/E/C.12/NIC/CO/5" TargetMode="External"/><Relationship Id="rId125" Type="http://schemas.openxmlformats.org/officeDocument/2006/relationships/hyperlink" Target="http://undocs.org/fr/A/HRC/42/18" TargetMode="External"/><Relationship Id="rId7" Type="http://schemas.openxmlformats.org/officeDocument/2006/relationships/hyperlink" Target="https://www.el19digital.com/articulos/ver/titulo:127519-inmueble-que-ocupaba-oea-en-nicaragua-es-declarado-de-utilidad-publica" TargetMode="External"/><Relationship Id="rId71" Type="http://schemas.openxmlformats.org/officeDocument/2006/relationships/hyperlink" Target="http://undocs.org/fr/A/HRC/42/18" TargetMode="External"/><Relationship Id="rId92" Type="http://schemas.openxmlformats.org/officeDocument/2006/relationships/hyperlink" Target="https://ods9.org/resource/273/informe-nacional-voluntario-2021-de-nicaragua" TargetMode="External"/><Relationship Id="rId2" Type="http://schemas.openxmlformats.org/officeDocument/2006/relationships/hyperlink" Target="http://undocs.org/fr/A/HRC/42/18" TargetMode="External"/><Relationship Id="rId29" Type="http://schemas.openxmlformats.org/officeDocument/2006/relationships/hyperlink" Target="http://undocs.org/fr/E/C.12/NIC/CO/5" TargetMode="External"/><Relationship Id="rId24" Type="http://schemas.openxmlformats.org/officeDocument/2006/relationships/hyperlink" Target="https://twitter.com/vppolicial/status/1555722200677842944" TargetMode="External"/><Relationship Id="rId40" Type="http://schemas.openxmlformats.org/officeDocument/2006/relationships/hyperlink" Target="http://undocs.org/fr/A/HRC/42/18" TargetMode="External"/><Relationship Id="rId45" Type="http://schemas.openxmlformats.org/officeDocument/2006/relationships/hyperlink" Target="http://undocs.org/fr/A/HRC/46/21" TargetMode="External"/><Relationship Id="rId66" Type="http://schemas.openxmlformats.org/officeDocument/2006/relationships/hyperlink" Target="http://undocs.org/fr/A/HRC/42/16" TargetMode="External"/><Relationship Id="rId87" Type="http://schemas.openxmlformats.org/officeDocument/2006/relationships/hyperlink" Target="http://undocs.org/fr/E/C.12/NIC/CO/5" TargetMode="External"/><Relationship Id="rId110" Type="http://schemas.openxmlformats.org/officeDocument/2006/relationships/hyperlink" Target="http://undocs.org/fr/A/HRC/42/16" TargetMode="External"/><Relationship Id="rId115" Type="http://schemas.openxmlformats.org/officeDocument/2006/relationships/hyperlink" Target="http://undocs.org/fr/A/HRC/42/16" TargetMode="External"/><Relationship Id="rId61" Type="http://schemas.openxmlformats.org/officeDocument/2006/relationships/hyperlink" Target="http://undocs.org/fr/A/HRC/42/18" TargetMode="External"/><Relationship Id="rId82" Type="http://schemas.openxmlformats.org/officeDocument/2006/relationships/hyperlink" Target="https://media.un.org/en/asset/k1o/k1ow6ov3m3"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DB0E76B4376C4E82B16D895B20928D" ma:contentTypeVersion="2" ma:contentTypeDescription="Create a new document." ma:contentTypeScope="" ma:versionID="03b28f7058057d3424bf2e7b83dd61bb">
  <xsd:schema xmlns:xsd="http://www.w3.org/2001/XMLSchema" xmlns:xs="http://www.w3.org/2001/XMLSchema" xmlns:p="http://schemas.microsoft.com/office/2006/metadata/properties" xmlns:ns2="428416fd-f5ff-4c2c-9217-9a0681051042" targetNamespace="http://schemas.microsoft.com/office/2006/metadata/properties" ma:root="true" ma:fieldsID="40ff6975188057e462c042bf578fdabe" ns2:_="">
    <xsd:import namespace="428416fd-f5ff-4c2c-9217-9a068105104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416fd-f5ff-4c2c-9217-9a0681051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CFF75-9A9E-4E90-A2C0-427CDFAC498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428416fd-f5ff-4c2c-9217-9a0681051042"/>
    <ds:schemaRef ds:uri="http://www.w3.org/XML/1998/namespace"/>
    <ds:schemaRef ds:uri="http://purl.org/dc/elements/1.1/"/>
  </ds:schemaRefs>
</ds:datastoreItem>
</file>

<file path=customXml/itemProps2.xml><?xml version="1.0" encoding="utf-8"?>
<ds:datastoreItem xmlns:ds="http://schemas.openxmlformats.org/officeDocument/2006/customXml" ds:itemID="{ABC186F9-C122-4C91-9878-9F917AA93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416fd-f5ff-4c2c-9217-9a0681051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436AE-D0C8-4102-ACD1-AD271D9177F1}">
  <ds:schemaRefs>
    <ds:schemaRef ds:uri="http://schemas.microsoft.com/sharepoint/v3/contenttype/forms"/>
  </ds:schemaRefs>
</ds:datastoreItem>
</file>

<file path=customXml/itemProps4.xml><?xml version="1.0" encoding="utf-8"?>
<ds:datastoreItem xmlns:ds="http://schemas.openxmlformats.org/officeDocument/2006/customXml" ds:itemID="{C89F4974-845C-4EF5-8200-E2E98ED5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7467</Words>
  <Characters>42562</Characters>
  <Application>Microsoft Office Word</Application>
  <DocSecurity>0</DocSecurity>
  <Lines>354</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49930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Izagirre</dc:creator>
  <cp:keywords>, docId:FA2606F4B0B631E429B68800C759970E</cp:keywords>
  <cp:lastModifiedBy>Veronique Lanz</cp:lastModifiedBy>
  <cp:revision>2</cp:revision>
  <dcterms:created xsi:type="dcterms:W3CDTF">2022-09-12T15:11:00Z</dcterms:created>
  <dcterms:modified xsi:type="dcterms:W3CDTF">2022-09-12T15:11:00Z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0x01010011DB0E76B4376C4E82B16D895B20928D</vt:lpwstr>
  </property>
</Properties>
</file>