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74801" w14:textId="63B810B6" w:rsidR="004C3427" w:rsidRDefault="00E95288" w:rsidP="004670CE">
      <w:pPr>
        <w:jc w:val="center"/>
        <w:rPr>
          <w:b/>
          <w:lang w:val="en-US" w:eastAsia="en-US"/>
        </w:rPr>
      </w:pPr>
      <w:r>
        <w:rPr>
          <w:b/>
          <w:lang w:val="en-US" w:eastAsia="en-US"/>
        </w:rPr>
        <w:t xml:space="preserve">Submission to the call for inputs </w:t>
      </w:r>
      <w:r w:rsidR="005B464D" w:rsidRPr="005B464D">
        <w:rPr>
          <w:b/>
          <w:lang w:val="en-US" w:eastAsia="en-US"/>
        </w:rPr>
        <w:t xml:space="preserve">on patterns, policies, and processes leading to </w:t>
      </w:r>
      <w:r w:rsidR="00024FD0">
        <w:rPr>
          <w:b/>
          <w:lang w:val="en-US" w:eastAsia="en-US"/>
        </w:rPr>
        <w:t xml:space="preserve">                 </w:t>
      </w:r>
      <w:r w:rsidR="005B464D" w:rsidRPr="005B464D">
        <w:rPr>
          <w:b/>
          <w:lang w:val="en-US" w:eastAsia="en-US"/>
        </w:rPr>
        <w:t xml:space="preserve">incidents of racial discrimination and on advancing racial justice and equality </w:t>
      </w:r>
      <w:r>
        <w:rPr>
          <w:b/>
          <w:lang w:val="en-US" w:eastAsia="en-US"/>
        </w:rPr>
        <w:t xml:space="preserve">                                     </w:t>
      </w:r>
      <w:proofErr w:type="gramStart"/>
      <w:r>
        <w:rPr>
          <w:b/>
          <w:lang w:val="en-US" w:eastAsia="en-US"/>
        </w:rPr>
        <w:t xml:space="preserve">   </w:t>
      </w:r>
      <w:r w:rsidR="005B464D" w:rsidRPr="005B464D">
        <w:rPr>
          <w:b/>
          <w:lang w:val="en-US" w:eastAsia="en-US"/>
        </w:rPr>
        <w:t>(</w:t>
      </w:r>
      <w:proofErr w:type="gramEnd"/>
      <w:r>
        <w:rPr>
          <w:b/>
          <w:lang w:val="en-US" w:eastAsia="en-US"/>
        </w:rPr>
        <w:t xml:space="preserve">UN </w:t>
      </w:r>
      <w:r w:rsidRPr="005B464D">
        <w:rPr>
          <w:b/>
          <w:lang w:val="en-US" w:eastAsia="en-US"/>
        </w:rPr>
        <w:t xml:space="preserve">Human Rights Council </w:t>
      </w:r>
      <w:r w:rsidR="005B464D" w:rsidRPr="005B464D">
        <w:rPr>
          <w:b/>
          <w:lang w:val="en-US" w:eastAsia="en-US"/>
        </w:rPr>
        <w:t>resolution 48/18)</w:t>
      </w:r>
      <w:r>
        <w:rPr>
          <w:b/>
          <w:lang w:val="en-US" w:eastAsia="en-US"/>
        </w:rPr>
        <w:t xml:space="preserve"> by</w:t>
      </w:r>
      <w:r>
        <w:rPr>
          <w:b/>
          <w:lang w:val="en-US" w:eastAsia="en-US"/>
        </w:rPr>
        <w:t xml:space="preserve"> t</w:t>
      </w:r>
      <w:r w:rsidRPr="004C3427">
        <w:rPr>
          <w:b/>
          <w:lang w:val="en-US" w:eastAsia="en-US"/>
        </w:rPr>
        <w:t xml:space="preserve">he Secretariat of </w:t>
      </w:r>
      <w:r w:rsidR="004670CE">
        <w:rPr>
          <w:b/>
          <w:lang w:val="en-US" w:eastAsia="en-US"/>
        </w:rPr>
        <w:t xml:space="preserve">                                                    </w:t>
      </w:r>
      <w:r w:rsidRPr="004C3427">
        <w:rPr>
          <w:b/>
          <w:lang w:val="en-US" w:eastAsia="en-US"/>
        </w:rPr>
        <w:t>the European Commission against Racism and Intolerance (ECRI)</w:t>
      </w:r>
    </w:p>
    <w:p w14:paraId="79454942" w14:textId="77777777" w:rsidR="00D775E4" w:rsidRDefault="00D775E4" w:rsidP="004670CE">
      <w:pPr>
        <w:jc w:val="center"/>
        <w:rPr>
          <w:b/>
          <w:lang w:val="en-US" w:eastAsia="en-US"/>
        </w:rPr>
      </w:pPr>
    </w:p>
    <w:p w14:paraId="2765FA73" w14:textId="508429D2" w:rsidR="00D775E4" w:rsidRPr="00D775E4" w:rsidRDefault="00D775E4" w:rsidP="004670CE">
      <w:pPr>
        <w:jc w:val="center"/>
        <w:rPr>
          <w:b/>
          <w:u w:val="single"/>
          <w:lang w:val="en-US" w:eastAsia="en-US"/>
        </w:rPr>
      </w:pPr>
      <w:r w:rsidRPr="00D775E4">
        <w:rPr>
          <w:b/>
          <w:u w:val="single"/>
          <w:lang w:val="en-US" w:eastAsia="en-US"/>
        </w:rPr>
        <w:t xml:space="preserve">September 2022 </w:t>
      </w:r>
    </w:p>
    <w:p w14:paraId="18FE682D" w14:textId="5535E23E" w:rsidR="00E95288" w:rsidRDefault="00E95288" w:rsidP="00E95288">
      <w:pPr>
        <w:jc w:val="center"/>
        <w:rPr>
          <w:lang w:val="en-US" w:eastAsia="en-US"/>
        </w:rPr>
      </w:pPr>
    </w:p>
    <w:p w14:paraId="0F354269" w14:textId="0941807A" w:rsidR="00EA4981" w:rsidRDefault="00EA4981" w:rsidP="00E95288">
      <w:pPr>
        <w:jc w:val="center"/>
        <w:rPr>
          <w:lang w:val="en-US" w:eastAsia="en-US"/>
        </w:rPr>
      </w:pPr>
    </w:p>
    <w:p w14:paraId="30EA82FE" w14:textId="4228240E" w:rsidR="00EA4981" w:rsidRPr="00EA4981" w:rsidRDefault="00EA4981" w:rsidP="00DA5325">
      <w:pPr>
        <w:jc w:val="both"/>
        <w:rPr>
          <w:rFonts w:cstheme="minorHAnsi"/>
          <w:lang w:val="en-GB"/>
        </w:rPr>
      </w:pPr>
      <w:r w:rsidRPr="00EA4981">
        <w:rPr>
          <w:rFonts w:cstheme="minorHAnsi"/>
          <w:lang w:val="en-GB"/>
        </w:rPr>
        <w:t xml:space="preserve">ECRI has </w:t>
      </w:r>
      <w:r>
        <w:rPr>
          <w:rFonts w:cstheme="minorHAnsi"/>
          <w:lang w:val="en-GB"/>
        </w:rPr>
        <w:t xml:space="preserve">been </w:t>
      </w:r>
      <w:r w:rsidRPr="00EA4981">
        <w:rPr>
          <w:rFonts w:cstheme="minorHAnsi"/>
          <w:lang w:val="en-GB"/>
        </w:rPr>
        <w:t>regularly look</w:t>
      </w:r>
      <w:r>
        <w:rPr>
          <w:rFonts w:cstheme="minorHAnsi"/>
          <w:lang w:val="en-GB"/>
        </w:rPr>
        <w:t>ing</w:t>
      </w:r>
      <w:r w:rsidRPr="00EA4981">
        <w:rPr>
          <w:rFonts w:cstheme="minorHAnsi"/>
          <w:lang w:val="en-GB"/>
        </w:rPr>
        <w:t xml:space="preserve"> into the incidents of </w:t>
      </w:r>
      <w:r w:rsidRPr="00EA4981">
        <w:rPr>
          <w:rFonts w:cstheme="minorHAnsi"/>
          <w:lang w:val="en-GB"/>
        </w:rPr>
        <w:t>systemic, structural or institutional racism</w:t>
      </w:r>
      <w:r w:rsidRPr="00EA4981">
        <w:rPr>
          <w:rFonts w:cstheme="minorHAnsi"/>
          <w:lang w:val="en-GB"/>
        </w:rPr>
        <w:t xml:space="preserve"> and address</w:t>
      </w:r>
      <w:r w:rsidR="006A765A">
        <w:rPr>
          <w:rFonts w:cstheme="minorHAnsi"/>
          <w:lang w:val="en-GB"/>
        </w:rPr>
        <w:t>ing</w:t>
      </w:r>
      <w:r w:rsidRPr="00EA4981">
        <w:rPr>
          <w:rFonts w:cstheme="minorHAnsi"/>
          <w:lang w:val="en-GB"/>
        </w:rPr>
        <w:t xml:space="preserve"> </w:t>
      </w:r>
      <w:r w:rsidR="006A765A">
        <w:rPr>
          <w:rFonts w:cstheme="minorHAnsi"/>
          <w:lang w:val="en-GB"/>
        </w:rPr>
        <w:t xml:space="preserve">them </w:t>
      </w:r>
      <w:r w:rsidRPr="00EA4981">
        <w:rPr>
          <w:rFonts w:cstheme="minorHAnsi"/>
          <w:lang w:val="en-GB"/>
        </w:rPr>
        <w:t xml:space="preserve">through its </w:t>
      </w:r>
      <w:hyperlink r:id="rId11" w:history="1">
        <w:r w:rsidRPr="00DA5325">
          <w:rPr>
            <w:rStyle w:val="Hyperlink"/>
            <w:rFonts w:cstheme="minorHAnsi"/>
            <w:lang w:val="en-GB"/>
          </w:rPr>
          <w:t>country monitoring reports</w:t>
        </w:r>
      </w:hyperlink>
      <w:r w:rsidRPr="00EA4981">
        <w:rPr>
          <w:rFonts w:cstheme="minorHAnsi"/>
          <w:lang w:val="en-GB"/>
        </w:rPr>
        <w:t xml:space="preserve"> as well as its other work, including </w:t>
      </w:r>
      <w:r w:rsidR="00D775E4">
        <w:rPr>
          <w:rFonts w:cstheme="minorHAnsi"/>
          <w:lang w:val="en-GB"/>
        </w:rPr>
        <w:t xml:space="preserve">its general policy recommendations (GPRs), </w:t>
      </w:r>
      <w:r w:rsidRPr="00EA4981">
        <w:rPr>
          <w:rFonts w:cstheme="minorHAnsi"/>
          <w:lang w:val="en-GB"/>
        </w:rPr>
        <w:t xml:space="preserve">statements and annual reports. The impact of </w:t>
      </w:r>
      <w:r w:rsidRPr="00EA4981">
        <w:rPr>
          <w:rFonts w:cstheme="minorHAnsi"/>
          <w:lang w:val="en-GB"/>
        </w:rPr>
        <w:t>C</w:t>
      </w:r>
      <w:r>
        <w:rPr>
          <w:rFonts w:cstheme="minorHAnsi"/>
          <w:lang w:val="en-GB"/>
        </w:rPr>
        <w:t>ovid</w:t>
      </w:r>
      <w:r w:rsidRPr="00EA4981">
        <w:rPr>
          <w:rFonts w:cstheme="minorHAnsi"/>
          <w:lang w:val="en-GB"/>
        </w:rPr>
        <w:t>-19</w:t>
      </w:r>
      <w:r w:rsidRPr="00EA4981">
        <w:rPr>
          <w:rFonts w:cstheme="minorHAnsi"/>
          <w:lang w:val="en-GB"/>
        </w:rPr>
        <w:t xml:space="preserve"> p</w:t>
      </w:r>
      <w:r w:rsidRPr="00EA4981">
        <w:rPr>
          <w:rFonts w:cstheme="minorHAnsi"/>
          <w:lang w:val="en-GB"/>
        </w:rPr>
        <w:t>andemic</w:t>
      </w:r>
      <w:r w:rsidR="006A765A">
        <w:rPr>
          <w:rFonts w:cstheme="minorHAnsi"/>
          <w:lang w:val="en-GB"/>
        </w:rPr>
        <w:t xml:space="preserve"> on racial inequalities </w:t>
      </w:r>
      <w:r>
        <w:rPr>
          <w:rFonts w:cstheme="minorHAnsi"/>
          <w:lang w:val="en-GB"/>
        </w:rPr>
        <w:t xml:space="preserve">has also been </w:t>
      </w:r>
      <w:r w:rsidR="006A765A">
        <w:rPr>
          <w:rFonts w:cstheme="minorHAnsi"/>
          <w:lang w:val="en-GB"/>
        </w:rPr>
        <w:t>highlighted</w:t>
      </w:r>
      <w:r w:rsidR="00F71AB3">
        <w:rPr>
          <w:rFonts w:cstheme="minorHAnsi"/>
          <w:lang w:val="en-GB"/>
        </w:rPr>
        <w:t xml:space="preserve"> and remains a focus of ECRI’s work</w:t>
      </w:r>
      <w:r>
        <w:rPr>
          <w:rFonts w:cstheme="minorHAnsi"/>
          <w:lang w:val="en-GB"/>
        </w:rPr>
        <w:t xml:space="preserve">. </w:t>
      </w:r>
      <w:r w:rsidRPr="00EA4981">
        <w:rPr>
          <w:rFonts w:cstheme="minorHAnsi"/>
          <w:lang w:val="en-GB"/>
        </w:rPr>
        <w:t xml:space="preserve">Some recent examples </w:t>
      </w:r>
      <w:r w:rsidR="006A765A">
        <w:rPr>
          <w:rFonts w:cstheme="minorHAnsi"/>
          <w:lang w:val="en-GB"/>
        </w:rPr>
        <w:t xml:space="preserve">are the following: </w:t>
      </w:r>
      <w:r w:rsidRPr="00EA4981">
        <w:rPr>
          <w:rFonts w:cstheme="minorHAnsi"/>
          <w:lang w:val="en-GB"/>
        </w:rPr>
        <w:t xml:space="preserve">  </w:t>
      </w:r>
    </w:p>
    <w:p w14:paraId="2803FAB7" w14:textId="77777777" w:rsidR="00EA4981" w:rsidRDefault="00EA4981" w:rsidP="00EA4981">
      <w:pPr>
        <w:ind w:left="360"/>
        <w:rPr>
          <w:lang w:val="en-US" w:eastAsia="en-US"/>
        </w:rPr>
      </w:pPr>
    </w:p>
    <w:p w14:paraId="0D380423" w14:textId="46A5E7BC" w:rsidR="00C66EAC" w:rsidRPr="000F4CE0" w:rsidRDefault="00C66EAC" w:rsidP="00C66EAC">
      <w:pPr>
        <w:numPr>
          <w:ilvl w:val="0"/>
          <w:numId w:val="1"/>
        </w:numPr>
        <w:rPr>
          <w:rFonts w:eastAsia="Times New Roman"/>
          <w:i/>
          <w:iCs/>
          <w:lang w:val="en-GB" w:eastAsia="en-US"/>
        </w:rPr>
      </w:pPr>
      <w:hyperlink r:id="rId12" w:history="1">
        <w:r w:rsidRPr="00C66EAC">
          <w:rPr>
            <w:rStyle w:val="Hyperlink"/>
            <w:rFonts w:eastAsia="Times New Roman"/>
            <w:i/>
            <w:iCs/>
            <w:lang w:val="en-GB" w:eastAsia="en-US"/>
          </w:rPr>
          <w:t xml:space="preserve">ECRI’s </w:t>
        </w:r>
        <w:r w:rsidRPr="00C66EAC">
          <w:rPr>
            <w:rStyle w:val="Hyperlink"/>
            <w:i/>
            <w:iCs/>
            <w:lang w:val="en-GB"/>
          </w:rPr>
          <w:t>statement on racist police abuse</w:t>
        </w:r>
        <w:r w:rsidRPr="00C66EAC">
          <w:rPr>
            <w:rStyle w:val="Hyperlink"/>
            <w:i/>
            <w:iCs/>
            <w:lang w:val="en-GB"/>
          </w:rPr>
          <w:t>, including racial profiling</w:t>
        </w:r>
        <w:r w:rsidRPr="00C66EAC">
          <w:rPr>
            <w:rStyle w:val="Hyperlink"/>
            <w:i/>
            <w:iCs/>
            <w:lang w:val="en-GB"/>
          </w:rPr>
          <w:t xml:space="preserve"> and systemic racism</w:t>
        </w:r>
      </w:hyperlink>
      <w:r w:rsidR="00683A04">
        <w:rPr>
          <w:i/>
          <w:iCs/>
          <w:lang w:val="en-GB"/>
        </w:rPr>
        <w:t xml:space="preserve"> </w:t>
      </w:r>
      <w:r>
        <w:rPr>
          <w:i/>
          <w:iCs/>
          <w:lang w:val="en-GB"/>
        </w:rPr>
        <w:t xml:space="preserve">(July 2020) </w:t>
      </w:r>
    </w:p>
    <w:p w14:paraId="4F277EB6" w14:textId="3934EC53" w:rsidR="000F4CE0" w:rsidRDefault="000F4CE0" w:rsidP="000F4CE0">
      <w:pPr>
        <w:ind w:left="720"/>
        <w:rPr>
          <w:i/>
          <w:iCs/>
          <w:lang w:val="en-GB"/>
        </w:rPr>
      </w:pPr>
    </w:p>
    <w:p w14:paraId="3E5B0EAF" w14:textId="60687640" w:rsidR="000F4CE0" w:rsidRPr="00C66EAC" w:rsidRDefault="000F4CE0" w:rsidP="00683A04">
      <w:pPr>
        <w:jc w:val="both"/>
        <w:rPr>
          <w:rFonts w:eastAsia="Times New Roman"/>
          <w:i/>
          <w:iCs/>
          <w:lang w:val="en-GB" w:eastAsia="en-US"/>
        </w:rPr>
      </w:pPr>
      <w:r>
        <w:rPr>
          <w:i/>
          <w:iCs/>
          <w:lang w:val="en-GB"/>
        </w:rPr>
        <w:t>“…</w:t>
      </w:r>
      <w:r w:rsidRPr="000F4CE0">
        <w:rPr>
          <w:i/>
          <w:iCs/>
          <w:lang w:val="en-GB"/>
        </w:rPr>
        <w:t xml:space="preserve">During its country visits, ECRI has heard many accounts of racist police abuse, including racial profiling and acts of violence, towards minority groups or migrants. As clearly stated in ECRI’s General Policy Recommendation No. 11 on combating racism and racial discrimination in policing, racial profiling constitutes a specific form of racial discrimination and must be expressly prohibited by law. It generates a feeling of humiliation and injustice among those groups that are subjected to it, results in their stigmatisation, negative </w:t>
      </w:r>
      <w:proofErr w:type="gramStart"/>
      <w:r w:rsidRPr="000F4CE0">
        <w:rPr>
          <w:i/>
          <w:iCs/>
          <w:lang w:val="en-GB"/>
        </w:rPr>
        <w:t>stereotyping</w:t>
      </w:r>
      <w:proofErr w:type="gramEnd"/>
      <w:r w:rsidRPr="000F4CE0">
        <w:rPr>
          <w:i/>
          <w:iCs/>
          <w:lang w:val="en-GB"/>
        </w:rPr>
        <w:t xml:space="preserve"> and alienation, and hinders good community relations. Furthermore, as concluded by the European Court of Human Rights, the perception by police officers of persons belonging to a particular community as “criminals” and the ensuing practice of racial profiling can result in “institutionalised racism”</w:t>
      </w:r>
      <w:r>
        <w:rPr>
          <w:rStyle w:val="FootnoteReference"/>
          <w:i/>
          <w:iCs/>
          <w:lang w:val="en-GB"/>
        </w:rPr>
        <w:footnoteReference w:id="1"/>
      </w:r>
      <w:r w:rsidRPr="000F4CE0">
        <w:rPr>
          <w:i/>
          <w:iCs/>
          <w:lang w:val="en-GB"/>
        </w:rPr>
        <w:t>.</w:t>
      </w:r>
    </w:p>
    <w:p w14:paraId="3B6DCA32" w14:textId="77777777" w:rsidR="00C66EAC" w:rsidRDefault="00C66EAC" w:rsidP="00C66EAC">
      <w:pPr>
        <w:ind w:left="720"/>
        <w:rPr>
          <w:rFonts w:eastAsia="Times New Roman"/>
          <w:i/>
          <w:iCs/>
          <w:lang w:val="en-GB" w:eastAsia="en-US"/>
        </w:rPr>
      </w:pPr>
    </w:p>
    <w:p w14:paraId="60E9149D" w14:textId="77777777" w:rsidR="00034B0A" w:rsidRDefault="00C66EAC" w:rsidP="00C66EAC">
      <w:pPr>
        <w:numPr>
          <w:ilvl w:val="0"/>
          <w:numId w:val="1"/>
        </w:numPr>
        <w:rPr>
          <w:rFonts w:eastAsia="Times New Roman"/>
          <w:i/>
          <w:iCs/>
          <w:lang w:val="en-GB" w:eastAsia="en-US"/>
        </w:rPr>
      </w:pPr>
      <w:hyperlink r:id="rId13" w:history="1">
        <w:r w:rsidRPr="00C66EAC">
          <w:rPr>
            <w:rStyle w:val="Hyperlink"/>
            <w:rFonts w:eastAsia="Times New Roman"/>
            <w:i/>
            <w:iCs/>
            <w:lang w:val="en-GB" w:eastAsia="en-US"/>
          </w:rPr>
          <w:t>ECRI’s Annual Report 2020</w:t>
        </w:r>
      </w:hyperlink>
      <w:r>
        <w:rPr>
          <w:rFonts w:eastAsia="Times New Roman"/>
          <w:i/>
          <w:iCs/>
          <w:lang w:val="en-GB" w:eastAsia="en-US"/>
        </w:rPr>
        <w:t xml:space="preserve"> </w:t>
      </w:r>
    </w:p>
    <w:p w14:paraId="12229774" w14:textId="7E7D57AF" w:rsidR="00C66EAC" w:rsidRDefault="00C66EAC" w:rsidP="00683A04">
      <w:pPr>
        <w:rPr>
          <w:rFonts w:eastAsia="Times New Roman"/>
          <w:i/>
          <w:iCs/>
          <w:lang w:val="en-GB" w:eastAsia="en-US"/>
        </w:rPr>
      </w:pPr>
      <w:r>
        <w:rPr>
          <w:rFonts w:eastAsia="Times New Roman"/>
          <w:i/>
          <w:iCs/>
          <w:lang w:val="en-GB" w:eastAsia="en-US"/>
        </w:rPr>
        <w:t>(</w:t>
      </w:r>
      <w:r w:rsidR="00034B0A">
        <w:rPr>
          <w:rFonts w:eastAsia="Times New Roman"/>
          <w:i/>
          <w:iCs/>
          <w:lang w:val="en-GB" w:eastAsia="en-US"/>
        </w:rPr>
        <w:t>S</w:t>
      </w:r>
      <w:r w:rsidR="003F434D">
        <w:rPr>
          <w:rFonts w:eastAsia="Times New Roman"/>
          <w:i/>
          <w:iCs/>
          <w:lang w:val="en-GB" w:eastAsia="en-US"/>
        </w:rPr>
        <w:t>ee s</w:t>
      </w:r>
      <w:r>
        <w:rPr>
          <w:rFonts w:eastAsia="Times New Roman"/>
          <w:i/>
          <w:iCs/>
          <w:lang w:val="en-GB" w:eastAsia="en-US"/>
        </w:rPr>
        <w:t>ection on T</w:t>
      </w:r>
      <w:r w:rsidRPr="00C66EAC">
        <w:rPr>
          <w:rFonts w:eastAsia="Times New Roman"/>
          <w:i/>
          <w:iCs/>
          <w:lang w:val="en-GB" w:eastAsia="en-US"/>
        </w:rPr>
        <w:t>ackling deep-rooted racism in public life</w:t>
      </w:r>
      <w:r w:rsidR="00034B0A">
        <w:rPr>
          <w:rFonts w:eastAsia="Times New Roman"/>
          <w:i/>
          <w:iCs/>
          <w:lang w:val="en-GB" w:eastAsia="en-US"/>
        </w:rPr>
        <w:t xml:space="preserve">, </w:t>
      </w:r>
      <w:r w:rsidR="00034B0A">
        <w:rPr>
          <w:rFonts w:eastAsia="Times New Roman"/>
          <w:lang w:val="en-US" w:eastAsia="en-US"/>
        </w:rPr>
        <w:t>§§</w:t>
      </w:r>
      <w:r w:rsidR="00034B0A">
        <w:rPr>
          <w:rFonts w:eastAsia="Times New Roman"/>
          <w:lang w:val="en-US" w:eastAsia="en-US"/>
        </w:rPr>
        <w:t xml:space="preserve"> 22-26)</w:t>
      </w:r>
      <w:r w:rsidR="00034B0A">
        <w:rPr>
          <w:rFonts w:eastAsia="Times New Roman"/>
          <w:lang w:val="en-US" w:eastAsia="en-US"/>
        </w:rPr>
        <w:t xml:space="preserve"> </w:t>
      </w:r>
    </w:p>
    <w:p w14:paraId="5AAB72EA" w14:textId="7E64518C" w:rsidR="00C66EAC" w:rsidRDefault="00C66EAC" w:rsidP="00C66EAC">
      <w:pPr>
        <w:ind w:left="720"/>
        <w:rPr>
          <w:rFonts w:eastAsia="Times New Roman"/>
          <w:i/>
          <w:iCs/>
          <w:lang w:val="en-GB" w:eastAsia="en-US"/>
        </w:rPr>
      </w:pPr>
    </w:p>
    <w:p w14:paraId="69996031" w14:textId="65B7E7FE" w:rsidR="00C66EAC" w:rsidRDefault="00034B0A" w:rsidP="00683A04">
      <w:pPr>
        <w:jc w:val="both"/>
        <w:rPr>
          <w:rFonts w:eastAsia="Times New Roman"/>
          <w:i/>
          <w:iCs/>
          <w:lang w:val="en-GB" w:eastAsia="en-US"/>
        </w:rPr>
      </w:pPr>
      <w:r>
        <w:rPr>
          <w:rFonts w:eastAsia="Times New Roman"/>
          <w:lang w:val="en-US" w:eastAsia="en-US"/>
        </w:rPr>
        <w:t xml:space="preserve">§ 23 </w:t>
      </w:r>
      <w:r>
        <w:rPr>
          <w:rFonts w:eastAsia="Times New Roman"/>
          <w:lang w:val="en-US" w:eastAsia="en-US"/>
        </w:rPr>
        <w:t xml:space="preserve">- </w:t>
      </w:r>
      <w:r w:rsidR="00C66EAC">
        <w:rPr>
          <w:rFonts w:eastAsia="Times New Roman"/>
          <w:i/>
          <w:iCs/>
          <w:lang w:val="en-GB" w:eastAsia="en-US"/>
        </w:rPr>
        <w:t>“</w:t>
      </w:r>
      <w:r>
        <w:rPr>
          <w:rFonts w:eastAsia="Times New Roman"/>
          <w:i/>
          <w:iCs/>
          <w:lang w:val="en-GB" w:eastAsia="en-US"/>
        </w:rPr>
        <w:t>R</w:t>
      </w:r>
      <w:r w:rsidR="00C66EAC" w:rsidRPr="00C66EAC">
        <w:rPr>
          <w:rFonts w:eastAsia="Times New Roman"/>
          <w:i/>
          <w:iCs/>
          <w:lang w:val="en-GB" w:eastAsia="en-US"/>
        </w:rPr>
        <w:t xml:space="preserve">ecent events and data have also revealed the extent to which racial profiling and racist police abuse continue to affect groups of concern to ECRI and how this has been exacerbated during the Covid-19 pandemic, reinforcing concerns in Europe about what is growingly referred to as institutional racism. Such racism is covert or overt, and resides in the policies, procedures, </w:t>
      </w:r>
      <w:proofErr w:type="gramStart"/>
      <w:r w:rsidR="00C66EAC" w:rsidRPr="00C66EAC">
        <w:rPr>
          <w:rFonts w:eastAsia="Times New Roman"/>
          <w:i/>
          <w:iCs/>
          <w:lang w:val="en-GB" w:eastAsia="en-US"/>
        </w:rPr>
        <w:t>operations</w:t>
      </w:r>
      <w:proofErr w:type="gramEnd"/>
      <w:r w:rsidR="00C66EAC" w:rsidRPr="00C66EAC">
        <w:rPr>
          <w:rFonts w:eastAsia="Times New Roman"/>
          <w:i/>
          <w:iCs/>
          <w:lang w:val="en-GB" w:eastAsia="en-US"/>
        </w:rPr>
        <w:t xml:space="preserve"> and cultures of public and private institutions. People singled out based on their skin colour or perceived or real ethnic or national origin, a frequently documented occurrence, in the case of Black and Roma persons in particular, amounts to racial discrimination and generates a feeling of humiliation and injustice among its victims, at times experiencing multiple discriminations due to their gender (e.g. Muslim women wearing headscarves) and/or their status (e.g. migrants), thus eroding their trust in society and in law enforcement bodies. </w:t>
      </w:r>
      <w:hyperlink r:id="rId14" w:history="1">
        <w:r w:rsidR="00C66EAC" w:rsidRPr="00C66EAC">
          <w:rPr>
            <w:rStyle w:val="Hyperlink"/>
            <w:rFonts w:eastAsia="Times New Roman"/>
            <w:i/>
            <w:iCs/>
            <w:lang w:val="en-GB" w:eastAsia="en-US"/>
          </w:rPr>
          <w:t>ECRI’s General Policy Recommendation No. 11 on combating racism and racial discrimination in policing</w:t>
        </w:r>
      </w:hyperlink>
      <w:r w:rsidR="00C66EAC" w:rsidRPr="00C66EAC">
        <w:rPr>
          <w:rFonts w:eastAsia="Times New Roman"/>
          <w:i/>
          <w:iCs/>
          <w:lang w:val="en-GB" w:eastAsia="en-US"/>
        </w:rPr>
        <w:t xml:space="preserve"> calls for explicit legal bans on such discriminatory practices. </w:t>
      </w:r>
      <w:proofErr w:type="gramStart"/>
      <w:r w:rsidR="00C66EAC" w:rsidRPr="00C66EAC">
        <w:rPr>
          <w:rFonts w:eastAsia="Times New Roman"/>
          <w:i/>
          <w:iCs/>
          <w:lang w:val="en-GB" w:eastAsia="en-US"/>
        </w:rPr>
        <w:t>In particular, ECRI</w:t>
      </w:r>
      <w:proofErr w:type="gramEnd"/>
      <w:r w:rsidR="00C66EAC" w:rsidRPr="00C66EAC">
        <w:rPr>
          <w:rFonts w:eastAsia="Times New Roman"/>
          <w:i/>
          <w:iCs/>
          <w:lang w:val="en-GB" w:eastAsia="en-US"/>
        </w:rPr>
        <w:t xml:space="preserve"> considers it imperative that effective investigations by fully independent bodies be carried out into cases of such police abusive actions. Apart from providing remedies to the immediate victims, such investigations should also identify practices amounting to institutionalised racism within the police, with a view to their termination. Some Council of Europe member states have already taken some promising steps in this regard</w:t>
      </w:r>
      <w:r w:rsidR="00C66EAC">
        <w:rPr>
          <w:rFonts w:eastAsia="Times New Roman"/>
          <w:i/>
          <w:iCs/>
          <w:lang w:val="en-GB" w:eastAsia="en-US"/>
        </w:rPr>
        <w:t>…”</w:t>
      </w:r>
    </w:p>
    <w:p w14:paraId="5B4BED2A" w14:textId="77777777" w:rsidR="00683A04" w:rsidRDefault="00683A04" w:rsidP="00683A04">
      <w:pPr>
        <w:jc w:val="both"/>
        <w:rPr>
          <w:rFonts w:eastAsia="Times New Roman"/>
          <w:i/>
          <w:iCs/>
          <w:lang w:val="en-GB" w:eastAsia="en-US"/>
        </w:rPr>
      </w:pPr>
    </w:p>
    <w:p w14:paraId="6EBC974F" w14:textId="77777777" w:rsidR="000F4CE0" w:rsidRDefault="000F4CE0" w:rsidP="000F4CE0">
      <w:pPr>
        <w:ind w:left="720"/>
        <w:rPr>
          <w:rFonts w:eastAsia="Times New Roman"/>
          <w:i/>
          <w:iCs/>
          <w:lang w:val="en-GB" w:eastAsia="en-US"/>
        </w:rPr>
      </w:pPr>
    </w:p>
    <w:p w14:paraId="065D84C1" w14:textId="21084EAA" w:rsidR="00C66EAC" w:rsidRDefault="000F4CE0" w:rsidP="00C66EAC">
      <w:pPr>
        <w:numPr>
          <w:ilvl w:val="0"/>
          <w:numId w:val="1"/>
        </w:numPr>
        <w:rPr>
          <w:rFonts w:eastAsia="Times New Roman"/>
          <w:i/>
          <w:iCs/>
          <w:lang w:val="en-GB" w:eastAsia="en-US"/>
        </w:rPr>
      </w:pPr>
      <w:hyperlink r:id="rId15" w:history="1">
        <w:r w:rsidRPr="000F4CE0">
          <w:rPr>
            <w:rStyle w:val="Hyperlink"/>
            <w:rFonts w:eastAsia="Times New Roman"/>
            <w:i/>
            <w:iCs/>
            <w:lang w:val="en-GB" w:eastAsia="en-US"/>
          </w:rPr>
          <w:t>ECRI’s Ann</w:t>
        </w:r>
        <w:r w:rsidRPr="000F4CE0">
          <w:rPr>
            <w:rStyle w:val="Hyperlink"/>
            <w:rFonts w:eastAsia="Times New Roman"/>
            <w:i/>
            <w:iCs/>
            <w:lang w:val="en-GB" w:eastAsia="en-US"/>
          </w:rPr>
          <w:t>u</w:t>
        </w:r>
        <w:r w:rsidRPr="000F4CE0">
          <w:rPr>
            <w:rStyle w:val="Hyperlink"/>
            <w:rFonts w:eastAsia="Times New Roman"/>
            <w:i/>
            <w:iCs/>
            <w:lang w:val="en-GB" w:eastAsia="en-US"/>
          </w:rPr>
          <w:t>al Report 2021</w:t>
        </w:r>
      </w:hyperlink>
      <w:r>
        <w:rPr>
          <w:rFonts w:eastAsia="Times New Roman"/>
          <w:i/>
          <w:iCs/>
          <w:lang w:val="en-GB" w:eastAsia="en-US"/>
        </w:rPr>
        <w:t xml:space="preserve"> </w:t>
      </w:r>
    </w:p>
    <w:p w14:paraId="56BEA2DB" w14:textId="22AD0813" w:rsidR="003F434D" w:rsidRPr="00C66EAC" w:rsidRDefault="003F434D" w:rsidP="00683A04">
      <w:pPr>
        <w:rPr>
          <w:rFonts w:eastAsia="Times New Roman"/>
          <w:i/>
          <w:iCs/>
          <w:lang w:val="en-GB" w:eastAsia="en-US"/>
        </w:rPr>
      </w:pPr>
      <w:r>
        <w:rPr>
          <w:rFonts w:eastAsia="Times New Roman"/>
          <w:i/>
          <w:iCs/>
          <w:lang w:val="en-GB" w:eastAsia="en-US"/>
        </w:rPr>
        <w:t>(See s</w:t>
      </w:r>
      <w:r>
        <w:rPr>
          <w:rFonts w:eastAsia="Times New Roman"/>
          <w:i/>
          <w:iCs/>
          <w:lang w:val="en-GB" w:eastAsia="en-US"/>
        </w:rPr>
        <w:t xml:space="preserve">ection on </w:t>
      </w:r>
      <w:r>
        <w:rPr>
          <w:rFonts w:eastAsia="Times New Roman"/>
          <w:i/>
          <w:iCs/>
          <w:lang w:val="en-GB" w:eastAsia="en-US"/>
        </w:rPr>
        <w:t>Racism in policing</w:t>
      </w:r>
      <w:r>
        <w:rPr>
          <w:rFonts w:eastAsia="Times New Roman"/>
          <w:i/>
          <w:iCs/>
          <w:lang w:val="en-GB" w:eastAsia="en-US"/>
        </w:rPr>
        <w:t xml:space="preserve">, </w:t>
      </w:r>
      <w:r>
        <w:rPr>
          <w:rFonts w:eastAsia="Times New Roman"/>
          <w:lang w:val="en-US" w:eastAsia="en-US"/>
        </w:rPr>
        <w:t xml:space="preserve">§§ </w:t>
      </w:r>
      <w:r>
        <w:rPr>
          <w:rFonts w:eastAsia="Times New Roman"/>
          <w:lang w:val="en-US" w:eastAsia="en-US"/>
        </w:rPr>
        <w:t>11</w:t>
      </w:r>
      <w:r>
        <w:rPr>
          <w:rFonts w:eastAsia="Times New Roman"/>
          <w:lang w:val="en-US" w:eastAsia="en-US"/>
        </w:rPr>
        <w:t>-</w:t>
      </w:r>
      <w:r>
        <w:rPr>
          <w:rFonts w:eastAsia="Times New Roman"/>
          <w:lang w:val="en-US" w:eastAsia="en-US"/>
        </w:rPr>
        <w:t xml:space="preserve">16) </w:t>
      </w:r>
    </w:p>
    <w:p w14:paraId="35951C01" w14:textId="77777777" w:rsidR="006C2959" w:rsidRDefault="006C2959" w:rsidP="00683A04">
      <w:pPr>
        <w:jc w:val="both"/>
        <w:rPr>
          <w:rFonts w:eastAsia="Times New Roman"/>
          <w:i/>
          <w:iCs/>
          <w:lang w:val="en-GB" w:eastAsia="en-US"/>
        </w:rPr>
      </w:pPr>
    </w:p>
    <w:p w14:paraId="05AF6368" w14:textId="3AE6C404" w:rsidR="00C66EAC" w:rsidRDefault="00683A04" w:rsidP="00683A04">
      <w:pPr>
        <w:jc w:val="both"/>
        <w:rPr>
          <w:rFonts w:eastAsia="Times New Roman"/>
          <w:i/>
          <w:iCs/>
          <w:lang w:val="en-GB" w:eastAsia="en-US"/>
        </w:rPr>
      </w:pPr>
      <w:r w:rsidRPr="00683A04">
        <w:rPr>
          <w:rFonts w:eastAsia="Times New Roman"/>
          <w:lang w:val="en-US" w:eastAsia="en-US"/>
        </w:rPr>
        <w:t xml:space="preserve">§ </w:t>
      </w:r>
      <w:r w:rsidR="006C2959" w:rsidRPr="00683A04">
        <w:rPr>
          <w:rFonts w:eastAsia="Times New Roman"/>
          <w:lang w:val="en-GB" w:eastAsia="en-US"/>
        </w:rPr>
        <w:t>1</w:t>
      </w:r>
      <w:r w:rsidR="006C2959" w:rsidRPr="00683A04">
        <w:rPr>
          <w:rFonts w:eastAsia="Times New Roman"/>
          <w:lang w:val="en-GB" w:eastAsia="en-US"/>
        </w:rPr>
        <w:t>5</w:t>
      </w:r>
      <w:r>
        <w:rPr>
          <w:rFonts w:eastAsia="Times New Roman"/>
          <w:i/>
          <w:iCs/>
          <w:lang w:val="en-GB" w:eastAsia="en-US"/>
        </w:rPr>
        <w:t>-</w:t>
      </w:r>
      <w:r w:rsidR="006C2959" w:rsidRPr="006C2959">
        <w:rPr>
          <w:rFonts w:eastAsia="Times New Roman"/>
          <w:i/>
          <w:iCs/>
          <w:lang w:val="en-GB" w:eastAsia="en-US"/>
        </w:rPr>
        <w:t xml:space="preserve"> In some cases, it was alleged that racism in policing was of a structural nature and therefore</w:t>
      </w:r>
      <w:r w:rsidR="006C2959">
        <w:rPr>
          <w:rFonts w:eastAsia="Times New Roman"/>
          <w:i/>
          <w:iCs/>
          <w:lang w:val="en-GB" w:eastAsia="en-US"/>
        </w:rPr>
        <w:t xml:space="preserve"> </w:t>
      </w:r>
      <w:r w:rsidR="006C2959" w:rsidRPr="006C2959">
        <w:rPr>
          <w:rFonts w:eastAsia="Times New Roman"/>
          <w:i/>
          <w:iCs/>
          <w:lang w:val="en-GB" w:eastAsia="en-US"/>
        </w:rPr>
        <w:t>not limited to the behaviour of a few individual officers but representing widespread and</w:t>
      </w:r>
      <w:r w:rsidR="006C2959">
        <w:rPr>
          <w:rFonts w:eastAsia="Times New Roman"/>
          <w:i/>
          <w:iCs/>
          <w:lang w:val="en-GB" w:eastAsia="en-US"/>
        </w:rPr>
        <w:t xml:space="preserve"> </w:t>
      </w:r>
      <w:r w:rsidR="006C2959" w:rsidRPr="006C2959">
        <w:rPr>
          <w:rFonts w:eastAsia="Times New Roman"/>
          <w:i/>
          <w:iCs/>
          <w:lang w:val="en-GB" w:eastAsia="en-US"/>
        </w:rPr>
        <w:t>deeply ingrained attitudes which underpin police action. The repeated occurrence of racist</w:t>
      </w:r>
      <w:r w:rsidR="006C2959">
        <w:rPr>
          <w:rFonts w:eastAsia="Times New Roman"/>
          <w:i/>
          <w:iCs/>
          <w:lang w:val="en-GB" w:eastAsia="en-US"/>
        </w:rPr>
        <w:t xml:space="preserve"> </w:t>
      </w:r>
      <w:r w:rsidR="006C2959" w:rsidRPr="006C2959">
        <w:rPr>
          <w:rFonts w:eastAsia="Times New Roman"/>
          <w:i/>
          <w:iCs/>
          <w:lang w:val="en-GB" w:eastAsia="en-US"/>
        </w:rPr>
        <w:t>acts by members of police forces, as well as the use of racist language amongst individual</w:t>
      </w:r>
      <w:r w:rsidR="006C2959">
        <w:rPr>
          <w:rFonts w:eastAsia="Times New Roman"/>
          <w:i/>
          <w:iCs/>
          <w:lang w:val="en-GB" w:eastAsia="en-US"/>
        </w:rPr>
        <w:t xml:space="preserve"> </w:t>
      </w:r>
      <w:r w:rsidR="006C2959" w:rsidRPr="006C2959">
        <w:rPr>
          <w:rFonts w:eastAsia="Times New Roman"/>
          <w:i/>
          <w:iCs/>
          <w:lang w:val="en-GB" w:eastAsia="en-US"/>
        </w:rPr>
        <w:t>officers, even if not directed at a specific victim (as could be found in social media chat</w:t>
      </w:r>
      <w:r w:rsidR="006C2959">
        <w:rPr>
          <w:rFonts w:eastAsia="Times New Roman"/>
          <w:i/>
          <w:iCs/>
          <w:lang w:val="en-GB" w:eastAsia="en-US"/>
        </w:rPr>
        <w:t xml:space="preserve"> </w:t>
      </w:r>
      <w:r w:rsidR="006C2959" w:rsidRPr="006C2959">
        <w:rPr>
          <w:rFonts w:eastAsia="Times New Roman"/>
          <w:i/>
          <w:iCs/>
          <w:lang w:val="en-GB" w:eastAsia="en-US"/>
        </w:rPr>
        <w:t>groups), could be indicative of a more general problem. However, it could also be unfair, for</w:t>
      </w:r>
      <w:r w:rsidR="006C2959">
        <w:rPr>
          <w:rFonts w:eastAsia="Times New Roman"/>
          <w:i/>
          <w:iCs/>
          <w:lang w:val="en-GB" w:eastAsia="en-US"/>
        </w:rPr>
        <w:t xml:space="preserve"> </w:t>
      </w:r>
      <w:r w:rsidR="006C2959" w:rsidRPr="006C2959">
        <w:rPr>
          <w:rFonts w:eastAsia="Times New Roman"/>
          <w:i/>
          <w:iCs/>
          <w:lang w:val="en-GB" w:eastAsia="en-US"/>
        </w:rPr>
        <w:t>the many police officers that do their challenging job in a correct manner, to draw a general</w:t>
      </w:r>
      <w:r w:rsidR="006C2959">
        <w:rPr>
          <w:rFonts w:eastAsia="Times New Roman"/>
          <w:i/>
          <w:iCs/>
          <w:lang w:val="en-GB" w:eastAsia="en-US"/>
        </w:rPr>
        <w:t xml:space="preserve"> </w:t>
      </w:r>
      <w:r w:rsidR="006C2959" w:rsidRPr="006C2959">
        <w:rPr>
          <w:rFonts w:eastAsia="Times New Roman"/>
          <w:i/>
          <w:iCs/>
          <w:lang w:val="en-GB" w:eastAsia="en-US"/>
        </w:rPr>
        <w:t>conclusion.</w:t>
      </w:r>
    </w:p>
    <w:p w14:paraId="41FA953C" w14:textId="403B14BB" w:rsidR="00683A04" w:rsidRDefault="00683A04" w:rsidP="00683A04">
      <w:pPr>
        <w:ind w:left="360"/>
        <w:jc w:val="both"/>
        <w:rPr>
          <w:rFonts w:eastAsia="Times New Roman"/>
          <w:i/>
          <w:iCs/>
          <w:lang w:val="en-GB" w:eastAsia="en-US"/>
        </w:rPr>
      </w:pPr>
    </w:p>
    <w:p w14:paraId="359713D0" w14:textId="6BC38BE9" w:rsidR="00683A04" w:rsidRPr="00683A04" w:rsidRDefault="00683A04" w:rsidP="00683A04">
      <w:pPr>
        <w:jc w:val="both"/>
        <w:rPr>
          <w:rFonts w:eastAsia="Times New Roman"/>
          <w:i/>
          <w:iCs/>
          <w:lang w:val="en-GB" w:eastAsia="en-US"/>
        </w:rPr>
      </w:pPr>
      <w:r w:rsidRPr="00683A04">
        <w:rPr>
          <w:rFonts w:eastAsia="Times New Roman"/>
          <w:i/>
          <w:iCs/>
          <w:lang w:val="en-US" w:eastAsia="en-US"/>
        </w:rPr>
        <w:t>§</w:t>
      </w:r>
      <w:r w:rsidRPr="00683A04">
        <w:rPr>
          <w:rFonts w:eastAsia="Times New Roman"/>
          <w:i/>
          <w:iCs/>
          <w:lang w:val="en-US" w:eastAsia="en-US"/>
        </w:rPr>
        <w:t xml:space="preserve"> 16 -</w:t>
      </w:r>
      <w:r>
        <w:rPr>
          <w:rFonts w:eastAsia="Times New Roman"/>
          <w:i/>
          <w:iCs/>
          <w:lang w:val="en-US" w:eastAsia="en-US"/>
        </w:rPr>
        <w:t xml:space="preserve"> </w:t>
      </w:r>
      <w:r w:rsidRPr="00683A04">
        <w:rPr>
          <w:rFonts w:eastAsia="Times New Roman"/>
          <w:i/>
          <w:iCs/>
          <w:lang w:val="en-US" w:eastAsia="en-US"/>
        </w:rPr>
        <w:t>Some member states took measures to address these problems through a set of measures,</w:t>
      </w:r>
      <w:r w:rsidRPr="00683A04">
        <w:rPr>
          <w:rFonts w:eastAsia="Times New Roman"/>
          <w:i/>
          <w:iCs/>
          <w:lang w:val="en-US" w:eastAsia="en-US"/>
        </w:rPr>
        <w:t xml:space="preserve"> </w:t>
      </w:r>
      <w:r w:rsidRPr="00683A04">
        <w:rPr>
          <w:rFonts w:eastAsia="Times New Roman"/>
          <w:i/>
          <w:iCs/>
          <w:lang w:val="en-US" w:eastAsia="en-US"/>
        </w:rPr>
        <w:t>including by assessing the scale of it through independent research, making anti-racism</w:t>
      </w:r>
      <w:r w:rsidRPr="00683A04">
        <w:rPr>
          <w:rFonts w:eastAsia="Times New Roman"/>
          <w:i/>
          <w:iCs/>
          <w:lang w:val="en-US" w:eastAsia="en-US"/>
        </w:rPr>
        <w:t xml:space="preserve"> </w:t>
      </w:r>
      <w:r w:rsidRPr="00683A04">
        <w:rPr>
          <w:rFonts w:eastAsia="Times New Roman"/>
          <w:i/>
          <w:iCs/>
          <w:lang w:val="en-US" w:eastAsia="en-US"/>
        </w:rPr>
        <w:t>awareness raising mandatory and more strongly integrating these topics into ongoing</w:t>
      </w:r>
      <w:r w:rsidRPr="00683A04">
        <w:rPr>
          <w:rFonts w:eastAsia="Times New Roman"/>
          <w:i/>
          <w:iCs/>
          <w:lang w:val="en-US" w:eastAsia="en-US"/>
        </w:rPr>
        <w:t xml:space="preserve"> </w:t>
      </w:r>
      <w:r w:rsidRPr="00683A04">
        <w:rPr>
          <w:rFonts w:eastAsia="Times New Roman"/>
          <w:i/>
          <w:iCs/>
          <w:lang w:val="en-US" w:eastAsia="en-US"/>
        </w:rPr>
        <w:t>training for police officers; strengthening internal reporting mechanisms and investigation</w:t>
      </w:r>
      <w:r w:rsidRPr="00683A04">
        <w:rPr>
          <w:rFonts w:eastAsia="Times New Roman"/>
          <w:i/>
          <w:iCs/>
          <w:lang w:val="en-US" w:eastAsia="en-US"/>
        </w:rPr>
        <w:t xml:space="preserve"> </w:t>
      </w:r>
      <w:r w:rsidRPr="00683A04">
        <w:rPr>
          <w:rFonts w:eastAsia="Times New Roman"/>
          <w:i/>
          <w:iCs/>
          <w:lang w:val="en-US" w:eastAsia="en-US"/>
        </w:rPr>
        <w:t xml:space="preserve">procedures; and trying to diversify police forces, through strong recruitment, </w:t>
      </w:r>
      <w:proofErr w:type="gramStart"/>
      <w:r w:rsidRPr="00683A04">
        <w:rPr>
          <w:rFonts w:eastAsia="Times New Roman"/>
          <w:i/>
          <w:iCs/>
          <w:lang w:val="en-US" w:eastAsia="en-US"/>
        </w:rPr>
        <w:t>retention</w:t>
      </w:r>
      <w:proofErr w:type="gramEnd"/>
      <w:r w:rsidRPr="00683A04">
        <w:rPr>
          <w:rFonts w:eastAsia="Times New Roman"/>
          <w:i/>
          <w:iCs/>
          <w:lang w:val="en-US" w:eastAsia="en-US"/>
        </w:rPr>
        <w:t xml:space="preserve"> </w:t>
      </w:r>
      <w:r w:rsidRPr="00683A04">
        <w:rPr>
          <w:rFonts w:eastAsia="Times New Roman"/>
          <w:i/>
          <w:iCs/>
          <w:lang w:val="en-US" w:eastAsia="en-US"/>
        </w:rPr>
        <w:t xml:space="preserve">and promotion policies. Some equality bodies also </w:t>
      </w:r>
      <w:proofErr w:type="gramStart"/>
      <w:r w:rsidRPr="00683A04">
        <w:rPr>
          <w:rFonts w:eastAsia="Times New Roman"/>
          <w:i/>
          <w:iCs/>
          <w:lang w:val="en-US" w:eastAsia="en-US"/>
        </w:rPr>
        <w:t>looked into</w:t>
      </w:r>
      <w:proofErr w:type="gramEnd"/>
      <w:r w:rsidRPr="00683A04">
        <w:rPr>
          <w:rFonts w:eastAsia="Times New Roman"/>
          <w:i/>
          <w:iCs/>
          <w:lang w:val="en-US" w:eastAsia="en-US"/>
        </w:rPr>
        <w:t xml:space="preserve"> the risks of racial profiling</w:t>
      </w:r>
      <w:r w:rsidRPr="00683A04">
        <w:rPr>
          <w:rFonts w:eastAsia="Times New Roman"/>
          <w:i/>
          <w:iCs/>
          <w:lang w:val="en-US" w:eastAsia="en-US"/>
        </w:rPr>
        <w:t xml:space="preserve"> </w:t>
      </w:r>
      <w:r w:rsidRPr="00683A04">
        <w:rPr>
          <w:rFonts w:eastAsia="Times New Roman"/>
          <w:i/>
          <w:iCs/>
          <w:lang w:val="en-US" w:eastAsia="en-US"/>
        </w:rPr>
        <w:t>through the use of new and developing technologies. In this context, ECRI draws attention</w:t>
      </w:r>
      <w:r w:rsidRPr="00683A04">
        <w:rPr>
          <w:rFonts w:eastAsia="Times New Roman"/>
          <w:i/>
          <w:iCs/>
          <w:lang w:val="en-US" w:eastAsia="en-US"/>
        </w:rPr>
        <w:t xml:space="preserve"> </w:t>
      </w:r>
      <w:r w:rsidRPr="00683A04">
        <w:rPr>
          <w:rFonts w:eastAsia="Times New Roman"/>
          <w:i/>
          <w:iCs/>
          <w:lang w:val="en-US" w:eastAsia="en-US"/>
        </w:rPr>
        <w:t>to its General Policy Recommendation No. 11 on combating racism and racial discrimination</w:t>
      </w:r>
      <w:r w:rsidRPr="00683A04">
        <w:rPr>
          <w:rFonts w:eastAsia="Times New Roman"/>
          <w:i/>
          <w:iCs/>
          <w:lang w:val="en-US" w:eastAsia="en-US"/>
        </w:rPr>
        <w:t xml:space="preserve"> i</w:t>
      </w:r>
      <w:r w:rsidRPr="00683A04">
        <w:rPr>
          <w:rFonts w:eastAsia="Times New Roman"/>
          <w:i/>
          <w:iCs/>
          <w:lang w:val="en-US" w:eastAsia="en-US"/>
        </w:rPr>
        <w:t>n policing as well as General Recommendation No. 36 of the United Nations Committee on</w:t>
      </w:r>
      <w:r w:rsidRPr="00683A04">
        <w:rPr>
          <w:rFonts w:eastAsia="Times New Roman"/>
          <w:i/>
          <w:iCs/>
          <w:lang w:val="en-US" w:eastAsia="en-US"/>
        </w:rPr>
        <w:t xml:space="preserve"> </w:t>
      </w:r>
      <w:r w:rsidRPr="00683A04">
        <w:rPr>
          <w:rFonts w:eastAsia="Times New Roman"/>
          <w:i/>
          <w:iCs/>
          <w:lang w:val="en-US" w:eastAsia="en-US"/>
        </w:rPr>
        <w:t>the Elimination of Racial Discrimination (CERD) on preventing and combating racial profiling</w:t>
      </w:r>
      <w:r w:rsidRPr="00683A04">
        <w:rPr>
          <w:rFonts w:eastAsia="Times New Roman"/>
          <w:i/>
          <w:iCs/>
          <w:lang w:val="en-US" w:eastAsia="en-US"/>
        </w:rPr>
        <w:t xml:space="preserve"> </w:t>
      </w:r>
      <w:r w:rsidRPr="00683A04">
        <w:rPr>
          <w:rFonts w:eastAsia="Times New Roman"/>
          <w:i/>
          <w:iCs/>
          <w:lang w:val="en-US" w:eastAsia="en-US"/>
        </w:rPr>
        <w:t>by law enforcement officials.</w:t>
      </w:r>
    </w:p>
    <w:p w14:paraId="66B502D9" w14:textId="77777777" w:rsidR="00C66EAC" w:rsidRPr="00C66EAC" w:rsidRDefault="00C66EAC" w:rsidP="00C66EAC">
      <w:pPr>
        <w:ind w:left="720"/>
        <w:rPr>
          <w:rFonts w:eastAsia="Times New Roman"/>
          <w:i/>
          <w:iCs/>
          <w:lang w:val="en-GB" w:eastAsia="en-US"/>
        </w:rPr>
      </w:pPr>
    </w:p>
    <w:p w14:paraId="63C8493E" w14:textId="24146C90" w:rsidR="00683A04" w:rsidRPr="00683A04" w:rsidRDefault="00683A04" w:rsidP="004C3427">
      <w:pPr>
        <w:numPr>
          <w:ilvl w:val="0"/>
          <w:numId w:val="1"/>
        </w:numPr>
        <w:rPr>
          <w:rFonts w:eastAsia="Times New Roman"/>
          <w:i/>
          <w:iCs/>
          <w:lang w:val="en-GB" w:eastAsia="en-US"/>
        </w:rPr>
      </w:pPr>
      <w:hyperlink r:id="rId16" w:history="1">
        <w:r w:rsidR="004C3427" w:rsidRPr="00683A04">
          <w:rPr>
            <w:rStyle w:val="Hyperlink"/>
            <w:rFonts w:eastAsia="Times New Roman"/>
            <w:i/>
            <w:iCs/>
            <w:lang w:val="en-GB" w:eastAsia="en-US"/>
          </w:rPr>
          <w:t>ECRI</w:t>
        </w:r>
        <w:r w:rsidRPr="00683A04">
          <w:rPr>
            <w:rStyle w:val="Hyperlink"/>
            <w:rFonts w:eastAsia="Times New Roman"/>
            <w:i/>
            <w:iCs/>
            <w:lang w:val="en-GB" w:eastAsia="en-US"/>
          </w:rPr>
          <w:t>’s</w:t>
        </w:r>
        <w:r w:rsidR="004C3427" w:rsidRPr="00683A04">
          <w:rPr>
            <w:rStyle w:val="Hyperlink"/>
            <w:rFonts w:eastAsia="Times New Roman"/>
            <w:i/>
            <w:iCs/>
            <w:lang w:val="en-GB" w:eastAsia="en-US"/>
          </w:rPr>
          <w:t xml:space="preserve"> </w:t>
        </w:r>
        <w:r w:rsidRPr="00683A04">
          <w:rPr>
            <w:rStyle w:val="Hyperlink"/>
            <w:rFonts w:eastAsia="Times New Roman"/>
            <w:i/>
            <w:iCs/>
            <w:lang w:val="en-GB" w:eastAsia="en-US"/>
          </w:rPr>
          <w:t xml:space="preserve">revised </w:t>
        </w:r>
        <w:r w:rsidR="004C3427" w:rsidRPr="00683A04">
          <w:rPr>
            <w:rStyle w:val="Hyperlink"/>
            <w:rFonts w:eastAsia="Times New Roman"/>
            <w:i/>
            <w:iCs/>
            <w:lang w:val="en-GB" w:eastAsia="en-US"/>
          </w:rPr>
          <w:t xml:space="preserve">General Policy Recommendation (GPR) No. </w:t>
        </w:r>
        <w:r w:rsidRPr="00683A04">
          <w:rPr>
            <w:rStyle w:val="Hyperlink"/>
            <w:rFonts w:eastAsia="Times New Roman"/>
            <w:i/>
            <w:iCs/>
            <w:lang w:val="en-GB" w:eastAsia="en-US"/>
          </w:rPr>
          <w:t xml:space="preserve">5 </w:t>
        </w:r>
        <w:r w:rsidR="004C3427" w:rsidRPr="00683A04">
          <w:rPr>
            <w:rStyle w:val="Hyperlink"/>
            <w:rFonts w:eastAsia="Times New Roman"/>
            <w:i/>
            <w:iCs/>
            <w:lang w:val="en-GB" w:eastAsia="en-US"/>
          </w:rPr>
          <w:t xml:space="preserve">on </w:t>
        </w:r>
        <w:r w:rsidRPr="00683A04">
          <w:rPr>
            <w:rStyle w:val="Hyperlink"/>
            <w:rFonts w:eastAsia="Times New Roman"/>
            <w:i/>
            <w:iCs/>
            <w:lang w:val="en-GB" w:eastAsia="en-US"/>
          </w:rPr>
          <w:t xml:space="preserve">preventing and </w:t>
        </w:r>
        <w:r w:rsidR="004C3427" w:rsidRPr="00683A04">
          <w:rPr>
            <w:rStyle w:val="Hyperlink"/>
            <w:rFonts w:eastAsia="Times New Roman"/>
            <w:i/>
            <w:iCs/>
            <w:lang w:val="en-GB" w:eastAsia="en-US"/>
          </w:rPr>
          <w:t xml:space="preserve">combating </w:t>
        </w:r>
        <w:r w:rsidRPr="00683A04">
          <w:rPr>
            <w:rStyle w:val="Hyperlink"/>
            <w:rFonts w:eastAsia="Times New Roman"/>
            <w:i/>
            <w:iCs/>
            <w:lang w:val="en-GB" w:eastAsia="en-US"/>
          </w:rPr>
          <w:t xml:space="preserve">anti-Muslim </w:t>
        </w:r>
        <w:r w:rsidR="004C3427" w:rsidRPr="00683A04">
          <w:rPr>
            <w:rStyle w:val="Hyperlink"/>
            <w:rFonts w:eastAsia="Times New Roman"/>
            <w:i/>
            <w:iCs/>
            <w:lang w:val="en-GB" w:eastAsia="en-US"/>
          </w:rPr>
          <w:t xml:space="preserve">racism and </w:t>
        </w:r>
        <w:r w:rsidRPr="00683A04">
          <w:rPr>
            <w:rStyle w:val="Hyperlink"/>
            <w:rFonts w:eastAsia="Times New Roman"/>
            <w:i/>
            <w:iCs/>
            <w:lang w:val="en-GB" w:eastAsia="en-US"/>
          </w:rPr>
          <w:t>discrimination</w:t>
        </w:r>
      </w:hyperlink>
      <w:r w:rsidRPr="00683A04">
        <w:rPr>
          <w:rFonts w:eastAsia="Times New Roman"/>
          <w:i/>
          <w:iCs/>
          <w:lang w:val="en-GB" w:eastAsia="en-US"/>
        </w:rPr>
        <w:t xml:space="preserve"> </w:t>
      </w:r>
      <w:r>
        <w:rPr>
          <w:rFonts w:eastAsia="Times New Roman"/>
          <w:i/>
          <w:iCs/>
          <w:lang w:val="en-GB" w:eastAsia="en-US"/>
        </w:rPr>
        <w:t xml:space="preserve">(March 2022) </w:t>
      </w:r>
    </w:p>
    <w:p w14:paraId="265C9DFB" w14:textId="488CAAF9" w:rsidR="004C3427" w:rsidRDefault="004C3427" w:rsidP="004C3427">
      <w:pPr>
        <w:rPr>
          <w:rFonts w:eastAsia="Times New Roman"/>
          <w:lang w:val="en-GB" w:eastAsia="en-US"/>
        </w:rPr>
      </w:pPr>
    </w:p>
    <w:p w14:paraId="5787F7FC" w14:textId="35C2309C" w:rsidR="007A16A2" w:rsidRPr="007A16A2" w:rsidRDefault="007A16A2" w:rsidP="004C3427">
      <w:pPr>
        <w:rPr>
          <w:rFonts w:eastAsia="Times New Roman"/>
          <w:b/>
          <w:bCs/>
          <w:i/>
          <w:iCs/>
          <w:lang w:val="en-GB" w:eastAsia="en-US"/>
        </w:rPr>
      </w:pPr>
      <w:r w:rsidRPr="007A16A2">
        <w:rPr>
          <w:rFonts w:eastAsia="Times New Roman"/>
          <w:b/>
          <w:bCs/>
          <w:i/>
          <w:iCs/>
          <w:lang w:val="en-GB" w:eastAsia="en-US"/>
        </w:rPr>
        <w:t xml:space="preserve">Background and context </w:t>
      </w:r>
    </w:p>
    <w:p w14:paraId="75CFA7CF" w14:textId="77777777" w:rsidR="007A16A2" w:rsidRDefault="007A16A2" w:rsidP="004C3427">
      <w:pPr>
        <w:rPr>
          <w:rFonts w:eastAsia="Times New Roman"/>
          <w:lang w:val="en-GB" w:eastAsia="en-US"/>
        </w:rPr>
      </w:pPr>
    </w:p>
    <w:p w14:paraId="0CF28F20" w14:textId="2DE7E623" w:rsidR="007A16A2" w:rsidRDefault="007A16A2" w:rsidP="007A16A2">
      <w:pPr>
        <w:pBdr>
          <w:top w:val="nil"/>
          <w:left w:val="nil"/>
          <w:bottom w:val="nil"/>
          <w:right w:val="nil"/>
          <w:between w:val="nil"/>
        </w:pBdr>
        <w:spacing w:after="160" w:line="257" w:lineRule="auto"/>
        <w:jc w:val="both"/>
        <w:rPr>
          <w:rFonts w:eastAsia="Arial" w:cs="Arial"/>
          <w:color w:val="000000"/>
          <w:szCs w:val="20"/>
          <w:lang w:val="en-GB" w:eastAsia="en-GB"/>
        </w:rPr>
      </w:pPr>
      <w:r w:rsidRPr="007A16A2">
        <w:rPr>
          <w:rFonts w:eastAsia="Times New Roman"/>
          <w:lang w:val="en-US" w:eastAsia="en-US"/>
        </w:rPr>
        <w:t>§ 1</w:t>
      </w:r>
      <w:r w:rsidRPr="007A16A2">
        <w:rPr>
          <w:rFonts w:eastAsia="Times New Roman"/>
          <w:lang w:val="en-US" w:eastAsia="en-US"/>
        </w:rPr>
        <w:t>0</w:t>
      </w:r>
      <w:r>
        <w:rPr>
          <w:rFonts w:eastAsia="Times New Roman"/>
          <w:i/>
          <w:iCs/>
          <w:lang w:val="en-US" w:eastAsia="en-US"/>
        </w:rPr>
        <w:t xml:space="preserve"> -</w:t>
      </w:r>
      <w:r w:rsidRPr="00683A04">
        <w:rPr>
          <w:rFonts w:eastAsia="Times New Roman"/>
          <w:i/>
          <w:iCs/>
          <w:lang w:val="en-US" w:eastAsia="en-US"/>
        </w:rPr>
        <w:t xml:space="preserve"> </w:t>
      </w:r>
      <w:r w:rsidRPr="007A16A2">
        <w:rPr>
          <w:rFonts w:eastAsia="Arial" w:cs="Arial"/>
          <w:i/>
          <w:iCs/>
          <w:color w:val="000000"/>
          <w:szCs w:val="20"/>
          <w:lang w:val="en-GB" w:eastAsia="en-GB"/>
        </w:rPr>
        <w:t xml:space="preserve">ECRI notes that, like all dynamics of exclusion, anti-Muslim racism is strongly context-dependent, and can vary over time and across space. As such, there is not one racism but different context-specific racisms, which can manifest - implicitly or explicitly - not only in individual attitudes and actions, but also structurally in policy initiatives or institutional arrangements. These manifestations include prejudice, stigmatisation, discrimination (including profiling), hate speech and hate crime, exclusion in key areas of life such as education, </w:t>
      </w:r>
      <w:proofErr w:type="gramStart"/>
      <w:r w:rsidRPr="007A16A2">
        <w:rPr>
          <w:rFonts w:eastAsia="Arial" w:cs="Arial"/>
          <w:i/>
          <w:iCs/>
          <w:color w:val="000000"/>
          <w:szCs w:val="20"/>
          <w:lang w:val="en-GB" w:eastAsia="en-GB"/>
        </w:rPr>
        <w:t>employment</w:t>
      </w:r>
      <w:proofErr w:type="gramEnd"/>
      <w:r w:rsidRPr="007A16A2">
        <w:rPr>
          <w:rFonts w:eastAsia="Arial" w:cs="Arial"/>
          <w:i/>
          <w:iCs/>
          <w:color w:val="000000"/>
          <w:szCs w:val="20"/>
          <w:lang w:val="en-GB" w:eastAsia="en-GB"/>
        </w:rPr>
        <w:t xml:space="preserve"> and housing.</w:t>
      </w:r>
      <w:r w:rsidRPr="007A16A2">
        <w:rPr>
          <w:rFonts w:eastAsia="Arial" w:cs="Arial"/>
          <w:color w:val="000000"/>
          <w:szCs w:val="20"/>
          <w:lang w:val="en-GB" w:eastAsia="en-GB"/>
        </w:rPr>
        <w:t xml:space="preserve"> </w:t>
      </w:r>
    </w:p>
    <w:p w14:paraId="328A7F0F" w14:textId="55C6ACF6" w:rsidR="007A16A2" w:rsidRPr="007A16A2" w:rsidRDefault="007A16A2" w:rsidP="007A16A2">
      <w:pPr>
        <w:pBdr>
          <w:top w:val="nil"/>
          <w:left w:val="nil"/>
          <w:bottom w:val="nil"/>
          <w:right w:val="nil"/>
          <w:between w:val="nil"/>
        </w:pBdr>
        <w:spacing w:after="160" w:line="257" w:lineRule="auto"/>
        <w:jc w:val="both"/>
        <w:rPr>
          <w:rFonts w:eastAsia="Arial" w:cs="Arial"/>
          <w:color w:val="000000"/>
          <w:szCs w:val="20"/>
          <w:lang w:val="en-GB" w:eastAsia="en-GB"/>
        </w:rPr>
      </w:pPr>
      <w:r w:rsidRPr="007A16A2">
        <w:rPr>
          <w:rFonts w:eastAsia="Times New Roman"/>
          <w:lang w:val="en-US" w:eastAsia="en-US"/>
        </w:rPr>
        <w:t>§ 1</w:t>
      </w:r>
      <w:r>
        <w:rPr>
          <w:rFonts w:eastAsia="Times New Roman"/>
          <w:lang w:val="en-US" w:eastAsia="en-US"/>
        </w:rPr>
        <w:t>4 -</w:t>
      </w:r>
      <w:r>
        <w:rPr>
          <w:rFonts w:eastAsia="Times New Roman"/>
          <w:i/>
          <w:iCs/>
          <w:lang w:val="en-US" w:eastAsia="en-US"/>
        </w:rPr>
        <w:t xml:space="preserve"> </w:t>
      </w:r>
      <w:r w:rsidRPr="007A16A2">
        <w:rPr>
          <w:rFonts w:eastAsia="Arial" w:cs="Arial"/>
          <w:color w:val="000000"/>
          <w:szCs w:val="20"/>
          <w:lang w:val="en-GB" w:eastAsia="en-GB"/>
        </w:rPr>
        <w:t>Anti-Muslim racism operates along three main axes: denigratory stereotyping and hatred, including hate-motivated violence; cycles of disadvantage; and negation and even obliteration of culture and religion. This phenomenon does not solely manifest in instances of interpersonal hostility or discrimination but may also be structural.</w:t>
      </w:r>
      <w:r w:rsidRPr="004B5300">
        <w:rPr>
          <w:rFonts w:eastAsia="Arial" w:cs="Arial"/>
          <w:color w:val="000000"/>
          <w:szCs w:val="20"/>
          <w:vertAlign w:val="superscript"/>
          <w:lang w:eastAsia="en-GB"/>
        </w:rPr>
        <w:footnoteReference w:id="2"/>
      </w:r>
    </w:p>
    <w:p w14:paraId="3541A603" w14:textId="123A6867" w:rsidR="007A16A2" w:rsidRPr="007A16A2" w:rsidRDefault="007A16A2" w:rsidP="007A16A2">
      <w:pPr>
        <w:pBdr>
          <w:top w:val="nil"/>
          <w:left w:val="nil"/>
          <w:bottom w:val="nil"/>
          <w:right w:val="nil"/>
          <w:between w:val="nil"/>
        </w:pBdr>
        <w:spacing w:after="160" w:line="257" w:lineRule="auto"/>
        <w:jc w:val="both"/>
        <w:rPr>
          <w:rFonts w:eastAsia="Arial" w:cs="Arial"/>
          <w:b/>
          <w:bCs/>
          <w:i/>
          <w:iCs/>
          <w:color w:val="000000"/>
          <w:szCs w:val="20"/>
          <w:lang w:val="en-GB" w:eastAsia="en-GB"/>
        </w:rPr>
      </w:pPr>
      <w:r w:rsidRPr="007A16A2">
        <w:rPr>
          <w:rFonts w:eastAsia="Arial" w:cs="Arial"/>
          <w:b/>
          <w:bCs/>
          <w:i/>
          <w:iCs/>
          <w:color w:val="000000"/>
          <w:szCs w:val="20"/>
          <w:lang w:val="en-GB" w:eastAsia="en-GB"/>
        </w:rPr>
        <w:t xml:space="preserve">Recommendations </w:t>
      </w:r>
    </w:p>
    <w:p w14:paraId="4A3DCADD" w14:textId="756216E2" w:rsidR="007A16A2" w:rsidRDefault="007A16A2" w:rsidP="007A16A2">
      <w:pPr>
        <w:pBdr>
          <w:top w:val="nil"/>
          <w:left w:val="nil"/>
          <w:bottom w:val="nil"/>
          <w:right w:val="nil"/>
          <w:between w:val="nil"/>
        </w:pBdr>
        <w:spacing w:before="120" w:after="160" w:line="259" w:lineRule="auto"/>
        <w:jc w:val="both"/>
        <w:rPr>
          <w:rFonts w:eastAsia="Arial" w:cs="Arial"/>
          <w:lang w:val="en-GB" w:eastAsia="en-GB"/>
        </w:rPr>
      </w:pPr>
      <w:r w:rsidRPr="007A16A2">
        <w:rPr>
          <w:rFonts w:eastAsia="Times New Roman"/>
          <w:lang w:val="en-US" w:eastAsia="en-US"/>
        </w:rPr>
        <w:t xml:space="preserve">§ </w:t>
      </w:r>
      <w:r>
        <w:rPr>
          <w:rFonts w:eastAsia="Times New Roman"/>
          <w:lang w:val="en-US" w:eastAsia="en-US"/>
        </w:rPr>
        <w:t>8 -</w:t>
      </w:r>
      <w:r>
        <w:rPr>
          <w:rFonts w:eastAsia="Times New Roman"/>
          <w:lang w:val="en-US" w:eastAsia="en-US"/>
        </w:rPr>
        <w:t xml:space="preserve"> </w:t>
      </w:r>
      <w:r w:rsidRPr="007A16A2">
        <w:rPr>
          <w:rFonts w:eastAsia="Arial" w:cs="Arial"/>
          <w:lang w:val="en-GB" w:eastAsia="en-GB"/>
        </w:rPr>
        <w:t xml:space="preserve">raise awareness among public bodies about the need to pay attention to and to address any structural forms of discrimination against Muslims and their communities, especially in </w:t>
      </w:r>
      <w:r w:rsidRPr="007A16A2">
        <w:rPr>
          <w:rFonts w:eastAsia="Arial" w:cs="Arial"/>
          <w:lang w:val="en-GB" w:eastAsia="en-GB"/>
        </w:rPr>
        <w:lastRenderedPageBreak/>
        <w:t xml:space="preserve">the fields of education, employment, housing, access to goods and services, access to public places and freedom of </w:t>
      </w:r>
      <w:proofErr w:type="gramStart"/>
      <w:r w:rsidRPr="007A16A2">
        <w:rPr>
          <w:rFonts w:eastAsia="Arial" w:cs="Arial"/>
          <w:lang w:val="en-GB" w:eastAsia="en-GB"/>
        </w:rPr>
        <w:t>movement;</w:t>
      </w:r>
      <w:proofErr w:type="gramEnd"/>
      <w:r w:rsidRPr="007A16A2">
        <w:rPr>
          <w:rFonts w:eastAsia="Arial" w:cs="Arial"/>
          <w:lang w:val="en-GB" w:eastAsia="en-GB"/>
        </w:rPr>
        <w:t xml:space="preserve"> </w:t>
      </w:r>
    </w:p>
    <w:p w14:paraId="34A01390" w14:textId="33A49B79" w:rsidR="007A16A2" w:rsidRPr="007A16A2" w:rsidRDefault="007A16A2" w:rsidP="007A16A2">
      <w:pPr>
        <w:pBdr>
          <w:top w:val="nil"/>
          <w:left w:val="nil"/>
          <w:bottom w:val="nil"/>
          <w:right w:val="nil"/>
          <w:between w:val="nil"/>
        </w:pBdr>
        <w:spacing w:before="120" w:after="160" w:line="259" w:lineRule="auto"/>
        <w:jc w:val="both"/>
        <w:rPr>
          <w:rFonts w:eastAsia="Arial" w:cs="Arial"/>
          <w:lang w:val="en-GB" w:eastAsia="en-GB"/>
        </w:rPr>
      </w:pPr>
      <w:r w:rsidRPr="007A16A2">
        <w:rPr>
          <w:rFonts w:eastAsia="Times New Roman"/>
          <w:lang w:val="en-US" w:eastAsia="en-US"/>
        </w:rPr>
        <w:t xml:space="preserve">§ </w:t>
      </w:r>
      <w:r>
        <w:rPr>
          <w:rFonts w:eastAsia="Times New Roman"/>
          <w:lang w:val="en-US" w:eastAsia="en-US"/>
        </w:rPr>
        <w:t>11</w:t>
      </w:r>
      <w:r>
        <w:rPr>
          <w:rFonts w:eastAsia="Times New Roman"/>
          <w:lang w:val="en-US" w:eastAsia="en-US"/>
        </w:rPr>
        <w:t xml:space="preserve"> - </w:t>
      </w:r>
      <w:r w:rsidRPr="007A16A2">
        <w:rPr>
          <w:rFonts w:eastAsia="Arial" w:cs="Arial"/>
          <w:lang w:val="en-GB" w:eastAsia="en-GB"/>
        </w:rPr>
        <w:t>collect and publish comprehensive gender disaggregated equality data to help identify any systemic issues and priority areas for policy responses to anti-Muslim racism and discrimination</w:t>
      </w:r>
      <w:r>
        <w:rPr>
          <w:rFonts w:eastAsia="Arial" w:cs="Arial"/>
          <w:lang w:val="en-GB" w:eastAsia="en-GB"/>
        </w:rPr>
        <w:t>.</w:t>
      </w:r>
    </w:p>
    <w:p w14:paraId="089AC5BA" w14:textId="77777777" w:rsidR="007A16A2" w:rsidRPr="007A16A2" w:rsidRDefault="007A16A2" w:rsidP="007A16A2">
      <w:pPr>
        <w:pBdr>
          <w:top w:val="nil"/>
          <w:left w:val="nil"/>
          <w:bottom w:val="nil"/>
          <w:right w:val="nil"/>
          <w:between w:val="nil"/>
        </w:pBdr>
        <w:spacing w:before="120" w:after="160" w:line="259" w:lineRule="auto"/>
        <w:jc w:val="both"/>
        <w:rPr>
          <w:rFonts w:eastAsia="Arial" w:cs="Arial"/>
          <w:lang w:val="en-GB" w:eastAsia="en-GB"/>
        </w:rPr>
      </w:pPr>
    </w:p>
    <w:p w14:paraId="3F704816" w14:textId="77777777" w:rsidR="006A1D6F" w:rsidRPr="007A16A2" w:rsidRDefault="006A1D6F">
      <w:pPr>
        <w:rPr>
          <w:lang w:val="en-GB"/>
        </w:rPr>
      </w:pPr>
    </w:p>
    <w:sectPr w:rsidR="006A1D6F" w:rsidRPr="007A16A2">
      <w:footerReference w:type="default" r:id="rId17"/>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185C" w14:textId="77777777" w:rsidR="0034537F" w:rsidRDefault="0034537F" w:rsidP="000F4CE0">
      <w:r>
        <w:separator/>
      </w:r>
    </w:p>
  </w:endnote>
  <w:endnote w:type="continuationSeparator" w:id="0">
    <w:p w14:paraId="5CB400AE" w14:textId="77777777" w:rsidR="0034537F" w:rsidRDefault="0034537F" w:rsidP="000F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1317"/>
      <w:docPartObj>
        <w:docPartGallery w:val="Page Numbers (Bottom of Page)"/>
        <w:docPartUnique/>
      </w:docPartObj>
    </w:sdtPr>
    <w:sdtEndPr>
      <w:rPr>
        <w:noProof/>
      </w:rPr>
    </w:sdtEndPr>
    <w:sdtContent>
      <w:p w14:paraId="4075B566" w14:textId="30852E19" w:rsidR="00DE7832" w:rsidRDefault="00DE78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900D62" w14:textId="77777777" w:rsidR="00DE7832" w:rsidRDefault="00DE7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294DF" w14:textId="77777777" w:rsidR="0034537F" w:rsidRDefault="0034537F" w:rsidP="000F4CE0">
      <w:r>
        <w:separator/>
      </w:r>
    </w:p>
  </w:footnote>
  <w:footnote w:type="continuationSeparator" w:id="0">
    <w:p w14:paraId="25839187" w14:textId="77777777" w:rsidR="0034537F" w:rsidRDefault="0034537F" w:rsidP="000F4CE0">
      <w:r>
        <w:continuationSeparator/>
      </w:r>
    </w:p>
  </w:footnote>
  <w:footnote w:id="1">
    <w:p w14:paraId="228D662B" w14:textId="78C98C2A" w:rsidR="000F4CE0" w:rsidRPr="003F434D" w:rsidRDefault="000F4CE0">
      <w:pPr>
        <w:pStyle w:val="FootnoteText"/>
        <w:rPr>
          <w:sz w:val="18"/>
          <w:szCs w:val="18"/>
          <w:lang w:val="en-GB"/>
        </w:rPr>
      </w:pPr>
      <w:r w:rsidRPr="003F434D">
        <w:rPr>
          <w:rStyle w:val="FootnoteReference"/>
          <w:sz w:val="18"/>
          <w:szCs w:val="18"/>
        </w:rPr>
        <w:footnoteRef/>
      </w:r>
      <w:r w:rsidRPr="003F434D">
        <w:rPr>
          <w:sz w:val="18"/>
          <w:szCs w:val="18"/>
          <w:lang w:val="en-GB"/>
        </w:rPr>
        <w:t xml:space="preserve"> </w:t>
      </w:r>
      <w:hyperlink r:id="rId1" w:history="1">
        <w:proofErr w:type="spellStart"/>
        <w:r w:rsidRPr="003F434D">
          <w:rPr>
            <w:rStyle w:val="Hyperlink"/>
            <w:sz w:val="18"/>
            <w:szCs w:val="18"/>
            <w:lang w:val="en-GB"/>
          </w:rPr>
          <w:t>Lingurar</w:t>
        </w:r>
        <w:proofErr w:type="spellEnd"/>
        <w:r w:rsidRPr="003F434D">
          <w:rPr>
            <w:rStyle w:val="Hyperlink"/>
            <w:sz w:val="18"/>
            <w:szCs w:val="18"/>
            <w:lang w:val="en-GB"/>
          </w:rPr>
          <w:t xml:space="preserve"> v Romania</w:t>
        </w:r>
      </w:hyperlink>
      <w:r w:rsidRPr="003F434D">
        <w:rPr>
          <w:sz w:val="18"/>
          <w:szCs w:val="18"/>
          <w:lang w:val="en-GB"/>
        </w:rPr>
        <w:t xml:space="preserve"> (no. 48474/14), 16 April 2019.</w:t>
      </w:r>
    </w:p>
  </w:footnote>
  <w:footnote w:id="2">
    <w:p w14:paraId="06391E3F" w14:textId="77777777" w:rsidR="007A16A2" w:rsidRPr="007A16A2" w:rsidRDefault="007A16A2" w:rsidP="007A16A2">
      <w:pPr>
        <w:pStyle w:val="FootnoteText"/>
        <w:snapToGrid w:val="0"/>
        <w:spacing w:before="80"/>
        <w:jc w:val="both"/>
        <w:rPr>
          <w:rFonts w:cs="Arial"/>
          <w:sz w:val="18"/>
          <w:szCs w:val="18"/>
          <w:lang w:val="en-GB"/>
        </w:rPr>
      </w:pPr>
      <w:r w:rsidRPr="00ED15E0">
        <w:rPr>
          <w:rStyle w:val="FootnoteReference"/>
          <w:sz w:val="18"/>
          <w:szCs w:val="18"/>
        </w:rPr>
        <w:footnoteRef/>
      </w:r>
      <w:r w:rsidRPr="007A16A2">
        <w:rPr>
          <w:sz w:val="18"/>
          <w:szCs w:val="18"/>
          <w:lang w:val="en-GB"/>
        </w:rPr>
        <w:t xml:space="preserve"> </w:t>
      </w:r>
      <w:r w:rsidRPr="007A16A2">
        <w:rPr>
          <w:rStyle w:val="sae070d1d"/>
          <w:rFonts w:cs="Arial"/>
          <w:sz w:val="18"/>
          <w:szCs w:val="18"/>
          <w:lang w:val="en-GB"/>
        </w:rPr>
        <w:t xml:space="preserve">Structural discrimination is woven into the ways our </w:t>
      </w:r>
      <w:proofErr w:type="gramStart"/>
      <w:r w:rsidRPr="007A16A2">
        <w:rPr>
          <w:rStyle w:val="sae070d1d"/>
          <w:rFonts w:cs="Arial"/>
          <w:sz w:val="18"/>
          <w:szCs w:val="18"/>
          <w:lang w:val="en-GB"/>
        </w:rPr>
        <w:t>societies</w:t>
      </w:r>
      <w:proofErr w:type="gramEnd"/>
      <w:r w:rsidRPr="007A16A2">
        <w:rPr>
          <w:rStyle w:val="sae070d1d"/>
          <w:rFonts w:cs="Arial"/>
          <w:sz w:val="18"/>
          <w:szCs w:val="18"/>
          <w:lang w:val="en-GB"/>
        </w:rPr>
        <w:t xml:space="preserve"> function, and operates through norms, routines, patterns of attitudes and behaviour that create obstacles in achieving equal opportunities and effective equality. In the context of this GPR, it may be defined as “a pattern of discriminatory attitudes and behaviours in societal structures that, consciously or unconsciously, present obstacles to Muslims”.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80A1C"/>
    <w:multiLevelType w:val="hybridMultilevel"/>
    <w:tmpl w:val="38708E9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55C523A5"/>
    <w:multiLevelType w:val="multilevel"/>
    <w:tmpl w:val="B5A4FA3A"/>
    <w:lvl w:ilvl="0">
      <w:start w:val="1"/>
      <w:numFmt w:val="decimal"/>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A15DC0"/>
    <w:multiLevelType w:val="multilevel"/>
    <w:tmpl w:val="0F9C4C9C"/>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427"/>
    <w:rsid w:val="000229A0"/>
    <w:rsid w:val="00024FD0"/>
    <w:rsid w:val="00034B0A"/>
    <w:rsid w:val="000F4CE0"/>
    <w:rsid w:val="001D40A0"/>
    <w:rsid w:val="00264765"/>
    <w:rsid w:val="0034537F"/>
    <w:rsid w:val="003F434D"/>
    <w:rsid w:val="00424030"/>
    <w:rsid w:val="004670CE"/>
    <w:rsid w:val="004C3427"/>
    <w:rsid w:val="005B464D"/>
    <w:rsid w:val="005E0EF5"/>
    <w:rsid w:val="00653B37"/>
    <w:rsid w:val="00683A04"/>
    <w:rsid w:val="006A1D6F"/>
    <w:rsid w:val="006A2CA1"/>
    <w:rsid w:val="006A765A"/>
    <w:rsid w:val="006C2959"/>
    <w:rsid w:val="007A16A2"/>
    <w:rsid w:val="008B3F32"/>
    <w:rsid w:val="00AF32D8"/>
    <w:rsid w:val="00B67FF9"/>
    <w:rsid w:val="00C66EAC"/>
    <w:rsid w:val="00CB7A23"/>
    <w:rsid w:val="00D20EFE"/>
    <w:rsid w:val="00D775E4"/>
    <w:rsid w:val="00DA5325"/>
    <w:rsid w:val="00DB0DC9"/>
    <w:rsid w:val="00DE7832"/>
    <w:rsid w:val="00E95288"/>
    <w:rsid w:val="00EA4981"/>
    <w:rsid w:val="00F71AB3"/>
    <w:rsid w:val="00F76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D0B0F"/>
  <w15:chartTrackingRefBased/>
  <w15:docId w15:val="{A54ABEBD-63AB-4C40-8749-92F52E0F8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427"/>
    <w:rPr>
      <w:rFonts w:ascii="Calibri" w:eastAsia="Calibri" w:hAnsi="Calibri" w:cs="Calibri"/>
      <w:sz w:val="22"/>
      <w:szCs w:val="22"/>
      <w:lang w:val="fr-FR" w:eastAsia="fr-FR"/>
    </w:rPr>
  </w:style>
  <w:style w:type="paragraph" w:styleId="Heading1">
    <w:name w:val="heading 1"/>
    <w:basedOn w:val="Normal"/>
    <w:next w:val="Normal"/>
    <w:qFormat/>
    <w:pPr>
      <w:spacing w:before="100" w:beforeAutospacing="1" w:after="100" w:afterAutospacing="1"/>
      <w:outlineLvl w:val="0"/>
    </w:pPr>
    <w:rPr>
      <w:rFonts w:ascii="Times New Roman" w:hAnsi="Times New Roman"/>
      <w:b/>
      <w:bCs/>
      <w:kern w:val="36"/>
      <w:sz w:val="48"/>
      <w:szCs w:val="48"/>
      <w:lang w:val="en-US" w:eastAsia="en-US"/>
    </w:rPr>
  </w:style>
  <w:style w:type="paragraph" w:styleId="Heading2">
    <w:name w:val="heading 2"/>
    <w:basedOn w:val="Normal"/>
    <w:next w:val="Normal"/>
    <w:qFormat/>
    <w:pPr>
      <w:keepNext/>
      <w:spacing w:before="240" w:after="60"/>
      <w:jc w:val="both"/>
      <w:outlineLvl w:val="1"/>
    </w:pPr>
    <w:rPr>
      <w:rFonts w:cs="Arial"/>
      <w:b/>
      <w:bCs/>
      <w:iCs/>
      <w:sz w:val="32"/>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COEBullet">
    <w:name w:val="COE_Bullet"/>
    <w:basedOn w:val="Normal"/>
    <w:rPr>
      <w:rFonts w:ascii="Times New Roman" w:hAnsi="Times New Roman"/>
      <w:sz w:val="24"/>
    </w:rPr>
  </w:style>
  <w:style w:type="paragraph" w:customStyle="1" w:styleId="COECote">
    <w:name w:val="COE_Cote"/>
    <w:rPr>
      <w:bCs/>
      <w:iCs/>
      <w:sz w:val="24"/>
      <w:lang w:eastAsia="en-US"/>
    </w:rPr>
  </w:style>
  <w:style w:type="paragraph" w:customStyle="1" w:styleId="COEDirectory">
    <w:name w:val="COE_Directory"/>
    <w:basedOn w:val="Normal"/>
    <w:next w:val="Normal"/>
    <w:rPr>
      <w:rFonts w:ascii="Times New Roman" w:hAnsi="Times New Roman"/>
      <w:color w:val="808080"/>
      <w:sz w:val="24"/>
    </w:rPr>
  </w:style>
  <w:style w:type="paragraph" w:customStyle="1" w:styleId="COEHeading1">
    <w:name w:val="COE_Heading1"/>
    <w:basedOn w:val="Normal"/>
    <w:next w:val="Normal"/>
    <w:rPr>
      <w:rFonts w:ascii="Times New Roman" w:hAnsi="Times New Roman"/>
      <w:b/>
      <w:sz w:val="28"/>
    </w:rPr>
  </w:style>
  <w:style w:type="paragraph" w:customStyle="1" w:styleId="COEHeading2">
    <w:name w:val="COE_Heading2"/>
    <w:rPr>
      <w:b/>
      <w:sz w:val="26"/>
      <w:lang w:eastAsia="en-US"/>
    </w:rPr>
  </w:style>
  <w:style w:type="paragraph" w:customStyle="1" w:styleId="COEHeading3">
    <w:name w:val="COE_Heading3"/>
    <w:basedOn w:val="Normal"/>
    <w:rPr>
      <w:rFonts w:ascii="Times New Roman" w:hAnsi="Times New Roman"/>
      <w:b/>
      <w:sz w:val="24"/>
    </w:rPr>
  </w:style>
  <w:style w:type="paragraph" w:customStyle="1" w:styleId="COEIntro">
    <w:name w:val="COE_Intro"/>
    <w:basedOn w:val="Normal"/>
    <w:rPr>
      <w:rFonts w:ascii="Times New Roman" w:hAnsi="Times New Roman"/>
      <w:sz w:val="24"/>
    </w:rPr>
  </w:style>
  <w:style w:type="paragraph" w:customStyle="1" w:styleId="COEList">
    <w:name w:val="COE_List"/>
    <w:basedOn w:val="Normal"/>
    <w:next w:val="Normal"/>
    <w:rPr>
      <w:rFonts w:ascii="Times New Roman" w:hAnsi="Times New Roman"/>
      <w:sz w:val="24"/>
    </w:rPr>
  </w:style>
  <w:style w:type="paragraph" w:customStyle="1" w:styleId="COENoLignes">
    <w:name w:val="COE_NoLignes"/>
    <w:rPr>
      <w:sz w:val="24"/>
      <w:lang w:val="en-US" w:eastAsia="en-US"/>
    </w:rPr>
  </w:style>
  <w:style w:type="paragraph" w:customStyle="1" w:styleId="COESummary">
    <w:name w:val="COE_Summary"/>
    <w:basedOn w:val="Normal"/>
    <w:rPr>
      <w:rFonts w:ascii="Times New Roman" w:hAnsi="Times New Roman"/>
      <w:sz w:val="24"/>
    </w:rPr>
  </w:style>
  <w:style w:type="paragraph" w:customStyle="1" w:styleId="COETitleSytem">
    <w:name w:val="COE_Title(Sytem)"/>
    <w:basedOn w:val="Normal"/>
    <w:next w:val="Normal"/>
    <w:rPr>
      <w:rFonts w:ascii="Times New Roman" w:hAnsi="Times New Roman"/>
      <w:color w:val="808080"/>
      <w:sz w:val="28"/>
    </w:rPr>
  </w:style>
  <w:style w:type="paragraph" w:customStyle="1" w:styleId="COETitre">
    <w:name w:val="COE_Titre"/>
    <w:basedOn w:val="Normal"/>
    <w:rPr>
      <w:rFonts w:ascii="Times New Roman" w:hAnsi="Times New Roman"/>
      <w:sz w:val="28"/>
    </w:rPr>
  </w:style>
  <w:style w:type="paragraph" w:customStyle="1" w:styleId="COEType">
    <w:name w:val="COE_Type"/>
    <w:basedOn w:val="Normal"/>
    <w:next w:val="Normal"/>
    <w:rPr>
      <w:rFonts w:ascii="Times New Roman" w:hAnsi="Times New Roman"/>
      <w:b/>
    </w:rPr>
  </w:style>
  <w:style w:type="paragraph" w:styleId="BodyText">
    <w:name w:val="Body Text"/>
    <w:basedOn w:val="Normal"/>
    <w:rPr>
      <w:rFonts w:ascii="Times New Roman" w:hAnsi="Times New Roman"/>
      <w:b/>
      <w:bCs/>
      <w:sz w:val="24"/>
      <w:lang w:val="da-DK" w:eastAsia="da-DK"/>
    </w:rPr>
  </w:style>
  <w:style w:type="paragraph" w:styleId="ListParagraph">
    <w:name w:val="List Paragraph"/>
    <w:basedOn w:val="Normal"/>
    <w:uiPriority w:val="34"/>
    <w:qFormat/>
    <w:rsid w:val="004C3427"/>
    <w:pPr>
      <w:ind w:left="720"/>
      <w:contextualSpacing/>
    </w:pPr>
  </w:style>
  <w:style w:type="character" w:styleId="Hyperlink">
    <w:name w:val="Hyperlink"/>
    <w:basedOn w:val="DefaultParagraphFont"/>
    <w:unhideWhenUsed/>
    <w:rsid w:val="00C66EAC"/>
    <w:rPr>
      <w:color w:val="0000FF" w:themeColor="hyperlink"/>
      <w:u w:val="single"/>
    </w:rPr>
  </w:style>
  <w:style w:type="character" w:styleId="UnresolvedMention">
    <w:name w:val="Unresolved Mention"/>
    <w:basedOn w:val="DefaultParagraphFont"/>
    <w:uiPriority w:val="99"/>
    <w:semiHidden/>
    <w:unhideWhenUsed/>
    <w:rsid w:val="00C66EAC"/>
    <w:rPr>
      <w:color w:val="605E5C"/>
      <w:shd w:val="clear" w:color="auto" w:fill="E1DFDD"/>
    </w:rPr>
  </w:style>
  <w:style w:type="character" w:styleId="FollowedHyperlink">
    <w:name w:val="FollowedHyperlink"/>
    <w:basedOn w:val="DefaultParagraphFont"/>
    <w:semiHidden/>
    <w:unhideWhenUsed/>
    <w:rsid w:val="000F4CE0"/>
    <w:rPr>
      <w:color w:val="800080" w:themeColor="followedHyperlink"/>
      <w:u w:val="single"/>
    </w:rPr>
  </w:style>
  <w:style w:type="paragraph" w:styleId="FootnoteText">
    <w:name w:val="footnote text"/>
    <w:aliases w:val="Char,Schriftart: 10 pt,Schriftart: 8 pt,Schriftart: 9 pt,stile 1,Voetnoottekst Char,poznppMV,RSC_WP (footnotes),footnote text, Char,Footnote Text Char Char1,Footnote Text Char3 Char1 Char,Footnote Text Char1 Char1 Char Char,Ch,5_G"/>
    <w:basedOn w:val="Normal"/>
    <w:link w:val="FootnoteTextChar"/>
    <w:uiPriority w:val="99"/>
    <w:unhideWhenUsed/>
    <w:qFormat/>
    <w:rsid w:val="000F4CE0"/>
    <w:rPr>
      <w:sz w:val="20"/>
      <w:szCs w:val="20"/>
    </w:rPr>
  </w:style>
  <w:style w:type="character" w:customStyle="1" w:styleId="FootnoteTextChar">
    <w:name w:val="Footnote Text Char"/>
    <w:aliases w:val="Char Char,Schriftart: 10 pt Char,Schriftart: 8 pt Char,Schriftart: 9 pt Char,stile 1 Char,Voetnoottekst Char Char,poznppMV Char,RSC_WP (footnotes) Char,footnote text Char, Char Char,Footnote Text Char Char1 Char,Ch Char,5_G Char"/>
    <w:basedOn w:val="DefaultParagraphFont"/>
    <w:link w:val="FootnoteText"/>
    <w:uiPriority w:val="99"/>
    <w:qFormat/>
    <w:rsid w:val="000F4CE0"/>
    <w:rPr>
      <w:rFonts w:ascii="Calibri" w:eastAsia="Calibri" w:hAnsi="Calibri" w:cs="Calibri"/>
      <w:lang w:val="fr-FR" w:eastAsia="fr-FR"/>
    </w:rPr>
  </w:style>
  <w:style w:type="character" w:styleId="FootnoteReference">
    <w:name w:val="footnote reference"/>
    <w:aliases w:val="Footnote Refernece,Fußnotenzeichen_Raxen,callout,Footnote Reference Superscript,BVI fnr,Footnote text,4_G, BVI fnr,SUPERS,Footnotes refss,Footnote symbol,Footnote,Appel note de bas de p,Footnote reference number,note TESI,footnotesign"/>
    <w:basedOn w:val="DefaultParagraphFont"/>
    <w:link w:val="4GCharChar"/>
    <w:uiPriority w:val="99"/>
    <w:unhideWhenUsed/>
    <w:qFormat/>
    <w:rsid w:val="000F4CE0"/>
    <w:rPr>
      <w:vertAlign w:val="superscript"/>
    </w:rPr>
  </w:style>
  <w:style w:type="paragraph" w:styleId="Header">
    <w:name w:val="header"/>
    <w:basedOn w:val="Normal"/>
    <w:link w:val="HeaderChar"/>
    <w:unhideWhenUsed/>
    <w:rsid w:val="00DE7832"/>
    <w:pPr>
      <w:tabs>
        <w:tab w:val="center" w:pos="4513"/>
        <w:tab w:val="right" w:pos="9026"/>
      </w:tabs>
    </w:pPr>
  </w:style>
  <w:style w:type="character" w:customStyle="1" w:styleId="HeaderChar">
    <w:name w:val="Header Char"/>
    <w:basedOn w:val="DefaultParagraphFont"/>
    <w:link w:val="Header"/>
    <w:rsid w:val="00DE7832"/>
    <w:rPr>
      <w:rFonts w:ascii="Calibri" w:eastAsia="Calibri" w:hAnsi="Calibri" w:cs="Calibri"/>
      <w:sz w:val="22"/>
      <w:szCs w:val="22"/>
      <w:lang w:val="fr-FR" w:eastAsia="fr-FR"/>
    </w:rPr>
  </w:style>
  <w:style w:type="paragraph" w:styleId="Footer">
    <w:name w:val="footer"/>
    <w:basedOn w:val="Normal"/>
    <w:link w:val="FooterChar"/>
    <w:uiPriority w:val="99"/>
    <w:unhideWhenUsed/>
    <w:rsid w:val="00DE7832"/>
    <w:pPr>
      <w:tabs>
        <w:tab w:val="center" w:pos="4513"/>
        <w:tab w:val="right" w:pos="9026"/>
      </w:tabs>
    </w:pPr>
  </w:style>
  <w:style w:type="character" w:customStyle="1" w:styleId="FooterChar">
    <w:name w:val="Footer Char"/>
    <w:basedOn w:val="DefaultParagraphFont"/>
    <w:link w:val="Footer"/>
    <w:uiPriority w:val="99"/>
    <w:rsid w:val="00DE7832"/>
    <w:rPr>
      <w:rFonts w:ascii="Calibri" w:eastAsia="Calibri" w:hAnsi="Calibri" w:cs="Calibri"/>
      <w:sz w:val="22"/>
      <w:szCs w:val="22"/>
      <w:lang w:val="fr-FR" w:eastAsia="fr-FR"/>
    </w:rPr>
  </w:style>
  <w:style w:type="paragraph" w:customStyle="1" w:styleId="4GCharChar">
    <w:name w:val="4_G Char Char"/>
    <w:aliases w:val="Times 10 Point Char Char, Exposant 3 Point Char Char,Footnote symbol Char Char,Footnote reference number Char Char,Exposant 3 Point Char Char,EN Footnote Reference Char Char,note TESI Char Char,16 Point Char Char"/>
    <w:basedOn w:val="Normal"/>
    <w:link w:val="FootnoteReference"/>
    <w:uiPriority w:val="99"/>
    <w:rsid w:val="007A16A2"/>
    <w:pPr>
      <w:jc w:val="both"/>
    </w:pPr>
    <w:rPr>
      <w:rFonts w:ascii="Times New Roman" w:eastAsia="Times New Roman" w:hAnsi="Times New Roman" w:cs="Times New Roman"/>
      <w:sz w:val="20"/>
      <w:szCs w:val="20"/>
      <w:vertAlign w:val="superscript"/>
      <w:lang w:val="en-GB" w:eastAsia="en-GB"/>
    </w:rPr>
  </w:style>
  <w:style w:type="character" w:customStyle="1" w:styleId="sae070d1d">
    <w:name w:val="sae070d1d"/>
    <w:basedOn w:val="DefaultParagraphFont"/>
    <w:rsid w:val="007A1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762689">
      <w:bodyDiv w:val="1"/>
      <w:marLeft w:val="0"/>
      <w:marRight w:val="0"/>
      <w:marTop w:val="0"/>
      <w:marBottom w:val="0"/>
      <w:divBdr>
        <w:top w:val="none" w:sz="0" w:space="0" w:color="auto"/>
        <w:left w:val="none" w:sz="0" w:space="0" w:color="auto"/>
        <w:bottom w:val="none" w:sz="0" w:space="0" w:color="auto"/>
        <w:right w:val="none" w:sz="0" w:space="0" w:color="auto"/>
      </w:divBdr>
    </w:div>
    <w:div w:id="184512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coe.int/annual-report-on-ecri-s-activities-for-2020/1680a1cd5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m.coe.int/statement-of-ecri-on-racist-police-abuse-including-racial-profiling-an/16809eee6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m.coe.int/ecri-general-policy-recommendation-no-5-revised-on-preventing-and-comb/1680a5db3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e.int/en/web/european-commission-against-racism-and-intolerance/country-monitoring" TargetMode="External"/><Relationship Id="rId5" Type="http://schemas.openxmlformats.org/officeDocument/2006/relationships/numbering" Target="numbering.xml"/><Relationship Id="rId15" Type="http://schemas.openxmlformats.org/officeDocument/2006/relationships/hyperlink" Target="https://rm.coe.int/ecri-2021-annual-report-24052021-en/1680a6a6d3"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e.int/en/web/european-commission-against-racism-and-intolerance/recommendation-no.1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hudoc.echr.coe.int/eng?i=001-1924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BA30C-821A-4FD7-AE11-9215B049C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2E959-80AE-45A4-817B-3562DC5FD2B1}">
  <ds:schemaRefs>
    <ds:schemaRef ds:uri="http://schemas.microsoft.com/sharepoint/v3/contenttype/forms"/>
  </ds:schemaRefs>
</ds:datastoreItem>
</file>

<file path=customXml/itemProps3.xml><?xml version="1.0" encoding="utf-8"?>
<ds:datastoreItem xmlns:ds="http://schemas.openxmlformats.org/officeDocument/2006/customXml" ds:itemID="{D9FC8C2E-7DA2-4D67-81BD-E7379863040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C06E5C6-46C3-41B4-866B-A2BBA953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European Commission Racism Intolerance</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Commission Racism Intolerance</dc:title>
  <dc:subject/>
  <dc:creator>USAL-KANZLER Zeynep</dc:creator>
  <cp:keywords/>
  <dc:description/>
  <cp:lastModifiedBy>USAL-KANZLER Zeynep</cp:lastModifiedBy>
  <cp:revision>2</cp:revision>
  <cp:lastPrinted>2019-06-19T15:34:00Z</cp:lastPrinted>
  <dcterms:created xsi:type="dcterms:W3CDTF">2022-10-02T13:06:00Z</dcterms:created>
  <dcterms:modified xsi:type="dcterms:W3CDTF">2022-10-02T13:06:00Z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