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2FE68EC" w14:textId="77777777" w:rsidTr="00B102FB">
        <w:trPr>
          <w:trHeight w:val="851"/>
        </w:trPr>
        <w:tc>
          <w:tcPr>
            <w:tcW w:w="1259" w:type="dxa"/>
            <w:tcBorders>
              <w:top w:val="nil"/>
              <w:left w:val="nil"/>
              <w:bottom w:val="single" w:sz="4" w:space="0" w:color="auto"/>
              <w:right w:val="nil"/>
            </w:tcBorders>
          </w:tcPr>
          <w:p w14:paraId="3653703A" w14:textId="77777777" w:rsidR="00EC2011" w:rsidRDefault="00EC2011" w:rsidP="00B102FB">
            <w:pPr>
              <w:pStyle w:val="SingleTxtG"/>
            </w:pPr>
          </w:p>
        </w:tc>
        <w:tc>
          <w:tcPr>
            <w:tcW w:w="2236" w:type="dxa"/>
            <w:tcBorders>
              <w:top w:val="nil"/>
              <w:left w:val="nil"/>
              <w:bottom w:val="single" w:sz="4" w:space="0" w:color="auto"/>
              <w:right w:val="nil"/>
            </w:tcBorders>
            <w:vAlign w:val="bottom"/>
          </w:tcPr>
          <w:p w14:paraId="3A053AD6" w14:textId="23374627" w:rsidR="00EC2011" w:rsidRDefault="00EC2011" w:rsidP="00B102FB">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AEEE71" w14:textId="7B1D80E2" w:rsidR="00EC2011" w:rsidRDefault="00CD1D0C" w:rsidP="00CD1D0C">
            <w:pPr>
              <w:suppressAutoHyphens w:val="0"/>
              <w:spacing w:after="20"/>
              <w:jc w:val="right"/>
            </w:pPr>
            <w:r w:rsidRPr="00CD1D0C">
              <w:rPr>
                <w:sz w:val="40"/>
              </w:rPr>
              <w:t>A</w:t>
            </w:r>
            <w:r>
              <w:t>/HRC/</w:t>
            </w:r>
            <w:r w:rsidR="009F78A8">
              <w:t>54/47</w:t>
            </w:r>
          </w:p>
        </w:tc>
      </w:tr>
      <w:tr w:rsidR="00EC2011" w14:paraId="118DA3F9" w14:textId="77777777" w:rsidTr="00B102FB">
        <w:trPr>
          <w:trHeight w:val="2835"/>
        </w:trPr>
        <w:tc>
          <w:tcPr>
            <w:tcW w:w="1259" w:type="dxa"/>
            <w:tcBorders>
              <w:top w:val="single" w:sz="4" w:space="0" w:color="auto"/>
              <w:left w:val="nil"/>
              <w:bottom w:val="single" w:sz="12" w:space="0" w:color="auto"/>
              <w:right w:val="nil"/>
            </w:tcBorders>
          </w:tcPr>
          <w:p w14:paraId="050C19F4" w14:textId="5D2D0575" w:rsidR="00EC2011" w:rsidRDefault="00EC2011" w:rsidP="00B102FB">
            <w:pPr>
              <w:spacing w:before="120"/>
              <w:jc w:val="center"/>
            </w:pPr>
          </w:p>
        </w:tc>
        <w:tc>
          <w:tcPr>
            <w:tcW w:w="5450" w:type="dxa"/>
            <w:gridSpan w:val="2"/>
            <w:tcBorders>
              <w:top w:val="single" w:sz="4" w:space="0" w:color="auto"/>
              <w:left w:val="nil"/>
              <w:bottom w:val="single" w:sz="12" w:space="0" w:color="auto"/>
              <w:right w:val="nil"/>
            </w:tcBorders>
          </w:tcPr>
          <w:p w14:paraId="3C4C4E8D" w14:textId="7DCADB80" w:rsidR="00EC2011" w:rsidRDefault="00605DAB" w:rsidP="00B102F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00310D3" w14:textId="77777777" w:rsidR="009F78A8" w:rsidRPr="004F0D72" w:rsidRDefault="009F78A8" w:rsidP="009F78A8">
            <w:pPr>
              <w:spacing w:before="240"/>
            </w:pPr>
            <w:r w:rsidRPr="004F0D72">
              <w:t>Distr.: General</w:t>
            </w:r>
          </w:p>
          <w:p w14:paraId="10A91279" w14:textId="0756F0C3" w:rsidR="009F78A8" w:rsidRPr="004F0D72" w:rsidRDefault="009E0752" w:rsidP="009F78A8">
            <w:pPr>
              <w:suppressAutoHyphens w:val="0"/>
            </w:pPr>
            <w:r>
              <w:t>1</w:t>
            </w:r>
            <w:r w:rsidR="002970BD">
              <w:t>2</w:t>
            </w:r>
            <w:r w:rsidR="009F78A8" w:rsidRPr="004F0D72">
              <w:t xml:space="preserve"> </w:t>
            </w:r>
            <w:r w:rsidR="009F78A8">
              <w:t>July</w:t>
            </w:r>
            <w:r w:rsidR="009F78A8" w:rsidRPr="004F0D72">
              <w:t xml:space="preserve"> 202</w:t>
            </w:r>
            <w:r w:rsidR="009F78A8">
              <w:t>3</w:t>
            </w:r>
          </w:p>
          <w:p w14:paraId="413658B1" w14:textId="77777777" w:rsidR="009F78A8" w:rsidRPr="004F0D72" w:rsidRDefault="009F78A8" w:rsidP="009F78A8">
            <w:pPr>
              <w:suppressAutoHyphens w:val="0"/>
            </w:pPr>
          </w:p>
          <w:p w14:paraId="6EAD8329" w14:textId="5CF55075" w:rsidR="00CD1D0C" w:rsidRDefault="009F78A8" w:rsidP="009F78A8">
            <w:pPr>
              <w:suppressAutoHyphens w:val="0"/>
            </w:pPr>
            <w:r w:rsidRPr="004F0D72">
              <w:t>Original: English</w:t>
            </w:r>
          </w:p>
        </w:tc>
      </w:tr>
    </w:tbl>
    <w:p w14:paraId="7487ACC4" w14:textId="77777777" w:rsidR="009F78A8" w:rsidRDefault="009F78A8" w:rsidP="009F78A8">
      <w:pPr>
        <w:spacing w:before="120"/>
        <w:rPr>
          <w:b/>
          <w:bCs/>
          <w:sz w:val="24"/>
          <w:szCs w:val="24"/>
        </w:rPr>
      </w:pPr>
      <w:r w:rsidRPr="00A52E16">
        <w:rPr>
          <w:b/>
          <w:bCs/>
          <w:sz w:val="24"/>
          <w:szCs w:val="24"/>
        </w:rPr>
        <w:t>Human Rights Council</w:t>
      </w:r>
    </w:p>
    <w:p w14:paraId="13FBD5F0" w14:textId="77777777" w:rsidR="009F78A8" w:rsidRPr="004F0D72" w:rsidRDefault="009F78A8" w:rsidP="009F78A8">
      <w:pPr>
        <w:rPr>
          <w:b/>
          <w:bCs/>
          <w:sz w:val="24"/>
          <w:szCs w:val="24"/>
        </w:rPr>
      </w:pPr>
      <w:r w:rsidRPr="004F0D72">
        <w:rPr>
          <w:b/>
          <w:bCs/>
        </w:rPr>
        <w:t>F</w:t>
      </w:r>
      <w:r>
        <w:rPr>
          <w:b/>
          <w:bCs/>
        </w:rPr>
        <w:t>if</w:t>
      </w:r>
      <w:r w:rsidRPr="004F0D72">
        <w:rPr>
          <w:b/>
          <w:bCs/>
        </w:rPr>
        <w:t>ty-</w:t>
      </w:r>
      <w:r>
        <w:rPr>
          <w:b/>
          <w:bCs/>
        </w:rPr>
        <w:t>four</w:t>
      </w:r>
      <w:r w:rsidRPr="004F0D72">
        <w:rPr>
          <w:b/>
          <w:bCs/>
        </w:rPr>
        <w:t>th session</w:t>
      </w:r>
    </w:p>
    <w:p w14:paraId="3F4B200B" w14:textId="3DE34DD9" w:rsidR="009F78A8" w:rsidRPr="004F0D72" w:rsidRDefault="009F78A8" w:rsidP="009F78A8">
      <w:r w:rsidRPr="0042466B">
        <w:t>11 September–</w:t>
      </w:r>
      <w:r w:rsidR="00735146">
        <w:t>6</w:t>
      </w:r>
      <w:r w:rsidRPr="0042466B">
        <w:t xml:space="preserve"> October 2023</w:t>
      </w:r>
    </w:p>
    <w:p w14:paraId="40192741" w14:textId="67C96A62" w:rsidR="009F78A8" w:rsidRDefault="009F78A8" w:rsidP="009F78A8">
      <w:r w:rsidRPr="004F0D72">
        <w:t>Agenda item</w:t>
      </w:r>
      <w:r w:rsidR="00D46E33">
        <w:t>s 3 and</w:t>
      </w:r>
      <w:r w:rsidRPr="004F0D72">
        <w:t xml:space="preserve"> 5</w:t>
      </w:r>
    </w:p>
    <w:p w14:paraId="2E7E3F07" w14:textId="77777777" w:rsidR="00D46E33" w:rsidRPr="00A52481" w:rsidRDefault="00D46E33" w:rsidP="00D46E33">
      <w:pPr>
        <w:suppressAutoHyphens w:val="0"/>
        <w:kinsoku/>
        <w:overflowPunct/>
        <w:autoSpaceDE/>
        <w:autoSpaceDN/>
        <w:adjustRightInd/>
        <w:snapToGrid/>
        <w:spacing w:line="240" w:lineRule="auto"/>
        <w:rPr>
          <w:rFonts w:eastAsia="SimSun"/>
          <w:b/>
          <w:bCs/>
          <w:lang w:eastAsia="zh-CN"/>
        </w:rPr>
      </w:pPr>
      <w:r w:rsidRPr="00A52481">
        <w:rPr>
          <w:rFonts w:eastAsia="SimSun"/>
          <w:b/>
          <w:bCs/>
          <w:lang w:eastAsia="zh-CN"/>
        </w:rPr>
        <w:t>Promotion and protection of all human rights, civil,</w:t>
      </w:r>
      <w:r w:rsidRPr="00A52481">
        <w:rPr>
          <w:rFonts w:eastAsia="SimSun"/>
          <w:b/>
          <w:bCs/>
          <w:lang w:eastAsia="zh-CN"/>
        </w:rPr>
        <w:br/>
        <w:t>political, economic, social and cultural rights,</w:t>
      </w:r>
      <w:r w:rsidRPr="00A52481">
        <w:rPr>
          <w:rFonts w:eastAsia="SimSun"/>
          <w:b/>
          <w:bCs/>
          <w:lang w:eastAsia="zh-CN"/>
        </w:rPr>
        <w:br/>
        <w:t xml:space="preserve">including the right to </w:t>
      </w:r>
      <w:proofErr w:type="gramStart"/>
      <w:r w:rsidRPr="00A52481">
        <w:rPr>
          <w:rFonts w:eastAsia="SimSun"/>
          <w:b/>
          <w:bCs/>
          <w:lang w:eastAsia="zh-CN"/>
        </w:rPr>
        <w:t>development</w:t>
      </w:r>
      <w:proofErr w:type="gramEnd"/>
    </w:p>
    <w:p w14:paraId="3C44BD65" w14:textId="77777777" w:rsidR="00D46E33" w:rsidRPr="00D14178" w:rsidRDefault="00D46E33" w:rsidP="00D46E33">
      <w:pPr>
        <w:suppressAutoHyphens w:val="0"/>
        <w:kinsoku/>
        <w:overflowPunct/>
        <w:autoSpaceDE/>
        <w:autoSpaceDN/>
        <w:adjustRightInd/>
        <w:snapToGrid/>
        <w:spacing w:before="120" w:line="240" w:lineRule="auto"/>
        <w:rPr>
          <w:b/>
          <w:bCs/>
        </w:rPr>
      </w:pPr>
      <w:r w:rsidRPr="00D14178">
        <w:rPr>
          <w:b/>
          <w:bCs/>
        </w:rPr>
        <w:t>Human rights bodies and mechanisms</w:t>
      </w:r>
    </w:p>
    <w:p w14:paraId="5E5411B4" w14:textId="5C8BB862" w:rsidR="009F78A8" w:rsidRPr="004F0D72" w:rsidRDefault="009F78A8" w:rsidP="009F78A8">
      <w:pPr>
        <w:pStyle w:val="HChG"/>
        <w:rPr>
          <w:szCs w:val="28"/>
        </w:rPr>
      </w:pPr>
      <w:r>
        <w:rPr>
          <w:szCs w:val="28"/>
        </w:rPr>
        <w:tab/>
      </w:r>
      <w:r>
        <w:rPr>
          <w:szCs w:val="28"/>
        </w:rPr>
        <w:tab/>
        <w:t xml:space="preserve">Impact of new technologies intended for climate protection on the enjoyment of </w:t>
      </w:r>
      <w:r w:rsidRPr="004F0D72">
        <w:t>human rights</w:t>
      </w:r>
    </w:p>
    <w:p w14:paraId="5A3805EC" w14:textId="77777777" w:rsidR="009F78A8" w:rsidRPr="004F0D72" w:rsidRDefault="009F78A8" w:rsidP="009F78A8">
      <w:pPr>
        <w:pStyle w:val="H1G"/>
      </w:pPr>
      <w:r w:rsidRPr="004F0D72">
        <w:tab/>
      </w:r>
      <w:r w:rsidRPr="004F0D72">
        <w:tab/>
      </w:r>
      <w:bookmarkStart w:id="0" w:name="_Toc72481538"/>
      <w:r w:rsidRPr="0079463D">
        <w:t xml:space="preserve">Report of the Human Rights Council Advisory </w:t>
      </w:r>
      <w:r w:rsidRPr="00E33A0A">
        <w:t>Committee</w:t>
      </w:r>
      <w:r w:rsidRPr="00DA629C">
        <w:rPr>
          <w:rStyle w:val="FootnoteReference"/>
          <w:b w:val="0"/>
          <w:bCs/>
          <w:sz w:val="20"/>
          <w:vertAlign w:val="baseline"/>
        </w:rPr>
        <w:footnoteReference w:customMarkFollows="1" w:id="2"/>
        <w:t>*</w:t>
      </w:r>
      <w:r w:rsidRPr="00DA629C">
        <w:rPr>
          <w:rStyle w:val="FootnoteReference"/>
          <w:b w:val="0"/>
          <w:bCs/>
          <w:position w:val="8"/>
          <w:sz w:val="20"/>
          <w:vertAlign w:val="baseline"/>
        </w:rPr>
        <w:t>,</w:t>
      </w:r>
      <w:r w:rsidRPr="00DA629C">
        <w:rPr>
          <w:b w:val="0"/>
          <w:bCs/>
          <w:sz w:val="20"/>
        </w:rPr>
        <w:t xml:space="preserve"> </w:t>
      </w:r>
      <w:r w:rsidRPr="00DA629C">
        <w:rPr>
          <w:rStyle w:val="FootnoteReference"/>
          <w:b w:val="0"/>
          <w:bCs/>
          <w:sz w:val="20"/>
          <w:vertAlign w:val="baseline"/>
        </w:rPr>
        <w:footnoteReference w:customMarkFollows="1" w:id="3"/>
        <w:t>**</w:t>
      </w:r>
      <w:bookmarkEnd w:id="0"/>
    </w:p>
    <w:p w14:paraId="32481F47" w14:textId="77777777" w:rsidR="009F78A8" w:rsidRPr="004F0D72" w:rsidRDefault="009F78A8" w:rsidP="009F78A8">
      <w:pPr>
        <w:tabs>
          <w:tab w:val="left" w:pos="720"/>
          <w:tab w:val="left" w:pos="9360"/>
        </w:tabs>
        <w:spacing w:after="160" w:line="259" w:lineRule="auto"/>
      </w:pPr>
      <w:r w:rsidRPr="004F0D72">
        <w:br w:type="page"/>
      </w:r>
    </w:p>
    <w:p w14:paraId="15959A4C" w14:textId="77777777" w:rsidR="009F78A8" w:rsidRPr="004F0D72" w:rsidRDefault="009F78A8" w:rsidP="009F78A8">
      <w:pPr>
        <w:rPr>
          <w:sz w:val="28"/>
          <w:szCs w:val="28"/>
          <w:lang w:eastAsia="en-GB"/>
        </w:rPr>
      </w:pPr>
      <w:r w:rsidRPr="004F0D72">
        <w:rPr>
          <w:sz w:val="28"/>
          <w:szCs w:val="28"/>
          <w:lang w:eastAsia="en-GB"/>
        </w:rPr>
        <w:lastRenderedPageBreak/>
        <w:t>Contents</w:t>
      </w:r>
    </w:p>
    <w:p w14:paraId="274D20EA" w14:textId="77777777" w:rsidR="009F78A8" w:rsidRPr="004F0D72" w:rsidRDefault="009F78A8" w:rsidP="009F78A8">
      <w:pPr>
        <w:tabs>
          <w:tab w:val="right" w:pos="8929"/>
          <w:tab w:val="right" w:pos="9638"/>
        </w:tabs>
        <w:spacing w:after="120"/>
        <w:ind w:left="283"/>
        <w:rPr>
          <w:i/>
          <w:sz w:val="18"/>
        </w:rPr>
      </w:pPr>
      <w:r w:rsidRPr="004F0D72">
        <w:rPr>
          <w:i/>
          <w:sz w:val="18"/>
        </w:rPr>
        <w:tab/>
      </w:r>
      <w:r w:rsidRPr="004F0D72">
        <w:rPr>
          <w:i/>
          <w:sz w:val="18"/>
        </w:rPr>
        <w:tab/>
        <w:t>Page</w:t>
      </w:r>
    </w:p>
    <w:p w14:paraId="54F4798A" w14:textId="77777777" w:rsidR="009F78A8" w:rsidRPr="00B961EC" w:rsidRDefault="009F78A8" w:rsidP="009F78A8">
      <w:pPr>
        <w:tabs>
          <w:tab w:val="right" w:pos="850"/>
          <w:tab w:val="left" w:pos="1134"/>
          <w:tab w:val="left" w:pos="1559"/>
          <w:tab w:val="left" w:pos="1984"/>
          <w:tab w:val="left" w:leader="dot" w:pos="8931"/>
          <w:tab w:val="right" w:pos="9638"/>
        </w:tabs>
        <w:spacing w:after="120"/>
      </w:pPr>
      <w:r w:rsidRPr="004F0D72">
        <w:tab/>
      </w:r>
      <w:r>
        <w:tab/>
      </w:r>
      <w:r w:rsidRPr="00B961EC">
        <w:t>Background</w:t>
      </w:r>
      <w:r w:rsidRPr="00B961EC">
        <w:tab/>
      </w:r>
      <w:r w:rsidRPr="00B961EC">
        <w:tab/>
        <w:t>3</w:t>
      </w:r>
    </w:p>
    <w:p w14:paraId="41E77661" w14:textId="77777777" w:rsidR="009F78A8" w:rsidRPr="00B961EC" w:rsidRDefault="009F78A8" w:rsidP="009F78A8">
      <w:pPr>
        <w:tabs>
          <w:tab w:val="right" w:pos="850"/>
          <w:tab w:val="left" w:pos="1134"/>
          <w:tab w:val="left" w:pos="1559"/>
          <w:tab w:val="left" w:pos="1984"/>
          <w:tab w:val="left" w:leader="dot" w:pos="8931"/>
          <w:tab w:val="right" w:pos="9638"/>
        </w:tabs>
        <w:spacing w:after="120"/>
      </w:pPr>
      <w:r w:rsidRPr="00B961EC">
        <w:tab/>
        <w:t>I.</w:t>
      </w:r>
      <w:r w:rsidRPr="00B961EC">
        <w:tab/>
        <w:t>Introduction</w:t>
      </w:r>
      <w:r w:rsidRPr="00B961EC">
        <w:tab/>
      </w:r>
      <w:r w:rsidRPr="00B961EC">
        <w:tab/>
      </w:r>
      <w:r>
        <w:t>3</w:t>
      </w:r>
    </w:p>
    <w:p w14:paraId="67B53982" w14:textId="77777777" w:rsidR="009F78A8" w:rsidRDefault="009F78A8" w:rsidP="009F78A8">
      <w:pPr>
        <w:tabs>
          <w:tab w:val="right" w:pos="850"/>
          <w:tab w:val="left" w:pos="1134"/>
          <w:tab w:val="left" w:pos="1559"/>
          <w:tab w:val="left" w:pos="1984"/>
          <w:tab w:val="left" w:leader="dot" w:pos="8931"/>
          <w:tab w:val="right" w:pos="9638"/>
        </w:tabs>
        <w:spacing w:after="120"/>
      </w:pPr>
      <w:r w:rsidRPr="00B961EC">
        <w:tab/>
        <w:t>II.</w:t>
      </w:r>
      <w:r w:rsidRPr="00B961EC">
        <w:tab/>
        <w:t>Risks and side-effects</w:t>
      </w:r>
      <w:r w:rsidRPr="00B961EC">
        <w:tab/>
      </w:r>
      <w:r w:rsidRPr="00B961EC">
        <w:tab/>
      </w:r>
      <w:r>
        <w:t>5</w:t>
      </w:r>
    </w:p>
    <w:p w14:paraId="2E6C1B00" w14:textId="77777777" w:rsidR="009F78A8" w:rsidRPr="00552723" w:rsidRDefault="009F78A8" w:rsidP="009F78A8">
      <w:pPr>
        <w:tabs>
          <w:tab w:val="right" w:pos="850"/>
          <w:tab w:val="left" w:pos="1134"/>
          <w:tab w:val="left" w:pos="1559"/>
          <w:tab w:val="left" w:pos="1984"/>
          <w:tab w:val="left" w:leader="dot" w:pos="8931"/>
          <w:tab w:val="right" w:pos="9638"/>
        </w:tabs>
        <w:spacing w:after="120"/>
        <w:ind w:left="1134" w:hanging="1134"/>
      </w:pPr>
      <w:r w:rsidRPr="00552723">
        <w:tab/>
      </w:r>
      <w:r w:rsidRPr="00552723">
        <w:tab/>
        <w:t>A.</w:t>
      </w:r>
      <w:r w:rsidRPr="00552723">
        <w:tab/>
        <w:t>Physical risks</w:t>
      </w:r>
      <w:r w:rsidRPr="00552723">
        <w:tab/>
      </w:r>
      <w:r w:rsidRPr="00552723">
        <w:tab/>
      </w:r>
      <w:r>
        <w:t>6</w:t>
      </w:r>
    </w:p>
    <w:p w14:paraId="0454A2A0" w14:textId="77777777" w:rsidR="009F78A8" w:rsidRPr="00552723" w:rsidRDefault="009F78A8" w:rsidP="009F78A8">
      <w:pPr>
        <w:tabs>
          <w:tab w:val="right" w:pos="850"/>
          <w:tab w:val="left" w:pos="1134"/>
          <w:tab w:val="left" w:pos="1559"/>
          <w:tab w:val="left" w:pos="1984"/>
          <w:tab w:val="left" w:leader="dot" w:pos="8931"/>
          <w:tab w:val="right" w:pos="9638"/>
        </w:tabs>
        <w:spacing w:after="120"/>
        <w:ind w:left="1134" w:hanging="1134"/>
      </w:pPr>
      <w:r w:rsidRPr="00552723">
        <w:tab/>
      </w:r>
      <w:r w:rsidRPr="00552723">
        <w:tab/>
        <w:t>B.</w:t>
      </w:r>
      <w:r w:rsidRPr="00552723">
        <w:tab/>
        <w:t>Social, societal, and soci</w:t>
      </w:r>
      <w:r>
        <w:t>o</w:t>
      </w:r>
      <w:r w:rsidRPr="00552723">
        <w:t>-economic risks</w:t>
      </w:r>
      <w:r w:rsidRPr="00552723">
        <w:tab/>
      </w:r>
      <w:r w:rsidRPr="00552723">
        <w:tab/>
      </w:r>
      <w:r>
        <w:t>6</w:t>
      </w:r>
    </w:p>
    <w:p w14:paraId="3DEF7C83" w14:textId="77777777" w:rsidR="009F78A8" w:rsidRDefault="009F78A8" w:rsidP="009F78A8">
      <w:pPr>
        <w:tabs>
          <w:tab w:val="right" w:pos="850"/>
          <w:tab w:val="left" w:pos="1134"/>
          <w:tab w:val="left" w:pos="1559"/>
          <w:tab w:val="left" w:pos="1984"/>
          <w:tab w:val="left" w:leader="dot" w:pos="8931"/>
          <w:tab w:val="right" w:pos="9638"/>
        </w:tabs>
        <w:spacing w:after="120"/>
        <w:ind w:left="1134" w:hanging="1134"/>
      </w:pPr>
      <w:r w:rsidRPr="00552723">
        <w:tab/>
      </w:r>
      <w:r w:rsidRPr="00552723">
        <w:tab/>
        <w:t>C.</w:t>
      </w:r>
      <w:r w:rsidRPr="00552723">
        <w:tab/>
        <w:t>Vested interests</w:t>
      </w:r>
      <w:r w:rsidRPr="00552723">
        <w:tab/>
      </w:r>
      <w:r w:rsidRPr="00552723">
        <w:tab/>
      </w:r>
      <w:r>
        <w:t>7</w:t>
      </w:r>
    </w:p>
    <w:p w14:paraId="278883C2" w14:textId="77777777" w:rsidR="009F78A8" w:rsidRDefault="009F78A8" w:rsidP="009F78A8">
      <w:pPr>
        <w:tabs>
          <w:tab w:val="right" w:pos="850"/>
          <w:tab w:val="left" w:pos="1134"/>
          <w:tab w:val="left" w:pos="1559"/>
          <w:tab w:val="left" w:pos="1984"/>
          <w:tab w:val="left" w:leader="dot" w:pos="8931"/>
          <w:tab w:val="right" w:pos="9638"/>
        </w:tabs>
        <w:spacing w:after="120"/>
        <w:ind w:left="1134" w:hanging="1134"/>
      </w:pPr>
      <w:r>
        <w:tab/>
      </w:r>
      <w:r>
        <w:tab/>
        <w:t>D.</w:t>
      </w:r>
      <w:r>
        <w:tab/>
        <w:t>Emission cuts deterrence and ‘greenwashing’</w:t>
      </w:r>
      <w:r>
        <w:tab/>
      </w:r>
      <w:r>
        <w:tab/>
        <w:t>7</w:t>
      </w:r>
    </w:p>
    <w:p w14:paraId="3B337EF8" w14:textId="77777777" w:rsidR="009F78A8" w:rsidRDefault="009F78A8" w:rsidP="009F78A8">
      <w:pPr>
        <w:tabs>
          <w:tab w:val="right" w:pos="850"/>
          <w:tab w:val="left" w:pos="1134"/>
          <w:tab w:val="left" w:pos="1559"/>
          <w:tab w:val="left" w:pos="1984"/>
          <w:tab w:val="left" w:leader="dot" w:pos="8931"/>
          <w:tab w:val="right" w:pos="9638"/>
        </w:tabs>
        <w:spacing w:after="120"/>
        <w:ind w:left="1134" w:hanging="1134"/>
      </w:pPr>
      <w:r>
        <w:tab/>
      </w:r>
      <w:r>
        <w:tab/>
        <w:t>E.</w:t>
      </w:r>
      <w:r>
        <w:tab/>
        <w:t xml:space="preserve">Other ethical risks </w:t>
      </w:r>
      <w:r>
        <w:tab/>
      </w:r>
      <w:r>
        <w:tab/>
        <w:t>7</w:t>
      </w:r>
    </w:p>
    <w:p w14:paraId="419AD399" w14:textId="77777777" w:rsidR="009F78A8" w:rsidRPr="00552723" w:rsidRDefault="009F78A8" w:rsidP="009F78A8">
      <w:pPr>
        <w:tabs>
          <w:tab w:val="right" w:pos="850"/>
          <w:tab w:val="left" w:pos="1134"/>
          <w:tab w:val="left" w:pos="1559"/>
          <w:tab w:val="left" w:pos="1984"/>
          <w:tab w:val="left" w:leader="dot" w:pos="8931"/>
          <w:tab w:val="right" w:pos="9638"/>
        </w:tabs>
        <w:spacing w:after="120"/>
        <w:ind w:left="1134" w:hanging="1134"/>
      </w:pPr>
      <w:r>
        <w:tab/>
      </w:r>
      <w:r>
        <w:tab/>
        <w:t>F.</w:t>
      </w:r>
      <w:r>
        <w:tab/>
        <w:t>Political and security risk</w:t>
      </w:r>
      <w:r>
        <w:tab/>
      </w:r>
      <w:r>
        <w:tab/>
        <w:t>8</w:t>
      </w:r>
    </w:p>
    <w:p w14:paraId="6BB476D0" w14:textId="77777777" w:rsidR="009F78A8" w:rsidRDefault="009F78A8" w:rsidP="009F78A8">
      <w:pPr>
        <w:tabs>
          <w:tab w:val="right" w:pos="850"/>
          <w:tab w:val="left" w:pos="1559"/>
          <w:tab w:val="left" w:pos="1984"/>
          <w:tab w:val="left" w:leader="dot" w:pos="8930"/>
          <w:tab w:val="right" w:pos="9638"/>
        </w:tabs>
        <w:spacing w:after="120"/>
        <w:ind w:left="1134" w:hanging="1134"/>
      </w:pPr>
      <w:r w:rsidRPr="00B961EC">
        <w:tab/>
        <w:t>III.</w:t>
      </w:r>
      <w:r w:rsidRPr="00B961EC">
        <w:tab/>
        <w:t>Applicable normative framework</w:t>
      </w:r>
      <w:r w:rsidRPr="00B961EC">
        <w:tab/>
      </w:r>
      <w:r w:rsidRPr="00B961EC">
        <w:tab/>
      </w:r>
      <w:r>
        <w:t>8</w:t>
      </w:r>
    </w:p>
    <w:p w14:paraId="053EE86D" w14:textId="77777777" w:rsidR="009F78A8" w:rsidRPr="00552723" w:rsidRDefault="009F78A8" w:rsidP="009F78A8">
      <w:pPr>
        <w:tabs>
          <w:tab w:val="right" w:pos="850"/>
          <w:tab w:val="left" w:pos="1134"/>
          <w:tab w:val="left" w:pos="1559"/>
          <w:tab w:val="left" w:pos="1984"/>
          <w:tab w:val="left" w:leader="dot" w:pos="8931"/>
          <w:tab w:val="right" w:pos="9638"/>
        </w:tabs>
        <w:spacing w:after="120"/>
        <w:ind w:left="1134" w:hanging="1134"/>
      </w:pPr>
      <w:r w:rsidRPr="00552723">
        <w:tab/>
      </w:r>
      <w:r w:rsidRPr="00552723">
        <w:tab/>
        <w:t>A.</w:t>
      </w:r>
      <w:r w:rsidRPr="00552723">
        <w:tab/>
      </w:r>
      <w:r>
        <w:t>Restrictions to the development and deployment of NTCPs</w:t>
      </w:r>
      <w:r w:rsidRPr="00552723">
        <w:tab/>
      </w:r>
      <w:r w:rsidRPr="00552723">
        <w:tab/>
      </w:r>
      <w:r>
        <w:t>9</w:t>
      </w:r>
    </w:p>
    <w:p w14:paraId="59674F93" w14:textId="69B7D32C" w:rsidR="009F78A8" w:rsidRDefault="009F78A8" w:rsidP="009F78A8">
      <w:pPr>
        <w:tabs>
          <w:tab w:val="right" w:pos="850"/>
          <w:tab w:val="left" w:pos="1134"/>
          <w:tab w:val="left" w:pos="1559"/>
          <w:tab w:val="left" w:pos="1984"/>
          <w:tab w:val="left" w:leader="dot" w:pos="8931"/>
          <w:tab w:val="right" w:pos="9638"/>
        </w:tabs>
        <w:spacing w:after="120"/>
        <w:ind w:left="1134" w:hanging="1134"/>
      </w:pPr>
      <w:r w:rsidRPr="00324477">
        <w:tab/>
      </w:r>
      <w:r w:rsidRPr="00324477">
        <w:tab/>
        <w:t>B.</w:t>
      </w:r>
      <w:r w:rsidRPr="00324477">
        <w:tab/>
        <w:t>Princip</w:t>
      </w:r>
      <w:r w:rsidR="00DF7B6F">
        <w:t>led</w:t>
      </w:r>
      <w:r w:rsidRPr="00324477">
        <w:t xml:space="preserve"> approach</w:t>
      </w:r>
      <w:r w:rsidRPr="00324477">
        <w:tab/>
      </w:r>
      <w:r w:rsidRPr="00324477">
        <w:tab/>
      </w:r>
      <w:r>
        <w:t>10</w:t>
      </w:r>
    </w:p>
    <w:p w14:paraId="6B649A29" w14:textId="43B21411" w:rsidR="009F78A8" w:rsidRDefault="009F78A8" w:rsidP="009F78A8">
      <w:pPr>
        <w:tabs>
          <w:tab w:val="right" w:pos="850"/>
          <w:tab w:val="left" w:pos="1134"/>
          <w:tab w:val="left" w:pos="1559"/>
          <w:tab w:val="left" w:pos="1984"/>
          <w:tab w:val="left" w:leader="dot" w:pos="8931"/>
          <w:tab w:val="right" w:pos="9638"/>
        </w:tabs>
        <w:spacing w:after="120"/>
        <w:ind w:left="1134" w:hanging="1134"/>
      </w:pPr>
      <w:r>
        <w:tab/>
      </w:r>
      <w:r>
        <w:tab/>
        <w:t>C.</w:t>
      </w:r>
      <w:r>
        <w:tab/>
        <w:t>Operationalizing a human rights-based approach</w:t>
      </w:r>
      <w:r>
        <w:tab/>
      </w:r>
      <w:r>
        <w:tab/>
        <w:t>1</w:t>
      </w:r>
      <w:r w:rsidR="00E32B95">
        <w:t>1</w:t>
      </w:r>
    </w:p>
    <w:p w14:paraId="0D7AF5FB" w14:textId="77777777" w:rsidR="009F78A8" w:rsidRPr="00324477" w:rsidRDefault="009F78A8" w:rsidP="009F78A8">
      <w:pPr>
        <w:tabs>
          <w:tab w:val="right" w:pos="850"/>
          <w:tab w:val="left" w:pos="1134"/>
          <w:tab w:val="left" w:pos="1559"/>
          <w:tab w:val="left" w:pos="1984"/>
          <w:tab w:val="left" w:leader="dot" w:pos="8931"/>
          <w:tab w:val="right" w:pos="9638"/>
        </w:tabs>
        <w:spacing w:after="120"/>
        <w:ind w:left="1134" w:hanging="1134"/>
      </w:pPr>
      <w:r>
        <w:tab/>
      </w:r>
      <w:r>
        <w:tab/>
        <w:t>D.</w:t>
      </w:r>
      <w:r>
        <w:tab/>
        <w:t>Business regulation</w:t>
      </w:r>
      <w:r>
        <w:tab/>
      </w:r>
      <w:r>
        <w:tab/>
        <w:t>12</w:t>
      </w:r>
    </w:p>
    <w:p w14:paraId="413B64FE" w14:textId="77777777" w:rsidR="009F78A8" w:rsidRPr="00B961EC" w:rsidRDefault="009F78A8" w:rsidP="009F78A8">
      <w:pPr>
        <w:tabs>
          <w:tab w:val="right" w:pos="850"/>
          <w:tab w:val="left" w:pos="1134"/>
          <w:tab w:val="left" w:pos="1559"/>
          <w:tab w:val="left" w:pos="1984"/>
          <w:tab w:val="left" w:leader="dot" w:pos="8931"/>
          <w:tab w:val="right" w:pos="9638"/>
        </w:tabs>
        <w:spacing w:after="120"/>
        <w:ind w:left="1134" w:hanging="1134"/>
      </w:pPr>
      <w:r w:rsidRPr="00B961EC">
        <w:tab/>
        <w:t>IV.</w:t>
      </w:r>
      <w:r w:rsidRPr="00B961EC">
        <w:tab/>
        <w:t>Assessing the human rights impact</w:t>
      </w:r>
      <w:r w:rsidRPr="00B961EC">
        <w:tab/>
      </w:r>
      <w:r w:rsidRPr="00B961EC">
        <w:tab/>
      </w:r>
      <w:r>
        <w:t>13</w:t>
      </w:r>
    </w:p>
    <w:p w14:paraId="1E9E30B4" w14:textId="77777777" w:rsidR="009F78A8" w:rsidRPr="00324477" w:rsidRDefault="009F78A8" w:rsidP="009F78A8">
      <w:pPr>
        <w:tabs>
          <w:tab w:val="right" w:pos="850"/>
          <w:tab w:val="left" w:pos="1134"/>
          <w:tab w:val="left" w:pos="1559"/>
          <w:tab w:val="left" w:pos="1984"/>
          <w:tab w:val="left" w:leader="dot" w:pos="8931"/>
          <w:tab w:val="right" w:pos="9638"/>
        </w:tabs>
        <w:spacing w:after="120"/>
        <w:ind w:left="1134" w:hanging="1134"/>
      </w:pPr>
      <w:r w:rsidRPr="00324477">
        <w:tab/>
      </w:r>
      <w:r w:rsidRPr="00324477">
        <w:tab/>
        <w:t>A.</w:t>
      </w:r>
      <w:r w:rsidRPr="00324477">
        <w:tab/>
        <w:t>Impact on specific rights</w:t>
      </w:r>
      <w:r w:rsidRPr="00324477">
        <w:tab/>
      </w:r>
      <w:r w:rsidRPr="00324477">
        <w:tab/>
      </w:r>
      <w:r>
        <w:t>13</w:t>
      </w:r>
    </w:p>
    <w:p w14:paraId="35BF275B" w14:textId="77777777" w:rsidR="009F78A8" w:rsidRPr="00324477" w:rsidRDefault="009F78A8" w:rsidP="009F78A8">
      <w:pPr>
        <w:tabs>
          <w:tab w:val="right" w:pos="850"/>
          <w:tab w:val="left" w:pos="1134"/>
          <w:tab w:val="left" w:pos="1559"/>
          <w:tab w:val="left" w:pos="1984"/>
          <w:tab w:val="left" w:leader="dot" w:pos="8931"/>
          <w:tab w:val="right" w:pos="9638"/>
        </w:tabs>
        <w:spacing w:after="120"/>
        <w:ind w:left="1134" w:hanging="1134"/>
      </w:pPr>
      <w:r w:rsidRPr="00324477">
        <w:tab/>
      </w:r>
      <w:r w:rsidRPr="00324477">
        <w:tab/>
        <w:t>B.</w:t>
      </w:r>
      <w:r w:rsidRPr="00324477">
        <w:tab/>
        <w:t>Impact on specific groups</w:t>
      </w:r>
      <w:r w:rsidRPr="00324477">
        <w:tab/>
      </w:r>
      <w:r w:rsidRPr="00324477">
        <w:tab/>
      </w:r>
      <w:r>
        <w:t>14</w:t>
      </w:r>
    </w:p>
    <w:p w14:paraId="0155B038" w14:textId="4630D82D" w:rsidR="009F78A8" w:rsidRPr="00B961EC" w:rsidRDefault="009F78A8" w:rsidP="009F78A8">
      <w:pPr>
        <w:tabs>
          <w:tab w:val="right" w:pos="850"/>
          <w:tab w:val="left" w:pos="1134"/>
          <w:tab w:val="left" w:pos="1559"/>
          <w:tab w:val="left" w:pos="1984"/>
          <w:tab w:val="left" w:leader="dot" w:pos="8931"/>
          <w:tab w:val="right" w:pos="9638"/>
        </w:tabs>
        <w:spacing w:after="120"/>
        <w:ind w:left="1134" w:hanging="1134"/>
      </w:pPr>
      <w:r w:rsidRPr="00B961EC">
        <w:tab/>
        <w:t>V.</w:t>
      </w:r>
      <w:r w:rsidRPr="00B961EC">
        <w:tab/>
      </w:r>
      <w:r>
        <w:t>Building-up a protective framework</w:t>
      </w:r>
      <w:r w:rsidRPr="00B961EC">
        <w:tab/>
      </w:r>
      <w:r w:rsidRPr="00B961EC">
        <w:tab/>
        <w:t>1</w:t>
      </w:r>
      <w:r w:rsidR="00E32B95">
        <w:t>5</w:t>
      </w:r>
    </w:p>
    <w:p w14:paraId="4F5605DF" w14:textId="77777777" w:rsidR="009F78A8" w:rsidRPr="00B961EC" w:rsidRDefault="009F78A8" w:rsidP="009F78A8">
      <w:pPr>
        <w:tabs>
          <w:tab w:val="right" w:pos="850"/>
          <w:tab w:val="left" w:pos="1134"/>
          <w:tab w:val="left" w:pos="1559"/>
          <w:tab w:val="left" w:pos="1984"/>
          <w:tab w:val="left" w:leader="dot" w:pos="8931"/>
          <w:tab w:val="right" w:pos="9638"/>
        </w:tabs>
        <w:spacing w:after="120"/>
        <w:ind w:left="1134" w:hanging="1134"/>
      </w:pPr>
      <w:r w:rsidRPr="00B961EC">
        <w:tab/>
      </w:r>
      <w:r w:rsidRPr="00B961EC">
        <w:tab/>
        <w:t>A.</w:t>
      </w:r>
      <w:r w:rsidRPr="00B961EC">
        <w:tab/>
      </w:r>
      <w:r>
        <w:t>Multilateralism and governance framework</w:t>
      </w:r>
      <w:r w:rsidRPr="00B961EC">
        <w:tab/>
      </w:r>
      <w:r w:rsidRPr="00B961EC">
        <w:tab/>
        <w:t>1</w:t>
      </w:r>
      <w:r>
        <w:t>6</w:t>
      </w:r>
    </w:p>
    <w:p w14:paraId="322C1853" w14:textId="77777777" w:rsidR="009F78A8" w:rsidRDefault="009F78A8" w:rsidP="009F78A8">
      <w:pPr>
        <w:tabs>
          <w:tab w:val="right" w:pos="850"/>
          <w:tab w:val="left" w:pos="1134"/>
          <w:tab w:val="left" w:pos="1559"/>
          <w:tab w:val="left" w:pos="1984"/>
          <w:tab w:val="left" w:leader="dot" w:pos="8931"/>
          <w:tab w:val="right" w:pos="9638"/>
        </w:tabs>
        <w:spacing w:after="120"/>
        <w:ind w:left="1134" w:hanging="1134"/>
      </w:pPr>
      <w:r w:rsidRPr="00B961EC">
        <w:tab/>
      </w:r>
      <w:r w:rsidRPr="00B961EC">
        <w:tab/>
        <w:t>B.</w:t>
      </w:r>
      <w:r w:rsidRPr="00B961EC">
        <w:tab/>
      </w:r>
      <w:r>
        <w:t>Inclusiveness in decision-making</w:t>
      </w:r>
      <w:r w:rsidRPr="00B961EC">
        <w:tab/>
      </w:r>
      <w:r w:rsidRPr="00B961EC">
        <w:tab/>
        <w:t>1</w:t>
      </w:r>
      <w:r>
        <w:t>6</w:t>
      </w:r>
    </w:p>
    <w:p w14:paraId="60AE0510" w14:textId="2B326E87" w:rsidR="009F78A8" w:rsidRDefault="009F78A8" w:rsidP="009F78A8">
      <w:pPr>
        <w:tabs>
          <w:tab w:val="right" w:pos="850"/>
          <w:tab w:val="left" w:pos="1134"/>
          <w:tab w:val="left" w:pos="1559"/>
          <w:tab w:val="left" w:pos="1984"/>
          <w:tab w:val="left" w:leader="dot" w:pos="8931"/>
          <w:tab w:val="right" w:pos="9638"/>
        </w:tabs>
        <w:spacing w:after="120"/>
        <w:ind w:left="1134" w:hanging="1134"/>
      </w:pPr>
      <w:r>
        <w:tab/>
      </w:r>
      <w:r>
        <w:tab/>
        <w:t>C.</w:t>
      </w:r>
      <w:r>
        <w:tab/>
        <w:t>Ensuring accountability and oversight</w:t>
      </w:r>
      <w:r>
        <w:tab/>
      </w:r>
      <w:r>
        <w:tab/>
        <w:t>1</w:t>
      </w:r>
      <w:r w:rsidR="00E32B95">
        <w:t>6</w:t>
      </w:r>
    </w:p>
    <w:p w14:paraId="0F0519A5" w14:textId="6D046F32" w:rsidR="009F78A8" w:rsidRDefault="009F78A8" w:rsidP="009F78A8">
      <w:pPr>
        <w:tabs>
          <w:tab w:val="right" w:pos="850"/>
          <w:tab w:val="left" w:pos="1134"/>
          <w:tab w:val="left" w:pos="1559"/>
          <w:tab w:val="left" w:pos="1984"/>
          <w:tab w:val="left" w:leader="dot" w:pos="8931"/>
          <w:tab w:val="right" w:pos="9638"/>
        </w:tabs>
        <w:spacing w:after="120"/>
        <w:ind w:left="1134" w:hanging="1134"/>
      </w:pPr>
      <w:r>
        <w:tab/>
      </w:r>
      <w:r>
        <w:tab/>
        <w:t>D.</w:t>
      </w:r>
      <w:r>
        <w:tab/>
        <w:t xml:space="preserve">Ensuring access to information, </w:t>
      </w:r>
      <w:proofErr w:type="gramStart"/>
      <w:r>
        <w:t>participation</w:t>
      </w:r>
      <w:proofErr w:type="gramEnd"/>
      <w:r>
        <w:t xml:space="preserve"> and access to justice in environmental</w:t>
      </w:r>
      <w:r w:rsidR="00331A4A">
        <w:t xml:space="preserve"> matters</w:t>
      </w:r>
      <w:r>
        <w:tab/>
      </w:r>
      <w:r>
        <w:tab/>
        <w:t>17</w:t>
      </w:r>
    </w:p>
    <w:p w14:paraId="51B598D2" w14:textId="77777777" w:rsidR="009F78A8" w:rsidRPr="00B961EC" w:rsidRDefault="009F78A8" w:rsidP="009F78A8">
      <w:pPr>
        <w:tabs>
          <w:tab w:val="right" w:pos="850"/>
          <w:tab w:val="left" w:pos="1134"/>
          <w:tab w:val="left" w:pos="1559"/>
          <w:tab w:val="left" w:pos="1984"/>
          <w:tab w:val="left" w:leader="dot" w:pos="8931"/>
          <w:tab w:val="right" w:pos="9638"/>
        </w:tabs>
        <w:spacing w:after="120"/>
        <w:ind w:left="1134" w:hanging="1134"/>
      </w:pPr>
      <w:r>
        <w:tab/>
      </w:r>
      <w:r>
        <w:tab/>
        <w:t>E.</w:t>
      </w:r>
      <w:r>
        <w:tab/>
        <w:t xml:space="preserve">Operationalizing human rights approach and assessments </w:t>
      </w:r>
      <w:r>
        <w:tab/>
      </w:r>
      <w:r>
        <w:tab/>
        <w:t>17</w:t>
      </w:r>
    </w:p>
    <w:p w14:paraId="3EB48DE0" w14:textId="159AA18E" w:rsidR="009F78A8" w:rsidRPr="00552723" w:rsidRDefault="009F78A8" w:rsidP="009F78A8">
      <w:pPr>
        <w:tabs>
          <w:tab w:val="right" w:pos="850"/>
          <w:tab w:val="left" w:pos="1134"/>
          <w:tab w:val="left" w:pos="1559"/>
          <w:tab w:val="left" w:pos="1984"/>
          <w:tab w:val="left" w:leader="dot" w:pos="8931"/>
          <w:tab w:val="right" w:pos="9638"/>
        </w:tabs>
        <w:spacing w:after="120"/>
        <w:ind w:left="1134" w:hanging="1134"/>
      </w:pPr>
      <w:r w:rsidRPr="00552723">
        <w:tab/>
        <w:t>VI.</w:t>
      </w:r>
      <w:r w:rsidRPr="00552723">
        <w:tab/>
      </w:r>
      <w:r>
        <w:t>Conclusions</w:t>
      </w:r>
      <w:r w:rsidRPr="00552723">
        <w:tab/>
      </w:r>
      <w:r w:rsidRPr="00552723">
        <w:tab/>
        <w:t>1</w:t>
      </w:r>
      <w:r w:rsidR="00E32B95">
        <w:t>7</w:t>
      </w:r>
    </w:p>
    <w:p w14:paraId="2FB39F32" w14:textId="77777777" w:rsidR="009F78A8" w:rsidRDefault="009F78A8" w:rsidP="009F78A8">
      <w:pPr>
        <w:tabs>
          <w:tab w:val="right" w:pos="850"/>
          <w:tab w:val="left" w:pos="1134"/>
          <w:tab w:val="left" w:pos="1559"/>
          <w:tab w:val="left" w:leader="dot" w:pos="8931"/>
          <w:tab w:val="right" w:pos="9638"/>
        </w:tabs>
        <w:spacing w:after="120"/>
        <w:ind w:left="1134" w:hanging="1134"/>
      </w:pPr>
      <w:r w:rsidRPr="00552723">
        <w:tab/>
        <w:t>VII.</w:t>
      </w:r>
      <w:r w:rsidRPr="00552723">
        <w:tab/>
      </w:r>
      <w:r>
        <w:t>Recommendations</w:t>
      </w:r>
      <w:r w:rsidRPr="00552723">
        <w:tab/>
      </w:r>
      <w:r w:rsidRPr="00552723">
        <w:tab/>
        <w:t>1</w:t>
      </w:r>
      <w:r>
        <w:t>9</w:t>
      </w:r>
    </w:p>
    <w:p w14:paraId="18EF0C52" w14:textId="77777777" w:rsidR="009F78A8" w:rsidRPr="00B961EC" w:rsidRDefault="009F78A8" w:rsidP="009F78A8">
      <w:pPr>
        <w:tabs>
          <w:tab w:val="right" w:pos="850"/>
          <w:tab w:val="left" w:pos="1134"/>
          <w:tab w:val="left" w:pos="1559"/>
          <w:tab w:val="left" w:pos="1984"/>
          <w:tab w:val="left" w:leader="dot" w:pos="8931"/>
          <w:tab w:val="right" w:pos="9638"/>
        </w:tabs>
        <w:spacing w:after="120"/>
        <w:ind w:left="1134" w:hanging="1134"/>
      </w:pPr>
      <w:r w:rsidRPr="00B961EC">
        <w:tab/>
      </w:r>
      <w:r w:rsidRPr="00B961EC">
        <w:tab/>
        <w:t>A.</w:t>
      </w:r>
      <w:r w:rsidRPr="00B961EC">
        <w:tab/>
      </w:r>
      <w:r>
        <w:t xml:space="preserve">International community, States and </w:t>
      </w:r>
      <w:proofErr w:type="gramStart"/>
      <w:r>
        <w:t>policy-makers</w:t>
      </w:r>
      <w:proofErr w:type="gramEnd"/>
      <w:r w:rsidRPr="00B961EC">
        <w:tab/>
      </w:r>
      <w:r w:rsidRPr="00B961EC">
        <w:tab/>
        <w:t>1</w:t>
      </w:r>
      <w:r>
        <w:t>9</w:t>
      </w:r>
    </w:p>
    <w:p w14:paraId="25B86063" w14:textId="307F1DA6" w:rsidR="009F78A8" w:rsidRDefault="009F78A8" w:rsidP="009F78A8">
      <w:pPr>
        <w:tabs>
          <w:tab w:val="right" w:pos="850"/>
          <w:tab w:val="left" w:pos="1134"/>
          <w:tab w:val="left" w:pos="1559"/>
          <w:tab w:val="left" w:pos="1984"/>
          <w:tab w:val="left" w:leader="dot" w:pos="8931"/>
          <w:tab w:val="right" w:pos="9638"/>
        </w:tabs>
        <w:spacing w:after="120"/>
        <w:ind w:left="1134" w:hanging="1134"/>
      </w:pPr>
      <w:r w:rsidRPr="00B961EC">
        <w:tab/>
      </w:r>
      <w:r w:rsidRPr="00B961EC">
        <w:tab/>
        <w:t>B.</w:t>
      </w:r>
      <w:r w:rsidRPr="00B961EC">
        <w:tab/>
      </w:r>
      <w:r>
        <w:t>Human Rights Council and Special Mechanisms</w:t>
      </w:r>
      <w:r w:rsidRPr="00B961EC">
        <w:tab/>
      </w:r>
      <w:r w:rsidRPr="00B961EC">
        <w:tab/>
      </w:r>
      <w:r w:rsidR="00E32B95">
        <w:t>19</w:t>
      </w:r>
    </w:p>
    <w:p w14:paraId="2D566B17" w14:textId="62478975" w:rsidR="009F78A8" w:rsidRDefault="009F78A8" w:rsidP="009F78A8">
      <w:pPr>
        <w:tabs>
          <w:tab w:val="right" w:pos="850"/>
          <w:tab w:val="left" w:pos="1134"/>
          <w:tab w:val="left" w:pos="1559"/>
          <w:tab w:val="left" w:pos="1984"/>
          <w:tab w:val="left" w:leader="dot" w:pos="8931"/>
          <w:tab w:val="right" w:pos="9638"/>
        </w:tabs>
        <w:spacing w:after="120"/>
        <w:ind w:left="1134" w:hanging="1134"/>
      </w:pPr>
      <w:r>
        <w:tab/>
      </w:r>
      <w:r>
        <w:tab/>
        <w:t>C.</w:t>
      </w:r>
      <w:r>
        <w:tab/>
        <w:t>Office of the High Commissioner for Human Rights</w:t>
      </w:r>
      <w:r>
        <w:tab/>
      </w:r>
      <w:r>
        <w:tab/>
        <w:t>20</w:t>
      </w:r>
    </w:p>
    <w:p w14:paraId="1CF0758F" w14:textId="65AE0EFB" w:rsidR="00D23A45" w:rsidRDefault="00635D36" w:rsidP="00635D36">
      <w:pPr>
        <w:tabs>
          <w:tab w:val="right" w:pos="850"/>
          <w:tab w:val="left" w:pos="1134"/>
          <w:tab w:val="left" w:pos="1559"/>
          <w:tab w:val="left" w:pos="1984"/>
          <w:tab w:val="left" w:leader="dot" w:pos="8931"/>
          <w:tab w:val="right" w:pos="9638"/>
        </w:tabs>
        <w:spacing w:after="120"/>
        <w:ind w:left="1134" w:hanging="1134"/>
      </w:pPr>
      <w:r>
        <w:t xml:space="preserve">Annex </w:t>
      </w:r>
      <w:r>
        <w:tab/>
      </w:r>
      <w:r>
        <w:tab/>
      </w:r>
      <w:r>
        <w:tab/>
      </w:r>
      <w:r>
        <w:tab/>
      </w:r>
    </w:p>
    <w:p w14:paraId="08AB3C0B" w14:textId="43DABC08" w:rsidR="00635D36" w:rsidRDefault="00D23A45" w:rsidP="00635D36">
      <w:pPr>
        <w:tabs>
          <w:tab w:val="right" w:pos="850"/>
          <w:tab w:val="left" w:pos="1134"/>
          <w:tab w:val="left" w:pos="1559"/>
          <w:tab w:val="left" w:pos="1984"/>
          <w:tab w:val="left" w:leader="dot" w:pos="8931"/>
          <w:tab w:val="right" w:pos="9638"/>
        </w:tabs>
        <w:spacing w:after="120"/>
        <w:ind w:left="1134" w:hanging="1134"/>
      </w:pPr>
      <w:r>
        <w:tab/>
      </w:r>
      <w:r w:rsidR="00635D36">
        <w:tab/>
      </w:r>
      <w:r w:rsidR="00635D36" w:rsidRPr="00DF36A7">
        <w:t>The</w:t>
      </w:r>
      <w:r>
        <w:t xml:space="preserve"> </w:t>
      </w:r>
      <w:r w:rsidR="00635D36" w:rsidRPr="00DF36A7">
        <w:t>technological component</w:t>
      </w:r>
      <w:r w:rsidR="00635D36">
        <w:t xml:space="preserve"> and additional information</w:t>
      </w:r>
      <w:r>
        <w:tab/>
      </w:r>
      <w:r>
        <w:tab/>
        <w:t>21</w:t>
      </w:r>
    </w:p>
    <w:p w14:paraId="675722E0" w14:textId="77777777" w:rsidR="009F78A8" w:rsidRPr="004F0D72" w:rsidRDefault="009F78A8" w:rsidP="009F78A8">
      <w:pPr>
        <w:ind w:left="1134" w:hanging="459"/>
      </w:pPr>
      <w:r w:rsidRPr="004F0D72">
        <w:rPr>
          <w:rFonts w:eastAsia="Batang"/>
          <w:lang w:eastAsia="ko-KR"/>
        </w:rPr>
        <w:br w:type="page"/>
      </w:r>
    </w:p>
    <w:p w14:paraId="77F02C2F" w14:textId="680A0170" w:rsidR="009F78A8" w:rsidRPr="004F0D72" w:rsidRDefault="009F78A8" w:rsidP="009F78A8">
      <w:pPr>
        <w:pStyle w:val="HChG"/>
      </w:pPr>
      <w:r>
        <w:lastRenderedPageBreak/>
        <w:tab/>
      </w:r>
      <w:r>
        <w:tab/>
        <w:t>Background</w:t>
      </w:r>
    </w:p>
    <w:p w14:paraId="53DBF777" w14:textId="1A2B8D6E" w:rsidR="009F78A8" w:rsidRDefault="009F78A8" w:rsidP="009F78A8">
      <w:pPr>
        <w:pStyle w:val="SingleTxtG"/>
      </w:pPr>
      <w:r w:rsidRPr="004F0D72">
        <w:t>1.</w:t>
      </w:r>
      <w:r w:rsidRPr="004F0D72">
        <w:tab/>
      </w:r>
      <w:r>
        <w:t>By its</w:t>
      </w:r>
      <w:r w:rsidRPr="00A46E7C">
        <w:t xml:space="preserve"> Resolution 48/14 of 8 October 2021</w:t>
      </w:r>
      <w:r>
        <w:t xml:space="preserve"> the HRC requested the </w:t>
      </w:r>
      <w:r w:rsidRPr="00A46E7C">
        <w:t>Advisory Committee</w:t>
      </w:r>
      <w:r>
        <w:t xml:space="preserve"> (AC)</w:t>
      </w:r>
      <w:r w:rsidRPr="00A46E7C">
        <w:t xml:space="preserve"> to conduct a</w:t>
      </w:r>
      <w:r>
        <w:t xml:space="preserve"> study </w:t>
      </w:r>
      <w:r w:rsidRPr="00140D68">
        <w:t xml:space="preserve">and to prepare a report </w:t>
      </w:r>
      <w:r w:rsidRPr="00A46E7C">
        <w:t xml:space="preserve">on the </w:t>
      </w:r>
      <w:r>
        <w:t>“</w:t>
      </w:r>
      <w:r w:rsidRPr="00A46E7C">
        <w:t>impact of new technologies for climate protection on the enjoyment of human rights</w:t>
      </w:r>
      <w:r>
        <w:t xml:space="preserve">” </w:t>
      </w:r>
      <w:r w:rsidRPr="00A46E7C">
        <w:t xml:space="preserve">to </w:t>
      </w:r>
      <w:r>
        <w:t xml:space="preserve">be </w:t>
      </w:r>
      <w:r w:rsidRPr="00A46E7C">
        <w:t>submit</w:t>
      </w:r>
      <w:r>
        <w:t>ted</w:t>
      </w:r>
      <w:r w:rsidRPr="00A46E7C">
        <w:t xml:space="preserve"> at its fifty-fourth session. </w:t>
      </w:r>
      <w:r w:rsidRPr="0018705F">
        <w:t>At its twenty-</w:t>
      </w:r>
      <w:r w:rsidRPr="009920E0">
        <w:t xml:space="preserve">seventh session, the Committee established a drafting group, currently composed by </w:t>
      </w:r>
      <w:proofErr w:type="spellStart"/>
      <w:r w:rsidRPr="009920E0">
        <w:t>Buhm</w:t>
      </w:r>
      <w:proofErr w:type="spellEnd"/>
      <w:r w:rsidRPr="009920E0">
        <w:t xml:space="preserve">-Suk Baek, Rabah </w:t>
      </w:r>
      <w:proofErr w:type="spellStart"/>
      <w:r w:rsidRPr="009920E0">
        <w:t>Boudache</w:t>
      </w:r>
      <w:proofErr w:type="spellEnd"/>
      <w:r w:rsidRPr="009920E0">
        <w:t xml:space="preserve">, </w:t>
      </w:r>
      <w:r>
        <w:t xml:space="preserve">Milena </w:t>
      </w:r>
      <w:r w:rsidRPr="009920E0">
        <w:t xml:space="preserve">Costas </w:t>
      </w:r>
      <w:proofErr w:type="spellStart"/>
      <w:r w:rsidRPr="009920E0">
        <w:t>Trascasas</w:t>
      </w:r>
      <w:proofErr w:type="spellEnd"/>
      <w:r w:rsidRPr="009920E0">
        <w:t xml:space="preserve"> (Chair), </w:t>
      </w:r>
      <w:proofErr w:type="spellStart"/>
      <w:r w:rsidRPr="009920E0">
        <w:t>Ajai</w:t>
      </w:r>
      <w:proofErr w:type="spellEnd"/>
      <w:r w:rsidRPr="009920E0">
        <w:t xml:space="preserve"> Malhotra, Javier </w:t>
      </w:r>
      <w:proofErr w:type="spellStart"/>
      <w:r w:rsidRPr="009920E0">
        <w:t>Palum</w:t>
      </w:r>
      <w:proofErr w:type="spellEnd"/>
      <w:r w:rsidRPr="008C6A05">
        <w:rPr>
          <w:lang w:val="en-US"/>
        </w:rPr>
        <w:t>m</w:t>
      </w:r>
      <w:r w:rsidRPr="009920E0">
        <w:t xml:space="preserve">o, </w:t>
      </w:r>
      <w:proofErr w:type="spellStart"/>
      <w:r w:rsidRPr="009920E0">
        <w:t>Vasilka</w:t>
      </w:r>
      <w:proofErr w:type="spellEnd"/>
      <w:r w:rsidRPr="009920E0">
        <w:t xml:space="preserve"> </w:t>
      </w:r>
      <w:proofErr w:type="spellStart"/>
      <w:r w:rsidRPr="009920E0">
        <w:t>Sancin</w:t>
      </w:r>
      <w:proofErr w:type="spellEnd"/>
      <w:r w:rsidRPr="009920E0">
        <w:t xml:space="preserve">, </w:t>
      </w:r>
      <w:r>
        <w:t xml:space="preserve">Patrycja </w:t>
      </w:r>
      <w:proofErr w:type="spellStart"/>
      <w:r w:rsidRPr="009920E0">
        <w:t>Sasnal</w:t>
      </w:r>
      <w:proofErr w:type="spellEnd"/>
      <w:r w:rsidRPr="009920E0">
        <w:t xml:space="preserve"> (Rapporteur), Vassilis </w:t>
      </w:r>
      <w:proofErr w:type="spellStart"/>
      <w:r w:rsidRPr="009920E0">
        <w:t>Tzevelekos</w:t>
      </w:r>
      <w:proofErr w:type="spellEnd"/>
      <w:r w:rsidRPr="009920E0">
        <w:t xml:space="preserve"> and Frans Viljoen.</w:t>
      </w:r>
    </w:p>
    <w:p w14:paraId="38B17BC1" w14:textId="2FFC625C" w:rsidR="009F78A8" w:rsidRDefault="009F78A8" w:rsidP="009F78A8">
      <w:pPr>
        <w:pStyle w:val="SingleTxtG"/>
        <w:rPr>
          <w:rFonts w:asciiTheme="majorBidi" w:hAnsiTheme="majorBidi" w:cstheme="majorBidi"/>
        </w:rPr>
      </w:pPr>
      <w:r w:rsidRPr="004F0D72">
        <w:t>2.</w:t>
      </w:r>
      <w:r w:rsidRPr="004F0D72">
        <w:tab/>
      </w:r>
      <w:r>
        <w:t xml:space="preserve">In the elaboration of this report, the </w:t>
      </w:r>
      <w:r w:rsidR="00513EA2">
        <w:t>Committee</w:t>
      </w:r>
      <w:r>
        <w:t xml:space="preserve"> </w:t>
      </w:r>
      <w:r w:rsidRPr="00F009FE">
        <w:t>worked in cooperation</w:t>
      </w:r>
      <w:r w:rsidRPr="00CD1B00">
        <w:t xml:space="preserve"> with the Special Rapporteur </w:t>
      </w:r>
      <w:r w:rsidRPr="00A46E7C">
        <w:t>on the promotion and protection of human rights in the context of climate change</w:t>
      </w:r>
      <w:r>
        <w:t xml:space="preserve">. </w:t>
      </w:r>
      <w:r w:rsidRPr="00B1437D">
        <w:rPr>
          <w:rFonts w:asciiTheme="majorBidi" w:hAnsiTheme="majorBidi" w:cstheme="majorBidi"/>
        </w:rPr>
        <w:t xml:space="preserve">The study is </w:t>
      </w:r>
      <w:r w:rsidRPr="00AC5D5A">
        <w:rPr>
          <w:rFonts w:asciiTheme="majorBidi" w:hAnsiTheme="majorBidi" w:cstheme="majorBidi"/>
        </w:rPr>
        <w:t>based on scientific knowledge publicly available, semi-structured interviews with stake</w:t>
      </w:r>
      <w:r w:rsidRPr="00B1437D">
        <w:rPr>
          <w:rFonts w:asciiTheme="majorBidi" w:hAnsiTheme="majorBidi" w:cstheme="majorBidi"/>
        </w:rPr>
        <w:t>-</w:t>
      </w:r>
      <w:r w:rsidRPr="00AC5D5A">
        <w:rPr>
          <w:rFonts w:asciiTheme="majorBidi" w:hAnsiTheme="majorBidi" w:cstheme="majorBidi"/>
        </w:rPr>
        <w:t xml:space="preserve"> and rights</w:t>
      </w:r>
      <w:r>
        <w:rPr>
          <w:rFonts w:asciiTheme="majorBidi" w:hAnsiTheme="majorBidi" w:cstheme="majorBidi"/>
        </w:rPr>
        <w:t>-</w:t>
      </w:r>
      <w:r w:rsidRPr="00AC5D5A">
        <w:rPr>
          <w:rFonts w:asciiTheme="majorBidi" w:hAnsiTheme="majorBidi" w:cstheme="majorBidi"/>
        </w:rPr>
        <w:t>holders,</w:t>
      </w:r>
      <w:r w:rsidRPr="00B1437D">
        <w:rPr>
          <w:rFonts w:asciiTheme="majorBidi" w:hAnsiTheme="majorBidi" w:cstheme="majorBidi"/>
        </w:rPr>
        <w:t xml:space="preserve"> </w:t>
      </w:r>
      <w:r>
        <w:t>including</w:t>
      </w:r>
      <w:r w:rsidRPr="0018705F">
        <w:t xml:space="preserve"> representatives of </w:t>
      </w:r>
      <w:r>
        <w:t>I</w:t>
      </w:r>
      <w:r w:rsidRPr="0018705F">
        <w:t xml:space="preserve">ndigenous </w:t>
      </w:r>
      <w:r>
        <w:t>P</w:t>
      </w:r>
      <w:r w:rsidRPr="0018705F">
        <w:t>eoples</w:t>
      </w:r>
      <w:r>
        <w:t>,</w:t>
      </w:r>
      <w:r w:rsidRPr="00B1437D">
        <w:rPr>
          <w:rFonts w:asciiTheme="majorBidi" w:hAnsiTheme="majorBidi" w:cstheme="majorBidi"/>
        </w:rPr>
        <w:t xml:space="preserve"> inputs from NGOs, States, public institutions, academics, and business. </w:t>
      </w:r>
    </w:p>
    <w:p w14:paraId="0BE567B2" w14:textId="086D54FE" w:rsidR="009F78A8" w:rsidRDefault="009F78A8" w:rsidP="009F78A8">
      <w:pPr>
        <w:pStyle w:val="SingleTxtG"/>
      </w:pPr>
      <w:r>
        <w:t>3</w:t>
      </w:r>
      <w:r w:rsidRPr="00B1437D">
        <w:t>.</w:t>
      </w:r>
      <w:r>
        <w:tab/>
        <w:t xml:space="preserve">The term “new technologies </w:t>
      </w:r>
      <w:r w:rsidRPr="00B1437D">
        <w:rPr>
          <w:i/>
        </w:rPr>
        <w:t>intended</w:t>
      </w:r>
      <w:r>
        <w:t xml:space="preserve"> for climate protection” </w:t>
      </w:r>
      <w:r w:rsidRPr="00371222">
        <w:t xml:space="preserve">(NTCPs) </w:t>
      </w:r>
      <w:r w:rsidRPr="0077768D">
        <w:t>reflect</w:t>
      </w:r>
      <w:r w:rsidRPr="001A0ECC">
        <w:t>s</w:t>
      </w:r>
      <w:r w:rsidRPr="0077768D">
        <w:t xml:space="preserve"> more accurately the current </w:t>
      </w:r>
      <w:r>
        <w:rPr>
          <w:lang w:val="en-US"/>
        </w:rPr>
        <w:t>debate on the issue</w:t>
      </w:r>
      <w:r w:rsidRPr="001A0ECC">
        <w:t xml:space="preserve">. </w:t>
      </w:r>
      <w:r w:rsidRPr="0077768D">
        <w:rPr>
          <w:rFonts w:asciiTheme="majorBidi" w:hAnsiTheme="majorBidi" w:cstheme="majorBidi"/>
        </w:rPr>
        <w:t xml:space="preserve">Attributing </w:t>
      </w:r>
      <w:r w:rsidRPr="001A0ECC">
        <w:rPr>
          <w:rFonts w:asciiTheme="majorBidi" w:hAnsiTheme="majorBidi" w:cstheme="majorBidi"/>
        </w:rPr>
        <w:t>at</w:t>
      </w:r>
      <w:r>
        <w:rPr>
          <w:rFonts w:asciiTheme="majorBidi" w:hAnsiTheme="majorBidi" w:cstheme="majorBidi"/>
        </w:rPr>
        <w:t xml:space="preserve"> this stage </w:t>
      </w:r>
      <w:r w:rsidRPr="0077768D">
        <w:rPr>
          <w:rFonts w:asciiTheme="majorBidi" w:hAnsiTheme="majorBidi" w:cstheme="majorBidi"/>
        </w:rPr>
        <w:t xml:space="preserve">a “protective” function to speculative technologies may be misleading as it </w:t>
      </w:r>
      <w:r>
        <w:rPr>
          <w:rFonts w:asciiTheme="majorBidi" w:hAnsiTheme="majorBidi" w:cstheme="majorBidi"/>
          <w:lang w:val="en-US"/>
        </w:rPr>
        <w:t xml:space="preserve">presupposes </w:t>
      </w:r>
      <w:r w:rsidRPr="007F3993">
        <w:rPr>
          <w:rFonts w:asciiTheme="majorBidi" w:hAnsiTheme="majorBidi" w:cstheme="majorBidi"/>
        </w:rPr>
        <w:t xml:space="preserve">evidence-based knowledge </w:t>
      </w:r>
      <w:r>
        <w:rPr>
          <w:rFonts w:asciiTheme="majorBidi" w:hAnsiTheme="majorBidi" w:cstheme="majorBidi"/>
          <w:lang w:val="en-US"/>
        </w:rPr>
        <w:t>that</w:t>
      </w:r>
      <w:r w:rsidRPr="0077768D">
        <w:rPr>
          <w:rFonts w:asciiTheme="majorBidi" w:hAnsiTheme="majorBidi" w:cstheme="majorBidi"/>
        </w:rPr>
        <w:t xml:space="preserve"> they are all beneficial or desirable</w:t>
      </w:r>
      <w:r>
        <w:rPr>
          <w:rFonts w:asciiTheme="majorBidi" w:hAnsiTheme="majorBidi" w:cstheme="majorBidi"/>
          <w:lang w:val="en-US"/>
        </w:rPr>
        <w:t>.</w:t>
      </w:r>
      <w:r w:rsidRPr="0077768D">
        <w:rPr>
          <w:rFonts w:asciiTheme="majorBidi" w:hAnsiTheme="majorBidi" w:cstheme="majorBidi"/>
        </w:rPr>
        <w:t xml:space="preserve"> It may give </w:t>
      </w:r>
      <w:r>
        <w:rPr>
          <w:rFonts w:asciiTheme="majorBidi" w:hAnsiTheme="majorBidi" w:cstheme="majorBidi"/>
          <w:lang w:val="en-US"/>
        </w:rPr>
        <w:t>a</w:t>
      </w:r>
      <w:r w:rsidRPr="0077768D">
        <w:rPr>
          <w:rFonts w:asciiTheme="majorBidi" w:hAnsiTheme="majorBidi" w:cstheme="majorBidi"/>
        </w:rPr>
        <w:t xml:space="preserve"> false impression that there is a scientific certainty </w:t>
      </w:r>
      <w:r>
        <w:rPr>
          <w:rFonts w:asciiTheme="majorBidi" w:hAnsiTheme="majorBidi" w:cstheme="majorBidi"/>
          <w:lang w:val="en-US"/>
        </w:rPr>
        <w:t>about</w:t>
      </w:r>
      <w:r w:rsidRPr="0077768D">
        <w:rPr>
          <w:rFonts w:asciiTheme="majorBidi" w:hAnsiTheme="majorBidi" w:cstheme="majorBidi"/>
        </w:rPr>
        <w:t xml:space="preserve"> the efficacy of these </w:t>
      </w:r>
      <w:r w:rsidRPr="00F009FE">
        <w:rPr>
          <w:rFonts w:asciiTheme="majorBidi" w:hAnsiTheme="majorBidi" w:cstheme="majorBidi"/>
        </w:rPr>
        <w:t>technologies, which is not currently the case.</w:t>
      </w:r>
      <w:r w:rsidRPr="00F009FE">
        <w:rPr>
          <w:rStyle w:val="FootnoteReference"/>
          <w:rFonts w:cstheme="majorBidi"/>
        </w:rPr>
        <w:footnoteReference w:id="4"/>
      </w:r>
      <w:r w:rsidRPr="00F009FE">
        <w:t xml:space="preserve"> NTCPs are examples of “geoengineering</w:t>
      </w:r>
      <w:r w:rsidRPr="00B1437D">
        <w:t>”</w:t>
      </w:r>
      <w:r>
        <w:t>, a larger and widely used term</w:t>
      </w:r>
      <w:r w:rsidRPr="00B1437D">
        <w:t xml:space="preserve"> </w:t>
      </w:r>
      <w:r>
        <w:t xml:space="preserve">that </w:t>
      </w:r>
      <w:r w:rsidRPr="00B1437D">
        <w:t>refer</w:t>
      </w:r>
      <w:r>
        <w:t>s</w:t>
      </w:r>
      <w:r w:rsidRPr="00B1437D">
        <w:t xml:space="preserve"> to “a broad set of methods and technologies operating on a </w:t>
      </w:r>
      <w:r>
        <w:t>global</w:t>
      </w:r>
      <w:r w:rsidRPr="00B1437D">
        <w:t xml:space="preserve"> scale that aim to deliberately alter the climate system in order to alleviate impacts of climate change.”</w:t>
      </w:r>
      <w:r w:rsidRPr="00B1437D">
        <w:rPr>
          <w:rStyle w:val="FootnoteReference"/>
          <w:sz w:val="20"/>
        </w:rPr>
        <w:footnoteReference w:id="5"/>
      </w:r>
      <w:r>
        <w:t xml:space="preserve"> </w:t>
      </w:r>
    </w:p>
    <w:p w14:paraId="7AC7BD33" w14:textId="65625695" w:rsidR="009F78A8" w:rsidRPr="00B1437D" w:rsidRDefault="009F78A8" w:rsidP="009F78A8">
      <w:pPr>
        <w:pStyle w:val="SingleTxtG"/>
        <w:rPr>
          <w:lang w:val="en-US"/>
        </w:rPr>
      </w:pPr>
      <w:r>
        <w:t>4</w:t>
      </w:r>
      <w:r w:rsidRPr="00B1437D">
        <w:t>.</w:t>
      </w:r>
      <w:r>
        <w:tab/>
      </w:r>
      <w:r w:rsidRPr="00B1437D">
        <w:t xml:space="preserve">Climate change is </w:t>
      </w:r>
      <w:r>
        <w:t xml:space="preserve">one of the biggest threats that humanity faces, </w:t>
      </w:r>
      <w:r w:rsidRPr="00B1437D">
        <w:t>requir</w:t>
      </w:r>
      <w:r>
        <w:t>ing</w:t>
      </w:r>
      <w:r w:rsidRPr="00B1437D">
        <w:t xml:space="preserve"> a global solution. States have </w:t>
      </w:r>
      <w:r>
        <w:t>human rights obligations</w:t>
      </w:r>
      <w:r w:rsidRPr="00B1437D">
        <w:t xml:space="preserve"> to prevent to the greatest extent possible its current and future negative impacts. Successive Intergovernmental Panel on Climate Change (IPCC) reports </w:t>
      </w:r>
      <w:r>
        <w:rPr>
          <w:lang w:val="en-US"/>
        </w:rPr>
        <w:t xml:space="preserve">have </w:t>
      </w:r>
      <w:r w:rsidRPr="00B1437D">
        <w:t xml:space="preserve">made </w:t>
      </w:r>
      <w:r>
        <w:rPr>
          <w:lang w:val="en-US"/>
        </w:rPr>
        <w:t xml:space="preserve">it </w:t>
      </w:r>
      <w:r w:rsidRPr="00B1437D">
        <w:rPr>
          <w:lang w:val="en-US"/>
        </w:rPr>
        <w:t xml:space="preserve">clear that </w:t>
      </w:r>
      <w:r>
        <w:rPr>
          <w:lang w:val="en-US"/>
        </w:rPr>
        <w:t>phasing out</w:t>
      </w:r>
      <w:r w:rsidRPr="00B1437D">
        <w:rPr>
          <w:lang w:val="en-US"/>
        </w:rPr>
        <w:t xml:space="preserve"> fossil fuels is </w:t>
      </w:r>
      <w:r>
        <w:rPr>
          <w:lang w:val="en-US"/>
        </w:rPr>
        <w:t>imperative</w:t>
      </w:r>
      <w:r w:rsidRPr="00B1437D">
        <w:rPr>
          <w:lang w:val="en-US"/>
        </w:rPr>
        <w:t xml:space="preserve"> to </w:t>
      </w:r>
      <w:r>
        <w:rPr>
          <w:lang w:val="en-US"/>
        </w:rPr>
        <w:t>mitigate climate change</w:t>
      </w:r>
      <w:r w:rsidRPr="00B1437D">
        <w:rPr>
          <w:lang w:val="en-US"/>
        </w:rPr>
        <w:t xml:space="preserve"> and</w:t>
      </w:r>
      <w:r>
        <w:rPr>
          <w:lang w:val="en-US"/>
        </w:rPr>
        <w:t xml:space="preserve"> minimize its future negative human rights impact on people</w:t>
      </w:r>
      <w:r w:rsidRPr="00B1437D">
        <w:rPr>
          <w:lang w:val="en-US"/>
        </w:rPr>
        <w:t xml:space="preserve">. </w:t>
      </w:r>
      <w:r>
        <w:rPr>
          <w:lang w:val="en-US"/>
        </w:rPr>
        <w:t xml:space="preserve">It further emphasizes that rights-based approaches by employing readily available existing renewable energy technologies and conserving and restoring earth’s natural systems which serve as carbon sinks offer a sustainable pathway to keeping climate change below 1.5°C. On the other hand, </w:t>
      </w:r>
      <w:r w:rsidRPr="00B1437D">
        <w:rPr>
          <w:lang w:val="en-US"/>
        </w:rPr>
        <w:t>climate engineering solutions</w:t>
      </w:r>
      <w:r>
        <w:rPr>
          <w:lang w:val="en-US"/>
        </w:rPr>
        <w:t xml:space="preserve"> pose risks, including moral hazard and delayed action, and are not presently feasible in terms of their accessibility and scalability.</w:t>
      </w:r>
    </w:p>
    <w:p w14:paraId="5BB24DCE" w14:textId="496CAA7F" w:rsidR="009F78A8" w:rsidRPr="00CD104F" w:rsidRDefault="009F78A8" w:rsidP="009F78A8">
      <w:pPr>
        <w:pStyle w:val="SingleTxtG"/>
      </w:pPr>
      <w:r>
        <w:t>5</w:t>
      </w:r>
      <w:r w:rsidRPr="00B1437D">
        <w:t>.</w:t>
      </w:r>
      <w:r>
        <w:tab/>
        <w:t>The</w:t>
      </w:r>
      <w:r w:rsidRPr="003C03B5">
        <w:t xml:space="preserve"> </w:t>
      </w:r>
      <w:r>
        <w:t xml:space="preserve">General Assembly (GA) and the </w:t>
      </w:r>
      <w:r w:rsidRPr="003C03B5">
        <w:t>Human Rights Council</w:t>
      </w:r>
      <w:r>
        <w:t xml:space="preserve"> (HRC) have through several </w:t>
      </w:r>
      <w:r w:rsidRPr="003C03B5">
        <w:t xml:space="preserve">resolutions </w:t>
      </w:r>
      <w:r>
        <w:t>on interrelation between environmental protection</w:t>
      </w:r>
      <w:r w:rsidRPr="003C03B5">
        <w:t xml:space="preserve"> </w:t>
      </w:r>
      <w:r>
        <w:t xml:space="preserve">and </w:t>
      </w:r>
      <w:r w:rsidRPr="003C03B5">
        <w:t>human rights</w:t>
      </w:r>
      <w:r w:rsidRPr="003C03B5">
        <w:rPr>
          <w:vertAlign w:val="superscript"/>
        </w:rPr>
        <w:footnoteReference w:id="6"/>
      </w:r>
      <w:r>
        <w:t xml:space="preserve"> stressed that c</w:t>
      </w:r>
      <w:r w:rsidRPr="00B1437D">
        <w:t>limate change</w:t>
      </w:r>
      <w:r>
        <w:t xml:space="preserve"> </w:t>
      </w:r>
      <w:r w:rsidRPr="003C03B5">
        <w:t xml:space="preserve">action needs to </w:t>
      </w:r>
      <w:r>
        <w:t>happen</w:t>
      </w:r>
      <w:r w:rsidRPr="003C03B5">
        <w:t xml:space="preserve"> in accordance with States</w:t>
      </w:r>
      <w:r>
        <w:t>’</w:t>
      </w:r>
      <w:r w:rsidRPr="003C03B5">
        <w:t xml:space="preserve"> human rights obligations and </w:t>
      </w:r>
      <w:r w:rsidRPr="00BE1F65">
        <w:rPr>
          <w:lang w:val="en-US"/>
        </w:rPr>
        <w:t>commitments</w:t>
      </w:r>
      <w:r>
        <w:t>.</w:t>
      </w:r>
      <w:r w:rsidRPr="003C03B5">
        <w:t xml:space="preserve"> </w:t>
      </w:r>
      <w:r>
        <w:t xml:space="preserve">Otherwise, </w:t>
      </w:r>
      <w:r w:rsidRPr="003C03B5">
        <w:t>climate policies and measures will lack coherency and legitimacy</w:t>
      </w:r>
      <w:r>
        <w:t>,</w:t>
      </w:r>
      <w:r w:rsidRPr="003C03B5">
        <w:t xml:space="preserve"> and </w:t>
      </w:r>
      <w:r>
        <w:t xml:space="preserve">would not </w:t>
      </w:r>
      <w:r w:rsidRPr="003C03B5">
        <w:t>be sustainable.</w:t>
      </w:r>
      <w:r w:rsidRPr="003C03B5">
        <w:rPr>
          <w:vertAlign w:val="superscript"/>
        </w:rPr>
        <w:footnoteReference w:id="7"/>
      </w:r>
      <w:r w:rsidRPr="003C03B5">
        <w:t xml:space="preserve"> Moreover, principles </w:t>
      </w:r>
      <w:r>
        <w:t xml:space="preserve">of </w:t>
      </w:r>
      <w:r w:rsidRPr="00924C34">
        <w:t>participation</w:t>
      </w:r>
      <w:r w:rsidRPr="00CD0C04">
        <w:t xml:space="preserve"> and</w:t>
      </w:r>
      <w:r w:rsidRPr="00924C34">
        <w:t xml:space="preserve"> information</w:t>
      </w:r>
      <w:r w:rsidRPr="00CA4258">
        <w:t>,</w:t>
      </w:r>
      <w:r w:rsidRPr="003C03B5">
        <w:t xml:space="preserve"> transparency, accoun</w:t>
      </w:r>
      <w:r w:rsidRPr="00F009FE">
        <w:t xml:space="preserve">tability, </w:t>
      </w:r>
      <w:r>
        <w:t xml:space="preserve">(intergenerational) </w:t>
      </w:r>
      <w:r w:rsidRPr="00F009FE">
        <w:t>equity and non-discrimination need to guide global efforts to mitigate and adapt to</w:t>
      </w:r>
      <w:r w:rsidRPr="003C03B5">
        <w:t xml:space="preserve"> climate change. </w:t>
      </w:r>
      <w:r>
        <w:t xml:space="preserve"> </w:t>
      </w:r>
    </w:p>
    <w:p w14:paraId="625FB079" w14:textId="77777777" w:rsidR="009F78A8" w:rsidRDefault="009F78A8" w:rsidP="009F78A8">
      <w:pPr>
        <w:pStyle w:val="HChG"/>
      </w:pPr>
      <w:r w:rsidRPr="004F0D72">
        <w:rPr>
          <w:bCs/>
          <w:szCs w:val="24"/>
        </w:rPr>
        <w:tab/>
        <w:t>I.</w:t>
      </w:r>
      <w:r w:rsidRPr="004F0D72">
        <w:rPr>
          <w:bCs/>
          <w:szCs w:val="24"/>
        </w:rPr>
        <w:tab/>
      </w:r>
      <w:r>
        <w:t>Introduction</w:t>
      </w:r>
    </w:p>
    <w:p w14:paraId="41FD3D79" w14:textId="68D5B582" w:rsidR="00D2735B" w:rsidRDefault="009F78A8" w:rsidP="00D2735B">
      <w:pPr>
        <w:pStyle w:val="SingleTxtG"/>
      </w:pPr>
      <w:r>
        <w:rPr>
          <w:rFonts w:asciiTheme="majorBidi" w:hAnsiTheme="majorBidi" w:cstheme="majorBidi"/>
        </w:rPr>
        <w:t>6</w:t>
      </w:r>
      <w:r w:rsidRPr="000136D9">
        <w:rPr>
          <w:rFonts w:asciiTheme="majorBidi" w:hAnsiTheme="majorBidi" w:cstheme="majorBidi"/>
        </w:rPr>
        <w:t>.</w:t>
      </w:r>
      <w:r>
        <w:rPr>
          <w:rFonts w:asciiTheme="majorBidi" w:hAnsiTheme="majorBidi" w:cstheme="majorBidi"/>
        </w:rPr>
        <w:tab/>
      </w:r>
      <w:r w:rsidRPr="00371222">
        <w:t xml:space="preserve">So far, </w:t>
      </w:r>
      <w:proofErr w:type="gramStart"/>
      <w:r w:rsidRPr="00371222">
        <w:t>new</w:t>
      </w:r>
      <w:proofErr w:type="gramEnd"/>
      <w:r w:rsidRPr="00371222">
        <w:t xml:space="preserve"> and emerging technologies </w:t>
      </w:r>
      <w:r w:rsidRPr="009F78A8">
        <w:rPr>
          <w:lang w:val="en-US"/>
        </w:rPr>
        <w:t>intended</w:t>
      </w:r>
      <w:r w:rsidRPr="00371222">
        <w:t xml:space="preserve"> for climate protection have not been </w:t>
      </w:r>
      <w:r w:rsidRPr="007B6737">
        <w:t xml:space="preserve">extensively examined from the human rights angle. </w:t>
      </w:r>
      <w:r>
        <w:t>Human rights law</w:t>
      </w:r>
      <w:r w:rsidRPr="00A36A99">
        <w:t xml:space="preserve"> contains</w:t>
      </w:r>
      <w:r>
        <w:t>, however, norms</w:t>
      </w:r>
      <w:r w:rsidRPr="00A36A99">
        <w:t xml:space="preserve"> and principles that </w:t>
      </w:r>
      <w:r>
        <w:t>apply to</w:t>
      </w:r>
      <w:r w:rsidRPr="00A36A99">
        <w:t xml:space="preserve"> any new technological development or application</w:t>
      </w:r>
      <w:r>
        <w:t xml:space="preserve">, </w:t>
      </w:r>
      <w:r w:rsidR="00D2735B" w:rsidRPr="00A36A99">
        <w:lastRenderedPageBreak/>
        <w:t xml:space="preserve">particularly when they have the potential of producing large and long-lasting impacts on </w:t>
      </w:r>
      <w:r w:rsidR="00D2735B">
        <w:t>the enjoyment of human rights</w:t>
      </w:r>
      <w:r w:rsidR="00D2735B" w:rsidRPr="00A36A99">
        <w:t xml:space="preserve"> and </w:t>
      </w:r>
      <w:r w:rsidR="00D2735B">
        <w:t xml:space="preserve">on the </w:t>
      </w:r>
      <w:r w:rsidR="00D2735B" w:rsidRPr="00A36A99">
        <w:t xml:space="preserve">environment. </w:t>
      </w:r>
      <w:r w:rsidR="00D2735B">
        <w:t xml:space="preserve">This report is to </w:t>
      </w:r>
      <w:r w:rsidR="00D2735B" w:rsidRPr="00A36A99">
        <w:t xml:space="preserve">provide </w:t>
      </w:r>
      <w:r w:rsidR="00D2735B">
        <w:t xml:space="preserve">States and other interested stakeholders with </w:t>
      </w:r>
      <w:r w:rsidR="00D2735B" w:rsidRPr="00A36A99">
        <w:t xml:space="preserve">information useful </w:t>
      </w:r>
      <w:r w:rsidR="00D2735B">
        <w:t>for</w:t>
      </w:r>
      <w:r w:rsidR="00D2735B" w:rsidRPr="00A36A99">
        <w:t xml:space="preserve"> assessing such </w:t>
      </w:r>
      <w:r w:rsidR="00D2735B" w:rsidRPr="007B6737">
        <w:t>impacts</w:t>
      </w:r>
      <w:r w:rsidR="00D2735B">
        <w:t xml:space="preserve"> and preventing human rights harms. It seeks to clarify applicable human rights obligations </w:t>
      </w:r>
      <w:r w:rsidR="00D2735B" w:rsidRPr="007B6737">
        <w:t xml:space="preserve">to ensure that </w:t>
      </w:r>
      <w:r w:rsidR="00D2735B">
        <w:t xml:space="preserve">climate change </w:t>
      </w:r>
      <w:r w:rsidR="00D2735B" w:rsidRPr="007B6737">
        <w:t xml:space="preserve">responses and </w:t>
      </w:r>
      <w:r w:rsidR="00D2735B" w:rsidRPr="00034908">
        <w:t>measures are coherent and align with human rights</w:t>
      </w:r>
      <w:r w:rsidR="00D2735B">
        <w:t xml:space="preserve"> framework</w:t>
      </w:r>
      <w:r w:rsidR="00D2735B" w:rsidRPr="00034908">
        <w:t xml:space="preserve">. </w:t>
      </w:r>
      <w:r w:rsidR="00D2735B" w:rsidRPr="00A36A99">
        <w:t xml:space="preserve">A human </w:t>
      </w:r>
      <w:r w:rsidR="00002DB9" w:rsidRPr="00A36A99">
        <w:t>rights-based</w:t>
      </w:r>
      <w:r w:rsidR="00D2735B">
        <w:t xml:space="preserve"> approach</w:t>
      </w:r>
      <w:r w:rsidR="00D2735B" w:rsidRPr="00A36A99">
        <w:t xml:space="preserve"> helps to ensure </w:t>
      </w:r>
      <w:r w:rsidR="00D2735B">
        <w:t xml:space="preserve">that those </w:t>
      </w:r>
      <w:r w:rsidR="00D2735B" w:rsidRPr="00A36A99">
        <w:t xml:space="preserve">policies </w:t>
      </w:r>
      <w:r w:rsidR="00D2735B">
        <w:t xml:space="preserve">are not regressive in human rights terms and can effectively </w:t>
      </w:r>
      <w:r w:rsidR="00D2735B" w:rsidRPr="00A36A99">
        <w:t xml:space="preserve">improve the lives of </w:t>
      </w:r>
      <w:r w:rsidR="00D2735B">
        <w:t>all people including through the realization of the right to</w:t>
      </w:r>
      <w:r w:rsidR="00D2735B" w:rsidRPr="00A36A99">
        <w:t xml:space="preserve"> a clean, </w:t>
      </w:r>
      <w:proofErr w:type="gramStart"/>
      <w:r w:rsidR="00D2735B" w:rsidRPr="00A36A99">
        <w:t>healthy</w:t>
      </w:r>
      <w:proofErr w:type="gramEnd"/>
      <w:r w:rsidR="00D2735B" w:rsidRPr="00A36A99">
        <w:t xml:space="preserve"> and sustainable environment.</w:t>
      </w:r>
      <w:r w:rsidR="00D2735B" w:rsidRPr="00A36A99">
        <w:rPr>
          <w:rStyle w:val="FootnoteReference"/>
        </w:rPr>
        <w:footnoteReference w:id="8"/>
      </w:r>
      <w:r w:rsidR="00D2735B">
        <w:t xml:space="preserve"> </w:t>
      </w:r>
    </w:p>
    <w:p w14:paraId="2B2C1031" w14:textId="69A1213A" w:rsidR="00D2735B" w:rsidRDefault="00D2735B" w:rsidP="00D2735B">
      <w:pPr>
        <w:pStyle w:val="SingleTxtG"/>
        <w:rPr>
          <w:bCs/>
        </w:rPr>
      </w:pPr>
      <w:r>
        <w:rPr>
          <w:rFonts w:asciiTheme="majorBidi" w:hAnsiTheme="majorBidi" w:cstheme="majorBidi"/>
        </w:rPr>
        <w:t>7</w:t>
      </w:r>
      <w:r w:rsidRPr="00720376">
        <w:rPr>
          <w:rFonts w:asciiTheme="majorBidi" w:hAnsiTheme="majorBidi" w:cstheme="majorBidi"/>
        </w:rPr>
        <w:t>.</w:t>
      </w:r>
      <w:r>
        <w:rPr>
          <w:rFonts w:asciiTheme="majorBidi" w:hAnsiTheme="majorBidi" w:cstheme="majorBidi"/>
        </w:rPr>
        <w:tab/>
      </w:r>
      <w:r>
        <w:rPr>
          <w:rFonts w:asciiTheme="majorBidi" w:hAnsiTheme="majorBidi" w:cstheme="majorBidi"/>
          <w:lang w:val="en-US"/>
        </w:rPr>
        <w:t xml:space="preserve">NTCPs </w:t>
      </w:r>
      <w:r>
        <w:rPr>
          <w:rFonts w:asciiTheme="majorBidi" w:hAnsiTheme="majorBidi" w:cstheme="majorBidi"/>
        </w:rPr>
        <w:t>are</w:t>
      </w:r>
      <w:r w:rsidRPr="00E53B53">
        <w:rPr>
          <w:rFonts w:asciiTheme="majorBidi" w:hAnsiTheme="majorBidi" w:cstheme="majorBidi"/>
        </w:rPr>
        <w:t xml:space="preserve"> defined </w:t>
      </w:r>
      <w:r>
        <w:rPr>
          <w:rFonts w:asciiTheme="majorBidi" w:hAnsiTheme="majorBidi" w:cstheme="majorBidi"/>
        </w:rPr>
        <w:t xml:space="preserve">here </w:t>
      </w:r>
      <w:r w:rsidRPr="0077768D">
        <w:rPr>
          <w:rFonts w:asciiTheme="majorBidi" w:hAnsiTheme="majorBidi" w:cstheme="majorBidi"/>
        </w:rPr>
        <w:t>as technologies developed in the last two decades that fulfil the following characteristics: a) </w:t>
      </w:r>
      <w:r w:rsidRPr="0077768D">
        <w:rPr>
          <w:rFonts w:asciiTheme="majorBidi" w:hAnsiTheme="majorBidi" w:cstheme="majorBidi"/>
          <w:i/>
          <w:iCs/>
        </w:rPr>
        <w:t>purpose</w:t>
      </w:r>
      <w:r>
        <w:rPr>
          <w:rFonts w:asciiTheme="majorBidi" w:hAnsiTheme="majorBidi" w:cstheme="majorBidi"/>
          <w:i/>
          <w:iCs/>
          <w:lang w:val="en-US"/>
        </w:rPr>
        <w:t xml:space="preserve"> and intent</w:t>
      </w:r>
      <w:r w:rsidRPr="0077768D">
        <w:rPr>
          <w:rFonts w:asciiTheme="majorBidi" w:hAnsiTheme="majorBidi" w:cstheme="majorBidi"/>
        </w:rPr>
        <w:t xml:space="preserve">- </w:t>
      </w:r>
      <w:r>
        <w:rPr>
          <w:rFonts w:asciiTheme="majorBidi" w:hAnsiTheme="majorBidi" w:cstheme="majorBidi"/>
          <w:lang w:val="en-US"/>
        </w:rPr>
        <w:t xml:space="preserve">are </w:t>
      </w:r>
      <w:r w:rsidRPr="0077768D">
        <w:rPr>
          <w:rFonts w:asciiTheme="majorBidi" w:hAnsiTheme="majorBidi" w:cstheme="majorBidi"/>
        </w:rPr>
        <w:t xml:space="preserve">exclusively aimed at abating the </w:t>
      </w:r>
      <w:r w:rsidRPr="007E5D03">
        <w:rPr>
          <w:rFonts w:asciiTheme="majorBidi" w:hAnsiTheme="majorBidi" w:cstheme="majorBidi"/>
          <w:lang w:val="en-US"/>
        </w:rPr>
        <w:t xml:space="preserve">adverse </w:t>
      </w:r>
      <w:r w:rsidRPr="0077768D">
        <w:rPr>
          <w:rFonts w:asciiTheme="majorBidi" w:hAnsiTheme="majorBidi" w:cstheme="majorBidi"/>
        </w:rPr>
        <w:t xml:space="preserve">effects of climate change </w:t>
      </w:r>
      <w:r>
        <w:rPr>
          <w:rFonts w:asciiTheme="majorBidi" w:hAnsiTheme="majorBidi" w:cstheme="majorBidi"/>
          <w:bCs/>
          <w:lang w:val="en-US"/>
        </w:rPr>
        <w:t xml:space="preserve">and do </w:t>
      </w:r>
      <w:r w:rsidRPr="009356BF">
        <w:rPr>
          <w:rFonts w:asciiTheme="majorBidi" w:hAnsiTheme="majorBidi" w:cstheme="majorBidi"/>
          <w:bCs/>
          <w:lang w:val="en-US"/>
        </w:rPr>
        <w:t xml:space="preserve">not </w:t>
      </w:r>
      <w:r>
        <w:rPr>
          <w:rFonts w:asciiTheme="majorBidi" w:hAnsiTheme="majorBidi" w:cstheme="majorBidi"/>
          <w:bCs/>
          <w:lang w:val="en-US"/>
        </w:rPr>
        <w:t>serve for</w:t>
      </w:r>
      <w:r w:rsidRPr="009356BF">
        <w:rPr>
          <w:rFonts w:asciiTheme="majorBidi" w:hAnsiTheme="majorBidi" w:cstheme="majorBidi"/>
          <w:bCs/>
          <w:lang w:val="en-US"/>
        </w:rPr>
        <w:t xml:space="preserve"> energy </w:t>
      </w:r>
      <w:r>
        <w:rPr>
          <w:rFonts w:asciiTheme="majorBidi" w:hAnsiTheme="majorBidi" w:cstheme="majorBidi"/>
          <w:bCs/>
          <w:lang w:val="en-US"/>
        </w:rPr>
        <w:t xml:space="preserve">or goods </w:t>
      </w:r>
      <w:r w:rsidRPr="009356BF">
        <w:rPr>
          <w:rFonts w:asciiTheme="majorBidi" w:hAnsiTheme="majorBidi" w:cstheme="majorBidi"/>
          <w:bCs/>
          <w:lang w:val="en-US"/>
        </w:rPr>
        <w:t>production</w:t>
      </w:r>
      <w:r w:rsidRPr="0077768D">
        <w:rPr>
          <w:rFonts w:asciiTheme="majorBidi" w:hAnsiTheme="majorBidi" w:cstheme="majorBidi"/>
        </w:rPr>
        <w:t>; b) </w:t>
      </w:r>
      <w:r w:rsidRPr="0077768D">
        <w:rPr>
          <w:rFonts w:asciiTheme="majorBidi" w:hAnsiTheme="majorBidi" w:cstheme="majorBidi"/>
          <w:i/>
          <w:iCs/>
        </w:rPr>
        <w:t>scale</w:t>
      </w:r>
      <w:r w:rsidRPr="0077768D">
        <w:rPr>
          <w:rFonts w:asciiTheme="majorBidi" w:hAnsiTheme="majorBidi" w:cstheme="majorBidi"/>
        </w:rPr>
        <w:t xml:space="preserve">- </w:t>
      </w:r>
      <w:r w:rsidRPr="0077768D">
        <w:rPr>
          <w:rFonts w:asciiTheme="majorBidi" w:hAnsiTheme="majorBidi" w:cstheme="majorBidi"/>
          <w:lang w:val="en-US"/>
        </w:rPr>
        <w:t>have the hypothetical potential of altering the Earth’s planetary climate if implemented at scale</w:t>
      </w:r>
      <w:r>
        <w:rPr>
          <w:rFonts w:asciiTheme="majorBidi" w:hAnsiTheme="majorBidi" w:cstheme="majorBidi"/>
          <w:lang w:val="en-US"/>
        </w:rPr>
        <w:t>.</w:t>
      </w:r>
      <w:r>
        <w:rPr>
          <w:rFonts w:asciiTheme="majorBidi" w:hAnsiTheme="majorBidi" w:cstheme="majorBidi"/>
        </w:rPr>
        <w:t xml:space="preserve"> </w:t>
      </w:r>
      <w:r w:rsidRPr="007E5D03">
        <w:rPr>
          <w:rFonts w:asciiTheme="majorBidi" w:hAnsiTheme="majorBidi" w:cstheme="majorBidi"/>
          <w:lang w:val="en-US"/>
        </w:rPr>
        <w:t>This report</w:t>
      </w:r>
      <w:r>
        <w:rPr>
          <w:rFonts w:asciiTheme="majorBidi" w:hAnsiTheme="majorBidi" w:cstheme="majorBidi"/>
          <w:lang w:val="en-US"/>
        </w:rPr>
        <w:t xml:space="preserve"> primarily</w:t>
      </w:r>
      <w:r w:rsidRPr="001C417D">
        <w:rPr>
          <w:rFonts w:asciiTheme="majorBidi" w:hAnsiTheme="majorBidi" w:cstheme="majorBidi"/>
        </w:rPr>
        <w:t xml:space="preserve"> assess</w:t>
      </w:r>
      <w:r>
        <w:rPr>
          <w:rFonts w:asciiTheme="majorBidi" w:hAnsiTheme="majorBidi" w:cstheme="majorBidi"/>
        </w:rPr>
        <w:t>es</w:t>
      </w:r>
      <w:r w:rsidRPr="001C417D">
        <w:rPr>
          <w:rFonts w:asciiTheme="majorBidi" w:hAnsiTheme="majorBidi" w:cstheme="majorBidi"/>
        </w:rPr>
        <w:t xml:space="preserve"> human rights impacts </w:t>
      </w:r>
      <w:r w:rsidRPr="001C417D">
        <w:rPr>
          <w:rFonts w:asciiTheme="majorBidi" w:hAnsiTheme="majorBidi" w:cstheme="majorBidi"/>
          <w:lang w:val="en-US"/>
        </w:rPr>
        <w:t>of</w:t>
      </w:r>
      <w:r w:rsidRPr="001C417D">
        <w:rPr>
          <w:rFonts w:asciiTheme="majorBidi" w:hAnsiTheme="majorBidi" w:cstheme="majorBidi"/>
        </w:rPr>
        <w:t xml:space="preserve"> two general types</w:t>
      </w:r>
      <w:r w:rsidRPr="001C417D">
        <w:rPr>
          <w:rFonts w:asciiTheme="majorBidi" w:hAnsiTheme="majorBidi" w:cstheme="majorBidi"/>
          <w:lang w:val="en-US"/>
        </w:rPr>
        <w:t xml:space="preserve"> of geoengineering</w:t>
      </w:r>
      <w:r w:rsidRPr="001C417D">
        <w:rPr>
          <w:rFonts w:asciiTheme="majorBidi" w:hAnsiTheme="majorBidi" w:cstheme="majorBidi"/>
        </w:rPr>
        <w:t xml:space="preserve">: </w:t>
      </w:r>
      <w:r w:rsidRPr="007E5D03">
        <w:rPr>
          <w:rFonts w:asciiTheme="majorBidi" w:hAnsiTheme="majorBidi" w:cstheme="majorBidi"/>
          <w:lang w:val="en-US"/>
        </w:rPr>
        <w:t>c</w:t>
      </w:r>
      <w:r>
        <w:rPr>
          <w:rFonts w:asciiTheme="majorBidi" w:hAnsiTheme="majorBidi" w:cstheme="majorBidi"/>
          <w:lang w:val="en-US"/>
        </w:rPr>
        <w:t>arbon dioxide</w:t>
      </w:r>
      <w:r w:rsidRPr="001C417D">
        <w:rPr>
          <w:rFonts w:asciiTheme="majorBidi" w:hAnsiTheme="majorBidi" w:cstheme="majorBidi"/>
        </w:rPr>
        <w:t xml:space="preserve"> removal from atmosphere (CDR), and solar radiation modification (SRM).</w:t>
      </w:r>
      <w:r w:rsidRPr="001C417D">
        <w:rPr>
          <w:bCs/>
        </w:rPr>
        <w:t xml:space="preserve"> CDR methods that </w:t>
      </w:r>
      <w:r>
        <w:rPr>
          <w:bCs/>
        </w:rPr>
        <w:t xml:space="preserve">meet </w:t>
      </w:r>
      <w:r w:rsidRPr="001C417D">
        <w:rPr>
          <w:bCs/>
        </w:rPr>
        <w:t xml:space="preserve">the NTCP definition </w:t>
      </w:r>
      <w:proofErr w:type="gramStart"/>
      <w:r w:rsidRPr="001C417D">
        <w:rPr>
          <w:bCs/>
        </w:rPr>
        <w:t>are:</w:t>
      </w:r>
      <w:proofErr w:type="gramEnd"/>
      <w:r w:rsidRPr="001C417D">
        <w:rPr>
          <w:bCs/>
        </w:rPr>
        <w:t xml:space="preserve"> direct air capture, enhanced weathering, </w:t>
      </w:r>
      <w:r>
        <w:rPr>
          <w:bCs/>
        </w:rPr>
        <w:t xml:space="preserve">and </w:t>
      </w:r>
      <w:r w:rsidRPr="001C417D">
        <w:rPr>
          <w:bCs/>
        </w:rPr>
        <w:t xml:space="preserve">ocean fertilization. </w:t>
      </w:r>
      <w:r>
        <w:rPr>
          <w:lang w:val="en-US"/>
        </w:rPr>
        <w:t xml:space="preserve">The definition should not be considered binding as each single technology generates different risks to human rights and should be assessed individually, case by case. </w:t>
      </w:r>
      <w:r w:rsidRPr="005E4DFC">
        <w:rPr>
          <w:lang w:val="en-US"/>
        </w:rPr>
        <w:t>P</w:t>
      </w:r>
      <w:r w:rsidRPr="0077768D">
        <w:rPr>
          <w:lang w:val="en-US"/>
        </w:rPr>
        <w:t>otential n</w:t>
      </w:r>
      <w:proofErr w:type="spellStart"/>
      <w:r w:rsidRPr="0077768D">
        <w:t>ew</w:t>
      </w:r>
      <w:proofErr w:type="spellEnd"/>
      <w:r w:rsidRPr="0077768D">
        <w:t xml:space="preserve"> technologies beyond CDR, SRM and other geoengineering approaches exist to tackle climate change</w:t>
      </w:r>
      <w:r>
        <w:rPr>
          <w:lang w:val="en-US"/>
        </w:rPr>
        <w:t xml:space="preserve"> if</w:t>
      </w:r>
      <w:r w:rsidRPr="0077768D">
        <w:t xml:space="preserve"> using a broader definition of '</w:t>
      </w:r>
      <w:proofErr w:type="spellStart"/>
      <w:r w:rsidRPr="0077768D">
        <w:t>technolog</w:t>
      </w:r>
      <w:proofErr w:type="spellEnd"/>
      <w:r>
        <w:rPr>
          <w:lang w:val="en-US"/>
        </w:rPr>
        <w:t>y</w:t>
      </w:r>
      <w:r w:rsidRPr="0077768D">
        <w:t xml:space="preserve">' that does not exclude system change approaches towards a </w:t>
      </w:r>
      <w:proofErr w:type="gramStart"/>
      <w:r w:rsidRPr="0077768D">
        <w:t>zero waste</w:t>
      </w:r>
      <w:proofErr w:type="gramEnd"/>
      <w:r w:rsidRPr="0077768D">
        <w:t xml:space="preserve"> circular economy or agroecological transformation.</w:t>
      </w:r>
    </w:p>
    <w:p w14:paraId="5475FB58" w14:textId="77777777" w:rsidR="00D2735B" w:rsidRDefault="00D2735B" w:rsidP="00D2735B">
      <w:pPr>
        <w:pStyle w:val="SingleTxtG"/>
        <w:rPr>
          <w:rFonts w:asciiTheme="majorBidi" w:hAnsiTheme="majorBidi" w:cstheme="majorBidi"/>
          <w:bCs/>
          <w:lang w:val="en-US"/>
        </w:rPr>
      </w:pPr>
      <w:r>
        <w:rPr>
          <w:rFonts w:asciiTheme="majorBidi" w:hAnsiTheme="majorBidi" w:cstheme="majorBidi"/>
          <w:lang w:val="en-US"/>
        </w:rPr>
        <w:t>8.</w:t>
      </w:r>
      <w:r>
        <w:rPr>
          <w:rFonts w:asciiTheme="majorBidi" w:hAnsiTheme="majorBidi" w:cstheme="majorBidi"/>
          <w:lang w:val="en-US"/>
        </w:rPr>
        <w:tab/>
      </w:r>
      <w:r w:rsidRPr="001C417D">
        <w:rPr>
          <w:rFonts w:asciiTheme="majorBidi" w:hAnsiTheme="majorBidi" w:cstheme="majorBidi"/>
          <w:lang w:val="en-US"/>
        </w:rPr>
        <w:t>However,</w:t>
      </w:r>
      <w:r w:rsidRPr="001C417D">
        <w:rPr>
          <w:rFonts w:asciiTheme="majorBidi" w:hAnsiTheme="majorBidi" w:cstheme="majorBidi"/>
        </w:rPr>
        <w:t xml:space="preserve"> </w:t>
      </w:r>
      <w:proofErr w:type="spellStart"/>
      <w:proofErr w:type="gramStart"/>
      <w:r w:rsidRPr="001C417D">
        <w:rPr>
          <w:rFonts w:asciiTheme="majorBidi" w:hAnsiTheme="majorBidi" w:cstheme="majorBidi"/>
          <w:lang w:val="en-US"/>
        </w:rPr>
        <w:t>i</w:t>
      </w:r>
      <w:r w:rsidRPr="001C417D">
        <w:rPr>
          <w:rFonts w:asciiTheme="majorBidi" w:hAnsiTheme="majorBidi" w:cstheme="majorBidi"/>
        </w:rPr>
        <w:t>ndustrial</w:t>
      </w:r>
      <w:proofErr w:type="spellEnd"/>
      <w:proofErr w:type="gramEnd"/>
      <w:r w:rsidRPr="001C417D">
        <w:rPr>
          <w:rFonts w:asciiTheme="majorBidi" w:hAnsiTheme="majorBidi" w:cstheme="majorBidi"/>
        </w:rPr>
        <w:t xml:space="preserve"> or agricultural production with </w:t>
      </w:r>
      <w:r w:rsidRPr="001C417D">
        <w:rPr>
          <w:rFonts w:asciiTheme="majorBidi" w:hAnsiTheme="majorBidi" w:cstheme="majorBidi"/>
          <w:lang w:val="en-US"/>
        </w:rPr>
        <w:t>carbon capture and storage</w:t>
      </w:r>
      <w:r w:rsidRPr="001C417D">
        <w:rPr>
          <w:rFonts w:asciiTheme="majorBidi" w:hAnsiTheme="majorBidi" w:cstheme="majorBidi"/>
        </w:rPr>
        <w:t xml:space="preserve"> or direct</w:t>
      </w:r>
      <w:r w:rsidRPr="0077768D">
        <w:rPr>
          <w:rFonts w:asciiTheme="majorBidi" w:hAnsiTheme="majorBidi" w:cstheme="majorBidi"/>
        </w:rPr>
        <w:t xml:space="preserve"> air capture with enhanced oil recovery cannot be considered protective for the climate by </w:t>
      </w:r>
      <w:r>
        <w:rPr>
          <w:rFonts w:asciiTheme="majorBidi" w:hAnsiTheme="majorBidi" w:cstheme="majorBidi"/>
        </w:rPr>
        <w:t>definition</w:t>
      </w:r>
      <w:r w:rsidRPr="007E5D03">
        <w:rPr>
          <w:rFonts w:asciiTheme="majorBidi" w:hAnsiTheme="majorBidi" w:cstheme="majorBidi"/>
          <w:lang w:val="en-US"/>
        </w:rPr>
        <w:t xml:space="preserve">, since </w:t>
      </w:r>
      <w:r>
        <w:rPr>
          <w:rFonts w:asciiTheme="majorBidi" w:hAnsiTheme="majorBidi" w:cstheme="majorBidi"/>
          <w:lang w:val="en-US"/>
        </w:rPr>
        <w:t>they are not exclusively deployed to produce negative emissions</w:t>
      </w:r>
      <w:r w:rsidRPr="0077768D">
        <w:rPr>
          <w:rFonts w:asciiTheme="majorBidi" w:hAnsiTheme="majorBidi" w:cstheme="majorBidi"/>
        </w:rPr>
        <w:t xml:space="preserve">. </w:t>
      </w:r>
      <w:r>
        <w:rPr>
          <w:rFonts w:asciiTheme="majorBidi" w:hAnsiTheme="majorBidi" w:cstheme="majorBidi"/>
        </w:rPr>
        <w:t xml:space="preserve">Despite their potential for being transformative, </w:t>
      </w:r>
      <w:r>
        <w:rPr>
          <w:rFonts w:asciiTheme="majorBidi" w:hAnsiTheme="majorBidi" w:cstheme="majorBidi"/>
          <w:lang w:val="en-US"/>
        </w:rPr>
        <w:t xml:space="preserve">this study does not assess nature-based CDRs, including </w:t>
      </w:r>
      <w:proofErr w:type="spellStart"/>
      <w:r>
        <w:rPr>
          <w:rFonts w:asciiTheme="majorBidi" w:hAnsiTheme="majorBidi" w:cstheme="majorBidi"/>
          <w:lang w:val="en-US"/>
        </w:rPr>
        <w:t>agro</w:t>
      </w:r>
      <w:proofErr w:type="spellEnd"/>
      <w:r>
        <w:rPr>
          <w:rFonts w:asciiTheme="majorBidi" w:hAnsiTheme="majorBidi" w:cstheme="majorBidi"/>
          <w:lang w:val="en-US"/>
        </w:rPr>
        <w:t xml:space="preserve">-ecological techniques and circular economy approaches, which are not considered new. </w:t>
      </w:r>
      <w:r>
        <w:rPr>
          <w:bCs/>
        </w:rPr>
        <w:t>Widely used bioenergy with carbon capture and storage (BECCS), a technology posing grave risks to human rights, also falls outside the definition of NTCPs because it is neither novel nor an energy production method.</w:t>
      </w:r>
      <w:r>
        <w:rPr>
          <w:rStyle w:val="FootnoteReference"/>
          <w:bCs/>
        </w:rPr>
        <w:footnoteReference w:id="9"/>
      </w:r>
      <w:r>
        <w:rPr>
          <w:rFonts w:asciiTheme="majorBidi" w:hAnsiTheme="majorBidi" w:cstheme="majorBidi"/>
          <w:bCs/>
          <w:lang w:val="en-US"/>
        </w:rPr>
        <w:t xml:space="preserve"> However, the findings of this report apply to BECCS as well.</w:t>
      </w:r>
    </w:p>
    <w:p w14:paraId="4D384D1D" w14:textId="77777777" w:rsidR="00D2735B" w:rsidRPr="00871001" w:rsidRDefault="00D2735B" w:rsidP="00D2735B">
      <w:pPr>
        <w:pStyle w:val="SingleTxtG"/>
        <w:rPr>
          <w:rFonts w:asciiTheme="majorBidi" w:hAnsiTheme="majorBidi" w:cstheme="majorBidi"/>
        </w:rPr>
      </w:pPr>
      <w:r>
        <w:rPr>
          <w:rFonts w:asciiTheme="majorBidi" w:hAnsiTheme="majorBidi" w:cstheme="majorBidi"/>
          <w:lang w:val="en-US"/>
        </w:rPr>
        <w:t>9.</w:t>
      </w:r>
      <w:r>
        <w:rPr>
          <w:lang w:val="en-US"/>
        </w:rPr>
        <w:tab/>
      </w:r>
      <w:r w:rsidRPr="00E53B53">
        <w:t xml:space="preserve">If </w:t>
      </w:r>
      <w:r w:rsidRPr="00D9064A">
        <w:rPr>
          <w:lang w:val="en-US"/>
        </w:rPr>
        <w:t xml:space="preserve">GHG </w:t>
      </w:r>
      <w:r w:rsidRPr="00832BB0">
        <w:rPr>
          <w:lang w:val="en-US"/>
        </w:rPr>
        <w:t>emissions</w:t>
      </w:r>
      <w:r w:rsidRPr="00E53B53">
        <w:t xml:space="preserve"> are not cut and some of the worst future scenarios are realized, </w:t>
      </w:r>
      <w:r>
        <w:rPr>
          <w:lang w:val="en-US"/>
        </w:rPr>
        <w:t xml:space="preserve">interventionist SRM technologies are being researched with the premise that, by increasing the Earth’s reflectivity, they could lower global average temperature. However, SRM do not act on the core problem of GHG emissions, and in that are fundamentally different from CDR. </w:t>
      </w:r>
      <w:r>
        <w:rPr>
          <w:bCs/>
        </w:rPr>
        <w:t xml:space="preserve">NTCPs’ modes of operation and impact on human rights are elucidated in </w:t>
      </w:r>
      <w:r w:rsidRPr="00002DB9">
        <w:rPr>
          <w:bCs/>
        </w:rPr>
        <w:t>Annex 1</w:t>
      </w:r>
      <w:r>
        <w:rPr>
          <w:bCs/>
        </w:rPr>
        <w:t>.</w:t>
      </w:r>
    </w:p>
    <w:p w14:paraId="03F32BD4" w14:textId="26FDA025" w:rsidR="00D2735B" w:rsidRPr="003E0B41" w:rsidRDefault="00D2735B" w:rsidP="00D2735B">
      <w:pPr>
        <w:pStyle w:val="SingleTxtG"/>
        <w:rPr>
          <w:rFonts w:asciiTheme="majorBidi" w:hAnsiTheme="majorBidi" w:cstheme="majorBidi"/>
          <w:lang w:val="en-US"/>
        </w:rPr>
      </w:pPr>
      <w:r>
        <w:rPr>
          <w:rFonts w:asciiTheme="majorBidi" w:hAnsiTheme="majorBidi" w:cstheme="majorBidi"/>
          <w:lang w:val="en-US"/>
        </w:rPr>
        <w:t>10.</w:t>
      </w:r>
      <w:r>
        <w:rPr>
          <w:rFonts w:asciiTheme="majorBidi" w:hAnsiTheme="majorBidi" w:cstheme="majorBidi"/>
          <w:lang w:val="en-US"/>
        </w:rPr>
        <w:tab/>
      </w:r>
      <w:r w:rsidRPr="003E0B41">
        <w:rPr>
          <w:rFonts w:asciiTheme="majorBidi" w:hAnsiTheme="majorBidi" w:cstheme="majorBidi"/>
          <w:lang w:val="en-US"/>
        </w:rPr>
        <w:t>At their current stage in development NTCPs cannot</w:t>
      </w:r>
      <w:r w:rsidRPr="003E0B41">
        <w:rPr>
          <w:rFonts w:asciiTheme="majorBidi" w:hAnsiTheme="majorBidi" w:cstheme="majorBidi"/>
        </w:rPr>
        <w:t xml:space="preserve"> be considered </w:t>
      </w:r>
      <w:r w:rsidRPr="003E0B41">
        <w:rPr>
          <w:rFonts w:asciiTheme="majorBidi" w:hAnsiTheme="majorBidi" w:cstheme="majorBidi"/>
          <w:lang w:val="en-US"/>
        </w:rPr>
        <w:t xml:space="preserve">viable </w:t>
      </w:r>
      <w:r w:rsidRPr="003E0B41">
        <w:rPr>
          <w:rFonts w:asciiTheme="majorBidi" w:hAnsiTheme="majorBidi" w:cstheme="majorBidi"/>
        </w:rPr>
        <w:t xml:space="preserve">mitigation </w:t>
      </w:r>
      <w:r w:rsidRPr="003E0B41">
        <w:rPr>
          <w:rFonts w:asciiTheme="majorBidi" w:hAnsiTheme="majorBidi" w:cstheme="majorBidi"/>
          <w:lang w:val="en-US"/>
        </w:rPr>
        <w:t xml:space="preserve">or adaptation </w:t>
      </w:r>
      <w:r w:rsidRPr="003E0B41">
        <w:rPr>
          <w:rFonts w:asciiTheme="majorBidi" w:hAnsiTheme="majorBidi" w:cstheme="majorBidi"/>
        </w:rPr>
        <w:t>measures.</w:t>
      </w:r>
      <w:r w:rsidRPr="003E0B41">
        <w:rPr>
          <w:rFonts w:asciiTheme="majorBidi" w:hAnsiTheme="majorBidi" w:cstheme="majorBidi"/>
          <w:vertAlign w:val="superscript"/>
        </w:rPr>
        <w:footnoteReference w:id="10"/>
      </w:r>
      <w:r w:rsidRPr="003E0B41">
        <w:rPr>
          <w:rFonts w:asciiTheme="majorBidi" w:hAnsiTheme="majorBidi" w:cstheme="majorBidi"/>
          <w:lang w:val="en-US"/>
        </w:rPr>
        <w:t xml:space="preserve"> </w:t>
      </w:r>
      <w:r>
        <w:rPr>
          <w:rFonts w:asciiTheme="majorBidi" w:hAnsiTheme="majorBidi" w:cstheme="majorBidi"/>
          <w:lang w:val="en-US"/>
        </w:rPr>
        <w:t>M</w:t>
      </w:r>
      <w:proofErr w:type="spellStart"/>
      <w:r w:rsidRPr="001C417D">
        <w:rPr>
          <w:rFonts w:asciiTheme="majorBidi" w:hAnsiTheme="majorBidi" w:cstheme="majorBidi"/>
        </w:rPr>
        <w:t>ost</w:t>
      </w:r>
      <w:proofErr w:type="spellEnd"/>
      <w:r w:rsidRPr="001C417D">
        <w:rPr>
          <w:rFonts w:asciiTheme="majorBidi" w:hAnsiTheme="majorBidi" w:cstheme="majorBidi"/>
        </w:rPr>
        <w:t xml:space="preserve"> geoengineering technologies remain unproven, unavailable, and </w:t>
      </w:r>
      <w:r w:rsidRPr="001C417D">
        <w:rPr>
          <w:rFonts w:asciiTheme="majorBidi" w:hAnsiTheme="majorBidi" w:cstheme="majorBidi"/>
          <w:lang w:val="en-US"/>
        </w:rPr>
        <w:t>u</w:t>
      </w:r>
      <w:proofErr w:type="spellStart"/>
      <w:r w:rsidRPr="001C417D">
        <w:rPr>
          <w:rFonts w:asciiTheme="majorBidi" w:hAnsiTheme="majorBidi" w:cstheme="majorBidi"/>
        </w:rPr>
        <w:t>nfeasible</w:t>
      </w:r>
      <w:proofErr w:type="spellEnd"/>
      <w:r w:rsidRPr="001C417D">
        <w:rPr>
          <w:rFonts w:asciiTheme="majorBidi" w:hAnsiTheme="majorBidi" w:cstheme="majorBidi"/>
        </w:rPr>
        <w:t xml:space="preserve"> at scale.</w:t>
      </w:r>
      <w:r w:rsidRPr="001C417D">
        <w:rPr>
          <w:rFonts w:asciiTheme="majorBidi" w:hAnsiTheme="majorBidi" w:cstheme="majorBidi"/>
          <w:lang w:val="en-US"/>
        </w:rPr>
        <w:t xml:space="preserve"> Since </w:t>
      </w:r>
      <w:r>
        <w:rPr>
          <w:rFonts w:asciiTheme="majorBidi" w:hAnsiTheme="majorBidi" w:cstheme="majorBidi"/>
        </w:rPr>
        <w:t>hypothetical</w:t>
      </w:r>
      <w:r w:rsidRPr="001C417D">
        <w:rPr>
          <w:rFonts w:asciiTheme="majorBidi" w:hAnsiTheme="majorBidi" w:cstheme="majorBidi"/>
        </w:rPr>
        <w:t xml:space="preserve"> benefits of these technologies are still to be </w:t>
      </w:r>
      <w:r w:rsidRPr="001C417D">
        <w:rPr>
          <w:rFonts w:asciiTheme="majorBidi" w:hAnsiTheme="majorBidi" w:cstheme="majorBidi"/>
          <w:lang w:val="en-US"/>
        </w:rPr>
        <w:t xml:space="preserve">practically and </w:t>
      </w:r>
      <w:r w:rsidRPr="001C417D">
        <w:rPr>
          <w:rFonts w:asciiTheme="majorBidi" w:hAnsiTheme="majorBidi" w:cstheme="majorBidi"/>
        </w:rPr>
        <w:t>scientifically proven, they are considered “speculative”</w:t>
      </w:r>
      <w:r w:rsidRPr="001C417D">
        <w:rPr>
          <w:rFonts w:asciiTheme="majorBidi" w:hAnsiTheme="majorBidi" w:cstheme="majorBidi"/>
          <w:lang w:val="en-US"/>
        </w:rPr>
        <w:t xml:space="preserve">. </w:t>
      </w:r>
      <w:r w:rsidRPr="001C417D">
        <w:rPr>
          <w:rFonts w:asciiTheme="majorBidi" w:hAnsiTheme="majorBidi" w:cstheme="majorBidi"/>
        </w:rPr>
        <w:t xml:space="preserve">NTCPs, as all other geoengineering </w:t>
      </w:r>
      <w:r w:rsidRPr="006C1729">
        <w:rPr>
          <w:rFonts w:asciiTheme="majorBidi" w:hAnsiTheme="majorBidi" w:cstheme="majorBidi"/>
        </w:rPr>
        <w:t>technologies with the potential exception of some nature-based solutions, currently have no</w:t>
      </w:r>
      <w:r w:rsidRPr="006C1729">
        <w:rPr>
          <w:rFonts w:asciiTheme="majorBidi" w:hAnsiTheme="majorBidi" w:cstheme="majorBidi"/>
          <w:lang w:val="en-US"/>
        </w:rPr>
        <w:t xml:space="preserve"> negative emission impact, as they all increase CO</w:t>
      </w:r>
      <w:r w:rsidRPr="006C1729">
        <w:rPr>
          <w:rFonts w:asciiTheme="majorBidi" w:hAnsiTheme="majorBidi" w:cstheme="majorBidi"/>
          <w:vertAlign w:val="subscript"/>
          <w:lang w:val="en-US"/>
        </w:rPr>
        <w:t>2</w:t>
      </w:r>
      <w:r w:rsidRPr="006C1729">
        <w:rPr>
          <w:rFonts w:asciiTheme="majorBidi" w:hAnsiTheme="majorBidi" w:cstheme="majorBidi"/>
          <w:lang w:val="en-US"/>
        </w:rPr>
        <w:t xml:space="preserve"> in the system</w:t>
      </w:r>
      <w:r w:rsidRPr="006C1729">
        <w:rPr>
          <w:rFonts w:asciiTheme="majorBidi" w:hAnsiTheme="majorBidi" w:cstheme="majorBidi"/>
          <w:bCs/>
          <w:lang w:val="en-US"/>
        </w:rPr>
        <w:t xml:space="preserve"> </w:t>
      </w:r>
      <w:r w:rsidRPr="006C1729">
        <w:rPr>
          <w:rFonts w:asciiTheme="majorBidi" w:hAnsiTheme="majorBidi" w:cstheme="majorBidi"/>
          <w:lang w:val="en-US"/>
        </w:rPr>
        <w:t>if the overall emission process of the relevant facilities</w:t>
      </w:r>
      <w:r>
        <w:rPr>
          <w:rFonts w:asciiTheme="majorBidi" w:hAnsiTheme="majorBidi" w:cstheme="majorBidi"/>
          <w:lang w:val="en-US"/>
        </w:rPr>
        <w:t xml:space="preserve"> construction and functioning is </w:t>
      </w:r>
      <w:proofErr w:type="gramStart"/>
      <w:r>
        <w:rPr>
          <w:rFonts w:asciiTheme="majorBidi" w:hAnsiTheme="majorBidi" w:cstheme="majorBidi"/>
          <w:lang w:val="en-US"/>
        </w:rPr>
        <w:t>taken into account</w:t>
      </w:r>
      <w:proofErr w:type="gramEnd"/>
      <w:r w:rsidRPr="001C417D">
        <w:rPr>
          <w:rFonts w:asciiTheme="majorBidi" w:hAnsiTheme="majorBidi" w:cstheme="majorBidi"/>
          <w:bCs/>
          <w:lang w:val="en-US"/>
        </w:rPr>
        <w:t xml:space="preserve">. </w:t>
      </w:r>
      <w:r>
        <w:rPr>
          <w:lang w:val="en-US"/>
        </w:rPr>
        <w:t xml:space="preserve">Uncertainty and potential harms from SRM NTCPs are still much greater than CDR. </w:t>
      </w:r>
    </w:p>
    <w:p w14:paraId="22E512C6" w14:textId="6AF5838E" w:rsidR="00D2735B" w:rsidRDefault="00D2735B" w:rsidP="00D2735B">
      <w:pPr>
        <w:pStyle w:val="SingleTxtG"/>
        <w:rPr>
          <w:rFonts w:asciiTheme="majorBidi" w:hAnsiTheme="majorBidi" w:cstheme="majorBidi"/>
          <w:lang w:val="en-US"/>
        </w:rPr>
      </w:pPr>
      <w:r>
        <w:rPr>
          <w:rFonts w:asciiTheme="majorBidi" w:hAnsiTheme="majorBidi" w:cstheme="majorBidi"/>
        </w:rPr>
        <w:t>11.</w:t>
      </w:r>
      <w:r>
        <w:rPr>
          <w:rFonts w:asciiTheme="majorBidi" w:hAnsiTheme="majorBidi" w:cstheme="majorBidi"/>
        </w:rPr>
        <w:tab/>
        <w:t>State Parties to the Paris Agreement agreed to hold the increase in global average temperature, caused by GHG emissions, to below 2</w:t>
      </w:r>
      <w:r w:rsidRPr="00873A37">
        <w:rPr>
          <w:rFonts w:asciiTheme="majorBidi" w:hAnsiTheme="majorBidi" w:cstheme="majorBidi"/>
          <w:vertAlign w:val="superscript"/>
        </w:rPr>
        <w:t>o</w:t>
      </w:r>
      <w:r>
        <w:rPr>
          <w:rFonts w:asciiTheme="majorBidi" w:hAnsiTheme="majorBidi" w:cstheme="majorBidi"/>
        </w:rPr>
        <w:t>C above pre-industrial levels and pursue efforts to limit it to 1.5°C. There is an increasing consensus, aligned with the best available science, that the higher ambition target of 1.5°C must be reached to prevent the worst impacts of climate change. T</w:t>
      </w:r>
      <w:r w:rsidRPr="00477980">
        <w:rPr>
          <w:rFonts w:asciiTheme="majorBidi" w:hAnsiTheme="majorBidi" w:cstheme="majorBidi"/>
        </w:rPr>
        <w:t>ime is key</w:t>
      </w:r>
      <w:r>
        <w:rPr>
          <w:rFonts w:asciiTheme="majorBidi" w:hAnsiTheme="majorBidi" w:cstheme="majorBidi"/>
        </w:rPr>
        <w:t xml:space="preserve"> to </w:t>
      </w:r>
      <w:r w:rsidRPr="00873A37">
        <w:rPr>
          <w:rFonts w:asciiTheme="majorBidi" w:hAnsiTheme="majorBidi" w:cstheme="majorBidi"/>
        </w:rPr>
        <w:t>achieve it,</w:t>
      </w:r>
      <w:r w:rsidRPr="00873A37" w:rsidDel="00871001">
        <w:rPr>
          <w:rFonts w:asciiTheme="majorBidi" w:hAnsiTheme="majorBidi" w:cstheme="majorBidi"/>
        </w:rPr>
        <w:t xml:space="preserve"> </w:t>
      </w:r>
      <w:r w:rsidRPr="00873A37">
        <w:rPr>
          <w:rFonts w:asciiTheme="majorBidi" w:hAnsiTheme="majorBidi" w:cstheme="majorBidi"/>
        </w:rPr>
        <w:t xml:space="preserve">because </w:t>
      </w:r>
      <w:r w:rsidRPr="00873A37">
        <w:rPr>
          <w:rFonts w:asciiTheme="majorBidi" w:hAnsiTheme="majorBidi" w:cstheme="majorBidi"/>
          <w:lang w:val="en-US"/>
        </w:rPr>
        <w:t>t</w:t>
      </w:r>
      <w:r w:rsidRPr="00873A37">
        <w:rPr>
          <w:rFonts w:asciiTheme="majorBidi" w:hAnsiTheme="majorBidi" w:cstheme="majorBidi"/>
        </w:rPr>
        <w:t xml:space="preserve">here is a </w:t>
      </w:r>
      <w:r w:rsidRPr="00873A37">
        <w:rPr>
          <w:rFonts w:asciiTheme="majorBidi" w:hAnsiTheme="majorBidi" w:cstheme="majorBidi"/>
          <w:lang w:val="en-US"/>
        </w:rPr>
        <w:t>“</w:t>
      </w:r>
      <w:r w:rsidRPr="00873A37">
        <w:rPr>
          <w:rFonts w:asciiTheme="majorBidi" w:hAnsiTheme="majorBidi" w:cstheme="majorBidi"/>
        </w:rPr>
        <w:t>rapidly closing window of opportunity to secure a liveable and sustainable future for all</w:t>
      </w:r>
      <w:r w:rsidRPr="00873A37">
        <w:rPr>
          <w:rFonts w:asciiTheme="majorBidi" w:hAnsiTheme="majorBidi" w:cstheme="majorBidi"/>
          <w:lang w:val="en-US"/>
        </w:rPr>
        <w:t>”</w:t>
      </w:r>
      <w:r w:rsidRPr="00873A37">
        <w:rPr>
          <w:rFonts w:asciiTheme="majorBidi" w:hAnsiTheme="majorBidi" w:cstheme="majorBidi"/>
        </w:rPr>
        <w:t xml:space="preserve">, </w:t>
      </w:r>
      <w:r w:rsidRPr="00873A37">
        <w:rPr>
          <w:rFonts w:asciiTheme="majorBidi" w:hAnsiTheme="majorBidi" w:cstheme="majorBidi"/>
          <w:lang w:val="en-US"/>
        </w:rPr>
        <w:t>as elucidated in the IPCC 6</w:t>
      </w:r>
      <w:r w:rsidRPr="00873A37">
        <w:rPr>
          <w:rFonts w:asciiTheme="majorBidi" w:hAnsiTheme="majorBidi" w:cstheme="majorBidi"/>
          <w:vertAlign w:val="superscript"/>
          <w:lang w:val="en-US"/>
        </w:rPr>
        <w:t>th</w:t>
      </w:r>
      <w:r w:rsidRPr="00873A37">
        <w:rPr>
          <w:rFonts w:asciiTheme="majorBidi" w:hAnsiTheme="majorBidi" w:cstheme="majorBidi"/>
          <w:lang w:val="en-US"/>
        </w:rPr>
        <w:t xml:space="preserve"> </w:t>
      </w:r>
      <w:r w:rsidRPr="00873A37">
        <w:rPr>
          <w:rFonts w:asciiTheme="majorBidi" w:hAnsiTheme="majorBidi" w:cstheme="majorBidi"/>
          <w:lang w:val="en-US"/>
        </w:rPr>
        <w:lastRenderedPageBreak/>
        <w:t>assessment report.</w:t>
      </w:r>
      <w:r w:rsidRPr="00873A37">
        <w:rPr>
          <w:rFonts w:asciiTheme="majorBidi" w:hAnsiTheme="majorBidi" w:cstheme="majorBidi"/>
        </w:rPr>
        <w:t xml:space="preserve"> </w:t>
      </w:r>
      <w:r>
        <w:rPr>
          <w:rFonts w:asciiTheme="majorBidi" w:hAnsiTheme="majorBidi" w:cstheme="majorBidi"/>
          <w:bCs/>
          <w:lang w:val="en-US"/>
        </w:rPr>
        <w:t>GHG e</w:t>
      </w:r>
      <w:r w:rsidRPr="00873A37">
        <w:rPr>
          <w:rFonts w:asciiTheme="majorBidi" w:hAnsiTheme="majorBidi" w:cstheme="majorBidi"/>
          <w:bCs/>
          <w:lang w:val="en-US"/>
        </w:rPr>
        <w:t>mission</w:t>
      </w:r>
      <w:r>
        <w:rPr>
          <w:rFonts w:asciiTheme="majorBidi" w:hAnsiTheme="majorBidi" w:cstheme="majorBidi"/>
          <w:bCs/>
          <w:lang w:val="en-US"/>
        </w:rPr>
        <w:t>s</w:t>
      </w:r>
      <w:r w:rsidRPr="00873A37">
        <w:rPr>
          <w:rFonts w:asciiTheme="majorBidi" w:hAnsiTheme="majorBidi" w:cstheme="majorBidi"/>
          <w:bCs/>
          <w:lang w:val="en-US"/>
        </w:rPr>
        <w:t xml:space="preserve"> reductions is the only scientifically and logically certain way of coming close to achieving “real zero emissions”. This term is advocated for by several civil society organizations because technologies to remove CO</w:t>
      </w:r>
      <w:r w:rsidRPr="00873A37">
        <w:rPr>
          <w:rFonts w:asciiTheme="majorBidi" w:hAnsiTheme="majorBidi" w:cstheme="majorBidi"/>
          <w:bCs/>
          <w:vertAlign w:val="subscript"/>
          <w:lang w:val="en-US"/>
        </w:rPr>
        <w:t>2</w:t>
      </w:r>
      <w:r w:rsidRPr="00873A37">
        <w:rPr>
          <w:rFonts w:asciiTheme="majorBidi" w:hAnsiTheme="majorBidi" w:cstheme="majorBidi"/>
          <w:bCs/>
          <w:lang w:val="en-US"/>
        </w:rPr>
        <w:t xml:space="preserve"> from the planetary system are currently not only insufficiently developed, inefficient and financially unsustainable but may also be used as </w:t>
      </w:r>
      <w:r>
        <w:rPr>
          <w:rFonts w:asciiTheme="majorBidi" w:hAnsiTheme="majorBidi" w:cstheme="majorBidi"/>
          <w:bCs/>
          <w:lang w:val="en-US"/>
        </w:rPr>
        <w:t xml:space="preserve">an </w:t>
      </w:r>
      <w:r w:rsidRPr="00873A37">
        <w:rPr>
          <w:rFonts w:asciiTheme="majorBidi" w:hAnsiTheme="majorBidi" w:cstheme="majorBidi"/>
          <w:bCs/>
          <w:lang w:val="en-US"/>
        </w:rPr>
        <w:t>excuse not to cut emissions</w:t>
      </w:r>
      <w:r w:rsidRPr="00873A37">
        <w:rPr>
          <w:rStyle w:val="FootnoteReference"/>
          <w:rFonts w:asciiTheme="majorBidi" w:hAnsiTheme="majorBidi" w:cstheme="majorBidi"/>
          <w:bCs/>
          <w:lang w:val="en-US"/>
        </w:rPr>
        <w:footnoteReference w:id="11"/>
      </w:r>
      <w:r w:rsidRPr="00873A37">
        <w:rPr>
          <w:rFonts w:asciiTheme="majorBidi" w:hAnsiTheme="majorBidi" w:cstheme="majorBidi"/>
          <w:bCs/>
          <w:lang w:val="en-US"/>
        </w:rPr>
        <w:t>.</w:t>
      </w:r>
    </w:p>
    <w:p w14:paraId="490DF698" w14:textId="67C4CFCD" w:rsidR="00D2735B" w:rsidRDefault="00D2735B" w:rsidP="00D2735B">
      <w:pPr>
        <w:pStyle w:val="SingleTxtG"/>
        <w:rPr>
          <w:rFonts w:asciiTheme="majorBidi" w:hAnsiTheme="majorBidi" w:cstheme="majorBidi"/>
          <w:lang w:val="en-US"/>
        </w:rPr>
      </w:pPr>
      <w:r w:rsidRPr="006F2597">
        <w:rPr>
          <w:rFonts w:asciiTheme="majorBidi" w:hAnsiTheme="majorBidi" w:cstheme="majorBidi"/>
        </w:rPr>
        <w:t>1</w:t>
      </w:r>
      <w:r>
        <w:rPr>
          <w:rFonts w:asciiTheme="majorBidi" w:hAnsiTheme="majorBidi" w:cstheme="majorBidi"/>
        </w:rPr>
        <w:t>2</w:t>
      </w:r>
      <w:r w:rsidRPr="006F2597">
        <w:rPr>
          <w:rFonts w:asciiTheme="majorBidi" w:hAnsiTheme="majorBidi" w:cstheme="majorBidi"/>
        </w:rPr>
        <w:t>.</w:t>
      </w:r>
      <w:r w:rsidRPr="006F2597">
        <w:rPr>
          <w:rFonts w:asciiTheme="majorBidi" w:hAnsiTheme="majorBidi" w:cstheme="majorBidi"/>
        </w:rPr>
        <w:tab/>
      </w:r>
      <w:r>
        <w:rPr>
          <w:rFonts w:asciiTheme="majorBidi" w:hAnsiTheme="majorBidi" w:cstheme="majorBidi"/>
          <w:lang w:val="en-US"/>
        </w:rPr>
        <w:t>One of the gravest risks that geoengineering technologies</w:t>
      </w:r>
      <w:r w:rsidRPr="00F11463">
        <w:rPr>
          <w:rFonts w:asciiTheme="majorBidi" w:hAnsiTheme="majorBidi" w:cstheme="majorBidi"/>
          <w:lang w:val="en-US"/>
        </w:rPr>
        <w:t xml:space="preserve"> </w:t>
      </w:r>
      <w:r>
        <w:rPr>
          <w:rFonts w:asciiTheme="majorBidi" w:hAnsiTheme="majorBidi" w:cstheme="majorBidi"/>
          <w:lang w:val="en-US"/>
        </w:rPr>
        <w:t xml:space="preserve">pose </w:t>
      </w:r>
      <w:r w:rsidRPr="00F11463">
        <w:rPr>
          <w:rFonts w:asciiTheme="majorBidi" w:hAnsiTheme="majorBidi" w:cstheme="majorBidi"/>
          <w:lang w:val="en-US"/>
        </w:rPr>
        <w:t>is emissions cut deterrence</w:t>
      </w:r>
      <w:r>
        <w:rPr>
          <w:rFonts w:asciiTheme="majorBidi" w:hAnsiTheme="majorBidi" w:cstheme="majorBidi"/>
          <w:lang w:val="en-US"/>
        </w:rPr>
        <w:t xml:space="preserve"> (</w:t>
      </w:r>
      <w:r w:rsidRPr="00F11463">
        <w:rPr>
          <w:rFonts w:asciiTheme="majorBidi" w:hAnsiTheme="majorBidi" w:cstheme="majorBidi"/>
          <w:lang w:val="en-US"/>
        </w:rPr>
        <w:t>sometimes called “moral hazard</w:t>
      </w:r>
      <w:r>
        <w:rPr>
          <w:rFonts w:asciiTheme="majorBidi" w:hAnsiTheme="majorBidi" w:cstheme="majorBidi"/>
          <w:lang w:val="en-US"/>
        </w:rPr>
        <w:t xml:space="preserve"> risk</w:t>
      </w:r>
      <w:r w:rsidRPr="00F11463">
        <w:rPr>
          <w:rFonts w:asciiTheme="majorBidi" w:hAnsiTheme="majorBidi" w:cstheme="majorBidi"/>
          <w:lang w:val="en-US"/>
        </w:rPr>
        <w:t>”</w:t>
      </w:r>
      <w:r>
        <w:rPr>
          <w:rFonts w:asciiTheme="majorBidi" w:hAnsiTheme="majorBidi" w:cstheme="majorBidi"/>
          <w:lang w:val="en-US"/>
        </w:rPr>
        <w:t>) as it makes disastrous future scenarios more probable</w:t>
      </w:r>
      <w:r w:rsidRPr="00F11463">
        <w:rPr>
          <w:rFonts w:asciiTheme="majorBidi" w:hAnsiTheme="majorBidi" w:cstheme="majorBidi"/>
          <w:lang w:val="en-US"/>
        </w:rPr>
        <w:t>.</w:t>
      </w:r>
      <w:r w:rsidRPr="00873A37">
        <w:rPr>
          <w:rFonts w:asciiTheme="majorBidi" w:hAnsiTheme="majorBidi" w:cstheme="majorBidi"/>
          <w:vertAlign w:val="superscript"/>
        </w:rPr>
        <w:footnoteReference w:id="12"/>
      </w:r>
      <w:r w:rsidRPr="00F11463">
        <w:rPr>
          <w:rFonts w:asciiTheme="majorBidi" w:hAnsiTheme="majorBidi" w:cstheme="majorBidi"/>
          <w:lang w:val="en-US"/>
        </w:rPr>
        <w:t xml:space="preserve"> </w:t>
      </w:r>
      <w:r>
        <w:rPr>
          <w:rFonts w:asciiTheme="majorBidi" w:hAnsiTheme="majorBidi" w:cstheme="majorBidi"/>
          <w:lang w:val="en-US"/>
        </w:rPr>
        <w:t>A number of c</w:t>
      </w:r>
      <w:r w:rsidRPr="00F11463">
        <w:rPr>
          <w:rFonts w:asciiTheme="majorBidi" w:hAnsiTheme="majorBidi" w:cstheme="majorBidi"/>
          <w:lang w:val="en-US"/>
        </w:rPr>
        <w:t>ivil society</w:t>
      </w:r>
      <w:r>
        <w:rPr>
          <w:rFonts w:asciiTheme="majorBidi" w:hAnsiTheme="majorBidi" w:cstheme="majorBidi"/>
          <w:lang w:val="en-US"/>
        </w:rPr>
        <w:t xml:space="preserve"> organizations</w:t>
      </w:r>
      <w:r w:rsidRPr="00F11463">
        <w:rPr>
          <w:rFonts w:asciiTheme="majorBidi" w:hAnsiTheme="majorBidi" w:cstheme="majorBidi"/>
          <w:lang w:val="en-US"/>
        </w:rPr>
        <w:t xml:space="preserve">, Indigenous Peoples and researchers </w:t>
      </w:r>
      <w:r>
        <w:rPr>
          <w:rFonts w:asciiTheme="majorBidi" w:hAnsiTheme="majorBidi" w:cstheme="majorBidi"/>
          <w:lang w:val="en-US"/>
        </w:rPr>
        <w:t>underscore that c</w:t>
      </w:r>
      <w:r w:rsidRPr="00F11463">
        <w:rPr>
          <w:rFonts w:asciiTheme="majorBidi" w:hAnsiTheme="majorBidi" w:cstheme="majorBidi"/>
          <w:lang w:val="en-US"/>
        </w:rPr>
        <w:t>ounting on technological removal of CO</w:t>
      </w:r>
      <w:r w:rsidRPr="00873A37">
        <w:rPr>
          <w:rFonts w:asciiTheme="majorBidi" w:hAnsiTheme="majorBidi" w:cstheme="majorBidi"/>
          <w:vertAlign w:val="subscript"/>
          <w:lang w:val="en-US"/>
        </w:rPr>
        <w:t>2</w:t>
      </w:r>
      <w:r w:rsidRPr="00F11463">
        <w:rPr>
          <w:rFonts w:asciiTheme="majorBidi" w:hAnsiTheme="majorBidi" w:cstheme="majorBidi"/>
          <w:lang w:val="en-US"/>
        </w:rPr>
        <w:t xml:space="preserve"> slows down reforms to cut emissions, including investing in renewables and circular economy, and diverts public attention from this utmost and primary goal, giving a false promise of a hypothetical future solution to </w:t>
      </w:r>
      <w:r>
        <w:rPr>
          <w:rFonts w:asciiTheme="majorBidi" w:hAnsiTheme="majorBidi" w:cstheme="majorBidi"/>
          <w:lang w:val="en-US"/>
        </w:rPr>
        <w:t>a</w:t>
      </w:r>
      <w:r w:rsidRPr="00F11463">
        <w:rPr>
          <w:rFonts w:asciiTheme="majorBidi" w:hAnsiTheme="majorBidi" w:cstheme="majorBidi"/>
          <w:lang w:val="en-US"/>
        </w:rPr>
        <w:t xml:space="preserve"> problem </w:t>
      </w:r>
      <w:r>
        <w:rPr>
          <w:rFonts w:asciiTheme="majorBidi" w:hAnsiTheme="majorBidi" w:cstheme="majorBidi"/>
          <w:lang w:val="en-US"/>
        </w:rPr>
        <w:t>which</w:t>
      </w:r>
      <w:r w:rsidRPr="00F11463">
        <w:rPr>
          <w:rFonts w:asciiTheme="majorBidi" w:hAnsiTheme="majorBidi" w:cstheme="majorBidi"/>
          <w:lang w:val="en-US"/>
        </w:rPr>
        <w:t xml:space="preserve"> requires immediate action now.</w:t>
      </w:r>
      <w:r>
        <w:rPr>
          <w:rFonts w:asciiTheme="majorBidi" w:hAnsiTheme="majorBidi" w:cstheme="majorBidi"/>
          <w:lang w:val="en-US"/>
        </w:rPr>
        <w:t xml:space="preserve"> </w:t>
      </w:r>
      <w:r w:rsidRPr="00F11463">
        <w:rPr>
          <w:rFonts w:asciiTheme="majorBidi" w:hAnsiTheme="majorBidi" w:cstheme="majorBidi"/>
          <w:lang w:val="en-US"/>
        </w:rPr>
        <w:t xml:space="preserve">They recall that real, fundamental, long-term solutions to climate change are already available, but </w:t>
      </w:r>
      <w:r>
        <w:rPr>
          <w:rFonts w:asciiTheme="majorBidi" w:hAnsiTheme="majorBidi" w:cstheme="majorBidi"/>
          <w:lang w:val="en-US"/>
        </w:rPr>
        <w:t>a</w:t>
      </w:r>
      <w:r w:rsidRPr="00F11463">
        <w:rPr>
          <w:rFonts w:asciiTheme="majorBidi" w:hAnsiTheme="majorBidi" w:cstheme="majorBidi"/>
          <w:lang w:val="en-US"/>
        </w:rPr>
        <w:t xml:space="preserve"> major obstacle for their implementation is the lack of </w:t>
      </w:r>
      <w:r>
        <w:rPr>
          <w:rFonts w:asciiTheme="majorBidi" w:hAnsiTheme="majorBidi" w:cstheme="majorBidi"/>
          <w:lang w:val="en-US"/>
        </w:rPr>
        <w:t>clout</w:t>
      </w:r>
      <w:r w:rsidRPr="00F11463">
        <w:rPr>
          <w:rFonts w:asciiTheme="majorBidi" w:hAnsiTheme="majorBidi" w:cstheme="majorBidi"/>
          <w:lang w:val="en-US"/>
        </w:rPr>
        <w:t xml:space="preserve"> of frontline communities</w:t>
      </w:r>
      <w:r>
        <w:rPr>
          <w:rFonts w:asciiTheme="majorBidi" w:hAnsiTheme="majorBidi" w:cstheme="majorBidi"/>
          <w:lang w:val="en-US"/>
        </w:rPr>
        <w:t xml:space="preserve">, </w:t>
      </w:r>
      <w:r w:rsidRPr="00F11463">
        <w:rPr>
          <w:rFonts w:asciiTheme="majorBidi" w:hAnsiTheme="majorBidi" w:cstheme="majorBidi"/>
          <w:lang w:val="en-US"/>
        </w:rPr>
        <w:t xml:space="preserve">small-scale food producers, </w:t>
      </w:r>
      <w:r>
        <w:rPr>
          <w:rFonts w:asciiTheme="majorBidi" w:hAnsiTheme="majorBidi" w:cstheme="majorBidi"/>
          <w:lang w:val="en-US"/>
        </w:rPr>
        <w:t>I</w:t>
      </w:r>
      <w:r w:rsidRPr="00F11463">
        <w:rPr>
          <w:rFonts w:asciiTheme="majorBidi" w:hAnsiTheme="majorBidi" w:cstheme="majorBidi"/>
          <w:lang w:val="en-US"/>
        </w:rPr>
        <w:t xml:space="preserve">ndigenous </w:t>
      </w:r>
      <w:r>
        <w:rPr>
          <w:rFonts w:asciiTheme="majorBidi" w:hAnsiTheme="majorBidi" w:cstheme="majorBidi"/>
          <w:lang w:val="en-US"/>
        </w:rPr>
        <w:t>P</w:t>
      </w:r>
      <w:r w:rsidRPr="00F11463">
        <w:rPr>
          <w:rFonts w:asciiTheme="majorBidi" w:hAnsiTheme="majorBidi" w:cstheme="majorBidi"/>
          <w:lang w:val="en-US"/>
        </w:rPr>
        <w:t>eoples and other</w:t>
      </w:r>
      <w:r>
        <w:rPr>
          <w:rFonts w:asciiTheme="majorBidi" w:hAnsiTheme="majorBidi" w:cstheme="majorBidi"/>
          <w:lang w:val="en-US"/>
        </w:rPr>
        <w:t>s</w:t>
      </w:r>
      <w:r w:rsidRPr="00F11463">
        <w:rPr>
          <w:rFonts w:asciiTheme="majorBidi" w:hAnsiTheme="majorBidi" w:cstheme="majorBidi"/>
          <w:lang w:val="en-US"/>
        </w:rPr>
        <w:t xml:space="preserve"> compared to that of </w:t>
      </w:r>
      <w:r>
        <w:rPr>
          <w:rFonts w:asciiTheme="majorBidi" w:hAnsiTheme="majorBidi" w:cstheme="majorBidi"/>
          <w:lang w:val="en-US"/>
        </w:rPr>
        <w:t>the</w:t>
      </w:r>
      <w:r w:rsidRPr="00F11463">
        <w:rPr>
          <w:rFonts w:asciiTheme="majorBidi" w:hAnsiTheme="majorBidi" w:cstheme="majorBidi"/>
          <w:lang w:val="en-US"/>
        </w:rPr>
        <w:t xml:space="preserve"> polluting industry. </w:t>
      </w:r>
    </w:p>
    <w:p w14:paraId="07E9F46A" w14:textId="0464D700" w:rsidR="00D2735B" w:rsidRDefault="00D2735B" w:rsidP="00D2735B">
      <w:pPr>
        <w:pStyle w:val="SingleTxtG"/>
        <w:rPr>
          <w:rFonts w:asciiTheme="majorBidi" w:hAnsiTheme="majorBidi" w:cstheme="majorBidi"/>
          <w:lang w:val="en-US"/>
        </w:rPr>
      </w:pPr>
      <w:r>
        <w:t>13.</w:t>
      </w:r>
      <w:r>
        <w:tab/>
        <w:t>T</w:t>
      </w:r>
      <w:r w:rsidRPr="00612CC0">
        <w:t xml:space="preserve">echnological </w:t>
      </w:r>
      <w:r>
        <w:t xml:space="preserve">CDR </w:t>
      </w:r>
      <w:r w:rsidRPr="00612CC0">
        <w:t xml:space="preserve">solutions have gained traction as a </w:t>
      </w:r>
      <w:r w:rsidRPr="00612CC0">
        <w:rPr>
          <w:i/>
        </w:rPr>
        <w:t>realpolitik</w:t>
      </w:r>
      <w:r w:rsidRPr="00612CC0">
        <w:t xml:space="preserve"> </w:t>
      </w:r>
      <w:r>
        <w:t>ploy</w:t>
      </w:r>
      <w:r w:rsidRPr="00612CC0">
        <w:t xml:space="preserve"> to meet the Paris </w:t>
      </w:r>
      <w:r w:rsidRPr="006F2597">
        <w:t>Agreement contributions</w:t>
      </w:r>
      <w:r>
        <w:t xml:space="preserve">, while SRM </w:t>
      </w:r>
      <w:r>
        <w:rPr>
          <w:rFonts w:asciiTheme="majorBidi" w:hAnsiTheme="majorBidi" w:cstheme="majorBidi"/>
          <w:lang w:val="en-US"/>
        </w:rPr>
        <w:t>is</w:t>
      </w:r>
      <w:r w:rsidRPr="00D11A66">
        <w:rPr>
          <w:rFonts w:asciiTheme="majorBidi" w:hAnsiTheme="majorBidi" w:cstheme="majorBidi"/>
          <w:lang w:val="en-US"/>
        </w:rPr>
        <w:t xml:space="preserve"> often presented as a “Plan B” </w:t>
      </w:r>
      <w:r>
        <w:rPr>
          <w:rFonts w:asciiTheme="majorBidi" w:hAnsiTheme="majorBidi" w:cstheme="majorBidi"/>
          <w:lang w:val="en-US"/>
        </w:rPr>
        <w:t>solution</w:t>
      </w:r>
      <w:r w:rsidRPr="00D11A66">
        <w:rPr>
          <w:rFonts w:asciiTheme="majorBidi" w:hAnsiTheme="majorBidi" w:cstheme="majorBidi"/>
          <w:lang w:val="en-US"/>
        </w:rPr>
        <w:t xml:space="preserve"> to the critical situation that </w:t>
      </w:r>
      <w:r>
        <w:rPr>
          <w:rFonts w:asciiTheme="majorBidi" w:hAnsiTheme="majorBidi" w:cstheme="majorBidi"/>
          <w:lang w:val="en-US"/>
        </w:rPr>
        <w:t xml:space="preserve">the </w:t>
      </w:r>
      <w:r w:rsidRPr="00D11A66">
        <w:rPr>
          <w:rFonts w:asciiTheme="majorBidi" w:hAnsiTheme="majorBidi" w:cstheme="majorBidi"/>
          <w:lang w:val="en-US"/>
        </w:rPr>
        <w:t xml:space="preserve">failure </w:t>
      </w:r>
      <w:r>
        <w:rPr>
          <w:rFonts w:asciiTheme="majorBidi" w:hAnsiTheme="majorBidi" w:cstheme="majorBidi"/>
          <w:lang w:val="en-US"/>
        </w:rPr>
        <w:t>to reduce</w:t>
      </w:r>
      <w:r w:rsidRPr="00D11A66">
        <w:rPr>
          <w:rFonts w:asciiTheme="majorBidi" w:hAnsiTheme="majorBidi" w:cstheme="majorBidi"/>
          <w:lang w:val="en-US"/>
        </w:rPr>
        <w:t xml:space="preserve"> </w:t>
      </w:r>
      <w:r>
        <w:rPr>
          <w:rFonts w:asciiTheme="majorBidi" w:hAnsiTheme="majorBidi" w:cstheme="majorBidi"/>
          <w:lang w:val="en-US"/>
        </w:rPr>
        <w:t>GHG emissions</w:t>
      </w:r>
      <w:r w:rsidRPr="00D11A66">
        <w:rPr>
          <w:rFonts w:asciiTheme="majorBidi" w:hAnsiTheme="majorBidi" w:cstheme="majorBidi"/>
          <w:lang w:val="en-US"/>
        </w:rPr>
        <w:t xml:space="preserve"> is creating and as the only means </w:t>
      </w:r>
      <w:r>
        <w:rPr>
          <w:rFonts w:asciiTheme="majorBidi" w:hAnsiTheme="majorBidi" w:cstheme="majorBidi"/>
          <w:lang w:val="en-US"/>
        </w:rPr>
        <w:t>of</w:t>
      </w:r>
      <w:r w:rsidRPr="00D11A66">
        <w:rPr>
          <w:rFonts w:asciiTheme="majorBidi" w:hAnsiTheme="majorBidi" w:cstheme="majorBidi"/>
          <w:lang w:val="en-US"/>
        </w:rPr>
        <w:t xml:space="preserve"> address</w:t>
      </w:r>
      <w:r>
        <w:rPr>
          <w:rFonts w:asciiTheme="majorBidi" w:hAnsiTheme="majorBidi" w:cstheme="majorBidi"/>
          <w:lang w:val="en-US"/>
        </w:rPr>
        <w:t>ing</w:t>
      </w:r>
      <w:r w:rsidRPr="00D11A66">
        <w:rPr>
          <w:rFonts w:asciiTheme="majorBidi" w:hAnsiTheme="majorBidi" w:cstheme="majorBidi"/>
          <w:lang w:val="en-US"/>
        </w:rPr>
        <w:t xml:space="preserve"> </w:t>
      </w:r>
      <w:r w:rsidR="009A3715">
        <w:rPr>
          <w:rFonts w:asciiTheme="majorBidi" w:hAnsiTheme="majorBidi" w:cstheme="majorBidi"/>
          <w:lang w:val="en-US"/>
        </w:rPr>
        <w:t>the</w:t>
      </w:r>
      <w:r w:rsidRPr="00D11A66">
        <w:rPr>
          <w:rFonts w:asciiTheme="majorBidi" w:hAnsiTheme="majorBidi" w:cstheme="majorBidi"/>
          <w:lang w:val="en-US"/>
        </w:rPr>
        <w:t xml:space="preserve"> </w:t>
      </w:r>
      <w:r>
        <w:rPr>
          <w:rFonts w:asciiTheme="majorBidi" w:hAnsiTheme="majorBidi" w:cstheme="majorBidi"/>
          <w:lang w:val="en-US"/>
        </w:rPr>
        <w:t>“</w:t>
      </w:r>
      <w:r w:rsidRPr="00D11A66">
        <w:rPr>
          <w:rFonts w:asciiTheme="majorBidi" w:hAnsiTheme="majorBidi" w:cstheme="majorBidi"/>
          <w:lang w:val="en-US"/>
        </w:rPr>
        <w:t>oversh</w:t>
      </w:r>
      <w:r>
        <w:rPr>
          <w:rFonts w:asciiTheme="majorBidi" w:hAnsiTheme="majorBidi" w:cstheme="majorBidi"/>
          <w:lang w:val="en-US"/>
        </w:rPr>
        <w:t>o</w:t>
      </w:r>
      <w:r w:rsidRPr="00D11A66">
        <w:rPr>
          <w:rFonts w:asciiTheme="majorBidi" w:hAnsiTheme="majorBidi" w:cstheme="majorBidi"/>
          <w:lang w:val="en-US"/>
        </w:rPr>
        <w:t>ot</w:t>
      </w:r>
      <w:r>
        <w:rPr>
          <w:rFonts w:asciiTheme="majorBidi" w:hAnsiTheme="majorBidi" w:cstheme="majorBidi"/>
          <w:lang w:val="en-US"/>
        </w:rPr>
        <w:t>” (scenarios when temperature rises by more than 1.5° or even 2</w:t>
      </w:r>
      <w:r w:rsidRPr="00873A37">
        <w:rPr>
          <w:rFonts w:asciiTheme="majorBidi" w:hAnsiTheme="majorBidi" w:cstheme="majorBidi"/>
          <w:vertAlign w:val="superscript"/>
          <w:lang w:val="en-US"/>
        </w:rPr>
        <w:t>o</w:t>
      </w:r>
      <w:r>
        <w:rPr>
          <w:rFonts w:asciiTheme="majorBidi" w:hAnsiTheme="majorBidi" w:cstheme="majorBidi"/>
          <w:lang w:val="en-US"/>
        </w:rPr>
        <w:t>C)</w:t>
      </w:r>
      <w:r w:rsidRPr="00D11A66">
        <w:rPr>
          <w:rFonts w:asciiTheme="majorBidi" w:hAnsiTheme="majorBidi" w:cstheme="majorBidi"/>
          <w:lang w:val="en-US"/>
        </w:rPr>
        <w:t xml:space="preserve">. However, relying on pre-emptive and emergency rhetoric without the backing of scientific </w:t>
      </w:r>
      <w:r w:rsidRPr="00612CC0">
        <w:rPr>
          <w:rFonts w:asciiTheme="majorBidi" w:hAnsiTheme="majorBidi" w:cstheme="majorBidi"/>
          <w:lang w:val="en-US"/>
        </w:rPr>
        <w:t xml:space="preserve">certainty </w:t>
      </w:r>
      <w:r>
        <w:rPr>
          <w:rFonts w:asciiTheme="majorBidi" w:hAnsiTheme="majorBidi" w:cstheme="majorBidi"/>
          <w:lang w:val="en-US"/>
        </w:rPr>
        <w:t>and in the absence of an appropriate international g</w:t>
      </w:r>
      <w:r w:rsidRPr="00612CC0">
        <w:rPr>
          <w:rFonts w:asciiTheme="majorBidi" w:hAnsiTheme="majorBidi" w:cstheme="majorBidi"/>
          <w:lang w:val="en-US"/>
        </w:rPr>
        <w:t xml:space="preserve">overnance </w:t>
      </w:r>
      <w:r w:rsidRPr="00873A37">
        <w:rPr>
          <w:rFonts w:asciiTheme="majorBidi" w:hAnsiTheme="majorBidi" w:cstheme="majorBidi"/>
          <w:lang w:val="en-US"/>
        </w:rPr>
        <w:t>framework</w:t>
      </w:r>
      <w:r>
        <w:rPr>
          <w:rFonts w:asciiTheme="majorBidi" w:hAnsiTheme="majorBidi" w:cstheme="majorBidi"/>
          <w:lang w:val="en-US"/>
        </w:rPr>
        <w:t xml:space="preserve"> to </w:t>
      </w:r>
      <w:r w:rsidRPr="006F2597">
        <w:rPr>
          <w:rFonts w:asciiTheme="majorBidi" w:hAnsiTheme="majorBidi" w:cstheme="majorBidi"/>
          <w:lang w:val="en-US"/>
        </w:rPr>
        <w:t xml:space="preserve">deter and sanction inappropriate action </w:t>
      </w:r>
      <w:r>
        <w:rPr>
          <w:rFonts w:asciiTheme="majorBidi" w:hAnsiTheme="majorBidi" w:cstheme="majorBidi"/>
        </w:rPr>
        <w:t xml:space="preserve">will most probably lead to </w:t>
      </w:r>
      <w:r w:rsidRPr="00850ADF">
        <w:rPr>
          <w:rFonts w:asciiTheme="majorBidi" w:hAnsiTheme="majorBidi" w:cstheme="majorBidi"/>
        </w:rPr>
        <w:t>counterproductive results</w:t>
      </w:r>
      <w:r w:rsidRPr="006F2597">
        <w:rPr>
          <w:rFonts w:asciiTheme="majorBidi" w:hAnsiTheme="majorBidi" w:cstheme="majorBidi"/>
          <w:lang w:val="en-US"/>
        </w:rPr>
        <w:t>.</w:t>
      </w:r>
      <w:r w:rsidRPr="006F2597">
        <w:rPr>
          <w:rStyle w:val="FootnoteReference"/>
          <w:color w:val="C00000"/>
        </w:rPr>
        <w:t xml:space="preserve"> </w:t>
      </w:r>
      <w:r w:rsidRPr="006F2597">
        <w:rPr>
          <w:rStyle w:val="FootnoteReference"/>
        </w:rPr>
        <w:footnoteReference w:id="13"/>
      </w:r>
    </w:p>
    <w:p w14:paraId="3552393C" w14:textId="11958605" w:rsidR="00D2735B" w:rsidRPr="00001689" w:rsidRDefault="00D2735B" w:rsidP="00D2735B">
      <w:pPr>
        <w:pStyle w:val="SingleTxtG"/>
      </w:pPr>
      <w:r w:rsidRPr="00612CC0">
        <w:t>1</w:t>
      </w:r>
      <w:r>
        <w:t>4</w:t>
      </w:r>
      <w:r w:rsidRPr="00612CC0">
        <w:t>.</w:t>
      </w:r>
      <w:r>
        <w:tab/>
      </w:r>
      <w:r w:rsidRPr="00612CC0">
        <w:t xml:space="preserve">In this context, proponents </w:t>
      </w:r>
      <w:r>
        <w:t>of SR</w:t>
      </w:r>
      <w:r w:rsidRPr="0059100A">
        <w:t xml:space="preserve">M NTCPs call for </w:t>
      </w:r>
      <w:r w:rsidRPr="0059100A">
        <w:rPr>
          <w:bCs/>
        </w:rPr>
        <w:t>a regulatory framework</w:t>
      </w:r>
      <w:r w:rsidRPr="0059100A">
        <w:t xml:space="preserve"> that </w:t>
      </w:r>
      <w:r>
        <w:t xml:space="preserve">would </w:t>
      </w:r>
      <w:r w:rsidRPr="0059100A">
        <w:t>facilitate their</w:t>
      </w:r>
      <w:r>
        <w:t xml:space="preserve"> potential</w:t>
      </w:r>
      <w:r w:rsidRPr="0059100A">
        <w:t xml:space="preserve"> </w:t>
      </w:r>
      <w:r w:rsidRPr="00FA3B1A">
        <w:rPr>
          <w:lang w:val="en-US"/>
        </w:rPr>
        <w:t>use</w:t>
      </w:r>
      <w:r w:rsidRPr="0059100A">
        <w:t>.</w:t>
      </w:r>
      <w:r w:rsidRPr="006C1729">
        <w:rPr>
          <w:rStyle w:val="FootnoteReference"/>
        </w:rPr>
        <w:footnoteReference w:id="14"/>
      </w:r>
      <w:r w:rsidRPr="00FF618A">
        <w:t xml:space="preserve"> </w:t>
      </w:r>
      <w:r w:rsidRPr="0059100A">
        <w:t>Opponents</w:t>
      </w:r>
      <w:r w:rsidR="009A3715">
        <w:t xml:space="preserve"> </w:t>
      </w:r>
      <w:r w:rsidRPr="0059100A">
        <w:t>advocate</w:t>
      </w:r>
      <w:r w:rsidRPr="00612CC0">
        <w:t xml:space="preserve"> </w:t>
      </w:r>
      <w:r>
        <w:t xml:space="preserve">for </w:t>
      </w:r>
      <w:r w:rsidRPr="00612CC0">
        <w:t xml:space="preserve">a </w:t>
      </w:r>
      <w:r w:rsidRPr="00612CC0">
        <w:rPr>
          <w:i/>
        </w:rPr>
        <w:t>moratorium</w:t>
      </w:r>
      <w:r w:rsidRPr="00612CC0">
        <w:t xml:space="preserve"> or even a total ban until the environmental and </w:t>
      </w:r>
      <w:r>
        <w:t>human rights</w:t>
      </w:r>
      <w:r w:rsidRPr="00612CC0">
        <w:t xml:space="preserve"> risks </w:t>
      </w:r>
      <w:r w:rsidRPr="00001689">
        <w:t>posed are understood.</w:t>
      </w:r>
      <w:r w:rsidRPr="00001689">
        <w:rPr>
          <w:rStyle w:val="FootnoteReference"/>
        </w:rPr>
        <w:footnoteReference w:id="15"/>
      </w:r>
      <w:r w:rsidRPr="00001689">
        <w:t xml:space="preserve"> </w:t>
      </w:r>
      <w:r w:rsidRPr="00001689">
        <w:rPr>
          <w:rFonts w:asciiTheme="majorBidi" w:hAnsiTheme="majorBidi" w:cstheme="majorBidi"/>
          <w:lang w:val="en-US"/>
        </w:rPr>
        <w:t>Regardless of stance, as science stands today, the deployment of SRM in particular poses cascading global risks to people and the environment</w:t>
      </w:r>
      <w:r w:rsidRPr="00001689">
        <w:rPr>
          <w:rFonts w:asciiTheme="majorBidi" w:hAnsiTheme="majorBidi" w:cstheme="majorBidi"/>
        </w:rPr>
        <w:t xml:space="preserve">, the distribution of which would potentially be global. </w:t>
      </w:r>
    </w:p>
    <w:p w14:paraId="2E6A8B83" w14:textId="77777777" w:rsidR="00D2735B" w:rsidRPr="00001689" w:rsidRDefault="00D2735B" w:rsidP="00D2735B">
      <w:pPr>
        <w:pStyle w:val="HChG"/>
        <w:rPr>
          <w:sz w:val="22"/>
          <w:szCs w:val="22"/>
        </w:rPr>
      </w:pPr>
      <w:r w:rsidRPr="00001689">
        <w:tab/>
        <w:t>II.</w:t>
      </w:r>
      <w:r w:rsidRPr="00001689">
        <w:tab/>
        <w:t xml:space="preserve">Risks and side-effects </w:t>
      </w:r>
    </w:p>
    <w:p w14:paraId="4876FCD4" w14:textId="77777777" w:rsidR="00D2735B" w:rsidRPr="005006D7" w:rsidRDefault="00D2735B" w:rsidP="00D2735B">
      <w:pPr>
        <w:pStyle w:val="SingleTxtG"/>
        <w:rPr>
          <w:rFonts w:asciiTheme="majorBidi" w:hAnsiTheme="majorBidi" w:cstheme="majorBidi"/>
          <w:bCs/>
          <w:lang w:val="en-US"/>
        </w:rPr>
      </w:pPr>
      <w:r w:rsidRPr="00001689">
        <w:t>1</w:t>
      </w:r>
      <w:r>
        <w:t>5</w:t>
      </w:r>
      <w:r w:rsidRPr="00001689">
        <w:t>.</w:t>
      </w:r>
      <w:r w:rsidRPr="00001689">
        <w:tab/>
        <w:t>Planetary climate is characterized by intense interconnectedness, the nature of which is a subject of ongoing studies.</w:t>
      </w:r>
      <w:r w:rsidRPr="00001689" w:rsidDel="00E55E9C">
        <w:rPr>
          <w:lang w:val="en-US"/>
        </w:rPr>
        <w:t xml:space="preserve"> </w:t>
      </w:r>
      <w:r w:rsidRPr="00001689">
        <w:rPr>
          <w:rFonts w:asciiTheme="majorBidi" w:hAnsiTheme="majorBidi" w:cstheme="majorBidi"/>
          <w:lang w:val="en-US"/>
        </w:rPr>
        <w:t xml:space="preserve">IPCC finds that </w:t>
      </w:r>
      <w:r w:rsidRPr="00001689">
        <w:rPr>
          <w:rFonts w:asciiTheme="majorBidi" w:hAnsiTheme="majorBidi" w:cstheme="majorBidi" w:hint="eastAsia"/>
        </w:rPr>
        <w:t xml:space="preserve">risks can arise from some responses that are intended to reduce climate change, e.g., adverse side effects of some emission reduction and </w:t>
      </w:r>
      <w:r w:rsidRPr="00001689">
        <w:rPr>
          <w:rFonts w:asciiTheme="majorBidi" w:hAnsiTheme="majorBidi" w:cstheme="majorBidi"/>
          <w:lang w:val="en-US"/>
        </w:rPr>
        <w:t xml:space="preserve">CDR </w:t>
      </w:r>
      <w:r w:rsidRPr="00001689">
        <w:rPr>
          <w:rFonts w:asciiTheme="majorBidi" w:hAnsiTheme="majorBidi" w:cstheme="majorBidi" w:hint="eastAsia"/>
        </w:rPr>
        <w:t>measures</w:t>
      </w:r>
      <w:r w:rsidRPr="00001689">
        <w:rPr>
          <w:rFonts w:asciiTheme="majorBidi" w:hAnsiTheme="majorBidi" w:cstheme="majorBidi"/>
          <w:lang w:val="en-US"/>
        </w:rPr>
        <w:t xml:space="preserve">. Implementing </w:t>
      </w:r>
      <w:r w:rsidRPr="00001689">
        <w:rPr>
          <w:rFonts w:asciiTheme="majorBidi" w:hAnsiTheme="majorBidi" w:cstheme="majorBidi"/>
        </w:rPr>
        <w:t>SRM approaches</w:t>
      </w:r>
      <w:proofErr w:type="gramStart"/>
      <w:r w:rsidRPr="00001689">
        <w:rPr>
          <w:rFonts w:asciiTheme="majorBidi" w:hAnsiTheme="majorBidi" w:cstheme="majorBidi"/>
        </w:rPr>
        <w:t>, in particular,</w:t>
      </w:r>
      <w:r w:rsidRPr="00001689">
        <w:rPr>
          <w:rFonts w:asciiTheme="majorBidi" w:hAnsiTheme="majorBidi" w:cstheme="majorBidi"/>
          <w:lang w:val="en-US"/>
        </w:rPr>
        <w:t xml:space="preserve"> </w:t>
      </w:r>
      <w:r w:rsidRPr="00001689">
        <w:rPr>
          <w:rFonts w:asciiTheme="majorBidi" w:hAnsiTheme="majorBidi" w:cstheme="majorBidi"/>
        </w:rPr>
        <w:t>introduce</w:t>
      </w:r>
      <w:r w:rsidRPr="00001689">
        <w:rPr>
          <w:rFonts w:asciiTheme="majorBidi" w:hAnsiTheme="majorBidi" w:cstheme="majorBidi"/>
          <w:lang w:val="en-US"/>
        </w:rPr>
        <w:t>s</w:t>
      </w:r>
      <w:proofErr w:type="gramEnd"/>
      <w:r w:rsidRPr="00001689">
        <w:rPr>
          <w:rFonts w:asciiTheme="majorBidi" w:hAnsiTheme="majorBidi" w:cstheme="majorBidi"/>
        </w:rPr>
        <w:t xml:space="preserve"> a widespread range of new risks to people and ecosystems, which are not well understood.</w:t>
      </w:r>
      <w:r w:rsidRPr="00001689">
        <w:rPr>
          <w:rStyle w:val="FootnoteReference"/>
          <w:rFonts w:cstheme="majorBidi"/>
        </w:rPr>
        <w:footnoteReference w:id="16"/>
      </w:r>
      <w:r w:rsidRPr="005006D7">
        <w:rPr>
          <w:rFonts w:asciiTheme="majorBidi" w:hAnsiTheme="majorBidi" w:cstheme="majorBidi"/>
        </w:rPr>
        <w:t xml:space="preserve"> </w:t>
      </w:r>
    </w:p>
    <w:p w14:paraId="17CE1B7F" w14:textId="77777777" w:rsidR="00D2735B" w:rsidRDefault="00D2735B" w:rsidP="00D2735B">
      <w:pPr>
        <w:pStyle w:val="H1G"/>
        <w:rPr>
          <w:rFonts w:asciiTheme="majorBidi" w:hAnsiTheme="majorBidi"/>
        </w:rPr>
      </w:pPr>
      <w:r>
        <w:lastRenderedPageBreak/>
        <w:tab/>
        <w:t>A.</w:t>
      </w:r>
      <w:r>
        <w:tab/>
      </w:r>
      <w:r w:rsidRPr="004905DA">
        <w:t>Physical risks</w:t>
      </w:r>
    </w:p>
    <w:p w14:paraId="59019FBE" w14:textId="798B76D1" w:rsidR="00D2735B" w:rsidRPr="0059100A" w:rsidRDefault="00D2735B" w:rsidP="00D2735B">
      <w:pPr>
        <w:pStyle w:val="SingleTxtG"/>
      </w:pPr>
      <w:r w:rsidRPr="00832BB0">
        <w:rPr>
          <w:bCs/>
        </w:rPr>
        <w:t>1</w:t>
      </w:r>
      <w:r>
        <w:rPr>
          <w:bCs/>
        </w:rPr>
        <w:t>6</w:t>
      </w:r>
      <w:r w:rsidRPr="004905DA">
        <w:rPr>
          <w:bCs/>
        </w:rPr>
        <w:t>.</w:t>
      </w:r>
      <w:r>
        <w:rPr>
          <w:bCs/>
        </w:rPr>
        <w:tab/>
      </w:r>
      <w:r>
        <w:rPr>
          <w:bCs/>
          <w:lang w:val="en-US"/>
        </w:rPr>
        <w:t xml:space="preserve">Implementing </w:t>
      </w:r>
      <w:r w:rsidRPr="0059100A">
        <w:t xml:space="preserve">NTCPs </w:t>
      </w:r>
      <w:r>
        <w:t>is resource intensive</w:t>
      </w:r>
      <w:r w:rsidRPr="0059100A">
        <w:rPr>
          <w:lang w:val="en-US"/>
        </w:rPr>
        <w:t xml:space="preserve">. </w:t>
      </w:r>
      <w:r w:rsidR="009A3715">
        <w:t>Physical risks</w:t>
      </w:r>
      <w:r w:rsidRPr="0059100A">
        <w:t xml:space="preserve"> posed by CDR NTCPs are listed in Table 1</w:t>
      </w:r>
      <w:r w:rsidRPr="0059100A">
        <w:rPr>
          <w:lang w:val="en-US"/>
        </w:rPr>
        <w:t xml:space="preserve"> in Annex 1, including extensive water and energy consumption, </w:t>
      </w:r>
      <w:r w:rsidRPr="0059100A">
        <w:t>adverse impacts on marine biology and food web structure, health risks,</w:t>
      </w:r>
      <w:r w:rsidRPr="0059100A">
        <w:rPr>
          <w:rFonts w:asciiTheme="minorHAnsi" w:hAnsiTheme="minorHAnsi" w:cstheme="minorBidi"/>
          <w:sz w:val="24"/>
          <w:szCs w:val="24"/>
        </w:rPr>
        <w:t xml:space="preserve"> </w:t>
      </w:r>
      <w:r w:rsidRPr="0059100A">
        <w:t>ecological impacts of mineral extraction</w:t>
      </w:r>
      <w:r w:rsidRPr="00B621B3">
        <w:t xml:space="preserve"> and transport</w:t>
      </w:r>
      <w:r>
        <w:t xml:space="preserve">, </w:t>
      </w:r>
      <w:r>
        <w:rPr>
          <w:lang w:val="en-US"/>
        </w:rPr>
        <w:t xml:space="preserve">waste pollution, chemical footprint. </w:t>
      </w:r>
      <w:r>
        <w:t>Kinds of risks, however, are interlinked and mere compartmentalization will not tell the whole story of potential interlinkages and cascades, which hold true for all risks described</w:t>
      </w:r>
      <w:r>
        <w:rPr>
          <w:lang w:val="en-US"/>
        </w:rPr>
        <w:t xml:space="preserve"> herein</w:t>
      </w:r>
      <w:r>
        <w:t xml:space="preserve">. For example, </w:t>
      </w:r>
      <w:r w:rsidRPr="009D31AF">
        <w:t xml:space="preserve">technological and environmental risks </w:t>
      </w:r>
      <w:r w:rsidRPr="000136D9">
        <w:rPr>
          <w:lang w:val="en-US"/>
        </w:rPr>
        <w:t xml:space="preserve">for </w:t>
      </w:r>
      <w:r>
        <w:rPr>
          <w:lang w:val="en-US"/>
        </w:rPr>
        <w:t>direct air capture (</w:t>
      </w:r>
      <w:r w:rsidRPr="009D31AF">
        <w:t>DAC</w:t>
      </w:r>
      <w:r>
        <w:t>)</w:t>
      </w:r>
      <w:r w:rsidRPr="000136D9">
        <w:rPr>
          <w:lang w:val="en-US"/>
        </w:rPr>
        <w:t xml:space="preserve"> and</w:t>
      </w:r>
      <w:r w:rsidRPr="009D31AF">
        <w:t xml:space="preserve"> enhanced weathering</w:t>
      </w:r>
      <w:r>
        <w:t>, amongst other types of NTCPs,</w:t>
      </w:r>
      <w:r w:rsidRPr="009D31AF">
        <w:rPr>
          <w:lang w:val="en-US"/>
        </w:rPr>
        <w:t xml:space="preserve"> could</w:t>
      </w:r>
      <w:r>
        <w:rPr>
          <w:lang w:val="en-US"/>
        </w:rPr>
        <w:t xml:space="preserve"> </w:t>
      </w:r>
      <w:r w:rsidRPr="009D31AF">
        <w:t>also</w:t>
      </w:r>
      <w:r w:rsidRPr="008479BE">
        <w:rPr>
          <w:lang w:val="en-US"/>
        </w:rPr>
        <w:t xml:space="preserve"> negatively</w:t>
      </w:r>
      <w:r w:rsidRPr="009D31AF">
        <w:t xml:space="preserve"> </w:t>
      </w:r>
      <w:r w:rsidRPr="000136D9">
        <w:rPr>
          <w:lang w:val="en-US"/>
        </w:rPr>
        <w:t>incit</w:t>
      </w:r>
      <w:r>
        <w:rPr>
          <w:lang w:val="en-US"/>
        </w:rPr>
        <w:t>e</w:t>
      </w:r>
      <w:r w:rsidRPr="009D31AF">
        <w:t xml:space="preserve"> perceptions of social backlash</w:t>
      </w:r>
      <w:r w:rsidRPr="008479BE">
        <w:rPr>
          <w:lang w:val="en-US"/>
        </w:rPr>
        <w:t xml:space="preserve">, </w:t>
      </w:r>
      <w:r>
        <w:rPr>
          <w:lang w:val="en-US"/>
        </w:rPr>
        <w:t xml:space="preserve">technological </w:t>
      </w:r>
      <w:proofErr w:type="gramStart"/>
      <w:r>
        <w:rPr>
          <w:lang w:val="en-US"/>
        </w:rPr>
        <w:t>domination</w:t>
      </w:r>
      <w:proofErr w:type="gramEnd"/>
      <w:r>
        <w:rPr>
          <w:lang w:val="en-US"/>
        </w:rPr>
        <w:t xml:space="preserve"> or</w:t>
      </w:r>
      <w:r w:rsidRPr="009D31AF">
        <w:t xml:space="preserve"> </w:t>
      </w:r>
      <w:r w:rsidRPr="00FA3B1A">
        <w:t xml:space="preserve">new forms of </w:t>
      </w:r>
      <w:r w:rsidRPr="008479BE">
        <w:rPr>
          <w:lang w:val="en-US"/>
        </w:rPr>
        <w:t>coloni</w:t>
      </w:r>
      <w:r>
        <w:rPr>
          <w:lang w:val="en-US"/>
        </w:rPr>
        <w:t>alism</w:t>
      </w:r>
      <w:r w:rsidRPr="0059100A">
        <w:t>.</w:t>
      </w:r>
      <w:r w:rsidRPr="0059100A">
        <w:rPr>
          <w:rStyle w:val="FootnoteReference"/>
          <w:rFonts w:asciiTheme="majorBidi" w:hAnsiTheme="majorBidi" w:cstheme="majorBidi"/>
        </w:rPr>
        <w:footnoteReference w:id="17"/>
      </w:r>
    </w:p>
    <w:p w14:paraId="2E5A163D" w14:textId="77777777" w:rsidR="00D2735B" w:rsidRPr="0059100A" w:rsidRDefault="00D2735B" w:rsidP="00D2735B">
      <w:pPr>
        <w:pStyle w:val="SingleTxtG"/>
      </w:pPr>
      <w:r w:rsidRPr="0059100A">
        <w:t>1</w:t>
      </w:r>
      <w:r>
        <w:t>7</w:t>
      </w:r>
      <w:r w:rsidRPr="0059100A">
        <w:t>.</w:t>
      </w:r>
      <w:r w:rsidRPr="0059100A">
        <w:tab/>
        <w:t xml:space="preserve">As for </w:t>
      </w:r>
      <w:r w:rsidRPr="0059100A">
        <w:rPr>
          <w:lang w:val="en-US"/>
        </w:rPr>
        <w:t>SRM</w:t>
      </w:r>
      <w:r w:rsidRPr="0059100A">
        <w:t xml:space="preserve"> the possible negative physical effects </w:t>
      </w:r>
      <w:r w:rsidRPr="0059100A">
        <w:rPr>
          <w:lang w:val="en-US"/>
        </w:rPr>
        <w:t xml:space="preserve">include </w:t>
      </w:r>
      <w:r w:rsidRPr="0059100A">
        <w:t>unpredictable changes in hydrological patterns, harm to the ozone layer, dimming, reduced photosynthesis, crop growth changes resulting in decreased food production and access, as well as further cascading risks in the social and political systems and relations</w:t>
      </w:r>
      <w:r w:rsidRPr="00963B76">
        <w:t xml:space="preserve"> </w:t>
      </w:r>
      <w:r w:rsidRPr="0059100A">
        <w:t>associated with the aforementioned.</w:t>
      </w:r>
      <w:r w:rsidRPr="0059100A">
        <w:rPr>
          <w:rStyle w:val="FootnoteReference"/>
        </w:rPr>
        <w:footnoteReference w:id="18"/>
      </w:r>
    </w:p>
    <w:p w14:paraId="5113F04F" w14:textId="77777777" w:rsidR="00D2735B" w:rsidRPr="0059100A" w:rsidRDefault="00D2735B" w:rsidP="00D2735B">
      <w:pPr>
        <w:pStyle w:val="H1G"/>
      </w:pPr>
      <w:r w:rsidRPr="0059100A">
        <w:tab/>
      </w:r>
      <w:r>
        <w:t>B.</w:t>
      </w:r>
      <w:r w:rsidRPr="0059100A">
        <w:tab/>
        <w:t xml:space="preserve">Social, societal, and socio-economic risks </w:t>
      </w:r>
    </w:p>
    <w:p w14:paraId="04F6F1DA" w14:textId="4C1C160B" w:rsidR="00D2735B" w:rsidRPr="00110E9E" w:rsidRDefault="00D2735B" w:rsidP="00D2735B">
      <w:pPr>
        <w:pStyle w:val="SingleTxtG"/>
      </w:pPr>
      <w:r w:rsidRPr="0059100A">
        <w:rPr>
          <w:bCs/>
        </w:rPr>
        <w:t>1</w:t>
      </w:r>
      <w:r>
        <w:rPr>
          <w:bCs/>
        </w:rPr>
        <w:t>8</w:t>
      </w:r>
      <w:r w:rsidRPr="0059100A">
        <w:t>.</w:t>
      </w:r>
      <w:r w:rsidRPr="0059100A">
        <w:tab/>
      </w:r>
      <w:r>
        <w:t xml:space="preserve">NTCPs </w:t>
      </w:r>
      <w:r>
        <w:rPr>
          <w:lang w:val="en-US"/>
        </w:rPr>
        <w:t>cause social risks</w:t>
      </w:r>
      <w:r w:rsidRPr="00D3403D">
        <w:rPr>
          <w:lang w:val="en-US"/>
        </w:rPr>
        <w:t>, including for future generations</w:t>
      </w:r>
      <w:r>
        <w:rPr>
          <w:lang w:val="en-US"/>
        </w:rPr>
        <w:t xml:space="preserve">. </w:t>
      </w:r>
      <w:r w:rsidRPr="00A948AF">
        <w:t>They</w:t>
      </w:r>
      <w:r w:rsidRPr="0059100A">
        <w:t xml:space="preserve"> </w:t>
      </w:r>
      <w:r>
        <w:t xml:space="preserve">generally </w:t>
      </w:r>
      <w:r w:rsidRPr="0059100A">
        <w:t>require land or/and have impact on land</w:t>
      </w:r>
      <w:r w:rsidRPr="0059100A">
        <w:rPr>
          <w:lang w:val="en-US"/>
        </w:rPr>
        <w:t xml:space="preserve"> and other natural resources and biodiversity</w:t>
      </w:r>
      <w:r w:rsidRPr="0059100A">
        <w:t xml:space="preserve">. Exposure to effects on land is greater for </w:t>
      </w:r>
      <w:r w:rsidRPr="0059100A">
        <w:rPr>
          <w:lang w:val="en-US"/>
        </w:rPr>
        <w:t>frontlines communities</w:t>
      </w:r>
      <w:r w:rsidR="00496C0D">
        <w:rPr>
          <w:lang w:val="en-US"/>
        </w:rPr>
        <w:t>,</w:t>
      </w:r>
      <w:r w:rsidRPr="0059100A">
        <w:rPr>
          <w:lang w:val="en-US"/>
        </w:rPr>
        <w:t xml:space="preserve"> </w:t>
      </w:r>
      <w:r>
        <w:rPr>
          <w:lang w:val="en-US"/>
        </w:rPr>
        <w:t xml:space="preserve">including </w:t>
      </w:r>
      <w:r w:rsidRPr="0059100A">
        <w:rPr>
          <w:lang w:val="en-US"/>
        </w:rPr>
        <w:t>I</w:t>
      </w:r>
      <w:proofErr w:type="spellStart"/>
      <w:r w:rsidRPr="0059100A">
        <w:t>ndigenous</w:t>
      </w:r>
      <w:proofErr w:type="spellEnd"/>
      <w:r w:rsidRPr="0059100A">
        <w:t xml:space="preserve"> </w:t>
      </w:r>
      <w:r w:rsidRPr="0059100A">
        <w:rPr>
          <w:lang w:val="en-US"/>
        </w:rPr>
        <w:t>Peoples</w:t>
      </w:r>
      <w:r w:rsidRPr="0059100A">
        <w:t xml:space="preserve">, </w:t>
      </w:r>
      <w:r>
        <w:t xml:space="preserve">local communities, </w:t>
      </w:r>
      <w:r w:rsidRPr="0059100A">
        <w:t xml:space="preserve">peasants, </w:t>
      </w:r>
      <w:r w:rsidRPr="006C1729">
        <w:rPr>
          <w:lang w:val="en-US"/>
        </w:rPr>
        <w:t>fisher</w:t>
      </w:r>
      <w:r>
        <w:rPr>
          <w:lang w:val="en-US"/>
        </w:rPr>
        <w:t xml:space="preserve">folks, </w:t>
      </w:r>
      <w:r w:rsidRPr="0059100A">
        <w:t xml:space="preserve">rural women, and other people working in rural areas. </w:t>
      </w:r>
      <w:r>
        <w:t>SRM</w:t>
      </w:r>
      <w:r w:rsidRPr="0086442D">
        <w:t xml:space="preserve"> risk</w:t>
      </w:r>
      <w:r>
        <w:t>s</w:t>
      </w:r>
      <w:r w:rsidRPr="0086442D">
        <w:t xml:space="preserve"> disrupting local and regional weather patterns and further imbalance the already changed climate, with potentially catastrophic effects, including </w:t>
      </w:r>
      <w:r>
        <w:t xml:space="preserve">on </w:t>
      </w:r>
      <w:r w:rsidRPr="0086442D">
        <w:t xml:space="preserve">water availability and food </w:t>
      </w:r>
      <w:r w:rsidRPr="00BC5BB6">
        <w:t xml:space="preserve">production. </w:t>
      </w:r>
      <w:r>
        <w:t>Several</w:t>
      </w:r>
      <w:r w:rsidRPr="00BC5BB6">
        <w:t xml:space="preserve"> technologies</w:t>
      </w:r>
      <w:r>
        <w:t xml:space="preserve"> </w:t>
      </w:r>
      <w:r w:rsidRPr="00BC5BB6">
        <w:t xml:space="preserve">could have </w:t>
      </w:r>
      <w:r>
        <w:t xml:space="preserve">transboundary </w:t>
      </w:r>
      <w:r w:rsidRPr="00BC5BB6">
        <w:t xml:space="preserve">side-effects in </w:t>
      </w:r>
      <w:proofErr w:type="spellStart"/>
      <w:r w:rsidRPr="00BC5BB6">
        <w:t>neighboring</w:t>
      </w:r>
      <w:proofErr w:type="spellEnd"/>
      <w:r w:rsidRPr="00BC5BB6">
        <w:t xml:space="preserve"> countries or across the world. Social consequences </w:t>
      </w:r>
      <w:r w:rsidRPr="00BC5BB6">
        <w:rPr>
          <w:lang w:val="en-US"/>
        </w:rPr>
        <w:t>would</w:t>
      </w:r>
      <w:r>
        <w:rPr>
          <w:lang w:val="en-US"/>
        </w:rPr>
        <w:t xml:space="preserve"> likely</w:t>
      </w:r>
      <w:r w:rsidRPr="00BC5BB6">
        <w:rPr>
          <w:lang w:val="en-US"/>
        </w:rPr>
        <w:t xml:space="preserve"> be</w:t>
      </w:r>
      <w:r w:rsidRPr="00BC5BB6">
        <w:t xml:space="preserve"> uneven geographically,</w:t>
      </w:r>
      <w:r w:rsidRPr="00C04BB4">
        <w:rPr>
          <w:lang w:val="en-US"/>
        </w:rPr>
        <w:t xml:space="preserve"> for e</w:t>
      </w:r>
      <w:r>
        <w:rPr>
          <w:lang w:val="en-US"/>
        </w:rPr>
        <w:t>xample</w:t>
      </w:r>
      <w:r w:rsidRPr="00BC5BB6">
        <w:t xml:space="preserve"> </w:t>
      </w:r>
      <w:r w:rsidRPr="00C04BB4">
        <w:rPr>
          <w:lang w:val="en-US"/>
        </w:rPr>
        <w:t xml:space="preserve">through </w:t>
      </w:r>
      <w:r>
        <w:rPr>
          <w:lang w:val="en-US"/>
        </w:rPr>
        <w:t xml:space="preserve">hydrological cycle disruption </w:t>
      </w:r>
      <w:r w:rsidRPr="00BC5BB6">
        <w:t xml:space="preserve">potentially harsher for poorer </w:t>
      </w:r>
      <w:r>
        <w:t>S</w:t>
      </w:r>
      <w:r w:rsidRPr="00BC5BB6">
        <w:t xml:space="preserve">tates and the </w:t>
      </w:r>
      <w:r w:rsidRPr="00BC5BB6">
        <w:rPr>
          <w:lang w:val="en-US"/>
        </w:rPr>
        <w:t>G</w:t>
      </w:r>
      <w:r w:rsidRPr="00BC5BB6">
        <w:t xml:space="preserve">lobal </w:t>
      </w:r>
      <w:r w:rsidRPr="00BC5BB6">
        <w:rPr>
          <w:lang w:val="en-US"/>
        </w:rPr>
        <w:t>S</w:t>
      </w:r>
      <w:proofErr w:type="spellStart"/>
      <w:r w:rsidRPr="00BC5BB6">
        <w:t>outh</w:t>
      </w:r>
      <w:proofErr w:type="spellEnd"/>
      <w:r w:rsidRPr="00BC5BB6">
        <w:t>, depending on where certain technologies</w:t>
      </w:r>
      <w:r w:rsidRPr="00E53B53">
        <w:t xml:space="preserve"> are used</w:t>
      </w:r>
      <w:r w:rsidRPr="00C04BB4">
        <w:rPr>
          <w:lang w:val="en-US"/>
        </w:rPr>
        <w:t xml:space="preserve"> (see</w:t>
      </w:r>
      <w:r>
        <w:rPr>
          <w:lang w:val="en-US"/>
        </w:rPr>
        <w:t xml:space="preserve"> Annex 1)</w:t>
      </w:r>
      <w:r w:rsidRPr="00E53B53">
        <w:t xml:space="preserve">. </w:t>
      </w:r>
      <w:r>
        <w:t>That may in turn strengthen entrenched</w:t>
      </w:r>
      <w:r w:rsidRPr="00E53B53">
        <w:t xml:space="preserve"> inequalities and deepen</w:t>
      </w:r>
      <w:r>
        <w:t xml:space="preserve"> </w:t>
      </w:r>
      <w:r w:rsidRPr="00E53B53">
        <w:t>climate injustice.</w:t>
      </w:r>
      <w:r>
        <w:t xml:space="preserve"> </w:t>
      </w:r>
    </w:p>
    <w:p w14:paraId="10A8E1EF" w14:textId="77777777" w:rsidR="00D2735B" w:rsidRPr="00CE12D8" w:rsidRDefault="00D2735B" w:rsidP="00D2735B">
      <w:pPr>
        <w:pStyle w:val="SingleTxtG"/>
        <w:rPr>
          <w:lang w:val="en-US"/>
        </w:rPr>
      </w:pPr>
      <w:r>
        <w:rPr>
          <w:lang w:val="en-US"/>
        </w:rPr>
        <w:t>19.</w:t>
      </w:r>
      <w:r>
        <w:rPr>
          <w:lang w:val="en-US"/>
        </w:rPr>
        <w:tab/>
        <w:t xml:space="preserve">According to IPCC, many NTCPs </w:t>
      </w:r>
      <w:r w:rsidRPr="00473F0B">
        <w:rPr>
          <w:rFonts w:hint="eastAsia"/>
        </w:rPr>
        <w:t xml:space="preserve">can have adverse socio-economic impacts, especially if implemented at large scales and where land tenure is insecure. </w:t>
      </w:r>
      <w:r>
        <w:rPr>
          <w:lang w:val="en-US"/>
        </w:rPr>
        <w:t>The Panel warns against dependence on CDR as constraint to sustainable development.</w:t>
      </w:r>
      <w:r w:rsidRPr="00473F0B">
        <w:rPr>
          <w:vertAlign w:val="superscript"/>
        </w:rPr>
        <w:footnoteReference w:id="19"/>
      </w:r>
      <w:r>
        <w:rPr>
          <w:lang w:val="en-US"/>
        </w:rPr>
        <w:t xml:space="preserve"> It emphasizes that s</w:t>
      </w:r>
      <w:proofErr w:type="spellStart"/>
      <w:r w:rsidRPr="00D80427">
        <w:rPr>
          <w:rFonts w:hint="eastAsia"/>
        </w:rPr>
        <w:t>ocietal</w:t>
      </w:r>
      <w:proofErr w:type="spellEnd"/>
      <w:r w:rsidRPr="00D80427">
        <w:rPr>
          <w:rFonts w:hint="eastAsia"/>
        </w:rPr>
        <w:t xml:space="preserve"> choices and actions implemented in this decade determine the extent to which medium- and long-term pathways will deliver higher or lower climate resilient development</w:t>
      </w:r>
      <w:r>
        <w:rPr>
          <w:lang w:val="en-US"/>
        </w:rPr>
        <w:t>. In this light NTCPs only weaken the time pressure to take appropriate actions</w:t>
      </w:r>
      <w:r>
        <w:rPr>
          <w:rStyle w:val="FootnoteReference"/>
          <w:lang w:val="en-US"/>
        </w:rPr>
        <w:footnoteReference w:id="20"/>
      </w:r>
      <w:r>
        <w:rPr>
          <w:lang w:val="en-US"/>
        </w:rPr>
        <w:t xml:space="preserve"> and they pose overarching risks to </w:t>
      </w:r>
      <w:r w:rsidRPr="00363EB9">
        <w:rPr>
          <w:lang w:val="en-US"/>
        </w:rPr>
        <w:t>equity, inclusion and just transitions</w:t>
      </w:r>
      <w:r>
        <w:rPr>
          <w:lang w:val="en-US"/>
        </w:rPr>
        <w:t xml:space="preserve">, which </w:t>
      </w:r>
      <w:r w:rsidRPr="00363EB9">
        <w:rPr>
          <w:lang w:val="en-US"/>
        </w:rPr>
        <w:t>enable deeper societal ambitions for accelerated mitigation and climate action more broadly</w:t>
      </w:r>
      <w:r>
        <w:rPr>
          <w:lang w:val="en-US"/>
        </w:rPr>
        <w:t>.</w:t>
      </w:r>
      <w:r w:rsidRPr="00363EB9">
        <w:rPr>
          <w:vertAlign w:val="superscript"/>
          <w:lang w:val="en-US"/>
        </w:rPr>
        <w:footnoteReference w:id="21"/>
      </w:r>
      <w:r>
        <w:rPr>
          <w:lang w:val="en-US"/>
        </w:rPr>
        <w:t xml:space="preserve"> </w:t>
      </w:r>
    </w:p>
    <w:p w14:paraId="39F047F8" w14:textId="77777777" w:rsidR="00D2735B" w:rsidRPr="00E53B53" w:rsidRDefault="00D2735B" w:rsidP="00D2735B">
      <w:pPr>
        <w:pStyle w:val="SingleTxtG"/>
      </w:pPr>
      <w:r>
        <w:rPr>
          <w:lang w:val="en-US"/>
        </w:rPr>
        <w:t>20</w:t>
      </w:r>
      <w:r w:rsidRPr="00CE12D8">
        <w:rPr>
          <w:lang w:val="en-US"/>
        </w:rPr>
        <w:t>.</w:t>
      </w:r>
      <w:r>
        <w:rPr>
          <w:lang w:val="en-US"/>
        </w:rPr>
        <w:tab/>
      </w:r>
      <w:r w:rsidRPr="00E53B53">
        <w:t xml:space="preserve">Surveys show that </w:t>
      </w:r>
      <w:r>
        <w:t>people</w:t>
      </w:r>
      <w:r w:rsidRPr="00E53B53">
        <w:t xml:space="preserve"> </w:t>
      </w:r>
      <w:r w:rsidRPr="00066F4A">
        <w:rPr>
          <w:lang w:val="en-US"/>
        </w:rPr>
        <w:t>worldwide</w:t>
      </w:r>
      <w:r w:rsidRPr="00E53B53">
        <w:t xml:space="preserve"> are not familiar with </w:t>
      </w:r>
      <w:r>
        <w:t>CDR nor SRM</w:t>
      </w:r>
      <w:r w:rsidRPr="0059100A">
        <w:t xml:space="preserve">. </w:t>
      </w:r>
      <w:r>
        <w:t xml:space="preserve">This </w:t>
      </w:r>
      <w:r w:rsidRPr="00E53B53">
        <w:t xml:space="preserve">may result in increased distrust should a technology be used </w:t>
      </w:r>
      <w:r w:rsidRPr="00066F4A">
        <w:rPr>
          <w:lang w:val="en-US"/>
        </w:rPr>
        <w:t>on</w:t>
      </w:r>
      <w:r w:rsidRPr="00E53B53">
        <w:t xml:space="preserve"> a larger scale</w:t>
      </w:r>
      <w:r w:rsidRPr="00066F4A">
        <w:rPr>
          <w:lang w:val="en-US"/>
        </w:rPr>
        <w:t>,</w:t>
      </w:r>
      <w:r w:rsidRPr="0059100A">
        <w:t xml:space="preserve"> </w:t>
      </w:r>
      <w:proofErr w:type="spellStart"/>
      <w:r w:rsidRPr="0059100A">
        <w:t>fue</w:t>
      </w:r>
      <w:r>
        <w:t>ling</w:t>
      </w:r>
      <w:proofErr w:type="spellEnd"/>
      <w:r>
        <w:t xml:space="preserve"> </w:t>
      </w:r>
      <w:r w:rsidRPr="00E53B53">
        <w:t xml:space="preserve">conspiracy theories </w:t>
      </w:r>
      <w:r w:rsidRPr="0059100A">
        <w:t>in</w:t>
      </w:r>
      <w:r w:rsidRPr="00E53B53">
        <w:t xml:space="preserve"> relation to </w:t>
      </w:r>
      <w:r>
        <w:t>NTCPs</w:t>
      </w:r>
      <w:r w:rsidRPr="00E53B53">
        <w:t xml:space="preserve">. Given popularity of disinformation campaigns and their usage as tools of internal and international political conflicts, climate technologies may become their subject, in which case it may be increasingly difficult to conduct an informed public debate about these methods. </w:t>
      </w:r>
      <w:r>
        <w:t>That would add to the g</w:t>
      </w:r>
      <w:r w:rsidRPr="00E53B53">
        <w:t>rowing distrust of technology and science.</w:t>
      </w:r>
    </w:p>
    <w:p w14:paraId="5205CD22" w14:textId="77777777" w:rsidR="00D2735B" w:rsidRPr="004905DA" w:rsidRDefault="00D2735B" w:rsidP="00D2735B">
      <w:pPr>
        <w:pStyle w:val="H1G"/>
        <w:rPr>
          <w:rFonts w:asciiTheme="majorBidi" w:hAnsiTheme="majorBidi"/>
        </w:rPr>
      </w:pPr>
      <w:r>
        <w:lastRenderedPageBreak/>
        <w:tab/>
        <w:t>C.</w:t>
      </w:r>
      <w:r>
        <w:tab/>
      </w:r>
      <w:r w:rsidRPr="004905DA">
        <w:t>Vested interests</w:t>
      </w:r>
      <w:r w:rsidRPr="004905DA">
        <w:rPr>
          <w:rFonts w:asciiTheme="majorBidi" w:hAnsiTheme="majorBidi"/>
        </w:rPr>
        <w:t xml:space="preserve"> </w:t>
      </w:r>
    </w:p>
    <w:p w14:paraId="439B7B9A" w14:textId="6E99E84D" w:rsidR="00D2735B" w:rsidRPr="005E4DFC" w:rsidRDefault="00D2735B" w:rsidP="00D2735B">
      <w:pPr>
        <w:pStyle w:val="SingleTxtG"/>
        <w:rPr>
          <w:rFonts w:asciiTheme="majorBidi" w:hAnsiTheme="majorBidi" w:cstheme="majorBidi"/>
        </w:rPr>
      </w:pPr>
      <w:r>
        <w:rPr>
          <w:rFonts w:asciiTheme="majorBidi" w:hAnsiTheme="majorBidi" w:cstheme="majorBidi"/>
        </w:rPr>
        <w:t>21</w:t>
      </w:r>
      <w:r w:rsidRPr="004905DA">
        <w:rPr>
          <w:rFonts w:asciiTheme="majorBidi" w:hAnsiTheme="majorBidi" w:cstheme="majorBidi"/>
          <w:bCs/>
        </w:rPr>
        <w:t>.</w:t>
      </w:r>
      <w:r>
        <w:rPr>
          <w:rFonts w:asciiTheme="majorBidi" w:hAnsiTheme="majorBidi" w:cstheme="majorBidi"/>
          <w:b/>
          <w:bCs/>
        </w:rPr>
        <w:tab/>
      </w:r>
      <w:r w:rsidRPr="00FA3B1A">
        <w:rPr>
          <w:rFonts w:asciiTheme="majorBidi" w:hAnsiTheme="majorBidi" w:cstheme="majorBidi"/>
        </w:rPr>
        <w:t xml:space="preserve">There </w:t>
      </w:r>
      <w:r>
        <w:rPr>
          <w:rFonts w:asciiTheme="majorBidi" w:hAnsiTheme="majorBidi" w:cstheme="majorBidi"/>
        </w:rPr>
        <w:t>w</w:t>
      </w:r>
      <w:r w:rsidRPr="00FA3B1A">
        <w:rPr>
          <w:rFonts w:asciiTheme="majorBidi" w:hAnsiTheme="majorBidi" w:cstheme="majorBidi"/>
        </w:rPr>
        <w:t>ould be</w:t>
      </w:r>
      <w:r>
        <w:rPr>
          <w:rFonts w:asciiTheme="majorBidi" w:hAnsiTheme="majorBidi" w:cstheme="majorBidi"/>
          <w:b/>
          <w:bCs/>
        </w:rPr>
        <w:t xml:space="preserve"> </w:t>
      </w:r>
      <w:r>
        <w:rPr>
          <w:rFonts w:asciiTheme="majorBidi" w:hAnsiTheme="majorBidi" w:cstheme="majorBidi"/>
        </w:rPr>
        <w:t>v</w:t>
      </w:r>
      <w:r w:rsidRPr="00E53B53">
        <w:rPr>
          <w:rFonts w:asciiTheme="majorBidi" w:hAnsiTheme="majorBidi" w:cstheme="majorBidi"/>
        </w:rPr>
        <w:t>ested interests</w:t>
      </w:r>
      <w:r>
        <w:rPr>
          <w:rFonts w:asciiTheme="majorBidi" w:hAnsiTheme="majorBidi" w:cstheme="majorBidi"/>
        </w:rPr>
        <w:t xml:space="preserve"> (personal or group stakes)</w:t>
      </w:r>
      <w:r w:rsidRPr="00E53B53">
        <w:rPr>
          <w:rFonts w:asciiTheme="majorBidi" w:hAnsiTheme="majorBidi" w:cstheme="majorBidi"/>
        </w:rPr>
        <w:t xml:space="preserve"> in promoting </w:t>
      </w:r>
      <w:r>
        <w:rPr>
          <w:rFonts w:asciiTheme="majorBidi" w:hAnsiTheme="majorBidi" w:cstheme="majorBidi"/>
        </w:rPr>
        <w:t>NTCPs</w:t>
      </w:r>
      <w:r w:rsidRPr="00E53B53">
        <w:rPr>
          <w:rFonts w:asciiTheme="majorBidi" w:hAnsiTheme="majorBidi" w:cstheme="majorBidi"/>
        </w:rPr>
        <w:t>.</w:t>
      </w:r>
      <w:r>
        <w:rPr>
          <w:rFonts w:asciiTheme="majorBidi" w:hAnsiTheme="majorBidi" w:cstheme="majorBidi"/>
        </w:rPr>
        <w:t xml:space="preserve"> </w:t>
      </w:r>
      <w:r w:rsidRPr="00E53B53">
        <w:rPr>
          <w:rFonts w:asciiTheme="majorBidi" w:hAnsiTheme="majorBidi" w:cstheme="majorBidi"/>
        </w:rPr>
        <w:t xml:space="preserve">When </w:t>
      </w:r>
      <w:r>
        <w:rPr>
          <w:rFonts w:asciiTheme="majorBidi" w:hAnsiTheme="majorBidi" w:cstheme="majorBidi"/>
        </w:rPr>
        <w:t xml:space="preserve">the </w:t>
      </w:r>
      <w:r w:rsidRPr="00E53B53">
        <w:rPr>
          <w:rFonts w:asciiTheme="majorBidi" w:hAnsiTheme="majorBidi" w:cstheme="majorBidi"/>
        </w:rPr>
        <w:t xml:space="preserve">vested interest aspect is </w:t>
      </w:r>
      <w:r w:rsidRPr="0059100A">
        <w:rPr>
          <w:rFonts w:asciiTheme="majorBidi" w:hAnsiTheme="majorBidi" w:cstheme="majorBidi"/>
        </w:rPr>
        <w:t>combined with a relatively small pool of scientists researching the climatic (</w:t>
      </w:r>
      <w:proofErr w:type="spellStart"/>
      <w:r w:rsidRPr="0059100A">
        <w:rPr>
          <w:rFonts w:asciiTheme="majorBidi" w:hAnsiTheme="majorBidi" w:cstheme="majorBidi"/>
        </w:rPr>
        <w:t>physico</w:t>
      </w:r>
      <w:proofErr w:type="spellEnd"/>
      <w:r w:rsidRPr="0059100A">
        <w:rPr>
          <w:rFonts w:asciiTheme="majorBidi" w:hAnsiTheme="majorBidi" w:cstheme="majorBidi"/>
        </w:rPr>
        <w:t xml:space="preserve">-chemical) impact of these technologies there is a risk of </w:t>
      </w:r>
      <w:r w:rsidRPr="0059100A">
        <w:t>group</w:t>
      </w:r>
      <w:r w:rsidRPr="0059100A">
        <w:rPr>
          <w:rFonts w:asciiTheme="majorBidi" w:hAnsiTheme="majorBidi" w:cstheme="majorBidi"/>
        </w:rPr>
        <w:t xml:space="preserve"> think. </w:t>
      </w:r>
      <w:r>
        <w:rPr>
          <w:rFonts w:asciiTheme="majorBidi" w:hAnsiTheme="majorBidi" w:cstheme="majorBidi"/>
        </w:rPr>
        <w:t>According to several interviewees, there is</w:t>
      </w:r>
      <w:r w:rsidRPr="0059100A">
        <w:rPr>
          <w:rFonts w:asciiTheme="majorBidi" w:hAnsiTheme="majorBidi" w:cstheme="majorBidi"/>
        </w:rPr>
        <w:t xml:space="preserve"> a tendency of these groups to exaggerate certainties of a technology in question, while </w:t>
      </w:r>
      <w:r>
        <w:rPr>
          <w:rFonts w:asciiTheme="majorBidi" w:hAnsiTheme="majorBidi" w:cstheme="majorBidi"/>
        </w:rPr>
        <w:t>underplaying</w:t>
      </w:r>
      <w:r w:rsidRPr="0059100A">
        <w:rPr>
          <w:rFonts w:asciiTheme="majorBidi" w:hAnsiTheme="majorBidi" w:cstheme="majorBidi"/>
        </w:rPr>
        <w:t xml:space="preserve"> uncertainties. Additionally, discussions about impacts of technologies are mostly confined to physicists, climatologists, or other natural scientists with very limited involvement of social scientists, political scientists, economists, and specialists in non-natural sciences. </w:t>
      </w:r>
      <w:r w:rsidR="00396A18">
        <w:rPr>
          <w:rFonts w:asciiTheme="majorBidi" w:hAnsiTheme="majorBidi" w:cstheme="majorBidi"/>
        </w:rPr>
        <w:t>Most academic</w:t>
      </w:r>
      <w:r w:rsidRPr="0059100A">
        <w:rPr>
          <w:rFonts w:asciiTheme="majorBidi" w:hAnsiTheme="majorBidi" w:cstheme="majorBidi"/>
          <w:lang w:val="en-US"/>
        </w:rPr>
        <w:t xml:space="preserve"> papers </w:t>
      </w:r>
      <w:r w:rsidRPr="0059100A">
        <w:rPr>
          <w:rFonts w:asciiTheme="majorBidi" w:hAnsiTheme="majorBidi" w:cstheme="majorBidi"/>
        </w:rPr>
        <w:t xml:space="preserve">focus on </w:t>
      </w:r>
      <w:r w:rsidRPr="0059100A">
        <w:rPr>
          <w:rFonts w:asciiTheme="majorBidi" w:hAnsiTheme="majorBidi" w:cstheme="majorBidi"/>
          <w:lang w:val="en-US"/>
        </w:rPr>
        <w:t>nature-based</w:t>
      </w:r>
      <w:r w:rsidRPr="0059100A">
        <w:rPr>
          <w:rFonts w:asciiTheme="majorBidi" w:hAnsiTheme="majorBidi" w:cstheme="majorBidi"/>
        </w:rPr>
        <w:t xml:space="preserve"> CDR methods</w:t>
      </w:r>
      <w:r w:rsidRPr="0059100A">
        <w:rPr>
          <w:rFonts w:asciiTheme="majorBidi" w:hAnsiTheme="majorBidi" w:cstheme="majorBidi"/>
          <w:lang w:val="en-US"/>
        </w:rPr>
        <w:t>, and very few are published in social science or humanities journals. The scientific community working on CDR excludes social scientists at the research</w:t>
      </w:r>
      <w:r>
        <w:rPr>
          <w:rFonts w:asciiTheme="majorBidi" w:hAnsiTheme="majorBidi" w:cstheme="majorBidi"/>
          <w:lang w:val="en-US"/>
        </w:rPr>
        <w:t xml:space="preserve">, </w:t>
      </w:r>
      <w:proofErr w:type="gramStart"/>
      <w:r w:rsidRPr="0059100A">
        <w:rPr>
          <w:rFonts w:asciiTheme="majorBidi" w:hAnsiTheme="majorBidi" w:cstheme="majorBidi"/>
          <w:lang w:val="en-US"/>
        </w:rPr>
        <w:t>development</w:t>
      </w:r>
      <w:proofErr w:type="gramEnd"/>
      <w:r w:rsidRPr="0059100A">
        <w:rPr>
          <w:rFonts w:asciiTheme="majorBidi" w:hAnsiTheme="majorBidi" w:cstheme="majorBidi"/>
          <w:lang w:val="en-US"/>
        </w:rPr>
        <w:t xml:space="preserve"> and implementation</w:t>
      </w:r>
      <w:r>
        <w:rPr>
          <w:rFonts w:asciiTheme="majorBidi" w:hAnsiTheme="majorBidi" w:cstheme="majorBidi"/>
          <w:lang w:val="en-US"/>
        </w:rPr>
        <w:t xml:space="preserve"> </w:t>
      </w:r>
      <w:r w:rsidRPr="0059100A">
        <w:rPr>
          <w:rFonts w:asciiTheme="majorBidi" w:hAnsiTheme="majorBidi" w:cstheme="majorBidi"/>
          <w:lang w:val="en-US"/>
        </w:rPr>
        <w:t>stage</w:t>
      </w:r>
      <w:r>
        <w:rPr>
          <w:rFonts w:asciiTheme="majorBidi" w:hAnsiTheme="majorBidi" w:cstheme="majorBidi"/>
          <w:lang w:val="en-US"/>
        </w:rPr>
        <w:t>s</w:t>
      </w:r>
      <w:r w:rsidRPr="0059100A">
        <w:rPr>
          <w:rFonts w:asciiTheme="majorBidi" w:hAnsiTheme="majorBidi" w:cstheme="majorBidi"/>
          <w:lang w:val="en-US"/>
        </w:rPr>
        <w:t xml:space="preserve">. </w:t>
      </w:r>
      <w:r w:rsidRPr="0059100A">
        <w:rPr>
          <w:rFonts w:asciiTheme="majorBidi" w:hAnsiTheme="majorBidi" w:cstheme="majorBidi"/>
        </w:rPr>
        <w:t xml:space="preserve">Technofixes like </w:t>
      </w:r>
      <w:r w:rsidRPr="0059100A">
        <w:rPr>
          <w:rFonts w:asciiTheme="majorBidi" w:hAnsiTheme="majorBidi" w:cstheme="majorBidi"/>
          <w:lang w:val="en-US"/>
        </w:rPr>
        <w:t>climate engineering</w:t>
      </w:r>
      <w:r w:rsidRPr="0059100A">
        <w:rPr>
          <w:rFonts w:asciiTheme="majorBidi" w:hAnsiTheme="majorBidi" w:cstheme="majorBidi"/>
        </w:rPr>
        <w:t xml:space="preserve"> assume solutions without addressing root causes</w:t>
      </w:r>
      <w:r w:rsidRPr="00E42AFC">
        <w:rPr>
          <w:rFonts w:asciiTheme="majorBidi" w:hAnsiTheme="majorBidi" w:cstheme="majorBidi"/>
          <w:lang w:val="en-US"/>
        </w:rPr>
        <w:t xml:space="preserve"> </w:t>
      </w:r>
      <w:r>
        <w:rPr>
          <w:rFonts w:asciiTheme="majorBidi" w:hAnsiTheme="majorBidi" w:cstheme="majorBidi"/>
          <w:lang w:val="en-US"/>
        </w:rPr>
        <w:t xml:space="preserve">of climate </w:t>
      </w:r>
      <w:proofErr w:type="gramStart"/>
      <w:r>
        <w:rPr>
          <w:rFonts w:asciiTheme="majorBidi" w:hAnsiTheme="majorBidi" w:cstheme="majorBidi"/>
          <w:lang w:val="en-US"/>
        </w:rPr>
        <w:t>change</w:t>
      </w:r>
      <w:r w:rsidRPr="0059100A">
        <w:rPr>
          <w:rFonts w:asciiTheme="majorBidi" w:hAnsiTheme="majorBidi" w:cstheme="majorBidi"/>
        </w:rPr>
        <w:t>, and</w:t>
      </w:r>
      <w:proofErr w:type="gramEnd"/>
      <w:r w:rsidRPr="0059100A">
        <w:rPr>
          <w:rFonts w:asciiTheme="majorBidi" w:hAnsiTheme="majorBidi" w:cstheme="majorBidi"/>
        </w:rPr>
        <w:t xml:space="preserve"> are </w:t>
      </w:r>
      <w:r>
        <w:rPr>
          <w:rFonts w:asciiTheme="majorBidi" w:hAnsiTheme="majorBidi" w:cstheme="majorBidi"/>
          <w:lang w:val="en-US"/>
        </w:rPr>
        <w:t>often</w:t>
      </w:r>
      <w:r w:rsidRPr="0059100A">
        <w:rPr>
          <w:rFonts w:asciiTheme="majorBidi" w:hAnsiTheme="majorBidi" w:cstheme="majorBidi"/>
        </w:rPr>
        <w:t xml:space="preserve"> supported by proponents of polluting industries.</w:t>
      </w:r>
    </w:p>
    <w:p w14:paraId="3EE18C27" w14:textId="77777777" w:rsidR="00D2735B" w:rsidRPr="00BC5BB6" w:rsidRDefault="00D2735B" w:rsidP="00D2735B">
      <w:pPr>
        <w:pStyle w:val="H1G"/>
      </w:pPr>
      <w:r>
        <w:tab/>
        <w:t>D.</w:t>
      </w:r>
      <w:r>
        <w:tab/>
      </w:r>
      <w:r w:rsidRPr="004905DA">
        <w:t>Emission cuts deterrence and ‘greenwashing’</w:t>
      </w:r>
    </w:p>
    <w:p w14:paraId="6DCA7966" w14:textId="77777777" w:rsidR="00D2735B" w:rsidRDefault="00D2735B" w:rsidP="00D2735B">
      <w:pPr>
        <w:pStyle w:val="SingleTxtG"/>
      </w:pPr>
      <w:r w:rsidRPr="00832BB0">
        <w:t>2</w:t>
      </w:r>
      <w:r>
        <w:t>2.</w:t>
      </w:r>
      <w:r>
        <w:tab/>
      </w:r>
      <w:r w:rsidRPr="00E53B53">
        <w:t>The deterrence risk</w:t>
      </w:r>
      <w:r w:rsidRPr="006C1729">
        <w:rPr>
          <w:lang w:val="en-US"/>
        </w:rPr>
        <w:t xml:space="preserve"> of NTCPs</w:t>
      </w:r>
      <w:r>
        <w:rPr>
          <w:lang w:val="en-US"/>
        </w:rPr>
        <w:t>, as described in para 11,</w:t>
      </w:r>
      <w:r w:rsidRPr="00E53B53">
        <w:t xml:space="preserve"> is multi-faceted. It can be exacerbated by </w:t>
      </w:r>
      <w:r>
        <w:t>S</w:t>
      </w:r>
      <w:r w:rsidRPr="00E53B53">
        <w:t>tates, which are top emitters but can afford investment in these technologies and hence present their climate and energy goals as in accord with the Paris Agreement</w:t>
      </w:r>
      <w:r w:rsidRPr="00FA3B1A">
        <w:rPr>
          <w:lang w:val="en-US"/>
        </w:rPr>
        <w:t>,</w:t>
      </w:r>
      <w:r w:rsidRPr="00E53B53">
        <w:t xml:space="preserve"> </w:t>
      </w:r>
      <w:r w:rsidRPr="00FA3B1A">
        <w:rPr>
          <w:lang w:val="en-US"/>
        </w:rPr>
        <w:t>an</w:t>
      </w:r>
      <w:r w:rsidRPr="00E53B53">
        <w:t xml:space="preserve">d by business entities, which are interested in continued emissions but can buy carbon credits by investing in </w:t>
      </w:r>
      <w:r w:rsidRPr="00FA3B1A">
        <w:rPr>
          <w:lang w:val="en-US"/>
        </w:rPr>
        <w:t>NTC</w:t>
      </w:r>
      <w:r>
        <w:rPr>
          <w:lang w:val="en-US"/>
        </w:rPr>
        <w:t>Ps</w:t>
      </w:r>
      <w:r w:rsidRPr="00E53B53">
        <w:t xml:space="preserve">. Deterrence to cut emissions may be </w:t>
      </w:r>
      <w:r>
        <w:t>amplified</w:t>
      </w:r>
      <w:r w:rsidRPr="00E53B53">
        <w:t xml:space="preserve"> </w:t>
      </w:r>
      <w:proofErr w:type="gramStart"/>
      <w:r w:rsidRPr="00E53B53">
        <w:t>in the near future</w:t>
      </w:r>
      <w:proofErr w:type="gramEnd"/>
      <w:r w:rsidRPr="00E53B53">
        <w:t xml:space="preserve"> by public debate increasingly focused</w:t>
      </w:r>
      <w:r>
        <w:t xml:space="preserve"> on</w:t>
      </w:r>
      <w:r w:rsidRPr="00E53B53">
        <w:t xml:space="preserve"> and saturated with the topic of carbon removals rather than carbon cuts</w:t>
      </w:r>
      <w:r w:rsidRPr="006C1729">
        <w:rPr>
          <w:lang w:val="en-US"/>
        </w:rPr>
        <w:t>,</w:t>
      </w:r>
      <w:r>
        <w:rPr>
          <w:lang w:val="en-US"/>
        </w:rPr>
        <w:t xml:space="preserve"> </w:t>
      </w:r>
      <w:r>
        <w:t>and research path-dependencies</w:t>
      </w:r>
      <w:r w:rsidRPr="00E53B53">
        <w:t>.</w:t>
      </w:r>
      <w:r>
        <w:rPr>
          <w:rStyle w:val="FootnoteReference"/>
          <w:rFonts w:asciiTheme="majorBidi" w:hAnsiTheme="majorBidi" w:cstheme="majorBidi"/>
          <w:lang w:val="en-US"/>
        </w:rPr>
        <w:footnoteReference w:id="22"/>
      </w:r>
      <w:r w:rsidRPr="00E53B53">
        <w:t xml:space="preserve"> </w:t>
      </w:r>
    </w:p>
    <w:p w14:paraId="0BA037F7" w14:textId="2171BDB9" w:rsidR="00D2735B" w:rsidRPr="00BC5BB6" w:rsidRDefault="00D2735B" w:rsidP="00D2735B">
      <w:pPr>
        <w:pStyle w:val="SingleTxtG"/>
        <w:rPr>
          <w:rFonts w:asciiTheme="majorBidi" w:hAnsiTheme="majorBidi" w:cstheme="majorBidi"/>
        </w:rPr>
      </w:pPr>
      <w:r>
        <w:rPr>
          <w:rFonts w:asciiTheme="majorBidi" w:hAnsiTheme="majorBidi" w:cstheme="majorBidi"/>
        </w:rPr>
        <w:t>23.</w:t>
      </w:r>
      <w:r>
        <w:rPr>
          <w:rFonts w:asciiTheme="majorBidi" w:hAnsiTheme="majorBidi" w:cstheme="majorBidi"/>
        </w:rPr>
        <w:tab/>
      </w:r>
      <w:r w:rsidRPr="00BC5BB6">
        <w:rPr>
          <w:rFonts w:asciiTheme="majorBidi" w:hAnsiTheme="majorBidi" w:cstheme="majorBidi"/>
        </w:rPr>
        <w:t>F</w:t>
      </w:r>
      <w:r w:rsidRPr="00BC5BB6">
        <w:rPr>
          <w:rFonts w:asciiTheme="majorBidi" w:hAnsiTheme="majorBidi" w:cstheme="majorBidi"/>
          <w:bCs/>
        </w:rPr>
        <w:t xml:space="preserve">ossil fuels extraction and production companies can use </w:t>
      </w:r>
      <w:r>
        <w:rPr>
          <w:rFonts w:asciiTheme="majorBidi" w:hAnsiTheme="majorBidi" w:cstheme="majorBidi"/>
          <w:bCs/>
        </w:rPr>
        <w:t xml:space="preserve">the prospect of </w:t>
      </w:r>
      <w:r w:rsidRPr="00BC5BB6">
        <w:rPr>
          <w:rFonts w:asciiTheme="majorBidi" w:hAnsiTheme="majorBidi" w:cstheme="majorBidi"/>
          <w:bCs/>
        </w:rPr>
        <w:t xml:space="preserve">carbon capture and storage </w:t>
      </w:r>
      <w:r>
        <w:rPr>
          <w:rFonts w:asciiTheme="majorBidi" w:hAnsiTheme="majorBidi" w:cstheme="majorBidi"/>
          <w:bCs/>
        </w:rPr>
        <w:t>to justify</w:t>
      </w:r>
      <w:r w:rsidRPr="00BC5BB6">
        <w:rPr>
          <w:rFonts w:asciiTheme="majorBidi" w:hAnsiTheme="majorBidi" w:cstheme="majorBidi"/>
          <w:bCs/>
        </w:rPr>
        <w:t xml:space="preserve"> continue</w:t>
      </w:r>
      <w:r>
        <w:rPr>
          <w:rFonts w:asciiTheme="majorBidi" w:hAnsiTheme="majorBidi" w:cstheme="majorBidi"/>
          <w:bCs/>
        </w:rPr>
        <w:t>d</w:t>
      </w:r>
      <w:r w:rsidRPr="00BC5BB6">
        <w:rPr>
          <w:rFonts w:asciiTheme="majorBidi" w:hAnsiTheme="majorBidi" w:cstheme="majorBidi"/>
          <w:bCs/>
        </w:rPr>
        <w:t xml:space="preserve"> fossil fuel production. The business model of NTCPs raises questions of lack of transparency about investors, who are</w:t>
      </w:r>
      <w:r>
        <w:rPr>
          <w:rFonts w:asciiTheme="majorBidi" w:hAnsiTheme="majorBidi" w:cstheme="majorBidi"/>
          <w:bCs/>
        </w:rPr>
        <w:t xml:space="preserve"> often</w:t>
      </w:r>
      <w:r w:rsidRPr="00BC5BB6">
        <w:rPr>
          <w:rFonts w:asciiTheme="majorBidi" w:hAnsiTheme="majorBidi" w:cstheme="majorBidi"/>
          <w:bCs/>
        </w:rPr>
        <w:t xml:space="preserve"> big emitters, and their intentions. Investment in these technologies may be used to improve </w:t>
      </w:r>
      <w:r w:rsidRPr="00BC5BB6">
        <w:rPr>
          <w:rFonts w:asciiTheme="majorBidi" w:hAnsiTheme="majorBidi" w:cstheme="majorBidi"/>
        </w:rPr>
        <w:t xml:space="preserve">their otherwise negative </w:t>
      </w:r>
      <w:r>
        <w:rPr>
          <w:rFonts w:asciiTheme="majorBidi" w:hAnsiTheme="majorBidi" w:cstheme="majorBidi"/>
        </w:rPr>
        <w:t xml:space="preserve">public </w:t>
      </w:r>
      <w:r w:rsidRPr="00BC5BB6">
        <w:rPr>
          <w:rFonts w:asciiTheme="majorBidi" w:hAnsiTheme="majorBidi" w:cstheme="majorBidi"/>
        </w:rPr>
        <w:t xml:space="preserve">image. </w:t>
      </w:r>
      <w:r>
        <w:rPr>
          <w:rFonts w:asciiTheme="majorBidi" w:hAnsiTheme="majorBidi" w:cstheme="majorBidi"/>
        </w:rPr>
        <w:t>However</w:t>
      </w:r>
      <w:r w:rsidRPr="00BC5BB6">
        <w:rPr>
          <w:rFonts w:asciiTheme="majorBidi" w:hAnsiTheme="majorBidi" w:cstheme="majorBidi"/>
        </w:rPr>
        <w:t xml:space="preserve">, ill </w:t>
      </w:r>
      <w:r>
        <w:rPr>
          <w:rFonts w:asciiTheme="majorBidi" w:hAnsiTheme="majorBidi" w:cstheme="majorBidi"/>
        </w:rPr>
        <w:t>intentions</w:t>
      </w:r>
      <w:r w:rsidRPr="00BC5BB6">
        <w:rPr>
          <w:rFonts w:asciiTheme="majorBidi" w:hAnsiTheme="majorBidi" w:cstheme="majorBidi"/>
        </w:rPr>
        <w:t xml:space="preserve"> </w:t>
      </w:r>
      <w:r>
        <w:rPr>
          <w:rFonts w:asciiTheme="majorBidi" w:hAnsiTheme="majorBidi" w:cstheme="majorBidi"/>
        </w:rPr>
        <w:t>should not</w:t>
      </w:r>
      <w:r w:rsidRPr="00BC5BB6">
        <w:rPr>
          <w:rFonts w:asciiTheme="majorBidi" w:hAnsiTheme="majorBidi" w:cstheme="majorBidi"/>
        </w:rPr>
        <w:t xml:space="preserve"> be automatically assumed, as some companies claim they began CDR research and/or investment because of climate concern and deficiencies of currently available carbon credits.</w:t>
      </w:r>
    </w:p>
    <w:p w14:paraId="1C8FC697" w14:textId="23882BB7" w:rsidR="00D2735B" w:rsidRPr="00E53B53" w:rsidRDefault="00D2735B" w:rsidP="00D2735B">
      <w:pPr>
        <w:pStyle w:val="SingleTxtG"/>
      </w:pPr>
      <w:r w:rsidRPr="00BC5BB6">
        <w:t>2</w:t>
      </w:r>
      <w:r>
        <w:t>4</w:t>
      </w:r>
      <w:r w:rsidRPr="00BC5BB6">
        <w:t>.</w:t>
      </w:r>
      <w:r w:rsidRPr="00BC5BB6">
        <w:tab/>
        <w:t xml:space="preserve">Another cluster of risks pertains to carbon markets and carbon credits, used to offset emissions. </w:t>
      </w:r>
      <w:r w:rsidRPr="00BC5BB6">
        <w:rPr>
          <w:lang w:val="en-US"/>
        </w:rPr>
        <w:t>T</w:t>
      </w:r>
      <w:r w:rsidRPr="00BC5BB6">
        <w:t xml:space="preserve">he portion of carbon offsets from artificial CDR technologies is growing. Overall demand for credits has become larger than supply. The offset market is unregulated, </w:t>
      </w:r>
      <w:r>
        <w:t xml:space="preserve">many of </w:t>
      </w:r>
      <w:r w:rsidRPr="00BC5BB6">
        <w:t>the credits sold do not meet efficiency goals or, simply, do not contribute to emissions reductions at all</w:t>
      </w:r>
      <w:r w:rsidRPr="00FA3B1A">
        <w:rPr>
          <w:lang w:val="en-US"/>
        </w:rPr>
        <w:t xml:space="preserve"> </w:t>
      </w:r>
      <w:r>
        <w:rPr>
          <w:lang w:val="en-US"/>
        </w:rPr>
        <w:t>(see Annex 1)</w:t>
      </w:r>
      <w:r w:rsidRPr="00BC5BB6">
        <w:t xml:space="preserve">. The problems, revealed in studies on the most common rainforest protection credits, may reoccur in CDR credits if methodologies, </w:t>
      </w:r>
      <w:proofErr w:type="gramStart"/>
      <w:r w:rsidRPr="00BC5BB6">
        <w:t>certification</w:t>
      </w:r>
      <w:proofErr w:type="gramEnd"/>
      <w:r w:rsidRPr="00BC5BB6">
        <w:t xml:space="preserve"> and oversight are not objectively and rigidly administered, regulated and conflicts of interest </w:t>
      </w:r>
      <w:r w:rsidRPr="00BC5BB6">
        <w:rPr>
          <w:lang w:val="en-US"/>
        </w:rPr>
        <w:t>are</w:t>
      </w:r>
      <w:r>
        <w:rPr>
          <w:lang w:val="en-US"/>
        </w:rPr>
        <w:t xml:space="preserve"> </w:t>
      </w:r>
      <w:r w:rsidRPr="00BC5BB6">
        <w:rPr>
          <w:lang w:val="en-US"/>
        </w:rPr>
        <w:t>n</w:t>
      </w:r>
      <w:r>
        <w:rPr>
          <w:lang w:val="en-US"/>
        </w:rPr>
        <w:t>o</w:t>
      </w:r>
      <w:r w:rsidRPr="00BC5BB6">
        <w:rPr>
          <w:lang w:val="en-US"/>
        </w:rPr>
        <w:t xml:space="preserve">t </w:t>
      </w:r>
      <w:r w:rsidRPr="00BC5BB6">
        <w:t>avoided. If the situation persists, it will not only work against emission</w:t>
      </w:r>
      <w:r w:rsidRPr="00E53B53">
        <w:t xml:space="preserve"> cuts but expand </w:t>
      </w:r>
      <w:r w:rsidRPr="00FA3B1A">
        <w:rPr>
          <w:lang w:val="en-US"/>
        </w:rPr>
        <w:t>opportunitie</w:t>
      </w:r>
      <w:r>
        <w:rPr>
          <w:lang w:val="en-US"/>
        </w:rPr>
        <w:t>s</w:t>
      </w:r>
      <w:r w:rsidRPr="00E53B53">
        <w:t xml:space="preserve"> for greenwashing, misinformation, and social distrust of these technologies. Currently, major emitters already put offsetting at the heart of their climate strategies rather than </w:t>
      </w:r>
      <w:r>
        <w:t>emission reductions</w:t>
      </w:r>
      <w:r w:rsidRPr="00E53B53">
        <w:t>.</w:t>
      </w:r>
    </w:p>
    <w:p w14:paraId="52C249C0" w14:textId="77777777" w:rsidR="00D2735B" w:rsidRPr="004905DA" w:rsidRDefault="00D2735B" w:rsidP="00D2735B">
      <w:pPr>
        <w:pStyle w:val="H1G"/>
      </w:pPr>
      <w:r>
        <w:tab/>
        <w:t>E.</w:t>
      </w:r>
      <w:r>
        <w:tab/>
      </w:r>
      <w:r w:rsidRPr="004905DA">
        <w:t xml:space="preserve">Other ethical risks </w:t>
      </w:r>
    </w:p>
    <w:p w14:paraId="02941BC0" w14:textId="77777777" w:rsidR="00D2735B" w:rsidRDefault="00D2735B" w:rsidP="00D2735B">
      <w:pPr>
        <w:pStyle w:val="SingleTxtG"/>
      </w:pPr>
      <w:r w:rsidRPr="00832BB0">
        <w:rPr>
          <w:bCs/>
        </w:rPr>
        <w:t>2</w:t>
      </w:r>
      <w:r>
        <w:rPr>
          <w:bCs/>
        </w:rPr>
        <w:t>5</w:t>
      </w:r>
      <w:r w:rsidRPr="004905DA">
        <w:rPr>
          <w:bCs/>
        </w:rPr>
        <w:t>.</w:t>
      </w:r>
      <w:r>
        <w:rPr>
          <w:bCs/>
        </w:rPr>
        <w:tab/>
      </w:r>
      <w:r w:rsidRPr="00E53B53">
        <w:t xml:space="preserve">NTCPs, which are unproven at large scale, may create climate-related harms in the future if these technologies prove not as efficient as </w:t>
      </w:r>
      <w:proofErr w:type="spellStart"/>
      <w:r w:rsidRPr="00E53B53">
        <w:t>assum</w:t>
      </w:r>
      <w:proofErr w:type="spellEnd"/>
      <w:r w:rsidRPr="00A948AF">
        <w:rPr>
          <w:lang w:val="en-US"/>
        </w:rPr>
        <w:t>ed</w:t>
      </w:r>
      <w:r>
        <w:rPr>
          <w:lang w:val="en-US"/>
        </w:rPr>
        <w:t xml:space="preserve"> by some</w:t>
      </w:r>
      <w:r w:rsidRPr="00E53B53">
        <w:t xml:space="preserve">. If the gamble fails, </w:t>
      </w:r>
      <w:r w:rsidRPr="00A948AF">
        <w:rPr>
          <w:lang w:val="en-US"/>
        </w:rPr>
        <w:t>pre</w:t>
      </w:r>
      <w:r>
        <w:rPr>
          <w:lang w:val="en-US"/>
        </w:rPr>
        <w:t xml:space="preserve">sent and </w:t>
      </w:r>
      <w:r w:rsidRPr="00BC5BB6">
        <w:t xml:space="preserve">future generations and the poorest </w:t>
      </w:r>
      <w:r>
        <w:rPr>
          <w:lang w:val="en-US"/>
        </w:rPr>
        <w:t xml:space="preserve">within them </w:t>
      </w:r>
      <w:r w:rsidRPr="00BC5BB6">
        <w:t xml:space="preserve">will bear the cost of that failure. Another ethical risk is called “hubris” in literature. Large-scale NTCPs deployment, assumed in scenarios, may greatly overestimate </w:t>
      </w:r>
      <w:r>
        <w:t xml:space="preserve">the </w:t>
      </w:r>
      <w:r w:rsidRPr="00BC5BB6">
        <w:t xml:space="preserve">human ability to understand complex natural </w:t>
      </w:r>
      <w:r w:rsidRPr="00BC5BB6">
        <w:lastRenderedPageBreak/>
        <w:t xml:space="preserve">systems and manage carbon cycle flows, thereby risking doing more harm than good. </w:t>
      </w:r>
      <w:r w:rsidRPr="00066F4A">
        <w:t>If climate change is a socially created problem, it may not be solvable technologically.</w:t>
      </w:r>
      <w:r w:rsidRPr="00BC5BB6">
        <w:t xml:space="preserve"> </w:t>
      </w:r>
    </w:p>
    <w:p w14:paraId="06F955CB" w14:textId="711E6221" w:rsidR="00D2735B" w:rsidRPr="007253CE" w:rsidRDefault="00D2735B" w:rsidP="00D2735B">
      <w:pPr>
        <w:pStyle w:val="SingleTxtG"/>
        <w:rPr>
          <w:rFonts w:asciiTheme="majorBidi" w:hAnsiTheme="majorBidi" w:cstheme="majorBidi"/>
          <w:bCs/>
          <w:iCs/>
        </w:rPr>
      </w:pPr>
      <w:r>
        <w:rPr>
          <w:rFonts w:asciiTheme="majorBidi" w:hAnsiTheme="majorBidi" w:cstheme="majorBidi"/>
          <w:bCs/>
          <w:iCs/>
          <w:lang w:val="en-US"/>
        </w:rPr>
        <w:t>26.</w:t>
      </w:r>
      <w:r>
        <w:rPr>
          <w:rFonts w:asciiTheme="majorBidi" w:hAnsiTheme="majorBidi" w:cstheme="majorBidi"/>
          <w:bCs/>
          <w:iCs/>
          <w:lang w:val="en-US"/>
        </w:rPr>
        <w:tab/>
        <w:t>NTCPs may promote systemic close-mindedness and avert structural change.</w:t>
      </w:r>
      <w:r>
        <w:rPr>
          <w:rFonts w:asciiTheme="majorBidi" w:hAnsiTheme="majorBidi" w:cstheme="majorBidi"/>
          <w:bCs/>
          <w:iCs/>
        </w:rPr>
        <w:t xml:space="preserve"> </w:t>
      </w:r>
      <w:r w:rsidRPr="00663593">
        <w:rPr>
          <w:rFonts w:asciiTheme="majorBidi" w:hAnsiTheme="majorBidi" w:cstheme="majorBidi"/>
          <w:bCs/>
          <w:iCs/>
        </w:rPr>
        <w:t xml:space="preserve">Inequalities are constantly rising, while solely profit-driven business model dominates global economy. </w:t>
      </w:r>
      <w:r w:rsidRPr="006C1729">
        <w:rPr>
          <w:rFonts w:asciiTheme="majorBidi" w:hAnsiTheme="majorBidi" w:cstheme="majorBidi"/>
          <w:bCs/>
          <w:iCs/>
        </w:rPr>
        <w:t>Structural inequalities are also baked into economic modelling that underpins climate mitigation scenarios, thus limiting the number of imagined futures and they all assume continued injustices</w:t>
      </w:r>
      <w:r w:rsidRPr="00492F09">
        <w:rPr>
          <w:rFonts w:asciiTheme="majorBidi" w:hAnsiTheme="majorBidi" w:cstheme="majorBidi"/>
          <w:bCs/>
          <w:iCs/>
        </w:rPr>
        <w:t>.</w:t>
      </w:r>
      <w:r w:rsidRPr="00663593">
        <w:rPr>
          <w:rFonts w:asciiTheme="majorBidi" w:hAnsiTheme="majorBidi" w:cstheme="majorBidi"/>
          <w:bCs/>
          <w:iCs/>
        </w:rPr>
        <w:t xml:space="preserve"> </w:t>
      </w:r>
      <w:r w:rsidR="00407D0D">
        <w:rPr>
          <w:bCs/>
        </w:rPr>
        <w:t>F</w:t>
      </w:r>
      <w:r w:rsidRPr="00663593">
        <w:rPr>
          <w:bCs/>
        </w:rPr>
        <w:t>ailure to design and implement effective and equitable mitigation plans that will rapidly achieve emission reduction targets is inconsistent with the obligation of States to protect human rights from grave and foreseeable risks.</w:t>
      </w:r>
      <w:r w:rsidRPr="00663593">
        <w:rPr>
          <w:rStyle w:val="FootnoteReference"/>
          <w:rFonts w:asciiTheme="majorBidi" w:hAnsiTheme="majorBidi" w:cstheme="majorBidi"/>
          <w:bCs/>
        </w:rPr>
        <w:footnoteReference w:id="23"/>
      </w:r>
    </w:p>
    <w:p w14:paraId="265CF357" w14:textId="77777777" w:rsidR="00D2735B" w:rsidRPr="00BC5BB6" w:rsidRDefault="00D2735B" w:rsidP="00D2735B">
      <w:pPr>
        <w:pStyle w:val="H1G"/>
      </w:pPr>
      <w:r w:rsidRPr="00BC5BB6">
        <w:tab/>
      </w:r>
      <w:r>
        <w:t>F.</w:t>
      </w:r>
      <w:r w:rsidRPr="00BC5BB6">
        <w:tab/>
        <w:t xml:space="preserve">Political and security risks </w:t>
      </w:r>
    </w:p>
    <w:p w14:paraId="56F0099E" w14:textId="77777777" w:rsidR="00D2735B" w:rsidRPr="00BC5BB6" w:rsidRDefault="00D2735B" w:rsidP="00D2735B">
      <w:pPr>
        <w:pStyle w:val="SingleTxtG"/>
        <w:rPr>
          <w:rFonts w:asciiTheme="majorBidi" w:hAnsiTheme="majorBidi" w:cstheme="majorBidi"/>
          <w:lang w:val="en-US"/>
        </w:rPr>
      </w:pPr>
      <w:r w:rsidRPr="00BC5BB6">
        <w:rPr>
          <w:rFonts w:asciiTheme="majorBidi" w:hAnsiTheme="majorBidi" w:cstheme="majorBidi"/>
          <w:bCs/>
          <w:lang w:val="en-US"/>
        </w:rPr>
        <w:t>2</w:t>
      </w:r>
      <w:r>
        <w:rPr>
          <w:rFonts w:asciiTheme="majorBidi" w:hAnsiTheme="majorBidi" w:cstheme="majorBidi"/>
          <w:bCs/>
          <w:lang w:val="en-US"/>
        </w:rPr>
        <w:t>7</w:t>
      </w:r>
      <w:r w:rsidRPr="00BC5BB6">
        <w:rPr>
          <w:rFonts w:asciiTheme="majorBidi" w:hAnsiTheme="majorBidi" w:cstheme="majorBidi"/>
          <w:lang w:val="en-US"/>
        </w:rPr>
        <w:t>.</w:t>
      </w:r>
      <w:r w:rsidRPr="00BC5BB6">
        <w:rPr>
          <w:rFonts w:asciiTheme="majorBidi" w:hAnsiTheme="majorBidi" w:cstheme="majorBidi"/>
          <w:lang w:val="en-US"/>
        </w:rPr>
        <w:tab/>
        <w:t xml:space="preserve">Climate </w:t>
      </w:r>
      <w:r>
        <w:rPr>
          <w:rFonts w:asciiTheme="majorBidi" w:hAnsiTheme="majorBidi" w:cstheme="majorBidi"/>
          <w:lang w:val="en-US"/>
        </w:rPr>
        <w:t>change per se</w:t>
      </w:r>
      <w:r w:rsidRPr="00BC5BB6">
        <w:rPr>
          <w:rFonts w:asciiTheme="majorBidi" w:hAnsiTheme="majorBidi" w:cstheme="majorBidi"/>
          <w:lang w:val="en-US"/>
        </w:rPr>
        <w:t xml:space="preserve">, apart from the </w:t>
      </w:r>
      <w:r>
        <w:rPr>
          <w:rFonts w:asciiTheme="majorBidi" w:hAnsiTheme="majorBidi" w:cstheme="majorBidi"/>
          <w:lang w:val="en-US"/>
        </w:rPr>
        <w:t>principle of common but differentiated responsibilities and respective capacities</w:t>
      </w:r>
      <w:r w:rsidRPr="00BC5BB6">
        <w:rPr>
          <w:rFonts w:asciiTheme="majorBidi" w:hAnsiTheme="majorBidi" w:cstheme="majorBidi"/>
          <w:lang w:val="en-US"/>
        </w:rPr>
        <w:t>, has</w:t>
      </w:r>
      <w:r>
        <w:rPr>
          <w:rFonts w:asciiTheme="majorBidi" w:hAnsiTheme="majorBidi" w:cstheme="majorBidi"/>
          <w:lang w:val="en-US"/>
        </w:rPr>
        <w:t xml:space="preserve"> largely</w:t>
      </w:r>
      <w:r w:rsidRPr="00BC5BB6">
        <w:rPr>
          <w:rFonts w:asciiTheme="majorBidi" w:hAnsiTheme="majorBidi" w:cstheme="majorBidi"/>
          <w:lang w:val="en-US"/>
        </w:rPr>
        <w:t xml:space="preserve"> not been a subject of </w:t>
      </w:r>
      <w:r>
        <w:rPr>
          <w:rFonts w:asciiTheme="majorBidi" w:hAnsiTheme="majorBidi" w:cstheme="majorBidi"/>
          <w:lang w:val="en-US"/>
        </w:rPr>
        <w:t xml:space="preserve">international </w:t>
      </w:r>
      <w:r w:rsidRPr="00070BA0">
        <w:rPr>
          <w:rFonts w:asciiTheme="majorBidi" w:hAnsiTheme="majorBidi" w:cstheme="majorBidi"/>
          <w:lang w:val="en-US"/>
        </w:rPr>
        <w:t>political conflict. Currently</w:t>
      </w:r>
      <w:r w:rsidRPr="00BC5BB6">
        <w:rPr>
          <w:rFonts w:asciiTheme="majorBidi" w:hAnsiTheme="majorBidi" w:cstheme="majorBidi"/>
          <w:lang w:val="en-US"/>
        </w:rPr>
        <w:t xml:space="preserve"> emissions are known to be harmful but there is no intended harm.</w:t>
      </w:r>
      <w:r w:rsidRPr="00BC5BB6">
        <w:rPr>
          <w:rStyle w:val="FootnoteReference"/>
          <w:rFonts w:asciiTheme="majorBidi" w:hAnsiTheme="majorBidi" w:cstheme="majorBidi"/>
          <w:lang w:val="en-US"/>
        </w:rPr>
        <w:footnoteReference w:id="24"/>
      </w:r>
      <w:r w:rsidRPr="00BC5BB6">
        <w:rPr>
          <w:rFonts w:asciiTheme="majorBidi" w:hAnsiTheme="majorBidi" w:cstheme="majorBidi"/>
          <w:lang w:val="en-US"/>
        </w:rPr>
        <w:t xml:space="preserve"> With the usage of NTCPs </w:t>
      </w:r>
      <w:r>
        <w:rPr>
          <w:rFonts w:asciiTheme="majorBidi" w:hAnsiTheme="majorBidi" w:cstheme="majorBidi"/>
          <w:lang w:val="en-US"/>
        </w:rPr>
        <w:t>this scenario</w:t>
      </w:r>
      <w:r w:rsidRPr="00BC5BB6">
        <w:rPr>
          <w:rFonts w:asciiTheme="majorBidi" w:hAnsiTheme="majorBidi" w:cstheme="majorBidi"/>
          <w:lang w:val="en-US"/>
        </w:rPr>
        <w:t xml:space="preserve"> c</w:t>
      </w:r>
      <w:r>
        <w:rPr>
          <w:rFonts w:asciiTheme="majorBidi" w:hAnsiTheme="majorBidi" w:cstheme="majorBidi"/>
          <w:lang w:val="en-US"/>
        </w:rPr>
        <w:t>ould</w:t>
      </w:r>
      <w:r w:rsidRPr="00BC5BB6">
        <w:rPr>
          <w:rFonts w:asciiTheme="majorBidi" w:hAnsiTheme="majorBidi" w:cstheme="majorBidi"/>
          <w:lang w:val="en-US"/>
        </w:rPr>
        <w:t xml:space="preserve"> change, </w:t>
      </w:r>
      <w:r>
        <w:rPr>
          <w:rFonts w:asciiTheme="majorBidi" w:hAnsiTheme="majorBidi" w:cstheme="majorBidi"/>
          <w:lang w:val="en-US"/>
        </w:rPr>
        <w:t>should</w:t>
      </w:r>
      <w:r w:rsidRPr="00BC5BB6">
        <w:rPr>
          <w:rFonts w:asciiTheme="majorBidi" w:hAnsiTheme="majorBidi" w:cstheme="majorBidi"/>
          <w:lang w:val="en-US"/>
        </w:rPr>
        <w:t xml:space="preserve"> countries begin </w:t>
      </w:r>
      <w:r>
        <w:rPr>
          <w:rFonts w:asciiTheme="majorBidi" w:hAnsiTheme="majorBidi" w:cstheme="majorBidi"/>
          <w:lang w:val="en-US"/>
        </w:rPr>
        <w:t xml:space="preserve">to make </w:t>
      </w:r>
      <w:r w:rsidRPr="00BC5BB6">
        <w:t>large</w:t>
      </w:r>
      <w:r w:rsidRPr="00BC5BB6">
        <w:rPr>
          <w:rFonts w:asciiTheme="majorBidi" w:hAnsiTheme="majorBidi" w:cstheme="majorBidi"/>
          <w:lang w:val="en-US"/>
        </w:rPr>
        <w:t xml:space="preserve">-scale investments or </w:t>
      </w:r>
      <w:r>
        <w:rPr>
          <w:rFonts w:asciiTheme="majorBidi" w:hAnsiTheme="majorBidi" w:cstheme="majorBidi"/>
          <w:lang w:val="en-US"/>
        </w:rPr>
        <w:t xml:space="preserve">even </w:t>
      </w:r>
      <w:r w:rsidRPr="00BC5BB6">
        <w:rPr>
          <w:rFonts w:asciiTheme="majorBidi" w:hAnsiTheme="majorBidi" w:cstheme="majorBidi"/>
          <w:lang w:val="en-US"/>
        </w:rPr>
        <w:t>t</w:t>
      </w:r>
      <w:r>
        <w:rPr>
          <w:rFonts w:asciiTheme="majorBidi" w:hAnsiTheme="majorBidi" w:cstheme="majorBidi"/>
          <w:lang w:val="en-US"/>
        </w:rPr>
        <w:t>o</w:t>
      </w:r>
      <w:r w:rsidRPr="00BC5BB6">
        <w:rPr>
          <w:rFonts w:asciiTheme="majorBidi" w:hAnsiTheme="majorBidi" w:cstheme="majorBidi"/>
          <w:lang w:val="en-US"/>
        </w:rPr>
        <w:t xml:space="preserve"> transgress boundaries</w:t>
      </w:r>
      <w:r w:rsidRPr="00085D13">
        <w:rPr>
          <w:rFonts w:asciiTheme="majorBidi" w:hAnsiTheme="majorBidi" w:cstheme="majorBidi"/>
          <w:lang w:val="en-US"/>
        </w:rPr>
        <w:t xml:space="preserve"> </w:t>
      </w:r>
      <w:r>
        <w:rPr>
          <w:rFonts w:asciiTheme="majorBidi" w:hAnsiTheme="majorBidi" w:cstheme="majorBidi"/>
          <w:lang w:val="en-US"/>
        </w:rPr>
        <w:t xml:space="preserve">by undertaking </w:t>
      </w:r>
      <w:r w:rsidRPr="00BC5BB6">
        <w:rPr>
          <w:rFonts w:asciiTheme="majorBidi" w:hAnsiTheme="majorBidi" w:cstheme="majorBidi"/>
          <w:lang w:val="en-US"/>
        </w:rPr>
        <w:t>unilateral action. SRM projects would be intentional and therefore could be seen as deliberate and political</w:t>
      </w:r>
      <w:r>
        <w:rPr>
          <w:rFonts w:asciiTheme="majorBidi" w:hAnsiTheme="majorBidi" w:cstheme="majorBidi"/>
          <w:lang w:val="en-US"/>
        </w:rPr>
        <w:t>ly</w:t>
      </w:r>
      <w:r w:rsidRPr="00BC5BB6">
        <w:rPr>
          <w:rFonts w:asciiTheme="majorBidi" w:hAnsiTheme="majorBidi" w:cstheme="majorBidi"/>
          <w:lang w:val="en-US"/>
        </w:rPr>
        <w:t xml:space="preserve"> hostile acts.</w:t>
      </w:r>
      <w:r w:rsidRPr="00BC5BB6" w:rsidDel="00FF654E">
        <w:rPr>
          <w:rFonts w:asciiTheme="majorBidi" w:hAnsiTheme="majorBidi" w:cstheme="majorBidi"/>
          <w:lang w:val="en-US"/>
        </w:rPr>
        <w:t xml:space="preserve"> </w:t>
      </w:r>
      <w:bookmarkStart w:id="1" w:name="_Hlk117001503"/>
    </w:p>
    <w:p w14:paraId="51ADC5C1" w14:textId="2407D7AE" w:rsidR="00D2735B" w:rsidRPr="00AF00D1" w:rsidRDefault="00D2735B" w:rsidP="00D2735B">
      <w:pPr>
        <w:pStyle w:val="SingleTxtG"/>
        <w:rPr>
          <w:rFonts w:asciiTheme="majorBidi" w:hAnsiTheme="majorBidi" w:cstheme="majorBidi"/>
          <w:lang w:val="en-US"/>
        </w:rPr>
      </w:pPr>
      <w:r w:rsidRPr="00BC5BB6">
        <w:rPr>
          <w:rFonts w:asciiTheme="majorBidi" w:hAnsiTheme="majorBidi" w:cstheme="majorBidi"/>
          <w:lang w:val="en-US"/>
        </w:rPr>
        <w:t>2</w:t>
      </w:r>
      <w:r>
        <w:rPr>
          <w:rFonts w:asciiTheme="majorBidi" w:hAnsiTheme="majorBidi" w:cstheme="majorBidi"/>
          <w:lang w:val="en-US"/>
        </w:rPr>
        <w:t>8</w:t>
      </w:r>
      <w:r w:rsidRPr="00BC5BB6">
        <w:rPr>
          <w:rFonts w:asciiTheme="majorBidi" w:hAnsiTheme="majorBidi" w:cstheme="majorBidi"/>
          <w:lang w:val="en-US"/>
        </w:rPr>
        <w:t>.</w:t>
      </w:r>
      <w:r w:rsidRPr="00BC5BB6">
        <w:rPr>
          <w:rFonts w:asciiTheme="majorBidi" w:hAnsiTheme="majorBidi" w:cstheme="majorBidi"/>
          <w:lang w:val="en-US"/>
        </w:rPr>
        <w:tab/>
        <w:t xml:space="preserve">Hostile </w:t>
      </w:r>
      <w:r w:rsidRPr="00F64A65">
        <w:rPr>
          <w:rFonts w:asciiTheme="majorBidi" w:hAnsiTheme="majorBidi" w:cstheme="majorBidi"/>
          <w:lang w:val="en-US"/>
        </w:rPr>
        <w:t xml:space="preserve">use of weather-modification technologies is prohibited </w:t>
      </w:r>
      <w:bookmarkEnd w:id="1"/>
      <w:r w:rsidRPr="00F64A65">
        <w:rPr>
          <w:rFonts w:asciiTheme="majorBidi" w:hAnsiTheme="majorBidi" w:cstheme="majorBidi"/>
          <w:lang w:val="en-US"/>
        </w:rPr>
        <w:t>under international law. Still,</w:t>
      </w:r>
      <w:r w:rsidRPr="00BC5BB6">
        <w:rPr>
          <w:rFonts w:asciiTheme="majorBidi" w:hAnsiTheme="majorBidi" w:cstheme="majorBidi"/>
          <w:lang w:val="en-US"/>
        </w:rPr>
        <w:t xml:space="preserve"> </w:t>
      </w:r>
      <w:r w:rsidRPr="00BC5BB6">
        <w:rPr>
          <w:rFonts w:asciiTheme="majorBidi" w:hAnsiTheme="majorBidi" w:cstheme="majorBidi"/>
        </w:rPr>
        <w:t xml:space="preserve">even 'peaceful' use could </w:t>
      </w:r>
      <w:r>
        <w:rPr>
          <w:rFonts w:asciiTheme="majorBidi" w:hAnsiTheme="majorBidi" w:cstheme="majorBidi"/>
        </w:rPr>
        <w:t>pose</w:t>
      </w:r>
      <w:r w:rsidRPr="00BC5BB6">
        <w:rPr>
          <w:rFonts w:asciiTheme="majorBidi" w:hAnsiTheme="majorBidi" w:cstheme="majorBidi"/>
        </w:rPr>
        <w:t xml:space="preserve"> immense risks and </w:t>
      </w:r>
      <w:r>
        <w:rPr>
          <w:rFonts w:asciiTheme="majorBidi" w:hAnsiTheme="majorBidi" w:cstheme="majorBidi"/>
        </w:rPr>
        <w:t xml:space="preserve">result in </w:t>
      </w:r>
      <w:r w:rsidRPr="00BC5BB6">
        <w:rPr>
          <w:rFonts w:asciiTheme="majorBidi" w:hAnsiTheme="majorBidi" w:cstheme="majorBidi"/>
        </w:rPr>
        <w:t xml:space="preserve">negative </w:t>
      </w:r>
      <w:r>
        <w:rPr>
          <w:rFonts w:asciiTheme="majorBidi" w:hAnsiTheme="majorBidi" w:cstheme="majorBidi"/>
        </w:rPr>
        <w:t xml:space="preserve">human rights </w:t>
      </w:r>
      <w:r w:rsidRPr="00BC5BB6">
        <w:rPr>
          <w:rFonts w:asciiTheme="majorBidi" w:hAnsiTheme="majorBidi" w:cstheme="majorBidi"/>
        </w:rPr>
        <w:t>impacts.</w:t>
      </w:r>
      <w:r w:rsidRPr="00BC5BB6">
        <w:rPr>
          <w:rFonts w:asciiTheme="majorBidi" w:hAnsiTheme="majorBidi" w:cstheme="majorBidi"/>
          <w:lang w:val="en-US"/>
        </w:rPr>
        <w:t xml:space="preserve"> If climate becomes a tool </w:t>
      </w:r>
      <w:r w:rsidR="00D10596">
        <w:rPr>
          <w:rFonts w:asciiTheme="majorBidi" w:hAnsiTheme="majorBidi" w:cstheme="majorBidi"/>
          <w:lang w:val="en-US"/>
        </w:rPr>
        <w:t xml:space="preserve">a </w:t>
      </w:r>
      <w:r w:rsidRPr="00BC5BB6">
        <w:rPr>
          <w:rFonts w:asciiTheme="majorBidi" w:hAnsiTheme="majorBidi" w:cstheme="majorBidi"/>
          <w:lang w:val="en-US"/>
        </w:rPr>
        <w:t xml:space="preserve">state can use against another state, it could radically change climate politics, </w:t>
      </w:r>
      <w:r w:rsidRPr="006C1729">
        <w:rPr>
          <w:rFonts w:asciiTheme="majorBidi" w:hAnsiTheme="majorBidi" w:cstheme="majorBidi"/>
          <w:lang w:val="en-US"/>
        </w:rPr>
        <w:t>making it a political security issue.</w:t>
      </w:r>
      <w:r w:rsidRPr="00BC5BB6">
        <w:rPr>
          <w:rFonts w:asciiTheme="majorBidi" w:hAnsiTheme="majorBidi" w:cstheme="majorBidi"/>
          <w:lang w:val="en-US"/>
        </w:rPr>
        <w:t xml:space="preserve"> </w:t>
      </w:r>
      <w:r w:rsidRPr="00492F09">
        <w:rPr>
          <w:rFonts w:asciiTheme="majorBidi" w:hAnsiTheme="majorBidi" w:cstheme="majorBidi"/>
          <w:lang w:val="en-US"/>
        </w:rPr>
        <w:t>The use of SRM could bring about an unknown political and social order</w:t>
      </w:r>
      <w:r w:rsidRPr="006C1729">
        <w:rPr>
          <w:rFonts w:asciiTheme="majorBidi" w:hAnsiTheme="majorBidi" w:cstheme="majorBidi"/>
          <w:lang w:val="en-US"/>
        </w:rPr>
        <w:t>.</w:t>
      </w:r>
      <w:r w:rsidRPr="006C1729">
        <w:rPr>
          <w:rStyle w:val="FootnoteReference"/>
          <w:rFonts w:cstheme="majorBidi"/>
          <w:lang w:val="en-US"/>
        </w:rPr>
        <w:t xml:space="preserve"> </w:t>
      </w:r>
      <w:r w:rsidRPr="00FF654E">
        <w:rPr>
          <w:rFonts w:asciiTheme="majorBidi" w:hAnsiTheme="majorBidi" w:cstheme="majorBidi"/>
        </w:rPr>
        <w:t xml:space="preserve">SRM proponents recommend a well-structured global governance of </w:t>
      </w:r>
      <w:r w:rsidRPr="0069269D">
        <w:rPr>
          <w:rFonts w:asciiTheme="majorBidi" w:hAnsiTheme="majorBidi" w:cstheme="majorBidi"/>
          <w:lang w:val="en-US"/>
        </w:rPr>
        <w:t>it</w:t>
      </w:r>
      <w:r w:rsidRPr="00FF654E">
        <w:rPr>
          <w:rFonts w:asciiTheme="majorBidi" w:hAnsiTheme="majorBidi" w:cstheme="majorBidi"/>
        </w:rPr>
        <w:t xml:space="preserve">, </w:t>
      </w:r>
      <w:r w:rsidRPr="006C1729">
        <w:rPr>
          <w:rFonts w:asciiTheme="majorBidi" w:hAnsiTheme="majorBidi" w:cstheme="majorBidi"/>
        </w:rPr>
        <w:t>but an international agreement on usage of such a controversial and uncertain technique borders on the impossible if it is not to ban it completely.</w:t>
      </w:r>
    </w:p>
    <w:p w14:paraId="12886D0F" w14:textId="77777777" w:rsidR="00D2735B" w:rsidRPr="00124528" w:rsidRDefault="00D2735B" w:rsidP="00D2735B">
      <w:pPr>
        <w:pStyle w:val="HChG"/>
      </w:pPr>
      <w:r>
        <w:tab/>
      </w:r>
      <w:r w:rsidRPr="00124528">
        <w:t>I</w:t>
      </w:r>
      <w:r w:rsidRPr="00FA3B1A">
        <w:t>II</w:t>
      </w:r>
      <w:r w:rsidRPr="00124528">
        <w:t>.</w:t>
      </w:r>
      <w:r w:rsidRPr="00124528">
        <w:tab/>
        <w:t xml:space="preserve">Applicable </w:t>
      </w:r>
      <w:r w:rsidRPr="00FA3B1A">
        <w:rPr>
          <w:lang w:val="en-US"/>
        </w:rPr>
        <w:t xml:space="preserve">normative </w:t>
      </w:r>
      <w:r w:rsidRPr="00124528">
        <w:t xml:space="preserve">framework </w:t>
      </w:r>
    </w:p>
    <w:p w14:paraId="16CC9A2A" w14:textId="1D54B378" w:rsidR="00D2735B" w:rsidRDefault="00D2735B" w:rsidP="00D2735B">
      <w:pPr>
        <w:pStyle w:val="SingleTxtG"/>
      </w:pPr>
      <w:r>
        <w:t>29</w:t>
      </w:r>
      <w:r w:rsidRPr="00124528">
        <w:t>.</w:t>
      </w:r>
      <w:r>
        <w:tab/>
      </w:r>
      <w:r w:rsidRPr="00455540">
        <w:t xml:space="preserve">The </w:t>
      </w:r>
      <w:r>
        <w:t>GA</w:t>
      </w:r>
      <w:r w:rsidRPr="00455540">
        <w:t xml:space="preserve"> recently recognized that full implementation of multilateral environmental agreements under the principles of international environmental law</w:t>
      </w:r>
      <w:r w:rsidRPr="00455540" w:rsidDel="00731DDF">
        <w:t xml:space="preserve"> </w:t>
      </w:r>
      <w:r w:rsidRPr="00455540">
        <w:t xml:space="preserve">is required for the realization of the human right to a clean, </w:t>
      </w:r>
      <w:proofErr w:type="gramStart"/>
      <w:r w:rsidRPr="00455540">
        <w:t>healthy</w:t>
      </w:r>
      <w:proofErr w:type="gramEnd"/>
      <w:r w:rsidRPr="00455540">
        <w:t xml:space="preserve"> and sustainable </w:t>
      </w:r>
      <w:r w:rsidRPr="009920E0">
        <w:t>environment.</w:t>
      </w:r>
      <w:r w:rsidRPr="009920E0">
        <w:rPr>
          <w:rStyle w:val="FootnoteReference"/>
        </w:rPr>
        <w:footnoteReference w:id="25"/>
      </w:r>
      <w:r w:rsidRPr="009920E0">
        <w:t xml:space="preserve"> </w:t>
      </w:r>
      <w:r>
        <w:t>R</w:t>
      </w:r>
      <w:r w:rsidRPr="009920E0">
        <w:t>espect of this right is instrumental for the realization of other human rights</w:t>
      </w:r>
      <w:r w:rsidRPr="00455540">
        <w:t>, such as the right to</w:t>
      </w:r>
      <w:r w:rsidRPr="00455540" w:rsidDel="002414AB">
        <w:t xml:space="preserve"> </w:t>
      </w:r>
      <w:r w:rsidRPr="00455540">
        <w:t>life, to health, to</w:t>
      </w:r>
      <w:r>
        <w:t xml:space="preserve"> </w:t>
      </w:r>
      <w:r w:rsidRPr="00455540">
        <w:t>food, to water, and to housing.</w:t>
      </w:r>
      <w:r w:rsidRPr="00455540">
        <w:rPr>
          <w:rFonts w:asciiTheme="majorBidi" w:hAnsiTheme="majorBidi" w:cstheme="majorBidi"/>
          <w:lang w:val="en-US"/>
        </w:rPr>
        <w:t xml:space="preserve"> In the context of climate</w:t>
      </w:r>
      <w:r w:rsidRPr="00124528">
        <w:rPr>
          <w:rFonts w:asciiTheme="majorBidi" w:hAnsiTheme="majorBidi" w:cstheme="majorBidi"/>
          <w:lang w:val="en-US"/>
        </w:rPr>
        <w:t xml:space="preserve"> change, human rights experts and bodies are urging States to step up their mitigation actions</w:t>
      </w:r>
      <w:r>
        <w:rPr>
          <w:rFonts w:asciiTheme="majorBidi" w:hAnsiTheme="majorBidi" w:cstheme="majorBidi"/>
          <w:lang w:val="en-US"/>
        </w:rPr>
        <w:t xml:space="preserve"> through</w:t>
      </w:r>
      <w:r w:rsidRPr="00124528">
        <w:rPr>
          <w:rFonts w:asciiTheme="majorBidi" w:hAnsiTheme="majorBidi" w:cstheme="majorBidi"/>
          <w:lang w:val="en-US"/>
        </w:rPr>
        <w:t xml:space="preserve"> emission</w:t>
      </w:r>
      <w:r>
        <w:rPr>
          <w:rFonts w:asciiTheme="majorBidi" w:hAnsiTheme="majorBidi" w:cstheme="majorBidi"/>
          <w:lang w:val="en-US"/>
        </w:rPr>
        <w:t>s</w:t>
      </w:r>
      <w:r w:rsidRPr="00124528">
        <w:rPr>
          <w:rFonts w:asciiTheme="majorBidi" w:hAnsiTheme="majorBidi" w:cstheme="majorBidi"/>
          <w:lang w:val="en-US"/>
        </w:rPr>
        <w:t xml:space="preserve"> reductions</w:t>
      </w:r>
      <w:r w:rsidRPr="006C1729">
        <w:rPr>
          <w:rFonts w:asciiTheme="majorBidi" w:hAnsiTheme="majorBidi" w:cstheme="majorBidi"/>
          <w:lang w:val="en-US"/>
        </w:rPr>
        <w:t>.</w:t>
      </w:r>
      <w:r w:rsidRPr="006C1729">
        <w:rPr>
          <w:rFonts w:asciiTheme="majorBidi" w:hAnsiTheme="majorBidi" w:cstheme="majorBidi"/>
          <w:vertAlign w:val="superscript"/>
        </w:rPr>
        <w:footnoteReference w:id="26"/>
      </w:r>
      <w:r w:rsidRPr="006C1729">
        <w:rPr>
          <w:rFonts w:asciiTheme="majorBidi" w:hAnsiTheme="majorBidi" w:cstheme="majorBidi"/>
          <w:lang w:val="en-US"/>
        </w:rPr>
        <w:t xml:space="preserve"> </w:t>
      </w:r>
      <w:r w:rsidRPr="006C1729">
        <w:t xml:space="preserve">There is a pressing need to determine whether the recourse to speculative technologies can be even considered as an alternative option to mainstream mitigation measures. The current focus of climate action should be to deploy existing, </w:t>
      </w:r>
      <w:proofErr w:type="gramStart"/>
      <w:r w:rsidRPr="006C1729">
        <w:t>tested</w:t>
      </w:r>
      <w:proofErr w:type="gramEnd"/>
      <w:r w:rsidRPr="006C1729">
        <w:t xml:space="preserve"> and safe measures and technologies using a rights-based approach in line with the IPCC</w:t>
      </w:r>
      <w:r w:rsidR="0013648E">
        <w:t xml:space="preserve"> </w:t>
      </w:r>
      <w:r w:rsidR="0013648E" w:rsidRPr="006C1729">
        <w:t>findings</w:t>
      </w:r>
      <w:r w:rsidRPr="006C1729">
        <w:t>.</w:t>
      </w:r>
    </w:p>
    <w:p w14:paraId="4242FC33" w14:textId="0B42B3EE" w:rsidR="00D2735B" w:rsidRDefault="00D2735B" w:rsidP="00D2735B">
      <w:pPr>
        <w:pStyle w:val="SingleTxtG"/>
        <w:tabs>
          <w:tab w:val="left" w:pos="8190"/>
        </w:tabs>
        <w:rPr>
          <w:highlight w:val="yellow"/>
        </w:rPr>
      </w:pPr>
      <w:r>
        <w:t>30.</w:t>
      </w:r>
      <w:r>
        <w:tab/>
        <w:t>Global action to combat c</w:t>
      </w:r>
      <w:r w:rsidRPr="00124528">
        <w:t xml:space="preserve">limate change </w:t>
      </w:r>
      <w:r>
        <w:t>is</w:t>
      </w:r>
      <w:r w:rsidRPr="00124528">
        <w:t xml:space="preserve"> shaped by </w:t>
      </w:r>
      <w:r>
        <w:t xml:space="preserve">several </w:t>
      </w:r>
      <w:r w:rsidRPr="00124528">
        <w:t xml:space="preserve">instruments, </w:t>
      </w:r>
      <w:r>
        <w:t>including</w:t>
      </w:r>
      <w:r w:rsidRPr="00124528">
        <w:t xml:space="preserve"> the </w:t>
      </w:r>
      <w:r>
        <w:t xml:space="preserve">1992 Rio Declaration on Environment and Development, the </w:t>
      </w:r>
      <w:r w:rsidRPr="00124528">
        <w:t>1992 UN Framework Convention on Climate Change (UNFCCC),</w:t>
      </w:r>
      <w:r>
        <w:t xml:space="preserve"> the 1997 Kyoto Protocol,</w:t>
      </w:r>
      <w:r w:rsidRPr="00124528">
        <w:t xml:space="preserve"> the 2015 Paris Agreement and the 2030 Agenda for Sustainable Development.</w:t>
      </w:r>
      <w:r w:rsidRPr="00124528">
        <w:rPr>
          <w:rStyle w:val="FootnoteReference"/>
          <w:sz w:val="20"/>
        </w:rPr>
        <w:footnoteReference w:id="27"/>
      </w:r>
      <w:r w:rsidRPr="00124528">
        <w:rPr>
          <w:rStyle w:val="FootnoteReference"/>
          <w:sz w:val="20"/>
        </w:rPr>
        <w:t xml:space="preserve"> </w:t>
      </w:r>
      <w:r>
        <w:t xml:space="preserve"> States </w:t>
      </w:r>
      <w:proofErr w:type="gramStart"/>
      <w:r>
        <w:t>have to</w:t>
      </w:r>
      <w:proofErr w:type="gramEnd"/>
      <w:r>
        <w:t xml:space="preserve"> </w:t>
      </w:r>
      <w:r w:rsidRPr="00124528">
        <w:t xml:space="preserve">guarantee that actions </w:t>
      </w:r>
      <w:r>
        <w:t xml:space="preserve">undertaken in pursuing the set objectives </w:t>
      </w:r>
      <w:r w:rsidRPr="00124528">
        <w:t xml:space="preserve">do not endanger environment and human rights </w:t>
      </w:r>
      <w:r>
        <w:t xml:space="preserve">enjoyment as </w:t>
      </w:r>
      <w:r w:rsidRPr="00070BA0">
        <w:t xml:space="preserve">provided by </w:t>
      </w:r>
      <w:r w:rsidR="000D57E3">
        <w:t>h</w:t>
      </w:r>
      <w:r w:rsidRPr="00070BA0">
        <w:t xml:space="preserve">uman </w:t>
      </w:r>
      <w:r w:rsidR="000D57E3">
        <w:t>r</w:t>
      </w:r>
      <w:r w:rsidRPr="00070BA0">
        <w:t>ights law. The two 1966 International Covenants as well as the other core human rights treaties and</w:t>
      </w:r>
      <w:r>
        <w:t xml:space="preserve"> other</w:t>
      </w:r>
      <w:r w:rsidRPr="00124528">
        <w:t xml:space="preserve"> principles and rules of general scope</w:t>
      </w:r>
      <w:r>
        <w:t xml:space="preserve"> </w:t>
      </w:r>
      <w:r w:rsidRPr="00124528">
        <w:t xml:space="preserve">provide a comprehensive and authoritative </w:t>
      </w:r>
      <w:r>
        <w:t xml:space="preserve">normative </w:t>
      </w:r>
      <w:r w:rsidRPr="00124528">
        <w:t xml:space="preserve">framework for a </w:t>
      </w:r>
      <w:r>
        <w:lastRenderedPageBreak/>
        <w:t xml:space="preserve">coherent, </w:t>
      </w:r>
      <w:proofErr w:type="gramStart"/>
      <w:r w:rsidRPr="00124528">
        <w:t>coordinated</w:t>
      </w:r>
      <w:proofErr w:type="gramEnd"/>
      <w:r w:rsidRPr="00124528">
        <w:t xml:space="preserve"> and collective response to climate change.</w:t>
      </w:r>
      <w:r w:rsidRPr="005E4DFC">
        <w:rPr>
          <w:rStyle w:val="FootnoteReference"/>
          <w:sz w:val="20"/>
        </w:rPr>
        <w:t xml:space="preserve"> </w:t>
      </w:r>
      <w:r w:rsidRPr="006C1729">
        <w:t xml:space="preserve">This framework already provides standards and principles that require States to ensure access to information, participation in decision-making and access to justice in environmental matters. The principles of do no harm, transparency, prevention, </w:t>
      </w:r>
      <w:proofErr w:type="gramStart"/>
      <w:r w:rsidRPr="006C1729">
        <w:t>precaution</w:t>
      </w:r>
      <w:proofErr w:type="gramEnd"/>
      <w:r w:rsidRPr="006C1729">
        <w:t xml:space="preserve"> and polluter-pays are equally relevant and applicable to any policy or decision related to NTCPs. </w:t>
      </w:r>
    </w:p>
    <w:p w14:paraId="1ED1FA2F" w14:textId="77777777" w:rsidR="00D2735B" w:rsidRPr="00124528" w:rsidRDefault="00D2735B" w:rsidP="00D2735B">
      <w:pPr>
        <w:pStyle w:val="H1G"/>
      </w:pPr>
      <w:r w:rsidRPr="00124528">
        <w:tab/>
      </w:r>
      <w:r>
        <w:t>A.</w:t>
      </w:r>
      <w:r w:rsidRPr="00124528">
        <w:tab/>
        <w:t>Restrictions to the development and deployment of NTCPs</w:t>
      </w:r>
    </w:p>
    <w:p w14:paraId="7877A5C0" w14:textId="49F6D54D" w:rsidR="00D2735B" w:rsidRPr="00FA3B1A" w:rsidRDefault="00D2735B" w:rsidP="00D2735B">
      <w:pPr>
        <w:pStyle w:val="SingleTxtG"/>
      </w:pPr>
      <w:r>
        <w:rPr>
          <w:rFonts w:asciiTheme="majorBidi" w:hAnsiTheme="majorBidi" w:cstheme="majorBidi"/>
        </w:rPr>
        <w:t>31</w:t>
      </w:r>
      <w:r w:rsidRPr="00124528">
        <w:rPr>
          <w:rFonts w:asciiTheme="majorBidi" w:hAnsiTheme="majorBidi" w:cstheme="majorBidi"/>
        </w:rPr>
        <w:t>.</w:t>
      </w:r>
      <w:r>
        <w:rPr>
          <w:rFonts w:asciiTheme="majorBidi" w:hAnsiTheme="majorBidi" w:cstheme="majorBidi"/>
        </w:rPr>
        <w:tab/>
        <w:t xml:space="preserve">So far </w:t>
      </w:r>
      <w:r w:rsidRPr="00124528">
        <w:rPr>
          <w:rFonts w:asciiTheme="majorBidi" w:hAnsiTheme="majorBidi" w:cstheme="majorBidi"/>
        </w:rPr>
        <w:t>States have not</w:t>
      </w:r>
      <w:r>
        <w:rPr>
          <w:rFonts w:asciiTheme="majorBidi" w:hAnsiTheme="majorBidi" w:cstheme="majorBidi"/>
        </w:rPr>
        <w:t xml:space="preserve"> responded to the need to regulate</w:t>
      </w:r>
      <w:r w:rsidRPr="00124528">
        <w:rPr>
          <w:rFonts w:asciiTheme="majorBidi" w:hAnsiTheme="majorBidi" w:cstheme="majorBidi"/>
        </w:rPr>
        <w:t xml:space="preserve"> NTCPs. Lack of regulation </w:t>
      </w:r>
      <w:r>
        <w:rPr>
          <w:rFonts w:asciiTheme="majorBidi" w:hAnsiTheme="majorBidi" w:cstheme="majorBidi"/>
        </w:rPr>
        <w:t>does</w:t>
      </w:r>
      <w:r w:rsidRPr="00124528">
        <w:rPr>
          <w:rFonts w:asciiTheme="majorBidi" w:hAnsiTheme="majorBidi" w:cstheme="majorBidi"/>
        </w:rPr>
        <w:t xml:space="preserve"> not </w:t>
      </w:r>
      <w:r w:rsidRPr="005570CE">
        <w:rPr>
          <w:rFonts w:asciiTheme="majorBidi" w:hAnsiTheme="majorBidi" w:cstheme="majorBidi"/>
        </w:rPr>
        <w:t xml:space="preserve">mean that such speculative technologies </w:t>
      </w:r>
      <w:r>
        <w:rPr>
          <w:rFonts w:asciiTheme="majorBidi" w:hAnsiTheme="majorBidi" w:cstheme="majorBidi"/>
        </w:rPr>
        <w:t>are</w:t>
      </w:r>
      <w:r w:rsidRPr="005570CE">
        <w:rPr>
          <w:rFonts w:asciiTheme="majorBidi" w:hAnsiTheme="majorBidi" w:cstheme="majorBidi"/>
        </w:rPr>
        <w:t xml:space="preserve"> permitted or can be developed in a </w:t>
      </w:r>
      <w:r w:rsidRPr="005570CE">
        <w:rPr>
          <w:rFonts w:asciiTheme="majorBidi" w:hAnsiTheme="majorBidi" w:cstheme="majorBidi"/>
          <w:i/>
        </w:rPr>
        <w:t>legal vacuum</w:t>
      </w:r>
      <w:r w:rsidRPr="005570CE">
        <w:rPr>
          <w:rFonts w:asciiTheme="majorBidi" w:hAnsiTheme="majorBidi" w:cstheme="majorBidi"/>
        </w:rPr>
        <w:t>. On the contrary, general principles of international law from environmental and human rights law may apply to any assessment or policy decision related to them. Actually, i</w:t>
      </w:r>
      <w:r w:rsidRPr="005570CE">
        <w:t xml:space="preserve">n the context of </w:t>
      </w:r>
      <w:r>
        <w:t>multilateral environmental agreements</w:t>
      </w:r>
      <w:r w:rsidRPr="005570CE">
        <w:t xml:space="preserve"> (MEAs) </w:t>
      </w:r>
      <w:r>
        <w:t xml:space="preserve">the consideration of these principles has led to </w:t>
      </w:r>
      <w:r>
        <w:rPr>
          <w:rFonts w:asciiTheme="majorBidi" w:hAnsiTheme="majorBidi" w:cstheme="majorBidi"/>
        </w:rPr>
        <w:t>prohibiting</w:t>
      </w:r>
      <w:r w:rsidRPr="005570CE">
        <w:rPr>
          <w:rFonts w:asciiTheme="majorBidi" w:hAnsiTheme="majorBidi" w:cstheme="majorBidi"/>
        </w:rPr>
        <w:t xml:space="preserve"> the deployment </w:t>
      </w:r>
      <w:r w:rsidRPr="00FA3B1A">
        <w:rPr>
          <w:rFonts w:asciiTheme="majorBidi" w:hAnsiTheme="majorBidi" w:cstheme="majorBidi"/>
        </w:rPr>
        <w:t>of so</w:t>
      </w:r>
      <w:r>
        <w:rPr>
          <w:rFonts w:asciiTheme="majorBidi" w:hAnsiTheme="majorBidi" w:cstheme="majorBidi"/>
        </w:rPr>
        <w:t xml:space="preserve">me NTCPs as a consequence of persistent </w:t>
      </w:r>
      <w:r w:rsidRPr="005570CE">
        <w:rPr>
          <w:rFonts w:asciiTheme="majorBidi" w:hAnsiTheme="majorBidi" w:cstheme="majorBidi"/>
        </w:rPr>
        <w:t xml:space="preserve">uncertainties </w:t>
      </w:r>
      <w:r w:rsidRPr="005570CE">
        <w:t xml:space="preserve">regarding their effectiveness and </w:t>
      </w:r>
      <w:r w:rsidRPr="00177C03">
        <w:t xml:space="preserve">of </w:t>
      </w:r>
      <w:r w:rsidRPr="005570CE">
        <w:t xml:space="preserve">potential negative </w:t>
      </w:r>
      <w:r w:rsidRPr="00177C03">
        <w:t xml:space="preserve">human rights </w:t>
      </w:r>
      <w:proofErr w:type="gramStart"/>
      <w:r w:rsidRPr="005570CE">
        <w:t>impacts</w:t>
      </w:r>
      <w:proofErr w:type="gramEnd"/>
      <w:r w:rsidRPr="00177C03">
        <w:t xml:space="preserve"> they posed</w:t>
      </w:r>
      <w:r w:rsidRPr="005570CE">
        <w:t xml:space="preserve">. </w:t>
      </w:r>
    </w:p>
    <w:p w14:paraId="211EBE4C" w14:textId="164CDAA1" w:rsidR="00D2735B" w:rsidRPr="005570CE" w:rsidRDefault="00D2735B" w:rsidP="00D2735B">
      <w:pPr>
        <w:pStyle w:val="SingleTxtG"/>
      </w:pPr>
      <w:r>
        <w:t>32</w:t>
      </w:r>
      <w:r w:rsidRPr="005570CE">
        <w:t>.</w:t>
      </w:r>
      <w:r w:rsidRPr="005570CE">
        <w:tab/>
        <w:t xml:space="preserve">In the 1992 UN Convention on Biological Diversity (CBD) a general </w:t>
      </w:r>
      <w:r w:rsidRPr="005570CE">
        <w:rPr>
          <w:i/>
        </w:rPr>
        <w:t>moratorium</w:t>
      </w:r>
      <w:r w:rsidRPr="005570CE">
        <w:t xml:space="preserve"> on climate-related geoengineering was introduced in 2012</w:t>
      </w:r>
      <w:r w:rsidRPr="00CB7CD8">
        <w:t xml:space="preserve"> </w:t>
      </w:r>
      <w:r w:rsidRPr="00CE0F4B">
        <w:t>by</w:t>
      </w:r>
      <w:r>
        <w:t xml:space="preserve"> the COP and </w:t>
      </w:r>
      <w:r w:rsidRPr="005570CE">
        <w:t xml:space="preserve">renewed in 2016 </w:t>
      </w:r>
      <w:r>
        <w:t xml:space="preserve">in view of the lack of </w:t>
      </w:r>
      <w:r w:rsidRPr="005570CE">
        <w:t>transdisciplinary research.</w:t>
      </w:r>
      <w:r w:rsidRPr="005570CE">
        <w:rPr>
          <w:rStyle w:val="FootnoteReference"/>
          <w:sz w:val="20"/>
        </w:rPr>
        <w:t xml:space="preserve"> </w:t>
      </w:r>
      <w:r w:rsidRPr="005570CE">
        <w:rPr>
          <w:rStyle w:val="FootnoteReference"/>
          <w:sz w:val="20"/>
        </w:rPr>
        <w:footnoteReference w:id="28"/>
      </w:r>
      <w:r w:rsidRPr="005570CE">
        <w:t xml:space="preserve"> </w:t>
      </w:r>
      <w:r>
        <w:t>Th</w:t>
      </w:r>
      <w:r w:rsidRPr="005570CE">
        <w:t>e potential effects on the environment and biodiversity</w:t>
      </w:r>
      <w:r w:rsidR="00561B84" w:rsidRPr="00561B84">
        <w:t xml:space="preserve"> </w:t>
      </w:r>
      <w:r w:rsidR="00561B84">
        <w:t xml:space="preserve">deriving from </w:t>
      </w:r>
      <w:r w:rsidR="00561B84" w:rsidRPr="005570CE">
        <w:t>these activities</w:t>
      </w:r>
      <w:r w:rsidRPr="005570CE">
        <w:t xml:space="preserve"> </w:t>
      </w:r>
      <w:r w:rsidR="000872EA">
        <w:t>and</w:t>
      </w:r>
      <w:r>
        <w:t xml:space="preserve"> the </w:t>
      </w:r>
      <w:r w:rsidRPr="005570CE">
        <w:t>“associated social, economic and cultural impacts”</w:t>
      </w:r>
      <w:r w:rsidRPr="00177C03">
        <w:t xml:space="preserve"> w</w:t>
      </w:r>
      <w:r>
        <w:t xml:space="preserve">ere decisive to prohibit </w:t>
      </w:r>
      <w:r w:rsidRPr="005570CE">
        <w:t>climate-related geoengineering</w:t>
      </w:r>
      <w:r>
        <w:t xml:space="preserve"> </w:t>
      </w:r>
      <w:r w:rsidRPr="005570CE">
        <w:t>without adequate scientific basis and prior assessment on associated risks.</w:t>
      </w:r>
      <w:r w:rsidRPr="005570CE">
        <w:rPr>
          <w:rStyle w:val="FootnoteReference"/>
          <w:sz w:val="20"/>
        </w:rPr>
        <w:footnoteReference w:id="29"/>
      </w:r>
      <w:r w:rsidRPr="005570CE">
        <w:t xml:space="preserve"> </w:t>
      </w:r>
      <w:r>
        <w:t>S</w:t>
      </w:r>
      <w:r w:rsidRPr="005570CE">
        <w:t xml:space="preserve">mall scale controlled scientific research </w:t>
      </w:r>
      <w:r>
        <w:t xml:space="preserve">could only take place exceptionally when </w:t>
      </w:r>
      <w:r w:rsidRPr="008E20E6">
        <w:t xml:space="preserve">justified </w:t>
      </w:r>
      <w:r>
        <w:t>“</w:t>
      </w:r>
      <w:r w:rsidRPr="00177C03">
        <w:t> </w:t>
      </w:r>
      <w:r w:rsidRPr="008E20E6">
        <w:t>by the need to gather specific scientific data</w:t>
      </w:r>
      <w:r>
        <w:t>”</w:t>
      </w:r>
      <w:r w:rsidRPr="008E20E6">
        <w:t xml:space="preserve"> and subject to a thorough prior assessment </w:t>
      </w:r>
      <w:r>
        <w:t>“</w:t>
      </w:r>
      <w:r w:rsidRPr="008E20E6">
        <w:t>of the potential impacts on the environment”.</w:t>
      </w:r>
      <w:r w:rsidRPr="005570CE">
        <w:rPr>
          <w:rStyle w:val="FootnoteReference"/>
          <w:sz w:val="20"/>
        </w:rPr>
        <w:footnoteReference w:id="30"/>
      </w:r>
      <w:r w:rsidRPr="005570CE">
        <w:t xml:space="preserve"> </w:t>
      </w:r>
      <w:r>
        <w:t xml:space="preserve">The need to establish a </w:t>
      </w:r>
      <w:r w:rsidRPr="005570CE">
        <w:t>global transparent and effective control and regulatory mechanism</w:t>
      </w:r>
      <w:r>
        <w:t xml:space="preserve"> was recognized and that </w:t>
      </w:r>
      <w:r w:rsidRPr="005570CE">
        <w:t>institutions</w:t>
      </w:r>
      <w:r>
        <w:t xml:space="preserve"> should share knowledge to better understand impacts and options</w:t>
      </w:r>
      <w:r w:rsidRPr="005570CE">
        <w:t>.</w:t>
      </w:r>
      <w:r w:rsidRPr="005570CE">
        <w:rPr>
          <w:rStyle w:val="FootnoteReference"/>
          <w:sz w:val="20"/>
        </w:rPr>
        <w:footnoteReference w:id="31"/>
      </w:r>
      <w:r w:rsidRPr="005570CE">
        <w:t xml:space="preserve"> </w:t>
      </w:r>
    </w:p>
    <w:p w14:paraId="337733B7" w14:textId="3997B1AA" w:rsidR="00D2735B" w:rsidRPr="005570CE" w:rsidRDefault="00D2735B" w:rsidP="00D2735B">
      <w:pPr>
        <w:pStyle w:val="SingleTxtG"/>
        <w:rPr>
          <w:rFonts w:asciiTheme="majorBidi" w:hAnsiTheme="majorBidi" w:cstheme="majorBidi"/>
        </w:rPr>
      </w:pPr>
      <w:r w:rsidRPr="005570CE">
        <w:t>3</w:t>
      </w:r>
      <w:r>
        <w:t>3</w:t>
      </w:r>
      <w:r w:rsidRPr="005570CE">
        <w:t>.</w:t>
      </w:r>
      <w:r w:rsidRPr="005570CE">
        <w:tab/>
        <w:t xml:space="preserve">The </w:t>
      </w:r>
      <w:r w:rsidRPr="005570CE">
        <w:rPr>
          <w:rFonts w:asciiTheme="majorBidi" w:hAnsiTheme="majorBidi" w:cstheme="majorBidi"/>
        </w:rPr>
        <w:t>governing</w:t>
      </w:r>
      <w:r w:rsidRPr="005570CE">
        <w:t xml:space="preserve"> body of the 1972 London Convention on the </w:t>
      </w:r>
      <w:r>
        <w:t>Prevention of Marine Pollution by D</w:t>
      </w:r>
      <w:r w:rsidRPr="005570CE">
        <w:t xml:space="preserve">umping of </w:t>
      </w:r>
      <w:r>
        <w:t>W</w:t>
      </w:r>
      <w:r w:rsidRPr="005570CE">
        <w:t xml:space="preserve">astes </w:t>
      </w:r>
      <w:r>
        <w:t xml:space="preserve">and Other Matter </w:t>
      </w:r>
      <w:r w:rsidRPr="005570CE">
        <w:t xml:space="preserve">at </w:t>
      </w:r>
      <w:r>
        <w:t>S</w:t>
      </w:r>
      <w:r w:rsidRPr="005570CE">
        <w:t>ea and its 1996 Protocol (LC/LP)</w:t>
      </w:r>
      <w:r w:rsidRPr="00F64A65">
        <w:rPr>
          <w:rStyle w:val="FootnoteReference"/>
          <w:sz w:val="20"/>
        </w:rPr>
        <w:footnoteReference w:id="32"/>
      </w:r>
      <w:r w:rsidRPr="005570CE">
        <w:t xml:space="preserve"> have also called for extreme precaution and </w:t>
      </w:r>
      <w:r>
        <w:t>are</w:t>
      </w:r>
      <w:r w:rsidRPr="005570CE">
        <w:t xml:space="preserve"> currently evaluating several marine geoengineering technologies, having already agreed to prohibit ocean fertilization. </w:t>
      </w:r>
      <w:r w:rsidRPr="005570CE">
        <w:rPr>
          <w:rFonts w:asciiTheme="majorBidi" w:hAnsiTheme="majorBidi" w:cstheme="majorBidi"/>
        </w:rPr>
        <w:t>In a resolution</w:t>
      </w:r>
      <w:r w:rsidRPr="005570CE">
        <w:rPr>
          <w:rFonts w:asciiTheme="majorBidi" w:hAnsiTheme="majorBidi" w:cstheme="majorBidi"/>
          <w:lang w:val="en-US"/>
        </w:rPr>
        <w:t xml:space="preserve"> </w:t>
      </w:r>
      <w:r w:rsidR="005946ED">
        <w:rPr>
          <w:rFonts w:asciiTheme="majorBidi" w:hAnsiTheme="majorBidi" w:cstheme="majorBidi"/>
          <w:lang w:val="en-US"/>
        </w:rPr>
        <w:t>of</w:t>
      </w:r>
      <w:r w:rsidRPr="005570CE">
        <w:rPr>
          <w:rFonts w:asciiTheme="majorBidi" w:hAnsiTheme="majorBidi" w:cstheme="majorBidi"/>
          <w:lang w:val="en-US"/>
        </w:rPr>
        <w:t xml:space="preserve"> 2008 t</w:t>
      </w:r>
      <w:r w:rsidRPr="005570CE">
        <w:rPr>
          <w:rFonts w:asciiTheme="majorBidi" w:hAnsiTheme="majorBidi" w:cstheme="majorBidi"/>
        </w:rPr>
        <w:t xml:space="preserve">he </w:t>
      </w:r>
      <w:r w:rsidRPr="00984A96">
        <w:rPr>
          <w:rFonts w:asciiTheme="majorBidi" w:hAnsiTheme="majorBidi" w:cstheme="majorBidi"/>
          <w:lang w:val="en-US"/>
        </w:rPr>
        <w:t>LC</w:t>
      </w:r>
      <w:r>
        <w:rPr>
          <w:rFonts w:asciiTheme="majorBidi" w:hAnsiTheme="majorBidi" w:cstheme="majorBidi"/>
          <w:lang w:val="en-US"/>
        </w:rPr>
        <w:t xml:space="preserve">-LP </w:t>
      </w:r>
      <w:r w:rsidRPr="005570CE">
        <w:rPr>
          <w:rFonts w:asciiTheme="majorBidi" w:hAnsiTheme="majorBidi" w:cstheme="majorBidi"/>
        </w:rPr>
        <w:t>COP placed</w:t>
      </w:r>
      <w:r w:rsidRPr="005570CE">
        <w:rPr>
          <w:rFonts w:asciiTheme="majorBidi" w:hAnsiTheme="majorBidi" w:cstheme="majorBidi"/>
          <w:lang w:val="en-US"/>
        </w:rPr>
        <w:t xml:space="preserve"> </w:t>
      </w:r>
      <w:r w:rsidRPr="005570CE">
        <w:rPr>
          <w:rFonts w:asciiTheme="majorBidi" w:hAnsiTheme="majorBidi" w:cstheme="majorBidi"/>
        </w:rPr>
        <w:t>a ban</w:t>
      </w:r>
      <w:r>
        <w:rPr>
          <w:rFonts w:asciiTheme="majorBidi" w:hAnsiTheme="majorBidi" w:cstheme="majorBidi"/>
        </w:rPr>
        <w:t>,</w:t>
      </w:r>
      <w:r w:rsidRPr="005570CE">
        <w:rPr>
          <w:rFonts w:asciiTheme="majorBidi" w:hAnsiTheme="majorBidi" w:cstheme="majorBidi"/>
        </w:rPr>
        <w:t xml:space="preserve"> subject to review</w:t>
      </w:r>
      <w:r>
        <w:rPr>
          <w:rFonts w:asciiTheme="majorBidi" w:hAnsiTheme="majorBidi" w:cstheme="majorBidi"/>
        </w:rPr>
        <w:t>,</w:t>
      </w:r>
      <w:r w:rsidRPr="005570CE">
        <w:rPr>
          <w:rFonts w:asciiTheme="majorBidi" w:hAnsiTheme="majorBidi" w:cstheme="majorBidi"/>
        </w:rPr>
        <w:t xml:space="preserve"> on other </w:t>
      </w:r>
      <w:r w:rsidRPr="00984A96">
        <w:rPr>
          <w:rFonts w:asciiTheme="majorBidi" w:hAnsiTheme="majorBidi" w:cstheme="majorBidi"/>
          <w:lang w:val="en-US"/>
        </w:rPr>
        <w:t>marine geo</w:t>
      </w:r>
      <w:r>
        <w:rPr>
          <w:rFonts w:asciiTheme="majorBidi" w:hAnsiTheme="majorBidi" w:cstheme="majorBidi"/>
          <w:lang w:val="en-US"/>
        </w:rPr>
        <w:t>engineering</w:t>
      </w:r>
      <w:r w:rsidRPr="005570CE">
        <w:rPr>
          <w:rFonts w:asciiTheme="majorBidi" w:hAnsiTheme="majorBidi" w:cstheme="majorBidi"/>
        </w:rPr>
        <w:t xml:space="preserve"> activities</w:t>
      </w:r>
      <w:r w:rsidRPr="005570CE">
        <w:t xml:space="preserve"> </w:t>
      </w:r>
      <w:r w:rsidRPr="005570CE">
        <w:rPr>
          <w:rFonts w:asciiTheme="majorBidi" w:hAnsiTheme="majorBidi" w:cstheme="majorBidi"/>
        </w:rPr>
        <w:t>while allowing legitimate scientific research (without commercial motivation) to proceed.</w:t>
      </w:r>
      <w:r w:rsidRPr="005570CE">
        <w:rPr>
          <w:rFonts w:cstheme="majorBidi"/>
          <w:vertAlign w:val="superscript"/>
        </w:rPr>
        <w:footnoteReference w:id="33"/>
      </w:r>
      <w:r w:rsidRPr="005570CE">
        <w:rPr>
          <w:rFonts w:asciiTheme="majorBidi" w:hAnsiTheme="majorBidi" w:cstheme="majorBidi"/>
        </w:rPr>
        <w:t xml:space="preserve"> </w:t>
      </w:r>
      <w:r w:rsidRPr="004E0973">
        <w:rPr>
          <w:rFonts w:asciiTheme="majorBidi" w:hAnsiTheme="majorBidi" w:cstheme="majorBidi"/>
        </w:rPr>
        <w:t xml:space="preserve">While </w:t>
      </w:r>
      <w:r w:rsidRPr="005570CE">
        <w:rPr>
          <w:rFonts w:asciiTheme="majorBidi" w:hAnsiTheme="majorBidi" w:cstheme="majorBidi"/>
        </w:rPr>
        <w:t>CO</w:t>
      </w:r>
      <w:r w:rsidRPr="00AF00D1">
        <w:rPr>
          <w:rFonts w:asciiTheme="majorBidi" w:hAnsiTheme="majorBidi" w:cstheme="majorBidi"/>
          <w:vertAlign w:val="subscript"/>
        </w:rPr>
        <w:t>2</w:t>
      </w:r>
      <w:r w:rsidRPr="005570CE">
        <w:rPr>
          <w:rFonts w:asciiTheme="majorBidi" w:hAnsiTheme="majorBidi" w:cstheme="majorBidi"/>
        </w:rPr>
        <w:t xml:space="preserve"> sequestration</w:t>
      </w:r>
      <w:r w:rsidRPr="004E0973">
        <w:rPr>
          <w:rFonts w:asciiTheme="majorBidi" w:hAnsiTheme="majorBidi" w:cstheme="majorBidi"/>
          <w:lang w:val="en-US"/>
        </w:rPr>
        <w:t>,</w:t>
      </w:r>
      <w:r w:rsidRPr="005570CE">
        <w:rPr>
          <w:rFonts w:asciiTheme="majorBidi" w:hAnsiTheme="majorBidi" w:cstheme="majorBidi"/>
        </w:rPr>
        <w:t xml:space="preserve"> research and deployment were generally </w:t>
      </w:r>
      <w:r>
        <w:rPr>
          <w:rFonts w:asciiTheme="majorBidi" w:hAnsiTheme="majorBidi" w:cstheme="majorBidi"/>
        </w:rPr>
        <w:t>permitted</w:t>
      </w:r>
      <w:r w:rsidRPr="005570CE">
        <w:rPr>
          <w:rFonts w:asciiTheme="majorBidi" w:hAnsiTheme="majorBidi" w:cstheme="majorBidi"/>
        </w:rPr>
        <w:t xml:space="preserve"> following assessment of their environmental impact</w:t>
      </w:r>
      <w:r>
        <w:rPr>
          <w:rFonts w:asciiTheme="majorBidi" w:hAnsiTheme="majorBidi" w:cstheme="majorBidi"/>
        </w:rPr>
        <w:t xml:space="preserve">, </w:t>
      </w:r>
      <w:r w:rsidRPr="005570CE">
        <w:rPr>
          <w:rFonts w:asciiTheme="majorBidi" w:hAnsiTheme="majorBidi" w:cstheme="majorBidi"/>
        </w:rPr>
        <w:t>ocean fertilization deployment was</w:t>
      </w:r>
      <w:r w:rsidRPr="005570CE">
        <w:t xml:space="preserve"> </w:t>
      </w:r>
      <w:r w:rsidRPr="004E0973">
        <w:t xml:space="preserve">totally </w:t>
      </w:r>
      <w:r w:rsidRPr="005570CE">
        <w:rPr>
          <w:rFonts w:asciiTheme="majorBidi" w:hAnsiTheme="majorBidi" w:cstheme="majorBidi"/>
        </w:rPr>
        <w:t xml:space="preserve">prohibited and </w:t>
      </w:r>
      <w:r w:rsidRPr="004E0973">
        <w:rPr>
          <w:rFonts w:asciiTheme="majorBidi" w:hAnsiTheme="majorBidi" w:cstheme="majorBidi"/>
        </w:rPr>
        <w:t xml:space="preserve">attached </w:t>
      </w:r>
      <w:r w:rsidRPr="005570CE">
        <w:rPr>
          <w:rFonts w:asciiTheme="majorBidi" w:hAnsiTheme="majorBidi" w:cstheme="majorBidi"/>
        </w:rPr>
        <w:t>research put under control</w:t>
      </w:r>
      <w:r w:rsidRPr="004E0973">
        <w:rPr>
          <w:rFonts w:asciiTheme="majorBidi" w:hAnsiTheme="majorBidi" w:cstheme="majorBidi"/>
        </w:rPr>
        <w:t xml:space="preserve"> a</w:t>
      </w:r>
      <w:r>
        <w:rPr>
          <w:rFonts w:asciiTheme="majorBidi" w:hAnsiTheme="majorBidi" w:cstheme="majorBidi"/>
        </w:rPr>
        <w:t>s</w:t>
      </w:r>
      <w:r w:rsidRPr="004E0973">
        <w:rPr>
          <w:rFonts w:asciiTheme="majorBidi" w:hAnsiTheme="majorBidi" w:cstheme="majorBidi"/>
        </w:rPr>
        <w:t xml:space="preserve"> p</w:t>
      </w:r>
      <w:r>
        <w:rPr>
          <w:rFonts w:asciiTheme="majorBidi" w:hAnsiTheme="majorBidi" w:cstheme="majorBidi"/>
        </w:rPr>
        <w:t>r</w:t>
      </w:r>
      <w:r w:rsidRPr="005570CE">
        <w:rPr>
          <w:rFonts w:asciiTheme="majorBidi" w:hAnsiTheme="majorBidi" w:cstheme="majorBidi"/>
        </w:rPr>
        <w:t xml:space="preserve">ojects could </w:t>
      </w:r>
      <w:r w:rsidRPr="004E0973">
        <w:rPr>
          <w:rFonts w:asciiTheme="majorBidi" w:hAnsiTheme="majorBidi" w:cstheme="majorBidi"/>
        </w:rPr>
        <w:t>only</w:t>
      </w:r>
      <w:r>
        <w:rPr>
          <w:rFonts w:asciiTheme="majorBidi" w:hAnsiTheme="majorBidi" w:cstheme="majorBidi"/>
        </w:rPr>
        <w:t xml:space="preserve"> </w:t>
      </w:r>
      <w:r w:rsidRPr="005570CE">
        <w:rPr>
          <w:rFonts w:asciiTheme="majorBidi" w:hAnsiTheme="majorBidi" w:cstheme="majorBidi"/>
        </w:rPr>
        <w:t xml:space="preserve">be conducted to increase knowledge without </w:t>
      </w:r>
      <w:r w:rsidRPr="004E0973">
        <w:rPr>
          <w:rFonts w:asciiTheme="majorBidi" w:hAnsiTheme="majorBidi" w:cstheme="majorBidi"/>
        </w:rPr>
        <w:t>cr</w:t>
      </w:r>
      <w:r w:rsidRPr="006F08F5">
        <w:rPr>
          <w:rFonts w:asciiTheme="majorBidi" w:hAnsiTheme="majorBidi" w:cstheme="majorBidi"/>
        </w:rPr>
        <w:t xml:space="preserve">eating </w:t>
      </w:r>
      <w:r w:rsidRPr="005570CE">
        <w:rPr>
          <w:rFonts w:asciiTheme="majorBidi" w:hAnsiTheme="majorBidi" w:cstheme="majorBidi"/>
        </w:rPr>
        <w:t>significant risks to the marine environment</w:t>
      </w:r>
      <w:r w:rsidRPr="004E0973">
        <w:rPr>
          <w:rFonts w:asciiTheme="majorBidi" w:hAnsiTheme="majorBidi" w:cstheme="majorBidi"/>
        </w:rPr>
        <w:t>.</w:t>
      </w:r>
      <w:r w:rsidRPr="005570CE">
        <w:rPr>
          <w:vertAlign w:val="superscript"/>
        </w:rPr>
        <w:footnoteReference w:id="34"/>
      </w:r>
      <w:r w:rsidRPr="004E0973">
        <w:rPr>
          <w:rFonts w:asciiTheme="majorBidi" w:hAnsiTheme="majorBidi" w:cstheme="majorBidi"/>
        </w:rPr>
        <w:t xml:space="preserve"> </w:t>
      </w:r>
      <w:r>
        <w:rPr>
          <w:rFonts w:asciiTheme="majorBidi" w:hAnsiTheme="majorBidi" w:cstheme="majorBidi"/>
        </w:rPr>
        <w:t xml:space="preserve">In </w:t>
      </w:r>
      <w:r w:rsidRPr="005570CE">
        <w:rPr>
          <w:rFonts w:asciiTheme="majorBidi" w:hAnsiTheme="majorBidi" w:cstheme="majorBidi"/>
        </w:rPr>
        <w:t>2023</w:t>
      </w:r>
      <w:r w:rsidRPr="004E0973">
        <w:rPr>
          <w:rFonts w:asciiTheme="majorBidi" w:hAnsiTheme="majorBidi" w:cstheme="majorBidi"/>
        </w:rPr>
        <w:t>,</w:t>
      </w:r>
      <w:r w:rsidRPr="00916AC9">
        <w:rPr>
          <w:rFonts w:asciiTheme="majorBidi" w:hAnsiTheme="majorBidi" w:cstheme="majorBidi"/>
        </w:rPr>
        <w:t xml:space="preserve"> </w:t>
      </w:r>
      <w:r w:rsidRPr="005570CE">
        <w:rPr>
          <w:rFonts w:asciiTheme="majorBidi" w:hAnsiTheme="majorBidi" w:cstheme="majorBidi"/>
        </w:rPr>
        <w:t>th</w:t>
      </w:r>
      <w:r>
        <w:rPr>
          <w:rFonts w:asciiTheme="majorBidi" w:hAnsiTheme="majorBidi" w:cstheme="majorBidi"/>
        </w:rPr>
        <w:t>e</w:t>
      </w:r>
      <w:r w:rsidRPr="005570CE">
        <w:rPr>
          <w:rFonts w:asciiTheme="majorBidi" w:hAnsiTheme="majorBidi" w:cstheme="majorBidi"/>
        </w:rPr>
        <w:t xml:space="preserve"> Scientific Groups reporting to the </w:t>
      </w:r>
      <w:r>
        <w:rPr>
          <w:rFonts w:asciiTheme="majorBidi" w:hAnsiTheme="majorBidi" w:cstheme="majorBidi"/>
        </w:rPr>
        <w:t xml:space="preserve">LC-LP </w:t>
      </w:r>
      <w:r w:rsidRPr="005570CE">
        <w:rPr>
          <w:rFonts w:asciiTheme="majorBidi" w:hAnsiTheme="majorBidi" w:cstheme="majorBidi"/>
        </w:rPr>
        <w:t>COP agreed that</w:t>
      </w:r>
      <w:r w:rsidRPr="004E0973">
        <w:rPr>
          <w:rFonts w:asciiTheme="majorBidi" w:hAnsiTheme="majorBidi" w:cstheme="majorBidi"/>
        </w:rPr>
        <w:t xml:space="preserve"> </w:t>
      </w:r>
      <w:r w:rsidRPr="005570CE">
        <w:rPr>
          <w:rFonts w:asciiTheme="majorBidi" w:hAnsiTheme="majorBidi" w:cstheme="majorBidi"/>
        </w:rPr>
        <w:t xml:space="preserve">four marine geoengineering techniques have the potential to cause deleterious effects that are </w:t>
      </w:r>
      <w:r w:rsidRPr="005570CE">
        <w:rPr>
          <w:rFonts w:asciiTheme="majorBidi" w:hAnsiTheme="majorBidi" w:cstheme="majorBidi"/>
        </w:rPr>
        <w:lastRenderedPageBreak/>
        <w:t>widespread, long-lasting or severe.</w:t>
      </w:r>
      <w:r w:rsidRPr="005570CE">
        <w:rPr>
          <w:rStyle w:val="FootnoteReference"/>
          <w:rFonts w:cstheme="majorBidi"/>
          <w:sz w:val="20"/>
        </w:rPr>
        <w:footnoteReference w:id="35"/>
      </w:r>
      <w:r w:rsidRPr="006F08F5">
        <w:rPr>
          <w:rFonts w:asciiTheme="majorBidi" w:hAnsiTheme="majorBidi" w:cstheme="majorBidi"/>
        </w:rPr>
        <w:t xml:space="preserve"> </w:t>
      </w:r>
      <w:r w:rsidRPr="00A06E0D">
        <w:rPr>
          <w:rFonts w:asciiTheme="majorBidi" w:hAnsiTheme="majorBidi" w:cstheme="majorBidi"/>
        </w:rPr>
        <w:t>T</w:t>
      </w:r>
      <w:r>
        <w:rPr>
          <w:rFonts w:asciiTheme="majorBidi" w:hAnsiTheme="majorBidi" w:cstheme="majorBidi"/>
        </w:rPr>
        <w:t>he</w:t>
      </w:r>
      <w:r w:rsidRPr="005570CE">
        <w:rPr>
          <w:rFonts w:asciiTheme="majorBidi" w:hAnsiTheme="majorBidi" w:cstheme="majorBidi"/>
        </w:rPr>
        <w:t xml:space="preserve"> level of uncertainty and of potential detrimental effects </w:t>
      </w:r>
      <w:r w:rsidR="005946ED">
        <w:rPr>
          <w:rFonts w:asciiTheme="majorBidi" w:hAnsiTheme="majorBidi" w:cstheme="majorBidi"/>
        </w:rPr>
        <w:t>is</w:t>
      </w:r>
      <w:r w:rsidRPr="00A06E0D">
        <w:rPr>
          <w:rFonts w:asciiTheme="majorBidi" w:hAnsiTheme="majorBidi" w:cstheme="majorBidi"/>
        </w:rPr>
        <w:t xml:space="preserve"> the </w:t>
      </w:r>
      <w:r w:rsidRPr="005570CE">
        <w:rPr>
          <w:rFonts w:asciiTheme="majorBidi" w:hAnsiTheme="majorBidi" w:cstheme="majorBidi"/>
        </w:rPr>
        <w:t xml:space="preserve">decisive </w:t>
      </w:r>
      <w:r w:rsidRPr="00A06E0D">
        <w:rPr>
          <w:rFonts w:asciiTheme="majorBidi" w:hAnsiTheme="majorBidi" w:cstheme="majorBidi"/>
        </w:rPr>
        <w:t>criteri</w:t>
      </w:r>
      <w:r w:rsidR="005946ED">
        <w:rPr>
          <w:rFonts w:asciiTheme="majorBidi" w:hAnsiTheme="majorBidi" w:cstheme="majorBidi"/>
        </w:rPr>
        <w:t>um</w:t>
      </w:r>
      <w:r w:rsidRPr="00A06E0D">
        <w:rPr>
          <w:rFonts w:asciiTheme="majorBidi" w:hAnsiTheme="majorBidi" w:cstheme="majorBidi"/>
        </w:rPr>
        <w:t xml:space="preserve"> </w:t>
      </w:r>
      <w:r w:rsidRPr="005570CE">
        <w:rPr>
          <w:rFonts w:asciiTheme="majorBidi" w:hAnsiTheme="majorBidi" w:cstheme="majorBidi"/>
        </w:rPr>
        <w:t>for such differentiated treatment</w:t>
      </w:r>
      <w:r w:rsidRPr="00A06E0D">
        <w:rPr>
          <w:rFonts w:asciiTheme="majorBidi" w:hAnsiTheme="majorBidi" w:cstheme="majorBidi"/>
        </w:rPr>
        <w:t>.</w:t>
      </w:r>
    </w:p>
    <w:p w14:paraId="7F07BF9B" w14:textId="0F65E6AB" w:rsidR="00D2735B" w:rsidRPr="005570CE" w:rsidRDefault="00D2735B" w:rsidP="00D2735B">
      <w:pPr>
        <w:pStyle w:val="SingleTxtG"/>
        <w:rPr>
          <w:rFonts w:asciiTheme="majorBidi" w:hAnsiTheme="majorBidi" w:cstheme="majorBidi"/>
        </w:rPr>
      </w:pPr>
      <w:r w:rsidRPr="00F64A65">
        <w:rPr>
          <w:rFonts w:asciiTheme="majorBidi" w:hAnsiTheme="majorBidi" w:cstheme="majorBidi"/>
        </w:rPr>
        <w:t>3</w:t>
      </w:r>
      <w:r>
        <w:rPr>
          <w:rFonts w:asciiTheme="majorBidi" w:hAnsiTheme="majorBidi" w:cstheme="majorBidi"/>
        </w:rPr>
        <w:t>4</w:t>
      </w:r>
      <w:r w:rsidRPr="00F64A65">
        <w:rPr>
          <w:rFonts w:asciiTheme="majorBidi" w:hAnsiTheme="majorBidi" w:cstheme="majorBidi"/>
        </w:rPr>
        <w:t>.</w:t>
      </w:r>
      <w:r w:rsidRPr="00F64A65">
        <w:rPr>
          <w:rFonts w:asciiTheme="majorBidi" w:hAnsiTheme="majorBidi" w:cstheme="majorBidi"/>
        </w:rPr>
        <w:tab/>
      </w:r>
      <w:r w:rsidRPr="00CA3355">
        <w:t>The 1976 Convention on Prohibition of Military or any other Hostile Use of Environmental Modification Techniques (ENMOD Convention) expressly prohibits “all techniques that are intended to alter − through deliberate manipulation − the natural processes, dynamics, composition or structure of the Earth, including its biota, lithosphere</w:t>
      </w:r>
      <w:r w:rsidRPr="00485652">
        <w:rPr>
          <w:rFonts w:asciiTheme="majorBidi" w:hAnsiTheme="majorBidi" w:cstheme="majorBidi"/>
        </w:rPr>
        <w:t xml:space="preserve">, its hydrosphere and its atmosphere or of outer space.”  In its recently adopted draft set of principles on protection of the environment in relation to armed conflicts, the International Law Commission (ILC) included specific principles on “environmental modification techniques” which </w:t>
      </w:r>
      <w:r>
        <w:rPr>
          <w:rFonts w:asciiTheme="majorBidi" w:hAnsiTheme="majorBidi" w:cstheme="majorBidi"/>
        </w:rPr>
        <w:t>provide</w:t>
      </w:r>
      <w:r w:rsidRPr="00485652">
        <w:rPr>
          <w:rFonts w:asciiTheme="majorBidi" w:hAnsiTheme="majorBidi" w:cstheme="majorBidi"/>
        </w:rPr>
        <w:t xml:space="preserve"> that: “in accordance with their international obligations, States shall not engage in military or any other hostile use of environmental modification techniques having widespread, long-lasting or severe effects as the means of destruction, damage or injury to any other State”.</w:t>
      </w:r>
      <w:r w:rsidRPr="005570CE">
        <w:rPr>
          <w:rStyle w:val="FootnoteReference"/>
          <w:sz w:val="20"/>
        </w:rPr>
        <w:footnoteReference w:id="36"/>
      </w:r>
      <w:r w:rsidRPr="005570CE">
        <w:t xml:space="preserve"> </w:t>
      </w:r>
      <w:r>
        <w:rPr>
          <w:rFonts w:asciiTheme="majorBidi" w:hAnsiTheme="majorBidi" w:cstheme="majorBidi"/>
        </w:rPr>
        <w:t xml:space="preserve">Even if the scope of this treaty is to protect environment from damage in </w:t>
      </w:r>
      <w:r w:rsidRPr="00485652">
        <w:rPr>
          <w:rFonts w:asciiTheme="majorBidi" w:hAnsiTheme="majorBidi" w:cstheme="majorBidi"/>
        </w:rPr>
        <w:t>armed conflict</w:t>
      </w:r>
      <w:r>
        <w:rPr>
          <w:rFonts w:asciiTheme="majorBidi" w:hAnsiTheme="majorBidi" w:cstheme="majorBidi"/>
        </w:rPr>
        <w:t>,</w:t>
      </w:r>
      <w:r w:rsidRPr="00485652">
        <w:rPr>
          <w:rFonts w:asciiTheme="majorBidi" w:hAnsiTheme="majorBidi" w:cstheme="majorBidi"/>
        </w:rPr>
        <w:t xml:space="preserve"> </w:t>
      </w:r>
      <w:r>
        <w:rPr>
          <w:rFonts w:asciiTheme="majorBidi" w:hAnsiTheme="majorBidi" w:cstheme="majorBidi"/>
        </w:rPr>
        <w:t xml:space="preserve">it seems self-evident that the use of techniques leading to such serious environmental consequences are even less acceptable in peacetime. </w:t>
      </w:r>
      <w:r w:rsidR="005946ED">
        <w:rPr>
          <w:rFonts w:asciiTheme="majorBidi" w:hAnsiTheme="majorBidi" w:cstheme="majorBidi"/>
        </w:rPr>
        <w:t>A</w:t>
      </w:r>
      <w:r>
        <w:rPr>
          <w:rFonts w:asciiTheme="majorBidi" w:hAnsiTheme="majorBidi" w:cstheme="majorBidi"/>
        </w:rPr>
        <w:t xml:space="preserve">ccording </w:t>
      </w:r>
      <w:r w:rsidR="003F04EB">
        <w:rPr>
          <w:rFonts w:asciiTheme="majorBidi" w:hAnsiTheme="majorBidi" w:cstheme="majorBidi"/>
        </w:rPr>
        <w:t xml:space="preserve">to </w:t>
      </w:r>
      <w:r>
        <w:rPr>
          <w:rFonts w:asciiTheme="majorBidi" w:hAnsiTheme="majorBidi" w:cstheme="majorBidi"/>
        </w:rPr>
        <w:t>the ILC in all circumstances</w:t>
      </w:r>
      <w:r w:rsidRPr="00CA3355">
        <w:rPr>
          <w:rFonts w:asciiTheme="majorBidi" w:hAnsiTheme="majorBidi" w:cstheme="majorBidi"/>
        </w:rPr>
        <w:t xml:space="preserve"> “the environment remains under the protection and authority of the principles of international law derived from established custom, from the principles of humanity and from the dictates of public conscience”.</w:t>
      </w:r>
      <w:r w:rsidRPr="00CA3355">
        <w:rPr>
          <w:rFonts w:asciiTheme="majorBidi" w:hAnsiTheme="majorBidi" w:cstheme="majorBidi"/>
          <w:vertAlign w:val="superscript"/>
        </w:rPr>
        <w:footnoteReference w:id="37"/>
      </w:r>
    </w:p>
    <w:p w14:paraId="674E8C20" w14:textId="556601C7" w:rsidR="00D2735B" w:rsidRPr="00124528" w:rsidRDefault="00D2735B" w:rsidP="00D2735B">
      <w:pPr>
        <w:pStyle w:val="H1G"/>
      </w:pPr>
      <w:r w:rsidRPr="00124528">
        <w:tab/>
      </w:r>
      <w:r>
        <w:t>B.</w:t>
      </w:r>
      <w:r w:rsidRPr="00124528">
        <w:tab/>
        <w:t>Princip</w:t>
      </w:r>
      <w:r w:rsidR="00D25C93">
        <w:t>led</w:t>
      </w:r>
      <w:r w:rsidRPr="00124528">
        <w:t xml:space="preserve"> approach</w:t>
      </w:r>
    </w:p>
    <w:p w14:paraId="4B629A57" w14:textId="534EDA7A" w:rsidR="00D2735B" w:rsidRPr="00CA3355" w:rsidRDefault="00D2735B" w:rsidP="00D2735B">
      <w:pPr>
        <w:pStyle w:val="SingleTxtG"/>
        <w:rPr>
          <w:rFonts w:asciiTheme="majorBidi" w:hAnsiTheme="majorBidi" w:cstheme="majorBidi"/>
          <w:i/>
          <w:iCs/>
        </w:rPr>
      </w:pPr>
      <w:r w:rsidRPr="00CA3355">
        <w:rPr>
          <w:rFonts w:asciiTheme="majorBidi" w:hAnsiTheme="majorBidi" w:cstheme="majorBidi"/>
        </w:rPr>
        <w:t>3</w:t>
      </w:r>
      <w:r>
        <w:rPr>
          <w:rFonts w:asciiTheme="majorBidi" w:hAnsiTheme="majorBidi" w:cstheme="majorBidi"/>
        </w:rPr>
        <w:t>5</w:t>
      </w:r>
      <w:r w:rsidRPr="00CA3355">
        <w:rPr>
          <w:rFonts w:asciiTheme="majorBidi" w:hAnsiTheme="majorBidi" w:cstheme="majorBidi"/>
        </w:rPr>
        <w:tab/>
      </w:r>
      <w:r w:rsidRPr="00070BA0">
        <w:rPr>
          <w:rFonts w:asciiTheme="majorBidi" w:hAnsiTheme="majorBidi" w:cstheme="majorBidi"/>
        </w:rPr>
        <w:t>In absence of a legal treaty or regulations on speculative technologies, decision and policy makers should follow a principled approach to preserve human rights and environmental protection from the risk of uncertain or uncontrolled impacts. This is in line with the environmental “</w:t>
      </w:r>
      <w:proofErr w:type="gramStart"/>
      <w:r w:rsidRPr="00070BA0">
        <w:rPr>
          <w:rFonts w:asciiTheme="majorBidi" w:hAnsiTheme="majorBidi" w:cstheme="majorBidi"/>
        </w:rPr>
        <w:t>Martens</w:t>
      </w:r>
      <w:proofErr w:type="gramEnd"/>
      <w:r w:rsidRPr="00070BA0">
        <w:rPr>
          <w:rFonts w:asciiTheme="majorBidi" w:hAnsiTheme="majorBidi" w:cstheme="majorBidi"/>
        </w:rPr>
        <w:t xml:space="preserve"> clause” referring to cases which are not covered by a specific rule or treaty or whenever the legal regulation provided by a treaty or customary rule is doubtful, uncertain or lacking in clarity.</w:t>
      </w:r>
      <w:r w:rsidRPr="00070BA0">
        <w:rPr>
          <w:rStyle w:val="FootnoteReference"/>
          <w:rFonts w:cstheme="majorBidi"/>
        </w:rPr>
        <w:footnoteReference w:id="38"/>
      </w:r>
    </w:p>
    <w:p w14:paraId="20C7D8F8" w14:textId="426F1F8E" w:rsidR="00D2735B" w:rsidRDefault="00D2735B" w:rsidP="00D2735B">
      <w:pPr>
        <w:pStyle w:val="SingleTxtG"/>
        <w:rPr>
          <w:rFonts w:asciiTheme="majorBidi" w:hAnsiTheme="majorBidi" w:cstheme="majorBidi"/>
        </w:rPr>
      </w:pPr>
      <w:r>
        <w:rPr>
          <w:rFonts w:asciiTheme="majorBidi" w:hAnsiTheme="majorBidi" w:cstheme="majorBidi"/>
        </w:rPr>
        <w:t>36.</w:t>
      </w:r>
      <w:r>
        <w:rPr>
          <w:rFonts w:asciiTheme="majorBidi" w:hAnsiTheme="majorBidi" w:cstheme="majorBidi"/>
        </w:rPr>
        <w:tab/>
      </w:r>
      <w:r w:rsidRPr="00B62A52">
        <w:rPr>
          <w:rFonts w:asciiTheme="majorBidi" w:hAnsiTheme="majorBidi" w:cstheme="majorBidi"/>
        </w:rPr>
        <w:t>The precautionary principle has been and should be applied to geoengineering</w:t>
      </w:r>
      <w:r>
        <w:t>.</w:t>
      </w:r>
      <w:r w:rsidRPr="0011733B">
        <w:rPr>
          <w:rStyle w:val="FootnoteReference"/>
          <w:sz w:val="20"/>
        </w:rPr>
        <w:footnoteReference w:id="39"/>
      </w:r>
      <w:r w:rsidRPr="00124528">
        <w:t xml:space="preserve"> </w:t>
      </w:r>
      <w:r w:rsidRPr="00CA3355">
        <w:rPr>
          <w:rFonts w:asciiTheme="majorBidi" w:hAnsiTheme="majorBidi" w:cstheme="majorBidi"/>
        </w:rPr>
        <w:t xml:space="preserve">States have a general obligation to adopt legislative, administrative, </w:t>
      </w:r>
      <w:proofErr w:type="gramStart"/>
      <w:r w:rsidRPr="00CA3355">
        <w:rPr>
          <w:rFonts w:asciiTheme="majorBidi" w:hAnsiTheme="majorBidi" w:cstheme="majorBidi"/>
        </w:rPr>
        <w:t>judicial</w:t>
      </w:r>
      <w:proofErr w:type="gramEnd"/>
      <w:r w:rsidRPr="00CA3355">
        <w:rPr>
          <w:rFonts w:asciiTheme="majorBidi" w:hAnsiTheme="majorBidi" w:cstheme="majorBidi"/>
        </w:rPr>
        <w:t xml:space="preserve"> and other measures to prevent harm to the environment at an early stage</w:t>
      </w:r>
      <w:r>
        <w:rPr>
          <w:rFonts w:asciiTheme="majorBidi" w:hAnsiTheme="majorBidi" w:cstheme="majorBidi"/>
        </w:rPr>
        <w:t xml:space="preserve"> also with a view of</w:t>
      </w:r>
      <w:r w:rsidRPr="00CA3355">
        <w:rPr>
          <w:rFonts w:asciiTheme="majorBidi" w:hAnsiTheme="majorBidi" w:cstheme="majorBidi"/>
        </w:rPr>
        <w:t xml:space="preserve"> ensuring that activities within their jurisdiction or control do not cause damage to the environment of other States or of areas beyond the limits of national jurisdiction. </w:t>
      </w:r>
      <w:r>
        <w:rPr>
          <w:rFonts w:asciiTheme="majorBidi" w:hAnsiTheme="majorBidi" w:cstheme="majorBidi"/>
        </w:rPr>
        <w:t xml:space="preserve">Because </w:t>
      </w:r>
      <w:r w:rsidRPr="00B62A52">
        <w:rPr>
          <w:rStyle w:val="markedcontent"/>
          <w:rFonts w:asciiTheme="majorBidi" w:hAnsiTheme="majorBidi" w:cstheme="majorBidi"/>
        </w:rPr>
        <w:t xml:space="preserve">the </w:t>
      </w:r>
      <w:r>
        <w:rPr>
          <w:rStyle w:val="markedcontent"/>
          <w:rFonts w:asciiTheme="majorBidi" w:hAnsiTheme="majorBidi" w:cstheme="majorBidi"/>
        </w:rPr>
        <w:t>restor</w:t>
      </w:r>
      <w:r w:rsidRPr="00B62A52">
        <w:rPr>
          <w:rStyle w:val="markedcontent"/>
          <w:rFonts w:asciiTheme="majorBidi" w:hAnsiTheme="majorBidi" w:cstheme="majorBidi"/>
        </w:rPr>
        <w:t>ation of</w:t>
      </w:r>
      <w:r w:rsidRPr="00CA3355">
        <w:rPr>
          <w:rStyle w:val="markedcontent"/>
          <w:rFonts w:asciiTheme="majorBidi" w:hAnsiTheme="majorBidi" w:cstheme="majorBidi"/>
        </w:rPr>
        <w:t xml:space="preserve"> the</w:t>
      </w:r>
      <w:r w:rsidRPr="00B62A52">
        <w:rPr>
          <w:rStyle w:val="markedcontent"/>
          <w:rFonts w:asciiTheme="majorBidi" w:hAnsiTheme="majorBidi" w:cstheme="majorBidi"/>
        </w:rPr>
        <w:t xml:space="preserve"> </w:t>
      </w:r>
      <w:r w:rsidRPr="00CA3355">
        <w:rPr>
          <w:rStyle w:val="markedcontent"/>
          <w:rFonts w:asciiTheme="majorBidi" w:hAnsiTheme="majorBidi" w:cstheme="majorBidi"/>
        </w:rPr>
        <w:t>situation that</w:t>
      </w:r>
      <w:r w:rsidRPr="00B62A52">
        <w:rPr>
          <w:rStyle w:val="markedcontent"/>
          <w:rFonts w:asciiTheme="majorBidi" w:hAnsiTheme="majorBidi" w:cstheme="majorBidi"/>
        </w:rPr>
        <w:t xml:space="preserve"> </w:t>
      </w:r>
      <w:r w:rsidRPr="00CA3355">
        <w:rPr>
          <w:rStyle w:val="markedcontent"/>
          <w:rFonts w:asciiTheme="majorBidi" w:hAnsiTheme="majorBidi" w:cstheme="majorBidi"/>
        </w:rPr>
        <w:t>existed befor</w:t>
      </w:r>
      <w:r>
        <w:rPr>
          <w:rStyle w:val="markedcontent"/>
          <w:rFonts w:asciiTheme="majorBidi" w:hAnsiTheme="majorBidi" w:cstheme="majorBidi"/>
        </w:rPr>
        <w:t>e environmental damage occurred</w:t>
      </w:r>
      <w:r w:rsidRPr="00B62A52">
        <w:rPr>
          <w:rStyle w:val="markedcontent"/>
          <w:rFonts w:asciiTheme="majorBidi" w:hAnsiTheme="majorBidi" w:cstheme="majorBidi"/>
        </w:rPr>
        <w:t xml:space="preserve"> often is </w:t>
      </w:r>
      <w:r w:rsidR="003F04EB">
        <w:rPr>
          <w:rStyle w:val="markedcontent"/>
          <w:rFonts w:asciiTheme="majorBidi" w:hAnsiTheme="majorBidi" w:cstheme="majorBidi"/>
        </w:rPr>
        <w:t>im</w:t>
      </w:r>
      <w:r w:rsidRPr="00B62A52">
        <w:rPr>
          <w:rStyle w:val="markedcontent"/>
          <w:rFonts w:asciiTheme="majorBidi" w:hAnsiTheme="majorBidi" w:cstheme="majorBidi"/>
        </w:rPr>
        <w:t>possible, p</w:t>
      </w:r>
      <w:r w:rsidRPr="00CA3355">
        <w:rPr>
          <w:rStyle w:val="markedcontent"/>
          <w:rFonts w:asciiTheme="majorBidi" w:hAnsiTheme="majorBidi" w:cstheme="majorBidi"/>
        </w:rPr>
        <w:t xml:space="preserve">revention </w:t>
      </w:r>
      <w:r w:rsidRPr="00B62A52">
        <w:rPr>
          <w:rStyle w:val="markedcontent"/>
          <w:rFonts w:asciiTheme="majorBidi" w:hAnsiTheme="majorBidi" w:cstheme="majorBidi"/>
        </w:rPr>
        <w:t xml:space="preserve">is </w:t>
      </w:r>
      <w:r w:rsidRPr="00CA3355">
        <w:rPr>
          <w:rStyle w:val="markedcontent"/>
          <w:rFonts w:asciiTheme="majorBidi" w:hAnsiTheme="majorBidi" w:cstheme="majorBidi"/>
        </w:rPr>
        <w:t xml:space="preserve">the </w:t>
      </w:r>
      <w:r w:rsidRPr="00B62A52">
        <w:rPr>
          <w:rStyle w:val="markedcontent"/>
          <w:rFonts w:asciiTheme="majorBidi" w:hAnsiTheme="majorBidi" w:cstheme="majorBidi"/>
        </w:rPr>
        <w:t xml:space="preserve">main approach to </w:t>
      </w:r>
      <w:r>
        <w:rPr>
          <w:rStyle w:val="markedcontent"/>
          <w:rFonts w:asciiTheme="majorBidi" w:hAnsiTheme="majorBidi" w:cstheme="majorBidi"/>
        </w:rPr>
        <w:t xml:space="preserve">be followed by </w:t>
      </w:r>
      <w:proofErr w:type="gramStart"/>
      <w:r w:rsidRPr="00CA3355">
        <w:rPr>
          <w:rStyle w:val="markedcontent"/>
          <w:rFonts w:asciiTheme="majorBidi" w:hAnsiTheme="majorBidi" w:cstheme="majorBidi"/>
        </w:rPr>
        <w:t>policy</w:t>
      </w:r>
      <w:r w:rsidRPr="00B62A52">
        <w:rPr>
          <w:rStyle w:val="markedcontent"/>
          <w:rFonts w:asciiTheme="majorBidi" w:hAnsiTheme="majorBidi" w:cstheme="majorBidi"/>
        </w:rPr>
        <w:t>-makers</w:t>
      </w:r>
      <w:proofErr w:type="gramEnd"/>
      <w:r w:rsidR="008363DE">
        <w:rPr>
          <w:rStyle w:val="markedcontent"/>
          <w:rFonts w:asciiTheme="majorBidi" w:hAnsiTheme="majorBidi" w:cstheme="majorBidi"/>
        </w:rPr>
        <w:t>.</w:t>
      </w:r>
      <w:r w:rsidRPr="00CA3355">
        <w:rPr>
          <w:rStyle w:val="FootnoteReference"/>
          <w:rFonts w:asciiTheme="majorBidi" w:hAnsiTheme="majorBidi" w:cstheme="majorBidi"/>
          <w:sz w:val="20"/>
        </w:rPr>
        <w:footnoteReference w:id="40"/>
      </w:r>
      <w:r w:rsidRPr="00CA3355">
        <w:rPr>
          <w:rStyle w:val="markedcontent"/>
          <w:rFonts w:asciiTheme="majorBidi" w:hAnsiTheme="majorBidi" w:cstheme="majorBidi"/>
        </w:rPr>
        <w:t xml:space="preserve"> </w:t>
      </w:r>
      <w:r w:rsidRPr="00CA3355">
        <w:rPr>
          <w:rFonts w:asciiTheme="majorBidi" w:hAnsiTheme="majorBidi" w:cstheme="majorBidi"/>
        </w:rPr>
        <w:t xml:space="preserve"> </w:t>
      </w:r>
      <w:r>
        <w:rPr>
          <w:rFonts w:asciiTheme="majorBidi" w:hAnsiTheme="majorBidi" w:cstheme="majorBidi"/>
        </w:rPr>
        <w:t>Particularly</w:t>
      </w:r>
      <w:r w:rsidRPr="00CA3355">
        <w:rPr>
          <w:rFonts w:asciiTheme="majorBidi" w:hAnsiTheme="majorBidi" w:cstheme="majorBidi"/>
        </w:rPr>
        <w:t xml:space="preserve"> where scientific evidence is not yet conclusive </w:t>
      </w:r>
      <w:r>
        <w:rPr>
          <w:rFonts w:asciiTheme="majorBidi" w:hAnsiTheme="majorBidi" w:cstheme="majorBidi"/>
        </w:rPr>
        <w:t>on</w:t>
      </w:r>
      <w:r w:rsidRPr="00CA3355">
        <w:rPr>
          <w:rFonts w:asciiTheme="majorBidi" w:hAnsiTheme="majorBidi" w:cstheme="majorBidi"/>
        </w:rPr>
        <w:t xml:space="preserve"> environment</w:t>
      </w:r>
      <w:r>
        <w:rPr>
          <w:rFonts w:asciiTheme="majorBidi" w:hAnsiTheme="majorBidi" w:cstheme="majorBidi"/>
        </w:rPr>
        <w:t>al impacts</w:t>
      </w:r>
      <w:r w:rsidRPr="00CA3355">
        <w:rPr>
          <w:rFonts w:asciiTheme="majorBidi" w:hAnsiTheme="majorBidi" w:cstheme="majorBidi"/>
        </w:rPr>
        <w:t xml:space="preserve"> of </w:t>
      </w:r>
      <w:r>
        <w:rPr>
          <w:rFonts w:asciiTheme="majorBidi" w:hAnsiTheme="majorBidi" w:cstheme="majorBidi"/>
        </w:rPr>
        <w:t>certain activities</w:t>
      </w:r>
      <w:r w:rsidRPr="00CA3355">
        <w:rPr>
          <w:rFonts w:asciiTheme="majorBidi" w:hAnsiTheme="majorBidi" w:cstheme="majorBidi"/>
        </w:rPr>
        <w:t xml:space="preserve">, States </w:t>
      </w:r>
      <w:r>
        <w:rPr>
          <w:rFonts w:asciiTheme="majorBidi" w:hAnsiTheme="majorBidi" w:cstheme="majorBidi"/>
        </w:rPr>
        <w:lastRenderedPageBreak/>
        <w:t xml:space="preserve">are required </w:t>
      </w:r>
      <w:r w:rsidRPr="00CA3355">
        <w:rPr>
          <w:rFonts w:asciiTheme="majorBidi" w:hAnsiTheme="majorBidi" w:cstheme="majorBidi"/>
        </w:rPr>
        <w:t xml:space="preserve">to act cautiously and diligently to avoid </w:t>
      </w:r>
      <w:r>
        <w:rPr>
          <w:rFonts w:asciiTheme="majorBidi" w:hAnsiTheme="majorBidi" w:cstheme="majorBidi"/>
        </w:rPr>
        <w:t xml:space="preserve">any </w:t>
      </w:r>
      <w:r w:rsidRPr="00CA3355">
        <w:rPr>
          <w:rFonts w:asciiTheme="majorBidi" w:hAnsiTheme="majorBidi" w:cstheme="majorBidi"/>
        </w:rPr>
        <w:t>steps</w:t>
      </w:r>
      <w:r>
        <w:rPr>
          <w:rFonts w:asciiTheme="majorBidi" w:hAnsiTheme="majorBidi" w:cstheme="majorBidi"/>
        </w:rPr>
        <w:t xml:space="preserve"> that may cause harm to </w:t>
      </w:r>
      <w:r w:rsidRPr="00CA3355">
        <w:rPr>
          <w:rFonts w:asciiTheme="majorBidi" w:hAnsiTheme="majorBidi" w:cstheme="majorBidi"/>
        </w:rPr>
        <w:t xml:space="preserve">human health or </w:t>
      </w:r>
      <w:r>
        <w:rPr>
          <w:rFonts w:asciiTheme="majorBidi" w:hAnsiTheme="majorBidi" w:cstheme="majorBidi"/>
        </w:rPr>
        <w:t>e</w:t>
      </w:r>
      <w:r w:rsidRPr="00CA3355">
        <w:rPr>
          <w:rFonts w:asciiTheme="majorBidi" w:hAnsiTheme="majorBidi" w:cstheme="majorBidi"/>
        </w:rPr>
        <w:t>nvironment</w:t>
      </w:r>
      <w:r>
        <w:rPr>
          <w:rFonts w:asciiTheme="majorBidi" w:hAnsiTheme="majorBidi" w:cstheme="majorBidi"/>
        </w:rPr>
        <w:t>.</w:t>
      </w:r>
      <w:r w:rsidRPr="00124528">
        <w:rPr>
          <w:rStyle w:val="FootnoteReference"/>
          <w:sz w:val="20"/>
        </w:rPr>
        <w:footnoteReference w:id="41"/>
      </w:r>
    </w:p>
    <w:p w14:paraId="2DDB6202" w14:textId="3C1A578A" w:rsidR="00D2735B" w:rsidRPr="008178DB" w:rsidRDefault="00D2735B" w:rsidP="00D2735B">
      <w:pPr>
        <w:pStyle w:val="SingleTxtG"/>
        <w:rPr>
          <w:rFonts w:asciiTheme="majorBidi" w:hAnsiTheme="majorBidi" w:cstheme="majorBidi"/>
          <w:bCs/>
        </w:rPr>
      </w:pPr>
      <w:r w:rsidRPr="00B62A52">
        <w:t>37.</w:t>
      </w:r>
      <w:r>
        <w:tab/>
      </w:r>
      <w:r w:rsidRPr="00B62A52">
        <w:t xml:space="preserve">Whether a given </w:t>
      </w:r>
      <w:r w:rsidRPr="00B62A52">
        <w:rPr>
          <w:rFonts w:asciiTheme="majorBidi" w:hAnsiTheme="majorBidi" w:cstheme="majorBidi"/>
        </w:rPr>
        <w:t>technological</w:t>
      </w:r>
      <w:r w:rsidRPr="00B62A52">
        <w:t xml:space="preserve"> option for mitigating climate change should be pursued </w:t>
      </w:r>
      <w:r w:rsidR="003F04EB">
        <w:t>despite</w:t>
      </w:r>
      <w:r w:rsidRPr="00B62A52">
        <w:t xml:space="preserve"> scientific uncertainty regarding its impacts must be evaluated against alternative options, including those about which there is more scientific certainly. </w:t>
      </w:r>
      <w:proofErr w:type="gramStart"/>
      <w:r w:rsidRPr="004259B9">
        <w:t>In the event that</w:t>
      </w:r>
      <w:proofErr w:type="gramEnd"/>
      <w:r w:rsidRPr="004259B9">
        <w:t xml:space="preserve"> there is a total or partial governance gap, the principle of precaution advi</w:t>
      </w:r>
      <w:r>
        <w:t>s</w:t>
      </w:r>
      <w:r w:rsidRPr="004259B9">
        <w:t xml:space="preserve">es weighting alternatives, so that less uncertain and risky alternatives should be recognized as preferable. From this perspective, a </w:t>
      </w:r>
      <w:r w:rsidRPr="004259B9">
        <w:rPr>
          <w:i/>
        </w:rPr>
        <w:t>moratorium</w:t>
      </w:r>
      <w:r w:rsidRPr="004259B9">
        <w:t xml:space="preserve"> on fossil fuel extraction could be the less potentially harmful option. </w:t>
      </w:r>
      <w:r w:rsidRPr="004259B9">
        <w:rPr>
          <w:rFonts w:asciiTheme="majorBidi" w:hAnsiTheme="majorBidi" w:cstheme="majorBidi"/>
          <w:bCs/>
        </w:rPr>
        <w:t>Other existing proposals and low-cost technologies</w:t>
      </w:r>
      <w:r w:rsidRPr="004259B9">
        <w:rPr>
          <w:rFonts w:asciiTheme="majorBidi" w:hAnsiTheme="majorBidi" w:cstheme="majorBidi"/>
          <w:bCs/>
          <w:lang w:val="en-US"/>
        </w:rPr>
        <w:t xml:space="preserve">, such as peatland and forest management </w:t>
      </w:r>
      <w:r w:rsidRPr="004259B9">
        <w:rPr>
          <w:rFonts w:asciiTheme="majorBidi" w:hAnsiTheme="majorBidi" w:cstheme="majorBidi"/>
          <w:bCs/>
        </w:rPr>
        <w:t xml:space="preserve">address climate change and its drivers, many of which have been tested and carry little to no risks but provide benefits for people and the planet. </w:t>
      </w:r>
      <w:r w:rsidRPr="004259B9">
        <w:t>A human rights-based approach to climate action, interpreted in line with the Paris Agreement, primarily requires prevention of further emissions by stopping excessive levels of GHG emissions. Failure to take measures to prevent foreseeable harm to human rights caused by climate change, or to regulate activities contributin</w:t>
      </w:r>
      <w:r w:rsidRPr="008178DB">
        <w:t>g to such harm, could constitute thus a violation</w:t>
      </w:r>
      <w:r w:rsidRPr="008178DB">
        <w:rPr>
          <w:lang w:val="en-US"/>
        </w:rPr>
        <w:t>.</w:t>
      </w:r>
      <w:r w:rsidRPr="008178DB">
        <w:rPr>
          <w:rStyle w:val="FootnoteReference"/>
          <w:sz w:val="20"/>
        </w:rPr>
        <w:t xml:space="preserve"> </w:t>
      </w:r>
      <w:r w:rsidRPr="008178DB">
        <w:rPr>
          <w:rStyle w:val="FootnoteReference"/>
          <w:sz w:val="20"/>
        </w:rPr>
        <w:footnoteReference w:id="42"/>
      </w:r>
    </w:p>
    <w:p w14:paraId="544BBE3E" w14:textId="2DEC0602" w:rsidR="00D2735B" w:rsidRPr="008178DB" w:rsidRDefault="00D2735B" w:rsidP="00D2735B">
      <w:pPr>
        <w:pStyle w:val="SingleTxtG"/>
      </w:pPr>
      <w:r w:rsidRPr="008178DB">
        <w:t>38.</w:t>
      </w:r>
      <w:r>
        <w:tab/>
      </w:r>
      <w:r w:rsidRPr="008178DB">
        <w:rPr>
          <w:rFonts w:asciiTheme="majorBidi" w:hAnsiTheme="majorBidi" w:cstheme="majorBidi"/>
        </w:rPr>
        <w:t>There is scien</w:t>
      </w:r>
      <w:r w:rsidRPr="008178DB">
        <w:t>t</w:t>
      </w:r>
      <w:r w:rsidRPr="008178DB">
        <w:rPr>
          <w:rFonts w:asciiTheme="majorBidi" w:hAnsiTheme="majorBidi" w:cstheme="majorBidi"/>
        </w:rPr>
        <w:t xml:space="preserve">ific uncertainty surrounding the risks and impacts of NTCPs on complex global </w:t>
      </w:r>
      <w:r w:rsidRPr="00BF5E7A">
        <w:t>planetary</w:t>
      </w:r>
      <w:r w:rsidRPr="008178DB">
        <w:rPr>
          <w:rFonts w:asciiTheme="majorBidi" w:hAnsiTheme="majorBidi" w:cstheme="majorBidi"/>
        </w:rPr>
        <w:t xml:space="preserve"> systems, but it is generally accepted that at the current stage of development these may be </w:t>
      </w:r>
      <w:r w:rsidRPr="00DE4BCE">
        <w:t>irreversible</w:t>
      </w:r>
      <w:r w:rsidRPr="008178DB">
        <w:rPr>
          <w:rFonts w:asciiTheme="majorBidi" w:hAnsiTheme="majorBidi" w:cstheme="majorBidi"/>
        </w:rPr>
        <w:t>.</w:t>
      </w:r>
      <w:r w:rsidRPr="008178DB">
        <w:t xml:space="preserve"> Also, </w:t>
      </w:r>
      <w:r w:rsidRPr="008178DB">
        <w:rPr>
          <w:rFonts w:asciiTheme="majorBidi" w:hAnsiTheme="majorBidi" w:cstheme="majorBidi"/>
          <w:bCs/>
          <w:lang w:val="en-US"/>
        </w:rPr>
        <w:t>t</w:t>
      </w:r>
      <w:r w:rsidRPr="008178DB">
        <w:rPr>
          <w:rFonts w:asciiTheme="majorBidi" w:hAnsiTheme="majorBidi" w:cstheme="majorBidi"/>
          <w:bCs/>
        </w:rPr>
        <w:t>he existence of proven low-risk approaches and alternatives make the use of NTCP</w:t>
      </w:r>
      <w:r w:rsidRPr="008178DB">
        <w:rPr>
          <w:rFonts w:asciiTheme="majorBidi" w:hAnsiTheme="majorBidi" w:cstheme="majorBidi"/>
          <w:bCs/>
          <w:lang w:val="en-US"/>
        </w:rPr>
        <w:t>s</w:t>
      </w:r>
      <w:r w:rsidRPr="008178DB">
        <w:rPr>
          <w:rFonts w:asciiTheme="majorBidi" w:hAnsiTheme="majorBidi" w:cstheme="majorBidi"/>
          <w:bCs/>
        </w:rPr>
        <w:t xml:space="preserve"> </w:t>
      </w:r>
      <w:r w:rsidRPr="008178DB">
        <w:rPr>
          <w:rFonts w:asciiTheme="majorBidi" w:hAnsiTheme="majorBidi" w:cstheme="majorBidi"/>
          <w:bCs/>
          <w:lang w:val="en-US"/>
        </w:rPr>
        <w:t xml:space="preserve">at their current development </w:t>
      </w:r>
      <w:r w:rsidRPr="008178DB">
        <w:rPr>
          <w:rFonts w:asciiTheme="majorBidi" w:hAnsiTheme="majorBidi" w:cstheme="majorBidi"/>
          <w:bCs/>
        </w:rPr>
        <w:t xml:space="preserve">untenable under both human rights and environmental law. </w:t>
      </w:r>
      <w:r w:rsidR="00386DBE">
        <w:rPr>
          <w:rFonts w:asciiTheme="majorBidi" w:hAnsiTheme="majorBidi" w:cstheme="majorBidi"/>
        </w:rPr>
        <w:t>In</w:t>
      </w:r>
      <w:r w:rsidR="00386DBE" w:rsidRPr="008178DB">
        <w:rPr>
          <w:rFonts w:asciiTheme="majorBidi" w:hAnsiTheme="majorBidi" w:cstheme="majorBidi"/>
        </w:rPr>
        <w:t xml:space="preserve"> </w:t>
      </w:r>
      <w:r w:rsidRPr="008178DB">
        <w:rPr>
          <w:rFonts w:asciiTheme="majorBidi" w:hAnsiTheme="majorBidi" w:cstheme="majorBidi"/>
        </w:rPr>
        <w:t xml:space="preserve">these circumstances, human rights obligations interpreted in the light of fundamental principles of environmental law advise for a </w:t>
      </w:r>
      <w:r w:rsidRPr="008178DB">
        <w:rPr>
          <w:rFonts w:asciiTheme="majorBidi" w:hAnsiTheme="majorBidi" w:cstheme="majorBidi"/>
          <w:bCs/>
        </w:rPr>
        <w:t>rigorous application of the precautionary principle. This</w:t>
      </w:r>
      <w:r w:rsidRPr="008178DB">
        <w:rPr>
          <w:rFonts w:asciiTheme="majorBidi" w:hAnsiTheme="majorBidi" w:cstheme="majorBidi"/>
        </w:rPr>
        <w:t xml:space="preserve"> requires </w:t>
      </w:r>
      <w:r w:rsidRPr="008178DB">
        <w:t xml:space="preserve">States to undertake action to diminish any potential environmental harm threatening human life or health in a serious and irreversible manner. Because the effects of such harm would be </w:t>
      </w:r>
      <w:r w:rsidRPr="008178DB">
        <w:rPr>
          <w:rFonts w:asciiTheme="majorBidi" w:hAnsiTheme="majorBidi" w:cstheme="majorBidi"/>
        </w:rPr>
        <w:t>inequitable to present and future generations the possibility of accepting it is untenable</w:t>
      </w:r>
      <w:r w:rsidRPr="008178DB">
        <w:t>.</w:t>
      </w:r>
      <w:r w:rsidRPr="008178DB">
        <w:rPr>
          <w:vertAlign w:val="superscript"/>
        </w:rPr>
        <w:footnoteReference w:id="43"/>
      </w:r>
      <w:r w:rsidRPr="008178DB">
        <w:t xml:space="preserve"> </w:t>
      </w:r>
    </w:p>
    <w:p w14:paraId="78CE305B" w14:textId="0263B422" w:rsidR="00D2735B" w:rsidRDefault="00D2735B" w:rsidP="00D2735B">
      <w:pPr>
        <w:pStyle w:val="SingleTxtG"/>
      </w:pPr>
      <w:r w:rsidRPr="008178DB">
        <w:t>39.</w:t>
      </w:r>
      <w:r w:rsidRPr="008178DB">
        <w:tab/>
      </w:r>
      <w:r w:rsidR="00386DBE">
        <w:t>N</w:t>
      </w:r>
      <w:r w:rsidRPr="008178DB">
        <w:t xml:space="preserve">ational case-law </w:t>
      </w:r>
      <w:r w:rsidR="00386DBE">
        <w:t xml:space="preserve">follows this approach. It </w:t>
      </w:r>
      <w:r w:rsidRPr="008178DB">
        <w:t>increasingly relies on the “</w:t>
      </w:r>
      <w:r w:rsidRPr="008178DB">
        <w:rPr>
          <w:i/>
        </w:rPr>
        <w:t>pro persona</w:t>
      </w:r>
      <w:r w:rsidRPr="008178DB">
        <w:t>” and “</w:t>
      </w:r>
      <w:r w:rsidRPr="008178DB">
        <w:rPr>
          <w:i/>
        </w:rPr>
        <w:t xml:space="preserve">in </w:t>
      </w:r>
      <w:proofErr w:type="spellStart"/>
      <w:r w:rsidRPr="008178DB">
        <w:rPr>
          <w:i/>
        </w:rPr>
        <w:t>dubio</w:t>
      </w:r>
      <w:proofErr w:type="spellEnd"/>
      <w:r w:rsidRPr="008178DB">
        <w:rPr>
          <w:i/>
        </w:rPr>
        <w:t xml:space="preserve"> pro natura</w:t>
      </w:r>
      <w:r w:rsidRPr="008178DB">
        <w:t xml:space="preserve">” principles to </w:t>
      </w:r>
      <w:proofErr w:type="spellStart"/>
      <w:r w:rsidRPr="008178DB">
        <w:rPr>
          <w:rStyle w:val="Emphasis"/>
        </w:rPr>
        <w:t>prioritiz</w:t>
      </w:r>
      <w:proofErr w:type="spellEnd"/>
      <w:r w:rsidRPr="008178DB">
        <w:rPr>
          <w:rStyle w:val="Emphasis"/>
          <w:lang w:val="en-US"/>
        </w:rPr>
        <w:t>e</w:t>
      </w:r>
      <w:r w:rsidRPr="008178DB">
        <w:rPr>
          <w:rStyle w:val="Emphasis"/>
        </w:rPr>
        <w:t xml:space="preserve"> the most favourable protection </w:t>
      </w:r>
      <w:r w:rsidRPr="008178DB">
        <w:rPr>
          <w:rStyle w:val="Emphasis"/>
          <w:lang w:val="en-US"/>
        </w:rPr>
        <w:t>of</w:t>
      </w:r>
      <w:r w:rsidRPr="008178DB">
        <w:rPr>
          <w:rStyle w:val="Emphasis"/>
        </w:rPr>
        <w:t xml:space="preserve"> individuals</w:t>
      </w:r>
      <w:r w:rsidRPr="008178DB">
        <w:t xml:space="preserve"> and environment. They are used as interpretative criteria to solve gaps in rights protection or to enhance environmental protection against harmful activities, giving preference to the least harmful.</w:t>
      </w:r>
      <w:r w:rsidRPr="008178DB">
        <w:rPr>
          <w:rStyle w:val="FootnoteReference"/>
          <w:sz w:val="20"/>
        </w:rPr>
        <w:footnoteReference w:id="44"/>
      </w:r>
      <w:r w:rsidRPr="008178DB">
        <w:t xml:space="preserve"> These principles are endorsed in national case-law and apply to all matters before courts,</w:t>
      </w:r>
      <w:r w:rsidRPr="00124528">
        <w:t xml:space="preserve"> administrative agencies, and other decision-makers</w:t>
      </w:r>
      <w:r w:rsidRPr="00FA3B1A">
        <w:rPr>
          <w:iCs/>
          <w:lang w:val="en-US"/>
        </w:rPr>
        <w:t>.</w:t>
      </w:r>
      <w:r w:rsidRPr="0094577A">
        <w:rPr>
          <w:rStyle w:val="FootnoteReference"/>
          <w:iCs/>
          <w:lang w:val="en-US"/>
        </w:rPr>
        <w:footnoteReference w:id="45"/>
      </w:r>
      <w:r w:rsidRPr="00FA3B1A">
        <w:t xml:space="preserve"> </w:t>
      </w:r>
      <w:r w:rsidRPr="0094577A">
        <w:t>States</w:t>
      </w:r>
      <w:r>
        <w:t xml:space="preserve"> are increasingly being brought before regional and UN international human bodies in climate change related claims.</w:t>
      </w:r>
      <w:r>
        <w:rPr>
          <w:rStyle w:val="FootnoteReference"/>
        </w:rPr>
        <w:footnoteReference w:id="46"/>
      </w:r>
      <w:r w:rsidDel="00BB7E75">
        <w:t xml:space="preserve"> </w:t>
      </w:r>
    </w:p>
    <w:p w14:paraId="1921F91D" w14:textId="77777777" w:rsidR="00D2735B" w:rsidRPr="00124528" w:rsidRDefault="00D2735B" w:rsidP="00D2735B">
      <w:pPr>
        <w:pStyle w:val="H1G"/>
      </w:pPr>
      <w:r w:rsidRPr="00124528">
        <w:tab/>
      </w:r>
      <w:r>
        <w:t>C.</w:t>
      </w:r>
      <w:r>
        <w:tab/>
        <w:t>Operationalizing</w:t>
      </w:r>
      <w:r w:rsidRPr="00124528">
        <w:t xml:space="preserve"> a human rights-</w:t>
      </w:r>
      <w:r>
        <w:t xml:space="preserve">based </w:t>
      </w:r>
      <w:r w:rsidRPr="00124528">
        <w:t>approach</w:t>
      </w:r>
    </w:p>
    <w:p w14:paraId="475E904C" w14:textId="0BFE096F" w:rsidR="00D2735B" w:rsidRPr="00124528" w:rsidRDefault="00D2735B" w:rsidP="00D2735B">
      <w:pPr>
        <w:pStyle w:val="SingleTxtG"/>
      </w:pPr>
      <w:r>
        <w:t>40</w:t>
      </w:r>
      <w:r w:rsidRPr="00124528">
        <w:t>.</w:t>
      </w:r>
      <w:r>
        <w:tab/>
      </w:r>
      <w:r w:rsidRPr="00124528">
        <w:t>State</w:t>
      </w:r>
      <w:r>
        <w:t>s’</w:t>
      </w:r>
      <w:r w:rsidRPr="00124528">
        <w:t xml:space="preserve"> obligation</w:t>
      </w:r>
      <w:r>
        <w:t>s</w:t>
      </w:r>
      <w:r w:rsidRPr="00124528">
        <w:t xml:space="preserve"> to take all measures necessary to respect, protect and fulfil human rights remains</w:t>
      </w:r>
      <w:r>
        <w:t xml:space="preserve"> fully</w:t>
      </w:r>
      <w:r w:rsidRPr="00124528">
        <w:t xml:space="preserve"> </w:t>
      </w:r>
      <w:r w:rsidRPr="00D4727B">
        <w:t>applicable in th</w:t>
      </w:r>
      <w:r>
        <w:t>e</w:t>
      </w:r>
      <w:r w:rsidRPr="00D4727B">
        <w:t xml:space="preserve"> context</w:t>
      </w:r>
      <w:r>
        <w:t xml:space="preserve"> of NTCPs</w:t>
      </w:r>
      <w:r w:rsidRPr="00D4727B">
        <w:t>. T</w:t>
      </w:r>
      <w:r w:rsidRPr="00D4727B">
        <w:rPr>
          <w:rStyle w:val="markedcontent"/>
        </w:rPr>
        <w:t>hese</w:t>
      </w:r>
      <w:r w:rsidRPr="00124528">
        <w:rPr>
          <w:rStyle w:val="markedcontent"/>
        </w:rPr>
        <w:t xml:space="preserve"> obligations apply to the phases of development </w:t>
      </w:r>
      <w:r w:rsidR="004F19E2">
        <w:rPr>
          <w:rStyle w:val="markedcontent"/>
        </w:rPr>
        <w:t xml:space="preserve">and application </w:t>
      </w:r>
      <w:r w:rsidRPr="00124528">
        <w:rPr>
          <w:rStyle w:val="markedcontent"/>
        </w:rPr>
        <w:t xml:space="preserve">of any emerging technology. </w:t>
      </w:r>
      <w:r w:rsidRPr="00124528">
        <w:t>Existing guid</w:t>
      </w:r>
      <w:r>
        <w:t>ing</w:t>
      </w:r>
      <w:r w:rsidRPr="00124528">
        <w:t xml:space="preserve"> documents, such as the 2018 Framework </w:t>
      </w:r>
      <w:r>
        <w:t>P</w:t>
      </w:r>
      <w:r w:rsidRPr="00124528">
        <w:t xml:space="preserve">rinciples on </w:t>
      </w:r>
      <w:r>
        <w:t>H</w:t>
      </w:r>
      <w:r w:rsidRPr="00124528">
        <w:t xml:space="preserve">uman </w:t>
      </w:r>
      <w:r>
        <w:t>R</w:t>
      </w:r>
      <w:r w:rsidRPr="00124528">
        <w:t xml:space="preserve">ights and the </w:t>
      </w:r>
      <w:r>
        <w:t>E</w:t>
      </w:r>
      <w:r w:rsidRPr="00124528">
        <w:t>nvironment</w:t>
      </w:r>
      <w:r>
        <w:t>, the 2007 UN Declaration on the Rights of Indigenous Peoples</w:t>
      </w:r>
      <w:r w:rsidR="00C6520F">
        <w:t xml:space="preserve"> (UNDRIP)</w:t>
      </w:r>
      <w:r>
        <w:t>,</w:t>
      </w:r>
      <w:r w:rsidRPr="00124528">
        <w:t xml:space="preserve"> together with the 2011 Guiding </w:t>
      </w:r>
      <w:r w:rsidRPr="00124528">
        <w:lastRenderedPageBreak/>
        <w:t>Principles on</w:t>
      </w:r>
      <w:r w:rsidRPr="00FA77EA">
        <w:t xml:space="preserve"> </w:t>
      </w:r>
      <w:r>
        <w:t>B</w:t>
      </w:r>
      <w:r w:rsidRPr="00FA77EA">
        <w:t>usiness and</w:t>
      </w:r>
      <w:r w:rsidRPr="00124528">
        <w:t xml:space="preserve"> </w:t>
      </w:r>
      <w:r>
        <w:t>H</w:t>
      </w:r>
      <w:r w:rsidRPr="00124528">
        <w:t xml:space="preserve">uman </w:t>
      </w:r>
      <w:r>
        <w:t>R</w:t>
      </w:r>
      <w:r w:rsidRPr="00124528">
        <w:t xml:space="preserve">ights as well as other relevant practice from human rights bodies and mechanisms </w:t>
      </w:r>
      <w:r>
        <w:t>should inform</w:t>
      </w:r>
      <w:r w:rsidRPr="00124528">
        <w:t xml:space="preserve"> States </w:t>
      </w:r>
      <w:r w:rsidR="004F19E2">
        <w:t>when</w:t>
      </w:r>
      <w:r w:rsidRPr="00124528">
        <w:t xml:space="preserve"> address</w:t>
      </w:r>
      <w:r w:rsidR="004F19E2">
        <w:t>ing</w:t>
      </w:r>
      <w:r w:rsidRPr="00124528">
        <w:t xml:space="preserve"> challenges related to </w:t>
      </w:r>
      <w:r>
        <w:t>NTCPs</w:t>
      </w:r>
      <w:r w:rsidRPr="00124528">
        <w:t xml:space="preserve">. </w:t>
      </w:r>
      <w:r>
        <w:t xml:space="preserve">According to this framework States should </w:t>
      </w:r>
      <w:r w:rsidRPr="00FA77EA">
        <w:t xml:space="preserve">avoid undertaking or authorising actions </w:t>
      </w:r>
      <w:r>
        <w:t xml:space="preserve">entailing </w:t>
      </w:r>
      <w:r w:rsidRPr="00FA77EA">
        <w:t>environmental impacts that interfere with human rights</w:t>
      </w:r>
      <w:r>
        <w:t xml:space="preserve"> enjoyment</w:t>
      </w:r>
      <w:r w:rsidRPr="00FA77EA">
        <w:t>.</w:t>
      </w:r>
      <w:r>
        <w:rPr>
          <w:rStyle w:val="FootnoteReference"/>
        </w:rPr>
        <w:footnoteReference w:id="47"/>
      </w:r>
    </w:p>
    <w:p w14:paraId="11D28762" w14:textId="77777777" w:rsidR="00D2735B" w:rsidRPr="000D6107" w:rsidRDefault="00D2735B" w:rsidP="00D2735B">
      <w:pPr>
        <w:pStyle w:val="SingleTxtG"/>
      </w:pPr>
      <w:r w:rsidRPr="006C1729">
        <w:t>41</w:t>
      </w:r>
      <w:r w:rsidRPr="0011733B">
        <w:t>.</w:t>
      </w:r>
      <w:r>
        <w:tab/>
        <w:t>Human rights, including the right</w:t>
      </w:r>
      <w:r w:rsidRPr="0011733B">
        <w:t xml:space="preserve"> to a clean, </w:t>
      </w:r>
      <w:proofErr w:type="gramStart"/>
      <w:r w:rsidRPr="0011733B">
        <w:t>healthy</w:t>
      </w:r>
      <w:proofErr w:type="gramEnd"/>
      <w:r w:rsidRPr="0011733B">
        <w:t xml:space="preserve"> and sustainable environment </w:t>
      </w:r>
      <w:r>
        <w:t>have</w:t>
      </w:r>
      <w:r w:rsidRPr="006C1729">
        <w:t xml:space="preserve"> </w:t>
      </w:r>
      <w:r w:rsidRPr="0011733B">
        <w:t>extraterritorial</w:t>
      </w:r>
      <w:r w:rsidRPr="006C1729">
        <w:t xml:space="preserve"> dimension </w:t>
      </w:r>
      <w:r>
        <w:t xml:space="preserve">which implies that </w:t>
      </w:r>
      <w:r w:rsidRPr="006C1729">
        <w:t>States have a</w:t>
      </w:r>
      <w:r w:rsidRPr="000D6107">
        <w:t xml:space="preserve"> duty to refrain from causing environmental harm outside their </w:t>
      </w:r>
      <w:r w:rsidRPr="00A10603">
        <w:t xml:space="preserve">own </w:t>
      </w:r>
      <w:r w:rsidRPr="000D6107">
        <w:t>territory</w:t>
      </w:r>
      <w:r w:rsidRPr="00A10603">
        <w:t xml:space="preserve">. </w:t>
      </w:r>
      <w:r>
        <w:t>This includes the duty</w:t>
      </w:r>
      <w:r w:rsidRPr="004E5C94">
        <w:t xml:space="preserve"> </w:t>
      </w:r>
      <w:r w:rsidRPr="0011733B">
        <w:t xml:space="preserve">to prevent </w:t>
      </w:r>
      <w:r w:rsidRPr="00A10603">
        <w:t xml:space="preserve">that </w:t>
      </w:r>
      <w:r w:rsidRPr="00EA7843">
        <w:t xml:space="preserve">areas </w:t>
      </w:r>
      <w:r>
        <w:t>subject to its jurisdiction or control</w:t>
      </w:r>
      <w:r w:rsidRPr="0011733B" w:rsidDel="00544FEA">
        <w:t xml:space="preserve"> </w:t>
      </w:r>
      <w:r w:rsidRPr="00A10603">
        <w:t xml:space="preserve">be used </w:t>
      </w:r>
      <w:r>
        <w:t xml:space="preserve">for </w:t>
      </w:r>
      <w:r w:rsidRPr="0011733B">
        <w:t xml:space="preserve">acts that may cause serious adverse </w:t>
      </w:r>
      <w:r>
        <w:t xml:space="preserve">environmental </w:t>
      </w:r>
      <w:r w:rsidRPr="0011733B">
        <w:t>consequences to others</w:t>
      </w:r>
      <w:r w:rsidRPr="00124528">
        <w:t xml:space="preserve">. Preventive measures </w:t>
      </w:r>
      <w:proofErr w:type="gramStart"/>
      <w:r w:rsidRPr="00A10603">
        <w:t>have</w:t>
      </w:r>
      <w:r w:rsidRPr="00124528">
        <w:t xml:space="preserve"> to</w:t>
      </w:r>
      <w:proofErr w:type="gramEnd"/>
      <w:r w:rsidRPr="00124528">
        <w:t xml:space="preserve"> be taken to avoid</w:t>
      </w:r>
      <w:r w:rsidRPr="00A10603">
        <w:t xml:space="preserve"> not only</w:t>
      </w:r>
      <w:r w:rsidRPr="00124528">
        <w:t xml:space="preserve"> </w:t>
      </w:r>
      <w:r w:rsidRPr="0011733B">
        <w:t>environment</w:t>
      </w:r>
      <w:r w:rsidRPr="00A10603">
        <w:t>al dam</w:t>
      </w:r>
      <w:r>
        <w:t>age to</w:t>
      </w:r>
      <w:r w:rsidRPr="0011733B">
        <w:t xml:space="preserve"> other States </w:t>
      </w:r>
      <w:r w:rsidRPr="006C1729">
        <w:t xml:space="preserve">but also </w:t>
      </w:r>
      <w:r w:rsidRPr="0011733B">
        <w:t>to areas beyond the limits of national jurisdiction, including the atmosphere and the high seas.</w:t>
      </w:r>
      <w:r w:rsidRPr="00124528">
        <w:t xml:space="preserve"> </w:t>
      </w:r>
      <w:r w:rsidRPr="000D6107">
        <w:t xml:space="preserve"> </w:t>
      </w:r>
    </w:p>
    <w:p w14:paraId="54A070EC" w14:textId="27F9EC85" w:rsidR="00D2735B" w:rsidRDefault="00D2735B" w:rsidP="00D2735B">
      <w:pPr>
        <w:pStyle w:val="SingleTxtG"/>
      </w:pPr>
      <w:r>
        <w:t>42</w:t>
      </w:r>
      <w:r w:rsidRPr="00124528">
        <w:t>.</w:t>
      </w:r>
      <w:r>
        <w:tab/>
      </w:r>
      <w:bookmarkStart w:id="2" w:name="_Hlk139275628"/>
      <w:r>
        <w:t>S</w:t>
      </w:r>
      <w:r w:rsidRPr="00124528">
        <w:t>tate</w:t>
      </w:r>
      <w:r>
        <w:t xml:space="preserve">s have also a </w:t>
      </w:r>
      <w:r w:rsidRPr="00124528">
        <w:t xml:space="preserve">duty to protect all persons against </w:t>
      </w:r>
      <w:r>
        <w:t xml:space="preserve">potential </w:t>
      </w:r>
      <w:r w:rsidRPr="00124528">
        <w:t xml:space="preserve">human rights </w:t>
      </w:r>
      <w:r>
        <w:t>violations</w:t>
      </w:r>
      <w:r w:rsidRPr="00124528">
        <w:t xml:space="preserve"> involving companies developing NTPCs.</w:t>
      </w:r>
      <w:r>
        <w:rPr>
          <w:rStyle w:val="FootnoteReference"/>
        </w:rPr>
        <w:footnoteReference w:id="48"/>
      </w:r>
      <w:r w:rsidRPr="00124528">
        <w:t xml:space="preserve"> </w:t>
      </w:r>
      <w:r>
        <w:t>A</w:t>
      </w:r>
      <w:r w:rsidRPr="00124528">
        <w:t xml:space="preserve">dequate measures </w:t>
      </w:r>
      <w:r>
        <w:t xml:space="preserve">need to be taken </w:t>
      </w:r>
      <w:r w:rsidRPr="00124528">
        <w:t xml:space="preserve">to protect </w:t>
      </w:r>
      <w:r w:rsidR="004F19E2">
        <w:t xml:space="preserve">people </w:t>
      </w:r>
      <w:r>
        <w:t xml:space="preserve">from human rights and environmental </w:t>
      </w:r>
      <w:r w:rsidRPr="00124528">
        <w:t xml:space="preserve">harms </w:t>
      </w:r>
      <w:r>
        <w:t>that can be</w:t>
      </w:r>
      <w:r w:rsidRPr="00124528">
        <w:t xml:space="preserve"> caused by</w:t>
      </w:r>
      <w:r>
        <w:t xml:space="preserve"> such companies</w:t>
      </w:r>
      <w:r w:rsidRPr="00124528">
        <w:t xml:space="preserve">. </w:t>
      </w:r>
      <w:proofErr w:type="gramStart"/>
      <w:r>
        <w:t>In particular, there</w:t>
      </w:r>
      <w:proofErr w:type="gramEnd"/>
      <w:r>
        <w:t xml:space="preserve"> is a</w:t>
      </w:r>
      <w:r w:rsidRPr="00124528">
        <w:t xml:space="preserve"> duty to prevent exposure of individuals and communities to toxic substances</w:t>
      </w:r>
      <w:r>
        <w:t xml:space="preserve"> by adopting p</w:t>
      </w:r>
      <w:r w:rsidRPr="00124528">
        <w:t xml:space="preserve">ositive </w:t>
      </w:r>
      <w:r>
        <w:t xml:space="preserve">adequate </w:t>
      </w:r>
      <w:r w:rsidRPr="00124528">
        <w:t>measures.</w:t>
      </w:r>
      <w:r>
        <w:rPr>
          <w:rStyle w:val="FootnoteReference"/>
        </w:rPr>
        <w:footnoteReference w:id="49"/>
      </w:r>
      <w:r w:rsidRPr="00124528">
        <w:rPr>
          <w:rStyle w:val="FootnoteReference"/>
        </w:rPr>
        <w:t xml:space="preserve"> </w:t>
      </w:r>
      <w:r>
        <w:t xml:space="preserve"> States </w:t>
      </w:r>
      <w:r w:rsidRPr="00124528">
        <w:t xml:space="preserve">have to ensure that their own activities, including those conducted in partnership with the private sector, respect and protect human rights; and where harms do occur to ensure effective remedies. </w:t>
      </w:r>
    </w:p>
    <w:p w14:paraId="2A190206" w14:textId="77777777" w:rsidR="00D2735B" w:rsidRPr="00124528" w:rsidRDefault="00D2735B" w:rsidP="00D2735B">
      <w:pPr>
        <w:pStyle w:val="H1G"/>
      </w:pPr>
      <w:r>
        <w:tab/>
        <w:t>D.</w:t>
      </w:r>
      <w:r>
        <w:tab/>
      </w:r>
      <w:r w:rsidRPr="00124528">
        <w:t>Business regulation</w:t>
      </w:r>
    </w:p>
    <w:p w14:paraId="1C6F766D" w14:textId="4BA0C10B" w:rsidR="00D2735B" w:rsidRPr="00124528" w:rsidRDefault="00D2735B" w:rsidP="00D2735B">
      <w:pPr>
        <w:pStyle w:val="SingleTxtG"/>
      </w:pPr>
      <w:r>
        <w:rPr>
          <w:rStyle w:val="markedcontent"/>
        </w:rPr>
        <w:t>43</w:t>
      </w:r>
      <w:r w:rsidRPr="00124528">
        <w:rPr>
          <w:rStyle w:val="markedcontent"/>
        </w:rPr>
        <w:t>.</w:t>
      </w:r>
      <w:r>
        <w:rPr>
          <w:rStyle w:val="markedcontent"/>
        </w:rPr>
        <w:tab/>
        <w:t xml:space="preserve">As part of the </w:t>
      </w:r>
      <w:r w:rsidRPr="0011733B">
        <w:rPr>
          <w:rStyle w:val="markedcontent"/>
        </w:rPr>
        <w:t>State</w:t>
      </w:r>
      <w:r>
        <w:rPr>
          <w:rStyle w:val="markedcontent"/>
        </w:rPr>
        <w:t>s obligation</w:t>
      </w:r>
      <w:r w:rsidRPr="0011733B">
        <w:rPr>
          <w:rStyle w:val="markedcontent"/>
        </w:rPr>
        <w:t xml:space="preserve"> to exercise human rights due diligence with regard to the potential </w:t>
      </w:r>
      <w:r w:rsidRPr="00124528">
        <w:rPr>
          <w:rStyle w:val="markedcontent"/>
        </w:rPr>
        <w:t xml:space="preserve">development and </w:t>
      </w:r>
      <w:r w:rsidRPr="0011733B">
        <w:rPr>
          <w:rStyle w:val="markedcontent"/>
        </w:rPr>
        <w:t>deployment of NTCPs</w:t>
      </w:r>
      <w:r>
        <w:rPr>
          <w:rStyle w:val="markedcontent"/>
        </w:rPr>
        <w:t>, they are called</w:t>
      </w:r>
      <w:r w:rsidRPr="00124528">
        <w:rPr>
          <w:rStyle w:val="markedcontent"/>
        </w:rPr>
        <w:t xml:space="preserve"> </w:t>
      </w:r>
      <w:r>
        <w:rPr>
          <w:rStyle w:val="markedcontent"/>
        </w:rPr>
        <w:t xml:space="preserve">to </w:t>
      </w:r>
      <w:r w:rsidRPr="00124528">
        <w:rPr>
          <w:rStyle w:val="markedcontent"/>
        </w:rPr>
        <w:t>ensur</w:t>
      </w:r>
      <w:r>
        <w:rPr>
          <w:rStyle w:val="markedcontent"/>
        </w:rPr>
        <w:t>e</w:t>
      </w:r>
      <w:r w:rsidRPr="00124528">
        <w:rPr>
          <w:rStyle w:val="markedcontent"/>
        </w:rPr>
        <w:t xml:space="preserve"> th</w:t>
      </w:r>
      <w:r>
        <w:rPr>
          <w:rStyle w:val="markedcontent"/>
        </w:rPr>
        <w:t xml:space="preserve">at </w:t>
      </w:r>
      <w:r w:rsidRPr="00124528">
        <w:rPr>
          <w:rStyle w:val="markedcontent"/>
        </w:rPr>
        <w:t xml:space="preserve">environmental and human rights standards </w:t>
      </w:r>
      <w:r>
        <w:rPr>
          <w:rStyle w:val="markedcontent"/>
        </w:rPr>
        <w:t xml:space="preserve">are </w:t>
      </w:r>
      <w:r w:rsidRPr="00124528">
        <w:rPr>
          <w:rStyle w:val="markedcontent"/>
        </w:rPr>
        <w:t>effective</w:t>
      </w:r>
      <w:r>
        <w:rPr>
          <w:rStyle w:val="markedcontent"/>
        </w:rPr>
        <w:t>ly</w:t>
      </w:r>
      <w:r w:rsidRPr="00124528">
        <w:rPr>
          <w:rStyle w:val="markedcontent"/>
        </w:rPr>
        <w:t xml:space="preserve"> enforce</w:t>
      </w:r>
      <w:r>
        <w:rPr>
          <w:rStyle w:val="markedcontent"/>
        </w:rPr>
        <w:t>d</w:t>
      </w:r>
      <w:r w:rsidRPr="00124528">
        <w:rPr>
          <w:rStyle w:val="markedcontent"/>
        </w:rPr>
        <w:t xml:space="preserve"> against private actors</w:t>
      </w:r>
      <w:r w:rsidRPr="0011733B">
        <w:rPr>
          <w:rStyle w:val="markedcontent"/>
        </w:rPr>
        <w:t>.</w:t>
      </w:r>
      <w:r>
        <w:rPr>
          <w:rStyle w:val="FootnoteReference"/>
        </w:rPr>
        <w:footnoteReference w:id="50"/>
      </w:r>
      <w:r w:rsidRPr="00124528">
        <w:rPr>
          <w:rStyle w:val="FootnoteReference"/>
        </w:rPr>
        <w:t xml:space="preserve"> </w:t>
      </w:r>
      <w:r>
        <w:t>Private actors</w:t>
      </w:r>
      <w:r w:rsidRPr="00124528">
        <w:t xml:space="preserve"> </w:t>
      </w:r>
      <w:r>
        <w:t xml:space="preserve">must </w:t>
      </w:r>
      <w:r w:rsidRPr="00124528">
        <w:t>participate responsibly in climate change mitigation and adaptation efforts</w:t>
      </w:r>
      <w:r>
        <w:t>, which imply acting</w:t>
      </w:r>
      <w:r w:rsidRPr="00124528">
        <w:t xml:space="preserve"> with full respect for human rights</w:t>
      </w:r>
      <w:r>
        <w:t xml:space="preserve"> and being </w:t>
      </w:r>
      <w:r w:rsidRPr="00124528">
        <w:t>accountable for</w:t>
      </w:r>
      <w:r>
        <w:t xml:space="preserve"> negative environmental</w:t>
      </w:r>
      <w:r w:rsidRPr="00124528">
        <w:t xml:space="preserve"> impacts</w:t>
      </w:r>
      <w:r>
        <w:t xml:space="preserve"> and human rights violations</w:t>
      </w:r>
      <w:r>
        <w:rPr>
          <w:rStyle w:val="FootnoteReference"/>
        </w:rPr>
        <w:footnoteReference w:id="51"/>
      </w:r>
      <w:r>
        <w:t xml:space="preserve"> </w:t>
      </w:r>
      <w:r w:rsidR="00D478A0">
        <w:t>C</w:t>
      </w:r>
      <w:r w:rsidRPr="008E17F2">
        <w:t xml:space="preserve">ompliance of businesses with these responsibilities is especially critical </w:t>
      </w:r>
      <w:r>
        <w:t>w</w:t>
      </w:r>
      <w:r w:rsidRPr="008E17F2">
        <w:t xml:space="preserve">here States incorporate private financing or market-based approaches to climate change within the </w:t>
      </w:r>
      <w:r>
        <w:t xml:space="preserve">international framework </w:t>
      </w:r>
      <w:r w:rsidRPr="008E17F2">
        <w:t>including in the Paris Agreement.</w:t>
      </w:r>
      <w:r>
        <w:rPr>
          <w:rStyle w:val="FootnoteReference"/>
        </w:rPr>
        <w:footnoteReference w:id="52"/>
      </w:r>
      <w:r w:rsidRPr="00124528">
        <w:t xml:space="preserve"> </w:t>
      </w:r>
    </w:p>
    <w:p w14:paraId="7B1EE9B1" w14:textId="6F4F4C2E" w:rsidR="00D2735B" w:rsidRDefault="00D2735B" w:rsidP="00D2735B">
      <w:pPr>
        <w:pStyle w:val="SingleTxtG"/>
        <w:rPr>
          <w:rFonts w:asciiTheme="majorBidi" w:hAnsiTheme="majorBidi" w:cstheme="majorBidi"/>
          <w:bCs/>
        </w:rPr>
      </w:pPr>
      <w:r>
        <w:t>44</w:t>
      </w:r>
      <w:r w:rsidRPr="0011733B">
        <w:t>.</w:t>
      </w:r>
      <w:r>
        <w:tab/>
      </w:r>
      <w:r w:rsidRPr="0011733B">
        <w:t xml:space="preserve">States should adopt appropriate </w:t>
      </w:r>
      <w:r>
        <w:t xml:space="preserve">regulatory </w:t>
      </w:r>
      <w:r w:rsidRPr="0011733B">
        <w:t xml:space="preserve">measures to prevent and address human rights abuses </w:t>
      </w:r>
      <w:r>
        <w:t xml:space="preserve">by </w:t>
      </w:r>
      <w:r w:rsidRPr="0011733B">
        <w:t>companies</w:t>
      </w:r>
      <w:r w:rsidRPr="0011733B">
        <w:rPr>
          <w:rFonts w:asciiTheme="majorBidi" w:hAnsiTheme="majorBidi" w:cstheme="majorBidi"/>
          <w:bCs/>
          <w:i/>
          <w:lang w:val="en-US"/>
        </w:rPr>
        <w:t>.</w:t>
      </w:r>
      <w:r w:rsidRPr="00124528">
        <w:rPr>
          <w:rFonts w:asciiTheme="majorBidi" w:hAnsiTheme="majorBidi" w:cstheme="majorBidi"/>
          <w:lang w:val="en-US"/>
        </w:rPr>
        <w:t xml:space="preserve"> </w:t>
      </w:r>
      <w:r>
        <w:rPr>
          <w:rFonts w:asciiTheme="majorBidi" w:hAnsiTheme="majorBidi" w:cstheme="majorBidi"/>
          <w:lang w:val="en-US"/>
        </w:rPr>
        <w:t>Even if some e</w:t>
      </w:r>
      <w:r w:rsidRPr="00124528">
        <w:rPr>
          <w:rFonts w:asciiTheme="majorBidi" w:hAnsiTheme="majorBidi" w:cstheme="majorBidi"/>
          <w:lang w:val="en-US"/>
        </w:rPr>
        <w:t xml:space="preserve">xamples </w:t>
      </w:r>
      <w:r>
        <w:rPr>
          <w:rFonts w:asciiTheme="majorBidi" w:hAnsiTheme="majorBidi" w:cstheme="majorBidi"/>
          <w:lang w:val="en-US"/>
        </w:rPr>
        <w:t xml:space="preserve">of </w:t>
      </w:r>
      <w:r w:rsidRPr="00124528">
        <w:rPr>
          <w:rFonts w:asciiTheme="majorBidi" w:hAnsiTheme="majorBidi" w:cstheme="majorBidi"/>
          <w:lang w:val="en-US"/>
        </w:rPr>
        <w:t xml:space="preserve">relevant legislation </w:t>
      </w:r>
      <w:r>
        <w:rPr>
          <w:rFonts w:asciiTheme="majorBidi" w:hAnsiTheme="majorBidi" w:cstheme="majorBidi"/>
          <w:lang w:val="en-US"/>
        </w:rPr>
        <w:t>can be found at the national and regional level</w:t>
      </w:r>
      <w:r w:rsidR="00B86ACD">
        <w:rPr>
          <w:rFonts w:asciiTheme="majorBidi" w:hAnsiTheme="majorBidi" w:cstheme="majorBidi"/>
          <w:lang w:val="en-US"/>
        </w:rPr>
        <w:t>s</w:t>
      </w:r>
      <w:r>
        <w:rPr>
          <w:rFonts w:asciiTheme="majorBidi" w:hAnsiTheme="majorBidi" w:cstheme="majorBidi"/>
          <w:lang w:val="en-US"/>
        </w:rPr>
        <w:t>,</w:t>
      </w:r>
      <w:r w:rsidRPr="00124528">
        <w:rPr>
          <w:rFonts w:asciiTheme="majorBidi" w:hAnsiTheme="majorBidi" w:cstheme="majorBidi"/>
          <w:lang w:val="en-US"/>
        </w:rPr>
        <w:t xml:space="preserve"> </w:t>
      </w:r>
      <w:r>
        <w:rPr>
          <w:rFonts w:asciiTheme="majorBidi" w:hAnsiTheme="majorBidi" w:cstheme="majorBidi"/>
        </w:rPr>
        <w:t>a</w:t>
      </w:r>
      <w:r w:rsidRPr="00124528">
        <w:rPr>
          <w:rFonts w:asciiTheme="majorBidi" w:hAnsiTheme="majorBidi" w:cstheme="majorBidi"/>
        </w:rPr>
        <w:t xml:space="preserve"> fragmented approach can </w:t>
      </w:r>
      <w:r>
        <w:rPr>
          <w:rFonts w:asciiTheme="majorBidi" w:hAnsiTheme="majorBidi" w:cstheme="majorBidi"/>
        </w:rPr>
        <w:t xml:space="preserve">be </w:t>
      </w:r>
      <w:r w:rsidRPr="00124528">
        <w:rPr>
          <w:rFonts w:asciiTheme="majorBidi" w:hAnsiTheme="majorBidi" w:cstheme="majorBidi"/>
        </w:rPr>
        <w:t>insufficient to effectively address global risks and challenges posed by speculative technologies.</w:t>
      </w:r>
      <w:r>
        <w:rPr>
          <w:rFonts w:asciiTheme="majorBidi" w:hAnsiTheme="majorBidi" w:cstheme="majorBidi"/>
          <w:bCs/>
        </w:rPr>
        <w:t xml:space="preserve"> It has been observed that </w:t>
      </w:r>
      <w:r w:rsidRPr="00124528">
        <w:rPr>
          <w:rFonts w:asciiTheme="majorBidi" w:hAnsiTheme="majorBidi" w:cstheme="majorBidi"/>
          <w:bCs/>
        </w:rPr>
        <w:t>global regulations</w:t>
      </w:r>
      <w:r>
        <w:rPr>
          <w:rFonts w:asciiTheme="majorBidi" w:hAnsiTheme="majorBidi" w:cstheme="majorBidi"/>
          <w:bCs/>
        </w:rPr>
        <w:t xml:space="preserve"> are needed to</w:t>
      </w:r>
      <w:r>
        <w:rPr>
          <w:rFonts w:asciiTheme="majorBidi" w:hAnsiTheme="majorBidi" w:cstheme="majorBidi"/>
          <w:lang w:val="en-US"/>
        </w:rPr>
        <w:t xml:space="preserve"> </w:t>
      </w:r>
      <w:r w:rsidRPr="00124528">
        <w:rPr>
          <w:rFonts w:asciiTheme="majorBidi" w:hAnsiTheme="majorBidi" w:cstheme="majorBidi"/>
          <w:bCs/>
        </w:rPr>
        <w:t>effectively</w:t>
      </w:r>
      <w:r>
        <w:rPr>
          <w:rFonts w:asciiTheme="majorBidi" w:hAnsiTheme="majorBidi" w:cstheme="majorBidi"/>
          <w:bCs/>
        </w:rPr>
        <w:t xml:space="preserve"> manage </w:t>
      </w:r>
      <w:r w:rsidR="00B86ACD">
        <w:rPr>
          <w:rFonts w:asciiTheme="majorBidi" w:hAnsiTheme="majorBidi" w:cstheme="majorBidi"/>
          <w:bCs/>
        </w:rPr>
        <w:t>these</w:t>
      </w:r>
      <w:r>
        <w:rPr>
          <w:rFonts w:asciiTheme="majorBidi" w:hAnsiTheme="majorBidi" w:cstheme="majorBidi"/>
          <w:bCs/>
        </w:rPr>
        <w:t xml:space="preserve"> technologies as</w:t>
      </w:r>
      <w:r w:rsidRPr="00124528">
        <w:rPr>
          <w:rFonts w:asciiTheme="majorBidi" w:hAnsiTheme="majorBidi" w:cstheme="majorBidi"/>
          <w:bCs/>
        </w:rPr>
        <w:t xml:space="preserve"> </w:t>
      </w:r>
      <w:r>
        <w:rPr>
          <w:rFonts w:asciiTheme="majorBidi" w:hAnsiTheme="majorBidi" w:cstheme="majorBidi"/>
          <w:bCs/>
        </w:rPr>
        <w:t>f</w:t>
      </w:r>
      <w:r w:rsidRPr="00124528">
        <w:rPr>
          <w:rFonts w:asciiTheme="majorBidi" w:hAnsiTheme="majorBidi" w:cstheme="majorBidi"/>
          <w:bCs/>
        </w:rPr>
        <w:t>ragmented national responses create governance gaps</w:t>
      </w:r>
      <w:r w:rsidR="00B86ACD">
        <w:rPr>
          <w:rFonts w:asciiTheme="majorBidi" w:hAnsiTheme="majorBidi" w:cstheme="majorBidi"/>
          <w:bCs/>
        </w:rPr>
        <w:t xml:space="preserve">, perpetuating </w:t>
      </w:r>
      <w:r>
        <w:rPr>
          <w:rFonts w:asciiTheme="majorBidi" w:hAnsiTheme="majorBidi" w:cstheme="majorBidi"/>
          <w:bCs/>
        </w:rPr>
        <w:t xml:space="preserve">the </w:t>
      </w:r>
      <w:r w:rsidRPr="00124528">
        <w:rPr>
          <w:rFonts w:asciiTheme="majorBidi" w:hAnsiTheme="majorBidi" w:cstheme="majorBidi"/>
          <w:bCs/>
        </w:rPr>
        <w:t>technological divide and economic disparities</w:t>
      </w:r>
      <w:r w:rsidRPr="00171478">
        <w:rPr>
          <w:rFonts w:asciiTheme="majorBidi" w:hAnsiTheme="majorBidi" w:cstheme="majorBidi"/>
          <w:bCs/>
        </w:rPr>
        <w:t xml:space="preserve"> </w:t>
      </w:r>
      <w:r>
        <w:rPr>
          <w:rFonts w:asciiTheme="majorBidi" w:hAnsiTheme="majorBidi" w:cstheme="majorBidi"/>
          <w:bCs/>
        </w:rPr>
        <w:t xml:space="preserve">in detriment of the </w:t>
      </w:r>
      <w:r w:rsidRPr="00124528">
        <w:rPr>
          <w:rFonts w:asciiTheme="majorBidi" w:hAnsiTheme="majorBidi" w:cstheme="majorBidi"/>
          <w:bCs/>
        </w:rPr>
        <w:t xml:space="preserve">enjoyment of economic, </w:t>
      </w:r>
      <w:proofErr w:type="gramStart"/>
      <w:r w:rsidRPr="00124528">
        <w:rPr>
          <w:rFonts w:asciiTheme="majorBidi" w:hAnsiTheme="majorBidi" w:cstheme="majorBidi"/>
          <w:bCs/>
        </w:rPr>
        <w:t>social</w:t>
      </w:r>
      <w:proofErr w:type="gramEnd"/>
      <w:r w:rsidRPr="00124528">
        <w:rPr>
          <w:rFonts w:asciiTheme="majorBidi" w:hAnsiTheme="majorBidi" w:cstheme="majorBidi"/>
          <w:bCs/>
        </w:rPr>
        <w:t xml:space="preserve"> and cultural rights.</w:t>
      </w:r>
      <w:r>
        <w:rPr>
          <w:rStyle w:val="FootnoteReference"/>
          <w:rFonts w:cstheme="majorBidi"/>
          <w:bCs/>
        </w:rPr>
        <w:footnoteReference w:id="53"/>
      </w:r>
      <w:r>
        <w:rPr>
          <w:rFonts w:asciiTheme="majorBidi" w:hAnsiTheme="majorBidi" w:cstheme="majorBidi"/>
          <w:bCs/>
        </w:rPr>
        <w:t xml:space="preserve"> </w:t>
      </w:r>
    </w:p>
    <w:p w14:paraId="6BF8310C" w14:textId="289B1A31" w:rsidR="00D2735B" w:rsidRDefault="00D2735B" w:rsidP="00D2735B">
      <w:pPr>
        <w:pStyle w:val="SingleTxtG"/>
      </w:pPr>
      <w:r>
        <w:rPr>
          <w:rFonts w:asciiTheme="majorBidi" w:hAnsiTheme="majorBidi" w:cstheme="majorBidi"/>
        </w:rPr>
        <w:t>45.</w:t>
      </w:r>
      <w:r>
        <w:rPr>
          <w:rFonts w:asciiTheme="majorBidi" w:hAnsiTheme="majorBidi" w:cstheme="majorBidi"/>
        </w:rPr>
        <w:tab/>
      </w:r>
      <w:r w:rsidR="00DB4A54">
        <w:rPr>
          <w:rFonts w:asciiTheme="majorBidi" w:hAnsiTheme="majorBidi" w:cstheme="majorBidi"/>
        </w:rPr>
        <w:t>T</w:t>
      </w:r>
      <w:r w:rsidRPr="00E80AB5">
        <w:rPr>
          <w:rFonts w:asciiTheme="majorBidi" w:hAnsiTheme="majorBidi" w:cstheme="majorBidi"/>
        </w:rPr>
        <w:t xml:space="preserve">here are </w:t>
      </w:r>
      <w:r>
        <w:rPr>
          <w:rFonts w:asciiTheme="majorBidi" w:hAnsiTheme="majorBidi" w:cstheme="majorBidi"/>
        </w:rPr>
        <w:t xml:space="preserve">already </w:t>
      </w:r>
      <w:r w:rsidRPr="00E80AB5">
        <w:rPr>
          <w:rFonts w:asciiTheme="majorBidi" w:hAnsiTheme="majorBidi" w:cstheme="majorBidi"/>
        </w:rPr>
        <w:t xml:space="preserve">more than a thousand climate engineering projects being developed and implemented, mostly in Europe, North </w:t>
      </w:r>
      <w:proofErr w:type="gramStart"/>
      <w:r w:rsidRPr="00E80AB5">
        <w:rPr>
          <w:rFonts w:asciiTheme="majorBidi" w:hAnsiTheme="majorBidi" w:cstheme="majorBidi"/>
        </w:rPr>
        <w:t>America</w:t>
      </w:r>
      <w:proofErr w:type="gramEnd"/>
      <w:r w:rsidRPr="00E80AB5">
        <w:rPr>
          <w:rFonts w:asciiTheme="majorBidi" w:hAnsiTheme="majorBidi" w:cstheme="majorBidi"/>
        </w:rPr>
        <w:t xml:space="preserve"> and Asia</w:t>
      </w:r>
      <w:r>
        <w:rPr>
          <w:rStyle w:val="FootnoteReference"/>
          <w:rFonts w:cstheme="majorBidi"/>
        </w:rPr>
        <w:footnoteReference w:id="54"/>
      </w:r>
      <w:r w:rsidRPr="00E80AB5">
        <w:rPr>
          <w:rFonts w:asciiTheme="majorBidi" w:hAnsiTheme="majorBidi" w:cstheme="majorBidi"/>
        </w:rPr>
        <w:t>.</w:t>
      </w:r>
      <w:r>
        <w:rPr>
          <w:rFonts w:asciiTheme="majorBidi" w:hAnsiTheme="majorBidi" w:cstheme="majorBidi"/>
        </w:rPr>
        <w:t xml:space="preserve"> A moratorium on such projects should be put in place until a proper governance framework is developed.</w:t>
      </w:r>
      <w:r>
        <w:rPr>
          <w:rStyle w:val="FootnoteReference"/>
          <w:rFonts w:cstheme="majorBidi"/>
        </w:rPr>
        <w:footnoteReference w:id="55"/>
      </w:r>
      <w:r w:rsidRPr="00E80AB5">
        <w:rPr>
          <w:rFonts w:asciiTheme="majorBidi" w:hAnsiTheme="majorBidi" w:cstheme="majorBidi"/>
        </w:rPr>
        <w:t xml:space="preserve"> </w:t>
      </w:r>
      <w:r>
        <w:rPr>
          <w:rFonts w:asciiTheme="majorBidi" w:hAnsiTheme="majorBidi" w:cstheme="majorBidi"/>
        </w:rPr>
        <w:t xml:space="preserve">This should include </w:t>
      </w:r>
      <w:r w:rsidRPr="00124528">
        <w:t xml:space="preserve">prior assessment of the possible environmental impacts of proposed projects </w:t>
      </w:r>
      <w:r w:rsidRPr="00124528">
        <w:lastRenderedPageBreak/>
        <w:t>and policies, including on the enjoyment of human rights.</w:t>
      </w:r>
      <w:r>
        <w:t xml:space="preserve"> </w:t>
      </w:r>
      <w:r w:rsidRPr="006C1729">
        <w:t>Where feasible,</w:t>
      </w:r>
      <w:r>
        <w:t xml:space="preserve"> the Framework Principles on human rights and environment provide guidelines for </w:t>
      </w:r>
      <w:r w:rsidR="00DB4A54">
        <w:t xml:space="preserve">such an </w:t>
      </w:r>
      <w:r>
        <w:t>assessment</w:t>
      </w:r>
      <w:r w:rsidR="00DB4A54">
        <w:t>.</w:t>
      </w:r>
      <w:r>
        <w:t xml:space="preserve"> </w:t>
      </w:r>
    </w:p>
    <w:bookmarkEnd w:id="2"/>
    <w:p w14:paraId="2B7E7C0B" w14:textId="77777777" w:rsidR="00D2735B" w:rsidRPr="00124528" w:rsidRDefault="00D2735B" w:rsidP="00D2735B">
      <w:pPr>
        <w:pStyle w:val="HChG"/>
      </w:pPr>
      <w:r>
        <w:tab/>
      </w:r>
      <w:r w:rsidRPr="00FA3B1A">
        <w:t>I</w:t>
      </w:r>
      <w:r w:rsidRPr="00124528">
        <w:t>V.</w:t>
      </w:r>
      <w:r w:rsidRPr="00124528">
        <w:tab/>
      </w:r>
      <w:r w:rsidRPr="00FA3B1A">
        <w:t>Assessing the h</w:t>
      </w:r>
      <w:r w:rsidRPr="00124528">
        <w:t xml:space="preserve">uman rights impact </w:t>
      </w:r>
    </w:p>
    <w:p w14:paraId="2E696E04" w14:textId="426A997B" w:rsidR="00D2735B" w:rsidRPr="006C1729" w:rsidRDefault="00D2735B" w:rsidP="00D2735B">
      <w:pPr>
        <w:pStyle w:val="SingleTxtG"/>
        <w:rPr>
          <w:sz w:val="22"/>
          <w:szCs w:val="22"/>
          <w:lang w:val="en-US"/>
        </w:rPr>
      </w:pPr>
      <w:r>
        <w:t>46.</w:t>
      </w:r>
      <w:r w:rsidRPr="00124528">
        <w:tab/>
      </w:r>
      <w:r>
        <w:rPr>
          <w:rFonts w:asciiTheme="majorBidi" w:hAnsiTheme="majorBidi" w:cstheme="majorBidi"/>
          <w:lang w:val="en-US"/>
        </w:rPr>
        <w:t xml:space="preserve">Because </w:t>
      </w:r>
      <w:r>
        <w:t xml:space="preserve">NTPCs </w:t>
      </w:r>
      <w:r>
        <w:rPr>
          <w:rFonts w:asciiTheme="majorBidi" w:hAnsiTheme="majorBidi" w:cstheme="majorBidi"/>
          <w:lang w:val="en-US"/>
        </w:rPr>
        <w:t>are meant</w:t>
      </w:r>
      <w:r w:rsidRPr="00012EA0">
        <w:rPr>
          <w:rFonts w:asciiTheme="majorBidi" w:hAnsiTheme="majorBidi" w:cstheme="majorBidi"/>
          <w:lang w:val="en-US"/>
        </w:rPr>
        <w:t xml:space="preserve"> to be applied on a global scale</w:t>
      </w:r>
      <w:r>
        <w:rPr>
          <w:rFonts w:asciiTheme="majorBidi" w:hAnsiTheme="majorBidi" w:cstheme="majorBidi"/>
          <w:lang w:val="en-US"/>
        </w:rPr>
        <w:t xml:space="preserve">, </w:t>
      </w:r>
      <w:r w:rsidRPr="004276C3">
        <w:rPr>
          <w:rFonts w:asciiTheme="majorBidi" w:hAnsiTheme="majorBidi" w:cstheme="majorBidi"/>
          <w:lang w:val="en-US"/>
        </w:rPr>
        <w:t>the</w:t>
      </w:r>
      <w:r>
        <w:rPr>
          <w:rFonts w:asciiTheme="majorBidi" w:hAnsiTheme="majorBidi" w:cstheme="majorBidi"/>
          <w:lang w:val="en-US"/>
        </w:rPr>
        <w:t xml:space="preserve">y have the </w:t>
      </w:r>
      <w:r w:rsidRPr="004276C3">
        <w:rPr>
          <w:rFonts w:asciiTheme="majorBidi" w:hAnsiTheme="majorBidi" w:cstheme="majorBidi"/>
          <w:lang w:val="en-US"/>
        </w:rPr>
        <w:t xml:space="preserve">potential of affecting </w:t>
      </w:r>
      <w:r>
        <w:rPr>
          <w:rFonts w:asciiTheme="majorBidi" w:hAnsiTheme="majorBidi" w:cstheme="majorBidi"/>
          <w:lang w:val="en-US"/>
        </w:rPr>
        <w:t>all people indiscriminately</w:t>
      </w:r>
      <w:r w:rsidRPr="004276C3">
        <w:rPr>
          <w:rFonts w:asciiTheme="majorBidi" w:hAnsiTheme="majorBidi" w:cstheme="majorBidi"/>
          <w:lang w:val="en-US"/>
        </w:rPr>
        <w:t>.</w:t>
      </w:r>
      <w:r>
        <w:rPr>
          <w:rFonts w:asciiTheme="majorBidi" w:hAnsiTheme="majorBidi" w:cstheme="majorBidi"/>
          <w:lang w:val="en-US"/>
        </w:rPr>
        <w:t xml:space="preserve"> </w:t>
      </w:r>
      <w:r w:rsidR="000B5DEF">
        <w:rPr>
          <w:rFonts w:asciiTheme="majorBidi" w:hAnsiTheme="majorBidi" w:cstheme="majorBidi"/>
          <w:lang w:val="en-US"/>
        </w:rPr>
        <w:t>They</w:t>
      </w:r>
      <w:r>
        <w:rPr>
          <w:rFonts w:asciiTheme="majorBidi" w:hAnsiTheme="majorBidi" w:cstheme="majorBidi"/>
          <w:lang w:val="en-US"/>
        </w:rPr>
        <w:t xml:space="preserve"> </w:t>
      </w:r>
      <w:r w:rsidRPr="00AF2026">
        <w:rPr>
          <w:rFonts w:asciiTheme="majorBidi" w:hAnsiTheme="majorBidi" w:cstheme="majorBidi"/>
          <w:lang w:val="en-US"/>
        </w:rPr>
        <w:t xml:space="preserve">“could seriously interfere with the enjoyment of human </w:t>
      </w:r>
      <w:r w:rsidRPr="007216F3">
        <w:rPr>
          <w:rFonts w:asciiTheme="majorBidi" w:hAnsiTheme="majorBidi" w:cstheme="majorBidi"/>
          <w:lang w:val="en-US"/>
        </w:rPr>
        <w:t>rights for millions and perhaps billions of people”</w:t>
      </w:r>
      <w:r w:rsidRPr="007216F3">
        <w:rPr>
          <w:rStyle w:val="FootnoteReference"/>
          <w:sz w:val="20"/>
        </w:rPr>
        <w:footnoteReference w:id="56"/>
      </w:r>
      <w:r w:rsidRPr="00F0262C">
        <w:t>.</w:t>
      </w:r>
      <w:r w:rsidR="000B5DEF">
        <w:t xml:space="preserve"> </w:t>
      </w:r>
      <w:r>
        <w:rPr>
          <w:rFonts w:asciiTheme="majorBidi" w:hAnsiTheme="majorBidi" w:cstheme="majorBidi"/>
          <w:lang w:val="en-US"/>
        </w:rPr>
        <w:t>The</w:t>
      </w:r>
      <w:r w:rsidRPr="00E17ECE">
        <w:rPr>
          <w:rFonts w:asciiTheme="majorBidi" w:hAnsiTheme="majorBidi" w:cstheme="majorBidi"/>
          <w:lang w:val="en-US"/>
        </w:rPr>
        <w:t xml:space="preserve"> magnitude of the potential negative socio-economic and human </w:t>
      </w:r>
      <w:r>
        <w:rPr>
          <w:rFonts w:asciiTheme="majorBidi" w:hAnsiTheme="majorBidi" w:cstheme="majorBidi"/>
          <w:lang w:val="en-US"/>
        </w:rPr>
        <w:t xml:space="preserve">rights </w:t>
      </w:r>
      <w:r w:rsidRPr="00E17ECE">
        <w:rPr>
          <w:rFonts w:asciiTheme="majorBidi" w:hAnsiTheme="majorBidi" w:cstheme="majorBidi"/>
          <w:lang w:val="en-US"/>
        </w:rPr>
        <w:t>impacts</w:t>
      </w:r>
      <w:r>
        <w:rPr>
          <w:rFonts w:asciiTheme="majorBidi" w:hAnsiTheme="majorBidi" w:cstheme="majorBidi"/>
          <w:lang w:val="en-US"/>
        </w:rPr>
        <w:t xml:space="preserve"> is currently </w:t>
      </w:r>
      <w:r w:rsidRPr="007F710C">
        <w:rPr>
          <w:rFonts w:asciiTheme="majorBidi" w:hAnsiTheme="majorBidi" w:cstheme="majorBidi"/>
          <w:lang w:val="en-US"/>
        </w:rPr>
        <w:t>incommensurable</w:t>
      </w:r>
      <w:r>
        <w:rPr>
          <w:rFonts w:asciiTheme="majorBidi" w:hAnsiTheme="majorBidi" w:cstheme="majorBidi"/>
          <w:lang w:val="en-US"/>
        </w:rPr>
        <w:t xml:space="preserve"> to any hypothetical benefits</w:t>
      </w:r>
      <w:r w:rsidRPr="007F710C">
        <w:rPr>
          <w:rFonts w:asciiTheme="majorBidi" w:hAnsiTheme="majorBidi" w:cstheme="majorBidi"/>
          <w:lang w:val="en-US"/>
        </w:rPr>
        <w:t>.</w:t>
      </w:r>
      <w:r w:rsidRPr="007F710C">
        <w:rPr>
          <w:rStyle w:val="FootnoteReference"/>
          <w:sz w:val="22"/>
          <w:szCs w:val="22"/>
        </w:rPr>
        <w:footnoteReference w:id="57"/>
      </w:r>
      <w:r w:rsidRPr="007F710C">
        <w:rPr>
          <w:rStyle w:val="FootnoteReference"/>
          <w:sz w:val="22"/>
          <w:szCs w:val="22"/>
        </w:rPr>
        <w:t xml:space="preserve"> </w:t>
      </w:r>
    </w:p>
    <w:p w14:paraId="1DAE55E3" w14:textId="77777777" w:rsidR="00D2735B" w:rsidRPr="009968CA" w:rsidRDefault="00D2735B" w:rsidP="00D2735B">
      <w:pPr>
        <w:pStyle w:val="H1G"/>
      </w:pPr>
      <w:r>
        <w:tab/>
        <w:t>A.</w:t>
      </w:r>
      <w:r>
        <w:tab/>
      </w:r>
      <w:r w:rsidRPr="000136D9">
        <w:t>Impact on specific rights</w:t>
      </w:r>
      <w:r w:rsidRPr="009968CA">
        <w:t xml:space="preserve"> </w:t>
      </w:r>
    </w:p>
    <w:p w14:paraId="4421B56A" w14:textId="77777777" w:rsidR="00D2735B" w:rsidRPr="009920E0" w:rsidRDefault="00D2735B" w:rsidP="00D2735B">
      <w:pPr>
        <w:pStyle w:val="SingleTxtG"/>
      </w:pPr>
      <w:r>
        <w:t>47.</w:t>
      </w:r>
      <w:r>
        <w:tab/>
      </w:r>
      <w:r w:rsidRPr="00886D7A">
        <w:rPr>
          <w:rFonts w:asciiTheme="majorBidi" w:hAnsiTheme="majorBidi" w:cstheme="majorBidi"/>
        </w:rPr>
        <w:t xml:space="preserve">There is a broad range of human rights that </w:t>
      </w:r>
      <w:r w:rsidRPr="00886D7A">
        <w:rPr>
          <w:rFonts w:asciiTheme="majorBidi" w:hAnsiTheme="majorBidi" w:cstheme="majorBidi"/>
          <w:lang w:val="sl-SI"/>
        </w:rPr>
        <w:t>are at serious risk of adverse impacts by the tests and deployment of NTCPs.</w:t>
      </w:r>
    </w:p>
    <w:p w14:paraId="5C397614" w14:textId="16076F97" w:rsidR="00D2735B" w:rsidRDefault="00D2735B" w:rsidP="00D2735B">
      <w:pPr>
        <w:pStyle w:val="SingleTxtG"/>
      </w:pPr>
      <w:r>
        <w:t>48.</w:t>
      </w:r>
      <w:r>
        <w:tab/>
      </w:r>
      <w:r>
        <w:rPr>
          <w:i/>
        </w:rPr>
        <w:t>R</w:t>
      </w:r>
      <w:r w:rsidRPr="00474D61">
        <w:rPr>
          <w:i/>
        </w:rPr>
        <w:t>ight to life</w:t>
      </w:r>
      <w:r w:rsidR="009F7723">
        <w:rPr>
          <w:i/>
        </w:rPr>
        <w:t xml:space="preserve"> </w:t>
      </w:r>
      <w:r>
        <w:rPr>
          <w:i/>
        </w:rPr>
        <w:t>−</w:t>
      </w:r>
      <w:r w:rsidRPr="00F64A65">
        <w:rPr>
          <w:i/>
        </w:rPr>
        <w:t xml:space="preserve"> </w:t>
      </w:r>
      <w:r>
        <w:t>NTCPs</w:t>
      </w:r>
      <w:r w:rsidRPr="004B0019">
        <w:t xml:space="preserve"> </w:t>
      </w:r>
      <w:r>
        <w:t>could</w:t>
      </w:r>
      <w:r w:rsidRPr="00A46D2E">
        <w:t xml:space="preserve"> perpetuate and exacerbate the threats that climate change </w:t>
      </w:r>
      <w:r>
        <w:t xml:space="preserve">already </w:t>
      </w:r>
      <w:r w:rsidRPr="00A46D2E">
        <w:t xml:space="preserve">poses to the life </w:t>
      </w:r>
      <w:r>
        <w:t xml:space="preserve">and the enjoyment of this right by </w:t>
      </w:r>
      <w:r w:rsidRPr="00A46D2E">
        <w:t>present and future generations</w:t>
      </w:r>
      <w:r>
        <w:t>. As mentioned, t</w:t>
      </w:r>
      <w:r w:rsidRPr="00A46D2E">
        <w:t>he</w:t>
      </w:r>
      <w:r>
        <w:t xml:space="preserve"> mere possibility of the</w:t>
      </w:r>
      <w:r w:rsidRPr="00A46D2E">
        <w:t xml:space="preserve">ir use </w:t>
      </w:r>
      <w:r w:rsidRPr="001435D9">
        <w:rPr>
          <w:lang w:val="en-US"/>
        </w:rPr>
        <w:t>can</w:t>
      </w:r>
      <w:r>
        <w:rPr>
          <w:lang w:val="en-US"/>
        </w:rPr>
        <w:t xml:space="preserve"> delay the implementation of urgent climate action. In the hypothetical case of deploying certain NTCPs such as SRM, the potential environmental adverse impacts could increase </w:t>
      </w:r>
      <w:r w:rsidRPr="00D712E2">
        <w:t xml:space="preserve">food insecurity </w:t>
      </w:r>
      <w:r w:rsidRPr="001435D9">
        <w:t>and</w:t>
      </w:r>
      <w:r w:rsidR="000B5DEF">
        <w:t xml:space="preserve"> </w:t>
      </w:r>
      <w:r w:rsidRPr="00D712E2">
        <w:t>diminis</w:t>
      </w:r>
      <w:r>
        <w:t>h</w:t>
      </w:r>
      <w:r w:rsidRPr="001435D9">
        <w:t xml:space="preserve"> the</w:t>
      </w:r>
      <w:r w:rsidRPr="00D712E2">
        <w:t xml:space="preserve"> quality of life</w:t>
      </w:r>
      <w:r w:rsidRPr="005E43E3">
        <w:t xml:space="preserve"> </w:t>
      </w:r>
      <w:r>
        <w:t xml:space="preserve">of many people, </w:t>
      </w:r>
      <w:r w:rsidRPr="005E43E3">
        <w:t>par</w:t>
      </w:r>
      <w:r>
        <w:t>ticularly of those whose livelihood relies on natural resources.</w:t>
      </w:r>
      <w:r>
        <w:rPr>
          <w:lang w:val="en-US"/>
        </w:rPr>
        <w:t xml:space="preserve"> It</w:t>
      </w:r>
      <w:r w:rsidRPr="001435D9">
        <w:t xml:space="preserve"> </w:t>
      </w:r>
      <w:r>
        <w:t>c</w:t>
      </w:r>
      <w:r w:rsidRPr="003D4A60">
        <w:t xml:space="preserve">ould </w:t>
      </w:r>
      <w:r>
        <w:t xml:space="preserve">further </w:t>
      </w:r>
      <w:r w:rsidRPr="003D4A60">
        <w:t>lead t</w:t>
      </w:r>
      <w:r>
        <w:t>o</w:t>
      </w:r>
      <w:r w:rsidRPr="00852638">
        <w:t xml:space="preserve"> drought, delayed ozone recovery, changes in precipitation patterns, rapid </w:t>
      </w:r>
      <w:r w:rsidRPr="00070BA0">
        <w:t>warming pulses. If SRM deployment is not sustained (therefore irreversible) but abruptly terminated (so called termination shock, see Table I in Annex) it would have a devastating impact on ecosystems</w:t>
      </w:r>
      <w:r w:rsidRPr="00070BA0">
        <w:rPr>
          <w:rStyle w:val="FootnoteReference"/>
        </w:rPr>
        <w:footnoteReference w:id="58"/>
      </w:r>
      <w:r w:rsidRPr="00070BA0">
        <w:t xml:space="preserve"> and therefore be contrary to the principle of intergenerational equity.</w:t>
      </w:r>
      <w:r w:rsidRPr="00070BA0">
        <w:rPr>
          <w:vertAlign w:val="superscript"/>
        </w:rPr>
        <w:footnoteReference w:id="59"/>
      </w:r>
      <w:r w:rsidRPr="003D4A60">
        <w:t xml:space="preserve"> </w:t>
      </w:r>
    </w:p>
    <w:p w14:paraId="2373BD8D" w14:textId="77777777" w:rsidR="00D2735B" w:rsidRPr="00CE3A9B" w:rsidRDefault="00D2735B" w:rsidP="00D2735B">
      <w:pPr>
        <w:pStyle w:val="SingleTxtG"/>
      </w:pPr>
      <w:r>
        <w:t>49.</w:t>
      </w:r>
      <w:r>
        <w:tab/>
      </w:r>
      <w:r w:rsidRPr="00CB7ADA">
        <w:rPr>
          <w:i/>
        </w:rPr>
        <w:t xml:space="preserve">Right to a </w:t>
      </w:r>
      <w:r w:rsidRPr="00474D61">
        <w:rPr>
          <w:i/>
        </w:rPr>
        <w:t xml:space="preserve">clean, </w:t>
      </w:r>
      <w:proofErr w:type="gramStart"/>
      <w:r w:rsidRPr="00474D61">
        <w:rPr>
          <w:i/>
        </w:rPr>
        <w:t>healthy</w:t>
      </w:r>
      <w:proofErr w:type="gramEnd"/>
      <w:r w:rsidRPr="00474D61">
        <w:rPr>
          <w:i/>
        </w:rPr>
        <w:t xml:space="preserve"> and sustainable environment </w:t>
      </w:r>
      <w:r>
        <w:rPr>
          <w:i/>
        </w:rPr>
        <w:t xml:space="preserve">− </w:t>
      </w:r>
      <w:r>
        <w:t>Some NTCPs may potentially have negative to catastrophic effects on weather patterns, biodiversity and ecosystems as a whole. At the same time, anticipated diversion of efforts and resources from a rapid phasing out of fossil fuels may have major effects on the environment amounting to a violation of t</w:t>
      </w:r>
      <w:r w:rsidRPr="006341CC">
        <w:rPr>
          <w:iCs/>
        </w:rPr>
        <w:t>he right to a healthy environment</w:t>
      </w:r>
      <w:r>
        <w:rPr>
          <w:iCs/>
        </w:rPr>
        <w:t xml:space="preserve">, which includes the right to a </w:t>
      </w:r>
      <w:r w:rsidRPr="006341CC">
        <w:rPr>
          <w:iCs/>
        </w:rPr>
        <w:t>clean air</w:t>
      </w:r>
      <w:r>
        <w:rPr>
          <w:iCs/>
        </w:rPr>
        <w:t>,</w:t>
      </w:r>
      <w:r w:rsidRPr="006341CC">
        <w:rPr>
          <w:iCs/>
        </w:rPr>
        <w:t xml:space="preserve"> a safe and stable climate</w:t>
      </w:r>
      <w:r>
        <w:rPr>
          <w:iCs/>
        </w:rPr>
        <w:t>,</w:t>
      </w:r>
      <w:r w:rsidRPr="006341CC">
        <w:rPr>
          <w:iCs/>
        </w:rPr>
        <w:t xml:space="preserve"> access to safe water and adequate sanitation</w:t>
      </w:r>
      <w:r>
        <w:rPr>
          <w:iCs/>
        </w:rPr>
        <w:t>,</w:t>
      </w:r>
      <w:r w:rsidRPr="006341CC">
        <w:rPr>
          <w:iCs/>
        </w:rPr>
        <w:t xml:space="preserve"> healthy and sustainably produced food</w:t>
      </w:r>
      <w:r>
        <w:rPr>
          <w:iCs/>
        </w:rPr>
        <w:t>,</w:t>
      </w:r>
      <w:r w:rsidRPr="006341CC">
        <w:rPr>
          <w:iCs/>
        </w:rPr>
        <w:t xml:space="preserve"> non-toxic environments in which to live, work, study and play; and healthy biodiversity and ecosystems</w:t>
      </w:r>
      <w:r>
        <w:rPr>
          <w:iCs/>
        </w:rPr>
        <w:t>.</w:t>
      </w:r>
      <w:r>
        <w:rPr>
          <w:rStyle w:val="FootnoteReference"/>
          <w:iCs/>
        </w:rPr>
        <w:footnoteReference w:id="60"/>
      </w:r>
      <w:r>
        <w:rPr>
          <w:iCs/>
        </w:rPr>
        <w:t xml:space="preserve"> The test and deployment of </w:t>
      </w:r>
      <w:r w:rsidRPr="00B0267E">
        <w:rPr>
          <w:iCs/>
        </w:rPr>
        <w:t>NTCPs in the current circumstances</w:t>
      </w:r>
      <w:r>
        <w:rPr>
          <w:iCs/>
        </w:rPr>
        <w:t xml:space="preserve"> would further violate the procedural dimension of this right: a</w:t>
      </w:r>
      <w:r w:rsidRPr="006341CC">
        <w:rPr>
          <w:iCs/>
        </w:rPr>
        <w:t>ccess to information, the right to participate in decision-making, and access to justice and effective remedies.</w:t>
      </w:r>
      <w:r w:rsidRPr="000136D9">
        <w:t xml:space="preserve"> </w:t>
      </w:r>
      <w:r w:rsidRPr="006C1729">
        <w:rPr>
          <w:lang w:val="en-US"/>
        </w:rPr>
        <w:t>States have positive obligations relating to good governance and democratic accountability</w:t>
      </w:r>
      <w:r>
        <w:rPr>
          <w:lang w:val="en-US"/>
        </w:rPr>
        <w:t>.</w:t>
      </w:r>
    </w:p>
    <w:p w14:paraId="2A3B8D5C" w14:textId="446487D6" w:rsidR="00D2735B" w:rsidRDefault="00D2735B" w:rsidP="00D2735B">
      <w:pPr>
        <w:pStyle w:val="SingleTxtG"/>
      </w:pPr>
      <w:r>
        <w:t>50</w:t>
      </w:r>
      <w:r w:rsidRPr="00E505C0">
        <w:t>.</w:t>
      </w:r>
      <w:r w:rsidRPr="00E505C0">
        <w:tab/>
      </w:r>
      <w:r w:rsidRPr="009F7723">
        <w:rPr>
          <w:i/>
          <w:iCs/>
        </w:rPr>
        <w:t>Right to information and to public participation</w:t>
      </w:r>
      <w:r w:rsidR="009F7723">
        <w:t xml:space="preserve"> </w:t>
      </w:r>
      <w:r>
        <w:t>−</w:t>
      </w:r>
      <w:r w:rsidRPr="008769FE">
        <w:rPr>
          <w:lang w:val="en-US"/>
        </w:rPr>
        <w:t xml:space="preserve"> </w:t>
      </w:r>
      <w:r w:rsidRPr="00773522">
        <w:t>The</w:t>
      </w:r>
      <w:r w:rsidRPr="00F8592B">
        <w:rPr>
          <w:iCs/>
        </w:rPr>
        <w:t xml:space="preserve"> ICCPR</w:t>
      </w:r>
      <w:r w:rsidRPr="00F8592B" w:rsidDel="00F8592B">
        <w:rPr>
          <w:iCs/>
        </w:rPr>
        <w:t xml:space="preserve"> </w:t>
      </w:r>
      <w:r w:rsidRPr="00773522">
        <w:t>and other human rights instruments guarantee all persons the right to</w:t>
      </w:r>
      <w:r>
        <w:t xml:space="preserve"> information and to</w:t>
      </w:r>
      <w:r w:rsidRPr="00773522">
        <w:t xml:space="preserve"> free, active, </w:t>
      </w:r>
      <w:proofErr w:type="gramStart"/>
      <w:r w:rsidRPr="00773522">
        <w:t>meaningful</w:t>
      </w:r>
      <w:proofErr w:type="gramEnd"/>
      <w:r w:rsidRPr="00773522">
        <w:t xml:space="preserve"> and informed participation in public affairs</w:t>
      </w:r>
      <w:r>
        <w:t>.</w:t>
      </w:r>
      <w:r w:rsidRPr="00E505C0">
        <w:t xml:space="preserve"> </w:t>
      </w:r>
      <w:r>
        <w:t>According to</w:t>
      </w:r>
      <w:r w:rsidRPr="00E505C0">
        <w:t xml:space="preserve"> </w:t>
      </w:r>
      <w:r w:rsidR="000B5DEF" w:rsidRPr="00E505C0">
        <w:t>U</w:t>
      </w:r>
      <w:r w:rsidR="000B5DEF">
        <w:t>NFCCC</w:t>
      </w:r>
      <w:r w:rsidR="000B5DEF" w:rsidRPr="0017727E">
        <w:t xml:space="preserve"> </w:t>
      </w:r>
      <w:r w:rsidRPr="0017727E">
        <w:t>Article 6</w:t>
      </w:r>
      <w:r>
        <w:t xml:space="preserve">, </w:t>
      </w:r>
      <w:r w:rsidRPr="00E505C0">
        <w:t xml:space="preserve">all </w:t>
      </w:r>
      <w:r>
        <w:t xml:space="preserve">States </w:t>
      </w:r>
      <w:r w:rsidRPr="00E505C0">
        <w:t>shall</w:t>
      </w:r>
      <w:r>
        <w:t xml:space="preserve"> </w:t>
      </w:r>
      <w:r w:rsidRPr="00E505C0">
        <w:t>promote and facilitate public access to information on climate change and its effects, and</w:t>
      </w:r>
      <w:r>
        <w:t xml:space="preserve"> </w:t>
      </w:r>
      <w:r w:rsidRPr="00E505C0">
        <w:t>public participation in addressing climate change and its effects and developing adequate</w:t>
      </w:r>
      <w:r>
        <w:t xml:space="preserve"> </w:t>
      </w:r>
      <w:r w:rsidRPr="00E505C0">
        <w:t xml:space="preserve">responses. </w:t>
      </w:r>
      <w:r w:rsidRPr="006C1729">
        <w:rPr>
          <w:lang w:val="en-US"/>
        </w:rPr>
        <w:t xml:space="preserve">The 1998 Convention on Access to Information, Public Participation in Decision-Making and Access to Justice in Environmental Matters (Aarhus Convention) includes important standards concerning the right: a) to receive environmental information ; b) to participate in preparing plans, programs, policies, and legislation that may affect the environment; and c) to have access to review procedures should their rights on access to </w:t>
      </w:r>
      <w:r w:rsidRPr="006C1729">
        <w:rPr>
          <w:lang w:val="en-US"/>
        </w:rPr>
        <w:lastRenderedPageBreak/>
        <w:t>information or public participation be violated.</w:t>
      </w:r>
      <w:r w:rsidRPr="006C1729">
        <w:rPr>
          <w:rStyle w:val="FootnoteReference"/>
          <w:lang w:val="en-US"/>
        </w:rPr>
        <w:t xml:space="preserve"> </w:t>
      </w:r>
      <w:r w:rsidRPr="006C1729">
        <w:rPr>
          <w:rStyle w:val="FootnoteReference"/>
          <w:lang w:val="en-US"/>
        </w:rPr>
        <w:footnoteReference w:id="61"/>
      </w:r>
      <w:r w:rsidRPr="006C1729">
        <w:t xml:space="preserve"> </w:t>
      </w:r>
      <w:r w:rsidRPr="006C1729">
        <w:rPr>
          <w:lang w:val="en-US"/>
        </w:rPr>
        <w:t>A similar instrument has been adopted in the Latin American and Caribbean region, the 2018 Regional Agreement on Access to Information, Public Participation and Justice in Environmental Matters (Escazú Agreement).</w:t>
      </w:r>
      <w:r w:rsidRPr="006C1729">
        <w:rPr>
          <w:rStyle w:val="FootnoteReference"/>
          <w:lang w:val="en-US"/>
        </w:rPr>
        <w:footnoteReference w:id="62"/>
      </w:r>
      <w:r w:rsidRPr="006C1729">
        <w:tab/>
      </w:r>
      <w:r>
        <w:t xml:space="preserve"> </w:t>
      </w:r>
      <w:r w:rsidR="00D478A0">
        <w:t>UN</w:t>
      </w:r>
      <w:r>
        <w:t>GA</w:t>
      </w:r>
      <w:r w:rsidRPr="00E505C0">
        <w:t xml:space="preserve"> has also recognized the importance of public participation in addressing the impacts of climate change and recognized the need to engage a broad range of stakeholders at the global, regional, national and local levels.</w:t>
      </w:r>
      <w:r w:rsidRPr="00E505C0">
        <w:rPr>
          <w:rStyle w:val="FootnoteReference"/>
        </w:rPr>
        <w:footnoteReference w:id="63"/>
      </w:r>
    </w:p>
    <w:p w14:paraId="49AAD2AB" w14:textId="3B40A309" w:rsidR="00D2735B" w:rsidRDefault="00D2735B" w:rsidP="00D2735B">
      <w:pPr>
        <w:pStyle w:val="SingleTxtG"/>
        <w:tabs>
          <w:tab w:val="left" w:pos="8190"/>
        </w:tabs>
      </w:pPr>
      <w:r>
        <w:t>51.</w:t>
      </w:r>
      <w:r>
        <w:tab/>
      </w:r>
      <w:r w:rsidRPr="00A979E7">
        <w:rPr>
          <w:i/>
          <w:iCs/>
        </w:rPr>
        <w:t xml:space="preserve">Right to adequate </w:t>
      </w:r>
      <w:r w:rsidRPr="008109BE">
        <w:rPr>
          <w:i/>
          <w:iCs/>
        </w:rPr>
        <w:t>standard of living</w:t>
      </w:r>
      <w:r w:rsidRPr="005B42D4">
        <w:rPr>
          <w:i/>
          <w:iCs/>
        </w:rPr>
        <w:t xml:space="preserve"> and right to food </w:t>
      </w:r>
      <w:r w:rsidRPr="00D96CBB">
        <w:rPr>
          <w:i/>
          <w:iCs/>
        </w:rPr>
        <w:t>and water</w:t>
      </w:r>
      <w:r w:rsidR="006F3AE3">
        <w:rPr>
          <w:i/>
          <w:iCs/>
        </w:rPr>
        <w:t xml:space="preserve"> </w:t>
      </w:r>
      <w:r>
        <w:rPr>
          <w:i/>
        </w:rPr>
        <w:t>−</w:t>
      </w:r>
      <w:r w:rsidRPr="00F64A65">
        <w:t xml:space="preserve"> </w:t>
      </w:r>
      <w:r>
        <w:t xml:space="preserve">NTCPs </w:t>
      </w:r>
      <w:r w:rsidRPr="004F34F6">
        <w:t>can be water-intensive, change precipitation patterns, and pollute freshwater resources</w:t>
      </w:r>
      <w:r>
        <w:t xml:space="preserve"> and thus pose a threat to food</w:t>
      </w:r>
      <w:r w:rsidRPr="00D712E2">
        <w:t xml:space="preserve"> </w:t>
      </w:r>
      <w:r>
        <w:t xml:space="preserve">and water security, imperil livelihoods and lead to mass displacement of people. Most CDR technologies require vast swathes of land and extensive water resources, potentially increasing the demand for water and therefore impacting food production and access to water. SRM could also reduce the availability of fresh water on islands that already face water </w:t>
      </w:r>
      <w:r w:rsidR="006F2D91">
        <w:t>shortages</w:t>
      </w:r>
      <w:r>
        <w:t>.</w:t>
      </w:r>
      <w:r>
        <w:rPr>
          <w:rStyle w:val="FootnoteReference"/>
        </w:rPr>
        <w:footnoteReference w:id="64"/>
      </w:r>
      <w:r>
        <w:t xml:space="preserve">  SRM may have adverse impacts on the right to an adequate standard of living </w:t>
      </w:r>
      <w:proofErr w:type="gramStart"/>
      <w:r>
        <w:t>as a result of</w:t>
      </w:r>
      <w:proofErr w:type="gramEnd"/>
      <w:r>
        <w:t xml:space="preserve"> violations of right to food and water through manipulation of regional weather and precipitation patterns. Because of the massive water demands of these technologies, they are likely to affect the availability of safe drinking water. The potential termination shock effect could undermine food production globally, but specifically in vulnerable areas in the Global South.</w:t>
      </w:r>
      <w:r>
        <w:rPr>
          <w:rStyle w:val="FootnoteReference"/>
        </w:rPr>
        <w:footnoteReference w:id="65"/>
      </w:r>
      <w:r>
        <w:t xml:space="preserve"> </w:t>
      </w:r>
    </w:p>
    <w:p w14:paraId="3960D891" w14:textId="68C67233" w:rsidR="00D2735B" w:rsidRPr="00D66487" w:rsidRDefault="00D2735B" w:rsidP="00D2735B">
      <w:pPr>
        <w:pStyle w:val="SingleTxtG"/>
        <w:tabs>
          <w:tab w:val="left" w:pos="8190"/>
        </w:tabs>
      </w:pPr>
      <w:r w:rsidRPr="001037CF">
        <w:rPr>
          <w:iCs/>
          <w:lang w:val="en-US"/>
        </w:rPr>
        <w:t>5</w:t>
      </w:r>
      <w:r>
        <w:rPr>
          <w:iCs/>
          <w:lang w:val="en-US"/>
        </w:rPr>
        <w:t>2</w:t>
      </w:r>
      <w:r>
        <w:rPr>
          <w:iCs/>
          <w:lang w:val="en-US"/>
        </w:rPr>
        <w:tab/>
      </w:r>
      <w:r w:rsidRPr="00FA77EA">
        <w:rPr>
          <w:i/>
        </w:rPr>
        <w:t>Access to justice</w:t>
      </w:r>
      <w:r>
        <w:rPr>
          <w:i/>
        </w:rPr>
        <w:t xml:space="preserve"> and remedies</w:t>
      </w:r>
      <w:r w:rsidR="006F3AE3">
        <w:rPr>
          <w:i/>
        </w:rPr>
        <w:t xml:space="preserve"> – </w:t>
      </w:r>
      <w:r w:rsidRPr="00773522">
        <w:t xml:space="preserve">The Universal Declaration of Human Rights, the </w:t>
      </w:r>
      <w:r>
        <w:t>ICCPR</w:t>
      </w:r>
      <w:r w:rsidRPr="00773522">
        <w:t>, and other human rights instruments guarantee effective remedies for human rights violations</w:t>
      </w:r>
      <w:r>
        <w:t xml:space="preserve">. </w:t>
      </w:r>
      <w:r w:rsidRPr="00086B78">
        <w:t xml:space="preserve">States should ensure the necessary </w:t>
      </w:r>
      <w:r>
        <w:t>governance framework</w:t>
      </w:r>
      <w:r w:rsidRPr="00086B78">
        <w:t xml:space="preserve"> to effectively protect people against </w:t>
      </w:r>
      <w:r>
        <w:t xml:space="preserve">human rights violations and </w:t>
      </w:r>
      <w:r w:rsidRPr="00086B78">
        <w:t>harms from technology companies</w:t>
      </w:r>
      <w:r>
        <w:t>’ activities</w:t>
      </w:r>
      <w:r w:rsidRPr="00086B78">
        <w:t>.</w:t>
      </w:r>
      <w:r w:rsidRPr="00E97695">
        <w:t xml:space="preserve"> </w:t>
      </w:r>
      <w:r>
        <w:t>V</w:t>
      </w:r>
      <w:r w:rsidRPr="00F64A65">
        <w:t>ery often act</w:t>
      </w:r>
      <w:r>
        <w:t>ions of economic actors</w:t>
      </w:r>
      <w:r w:rsidRPr="00F64A65">
        <w:t xml:space="preserve"> </w:t>
      </w:r>
      <w:r>
        <w:t>causing</w:t>
      </w:r>
      <w:r w:rsidRPr="00143BFF">
        <w:t xml:space="preserve"> severe</w:t>
      </w:r>
      <w:r w:rsidR="006F2D91">
        <w:t xml:space="preserve">, </w:t>
      </w:r>
      <w:r w:rsidRPr="00143BFF">
        <w:t>widespread</w:t>
      </w:r>
      <w:r w:rsidR="006F2D91">
        <w:t xml:space="preserve">, </w:t>
      </w:r>
      <w:r w:rsidRPr="00143BFF">
        <w:t>long-term damage to the environm</w:t>
      </w:r>
      <w:r>
        <w:t>ent go unpunished as no prosecution against the actor or economic compensation to victims take place.</w:t>
      </w:r>
      <w:r w:rsidRPr="00F64A65">
        <w:rPr>
          <w:rStyle w:val="FootnoteReference"/>
        </w:rPr>
        <w:footnoteReference w:id="66"/>
      </w:r>
      <w:r w:rsidRPr="00FB6FE2">
        <w:rPr>
          <w:rFonts w:asciiTheme="minorHAnsi" w:eastAsia="Times New Roman" w:hAnsiTheme="minorHAnsi" w:cstheme="minorHAnsi"/>
          <w:color w:val="000000"/>
          <w:sz w:val="22"/>
          <w:szCs w:val="22"/>
          <w:lang w:eastAsia="en-GB"/>
        </w:rPr>
        <w:t xml:space="preserve"> </w:t>
      </w:r>
      <w:r w:rsidRPr="006C1729">
        <w:t xml:space="preserve">States may in certain cases not be in position </w:t>
      </w:r>
      <w:r>
        <w:t>to</w:t>
      </w:r>
      <w:r w:rsidRPr="006C1729">
        <w:t xml:space="preserve"> effectively enforce legislation against business companies. </w:t>
      </w:r>
      <w:r>
        <w:t xml:space="preserve">While </w:t>
      </w:r>
      <w:r w:rsidRPr="00F46A9B">
        <w:t xml:space="preserve">it is necessary to better understand </w:t>
      </w:r>
      <w:r>
        <w:t xml:space="preserve">NTCP-related </w:t>
      </w:r>
      <w:r w:rsidRPr="00F46A9B">
        <w:t>risks before the international community decides on a course of action</w:t>
      </w:r>
      <w:r>
        <w:t>, negotiations for a global governance framework</w:t>
      </w:r>
      <w:r w:rsidRPr="00FB6FE2">
        <w:t xml:space="preserve"> should ensure accountability and remedy for business-related human rights harms connected to </w:t>
      </w:r>
      <w:r>
        <w:t>NTCPs</w:t>
      </w:r>
      <w:r w:rsidRPr="00FB6FE2">
        <w:t>.</w:t>
      </w:r>
    </w:p>
    <w:p w14:paraId="53610279" w14:textId="77777777" w:rsidR="00D2735B" w:rsidRDefault="00D2735B" w:rsidP="00D2735B">
      <w:pPr>
        <w:pStyle w:val="H1G"/>
      </w:pPr>
      <w:r>
        <w:tab/>
        <w:t>B.</w:t>
      </w:r>
      <w:r>
        <w:tab/>
        <w:t>Impact on specific groups</w:t>
      </w:r>
    </w:p>
    <w:p w14:paraId="4BA8C6F4" w14:textId="23822812" w:rsidR="00D2735B" w:rsidRDefault="00D2735B" w:rsidP="00D2735B">
      <w:pPr>
        <w:pStyle w:val="SingleTxtG"/>
      </w:pPr>
      <w:r>
        <w:t>53</w:t>
      </w:r>
      <w:r w:rsidRPr="00FA77EA">
        <w:t>.</w:t>
      </w:r>
      <w:r w:rsidRPr="00FA77EA">
        <w:tab/>
      </w:r>
      <w:r>
        <w:rPr>
          <w:rFonts w:eastAsia="Times New Roman"/>
        </w:rPr>
        <w:t>S</w:t>
      </w:r>
      <w:r w:rsidRPr="00773522">
        <w:rPr>
          <w:rFonts w:eastAsia="Times New Roman"/>
        </w:rPr>
        <w:t>pecific technologies would impact regions and peoples differently, disproportionately affecting the poor and others in vulnerable situations</w:t>
      </w:r>
      <w:r>
        <w:rPr>
          <w:rFonts w:eastAsia="Times New Roman"/>
        </w:rPr>
        <w:t>. Furthermore, t</w:t>
      </w:r>
      <w:r w:rsidRPr="00773522">
        <w:rPr>
          <w:rFonts w:eastAsia="Times New Roman"/>
        </w:rPr>
        <w:t>he decisions and impacts of NTCP</w:t>
      </w:r>
      <w:r w:rsidR="004875C6">
        <w:rPr>
          <w:rFonts w:eastAsia="Times New Roman"/>
        </w:rPr>
        <w:t>s</w:t>
      </w:r>
      <w:r w:rsidRPr="00773522">
        <w:rPr>
          <w:rFonts w:eastAsia="Times New Roman"/>
        </w:rPr>
        <w:t xml:space="preserve"> could significantly impact the ability of children and future generations to exercise and fulfil their human rights</w:t>
      </w:r>
      <w:r w:rsidRPr="001320C4">
        <w:rPr>
          <w:rFonts w:eastAsia="Times New Roman"/>
        </w:rPr>
        <w:t>.</w:t>
      </w:r>
      <w:r w:rsidRPr="00B85176">
        <w:rPr>
          <w:lang w:val="en-US"/>
        </w:rPr>
        <w:t xml:space="preserve"> Women, </w:t>
      </w:r>
      <w:proofErr w:type="gramStart"/>
      <w:r w:rsidRPr="00B85176">
        <w:rPr>
          <w:lang w:val="en-US"/>
        </w:rPr>
        <w:t>children</w:t>
      </w:r>
      <w:proofErr w:type="gramEnd"/>
      <w:r w:rsidRPr="00B85176">
        <w:rPr>
          <w:lang w:val="en-US"/>
        </w:rPr>
        <w:t xml:space="preserve"> and persons with disabilities, who are systemically more impacted by climate change </w:t>
      </w:r>
      <w:r w:rsidR="004875C6">
        <w:rPr>
          <w:lang w:val="en-US"/>
        </w:rPr>
        <w:t>and</w:t>
      </w:r>
      <w:r w:rsidRPr="00B85176">
        <w:rPr>
          <w:lang w:val="en-US"/>
        </w:rPr>
        <w:t xml:space="preserve"> the way climate action is performed, may be disproportionately exposed to the negative effects of geoengineering technologies, which would deepen intersectional discrimination.</w:t>
      </w:r>
    </w:p>
    <w:p w14:paraId="24E5672B" w14:textId="04DD5873" w:rsidR="00D2735B" w:rsidRPr="00F64A65" w:rsidRDefault="00D2735B" w:rsidP="00D2735B">
      <w:pPr>
        <w:pStyle w:val="SingleTxtG"/>
      </w:pPr>
      <w:r>
        <w:t>54.</w:t>
      </w:r>
      <w:r>
        <w:tab/>
      </w:r>
      <w:r w:rsidRPr="00FA77EA">
        <w:t xml:space="preserve">According to the IPCC, </w:t>
      </w:r>
      <w:r>
        <w:t>m</w:t>
      </w:r>
      <w:r w:rsidRPr="00FA77EA">
        <w:t xml:space="preserve">arginalized socio-economic groups such as migrants, </w:t>
      </w:r>
      <w:r w:rsidRPr="00F64A65">
        <w:t xml:space="preserve">people of colour, </w:t>
      </w:r>
      <w:r w:rsidRPr="00FA77EA">
        <w:t>peasants</w:t>
      </w:r>
      <w:r>
        <w:t xml:space="preserve">, </w:t>
      </w:r>
      <w:r w:rsidRPr="00FA77EA">
        <w:t xml:space="preserve">Indigenous Peoples </w:t>
      </w:r>
      <w:r>
        <w:t xml:space="preserve">and other frontline communities </w:t>
      </w:r>
      <w:r w:rsidRPr="00FA77EA">
        <w:t xml:space="preserve">may be particularly exposed to the negative impacts of </w:t>
      </w:r>
      <w:r>
        <w:t>NTCPs</w:t>
      </w:r>
      <w:r w:rsidRPr="00FA77EA">
        <w:t>.</w:t>
      </w:r>
      <w:r w:rsidRPr="009443AC">
        <w:rPr>
          <w:rStyle w:val="FootnoteReference"/>
        </w:rPr>
        <w:t xml:space="preserve"> </w:t>
      </w:r>
      <w:r w:rsidRPr="006417F2">
        <w:rPr>
          <w:rStyle w:val="FootnoteReference"/>
        </w:rPr>
        <w:footnoteReference w:id="67"/>
      </w:r>
      <w:r w:rsidRPr="00FA77EA">
        <w:t xml:space="preserve"> They are at high risk of suffering the consequences of experiments or testing but do not have a say on the decisions that may hinder their rights.</w:t>
      </w:r>
      <w:r w:rsidRPr="00FA77EA">
        <w:rPr>
          <w:rStyle w:val="FootnoteReference"/>
        </w:rPr>
        <w:footnoteReference w:id="68"/>
      </w:r>
      <w:r w:rsidRPr="00FA77EA">
        <w:t xml:space="preserve">  </w:t>
      </w:r>
      <w:r w:rsidRPr="00F64A65">
        <w:t>N</w:t>
      </w:r>
      <w:r w:rsidRPr="00FA77EA">
        <w:t xml:space="preserve">egative effects </w:t>
      </w:r>
      <w:r w:rsidR="004875C6">
        <w:t>could compound for</w:t>
      </w:r>
      <w:r w:rsidRPr="00FA77EA">
        <w:t xml:space="preserve"> women, who already suffer from harmful </w:t>
      </w:r>
      <w:r w:rsidRPr="00FA77EA">
        <w:lastRenderedPageBreak/>
        <w:t>gender</w:t>
      </w:r>
      <w:r>
        <w:t xml:space="preserve">-based </w:t>
      </w:r>
      <w:r w:rsidRPr="00FA77EA">
        <w:t xml:space="preserve">discrimination that </w:t>
      </w:r>
      <w:r>
        <w:t xml:space="preserve">often </w:t>
      </w:r>
      <w:r w:rsidRPr="00FA77EA">
        <w:t xml:space="preserve">excludes them from participating in environmental decision-making. </w:t>
      </w:r>
      <w:r w:rsidRPr="00FA77EA">
        <w:rPr>
          <w:rStyle w:val="FootnoteReference"/>
        </w:rPr>
        <w:footnoteReference w:id="69"/>
      </w:r>
      <w:r w:rsidRPr="009443AC">
        <w:t xml:space="preserve"> </w:t>
      </w:r>
    </w:p>
    <w:p w14:paraId="0FB39F03" w14:textId="0CF85259" w:rsidR="00D2735B" w:rsidRPr="000136D9" w:rsidRDefault="00D2735B" w:rsidP="00D2735B">
      <w:pPr>
        <w:pStyle w:val="SingleTxtG"/>
      </w:pPr>
      <w:r>
        <w:t>55.</w:t>
      </w:r>
      <w:r>
        <w:tab/>
      </w:r>
      <w:r w:rsidRPr="00FE01A7">
        <w:t xml:space="preserve">The potential deployment of </w:t>
      </w:r>
      <w:r>
        <w:t>NTCPs</w:t>
      </w:r>
      <w:r w:rsidRPr="00FE01A7">
        <w:t xml:space="preserve"> would have a massive and disproportionate impact on Indigenous Peoples whose traditional lands and territories are particularly exposed and at risk of experimental uses. NTCPs may expose them to forced displacement, deprivation of their</w:t>
      </w:r>
      <w:r>
        <w:t xml:space="preserve"> lands, </w:t>
      </w:r>
      <w:proofErr w:type="gramStart"/>
      <w:r>
        <w:t>culture</w:t>
      </w:r>
      <w:proofErr w:type="gramEnd"/>
      <w:r>
        <w:t xml:space="preserve"> and traditional livelihoods through land-use and agricultural or weather pattern changes.</w:t>
      </w:r>
      <w:r>
        <w:rPr>
          <w:rFonts w:asciiTheme="majorBidi" w:hAnsiTheme="majorBidi" w:cstheme="majorBidi"/>
          <w:iCs/>
          <w:lang w:val="en-US"/>
        </w:rPr>
        <w:t xml:space="preserve"> </w:t>
      </w:r>
      <w:r w:rsidR="00C6520F">
        <w:rPr>
          <w:rFonts w:asciiTheme="majorBidi" w:hAnsiTheme="majorBidi" w:cstheme="majorBidi"/>
          <w:lang w:val="en-US"/>
        </w:rPr>
        <w:t xml:space="preserve">UNDRIP </w:t>
      </w:r>
      <w:r w:rsidRPr="00F64A65">
        <w:rPr>
          <w:rFonts w:asciiTheme="majorBidi" w:hAnsiTheme="majorBidi" w:cstheme="majorBidi"/>
          <w:lang w:val="en-US"/>
        </w:rPr>
        <w:t xml:space="preserve">requires States to consult and cooperate in good faith with the </w:t>
      </w:r>
      <w:r>
        <w:rPr>
          <w:rFonts w:asciiTheme="majorBidi" w:hAnsiTheme="majorBidi" w:cstheme="majorBidi"/>
          <w:lang w:val="en-US"/>
        </w:rPr>
        <w:t>I</w:t>
      </w:r>
      <w:r w:rsidRPr="00F64A65">
        <w:rPr>
          <w:rFonts w:asciiTheme="majorBidi" w:hAnsiTheme="majorBidi" w:cstheme="majorBidi"/>
          <w:lang w:val="en-US"/>
        </w:rPr>
        <w:t xml:space="preserve">ndigenous </w:t>
      </w:r>
      <w:r>
        <w:rPr>
          <w:rFonts w:asciiTheme="majorBidi" w:hAnsiTheme="majorBidi" w:cstheme="majorBidi"/>
          <w:lang w:val="en-US"/>
        </w:rPr>
        <w:t>P</w:t>
      </w:r>
      <w:r w:rsidRPr="00F64A65">
        <w:rPr>
          <w:rFonts w:asciiTheme="majorBidi" w:hAnsiTheme="majorBidi" w:cstheme="majorBidi"/>
          <w:lang w:val="en-US"/>
        </w:rPr>
        <w:t>eoples concerned through their own representative institutions</w:t>
      </w:r>
      <w:r w:rsidRPr="005570CE">
        <w:rPr>
          <w:rFonts w:asciiTheme="majorBidi" w:hAnsiTheme="majorBidi" w:cstheme="majorBidi"/>
          <w:lang w:val="en-US"/>
        </w:rPr>
        <w:t>. They should o</w:t>
      </w:r>
      <w:r w:rsidRPr="00F64A65">
        <w:rPr>
          <w:rFonts w:asciiTheme="majorBidi" w:hAnsiTheme="majorBidi" w:cstheme="majorBidi"/>
          <w:lang w:val="en-US"/>
        </w:rPr>
        <w:t xml:space="preserve">btain their free, </w:t>
      </w:r>
      <w:proofErr w:type="gramStart"/>
      <w:r w:rsidRPr="00F64A65">
        <w:rPr>
          <w:rFonts w:asciiTheme="majorBidi" w:hAnsiTheme="majorBidi" w:cstheme="majorBidi"/>
          <w:lang w:val="en-US"/>
        </w:rPr>
        <w:t>prior</w:t>
      </w:r>
      <w:proofErr w:type="gramEnd"/>
      <w:r w:rsidRPr="00F64A65">
        <w:rPr>
          <w:rFonts w:asciiTheme="majorBidi" w:hAnsiTheme="majorBidi" w:cstheme="majorBidi"/>
          <w:lang w:val="en-US"/>
        </w:rPr>
        <w:t xml:space="preserve"> and informed consent before adopting and implementing </w:t>
      </w:r>
      <w:r w:rsidRPr="005570CE">
        <w:rPr>
          <w:rFonts w:asciiTheme="majorBidi" w:hAnsiTheme="majorBidi" w:cstheme="majorBidi"/>
          <w:lang w:val="en-US"/>
        </w:rPr>
        <w:t xml:space="preserve">any </w:t>
      </w:r>
      <w:r w:rsidRPr="00F64A65">
        <w:rPr>
          <w:rFonts w:asciiTheme="majorBidi" w:hAnsiTheme="majorBidi" w:cstheme="majorBidi"/>
          <w:lang w:val="en-US"/>
        </w:rPr>
        <w:t xml:space="preserve">legislative or administrative measure that may affect them. </w:t>
      </w:r>
      <w:r w:rsidRPr="005570CE">
        <w:rPr>
          <w:rFonts w:asciiTheme="majorBidi" w:hAnsiTheme="majorBidi" w:cstheme="majorBidi"/>
          <w:lang w:val="en-US"/>
        </w:rPr>
        <w:t>S</w:t>
      </w:r>
      <w:r w:rsidRPr="00F64A65">
        <w:rPr>
          <w:rFonts w:asciiTheme="majorBidi" w:hAnsiTheme="majorBidi" w:cstheme="majorBidi"/>
          <w:lang w:val="en-US"/>
        </w:rPr>
        <w:t>uch consent must be also given before undertaking</w:t>
      </w:r>
      <w:r w:rsidR="004875C6">
        <w:rPr>
          <w:rFonts w:asciiTheme="majorBidi" w:hAnsiTheme="majorBidi" w:cstheme="majorBidi"/>
          <w:lang w:val="en-US"/>
        </w:rPr>
        <w:t>s</w:t>
      </w:r>
      <w:r w:rsidRPr="00F64A65">
        <w:rPr>
          <w:rFonts w:asciiTheme="majorBidi" w:hAnsiTheme="majorBidi" w:cstheme="majorBidi"/>
          <w:lang w:val="en-US"/>
        </w:rPr>
        <w:t xml:space="preserve"> that affect </w:t>
      </w:r>
      <w:r>
        <w:rPr>
          <w:rFonts w:asciiTheme="majorBidi" w:hAnsiTheme="majorBidi" w:cstheme="majorBidi"/>
          <w:lang w:val="en-US"/>
        </w:rPr>
        <w:t>I</w:t>
      </w:r>
      <w:r w:rsidRPr="00F64A65">
        <w:rPr>
          <w:rFonts w:asciiTheme="majorBidi" w:hAnsiTheme="majorBidi" w:cstheme="majorBidi"/>
          <w:lang w:val="en-US"/>
        </w:rPr>
        <w:t xml:space="preserve">ndigenous </w:t>
      </w:r>
      <w:r>
        <w:rPr>
          <w:rFonts w:asciiTheme="majorBidi" w:hAnsiTheme="majorBidi" w:cstheme="majorBidi"/>
          <w:lang w:val="en-US"/>
        </w:rPr>
        <w:t>P</w:t>
      </w:r>
      <w:r w:rsidRPr="00F64A65">
        <w:rPr>
          <w:rFonts w:asciiTheme="majorBidi" w:hAnsiTheme="majorBidi" w:cstheme="majorBidi"/>
          <w:lang w:val="en-US"/>
        </w:rPr>
        <w:t xml:space="preserve">eoples’ rights to land, </w:t>
      </w:r>
      <w:proofErr w:type="gramStart"/>
      <w:r w:rsidRPr="00F64A65">
        <w:rPr>
          <w:rFonts w:asciiTheme="majorBidi" w:hAnsiTheme="majorBidi" w:cstheme="majorBidi"/>
          <w:lang w:val="en-US"/>
        </w:rPr>
        <w:t>territory</w:t>
      </w:r>
      <w:proofErr w:type="gramEnd"/>
      <w:r w:rsidRPr="00F64A65">
        <w:rPr>
          <w:rFonts w:asciiTheme="majorBidi" w:hAnsiTheme="majorBidi" w:cstheme="majorBidi"/>
          <w:lang w:val="en-US"/>
        </w:rPr>
        <w:t xml:space="preserve"> and resources, including mining and other utilization or exploitation of resources.</w:t>
      </w:r>
      <w:r w:rsidRPr="005570CE">
        <w:rPr>
          <w:rStyle w:val="FootnoteReference"/>
          <w:rFonts w:cstheme="majorBidi"/>
          <w:lang w:val="en-US"/>
        </w:rPr>
        <w:footnoteReference w:id="70"/>
      </w:r>
      <w:r w:rsidRPr="00F64A65">
        <w:rPr>
          <w:rFonts w:asciiTheme="majorBidi" w:hAnsiTheme="majorBidi" w:cstheme="majorBidi"/>
          <w:lang w:val="en-US"/>
        </w:rPr>
        <w:t xml:space="preserve"> Indigenous Peoples </w:t>
      </w:r>
      <w:r w:rsidRPr="00F64A65">
        <w:t>have not been systematically involved in technological planning</w:t>
      </w:r>
      <w:r w:rsidR="00CD4EB2">
        <w:t xml:space="preserve"> or </w:t>
      </w:r>
      <w:r w:rsidRPr="00F64A65">
        <w:t xml:space="preserve">consulted in </w:t>
      </w:r>
      <w:r w:rsidRPr="00FE37BF">
        <w:rPr>
          <w:lang w:val="en-US"/>
        </w:rPr>
        <w:t>testing</w:t>
      </w:r>
      <w:r>
        <w:t xml:space="preserve"> of NTCPs. Annex 1</w:t>
      </w:r>
      <w:r w:rsidRPr="00F64A65">
        <w:t xml:space="preserve"> </w:t>
      </w:r>
      <w:r>
        <w:rPr>
          <w:rFonts w:asciiTheme="majorBidi" w:hAnsiTheme="majorBidi" w:cstheme="majorBidi"/>
          <w:lang w:val="en-US"/>
        </w:rPr>
        <w:t xml:space="preserve">provides examples of canceled SRM </w:t>
      </w:r>
      <w:r w:rsidRPr="00663593">
        <w:rPr>
          <w:rFonts w:asciiTheme="majorBidi" w:hAnsiTheme="majorBidi" w:cstheme="majorBidi"/>
          <w:lang w:val="en-US"/>
        </w:rPr>
        <w:t xml:space="preserve">field </w:t>
      </w:r>
      <w:r>
        <w:rPr>
          <w:rFonts w:asciiTheme="majorBidi" w:hAnsiTheme="majorBidi" w:cstheme="majorBidi"/>
          <w:lang w:val="en-US"/>
        </w:rPr>
        <w:t xml:space="preserve">experiments </w:t>
      </w:r>
      <w:r w:rsidR="00CD4EB2">
        <w:rPr>
          <w:rFonts w:asciiTheme="majorBidi" w:hAnsiTheme="majorBidi" w:cstheme="majorBidi"/>
          <w:lang w:val="en-US"/>
        </w:rPr>
        <w:t xml:space="preserve">(Stratospheric Controlled Perturbation Experiment, </w:t>
      </w:r>
      <w:proofErr w:type="spellStart"/>
      <w:r w:rsidR="00CD4EB2" w:rsidRPr="00663593">
        <w:rPr>
          <w:rFonts w:asciiTheme="majorBidi" w:hAnsiTheme="majorBidi" w:cstheme="majorBidi"/>
          <w:lang w:val="en-US"/>
        </w:rPr>
        <w:t>SCoPEx</w:t>
      </w:r>
      <w:proofErr w:type="spellEnd"/>
      <w:r w:rsidR="00CD4EB2" w:rsidRPr="00663593">
        <w:rPr>
          <w:rFonts w:asciiTheme="majorBidi" w:hAnsiTheme="majorBidi" w:cstheme="majorBidi"/>
          <w:lang w:val="en-US"/>
        </w:rPr>
        <w:t xml:space="preserve"> </w:t>
      </w:r>
      <w:r w:rsidR="00CD4EB2">
        <w:rPr>
          <w:rFonts w:asciiTheme="majorBidi" w:hAnsiTheme="majorBidi" w:cstheme="majorBidi"/>
          <w:lang w:val="en-US"/>
        </w:rPr>
        <w:t xml:space="preserve">in the USA and Sweden) </w:t>
      </w:r>
      <w:r w:rsidRPr="00070BA0">
        <w:rPr>
          <w:rFonts w:asciiTheme="majorBidi" w:hAnsiTheme="majorBidi" w:cstheme="majorBidi"/>
          <w:lang w:val="en-US"/>
        </w:rPr>
        <w:t xml:space="preserve">that had been planned without respecting the requirement of free, </w:t>
      </w:r>
      <w:proofErr w:type="gramStart"/>
      <w:r w:rsidRPr="00070BA0">
        <w:rPr>
          <w:rFonts w:asciiTheme="majorBidi" w:hAnsiTheme="majorBidi" w:cstheme="majorBidi"/>
          <w:lang w:val="en-US"/>
        </w:rPr>
        <w:t>prior</w:t>
      </w:r>
      <w:proofErr w:type="gramEnd"/>
      <w:r w:rsidRPr="00070BA0">
        <w:rPr>
          <w:rFonts w:asciiTheme="majorBidi" w:hAnsiTheme="majorBidi" w:cstheme="majorBidi"/>
          <w:lang w:val="en-US"/>
        </w:rPr>
        <w:t xml:space="preserve"> and informed consent</w:t>
      </w:r>
      <w:r w:rsidRPr="00070BA0">
        <w:t xml:space="preserve">. Indigenous representative organizations underline that in the context of geoengineering the implementation of this obligation </w:t>
      </w:r>
      <w:proofErr w:type="gramStart"/>
      <w:r w:rsidRPr="00070BA0">
        <w:t>has to</w:t>
      </w:r>
      <w:proofErr w:type="gramEnd"/>
      <w:r w:rsidRPr="00070BA0">
        <w:t xml:space="preserve"> represent a “dialogue that fosters understanding and provides for a consultation process that reflects higher standards of care than we have previously seen. Otherwise, it risks compromising the progress on Indigenous self-determination and increasing existing divisions on geoengineering research”.</w:t>
      </w:r>
      <w:r w:rsidRPr="00070BA0">
        <w:rPr>
          <w:rStyle w:val="FootnoteReference"/>
        </w:rPr>
        <w:footnoteReference w:id="71"/>
      </w:r>
    </w:p>
    <w:p w14:paraId="78E7E704" w14:textId="5F6D46DC" w:rsidR="00D2735B" w:rsidRPr="00892C90" w:rsidRDefault="00D2735B" w:rsidP="00D2735B">
      <w:pPr>
        <w:pStyle w:val="SingleTxtG"/>
      </w:pPr>
      <w:r>
        <w:rPr>
          <w:lang w:val="en-US"/>
        </w:rPr>
        <w:t>56.</w:t>
      </w:r>
      <w:r>
        <w:rPr>
          <w:lang w:val="en-US"/>
        </w:rPr>
        <w:tab/>
      </w:r>
      <w:r>
        <w:t xml:space="preserve">Due to their special dependency and attachment to land </w:t>
      </w:r>
      <w:r w:rsidRPr="00F64A65">
        <w:t xml:space="preserve">also </w:t>
      </w:r>
      <w:r>
        <w:t>peasants</w:t>
      </w:r>
      <w:r w:rsidRPr="00B85176">
        <w:rPr>
          <w:lang w:val="en-US"/>
        </w:rPr>
        <w:t xml:space="preserve">, </w:t>
      </w:r>
      <w:r>
        <w:rPr>
          <w:lang w:val="en-US"/>
        </w:rPr>
        <w:t>fisherfolks</w:t>
      </w:r>
      <w:r>
        <w:t xml:space="preserve"> and other rural people risk being disproportionately affected by NTCP</w:t>
      </w:r>
      <w:r>
        <w:rPr>
          <w:lang w:val="en-US"/>
        </w:rPr>
        <w:t>s</w:t>
      </w:r>
      <w:r>
        <w:t>. In particular, their lands are vulnerable to being grabbed and/or polluted  (</w:t>
      </w:r>
      <w:r w:rsidR="00911AE5">
        <w:t>i.e. by NTCP-related mining</w:t>
      </w:r>
      <w:r>
        <w:t>), thus undermining their right to land and natural resources</w:t>
      </w:r>
      <w:r w:rsidR="00911AE5">
        <w:t>.</w:t>
      </w:r>
      <w:r w:rsidR="00262C5A" w:rsidRPr="00262C5A">
        <w:rPr>
          <w:rStyle w:val="FootnoteReference"/>
        </w:rPr>
        <w:t xml:space="preserve"> </w:t>
      </w:r>
      <w:r w:rsidR="00262C5A">
        <w:rPr>
          <w:rStyle w:val="FootnoteReference"/>
        </w:rPr>
        <w:footnoteReference w:id="72"/>
      </w:r>
      <w:r>
        <w:t xml:space="preserve"> NTCP</w:t>
      </w:r>
      <w:r>
        <w:rPr>
          <w:lang w:val="en-US"/>
        </w:rPr>
        <w:t>s</w:t>
      </w:r>
      <w:r>
        <w:t xml:space="preserve"> carry high risks of undermining peasant food production due to interference with natural cycles, which are likely to affect their management systems by undermining their traditional knowledge, practices and innovations.</w:t>
      </w:r>
      <w:r>
        <w:rPr>
          <w:rStyle w:val="FootnoteReference"/>
        </w:rPr>
        <w:footnoteReference w:id="73"/>
      </w:r>
      <w:r>
        <w:t xml:space="preserve"> Importantly, land has not only economic functions for peasants and other people working in rural areas, but also social, cultural and spiritual dimensions. </w:t>
      </w:r>
      <w:proofErr w:type="gramStart"/>
      <w:r>
        <w:t>Similar to</w:t>
      </w:r>
      <w:proofErr w:type="gramEnd"/>
      <w:r>
        <w:t xml:space="preserve"> Indigenous Peoples, they may understand themselves</w:t>
      </w:r>
      <w:r>
        <w:rPr>
          <w:lang w:val="en-US"/>
        </w:rPr>
        <w:t xml:space="preserve"> </w:t>
      </w:r>
      <w:r>
        <w:t>as caretakers and custodians of ecosystems and the Earth. Consequently, many employ agroecological management practices based on the respect of Nature and its natural cycles, seeking to promote biodiversity and capture carbon in soils.</w:t>
      </w:r>
    </w:p>
    <w:p w14:paraId="739675BE" w14:textId="77777777" w:rsidR="00D2735B" w:rsidRPr="00584CC9" w:rsidRDefault="00D2735B" w:rsidP="00D2735B">
      <w:pPr>
        <w:pStyle w:val="HChG"/>
      </w:pPr>
      <w:r>
        <w:tab/>
      </w:r>
      <w:r w:rsidRPr="00A024C7">
        <w:t>V.</w:t>
      </w:r>
      <w:r w:rsidRPr="00A024C7">
        <w:tab/>
        <w:t>Building-up a protective framework</w:t>
      </w:r>
    </w:p>
    <w:p w14:paraId="6E2FEC70" w14:textId="1C0C1A14" w:rsidR="00D2735B" w:rsidRDefault="00D2735B" w:rsidP="00D2735B">
      <w:pPr>
        <w:pStyle w:val="SingleTxtG"/>
      </w:pPr>
      <w:r>
        <w:t>57.</w:t>
      </w:r>
      <w:r>
        <w:tab/>
        <w:t>All the above leads to the conclusion that the deployment of NCTPs today would be contrary to the human rights and environmental framework</w:t>
      </w:r>
      <w:r w:rsidRPr="00843CB5">
        <w:t xml:space="preserve">. </w:t>
      </w:r>
      <w:r w:rsidRPr="006C1729">
        <w:t>Even i</w:t>
      </w:r>
      <w:r w:rsidRPr="00843CB5">
        <w:t xml:space="preserve">n the hypothetical scenario that there is no choice but to deploy NCTPs </w:t>
      </w:r>
      <w:r w:rsidRPr="00E92462">
        <w:t>to address climate overshoot</w:t>
      </w:r>
      <w:r>
        <w:t xml:space="preserve">, </w:t>
      </w:r>
      <w:r w:rsidRPr="006C1729">
        <w:t>the potential vastness of the adverse impacts and risks make imperative that a</w:t>
      </w:r>
      <w:r w:rsidRPr="00843CB5">
        <w:t xml:space="preserve"> strong global rights-based governance framework, </w:t>
      </w:r>
      <w:r w:rsidRPr="006C1729">
        <w:t>be set-up well in advance</w:t>
      </w:r>
      <w:r w:rsidRPr="00843CB5">
        <w:t>.</w:t>
      </w:r>
      <w:r w:rsidRPr="006C1729">
        <w:t xml:space="preserve"> </w:t>
      </w:r>
      <w:r>
        <w:t>The only way to</w:t>
      </w:r>
      <w:r w:rsidRPr="006C1729">
        <w:t xml:space="preserve"> overcome the several political, ethical and security risks </w:t>
      </w:r>
      <w:r>
        <w:t xml:space="preserve">posed by </w:t>
      </w:r>
      <w:r w:rsidRPr="006C1729">
        <w:t xml:space="preserve">any potential deployment of </w:t>
      </w:r>
      <w:r w:rsidRPr="00843CB5">
        <w:t xml:space="preserve">climate engineering </w:t>
      </w:r>
      <w:r>
        <w:t>requires a</w:t>
      </w:r>
      <w:r w:rsidRPr="00843CB5">
        <w:t xml:space="preserve"> gov</w:t>
      </w:r>
      <w:r w:rsidRPr="00E92462">
        <w:t>ernance framework that facilitates inclusive dialogue, transparent processes, accountability and active participation of all persons in decision-making processes</w:t>
      </w:r>
      <w:r w:rsidR="00520E84">
        <w:t>.</w:t>
      </w:r>
      <w:r w:rsidRPr="001370C3">
        <w:rPr>
          <w:rStyle w:val="FootnoteReference"/>
        </w:rPr>
        <w:footnoteReference w:id="74"/>
      </w:r>
      <w:r w:rsidRPr="001370C3">
        <w:t xml:space="preserve"> </w:t>
      </w:r>
      <w:r>
        <w:t xml:space="preserve">Such framework </w:t>
      </w:r>
      <w:r w:rsidRPr="006C1729">
        <w:rPr>
          <w:i/>
        </w:rPr>
        <w:t>as minimum</w:t>
      </w:r>
      <w:r>
        <w:t xml:space="preserve"> </w:t>
      </w:r>
      <w:r w:rsidRPr="00E92462">
        <w:t xml:space="preserve">should include: 1) </w:t>
      </w:r>
      <w:r>
        <w:t>e</w:t>
      </w:r>
      <w:r w:rsidRPr="00E92462">
        <w:t>x ante human rights and environmental impact assessments before climate altering technologies are deployed and continuous monitoring and evaluation thereafter; 2) a clear understanding of the human rights obligations of duty-</w:t>
      </w:r>
      <w:r w:rsidRPr="00E92462">
        <w:lastRenderedPageBreak/>
        <w:t>bearers, including the obligation of States and private sector actors to exercise human rights due diligence.</w:t>
      </w:r>
    </w:p>
    <w:p w14:paraId="3F8E6C9D" w14:textId="77777777" w:rsidR="00D2735B" w:rsidRDefault="00D2735B" w:rsidP="00D2735B">
      <w:pPr>
        <w:pStyle w:val="H1G"/>
      </w:pPr>
      <w:r>
        <w:tab/>
        <w:t>A.</w:t>
      </w:r>
      <w:r>
        <w:tab/>
        <w:t xml:space="preserve">Multilateralism and governance framework </w:t>
      </w:r>
    </w:p>
    <w:p w14:paraId="55E99A7A" w14:textId="77777777" w:rsidR="00D2735B" w:rsidRDefault="00D2735B" w:rsidP="00D2735B">
      <w:pPr>
        <w:pStyle w:val="SingleTxtG"/>
      </w:pPr>
      <w:r>
        <w:t>58.</w:t>
      </w:r>
      <w:r>
        <w:tab/>
        <w:t xml:space="preserve">Any decision related </w:t>
      </w:r>
      <w:r w:rsidRPr="00116EA4">
        <w:t xml:space="preserve">to the governance and deployment of </w:t>
      </w:r>
      <w:r>
        <w:t>any new technology for climate manipulation</w:t>
      </w:r>
      <w:r w:rsidRPr="00E90F84">
        <w:t xml:space="preserve"> </w:t>
      </w:r>
      <w:r>
        <w:t xml:space="preserve">should not be taken in disregard of State’s obligation to cooperate and outside the existing bodies for </w:t>
      </w:r>
      <w:r w:rsidRPr="00116EA4">
        <w:t>multilateral decision-making.</w:t>
      </w:r>
      <w:r>
        <w:rPr>
          <w:rStyle w:val="FootnoteReference"/>
        </w:rPr>
        <w:footnoteReference w:id="75"/>
      </w:r>
      <w:r>
        <w:t xml:space="preserve">  Bodies tasked and endowed by the international community with such competences</w:t>
      </w:r>
      <w:r w:rsidRPr="00E90F84">
        <w:t xml:space="preserve"> </w:t>
      </w:r>
      <w:r>
        <w:t xml:space="preserve">must be representative and act in accordance with the requested standards of democracy, transparency, independency and </w:t>
      </w:r>
      <w:r w:rsidRPr="00E475BE">
        <w:t>objectivity.</w:t>
      </w:r>
      <w:r w:rsidRPr="00E475BE">
        <w:rPr>
          <w:rStyle w:val="FootnoteReference"/>
        </w:rPr>
        <w:footnoteReference w:id="76"/>
      </w:r>
      <w:r>
        <w:t xml:space="preserve"> </w:t>
      </w:r>
      <w:r w:rsidRPr="001370C3">
        <w:t>Cooperat</w:t>
      </w:r>
      <w:r>
        <w:t>ion to establish, maintain and enforce effective international legal frameworks is key and a legal duty to bring common understanding on the kind of solutions that are needed to p</w:t>
      </w:r>
      <w:r w:rsidRPr="0021203A">
        <w:t>revent, reduc</w:t>
      </w:r>
      <w:r>
        <w:t>e</w:t>
      </w:r>
      <w:r w:rsidRPr="0021203A">
        <w:t xml:space="preserve"> and remed</w:t>
      </w:r>
      <w:r>
        <w:t>y</w:t>
      </w:r>
      <w:r w:rsidRPr="0021203A">
        <w:t xml:space="preserve"> transboundary and global environmental harm that interfere</w:t>
      </w:r>
      <w:r>
        <w:t>s</w:t>
      </w:r>
      <w:r w:rsidRPr="0021203A">
        <w:t xml:space="preserve"> with the full enjoyment of human rights</w:t>
      </w:r>
      <w:r>
        <w:t xml:space="preserve">. </w:t>
      </w:r>
    </w:p>
    <w:p w14:paraId="7DD8132F" w14:textId="77777777" w:rsidR="00D2735B" w:rsidRPr="0011733B" w:rsidRDefault="00D2735B" w:rsidP="00D2735B">
      <w:pPr>
        <w:pStyle w:val="H1G"/>
      </w:pPr>
      <w:r>
        <w:tab/>
        <w:t>B.</w:t>
      </w:r>
      <w:r>
        <w:tab/>
        <w:t>I</w:t>
      </w:r>
      <w:r w:rsidRPr="00DE177D">
        <w:t>nclusiveness in decision-making</w:t>
      </w:r>
      <w:r w:rsidRPr="0011733B">
        <w:t xml:space="preserve"> </w:t>
      </w:r>
    </w:p>
    <w:p w14:paraId="6564DC3F" w14:textId="77777777" w:rsidR="00D2735B" w:rsidRPr="000136D9" w:rsidRDefault="00D2735B" w:rsidP="00D2735B">
      <w:pPr>
        <w:pStyle w:val="SingleTxtG"/>
        <w:rPr>
          <w:b/>
        </w:rPr>
      </w:pPr>
      <w:r>
        <w:t>59.</w:t>
      </w:r>
      <w:r>
        <w:tab/>
      </w:r>
      <w:r>
        <w:rPr>
          <w:lang w:val="en-US"/>
        </w:rPr>
        <w:t>Ongoing NTCP projects have been researched, financed and/or implemented in the Global North while Global South expertise has not been sufficiently included</w:t>
      </w:r>
      <w:r w:rsidRPr="003C03B5">
        <w:rPr>
          <w:lang w:val="en-US"/>
        </w:rPr>
        <w:t xml:space="preserve"> neither in scientific production nor </w:t>
      </w:r>
      <w:r>
        <w:rPr>
          <w:lang w:val="en-US"/>
        </w:rPr>
        <w:t xml:space="preserve">in </w:t>
      </w:r>
      <w:r w:rsidRPr="003C03B5">
        <w:rPr>
          <w:lang w:val="en-US"/>
        </w:rPr>
        <w:t>public debates on the top</w:t>
      </w:r>
      <w:r>
        <w:rPr>
          <w:lang w:val="en-US"/>
        </w:rPr>
        <w:t>ic of NTCPs. Some refer</w:t>
      </w:r>
      <w:r w:rsidRPr="002C2991">
        <w:rPr>
          <w:lang w:val="en-US"/>
        </w:rPr>
        <w:t xml:space="preserve"> </w:t>
      </w:r>
      <w:r>
        <w:rPr>
          <w:lang w:val="en-US"/>
        </w:rPr>
        <w:t xml:space="preserve">to </w:t>
      </w:r>
      <w:r w:rsidRPr="002C2991">
        <w:rPr>
          <w:lang w:val="en-US"/>
        </w:rPr>
        <w:t xml:space="preserve">the operation of international climate institutions </w:t>
      </w:r>
      <w:r>
        <w:rPr>
          <w:lang w:val="en-US"/>
        </w:rPr>
        <w:t>“</w:t>
      </w:r>
      <w:r w:rsidRPr="002C2991">
        <w:rPr>
          <w:lang w:val="en-US"/>
        </w:rPr>
        <w:t>as a form of indirect colonization</w:t>
      </w:r>
      <w:r>
        <w:rPr>
          <w:lang w:val="en-US"/>
        </w:rPr>
        <w:t>” as many of these p</w:t>
      </w:r>
      <w:r w:rsidRPr="002C2991">
        <w:rPr>
          <w:lang w:val="en-US"/>
        </w:rPr>
        <w:t xml:space="preserve">rojects are often envisioned and directed by international institutions that tend to privilege Global North perspectives </w:t>
      </w:r>
      <w:r w:rsidRPr="00DE177D">
        <w:rPr>
          <w:lang w:val="en-US"/>
        </w:rPr>
        <w:t>over Global South contributions.</w:t>
      </w:r>
      <w:r w:rsidRPr="000A0310">
        <w:rPr>
          <w:vertAlign w:val="superscript"/>
          <w:lang w:val="en-US"/>
        </w:rPr>
        <w:t xml:space="preserve"> </w:t>
      </w:r>
      <w:r w:rsidRPr="00DE177D">
        <w:rPr>
          <w:vertAlign w:val="superscript"/>
          <w:lang w:val="en-US"/>
        </w:rPr>
        <w:footnoteReference w:id="77"/>
      </w:r>
      <w:r>
        <w:rPr>
          <w:lang w:val="en-US"/>
        </w:rPr>
        <w:t xml:space="preserve"> </w:t>
      </w:r>
      <w:r w:rsidRPr="00AD6A32">
        <w:t>It has been observed in this regard that “the current scientific and political framework structurally lacks diverse and inclusive representation, rendering participation of those most affected by geoengineering highly unlikely”.</w:t>
      </w:r>
    </w:p>
    <w:p w14:paraId="6962458F" w14:textId="77777777" w:rsidR="00D2735B" w:rsidRDefault="00D2735B" w:rsidP="00D2735B">
      <w:pPr>
        <w:pStyle w:val="SingleTxtG"/>
      </w:pPr>
      <w:r>
        <w:t>60.</w:t>
      </w:r>
      <w:r>
        <w:tab/>
        <w:t>Access to information and public participation in global environmental decisions is of utmost importance when approaching geoengineering proposals. The views and opinions of affected groups, such as Indigenous Peoples and frontline communities who are the most impacted have been ignored.</w:t>
      </w:r>
      <w:r>
        <w:rPr>
          <w:rStyle w:val="FootnoteReference"/>
        </w:rPr>
        <w:footnoteReference w:id="78"/>
      </w:r>
      <w:r>
        <w:t xml:space="preserve"> </w:t>
      </w:r>
      <w:r w:rsidRPr="00AD6A32">
        <w:t xml:space="preserve">This lack of diverse and inclusive representation in science and governance is at odds with the obligation to ensure that everyone enjoys the benefits of scientific progress without discrimination. </w:t>
      </w:r>
    </w:p>
    <w:p w14:paraId="7A1375A2" w14:textId="77777777" w:rsidR="00D2735B" w:rsidRDefault="00D2735B" w:rsidP="00D2735B">
      <w:pPr>
        <w:pStyle w:val="SingleTxtG"/>
      </w:pPr>
      <w:r>
        <w:rPr>
          <w:rFonts w:asciiTheme="majorBidi" w:hAnsiTheme="majorBidi" w:cstheme="majorBidi"/>
          <w:bCs/>
        </w:rPr>
        <w:t>61.</w:t>
      </w:r>
      <w:r>
        <w:rPr>
          <w:rFonts w:asciiTheme="majorBidi" w:hAnsiTheme="majorBidi" w:cstheme="majorBidi"/>
          <w:bCs/>
        </w:rPr>
        <w:tab/>
      </w:r>
      <w:r w:rsidRPr="009B3A19">
        <w:rPr>
          <w:rFonts w:asciiTheme="majorBidi" w:hAnsiTheme="majorBidi" w:cstheme="majorBidi"/>
          <w:bCs/>
        </w:rPr>
        <w:t>Lack of informed consent sought from communities where these technologies are being implemented is of utmost concern. Local communities, professional associations, Indigenous Peoples</w:t>
      </w:r>
      <w:r>
        <w:rPr>
          <w:rFonts w:asciiTheme="majorBidi" w:hAnsiTheme="majorBidi" w:cstheme="majorBidi"/>
          <w:bCs/>
        </w:rPr>
        <w:t>, amongst others,</w:t>
      </w:r>
      <w:r w:rsidRPr="009B3A19">
        <w:rPr>
          <w:rFonts w:asciiTheme="majorBidi" w:hAnsiTheme="majorBidi" w:cstheme="majorBidi"/>
          <w:bCs/>
        </w:rPr>
        <w:t xml:space="preserve"> are not informed about these technologies and their participation is</w:t>
      </w:r>
      <w:r>
        <w:rPr>
          <w:rFonts w:asciiTheme="majorBidi" w:hAnsiTheme="majorBidi" w:cstheme="majorBidi"/>
          <w:bCs/>
        </w:rPr>
        <w:t xml:space="preserve"> often</w:t>
      </w:r>
      <w:r w:rsidRPr="009B3A19">
        <w:rPr>
          <w:rFonts w:asciiTheme="majorBidi" w:hAnsiTheme="majorBidi" w:cstheme="majorBidi"/>
          <w:bCs/>
        </w:rPr>
        <w:t xml:space="preserve"> obstructed. States have the duty to clarify any assumption related to the use of NTCPs and prohibit misinformation from private actors </w:t>
      </w:r>
      <w:proofErr w:type="gramStart"/>
      <w:r w:rsidRPr="009B3A19">
        <w:rPr>
          <w:rFonts w:asciiTheme="majorBidi" w:hAnsiTheme="majorBidi" w:cstheme="majorBidi"/>
          <w:bCs/>
        </w:rPr>
        <w:t>so as to</w:t>
      </w:r>
      <w:proofErr w:type="gramEnd"/>
      <w:r w:rsidRPr="009B3A19">
        <w:rPr>
          <w:rFonts w:asciiTheme="majorBidi" w:hAnsiTheme="majorBidi" w:cstheme="majorBidi"/>
          <w:bCs/>
        </w:rPr>
        <w:t xml:space="preserve"> protect the right to information - in line with the High-Level Expert Group on the Net-Zero Emissions Commitments of Non-State Entities conclusions.</w:t>
      </w:r>
      <w:r w:rsidRPr="009B3A19">
        <w:rPr>
          <w:rStyle w:val="FootnoteReference"/>
          <w:rFonts w:cstheme="majorBidi"/>
          <w:bCs/>
        </w:rPr>
        <w:t xml:space="preserve"> </w:t>
      </w:r>
      <w:r w:rsidRPr="009B3A19">
        <w:rPr>
          <w:rStyle w:val="FootnoteReference"/>
          <w:rFonts w:cstheme="majorBidi"/>
          <w:bCs/>
        </w:rPr>
        <w:footnoteReference w:id="79"/>
      </w:r>
    </w:p>
    <w:p w14:paraId="5794BD43" w14:textId="77777777" w:rsidR="00D2735B" w:rsidRDefault="00D2735B" w:rsidP="00D2735B">
      <w:pPr>
        <w:pStyle w:val="H1G"/>
      </w:pPr>
      <w:r>
        <w:tab/>
        <w:t>C.</w:t>
      </w:r>
      <w:r>
        <w:tab/>
        <w:t xml:space="preserve">Ensuring accountability and oversight </w:t>
      </w:r>
    </w:p>
    <w:p w14:paraId="002DA576" w14:textId="77777777" w:rsidR="00D2735B" w:rsidRDefault="00D2735B" w:rsidP="00D2735B">
      <w:pPr>
        <w:pStyle w:val="SingleTxtG"/>
      </w:pPr>
      <w:r>
        <w:rPr>
          <w:rFonts w:asciiTheme="majorBidi" w:hAnsiTheme="majorBidi" w:cstheme="majorBidi"/>
        </w:rPr>
        <w:t>62.</w:t>
      </w:r>
      <w:r>
        <w:rPr>
          <w:rFonts w:asciiTheme="majorBidi" w:hAnsiTheme="majorBidi" w:cstheme="majorBidi"/>
        </w:rPr>
        <w:tab/>
      </w:r>
      <w:r>
        <w:t xml:space="preserve">Accountability and oversight over research, development, </w:t>
      </w:r>
      <w:proofErr w:type="gramStart"/>
      <w:r>
        <w:t>patenting</w:t>
      </w:r>
      <w:proofErr w:type="gramEnd"/>
      <w:r>
        <w:t xml:space="preserve"> and deployment of geoengineering is critical but there is no way to ensure it</w:t>
      </w:r>
      <w:r w:rsidRPr="006644FD">
        <w:t xml:space="preserve"> </w:t>
      </w:r>
      <w:r>
        <w:t xml:space="preserve">today. </w:t>
      </w:r>
      <w:r w:rsidRPr="00B85176">
        <w:rPr>
          <w:lang w:val="en-US"/>
        </w:rPr>
        <w:t>R</w:t>
      </w:r>
      <w:proofErr w:type="spellStart"/>
      <w:r w:rsidRPr="003E1D64">
        <w:t>isks</w:t>
      </w:r>
      <w:proofErr w:type="spellEnd"/>
      <w:r w:rsidRPr="003E1D64">
        <w:t xml:space="preserve"> and potential of </w:t>
      </w:r>
      <w:r w:rsidRPr="003E1D64">
        <w:lastRenderedPageBreak/>
        <w:t>technical advance</w:t>
      </w:r>
      <w:proofErr w:type="spellStart"/>
      <w:r>
        <w:rPr>
          <w:lang w:val="en-US"/>
        </w:rPr>
        <w:t>ments</w:t>
      </w:r>
      <w:proofErr w:type="spellEnd"/>
      <w:r w:rsidRPr="003E1D64">
        <w:t xml:space="preserve"> or scientific research should be made public in order to enable society, through informed, transparent and participatory public deliberation, to decide whether or not the risks are acceptable.</w:t>
      </w:r>
      <w:r>
        <w:rPr>
          <w:rStyle w:val="FootnoteReference"/>
        </w:rPr>
        <w:footnoteReference w:id="80"/>
      </w:r>
      <w:r w:rsidRPr="003E1D64">
        <w:t xml:space="preserve"> </w:t>
      </w:r>
      <w:r w:rsidRPr="006C1729">
        <w:t xml:space="preserve">As </w:t>
      </w:r>
      <w:r>
        <w:rPr>
          <w:rFonts w:asciiTheme="majorBidi" w:hAnsiTheme="majorBidi" w:cstheme="majorBidi"/>
        </w:rPr>
        <w:t>g</w:t>
      </w:r>
      <w:r w:rsidRPr="0011733B">
        <w:rPr>
          <w:rFonts w:asciiTheme="majorBidi" w:hAnsiTheme="majorBidi" w:cstheme="majorBidi"/>
        </w:rPr>
        <w:t>eoengineering</w:t>
      </w:r>
      <w:r>
        <w:t xml:space="preserve"> offers a great potential for economic profit from </w:t>
      </w:r>
      <w:r w:rsidRPr="0011733B">
        <w:t>NTCPs</w:t>
      </w:r>
      <w:r>
        <w:t>,</w:t>
      </w:r>
      <w:r w:rsidRPr="0011733B">
        <w:t xml:space="preserve"> </w:t>
      </w:r>
      <w:r>
        <w:t>profit maximization could come in the form of engaging in political and economic corruption and lobbying to get contracts and government-funded research as well as participation in regulatory norm-making in a manner that constitutes a conflict of interest.</w:t>
      </w:r>
      <w:r>
        <w:rPr>
          <w:rStyle w:val="FootnoteReference"/>
        </w:rPr>
        <w:footnoteReference w:id="81"/>
      </w:r>
      <w:r>
        <w:t xml:space="preserve"> This may become commonplace also in the carbon offset markets (see Annex 1). Patent and geoengineering technology concentration in a few individuals or corporate actors is the breeding ground for corruptive lobbying or influence buying practices. In this area, most patents are held by a few corporate patent holders, including those in the renewable energy, manufacturing, </w:t>
      </w:r>
      <w:proofErr w:type="gramStart"/>
      <w:r>
        <w:t>oil</w:t>
      </w:r>
      <w:proofErr w:type="gramEnd"/>
      <w:r>
        <w:t xml:space="preserve"> and chemical industries. </w:t>
      </w:r>
      <w:proofErr w:type="gramStart"/>
      <w:r>
        <w:t>Also</w:t>
      </w:r>
      <w:proofErr w:type="gramEnd"/>
      <w:r>
        <w:t xml:space="preserve"> the process of granting patents may not be completely transparent, exacerbating ultimately inequalities between States in relation to patent ownership. </w:t>
      </w:r>
    </w:p>
    <w:p w14:paraId="7231457A" w14:textId="77777777" w:rsidR="00D2735B" w:rsidRPr="000136D9" w:rsidRDefault="00D2735B" w:rsidP="00D2735B">
      <w:pPr>
        <w:pStyle w:val="H1G"/>
      </w:pPr>
      <w:r>
        <w:tab/>
        <w:t>D.</w:t>
      </w:r>
      <w:r>
        <w:tab/>
        <w:t xml:space="preserve">Ensuring access to information, </w:t>
      </w:r>
      <w:proofErr w:type="gramStart"/>
      <w:r>
        <w:t>participation</w:t>
      </w:r>
      <w:proofErr w:type="gramEnd"/>
      <w:r>
        <w:t xml:space="preserve"> and access to justice in environmental matters</w:t>
      </w:r>
      <w:r w:rsidRPr="000136D9">
        <w:t xml:space="preserve"> </w:t>
      </w:r>
    </w:p>
    <w:p w14:paraId="67436091" w14:textId="22FEEE2A" w:rsidR="00D2735B" w:rsidRDefault="00D2735B" w:rsidP="00D2735B">
      <w:pPr>
        <w:pStyle w:val="SingleTxtG"/>
      </w:pPr>
      <w:r>
        <w:t>63.</w:t>
      </w:r>
      <w:r>
        <w:tab/>
      </w:r>
      <w:r w:rsidRPr="0011733B">
        <w:t xml:space="preserve">Inclusive monitoring and independent grievance redress mechanism need to be established </w:t>
      </w:r>
      <w:proofErr w:type="gramStart"/>
      <w:r w:rsidRPr="0011733B">
        <w:t>in order to</w:t>
      </w:r>
      <w:proofErr w:type="gramEnd"/>
      <w:r w:rsidRPr="0011733B">
        <w:t xml:space="preserve"> track potential human rights impacts or risks and ensure access to remedies </w:t>
      </w:r>
      <w:r>
        <w:t>should the</w:t>
      </w:r>
      <w:r w:rsidRPr="0011733B">
        <w:t xml:space="preserve"> NTCPs be deployed.</w:t>
      </w:r>
      <w:r w:rsidRPr="003A4D69">
        <w:t xml:space="preserve"> </w:t>
      </w:r>
      <w:r>
        <w:t xml:space="preserve">Today, the exercise </w:t>
      </w:r>
      <w:r w:rsidRPr="00584CC9">
        <w:t xml:space="preserve">of </w:t>
      </w:r>
      <w:r>
        <w:t>these</w:t>
      </w:r>
      <w:r w:rsidRPr="00584CC9">
        <w:t xml:space="preserve"> rights</w:t>
      </w:r>
      <w:r w:rsidRPr="00584CC9" w:rsidDel="00D3344E">
        <w:t xml:space="preserve"> </w:t>
      </w:r>
      <w:r>
        <w:t>is key to avoid</w:t>
      </w:r>
      <w:r w:rsidRPr="00584CC9">
        <w:t xml:space="preserve"> </w:t>
      </w:r>
      <w:r>
        <w:t>human rights violations and the deprivation of people from enjoying their rights (</w:t>
      </w:r>
      <w:r w:rsidR="00A23505">
        <w:t xml:space="preserve">to </w:t>
      </w:r>
      <w:r w:rsidRPr="00584CC9">
        <w:t xml:space="preserve">life, </w:t>
      </w:r>
      <w:r w:rsidRPr="003A4D69">
        <w:t xml:space="preserve">food, </w:t>
      </w:r>
      <w:r>
        <w:t>healthy</w:t>
      </w:r>
      <w:r w:rsidRPr="003A4D69">
        <w:t xml:space="preserve"> environment, health</w:t>
      </w:r>
      <w:r>
        <w:t xml:space="preserve"> </w:t>
      </w:r>
      <w:r w:rsidRPr="003A4D69">
        <w:t>at a large scale</w:t>
      </w:r>
      <w:r>
        <w:t>) in the future</w:t>
      </w:r>
      <w:r w:rsidRPr="003A4D69">
        <w:t>. Increasingly</w:t>
      </w:r>
      <w:r>
        <w:t xml:space="preserve">, individuals are acting before human rights bodies to request protection against climate change impact both on their </w:t>
      </w:r>
      <w:r w:rsidRPr="00E72537">
        <w:t xml:space="preserve">rights </w:t>
      </w:r>
      <w:r>
        <w:t xml:space="preserve">and on behalf of a more </w:t>
      </w:r>
      <w:proofErr w:type="gramStart"/>
      <w:r>
        <w:t>general public</w:t>
      </w:r>
      <w:proofErr w:type="gramEnd"/>
      <w:r>
        <w:t xml:space="preserve"> interest. These complaints strategically seek that States adopt urgent action to curb emissions in line with the Paris Agreement. </w:t>
      </w:r>
      <w:r w:rsidRPr="00E20AD0">
        <w:t xml:space="preserve">Recognition of the right to a healthy environment has empowered </w:t>
      </w:r>
      <w:r>
        <w:t>people and organizations to exercise it</w:t>
      </w:r>
      <w:r w:rsidRPr="00E20AD0">
        <w:t xml:space="preserve"> including</w:t>
      </w:r>
      <w:r>
        <w:t xml:space="preserve"> by seeking </w:t>
      </w:r>
      <w:r w:rsidRPr="00E20AD0">
        <w:t>access to information, participation in decision-making and access to justice</w:t>
      </w:r>
      <w:r>
        <w:t xml:space="preserve"> in environmental matters.</w:t>
      </w:r>
      <w:r>
        <w:rPr>
          <w:rStyle w:val="FootnoteReference"/>
        </w:rPr>
        <w:footnoteReference w:id="82"/>
      </w:r>
      <w:r>
        <w:t xml:space="preserve"> </w:t>
      </w:r>
    </w:p>
    <w:p w14:paraId="1EDC7DA9" w14:textId="77777777" w:rsidR="00D2735B" w:rsidRPr="0011733B" w:rsidRDefault="00D2735B" w:rsidP="00D2735B">
      <w:pPr>
        <w:pStyle w:val="H1G"/>
      </w:pPr>
      <w:r>
        <w:tab/>
        <w:t>E.</w:t>
      </w:r>
      <w:r>
        <w:tab/>
      </w:r>
      <w:r w:rsidRPr="0011733B">
        <w:t xml:space="preserve">Operationalizing human rights approach and assessments </w:t>
      </w:r>
    </w:p>
    <w:p w14:paraId="0BCD6DDA" w14:textId="77777777" w:rsidR="00D2735B" w:rsidRPr="000B3FD8" w:rsidRDefault="00D2735B" w:rsidP="00D2735B">
      <w:pPr>
        <w:pStyle w:val="SingleTxtG"/>
      </w:pPr>
      <w:r>
        <w:t>64</w:t>
      </w:r>
      <w:r w:rsidRPr="0011733B">
        <w:t>.</w:t>
      </w:r>
      <w:r w:rsidRPr="0011733B">
        <w:tab/>
      </w:r>
      <w:r w:rsidRPr="00663593">
        <w:t xml:space="preserve">Risks assessments are important tools to ensure that human rights are </w:t>
      </w:r>
      <w:r>
        <w:t>protected</w:t>
      </w:r>
      <w:r w:rsidRPr="00663593">
        <w:t xml:space="preserve">, and that States adopt preventive and protective measures to face human rights risks. </w:t>
      </w:r>
      <w:r>
        <w:t>However, an</w:t>
      </w:r>
      <w:r w:rsidRPr="009939FB">
        <w:t xml:space="preserve"> important question is whether </w:t>
      </w:r>
      <w:r>
        <w:t>existing tools allow to</w:t>
      </w:r>
      <w:r w:rsidRPr="009939FB">
        <w:t xml:space="preserve"> determine if </w:t>
      </w:r>
      <w:r>
        <w:t>NTCPs</w:t>
      </w:r>
      <w:r w:rsidRPr="009939FB">
        <w:t xml:space="preserve"> are human rights compliant and mitigate potential impacts</w:t>
      </w:r>
      <w:r>
        <w:t xml:space="preserve"> and if</w:t>
      </w:r>
      <w:r w:rsidRPr="009939FB">
        <w:t xml:space="preserve"> a more institutionalized framework to carry-out human rights standardized assessments is possible.</w:t>
      </w:r>
      <w:r>
        <w:t xml:space="preserve"> </w:t>
      </w:r>
      <w:r w:rsidRPr="00663593">
        <w:t xml:space="preserve">Because of the speculative character of some NTCPs such assessments need to be adjusted to the </w:t>
      </w:r>
      <w:proofErr w:type="gramStart"/>
      <w:r w:rsidRPr="00663593">
        <w:t>particular features</w:t>
      </w:r>
      <w:proofErr w:type="gramEnd"/>
      <w:r w:rsidRPr="00663593">
        <w:t xml:space="preserve"> and potential risks attached to each of these technologies</w:t>
      </w:r>
      <w:r>
        <w:t xml:space="preserve">.  </w:t>
      </w:r>
    </w:p>
    <w:p w14:paraId="62FBF32C" w14:textId="77777777" w:rsidR="00D2735B" w:rsidRDefault="00D2735B" w:rsidP="00D2735B">
      <w:pPr>
        <w:pStyle w:val="HChG"/>
      </w:pPr>
      <w:r>
        <w:tab/>
        <w:t>VI.</w:t>
      </w:r>
      <w:r>
        <w:tab/>
        <w:t>Conclusions</w:t>
      </w:r>
    </w:p>
    <w:p w14:paraId="76ACDAEA" w14:textId="77777777" w:rsidR="00D2735B" w:rsidRDefault="00D2735B" w:rsidP="00D2735B">
      <w:pPr>
        <w:pStyle w:val="Bullet1G"/>
        <w:numPr>
          <w:ilvl w:val="0"/>
          <w:numId w:val="0"/>
        </w:numPr>
        <w:ind w:left="1134"/>
      </w:pPr>
      <w:r>
        <w:t>65.</w:t>
      </w:r>
      <w:r>
        <w:tab/>
      </w:r>
      <w:r w:rsidRPr="00663593">
        <w:t xml:space="preserve">Human rights </w:t>
      </w:r>
      <w:r>
        <w:t>standards and obligations apply to all climate action and should guide decision-making and risk</w:t>
      </w:r>
      <w:r w:rsidRPr="00663593">
        <w:t xml:space="preserve"> assessment </w:t>
      </w:r>
      <w:r>
        <w:t>related to the potential deployment of</w:t>
      </w:r>
      <w:r w:rsidRPr="00663593">
        <w:t xml:space="preserve"> NTCPs. </w:t>
      </w:r>
      <w:r w:rsidRPr="00502152">
        <w:t xml:space="preserve">In the current circumstances, these provisions which </w:t>
      </w:r>
      <w:r>
        <w:t xml:space="preserve">also </w:t>
      </w:r>
      <w:r w:rsidRPr="00502152">
        <w:t xml:space="preserve">reflect fundamental </w:t>
      </w:r>
      <w:r w:rsidRPr="00983F9F">
        <w:t xml:space="preserve">principles of </w:t>
      </w:r>
      <w:r w:rsidRPr="00502152">
        <w:t>humanity</w:t>
      </w:r>
      <w:r>
        <w:t xml:space="preserve"> </w:t>
      </w:r>
      <w:r w:rsidRPr="00502152">
        <w:t xml:space="preserve">advise for a precautionary approach and would justify the imposition of a </w:t>
      </w:r>
      <w:r w:rsidRPr="00B33E29">
        <w:rPr>
          <w:i/>
        </w:rPr>
        <w:t>moratorium</w:t>
      </w:r>
      <w:r w:rsidRPr="00B33E29">
        <w:t xml:space="preserve"> to speculative technologies as long as scientific uncertainty and </w:t>
      </w:r>
      <w:r w:rsidRPr="006C1729">
        <w:t xml:space="preserve">the risk </w:t>
      </w:r>
      <w:r w:rsidRPr="00B33E29">
        <w:t xml:space="preserve">of </w:t>
      </w:r>
      <w:r w:rsidRPr="006C1729">
        <w:t xml:space="preserve">causing serious, </w:t>
      </w:r>
      <w:proofErr w:type="gramStart"/>
      <w:r w:rsidRPr="006C1729">
        <w:t>extensive</w:t>
      </w:r>
      <w:proofErr w:type="gramEnd"/>
      <w:r w:rsidRPr="006C1729">
        <w:t xml:space="preserve"> and irreversible environmental and human damage remain high.</w:t>
      </w:r>
      <w:r w:rsidRPr="00B33E29">
        <w:t xml:space="preserve"> The scope of such regime</w:t>
      </w:r>
      <w:r w:rsidRPr="00502152">
        <w:t xml:space="preserve"> should be defined by the pertinent expert bodies.</w:t>
      </w:r>
      <w:r w:rsidRPr="00502152">
        <w:rPr>
          <w:rStyle w:val="FootnoteReference"/>
          <w:sz w:val="20"/>
        </w:rPr>
        <w:footnoteReference w:id="83"/>
      </w:r>
      <w:r w:rsidRPr="00502152">
        <w:t xml:space="preserve"> </w:t>
      </w:r>
    </w:p>
    <w:p w14:paraId="60572D7B" w14:textId="7E445C15" w:rsidR="00D2735B" w:rsidRPr="00FA3B1A" w:rsidRDefault="00D2735B" w:rsidP="00D2735B">
      <w:pPr>
        <w:pStyle w:val="SingleTxtG"/>
        <w:rPr>
          <w:rFonts w:asciiTheme="majorBidi" w:hAnsiTheme="majorBidi" w:cstheme="majorBidi"/>
          <w:bCs/>
          <w:iCs/>
        </w:rPr>
      </w:pPr>
      <w:r>
        <w:t>66.</w:t>
      </w:r>
      <w:r>
        <w:tab/>
        <w:t xml:space="preserve">NTCPs interfere with the enjoyment of human rights and can </w:t>
      </w:r>
      <w:r>
        <w:rPr>
          <w:rFonts w:asciiTheme="majorBidi" w:hAnsiTheme="majorBidi" w:cstheme="majorBidi"/>
          <w:bCs/>
          <w:iCs/>
        </w:rPr>
        <w:t xml:space="preserve">cause </w:t>
      </w:r>
      <w:r w:rsidRPr="00663593">
        <w:rPr>
          <w:rFonts w:asciiTheme="majorBidi" w:hAnsiTheme="majorBidi" w:cstheme="majorBidi"/>
          <w:bCs/>
          <w:iCs/>
        </w:rPr>
        <w:t>physical, political, social risks to frontline communities</w:t>
      </w:r>
      <w:r>
        <w:rPr>
          <w:rFonts w:asciiTheme="majorBidi" w:hAnsiTheme="majorBidi" w:cstheme="majorBidi"/>
          <w:bCs/>
          <w:iCs/>
        </w:rPr>
        <w:t xml:space="preserve">, including Indigenous </w:t>
      </w:r>
      <w:r w:rsidRPr="00663593">
        <w:rPr>
          <w:rFonts w:asciiTheme="majorBidi" w:hAnsiTheme="majorBidi" w:cstheme="majorBidi"/>
          <w:bCs/>
          <w:iCs/>
        </w:rPr>
        <w:t xml:space="preserve">Peoples, </w:t>
      </w:r>
      <w:r>
        <w:rPr>
          <w:rFonts w:asciiTheme="majorBidi" w:hAnsiTheme="majorBidi" w:cstheme="majorBidi"/>
          <w:bCs/>
          <w:iCs/>
        </w:rPr>
        <w:t xml:space="preserve">and harm the </w:t>
      </w:r>
      <w:r w:rsidRPr="00663593">
        <w:rPr>
          <w:rFonts w:asciiTheme="majorBidi" w:hAnsiTheme="majorBidi" w:cstheme="majorBidi"/>
          <w:bCs/>
          <w:iCs/>
        </w:rPr>
        <w:t>environment</w:t>
      </w:r>
      <w:r>
        <w:rPr>
          <w:rFonts w:asciiTheme="majorBidi" w:hAnsiTheme="majorBidi" w:cstheme="majorBidi"/>
          <w:bCs/>
          <w:iCs/>
        </w:rPr>
        <w:t>. There is</w:t>
      </w:r>
      <w:r w:rsidRPr="00663593">
        <w:rPr>
          <w:rFonts w:asciiTheme="majorBidi" w:hAnsiTheme="majorBidi" w:cstheme="majorBidi"/>
          <w:bCs/>
          <w:iCs/>
        </w:rPr>
        <w:t xml:space="preserve"> scientific uncertainty</w:t>
      </w:r>
      <w:r>
        <w:rPr>
          <w:rFonts w:asciiTheme="majorBidi" w:hAnsiTheme="majorBidi" w:cstheme="majorBidi"/>
          <w:bCs/>
          <w:iCs/>
        </w:rPr>
        <w:t xml:space="preserve"> about their scalability, further effects and there </w:t>
      </w:r>
      <w:r>
        <w:rPr>
          <w:rFonts w:asciiTheme="majorBidi" w:hAnsiTheme="majorBidi" w:cstheme="majorBidi"/>
          <w:bCs/>
          <w:iCs/>
        </w:rPr>
        <w:lastRenderedPageBreak/>
        <w:t xml:space="preserve">exist less risky alternatives. </w:t>
      </w:r>
      <w:r>
        <w:rPr>
          <w:lang w:val="en-US"/>
        </w:rPr>
        <w:t>I</w:t>
      </w:r>
      <w:r w:rsidRPr="00663593">
        <w:rPr>
          <w:lang w:val="en-US"/>
        </w:rPr>
        <w:t xml:space="preserve">t is urgent to underscore that </w:t>
      </w:r>
      <w:proofErr w:type="gramStart"/>
      <w:r w:rsidRPr="00663593">
        <w:rPr>
          <w:lang w:val="en-US"/>
        </w:rPr>
        <w:t>as long as</w:t>
      </w:r>
      <w:proofErr w:type="gramEnd"/>
      <w:r w:rsidRPr="00663593">
        <w:rPr>
          <w:lang w:val="en-US"/>
        </w:rPr>
        <w:t xml:space="preserve"> emissions are not globally cut</w:t>
      </w:r>
      <w:r>
        <w:rPr>
          <w:lang w:val="en-US"/>
        </w:rPr>
        <w:t>,</w:t>
      </w:r>
      <w:r w:rsidRPr="00663593">
        <w:rPr>
          <w:lang w:val="en-US"/>
        </w:rPr>
        <w:t xml:space="preserve"> the development of any such technology and policies supporting them are not </w:t>
      </w:r>
      <w:r w:rsidRPr="005F0CDB">
        <w:t>sufficient to meet the protective standards of the human rights regime</w:t>
      </w:r>
      <w:r>
        <w:rPr>
          <w:lang w:val="en-US"/>
        </w:rPr>
        <w:t xml:space="preserve">. </w:t>
      </w:r>
      <w:r>
        <w:rPr>
          <w:rFonts w:asciiTheme="majorBidi" w:hAnsiTheme="majorBidi" w:cstheme="majorBidi"/>
          <w:bCs/>
          <w:iCs/>
        </w:rPr>
        <w:t>W</w:t>
      </w:r>
      <w:r>
        <w:t>ithout</w:t>
      </w:r>
      <w:r w:rsidRPr="00BF765E">
        <w:t xml:space="preserve"> an adequate protection framework</w:t>
      </w:r>
      <w:r>
        <w:t>, it</w:t>
      </w:r>
      <w:r w:rsidRPr="00BF765E">
        <w:t xml:space="preserve"> is hard to envisage how technologies </w:t>
      </w:r>
      <w:r>
        <w:t xml:space="preserve">aimed at manipulating climate </w:t>
      </w:r>
      <w:r w:rsidRPr="00BF765E">
        <w:t>could be developed and used for the good of humankind.</w:t>
      </w:r>
      <w:r>
        <w:t xml:space="preserve"> </w:t>
      </w:r>
      <w:r>
        <w:rPr>
          <w:rFonts w:asciiTheme="majorBidi" w:hAnsiTheme="majorBidi" w:cstheme="majorBidi"/>
          <w:bCs/>
          <w:iCs/>
        </w:rPr>
        <w:t xml:space="preserve">At this stage of their development, </w:t>
      </w:r>
      <w:r w:rsidRPr="00983F9F">
        <w:rPr>
          <w:rFonts w:asciiTheme="majorBidi" w:hAnsiTheme="majorBidi" w:cstheme="majorBidi"/>
          <w:bCs/>
          <w:iCs/>
        </w:rPr>
        <w:t>given the lack of sufficient knowledge as to their risks</w:t>
      </w:r>
      <w:r w:rsidRPr="006C1729">
        <w:rPr>
          <w:rFonts w:asciiTheme="majorBidi" w:hAnsiTheme="majorBidi" w:cstheme="majorBidi"/>
          <w:bCs/>
          <w:iCs/>
        </w:rPr>
        <w:t xml:space="preserve"> and </w:t>
      </w:r>
      <w:r>
        <w:rPr>
          <w:rFonts w:asciiTheme="majorBidi" w:hAnsiTheme="majorBidi" w:cstheme="majorBidi"/>
          <w:bCs/>
          <w:iCs/>
        </w:rPr>
        <w:t xml:space="preserve">adverse </w:t>
      </w:r>
      <w:r w:rsidRPr="006C1729">
        <w:rPr>
          <w:rFonts w:asciiTheme="majorBidi" w:hAnsiTheme="majorBidi" w:cstheme="majorBidi"/>
          <w:bCs/>
          <w:iCs/>
        </w:rPr>
        <w:t>impacts</w:t>
      </w:r>
      <w:r w:rsidRPr="00983F9F">
        <w:rPr>
          <w:rFonts w:asciiTheme="majorBidi" w:hAnsiTheme="majorBidi" w:cstheme="majorBidi"/>
          <w:bCs/>
          <w:iCs/>
        </w:rPr>
        <w:t>, a presumption may apply</w:t>
      </w:r>
      <w:r>
        <w:rPr>
          <w:rFonts w:asciiTheme="majorBidi" w:hAnsiTheme="majorBidi" w:cstheme="majorBidi"/>
          <w:bCs/>
          <w:iCs/>
        </w:rPr>
        <w:t xml:space="preserve"> that all NTCPs </w:t>
      </w:r>
      <w:r w:rsidRPr="00983F9F">
        <w:rPr>
          <w:rFonts w:asciiTheme="majorBidi" w:hAnsiTheme="majorBidi" w:cstheme="majorBidi"/>
          <w:bCs/>
          <w:iCs/>
        </w:rPr>
        <w:t>are generally harmful</w:t>
      </w:r>
      <w:r w:rsidRPr="00011493">
        <w:rPr>
          <w:rFonts w:asciiTheme="majorBidi" w:hAnsiTheme="majorBidi" w:cstheme="majorBidi"/>
          <w:bCs/>
          <w:iCs/>
          <w:lang w:val="en-US"/>
        </w:rPr>
        <w:t xml:space="preserve"> </w:t>
      </w:r>
      <w:r w:rsidRPr="00663593">
        <w:rPr>
          <w:rFonts w:asciiTheme="majorBidi" w:hAnsiTheme="majorBidi" w:cstheme="majorBidi"/>
          <w:bCs/>
          <w:iCs/>
        </w:rPr>
        <w:t>to human rights</w:t>
      </w:r>
      <w:r>
        <w:rPr>
          <w:rFonts w:asciiTheme="majorBidi" w:hAnsiTheme="majorBidi" w:cstheme="majorBidi"/>
          <w:bCs/>
          <w:iCs/>
        </w:rPr>
        <w:t xml:space="preserve"> and </w:t>
      </w:r>
      <w:r w:rsidR="0013648E">
        <w:rPr>
          <w:rFonts w:asciiTheme="majorBidi" w:hAnsiTheme="majorBidi" w:cstheme="majorBidi"/>
          <w:bCs/>
          <w:iCs/>
        </w:rPr>
        <w:t xml:space="preserve">their </w:t>
      </w:r>
      <w:r>
        <w:rPr>
          <w:rFonts w:asciiTheme="majorBidi" w:hAnsiTheme="majorBidi" w:cstheme="majorBidi"/>
          <w:bCs/>
          <w:iCs/>
        </w:rPr>
        <w:t>deployment would be contrary to existing States obligations. B</w:t>
      </w:r>
      <w:r w:rsidRPr="00663593">
        <w:rPr>
          <w:rFonts w:asciiTheme="majorBidi" w:hAnsiTheme="majorBidi" w:cstheme="majorBidi"/>
          <w:bCs/>
          <w:iCs/>
        </w:rPr>
        <w:t>ecause of the moral hazard</w:t>
      </w:r>
      <w:r>
        <w:rPr>
          <w:rFonts w:asciiTheme="majorBidi" w:hAnsiTheme="majorBidi" w:cstheme="majorBidi"/>
          <w:bCs/>
          <w:iCs/>
        </w:rPr>
        <w:t xml:space="preserve"> risk, </w:t>
      </w:r>
      <w:r w:rsidRPr="00663593">
        <w:rPr>
          <w:rFonts w:asciiTheme="majorBidi" w:hAnsiTheme="majorBidi" w:cstheme="majorBidi"/>
          <w:bCs/>
          <w:iCs/>
        </w:rPr>
        <w:t>they obstruct emission cuts and systemic changes</w:t>
      </w:r>
      <w:r>
        <w:rPr>
          <w:rFonts w:asciiTheme="majorBidi" w:hAnsiTheme="majorBidi" w:cstheme="majorBidi"/>
          <w:bCs/>
          <w:iCs/>
        </w:rPr>
        <w:t xml:space="preserve">. </w:t>
      </w:r>
    </w:p>
    <w:p w14:paraId="0B78A5DF" w14:textId="2FBA3F0E" w:rsidR="00D2735B" w:rsidRPr="0040695F" w:rsidRDefault="00D2735B" w:rsidP="00D2735B">
      <w:pPr>
        <w:pStyle w:val="SingleTxtG"/>
        <w:rPr>
          <w:lang w:val="en-US"/>
        </w:rPr>
      </w:pPr>
      <w:r>
        <w:t>67.</w:t>
      </w:r>
      <w:r>
        <w:tab/>
      </w:r>
      <w:r w:rsidRPr="00663593">
        <w:t xml:space="preserve">Restrictive regulations </w:t>
      </w:r>
      <w:r>
        <w:t>including potentially a</w:t>
      </w:r>
      <w:r w:rsidRPr="00663593">
        <w:t xml:space="preserve"> </w:t>
      </w:r>
      <w:r w:rsidRPr="00663593">
        <w:rPr>
          <w:i/>
        </w:rPr>
        <w:t>moratorium</w:t>
      </w:r>
      <w:r w:rsidRPr="00663593">
        <w:t xml:space="preserve"> should be </w:t>
      </w:r>
      <w:r>
        <w:t>adopted and implemented</w:t>
      </w:r>
      <w:r w:rsidRPr="00663593">
        <w:t xml:space="preserve"> when large and </w:t>
      </w:r>
      <w:r>
        <w:t>foreseeable</w:t>
      </w:r>
      <w:r w:rsidRPr="00663593">
        <w:t xml:space="preserve"> negative impacts can be advance and rationally expected</w:t>
      </w:r>
      <w:r>
        <w:t xml:space="preserve">. They should be kept in force </w:t>
      </w:r>
      <w:proofErr w:type="gramStart"/>
      <w:r w:rsidRPr="00663593">
        <w:t>as long as</w:t>
      </w:r>
      <w:proofErr w:type="gramEnd"/>
      <w:r w:rsidRPr="00663593">
        <w:t xml:space="preserve"> the contrary is not proven</w:t>
      </w:r>
      <w:r>
        <w:t xml:space="preserve"> with regard to each existing and future technology separately</w:t>
      </w:r>
      <w:r w:rsidRPr="00663593">
        <w:t>.</w:t>
      </w:r>
      <w:r w:rsidRPr="00663593">
        <w:rPr>
          <w:rStyle w:val="FootnoteReference"/>
        </w:rPr>
        <w:footnoteReference w:id="84"/>
      </w:r>
      <w:r w:rsidRPr="00663593">
        <w:t xml:space="preserve"> This approach is coherent with the UNFCCC framework </w:t>
      </w:r>
      <w:r>
        <w:t>by means of which</w:t>
      </w:r>
      <w:r w:rsidRPr="00663593">
        <w:t xml:space="preserve"> States </w:t>
      </w:r>
      <w:r>
        <w:t xml:space="preserve">are called to </w:t>
      </w:r>
      <w:r w:rsidRPr="00663593">
        <w:t xml:space="preserve">“respect, promote and consider their respective obligations on human rights” in the context of action to combat climate change. IPCC has warned against overreliance on unproven technologies that could disrupt natural systems and disproportionately harm Global South </w:t>
      </w:r>
      <w:proofErr w:type="gramStart"/>
      <w:r w:rsidRPr="00663593">
        <w:t>communities</w:t>
      </w:r>
      <w:r>
        <w:t>, and</w:t>
      </w:r>
      <w:proofErr w:type="gramEnd"/>
      <w:r>
        <w:t xml:space="preserve"> </w:t>
      </w:r>
      <w:r w:rsidRPr="00A979E7">
        <w:rPr>
          <w:lang w:val="en-US"/>
        </w:rPr>
        <w:t>undersc</w:t>
      </w:r>
      <w:r>
        <w:rPr>
          <w:lang w:val="en-US"/>
        </w:rPr>
        <w:t>ored the central role of the principle of transparency of climate action.</w:t>
      </w:r>
      <w:r w:rsidRPr="00663593">
        <w:t xml:space="preserve"> Human </w:t>
      </w:r>
      <w:r>
        <w:t>r</w:t>
      </w:r>
      <w:r w:rsidRPr="00663593">
        <w:t xml:space="preserve">ights bodies and mechanisms have expressed concerns related to large-scale projects that may have massive impacts on human rights, severely disrupting </w:t>
      </w:r>
      <w:proofErr w:type="gramStart"/>
      <w:r w:rsidRPr="00663593">
        <w:t>ocean</w:t>
      </w:r>
      <w:proofErr w:type="gramEnd"/>
      <w:r w:rsidRPr="00663593">
        <w:t xml:space="preserve"> and terrestrial ecosystems, interfering with food production and harming biodiversity. </w:t>
      </w:r>
      <w:r w:rsidRPr="006C1729">
        <w:t xml:space="preserve">Calls from experts, </w:t>
      </w:r>
      <w:proofErr w:type="gramStart"/>
      <w:r w:rsidRPr="006C1729">
        <w:t>scientists</w:t>
      </w:r>
      <w:proofErr w:type="gramEnd"/>
      <w:r w:rsidRPr="006C1729">
        <w:t xml:space="preserve"> and civil society for a complete ban on certain large-scale geoengineering projects cannot be ignored either, when it comes to </w:t>
      </w:r>
      <w:r w:rsidRPr="006C1729">
        <w:rPr>
          <w:bCs/>
          <w:lang w:val="en-US"/>
        </w:rPr>
        <w:t>SRM, specifically</w:t>
      </w:r>
      <w:r>
        <w:rPr>
          <w:bCs/>
          <w:lang w:val="en-US"/>
        </w:rPr>
        <w:t xml:space="preserve"> Stratospheric Aerosol Injection (</w:t>
      </w:r>
      <w:r w:rsidRPr="006C1729">
        <w:rPr>
          <w:bCs/>
          <w:lang w:val="en-US"/>
        </w:rPr>
        <w:t>SAI</w:t>
      </w:r>
      <w:r>
        <w:rPr>
          <w:bCs/>
          <w:lang w:val="en-US"/>
        </w:rPr>
        <w:t>)</w:t>
      </w:r>
      <w:r w:rsidRPr="006C1729">
        <w:rPr>
          <w:bCs/>
          <w:lang w:val="en-US"/>
        </w:rPr>
        <w:t xml:space="preserve">, which </w:t>
      </w:r>
      <w:r w:rsidRPr="006C1729">
        <w:rPr>
          <w:bCs/>
        </w:rPr>
        <w:t>can endanger human rights in the most extensive and unimaginable way. SRM is ungovernable, which warrants a ban on its development and implementation, as well as regulation of related research.</w:t>
      </w:r>
    </w:p>
    <w:p w14:paraId="2E801BDA" w14:textId="21E6FB2B" w:rsidR="00D2735B" w:rsidRPr="00CD6223" w:rsidRDefault="00D2735B" w:rsidP="00D2735B">
      <w:pPr>
        <w:pStyle w:val="SingleTxtG"/>
      </w:pPr>
      <w:r>
        <w:t>68.</w:t>
      </w:r>
      <w:r>
        <w:tab/>
      </w:r>
      <w:r w:rsidRPr="00663593">
        <w:t xml:space="preserve">Under the current </w:t>
      </w:r>
      <w:r>
        <w:t xml:space="preserve">international </w:t>
      </w:r>
      <w:r w:rsidRPr="00663593">
        <w:t xml:space="preserve">circumstances, the adoption of a multilateral treaty to regulate </w:t>
      </w:r>
      <w:r>
        <w:t>NTCPs or geoengineering more broadly</w:t>
      </w:r>
      <w:r w:rsidRPr="00663593">
        <w:t xml:space="preserve"> </w:t>
      </w:r>
      <w:r>
        <w:t>is unlikely,</w:t>
      </w:r>
      <w:r w:rsidRPr="00663593">
        <w:t xml:space="preserve"> but </w:t>
      </w:r>
      <w:r>
        <w:t>it is crucial to underscore</w:t>
      </w:r>
      <w:r w:rsidRPr="00663593">
        <w:t xml:space="preserve"> the human rights norms and standards</w:t>
      </w:r>
      <w:r>
        <w:t xml:space="preserve"> that remain</w:t>
      </w:r>
      <w:r w:rsidRPr="00663593">
        <w:t xml:space="preserve"> applicable to the development of </w:t>
      </w:r>
      <w:r w:rsidR="0013648E">
        <w:t>NTCPs</w:t>
      </w:r>
      <w:r w:rsidRPr="00663593">
        <w:t xml:space="preserve"> </w:t>
      </w:r>
      <w:r>
        <w:t>and</w:t>
      </w:r>
      <w:r w:rsidRPr="00663593">
        <w:t xml:space="preserve"> should be guiding policy and decision-makers. A set of principles could be drawn from relevant texts, such as the </w:t>
      </w:r>
      <w:r>
        <w:rPr>
          <w:rStyle w:val="hgkelc"/>
          <w:lang w:val="en"/>
        </w:rPr>
        <w:t>2011</w:t>
      </w:r>
      <w:r w:rsidRPr="00663593">
        <w:rPr>
          <w:rStyle w:val="hgkelc"/>
          <w:lang w:val="en"/>
        </w:rPr>
        <w:t xml:space="preserve"> Guiding Principles on Business and Human Rights, the </w:t>
      </w:r>
      <w:r>
        <w:rPr>
          <w:rStyle w:val="hgkelc"/>
          <w:lang w:val="en"/>
        </w:rPr>
        <w:t xml:space="preserve">2018 </w:t>
      </w:r>
      <w:r w:rsidRPr="00663593">
        <w:rPr>
          <w:rStyle w:val="hgkelc"/>
          <w:lang w:val="en"/>
        </w:rPr>
        <w:t xml:space="preserve">Framework Principles on Human Rights and the Environment </w:t>
      </w:r>
      <w:r>
        <w:rPr>
          <w:rStyle w:val="hgkelc"/>
          <w:lang w:val="en"/>
        </w:rPr>
        <w:t xml:space="preserve">and </w:t>
      </w:r>
      <w:r w:rsidRPr="00663593">
        <w:rPr>
          <w:rStyle w:val="hgkelc"/>
          <w:lang w:val="en"/>
        </w:rPr>
        <w:t xml:space="preserve">the </w:t>
      </w:r>
      <w:r>
        <w:rPr>
          <w:rStyle w:val="hgkelc"/>
          <w:lang w:val="en"/>
        </w:rPr>
        <w:t xml:space="preserve">2020 </w:t>
      </w:r>
      <w:r w:rsidRPr="00663593">
        <w:rPr>
          <w:rStyle w:val="hgkelc"/>
          <w:lang w:val="en"/>
        </w:rPr>
        <w:t>CESC</w:t>
      </w:r>
      <w:r>
        <w:rPr>
          <w:rStyle w:val="hgkelc"/>
          <w:lang w:val="en"/>
        </w:rPr>
        <w:t>R</w:t>
      </w:r>
      <w:r w:rsidRPr="00663593">
        <w:rPr>
          <w:rStyle w:val="hgkelc"/>
          <w:lang w:val="en"/>
        </w:rPr>
        <w:t xml:space="preserve"> General Comment No. 25</w:t>
      </w:r>
      <w:r>
        <w:rPr>
          <w:rStyle w:val="hgkelc"/>
          <w:lang w:val="en"/>
        </w:rPr>
        <w:t>.</w:t>
      </w:r>
    </w:p>
    <w:p w14:paraId="03B94ABF" w14:textId="353E6CAD" w:rsidR="00D2735B" w:rsidRPr="00B6132B" w:rsidRDefault="00D2735B" w:rsidP="00D2735B">
      <w:pPr>
        <w:pStyle w:val="SingleTxtG"/>
        <w:rPr>
          <w:rFonts w:asciiTheme="majorBidi" w:hAnsiTheme="majorBidi" w:cstheme="majorBidi"/>
          <w:bCs/>
          <w:lang w:val="en-US"/>
        </w:rPr>
      </w:pPr>
      <w:r>
        <w:rPr>
          <w:rFonts w:asciiTheme="majorBidi" w:hAnsiTheme="majorBidi" w:cstheme="majorBidi"/>
          <w:bCs/>
        </w:rPr>
        <w:t>69</w:t>
      </w:r>
      <w:r w:rsidRPr="00473F0B">
        <w:rPr>
          <w:rFonts w:asciiTheme="majorBidi" w:hAnsiTheme="majorBidi" w:cstheme="majorBidi"/>
          <w:bCs/>
        </w:rPr>
        <w:t>.</w:t>
      </w:r>
      <w:r w:rsidRPr="00473F0B">
        <w:rPr>
          <w:rFonts w:asciiTheme="majorBidi" w:hAnsiTheme="majorBidi" w:cstheme="majorBidi"/>
          <w:bCs/>
        </w:rPr>
        <w:tab/>
      </w:r>
      <w:r>
        <w:rPr>
          <w:rFonts w:asciiTheme="majorBidi" w:hAnsiTheme="majorBidi" w:cstheme="majorBidi"/>
          <w:bCs/>
        </w:rPr>
        <w:t>B</w:t>
      </w:r>
      <w:r w:rsidRPr="00473F0B">
        <w:rPr>
          <w:rFonts w:asciiTheme="majorBidi" w:hAnsiTheme="majorBidi" w:cstheme="majorBidi"/>
          <w:bCs/>
        </w:rPr>
        <w:t xml:space="preserve">uilding confidence among public opinion and ensuring participation of the most affected populations is an indispensable requirement </w:t>
      </w:r>
      <w:proofErr w:type="gramStart"/>
      <w:r w:rsidRPr="00473F0B">
        <w:rPr>
          <w:rFonts w:asciiTheme="majorBidi" w:hAnsiTheme="majorBidi" w:cstheme="majorBidi"/>
          <w:bCs/>
        </w:rPr>
        <w:t>in order to</w:t>
      </w:r>
      <w:proofErr w:type="gramEnd"/>
      <w:r w:rsidRPr="00473F0B">
        <w:rPr>
          <w:rFonts w:asciiTheme="majorBidi" w:hAnsiTheme="majorBidi" w:cstheme="majorBidi"/>
          <w:bCs/>
        </w:rPr>
        <w:t xml:space="preserve"> take the decision </w:t>
      </w:r>
      <w:r>
        <w:rPr>
          <w:rFonts w:asciiTheme="majorBidi" w:hAnsiTheme="majorBidi" w:cstheme="majorBidi"/>
          <w:bCs/>
        </w:rPr>
        <w:t>about a concrete</w:t>
      </w:r>
      <w:r w:rsidRPr="00473F0B">
        <w:rPr>
          <w:rFonts w:asciiTheme="majorBidi" w:hAnsiTheme="majorBidi" w:cstheme="majorBidi"/>
          <w:bCs/>
        </w:rPr>
        <w:t xml:space="preserve"> NTCP. These decisions should be </w:t>
      </w:r>
      <w:r w:rsidRPr="00B15889">
        <w:rPr>
          <w:rFonts w:asciiTheme="majorBidi" w:hAnsiTheme="majorBidi" w:cstheme="majorBidi"/>
          <w:bCs/>
        </w:rPr>
        <w:t xml:space="preserve">informed by </w:t>
      </w:r>
      <w:r w:rsidRPr="006C1729">
        <w:rPr>
          <w:rFonts w:asciiTheme="majorBidi" w:hAnsiTheme="majorBidi" w:cstheme="majorBidi"/>
          <w:bCs/>
          <w:lang w:val="en-US"/>
        </w:rPr>
        <w:t xml:space="preserve">scientific </w:t>
      </w:r>
      <w:r>
        <w:rPr>
          <w:rFonts w:asciiTheme="majorBidi" w:hAnsiTheme="majorBidi" w:cstheme="majorBidi"/>
          <w:bCs/>
          <w:lang w:val="en-US"/>
        </w:rPr>
        <w:t xml:space="preserve">knowledge, </w:t>
      </w:r>
      <w:r w:rsidRPr="00B15889">
        <w:rPr>
          <w:rFonts w:asciiTheme="majorBidi" w:hAnsiTheme="majorBidi" w:cstheme="majorBidi"/>
          <w:bCs/>
        </w:rPr>
        <w:t xml:space="preserve">cultural values, Indigenous </w:t>
      </w:r>
      <w:r w:rsidRPr="006C1729">
        <w:rPr>
          <w:rFonts w:asciiTheme="majorBidi" w:hAnsiTheme="majorBidi" w:cstheme="majorBidi"/>
          <w:bCs/>
        </w:rPr>
        <w:t>and</w:t>
      </w:r>
      <w:r w:rsidRPr="00B15889">
        <w:rPr>
          <w:rFonts w:asciiTheme="majorBidi" w:hAnsiTheme="majorBidi" w:cstheme="majorBidi"/>
          <w:bCs/>
        </w:rPr>
        <w:t xml:space="preserve"> local</w:t>
      </w:r>
      <w:r w:rsidRPr="006C1729">
        <w:rPr>
          <w:rFonts w:asciiTheme="majorBidi" w:hAnsiTheme="majorBidi" w:cstheme="majorBidi"/>
          <w:bCs/>
        </w:rPr>
        <w:t xml:space="preserve"> </w:t>
      </w:r>
      <w:r w:rsidRPr="00B15889">
        <w:rPr>
          <w:rFonts w:asciiTheme="majorBidi" w:hAnsiTheme="majorBidi" w:cstheme="majorBidi"/>
          <w:bCs/>
        </w:rPr>
        <w:t>knowledge</w:t>
      </w:r>
      <w:r w:rsidRPr="006C1729">
        <w:rPr>
          <w:rFonts w:asciiTheme="majorBidi" w:hAnsiTheme="majorBidi" w:cstheme="majorBidi"/>
          <w:bCs/>
        </w:rPr>
        <w:t xml:space="preserve"> </w:t>
      </w:r>
      <w:r w:rsidRPr="00B15889">
        <w:rPr>
          <w:rFonts w:asciiTheme="majorBidi" w:hAnsiTheme="majorBidi" w:cstheme="majorBidi"/>
          <w:bCs/>
          <w:lang w:val="en-US"/>
        </w:rPr>
        <w:t xml:space="preserve">to </w:t>
      </w:r>
      <w:r>
        <w:rPr>
          <w:rFonts w:asciiTheme="majorBidi" w:hAnsiTheme="majorBidi" w:cstheme="majorBidi"/>
          <w:bCs/>
          <w:lang w:val="en-US"/>
        </w:rPr>
        <w:t xml:space="preserve">adequately </w:t>
      </w:r>
      <w:r w:rsidRPr="00B15889">
        <w:rPr>
          <w:rFonts w:asciiTheme="majorBidi" w:hAnsiTheme="majorBidi" w:cstheme="majorBidi"/>
          <w:bCs/>
        </w:rPr>
        <w:t>address adaptation gaps and avoid maladaptation</w:t>
      </w:r>
      <w:r w:rsidRPr="00B15889">
        <w:rPr>
          <w:rFonts w:asciiTheme="majorBidi" w:hAnsiTheme="majorBidi" w:cstheme="majorBidi"/>
          <w:bCs/>
          <w:lang w:val="en-US"/>
        </w:rPr>
        <w:t>.</w:t>
      </w:r>
      <w:r>
        <w:rPr>
          <w:rFonts w:asciiTheme="majorBidi" w:hAnsiTheme="majorBidi" w:cstheme="majorBidi"/>
          <w:bCs/>
          <w:lang w:val="en-US"/>
        </w:rPr>
        <w:t xml:space="preserve"> Often practice has demonstrated the opposite</w:t>
      </w:r>
      <w:r w:rsidRPr="005D56C4">
        <w:rPr>
          <w:rFonts w:asciiTheme="majorBidi" w:hAnsiTheme="majorBidi" w:cstheme="majorBidi"/>
          <w:bCs/>
          <w:lang w:val="en-US"/>
        </w:rPr>
        <w:t>.</w:t>
      </w:r>
      <w:r w:rsidRPr="005D56C4">
        <w:rPr>
          <w:rFonts w:asciiTheme="majorBidi" w:hAnsiTheme="majorBidi" w:cstheme="majorBidi"/>
          <w:bCs/>
        </w:rPr>
        <w:t xml:space="preserve"> Lack of informed consent sought from communities where </w:t>
      </w:r>
      <w:r w:rsidR="008F3E58">
        <w:rPr>
          <w:rFonts w:asciiTheme="majorBidi" w:hAnsiTheme="majorBidi" w:cstheme="majorBidi"/>
          <w:bCs/>
        </w:rPr>
        <w:t>NTCPs</w:t>
      </w:r>
      <w:r w:rsidRPr="005D56C4">
        <w:rPr>
          <w:rFonts w:asciiTheme="majorBidi" w:hAnsiTheme="majorBidi" w:cstheme="majorBidi"/>
          <w:bCs/>
        </w:rPr>
        <w:t xml:space="preserve"> are being implemented and general obstruction of participation goes against </w:t>
      </w:r>
      <w:r>
        <w:rPr>
          <w:rFonts w:asciiTheme="majorBidi" w:hAnsiTheme="majorBidi" w:cstheme="majorBidi"/>
          <w:bCs/>
        </w:rPr>
        <w:t xml:space="preserve">the principle of transparency and </w:t>
      </w:r>
      <w:r w:rsidRPr="005D56C4">
        <w:rPr>
          <w:rFonts w:asciiTheme="majorBidi" w:hAnsiTheme="majorBidi" w:cstheme="majorBidi"/>
          <w:bCs/>
        </w:rPr>
        <w:t xml:space="preserve">States duty to prohibit misinformation from private actors </w:t>
      </w:r>
      <w:proofErr w:type="gramStart"/>
      <w:r w:rsidRPr="005D56C4">
        <w:rPr>
          <w:rFonts w:asciiTheme="majorBidi" w:hAnsiTheme="majorBidi" w:cstheme="majorBidi"/>
          <w:bCs/>
        </w:rPr>
        <w:t>so as to</w:t>
      </w:r>
      <w:proofErr w:type="gramEnd"/>
      <w:r w:rsidRPr="005D56C4">
        <w:rPr>
          <w:rFonts w:asciiTheme="majorBidi" w:hAnsiTheme="majorBidi" w:cstheme="majorBidi"/>
          <w:bCs/>
        </w:rPr>
        <w:t xml:space="preserve"> protect the right to information</w:t>
      </w:r>
      <w:r>
        <w:rPr>
          <w:rFonts w:asciiTheme="majorBidi" w:hAnsiTheme="majorBidi" w:cstheme="majorBidi"/>
          <w:bCs/>
        </w:rPr>
        <w:t xml:space="preserve"> also jeopardizing other human rights</w:t>
      </w:r>
      <w:r w:rsidRPr="005D56C4">
        <w:rPr>
          <w:rFonts w:asciiTheme="majorBidi" w:hAnsiTheme="majorBidi" w:cstheme="majorBidi"/>
          <w:bCs/>
        </w:rPr>
        <w:t>.</w:t>
      </w:r>
    </w:p>
    <w:p w14:paraId="76753EFA" w14:textId="36DBEA56" w:rsidR="00D2735B" w:rsidRPr="0086442D" w:rsidRDefault="00D2735B" w:rsidP="00D2735B">
      <w:pPr>
        <w:pStyle w:val="SingleTxtG"/>
        <w:rPr>
          <w:rFonts w:asciiTheme="majorBidi" w:hAnsiTheme="majorBidi" w:cstheme="majorBidi"/>
          <w:bCs/>
        </w:rPr>
      </w:pPr>
      <w:r>
        <w:rPr>
          <w:rFonts w:asciiTheme="majorBidi" w:hAnsiTheme="majorBidi" w:cstheme="majorBidi"/>
          <w:bCs/>
        </w:rPr>
        <w:t>70.</w:t>
      </w:r>
      <w:r>
        <w:rPr>
          <w:rFonts w:asciiTheme="majorBidi" w:hAnsiTheme="majorBidi" w:cstheme="majorBidi"/>
          <w:bCs/>
        </w:rPr>
        <w:tab/>
        <w:t>There are positive and feasible alternatives to NTCPs. E</w:t>
      </w:r>
      <w:r w:rsidRPr="0086442D">
        <w:rPr>
          <w:rFonts w:asciiTheme="majorBidi" w:hAnsiTheme="majorBidi" w:cstheme="majorBidi"/>
          <w:bCs/>
        </w:rPr>
        <w:t>xisting proposals and low-cost technologies address</w:t>
      </w:r>
      <w:r w:rsidR="00561B84">
        <w:rPr>
          <w:rFonts w:asciiTheme="majorBidi" w:hAnsiTheme="majorBidi" w:cstheme="majorBidi"/>
          <w:bCs/>
        </w:rPr>
        <w:t>ing</w:t>
      </w:r>
      <w:r w:rsidRPr="0086442D">
        <w:rPr>
          <w:rFonts w:asciiTheme="majorBidi" w:hAnsiTheme="majorBidi" w:cstheme="majorBidi"/>
          <w:bCs/>
        </w:rPr>
        <w:t xml:space="preserve"> climate change </w:t>
      </w:r>
      <w:r>
        <w:rPr>
          <w:rFonts w:asciiTheme="majorBidi" w:hAnsiTheme="majorBidi" w:cstheme="majorBidi"/>
          <w:bCs/>
        </w:rPr>
        <w:t>and its drivers</w:t>
      </w:r>
      <w:r w:rsidRPr="006C1729">
        <w:rPr>
          <w:rFonts w:asciiTheme="majorBidi" w:hAnsiTheme="majorBidi" w:cstheme="majorBidi"/>
          <w:bCs/>
        </w:rPr>
        <w:t xml:space="preserve"> </w:t>
      </w:r>
      <w:r>
        <w:rPr>
          <w:rFonts w:asciiTheme="majorBidi" w:hAnsiTheme="majorBidi" w:cstheme="majorBidi"/>
          <w:bCs/>
        </w:rPr>
        <w:t xml:space="preserve">should be considered. </w:t>
      </w:r>
      <w:r w:rsidRPr="006C1729">
        <w:rPr>
          <w:rFonts w:asciiTheme="majorBidi" w:hAnsiTheme="majorBidi" w:cstheme="majorBidi"/>
          <w:bCs/>
        </w:rPr>
        <w:t>Ma</w:t>
      </w:r>
      <w:r w:rsidRPr="0086442D">
        <w:rPr>
          <w:rFonts w:asciiTheme="majorBidi" w:hAnsiTheme="majorBidi" w:cstheme="majorBidi"/>
          <w:bCs/>
        </w:rPr>
        <w:t>ny of</w:t>
      </w:r>
      <w:r w:rsidRPr="006C1729">
        <w:rPr>
          <w:rFonts w:asciiTheme="majorBidi" w:hAnsiTheme="majorBidi" w:cstheme="majorBidi"/>
          <w:bCs/>
        </w:rPr>
        <w:t xml:space="preserve"> them </w:t>
      </w:r>
      <w:r w:rsidRPr="0086442D">
        <w:rPr>
          <w:rFonts w:asciiTheme="majorBidi" w:hAnsiTheme="majorBidi" w:cstheme="majorBidi"/>
          <w:bCs/>
        </w:rPr>
        <w:t xml:space="preserve">have been tested and carry little </w:t>
      </w:r>
      <w:r w:rsidR="00561B84">
        <w:rPr>
          <w:rFonts w:asciiTheme="majorBidi" w:hAnsiTheme="majorBidi" w:cstheme="majorBidi"/>
          <w:bCs/>
        </w:rPr>
        <w:t>risk</w:t>
      </w:r>
      <w:r w:rsidRPr="0086442D">
        <w:rPr>
          <w:rFonts w:asciiTheme="majorBidi" w:hAnsiTheme="majorBidi" w:cstheme="majorBidi"/>
          <w:bCs/>
        </w:rPr>
        <w:t xml:space="preserve"> but provide benefits for people and the planet. </w:t>
      </w:r>
      <w:r>
        <w:rPr>
          <w:rFonts w:asciiTheme="majorBidi" w:hAnsiTheme="majorBidi" w:cstheme="majorBidi"/>
          <w:bCs/>
          <w:lang w:val="en-US"/>
        </w:rPr>
        <w:t>T</w:t>
      </w:r>
      <w:r w:rsidRPr="0086442D">
        <w:rPr>
          <w:rFonts w:asciiTheme="majorBidi" w:hAnsiTheme="majorBidi" w:cstheme="majorBidi"/>
          <w:bCs/>
        </w:rPr>
        <w:t xml:space="preserve">he existence of such proven low-risk approaches </w:t>
      </w:r>
      <w:r>
        <w:rPr>
          <w:rFonts w:asciiTheme="majorBidi" w:hAnsiTheme="majorBidi" w:cstheme="majorBidi"/>
          <w:bCs/>
          <w:lang w:val="en-US"/>
        </w:rPr>
        <w:t>should</w:t>
      </w:r>
      <w:r w:rsidRPr="0086442D">
        <w:rPr>
          <w:rFonts w:asciiTheme="majorBidi" w:hAnsiTheme="majorBidi" w:cstheme="majorBidi"/>
          <w:bCs/>
        </w:rPr>
        <w:t xml:space="preserve"> make the use of NTCP</w:t>
      </w:r>
      <w:r>
        <w:rPr>
          <w:rFonts w:asciiTheme="majorBidi" w:hAnsiTheme="majorBidi" w:cstheme="majorBidi"/>
          <w:bCs/>
          <w:lang w:val="en-US"/>
        </w:rPr>
        <w:t>s</w:t>
      </w:r>
      <w:r w:rsidRPr="0086442D">
        <w:rPr>
          <w:rFonts w:asciiTheme="majorBidi" w:hAnsiTheme="majorBidi" w:cstheme="majorBidi"/>
          <w:bCs/>
        </w:rPr>
        <w:t xml:space="preserve"> </w:t>
      </w:r>
      <w:r>
        <w:rPr>
          <w:rFonts w:asciiTheme="majorBidi" w:hAnsiTheme="majorBidi" w:cstheme="majorBidi"/>
          <w:bCs/>
        </w:rPr>
        <w:t xml:space="preserve">untenable under human rights and environmental law, including the rigorous application of </w:t>
      </w:r>
      <w:r w:rsidRPr="0086442D">
        <w:rPr>
          <w:rFonts w:asciiTheme="majorBidi" w:hAnsiTheme="majorBidi" w:cstheme="majorBidi"/>
          <w:bCs/>
        </w:rPr>
        <w:t xml:space="preserve">the precautionary principle. </w:t>
      </w:r>
    </w:p>
    <w:p w14:paraId="0AFDE280" w14:textId="77777777" w:rsidR="00D2735B" w:rsidRPr="0086634E" w:rsidRDefault="00D2735B" w:rsidP="00D2735B">
      <w:pPr>
        <w:pStyle w:val="HChG"/>
        <w:rPr>
          <w:lang w:val="en-US"/>
        </w:rPr>
      </w:pPr>
      <w:r>
        <w:rPr>
          <w:lang w:val="en-US"/>
        </w:rPr>
        <w:lastRenderedPageBreak/>
        <w:tab/>
        <w:t>VII.</w:t>
      </w:r>
      <w:r>
        <w:rPr>
          <w:lang w:val="en-US"/>
        </w:rPr>
        <w:tab/>
      </w:r>
      <w:r w:rsidRPr="00B57CC8">
        <w:t>Recommendations</w:t>
      </w:r>
    </w:p>
    <w:p w14:paraId="48E70EB5" w14:textId="77777777" w:rsidR="00D2735B" w:rsidRPr="000A4812" w:rsidRDefault="00D2735B" w:rsidP="00D2735B">
      <w:pPr>
        <w:pStyle w:val="H1G"/>
        <w:rPr>
          <w:lang w:val="en-US"/>
        </w:rPr>
      </w:pPr>
      <w:r>
        <w:tab/>
        <w:t>A.</w:t>
      </w:r>
      <w:r>
        <w:tab/>
      </w:r>
      <w:r>
        <w:tab/>
      </w:r>
      <w:r w:rsidRPr="00703CBA">
        <w:t xml:space="preserve">International </w:t>
      </w:r>
      <w:r>
        <w:t>c</w:t>
      </w:r>
      <w:r w:rsidRPr="00703CBA">
        <w:t>ommunity</w:t>
      </w:r>
      <w:r>
        <w:t>, S</w:t>
      </w:r>
      <w:r w:rsidRPr="00703CBA">
        <w:t xml:space="preserve">tates and </w:t>
      </w:r>
      <w:proofErr w:type="gramStart"/>
      <w:r w:rsidRPr="00703CBA">
        <w:t>policy-makers</w:t>
      </w:r>
      <w:proofErr w:type="gramEnd"/>
    </w:p>
    <w:p w14:paraId="632C1729" w14:textId="2DB9B5A4" w:rsidR="00D2735B" w:rsidRPr="00A46D2E" w:rsidRDefault="00D2735B" w:rsidP="00D2735B">
      <w:pPr>
        <w:pStyle w:val="Bullet1G"/>
        <w:numPr>
          <w:ilvl w:val="0"/>
          <w:numId w:val="8"/>
        </w:numPr>
        <w:kinsoku/>
        <w:overflowPunct/>
        <w:autoSpaceDE/>
        <w:autoSpaceDN/>
        <w:adjustRightInd/>
        <w:snapToGrid/>
      </w:pPr>
      <w:r>
        <w:rPr>
          <w:lang w:val="en"/>
        </w:rPr>
        <w:t>T</w:t>
      </w:r>
      <w:r w:rsidRPr="00CE12D8">
        <w:rPr>
          <w:lang w:val="en"/>
        </w:rPr>
        <w:t xml:space="preserve">he </w:t>
      </w:r>
      <w:r>
        <w:rPr>
          <w:lang w:val="en"/>
        </w:rPr>
        <w:t>main</w:t>
      </w:r>
      <w:r w:rsidRPr="00CE12D8">
        <w:rPr>
          <w:lang w:val="en"/>
        </w:rPr>
        <w:t xml:space="preserve"> way for States to be human rights-compliant is to rapid</w:t>
      </w:r>
      <w:r>
        <w:rPr>
          <w:lang w:val="en"/>
        </w:rPr>
        <w:t>ly</w:t>
      </w:r>
      <w:r w:rsidRPr="00CE12D8">
        <w:rPr>
          <w:lang w:val="en"/>
        </w:rPr>
        <w:t xml:space="preserve"> phase out </w:t>
      </w:r>
      <w:r>
        <w:rPr>
          <w:lang w:val="en"/>
        </w:rPr>
        <w:t>fossil fuels only through</w:t>
      </w:r>
      <w:r w:rsidRPr="00CE12D8">
        <w:rPr>
          <w:lang w:val="en"/>
        </w:rPr>
        <w:t xml:space="preserve"> viable, scientifically proven technologies and approaches. </w:t>
      </w:r>
      <w:r>
        <w:rPr>
          <w:lang w:val="en-US"/>
        </w:rPr>
        <w:t>R</w:t>
      </w:r>
      <w:proofErr w:type="spellStart"/>
      <w:r w:rsidRPr="00B15889">
        <w:t>apid</w:t>
      </w:r>
      <w:proofErr w:type="spellEnd"/>
      <w:r w:rsidRPr="00B15889">
        <w:t xml:space="preserve"> emission </w:t>
      </w:r>
      <w:r>
        <w:rPr>
          <w:lang w:val="en-US"/>
        </w:rPr>
        <w:t>cuts,</w:t>
      </w:r>
      <w:r w:rsidRPr="00B15889">
        <w:t xml:space="preserve"> </w:t>
      </w:r>
      <w:r w:rsidRPr="00B5659A">
        <w:t xml:space="preserve">minimization of the negative impacts of livestock </w:t>
      </w:r>
      <w:proofErr w:type="spellStart"/>
      <w:r w:rsidRPr="00B5659A">
        <w:t>farmin</w:t>
      </w:r>
      <w:proofErr w:type="spellEnd"/>
      <w:r w:rsidRPr="00B5659A">
        <w:rPr>
          <w:lang w:val="en-US"/>
        </w:rPr>
        <w:t xml:space="preserve">g, </w:t>
      </w:r>
      <w:r w:rsidR="002F4BCE">
        <w:rPr>
          <w:lang w:val="en-US"/>
        </w:rPr>
        <w:t>and</w:t>
      </w:r>
      <w:r w:rsidRPr="00B5659A">
        <w:rPr>
          <w:lang w:val="en-US"/>
        </w:rPr>
        <w:t xml:space="preserve"> some </w:t>
      </w:r>
      <w:r w:rsidRPr="00B5659A">
        <w:t>nature-based solutions such as peatland, mangrove and forest management</w:t>
      </w:r>
      <w:r w:rsidRPr="00B5659A">
        <w:rPr>
          <w:lang w:val="en-US"/>
        </w:rPr>
        <w:t xml:space="preserve"> should form the core of a sustainable, rights-based pathway to mitigate climate change. </w:t>
      </w:r>
      <w:r w:rsidRPr="00B5659A">
        <w:t>Proposals to phase out fossil fuels, including for a fossil fuel non-proliferation treaty, are aligned with State obligations to respect and protect human rights from the adverse effects of climate change.</w:t>
      </w:r>
    </w:p>
    <w:p w14:paraId="2D815ED5" w14:textId="77777777" w:rsidR="00D2735B" w:rsidRPr="00DE4BCE" w:rsidRDefault="00D2735B" w:rsidP="00D2735B">
      <w:pPr>
        <w:pStyle w:val="Bullet1G"/>
        <w:numPr>
          <w:ilvl w:val="0"/>
          <w:numId w:val="8"/>
        </w:numPr>
      </w:pPr>
      <w:r w:rsidRPr="00DE4BCE">
        <w:t xml:space="preserve">States should rigorously apply the precautionary principle and develop and conduct meaningful, comprehensive risk, human </w:t>
      </w:r>
      <w:proofErr w:type="gramStart"/>
      <w:r w:rsidRPr="00DE4BCE">
        <w:t>rights</w:t>
      </w:r>
      <w:proofErr w:type="gramEnd"/>
      <w:r w:rsidRPr="00DE4BCE">
        <w:t xml:space="preserve"> and environmental impact assessments. Such assessments should be conducted by independent and impartial bodies (paying particular attention to avoid conflicts of interest) and with public participation and oversight. Their results shall be made public and inform measures to prevent any potential harm resulting from the development and use of </w:t>
      </w:r>
      <w:proofErr w:type="gramStart"/>
      <w:r w:rsidRPr="00DE4BCE">
        <w:t>NTCPs, and</w:t>
      </w:r>
      <w:proofErr w:type="gramEnd"/>
      <w:r w:rsidRPr="00DE4BCE">
        <w:t xml:space="preserve"> cease and remedy where applicable.</w:t>
      </w:r>
    </w:p>
    <w:p w14:paraId="571FCA2C" w14:textId="77777777" w:rsidR="00D2735B" w:rsidRPr="00A46D2E" w:rsidRDefault="00D2735B" w:rsidP="00D2735B">
      <w:pPr>
        <w:pStyle w:val="Bullet1G"/>
        <w:numPr>
          <w:ilvl w:val="0"/>
          <w:numId w:val="8"/>
        </w:numPr>
        <w:kinsoku/>
        <w:overflowPunct/>
        <w:autoSpaceDE/>
        <w:autoSpaceDN/>
        <w:adjustRightInd/>
        <w:snapToGrid/>
      </w:pPr>
      <w:r>
        <w:rPr>
          <w:lang w:val="en"/>
        </w:rPr>
        <w:t xml:space="preserve">States </w:t>
      </w:r>
      <w:r w:rsidRPr="006C1729">
        <w:rPr>
          <w:lang w:val="en"/>
        </w:rPr>
        <w:t xml:space="preserve">should adopt and implement restrictive regulations on SRM experiments, where necessary, </w:t>
      </w:r>
      <w:r w:rsidRPr="006C1729">
        <w:t>including</w:t>
      </w:r>
      <w:r w:rsidRPr="00A46D2E">
        <w:t xml:space="preserve"> a ban on outdoor experiments, while only allowing conditional and controlled research</w:t>
      </w:r>
      <w:r w:rsidRPr="00A46D2E">
        <w:rPr>
          <w:lang w:val="en-US"/>
        </w:rPr>
        <w:t>.</w:t>
      </w:r>
      <w:r>
        <w:rPr>
          <w:lang w:val="en-US"/>
        </w:rPr>
        <w:t xml:space="preserve"> The lack of a mechanism to prevent the development of harmful SRM techniques should be addressed in a manner that includes the Global South, climate vulnerable states and communities.</w:t>
      </w:r>
    </w:p>
    <w:p w14:paraId="799BEE0C" w14:textId="77777777" w:rsidR="00D2735B" w:rsidRPr="00A46D2E" w:rsidRDefault="00D2735B" w:rsidP="00D2735B">
      <w:pPr>
        <w:pStyle w:val="Bullet1G"/>
        <w:numPr>
          <w:ilvl w:val="0"/>
          <w:numId w:val="8"/>
        </w:numPr>
        <w:kinsoku/>
        <w:overflowPunct/>
        <w:autoSpaceDE/>
        <w:autoSpaceDN/>
        <w:adjustRightInd/>
        <w:snapToGrid/>
      </w:pPr>
      <w:r>
        <w:t xml:space="preserve">States shall consider </w:t>
      </w:r>
      <w:r>
        <w:rPr>
          <w:lang w:val="en"/>
        </w:rPr>
        <w:t xml:space="preserve">disincentivizing </w:t>
      </w:r>
      <w:r w:rsidRPr="00A46D2E">
        <w:rPr>
          <w:lang w:val="en"/>
        </w:rPr>
        <w:t>CDR NTCPs development</w:t>
      </w:r>
      <w:r w:rsidRPr="00CE12D8">
        <w:rPr>
          <w:lang w:val="en"/>
        </w:rPr>
        <w:t xml:space="preserve"> and deployment</w:t>
      </w:r>
      <w:r>
        <w:rPr>
          <w:lang w:val="en"/>
        </w:rPr>
        <w:t>, also through</w:t>
      </w:r>
      <w:r>
        <w:t xml:space="preserve"> </w:t>
      </w:r>
      <w:r>
        <w:rPr>
          <w:lang w:val="en"/>
        </w:rPr>
        <w:t>w</w:t>
      </w:r>
      <w:r w:rsidRPr="00A46D2E">
        <w:rPr>
          <w:lang w:val="en"/>
        </w:rPr>
        <w:t>ithhold</w:t>
      </w:r>
      <w:r>
        <w:rPr>
          <w:lang w:val="en"/>
        </w:rPr>
        <w:t>ing</w:t>
      </w:r>
      <w:r w:rsidRPr="00A46D2E">
        <w:rPr>
          <w:lang w:val="en"/>
        </w:rPr>
        <w:t xml:space="preserve"> public support (including funding) to</w:t>
      </w:r>
      <w:r>
        <w:rPr>
          <w:lang w:val="en"/>
        </w:rPr>
        <w:t xml:space="preserve"> them, requiring research to be non-profit, while showing transparency, including by disclosing that financed by the fossil fuel industry.</w:t>
      </w:r>
    </w:p>
    <w:p w14:paraId="6E082A0F" w14:textId="77777777" w:rsidR="00D2735B" w:rsidRPr="00070BA0" w:rsidRDefault="00D2735B" w:rsidP="00D2735B">
      <w:pPr>
        <w:pStyle w:val="Bullet1G"/>
        <w:numPr>
          <w:ilvl w:val="0"/>
          <w:numId w:val="8"/>
        </w:numPr>
        <w:kinsoku/>
        <w:overflowPunct/>
        <w:autoSpaceDE/>
        <w:autoSpaceDN/>
        <w:adjustRightInd/>
        <w:snapToGrid/>
      </w:pPr>
      <w:r w:rsidRPr="00070BA0">
        <w:rPr>
          <w:lang w:val="en-US"/>
        </w:rPr>
        <w:t xml:space="preserve">States shall put in place effective procedures to seek the free prior and informed consent of Indigenous Peoples and meaningfully consult peasants, local communities, and other affected or particularly interested groups. </w:t>
      </w:r>
    </w:p>
    <w:p w14:paraId="4A426A46" w14:textId="77777777" w:rsidR="00D2735B" w:rsidRPr="006C1729" w:rsidRDefault="00D2735B" w:rsidP="00D2735B">
      <w:pPr>
        <w:pStyle w:val="Bullet1G"/>
        <w:numPr>
          <w:ilvl w:val="0"/>
          <w:numId w:val="8"/>
        </w:numPr>
        <w:kinsoku/>
        <w:overflowPunct/>
        <w:autoSpaceDE/>
        <w:autoSpaceDN/>
        <w:adjustRightInd/>
        <w:snapToGrid/>
      </w:pPr>
      <w:r>
        <w:rPr>
          <w:lang w:val="en-US"/>
        </w:rPr>
        <w:t xml:space="preserve">In cases where the effects of NTCPs research transcends a </w:t>
      </w:r>
      <w:proofErr w:type="gramStart"/>
      <w:r>
        <w:rPr>
          <w:lang w:val="en-US"/>
        </w:rPr>
        <w:t>State’s</w:t>
      </w:r>
      <w:proofErr w:type="gramEnd"/>
      <w:r>
        <w:rPr>
          <w:lang w:val="en-US"/>
        </w:rPr>
        <w:t xml:space="preserve"> jurisdiction, under all circumstances the entity carrying out such works should ensure that human rights assessments are integrated in their work and specific protocols to assess human rights impacts are developed in advance and accept public accountability. </w:t>
      </w:r>
    </w:p>
    <w:p w14:paraId="70F3DDC3" w14:textId="77777777" w:rsidR="00D2735B" w:rsidRPr="000136D9" w:rsidRDefault="00D2735B" w:rsidP="00D2735B">
      <w:pPr>
        <w:pStyle w:val="Bullet1G"/>
        <w:numPr>
          <w:ilvl w:val="0"/>
          <w:numId w:val="8"/>
        </w:numPr>
        <w:kinsoku/>
        <w:overflowPunct/>
        <w:autoSpaceDE/>
        <w:autoSpaceDN/>
        <w:adjustRightInd/>
        <w:snapToGrid/>
      </w:pPr>
      <w:r>
        <w:rPr>
          <w:lang w:val="en-US"/>
        </w:rPr>
        <w:t xml:space="preserve">Given limited financial and human resources, research on GHG emissions reductions should be given utmost priority. Expert bodies should be entitled to monitor and evaluate such assessments and to address recommendations to relevant decision-making bodies. </w:t>
      </w:r>
    </w:p>
    <w:p w14:paraId="568F75FA" w14:textId="77777777" w:rsidR="00D2735B" w:rsidRPr="002C7BA3" w:rsidRDefault="00D2735B" w:rsidP="00D2735B">
      <w:pPr>
        <w:pStyle w:val="Bullet1G"/>
        <w:numPr>
          <w:ilvl w:val="0"/>
          <w:numId w:val="8"/>
        </w:numPr>
        <w:kinsoku/>
        <w:overflowPunct/>
        <w:autoSpaceDE/>
        <w:autoSpaceDN/>
        <w:adjustRightInd/>
        <w:snapToGrid/>
        <w:rPr>
          <w:lang w:val="en-US"/>
        </w:rPr>
      </w:pPr>
      <w:r>
        <w:rPr>
          <w:lang w:val="en-US"/>
        </w:rPr>
        <w:t xml:space="preserve">States should enhance public participation in the scientific and broad public debate about NTCPs by including voices from the Global South, women, people of </w:t>
      </w:r>
      <w:proofErr w:type="spellStart"/>
      <w:r>
        <w:rPr>
          <w:lang w:val="en-US"/>
        </w:rPr>
        <w:t>colour</w:t>
      </w:r>
      <w:proofErr w:type="spellEnd"/>
      <w:r>
        <w:rPr>
          <w:lang w:val="en-US"/>
        </w:rPr>
        <w:t>, Indigenous Peoples and frontline communities.</w:t>
      </w:r>
    </w:p>
    <w:p w14:paraId="58ADE6A3" w14:textId="77777777" w:rsidR="00D2735B" w:rsidRDefault="00D2735B" w:rsidP="00D2735B">
      <w:pPr>
        <w:pStyle w:val="H1G"/>
      </w:pPr>
      <w:r>
        <w:tab/>
        <w:t>B.</w:t>
      </w:r>
      <w:r>
        <w:tab/>
      </w:r>
      <w:r w:rsidRPr="00665805">
        <w:t xml:space="preserve">Human Rights Council and </w:t>
      </w:r>
      <w:r>
        <w:t xml:space="preserve">Special </w:t>
      </w:r>
      <w:r w:rsidRPr="00665805">
        <w:t xml:space="preserve">Mechanisms </w:t>
      </w:r>
    </w:p>
    <w:p w14:paraId="2275EDDB" w14:textId="11C0F724" w:rsidR="00D2735B" w:rsidRPr="003F2D85" w:rsidRDefault="00D2735B" w:rsidP="00D2735B">
      <w:pPr>
        <w:pStyle w:val="Bullet1G"/>
        <w:numPr>
          <w:ilvl w:val="0"/>
          <w:numId w:val="8"/>
        </w:numPr>
        <w:kinsoku/>
        <w:overflowPunct/>
        <w:autoSpaceDE/>
        <w:autoSpaceDN/>
        <w:adjustRightInd/>
        <w:snapToGrid/>
      </w:pPr>
      <w:r w:rsidRPr="003118DF">
        <w:t>H</w:t>
      </w:r>
      <w:proofErr w:type="spellStart"/>
      <w:r w:rsidRPr="00A979E7">
        <w:rPr>
          <w:lang w:val="en-US"/>
        </w:rPr>
        <w:t>uman</w:t>
      </w:r>
      <w:proofErr w:type="spellEnd"/>
      <w:r w:rsidRPr="00A979E7">
        <w:rPr>
          <w:lang w:val="en-US"/>
        </w:rPr>
        <w:t xml:space="preserve"> right</w:t>
      </w:r>
      <w:r>
        <w:rPr>
          <w:lang w:val="en-US"/>
        </w:rPr>
        <w:t xml:space="preserve">s </w:t>
      </w:r>
      <w:r w:rsidRPr="00A979E7">
        <w:rPr>
          <w:lang w:val="en-US"/>
        </w:rPr>
        <w:t>treaty</w:t>
      </w:r>
      <w:r>
        <w:rPr>
          <w:lang w:val="en-US"/>
        </w:rPr>
        <w:t xml:space="preserve"> </w:t>
      </w:r>
      <w:proofErr w:type="spellStart"/>
      <w:r w:rsidRPr="00A979E7">
        <w:rPr>
          <w:lang w:val="en-US"/>
        </w:rPr>
        <w:t>b</w:t>
      </w:r>
      <w:r>
        <w:rPr>
          <w:lang w:val="en-US"/>
        </w:rPr>
        <w:t>odie</w:t>
      </w:r>
      <w:proofErr w:type="spellEnd"/>
      <w:r w:rsidRPr="003118DF">
        <w:t>s</w:t>
      </w:r>
      <w:r>
        <w:t xml:space="preserve">, special rapporteurs </w:t>
      </w:r>
      <w:r w:rsidRPr="003118DF">
        <w:t xml:space="preserve">and the </w:t>
      </w:r>
      <w:r w:rsidR="002F4BCE">
        <w:t>UPR</w:t>
      </w:r>
      <w:r>
        <w:rPr>
          <w:lang w:val="en-US"/>
        </w:rPr>
        <w:t xml:space="preserve"> shall</w:t>
      </w:r>
      <w:r w:rsidRPr="003118DF">
        <w:t xml:space="preserve"> address the impacts and risks posed by deployment of NTCPs and the adequacy of national frameworks to effectively regulate and manage those risks</w:t>
      </w:r>
      <w:r w:rsidRPr="00A979E7">
        <w:rPr>
          <w:lang w:val="en-US"/>
        </w:rPr>
        <w:t>.</w:t>
      </w:r>
    </w:p>
    <w:p w14:paraId="2132C0F4" w14:textId="2D96593C" w:rsidR="00D2735B" w:rsidRPr="00A46D2E" w:rsidRDefault="00D2735B" w:rsidP="00D2735B">
      <w:pPr>
        <w:pStyle w:val="Bullet1G"/>
        <w:numPr>
          <w:ilvl w:val="0"/>
          <w:numId w:val="8"/>
        </w:numPr>
        <w:kinsoku/>
        <w:overflowPunct/>
        <w:autoSpaceDE/>
        <w:autoSpaceDN/>
        <w:adjustRightInd/>
        <w:snapToGrid/>
      </w:pPr>
      <w:r w:rsidRPr="00663593">
        <w:rPr>
          <w:rStyle w:val="hgkelc"/>
          <w:lang w:val="en"/>
        </w:rPr>
        <w:t>The Special Rapporteur</w:t>
      </w:r>
      <w:r w:rsidR="002F4BCE">
        <w:rPr>
          <w:rStyle w:val="hgkelc"/>
          <w:lang w:val="en"/>
        </w:rPr>
        <w:t>s</w:t>
      </w:r>
      <w:r w:rsidRPr="00663593">
        <w:rPr>
          <w:rStyle w:val="hgkelc"/>
          <w:lang w:val="en"/>
        </w:rPr>
        <w:t xml:space="preserve"> </w:t>
      </w:r>
      <w:r>
        <w:rPr>
          <w:rStyle w:val="hgkelc"/>
          <w:lang w:val="en"/>
        </w:rPr>
        <w:t>(SR</w:t>
      </w:r>
      <w:r w:rsidR="002F4BCE">
        <w:rPr>
          <w:rStyle w:val="hgkelc"/>
          <w:lang w:val="en"/>
        </w:rPr>
        <w:t>s</w:t>
      </w:r>
      <w:r>
        <w:rPr>
          <w:rStyle w:val="hgkelc"/>
          <w:lang w:val="en"/>
        </w:rPr>
        <w:t xml:space="preserve">) </w:t>
      </w:r>
      <w:r w:rsidRPr="00663593">
        <w:rPr>
          <w:rStyle w:val="hgkelc"/>
          <w:lang w:val="en"/>
        </w:rPr>
        <w:t>on climate change</w:t>
      </w:r>
      <w:r>
        <w:rPr>
          <w:rStyle w:val="hgkelc"/>
          <w:lang w:val="en"/>
        </w:rPr>
        <w:t xml:space="preserve">, on toxics and human rights and </w:t>
      </w:r>
      <w:r w:rsidRPr="00663593">
        <w:rPr>
          <w:rStyle w:val="hgkelc"/>
          <w:lang w:val="en"/>
        </w:rPr>
        <w:t>on environment lead th</w:t>
      </w:r>
      <w:r>
        <w:rPr>
          <w:rStyle w:val="hgkelc"/>
          <w:lang w:val="en"/>
        </w:rPr>
        <w:t>e</w:t>
      </w:r>
      <w:r w:rsidRPr="00663593">
        <w:rPr>
          <w:rStyle w:val="hgkelc"/>
          <w:lang w:val="en"/>
        </w:rPr>
        <w:t xml:space="preserve"> process</w:t>
      </w:r>
      <w:r>
        <w:rPr>
          <w:rStyle w:val="hgkelc"/>
          <w:lang w:val="en"/>
        </w:rPr>
        <w:t xml:space="preserve"> of </w:t>
      </w:r>
      <w:r>
        <w:t>a ho</w:t>
      </w:r>
      <w:r w:rsidRPr="00A46D2E">
        <w:t>listic and coherent interpretation of environmental and human rights frameworks</w:t>
      </w:r>
      <w:r>
        <w:t xml:space="preserve"> in the context of NTCPs. </w:t>
      </w:r>
    </w:p>
    <w:p w14:paraId="332114AD" w14:textId="77777777" w:rsidR="00D2735B" w:rsidRPr="00A46D2E" w:rsidRDefault="00D2735B" w:rsidP="00D2735B">
      <w:pPr>
        <w:pStyle w:val="Bullet1G"/>
        <w:numPr>
          <w:ilvl w:val="0"/>
          <w:numId w:val="8"/>
        </w:numPr>
        <w:kinsoku/>
        <w:overflowPunct/>
        <w:autoSpaceDE/>
        <w:autoSpaceDN/>
        <w:adjustRightInd/>
        <w:snapToGrid/>
      </w:pPr>
      <w:r>
        <w:rPr>
          <w:lang w:val="en-US"/>
        </w:rPr>
        <w:lastRenderedPageBreak/>
        <w:t>Propose means to e</w:t>
      </w:r>
      <w:r w:rsidRPr="00665805">
        <w:rPr>
          <w:lang w:val="en-US"/>
        </w:rPr>
        <w:t xml:space="preserve">nhance the </w:t>
      </w:r>
      <w:r>
        <w:rPr>
          <w:lang w:val="en-US"/>
        </w:rPr>
        <w:t>protection of rights</w:t>
      </w:r>
      <w:r w:rsidRPr="00665805">
        <w:rPr>
          <w:lang w:val="en-US"/>
        </w:rPr>
        <w:t xml:space="preserve"> of </w:t>
      </w:r>
      <w:r w:rsidRPr="00B15889">
        <w:t xml:space="preserve">potentially affected communities and </w:t>
      </w:r>
      <w:r>
        <w:t xml:space="preserve">groups, including </w:t>
      </w:r>
      <w:r w:rsidRPr="00665805">
        <w:rPr>
          <w:lang w:val="en-US"/>
        </w:rPr>
        <w:t>Indigenous Peoples</w:t>
      </w:r>
      <w:r>
        <w:rPr>
          <w:lang w:val="en-US"/>
        </w:rPr>
        <w:t xml:space="preserve"> </w:t>
      </w:r>
      <w:r w:rsidRPr="00B15889">
        <w:t>and other rights holders</w:t>
      </w:r>
      <w:r w:rsidRPr="00B15889">
        <w:rPr>
          <w:lang w:val="en-US"/>
        </w:rPr>
        <w:t xml:space="preserve"> in the context of decisions regarding development, testing and deployment of </w:t>
      </w:r>
      <w:proofErr w:type="gramStart"/>
      <w:r w:rsidRPr="00B15889">
        <w:rPr>
          <w:lang w:val="en-US"/>
        </w:rPr>
        <w:t>NTCPs;</w:t>
      </w:r>
      <w:proofErr w:type="gramEnd"/>
    </w:p>
    <w:p w14:paraId="172307FE" w14:textId="77777777" w:rsidR="00D2735B" w:rsidRPr="00665805" w:rsidRDefault="00D2735B" w:rsidP="00D2735B">
      <w:pPr>
        <w:pStyle w:val="Bullet1G"/>
        <w:numPr>
          <w:ilvl w:val="0"/>
          <w:numId w:val="8"/>
        </w:numPr>
        <w:kinsoku/>
        <w:overflowPunct/>
        <w:autoSpaceDE/>
        <w:autoSpaceDN/>
        <w:adjustRightInd/>
        <w:snapToGrid/>
        <w:rPr>
          <w:lang w:val="en-US"/>
        </w:rPr>
      </w:pPr>
      <w:r w:rsidRPr="00665805">
        <w:rPr>
          <w:lang w:val="en-US"/>
        </w:rPr>
        <w:t>The Special Rapporteur on</w:t>
      </w:r>
      <w:r>
        <w:rPr>
          <w:lang w:val="en-US"/>
        </w:rPr>
        <w:t xml:space="preserve"> the Rights of</w:t>
      </w:r>
      <w:r w:rsidRPr="00665805">
        <w:rPr>
          <w:lang w:val="en-US"/>
        </w:rPr>
        <w:t xml:space="preserve"> Indigenous Peoples consider the elaboration of thematic report on the impact of </w:t>
      </w:r>
      <w:r>
        <w:rPr>
          <w:lang w:val="en-US"/>
        </w:rPr>
        <w:t>climate engineering</w:t>
      </w:r>
      <w:r w:rsidRPr="00665805">
        <w:rPr>
          <w:lang w:val="en-US"/>
        </w:rPr>
        <w:t xml:space="preserve"> on their </w:t>
      </w:r>
      <w:proofErr w:type="gramStart"/>
      <w:r w:rsidRPr="00665805">
        <w:rPr>
          <w:lang w:val="en-US"/>
        </w:rPr>
        <w:t>rights;</w:t>
      </w:r>
      <w:proofErr w:type="gramEnd"/>
    </w:p>
    <w:p w14:paraId="35F65844" w14:textId="55C1CC2B" w:rsidR="00D2735B" w:rsidRPr="002C7BA3" w:rsidRDefault="00D2735B" w:rsidP="00D2735B">
      <w:pPr>
        <w:pStyle w:val="Bullet1G"/>
        <w:numPr>
          <w:ilvl w:val="0"/>
          <w:numId w:val="8"/>
        </w:numPr>
        <w:kinsoku/>
        <w:overflowPunct/>
        <w:autoSpaceDE/>
        <w:autoSpaceDN/>
        <w:adjustRightInd/>
        <w:snapToGrid/>
        <w:rPr>
          <w:lang w:val="en-US"/>
        </w:rPr>
      </w:pPr>
      <w:r w:rsidRPr="00665805">
        <w:rPr>
          <w:lang w:val="en-US"/>
        </w:rPr>
        <w:t xml:space="preserve">Explore the possibility of </w:t>
      </w:r>
      <w:r w:rsidR="00266A90">
        <w:rPr>
          <w:lang w:val="en-US"/>
        </w:rPr>
        <w:t>e</w:t>
      </w:r>
      <w:r w:rsidRPr="00665805">
        <w:rPr>
          <w:lang w:val="en-US"/>
        </w:rPr>
        <w:t xml:space="preserve">stablishing an ad-hoc mechanism </w:t>
      </w:r>
      <w:r>
        <w:rPr>
          <w:lang w:val="en-US"/>
        </w:rPr>
        <w:t>for</w:t>
      </w:r>
      <w:r w:rsidRPr="00665805">
        <w:rPr>
          <w:lang w:val="en-US"/>
        </w:rPr>
        <w:t xml:space="preserve"> coordinating the action of relevant </w:t>
      </w:r>
      <w:r>
        <w:rPr>
          <w:lang w:val="en-US"/>
        </w:rPr>
        <w:t>SRs</w:t>
      </w:r>
      <w:r w:rsidRPr="00665805">
        <w:rPr>
          <w:lang w:val="en-US"/>
        </w:rPr>
        <w:t xml:space="preserve"> in connection with NTCPs. </w:t>
      </w:r>
    </w:p>
    <w:p w14:paraId="46A4FCFF" w14:textId="77777777" w:rsidR="00D2735B" w:rsidRPr="00584CC9" w:rsidRDefault="00D2735B" w:rsidP="00D2735B">
      <w:pPr>
        <w:pStyle w:val="H1G"/>
      </w:pPr>
      <w:r>
        <w:tab/>
        <w:t>C.</w:t>
      </w:r>
      <w:r>
        <w:tab/>
      </w:r>
      <w:r w:rsidRPr="00584CC9">
        <w:t xml:space="preserve">Office of the High Commissioner for Human Rights </w:t>
      </w:r>
    </w:p>
    <w:p w14:paraId="428AA9BD" w14:textId="77777777" w:rsidR="00D2735B" w:rsidRDefault="00D2735B" w:rsidP="00D2735B">
      <w:pPr>
        <w:pStyle w:val="Bullet1G"/>
        <w:numPr>
          <w:ilvl w:val="0"/>
          <w:numId w:val="8"/>
        </w:numPr>
        <w:kinsoku/>
        <w:overflowPunct/>
        <w:autoSpaceDE/>
        <w:autoSpaceDN/>
        <w:adjustRightInd/>
        <w:snapToGrid/>
      </w:pPr>
      <w:r>
        <w:t>Identify</w:t>
      </w:r>
      <w:r w:rsidRPr="00A46D2E">
        <w:t xml:space="preserve"> a set of international guidelines or operative standards allowing States to implement the precautionary approach with regard the development, testing and potential deployment of </w:t>
      </w:r>
      <w:r>
        <w:t xml:space="preserve">all </w:t>
      </w:r>
      <w:r w:rsidRPr="00A46D2E">
        <w:t>speculative technologies from the human rights perspective</w:t>
      </w:r>
      <w:r>
        <w:t>.</w:t>
      </w:r>
    </w:p>
    <w:p w14:paraId="5C9E8F1A" w14:textId="77777777" w:rsidR="00D2735B" w:rsidRDefault="00D2735B" w:rsidP="00D2735B">
      <w:pPr>
        <w:pStyle w:val="Bullet1G"/>
        <w:numPr>
          <w:ilvl w:val="0"/>
          <w:numId w:val="8"/>
        </w:numPr>
        <w:kinsoku/>
        <w:overflowPunct/>
        <w:autoSpaceDE/>
        <w:autoSpaceDN/>
        <w:adjustRightInd/>
        <w:snapToGrid/>
      </w:pPr>
      <w:r>
        <w:t>Support the right of potentially affected communities and groups, including Indigenous Peoples, to have access to information about NTCPs.</w:t>
      </w:r>
    </w:p>
    <w:p w14:paraId="49E4B14F" w14:textId="77777777" w:rsidR="00D2735B" w:rsidRDefault="00D2735B" w:rsidP="00D2735B">
      <w:pPr>
        <w:pStyle w:val="Bullet1G"/>
        <w:numPr>
          <w:ilvl w:val="0"/>
          <w:numId w:val="8"/>
        </w:numPr>
      </w:pPr>
      <w:r>
        <w:t>Organize a multi-stakeholder meeting on human rights.</w:t>
      </w:r>
    </w:p>
    <w:p w14:paraId="7C9C21C3" w14:textId="521696DC" w:rsidR="00CD1D0C" w:rsidRPr="00D91EBB" w:rsidRDefault="00CD1D0C" w:rsidP="00CD1D0C">
      <w:pPr>
        <w:pStyle w:val="SingleTxtG"/>
        <w:rPr>
          <w:b/>
          <w:bCs/>
        </w:rPr>
      </w:pPr>
    </w:p>
    <w:p w14:paraId="0CC8287C" w14:textId="77777777" w:rsidR="00CD1D0C" w:rsidRPr="00B55D64" w:rsidRDefault="00CD1D0C" w:rsidP="00CD1D0C">
      <w:pPr>
        <w:pStyle w:val="SingleTxtG"/>
        <w:spacing w:before="240" w:after="0"/>
        <w:jc w:val="center"/>
        <w:sectPr w:rsidR="00CD1D0C" w:rsidRPr="00B55D64" w:rsidSect="00CA1B04">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pPr>
    </w:p>
    <w:p w14:paraId="75C5CD39" w14:textId="007DE54B" w:rsidR="00CD1D0C" w:rsidRDefault="00CD1D0C" w:rsidP="00CD1D0C">
      <w:pPr>
        <w:pStyle w:val="HChG"/>
        <w:spacing w:before="120"/>
      </w:pPr>
      <w:bookmarkStart w:id="3" w:name="_Toc72481560"/>
      <w:r>
        <w:lastRenderedPageBreak/>
        <w:t xml:space="preserve">Annex </w:t>
      </w:r>
      <w:bookmarkEnd w:id="3"/>
    </w:p>
    <w:p w14:paraId="23A93149" w14:textId="77777777" w:rsidR="00D2735B" w:rsidRPr="00DF36A7" w:rsidRDefault="00CD1D0C" w:rsidP="00D2735B">
      <w:pPr>
        <w:pStyle w:val="H1G"/>
      </w:pPr>
      <w:r>
        <w:tab/>
      </w:r>
      <w:r>
        <w:tab/>
      </w:r>
      <w:r w:rsidR="00D2735B" w:rsidRPr="00DF36A7">
        <w:t>The technological component</w:t>
      </w:r>
      <w:r w:rsidR="00D2735B">
        <w:t xml:space="preserve"> and additional information</w:t>
      </w:r>
    </w:p>
    <w:p w14:paraId="2CD47EDC" w14:textId="77777777" w:rsidR="00D2735B" w:rsidRPr="00DF36A7" w:rsidRDefault="00D2735B" w:rsidP="00D2735B">
      <w:pPr>
        <w:pStyle w:val="SingleTxtG"/>
        <w:rPr>
          <w:lang w:val="en-US"/>
        </w:rPr>
      </w:pPr>
      <w:r>
        <w:rPr>
          <w:lang w:val="en-US"/>
        </w:rPr>
        <w:t>1</w:t>
      </w:r>
      <w:r>
        <w:t>.</w:t>
      </w:r>
      <w:r>
        <w:tab/>
      </w:r>
      <w:r>
        <w:rPr>
          <w:lang w:val="en-US"/>
        </w:rPr>
        <w:t xml:space="preserve">Annex 1 provides additional information on the technological components relevant to the study of the impact of NTCPs on the enjoyment of human rights. Some of the information from the main report is reproduced here </w:t>
      </w:r>
      <w:proofErr w:type="gramStart"/>
      <w:r>
        <w:rPr>
          <w:lang w:val="en-US"/>
        </w:rPr>
        <w:t>in order to</w:t>
      </w:r>
      <w:proofErr w:type="gramEnd"/>
      <w:r>
        <w:rPr>
          <w:lang w:val="en-US"/>
        </w:rPr>
        <w:t xml:space="preserve"> provide for a standalone reading.</w:t>
      </w:r>
    </w:p>
    <w:p w14:paraId="6F138061" w14:textId="77777777" w:rsidR="00D2735B" w:rsidRPr="00B214D3" w:rsidRDefault="00D2735B" w:rsidP="00D2735B">
      <w:pPr>
        <w:pStyle w:val="SingleTxtG"/>
      </w:pPr>
      <w:r>
        <w:rPr>
          <w:lang w:val="en-US"/>
        </w:rPr>
        <w:t>2.</w:t>
      </w:r>
      <w:r>
        <w:rPr>
          <w:lang w:val="en-US"/>
        </w:rPr>
        <w:tab/>
      </w:r>
      <w:r w:rsidRPr="00E53B53">
        <w:t xml:space="preserve">Easing the climate crisis </w:t>
      </w:r>
      <w:r w:rsidRPr="00322B85">
        <w:rPr>
          <w:lang w:val="en-US"/>
        </w:rPr>
        <w:t xml:space="preserve">adequately </w:t>
      </w:r>
      <w:r w:rsidRPr="00E53B53">
        <w:t>requires immediate carbon dioxide emission cuts. Progress towards this goal has been very slow – global emissions keep rising</w:t>
      </w:r>
      <w:r>
        <w:t xml:space="preserve"> and fossil fuel corporations have recorded historically highest profits </w:t>
      </w:r>
      <w:r w:rsidRPr="00322B85">
        <w:rPr>
          <w:lang w:val="en-US"/>
        </w:rPr>
        <w:t>in 2022</w:t>
      </w:r>
      <w:r>
        <w:t>.</w:t>
      </w:r>
      <w:r w:rsidRPr="00E53B53">
        <w:t xml:space="preserve"> According to IPCC </w:t>
      </w:r>
      <w:r w:rsidRPr="00B214D3">
        <w:t xml:space="preserve">reports and UN Secretary General mitigating the crisis requires limiting temperature rise to 1.5 degrees by achieving global net-zero emissions by 2050. </w:t>
      </w:r>
      <w:r w:rsidRPr="00B214D3">
        <w:rPr>
          <w:rStyle w:val="FootnoteReference"/>
        </w:rPr>
        <w:footnoteReference w:id="85"/>
      </w:r>
      <w:r w:rsidRPr="00B214D3">
        <w:t xml:space="preserve"> </w:t>
      </w:r>
    </w:p>
    <w:p w14:paraId="5A310DDC" w14:textId="77777777" w:rsidR="00D2735B" w:rsidRDefault="00D2735B" w:rsidP="00D2735B">
      <w:pPr>
        <w:pStyle w:val="SingleTxtG"/>
        <w:rPr>
          <w:rFonts w:asciiTheme="majorBidi" w:hAnsiTheme="majorBidi" w:cstheme="majorBidi"/>
          <w:bCs/>
          <w:lang w:val="en-US"/>
        </w:rPr>
      </w:pPr>
      <w:r>
        <w:rPr>
          <w:rFonts w:asciiTheme="majorBidi" w:hAnsiTheme="majorBidi" w:cstheme="majorBidi"/>
          <w:bCs/>
          <w:lang w:val="en-US"/>
        </w:rPr>
        <w:t>3</w:t>
      </w:r>
      <w:r w:rsidRPr="00B214D3">
        <w:rPr>
          <w:rFonts w:asciiTheme="majorBidi" w:hAnsiTheme="majorBidi" w:cstheme="majorBidi"/>
          <w:bCs/>
          <w:lang w:val="en-US"/>
        </w:rPr>
        <w:t>.</w:t>
      </w:r>
      <w:r w:rsidRPr="00B214D3">
        <w:rPr>
          <w:rFonts w:asciiTheme="majorBidi" w:hAnsiTheme="majorBidi" w:cstheme="majorBidi"/>
          <w:bCs/>
          <w:lang w:val="en-US"/>
        </w:rPr>
        <w:tab/>
        <w:t>Cutting emissions is the only scientifically and logically certain way of coming close to achieving real zero emissions – a term advocated for by several civil society organizations - since methods and technologies to remove CO</w:t>
      </w:r>
      <w:r w:rsidRPr="00B214D3">
        <w:rPr>
          <w:rFonts w:asciiTheme="majorBidi" w:hAnsiTheme="majorBidi" w:cstheme="majorBidi"/>
          <w:bCs/>
          <w:vertAlign w:val="subscript"/>
          <w:lang w:val="en-US"/>
        </w:rPr>
        <w:t>2</w:t>
      </w:r>
      <w:r w:rsidRPr="00B214D3">
        <w:rPr>
          <w:rFonts w:asciiTheme="majorBidi" w:hAnsiTheme="majorBidi" w:cstheme="majorBidi"/>
          <w:bCs/>
          <w:lang w:val="en-US"/>
        </w:rPr>
        <w:t xml:space="preserve"> from the planetary system are currently not only insufficiently developed, inefficient and financially unsustainable but may also be used as excuse not to cut emissions</w:t>
      </w:r>
      <w:r w:rsidRPr="00B214D3">
        <w:rPr>
          <w:rStyle w:val="FootnoteReference"/>
          <w:rFonts w:asciiTheme="majorBidi" w:hAnsiTheme="majorBidi" w:cstheme="majorBidi"/>
          <w:bCs/>
          <w:lang w:val="en-US"/>
        </w:rPr>
        <w:footnoteReference w:id="86"/>
      </w:r>
      <w:r w:rsidRPr="00B214D3">
        <w:rPr>
          <w:rFonts w:asciiTheme="majorBidi" w:hAnsiTheme="majorBidi" w:cstheme="majorBidi"/>
          <w:bCs/>
          <w:lang w:val="en-US"/>
        </w:rPr>
        <w:t xml:space="preserve">. </w:t>
      </w:r>
      <w:r w:rsidRPr="00B92159">
        <w:rPr>
          <w:rFonts w:asciiTheme="majorBidi" w:hAnsiTheme="majorBidi" w:cstheme="majorBidi"/>
          <w:bCs/>
          <w:lang w:val="en-US"/>
        </w:rPr>
        <w:t xml:space="preserve">NTCPs present a moral hazard and dangerous distraction from emissions reductions and quite notably are regularly advanced by the fossil fuel industry to justify continued exploration and exploitation of deadly fossil fuels.  </w:t>
      </w:r>
    </w:p>
    <w:p w14:paraId="26ED9E3E" w14:textId="77777777" w:rsidR="00D2735B" w:rsidRPr="00E53B53" w:rsidRDefault="00D2735B" w:rsidP="00D2735B">
      <w:pPr>
        <w:pStyle w:val="SingleTxtG"/>
        <w:rPr>
          <w:bCs/>
        </w:rPr>
      </w:pPr>
      <w:r>
        <w:rPr>
          <w:bCs/>
        </w:rPr>
        <w:t>5.</w:t>
      </w:r>
      <w:r>
        <w:rPr>
          <w:bCs/>
        </w:rPr>
        <w:tab/>
      </w:r>
      <w:r w:rsidRPr="00E53B53">
        <w:rPr>
          <w:bCs/>
        </w:rPr>
        <w:t xml:space="preserve">The offset carbon market, however, allows </w:t>
      </w:r>
      <w:r>
        <w:rPr>
          <w:bCs/>
        </w:rPr>
        <w:t>states and companies</w:t>
      </w:r>
      <w:r w:rsidRPr="00E53B53">
        <w:rPr>
          <w:bCs/>
        </w:rPr>
        <w:t xml:space="preserve"> to balance unchanged </w:t>
      </w:r>
      <w:r>
        <w:rPr>
          <w:bCs/>
        </w:rPr>
        <w:t xml:space="preserve">or only slightly reduced </w:t>
      </w:r>
      <w:r w:rsidRPr="00E53B53">
        <w:rPr>
          <w:bCs/>
        </w:rPr>
        <w:t xml:space="preserve">emissions with purchasing carbon offsets, that is investment in emission reduction projects. As a result of these tendencies the need for emission reduction technologies has been growing. </w:t>
      </w:r>
      <w:proofErr w:type="gramStart"/>
      <w:r w:rsidRPr="00E53B53">
        <w:rPr>
          <w:bCs/>
        </w:rPr>
        <w:t>All the more</w:t>
      </w:r>
      <w:proofErr w:type="gramEnd"/>
      <w:r w:rsidRPr="00E53B53">
        <w:rPr>
          <w:bCs/>
        </w:rPr>
        <w:t xml:space="preserve"> so that, increasingly, CDR technologies have become the focus of states’ policies to reach the so called “net zero emissions,” while still continuing to emit. </w:t>
      </w:r>
      <w:r>
        <w:rPr>
          <w:bCs/>
        </w:rPr>
        <w:t>N</w:t>
      </w:r>
      <w:r w:rsidRPr="00E53B53">
        <w:rPr>
          <w:bCs/>
        </w:rPr>
        <w:t xml:space="preserve">ew private </w:t>
      </w:r>
      <w:r w:rsidRPr="001E52DD">
        <w:rPr>
          <w:bCs/>
        </w:rPr>
        <w:t xml:space="preserve">actors, or public-private partnerships, </w:t>
      </w:r>
      <w:r>
        <w:rPr>
          <w:bCs/>
        </w:rPr>
        <w:t xml:space="preserve">are </w:t>
      </w:r>
      <w:r w:rsidRPr="001E52DD">
        <w:rPr>
          <w:bCs/>
        </w:rPr>
        <w:t xml:space="preserve">involved in development and implementation of these technologies. </w:t>
      </w:r>
      <w:proofErr w:type="gramStart"/>
      <w:r w:rsidRPr="001E52DD">
        <w:rPr>
          <w:bCs/>
        </w:rPr>
        <w:t>In the near future</w:t>
      </w:r>
      <w:proofErr w:type="gramEnd"/>
      <w:r w:rsidRPr="001E52DD">
        <w:rPr>
          <w:bCs/>
        </w:rPr>
        <w:t xml:space="preserve"> CDR technologies will most likely expand the carbon market and become a major source of carbon credits, which in turn will provide more funding for these technologies’ expansion.</w:t>
      </w:r>
      <w:r w:rsidRPr="00E53B53">
        <w:rPr>
          <w:bCs/>
        </w:rPr>
        <w:t xml:space="preserve">  </w:t>
      </w:r>
    </w:p>
    <w:p w14:paraId="04DC8AE4" w14:textId="77777777" w:rsidR="00D2735B" w:rsidRPr="00B214D3" w:rsidRDefault="00D2735B" w:rsidP="00D2735B">
      <w:pPr>
        <w:pStyle w:val="SingleTxtG"/>
        <w:rPr>
          <w:lang w:val="en-US"/>
        </w:rPr>
      </w:pPr>
      <w:r>
        <w:rPr>
          <w:lang w:val="en-US"/>
        </w:rPr>
        <w:t>6</w:t>
      </w:r>
      <w:r>
        <w:t>.</w:t>
      </w:r>
      <w:r>
        <w:tab/>
      </w:r>
      <w:r w:rsidRPr="00E53B53">
        <w:t xml:space="preserve">If emissions are not cut and some of the worst future scenarios are to be realized, another cluster of technologies </w:t>
      </w:r>
      <w:r>
        <w:t xml:space="preserve">of the SRM kind </w:t>
      </w:r>
      <w:r w:rsidRPr="00E53B53">
        <w:t xml:space="preserve">is being researched. In its most advanced currently form in research and the most controversial in terms of effects on the environment and human rights it envisages stratospheric aerosol injection (SAI): in essence a </w:t>
      </w:r>
      <w:r>
        <w:t xml:space="preserve">continuous spray of aerosols in the upper atmosphere to partially block </w:t>
      </w:r>
      <w:r w:rsidRPr="00B214D3">
        <w:t>sunlight.</w:t>
      </w:r>
      <w:r w:rsidRPr="00B214D3">
        <w:rPr>
          <w:rStyle w:val="FootnoteReference"/>
          <w:rFonts w:asciiTheme="majorBidi" w:hAnsiTheme="majorBidi" w:cstheme="majorBidi"/>
          <w:bCs/>
        </w:rPr>
        <w:footnoteReference w:id="87"/>
      </w:r>
      <w:r w:rsidRPr="00B214D3">
        <w:t xml:space="preserve"> </w:t>
      </w:r>
    </w:p>
    <w:p w14:paraId="1BC9028E" w14:textId="77777777" w:rsidR="00D2735B" w:rsidRPr="00B214D3" w:rsidRDefault="00D2735B" w:rsidP="00D2735B">
      <w:pPr>
        <w:pStyle w:val="H4G"/>
      </w:pPr>
      <w:r w:rsidRPr="00B214D3">
        <w:tab/>
      </w:r>
      <w:r w:rsidRPr="00B214D3">
        <w:tab/>
        <w:t>Carbon Dioxide Removal (CDR)</w:t>
      </w:r>
    </w:p>
    <w:p w14:paraId="0973BE22" w14:textId="1B038D64" w:rsidR="00D2735B" w:rsidRPr="00B214D3" w:rsidRDefault="00D2735B" w:rsidP="00D2735B">
      <w:pPr>
        <w:pStyle w:val="SingleTxtG"/>
      </w:pPr>
      <w:r>
        <w:t>7</w:t>
      </w:r>
      <w:r w:rsidRPr="00B214D3">
        <w:t>.</w:t>
      </w:r>
      <w:r w:rsidRPr="00B214D3">
        <w:tab/>
      </w:r>
      <w:r>
        <w:t>CDR</w:t>
      </w:r>
      <w:r w:rsidRPr="00B214D3">
        <w:t xml:space="preserve"> technologies durably store CO</w:t>
      </w:r>
      <w:r w:rsidRPr="00B214D3">
        <w:rPr>
          <w:vertAlign w:val="subscript"/>
        </w:rPr>
        <w:t>2</w:t>
      </w:r>
      <w:r w:rsidRPr="00B214D3">
        <w:t xml:space="preserve"> on land, in the ocean or in geological formations</w:t>
      </w:r>
      <w:r w:rsidRPr="00B214D3">
        <w:rPr>
          <w:vertAlign w:val="superscript"/>
        </w:rPr>
        <w:footnoteReference w:id="88"/>
      </w:r>
      <w:r w:rsidRPr="00B214D3">
        <w:t>. They can be grouped into artificial and natural methods. Currently, natural methods,</w:t>
      </w:r>
      <w:r w:rsidRPr="00B214D3">
        <w:rPr>
          <w:rStyle w:val="FootnoteReference"/>
          <w:rFonts w:asciiTheme="majorBidi" w:hAnsiTheme="majorBidi" w:cstheme="majorBidi"/>
          <w:lang w:val="en-US"/>
        </w:rPr>
        <w:footnoteReference w:id="89"/>
      </w:r>
      <w:r w:rsidRPr="00B214D3">
        <w:t xml:space="preserve"> which primarily include reforestation</w:t>
      </w:r>
      <w:r w:rsidRPr="00B214D3">
        <w:rPr>
          <w:lang w:val="en-US"/>
        </w:rPr>
        <w:t xml:space="preserve">, afforestation, improved forest management, </w:t>
      </w:r>
      <w:proofErr w:type="gramStart"/>
      <w:r w:rsidRPr="00B214D3">
        <w:rPr>
          <w:lang w:val="en-US"/>
        </w:rPr>
        <w:t>agroforestry</w:t>
      </w:r>
      <w:proofErr w:type="gramEnd"/>
      <w:r w:rsidRPr="00B214D3">
        <w:rPr>
          <w:lang w:val="en-US"/>
        </w:rPr>
        <w:t xml:space="preserve"> and soil carbon sequestration </w:t>
      </w:r>
      <w:r w:rsidRPr="00B214D3">
        <w:t>as the most popular one</w:t>
      </w:r>
      <w:r w:rsidRPr="00B214D3">
        <w:rPr>
          <w:lang w:val="en-US"/>
        </w:rPr>
        <w:t>s</w:t>
      </w:r>
      <w:r w:rsidRPr="00B214D3">
        <w:t xml:space="preserve">, make up 99,9% of all </w:t>
      </w:r>
      <w:r w:rsidRPr="00B214D3">
        <w:lastRenderedPageBreak/>
        <w:t>carbon dioxide removed. These technologies are not new, however, and even if they are currently the cheapest and most prevalent ones, they fall outside the scope of the study</w:t>
      </w:r>
      <w:r w:rsidR="009D472A">
        <w:t>.</w:t>
      </w:r>
      <w:r w:rsidRPr="00B214D3">
        <w:rPr>
          <w:vertAlign w:val="superscript"/>
        </w:rPr>
        <w:footnoteReference w:id="90"/>
      </w:r>
    </w:p>
    <w:p w14:paraId="3851C8D6" w14:textId="77777777" w:rsidR="00D2735B" w:rsidRPr="00E53B53" w:rsidRDefault="00D2735B" w:rsidP="00D2735B">
      <w:pPr>
        <w:pStyle w:val="SingleTxtG"/>
      </w:pPr>
      <w:r>
        <w:rPr>
          <w:lang w:val="en-US"/>
        </w:rPr>
        <w:t>8</w:t>
      </w:r>
      <w:r w:rsidRPr="00B214D3">
        <w:t>.</w:t>
      </w:r>
      <w:r w:rsidRPr="00B214D3">
        <w:tab/>
        <w:t>Artificial methods include pre- and post-combustion Carbon Capture and Storage, Bioenergy with CCS (BECCS), Direct Air Capture (DAC), Enhanced Weathering</w:t>
      </w:r>
      <w:r w:rsidRPr="00B214D3">
        <w:rPr>
          <w:lang w:val="en-US"/>
        </w:rPr>
        <w:t xml:space="preserve"> (EW)</w:t>
      </w:r>
      <w:r w:rsidRPr="00B214D3">
        <w:t xml:space="preserve"> and Ocean Fertilization</w:t>
      </w:r>
      <w:r w:rsidRPr="00B214D3">
        <w:rPr>
          <w:lang w:val="en-US"/>
        </w:rPr>
        <w:t xml:space="preserve"> (OF)</w:t>
      </w:r>
      <w:r w:rsidRPr="00B214D3">
        <w:t xml:space="preserve">. </w:t>
      </w:r>
      <w:proofErr w:type="gramStart"/>
      <w:r w:rsidRPr="00B214D3">
        <w:t>With the exception of</w:t>
      </w:r>
      <w:proofErr w:type="gramEnd"/>
      <w:r w:rsidRPr="00B214D3">
        <w:t xml:space="preserve"> the first </w:t>
      </w:r>
      <w:r w:rsidRPr="00322B85">
        <w:rPr>
          <w:lang w:val="en-US"/>
        </w:rPr>
        <w:t>tw</w:t>
      </w:r>
      <w:r>
        <w:rPr>
          <w:lang w:val="en-US"/>
        </w:rPr>
        <w:t>o</w:t>
      </w:r>
      <w:r w:rsidRPr="00B214D3">
        <w:t>, which are also either an energy production method or play a supplemental</w:t>
      </w:r>
      <w:r w:rsidRPr="00E53B53">
        <w:t xml:space="preserve"> role to the production of other goods, the latter three kinds of artificial CDR </w:t>
      </w:r>
      <w:r>
        <w:t>technologies</w:t>
      </w:r>
      <w:r>
        <w:rPr>
          <w:lang w:val="en-US"/>
        </w:rPr>
        <w:t xml:space="preserve"> (DAC, EW, OF)</w:t>
      </w:r>
      <w:r w:rsidRPr="00E53B53">
        <w:t xml:space="preserve">, satisfy the definition of </w:t>
      </w:r>
      <w:r>
        <w:t>NTCPs</w:t>
      </w:r>
      <w:r w:rsidRPr="00E53B53">
        <w:t xml:space="preserve">. </w:t>
      </w:r>
    </w:p>
    <w:p w14:paraId="34929335" w14:textId="77777777" w:rsidR="00D2735B" w:rsidRDefault="00D2735B" w:rsidP="00D2735B">
      <w:pPr>
        <w:pStyle w:val="SingleTxtG"/>
        <w:rPr>
          <w:lang w:val="en-US"/>
        </w:rPr>
      </w:pPr>
      <w:r>
        <w:rPr>
          <w:bCs/>
          <w:lang w:val="en-US"/>
        </w:rPr>
        <w:t>9</w:t>
      </w:r>
      <w:r w:rsidRPr="007D0588">
        <w:rPr>
          <w:bCs/>
        </w:rPr>
        <w:t>.</w:t>
      </w:r>
      <w:r>
        <w:rPr>
          <w:bCs/>
        </w:rPr>
        <w:tab/>
      </w:r>
      <w:r w:rsidRPr="000136D9">
        <w:rPr>
          <w:b/>
        </w:rPr>
        <w:t>Direct air capture (DAC)</w:t>
      </w:r>
      <w:r>
        <w:t xml:space="preserve">. </w:t>
      </w:r>
      <w:r w:rsidRPr="00E53B53">
        <w:t xml:space="preserve">Out of artificial CDRs, DACs </w:t>
      </w:r>
      <w:proofErr w:type="gramStart"/>
      <w:r w:rsidRPr="00E53B53">
        <w:t>in particular have</w:t>
      </w:r>
      <w:proofErr w:type="gramEnd"/>
      <w:r w:rsidRPr="00E53B53">
        <w:t xml:space="preserve"> recently developed rapidly without equal consideration of their human rights implications, </w:t>
      </w:r>
      <w:r w:rsidRPr="00322B85">
        <w:rPr>
          <w:lang w:val="en-US"/>
        </w:rPr>
        <w:t>wh</w:t>
      </w:r>
      <w:r>
        <w:rPr>
          <w:lang w:val="en-US"/>
        </w:rPr>
        <w:t>ich</w:t>
      </w:r>
      <w:r w:rsidRPr="00E53B53">
        <w:t xml:space="preserve"> needs to be attributed to the </w:t>
      </w:r>
      <w:r>
        <w:t xml:space="preserve">small scale of implementation and </w:t>
      </w:r>
      <w:r w:rsidRPr="00E53B53">
        <w:t xml:space="preserve">relatively narrower spectrum of possible risks to human rights that </w:t>
      </w:r>
      <w:r>
        <w:t xml:space="preserve">certain </w:t>
      </w:r>
      <w:r w:rsidRPr="00E53B53">
        <w:t>DACs pose as opposed to other CDR technologies. I</w:t>
      </w:r>
      <w:r w:rsidRPr="0020750D">
        <w:t>n Europe, the United States and Canada</w:t>
      </w:r>
      <w:r w:rsidRPr="00E53B53">
        <w:t xml:space="preserve"> 18 DAC plants are now operational, although they are </w:t>
      </w:r>
      <w:r w:rsidRPr="0020750D">
        <w:t xml:space="preserve">small scale, and capture </w:t>
      </w:r>
      <w:r w:rsidRPr="00E53B53">
        <w:t>CO</w:t>
      </w:r>
      <w:r w:rsidRPr="005B2139">
        <w:rPr>
          <w:vertAlign w:val="subscript"/>
        </w:rPr>
        <w:t>2</w:t>
      </w:r>
      <w:r w:rsidRPr="0020750D">
        <w:t xml:space="preserve"> for utilisation</w:t>
      </w:r>
      <w:r w:rsidRPr="00E53B53">
        <w:t>, including Enhanced Oil Recovery (EOR), except for</w:t>
      </w:r>
      <w:r w:rsidRPr="0020750D">
        <w:t xml:space="preserve"> two plants storing the captured </w:t>
      </w:r>
      <w:r w:rsidRPr="00E53B53">
        <w:t>CO</w:t>
      </w:r>
      <w:r w:rsidRPr="005B2139">
        <w:rPr>
          <w:vertAlign w:val="subscript"/>
        </w:rPr>
        <w:t>2</w:t>
      </w:r>
      <w:r w:rsidRPr="0020750D">
        <w:t xml:space="preserve"> in geological formations for removal.</w:t>
      </w:r>
      <w:r>
        <w:t xml:space="preserve"> </w:t>
      </w:r>
      <w:r w:rsidRPr="0082224B">
        <w:rPr>
          <w:lang w:val="en-US"/>
        </w:rPr>
        <w:t>DACs under consideration in this report are not paired with Enhanced Oil Recovery (EOR) – a method of using DAC to extract the remaining oil from oil wells – because such a technology is a fossil fuel producing technique, which is used by fossil fuel companies and cannot be considered a NTCP.</w:t>
      </w:r>
      <w:r w:rsidRPr="00E53B53">
        <w:t xml:space="preserve"> </w:t>
      </w:r>
      <w:r>
        <w:t xml:space="preserve">Apart from being </w:t>
      </w:r>
      <w:r w:rsidRPr="00322B85">
        <w:rPr>
          <w:lang w:val="en-US"/>
        </w:rPr>
        <w:t>cur</w:t>
      </w:r>
      <w:r>
        <w:rPr>
          <w:lang w:val="en-US"/>
        </w:rPr>
        <w:t xml:space="preserve">rently </w:t>
      </w:r>
      <w:r>
        <w:t xml:space="preserve">very expensive </w:t>
      </w:r>
      <w:proofErr w:type="gramStart"/>
      <w:r>
        <w:t>at the moment</w:t>
      </w:r>
      <w:proofErr w:type="gramEnd"/>
      <w:r>
        <w:t>, DACs face biophysical constraints subject to geological storage underground, environmental side effects (see table 1.) and surface area</w:t>
      </w:r>
      <w:r>
        <w:rPr>
          <w:rStyle w:val="FootnoteReference"/>
          <w:rFonts w:asciiTheme="majorBidi" w:hAnsiTheme="majorBidi" w:cstheme="majorBidi"/>
          <w:lang w:val="en-US"/>
        </w:rPr>
        <w:footnoteReference w:id="91"/>
      </w:r>
      <w:r>
        <w:t>.</w:t>
      </w:r>
    </w:p>
    <w:p w14:paraId="76262D72" w14:textId="77777777" w:rsidR="00D2735B" w:rsidRPr="005B2139" w:rsidRDefault="00D2735B" w:rsidP="00D2735B">
      <w:pPr>
        <w:pStyle w:val="SingleTxtG"/>
        <w:rPr>
          <w:lang w:val="en-US"/>
        </w:rPr>
      </w:pPr>
      <w:r w:rsidRPr="00937190">
        <w:rPr>
          <w:bCs/>
          <w:lang w:val="en-US"/>
        </w:rPr>
        <w:t>10.</w:t>
      </w:r>
      <w:r>
        <w:rPr>
          <w:b/>
          <w:lang w:val="en-US"/>
        </w:rPr>
        <w:tab/>
      </w:r>
      <w:r w:rsidRPr="001E52DD">
        <w:rPr>
          <w:b/>
        </w:rPr>
        <w:t>DAC case study.</w:t>
      </w:r>
      <w:r w:rsidRPr="002B6428">
        <w:t xml:space="preserve"> The largest DAC facility of this kind, operating since 2021, consists of CO</w:t>
      </w:r>
      <w:r w:rsidRPr="002B6428">
        <w:rPr>
          <w:vertAlign w:val="subscript"/>
        </w:rPr>
        <w:t>2</w:t>
      </w:r>
      <w:r w:rsidRPr="002B6428">
        <w:t xml:space="preserve"> collectors that capture it from the atmosphere with a low carbon footprint and nominal capacity of 4000 tCO</w:t>
      </w:r>
      <w:r w:rsidRPr="002B6428">
        <w:rPr>
          <w:vertAlign w:val="subscript"/>
        </w:rPr>
        <w:t>2</w:t>
      </w:r>
      <w:r w:rsidRPr="002B6428">
        <w:t xml:space="preserve"> per year, powered by 100% geothermal energy, with CO</w:t>
      </w:r>
      <w:r w:rsidRPr="002B6428">
        <w:rPr>
          <w:vertAlign w:val="subscript"/>
        </w:rPr>
        <w:t>2</w:t>
      </w:r>
      <w:r w:rsidRPr="002B6428">
        <w:t xml:space="preserve"> being permanently stored underground through mineralization.</w:t>
      </w:r>
      <w:r w:rsidRPr="002B6428">
        <w:rPr>
          <w:vertAlign w:val="superscript"/>
          <w:lang w:val="en-US"/>
        </w:rPr>
        <w:footnoteReference w:id="92"/>
      </w:r>
      <w:r w:rsidRPr="002B6428">
        <w:t xml:space="preserve"> The facility is said to be almost 1000 times more efficient than trees on the same land area, yet the current amount of CO</w:t>
      </w:r>
      <w:r w:rsidRPr="002B6428">
        <w:rPr>
          <w:vertAlign w:val="subscript"/>
        </w:rPr>
        <w:t>2</w:t>
      </w:r>
      <w:r w:rsidRPr="002B6428">
        <w:t xml:space="preserve"> captured annually amounts to less than five return transatlantic flights emissions. The developers of the technology claim they advance it in order to </w:t>
      </w:r>
      <w:proofErr w:type="spellStart"/>
      <w:r w:rsidRPr="002B6428">
        <w:t>defossilize</w:t>
      </w:r>
      <w:proofErr w:type="spellEnd"/>
      <w:r w:rsidRPr="002B6428">
        <w:t xml:space="preserve"> in the </w:t>
      </w:r>
      <w:proofErr w:type="gramStart"/>
      <w:r w:rsidRPr="002B6428">
        <w:t>vain</w:t>
      </w:r>
      <w:proofErr w:type="gramEnd"/>
      <w:r w:rsidRPr="002B6428">
        <w:t xml:space="preserve"> of conventional mitigation, neutralize unavoidable emissions, and realize negative emissions. In the initial phase of research, it was publicly funded (through EU research funds). </w:t>
      </w:r>
      <w:r w:rsidRPr="002B6428">
        <w:rPr>
          <w:vertAlign w:val="superscript"/>
        </w:rPr>
        <w:footnoteReference w:id="93"/>
      </w:r>
      <w:r w:rsidRPr="002B6428">
        <w:t xml:space="preserve"> New DAC installations are being built in the Middle East, where there are potentially good conditions for mineralization and large abundant supply of renewable energy. The human rights implications from current DAC projects, apart from land and water usage (although </w:t>
      </w:r>
      <w:proofErr w:type="spellStart"/>
      <w:r w:rsidRPr="002B6428">
        <w:t>unintense</w:t>
      </w:r>
      <w:proofErr w:type="spellEnd"/>
      <w:r w:rsidRPr="002B6428">
        <w:t xml:space="preserve"> in relation to other CDR methods) also include production of chemicals in the process and waste utilization, industrialization of the landscape, which </w:t>
      </w:r>
      <w:proofErr w:type="gramStart"/>
      <w:r w:rsidRPr="002B6428">
        <w:t>is connected with</w:t>
      </w:r>
      <w:proofErr w:type="gramEnd"/>
      <w:r w:rsidRPr="002B6428">
        <w:t xml:space="preserve"> identity of communities living in areas that had previously been untouched by industrial buildings and facilities. </w:t>
      </w:r>
    </w:p>
    <w:p w14:paraId="31AA5C69" w14:textId="77777777" w:rsidR="00D2735B" w:rsidRDefault="00D2735B" w:rsidP="00D2735B">
      <w:pPr>
        <w:pStyle w:val="SingleTxtG"/>
      </w:pPr>
      <w:r>
        <w:rPr>
          <w:bCs/>
          <w:lang w:val="en-US"/>
        </w:rPr>
        <w:t>11</w:t>
      </w:r>
      <w:r w:rsidRPr="0058282E">
        <w:rPr>
          <w:bCs/>
        </w:rPr>
        <w:t>.</w:t>
      </w:r>
      <w:r>
        <w:rPr>
          <w:bCs/>
        </w:rPr>
        <w:tab/>
      </w:r>
      <w:r w:rsidRPr="000136D9">
        <w:rPr>
          <w:b/>
        </w:rPr>
        <w:t>Enhanced weathering (EW)</w:t>
      </w:r>
      <w:r w:rsidRPr="00A630EA">
        <w:t>.</w:t>
      </w:r>
      <w:r>
        <w:t xml:space="preserve"> The process, both terrestrial and oceanic, aims to simulate natural weathering (rock decomposition via chemical and physical processes) in an artificial way to speed up chemical reactions that permanently sequester CO</w:t>
      </w:r>
      <w:r w:rsidRPr="000136D9">
        <w:rPr>
          <w:vertAlign w:val="subscript"/>
        </w:rPr>
        <w:t>2</w:t>
      </w:r>
      <w:r>
        <w:t xml:space="preserve"> in carbonate minerals or ocean alkalinity. Rock material is ground into powder to maximize the reactive </w:t>
      </w:r>
      <w:r>
        <w:lastRenderedPageBreak/>
        <w:t xml:space="preserve">surface area and applied to soils, open </w:t>
      </w:r>
      <w:proofErr w:type="gramStart"/>
      <w:r>
        <w:t>ocean</w:t>
      </w:r>
      <w:proofErr w:type="gramEnd"/>
      <w:r>
        <w:t xml:space="preserve"> and coastal zones. It has the potential to </w:t>
      </w:r>
      <w:r w:rsidRPr="002D6D50">
        <w:rPr>
          <w:lang w:val="en-US"/>
        </w:rPr>
        <w:t>impro</w:t>
      </w:r>
      <w:r>
        <w:rPr>
          <w:lang w:val="en-US"/>
        </w:rPr>
        <w:t>ve</w:t>
      </w:r>
      <w:r>
        <w:t xml:space="preserve"> soil quality in tropical regions but field experiments at scale are missing </w:t>
      </w:r>
      <w:proofErr w:type="gramStart"/>
      <w:r>
        <w:t>in order to</w:t>
      </w:r>
      <w:proofErr w:type="gramEnd"/>
      <w:r>
        <w:t xml:space="preserve"> evaluate EW impact on biogeochemical circles, biomass and carbon stocks in soils and plants.</w:t>
      </w:r>
      <w:r>
        <w:rPr>
          <w:rStyle w:val="FootnoteReference"/>
          <w:rFonts w:asciiTheme="majorBidi" w:hAnsiTheme="majorBidi" w:cstheme="majorBidi"/>
          <w:lang w:val="en-US"/>
        </w:rPr>
        <w:footnoteReference w:id="94"/>
      </w:r>
      <w:r>
        <w:t xml:space="preserve"> Side effects are enumerated in Table 1</w:t>
      </w:r>
      <w:r w:rsidRPr="002D6D50">
        <w:rPr>
          <w:lang w:val="en-US"/>
        </w:rPr>
        <w:t xml:space="preserve"> in annex</w:t>
      </w:r>
      <w:r>
        <w:t xml:space="preserve">. EW is permanent meaning geological residence times. EW can be simultaneously used with other land-based technologies – afforestation, soil carbon sequestration and bioenergy – because of its effect on additional biomass production. The main carbon penalty of EW is created by the energy demand for rock grinding. </w:t>
      </w:r>
    </w:p>
    <w:p w14:paraId="6FA7F47E" w14:textId="77777777" w:rsidR="00D2735B" w:rsidRPr="00E53B53" w:rsidRDefault="00D2735B" w:rsidP="00D2735B">
      <w:pPr>
        <w:pStyle w:val="SingleTxtG"/>
        <w:rPr>
          <w:rFonts w:asciiTheme="majorBidi" w:hAnsiTheme="majorBidi" w:cstheme="majorBidi"/>
          <w:lang w:val="en-US"/>
        </w:rPr>
      </w:pPr>
      <w:r>
        <w:rPr>
          <w:rFonts w:asciiTheme="majorBidi" w:hAnsiTheme="majorBidi" w:cstheme="majorBidi"/>
          <w:bCs/>
          <w:lang w:val="en-US"/>
        </w:rPr>
        <w:t>12.</w:t>
      </w:r>
      <w:r>
        <w:rPr>
          <w:rFonts w:asciiTheme="majorBidi" w:hAnsiTheme="majorBidi" w:cstheme="majorBidi"/>
          <w:bCs/>
          <w:lang w:val="en-US"/>
        </w:rPr>
        <w:tab/>
      </w:r>
      <w:r w:rsidRPr="000136D9">
        <w:rPr>
          <w:rFonts w:asciiTheme="majorBidi" w:hAnsiTheme="majorBidi" w:cstheme="majorBidi"/>
          <w:b/>
          <w:lang w:val="en-US"/>
        </w:rPr>
        <w:t>Ocean fertilization (OF)</w:t>
      </w:r>
      <w:r w:rsidRPr="0058282E">
        <w:rPr>
          <w:rFonts w:asciiTheme="majorBidi" w:hAnsiTheme="majorBidi" w:cstheme="majorBidi"/>
          <w:lang w:val="en-US"/>
        </w:rPr>
        <w:t>.</w:t>
      </w:r>
      <w:r w:rsidRPr="00E53B53">
        <w:rPr>
          <w:rFonts w:asciiTheme="majorBidi" w:hAnsiTheme="majorBidi" w:cstheme="majorBidi"/>
          <w:lang w:val="en-US"/>
        </w:rPr>
        <w:t xml:space="preserve"> </w:t>
      </w:r>
      <w:r w:rsidRPr="0020750D">
        <w:rPr>
          <w:rFonts w:asciiTheme="majorBidi" w:hAnsiTheme="majorBidi" w:cstheme="majorBidi"/>
        </w:rPr>
        <w:t>London Convention and London Protocol</w:t>
      </w:r>
      <w:r w:rsidRPr="00DE3FF8">
        <w:rPr>
          <w:rFonts w:asciiTheme="majorBidi" w:hAnsiTheme="majorBidi" w:cstheme="majorBidi"/>
          <w:lang w:val="en-US"/>
        </w:rPr>
        <w:t xml:space="preserve"> </w:t>
      </w:r>
      <w:r w:rsidRPr="0020750D">
        <w:rPr>
          <w:rFonts w:asciiTheme="majorBidi" w:hAnsiTheme="majorBidi" w:cstheme="majorBidi"/>
        </w:rPr>
        <w:t>de</w:t>
      </w:r>
      <w:r w:rsidRPr="00E53B53">
        <w:rPr>
          <w:rFonts w:asciiTheme="majorBidi" w:hAnsiTheme="majorBidi" w:cstheme="majorBidi"/>
          <w:lang w:val="en-US"/>
        </w:rPr>
        <w:t>fi</w:t>
      </w:r>
      <w:proofErr w:type="spellStart"/>
      <w:r w:rsidRPr="0020750D">
        <w:rPr>
          <w:rFonts w:asciiTheme="majorBidi" w:hAnsiTheme="majorBidi" w:cstheme="majorBidi"/>
        </w:rPr>
        <w:t>nes</w:t>
      </w:r>
      <w:proofErr w:type="spellEnd"/>
      <w:r w:rsidRPr="0020750D">
        <w:rPr>
          <w:rFonts w:asciiTheme="majorBidi" w:hAnsiTheme="majorBidi" w:cstheme="majorBidi"/>
        </w:rPr>
        <w:t xml:space="preserve"> ocean fertilization as any activity undertaken by humans with the principal intention of stimulating primary productivity in the oceans, not including conventional aquaculture, or mariculture, or the creation of arti</w:t>
      </w:r>
      <w:r w:rsidRPr="0020750D">
        <w:rPr>
          <w:rFonts w:asciiTheme="majorBidi" w:hAnsiTheme="majorBidi" w:cstheme="majorBidi"/>
        </w:rPr>
        <w:softHyphen/>
      </w:r>
      <w:r w:rsidRPr="00DE3FF8">
        <w:rPr>
          <w:rFonts w:asciiTheme="majorBidi" w:hAnsiTheme="majorBidi" w:cstheme="majorBidi"/>
          <w:lang w:val="en-US"/>
        </w:rPr>
        <w:t>f</w:t>
      </w:r>
      <w:r>
        <w:rPr>
          <w:rFonts w:asciiTheme="majorBidi" w:hAnsiTheme="majorBidi" w:cstheme="majorBidi"/>
          <w:lang w:val="en-US"/>
        </w:rPr>
        <w:t>i</w:t>
      </w:r>
      <w:proofErr w:type="spellStart"/>
      <w:r w:rsidRPr="0020750D">
        <w:rPr>
          <w:rFonts w:asciiTheme="majorBidi" w:hAnsiTheme="majorBidi" w:cstheme="majorBidi"/>
        </w:rPr>
        <w:t>cial</w:t>
      </w:r>
      <w:proofErr w:type="spellEnd"/>
      <w:r w:rsidRPr="0020750D">
        <w:rPr>
          <w:rFonts w:asciiTheme="majorBidi" w:hAnsiTheme="majorBidi" w:cstheme="majorBidi"/>
        </w:rPr>
        <w:t xml:space="preserve"> reefs</w:t>
      </w:r>
      <w:r w:rsidRPr="00E53B53">
        <w:rPr>
          <w:rFonts w:asciiTheme="majorBidi" w:hAnsiTheme="majorBidi" w:cstheme="majorBidi"/>
          <w:lang w:val="en-US"/>
        </w:rPr>
        <w:t>.</w:t>
      </w:r>
      <w:r>
        <w:rPr>
          <w:rFonts w:asciiTheme="majorBidi" w:hAnsiTheme="majorBidi" w:cstheme="majorBidi"/>
          <w:lang w:val="en-US"/>
        </w:rPr>
        <w:t xml:space="preserve"> It entails deliberately adding nutrients (often iron) to the upper ocean waters to increase biological </w:t>
      </w:r>
      <w:r w:rsidRPr="008E4316">
        <w:t>production</w:t>
      </w:r>
      <w:r>
        <w:rPr>
          <w:rFonts w:asciiTheme="majorBidi" w:hAnsiTheme="majorBidi" w:cstheme="majorBidi"/>
          <w:lang w:val="en-US"/>
        </w:rPr>
        <w:t xml:space="preserve"> (mostly algal bloom) or upwelling of nutrient-rich deep ocean water. It requires acting upon large surfaces and velocities. Side effects are discussed in Table 1. OF is considered a low efficiency technology given wide impact on ecosystems, logistical costs, uncertain permanence of CO</w:t>
      </w:r>
      <w:r w:rsidRPr="000136D9">
        <w:rPr>
          <w:rFonts w:asciiTheme="majorBidi" w:hAnsiTheme="majorBidi" w:cstheme="majorBidi"/>
          <w:vertAlign w:val="subscript"/>
          <w:lang w:val="en-US"/>
        </w:rPr>
        <w:t>2</w:t>
      </w:r>
      <w:r>
        <w:rPr>
          <w:rFonts w:asciiTheme="majorBidi" w:hAnsiTheme="majorBidi" w:cstheme="majorBidi"/>
          <w:lang w:val="en-US"/>
        </w:rPr>
        <w:t xml:space="preserve"> storage and side effects. </w:t>
      </w:r>
    </w:p>
    <w:p w14:paraId="195B8980" w14:textId="77777777" w:rsidR="00D2735B" w:rsidRPr="000136D9" w:rsidRDefault="00D2735B" w:rsidP="00D2735B">
      <w:pPr>
        <w:pStyle w:val="H4G"/>
      </w:pPr>
      <w:r>
        <w:tab/>
      </w:r>
      <w:r>
        <w:tab/>
      </w:r>
      <w:r w:rsidRPr="000136D9">
        <w:t xml:space="preserve">Solar Radiation </w:t>
      </w:r>
      <w:r>
        <w:t>Modification</w:t>
      </w:r>
      <w:r w:rsidRPr="000136D9">
        <w:t xml:space="preserve"> (SRM)</w:t>
      </w:r>
    </w:p>
    <w:p w14:paraId="67B6B390" w14:textId="77777777" w:rsidR="00D2735B" w:rsidRPr="0020750D" w:rsidRDefault="00D2735B" w:rsidP="00D2735B">
      <w:pPr>
        <w:pStyle w:val="SingleTxtG"/>
        <w:rPr>
          <w:rFonts w:asciiTheme="majorBidi" w:hAnsiTheme="majorBidi" w:cstheme="majorBidi"/>
        </w:rPr>
      </w:pPr>
      <w:r>
        <w:rPr>
          <w:rFonts w:asciiTheme="majorBidi" w:hAnsiTheme="majorBidi" w:cstheme="majorBidi"/>
        </w:rPr>
        <w:t>13.</w:t>
      </w:r>
      <w:r>
        <w:rPr>
          <w:rFonts w:asciiTheme="majorBidi" w:hAnsiTheme="majorBidi" w:cstheme="majorBidi"/>
        </w:rPr>
        <w:tab/>
      </w:r>
      <w:r w:rsidRPr="0020750D">
        <w:rPr>
          <w:rFonts w:asciiTheme="majorBidi" w:hAnsiTheme="majorBidi" w:cstheme="majorBidi"/>
        </w:rPr>
        <w:t xml:space="preserve">SRM </w:t>
      </w:r>
      <w:r>
        <w:rPr>
          <w:rFonts w:asciiTheme="majorBidi" w:hAnsiTheme="majorBidi" w:cstheme="majorBidi"/>
          <w:lang w:val="en-US"/>
        </w:rPr>
        <w:t>attempts</w:t>
      </w:r>
      <w:r w:rsidRPr="0020750D">
        <w:rPr>
          <w:rFonts w:asciiTheme="majorBidi" w:hAnsiTheme="majorBidi" w:cstheme="majorBidi"/>
        </w:rPr>
        <w:t xml:space="preserve"> to modify the reflectivity of the Earth system (albedo)</w:t>
      </w:r>
      <w:r>
        <w:rPr>
          <w:rFonts w:asciiTheme="majorBidi" w:hAnsiTheme="majorBidi" w:cstheme="majorBidi"/>
        </w:rPr>
        <w:t xml:space="preserve"> to</w:t>
      </w:r>
      <w:r w:rsidRPr="0020750D">
        <w:rPr>
          <w:rFonts w:asciiTheme="majorBidi" w:hAnsiTheme="majorBidi" w:cstheme="majorBidi"/>
        </w:rPr>
        <w:t xml:space="preserve"> reduc</w:t>
      </w:r>
      <w:r>
        <w:rPr>
          <w:rFonts w:asciiTheme="majorBidi" w:hAnsiTheme="majorBidi" w:cstheme="majorBidi"/>
        </w:rPr>
        <w:t>e</w:t>
      </w:r>
      <w:r w:rsidRPr="0020750D">
        <w:rPr>
          <w:rFonts w:asciiTheme="majorBidi" w:hAnsiTheme="majorBidi" w:cstheme="majorBidi"/>
        </w:rPr>
        <w:t xml:space="preserve"> incoming solar radiation</w:t>
      </w:r>
      <w:r w:rsidRPr="0020362E">
        <w:rPr>
          <w:rFonts w:asciiTheme="majorBidi" w:hAnsiTheme="majorBidi" w:cstheme="majorBidi"/>
          <w:lang w:val="en-US"/>
        </w:rPr>
        <w:t xml:space="preserve">. </w:t>
      </w:r>
      <w:r>
        <w:rPr>
          <w:rFonts w:asciiTheme="majorBidi" w:hAnsiTheme="majorBidi" w:cstheme="majorBidi"/>
          <w:lang w:val="en-US"/>
        </w:rPr>
        <w:t>Unlike CDR, it does not act on the causes of climate change (concentration of CO</w:t>
      </w:r>
      <w:r w:rsidRPr="000136D9">
        <w:rPr>
          <w:rFonts w:asciiTheme="majorBidi" w:hAnsiTheme="majorBidi" w:cstheme="majorBidi"/>
          <w:vertAlign w:val="subscript"/>
          <w:lang w:val="en-US"/>
        </w:rPr>
        <w:t>2</w:t>
      </w:r>
      <w:r>
        <w:rPr>
          <w:rFonts w:asciiTheme="majorBidi" w:hAnsiTheme="majorBidi" w:cstheme="majorBidi"/>
          <w:lang w:val="en-US"/>
        </w:rPr>
        <w:t xml:space="preserve"> in the atmosphere) but on its impacts. </w:t>
      </w:r>
      <w:r w:rsidRPr="0020362E">
        <w:rPr>
          <w:rFonts w:asciiTheme="majorBidi" w:hAnsiTheme="majorBidi" w:cstheme="majorBidi"/>
          <w:lang w:val="en-US"/>
        </w:rPr>
        <w:t xml:space="preserve">It </w:t>
      </w:r>
      <w:r>
        <w:rPr>
          <w:rFonts w:asciiTheme="majorBidi" w:hAnsiTheme="majorBidi" w:cstheme="majorBidi"/>
          <w:lang w:val="en-US"/>
        </w:rPr>
        <w:t xml:space="preserve">needs to be adequately stressed that SRM </w:t>
      </w:r>
      <w:r w:rsidRPr="0020362E">
        <w:rPr>
          <w:rFonts w:asciiTheme="majorBidi" w:hAnsiTheme="majorBidi" w:cstheme="majorBidi"/>
          <w:lang w:val="en-US"/>
        </w:rPr>
        <w:t xml:space="preserve">is </w:t>
      </w:r>
      <w:r w:rsidRPr="00E53B53">
        <w:rPr>
          <w:rFonts w:asciiTheme="majorBidi" w:hAnsiTheme="majorBidi" w:cstheme="majorBidi"/>
          <w:lang w:val="en-US"/>
        </w:rPr>
        <w:t xml:space="preserve">a unique technology that </w:t>
      </w:r>
      <w:r>
        <w:rPr>
          <w:rFonts w:asciiTheme="majorBidi" w:hAnsiTheme="majorBidi" w:cstheme="majorBidi"/>
          <w:lang w:val="en-US"/>
        </w:rPr>
        <w:t>has</w:t>
      </w:r>
      <w:r w:rsidRPr="00E53B53">
        <w:rPr>
          <w:rFonts w:asciiTheme="majorBidi" w:hAnsiTheme="majorBidi" w:cstheme="majorBidi"/>
          <w:lang w:val="en-US"/>
        </w:rPr>
        <w:t xml:space="preserve"> to be </w:t>
      </w:r>
      <w:proofErr w:type="spellStart"/>
      <w:r w:rsidRPr="00E53B53">
        <w:rPr>
          <w:rFonts w:asciiTheme="majorBidi" w:hAnsiTheme="majorBidi" w:cstheme="majorBidi"/>
          <w:lang w:val="en-US"/>
        </w:rPr>
        <w:t>analysed</w:t>
      </w:r>
      <w:proofErr w:type="spellEnd"/>
      <w:r w:rsidRPr="00E53B53">
        <w:rPr>
          <w:rFonts w:asciiTheme="majorBidi" w:hAnsiTheme="majorBidi" w:cstheme="majorBidi"/>
          <w:lang w:val="en-US"/>
        </w:rPr>
        <w:t xml:space="preserve"> in separation as it “</w:t>
      </w:r>
      <w:r w:rsidRPr="0020750D">
        <w:rPr>
          <w:rFonts w:asciiTheme="majorBidi" w:hAnsiTheme="majorBidi" w:cstheme="majorBidi"/>
        </w:rPr>
        <w:t xml:space="preserve">contrasts with climate change mitigation activities, such as emission reductions and carbon dioxide removal (CDR), as it introduces a ‘mask’ to the climate change problem by altering the Earth’s radiation budget, rather than attempting to address the root cause of the problem, which is </w:t>
      </w:r>
      <w:r w:rsidRPr="00372FF2">
        <w:rPr>
          <w:rFonts w:asciiTheme="majorBidi" w:hAnsiTheme="majorBidi" w:cstheme="majorBidi"/>
          <w:lang w:val="en-US"/>
        </w:rPr>
        <w:t>the</w:t>
      </w:r>
      <w:r w:rsidRPr="0020750D">
        <w:rPr>
          <w:rFonts w:asciiTheme="majorBidi" w:hAnsiTheme="majorBidi" w:cstheme="majorBidi"/>
        </w:rPr>
        <w:t xml:space="preserve"> increase in greenhouse gases (GHGs) in the atmosphere.</w:t>
      </w:r>
      <w:r w:rsidRPr="00E53B53">
        <w:rPr>
          <w:rFonts w:asciiTheme="majorBidi" w:hAnsiTheme="majorBidi" w:cstheme="majorBidi"/>
          <w:lang w:val="en-US"/>
        </w:rPr>
        <w:t>”</w:t>
      </w:r>
      <w:r>
        <w:rPr>
          <w:rStyle w:val="FootnoteReference"/>
          <w:rFonts w:asciiTheme="majorBidi" w:hAnsiTheme="majorBidi" w:cstheme="majorBidi"/>
          <w:lang w:val="en-US"/>
        </w:rPr>
        <w:footnoteReference w:id="95"/>
      </w:r>
      <w:r w:rsidRPr="0020750D">
        <w:rPr>
          <w:rFonts w:asciiTheme="majorBidi" w:hAnsiTheme="majorBidi" w:cstheme="majorBidi"/>
        </w:rPr>
        <w:t xml:space="preserve"> </w:t>
      </w:r>
    </w:p>
    <w:p w14:paraId="671380C3" w14:textId="77777777" w:rsidR="00D2735B" w:rsidRPr="00CB0A78" w:rsidRDefault="00D2735B" w:rsidP="00D2735B">
      <w:pPr>
        <w:pStyle w:val="SingleTxtG"/>
        <w:rPr>
          <w:rFonts w:asciiTheme="majorBidi" w:eastAsiaTheme="minorEastAsia" w:hAnsiTheme="majorBidi" w:cstheme="majorBidi"/>
        </w:rPr>
      </w:pPr>
      <w:r>
        <w:rPr>
          <w:rFonts w:asciiTheme="majorBidi" w:eastAsiaTheme="minorEastAsia" w:hAnsiTheme="majorBidi" w:cstheme="majorBidi"/>
        </w:rPr>
        <w:t>14</w:t>
      </w:r>
      <w:r w:rsidRPr="00CB0A78">
        <w:rPr>
          <w:rFonts w:asciiTheme="majorBidi" w:eastAsiaTheme="minorEastAsia" w:hAnsiTheme="majorBidi" w:cstheme="majorBidi"/>
        </w:rPr>
        <w:t>.</w:t>
      </w:r>
      <w:r w:rsidRPr="00CB0A78">
        <w:rPr>
          <w:rFonts w:asciiTheme="majorBidi" w:eastAsiaTheme="minorEastAsia" w:hAnsiTheme="majorBidi" w:cstheme="majorBidi"/>
        </w:rPr>
        <w:tab/>
        <w:t xml:space="preserve">Some forms of SRM, notably stratospheric aerosol injection (SAI), may result in regionally and globally unpredictable changes in hydrological patterns, harm to the ozone layer, dimming, reduced photosynthesis, crop growth changes and associated with the </w:t>
      </w:r>
      <w:proofErr w:type="gramStart"/>
      <w:r w:rsidRPr="00CB0A78">
        <w:rPr>
          <w:rFonts w:asciiTheme="majorBidi" w:eastAsiaTheme="minorEastAsia" w:hAnsiTheme="majorBidi" w:cstheme="majorBidi"/>
        </w:rPr>
        <w:t>aforementioned further</w:t>
      </w:r>
      <w:proofErr w:type="gramEnd"/>
      <w:r w:rsidRPr="00CB0A78">
        <w:rPr>
          <w:rFonts w:asciiTheme="majorBidi" w:eastAsiaTheme="minorEastAsia" w:hAnsiTheme="majorBidi" w:cstheme="majorBidi"/>
        </w:rPr>
        <w:t xml:space="preserve"> cascading risks in the social and political systems and relations. Despite the presumed average global temperature decrease, all these risks would be amplified by the fact that, once applied at scale, SAI would be irreversible and cause geographically uneven, potentially international conflict provoking consequences and would have to be continued to avoid the rapid and extensive warming after cessation (“termination shock”). There are other, more localized forms of SRM currently tested. The first field experiment of marine cloud brightening was conducted over the coral reef in Australia in 2021. Nano-sized droplets engineered to brighten clouds and block sunlight were dispersed over the reef.</w:t>
      </w:r>
      <w:r w:rsidRPr="00322B85">
        <w:rPr>
          <w:rFonts w:eastAsiaTheme="minorEastAsia"/>
          <w:vertAlign w:val="superscript"/>
        </w:rPr>
        <w:footnoteReference w:id="96"/>
      </w:r>
      <w:r w:rsidRPr="00CB0A78">
        <w:rPr>
          <w:rFonts w:asciiTheme="majorBidi" w:eastAsiaTheme="minorEastAsia" w:hAnsiTheme="majorBidi" w:cstheme="majorBidi"/>
        </w:rPr>
        <w:t xml:space="preserve"> Another method is used by the Arctic Ice project, which aims to improve the Arctic’s ice cap reflectivity by dispersing silica microbeads over the ice sheet. The project is criticized by indigenous communities.</w:t>
      </w:r>
      <w:r w:rsidRPr="00322B85">
        <w:rPr>
          <w:rFonts w:eastAsiaTheme="minorEastAsia"/>
          <w:vertAlign w:val="superscript"/>
        </w:rPr>
        <w:footnoteReference w:id="97"/>
      </w:r>
      <w:r w:rsidRPr="00CB0A78">
        <w:rPr>
          <w:rFonts w:asciiTheme="majorBidi" w:eastAsiaTheme="minorEastAsia" w:hAnsiTheme="majorBidi" w:cstheme="majorBidi"/>
        </w:rPr>
        <w:t xml:space="preserve"> SRM marine engineering technologies (as well as CDR marine technologies: ocean alkalinity enhancement and electrochemical CDR or biomass cultivation for carbon removal) have the potential to cause deleterious effects that are widespread, </w:t>
      </w:r>
      <w:proofErr w:type="gramStart"/>
      <w:r w:rsidRPr="00CB0A78">
        <w:rPr>
          <w:rFonts w:asciiTheme="majorBidi" w:eastAsiaTheme="minorEastAsia" w:hAnsiTheme="majorBidi" w:cstheme="majorBidi"/>
        </w:rPr>
        <w:t>long-lasting</w:t>
      </w:r>
      <w:proofErr w:type="gramEnd"/>
      <w:r w:rsidRPr="00CB0A78">
        <w:rPr>
          <w:rFonts w:asciiTheme="majorBidi" w:eastAsiaTheme="minorEastAsia" w:hAnsiTheme="majorBidi" w:cstheme="majorBidi"/>
        </w:rPr>
        <w:t xml:space="preserve"> or </w:t>
      </w:r>
      <w:r w:rsidRPr="00937190">
        <w:rPr>
          <w:rFonts w:asciiTheme="majorBidi" w:hAnsiTheme="majorBidi" w:cstheme="majorBidi"/>
        </w:rPr>
        <w:t>severe</w:t>
      </w:r>
      <w:r w:rsidRPr="00CB0A78">
        <w:rPr>
          <w:rFonts w:asciiTheme="majorBidi" w:eastAsiaTheme="minorEastAsia" w:hAnsiTheme="majorBidi" w:cstheme="majorBidi"/>
        </w:rPr>
        <w:t>.</w:t>
      </w:r>
    </w:p>
    <w:p w14:paraId="723FB6CB" w14:textId="77777777" w:rsidR="00D2735B" w:rsidRDefault="00D2735B" w:rsidP="00D2735B">
      <w:pPr>
        <w:pStyle w:val="SingleTxtG"/>
        <w:rPr>
          <w:rFonts w:asciiTheme="majorBidi" w:eastAsiaTheme="minorEastAsia" w:hAnsiTheme="majorBidi" w:cstheme="majorBidi"/>
        </w:rPr>
      </w:pPr>
      <w:r w:rsidRPr="00937190">
        <w:rPr>
          <w:rFonts w:asciiTheme="majorBidi" w:eastAsiaTheme="minorEastAsia" w:hAnsiTheme="majorBidi" w:cstheme="majorBidi"/>
        </w:rPr>
        <w:t>15</w:t>
      </w:r>
      <w:r>
        <w:rPr>
          <w:rFonts w:asciiTheme="majorBidi" w:eastAsiaTheme="minorEastAsia" w:hAnsiTheme="majorBidi" w:cstheme="majorBidi"/>
          <w:b/>
          <w:bCs/>
        </w:rPr>
        <w:t>.</w:t>
      </w:r>
      <w:r>
        <w:rPr>
          <w:rFonts w:asciiTheme="majorBidi" w:eastAsiaTheme="minorEastAsia" w:hAnsiTheme="majorBidi" w:cstheme="majorBidi"/>
          <w:b/>
          <w:bCs/>
        </w:rPr>
        <w:tab/>
      </w:r>
      <w:r w:rsidRPr="00CB0A78">
        <w:rPr>
          <w:rFonts w:asciiTheme="majorBidi" w:eastAsiaTheme="minorEastAsia" w:hAnsiTheme="majorBidi" w:cstheme="majorBidi"/>
          <w:b/>
          <w:bCs/>
        </w:rPr>
        <w:t>SAI case study</w:t>
      </w:r>
      <w:r w:rsidRPr="00CB0A78">
        <w:rPr>
          <w:rFonts w:asciiTheme="majorBidi" w:eastAsiaTheme="minorEastAsia" w:hAnsiTheme="majorBidi" w:cstheme="majorBidi"/>
        </w:rPr>
        <w:t>. In 2021 Harvard´s Solar Geoengineering Research Program, the most advanced in stratospheric aerosol injection (SAI) technology research group, attempted to conduct a stratospheric controlled perturbation experiment (</w:t>
      </w:r>
      <w:proofErr w:type="spellStart"/>
      <w:r w:rsidRPr="00CB0A78">
        <w:rPr>
          <w:rFonts w:asciiTheme="majorBidi" w:eastAsiaTheme="minorEastAsia" w:hAnsiTheme="majorBidi" w:cstheme="majorBidi"/>
        </w:rPr>
        <w:t>SCoPEx</w:t>
      </w:r>
      <w:proofErr w:type="spellEnd"/>
      <w:r w:rsidRPr="00CB0A78">
        <w:rPr>
          <w:rFonts w:asciiTheme="majorBidi" w:eastAsiaTheme="minorEastAsia" w:hAnsiTheme="majorBidi" w:cstheme="majorBidi"/>
        </w:rPr>
        <w:t xml:space="preserve">) test at the Swedish Space Corporation in Kiruna, northern Sweden. It would entail dispersing a small amount </w:t>
      </w:r>
      <w:r w:rsidRPr="00CB0A78">
        <w:rPr>
          <w:rFonts w:asciiTheme="majorBidi" w:eastAsiaTheme="minorEastAsia" w:hAnsiTheme="majorBidi" w:cstheme="majorBidi"/>
        </w:rPr>
        <w:lastRenderedPageBreak/>
        <w:t xml:space="preserve">(100g-2kg) of calcium carbonate or </w:t>
      </w:r>
      <w:proofErr w:type="spellStart"/>
      <w:r w:rsidRPr="00CB0A78">
        <w:rPr>
          <w:rFonts w:asciiTheme="majorBidi" w:eastAsiaTheme="minorEastAsia" w:hAnsiTheme="majorBidi" w:cstheme="majorBidi"/>
        </w:rPr>
        <w:t>sulfates</w:t>
      </w:r>
      <w:proofErr w:type="spellEnd"/>
      <w:r w:rsidRPr="00CB0A78">
        <w:rPr>
          <w:rFonts w:asciiTheme="majorBidi" w:eastAsiaTheme="minorEastAsia" w:hAnsiTheme="majorBidi" w:cstheme="majorBidi"/>
        </w:rPr>
        <w:t xml:space="preserve">, material to “make quantitative measurements of aspects of the aerosol microphysics and atmospheric chemistry that are currently highly uncertain in the simulations” and, according to the testers, would “pose no significant hazard to people or the environment” </w:t>
      </w:r>
      <w:r w:rsidRPr="00322B85">
        <w:rPr>
          <w:rFonts w:asciiTheme="majorBidi" w:eastAsiaTheme="minorEastAsia" w:hAnsiTheme="majorBidi" w:cstheme="majorBidi"/>
          <w:vertAlign w:val="superscript"/>
        </w:rPr>
        <w:footnoteReference w:id="98"/>
      </w:r>
      <w:r w:rsidRPr="00CB0A78">
        <w:rPr>
          <w:rFonts w:asciiTheme="majorBidi" w:eastAsiaTheme="minorEastAsia" w:hAnsiTheme="majorBidi" w:cstheme="majorBidi"/>
        </w:rPr>
        <w:t xml:space="preserve">. However, there had not been any consultations with </w:t>
      </w:r>
      <w:r>
        <w:rPr>
          <w:rFonts w:asciiTheme="majorBidi" w:eastAsiaTheme="minorEastAsia" w:hAnsiTheme="majorBidi" w:cstheme="majorBidi"/>
        </w:rPr>
        <w:t>Indigenous Peoples</w:t>
      </w:r>
      <w:r w:rsidRPr="00CB0A78">
        <w:rPr>
          <w:rFonts w:asciiTheme="majorBidi" w:eastAsiaTheme="minorEastAsia" w:hAnsiTheme="majorBidi" w:cstheme="majorBidi"/>
        </w:rPr>
        <w:t xml:space="preserve"> conducted prior to the experiment, nor had they been informed if it. </w:t>
      </w:r>
    </w:p>
    <w:p w14:paraId="04EA2E35" w14:textId="5EBC6866" w:rsidR="00DC700C" w:rsidRPr="002D6D50" w:rsidRDefault="00D2735B" w:rsidP="00DC700C">
      <w:pPr>
        <w:pStyle w:val="SingleTxtG"/>
        <w:rPr>
          <w:rFonts w:asciiTheme="majorBidi" w:eastAsiaTheme="minorEastAsia" w:hAnsiTheme="majorBidi" w:cstheme="majorBidi"/>
        </w:rPr>
      </w:pPr>
      <w:r>
        <w:rPr>
          <w:rFonts w:asciiTheme="majorBidi" w:eastAsiaTheme="minorEastAsia" w:hAnsiTheme="majorBidi" w:cstheme="majorBidi"/>
        </w:rPr>
        <w:t>16</w:t>
      </w:r>
      <w:r w:rsidRPr="00CB0A78">
        <w:rPr>
          <w:rFonts w:asciiTheme="majorBidi" w:eastAsiaTheme="minorEastAsia" w:hAnsiTheme="majorBidi" w:cstheme="majorBidi"/>
        </w:rPr>
        <w:t>.</w:t>
      </w:r>
      <w:r w:rsidRPr="00CB0A78">
        <w:rPr>
          <w:rFonts w:asciiTheme="majorBidi" w:eastAsiaTheme="minorEastAsia" w:hAnsiTheme="majorBidi" w:cstheme="majorBidi"/>
        </w:rPr>
        <w:tab/>
      </w:r>
      <w:r w:rsidRPr="002D6D50">
        <w:rPr>
          <w:rFonts w:asciiTheme="majorBidi" w:eastAsiaTheme="minorEastAsia" w:hAnsiTheme="majorBidi" w:cstheme="majorBidi"/>
        </w:rPr>
        <w:t xml:space="preserve">The Saami Council learned in February 2021 of the plans for the experiment in </w:t>
      </w:r>
      <w:proofErr w:type="spellStart"/>
      <w:r w:rsidRPr="002D6D50">
        <w:rPr>
          <w:rFonts w:asciiTheme="majorBidi" w:eastAsiaTheme="minorEastAsia" w:hAnsiTheme="majorBidi" w:cstheme="majorBidi"/>
        </w:rPr>
        <w:t>Sápmi</w:t>
      </w:r>
      <w:proofErr w:type="spellEnd"/>
      <w:r w:rsidRPr="002D6D50">
        <w:rPr>
          <w:rFonts w:asciiTheme="majorBidi" w:eastAsiaTheme="minorEastAsia" w:hAnsiTheme="majorBidi" w:cstheme="majorBidi"/>
        </w:rPr>
        <w:t xml:space="preserve">, Sámi land, and previous unrealized </w:t>
      </w:r>
      <w:proofErr w:type="spellStart"/>
      <w:r w:rsidRPr="002D6D50">
        <w:rPr>
          <w:rFonts w:asciiTheme="majorBidi" w:eastAsiaTheme="minorEastAsia" w:hAnsiTheme="majorBidi" w:cstheme="majorBidi"/>
        </w:rPr>
        <w:t>SCoPEx</w:t>
      </w:r>
      <w:proofErr w:type="spellEnd"/>
      <w:r w:rsidRPr="002D6D50">
        <w:rPr>
          <w:rFonts w:asciiTheme="majorBidi" w:eastAsiaTheme="minorEastAsia" w:hAnsiTheme="majorBidi" w:cstheme="majorBidi"/>
        </w:rPr>
        <w:t xml:space="preserve"> attempts in the United States from indigenous contacts from north America. In 2018 there was a field test to be conducted in Tucson, Arizona, which did not materialize. Communities of Indigenous Peoples opposed to it</w:t>
      </w:r>
      <w:r>
        <w:rPr>
          <w:rFonts w:asciiTheme="majorBidi" w:eastAsiaTheme="minorEastAsia" w:hAnsiTheme="majorBidi" w:cstheme="majorBidi"/>
        </w:rPr>
        <w:t>.</w:t>
      </w:r>
      <w:r w:rsidRPr="002D6D50">
        <w:rPr>
          <w:rFonts w:asciiTheme="majorBidi" w:eastAsiaTheme="minorEastAsia" w:hAnsiTheme="majorBidi" w:cstheme="majorBidi"/>
          <w:vertAlign w:val="superscript"/>
        </w:rPr>
        <w:footnoteReference w:id="99"/>
      </w:r>
      <w:r w:rsidRPr="002D6D50">
        <w:rPr>
          <w:rFonts w:asciiTheme="majorBidi" w:eastAsiaTheme="minorEastAsia" w:hAnsiTheme="majorBidi" w:cstheme="majorBidi"/>
        </w:rPr>
        <w:t xml:space="preserve">. In February 2021, the Saami Council together with Swedish environmental organizations sent an open letter to the </w:t>
      </w:r>
      <w:proofErr w:type="spellStart"/>
      <w:r w:rsidRPr="002D6D50">
        <w:rPr>
          <w:rFonts w:asciiTheme="majorBidi" w:eastAsiaTheme="minorEastAsia" w:hAnsiTheme="majorBidi" w:cstheme="majorBidi"/>
        </w:rPr>
        <w:t>SCoPEx</w:t>
      </w:r>
      <w:proofErr w:type="spellEnd"/>
      <w:r w:rsidRPr="002D6D50">
        <w:rPr>
          <w:rFonts w:asciiTheme="majorBidi" w:eastAsiaTheme="minorEastAsia" w:hAnsiTheme="majorBidi" w:cstheme="majorBidi"/>
        </w:rPr>
        <w:t xml:space="preserve"> advisory committee, copying the Swedish Space Corporation and three ministers in the Swedish government, saying that</w:t>
      </w:r>
      <w:r w:rsidRPr="002D6D50">
        <w:rPr>
          <w:rFonts w:asciiTheme="majorBidi" w:eastAsiaTheme="minorEastAsia" w:hAnsiTheme="majorBidi" w:cstheme="majorBidi"/>
          <w:i/>
          <w:iCs/>
        </w:rPr>
        <w:t xml:space="preserve"> </w:t>
      </w:r>
      <w:r w:rsidRPr="002D6D50">
        <w:rPr>
          <w:rFonts w:asciiTheme="majorBidi" w:eastAsiaTheme="minorEastAsia" w:hAnsiTheme="majorBidi" w:cstheme="majorBidi"/>
        </w:rPr>
        <w:t xml:space="preserve">“SAI is a technology that entails risks of catastrophic consequences, including the impact of uncontrolled termination, and irreversible </w:t>
      </w:r>
      <w:proofErr w:type="spellStart"/>
      <w:r w:rsidRPr="002D6D50">
        <w:rPr>
          <w:rFonts w:asciiTheme="majorBidi" w:eastAsiaTheme="minorEastAsia" w:hAnsiTheme="majorBidi" w:cstheme="majorBidi"/>
        </w:rPr>
        <w:t>sociopolitical</w:t>
      </w:r>
      <w:proofErr w:type="spellEnd"/>
      <w:r w:rsidRPr="002D6D50">
        <w:rPr>
          <w:rFonts w:asciiTheme="majorBidi" w:eastAsiaTheme="minorEastAsia" w:hAnsiTheme="majorBidi" w:cstheme="majorBidi"/>
        </w:rPr>
        <w:t xml:space="preserve"> effects that could compromise the world’s necessary efforts to achieve zero-carbon societies. There are therefore no acceptable reasons for allowing the </w:t>
      </w:r>
      <w:proofErr w:type="spellStart"/>
      <w:r w:rsidRPr="002D6D50">
        <w:rPr>
          <w:rFonts w:asciiTheme="majorBidi" w:eastAsiaTheme="minorEastAsia" w:hAnsiTheme="majorBidi" w:cstheme="majorBidi"/>
        </w:rPr>
        <w:t>SCoPEx</w:t>
      </w:r>
      <w:proofErr w:type="spellEnd"/>
      <w:r w:rsidRPr="002D6D50">
        <w:rPr>
          <w:rFonts w:asciiTheme="majorBidi" w:eastAsiaTheme="minorEastAsia" w:hAnsiTheme="majorBidi" w:cstheme="majorBidi"/>
        </w:rPr>
        <w:t xml:space="preserve"> project to be conducted either in Sweden or elsewhere.”</w:t>
      </w:r>
      <w:r w:rsidRPr="002D6D50">
        <w:rPr>
          <w:rFonts w:asciiTheme="majorBidi" w:eastAsiaTheme="minorEastAsia" w:hAnsiTheme="majorBidi" w:cstheme="majorBidi"/>
          <w:vertAlign w:val="superscript"/>
        </w:rPr>
        <w:footnoteReference w:id="100"/>
      </w:r>
      <w:r w:rsidRPr="002D6D50">
        <w:rPr>
          <w:rFonts w:asciiTheme="majorBidi" w:eastAsiaTheme="minorEastAsia" w:hAnsiTheme="majorBidi" w:cstheme="majorBidi"/>
        </w:rPr>
        <w:t xml:space="preserve"> The letter focused on the physical risks of SRM and on the problematic ethics, responsibility and decision making, and – predominantly on the risk of deterring the necessary climate action.</w:t>
      </w:r>
      <w:r w:rsidRPr="002D6D50">
        <w:rPr>
          <w:rFonts w:asciiTheme="majorBidi" w:eastAsiaTheme="minorEastAsia" w:hAnsiTheme="majorBidi" w:cstheme="majorBidi"/>
          <w:vertAlign w:val="superscript"/>
        </w:rPr>
        <w:footnoteReference w:id="101"/>
      </w:r>
      <w:r w:rsidRPr="002D6D50">
        <w:rPr>
          <w:rFonts w:asciiTheme="majorBidi" w:eastAsiaTheme="minorEastAsia" w:hAnsiTheme="majorBidi" w:cstheme="majorBidi"/>
        </w:rPr>
        <w:t xml:space="preserve"> The Swedish Space Corporation contacted the Saami Council after receiving the letter, wanting to know more of the Saami Council position. Later the Swedish Space Corporation</w:t>
      </w:r>
      <w:r w:rsidRPr="002D6D50" w:rsidDel="00393F3B">
        <w:rPr>
          <w:rFonts w:asciiTheme="majorBidi" w:eastAsiaTheme="minorEastAsia" w:hAnsiTheme="majorBidi" w:cstheme="majorBidi"/>
        </w:rPr>
        <w:t xml:space="preserve"> </w:t>
      </w:r>
      <w:r w:rsidRPr="002D6D50">
        <w:rPr>
          <w:rFonts w:asciiTheme="majorBidi" w:eastAsiaTheme="minorEastAsia" w:hAnsiTheme="majorBidi" w:cstheme="majorBidi"/>
        </w:rPr>
        <w:t xml:space="preserve">informed the Saami Council of the Corporation’s withdrawal from the experiment. After the cancellation of the test in Kiruna, the Saami Council initiated a letter to Harvard University reiterating the position of opposing to the development of solar geoengineering technology and invited other Indigenous Peoples organizations to sign the letter showing their support for the position. The letter gained the support of 36 Indigenous Peoples organizations from different regions of the world. </w:t>
      </w:r>
    </w:p>
    <w:p w14:paraId="6F6E8CCA" w14:textId="7EEB47EC" w:rsidR="00D2735B" w:rsidRPr="002D6D50" w:rsidRDefault="00DC700C" w:rsidP="00D2735B">
      <w:pPr>
        <w:pStyle w:val="SingleTxtG"/>
        <w:rPr>
          <w:rFonts w:asciiTheme="majorBidi" w:eastAsiaTheme="minorEastAsia" w:hAnsiTheme="majorBidi" w:cstheme="majorBidi"/>
        </w:rPr>
      </w:pPr>
      <w:r>
        <w:rPr>
          <w:rFonts w:asciiTheme="majorBidi" w:eastAsiaTheme="minorEastAsia" w:hAnsiTheme="majorBidi" w:cstheme="majorBidi"/>
        </w:rPr>
        <w:t>17.</w:t>
      </w:r>
      <w:r>
        <w:rPr>
          <w:rFonts w:asciiTheme="majorBidi" w:eastAsiaTheme="minorEastAsia" w:hAnsiTheme="majorBidi" w:cstheme="majorBidi"/>
        </w:rPr>
        <w:tab/>
      </w:r>
      <w:r w:rsidR="00D2735B" w:rsidRPr="002D6D50">
        <w:rPr>
          <w:rFonts w:asciiTheme="majorBidi" w:eastAsiaTheme="minorEastAsia" w:hAnsiTheme="majorBidi" w:cstheme="majorBidi"/>
        </w:rPr>
        <w:t xml:space="preserve">The case study shows lack of consideration for Indigenous Peoples rights in SRM field tests, the need for free prior and informed consent of Indigenous Peoples, lack of broader consultations with the government, local authorities, civil and scientific </w:t>
      </w:r>
      <w:proofErr w:type="gramStart"/>
      <w:r w:rsidR="00D2735B" w:rsidRPr="002D6D50">
        <w:rPr>
          <w:rFonts w:asciiTheme="majorBidi" w:eastAsiaTheme="minorEastAsia" w:hAnsiTheme="majorBidi" w:cstheme="majorBidi"/>
        </w:rPr>
        <w:t>society</w:t>
      </w:r>
      <w:proofErr w:type="gramEnd"/>
      <w:r w:rsidR="00D2735B" w:rsidRPr="002D6D50">
        <w:rPr>
          <w:rFonts w:asciiTheme="majorBidi" w:eastAsiaTheme="minorEastAsia" w:hAnsiTheme="majorBidi" w:cstheme="majorBidi"/>
        </w:rPr>
        <w:t xml:space="preserve"> and local communities.</w:t>
      </w:r>
    </w:p>
    <w:p w14:paraId="7F1C0ABA" w14:textId="77777777" w:rsidR="00D2735B" w:rsidRDefault="00D2735B" w:rsidP="00D2735B">
      <w:pPr>
        <w:pStyle w:val="Heading1"/>
      </w:pPr>
      <w:r w:rsidRPr="00CB0A78">
        <w:t>Table 1. Positive and negative side effects of NTCPs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5"/>
        <w:gridCol w:w="2162"/>
        <w:gridCol w:w="3163"/>
      </w:tblGrid>
      <w:tr w:rsidR="00D2735B" w:rsidRPr="00596DE7" w14:paraId="54D066C9" w14:textId="77777777" w:rsidTr="002D1648">
        <w:trPr>
          <w:tblHeader/>
        </w:trPr>
        <w:tc>
          <w:tcPr>
            <w:tcW w:w="2045" w:type="dxa"/>
            <w:tcBorders>
              <w:top w:val="single" w:sz="4" w:space="0" w:color="auto"/>
              <w:bottom w:val="single" w:sz="12" w:space="0" w:color="auto"/>
            </w:tcBorders>
            <w:shd w:val="clear" w:color="auto" w:fill="auto"/>
            <w:vAlign w:val="bottom"/>
          </w:tcPr>
          <w:p w14:paraId="71D490C1" w14:textId="77777777" w:rsidR="00D2735B" w:rsidRPr="00596DE7" w:rsidRDefault="00D2735B" w:rsidP="002D1648">
            <w:pPr>
              <w:spacing w:before="80" w:after="80" w:line="200" w:lineRule="exact"/>
              <w:ind w:right="113"/>
              <w:rPr>
                <w:i/>
                <w:sz w:val="16"/>
              </w:rPr>
            </w:pPr>
            <w:r w:rsidRPr="00596DE7">
              <w:rPr>
                <w:i/>
                <w:sz w:val="16"/>
              </w:rPr>
              <w:t>CDR Technology</w:t>
            </w:r>
          </w:p>
        </w:tc>
        <w:tc>
          <w:tcPr>
            <w:tcW w:w="2162" w:type="dxa"/>
            <w:tcBorders>
              <w:top w:val="single" w:sz="4" w:space="0" w:color="auto"/>
              <w:bottom w:val="single" w:sz="12" w:space="0" w:color="auto"/>
            </w:tcBorders>
            <w:shd w:val="clear" w:color="auto" w:fill="auto"/>
            <w:vAlign w:val="bottom"/>
          </w:tcPr>
          <w:p w14:paraId="02C240D1" w14:textId="77777777" w:rsidR="00D2735B" w:rsidRPr="00596DE7" w:rsidRDefault="00D2735B" w:rsidP="002D1648">
            <w:pPr>
              <w:spacing w:before="80" w:after="80" w:line="200" w:lineRule="exact"/>
              <w:ind w:right="113"/>
              <w:rPr>
                <w:i/>
                <w:sz w:val="16"/>
              </w:rPr>
            </w:pPr>
            <w:r w:rsidRPr="00596DE7">
              <w:rPr>
                <w:i/>
                <w:sz w:val="16"/>
              </w:rPr>
              <w:t>Positive side effects</w:t>
            </w:r>
          </w:p>
        </w:tc>
        <w:tc>
          <w:tcPr>
            <w:tcW w:w="3163" w:type="dxa"/>
            <w:tcBorders>
              <w:top w:val="single" w:sz="4" w:space="0" w:color="auto"/>
              <w:bottom w:val="single" w:sz="12" w:space="0" w:color="auto"/>
            </w:tcBorders>
            <w:shd w:val="clear" w:color="auto" w:fill="auto"/>
            <w:vAlign w:val="bottom"/>
          </w:tcPr>
          <w:p w14:paraId="713D3969" w14:textId="77777777" w:rsidR="00D2735B" w:rsidRPr="00596DE7" w:rsidRDefault="00D2735B" w:rsidP="002D1648">
            <w:pPr>
              <w:spacing w:before="80" w:after="80" w:line="200" w:lineRule="exact"/>
              <w:ind w:right="113"/>
              <w:rPr>
                <w:i/>
                <w:sz w:val="16"/>
              </w:rPr>
            </w:pPr>
            <w:r w:rsidRPr="00596DE7">
              <w:rPr>
                <w:i/>
                <w:sz w:val="16"/>
              </w:rPr>
              <w:t>Negative side effects</w:t>
            </w:r>
          </w:p>
        </w:tc>
      </w:tr>
      <w:tr w:rsidR="00D2735B" w:rsidRPr="00596DE7" w14:paraId="3CF586C8" w14:textId="77777777" w:rsidTr="002D1648">
        <w:trPr>
          <w:trHeight w:hRule="exact" w:val="113"/>
        </w:trPr>
        <w:tc>
          <w:tcPr>
            <w:tcW w:w="2045" w:type="dxa"/>
            <w:tcBorders>
              <w:top w:val="single" w:sz="12" w:space="0" w:color="auto"/>
            </w:tcBorders>
            <w:shd w:val="clear" w:color="auto" w:fill="auto"/>
          </w:tcPr>
          <w:p w14:paraId="5A03FE51" w14:textId="77777777" w:rsidR="00D2735B" w:rsidRPr="00596DE7" w:rsidRDefault="00D2735B" w:rsidP="002D1648">
            <w:pPr>
              <w:spacing w:before="40" w:after="120"/>
              <w:ind w:right="113"/>
            </w:pPr>
          </w:p>
        </w:tc>
        <w:tc>
          <w:tcPr>
            <w:tcW w:w="2162" w:type="dxa"/>
            <w:tcBorders>
              <w:top w:val="single" w:sz="12" w:space="0" w:color="auto"/>
            </w:tcBorders>
            <w:shd w:val="clear" w:color="auto" w:fill="auto"/>
          </w:tcPr>
          <w:p w14:paraId="66404656" w14:textId="77777777" w:rsidR="00D2735B" w:rsidRPr="00596DE7" w:rsidRDefault="00D2735B" w:rsidP="002D1648">
            <w:pPr>
              <w:spacing w:before="40" w:after="120"/>
              <w:ind w:right="113"/>
            </w:pPr>
          </w:p>
        </w:tc>
        <w:tc>
          <w:tcPr>
            <w:tcW w:w="3163" w:type="dxa"/>
            <w:tcBorders>
              <w:top w:val="single" w:sz="12" w:space="0" w:color="auto"/>
            </w:tcBorders>
            <w:shd w:val="clear" w:color="auto" w:fill="auto"/>
          </w:tcPr>
          <w:p w14:paraId="4AD73413" w14:textId="77777777" w:rsidR="00D2735B" w:rsidRPr="00596DE7" w:rsidRDefault="00D2735B" w:rsidP="002D1648">
            <w:pPr>
              <w:spacing w:before="40" w:after="120"/>
              <w:ind w:right="113"/>
            </w:pPr>
          </w:p>
        </w:tc>
      </w:tr>
      <w:tr w:rsidR="00D2735B" w:rsidRPr="00596DE7" w14:paraId="6901A9CA" w14:textId="77777777" w:rsidTr="002D1648">
        <w:tc>
          <w:tcPr>
            <w:tcW w:w="2045" w:type="dxa"/>
            <w:shd w:val="clear" w:color="auto" w:fill="auto"/>
          </w:tcPr>
          <w:p w14:paraId="3240843E" w14:textId="77777777" w:rsidR="00D2735B" w:rsidRPr="00596DE7" w:rsidRDefault="00D2735B" w:rsidP="002D1648">
            <w:pPr>
              <w:spacing w:before="40" w:after="120"/>
              <w:ind w:right="113"/>
              <w:rPr>
                <w:b/>
                <w:bCs/>
              </w:rPr>
            </w:pPr>
            <w:r w:rsidRPr="00596DE7">
              <w:rPr>
                <w:b/>
                <w:bCs/>
              </w:rPr>
              <w:t>DACCS</w:t>
            </w:r>
          </w:p>
          <w:p w14:paraId="701E1357" w14:textId="77777777" w:rsidR="00D2735B" w:rsidRPr="00596DE7" w:rsidRDefault="00D2735B" w:rsidP="002D1648">
            <w:pPr>
              <w:spacing w:before="40" w:after="120"/>
              <w:ind w:right="113"/>
              <w:rPr>
                <w:vertAlign w:val="superscript"/>
              </w:rPr>
            </w:pPr>
            <w:r w:rsidRPr="00596DE7">
              <w:t>Potential: 0.5-5 GtCO</w:t>
            </w:r>
            <w:r w:rsidRPr="00596DE7">
              <w:rPr>
                <w:vertAlign w:val="subscript"/>
              </w:rPr>
              <w:t>2</w:t>
            </w:r>
            <w:r w:rsidRPr="00596DE7">
              <w:t xml:space="preserve"> yr</w:t>
            </w:r>
            <w:r w:rsidRPr="00596DE7">
              <w:rPr>
                <w:vertAlign w:val="superscript"/>
              </w:rPr>
              <w:t>-1</w:t>
            </w:r>
          </w:p>
          <w:p w14:paraId="4CD8E21F" w14:textId="77777777" w:rsidR="00D2735B" w:rsidRPr="00596DE7" w:rsidRDefault="00D2735B" w:rsidP="002D1648">
            <w:pPr>
              <w:spacing w:before="40" w:after="120"/>
              <w:ind w:right="113"/>
            </w:pPr>
            <w:r w:rsidRPr="00596DE7">
              <w:t>Cost: 100-300 US$/tCO</w:t>
            </w:r>
            <w:r w:rsidRPr="00596DE7">
              <w:rPr>
                <w:vertAlign w:val="subscript"/>
              </w:rPr>
              <w:t>2</w:t>
            </w:r>
          </w:p>
        </w:tc>
        <w:tc>
          <w:tcPr>
            <w:tcW w:w="2162" w:type="dxa"/>
            <w:shd w:val="clear" w:color="auto" w:fill="auto"/>
          </w:tcPr>
          <w:p w14:paraId="3767A04B" w14:textId="77777777" w:rsidR="00D2735B" w:rsidRPr="00596DE7" w:rsidRDefault="00D2735B" w:rsidP="002D1648">
            <w:pPr>
              <w:spacing w:before="40" w:after="120"/>
              <w:ind w:right="113"/>
            </w:pPr>
            <w:r w:rsidRPr="00596DE7">
              <w:t>certain applications can improve indoor air quality</w:t>
            </w:r>
          </w:p>
        </w:tc>
        <w:tc>
          <w:tcPr>
            <w:tcW w:w="3163" w:type="dxa"/>
            <w:shd w:val="clear" w:color="auto" w:fill="auto"/>
          </w:tcPr>
          <w:p w14:paraId="1D7D3FB4" w14:textId="77777777" w:rsidR="00D2735B" w:rsidRPr="00596DE7" w:rsidRDefault="00D2735B" w:rsidP="002D1648">
            <w:pPr>
              <w:spacing w:before="40" w:after="120"/>
              <w:ind w:right="113"/>
            </w:pPr>
            <w:r w:rsidRPr="00596DE7">
              <w:t>CO</w:t>
            </w:r>
            <w:r w:rsidRPr="00596DE7">
              <w:rPr>
                <w:vertAlign w:val="subscript"/>
              </w:rPr>
              <w:t>2</w:t>
            </w:r>
            <w:r w:rsidRPr="00596DE7">
              <w:t xml:space="preserve"> penalty if high (thermal) energy demand satisfied by fossil fuels (</w:t>
            </w:r>
            <w:r w:rsidRPr="00596DE7">
              <w:rPr>
                <w:b/>
                <w:bCs/>
              </w:rPr>
              <w:t>not NTCP</w:t>
            </w:r>
            <w:r w:rsidRPr="00596DE7">
              <w:t xml:space="preserve">); currently high front-up capital costs; insufficiently studied; material/waste implications (the chemical footprint of the processes: production of chemicals, production of waste, and for hydroxide-based DAC, the amount of chlorine produced); </w:t>
            </w:r>
            <w:proofErr w:type="spellStart"/>
            <w:r w:rsidRPr="00596DE7">
              <w:t>spacial</w:t>
            </w:r>
            <w:proofErr w:type="spellEnd"/>
            <w:r w:rsidRPr="00596DE7">
              <w:t xml:space="preserve"> requirements</w:t>
            </w:r>
          </w:p>
        </w:tc>
      </w:tr>
      <w:tr w:rsidR="00D2735B" w:rsidRPr="00596DE7" w14:paraId="358C7A92" w14:textId="77777777" w:rsidTr="002D1648">
        <w:tc>
          <w:tcPr>
            <w:tcW w:w="2045" w:type="dxa"/>
            <w:shd w:val="clear" w:color="auto" w:fill="auto"/>
          </w:tcPr>
          <w:p w14:paraId="7FDB9C92" w14:textId="77777777" w:rsidR="00D2735B" w:rsidRPr="00596DE7" w:rsidRDefault="00D2735B" w:rsidP="002D1648">
            <w:pPr>
              <w:spacing w:before="40" w:after="120"/>
              <w:ind w:right="113"/>
              <w:rPr>
                <w:b/>
                <w:bCs/>
              </w:rPr>
            </w:pPr>
            <w:r w:rsidRPr="00596DE7">
              <w:rPr>
                <w:b/>
                <w:bCs/>
              </w:rPr>
              <w:lastRenderedPageBreak/>
              <w:t>Ocean fertilization</w:t>
            </w:r>
          </w:p>
          <w:p w14:paraId="2712865A" w14:textId="77777777" w:rsidR="00D2735B" w:rsidRPr="00596DE7" w:rsidRDefault="00D2735B" w:rsidP="002D1648">
            <w:pPr>
              <w:spacing w:before="40" w:after="120"/>
              <w:ind w:right="113"/>
              <w:rPr>
                <w:vertAlign w:val="superscript"/>
              </w:rPr>
            </w:pPr>
            <w:r w:rsidRPr="00596DE7">
              <w:t>Potential: extremely limited</w:t>
            </w:r>
          </w:p>
          <w:p w14:paraId="0CB8E12C" w14:textId="77777777" w:rsidR="00D2735B" w:rsidRPr="00596DE7" w:rsidRDefault="00D2735B" w:rsidP="002D1648">
            <w:pPr>
              <w:spacing w:before="40" w:after="120"/>
              <w:ind w:right="113"/>
            </w:pPr>
          </w:p>
        </w:tc>
        <w:tc>
          <w:tcPr>
            <w:tcW w:w="2162" w:type="dxa"/>
            <w:shd w:val="clear" w:color="auto" w:fill="auto"/>
          </w:tcPr>
          <w:p w14:paraId="2BA30A7C" w14:textId="77777777" w:rsidR="00D2735B" w:rsidRPr="00596DE7" w:rsidRDefault="00D2735B" w:rsidP="002D1648">
            <w:pPr>
              <w:spacing w:before="40" w:after="120"/>
              <w:ind w:right="113"/>
            </w:pPr>
            <w:r w:rsidRPr="00596DE7">
              <w:t>Potential increase in fish catches, enhanced biological production</w:t>
            </w:r>
          </w:p>
        </w:tc>
        <w:tc>
          <w:tcPr>
            <w:tcW w:w="3163" w:type="dxa"/>
            <w:shd w:val="clear" w:color="auto" w:fill="auto"/>
          </w:tcPr>
          <w:p w14:paraId="28D6050D" w14:textId="77777777" w:rsidR="00D2735B" w:rsidRPr="00596DE7" w:rsidRDefault="00D2735B" w:rsidP="002D1648">
            <w:pPr>
              <w:spacing w:before="40" w:after="120"/>
              <w:ind w:right="113"/>
            </w:pPr>
            <w:r w:rsidRPr="00596DE7">
              <w:t>Limited potential; possible adverse impacts on marine biology and food web structure; deep water oxygen decline; changes to nutrient balance; anoxia in surface ocean; probable enhanced N</w:t>
            </w:r>
            <w:r w:rsidRPr="00596DE7">
              <w:rPr>
                <w:vertAlign w:val="subscript"/>
              </w:rPr>
              <w:t>2</w:t>
            </w:r>
            <w:r w:rsidRPr="00596DE7">
              <w:t>O and CH</w:t>
            </w:r>
            <w:r w:rsidRPr="00596DE7">
              <w:rPr>
                <w:vertAlign w:val="subscript"/>
              </w:rPr>
              <w:t>4</w:t>
            </w:r>
            <w:r w:rsidRPr="00596DE7">
              <w:t xml:space="preserve"> production</w:t>
            </w:r>
          </w:p>
        </w:tc>
      </w:tr>
      <w:tr w:rsidR="00D2735B" w:rsidRPr="00596DE7" w14:paraId="3B88E32D" w14:textId="77777777" w:rsidTr="002D1648">
        <w:tc>
          <w:tcPr>
            <w:tcW w:w="2045" w:type="dxa"/>
            <w:tcBorders>
              <w:bottom w:val="single" w:sz="12" w:space="0" w:color="auto"/>
            </w:tcBorders>
            <w:shd w:val="clear" w:color="auto" w:fill="auto"/>
          </w:tcPr>
          <w:p w14:paraId="69470B61" w14:textId="77777777" w:rsidR="00D2735B" w:rsidRPr="00596DE7" w:rsidRDefault="00D2735B" w:rsidP="002D1648">
            <w:pPr>
              <w:spacing w:before="40" w:after="120"/>
              <w:ind w:right="113"/>
              <w:rPr>
                <w:b/>
                <w:bCs/>
              </w:rPr>
            </w:pPr>
            <w:r w:rsidRPr="00596DE7">
              <w:rPr>
                <w:b/>
                <w:bCs/>
              </w:rPr>
              <w:t>Enhanced weathering</w:t>
            </w:r>
          </w:p>
          <w:p w14:paraId="658C67FF" w14:textId="77777777" w:rsidR="00D2735B" w:rsidRPr="00596DE7" w:rsidRDefault="00D2735B" w:rsidP="002D1648">
            <w:pPr>
              <w:spacing w:before="40" w:after="120"/>
              <w:ind w:right="113"/>
              <w:rPr>
                <w:vertAlign w:val="superscript"/>
              </w:rPr>
            </w:pPr>
            <w:r w:rsidRPr="00596DE7">
              <w:t>Potential: 2-4 GtCO</w:t>
            </w:r>
            <w:r w:rsidRPr="00596DE7">
              <w:rPr>
                <w:vertAlign w:val="subscript"/>
              </w:rPr>
              <w:t>2</w:t>
            </w:r>
            <w:r w:rsidRPr="00596DE7">
              <w:t xml:space="preserve"> yr</w:t>
            </w:r>
            <w:r w:rsidRPr="00596DE7">
              <w:rPr>
                <w:vertAlign w:val="superscript"/>
              </w:rPr>
              <w:t>-1</w:t>
            </w:r>
          </w:p>
          <w:p w14:paraId="567E80B8" w14:textId="77777777" w:rsidR="00D2735B" w:rsidRPr="00596DE7" w:rsidRDefault="00D2735B" w:rsidP="002D1648">
            <w:pPr>
              <w:spacing w:before="40" w:after="120"/>
              <w:ind w:right="113"/>
              <w:rPr>
                <w:b/>
                <w:bCs/>
              </w:rPr>
            </w:pPr>
            <w:r w:rsidRPr="00596DE7">
              <w:t>Cost: 50-200 US$/tCO</w:t>
            </w:r>
            <w:r w:rsidRPr="00596DE7">
              <w:rPr>
                <w:vertAlign w:val="subscript"/>
              </w:rPr>
              <w:t>2</w:t>
            </w:r>
          </w:p>
        </w:tc>
        <w:tc>
          <w:tcPr>
            <w:tcW w:w="2162" w:type="dxa"/>
            <w:tcBorders>
              <w:bottom w:val="single" w:sz="12" w:space="0" w:color="auto"/>
            </w:tcBorders>
            <w:shd w:val="clear" w:color="auto" w:fill="auto"/>
          </w:tcPr>
          <w:p w14:paraId="4E1CFFF0" w14:textId="77777777" w:rsidR="00D2735B" w:rsidRPr="00596DE7" w:rsidRDefault="00D2735B" w:rsidP="002D1648">
            <w:pPr>
              <w:spacing w:before="40" w:after="120"/>
              <w:ind w:right="113"/>
            </w:pPr>
            <w:r w:rsidRPr="00596DE7">
              <w:t>Increase in crop yields; improved plant nutrition, soil fertility, nutrient and moisture; increase in soil pH</w:t>
            </w:r>
          </w:p>
        </w:tc>
        <w:tc>
          <w:tcPr>
            <w:tcW w:w="3163" w:type="dxa"/>
            <w:tcBorders>
              <w:bottom w:val="single" w:sz="12" w:space="0" w:color="auto"/>
            </w:tcBorders>
            <w:shd w:val="clear" w:color="auto" w:fill="auto"/>
          </w:tcPr>
          <w:p w14:paraId="49938602" w14:textId="77777777" w:rsidR="00D2735B" w:rsidRPr="00596DE7" w:rsidRDefault="00D2735B" w:rsidP="002D1648">
            <w:pPr>
              <w:spacing w:before="40" w:after="120"/>
              <w:ind w:right="113"/>
            </w:pPr>
            <w:r w:rsidRPr="00596DE7">
              <w:t>Human health risks from fine grained material (it may contain asbestos-related minerals); ecological impacts of mineral extraction and transport on a massive scale; direct and indirect land use change if biomass sourced from dedicated crops, potential heavy metal release (</w:t>
            </w:r>
            <w:proofErr w:type="gramStart"/>
            <w:r w:rsidRPr="00596DE7">
              <w:t>e.g.</w:t>
            </w:r>
            <w:proofErr w:type="gramEnd"/>
            <w:r w:rsidRPr="00596DE7">
              <w:t xml:space="preserve"> Ni and Cr) in case of inappropriate material use; changes in soil hydraulic properties</w:t>
            </w:r>
          </w:p>
        </w:tc>
      </w:tr>
    </w:tbl>
    <w:p w14:paraId="06042868" w14:textId="2333366D" w:rsidR="00D2735B" w:rsidRDefault="00D2735B" w:rsidP="00DC700C">
      <w:pPr>
        <w:ind w:left="993"/>
        <w:rPr>
          <w:rFonts w:asciiTheme="majorBidi" w:hAnsiTheme="majorBidi" w:cstheme="majorBidi"/>
          <w:lang w:val="x-none"/>
        </w:rPr>
      </w:pPr>
      <w:r>
        <w:rPr>
          <w:rFonts w:asciiTheme="majorBidi" w:hAnsiTheme="majorBidi" w:cstheme="majorBidi"/>
        </w:rPr>
        <w:t>Table</w:t>
      </w:r>
      <w:r w:rsidRPr="00CB0A78">
        <w:rPr>
          <w:rFonts w:asciiTheme="majorBidi" w:hAnsiTheme="majorBidi" w:cstheme="majorBidi"/>
          <w:lang w:val="x-none"/>
        </w:rPr>
        <w:t xml:space="preserve"> based on Jan C Minx </w:t>
      </w:r>
      <w:r w:rsidRPr="00CB0A78">
        <w:rPr>
          <w:rFonts w:asciiTheme="majorBidi" w:hAnsiTheme="majorBidi" w:cstheme="majorBidi"/>
          <w:i/>
          <w:iCs/>
          <w:lang w:val="x-none"/>
        </w:rPr>
        <w:t>et al</w:t>
      </w:r>
      <w:r w:rsidRPr="00CB0A78">
        <w:rPr>
          <w:rFonts w:asciiTheme="majorBidi" w:hAnsiTheme="majorBidi" w:cstheme="majorBidi"/>
          <w:lang w:val="x-none"/>
        </w:rPr>
        <w:t> 2018 </w:t>
      </w:r>
      <w:r w:rsidRPr="00CB0A78">
        <w:rPr>
          <w:rFonts w:asciiTheme="majorBidi" w:hAnsiTheme="majorBidi" w:cstheme="majorBidi"/>
          <w:i/>
          <w:iCs/>
          <w:lang w:val="x-none"/>
        </w:rPr>
        <w:t>Environ. Res. Lett.</w:t>
      </w:r>
      <w:r w:rsidRPr="00CB0A78">
        <w:rPr>
          <w:rFonts w:asciiTheme="majorBidi" w:hAnsiTheme="majorBidi" w:cstheme="majorBidi"/>
          <w:lang w:val="x-none"/>
        </w:rPr>
        <w:t> </w:t>
      </w:r>
      <w:r w:rsidRPr="00CB0A78">
        <w:rPr>
          <w:rFonts w:asciiTheme="majorBidi" w:hAnsiTheme="majorBidi" w:cstheme="majorBidi"/>
          <w:b/>
          <w:bCs/>
          <w:lang w:val="x-none"/>
        </w:rPr>
        <w:t>13</w:t>
      </w:r>
      <w:r w:rsidRPr="00CB0A78">
        <w:rPr>
          <w:rFonts w:asciiTheme="majorBidi" w:hAnsiTheme="majorBidi" w:cstheme="majorBidi"/>
          <w:lang w:val="x-none"/>
        </w:rPr>
        <w:t> 06300</w:t>
      </w:r>
      <w:r w:rsidRPr="00CB0A78">
        <w:rPr>
          <w:rFonts w:asciiTheme="majorBidi" w:hAnsiTheme="majorBidi" w:cstheme="majorBidi"/>
        </w:rPr>
        <w:t>1</w:t>
      </w:r>
      <w:r w:rsidRPr="00CB0A78">
        <w:rPr>
          <w:rFonts w:asciiTheme="majorBidi" w:hAnsiTheme="majorBidi" w:cstheme="majorBidi"/>
          <w:lang w:val="x-none"/>
        </w:rPr>
        <w:t>, amended.</w:t>
      </w:r>
    </w:p>
    <w:p w14:paraId="47B43D08" w14:textId="2070B55A" w:rsidR="00D2735B" w:rsidRPr="008406BD" w:rsidRDefault="00D2735B" w:rsidP="008406BD">
      <w:pPr>
        <w:pStyle w:val="SingleTxtG"/>
        <w:spacing w:before="240" w:after="0"/>
        <w:jc w:val="center"/>
        <w:rPr>
          <w:u w:val="single"/>
        </w:rPr>
      </w:pPr>
      <w:r>
        <w:rPr>
          <w:u w:val="single"/>
        </w:rPr>
        <w:tab/>
      </w:r>
      <w:r>
        <w:rPr>
          <w:u w:val="single"/>
        </w:rPr>
        <w:tab/>
      </w:r>
      <w:r>
        <w:rPr>
          <w:u w:val="single"/>
        </w:rPr>
        <w:tab/>
      </w:r>
      <w:r>
        <w:rPr>
          <w:u w:val="single"/>
        </w:rPr>
        <w:tab/>
      </w:r>
    </w:p>
    <w:sectPr w:rsidR="00D2735B" w:rsidRPr="008406BD" w:rsidSect="00D2735B">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BB70" w14:textId="77777777" w:rsidR="00274F23" w:rsidRPr="00C47B2E" w:rsidRDefault="00274F23" w:rsidP="00C47B2E">
      <w:pPr>
        <w:pStyle w:val="Footer"/>
      </w:pPr>
    </w:p>
  </w:endnote>
  <w:endnote w:type="continuationSeparator" w:id="0">
    <w:p w14:paraId="15AC30EC" w14:textId="77777777" w:rsidR="00274F23" w:rsidRPr="00C47B2E" w:rsidRDefault="00274F23" w:rsidP="00C47B2E">
      <w:pPr>
        <w:pStyle w:val="Footer"/>
      </w:pPr>
    </w:p>
  </w:endnote>
  <w:endnote w:type="continuationNotice" w:id="1">
    <w:p w14:paraId="15A698C5" w14:textId="77777777" w:rsidR="00274F23" w:rsidRPr="00C47B2E" w:rsidRDefault="00274F2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rsEav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22FD" w14:textId="22CB8AFF" w:rsidR="002A6222" w:rsidRDefault="002A6222" w:rsidP="00B102FB">
    <w:pPr>
      <w:pStyle w:val="Footer"/>
      <w:tabs>
        <w:tab w:val="right" w:pos="9638"/>
      </w:tabs>
    </w:pP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D01B61">
      <w:rPr>
        <w:b/>
        <w:bCs/>
        <w:noProof/>
        <w:sz w:val="18"/>
      </w:rPr>
      <w:t>4</w:t>
    </w:r>
    <w:r w:rsidRPr="00CC34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8851" w14:textId="1D026C67" w:rsidR="002A6222" w:rsidRDefault="002A6222" w:rsidP="00B102FB">
    <w:pPr>
      <w:pStyle w:val="Footer"/>
      <w:tabs>
        <w:tab w:val="right" w:pos="9638"/>
      </w:tabs>
    </w:pPr>
    <w:r>
      <w:tab/>
    </w: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D01B61">
      <w:rPr>
        <w:b/>
        <w:bCs/>
        <w:noProof/>
        <w:sz w:val="18"/>
      </w:rPr>
      <w:t>5</w:t>
    </w:r>
    <w:r w:rsidRPr="00CC34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0706" w14:textId="77777777" w:rsidR="00605DAB" w:rsidRDefault="00605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EAE" w14:textId="16948965" w:rsidR="002A6222" w:rsidRDefault="002A6222" w:rsidP="00D56EC1">
    <w:pPr>
      <w:pStyle w:val="Footer"/>
      <w:tabs>
        <w:tab w:val="right" w:pos="9638"/>
      </w:tabs>
    </w:pPr>
    <w:r w:rsidRPr="00CD1D0C">
      <w:rPr>
        <w:b/>
        <w:bCs/>
        <w:sz w:val="18"/>
      </w:rPr>
      <w:fldChar w:fldCharType="begin"/>
    </w:r>
    <w:r w:rsidRPr="00CD1D0C">
      <w:rPr>
        <w:b/>
        <w:bCs/>
        <w:sz w:val="18"/>
      </w:rPr>
      <w:instrText xml:space="preserve"> PAGE  \* MERGEFORMAT </w:instrText>
    </w:r>
    <w:r w:rsidRPr="00CD1D0C">
      <w:rPr>
        <w:b/>
        <w:bCs/>
        <w:sz w:val="18"/>
      </w:rPr>
      <w:fldChar w:fldCharType="separate"/>
    </w:r>
    <w:r w:rsidR="000D28A6">
      <w:rPr>
        <w:b/>
        <w:bCs/>
        <w:noProof/>
        <w:sz w:val="18"/>
      </w:rPr>
      <w:t>46</w:t>
    </w:r>
    <w:r w:rsidRPr="00CD1D0C">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0D1D" w14:textId="278C0105" w:rsidR="002A6222" w:rsidRDefault="002A6222" w:rsidP="00CD1D0C">
    <w:pPr>
      <w:pStyle w:val="Footer"/>
      <w:tabs>
        <w:tab w:val="right" w:pos="9638"/>
      </w:tabs>
    </w:pPr>
    <w:r>
      <w:tab/>
    </w:r>
    <w:r w:rsidRPr="00CD1D0C">
      <w:rPr>
        <w:b/>
        <w:bCs/>
        <w:sz w:val="18"/>
      </w:rPr>
      <w:fldChar w:fldCharType="begin"/>
    </w:r>
    <w:r w:rsidRPr="00CD1D0C">
      <w:rPr>
        <w:b/>
        <w:bCs/>
        <w:sz w:val="18"/>
      </w:rPr>
      <w:instrText xml:space="preserve"> PAGE  \* MERGEFORMAT </w:instrText>
    </w:r>
    <w:r w:rsidRPr="00CD1D0C">
      <w:rPr>
        <w:b/>
        <w:bCs/>
        <w:sz w:val="18"/>
      </w:rPr>
      <w:fldChar w:fldCharType="separate"/>
    </w:r>
    <w:r w:rsidR="000D28A6">
      <w:rPr>
        <w:b/>
        <w:bCs/>
        <w:noProof/>
        <w:sz w:val="18"/>
      </w:rPr>
      <w:t>45</w:t>
    </w:r>
    <w:r w:rsidRPr="00CD1D0C">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DF4E" w14:textId="61648848" w:rsidR="002A6222" w:rsidRDefault="002A6222" w:rsidP="00A301D5">
    <w:pPr>
      <w:pStyle w:val="Footer"/>
      <w:rPr>
        <w:sz w:val="20"/>
      </w:rPr>
    </w:pPr>
    <w:r w:rsidRPr="0027112F">
      <w:rPr>
        <w:noProof/>
        <w:lang w:eastAsia="en-GB"/>
      </w:rPr>
      <w:drawing>
        <wp:anchor distT="0" distB="0" distL="114300" distR="114300" simplePos="0" relativeHeight="251658240" behindDoc="0" locked="1" layoutInCell="1" allowOverlap="1" wp14:anchorId="32C6F315" wp14:editId="156843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C93E" w14:textId="77777777" w:rsidR="00274F23" w:rsidRPr="00C47B2E" w:rsidRDefault="00274F23" w:rsidP="00C47B2E">
      <w:pPr>
        <w:tabs>
          <w:tab w:val="right" w:pos="2155"/>
        </w:tabs>
        <w:spacing w:after="80" w:line="240" w:lineRule="auto"/>
        <w:ind w:left="680"/>
      </w:pPr>
      <w:r>
        <w:rPr>
          <w:u w:val="single"/>
        </w:rPr>
        <w:tab/>
      </w:r>
    </w:p>
  </w:footnote>
  <w:footnote w:type="continuationSeparator" w:id="0">
    <w:p w14:paraId="54023355" w14:textId="77777777" w:rsidR="00274F23" w:rsidRPr="00C47B2E" w:rsidRDefault="00274F23" w:rsidP="005E716E">
      <w:pPr>
        <w:tabs>
          <w:tab w:val="right" w:pos="2155"/>
        </w:tabs>
        <w:spacing w:after="80" w:line="240" w:lineRule="auto"/>
        <w:ind w:left="680"/>
      </w:pPr>
      <w:r>
        <w:rPr>
          <w:u w:val="single"/>
        </w:rPr>
        <w:tab/>
      </w:r>
    </w:p>
  </w:footnote>
  <w:footnote w:type="continuationNotice" w:id="1">
    <w:p w14:paraId="639CFC0E" w14:textId="77777777" w:rsidR="00274F23" w:rsidRPr="00C47B2E" w:rsidRDefault="00274F23" w:rsidP="00C47B2E">
      <w:pPr>
        <w:pStyle w:val="Footer"/>
      </w:pPr>
    </w:p>
  </w:footnote>
  <w:footnote w:id="2">
    <w:p w14:paraId="13E4B9E4" w14:textId="77777777" w:rsidR="009F78A8" w:rsidRPr="00C374A6" w:rsidRDefault="009F78A8" w:rsidP="009F78A8">
      <w:pPr>
        <w:pStyle w:val="FootnoteText"/>
      </w:pPr>
      <w:r w:rsidRPr="00C374A6">
        <w:rPr>
          <w:rStyle w:val="FootnoteReference"/>
        </w:rPr>
        <w:tab/>
      </w:r>
      <w:r w:rsidRPr="00C374A6">
        <w:rPr>
          <w:rStyle w:val="FootnoteReference"/>
          <w:sz w:val="20"/>
          <w:vertAlign w:val="baseline"/>
        </w:rPr>
        <w:t>*</w:t>
      </w:r>
      <w:r w:rsidRPr="00C374A6">
        <w:rPr>
          <w:rStyle w:val="FootnoteReference"/>
          <w:sz w:val="20"/>
          <w:vertAlign w:val="baseline"/>
        </w:rPr>
        <w:tab/>
      </w:r>
      <w:r w:rsidRPr="008F64B8">
        <w:t>Agreement was reached to publish the present report after the standard publication date owing to circumstances beyond the submitter’s control.</w:t>
      </w:r>
    </w:p>
  </w:footnote>
  <w:footnote w:id="3">
    <w:p w14:paraId="48BC242A" w14:textId="77777777" w:rsidR="009F78A8" w:rsidRPr="00C374A6" w:rsidRDefault="009F78A8" w:rsidP="009F78A8">
      <w:pPr>
        <w:pStyle w:val="FootnoteText"/>
      </w:pPr>
      <w:r w:rsidRPr="00C374A6">
        <w:rPr>
          <w:rStyle w:val="FootnoteReference"/>
        </w:rPr>
        <w:tab/>
      </w:r>
      <w:r w:rsidRPr="00C374A6">
        <w:rPr>
          <w:rStyle w:val="FootnoteReference"/>
          <w:sz w:val="20"/>
          <w:vertAlign w:val="baseline"/>
        </w:rPr>
        <w:t>**</w:t>
      </w:r>
      <w:r w:rsidRPr="00C374A6">
        <w:rPr>
          <w:rStyle w:val="FootnoteReference"/>
          <w:sz w:val="20"/>
          <w:vertAlign w:val="baseline"/>
        </w:rPr>
        <w:tab/>
      </w:r>
      <w:r w:rsidRPr="00C374A6">
        <w:rPr>
          <w:szCs w:val="18"/>
        </w:rPr>
        <w:t>The annexes are being circulated as received, in the language of submission only.</w:t>
      </w:r>
    </w:p>
  </w:footnote>
  <w:footnote w:id="4">
    <w:p w14:paraId="45D02875" w14:textId="77777777" w:rsidR="009F78A8" w:rsidRPr="00F009FE" w:rsidRDefault="009F78A8" w:rsidP="009F78A8">
      <w:pPr>
        <w:pStyle w:val="FootnoteText"/>
      </w:pPr>
      <w:r w:rsidRPr="009920E0">
        <w:tab/>
      </w:r>
      <w:r w:rsidRPr="00F009FE">
        <w:rPr>
          <w:rStyle w:val="FootnoteReference"/>
        </w:rPr>
        <w:footnoteRef/>
      </w:r>
      <w:r w:rsidRPr="00F009FE">
        <w:tab/>
        <w:t xml:space="preserve">Speculative technologies should </w:t>
      </w:r>
      <w:r>
        <w:t>not</w:t>
      </w:r>
      <w:r w:rsidRPr="00F009FE">
        <w:t xml:space="preserve"> be presented as measures taken in conformity with article 2 of the UN Framework Convention on Climate Change (UNFCC), which requests States Parties to adopt “policies and measures to actively protect the climate system against human-induced changes”.</w:t>
      </w:r>
    </w:p>
  </w:footnote>
  <w:footnote w:id="5">
    <w:p w14:paraId="5DACD8BC" w14:textId="7BEA2DD5" w:rsidR="009F78A8" w:rsidRPr="005E4DFC" w:rsidRDefault="009F78A8" w:rsidP="009F78A8">
      <w:pPr>
        <w:pStyle w:val="FootnoteText"/>
      </w:pPr>
      <w:r w:rsidRPr="00F009FE">
        <w:rPr>
          <w:lang w:val="en-US"/>
        </w:rPr>
        <w:tab/>
      </w:r>
      <w:r w:rsidRPr="00F009FE">
        <w:rPr>
          <w:rStyle w:val="FootnoteReference"/>
        </w:rPr>
        <w:footnoteRef/>
      </w:r>
      <w:r w:rsidRPr="00F009FE">
        <w:tab/>
        <w:t>IPCC, 2014: </w:t>
      </w:r>
      <w:r w:rsidRPr="00F009FE">
        <w:rPr>
          <w:i/>
          <w:iCs/>
        </w:rPr>
        <w:t xml:space="preserve">Climate Change 2014: Synthesis Report. Contribution of Working Groups I, II and III to the Fifth Assessment Report of the Intergovernmental Panel on Climate </w:t>
      </w:r>
      <w:proofErr w:type="gramStart"/>
      <w:r w:rsidRPr="00F009FE">
        <w:rPr>
          <w:i/>
          <w:iCs/>
        </w:rPr>
        <w:t>Change</w:t>
      </w:r>
      <w:r w:rsidRPr="00F009FE">
        <w:t> .</w:t>
      </w:r>
      <w:proofErr w:type="gramEnd"/>
      <w:r w:rsidRPr="00F009FE">
        <w:t xml:space="preserve"> IPCC, Geneva, Switzerland, p. 89.</w:t>
      </w:r>
    </w:p>
  </w:footnote>
  <w:footnote w:id="6">
    <w:p w14:paraId="4B038208" w14:textId="77777777" w:rsidR="009F78A8" w:rsidRPr="000E30E8" w:rsidRDefault="009F78A8" w:rsidP="009F78A8">
      <w:pPr>
        <w:pStyle w:val="FootnoteText"/>
      </w:pPr>
      <w:r w:rsidRPr="00CD0C04">
        <w:rPr>
          <w:rFonts w:asciiTheme="majorBidi" w:hAnsiTheme="majorBidi"/>
        </w:rPr>
        <w:tab/>
      </w:r>
      <w:r w:rsidRPr="000E30E8">
        <w:rPr>
          <w:rStyle w:val="FootnoteReference"/>
          <w:rFonts w:asciiTheme="majorBidi" w:hAnsiTheme="majorBidi"/>
        </w:rPr>
        <w:footnoteRef/>
      </w:r>
      <w:r>
        <w:rPr>
          <w:rFonts w:asciiTheme="majorBidi" w:hAnsiTheme="majorBidi"/>
        </w:rPr>
        <w:tab/>
      </w:r>
      <w:hyperlink r:id="rId1" w:history="1">
        <w:r>
          <w:rPr>
            <w:rFonts w:asciiTheme="majorBidi" w:hAnsiTheme="majorBidi" w:cstheme="majorBidi"/>
            <w:szCs w:val="18"/>
          </w:rPr>
          <w:t>See:</w:t>
        </w:r>
      </w:hyperlink>
      <w:r>
        <w:rPr>
          <w:rFonts w:asciiTheme="majorBidi" w:hAnsiTheme="majorBidi" w:cstheme="majorBidi"/>
          <w:szCs w:val="18"/>
        </w:rPr>
        <w:t xml:space="preserve"> </w:t>
      </w:r>
      <w:hyperlink r:id="rId2" w:history="1">
        <w:r w:rsidRPr="005E58A6">
          <w:rPr>
            <w:rStyle w:val="Hyperlink"/>
            <w:rFonts w:asciiTheme="majorBidi" w:hAnsiTheme="majorBidi" w:cstheme="majorBidi"/>
            <w:szCs w:val="18"/>
          </w:rPr>
          <w:t>https://www.ohchr.org/en/climate-change/human-rights-council-resolutions-human-rights-and-climate-change</w:t>
        </w:r>
      </w:hyperlink>
      <w:r>
        <w:rPr>
          <w:rStyle w:val="Hyperlink"/>
          <w:rFonts w:asciiTheme="majorBidi" w:hAnsiTheme="majorBidi" w:cstheme="majorBidi"/>
          <w:szCs w:val="18"/>
        </w:rPr>
        <w:t>.</w:t>
      </w:r>
      <w:r>
        <w:rPr>
          <w:rFonts w:asciiTheme="majorBidi" w:hAnsiTheme="majorBidi" w:cstheme="majorBidi"/>
          <w:szCs w:val="18"/>
        </w:rPr>
        <w:t xml:space="preserve"> </w:t>
      </w:r>
      <w:hyperlink r:id="rId3" w:history="1">
        <w:r w:rsidRPr="001B21C8">
          <w:rPr>
            <w:rStyle w:val="Hyperlink"/>
            <w:lang w:val="en-US"/>
          </w:rPr>
          <w:t>Resolution</w:t>
        </w:r>
        <w:r>
          <w:rPr>
            <w:rStyle w:val="Hyperlink"/>
          </w:rPr>
          <w:t xml:space="preserve"> 7/23</w:t>
        </w:r>
      </w:hyperlink>
      <w:r>
        <w:t> (March 2008)</w:t>
      </w:r>
      <w:r w:rsidRPr="00B73059">
        <w:t xml:space="preserve"> for the first time the</w:t>
      </w:r>
      <w:r>
        <w:t xml:space="preserve"> Council expressed concern that climate change </w:t>
      </w:r>
      <w:r w:rsidRPr="00B73059">
        <w:t>“</w:t>
      </w:r>
      <w:r>
        <w:t>poses an immediate and far-reaching threat to people and communities around the world</w:t>
      </w:r>
      <w:r w:rsidRPr="00B73059">
        <w:t>”</w:t>
      </w:r>
      <w:r>
        <w:t>.</w:t>
      </w:r>
      <w:r w:rsidRPr="00B73059">
        <w:t xml:space="preserve"> </w:t>
      </w:r>
    </w:p>
  </w:footnote>
  <w:footnote w:id="7">
    <w:p w14:paraId="60A04FA9" w14:textId="3A694A18" w:rsidR="009F78A8" w:rsidRPr="00B73059" w:rsidRDefault="009F78A8" w:rsidP="009F78A8">
      <w:pPr>
        <w:pStyle w:val="FootnoteText"/>
      </w:pPr>
      <w:r w:rsidRPr="005E4DFC">
        <w:tab/>
      </w:r>
      <w:r>
        <w:rPr>
          <w:rStyle w:val="FootnoteReference"/>
        </w:rPr>
        <w:footnoteRef/>
      </w:r>
      <w:r w:rsidRPr="00B41175">
        <w:tab/>
      </w:r>
      <w:r w:rsidRPr="007B3443">
        <w:t>A/HRC/RES/10/4</w:t>
      </w:r>
      <w:r w:rsidRPr="001A76DB">
        <w:t xml:space="preserve"> (2009)</w:t>
      </w:r>
      <w:r w:rsidR="00253D95">
        <w:t>.</w:t>
      </w:r>
      <w:r w:rsidRPr="00B73059">
        <w:t xml:space="preserve"> </w:t>
      </w:r>
    </w:p>
  </w:footnote>
  <w:footnote w:id="8">
    <w:p w14:paraId="74136449" w14:textId="77777777" w:rsidR="00D2735B" w:rsidRPr="0059100A" w:rsidRDefault="00D2735B" w:rsidP="00D2735B">
      <w:pPr>
        <w:pStyle w:val="FootnoteText"/>
      </w:pPr>
      <w:r>
        <w:tab/>
      </w:r>
      <w:r>
        <w:rPr>
          <w:rStyle w:val="FootnoteReference"/>
        </w:rPr>
        <w:footnoteRef/>
      </w:r>
      <w:r>
        <w:tab/>
      </w:r>
      <w:r w:rsidRPr="00A36A99">
        <w:t>A/RES/76/300.</w:t>
      </w:r>
    </w:p>
  </w:footnote>
  <w:footnote w:id="9">
    <w:p w14:paraId="26FB2E52" w14:textId="77777777" w:rsidR="00D2735B" w:rsidRPr="0011733B" w:rsidRDefault="00D2735B" w:rsidP="00D2735B">
      <w:pPr>
        <w:pStyle w:val="FootnoteText"/>
        <w:rPr>
          <w:bCs/>
          <w:lang w:val="en-US"/>
        </w:rPr>
      </w:pPr>
      <w:r w:rsidRPr="0011733B">
        <w:tab/>
      </w:r>
      <w:r>
        <w:rPr>
          <w:rStyle w:val="FootnoteReference"/>
        </w:rPr>
        <w:footnoteRef/>
      </w:r>
      <w:r w:rsidRPr="00C2718D">
        <w:tab/>
      </w:r>
      <w:r>
        <w:rPr>
          <w:bCs/>
          <w:lang w:val="en-US"/>
        </w:rPr>
        <w:t xml:space="preserve">See </w:t>
      </w:r>
      <w:r w:rsidRPr="00CE12D8">
        <w:rPr>
          <w:bCs/>
        </w:rPr>
        <w:t xml:space="preserve">Günther, P.; </w:t>
      </w:r>
      <w:proofErr w:type="spellStart"/>
      <w:r w:rsidRPr="00C2718D">
        <w:rPr>
          <w:rFonts w:asciiTheme="majorBidi" w:hAnsiTheme="majorBidi" w:cstheme="majorBidi"/>
          <w:szCs w:val="18"/>
          <w:lang w:val="en-US"/>
        </w:rPr>
        <w:t>Ekardt</w:t>
      </w:r>
      <w:proofErr w:type="spellEnd"/>
      <w:r w:rsidRPr="00CE12D8">
        <w:rPr>
          <w:bCs/>
        </w:rPr>
        <w:t>, F. Human Rights and Large-Scale Carbon Dioxide Removal: Potential Limits to BECCS and DACCS Deployment. </w:t>
      </w:r>
      <w:r w:rsidRPr="00CE12D8">
        <w:rPr>
          <w:bCs/>
          <w:i/>
          <w:iCs/>
        </w:rPr>
        <w:t>Land</w:t>
      </w:r>
      <w:r w:rsidRPr="00CE12D8">
        <w:rPr>
          <w:bCs/>
        </w:rPr>
        <w:t> </w:t>
      </w:r>
      <w:r w:rsidRPr="00CE12D8">
        <w:rPr>
          <w:b/>
          <w:bCs/>
        </w:rPr>
        <w:t>2022</w:t>
      </w:r>
      <w:r w:rsidRPr="00CE12D8">
        <w:rPr>
          <w:bCs/>
        </w:rPr>
        <w:t>, </w:t>
      </w:r>
      <w:r w:rsidRPr="00CE12D8">
        <w:rPr>
          <w:bCs/>
          <w:i/>
          <w:iCs/>
        </w:rPr>
        <w:t>11</w:t>
      </w:r>
      <w:r w:rsidRPr="00CE12D8">
        <w:rPr>
          <w:bCs/>
        </w:rPr>
        <w:t>, 2153. https://doi.org/10.3390/land11122153</w:t>
      </w:r>
      <w:r>
        <w:rPr>
          <w:bCs/>
          <w:lang w:val="en-US"/>
        </w:rPr>
        <w:t>.</w:t>
      </w:r>
    </w:p>
  </w:footnote>
  <w:footnote w:id="10">
    <w:p w14:paraId="0D2CC58D" w14:textId="77777777"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There is</w:t>
      </w:r>
      <w:r>
        <w:rPr>
          <w:rFonts w:asciiTheme="majorBidi" w:hAnsiTheme="majorBidi" w:cstheme="majorBidi"/>
          <w:szCs w:val="18"/>
          <w:lang w:val="en-US"/>
        </w:rPr>
        <w:t>, for example,</w:t>
      </w:r>
      <w:r w:rsidRPr="000136D9">
        <w:rPr>
          <w:rFonts w:asciiTheme="majorBidi" w:hAnsiTheme="majorBidi" w:cstheme="majorBidi"/>
          <w:szCs w:val="18"/>
          <w:lang w:val="en-US"/>
        </w:rPr>
        <w:t xml:space="preserve"> too big an uncertainty if SRM could constitute an adjustment to expected climate “in order to moderate harm or exploit beneficial opportunities” See definition of </w:t>
      </w:r>
      <w:r>
        <w:rPr>
          <w:rFonts w:asciiTheme="majorBidi" w:hAnsiTheme="majorBidi" w:cstheme="majorBidi"/>
          <w:szCs w:val="18"/>
          <w:lang w:val="en-US"/>
        </w:rPr>
        <w:t>“</w:t>
      </w:r>
      <w:r w:rsidRPr="000136D9">
        <w:rPr>
          <w:rFonts w:asciiTheme="majorBidi" w:hAnsiTheme="majorBidi" w:cstheme="majorBidi"/>
          <w:szCs w:val="18"/>
          <w:lang w:val="en-US"/>
        </w:rPr>
        <w:t>adaptation”:</w:t>
      </w:r>
    </w:p>
    <w:p w14:paraId="09A369D3" w14:textId="77777777" w:rsidR="00D2735B" w:rsidRPr="0059100A" w:rsidRDefault="00D2735B" w:rsidP="00D2735B">
      <w:pPr>
        <w:pStyle w:val="FootnoteText"/>
        <w:tabs>
          <w:tab w:val="clear" w:pos="1021"/>
          <w:tab w:val="right" w:pos="851"/>
        </w:tabs>
        <w:ind w:left="993" w:hanging="284"/>
        <w:jc w:val="both"/>
        <w:rPr>
          <w:rFonts w:asciiTheme="majorBidi" w:hAnsiTheme="majorBidi" w:cstheme="majorBidi"/>
          <w:szCs w:val="18"/>
        </w:rPr>
      </w:pPr>
      <w:r>
        <w:rPr>
          <w:rFonts w:asciiTheme="majorBidi" w:hAnsiTheme="majorBidi" w:cstheme="majorBidi"/>
          <w:szCs w:val="18"/>
        </w:rPr>
        <w:tab/>
      </w:r>
      <w:r>
        <w:rPr>
          <w:rFonts w:asciiTheme="majorBidi" w:hAnsiTheme="majorBidi" w:cstheme="majorBidi"/>
          <w:szCs w:val="18"/>
        </w:rPr>
        <w:tab/>
      </w:r>
      <w:r>
        <w:rPr>
          <w:rFonts w:asciiTheme="majorBidi" w:hAnsiTheme="majorBidi" w:cstheme="majorBidi"/>
          <w:szCs w:val="18"/>
        </w:rPr>
        <w:tab/>
      </w:r>
      <w:r w:rsidRPr="00324477">
        <w:rPr>
          <w:rFonts w:asciiTheme="majorBidi" w:hAnsiTheme="majorBidi" w:cstheme="majorBidi"/>
          <w:szCs w:val="18"/>
        </w:rPr>
        <w:t>https://www</w:t>
      </w:r>
      <w:r w:rsidRPr="0059100A">
        <w:rPr>
          <w:rFonts w:asciiTheme="majorBidi" w:hAnsiTheme="majorBidi" w:cstheme="majorBidi"/>
          <w:szCs w:val="18"/>
        </w:rPr>
        <w:t>.ipcc.ch/report/ar6/wg2/downloads/report/IPCC_AR6_WGII_Annex-II.pdf</w:t>
      </w:r>
    </w:p>
  </w:footnote>
  <w:footnote w:id="11">
    <w:p w14:paraId="5D1F6E96" w14:textId="77777777" w:rsidR="00D2735B" w:rsidRPr="0059100A" w:rsidRDefault="00D2735B" w:rsidP="00D2735B">
      <w:pPr>
        <w:pStyle w:val="FootnoteText"/>
        <w:rPr>
          <w:rFonts w:asciiTheme="majorBidi" w:hAnsiTheme="majorBidi" w:cstheme="majorBidi"/>
          <w:szCs w:val="18"/>
          <w:lang w:val="en-US"/>
        </w:rPr>
      </w:pPr>
      <w:r w:rsidRPr="0059100A">
        <w:rPr>
          <w:rFonts w:asciiTheme="majorBidi" w:hAnsiTheme="majorBidi" w:cstheme="majorBidi"/>
          <w:szCs w:val="18"/>
          <w:lang w:val="en-US"/>
        </w:rPr>
        <w:tab/>
      </w:r>
      <w:r w:rsidRPr="0059100A">
        <w:rPr>
          <w:rStyle w:val="FootnoteReference"/>
          <w:rFonts w:asciiTheme="majorBidi" w:hAnsiTheme="majorBidi" w:cstheme="majorBidi"/>
          <w:szCs w:val="18"/>
        </w:rPr>
        <w:footnoteRef/>
      </w:r>
      <w:r w:rsidRPr="0059100A">
        <w:rPr>
          <w:rFonts w:asciiTheme="majorBidi" w:hAnsiTheme="majorBidi" w:cstheme="majorBidi"/>
          <w:szCs w:val="18"/>
          <w:lang w:val="en-US"/>
        </w:rPr>
        <w:tab/>
      </w:r>
      <w:r w:rsidRPr="0059100A">
        <w:rPr>
          <w:rFonts w:asciiTheme="majorBidi" w:hAnsiTheme="majorBidi" w:cstheme="majorBidi"/>
          <w:i/>
          <w:iCs/>
          <w:szCs w:val="18"/>
          <w:lang w:val="en-US"/>
        </w:rPr>
        <w:t xml:space="preserve">Statement, </w:t>
      </w:r>
      <w:r w:rsidRPr="0059100A">
        <w:rPr>
          <w:rFonts w:asciiTheme="majorBidi" w:hAnsiTheme="majorBidi" w:cstheme="majorBidi"/>
          <w:szCs w:val="18"/>
          <w:lang w:val="en-US"/>
        </w:rPr>
        <w:t xml:space="preserve">Real Zero Europe, https://www.realsolutions-not-netzero.org/real-zero-europe. </w:t>
      </w:r>
    </w:p>
  </w:footnote>
  <w:footnote w:id="12">
    <w:p w14:paraId="19E24D68" w14:textId="77777777" w:rsidR="00D2735B" w:rsidRPr="0059100A" w:rsidRDefault="00D2735B" w:rsidP="00D2735B">
      <w:pPr>
        <w:pStyle w:val="FootnoteText"/>
        <w:rPr>
          <w:lang w:val="en-US"/>
        </w:rPr>
      </w:pPr>
      <w:r w:rsidRPr="0059100A">
        <w:tab/>
      </w:r>
      <w:r w:rsidRPr="0059100A">
        <w:rPr>
          <w:rStyle w:val="FootnoteReference"/>
        </w:rPr>
        <w:footnoteRef/>
      </w:r>
      <w:r w:rsidRPr="0059100A">
        <w:rPr>
          <w:lang w:val="en-US"/>
        </w:rPr>
        <w:tab/>
      </w:r>
      <w:r w:rsidRPr="0059100A">
        <w:rPr>
          <w:bCs/>
        </w:rPr>
        <w:t>AR6 Synthesis Report</w:t>
      </w:r>
      <w:r w:rsidRPr="0059100A">
        <w:rPr>
          <w:bCs/>
          <w:lang w:val="en-US"/>
        </w:rPr>
        <w:t xml:space="preserve">, </w:t>
      </w:r>
      <w:r w:rsidRPr="0059100A">
        <w:rPr>
          <w:bCs/>
        </w:rPr>
        <w:t>Climate Change</w:t>
      </w:r>
      <w:r w:rsidRPr="0059100A">
        <w:rPr>
          <w:bCs/>
          <w:lang w:val="en-US"/>
        </w:rPr>
        <w:t xml:space="preserve"> </w:t>
      </w:r>
      <w:r w:rsidRPr="0059100A">
        <w:rPr>
          <w:bCs/>
        </w:rPr>
        <w:t>2023</w:t>
      </w:r>
      <w:r w:rsidRPr="0059100A">
        <w:rPr>
          <w:bCs/>
          <w:lang w:val="en-US"/>
        </w:rPr>
        <w:t>, (longer report),</w:t>
      </w:r>
      <w:r w:rsidRPr="0059100A">
        <w:rPr>
          <w:b/>
          <w:bCs/>
          <w:lang w:val="en-US"/>
        </w:rPr>
        <w:t xml:space="preserve"> </w:t>
      </w:r>
      <w:r w:rsidRPr="0059100A">
        <w:rPr>
          <w:lang w:val="en-US"/>
        </w:rPr>
        <w:t>p. 53.</w:t>
      </w:r>
    </w:p>
  </w:footnote>
  <w:footnote w:id="13">
    <w:p w14:paraId="65730DDF" w14:textId="77777777" w:rsidR="00D2735B" w:rsidRPr="0059100A" w:rsidRDefault="00D2735B" w:rsidP="00D2735B">
      <w:pPr>
        <w:pStyle w:val="FootnoteText"/>
      </w:pPr>
      <w:r w:rsidRPr="0059100A">
        <w:tab/>
      </w:r>
      <w:r w:rsidRPr="0059100A">
        <w:rPr>
          <w:rStyle w:val="FootnoteReference"/>
        </w:rPr>
        <w:footnoteRef/>
      </w:r>
      <w:r w:rsidRPr="0059100A">
        <w:tab/>
        <w:t>One of the first attempts at governance are the Oxford Principles but the proposal and other since have remained theoretical</w:t>
      </w:r>
      <w:r>
        <w:t xml:space="preserve"> so far</w:t>
      </w:r>
      <w:r w:rsidRPr="0059100A">
        <w:t xml:space="preserve">. See: </w:t>
      </w:r>
      <w:hyperlink r:id="rId4" w:history="1">
        <w:r w:rsidRPr="0059100A">
          <w:rPr>
            <w:rStyle w:val="Hyperlink"/>
          </w:rPr>
          <w:t>http://www.geoengineering.ox.ac.uk/www.geoengineering.ox.ac.uk/oxford-principles/principles/index.html</w:t>
        </w:r>
      </w:hyperlink>
      <w:r w:rsidRPr="0059100A">
        <w:t xml:space="preserve">. </w:t>
      </w:r>
    </w:p>
  </w:footnote>
  <w:footnote w:id="14">
    <w:p w14:paraId="09E80C9E" w14:textId="77777777" w:rsidR="00D2735B" w:rsidRPr="0059100A" w:rsidRDefault="00D2735B" w:rsidP="00D2735B">
      <w:pPr>
        <w:pStyle w:val="FootnoteText"/>
        <w:rPr>
          <w:lang w:val="en-US"/>
        </w:rPr>
      </w:pPr>
      <w:r>
        <w:tab/>
      </w:r>
      <w:r w:rsidRPr="0059100A">
        <w:rPr>
          <w:rStyle w:val="FootnoteReference"/>
        </w:rPr>
        <w:footnoteRef/>
      </w:r>
      <w:r>
        <w:tab/>
      </w:r>
      <w:r w:rsidRPr="0059100A">
        <w:rPr>
          <w:lang w:val="en-US"/>
        </w:rPr>
        <w:t>A private initiative the</w:t>
      </w:r>
      <w:r w:rsidRPr="0059100A">
        <w:t xml:space="preserve"> “</w:t>
      </w:r>
      <w:hyperlink r:id="rId5" w:history="1">
        <w:r w:rsidRPr="0059100A">
          <w:rPr>
            <w:rStyle w:val="Hyperlink"/>
          </w:rPr>
          <w:t>Climate Overshoot Commission</w:t>
        </w:r>
      </w:hyperlink>
      <w:r w:rsidRPr="0059100A">
        <w:t xml:space="preserve">” has adopted such a stance. UNEP proposed a regulatory framework in its report “One Atmosphere” of 2023. See also </w:t>
      </w:r>
      <w:r w:rsidRPr="0059100A">
        <w:rPr>
          <w:lang w:val="en-US"/>
        </w:rPr>
        <w:t xml:space="preserve">“Solar Radiation Modification, A Risk-Risk Analysis,” March 2022, Carnegie Climate Governance Initiative. </w:t>
      </w:r>
      <w:r w:rsidRPr="0059100A">
        <w:t>For examples in scientific literature see</w:t>
      </w:r>
      <w:r w:rsidRPr="0059100A">
        <w:rPr>
          <w:rFonts w:asciiTheme="majorBidi" w:hAnsiTheme="majorBidi" w:cstheme="majorBidi"/>
          <w:szCs w:val="18"/>
          <w:lang w:val="en-US"/>
        </w:rPr>
        <w:t xml:space="preserve"> G. Wagner, “Geoengineering: The Gamble”, Polity, 2021. </w:t>
      </w:r>
      <w:r w:rsidRPr="0059100A">
        <w:t xml:space="preserve"> </w:t>
      </w:r>
    </w:p>
  </w:footnote>
  <w:footnote w:id="15">
    <w:p w14:paraId="2638AC64" w14:textId="77777777" w:rsidR="00D2735B" w:rsidRPr="000136D9" w:rsidRDefault="00D2735B" w:rsidP="00D2735B">
      <w:pPr>
        <w:pStyle w:val="FootnoteText"/>
        <w:rPr>
          <w:rFonts w:asciiTheme="majorBidi" w:hAnsiTheme="majorBidi" w:cstheme="majorBidi"/>
          <w:szCs w:val="18"/>
        </w:rPr>
      </w:pPr>
      <w:r w:rsidRPr="0059100A">
        <w:rPr>
          <w:rFonts w:asciiTheme="majorBidi" w:hAnsiTheme="majorBidi" w:cstheme="majorBidi"/>
          <w:szCs w:val="18"/>
        </w:rPr>
        <w:tab/>
      </w:r>
      <w:r w:rsidRPr="0059100A">
        <w:rPr>
          <w:rStyle w:val="FootnoteReference"/>
          <w:rFonts w:asciiTheme="majorBidi" w:hAnsiTheme="majorBidi" w:cstheme="majorBidi"/>
          <w:szCs w:val="18"/>
        </w:rPr>
        <w:footnoteRef/>
      </w:r>
      <w:r w:rsidRPr="0059100A">
        <w:rPr>
          <w:rFonts w:asciiTheme="majorBidi" w:hAnsiTheme="majorBidi" w:cstheme="majorBidi"/>
          <w:szCs w:val="18"/>
        </w:rPr>
        <w:tab/>
        <w:t xml:space="preserve">See an open letter of more than 60 climate scientists and governance scholars </w:t>
      </w:r>
      <w:hyperlink r:id="rId6" w:history="1">
        <w:r w:rsidRPr="0059100A">
          <w:rPr>
            <w:rStyle w:val="Hyperlink"/>
          </w:rPr>
          <w:t>https://www.solargeoeng.org/non-use-agreement/open-letter/</w:t>
        </w:r>
      </w:hyperlink>
      <w:r w:rsidRPr="0059100A">
        <w:t>. In literature see:</w:t>
      </w:r>
      <w:r w:rsidRPr="0059100A">
        <w:rPr>
          <w:rFonts w:asciiTheme="majorBidi" w:hAnsiTheme="majorBidi" w:cstheme="majorBidi"/>
          <w:szCs w:val="18"/>
        </w:rPr>
        <w:t xml:space="preserve"> Biermann, F., et al, “Solar Geoengineering: The Case for an International Non-Use Agreement” (2022), Wires Climate Change 1, p. 3.  Or </w:t>
      </w:r>
      <w:r w:rsidRPr="0059100A">
        <w:t xml:space="preserve">N. </w:t>
      </w:r>
      <w:proofErr w:type="spellStart"/>
      <w:r w:rsidRPr="0059100A">
        <w:t>Markusson</w:t>
      </w:r>
      <w:proofErr w:type="spellEnd"/>
      <w:r w:rsidRPr="0059100A">
        <w:t>, ‘In case of emergency press here’: framing</w:t>
      </w:r>
      <w:r w:rsidRPr="001F201E">
        <w:t xml:space="preserve"> geoengineering as a response to dangerous climate change</w:t>
      </w:r>
      <w:r>
        <w:t xml:space="preserve">, Wires Climate Change, </w:t>
      </w:r>
      <w:r w:rsidRPr="001F201E">
        <w:t>Volume5, Issue2</w:t>
      </w:r>
      <w:r>
        <w:t xml:space="preserve">, </w:t>
      </w:r>
      <w:r w:rsidRPr="001F201E">
        <w:t>March/April 2014</w:t>
      </w:r>
      <w:r>
        <w:t>, pp.</w:t>
      </w:r>
      <w:r w:rsidRPr="001F201E">
        <w:t xml:space="preserve"> 281-290</w:t>
      </w:r>
      <w:r>
        <w:t>.</w:t>
      </w:r>
      <w:r w:rsidRPr="001F201E">
        <w:t xml:space="preserve"> </w:t>
      </w:r>
      <w:hyperlink r:id="rId7" w:history="1">
        <w:r w:rsidRPr="007A46FA">
          <w:rPr>
            <w:rStyle w:val="Hyperlink"/>
          </w:rPr>
          <w:t>https://wires.onlinelibrary.wiley.com/doi/abs/10.1002/wcc.263</w:t>
        </w:r>
      </w:hyperlink>
      <w:r>
        <w:t>. And:</w:t>
      </w:r>
      <w:r>
        <w:rPr>
          <w:rFonts w:asciiTheme="majorBidi" w:hAnsiTheme="majorBidi" w:cstheme="majorBidi"/>
          <w:szCs w:val="18"/>
        </w:rPr>
        <w:t xml:space="preserve"> </w:t>
      </w:r>
      <w:r w:rsidRPr="000136D9">
        <w:rPr>
          <w:rFonts w:asciiTheme="majorBidi" w:hAnsiTheme="majorBidi" w:cstheme="majorBidi"/>
          <w:szCs w:val="18"/>
        </w:rPr>
        <w:t xml:space="preserve">« The restriction of </w:t>
      </w:r>
      <w:proofErr w:type="spellStart"/>
      <w:r w:rsidRPr="000136D9">
        <w:rPr>
          <w:rFonts w:asciiTheme="majorBidi" w:hAnsiTheme="majorBidi" w:cstheme="majorBidi"/>
          <w:szCs w:val="18"/>
        </w:rPr>
        <w:t>Geoingeneering</w:t>
      </w:r>
      <w:proofErr w:type="spellEnd"/>
      <w:r w:rsidRPr="000136D9">
        <w:rPr>
          <w:rFonts w:asciiTheme="majorBidi" w:hAnsiTheme="majorBidi" w:cstheme="majorBidi"/>
          <w:szCs w:val="18"/>
        </w:rPr>
        <w:t xml:space="preserve"> under international law », Joint Opinion, Hands Off Mother Earth (HOME) </w:t>
      </w:r>
      <w:r>
        <w:rPr>
          <w:rFonts w:asciiTheme="majorBidi" w:hAnsiTheme="majorBidi" w:cstheme="majorBidi"/>
          <w:szCs w:val="18"/>
        </w:rPr>
        <w:t xml:space="preserve">submitted </w:t>
      </w:r>
      <w:r w:rsidRPr="000136D9">
        <w:rPr>
          <w:rFonts w:asciiTheme="majorBidi" w:hAnsiTheme="majorBidi" w:cstheme="majorBidi"/>
          <w:szCs w:val="18"/>
        </w:rPr>
        <w:t xml:space="preserve">to the AC.  </w:t>
      </w:r>
    </w:p>
  </w:footnote>
  <w:footnote w:id="16">
    <w:p w14:paraId="673A4B7F" w14:textId="77777777" w:rsidR="00D2735B" w:rsidRPr="009920E0" w:rsidRDefault="00D2735B" w:rsidP="00D2735B">
      <w:pPr>
        <w:pStyle w:val="FootnoteText"/>
      </w:pPr>
      <w:r w:rsidRPr="009920E0">
        <w:tab/>
      </w:r>
      <w:r>
        <w:rPr>
          <w:rStyle w:val="FootnoteReference"/>
        </w:rPr>
        <w:footnoteRef/>
      </w:r>
      <w:r w:rsidRPr="009920E0">
        <w:tab/>
      </w:r>
      <w:r w:rsidRPr="002C7BA3">
        <w:t>AR6 Synthesis Report</w:t>
      </w:r>
      <w:r w:rsidRPr="002C7BA3">
        <w:rPr>
          <w:lang w:val="en-US"/>
        </w:rPr>
        <w:t xml:space="preserve">, </w:t>
      </w:r>
      <w:r w:rsidRPr="002C7BA3">
        <w:t>Climate Change</w:t>
      </w:r>
      <w:r w:rsidRPr="002C7BA3">
        <w:rPr>
          <w:lang w:val="en-US"/>
        </w:rPr>
        <w:t xml:space="preserve"> </w:t>
      </w:r>
      <w:r w:rsidRPr="002C7BA3">
        <w:t>2023</w:t>
      </w:r>
      <w:r w:rsidRPr="002C7BA3">
        <w:rPr>
          <w:lang w:val="en-US"/>
        </w:rPr>
        <w:t>, (longer report)</w:t>
      </w:r>
      <w:r w:rsidRPr="009920E0">
        <w:t xml:space="preserve">, p. 37. </w:t>
      </w:r>
    </w:p>
  </w:footnote>
  <w:footnote w:id="17">
    <w:p w14:paraId="426F38CE" w14:textId="77777777" w:rsidR="00D2735B" w:rsidRPr="000136D9"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 xml:space="preserve">B. K. </w:t>
      </w:r>
      <w:proofErr w:type="spellStart"/>
      <w:r w:rsidRPr="000136D9">
        <w:rPr>
          <w:rFonts w:asciiTheme="majorBidi" w:hAnsiTheme="majorBidi" w:cstheme="majorBidi"/>
          <w:szCs w:val="18"/>
        </w:rPr>
        <w:t>Sovacool</w:t>
      </w:r>
      <w:proofErr w:type="spellEnd"/>
      <w:r w:rsidRPr="000136D9">
        <w:rPr>
          <w:rFonts w:asciiTheme="majorBidi" w:hAnsiTheme="majorBidi" w:cstheme="majorBidi"/>
          <w:szCs w:val="18"/>
        </w:rPr>
        <w:t xml:space="preserve">, </w:t>
      </w:r>
      <w:r w:rsidRPr="000136D9">
        <w:rPr>
          <w:rFonts w:asciiTheme="majorBidi" w:hAnsiTheme="majorBidi" w:cstheme="majorBidi"/>
          <w:szCs w:val="18"/>
          <w:lang w:val="en-US"/>
        </w:rPr>
        <w:t xml:space="preserve">C. M. </w:t>
      </w:r>
      <w:r w:rsidRPr="000136D9">
        <w:rPr>
          <w:rFonts w:asciiTheme="majorBidi" w:hAnsiTheme="majorBidi" w:cstheme="majorBidi"/>
          <w:szCs w:val="18"/>
        </w:rPr>
        <w:t xml:space="preserve">Baum, </w:t>
      </w:r>
      <w:r w:rsidRPr="000136D9">
        <w:rPr>
          <w:rFonts w:asciiTheme="majorBidi" w:hAnsiTheme="majorBidi" w:cstheme="majorBidi"/>
          <w:szCs w:val="18"/>
          <w:lang w:val="en-US"/>
        </w:rPr>
        <w:t>S.</w:t>
      </w:r>
      <w:r w:rsidRPr="000136D9">
        <w:rPr>
          <w:rFonts w:asciiTheme="majorBidi" w:hAnsiTheme="majorBidi" w:cstheme="majorBidi"/>
          <w:szCs w:val="18"/>
        </w:rPr>
        <w:t xml:space="preserve"> Low, Risk–risk governance in a low-carbon future: Exploring institutional, technological, and </w:t>
      </w:r>
      <w:proofErr w:type="spellStart"/>
      <w:r w:rsidRPr="000136D9">
        <w:rPr>
          <w:rFonts w:asciiTheme="majorBidi" w:hAnsiTheme="majorBidi" w:cstheme="majorBidi"/>
          <w:szCs w:val="18"/>
        </w:rPr>
        <w:t>behavioral</w:t>
      </w:r>
      <w:proofErr w:type="spellEnd"/>
      <w:r w:rsidRPr="000136D9">
        <w:rPr>
          <w:rFonts w:asciiTheme="majorBidi" w:hAnsiTheme="majorBidi" w:cstheme="majorBidi"/>
          <w:szCs w:val="18"/>
        </w:rPr>
        <w:t xml:space="preserve"> </w:t>
      </w:r>
      <w:proofErr w:type="spellStart"/>
      <w:r w:rsidRPr="000136D9">
        <w:rPr>
          <w:rFonts w:asciiTheme="majorBidi" w:hAnsiTheme="majorBidi" w:cstheme="majorBidi"/>
          <w:szCs w:val="18"/>
        </w:rPr>
        <w:t>tradeoffs</w:t>
      </w:r>
      <w:proofErr w:type="spellEnd"/>
      <w:r w:rsidRPr="000136D9">
        <w:rPr>
          <w:rFonts w:asciiTheme="majorBidi" w:hAnsiTheme="majorBidi" w:cstheme="majorBidi"/>
          <w:szCs w:val="18"/>
        </w:rPr>
        <w:t xml:space="preserve"> in climate geoengineering pathways. </w:t>
      </w:r>
      <w:r w:rsidRPr="000136D9">
        <w:rPr>
          <w:rFonts w:asciiTheme="majorBidi" w:hAnsiTheme="majorBidi" w:cstheme="majorBidi"/>
          <w:i/>
          <w:iCs/>
          <w:szCs w:val="18"/>
        </w:rPr>
        <w:t>Risk Analysis</w:t>
      </w:r>
      <w:r w:rsidRPr="000136D9">
        <w:rPr>
          <w:rFonts w:asciiTheme="majorBidi" w:hAnsiTheme="majorBidi" w:cstheme="majorBidi"/>
          <w:szCs w:val="18"/>
        </w:rPr>
        <w:t>, </w:t>
      </w:r>
      <w:proofErr w:type="gramStart"/>
      <w:r w:rsidRPr="000136D9">
        <w:rPr>
          <w:rFonts w:asciiTheme="majorBidi" w:hAnsiTheme="majorBidi" w:cstheme="majorBidi"/>
          <w:szCs w:val="18"/>
          <w:lang w:val="en-US"/>
        </w:rPr>
        <w:t xml:space="preserve">2022 </w:t>
      </w:r>
      <w:r w:rsidRPr="000136D9">
        <w:rPr>
          <w:rFonts w:asciiTheme="majorBidi" w:hAnsiTheme="majorBidi" w:cstheme="majorBidi"/>
          <w:szCs w:val="18"/>
        </w:rPr>
        <w:t>,</w:t>
      </w:r>
      <w:proofErr w:type="gramEnd"/>
      <w:r w:rsidRPr="000136D9">
        <w:rPr>
          <w:rFonts w:asciiTheme="majorBidi" w:hAnsiTheme="majorBidi" w:cstheme="majorBidi"/>
          <w:szCs w:val="18"/>
        </w:rPr>
        <w:t> 1– 22.</w:t>
      </w:r>
    </w:p>
  </w:footnote>
  <w:footnote w:id="18">
    <w:p w14:paraId="3FE2FF5E" w14:textId="77777777" w:rsidR="00D2735B" w:rsidRPr="00B410F0" w:rsidRDefault="00D2735B" w:rsidP="00D2735B">
      <w:pPr>
        <w:pStyle w:val="FootnoteText"/>
      </w:pPr>
      <w:r>
        <w:tab/>
      </w:r>
      <w:r>
        <w:rPr>
          <w:rStyle w:val="FootnoteReference"/>
        </w:rPr>
        <w:footnoteRef/>
      </w:r>
      <w:r>
        <w:tab/>
      </w:r>
      <w:r w:rsidRPr="00546515">
        <w:t>Robock, A. (2008). 20 Reasons Why Geoengineering May Be a Bad Idea. </w:t>
      </w:r>
      <w:r w:rsidRPr="00546515">
        <w:rPr>
          <w:i/>
          <w:iCs/>
        </w:rPr>
        <w:t>Bulletin of the Atomic Scientists</w:t>
      </w:r>
      <w:r w:rsidRPr="00546515">
        <w:t>, </w:t>
      </w:r>
      <w:r w:rsidRPr="00546515">
        <w:rPr>
          <w:i/>
          <w:iCs/>
        </w:rPr>
        <w:t>64</w:t>
      </w:r>
      <w:r w:rsidRPr="00546515">
        <w:t>(2), 14–18.</w:t>
      </w:r>
    </w:p>
  </w:footnote>
  <w:footnote w:id="19">
    <w:p w14:paraId="026B8C66" w14:textId="77777777" w:rsidR="00D2735B" w:rsidRPr="00D80427" w:rsidRDefault="00D2735B" w:rsidP="00D2735B">
      <w:pPr>
        <w:pStyle w:val="FootnoteText"/>
        <w:rPr>
          <w:lang w:val="en-US"/>
        </w:rPr>
      </w:pPr>
      <w:r w:rsidRPr="001B21C8">
        <w:rPr>
          <w:lang w:val="en-US"/>
        </w:rPr>
        <w:tab/>
      </w:r>
      <w:r>
        <w:rPr>
          <w:rStyle w:val="FootnoteReference"/>
        </w:rPr>
        <w:footnoteRef/>
      </w:r>
      <w:r w:rsidRPr="001B21C8">
        <w:rPr>
          <w:lang w:val="en-US"/>
        </w:rPr>
        <w:tab/>
      </w:r>
      <w:r>
        <w:rPr>
          <w:lang w:val="en-US"/>
        </w:rPr>
        <w:t>“</w:t>
      </w:r>
      <w:r w:rsidRPr="00473F0B">
        <w:rPr>
          <w:rFonts w:hint="eastAsia"/>
        </w:rPr>
        <w:t xml:space="preserve">Modelled pathways that assume using resources more efficiently or shift global development towards sustainability include fewer challenges, such as dependence on CDR and pressure on land and </w:t>
      </w:r>
      <w:proofErr w:type="gramStart"/>
      <w:r w:rsidRPr="00473F0B">
        <w:rPr>
          <w:rFonts w:hint="eastAsia"/>
        </w:rPr>
        <w:t>biodiversity, and</w:t>
      </w:r>
      <w:proofErr w:type="gramEnd"/>
      <w:r w:rsidRPr="00473F0B">
        <w:rPr>
          <w:rFonts w:hint="eastAsia"/>
        </w:rPr>
        <w:t xml:space="preserve"> have the most pronounced synergies with respect to sustainable development. </w:t>
      </w:r>
      <w:proofErr w:type="gramStart"/>
      <w:r>
        <w:rPr>
          <w:lang w:val="en-US"/>
        </w:rPr>
        <w:t>“ See</w:t>
      </w:r>
      <w:proofErr w:type="gramEnd"/>
      <w:r w:rsidRPr="00473F0B">
        <w:rPr>
          <w:rFonts w:hint="eastAsia"/>
        </w:rPr>
        <w:t xml:space="preserve"> </w:t>
      </w:r>
      <w:r w:rsidRPr="00BC5BB6">
        <w:t>AR6 Synthesis Report</w:t>
      </w:r>
      <w:r w:rsidRPr="00BC5BB6">
        <w:rPr>
          <w:lang w:val="en-US"/>
        </w:rPr>
        <w:t xml:space="preserve">, </w:t>
      </w:r>
      <w:r w:rsidRPr="00BC5BB6">
        <w:t>Climate Change</w:t>
      </w:r>
      <w:r w:rsidRPr="00BC5BB6">
        <w:rPr>
          <w:lang w:val="en-US"/>
        </w:rPr>
        <w:t xml:space="preserve"> </w:t>
      </w:r>
      <w:r w:rsidRPr="00BC5BB6">
        <w:t>2023</w:t>
      </w:r>
      <w:r w:rsidRPr="00BC5BB6">
        <w:rPr>
          <w:lang w:val="en-US"/>
        </w:rPr>
        <w:t>, (longer report),</w:t>
      </w:r>
      <w:r>
        <w:rPr>
          <w:b/>
          <w:bCs/>
          <w:lang w:val="en-US"/>
        </w:rPr>
        <w:t xml:space="preserve"> </w:t>
      </w:r>
      <w:r>
        <w:rPr>
          <w:lang w:val="en-US"/>
        </w:rPr>
        <w:t>ibid, p. 54.</w:t>
      </w:r>
    </w:p>
  </w:footnote>
  <w:footnote w:id="20">
    <w:p w14:paraId="72F5D0F6" w14:textId="77777777" w:rsidR="00D2735B" w:rsidRPr="005E4DFC" w:rsidRDefault="00D2735B" w:rsidP="00D2735B">
      <w:pPr>
        <w:pStyle w:val="FootnoteText"/>
        <w:rPr>
          <w:lang w:val="en-US"/>
        </w:rPr>
      </w:pPr>
      <w:r w:rsidRPr="001B21C8">
        <w:rPr>
          <w:lang w:val="en-US"/>
        </w:rPr>
        <w:tab/>
      </w:r>
      <w:r>
        <w:rPr>
          <w:rStyle w:val="FootnoteReference"/>
        </w:rPr>
        <w:footnoteRef/>
      </w:r>
      <w:r>
        <w:tab/>
      </w:r>
      <w:r>
        <w:rPr>
          <w:lang w:val="en-US"/>
        </w:rPr>
        <w:t>Ibid, p. 56.</w:t>
      </w:r>
    </w:p>
  </w:footnote>
  <w:footnote w:id="21">
    <w:p w14:paraId="5B5E5824" w14:textId="77777777" w:rsidR="00D2735B" w:rsidRPr="0011733B" w:rsidRDefault="00D2735B" w:rsidP="00D2735B">
      <w:pPr>
        <w:pStyle w:val="FootnoteText"/>
        <w:rPr>
          <w:lang w:val="en-US"/>
        </w:rPr>
      </w:pPr>
      <w:r>
        <w:tab/>
      </w:r>
      <w:r>
        <w:rPr>
          <w:rStyle w:val="FootnoteReference"/>
        </w:rPr>
        <w:footnoteRef/>
      </w:r>
      <w:r>
        <w:tab/>
      </w:r>
      <w:r>
        <w:rPr>
          <w:lang w:val="en-US"/>
        </w:rPr>
        <w:t>Ibid, p. 66.</w:t>
      </w:r>
    </w:p>
  </w:footnote>
  <w:footnote w:id="22">
    <w:p w14:paraId="4D6847B3" w14:textId="77777777" w:rsidR="00D2735B" w:rsidRPr="000136D9"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w:t>
      </w:r>
      <w:r w:rsidRPr="000136D9">
        <w:rPr>
          <w:rFonts w:asciiTheme="majorBidi" w:hAnsiTheme="majorBidi" w:cstheme="majorBidi"/>
          <w:szCs w:val="18"/>
        </w:rPr>
        <w:t>Research on NETs, like research on SRM, may create path-dependencies, locking in a requirement for NETs to meet climate goals.</w:t>
      </w:r>
      <w:r w:rsidRPr="000136D9">
        <w:rPr>
          <w:rFonts w:asciiTheme="majorBidi" w:hAnsiTheme="majorBidi" w:cstheme="majorBidi"/>
          <w:szCs w:val="18"/>
          <w:lang w:val="en-US"/>
        </w:rPr>
        <w:t>” P. 20, https://iopscience.iop.org/article/10.1088/1748-9326/aabf9b/pdf</w:t>
      </w:r>
    </w:p>
  </w:footnote>
  <w:footnote w:id="23">
    <w:p w14:paraId="34938A13" w14:textId="77777777"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rPr>
        <w:tab/>
      </w:r>
      <w:r w:rsidRPr="000136D9">
        <w:rPr>
          <w:rStyle w:val="FootnoteReference"/>
          <w:rFonts w:asciiTheme="majorBidi" w:hAnsiTheme="majorBidi" w:cstheme="majorBidi"/>
          <w:szCs w:val="18"/>
        </w:rPr>
        <w:footnoteRef/>
      </w:r>
      <w:r>
        <w:rPr>
          <w:rFonts w:asciiTheme="majorBidi" w:hAnsiTheme="majorBidi" w:cstheme="majorBidi"/>
          <w:szCs w:val="18"/>
        </w:rPr>
        <w:tab/>
      </w:r>
      <w:r w:rsidRPr="000136D9">
        <w:rPr>
          <w:rFonts w:asciiTheme="majorBidi" w:hAnsiTheme="majorBidi" w:cstheme="majorBidi"/>
          <w:szCs w:val="18"/>
        </w:rPr>
        <w:t>Amicus curiae brief submitted by SR on toxics and human rights; SR on human rights and the environment; the IE on the enjoyment of all human rights by older persons</w:t>
      </w:r>
      <w:r>
        <w:rPr>
          <w:rFonts w:asciiTheme="majorBidi" w:hAnsiTheme="majorBidi" w:cstheme="majorBidi"/>
          <w:szCs w:val="18"/>
        </w:rPr>
        <w:t>,</w:t>
      </w:r>
      <w:r w:rsidRPr="000136D9">
        <w:rPr>
          <w:rFonts w:asciiTheme="majorBidi" w:hAnsiTheme="majorBidi" w:cstheme="majorBidi"/>
          <w:szCs w:val="18"/>
        </w:rPr>
        <w:t xml:space="preserve"> </w:t>
      </w:r>
      <w:r w:rsidRPr="00503098">
        <w:rPr>
          <w:rFonts w:asciiTheme="majorBidi" w:hAnsiTheme="majorBidi" w:cstheme="majorBidi"/>
          <w:szCs w:val="18"/>
        </w:rPr>
        <w:t>https://www.ohchr.org/sites/default/files/Documents/Issues/ToxicWaste/AmicusKlimmaECtHR.pdf</w:t>
      </w:r>
      <w:r>
        <w:rPr>
          <w:rFonts w:asciiTheme="majorBidi" w:hAnsiTheme="majorBidi" w:cstheme="majorBidi"/>
          <w:szCs w:val="18"/>
        </w:rPr>
        <w:t>.</w:t>
      </w:r>
    </w:p>
  </w:footnote>
  <w:footnote w:id="24">
    <w:p w14:paraId="1B24D1E6" w14:textId="77777777" w:rsidR="00D2735B" w:rsidRPr="005B42D4"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rPr>
        <w:t xml:space="preserve">Corry O. </w:t>
      </w:r>
      <w:r w:rsidRPr="000136D9">
        <w:rPr>
          <w:rFonts w:asciiTheme="majorBidi" w:hAnsiTheme="majorBidi" w:cstheme="majorBidi"/>
          <w:i/>
          <w:iCs/>
          <w:szCs w:val="18"/>
        </w:rPr>
        <w:t>The international politics of geoengineering: The feasibility of Plan B for tackling climate change</w:t>
      </w:r>
      <w:r w:rsidRPr="000136D9">
        <w:rPr>
          <w:rFonts w:asciiTheme="majorBidi" w:hAnsiTheme="majorBidi" w:cstheme="majorBidi"/>
          <w:szCs w:val="18"/>
        </w:rPr>
        <w:t xml:space="preserve">. </w:t>
      </w:r>
      <w:proofErr w:type="spellStart"/>
      <w:r w:rsidRPr="005B42D4">
        <w:rPr>
          <w:rFonts w:asciiTheme="majorBidi" w:hAnsiTheme="majorBidi" w:cstheme="majorBidi"/>
          <w:szCs w:val="18"/>
          <w:lang w:val="en-US"/>
        </w:rPr>
        <w:t>Secur</w:t>
      </w:r>
      <w:proofErr w:type="spellEnd"/>
      <w:r w:rsidRPr="005B42D4">
        <w:rPr>
          <w:rFonts w:asciiTheme="majorBidi" w:hAnsiTheme="majorBidi" w:cstheme="majorBidi"/>
          <w:szCs w:val="18"/>
          <w:lang w:val="en-US"/>
        </w:rPr>
        <w:t xml:space="preserve"> Dialogue. 2017 Aug;48(4):297-315.</w:t>
      </w:r>
    </w:p>
  </w:footnote>
  <w:footnote w:id="25">
    <w:p w14:paraId="6E95139B" w14:textId="77777777" w:rsidR="00D2735B" w:rsidRPr="00312C6E" w:rsidRDefault="00D2735B" w:rsidP="00D2735B">
      <w:pPr>
        <w:pStyle w:val="FootnoteText"/>
        <w:rPr>
          <w:lang w:val="en-US"/>
        </w:rPr>
      </w:pPr>
      <w:r w:rsidRPr="00FA77EA">
        <w:tab/>
      </w:r>
      <w:r>
        <w:rPr>
          <w:rStyle w:val="FootnoteReference"/>
        </w:rPr>
        <w:footnoteRef/>
      </w:r>
      <w:r w:rsidRPr="005B42D4">
        <w:tab/>
      </w:r>
      <w:r w:rsidRPr="009920E0">
        <w:t>A/RES/76/300.</w:t>
      </w:r>
    </w:p>
  </w:footnote>
  <w:footnote w:id="26">
    <w:p w14:paraId="681E2435" w14:textId="77777777" w:rsidR="00D2735B" w:rsidRPr="007C744C" w:rsidRDefault="00D2735B" w:rsidP="00D2735B">
      <w:pPr>
        <w:pStyle w:val="FootnoteText"/>
      </w:pPr>
      <w:r w:rsidRPr="00B41175">
        <w:tab/>
      </w:r>
      <w:r>
        <w:rPr>
          <w:rStyle w:val="FootnoteReference"/>
        </w:rPr>
        <w:footnoteRef/>
      </w:r>
      <w:r w:rsidRPr="00B303F7">
        <w:tab/>
      </w:r>
      <w:r w:rsidRPr="007C744C">
        <w:t>“</w:t>
      </w:r>
      <w:hyperlink r:id="rId8" w:history="1">
        <w:r w:rsidRPr="007C744C">
          <w:rPr>
            <w:rStyle w:val="Hyperlink"/>
          </w:rPr>
          <w:t xml:space="preserve">COP27: </w:t>
        </w:r>
        <w:r w:rsidRPr="00BF30E4">
          <w:t>Urgent</w:t>
        </w:r>
        <w:r w:rsidRPr="007C744C">
          <w:rPr>
            <w:rStyle w:val="Hyperlink"/>
          </w:rPr>
          <w:t xml:space="preserve"> need to respect human rights in all climate change action, say UN experts</w:t>
        </w:r>
      </w:hyperlink>
      <w:r w:rsidRPr="007C744C">
        <w:t>”, 4 November 2022</w:t>
      </w:r>
      <w:r>
        <w:t xml:space="preserve">. </w:t>
      </w:r>
    </w:p>
  </w:footnote>
  <w:footnote w:id="27">
    <w:p w14:paraId="675FEBAE" w14:textId="77777777" w:rsidR="00D2735B" w:rsidRPr="001A76DB" w:rsidRDefault="00D2735B" w:rsidP="00D2735B">
      <w:pPr>
        <w:pStyle w:val="FootnoteText"/>
      </w:pPr>
      <w:r w:rsidRPr="008647AF">
        <w:tab/>
      </w:r>
      <w:r>
        <w:rPr>
          <w:rStyle w:val="FootnoteReference"/>
        </w:rPr>
        <w:footnoteRef/>
      </w:r>
      <w:r w:rsidRPr="00B41175">
        <w:tab/>
      </w:r>
      <w:r w:rsidRPr="00CA593A">
        <w:t>A/HRC/</w:t>
      </w:r>
      <w:r w:rsidRPr="002D21BF">
        <w:t>RES</w:t>
      </w:r>
      <w:r w:rsidRPr="00CA593A">
        <w:t>/50/9</w:t>
      </w:r>
      <w:r w:rsidRPr="001A76DB">
        <w:t xml:space="preserve">, OP 7. </w:t>
      </w:r>
    </w:p>
  </w:footnote>
  <w:footnote w:id="28">
    <w:p w14:paraId="65E157A9" w14:textId="21C88E42" w:rsidR="00D2735B" w:rsidRPr="005C14EB" w:rsidRDefault="00D2735B" w:rsidP="00D2735B">
      <w:pPr>
        <w:pStyle w:val="FootnoteText"/>
      </w:pPr>
      <w:r>
        <w:tab/>
      </w:r>
      <w:r>
        <w:rPr>
          <w:rStyle w:val="FootnoteReference"/>
        </w:rPr>
        <w:footnoteRef/>
      </w:r>
      <w:r>
        <w:tab/>
        <w:t xml:space="preserve">A decision </w:t>
      </w:r>
      <w:r w:rsidR="001D474A">
        <w:t>on</w:t>
      </w:r>
      <w:r w:rsidRPr="00EB40AC">
        <w:t xml:space="preserve"> o</w:t>
      </w:r>
      <w:r>
        <w:t xml:space="preserve">cean fertilization </w:t>
      </w:r>
      <w:r w:rsidRPr="0028050E">
        <w:t>activities (</w:t>
      </w:r>
      <w:hyperlink r:id="rId9" w:history="1">
        <w:r w:rsidRPr="0028050E">
          <w:rPr>
            <w:rStyle w:val="Hyperlink"/>
          </w:rPr>
          <w:t>UNEP/CBD/COP/DEC/IX/16</w:t>
        </w:r>
      </w:hyperlink>
      <w:r w:rsidRPr="0028050E">
        <w:t xml:space="preserve"> (2008)</w:t>
      </w:r>
      <w:r w:rsidRPr="00C2176E">
        <w:t xml:space="preserve"> </w:t>
      </w:r>
      <w:r>
        <w:t xml:space="preserve">was </w:t>
      </w:r>
      <w:r w:rsidR="001D474A">
        <w:t>broadened</w:t>
      </w:r>
      <w:r>
        <w:t xml:space="preserve"> </w:t>
      </w:r>
      <w:r w:rsidRPr="00EB40AC">
        <w:t xml:space="preserve">to </w:t>
      </w:r>
      <w:r w:rsidR="001D474A">
        <w:t xml:space="preserve">other </w:t>
      </w:r>
      <w:r w:rsidRPr="00EB40AC">
        <w:t>climate-related geoengineering activities</w:t>
      </w:r>
      <w:r>
        <w:t xml:space="preserve"> in </w:t>
      </w:r>
      <w:r w:rsidRPr="001F5BDE">
        <w:t>UNEP/CBD/COP/DEC</w:t>
      </w:r>
      <w:r w:rsidRPr="0028050E">
        <w:t>/</w:t>
      </w:r>
      <w:hyperlink r:id="rId10" w:history="1">
        <w:r w:rsidRPr="0028050E">
          <w:rPr>
            <w:rStyle w:val="Hyperlink"/>
            <w:rFonts w:asciiTheme="majorBidi" w:hAnsiTheme="majorBidi" w:cstheme="majorBidi"/>
            <w:szCs w:val="18"/>
          </w:rPr>
          <w:t>XX/33</w:t>
        </w:r>
      </w:hyperlink>
      <w:r w:rsidRPr="0028050E">
        <w:rPr>
          <w:rStyle w:val="Hyperlink"/>
          <w:rFonts w:asciiTheme="majorBidi" w:hAnsiTheme="majorBidi" w:cstheme="majorBidi"/>
          <w:szCs w:val="18"/>
        </w:rPr>
        <w:t xml:space="preserve"> (2012</w:t>
      </w:r>
      <w:r>
        <w:rPr>
          <w:rStyle w:val="Hyperlink"/>
          <w:rFonts w:asciiTheme="majorBidi" w:hAnsiTheme="majorBidi" w:cstheme="majorBidi"/>
          <w:szCs w:val="18"/>
        </w:rPr>
        <w:t>)</w:t>
      </w:r>
      <w:r w:rsidR="001D474A">
        <w:rPr>
          <w:rStyle w:val="Hyperlink"/>
          <w:rFonts w:asciiTheme="majorBidi" w:hAnsiTheme="majorBidi" w:cstheme="majorBidi"/>
          <w:szCs w:val="18"/>
        </w:rPr>
        <w:t>,</w:t>
      </w:r>
      <w:r w:rsidRPr="00203A05">
        <w:t xml:space="preserve"> </w:t>
      </w:r>
      <w:r>
        <w:t xml:space="preserve">renewed in 2016. </w:t>
      </w:r>
      <w:r w:rsidRPr="000A3A8F">
        <w:t>Such</w:t>
      </w:r>
      <w:r w:rsidRPr="00281533">
        <w:t xml:space="preserve"> </w:t>
      </w:r>
      <w:r w:rsidRPr="00281533">
        <w:rPr>
          <w:rFonts w:asciiTheme="majorBidi" w:hAnsiTheme="majorBidi" w:cstheme="majorBidi"/>
          <w:szCs w:val="18"/>
        </w:rPr>
        <w:t>decisions</w:t>
      </w:r>
      <w:r w:rsidRPr="00281533">
        <w:t xml:space="preserve"> are not legally binding</w:t>
      </w:r>
      <w:r w:rsidRPr="000A3A8F">
        <w:t xml:space="preserve"> b</w:t>
      </w:r>
      <w:r>
        <w:t>ut authoritative</w:t>
      </w:r>
      <w:r w:rsidR="001D474A">
        <w:t>:</w:t>
      </w:r>
      <w:r>
        <w:t xml:space="preserve"> </w:t>
      </w:r>
      <w:r w:rsidR="001D474A">
        <w:t>they</w:t>
      </w:r>
      <w:r>
        <w:t xml:space="preserve"> </w:t>
      </w:r>
      <w:r w:rsidRPr="00281533">
        <w:t xml:space="preserve">represent a broad consensus </w:t>
      </w:r>
      <w:r w:rsidRPr="000A3A8F">
        <w:t xml:space="preserve">on </w:t>
      </w:r>
      <w:r>
        <w:t xml:space="preserve">this issue and are adopted by the governing body of this multilateral treaty </w:t>
      </w:r>
      <w:r w:rsidR="001D474A">
        <w:t>with</w:t>
      </w:r>
      <w:r>
        <w:t xml:space="preserve"> universal application</w:t>
      </w:r>
      <w:r w:rsidRPr="00281533">
        <w:t>.</w:t>
      </w:r>
      <w:r w:rsidRPr="00C2176E">
        <w:t xml:space="preserve"> </w:t>
      </w:r>
    </w:p>
  </w:footnote>
  <w:footnote w:id="29">
    <w:p w14:paraId="10ECEC5A" w14:textId="59FE5F4A" w:rsidR="00D2735B" w:rsidRPr="00913D96" w:rsidRDefault="00D2735B" w:rsidP="00D2735B">
      <w:pPr>
        <w:pStyle w:val="FootnoteText"/>
      </w:pPr>
      <w:r w:rsidRPr="0028050E">
        <w:tab/>
      </w:r>
      <w:r>
        <w:rPr>
          <w:rStyle w:val="FootnoteReference"/>
        </w:rPr>
        <w:footnoteRef/>
      </w:r>
      <w:r w:rsidRPr="002C7BA3">
        <w:tab/>
        <w:t>See</w:t>
      </w:r>
      <w:r w:rsidRPr="002C7BA3">
        <w:rPr>
          <w:rFonts w:asciiTheme="majorBidi" w:hAnsiTheme="majorBidi" w:cstheme="majorBidi"/>
          <w:szCs w:val="18"/>
        </w:rPr>
        <w:t xml:space="preserve"> par. 8(w) of the 2012 D</w:t>
      </w:r>
      <w:r>
        <w:t>ecisi</w:t>
      </w:r>
      <w:r w:rsidRPr="002C7BA3">
        <w:t>o</w:t>
      </w:r>
      <w:r w:rsidRPr="005C14EB">
        <w:t>n</w:t>
      </w:r>
      <w:r w:rsidRPr="002C7BA3">
        <w:t>.</w:t>
      </w:r>
      <w:r>
        <w:t xml:space="preserve"> </w:t>
      </w:r>
      <w:r w:rsidRPr="005C14EB">
        <w:t>COP provide</w:t>
      </w:r>
      <w:r w:rsidRPr="002C7BA3">
        <w:t>s</w:t>
      </w:r>
      <w:r w:rsidRPr="005C14EB">
        <w:t xml:space="preserve"> a definition of these technologies: that deliberately reduce solar insolation or increase carbon sequestration from atmosphere on a large scale that may affect biodiversity (excluding carbon capture and storage from fossil fuels when it captures carbon dioxide before it is released into the atmosphere). It is interpreted that it includes all geoengineering with the only exception of fossil fuel CCS</w:t>
      </w:r>
      <w:r w:rsidRPr="00AF40A8">
        <w:t>.</w:t>
      </w:r>
    </w:p>
  </w:footnote>
  <w:footnote w:id="30">
    <w:p w14:paraId="6C33F922" w14:textId="0E9A7A78" w:rsidR="00D2735B" w:rsidRPr="008E20E6" w:rsidRDefault="00D2735B" w:rsidP="00D2735B">
      <w:pPr>
        <w:pStyle w:val="FootnoteText"/>
      </w:pPr>
      <w:r w:rsidRPr="00B41175">
        <w:tab/>
      </w:r>
      <w:r>
        <w:rPr>
          <w:rStyle w:val="FootnoteReference"/>
        </w:rPr>
        <w:footnoteRef/>
      </w:r>
      <w:r w:rsidRPr="00B41175">
        <w:tab/>
      </w:r>
      <w:r>
        <w:t xml:space="preserve">See </w:t>
      </w:r>
      <w:r w:rsidRPr="005570CE">
        <w:t>Article 3</w:t>
      </w:r>
      <w:r w:rsidRPr="008E20E6">
        <w:t xml:space="preserve">. </w:t>
      </w:r>
    </w:p>
  </w:footnote>
  <w:footnote w:id="31">
    <w:p w14:paraId="20E96F49" w14:textId="1F484434" w:rsidR="00D2735B" w:rsidRPr="009920E0" w:rsidRDefault="00D2735B" w:rsidP="00D2735B">
      <w:pPr>
        <w:pStyle w:val="FootnoteText"/>
      </w:pPr>
      <w:r w:rsidRPr="00B41175">
        <w:tab/>
      </w:r>
      <w:r>
        <w:rPr>
          <w:rStyle w:val="FootnoteReference"/>
        </w:rPr>
        <w:footnoteRef/>
      </w:r>
      <w:r w:rsidRPr="006C1729">
        <w:tab/>
      </w:r>
      <w:hyperlink r:id="rId11" w:history="1">
        <w:r w:rsidRPr="00B40142">
          <w:rPr>
            <w:rStyle w:val="Hyperlink"/>
          </w:rPr>
          <w:t>UNEP/CBD/COP/DEC/XIII/14</w:t>
        </w:r>
        <w:r w:rsidRPr="006C1729">
          <w:rPr>
            <w:rStyle w:val="Hyperlink"/>
          </w:rPr>
          <w:t xml:space="preserve"> (2016)</w:t>
        </w:r>
      </w:hyperlink>
      <w:r w:rsidRPr="006C1729">
        <w:t>, par</w:t>
      </w:r>
      <w:r w:rsidR="005273C1">
        <w:t>a</w:t>
      </w:r>
      <w:r w:rsidRPr="006C1729">
        <w:t xml:space="preserve">. 5. </w:t>
      </w:r>
      <w:r w:rsidRPr="00B957B6">
        <w:t xml:space="preserve">This approach has been endorsed by the Global Biodiversity Framework (GBF) which includes Target 10 to maintain nature’s contribution to people, </w:t>
      </w:r>
      <w:r w:rsidRPr="009920E0">
        <w:t>as well as CBD objectives in general.</w:t>
      </w:r>
    </w:p>
  </w:footnote>
  <w:footnote w:id="32">
    <w:p w14:paraId="365F0695" w14:textId="77777777" w:rsidR="00D2735B" w:rsidRPr="00FA77EA" w:rsidRDefault="00D2735B" w:rsidP="00D2735B">
      <w:pPr>
        <w:pStyle w:val="FootnoteText"/>
      </w:pPr>
      <w:r w:rsidRPr="009920E0">
        <w:tab/>
      </w:r>
      <w:r w:rsidRPr="009920E0">
        <w:rPr>
          <w:rStyle w:val="FootnoteReference"/>
        </w:rPr>
        <w:footnoteRef/>
      </w:r>
      <w:r w:rsidRPr="009920E0">
        <w:tab/>
        <w:t xml:space="preserve">The Protocol entered into force on 24 March 2006 and currently </w:t>
      </w:r>
      <w:r>
        <w:t xml:space="preserve">has </w:t>
      </w:r>
      <w:r w:rsidRPr="009920E0">
        <w:t>53 Parties</w:t>
      </w:r>
      <w:r>
        <w:t>.</w:t>
      </w:r>
    </w:p>
  </w:footnote>
  <w:footnote w:id="33">
    <w:p w14:paraId="768C4B68" w14:textId="77777777" w:rsidR="00D2735B" w:rsidRPr="00FA77EA" w:rsidRDefault="00D2735B" w:rsidP="00D2735B">
      <w:pPr>
        <w:pStyle w:val="FootnoteText"/>
      </w:pPr>
      <w:r>
        <w:tab/>
      </w:r>
      <w:r>
        <w:rPr>
          <w:rStyle w:val="FootnoteReference"/>
        </w:rPr>
        <w:footnoteRef/>
      </w:r>
      <w:r>
        <w:tab/>
      </w:r>
      <w:r w:rsidRPr="00274763">
        <w:rPr>
          <w:rStyle w:val="Hyperlink"/>
        </w:rPr>
        <w:t>Resolution</w:t>
      </w:r>
      <w:r w:rsidRPr="00813DD6">
        <w:t xml:space="preserve"> LC-LP.1 on the Regulation of Ocean Fertilization (LC 30/16, Annex 6) </w:t>
      </w:r>
    </w:p>
  </w:footnote>
  <w:footnote w:id="34">
    <w:p w14:paraId="7F35C758" w14:textId="77777777" w:rsidR="00D2735B" w:rsidRPr="000136D9" w:rsidRDefault="00D2735B" w:rsidP="00D2735B">
      <w:pPr>
        <w:pStyle w:val="FootnoteText"/>
        <w:rPr>
          <w:rFonts w:asciiTheme="majorBidi" w:eastAsia="Times New Roman" w:hAnsiTheme="majorBidi" w:cstheme="majorBidi"/>
          <w:szCs w:val="18"/>
          <w:lang w:eastAsia="en-GB"/>
        </w:rPr>
      </w:pPr>
      <w:r>
        <w:rPr>
          <w:rFonts w:asciiTheme="majorBidi" w:hAnsiTheme="majorBidi" w:cstheme="majorBidi"/>
          <w:szCs w:val="18"/>
          <w:lang w:val="en-US"/>
        </w:rPr>
        <w:tab/>
      </w:r>
      <w:r w:rsidRPr="000136D9">
        <w:rPr>
          <w:rStyle w:val="FootnoteReference"/>
          <w:rFonts w:asciiTheme="majorBidi" w:hAnsiTheme="majorBidi"/>
          <w:szCs w:val="18"/>
        </w:rPr>
        <w:footnoteRef/>
      </w:r>
      <w:r>
        <w:rPr>
          <w:rFonts w:asciiTheme="majorBidi" w:hAnsiTheme="majorBidi" w:cstheme="majorBidi"/>
          <w:szCs w:val="18"/>
          <w:lang w:val="en-US"/>
        </w:rPr>
        <w:tab/>
      </w:r>
      <w:proofErr w:type="spellStart"/>
      <w:r w:rsidRPr="006770CF">
        <w:rPr>
          <w:rFonts w:asciiTheme="majorBidi" w:hAnsiTheme="majorBidi" w:cstheme="majorBidi"/>
          <w:szCs w:val="18"/>
        </w:rPr>
        <w:t>Ginzky</w:t>
      </w:r>
      <w:proofErr w:type="spellEnd"/>
      <w:r w:rsidRPr="000136D9">
        <w:rPr>
          <w:rFonts w:asciiTheme="majorBidi" w:eastAsia="Times New Roman" w:hAnsiTheme="majorBidi" w:cstheme="majorBidi"/>
          <w:color w:val="3A3A3A"/>
          <w:szCs w:val="18"/>
          <w:shd w:val="clear" w:color="auto" w:fill="FFFFFF"/>
          <w:lang w:eastAsia="en-GB"/>
        </w:rPr>
        <w:t>, Harald. “Marine Geo-Engineering.” </w:t>
      </w:r>
      <w:r w:rsidRPr="000136D9">
        <w:rPr>
          <w:rFonts w:asciiTheme="majorBidi" w:eastAsia="Times New Roman" w:hAnsiTheme="majorBidi" w:cstheme="majorBidi"/>
          <w:i/>
          <w:iCs/>
          <w:color w:val="3A3A3A"/>
          <w:szCs w:val="18"/>
          <w:shd w:val="clear" w:color="auto" w:fill="FFFFFF"/>
          <w:lang w:eastAsia="en-GB"/>
        </w:rPr>
        <w:t>Handbook on Marine Environment Protection</w:t>
      </w:r>
      <w:r w:rsidRPr="000136D9">
        <w:rPr>
          <w:rFonts w:asciiTheme="majorBidi" w:eastAsia="Times New Roman" w:hAnsiTheme="majorBidi" w:cstheme="majorBidi"/>
          <w:color w:val="3A3A3A"/>
          <w:szCs w:val="18"/>
          <w:shd w:val="clear" w:color="auto" w:fill="FFFFFF"/>
          <w:lang w:eastAsia="en-GB"/>
        </w:rPr>
        <w:t>, Springer International Publishing, 2017, pp. 997–1011, https://doi.org/10.1007/978-3-319-60156-4_53.</w:t>
      </w:r>
    </w:p>
  </w:footnote>
  <w:footnote w:id="35">
    <w:p w14:paraId="4D2D70D5" w14:textId="3127EEF2" w:rsidR="00D2735B" w:rsidRPr="00AF5343" w:rsidRDefault="00D2735B" w:rsidP="00D2735B">
      <w:pPr>
        <w:pStyle w:val="FootnoteText"/>
      </w:pPr>
      <w:r w:rsidRPr="00B41175">
        <w:tab/>
      </w:r>
      <w:r>
        <w:rPr>
          <w:rStyle w:val="FootnoteReference"/>
        </w:rPr>
        <w:footnoteRef/>
      </w:r>
      <w:r w:rsidRPr="00B41175">
        <w:tab/>
      </w:r>
      <w:r w:rsidRPr="00AF5343">
        <w:t>The</w:t>
      </w:r>
      <w:r w:rsidRPr="002C7BA3">
        <w:t>se</w:t>
      </w:r>
      <w:r w:rsidRPr="00AF5343">
        <w:t xml:space="preserve"> involve CDR </w:t>
      </w:r>
      <w:r w:rsidR="005946ED">
        <w:t xml:space="preserve">and </w:t>
      </w:r>
      <w:r w:rsidRPr="00AF5343">
        <w:t xml:space="preserve">SRM: ocean alkalinity enhancement and electrochemical CDR; biomass cultivation for carbon removal; marine cloud brightening; and surface albedo enhancement involving reflective particles and/or other materials. “Marine geoengineering - assessing the impacts on the marine environment”, IMO, </w:t>
      </w:r>
      <w:r>
        <w:t xml:space="preserve">23 March 2023. </w:t>
      </w:r>
    </w:p>
  </w:footnote>
  <w:footnote w:id="36">
    <w:p w14:paraId="634E6A94" w14:textId="77777777"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rPr>
        <w:tab/>
      </w:r>
      <w:r w:rsidRPr="00D7113A">
        <w:rPr>
          <w:rStyle w:val="FootnoteReference"/>
          <w:rFonts w:asciiTheme="majorBidi" w:hAnsiTheme="majorBidi"/>
          <w:szCs w:val="18"/>
        </w:rPr>
        <w:footnoteRef/>
      </w:r>
      <w:r w:rsidRPr="00D7113A">
        <w:rPr>
          <w:rFonts w:asciiTheme="majorBidi" w:hAnsiTheme="majorBidi" w:cstheme="majorBidi"/>
          <w:szCs w:val="18"/>
        </w:rPr>
        <w:tab/>
      </w:r>
      <w:r w:rsidRPr="00BB1191">
        <w:rPr>
          <w:rFonts w:asciiTheme="majorBidi" w:hAnsiTheme="majorBidi" w:cstheme="majorBidi"/>
          <w:szCs w:val="18"/>
        </w:rPr>
        <w:t>A/RES/</w:t>
      </w:r>
      <w:r>
        <w:rPr>
          <w:rFonts w:asciiTheme="majorBidi" w:hAnsiTheme="majorBidi" w:cstheme="majorBidi"/>
          <w:szCs w:val="18"/>
        </w:rPr>
        <w:t>77/114 (</w:t>
      </w:r>
      <w:r w:rsidRPr="00472DA8">
        <w:rPr>
          <w:rFonts w:asciiTheme="majorBidi" w:hAnsiTheme="majorBidi" w:cstheme="majorBidi"/>
          <w:szCs w:val="18"/>
        </w:rPr>
        <w:t>2022</w:t>
      </w:r>
      <w:r>
        <w:rPr>
          <w:rFonts w:asciiTheme="majorBidi" w:hAnsiTheme="majorBidi" w:cstheme="majorBidi"/>
          <w:szCs w:val="18"/>
        </w:rPr>
        <w:t xml:space="preserve">). Principle 17. </w:t>
      </w:r>
    </w:p>
  </w:footnote>
  <w:footnote w:id="37">
    <w:p w14:paraId="525B8961" w14:textId="77777777" w:rsidR="00D2735B" w:rsidRPr="004560F0" w:rsidRDefault="00D2735B" w:rsidP="00D2735B">
      <w:pPr>
        <w:pStyle w:val="FootnoteText"/>
      </w:pPr>
      <w:r w:rsidRPr="00475980">
        <w:tab/>
      </w:r>
      <w:r>
        <w:rPr>
          <w:rStyle w:val="FootnoteReference"/>
        </w:rPr>
        <w:footnoteRef/>
      </w:r>
      <w:r w:rsidRPr="00475980">
        <w:tab/>
      </w:r>
      <w:r w:rsidRPr="00B62E96">
        <w:t>A/77/10</w:t>
      </w:r>
      <w:r w:rsidRPr="005B42D4">
        <w:t xml:space="preserve">, p. 136. </w:t>
      </w:r>
      <w:r>
        <w:t xml:space="preserve">The ILC introduces </w:t>
      </w:r>
      <w:r w:rsidRPr="009551E0">
        <w:t>an environmental “Martens Clause” which would apply in cases not covered by international agreements</w:t>
      </w:r>
      <w:r>
        <w:t>.</w:t>
      </w:r>
      <w:r w:rsidRPr="009551E0">
        <w:t xml:space="preserve"> </w:t>
      </w:r>
      <w:r w:rsidRPr="00AB40F6">
        <w:t>A/77/10</w:t>
      </w:r>
      <w:r w:rsidRPr="0032659D">
        <w:t>, p. 136.</w:t>
      </w:r>
      <w:r>
        <w:t xml:space="preserve"> See also: </w:t>
      </w:r>
      <w:r w:rsidRPr="00475980">
        <w:rPr>
          <w:rFonts w:asciiTheme="majorBidi" w:hAnsiTheme="majorBidi" w:cstheme="majorBidi"/>
          <w:szCs w:val="18"/>
        </w:rPr>
        <w:t>World Conservation Congress, resolution 2.97, entitled “A Martens Clause for environmental</w:t>
      </w:r>
      <w:r>
        <w:rPr>
          <w:rFonts w:asciiTheme="majorBidi" w:hAnsiTheme="majorBidi" w:cstheme="majorBidi"/>
          <w:szCs w:val="18"/>
        </w:rPr>
        <w:t xml:space="preserve"> </w:t>
      </w:r>
      <w:r w:rsidRPr="00475980">
        <w:rPr>
          <w:rFonts w:asciiTheme="majorBidi" w:hAnsiTheme="majorBidi" w:cstheme="majorBidi"/>
          <w:szCs w:val="18"/>
        </w:rPr>
        <w:t>protection” (Amman, 4–11 October 2000).</w:t>
      </w:r>
      <w:r w:rsidRPr="004560F0">
        <w:t xml:space="preserve"> </w:t>
      </w:r>
      <w:r w:rsidRPr="00475980">
        <w:t xml:space="preserve">This </w:t>
      </w:r>
      <w:r w:rsidRPr="004560F0">
        <w:rPr>
          <w:rFonts w:asciiTheme="majorBidi" w:hAnsiTheme="majorBidi" w:cstheme="majorBidi"/>
          <w:szCs w:val="18"/>
        </w:rPr>
        <w:t>recommendation was adopted by consensus and was meant to apply during peacetime</w:t>
      </w:r>
      <w:r>
        <w:rPr>
          <w:rFonts w:asciiTheme="majorBidi" w:hAnsiTheme="majorBidi" w:cstheme="majorBidi"/>
          <w:szCs w:val="18"/>
        </w:rPr>
        <w:t xml:space="preserve"> </w:t>
      </w:r>
      <w:r w:rsidRPr="004560F0">
        <w:rPr>
          <w:rFonts w:asciiTheme="majorBidi" w:hAnsiTheme="majorBidi" w:cstheme="majorBidi"/>
          <w:szCs w:val="18"/>
        </w:rPr>
        <w:t>as well as during armed conflicts.</w:t>
      </w:r>
    </w:p>
  </w:footnote>
  <w:footnote w:id="38">
    <w:p w14:paraId="1CB2315F" w14:textId="77777777" w:rsidR="00D2735B" w:rsidRPr="00105876" w:rsidRDefault="00D2735B" w:rsidP="00D2735B">
      <w:pPr>
        <w:pStyle w:val="FootnoteText"/>
      </w:pPr>
      <w:r>
        <w:tab/>
      </w:r>
      <w:r>
        <w:rPr>
          <w:rStyle w:val="FootnoteReference"/>
        </w:rPr>
        <w:footnoteRef/>
      </w:r>
      <w:r>
        <w:tab/>
      </w:r>
      <w:r w:rsidRPr="00105876">
        <w:rPr>
          <w:rFonts w:asciiTheme="majorBidi" w:hAnsiTheme="majorBidi" w:cstheme="majorBidi"/>
          <w:szCs w:val="18"/>
        </w:rPr>
        <w:t>The interpretation of human rights obligations in this area must be informed by fundamental principles under environmental law.</w:t>
      </w:r>
    </w:p>
  </w:footnote>
  <w:footnote w:id="39">
    <w:p w14:paraId="7B1CC8E6" w14:textId="640678ED" w:rsidR="00D2735B" w:rsidRPr="00F05B58" w:rsidRDefault="00D2735B" w:rsidP="00D2735B">
      <w:pPr>
        <w:pStyle w:val="FootnoteText"/>
      </w:pPr>
      <w:r w:rsidRPr="007B7A1E">
        <w:tab/>
      </w:r>
      <w:r w:rsidRPr="00485652">
        <w:rPr>
          <w:rStyle w:val="FootnoteReference"/>
        </w:rPr>
        <w:footnoteRef/>
      </w:r>
      <w:r w:rsidRPr="00485652">
        <w:tab/>
        <w:t xml:space="preserve">At international </w:t>
      </w:r>
      <w:r>
        <w:rPr>
          <w:lang w:val="en-US"/>
        </w:rPr>
        <w:t xml:space="preserve">level </w:t>
      </w:r>
      <w:r w:rsidRPr="00485652">
        <w:rPr>
          <w:rFonts w:asciiTheme="majorBidi" w:hAnsiTheme="majorBidi" w:cstheme="majorBidi"/>
          <w:szCs w:val="18"/>
        </w:rPr>
        <w:t xml:space="preserve">this </w:t>
      </w:r>
      <w:r w:rsidRPr="00485652">
        <w:t>principle was first codified in Principle 15 of the 1992 Rio Declaration: ‘In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 The preamble</w:t>
      </w:r>
      <w:r w:rsidR="003F04EB">
        <w:t>s</w:t>
      </w:r>
      <w:r w:rsidRPr="00485652">
        <w:t xml:space="preserve"> of the CBD and the 2000 Cartagena Protocol on Biosafety also contain this principle.</w:t>
      </w:r>
      <w:r w:rsidRPr="00F05B58">
        <w:t xml:space="preserve"> </w:t>
      </w:r>
    </w:p>
  </w:footnote>
  <w:footnote w:id="40">
    <w:p w14:paraId="1A541306" w14:textId="059AF78E" w:rsidR="00D2735B" w:rsidRPr="005B42D4" w:rsidRDefault="00D2735B" w:rsidP="00D2735B">
      <w:pPr>
        <w:pStyle w:val="FootnoteText"/>
      </w:pPr>
      <w:r>
        <w:tab/>
      </w:r>
      <w:r>
        <w:rPr>
          <w:rStyle w:val="FootnoteReference"/>
        </w:rPr>
        <w:footnoteRef/>
      </w:r>
      <w:r>
        <w:tab/>
        <w:t>I</w:t>
      </w:r>
      <w:r w:rsidR="005273C1">
        <w:t>ACHR</w:t>
      </w:r>
      <w:r w:rsidRPr="005B42D4">
        <w:t xml:space="preserve">, </w:t>
      </w:r>
      <w:r>
        <w:t>A</w:t>
      </w:r>
      <w:r w:rsidRPr="005B42D4">
        <w:t>d</w:t>
      </w:r>
      <w:r>
        <w:t>visory Opinion OC-23/17</w:t>
      </w:r>
      <w:r w:rsidRPr="005B42D4">
        <w:t xml:space="preserve"> of </w:t>
      </w:r>
      <w:r>
        <w:t>November 15, 2017</w:t>
      </w:r>
      <w:r w:rsidRPr="005B42D4">
        <w:t xml:space="preserve">, par. 130. </w:t>
      </w:r>
    </w:p>
  </w:footnote>
  <w:footnote w:id="41">
    <w:p w14:paraId="266A7D36" w14:textId="77777777"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rPr>
        <w:tab/>
      </w:r>
      <w:r w:rsidRPr="000136D9">
        <w:rPr>
          <w:rStyle w:val="FootnoteReference"/>
          <w:rFonts w:asciiTheme="majorBidi" w:hAnsiTheme="majorBidi" w:cstheme="majorBidi"/>
          <w:szCs w:val="18"/>
        </w:rPr>
        <w:footnoteRef/>
      </w:r>
      <w:r>
        <w:rPr>
          <w:rFonts w:asciiTheme="majorBidi" w:hAnsiTheme="majorBidi" w:cstheme="majorBidi"/>
          <w:szCs w:val="18"/>
        </w:rPr>
        <w:tab/>
        <w:t xml:space="preserve">This principle </w:t>
      </w:r>
      <w:r w:rsidRPr="00124528">
        <w:t>“provides justification for public policy and other actions in situations of scientific complexity, uncertainty and ignorance, where there may be a need to act in order to avoid, or reduce, potentially serious or irreversible threats to health and/or the environment, using an appropriate strength of scientific evidence, and taking into account the pros and cons of action and inaction and their distribution.”</w:t>
      </w:r>
      <w:r w:rsidRPr="00203EFF">
        <w:rPr>
          <w:rStyle w:val="FootnoteReference"/>
          <w:sz w:val="20"/>
        </w:rPr>
        <w:t xml:space="preserve"> </w:t>
      </w:r>
      <w:r w:rsidRPr="000136D9">
        <w:rPr>
          <w:rFonts w:asciiTheme="majorBidi" w:hAnsiTheme="majorBidi" w:cstheme="majorBidi"/>
          <w:szCs w:val="18"/>
        </w:rPr>
        <w:t xml:space="preserve">“The precautionary principle. Definitions, </w:t>
      </w:r>
      <w:proofErr w:type="gramStart"/>
      <w:r w:rsidRPr="000136D9">
        <w:rPr>
          <w:rFonts w:asciiTheme="majorBidi" w:hAnsiTheme="majorBidi" w:cstheme="majorBidi"/>
          <w:szCs w:val="18"/>
        </w:rPr>
        <w:t>applications</w:t>
      </w:r>
      <w:proofErr w:type="gramEnd"/>
      <w:r w:rsidRPr="000136D9">
        <w:rPr>
          <w:rFonts w:asciiTheme="majorBidi" w:hAnsiTheme="majorBidi" w:cstheme="majorBidi"/>
          <w:szCs w:val="18"/>
        </w:rPr>
        <w:t xml:space="preserve"> and governance”. European Parliamentary </w:t>
      </w:r>
      <w:r w:rsidRPr="00274763">
        <w:t>Research</w:t>
      </w:r>
      <w:r w:rsidRPr="000136D9">
        <w:rPr>
          <w:rFonts w:asciiTheme="majorBidi" w:hAnsiTheme="majorBidi" w:cstheme="majorBidi"/>
          <w:szCs w:val="18"/>
        </w:rPr>
        <w:t xml:space="preserve"> Service, 2015, p. 10. </w:t>
      </w:r>
    </w:p>
  </w:footnote>
  <w:footnote w:id="42">
    <w:p w14:paraId="5E5244A7" w14:textId="0D5B8149" w:rsidR="00D2735B" w:rsidRPr="00605DAB" w:rsidRDefault="00D2735B" w:rsidP="00D2735B">
      <w:pPr>
        <w:pStyle w:val="FootnoteText"/>
        <w:rPr>
          <w:lang w:val="es-ES"/>
        </w:rPr>
      </w:pPr>
      <w:r>
        <w:tab/>
      </w:r>
      <w:r>
        <w:rPr>
          <w:rStyle w:val="FootnoteReference"/>
        </w:rPr>
        <w:footnoteRef/>
      </w:r>
      <w:r w:rsidRPr="00605DAB">
        <w:rPr>
          <w:lang w:val="es-ES"/>
        </w:rPr>
        <w:tab/>
        <w:t>A/74/161, par</w:t>
      </w:r>
      <w:r w:rsidR="005273C1" w:rsidRPr="00605DAB">
        <w:rPr>
          <w:lang w:val="es-ES"/>
        </w:rPr>
        <w:t>a</w:t>
      </w:r>
      <w:r w:rsidRPr="00605DAB">
        <w:rPr>
          <w:lang w:val="es-ES"/>
        </w:rPr>
        <w:t>s. 83 and 84.</w:t>
      </w:r>
    </w:p>
  </w:footnote>
  <w:footnote w:id="43">
    <w:p w14:paraId="152091D0" w14:textId="6F568BD0" w:rsidR="00D2735B" w:rsidRPr="00A65D0D" w:rsidRDefault="00D2735B" w:rsidP="00D2735B">
      <w:pPr>
        <w:pStyle w:val="FootnoteText"/>
      </w:pPr>
      <w:r w:rsidRPr="00605DAB">
        <w:rPr>
          <w:lang w:val="es-ES"/>
        </w:rPr>
        <w:tab/>
      </w:r>
      <w:r>
        <w:rPr>
          <w:rStyle w:val="FootnoteReference"/>
        </w:rPr>
        <w:footnoteRef/>
      </w:r>
      <w:r w:rsidRPr="00605DAB">
        <w:rPr>
          <w:lang w:val="es-ES"/>
        </w:rPr>
        <w:tab/>
        <w:t>E/C.12/GC/25, par</w:t>
      </w:r>
      <w:r w:rsidR="005273C1" w:rsidRPr="00605DAB">
        <w:rPr>
          <w:lang w:val="es-ES"/>
        </w:rPr>
        <w:t>a</w:t>
      </w:r>
      <w:r w:rsidRPr="00605DAB">
        <w:rPr>
          <w:lang w:val="es-ES"/>
        </w:rPr>
        <w:t xml:space="preserve">s. </w:t>
      </w:r>
      <w:r w:rsidRPr="00A65D0D">
        <w:t xml:space="preserve">56 - 57. </w:t>
      </w:r>
    </w:p>
  </w:footnote>
  <w:footnote w:id="44">
    <w:p w14:paraId="1D86958E" w14:textId="77777777" w:rsidR="00D2735B" w:rsidRPr="005B42D4" w:rsidRDefault="00D2735B" w:rsidP="00D2735B">
      <w:pPr>
        <w:pStyle w:val="FootnoteText"/>
        <w:rPr>
          <w:lang w:val="en-US"/>
        </w:rPr>
      </w:pPr>
      <w:r>
        <w:rPr>
          <w:rFonts w:asciiTheme="majorBidi" w:hAnsiTheme="majorBidi" w:cstheme="majorBidi"/>
          <w:szCs w:val="18"/>
        </w:rPr>
        <w:tab/>
      </w:r>
      <w:r>
        <w:rPr>
          <w:rStyle w:val="FootnoteReference"/>
        </w:rPr>
        <w:footnoteRef/>
      </w:r>
      <w:r>
        <w:rPr>
          <w:rFonts w:asciiTheme="majorBidi" w:hAnsiTheme="majorBidi" w:cstheme="majorBidi"/>
          <w:szCs w:val="18"/>
        </w:rPr>
        <w:tab/>
      </w:r>
      <w:proofErr w:type="spellStart"/>
      <w:r w:rsidRPr="00A65D0D">
        <w:rPr>
          <w:rFonts w:asciiTheme="majorBidi" w:hAnsiTheme="majorBidi" w:cstheme="majorBidi"/>
          <w:szCs w:val="18"/>
        </w:rPr>
        <w:t>Baldi</w:t>
      </w:r>
      <w:r w:rsidRPr="001F6984">
        <w:t>n</w:t>
      </w:r>
      <w:proofErr w:type="spellEnd"/>
      <w:r w:rsidRPr="00A65D0D">
        <w:rPr>
          <w:rFonts w:asciiTheme="majorBidi" w:hAnsiTheme="majorBidi" w:cstheme="majorBidi"/>
          <w:szCs w:val="18"/>
        </w:rPr>
        <w:t xml:space="preserve">, Serena and De </w:t>
      </w:r>
      <w:proofErr w:type="spellStart"/>
      <w:r w:rsidRPr="00A65D0D">
        <w:rPr>
          <w:rFonts w:asciiTheme="majorBidi" w:hAnsiTheme="majorBidi" w:cstheme="majorBidi"/>
          <w:szCs w:val="18"/>
        </w:rPr>
        <w:t>Vido</w:t>
      </w:r>
      <w:proofErr w:type="spellEnd"/>
      <w:r w:rsidRPr="00A65D0D">
        <w:rPr>
          <w:rFonts w:asciiTheme="majorBidi" w:hAnsiTheme="majorBidi" w:cstheme="majorBidi"/>
          <w:szCs w:val="18"/>
        </w:rPr>
        <w:t xml:space="preserve">, Sara, ‘The </w:t>
      </w:r>
      <w:proofErr w:type="gramStart"/>
      <w:r w:rsidRPr="00A65D0D">
        <w:rPr>
          <w:rFonts w:asciiTheme="majorBidi" w:hAnsiTheme="majorBidi" w:cstheme="majorBidi"/>
          <w:szCs w:val="18"/>
        </w:rPr>
        <w:t>In</w:t>
      </w:r>
      <w:proofErr w:type="gramEnd"/>
      <w:r w:rsidRPr="00A65D0D">
        <w:rPr>
          <w:rFonts w:asciiTheme="majorBidi" w:hAnsiTheme="majorBidi" w:cstheme="majorBidi"/>
          <w:szCs w:val="18"/>
        </w:rPr>
        <w:t xml:space="preserve"> </w:t>
      </w:r>
      <w:proofErr w:type="spellStart"/>
      <w:r w:rsidRPr="00A65D0D">
        <w:rPr>
          <w:rFonts w:asciiTheme="majorBidi" w:hAnsiTheme="majorBidi" w:cstheme="majorBidi"/>
          <w:szCs w:val="18"/>
        </w:rPr>
        <w:t>Dubio</w:t>
      </w:r>
      <w:proofErr w:type="spellEnd"/>
      <w:r w:rsidRPr="00A65D0D">
        <w:rPr>
          <w:rFonts w:asciiTheme="majorBidi" w:hAnsiTheme="majorBidi" w:cstheme="majorBidi"/>
          <w:szCs w:val="18"/>
        </w:rPr>
        <w:t xml:space="preserve"> Pro Natura Principle: An Attempt of A </w:t>
      </w:r>
      <w:r w:rsidRPr="001F6984">
        <w:t>Comprehensive</w:t>
      </w:r>
      <w:r w:rsidRPr="00A65D0D">
        <w:rPr>
          <w:rFonts w:asciiTheme="majorBidi" w:hAnsiTheme="majorBidi" w:cstheme="majorBidi"/>
          <w:szCs w:val="18"/>
        </w:rPr>
        <w:t xml:space="preserve"> Legal Reconstruction’ </w:t>
      </w:r>
      <w:proofErr w:type="spellStart"/>
      <w:r w:rsidRPr="00A65D0D">
        <w:rPr>
          <w:rFonts w:asciiTheme="majorBidi" w:hAnsiTheme="majorBidi" w:cstheme="majorBidi"/>
          <w:i/>
          <w:szCs w:val="18"/>
        </w:rPr>
        <w:t>Revista</w:t>
      </w:r>
      <w:proofErr w:type="spellEnd"/>
      <w:r w:rsidRPr="00A65D0D">
        <w:rPr>
          <w:rFonts w:asciiTheme="majorBidi" w:hAnsiTheme="majorBidi" w:cstheme="majorBidi"/>
          <w:i/>
          <w:szCs w:val="18"/>
        </w:rPr>
        <w:t xml:space="preserve"> General de </w:t>
      </w:r>
      <w:proofErr w:type="spellStart"/>
      <w:r w:rsidRPr="00A65D0D">
        <w:rPr>
          <w:rFonts w:asciiTheme="majorBidi" w:hAnsiTheme="majorBidi" w:cstheme="majorBidi"/>
          <w:i/>
          <w:szCs w:val="18"/>
        </w:rPr>
        <w:t>Derecho</w:t>
      </w:r>
      <w:proofErr w:type="spellEnd"/>
      <w:r w:rsidRPr="00A65D0D">
        <w:rPr>
          <w:rFonts w:asciiTheme="majorBidi" w:hAnsiTheme="majorBidi" w:cstheme="majorBidi"/>
          <w:i/>
          <w:szCs w:val="18"/>
        </w:rPr>
        <w:t xml:space="preserve"> Público </w:t>
      </w:r>
      <w:proofErr w:type="spellStart"/>
      <w:r w:rsidRPr="00A65D0D">
        <w:rPr>
          <w:rFonts w:asciiTheme="majorBidi" w:hAnsiTheme="majorBidi" w:cstheme="majorBidi"/>
          <w:i/>
          <w:szCs w:val="18"/>
        </w:rPr>
        <w:t>Comparado</w:t>
      </w:r>
      <w:proofErr w:type="spellEnd"/>
      <w:r w:rsidRPr="00A65D0D">
        <w:rPr>
          <w:rFonts w:asciiTheme="majorBidi" w:hAnsiTheme="majorBidi" w:cstheme="majorBidi"/>
          <w:szCs w:val="18"/>
        </w:rPr>
        <w:t xml:space="preserve"> 32/2022, pp. 168-199. </w:t>
      </w:r>
      <w:hyperlink r:id="rId12" w:history="1">
        <w:r w:rsidRPr="000136D9">
          <w:rPr>
            <w:rStyle w:val="Hyperlink"/>
            <w:rFonts w:asciiTheme="majorBidi" w:hAnsiTheme="majorBidi" w:cstheme="majorBidi"/>
            <w:szCs w:val="18"/>
          </w:rPr>
          <w:t>file:///C:/Users/M-electronics/Downloads/SSRN-id4313438.pdf</w:t>
        </w:r>
      </w:hyperlink>
      <w:r>
        <w:rPr>
          <w:rStyle w:val="Hyperlink"/>
          <w:rFonts w:asciiTheme="majorBidi" w:hAnsiTheme="majorBidi" w:cstheme="majorBidi"/>
          <w:szCs w:val="18"/>
        </w:rPr>
        <w:t>.</w:t>
      </w:r>
    </w:p>
  </w:footnote>
  <w:footnote w:id="45">
    <w:p w14:paraId="4F243CE1" w14:textId="38C48ECC" w:rsidR="00D2735B" w:rsidRPr="005B42D4" w:rsidRDefault="00D2735B" w:rsidP="00D2735B">
      <w:pPr>
        <w:pStyle w:val="FootnoteText"/>
        <w:rPr>
          <w:lang w:val="en-US"/>
        </w:rPr>
      </w:pPr>
      <w:r>
        <w:tab/>
      </w:r>
      <w:r>
        <w:rPr>
          <w:rStyle w:val="FootnoteReference"/>
        </w:rPr>
        <w:footnoteRef/>
      </w:r>
      <w:r>
        <w:tab/>
      </w:r>
      <w:r w:rsidRPr="00210334">
        <w:t xml:space="preserve">The </w:t>
      </w:r>
      <w:r w:rsidRPr="001F6984">
        <w:rPr>
          <w:rFonts w:asciiTheme="majorBidi" w:hAnsiTheme="majorBidi" w:cstheme="majorBidi"/>
          <w:szCs w:val="18"/>
        </w:rPr>
        <w:t>Climate</w:t>
      </w:r>
      <w:r w:rsidRPr="00210334">
        <w:t xml:space="preserve"> Change Framework Law (Decree 7-2013) of Guatemala refers to these principles in article 6</w:t>
      </w:r>
      <w:r w:rsidR="00E5205C">
        <w:t xml:space="preserve">, noting they </w:t>
      </w:r>
      <w:r w:rsidRPr="00210334">
        <w:t>must be observed by all entities when making decisions and acting in their respective areas of competence.</w:t>
      </w:r>
    </w:p>
  </w:footnote>
  <w:footnote w:id="46">
    <w:p w14:paraId="3C406AD7" w14:textId="0AD21D5E" w:rsidR="00D2735B" w:rsidRPr="005B42D4" w:rsidRDefault="00D2735B" w:rsidP="00D2735B">
      <w:pPr>
        <w:pStyle w:val="FootnoteText"/>
        <w:rPr>
          <w:lang w:val="en-US"/>
        </w:rPr>
      </w:pPr>
      <w:r>
        <w:tab/>
      </w:r>
      <w:r>
        <w:rPr>
          <w:rStyle w:val="FootnoteReference"/>
        </w:rPr>
        <w:footnoteRef/>
      </w:r>
      <w:r w:rsidRPr="00DF7B6F">
        <w:rPr>
          <w:lang w:val="fr-FR"/>
        </w:rPr>
        <w:tab/>
      </w:r>
      <w:r w:rsidRPr="005B42D4">
        <w:rPr>
          <w:lang w:val="fr-FR"/>
        </w:rPr>
        <w:t xml:space="preserve">For </w:t>
      </w:r>
      <w:proofErr w:type="spellStart"/>
      <w:proofErr w:type="gramStart"/>
      <w:r w:rsidRPr="005B42D4">
        <w:rPr>
          <w:lang w:val="fr-FR"/>
        </w:rPr>
        <w:t>example</w:t>
      </w:r>
      <w:proofErr w:type="spellEnd"/>
      <w:r w:rsidRPr="005B42D4">
        <w:rPr>
          <w:lang w:val="fr-FR"/>
        </w:rPr>
        <w:t>:</w:t>
      </w:r>
      <w:proofErr w:type="gramEnd"/>
      <w:r w:rsidRPr="005B42D4">
        <w:rPr>
          <w:lang w:val="fr-FR"/>
        </w:rPr>
        <w:t xml:space="preserve"> </w:t>
      </w:r>
      <w:proofErr w:type="spellStart"/>
      <w:r w:rsidRPr="003D2670">
        <w:rPr>
          <w:i/>
          <w:lang w:val="fr-CH"/>
        </w:rPr>
        <w:t>Sacchi</w:t>
      </w:r>
      <w:proofErr w:type="spellEnd"/>
      <w:r w:rsidRPr="003D2670">
        <w:rPr>
          <w:i/>
          <w:lang w:val="fr-CH"/>
        </w:rPr>
        <w:t>, et al. v. Argentina, et al</w:t>
      </w:r>
      <w:r w:rsidRPr="003D2670">
        <w:rPr>
          <w:lang w:val="fr-CH"/>
        </w:rPr>
        <w:t>.</w:t>
      </w:r>
      <w:r w:rsidRPr="005B42D4">
        <w:rPr>
          <w:lang w:val="fr-FR"/>
        </w:rPr>
        <w:t xml:space="preserve"> </w:t>
      </w:r>
      <w:r w:rsidRPr="00BB7E75">
        <w:t>CRC/C/88/D/104/2019</w:t>
      </w:r>
      <w:r>
        <w:t xml:space="preserve"> or </w:t>
      </w:r>
      <w:hyperlink r:id="rId13" w:history="1">
        <w:r w:rsidRPr="00BB7E75">
          <w:rPr>
            <w:rStyle w:val="Hyperlink"/>
            <w:i/>
          </w:rPr>
          <w:t xml:space="preserve">Case of Verein </w:t>
        </w:r>
        <w:proofErr w:type="spellStart"/>
        <w:r w:rsidRPr="00BB7E75">
          <w:rPr>
            <w:rStyle w:val="Hyperlink"/>
            <w:i/>
          </w:rPr>
          <w:t>KlimaSeniorinnen</w:t>
        </w:r>
        <w:proofErr w:type="spellEnd"/>
        <w:r w:rsidRPr="00BB7E75">
          <w:rPr>
            <w:rStyle w:val="Hyperlink"/>
            <w:i/>
          </w:rPr>
          <w:t xml:space="preserve"> Schweiz and Others v. Switzerland</w:t>
        </w:r>
      </w:hyperlink>
      <w:r w:rsidRPr="00BB7E75">
        <w:t xml:space="preserve"> (application no. 53600/20)</w:t>
      </w:r>
      <w:r w:rsidR="00735146">
        <w:t>.</w:t>
      </w:r>
    </w:p>
  </w:footnote>
  <w:footnote w:id="47">
    <w:p w14:paraId="0E4F918D" w14:textId="77777777" w:rsidR="00D2735B" w:rsidRPr="005B42D4" w:rsidRDefault="00D2735B" w:rsidP="00D2735B">
      <w:pPr>
        <w:pStyle w:val="FootnoteText"/>
      </w:pPr>
      <w:r>
        <w:tab/>
      </w:r>
      <w:r>
        <w:rPr>
          <w:rStyle w:val="FootnoteReference"/>
        </w:rPr>
        <w:footnoteRef/>
      </w:r>
      <w:r>
        <w:tab/>
      </w:r>
      <w:r w:rsidRPr="00630A1A">
        <w:t>A/HRC/37/59</w:t>
      </w:r>
      <w:r w:rsidRPr="005B42D4">
        <w:rPr>
          <w:lang w:val="en-US"/>
        </w:rPr>
        <w:t xml:space="preserve">, </w:t>
      </w:r>
      <w:r w:rsidRPr="009920E0">
        <w:t>F</w:t>
      </w:r>
      <w:r>
        <w:t>ramework principle</w:t>
      </w:r>
      <w:r w:rsidRPr="009920E0">
        <w:t xml:space="preserve"> </w:t>
      </w:r>
      <w:r>
        <w:t>8 (FP 8).</w:t>
      </w:r>
    </w:p>
  </w:footnote>
  <w:footnote w:id="48">
    <w:p w14:paraId="1D8F80BA" w14:textId="77777777" w:rsidR="00D2735B" w:rsidRPr="005B42D4" w:rsidRDefault="00D2735B" w:rsidP="00D2735B">
      <w:pPr>
        <w:pStyle w:val="FootnoteText"/>
        <w:rPr>
          <w:lang w:val="en-US"/>
        </w:rPr>
      </w:pPr>
      <w:r>
        <w:tab/>
      </w:r>
      <w:r>
        <w:rPr>
          <w:rStyle w:val="FootnoteReference"/>
        </w:rPr>
        <w:footnoteRef/>
      </w:r>
      <w:r w:rsidRPr="0056385F">
        <w:tab/>
      </w:r>
      <w:r w:rsidRPr="00021DF7">
        <w:t>https://www.ohchr.org/sites/default/files/documents/publications/guidingprinciplesbusinesshr_en.pdf</w:t>
      </w:r>
      <w:r>
        <w:t>.</w:t>
      </w:r>
    </w:p>
  </w:footnote>
  <w:footnote w:id="49">
    <w:p w14:paraId="254A2362" w14:textId="33B97EEA" w:rsidR="00D2735B" w:rsidRPr="005B42D4" w:rsidRDefault="00D2735B" w:rsidP="00D2735B">
      <w:pPr>
        <w:pStyle w:val="FootnoteText"/>
        <w:rPr>
          <w:lang w:val="en-US"/>
        </w:rPr>
      </w:pPr>
      <w:r>
        <w:tab/>
      </w:r>
      <w:r>
        <w:rPr>
          <w:rStyle w:val="FootnoteReference"/>
        </w:rPr>
        <w:footnoteRef/>
      </w:r>
      <w:r>
        <w:tab/>
      </w:r>
      <w:r w:rsidRPr="004755AC">
        <w:t>A/74/161</w:t>
      </w:r>
      <w:r w:rsidRPr="00E768E3">
        <w:t>, par</w:t>
      </w:r>
      <w:r w:rsidR="0030393A">
        <w:t>a</w:t>
      </w:r>
      <w:r w:rsidRPr="00E768E3">
        <w:t>s. 83 and 84.</w:t>
      </w:r>
    </w:p>
  </w:footnote>
  <w:footnote w:id="50">
    <w:p w14:paraId="283C28D7" w14:textId="77777777" w:rsidR="00D2735B" w:rsidRPr="005B42D4" w:rsidRDefault="00D2735B" w:rsidP="00D2735B">
      <w:pPr>
        <w:pStyle w:val="FootnoteText"/>
        <w:rPr>
          <w:lang w:val="en-US"/>
        </w:rPr>
      </w:pPr>
      <w:r>
        <w:tab/>
      </w:r>
      <w:r>
        <w:rPr>
          <w:rStyle w:val="FootnoteReference"/>
        </w:rPr>
        <w:footnoteRef/>
      </w:r>
      <w:r>
        <w:tab/>
      </w:r>
      <w:r w:rsidRPr="005B42D4">
        <w:rPr>
          <w:lang w:val="en-US"/>
        </w:rPr>
        <w:t>FP 12.</w:t>
      </w:r>
    </w:p>
  </w:footnote>
  <w:footnote w:id="51">
    <w:p w14:paraId="26F78976" w14:textId="77777777" w:rsidR="00D2735B" w:rsidRPr="005B42D4" w:rsidRDefault="00D2735B" w:rsidP="00D2735B">
      <w:pPr>
        <w:pStyle w:val="FootnoteText"/>
        <w:rPr>
          <w:lang w:val="en-US"/>
        </w:rPr>
      </w:pPr>
      <w:r>
        <w:tab/>
      </w:r>
      <w:r>
        <w:rPr>
          <w:rStyle w:val="FootnoteReference"/>
        </w:rPr>
        <w:footnoteRef/>
      </w:r>
      <w:r>
        <w:tab/>
      </w:r>
      <w:r w:rsidRPr="00E97695">
        <w:t>Article 6 of the Paris Agreement calls upon Parties to incentivize and facilitate private participation in the mitigation of greenhouse gas emissions. In doing so, States should include adequate safeguards and take effective measures to protect human rights from business harms in line with their obligations as outlined by the U</w:t>
      </w:r>
      <w:r>
        <w:t>NGPBHR</w:t>
      </w:r>
      <w:r w:rsidRPr="00E97695">
        <w:t>.</w:t>
      </w:r>
    </w:p>
  </w:footnote>
  <w:footnote w:id="52">
    <w:p w14:paraId="0161470B" w14:textId="77777777" w:rsidR="00D2735B" w:rsidRPr="00605DAB" w:rsidRDefault="00D2735B" w:rsidP="00D2735B">
      <w:pPr>
        <w:pStyle w:val="FootnoteText"/>
        <w:rPr>
          <w:lang w:val="es-ES"/>
        </w:rPr>
      </w:pPr>
      <w:r>
        <w:tab/>
      </w:r>
      <w:r>
        <w:rPr>
          <w:rStyle w:val="FootnoteReference"/>
        </w:rPr>
        <w:footnoteRef/>
      </w:r>
      <w:r>
        <w:tab/>
        <w:t>O</w:t>
      </w:r>
      <w:r w:rsidRPr="001F04F7">
        <w:t xml:space="preserve">HCHR, </w:t>
      </w:r>
      <w:r>
        <w:t>Response to the request of Ad Hoc Working Group on the Paris</w:t>
      </w:r>
      <w:r w:rsidRPr="001F04F7">
        <w:t xml:space="preserve"> </w:t>
      </w:r>
      <w:r>
        <w:t xml:space="preserve">Agreement (APA) to provide information, </w:t>
      </w:r>
      <w:proofErr w:type="gramStart"/>
      <w:r>
        <w:t>views</w:t>
      </w:r>
      <w:proofErr w:type="gramEnd"/>
      <w:r>
        <w:t xml:space="preserve"> and proposals on any work of the APA</w:t>
      </w:r>
      <w:r w:rsidRPr="001F04F7">
        <w:t xml:space="preserve"> </w:t>
      </w:r>
      <w:r>
        <w:t xml:space="preserve">before each of its sessions. </w:t>
      </w:r>
      <w:r w:rsidRPr="00605DAB">
        <w:rPr>
          <w:lang w:val="es-ES"/>
        </w:rPr>
        <w:t>FCCC/APA/2016/2 (6 May 2017).</w:t>
      </w:r>
    </w:p>
  </w:footnote>
  <w:footnote w:id="53">
    <w:p w14:paraId="0BEF15F0" w14:textId="2F2FC129" w:rsidR="00D2735B" w:rsidRPr="00605DAB" w:rsidRDefault="00D2735B" w:rsidP="00D2735B">
      <w:pPr>
        <w:pStyle w:val="FootnoteText"/>
        <w:rPr>
          <w:lang w:val="es-ES"/>
        </w:rPr>
      </w:pPr>
      <w:r w:rsidRPr="00605DAB">
        <w:rPr>
          <w:lang w:val="es-ES"/>
        </w:rPr>
        <w:tab/>
      </w:r>
      <w:r>
        <w:rPr>
          <w:rStyle w:val="FootnoteReference"/>
        </w:rPr>
        <w:footnoteRef/>
      </w:r>
      <w:r w:rsidRPr="00605DAB">
        <w:rPr>
          <w:lang w:val="es-ES"/>
        </w:rPr>
        <w:tab/>
        <w:t>E/C.12/GC/25, par</w:t>
      </w:r>
      <w:r w:rsidR="0030393A" w:rsidRPr="00605DAB">
        <w:rPr>
          <w:lang w:val="es-ES"/>
        </w:rPr>
        <w:t>a</w:t>
      </w:r>
      <w:r w:rsidRPr="00605DAB">
        <w:rPr>
          <w:lang w:val="es-ES"/>
        </w:rPr>
        <w:t>. 74.</w:t>
      </w:r>
    </w:p>
  </w:footnote>
  <w:footnote w:id="54">
    <w:p w14:paraId="6E2960B7" w14:textId="396C4CFB" w:rsidR="00D2735B" w:rsidRPr="00605DAB" w:rsidRDefault="00D2735B" w:rsidP="00D2735B">
      <w:pPr>
        <w:pStyle w:val="FootnoteText"/>
        <w:rPr>
          <w:lang w:val="es-ES"/>
        </w:rPr>
      </w:pPr>
      <w:r w:rsidRPr="00605DAB">
        <w:rPr>
          <w:lang w:val="es-ES"/>
        </w:rPr>
        <w:tab/>
      </w:r>
      <w:r>
        <w:rPr>
          <w:rStyle w:val="FootnoteReference"/>
        </w:rPr>
        <w:footnoteRef/>
      </w:r>
      <w:r w:rsidRPr="00605DAB">
        <w:rPr>
          <w:lang w:val="es-ES"/>
        </w:rPr>
        <w:tab/>
        <w:t>https://map.geoengineeringmonitor.org</w:t>
      </w:r>
      <w:r w:rsidR="00735146" w:rsidRPr="00605DAB">
        <w:rPr>
          <w:lang w:val="es-ES"/>
        </w:rPr>
        <w:t>.</w:t>
      </w:r>
    </w:p>
  </w:footnote>
  <w:footnote w:id="55">
    <w:p w14:paraId="44705197" w14:textId="77777777" w:rsidR="00D2735B" w:rsidRPr="006C1729" w:rsidRDefault="00D2735B" w:rsidP="00D2735B">
      <w:pPr>
        <w:pStyle w:val="FootnoteText"/>
      </w:pPr>
      <w:r w:rsidRPr="00605DAB">
        <w:rPr>
          <w:lang w:val="es-ES"/>
        </w:rPr>
        <w:tab/>
      </w:r>
      <w:r>
        <w:rPr>
          <w:rStyle w:val="FootnoteReference"/>
        </w:rPr>
        <w:footnoteRef/>
      </w:r>
      <w:r>
        <w:tab/>
      </w:r>
      <w:r w:rsidRPr="00DB6459">
        <w:t>In practice, existing moratorium has not prevented violations from occurring (see Annex 1).</w:t>
      </w:r>
    </w:p>
  </w:footnote>
  <w:footnote w:id="56">
    <w:p w14:paraId="23F6EEE4" w14:textId="77777777" w:rsidR="00D2735B" w:rsidRPr="00B268EE" w:rsidRDefault="00D2735B" w:rsidP="00D2735B">
      <w:pPr>
        <w:pStyle w:val="FootnoteText"/>
      </w:pPr>
      <w:r w:rsidRPr="005B42D4">
        <w:rPr>
          <w:lang w:val="en-US"/>
        </w:rPr>
        <w:tab/>
      </w:r>
      <w:r>
        <w:rPr>
          <w:rStyle w:val="FootnoteReference"/>
        </w:rPr>
        <w:footnoteRef/>
      </w:r>
      <w:r w:rsidRPr="00966B00">
        <w:tab/>
      </w:r>
      <w:r w:rsidRPr="00B268EE">
        <w:t xml:space="preserve">UNEP, “Climate change and Human Rights”, 2015, p. 10. </w:t>
      </w:r>
    </w:p>
  </w:footnote>
  <w:footnote w:id="57">
    <w:p w14:paraId="53375CEB" w14:textId="46F93434" w:rsidR="00D2735B" w:rsidRPr="00605DAB" w:rsidRDefault="00D2735B" w:rsidP="00D2735B">
      <w:pPr>
        <w:pStyle w:val="FootnoteText"/>
        <w:rPr>
          <w:lang w:val="es-ES"/>
        </w:rPr>
      </w:pPr>
      <w:r w:rsidRPr="00012EA0">
        <w:tab/>
      </w:r>
      <w:r>
        <w:rPr>
          <w:rStyle w:val="FootnoteReference"/>
        </w:rPr>
        <w:footnoteRef/>
      </w:r>
      <w:r w:rsidRPr="00605DAB">
        <w:rPr>
          <w:lang w:val="es-ES"/>
        </w:rPr>
        <w:tab/>
      </w:r>
      <w:r w:rsidRPr="00605DAB">
        <w:rPr>
          <w:rFonts w:asciiTheme="majorBidi" w:hAnsiTheme="majorBidi" w:cstheme="majorBidi"/>
          <w:szCs w:val="18"/>
          <w:lang w:val="es-ES"/>
        </w:rPr>
        <w:t>A/74/161, par</w:t>
      </w:r>
      <w:r w:rsidR="0030393A" w:rsidRPr="00605DAB">
        <w:rPr>
          <w:rFonts w:asciiTheme="majorBidi" w:hAnsiTheme="majorBidi" w:cstheme="majorBidi"/>
          <w:szCs w:val="18"/>
          <w:lang w:val="es-ES"/>
        </w:rPr>
        <w:t>a</w:t>
      </w:r>
      <w:r w:rsidRPr="00605DAB">
        <w:rPr>
          <w:rFonts w:asciiTheme="majorBidi" w:hAnsiTheme="majorBidi" w:cstheme="majorBidi"/>
          <w:szCs w:val="18"/>
          <w:lang w:val="es-ES"/>
        </w:rPr>
        <w:t xml:space="preserve">. 83, </w:t>
      </w:r>
      <w:r w:rsidRPr="00605DAB">
        <w:rPr>
          <w:lang w:val="es-ES"/>
        </w:rPr>
        <w:t>A/77/2990, par</w:t>
      </w:r>
      <w:r w:rsidR="0030393A" w:rsidRPr="00605DAB">
        <w:rPr>
          <w:lang w:val="es-ES"/>
        </w:rPr>
        <w:t>a</w:t>
      </w:r>
      <w:r w:rsidRPr="00605DAB">
        <w:rPr>
          <w:lang w:val="es-ES"/>
        </w:rPr>
        <w:t>. 65.</w:t>
      </w:r>
    </w:p>
  </w:footnote>
  <w:footnote w:id="58">
    <w:p w14:paraId="0DF49724" w14:textId="67A708D7" w:rsidR="00D2735B" w:rsidRPr="006D4B84" w:rsidRDefault="00D2735B" w:rsidP="00D2735B">
      <w:pPr>
        <w:pStyle w:val="FootnoteText"/>
        <w:rPr>
          <w:lang w:val="pl-PL"/>
        </w:rPr>
      </w:pPr>
      <w:r w:rsidRPr="00605DAB">
        <w:rPr>
          <w:lang w:val="es-ES"/>
        </w:rPr>
        <w:tab/>
      </w:r>
      <w:r>
        <w:rPr>
          <w:rStyle w:val="FootnoteReference"/>
        </w:rPr>
        <w:footnoteRef/>
      </w:r>
      <w:r w:rsidRPr="00605DAB">
        <w:rPr>
          <w:lang w:val="es-ES"/>
        </w:rPr>
        <w:tab/>
      </w:r>
      <w:r w:rsidRPr="00605DAB">
        <w:rPr>
          <w:lang w:val="es-ES"/>
        </w:rPr>
        <w:tab/>
        <w:t>U</w:t>
      </w:r>
      <w:r w:rsidR="001B7DB2" w:rsidRPr="00605DAB">
        <w:rPr>
          <w:lang w:val="es-ES"/>
        </w:rPr>
        <w:t>NEP</w:t>
      </w:r>
      <w:r w:rsidRPr="00605DAB">
        <w:rPr>
          <w:lang w:val="es-ES"/>
        </w:rPr>
        <w:t xml:space="preserve"> (2023). </w:t>
      </w:r>
      <w:r w:rsidRPr="00821EC1">
        <w:t xml:space="preserve">One Atmosphere: An independent expert review on Solar Radiation Modification research and deployment. </w:t>
      </w:r>
      <w:r w:rsidRPr="006D4B84">
        <w:rPr>
          <w:lang w:val="pl-PL"/>
        </w:rPr>
        <w:t>Kenya, Nairobi</w:t>
      </w:r>
      <w:r>
        <w:rPr>
          <w:lang w:val="pl-PL"/>
        </w:rPr>
        <w:t xml:space="preserve">, </w:t>
      </w:r>
      <w:r w:rsidRPr="006D4B84">
        <w:rPr>
          <w:lang w:val="pl-PL"/>
        </w:rPr>
        <w:t>https://wedocs.unep.org/handle/20.500.11822/41903.</w:t>
      </w:r>
    </w:p>
  </w:footnote>
  <w:footnote w:id="59">
    <w:p w14:paraId="7B56E58A" w14:textId="5900899B" w:rsidR="00D2735B" w:rsidRPr="00605DAB" w:rsidRDefault="00D2735B" w:rsidP="00D2735B">
      <w:pPr>
        <w:pStyle w:val="FootnoteText"/>
        <w:rPr>
          <w:rFonts w:asciiTheme="majorBidi" w:hAnsiTheme="majorBidi" w:cstheme="majorBidi"/>
          <w:szCs w:val="18"/>
        </w:rPr>
      </w:pPr>
      <w:r w:rsidRPr="006D4B84">
        <w:rPr>
          <w:rFonts w:asciiTheme="majorBidi" w:hAnsiTheme="majorBidi" w:cstheme="majorBidi"/>
          <w:szCs w:val="18"/>
          <w:lang w:val="pl-PL"/>
        </w:rPr>
        <w:tab/>
      </w:r>
      <w:r w:rsidRPr="000136D9">
        <w:rPr>
          <w:rStyle w:val="FootnoteReference"/>
          <w:rFonts w:asciiTheme="majorBidi" w:hAnsiTheme="majorBidi" w:cstheme="majorBidi"/>
          <w:szCs w:val="18"/>
        </w:rPr>
        <w:footnoteRef/>
      </w:r>
      <w:r w:rsidRPr="006D4B84">
        <w:rPr>
          <w:rFonts w:asciiTheme="majorBidi" w:hAnsiTheme="majorBidi" w:cstheme="majorBidi"/>
          <w:szCs w:val="18"/>
          <w:lang w:val="pl-PL"/>
        </w:rPr>
        <w:tab/>
        <w:t>CCPR/C/GC/36, par</w:t>
      </w:r>
      <w:r w:rsidR="0030393A" w:rsidRPr="006D4B84">
        <w:rPr>
          <w:rFonts w:asciiTheme="majorBidi" w:hAnsiTheme="majorBidi" w:cstheme="majorBidi"/>
          <w:szCs w:val="18"/>
          <w:lang w:val="pl-PL"/>
        </w:rPr>
        <w:t>a</w:t>
      </w:r>
      <w:r w:rsidRPr="006D4B84">
        <w:rPr>
          <w:rFonts w:asciiTheme="majorBidi" w:hAnsiTheme="majorBidi" w:cstheme="majorBidi"/>
          <w:szCs w:val="18"/>
          <w:lang w:val="pl-PL"/>
        </w:rPr>
        <w:t xml:space="preserve">. </w:t>
      </w:r>
      <w:r w:rsidRPr="00605DAB">
        <w:rPr>
          <w:rFonts w:asciiTheme="majorBidi" w:hAnsiTheme="majorBidi" w:cstheme="majorBidi"/>
          <w:szCs w:val="18"/>
        </w:rPr>
        <w:t xml:space="preserve">62. </w:t>
      </w:r>
    </w:p>
  </w:footnote>
  <w:footnote w:id="60">
    <w:p w14:paraId="4FB0D871" w14:textId="77777777" w:rsidR="00D2735B" w:rsidRPr="00A65D0D" w:rsidRDefault="00D2735B" w:rsidP="00D2735B">
      <w:pPr>
        <w:pStyle w:val="FootnoteText"/>
        <w:rPr>
          <w:lang w:val="fr-FR"/>
        </w:rPr>
      </w:pPr>
      <w:r w:rsidRPr="00605DAB">
        <w:tab/>
      </w:r>
      <w:r>
        <w:rPr>
          <w:rStyle w:val="FootnoteReference"/>
        </w:rPr>
        <w:footnoteRef/>
      </w:r>
      <w:r w:rsidRPr="00A65D0D">
        <w:tab/>
      </w:r>
      <w:r>
        <w:tab/>
      </w:r>
      <w:r w:rsidRPr="00EF6D94">
        <w:t>OHCHR, UNEP</w:t>
      </w:r>
      <w:r>
        <w:t xml:space="preserve"> </w:t>
      </w:r>
      <w:r w:rsidRPr="00EF6D94">
        <w:t>and UNDP</w:t>
      </w:r>
      <w:r>
        <w:t xml:space="preserve"> (2023).</w:t>
      </w:r>
      <w:r w:rsidRPr="00EF6D94">
        <w:t xml:space="preserve"> </w:t>
      </w:r>
      <w:r w:rsidRPr="00A65D0D">
        <w:t>What is the Right to a</w:t>
      </w:r>
      <w:r>
        <w:t xml:space="preserve"> </w:t>
      </w:r>
      <w:r w:rsidRPr="00A65D0D">
        <w:t>Healthy Environment?</w:t>
      </w:r>
      <w:r>
        <w:t xml:space="preserve"> </w:t>
      </w:r>
      <w:r w:rsidRPr="00A65D0D">
        <w:rPr>
          <w:lang w:val="fr-FR"/>
        </w:rPr>
        <w:t>Information Note</w:t>
      </w:r>
      <w:r>
        <w:rPr>
          <w:lang w:val="fr-FR"/>
        </w:rPr>
        <w:t>,</w:t>
      </w:r>
      <w:r w:rsidRPr="00A65D0D">
        <w:rPr>
          <w:lang w:val="fr-FR"/>
        </w:rPr>
        <w:t xml:space="preserve"> https://www.ohchr.org/sites/default/files/documents/issues/climatechange/information-materials/2023-01-06/r2heinfofinalweb.pdf</w:t>
      </w:r>
      <w:r>
        <w:rPr>
          <w:lang w:val="fr-FR"/>
        </w:rPr>
        <w:t>.</w:t>
      </w:r>
    </w:p>
  </w:footnote>
  <w:footnote w:id="61">
    <w:p w14:paraId="4E6C43E3" w14:textId="77777777" w:rsidR="00D2735B" w:rsidRPr="000136D9" w:rsidRDefault="00D2735B" w:rsidP="00D2735B">
      <w:pPr>
        <w:pStyle w:val="FootnoteText"/>
        <w:rPr>
          <w:rFonts w:asciiTheme="majorBidi" w:hAnsiTheme="majorBidi" w:cstheme="majorBidi"/>
          <w:szCs w:val="18"/>
        </w:rPr>
      </w:pPr>
      <w:r w:rsidRPr="00A65D0D">
        <w:rPr>
          <w:rFonts w:asciiTheme="majorBidi" w:hAnsiTheme="majorBidi" w:cstheme="majorBidi"/>
          <w:szCs w:val="18"/>
          <w:lang w:val="fr-FR"/>
        </w:rPr>
        <w:tab/>
      </w:r>
      <w:r w:rsidRPr="000136D9">
        <w:rPr>
          <w:rStyle w:val="FootnoteReference"/>
          <w:rFonts w:asciiTheme="majorBidi" w:hAnsiTheme="majorBidi" w:cstheme="majorBidi"/>
          <w:szCs w:val="18"/>
        </w:rPr>
        <w:footnoteRef/>
      </w:r>
      <w:r>
        <w:rPr>
          <w:rFonts w:asciiTheme="majorBidi" w:hAnsiTheme="majorBidi" w:cstheme="majorBidi"/>
          <w:szCs w:val="18"/>
        </w:rPr>
        <w:tab/>
      </w:r>
      <w:r>
        <w:rPr>
          <w:rFonts w:asciiTheme="majorBidi" w:hAnsiTheme="majorBidi" w:cstheme="majorBidi"/>
          <w:szCs w:val="18"/>
        </w:rPr>
        <w:tab/>
      </w:r>
      <w:r w:rsidRPr="000136D9">
        <w:rPr>
          <w:rFonts w:asciiTheme="majorBidi" w:hAnsiTheme="majorBidi" w:cstheme="majorBidi"/>
          <w:szCs w:val="18"/>
        </w:rPr>
        <w:t xml:space="preserve">46 States have ratified this Convention. </w:t>
      </w:r>
    </w:p>
  </w:footnote>
  <w:footnote w:id="62">
    <w:p w14:paraId="2A753754" w14:textId="77777777"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rPr>
        <w:tab/>
      </w:r>
      <w:r w:rsidRPr="000136D9">
        <w:rPr>
          <w:rStyle w:val="FootnoteReference"/>
          <w:rFonts w:asciiTheme="majorBidi" w:hAnsiTheme="majorBidi" w:cstheme="majorBidi"/>
          <w:szCs w:val="18"/>
        </w:rPr>
        <w:footnoteRef/>
      </w:r>
      <w:r>
        <w:rPr>
          <w:rFonts w:asciiTheme="majorBidi" w:hAnsiTheme="majorBidi" w:cstheme="majorBidi"/>
          <w:szCs w:val="18"/>
        </w:rPr>
        <w:tab/>
      </w:r>
      <w:r w:rsidRPr="000136D9">
        <w:rPr>
          <w:rFonts w:asciiTheme="majorBidi" w:hAnsiTheme="majorBidi" w:cstheme="majorBidi"/>
          <w:szCs w:val="18"/>
        </w:rPr>
        <w:t xml:space="preserve">The treaty has only been ratified by 14 countries. </w:t>
      </w:r>
    </w:p>
  </w:footnote>
  <w:footnote w:id="63">
    <w:p w14:paraId="6DD85F83" w14:textId="77777777" w:rsidR="00D2735B" w:rsidRPr="00E20AD0" w:rsidRDefault="00D2735B" w:rsidP="00D2735B">
      <w:pPr>
        <w:pStyle w:val="FootnoteText"/>
        <w:rPr>
          <w:rFonts w:asciiTheme="majorBidi" w:hAnsiTheme="majorBidi" w:cstheme="majorBidi"/>
          <w:szCs w:val="18"/>
        </w:rPr>
      </w:pPr>
      <w:r w:rsidRPr="00E20AD0">
        <w:rPr>
          <w:rFonts w:asciiTheme="majorBidi" w:hAnsiTheme="majorBidi" w:cstheme="majorBidi"/>
          <w:szCs w:val="18"/>
        </w:rPr>
        <w:tab/>
      </w:r>
      <w:r w:rsidRPr="000136D9">
        <w:rPr>
          <w:rStyle w:val="FootnoteReference"/>
          <w:rFonts w:asciiTheme="majorBidi" w:hAnsiTheme="majorBidi" w:cstheme="majorBidi"/>
          <w:szCs w:val="18"/>
        </w:rPr>
        <w:footnoteRef/>
      </w:r>
      <w:r w:rsidRPr="00E20AD0">
        <w:rPr>
          <w:rFonts w:asciiTheme="majorBidi" w:hAnsiTheme="majorBidi" w:cstheme="majorBidi"/>
          <w:szCs w:val="18"/>
        </w:rPr>
        <w:tab/>
        <w:t>Resolution 67/210, para. 12.</w:t>
      </w:r>
    </w:p>
  </w:footnote>
  <w:footnote w:id="64">
    <w:p w14:paraId="20D5282B" w14:textId="77777777" w:rsidR="00D2735B" w:rsidRPr="000136D9" w:rsidRDefault="00D2735B" w:rsidP="00D2735B">
      <w:pPr>
        <w:pStyle w:val="FootnoteText"/>
        <w:rPr>
          <w:rFonts w:asciiTheme="majorBidi" w:hAnsiTheme="majorBidi" w:cstheme="majorBidi"/>
          <w:szCs w:val="18"/>
          <w:lang w:val="en-US"/>
        </w:rPr>
      </w:pPr>
      <w:r w:rsidRPr="006C1729">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rPr>
        <w:t>Similarly, the use of BECCS can result in displacement of agricultural production and higher prices, causing food insecurity, particularly for subsistence farmers and the poor, which would see endangered their livelihood.</w:t>
      </w:r>
    </w:p>
  </w:footnote>
  <w:footnote w:id="65">
    <w:p w14:paraId="2C72AB9A" w14:textId="77777777"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rPr>
        <w:tab/>
      </w:r>
      <w:r w:rsidRPr="000136D9">
        <w:rPr>
          <w:rStyle w:val="FootnoteReference"/>
          <w:rFonts w:asciiTheme="majorBidi" w:hAnsiTheme="majorBidi" w:cstheme="majorBidi"/>
          <w:szCs w:val="18"/>
        </w:rPr>
        <w:footnoteRef/>
      </w:r>
      <w:r>
        <w:rPr>
          <w:rFonts w:asciiTheme="majorBidi" w:hAnsiTheme="majorBidi" w:cstheme="majorBidi"/>
          <w:szCs w:val="18"/>
        </w:rPr>
        <w:tab/>
      </w:r>
      <w:r w:rsidRPr="000136D9">
        <w:rPr>
          <w:rFonts w:asciiTheme="majorBidi" w:hAnsiTheme="majorBidi" w:cstheme="majorBidi"/>
          <w:szCs w:val="18"/>
        </w:rPr>
        <w:t xml:space="preserve">Burns, p. 157-158. </w:t>
      </w:r>
    </w:p>
  </w:footnote>
  <w:footnote w:id="66">
    <w:p w14:paraId="462DEC57" w14:textId="77777777" w:rsidR="00D2735B" w:rsidRPr="000E59CA" w:rsidRDefault="00D2735B" w:rsidP="00D2735B">
      <w:pPr>
        <w:pStyle w:val="FootnoteText"/>
      </w:pPr>
      <w:r w:rsidRPr="0026020F">
        <w:tab/>
      </w:r>
      <w:r>
        <w:rPr>
          <w:rStyle w:val="FootnoteReference"/>
        </w:rPr>
        <w:footnoteRef/>
      </w:r>
      <w:r w:rsidRPr="000E59CA">
        <w:tab/>
        <w:t xml:space="preserve">An independent expert panel convened by </w:t>
      </w:r>
      <w:hyperlink r:id="rId14" w:history="1">
        <w:r w:rsidRPr="007B7A1E">
          <w:rPr>
            <w:rStyle w:val="Hyperlink"/>
          </w:rPr>
          <w:t>Stop Ecocide International</w:t>
        </w:r>
      </w:hyperlink>
      <w:r>
        <w:t xml:space="preserve"> has legally defined the crime of “ecocide”</w:t>
      </w:r>
      <w:r w:rsidRPr="007B7A1E">
        <w:t>.</w:t>
      </w:r>
    </w:p>
  </w:footnote>
  <w:footnote w:id="67">
    <w:p w14:paraId="6AD0A4B0" w14:textId="77777777" w:rsidR="00D2735B" w:rsidRPr="009443AC" w:rsidRDefault="00D2735B" w:rsidP="00D2735B">
      <w:pPr>
        <w:pStyle w:val="FootnoteText"/>
      </w:pPr>
      <w:r w:rsidRPr="00E20AD0">
        <w:tab/>
      </w:r>
      <w:r>
        <w:rPr>
          <w:rStyle w:val="FootnoteReference"/>
        </w:rPr>
        <w:footnoteRef/>
      </w:r>
      <w:r>
        <w:tab/>
      </w:r>
      <w:r w:rsidRPr="006F2597">
        <w:t>A/77/2990</w:t>
      </w:r>
      <w:r w:rsidRPr="00F64A65">
        <w:t>. Carbon capture programmes for example are often carried out in the so-called “racial sacrifice zones” already overburdened by the heavy concentration of toxic industrial pollution, increasing the emission of harmful air pollutants.</w:t>
      </w:r>
    </w:p>
  </w:footnote>
  <w:footnote w:id="68">
    <w:p w14:paraId="614AE108" w14:textId="77777777" w:rsidR="00D2735B" w:rsidRPr="00E20AD0" w:rsidRDefault="00D2735B" w:rsidP="00D2735B">
      <w:pPr>
        <w:pStyle w:val="FootnoteText"/>
        <w:rPr>
          <w:rFonts w:asciiTheme="majorBidi" w:hAnsiTheme="majorBidi" w:cstheme="majorBidi"/>
          <w:szCs w:val="18"/>
        </w:rPr>
      </w:pPr>
      <w:r w:rsidRPr="00E20AD0">
        <w:rPr>
          <w:rFonts w:asciiTheme="majorBidi" w:hAnsiTheme="majorBidi" w:cstheme="majorBidi"/>
          <w:szCs w:val="18"/>
        </w:rPr>
        <w:tab/>
      </w:r>
      <w:r w:rsidRPr="000136D9">
        <w:rPr>
          <w:rStyle w:val="FootnoteReference"/>
          <w:rFonts w:asciiTheme="majorBidi" w:hAnsiTheme="majorBidi" w:cstheme="majorBidi"/>
          <w:szCs w:val="18"/>
        </w:rPr>
        <w:footnoteRef/>
      </w:r>
      <w:r w:rsidRPr="00E20AD0">
        <w:rPr>
          <w:rFonts w:asciiTheme="majorBidi" w:hAnsiTheme="majorBidi" w:cstheme="majorBidi"/>
          <w:szCs w:val="18"/>
        </w:rPr>
        <w:tab/>
      </w:r>
      <w:hyperlink r:id="rId15" w:history="1">
        <w:r w:rsidRPr="00E20AD0">
          <w:rPr>
            <w:rStyle w:val="Hyperlink"/>
            <w:rFonts w:asciiTheme="majorBidi" w:hAnsiTheme="majorBidi" w:cstheme="majorBidi"/>
            <w:szCs w:val="18"/>
          </w:rPr>
          <w:t>A/HRC/50/57</w:t>
        </w:r>
      </w:hyperlink>
      <w:r w:rsidRPr="00E20AD0">
        <w:rPr>
          <w:rFonts w:asciiTheme="majorBidi" w:hAnsiTheme="majorBidi" w:cstheme="majorBidi"/>
          <w:szCs w:val="18"/>
        </w:rPr>
        <w:t xml:space="preserve">. </w:t>
      </w:r>
    </w:p>
  </w:footnote>
  <w:footnote w:id="69">
    <w:p w14:paraId="10A7DBBB" w14:textId="77777777" w:rsidR="00D2735B" w:rsidRPr="00ED3C6A" w:rsidRDefault="00D2735B" w:rsidP="00D2735B">
      <w:pPr>
        <w:pStyle w:val="FootnoteText"/>
        <w:rPr>
          <w:lang w:val="en-US"/>
        </w:rPr>
      </w:pPr>
      <w:r w:rsidRPr="00ED3C6A">
        <w:tab/>
      </w:r>
      <w:r w:rsidRPr="00ED3C6A">
        <w:rPr>
          <w:rStyle w:val="FootnoteReference"/>
        </w:rPr>
        <w:footnoteRef/>
      </w:r>
      <w:r w:rsidRPr="00ED3C6A">
        <w:tab/>
        <w:t>A/HRC/52/33</w:t>
      </w:r>
      <w:r>
        <w:rPr>
          <w:lang w:val="en-US"/>
        </w:rPr>
        <w:t>.</w:t>
      </w:r>
    </w:p>
  </w:footnote>
  <w:footnote w:id="70">
    <w:p w14:paraId="12A55706" w14:textId="77777777" w:rsidR="00D2735B" w:rsidRPr="00FA77EA" w:rsidRDefault="00D2735B" w:rsidP="00D2735B">
      <w:pPr>
        <w:pStyle w:val="FootnoteText"/>
      </w:pPr>
      <w:r w:rsidRPr="009920E0">
        <w:tab/>
      </w:r>
      <w:r>
        <w:rPr>
          <w:rStyle w:val="FootnoteReference"/>
        </w:rPr>
        <w:footnoteRef/>
      </w:r>
      <w:r w:rsidRPr="00F64A65">
        <w:tab/>
      </w:r>
      <w:r>
        <w:t>A</w:t>
      </w:r>
      <w:r w:rsidRPr="00F64A65">
        <w:t xml:space="preserve">rts. 19 and 32. </w:t>
      </w:r>
    </w:p>
  </w:footnote>
  <w:footnote w:id="71">
    <w:p w14:paraId="6C083C98" w14:textId="6D195926" w:rsidR="00D2735B" w:rsidRPr="00A65D0D" w:rsidRDefault="00D2735B" w:rsidP="00D2735B">
      <w:pPr>
        <w:pStyle w:val="FootnoteText"/>
      </w:pPr>
      <w:r>
        <w:tab/>
      </w:r>
      <w:r>
        <w:rPr>
          <w:rStyle w:val="FootnoteReference"/>
        </w:rPr>
        <w:footnoteRef/>
      </w:r>
      <w:r>
        <w:tab/>
      </w:r>
      <w:r w:rsidRPr="00A65D0D">
        <w:t>See</w:t>
      </w:r>
      <w:r>
        <w:t xml:space="preserve"> Sami Council. </w:t>
      </w:r>
      <w:r w:rsidRPr="000A0310">
        <w:t>https://www.thearcticinstitute.org/sami-council-resistance-scopex-highlights-complex-questions-geoengineering-consent</w:t>
      </w:r>
      <w:r w:rsidR="00735146">
        <w:t>.</w:t>
      </w:r>
      <w:r w:rsidRPr="000A0310">
        <w:t>/</w:t>
      </w:r>
    </w:p>
  </w:footnote>
  <w:footnote w:id="72">
    <w:p w14:paraId="58D42ACD" w14:textId="77777777" w:rsidR="00262C5A" w:rsidRPr="00B41175" w:rsidRDefault="00262C5A" w:rsidP="00262C5A">
      <w:pPr>
        <w:pStyle w:val="FootnoteText"/>
      </w:pPr>
      <w:r w:rsidRPr="00B41175">
        <w:tab/>
      </w:r>
      <w:r>
        <w:rPr>
          <w:rStyle w:val="FootnoteReference"/>
        </w:rPr>
        <w:footnoteRef/>
      </w:r>
      <w:r w:rsidRPr="000372E1">
        <w:tab/>
        <w:t xml:space="preserve">Arts. 5 and 17 </w:t>
      </w:r>
      <w:r>
        <w:t>UNDRO</w:t>
      </w:r>
      <w:r w:rsidRPr="00B41175">
        <w:t>P.</w:t>
      </w:r>
    </w:p>
  </w:footnote>
  <w:footnote w:id="73">
    <w:p w14:paraId="71A5C530" w14:textId="6E7F9FE0" w:rsidR="00D2735B" w:rsidRPr="005B42D4" w:rsidRDefault="00D2735B" w:rsidP="00D2735B">
      <w:pPr>
        <w:pStyle w:val="FootnoteText"/>
        <w:rPr>
          <w:lang w:val="en-US"/>
        </w:rPr>
      </w:pPr>
      <w:r>
        <w:tab/>
      </w:r>
      <w:r>
        <w:rPr>
          <w:rStyle w:val="FootnoteReference"/>
        </w:rPr>
        <w:footnoteRef/>
      </w:r>
      <w:r>
        <w:tab/>
      </w:r>
      <w:r w:rsidRPr="00A65D0D">
        <w:t>A</w:t>
      </w:r>
      <w:r>
        <w:t>rt. 20</w:t>
      </w:r>
      <w:r w:rsidRPr="005B42D4">
        <w:rPr>
          <w:lang w:val="en-US"/>
        </w:rPr>
        <w:t>(</w:t>
      </w:r>
      <w:r>
        <w:t>2)</w:t>
      </w:r>
      <w:r w:rsidR="00AE6591">
        <w:t>.</w:t>
      </w:r>
      <w:r w:rsidRPr="00E92462">
        <w:t xml:space="preserve"> </w:t>
      </w:r>
    </w:p>
  </w:footnote>
  <w:footnote w:id="74">
    <w:p w14:paraId="7F8AB85F" w14:textId="77777777" w:rsidR="00D2735B" w:rsidRPr="0011733B" w:rsidRDefault="00D2735B" w:rsidP="00D2735B">
      <w:pPr>
        <w:pStyle w:val="FootnoteText"/>
      </w:pPr>
      <w:r w:rsidRPr="00FA77EA">
        <w:tab/>
      </w:r>
      <w:r>
        <w:rPr>
          <w:rStyle w:val="FootnoteReference"/>
        </w:rPr>
        <w:footnoteRef/>
      </w:r>
      <w:r w:rsidRPr="00FA77EA">
        <w:tab/>
      </w:r>
      <w:r>
        <w:t>States should take steps to strengthen the governance framework where the existing instruments prove insufficient</w:t>
      </w:r>
      <w:proofErr w:type="gramStart"/>
      <w:r>
        <w:t>-  FP</w:t>
      </w:r>
      <w:proofErr w:type="gramEnd"/>
      <w:r w:rsidRPr="00FA77EA">
        <w:t xml:space="preserve"> 13. </w:t>
      </w:r>
    </w:p>
  </w:footnote>
  <w:footnote w:id="75">
    <w:p w14:paraId="07D0111F" w14:textId="77777777" w:rsidR="00D2735B" w:rsidRPr="00950148" w:rsidRDefault="00D2735B" w:rsidP="00D2735B">
      <w:pPr>
        <w:pStyle w:val="FootnoteText"/>
      </w:pPr>
      <w:r w:rsidRPr="00FA77EA">
        <w:tab/>
      </w:r>
      <w:r>
        <w:rPr>
          <w:rStyle w:val="FootnoteReference"/>
        </w:rPr>
        <w:footnoteRef/>
      </w:r>
      <w:r w:rsidRPr="00950148">
        <w:tab/>
        <w:t xml:space="preserve">The UNGA has been recognized as a representative body where this topic </w:t>
      </w:r>
      <w:r>
        <w:t xml:space="preserve">could be </w:t>
      </w:r>
      <w:proofErr w:type="gramStart"/>
      <w:r>
        <w:t>discuss</w:t>
      </w:r>
      <w:proofErr w:type="gramEnd"/>
      <w:r>
        <w:t xml:space="preserve"> in a transparent manner. </w:t>
      </w:r>
    </w:p>
  </w:footnote>
  <w:footnote w:id="76">
    <w:p w14:paraId="542D886F" w14:textId="77777777"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rPr>
        <w:tab/>
      </w:r>
      <w:r w:rsidRPr="000136D9">
        <w:rPr>
          <w:rStyle w:val="FootnoteReference"/>
          <w:rFonts w:asciiTheme="majorBidi" w:hAnsiTheme="majorBidi" w:cstheme="majorBidi"/>
          <w:szCs w:val="18"/>
        </w:rPr>
        <w:footnoteRef/>
      </w:r>
      <w:r>
        <w:rPr>
          <w:rFonts w:asciiTheme="majorBidi" w:hAnsiTheme="majorBidi" w:cstheme="majorBidi"/>
          <w:szCs w:val="18"/>
        </w:rPr>
        <w:tab/>
      </w:r>
      <w:r w:rsidRPr="000136D9">
        <w:rPr>
          <w:rFonts w:asciiTheme="majorBidi" w:hAnsiTheme="majorBidi" w:cstheme="majorBidi"/>
          <w:szCs w:val="18"/>
        </w:rPr>
        <w:t xml:space="preserve">Some private entities, such as the “Global Commission on Governing Risks from Climate Overshoot”, have been criticized for not fulfilling these requirements. The goal of </w:t>
      </w:r>
      <w:r>
        <w:rPr>
          <w:rFonts w:asciiTheme="majorBidi" w:hAnsiTheme="majorBidi" w:cstheme="majorBidi"/>
          <w:szCs w:val="18"/>
        </w:rPr>
        <w:t>the commission</w:t>
      </w:r>
      <w:r w:rsidRPr="000136D9">
        <w:rPr>
          <w:rFonts w:asciiTheme="majorBidi" w:hAnsiTheme="majorBidi" w:cstheme="majorBidi"/>
          <w:szCs w:val="18"/>
        </w:rPr>
        <w:t xml:space="preserve"> is to “recommend a strategy to reduce risks should global warming goals be exceeded” through CDR and SRM. </w:t>
      </w:r>
      <w:r>
        <w:rPr>
          <w:rFonts w:asciiTheme="majorBidi" w:hAnsiTheme="majorBidi" w:cstheme="majorBidi"/>
          <w:szCs w:val="18"/>
        </w:rPr>
        <w:t xml:space="preserve">See </w:t>
      </w:r>
      <w:r w:rsidRPr="005932C8">
        <w:rPr>
          <w:rFonts w:asciiTheme="majorBidi" w:hAnsiTheme="majorBidi" w:cstheme="majorBidi"/>
          <w:szCs w:val="18"/>
        </w:rPr>
        <w:t>https://www.geoengineeringmonitor.org/2022/05/geoengineering-supporters-plan-to-set-up-a-new-climate-overshoot-commission/</w:t>
      </w:r>
      <w:r>
        <w:rPr>
          <w:rFonts w:asciiTheme="majorBidi" w:hAnsiTheme="majorBidi" w:cstheme="majorBidi"/>
          <w:szCs w:val="18"/>
        </w:rPr>
        <w:t>.</w:t>
      </w:r>
    </w:p>
  </w:footnote>
  <w:footnote w:id="77">
    <w:p w14:paraId="71D7F0AC" w14:textId="5525C85D" w:rsidR="00D2735B" w:rsidRPr="00DE177D" w:rsidRDefault="00D2735B" w:rsidP="00D2735B">
      <w:pPr>
        <w:pStyle w:val="FootnoteText"/>
        <w:rPr>
          <w:rStyle w:val="FootnoteReference"/>
          <w:rFonts w:asciiTheme="majorBidi" w:hAnsiTheme="majorBidi" w:cstheme="majorBidi"/>
          <w:szCs w:val="18"/>
        </w:rPr>
      </w:pPr>
      <w:r>
        <w:rPr>
          <w:rFonts w:asciiTheme="majorBidi" w:hAnsiTheme="majorBidi" w:cstheme="majorBidi"/>
          <w:szCs w:val="18"/>
          <w:lang w:val="en-US"/>
        </w:rPr>
        <w:tab/>
      </w:r>
      <w:r w:rsidRPr="000136D9">
        <w:rPr>
          <w:rStyle w:val="EndnoteReference"/>
          <w:rFonts w:asciiTheme="majorBidi" w:hAnsiTheme="majorBidi" w:cstheme="majorBidi"/>
          <w:szCs w:val="18"/>
        </w:rPr>
        <w:footnoteRef/>
      </w:r>
      <w:r>
        <w:rPr>
          <w:rFonts w:asciiTheme="majorBidi" w:hAnsiTheme="majorBidi" w:cstheme="majorBidi"/>
          <w:szCs w:val="18"/>
          <w:lang w:val="en-US"/>
        </w:rPr>
        <w:tab/>
      </w:r>
      <w:r w:rsidRPr="00DE177D">
        <w:t>A/77/</w:t>
      </w:r>
      <w:r w:rsidRPr="00605DAB">
        <w:t>549</w:t>
      </w:r>
      <w:r w:rsidRPr="00DE177D">
        <w:t>, par</w:t>
      </w:r>
      <w:r w:rsidR="00A63DF3">
        <w:t>a</w:t>
      </w:r>
      <w:r w:rsidRPr="00DE177D">
        <w:t>.</w:t>
      </w:r>
      <w:r>
        <w:t xml:space="preserve"> 67. </w:t>
      </w:r>
      <w:r w:rsidRPr="00DE177D">
        <w:t xml:space="preserve"> </w:t>
      </w:r>
    </w:p>
  </w:footnote>
  <w:footnote w:id="78">
    <w:p w14:paraId="0438FB56" w14:textId="77777777" w:rsidR="00D2735B" w:rsidRPr="00A312EE" w:rsidRDefault="00D2735B" w:rsidP="00D2735B">
      <w:pPr>
        <w:pStyle w:val="FootnoteText"/>
      </w:pPr>
      <w:r>
        <w:tab/>
      </w:r>
      <w:r>
        <w:rPr>
          <w:rStyle w:val="FootnoteReference"/>
        </w:rPr>
        <w:footnoteRef/>
      </w:r>
      <w:r>
        <w:tab/>
      </w:r>
      <w:r w:rsidRPr="00A312EE">
        <w:t xml:space="preserve">Various international treaties and agreements, including </w:t>
      </w:r>
      <w:r>
        <w:t xml:space="preserve">principle 10 of the Rio Declaration and Agenda 21 provide the basis for public participation in sustainable development. Nine civil society groups are recognized as key actors, including indigenous peoples. </w:t>
      </w:r>
    </w:p>
  </w:footnote>
  <w:footnote w:id="79">
    <w:p w14:paraId="190EC7AB" w14:textId="23040AA6" w:rsidR="00D2735B" w:rsidRPr="00FA77EA" w:rsidRDefault="00D2735B" w:rsidP="00D2735B">
      <w:pPr>
        <w:pStyle w:val="FootnoteText"/>
        <w:rPr>
          <w:lang w:val="en-US"/>
        </w:rPr>
      </w:pPr>
      <w:r>
        <w:tab/>
      </w:r>
      <w:r>
        <w:rPr>
          <w:rStyle w:val="FootnoteReference"/>
        </w:rPr>
        <w:footnoteRef/>
      </w:r>
      <w:r>
        <w:tab/>
      </w:r>
      <w:r w:rsidRPr="005B1E4A">
        <w:t>https://www.un.org/sites/un2.un.org/files/high-levelexpertgroupupdate7.pdf</w:t>
      </w:r>
      <w:r w:rsidR="00735146">
        <w:t>.</w:t>
      </w:r>
    </w:p>
  </w:footnote>
  <w:footnote w:id="80">
    <w:p w14:paraId="670EB227" w14:textId="700B1521" w:rsidR="00D2735B" w:rsidRPr="000B3FD8" w:rsidRDefault="00D2735B" w:rsidP="00D2735B">
      <w:pPr>
        <w:pStyle w:val="FootnoteText"/>
        <w:rPr>
          <w:lang w:val="en-US"/>
        </w:rPr>
      </w:pPr>
      <w:r>
        <w:tab/>
      </w:r>
      <w:r>
        <w:rPr>
          <w:rStyle w:val="FootnoteReference"/>
        </w:rPr>
        <w:footnoteRef/>
      </w:r>
      <w:r>
        <w:tab/>
      </w:r>
      <w:r w:rsidRPr="003E1D64">
        <w:t>E/C.12/GC/25, par</w:t>
      </w:r>
      <w:r w:rsidR="00A63DF3">
        <w:t>a</w:t>
      </w:r>
      <w:r w:rsidRPr="003E1D64">
        <w:t>. 57</w:t>
      </w:r>
      <w:r>
        <w:rPr>
          <w:lang w:val="en-US"/>
        </w:rPr>
        <w:t>.</w:t>
      </w:r>
    </w:p>
  </w:footnote>
  <w:footnote w:id="81">
    <w:p w14:paraId="39D56380" w14:textId="77777777" w:rsidR="00D2735B" w:rsidRPr="00FA77EA" w:rsidRDefault="00D2735B" w:rsidP="00D2735B">
      <w:pPr>
        <w:pStyle w:val="FootnoteText"/>
      </w:pPr>
      <w:r w:rsidRPr="00FA77EA">
        <w:tab/>
      </w:r>
      <w:r>
        <w:rPr>
          <w:rStyle w:val="FootnoteReference"/>
        </w:rPr>
        <w:footnoteRef/>
      </w:r>
      <w:r w:rsidRPr="00FA77EA">
        <w:tab/>
      </w:r>
      <w:r w:rsidRPr="00CC0298">
        <w:t xml:space="preserve">Transparency International, </w:t>
      </w:r>
      <w:r>
        <w:t>“</w:t>
      </w:r>
      <w:hyperlink r:id="rId16" w:history="1">
        <w:r w:rsidRPr="00266AC0">
          <w:rPr>
            <w:rStyle w:val="Hyperlink"/>
          </w:rPr>
          <w:t>Climate geoengineering technologies. Corruption and integrity gaps</w:t>
        </w:r>
      </w:hyperlink>
      <w:r w:rsidRPr="00FA77EA">
        <w:t xml:space="preserve">”, Policy Position, 2022, p. 6. </w:t>
      </w:r>
    </w:p>
  </w:footnote>
  <w:footnote w:id="82">
    <w:p w14:paraId="4A56FD77" w14:textId="6F830B5E" w:rsidR="00D2735B" w:rsidRPr="005B42D4" w:rsidRDefault="00D2735B" w:rsidP="00D2735B">
      <w:pPr>
        <w:pStyle w:val="FootnoteText"/>
        <w:rPr>
          <w:lang w:val="en-US"/>
        </w:rPr>
      </w:pPr>
      <w:r>
        <w:tab/>
      </w:r>
      <w:r>
        <w:rPr>
          <w:rStyle w:val="FootnoteReference"/>
        </w:rPr>
        <w:footnoteRef/>
      </w:r>
      <w:r>
        <w:tab/>
      </w:r>
      <w:r w:rsidRPr="00E20AD0">
        <w:t>A/73/188</w:t>
      </w:r>
      <w:r>
        <w:t>, par</w:t>
      </w:r>
      <w:r w:rsidR="00A63DF3">
        <w:t>a</w:t>
      </w:r>
      <w:r>
        <w:t>. 42.</w:t>
      </w:r>
    </w:p>
  </w:footnote>
  <w:footnote w:id="83">
    <w:p w14:paraId="0646A184" w14:textId="5AF105AD" w:rsidR="00D2735B" w:rsidRPr="00475980" w:rsidRDefault="00D2735B" w:rsidP="00D2735B">
      <w:pPr>
        <w:pStyle w:val="FootnoteText"/>
      </w:pPr>
      <w:r w:rsidRPr="00B41175">
        <w:tab/>
      </w:r>
      <w:r>
        <w:rPr>
          <w:rStyle w:val="FootnoteReference"/>
        </w:rPr>
        <w:footnoteRef/>
      </w:r>
      <w:r w:rsidRPr="00475980">
        <w:tab/>
      </w:r>
      <w:r w:rsidRPr="00475980">
        <w:rPr>
          <w:rFonts w:asciiTheme="majorBidi" w:hAnsiTheme="majorBidi" w:cstheme="majorBidi"/>
          <w:szCs w:val="18"/>
        </w:rPr>
        <w:t>XIII</w:t>
      </w:r>
      <w:r w:rsidRPr="00B40142">
        <w:t>/14</w:t>
      </w:r>
      <w:r w:rsidRPr="00475980">
        <w:t>, par</w:t>
      </w:r>
      <w:r w:rsidR="00A63DF3">
        <w:t>a</w:t>
      </w:r>
      <w:r w:rsidRPr="00475980">
        <w:t>. 2</w:t>
      </w:r>
    </w:p>
  </w:footnote>
  <w:footnote w:id="84">
    <w:p w14:paraId="5EAEEBEA" w14:textId="425F7844" w:rsidR="00D2735B" w:rsidRPr="000136D9" w:rsidRDefault="00D2735B" w:rsidP="00D2735B">
      <w:pPr>
        <w:pStyle w:val="FootnoteText"/>
        <w:rPr>
          <w:rFonts w:asciiTheme="majorBidi" w:hAnsiTheme="majorBidi" w:cstheme="majorBidi"/>
          <w:szCs w:val="18"/>
        </w:rPr>
      </w:pPr>
      <w:r>
        <w:rPr>
          <w:rFonts w:asciiTheme="majorBidi" w:hAnsiTheme="majorBidi" w:cstheme="majorBidi"/>
          <w:szCs w:val="18"/>
        </w:rPr>
        <w:tab/>
      </w:r>
      <w:r w:rsidRPr="006C1729">
        <w:rPr>
          <w:rStyle w:val="FootnoteReference"/>
          <w:rFonts w:asciiTheme="majorBidi" w:hAnsiTheme="majorBidi" w:cstheme="majorBidi"/>
          <w:szCs w:val="18"/>
        </w:rPr>
        <w:footnoteRef/>
      </w:r>
      <w:r w:rsidRPr="006C1729">
        <w:rPr>
          <w:rFonts w:asciiTheme="majorBidi" w:hAnsiTheme="majorBidi" w:cstheme="majorBidi"/>
          <w:szCs w:val="18"/>
        </w:rPr>
        <w:tab/>
        <w:t xml:space="preserve">Various respondents to the report’s questionnaire considered that NTCPs distract from the goals undertaken by States under international agreements on climate change, particularly, the Paris Agreement, </w:t>
      </w:r>
      <w:r w:rsidR="008F3E58">
        <w:rPr>
          <w:rFonts w:asciiTheme="majorBidi" w:hAnsiTheme="majorBidi" w:cstheme="majorBidi"/>
          <w:szCs w:val="18"/>
        </w:rPr>
        <w:t>and</w:t>
      </w:r>
      <w:r w:rsidR="008F3E58" w:rsidRPr="006C1729">
        <w:rPr>
          <w:rFonts w:asciiTheme="majorBidi" w:hAnsiTheme="majorBidi" w:cstheme="majorBidi"/>
          <w:szCs w:val="18"/>
        </w:rPr>
        <w:t xml:space="preserve"> </w:t>
      </w:r>
      <w:r w:rsidRPr="006C1729">
        <w:rPr>
          <w:rFonts w:asciiTheme="majorBidi" w:hAnsiTheme="majorBidi" w:cstheme="majorBidi"/>
          <w:szCs w:val="18"/>
        </w:rPr>
        <w:t xml:space="preserve">carry a wide range of human rights risks. Suggesting that </w:t>
      </w:r>
      <w:r w:rsidR="008F3E58">
        <w:rPr>
          <w:rFonts w:asciiTheme="majorBidi" w:hAnsiTheme="majorBidi" w:cstheme="majorBidi"/>
          <w:szCs w:val="18"/>
        </w:rPr>
        <w:t>NTCPs</w:t>
      </w:r>
      <w:r w:rsidRPr="006C1729">
        <w:rPr>
          <w:rFonts w:asciiTheme="majorBidi" w:hAnsiTheme="majorBidi" w:cstheme="majorBidi"/>
          <w:szCs w:val="18"/>
        </w:rPr>
        <w:t xml:space="preserve"> may contribute to the promotion and protection of human rights is misleading. Far from addressing the root causes of climate change, they are likely to have unintended and potentially catastrophic effects on planetary processes, resulting in great risks to the enjoyment of human rights. Submission by members of the network of academics for an International Non-Use Agreement on Solar Geoengineering.</w:t>
      </w:r>
    </w:p>
  </w:footnote>
  <w:footnote w:id="85">
    <w:p w14:paraId="6508F886" w14:textId="77777777" w:rsidR="00D2735B" w:rsidRPr="005B2139" w:rsidRDefault="00D2735B" w:rsidP="00D2735B">
      <w:pPr>
        <w:pStyle w:val="FootnoteText"/>
        <w:rPr>
          <w:lang w:val="en-US"/>
        </w:rPr>
      </w:pPr>
      <w:r>
        <w:tab/>
      </w:r>
      <w:r>
        <w:rPr>
          <w:rStyle w:val="FootnoteReference"/>
        </w:rPr>
        <w:footnoteRef/>
      </w:r>
      <w:r>
        <w:tab/>
      </w:r>
      <w:r w:rsidRPr="0082224B">
        <w:t>The term “net zero emissions,” defined as emissions achieved when anthropogenic CO</w:t>
      </w:r>
      <w:r w:rsidRPr="0082224B">
        <w:rPr>
          <w:vertAlign w:val="subscript"/>
        </w:rPr>
        <w:t>2</w:t>
      </w:r>
      <w:r w:rsidRPr="0082224B">
        <w:t xml:space="preserve"> emissions are balanced globally by anthropogenic CO</w:t>
      </w:r>
      <w:r w:rsidRPr="0082224B">
        <w:rPr>
          <w:vertAlign w:val="subscript"/>
        </w:rPr>
        <w:t>2</w:t>
      </w:r>
      <w:r w:rsidRPr="0082224B">
        <w:t xml:space="preserve"> removals over a specific period, implies a two-fold action: cutting emissions and removing carbon dioxide.</w:t>
      </w:r>
    </w:p>
  </w:footnote>
  <w:footnote w:id="86">
    <w:p w14:paraId="2433144F" w14:textId="77777777" w:rsidR="00D2735B" w:rsidRPr="000136D9" w:rsidRDefault="00D2735B" w:rsidP="00D2735B">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i/>
          <w:iCs/>
          <w:szCs w:val="18"/>
          <w:lang w:val="en-US"/>
        </w:rPr>
        <w:t xml:space="preserve">Statement, </w:t>
      </w:r>
      <w:r w:rsidRPr="000136D9">
        <w:rPr>
          <w:rFonts w:asciiTheme="majorBidi" w:hAnsiTheme="majorBidi" w:cstheme="majorBidi"/>
          <w:szCs w:val="18"/>
          <w:lang w:val="en-US"/>
        </w:rPr>
        <w:t xml:space="preserve">Real Zero Europe, https://www.realsolutions-not-netzero.org/real-zero-europe. </w:t>
      </w:r>
    </w:p>
  </w:footnote>
  <w:footnote w:id="87">
    <w:p w14:paraId="569ED631" w14:textId="77777777" w:rsidR="00D2735B" w:rsidRPr="000136D9" w:rsidRDefault="00D2735B" w:rsidP="00D2735B">
      <w:pPr>
        <w:pStyle w:val="FootnoteText"/>
        <w:jc w:val="both"/>
        <w:rPr>
          <w:rFonts w:asciiTheme="majorBidi" w:hAnsiTheme="majorBidi" w:cstheme="majorBidi"/>
          <w:szCs w:val="18"/>
        </w:rPr>
      </w:pPr>
      <w:r>
        <w:rPr>
          <w:rFonts w:asciiTheme="majorBidi" w:hAnsiTheme="majorBidi" w:cstheme="majorBidi"/>
          <w:szCs w:val="18"/>
        </w:rPr>
        <w:tab/>
      </w:r>
      <w:r w:rsidRPr="000136D9">
        <w:rPr>
          <w:rStyle w:val="FootnoteReference"/>
          <w:rFonts w:asciiTheme="majorBidi" w:hAnsiTheme="majorBidi" w:cstheme="majorBidi"/>
          <w:szCs w:val="18"/>
        </w:rPr>
        <w:footnoteRef/>
      </w:r>
      <w:r>
        <w:rPr>
          <w:rFonts w:asciiTheme="majorBidi" w:hAnsiTheme="majorBidi" w:cstheme="majorBidi"/>
          <w:szCs w:val="18"/>
        </w:rPr>
        <w:tab/>
      </w:r>
      <w:r w:rsidRPr="00C37E9B">
        <w:rPr>
          <w:rFonts w:asciiTheme="majorBidi" w:hAnsiTheme="majorBidi" w:cstheme="majorBidi"/>
          <w:bCs/>
          <w:szCs w:val="18"/>
        </w:rPr>
        <w:t>Several private initiatives already propagate including SAI and other SRMs in international strategies for the future.</w:t>
      </w:r>
    </w:p>
  </w:footnote>
  <w:footnote w:id="88">
    <w:p w14:paraId="268BF82F" w14:textId="77777777" w:rsidR="00D2735B" w:rsidRPr="000136D9" w:rsidRDefault="00D2735B" w:rsidP="00D2735B">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„Products” are another kind of storage. However, the definition of a “product” is broad and unclear for a human-rights based perspective.</w:t>
      </w:r>
    </w:p>
  </w:footnote>
  <w:footnote w:id="89">
    <w:p w14:paraId="62BCE981" w14:textId="77777777" w:rsidR="00D2735B" w:rsidRPr="00C37E9B"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The Fifth Session of the UN Environment Assembly defined nature-based solutions as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p>
  </w:footnote>
  <w:footnote w:id="90">
    <w:p w14:paraId="0456F02E" w14:textId="77777777" w:rsidR="00D2735B" w:rsidRPr="000136D9" w:rsidRDefault="00D2735B" w:rsidP="00D2735B">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Pr>
          <w:rFonts w:asciiTheme="majorBidi" w:hAnsiTheme="majorBidi" w:cstheme="majorBidi"/>
          <w:szCs w:val="18"/>
          <w:lang w:val="en-US"/>
        </w:rPr>
        <w:tab/>
      </w:r>
      <w:r w:rsidRPr="000136D9">
        <w:rPr>
          <w:rFonts w:asciiTheme="majorBidi" w:hAnsiTheme="majorBidi" w:cstheme="majorBidi"/>
          <w:szCs w:val="18"/>
          <w:lang w:val="en-US"/>
        </w:rPr>
        <w:t>When it comes to direct impacts on human rights special consideration should be given to land-related CDR that does not qualify as a nature-based solution, esp. biomass-reliant CDR at large scale such as BECSS. Those approaches can increase land usage conflicts and lead to a reduction of food supply and loss of biodiversity and ecosystem services thereby increasing global injustice and inequality and creating resource based civil conflict potential. Unsustainable production and transport of biomass could even result in additional net emissions instead of carbon dioxide removal.</w:t>
      </w:r>
      <w:r w:rsidRPr="000136D9">
        <w:rPr>
          <w:rStyle w:val="CommentReference"/>
          <w:rFonts w:asciiTheme="majorBidi" w:hAnsiTheme="majorBidi" w:cstheme="majorBidi"/>
          <w:szCs w:val="18"/>
          <w:lang w:val="en-US"/>
        </w:rPr>
        <w:t xml:space="preserve"> </w:t>
      </w:r>
    </w:p>
  </w:footnote>
  <w:footnote w:id="91">
    <w:p w14:paraId="1648C0EC" w14:textId="77777777" w:rsidR="00D2735B" w:rsidRPr="000136D9"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Pr>
          <w:rFonts w:asciiTheme="majorBidi" w:hAnsiTheme="majorBidi" w:cstheme="majorBidi"/>
          <w:szCs w:val="18"/>
          <w:lang w:val="en-US"/>
        </w:rPr>
        <w:tab/>
      </w:r>
      <w:r w:rsidRPr="000136D9">
        <w:rPr>
          <w:rFonts w:asciiTheme="majorBidi" w:hAnsiTheme="majorBidi" w:cstheme="majorBidi"/>
          <w:szCs w:val="18"/>
          <w:lang w:val="en-US"/>
        </w:rPr>
        <w:t>The potential is estimated at 0.5-5GtCO2 annually by 2050, or 40GtCO2 by 2100, but there are doubts about its scalability. Unlike other CCSs DAC facilities can be located close to storage facilities and sources of renewable energy.</w:t>
      </w:r>
    </w:p>
  </w:footnote>
  <w:footnote w:id="92">
    <w:p w14:paraId="001DD7A8" w14:textId="77777777" w:rsidR="00D2735B" w:rsidRPr="000136D9"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Pr>
          <w:rFonts w:asciiTheme="majorBidi" w:hAnsiTheme="majorBidi" w:cstheme="majorBidi"/>
          <w:szCs w:val="18"/>
          <w:lang w:val="en-US"/>
        </w:rPr>
        <w:tab/>
      </w:r>
      <w:r w:rsidRPr="000136D9">
        <w:rPr>
          <w:rFonts w:asciiTheme="majorBidi" w:hAnsiTheme="majorBidi" w:cstheme="majorBidi"/>
          <w:szCs w:val="18"/>
          <w:lang w:val="en-US"/>
        </w:rPr>
        <w:t xml:space="preserve">Mineralization into calcite, </w:t>
      </w:r>
      <w:proofErr w:type="spellStart"/>
      <w:r w:rsidRPr="000136D9">
        <w:rPr>
          <w:rFonts w:asciiTheme="majorBidi" w:hAnsiTheme="majorBidi" w:cstheme="majorBidi"/>
          <w:szCs w:val="18"/>
          <w:lang w:val="en-US"/>
        </w:rPr>
        <w:t>argonite</w:t>
      </w:r>
      <w:proofErr w:type="spellEnd"/>
      <w:r w:rsidRPr="000136D9">
        <w:rPr>
          <w:rFonts w:asciiTheme="majorBidi" w:hAnsiTheme="majorBidi" w:cstheme="majorBidi"/>
          <w:szCs w:val="18"/>
          <w:lang w:val="en-US"/>
        </w:rPr>
        <w:t>, magnesite, depending on local circumstances in the reservoir. The storage is to be permanent, counting in thousands of years.</w:t>
      </w:r>
    </w:p>
  </w:footnote>
  <w:footnote w:id="93">
    <w:p w14:paraId="13E70B2C" w14:textId="77777777" w:rsidR="00D2735B" w:rsidRPr="000136D9"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Pr>
          <w:rFonts w:asciiTheme="majorBidi" w:hAnsiTheme="majorBidi" w:cstheme="majorBidi"/>
          <w:szCs w:val="18"/>
          <w:lang w:val="en-US"/>
        </w:rPr>
        <w:tab/>
      </w:r>
      <w:r w:rsidRPr="00C37E9B">
        <w:rPr>
          <w:rFonts w:asciiTheme="majorBidi" w:hAnsiTheme="majorBidi" w:cstheme="majorBidi"/>
          <w:szCs w:val="18"/>
          <w:lang w:val="en-US"/>
        </w:rPr>
        <w:t xml:space="preserve">Later, private investors joined in, including large international corporations, while recently again large public investment was made into the project (US Department of Energy invested $3.5bln in </w:t>
      </w:r>
      <w:proofErr w:type="spellStart"/>
      <w:r w:rsidRPr="00C37E9B">
        <w:rPr>
          <w:rFonts w:asciiTheme="majorBidi" w:hAnsiTheme="majorBidi" w:cstheme="majorBidi"/>
          <w:szCs w:val="18"/>
          <w:lang w:val="en-US"/>
        </w:rPr>
        <w:t>Climeworks</w:t>
      </w:r>
      <w:proofErr w:type="spellEnd"/>
      <w:r w:rsidRPr="00C37E9B">
        <w:rPr>
          <w:rFonts w:asciiTheme="majorBidi" w:hAnsiTheme="majorBidi" w:cstheme="majorBidi"/>
          <w:szCs w:val="18"/>
          <w:lang w:val="en-US"/>
        </w:rPr>
        <w:t xml:space="preserve"> projects in US). </w:t>
      </w:r>
      <w:r w:rsidRPr="000136D9">
        <w:rPr>
          <w:rFonts w:asciiTheme="majorBidi" w:hAnsiTheme="majorBidi" w:cstheme="majorBidi"/>
          <w:szCs w:val="18"/>
          <w:lang w:val="en-US"/>
        </w:rPr>
        <w:t xml:space="preserve">Local regulations in the United States theoretically require that DAC </w:t>
      </w:r>
      <w:r w:rsidRPr="000136D9">
        <w:rPr>
          <w:rFonts w:asciiTheme="majorBidi" w:hAnsiTheme="majorBidi" w:cstheme="majorBidi"/>
          <w:szCs w:val="18"/>
        </w:rPr>
        <w:t xml:space="preserve">sites are safe and suitable for storage. </w:t>
      </w:r>
      <w:r w:rsidRPr="000136D9">
        <w:rPr>
          <w:rFonts w:asciiTheme="majorBidi" w:hAnsiTheme="majorBidi" w:cstheme="majorBidi"/>
          <w:szCs w:val="18"/>
          <w:lang w:val="en-US"/>
        </w:rPr>
        <w:t>Th</w:t>
      </w:r>
      <w:r w:rsidRPr="000136D9">
        <w:rPr>
          <w:rFonts w:asciiTheme="majorBidi" w:hAnsiTheme="majorBidi" w:cstheme="majorBidi"/>
          <w:szCs w:val="18"/>
        </w:rPr>
        <w:t xml:space="preserve">e Safe Drinking Water Act stipulates that </w:t>
      </w:r>
      <w:r w:rsidRPr="000136D9">
        <w:rPr>
          <w:rFonts w:asciiTheme="majorBidi" w:hAnsiTheme="majorBidi" w:cstheme="majorBidi"/>
          <w:szCs w:val="18"/>
          <w:lang w:val="en-US"/>
        </w:rPr>
        <w:t>injecting</w:t>
      </w:r>
      <w:r w:rsidRPr="000136D9">
        <w:rPr>
          <w:rFonts w:asciiTheme="majorBidi" w:hAnsiTheme="majorBidi" w:cstheme="majorBidi"/>
          <w:szCs w:val="18"/>
        </w:rPr>
        <w:t xml:space="preserve"> CO2 underground </w:t>
      </w:r>
      <w:r w:rsidRPr="000136D9">
        <w:rPr>
          <w:rFonts w:asciiTheme="majorBidi" w:hAnsiTheme="majorBidi" w:cstheme="majorBidi"/>
          <w:szCs w:val="18"/>
          <w:lang w:val="en-US"/>
        </w:rPr>
        <w:t>requires</w:t>
      </w:r>
      <w:r w:rsidRPr="000136D9">
        <w:rPr>
          <w:rFonts w:asciiTheme="majorBidi" w:hAnsiTheme="majorBidi" w:cstheme="majorBidi"/>
          <w:szCs w:val="18"/>
        </w:rPr>
        <w:t xml:space="preserve"> monitor</w:t>
      </w:r>
      <w:proofErr w:type="spellStart"/>
      <w:r w:rsidRPr="000136D9">
        <w:rPr>
          <w:rFonts w:asciiTheme="majorBidi" w:hAnsiTheme="majorBidi" w:cstheme="majorBidi"/>
          <w:szCs w:val="18"/>
          <w:lang w:val="en-US"/>
        </w:rPr>
        <w:t>ing</w:t>
      </w:r>
      <w:proofErr w:type="spellEnd"/>
      <w:r w:rsidRPr="000136D9">
        <w:rPr>
          <w:rFonts w:asciiTheme="majorBidi" w:hAnsiTheme="majorBidi" w:cstheme="majorBidi"/>
          <w:szCs w:val="18"/>
        </w:rPr>
        <w:t xml:space="preserve"> and </w:t>
      </w:r>
      <w:r w:rsidRPr="000136D9">
        <w:rPr>
          <w:rFonts w:asciiTheme="majorBidi" w:hAnsiTheme="majorBidi" w:cstheme="majorBidi"/>
          <w:szCs w:val="18"/>
          <w:lang w:val="en-US"/>
        </w:rPr>
        <w:t>characterization of the site</w:t>
      </w:r>
      <w:r w:rsidRPr="000136D9">
        <w:rPr>
          <w:rFonts w:asciiTheme="majorBidi" w:hAnsiTheme="majorBidi" w:cstheme="majorBidi"/>
          <w:szCs w:val="18"/>
        </w:rPr>
        <w:t xml:space="preserve">. </w:t>
      </w:r>
      <w:r w:rsidRPr="000136D9">
        <w:rPr>
          <w:rFonts w:asciiTheme="majorBidi" w:hAnsiTheme="majorBidi" w:cstheme="majorBidi"/>
          <w:szCs w:val="18"/>
          <w:lang w:val="en-US"/>
        </w:rPr>
        <w:t xml:space="preserve">It needs to be a </w:t>
      </w:r>
      <w:r w:rsidRPr="000136D9">
        <w:rPr>
          <w:rFonts w:asciiTheme="majorBidi" w:hAnsiTheme="majorBidi" w:cstheme="majorBidi"/>
          <w:szCs w:val="18"/>
        </w:rPr>
        <w:t xml:space="preserve">Class VI well, </w:t>
      </w:r>
      <w:r w:rsidRPr="000136D9">
        <w:rPr>
          <w:rFonts w:asciiTheme="majorBidi" w:hAnsiTheme="majorBidi" w:cstheme="majorBidi"/>
          <w:szCs w:val="18"/>
          <w:lang w:val="en-US"/>
        </w:rPr>
        <w:t>which there are few</w:t>
      </w:r>
      <w:r w:rsidRPr="000136D9">
        <w:rPr>
          <w:rFonts w:asciiTheme="majorBidi" w:hAnsiTheme="majorBidi" w:cstheme="majorBidi"/>
          <w:szCs w:val="18"/>
        </w:rPr>
        <w:t>.</w:t>
      </w:r>
    </w:p>
  </w:footnote>
  <w:footnote w:id="94">
    <w:p w14:paraId="21A440DF" w14:textId="77777777" w:rsidR="00D2735B" w:rsidRPr="000136D9" w:rsidRDefault="00D2735B" w:rsidP="00D2735B">
      <w:pPr>
        <w:pStyle w:val="FootnoteText"/>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The highest sequestration potential is reported to be ca. 88 GtCO2 yr</w:t>
      </w:r>
      <w:r w:rsidRPr="000136D9">
        <w:rPr>
          <w:rFonts w:asciiTheme="majorBidi" w:hAnsiTheme="majorBidi" w:cstheme="majorBidi"/>
          <w:szCs w:val="18"/>
          <w:vertAlign w:val="superscript"/>
          <w:lang w:val="en-US"/>
        </w:rPr>
        <w:t>-1</w:t>
      </w:r>
      <w:r w:rsidRPr="000136D9">
        <w:rPr>
          <w:rFonts w:asciiTheme="majorBidi" w:hAnsiTheme="majorBidi" w:cstheme="majorBidi"/>
          <w:szCs w:val="18"/>
          <w:lang w:val="en-US"/>
        </w:rPr>
        <w:t xml:space="preserve"> when spreading pulverized rock over large areas in the tropics, although depending on place, rock kind, and methods employed the potential varies greatly, as does the global cost assessment (US$50-200/tCO</w:t>
      </w:r>
      <w:r w:rsidRPr="000136D9">
        <w:rPr>
          <w:rFonts w:asciiTheme="majorBidi" w:hAnsiTheme="majorBidi" w:cstheme="majorBidi"/>
          <w:szCs w:val="18"/>
          <w:vertAlign w:val="subscript"/>
          <w:lang w:val="en-US"/>
        </w:rPr>
        <w:t>2</w:t>
      </w:r>
      <w:r w:rsidRPr="000136D9">
        <w:rPr>
          <w:rFonts w:asciiTheme="majorBidi" w:hAnsiTheme="majorBidi" w:cstheme="majorBidi"/>
          <w:szCs w:val="18"/>
          <w:vertAlign w:val="superscript"/>
          <w:lang w:val="en-US"/>
        </w:rPr>
        <w:t>-1</w:t>
      </w:r>
      <w:r w:rsidRPr="000136D9">
        <w:rPr>
          <w:rFonts w:asciiTheme="majorBidi" w:hAnsiTheme="majorBidi" w:cstheme="majorBidi"/>
          <w:szCs w:val="18"/>
          <w:lang w:val="en-US"/>
        </w:rPr>
        <w:t>). Median future sequestration potential is set at 2-4GtCO</w:t>
      </w:r>
      <w:r w:rsidRPr="000136D9">
        <w:rPr>
          <w:rFonts w:asciiTheme="majorBidi" w:hAnsiTheme="majorBidi" w:cstheme="majorBidi"/>
          <w:szCs w:val="18"/>
          <w:vertAlign w:val="subscript"/>
          <w:lang w:val="en-US"/>
        </w:rPr>
        <w:t>2</w:t>
      </w:r>
      <w:r w:rsidRPr="000136D9">
        <w:rPr>
          <w:rFonts w:asciiTheme="majorBidi" w:hAnsiTheme="majorBidi" w:cstheme="majorBidi"/>
          <w:szCs w:val="18"/>
          <w:lang w:val="en-US"/>
        </w:rPr>
        <w:t xml:space="preserve"> yr</w:t>
      </w:r>
      <w:r w:rsidRPr="000136D9">
        <w:rPr>
          <w:rFonts w:asciiTheme="majorBidi" w:hAnsiTheme="majorBidi" w:cstheme="majorBidi"/>
          <w:szCs w:val="18"/>
          <w:vertAlign w:val="superscript"/>
          <w:lang w:val="en-US"/>
        </w:rPr>
        <w:t xml:space="preserve">-1 </w:t>
      </w:r>
      <w:r w:rsidRPr="000136D9">
        <w:rPr>
          <w:rFonts w:asciiTheme="majorBidi" w:hAnsiTheme="majorBidi" w:cstheme="majorBidi"/>
          <w:szCs w:val="18"/>
          <w:lang w:val="en-US"/>
        </w:rPr>
        <w:t>from 2050.</w:t>
      </w:r>
    </w:p>
  </w:footnote>
  <w:footnote w:id="95">
    <w:p w14:paraId="35598176" w14:textId="77777777" w:rsidR="00D2735B" w:rsidRPr="000136D9" w:rsidRDefault="00D2735B" w:rsidP="00D2735B">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IPCC AR6 WGII.</w:t>
      </w:r>
    </w:p>
  </w:footnote>
  <w:footnote w:id="96">
    <w:p w14:paraId="45C85EBD" w14:textId="77777777" w:rsidR="00D2735B" w:rsidRPr="000136D9" w:rsidRDefault="00D2735B" w:rsidP="00D2735B">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https://www.nature.com/articles/d41586-021-02290-3</w:t>
      </w:r>
    </w:p>
  </w:footnote>
  <w:footnote w:id="97">
    <w:p w14:paraId="32E74E74" w14:textId="77777777" w:rsidR="00D2735B" w:rsidRPr="000136D9" w:rsidRDefault="00D2735B" w:rsidP="00D2735B">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C37E9B">
        <w:rPr>
          <w:rFonts w:asciiTheme="majorBidi" w:hAnsiTheme="majorBidi" w:cstheme="majorBidi"/>
          <w:szCs w:val="18"/>
          <w:lang w:val="en-US"/>
        </w:rPr>
        <w:t>One of the test sites is</w:t>
      </w:r>
      <w:r w:rsidRPr="00C37E9B">
        <w:rPr>
          <w:rFonts w:asciiTheme="majorBidi" w:hAnsiTheme="majorBidi" w:cstheme="majorBidi"/>
          <w:szCs w:val="18"/>
        </w:rPr>
        <w:t xml:space="preserve"> in North Meadow Lake, on Indigenous </w:t>
      </w:r>
      <w:proofErr w:type="spellStart"/>
      <w:r w:rsidRPr="00C37E9B">
        <w:rPr>
          <w:rFonts w:asciiTheme="majorBidi" w:hAnsiTheme="majorBidi" w:cstheme="majorBidi"/>
          <w:szCs w:val="18"/>
        </w:rPr>
        <w:t>Iñupiat</w:t>
      </w:r>
      <w:proofErr w:type="spellEnd"/>
      <w:r w:rsidRPr="00C37E9B">
        <w:rPr>
          <w:rFonts w:asciiTheme="majorBidi" w:hAnsiTheme="majorBidi" w:cstheme="majorBidi"/>
          <w:szCs w:val="18"/>
        </w:rPr>
        <w:t xml:space="preserve"> territories near </w:t>
      </w:r>
      <w:proofErr w:type="spellStart"/>
      <w:r w:rsidRPr="00C37E9B">
        <w:rPr>
          <w:rFonts w:asciiTheme="majorBidi" w:hAnsiTheme="majorBidi" w:cstheme="majorBidi"/>
          <w:szCs w:val="18"/>
        </w:rPr>
        <w:t>Utqiagvik</w:t>
      </w:r>
      <w:proofErr w:type="spellEnd"/>
      <w:r w:rsidRPr="00C37E9B">
        <w:rPr>
          <w:rFonts w:asciiTheme="majorBidi" w:hAnsiTheme="majorBidi" w:cstheme="majorBidi"/>
          <w:szCs w:val="18"/>
        </w:rPr>
        <w:t xml:space="preserve">, Alaska. </w:t>
      </w:r>
      <w:r w:rsidRPr="000136D9">
        <w:rPr>
          <w:rFonts w:asciiTheme="majorBidi" w:hAnsiTheme="majorBidi" w:cstheme="majorBidi"/>
          <w:szCs w:val="18"/>
          <w:lang w:val="en-US"/>
        </w:rPr>
        <w:t>https://www.geoengineeringmonitor.org/2022/05/support-alaska-native-delegation-to-stop-arctic-ice-project/</w:t>
      </w:r>
    </w:p>
  </w:footnote>
  <w:footnote w:id="98">
    <w:p w14:paraId="6EB99127" w14:textId="77777777" w:rsidR="00D2735B" w:rsidRPr="000136D9" w:rsidRDefault="00D2735B" w:rsidP="00D2735B">
      <w:pPr>
        <w:pStyle w:val="FootnoteText"/>
        <w:jc w:val="both"/>
        <w:rPr>
          <w:rFonts w:asciiTheme="majorBidi" w:hAnsiTheme="majorBidi" w:cstheme="majorBidi"/>
          <w:szCs w:val="18"/>
          <w:lang w:val="en-US"/>
        </w:rPr>
      </w:pPr>
      <w:r>
        <w:rPr>
          <w:rFonts w:asciiTheme="majorBidi" w:hAnsiTheme="majorBidi" w:cstheme="majorBidi"/>
          <w:szCs w:val="18"/>
          <w:lang w:val="en-US"/>
        </w:rPr>
        <w:tab/>
      </w:r>
      <w:r w:rsidRPr="000136D9">
        <w:rPr>
          <w:rStyle w:val="FootnoteReference"/>
          <w:rFonts w:asciiTheme="majorBidi" w:hAnsiTheme="majorBidi" w:cstheme="majorBidi"/>
          <w:szCs w:val="18"/>
        </w:rPr>
        <w:footnoteRef/>
      </w:r>
      <w:r>
        <w:rPr>
          <w:rFonts w:asciiTheme="majorBidi" w:hAnsiTheme="majorBidi" w:cstheme="majorBidi"/>
          <w:szCs w:val="18"/>
          <w:lang w:val="en-US"/>
        </w:rPr>
        <w:tab/>
      </w:r>
      <w:r w:rsidRPr="000136D9">
        <w:rPr>
          <w:rFonts w:asciiTheme="majorBidi" w:hAnsiTheme="majorBidi" w:cstheme="majorBidi"/>
          <w:szCs w:val="18"/>
          <w:lang w:val="en-US"/>
        </w:rPr>
        <w:t>https://www.keutschgroup.com/scopex</w:t>
      </w:r>
    </w:p>
  </w:footnote>
  <w:footnote w:id="99">
    <w:p w14:paraId="60027D47" w14:textId="77777777" w:rsidR="00D2735B" w:rsidRPr="004E55F6" w:rsidRDefault="00D2735B" w:rsidP="00D2735B">
      <w:pPr>
        <w:pStyle w:val="FootnoteText"/>
        <w:jc w:val="both"/>
        <w:rPr>
          <w:szCs w:val="18"/>
          <w:lang w:val="en-US"/>
        </w:rPr>
      </w:pPr>
      <w:r>
        <w:rPr>
          <w:szCs w:val="18"/>
          <w:lang w:val="en-US"/>
        </w:rPr>
        <w:tab/>
      </w:r>
      <w:r w:rsidRPr="004E55F6">
        <w:rPr>
          <w:rStyle w:val="FootnoteReference"/>
          <w:szCs w:val="18"/>
        </w:rPr>
        <w:footnoteRef/>
      </w:r>
      <w:r>
        <w:rPr>
          <w:szCs w:val="18"/>
          <w:lang w:val="en-US"/>
        </w:rPr>
        <w:tab/>
      </w:r>
      <w:r w:rsidRPr="004E55F6">
        <w:rPr>
          <w:szCs w:val="18"/>
          <w:lang w:val="en-US"/>
        </w:rPr>
        <w:t>From TONATIERRA input: “</w:t>
      </w:r>
      <w:r w:rsidRPr="00A979E7">
        <w:rPr>
          <w:szCs w:val="18"/>
          <w:lang w:val="en-US"/>
        </w:rPr>
        <w:t xml:space="preserve">Upon learning of the </w:t>
      </w:r>
      <w:proofErr w:type="spellStart"/>
      <w:r w:rsidRPr="00A979E7">
        <w:rPr>
          <w:szCs w:val="18"/>
          <w:lang w:val="en-US"/>
        </w:rPr>
        <w:t>SCoPEx</w:t>
      </w:r>
      <w:proofErr w:type="spellEnd"/>
      <w:r w:rsidRPr="00A979E7">
        <w:rPr>
          <w:szCs w:val="18"/>
          <w:lang w:val="en-US"/>
        </w:rPr>
        <w:t xml:space="preserve"> project in Tucson, we communicated with our networks of kinship and traditional cultural alliances as Indigenous Peoples of the territory to inquire what they knew of the project. There was a complete lack of information. We then communicated with the traditional ancestral leadership of the </w:t>
      </w:r>
      <w:proofErr w:type="spellStart"/>
      <w:r w:rsidRPr="00A979E7">
        <w:rPr>
          <w:szCs w:val="18"/>
          <w:lang w:val="en-US"/>
        </w:rPr>
        <w:t>O’otham</w:t>
      </w:r>
      <w:proofErr w:type="spellEnd"/>
      <w:r w:rsidRPr="00A979E7">
        <w:rPr>
          <w:szCs w:val="18"/>
          <w:lang w:val="en-US"/>
        </w:rPr>
        <w:t xml:space="preserve"> Nations upon whose land the city of Tucson is situated and asked for a consultation. We accompanied the </w:t>
      </w:r>
      <w:proofErr w:type="spellStart"/>
      <w:r w:rsidRPr="00A979E7">
        <w:rPr>
          <w:szCs w:val="18"/>
          <w:lang w:val="en-US"/>
        </w:rPr>
        <w:t>Nukutham</w:t>
      </w:r>
      <w:proofErr w:type="spellEnd"/>
      <w:r w:rsidRPr="00A979E7">
        <w:rPr>
          <w:szCs w:val="18"/>
          <w:lang w:val="en-US"/>
        </w:rPr>
        <w:t xml:space="preserve"> (Traditional </w:t>
      </w:r>
      <w:proofErr w:type="spellStart"/>
      <w:r w:rsidRPr="00A979E7">
        <w:rPr>
          <w:szCs w:val="18"/>
          <w:lang w:val="en-US"/>
        </w:rPr>
        <w:t>O’otham</w:t>
      </w:r>
      <w:proofErr w:type="spellEnd"/>
      <w:r w:rsidRPr="00A979E7">
        <w:rPr>
          <w:szCs w:val="18"/>
          <w:lang w:val="en-US"/>
        </w:rPr>
        <w:t xml:space="preserve"> guardians of the Sacred Sites) to visit the compound where the project was to be launched. Afterwards, the </w:t>
      </w:r>
      <w:proofErr w:type="spellStart"/>
      <w:r w:rsidRPr="00A979E7">
        <w:rPr>
          <w:szCs w:val="18"/>
          <w:lang w:val="en-US"/>
        </w:rPr>
        <w:t>Nukutham</w:t>
      </w:r>
      <w:proofErr w:type="spellEnd"/>
      <w:r w:rsidRPr="00A979E7">
        <w:rPr>
          <w:szCs w:val="18"/>
          <w:lang w:val="en-US"/>
        </w:rPr>
        <w:t xml:space="preserve"> stated that not only were they not informed of the nature and scope of the experiment, but they could not consent to such a project on any </w:t>
      </w:r>
      <w:proofErr w:type="spellStart"/>
      <w:r w:rsidRPr="00A979E7">
        <w:rPr>
          <w:szCs w:val="18"/>
          <w:lang w:val="en-US"/>
        </w:rPr>
        <w:t>O’otham</w:t>
      </w:r>
      <w:proofErr w:type="spellEnd"/>
      <w:r w:rsidRPr="00A979E7">
        <w:rPr>
          <w:szCs w:val="18"/>
          <w:lang w:val="en-US"/>
        </w:rPr>
        <w:t xml:space="preserve"> lands.</w:t>
      </w:r>
      <w:r w:rsidRPr="004E55F6">
        <w:rPr>
          <w:szCs w:val="18"/>
          <w:lang w:val="en-US"/>
        </w:rPr>
        <w:t>”</w:t>
      </w:r>
    </w:p>
  </w:footnote>
  <w:footnote w:id="100">
    <w:p w14:paraId="5A8CED39" w14:textId="77777777" w:rsidR="00D2735B" w:rsidRPr="004E55F6" w:rsidRDefault="00D2735B" w:rsidP="00D2735B">
      <w:pPr>
        <w:pStyle w:val="FootnoteText"/>
        <w:jc w:val="both"/>
        <w:rPr>
          <w:szCs w:val="18"/>
          <w:lang w:val="en-US"/>
        </w:rPr>
      </w:pPr>
      <w:r>
        <w:rPr>
          <w:szCs w:val="18"/>
          <w:lang w:val="en-US"/>
        </w:rPr>
        <w:tab/>
      </w:r>
      <w:r w:rsidRPr="004E55F6">
        <w:rPr>
          <w:rStyle w:val="FootnoteReference"/>
          <w:szCs w:val="18"/>
        </w:rPr>
        <w:footnoteRef/>
      </w:r>
      <w:r>
        <w:rPr>
          <w:szCs w:val="18"/>
          <w:lang w:val="en-US"/>
        </w:rPr>
        <w:tab/>
      </w:r>
      <w:r w:rsidRPr="004E55F6">
        <w:rPr>
          <w:szCs w:val="18"/>
          <w:lang w:val="en-US"/>
        </w:rPr>
        <w:t>https://static1.squarespace.com/static/5dfb35a66f00d54ab0729b75/t/603e2167a9c0b96ffb027c8d/1614684519754/Letter+to+Scopex+Advisory+Committee+24+February.pdf</w:t>
      </w:r>
    </w:p>
  </w:footnote>
  <w:footnote w:id="101">
    <w:p w14:paraId="6B759B24" w14:textId="77777777" w:rsidR="00D2735B" w:rsidRPr="004E55F6" w:rsidRDefault="00D2735B" w:rsidP="00D2735B">
      <w:pPr>
        <w:pStyle w:val="FootnoteText"/>
        <w:jc w:val="both"/>
        <w:rPr>
          <w:szCs w:val="18"/>
          <w:lang w:val="en-US"/>
        </w:rPr>
      </w:pPr>
      <w:r>
        <w:rPr>
          <w:szCs w:val="18"/>
          <w:lang w:val="en-US"/>
        </w:rPr>
        <w:tab/>
      </w:r>
      <w:r w:rsidRPr="004E55F6">
        <w:rPr>
          <w:rStyle w:val="FootnoteReference"/>
          <w:szCs w:val="18"/>
        </w:rPr>
        <w:footnoteRef/>
      </w:r>
      <w:r>
        <w:rPr>
          <w:szCs w:val="18"/>
          <w:lang w:val="en-US"/>
        </w:rPr>
        <w:tab/>
      </w:r>
      <w:r w:rsidRPr="004E55F6">
        <w:rPr>
          <w:szCs w:val="18"/>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107B" w14:textId="191B0632" w:rsidR="002A6222" w:rsidRDefault="00605DAB" w:rsidP="00B102FB">
    <w:pPr>
      <w:pStyle w:val="Header"/>
    </w:pPr>
    <w:r>
      <w:rPr>
        <w:noProof/>
      </w:rPr>
      <w:pict w14:anchorId="61732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188" o:spid="_x0000_s1026" type="#_x0000_t136" style="position:absolute;margin-left:0;margin-top:0;width:784.5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2A6222">
      <w:t>A/HRC/</w:t>
    </w:r>
    <w:r w:rsidR="00D2735B">
      <w:t>54</w:t>
    </w:r>
    <w:r w:rsidR="002A6222">
      <w:t>/</w:t>
    </w:r>
    <w:r w:rsidR="00D2735B">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634" w14:textId="6DDBCCFA" w:rsidR="002A6222" w:rsidRDefault="00605DAB" w:rsidP="00B102FB">
    <w:pPr>
      <w:pStyle w:val="Header"/>
      <w:jc w:val="right"/>
    </w:pPr>
    <w:r>
      <w:rPr>
        <w:noProof/>
      </w:rPr>
      <w:pict w14:anchorId="68390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189" o:spid="_x0000_s1027" type="#_x0000_t136" style="position:absolute;left:0;text-align:left;margin-left:0;margin-top:0;width:784.5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2A6222">
      <w:t>A/HRC/</w:t>
    </w:r>
    <w:r w:rsidR="009F78A8">
      <w:t>54</w:t>
    </w:r>
    <w:r w:rsidR="002A6222">
      <w:t>/</w:t>
    </w:r>
    <w:r w:rsidR="009F78A8">
      <w:t>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9D9A" w14:textId="5EB0F451" w:rsidR="00605DAB" w:rsidRDefault="00605DAB">
    <w:pPr>
      <w:pStyle w:val="Header"/>
    </w:pPr>
    <w:r>
      <w:rPr>
        <w:noProof/>
      </w:rPr>
      <w:pict w14:anchorId="5FD3E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187" o:spid="_x0000_s1025" type="#_x0000_t136" style="position:absolute;margin-left:0;margin-top:0;width:784.5pt;height:81.75pt;rotation:315;z-index:-251656192;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04E" w14:textId="23071082" w:rsidR="002A6222" w:rsidRDefault="00605DAB" w:rsidP="00CD1D0C">
    <w:pPr>
      <w:pStyle w:val="Header"/>
    </w:pPr>
    <w:r>
      <w:rPr>
        <w:noProof/>
      </w:rPr>
      <w:pict w14:anchorId="07D21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191" o:spid="_x0000_s1029" type="#_x0000_t136" style="position:absolute;margin-left:0;margin-top:0;width:784.5pt;height:81.75pt;rotation:315;z-index:-251648000;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2A6222">
      <w:t>A/HRC/</w:t>
    </w:r>
    <w:r w:rsidR="009D472A">
      <w:t>54</w:t>
    </w:r>
    <w:r w:rsidR="002A6222">
      <w:t>/</w:t>
    </w:r>
    <w:r w:rsidR="009D472A">
      <w:t>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89C4" w14:textId="30F97ECB" w:rsidR="002A6222" w:rsidRDefault="00605DAB" w:rsidP="00CD1D0C">
    <w:pPr>
      <w:pStyle w:val="Header"/>
      <w:jc w:val="right"/>
    </w:pPr>
    <w:r>
      <w:rPr>
        <w:noProof/>
      </w:rPr>
      <w:pict w14:anchorId="21360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192" o:spid="_x0000_s1030" type="#_x0000_t136" style="position:absolute;left:0;text-align:left;margin-left:0;margin-top:0;width:784.5pt;height:81.75pt;rotation:315;z-index:-251645952;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2A6222">
      <w:t>A/HRC/</w:t>
    </w:r>
    <w:r w:rsidR="009D472A">
      <w:t>54/47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ADD0" w14:textId="00FEB9C3" w:rsidR="00605DAB" w:rsidRDefault="00605DAB">
    <w:pPr>
      <w:pStyle w:val="Header"/>
    </w:pPr>
    <w:r>
      <w:rPr>
        <w:noProof/>
      </w:rPr>
      <w:pict w14:anchorId="62C02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190" o:spid="_x0000_s1028" type="#_x0000_t136" style="position:absolute;margin-left:0;margin-top:0;width:784.5pt;height:81.75pt;rotation:315;z-index:-251650048;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44B97"/>
    <w:multiLevelType w:val="hybridMultilevel"/>
    <w:tmpl w:val="E0DA8B00"/>
    <w:lvl w:ilvl="0" w:tplc="FD9E5A40">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E65F2"/>
    <w:multiLevelType w:val="hybridMultilevel"/>
    <w:tmpl w:val="BEF06F18"/>
    <w:lvl w:ilvl="0" w:tplc="46F0C43A">
      <w:start w:val="1"/>
      <w:numFmt w:val="lowerRoman"/>
      <w:lvlText w:val="%1."/>
      <w:lvlJc w:val="right"/>
      <w:pPr>
        <w:ind w:left="2275" w:hanging="360"/>
      </w:pPr>
    </w:lvl>
    <w:lvl w:ilvl="1" w:tplc="08090019" w:tentative="1">
      <w:start w:val="1"/>
      <w:numFmt w:val="lowerLetter"/>
      <w:lvlText w:val="%2."/>
      <w:lvlJc w:val="left"/>
      <w:pPr>
        <w:ind w:left="2995" w:hanging="360"/>
      </w:pPr>
    </w:lvl>
    <w:lvl w:ilvl="2" w:tplc="0809001B" w:tentative="1">
      <w:start w:val="1"/>
      <w:numFmt w:val="lowerRoman"/>
      <w:lvlText w:val="%3."/>
      <w:lvlJc w:val="right"/>
      <w:pPr>
        <w:ind w:left="3715" w:hanging="180"/>
      </w:pPr>
    </w:lvl>
    <w:lvl w:ilvl="3" w:tplc="0809000F" w:tentative="1">
      <w:start w:val="1"/>
      <w:numFmt w:val="decimal"/>
      <w:lvlText w:val="%4."/>
      <w:lvlJc w:val="left"/>
      <w:pPr>
        <w:ind w:left="4435" w:hanging="360"/>
      </w:pPr>
    </w:lvl>
    <w:lvl w:ilvl="4" w:tplc="08090019" w:tentative="1">
      <w:start w:val="1"/>
      <w:numFmt w:val="lowerLetter"/>
      <w:lvlText w:val="%5."/>
      <w:lvlJc w:val="left"/>
      <w:pPr>
        <w:ind w:left="5155" w:hanging="360"/>
      </w:pPr>
    </w:lvl>
    <w:lvl w:ilvl="5" w:tplc="0809001B" w:tentative="1">
      <w:start w:val="1"/>
      <w:numFmt w:val="lowerRoman"/>
      <w:lvlText w:val="%6."/>
      <w:lvlJc w:val="right"/>
      <w:pPr>
        <w:ind w:left="5875" w:hanging="180"/>
      </w:pPr>
    </w:lvl>
    <w:lvl w:ilvl="6" w:tplc="0809000F" w:tentative="1">
      <w:start w:val="1"/>
      <w:numFmt w:val="decimal"/>
      <w:lvlText w:val="%7."/>
      <w:lvlJc w:val="left"/>
      <w:pPr>
        <w:ind w:left="6595" w:hanging="360"/>
      </w:pPr>
    </w:lvl>
    <w:lvl w:ilvl="7" w:tplc="08090019" w:tentative="1">
      <w:start w:val="1"/>
      <w:numFmt w:val="lowerLetter"/>
      <w:lvlText w:val="%8."/>
      <w:lvlJc w:val="left"/>
      <w:pPr>
        <w:ind w:left="7315" w:hanging="360"/>
      </w:pPr>
    </w:lvl>
    <w:lvl w:ilvl="8" w:tplc="0809001B" w:tentative="1">
      <w:start w:val="1"/>
      <w:numFmt w:val="lowerRoman"/>
      <w:lvlText w:val="%9."/>
      <w:lvlJc w:val="right"/>
      <w:pPr>
        <w:ind w:left="8035" w:hanging="180"/>
      </w:pPr>
    </w:lvl>
  </w:abstractNum>
  <w:abstractNum w:abstractNumId="5" w15:restartNumberingAfterBreak="0">
    <w:nsid w:val="13E152FD"/>
    <w:multiLevelType w:val="multilevel"/>
    <w:tmpl w:val="EC46F802"/>
    <w:lvl w:ilvl="0">
      <w:start w:val="1"/>
      <w:numFmt w:val="decimal"/>
      <w:lvlText w:val="%1."/>
      <w:lvlJc w:val="left"/>
      <w:pPr>
        <w:ind w:left="504" w:hanging="504"/>
      </w:pPr>
      <w:rPr>
        <w:rFonts w:hint="default"/>
        <w:color w:val="auto"/>
      </w:rPr>
    </w:lvl>
    <w:lvl w:ilvl="1">
      <w:start w:val="1"/>
      <w:numFmt w:val="lowerRoman"/>
      <w:lvlText w:val="%2."/>
      <w:lvlJc w:val="right"/>
      <w:pPr>
        <w:ind w:left="1440" w:hanging="360"/>
      </w:pPr>
      <w:rPr>
        <w:rFonts w:hint="default"/>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1" w15:restartNumberingAfterBreak="0">
    <w:nsid w:val="41134ACE"/>
    <w:multiLevelType w:val="hybridMultilevel"/>
    <w:tmpl w:val="E646C478"/>
    <w:lvl w:ilvl="0" w:tplc="D0107B9A">
      <w:start w:val="1"/>
      <w:numFmt w:val="lowerRoman"/>
      <w:lvlText w:val="(%1)"/>
      <w:lvlJc w:val="left"/>
      <w:pPr>
        <w:ind w:left="2421" w:hanging="72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49E92CEE"/>
    <w:multiLevelType w:val="hybridMultilevel"/>
    <w:tmpl w:val="EFC29C5E"/>
    <w:lvl w:ilvl="0" w:tplc="47969BE2">
      <w:start w:val="1"/>
      <w:numFmt w:val="lowerRoman"/>
      <w:lvlText w:val="(%1)"/>
      <w:lvlJc w:val="left"/>
      <w:pPr>
        <w:ind w:left="2421" w:hanging="72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59445F10"/>
    <w:multiLevelType w:val="multilevel"/>
    <w:tmpl w:val="67546FB4"/>
    <w:styleLink w:val="3CParagraphNumberingList"/>
    <w:lvl w:ilvl="0">
      <w:start w:val="1"/>
      <w:numFmt w:val="decimal"/>
      <w:lvlText w:val="%1."/>
      <w:lvlJc w:val="left"/>
      <w:pPr>
        <w:tabs>
          <w:tab w:val="num" w:pos="709"/>
        </w:tabs>
        <w:ind w:left="709" w:hanging="709"/>
      </w:pPr>
      <w:rPr>
        <w:rFonts w:hint="default"/>
      </w:rPr>
    </w:lvl>
    <w:lvl w:ilvl="1">
      <w:start w:val="1"/>
      <w:numFmt w:val="lowerRoman"/>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5D624C15"/>
    <w:multiLevelType w:val="hybridMultilevel"/>
    <w:tmpl w:val="573069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827010"/>
    <w:multiLevelType w:val="hybridMultilevel"/>
    <w:tmpl w:val="9F727CA0"/>
    <w:lvl w:ilvl="0" w:tplc="059461D4">
      <w:start w:val="1"/>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8046596">
    <w:abstractNumId w:val="9"/>
  </w:num>
  <w:num w:numId="2" w16cid:durableId="1894268057">
    <w:abstractNumId w:val="7"/>
  </w:num>
  <w:num w:numId="3" w16cid:durableId="664937846">
    <w:abstractNumId w:val="0"/>
  </w:num>
  <w:num w:numId="4" w16cid:durableId="1393769994">
    <w:abstractNumId w:val="15"/>
  </w:num>
  <w:num w:numId="5" w16cid:durableId="956837102">
    <w:abstractNumId w:val="16"/>
  </w:num>
  <w:num w:numId="6" w16cid:durableId="1723364492">
    <w:abstractNumId w:val="19"/>
  </w:num>
  <w:num w:numId="7" w16cid:durableId="294531830">
    <w:abstractNumId w:val="6"/>
  </w:num>
  <w:num w:numId="8" w16cid:durableId="1680886618">
    <w:abstractNumId w:val="2"/>
  </w:num>
  <w:num w:numId="9" w16cid:durableId="434204559">
    <w:abstractNumId w:val="18"/>
  </w:num>
  <w:num w:numId="10" w16cid:durableId="2136479921">
    <w:abstractNumId w:val="2"/>
  </w:num>
  <w:num w:numId="11" w16cid:durableId="653533577">
    <w:abstractNumId w:val="18"/>
  </w:num>
  <w:num w:numId="12" w16cid:durableId="1417097755">
    <w:abstractNumId w:val="5"/>
  </w:num>
  <w:num w:numId="13" w16cid:durableId="654534625">
    <w:abstractNumId w:val="13"/>
  </w:num>
  <w:num w:numId="14" w16cid:durableId="144394028">
    <w:abstractNumId w:val="4"/>
  </w:num>
  <w:num w:numId="15" w16cid:durableId="72510015">
    <w:abstractNumId w:val="12"/>
  </w:num>
  <w:num w:numId="16" w16cid:durableId="336346719">
    <w:abstractNumId w:val="11"/>
  </w:num>
  <w:num w:numId="17" w16cid:durableId="1404447605">
    <w:abstractNumId w:val="3"/>
  </w:num>
  <w:num w:numId="18" w16cid:durableId="1532835981">
    <w:abstractNumId w:val="14"/>
  </w:num>
  <w:num w:numId="19" w16cid:durableId="1414936565">
    <w:abstractNumId w:val="17"/>
  </w:num>
  <w:num w:numId="20" w16cid:durableId="379323423">
    <w:abstractNumId w:val="1"/>
  </w:num>
  <w:num w:numId="21" w16cid:durableId="736055414">
    <w:abstractNumId w:val="8"/>
  </w:num>
  <w:num w:numId="22" w16cid:durableId="1529754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84F12"/>
    <w:rsid w:val="00002DB9"/>
    <w:rsid w:val="00010744"/>
    <w:rsid w:val="000117CD"/>
    <w:rsid w:val="000203C9"/>
    <w:rsid w:val="00021C46"/>
    <w:rsid w:val="00046E92"/>
    <w:rsid w:val="00056214"/>
    <w:rsid w:val="000632D3"/>
    <w:rsid w:val="00063C90"/>
    <w:rsid w:val="00072607"/>
    <w:rsid w:val="000872EA"/>
    <w:rsid w:val="000A1AB9"/>
    <w:rsid w:val="000A1EC7"/>
    <w:rsid w:val="000B3870"/>
    <w:rsid w:val="000B5DEF"/>
    <w:rsid w:val="000C23F8"/>
    <w:rsid w:val="000D28A6"/>
    <w:rsid w:val="000D2AEE"/>
    <w:rsid w:val="000D57E3"/>
    <w:rsid w:val="000D7F02"/>
    <w:rsid w:val="000E4A06"/>
    <w:rsid w:val="000F69E9"/>
    <w:rsid w:val="00101B98"/>
    <w:rsid w:val="0011272B"/>
    <w:rsid w:val="00115303"/>
    <w:rsid w:val="00117BFA"/>
    <w:rsid w:val="0013648E"/>
    <w:rsid w:val="0014451B"/>
    <w:rsid w:val="0017184B"/>
    <w:rsid w:val="00171ED6"/>
    <w:rsid w:val="001837DA"/>
    <w:rsid w:val="00191F68"/>
    <w:rsid w:val="001A2DA1"/>
    <w:rsid w:val="001A4064"/>
    <w:rsid w:val="001B1EA6"/>
    <w:rsid w:val="001B5DEA"/>
    <w:rsid w:val="001B6D4F"/>
    <w:rsid w:val="001B6DBD"/>
    <w:rsid w:val="001B7DB2"/>
    <w:rsid w:val="001D0F90"/>
    <w:rsid w:val="001D474A"/>
    <w:rsid w:val="00227F79"/>
    <w:rsid w:val="00235014"/>
    <w:rsid w:val="00247E2C"/>
    <w:rsid w:val="00251841"/>
    <w:rsid w:val="00253D95"/>
    <w:rsid w:val="002569CF"/>
    <w:rsid w:val="00261A64"/>
    <w:rsid w:val="00262C5A"/>
    <w:rsid w:val="00266A90"/>
    <w:rsid w:val="00274B9B"/>
    <w:rsid w:val="00274F23"/>
    <w:rsid w:val="002759F8"/>
    <w:rsid w:val="0029242A"/>
    <w:rsid w:val="002970BD"/>
    <w:rsid w:val="002A32CB"/>
    <w:rsid w:val="002A6222"/>
    <w:rsid w:val="002B04DB"/>
    <w:rsid w:val="002B319E"/>
    <w:rsid w:val="002C7A6F"/>
    <w:rsid w:val="002D6C53"/>
    <w:rsid w:val="002F4BCE"/>
    <w:rsid w:val="002F5595"/>
    <w:rsid w:val="003010E6"/>
    <w:rsid w:val="003038C6"/>
    <w:rsid w:val="0030393A"/>
    <w:rsid w:val="0030689E"/>
    <w:rsid w:val="00327A05"/>
    <w:rsid w:val="00331A4A"/>
    <w:rsid w:val="00334F6A"/>
    <w:rsid w:val="00342AC8"/>
    <w:rsid w:val="00355AE0"/>
    <w:rsid w:val="003757B7"/>
    <w:rsid w:val="00386DBE"/>
    <w:rsid w:val="00396A18"/>
    <w:rsid w:val="003B4550"/>
    <w:rsid w:val="003F04EB"/>
    <w:rsid w:val="003F414B"/>
    <w:rsid w:val="0040017C"/>
    <w:rsid w:val="004038D8"/>
    <w:rsid w:val="00407D0D"/>
    <w:rsid w:val="00444E63"/>
    <w:rsid w:val="00461253"/>
    <w:rsid w:val="00485112"/>
    <w:rsid w:val="00486E21"/>
    <w:rsid w:val="004875C6"/>
    <w:rsid w:val="00496C0D"/>
    <w:rsid w:val="004A2814"/>
    <w:rsid w:val="004B0F86"/>
    <w:rsid w:val="004B5143"/>
    <w:rsid w:val="004C0622"/>
    <w:rsid w:val="004C0AC7"/>
    <w:rsid w:val="004D07AC"/>
    <w:rsid w:val="004D10F9"/>
    <w:rsid w:val="004F0D42"/>
    <w:rsid w:val="004F19E2"/>
    <w:rsid w:val="005042C2"/>
    <w:rsid w:val="00513954"/>
    <w:rsid w:val="00513DB3"/>
    <w:rsid w:val="00513EA2"/>
    <w:rsid w:val="00514AC5"/>
    <w:rsid w:val="00520C45"/>
    <w:rsid w:val="00520E84"/>
    <w:rsid w:val="00523A5C"/>
    <w:rsid w:val="005263EC"/>
    <w:rsid w:val="0052719D"/>
    <w:rsid w:val="005273C1"/>
    <w:rsid w:val="00531C63"/>
    <w:rsid w:val="005329FA"/>
    <w:rsid w:val="00546DE3"/>
    <w:rsid w:val="00561B84"/>
    <w:rsid w:val="00565458"/>
    <w:rsid w:val="005675A2"/>
    <w:rsid w:val="00572950"/>
    <w:rsid w:val="0058441D"/>
    <w:rsid w:val="005858DD"/>
    <w:rsid w:val="005946ED"/>
    <w:rsid w:val="0059660A"/>
    <w:rsid w:val="005A2CD5"/>
    <w:rsid w:val="005B1331"/>
    <w:rsid w:val="005B630E"/>
    <w:rsid w:val="005C4F37"/>
    <w:rsid w:val="005C56C6"/>
    <w:rsid w:val="005E002E"/>
    <w:rsid w:val="005E716E"/>
    <w:rsid w:val="005F0673"/>
    <w:rsid w:val="00605DAB"/>
    <w:rsid w:val="00611434"/>
    <w:rsid w:val="00621A89"/>
    <w:rsid w:val="00625661"/>
    <w:rsid w:val="006322E8"/>
    <w:rsid w:val="00635D36"/>
    <w:rsid w:val="00661076"/>
    <w:rsid w:val="00664BB8"/>
    <w:rsid w:val="00667094"/>
    <w:rsid w:val="00671529"/>
    <w:rsid w:val="00675BBA"/>
    <w:rsid w:val="00675C49"/>
    <w:rsid w:val="0068245D"/>
    <w:rsid w:val="00683867"/>
    <w:rsid w:val="0068490B"/>
    <w:rsid w:val="00690330"/>
    <w:rsid w:val="006B0A8E"/>
    <w:rsid w:val="006C22D1"/>
    <w:rsid w:val="006D1D29"/>
    <w:rsid w:val="006D4B84"/>
    <w:rsid w:val="006E5432"/>
    <w:rsid w:val="006F2D91"/>
    <w:rsid w:val="006F3AE3"/>
    <w:rsid w:val="006F6C2D"/>
    <w:rsid w:val="0070489D"/>
    <w:rsid w:val="007059DD"/>
    <w:rsid w:val="00716069"/>
    <w:rsid w:val="0072285C"/>
    <w:rsid w:val="00723D88"/>
    <w:rsid w:val="007268F9"/>
    <w:rsid w:val="00735146"/>
    <w:rsid w:val="00750F50"/>
    <w:rsid w:val="00755C07"/>
    <w:rsid w:val="007618BE"/>
    <w:rsid w:val="00765690"/>
    <w:rsid w:val="00766514"/>
    <w:rsid w:val="00766758"/>
    <w:rsid w:val="0076700D"/>
    <w:rsid w:val="007738FD"/>
    <w:rsid w:val="00773F99"/>
    <w:rsid w:val="007905D9"/>
    <w:rsid w:val="00797C0B"/>
    <w:rsid w:val="00797C14"/>
    <w:rsid w:val="007A587F"/>
    <w:rsid w:val="007C386C"/>
    <w:rsid w:val="007C52B0"/>
    <w:rsid w:val="007C7780"/>
    <w:rsid w:val="007F6408"/>
    <w:rsid w:val="0080603C"/>
    <w:rsid w:val="008363DE"/>
    <w:rsid w:val="00836FCC"/>
    <w:rsid w:val="008406BD"/>
    <w:rsid w:val="00861B4E"/>
    <w:rsid w:val="00882DAA"/>
    <w:rsid w:val="008867CB"/>
    <w:rsid w:val="00891212"/>
    <w:rsid w:val="008A44D5"/>
    <w:rsid w:val="008B2C68"/>
    <w:rsid w:val="008C7F87"/>
    <w:rsid w:val="008F3E58"/>
    <w:rsid w:val="008F49FC"/>
    <w:rsid w:val="008F69FF"/>
    <w:rsid w:val="00904486"/>
    <w:rsid w:val="00911AE5"/>
    <w:rsid w:val="0093763B"/>
    <w:rsid w:val="009411B4"/>
    <w:rsid w:val="00941ACC"/>
    <w:rsid w:val="0094209A"/>
    <w:rsid w:val="009430E3"/>
    <w:rsid w:val="0096081D"/>
    <w:rsid w:val="00962A56"/>
    <w:rsid w:val="00974766"/>
    <w:rsid w:val="0098751D"/>
    <w:rsid w:val="009A0520"/>
    <w:rsid w:val="009A3715"/>
    <w:rsid w:val="009A7268"/>
    <w:rsid w:val="009B28EE"/>
    <w:rsid w:val="009B3472"/>
    <w:rsid w:val="009B42E1"/>
    <w:rsid w:val="009D0139"/>
    <w:rsid w:val="009D472A"/>
    <w:rsid w:val="009D717D"/>
    <w:rsid w:val="009E0752"/>
    <w:rsid w:val="009E7260"/>
    <w:rsid w:val="009F5CDC"/>
    <w:rsid w:val="009F602A"/>
    <w:rsid w:val="009F7723"/>
    <w:rsid w:val="009F78A8"/>
    <w:rsid w:val="00A16450"/>
    <w:rsid w:val="00A23505"/>
    <w:rsid w:val="00A301D5"/>
    <w:rsid w:val="00A34044"/>
    <w:rsid w:val="00A45D3D"/>
    <w:rsid w:val="00A54D2E"/>
    <w:rsid w:val="00A61A88"/>
    <w:rsid w:val="00A63DF3"/>
    <w:rsid w:val="00A71A4C"/>
    <w:rsid w:val="00A775CF"/>
    <w:rsid w:val="00A9773F"/>
    <w:rsid w:val="00A97A27"/>
    <w:rsid w:val="00AA1093"/>
    <w:rsid w:val="00AB2DC5"/>
    <w:rsid w:val="00AC5007"/>
    <w:rsid w:val="00AC5B00"/>
    <w:rsid w:val="00AE2CCF"/>
    <w:rsid w:val="00AE6084"/>
    <w:rsid w:val="00AE6591"/>
    <w:rsid w:val="00AF0CA1"/>
    <w:rsid w:val="00B06045"/>
    <w:rsid w:val="00B06BC1"/>
    <w:rsid w:val="00B102FB"/>
    <w:rsid w:val="00B13068"/>
    <w:rsid w:val="00B17945"/>
    <w:rsid w:val="00B3423A"/>
    <w:rsid w:val="00B377E1"/>
    <w:rsid w:val="00B52231"/>
    <w:rsid w:val="00B52EF4"/>
    <w:rsid w:val="00B55D64"/>
    <w:rsid w:val="00B7480F"/>
    <w:rsid w:val="00B86ACD"/>
    <w:rsid w:val="00BB184F"/>
    <w:rsid w:val="00BC1122"/>
    <w:rsid w:val="00BC198E"/>
    <w:rsid w:val="00C03015"/>
    <w:rsid w:val="00C0358D"/>
    <w:rsid w:val="00C23ED8"/>
    <w:rsid w:val="00C35A27"/>
    <w:rsid w:val="00C374A6"/>
    <w:rsid w:val="00C47B2E"/>
    <w:rsid w:val="00C5051A"/>
    <w:rsid w:val="00C6520F"/>
    <w:rsid w:val="00C81FB8"/>
    <w:rsid w:val="00C82EE2"/>
    <w:rsid w:val="00C9698A"/>
    <w:rsid w:val="00CA1B04"/>
    <w:rsid w:val="00CA51A4"/>
    <w:rsid w:val="00CB7BEC"/>
    <w:rsid w:val="00CD1D0C"/>
    <w:rsid w:val="00CD4EB2"/>
    <w:rsid w:val="00CD5931"/>
    <w:rsid w:val="00CD7CA7"/>
    <w:rsid w:val="00CF011C"/>
    <w:rsid w:val="00D01B61"/>
    <w:rsid w:val="00D100BA"/>
    <w:rsid w:val="00D10596"/>
    <w:rsid w:val="00D164FF"/>
    <w:rsid w:val="00D23A45"/>
    <w:rsid w:val="00D24B03"/>
    <w:rsid w:val="00D25C93"/>
    <w:rsid w:val="00D26308"/>
    <w:rsid w:val="00D2735B"/>
    <w:rsid w:val="00D46E33"/>
    <w:rsid w:val="00D478A0"/>
    <w:rsid w:val="00D56EC1"/>
    <w:rsid w:val="00D62E02"/>
    <w:rsid w:val="00D759D2"/>
    <w:rsid w:val="00DB4A54"/>
    <w:rsid w:val="00DB57FC"/>
    <w:rsid w:val="00DC073D"/>
    <w:rsid w:val="00DC4D77"/>
    <w:rsid w:val="00DC4DD6"/>
    <w:rsid w:val="00DC700C"/>
    <w:rsid w:val="00DC77AB"/>
    <w:rsid w:val="00DF4D56"/>
    <w:rsid w:val="00DF7B6F"/>
    <w:rsid w:val="00E02C2B"/>
    <w:rsid w:val="00E15181"/>
    <w:rsid w:val="00E27DCC"/>
    <w:rsid w:val="00E31C22"/>
    <w:rsid w:val="00E32B95"/>
    <w:rsid w:val="00E41831"/>
    <w:rsid w:val="00E427A5"/>
    <w:rsid w:val="00E5205C"/>
    <w:rsid w:val="00E52109"/>
    <w:rsid w:val="00E74E3C"/>
    <w:rsid w:val="00E75317"/>
    <w:rsid w:val="00E763B9"/>
    <w:rsid w:val="00E84F12"/>
    <w:rsid w:val="00E96E66"/>
    <w:rsid w:val="00EA28BB"/>
    <w:rsid w:val="00EA3322"/>
    <w:rsid w:val="00EA3FE0"/>
    <w:rsid w:val="00EA4CED"/>
    <w:rsid w:val="00EA71DB"/>
    <w:rsid w:val="00EB336B"/>
    <w:rsid w:val="00EB666E"/>
    <w:rsid w:val="00EC1D35"/>
    <w:rsid w:val="00EC2011"/>
    <w:rsid w:val="00ED6C48"/>
    <w:rsid w:val="00EF573C"/>
    <w:rsid w:val="00EF70E0"/>
    <w:rsid w:val="00F04000"/>
    <w:rsid w:val="00F07B0F"/>
    <w:rsid w:val="00F244EC"/>
    <w:rsid w:val="00F24DC6"/>
    <w:rsid w:val="00F65F5D"/>
    <w:rsid w:val="00F86A3A"/>
    <w:rsid w:val="00F874FB"/>
    <w:rsid w:val="00F911C6"/>
    <w:rsid w:val="00FA5852"/>
    <w:rsid w:val="00FA5EC4"/>
    <w:rsid w:val="00FB4F61"/>
    <w:rsid w:val="00FC3484"/>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6BB2"/>
  <w15:docId w15:val="{53805C47-C819-405D-82A5-B099E41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uiPriority w:val="9"/>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Footnote number,Appel note de bas de page,a Footnote Reference,FZ,Footnote Reference Superscript,fr,o,Style 6,Nota,(NECG) Footnote Reference,Footnote symbol,Voetnootverwijzing,Footnote reference number,Times 10 Point"/>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5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D1D0C"/>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CD1D0C"/>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CD1D0C"/>
    <w:rPr>
      <w:color w:val="605E5C"/>
      <w:shd w:val="clear" w:color="auto" w:fill="E1DFDD"/>
    </w:rPr>
  </w:style>
  <w:style w:type="character" w:customStyle="1" w:styleId="UnresolvedMention2">
    <w:name w:val="Unresolved Mention2"/>
    <w:basedOn w:val="DefaultParagraphFont"/>
    <w:uiPriority w:val="99"/>
    <w:semiHidden/>
    <w:unhideWhenUsed/>
    <w:rsid w:val="00CD1D0C"/>
    <w:rPr>
      <w:color w:val="605E5C"/>
      <w:shd w:val="clear" w:color="auto" w:fill="E1DFDD"/>
    </w:rPr>
  </w:style>
  <w:style w:type="paragraph" w:styleId="Revision">
    <w:name w:val="Revision"/>
    <w:hidden/>
    <w:uiPriority w:val="99"/>
    <w:semiHidden/>
    <w:rsid w:val="00CD1D0C"/>
    <w:pPr>
      <w:spacing w:after="0" w:line="240" w:lineRule="auto"/>
    </w:pPr>
    <w:rPr>
      <w:rFonts w:ascii="Times New Roman" w:eastAsiaTheme="minorHAnsi" w:hAnsi="Times New Roman" w:cs="Times New Roman"/>
      <w:sz w:val="20"/>
      <w:szCs w:val="20"/>
      <w:lang w:eastAsia="en-US"/>
    </w:rPr>
  </w:style>
  <w:style w:type="character" w:customStyle="1" w:styleId="1">
    <w:name w:val="Неразрешенное упоминание1"/>
    <w:basedOn w:val="DefaultParagraphFont"/>
    <w:uiPriority w:val="99"/>
    <w:semiHidden/>
    <w:unhideWhenUsed/>
    <w:rsid w:val="00CD1D0C"/>
    <w:rPr>
      <w:color w:val="605E5C"/>
      <w:shd w:val="clear" w:color="auto" w:fill="E1DFDD"/>
    </w:rPr>
  </w:style>
  <w:style w:type="paragraph" w:styleId="CommentText">
    <w:name w:val="annotation text"/>
    <w:basedOn w:val="Normal"/>
    <w:link w:val="CommentTextChar"/>
    <w:uiPriority w:val="99"/>
    <w:unhideWhenUsed/>
    <w:rsid w:val="00CD1D0C"/>
    <w:pPr>
      <w:spacing w:line="240" w:lineRule="auto"/>
    </w:pPr>
  </w:style>
  <w:style w:type="character" w:customStyle="1" w:styleId="CommentTextChar">
    <w:name w:val="Comment Text Char"/>
    <w:basedOn w:val="DefaultParagraphFont"/>
    <w:link w:val="CommentText"/>
    <w:uiPriority w:val="99"/>
    <w:rsid w:val="00CD1D0C"/>
    <w:rPr>
      <w:rFonts w:ascii="Times New Roman" w:eastAsiaTheme="minorHAnsi" w:hAnsi="Times New Roman" w:cs="Times New Roman"/>
      <w:sz w:val="20"/>
      <w:szCs w:val="20"/>
      <w:lang w:eastAsia="en-US"/>
    </w:rPr>
  </w:style>
  <w:style w:type="paragraph" w:styleId="CommentSubject">
    <w:name w:val="annotation subject"/>
    <w:basedOn w:val="Normal"/>
    <w:next w:val="Normal"/>
    <w:link w:val="CommentSubjectChar"/>
    <w:uiPriority w:val="99"/>
    <w:unhideWhenUsed/>
    <w:rsid w:val="00CD1D0C"/>
    <w:pPr>
      <w:suppressAutoHyphens w:val="0"/>
      <w:kinsoku/>
      <w:overflowPunct/>
      <w:autoSpaceDE/>
      <w:autoSpaceDN/>
      <w:adjustRightInd/>
      <w:snapToGrid/>
      <w:spacing w:after="160" w:line="240" w:lineRule="auto"/>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rsid w:val="00CD1D0C"/>
    <w:rPr>
      <w:rFonts w:ascii="Times New Roman" w:eastAsiaTheme="minorHAnsi" w:hAnsi="Times New Roman" w:cs="Times New Roman"/>
      <w:b/>
      <w:bCs/>
      <w:sz w:val="20"/>
      <w:szCs w:val="20"/>
      <w:lang w:val="en-US" w:eastAsia="en-US"/>
    </w:rPr>
  </w:style>
  <w:style w:type="character" w:customStyle="1" w:styleId="10">
    <w:name w:val="확인되지 않은 멘션1"/>
    <w:basedOn w:val="DefaultParagraphFont"/>
    <w:uiPriority w:val="99"/>
    <w:semiHidden/>
    <w:unhideWhenUsed/>
    <w:rsid w:val="00CD1D0C"/>
    <w:rPr>
      <w:color w:val="605E5C"/>
      <w:shd w:val="clear" w:color="auto" w:fill="E1DFDD"/>
    </w:rPr>
  </w:style>
  <w:style w:type="character" w:customStyle="1" w:styleId="MenoPendente1">
    <w:name w:val="Menção Pendente1"/>
    <w:basedOn w:val="DefaultParagraphFont"/>
    <w:uiPriority w:val="99"/>
    <w:semiHidden/>
    <w:unhideWhenUsed/>
    <w:rsid w:val="00CD1D0C"/>
    <w:rPr>
      <w:color w:val="605E5C"/>
      <w:shd w:val="clear" w:color="auto" w:fill="E1DFDD"/>
    </w:rPr>
  </w:style>
  <w:style w:type="character" w:customStyle="1" w:styleId="2">
    <w:name w:val="확인되지 않은 멘션2"/>
    <w:basedOn w:val="DefaultParagraphFont"/>
    <w:uiPriority w:val="99"/>
    <w:semiHidden/>
    <w:unhideWhenUsed/>
    <w:rsid w:val="00CD1D0C"/>
    <w:rPr>
      <w:color w:val="605E5C"/>
      <w:shd w:val="clear" w:color="auto" w:fill="E1DFDD"/>
    </w:rPr>
  </w:style>
  <w:style w:type="numbering" w:customStyle="1" w:styleId="3CParagraphNumberingList">
    <w:name w:val="3C Paragraph Numbering List"/>
    <w:uiPriority w:val="99"/>
    <w:rsid w:val="00CD1D0C"/>
    <w:pPr>
      <w:numPr>
        <w:numId w:val="13"/>
      </w:numPr>
    </w:pPr>
  </w:style>
  <w:style w:type="paragraph" w:customStyle="1" w:styleId="Header1">
    <w:name w:val="Header 1"/>
    <w:basedOn w:val="HChG"/>
    <w:qFormat/>
    <w:rsid w:val="00CD1D0C"/>
    <w:pPr>
      <w:tabs>
        <w:tab w:val="clear" w:pos="851"/>
      </w:tabs>
      <w:suppressAutoHyphens w:val="0"/>
      <w:kinsoku/>
      <w:overflowPunct/>
      <w:autoSpaceDE/>
      <w:autoSpaceDN/>
      <w:adjustRightInd/>
      <w:snapToGrid/>
      <w:ind w:left="720" w:right="1138" w:hanging="360"/>
      <w:outlineLvl w:val="0"/>
    </w:pPr>
    <w:rPr>
      <w:rFonts w:eastAsia="SimSun"/>
      <w:lang w:eastAsia="zh-CN"/>
    </w:rPr>
  </w:style>
  <w:style w:type="paragraph" w:customStyle="1" w:styleId="NumberedParas">
    <w:name w:val="Numbered Paras"/>
    <w:basedOn w:val="SingleTxtG"/>
    <w:qFormat/>
    <w:rsid w:val="00CD1D0C"/>
    <w:pPr>
      <w:suppressAutoHyphens w:val="0"/>
      <w:kinsoku/>
      <w:overflowPunct/>
      <w:autoSpaceDE/>
      <w:autoSpaceDN/>
      <w:adjustRightInd/>
      <w:snapToGrid/>
      <w:ind w:left="1854" w:right="1138" w:hanging="360"/>
    </w:pPr>
    <w:rPr>
      <w:rFonts w:eastAsia="SimSun"/>
      <w:lang w:eastAsia="zh-CN"/>
    </w:rPr>
  </w:style>
  <w:style w:type="character" w:customStyle="1" w:styleId="UnresolvedMention3">
    <w:name w:val="Unresolved Mention3"/>
    <w:basedOn w:val="DefaultParagraphFont"/>
    <w:uiPriority w:val="99"/>
    <w:semiHidden/>
    <w:unhideWhenUsed/>
    <w:rsid w:val="00CD1D0C"/>
    <w:rPr>
      <w:color w:val="605E5C"/>
      <w:shd w:val="clear" w:color="auto" w:fill="E1DFDD"/>
    </w:rPr>
  </w:style>
  <w:style w:type="character" w:styleId="CommentReference">
    <w:name w:val="annotation reference"/>
    <w:basedOn w:val="DefaultParagraphFont"/>
    <w:uiPriority w:val="99"/>
    <w:unhideWhenUsed/>
    <w:rsid w:val="00755C07"/>
    <w:rPr>
      <w:sz w:val="16"/>
      <w:szCs w:val="16"/>
    </w:rPr>
  </w:style>
  <w:style w:type="character" w:customStyle="1" w:styleId="UnresolvedMention4">
    <w:name w:val="Unresolved Mention4"/>
    <w:basedOn w:val="DefaultParagraphFont"/>
    <w:uiPriority w:val="99"/>
    <w:semiHidden/>
    <w:unhideWhenUsed/>
    <w:rsid w:val="0014451B"/>
    <w:rPr>
      <w:color w:val="605E5C"/>
      <w:shd w:val="clear" w:color="auto" w:fill="E1DFDD"/>
    </w:rPr>
  </w:style>
  <w:style w:type="paragraph" w:styleId="TOC2">
    <w:name w:val="toc 2"/>
    <w:basedOn w:val="Normal"/>
    <w:next w:val="Normal"/>
    <w:autoRedefine/>
    <w:uiPriority w:val="39"/>
    <w:unhideWhenUsed/>
    <w:rsid w:val="00520C45"/>
    <w:pPr>
      <w:spacing w:after="100"/>
      <w:ind w:left="200"/>
    </w:pPr>
  </w:style>
  <w:style w:type="paragraph" w:styleId="TOC3">
    <w:name w:val="toc 3"/>
    <w:basedOn w:val="Normal"/>
    <w:next w:val="Normal"/>
    <w:autoRedefine/>
    <w:uiPriority w:val="39"/>
    <w:unhideWhenUsed/>
    <w:rsid w:val="00520C45"/>
    <w:pPr>
      <w:spacing w:after="100"/>
      <w:ind w:left="400"/>
    </w:pPr>
  </w:style>
  <w:style w:type="character" w:customStyle="1" w:styleId="hps">
    <w:name w:val="hps"/>
    <w:rsid w:val="00D2735B"/>
  </w:style>
  <w:style w:type="paragraph" w:customStyle="1" w:styleId="ColorfulList-Accent11">
    <w:name w:val="Colorful List - Accent 11"/>
    <w:basedOn w:val="Normal"/>
    <w:uiPriority w:val="34"/>
    <w:qFormat/>
    <w:rsid w:val="00D2735B"/>
    <w:pPr>
      <w:suppressAutoHyphens w:val="0"/>
      <w:kinsoku/>
      <w:overflowPunct/>
      <w:autoSpaceDE/>
      <w:autoSpaceDN/>
      <w:adjustRightInd/>
      <w:snapToGrid/>
      <w:spacing w:line="240" w:lineRule="auto"/>
      <w:ind w:left="720"/>
      <w:contextualSpacing/>
    </w:pPr>
    <w:rPr>
      <w:rFonts w:ascii="Cambria" w:eastAsia="Cambria" w:hAnsi="Cambria"/>
      <w:sz w:val="24"/>
      <w:szCs w:val="24"/>
      <w:lang w:val="en-US"/>
    </w:rPr>
  </w:style>
  <w:style w:type="paragraph" w:customStyle="1" w:styleId="Default">
    <w:name w:val="Default"/>
    <w:rsid w:val="00D2735B"/>
    <w:pPr>
      <w:autoSpaceDE w:val="0"/>
      <w:autoSpaceDN w:val="0"/>
      <w:adjustRightInd w:val="0"/>
      <w:spacing w:after="0" w:line="240" w:lineRule="auto"/>
    </w:pPr>
    <w:rPr>
      <w:rFonts w:ascii="MrsEavesRoman" w:eastAsiaTheme="minorEastAsia" w:hAnsi="MrsEavesRoman" w:cs="MrsEavesRoman"/>
      <w:color w:val="000000"/>
      <w:sz w:val="24"/>
      <w:szCs w:val="24"/>
      <w:lang w:eastAsia="en-GB"/>
    </w:rPr>
  </w:style>
  <w:style w:type="paragraph" w:styleId="Caption">
    <w:name w:val="caption"/>
    <w:basedOn w:val="Normal"/>
    <w:next w:val="Normal"/>
    <w:uiPriority w:val="35"/>
    <w:qFormat/>
    <w:rsid w:val="00D2735B"/>
    <w:pPr>
      <w:suppressAutoHyphens w:val="0"/>
      <w:kinsoku/>
      <w:overflowPunct/>
      <w:autoSpaceDE/>
      <w:autoSpaceDN/>
      <w:adjustRightInd/>
      <w:snapToGrid/>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D2735B"/>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D2735B"/>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styleId="Strong">
    <w:name w:val="Strong"/>
    <w:uiPriority w:val="22"/>
    <w:qFormat/>
    <w:rsid w:val="00D2735B"/>
    <w:rPr>
      <w:b/>
      <w:bCs/>
    </w:rPr>
  </w:style>
  <w:style w:type="paragraph" w:customStyle="1" w:styleId="NoSpacing1">
    <w:name w:val="No Spacing1"/>
    <w:rsid w:val="00D2735B"/>
    <w:rPr>
      <w:rFonts w:ascii="Calibri" w:eastAsia="Calibri" w:hAnsi="Calibri" w:cs="Times New Roman"/>
      <w:lang w:val="en-US" w:eastAsia="en-US"/>
    </w:rPr>
  </w:style>
  <w:style w:type="paragraph" w:customStyle="1" w:styleId="Heading1-Roman">
    <w:name w:val="Heading 1- Roman"/>
    <w:basedOn w:val="Normal"/>
    <w:link w:val="Heading1-RomanChar"/>
    <w:qFormat/>
    <w:rsid w:val="00D2735B"/>
    <w:pPr>
      <w:keepNext/>
      <w:keepLines/>
      <w:numPr>
        <w:numId w:val="20"/>
      </w:numPr>
      <w:tabs>
        <w:tab w:val="right" w:pos="851"/>
      </w:tabs>
      <w:kinsoku/>
      <w:overflowPunct/>
      <w:autoSpaceDE/>
      <w:autoSpaceDN/>
      <w:adjustRightInd/>
      <w:snapToGrid/>
      <w:spacing w:before="360" w:after="240" w:line="300" w:lineRule="exact"/>
      <w:ind w:right="1134"/>
    </w:pPr>
    <w:rPr>
      <w:rFonts w:eastAsiaTheme="minorEastAsia"/>
      <w:b/>
      <w:sz w:val="28"/>
    </w:rPr>
  </w:style>
  <w:style w:type="paragraph" w:customStyle="1" w:styleId="Heading2-Letter">
    <w:name w:val="Heading 2 - Letter"/>
    <w:basedOn w:val="ListParagraph"/>
    <w:link w:val="Heading2-LetterChar"/>
    <w:qFormat/>
    <w:rsid w:val="00D2735B"/>
    <w:pPr>
      <w:keepNext/>
      <w:keepLines/>
      <w:numPr>
        <w:numId w:val="21"/>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D2735B"/>
    <w:rPr>
      <w:rFonts w:ascii="Times New Roman" w:eastAsiaTheme="minorEastAsia" w:hAnsi="Times New Roman" w:cs="Times New Roman"/>
      <w:b/>
      <w:sz w:val="28"/>
      <w:szCs w:val="20"/>
      <w:lang w:eastAsia="en-US"/>
    </w:rPr>
  </w:style>
  <w:style w:type="paragraph" w:customStyle="1" w:styleId="COIpara">
    <w:name w:val="COI para"/>
    <w:basedOn w:val="ListParagraph"/>
    <w:link w:val="COIparaChar"/>
    <w:qFormat/>
    <w:rsid w:val="00D2735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D2735B"/>
    <w:rPr>
      <w:rFonts w:ascii="Calibri" w:eastAsia="Calibri" w:hAnsi="Calibri" w:cs="Arial"/>
      <w:lang w:val="en-AU" w:eastAsia="en-US"/>
    </w:rPr>
  </w:style>
  <w:style w:type="character" w:customStyle="1" w:styleId="Heading2-LetterChar">
    <w:name w:val="Heading 2 - Letter Char"/>
    <w:link w:val="Heading2-Letter"/>
    <w:rsid w:val="00D2735B"/>
    <w:rPr>
      <w:rFonts w:ascii="Times New Roman" w:eastAsia="Times New Roman" w:hAnsi="Times New Roman" w:cs="Times New Roman"/>
      <w:b/>
      <w:sz w:val="24"/>
      <w:szCs w:val="20"/>
      <w:lang w:eastAsia="en-US"/>
    </w:rPr>
  </w:style>
  <w:style w:type="paragraph" w:customStyle="1" w:styleId="Recs">
    <w:name w:val="Recs"/>
    <w:basedOn w:val="COIpara"/>
    <w:link w:val="RecsChar"/>
    <w:qFormat/>
    <w:rsid w:val="00D2735B"/>
    <w:rPr>
      <w:b/>
    </w:rPr>
  </w:style>
  <w:style w:type="character" w:customStyle="1" w:styleId="COIparaChar">
    <w:name w:val="COI para Char"/>
    <w:link w:val="COIpara"/>
    <w:rsid w:val="00D2735B"/>
    <w:rPr>
      <w:rFonts w:ascii="Times New Roman" w:eastAsia="Times New Roman" w:hAnsi="Times New Roman" w:cs="Times New Roman"/>
      <w:color w:val="000000"/>
      <w:sz w:val="20"/>
      <w:szCs w:val="20"/>
      <w:lang w:eastAsia="en-US"/>
    </w:rPr>
  </w:style>
  <w:style w:type="character" w:customStyle="1" w:styleId="RecsChar">
    <w:name w:val="Recs Char"/>
    <w:link w:val="Recs"/>
    <w:rsid w:val="00D2735B"/>
    <w:rPr>
      <w:rFonts w:ascii="Times New Roman" w:eastAsia="Times New Roman" w:hAnsi="Times New Roman" w:cs="Times New Roman"/>
      <w:b/>
      <w:color w:val="000000"/>
      <w:sz w:val="20"/>
      <w:szCs w:val="20"/>
      <w:lang w:eastAsia="en-US"/>
    </w:rPr>
  </w:style>
  <w:style w:type="paragraph" w:styleId="BodyText">
    <w:name w:val="Body Text"/>
    <w:basedOn w:val="Normal"/>
    <w:link w:val="BodyTextChar"/>
    <w:uiPriority w:val="99"/>
    <w:unhideWhenUsed/>
    <w:rsid w:val="00D2735B"/>
    <w:pPr>
      <w:tabs>
        <w:tab w:val="left" w:pos="567"/>
        <w:tab w:val="right" w:leader="dot" w:pos="9016"/>
      </w:tabs>
      <w:suppressAutoHyphens w:val="0"/>
      <w:kinsoku/>
      <w:overflowPunct/>
      <w:autoSpaceDE/>
      <w:autoSpaceDN/>
      <w:adjustRightInd/>
      <w:snapToGrid/>
      <w:spacing w:line="240" w:lineRule="auto"/>
      <w:jc w:val="both"/>
    </w:pPr>
    <w:rPr>
      <w:rFonts w:eastAsiaTheme="minorEastAsia"/>
      <w:color w:val="FF0000"/>
      <w:sz w:val="22"/>
      <w:szCs w:val="22"/>
      <w:lang w:eastAsia="en-GB"/>
    </w:rPr>
  </w:style>
  <w:style w:type="character" w:customStyle="1" w:styleId="BodyTextChar">
    <w:name w:val="Body Text Char"/>
    <w:basedOn w:val="DefaultParagraphFont"/>
    <w:link w:val="BodyText"/>
    <w:uiPriority w:val="99"/>
    <w:rsid w:val="00D2735B"/>
    <w:rPr>
      <w:rFonts w:ascii="Times New Roman" w:eastAsiaTheme="minorEastAsia" w:hAnsi="Times New Roman" w:cs="Times New Roman"/>
      <w:color w:val="FF0000"/>
      <w:lang w:eastAsia="en-GB"/>
    </w:rPr>
  </w:style>
  <w:style w:type="paragraph" w:customStyle="1" w:styleId="SingleTxtG-Withnumbering">
    <w:name w:val="_ Single Txt_G - With numbering"/>
    <w:basedOn w:val="SingleTxtG"/>
    <w:qFormat/>
    <w:rsid w:val="00D2735B"/>
    <w:pPr>
      <w:numPr>
        <w:numId w:val="22"/>
      </w:numPr>
      <w:tabs>
        <w:tab w:val="clear" w:pos="1701"/>
        <w:tab w:val="clear" w:pos="2268"/>
      </w:tabs>
      <w:kinsoku/>
      <w:overflowPunct/>
      <w:autoSpaceDE/>
      <w:autoSpaceDN/>
      <w:adjustRightInd/>
      <w:snapToGrid/>
    </w:pPr>
    <w:rPr>
      <w:rFonts w:eastAsiaTheme="minorEastAsia"/>
      <w:lang w:val="x-none"/>
    </w:rPr>
  </w:style>
  <w:style w:type="character" w:customStyle="1" w:styleId="normal1">
    <w:name w:val="normal1"/>
    <w:rsid w:val="00D2735B"/>
    <w:rPr>
      <w:vanish w:val="0"/>
      <w:webHidden w:val="0"/>
      <w:color w:val="484848"/>
      <w:spacing w:val="3"/>
      <w:sz w:val="19"/>
      <w:szCs w:val="19"/>
      <w:specVanish w:val="0"/>
    </w:rPr>
  </w:style>
  <w:style w:type="paragraph" w:customStyle="1" w:styleId="a">
    <w:name w:val="Обычный"/>
    <w:rsid w:val="00D2735B"/>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US"/>
    </w:rPr>
  </w:style>
  <w:style w:type="character" w:customStyle="1" w:styleId="apple-converted-space">
    <w:name w:val="apple-converted-space"/>
    <w:basedOn w:val="DefaultParagraphFont"/>
    <w:rsid w:val="00D2735B"/>
  </w:style>
  <w:style w:type="character" w:customStyle="1" w:styleId="intro1">
    <w:name w:val="intro1"/>
    <w:rsid w:val="00D2735B"/>
    <w:rPr>
      <w:i/>
      <w:iCs/>
      <w:vanish w:val="0"/>
      <w:webHidden w:val="0"/>
      <w:color w:val="484848"/>
      <w:spacing w:val="3"/>
      <w:sz w:val="19"/>
      <w:szCs w:val="19"/>
      <w:specVanish w:val="0"/>
    </w:rPr>
  </w:style>
  <w:style w:type="character" w:styleId="Emphasis">
    <w:name w:val="Emphasis"/>
    <w:uiPriority w:val="20"/>
    <w:qFormat/>
    <w:rsid w:val="00D2735B"/>
    <w:rPr>
      <w:i/>
      <w:iCs/>
    </w:rPr>
  </w:style>
  <w:style w:type="character" w:customStyle="1" w:styleId="mw-cite-backlink">
    <w:name w:val="mw-cite-backlink"/>
    <w:rsid w:val="00D2735B"/>
  </w:style>
  <w:style w:type="character" w:styleId="HTMLCite">
    <w:name w:val="HTML Cite"/>
    <w:uiPriority w:val="99"/>
    <w:unhideWhenUsed/>
    <w:rsid w:val="00D2735B"/>
    <w:rPr>
      <w:i/>
      <w:iCs/>
    </w:rPr>
  </w:style>
  <w:style w:type="character" w:customStyle="1" w:styleId="reference-accessdate">
    <w:name w:val="reference-accessdate"/>
    <w:rsid w:val="00D2735B"/>
  </w:style>
  <w:style w:type="character" w:customStyle="1" w:styleId="nowrap1">
    <w:name w:val="nowrap1"/>
    <w:rsid w:val="00D2735B"/>
  </w:style>
  <w:style w:type="paragraph" w:customStyle="1" w:styleId="singletxtg-withnumbering0">
    <w:name w:val="singletxtg-withnumbering"/>
    <w:basedOn w:val="Normal"/>
    <w:rsid w:val="00D2735B"/>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BalloonTextChar1">
    <w:name w:val="Balloon Text Char1"/>
    <w:uiPriority w:val="99"/>
    <w:rsid w:val="00D2735B"/>
    <w:rPr>
      <w:rFonts w:ascii="Tahoma" w:eastAsia="Times New Roman" w:hAnsi="Tahoma" w:cs="Times New Roman"/>
      <w:sz w:val="16"/>
      <w:szCs w:val="16"/>
    </w:rPr>
  </w:style>
  <w:style w:type="character" w:customStyle="1" w:styleId="shorttext">
    <w:name w:val="short_text"/>
    <w:basedOn w:val="DefaultParagraphFont"/>
    <w:rsid w:val="00D2735B"/>
  </w:style>
  <w:style w:type="character" w:customStyle="1" w:styleId="A2">
    <w:name w:val="A2"/>
    <w:uiPriority w:val="99"/>
    <w:rsid w:val="00D2735B"/>
    <w:rPr>
      <w:rFonts w:cs="Bariol Regular"/>
      <w:color w:val="000000"/>
      <w:sz w:val="22"/>
      <w:szCs w:val="22"/>
    </w:rPr>
  </w:style>
  <w:style w:type="character" w:customStyle="1" w:styleId="lblsmallmessage">
    <w:name w:val="lblsmallmessage"/>
    <w:basedOn w:val="DefaultParagraphFont"/>
    <w:rsid w:val="00D2735B"/>
  </w:style>
  <w:style w:type="character" w:customStyle="1" w:styleId="domino-highlight-yellow">
    <w:name w:val="domino-highlight-yellow"/>
    <w:basedOn w:val="DefaultParagraphFont"/>
    <w:rsid w:val="00D2735B"/>
  </w:style>
  <w:style w:type="character" w:customStyle="1" w:styleId="il">
    <w:name w:val="il"/>
    <w:basedOn w:val="DefaultParagraphFont"/>
    <w:rsid w:val="00D2735B"/>
  </w:style>
  <w:style w:type="paragraph" w:customStyle="1" w:styleId="s32b251d">
    <w:name w:val="s32b251d"/>
    <w:basedOn w:val="Normal"/>
    <w:rsid w:val="00D2735B"/>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s6b621b36">
    <w:name w:val="s6b621b36"/>
    <w:basedOn w:val="DefaultParagraphFont"/>
    <w:rsid w:val="00D2735B"/>
  </w:style>
  <w:style w:type="character" w:customStyle="1" w:styleId="sb8d990e2">
    <w:name w:val="sb8d990e2"/>
    <w:basedOn w:val="DefaultParagraphFont"/>
    <w:rsid w:val="00D2735B"/>
  </w:style>
  <w:style w:type="paragraph" w:styleId="DocumentMap">
    <w:name w:val="Document Map"/>
    <w:basedOn w:val="Normal"/>
    <w:link w:val="DocumentMapChar"/>
    <w:uiPriority w:val="99"/>
    <w:unhideWhenUsed/>
    <w:rsid w:val="00D2735B"/>
    <w:pPr>
      <w:suppressAutoHyphens w:val="0"/>
      <w:kinsoku/>
      <w:overflowPunct/>
      <w:autoSpaceDE/>
      <w:autoSpaceDN/>
      <w:adjustRightInd/>
      <w:snapToGrid/>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D2735B"/>
    <w:rPr>
      <w:rFonts w:ascii="Gulim" w:eastAsia="Gulim"/>
      <w:sz w:val="18"/>
      <w:szCs w:val="18"/>
      <w:lang w:val="en-US" w:eastAsia="en-US"/>
    </w:rPr>
  </w:style>
  <w:style w:type="paragraph" w:styleId="Subtitle">
    <w:name w:val="Subtitle"/>
    <w:basedOn w:val="Normal"/>
    <w:next w:val="Normal"/>
    <w:link w:val="SubtitleChar"/>
    <w:uiPriority w:val="11"/>
    <w:qFormat/>
    <w:rsid w:val="00D2735B"/>
    <w:pPr>
      <w:suppressAutoHyphens w:val="0"/>
      <w:kinsoku/>
      <w:overflowPunct/>
      <w:autoSpaceDE/>
      <w:autoSpaceDN/>
      <w:adjustRightInd/>
      <w:snapToGrid/>
      <w:spacing w:line="240" w:lineRule="auto"/>
    </w:pPr>
    <w:rPr>
      <w:rFonts w:eastAsiaTheme="minorEastAsia"/>
      <w:sz w:val="16"/>
      <w:szCs w:val="16"/>
      <w:lang w:val="en-US"/>
    </w:rPr>
  </w:style>
  <w:style w:type="character" w:customStyle="1" w:styleId="SubtitleChar">
    <w:name w:val="Subtitle Char"/>
    <w:basedOn w:val="DefaultParagraphFont"/>
    <w:link w:val="Subtitle"/>
    <w:uiPriority w:val="11"/>
    <w:rsid w:val="00D2735B"/>
    <w:rPr>
      <w:rFonts w:ascii="Times New Roman" w:eastAsiaTheme="minorEastAsia" w:hAnsi="Times New Roman" w:cs="Times New Roman"/>
      <w:sz w:val="16"/>
      <w:szCs w:val="16"/>
      <w:lang w:val="en-US" w:eastAsia="en-US"/>
    </w:rPr>
  </w:style>
  <w:style w:type="paragraph" w:customStyle="1" w:styleId="Footnote">
    <w:name w:val="Footnote"/>
    <w:basedOn w:val="FootnoteText"/>
    <w:link w:val="FootnoteChar"/>
    <w:qFormat/>
    <w:rsid w:val="00D2735B"/>
    <w:pPr>
      <w:kinsoku/>
      <w:overflowPunct/>
      <w:autoSpaceDE/>
      <w:autoSpaceDN/>
      <w:adjustRightInd/>
      <w:snapToGrid/>
    </w:pPr>
    <w:rPr>
      <w:rFonts w:eastAsiaTheme="minorEastAsia"/>
      <w:sz w:val="16"/>
      <w:szCs w:val="16"/>
      <w:lang w:val="x-none"/>
    </w:rPr>
  </w:style>
  <w:style w:type="character" w:customStyle="1" w:styleId="FootnoteChar">
    <w:name w:val="Footnote Char"/>
    <w:basedOn w:val="FootnoteTextChar"/>
    <w:link w:val="Footnote"/>
    <w:rsid w:val="00D2735B"/>
    <w:rPr>
      <w:rFonts w:ascii="Times New Roman" w:eastAsiaTheme="minorEastAsia" w:hAnsi="Times New Roman" w:cs="Times New Roman"/>
      <w:sz w:val="16"/>
      <w:szCs w:val="16"/>
      <w:lang w:val="x-none" w:eastAsia="en-US"/>
    </w:rPr>
  </w:style>
  <w:style w:type="character" w:customStyle="1" w:styleId="st">
    <w:name w:val="st"/>
    <w:basedOn w:val="DefaultParagraphFont"/>
    <w:rsid w:val="00D2735B"/>
  </w:style>
  <w:style w:type="character" w:customStyle="1" w:styleId="schema">
    <w:name w:val="schema"/>
    <w:basedOn w:val="DefaultParagraphFont"/>
    <w:rsid w:val="00D2735B"/>
  </w:style>
  <w:style w:type="character" w:customStyle="1" w:styleId="ref-journal">
    <w:name w:val="ref-journal"/>
    <w:basedOn w:val="DefaultParagraphFont"/>
    <w:rsid w:val="00D2735B"/>
  </w:style>
  <w:style w:type="paragraph" w:customStyle="1" w:styleId="p">
    <w:name w:val="p"/>
    <w:basedOn w:val="Normal"/>
    <w:rsid w:val="00D2735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paragraph" w:customStyle="1" w:styleId="Normal10">
    <w:name w:val="Normal1"/>
    <w:basedOn w:val="Normal"/>
    <w:rsid w:val="00D2735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paragraph" w:customStyle="1" w:styleId="doc-ti">
    <w:name w:val="doc-ti"/>
    <w:basedOn w:val="Normal"/>
    <w:rsid w:val="00D2735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character" w:customStyle="1" w:styleId="byline-prefix">
    <w:name w:val="byline-prefix"/>
    <w:basedOn w:val="DefaultParagraphFont"/>
    <w:rsid w:val="00D2735B"/>
  </w:style>
  <w:style w:type="character" w:customStyle="1" w:styleId="css-1baulvz">
    <w:name w:val="css-1baulvz"/>
    <w:basedOn w:val="DefaultParagraphFont"/>
    <w:rsid w:val="00D2735B"/>
  </w:style>
  <w:style w:type="paragraph" w:customStyle="1" w:styleId="css-at9mc1">
    <w:name w:val="css-at9mc1"/>
    <w:basedOn w:val="Normal"/>
    <w:rsid w:val="00D2735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character" w:customStyle="1" w:styleId="new-window">
    <w:name w:val="new-window"/>
    <w:basedOn w:val="DefaultParagraphFont"/>
    <w:rsid w:val="00D2735B"/>
  </w:style>
  <w:style w:type="paragraph" w:customStyle="1" w:styleId="m-4183199146351890286msolistparagraph">
    <w:name w:val="m_-4183199146351890286msolistparagraph"/>
    <w:basedOn w:val="Normal"/>
    <w:rsid w:val="00D2735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character" w:customStyle="1" w:styleId="hgkelc">
    <w:name w:val="hgkelc"/>
    <w:basedOn w:val="DefaultParagraphFont"/>
    <w:rsid w:val="00D2735B"/>
  </w:style>
  <w:style w:type="paragraph" w:styleId="HTMLPreformatted">
    <w:name w:val="HTML Preformatted"/>
    <w:basedOn w:val="Normal"/>
    <w:link w:val="HTMLPreformattedChar"/>
    <w:uiPriority w:val="99"/>
    <w:semiHidden/>
    <w:unhideWhenUsed/>
    <w:rsid w:val="00D27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fr-CH" w:eastAsia="fr-CH"/>
    </w:rPr>
  </w:style>
  <w:style w:type="character" w:customStyle="1" w:styleId="HTMLPreformattedChar">
    <w:name w:val="HTML Preformatted Char"/>
    <w:basedOn w:val="DefaultParagraphFont"/>
    <w:link w:val="HTMLPreformatted"/>
    <w:uiPriority w:val="99"/>
    <w:semiHidden/>
    <w:rsid w:val="00D2735B"/>
    <w:rPr>
      <w:rFonts w:ascii="Courier New" w:eastAsia="Times New Roman" w:hAnsi="Courier New" w:cs="Courier New"/>
      <w:sz w:val="20"/>
      <w:szCs w:val="20"/>
      <w:lang w:val="fr-CH" w:eastAsia="fr-CH"/>
    </w:rPr>
  </w:style>
  <w:style w:type="character" w:customStyle="1" w:styleId="y2iqfc">
    <w:name w:val="y2iqfc"/>
    <w:basedOn w:val="DefaultParagraphFont"/>
    <w:rsid w:val="00D2735B"/>
  </w:style>
  <w:style w:type="character" w:customStyle="1" w:styleId="markedcontent">
    <w:name w:val="markedcontent"/>
    <w:basedOn w:val="DefaultParagraphFont"/>
    <w:rsid w:val="00D2735B"/>
  </w:style>
  <w:style w:type="character" w:customStyle="1" w:styleId="UnresolvedMention11">
    <w:name w:val="Unresolved Mention11"/>
    <w:basedOn w:val="DefaultParagraphFont"/>
    <w:uiPriority w:val="99"/>
    <w:semiHidden/>
    <w:unhideWhenUsed/>
    <w:rsid w:val="00D2735B"/>
    <w:rPr>
      <w:color w:val="605E5C"/>
      <w:shd w:val="clear" w:color="auto" w:fill="E1DFDD"/>
    </w:rPr>
  </w:style>
  <w:style w:type="paragraph" w:styleId="Title">
    <w:name w:val="Title"/>
    <w:basedOn w:val="Normal"/>
    <w:next w:val="Normal"/>
    <w:link w:val="TitleChar"/>
    <w:qFormat/>
    <w:rsid w:val="00D2735B"/>
    <w:pPr>
      <w:kinsoku/>
      <w:overflowPunct/>
      <w:autoSpaceDE/>
      <w:autoSpaceDN/>
      <w:adjustRightInd/>
      <w:snapToGrid/>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2735B"/>
    <w:rPr>
      <w:rFonts w:asciiTheme="majorHAnsi" w:eastAsiaTheme="majorEastAsia" w:hAnsiTheme="majorHAnsi" w:cstheme="majorBidi"/>
      <w:spacing w:val="-10"/>
      <w:kern w:val="28"/>
      <w:sz w:val="56"/>
      <w:szCs w:val="56"/>
      <w:lang w:eastAsia="en-US"/>
    </w:rPr>
  </w:style>
  <w:style w:type="character" w:customStyle="1" w:styleId="taglemma">
    <w:name w:val="tag_lemma"/>
    <w:basedOn w:val="DefaultParagraphFont"/>
    <w:rsid w:val="00D2735B"/>
  </w:style>
  <w:style w:type="character" w:customStyle="1" w:styleId="UnresolvedMention5">
    <w:name w:val="Unresolved Mention5"/>
    <w:basedOn w:val="DefaultParagraphFont"/>
    <w:uiPriority w:val="99"/>
    <w:semiHidden/>
    <w:unhideWhenUsed/>
    <w:rsid w:val="00D2735B"/>
    <w:rPr>
      <w:color w:val="605E5C"/>
      <w:shd w:val="clear" w:color="auto" w:fill="E1DFDD"/>
    </w:rPr>
  </w:style>
  <w:style w:type="character" w:customStyle="1" w:styleId="UnresolvedMention6">
    <w:name w:val="Unresolved Mention6"/>
    <w:basedOn w:val="DefaultParagraphFont"/>
    <w:uiPriority w:val="99"/>
    <w:semiHidden/>
    <w:unhideWhenUsed/>
    <w:rsid w:val="00D27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statements/2022/11/cop27-urgent-need-respect-human-rights-all-climate-change-action-say-un-experts" TargetMode="External"/><Relationship Id="rId13" Type="http://schemas.openxmlformats.org/officeDocument/2006/relationships/hyperlink" Target="file:///C:\Users\M-electronics\Downloads\Grand%20Chamber%20hearing%20Verein%20KlimaSeniorinnen%20Schweiz%20and%20Others%20v.%20Switzerland.pdf" TargetMode="External"/><Relationship Id="rId3" Type="http://schemas.openxmlformats.org/officeDocument/2006/relationships/hyperlink" Target="http://ap.ohchr.org/documents/E/HRC/resolutions/A_HRC_RES_7_23.pdf" TargetMode="External"/><Relationship Id="rId7" Type="http://schemas.openxmlformats.org/officeDocument/2006/relationships/hyperlink" Target="https://wires.onlinelibrary.wiley.com/doi/abs/10.1002/wcc.263" TargetMode="External"/><Relationship Id="rId12" Type="http://schemas.openxmlformats.org/officeDocument/2006/relationships/hyperlink" Target="file:///C:/Users/M-electronics/Downloads/SSRN-id4313438.pdf" TargetMode="External"/><Relationship Id="rId2" Type="http://schemas.openxmlformats.org/officeDocument/2006/relationships/hyperlink" Target="https://www.ohchr.org/en/climate-change/human-rights-council-resolutions-human-rights-and-climate-change" TargetMode="External"/><Relationship Id="rId16" Type="http://schemas.openxmlformats.org/officeDocument/2006/relationships/hyperlink" Target="https://images.transparencycdn.org/images/Climate-Tech-Policy-Brief2.pdf" TargetMode="External"/><Relationship Id="rId1" Type="http://schemas.openxmlformats.org/officeDocument/2006/relationships/hyperlink" Target="https://www.ohchr.org/en/climate-change/human-rights-council-resolutions-human-rights-and-climate-change" TargetMode="External"/><Relationship Id="rId6" Type="http://schemas.openxmlformats.org/officeDocument/2006/relationships/hyperlink" Target="https://www.solargeoeng.org/non-use-agreement/open-letter/" TargetMode="External"/><Relationship Id="rId11" Type="http://schemas.openxmlformats.org/officeDocument/2006/relationships/hyperlink" Target="https://www.cbd.int/doc/decisions/cop-13/cop-13-dec-14-en.pdf" TargetMode="External"/><Relationship Id="rId5" Type="http://schemas.openxmlformats.org/officeDocument/2006/relationships/hyperlink" Target="https://www.overshootcommission.org/" TargetMode="External"/><Relationship Id="rId15" Type="http://schemas.openxmlformats.org/officeDocument/2006/relationships/hyperlink" Target="https://documents-dds-ny.un.org/doc/UNDOC/GEN/G22/336/00/PDF/G2233600.pdf?OpenElement" TargetMode="External"/><Relationship Id="rId10" Type="http://schemas.openxmlformats.org/officeDocument/2006/relationships/hyperlink" Target="https://www.cbd.int/decision/cop/?id=12299" TargetMode="External"/><Relationship Id="rId4" Type="http://schemas.openxmlformats.org/officeDocument/2006/relationships/hyperlink" Target="http://www.geoengineering.ox.ac.uk/www.geoengineering.ox.ac.uk/oxford-principles/principles/index.html" TargetMode="External"/><Relationship Id="rId9" Type="http://schemas.openxmlformats.org/officeDocument/2006/relationships/hyperlink" Target="https://www.cbd.int/doc/decisions/cop-09/cop-09-dec-16-en.pdf" TargetMode="External"/><Relationship Id="rId14" Type="http://schemas.openxmlformats.org/officeDocument/2006/relationships/hyperlink" Target="https://www.stopecocide.ear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C36AD-63A4-453E-BAAD-2E191A0B7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385E-CF07-4060-8FD0-7428BC605EF9}">
  <ds:schemaRefs>
    <ds:schemaRef ds:uri="http://schemas.openxmlformats.org/officeDocument/2006/bibliography"/>
  </ds:schemaRefs>
</ds:datastoreItem>
</file>

<file path=customXml/itemProps3.xml><?xml version="1.0" encoding="utf-8"?>
<ds:datastoreItem xmlns:ds="http://schemas.openxmlformats.org/officeDocument/2006/customXml" ds:itemID="{5DB4C7DF-210A-4F09-BC09-02859337BA52}">
  <ds:schemaRefs>
    <ds:schemaRef ds:uri="http://schemas.microsoft.com/sharepoint/v3/contenttype/forms"/>
  </ds:schemaRefs>
</ds:datastoreItem>
</file>

<file path=customXml/itemProps4.xml><?xml version="1.0" encoding="utf-8"?>
<ds:datastoreItem xmlns:ds="http://schemas.openxmlformats.org/officeDocument/2006/customXml" ds:itemID="{B75A45D7-3427-41AF-8521-663F0C6AD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25</Pages>
  <Words>11351</Words>
  <Characters>64704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A/HRC/47/51</vt:lpstr>
    </vt:vector>
  </TitlesOfParts>
  <Company>DCM</Company>
  <LinksUpToDate>false</LinksUpToDate>
  <CharactersWithSpaces>75904</CharactersWithSpaces>
  <SharedDoc>false</SharedDoc>
  <HLinks>
    <vt:vector size="324" baseType="variant">
      <vt:variant>
        <vt:i4>5832721</vt:i4>
      </vt:variant>
      <vt:variant>
        <vt:i4>3</vt:i4>
      </vt:variant>
      <vt:variant>
        <vt:i4>0</vt:i4>
      </vt:variant>
      <vt:variant>
        <vt:i4>5</vt:i4>
      </vt:variant>
      <vt:variant>
        <vt:lpwstr>http://www.arbitrationpledge.com/</vt:lpwstr>
      </vt:variant>
      <vt:variant>
        <vt:lpwstr/>
      </vt:variant>
      <vt:variant>
        <vt:i4>5570580</vt:i4>
      </vt:variant>
      <vt:variant>
        <vt:i4>0</vt:i4>
      </vt:variant>
      <vt:variant>
        <vt:i4>0</vt:i4>
      </vt:variant>
      <vt:variant>
        <vt:i4>5</vt:i4>
      </vt:variant>
      <vt:variant>
        <vt:lpwstr>https://www.unwatch.org/wp-content/uploads/2016/01/CGlettertransmittedtoPresidentHRC-23dec15.pdf</vt:lpwstr>
      </vt:variant>
      <vt:variant>
        <vt:lpwstr/>
      </vt:variant>
      <vt:variant>
        <vt:i4>2424881</vt:i4>
      </vt:variant>
      <vt:variant>
        <vt:i4>153</vt:i4>
      </vt:variant>
      <vt:variant>
        <vt:i4>0</vt:i4>
      </vt:variant>
      <vt:variant>
        <vt:i4>5</vt:i4>
      </vt:variant>
      <vt:variant>
        <vt:lpwstr>https://30percentclub.org/assets/uploads/UK/Third_Party_Reports/Real_Barriers_Whitepaper_191011_UPDATED.pdf</vt:lpwstr>
      </vt:variant>
      <vt:variant>
        <vt:lpwstr/>
      </vt:variant>
      <vt:variant>
        <vt:i4>4194369</vt:i4>
      </vt:variant>
      <vt:variant>
        <vt:i4>150</vt:i4>
      </vt:variant>
      <vt:variant>
        <vt:i4>0</vt:i4>
      </vt:variant>
      <vt:variant>
        <vt:i4>5</vt:i4>
      </vt:variant>
      <vt:variant>
        <vt:lpwstr>https://www.americanprogress.org/issues/courts/reports/2019/</vt:lpwstr>
      </vt:variant>
      <vt:variant>
        <vt:lpwstr/>
      </vt:variant>
      <vt:variant>
        <vt:i4>7078003</vt:i4>
      </vt:variant>
      <vt:variant>
        <vt:i4>147</vt:i4>
      </vt:variant>
      <vt:variant>
        <vt:i4>0</vt:i4>
      </vt:variant>
      <vt:variant>
        <vt:i4>5</vt:i4>
      </vt:variant>
      <vt:variant>
        <vt:lpwstr>https://www.gov.uk/government/statistics/judicial-selection-and-recommendations-for-appointment-statistics-april-2016-to-march-2017</vt:lpwstr>
      </vt:variant>
      <vt:variant>
        <vt:lpwstr/>
      </vt:variant>
      <vt:variant>
        <vt:i4>5439503</vt:i4>
      </vt:variant>
      <vt:variant>
        <vt:i4>144</vt:i4>
      </vt:variant>
      <vt:variant>
        <vt:i4>0</vt:i4>
      </vt:variant>
      <vt:variant>
        <vt:i4>5</vt:i4>
      </vt:variant>
      <vt:variant>
        <vt:lpwstr>http://www.judicialappointments.gov.uk/equality-and-diversity</vt:lpwstr>
      </vt:variant>
      <vt:variant>
        <vt:lpwstr/>
      </vt:variant>
      <vt:variant>
        <vt:i4>7209070</vt:i4>
      </vt:variant>
      <vt:variant>
        <vt:i4>141</vt:i4>
      </vt:variant>
      <vt:variant>
        <vt:i4>0</vt:i4>
      </vt:variant>
      <vt:variant>
        <vt:i4>5</vt:i4>
      </vt:variant>
      <vt:variant>
        <vt:lpwstr>https://www.undp.org/content/undp/en/home/blog/2019/promoting-gender-equality-in-the-judiciary.html</vt:lpwstr>
      </vt:variant>
      <vt:variant>
        <vt:lpwstr/>
      </vt:variant>
      <vt:variant>
        <vt:i4>5832721</vt:i4>
      </vt:variant>
      <vt:variant>
        <vt:i4>138</vt:i4>
      </vt:variant>
      <vt:variant>
        <vt:i4>0</vt:i4>
      </vt:variant>
      <vt:variant>
        <vt:i4>5</vt:i4>
      </vt:variant>
      <vt:variant>
        <vt:lpwstr>http://www.arbitrationpledge.com/</vt:lpwstr>
      </vt:variant>
      <vt:variant>
        <vt:lpwstr/>
      </vt:variant>
      <vt:variant>
        <vt:i4>1048649</vt:i4>
      </vt:variant>
      <vt:variant>
        <vt:i4>135</vt:i4>
      </vt:variant>
      <vt:variant>
        <vt:i4>0</vt:i4>
      </vt:variant>
      <vt:variant>
        <vt:i4>5</vt:i4>
      </vt:variant>
      <vt:variant>
        <vt:lpwstr>https://www.achpr.org/about/</vt:lpwstr>
      </vt:variant>
      <vt:variant>
        <vt:lpwstr/>
      </vt:variant>
      <vt:variant>
        <vt:i4>2031638</vt:i4>
      </vt:variant>
      <vt:variant>
        <vt:i4>132</vt:i4>
      </vt:variant>
      <vt:variant>
        <vt:i4>0</vt:i4>
      </vt:variant>
      <vt:variant>
        <vt:i4>5</vt:i4>
      </vt:variant>
      <vt:variant>
        <vt:lpwstr>https://www.african-court.org/en/index.php/judges/current-judges</vt:lpwstr>
      </vt:variant>
      <vt:variant>
        <vt:lpwstr/>
      </vt:variant>
      <vt:variant>
        <vt:i4>2621545</vt:i4>
      </vt:variant>
      <vt:variant>
        <vt:i4>129</vt:i4>
      </vt:variant>
      <vt:variant>
        <vt:i4>0</vt:i4>
      </vt:variant>
      <vt:variant>
        <vt:i4>5</vt:i4>
      </vt:variant>
      <vt:variant>
        <vt:lpwstr>https://assembly.coe.int/LifeRay/CDH/Pdf/GuideRoleQualification-EN.pdf</vt:lpwstr>
      </vt:variant>
      <vt:variant>
        <vt:lpwstr/>
      </vt:variant>
      <vt:variant>
        <vt:i4>7733366</vt:i4>
      </vt:variant>
      <vt:variant>
        <vt:i4>126</vt:i4>
      </vt:variant>
      <vt:variant>
        <vt:i4>0</vt:i4>
      </vt:variant>
      <vt:variant>
        <vt:i4>5</vt:i4>
      </vt:variant>
      <vt:variant>
        <vt:lpwstr>http://www.assembly.coe.int/LifeRay/CDH/Pdf/ProcedureElectionJudges-EN.pdf</vt:lpwstr>
      </vt:variant>
      <vt:variant>
        <vt:lpwstr/>
      </vt:variant>
      <vt:variant>
        <vt:i4>851981</vt:i4>
      </vt:variant>
      <vt:variant>
        <vt:i4>123</vt:i4>
      </vt:variant>
      <vt:variant>
        <vt:i4>0</vt:i4>
      </vt:variant>
      <vt:variant>
        <vt:i4>5</vt:i4>
      </vt:variant>
      <vt:variant>
        <vt:lpwstr>https://www.ohchr.org/EN/HRBodies/HRC/AdvisoryCommittee/Pages/Elections.aspx</vt:lpwstr>
      </vt:variant>
      <vt:variant>
        <vt:lpwstr/>
      </vt:variant>
      <vt:variant>
        <vt:i4>3866670</vt:i4>
      </vt:variant>
      <vt:variant>
        <vt:i4>120</vt:i4>
      </vt:variant>
      <vt:variant>
        <vt:i4>0</vt:i4>
      </vt:variant>
      <vt:variant>
        <vt:i4>5</vt:i4>
      </vt:variant>
      <vt:variant>
        <vt:lpwstr>https://www.ohchr.org/EN/HRBodies/HRC/AdvisoryCommittee/Pages/Sessions.aspx</vt:lpwstr>
      </vt:variant>
      <vt:variant>
        <vt:lpwstr/>
      </vt:variant>
      <vt:variant>
        <vt:i4>851981</vt:i4>
      </vt:variant>
      <vt:variant>
        <vt:i4>117</vt:i4>
      </vt:variant>
      <vt:variant>
        <vt:i4>0</vt:i4>
      </vt:variant>
      <vt:variant>
        <vt:i4>5</vt:i4>
      </vt:variant>
      <vt:variant>
        <vt:lpwstr>https://www.ohchr.org/EN/HRBodies/HRC/AdvisoryCommittee/Pages/Elections.aspx</vt:lpwstr>
      </vt:variant>
      <vt:variant>
        <vt:lpwstr/>
      </vt:variant>
      <vt:variant>
        <vt:i4>1310748</vt:i4>
      </vt:variant>
      <vt:variant>
        <vt:i4>114</vt:i4>
      </vt:variant>
      <vt:variant>
        <vt:i4>0</vt:i4>
      </vt:variant>
      <vt:variant>
        <vt:i4>5</vt:i4>
      </vt:variant>
      <vt:variant>
        <vt:lpwstr>https://www.ohchr.org/EN/HRBodies/HRC/SP/Pages/HRC46.aspx</vt:lpwstr>
      </vt:variant>
      <vt:variant>
        <vt:lpwstr/>
      </vt:variant>
      <vt:variant>
        <vt:i4>1703985</vt:i4>
      </vt:variant>
      <vt:variant>
        <vt:i4>111</vt:i4>
      </vt:variant>
      <vt:variant>
        <vt:i4>0</vt:i4>
      </vt:variant>
      <vt:variant>
        <vt:i4>5</vt:i4>
      </vt:variant>
      <vt:variant>
        <vt:lpwstr>https://www.ohchr.org/Documents/HRBodies/SP/CallApplications/HRC45/20200930_Letter_President_HRC45.pdf</vt:lpwstr>
      </vt:variant>
      <vt:variant>
        <vt:lpwstr/>
      </vt:variant>
      <vt:variant>
        <vt:i4>4456456</vt:i4>
      </vt:variant>
      <vt:variant>
        <vt:i4>108</vt:i4>
      </vt:variant>
      <vt:variant>
        <vt:i4>0</vt:i4>
      </vt:variant>
      <vt:variant>
        <vt:i4>5</vt:i4>
      </vt:variant>
      <vt:variant>
        <vt:lpwstr>http://www.gqualcampaign.org/current-composition/</vt:lpwstr>
      </vt:variant>
      <vt:variant>
        <vt:lpwstr/>
      </vt:variant>
      <vt:variant>
        <vt:i4>1310748</vt:i4>
      </vt:variant>
      <vt:variant>
        <vt:i4>105</vt:i4>
      </vt:variant>
      <vt:variant>
        <vt:i4>0</vt:i4>
      </vt:variant>
      <vt:variant>
        <vt:i4>5</vt:i4>
      </vt:variant>
      <vt:variant>
        <vt:lpwstr>https://www.ohchr.org/EN/HRBodies/HRC/SP/Pages/HRC46.aspx</vt:lpwstr>
      </vt:variant>
      <vt:variant>
        <vt:lpwstr/>
      </vt:variant>
      <vt:variant>
        <vt:i4>1507398</vt:i4>
      </vt:variant>
      <vt:variant>
        <vt:i4>102</vt:i4>
      </vt:variant>
      <vt:variant>
        <vt:i4>0</vt:i4>
      </vt:variant>
      <vt:variant>
        <vt:i4>5</vt:i4>
      </vt:variant>
      <vt:variant>
        <vt:lpwstr>https://www.ohchr.org/EN/HRBodies/SP/Pages/Currentmandateholders.aspx</vt:lpwstr>
      </vt:variant>
      <vt:variant>
        <vt:lpwstr/>
      </vt:variant>
      <vt:variant>
        <vt:i4>2752575</vt:i4>
      </vt:variant>
      <vt:variant>
        <vt:i4>99</vt:i4>
      </vt:variant>
      <vt:variant>
        <vt:i4>0</vt:i4>
      </vt:variant>
      <vt:variant>
        <vt:i4>5</vt:i4>
      </vt:variant>
      <vt:variant>
        <vt:lpwstr>http://www.ohchr.org/EN/HRBodies/HRC/SP/Pages/BasicInformationSelectionIndependentExperts.aspx</vt:lpwstr>
      </vt:variant>
      <vt:variant>
        <vt:lpwstr/>
      </vt:variant>
      <vt:variant>
        <vt:i4>7077946</vt:i4>
      </vt:variant>
      <vt:variant>
        <vt:i4>96</vt:i4>
      </vt:variant>
      <vt:variant>
        <vt:i4>0</vt:i4>
      </vt:variant>
      <vt:variant>
        <vt:i4>5</vt:i4>
      </vt:variant>
      <vt:variant>
        <vt:lpwstr>https://www.ohchr.org/EN/HRBodies/CED/Pages/Membership.aspx</vt:lpwstr>
      </vt:variant>
      <vt:variant>
        <vt:lpwstr/>
      </vt:variant>
      <vt:variant>
        <vt:i4>7995449</vt:i4>
      </vt:variant>
      <vt:variant>
        <vt:i4>93</vt:i4>
      </vt:variant>
      <vt:variant>
        <vt:i4>0</vt:i4>
      </vt:variant>
      <vt:variant>
        <vt:i4>5</vt:i4>
      </vt:variant>
      <vt:variant>
        <vt:lpwstr>https://www.ohchr.org/EN/HRBodies/CRPD/Pages/Elections2020.aspx</vt:lpwstr>
      </vt:variant>
      <vt:variant>
        <vt:lpwstr/>
      </vt:variant>
      <vt:variant>
        <vt:i4>5832720</vt:i4>
      </vt:variant>
      <vt:variant>
        <vt:i4>90</vt:i4>
      </vt:variant>
      <vt:variant>
        <vt:i4>0</vt:i4>
      </vt:variant>
      <vt:variant>
        <vt:i4>5</vt:i4>
      </vt:variant>
      <vt:variant>
        <vt:lpwstr>https://www.ohchr.org/EN/HRBodies/CRPD/Pages/Membership.aspx</vt:lpwstr>
      </vt:variant>
      <vt:variant>
        <vt:lpwstr/>
      </vt:variant>
      <vt:variant>
        <vt:i4>7995449</vt:i4>
      </vt:variant>
      <vt:variant>
        <vt:i4>87</vt:i4>
      </vt:variant>
      <vt:variant>
        <vt:i4>0</vt:i4>
      </vt:variant>
      <vt:variant>
        <vt:i4>5</vt:i4>
      </vt:variant>
      <vt:variant>
        <vt:lpwstr>https://www.ohchr.org/EN/HRBodies/CRPD/Pages/Elections2020.aspx</vt:lpwstr>
      </vt:variant>
      <vt:variant>
        <vt:lpwstr/>
      </vt:variant>
      <vt:variant>
        <vt:i4>1572933</vt:i4>
      </vt:variant>
      <vt:variant>
        <vt:i4>84</vt:i4>
      </vt:variant>
      <vt:variant>
        <vt:i4>0</vt:i4>
      </vt:variant>
      <vt:variant>
        <vt:i4>5</vt:i4>
      </vt:variant>
      <vt:variant>
        <vt:lpwstr>https://www.ohchr.org/EN/HRBodies/OPCAT/Pages/Membership.aspx</vt:lpwstr>
      </vt:variant>
      <vt:variant>
        <vt:lpwstr/>
      </vt:variant>
      <vt:variant>
        <vt:i4>1441886</vt:i4>
      </vt:variant>
      <vt:variant>
        <vt:i4>81</vt:i4>
      </vt:variant>
      <vt:variant>
        <vt:i4>0</vt:i4>
      </vt:variant>
      <vt:variant>
        <vt:i4>5</vt:i4>
      </vt:variant>
      <vt:variant>
        <vt:lpwstr>https://www.ohchr.org/EN/HRBodies/OPCAT/Pages/OPCATIntro.aspx</vt:lpwstr>
      </vt:variant>
      <vt:variant>
        <vt:lpwstr/>
      </vt:variant>
      <vt:variant>
        <vt:i4>6553641</vt:i4>
      </vt:variant>
      <vt:variant>
        <vt:i4>78</vt:i4>
      </vt:variant>
      <vt:variant>
        <vt:i4>0</vt:i4>
      </vt:variant>
      <vt:variant>
        <vt:i4>5</vt:i4>
      </vt:variant>
      <vt:variant>
        <vt:lpwstr>https://www.ohchr.org/EN/HRBodies/CMW/Pages/Membership.aspx</vt:lpwstr>
      </vt:variant>
      <vt:variant>
        <vt:lpwstr/>
      </vt:variant>
      <vt:variant>
        <vt:i4>8060989</vt:i4>
      </vt:variant>
      <vt:variant>
        <vt:i4>75</vt:i4>
      </vt:variant>
      <vt:variant>
        <vt:i4>0</vt:i4>
      </vt:variant>
      <vt:variant>
        <vt:i4>5</vt:i4>
      </vt:variant>
      <vt:variant>
        <vt:lpwstr>https://www.ohchr.org/EN/HRBodies/CRC/Pages/Membership.aspx</vt:lpwstr>
      </vt:variant>
      <vt:variant>
        <vt:lpwstr/>
      </vt:variant>
      <vt:variant>
        <vt:i4>2752614</vt:i4>
      </vt:variant>
      <vt:variant>
        <vt:i4>72</vt:i4>
      </vt:variant>
      <vt:variant>
        <vt:i4>0</vt:i4>
      </vt:variant>
      <vt:variant>
        <vt:i4>5</vt:i4>
      </vt:variant>
      <vt:variant>
        <vt:lpwstr>https://www.ohchr.org/EN/HRBodies/CRC/Pages/Elections2020.aspx</vt:lpwstr>
      </vt:variant>
      <vt:variant>
        <vt:lpwstr/>
      </vt:variant>
      <vt:variant>
        <vt:i4>6815786</vt:i4>
      </vt:variant>
      <vt:variant>
        <vt:i4>69</vt:i4>
      </vt:variant>
      <vt:variant>
        <vt:i4>0</vt:i4>
      </vt:variant>
      <vt:variant>
        <vt:i4>5</vt:i4>
      </vt:variant>
      <vt:variant>
        <vt:lpwstr>https://www.ohchr.org/EN/HRBodies/CAT/Pages/Membership.aspx</vt:lpwstr>
      </vt:variant>
      <vt:variant>
        <vt:lpwstr/>
      </vt:variant>
      <vt:variant>
        <vt:i4>852045</vt:i4>
      </vt:variant>
      <vt:variant>
        <vt:i4>66</vt:i4>
      </vt:variant>
      <vt:variant>
        <vt:i4>0</vt:i4>
      </vt:variant>
      <vt:variant>
        <vt:i4>5</vt:i4>
      </vt:variant>
      <vt:variant>
        <vt:lpwstr>https://www.ohchr.org/en/hrbodies/cedaw/pages/membership.aspx</vt:lpwstr>
      </vt:variant>
      <vt:variant>
        <vt:lpwstr/>
      </vt:variant>
      <vt:variant>
        <vt:i4>852045</vt:i4>
      </vt:variant>
      <vt:variant>
        <vt:i4>63</vt:i4>
      </vt:variant>
      <vt:variant>
        <vt:i4>0</vt:i4>
      </vt:variant>
      <vt:variant>
        <vt:i4>5</vt:i4>
      </vt:variant>
      <vt:variant>
        <vt:lpwstr>https://www.ohchr.org/EN/HRBodies/CEDAW/Pages/Membership.aspx</vt:lpwstr>
      </vt:variant>
      <vt:variant>
        <vt:lpwstr/>
      </vt:variant>
      <vt:variant>
        <vt:i4>6160400</vt:i4>
      </vt:variant>
      <vt:variant>
        <vt:i4>60</vt:i4>
      </vt:variant>
      <vt:variant>
        <vt:i4>0</vt:i4>
      </vt:variant>
      <vt:variant>
        <vt:i4>5</vt:i4>
      </vt:variant>
      <vt:variant>
        <vt:lpwstr>https://www.ohchr.org/EN/HRBodies/CCPR/Pages/Membership.aspx</vt:lpwstr>
      </vt:variant>
      <vt:variant>
        <vt:lpwstr/>
      </vt:variant>
      <vt:variant>
        <vt:i4>5111826</vt:i4>
      </vt:variant>
      <vt:variant>
        <vt:i4>57</vt:i4>
      </vt:variant>
      <vt:variant>
        <vt:i4>0</vt:i4>
      </vt:variant>
      <vt:variant>
        <vt:i4>5</vt:i4>
      </vt:variant>
      <vt:variant>
        <vt:lpwstr>https://www.ohchr.org/EN/HRBodies/CERD/Pages/Membership.aspx</vt:lpwstr>
      </vt:variant>
      <vt:variant>
        <vt:lpwstr/>
      </vt:variant>
      <vt:variant>
        <vt:i4>3932198</vt:i4>
      </vt:variant>
      <vt:variant>
        <vt:i4>54</vt:i4>
      </vt:variant>
      <vt:variant>
        <vt:i4>0</vt:i4>
      </vt:variant>
      <vt:variant>
        <vt:i4>5</vt:i4>
      </vt:variant>
      <vt:variant>
        <vt:lpwstr>https://www.ohchr.org/EN/HRBodies/Pages/ElectionsofTreatyBodiesMembers.aspx</vt:lpwstr>
      </vt:variant>
      <vt:variant>
        <vt:lpwstr/>
      </vt:variant>
      <vt:variant>
        <vt:i4>5505099</vt:i4>
      </vt:variant>
      <vt:variant>
        <vt:i4>51</vt:i4>
      </vt:variant>
      <vt:variant>
        <vt:i4>0</vt:i4>
      </vt:variant>
      <vt:variant>
        <vt:i4>5</vt:i4>
      </vt:variant>
      <vt:variant>
        <vt:lpwstr>https://www.ohchr.org/EN/HRBodies/Pages/ElectionsFAQ.aspx</vt:lpwstr>
      </vt:variant>
      <vt:variant>
        <vt:lpwstr/>
      </vt:variant>
      <vt:variant>
        <vt:i4>2883642</vt:i4>
      </vt:variant>
      <vt:variant>
        <vt:i4>48</vt:i4>
      </vt:variant>
      <vt:variant>
        <vt:i4>0</vt:i4>
      </vt:variant>
      <vt:variant>
        <vt:i4>5</vt:i4>
      </vt:variant>
      <vt:variant>
        <vt:lpwstr>https://www.ohchr.org/EN/HRBodies/HRC/SP/Pages/Nominations.aspx</vt:lpwstr>
      </vt:variant>
      <vt:variant>
        <vt:lpwstr/>
      </vt:variant>
      <vt:variant>
        <vt:i4>3539067</vt:i4>
      </vt:variant>
      <vt:variant>
        <vt:i4>45</vt:i4>
      </vt:variant>
      <vt:variant>
        <vt:i4>0</vt:i4>
      </vt:variant>
      <vt:variant>
        <vt:i4>5</vt:i4>
      </vt:variant>
      <vt:variant>
        <vt:lpwstr>https://www.ohchr.org/EN/HRBodies/CMW/Pages/Elections2019.aspx</vt:lpwstr>
      </vt:variant>
      <vt:variant>
        <vt:lpwstr/>
      </vt:variant>
      <vt:variant>
        <vt:i4>2883642</vt:i4>
      </vt:variant>
      <vt:variant>
        <vt:i4>42</vt:i4>
      </vt:variant>
      <vt:variant>
        <vt:i4>0</vt:i4>
      </vt:variant>
      <vt:variant>
        <vt:i4>5</vt:i4>
      </vt:variant>
      <vt:variant>
        <vt:lpwstr>https://www.ohchr.org/EN/HRBodies/HRC/SP/Pages/Nominations.aspx</vt:lpwstr>
      </vt:variant>
      <vt:variant>
        <vt:lpwstr/>
      </vt:variant>
      <vt:variant>
        <vt:i4>1179692</vt:i4>
      </vt:variant>
      <vt:variant>
        <vt:i4>39</vt:i4>
      </vt:variant>
      <vt:variant>
        <vt:i4>0</vt:i4>
      </vt:variant>
      <vt:variant>
        <vt:i4>5</vt:i4>
      </vt:variant>
      <vt:variant>
        <vt:lpwstr>https://www.ohchr.org/Documents/HRBodies/SP/CallApplications/HRC44/CG_REPORT_HRC44_FINAL_to_HRC_President_2020-06-03.pdf</vt:lpwstr>
      </vt:variant>
      <vt:variant>
        <vt:lpwstr/>
      </vt:variant>
      <vt:variant>
        <vt:i4>5570580</vt:i4>
      </vt:variant>
      <vt:variant>
        <vt:i4>36</vt:i4>
      </vt:variant>
      <vt:variant>
        <vt:i4>0</vt:i4>
      </vt:variant>
      <vt:variant>
        <vt:i4>5</vt:i4>
      </vt:variant>
      <vt:variant>
        <vt:lpwstr>https://www.unwatch.org/wp-content/uploads/2016/01/CGlettertransmittedtoPresidentHRC-23dec15.pdf</vt:lpwstr>
      </vt:variant>
      <vt:variant>
        <vt:lpwstr/>
      </vt:variant>
      <vt:variant>
        <vt:i4>3539067</vt:i4>
      </vt:variant>
      <vt:variant>
        <vt:i4>33</vt:i4>
      </vt:variant>
      <vt:variant>
        <vt:i4>0</vt:i4>
      </vt:variant>
      <vt:variant>
        <vt:i4>5</vt:i4>
      </vt:variant>
      <vt:variant>
        <vt:lpwstr>https://www.ohchr.org/EN/HRBodies/CMW/Pages/Elections2019.aspx</vt:lpwstr>
      </vt:variant>
      <vt:variant>
        <vt:lpwstr/>
      </vt:variant>
      <vt:variant>
        <vt:i4>7929976</vt:i4>
      </vt:variant>
      <vt:variant>
        <vt:i4>30</vt:i4>
      </vt:variant>
      <vt:variant>
        <vt:i4>0</vt:i4>
      </vt:variant>
      <vt:variant>
        <vt:i4>5</vt:i4>
      </vt:variant>
      <vt:variant>
        <vt:lpwstr>https://brill.com/view/journals/nord/nord-overview.xml</vt:lpwstr>
      </vt:variant>
      <vt:variant>
        <vt:lpwstr/>
      </vt:variant>
      <vt:variant>
        <vt:i4>6619260</vt:i4>
      </vt:variant>
      <vt:variant>
        <vt:i4>27</vt:i4>
      </vt:variant>
      <vt:variant>
        <vt:i4>0</vt:i4>
      </vt:variant>
      <vt:variant>
        <vt:i4>5</vt:i4>
      </vt:variant>
      <vt:variant>
        <vt:lpwstr>https://asiapacific.unwomen.org/en/focus-areas/cedaw-human-rights/faq</vt:lpwstr>
      </vt:variant>
      <vt:variant>
        <vt:lpwstr>substabtive</vt:lpwstr>
      </vt:variant>
      <vt:variant>
        <vt:i4>7340147</vt:i4>
      </vt:variant>
      <vt:variant>
        <vt:i4>24</vt:i4>
      </vt:variant>
      <vt:variant>
        <vt:i4>0</vt:i4>
      </vt:variant>
      <vt:variant>
        <vt:i4>5</vt:i4>
      </vt:variant>
      <vt:variant>
        <vt:lpwstr>https://www.ohchr.org/EN/HRBodies/HRC/AdvisoryCommittee/Pages/Members.aspx</vt:lpwstr>
      </vt:variant>
      <vt:variant>
        <vt:lpwstr/>
      </vt:variant>
      <vt:variant>
        <vt:i4>851981</vt:i4>
      </vt:variant>
      <vt:variant>
        <vt:i4>21</vt:i4>
      </vt:variant>
      <vt:variant>
        <vt:i4>0</vt:i4>
      </vt:variant>
      <vt:variant>
        <vt:i4>5</vt:i4>
      </vt:variant>
      <vt:variant>
        <vt:lpwstr>https://www.ohchr.org/EN/HRBodies/HRC/AdvisoryCommittee/Pages/Elections.aspx</vt:lpwstr>
      </vt:variant>
      <vt:variant>
        <vt:lpwstr/>
      </vt:variant>
      <vt:variant>
        <vt:i4>3866670</vt:i4>
      </vt:variant>
      <vt:variant>
        <vt:i4>18</vt:i4>
      </vt:variant>
      <vt:variant>
        <vt:i4>0</vt:i4>
      </vt:variant>
      <vt:variant>
        <vt:i4>5</vt:i4>
      </vt:variant>
      <vt:variant>
        <vt:lpwstr>https://www.ohchr.org/EN/HRBodies/HRC/AdvisoryCommittee/Pages/Sessions.aspx</vt:lpwstr>
      </vt:variant>
      <vt:variant>
        <vt:lpwstr/>
      </vt:variant>
      <vt:variant>
        <vt:i4>5570575</vt:i4>
      </vt:variant>
      <vt:variant>
        <vt:i4>15</vt:i4>
      </vt:variant>
      <vt:variant>
        <vt:i4>0</vt:i4>
      </vt:variant>
      <vt:variant>
        <vt:i4>5</vt:i4>
      </vt:variant>
      <vt:variant>
        <vt:lpwstr>http://www.ohchr.org/EN/HRBodies/SP/Pages/Currentmandateholders.aspx</vt:lpwstr>
      </vt:variant>
      <vt:variant>
        <vt:lpwstr/>
      </vt:variant>
      <vt:variant>
        <vt:i4>4456456</vt:i4>
      </vt:variant>
      <vt:variant>
        <vt:i4>12</vt:i4>
      </vt:variant>
      <vt:variant>
        <vt:i4>0</vt:i4>
      </vt:variant>
      <vt:variant>
        <vt:i4>5</vt:i4>
      </vt:variant>
      <vt:variant>
        <vt:lpwstr>http://www.gqualcampaign.org/current-composition/</vt:lpwstr>
      </vt:variant>
      <vt:variant>
        <vt:lpwstr/>
      </vt:variant>
      <vt:variant>
        <vt:i4>1507398</vt:i4>
      </vt:variant>
      <vt:variant>
        <vt:i4>9</vt:i4>
      </vt:variant>
      <vt:variant>
        <vt:i4>0</vt:i4>
      </vt:variant>
      <vt:variant>
        <vt:i4>5</vt:i4>
      </vt:variant>
      <vt:variant>
        <vt:lpwstr>https://www.ohchr.org/EN/HRBodies/SP/Pages/Currentmandateholders.aspx</vt:lpwstr>
      </vt:variant>
      <vt:variant>
        <vt:lpwstr/>
      </vt:variant>
      <vt:variant>
        <vt:i4>1048592</vt:i4>
      </vt:variant>
      <vt:variant>
        <vt:i4>6</vt:i4>
      </vt:variant>
      <vt:variant>
        <vt:i4>0</vt:i4>
      </vt:variant>
      <vt:variant>
        <vt:i4>5</vt:i4>
      </vt:variant>
      <vt:variant>
        <vt:lpwstr>https://www.un.org/gender/content/un-secretariat-gender-parity-dashboard</vt:lpwstr>
      </vt:variant>
      <vt:variant>
        <vt:lpwstr/>
      </vt:variant>
      <vt:variant>
        <vt:i4>1048586</vt:i4>
      </vt:variant>
      <vt:variant>
        <vt:i4>3</vt:i4>
      </vt:variant>
      <vt:variant>
        <vt:i4>0</vt:i4>
      </vt:variant>
      <vt:variant>
        <vt:i4>5</vt:i4>
      </vt:variant>
      <vt:variant>
        <vt:lpwstr>https://www.ohchr.org/EN/HRBodies/HRC/AdvisoryCommittee/Pages/LevelsRepresentationWomen.aspx</vt:lpwstr>
      </vt:variant>
      <vt:variant>
        <vt:lpwstr/>
      </vt:variant>
      <vt:variant>
        <vt:i4>2</vt:i4>
      </vt:variant>
      <vt:variant>
        <vt:i4>0</vt:i4>
      </vt:variant>
      <vt:variant>
        <vt:i4>0</vt:i4>
      </vt:variant>
      <vt:variant>
        <vt:i4>5</vt:i4>
      </vt:variant>
      <vt:variant>
        <vt:lpwstr>https://www.un.org/gender/sites/www.un.org.gender/files/gender_parity_strategy_october_2017.pdf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A/HRC/47/51</dc:title>
  <dc:subject>2106480</dc:subject>
  <dc:creator>pae</dc:creator>
  <cp:keywords/>
  <dc:description>formatted text</dc:description>
  <cp:lastModifiedBy>Juan Luis Barea Saavedra</cp:lastModifiedBy>
  <cp:revision>2</cp:revision>
  <cp:lastPrinted>2023-07-07T12:12:00Z</cp:lastPrinted>
  <dcterms:created xsi:type="dcterms:W3CDTF">2023-08-03T08:43:00Z</dcterms:created>
  <dcterms:modified xsi:type="dcterms:W3CDTF">2023-08-03T08:43:00Z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