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7E304" w14:textId="53798CB5" w:rsidR="000F7AF2" w:rsidRDefault="000F7AF2" w:rsidP="00487751">
      <w:pPr>
        <w:ind w:left="720" w:hanging="360"/>
        <w:jc w:val="center"/>
        <w:rPr>
          <w:rFonts w:cstheme="minorHAnsi"/>
          <w:b/>
          <w:bCs/>
          <w:sz w:val="28"/>
          <w:szCs w:val="28"/>
        </w:rPr>
      </w:pPr>
      <w:bookmarkStart w:id="0" w:name="_Hlk156314648"/>
      <w:bookmarkStart w:id="1" w:name="_GoBack"/>
      <w:bookmarkEnd w:id="0"/>
      <w:bookmarkEnd w:id="1"/>
      <w:r w:rsidRPr="00022B45">
        <w:rPr>
          <w:rFonts w:ascii="Neue Frutiger World" w:hAnsi="Neue Frutiger World" w:cs="Neue Frutiger World"/>
          <w:b/>
          <w:bCs/>
          <w:noProof/>
          <w:sz w:val="48"/>
          <w:szCs w:val="48"/>
        </w:rPr>
        <w:drawing>
          <wp:inline distT="0" distB="0" distL="0" distR="0" wp14:anchorId="7917CACD" wp14:editId="1E009671">
            <wp:extent cx="3527387" cy="1193800"/>
            <wp:effectExtent l="0" t="0" r="0" b="6350"/>
            <wp:docPr id="5" name="Picture 4" descr="new logo"/>
            <wp:cNvGraphicFramePr/>
            <a:graphic xmlns:a="http://schemas.openxmlformats.org/drawingml/2006/main">
              <a:graphicData uri="http://schemas.openxmlformats.org/drawingml/2006/picture">
                <pic:pic xmlns:pic="http://schemas.openxmlformats.org/drawingml/2006/picture">
                  <pic:nvPicPr>
                    <pic:cNvPr id="5" name="Picture 4" descr="new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5546" cy="1196561"/>
                    </a:xfrm>
                    <a:prstGeom prst="rect">
                      <a:avLst/>
                    </a:prstGeom>
                    <a:noFill/>
                    <a:ln>
                      <a:noFill/>
                    </a:ln>
                  </pic:spPr>
                </pic:pic>
              </a:graphicData>
            </a:graphic>
          </wp:inline>
        </w:drawing>
      </w:r>
    </w:p>
    <w:p w14:paraId="272C99D4" w14:textId="77777777" w:rsidR="000F7AF2" w:rsidRDefault="000F7AF2" w:rsidP="00487751">
      <w:pPr>
        <w:ind w:left="720" w:hanging="360"/>
        <w:jc w:val="center"/>
        <w:rPr>
          <w:rFonts w:cstheme="minorHAnsi"/>
          <w:b/>
          <w:bCs/>
          <w:sz w:val="28"/>
          <w:szCs w:val="28"/>
        </w:rPr>
      </w:pPr>
    </w:p>
    <w:p w14:paraId="39A8D67F" w14:textId="1A6170AF" w:rsidR="00487751" w:rsidRDefault="00487751" w:rsidP="00487751">
      <w:pPr>
        <w:ind w:left="720" w:hanging="360"/>
        <w:jc w:val="center"/>
        <w:rPr>
          <w:rFonts w:cstheme="minorHAnsi"/>
          <w:b/>
          <w:bCs/>
          <w:sz w:val="28"/>
          <w:szCs w:val="28"/>
        </w:rPr>
      </w:pPr>
      <w:r>
        <w:rPr>
          <w:rFonts w:cstheme="minorHAnsi"/>
          <w:b/>
          <w:bCs/>
          <w:sz w:val="28"/>
          <w:szCs w:val="28"/>
        </w:rPr>
        <w:t>Maximizing Available Resources for ESCR and Leaving No One Behind at A Growing Time of Debt Crises</w:t>
      </w:r>
    </w:p>
    <w:p w14:paraId="56CCB5BB" w14:textId="77777777" w:rsidR="00BE5989" w:rsidRDefault="00BE5989" w:rsidP="00487751">
      <w:pPr>
        <w:ind w:left="720" w:hanging="360"/>
        <w:jc w:val="center"/>
        <w:rPr>
          <w:rFonts w:cstheme="minorHAnsi"/>
          <w:b/>
          <w:bCs/>
          <w:sz w:val="28"/>
          <w:szCs w:val="28"/>
        </w:rPr>
      </w:pPr>
    </w:p>
    <w:p w14:paraId="4A54EB0C" w14:textId="77777777" w:rsidR="009E7EB5" w:rsidRDefault="00487751" w:rsidP="00487751">
      <w:pPr>
        <w:ind w:left="720" w:hanging="360"/>
        <w:jc w:val="center"/>
        <w:rPr>
          <w:rFonts w:cstheme="minorHAnsi"/>
          <w:b/>
          <w:bCs/>
          <w:sz w:val="28"/>
          <w:szCs w:val="28"/>
        </w:rPr>
      </w:pPr>
      <w:r>
        <w:rPr>
          <w:rFonts w:cstheme="minorHAnsi"/>
          <w:b/>
          <w:bCs/>
          <w:sz w:val="28"/>
          <w:szCs w:val="28"/>
        </w:rPr>
        <w:t>Presented</w:t>
      </w:r>
    </w:p>
    <w:p w14:paraId="148D3962" w14:textId="36CA183B" w:rsidR="00487751" w:rsidRDefault="00487751" w:rsidP="00487751">
      <w:pPr>
        <w:ind w:left="720" w:hanging="360"/>
        <w:jc w:val="center"/>
        <w:rPr>
          <w:rFonts w:cstheme="minorHAnsi"/>
          <w:b/>
          <w:bCs/>
          <w:sz w:val="28"/>
          <w:szCs w:val="28"/>
        </w:rPr>
      </w:pPr>
      <w:r>
        <w:rPr>
          <w:rFonts w:cstheme="minorHAnsi"/>
          <w:b/>
          <w:bCs/>
          <w:sz w:val="28"/>
          <w:szCs w:val="28"/>
        </w:rPr>
        <w:t xml:space="preserve"> By</w:t>
      </w:r>
    </w:p>
    <w:p w14:paraId="08DF21E6" w14:textId="304DB210" w:rsidR="00487751" w:rsidRDefault="00487751" w:rsidP="00487751">
      <w:pPr>
        <w:ind w:left="720" w:hanging="360"/>
        <w:jc w:val="center"/>
        <w:rPr>
          <w:rFonts w:cstheme="minorHAnsi"/>
          <w:b/>
          <w:bCs/>
          <w:sz w:val="28"/>
          <w:szCs w:val="28"/>
        </w:rPr>
      </w:pPr>
      <w:r>
        <w:rPr>
          <w:rFonts w:cstheme="minorHAnsi"/>
          <w:b/>
          <w:bCs/>
          <w:sz w:val="28"/>
          <w:szCs w:val="28"/>
        </w:rPr>
        <w:t>Prof. Musa</w:t>
      </w:r>
      <w:r w:rsidR="00BE5989">
        <w:rPr>
          <w:rFonts w:cstheme="minorHAnsi"/>
          <w:b/>
          <w:bCs/>
          <w:sz w:val="28"/>
          <w:szCs w:val="28"/>
        </w:rPr>
        <w:t xml:space="preserve"> </w:t>
      </w:r>
      <w:r>
        <w:rPr>
          <w:rFonts w:cstheme="minorHAnsi"/>
          <w:b/>
          <w:bCs/>
          <w:sz w:val="28"/>
          <w:szCs w:val="28"/>
        </w:rPr>
        <w:t>Shteiwi</w:t>
      </w:r>
    </w:p>
    <w:p w14:paraId="0664B648" w14:textId="1833ACF5" w:rsidR="00BE5989" w:rsidRDefault="00BE5989" w:rsidP="00487751">
      <w:pPr>
        <w:ind w:left="720" w:hanging="360"/>
        <w:jc w:val="center"/>
        <w:rPr>
          <w:rFonts w:cstheme="minorHAnsi"/>
          <w:b/>
          <w:bCs/>
          <w:sz w:val="28"/>
          <w:szCs w:val="28"/>
        </w:rPr>
      </w:pPr>
      <w:r>
        <w:rPr>
          <w:rFonts w:cstheme="minorHAnsi"/>
          <w:b/>
          <w:bCs/>
          <w:sz w:val="28"/>
          <w:szCs w:val="28"/>
        </w:rPr>
        <w:t>President</w:t>
      </w:r>
    </w:p>
    <w:p w14:paraId="2FB4EF59" w14:textId="46E6274A" w:rsidR="00BE5989" w:rsidRDefault="00BE5989" w:rsidP="00487751">
      <w:pPr>
        <w:ind w:left="720" w:hanging="360"/>
        <w:jc w:val="center"/>
        <w:rPr>
          <w:rFonts w:cstheme="minorHAnsi"/>
          <w:b/>
          <w:bCs/>
          <w:sz w:val="28"/>
          <w:szCs w:val="28"/>
        </w:rPr>
      </w:pPr>
      <w:r>
        <w:rPr>
          <w:rFonts w:cstheme="minorHAnsi"/>
          <w:b/>
          <w:bCs/>
          <w:sz w:val="28"/>
          <w:szCs w:val="28"/>
        </w:rPr>
        <w:t>Economic and Social Council of Jordan</w:t>
      </w:r>
    </w:p>
    <w:p w14:paraId="117EF9AA" w14:textId="77777777" w:rsidR="00BE5989" w:rsidRDefault="00BE5989" w:rsidP="00487751">
      <w:pPr>
        <w:ind w:left="720" w:hanging="360"/>
        <w:jc w:val="center"/>
        <w:rPr>
          <w:rFonts w:cstheme="minorHAnsi"/>
          <w:b/>
          <w:bCs/>
          <w:sz w:val="28"/>
          <w:szCs w:val="28"/>
        </w:rPr>
      </w:pPr>
    </w:p>
    <w:p w14:paraId="4C26CEB2" w14:textId="40D84707" w:rsidR="00487751" w:rsidRDefault="00487751" w:rsidP="00487751">
      <w:pPr>
        <w:ind w:left="720" w:hanging="360"/>
        <w:jc w:val="center"/>
        <w:rPr>
          <w:rFonts w:cstheme="minorHAnsi"/>
          <w:b/>
          <w:bCs/>
          <w:sz w:val="28"/>
          <w:szCs w:val="28"/>
        </w:rPr>
      </w:pPr>
      <w:r>
        <w:rPr>
          <w:rFonts w:cstheme="minorHAnsi"/>
          <w:b/>
          <w:bCs/>
          <w:sz w:val="28"/>
          <w:szCs w:val="28"/>
        </w:rPr>
        <w:t>At</w:t>
      </w:r>
    </w:p>
    <w:p w14:paraId="7B9C939F" w14:textId="2F6D98C7" w:rsidR="00487751" w:rsidRDefault="00487751" w:rsidP="00487751">
      <w:pPr>
        <w:ind w:left="720" w:hanging="360"/>
        <w:jc w:val="center"/>
        <w:rPr>
          <w:rFonts w:cstheme="minorHAnsi"/>
          <w:b/>
          <w:bCs/>
          <w:sz w:val="28"/>
          <w:szCs w:val="28"/>
        </w:rPr>
      </w:pPr>
      <w:r>
        <w:rPr>
          <w:rFonts w:cstheme="minorHAnsi"/>
          <w:b/>
          <w:bCs/>
          <w:sz w:val="28"/>
          <w:szCs w:val="28"/>
        </w:rPr>
        <w:t>Intersessional Meeting of the United Nations Human Rights Council</w:t>
      </w:r>
    </w:p>
    <w:p w14:paraId="72A5F6CF" w14:textId="77777777" w:rsidR="00BE5989" w:rsidRDefault="00BE5989" w:rsidP="00487751">
      <w:pPr>
        <w:ind w:left="720" w:hanging="360"/>
        <w:jc w:val="center"/>
        <w:rPr>
          <w:rFonts w:cstheme="minorHAnsi"/>
          <w:b/>
          <w:bCs/>
          <w:sz w:val="28"/>
          <w:szCs w:val="28"/>
        </w:rPr>
      </w:pPr>
    </w:p>
    <w:p w14:paraId="65CF3675" w14:textId="3563BBF1" w:rsidR="00BE5989" w:rsidRDefault="00BE5989" w:rsidP="00BE5989">
      <w:pPr>
        <w:ind w:left="720" w:hanging="360"/>
        <w:jc w:val="center"/>
        <w:rPr>
          <w:rFonts w:cstheme="minorHAnsi"/>
          <w:b/>
          <w:bCs/>
          <w:sz w:val="28"/>
          <w:szCs w:val="28"/>
        </w:rPr>
      </w:pPr>
      <w:r>
        <w:rPr>
          <w:rFonts w:cstheme="minorHAnsi"/>
          <w:b/>
          <w:bCs/>
          <w:sz w:val="28"/>
          <w:szCs w:val="28"/>
        </w:rPr>
        <w:t>On</w:t>
      </w:r>
    </w:p>
    <w:p w14:paraId="5E1C757D" w14:textId="63B5F6DF" w:rsidR="00487751" w:rsidRDefault="00487751" w:rsidP="00487751">
      <w:pPr>
        <w:ind w:left="720" w:hanging="360"/>
        <w:jc w:val="center"/>
        <w:rPr>
          <w:rFonts w:cstheme="minorHAnsi"/>
          <w:b/>
          <w:bCs/>
          <w:sz w:val="28"/>
          <w:szCs w:val="28"/>
        </w:rPr>
      </w:pPr>
      <w:r>
        <w:rPr>
          <w:rFonts w:cstheme="minorHAnsi"/>
          <w:b/>
          <w:bCs/>
          <w:sz w:val="28"/>
          <w:szCs w:val="28"/>
        </w:rPr>
        <w:t xml:space="preserve">Integrating Human Rights </w:t>
      </w:r>
      <w:r w:rsidR="00BE5989">
        <w:rPr>
          <w:rFonts w:cstheme="minorHAnsi"/>
          <w:b/>
          <w:bCs/>
          <w:sz w:val="28"/>
          <w:szCs w:val="28"/>
        </w:rPr>
        <w:t>into</w:t>
      </w:r>
      <w:r>
        <w:rPr>
          <w:rFonts w:cstheme="minorHAnsi"/>
          <w:b/>
          <w:bCs/>
          <w:sz w:val="28"/>
          <w:szCs w:val="28"/>
        </w:rPr>
        <w:t xml:space="preserve"> the International Financial Archit</w:t>
      </w:r>
      <w:r w:rsidR="00BE5989">
        <w:rPr>
          <w:rFonts w:cstheme="minorHAnsi"/>
          <w:b/>
          <w:bCs/>
          <w:sz w:val="28"/>
          <w:szCs w:val="28"/>
        </w:rPr>
        <w:t>ecture Reforms: A Cornerstone for Realizing the 2030 Agenda for Sustainable Development and a Human Rights Economy</w:t>
      </w:r>
    </w:p>
    <w:p w14:paraId="4E2DCBCA" w14:textId="77777777" w:rsidR="00BE5989" w:rsidRDefault="00BE5989" w:rsidP="00487751">
      <w:pPr>
        <w:ind w:left="720" w:hanging="360"/>
        <w:jc w:val="center"/>
        <w:rPr>
          <w:rFonts w:cstheme="minorHAnsi"/>
          <w:b/>
          <w:bCs/>
          <w:sz w:val="28"/>
          <w:szCs w:val="28"/>
        </w:rPr>
      </w:pPr>
    </w:p>
    <w:p w14:paraId="2CB79BF7" w14:textId="59EB782A" w:rsidR="00BE5989" w:rsidRDefault="00BE5989" w:rsidP="00487751">
      <w:pPr>
        <w:ind w:left="720" w:hanging="360"/>
        <w:jc w:val="center"/>
        <w:rPr>
          <w:rFonts w:cstheme="minorHAnsi"/>
          <w:b/>
          <w:bCs/>
          <w:sz w:val="28"/>
          <w:szCs w:val="28"/>
        </w:rPr>
      </w:pPr>
      <w:r>
        <w:rPr>
          <w:rFonts w:cstheme="minorHAnsi"/>
          <w:b/>
          <w:bCs/>
          <w:sz w:val="28"/>
          <w:szCs w:val="28"/>
        </w:rPr>
        <w:t>18 January, 2024</w:t>
      </w:r>
    </w:p>
    <w:p w14:paraId="3C32E0E2" w14:textId="1AE719FD" w:rsidR="00BE5989" w:rsidRDefault="00BE5989" w:rsidP="00487751">
      <w:pPr>
        <w:ind w:left="720" w:hanging="360"/>
        <w:jc w:val="center"/>
        <w:rPr>
          <w:rFonts w:cstheme="minorHAnsi"/>
          <w:b/>
          <w:bCs/>
          <w:sz w:val="28"/>
          <w:szCs w:val="28"/>
        </w:rPr>
      </w:pPr>
      <w:r>
        <w:rPr>
          <w:rFonts w:cstheme="minorHAnsi"/>
          <w:b/>
          <w:bCs/>
          <w:sz w:val="28"/>
          <w:szCs w:val="28"/>
        </w:rPr>
        <w:t xml:space="preserve"> Palais Des Nations</w:t>
      </w:r>
    </w:p>
    <w:p w14:paraId="348FB20C" w14:textId="4596238A" w:rsidR="00A918F4" w:rsidRDefault="00BE5989" w:rsidP="00404AA3">
      <w:pPr>
        <w:ind w:left="720" w:hanging="360"/>
        <w:jc w:val="center"/>
        <w:rPr>
          <w:rFonts w:cstheme="minorHAnsi"/>
          <w:b/>
          <w:bCs/>
          <w:sz w:val="28"/>
          <w:szCs w:val="28"/>
        </w:rPr>
      </w:pPr>
      <w:r>
        <w:rPr>
          <w:rFonts w:cstheme="minorHAnsi"/>
          <w:b/>
          <w:bCs/>
          <w:sz w:val="28"/>
          <w:szCs w:val="28"/>
        </w:rPr>
        <w:t>Geneva,</w:t>
      </w:r>
      <w:r w:rsidR="00734078">
        <w:rPr>
          <w:rFonts w:cstheme="minorHAnsi"/>
          <w:b/>
          <w:bCs/>
          <w:sz w:val="28"/>
          <w:szCs w:val="28"/>
        </w:rPr>
        <w:t xml:space="preserve"> </w:t>
      </w:r>
      <w:r>
        <w:rPr>
          <w:rFonts w:cstheme="minorHAnsi"/>
          <w:b/>
          <w:bCs/>
          <w:sz w:val="28"/>
          <w:szCs w:val="28"/>
        </w:rPr>
        <w:t>Switzerland</w:t>
      </w:r>
    </w:p>
    <w:p w14:paraId="4B2219C7" w14:textId="77777777" w:rsidR="00404AA3" w:rsidRDefault="00404AA3" w:rsidP="00404AA3">
      <w:pPr>
        <w:ind w:left="720" w:hanging="360"/>
        <w:jc w:val="center"/>
        <w:rPr>
          <w:rFonts w:cstheme="minorHAnsi"/>
          <w:b/>
          <w:bCs/>
          <w:sz w:val="28"/>
          <w:szCs w:val="28"/>
        </w:rPr>
      </w:pPr>
    </w:p>
    <w:p w14:paraId="7F15B044" w14:textId="77777777" w:rsidR="00734078" w:rsidRDefault="00A918F4" w:rsidP="00734078">
      <w:pPr>
        <w:spacing w:line="360" w:lineRule="auto"/>
        <w:jc w:val="both"/>
        <w:rPr>
          <w:rFonts w:cstheme="minorHAnsi"/>
        </w:rPr>
      </w:pPr>
      <w:r w:rsidRPr="00C15ADC">
        <w:rPr>
          <w:rFonts w:cstheme="minorHAnsi"/>
        </w:rPr>
        <w:t xml:space="preserve">Ladies and Gentlemen, </w:t>
      </w:r>
      <w:r w:rsidR="00734078">
        <w:rPr>
          <w:rFonts w:cstheme="minorHAnsi"/>
        </w:rPr>
        <w:t>i</w:t>
      </w:r>
      <w:r w:rsidRPr="00C15ADC">
        <w:rPr>
          <w:rFonts w:cstheme="minorHAnsi"/>
        </w:rPr>
        <w:t xml:space="preserve">t is a great honor and pleasure to be here today to participate in such an important meeting focusing on the reform of the international financial system in the contest of achieving sustainable development </w:t>
      </w:r>
      <w:r w:rsidR="00C15ADC" w:rsidRPr="00C15ADC">
        <w:rPr>
          <w:rFonts w:cstheme="minorHAnsi"/>
        </w:rPr>
        <w:t>goals. The</w:t>
      </w:r>
      <w:r w:rsidRPr="00C15ADC">
        <w:rPr>
          <w:rFonts w:cstheme="minorHAnsi"/>
        </w:rPr>
        <w:t xml:space="preserve"> economic and Social Council of Jordan is an official </w:t>
      </w:r>
      <w:r w:rsidR="003A4506" w:rsidRPr="00C15ADC">
        <w:rPr>
          <w:rFonts w:cstheme="minorHAnsi"/>
        </w:rPr>
        <w:t>institution</w:t>
      </w:r>
      <w:r w:rsidRPr="00C15ADC">
        <w:rPr>
          <w:rFonts w:cstheme="minorHAnsi"/>
        </w:rPr>
        <w:t xml:space="preserve"> that provides policy advice to the government</w:t>
      </w:r>
      <w:r w:rsidR="003A4506" w:rsidRPr="00C15ADC">
        <w:rPr>
          <w:rFonts w:cstheme="minorHAnsi"/>
        </w:rPr>
        <w:t xml:space="preserve"> on economic and social issues that is based on social dialogue where all social partners are represented. We are committed in the council to promote participatory and inclusive economic and social development</w:t>
      </w:r>
      <w:r w:rsidR="00251C75">
        <w:rPr>
          <w:rFonts w:cstheme="minorHAnsi"/>
        </w:rPr>
        <w:t xml:space="preserve"> policies</w:t>
      </w:r>
      <w:r w:rsidR="003A4506" w:rsidRPr="00C15ADC">
        <w:rPr>
          <w:rFonts w:cstheme="minorHAnsi"/>
        </w:rPr>
        <w:t xml:space="preserve"> in Jordan. </w:t>
      </w:r>
    </w:p>
    <w:p w14:paraId="6550EEFF" w14:textId="0F27A5F0" w:rsidR="00C155B0" w:rsidRDefault="00734078" w:rsidP="00734078">
      <w:pPr>
        <w:spacing w:line="360" w:lineRule="auto"/>
        <w:jc w:val="both"/>
        <w:rPr>
          <w:rFonts w:cstheme="minorHAnsi"/>
        </w:rPr>
      </w:pPr>
      <w:r w:rsidRPr="00734078">
        <w:rPr>
          <w:rFonts w:cstheme="minorHAnsi"/>
        </w:rPr>
        <w:t>In previous years, the council has provided recommendations on various human rights topics, including the right to education, the right to health, women's rights, and children's rights, through the State of the Country Reports.</w:t>
      </w:r>
      <w:r>
        <w:rPr>
          <w:rFonts w:cstheme="minorHAnsi"/>
        </w:rPr>
        <w:t xml:space="preserve"> </w:t>
      </w:r>
      <w:r w:rsidR="003A4506" w:rsidRPr="00C15ADC">
        <w:rPr>
          <w:rFonts w:cstheme="minorHAnsi"/>
        </w:rPr>
        <w:t xml:space="preserve">In this </w:t>
      </w:r>
      <w:r w:rsidR="00610DD4" w:rsidRPr="00C15ADC">
        <w:rPr>
          <w:rFonts w:cstheme="minorHAnsi"/>
        </w:rPr>
        <w:t>context, and in cooperation with the United Nations Country Team</w:t>
      </w:r>
      <w:r w:rsidR="003A4506" w:rsidRPr="00C15ADC">
        <w:rPr>
          <w:rFonts w:cstheme="minorHAnsi"/>
        </w:rPr>
        <w:t xml:space="preserve"> </w:t>
      </w:r>
      <w:r w:rsidR="00610DD4" w:rsidRPr="00C15ADC">
        <w:rPr>
          <w:rFonts w:cstheme="minorHAnsi"/>
        </w:rPr>
        <w:t>in Jordan, we</w:t>
      </w:r>
      <w:r w:rsidR="003A4506" w:rsidRPr="00C15ADC">
        <w:rPr>
          <w:rFonts w:cstheme="minorHAnsi"/>
        </w:rPr>
        <w:t xml:space="preserve"> have </w:t>
      </w:r>
      <w:r w:rsidR="00610DD4" w:rsidRPr="00C15ADC">
        <w:rPr>
          <w:rFonts w:cstheme="minorHAnsi"/>
        </w:rPr>
        <w:t xml:space="preserve">released a policy brief on Domestic Resource Mobilization using a human rights approach in tackling </w:t>
      </w:r>
      <w:r w:rsidR="00914F4A" w:rsidRPr="00C15ADC">
        <w:rPr>
          <w:rFonts w:cstheme="minorHAnsi"/>
        </w:rPr>
        <w:t>inequalities.</w:t>
      </w:r>
    </w:p>
    <w:p w14:paraId="702813A0" w14:textId="78188419" w:rsidR="00C155B0" w:rsidRDefault="00C155B0" w:rsidP="00734078">
      <w:pPr>
        <w:spacing w:line="360" w:lineRule="auto"/>
        <w:jc w:val="both"/>
      </w:pPr>
      <w:r>
        <w:rPr>
          <w:rStyle w:val="ui-provider"/>
        </w:rPr>
        <w:t>Some of the key findings</w:t>
      </w:r>
      <w:r w:rsidR="00251C75">
        <w:rPr>
          <w:rStyle w:val="ui-provider"/>
        </w:rPr>
        <w:t xml:space="preserve"> of the study revealed</w:t>
      </w:r>
      <w:r>
        <w:rPr>
          <w:rStyle w:val="ui-provider"/>
        </w:rPr>
        <w:t xml:space="preserve"> that there are inequalities between municipalities in terms of their share of revenues and the services they provide, and limited ability to mobilize more resources; that growth in tax revenues did not respond to changes in GDP growth; that</w:t>
      </w:r>
      <w:r w:rsidR="00251C75">
        <w:rPr>
          <w:rStyle w:val="ui-provider"/>
        </w:rPr>
        <w:t xml:space="preserve"> although the income tax law is </w:t>
      </w:r>
      <w:r w:rsidR="00096208">
        <w:rPr>
          <w:rStyle w:val="ui-provider"/>
        </w:rPr>
        <w:t>progressive, the</w:t>
      </w:r>
      <w:r w:rsidR="00176C8D">
        <w:rPr>
          <w:rStyle w:val="ui-provider"/>
        </w:rPr>
        <w:t xml:space="preserve"> overall </w:t>
      </w:r>
      <w:r>
        <w:rPr>
          <w:rStyle w:val="ui-provider"/>
        </w:rPr>
        <w:t xml:space="preserve"> current tax system depend</w:t>
      </w:r>
      <w:r w:rsidR="00176C8D">
        <w:rPr>
          <w:rStyle w:val="ui-provider"/>
        </w:rPr>
        <w:t>s</w:t>
      </w:r>
      <w:r>
        <w:rPr>
          <w:rStyle w:val="ui-provider"/>
        </w:rPr>
        <w:t xml:space="preserve"> highly on indirect taxes (which has a detrimental effect on low income groups/poor segments of society)- though with a more upward trend becoming more progressive re. income tax for companies; and the need to increase efficiency and transparency of public finances, and people’s participation in national budget processes. </w:t>
      </w:r>
    </w:p>
    <w:p w14:paraId="27D77170" w14:textId="77777777" w:rsidR="00734078" w:rsidRDefault="00232527" w:rsidP="00734078">
      <w:pPr>
        <w:spacing w:line="360" w:lineRule="auto"/>
        <w:jc w:val="both"/>
        <w:rPr>
          <w:rFonts w:cstheme="minorHAnsi"/>
        </w:rPr>
      </w:pPr>
      <w:r w:rsidRPr="00C15ADC">
        <w:rPr>
          <w:rFonts w:cstheme="minorHAnsi"/>
        </w:rPr>
        <w:t>We are fast approaching 2030 with only six years re</w:t>
      </w:r>
      <w:r w:rsidR="00376D2D" w:rsidRPr="00C15ADC">
        <w:rPr>
          <w:rFonts w:cstheme="minorHAnsi"/>
        </w:rPr>
        <w:t>ma</w:t>
      </w:r>
      <w:r w:rsidRPr="00C15ADC">
        <w:rPr>
          <w:rFonts w:cstheme="minorHAnsi"/>
        </w:rPr>
        <w:t>in</w:t>
      </w:r>
      <w:r w:rsidR="00376D2D" w:rsidRPr="00C15ADC">
        <w:rPr>
          <w:rFonts w:cstheme="minorHAnsi"/>
        </w:rPr>
        <w:t>in</w:t>
      </w:r>
      <w:r w:rsidRPr="00C15ADC">
        <w:rPr>
          <w:rFonts w:cstheme="minorHAnsi"/>
        </w:rPr>
        <w:t>g to achieve the targets set for the sustainable development goals</w:t>
      </w:r>
      <w:r w:rsidR="00A10097" w:rsidRPr="00C15ADC">
        <w:rPr>
          <w:rFonts w:cstheme="minorHAnsi"/>
        </w:rPr>
        <w:t>.</w:t>
      </w:r>
      <w:r w:rsidR="00F13290" w:rsidRPr="00C15ADC">
        <w:rPr>
          <w:rFonts w:cstheme="minorHAnsi"/>
        </w:rPr>
        <w:t xml:space="preserve"> Jordan is committed to its obligation</w:t>
      </w:r>
      <w:r w:rsidR="00A10097" w:rsidRPr="00C15ADC">
        <w:rPr>
          <w:rFonts w:cstheme="minorHAnsi"/>
        </w:rPr>
        <w:t xml:space="preserve"> for the </w:t>
      </w:r>
      <w:r w:rsidR="00F13290" w:rsidRPr="00C15ADC">
        <w:rPr>
          <w:rFonts w:cstheme="minorHAnsi"/>
        </w:rPr>
        <w:t>fulfillment of human rights by adopting economic poli</w:t>
      </w:r>
      <w:r w:rsidR="000C3E42" w:rsidRPr="00C15ADC">
        <w:rPr>
          <w:rFonts w:cstheme="minorHAnsi"/>
        </w:rPr>
        <w:t xml:space="preserve">cies that ensure that objective. In </w:t>
      </w:r>
      <w:r w:rsidR="007C1942" w:rsidRPr="00C15ADC">
        <w:rPr>
          <w:rFonts w:cstheme="minorHAnsi"/>
        </w:rPr>
        <w:t>fact, it</w:t>
      </w:r>
      <w:r w:rsidR="000C3E42" w:rsidRPr="00C15ADC">
        <w:rPr>
          <w:rFonts w:cstheme="minorHAnsi"/>
        </w:rPr>
        <w:t xml:space="preserve"> developed a ten years economic vision to modernize the economy </w:t>
      </w:r>
      <w:r w:rsidR="007C1942" w:rsidRPr="00C15ADC">
        <w:rPr>
          <w:rFonts w:cstheme="minorHAnsi"/>
        </w:rPr>
        <w:t xml:space="preserve">that aims at enhancing </w:t>
      </w:r>
      <w:r w:rsidR="007579F8" w:rsidRPr="00C15ADC">
        <w:rPr>
          <w:rFonts w:cstheme="minorHAnsi"/>
        </w:rPr>
        <w:t>the wellbeing</w:t>
      </w:r>
      <w:r w:rsidR="007C1942" w:rsidRPr="00C15ADC">
        <w:rPr>
          <w:rFonts w:cstheme="minorHAnsi"/>
        </w:rPr>
        <w:t xml:space="preserve"> of the people.</w:t>
      </w:r>
      <w:r w:rsidR="00734078">
        <w:rPr>
          <w:rFonts w:cstheme="minorHAnsi"/>
        </w:rPr>
        <w:t xml:space="preserve"> </w:t>
      </w:r>
    </w:p>
    <w:p w14:paraId="68102384" w14:textId="5F1E48B0" w:rsidR="002078AA" w:rsidRPr="00C15ADC" w:rsidRDefault="007C1942" w:rsidP="00734078">
      <w:pPr>
        <w:spacing w:line="360" w:lineRule="auto"/>
        <w:jc w:val="both"/>
        <w:rPr>
          <w:rFonts w:cstheme="minorHAnsi"/>
        </w:rPr>
      </w:pPr>
      <w:r w:rsidRPr="00C15ADC">
        <w:rPr>
          <w:rFonts w:cstheme="minorHAnsi"/>
        </w:rPr>
        <w:t xml:space="preserve">Jordan’s ability </w:t>
      </w:r>
      <w:r w:rsidR="003854F4" w:rsidRPr="00C15ADC">
        <w:rPr>
          <w:rFonts w:cstheme="minorHAnsi"/>
        </w:rPr>
        <w:t xml:space="preserve">to devote and maximize its available resources to the </w:t>
      </w:r>
      <w:r w:rsidR="001346BF" w:rsidRPr="00C15ADC">
        <w:rPr>
          <w:rFonts w:cstheme="minorHAnsi"/>
        </w:rPr>
        <w:t xml:space="preserve">realization of ESCR is seriously hampered by its </w:t>
      </w:r>
      <w:r w:rsidR="00F0633E" w:rsidRPr="00C15ADC">
        <w:rPr>
          <w:rFonts w:cstheme="minorHAnsi"/>
        </w:rPr>
        <w:t>serious</w:t>
      </w:r>
      <w:r w:rsidR="00404AA3" w:rsidRPr="00C15ADC">
        <w:rPr>
          <w:rFonts w:cstheme="minorHAnsi"/>
        </w:rPr>
        <w:t xml:space="preserve"> over the years</w:t>
      </w:r>
      <w:r w:rsidR="00F0633E" w:rsidRPr="00C15ADC">
        <w:rPr>
          <w:rFonts w:cstheme="minorHAnsi"/>
        </w:rPr>
        <w:t xml:space="preserve"> slow economic </w:t>
      </w:r>
      <w:r w:rsidR="00F13E23" w:rsidRPr="00C15ADC">
        <w:rPr>
          <w:rFonts w:cstheme="minorHAnsi"/>
        </w:rPr>
        <w:t>growth, serious</w:t>
      </w:r>
      <w:r w:rsidR="00404AA3" w:rsidRPr="00C15ADC">
        <w:rPr>
          <w:rFonts w:cstheme="minorHAnsi"/>
        </w:rPr>
        <w:t xml:space="preserve"> and accelerating</w:t>
      </w:r>
      <w:r w:rsidR="00F13E23" w:rsidRPr="00C15ADC">
        <w:rPr>
          <w:rFonts w:cstheme="minorHAnsi"/>
        </w:rPr>
        <w:t xml:space="preserve"> debt </w:t>
      </w:r>
      <w:r w:rsidR="00096208">
        <w:rPr>
          <w:rFonts w:cstheme="minorHAnsi"/>
        </w:rPr>
        <w:t>burden</w:t>
      </w:r>
      <w:r w:rsidR="00F13E23" w:rsidRPr="00C15ADC">
        <w:rPr>
          <w:rFonts w:cstheme="minorHAnsi"/>
        </w:rPr>
        <w:t xml:space="preserve">, external </w:t>
      </w:r>
      <w:r w:rsidR="00132F91" w:rsidRPr="00C15ADC">
        <w:rPr>
          <w:rFonts w:cstheme="minorHAnsi"/>
        </w:rPr>
        <w:t>shocks (the ongoing war on Gaza)</w:t>
      </w:r>
      <w:r w:rsidR="00F13E23" w:rsidRPr="00C15ADC">
        <w:rPr>
          <w:rFonts w:cstheme="minorHAnsi"/>
        </w:rPr>
        <w:t>, and the declining international financial support to the Syrian refugees.</w:t>
      </w:r>
    </w:p>
    <w:p w14:paraId="1382AFAC" w14:textId="77777777" w:rsidR="00734078" w:rsidRDefault="00734078" w:rsidP="00734078">
      <w:pPr>
        <w:spacing w:line="360" w:lineRule="auto"/>
        <w:jc w:val="both"/>
        <w:rPr>
          <w:rFonts w:cstheme="minorHAnsi"/>
          <w:b/>
          <w:bCs/>
          <w:sz w:val="28"/>
          <w:szCs w:val="28"/>
        </w:rPr>
      </w:pPr>
    </w:p>
    <w:p w14:paraId="0E00F33F" w14:textId="77777777" w:rsidR="00734078" w:rsidRDefault="00734078" w:rsidP="00734078">
      <w:pPr>
        <w:spacing w:line="360" w:lineRule="auto"/>
        <w:jc w:val="both"/>
        <w:rPr>
          <w:rFonts w:cstheme="minorHAnsi"/>
          <w:b/>
          <w:bCs/>
          <w:sz w:val="28"/>
          <w:szCs w:val="28"/>
        </w:rPr>
      </w:pPr>
    </w:p>
    <w:p w14:paraId="5ED4FD2A" w14:textId="4DAAA96E" w:rsidR="000A7ABA" w:rsidRDefault="00734078" w:rsidP="00734078">
      <w:pPr>
        <w:spacing w:line="360" w:lineRule="auto"/>
        <w:jc w:val="both"/>
        <w:rPr>
          <w:rFonts w:cstheme="minorHAnsi"/>
          <w:b/>
          <w:bCs/>
          <w:sz w:val="28"/>
          <w:szCs w:val="28"/>
        </w:rPr>
      </w:pPr>
      <w:r w:rsidRPr="00734078">
        <w:rPr>
          <w:rFonts w:cstheme="minorHAnsi"/>
          <w:b/>
          <w:bCs/>
          <w:sz w:val="28"/>
          <w:szCs w:val="28"/>
        </w:rPr>
        <w:lastRenderedPageBreak/>
        <w:t>Economic Growth</w:t>
      </w:r>
    </w:p>
    <w:p w14:paraId="2C01196A" w14:textId="092C5A97" w:rsidR="000A7ABA" w:rsidRPr="00154E41" w:rsidRDefault="000A7ABA" w:rsidP="00734078">
      <w:pPr>
        <w:autoSpaceDE w:val="0"/>
        <w:autoSpaceDN w:val="0"/>
        <w:bidi/>
        <w:adjustRightInd w:val="0"/>
        <w:spacing w:after="0" w:line="240" w:lineRule="auto"/>
        <w:jc w:val="center"/>
        <w:rPr>
          <w:rFonts w:ascii="Arabic Typesetting" w:hAnsi="Arabic Typesetting" w:cs="Arabic Typesetting"/>
          <w:kern w:val="0"/>
          <w:sz w:val="36"/>
          <w:szCs w:val="36"/>
          <w:rtl/>
          <w:lang w:val="en-GB" w:bidi="ar-JO"/>
          <w14:ligatures w14:val="none"/>
        </w:rPr>
      </w:pPr>
      <w:bookmarkStart w:id="2" w:name="_Hlk150312207"/>
      <w:r>
        <w:rPr>
          <w:rFonts w:ascii="Arabic Typesetting" w:hAnsi="Arabic Typesetting" w:cs="Arabic Typesetting"/>
          <w:b/>
          <w:bCs/>
          <w:kern w:val="0"/>
          <w:sz w:val="36"/>
          <w:szCs w:val="36"/>
          <w:lang w:val="en-GB" w:bidi="ar-JO"/>
          <w14:ligatures w14:val="none"/>
        </w:rPr>
        <w:t>2010 -2022</w:t>
      </w:r>
      <w:r w:rsidRPr="00154E41">
        <w:rPr>
          <w:rFonts w:ascii="Arabic Typesetting" w:hAnsi="Arabic Typesetting" w:cs="Arabic Typesetting" w:hint="cs"/>
          <w:b/>
          <w:bCs/>
          <w:kern w:val="0"/>
          <w:sz w:val="36"/>
          <w:szCs w:val="36"/>
          <w:rtl/>
          <w:lang w:val="en-GB" w:bidi="ar-JO"/>
          <w14:ligatures w14:val="none"/>
        </w:rPr>
        <w:t xml:space="preserve"> </w:t>
      </w:r>
      <w:r w:rsidR="00404AA3">
        <w:rPr>
          <w:rFonts w:ascii="Arabic Typesetting" w:hAnsi="Arabic Typesetting" w:cs="Arabic Typesetting"/>
          <w:b/>
          <w:bCs/>
          <w:kern w:val="0"/>
          <w:sz w:val="36"/>
          <w:szCs w:val="36"/>
          <w:lang w:val="en-GB" w:bidi="ar-JO"/>
          <w14:ligatures w14:val="none"/>
        </w:rPr>
        <w:t xml:space="preserve">Economic </w:t>
      </w:r>
      <w:r>
        <w:rPr>
          <w:rFonts w:ascii="Arabic Typesetting" w:hAnsi="Arabic Typesetting" w:cs="Arabic Typesetting"/>
          <w:b/>
          <w:bCs/>
          <w:kern w:val="0"/>
          <w:sz w:val="36"/>
          <w:szCs w:val="36"/>
          <w:lang w:bidi="ar-JO"/>
          <w14:ligatures w14:val="none"/>
        </w:rPr>
        <w:t xml:space="preserve">Growth rate </w:t>
      </w:r>
      <w:bookmarkEnd w:id="2"/>
      <w:r w:rsidRPr="00154E41">
        <w:rPr>
          <w:noProof/>
          <w:kern w:val="0"/>
          <w14:ligatures w14:val="none"/>
        </w:rPr>
        <w:drawing>
          <wp:inline distT="0" distB="0" distL="0" distR="0" wp14:anchorId="41D458B5" wp14:editId="50D3E985">
            <wp:extent cx="5742305" cy="1784350"/>
            <wp:effectExtent l="0" t="0" r="0" b="6350"/>
            <wp:docPr id="3" name="Chart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38B33A" w14:textId="56935B3B" w:rsidR="000A7ABA" w:rsidRDefault="000A7ABA" w:rsidP="00734078">
      <w:pPr>
        <w:autoSpaceDE w:val="0"/>
        <w:autoSpaceDN w:val="0"/>
        <w:adjustRightInd w:val="0"/>
        <w:spacing w:after="0" w:line="360" w:lineRule="auto"/>
        <w:jc w:val="both"/>
        <w:rPr>
          <w:rFonts w:ascii="Arabic Typesetting" w:hAnsi="Arabic Typesetting" w:cs="Arabic Typesetting"/>
          <w:i/>
          <w:iCs/>
          <w:kern w:val="0"/>
          <w:sz w:val="20"/>
          <w:szCs w:val="20"/>
          <w:lang w:val="en-GB" w:bidi="ar-JO"/>
          <w14:ligatures w14:val="none"/>
        </w:rPr>
      </w:pPr>
      <w:r>
        <w:rPr>
          <w:rFonts w:ascii="Arabic Typesetting" w:hAnsi="Arabic Typesetting" w:cs="Arabic Typesetting"/>
          <w:i/>
          <w:iCs/>
          <w:kern w:val="0"/>
          <w:sz w:val="20"/>
          <w:szCs w:val="20"/>
          <w:lang w:val="en-GB" w:bidi="ar-JO"/>
          <w14:ligatures w14:val="none"/>
        </w:rPr>
        <w:t xml:space="preserve">                      </w:t>
      </w:r>
      <w:r w:rsidRPr="00937997">
        <w:rPr>
          <w:rFonts w:ascii="Arabic Typesetting" w:hAnsi="Arabic Typesetting" w:cs="Arabic Typesetting"/>
          <w:i/>
          <w:iCs/>
          <w:kern w:val="0"/>
          <w:sz w:val="20"/>
          <w:szCs w:val="20"/>
          <w:lang w:val="en-GB" w:bidi="ar-JO"/>
          <w14:ligatures w14:val="none"/>
        </w:rPr>
        <w:t xml:space="preserve">Source: Department of statistics </w:t>
      </w:r>
    </w:p>
    <w:p w14:paraId="374088FE" w14:textId="2B6D6721" w:rsidR="000A7ABA" w:rsidRDefault="002078AA" w:rsidP="00734078">
      <w:pPr>
        <w:spacing w:line="360" w:lineRule="auto"/>
        <w:contextualSpacing/>
        <w:jc w:val="both"/>
        <w:rPr>
          <w:rFonts w:cstheme="minorHAnsi"/>
        </w:rPr>
      </w:pPr>
      <w:r>
        <w:rPr>
          <w:rFonts w:cstheme="minorHAnsi"/>
        </w:rPr>
        <w:t>Jordan’s economic growth rates have been very low for more than a decade now</w:t>
      </w:r>
      <w:r w:rsidR="00494703">
        <w:rPr>
          <w:rFonts w:cstheme="minorHAnsi"/>
        </w:rPr>
        <w:t xml:space="preserve"> with an average of 2.0 for the period spanning from 2010-2023.</w:t>
      </w:r>
      <w:r w:rsidR="00CC0440">
        <w:rPr>
          <w:rFonts w:cstheme="minorHAnsi"/>
        </w:rPr>
        <w:t xml:space="preserve">The sluggish economic growth was a result of external shocks such as the international economic crisis of 2008, the Arab spring and the civil wars in Syria and </w:t>
      </w:r>
      <w:r w:rsidR="00517461">
        <w:rPr>
          <w:rFonts w:cstheme="minorHAnsi"/>
        </w:rPr>
        <w:t>Iraq, and the global pandemic Corvid 19</w:t>
      </w:r>
      <w:r w:rsidR="00CC0440">
        <w:rPr>
          <w:rFonts w:cstheme="minorHAnsi"/>
        </w:rPr>
        <w:t xml:space="preserve">. This period was characterized by the implementation of series of IMF lead fiscal reform </w:t>
      </w:r>
      <w:r w:rsidR="00517461">
        <w:rPr>
          <w:rFonts w:cstheme="minorHAnsi"/>
        </w:rPr>
        <w:t>programs. Austerity measures accompanied by these</w:t>
      </w:r>
      <w:r w:rsidR="00C71AEC">
        <w:rPr>
          <w:rFonts w:cstheme="minorHAnsi"/>
        </w:rPr>
        <w:t xml:space="preserve"> programs have</w:t>
      </w:r>
      <w:r w:rsidR="00CC7F78">
        <w:rPr>
          <w:rFonts w:cstheme="minorHAnsi"/>
        </w:rPr>
        <w:t xml:space="preserve"> </w:t>
      </w:r>
      <w:r w:rsidR="00517461">
        <w:rPr>
          <w:rFonts w:cstheme="minorHAnsi"/>
        </w:rPr>
        <w:t xml:space="preserve">failed to stimulate economic growth and contributed to the soaring </w:t>
      </w:r>
      <w:r w:rsidR="00C71AEC">
        <w:rPr>
          <w:rFonts w:cstheme="minorHAnsi"/>
        </w:rPr>
        <w:t>of unemployment</w:t>
      </w:r>
      <w:r w:rsidR="00517461">
        <w:rPr>
          <w:rFonts w:cstheme="minorHAnsi"/>
        </w:rPr>
        <w:t xml:space="preserve"> rates to</w:t>
      </w:r>
      <w:r w:rsidR="00CC7F78">
        <w:rPr>
          <w:rFonts w:cstheme="minorHAnsi"/>
        </w:rPr>
        <w:t xml:space="preserve"> a</w:t>
      </w:r>
      <w:r w:rsidR="00517461">
        <w:rPr>
          <w:rFonts w:cstheme="minorHAnsi"/>
        </w:rPr>
        <w:t xml:space="preserve"> record high standing today at 22%.</w:t>
      </w:r>
      <w:r w:rsidR="00D070EA">
        <w:rPr>
          <w:rFonts w:cstheme="minorHAnsi"/>
        </w:rPr>
        <w:t xml:space="preserve"> </w:t>
      </w:r>
    </w:p>
    <w:p w14:paraId="1F1A1F4D" w14:textId="77777777" w:rsidR="00734078" w:rsidRDefault="00734078" w:rsidP="00734078">
      <w:pPr>
        <w:spacing w:line="360" w:lineRule="auto"/>
        <w:contextualSpacing/>
        <w:jc w:val="both"/>
        <w:rPr>
          <w:rFonts w:cstheme="minorHAnsi"/>
          <w:rtl/>
        </w:rPr>
      </w:pPr>
    </w:p>
    <w:p w14:paraId="42DCDDA0" w14:textId="77777777" w:rsidR="00C15ADC" w:rsidRDefault="00A41D53" w:rsidP="00734078">
      <w:pPr>
        <w:spacing w:line="360" w:lineRule="auto"/>
        <w:jc w:val="both"/>
        <w:rPr>
          <w:rFonts w:cstheme="minorHAnsi"/>
          <w:b/>
          <w:bCs/>
          <w:sz w:val="28"/>
          <w:szCs w:val="28"/>
        </w:rPr>
      </w:pPr>
      <w:r>
        <w:rPr>
          <w:rFonts w:cstheme="minorHAnsi"/>
          <w:b/>
          <w:bCs/>
          <w:sz w:val="28"/>
          <w:szCs w:val="28"/>
        </w:rPr>
        <w:t>The Debt Problem</w:t>
      </w:r>
    </w:p>
    <w:p w14:paraId="4C1FD255" w14:textId="369F3514" w:rsidR="00487751" w:rsidRPr="00C15ADC" w:rsidRDefault="00A41D53" w:rsidP="00734078">
      <w:pPr>
        <w:spacing w:line="360" w:lineRule="auto"/>
        <w:jc w:val="both"/>
        <w:rPr>
          <w:rFonts w:cstheme="minorHAnsi"/>
          <w:b/>
          <w:bCs/>
          <w:sz w:val="28"/>
          <w:szCs w:val="28"/>
        </w:rPr>
      </w:pPr>
      <w:r>
        <w:rPr>
          <w:rFonts w:cstheme="minorHAnsi"/>
          <w:color w:val="000000" w:themeColor="text1"/>
        </w:rPr>
        <w:t xml:space="preserve"> T</w:t>
      </w:r>
      <w:r w:rsidR="00487751" w:rsidRPr="00487751">
        <w:rPr>
          <w:rFonts w:cstheme="minorHAnsi"/>
          <w:color w:val="000000" w:themeColor="text1"/>
        </w:rPr>
        <w:t>he outstanding central government debt at the end of September 2023 amounted to USD 57,426 million. The domestic debt constitutes 55.1 percent of the total debt (USD 31,657 million), while the rest is external.</w:t>
      </w:r>
      <w:r w:rsidR="00643BCB">
        <w:rPr>
          <w:rFonts w:cstheme="minorHAnsi"/>
          <w:color w:val="000000" w:themeColor="text1"/>
        </w:rPr>
        <w:t xml:space="preserve"> The central government debt at the end of 2023 stood at 113% of GDP almost double the percentage in </w:t>
      </w:r>
      <w:r w:rsidR="00096208">
        <w:rPr>
          <w:rFonts w:cstheme="minorHAnsi"/>
          <w:color w:val="000000" w:themeColor="text1"/>
        </w:rPr>
        <w:t xml:space="preserve">2008 and </w:t>
      </w:r>
      <w:r w:rsidR="00643BCB">
        <w:rPr>
          <w:rFonts w:cstheme="minorHAnsi"/>
          <w:color w:val="000000" w:themeColor="text1"/>
        </w:rPr>
        <w:t>increasing by 16 percentage point only between 2019 and 2021.</w:t>
      </w:r>
    </w:p>
    <w:p w14:paraId="2D86C834" w14:textId="77777777" w:rsidR="008700DA" w:rsidRPr="008700DA" w:rsidRDefault="008700DA" w:rsidP="00734078">
      <w:pPr>
        <w:pStyle w:val="ListParagraph"/>
        <w:spacing w:before="120" w:after="120" w:line="360" w:lineRule="auto"/>
        <w:jc w:val="center"/>
        <w:rPr>
          <w:rFonts w:asciiTheme="majorBidi" w:hAnsiTheme="majorBidi" w:cstheme="majorBidi"/>
        </w:rPr>
      </w:pPr>
      <w:r w:rsidRPr="008700DA">
        <w:rPr>
          <w:rFonts w:asciiTheme="majorBidi" w:hAnsiTheme="majorBidi" w:cstheme="majorBidi"/>
          <w:b/>
        </w:rPr>
        <w:t>Central Government Debt as percent of GDP (2008 -Sep. 2023)</w:t>
      </w:r>
    </w:p>
    <w:p w14:paraId="26BB4E28" w14:textId="77777777" w:rsidR="008700DA" w:rsidRDefault="008700DA" w:rsidP="00734078">
      <w:pPr>
        <w:pStyle w:val="ListParagraph"/>
        <w:ind w:left="0"/>
        <w:jc w:val="center"/>
        <w:rPr>
          <w:rFonts w:asciiTheme="majorBidi" w:hAnsiTheme="majorBidi" w:cstheme="majorBidi"/>
          <w:b/>
        </w:rPr>
      </w:pPr>
      <w:r w:rsidRPr="00977825">
        <w:rPr>
          <w:noProof/>
          <w:lang w:val="en-US"/>
        </w:rPr>
        <w:drawing>
          <wp:inline distT="0" distB="0" distL="0" distR="0" wp14:anchorId="1C48B6A0" wp14:editId="3ABE2A5E">
            <wp:extent cx="5790565" cy="1473200"/>
            <wp:effectExtent l="19050" t="19050" r="19685"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49828" cy="1488277"/>
                    </a:xfrm>
                    <a:prstGeom prst="rect">
                      <a:avLst/>
                    </a:prstGeom>
                    <a:ln>
                      <a:solidFill>
                        <a:schemeClr val="tx2"/>
                      </a:solidFill>
                    </a:ln>
                  </pic:spPr>
                </pic:pic>
              </a:graphicData>
            </a:graphic>
          </wp:inline>
        </w:drawing>
      </w:r>
    </w:p>
    <w:p w14:paraId="7AB21125" w14:textId="7E5061D5" w:rsidR="008700DA" w:rsidRPr="00F74E56" w:rsidRDefault="00F74E56" w:rsidP="00734078">
      <w:pPr>
        <w:autoSpaceDE w:val="0"/>
        <w:autoSpaceDN w:val="0"/>
        <w:adjustRightInd w:val="0"/>
        <w:spacing w:after="0" w:line="240" w:lineRule="auto"/>
        <w:jc w:val="both"/>
        <w:rPr>
          <w:rFonts w:ascii="Arabic Typesetting" w:hAnsi="Arabic Typesetting" w:cs="Arabic Typesetting"/>
          <w:i/>
          <w:iCs/>
          <w:kern w:val="0"/>
          <w:sz w:val="20"/>
          <w:szCs w:val="20"/>
          <w:lang w:val="en-GB" w:bidi="ar-JO"/>
          <w14:ligatures w14:val="none"/>
        </w:rPr>
      </w:pPr>
      <w:r>
        <w:rPr>
          <w:rFonts w:ascii="Arabic Typesetting" w:hAnsi="Arabic Typesetting" w:cs="Arabic Typesetting"/>
          <w:i/>
          <w:iCs/>
          <w:kern w:val="0"/>
          <w:sz w:val="20"/>
          <w:szCs w:val="20"/>
          <w:lang w:val="en-GB" w:bidi="ar-JO"/>
          <w14:ligatures w14:val="none"/>
        </w:rPr>
        <w:t xml:space="preserve">                  </w:t>
      </w:r>
      <w:r w:rsidR="008700DA" w:rsidRPr="00F74E56">
        <w:rPr>
          <w:rFonts w:ascii="Arabic Typesetting" w:hAnsi="Arabic Typesetting" w:cs="Arabic Typesetting"/>
          <w:i/>
          <w:iCs/>
          <w:kern w:val="0"/>
          <w:sz w:val="20"/>
          <w:szCs w:val="20"/>
          <w:lang w:val="en-GB" w:bidi="ar-JO"/>
          <w14:ligatures w14:val="none"/>
        </w:rPr>
        <w:t xml:space="preserve">Source: </w:t>
      </w:r>
      <w:proofErr w:type="spellStart"/>
      <w:r w:rsidR="008700DA" w:rsidRPr="00F74E56">
        <w:rPr>
          <w:rFonts w:ascii="Arabic Typesetting" w:hAnsi="Arabic Typesetting" w:cs="Arabic Typesetting"/>
          <w:i/>
          <w:iCs/>
          <w:kern w:val="0"/>
          <w:sz w:val="20"/>
          <w:szCs w:val="20"/>
          <w:lang w:val="en-GB" w:bidi="ar-JO"/>
          <w14:ligatures w14:val="none"/>
        </w:rPr>
        <w:t>MoF’s</w:t>
      </w:r>
      <w:proofErr w:type="spellEnd"/>
      <w:r w:rsidR="008700DA" w:rsidRPr="00F74E56">
        <w:rPr>
          <w:rFonts w:ascii="Arabic Typesetting" w:hAnsi="Arabic Typesetting" w:cs="Arabic Typesetting"/>
          <w:i/>
          <w:iCs/>
          <w:kern w:val="0"/>
          <w:sz w:val="20"/>
          <w:szCs w:val="20"/>
          <w:lang w:val="en-GB" w:bidi="ar-JO"/>
          <w14:ligatures w14:val="none"/>
        </w:rPr>
        <w:t xml:space="preserve"> monthly statistical bulletin</w:t>
      </w:r>
    </w:p>
    <w:p w14:paraId="2EB57BED" w14:textId="255858C8" w:rsidR="00487751" w:rsidRPr="00487751" w:rsidRDefault="00643BCB" w:rsidP="00CA4478">
      <w:pPr>
        <w:spacing w:line="360" w:lineRule="auto"/>
        <w:contextualSpacing/>
        <w:jc w:val="both"/>
        <w:rPr>
          <w:rFonts w:cstheme="minorHAnsi"/>
        </w:rPr>
      </w:pPr>
      <w:r>
        <w:rPr>
          <w:rFonts w:cstheme="minorHAnsi"/>
          <w:color w:val="000000" w:themeColor="text1"/>
          <w:lang w:val="en"/>
        </w:rPr>
        <w:lastRenderedPageBreak/>
        <w:t xml:space="preserve">The structure of the debt changed </w:t>
      </w:r>
      <w:r>
        <w:rPr>
          <w:rFonts w:cstheme="minorHAnsi"/>
          <w:color w:val="000000" w:themeColor="text1"/>
        </w:rPr>
        <w:t>s</w:t>
      </w:r>
      <w:r w:rsidR="00487751" w:rsidRPr="00487751">
        <w:rPr>
          <w:rFonts w:cstheme="minorHAnsi"/>
          <w:color w:val="000000" w:themeColor="text1"/>
        </w:rPr>
        <w:t xml:space="preserve">ince 2012 </w:t>
      </w:r>
      <w:r>
        <w:rPr>
          <w:rFonts w:cstheme="minorHAnsi"/>
          <w:color w:val="000000" w:themeColor="text1"/>
        </w:rPr>
        <w:t xml:space="preserve">where </w:t>
      </w:r>
      <w:r w:rsidR="00487751" w:rsidRPr="00487751">
        <w:rPr>
          <w:rFonts w:cstheme="minorHAnsi"/>
          <w:color w:val="000000" w:themeColor="text1"/>
        </w:rPr>
        <w:t xml:space="preserve">the government reduced the dependence on domestic borrowing for financing budget deficits while increasing the borrowing from external markets. </w:t>
      </w:r>
      <w:r w:rsidR="00CA4478" w:rsidRPr="00CA4478">
        <w:rPr>
          <w:rFonts w:cstheme="minorHAnsi"/>
          <w:color w:val="000000" w:themeColor="text1"/>
        </w:rPr>
        <w:t xml:space="preserve">The government aimed by changing the structure of debt to finance the balance of payments deficit and reduce the crowding out effects of borrowing from domestic market to encourage investment and accelerate economic growth. </w:t>
      </w:r>
      <w:r w:rsidRPr="00487751">
        <w:rPr>
          <w:rFonts w:cstheme="minorHAnsi"/>
        </w:rPr>
        <w:t>The</w:t>
      </w:r>
      <w:r w:rsidR="00487751" w:rsidRPr="00487751">
        <w:rPr>
          <w:rFonts w:cstheme="minorHAnsi"/>
        </w:rPr>
        <w:t xml:space="preserve"> banking sector constitutes the largest share of the government's domestic debt, as it is an investment tool with a feasible return for banks and has low risks. </w:t>
      </w:r>
    </w:p>
    <w:p w14:paraId="035FF736" w14:textId="5110F4F7" w:rsidR="00487751" w:rsidRPr="00487751" w:rsidRDefault="00734078" w:rsidP="00734078">
      <w:pPr>
        <w:spacing w:line="360" w:lineRule="auto"/>
        <w:contextualSpacing/>
        <w:jc w:val="both"/>
        <w:rPr>
          <w:rFonts w:cstheme="minorHAnsi"/>
        </w:rPr>
      </w:pPr>
      <w:r w:rsidRPr="00734078">
        <w:rPr>
          <w:rFonts w:cstheme="minorHAnsi"/>
        </w:rPr>
        <w:t>The balance of domestic debt provided by banking sources constituted 48.7 percent in 2023, while non-bank sources constituted the remaining percentage (51.3 percent).</w:t>
      </w:r>
      <w:r w:rsidR="00487751" w:rsidRPr="00487751">
        <w:rPr>
          <w:rFonts w:cstheme="minorHAnsi"/>
          <w:color w:val="000000" w:themeColor="text1"/>
          <w:vertAlign w:val="superscript"/>
        </w:rPr>
        <w:footnoteReference w:id="1"/>
      </w:r>
      <w:r w:rsidR="00487751" w:rsidRPr="00487751">
        <w:rPr>
          <w:rFonts w:cstheme="minorHAnsi"/>
          <w:color w:val="000000" w:themeColor="text1"/>
        </w:rPr>
        <w:t xml:space="preserve"> </w:t>
      </w:r>
    </w:p>
    <w:p w14:paraId="139B8A5E" w14:textId="2C6C2254" w:rsidR="00487751" w:rsidRDefault="00487751" w:rsidP="00734078">
      <w:pPr>
        <w:spacing w:line="360" w:lineRule="auto"/>
        <w:contextualSpacing/>
        <w:jc w:val="both"/>
        <w:rPr>
          <w:rFonts w:cstheme="minorHAnsi"/>
        </w:rPr>
      </w:pPr>
    </w:p>
    <w:p w14:paraId="1ABF75A1" w14:textId="5D6C86FF" w:rsidR="00487751" w:rsidRDefault="00487751" w:rsidP="00734078">
      <w:pPr>
        <w:spacing w:line="360" w:lineRule="auto"/>
        <w:contextualSpacing/>
        <w:jc w:val="both"/>
        <w:rPr>
          <w:rFonts w:cstheme="minorHAnsi"/>
          <w:color w:val="000000"/>
        </w:rPr>
      </w:pPr>
      <w:r w:rsidRPr="00487751">
        <w:rPr>
          <w:rFonts w:cstheme="minorHAnsi"/>
          <w:color w:val="000000"/>
        </w:rPr>
        <w:t xml:space="preserve">Since </w:t>
      </w:r>
      <w:r w:rsidRPr="00487751">
        <w:rPr>
          <w:rFonts w:cstheme="minorHAnsi"/>
        </w:rPr>
        <w:t>the</w:t>
      </w:r>
      <w:r w:rsidRPr="00487751">
        <w:rPr>
          <w:rFonts w:cstheme="minorHAnsi"/>
          <w:color w:val="000000"/>
        </w:rPr>
        <w:t xml:space="preserve"> beginning of 2010, the governmen</w:t>
      </w:r>
      <w:r w:rsidR="00C15ADC">
        <w:rPr>
          <w:rFonts w:cstheme="minorHAnsi"/>
          <w:color w:val="000000"/>
        </w:rPr>
        <w:t>t started increasing its reliance</w:t>
      </w:r>
      <w:r w:rsidRPr="00487751">
        <w:rPr>
          <w:rFonts w:cstheme="minorHAnsi"/>
          <w:color w:val="000000"/>
        </w:rPr>
        <w:t xml:space="preserve"> on external borrowing to meet its financing needs, the share of public external debt in total public debt increased from 38.7 percent in 2008 to 44.9 percent at the end of September 2023.</w:t>
      </w:r>
      <w:r w:rsidR="00734078">
        <w:rPr>
          <w:rFonts w:cstheme="minorHAnsi"/>
          <w:color w:val="000000"/>
        </w:rPr>
        <w:t xml:space="preserve"> </w:t>
      </w:r>
      <w:r w:rsidRPr="00487751">
        <w:rPr>
          <w:rFonts w:cstheme="minorHAnsi"/>
          <w:color w:val="000000"/>
        </w:rPr>
        <w:t xml:space="preserve">As for the sources of external debt, loans from regional and international institutions accounted for 37.6 </w:t>
      </w:r>
      <w:r w:rsidRPr="00487751">
        <w:rPr>
          <w:rFonts w:cstheme="minorHAnsi"/>
        </w:rPr>
        <w:t>percent</w:t>
      </w:r>
      <w:r w:rsidRPr="00487751">
        <w:rPr>
          <w:rFonts w:cstheme="minorHAnsi"/>
          <w:color w:val="000000"/>
        </w:rPr>
        <w:t xml:space="preserve">, most notably loans </w:t>
      </w:r>
      <w:r w:rsidRPr="00487751">
        <w:rPr>
          <w:rFonts w:cstheme="minorHAnsi"/>
        </w:rPr>
        <w:t>provided</w:t>
      </w:r>
      <w:r w:rsidRPr="00487751">
        <w:rPr>
          <w:rFonts w:cstheme="minorHAnsi"/>
          <w:color w:val="000000"/>
        </w:rPr>
        <w:t xml:space="preserve"> by the World Bank (17.1 percent) and the International Monetary Fund (9.1 percent). While loans provided by Arab and foreign governments (bilateral and export) constituted 16.3 percent of the balance of external debt, as bilateral loans accounted for the largest part of those loans.</w:t>
      </w:r>
      <w:r w:rsidR="00734078">
        <w:rPr>
          <w:rFonts w:cstheme="minorHAnsi"/>
          <w:color w:val="000000"/>
        </w:rPr>
        <w:t xml:space="preserve"> </w:t>
      </w:r>
      <w:r w:rsidRPr="00487751">
        <w:rPr>
          <w:rFonts w:cstheme="minorHAnsi"/>
          <w:color w:val="000000"/>
        </w:rPr>
        <w:t>Regarding the distribution of foreign loans according to the currency, debt in US dollars constitutes the largest part of the external debt, reaching 71.2 percent at the end of September 2023, followed by debt in Euros.</w:t>
      </w:r>
      <w:r w:rsidR="00C15ADC">
        <w:rPr>
          <w:rFonts w:cstheme="minorHAnsi"/>
          <w:color w:val="000000"/>
        </w:rPr>
        <w:t xml:space="preserve"> </w:t>
      </w:r>
    </w:p>
    <w:p w14:paraId="2783D781" w14:textId="77777777" w:rsidR="00734078" w:rsidRPr="0064277C" w:rsidRDefault="00734078" w:rsidP="00734078">
      <w:pPr>
        <w:spacing w:line="360" w:lineRule="auto"/>
        <w:contextualSpacing/>
        <w:jc w:val="both"/>
        <w:rPr>
          <w:rFonts w:cstheme="minorHAnsi"/>
        </w:rPr>
      </w:pPr>
    </w:p>
    <w:p w14:paraId="4C10606F" w14:textId="2B673D25" w:rsidR="0064277C" w:rsidRPr="0064277C" w:rsidRDefault="0064277C" w:rsidP="00734078">
      <w:pPr>
        <w:spacing w:line="360" w:lineRule="auto"/>
        <w:contextualSpacing/>
        <w:jc w:val="center"/>
        <w:rPr>
          <w:rFonts w:cstheme="minorHAnsi"/>
          <w:b/>
          <w:bCs/>
          <w:sz w:val="28"/>
          <w:szCs w:val="28"/>
        </w:rPr>
      </w:pPr>
      <w:r w:rsidRPr="0064277C">
        <w:rPr>
          <w:rFonts w:cstheme="minorHAnsi"/>
          <w:b/>
          <w:bCs/>
          <w:sz w:val="28"/>
          <w:szCs w:val="28"/>
        </w:rPr>
        <w:t>Total Debt Services (Domestic &amp; External) (Budget)/Total Expenditures (%)</w:t>
      </w:r>
    </w:p>
    <w:p w14:paraId="7EE2355A" w14:textId="111FD923" w:rsidR="0064277C" w:rsidRPr="00487751" w:rsidRDefault="0064277C" w:rsidP="00734078">
      <w:pPr>
        <w:spacing w:line="360" w:lineRule="auto"/>
        <w:ind w:left="720"/>
        <w:contextualSpacing/>
        <w:jc w:val="center"/>
        <w:rPr>
          <w:rFonts w:cstheme="minorHAnsi"/>
        </w:rPr>
      </w:pPr>
      <w:r>
        <w:rPr>
          <w:noProof/>
        </w:rPr>
        <w:drawing>
          <wp:inline distT="0" distB="0" distL="0" distR="0" wp14:anchorId="0DD9CE50" wp14:editId="61B070A1">
            <wp:extent cx="5514975" cy="2076450"/>
            <wp:effectExtent l="0" t="0" r="9525" b="0"/>
            <wp:docPr id="2" name="Chart 2">
              <a:extLst xmlns:a="http://schemas.openxmlformats.org/drawingml/2006/main">
                <a:ext uri="{FF2B5EF4-FFF2-40B4-BE49-F238E27FC236}">
                  <a16:creationId xmlns:a16="http://schemas.microsoft.com/office/drawing/2014/main" id="{3B4AB357-F60A-49D4-A9BF-C728A0759E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C12AD1" w14:textId="77777777" w:rsidR="0064277C" w:rsidRDefault="0064277C" w:rsidP="00734078">
      <w:pPr>
        <w:spacing w:line="360" w:lineRule="auto"/>
        <w:ind w:left="720"/>
        <w:contextualSpacing/>
        <w:jc w:val="both"/>
        <w:rPr>
          <w:rFonts w:cstheme="minorHAnsi"/>
        </w:rPr>
      </w:pPr>
    </w:p>
    <w:p w14:paraId="498AF202" w14:textId="6C120757" w:rsidR="00096208" w:rsidRDefault="00A209DC" w:rsidP="00734078">
      <w:pPr>
        <w:spacing w:line="360" w:lineRule="auto"/>
        <w:contextualSpacing/>
        <w:jc w:val="both"/>
        <w:rPr>
          <w:rFonts w:cstheme="minorHAnsi"/>
          <w:lang w:bidi="ar-JO"/>
        </w:rPr>
      </w:pPr>
      <w:r>
        <w:rPr>
          <w:rFonts w:cstheme="minorHAnsi"/>
          <w:lang w:bidi="ar-JO"/>
        </w:rPr>
        <w:lastRenderedPageBreak/>
        <w:t>While the current and the predicted increase of the</w:t>
      </w:r>
      <w:r w:rsidR="00487751" w:rsidRPr="00487751">
        <w:rPr>
          <w:rFonts w:cstheme="minorHAnsi"/>
          <w:lang w:bidi="ar-JO"/>
        </w:rPr>
        <w:t xml:space="preserve"> public debt</w:t>
      </w:r>
      <w:r>
        <w:rPr>
          <w:rFonts w:cstheme="minorHAnsi"/>
          <w:lang w:bidi="ar-JO"/>
        </w:rPr>
        <w:t xml:space="preserve"> is by itself is a problem, </w:t>
      </w:r>
      <w:r w:rsidR="00194BB1">
        <w:rPr>
          <w:rFonts w:cstheme="minorHAnsi"/>
          <w:lang w:bidi="ar-JO"/>
        </w:rPr>
        <w:t xml:space="preserve">the annual </w:t>
      </w:r>
      <w:r>
        <w:rPr>
          <w:rFonts w:cstheme="minorHAnsi"/>
          <w:lang w:bidi="ar-JO"/>
        </w:rPr>
        <w:t xml:space="preserve">debt service </w:t>
      </w:r>
      <w:r w:rsidR="00194BB1">
        <w:rPr>
          <w:rFonts w:cstheme="minorHAnsi"/>
          <w:lang w:bidi="ar-JO"/>
        </w:rPr>
        <w:t xml:space="preserve">and its </w:t>
      </w:r>
      <w:r>
        <w:rPr>
          <w:rFonts w:cstheme="minorHAnsi"/>
          <w:lang w:bidi="ar-JO"/>
        </w:rPr>
        <w:t xml:space="preserve">steady increase is becoming even more </w:t>
      </w:r>
      <w:r w:rsidR="00194BB1">
        <w:rPr>
          <w:rFonts w:cstheme="minorHAnsi"/>
          <w:lang w:bidi="ar-JO"/>
        </w:rPr>
        <w:t>problematic.</w:t>
      </w:r>
      <w:r>
        <w:rPr>
          <w:rFonts w:cstheme="minorHAnsi"/>
          <w:lang w:bidi="ar-JO"/>
        </w:rPr>
        <w:t xml:space="preserve"> </w:t>
      </w:r>
      <w:r w:rsidR="00194BB1">
        <w:rPr>
          <w:rFonts w:cstheme="minorHAnsi"/>
          <w:lang w:bidi="ar-JO"/>
        </w:rPr>
        <w:t xml:space="preserve"> </w:t>
      </w:r>
      <w:r>
        <w:rPr>
          <w:rFonts w:cstheme="minorHAnsi"/>
          <w:lang w:bidi="ar-JO"/>
        </w:rPr>
        <w:t>The external public debt service</w:t>
      </w:r>
      <w:r w:rsidR="00194BB1">
        <w:rPr>
          <w:rFonts w:cstheme="minorHAnsi"/>
          <w:lang w:bidi="ar-JO"/>
        </w:rPr>
        <w:t xml:space="preserve"> at the end of 2023 is more than fifth of the total expenditure rising from 15% in 2018. </w:t>
      </w:r>
      <w:r>
        <w:rPr>
          <w:rFonts w:cstheme="minorHAnsi"/>
          <w:lang w:bidi="ar-JO"/>
        </w:rPr>
        <w:t xml:space="preserve"> </w:t>
      </w:r>
      <w:r w:rsidR="008739F0">
        <w:rPr>
          <w:rFonts w:cstheme="minorHAnsi"/>
          <w:lang w:bidi="ar-JO"/>
        </w:rPr>
        <w:t xml:space="preserve">The </w:t>
      </w:r>
      <w:r w:rsidR="00096208">
        <w:rPr>
          <w:rFonts w:cstheme="minorHAnsi"/>
          <w:lang w:bidi="ar-JO"/>
        </w:rPr>
        <w:t>Increase of</w:t>
      </w:r>
      <w:r w:rsidR="008739F0">
        <w:rPr>
          <w:rFonts w:cstheme="minorHAnsi"/>
          <w:lang w:bidi="ar-JO"/>
        </w:rPr>
        <w:t xml:space="preserve"> the debt and </w:t>
      </w:r>
      <w:r w:rsidR="00487751" w:rsidRPr="00487751">
        <w:rPr>
          <w:rFonts w:cstheme="minorHAnsi"/>
          <w:lang w:bidi="ar-JO"/>
        </w:rPr>
        <w:t>its services</w:t>
      </w:r>
      <w:r w:rsidR="008739F0">
        <w:rPr>
          <w:rFonts w:cstheme="minorHAnsi"/>
          <w:lang w:bidi="ar-JO"/>
        </w:rPr>
        <w:t xml:space="preserve"> severely</w:t>
      </w:r>
      <w:r w:rsidR="00487751" w:rsidRPr="00487751">
        <w:rPr>
          <w:rFonts w:cstheme="minorHAnsi"/>
          <w:lang w:bidi="ar-JO"/>
        </w:rPr>
        <w:t xml:space="preserve"> limits the fiscal space and reduces the potential to expand the budget of social </w:t>
      </w:r>
      <w:r w:rsidR="00096208" w:rsidRPr="00487751">
        <w:rPr>
          <w:rFonts w:cstheme="minorHAnsi"/>
          <w:lang w:bidi="ar-JO"/>
        </w:rPr>
        <w:t>security</w:t>
      </w:r>
      <w:r w:rsidR="00096208">
        <w:rPr>
          <w:rFonts w:cstheme="minorHAnsi"/>
          <w:lang w:bidi="ar-JO"/>
        </w:rPr>
        <w:t>, education</w:t>
      </w:r>
      <w:r w:rsidR="008739F0">
        <w:rPr>
          <w:rFonts w:cstheme="minorHAnsi"/>
          <w:lang w:bidi="ar-JO"/>
        </w:rPr>
        <w:t xml:space="preserve"> and health and other social protection needs</w:t>
      </w:r>
      <w:r w:rsidR="00487751" w:rsidRPr="00487751">
        <w:rPr>
          <w:rFonts w:cstheme="minorHAnsi"/>
          <w:lang w:bidi="ar-JO"/>
        </w:rPr>
        <w:t xml:space="preserve">. </w:t>
      </w:r>
    </w:p>
    <w:p w14:paraId="4177F18F" w14:textId="77777777" w:rsidR="00096208" w:rsidRDefault="00096208" w:rsidP="00734078">
      <w:pPr>
        <w:spacing w:line="360" w:lineRule="auto"/>
        <w:ind w:left="720"/>
        <w:contextualSpacing/>
        <w:jc w:val="both"/>
        <w:rPr>
          <w:rFonts w:cstheme="minorHAnsi"/>
          <w:lang w:bidi="ar-JO"/>
        </w:rPr>
      </w:pPr>
    </w:p>
    <w:p w14:paraId="54EFB1BC" w14:textId="72730446" w:rsidR="00D56E71" w:rsidRDefault="00D56E71" w:rsidP="00734078">
      <w:pPr>
        <w:spacing w:line="360" w:lineRule="auto"/>
        <w:contextualSpacing/>
        <w:jc w:val="center"/>
        <w:rPr>
          <w:rFonts w:cstheme="minorHAnsi"/>
          <w:b/>
          <w:bCs/>
          <w:sz w:val="24"/>
          <w:szCs w:val="24"/>
        </w:rPr>
      </w:pPr>
      <w:r w:rsidRPr="006C14C9">
        <w:rPr>
          <w:rFonts w:cstheme="minorHAnsi"/>
          <w:b/>
          <w:bCs/>
          <w:sz w:val="24"/>
          <w:szCs w:val="24"/>
        </w:rPr>
        <w:t>External Debt Services/Total Expenditures (%)</w:t>
      </w:r>
      <w:r>
        <w:rPr>
          <w:rFonts w:cstheme="minorHAnsi"/>
          <w:b/>
          <w:bCs/>
          <w:sz w:val="24"/>
          <w:szCs w:val="24"/>
        </w:rPr>
        <w:t xml:space="preserve"> 2018 – Oct. 2023</w:t>
      </w:r>
    </w:p>
    <w:p w14:paraId="45A20157" w14:textId="6DBD0332" w:rsidR="00C15ADC" w:rsidRDefault="00D56E71" w:rsidP="00734078">
      <w:pPr>
        <w:spacing w:line="360" w:lineRule="auto"/>
        <w:contextualSpacing/>
        <w:jc w:val="center"/>
        <w:rPr>
          <w:rFonts w:cstheme="minorHAnsi"/>
        </w:rPr>
      </w:pPr>
      <w:r>
        <w:rPr>
          <w:noProof/>
        </w:rPr>
        <w:drawing>
          <wp:inline distT="0" distB="0" distL="0" distR="0" wp14:anchorId="7CB579D3" wp14:editId="590F9188">
            <wp:extent cx="4943475" cy="2743200"/>
            <wp:effectExtent l="0" t="0" r="9525" b="0"/>
            <wp:docPr id="1" name="Chart 1">
              <a:extLst xmlns:a="http://schemas.openxmlformats.org/drawingml/2006/main">
                <a:ext uri="{FF2B5EF4-FFF2-40B4-BE49-F238E27FC236}">
                  <a16:creationId xmlns:a16="http://schemas.microsoft.com/office/drawing/2014/main" id="{7C4E2FC4-5259-D874-B751-ADCC890996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1A3E7E" w14:textId="0D343325" w:rsidR="00C15ADC" w:rsidRDefault="00C15ADC" w:rsidP="00734078">
      <w:pPr>
        <w:spacing w:line="360" w:lineRule="auto"/>
        <w:contextualSpacing/>
        <w:jc w:val="both"/>
        <w:rPr>
          <w:rFonts w:cstheme="minorHAnsi"/>
          <w:b/>
          <w:bCs/>
        </w:rPr>
      </w:pPr>
    </w:p>
    <w:p w14:paraId="15E59EE5" w14:textId="12928F49" w:rsidR="00487751" w:rsidRPr="00487751" w:rsidRDefault="004561CB" w:rsidP="00734078">
      <w:pPr>
        <w:spacing w:line="360" w:lineRule="auto"/>
        <w:contextualSpacing/>
        <w:jc w:val="both"/>
        <w:rPr>
          <w:rFonts w:cstheme="minorHAnsi"/>
        </w:rPr>
      </w:pPr>
      <w:r w:rsidRPr="00487751">
        <w:rPr>
          <w:rFonts w:cstheme="minorHAnsi"/>
          <w:lang w:bidi="ar-JO"/>
        </w:rPr>
        <w:t xml:space="preserve">Poverty is relatively high in Jordan and increased dramatically during the COVID19 </w:t>
      </w:r>
      <w:r w:rsidR="009F60C0" w:rsidRPr="00487751">
        <w:rPr>
          <w:rFonts w:cstheme="minorHAnsi"/>
          <w:lang w:bidi="ar-JO"/>
        </w:rPr>
        <w:t>pandemic. Before</w:t>
      </w:r>
      <w:r w:rsidR="00487751" w:rsidRPr="00487751">
        <w:rPr>
          <w:rFonts w:cstheme="minorHAnsi"/>
          <w:lang w:bidi="ar-JO"/>
        </w:rPr>
        <w:t xml:space="preserve"> the global pandemic crisis, the official poverty rate was 15.7 percent. Early models undertaken by the World Bank estimate that the likely short-term increase in poverty might be as high as 11 percentage points for Jordanians, as a result of the lost labor and remittance incomes for households.</w:t>
      </w:r>
      <w:r w:rsidR="00096208">
        <w:rPr>
          <w:rFonts w:cstheme="minorHAnsi"/>
          <w:lang w:bidi="ar-JO"/>
        </w:rPr>
        <w:t xml:space="preserve"> </w:t>
      </w:r>
      <w:r w:rsidR="00487751" w:rsidRPr="00487751">
        <w:rPr>
          <w:rFonts w:cstheme="minorHAnsi"/>
          <w:lang w:bidi="ar-JO"/>
        </w:rPr>
        <w:t xml:space="preserve"> At the same time, a huge proportion of</w:t>
      </w:r>
      <w:r w:rsidR="00134093">
        <w:rPr>
          <w:rFonts w:cstheme="minorHAnsi"/>
          <w:lang w:bidi="ar-JO"/>
        </w:rPr>
        <w:t xml:space="preserve"> </w:t>
      </w:r>
      <w:r w:rsidR="00096208">
        <w:rPr>
          <w:rFonts w:cstheme="minorHAnsi"/>
          <w:lang w:bidi="ar-JO"/>
        </w:rPr>
        <w:t xml:space="preserve">the </w:t>
      </w:r>
      <w:r w:rsidR="00134093">
        <w:rPr>
          <w:rFonts w:cstheme="minorHAnsi"/>
          <w:lang w:bidi="ar-JO"/>
        </w:rPr>
        <w:t>non-poor households are just above</w:t>
      </w:r>
      <w:r w:rsidR="00487751" w:rsidRPr="00487751">
        <w:rPr>
          <w:rFonts w:cstheme="minorHAnsi"/>
          <w:lang w:bidi="ar-JO"/>
        </w:rPr>
        <w:t xml:space="preserve"> the poverty line with high vulnerability and are at-risk of falling into poverty with</w:t>
      </w:r>
      <w:r w:rsidR="00134093">
        <w:rPr>
          <w:rFonts w:cstheme="minorHAnsi"/>
          <w:lang w:bidi="ar-JO"/>
        </w:rPr>
        <w:t xml:space="preserve"> external or </w:t>
      </w:r>
      <w:r w:rsidR="00134093" w:rsidRPr="00487751">
        <w:rPr>
          <w:rFonts w:cstheme="minorHAnsi"/>
          <w:lang w:bidi="ar-JO"/>
        </w:rPr>
        <w:t>household</w:t>
      </w:r>
      <w:r w:rsidR="00487751" w:rsidRPr="00487751">
        <w:rPr>
          <w:rFonts w:cstheme="minorHAnsi"/>
          <w:lang w:bidi="ar-JO"/>
        </w:rPr>
        <w:t xml:space="preserve"> shocks</w:t>
      </w:r>
      <w:r w:rsidR="00487751" w:rsidRPr="00487751">
        <w:rPr>
          <w:rFonts w:cstheme="minorHAnsi"/>
          <w:vertAlign w:val="superscript"/>
          <w:lang w:bidi="ar-JO"/>
        </w:rPr>
        <w:footnoteReference w:id="2"/>
      </w:r>
      <w:r w:rsidR="00487751" w:rsidRPr="00487751">
        <w:rPr>
          <w:rFonts w:cstheme="minorHAnsi"/>
          <w:lang w:bidi="ar-JO"/>
        </w:rPr>
        <w:t>.</w:t>
      </w:r>
    </w:p>
    <w:p w14:paraId="6EC8C47F" w14:textId="77777777" w:rsidR="00734078" w:rsidRDefault="00734078" w:rsidP="00734078">
      <w:pPr>
        <w:spacing w:line="360" w:lineRule="auto"/>
        <w:contextualSpacing/>
        <w:jc w:val="both"/>
        <w:rPr>
          <w:rFonts w:cstheme="minorHAnsi"/>
          <w:lang w:bidi="ar-JO"/>
        </w:rPr>
      </w:pPr>
    </w:p>
    <w:p w14:paraId="0E9115FF" w14:textId="1B8F980C" w:rsidR="00487751" w:rsidRDefault="00487751" w:rsidP="00734078">
      <w:pPr>
        <w:spacing w:line="360" w:lineRule="auto"/>
        <w:contextualSpacing/>
        <w:jc w:val="both"/>
        <w:rPr>
          <w:rFonts w:cstheme="minorHAnsi"/>
        </w:rPr>
      </w:pPr>
      <w:r w:rsidRPr="00487751">
        <w:rPr>
          <w:rFonts w:cstheme="minorHAnsi"/>
          <w:lang w:bidi="ar-JO"/>
        </w:rPr>
        <w:t xml:space="preserve">The government spends around JD 2.1 billion, or 6.1 percent of GDP, on social protection, with JD 241 million, or less than one percent of GDP, going to NAF beneficiaries. There are around 120 thousand families among these recipients. More than double this number is recorded in the NAF system, waiting for assistance when funding becomes </w:t>
      </w:r>
      <w:r w:rsidR="00376B46" w:rsidRPr="00487751">
        <w:rPr>
          <w:rFonts w:cstheme="minorHAnsi"/>
          <w:lang w:bidi="ar-JO"/>
        </w:rPr>
        <w:t>available. Interest</w:t>
      </w:r>
      <w:r w:rsidRPr="00487751">
        <w:rPr>
          <w:rFonts w:cstheme="minorHAnsi"/>
          <w:lang w:bidi="ar-JO"/>
        </w:rPr>
        <w:t xml:space="preserve"> </w:t>
      </w:r>
      <w:r w:rsidR="00134093">
        <w:rPr>
          <w:rFonts w:cstheme="minorHAnsi"/>
          <w:lang w:bidi="ar-JO"/>
        </w:rPr>
        <w:t>payments are predicted to be seven</w:t>
      </w:r>
      <w:r w:rsidRPr="00487751">
        <w:rPr>
          <w:rFonts w:cstheme="minorHAnsi"/>
          <w:lang w:bidi="ar-JO"/>
        </w:rPr>
        <w:t xml:space="preserve"> times the </w:t>
      </w:r>
      <w:r w:rsidR="00376B46">
        <w:rPr>
          <w:rFonts w:cstheme="minorHAnsi"/>
          <w:lang w:bidi="ar-JO"/>
        </w:rPr>
        <w:t xml:space="preserve">social </w:t>
      </w:r>
      <w:r w:rsidR="00376B46">
        <w:rPr>
          <w:rFonts w:cstheme="minorHAnsi"/>
          <w:lang w:bidi="ar-JO"/>
        </w:rPr>
        <w:lastRenderedPageBreak/>
        <w:t>assistance budget in 2023</w:t>
      </w:r>
      <w:r w:rsidRPr="00487751">
        <w:rPr>
          <w:rFonts w:cstheme="minorHAnsi"/>
          <w:lang w:bidi="ar-JO"/>
        </w:rPr>
        <w:t>, rising to seven times in the next five years. According to our analysis, 15% reduction in interest payments would allow the government to triple its social assistance budget and finance poor people who are not eligible for NAF programs.</w:t>
      </w:r>
    </w:p>
    <w:p w14:paraId="0433D715" w14:textId="77777777" w:rsidR="00C15ADC" w:rsidRDefault="00C15ADC" w:rsidP="00734078">
      <w:pPr>
        <w:spacing w:line="360" w:lineRule="auto"/>
        <w:contextualSpacing/>
        <w:jc w:val="both"/>
        <w:rPr>
          <w:rFonts w:cstheme="minorHAnsi"/>
          <w:lang w:bidi="ar-JO"/>
        </w:rPr>
      </w:pPr>
    </w:p>
    <w:p w14:paraId="19B39C6F" w14:textId="54D51077" w:rsidR="005664F8" w:rsidRPr="00734078" w:rsidRDefault="005664F8" w:rsidP="00734078">
      <w:pPr>
        <w:spacing w:line="360" w:lineRule="auto"/>
        <w:jc w:val="both"/>
        <w:rPr>
          <w:rFonts w:cstheme="minorHAnsi"/>
          <w:b/>
          <w:bCs/>
          <w:sz w:val="24"/>
          <w:szCs w:val="24"/>
        </w:rPr>
      </w:pPr>
      <w:r w:rsidRPr="00734078">
        <w:rPr>
          <w:rFonts w:cstheme="minorHAnsi"/>
          <w:b/>
          <w:bCs/>
          <w:sz w:val="24"/>
          <w:szCs w:val="24"/>
        </w:rPr>
        <w:t>The Impact of the War on Gaza</w:t>
      </w:r>
    </w:p>
    <w:p w14:paraId="58219FE2" w14:textId="173B2025" w:rsidR="00096208" w:rsidRPr="000C31E6" w:rsidRDefault="00096208" w:rsidP="00734078">
      <w:pPr>
        <w:spacing w:line="360" w:lineRule="auto"/>
        <w:jc w:val="both"/>
        <w:rPr>
          <w:rFonts w:cstheme="minorHAnsi"/>
        </w:rPr>
      </w:pPr>
      <w:r w:rsidRPr="000C31E6">
        <w:rPr>
          <w:rFonts w:cstheme="minorHAnsi"/>
        </w:rPr>
        <w:t>The context in Jordan is rapidly changing</w:t>
      </w:r>
      <w:r w:rsidR="00865D6D" w:rsidRPr="000C31E6">
        <w:rPr>
          <w:rFonts w:cstheme="minorHAnsi"/>
        </w:rPr>
        <w:t xml:space="preserve"> and there are many factors interacting together that further shrinks the fiscal space available for social protection, in addition to the significant increase of the debt and the debt service, there has been a steady decline of the </w:t>
      </w:r>
      <w:r w:rsidR="00E81B3F" w:rsidRPr="000C31E6">
        <w:rPr>
          <w:rFonts w:cstheme="minorHAnsi"/>
        </w:rPr>
        <w:t>international support</w:t>
      </w:r>
      <w:r w:rsidR="00865D6D" w:rsidRPr="000C31E6">
        <w:rPr>
          <w:rFonts w:cstheme="minorHAnsi"/>
        </w:rPr>
        <w:t xml:space="preserve"> for refugees, the grave economic impact of the war on Gaza, and the rising security challenges of different sorts.</w:t>
      </w:r>
    </w:p>
    <w:p w14:paraId="1A84FDFB" w14:textId="6D7B2711" w:rsidR="005664F8" w:rsidRPr="00487751" w:rsidRDefault="00865D6D" w:rsidP="00734078">
      <w:pPr>
        <w:spacing w:line="360" w:lineRule="auto"/>
        <w:jc w:val="both"/>
        <w:rPr>
          <w:rFonts w:cstheme="minorHAnsi"/>
          <w:sz w:val="24"/>
          <w:szCs w:val="24"/>
        </w:rPr>
      </w:pPr>
      <w:r>
        <w:rPr>
          <w:rFonts w:cstheme="minorHAnsi"/>
          <w:sz w:val="24"/>
          <w:szCs w:val="24"/>
        </w:rPr>
        <w:t xml:space="preserve">After hundred </w:t>
      </w:r>
      <w:r w:rsidR="000C31E6">
        <w:rPr>
          <w:rFonts w:cstheme="minorHAnsi"/>
          <w:sz w:val="24"/>
          <w:szCs w:val="24"/>
        </w:rPr>
        <w:t>days,</w:t>
      </w:r>
      <w:r w:rsidR="005664F8" w:rsidRPr="00487751">
        <w:rPr>
          <w:rFonts w:cstheme="minorHAnsi"/>
          <w:sz w:val="24"/>
          <w:szCs w:val="24"/>
        </w:rPr>
        <w:t xml:space="preserve"> Gaza War </w:t>
      </w:r>
      <w:r>
        <w:rPr>
          <w:rFonts w:cstheme="minorHAnsi"/>
          <w:sz w:val="24"/>
          <w:szCs w:val="24"/>
        </w:rPr>
        <w:t>had</w:t>
      </w:r>
      <w:r w:rsidR="005664F8" w:rsidRPr="00487751">
        <w:rPr>
          <w:rFonts w:cstheme="minorHAnsi"/>
          <w:sz w:val="24"/>
          <w:szCs w:val="24"/>
        </w:rPr>
        <w:t xml:space="preserve"> serious economic challenges for Jordan, particularly related to energy and logistics sectors as well as its indirect effects on various sectors including tourism, energy, water, labor market, investment, consumption, public finance, and key macroeconomic pillars in the economy.</w:t>
      </w:r>
    </w:p>
    <w:p w14:paraId="3B833768" w14:textId="6ABCE10A" w:rsidR="005664F8" w:rsidRPr="00487751" w:rsidRDefault="00231E24" w:rsidP="00734078">
      <w:pPr>
        <w:spacing w:line="360" w:lineRule="auto"/>
        <w:jc w:val="both"/>
        <w:rPr>
          <w:rFonts w:cstheme="minorHAnsi"/>
          <w:sz w:val="24"/>
          <w:szCs w:val="24"/>
        </w:rPr>
      </w:pPr>
      <w:r>
        <w:rPr>
          <w:rFonts w:cstheme="minorHAnsi"/>
          <w:sz w:val="24"/>
          <w:szCs w:val="24"/>
        </w:rPr>
        <w:t>The</w:t>
      </w:r>
      <w:r w:rsidR="005664F8" w:rsidRPr="00487751">
        <w:rPr>
          <w:rFonts w:cstheme="minorHAnsi"/>
          <w:sz w:val="24"/>
          <w:szCs w:val="24"/>
        </w:rPr>
        <w:t xml:space="preserve"> ongoing catastrophic situation in the Gaza Strip</w:t>
      </w:r>
      <w:r>
        <w:rPr>
          <w:rFonts w:cstheme="minorHAnsi"/>
          <w:sz w:val="24"/>
          <w:szCs w:val="24"/>
        </w:rPr>
        <w:t xml:space="preserve"> and the regional spell over of the conflict</w:t>
      </w:r>
      <w:r w:rsidR="005664F8" w:rsidRPr="00487751">
        <w:rPr>
          <w:rFonts w:cstheme="minorHAnsi"/>
          <w:sz w:val="24"/>
          <w:szCs w:val="24"/>
        </w:rPr>
        <w:t xml:space="preserve"> </w:t>
      </w:r>
      <w:r>
        <w:rPr>
          <w:rFonts w:cstheme="minorHAnsi"/>
          <w:sz w:val="24"/>
          <w:szCs w:val="24"/>
        </w:rPr>
        <w:t xml:space="preserve">have </w:t>
      </w:r>
      <w:r w:rsidRPr="00487751">
        <w:rPr>
          <w:rFonts w:cstheme="minorHAnsi"/>
          <w:sz w:val="24"/>
          <w:szCs w:val="24"/>
        </w:rPr>
        <w:t>already</w:t>
      </w:r>
      <w:r w:rsidR="005664F8" w:rsidRPr="00487751">
        <w:rPr>
          <w:rFonts w:cstheme="minorHAnsi"/>
          <w:sz w:val="24"/>
          <w:szCs w:val="24"/>
        </w:rPr>
        <w:t xml:space="preserve"> impacted Jordan economy through various channels including</w:t>
      </w:r>
      <w:r>
        <w:rPr>
          <w:rFonts w:cstheme="minorHAnsi"/>
          <w:sz w:val="24"/>
          <w:szCs w:val="24"/>
        </w:rPr>
        <w:t xml:space="preserve"> international and </w:t>
      </w:r>
      <w:r w:rsidRPr="00487751">
        <w:rPr>
          <w:rFonts w:cstheme="minorHAnsi"/>
          <w:sz w:val="24"/>
          <w:szCs w:val="24"/>
        </w:rPr>
        <w:t>domestic</w:t>
      </w:r>
      <w:r w:rsidR="005664F8" w:rsidRPr="00487751">
        <w:rPr>
          <w:rFonts w:cstheme="minorHAnsi"/>
          <w:sz w:val="24"/>
          <w:szCs w:val="24"/>
        </w:rPr>
        <w:t xml:space="preserve"> tourism, restaurants and cafes, and cancelation of social events due to solidarity with the Palestine people. </w:t>
      </w:r>
      <w:r>
        <w:rPr>
          <w:rFonts w:cstheme="minorHAnsi"/>
          <w:sz w:val="24"/>
          <w:szCs w:val="24"/>
        </w:rPr>
        <w:t xml:space="preserve">The ministry of tourism data </w:t>
      </w:r>
      <w:r w:rsidR="007A1D8C">
        <w:rPr>
          <w:rFonts w:cstheme="minorHAnsi"/>
          <w:sz w:val="24"/>
          <w:szCs w:val="24"/>
        </w:rPr>
        <w:t>indicates</w:t>
      </w:r>
      <w:r>
        <w:rPr>
          <w:rFonts w:cstheme="minorHAnsi"/>
          <w:sz w:val="24"/>
          <w:szCs w:val="24"/>
        </w:rPr>
        <w:t xml:space="preserve"> </w:t>
      </w:r>
      <w:r w:rsidR="007A1D8C">
        <w:rPr>
          <w:rFonts w:cstheme="minorHAnsi"/>
          <w:sz w:val="24"/>
          <w:szCs w:val="24"/>
        </w:rPr>
        <w:t>that cancellation</w:t>
      </w:r>
      <w:r>
        <w:rPr>
          <w:rFonts w:cstheme="minorHAnsi"/>
          <w:sz w:val="24"/>
          <w:szCs w:val="24"/>
        </w:rPr>
        <w:t xml:space="preserve"> of international tourism reached about 80% which has directly affected hotel </w:t>
      </w:r>
      <w:r w:rsidR="007A1D8C">
        <w:rPr>
          <w:rFonts w:cstheme="minorHAnsi"/>
          <w:sz w:val="24"/>
          <w:szCs w:val="24"/>
        </w:rPr>
        <w:t>occupancy, tourist</w:t>
      </w:r>
      <w:r>
        <w:rPr>
          <w:rFonts w:cstheme="minorHAnsi"/>
          <w:sz w:val="24"/>
          <w:szCs w:val="24"/>
        </w:rPr>
        <w:t xml:space="preserve"> </w:t>
      </w:r>
      <w:r w:rsidR="007A1D8C">
        <w:rPr>
          <w:rFonts w:cstheme="minorHAnsi"/>
          <w:sz w:val="24"/>
          <w:szCs w:val="24"/>
        </w:rPr>
        <w:t>companies, transport</w:t>
      </w:r>
      <w:r>
        <w:rPr>
          <w:rFonts w:cstheme="minorHAnsi"/>
          <w:sz w:val="24"/>
          <w:szCs w:val="24"/>
        </w:rPr>
        <w:t xml:space="preserve"> and car rental </w:t>
      </w:r>
      <w:r w:rsidR="007A1D8C">
        <w:rPr>
          <w:rFonts w:cstheme="minorHAnsi"/>
          <w:sz w:val="24"/>
          <w:szCs w:val="24"/>
        </w:rPr>
        <w:t>companies</w:t>
      </w:r>
      <w:r>
        <w:rPr>
          <w:rFonts w:cstheme="minorHAnsi"/>
          <w:sz w:val="24"/>
          <w:szCs w:val="24"/>
        </w:rPr>
        <w:t xml:space="preserve"> as well as </w:t>
      </w:r>
      <w:r w:rsidR="007A1D8C">
        <w:rPr>
          <w:rFonts w:cstheme="minorHAnsi"/>
          <w:sz w:val="24"/>
          <w:szCs w:val="24"/>
        </w:rPr>
        <w:t>restaurants</w:t>
      </w:r>
      <w:r>
        <w:rPr>
          <w:rFonts w:cstheme="minorHAnsi"/>
          <w:sz w:val="24"/>
          <w:szCs w:val="24"/>
        </w:rPr>
        <w:t>.</w:t>
      </w:r>
      <w:r w:rsidR="007A1D8C">
        <w:rPr>
          <w:rFonts w:cstheme="minorHAnsi"/>
          <w:sz w:val="24"/>
          <w:szCs w:val="24"/>
        </w:rPr>
        <w:t xml:space="preserve"> If the current crisis continues it is expected that unemployment and poverty will increase. The UNDP Regional Arab States estimated that more than 200,000 people will slip into poverty in the first three months of the crise and it will double if the crisis continues for another three months.</w:t>
      </w:r>
    </w:p>
    <w:p w14:paraId="33F1726A" w14:textId="5390273E" w:rsidR="005664F8" w:rsidRPr="00487751" w:rsidRDefault="007A1D8C" w:rsidP="00734078">
      <w:pPr>
        <w:spacing w:line="360" w:lineRule="auto"/>
        <w:jc w:val="both"/>
        <w:rPr>
          <w:rFonts w:cstheme="minorHAnsi"/>
          <w:sz w:val="24"/>
          <w:szCs w:val="24"/>
        </w:rPr>
      </w:pPr>
      <w:r>
        <w:rPr>
          <w:rFonts w:cstheme="minorHAnsi"/>
          <w:sz w:val="24"/>
          <w:szCs w:val="24"/>
        </w:rPr>
        <w:t xml:space="preserve">Also, the </w:t>
      </w:r>
      <w:r w:rsidR="005664F8" w:rsidRPr="000C31E6">
        <w:rPr>
          <w:rFonts w:cstheme="minorHAnsi"/>
          <w:sz w:val="24"/>
          <w:szCs w:val="24"/>
        </w:rPr>
        <w:t xml:space="preserve">rising </w:t>
      </w:r>
      <w:r w:rsidR="00496B9B" w:rsidRPr="000C31E6">
        <w:rPr>
          <w:rFonts w:cstheme="minorHAnsi"/>
          <w:sz w:val="24"/>
          <w:szCs w:val="24"/>
        </w:rPr>
        <w:t xml:space="preserve">security risks and </w:t>
      </w:r>
      <w:r w:rsidR="000C31E6" w:rsidRPr="000C31E6">
        <w:rPr>
          <w:rFonts w:cstheme="minorHAnsi"/>
          <w:sz w:val="24"/>
          <w:szCs w:val="24"/>
        </w:rPr>
        <w:t>challenges</w:t>
      </w:r>
      <w:r w:rsidR="000C31E6">
        <w:rPr>
          <w:rFonts w:cstheme="minorHAnsi"/>
          <w:b/>
          <w:bCs/>
          <w:sz w:val="24"/>
          <w:szCs w:val="24"/>
        </w:rPr>
        <w:t>,</w:t>
      </w:r>
      <w:r w:rsidR="000C31E6" w:rsidRPr="00487751">
        <w:rPr>
          <w:rFonts w:cstheme="minorHAnsi"/>
          <w:sz w:val="24"/>
          <w:szCs w:val="24"/>
        </w:rPr>
        <w:t xml:space="preserve"> </w:t>
      </w:r>
      <w:r w:rsidR="000C31E6">
        <w:rPr>
          <w:rFonts w:cstheme="minorHAnsi"/>
          <w:sz w:val="24"/>
          <w:szCs w:val="24"/>
        </w:rPr>
        <w:t>especially</w:t>
      </w:r>
      <w:r>
        <w:rPr>
          <w:rFonts w:cstheme="minorHAnsi"/>
          <w:sz w:val="24"/>
          <w:szCs w:val="24"/>
        </w:rPr>
        <w:t xml:space="preserve"> cross </w:t>
      </w:r>
      <w:r w:rsidR="00E81B3F">
        <w:rPr>
          <w:rFonts w:cstheme="minorHAnsi"/>
          <w:sz w:val="24"/>
          <w:szCs w:val="24"/>
        </w:rPr>
        <w:t>border security</w:t>
      </w:r>
      <w:r>
        <w:rPr>
          <w:rFonts w:cstheme="minorHAnsi"/>
          <w:sz w:val="24"/>
          <w:szCs w:val="24"/>
        </w:rPr>
        <w:t xml:space="preserve"> (Drug War)</w:t>
      </w:r>
      <w:r w:rsidR="005664F8" w:rsidRPr="00487751">
        <w:rPr>
          <w:rFonts w:cstheme="minorHAnsi"/>
          <w:sz w:val="24"/>
          <w:szCs w:val="24"/>
        </w:rPr>
        <w:t xml:space="preserve"> have already accelerated the military expenses which may have negative effects on other expenditure components of government budget such as capital and social expenditures.</w:t>
      </w:r>
    </w:p>
    <w:p w14:paraId="1EDB1A1C" w14:textId="0437B36A" w:rsidR="007A1D8C" w:rsidRPr="00487751" w:rsidRDefault="005664F8" w:rsidP="00734078">
      <w:pPr>
        <w:spacing w:line="360" w:lineRule="auto"/>
        <w:jc w:val="both"/>
        <w:rPr>
          <w:rFonts w:cstheme="minorHAnsi"/>
          <w:sz w:val="24"/>
          <w:szCs w:val="24"/>
        </w:rPr>
      </w:pPr>
      <w:r w:rsidRPr="00487751">
        <w:rPr>
          <w:rFonts w:cstheme="minorHAnsi"/>
          <w:sz w:val="24"/>
          <w:szCs w:val="24"/>
        </w:rPr>
        <w:t>If th</w:t>
      </w:r>
      <w:r w:rsidR="00496B9B">
        <w:rPr>
          <w:rFonts w:cstheme="minorHAnsi"/>
          <w:sz w:val="24"/>
          <w:szCs w:val="24"/>
        </w:rPr>
        <w:t>e</w:t>
      </w:r>
      <w:r w:rsidRPr="00487751">
        <w:rPr>
          <w:rFonts w:cstheme="minorHAnsi"/>
          <w:sz w:val="24"/>
          <w:szCs w:val="24"/>
        </w:rPr>
        <w:t xml:space="preserve"> situation continues in the coming year, then it would have serious negative effects on the</w:t>
      </w:r>
      <w:r w:rsidR="00496B9B">
        <w:rPr>
          <w:rFonts w:cstheme="minorHAnsi"/>
          <w:sz w:val="24"/>
          <w:szCs w:val="24"/>
        </w:rPr>
        <w:t xml:space="preserve"> </w:t>
      </w:r>
      <w:r w:rsidRPr="00487751">
        <w:rPr>
          <w:rFonts w:cstheme="minorHAnsi"/>
          <w:sz w:val="24"/>
          <w:szCs w:val="24"/>
        </w:rPr>
        <w:t xml:space="preserve">revenue generation and would have serious constraints on the economy through rising </w:t>
      </w:r>
      <w:r w:rsidR="00CA4478">
        <w:rPr>
          <w:rFonts w:cstheme="minorHAnsi"/>
          <w:sz w:val="24"/>
          <w:szCs w:val="24"/>
        </w:rPr>
        <w:t xml:space="preserve">inflation, </w:t>
      </w:r>
      <w:r w:rsidRPr="00487751">
        <w:rPr>
          <w:rFonts w:cstheme="minorHAnsi"/>
          <w:sz w:val="24"/>
          <w:szCs w:val="24"/>
        </w:rPr>
        <w:t xml:space="preserve">unemployment and decreasing in government’s revenue collection </w:t>
      </w:r>
      <w:r w:rsidR="00496B9B" w:rsidRPr="00487751">
        <w:rPr>
          <w:rFonts w:cstheme="minorHAnsi"/>
          <w:sz w:val="24"/>
          <w:szCs w:val="24"/>
        </w:rPr>
        <w:t xml:space="preserve">particularly from </w:t>
      </w:r>
      <w:r w:rsidR="00496B9B" w:rsidRPr="00487751">
        <w:rPr>
          <w:rFonts w:cstheme="minorHAnsi"/>
          <w:sz w:val="24"/>
          <w:szCs w:val="24"/>
        </w:rPr>
        <w:lastRenderedPageBreak/>
        <w:t>corporate/business sector.</w:t>
      </w:r>
      <w:r w:rsidR="00496B9B" w:rsidRPr="00496B9B">
        <w:rPr>
          <w:rFonts w:cstheme="minorHAnsi"/>
          <w:sz w:val="24"/>
          <w:szCs w:val="24"/>
        </w:rPr>
        <w:t xml:space="preserve"> </w:t>
      </w:r>
      <w:r w:rsidR="00496B9B">
        <w:rPr>
          <w:rFonts w:cstheme="minorHAnsi"/>
          <w:sz w:val="24"/>
          <w:szCs w:val="24"/>
        </w:rPr>
        <w:t>Also,</w:t>
      </w:r>
      <w:r w:rsidR="00496B9B" w:rsidRPr="00487751">
        <w:rPr>
          <w:rFonts w:cstheme="minorHAnsi"/>
          <w:sz w:val="24"/>
          <w:szCs w:val="24"/>
        </w:rPr>
        <w:t xml:space="preserve"> the government’s budget may face serious shortages in the coming period if the current situation continues to escalate. More specifically, expected revenues may not be collected and some expenditures may be blocked due to rising expenses for military and security issues.</w:t>
      </w:r>
    </w:p>
    <w:p w14:paraId="2FDBFAD7" w14:textId="6608F66A" w:rsidR="007A1D8C" w:rsidRPr="00487751" w:rsidRDefault="005664F8" w:rsidP="00734078">
      <w:pPr>
        <w:spacing w:line="360" w:lineRule="auto"/>
        <w:jc w:val="both"/>
        <w:rPr>
          <w:rFonts w:cstheme="minorHAnsi"/>
          <w:sz w:val="24"/>
          <w:szCs w:val="24"/>
        </w:rPr>
      </w:pPr>
      <w:r w:rsidRPr="00487751">
        <w:rPr>
          <w:rFonts w:cstheme="minorHAnsi"/>
          <w:sz w:val="24"/>
          <w:szCs w:val="24"/>
        </w:rPr>
        <w:t xml:space="preserve"> </w:t>
      </w:r>
      <w:r w:rsidR="002F1581">
        <w:rPr>
          <w:rFonts w:cstheme="minorHAnsi"/>
          <w:sz w:val="24"/>
          <w:szCs w:val="24"/>
        </w:rPr>
        <w:t>T</w:t>
      </w:r>
      <w:r w:rsidRPr="00487751">
        <w:rPr>
          <w:rFonts w:cstheme="minorHAnsi"/>
          <w:sz w:val="24"/>
          <w:szCs w:val="24"/>
        </w:rPr>
        <w:t>he government</w:t>
      </w:r>
      <w:r w:rsidR="002F1581">
        <w:rPr>
          <w:rFonts w:cstheme="minorHAnsi"/>
          <w:sz w:val="24"/>
          <w:szCs w:val="24"/>
        </w:rPr>
        <w:t xml:space="preserve"> of Jordan </w:t>
      </w:r>
      <w:r w:rsidR="002F1581" w:rsidRPr="00487751">
        <w:rPr>
          <w:rFonts w:cstheme="minorHAnsi"/>
          <w:sz w:val="24"/>
          <w:szCs w:val="24"/>
        </w:rPr>
        <w:t>has</w:t>
      </w:r>
      <w:r w:rsidRPr="00487751">
        <w:rPr>
          <w:rFonts w:cstheme="minorHAnsi"/>
          <w:sz w:val="24"/>
          <w:szCs w:val="24"/>
        </w:rPr>
        <w:t xml:space="preserve"> already initiated the new economic program with the IMF that would be officially </w:t>
      </w:r>
      <w:r w:rsidR="002F1581" w:rsidRPr="00487751">
        <w:rPr>
          <w:rFonts w:cstheme="minorHAnsi"/>
          <w:sz w:val="24"/>
          <w:szCs w:val="24"/>
        </w:rPr>
        <w:t>announced after</w:t>
      </w:r>
      <w:r w:rsidRPr="00487751">
        <w:rPr>
          <w:rFonts w:cstheme="minorHAnsi"/>
          <w:sz w:val="24"/>
          <w:szCs w:val="24"/>
        </w:rPr>
        <w:t xml:space="preserve"> the IMF Executive Board’s approval. </w:t>
      </w:r>
      <w:r w:rsidR="002F1581">
        <w:rPr>
          <w:rFonts w:cstheme="minorHAnsi"/>
          <w:sz w:val="24"/>
          <w:szCs w:val="24"/>
        </w:rPr>
        <w:t>T</w:t>
      </w:r>
      <w:r w:rsidRPr="00487751">
        <w:rPr>
          <w:rFonts w:cstheme="minorHAnsi"/>
          <w:sz w:val="24"/>
          <w:szCs w:val="24"/>
        </w:rPr>
        <w:t xml:space="preserve">he new IMF program would have specific targets for the government’s revenue and expenditure in the budget.  </w:t>
      </w:r>
    </w:p>
    <w:p w14:paraId="7E10B1D5" w14:textId="5DD03990" w:rsidR="005664F8" w:rsidRPr="00487751" w:rsidRDefault="000C31E6" w:rsidP="00734078">
      <w:pPr>
        <w:spacing w:line="360" w:lineRule="auto"/>
        <w:jc w:val="both"/>
        <w:rPr>
          <w:rFonts w:cstheme="minorHAnsi"/>
          <w:sz w:val="24"/>
          <w:szCs w:val="24"/>
        </w:rPr>
      </w:pPr>
      <w:r>
        <w:rPr>
          <w:rFonts w:cstheme="minorHAnsi"/>
          <w:sz w:val="24"/>
          <w:szCs w:val="24"/>
        </w:rPr>
        <w:t xml:space="preserve">It is needless to say that </w:t>
      </w:r>
      <w:r w:rsidR="005664F8" w:rsidRPr="00487751">
        <w:rPr>
          <w:rFonts w:cstheme="minorHAnsi"/>
          <w:sz w:val="24"/>
          <w:szCs w:val="24"/>
        </w:rPr>
        <w:t xml:space="preserve">under such </w:t>
      </w:r>
      <w:proofErr w:type="gramStart"/>
      <w:r w:rsidR="005664F8" w:rsidRPr="00487751">
        <w:rPr>
          <w:rFonts w:cstheme="minorHAnsi"/>
          <w:sz w:val="24"/>
          <w:szCs w:val="24"/>
        </w:rPr>
        <w:t>circumstances,</w:t>
      </w:r>
      <w:proofErr w:type="gramEnd"/>
      <w:r w:rsidR="005664F8" w:rsidRPr="00487751">
        <w:rPr>
          <w:rFonts w:cstheme="minorHAnsi"/>
          <w:sz w:val="24"/>
          <w:szCs w:val="24"/>
        </w:rPr>
        <w:t xml:space="preserve"> the government may change its sources of revenue collection from progressive to regressive structure that would </w:t>
      </w:r>
      <w:r>
        <w:rPr>
          <w:rFonts w:cstheme="minorHAnsi"/>
          <w:sz w:val="24"/>
          <w:szCs w:val="24"/>
        </w:rPr>
        <w:t>affect</w:t>
      </w:r>
      <w:r w:rsidRPr="00487751">
        <w:rPr>
          <w:rFonts w:cstheme="minorHAnsi"/>
          <w:sz w:val="24"/>
          <w:szCs w:val="24"/>
        </w:rPr>
        <w:t xml:space="preserve"> vulnerable</w:t>
      </w:r>
      <w:r w:rsidR="005664F8" w:rsidRPr="00487751">
        <w:rPr>
          <w:rFonts w:cstheme="minorHAnsi"/>
          <w:sz w:val="24"/>
          <w:szCs w:val="24"/>
        </w:rPr>
        <w:t xml:space="preserve"> groups more than higher income groups as it happened during the global pandemic crisis in 2020. </w:t>
      </w:r>
    </w:p>
    <w:p w14:paraId="61833D86" w14:textId="5B9AAD14" w:rsidR="005664F8" w:rsidRPr="00487751" w:rsidRDefault="000C31E6" w:rsidP="00734078">
      <w:pPr>
        <w:spacing w:line="360" w:lineRule="auto"/>
        <w:jc w:val="both"/>
        <w:rPr>
          <w:rFonts w:cstheme="minorHAnsi"/>
          <w:sz w:val="24"/>
          <w:szCs w:val="24"/>
        </w:rPr>
      </w:pPr>
      <w:r>
        <w:rPr>
          <w:rFonts w:cstheme="minorHAnsi"/>
          <w:sz w:val="24"/>
          <w:szCs w:val="24"/>
        </w:rPr>
        <w:t>The same</w:t>
      </w:r>
      <w:r w:rsidR="005664F8" w:rsidRPr="00487751">
        <w:rPr>
          <w:rFonts w:cstheme="minorHAnsi"/>
          <w:sz w:val="24"/>
          <w:szCs w:val="24"/>
        </w:rPr>
        <w:t xml:space="preserve"> situation is also valid for budgetary expenses since the government may significantly constrain social and capital expenses in the budget to create some additional fiscal space for military and security related issues. </w:t>
      </w:r>
    </w:p>
    <w:p w14:paraId="6312723E" w14:textId="77777777" w:rsidR="005664F8" w:rsidRDefault="005664F8" w:rsidP="00C15ADC">
      <w:pPr>
        <w:contextualSpacing/>
        <w:jc w:val="both"/>
        <w:rPr>
          <w:rFonts w:cstheme="minorHAnsi"/>
          <w:lang w:bidi="ar-JO"/>
        </w:rPr>
      </w:pPr>
    </w:p>
    <w:p w14:paraId="55B5A61D" w14:textId="77777777" w:rsidR="005664F8" w:rsidRDefault="005664F8" w:rsidP="00C15ADC">
      <w:pPr>
        <w:contextualSpacing/>
        <w:jc w:val="both"/>
        <w:rPr>
          <w:rFonts w:cstheme="minorHAnsi"/>
          <w:lang w:bidi="ar-JO"/>
        </w:rPr>
      </w:pPr>
    </w:p>
    <w:p w14:paraId="1AB72B00" w14:textId="77777777" w:rsidR="00734078" w:rsidRPr="00734078" w:rsidRDefault="00734078" w:rsidP="00734078">
      <w:pPr>
        <w:spacing w:line="360" w:lineRule="auto"/>
        <w:jc w:val="both"/>
        <w:rPr>
          <w:rFonts w:cstheme="minorHAnsi"/>
          <w:b/>
          <w:bCs/>
          <w:sz w:val="24"/>
          <w:szCs w:val="24"/>
        </w:rPr>
      </w:pPr>
      <w:r w:rsidRPr="00734078">
        <w:rPr>
          <w:rFonts w:cstheme="minorHAnsi"/>
          <w:b/>
          <w:bCs/>
          <w:sz w:val="24"/>
          <w:szCs w:val="24"/>
        </w:rPr>
        <w:t>Conclusion</w:t>
      </w:r>
    </w:p>
    <w:p w14:paraId="7FF94CB4" w14:textId="77777777" w:rsidR="00734078" w:rsidRDefault="00734078" w:rsidP="00734078">
      <w:pPr>
        <w:contextualSpacing/>
        <w:jc w:val="both"/>
        <w:rPr>
          <w:rFonts w:cstheme="minorHAnsi"/>
          <w:lang w:bidi="ar-JO"/>
        </w:rPr>
      </w:pPr>
    </w:p>
    <w:p w14:paraId="1A008DF4" w14:textId="2D22419E" w:rsidR="00734078" w:rsidRDefault="00734078" w:rsidP="00734078">
      <w:pPr>
        <w:pStyle w:val="ListParagraph"/>
        <w:numPr>
          <w:ilvl w:val="0"/>
          <w:numId w:val="2"/>
        </w:numPr>
        <w:spacing w:line="360" w:lineRule="auto"/>
        <w:jc w:val="both"/>
        <w:rPr>
          <w:rFonts w:asciiTheme="minorHAnsi" w:eastAsiaTheme="minorHAnsi" w:hAnsiTheme="minorHAnsi" w:cstheme="minorHAnsi"/>
          <w:kern w:val="2"/>
          <w:lang w:val="en-US"/>
          <w14:ligatures w14:val="standardContextual"/>
        </w:rPr>
      </w:pPr>
      <w:r w:rsidRPr="001F174D">
        <w:rPr>
          <w:rFonts w:asciiTheme="minorHAnsi" w:eastAsiaTheme="minorHAnsi" w:hAnsiTheme="minorHAnsi" w:cstheme="minorHAnsi"/>
          <w:kern w:val="2"/>
          <w:lang w:val="en-US"/>
          <w14:ligatures w14:val="standardContextual"/>
        </w:rPr>
        <w:t xml:space="preserve">The global pandemic, the Russian-Ukraine war, the war on Gaza, and the rising debt and the cost of debt service are posing a threat to the ability of advancing the SDGs in Jordan. </w:t>
      </w:r>
    </w:p>
    <w:p w14:paraId="163C1DDF" w14:textId="77777777" w:rsidR="00734078" w:rsidRPr="00734078" w:rsidRDefault="00734078" w:rsidP="00734078">
      <w:pPr>
        <w:pStyle w:val="ListParagraph"/>
        <w:spacing w:line="360" w:lineRule="auto"/>
        <w:jc w:val="both"/>
        <w:rPr>
          <w:rFonts w:asciiTheme="minorHAnsi" w:eastAsiaTheme="minorHAnsi" w:hAnsiTheme="minorHAnsi" w:cstheme="minorHAnsi"/>
          <w:kern w:val="2"/>
          <w:lang w:val="en-US"/>
          <w14:ligatures w14:val="standardContextual"/>
        </w:rPr>
      </w:pPr>
    </w:p>
    <w:p w14:paraId="22528729" w14:textId="77777777" w:rsidR="00734078" w:rsidRPr="00734078" w:rsidRDefault="00734078" w:rsidP="00734078">
      <w:pPr>
        <w:pStyle w:val="ListParagraph"/>
        <w:numPr>
          <w:ilvl w:val="0"/>
          <w:numId w:val="2"/>
        </w:numPr>
        <w:spacing w:line="360" w:lineRule="auto"/>
        <w:jc w:val="both"/>
        <w:rPr>
          <w:rFonts w:asciiTheme="minorHAnsi" w:eastAsiaTheme="minorHAnsi" w:hAnsiTheme="minorHAnsi" w:cstheme="minorHAnsi"/>
          <w:kern w:val="2"/>
          <w:rtl/>
          <w:lang w:val="en-US"/>
          <w14:ligatures w14:val="standardContextual"/>
        </w:rPr>
      </w:pPr>
      <w:r w:rsidRPr="001F174D">
        <w:rPr>
          <w:rFonts w:asciiTheme="minorHAnsi" w:eastAsiaTheme="minorHAnsi" w:hAnsiTheme="minorHAnsi" w:cstheme="minorHAnsi"/>
          <w:kern w:val="2"/>
          <w:lang w:val="en-US"/>
          <w14:ligatures w14:val="standardContextual"/>
        </w:rPr>
        <w:t xml:space="preserve">Austerity measures raise fears or question the possible balance between economic stability and social security, the potential negative impact on social development, inequality and welfare of the people. These austerity </w:t>
      </w:r>
      <w:r w:rsidRPr="00734078">
        <w:rPr>
          <w:rFonts w:asciiTheme="minorHAnsi" w:eastAsiaTheme="minorHAnsi" w:hAnsiTheme="minorHAnsi" w:cstheme="minorHAnsi"/>
          <w:kern w:val="2"/>
          <w:lang w:val="en-US"/>
          <w14:ligatures w14:val="standardContextual"/>
        </w:rPr>
        <w:t>measures</w:t>
      </w:r>
      <w:r w:rsidRPr="001F174D">
        <w:rPr>
          <w:rFonts w:asciiTheme="minorHAnsi" w:eastAsiaTheme="minorHAnsi" w:hAnsiTheme="minorHAnsi" w:cstheme="minorHAnsi"/>
          <w:kern w:val="2"/>
          <w:lang w:val="en-US"/>
          <w14:ligatures w14:val="standardContextual"/>
        </w:rPr>
        <w:t xml:space="preserve"> do not even achieve the declared objectives of sound economic growth and Job creation not to mention social development.</w:t>
      </w:r>
    </w:p>
    <w:p w14:paraId="5317E83D" w14:textId="77777777" w:rsidR="00734078" w:rsidRPr="001F174D" w:rsidRDefault="00734078" w:rsidP="00734078">
      <w:pPr>
        <w:contextualSpacing/>
        <w:jc w:val="both"/>
        <w:rPr>
          <w:rFonts w:cstheme="minorHAnsi"/>
          <w:sz w:val="24"/>
          <w:szCs w:val="24"/>
        </w:rPr>
      </w:pPr>
    </w:p>
    <w:p w14:paraId="57355CC7" w14:textId="77777777" w:rsidR="00734078" w:rsidRPr="00734078" w:rsidRDefault="00734078" w:rsidP="00734078">
      <w:pPr>
        <w:pStyle w:val="ListParagraph"/>
        <w:numPr>
          <w:ilvl w:val="0"/>
          <w:numId w:val="2"/>
        </w:numPr>
        <w:spacing w:line="360" w:lineRule="auto"/>
        <w:jc w:val="both"/>
        <w:rPr>
          <w:rFonts w:asciiTheme="minorHAnsi" w:eastAsiaTheme="minorHAnsi" w:hAnsiTheme="minorHAnsi" w:cstheme="minorHAnsi"/>
          <w:kern w:val="2"/>
          <w:rtl/>
          <w:lang w:val="en-US"/>
          <w14:ligatures w14:val="standardContextual"/>
        </w:rPr>
      </w:pPr>
      <w:r w:rsidRPr="001F174D">
        <w:rPr>
          <w:rFonts w:asciiTheme="minorHAnsi" w:eastAsiaTheme="minorHAnsi" w:hAnsiTheme="minorHAnsi" w:cstheme="minorHAnsi"/>
          <w:kern w:val="2"/>
          <w:lang w:val="en-US"/>
          <w14:ligatures w14:val="standardContextual"/>
        </w:rPr>
        <w:t xml:space="preserve">Jordan is not alone in this situation which raises the question about the role of different stakeholders in the realization of the SDGs and national development, including the </w:t>
      </w:r>
      <w:r w:rsidRPr="001F174D">
        <w:rPr>
          <w:rFonts w:asciiTheme="minorHAnsi" w:eastAsiaTheme="minorHAnsi" w:hAnsiTheme="minorHAnsi" w:cstheme="minorHAnsi"/>
          <w:kern w:val="2"/>
          <w:lang w:val="en-US"/>
          <w14:ligatures w14:val="standardContextual"/>
        </w:rPr>
        <w:lastRenderedPageBreak/>
        <w:t>International Financial Institutions. This might require a paradigm shift on the best way to strike a balance between debt management and social development.</w:t>
      </w:r>
    </w:p>
    <w:p w14:paraId="3535185C" w14:textId="77777777" w:rsidR="00734078" w:rsidRPr="001F174D" w:rsidRDefault="00734078" w:rsidP="00734078">
      <w:pPr>
        <w:contextualSpacing/>
        <w:jc w:val="both"/>
        <w:rPr>
          <w:rFonts w:cstheme="minorHAnsi"/>
          <w:sz w:val="24"/>
          <w:szCs w:val="24"/>
        </w:rPr>
      </w:pPr>
    </w:p>
    <w:p w14:paraId="50F441A2" w14:textId="77777777" w:rsidR="00734078" w:rsidRPr="00734078" w:rsidRDefault="00734078" w:rsidP="00734078">
      <w:pPr>
        <w:pStyle w:val="ListParagraph"/>
        <w:numPr>
          <w:ilvl w:val="0"/>
          <w:numId w:val="2"/>
        </w:numPr>
        <w:spacing w:line="360" w:lineRule="auto"/>
        <w:jc w:val="both"/>
        <w:rPr>
          <w:rFonts w:asciiTheme="minorHAnsi" w:eastAsiaTheme="minorHAnsi" w:hAnsiTheme="minorHAnsi" w:cstheme="minorHAnsi"/>
          <w:kern w:val="2"/>
          <w:lang w:val="en-US"/>
          <w14:ligatures w14:val="standardContextual"/>
        </w:rPr>
      </w:pPr>
      <w:r w:rsidRPr="001F174D">
        <w:rPr>
          <w:rFonts w:asciiTheme="minorHAnsi" w:eastAsiaTheme="minorHAnsi" w:hAnsiTheme="minorHAnsi" w:cstheme="minorHAnsi"/>
          <w:kern w:val="2"/>
          <w:lang w:val="en-US"/>
          <w14:ligatures w14:val="standardContextual"/>
        </w:rPr>
        <w:t>As far as ESC of Jordan, we are committed to advocate for human rights impact assessment on current and future reforms, economic policies, focusing on the link with socio-economic development and the living standards and on those who are or might be left behind.</w:t>
      </w:r>
    </w:p>
    <w:p w14:paraId="4586D73E" w14:textId="77777777" w:rsidR="00734078" w:rsidRPr="001F174D" w:rsidRDefault="00734078" w:rsidP="00734078">
      <w:pPr>
        <w:pStyle w:val="ListParagraph"/>
        <w:rPr>
          <w:rFonts w:cstheme="minorHAnsi"/>
          <w:sz w:val="36"/>
          <w:szCs w:val="36"/>
          <w:lang w:bidi="ar-JO"/>
        </w:rPr>
      </w:pPr>
    </w:p>
    <w:p w14:paraId="60FC34DF" w14:textId="77777777" w:rsidR="00734078" w:rsidRDefault="00734078" w:rsidP="00734078">
      <w:pPr>
        <w:spacing w:line="360" w:lineRule="auto"/>
        <w:jc w:val="both"/>
        <w:rPr>
          <w:rFonts w:cstheme="minorHAnsi"/>
          <w:sz w:val="36"/>
          <w:szCs w:val="36"/>
          <w:rtl/>
          <w:lang w:bidi="ar-JO"/>
        </w:rPr>
      </w:pPr>
    </w:p>
    <w:p w14:paraId="46853690" w14:textId="77777777" w:rsidR="00734078" w:rsidRDefault="00734078" w:rsidP="00734078">
      <w:pPr>
        <w:spacing w:line="360" w:lineRule="auto"/>
        <w:jc w:val="both"/>
        <w:rPr>
          <w:rFonts w:cstheme="minorHAnsi"/>
          <w:sz w:val="36"/>
          <w:szCs w:val="36"/>
          <w:rtl/>
          <w:lang w:bidi="ar-JO"/>
        </w:rPr>
      </w:pPr>
    </w:p>
    <w:p w14:paraId="7F8B0D32" w14:textId="77777777" w:rsidR="00734078" w:rsidRPr="00734078" w:rsidRDefault="00734078" w:rsidP="00734078">
      <w:pPr>
        <w:spacing w:line="360" w:lineRule="auto"/>
        <w:jc w:val="center"/>
        <w:rPr>
          <w:rFonts w:cstheme="minorHAnsi"/>
          <w:b/>
          <w:bCs/>
          <w:sz w:val="36"/>
          <w:szCs w:val="36"/>
          <w:lang w:bidi="ar-JO"/>
        </w:rPr>
      </w:pPr>
      <w:r w:rsidRPr="00734078">
        <w:rPr>
          <w:rFonts w:cstheme="minorHAnsi"/>
          <w:b/>
          <w:bCs/>
          <w:sz w:val="36"/>
          <w:szCs w:val="36"/>
          <w:lang w:bidi="ar-JO"/>
        </w:rPr>
        <w:t>******</w:t>
      </w:r>
    </w:p>
    <w:p w14:paraId="71B552D2" w14:textId="77777777" w:rsidR="005664F8" w:rsidRDefault="005664F8" w:rsidP="00C15ADC">
      <w:pPr>
        <w:contextualSpacing/>
        <w:jc w:val="both"/>
        <w:rPr>
          <w:rFonts w:cstheme="minorHAnsi"/>
          <w:lang w:bidi="ar-JO"/>
        </w:rPr>
      </w:pPr>
    </w:p>
    <w:p w14:paraId="543742CA" w14:textId="77777777" w:rsidR="005664F8" w:rsidRDefault="005664F8" w:rsidP="00C15ADC">
      <w:pPr>
        <w:contextualSpacing/>
        <w:jc w:val="both"/>
        <w:rPr>
          <w:rFonts w:cstheme="minorHAnsi"/>
          <w:lang w:bidi="ar-JO"/>
        </w:rPr>
      </w:pPr>
    </w:p>
    <w:p w14:paraId="670A2D00" w14:textId="77777777" w:rsidR="005664F8" w:rsidRDefault="005664F8" w:rsidP="00C15ADC">
      <w:pPr>
        <w:contextualSpacing/>
        <w:jc w:val="both"/>
        <w:rPr>
          <w:rFonts w:cstheme="minorHAnsi"/>
          <w:lang w:bidi="ar-JO"/>
        </w:rPr>
      </w:pPr>
    </w:p>
    <w:p w14:paraId="0C6D4F3E" w14:textId="77777777" w:rsidR="005664F8" w:rsidRDefault="005664F8" w:rsidP="00C15ADC">
      <w:pPr>
        <w:contextualSpacing/>
        <w:jc w:val="both"/>
        <w:rPr>
          <w:rFonts w:cstheme="minorHAnsi"/>
          <w:lang w:bidi="ar-JO"/>
        </w:rPr>
      </w:pPr>
    </w:p>
    <w:p w14:paraId="5885A2C3" w14:textId="77777777" w:rsidR="005664F8" w:rsidRDefault="005664F8" w:rsidP="00C15ADC">
      <w:pPr>
        <w:contextualSpacing/>
        <w:jc w:val="both"/>
        <w:rPr>
          <w:rFonts w:cstheme="minorHAnsi"/>
          <w:lang w:bidi="ar-JO"/>
        </w:rPr>
      </w:pPr>
    </w:p>
    <w:p w14:paraId="19C1F73F" w14:textId="77777777" w:rsidR="005664F8" w:rsidRDefault="005664F8" w:rsidP="00C15ADC">
      <w:pPr>
        <w:contextualSpacing/>
        <w:jc w:val="both"/>
        <w:rPr>
          <w:rFonts w:cstheme="minorHAnsi"/>
          <w:lang w:bidi="ar-JO"/>
        </w:rPr>
      </w:pPr>
    </w:p>
    <w:p w14:paraId="4136EEA6" w14:textId="77777777" w:rsidR="005664F8" w:rsidRDefault="005664F8" w:rsidP="00C15ADC">
      <w:pPr>
        <w:contextualSpacing/>
        <w:jc w:val="both"/>
        <w:rPr>
          <w:rFonts w:cstheme="minorHAnsi"/>
          <w:lang w:bidi="ar-JO"/>
        </w:rPr>
      </w:pPr>
    </w:p>
    <w:p w14:paraId="736E2A12" w14:textId="77777777" w:rsidR="005664F8" w:rsidRDefault="005664F8" w:rsidP="00C15ADC">
      <w:pPr>
        <w:contextualSpacing/>
        <w:jc w:val="both"/>
        <w:rPr>
          <w:rFonts w:cstheme="minorHAnsi"/>
          <w:lang w:bidi="ar-JO"/>
        </w:rPr>
      </w:pPr>
    </w:p>
    <w:p w14:paraId="6450F796" w14:textId="77777777" w:rsidR="005664F8" w:rsidRDefault="005664F8" w:rsidP="00C15ADC">
      <w:pPr>
        <w:contextualSpacing/>
        <w:jc w:val="both"/>
        <w:rPr>
          <w:rFonts w:cstheme="minorHAnsi"/>
          <w:lang w:bidi="ar-JO"/>
        </w:rPr>
      </w:pPr>
    </w:p>
    <w:p w14:paraId="113729DC" w14:textId="77777777" w:rsidR="005664F8" w:rsidRDefault="005664F8" w:rsidP="00C15ADC">
      <w:pPr>
        <w:contextualSpacing/>
        <w:jc w:val="both"/>
        <w:rPr>
          <w:rFonts w:cstheme="minorHAnsi"/>
          <w:lang w:bidi="ar-JO"/>
        </w:rPr>
      </w:pPr>
    </w:p>
    <w:p w14:paraId="0C4D93C6" w14:textId="77777777" w:rsidR="005664F8" w:rsidRDefault="005664F8" w:rsidP="00C15ADC">
      <w:pPr>
        <w:contextualSpacing/>
        <w:jc w:val="both"/>
        <w:rPr>
          <w:rFonts w:cstheme="minorHAnsi"/>
          <w:lang w:bidi="ar-JO"/>
        </w:rPr>
      </w:pPr>
    </w:p>
    <w:p w14:paraId="172AC4E9" w14:textId="77777777" w:rsidR="005664F8" w:rsidRDefault="005664F8" w:rsidP="00C15ADC">
      <w:pPr>
        <w:contextualSpacing/>
        <w:jc w:val="both"/>
        <w:rPr>
          <w:rFonts w:cstheme="minorHAnsi"/>
          <w:lang w:bidi="ar-JO"/>
        </w:rPr>
      </w:pPr>
    </w:p>
    <w:p w14:paraId="5ED0D80A" w14:textId="77777777" w:rsidR="005664F8" w:rsidRDefault="005664F8" w:rsidP="00C15ADC">
      <w:pPr>
        <w:contextualSpacing/>
        <w:jc w:val="both"/>
        <w:rPr>
          <w:rFonts w:cstheme="minorHAnsi"/>
          <w:lang w:bidi="ar-JO"/>
        </w:rPr>
      </w:pPr>
    </w:p>
    <w:p w14:paraId="0CFCD6B8" w14:textId="77777777" w:rsidR="005664F8" w:rsidRDefault="005664F8" w:rsidP="00C15ADC">
      <w:pPr>
        <w:contextualSpacing/>
        <w:jc w:val="both"/>
        <w:rPr>
          <w:rFonts w:cstheme="minorHAnsi"/>
          <w:lang w:bidi="ar-JO"/>
        </w:rPr>
      </w:pPr>
    </w:p>
    <w:p w14:paraId="5AC61793" w14:textId="77777777" w:rsidR="005664F8" w:rsidRDefault="005664F8" w:rsidP="00C15ADC">
      <w:pPr>
        <w:contextualSpacing/>
        <w:jc w:val="both"/>
        <w:rPr>
          <w:rFonts w:cstheme="minorHAnsi"/>
          <w:lang w:bidi="ar-JO"/>
        </w:rPr>
      </w:pPr>
    </w:p>
    <w:p w14:paraId="7C834E39" w14:textId="77777777" w:rsidR="005664F8" w:rsidRDefault="005664F8" w:rsidP="00C15ADC">
      <w:pPr>
        <w:contextualSpacing/>
        <w:jc w:val="both"/>
        <w:rPr>
          <w:rFonts w:cstheme="minorHAnsi"/>
          <w:lang w:bidi="ar-JO"/>
        </w:rPr>
      </w:pPr>
    </w:p>
    <w:p w14:paraId="545CC928" w14:textId="77777777" w:rsidR="005664F8" w:rsidRDefault="005664F8" w:rsidP="00C15ADC">
      <w:pPr>
        <w:contextualSpacing/>
        <w:jc w:val="both"/>
        <w:rPr>
          <w:rFonts w:cstheme="minorHAnsi"/>
          <w:lang w:bidi="ar-JO"/>
        </w:rPr>
      </w:pPr>
    </w:p>
    <w:sectPr w:rsidR="005664F8" w:rsidSect="000F7AF2">
      <w:footerReference w:type="default" r:id="rId1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015E9" w14:textId="77777777" w:rsidR="0005267D" w:rsidRDefault="0005267D" w:rsidP="00487751">
      <w:pPr>
        <w:spacing w:after="0" w:line="240" w:lineRule="auto"/>
      </w:pPr>
      <w:r>
        <w:separator/>
      </w:r>
    </w:p>
  </w:endnote>
  <w:endnote w:type="continuationSeparator" w:id="0">
    <w:p w14:paraId="74DA6DB4" w14:textId="77777777" w:rsidR="0005267D" w:rsidRDefault="0005267D" w:rsidP="0048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Neue Frutiger World">
    <w:panose1 w:val="020B0803040304020203"/>
    <w:charset w:val="00"/>
    <w:family w:val="swiss"/>
    <w:pitch w:val="variable"/>
    <w:sig w:usb0="A5002EEF" w:usb1="C0000023" w:usb2="00000008" w:usb3="00000000" w:csb0="0001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331668"/>
      <w:docPartObj>
        <w:docPartGallery w:val="Page Numbers (Bottom of Page)"/>
        <w:docPartUnique/>
      </w:docPartObj>
    </w:sdtPr>
    <w:sdtEndPr>
      <w:rPr>
        <w:noProof/>
      </w:rPr>
    </w:sdtEndPr>
    <w:sdtContent>
      <w:p w14:paraId="52626C5C" w14:textId="542148B6" w:rsidR="00734078" w:rsidRDefault="007340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C9B59B" w14:textId="77777777" w:rsidR="00734078" w:rsidRDefault="00734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2D037" w14:textId="77777777" w:rsidR="0005267D" w:rsidRDefault="0005267D" w:rsidP="00487751">
      <w:pPr>
        <w:spacing w:after="0" w:line="240" w:lineRule="auto"/>
      </w:pPr>
      <w:r>
        <w:separator/>
      </w:r>
    </w:p>
  </w:footnote>
  <w:footnote w:type="continuationSeparator" w:id="0">
    <w:p w14:paraId="249CC754" w14:textId="77777777" w:rsidR="0005267D" w:rsidRDefault="0005267D" w:rsidP="00487751">
      <w:pPr>
        <w:spacing w:after="0" w:line="240" w:lineRule="auto"/>
      </w:pPr>
      <w:r>
        <w:continuationSeparator/>
      </w:r>
    </w:p>
  </w:footnote>
  <w:footnote w:id="1">
    <w:p w14:paraId="3E983306" w14:textId="77777777" w:rsidR="00487751" w:rsidRPr="009915F3" w:rsidRDefault="00487751" w:rsidP="00487751">
      <w:pPr>
        <w:pStyle w:val="FootnoteText"/>
      </w:pPr>
      <w:r>
        <w:rPr>
          <w:rStyle w:val="FootnoteReference"/>
        </w:rPr>
        <w:footnoteRef/>
      </w:r>
      <w:r>
        <w:t xml:space="preserve"> Non-bank source is mainly the SSIF.</w:t>
      </w:r>
    </w:p>
  </w:footnote>
  <w:footnote w:id="2">
    <w:p w14:paraId="6FEA4598" w14:textId="77777777" w:rsidR="00487751" w:rsidRPr="00B96E9E" w:rsidRDefault="00487751" w:rsidP="00487751">
      <w:pPr>
        <w:pStyle w:val="FootnoteText"/>
        <w:rPr>
          <w:i/>
          <w:iCs/>
        </w:rPr>
      </w:pPr>
      <w:r w:rsidRPr="00B96E9E">
        <w:rPr>
          <w:rStyle w:val="FootnoteReference"/>
          <w:i/>
          <w:iCs/>
        </w:rPr>
        <w:footnoteRef/>
      </w:r>
      <w:r w:rsidRPr="00B96E9E">
        <w:rPr>
          <w:i/>
          <w:iCs/>
        </w:rPr>
        <w:t xml:space="preserve"> </w:t>
      </w:r>
      <w:r w:rsidRPr="00B96E9E">
        <w:rPr>
          <w:rFonts w:asciiTheme="majorBidi" w:hAnsiTheme="majorBidi" w:cstheme="majorBidi"/>
          <w:i/>
          <w:iCs/>
          <w:lang w:bidi="ar-JO"/>
        </w:rPr>
        <w:t>Source: Social safety nets: Building on successful reforms in Jordan, Public Expenditure Review, World Bank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9A5"/>
    <w:multiLevelType w:val="hybridMultilevel"/>
    <w:tmpl w:val="2046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94E64"/>
    <w:multiLevelType w:val="hybridMultilevel"/>
    <w:tmpl w:val="7CA8BF5E"/>
    <w:lvl w:ilvl="0" w:tplc="762A90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4F"/>
    <w:rsid w:val="0005267D"/>
    <w:rsid w:val="00096208"/>
    <w:rsid w:val="000A7ABA"/>
    <w:rsid w:val="000C31E6"/>
    <w:rsid w:val="000C3E42"/>
    <w:rsid w:val="000F7663"/>
    <w:rsid w:val="000F7AF2"/>
    <w:rsid w:val="00132F91"/>
    <w:rsid w:val="00134093"/>
    <w:rsid w:val="001346BF"/>
    <w:rsid w:val="00154E41"/>
    <w:rsid w:val="00176C8D"/>
    <w:rsid w:val="00194BB1"/>
    <w:rsid w:val="001F2968"/>
    <w:rsid w:val="002078AA"/>
    <w:rsid w:val="00231E24"/>
    <w:rsid w:val="00232527"/>
    <w:rsid w:val="00251C75"/>
    <w:rsid w:val="002F1581"/>
    <w:rsid w:val="00320839"/>
    <w:rsid w:val="00337ABC"/>
    <w:rsid w:val="00376B46"/>
    <w:rsid w:val="00376D2D"/>
    <w:rsid w:val="003854F4"/>
    <w:rsid w:val="00394A0B"/>
    <w:rsid w:val="003A4506"/>
    <w:rsid w:val="00404AA3"/>
    <w:rsid w:val="0041524F"/>
    <w:rsid w:val="00430598"/>
    <w:rsid w:val="004561CB"/>
    <w:rsid w:val="00487751"/>
    <w:rsid w:val="00494703"/>
    <w:rsid w:val="00496B9B"/>
    <w:rsid w:val="004A48EC"/>
    <w:rsid w:val="00517461"/>
    <w:rsid w:val="005464ED"/>
    <w:rsid w:val="005664F8"/>
    <w:rsid w:val="005C6900"/>
    <w:rsid w:val="00610DD4"/>
    <w:rsid w:val="0064277C"/>
    <w:rsid w:val="00643BCB"/>
    <w:rsid w:val="006B1129"/>
    <w:rsid w:val="006C14C9"/>
    <w:rsid w:val="00703723"/>
    <w:rsid w:val="00734078"/>
    <w:rsid w:val="007579F8"/>
    <w:rsid w:val="007A1D8C"/>
    <w:rsid w:val="007C1942"/>
    <w:rsid w:val="007F3E1D"/>
    <w:rsid w:val="00857258"/>
    <w:rsid w:val="00865D6D"/>
    <w:rsid w:val="008700DA"/>
    <w:rsid w:val="008739F0"/>
    <w:rsid w:val="00914F4A"/>
    <w:rsid w:val="00937997"/>
    <w:rsid w:val="00977CDD"/>
    <w:rsid w:val="009E7EB5"/>
    <w:rsid w:val="009F60C0"/>
    <w:rsid w:val="00A10097"/>
    <w:rsid w:val="00A209DC"/>
    <w:rsid w:val="00A21126"/>
    <w:rsid w:val="00A31122"/>
    <w:rsid w:val="00A41D53"/>
    <w:rsid w:val="00A918F4"/>
    <w:rsid w:val="00A9445D"/>
    <w:rsid w:val="00B0297E"/>
    <w:rsid w:val="00BB01E4"/>
    <w:rsid w:val="00BD7C12"/>
    <w:rsid w:val="00BE5989"/>
    <w:rsid w:val="00C155B0"/>
    <w:rsid w:val="00C15ADC"/>
    <w:rsid w:val="00C71AEC"/>
    <w:rsid w:val="00C961F8"/>
    <w:rsid w:val="00CA4478"/>
    <w:rsid w:val="00CC0440"/>
    <w:rsid w:val="00CC7F78"/>
    <w:rsid w:val="00CF0B29"/>
    <w:rsid w:val="00D070EA"/>
    <w:rsid w:val="00D56E71"/>
    <w:rsid w:val="00E81B3F"/>
    <w:rsid w:val="00EC5D5F"/>
    <w:rsid w:val="00F038A4"/>
    <w:rsid w:val="00F0633E"/>
    <w:rsid w:val="00F13290"/>
    <w:rsid w:val="00F13E23"/>
    <w:rsid w:val="00F74E56"/>
    <w:rsid w:val="00FE21EB"/>
    <w:rsid w:val="00FF1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E403"/>
  <w15:chartTrackingRefBased/>
  <w15:docId w15:val="{EEAC2D3B-7BB1-4164-B231-0D99EF06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77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751"/>
    <w:rPr>
      <w:sz w:val="20"/>
      <w:szCs w:val="20"/>
    </w:rPr>
  </w:style>
  <w:style w:type="character" w:styleId="FootnoteReference">
    <w:name w:val="footnote reference"/>
    <w:basedOn w:val="DefaultParagraphFont"/>
    <w:uiPriority w:val="99"/>
    <w:semiHidden/>
    <w:unhideWhenUsed/>
    <w:rsid w:val="00487751"/>
    <w:rPr>
      <w:vertAlign w:val="superscript"/>
    </w:rPr>
  </w:style>
  <w:style w:type="paragraph" w:styleId="ListParagraph">
    <w:name w:val="List Paragraph"/>
    <w:basedOn w:val="Normal"/>
    <w:uiPriority w:val="34"/>
    <w:qFormat/>
    <w:rsid w:val="008700DA"/>
    <w:pPr>
      <w:spacing w:after="0" w:line="240" w:lineRule="auto"/>
      <w:ind w:left="720"/>
      <w:contextualSpacing/>
    </w:pPr>
    <w:rPr>
      <w:rFonts w:ascii="Times New Roman" w:eastAsia="Times New Roman" w:hAnsi="Times New Roman" w:cs="Times New Roman"/>
      <w:kern w:val="0"/>
      <w:sz w:val="24"/>
      <w:szCs w:val="24"/>
      <w:lang w:val="en"/>
      <w14:ligatures w14:val="none"/>
    </w:rPr>
  </w:style>
  <w:style w:type="character" w:customStyle="1" w:styleId="ui-provider">
    <w:name w:val="ui-provider"/>
    <w:basedOn w:val="DefaultParagraphFont"/>
    <w:rsid w:val="00C155B0"/>
  </w:style>
  <w:style w:type="paragraph" w:styleId="Header">
    <w:name w:val="header"/>
    <w:basedOn w:val="Normal"/>
    <w:link w:val="HeaderChar"/>
    <w:uiPriority w:val="99"/>
    <w:unhideWhenUsed/>
    <w:rsid w:val="00734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078"/>
  </w:style>
  <w:style w:type="paragraph" w:styleId="Footer">
    <w:name w:val="footer"/>
    <w:basedOn w:val="Normal"/>
    <w:link w:val="FooterChar"/>
    <w:uiPriority w:val="99"/>
    <w:unhideWhenUsed/>
    <w:rsid w:val="00734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40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0439632545932"/>
          <c:y val="8.1747392277072381E-2"/>
          <c:w val="0.81190048118985125"/>
          <c:h val="0.85759246883807416"/>
        </c:manualLayout>
      </c:layout>
      <c:lineChart>
        <c:grouping val="standard"/>
        <c:varyColors val="0"/>
        <c:ser>
          <c:idx val="0"/>
          <c:order val="0"/>
          <c:tx>
            <c:strRef>
              <c:f>'[Chart in Microsoft Word]نسبة النمو الاقتصادي'!$M$8:$M$18</c:f>
              <c:strCache>
                <c:ptCount val="11"/>
                <c:pt idx="0">
                  <c:v>2.3</c:v>
                </c:pt>
                <c:pt idx="1">
                  <c:v>2.7</c:v>
                </c:pt>
                <c:pt idx="2">
                  <c:v>2.4</c:v>
                </c:pt>
                <c:pt idx="3">
                  <c:v>2.6</c:v>
                </c:pt>
                <c:pt idx="4">
                  <c:v>3.4</c:v>
                </c:pt>
                <c:pt idx="5">
                  <c:v>2.5</c:v>
                </c:pt>
                <c:pt idx="6">
                  <c:v>2.0</c:v>
                </c:pt>
                <c:pt idx="7">
                  <c:v>2.1</c:v>
                </c:pt>
                <c:pt idx="8">
                  <c:v>1.9</c:v>
                </c:pt>
                <c:pt idx="9">
                  <c:v>2.0</c:v>
                </c:pt>
                <c:pt idx="10">
                  <c:v>-1.6</c:v>
                </c:pt>
              </c:strCache>
            </c:strRef>
          </c:tx>
          <c:spPr>
            <a:ln w="28575" cap="rnd">
              <a:solidFill>
                <a:schemeClr val="accent1"/>
              </a:solidFill>
              <a:round/>
            </a:ln>
            <a:effectLst/>
          </c:spPr>
          <c:marker>
            <c:symbol val="circle"/>
            <c:size val="5"/>
            <c:spPr>
              <a:solidFill>
                <a:srgbClr val="FF0000"/>
              </a:solidFill>
              <a:ln w="9525">
                <a:solidFill>
                  <a:srgbClr val="FF0000"/>
                </a:solidFill>
              </a:ln>
              <a:effectLst/>
            </c:spPr>
          </c:marker>
          <c:dLbls>
            <c:dLbl>
              <c:idx val="0"/>
              <c:layout>
                <c:manualLayout>
                  <c:x val="0"/>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F1-4625-8D56-01FD02AA2F1E}"/>
                </c:ext>
              </c:extLst>
            </c:dLbl>
            <c:dLbl>
              <c:idx val="1"/>
              <c:layout>
                <c:manualLayout>
                  <c:x val="-3.0555555555555555E-2"/>
                  <c:y val="-3.2407407407407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F1-4625-8D56-01FD02AA2F1E}"/>
                </c:ext>
              </c:extLst>
            </c:dLbl>
            <c:dLbl>
              <c:idx val="2"/>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F1-4625-8D56-01FD02AA2F1E}"/>
                </c:ext>
              </c:extLst>
            </c:dLbl>
            <c:dLbl>
              <c:idx val="5"/>
              <c:layout>
                <c:manualLayout>
                  <c:x val="-1.1111111111111112E-2"/>
                  <c:y val="-3.2407407407407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F1-4625-8D56-01FD02AA2F1E}"/>
                </c:ext>
              </c:extLst>
            </c:dLbl>
            <c:dLbl>
              <c:idx val="6"/>
              <c:layout>
                <c:manualLayout>
                  <c:x val="-4.1666666666666664E-2"/>
                  <c:y val="6.0185185185185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DF1-4625-8D56-01FD02AA2F1E}"/>
                </c:ext>
              </c:extLst>
            </c:dLbl>
            <c:dLbl>
              <c:idx val="7"/>
              <c:layout>
                <c:manualLayout>
                  <c:x val="-4.7222222222222221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DF1-4625-8D56-01FD02AA2F1E}"/>
                </c:ext>
              </c:extLst>
            </c:dLbl>
            <c:dLbl>
              <c:idx val="8"/>
              <c:layout>
                <c:manualLayout>
                  <c:x val="-0.05"/>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DF1-4625-8D56-01FD02AA2F1E}"/>
                </c:ext>
              </c:extLst>
            </c:dLbl>
            <c:dLbl>
              <c:idx val="9"/>
              <c:layout>
                <c:manualLayout>
                  <c:x val="-5.2777777777777979E-2"/>
                  <c:y val="-3.703703703703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DF1-4625-8D56-01FD02AA2F1E}"/>
                </c:ext>
              </c:extLst>
            </c:dLbl>
            <c:dLbl>
              <c:idx val="10"/>
              <c:layout>
                <c:manualLayout>
                  <c:x val="-0.1055555555555557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DF1-4625-8D56-01FD02AA2F1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Word]نسبة النمو الاقتصادي'!$L$8:$L$20</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'[Chart in Microsoft Word]نسبة النمو الاقتصادي'!$M$8:$M$20</c:f>
              <c:numCache>
                <c:formatCode>0.0</c:formatCode>
                <c:ptCount val="13"/>
                <c:pt idx="0">
                  <c:v>2.2999999999999998</c:v>
                </c:pt>
                <c:pt idx="1">
                  <c:v>2.7</c:v>
                </c:pt>
                <c:pt idx="2">
                  <c:v>2.4</c:v>
                </c:pt>
                <c:pt idx="3">
                  <c:v>2.6</c:v>
                </c:pt>
                <c:pt idx="4">
                  <c:v>3.4000000000000004</c:v>
                </c:pt>
                <c:pt idx="5">
                  <c:v>2.5</c:v>
                </c:pt>
                <c:pt idx="6">
                  <c:v>2</c:v>
                </c:pt>
                <c:pt idx="7">
                  <c:v>2.1</c:v>
                </c:pt>
                <c:pt idx="8">
                  <c:v>1.9</c:v>
                </c:pt>
                <c:pt idx="9">
                  <c:v>2</c:v>
                </c:pt>
                <c:pt idx="10">
                  <c:v>-1.6</c:v>
                </c:pt>
                <c:pt idx="11">
                  <c:v>2.2000000000000002</c:v>
                </c:pt>
                <c:pt idx="12">
                  <c:v>2.5</c:v>
                </c:pt>
              </c:numCache>
            </c:numRef>
          </c:val>
          <c:smooth val="0"/>
          <c:extLst>
            <c:ext xmlns:c16="http://schemas.microsoft.com/office/drawing/2014/chart" uri="{C3380CC4-5D6E-409C-BE32-E72D297353CC}">
              <c16:uniqueId val="{00000009-0DF1-4625-8D56-01FD02AA2F1E}"/>
            </c:ext>
          </c:extLst>
        </c:ser>
        <c:dLbls>
          <c:showLegendKey val="0"/>
          <c:showVal val="0"/>
          <c:showCatName val="0"/>
          <c:showSerName val="0"/>
          <c:showPercent val="0"/>
          <c:showBubbleSize val="0"/>
        </c:dLbls>
        <c:marker val="1"/>
        <c:smooth val="0"/>
        <c:axId val="-133452064"/>
        <c:axId val="-133450432"/>
      </c:lineChart>
      <c:catAx>
        <c:axId val="-133452064"/>
        <c:scaling>
          <c:orientation val="minMax"/>
        </c:scaling>
        <c:delete val="0"/>
        <c:axPos val="b"/>
        <c:numFmt formatCode="0" sourceLinked="0"/>
        <c:majorTickMark val="out"/>
        <c:minorTickMark val="none"/>
        <c:tickLblPos val="nextTo"/>
        <c:spPr>
          <a:noFill/>
          <a:ln w="25400"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33450432"/>
        <c:crosses val="autoZero"/>
        <c:auto val="1"/>
        <c:lblAlgn val="ctr"/>
        <c:lblOffset val="100"/>
        <c:noMultiLvlLbl val="0"/>
      </c:catAx>
      <c:valAx>
        <c:axId val="-133450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ar-JO" sz="1200" b="1"/>
                  <a:t>%</a:t>
                </a:r>
                <a:endParaRPr lang="en-US" sz="1200" b="1"/>
              </a:p>
            </c:rich>
          </c:tx>
          <c:layout>
            <c:manualLayout>
              <c:xMode val="edge"/>
              <c:yMode val="edge"/>
              <c:x val="1.9444444444444445E-2"/>
              <c:y val="0.42694444444444446"/>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25400">
            <a:solidFill>
              <a:schemeClr val="tx1"/>
            </a:solid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33452064"/>
        <c:crosses val="autoZero"/>
        <c:crossBetween val="between"/>
      </c:valAx>
      <c:spPr>
        <a:noFill/>
        <a:ln>
          <a:noFill/>
        </a:ln>
        <a:effectLst/>
      </c:spPr>
    </c:plotArea>
    <c:plotVisOnly val="1"/>
    <c:dispBlanksAs val="zero"/>
    <c:showDLblsOverMax val="0"/>
  </c:chart>
  <c:spPr>
    <a:solidFill>
      <a:schemeClr val="bg1"/>
    </a:solidFill>
    <a:ln w="1587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#REF!</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[2]Sheet1!$A$2:$A$7</c:f>
              <c:strCache>
                <c:ptCount val="6"/>
                <c:pt idx="0">
                  <c:v>2018</c:v>
                </c:pt>
                <c:pt idx="1">
                  <c:v>2019</c:v>
                </c:pt>
                <c:pt idx="2">
                  <c:v>2020</c:v>
                </c:pt>
                <c:pt idx="3">
                  <c:v>2021</c:v>
                </c:pt>
                <c:pt idx="4">
                  <c:v>2022</c:v>
                </c:pt>
                <c:pt idx="5">
                  <c:v>oct. 2023</c:v>
                </c:pt>
              </c:strCache>
            </c:strRef>
          </c:cat>
          <c:val>
            <c:numRef>
              <c:f>[2]Sheet1!$B$2:$B$7</c:f>
              <c:numCache>
                <c:formatCode>General</c:formatCode>
                <c:ptCount val="6"/>
                <c:pt idx="0">
                  <c:v>20.6</c:v>
                </c:pt>
                <c:pt idx="1">
                  <c:v>31.8</c:v>
                </c:pt>
                <c:pt idx="2">
                  <c:v>31.5</c:v>
                </c:pt>
                <c:pt idx="3">
                  <c:v>27.9</c:v>
                </c:pt>
                <c:pt idx="4">
                  <c:v>35</c:v>
                </c:pt>
                <c:pt idx="5">
                  <c:v>35</c:v>
                </c:pt>
              </c:numCache>
            </c:numRef>
          </c:val>
          <c:smooth val="0"/>
          <c:extLst>
            <c:ext xmlns:c16="http://schemas.microsoft.com/office/drawing/2014/chart" uri="{C3380CC4-5D6E-409C-BE32-E72D297353CC}">
              <c16:uniqueId val="{00000000-75BA-46FD-8496-958FA1071FFE}"/>
            </c:ext>
          </c:extLst>
        </c:ser>
        <c:dLbls>
          <c:dLblPos val="ctr"/>
          <c:showLegendKey val="0"/>
          <c:showVal val="1"/>
          <c:showCatName val="0"/>
          <c:showSerName val="0"/>
          <c:showPercent val="0"/>
          <c:showBubbleSize val="0"/>
        </c:dLbls>
        <c:marker val="1"/>
        <c:smooth val="0"/>
        <c:axId val="-133453152"/>
        <c:axId val="-133456416"/>
      </c:lineChart>
      <c:catAx>
        <c:axId val="-1334531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1" i="0" u="none" strike="noStrike" kern="1200" cap="all" baseline="0">
                <a:solidFill>
                  <a:schemeClr val="dk1">
                    <a:lumMod val="75000"/>
                    <a:lumOff val="25000"/>
                  </a:schemeClr>
                </a:solidFill>
                <a:latin typeface="+mn-lt"/>
                <a:ea typeface="+mn-ea"/>
                <a:cs typeface="+mn-cs"/>
              </a:defRPr>
            </a:pPr>
            <a:endParaRPr lang="en-US"/>
          </a:p>
        </c:txPr>
        <c:crossAx val="-133456416"/>
        <c:crosses val="autoZero"/>
        <c:auto val="1"/>
        <c:lblAlgn val="ctr"/>
        <c:lblOffset val="100"/>
        <c:noMultiLvlLbl val="0"/>
      </c:catAx>
      <c:valAx>
        <c:axId val="-1334564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33453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1"/>
              <c:layout>
                <c:manualLayout>
                  <c:x val="-7.1933204881181753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7E-4C63-AE39-897445477A34}"/>
                </c:ext>
              </c:extLst>
            </c:dLbl>
            <c:dLbl>
              <c:idx val="3"/>
              <c:layout>
                <c:manualLayout>
                  <c:x val="-4.6242774566473986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7E-4C63-AE39-897445477A34}"/>
                </c:ext>
              </c:extLst>
            </c:dLbl>
            <c:dLbl>
              <c:idx val="4"/>
              <c:layout>
                <c:manualLayout>
                  <c:x val="-5.9087989723827873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7E-4C63-AE39-897445477A3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'p1 External Debt'!$C$8:$H$8</c:f>
              <c:strCache>
                <c:ptCount val="6"/>
                <c:pt idx="0">
                  <c:v>2018</c:v>
                </c:pt>
                <c:pt idx="1">
                  <c:v>2019</c:v>
                </c:pt>
                <c:pt idx="2">
                  <c:v>2020</c:v>
                </c:pt>
                <c:pt idx="3">
                  <c:v>2021</c:v>
                </c:pt>
                <c:pt idx="4">
                  <c:v>2022</c:v>
                </c:pt>
                <c:pt idx="5">
                  <c:v>Oct. 2023</c:v>
                </c:pt>
              </c:strCache>
            </c:strRef>
          </c:cat>
          <c:val>
            <c:numRef>
              <c:f>'p1 External Debt'!$C$9:$H$9</c:f>
              <c:numCache>
                <c:formatCode>0.0</c:formatCode>
                <c:ptCount val="6"/>
                <c:pt idx="0">
                  <c:v>15.175142693730814</c:v>
                </c:pt>
                <c:pt idx="1">
                  <c:v>24.353489849875743</c:v>
                </c:pt>
                <c:pt idx="2">
                  <c:v>22.622214019736631</c:v>
                </c:pt>
                <c:pt idx="3">
                  <c:v>18.558039517994075</c:v>
                </c:pt>
                <c:pt idx="4">
                  <c:v>26.782336193224161</c:v>
                </c:pt>
                <c:pt idx="5">
                  <c:v>26.2</c:v>
                </c:pt>
              </c:numCache>
            </c:numRef>
          </c:val>
          <c:smooth val="0"/>
          <c:extLst>
            <c:ext xmlns:c16="http://schemas.microsoft.com/office/drawing/2014/chart" uri="{C3380CC4-5D6E-409C-BE32-E72D297353CC}">
              <c16:uniqueId val="{00000003-DD7E-4C63-AE39-897445477A34}"/>
            </c:ext>
          </c:extLst>
        </c:ser>
        <c:dLbls>
          <c:showLegendKey val="0"/>
          <c:showVal val="1"/>
          <c:showCatName val="0"/>
          <c:showSerName val="0"/>
          <c:showPercent val="0"/>
          <c:showBubbleSize val="0"/>
        </c:dLbls>
        <c:smooth val="0"/>
        <c:axId val="-133456960"/>
        <c:axId val="-133454784"/>
      </c:lineChart>
      <c:catAx>
        <c:axId val="-1334569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454784"/>
        <c:crosses val="autoZero"/>
        <c:auto val="1"/>
        <c:lblAlgn val="ctr"/>
        <c:lblOffset val="100"/>
        <c:noMultiLvlLbl val="0"/>
      </c:catAx>
      <c:valAx>
        <c:axId val="-133454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456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959FE-86CB-4712-A329-2580CF92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Cihan</dc:creator>
  <cp:keywords/>
  <dc:description/>
  <cp:lastModifiedBy>Dr.Metri</cp:lastModifiedBy>
  <cp:revision>3</cp:revision>
  <dcterms:created xsi:type="dcterms:W3CDTF">2024-01-16T13:38:00Z</dcterms:created>
  <dcterms:modified xsi:type="dcterms:W3CDTF">2024-01-16T13:42:00Z</dcterms:modified>
</cp:coreProperties>
</file>