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0AC13" w14:textId="4AF51234" w:rsidR="00EA6C61" w:rsidRPr="00610A1B" w:rsidRDefault="00BC60C1" w:rsidP="00F12562">
      <w:pPr>
        <w:tabs>
          <w:tab w:val="num" w:pos="720"/>
        </w:tabs>
        <w:spacing w:before="100" w:beforeAutospacing="1" w:after="100" w:afterAutospacing="1"/>
        <w:ind w:left="720" w:hanging="360"/>
        <w:jc w:val="center"/>
        <w:rPr>
          <w:b/>
          <w:color w:val="002060"/>
        </w:rPr>
      </w:pPr>
      <w:r>
        <w:rPr>
          <w:b/>
          <w:color w:val="002060"/>
        </w:rPr>
        <w:t xml:space="preserve">UNDRR’s submission to </w:t>
      </w:r>
      <w:r w:rsidR="00C90A47">
        <w:rPr>
          <w:b/>
          <w:color w:val="002060"/>
        </w:rPr>
        <w:t xml:space="preserve">the </w:t>
      </w:r>
      <w:r w:rsidR="00EA6C61" w:rsidRPr="00610A1B">
        <w:rPr>
          <w:b/>
          <w:color w:val="002060"/>
        </w:rPr>
        <w:t xml:space="preserve">Draft General Comment on </w:t>
      </w:r>
      <w:r w:rsidR="00610A1B">
        <w:rPr>
          <w:b/>
          <w:color w:val="002060"/>
        </w:rPr>
        <w:t xml:space="preserve">the rights of </w:t>
      </w:r>
      <w:r w:rsidR="00EA6C61" w:rsidRPr="00610A1B">
        <w:rPr>
          <w:b/>
          <w:color w:val="002060"/>
        </w:rPr>
        <w:t>persons with disabilities in situations of risk</w:t>
      </w:r>
      <w:r w:rsidR="00610A1B">
        <w:rPr>
          <w:b/>
          <w:color w:val="002060"/>
        </w:rPr>
        <w:t>s</w:t>
      </w:r>
      <w:r w:rsidR="00EA6C61" w:rsidRPr="00610A1B">
        <w:rPr>
          <w:b/>
          <w:color w:val="002060"/>
        </w:rPr>
        <w:t xml:space="preserve"> and humanitarian emergencies (article 11 of the Convention on the Rights of Persons with Disabilities)</w:t>
      </w:r>
    </w:p>
    <w:p w14:paraId="5AAD0527" w14:textId="4709E53A" w:rsidR="00610A1B" w:rsidRPr="00F12562" w:rsidRDefault="00610A1B" w:rsidP="00610A1B">
      <w:pPr>
        <w:pStyle w:val="ListParagraph"/>
        <w:spacing w:before="100" w:beforeAutospacing="1" w:after="100" w:afterAutospacing="1"/>
        <w:jc w:val="center"/>
        <w:rPr>
          <w:rFonts w:asciiTheme="minorHAnsi" w:eastAsia="Times New Roman" w:hAnsiTheme="minorHAnsi" w:cstheme="minorHAnsi"/>
          <w:b/>
          <w:bCs/>
          <w:color w:val="1F3864" w:themeColor="accent1" w:themeShade="80"/>
          <w:shd w:val="clear" w:color="auto" w:fill="FFFFFF"/>
        </w:rPr>
      </w:pPr>
      <w:r w:rsidRPr="00F12562">
        <w:rPr>
          <w:rFonts w:asciiTheme="minorHAnsi" w:eastAsia="Times New Roman" w:hAnsiTheme="minorHAnsi" w:cstheme="minorHAnsi"/>
          <w:b/>
          <w:bCs/>
          <w:color w:val="1F3864" w:themeColor="accent1" w:themeShade="80"/>
          <w:shd w:val="clear" w:color="auto" w:fill="FFFFFF"/>
        </w:rPr>
        <w:t>Written submissions- format</w:t>
      </w:r>
    </w:p>
    <w:p w14:paraId="61ABCA98" w14:textId="574CB0D1" w:rsidR="00F12562" w:rsidRDefault="00F12562" w:rsidP="00610A1B">
      <w:pPr>
        <w:pStyle w:val="ListParagraph"/>
        <w:spacing w:before="100" w:beforeAutospacing="1" w:after="100" w:afterAutospacing="1"/>
        <w:jc w:val="center"/>
        <w:rPr>
          <w:rFonts w:asciiTheme="minorHAnsi" w:eastAsia="Times New Roman" w:hAnsiTheme="minorHAnsi" w:cstheme="minorHAnsi"/>
          <w:b/>
          <w:bCs/>
          <w:i/>
          <w:iCs/>
          <w:color w:val="1F3864" w:themeColor="accent1" w:themeShade="80"/>
          <w:shd w:val="clear" w:color="auto" w:fill="FFFFFF"/>
        </w:rPr>
      </w:pPr>
      <w:r w:rsidRPr="00F12562">
        <w:rPr>
          <w:rFonts w:asciiTheme="minorHAnsi" w:eastAsia="Times New Roman" w:hAnsiTheme="minorHAnsi" w:cstheme="minorHAnsi"/>
          <w:b/>
          <w:bCs/>
          <w:color w:val="1F3864" w:themeColor="accent1" w:themeShade="80"/>
          <w:shd w:val="clear" w:color="auto" w:fill="FFFFFF"/>
        </w:rPr>
        <w:t>[</w:t>
      </w:r>
      <w:r w:rsidRPr="00F12562">
        <w:rPr>
          <w:rFonts w:asciiTheme="minorHAnsi" w:eastAsia="Times New Roman" w:hAnsiTheme="minorHAnsi" w:cstheme="minorHAnsi"/>
          <w:b/>
          <w:bCs/>
          <w:i/>
          <w:iCs/>
          <w:color w:val="1F3864" w:themeColor="accent1" w:themeShade="80"/>
          <w:u w:val="single"/>
          <w:shd w:val="clear" w:color="auto" w:fill="FFFFFF"/>
        </w:rPr>
        <w:t>Please provide your written contribution as if it were the text of the draft General Comment</w:t>
      </w:r>
      <w:r w:rsidRPr="00F12562">
        <w:rPr>
          <w:rFonts w:asciiTheme="minorHAnsi" w:eastAsia="Times New Roman" w:hAnsiTheme="minorHAnsi" w:cstheme="minorHAnsi"/>
          <w:b/>
          <w:bCs/>
          <w:i/>
          <w:iCs/>
          <w:color w:val="1F3864" w:themeColor="accent1" w:themeShade="80"/>
          <w:shd w:val="clear" w:color="auto" w:fill="FFFFFF"/>
        </w:rPr>
        <w:t>]</w:t>
      </w:r>
    </w:p>
    <w:p w14:paraId="4FF713B3" w14:textId="3BE0AF8E" w:rsidR="00BC60C1" w:rsidRPr="00F12562" w:rsidRDefault="00BC60C1" w:rsidP="00610A1B">
      <w:pPr>
        <w:pStyle w:val="ListParagraph"/>
        <w:spacing w:before="100" w:beforeAutospacing="1" w:after="100" w:afterAutospacing="1"/>
        <w:jc w:val="center"/>
        <w:rPr>
          <w:rFonts w:asciiTheme="minorHAnsi" w:eastAsia="Times New Roman" w:hAnsiTheme="minorHAnsi" w:cstheme="minorHAnsi"/>
          <w:b/>
          <w:bCs/>
          <w:color w:val="1F3864" w:themeColor="accent1" w:themeShade="80"/>
          <w:shd w:val="clear" w:color="auto" w:fill="FFFFFF"/>
        </w:rPr>
      </w:pPr>
    </w:p>
    <w:p w14:paraId="37235EB8" w14:textId="6C95F236" w:rsidR="00850D49" w:rsidRDefault="00850D49" w:rsidP="00850D49">
      <w:pPr>
        <w:pStyle w:val="ListParagraph"/>
        <w:spacing w:before="100" w:beforeAutospacing="1" w:after="100" w:afterAutospacing="1"/>
        <w:jc w:val="center"/>
        <w:rPr>
          <w:rFonts w:asciiTheme="minorHAnsi" w:eastAsia="Times New Roman" w:hAnsiTheme="minorHAnsi" w:cstheme="minorHAnsi"/>
          <w:b/>
          <w:bCs/>
          <w:color w:val="1F3864" w:themeColor="accent1" w:themeShade="80"/>
          <w:shd w:val="clear" w:color="auto" w:fill="FFFFFF"/>
        </w:rPr>
      </w:pPr>
      <w:r>
        <w:rPr>
          <w:rFonts w:asciiTheme="minorHAnsi" w:eastAsia="Times New Roman" w:hAnsiTheme="minorHAnsi" w:cstheme="minorHAnsi"/>
          <w:b/>
          <w:bCs/>
          <w:color w:val="1F3864" w:themeColor="accent1" w:themeShade="80"/>
          <w:shd w:val="clear" w:color="auto" w:fill="FFFFFF"/>
        </w:rPr>
        <w:t>2 March 2023</w:t>
      </w:r>
    </w:p>
    <w:p w14:paraId="003A4A12" w14:textId="77777777" w:rsidR="00850D49" w:rsidRDefault="00850D49" w:rsidP="00610A1B">
      <w:pPr>
        <w:pStyle w:val="ListParagraph"/>
        <w:spacing w:before="100" w:beforeAutospacing="1" w:after="100" w:afterAutospacing="1"/>
        <w:rPr>
          <w:rFonts w:asciiTheme="minorHAnsi" w:eastAsia="Times New Roman" w:hAnsiTheme="minorHAnsi" w:cstheme="minorHAnsi"/>
          <w:b/>
          <w:bCs/>
          <w:color w:val="1F3864" w:themeColor="accent1" w:themeShade="80"/>
          <w:shd w:val="clear" w:color="auto" w:fill="FFFFFF"/>
        </w:rPr>
      </w:pPr>
    </w:p>
    <w:p w14:paraId="2481533D" w14:textId="2973CDDB" w:rsidR="002D721F" w:rsidRDefault="004E06FE" w:rsidP="00EA6C61">
      <w:pPr>
        <w:pStyle w:val="ListParagraph"/>
        <w:numPr>
          <w:ilvl w:val="0"/>
          <w:numId w:val="1"/>
        </w:numPr>
        <w:spacing w:before="100" w:beforeAutospacing="1" w:after="100" w:afterAutospacing="1"/>
        <w:rPr>
          <w:rFonts w:asciiTheme="minorHAnsi" w:eastAsia="Times New Roman" w:hAnsiTheme="minorHAnsi" w:cstheme="minorHAnsi"/>
          <w:b/>
          <w:bCs/>
          <w:color w:val="1F3864" w:themeColor="accent1" w:themeShade="80"/>
          <w:shd w:val="clear" w:color="auto" w:fill="FFFFFF"/>
        </w:rPr>
      </w:pPr>
      <w:r w:rsidRPr="00A15813">
        <w:rPr>
          <w:rFonts w:asciiTheme="minorHAnsi" w:eastAsia="Times New Roman" w:hAnsiTheme="minorHAnsi" w:cstheme="minorHAnsi"/>
          <w:b/>
          <w:bCs/>
          <w:color w:val="1F3864" w:themeColor="accent1" w:themeShade="80"/>
          <w:shd w:val="clear" w:color="auto" w:fill="FFFFFF"/>
        </w:rPr>
        <w:t>Introduction</w:t>
      </w:r>
    </w:p>
    <w:p w14:paraId="04500912" w14:textId="0BFB6978" w:rsidR="00EA6C61" w:rsidRDefault="00DA5FF4" w:rsidP="00EA6C61">
      <w:pPr>
        <w:pStyle w:val="ListParagraph"/>
        <w:spacing w:before="100" w:beforeAutospacing="1" w:after="100" w:afterAutospacing="1"/>
        <w:rPr>
          <w:rFonts w:asciiTheme="minorHAnsi" w:eastAsia="Times New Roman" w:hAnsiTheme="minorHAnsi" w:cstheme="minorHAnsi"/>
          <w:b/>
          <w:bCs/>
          <w:color w:val="1F3864" w:themeColor="accent1" w:themeShade="80"/>
          <w:shd w:val="clear" w:color="auto" w:fill="FFFFFF"/>
        </w:rPr>
      </w:pPr>
      <w:r>
        <w:rPr>
          <w:rFonts w:asciiTheme="minorHAnsi" w:eastAsia="Times New Roman" w:hAnsiTheme="minorHAnsi" w:cstheme="minorHAnsi"/>
          <w:b/>
          <w:bCs/>
          <w:color w:val="1F3864" w:themeColor="accent1" w:themeShade="80"/>
          <w:shd w:val="clear" w:color="auto" w:fill="FFFFFF"/>
        </w:rPr>
        <w:t xml:space="preserve">[Please </w:t>
      </w:r>
      <w:r w:rsidRPr="00BA1945">
        <w:rPr>
          <w:rFonts w:asciiTheme="minorHAnsi" w:eastAsia="Times New Roman" w:hAnsiTheme="minorHAnsi" w:cstheme="minorHAnsi"/>
          <w:b/>
          <w:bCs/>
          <w:color w:val="1F3864" w:themeColor="accent1" w:themeShade="80"/>
          <w:shd w:val="clear" w:color="auto" w:fill="FFFFFF"/>
        </w:rPr>
        <w:t xml:space="preserve">indicate the main challenges experienced by persons with disabilities in the field of your </w:t>
      </w:r>
      <w:r w:rsidR="005E5C3A" w:rsidRPr="00BA1945">
        <w:rPr>
          <w:rFonts w:asciiTheme="minorHAnsi" w:eastAsia="Times New Roman" w:hAnsiTheme="minorHAnsi" w:cstheme="minorHAnsi"/>
          <w:b/>
          <w:bCs/>
          <w:color w:val="1F3864" w:themeColor="accent1" w:themeShade="80"/>
          <w:shd w:val="clear" w:color="auto" w:fill="FFFFFF"/>
        </w:rPr>
        <w:t xml:space="preserve">organization’s </w:t>
      </w:r>
      <w:r w:rsidRPr="00BA1945">
        <w:rPr>
          <w:rFonts w:asciiTheme="minorHAnsi" w:eastAsia="Times New Roman" w:hAnsiTheme="minorHAnsi" w:cstheme="minorHAnsi"/>
          <w:b/>
          <w:bCs/>
          <w:color w:val="1F3864" w:themeColor="accent1" w:themeShade="80"/>
          <w:shd w:val="clear" w:color="auto" w:fill="FFFFFF"/>
        </w:rPr>
        <w:t>expertise</w:t>
      </w:r>
      <w:r w:rsidR="0035206C" w:rsidRPr="00BA1945">
        <w:rPr>
          <w:rFonts w:asciiTheme="minorHAnsi" w:eastAsia="Times New Roman" w:hAnsiTheme="minorHAnsi" w:cstheme="minorHAnsi"/>
          <w:b/>
          <w:bCs/>
          <w:color w:val="1F3864" w:themeColor="accent1" w:themeShade="80"/>
          <w:shd w:val="clear" w:color="auto" w:fill="FFFFFF"/>
        </w:rPr>
        <w:t xml:space="preserve"> or</w:t>
      </w:r>
      <w:r w:rsidR="0035206C">
        <w:rPr>
          <w:rFonts w:asciiTheme="minorHAnsi" w:eastAsia="Times New Roman" w:hAnsiTheme="minorHAnsi" w:cstheme="minorHAnsi"/>
          <w:b/>
          <w:bCs/>
          <w:color w:val="1F3864" w:themeColor="accent1" w:themeShade="80"/>
          <w:shd w:val="clear" w:color="auto" w:fill="FFFFFF"/>
        </w:rPr>
        <w:t xml:space="preserve"> the area of international law you </w:t>
      </w:r>
      <w:r w:rsidR="00610A1B">
        <w:rPr>
          <w:rFonts w:asciiTheme="minorHAnsi" w:eastAsia="Times New Roman" w:hAnsiTheme="minorHAnsi" w:cstheme="minorHAnsi"/>
          <w:b/>
          <w:bCs/>
          <w:color w:val="1F3864" w:themeColor="accent1" w:themeShade="80"/>
          <w:shd w:val="clear" w:color="auto" w:fill="FFFFFF"/>
        </w:rPr>
        <w:t>work</w:t>
      </w:r>
      <w:r w:rsidR="0035206C">
        <w:rPr>
          <w:rFonts w:asciiTheme="minorHAnsi" w:eastAsia="Times New Roman" w:hAnsiTheme="minorHAnsi" w:cstheme="minorHAnsi"/>
          <w:b/>
          <w:bCs/>
          <w:color w:val="1F3864" w:themeColor="accent1" w:themeShade="80"/>
          <w:shd w:val="clear" w:color="auto" w:fill="FFFFFF"/>
        </w:rPr>
        <w:t xml:space="preserve"> on</w:t>
      </w:r>
      <w:r>
        <w:rPr>
          <w:rFonts w:asciiTheme="minorHAnsi" w:eastAsia="Times New Roman" w:hAnsiTheme="minorHAnsi" w:cstheme="minorHAnsi"/>
          <w:b/>
          <w:bCs/>
          <w:color w:val="1F3864" w:themeColor="accent1" w:themeShade="80"/>
          <w:shd w:val="clear" w:color="auto" w:fill="FFFFFF"/>
        </w:rPr>
        <w:t>]</w:t>
      </w:r>
      <w:r w:rsidR="00610A1B">
        <w:rPr>
          <w:rFonts w:asciiTheme="minorHAnsi" w:eastAsia="Times New Roman" w:hAnsiTheme="minorHAnsi" w:cstheme="minorHAnsi"/>
          <w:b/>
          <w:bCs/>
          <w:color w:val="1F3864" w:themeColor="accent1" w:themeShade="80"/>
          <w:shd w:val="clear" w:color="auto" w:fill="FFFFFF"/>
        </w:rPr>
        <w:t>.</w:t>
      </w:r>
      <w:r w:rsidR="00F12562">
        <w:rPr>
          <w:rFonts w:asciiTheme="minorHAnsi" w:eastAsia="Times New Roman" w:hAnsiTheme="minorHAnsi" w:cstheme="minorHAnsi"/>
          <w:b/>
          <w:bCs/>
          <w:color w:val="1F3864" w:themeColor="accent1" w:themeShade="80"/>
          <w:shd w:val="clear" w:color="auto" w:fill="FFFFFF"/>
        </w:rPr>
        <w:t xml:space="preserve"> </w:t>
      </w:r>
    </w:p>
    <w:p w14:paraId="74B492C1" w14:textId="77777777" w:rsidR="00AD7799" w:rsidRDefault="00AD7799" w:rsidP="00EA6C61">
      <w:pPr>
        <w:pStyle w:val="ListParagraph"/>
        <w:spacing w:before="100" w:beforeAutospacing="1" w:after="100" w:afterAutospacing="1"/>
        <w:rPr>
          <w:rFonts w:asciiTheme="minorHAnsi" w:eastAsia="Times New Roman" w:hAnsiTheme="minorHAnsi" w:cstheme="minorHAnsi"/>
          <w:b/>
          <w:bCs/>
          <w:color w:val="1F3864" w:themeColor="accent1" w:themeShade="80"/>
          <w:shd w:val="clear" w:color="auto" w:fill="FFFFFF"/>
        </w:rPr>
      </w:pPr>
    </w:p>
    <w:p w14:paraId="6A8C717B" w14:textId="701D0B8A" w:rsidR="009F1421" w:rsidRPr="00C810F0" w:rsidRDefault="6CD36076" w:rsidP="00C87E6A">
      <w:pPr>
        <w:ind w:left="709"/>
        <w:jc w:val="both"/>
      </w:pPr>
      <w:r w:rsidRPr="7C0ED37F">
        <w:rPr>
          <w:b/>
          <w:bCs/>
        </w:rPr>
        <w:t>Persons with disabilities are often disproportionately affected in situations of risk</w:t>
      </w:r>
      <w:r w:rsidRPr="00C810F0">
        <w:t>, including humanitarian emergencies, disasters and their aftermath.</w:t>
      </w:r>
      <w:r w:rsidR="009F1421" w:rsidRPr="00C810F0">
        <w:rPr>
          <w:rStyle w:val="FootnoteReference"/>
        </w:rPr>
        <w:footnoteReference w:id="2"/>
      </w:r>
      <w:r w:rsidRPr="00C810F0">
        <w:t xml:space="preserve"> The climate crisis and the coronavirus disease (COVID-19) pandemic have exacerbated inequalities and show the </w:t>
      </w:r>
      <w:r w:rsidRPr="7C0ED37F">
        <w:rPr>
          <w:b/>
          <w:bCs/>
        </w:rPr>
        <w:t xml:space="preserve">urgency to strengthen disability inclusive DRR. </w:t>
      </w:r>
    </w:p>
    <w:p w14:paraId="28EA6915" w14:textId="77777777" w:rsidR="009F1421" w:rsidRPr="00C810F0" w:rsidRDefault="009F1421" w:rsidP="00C87E6A">
      <w:pPr>
        <w:ind w:left="709"/>
        <w:jc w:val="both"/>
      </w:pPr>
    </w:p>
    <w:p w14:paraId="43CE1110" w14:textId="4F756610" w:rsidR="009F1421" w:rsidRPr="00C810F0" w:rsidRDefault="6CD36076" w:rsidP="00C87E6A">
      <w:pPr>
        <w:ind w:left="709"/>
        <w:jc w:val="both"/>
      </w:pPr>
      <w:r w:rsidRPr="00C810F0">
        <w:t xml:space="preserve">Since the adoption of the CRPD in 2006, </w:t>
      </w:r>
      <w:r w:rsidRPr="7C0ED37F">
        <w:rPr>
          <w:b/>
          <w:bCs/>
        </w:rPr>
        <w:t>disability has been more prominent in the international policy frameworks</w:t>
      </w:r>
      <w:r w:rsidRPr="00C810F0">
        <w:t xml:space="preserve">. For instance, the </w:t>
      </w:r>
      <w:r w:rsidRPr="7C0ED37F">
        <w:rPr>
          <w:b/>
          <w:bCs/>
        </w:rPr>
        <w:t>2030 Agenda for Sustainable Development</w:t>
      </w:r>
      <w:r w:rsidRPr="00C810F0">
        <w:t xml:space="preserve"> reflects the rights of persons with disabilities across the different Sustainable Development Goals (SDGs).</w:t>
      </w:r>
      <w:r w:rsidR="009F1421" w:rsidRPr="00C810F0">
        <w:rPr>
          <w:rStyle w:val="FootnoteReference"/>
        </w:rPr>
        <w:footnoteReference w:id="3"/>
      </w:r>
      <w:r w:rsidRPr="00C810F0">
        <w:t xml:space="preserve"> The same applies to various </w:t>
      </w:r>
      <w:r w:rsidRPr="7C0ED37F">
        <w:rPr>
          <w:b/>
          <w:bCs/>
        </w:rPr>
        <w:t>humanitarian policy frameworks</w:t>
      </w:r>
      <w:r w:rsidR="009F1421" w:rsidRPr="00C810F0">
        <w:rPr>
          <w:rStyle w:val="FootnoteReference"/>
        </w:rPr>
        <w:footnoteReference w:id="4"/>
      </w:r>
      <w:r w:rsidRPr="00C810F0">
        <w:t xml:space="preserve">, and </w:t>
      </w:r>
      <w:r w:rsidRPr="7C0ED37F">
        <w:rPr>
          <w:b/>
          <w:bCs/>
        </w:rPr>
        <w:t xml:space="preserve">the Sendai </w:t>
      </w:r>
      <w:r w:rsidRPr="7C0ED37F">
        <w:rPr>
          <w:b/>
          <w:bCs/>
          <w:color w:val="000000" w:themeColor="text1"/>
        </w:rPr>
        <w:t>Framework for Disaster Risk Reduction 2015-2030</w:t>
      </w:r>
      <w:r w:rsidRPr="7C0ED37F">
        <w:rPr>
          <w:b/>
          <w:bCs/>
        </w:rPr>
        <w:t xml:space="preserve"> </w:t>
      </w:r>
      <w:r w:rsidRPr="7C0ED37F">
        <w:rPr>
          <w:b/>
          <w:bCs/>
          <w:color w:val="000000" w:themeColor="text1"/>
        </w:rPr>
        <w:t>(the Sendai Framework)</w:t>
      </w:r>
      <w:r w:rsidRPr="7C0ED37F">
        <w:rPr>
          <w:b/>
          <w:bCs/>
        </w:rPr>
        <w:t>.</w:t>
      </w:r>
      <w:r w:rsidR="009F1421" w:rsidRPr="00C810F0">
        <w:rPr>
          <w:rStyle w:val="FootnoteReference"/>
        </w:rPr>
        <w:footnoteReference w:id="5"/>
      </w:r>
      <w:r w:rsidRPr="7C0ED37F">
        <w:rPr>
          <w:b/>
          <w:bCs/>
        </w:rPr>
        <w:t xml:space="preserve"> </w:t>
      </w:r>
      <w:r w:rsidRPr="00C810F0">
        <w:t xml:space="preserve">These frameworks </w:t>
      </w:r>
      <w:r w:rsidRPr="00C810F0">
        <w:rPr>
          <w:color w:val="333333"/>
          <w:shd w:val="clear" w:color="auto" w:fill="FFFFFF"/>
        </w:rPr>
        <w:t>are in general based on humanitarian and human rights principles, such as equality, non-discrimination and participation.</w:t>
      </w:r>
      <w:r w:rsidR="009F1421" w:rsidRPr="00C810F0">
        <w:rPr>
          <w:rStyle w:val="FootnoteReference"/>
          <w:color w:val="333333"/>
          <w:shd w:val="clear" w:color="auto" w:fill="FFFFFF"/>
        </w:rPr>
        <w:footnoteReference w:id="6"/>
      </w:r>
      <w:r w:rsidRPr="00C810F0">
        <w:rPr>
          <w:color w:val="333333"/>
          <w:shd w:val="clear" w:color="auto" w:fill="FFFFFF"/>
        </w:rPr>
        <w:t xml:space="preserve"> </w:t>
      </w:r>
      <w:r w:rsidRPr="00C810F0">
        <w:t xml:space="preserve">They recognize the </w:t>
      </w:r>
      <w:r w:rsidRPr="7C0ED37F">
        <w:rPr>
          <w:b/>
          <w:bCs/>
        </w:rPr>
        <w:t>heightened vulnerability to disasters of persons with disabilities</w:t>
      </w:r>
      <w:r w:rsidRPr="00C810F0">
        <w:t>, and advocate for their rights to be taken into account.</w:t>
      </w:r>
      <w:r w:rsidR="009F1421" w:rsidRPr="00C810F0">
        <w:rPr>
          <w:rStyle w:val="FootnoteReference"/>
        </w:rPr>
        <w:footnoteReference w:id="7"/>
      </w:r>
      <w:r w:rsidRPr="00C810F0">
        <w:t xml:space="preserve"> </w:t>
      </w:r>
    </w:p>
    <w:p w14:paraId="0F084880" w14:textId="7B2B5A01" w:rsidR="00036AE9" w:rsidRDefault="0073797E" w:rsidP="00C87E6A">
      <w:pPr>
        <w:pStyle w:val="ListParagraph"/>
        <w:spacing w:before="100" w:beforeAutospacing="1" w:after="100" w:afterAutospacing="1"/>
        <w:rPr>
          <w:rFonts w:asciiTheme="minorHAnsi" w:eastAsia="Times New Roman" w:hAnsiTheme="minorHAnsi" w:cstheme="minorHAnsi"/>
          <w:shd w:val="clear" w:color="auto" w:fill="FFFFFF"/>
        </w:rPr>
      </w:pPr>
      <w:r w:rsidRPr="000E2EB2">
        <w:rPr>
          <w:rFonts w:asciiTheme="minorHAnsi" w:eastAsia="Times New Roman" w:hAnsiTheme="minorHAnsi" w:cstheme="minorHAnsi"/>
          <w:shd w:val="clear" w:color="auto" w:fill="FFFFFF"/>
        </w:rPr>
        <w:t xml:space="preserve">Main findings and recommendations of the </w:t>
      </w:r>
      <w:r w:rsidRPr="00C87E6A">
        <w:rPr>
          <w:rFonts w:asciiTheme="minorHAnsi" w:eastAsia="Times New Roman" w:hAnsiTheme="minorHAnsi" w:cstheme="minorHAnsi"/>
          <w:b/>
          <w:bCs/>
          <w:shd w:val="clear" w:color="auto" w:fill="FFFFFF"/>
        </w:rPr>
        <w:t>midterm review</w:t>
      </w:r>
      <w:r w:rsidRPr="000E2EB2">
        <w:rPr>
          <w:rFonts w:asciiTheme="minorHAnsi" w:eastAsia="Times New Roman" w:hAnsiTheme="minorHAnsi" w:cstheme="minorHAnsi"/>
          <w:shd w:val="clear" w:color="auto" w:fill="FFFFFF"/>
        </w:rPr>
        <w:t xml:space="preserve"> </w:t>
      </w:r>
      <w:r w:rsidRPr="00C87E6A">
        <w:rPr>
          <w:rFonts w:asciiTheme="minorHAnsi" w:eastAsia="Times New Roman" w:hAnsiTheme="minorHAnsi" w:cstheme="minorHAnsi"/>
          <w:b/>
          <w:bCs/>
          <w:shd w:val="clear" w:color="auto" w:fill="FFFFFF"/>
        </w:rPr>
        <w:t>of</w:t>
      </w:r>
      <w:r w:rsidRPr="000E2EB2">
        <w:rPr>
          <w:rFonts w:asciiTheme="minorHAnsi" w:eastAsia="Times New Roman" w:hAnsiTheme="minorHAnsi" w:cstheme="minorHAnsi"/>
          <w:shd w:val="clear" w:color="auto" w:fill="FFFFFF"/>
        </w:rPr>
        <w:t xml:space="preserve"> the implementation of the </w:t>
      </w:r>
      <w:r w:rsidRPr="00C87E6A">
        <w:rPr>
          <w:rFonts w:asciiTheme="minorHAnsi" w:eastAsia="Times New Roman" w:hAnsiTheme="minorHAnsi" w:cstheme="minorHAnsi"/>
          <w:b/>
          <w:bCs/>
          <w:shd w:val="clear" w:color="auto" w:fill="FFFFFF"/>
        </w:rPr>
        <w:t>Sendai Framework for Disaster Risk Reduction</w:t>
      </w:r>
      <w:r w:rsidRPr="000E2EB2">
        <w:rPr>
          <w:rFonts w:asciiTheme="minorHAnsi" w:eastAsia="Times New Roman" w:hAnsiTheme="minorHAnsi" w:cstheme="minorHAnsi"/>
          <w:shd w:val="clear" w:color="auto" w:fill="FFFFFF"/>
        </w:rPr>
        <w:t xml:space="preserve"> 2015–2030 indicate that ‘Governments need to recommit to ensuring that multisectoral, multi-scalar and multi-stakeholder mechanisms’ and furthermore ‘Governments must develop institutional structures to engage and mobilize the expertise of scientific, academic, private sector, civil society and local stakeholders, </w:t>
      </w:r>
      <w:r w:rsidRPr="000E2EB2">
        <w:rPr>
          <w:rFonts w:asciiTheme="minorHAnsi" w:eastAsia="Times New Roman" w:hAnsiTheme="minorHAnsi" w:cstheme="minorHAnsi"/>
          <w:shd w:val="clear" w:color="auto" w:fill="FFFFFF"/>
        </w:rPr>
        <w:lastRenderedPageBreak/>
        <w:t>creating platforms and spaces for such stakeholders to be listened to and exert a meaningful influence over risk-informed decision-making processes.’</w:t>
      </w:r>
    </w:p>
    <w:p w14:paraId="38F671A6" w14:textId="77777777" w:rsidR="007E04A3" w:rsidRDefault="007E04A3" w:rsidP="00C87E6A">
      <w:pPr>
        <w:pStyle w:val="ListParagraph"/>
        <w:spacing w:before="100" w:beforeAutospacing="1" w:after="100" w:afterAutospacing="1"/>
        <w:rPr>
          <w:rFonts w:asciiTheme="minorHAnsi" w:eastAsia="Times New Roman" w:hAnsiTheme="minorHAnsi" w:cstheme="minorHAnsi"/>
          <w:shd w:val="clear" w:color="auto" w:fill="FFFFFF"/>
        </w:rPr>
      </w:pPr>
    </w:p>
    <w:p w14:paraId="0E9AF1D9" w14:textId="21169A14" w:rsidR="00B516EC" w:rsidRPr="00C87E6A" w:rsidRDefault="32AEAD2F" w:rsidP="7C0ED37F">
      <w:pPr>
        <w:pStyle w:val="ListParagraph"/>
        <w:spacing w:before="100" w:beforeAutospacing="1" w:after="100" w:afterAutospacing="1"/>
        <w:rPr>
          <w:rFonts w:asciiTheme="minorHAnsi" w:eastAsia="Times New Roman" w:hAnsiTheme="minorHAnsi" w:cstheme="minorBidi"/>
          <w:shd w:val="clear" w:color="auto" w:fill="FFFFFF"/>
        </w:rPr>
      </w:pPr>
      <w:r w:rsidRPr="7C0ED37F">
        <w:rPr>
          <w:rFonts w:asciiTheme="minorHAnsi" w:eastAsia="Times New Roman" w:hAnsiTheme="minorHAnsi" w:cstheme="minorBidi"/>
          <w:shd w:val="clear" w:color="auto" w:fill="FFFFFF"/>
        </w:rPr>
        <w:t xml:space="preserve">Furthermore, </w:t>
      </w:r>
      <w:r w:rsidR="548D7F17" w:rsidRPr="7C0ED37F">
        <w:rPr>
          <w:rFonts w:asciiTheme="minorHAnsi" w:eastAsia="Times New Roman" w:hAnsiTheme="minorHAnsi" w:cstheme="minorBidi"/>
          <w:shd w:val="clear" w:color="auto" w:fill="FFFFFF"/>
        </w:rPr>
        <w:t>most countries</w:t>
      </w:r>
      <w:r w:rsidR="5878E807" w:rsidRPr="7C0ED37F">
        <w:rPr>
          <w:rFonts w:asciiTheme="minorHAnsi" w:eastAsia="Times New Roman" w:hAnsiTheme="minorHAnsi" w:cstheme="minorBidi"/>
          <w:shd w:val="clear" w:color="auto" w:fill="FFFFFF"/>
        </w:rPr>
        <w:t>,</w:t>
      </w:r>
      <w:r w:rsidR="548D7F17" w:rsidRPr="7C0ED37F">
        <w:rPr>
          <w:rFonts w:asciiTheme="minorHAnsi" w:eastAsia="Times New Roman" w:hAnsiTheme="minorHAnsi" w:cstheme="minorBidi"/>
          <w:shd w:val="clear" w:color="auto" w:fill="FFFFFF"/>
        </w:rPr>
        <w:t xml:space="preserve"> </w:t>
      </w:r>
      <w:r w:rsidR="12011FC8" w:rsidRPr="7C0ED37F">
        <w:rPr>
          <w:rFonts w:asciiTheme="minorHAnsi" w:eastAsia="Times New Roman" w:hAnsiTheme="minorHAnsi" w:cstheme="minorBidi"/>
          <w:shd w:val="clear" w:color="auto" w:fill="FFFFFF"/>
        </w:rPr>
        <w:t xml:space="preserve">conducting the </w:t>
      </w:r>
      <w:r w:rsidR="00777F36" w:rsidRPr="7C0ED37F">
        <w:rPr>
          <w:rFonts w:asciiTheme="minorHAnsi" w:eastAsia="Times New Roman" w:hAnsiTheme="minorHAnsi" w:cstheme="minorBidi"/>
          <w:shd w:val="clear" w:color="auto" w:fill="FFFFFF"/>
        </w:rPr>
        <w:t>national Mid</w:t>
      </w:r>
      <w:r w:rsidR="5F8438A8" w:rsidRPr="7C0ED37F">
        <w:rPr>
          <w:rFonts w:asciiTheme="minorHAnsi" w:eastAsia="Times New Roman" w:hAnsiTheme="minorHAnsi" w:cstheme="minorBidi"/>
          <w:shd w:val="clear" w:color="auto" w:fill="FFFFFF"/>
        </w:rPr>
        <w:t xml:space="preserve">-Term </w:t>
      </w:r>
      <w:r w:rsidR="548D7F17" w:rsidRPr="7C0ED37F">
        <w:rPr>
          <w:rFonts w:asciiTheme="minorHAnsi" w:eastAsia="Times New Roman" w:hAnsiTheme="minorHAnsi" w:cstheme="minorBidi"/>
          <w:shd w:val="clear" w:color="auto" w:fill="FFFFFF"/>
        </w:rPr>
        <w:t>R</w:t>
      </w:r>
      <w:r w:rsidR="5F8438A8" w:rsidRPr="7C0ED37F">
        <w:rPr>
          <w:rFonts w:asciiTheme="minorHAnsi" w:eastAsia="Times New Roman" w:hAnsiTheme="minorHAnsi" w:cstheme="minorBidi"/>
          <w:shd w:val="clear" w:color="auto" w:fill="FFFFFF"/>
        </w:rPr>
        <w:t xml:space="preserve">eview on the Sendai Framework for Disaster Risk Reduction </w:t>
      </w:r>
      <w:r w:rsidR="548D7F17" w:rsidRPr="7C0ED37F">
        <w:rPr>
          <w:rFonts w:asciiTheme="minorHAnsi" w:eastAsia="Times New Roman" w:hAnsiTheme="minorHAnsi" w:cstheme="minorBidi"/>
          <w:shd w:val="clear" w:color="auto" w:fill="FFFFFF"/>
        </w:rPr>
        <w:t>and at</w:t>
      </w:r>
      <w:r w:rsidR="1710600F" w:rsidRPr="7C0ED37F">
        <w:rPr>
          <w:rFonts w:asciiTheme="minorHAnsi" w:eastAsia="Times New Roman" w:hAnsiTheme="minorHAnsi" w:cstheme="minorBidi"/>
          <w:shd w:val="clear" w:color="auto" w:fill="FFFFFF"/>
        </w:rPr>
        <w:t>tending</w:t>
      </w:r>
      <w:r w:rsidR="548D7F17" w:rsidRPr="7C0ED37F">
        <w:rPr>
          <w:rFonts w:asciiTheme="minorHAnsi" w:eastAsia="Times New Roman" w:hAnsiTheme="minorHAnsi" w:cstheme="minorBidi"/>
          <w:shd w:val="clear" w:color="auto" w:fill="FFFFFF"/>
        </w:rPr>
        <w:t xml:space="preserve"> the seventh session of the Global Platform for Disaster Risk Reduction in Indonesia </w:t>
      </w:r>
      <w:r w:rsidR="24B0B0D2" w:rsidRPr="7C0ED37F">
        <w:rPr>
          <w:rFonts w:asciiTheme="minorHAnsi" w:eastAsia="Times New Roman" w:hAnsiTheme="minorHAnsi" w:cstheme="minorBidi"/>
          <w:shd w:val="clear" w:color="auto" w:fill="FFFFFF"/>
        </w:rPr>
        <w:t xml:space="preserve">as well as the Asia Pacific Ministerial Conference for Disaster Risk Reduction in Australia </w:t>
      </w:r>
      <w:r w:rsidR="548D7F17" w:rsidRPr="7C0ED37F">
        <w:rPr>
          <w:rFonts w:asciiTheme="minorHAnsi" w:eastAsia="Times New Roman" w:hAnsiTheme="minorHAnsi" w:cstheme="minorBidi"/>
          <w:shd w:val="clear" w:color="auto" w:fill="FFFFFF"/>
        </w:rPr>
        <w:t>in 2022</w:t>
      </w:r>
      <w:r w:rsidR="17A1D4C2" w:rsidRPr="7C0ED37F">
        <w:rPr>
          <w:rFonts w:asciiTheme="minorHAnsi" w:eastAsia="Times New Roman" w:hAnsiTheme="minorHAnsi" w:cstheme="minorBidi"/>
          <w:shd w:val="clear" w:color="auto" w:fill="FFFFFF"/>
        </w:rPr>
        <w:t>,</w:t>
      </w:r>
      <w:r w:rsidR="548D7F17" w:rsidRPr="7C0ED37F">
        <w:rPr>
          <w:rFonts w:asciiTheme="minorHAnsi" w:eastAsia="Times New Roman" w:hAnsiTheme="minorHAnsi" w:cstheme="minorBidi"/>
          <w:shd w:val="clear" w:color="auto" w:fill="FFFFFF"/>
        </w:rPr>
        <w:t xml:space="preserve"> highlighted challenges around participation in data collection and risk assessment, pointing to data gaps on women, older persons, persons with disabilities, and children.</w:t>
      </w:r>
      <w:r w:rsidR="7908D178" w:rsidRPr="7C0ED37F">
        <w:rPr>
          <w:rFonts w:asciiTheme="minorHAnsi" w:eastAsia="Times New Roman" w:hAnsiTheme="minorHAnsi" w:cstheme="minorBidi"/>
          <w:shd w:val="clear" w:color="auto" w:fill="FFFFFF"/>
        </w:rPr>
        <w:t xml:space="preserve"> </w:t>
      </w:r>
      <w:r w:rsidR="440F9788" w:rsidRPr="7C0ED37F">
        <w:rPr>
          <w:rFonts w:asciiTheme="minorHAnsi" w:eastAsia="Times New Roman" w:hAnsiTheme="minorHAnsi" w:cstheme="minorBidi"/>
          <w:shd w:val="clear" w:color="auto" w:fill="FFFFFF"/>
        </w:rPr>
        <w:t xml:space="preserve">Without data, problems remain invisible and </w:t>
      </w:r>
      <w:r w:rsidR="00777F36" w:rsidRPr="7C0ED37F">
        <w:rPr>
          <w:rFonts w:asciiTheme="minorHAnsi" w:eastAsia="Times New Roman" w:hAnsiTheme="minorHAnsi" w:cstheme="minorBidi"/>
          <w:shd w:val="clear" w:color="auto" w:fill="FFFFFF"/>
        </w:rPr>
        <w:t>thus policy</w:t>
      </w:r>
      <w:r w:rsidR="440F9788" w:rsidRPr="7C0ED37F">
        <w:rPr>
          <w:rFonts w:asciiTheme="minorHAnsi" w:eastAsia="Times New Roman" w:hAnsiTheme="minorHAnsi" w:cstheme="minorBidi"/>
          <w:shd w:val="clear" w:color="auto" w:fill="FFFFFF"/>
        </w:rPr>
        <w:t xml:space="preserve"> </w:t>
      </w:r>
      <w:r w:rsidR="3C417238" w:rsidRPr="7C0ED37F">
        <w:rPr>
          <w:rFonts w:asciiTheme="minorHAnsi" w:eastAsia="Times New Roman" w:hAnsiTheme="minorHAnsi" w:cstheme="minorBidi"/>
          <w:shd w:val="clear" w:color="auto" w:fill="FFFFFF"/>
        </w:rPr>
        <w:t xml:space="preserve">and normative </w:t>
      </w:r>
      <w:r w:rsidR="440F9788" w:rsidRPr="7C0ED37F">
        <w:rPr>
          <w:rFonts w:asciiTheme="minorHAnsi" w:eastAsia="Times New Roman" w:hAnsiTheme="minorHAnsi" w:cstheme="minorBidi"/>
          <w:shd w:val="clear" w:color="auto" w:fill="FFFFFF"/>
        </w:rPr>
        <w:t>framework</w:t>
      </w:r>
      <w:r w:rsidR="50A604F9" w:rsidRPr="7C0ED37F">
        <w:rPr>
          <w:rFonts w:asciiTheme="minorHAnsi" w:eastAsia="Times New Roman" w:hAnsiTheme="minorHAnsi" w:cstheme="minorBidi"/>
          <w:shd w:val="clear" w:color="auto" w:fill="FFFFFF"/>
        </w:rPr>
        <w:t>s are not aimed at solving them</w:t>
      </w:r>
      <w:r w:rsidR="27DCDF77" w:rsidRPr="7C0ED37F">
        <w:rPr>
          <w:rFonts w:asciiTheme="minorHAnsi" w:eastAsia="Times New Roman" w:hAnsiTheme="minorHAnsi" w:cstheme="minorBidi"/>
          <w:shd w:val="clear" w:color="auto" w:fill="FFFFFF"/>
        </w:rPr>
        <w:t>, hence not sufficiently effective</w:t>
      </w:r>
      <w:r w:rsidR="2C2DA521" w:rsidRPr="7C0ED37F">
        <w:rPr>
          <w:rFonts w:asciiTheme="minorHAnsi" w:eastAsia="Times New Roman" w:hAnsiTheme="minorHAnsi" w:cstheme="minorBidi"/>
          <w:shd w:val="clear" w:color="auto" w:fill="FFFFFF"/>
        </w:rPr>
        <w:t xml:space="preserve">. Ensuring that all decisions are supported by disaggregated data and robust evidence, including the reporting of sex, age, disability-disaggregated data related to disasters and gender and disability impact analysis, must be a defining feature of countries' DRR </w:t>
      </w:r>
      <w:r w:rsidR="7AE65769" w:rsidRPr="7C0ED37F">
        <w:rPr>
          <w:rFonts w:asciiTheme="minorHAnsi" w:eastAsia="Times New Roman" w:hAnsiTheme="minorHAnsi" w:cstheme="minorBidi"/>
          <w:shd w:val="clear" w:color="auto" w:fill="FFFFFF"/>
        </w:rPr>
        <w:t xml:space="preserve">measures </w:t>
      </w:r>
      <w:r w:rsidR="2C2DA521" w:rsidRPr="7C0ED37F">
        <w:rPr>
          <w:rFonts w:asciiTheme="minorHAnsi" w:eastAsia="Times New Roman" w:hAnsiTheme="minorHAnsi" w:cstheme="minorBidi"/>
          <w:shd w:val="clear" w:color="auto" w:fill="FFFFFF"/>
        </w:rPr>
        <w:t>towards 2030.</w:t>
      </w:r>
    </w:p>
    <w:p w14:paraId="2D8B6C44" w14:textId="2009E4F3" w:rsidR="7C0ED37F" w:rsidRDefault="7C0ED37F" w:rsidP="7C0ED37F">
      <w:pPr>
        <w:pStyle w:val="ListParagraph"/>
        <w:spacing w:beforeAutospacing="1" w:afterAutospacing="1"/>
        <w:rPr>
          <w:rFonts w:asciiTheme="minorHAnsi" w:eastAsia="Times New Roman" w:hAnsiTheme="minorHAnsi" w:cstheme="minorBidi"/>
        </w:rPr>
      </w:pPr>
    </w:p>
    <w:p w14:paraId="78AF51B6" w14:textId="7B21B60C" w:rsidR="3324A637" w:rsidRDefault="3324A637" w:rsidP="7C0ED37F">
      <w:pPr>
        <w:pStyle w:val="ListParagraph"/>
        <w:spacing w:beforeAutospacing="1" w:afterAutospacing="1"/>
        <w:rPr>
          <w:rFonts w:asciiTheme="minorHAnsi" w:eastAsia="Times New Roman" w:hAnsiTheme="minorHAnsi" w:cstheme="minorBidi"/>
        </w:rPr>
      </w:pPr>
      <w:r w:rsidRPr="7C0ED37F">
        <w:rPr>
          <w:rFonts w:asciiTheme="minorHAnsi" w:eastAsia="Times New Roman" w:hAnsiTheme="minorHAnsi" w:cstheme="minorBidi"/>
        </w:rPr>
        <w:t>F</w:t>
      </w:r>
      <w:r w:rsidR="5DE92AC9" w:rsidRPr="7C0ED37F">
        <w:rPr>
          <w:rFonts w:asciiTheme="minorHAnsi" w:eastAsia="Times New Roman" w:hAnsiTheme="minorHAnsi" w:cstheme="minorBidi"/>
        </w:rPr>
        <w:t>inally</w:t>
      </w:r>
      <w:r w:rsidRPr="7C0ED37F">
        <w:rPr>
          <w:rFonts w:asciiTheme="minorHAnsi" w:eastAsia="Times New Roman" w:hAnsiTheme="minorHAnsi" w:cstheme="minorBidi"/>
        </w:rPr>
        <w:t xml:space="preserve">, the increasing complexity of disaster risk </w:t>
      </w:r>
      <w:r w:rsidR="3D3B9D62" w:rsidRPr="7C0ED37F">
        <w:rPr>
          <w:rFonts w:asciiTheme="minorHAnsi" w:eastAsia="Times New Roman" w:hAnsiTheme="minorHAnsi" w:cstheme="minorBidi"/>
        </w:rPr>
        <w:t xml:space="preserve">- </w:t>
      </w:r>
      <w:r w:rsidRPr="7C0ED37F">
        <w:rPr>
          <w:rFonts w:asciiTheme="minorHAnsi" w:eastAsia="Times New Roman" w:hAnsiTheme="minorHAnsi" w:cstheme="minorBidi"/>
        </w:rPr>
        <w:t xml:space="preserve">due to its </w:t>
      </w:r>
      <w:r w:rsidR="18DDAF34" w:rsidRPr="7C0ED37F">
        <w:rPr>
          <w:rFonts w:asciiTheme="minorHAnsi" w:eastAsia="Times New Roman" w:hAnsiTheme="minorHAnsi" w:cstheme="minorBidi"/>
        </w:rPr>
        <w:t xml:space="preserve">systemic, </w:t>
      </w:r>
      <w:r w:rsidRPr="7C0ED37F">
        <w:rPr>
          <w:rFonts w:asciiTheme="minorHAnsi" w:eastAsia="Times New Roman" w:hAnsiTheme="minorHAnsi" w:cstheme="minorBidi"/>
        </w:rPr>
        <w:t>cascading and compounding nature and effects</w:t>
      </w:r>
      <w:r w:rsidR="00BCFF88" w:rsidRPr="7C0ED37F">
        <w:rPr>
          <w:rFonts w:asciiTheme="minorHAnsi" w:eastAsia="Times New Roman" w:hAnsiTheme="minorHAnsi" w:cstheme="minorBidi"/>
        </w:rPr>
        <w:t xml:space="preserve"> </w:t>
      </w:r>
      <w:r w:rsidR="73417F64" w:rsidRPr="7C0ED37F">
        <w:rPr>
          <w:rFonts w:asciiTheme="minorHAnsi" w:eastAsia="Times New Roman" w:hAnsiTheme="minorHAnsi" w:cstheme="minorBidi"/>
        </w:rPr>
        <w:t xml:space="preserve">- </w:t>
      </w:r>
      <w:r w:rsidR="00BCFF88" w:rsidRPr="7C0ED37F">
        <w:rPr>
          <w:rFonts w:asciiTheme="minorHAnsi" w:eastAsia="Times New Roman" w:hAnsiTheme="minorHAnsi" w:cstheme="minorBidi"/>
        </w:rPr>
        <w:t>highlights the need for a</w:t>
      </w:r>
      <w:r w:rsidR="00777F36">
        <w:rPr>
          <w:rFonts w:asciiTheme="minorHAnsi" w:eastAsia="Times New Roman" w:hAnsiTheme="minorHAnsi" w:cstheme="minorBidi"/>
        </w:rPr>
        <w:t>n</w:t>
      </w:r>
      <w:r w:rsidR="00BCFF88" w:rsidRPr="7C0ED37F">
        <w:rPr>
          <w:rFonts w:asciiTheme="minorHAnsi" w:eastAsia="Times New Roman" w:hAnsiTheme="minorHAnsi" w:cstheme="minorBidi"/>
        </w:rPr>
        <w:t xml:space="preserve"> intersectional and human rights-based approach to disaster risk management, wher</w:t>
      </w:r>
      <w:r w:rsidR="783021CC" w:rsidRPr="7C0ED37F">
        <w:rPr>
          <w:rFonts w:asciiTheme="minorHAnsi" w:eastAsia="Times New Roman" w:hAnsiTheme="minorHAnsi" w:cstheme="minorBidi"/>
        </w:rPr>
        <w:t>eby vulnerabilities and potential consequences are understood to the full</w:t>
      </w:r>
      <w:r w:rsidR="1C8E0FFB" w:rsidRPr="7C0ED37F">
        <w:rPr>
          <w:rFonts w:asciiTheme="minorHAnsi" w:eastAsia="Times New Roman" w:hAnsiTheme="minorHAnsi" w:cstheme="minorBidi"/>
        </w:rPr>
        <w:t xml:space="preserve"> and addressed accordingly</w:t>
      </w:r>
      <w:r w:rsidR="783021CC" w:rsidRPr="7C0ED37F">
        <w:rPr>
          <w:rFonts w:asciiTheme="minorHAnsi" w:eastAsia="Times New Roman" w:hAnsiTheme="minorHAnsi" w:cstheme="minorBidi"/>
        </w:rPr>
        <w:t>.</w:t>
      </w:r>
    </w:p>
    <w:p w14:paraId="3A1F6741" w14:textId="499EFE30" w:rsidR="7C0ED37F" w:rsidRDefault="7C0ED37F" w:rsidP="7C0ED37F">
      <w:pPr>
        <w:pStyle w:val="ListParagraph"/>
        <w:spacing w:beforeAutospacing="1" w:afterAutospacing="1"/>
        <w:rPr>
          <w:rFonts w:asciiTheme="minorHAnsi" w:eastAsia="Times New Roman" w:hAnsiTheme="minorHAnsi" w:cstheme="minorBidi"/>
        </w:rPr>
      </w:pPr>
    </w:p>
    <w:p w14:paraId="11AD3EBF" w14:textId="77777777" w:rsidR="00DA5FF4" w:rsidRDefault="004E06FE" w:rsidP="00F105F0">
      <w:pPr>
        <w:numPr>
          <w:ilvl w:val="0"/>
          <w:numId w:val="1"/>
        </w:numPr>
        <w:spacing w:before="100" w:beforeAutospacing="1" w:after="100" w:afterAutospacing="1"/>
        <w:rPr>
          <w:rFonts w:asciiTheme="minorHAnsi" w:eastAsia="Times New Roman" w:hAnsiTheme="minorHAnsi" w:cstheme="minorHAnsi"/>
          <w:b/>
          <w:bCs/>
          <w:color w:val="1F3864" w:themeColor="accent1" w:themeShade="80"/>
          <w:shd w:val="clear" w:color="auto" w:fill="FFFFFF"/>
        </w:rPr>
      </w:pPr>
      <w:r w:rsidRPr="00DA5FF4">
        <w:rPr>
          <w:rFonts w:asciiTheme="minorHAnsi" w:eastAsia="Times New Roman" w:hAnsiTheme="minorHAnsi" w:cstheme="minorHAnsi"/>
          <w:b/>
          <w:bCs/>
          <w:color w:val="1F3864" w:themeColor="accent1" w:themeShade="80"/>
          <w:shd w:val="clear" w:color="auto" w:fill="FFFFFF"/>
        </w:rPr>
        <w:t xml:space="preserve">Normative Content </w:t>
      </w:r>
    </w:p>
    <w:p w14:paraId="6FB8F043" w14:textId="4A00021D" w:rsidR="00DA5FF4" w:rsidRPr="00DA5FF4" w:rsidRDefault="00DA5FF4" w:rsidP="00DA5FF4">
      <w:pPr>
        <w:spacing w:before="100" w:beforeAutospacing="1" w:after="100" w:afterAutospacing="1"/>
        <w:ind w:left="720"/>
        <w:rPr>
          <w:rFonts w:asciiTheme="minorHAnsi" w:eastAsia="Times New Roman" w:hAnsiTheme="minorHAnsi" w:cstheme="minorHAnsi"/>
          <w:b/>
          <w:bCs/>
          <w:color w:val="1F3864" w:themeColor="accent1" w:themeShade="80"/>
          <w:shd w:val="clear" w:color="auto" w:fill="FFFFFF"/>
        </w:rPr>
      </w:pPr>
      <w:bookmarkStart w:id="0" w:name="_Hlk122010679"/>
      <w:r w:rsidRPr="00DA5FF4">
        <w:rPr>
          <w:rFonts w:asciiTheme="minorHAnsi" w:eastAsia="Times New Roman" w:hAnsiTheme="minorHAnsi" w:cstheme="minorHAnsi"/>
          <w:b/>
          <w:bCs/>
          <w:color w:val="1F3864" w:themeColor="accent1" w:themeShade="80"/>
          <w:shd w:val="clear" w:color="auto" w:fill="FFFFFF"/>
        </w:rPr>
        <w:t xml:space="preserve">[Under the </w:t>
      </w:r>
      <w:r>
        <w:rPr>
          <w:rFonts w:asciiTheme="minorHAnsi" w:eastAsia="Times New Roman" w:hAnsiTheme="minorHAnsi" w:cstheme="minorHAnsi"/>
          <w:b/>
          <w:bCs/>
          <w:color w:val="1F3864" w:themeColor="accent1" w:themeShade="80"/>
          <w:shd w:val="clear" w:color="auto" w:fill="FFFFFF"/>
        </w:rPr>
        <w:t xml:space="preserve">following </w:t>
      </w:r>
      <w:r w:rsidRPr="00DA5FF4">
        <w:rPr>
          <w:rFonts w:asciiTheme="minorHAnsi" w:eastAsia="Times New Roman" w:hAnsiTheme="minorHAnsi" w:cstheme="minorHAnsi"/>
          <w:b/>
          <w:bCs/>
          <w:color w:val="1F3864" w:themeColor="accent1" w:themeShade="80"/>
          <w:shd w:val="clear" w:color="auto" w:fill="FFFFFF"/>
        </w:rPr>
        <w:t>relevant subparagraphs</w:t>
      </w:r>
      <w:r>
        <w:rPr>
          <w:rFonts w:asciiTheme="minorHAnsi" w:eastAsia="Times New Roman" w:hAnsiTheme="minorHAnsi" w:cstheme="minorHAnsi"/>
          <w:b/>
          <w:bCs/>
          <w:color w:val="1F3864" w:themeColor="accent1" w:themeShade="80"/>
          <w:shd w:val="clear" w:color="auto" w:fill="FFFFFF"/>
        </w:rPr>
        <w:t>, please develop narrative</w:t>
      </w:r>
      <w:r w:rsidR="00292776">
        <w:rPr>
          <w:rFonts w:asciiTheme="minorHAnsi" w:eastAsia="Times New Roman" w:hAnsiTheme="minorHAnsi" w:cstheme="minorHAnsi"/>
          <w:b/>
          <w:bCs/>
          <w:color w:val="1F3864" w:themeColor="accent1" w:themeShade="80"/>
          <w:shd w:val="clear" w:color="auto" w:fill="FFFFFF"/>
        </w:rPr>
        <w:t xml:space="preserve"> on the</w:t>
      </w:r>
      <w:r w:rsidR="005E5C3A">
        <w:rPr>
          <w:rFonts w:asciiTheme="minorHAnsi" w:eastAsia="Times New Roman" w:hAnsiTheme="minorHAnsi" w:cstheme="minorHAnsi"/>
          <w:b/>
          <w:bCs/>
          <w:color w:val="1F3864" w:themeColor="accent1" w:themeShade="80"/>
          <w:shd w:val="clear" w:color="auto" w:fill="FFFFFF"/>
        </w:rPr>
        <w:t xml:space="preserve"> scope and</w:t>
      </w:r>
      <w:r w:rsidR="00292776">
        <w:rPr>
          <w:rFonts w:asciiTheme="minorHAnsi" w:eastAsia="Times New Roman" w:hAnsiTheme="minorHAnsi" w:cstheme="minorHAnsi"/>
          <w:b/>
          <w:bCs/>
          <w:color w:val="1F3864" w:themeColor="accent1" w:themeShade="80"/>
          <w:shd w:val="clear" w:color="auto" w:fill="FFFFFF"/>
        </w:rPr>
        <w:t xml:space="preserve"> meaning of the following terminology of article 11 of UNCRP, from the point of view of your organization and field of expertise]</w:t>
      </w:r>
    </w:p>
    <w:bookmarkEnd w:id="0"/>
    <w:p w14:paraId="1676BA6C" w14:textId="096D7557" w:rsidR="004E06FE" w:rsidRDefault="004E06FE" w:rsidP="00946CC8">
      <w:pPr>
        <w:pStyle w:val="ListParagraph"/>
        <w:numPr>
          <w:ilvl w:val="0"/>
          <w:numId w:val="12"/>
        </w:numPr>
        <w:spacing w:before="100" w:beforeAutospacing="1" w:after="100" w:afterAutospacing="1"/>
        <w:rPr>
          <w:rStyle w:val="contentpasted1"/>
          <w:rFonts w:asciiTheme="minorHAnsi" w:eastAsia="Times New Roman" w:hAnsiTheme="minorHAnsi" w:cstheme="minorHAnsi"/>
          <w:color w:val="1F3864" w:themeColor="accent1" w:themeShade="80"/>
          <w:spacing w:val="4"/>
          <w:shd w:val="clear" w:color="auto" w:fill="FFFFFF"/>
        </w:rPr>
      </w:pPr>
      <w:r w:rsidRPr="00946CC8">
        <w:rPr>
          <w:rFonts w:asciiTheme="minorHAnsi" w:eastAsia="Times New Roman" w:hAnsiTheme="minorHAnsi" w:cstheme="minorHAnsi"/>
          <w:color w:val="1F3864" w:themeColor="accent1" w:themeShade="80"/>
          <w:shd w:val="clear" w:color="auto" w:fill="FFFFFF"/>
        </w:rPr>
        <w:t>" States parties</w:t>
      </w:r>
      <w:r w:rsidR="00352088" w:rsidRPr="00946CC8">
        <w:rPr>
          <w:rFonts w:asciiTheme="minorHAnsi" w:eastAsia="Times New Roman" w:hAnsiTheme="minorHAnsi" w:cstheme="minorHAnsi"/>
          <w:color w:val="1F3864" w:themeColor="accent1" w:themeShade="80"/>
          <w:shd w:val="clear" w:color="auto" w:fill="FFFFFF"/>
        </w:rPr>
        <w:t xml:space="preserve"> shall take </w:t>
      </w:r>
      <w:r w:rsidR="00352088" w:rsidRPr="00946CC8">
        <w:rPr>
          <w:rFonts w:asciiTheme="minorHAnsi" w:eastAsia="Times New Roman" w:hAnsiTheme="minorHAnsi" w:cstheme="minorHAnsi"/>
          <w:color w:val="1F3864" w:themeColor="accent1" w:themeShade="80"/>
          <w:u w:val="single"/>
          <w:shd w:val="clear" w:color="auto" w:fill="FFFFFF"/>
        </w:rPr>
        <w:t>measures</w:t>
      </w:r>
      <w:r w:rsidRPr="00946CC8">
        <w:rPr>
          <w:rFonts w:asciiTheme="minorHAnsi" w:eastAsia="Times New Roman" w:hAnsiTheme="minorHAnsi" w:cstheme="minorHAnsi"/>
          <w:color w:val="1F3864" w:themeColor="accent1" w:themeShade="80"/>
          <w:shd w:val="clear" w:color="auto" w:fill="FFFFFF"/>
        </w:rPr>
        <w:t>, </w:t>
      </w:r>
      <w:r w:rsidRPr="00946CC8">
        <w:rPr>
          <w:rStyle w:val="contentpasted1"/>
          <w:rFonts w:asciiTheme="minorHAnsi" w:eastAsia="Times New Roman" w:hAnsiTheme="minorHAnsi" w:cstheme="minorHAnsi"/>
          <w:color w:val="1F3864" w:themeColor="accent1" w:themeShade="80"/>
          <w:spacing w:val="4"/>
          <w:shd w:val="clear" w:color="auto" w:fill="FFFFFF"/>
        </w:rPr>
        <w:t>in accordance with their obligations under international law, including international humanitarian law and international human rights law</w:t>
      </w:r>
      <w:r w:rsidR="000A65E8" w:rsidRPr="00946CC8">
        <w:rPr>
          <w:rStyle w:val="contentpasted1"/>
          <w:rFonts w:asciiTheme="minorHAnsi" w:eastAsia="Times New Roman" w:hAnsiTheme="minorHAnsi" w:cstheme="minorHAnsi"/>
          <w:color w:val="1F3864" w:themeColor="accent1" w:themeShade="80"/>
          <w:spacing w:val="4"/>
          <w:shd w:val="clear" w:color="auto" w:fill="FFFFFF"/>
        </w:rPr>
        <w:t>.</w:t>
      </w:r>
    </w:p>
    <w:p w14:paraId="08916A87" w14:textId="7B2AB8DE" w:rsidR="0084398F" w:rsidRPr="00664AB8" w:rsidRDefault="6C5D202E" w:rsidP="00777F36">
      <w:pPr>
        <w:pStyle w:val="selectionshareable"/>
        <w:spacing w:before="0" w:beforeAutospacing="0" w:after="150" w:afterAutospacing="0"/>
        <w:ind w:left="709"/>
        <w:rPr>
          <w:rStyle w:val="contentpasted1"/>
          <w:rFonts w:asciiTheme="minorHAnsi" w:eastAsiaTheme="minorEastAsia" w:hAnsiTheme="minorHAnsi" w:cstheme="minorBidi"/>
        </w:rPr>
      </w:pPr>
      <w:r w:rsidRPr="00777F36">
        <w:rPr>
          <w:rStyle w:val="contentpasted1"/>
          <w:rFonts w:asciiTheme="minorHAnsi" w:hAnsiTheme="minorHAnsi" w:cstheme="minorBidi"/>
          <w:sz w:val="22"/>
          <w:szCs w:val="22"/>
        </w:rPr>
        <w:t>The C</w:t>
      </w:r>
      <w:r w:rsidRPr="00777F36">
        <w:rPr>
          <w:rStyle w:val="contentpasted1"/>
          <w:rFonts w:asciiTheme="minorHAnsi" w:eastAsiaTheme="minorEastAsia" w:hAnsiTheme="minorHAnsi" w:cstheme="minorBidi"/>
          <w:sz w:val="22"/>
          <w:szCs w:val="22"/>
        </w:rPr>
        <w:t xml:space="preserve">RPD, </w:t>
      </w:r>
      <w:r w:rsidRPr="00777F36">
        <w:rPr>
          <w:rStyle w:val="contentpasted1"/>
          <w:rFonts w:asciiTheme="minorHAnsi" w:eastAsiaTheme="minorEastAsia" w:hAnsiTheme="minorHAnsi" w:cstheme="minorBidi"/>
          <w:spacing w:val="4"/>
          <w:sz w:val="22"/>
          <w:szCs w:val="22"/>
          <w:shd w:val="clear" w:color="auto" w:fill="FFFFFF"/>
        </w:rPr>
        <w:t xml:space="preserve">in particular its article 11, and the Sendai Framework represent a rare if not unique case of synergy </w:t>
      </w:r>
      <w:r w:rsidR="72C3B692" w:rsidRPr="00777F36">
        <w:rPr>
          <w:rStyle w:val="contentpasted1"/>
          <w:rFonts w:asciiTheme="minorHAnsi" w:eastAsiaTheme="minorEastAsia" w:hAnsiTheme="minorHAnsi" w:cstheme="minorBidi"/>
          <w:spacing w:val="4"/>
          <w:sz w:val="22"/>
          <w:szCs w:val="22"/>
          <w:shd w:val="clear" w:color="auto" w:fill="FFFFFF"/>
        </w:rPr>
        <w:t xml:space="preserve">between a hard law and a soft law instrument, whereby the latter, </w:t>
      </w:r>
      <w:r w:rsidR="00777F36" w:rsidRPr="00777F36">
        <w:rPr>
          <w:rStyle w:val="contentpasted1"/>
          <w:rFonts w:asciiTheme="minorHAnsi" w:eastAsiaTheme="minorEastAsia" w:hAnsiTheme="minorHAnsi" w:cstheme="minorBidi"/>
          <w:spacing w:val="4"/>
          <w:sz w:val="22"/>
          <w:szCs w:val="22"/>
          <w:shd w:val="clear" w:color="auto" w:fill="FFFFFF"/>
        </w:rPr>
        <w:t>focusing</w:t>
      </w:r>
      <w:r w:rsidR="72C3B692" w:rsidRPr="00777F36">
        <w:rPr>
          <w:rStyle w:val="contentpasted1"/>
          <w:rFonts w:asciiTheme="minorHAnsi" w:eastAsiaTheme="minorEastAsia" w:hAnsiTheme="minorHAnsi" w:cstheme="minorBidi"/>
          <w:spacing w:val="4"/>
          <w:sz w:val="22"/>
          <w:szCs w:val="22"/>
          <w:shd w:val="clear" w:color="auto" w:fill="FFFFFF"/>
        </w:rPr>
        <w:t xml:space="preserve"> on the how, provides guidance and content on how the obligations arising from the former can be </w:t>
      </w:r>
      <w:r w:rsidR="587CBF8F" w:rsidRPr="00777F36">
        <w:rPr>
          <w:rStyle w:val="contentpasted1"/>
          <w:rFonts w:asciiTheme="minorHAnsi" w:eastAsiaTheme="minorEastAsia" w:hAnsiTheme="minorHAnsi" w:cstheme="minorBidi"/>
          <w:spacing w:val="4"/>
          <w:sz w:val="22"/>
          <w:szCs w:val="22"/>
          <w:shd w:val="clear" w:color="auto" w:fill="FFFFFF"/>
        </w:rPr>
        <w:t xml:space="preserve">discharged. </w:t>
      </w:r>
      <w:r w:rsidR="7BE08293" w:rsidRPr="00777F36">
        <w:rPr>
          <w:rStyle w:val="contentpasted1"/>
          <w:rFonts w:asciiTheme="minorHAnsi" w:eastAsiaTheme="minorEastAsia" w:hAnsiTheme="minorHAnsi" w:cstheme="minorBidi"/>
          <w:spacing w:val="4"/>
          <w:sz w:val="22"/>
          <w:szCs w:val="22"/>
          <w:shd w:val="clear" w:color="auto" w:fill="FFFFFF"/>
        </w:rPr>
        <w:t>The Sendai Framework provides concrete actions to protect development gains from the risk of disasters. It aims at the substantial reduction of disaster risk and losses and preventing new and reducing existing disaster risk by reducing and managing conditions of hazards, exposure and vulnerability and enhancing capacities</w:t>
      </w:r>
      <w:r w:rsidR="78474153" w:rsidRPr="00777F36">
        <w:rPr>
          <w:rStyle w:val="contentpasted1"/>
          <w:rFonts w:asciiTheme="minorHAnsi" w:eastAsiaTheme="minorEastAsia" w:hAnsiTheme="minorHAnsi" w:cstheme="minorBidi"/>
          <w:spacing w:val="4"/>
          <w:sz w:val="22"/>
          <w:szCs w:val="22"/>
          <w:shd w:val="clear" w:color="auto" w:fill="FFFFFF"/>
        </w:rPr>
        <w:t>.</w:t>
      </w:r>
      <w:r w:rsidR="59ECAE79" w:rsidRPr="00777F36">
        <w:rPr>
          <w:rStyle w:val="contentpasted1"/>
          <w:rFonts w:asciiTheme="minorHAnsi" w:eastAsiaTheme="minorEastAsia" w:hAnsiTheme="minorHAnsi" w:cstheme="minorBidi"/>
          <w:spacing w:val="4"/>
          <w:sz w:val="22"/>
          <w:szCs w:val="22"/>
          <w:shd w:val="clear" w:color="auto" w:fill="FFFFFF"/>
        </w:rPr>
        <w:t xml:space="preserve"> As such, the Sendai Framework enshrines </w:t>
      </w:r>
      <w:r w:rsidR="4A694C14" w:rsidRPr="00777F36">
        <w:rPr>
          <w:rStyle w:val="contentpasted1"/>
          <w:rFonts w:asciiTheme="minorHAnsi" w:eastAsiaTheme="minorEastAsia" w:hAnsiTheme="minorHAnsi" w:cstheme="minorBidi"/>
          <w:spacing w:val="4"/>
          <w:sz w:val="22"/>
          <w:szCs w:val="22"/>
          <w:shd w:val="clear" w:color="auto" w:fill="FFFFFF"/>
        </w:rPr>
        <w:t xml:space="preserve">those measures that State Parties have the obligation to adopt </w:t>
      </w:r>
      <w:r w:rsidR="4AED7E36" w:rsidRPr="00777F36">
        <w:rPr>
          <w:rStyle w:val="contentpasted1"/>
          <w:rFonts w:asciiTheme="minorHAnsi" w:eastAsiaTheme="minorEastAsia" w:hAnsiTheme="minorHAnsi" w:cstheme="minorBidi"/>
          <w:spacing w:val="4"/>
          <w:sz w:val="22"/>
          <w:szCs w:val="22"/>
          <w:shd w:val="clear" w:color="auto" w:fill="FFFFFF"/>
        </w:rPr>
        <w:t>in accordance with article 11</w:t>
      </w:r>
      <w:r w:rsidR="4A694C14" w:rsidRPr="00777F36">
        <w:rPr>
          <w:rStyle w:val="contentpasted1"/>
          <w:rFonts w:asciiTheme="minorHAnsi" w:eastAsiaTheme="minorEastAsia" w:hAnsiTheme="minorHAnsi" w:cstheme="minorBidi"/>
          <w:spacing w:val="4"/>
          <w:sz w:val="22"/>
          <w:szCs w:val="22"/>
          <w:shd w:val="clear" w:color="auto" w:fill="FFFFFF"/>
        </w:rPr>
        <w:t>.</w:t>
      </w:r>
    </w:p>
    <w:p w14:paraId="4CDE3C89" w14:textId="743095C1" w:rsidR="0084398F" w:rsidRPr="00E827C0" w:rsidRDefault="150926D1" w:rsidP="7C0ED37F">
      <w:pPr>
        <w:pStyle w:val="selectionshareable"/>
        <w:spacing w:before="0" w:beforeAutospacing="0" w:after="150" w:afterAutospacing="0"/>
        <w:ind w:left="709"/>
        <w:rPr>
          <w:rStyle w:val="contentpasted1"/>
          <w:rFonts w:eastAsiaTheme="minorEastAsia"/>
          <w:spacing w:val="4"/>
          <w:shd w:val="clear" w:color="auto" w:fill="FFFFFF"/>
        </w:rPr>
      </w:pPr>
      <w:r w:rsidRPr="00777F36">
        <w:rPr>
          <w:rStyle w:val="contentpasted1"/>
          <w:rFonts w:asciiTheme="minorHAnsi" w:eastAsiaTheme="minorEastAsia" w:hAnsiTheme="minorHAnsi" w:cstheme="minorBidi"/>
          <w:spacing w:val="4"/>
          <w:sz w:val="22"/>
          <w:szCs w:val="22"/>
          <w:shd w:val="clear" w:color="auto" w:fill="FFFFFF"/>
        </w:rPr>
        <w:t xml:space="preserve">A significant </w:t>
      </w:r>
      <w:r w:rsidR="273BB617" w:rsidRPr="7C0ED37F">
        <w:rPr>
          <w:rStyle w:val="contentpasted1"/>
          <w:rFonts w:asciiTheme="minorHAnsi" w:eastAsiaTheme="minorEastAsia" w:hAnsiTheme="minorHAnsi" w:cstheme="minorBidi"/>
          <w:spacing w:val="4"/>
          <w:sz w:val="22"/>
          <w:szCs w:val="22"/>
          <w:shd w:val="clear" w:color="auto" w:fill="FFFFFF"/>
        </w:rPr>
        <w:t xml:space="preserve">starting </w:t>
      </w:r>
      <w:r w:rsidRPr="00777F36">
        <w:rPr>
          <w:rStyle w:val="contentpasted1"/>
          <w:rFonts w:asciiTheme="minorHAnsi" w:eastAsiaTheme="minorEastAsia" w:hAnsiTheme="minorHAnsi" w:cstheme="minorBidi"/>
          <w:spacing w:val="4"/>
          <w:sz w:val="22"/>
          <w:szCs w:val="22"/>
          <w:shd w:val="clear" w:color="auto" w:fill="FFFFFF"/>
        </w:rPr>
        <w:t>point to define the measures to be adopted is enshrined in paragraph 17 of the Sendai Framework</w:t>
      </w:r>
      <w:r w:rsidR="40046B1E" w:rsidRPr="7C0ED37F">
        <w:rPr>
          <w:rStyle w:val="contentpasted1"/>
          <w:rFonts w:asciiTheme="minorHAnsi" w:eastAsiaTheme="minorEastAsia" w:hAnsiTheme="minorHAnsi" w:cstheme="minorBidi"/>
          <w:spacing w:val="4"/>
          <w:sz w:val="22"/>
          <w:szCs w:val="22"/>
          <w:shd w:val="clear" w:color="auto" w:fill="FFFFFF"/>
        </w:rPr>
        <w:t>: “</w:t>
      </w:r>
      <w:r w:rsidR="1DA8F10E" w:rsidRPr="00E827C0">
        <w:rPr>
          <w:rStyle w:val="contentpasted1"/>
          <w:rFonts w:asciiTheme="minorHAnsi" w:eastAsiaTheme="minorEastAsia" w:hAnsiTheme="minorHAnsi" w:cstheme="minorBidi"/>
          <w:spacing w:val="4"/>
          <w:sz w:val="22"/>
          <w:szCs w:val="22"/>
          <w:shd w:val="clear" w:color="auto" w:fill="FFFFFF"/>
        </w:rPr>
        <w:t>Prevent new and reduce existing disaster risk through the implementation of integrated and inclusive economic, structural, legal, social, health, cultural, educational, environmental, technological, political and institutional measures that prevent and reduce hazard exposure and vulnerability to disaster, increase preparedness for response and recovery, and thus strengthen resilience</w:t>
      </w:r>
      <w:r w:rsidR="4525402C" w:rsidRPr="00E827C0">
        <w:rPr>
          <w:rStyle w:val="contentpasted1"/>
          <w:rFonts w:asciiTheme="minorHAnsi" w:eastAsiaTheme="minorEastAsia" w:hAnsiTheme="minorHAnsi" w:cstheme="minorBidi"/>
          <w:spacing w:val="4"/>
          <w:sz w:val="22"/>
          <w:szCs w:val="22"/>
          <w:shd w:val="clear" w:color="auto" w:fill="FFFFFF"/>
        </w:rPr>
        <w:t>.”</w:t>
      </w:r>
    </w:p>
    <w:p w14:paraId="2638D93C" w14:textId="4BB38B36" w:rsidR="00A46552" w:rsidRDefault="047213B7" w:rsidP="7C0ED37F">
      <w:pPr>
        <w:pStyle w:val="selectionshareable"/>
        <w:shd w:val="clear" w:color="auto" w:fill="FFFFFF" w:themeFill="background1"/>
        <w:spacing w:before="0" w:beforeAutospacing="0" w:after="150" w:afterAutospacing="0"/>
        <w:ind w:left="709"/>
        <w:rPr>
          <w:rFonts w:asciiTheme="minorHAnsi" w:hAnsiTheme="minorHAnsi" w:cstheme="minorBidi"/>
          <w:sz w:val="22"/>
          <w:szCs w:val="22"/>
          <w:lang w:val="en-GB"/>
        </w:rPr>
      </w:pPr>
      <w:r w:rsidRPr="7C0ED37F">
        <w:rPr>
          <w:rFonts w:asciiTheme="minorHAnsi" w:hAnsiTheme="minorHAnsi" w:cstheme="minorBidi"/>
          <w:color w:val="000000" w:themeColor="text1"/>
          <w:sz w:val="22"/>
          <w:szCs w:val="22"/>
          <w:lang w:val="en-GB"/>
        </w:rPr>
        <w:t xml:space="preserve">The </w:t>
      </w:r>
      <w:r w:rsidRPr="7C0ED37F">
        <w:rPr>
          <w:rFonts w:asciiTheme="minorHAnsi" w:hAnsiTheme="minorHAnsi" w:cstheme="minorBidi"/>
          <w:b/>
          <w:bCs/>
          <w:color w:val="000000" w:themeColor="text1"/>
          <w:sz w:val="22"/>
          <w:szCs w:val="22"/>
          <w:lang w:val="en-GB"/>
        </w:rPr>
        <w:t>Sendai Framework recognizes the vulnerability</w:t>
      </w:r>
      <w:r w:rsidR="4949F365" w:rsidRPr="7C0ED37F">
        <w:rPr>
          <w:rFonts w:asciiTheme="minorHAnsi" w:hAnsiTheme="minorHAnsi" w:cstheme="minorBidi"/>
          <w:b/>
          <w:bCs/>
          <w:color w:val="000000" w:themeColor="text1"/>
          <w:sz w:val="22"/>
          <w:szCs w:val="22"/>
          <w:lang w:val="en-GB"/>
        </w:rPr>
        <w:t xml:space="preserve">, </w:t>
      </w:r>
      <w:r w:rsidRPr="7C0ED37F">
        <w:rPr>
          <w:rFonts w:asciiTheme="minorHAnsi" w:hAnsiTheme="minorHAnsi" w:cstheme="minorBidi"/>
          <w:b/>
          <w:bCs/>
          <w:color w:val="000000" w:themeColor="text1"/>
          <w:sz w:val="22"/>
          <w:szCs w:val="22"/>
          <w:lang w:val="en-GB"/>
        </w:rPr>
        <w:t xml:space="preserve">exposure </w:t>
      </w:r>
      <w:r w:rsidR="63C4864F" w:rsidRPr="7C0ED37F">
        <w:rPr>
          <w:rFonts w:asciiTheme="minorHAnsi" w:hAnsiTheme="minorHAnsi" w:cstheme="minorBidi"/>
          <w:b/>
          <w:bCs/>
          <w:color w:val="000000" w:themeColor="text1"/>
          <w:sz w:val="22"/>
          <w:szCs w:val="22"/>
          <w:lang w:val="en-GB"/>
        </w:rPr>
        <w:t xml:space="preserve">and capacity </w:t>
      </w:r>
      <w:r w:rsidRPr="7C0ED37F">
        <w:rPr>
          <w:rFonts w:asciiTheme="minorHAnsi" w:hAnsiTheme="minorHAnsi" w:cstheme="minorBidi"/>
          <w:b/>
          <w:bCs/>
          <w:color w:val="000000" w:themeColor="text1"/>
          <w:sz w:val="22"/>
          <w:szCs w:val="22"/>
          <w:lang w:val="en-GB"/>
        </w:rPr>
        <w:t xml:space="preserve">of </w:t>
      </w:r>
      <w:r w:rsidR="0BCCD45D" w:rsidRPr="7C0ED37F">
        <w:rPr>
          <w:rFonts w:asciiTheme="minorHAnsi" w:hAnsiTheme="minorHAnsi" w:cstheme="minorBidi"/>
          <w:b/>
          <w:bCs/>
          <w:color w:val="000000" w:themeColor="text1"/>
          <w:sz w:val="22"/>
          <w:szCs w:val="22"/>
          <w:lang w:val="en-GB"/>
        </w:rPr>
        <w:t xml:space="preserve">persons </w:t>
      </w:r>
      <w:r w:rsidRPr="7C0ED37F">
        <w:rPr>
          <w:rFonts w:asciiTheme="minorHAnsi" w:hAnsiTheme="minorHAnsi" w:cstheme="minorBidi"/>
          <w:b/>
          <w:bCs/>
          <w:color w:val="000000" w:themeColor="text1"/>
          <w:sz w:val="22"/>
          <w:szCs w:val="22"/>
          <w:lang w:val="en-GB"/>
        </w:rPr>
        <w:t xml:space="preserve">as foundational components </w:t>
      </w:r>
      <w:r w:rsidR="3C2C663D" w:rsidRPr="7C0ED37F">
        <w:rPr>
          <w:rFonts w:asciiTheme="minorHAnsi" w:hAnsiTheme="minorHAnsi" w:cstheme="minorBidi"/>
          <w:b/>
          <w:bCs/>
          <w:color w:val="000000" w:themeColor="text1"/>
          <w:sz w:val="22"/>
          <w:szCs w:val="22"/>
          <w:lang w:val="en-GB"/>
        </w:rPr>
        <w:t xml:space="preserve">and drivers </w:t>
      </w:r>
      <w:r w:rsidRPr="7C0ED37F">
        <w:rPr>
          <w:rFonts w:asciiTheme="minorHAnsi" w:hAnsiTheme="minorHAnsi" w:cstheme="minorBidi"/>
          <w:b/>
          <w:bCs/>
          <w:color w:val="000000" w:themeColor="text1"/>
          <w:sz w:val="22"/>
          <w:szCs w:val="22"/>
          <w:lang w:val="en-GB"/>
        </w:rPr>
        <w:t>of risks</w:t>
      </w:r>
      <w:r w:rsidRPr="7C0ED37F">
        <w:rPr>
          <w:rFonts w:asciiTheme="minorHAnsi" w:hAnsiTheme="minorHAnsi" w:cstheme="minorBidi"/>
          <w:color w:val="000000" w:themeColor="text1"/>
          <w:sz w:val="22"/>
          <w:szCs w:val="22"/>
          <w:lang w:val="en-GB"/>
        </w:rPr>
        <w:t xml:space="preserve">. In this </w:t>
      </w:r>
      <w:r w:rsidR="19C9A144" w:rsidRPr="7C0ED37F">
        <w:rPr>
          <w:rFonts w:asciiTheme="minorHAnsi" w:hAnsiTheme="minorHAnsi" w:cstheme="minorBidi"/>
          <w:color w:val="000000" w:themeColor="text1"/>
          <w:sz w:val="22"/>
          <w:szCs w:val="22"/>
          <w:lang w:val="en-GB"/>
        </w:rPr>
        <w:t xml:space="preserve">context, managing disaster risk </w:t>
      </w:r>
      <w:r w:rsidRPr="7C0ED37F">
        <w:rPr>
          <w:rFonts w:asciiTheme="minorHAnsi" w:hAnsiTheme="minorHAnsi" w:cstheme="minorBidi"/>
          <w:color w:val="000000" w:themeColor="text1"/>
          <w:sz w:val="22"/>
          <w:szCs w:val="22"/>
          <w:lang w:val="en-GB"/>
        </w:rPr>
        <w:t xml:space="preserve">means </w:t>
      </w:r>
      <w:r w:rsidR="7E1E846E" w:rsidRPr="7C0ED37F">
        <w:rPr>
          <w:rFonts w:asciiTheme="minorHAnsi" w:hAnsiTheme="minorHAnsi" w:cstheme="minorBidi"/>
          <w:color w:val="000000" w:themeColor="text1"/>
          <w:sz w:val="22"/>
          <w:szCs w:val="22"/>
          <w:lang w:val="en-GB"/>
        </w:rPr>
        <w:t xml:space="preserve">and entails </w:t>
      </w:r>
      <w:r w:rsidRPr="7C0ED37F">
        <w:rPr>
          <w:rFonts w:asciiTheme="minorHAnsi" w:hAnsiTheme="minorHAnsi" w:cstheme="minorBidi"/>
          <w:color w:val="000000" w:themeColor="text1"/>
          <w:sz w:val="22"/>
          <w:szCs w:val="22"/>
          <w:lang w:val="en-GB"/>
        </w:rPr>
        <w:t xml:space="preserve">reducing vulnerability and exposure, while strengthening the capacity and </w:t>
      </w:r>
      <w:r w:rsidRPr="7C0ED37F">
        <w:rPr>
          <w:rFonts w:asciiTheme="minorHAnsi" w:hAnsiTheme="minorHAnsi" w:cstheme="minorBidi"/>
          <w:color w:val="000000" w:themeColor="text1"/>
          <w:sz w:val="22"/>
          <w:szCs w:val="22"/>
          <w:lang w:val="en-GB"/>
        </w:rPr>
        <w:lastRenderedPageBreak/>
        <w:t xml:space="preserve">resilience of persons with disabilities. </w:t>
      </w:r>
      <w:r w:rsidR="2EB26627" w:rsidRPr="7C0ED37F">
        <w:rPr>
          <w:rFonts w:asciiTheme="minorHAnsi" w:hAnsiTheme="minorHAnsi" w:cstheme="minorBidi"/>
          <w:sz w:val="22"/>
          <w:szCs w:val="22"/>
          <w:lang w:val="en-GB"/>
        </w:rPr>
        <w:t>For this reason</w:t>
      </w:r>
      <w:r w:rsidRPr="7C0ED37F">
        <w:rPr>
          <w:rFonts w:asciiTheme="minorHAnsi" w:hAnsiTheme="minorHAnsi" w:cstheme="minorBidi"/>
          <w:sz w:val="22"/>
          <w:szCs w:val="22"/>
          <w:lang w:val="en-GB"/>
        </w:rPr>
        <w:t>, the Sendai Framework requires a people-centered</w:t>
      </w:r>
      <w:r w:rsidR="66682E02" w:rsidRPr="7C0ED37F">
        <w:rPr>
          <w:rFonts w:asciiTheme="minorHAnsi" w:hAnsiTheme="minorHAnsi" w:cstheme="minorBidi"/>
          <w:sz w:val="22"/>
          <w:szCs w:val="22"/>
          <w:lang w:val="en-GB"/>
        </w:rPr>
        <w:t>,</w:t>
      </w:r>
      <w:r w:rsidRPr="7C0ED37F">
        <w:rPr>
          <w:rFonts w:asciiTheme="minorHAnsi" w:hAnsiTheme="minorHAnsi" w:cstheme="minorBidi"/>
          <w:sz w:val="22"/>
          <w:szCs w:val="22"/>
          <w:lang w:val="en-GB"/>
        </w:rPr>
        <w:t xml:space="preserve"> preventive and inclusive DRR approach.</w:t>
      </w:r>
      <w:r w:rsidR="00A46552" w:rsidRPr="7C0ED37F">
        <w:rPr>
          <w:rStyle w:val="FootnoteReference"/>
          <w:rFonts w:asciiTheme="minorHAnsi" w:hAnsiTheme="minorHAnsi" w:cstheme="minorBidi"/>
          <w:sz w:val="22"/>
          <w:szCs w:val="22"/>
          <w:lang w:val="en-GB"/>
        </w:rPr>
        <w:footnoteReference w:id="8"/>
      </w:r>
      <w:r w:rsidRPr="7C0ED37F">
        <w:rPr>
          <w:rFonts w:asciiTheme="minorHAnsi" w:hAnsiTheme="minorHAnsi" w:cstheme="minorBidi"/>
          <w:sz w:val="22"/>
          <w:szCs w:val="22"/>
          <w:lang w:val="en-GB"/>
        </w:rPr>
        <w:t xml:space="preserve"> </w:t>
      </w:r>
      <w:r w:rsidR="2696CE0C" w:rsidRPr="7C0ED37F">
        <w:rPr>
          <w:rFonts w:asciiTheme="minorHAnsi" w:hAnsiTheme="minorHAnsi" w:cstheme="minorBidi"/>
          <w:sz w:val="22"/>
          <w:szCs w:val="22"/>
          <w:lang w:val="en-GB"/>
        </w:rPr>
        <w:t>Effective p</w:t>
      </w:r>
      <w:r w:rsidRPr="7C0ED37F">
        <w:rPr>
          <w:rFonts w:asciiTheme="minorHAnsi" w:hAnsiTheme="minorHAnsi" w:cstheme="minorBidi"/>
          <w:sz w:val="22"/>
          <w:szCs w:val="22"/>
          <w:lang w:val="en-GB"/>
        </w:rPr>
        <w:t>articipation in decision-making and implementation is considered a key issue for persons with disabilities and their organizations.</w:t>
      </w:r>
      <w:r w:rsidR="00A46552" w:rsidRPr="7C0ED37F">
        <w:rPr>
          <w:rStyle w:val="FootnoteReference"/>
          <w:rFonts w:asciiTheme="minorHAnsi" w:hAnsiTheme="minorHAnsi" w:cstheme="minorBidi"/>
          <w:sz w:val="22"/>
          <w:szCs w:val="22"/>
          <w:lang w:val="en-GB"/>
        </w:rPr>
        <w:footnoteReference w:id="9"/>
      </w:r>
      <w:r w:rsidRPr="7C0ED37F">
        <w:rPr>
          <w:rFonts w:asciiTheme="minorHAnsi" w:hAnsiTheme="minorHAnsi" w:cstheme="minorBidi"/>
          <w:color w:val="000000" w:themeColor="text1"/>
          <w:sz w:val="22"/>
          <w:szCs w:val="22"/>
          <w:lang w:val="en-GB"/>
        </w:rPr>
        <w:t xml:space="preserve"> </w:t>
      </w:r>
      <w:r w:rsidRPr="7C0ED37F">
        <w:rPr>
          <w:rFonts w:asciiTheme="minorHAnsi" w:hAnsiTheme="minorHAnsi" w:cstheme="minorBidi"/>
          <w:sz w:val="22"/>
          <w:szCs w:val="22"/>
          <w:lang w:val="en-GB"/>
        </w:rPr>
        <w:t>The Sendai Framework provides in this regard that “persons with disabilities and their organizations are critical in the assessment of disaster risk and in designing and implementing plans tailored to specific requirements, taking into consideration, inter alia, the principles of universal design.”</w:t>
      </w:r>
      <w:r w:rsidR="00A46552" w:rsidRPr="7C0ED37F">
        <w:rPr>
          <w:rStyle w:val="FootnoteReference"/>
          <w:rFonts w:asciiTheme="minorHAnsi" w:hAnsiTheme="minorHAnsi" w:cstheme="minorBidi"/>
          <w:sz w:val="22"/>
          <w:szCs w:val="22"/>
          <w:lang w:val="en-GB"/>
        </w:rPr>
        <w:footnoteReference w:id="10"/>
      </w:r>
      <w:r w:rsidRPr="7C0ED37F">
        <w:rPr>
          <w:rFonts w:asciiTheme="minorHAnsi" w:hAnsiTheme="minorHAnsi" w:cstheme="minorBidi"/>
          <w:sz w:val="22"/>
          <w:szCs w:val="22"/>
          <w:lang w:val="en-GB"/>
        </w:rPr>
        <w:t xml:space="preserve"> </w:t>
      </w:r>
    </w:p>
    <w:p w14:paraId="3FAA254F" w14:textId="7DC5555C" w:rsidR="00564B24" w:rsidRPr="000E2EB2" w:rsidRDefault="17136BA7" w:rsidP="7C0ED37F">
      <w:pPr>
        <w:pStyle w:val="selectionshareable"/>
        <w:shd w:val="clear" w:color="auto" w:fill="FFFFFF" w:themeFill="background1"/>
        <w:spacing w:before="0" w:beforeAutospacing="0" w:after="150" w:afterAutospacing="0"/>
        <w:ind w:left="709"/>
        <w:rPr>
          <w:rFonts w:asciiTheme="minorHAnsi" w:hAnsiTheme="minorHAnsi" w:cstheme="minorBidi"/>
          <w:sz w:val="22"/>
          <w:szCs w:val="22"/>
          <w:lang w:val="en-GB"/>
        </w:rPr>
      </w:pPr>
      <w:r w:rsidRPr="7C0ED37F">
        <w:rPr>
          <w:rFonts w:asciiTheme="minorHAnsi" w:hAnsiTheme="minorHAnsi" w:cstheme="minorBidi"/>
          <w:sz w:val="22"/>
          <w:szCs w:val="22"/>
          <w:lang w:val="en-GB"/>
        </w:rPr>
        <w:t>Most importantly, and as a meaningful and significant step forward compared to the Hyogo Framework for Action 20</w:t>
      </w:r>
      <w:r w:rsidR="38452B30" w:rsidRPr="7C0ED37F">
        <w:rPr>
          <w:rFonts w:asciiTheme="minorHAnsi" w:hAnsiTheme="minorHAnsi" w:cstheme="minorBidi"/>
          <w:sz w:val="22"/>
          <w:szCs w:val="22"/>
          <w:lang w:val="en-GB"/>
        </w:rPr>
        <w:t xml:space="preserve">05-2015, the Sendai Framework recognises the mutual support and synergy between disaster risk reduction </w:t>
      </w:r>
      <w:r w:rsidR="5E581B15" w:rsidRPr="7C0ED37F">
        <w:rPr>
          <w:rFonts w:asciiTheme="minorHAnsi" w:hAnsiTheme="minorHAnsi" w:cstheme="minorBidi"/>
          <w:sz w:val="22"/>
          <w:szCs w:val="22"/>
          <w:lang w:val="en-GB"/>
        </w:rPr>
        <w:t xml:space="preserve">measures and human rights. In particular, its Guiding Principle 19 (c) </w:t>
      </w:r>
      <w:r w:rsidR="49F38854" w:rsidRPr="7C0ED37F">
        <w:rPr>
          <w:rFonts w:asciiTheme="minorHAnsi" w:hAnsiTheme="minorHAnsi" w:cstheme="minorBidi"/>
          <w:sz w:val="22"/>
          <w:szCs w:val="22"/>
          <w:lang w:val="en-GB"/>
        </w:rPr>
        <w:t xml:space="preserve">states that </w:t>
      </w:r>
      <w:r w:rsidR="666121E8" w:rsidRPr="7C0ED37F">
        <w:rPr>
          <w:rFonts w:asciiTheme="minorHAnsi" w:hAnsiTheme="minorHAnsi" w:cstheme="minorBidi"/>
          <w:sz w:val="22"/>
          <w:szCs w:val="22"/>
          <w:lang w:val="en-GB"/>
        </w:rPr>
        <w:t xml:space="preserve">“managing the risk of disasters is aimed at protecting persons and their property, health, livelihoods and productive assets, as well as cultural and environmental assets, while promoting and protecting all human rights, including the right to development"; furthermore, </w:t>
      </w:r>
      <w:r w:rsidR="2F8E3BE0" w:rsidRPr="7C0ED37F">
        <w:rPr>
          <w:rFonts w:asciiTheme="minorHAnsi" w:hAnsiTheme="minorHAnsi" w:cstheme="minorBidi"/>
          <w:sz w:val="22"/>
          <w:szCs w:val="22"/>
          <w:lang w:val="en-GB"/>
        </w:rPr>
        <w:t>para 48 (e) recognise the role of treaty bodies.</w:t>
      </w:r>
    </w:p>
    <w:p w14:paraId="54C65264" w14:textId="137CB1C9" w:rsidR="00564B24" w:rsidRPr="000E2EB2" w:rsidRDefault="185464BB" w:rsidP="7C0ED37F">
      <w:pPr>
        <w:pStyle w:val="selectionshareable"/>
        <w:shd w:val="clear" w:color="auto" w:fill="FFFFFF" w:themeFill="background1"/>
        <w:spacing w:before="0" w:beforeAutospacing="0" w:after="150" w:afterAutospacing="0"/>
        <w:ind w:left="709"/>
        <w:rPr>
          <w:rFonts w:asciiTheme="minorHAnsi" w:hAnsiTheme="minorHAnsi" w:cstheme="minorBidi"/>
          <w:sz w:val="22"/>
          <w:szCs w:val="22"/>
          <w:lang w:val="en-GB"/>
        </w:rPr>
      </w:pPr>
      <w:r w:rsidRPr="7C0ED37F">
        <w:rPr>
          <w:rFonts w:asciiTheme="minorHAnsi" w:hAnsiTheme="minorHAnsi" w:cstheme="minorBidi"/>
          <w:sz w:val="22"/>
          <w:szCs w:val="22"/>
          <w:lang w:val="en-GB"/>
        </w:rPr>
        <w:t>As such, article 11 represents a clear articulation of a legal obligation to reduce disaster risk</w:t>
      </w:r>
      <w:r w:rsidR="6900EBC8" w:rsidRPr="7C0ED37F">
        <w:rPr>
          <w:rFonts w:asciiTheme="minorHAnsi" w:hAnsiTheme="minorHAnsi" w:cstheme="minorBidi"/>
          <w:sz w:val="22"/>
          <w:szCs w:val="22"/>
          <w:lang w:val="en-GB"/>
        </w:rPr>
        <w:t xml:space="preserve">. Such obligation and its importance </w:t>
      </w:r>
      <w:r w:rsidR="08AD454A" w:rsidRPr="7C0ED37F">
        <w:rPr>
          <w:rFonts w:asciiTheme="minorHAnsi" w:hAnsiTheme="minorHAnsi" w:cstheme="minorBidi"/>
          <w:sz w:val="22"/>
          <w:szCs w:val="22"/>
          <w:lang w:val="en-GB"/>
        </w:rPr>
        <w:t>are echoed in the draft articles on the "Protection of Persons in the Event of Disas</w:t>
      </w:r>
      <w:r w:rsidR="5FE41FC7" w:rsidRPr="7C0ED37F">
        <w:rPr>
          <w:rFonts w:asciiTheme="minorHAnsi" w:hAnsiTheme="minorHAnsi" w:cstheme="minorBidi"/>
          <w:sz w:val="22"/>
          <w:szCs w:val="22"/>
          <w:lang w:val="en-GB"/>
        </w:rPr>
        <w:t>ters"</w:t>
      </w:r>
      <w:r w:rsidR="14B073CD" w:rsidRPr="7C0ED37F">
        <w:rPr>
          <w:rFonts w:asciiTheme="minorHAnsi" w:hAnsiTheme="minorHAnsi" w:cstheme="minorBidi"/>
          <w:sz w:val="22"/>
          <w:szCs w:val="22"/>
          <w:lang w:val="en-GB"/>
        </w:rPr>
        <w:t>, and article 9 in particular,</w:t>
      </w:r>
      <w:r w:rsidR="5FE41FC7" w:rsidRPr="7C0ED37F">
        <w:rPr>
          <w:rFonts w:asciiTheme="minorHAnsi" w:hAnsiTheme="minorHAnsi" w:cstheme="minorBidi"/>
          <w:sz w:val="22"/>
          <w:szCs w:val="22"/>
          <w:lang w:val="en-GB"/>
        </w:rPr>
        <w:t xml:space="preserve"> developed by the UN International Law Commission and submitted to the United Nations General Assembly in 2016.</w:t>
      </w:r>
    </w:p>
    <w:p w14:paraId="4786CAAA" w14:textId="7FA40830" w:rsidR="002C7D1D" w:rsidRDefault="5DA220C4" w:rsidP="00DD1024">
      <w:pPr>
        <w:ind w:left="709"/>
        <w:rPr>
          <w:rFonts w:asciiTheme="minorHAnsi" w:hAnsiTheme="minorHAnsi" w:cstheme="minorBidi"/>
        </w:rPr>
      </w:pPr>
      <w:r w:rsidRPr="004C60B2">
        <w:rPr>
          <w:rFonts w:asciiTheme="minorHAnsi" w:eastAsia="Times New Roman" w:hAnsiTheme="minorHAnsi" w:cstheme="minorBidi"/>
          <w:lang w:eastAsia="en-US"/>
        </w:rPr>
        <w:t xml:space="preserve">Considering that </w:t>
      </w:r>
      <w:r w:rsidRPr="7C0ED37F">
        <w:rPr>
          <w:rFonts w:asciiTheme="minorHAnsi" w:eastAsia="Times New Roman" w:hAnsiTheme="minorHAnsi" w:cstheme="minorBidi"/>
          <w:lang w:eastAsia="en-US"/>
        </w:rPr>
        <w:t xml:space="preserve">overall </w:t>
      </w:r>
      <w:r w:rsidRPr="004C60B2">
        <w:rPr>
          <w:rFonts w:asciiTheme="minorHAnsi" w:eastAsia="Times New Roman" w:hAnsiTheme="minorHAnsi" w:cstheme="minorBidi"/>
          <w:lang w:eastAsia="en-US"/>
        </w:rPr>
        <w:t>disaster risk continue</w:t>
      </w:r>
      <w:r w:rsidRPr="7C0ED37F">
        <w:rPr>
          <w:rFonts w:asciiTheme="minorHAnsi" w:eastAsia="Times New Roman" w:hAnsiTheme="minorHAnsi" w:cstheme="minorBidi"/>
          <w:lang w:eastAsia="en-US"/>
        </w:rPr>
        <w:t xml:space="preserve">s </w:t>
      </w:r>
      <w:r w:rsidR="548554C3" w:rsidRPr="7C0ED37F">
        <w:rPr>
          <w:rFonts w:asciiTheme="minorHAnsi" w:eastAsia="Times New Roman" w:hAnsiTheme="minorHAnsi" w:cstheme="minorBidi"/>
          <w:lang w:eastAsia="en-US"/>
        </w:rPr>
        <w:t xml:space="preserve">to increase </w:t>
      </w:r>
      <w:r w:rsidRPr="7C0ED37F">
        <w:rPr>
          <w:rFonts w:asciiTheme="minorHAnsi" w:eastAsia="Times New Roman" w:hAnsiTheme="minorHAnsi" w:cstheme="minorBidi"/>
          <w:lang w:eastAsia="en-US"/>
        </w:rPr>
        <w:t xml:space="preserve">despite progress in certain areas </w:t>
      </w:r>
      <w:r w:rsidR="3353953A" w:rsidRPr="7C0ED37F">
        <w:rPr>
          <w:rFonts w:asciiTheme="minorHAnsi" w:eastAsia="Times New Roman" w:hAnsiTheme="minorHAnsi" w:cstheme="minorBidi"/>
          <w:lang w:eastAsia="en-US"/>
        </w:rPr>
        <w:t xml:space="preserve">and the impact on persons with disabilities </w:t>
      </w:r>
      <w:r w:rsidR="7E5AED18" w:rsidRPr="7C0ED37F">
        <w:rPr>
          <w:rFonts w:asciiTheme="minorHAnsi" w:eastAsia="Times New Roman" w:hAnsiTheme="minorHAnsi" w:cstheme="minorBidi"/>
          <w:lang w:eastAsia="en-US"/>
        </w:rPr>
        <w:t xml:space="preserve">remains </w:t>
      </w:r>
      <w:r w:rsidR="3353953A" w:rsidRPr="7C0ED37F">
        <w:rPr>
          <w:rFonts w:asciiTheme="minorHAnsi" w:eastAsia="Times New Roman" w:hAnsiTheme="minorHAnsi" w:cstheme="minorBidi"/>
          <w:lang w:eastAsia="en-US"/>
        </w:rPr>
        <w:t xml:space="preserve">considerable, </w:t>
      </w:r>
      <w:r w:rsidR="32DD9C32" w:rsidRPr="7C0ED37F">
        <w:rPr>
          <w:rFonts w:asciiTheme="minorHAnsi" w:hAnsiTheme="minorHAnsi" w:cstheme="minorBidi"/>
          <w:b/>
          <w:bCs/>
        </w:rPr>
        <w:t>further measures are necessary to take implementation forward</w:t>
      </w:r>
      <w:r w:rsidR="00564B24" w:rsidRPr="7C0ED37F">
        <w:rPr>
          <w:rStyle w:val="FootnoteReference"/>
          <w:rFonts w:asciiTheme="minorHAnsi" w:hAnsiTheme="minorHAnsi" w:cstheme="minorBidi"/>
        </w:rPr>
        <w:footnoteReference w:id="11"/>
      </w:r>
      <w:r w:rsidR="32DD9C32" w:rsidRPr="7C0ED37F">
        <w:rPr>
          <w:rFonts w:asciiTheme="minorHAnsi" w:hAnsiTheme="minorHAnsi" w:cstheme="minorBidi"/>
        </w:rPr>
        <w:t xml:space="preserve"> </w:t>
      </w:r>
      <w:r w:rsidR="7610737E" w:rsidRPr="7C0ED37F">
        <w:rPr>
          <w:rFonts w:asciiTheme="minorHAnsi" w:hAnsiTheme="minorHAnsi" w:cstheme="minorBidi"/>
        </w:rPr>
        <w:t xml:space="preserve">and to fulfil the obligations under </w:t>
      </w:r>
      <w:r w:rsidR="006C7E06">
        <w:rPr>
          <w:rFonts w:asciiTheme="minorHAnsi" w:hAnsiTheme="minorHAnsi" w:cstheme="minorBidi"/>
        </w:rPr>
        <w:t>A</w:t>
      </w:r>
      <w:r w:rsidR="7610737E" w:rsidRPr="7C0ED37F">
        <w:rPr>
          <w:rFonts w:asciiTheme="minorHAnsi" w:hAnsiTheme="minorHAnsi" w:cstheme="minorBidi"/>
        </w:rPr>
        <w:t xml:space="preserve">rticle 11. </w:t>
      </w:r>
      <w:r w:rsidR="32DD9C32" w:rsidRPr="7C0ED37F">
        <w:rPr>
          <w:rFonts w:asciiTheme="minorHAnsi" w:hAnsiTheme="minorHAnsi" w:cstheme="minorBidi"/>
        </w:rPr>
        <w:t xml:space="preserve">For example, in most countries still insufficient investment and progress in DRR is observed and the </w:t>
      </w:r>
      <w:r w:rsidR="04A80B76" w:rsidRPr="7C0ED37F">
        <w:rPr>
          <w:rFonts w:asciiTheme="minorHAnsi" w:hAnsiTheme="minorHAnsi" w:cstheme="minorBidi"/>
        </w:rPr>
        <w:t xml:space="preserve">understanding of disaster risk </w:t>
      </w:r>
      <w:r w:rsidR="32DD9C32" w:rsidRPr="7C0ED37F">
        <w:rPr>
          <w:rFonts w:asciiTheme="minorHAnsi" w:hAnsiTheme="minorHAnsi" w:cstheme="minorBidi"/>
        </w:rPr>
        <w:t>remains limited. Government policies continue to be largely reactive.</w:t>
      </w:r>
      <w:r w:rsidR="00564B24" w:rsidRPr="7C0ED37F">
        <w:rPr>
          <w:rStyle w:val="FootnoteReference"/>
          <w:rFonts w:asciiTheme="minorHAnsi" w:hAnsiTheme="minorHAnsi" w:cstheme="minorBidi"/>
        </w:rPr>
        <w:footnoteReference w:id="12"/>
      </w:r>
      <w:r w:rsidR="01CAE952" w:rsidRPr="7C0ED37F">
        <w:rPr>
          <w:rStyle w:val="FootnoteReference"/>
          <w:rFonts w:asciiTheme="minorHAnsi" w:hAnsiTheme="minorHAnsi" w:cstheme="minorBidi"/>
        </w:rPr>
        <w:t xml:space="preserve"> </w:t>
      </w:r>
      <w:r w:rsidR="0432126E" w:rsidRPr="7C0ED37F">
        <w:rPr>
          <w:rFonts w:asciiTheme="minorHAnsi" w:hAnsiTheme="minorHAnsi" w:cstheme="minorBidi"/>
        </w:rPr>
        <w:t xml:space="preserve"> </w:t>
      </w:r>
    </w:p>
    <w:p w14:paraId="39DD0D1D" w14:textId="77777777" w:rsidR="00DD1024" w:rsidRPr="000E2EB2" w:rsidRDefault="00DD1024" w:rsidP="00DD1024">
      <w:pPr>
        <w:ind w:left="709"/>
        <w:rPr>
          <w:rFonts w:asciiTheme="minorHAnsi" w:hAnsiTheme="minorHAnsi" w:cstheme="minorBidi"/>
        </w:rPr>
      </w:pPr>
    </w:p>
    <w:p w14:paraId="1B7636BA" w14:textId="5FBC5A5C" w:rsidR="002C7D1D" w:rsidRPr="004C60B2" w:rsidRDefault="5A804673" w:rsidP="00DD1024">
      <w:pPr>
        <w:pStyle w:val="selectionshareable"/>
        <w:spacing w:before="0" w:beforeAutospacing="0" w:after="150" w:afterAutospacing="0"/>
        <w:ind w:left="709"/>
        <w:rPr>
          <w:rStyle w:val="contentpasted2"/>
          <w:rFonts w:asciiTheme="minorHAnsi" w:hAnsiTheme="minorHAnsi" w:cstheme="minorBidi"/>
        </w:rPr>
      </w:pPr>
      <w:r w:rsidRPr="00C3668A">
        <w:rPr>
          <w:rFonts w:asciiTheme="minorHAnsi" w:eastAsiaTheme="minorHAnsi" w:hAnsiTheme="minorHAnsi" w:cstheme="minorBidi"/>
          <w:sz w:val="22"/>
          <w:szCs w:val="22"/>
          <w:lang w:val="en-GB" w:eastAsia="en-GB"/>
        </w:rPr>
        <w:t>The use of the well-established international human rights mechanisms and in particular the</w:t>
      </w:r>
      <w:r w:rsidRPr="00C3668A">
        <w:rPr>
          <w:rFonts w:asciiTheme="minorHAnsi" w:hAnsiTheme="minorHAnsi" w:cstheme="minorBidi"/>
          <w:sz w:val="22"/>
          <w:szCs w:val="22"/>
          <w:shd w:val="clear" w:color="auto" w:fill="E6E6E6"/>
        </w:rPr>
        <w:t xml:space="preserve"> </w:t>
      </w:r>
      <w:r w:rsidRPr="00C3668A">
        <w:rPr>
          <w:rFonts w:asciiTheme="minorHAnsi" w:hAnsiTheme="minorHAnsi" w:cstheme="minorBidi"/>
          <w:b/>
          <w:bCs/>
          <w:sz w:val="22"/>
          <w:szCs w:val="22"/>
        </w:rPr>
        <w:t xml:space="preserve">CRPD could enhance </w:t>
      </w:r>
      <w:r w:rsidR="0A573BB0" w:rsidRPr="00C3668A">
        <w:rPr>
          <w:rFonts w:asciiTheme="minorHAnsi" w:hAnsiTheme="minorHAnsi" w:cstheme="minorBidi"/>
          <w:b/>
          <w:bCs/>
          <w:sz w:val="22"/>
          <w:szCs w:val="22"/>
        </w:rPr>
        <w:t xml:space="preserve">the legal foundations of disaster risk reduction and </w:t>
      </w:r>
      <w:r w:rsidRPr="00C3668A">
        <w:rPr>
          <w:rFonts w:asciiTheme="minorHAnsi" w:hAnsiTheme="minorHAnsi" w:cstheme="minorBidi"/>
          <w:b/>
          <w:bCs/>
          <w:sz w:val="22"/>
          <w:szCs w:val="22"/>
        </w:rPr>
        <w:t>the</w:t>
      </w:r>
      <w:r w:rsidR="69A9AE48" w:rsidRPr="00C3668A">
        <w:rPr>
          <w:rFonts w:asciiTheme="minorHAnsi" w:hAnsiTheme="minorHAnsi" w:cstheme="minorBidi"/>
          <w:b/>
          <w:bCs/>
          <w:sz w:val="22"/>
          <w:szCs w:val="22"/>
        </w:rPr>
        <w:t xml:space="preserve"> </w:t>
      </w:r>
      <w:r w:rsidR="00137E50" w:rsidRPr="00C3668A">
        <w:rPr>
          <w:rFonts w:asciiTheme="minorHAnsi" w:hAnsiTheme="minorHAnsi" w:cstheme="minorBidi"/>
          <w:b/>
          <w:bCs/>
          <w:sz w:val="22"/>
          <w:szCs w:val="22"/>
        </w:rPr>
        <w:t>concrete implementation</w:t>
      </w:r>
      <w:r w:rsidRPr="00C3668A">
        <w:rPr>
          <w:rFonts w:asciiTheme="minorHAnsi" w:hAnsiTheme="minorHAnsi" w:cstheme="minorBidi"/>
          <w:b/>
          <w:bCs/>
          <w:sz w:val="22"/>
          <w:szCs w:val="22"/>
        </w:rPr>
        <w:t xml:space="preserve"> of the Sendai Framework in respect of strengthening the resilience of persons with disabilities.</w:t>
      </w:r>
      <w:r w:rsidR="00137E50">
        <w:rPr>
          <w:rFonts w:asciiTheme="minorHAnsi" w:hAnsiTheme="minorHAnsi" w:cstheme="minorBidi"/>
          <w:sz w:val="22"/>
          <w:szCs w:val="22"/>
          <w:shd w:val="clear" w:color="auto" w:fill="E6E6E6"/>
        </w:rPr>
        <w:t xml:space="preserve"> </w:t>
      </w:r>
      <w:r w:rsidR="48FC20E1" w:rsidRPr="00C3668A">
        <w:rPr>
          <w:rFonts w:asciiTheme="minorHAnsi" w:eastAsiaTheme="minorHAnsi" w:hAnsiTheme="minorHAnsi" w:cstheme="minorBidi"/>
          <w:sz w:val="22"/>
          <w:szCs w:val="22"/>
          <w:lang w:val="en-GB" w:eastAsia="en-GB"/>
        </w:rPr>
        <w:t>T</w:t>
      </w:r>
      <w:r w:rsidRPr="00C3668A">
        <w:rPr>
          <w:rFonts w:asciiTheme="minorHAnsi" w:eastAsiaTheme="minorHAnsi" w:hAnsiTheme="minorHAnsi" w:cstheme="minorBidi"/>
          <w:sz w:val="22"/>
          <w:szCs w:val="22"/>
          <w:lang w:val="en-GB" w:eastAsia="en-GB"/>
        </w:rPr>
        <w:t>hese human rights mechanisms not only set legal norms, but they also provide further clarity on legal obligations and accountability for states and stakeholders. The</w:t>
      </w:r>
      <w:r w:rsidRPr="00C3668A">
        <w:rPr>
          <w:rFonts w:asciiTheme="minorHAnsi" w:hAnsiTheme="minorHAnsi" w:cstheme="minorBidi"/>
          <w:sz w:val="22"/>
          <w:szCs w:val="22"/>
          <w:shd w:val="clear" w:color="auto" w:fill="E6E6E6"/>
        </w:rPr>
        <w:t xml:space="preserve"> </w:t>
      </w:r>
      <w:r w:rsidRPr="00C3668A">
        <w:rPr>
          <w:rFonts w:asciiTheme="minorHAnsi" w:hAnsiTheme="minorHAnsi" w:cstheme="minorBidi"/>
          <w:b/>
          <w:bCs/>
          <w:sz w:val="22"/>
          <w:szCs w:val="22"/>
        </w:rPr>
        <w:t>interconnection with the CRPD could assist with providing further clarification and accountability in relation to disability inclusive DRR</w:t>
      </w:r>
      <w:r w:rsidR="00C3668A">
        <w:rPr>
          <w:rFonts w:asciiTheme="minorHAnsi" w:hAnsiTheme="minorHAnsi" w:cstheme="minorBidi"/>
          <w:b/>
          <w:bCs/>
          <w:sz w:val="22"/>
          <w:szCs w:val="22"/>
        </w:rPr>
        <w:t>.</w:t>
      </w:r>
      <w:r w:rsidR="003D6905" w:rsidRPr="00C3668A">
        <w:rPr>
          <w:rStyle w:val="FootnoteReference"/>
          <w:rFonts w:asciiTheme="minorHAnsi" w:hAnsiTheme="minorHAnsi" w:cstheme="minorBidi"/>
          <w:sz w:val="22"/>
          <w:szCs w:val="22"/>
        </w:rPr>
        <w:footnoteReference w:id="13"/>
      </w:r>
    </w:p>
    <w:p w14:paraId="2154881E" w14:textId="77777777" w:rsidR="002C7D1D" w:rsidRPr="00353F14" w:rsidRDefault="002C7D1D" w:rsidP="002C7D1D">
      <w:pPr>
        <w:pStyle w:val="ListParagraph"/>
        <w:spacing w:before="100" w:beforeAutospacing="1" w:after="100" w:afterAutospacing="1"/>
        <w:rPr>
          <w:rStyle w:val="contentpasted2"/>
          <w:rFonts w:asciiTheme="minorHAnsi" w:eastAsia="Times New Roman" w:hAnsiTheme="minorHAnsi" w:cstheme="minorHAnsi"/>
          <w:color w:val="1F3864" w:themeColor="accent1" w:themeShade="80"/>
          <w:spacing w:val="4"/>
          <w:shd w:val="clear" w:color="auto" w:fill="FFFFFF"/>
        </w:rPr>
      </w:pPr>
    </w:p>
    <w:p w14:paraId="331BC9EC" w14:textId="5E6F7C06" w:rsidR="004E06FE" w:rsidRDefault="004E06FE" w:rsidP="00946CC8">
      <w:pPr>
        <w:pStyle w:val="ListParagraph"/>
        <w:numPr>
          <w:ilvl w:val="0"/>
          <w:numId w:val="12"/>
        </w:numPr>
        <w:spacing w:before="100" w:beforeAutospacing="1" w:after="100" w:afterAutospacing="1"/>
        <w:rPr>
          <w:rStyle w:val="contentpasted3"/>
          <w:rFonts w:asciiTheme="minorHAnsi" w:eastAsia="Times New Roman" w:hAnsiTheme="minorHAnsi" w:cstheme="minorHAnsi"/>
          <w:color w:val="1F3864" w:themeColor="accent1" w:themeShade="80"/>
          <w:spacing w:val="4"/>
          <w:shd w:val="clear" w:color="auto" w:fill="FFFFFF"/>
        </w:rPr>
      </w:pPr>
      <w:r w:rsidRPr="00946CC8">
        <w:rPr>
          <w:rStyle w:val="contentpasted2"/>
          <w:rFonts w:asciiTheme="minorHAnsi" w:eastAsia="Times New Roman" w:hAnsiTheme="minorHAnsi" w:cstheme="minorHAnsi"/>
          <w:color w:val="1F3864" w:themeColor="accent1" w:themeShade="80"/>
          <w:spacing w:val="4"/>
          <w:shd w:val="clear" w:color="auto" w:fill="FFFFFF"/>
        </w:rPr>
        <w:lastRenderedPageBreak/>
        <w:t>"</w:t>
      </w:r>
      <w:r w:rsidR="002D721F" w:rsidRPr="00946CC8">
        <w:rPr>
          <w:rStyle w:val="contentpasted2"/>
          <w:rFonts w:asciiTheme="minorHAnsi" w:eastAsia="Times New Roman" w:hAnsiTheme="minorHAnsi" w:cstheme="minorHAnsi"/>
          <w:color w:val="1F3864" w:themeColor="accent1" w:themeShade="80"/>
          <w:spacing w:val="4"/>
          <w:shd w:val="clear" w:color="auto" w:fill="FFFFFF"/>
        </w:rPr>
        <w:t xml:space="preserve">persons with disabilities </w:t>
      </w:r>
      <w:r w:rsidRPr="00946CC8">
        <w:rPr>
          <w:rStyle w:val="contentpasted3"/>
          <w:rFonts w:asciiTheme="minorHAnsi" w:eastAsia="Times New Roman" w:hAnsiTheme="minorHAnsi" w:cstheme="minorHAnsi"/>
          <w:color w:val="1F3864" w:themeColor="accent1" w:themeShade="80"/>
          <w:spacing w:val="4"/>
          <w:shd w:val="clear" w:color="auto" w:fill="FFFFFF"/>
        </w:rPr>
        <w:t>in situations of risk, including situations of armed conflict, humanitarian emergencies and the occurrence of natural disasters"</w:t>
      </w:r>
    </w:p>
    <w:p w14:paraId="057AA5F5" w14:textId="77777777" w:rsidR="003C696B" w:rsidRDefault="003C696B" w:rsidP="003C696B">
      <w:pPr>
        <w:pStyle w:val="ListParagraph"/>
        <w:spacing w:before="100" w:beforeAutospacing="1" w:after="100" w:afterAutospacing="1"/>
        <w:ind w:left="1080"/>
        <w:rPr>
          <w:rStyle w:val="contentpasted3"/>
          <w:rFonts w:asciiTheme="minorHAnsi" w:eastAsia="Times New Roman" w:hAnsiTheme="minorHAnsi" w:cstheme="minorHAnsi"/>
          <w:color w:val="1F3864" w:themeColor="accent1" w:themeShade="80"/>
          <w:spacing w:val="4"/>
          <w:shd w:val="clear" w:color="auto" w:fill="FFFFFF"/>
        </w:rPr>
      </w:pPr>
    </w:p>
    <w:p w14:paraId="43C75A30" w14:textId="13B8FC9A" w:rsidR="003C696B" w:rsidRDefault="0FCF46C5" w:rsidP="00E827C0">
      <w:pPr>
        <w:ind w:left="720"/>
        <w:rPr>
          <w:color w:val="333333"/>
        </w:rPr>
      </w:pPr>
      <w:r>
        <w:t>A</w:t>
      </w:r>
      <w:r w:rsidRPr="00C810F0">
        <w:t xml:space="preserve">rticle </w:t>
      </w:r>
      <w:r>
        <w:t xml:space="preserve">11 </w:t>
      </w:r>
      <w:r w:rsidRPr="003C696B">
        <w:rPr>
          <w:color w:val="333333"/>
          <w:shd w:val="clear" w:color="auto" w:fill="FFFFFF"/>
        </w:rPr>
        <w:t xml:space="preserve">recognizes the particular vulnerability of persons with disabilities </w:t>
      </w:r>
      <w:r w:rsidR="7AA7865C" w:rsidRPr="003C696B">
        <w:rPr>
          <w:color w:val="333333"/>
          <w:shd w:val="clear" w:color="auto" w:fill="FFFFFF"/>
        </w:rPr>
        <w:t xml:space="preserve">in </w:t>
      </w:r>
      <w:r w:rsidRPr="003C696B">
        <w:rPr>
          <w:color w:val="333333"/>
          <w:shd w:val="clear" w:color="auto" w:fill="FFFFFF"/>
        </w:rPr>
        <w:t>situations of risk</w:t>
      </w:r>
      <w:r w:rsidR="54970892" w:rsidRPr="003C696B">
        <w:rPr>
          <w:color w:val="333333"/>
          <w:shd w:val="clear" w:color="auto" w:fill="FFFFFF"/>
        </w:rPr>
        <w:t xml:space="preserve">, </w:t>
      </w:r>
      <w:r w:rsidR="54970892" w:rsidRPr="00137E50">
        <w:rPr>
          <w:color w:val="333333"/>
          <w:shd w:val="clear" w:color="auto" w:fill="FFFFFF"/>
        </w:rPr>
        <w:t>including situations of armed conflict, humanitarian emergencies and the occurrence of natural disasters</w:t>
      </w:r>
      <w:r w:rsidRPr="003C696B">
        <w:rPr>
          <w:color w:val="333333"/>
          <w:shd w:val="clear" w:color="auto" w:fill="FFFFFF"/>
        </w:rPr>
        <w:t>.</w:t>
      </w:r>
      <w:r w:rsidRPr="00C810F0">
        <w:t xml:space="preserve"> It </w:t>
      </w:r>
      <w:r w:rsidRPr="7C0ED37F">
        <w:rPr>
          <w:b/>
          <w:bCs/>
        </w:rPr>
        <w:t>requires states to take all necessary measures to ensure the protection and safety of persons with disabilities</w:t>
      </w:r>
      <w:r w:rsidRPr="00C810F0">
        <w:t>.</w:t>
      </w:r>
      <w:r w:rsidRPr="003C696B">
        <w:rPr>
          <w:color w:val="333333"/>
          <w:shd w:val="clear" w:color="auto" w:fill="FFFFFF"/>
        </w:rPr>
        <w:t xml:space="preserve"> </w:t>
      </w:r>
    </w:p>
    <w:p w14:paraId="7BC035C2" w14:textId="24885EF8" w:rsidR="003C696B" w:rsidRDefault="003C696B" w:rsidP="7C0ED37F">
      <w:pPr>
        <w:ind w:left="720"/>
        <w:jc w:val="both"/>
        <w:rPr>
          <w:color w:val="333333"/>
        </w:rPr>
      </w:pPr>
    </w:p>
    <w:p w14:paraId="793DA396" w14:textId="596AB6B1" w:rsidR="003C696B" w:rsidRDefault="05EF4D1D" w:rsidP="00E827C0">
      <w:pPr>
        <w:ind w:left="720"/>
        <w:rPr>
          <w:rFonts w:eastAsia="Calibri"/>
        </w:rPr>
      </w:pPr>
      <w:r w:rsidRPr="044C0BF8">
        <w:rPr>
          <w:color w:val="333333"/>
        </w:rPr>
        <w:t>The formulation of article 11 of “</w:t>
      </w:r>
      <w:r w:rsidR="6541BFB5" w:rsidRPr="044C0BF8">
        <w:rPr>
          <w:color w:val="333333"/>
        </w:rPr>
        <w:t>situation of risk” is not exhaustive</w:t>
      </w:r>
      <w:r w:rsidR="68B9216D" w:rsidRPr="044C0BF8">
        <w:rPr>
          <w:color w:val="333333"/>
        </w:rPr>
        <w:t>, as the “including” indicates</w:t>
      </w:r>
      <w:r w:rsidR="6541BFB5" w:rsidRPr="044C0BF8">
        <w:rPr>
          <w:color w:val="333333"/>
        </w:rPr>
        <w:t>.</w:t>
      </w:r>
      <w:r w:rsidR="26148A82" w:rsidRPr="044C0BF8">
        <w:rPr>
          <w:color w:val="333333"/>
        </w:rPr>
        <w:t xml:space="preserve"> Therefore, whereas the emphasis seems to be</w:t>
      </w:r>
      <w:r w:rsidR="7A463772" w:rsidRPr="044C0BF8">
        <w:rPr>
          <w:color w:val="333333"/>
        </w:rPr>
        <w:t xml:space="preserve"> </w:t>
      </w:r>
      <w:r w:rsidR="7A463772" w:rsidRPr="00D90C2C">
        <w:rPr>
          <w:i/>
          <w:iCs/>
          <w:color w:val="000000"/>
          <w:shd w:val="clear" w:color="auto" w:fill="FFFFFF"/>
        </w:rPr>
        <w:t>inter alia</w:t>
      </w:r>
      <w:r w:rsidR="26148A82" w:rsidRPr="044C0BF8">
        <w:rPr>
          <w:color w:val="333333"/>
        </w:rPr>
        <w:t xml:space="preserve"> on </w:t>
      </w:r>
      <w:r w:rsidR="3475B58E" w:rsidRPr="044C0BF8">
        <w:rPr>
          <w:color w:val="333333"/>
        </w:rPr>
        <w:t>disaster situation</w:t>
      </w:r>
      <w:r w:rsidR="04E606B0" w:rsidRPr="044C0BF8">
        <w:rPr>
          <w:color w:val="333333"/>
        </w:rPr>
        <w:t>s</w:t>
      </w:r>
      <w:r w:rsidR="3475B58E" w:rsidRPr="044C0BF8">
        <w:rPr>
          <w:color w:val="333333"/>
        </w:rPr>
        <w:t xml:space="preserve">, its full scope needs to be understood in light of the definition </w:t>
      </w:r>
      <w:r w:rsidR="2C6417E4" w:rsidRPr="044C0BF8">
        <w:rPr>
          <w:color w:val="333333"/>
        </w:rPr>
        <w:t xml:space="preserve">adopted </w:t>
      </w:r>
      <w:r w:rsidR="774477AF" w:rsidRPr="044C0BF8">
        <w:rPr>
          <w:color w:val="333333"/>
        </w:rPr>
        <w:t xml:space="preserve">on “disaster risk” </w:t>
      </w:r>
      <w:r w:rsidR="2C6417E4" w:rsidRPr="044C0BF8">
        <w:rPr>
          <w:color w:val="333333"/>
        </w:rPr>
        <w:t xml:space="preserve">by the United Nations General Assembly in February 2017 when endorsing the recommendations of the Report of </w:t>
      </w:r>
      <w:r w:rsidR="0301444C" w:rsidRPr="044C0BF8">
        <w:rPr>
          <w:color w:val="333333"/>
        </w:rPr>
        <w:t>its O</w:t>
      </w:r>
      <w:r w:rsidR="2C6417E4" w:rsidRPr="044C0BF8">
        <w:rPr>
          <w:color w:val="333333"/>
        </w:rPr>
        <w:t>pen-ended intergovernmental expert working group on indicators and terminology relating to disaster risk reduction (UN Doc A/71/644)</w:t>
      </w:r>
      <w:r w:rsidR="57046ACF" w:rsidRPr="044C0BF8">
        <w:rPr>
          <w:color w:val="333333"/>
        </w:rPr>
        <w:t xml:space="preserve">. Namely, disaster risk is defined as </w:t>
      </w:r>
      <w:r w:rsidR="2C6417E4" w:rsidRPr="044C0BF8">
        <w:rPr>
          <w:rFonts w:eastAsia="Calibri"/>
        </w:rPr>
        <w:t>‘the potential loss of life, injury, or destroyed or damaged assets which</w:t>
      </w:r>
      <w:r w:rsidR="1B735984" w:rsidRPr="044C0BF8">
        <w:rPr>
          <w:rFonts w:eastAsia="Calibri"/>
        </w:rPr>
        <w:t xml:space="preserve"> </w:t>
      </w:r>
      <w:r w:rsidR="2C6417E4" w:rsidRPr="044C0BF8">
        <w:rPr>
          <w:rFonts w:eastAsia="Calibri"/>
        </w:rPr>
        <w:t>could occur to a system, society or a community in a specific period of</w:t>
      </w:r>
      <w:r w:rsidR="2339CBD7" w:rsidRPr="044C0BF8">
        <w:rPr>
          <w:rFonts w:eastAsia="Calibri"/>
        </w:rPr>
        <w:t xml:space="preserve"> </w:t>
      </w:r>
      <w:r w:rsidR="2C6417E4" w:rsidRPr="044C0BF8">
        <w:rPr>
          <w:rFonts w:eastAsia="Calibri"/>
        </w:rPr>
        <w:t>time, determined</w:t>
      </w:r>
      <w:r w:rsidR="5B78B80B" w:rsidRPr="044C0BF8">
        <w:rPr>
          <w:rFonts w:eastAsia="Calibri"/>
        </w:rPr>
        <w:t xml:space="preserve"> </w:t>
      </w:r>
      <w:r w:rsidR="2C6417E4" w:rsidRPr="044C0BF8">
        <w:rPr>
          <w:rFonts w:eastAsia="Calibri"/>
        </w:rPr>
        <w:t>probabilistically as a function of hazard, exposure,</w:t>
      </w:r>
      <w:r w:rsidR="6F21D72C" w:rsidRPr="044C0BF8">
        <w:rPr>
          <w:rFonts w:eastAsia="Calibri"/>
        </w:rPr>
        <w:t xml:space="preserve"> </w:t>
      </w:r>
      <w:r w:rsidR="2C6417E4" w:rsidRPr="044C0BF8">
        <w:rPr>
          <w:rFonts w:eastAsia="Calibri"/>
        </w:rPr>
        <w:t>vulnerability and capacity’.</w:t>
      </w:r>
      <w:r w:rsidR="29A0623B" w:rsidRPr="044C0BF8">
        <w:rPr>
          <w:rFonts w:eastAsia="Calibri"/>
        </w:rPr>
        <w:t xml:space="preserve"> Furthermore, its annotation help shed light on other important asp</w:t>
      </w:r>
      <w:r w:rsidR="0C0D6284" w:rsidRPr="044C0BF8">
        <w:rPr>
          <w:rFonts w:eastAsia="Calibri"/>
        </w:rPr>
        <w:t>e</w:t>
      </w:r>
      <w:r w:rsidR="29A0623B" w:rsidRPr="044C0BF8">
        <w:rPr>
          <w:rFonts w:eastAsia="Calibri"/>
        </w:rPr>
        <w:t xml:space="preserve">cts: </w:t>
      </w:r>
      <w:r w:rsidR="37E96A36" w:rsidRPr="044C0BF8">
        <w:rPr>
          <w:rFonts w:eastAsia="Calibri"/>
        </w:rPr>
        <w:t>‘the definition of disaster risk reflects the concept of hazardous events and disasters as the outcome of continuously present conditions of risk. Disaster risk comprises different types of potential losses which are often difficult to quantify. Nevertheless, with knowledge of the prevailing hazards and the patterns of population and socioeconomic development, disaster risks can be assessed and mapped, in broad terms at least. It is important to consider the social and economic contexts in which disaster risks occur and that people do not necessarily share the same</w:t>
      </w:r>
      <w:r w:rsidR="00137E50">
        <w:rPr>
          <w:rFonts w:eastAsia="Calibri"/>
        </w:rPr>
        <w:t xml:space="preserve"> </w:t>
      </w:r>
      <w:r w:rsidR="37E96A36" w:rsidRPr="044C0BF8">
        <w:rPr>
          <w:rFonts w:eastAsia="Calibri"/>
        </w:rPr>
        <w:t>perceptions of risk and their underlying risk factors’</w:t>
      </w:r>
      <w:r w:rsidR="19A43CA3" w:rsidRPr="044C0BF8">
        <w:rPr>
          <w:rFonts w:eastAsia="Calibri"/>
        </w:rPr>
        <w:t>.</w:t>
      </w:r>
    </w:p>
    <w:p w14:paraId="20975644" w14:textId="77E4BFEC" w:rsidR="003C696B" w:rsidRDefault="003C696B" w:rsidP="044C0BF8">
      <w:pPr>
        <w:ind w:left="720"/>
        <w:jc w:val="both"/>
        <w:rPr>
          <w:rFonts w:eastAsia="Calibri"/>
        </w:rPr>
      </w:pPr>
    </w:p>
    <w:p w14:paraId="052D5885" w14:textId="2177A3FD" w:rsidR="003C696B" w:rsidRDefault="583F7BA8" w:rsidP="00E827C0">
      <w:pPr>
        <w:ind w:left="720"/>
        <w:rPr>
          <w:rFonts w:eastAsia="Calibri"/>
        </w:rPr>
      </w:pPr>
      <w:r w:rsidRPr="044C0BF8">
        <w:rPr>
          <w:rFonts w:eastAsia="Calibri"/>
        </w:rPr>
        <w:t>Ther</w:t>
      </w:r>
      <w:r w:rsidR="1101FC98" w:rsidRPr="044C0BF8">
        <w:rPr>
          <w:rFonts w:eastAsia="Calibri"/>
        </w:rPr>
        <w:t>e</w:t>
      </w:r>
      <w:r w:rsidRPr="044C0BF8">
        <w:rPr>
          <w:rFonts w:eastAsia="Calibri"/>
        </w:rPr>
        <w:t>fore, the scope of article 11 needs to be understood as including preventative measures</w:t>
      </w:r>
      <w:r w:rsidR="7C9D69D6" w:rsidRPr="044C0BF8">
        <w:rPr>
          <w:rFonts w:eastAsia="Calibri"/>
        </w:rPr>
        <w:t xml:space="preserve"> </w:t>
      </w:r>
      <w:r w:rsidRPr="044C0BF8">
        <w:rPr>
          <w:rFonts w:eastAsia="Calibri"/>
        </w:rPr>
        <w:t>aimed</w:t>
      </w:r>
      <w:r w:rsidR="66D3E558" w:rsidRPr="044C0BF8">
        <w:rPr>
          <w:rFonts w:eastAsia="Calibri"/>
        </w:rPr>
        <w:t xml:space="preserve"> </w:t>
      </w:r>
      <w:r w:rsidRPr="044C0BF8">
        <w:rPr>
          <w:rFonts w:eastAsia="Calibri"/>
        </w:rPr>
        <w:t>to prevent the creation of new risk and reduc</w:t>
      </w:r>
      <w:r w:rsidR="0A9B6634" w:rsidRPr="044C0BF8">
        <w:rPr>
          <w:rFonts w:eastAsia="Calibri"/>
        </w:rPr>
        <w:t>e</w:t>
      </w:r>
      <w:r w:rsidRPr="044C0BF8">
        <w:rPr>
          <w:rFonts w:eastAsia="Calibri"/>
        </w:rPr>
        <w:t xml:space="preserve"> existing risk</w:t>
      </w:r>
      <w:r w:rsidR="4E7C4B06" w:rsidRPr="044C0BF8">
        <w:rPr>
          <w:rFonts w:eastAsia="Calibri"/>
        </w:rPr>
        <w:t xml:space="preserve"> in accordance with paragraph 17 of the Sendai Framework,</w:t>
      </w:r>
      <w:r w:rsidR="0B67F55C" w:rsidRPr="044C0BF8">
        <w:rPr>
          <w:rFonts w:eastAsia="Calibri"/>
        </w:rPr>
        <w:t xml:space="preserve"> in addition to strengthening preparedness for response and response itself</w:t>
      </w:r>
      <w:r w:rsidR="362D5FC3" w:rsidRPr="044C0BF8">
        <w:rPr>
          <w:rFonts w:eastAsia="Calibri"/>
        </w:rPr>
        <w:t xml:space="preserve"> as well as action in situation of armed conflict and humanitarian emergencies</w:t>
      </w:r>
      <w:r w:rsidR="0B67F55C" w:rsidRPr="044C0BF8">
        <w:rPr>
          <w:rFonts w:eastAsia="Calibri"/>
        </w:rPr>
        <w:t>.</w:t>
      </w:r>
      <w:r w:rsidR="2C8C61A0" w:rsidRPr="044C0BF8">
        <w:rPr>
          <w:rFonts w:eastAsia="Calibri"/>
        </w:rPr>
        <w:t xml:space="preserve"> Moreover, the inclusion of armed conflicts and humanitarian emergencies </w:t>
      </w:r>
      <w:r w:rsidR="20C7991C" w:rsidRPr="044C0BF8">
        <w:rPr>
          <w:rFonts w:eastAsia="Calibri"/>
        </w:rPr>
        <w:t xml:space="preserve">warrant the necessity to adopt, as much as possible and in light of the circumstances, preventative measures </w:t>
      </w:r>
      <w:r w:rsidR="0C63065B" w:rsidRPr="044C0BF8">
        <w:rPr>
          <w:rFonts w:eastAsia="Calibri"/>
        </w:rPr>
        <w:t>to reduce disaster risk even in those situations. This seems to be all</w:t>
      </w:r>
      <w:r w:rsidR="4525874A" w:rsidRPr="044C0BF8">
        <w:rPr>
          <w:rFonts w:eastAsia="Calibri"/>
        </w:rPr>
        <w:t xml:space="preserve"> </w:t>
      </w:r>
      <w:r w:rsidR="0C63065B" w:rsidRPr="044C0BF8">
        <w:rPr>
          <w:rFonts w:eastAsia="Calibri"/>
        </w:rPr>
        <w:t>the</w:t>
      </w:r>
      <w:r w:rsidR="4EB7045C" w:rsidRPr="044C0BF8">
        <w:rPr>
          <w:rFonts w:eastAsia="Calibri"/>
        </w:rPr>
        <w:t xml:space="preserve"> </w:t>
      </w:r>
      <w:r w:rsidR="0C63065B" w:rsidRPr="044C0BF8">
        <w:rPr>
          <w:rFonts w:eastAsia="Calibri"/>
        </w:rPr>
        <w:t xml:space="preserve">more </w:t>
      </w:r>
      <w:r w:rsidR="2E36CB39" w:rsidRPr="044C0BF8">
        <w:rPr>
          <w:rFonts w:eastAsia="Calibri"/>
        </w:rPr>
        <w:t xml:space="preserve">important in light of the systemic, compounding and cascading nature of disaster risk, as reducing the risk of disaster </w:t>
      </w:r>
      <w:r w:rsidR="09ACD0BE" w:rsidRPr="044C0BF8">
        <w:rPr>
          <w:rFonts w:eastAsia="Calibri"/>
        </w:rPr>
        <w:t>would contribute to enhance the resilience of persons in situations of armed conflicts and humanitarian emergencies</w:t>
      </w:r>
      <w:r w:rsidR="631CDF14" w:rsidRPr="044C0BF8">
        <w:rPr>
          <w:rFonts w:eastAsia="Calibri"/>
        </w:rPr>
        <w:t xml:space="preserve"> – an example of the contribution of DRR to the peace, humanitarian and development nexus.</w:t>
      </w:r>
    </w:p>
    <w:p w14:paraId="21374B11" w14:textId="20A7B5B3" w:rsidR="003C696B" w:rsidRDefault="003C696B" w:rsidP="044C0BF8">
      <w:pPr>
        <w:ind w:left="720"/>
        <w:jc w:val="both"/>
        <w:rPr>
          <w:rFonts w:eastAsia="Calibri"/>
        </w:rPr>
      </w:pPr>
    </w:p>
    <w:p w14:paraId="1E39C5D7" w14:textId="7CAF36F9" w:rsidR="044C0BF8" w:rsidRDefault="0FCF46C5" w:rsidP="00E827C0">
      <w:pPr>
        <w:ind w:left="720"/>
      </w:pPr>
      <w:r w:rsidRPr="000F3494">
        <w:rPr>
          <w:rFonts w:eastAsia="Calibri"/>
        </w:rPr>
        <w:t xml:space="preserve">In the context of disaster risk reduction, it is important to recognise that while the CRPD specifically references ‘natural disasters’, disaster risk is created by the decisions people make, and while hazards may be natural, disasters are not. </w:t>
      </w:r>
      <w:r w:rsidR="6DCF89A1" w:rsidRPr="000F3494">
        <w:rPr>
          <w:rFonts w:eastAsia="Calibri"/>
        </w:rPr>
        <w:t xml:space="preserve">Thus, </w:t>
      </w:r>
      <w:r w:rsidR="0C4AC1C6" w:rsidRPr="000F3494">
        <w:rPr>
          <w:rFonts w:eastAsia="Calibri"/>
        </w:rPr>
        <w:t xml:space="preserve">it has been commonly </w:t>
      </w:r>
      <w:r w:rsidR="4F120C20" w:rsidRPr="000F3494">
        <w:rPr>
          <w:rFonts w:eastAsia="Calibri"/>
        </w:rPr>
        <w:t>recognized</w:t>
      </w:r>
      <w:r w:rsidR="0C4AC1C6" w:rsidRPr="000F3494">
        <w:rPr>
          <w:rFonts w:eastAsia="Calibri"/>
        </w:rPr>
        <w:t xml:space="preserve"> not to speak </w:t>
      </w:r>
      <w:r w:rsidR="4F120C20" w:rsidRPr="000F3494">
        <w:rPr>
          <w:rFonts w:eastAsia="Calibri"/>
        </w:rPr>
        <w:t>any more</w:t>
      </w:r>
      <w:r w:rsidR="0C4AC1C6" w:rsidRPr="000F3494">
        <w:rPr>
          <w:rFonts w:eastAsia="Calibri"/>
        </w:rPr>
        <w:t xml:space="preserve"> about ‘natural disaster</w:t>
      </w:r>
      <w:r w:rsidR="4F120C20" w:rsidRPr="000F3494">
        <w:rPr>
          <w:rFonts w:eastAsia="Calibri"/>
        </w:rPr>
        <w:t>s’</w:t>
      </w:r>
      <w:r w:rsidR="0C4AC1C6" w:rsidRPr="000F3494">
        <w:rPr>
          <w:rFonts w:eastAsia="Calibri"/>
        </w:rPr>
        <w:t xml:space="preserve">. </w:t>
      </w:r>
      <w:r w:rsidR="3CBB586B" w:rsidRPr="000F3494">
        <w:rPr>
          <w:rFonts w:eastAsia="Calibri"/>
        </w:rPr>
        <w:t xml:space="preserve">Such terminology has not been included in the terminology adopted by the United Nations General Assembly mentioned earlier. </w:t>
      </w:r>
      <w:r w:rsidR="36D8F429" w:rsidRPr="000F3494">
        <w:rPr>
          <w:rFonts w:eastAsia="Calibri"/>
        </w:rPr>
        <w:t xml:space="preserve"> Furthermore</w:t>
      </w:r>
      <w:r w:rsidRPr="000F3494">
        <w:rPr>
          <w:rFonts w:eastAsia="Calibri"/>
        </w:rPr>
        <w:t xml:space="preserve">, it is critical that in taking relevant DRR measures state Parties and stakeholders </w:t>
      </w:r>
      <w:r w:rsidR="4F120C20" w:rsidRPr="000F3494">
        <w:rPr>
          <w:rFonts w:eastAsia="Calibri"/>
        </w:rPr>
        <w:t>consider</w:t>
      </w:r>
      <w:r w:rsidRPr="000F3494">
        <w:rPr>
          <w:rFonts w:eastAsia="Calibri"/>
        </w:rPr>
        <w:t xml:space="preserve"> the full scope of hazards enshrined in para 15 of the Sendai Framework</w:t>
      </w:r>
      <w:r w:rsidR="59D9DAB6" w:rsidRPr="000F3494">
        <w:rPr>
          <w:rFonts w:eastAsia="Calibri"/>
        </w:rPr>
        <w:t xml:space="preserve"> - “The present Framework will apply to the risk of small-scale and large-scale, frequent and infrequent, sudden and slow-onset disasters caused by natural or man-made hazards, as well as related environmental, technological and biological hazards and risks</w:t>
      </w:r>
      <w:r w:rsidRPr="000F3494">
        <w:rPr>
          <w:rFonts w:eastAsia="Calibri"/>
        </w:rPr>
        <w:t>.</w:t>
      </w:r>
      <w:r w:rsidR="21732D82" w:rsidRPr="000F3494">
        <w:rPr>
          <w:rFonts w:eastAsia="Calibri"/>
        </w:rPr>
        <w:t>”</w:t>
      </w:r>
      <w:r w:rsidRPr="000F3494">
        <w:rPr>
          <w:rFonts w:eastAsia="Calibri"/>
        </w:rPr>
        <w:t xml:space="preserve"> Disaster risk cannot be managed hazard by hazard. A multi-hazard approach is fundamental,</w:t>
      </w:r>
      <w:r w:rsidRPr="003C696B">
        <w:rPr>
          <w:color w:val="333333"/>
          <w:shd w:val="clear" w:color="auto" w:fill="FFFFFF"/>
        </w:rPr>
        <w:t xml:space="preserve"> </w:t>
      </w:r>
      <w:r w:rsidRPr="003C696B">
        <w:rPr>
          <w:color w:val="333333"/>
          <w:shd w:val="clear" w:color="auto" w:fill="FFFFFF"/>
        </w:rPr>
        <w:lastRenderedPageBreak/>
        <w:t>given the systemic nature of risk and its compounding and cascading effects across sectors, geographies, and societal groups</w:t>
      </w:r>
      <w:r w:rsidR="003C696B" w:rsidRPr="00C810F0">
        <w:rPr>
          <w:rStyle w:val="FootnoteReference"/>
          <w:color w:val="333333"/>
          <w:shd w:val="clear" w:color="auto" w:fill="FFFFFF"/>
        </w:rPr>
        <w:footnoteReference w:id="14"/>
      </w:r>
      <w:r w:rsidRPr="003C696B">
        <w:rPr>
          <w:color w:val="333333"/>
          <w:shd w:val="clear" w:color="auto" w:fill="FFFFFF"/>
        </w:rPr>
        <w:t>.</w:t>
      </w:r>
    </w:p>
    <w:p w14:paraId="2036CE58" w14:textId="305A9DA4" w:rsidR="004E06FE" w:rsidRPr="00A15813" w:rsidRDefault="004E06FE" w:rsidP="004E06FE">
      <w:pPr>
        <w:numPr>
          <w:ilvl w:val="0"/>
          <w:numId w:val="1"/>
        </w:numPr>
        <w:spacing w:before="100" w:beforeAutospacing="1" w:after="100" w:afterAutospacing="1"/>
        <w:rPr>
          <w:rStyle w:val="contentpasted3"/>
          <w:rFonts w:asciiTheme="minorHAnsi" w:eastAsia="Times New Roman" w:hAnsiTheme="minorHAnsi" w:cstheme="minorHAnsi"/>
          <w:b/>
          <w:bCs/>
          <w:color w:val="1F3864" w:themeColor="accent1" w:themeShade="80"/>
          <w:shd w:val="clear" w:color="auto" w:fill="FFFFFF"/>
        </w:rPr>
      </w:pPr>
      <w:r w:rsidRPr="00A15813">
        <w:rPr>
          <w:rStyle w:val="contentpasted3"/>
          <w:rFonts w:asciiTheme="minorHAnsi" w:eastAsia="Times New Roman" w:hAnsiTheme="minorHAnsi" w:cstheme="minorHAnsi"/>
          <w:b/>
          <w:bCs/>
          <w:color w:val="1F3864" w:themeColor="accent1" w:themeShade="80"/>
          <w:spacing w:val="4"/>
          <w:shd w:val="clear" w:color="auto" w:fill="FFFFFF"/>
        </w:rPr>
        <w:t>States obligations</w:t>
      </w:r>
      <w:r w:rsidR="006231E3">
        <w:rPr>
          <w:rStyle w:val="contentpasted3"/>
          <w:rFonts w:asciiTheme="minorHAnsi" w:eastAsia="Times New Roman" w:hAnsiTheme="minorHAnsi" w:cstheme="minorHAnsi"/>
          <w:b/>
          <w:bCs/>
          <w:color w:val="1F3864" w:themeColor="accent1" w:themeShade="80"/>
          <w:spacing w:val="4"/>
          <w:shd w:val="clear" w:color="auto" w:fill="FFFFFF"/>
        </w:rPr>
        <w:t xml:space="preserve"> under article 11. </w:t>
      </w:r>
    </w:p>
    <w:p w14:paraId="76C22F79" w14:textId="2875D9B7" w:rsidR="00292776" w:rsidRDefault="00292776" w:rsidP="00292776">
      <w:pPr>
        <w:pStyle w:val="ListParagraph"/>
        <w:spacing w:before="100" w:beforeAutospacing="1" w:after="100" w:afterAutospacing="1"/>
        <w:rPr>
          <w:rFonts w:asciiTheme="minorHAnsi" w:eastAsia="Times New Roman" w:hAnsiTheme="minorHAnsi" w:cstheme="minorHAnsi"/>
          <w:b/>
          <w:bCs/>
          <w:color w:val="1F3864" w:themeColor="accent1" w:themeShade="80"/>
          <w:shd w:val="clear" w:color="auto" w:fill="FFFFFF"/>
        </w:rPr>
      </w:pPr>
      <w:r w:rsidRPr="044C0BF8">
        <w:rPr>
          <w:rFonts w:asciiTheme="minorHAnsi" w:eastAsia="Times New Roman" w:hAnsiTheme="minorHAnsi" w:cstheme="minorBidi"/>
          <w:b/>
          <w:bCs/>
          <w:color w:val="1F3864" w:themeColor="accent1" w:themeShade="80"/>
          <w:shd w:val="clear" w:color="auto" w:fill="FFFFFF"/>
        </w:rPr>
        <w:t xml:space="preserve">[Under this chapter, please </w:t>
      </w:r>
      <w:r w:rsidR="00586773" w:rsidRPr="044C0BF8">
        <w:rPr>
          <w:rFonts w:asciiTheme="minorHAnsi" w:eastAsia="Times New Roman" w:hAnsiTheme="minorHAnsi" w:cstheme="minorBidi"/>
          <w:b/>
          <w:bCs/>
          <w:color w:val="1F3864" w:themeColor="accent1" w:themeShade="80"/>
          <w:shd w:val="clear" w:color="auto" w:fill="FFFFFF"/>
        </w:rPr>
        <w:t xml:space="preserve">kindly </w:t>
      </w:r>
      <w:r w:rsidR="00586773" w:rsidRPr="00BA1945">
        <w:rPr>
          <w:rFonts w:asciiTheme="minorHAnsi" w:eastAsia="Times New Roman" w:hAnsiTheme="minorHAnsi" w:cstheme="minorBidi"/>
          <w:b/>
          <w:bCs/>
          <w:color w:val="1F3864" w:themeColor="accent1" w:themeShade="80"/>
          <w:shd w:val="clear" w:color="auto" w:fill="FFFFFF"/>
        </w:rPr>
        <w:t xml:space="preserve">indicate what </w:t>
      </w:r>
      <w:r w:rsidR="00586773" w:rsidRPr="00BA1945">
        <w:rPr>
          <w:rFonts w:asciiTheme="minorHAnsi" w:eastAsia="Times New Roman" w:hAnsiTheme="minorHAnsi" w:cstheme="minorBidi"/>
          <w:b/>
          <w:bCs/>
          <w:color w:val="1F3864" w:themeColor="accent1" w:themeShade="80"/>
        </w:rPr>
        <w:t>concrete obligations State parties</w:t>
      </w:r>
      <w:r w:rsidR="005E5C3A" w:rsidRPr="00BA1945">
        <w:rPr>
          <w:rFonts w:asciiTheme="minorHAnsi" w:eastAsia="Times New Roman" w:hAnsiTheme="minorHAnsi" w:cstheme="minorBidi"/>
          <w:b/>
          <w:bCs/>
          <w:color w:val="1F3864" w:themeColor="accent1" w:themeShade="80"/>
        </w:rPr>
        <w:t xml:space="preserve"> and other actors</w:t>
      </w:r>
      <w:r w:rsidR="00586773" w:rsidRPr="00BA1945">
        <w:rPr>
          <w:rFonts w:asciiTheme="minorHAnsi" w:eastAsia="Times New Roman" w:hAnsiTheme="minorHAnsi" w:cstheme="minorBidi"/>
          <w:b/>
          <w:bCs/>
          <w:color w:val="1F3864" w:themeColor="accent1" w:themeShade="80"/>
        </w:rPr>
        <w:t xml:space="preserve"> have in the area of international law of</w:t>
      </w:r>
      <w:r w:rsidR="00586773" w:rsidRPr="044C0BF8">
        <w:rPr>
          <w:rFonts w:asciiTheme="minorHAnsi" w:eastAsia="Times New Roman" w:hAnsiTheme="minorHAnsi" w:cstheme="minorBidi"/>
          <w:b/>
          <w:bCs/>
          <w:color w:val="1F3864" w:themeColor="accent1" w:themeShade="80"/>
          <w:shd w:val="clear" w:color="auto" w:fill="FFFFFF"/>
        </w:rPr>
        <w:t xml:space="preserve"> your </w:t>
      </w:r>
      <w:r w:rsidR="005E5C3A" w:rsidRPr="044C0BF8">
        <w:rPr>
          <w:rFonts w:asciiTheme="minorHAnsi" w:eastAsia="Times New Roman" w:hAnsiTheme="minorHAnsi" w:cstheme="minorBidi"/>
          <w:b/>
          <w:bCs/>
          <w:color w:val="1F3864" w:themeColor="accent1" w:themeShade="80"/>
          <w:shd w:val="clear" w:color="auto" w:fill="FFFFFF"/>
        </w:rPr>
        <w:t xml:space="preserve">organization’s </w:t>
      </w:r>
      <w:r w:rsidR="00586773" w:rsidRPr="044C0BF8">
        <w:rPr>
          <w:rFonts w:asciiTheme="minorHAnsi" w:eastAsia="Times New Roman" w:hAnsiTheme="minorHAnsi" w:cstheme="minorBidi"/>
          <w:b/>
          <w:bCs/>
          <w:color w:val="1F3864" w:themeColor="accent1" w:themeShade="80"/>
          <w:shd w:val="clear" w:color="auto" w:fill="FFFFFF"/>
        </w:rPr>
        <w:t xml:space="preserve">expertise – IHL, environmental law, refugee law, disaster, e.t.c and the obligations under article 11 of </w:t>
      </w:r>
      <w:r w:rsidR="005E5C3A" w:rsidRPr="044C0BF8">
        <w:rPr>
          <w:rFonts w:asciiTheme="minorHAnsi" w:eastAsia="Times New Roman" w:hAnsiTheme="minorHAnsi" w:cstheme="minorBidi"/>
          <w:b/>
          <w:bCs/>
          <w:color w:val="1F3864" w:themeColor="accent1" w:themeShade="80"/>
          <w:shd w:val="clear" w:color="auto" w:fill="FFFFFF"/>
        </w:rPr>
        <w:t xml:space="preserve">the </w:t>
      </w:r>
      <w:r w:rsidR="00586773" w:rsidRPr="044C0BF8">
        <w:rPr>
          <w:rFonts w:asciiTheme="minorHAnsi" w:eastAsia="Times New Roman" w:hAnsiTheme="minorHAnsi" w:cstheme="minorBidi"/>
          <w:b/>
          <w:bCs/>
          <w:color w:val="1F3864" w:themeColor="accent1" w:themeShade="80"/>
          <w:shd w:val="clear" w:color="auto" w:fill="FFFFFF"/>
        </w:rPr>
        <w:t>UNCRP</w:t>
      </w:r>
      <w:r w:rsidR="005E5C3A" w:rsidRPr="044C0BF8">
        <w:rPr>
          <w:rFonts w:asciiTheme="minorHAnsi" w:eastAsia="Times New Roman" w:hAnsiTheme="minorHAnsi" w:cstheme="minorBidi"/>
          <w:b/>
          <w:bCs/>
          <w:color w:val="1F3864" w:themeColor="accent1" w:themeShade="80"/>
          <w:shd w:val="clear" w:color="auto" w:fill="FFFFFF"/>
        </w:rPr>
        <w:t>D</w:t>
      </w:r>
      <w:r w:rsidRPr="044C0BF8">
        <w:rPr>
          <w:rFonts w:asciiTheme="minorHAnsi" w:eastAsia="Times New Roman" w:hAnsiTheme="minorHAnsi" w:cstheme="minorBidi"/>
          <w:b/>
          <w:bCs/>
          <w:color w:val="1F3864" w:themeColor="accent1" w:themeShade="80"/>
          <w:shd w:val="clear" w:color="auto" w:fill="FFFFFF"/>
        </w:rPr>
        <w:t>]</w:t>
      </w:r>
    </w:p>
    <w:p w14:paraId="02FD5E30" w14:textId="49E91098" w:rsidR="00870BF4" w:rsidRPr="00C810F0" w:rsidRDefault="374EED31" w:rsidP="00E827C0">
      <w:pPr>
        <w:ind w:left="709"/>
        <w:rPr>
          <w:color w:val="000000" w:themeColor="text1"/>
        </w:rPr>
      </w:pPr>
      <w:r w:rsidRPr="00C810F0">
        <w:rPr>
          <w:color w:val="000000"/>
          <w:shd w:val="clear" w:color="auto" w:fill="FFFFFF"/>
        </w:rPr>
        <w:t xml:space="preserve">Existing international law </w:t>
      </w:r>
      <w:r w:rsidR="3270AF7F" w:rsidRPr="00C810F0">
        <w:rPr>
          <w:color w:val="000000"/>
          <w:shd w:val="clear" w:color="auto" w:fill="FFFFFF"/>
        </w:rPr>
        <w:t>is not sufficiently clear</w:t>
      </w:r>
      <w:r w:rsidRPr="00C810F0">
        <w:rPr>
          <w:color w:val="000000"/>
          <w:shd w:val="clear" w:color="auto" w:fill="FFFFFF"/>
        </w:rPr>
        <w:t xml:space="preserve"> concerning </w:t>
      </w:r>
      <w:r w:rsidR="5D61DD16" w:rsidRPr="00C810F0">
        <w:rPr>
          <w:color w:val="000000"/>
          <w:shd w:val="clear" w:color="auto" w:fill="FFFFFF"/>
        </w:rPr>
        <w:t xml:space="preserve">specific </w:t>
      </w:r>
      <w:r w:rsidRPr="00C810F0">
        <w:rPr>
          <w:color w:val="000000"/>
          <w:shd w:val="clear" w:color="auto" w:fill="FFFFFF"/>
        </w:rPr>
        <w:t xml:space="preserve">norms </w:t>
      </w:r>
      <w:r w:rsidR="316C88EF" w:rsidRPr="00C810F0">
        <w:rPr>
          <w:color w:val="000000"/>
          <w:shd w:val="clear" w:color="auto" w:fill="FFFFFF"/>
        </w:rPr>
        <w:t xml:space="preserve">related to </w:t>
      </w:r>
      <w:r w:rsidRPr="00C810F0">
        <w:rPr>
          <w:color w:val="000000"/>
          <w:shd w:val="clear" w:color="auto" w:fill="FFFFFF"/>
        </w:rPr>
        <w:t>disaster risk reduction</w:t>
      </w:r>
      <w:r w:rsidR="385313C1" w:rsidRPr="00C810F0">
        <w:rPr>
          <w:color w:val="000000"/>
          <w:shd w:val="clear" w:color="auto" w:fill="FFFFFF"/>
        </w:rPr>
        <w:t>, and the draft articles on the “Protection of persons in the event of disasters”</w:t>
      </w:r>
      <w:r w:rsidR="6AAEFE4C" w:rsidRPr="00C810F0">
        <w:rPr>
          <w:color w:val="000000"/>
          <w:shd w:val="clear" w:color="auto" w:fill="FFFFFF"/>
        </w:rPr>
        <w:t xml:space="preserve">, including proposed article 9 </w:t>
      </w:r>
      <w:r w:rsidR="00870BF4" w:rsidRPr="044C0BF8">
        <w:rPr>
          <w:rStyle w:val="FootnoteReference"/>
          <w:color w:val="000000" w:themeColor="text1"/>
        </w:rPr>
        <w:footnoteReference w:id="15"/>
      </w:r>
      <w:r w:rsidR="24ED0458" w:rsidRPr="044C0BF8">
        <w:rPr>
          <w:rStyle w:val="FootnoteReference"/>
          <w:color w:val="000000"/>
          <w:shd w:val="clear" w:color="auto" w:fill="FFFFFF"/>
        </w:rPr>
        <w:t xml:space="preserve"> </w:t>
      </w:r>
      <w:r w:rsidR="6AAEFE4C" w:rsidRPr="00C810F0">
        <w:rPr>
          <w:color w:val="000000"/>
          <w:shd w:val="clear" w:color="auto" w:fill="FFFFFF"/>
        </w:rPr>
        <w:t xml:space="preserve">and other related articles, </w:t>
      </w:r>
      <w:r w:rsidR="385313C1" w:rsidRPr="00C810F0">
        <w:rPr>
          <w:color w:val="000000"/>
          <w:shd w:val="clear" w:color="auto" w:fill="FFFFFF"/>
        </w:rPr>
        <w:t>aim</w:t>
      </w:r>
      <w:r w:rsidR="5173E7D1" w:rsidRPr="00C810F0">
        <w:rPr>
          <w:color w:val="000000"/>
          <w:shd w:val="clear" w:color="auto" w:fill="FFFFFF"/>
        </w:rPr>
        <w:t xml:space="preserve"> at</w:t>
      </w:r>
      <w:r w:rsidR="2B7DCCC4" w:rsidRPr="00C810F0">
        <w:rPr>
          <w:color w:val="000000"/>
          <w:shd w:val="clear" w:color="auto" w:fill="FFFFFF"/>
        </w:rPr>
        <w:t xml:space="preserve"> making some clarity and fill potential gaps. </w:t>
      </w:r>
      <w:r w:rsidR="359CDE24" w:rsidRPr="00C810F0">
        <w:rPr>
          <w:color w:val="000000"/>
          <w:shd w:val="clear" w:color="auto" w:fill="FFFFFF"/>
        </w:rPr>
        <w:t>Whereas the draft articles are under consideration by t</w:t>
      </w:r>
      <w:r w:rsidR="359CDE24" w:rsidRPr="044C0BF8">
        <w:rPr>
          <w:color w:val="000000" w:themeColor="text1"/>
        </w:rPr>
        <w:t xml:space="preserve">he United Nations General Assembly, </w:t>
      </w:r>
      <w:r w:rsidR="379C9562" w:rsidRPr="044C0BF8">
        <w:rPr>
          <w:color w:val="000000" w:themeColor="text1"/>
        </w:rPr>
        <w:t xml:space="preserve">it would be critical </w:t>
      </w:r>
      <w:r w:rsidR="51668AA1" w:rsidRPr="044C0BF8">
        <w:rPr>
          <w:color w:val="000000" w:themeColor="text1"/>
        </w:rPr>
        <w:t xml:space="preserve">for Member States </w:t>
      </w:r>
      <w:r w:rsidR="379C9562" w:rsidRPr="044C0BF8">
        <w:rPr>
          <w:color w:val="000000" w:themeColor="text1"/>
        </w:rPr>
        <w:t xml:space="preserve">to adopt a norm reflecting the intent and </w:t>
      </w:r>
      <w:r w:rsidR="30B8FD3A" w:rsidRPr="044C0BF8">
        <w:rPr>
          <w:color w:val="000000" w:themeColor="text1"/>
        </w:rPr>
        <w:t xml:space="preserve">legal </w:t>
      </w:r>
      <w:r w:rsidR="379C9562" w:rsidRPr="044C0BF8">
        <w:rPr>
          <w:color w:val="000000" w:themeColor="text1"/>
        </w:rPr>
        <w:t xml:space="preserve">obligation of current draft </w:t>
      </w:r>
      <w:r w:rsidR="06192E1F" w:rsidRPr="044C0BF8">
        <w:rPr>
          <w:color w:val="000000" w:themeColor="text1"/>
        </w:rPr>
        <w:t>article 9.</w:t>
      </w:r>
    </w:p>
    <w:p w14:paraId="06C15B68" w14:textId="45A362BA" w:rsidR="00870BF4" w:rsidRPr="00C810F0" w:rsidRDefault="00870BF4" w:rsidP="00E827C0">
      <w:pPr>
        <w:ind w:left="709"/>
        <w:rPr>
          <w:color w:val="000000" w:themeColor="text1"/>
        </w:rPr>
      </w:pPr>
    </w:p>
    <w:p w14:paraId="154EFFFC" w14:textId="4F27D3CD" w:rsidR="00870BF4" w:rsidRPr="00C810F0" w:rsidRDefault="489C0F16" w:rsidP="00E827C0">
      <w:pPr>
        <w:ind w:left="709"/>
        <w:rPr>
          <w:color w:val="000000" w:themeColor="text1"/>
        </w:rPr>
      </w:pPr>
      <w:r w:rsidRPr="00C810F0">
        <w:rPr>
          <w:color w:val="000000"/>
          <w:shd w:val="clear" w:color="auto" w:fill="FFFFFF"/>
        </w:rPr>
        <w:t xml:space="preserve">Other provisions under international law are instrumental to reduce disaster risk, and human rights law in particular. </w:t>
      </w:r>
      <w:r w:rsidR="796DA938" w:rsidRPr="00C810F0">
        <w:rPr>
          <w:color w:val="000000"/>
          <w:shd w:val="clear" w:color="auto" w:fill="FFFFFF"/>
        </w:rPr>
        <w:t>I</w:t>
      </w:r>
      <w:r w:rsidRPr="00C810F0">
        <w:rPr>
          <w:color w:val="000000"/>
          <w:shd w:val="clear" w:color="auto" w:fill="FFFFFF"/>
        </w:rPr>
        <w:t>nd</w:t>
      </w:r>
      <w:r w:rsidR="796DA938" w:rsidRPr="00C810F0">
        <w:rPr>
          <w:color w:val="000000"/>
          <w:shd w:val="clear" w:color="auto" w:fill="FFFFFF"/>
        </w:rPr>
        <w:t xml:space="preserve">eed, disaster risk is driven </w:t>
      </w:r>
      <w:r w:rsidR="796DA938" w:rsidRPr="00D90C2C">
        <w:rPr>
          <w:i/>
          <w:iCs/>
          <w:color w:val="000000"/>
          <w:shd w:val="clear" w:color="auto" w:fill="FFFFFF"/>
        </w:rPr>
        <w:t>inter alia</w:t>
      </w:r>
      <w:r w:rsidR="796DA938" w:rsidRPr="00C810F0">
        <w:rPr>
          <w:color w:val="000000"/>
          <w:shd w:val="clear" w:color="auto" w:fill="FFFFFF"/>
        </w:rPr>
        <w:t xml:space="preserve"> by vulnerabilit</w:t>
      </w:r>
      <w:r w:rsidR="1B0E316C" w:rsidRPr="00C810F0">
        <w:rPr>
          <w:color w:val="000000"/>
          <w:shd w:val="clear" w:color="auto" w:fill="FFFFFF"/>
        </w:rPr>
        <w:t>ies, and such vulnerabilities can be connected limited or lack of enjoyment of human rights</w:t>
      </w:r>
      <w:r w:rsidR="008AE59E" w:rsidRPr="00C810F0">
        <w:rPr>
          <w:color w:val="000000"/>
          <w:shd w:val="clear" w:color="auto" w:fill="FFFFFF"/>
        </w:rPr>
        <w:t xml:space="preserve"> – for example, discrimination, lack of access to health or education,</w:t>
      </w:r>
      <w:r w:rsidR="1573AA81" w:rsidRPr="00C810F0">
        <w:rPr>
          <w:color w:val="000000"/>
          <w:shd w:val="clear" w:color="auto" w:fill="FFFFFF"/>
        </w:rPr>
        <w:t xml:space="preserve"> effective participation to decision-making, etc. </w:t>
      </w:r>
      <w:r w:rsidR="394D668D" w:rsidRPr="00C810F0">
        <w:rPr>
          <w:color w:val="000000"/>
          <w:shd w:val="clear" w:color="auto" w:fill="FFFFFF"/>
        </w:rPr>
        <w:t>Therefore</w:t>
      </w:r>
      <w:r w:rsidR="1573AA81" w:rsidRPr="00C810F0">
        <w:rPr>
          <w:color w:val="000000"/>
          <w:shd w:val="clear" w:color="auto" w:fill="FFFFFF"/>
        </w:rPr>
        <w:t xml:space="preserve">, </w:t>
      </w:r>
      <w:r w:rsidR="7E3688DC" w:rsidRPr="00C810F0">
        <w:rPr>
          <w:color w:val="000000"/>
          <w:shd w:val="clear" w:color="auto" w:fill="FFFFFF"/>
        </w:rPr>
        <w:t xml:space="preserve">the </w:t>
      </w:r>
      <w:r w:rsidR="5DBADD7A" w:rsidRPr="00C810F0">
        <w:rPr>
          <w:color w:val="000000"/>
          <w:shd w:val="clear" w:color="auto" w:fill="FFFFFF"/>
        </w:rPr>
        <w:t xml:space="preserve">obligations under </w:t>
      </w:r>
      <w:r w:rsidR="6BA95118" w:rsidRPr="00C810F0">
        <w:rPr>
          <w:color w:val="000000"/>
          <w:shd w:val="clear" w:color="auto" w:fill="FFFFFF"/>
        </w:rPr>
        <w:t xml:space="preserve">the core human rights treaties </w:t>
      </w:r>
      <w:r w:rsidR="7D57AE3C" w:rsidRPr="00C810F0">
        <w:rPr>
          <w:color w:val="000000"/>
          <w:shd w:val="clear" w:color="auto" w:fill="FFFFFF"/>
        </w:rPr>
        <w:t xml:space="preserve">(CCPR, CESCR, CEDAW, CRC, CERD etc) </w:t>
      </w:r>
      <w:r w:rsidR="6BA95118" w:rsidRPr="00C810F0">
        <w:rPr>
          <w:color w:val="000000"/>
          <w:shd w:val="clear" w:color="auto" w:fill="FFFFFF"/>
        </w:rPr>
        <w:t>are of significant importance to define the scope of the measures to be adopted under</w:t>
      </w:r>
      <w:r w:rsidR="033A127F" w:rsidRPr="00C810F0">
        <w:rPr>
          <w:color w:val="000000"/>
          <w:shd w:val="clear" w:color="auto" w:fill="FFFFFF"/>
        </w:rPr>
        <w:t xml:space="preserve"> article 11 of the CRPD</w:t>
      </w:r>
      <w:r w:rsidR="10073F47" w:rsidRPr="00C810F0">
        <w:rPr>
          <w:color w:val="000000"/>
          <w:shd w:val="clear" w:color="auto" w:fill="FFFFFF"/>
        </w:rPr>
        <w:t>, hence State Parties’ obligations</w:t>
      </w:r>
      <w:r w:rsidR="033A127F" w:rsidRPr="00C810F0">
        <w:rPr>
          <w:color w:val="000000"/>
          <w:shd w:val="clear" w:color="auto" w:fill="FFFFFF"/>
        </w:rPr>
        <w:t>.</w:t>
      </w:r>
    </w:p>
    <w:p w14:paraId="1BDF978E" w14:textId="21E4ADA1" w:rsidR="00870BF4" w:rsidRPr="00C810F0" w:rsidRDefault="00870BF4" w:rsidP="00E827C0">
      <w:pPr>
        <w:ind w:left="709"/>
        <w:rPr>
          <w:color w:val="000000" w:themeColor="text1"/>
        </w:rPr>
      </w:pPr>
    </w:p>
    <w:p w14:paraId="553BB63F" w14:textId="5F812DE5" w:rsidR="00870BF4" w:rsidRPr="00C810F0" w:rsidRDefault="1B4F0607" w:rsidP="00E827C0">
      <w:pPr>
        <w:ind w:left="709"/>
        <w:rPr>
          <w:color w:val="000000" w:themeColor="text1"/>
        </w:rPr>
      </w:pPr>
      <w:r w:rsidRPr="00C810F0">
        <w:rPr>
          <w:color w:val="000000"/>
          <w:shd w:val="clear" w:color="auto" w:fill="FFFFFF"/>
        </w:rPr>
        <w:t>Paragraph 19 (c)</w:t>
      </w:r>
      <w:r w:rsidR="46A6B5C9" w:rsidRPr="00C810F0">
        <w:rPr>
          <w:color w:val="000000"/>
          <w:shd w:val="clear" w:color="auto" w:fill="FFFFFF"/>
        </w:rPr>
        <w:t xml:space="preserve"> of the Sendai Framework enshrines the principle of a human rights-based approach to disaster risk reduction </w:t>
      </w:r>
      <w:r w:rsidR="30A69394" w:rsidRPr="00C810F0">
        <w:rPr>
          <w:color w:val="000000"/>
          <w:shd w:val="clear" w:color="auto" w:fill="FFFFFF"/>
        </w:rPr>
        <w:t>as well as a disaster risk reduction-based approach to the full promotion, protection and enjoyment of human rights.</w:t>
      </w:r>
      <w:r w:rsidR="51D8531D" w:rsidRPr="00C810F0">
        <w:rPr>
          <w:color w:val="000000"/>
          <w:shd w:val="clear" w:color="auto" w:fill="FFFFFF"/>
        </w:rPr>
        <w:t xml:space="preserve"> Disaster risk reduction and human rights law share the same objectives of protecting people and their lives and livelihood.</w:t>
      </w:r>
    </w:p>
    <w:p w14:paraId="3901C741" w14:textId="0C269885" w:rsidR="00870BF4" w:rsidRPr="00C810F0" w:rsidRDefault="00870BF4" w:rsidP="00E827C0">
      <w:pPr>
        <w:ind w:left="709"/>
        <w:rPr>
          <w:color w:val="000000" w:themeColor="text1"/>
        </w:rPr>
      </w:pPr>
    </w:p>
    <w:p w14:paraId="3B080FC7" w14:textId="7C3A7DCE" w:rsidR="00870BF4" w:rsidRPr="00C810F0" w:rsidRDefault="46A6B5C9" w:rsidP="00E827C0">
      <w:pPr>
        <w:ind w:left="709"/>
      </w:pPr>
      <w:r w:rsidRPr="00C810F0">
        <w:rPr>
          <w:color w:val="000000"/>
          <w:shd w:val="clear" w:color="auto" w:fill="FFFFFF"/>
        </w:rPr>
        <w:t>I</w:t>
      </w:r>
      <w:r w:rsidR="00870BF4" w:rsidRPr="00C810F0">
        <w:rPr>
          <w:color w:val="000000"/>
          <w:shd w:val="clear" w:color="auto" w:fill="FFFFFF"/>
        </w:rPr>
        <w:t xml:space="preserve">n general, a HRBA will lead to </w:t>
      </w:r>
      <w:r w:rsidR="00870BF4" w:rsidRPr="044C0BF8">
        <w:rPr>
          <w:b/>
          <w:bCs/>
          <w:color w:val="000000"/>
          <w:shd w:val="clear" w:color="auto" w:fill="FFFFFF"/>
        </w:rPr>
        <w:t>greater </w:t>
      </w:r>
      <w:r w:rsidR="00870BF4" w:rsidRPr="044C0BF8">
        <w:rPr>
          <w:rStyle w:val="Emphasis"/>
          <w:b/>
          <w:bCs/>
          <w:color w:val="000000"/>
          <w:shd w:val="clear" w:color="auto" w:fill="FFFFFF"/>
        </w:rPr>
        <w:t>accountability</w:t>
      </w:r>
      <w:r w:rsidR="00870BF4" w:rsidRPr="044C0BF8">
        <w:rPr>
          <w:b/>
          <w:bCs/>
          <w:i/>
          <w:iCs/>
          <w:color w:val="000000"/>
          <w:shd w:val="clear" w:color="auto" w:fill="FFFFFF"/>
        </w:rPr>
        <w:t> </w:t>
      </w:r>
      <w:r w:rsidR="00870BF4" w:rsidRPr="044C0BF8">
        <w:rPr>
          <w:b/>
          <w:bCs/>
          <w:color w:val="000000"/>
          <w:shd w:val="clear" w:color="auto" w:fill="FFFFFF"/>
        </w:rPr>
        <w:t>and</w:t>
      </w:r>
      <w:r w:rsidR="00870BF4" w:rsidRPr="044C0BF8">
        <w:rPr>
          <w:b/>
          <w:bCs/>
          <w:i/>
          <w:iCs/>
          <w:color w:val="000000"/>
          <w:shd w:val="clear" w:color="auto" w:fill="FFFFFF"/>
        </w:rPr>
        <w:t> </w:t>
      </w:r>
      <w:r w:rsidR="00870BF4" w:rsidRPr="044C0BF8">
        <w:rPr>
          <w:rStyle w:val="Emphasis"/>
          <w:b/>
          <w:bCs/>
          <w:color w:val="000000"/>
          <w:shd w:val="clear" w:color="auto" w:fill="FFFFFF"/>
        </w:rPr>
        <w:t>empowerment</w:t>
      </w:r>
      <w:r w:rsidR="00870BF4" w:rsidRPr="00C810F0">
        <w:rPr>
          <w:color w:val="000000"/>
          <w:shd w:val="clear" w:color="auto" w:fill="FFFFFF"/>
        </w:rPr>
        <w:t> of those involved in DRR.</w:t>
      </w:r>
      <w:r w:rsidR="00870BF4" w:rsidRPr="00C810F0">
        <w:rPr>
          <w:rStyle w:val="FootnoteReference"/>
          <w:color w:val="000000"/>
          <w:shd w:val="clear" w:color="auto" w:fill="FFFFFF"/>
        </w:rPr>
        <w:footnoteReference w:id="16"/>
      </w:r>
      <w:r w:rsidR="00870BF4" w:rsidRPr="00C810F0">
        <w:rPr>
          <w:color w:val="000000"/>
          <w:shd w:val="clear" w:color="auto" w:fill="FFFFFF"/>
        </w:rPr>
        <w:t xml:space="preserve"> It is considered that empowerment and accountability processes in DRR can reinforce each other, and that human rights will contribute to progress in these areas.</w:t>
      </w:r>
      <w:r w:rsidR="00870BF4" w:rsidRPr="00C810F0">
        <w:rPr>
          <w:rStyle w:val="FootnoteReference"/>
          <w:color w:val="000000"/>
          <w:shd w:val="clear" w:color="auto" w:fill="FFFFFF"/>
        </w:rPr>
        <w:footnoteReference w:id="17"/>
      </w:r>
      <w:r w:rsidR="00870BF4" w:rsidRPr="00C810F0">
        <w:rPr>
          <w:color w:val="000000"/>
          <w:shd w:val="clear" w:color="auto" w:fill="FFFFFF"/>
        </w:rPr>
        <w:t xml:space="preserve"> A </w:t>
      </w:r>
      <w:r w:rsidR="00870BF4" w:rsidRPr="00C810F0">
        <w:t xml:space="preserve">HRBA will </w:t>
      </w:r>
      <w:r w:rsidR="00870BF4" w:rsidRPr="044C0BF8">
        <w:rPr>
          <w:b/>
          <w:bCs/>
        </w:rPr>
        <w:t>reduce community vulnerability and enhance resilience for persons with disabilities</w:t>
      </w:r>
      <w:r w:rsidR="00870BF4" w:rsidRPr="00C810F0">
        <w:t xml:space="preserve">. </w:t>
      </w:r>
    </w:p>
    <w:p w14:paraId="3F52238E" w14:textId="77777777" w:rsidR="00870BF4" w:rsidRPr="00C810F0" w:rsidRDefault="00870BF4" w:rsidP="00E827C0">
      <w:pPr>
        <w:ind w:left="709"/>
        <w:rPr>
          <w:color w:val="000000"/>
          <w:shd w:val="clear" w:color="auto" w:fill="FFFFFF"/>
        </w:rPr>
      </w:pPr>
    </w:p>
    <w:p w14:paraId="328C8D94" w14:textId="4DEAA0E2" w:rsidR="00870BF4" w:rsidRPr="00C810F0" w:rsidRDefault="00870BF4" w:rsidP="00E827C0">
      <w:pPr>
        <w:ind w:left="709"/>
        <w:rPr>
          <w:color w:val="000000" w:themeColor="text1"/>
        </w:rPr>
      </w:pPr>
      <w:r w:rsidRPr="00C810F0">
        <w:rPr>
          <w:color w:val="000000"/>
          <w:shd w:val="clear" w:color="auto" w:fill="FFFFFF"/>
        </w:rPr>
        <w:t xml:space="preserve">Mere existence of national legislation concerning disasters, including legislation relating to DRR, may not be sufficient especially in terms of guaranteeing enforceable rights, for </w:t>
      </w:r>
      <w:r w:rsidRPr="00C810F0">
        <w:rPr>
          <w:color w:val="000000"/>
          <w:shd w:val="clear" w:color="auto" w:fill="FFFFFF"/>
        </w:rPr>
        <w:lastRenderedPageBreak/>
        <w:t>persons with disabilities.</w:t>
      </w:r>
      <w:r w:rsidRPr="00C810F0">
        <w:rPr>
          <w:rStyle w:val="FootnoteReference"/>
          <w:color w:val="000000"/>
          <w:shd w:val="clear" w:color="auto" w:fill="FFFFFF"/>
        </w:rPr>
        <w:footnoteReference w:id="18"/>
      </w:r>
      <w:r w:rsidRPr="00C810F0">
        <w:rPr>
          <w:color w:val="000000"/>
          <w:shd w:val="clear" w:color="auto" w:fill="FFFFFF"/>
        </w:rPr>
        <w:t xml:space="preserve"> </w:t>
      </w:r>
      <w:r w:rsidR="04515538" w:rsidRPr="00C810F0">
        <w:rPr>
          <w:color w:val="000000"/>
          <w:shd w:val="clear" w:color="auto" w:fill="FFFFFF"/>
        </w:rPr>
        <w:t>In this respect, it is essential for national normative framework to enshrine a clear legal obligation to reduce disaster risk</w:t>
      </w:r>
      <w:r w:rsidR="3D13D627" w:rsidRPr="00C810F0">
        <w:rPr>
          <w:color w:val="000000"/>
          <w:shd w:val="clear" w:color="auto" w:fill="FFFFFF"/>
        </w:rPr>
        <w:t>,</w:t>
      </w:r>
      <w:r w:rsidR="04515538" w:rsidRPr="00C810F0">
        <w:rPr>
          <w:color w:val="000000"/>
          <w:shd w:val="clear" w:color="auto" w:fill="FFFFFF"/>
        </w:rPr>
        <w:t xml:space="preserve"> similar to the one envisaged by the United Nations International Law Commission’</w:t>
      </w:r>
      <w:r w:rsidR="7E6EF0F5" w:rsidRPr="00C810F0">
        <w:rPr>
          <w:color w:val="000000"/>
          <w:shd w:val="clear" w:color="auto" w:fill="FFFFFF"/>
        </w:rPr>
        <w:t xml:space="preserve">s draft article 9, in the draft articles on the Protection of Persons in the Event of Disasters. </w:t>
      </w:r>
      <w:r w:rsidRPr="00C810F0">
        <w:rPr>
          <w:color w:val="000000"/>
          <w:shd w:val="clear" w:color="auto" w:fill="FFFFFF"/>
        </w:rPr>
        <w:t>Vulnerability of individuals to disasters may be reduced if laws and policies incorporate a HRBA. The use of international human rights monitoring mechanisms could assist those seeking justice where national implementation is lacking and make states more accountable.</w:t>
      </w:r>
    </w:p>
    <w:p w14:paraId="7FB845B4" w14:textId="77777777" w:rsidR="0090692A" w:rsidRDefault="0090692A" w:rsidP="0090692A">
      <w:pPr>
        <w:ind w:left="709"/>
        <w:jc w:val="both"/>
        <w:rPr>
          <w:color w:val="000000"/>
          <w:shd w:val="clear" w:color="auto" w:fill="FFFFFF"/>
        </w:rPr>
      </w:pPr>
    </w:p>
    <w:p w14:paraId="144D1D4C" w14:textId="40FE881B" w:rsidR="00004022" w:rsidRDefault="008231C3" w:rsidP="0090692A">
      <w:pPr>
        <w:ind w:left="709"/>
        <w:jc w:val="both"/>
        <w:rPr>
          <w:color w:val="000000" w:themeColor="text1"/>
        </w:rPr>
      </w:pPr>
      <w:r w:rsidRPr="044C0BF8">
        <w:rPr>
          <w:b/>
          <w:bCs/>
          <w:color w:val="000000" w:themeColor="text1"/>
        </w:rPr>
        <w:t>The Sendai Framework</w:t>
      </w:r>
      <w:r w:rsidRPr="044C0BF8">
        <w:rPr>
          <w:color w:val="000000" w:themeColor="text1"/>
        </w:rPr>
        <w:t xml:space="preserve"> </w:t>
      </w:r>
      <w:r w:rsidR="4B654C62" w:rsidRPr="044C0BF8">
        <w:rPr>
          <w:color w:val="000000" w:themeColor="text1"/>
        </w:rPr>
        <w:t xml:space="preserve">and </w:t>
      </w:r>
      <w:r w:rsidR="5D13A986" w:rsidRPr="044C0BF8">
        <w:rPr>
          <w:color w:val="000000" w:themeColor="text1"/>
        </w:rPr>
        <w:t xml:space="preserve">in particular </w:t>
      </w:r>
      <w:r w:rsidR="4B654C62" w:rsidRPr="044C0BF8">
        <w:rPr>
          <w:color w:val="000000" w:themeColor="text1"/>
        </w:rPr>
        <w:t xml:space="preserve">its four Priorities for Action </w:t>
      </w:r>
      <w:r w:rsidRPr="044C0BF8">
        <w:rPr>
          <w:color w:val="000000" w:themeColor="text1"/>
        </w:rPr>
        <w:t xml:space="preserve">provide concrete </w:t>
      </w:r>
      <w:r w:rsidR="1E6EC455" w:rsidRPr="044C0BF8">
        <w:rPr>
          <w:color w:val="000000" w:themeColor="text1"/>
        </w:rPr>
        <w:t xml:space="preserve">measures </w:t>
      </w:r>
      <w:r w:rsidRPr="044C0BF8">
        <w:rPr>
          <w:color w:val="000000" w:themeColor="text1"/>
        </w:rPr>
        <w:t>to protect development gains from the risk of disasters.</w:t>
      </w:r>
    </w:p>
    <w:p w14:paraId="3FE5FA7D" w14:textId="77777777" w:rsidR="0066569D" w:rsidRDefault="0066569D" w:rsidP="0090692A">
      <w:pPr>
        <w:ind w:left="709"/>
        <w:jc w:val="both"/>
        <w:rPr>
          <w:b/>
          <w:bCs/>
          <w:color w:val="000000" w:themeColor="text1"/>
        </w:rPr>
      </w:pPr>
    </w:p>
    <w:p w14:paraId="6CBCE6DE" w14:textId="2F9FEC49" w:rsidR="00004022" w:rsidRPr="0066569D" w:rsidRDefault="74A46AEC" w:rsidP="0090692A">
      <w:pPr>
        <w:pStyle w:val="selectionshareable"/>
        <w:spacing w:before="0" w:beforeAutospacing="0" w:after="150" w:afterAutospacing="0"/>
        <w:ind w:firstLine="720"/>
        <w:jc w:val="both"/>
        <w:rPr>
          <w:rFonts w:asciiTheme="minorHAnsi" w:hAnsiTheme="minorHAnsi" w:cstheme="minorBidi"/>
          <w:b/>
          <w:bCs/>
          <w:color w:val="4472C4" w:themeColor="accent1"/>
          <w:sz w:val="22"/>
          <w:szCs w:val="22"/>
          <w:lang w:val="en-GB"/>
        </w:rPr>
      </w:pPr>
      <w:r w:rsidRPr="0066569D">
        <w:rPr>
          <w:rFonts w:asciiTheme="minorHAnsi" w:hAnsiTheme="minorHAnsi" w:cstheme="minorBidi"/>
          <w:b/>
          <w:bCs/>
          <w:color w:val="4472C4" w:themeColor="accent1"/>
          <w:sz w:val="22"/>
          <w:szCs w:val="22"/>
          <w:lang w:val="en-GB"/>
        </w:rPr>
        <w:t xml:space="preserve">Expected outcome of the Sendai Framework </w:t>
      </w:r>
      <w:r w:rsidRPr="00D81E27">
        <w:rPr>
          <w:rFonts w:asciiTheme="minorHAnsi" w:hAnsiTheme="minorHAnsi" w:cstheme="minorBidi"/>
          <w:i/>
          <w:iCs/>
          <w:color w:val="4472C4" w:themeColor="accent1"/>
          <w:sz w:val="22"/>
          <w:szCs w:val="22"/>
          <w:lang w:val="en-GB"/>
        </w:rPr>
        <w:t>(see para</w:t>
      </w:r>
      <w:r w:rsidR="017197B5" w:rsidRPr="00D81E27">
        <w:rPr>
          <w:rFonts w:asciiTheme="minorHAnsi" w:hAnsiTheme="minorHAnsi" w:cstheme="minorBidi"/>
          <w:i/>
          <w:iCs/>
          <w:color w:val="4472C4" w:themeColor="accent1"/>
          <w:sz w:val="22"/>
          <w:szCs w:val="22"/>
          <w:lang w:val="en-GB"/>
        </w:rPr>
        <w:t xml:space="preserve"> 16 of the Sendai Framework</w:t>
      </w:r>
      <w:r w:rsidR="00D81E27">
        <w:rPr>
          <w:rFonts w:asciiTheme="minorHAnsi" w:hAnsiTheme="minorHAnsi" w:cstheme="minorBidi"/>
          <w:i/>
          <w:iCs/>
          <w:color w:val="4472C4" w:themeColor="accent1"/>
          <w:sz w:val="22"/>
          <w:szCs w:val="22"/>
          <w:lang w:val="en-GB"/>
        </w:rPr>
        <w:t>)</w:t>
      </w:r>
    </w:p>
    <w:p w14:paraId="7ACDA32C" w14:textId="04967B74" w:rsidR="00004022" w:rsidRDefault="74A46AEC" w:rsidP="044C0BF8">
      <w:pPr>
        <w:pStyle w:val="ListParagraph"/>
        <w:spacing w:before="100" w:beforeAutospacing="1" w:after="100" w:afterAutospacing="1"/>
        <w:rPr>
          <w:b/>
          <w:bCs/>
          <w:color w:val="000000" w:themeColor="text1"/>
        </w:rPr>
      </w:pPr>
      <w:r w:rsidRPr="044C0BF8">
        <w:rPr>
          <w:color w:val="000000" w:themeColor="text1"/>
        </w:rPr>
        <w:t>The substantial reduction of disaster risk and losses in lives, livelihoods and health and in</w:t>
      </w:r>
    </w:p>
    <w:p w14:paraId="0E25AC47" w14:textId="502266D2" w:rsidR="00004022" w:rsidRDefault="74A46AEC" w:rsidP="0090692A">
      <w:pPr>
        <w:pStyle w:val="ListParagraph"/>
        <w:spacing w:before="100" w:beforeAutospacing="1" w:after="100" w:afterAutospacing="1"/>
      </w:pPr>
      <w:r w:rsidRPr="044C0BF8">
        <w:rPr>
          <w:color w:val="000000" w:themeColor="text1"/>
        </w:rPr>
        <w:t>the economic, physical, social, cultural and environmental assets of persons, businesses,</w:t>
      </w:r>
    </w:p>
    <w:p w14:paraId="716C1869" w14:textId="3912C68D" w:rsidR="00004022" w:rsidRDefault="74A46AEC" w:rsidP="0090692A">
      <w:pPr>
        <w:pStyle w:val="ListParagraph"/>
        <w:spacing w:before="100" w:beforeAutospacing="1" w:after="100" w:afterAutospacing="1"/>
        <w:rPr>
          <w:b/>
          <w:bCs/>
          <w:color w:val="000000" w:themeColor="text1"/>
        </w:rPr>
      </w:pPr>
      <w:r w:rsidRPr="044C0BF8">
        <w:rPr>
          <w:color w:val="000000" w:themeColor="text1"/>
        </w:rPr>
        <w:t>communities and countries.</w:t>
      </w:r>
    </w:p>
    <w:p w14:paraId="0A87B03D" w14:textId="7FF83D99" w:rsidR="001A2B45" w:rsidRPr="001A2B45" w:rsidRDefault="001A2B45" w:rsidP="0090692A">
      <w:pPr>
        <w:pStyle w:val="selectionshareable"/>
        <w:spacing w:before="0" w:beforeAutospacing="0" w:after="150" w:afterAutospacing="0"/>
        <w:ind w:firstLine="720"/>
        <w:jc w:val="both"/>
        <w:rPr>
          <w:rFonts w:asciiTheme="minorHAnsi" w:hAnsiTheme="minorHAnsi" w:cstheme="minorBidi"/>
          <w:i/>
          <w:iCs/>
          <w:color w:val="000000" w:themeColor="text1"/>
          <w:sz w:val="22"/>
          <w:szCs w:val="22"/>
          <w:lang w:val="en-GB"/>
        </w:rPr>
      </w:pPr>
      <w:r w:rsidRPr="044C0BF8">
        <w:rPr>
          <w:rFonts w:asciiTheme="minorHAnsi" w:hAnsiTheme="minorHAnsi" w:cstheme="minorBidi"/>
          <w:b/>
          <w:bCs/>
          <w:color w:val="4472C4" w:themeColor="accent1"/>
          <w:sz w:val="22"/>
          <w:szCs w:val="22"/>
          <w:lang w:val="en-GB"/>
        </w:rPr>
        <w:t xml:space="preserve">Goal of the Sendai Framework </w:t>
      </w:r>
      <w:r w:rsidRPr="044C0BF8">
        <w:rPr>
          <w:rFonts w:asciiTheme="minorHAnsi" w:hAnsiTheme="minorHAnsi" w:cstheme="minorBidi"/>
          <w:i/>
          <w:iCs/>
          <w:color w:val="4472C4" w:themeColor="accent1"/>
          <w:sz w:val="22"/>
          <w:szCs w:val="22"/>
          <w:lang w:val="en-GB"/>
        </w:rPr>
        <w:t xml:space="preserve">(see para 17 of </w:t>
      </w:r>
      <w:r w:rsidR="00D81E27">
        <w:rPr>
          <w:rFonts w:asciiTheme="minorHAnsi" w:hAnsiTheme="minorHAnsi" w:cstheme="minorBidi"/>
          <w:i/>
          <w:iCs/>
          <w:color w:val="4472C4" w:themeColor="accent1"/>
          <w:sz w:val="22"/>
          <w:szCs w:val="22"/>
          <w:lang w:val="en-GB"/>
        </w:rPr>
        <w:t>t</w:t>
      </w:r>
      <w:r w:rsidRPr="044C0BF8">
        <w:rPr>
          <w:rFonts w:asciiTheme="minorHAnsi" w:hAnsiTheme="minorHAnsi" w:cstheme="minorBidi"/>
          <w:i/>
          <w:iCs/>
          <w:color w:val="4472C4" w:themeColor="accent1"/>
          <w:sz w:val="22"/>
          <w:szCs w:val="22"/>
          <w:lang w:val="en-GB"/>
        </w:rPr>
        <w:t>he Sendai Framework)</w:t>
      </w:r>
    </w:p>
    <w:p w14:paraId="2B3F0C83" w14:textId="77777777" w:rsidR="007D31A1" w:rsidRPr="001A2B45" w:rsidRDefault="007D31A1" w:rsidP="0090692A">
      <w:pPr>
        <w:pStyle w:val="ListParagraph"/>
        <w:spacing w:beforeAutospacing="1" w:afterAutospacing="1"/>
        <w:rPr>
          <w:rFonts w:asciiTheme="minorHAnsi" w:hAnsiTheme="minorHAnsi" w:cstheme="minorBidi"/>
          <w:color w:val="000000" w:themeColor="text1"/>
        </w:rPr>
      </w:pPr>
      <w:r w:rsidRPr="044C0BF8">
        <w:rPr>
          <w:rFonts w:asciiTheme="minorHAnsi" w:hAnsiTheme="minorHAnsi" w:cstheme="minorBidi"/>
          <w:color w:val="000000" w:themeColor="text1"/>
        </w:rPr>
        <w:t xml:space="preserve">“Prevent </w:t>
      </w:r>
      <w:r w:rsidRPr="00D81E27">
        <w:rPr>
          <w:rFonts w:asciiTheme="minorHAnsi" w:hAnsiTheme="minorHAnsi" w:cstheme="minorBidi"/>
          <w:color w:val="000000" w:themeColor="text1"/>
        </w:rPr>
        <w:t>new</w:t>
      </w:r>
      <w:r w:rsidRPr="044C0BF8">
        <w:rPr>
          <w:rFonts w:asciiTheme="minorHAnsi" w:hAnsiTheme="minorHAnsi" w:cstheme="minorBidi"/>
          <w:color w:val="000000" w:themeColor="text1"/>
        </w:rPr>
        <w:t xml:space="preserve"> and reduce existing disaster risk through the implementation of integrated and inclusive economic, structural, legal, social, health, cultural, educational, environmental, technological, political and institutional </w:t>
      </w:r>
      <w:r w:rsidRPr="044C0BF8">
        <w:rPr>
          <w:rFonts w:asciiTheme="minorHAnsi" w:hAnsiTheme="minorHAnsi" w:cstheme="minorBidi"/>
          <w:color w:val="000000" w:themeColor="text1"/>
          <w:u w:val="single"/>
        </w:rPr>
        <w:t>measures that prevent and</w:t>
      </w:r>
      <w:r w:rsidRPr="044C0BF8">
        <w:rPr>
          <w:rFonts w:asciiTheme="minorHAnsi" w:hAnsiTheme="minorHAnsi" w:cstheme="minorBidi"/>
          <w:color w:val="000000" w:themeColor="text1"/>
        </w:rPr>
        <w:t xml:space="preserve"> </w:t>
      </w:r>
      <w:r w:rsidRPr="044C0BF8">
        <w:rPr>
          <w:rFonts w:asciiTheme="minorHAnsi" w:hAnsiTheme="minorHAnsi" w:cstheme="minorBidi"/>
          <w:color w:val="000000" w:themeColor="text1"/>
          <w:u w:val="single"/>
        </w:rPr>
        <w:t>reduce hazard exposure and vulnerability to disaster</w:t>
      </w:r>
      <w:r w:rsidRPr="044C0BF8">
        <w:rPr>
          <w:rFonts w:asciiTheme="minorHAnsi" w:hAnsiTheme="minorHAnsi" w:cstheme="minorBidi"/>
          <w:color w:val="000000" w:themeColor="text1"/>
        </w:rPr>
        <w:t xml:space="preserve">, </w:t>
      </w:r>
      <w:r w:rsidRPr="044C0BF8">
        <w:rPr>
          <w:rFonts w:asciiTheme="minorHAnsi" w:hAnsiTheme="minorHAnsi" w:cstheme="minorBidi"/>
          <w:color w:val="000000" w:themeColor="text1"/>
          <w:u w:val="single"/>
        </w:rPr>
        <w:t>increase preparedness for response and recovery, and thus strengthen resilience</w:t>
      </w:r>
      <w:r w:rsidRPr="044C0BF8">
        <w:rPr>
          <w:rFonts w:asciiTheme="minorHAnsi" w:hAnsiTheme="minorHAnsi" w:cstheme="minorBidi"/>
          <w:color w:val="000000" w:themeColor="text1"/>
        </w:rPr>
        <w:t>.” [underlining added]</w:t>
      </w:r>
    </w:p>
    <w:p w14:paraId="2CCFD628" w14:textId="770B3E0A" w:rsidR="007D31A1" w:rsidRPr="001A2B45" w:rsidRDefault="007D31A1" w:rsidP="0090692A">
      <w:pPr>
        <w:pStyle w:val="selectionshareable"/>
        <w:spacing w:before="0" w:beforeAutospacing="0" w:after="150" w:afterAutospacing="0"/>
        <w:ind w:firstLine="720"/>
        <w:jc w:val="both"/>
        <w:rPr>
          <w:rFonts w:asciiTheme="minorHAnsi" w:hAnsiTheme="minorHAnsi" w:cstheme="minorBidi"/>
          <w:i/>
          <w:iCs/>
          <w:color w:val="4472C4" w:themeColor="accent1"/>
          <w:sz w:val="22"/>
          <w:szCs w:val="22"/>
          <w:lang w:val="en-GB"/>
        </w:rPr>
      </w:pPr>
      <w:r w:rsidRPr="044C0BF8">
        <w:rPr>
          <w:rFonts w:asciiTheme="minorHAnsi" w:hAnsiTheme="minorHAnsi" w:cstheme="minorBidi"/>
          <w:b/>
          <w:bCs/>
          <w:color w:val="4472C4" w:themeColor="accent1"/>
          <w:sz w:val="22"/>
          <w:szCs w:val="22"/>
          <w:lang w:val="en-GB"/>
        </w:rPr>
        <w:t xml:space="preserve">Disaster risk </w:t>
      </w:r>
      <w:r w:rsidRPr="044C0BF8">
        <w:rPr>
          <w:rFonts w:asciiTheme="minorHAnsi" w:hAnsiTheme="minorHAnsi" w:cstheme="minorBidi"/>
          <w:i/>
          <w:iCs/>
          <w:color w:val="4472C4" w:themeColor="accent1"/>
          <w:sz w:val="22"/>
          <w:szCs w:val="22"/>
          <w:lang w:val="en-GB"/>
        </w:rPr>
        <w:t xml:space="preserve">(as endorsed by the UN General Assembly (GA) in Resolution A/RES/71/276 </w:t>
      </w:r>
      <w:r>
        <w:tab/>
      </w:r>
      <w:r>
        <w:tab/>
      </w:r>
      <w:r w:rsidRPr="044C0BF8">
        <w:rPr>
          <w:rStyle w:val="FootnoteReference"/>
          <w:rFonts w:asciiTheme="minorHAnsi" w:hAnsiTheme="minorHAnsi" w:cstheme="minorBidi"/>
          <w:i/>
          <w:iCs/>
          <w:color w:val="4472C4" w:themeColor="accent1"/>
          <w:sz w:val="22"/>
          <w:szCs w:val="22"/>
          <w:lang w:val="en-GB"/>
        </w:rPr>
        <w:footnoteReference w:id="19"/>
      </w:r>
    </w:p>
    <w:p w14:paraId="3C578AD5" w14:textId="77777777" w:rsidR="007D31A1" w:rsidRPr="001A2B45" w:rsidRDefault="007D31A1" w:rsidP="0090692A">
      <w:pPr>
        <w:pStyle w:val="ListParagraph"/>
        <w:spacing w:beforeAutospacing="1" w:afterAutospacing="1"/>
        <w:rPr>
          <w:rFonts w:asciiTheme="minorHAnsi" w:hAnsiTheme="minorHAnsi" w:cstheme="minorBidi"/>
          <w:color w:val="000000" w:themeColor="text1"/>
        </w:rPr>
      </w:pPr>
      <w:r w:rsidRPr="044C0BF8">
        <w:rPr>
          <w:rFonts w:asciiTheme="minorHAnsi" w:hAnsiTheme="minorHAnsi" w:cstheme="minorBidi"/>
          <w:color w:val="000000" w:themeColor="text1"/>
        </w:rPr>
        <w:t xml:space="preserve">“The </w:t>
      </w:r>
      <w:r w:rsidRPr="00D918DB">
        <w:rPr>
          <w:rFonts w:asciiTheme="minorHAnsi" w:hAnsiTheme="minorHAnsi" w:cstheme="minorBidi"/>
          <w:color w:val="000000" w:themeColor="text1"/>
        </w:rPr>
        <w:t>potential</w:t>
      </w:r>
      <w:r w:rsidRPr="044C0BF8">
        <w:rPr>
          <w:rFonts w:asciiTheme="minorHAnsi" w:hAnsiTheme="minorHAnsi" w:cstheme="minorBidi"/>
          <w:color w:val="000000" w:themeColor="text1"/>
        </w:rPr>
        <w:t xml:space="preserve"> loss of life, injury, or destroyed or damaged assets which could occur to a system, society or a community in a specific period of time, </w:t>
      </w:r>
      <w:r w:rsidRPr="044C0BF8">
        <w:rPr>
          <w:rFonts w:asciiTheme="minorHAnsi" w:hAnsiTheme="minorHAnsi" w:cstheme="minorBidi"/>
          <w:color w:val="000000" w:themeColor="text1"/>
          <w:u w:val="single"/>
        </w:rPr>
        <w:t>determined probabilistically as a function of hazard, exposure, vulnerability and capacity</w:t>
      </w:r>
      <w:r w:rsidRPr="044C0BF8">
        <w:rPr>
          <w:rFonts w:asciiTheme="minorHAnsi" w:hAnsiTheme="minorHAnsi" w:cstheme="minorBidi"/>
          <w:color w:val="000000" w:themeColor="text1"/>
        </w:rPr>
        <w:t xml:space="preserve">.” [underlining added] </w:t>
      </w:r>
    </w:p>
    <w:p w14:paraId="0575E01B" w14:textId="6A537585" w:rsidR="007D31A1" w:rsidRPr="001A2B45" w:rsidRDefault="007D31A1" w:rsidP="00163919">
      <w:pPr>
        <w:pStyle w:val="selectionshareable"/>
        <w:spacing w:before="0" w:beforeAutospacing="0" w:after="150" w:afterAutospacing="0"/>
        <w:ind w:firstLine="720"/>
        <w:jc w:val="both"/>
        <w:rPr>
          <w:rFonts w:asciiTheme="minorHAnsi" w:hAnsiTheme="minorHAnsi" w:cstheme="minorBidi"/>
          <w:color w:val="4472C4" w:themeColor="accent1"/>
          <w:sz w:val="22"/>
          <w:szCs w:val="22"/>
          <w:lang w:val="en-GB"/>
        </w:rPr>
      </w:pPr>
      <w:r w:rsidRPr="044C0BF8">
        <w:rPr>
          <w:rFonts w:asciiTheme="minorHAnsi" w:hAnsiTheme="minorHAnsi" w:cstheme="minorBidi"/>
          <w:b/>
          <w:bCs/>
          <w:color w:val="4472C4" w:themeColor="accent1"/>
          <w:sz w:val="22"/>
          <w:szCs w:val="22"/>
          <w:lang w:val="en-GB"/>
        </w:rPr>
        <w:t xml:space="preserve">Disaster Risk Reduction </w:t>
      </w:r>
      <w:r w:rsidRPr="044C0BF8">
        <w:rPr>
          <w:rFonts w:asciiTheme="minorHAnsi" w:hAnsiTheme="minorHAnsi" w:cstheme="minorBidi"/>
          <w:i/>
          <w:iCs/>
          <w:color w:val="4472C4" w:themeColor="accent1"/>
          <w:sz w:val="22"/>
          <w:szCs w:val="22"/>
          <w:lang w:val="en-GB"/>
        </w:rPr>
        <w:t xml:space="preserve">(as endorsed by the UN General Assembly (GA) in Resolution </w:t>
      </w:r>
      <w:r>
        <w:tab/>
      </w:r>
      <w:r>
        <w:tab/>
      </w:r>
      <w:r w:rsidRPr="044C0BF8">
        <w:rPr>
          <w:rStyle w:val="FootnoteReference"/>
          <w:rFonts w:asciiTheme="minorHAnsi" w:hAnsiTheme="minorHAnsi" w:cstheme="minorBidi"/>
          <w:i/>
          <w:iCs/>
          <w:color w:val="4472C4" w:themeColor="accent1"/>
          <w:sz w:val="22"/>
          <w:szCs w:val="22"/>
          <w:lang w:val="en-GB"/>
        </w:rPr>
        <w:footnoteReference w:id="20"/>
      </w:r>
    </w:p>
    <w:p w14:paraId="16230D4E" w14:textId="77777777" w:rsidR="007D31A1" w:rsidRPr="001A2B45" w:rsidRDefault="007D31A1" w:rsidP="00163919">
      <w:pPr>
        <w:pStyle w:val="ListParagraph"/>
        <w:spacing w:beforeAutospacing="1" w:afterAutospacing="1"/>
        <w:rPr>
          <w:rFonts w:asciiTheme="minorHAnsi" w:hAnsiTheme="minorHAnsi" w:cstheme="minorBidi"/>
          <w:color w:val="000000" w:themeColor="text1"/>
        </w:rPr>
      </w:pPr>
      <w:r w:rsidRPr="044C0BF8">
        <w:rPr>
          <w:rFonts w:asciiTheme="minorHAnsi" w:hAnsiTheme="minorHAnsi" w:cstheme="minorBidi"/>
          <w:color w:val="000000" w:themeColor="text1"/>
        </w:rPr>
        <w:t xml:space="preserve">Disaster risk reduction is </w:t>
      </w:r>
      <w:r w:rsidRPr="00D918DB">
        <w:rPr>
          <w:rFonts w:asciiTheme="minorHAnsi" w:hAnsiTheme="minorHAnsi" w:cstheme="minorBidi"/>
          <w:color w:val="000000" w:themeColor="text1"/>
        </w:rPr>
        <w:t>aimed</w:t>
      </w:r>
      <w:r w:rsidRPr="044C0BF8">
        <w:rPr>
          <w:rFonts w:asciiTheme="minorHAnsi" w:hAnsiTheme="minorHAnsi" w:cstheme="minorBidi"/>
          <w:color w:val="000000" w:themeColor="text1"/>
        </w:rPr>
        <w:t xml:space="preserve"> at </w:t>
      </w:r>
      <w:r w:rsidRPr="044C0BF8">
        <w:rPr>
          <w:rFonts w:asciiTheme="minorHAnsi" w:hAnsiTheme="minorHAnsi" w:cstheme="minorBidi"/>
          <w:color w:val="000000" w:themeColor="text1"/>
          <w:u w:val="single"/>
        </w:rPr>
        <w:t>preventing new and reducing existing disaster risk and managing residual risk,</w:t>
      </w:r>
      <w:r w:rsidRPr="044C0BF8">
        <w:rPr>
          <w:rFonts w:asciiTheme="minorHAnsi" w:hAnsiTheme="minorHAnsi" w:cstheme="minorBidi"/>
          <w:color w:val="000000" w:themeColor="text1"/>
        </w:rPr>
        <w:t xml:space="preserve"> all of </w:t>
      </w:r>
      <w:r w:rsidRPr="044C0BF8">
        <w:rPr>
          <w:rFonts w:asciiTheme="minorHAnsi" w:hAnsiTheme="minorHAnsi" w:cstheme="minorBidi"/>
          <w:color w:val="000000" w:themeColor="text1"/>
          <w:u w:val="single"/>
        </w:rPr>
        <w:t>which contribute to strengthening resilience and therefore to the achievement of sustainable development</w:t>
      </w:r>
      <w:r w:rsidRPr="044C0BF8">
        <w:rPr>
          <w:rFonts w:asciiTheme="minorHAnsi" w:hAnsiTheme="minorHAnsi" w:cstheme="minorBidi"/>
          <w:color w:val="000000" w:themeColor="text1"/>
        </w:rPr>
        <w:t>. [underlining added]</w:t>
      </w:r>
    </w:p>
    <w:p w14:paraId="1D9AE851" w14:textId="77777777" w:rsidR="008231C3" w:rsidRDefault="008231C3" w:rsidP="00292776">
      <w:pPr>
        <w:pStyle w:val="ListParagraph"/>
        <w:spacing w:before="100" w:beforeAutospacing="1" w:after="100" w:afterAutospacing="1"/>
        <w:rPr>
          <w:rFonts w:asciiTheme="minorHAnsi" w:eastAsia="Times New Roman" w:hAnsiTheme="minorHAnsi" w:cstheme="minorHAnsi"/>
          <w:b/>
          <w:bCs/>
          <w:color w:val="1F3864" w:themeColor="accent1" w:themeShade="80"/>
          <w:shd w:val="clear" w:color="auto" w:fill="FFFFFF"/>
        </w:rPr>
      </w:pPr>
    </w:p>
    <w:p w14:paraId="60E37E20" w14:textId="77777777" w:rsidR="001A2367" w:rsidRPr="001A2367" w:rsidRDefault="001A2367" w:rsidP="001A2367">
      <w:pPr>
        <w:jc w:val="both"/>
        <w:rPr>
          <w:color w:val="333333"/>
          <w:shd w:val="clear" w:color="auto" w:fill="FFFFFF"/>
        </w:rPr>
      </w:pPr>
    </w:p>
    <w:p w14:paraId="45AF0CC2" w14:textId="70716998" w:rsidR="002D721F" w:rsidRDefault="004E06FE" w:rsidP="044C0BF8">
      <w:pPr>
        <w:numPr>
          <w:ilvl w:val="0"/>
          <w:numId w:val="1"/>
        </w:numPr>
        <w:spacing w:before="100" w:beforeAutospacing="1" w:after="100" w:afterAutospacing="1"/>
        <w:rPr>
          <w:rFonts w:asciiTheme="minorHAnsi" w:eastAsia="Times New Roman" w:hAnsiTheme="minorHAnsi" w:cstheme="minorBidi"/>
          <w:b/>
          <w:bCs/>
          <w:color w:val="1F3864" w:themeColor="accent1" w:themeShade="80"/>
          <w:shd w:val="clear" w:color="auto" w:fill="FFFFFF"/>
        </w:rPr>
      </w:pPr>
      <w:r w:rsidRPr="044C0BF8">
        <w:rPr>
          <w:rFonts w:asciiTheme="minorHAnsi" w:eastAsia="Times New Roman" w:hAnsiTheme="minorHAnsi" w:cstheme="minorBidi"/>
          <w:b/>
          <w:bCs/>
          <w:color w:val="1F3864" w:themeColor="accent1" w:themeShade="80"/>
          <w:spacing w:val="4"/>
          <w:shd w:val="clear" w:color="auto" w:fill="FFFFFF"/>
        </w:rPr>
        <w:lastRenderedPageBreak/>
        <w:t xml:space="preserve">Persons with disabilities </w:t>
      </w:r>
      <w:r w:rsidR="000A65E8" w:rsidRPr="044C0BF8">
        <w:rPr>
          <w:rFonts w:asciiTheme="minorHAnsi" w:eastAsia="Times New Roman" w:hAnsiTheme="minorHAnsi" w:cstheme="minorBidi"/>
          <w:b/>
          <w:bCs/>
          <w:color w:val="1F3864" w:themeColor="accent1" w:themeShade="80"/>
          <w:spacing w:val="4"/>
          <w:shd w:val="clear" w:color="auto" w:fill="FFFFFF"/>
        </w:rPr>
        <w:t xml:space="preserve">disproportionately affected and </w:t>
      </w:r>
      <w:r w:rsidRPr="044C0BF8">
        <w:rPr>
          <w:rFonts w:asciiTheme="minorHAnsi" w:eastAsia="Times New Roman" w:hAnsiTheme="minorHAnsi" w:cstheme="minorBidi"/>
          <w:b/>
          <w:bCs/>
          <w:color w:val="1F3864" w:themeColor="accent1" w:themeShade="80"/>
          <w:spacing w:val="4"/>
          <w:shd w:val="clear" w:color="auto" w:fill="FFFFFF"/>
        </w:rPr>
        <w:t>experiencing particular disadvantages in situations of risk</w:t>
      </w:r>
      <w:r w:rsidR="00610A1B" w:rsidRPr="044C0BF8">
        <w:rPr>
          <w:rFonts w:asciiTheme="minorHAnsi" w:eastAsia="Times New Roman" w:hAnsiTheme="minorHAnsi" w:cstheme="minorBidi"/>
          <w:b/>
          <w:bCs/>
          <w:color w:val="1F3864" w:themeColor="accent1" w:themeShade="80"/>
          <w:spacing w:val="4"/>
          <w:shd w:val="clear" w:color="auto" w:fill="FFFFFF"/>
        </w:rPr>
        <w:t>s</w:t>
      </w:r>
      <w:r w:rsidR="009F7B9A" w:rsidRPr="044C0BF8">
        <w:rPr>
          <w:rFonts w:asciiTheme="minorHAnsi" w:eastAsia="Times New Roman" w:hAnsiTheme="minorHAnsi" w:cstheme="minorBidi"/>
          <w:b/>
          <w:bCs/>
          <w:color w:val="1F3864" w:themeColor="accent1" w:themeShade="80"/>
          <w:spacing w:val="4"/>
          <w:shd w:val="clear" w:color="auto" w:fill="FFFFFF"/>
        </w:rPr>
        <w:t>, such as</w:t>
      </w:r>
      <w:r w:rsidR="00EA6C61" w:rsidRPr="044C0BF8">
        <w:rPr>
          <w:rFonts w:asciiTheme="minorHAnsi" w:eastAsia="Times New Roman" w:hAnsiTheme="minorHAnsi" w:cstheme="minorBidi"/>
          <w:b/>
          <w:bCs/>
          <w:color w:val="1F3864" w:themeColor="accent1" w:themeShade="80"/>
          <w:shd w:val="clear" w:color="auto" w:fill="FFFFFF"/>
        </w:rPr>
        <w:t>:</w:t>
      </w:r>
    </w:p>
    <w:p w14:paraId="06866FF2" w14:textId="5DE79435" w:rsidR="00586773" w:rsidRPr="00EA6C61" w:rsidRDefault="00586773" w:rsidP="00586773">
      <w:pPr>
        <w:spacing w:before="100" w:beforeAutospacing="1" w:after="100" w:afterAutospacing="1"/>
        <w:ind w:left="720"/>
        <w:rPr>
          <w:rFonts w:asciiTheme="minorHAnsi" w:eastAsia="Times New Roman" w:hAnsiTheme="minorHAnsi" w:cstheme="minorHAnsi"/>
          <w:b/>
          <w:bCs/>
          <w:color w:val="1F3864" w:themeColor="accent1" w:themeShade="80"/>
          <w:shd w:val="clear" w:color="auto" w:fill="FFFFFF"/>
        </w:rPr>
      </w:pPr>
      <w:r>
        <w:rPr>
          <w:rFonts w:asciiTheme="minorHAnsi" w:eastAsia="Times New Roman" w:hAnsiTheme="minorHAnsi" w:cstheme="minorHAnsi"/>
          <w:b/>
          <w:bCs/>
          <w:color w:val="1F3864" w:themeColor="accent1" w:themeShade="80"/>
          <w:shd w:val="clear" w:color="auto" w:fill="FFFFFF"/>
        </w:rPr>
        <w:t xml:space="preserve">[Under this chapter, please kindly provide narrative indicating which of the below </w:t>
      </w:r>
      <w:r w:rsidR="00610A1B">
        <w:rPr>
          <w:rFonts w:asciiTheme="minorHAnsi" w:eastAsia="Times New Roman" w:hAnsiTheme="minorHAnsi" w:cstheme="minorHAnsi"/>
          <w:b/>
          <w:bCs/>
          <w:color w:val="1F3864" w:themeColor="accent1" w:themeShade="80"/>
          <w:shd w:val="clear" w:color="auto" w:fill="FFFFFF"/>
        </w:rPr>
        <w:t>groups,</w:t>
      </w:r>
      <w:r>
        <w:rPr>
          <w:rFonts w:asciiTheme="minorHAnsi" w:eastAsia="Times New Roman" w:hAnsiTheme="minorHAnsi" w:cstheme="minorHAnsi"/>
          <w:b/>
          <w:bCs/>
          <w:color w:val="1F3864" w:themeColor="accent1" w:themeShade="80"/>
          <w:shd w:val="clear" w:color="auto" w:fill="FFFFFF"/>
        </w:rPr>
        <w:t xml:space="preserve"> and for which reasons are at a particular disadvantage in situations of risks</w:t>
      </w:r>
      <w:r w:rsidR="006339E4">
        <w:rPr>
          <w:rFonts w:asciiTheme="minorHAnsi" w:eastAsia="Times New Roman" w:hAnsiTheme="minorHAnsi" w:cstheme="minorHAnsi"/>
          <w:b/>
          <w:bCs/>
          <w:color w:val="1F3864" w:themeColor="accent1" w:themeShade="80"/>
          <w:shd w:val="clear" w:color="auto" w:fill="FFFFFF"/>
        </w:rPr>
        <w:t>;</w:t>
      </w:r>
      <w:r>
        <w:rPr>
          <w:rFonts w:asciiTheme="minorHAnsi" w:eastAsia="Times New Roman" w:hAnsiTheme="minorHAnsi" w:cstheme="minorHAnsi"/>
          <w:b/>
          <w:bCs/>
          <w:color w:val="1F3864" w:themeColor="accent1" w:themeShade="80"/>
          <w:shd w:val="clear" w:color="auto" w:fill="FFFFFF"/>
        </w:rPr>
        <w:t xml:space="preserve"> are there other groups which are not mentioned which deserve particular attention?</w:t>
      </w:r>
      <w:r w:rsidR="006339E4">
        <w:rPr>
          <w:rFonts w:asciiTheme="minorHAnsi" w:eastAsia="Times New Roman" w:hAnsiTheme="minorHAnsi" w:cstheme="minorHAnsi"/>
          <w:b/>
          <w:bCs/>
          <w:color w:val="1F3864" w:themeColor="accent1" w:themeShade="80"/>
          <w:shd w:val="clear" w:color="auto" w:fill="FFFFFF"/>
        </w:rPr>
        <w:t>; what measures should be adopted under the UNCRPD to address their situation</w:t>
      </w:r>
      <w:r>
        <w:rPr>
          <w:rFonts w:asciiTheme="minorHAnsi" w:eastAsia="Times New Roman" w:hAnsiTheme="minorHAnsi" w:cstheme="minorHAnsi"/>
          <w:b/>
          <w:bCs/>
          <w:color w:val="1F3864" w:themeColor="accent1" w:themeShade="80"/>
          <w:shd w:val="clear" w:color="auto" w:fill="FFFFFF"/>
        </w:rPr>
        <w:t>]</w:t>
      </w:r>
    </w:p>
    <w:p w14:paraId="1AC484C9" w14:textId="5FEA0762" w:rsidR="002D721F" w:rsidRPr="00BA1945" w:rsidRDefault="002D721F" w:rsidP="002D721F">
      <w:pPr>
        <w:pStyle w:val="ListParagraph"/>
        <w:numPr>
          <w:ilvl w:val="0"/>
          <w:numId w:val="2"/>
        </w:numPr>
        <w:spacing w:before="100" w:beforeAutospacing="1" w:after="100" w:afterAutospacing="1"/>
        <w:rPr>
          <w:rStyle w:val="contentpasted3"/>
          <w:rFonts w:asciiTheme="minorHAnsi" w:eastAsia="Times New Roman" w:hAnsiTheme="minorHAnsi" w:cstheme="minorHAnsi"/>
          <w:b/>
          <w:bCs/>
          <w:color w:val="1F3864" w:themeColor="accent1" w:themeShade="80"/>
          <w:shd w:val="clear" w:color="auto" w:fill="FFFFFF"/>
        </w:rPr>
      </w:pPr>
      <w:r w:rsidRPr="00BA1945">
        <w:rPr>
          <w:rStyle w:val="contentpasted3"/>
          <w:rFonts w:asciiTheme="minorHAnsi" w:eastAsia="Times New Roman" w:hAnsiTheme="minorHAnsi" w:cstheme="minorHAnsi"/>
          <w:b/>
          <w:bCs/>
          <w:color w:val="1F3864" w:themeColor="accent1" w:themeShade="80"/>
          <w:shd w:val="clear" w:color="auto" w:fill="FFFFFF"/>
        </w:rPr>
        <w:t xml:space="preserve">Women with </w:t>
      </w:r>
      <w:r w:rsidR="00610A1B" w:rsidRPr="00BA1945">
        <w:rPr>
          <w:rStyle w:val="contentpasted3"/>
          <w:rFonts w:asciiTheme="minorHAnsi" w:eastAsia="Times New Roman" w:hAnsiTheme="minorHAnsi" w:cstheme="minorHAnsi"/>
          <w:b/>
          <w:bCs/>
          <w:color w:val="1F3864" w:themeColor="accent1" w:themeShade="80"/>
          <w:shd w:val="clear" w:color="auto" w:fill="FFFFFF"/>
        </w:rPr>
        <w:t>disabilities.</w:t>
      </w:r>
    </w:p>
    <w:p w14:paraId="42322C33" w14:textId="5A2B1B8A" w:rsidR="002D721F" w:rsidRPr="00BA1945" w:rsidRDefault="002D721F" w:rsidP="002D721F">
      <w:pPr>
        <w:pStyle w:val="ListParagraph"/>
        <w:numPr>
          <w:ilvl w:val="0"/>
          <w:numId w:val="2"/>
        </w:numPr>
        <w:spacing w:before="100" w:beforeAutospacing="1" w:after="100" w:afterAutospacing="1"/>
        <w:rPr>
          <w:rStyle w:val="contentpasted3"/>
          <w:rFonts w:asciiTheme="minorHAnsi" w:eastAsia="Times New Roman" w:hAnsiTheme="minorHAnsi" w:cstheme="minorHAnsi"/>
          <w:b/>
          <w:bCs/>
          <w:color w:val="1F3864" w:themeColor="accent1" w:themeShade="80"/>
          <w:shd w:val="clear" w:color="auto" w:fill="FFFFFF"/>
        </w:rPr>
      </w:pPr>
      <w:r w:rsidRPr="00BA1945">
        <w:rPr>
          <w:rStyle w:val="contentpasted3"/>
          <w:rFonts w:asciiTheme="minorHAnsi" w:eastAsia="Times New Roman" w:hAnsiTheme="minorHAnsi" w:cstheme="minorHAnsi"/>
          <w:b/>
          <w:bCs/>
          <w:color w:val="1F3864" w:themeColor="accent1" w:themeShade="80"/>
          <w:shd w:val="clear" w:color="auto" w:fill="FFFFFF"/>
        </w:rPr>
        <w:t>Persons wi</w:t>
      </w:r>
      <w:r w:rsidR="00EA6C61" w:rsidRPr="00BA1945">
        <w:rPr>
          <w:rStyle w:val="contentpasted3"/>
          <w:rFonts w:asciiTheme="minorHAnsi" w:eastAsia="Times New Roman" w:hAnsiTheme="minorHAnsi" w:cstheme="minorHAnsi"/>
          <w:b/>
          <w:bCs/>
          <w:color w:val="1F3864" w:themeColor="accent1" w:themeShade="80"/>
          <w:shd w:val="clear" w:color="auto" w:fill="FFFFFF"/>
        </w:rPr>
        <w:t>th disabilities in institutions</w:t>
      </w:r>
      <w:r w:rsidR="00610A1B" w:rsidRPr="00BA1945">
        <w:rPr>
          <w:rStyle w:val="contentpasted3"/>
          <w:rFonts w:asciiTheme="minorHAnsi" w:eastAsia="Times New Roman" w:hAnsiTheme="minorHAnsi" w:cstheme="minorHAnsi"/>
          <w:b/>
          <w:bCs/>
          <w:color w:val="1F3864" w:themeColor="accent1" w:themeShade="80"/>
          <w:shd w:val="clear" w:color="auto" w:fill="FFFFFF"/>
        </w:rPr>
        <w:t>.</w:t>
      </w:r>
    </w:p>
    <w:p w14:paraId="0A7B00C8" w14:textId="36452834" w:rsidR="002D721F" w:rsidRPr="00BA1945" w:rsidRDefault="002D721F" w:rsidP="002D721F">
      <w:pPr>
        <w:pStyle w:val="ListParagraph"/>
        <w:numPr>
          <w:ilvl w:val="0"/>
          <w:numId w:val="2"/>
        </w:numPr>
        <w:spacing w:before="100" w:beforeAutospacing="1" w:after="100" w:afterAutospacing="1"/>
        <w:rPr>
          <w:rStyle w:val="contentpasted3"/>
          <w:rFonts w:asciiTheme="minorHAnsi" w:eastAsia="Times New Roman" w:hAnsiTheme="minorHAnsi" w:cstheme="minorHAnsi"/>
          <w:b/>
          <w:bCs/>
          <w:color w:val="1F3864" w:themeColor="accent1" w:themeShade="80"/>
          <w:shd w:val="clear" w:color="auto" w:fill="FFFFFF"/>
        </w:rPr>
      </w:pPr>
      <w:r w:rsidRPr="00BA1945">
        <w:rPr>
          <w:rStyle w:val="contentpasted3"/>
          <w:rFonts w:asciiTheme="minorHAnsi" w:eastAsia="Times New Roman" w:hAnsiTheme="minorHAnsi" w:cstheme="minorHAnsi"/>
          <w:b/>
          <w:bCs/>
          <w:color w:val="1F3864" w:themeColor="accent1" w:themeShade="80"/>
          <w:shd w:val="clear" w:color="auto" w:fill="FFFFFF"/>
        </w:rPr>
        <w:t>Children with disabilities</w:t>
      </w:r>
      <w:r w:rsidR="00610A1B" w:rsidRPr="00BA1945">
        <w:rPr>
          <w:rStyle w:val="contentpasted3"/>
          <w:rFonts w:asciiTheme="minorHAnsi" w:eastAsia="Times New Roman" w:hAnsiTheme="minorHAnsi" w:cstheme="minorHAnsi"/>
          <w:b/>
          <w:bCs/>
          <w:color w:val="1F3864" w:themeColor="accent1" w:themeShade="80"/>
          <w:shd w:val="clear" w:color="auto" w:fill="FFFFFF"/>
        </w:rPr>
        <w:t>.</w:t>
      </w:r>
    </w:p>
    <w:p w14:paraId="524F741E" w14:textId="057E6BFB" w:rsidR="002D721F" w:rsidRPr="00BA1945" w:rsidRDefault="002D721F" w:rsidP="002D721F">
      <w:pPr>
        <w:pStyle w:val="ListParagraph"/>
        <w:numPr>
          <w:ilvl w:val="0"/>
          <w:numId w:val="2"/>
        </w:numPr>
        <w:spacing w:before="100" w:beforeAutospacing="1" w:after="100" w:afterAutospacing="1"/>
        <w:rPr>
          <w:rStyle w:val="contentpasted3"/>
          <w:rFonts w:asciiTheme="minorHAnsi" w:eastAsia="Times New Roman" w:hAnsiTheme="minorHAnsi" w:cstheme="minorHAnsi"/>
          <w:b/>
          <w:bCs/>
          <w:color w:val="1F3864" w:themeColor="accent1" w:themeShade="80"/>
          <w:shd w:val="clear" w:color="auto" w:fill="FFFFFF"/>
        </w:rPr>
      </w:pPr>
      <w:r w:rsidRPr="00BA1945">
        <w:rPr>
          <w:rStyle w:val="contentpasted3"/>
          <w:rFonts w:asciiTheme="minorHAnsi" w:eastAsia="Times New Roman" w:hAnsiTheme="minorHAnsi" w:cstheme="minorHAnsi"/>
          <w:b/>
          <w:bCs/>
          <w:color w:val="1F3864" w:themeColor="accent1" w:themeShade="80"/>
          <w:shd w:val="clear" w:color="auto" w:fill="FFFFFF"/>
        </w:rPr>
        <w:t>Older persons with disabilities</w:t>
      </w:r>
      <w:r w:rsidR="00610A1B" w:rsidRPr="00BA1945">
        <w:rPr>
          <w:rStyle w:val="contentpasted3"/>
          <w:rFonts w:asciiTheme="minorHAnsi" w:eastAsia="Times New Roman" w:hAnsiTheme="minorHAnsi" w:cstheme="minorHAnsi"/>
          <w:b/>
          <w:bCs/>
          <w:color w:val="1F3864" w:themeColor="accent1" w:themeShade="80"/>
          <w:shd w:val="clear" w:color="auto" w:fill="FFFFFF"/>
        </w:rPr>
        <w:t>.</w:t>
      </w:r>
    </w:p>
    <w:p w14:paraId="67198A22" w14:textId="1AC2C85D" w:rsidR="00352088" w:rsidRPr="00BA1945" w:rsidRDefault="00352088" w:rsidP="044C0BF8">
      <w:pPr>
        <w:pStyle w:val="ListParagraph"/>
        <w:numPr>
          <w:ilvl w:val="0"/>
          <w:numId w:val="2"/>
        </w:numPr>
        <w:spacing w:before="100" w:beforeAutospacing="1" w:after="100" w:afterAutospacing="1"/>
        <w:rPr>
          <w:rStyle w:val="contentpasted3"/>
          <w:rFonts w:asciiTheme="minorHAnsi" w:eastAsia="Times New Roman" w:hAnsiTheme="minorHAnsi" w:cstheme="minorBidi"/>
          <w:b/>
          <w:bCs/>
          <w:color w:val="1F3864" w:themeColor="accent1" w:themeShade="80"/>
          <w:shd w:val="clear" w:color="auto" w:fill="FFFFFF"/>
        </w:rPr>
      </w:pPr>
      <w:r w:rsidRPr="00BA1945">
        <w:rPr>
          <w:rStyle w:val="contentpasted3"/>
          <w:rFonts w:asciiTheme="minorHAnsi" w:eastAsia="Times New Roman" w:hAnsiTheme="minorHAnsi" w:cstheme="minorBidi"/>
          <w:b/>
          <w:bCs/>
          <w:color w:val="1F3864" w:themeColor="accent1" w:themeShade="80"/>
          <w:shd w:val="clear" w:color="auto" w:fill="FFFFFF"/>
        </w:rPr>
        <w:t>Internally displaced persons with disabilities, asylum-seeking and refugee persons with disabilities.</w:t>
      </w:r>
    </w:p>
    <w:p w14:paraId="66066B5D" w14:textId="5B1900AA" w:rsidR="1C6648C0" w:rsidRPr="00BA1945" w:rsidRDefault="1C6648C0" w:rsidP="044C0BF8">
      <w:pPr>
        <w:pStyle w:val="ListParagraph"/>
        <w:numPr>
          <w:ilvl w:val="0"/>
          <w:numId w:val="2"/>
        </w:numPr>
        <w:spacing w:beforeAutospacing="1" w:afterAutospacing="1"/>
        <w:rPr>
          <w:rStyle w:val="contentpasted3"/>
          <w:rFonts w:asciiTheme="minorHAnsi" w:eastAsia="Times New Roman" w:hAnsiTheme="minorHAnsi" w:cstheme="minorBidi"/>
          <w:b/>
          <w:bCs/>
          <w:color w:val="1F3864" w:themeColor="accent1" w:themeShade="80"/>
        </w:rPr>
      </w:pPr>
      <w:r w:rsidRPr="00BA1945">
        <w:rPr>
          <w:rStyle w:val="contentpasted3"/>
          <w:rFonts w:asciiTheme="minorHAnsi" w:eastAsia="Times New Roman" w:hAnsiTheme="minorHAnsi" w:cstheme="minorBidi"/>
          <w:b/>
          <w:bCs/>
          <w:color w:val="1F3864" w:themeColor="accent1" w:themeShade="80"/>
        </w:rPr>
        <w:t>Migrants with disabilities</w:t>
      </w:r>
    </w:p>
    <w:p w14:paraId="015406D1" w14:textId="757D9F6D" w:rsidR="044C0BF8" w:rsidRDefault="044C0BF8" w:rsidP="00D918DB">
      <w:pPr>
        <w:pStyle w:val="ListParagraph"/>
        <w:spacing w:beforeAutospacing="1" w:afterAutospacing="1"/>
        <w:ind w:left="1080"/>
        <w:rPr>
          <w:rStyle w:val="contentpasted3"/>
          <w:rFonts w:asciiTheme="minorHAnsi" w:eastAsia="Times New Roman" w:hAnsiTheme="minorHAnsi" w:cstheme="minorBidi"/>
          <w:color w:val="1F3864" w:themeColor="accent1" w:themeShade="80"/>
        </w:rPr>
      </w:pPr>
    </w:p>
    <w:p w14:paraId="4688EB2C" w14:textId="26DA7C1C" w:rsidR="00EB0AF0" w:rsidRDefault="00EB0AF0" w:rsidP="00E827C0">
      <w:pPr>
        <w:ind w:left="720"/>
        <w:rPr>
          <w:sz w:val="24"/>
          <w:szCs w:val="24"/>
        </w:rPr>
      </w:pPr>
      <w:r w:rsidRPr="00EB0AF0">
        <w:rPr>
          <w:sz w:val="24"/>
          <w:szCs w:val="24"/>
        </w:rPr>
        <w:t>This increased call for strengthened disaster risk govern</w:t>
      </w:r>
      <w:r w:rsidR="5B0B2DF1" w:rsidRPr="00EB0AF0">
        <w:rPr>
          <w:sz w:val="24"/>
          <w:szCs w:val="24"/>
        </w:rPr>
        <w:t xml:space="preserve">ance </w:t>
      </w:r>
      <w:r w:rsidRPr="00EB0AF0">
        <w:rPr>
          <w:sz w:val="24"/>
          <w:szCs w:val="24"/>
        </w:rPr>
        <w:t>is key to address inequality based on gender, race, ethnicity, sexual orientation, gender identity, disability, class and other forms of discrimination. While firm steps have been taken at some levels to address the inequalities and ensure inclusion of the groups at highest risk</w:t>
      </w:r>
      <w:r w:rsidR="3A5DA08A" w:rsidRPr="00EB0AF0">
        <w:rPr>
          <w:sz w:val="24"/>
          <w:szCs w:val="24"/>
        </w:rPr>
        <w:t xml:space="preserve"> the definition of measures, </w:t>
      </w:r>
      <w:r w:rsidR="00E827C0" w:rsidRPr="00EB0AF0">
        <w:rPr>
          <w:sz w:val="24"/>
          <w:szCs w:val="24"/>
        </w:rPr>
        <w:t>Investment</w:t>
      </w:r>
      <w:r w:rsidR="3A5DA08A" w:rsidRPr="00EB0AF0">
        <w:rPr>
          <w:sz w:val="24"/>
          <w:szCs w:val="24"/>
        </w:rPr>
        <w:t xml:space="preserve"> and their implementation</w:t>
      </w:r>
      <w:r w:rsidRPr="00EB0AF0">
        <w:rPr>
          <w:sz w:val="24"/>
          <w:szCs w:val="24"/>
        </w:rPr>
        <w:t>, it is evident that adopting an intersectional approach in disaster risk governance has not reached the key status it deserves. For example, research shows that women and adolescent girls with disabilities are disproportionately impacted by disasters</w:t>
      </w:r>
      <w:r>
        <w:rPr>
          <w:vertAlign w:val="superscript"/>
        </w:rPr>
        <w:footnoteReference w:id="21"/>
      </w:r>
      <w:r w:rsidRPr="00EB0AF0">
        <w:rPr>
          <w:sz w:val="24"/>
          <w:szCs w:val="24"/>
        </w:rPr>
        <w:t xml:space="preserve">. This is partly due to lack of intersectionality in the design and implementation of DRR </w:t>
      </w:r>
      <w:r w:rsidR="57D0C632" w:rsidRPr="00EB0AF0">
        <w:rPr>
          <w:sz w:val="24"/>
          <w:szCs w:val="24"/>
        </w:rPr>
        <w:t xml:space="preserve">measures </w:t>
      </w:r>
      <w:r w:rsidRPr="00EB0AF0">
        <w:rPr>
          <w:sz w:val="24"/>
          <w:szCs w:val="24"/>
        </w:rPr>
        <w:t xml:space="preserve">where specific barriers for women and girls with disabilities is not considered, but it is for granted that inclusion of women or inclusion of persons with disabilities per say would be sufficient to address challenges faced by women and adolescent girls with disabilities. </w:t>
      </w:r>
    </w:p>
    <w:p w14:paraId="5CE65E1B" w14:textId="77777777" w:rsidR="009C6A83" w:rsidRDefault="009C6A83" w:rsidP="00E827C0">
      <w:pPr>
        <w:ind w:left="720"/>
        <w:rPr>
          <w:sz w:val="24"/>
          <w:szCs w:val="24"/>
        </w:rPr>
      </w:pPr>
    </w:p>
    <w:p w14:paraId="37C7DA06" w14:textId="1BC36CFF" w:rsidR="00974FFE" w:rsidRDefault="009C113F" w:rsidP="00E827C0">
      <w:pPr>
        <w:ind w:left="720"/>
        <w:rPr>
          <w:sz w:val="24"/>
          <w:szCs w:val="24"/>
        </w:rPr>
      </w:pPr>
      <w:r>
        <w:rPr>
          <w:sz w:val="24"/>
          <w:szCs w:val="24"/>
        </w:rPr>
        <w:t>In 2013, a</w:t>
      </w:r>
      <w:r w:rsidR="00E600D3">
        <w:rPr>
          <w:sz w:val="24"/>
          <w:szCs w:val="24"/>
        </w:rPr>
        <w:t>t UN’s first-ever global survey on persons with disabilities on how to cope with disa</w:t>
      </w:r>
      <w:r w:rsidR="00947EBE">
        <w:rPr>
          <w:sz w:val="24"/>
          <w:szCs w:val="24"/>
        </w:rPr>
        <w:t xml:space="preserve">sters illustrates why persons with disabilities die or are injured in disproportionate numbers in disasters. </w:t>
      </w:r>
      <w:r w:rsidR="00D23532">
        <w:rPr>
          <w:sz w:val="24"/>
          <w:szCs w:val="24"/>
        </w:rPr>
        <w:t xml:space="preserve">The same survey has been undertaken in 2023. While the </w:t>
      </w:r>
      <w:r w:rsidR="00974FFE">
        <w:rPr>
          <w:sz w:val="24"/>
          <w:szCs w:val="24"/>
        </w:rPr>
        <w:t xml:space="preserve">2023 </w:t>
      </w:r>
      <w:r w:rsidR="00D23532">
        <w:rPr>
          <w:sz w:val="24"/>
          <w:szCs w:val="24"/>
        </w:rPr>
        <w:t>survey is still ongoing</w:t>
      </w:r>
      <w:r w:rsidR="00974FFE">
        <w:rPr>
          <w:sz w:val="24"/>
          <w:szCs w:val="24"/>
        </w:rPr>
        <w:t xml:space="preserve">, preliminary findings </w:t>
      </w:r>
      <w:r w:rsidR="00BF03FF">
        <w:rPr>
          <w:sz w:val="24"/>
          <w:szCs w:val="24"/>
        </w:rPr>
        <w:t xml:space="preserve">from over 3000 respondents </w:t>
      </w:r>
      <w:r w:rsidR="00974FFE">
        <w:rPr>
          <w:sz w:val="24"/>
          <w:szCs w:val="24"/>
        </w:rPr>
        <w:t xml:space="preserve">indicate that while some progress has been made, there are still </w:t>
      </w:r>
      <w:r w:rsidR="00C95BD2">
        <w:rPr>
          <w:sz w:val="24"/>
          <w:szCs w:val="24"/>
        </w:rPr>
        <w:t>a need to engage stronger with the disability community</w:t>
      </w:r>
    </w:p>
    <w:p w14:paraId="363C66F4" w14:textId="77777777" w:rsidR="00C95BD2" w:rsidRDefault="00C95BD2" w:rsidP="00E827C0">
      <w:pPr>
        <w:ind w:left="720"/>
        <w:rPr>
          <w:sz w:val="24"/>
          <w:szCs w:val="24"/>
        </w:rPr>
      </w:pPr>
    </w:p>
    <w:p w14:paraId="5F639BD6" w14:textId="0B163632" w:rsidR="007225C2" w:rsidRDefault="009C113F" w:rsidP="00E40ADB">
      <w:pPr>
        <w:ind w:left="720"/>
        <w:rPr>
          <w:sz w:val="24"/>
          <w:szCs w:val="24"/>
          <w:lang w:eastAsia="zh-CN"/>
        </w:rPr>
      </w:pPr>
      <w:r>
        <w:rPr>
          <w:sz w:val="24"/>
          <w:szCs w:val="24"/>
        </w:rPr>
        <w:t>In 20</w:t>
      </w:r>
      <w:r w:rsidR="00C95BD2">
        <w:rPr>
          <w:sz w:val="24"/>
          <w:szCs w:val="24"/>
        </w:rPr>
        <w:t>23</w:t>
      </w:r>
      <w:r>
        <w:rPr>
          <w:sz w:val="24"/>
          <w:szCs w:val="24"/>
        </w:rPr>
        <w:t xml:space="preserve">, </w:t>
      </w:r>
      <w:r w:rsidR="00CA21E5">
        <w:rPr>
          <w:sz w:val="24"/>
          <w:szCs w:val="24"/>
        </w:rPr>
        <w:t>80% (</w:t>
      </w:r>
      <w:r>
        <w:rPr>
          <w:sz w:val="24"/>
          <w:szCs w:val="24"/>
        </w:rPr>
        <w:t xml:space="preserve">85.57% </w:t>
      </w:r>
      <w:r w:rsidR="004E2EEE">
        <w:rPr>
          <w:sz w:val="24"/>
          <w:szCs w:val="24"/>
        </w:rPr>
        <w:t>in 20</w:t>
      </w:r>
      <w:r w:rsidR="00CA21E5">
        <w:rPr>
          <w:sz w:val="24"/>
          <w:szCs w:val="24"/>
        </w:rPr>
        <w:t>1</w:t>
      </w:r>
      <w:r w:rsidR="004E2EEE">
        <w:rPr>
          <w:sz w:val="24"/>
          <w:szCs w:val="24"/>
        </w:rPr>
        <w:t xml:space="preserve">3) </w:t>
      </w:r>
      <w:r>
        <w:rPr>
          <w:sz w:val="24"/>
          <w:szCs w:val="24"/>
        </w:rPr>
        <w:t>of the survey respondents from 1</w:t>
      </w:r>
      <w:r w:rsidR="00F715FC">
        <w:rPr>
          <w:sz w:val="24"/>
          <w:szCs w:val="24"/>
        </w:rPr>
        <w:t>16</w:t>
      </w:r>
      <w:r>
        <w:rPr>
          <w:sz w:val="24"/>
          <w:szCs w:val="24"/>
        </w:rPr>
        <w:t xml:space="preserve"> </w:t>
      </w:r>
      <w:r w:rsidR="004E2EEE">
        <w:rPr>
          <w:sz w:val="24"/>
          <w:szCs w:val="24"/>
        </w:rPr>
        <w:t>(</w:t>
      </w:r>
      <w:r w:rsidR="00CA21E5">
        <w:rPr>
          <w:sz w:val="24"/>
          <w:szCs w:val="24"/>
        </w:rPr>
        <w:t>137</w:t>
      </w:r>
      <w:r w:rsidR="009A740B">
        <w:rPr>
          <w:sz w:val="24"/>
          <w:szCs w:val="24"/>
        </w:rPr>
        <w:t xml:space="preserve"> </w:t>
      </w:r>
      <w:r w:rsidR="009A740B" w:rsidRPr="00CA21E5">
        <w:rPr>
          <w:sz w:val="24"/>
          <w:szCs w:val="24"/>
        </w:rPr>
        <w:t>in 20</w:t>
      </w:r>
      <w:r w:rsidR="00CA21E5" w:rsidRPr="00CA21E5">
        <w:rPr>
          <w:sz w:val="24"/>
          <w:szCs w:val="24"/>
        </w:rPr>
        <w:t>1</w:t>
      </w:r>
      <w:r w:rsidR="009A740B" w:rsidRPr="00CA21E5">
        <w:rPr>
          <w:sz w:val="24"/>
          <w:szCs w:val="24"/>
        </w:rPr>
        <w:t>3</w:t>
      </w:r>
      <w:r w:rsidR="004E2EEE">
        <w:rPr>
          <w:sz w:val="24"/>
          <w:szCs w:val="24"/>
        </w:rPr>
        <w:t xml:space="preserve">) </w:t>
      </w:r>
      <w:r>
        <w:rPr>
          <w:sz w:val="24"/>
          <w:szCs w:val="24"/>
        </w:rPr>
        <w:t xml:space="preserve">countries state that they have not participate in community disaster management and risk </w:t>
      </w:r>
      <w:r w:rsidR="00272C74">
        <w:rPr>
          <w:sz w:val="24"/>
          <w:szCs w:val="24"/>
        </w:rPr>
        <w:t>reduction</w:t>
      </w:r>
      <w:r>
        <w:rPr>
          <w:sz w:val="24"/>
          <w:szCs w:val="24"/>
        </w:rPr>
        <w:t xml:space="preserve"> pr</w:t>
      </w:r>
      <w:r w:rsidR="00272C74">
        <w:rPr>
          <w:sz w:val="24"/>
          <w:szCs w:val="24"/>
        </w:rPr>
        <w:t xml:space="preserve">ocesses currently in place in their communities. </w:t>
      </w:r>
      <w:r w:rsidR="00E40ADB" w:rsidRPr="00E40ADB">
        <w:rPr>
          <w:sz w:val="24"/>
          <w:szCs w:val="24"/>
          <w:lang w:eastAsia="zh-CN"/>
        </w:rPr>
        <w:t xml:space="preserve">Another key finding </w:t>
      </w:r>
      <w:r w:rsidR="00860AE1">
        <w:rPr>
          <w:sz w:val="24"/>
          <w:szCs w:val="24"/>
          <w:lang w:eastAsia="zh-CN"/>
        </w:rPr>
        <w:t>in 20</w:t>
      </w:r>
      <w:r w:rsidR="00F715FC">
        <w:rPr>
          <w:sz w:val="24"/>
          <w:szCs w:val="24"/>
          <w:lang w:eastAsia="zh-CN"/>
        </w:rPr>
        <w:t>2</w:t>
      </w:r>
      <w:r w:rsidR="00860AE1">
        <w:rPr>
          <w:sz w:val="24"/>
          <w:szCs w:val="24"/>
          <w:lang w:eastAsia="zh-CN"/>
        </w:rPr>
        <w:t xml:space="preserve">3 </w:t>
      </w:r>
      <w:r w:rsidR="00E40ADB" w:rsidRPr="00E40ADB">
        <w:rPr>
          <w:sz w:val="24"/>
          <w:szCs w:val="24"/>
          <w:lang w:eastAsia="zh-CN"/>
        </w:rPr>
        <w:t xml:space="preserve">reveals that only </w:t>
      </w:r>
      <w:r w:rsidR="00F715FC">
        <w:rPr>
          <w:sz w:val="24"/>
          <w:szCs w:val="24"/>
          <w:lang w:eastAsia="zh-CN"/>
        </w:rPr>
        <w:t>31% (</w:t>
      </w:r>
      <w:r w:rsidR="00E40ADB" w:rsidRPr="00E40ADB">
        <w:rPr>
          <w:sz w:val="24"/>
          <w:szCs w:val="24"/>
          <w:lang w:eastAsia="zh-CN"/>
        </w:rPr>
        <w:t>20.6%</w:t>
      </w:r>
      <w:r w:rsidR="00860AE1">
        <w:rPr>
          <w:sz w:val="24"/>
          <w:szCs w:val="24"/>
          <w:lang w:eastAsia="zh-CN"/>
        </w:rPr>
        <w:t xml:space="preserve"> in 20</w:t>
      </w:r>
      <w:r w:rsidR="00F715FC">
        <w:rPr>
          <w:sz w:val="24"/>
          <w:szCs w:val="24"/>
          <w:lang w:eastAsia="zh-CN"/>
        </w:rPr>
        <w:t>1</w:t>
      </w:r>
      <w:r w:rsidR="00860AE1">
        <w:rPr>
          <w:sz w:val="24"/>
          <w:szCs w:val="24"/>
          <w:lang w:eastAsia="zh-CN"/>
        </w:rPr>
        <w:t>3)</w:t>
      </w:r>
      <w:r w:rsidR="00E40ADB" w:rsidRPr="00E40ADB">
        <w:rPr>
          <w:sz w:val="24"/>
          <w:szCs w:val="24"/>
          <w:lang w:eastAsia="zh-CN"/>
        </w:rPr>
        <w:t xml:space="preserve"> of respondents believe they can evacuate</w:t>
      </w:r>
      <w:r w:rsidR="00E40ADB">
        <w:rPr>
          <w:sz w:val="24"/>
          <w:szCs w:val="24"/>
          <w:lang w:eastAsia="zh-CN"/>
        </w:rPr>
        <w:t xml:space="preserve"> </w:t>
      </w:r>
      <w:r w:rsidR="00E40ADB" w:rsidRPr="00E40ADB">
        <w:rPr>
          <w:sz w:val="24"/>
          <w:szCs w:val="24"/>
          <w:lang w:eastAsia="zh-CN"/>
        </w:rPr>
        <w:t xml:space="preserve">immediately without difficulty in the event of a sudden disaster event. And while </w:t>
      </w:r>
      <w:r w:rsidR="00F715FC">
        <w:rPr>
          <w:sz w:val="24"/>
          <w:szCs w:val="24"/>
          <w:lang w:eastAsia="zh-CN"/>
        </w:rPr>
        <w:t>35% (</w:t>
      </w:r>
      <w:r w:rsidR="00E40ADB" w:rsidRPr="00E40ADB">
        <w:rPr>
          <w:sz w:val="24"/>
          <w:szCs w:val="24"/>
          <w:lang w:eastAsia="zh-CN"/>
        </w:rPr>
        <w:t>38.1 %</w:t>
      </w:r>
      <w:r w:rsidR="00E40ADB">
        <w:rPr>
          <w:sz w:val="24"/>
          <w:szCs w:val="24"/>
          <w:lang w:eastAsia="zh-CN"/>
        </w:rPr>
        <w:t xml:space="preserve"> </w:t>
      </w:r>
      <w:r w:rsidR="00860AE1">
        <w:rPr>
          <w:sz w:val="24"/>
          <w:szCs w:val="24"/>
          <w:lang w:eastAsia="zh-CN"/>
        </w:rPr>
        <w:t>in 20</w:t>
      </w:r>
      <w:r w:rsidR="00F715FC">
        <w:rPr>
          <w:sz w:val="24"/>
          <w:szCs w:val="24"/>
          <w:lang w:eastAsia="zh-CN"/>
        </w:rPr>
        <w:t>1</w:t>
      </w:r>
      <w:r w:rsidR="00860AE1">
        <w:rPr>
          <w:sz w:val="24"/>
          <w:szCs w:val="24"/>
          <w:lang w:eastAsia="zh-CN"/>
        </w:rPr>
        <w:t xml:space="preserve">3) </w:t>
      </w:r>
      <w:r w:rsidR="00E40ADB" w:rsidRPr="00E40ADB">
        <w:rPr>
          <w:sz w:val="24"/>
          <w:szCs w:val="24"/>
          <w:lang w:eastAsia="zh-CN"/>
        </w:rPr>
        <w:t xml:space="preserve">can do so with some difficulty, </w:t>
      </w:r>
      <w:r w:rsidR="00F715FC">
        <w:rPr>
          <w:sz w:val="24"/>
          <w:szCs w:val="24"/>
          <w:lang w:eastAsia="zh-CN"/>
        </w:rPr>
        <w:t>26% (</w:t>
      </w:r>
      <w:r w:rsidR="00E40ADB" w:rsidRPr="00E40ADB">
        <w:rPr>
          <w:sz w:val="24"/>
          <w:szCs w:val="24"/>
          <w:lang w:eastAsia="zh-CN"/>
        </w:rPr>
        <w:t xml:space="preserve">34.93 % </w:t>
      </w:r>
      <w:r w:rsidR="00860AE1">
        <w:rPr>
          <w:sz w:val="24"/>
          <w:szCs w:val="24"/>
          <w:lang w:eastAsia="zh-CN"/>
        </w:rPr>
        <w:t>in 20</w:t>
      </w:r>
      <w:r w:rsidR="00F715FC">
        <w:rPr>
          <w:sz w:val="24"/>
          <w:szCs w:val="24"/>
          <w:lang w:eastAsia="zh-CN"/>
        </w:rPr>
        <w:t>1</w:t>
      </w:r>
      <w:r w:rsidR="00860AE1">
        <w:rPr>
          <w:sz w:val="24"/>
          <w:szCs w:val="24"/>
          <w:lang w:eastAsia="zh-CN"/>
        </w:rPr>
        <w:t xml:space="preserve">3) </w:t>
      </w:r>
      <w:r w:rsidR="00E40ADB" w:rsidRPr="00E40ADB">
        <w:rPr>
          <w:sz w:val="24"/>
          <w:szCs w:val="24"/>
          <w:lang w:eastAsia="zh-CN"/>
        </w:rPr>
        <w:t>of respondents believe they will experience a lot</w:t>
      </w:r>
      <w:r w:rsidR="00E40ADB">
        <w:rPr>
          <w:sz w:val="24"/>
          <w:szCs w:val="24"/>
          <w:lang w:eastAsia="zh-CN"/>
        </w:rPr>
        <w:t xml:space="preserve"> </w:t>
      </w:r>
      <w:r w:rsidR="00E40ADB" w:rsidRPr="00E40ADB">
        <w:rPr>
          <w:sz w:val="24"/>
          <w:szCs w:val="24"/>
          <w:lang w:eastAsia="zh-CN"/>
        </w:rPr>
        <w:t xml:space="preserve">of difficulties; </w:t>
      </w:r>
      <w:r w:rsidR="00F715FC">
        <w:rPr>
          <w:sz w:val="24"/>
          <w:szCs w:val="24"/>
          <w:lang w:eastAsia="zh-CN"/>
        </w:rPr>
        <w:t>8% (</w:t>
      </w:r>
      <w:r w:rsidR="00E40ADB" w:rsidRPr="00E40ADB">
        <w:rPr>
          <w:sz w:val="24"/>
          <w:szCs w:val="24"/>
          <w:lang w:eastAsia="zh-CN"/>
        </w:rPr>
        <w:t xml:space="preserve">6.3% </w:t>
      </w:r>
      <w:r w:rsidR="00860AE1">
        <w:rPr>
          <w:sz w:val="24"/>
          <w:szCs w:val="24"/>
          <w:lang w:eastAsia="zh-CN"/>
        </w:rPr>
        <w:t>in 20</w:t>
      </w:r>
      <w:r w:rsidR="00F715FC">
        <w:rPr>
          <w:sz w:val="24"/>
          <w:szCs w:val="24"/>
          <w:lang w:eastAsia="zh-CN"/>
        </w:rPr>
        <w:t>1</w:t>
      </w:r>
      <w:r w:rsidR="00860AE1">
        <w:rPr>
          <w:sz w:val="24"/>
          <w:szCs w:val="24"/>
          <w:lang w:eastAsia="zh-CN"/>
        </w:rPr>
        <w:t xml:space="preserve">3) </w:t>
      </w:r>
      <w:r w:rsidR="00E40ADB" w:rsidRPr="00E40ADB">
        <w:rPr>
          <w:sz w:val="24"/>
          <w:szCs w:val="24"/>
          <w:lang w:eastAsia="zh-CN"/>
        </w:rPr>
        <w:t>state that they will not be able to evacuate at all.</w:t>
      </w:r>
    </w:p>
    <w:p w14:paraId="672F189B" w14:textId="77777777" w:rsidR="00692DCA" w:rsidRDefault="00692DCA" w:rsidP="00E40ADB">
      <w:pPr>
        <w:ind w:left="720"/>
        <w:rPr>
          <w:sz w:val="24"/>
          <w:szCs w:val="24"/>
          <w:lang w:eastAsia="zh-CN"/>
        </w:rPr>
      </w:pPr>
    </w:p>
    <w:p w14:paraId="02FBB859" w14:textId="77777777" w:rsidR="00692DCA" w:rsidRPr="00692DCA" w:rsidRDefault="00692DCA" w:rsidP="00692DCA">
      <w:pPr>
        <w:ind w:left="720"/>
        <w:rPr>
          <w:sz w:val="24"/>
          <w:szCs w:val="24"/>
          <w:lang w:eastAsia="zh-CN"/>
        </w:rPr>
      </w:pPr>
      <w:r w:rsidRPr="00692DCA">
        <w:rPr>
          <w:sz w:val="24"/>
          <w:szCs w:val="24"/>
          <w:lang w:eastAsia="zh-CN"/>
        </w:rPr>
        <w:lastRenderedPageBreak/>
        <w:t>If given sufficient time, the percentage of those who can evacuate with no difficulty</w:t>
      </w:r>
    </w:p>
    <w:p w14:paraId="5399D289" w14:textId="022B66B9" w:rsidR="00692DCA" w:rsidRDefault="00692DCA" w:rsidP="00692DCA">
      <w:pPr>
        <w:ind w:left="720"/>
        <w:rPr>
          <w:sz w:val="24"/>
          <w:szCs w:val="24"/>
          <w:lang w:eastAsia="zh-CN"/>
        </w:rPr>
      </w:pPr>
      <w:r w:rsidRPr="00692DCA">
        <w:rPr>
          <w:sz w:val="24"/>
          <w:szCs w:val="24"/>
          <w:lang w:eastAsia="zh-CN"/>
        </w:rPr>
        <w:t xml:space="preserve">rises from </w:t>
      </w:r>
      <w:r w:rsidR="00F715FC">
        <w:rPr>
          <w:sz w:val="24"/>
          <w:szCs w:val="24"/>
          <w:lang w:eastAsia="zh-CN"/>
        </w:rPr>
        <w:t>31% to 47% (</w:t>
      </w:r>
      <w:r w:rsidRPr="00692DCA">
        <w:rPr>
          <w:sz w:val="24"/>
          <w:szCs w:val="24"/>
          <w:lang w:eastAsia="zh-CN"/>
        </w:rPr>
        <w:t xml:space="preserve">20.6 to 38.22% </w:t>
      </w:r>
      <w:r w:rsidR="00126574">
        <w:rPr>
          <w:sz w:val="24"/>
          <w:szCs w:val="24"/>
          <w:lang w:eastAsia="zh-CN"/>
        </w:rPr>
        <w:t>in 20</w:t>
      </w:r>
      <w:r w:rsidR="00F715FC">
        <w:rPr>
          <w:sz w:val="24"/>
          <w:szCs w:val="24"/>
          <w:lang w:eastAsia="zh-CN"/>
        </w:rPr>
        <w:t>1</w:t>
      </w:r>
      <w:r w:rsidR="00126574">
        <w:rPr>
          <w:sz w:val="24"/>
          <w:szCs w:val="24"/>
          <w:lang w:eastAsia="zh-CN"/>
        </w:rPr>
        <w:t>3</w:t>
      </w:r>
      <w:r w:rsidR="00D82058">
        <w:rPr>
          <w:sz w:val="24"/>
          <w:szCs w:val="24"/>
          <w:lang w:eastAsia="zh-CN"/>
        </w:rPr>
        <w:t xml:space="preserve">) </w:t>
      </w:r>
      <w:r w:rsidRPr="00692DCA">
        <w:rPr>
          <w:sz w:val="24"/>
          <w:szCs w:val="24"/>
          <w:lang w:eastAsia="zh-CN"/>
        </w:rPr>
        <w:t xml:space="preserve">but </w:t>
      </w:r>
      <w:r w:rsidR="00F715FC">
        <w:rPr>
          <w:sz w:val="24"/>
          <w:szCs w:val="24"/>
          <w:lang w:eastAsia="zh-CN"/>
        </w:rPr>
        <w:t>49% (</w:t>
      </w:r>
      <w:r w:rsidRPr="00692DCA">
        <w:rPr>
          <w:sz w:val="24"/>
          <w:szCs w:val="24"/>
          <w:lang w:eastAsia="zh-CN"/>
        </w:rPr>
        <w:t xml:space="preserve">57.71% </w:t>
      </w:r>
      <w:r w:rsidR="00126574">
        <w:rPr>
          <w:sz w:val="24"/>
          <w:szCs w:val="24"/>
          <w:lang w:eastAsia="zh-CN"/>
        </w:rPr>
        <w:t>in 20</w:t>
      </w:r>
      <w:r w:rsidR="00F715FC">
        <w:rPr>
          <w:sz w:val="24"/>
          <w:szCs w:val="24"/>
          <w:lang w:eastAsia="zh-CN"/>
        </w:rPr>
        <w:t>1</w:t>
      </w:r>
      <w:r w:rsidR="00126574">
        <w:rPr>
          <w:sz w:val="24"/>
          <w:szCs w:val="24"/>
          <w:lang w:eastAsia="zh-CN"/>
        </w:rPr>
        <w:t>3</w:t>
      </w:r>
      <w:r w:rsidR="00D82058">
        <w:rPr>
          <w:sz w:val="24"/>
          <w:szCs w:val="24"/>
          <w:lang w:eastAsia="zh-CN"/>
        </w:rPr>
        <w:t xml:space="preserve">) </w:t>
      </w:r>
      <w:r w:rsidRPr="00692DCA">
        <w:rPr>
          <w:sz w:val="24"/>
          <w:szCs w:val="24"/>
          <w:lang w:eastAsia="zh-CN"/>
        </w:rPr>
        <w:t>still feel they will have either some, or a lot of,</w:t>
      </w:r>
      <w:r>
        <w:rPr>
          <w:sz w:val="24"/>
          <w:szCs w:val="24"/>
          <w:lang w:eastAsia="zh-CN"/>
        </w:rPr>
        <w:t xml:space="preserve"> </w:t>
      </w:r>
      <w:r w:rsidRPr="00692DCA">
        <w:rPr>
          <w:sz w:val="24"/>
          <w:szCs w:val="24"/>
          <w:lang w:eastAsia="zh-CN"/>
        </w:rPr>
        <w:t xml:space="preserve">difficulty; 4% </w:t>
      </w:r>
      <w:r w:rsidR="00126574">
        <w:rPr>
          <w:sz w:val="24"/>
          <w:szCs w:val="24"/>
          <w:lang w:eastAsia="zh-CN"/>
        </w:rPr>
        <w:t>(4% in 20</w:t>
      </w:r>
      <w:r w:rsidR="00F715FC">
        <w:rPr>
          <w:sz w:val="24"/>
          <w:szCs w:val="24"/>
          <w:lang w:eastAsia="zh-CN"/>
        </w:rPr>
        <w:t>1</w:t>
      </w:r>
      <w:r w:rsidR="00126574">
        <w:rPr>
          <w:sz w:val="24"/>
          <w:szCs w:val="24"/>
          <w:lang w:eastAsia="zh-CN"/>
        </w:rPr>
        <w:t xml:space="preserve">3) </w:t>
      </w:r>
      <w:r w:rsidRPr="00692DCA">
        <w:rPr>
          <w:sz w:val="24"/>
          <w:szCs w:val="24"/>
          <w:lang w:eastAsia="zh-CN"/>
        </w:rPr>
        <w:t>would still not be able to evacuate.</w:t>
      </w:r>
      <w:r w:rsidR="00D77A28">
        <w:rPr>
          <w:sz w:val="24"/>
          <w:szCs w:val="24"/>
          <w:lang w:eastAsia="zh-CN"/>
        </w:rPr>
        <w:t xml:space="preserve"> This is especially important when taking into consideration the </w:t>
      </w:r>
      <w:r w:rsidR="00E731D2" w:rsidRPr="00E731D2">
        <w:rPr>
          <w:sz w:val="24"/>
          <w:szCs w:val="24"/>
          <w:lang w:eastAsia="zh-CN"/>
        </w:rPr>
        <w:t>UN Secretary-General's Early Warnings for All Action Plan, announced at COP27</w:t>
      </w:r>
      <w:r w:rsidR="00E731D2">
        <w:rPr>
          <w:sz w:val="24"/>
          <w:szCs w:val="24"/>
          <w:lang w:eastAsia="zh-CN"/>
        </w:rPr>
        <w:t xml:space="preserve"> in 2022</w:t>
      </w:r>
      <w:r w:rsidR="00D06427">
        <w:rPr>
          <w:sz w:val="24"/>
          <w:szCs w:val="24"/>
          <w:lang w:eastAsia="zh-CN"/>
        </w:rPr>
        <w:t>.</w:t>
      </w:r>
    </w:p>
    <w:p w14:paraId="0C815F6A" w14:textId="77777777" w:rsidR="001E263C" w:rsidRDefault="001E263C" w:rsidP="00692DCA">
      <w:pPr>
        <w:ind w:left="720"/>
        <w:rPr>
          <w:sz w:val="24"/>
          <w:szCs w:val="24"/>
          <w:lang w:eastAsia="zh-CN"/>
        </w:rPr>
      </w:pPr>
    </w:p>
    <w:p w14:paraId="6B298D88" w14:textId="5514495D" w:rsidR="001E263C" w:rsidRDefault="00DA0325" w:rsidP="00692DCA">
      <w:pPr>
        <w:ind w:left="720"/>
        <w:rPr>
          <w:sz w:val="24"/>
          <w:szCs w:val="24"/>
          <w:lang w:eastAsia="zh-CN"/>
        </w:rPr>
      </w:pPr>
      <w:r>
        <w:rPr>
          <w:sz w:val="24"/>
          <w:szCs w:val="24"/>
          <w:lang w:eastAsia="zh-CN"/>
        </w:rPr>
        <w:t>In 2023 survey</w:t>
      </w:r>
      <w:r w:rsidR="00527ED0">
        <w:rPr>
          <w:sz w:val="24"/>
          <w:szCs w:val="24"/>
          <w:lang w:eastAsia="zh-CN"/>
        </w:rPr>
        <w:t xml:space="preserve"> (results as </w:t>
      </w:r>
      <w:r w:rsidR="00F715FC">
        <w:rPr>
          <w:sz w:val="24"/>
          <w:szCs w:val="24"/>
          <w:lang w:eastAsia="zh-CN"/>
        </w:rPr>
        <w:t>of</w:t>
      </w:r>
      <w:r w:rsidR="00527ED0">
        <w:rPr>
          <w:sz w:val="24"/>
          <w:szCs w:val="24"/>
          <w:lang w:eastAsia="zh-CN"/>
        </w:rPr>
        <w:t xml:space="preserve"> 28 February)</w:t>
      </w:r>
      <w:r>
        <w:rPr>
          <w:sz w:val="24"/>
          <w:szCs w:val="24"/>
          <w:lang w:eastAsia="zh-CN"/>
        </w:rPr>
        <w:t>, included a question on displacement. 18% of the respondent responded that they have been displaced due to a disaster or a crisis situation.</w:t>
      </w:r>
      <w:r w:rsidR="00CA639C">
        <w:rPr>
          <w:sz w:val="24"/>
          <w:szCs w:val="24"/>
          <w:lang w:eastAsia="zh-CN"/>
        </w:rPr>
        <w:t xml:space="preserve"> </w:t>
      </w:r>
      <w:r w:rsidR="00366A7E">
        <w:rPr>
          <w:sz w:val="24"/>
          <w:szCs w:val="24"/>
          <w:lang w:eastAsia="zh-CN"/>
        </w:rPr>
        <w:t xml:space="preserve">Responses to the </w:t>
      </w:r>
      <w:r w:rsidR="00DF0F57">
        <w:rPr>
          <w:sz w:val="24"/>
          <w:szCs w:val="24"/>
          <w:lang w:eastAsia="zh-CN"/>
        </w:rPr>
        <w:t xml:space="preserve">cause of displacement </w:t>
      </w:r>
      <w:r w:rsidR="00366A7E">
        <w:rPr>
          <w:sz w:val="24"/>
          <w:szCs w:val="24"/>
          <w:lang w:eastAsia="zh-CN"/>
        </w:rPr>
        <w:t xml:space="preserve">said: </w:t>
      </w:r>
      <w:r w:rsidR="00CA639C">
        <w:rPr>
          <w:sz w:val="24"/>
          <w:szCs w:val="24"/>
          <w:lang w:eastAsia="zh-CN"/>
        </w:rPr>
        <w:t xml:space="preserve">50% to </w:t>
      </w:r>
      <w:r w:rsidR="00DF0F57">
        <w:rPr>
          <w:sz w:val="24"/>
          <w:szCs w:val="24"/>
          <w:lang w:eastAsia="zh-CN"/>
        </w:rPr>
        <w:t>disasters, 25%</w:t>
      </w:r>
      <w:r w:rsidR="00366A7E">
        <w:rPr>
          <w:sz w:val="24"/>
          <w:szCs w:val="24"/>
          <w:lang w:eastAsia="zh-CN"/>
        </w:rPr>
        <w:t xml:space="preserve"> </w:t>
      </w:r>
      <w:r w:rsidR="009A4360">
        <w:rPr>
          <w:sz w:val="24"/>
          <w:szCs w:val="24"/>
          <w:lang w:eastAsia="zh-CN"/>
        </w:rPr>
        <w:t xml:space="preserve">due to armed conflict or widespread violence, 13% other, 12% humanitarian </w:t>
      </w:r>
      <w:r w:rsidR="000E6318">
        <w:rPr>
          <w:sz w:val="24"/>
          <w:szCs w:val="24"/>
          <w:lang w:eastAsia="zh-CN"/>
        </w:rPr>
        <w:t>emergencies. 51% of those respondents are internally displaced</w:t>
      </w:r>
      <w:r w:rsidR="00ED660E">
        <w:rPr>
          <w:sz w:val="24"/>
          <w:szCs w:val="24"/>
          <w:lang w:eastAsia="zh-CN"/>
        </w:rPr>
        <w:t>, 16% refugee</w:t>
      </w:r>
      <w:r w:rsidR="0006532B">
        <w:rPr>
          <w:sz w:val="24"/>
          <w:szCs w:val="24"/>
          <w:lang w:eastAsia="zh-CN"/>
        </w:rPr>
        <w:t>s, 15% Asylum seeker, Refugee returned to co</w:t>
      </w:r>
      <w:r w:rsidR="00527ED0">
        <w:rPr>
          <w:sz w:val="24"/>
          <w:szCs w:val="24"/>
          <w:lang w:eastAsia="zh-CN"/>
        </w:rPr>
        <w:t>untry of former residence, 4% international migrant.</w:t>
      </w:r>
    </w:p>
    <w:p w14:paraId="1DDD3CC8" w14:textId="77777777" w:rsidR="00A3317F" w:rsidRDefault="00A3317F" w:rsidP="00692DCA">
      <w:pPr>
        <w:ind w:left="720"/>
        <w:rPr>
          <w:sz w:val="24"/>
          <w:szCs w:val="24"/>
          <w:lang w:eastAsia="zh-CN"/>
        </w:rPr>
      </w:pPr>
    </w:p>
    <w:p w14:paraId="178CC733" w14:textId="5B1CDC24" w:rsidR="001A2367" w:rsidRPr="003B2834" w:rsidRDefault="00374232" w:rsidP="003B2834">
      <w:pPr>
        <w:ind w:left="720"/>
        <w:rPr>
          <w:rStyle w:val="contentpasted3"/>
          <w:sz w:val="24"/>
          <w:szCs w:val="24"/>
          <w:lang w:eastAsia="zh-CN"/>
        </w:rPr>
      </w:pPr>
      <w:r>
        <w:rPr>
          <w:sz w:val="24"/>
          <w:szCs w:val="24"/>
          <w:lang w:eastAsia="zh-CN"/>
        </w:rPr>
        <w:t xml:space="preserve">Please note that </w:t>
      </w:r>
      <w:r w:rsidR="0001045E" w:rsidRPr="0001045E">
        <w:rPr>
          <w:sz w:val="24"/>
          <w:szCs w:val="24"/>
          <w:lang w:eastAsia="zh-CN"/>
        </w:rPr>
        <w:t xml:space="preserve">the findings are just very preliminary and that more may be submitted to the CRPD </w:t>
      </w:r>
      <w:r>
        <w:rPr>
          <w:sz w:val="24"/>
          <w:szCs w:val="24"/>
          <w:lang w:eastAsia="zh-CN"/>
        </w:rPr>
        <w:t xml:space="preserve">committee </w:t>
      </w:r>
      <w:r w:rsidR="0001045E" w:rsidRPr="0001045E">
        <w:rPr>
          <w:sz w:val="24"/>
          <w:szCs w:val="24"/>
          <w:lang w:eastAsia="zh-CN"/>
        </w:rPr>
        <w:t>when a full analysis is done after closing of the survey.</w:t>
      </w:r>
    </w:p>
    <w:p w14:paraId="02CB6C98" w14:textId="7B3ABE19" w:rsidR="004E06FE" w:rsidRPr="00A15813" w:rsidRDefault="004E06FE" w:rsidP="004E06FE">
      <w:pPr>
        <w:numPr>
          <w:ilvl w:val="0"/>
          <w:numId w:val="1"/>
        </w:numPr>
        <w:spacing w:before="100" w:beforeAutospacing="1" w:after="100" w:afterAutospacing="1"/>
        <w:rPr>
          <w:rFonts w:asciiTheme="minorHAnsi" w:eastAsia="Times New Roman" w:hAnsiTheme="minorHAnsi" w:cstheme="minorHAnsi"/>
          <w:b/>
          <w:bCs/>
          <w:color w:val="1F3864" w:themeColor="accent1" w:themeShade="80"/>
          <w:shd w:val="clear" w:color="auto" w:fill="FFFFFF"/>
        </w:rPr>
      </w:pPr>
      <w:r w:rsidRPr="00A15813">
        <w:rPr>
          <w:rStyle w:val="contentpasted3"/>
          <w:rFonts w:asciiTheme="minorHAnsi" w:eastAsia="Times New Roman" w:hAnsiTheme="minorHAnsi" w:cstheme="minorHAnsi"/>
          <w:b/>
          <w:bCs/>
          <w:color w:val="1F3864" w:themeColor="accent1" w:themeShade="80"/>
          <w:spacing w:val="4"/>
          <w:shd w:val="clear" w:color="auto" w:fill="FFFFFF"/>
        </w:rPr>
        <w:t>Interrelation with other articles of the Convention</w:t>
      </w:r>
      <w:r w:rsidRPr="00A15813">
        <w:rPr>
          <w:rFonts w:asciiTheme="minorHAnsi" w:eastAsia="Times New Roman" w:hAnsiTheme="minorHAnsi" w:cstheme="minorHAnsi"/>
          <w:b/>
          <w:bCs/>
          <w:color w:val="1F3864" w:themeColor="accent1" w:themeShade="80"/>
          <w:shd w:val="clear" w:color="auto" w:fill="FFFFFF"/>
        </w:rPr>
        <w:t xml:space="preserve"> </w:t>
      </w:r>
    </w:p>
    <w:p w14:paraId="27A19BB1" w14:textId="6C8BAF37" w:rsidR="00344A6E" w:rsidRDefault="00586773" w:rsidP="00344A6E">
      <w:pPr>
        <w:spacing w:before="100" w:beforeAutospacing="1" w:after="100" w:afterAutospacing="1"/>
        <w:ind w:left="720"/>
        <w:rPr>
          <w:rFonts w:asciiTheme="minorHAnsi" w:eastAsia="Times New Roman" w:hAnsiTheme="minorHAnsi" w:cstheme="minorHAnsi"/>
          <w:color w:val="1F3864" w:themeColor="accent1" w:themeShade="80"/>
          <w:shd w:val="clear" w:color="auto" w:fill="FFFFFF"/>
        </w:rPr>
      </w:pPr>
      <w:r w:rsidRPr="00BA1945">
        <w:rPr>
          <w:rFonts w:asciiTheme="minorHAnsi" w:eastAsia="Times New Roman" w:hAnsiTheme="minorHAnsi" w:cstheme="minorHAnsi"/>
          <w:color w:val="1F3864" w:themeColor="accent1" w:themeShade="80"/>
          <w:shd w:val="clear" w:color="auto" w:fill="FFFFFF"/>
        </w:rPr>
        <w:t>[</w:t>
      </w:r>
      <w:r w:rsidRPr="00BA1945">
        <w:rPr>
          <w:rFonts w:asciiTheme="minorHAnsi" w:eastAsia="Times New Roman" w:hAnsiTheme="minorHAnsi" w:cstheme="minorHAnsi"/>
          <w:b/>
          <w:bCs/>
          <w:color w:val="1F3864" w:themeColor="accent1" w:themeShade="80"/>
          <w:shd w:val="clear" w:color="auto" w:fill="FFFFFF"/>
        </w:rPr>
        <w:t>Please kindly develop narrative, from the field of your</w:t>
      </w:r>
      <w:r w:rsidR="006339E4" w:rsidRPr="00BA1945">
        <w:rPr>
          <w:rFonts w:asciiTheme="minorHAnsi" w:eastAsia="Times New Roman" w:hAnsiTheme="minorHAnsi" w:cstheme="minorHAnsi"/>
          <w:b/>
          <w:bCs/>
          <w:color w:val="1F3864" w:themeColor="accent1" w:themeShade="80"/>
          <w:shd w:val="clear" w:color="auto" w:fill="FFFFFF"/>
        </w:rPr>
        <w:t xml:space="preserve"> organization’s</w:t>
      </w:r>
      <w:r w:rsidRPr="00BA1945">
        <w:rPr>
          <w:rFonts w:asciiTheme="minorHAnsi" w:eastAsia="Times New Roman" w:hAnsiTheme="minorHAnsi" w:cstheme="minorHAnsi"/>
          <w:b/>
          <w:bCs/>
          <w:color w:val="1F3864" w:themeColor="accent1" w:themeShade="80"/>
          <w:shd w:val="clear" w:color="auto" w:fill="FFFFFF"/>
        </w:rPr>
        <w:t xml:space="preserve"> expertise and </w:t>
      </w:r>
      <w:r w:rsidR="0035206C" w:rsidRPr="00BA1945">
        <w:rPr>
          <w:rFonts w:asciiTheme="minorHAnsi" w:eastAsia="Times New Roman" w:hAnsiTheme="minorHAnsi" w:cstheme="minorHAnsi"/>
          <w:b/>
          <w:bCs/>
          <w:color w:val="1F3864" w:themeColor="accent1" w:themeShade="80"/>
          <w:shd w:val="clear" w:color="auto" w:fill="FFFFFF"/>
        </w:rPr>
        <w:t xml:space="preserve">the area of international law you work on, about the interrelation of article 11 with other provisions of the Convention, e.g. what </w:t>
      </w:r>
      <w:r w:rsidR="00610A1B" w:rsidRPr="00BA1945">
        <w:rPr>
          <w:rFonts w:asciiTheme="minorHAnsi" w:eastAsia="Times New Roman" w:hAnsiTheme="minorHAnsi" w:cstheme="minorHAnsi"/>
          <w:b/>
          <w:bCs/>
          <w:color w:val="1F3864" w:themeColor="accent1" w:themeShade="80"/>
          <w:shd w:val="clear" w:color="auto" w:fill="FFFFFF"/>
        </w:rPr>
        <w:t>S</w:t>
      </w:r>
      <w:r w:rsidR="0035206C" w:rsidRPr="00BA1945">
        <w:rPr>
          <w:rFonts w:asciiTheme="minorHAnsi" w:eastAsia="Times New Roman" w:hAnsiTheme="minorHAnsi" w:cstheme="minorHAnsi"/>
          <w:b/>
          <w:bCs/>
          <w:color w:val="1F3864" w:themeColor="accent1" w:themeShade="80"/>
          <w:shd w:val="clear" w:color="auto" w:fill="FFFFFF"/>
        </w:rPr>
        <w:t>tates should do in situations of risks with regard to art 6 (women with disabilities), art.7 (children with disabilities, art 9 (accessibility), etc</w:t>
      </w:r>
      <w:r w:rsidR="0035206C" w:rsidRPr="00BA1945">
        <w:rPr>
          <w:rFonts w:asciiTheme="minorHAnsi" w:eastAsia="Times New Roman" w:hAnsiTheme="minorHAnsi" w:cstheme="minorHAnsi"/>
          <w:color w:val="1F3864" w:themeColor="accent1" w:themeShade="80"/>
          <w:shd w:val="clear" w:color="auto" w:fill="FFFFFF"/>
        </w:rPr>
        <w:t>-</w:t>
      </w:r>
      <w:r w:rsidR="0035206C">
        <w:rPr>
          <w:rFonts w:asciiTheme="minorHAnsi" w:eastAsia="Times New Roman" w:hAnsiTheme="minorHAnsi" w:cstheme="minorHAnsi"/>
          <w:color w:val="1F3864" w:themeColor="accent1" w:themeShade="80"/>
          <w:shd w:val="clear" w:color="auto" w:fill="FFFFFF"/>
        </w:rPr>
        <w:t xml:space="preserve"> </w:t>
      </w:r>
    </w:p>
    <w:p w14:paraId="60477D18" w14:textId="3B7F4FC0" w:rsidR="000A1EAE" w:rsidRDefault="000A1EAE" w:rsidP="000A1EAE">
      <w:pPr>
        <w:pStyle w:val="ListParagraph"/>
        <w:spacing w:before="100" w:beforeAutospacing="1" w:after="100" w:afterAutospacing="1"/>
        <w:rPr>
          <w:color w:val="333333"/>
          <w:shd w:val="clear" w:color="auto" w:fill="FFFFFF"/>
        </w:rPr>
      </w:pPr>
      <w:r w:rsidRPr="00C810F0">
        <w:rPr>
          <w:color w:val="333333"/>
          <w:shd w:val="clear" w:color="auto" w:fill="FFFFFF"/>
        </w:rPr>
        <w:t>Besides the general provisions, other articles of the CRPD are relevant and need to be considered when interpreting and implementing article 11</w:t>
      </w:r>
      <w:r w:rsidR="001A3C7C">
        <w:rPr>
          <w:color w:val="333333"/>
          <w:shd w:val="clear" w:color="auto" w:fill="FFFFFF"/>
        </w:rPr>
        <w:t xml:space="preserve"> </w:t>
      </w:r>
      <w:r w:rsidRPr="00C810F0">
        <w:rPr>
          <w:color w:val="333333"/>
          <w:shd w:val="clear" w:color="auto" w:fill="FFFFFF"/>
        </w:rPr>
        <w:t>of the Convention</w:t>
      </w:r>
      <w:r>
        <w:rPr>
          <w:color w:val="333333"/>
          <w:shd w:val="clear" w:color="auto" w:fill="FFFFFF"/>
        </w:rPr>
        <w:t xml:space="preserve">: </w:t>
      </w:r>
    </w:p>
    <w:p w14:paraId="3196DE68" w14:textId="77777777" w:rsidR="000A1EAE" w:rsidRDefault="000A1EAE" w:rsidP="000A1EAE">
      <w:pPr>
        <w:pStyle w:val="ListParagraph"/>
        <w:spacing w:before="100" w:beforeAutospacing="1" w:after="100" w:afterAutospacing="1"/>
        <w:rPr>
          <w:color w:val="333333"/>
          <w:shd w:val="clear" w:color="auto" w:fill="FFFFFF"/>
        </w:rPr>
      </w:pPr>
    </w:p>
    <w:p w14:paraId="03DF09B6" w14:textId="77777777" w:rsidR="000A1EAE" w:rsidRPr="00C810F0" w:rsidRDefault="000A1EAE" w:rsidP="000A1EAE">
      <w:pPr>
        <w:pStyle w:val="ListParagraph"/>
        <w:numPr>
          <w:ilvl w:val="0"/>
          <w:numId w:val="17"/>
        </w:numPr>
        <w:jc w:val="both"/>
      </w:pPr>
      <w:r w:rsidRPr="00C810F0">
        <w:t xml:space="preserve">Ensuring close consultation with and the active involvement of organizations of persons with disabilities in the development and implementation of legislation and policies (article 4 (3)); </w:t>
      </w:r>
    </w:p>
    <w:p w14:paraId="1E843B00" w14:textId="77777777" w:rsidR="000A1EAE" w:rsidRPr="00C810F0" w:rsidRDefault="000A1EAE" w:rsidP="000A1EAE">
      <w:pPr>
        <w:pStyle w:val="ListParagraph"/>
        <w:numPr>
          <w:ilvl w:val="0"/>
          <w:numId w:val="17"/>
        </w:numPr>
        <w:jc w:val="both"/>
      </w:pPr>
      <w:r w:rsidRPr="00C810F0">
        <w:t>Raising awareness of disability-inclusiveness (article 8);</w:t>
      </w:r>
    </w:p>
    <w:p w14:paraId="51D82519" w14:textId="77777777" w:rsidR="000A1EAE" w:rsidRPr="00C810F0" w:rsidRDefault="000A1EAE" w:rsidP="000A1EAE">
      <w:pPr>
        <w:pStyle w:val="ListParagraph"/>
        <w:numPr>
          <w:ilvl w:val="0"/>
          <w:numId w:val="17"/>
        </w:numPr>
        <w:jc w:val="both"/>
      </w:pPr>
      <w:r w:rsidRPr="00C810F0">
        <w:t xml:space="preserve">Access to justice (article 13); </w:t>
      </w:r>
    </w:p>
    <w:p w14:paraId="6C140F77" w14:textId="77777777" w:rsidR="000A1EAE" w:rsidRPr="00C810F0" w:rsidRDefault="000A1EAE" w:rsidP="000A1EAE">
      <w:pPr>
        <w:pStyle w:val="ListParagraph"/>
        <w:numPr>
          <w:ilvl w:val="0"/>
          <w:numId w:val="17"/>
        </w:numPr>
        <w:jc w:val="both"/>
      </w:pPr>
      <w:r w:rsidRPr="00C810F0">
        <w:t xml:space="preserve">Protection of persons with disabilities from all forms of exploitation, violence and abuse (article 16); </w:t>
      </w:r>
    </w:p>
    <w:p w14:paraId="58A22AD6" w14:textId="77777777" w:rsidR="000A1EAE" w:rsidRPr="00C810F0" w:rsidRDefault="000A1EAE" w:rsidP="000A1EAE">
      <w:pPr>
        <w:pStyle w:val="ListParagraph"/>
        <w:numPr>
          <w:ilvl w:val="0"/>
          <w:numId w:val="17"/>
        </w:numPr>
        <w:jc w:val="both"/>
      </w:pPr>
      <w:r w:rsidRPr="00C810F0">
        <w:t xml:space="preserve">Right to live independently and be included in the community (article 19); </w:t>
      </w:r>
    </w:p>
    <w:p w14:paraId="60522F14" w14:textId="77777777" w:rsidR="000A1EAE" w:rsidRPr="00C810F0" w:rsidRDefault="000A1EAE" w:rsidP="000A1EAE">
      <w:pPr>
        <w:pStyle w:val="ListParagraph"/>
        <w:numPr>
          <w:ilvl w:val="0"/>
          <w:numId w:val="17"/>
        </w:numPr>
        <w:jc w:val="both"/>
      </w:pPr>
      <w:r w:rsidRPr="00C810F0">
        <w:t xml:space="preserve">Freedom of expression and opinion, and access to information (article 21); </w:t>
      </w:r>
    </w:p>
    <w:p w14:paraId="4BE4FC37" w14:textId="77777777" w:rsidR="000A1EAE" w:rsidRPr="00C810F0" w:rsidRDefault="000A1EAE" w:rsidP="000A1EAE">
      <w:pPr>
        <w:pStyle w:val="ListParagraph"/>
        <w:numPr>
          <w:ilvl w:val="0"/>
          <w:numId w:val="17"/>
        </w:numPr>
        <w:jc w:val="both"/>
      </w:pPr>
      <w:r w:rsidRPr="00C810F0">
        <w:t xml:space="preserve">Habilitation and rehabilitation services (article 26); </w:t>
      </w:r>
    </w:p>
    <w:p w14:paraId="2AAC9DAD" w14:textId="77777777" w:rsidR="000A1EAE" w:rsidRPr="00C810F0" w:rsidRDefault="000A1EAE" w:rsidP="000A1EAE">
      <w:pPr>
        <w:pStyle w:val="ListParagraph"/>
        <w:numPr>
          <w:ilvl w:val="0"/>
          <w:numId w:val="17"/>
        </w:numPr>
        <w:jc w:val="both"/>
      </w:pPr>
      <w:r w:rsidRPr="00C810F0">
        <w:t xml:space="preserve">Right to an adequate standard of living and social protection, including the right to food, water and shelter (article 28); </w:t>
      </w:r>
    </w:p>
    <w:p w14:paraId="3B29CB91" w14:textId="77777777" w:rsidR="000A1EAE" w:rsidRPr="00C810F0" w:rsidRDefault="000A1EAE" w:rsidP="000A1EAE">
      <w:pPr>
        <w:pStyle w:val="ListParagraph"/>
        <w:numPr>
          <w:ilvl w:val="0"/>
          <w:numId w:val="17"/>
        </w:numPr>
        <w:jc w:val="both"/>
      </w:pPr>
      <w:r w:rsidRPr="00C810F0">
        <w:t xml:space="preserve">Collection of appropriate statistics and data to understand the situation of persons with disabilities before (article 31); </w:t>
      </w:r>
    </w:p>
    <w:p w14:paraId="4D734BB9" w14:textId="77777777" w:rsidR="000A1EAE" w:rsidRPr="00C810F0" w:rsidRDefault="000A1EAE" w:rsidP="000A1EAE">
      <w:pPr>
        <w:pStyle w:val="ListParagraph"/>
        <w:numPr>
          <w:ilvl w:val="0"/>
          <w:numId w:val="17"/>
        </w:numPr>
        <w:jc w:val="both"/>
        <w:rPr>
          <w:color w:val="000000" w:themeColor="text1"/>
        </w:rPr>
      </w:pPr>
      <w:r w:rsidRPr="00C810F0">
        <w:rPr>
          <w:color w:val="000000" w:themeColor="text1"/>
        </w:rPr>
        <w:t>International cooperation (article 32);</w:t>
      </w:r>
    </w:p>
    <w:p w14:paraId="5B2CCE13" w14:textId="77777777" w:rsidR="000A1EAE" w:rsidRPr="00C279C8" w:rsidRDefault="000A1EAE" w:rsidP="000A1EAE">
      <w:pPr>
        <w:numPr>
          <w:ilvl w:val="0"/>
          <w:numId w:val="17"/>
        </w:numPr>
        <w:spacing w:before="100" w:beforeAutospacing="1" w:after="100" w:afterAutospacing="1"/>
        <w:rPr>
          <w:rFonts w:asciiTheme="minorHAnsi" w:eastAsia="Times New Roman" w:hAnsiTheme="minorHAnsi" w:cstheme="minorHAnsi"/>
          <w:b/>
          <w:bCs/>
          <w:color w:val="1F3864" w:themeColor="accent1" w:themeShade="80"/>
          <w:shd w:val="clear" w:color="auto" w:fill="FFFFFF"/>
        </w:rPr>
      </w:pPr>
      <w:r>
        <w:t>Designating national monitoring and implementation mechanisms, including focal points within government, coordination mechanisms and national human rights institutions (article 33).</w:t>
      </w:r>
    </w:p>
    <w:p w14:paraId="0D4B8D4C" w14:textId="7E107B51" w:rsidR="009D463F" w:rsidRDefault="000A1EAE" w:rsidP="00E827C0">
      <w:pPr>
        <w:rPr>
          <w:color w:val="000000" w:themeColor="text1"/>
          <w:shd w:val="clear" w:color="auto" w:fill="FFFFFF"/>
        </w:rPr>
      </w:pPr>
      <w:r w:rsidRPr="00C810F0">
        <w:rPr>
          <w:color w:val="000000" w:themeColor="text1"/>
          <w:shd w:val="clear" w:color="auto" w:fill="FFFFFF"/>
        </w:rPr>
        <w:t xml:space="preserve">For example, for DRR the </w:t>
      </w:r>
      <w:r w:rsidRPr="00C810F0">
        <w:rPr>
          <w:b/>
          <w:color w:val="000000" w:themeColor="text1"/>
          <w:shd w:val="clear" w:color="auto" w:fill="FFFFFF"/>
        </w:rPr>
        <w:t>promotion of international cooperation,</w:t>
      </w:r>
      <w:r w:rsidRPr="00C810F0">
        <w:rPr>
          <w:color w:val="000000" w:themeColor="text1"/>
          <w:shd w:val="clear" w:color="auto" w:fill="FFFFFF"/>
        </w:rPr>
        <w:t xml:space="preserve"> as is provided in article 32 of the Convention, could be important in support of the least developed countries (LDCs) and small island developing states (SIDS), which are often the most vulnerable to disasters. This is also aligned to </w:t>
      </w:r>
      <w:r w:rsidRPr="00C810F0">
        <w:rPr>
          <w:color w:val="000000" w:themeColor="text1"/>
          <w:shd w:val="clear" w:color="auto" w:fill="FFFFFF"/>
        </w:rPr>
        <w:lastRenderedPageBreak/>
        <w:t xml:space="preserve">Target F of the Sendai Framework which seeks to substantially increase international cooperation to developing countries by 2030. </w:t>
      </w:r>
    </w:p>
    <w:p w14:paraId="70299339" w14:textId="77777777" w:rsidR="009D463F" w:rsidRPr="00A2387B" w:rsidRDefault="009D463F" w:rsidP="00351359">
      <w:pPr>
        <w:jc w:val="both"/>
        <w:rPr>
          <w:b/>
          <w:bCs/>
          <w:color w:val="000000" w:themeColor="text1"/>
          <w:shd w:val="clear" w:color="auto" w:fill="FFFFFF"/>
        </w:rPr>
      </w:pPr>
    </w:p>
    <w:p w14:paraId="71881D88" w14:textId="574FD98E" w:rsidR="009D463F" w:rsidRPr="00A2387B" w:rsidRDefault="009D463F" w:rsidP="009D463F">
      <w:pPr>
        <w:pStyle w:val="Heading2"/>
        <w:rPr>
          <w:rFonts w:ascii="Calibri" w:eastAsiaTheme="minorHAnsi" w:hAnsi="Calibri" w:cs="Calibri"/>
          <w:b/>
          <w:bCs/>
          <w:color w:val="000000" w:themeColor="text1"/>
          <w:sz w:val="22"/>
          <w:szCs w:val="22"/>
          <w:shd w:val="clear" w:color="auto" w:fill="FFFFFF"/>
        </w:rPr>
      </w:pPr>
      <w:bookmarkStart w:id="1" w:name="_Toc13598261"/>
      <w:r w:rsidRPr="044C0BF8">
        <w:rPr>
          <w:rFonts w:ascii="Calibri" w:eastAsiaTheme="minorEastAsia" w:hAnsi="Calibri" w:cs="Calibri"/>
          <w:b/>
          <w:bCs/>
          <w:color w:val="000000" w:themeColor="text1"/>
          <w:sz w:val="22"/>
          <w:szCs w:val="22"/>
          <w:shd w:val="clear" w:color="auto" w:fill="FFFFFF"/>
        </w:rPr>
        <w:t>Linkages between the Convention on Rights of Persons with Disabilities (CRPD), Sendai Framework for Disaster Risk Reduction, and Dhaka Declarations 2015/2018</w:t>
      </w:r>
      <w:bookmarkEnd w:id="1"/>
      <w:r w:rsidR="00832498" w:rsidRPr="044C0BF8">
        <w:rPr>
          <w:rStyle w:val="FootnoteReference"/>
          <w:rFonts w:ascii="Calibri" w:eastAsiaTheme="minorEastAsia" w:hAnsi="Calibri" w:cs="Calibri"/>
          <w:b/>
          <w:bCs/>
          <w:color w:val="000000" w:themeColor="text1"/>
          <w:sz w:val="22"/>
          <w:szCs w:val="22"/>
          <w:shd w:val="clear" w:color="auto" w:fill="FFFFFF"/>
        </w:rPr>
        <w:footnoteReference w:id="22"/>
      </w:r>
      <w:r w:rsidRPr="044C0BF8">
        <w:rPr>
          <w:rFonts w:ascii="Calibri" w:eastAsiaTheme="minorEastAsia" w:hAnsi="Calibri" w:cs="Calibri"/>
          <w:b/>
          <w:bCs/>
          <w:color w:val="000000" w:themeColor="text1"/>
          <w:sz w:val="22"/>
          <w:szCs w:val="22"/>
          <w:shd w:val="clear" w:color="auto" w:fill="FFFFFF"/>
        </w:rPr>
        <w:t xml:space="preserve"> </w:t>
      </w:r>
      <w:r w:rsidR="00144FC1" w:rsidRPr="044C0BF8">
        <w:rPr>
          <w:rStyle w:val="FootnoteReference"/>
          <w:rFonts w:ascii="Calibri" w:eastAsiaTheme="minorEastAsia" w:hAnsi="Calibri" w:cs="Calibri"/>
          <w:b/>
          <w:bCs/>
          <w:color w:val="000000" w:themeColor="text1"/>
          <w:sz w:val="22"/>
          <w:szCs w:val="22"/>
          <w:shd w:val="clear" w:color="auto" w:fill="FFFFFF"/>
        </w:rPr>
        <w:footnoteReference w:id="23"/>
      </w:r>
    </w:p>
    <w:p w14:paraId="0DE1D82E" w14:textId="77777777" w:rsidR="009D463F" w:rsidRPr="0070325E" w:rsidRDefault="009D463F" w:rsidP="009D463F"/>
    <w:tbl>
      <w:tblPr>
        <w:tblStyle w:val="TableGrid"/>
        <w:tblW w:w="9351" w:type="dxa"/>
        <w:tblLook w:val="04A0" w:firstRow="1" w:lastRow="0" w:firstColumn="1" w:lastColumn="0" w:noHBand="0" w:noVBand="1"/>
      </w:tblPr>
      <w:tblGrid>
        <w:gridCol w:w="3256"/>
        <w:gridCol w:w="2835"/>
        <w:gridCol w:w="3260"/>
      </w:tblGrid>
      <w:tr w:rsidR="009D463F" w:rsidRPr="0070325E" w14:paraId="263143D0" w14:textId="77777777" w:rsidTr="00C90A47">
        <w:tc>
          <w:tcPr>
            <w:tcW w:w="3256" w:type="dxa"/>
          </w:tcPr>
          <w:p w14:paraId="2C2F143C" w14:textId="77777777" w:rsidR="009D463F" w:rsidRPr="0070325E" w:rsidRDefault="009D463F" w:rsidP="00C90A47">
            <w:pPr>
              <w:rPr>
                <w:b/>
                <w:szCs w:val="20"/>
                <w:lang w:val="en-GB"/>
              </w:rPr>
            </w:pPr>
            <w:r w:rsidRPr="0070325E">
              <w:rPr>
                <w:b/>
                <w:szCs w:val="20"/>
                <w:lang w:val="en-GB"/>
              </w:rPr>
              <w:t>Convention on the rights of persons with disabilities</w:t>
            </w:r>
          </w:p>
        </w:tc>
        <w:tc>
          <w:tcPr>
            <w:tcW w:w="2835" w:type="dxa"/>
          </w:tcPr>
          <w:p w14:paraId="25280C21" w14:textId="77777777" w:rsidR="009D463F" w:rsidRPr="0070325E" w:rsidRDefault="009D463F" w:rsidP="00C90A47">
            <w:pPr>
              <w:rPr>
                <w:b/>
                <w:szCs w:val="20"/>
                <w:lang w:val="en-GB"/>
              </w:rPr>
            </w:pPr>
            <w:r w:rsidRPr="0070325E">
              <w:rPr>
                <w:b/>
                <w:szCs w:val="20"/>
                <w:lang w:val="en-GB"/>
              </w:rPr>
              <w:t>Sendai Framework</w:t>
            </w:r>
          </w:p>
        </w:tc>
        <w:tc>
          <w:tcPr>
            <w:tcW w:w="3260" w:type="dxa"/>
          </w:tcPr>
          <w:p w14:paraId="0C6608A9" w14:textId="77777777" w:rsidR="009D463F" w:rsidRPr="0070325E" w:rsidRDefault="009D463F" w:rsidP="00C90A47">
            <w:pPr>
              <w:rPr>
                <w:b/>
                <w:szCs w:val="20"/>
                <w:lang w:val="en-GB"/>
              </w:rPr>
            </w:pPr>
            <w:r w:rsidRPr="0070325E">
              <w:rPr>
                <w:b/>
                <w:szCs w:val="20"/>
                <w:lang w:val="en-GB"/>
              </w:rPr>
              <w:t>Dhaka Declaration 2015/2018</w:t>
            </w:r>
          </w:p>
          <w:p w14:paraId="4166F77D" w14:textId="77777777" w:rsidR="009D463F" w:rsidRPr="0070325E" w:rsidRDefault="009D463F" w:rsidP="00C90A47">
            <w:pPr>
              <w:rPr>
                <w:b/>
                <w:szCs w:val="20"/>
                <w:lang w:val="en-GB"/>
              </w:rPr>
            </w:pPr>
          </w:p>
        </w:tc>
      </w:tr>
      <w:tr w:rsidR="009D463F" w:rsidRPr="0070325E" w14:paraId="6A7F0672" w14:textId="77777777" w:rsidTr="00C90A47">
        <w:tc>
          <w:tcPr>
            <w:tcW w:w="3256" w:type="dxa"/>
          </w:tcPr>
          <w:p w14:paraId="4B034E64" w14:textId="77777777" w:rsidR="009D463F" w:rsidRPr="0070325E" w:rsidRDefault="009D463F" w:rsidP="00C90A47">
            <w:pPr>
              <w:pStyle w:val="Default"/>
              <w:rPr>
                <w:rFonts w:ascii="Verdana" w:hAnsi="Verdana"/>
                <w:sz w:val="20"/>
                <w:szCs w:val="20"/>
              </w:rPr>
            </w:pPr>
            <w:r w:rsidRPr="0070325E">
              <w:rPr>
                <w:rFonts w:ascii="Verdana" w:hAnsi="Verdana"/>
                <w:sz w:val="20"/>
                <w:szCs w:val="20"/>
              </w:rPr>
              <w:t>CRPD as a whole but in particular:</w:t>
            </w:r>
          </w:p>
          <w:p w14:paraId="58E32546" w14:textId="77777777" w:rsidR="009D463F" w:rsidRPr="0070325E" w:rsidRDefault="009D463F" w:rsidP="00C90A47">
            <w:pPr>
              <w:pStyle w:val="Default"/>
              <w:rPr>
                <w:rFonts w:ascii="Verdana" w:hAnsi="Verdana"/>
                <w:sz w:val="20"/>
                <w:szCs w:val="20"/>
              </w:rPr>
            </w:pPr>
            <w:r w:rsidRPr="0070325E">
              <w:rPr>
                <w:rFonts w:ascii="Verdana" w:hAnsi="Verdana"/>
                <w:sz w:val="20"/>
                <w:szCs w:val="20"/>
              </w:rPr>
              <w:t>Article 11: Situation of risk and humanitarian emergencies</w:t>
            </w:r>
          </w:p>
          <w:p w14:paraId="1D19CB32" w14:textId="77777777" w:rsidR="009D463F" w:rsidRPr="0070325E" w:rsidRDefault="009D463F" w:rsidP="00C90A47">
            <w:pPr>
              <w:rPr>
                <w:szCs w:val="20"/>
                <w:lang w:val="en-GB"/>
              </w:rPr>
            </w:pPr>
          </w:p>
        </w:tc>
        <w:tc>
          <w:tcPr>
            <w:tcW w:w="2835" w:type="dxa"/>
          </w:tcPr>
          <w:p w14:paraId="0194EBB3" w14:textId="77777777" w:rsidR="009D463F" w:rsidRPr="0070325E" w:rsidRDefault="009D463F" w:rsidP="00C90A47">
            <w:pPr>
              <w:rPr>
                <w:szCs w:val="20"/>
                <w:lang w:val="en-GB"/>
              </w:rPr>
            </w:pPr>
          </w:p>
          <w:p w14:paraId="4922DDC9" w14:textId="77777777" w:rsidR="009D463F" w:rsidRPr="0070325E" w:rsidRDefault="009D463F" w:rsidP="00C90A47">
            <w:pPr>
              <w:rPr>
                <w:i/>
                <w:szCs w:val="20"/>
                <w:lang w:val="en-GB"/>
              </w:rPr>
            </w:pPr>
            <w:r w:rsidRPr="0070325E">
              <w:rPr>
                <w:i/>
                <w:szCs w:val="20"/>
                <w:lang w:val="en-GB"/>
              </w:rPr>
              <w:t>Overall Framework</w:t>
            </w:r>
          </w:p>
        </w:tc>
        <w:tc>
          <w:tcPr>
            <w:tcW w:w="3260" w:type="dxa"/>
          </w:tcPr>
          <w:p w14:paraId="59A344DB" w14:textId="77777777" w:rsidR="009D463F" w:rsidRPr="0070325E" w:rsidRDefault="009D463F" w:rsidP="00C90A47">
            <w:pPr>
              <w:rPr>
                <w:b/>
                <w:bCs/>
                <w:i/>
                <w:iCs/>
                <w:szCs w:val="20"/>
                <w:lang w:val="en-GB"/>
              </w:rPr>
            </w:pPr>
          </w:p>
          <w:p w14:paraId="67956CE2" w14:textId="77777777" w:rsidR="009D463F" w:rsidRPr="0070325E" w:rsidRDefault="009D463F" w:rsidP="00C90A47">
            <w:pPr>
              <w:rPr>
                <w:bCs/>
                <w:iCs/>
                <w:szCs w:val="20"/>
                <w:lang w:val="en-GB"/>
              </w:rPr>
            </w:pPr>
            <w:r w:rsidRPr="0070325E">
              <w:rPr>
                <w:bCs/>
                <w:iCs/>
                <w:szCs w:val="20"/>
                <w:lang w:val="en-GB"/>
              </w:rPr>
              <w:t>Overall declaration</w:t>
            </w:r>
          </w:p>
        </w:tc>
      </w:tr>
      <w:tr w:rsidR="009D463F" w:rsidRPr="0070325E" w14:paraId="37C5462E" w14:textId="77777777" w:rsidTr="00C90A47">
        <w:tc>
          <w:tcPr>
            <w:tcW w:w="3256" w:type="dxa"/>
          </w:tcPr>
          <w:p w14:paraId="26273648" w14:textId="77777777" w:rsidR="009D463F" w:rsidRPr="009C3782" w:rsidRDefault="009D463F" w:rsidP="00C90A47">
            <w:pPr>
              <w:rPr>
                <w:szCs w:val="20"/>
                <w:lang w:val="fr-CH"/>
              </w:rPr>
            </w:pPr>
            <w:r w:rsidRPr="009C3782">
              <w:rPr>
                <w:szCs w:val="20"/>
                <w:lang w:val="fr-CH"/>
              </w:rPr>
              <w:t>Article 3: General principles</w:t>
            </w:r>
          </w:p>
          <w:p w14:paraId="495A2D17" w14:textId="77777777" w:rsidR="009D463F" w:rsidRPr="009C3782" w:rsidRDefault="009D463F" w:rsidP="00C90A47">
            <w:pPr>
              <w:rPr>
                <w:szCs w:val="20"/>
                <w:lang w:val="fr-CH"/>
              </w:rPr>
            </w:pPr>
            <w:r w:rsidRPr="009C3782">
              <w:rPr>
                <w:szCs w:val="20"/>
                <w:lang w:val="fr-CH"/>
              </w:rPr>
              <w:t>*Individual autonomy</w:t>
            </w:r>
          </w:p>
          <w:p w14:paraId="2380A964" w14:textId="77777777" w:rsidR="009D463F" w:rsidRPr="009C3782" w:rsidRDefault="009D463F" w:rsidP="00C90A47">
            <w:pPr>
              <w:rPr>
                <w:szCs w:val="20"/>
                <w:lang w:val="fr-CH"/>
              </w:rPr>
            </w:pPr>
            <w:r w:rsidRPr="009C3782">
              <w:rPr>
                <w:szCs w:val="20"/>
                <w:lang w:val="fr-CH"/>
              </w:rPr>
              <w:t>*Non-discrimination</w:t>
            </w:r>
          </w:p>
          <w:p w14:paraId="19EF3999" w14:textId="77777777" w:rsidR="009D463F" w:rsidRPr="0070325E" w:rsidRDefault="009D463F" w:rsidP="00C90A47">
            <w:pPr>
              <w:rPr>
                <w:szCs w:val="20"/>
                <w:lang w:val="en-GB"/>
              </w:rPr>
            </w:pPr>
            <w:r w:rsidRPr="0070325E">
              <w:rPr>
                <w:szCs w:val="20"/>
                <w:lang w:val="en-GB"/>
              </w:rPr>
              <w:t>*Participation and Inclusion</w:t>
            </w:r>
          </w:p>
          <w:p w14:paraId="09815503" w14:textId="77777777" w:rsidR="009D463F" w:rsidRPr="0070325E" w:rsidRDefault="009D463F" w:rsidP="00C90A47">
            <w:pPr>
              <w:rPr>
                <w:szCs w:val="20"/>
                <w:lang w:val="en-GB"/>
              </w:rPr>
            </w:pPr>
            <w:r w:rsidRPr="0070325E">
              <w:rPr>
                <w:szCs w:val="20"/>
                <w:lang w:val="en-GB"/>
              </w:rPr>
              <w:t>*Diversity</w:t>
            </w:r>
          </w:p>
          <w:p w14:paraId="41A710EF" w14:textId="77777777" w:rsidR="009D463F" w:rsidRPr="0070325E" w:rsidRDefault="009D463F" w:rsidP="00C90A47">
            <w:pPr>
              <w:rPr>
                <w:szCs w:val="20"/>
                <w:lang w:val="en-GB"/>
              </w:rPr>
            </w:pPr>
            <w:r w:rsidRPr="0070325E">
              <w:rPr>
                <w:szCs w:val="20"/>
                <w:lang w:val="en-GB"/>
              </w:rPr>
              <w:t>*Equal opportunity</w:t>
            </w:r>
          </w:p>
          <w:p w14:paraId="4141672F" w14:textId="77777777" w:rsidR="009D463F" w:rsidRPr="0070325E" w:rsidRDefault="009D463F" w:rsidP="00C90A47">
            <w:pPr>
              <w:rPr>
                <w:szCs w:val="20"/>
                <w:lang w:val="en-GB"/>
              </w:rPr>
            </w:pPr>
            <w:r w:rsidRPr="0070325E">
              <w:rPr>
                <w:szCs w:val="20"/>
                <w:lang w:val="en-GB"/>
              </w:rPr>
              <w:t>*Accessibility</w:t>
            </w:r>
          </w:p>
          <w:p w14:paraId="05203F0F" w14:textId="77777777" w:rsidR="009D463F" w:rsidRPr="0070325E" w:rsidRDefault="009D463F" w:rsidP="00C90A47">
            <w:pPr>
              <w:rPr>
                <w:szCs w:val="20"/>
                <w:lang w:val="en-GB"/>
              </w:rPr>
            </w:pPr>
            <w:r w:rsidRPr="0070325E">
              <w:rPr>
                <w:szCs w:val="20"/>
                <w:lang w:val="en-GB"/>
              </w:rPr>
              <w:t>*Equality between men and women</w:t>
            </w:r>
          </w:p>
          <w:p w14:paraId="411FD2C7" w14:textId="77777777" w:rsidR="009D463F" w:rsidRPr="0070325E" w:rsidRDefault="009D463F" w:rsidP="00C90A47">
            <w:pPr>
              <w:rPr>
                <w:i/>
                <w:szCs w:val="20"/>
                <w:lang w:val="en-GB"/>
              </w:rPr>
            </w:pPr>
            <w:r w:rsidRPr="0070325E">
              <w:rPr>
                <w:szCs w:val="20"/>
                <w:lang w:val="en-GB"/>
              </w:rPr>
              <w:t>*Children with disabilities</w:t>
            </w:r>
          </w:p>
        </w:tc>
        <w:tc>
          <w:tcPr>
            <w:tcW w:w="2835" w:type="dxa"/>
          </w:tcPr>
          <w:p w14:paraId="7CE5FC33" w14:textId="77777777" w:rsidR="009D463F" w:rsidRPr="0070325E" w:rsidRDefault="009D463F" w:rsidP="00C90A47">
            <w:pPr>
              <w:rPr>
                <w:i/>
                <w:szCs w:val="20"/>
                <w:lang w:val="en-GB"/>
              </w:rPr>
            </w:pPr>
            <w:r w:rsidRPr="0070325E">
              <w:rPr>
                <w:i/>
                <w:szCs w:val="20"/>
                <w:lang w:val="en-GB"/>
              </w:rPr>
              <w:t>Ensure a people centred approach</w:t>
            </w:r>
          </w:p>
          <w:p w14:paraId="1E091D8D" w14:textId="77777777" w:rsidR="009D463F" w:rsidRPr="0070325E" w:rsidRDefault="009D463F" w:rsidP="00C90A47">
            <w:pPr>
              <w:rPr>
                <w:szCs w:val="20"/>
                <w:lang w:val="en-GB"/>
              </w:rPr>
            </w:pPr>
            <w:r w:rsidRPr="0070325E">
              <w:rPr>
                <w:szCs w:val="20"/>
                <w:lang w:val="en-GB"/>
              </w:rPr>
              <w:t xml:space="preserve">Preamble: </w:t>
            </w:r>
          </w:p>
          <w:p w14:paraId="5EBF68C9" w14:textId="77777777" w:rsidR="009D463F" w:rsidRPr="0070325E" w:rsidRDefault="009D463F" w:rsidP="00C90A47">
            <w:pPr>
              <w:rPr>
                <w:szCs w:val="20"/>
                <w:lang w:val="en-GB"/>
              </w:rPr>
            </w:pPr>
            <w:r w:rsidRPr="0070325E">
              <w:rPr>
                <w:szCs w:val="20"/>
                <w:lang w:val="en-GB"/>
              </w:rPr>
              <w:t>paragraph 7</w:t>
            </w:r>
          </w:p>
        </w:tc>
        <w:tc>
          <w:tcPr>
            <w:tcW w:w="3260" w:type="dxa"/>
          </w:tcPr>
          <w:p w14:paraId="7023DA8E" w14:textId="77777777" w:rsidR="009D463F" w:rsidRPr="0070325E" w:rsidRDefault="009D463F" w:rsidP="00C90A47">
            <w:pPr>
              <w:pStyle w:val="Default"/>
              <w:rPr>
                <w:rFonts w:ascii="Verdana" w:hAnsi="Verdana"/>
                <w:sz w:val="20"/>
                <w:szCs w:val="20"/>
              </w:rPr>
            </w:pPr>
            <w:r w:rsidRPr="0070325E">
              <w:rPr>
                <w:rFonts w:ascii="Verdana" w:hAnsi="Verdana"/>
                <w:sz w:val="20"/>
                <w:szCs w:val="20"/>
              </w:rPr>
              <w:t xml:space="preserve">Recalls the CRPD, 2030 Agenda for sustainable development, commitments to inclusion of persons with disabilities of the World Humanitarian Summit and Habitat III. </w:t>
            </w:r>
          </w:p>
          <w:p w14:paraId="2A847D3D" w14:textId="77777777" w:rsidR="009D463F" w:rsidRPr="0070325E" w:rsidRDefault="009D463F" w:rsidP="00C90A47">
            <w:pPr>
              <w:pStyle w:val="Default"/>
              <w:rPr>
                <w:rFonts w:ascii="Verdana" w:hAnsi="Verdana"/>
                <w:sz w:val="20"/>
                <w:szCs w:val="20"/>
              </w:rPr>
            </w:pPr>
          </w:p>
        </w:tc>
      </w:tr>
      <w:tr w:rsidR="009D463F" w:rsidRPr="0070325E" w14:paraId="6F495397" w14:textId="77777777" w:rsidTr="00C90A47">
        <w:tc>
          <w:tcPr>
            <w:tcW w:w="3256" w:type="dxa"/>
          </w:tcPr>
          <w:p w14:paraId="26223552" w14:textId="77777777" w:rsidR="009D463F" w:rsidRPr="0070325E" w:rsidRDefault="009D463F" w:rsidP="00C90A47">
            <w:pPr>
              <w:pStyle w:val="Default"/>
              <w:rPr>
                <w:rFonts w:ascii="Verdana" w:hAnsi="Verdana"/>
                <w:sz w:val="20"/>
                <w:szCs w:val="20"/>
              </w:rPr>
            </w:pPr>
            <w:r w:rsidRPr="0070325E">
              <w:rPr>
                <w:rFonts w:ascii="Verdana" w:hAnsi="Verdana"/>
                <w:sz w:val="20"/>
                <w:szCs w:val="20"/>
              </w:rPr>
              <w:t>Article 5: equality and non-discrimination</w:t>
            </w:r>
          </w:p>
          <w:p w14:paraId="09643FC4" w14:textId="77777777" w:rsidR="009D463F" w:rsidRPr="0070325E" w:rsidRDefault="009D463F" w:rsidP="00C90A47">
            <w:pPr>
              <w:pStyle w:val="Default"/>
              <w:rPr>
                <w:rFonts w:ascii="Verdana" w:hAnsi="Verdana"/>
                <w:sz w:val="20"/>
                <w:szCs w:val="20"/>
              </w:rPr>
            </w:pPr>
            <w:r w:rsidRPr="0070325E">
              <w:rPr>
                <w:rFonts w:ascii="Verdana" w:hAnsi="Verdana"/>
                <w:sz w:val="20"/>
                <w:szCs w:val="20"/>
              </w:rPr>
              <w:t>Article 4.3: state obligation</w:t>
            </w:r>
          </w:p>
          <w:p w14:paraId="65EF05C9" w14:textId="77777777" w:rsidR="009D463F" w:rsidRPr="0070325E" w:rsidRDefault="009D463F" w:rsidP="00C90A47">
            <w:pPr>
              <w:rPr>
                <w:szCs w:val="20"/>
                <w:lang w:val="en-GB"/>
              </w:rPr>
            </w:pPr>
          </w:p>
        </w:tc>
        <w:tc>
          <w:tcPr>
            <w:tcW w:w="2835" w:type="dxa"/>
          </w:tcPr>
          <w:p w14:paraId="1DBDEA15" w14:textId="77777777" w:rsidR="009D463F" w:rsidRPr="0070325E" w:rsidRDefault="009D463F" w:rsidP="00C90A47">
            <w:pPr>
              <w:rPr>
                <w:szCs w:val="20"/>
                <w:lang w:val="en-GB"/>
              </w:rPr>
            </w:pPr>
            <w:r w:rsidRPr="0070325E">
              <w:rPr>
                <w:szCs w:val="20"/>
                <w:lang w:val="en-GB"/>
              </w:rPr>
              <w:t>Guiding principles (d)</w:t>
            </w:r>
          </w:p>
        </w:tc>
        <w:tc>
          <w:tcPr>
            <w:tcW w:w="3260" w:type="dxa"/>
          </w:tcPr>
          <w:p w14:paraId="19C9D6FC" w14:textId="77777777" w:rsidR="009D463F" w:rsidRPr="0070325E" w:rsidRDefault="009D463F" w:rsidP="00C90A47">
            <w:pPr>
              <w:pStyle w:val="Default"/>
              <w:rPr>
                <w:rFonts w:ascii="Verdana" w:hAnsi="Verdana"/>
                <w:sz w:val="20"/>
                <w:szCs w:val="20"/>
              </w:rPr>
            </w:pPr>
            <w:r w:rsidRPr="0070325E">
              <w:rPr>
                <w:rFonts w:ascii="Verdana" w:hAnsi="Verdana"/>
                <w:sz w:val="20"/>
                <w:szCs w:val="20"/>
              </w:rPr>
              <w:t xml:space="preserve">Ensure the meaningful participation, inclusion and leadership of women, men, girls and boys with disabilities and DPOs within disaster risk management at local, national, regional and global levels </w:t>
            </w:r>
          </w:p>
        </w:tc>
      </w:tr>
      <w:tr w:rsidR="009D463F" w:rsidRPr="0070325E" w14:paraId="0A3B0798" w14:textId="77777777" w:rsidTr="00C90A47">
        <w:tc>
          <w:tcPr>
            <w:tcW w:w="3256" w:type="dxa"/>
          </w:tcPr>
          <w:p w14:paraId="6B18C416" w14:textId="77777777" w:rsidR="009D463F" w:rsidRPr="0070325E" w:rsidRDefault="009D463F" w:rsidP="00C90A47">
            <w:pPr>
              <w:pStyle w:val="Default"/>
              <w:rPr>
                <w:rFonts w:ascii="Verdana" w:hAnsi="Verdana"/>
                <w:sz w:val="20"/>
                <w:szCs w:val="20"/>
              </w:rPr>
            </w:pPr>
            <w:r w:rsidRPr="0070325E">
              <w:rPr>
                <w:rFonts w:ascii="Verdana" w:hAnsi="Verdana"/>
                <w:sz w:val="20"/>
                <w:szCs w:val="20"/>
              </w:rPr>
              <w:t>Article 32: international cooperation</w:t>
            </w:r>
          </w:p>
          <w:p w14:paraId="30276020" w14:textId="77777777" w:rsidR="009D463F" w:rsidRPr="0070325E" w:rsidRDefault="009D463F" w:rsidP="00C90A47">
            <w:pPr>
              <w:pStyle w:val="Default"/>
              <w:rPr>
                <w:rFonts w:ascii="Verdana" w:hAnsi="Verdana"/>
                <w:sz w:val="20"/>
                <w:szCs w:val="20"/>
              </w:rPr>
            </w:pPr>
            <w:r w:rsidRPr="0070325E">
              <w:rPr>
                <w:rFonts w:ascii="Verdana" w:hAnsi="Verdana"/>
                <w:sz w:val="20"/>
                <w:szCs w:val="20"/>
              </w:rPr>
              <w:t>Article 8: awareness raising</w:t>
            </w:r>
          </w:p>
          <w:p w14:paraId="719F8742" w14:textId="77777777" w:rsidR="009D463F" w:rsidRPr="0070325E" w:rsidRDefault="009D463F" w:rsidP="00C90A47">
            <w:pPr>
              <w:pStyle w:val="Default"/>
              <w:rPr>
                <w:rFonts w:ascii="Verdana" w:hAnsi="Verdana"/>
                <w:sz w:val="20"/>
                <w:szCs w:val="20"/>
              </w:rPr>
            </w:pPr>
            <w:r w:rsidRPr="0070325E">
              <w:rPr>
                <w:rFonts w:ascii="Verdana" w:hAnsi="Verdana"/>
                <w:sz w:val="20"/>
                <w:szCs w:val="20"/>
              </w:rPr>
              <w:t>Article 5: equality and non-discrimination</w:t>
            </w:r>
          </w:p>
          <w:p w14:paraId="1014F4CD" w14:textId="77777777" w:rsidR="009D463F" w:rsidRPr="0070325E" w:rsidRDefault="009D463F" w:rsidP="00C90A47">
            <w:pPr>
              <w:rPr>
                <w:i/>
                <w:iCs/>
                <w:szCs w:val="20"/>
                <w:lang w:val="en-GB"/>
              </w:rPr>
            </w:pPr>
            <w:r w:rsidRPr="0070325E">
              <w:rPr>
                <w:szCs w:val="20"/>
                <w:lang w:val="en-GB"/>
              </w:rPr>
              <w:t>Article 9: accessibility</w:t>
            </w:r>
          </w:p>
        </w:tc>
        <w:tc>
          <w:tcPr>
            <w:tcW w:w="2835" w:type="dxa"/>
          </w:tcPr>
          <w:p w14:paraId="0F001FD6" w14:textId="77777777" w:rsidR="009D463F" w:rsidRPr="0070325E" w:rsidRDefault="009D463F" w:rsidP="00C90A47">
            <w:pPr>
              <w:rPr>
                <w:i/>
                <w:iCs/>
                <w:szCs w:val="20"/>
                <w:lang w:val="en-GB"/>
              </w:rPr>
            </w:pPr>
            <w:r w:rsidRPr="0070325E">
              <w:rPr>
                <w:i/>
                <w:iCs/>
                <w:szCs w:val="20"/>
                <w:lang w:val="en-GB"/>
              </w:rPr>
              <w:t>Strengthen Governance, partnership and cooperation</w:t>
            </w:r>
          </w:p>
          <w:p w14:paraId="12D21389" w14:textId="77777777" w:rsidR="009D463F" w:rsidRPr="0070325E" w:rsidRDefault="009D463F" w:rsidP="00C90A47">
            <w:pPr>
              <w:rPr>
                <w:szCs w:val="20"/>
                <w:lang w:val="en-GB"/>
              </w:rPr>
            </w:pPr>
            <w:r w:rsidRPr="0070325E">
              <w:rPr>
                <w:szCs w:val="20"/>
                <w:lang w:val="en-GB"/>
              </w:rPr>
              <w:t>Preamble: paragraph 7, paragraph 14</w:t>
            </w:r>
          </w:p>
          <w:p w14:paraId="20442A7D" w14:textId="77777777" w:rsidR="009D463F" w:rsidRPr="0070325E" w:rsidRDefault="009D463F" w:rsidP="00C90A47">
            <w:pPr>
              <w:rPr>
                <w:szCs w:val="20"/>
                <w:lang w:val="en-GB"/>
              </w:rPr>
            </w:pPr>
            <w:r w:rsidRPr="0070325E">
              <w:rPr>
                <w:szCs w:val="20"/>
                <w:lang w:val="en-GB"/>
              </w:rPr>
              <w:t>Paragraph 27</w:t>
            </w:r>
          </w:p>
          <w:p w14:paraId="721ECE54" w14:textId="77777777" w:rsidR="009D463F" w:rsidRPr="0070325E" w:rsidRDefault="009D463F" w:rsidP="00C90A47">
            <w:pPr>
              <w:rPr>
                <w:szCs w:val="20"/>
                <w:lang w:val="en-GB"/>
              </w:rPr>
            </w:pPr>
          </w:p>
        </w:tc>
        <w:tc>
          <w:tcPr>
            <w:tcW w:w="3260" w:type="dxa"/>
          </w:tcPr>
          <w:p w14:paraId="22DE7350" w14:textId="77777777" w:rsidR="009D463F" w:rsidRPr="0070325E" w:rsidRDefault="009D463F" w:rsidP="00C90A47">
            <w:pPr>
              <w:pStyle w:val="Default"/>
              <w:rPr>
                <w:rFonts w:ascii="Verdana" w:hAnsi="Verdana"/>
                <w:sz w:val="20"/>
                <w:szCs w:val="20"/>
              </w:rPr>
            </w:pPr>
            <w:r w:rsidRPr="0070325E">
              <w:rPr>
                <w:rFonts w:ascii="Verdana" w:hAnsi="Verdana"/>
                <w:sz w:val="20"/>
                <w:szCs w:val="20"/>
              </w:rPr>
              <w:t xml:space="preserve">Enhance collaboration among Governments at all levels, development agencies, UN, NGOs, CBOs, persons with disabilities, DPOs, professionals, active citizens, academic institutions, private sector and other key stakeholders to work together and ensure the effective implementation of inclusion within the Sendai Framework at all levels to reduce vulnerabilities and prevent and reduce consequences of disasters. </w:t>
            </w:r>
          </w:p>
          <w:p w14:paraId="4AFA9536" w14:textId="77777777" w:rsidR="009D463F" w:rsidRPr="0070325E" w:rsidRDefault="009D463F" w:rsidP="00C90A47">
            <w:pPr>
              <w:pStyle w:val="Default"/>
              <w:rPr>
                <w:rFonts w:ascii="Verdana" w:hAnsi="Verdana"/>
                <w:sz w:val="20"/>
                <w:szCs w:val="20"/>
              </w:rPr>
            </w:pPr>
          </w:p>
        </w:tc>
      </w:tr>
      <w:tr w:rsidR="009D463F" w:rsidRPr="0070325E" w14:paraId="5F1CBA19" w14:textId="77777777" w:rsidTr="00C90A47">
        <w:tc>
          <w:tcPr>
            <w:tcW w:w="3256" w:type="dxa"/>
          </w:tcPr>
          <w:p w14:paraId="159F16EE" w14:textId="77777777" w:rsidR="009D463F" w:rsidRPr="0070325E" w:rsidRDefault="009D463F" w:rsidP="00C90A47">
            <w:pPr>
              <w:rPr>
                <w:i/>
                <w:iCs/>
                <w:szCs w:val="20"/>
                <w:lang w:val="en-GB"/>
              </w:rPr>
            </w:pPr>
            <w:r w:rsidRPr="0070325E">
              <w:rPr>
                <w:szCs w:val="20"/>
                <w:lang w:val="en-GB"/>
              </w:rPr>
              <w:lastRenderedPageBreak/>
              <w:t>Article 31: Statistic and Data collection</w:t>
            </w:r>
          </w:p>
        </w:tc>
        <w:tc>
          <w:tcPr>
            <w:tcW w:w="2835" w:type="dxa"/>
          </w:tcPr>
          <w:p w14:paraId="133F7198" w14:textId="77777777" w:rsidR="009D463F" w:rsidRPr="0070325E" w:rsidRDefault="009D463F" w:rsidP="00C90A47">
            <w:pPr>
              <w:rPr>
                <w:i/>
                <w:iCs/>
                <w:szCs w:val="20"/>
                <w:lang w:val="en-GB"/>
              </w:rPr>
            </w:pPr>
            <w:r w:rsidRPr="0070325E">
              <w:rPr>
                <w:i/>
                <w:iCs/>
                <w:szCs w:val="20"/>
                <w:lang w:val="en-GB"/>
              </w:rPr>
              <w:t>Integrate sex, age and disability disaggregated data</w:t>
            </w:r>
          </w:p>
          <w:p w14:paraId="03F5927D" w14:textId="77777777" w:rsidR="009D463F" w:rsidRPr="0070325E" w:rsidRDefault="009D463F" w:rsidP="00C90A47">
            <w:pPr>
              <w:rPr>
                <w:b/>
                <w:i/>
                <w:iCs/>
                <w:szCs w:val="20"/>
                <w:lang w:val="en-GB"/>
              </w:rPr>
            </w:pPr>
          </w:p>
          <w:p w14:paraId="7F0176B6" w14:textId="77777777" w:rsidR="009D463F" w:rsidRPr="0070325E" w:rsidRDefault="009D463F" w:rsidP="00C90A47">
            <w:pPr>
              <w:rPr>
                <w:i/>
                <w:iCs/>
                <w:szCs w:val="20"/>
                <w:lang w:val="en-GB"/>
              </w:rPr>
            </w:pPr>
            <w:r w:rsidRPr="0070325E">
              <w:rPr>
                <w:i/>
                <w:iCs/>
                <w:szCs w:val="20"/>
                <w:lang w:val="en-GB"/>
              </w:rPr>
              <w:t>Guiding principles (g)</w:t>
            </w:r>
          </w:p>
        </w:tc>
        <w:tc>
          <w:tcPr>
            <w:tcW w:w="3260" w:type="dxa"/>
          </w:tcPr>
          <w:p w14:paraId="763411E2" w14:textId="77777777" w:rsidR="009D463F" w:rsidRPr="0070325E" w:rsidRDefault="009D463F" w:rsidP="00C90A47">
            <w:pPr>
              <w:pStyle w:val="Default"/>
              <w:rPr>
                <w:rFonts w:ascii="Verdana" w:hAnsi="Verdana"/>
                <w:sz w:val="20"/>
                <w:szCs w:val="20"/>
              </w:rPr>
            </w:pPr>
            <w:r w:rsidRPr="0070325E">
              <w:rPr>
                <w:rFonts w:ascii="Verdana" w:hAnsi="Verdana"/>
                <w:sz w:val="20"/>
                <w:szCs w:val="20"/>
              </w:rPr>
              <w:t>Ensure that governments and other stakeholders establish effective mechanism and guidelines to compile sex, age and disability disaggregated data at pre- and post- disaster situations as an input to the Sendai Monitor and to inform disaster risk management policies and practices at all levels.</w:t>
            </w:r>
          </w:p>
          <w:p w14:paraId="469F0F5A" w14:textId="77777777" w:rsidR="009D463F" w:rsidRPr="0070325E" w:rsidRDefault="009D463F" w:rsidP="00C90A47">
            <w:pPr>
              <w:rPr>
                <w:b/>
                <w:bCs/>
                <w:i/>
                <w:iCs/>
                <w:szCs w:val="20"/>
                <w:lang w:val="en-GB"/>
              </w:rPr>
            </w:pPr>
          </w:p>
        </w:tc>
      </w:tr>
      <w:tr w:rsidR="009D463F" w:rsidRPr="0070325E" w14:paraId="2A548598" w14:textId="77777777" w:rsidTr="00C90A47">
        <w:tc>
          <w:tcPr>
            <w:tcW w:w="3256" w:type="dxa"/>
          </w:tcPr>
          <w:p w14:paraId="6C1C3915" w14:textId="77777777" w:rsidR="009D463F" w:rsidRPr="0070325E" w:rsidRDefault="009D463F" w:rsidP="00C90A47">
            <w:pPr>
              <w:pStyle w:val="Default"/>
              <w:rPr>
                <w:rFonts w:ascii="Verdana" w:hAnsi="Verdana"/>
                <w:sz w:val="20"/>
                <w:szCs w:val="20"/>
              </w:rPr>
            </w:pPr>
            <w:r w:rsidRPr="0070325E">
              <w:rPr>
                <w:rFonts w:ascii="Verdana" w:hAnsi="Verdana"/>
                <w:sz w:val="20"/>
                <w:szCs w:val="20"/>
              </w:rPr>
              <w:t>Article 4: State Obligation</w:t>
            </w:r>
          </w:p>
          <w:p w14:paraId="11C6B8F7" w14:textId="77777777" w:rsidR="009D463F" w:rsidRPr="0070325E" w:rsidRDefault="009D463F" w:rsidP="00C90A47">
            <w:pPr>
              <w:pStyle w:val="Default"/>
              <w:rPr>
                <w:rFonts w:ascii="Verdana" w:hAnsi="Verdana"/>
                <w:sz w:val="20"/>
                <w:szCs w:val="20"/>
              </w:rPr>
            </w:pPr>
            <w:r w:rsidRPr="0070325E">
              <w:rPr>
                <w:rFonts w:ascii="Verdana" w:hAnsi="Verdana"/>
                <w:sz w:val="20"/>
                <w:szCs w:val="20"/>
              </w:rPr>
              <w:t>Article 5: equality and non-discrimination</w:t>
            </w:r>
          </w:p>
          <w:p w14:paraId="0FB2A996" w14:textId="77777777" w:rsidR="009D463F" w:rsidRPr="0070325E" w:rsidRDefault="009D463F" w:rsidP="00C90A47">
            <w:pPr>
              <w:pStyle w:val="Default"/>
              <w:rPr>
                <w:rFonts w:ascii="Verdana" w:hAnsi="Verdana"/>
                <w:sz w:val="20"/>
                <w:szCs w:val="20"/>
              </w:rPr>
            </w:pPr>
            <w:r w:rsidRPr="0070325E">
              <w:rPr>
                <w:rFonts w:ascii="Verdana" w:hAnsi="Verdana"/>
                <w:sz w:val="20"/>
                <w:szCs w:val="20"/>
              </w:rPr>
              <w:t>Article 9: accessibility</w:t>
            </w:r>
          </w:p>
          <w:p w14:paraId="54208867" w14:textId="77777777" w:rsidR="009D463F" w:rsidRPr="0070325E" w:rsidRDefault="009D463F" w:rsidP="00C90A47">
            <w:pPr>
              <w:pStyle w:val="Default"/>
              <w:rPr>
                <w:rFonts w:ascii="Verdana" w:hAnsi="Verdana"/>
                <w:sz w:val="20"/>
                <w:szCs w:val="20"/>
              </w:rPr>
            </w:pPr>
            <w:r w:rsidRPr="0070325E">
              <w:rPr>
                <w:rFonts w:ascii="Verdana" w:hAnsi="Verdana"/>
                <w:sz w:val="20"/>
                <w:szCs w:val="20"/>
              </w:rPr>
              <w:t>Article 19: living independently and being included in the community</w:t>
            </w:r>
          </w:p>
          <w:p w14:paraId="7F1DB7FF" w14:textId="77777777" w:rsidR="009D463F" w:rsidRPr="0070325E" w:rsidRDefault="009D463F" w:rsidP="00C90A47">
            <w:pPr>
              <w:rPr>
                <w:i/>
                <w:iCs/>
                <w:szCs w:val="20"/>
                <w:lang w:val="en-GB"/>
              </w:rPr>
            </w:pPr>
            <w:r w:rsidRPr="0070325E">
              <w:rPr>
                <w:szCs w:val="20"/>
                <w:lang w:val="en-GB"/>
              </w:rPr>
              <w:t>Article 31: Statistic and data collection</w:t>
            </w:r>
          </w:p>
        </w:tc>
        <w:tc>
          <w:tcPr>
            <w:tcW w:w="2835" w:type="dxa"/>
          </w:tcPr>
          <w:p w14:paraId="3228B703" w14:textId="77777777" w:rsidR="009D463F" w:rsidRPr="0070325E" w:rsidRDefault="009D463F" w:rsidP="00C90A47">
            <w:pPr>
              <w:rPr>
                <w:i/>
                <w:iCs/>
                <w:szCs w:val="20"/>
                <w:lang w:val="en-GB"/>
              </w:rPr>
            </w:pPr>
            <w:r w:rsidRPr="0070325E">
              <w:rPr>
                <w:i/>
                <w:iCs/>
                <w:szCs w:val="20"/>
                <w:lang w:val="en-GB"/>
              </w:rPr>
              <w:t>Promote Empowerment and Protection</w:t>
            </w:r>
          </w:p>
          <w:p w14:paraId="5F01ADDA" w14:textId="77777777" w:rsidR="009D463F" w:rsidRPr="0070325E" w:rsidRDefault="009D463F" w:rsidP="00C90A47">
            <w:pPr>
              <w:rPr>
                <w:i/>
                <w:iCs/>
                <w:szCs w:val="20"/>
                <w:lang w:val="en-GB"/>
              </w:rPr>
            </w:pPr>
            <w:r w:rsidRPr="0070325E">
              <w:rPr>
                <w:i/>
                <w:iCs/>
                <w:szCs w:val="20"/>
                <w:lang w:val="en-GB"/>
              </w:rPr>
              <w:t>Paragraph 32</w:t>
            </w:r>
          </w:p>
          <w:p w14:paraId="5E777423" w14:textId="77777777" w:rsidR="009D463F" w:rsidRPr="0070325E" w:rsidRDefault="009D463F" w:rsidP="00C90A47">
            <w:pPr>
              <w:rPr>
                <w:i/>
                <w:iCs/>
                <w:szCs w:val="20"/>
                <w:lang w:val="en-GB"/>
              </w:rPr>
            </w:pPr>
            <w:r w:rsidRPr="0070325E">
              <w:rPr>
                <w:i/>
                <w:iCs/>
                <w:szCs w:val="20"/>
                <w:lang w:val="en-GB"/>
              </w:rPr>
              <w:t>Paragraph 38 (ii)</w:t>
            </w:r>
          </w:p>
        </w:tc>
        <w:tc>
          <w:tcPr>
            <w:tcW w:w="3260" w:type="dxa"/>
          </w:tcPr>
          <w:p w14:paraId="27AF4ACB" w14:textId="77777777" w:rsidR="009D463F" w:rsidRPr="0070325E" w:rsidRDefault="009D463F" w:rsidP="00C90A47">
            <w:pPr>
              <w:pStyle w:val="Default"/>
              <w:rPr>
                <w:rFonts w:ascii="Verdana" w:hAnsi="Verdana"/>
                <w:sz w:val="20"/>
                <w:szCs w:val="20"/>
              </w:rPr>
            </w:pPr>
            <w:r w:rsidRPr="0070325E">
              <w:rPr>
                <w:rFonts w:ascii="Verdana" w:hAnsi="Verdana"/>
                <w:sz w:val="20"/>
                <w:szCs w:val="20"/>
              </w:rPr>
              <w:t xml:space="preserve">Support inclusive community-based disaster risk management initiatives, risk analyses and data banks to facilitate and inform local, national and regional level early warning systems, disaster preparedness plans and social protection programs that are accessible by all. </w:t>
            </w:r>
          </w:p>
          <w:p w14:paraId="0AD50CB0" w14:textId="77777777" w:rsidR="009D463F" w:rsidRPr="0070325E" w:rsidRDefault="009D463F" w:rsidP="00C90A47">
            <w:pPr>
              <w:rPr>
                <w:b/>
                <w:bCs/>
                <w:i/>
                <w:iCs/>
                <w:szCs w:val="20"/>
                <w:lang w:val="en-GB"/>
              </w:rPr>
            </w:pPr>
          </w:p>
        </w:tc>
      </w:tr>
      <w:tr w:rsidR="009D463F" w:rsidRPr="0070325E" w14:paraId="0869FA40" w14:textId="77777777" w:rsidTr="00C90A47">
        <w:tc>
          <w:tcPr>
            <w:tcW w:w="3256" w:type="dxa"/>
          </w:tcPr>
          <w:p w14:paraId="0795E0E7" w14:textId="77777777" w:rsidR="009D463F" w:rsidRPr="0070325E" w:rsidRDefault="009D463F" w:rsidP="00C90A47">
            <w:pPr>
              <w:pStyle w:val="Default"/>
              <w:rPr>
                <w:rFonts w:ascii="Verdana" w:hAnsi="Verdana"/>
                <w:sz w:val="20"/>
                <w:szCs w:val="20"/>
              </w:rPr>
            </w:pPr>
            <w:r w:rsidRPr="0070325E">
              <w:rPr>
                <w:rFonts w:ascii="Verdana" w:hAnsi="Verdana"/>
                <w:sz w:val="20"/>
                <w:szCs w:val="20"/>
              </w:rPr>
              <w:t>Article 9: accessibility</w:t>
            </w:r>
          </w:p>
          <w:p w14:paraId="1BE1B8BD" w14:textId="77777777" w:rsidR="009D463F" w:rsidRPr="0070325E" w:rsidRDefault="009D463F" w:rsidP="00C90A47">
            <w:pPr>
              <w:rPr>
                <w:i/>
                <w:iCs/>
                <w:szCs w:val="20"/>
                <w:lang w:val="en-GB"/>
              </w:rPr>
            </w:pPr>
            <w:r w:rsidRPr="0070325E">
              <w:rPr>
                <w:szCs w:val="20"/>
                <w:lang w:val="en-GB"/>
              </w:rPr>
              <w:t>Article 31: statistic and Data collection</w:t>
            </w:r>
          </w:p>
        </w:tc>
        <w:tc>
          <w:tcPr>
            <w:tcW w:w="2835" w:type="dxa"/>
          </w:tcPr>
          <w:p w14:paraId="3D78F4B1" w14:textId="77777777" w:rsidR="009D463F" w:rsidRPr="0070325E" w:rsidRDefault="009D463F" w:rsidP="00C90A47">
            <w:pPr>
              <w:rPr>
                <w:i/>
                <w:iCs/>
                <w:szCs w:val="20"/>
                <w:lang w:val="en-GB"/>
              </w:rPr>
            </w:pPr>
            <w:r w:rsidRPr="0070325E">
              <w:rPr>
                <w:i/>
                <w:iCs/>
                <w:szCs w:val="20"/>
                <w:lang w:val="en-GB"/>
              </w:rPr>
              <w:t>Removal of barriers to reduce the impact of disasters on persons with disabilities</w:t>
            </w:r>
          </w:p>
          <w:p w14:paraId="644FEF75" w14:textId="77777777" w:rsidR="009D463F" w:rsidRPr="0070325E" w:rsidRDefault="009D463F" w:rsidP="00C90A47">
            <w:pPr>
              <w:rPr>
                <w:i/>
                <w:iCs/>
                <w:szCs w:val="20"/>
                <w:lang w:val="en-GB"/>
              </w:rPr>
            </w:pPr>
            <w:r w:rsidRPr="0070325E">
              <w:rPr>
                <w:i/>
                <w:iCs/>
                <w:szCs w:val="20"/>
                <w:lang w:val="en-GB"/>
              </w:rPr>
              <w:t>Paragraph 30 (c)</w:t>
            </w:r>
          </w:p>
          <w:p w14:paraId="69A24E71" w14:textId="77777777" w:rsidR="009D463F" w:rsidRPr="0070325E" w:rsidRDefault="009D463F" w:rsidP="00C90A47">
            <w:pPr>
              <w:rPr>
                <w:i/>
                <w:iCs/>
                <w:szCs w:val="20"/>
                <w:lang w:val="en-GB"/>
              </w:rPr>
            </w:pPr>
            <w:r w:rsidRPr="0070325E">
              <w:rPr>
                <w:i/>
                <w:iCs/>
                <w:szCs w:val="20"/>
                <w:lang w:val="en-GB"/>
              </w:rPr>
              <w:t>Paragraph 36 (iii)</w:t>
            </w:r>
          </w:p>
        </w:tc>
        <w:tc>
          <w:tcPr>
            <w:tcW w:w="3260" w:type="dxa"/>
          </w:tcPr>
          <w:p w14:paraId="12A83752" w14:textId="77777777" w:rsidR="009D463F" w:rsidRPr="0070325E" w:rsidRDefault="009D463F" w:rsidP="00C90A47">
            <w:pPr>
              <w:pStyle w:val="Default"/>
              <w:rPr>
                <w:rFonts w:ascii="Verdana" w:hAnsi="Verdana"/>
                <w:sz w:val="20"/>
                <w:szCs w:val="20"/>
              </w:rPr>
            </w:pPr>
            <w:r w:rsidRPr="0070325E">
              <w:rPr>
                <w:rFonts w:ascii="Verdana" w:hAnsi="Verdana"/>
                <w:sz w:val="20"/>
                <w:szCs w:val="20"/>
              </w:rPr>
              <w:t>Strengthen the self-reliance of persons with disabilities and care-givers at local and national levels through removing all kinds of barriers (cultural, social, economic, procedural, physical, communication and attitudinal) engaging the private sector, guided by ‘build better’5 approach and resilient universal design and s</w:t>
            </w:r>
            <w:r w:rsidRPr="0070325E">
              <w:rPr>
                <w:rFonts w:ascii="Verdana" w:hAnsi="Verdana"/>
                <w:i/>
                <w:iCs/>
                <w:sz w:val="20"/>
                <w:szCs w:val="20"/>
              </w:rPr>
              <w:t xml:space="preserve">upport to replicate Information, Communication and Technology (ICT) based tools, equipment, devices and intermediate technology for inclusive humanitarian response and disaster risk reduction </w:t>
            </w:r>
          </w:p>
          <w:p w14:paraId="5A5EF857" w14:textId="77777777" w:rsidR="009D463F" w:rsidRPr="0070325E" w:rsidRDefault="009D463F" w:rsidP="00C90A47">
            <w:pPr>
              <w:pStyle w:val="Default"/>
              <w:rPr>
                <w:rFonts w:ascii="Verdana" w:hAnsi="Verdana"/>
                <w:sz w:val="20"/>
                <w:szCs w:val="20"/>
              </w:rPr>
            </w:pPr>
          </w:p>
        </w:tc>
      </w:tr>
      <w:tr w:rsidR="009D463F" w:rsidRPr="0070325E" w14:paraId="1037FEDE" w14:textId="77777777" w:rsidTr="00C90A47">
        <w:tc>
          <w:tcPr>
            <w:tcW w:w="3256" w:type="dxa"/>
          </w:tcPr>
          <w:p w14:paraId="64B21827" w14:textId="77777777" w:rsidR="009D463F" w:rsidRPr="0070325E" w:rsidRDefault="009D463F" w:rsidP="00C90A47">
            <w:pPr>
              <w:rPr>
                <w:i/>
                <w:iCs/>
                <w:szCs w:val="20"/>
                <w:lang w:val="en-GB"/>
              </w:rPr>
            </w:pPr>
            <w:r w:rsidRPr="0070325E">
              <w:rPr>
                <w:szCs w:val="20"/>
                <w:lang w:val="en-GB"/>
              </w:rPr>
              <w:t>Article 4: State Obligations</w:t>
            </w:r>
          </w:p>
        </w:tc>
        <w:tc>
          <w:tcPr>
            <w:tcW w:w="2835" w:type="dxa"/>
          </w:tcPr>
          <w:p w14:paraId="1F558522" w14:textId="77777777" w:rsidR="009D463F" w:rsidRPr="0070325E" w:rsidRDefault="009D463F" w:rsidP="00C90A47">
            <w:pPr>
              <w:rPr>
                <w:i/>
                <w:iCs/>
                <w:szCs w:val="20"/>
                <w:lang w:val="en-GB"/>
              </w:rPr>
            </w:pPr>
            <w:r w:rsidRPr="0070325E">
              <w:rPr>
                <w:i/>
                <w:iCs/>
                <w:szCs w:val="20"/>
                <w:lang w:val="en-GB"/>
              </w:rPr>
              <w:t>Act at Local to National to Global</w:t>
            </w:r>
          </w:p>
        </w:tc>
        <w:tc>
          <w:tcPr>
            <w:tcW w:w="3260" w:type="dxa"/>
          </w:tcPr>
          <w:p w14:paraId="2EE13195" w14:textId="77777777" w:rsidR="009D463F" w:rsidRPr="0070325E" w:rsidRDefault="009D463F" w:rsidP="00C90A47">
            <w:pPr>
              <w:autoSpaceDE w:val="0"/>
              <w:autoSpaceDN w:val="0"/>
              <w:adjustRightInd w:val="0"/>
              <w:rPr>
                <w:color w:val="000000"/>
                <w:szCs w:val="20"/>
                <w:lang w:val="en-GB"/>
              </w:rPr>
            </w:pPr>
            <w:r w:rsidRPr="0070325E">
              <w:rPr>
                <w:color w:val="000000"/>
                <w:szCs w:val="20"/>
                <w:lang w:val="en-GB"/>
              </w:rPr>
              <w:t xml:space="preserve">Take necessary actions to refer, present and endorse the Dhaka Declaration, 2015 and this Declaration of 2018 and include these in the development of national, regional and global road maps, action plans, indicators and terminologies for the implementation of the Sendai Framework. </w:t>
            </w:r>
          </w:p>
        </w:tc>
      </w:tr>
      <w:tr w:rsidR="009D463F" w:rsidRPr="0070325E" w14:paraId="4043127F" w14:textId="77777777" w:rsidTr="00C90A47">
        <w:tc>
          <w:tcPr>
            <w:tcW w:w="3256" w:type="dxa"/>
          </w:tcPr>
          <w:p w14:paraId="4F39470A" w14:textId="77777777" w:rsidR="009D463F" w:rsidRPr="0070325E" w:rsidRDefault="009D463F" w:rsidP="00C90A47">
            <w:pPr>
              <w:pStyle w:val="Default"/>
              <w:rPr>
                <w:rFonts w:ascii="Verdana" w:hAnsi="Verdana"/>
                <w:sz w:val="20"/>
                <w:szCs w:val="20"/>
              </w:rPr>
            </w:pPr>
            <w:r w:rsidRPr="0070325E">
              <w:rPr>
                <w:rFonts w:ascii="Verdana" w:hAnsi="Verdana"/>
                <w:sz w:val="20"/>
                <w:szCs w:val="20"/>
              </w:rPr>
              <w:lastRenderedPageBreak/>
              <w:t>Article 4: state Obligation</w:t>
            </w:r>
          </w:p>
          <w:p w14:paraId="636733E8" w14:textId="77777777" w:rsidR="009D463F" w:rsidRPr="0070325E" w:rsidRDefault="009D463F" w:rsidP="00C90A47">
            <w:pPr>
              <w:rPr>
                <w:i/>
                <w:iCs/>
                <w:szCs w:val="20"/>
                <w:lang w:val="en-GB"/>
              </w:rPr>
            </w:pPr>
          </w:p>
        </w:tc>
        <w:tc>
          <w:tcPr>
            <w:tcW w:w="2835" w:type="dxa"/>
          </w:tcPr>
          <w:p w14:paraId="093F2CFE" w14:textId="77777777" w:rsidR="009D463F" w:rsidRPr="0070325E" w:rsidRDefault="009D463F" w:rsidP="00C90A47">
            <w:pPr>
              <w:rPr>
                <w:i/>
                <w:iCs/>
                <w:szCs w:val="20"/>
                <w:lang w:val="en-GB"/>
              </w:rPr>
            </w:pPr>
          </w:p>
        </w:tc>
        <w:tc>
          <w:tcPr>
            <w:tcW w:w="3260" w:type="dxa"/>
          </w:tcPr>
          <w:p w14:paraId="57ADBA5A" w14:textId="77777777" w:rsidR="009D463F" w:rsidRPr="0070325E" w:rsidRDefault="009D463F" w:rsidP="00C90A47">
            <w:pPr>
              <w:autoSpaceDE w:val="0"/>
              <w:autoSpaceDN w:val="0"/>
              <w:adjustRightInd w:val="0"/>
              <w:rPr>
                <w:color w:val="000000"/>
                <w:szCs w:val="20"/>
                <w:lang w:val="en-GB"/>
              </w:rPr>
            </w:pPr>
            <w:r w:rsidRPr="0070325E">
              <w:rPr>
                <w:color w:val="000000"/>
                <w:szCs w:val="20"/>
                <w:lang w:val="en-GB"/>
              </w:rPr>
              <w:t xml:space="preserve">Declare a focal point for inclusive DRR at the national level in coordination with governments, national and regional DPOs, organizations working on disability and DRR with a priority intention to review progress achieved against this declaration and progress towards inclusive implementation of the Sendai Framework </w:t>
            </w:r>
          </w:p>
          <w:p w14:paraId="3ED303BC" w14:textId="77777777" w:rsidR="009D463F" w:rsidRPr="0070325E" w:rsidRDefault="009D463F" w:rsidP="00C90A47">
            <w:pPr>
              <w:autoSpaceDE w:val="0"/>
              <w:autoSpaceDN w:val="0"/>
              <w:adjustRightInd w:val="0"/>
              <w:rPr>
                <w:color w:val="000000"/>
                <w:szCs w:val="20"/>
                <w:lang w:val="en-GB"/>
              </w:rPr>
            </w:pPr>
          </w:p>
        </w:tc>
      </w:tr>
      <w:tr w:rsidR="009D463F" w:rsidRPr="0070325E" w14:paraId="53792825" w14:textId="77777777" w:rsidTr="00C90A47">
        <w:tc>
          <w:tcPr>
            <w:tcW w:w="3256" w:type="dxa"/>
          </w:tcPr>
          <w:p w14:paraId="68296BC0" w14:textId="77777777" w:rsidR="009D463F" w:rsidRPr="0070325E" w:rsidRDefault="009D463F" w:rsidP="00C90A47">
            <w:pPr>
              <w:rPr>
                <w:i/>
                <w:iCs/>
                <w:szCs w:val="20"/>
                <w:lang w:val="en-GB"/>
              </w:rPr>
            </w:pPr>
            <w:r w:rsidRPr="0070325E">
              <w:rPr>
                <w:szCs w:val="20"/>
                <w:lang w:val="en-GB"/>
              </w:rPr>
              <w:t>Article 32: International Cooperation</w:t>
            </w:r>
          </w:p>
        </w:tc>
        <w:tc>
          <w:tcPr>
            <w:tcW w:w="2835" w:type="dxa"/>
          </w:tcPr>
          <w:p w14:paraId="181787E2" w14:textId="77777777" w:rsidR="009D463F" w:rsidRPr="00A13391" w:rsidRDefault="009D463F" w:rsidP="00C90A47">
            <w:pPr>
              <w:rPr>
                <w:i/>
                <w:iCs/>
                <w:szCs w:val="20"/>
                <w:lang w:val="de-DE"/>
              </w:rPr>
            </w:pPr>
            <w:r w:rsidRPr="00A13391">
              <w:rPr>
                <w:i/>
                <w:iCs/>
                <w:szCs w:val="20"/>
                <w:lang w:val="de-DE"/>
              </w:rPr>
              <w:t>Paragraph 24 (g)</w:t>
            </w:r>
          </w:p>
          <w:p w14:paraId="59C4A87D" w14:textId="77777777" w:rsidR="009D463F" w:rsidRPr="00A13391" w:rsidRDefault="009D463F" w:rsidP="00C90A47">
            <w:pPr>
              <w:rPr>
                <w:i/>
                <w:iCs/>
                <w:szCs w:val="20"/>
                <w:lang w:val="de-DE"/>
              </w:rPr>
            </w:pPr>
            <w:r w:rsidRPr="00A13391">
              <w:rPr>
                <w:i/>
                <w:iCs/>
                <w:szCs w:val="20"/>
                <w:lang w:val="de-DE"/>
              </w:rPr>
              <w:t>Paragraph 25 (f)</w:t>
            </w:r>
          </w:p>
          <w:p w14:paraId="6880B6DF" w14:textId="77777777" w:rsidR="009D463F" w:rsidRPr="00A13391" w:rsidRDefault="009D463F" w:rsidP="00C90A47">
            <w:pPr>
              <w:rPr>
                <w:i/>
                <w:iCs/>
                <w:szCs w:val="20"/>
                <w:lang w:val="de-DE"/>
              </w:rPr>
            </w:pPr>
            <w:r w:rsidRPr="00A13391">
              <w:rPr>
                <w:i/>
                <w:iCs/>
                <w:szCs w:val="20"/>
                <w:lang w:val="de-DE"/>
              </w:rPr>
              <w:t>Paragraph 28 (e)</w:t>
            </w:r>
          </w:p>
          <w:p w14:paraId="2CF485B2" w14:textId="77777777" w:rsidR="009D463F" w:rsidRPr="0070325E" w:rsidRDefault="009D463F" w:rsidP="00C90A47">
            <w:pPr>
              <w:rPr>
                <w:i/>
                <w:iCs/>
                <w:szCs w:val="20"/>
                <w:lang w:val="en-GB"/>
              </w:rPr>
            </w:pPr>
            <w:r w:rsidRPr="0070325E">
              <w:rPr>
                <w:i/>
                <w:iCs/>
                <w:szCs w:val="20"/>
                <w:lang w:val="en-GB"/>
              </w:rPr>
              <w:t>Paragraph 34 (d)</w:t>
            </w:r>
          </w:p>
          <w:p w14:paraId="3BB9BABB" w14:textId="77777777" w:rsidR="009D463F" w:rsidRPr="0070325E" w:rsidRDefault="009D463F" w:rsidP="00C90A47">
            <w:pPr>
              <w:rPr>
                <w:i/>
                <w:iCs/>
                <w:szCs w:val="20"/>
                <w:lang w:val="en-GB"/>
              </w:rPr>
            </w:pPr>
            <w:r w:rsidRPr="0070325E">
              <w:rPr>
                <w:i/>
                <w:iCs/>
                <w:szCs w:val="20"/>
                <w:lang w:val="en-GB"/>
              </w:rPr>
              <w:t>Paragraph 48 (i)</w:t>
            </w:r>
          </w:p>
        </w:tc>
        <w:tc>
          <w:tcPr>
            <w:tcW w:w="3260" w:type="dxa"/>
          </w:tcPr>
          <w:p w14:paraId="5F3D7332" w14:textId="77777777" w:rsidR="009D463F" w:rsidRPr="0070325E" w:rsidRDefault="009D463F" w:rsidP="00C90A47">
            <w:pPr>
              <w:autoSpaceDE w:val="0"/>
              <w:autoSpaceDN w:val="0"/>
              <w:adjustRightInd w:val="0"/>
              <w:rPr>
                <w:color w:val="000000"/>
                <w:szCs w:val="20"/>
                <w:lang w:val="en-GB"/>
              </w:rPr>
            </w:pPr>
            <w:r w:rsidRPr="0070325E">
              <w:rPr>
                <w:color w:val="000000"/>
                <w:szCs w:val="20"/>
                <w:lang w:val="en-GB"/>
              </w:rPr>
              <w:t>Take initiatives for knowledge sharing and learning among and between DPOs, governments and government departments, UN agencies, private sector, academicians, researchers, NGOs and other stakeholders to better address disability inclusion in DRM and Humanitarian action.</w:t>
            </w:r>
          </w:p>
        </w:tc>
      </w:tr>
    </w:tbl>
    <w:p w14:paraId="11688377" w14:textId="77777777" w:rsidR="009D463F" w:rsidRDefault="009D463F" w:rsidP="00351359">
      <w:pPr>
        <w:jc w:val="both"/>
        <w:rPr>
          <w:color w:val="333333"/>
          <w:shd w:val="clear" w:color="auto" w:fill="FFFFFF"/>
        </w:rPr>
      </w:pPr>
    </w:p>
    <w:p w14:paraId="78C09F0F" w14:textId="77777777" w:rsidR="00351359" w:rsidRPr="00351359" w:rsidRDefault="00351359" w:rsidP="00351359">
      <w:pPr>
        <w:jc w:val="both"/>
        <w:rPr>
          <w:color w:val="333333"/>
          <w:shd w:val="clear" w:color="auto" w:fill="FFFFFF"/>
        </w:rPr>
      </w:pPr>
    </w:p>
    <w:p w14:paraId="07672CB6" w14:textId="58A85F5C" w:rsidR="006339E4" w:rsidRDefault="006339E4" w:rsidP="006339E4">
      <w:pPr>
        <w:pStyle w:val="ListParagraph"/>
        <w:numPr>
          <w:ilvl w:val="0"/>
          <w:numId w:val="1"/>
        </w:numPr>
        <w:spacing w:before="100" w:beforeAutospacing="1" w:after="100" w:afterAutospacing="1"/>
        <w:rPr>
          <w:rFonts w:asciiTheme="minorHAnsi" w:eastAsia="Times New Roman" w:hAnsiTheme="minorHAnsi" w:cstheme="minorHAnsi"/>
          <w:b/>
          <w:bCs/>
          <w:color w:val="1F3864" w:themeColor="accent1" w:themeShade="80"/>
          <w:shd w:val="clear" w:color="auto" w:fill="FFFFFF"/>
        </w:rPr>
      </w:pPr>
      <w:r w:rsidRPr="006339E4">
        <w:rPr>
          <w:rFonts w:asciiTheme="minorHAnsi" w:eastAsia="Times New Roman" w:hAnsiTheme="minorHAnsi" w:cstheme="minorHAnsi"/>
          <w:b/>
          <w:bCs/>
          <w:color w:val="1F3864" w:themeColor="accent1" w:themeShade="80"/>
          <w:shd w:val="clear" w:color="auto" w:fill="FFFFFF"/>
        </w:rPr>
        <w:t xml:space="preserve">Please indicate at least 5 issues, topics, </w:t>
      </w:r>
      <w:r w:rsidR="00610A1B" w:rsidRPr="006339E4">
        <w:rPr>
          <w:rFonts w:asciiTheme="minorHAnsi" w:eastAsia="Times New Roman" w:hAnsiTheme="minorHAnsi" w:cstheme="minorHAnsi"/>
          <w:b/>
          <w:bCs/>
          <w:color w:val="1F3864" w:themeColor="accent1" w:themeShade="80"/>
          <w:shd w:val="clear" w:color="auto" w:fill="FFFFFF"/>
        </w:rPr>
        <w:t>comments,</w:t>
      </w:r>
      <w:r w:rsidRPr="006339E4">
        <w:rPr>
          <w:rFonts w:asciiTheme="minorHAnsi" w:eastAsia="Times New Roman" w:hAnsiTheme="minorHAnsi" w:cstheme="minorHAnsi"/>
          <w:b/>
          <w:bCs/>
          <w:color w:val="1F3864" w:themeColor="accent1" w:themeShade="80"/>
          <w:shd w:val="clear" w:color="auto" w:fill="FFFFFF"/>
        </w:rPr>
        <w:t xml:space="preserve"> or recommendations your organization considers critical for the Committee to include in the draft general comment.</w:t>
      </w:r>
    </w:p>
    <w:p w14:paraId="2FFAF55A" w14:textId="77777777" w:rsidR="00C55CAC" w:rsidRDefault="00C55CAC" w:rsidP="00C55CAC">
      <w:pPr>
        <w:pStyle w:val="ListParagraph"/>
        <w:spacing w:before="100" w:beforeAutospacing="1" w:after="100" w:afterAutospacing="1"/>
        <w:rPr>
          <w:rFonts w:asciiTheme="minorHAnsi" w:eastAsia="Times New Roman" w:hAnsiTheme="minorHAnsi" w:cstheme="minorHAnsi"/>
          <w:b/>
          <w:bCs/>
          <w:color w:val="1F3864" w:themeColor="accent1" w:themeShade="80"/>
          <w:shd w:val="clear" w:color="auto" w:fill="FFFFFF"/>
        </w:rPr>
      </w:pPr>
    </w:p>
    <w:p w14:paraId="32CCA8E6" w14:textId="77777777" w:rsidR="002779C1" w:rsidRDefault="002779C1" w:rsidP="00E42EE1">
      <w:pPr>
        <w:pStyle w:val="ListParagraph"/>
        <w:spacing w:before="100" w:beforeAutospacing="1" w:after="100" w:afterAutospacing="1"/>
        <w:ind w:left="1080"/>
        <w:rPr>
          <w:rFonts w:asciiTheme="minorHAnsi" w:eastAsia="Times New Roman" w:hAnsiTheme="minorHAnsi" w:cstheme="minorHAnsi"/>
          <w:color w:val="1F3864" w:themeColor="accent1" w:themeShade="80"/>
          <w:shd w:val="clear" w:color="auto" w:fill="FFFFFF"/>
        </w:rPr>
      </w:pPr>
    </w:p>
    <w:p w14:paraId="5925232C" w14:textId="6124117D" w:rsidR="0DBFCB81" w:rsidRPr="00E827C0" w:rsidRDefault="0DBFCB81" w:rsidP="044C0BF8">
      <w:pPr>
        <w:pStyle w:val="ListParagraph"/>
        <w:numPr>
          <w:ilvl w:val="1"/>
          <w:numId w:val="11"/>
        </w:numPr>
        <w:tabs>
          <w:tab w:val="clear" w:pos="1440"/>
          <w:tab w:val="num" w:pos="1080"/>
        </w:tabs>
        <w:spacing w:beforeAutospacing="1" w:afterAutospacing="1"/>
        <w:ind w:left="1080"/>
        <w:rPr>
          <w:rFonts w:asciiTheme="minorHAnsi" w:eastAsia="Times New Roman" w:hAnsiTheme="minorHAnsi" w:cstheme="minorBidi"/>
        </w:rPr>
      </w:pPr>
      <w:r w:rsidRPr="00E827C0">
        <w:rPr>
          <w:rFonts w:asciiTheme="minorHAnsi" w:eastAsia="Times New Roman" w:hAnsiTheme="minorHAnsi" w:cstheme="minorBidi"/>
        </w:rPr>
        <w:t xml:space="preserve">A clear articulation of the scope of art. 11 and its application to include preventative measures </w:t>
      </w:r>
      <w:r w:rsidR="401BB60C" w:rsidRPr="00E827C0">
        <w:rPr>
          <w:rFonts w:asciiTheme="minorHAnsi" w:eastAsia="Times New Roman" w:hAnsiTheme="minorHAnsi" w:cstheme="minorBidi"/>
        </w:rPr>
        <w:t>aimed at preventing the creation of new risk and reducing existing risk, before risk materialises into a disaster</w:t>
      </w:r>
      <w:r w:rsidR="5E130DD6" w:rsidRPr="00E827C0">
        <w:rPr>
          <w:rFonts w:asciiTheme="minorHAnsi" w:eastAsia="Times New Roman" w:hAnsiTheme="minorHAnsi" w:cstheme="minorBidi"/>
        </w:rPr>
        <w:t xml:space="preserve"> situation and humanitarian emergency</w:t>
      </w:r>
      <w:r w:rsidR="401BB60C" w:rsidRPr="00E827C0">
        <w:rPr>
          <w:rFonts w:asciiTheme="minorHAnsi" w:eastAsia="Times New Roman" w:hAnsiTheme="minorHAnsi" w:cstheme="minorBidi"/>
        </w:rPr>
        <w:t>.</w:t>
      </w:r>
      <w:r w:rsidR="25D4BF09" w:rsidRPr="00E827C0">
        <w:rPr>
          <w:rFonts w:asciiTheme="minorHAnsi" w:eastAsia="Times New Roman" w:hAnsiTheme="minorHAnsi" w:cstheme="minorBidi"/>
        </w:rPr>
        <w:t xml:space="preserve"> </w:t>
      </w:r>
      <w:r w:rsidR="690065F7" w:rsidRPr="00E827C0">
        <w:rPr>
          <w:rFonts w:asciiTheme="minorHAnsi" w:eastAsia="Times New Roman" w:hAnsiTheme="minorHAnsi" w:cstheme="minorBidi"/>
        </w:rPr>
        <w:t>An explicit recognition of article 11 as founda</w:t>
      </w:r>
      <w:r w:rsidR="6F66FC5B" w:rsidRPr="00E827C0">
        <w:rPr>
          <w:rFonts w:asciiTheme="minorHAnsi" w:eastAsia="Times New Roman" w:hAnsiTheme="minorHAnsi" w:cstheme="minorBidi"/>
        </w:rPr>
        <w:t>tional in</w:t>
      </w:r>
      <w:r w:rsidR="690065F7" w:rsidRPr="00E827C0">
        <w:rPr>
          <w:rFonts w:asciiTheme="minorHAnsi" w:eastAsia="Times New Roman" w:hAnsiTheme="minorHAnsi" w:cstheme="minorBidi"/>
        </w:rPr>
        <w:t xml:space="preserve"> international law </w:t>
      </w:r>
      <w:r w:rsidR="128DA829" w:rsidRPr="00E827C0">
        <w:rPr>
          <w:rFonts w:asciiTheme="minorHAnsi" w:eastAsia="Times New Roman" w:hAnsiTheme="minorHAnsi" w:cstheme="minorBidi"/>
        </w:rPr>
        <w:t>of a legal obligation to reduce disaster risk.</w:t>
      </w:r>
      <w:r w:rsidR="690065F7" w:rsidRPr="00E827C0">
        <w:rPr>
          <w:rFonts w:asciiTheme="minorHAnsi" w:eastAsia="Times New Roman" w:hAnsiTheme="minorHAnsi" w:cstheme="minorBidi"/>
        </w:rPr>
        <w:t xml:space="preserve"> </w:t>
      </w:r>
      <w:r w:rsidR="25D4BF09" w:rsidRPr="00E827C0">
        <w:rPr>
          <w:rFonts w:asciiTheme="minorHAnsi" w:eastAsia="Times New Roman" w:hAnsiTheme="minorHAnsi" w:cstheme="minorBidi"/>
        </w:rPr>
        <w:t>And a recognition of the inherent interconnection between promoting and protecting human rights and reducing disaster risk.</w:t>
      </w:r>
    </w:p>
    <w:p w14:paraId="226FFFEE" w14:textId="3BC3517D" w:rsidR="044C0BF8" w:rsidRPr="00E827C0" w:rsidRDefault="044C0BF8" w:rsidP="00E827C0">
      <w:pPr>
        <w:tabs>
          <w:tab w:val="num" w:pos="1080"/>
        </w:tabs>
        <w:spacing w:beforeAutospacing="1" w:afterAutospacing="1"/>
        <w:rPr>
          <w:rFonts w:asciiTheme="minorHAnsi" w:eastAsia="Times New Roman" w:hAnsiTheme="minorHAnsi" w:cstheme="minorBidi"/>
        </w:rPr>
      </w:pPr>
    </w:p>
    <w:p w14:paraId="0EA89C76" w14:textId="5C86B8EF" w:rsidR="00C55CAC" w:rsidRPr="00E827C0" w:rsidRDefault="006D0057" w:rsidP="00E42EE1">
      <w:pPr>
        <w:pStyle w:val="ListParagraph"/>
        <w:numPr>
          <w:ilvl w:val="1"/>
          <w:numId w:val="11"/>
        </w:numPr>
        <w:tabs>
          <w:tab w:val="clear" w:pos="1440"/>
          <w:tab w:val="num" w:pos="1080"/>
        </w:tabs>
        <w:spacing w:before="100" w:beforeAutospacing="1" w:after="100" w:afterAutospacing="1"/>
        <w:ind w:left="1080"/>
        <w:rPr>
          <w:rFonts w:asciiTheme="minorHAnsi" w:eastAsia="Times New Roman" w:hAnsiTheme="minorHAnsi" w:cstheme="minorHAnsi"/>
          <w:shd w:val="clear" w:color="auto" w:fill="FFFFFF"/>
        </w:rPr>
      </w:pPr>
      <w:r w:rsidRPr="00E827C0">
        <w:rPr>
          <w:rFonts w:asciiTheme="minorHAnsi" w:eastAsia="Times New Roman" w:hAnsiTheme="minorHAnsi" w:cstheme="minorBidi"/>
          <w:shd w:val="clear" w:color="auto" w:fill="FFFFFF"/>
        </w:rPr>
        <w:t>S</w:t>
      </w:r>
      <w:r w:rsidR="00C55CAC" w:rsidRPr="00E827C0">
        <w:rPr>
          <w:rFonts w:asciiTheme="minorHAnsi" w:eastAsia="Times New Roman" w:hAnsiTheme="minorHAnsi" w:cstheme="minorBidi"/>
          <w:shd w:val="clear" w:color="auto" w:fill="FFFFFF"/>
        </w:rPr>
        <w:t>trengthening support to CSOs, OPDs and National Human Rights Institutions (NHRIs)</w:t>
      </w:r>
      <w:r w:rsidR="008D54B6" w:rsidRPr="00E827C0">
        <w:rPr>
          <w:rFonts w:asciiTheme="minorHAnsi" w:eastAsia="Times New Roman" w:hAnsiTheme="minorHAnsi" w:cstheme="minorBidi"/>
          <w:shd w:val="clear" w:color="auto" w:fill="FFFFFF"/>
        </w:rPr>
        <w:t xml:space="preserve"> on Disaster Risk Reduction and at the same time increas</w:t>
      </w:r>
      <w:r w:rsidR="00670248" w:rsidRPr="00E827C0">
        <w:rPr>
          <w:rFonts w:asciiTheme="minorHAnsi" w:eastAsia="Times New Roman" w:hAnsiTheme="minorHAnsi" w:cstheme="minorBidi"/>
          <w:shd w:val="clear" w:color="auto" w:fill="FFFFFF"/>
        </w:rPr>
        <w:t>ing</w:t>
      </w:r>
      <w:r w:rsidR="008D54B6" w:rsidRPr="00E827C0">
        <w:rPr>
          <w:rFonts w:asciiTheme="minorHAnsi" w:eastAsia="Times New Roman" w:hAnsiTheme="minorHAnsi" w:cstheme="minorBidi"/>
          <w:shd w:val="clear" w:color="auto" w:fill="FFFFFF"/>
        </w:rPr>
        <w:t xml:space="preserve"> </w:t>
      </w:r>
      <w:r w:rsidR="00146E07" w:rsidRPr="00E827C0">
        <w:rPr>
          <w:rFonts w:asciiTheme="minorHAnsi" w:eastAsia="Times New Roman" w:hAnsiTheme="minorHAnsi" w:cstheme="minorBidi"/>
          <w:shd w:val="clear" w:color="auto" w:fill="FFFFFF"/>
        </w:rPr>
        <w:t xml:space="preserve">capacity on disability inclusive disaster risk reduction </w:t>
      </w:r>
      <w:r w:rsidR="00670248" w:rsidRPr="00E827C0">
        <w:rPr>
          <w:rFonts w:asciiTheme="minorHAnsi" w:eastAsia="Times New Roman" w:hAnsiTheme="minorHAnsi" w:cstheme="minorBidi"/>
          <w:shd w:val="clear" w:color="auto" w:fill="FFFFFF"/>
        </w:rPr>
        <w:t>for</w:t>
      </w:r>
      <w:r w:rsidR="00C55CAC" w:rsidRPr="00E827C0">
        <w:rPr>
          <w:rFonts w:asciiTheme="minorHAnsi" w:eastAsia="Times New Roman" w:hAnsiTheme="minorHAnsi" w:cstheme="minorBidi"/>
          <w:shd w:val="clear" w:color="auto" w:fill="FFFFFF"/>
        </w:rPr>
        <w:t xml:space="preserve"> National </w:t>
      </w:r>
      <w:r w:rsidR="008116AA" w:rsidRPr="00E827C0">
        <w:rPr>
          <w:rFonts w:asciiTheme="minorHAnsi" w:eastAsia="Times New Roman" w:hAnsiTheme="minorHAnsi" w:cstheme="minorBidi"/>
          <w:shd w:val="clear" w:color="auto" w:fill="FFFFFF"/>
        </w:rPr>
        <w:t>Disaster Risk Reduction</w:t>
      </w:r>
      <w:r w:rsidR="00C55CAC" w:rsidRPr="00E827C0">
        <w:rPr>
          <w:rFonts w:asciiTheme="minorHAnsi" w:eastAsia="Times New Roman" w:hAnsiTheme="minorHAnsi" w:cstheme="minorBidi"/>
          <w:shd w:val="clear" w:color="auto" w:fill="FFFFFF"/>
        </w:rPr>
        <w:t xml:space="preserve"> Focal Points, so they are able to fulfil their vital role in this respect</w:t>
      </w:r>
    </w:p>
    <w:p w14:paraId="7C2757F0" w14:textId="77777777" w:rsidR="006D0057" w:rsidRPr="00E827C0" w:rsidRDefault="006D0057" w:rsidP="00E42EE1">
      <w:pPr>
        <w:pStyle w:val="ListParagraph"/>
        <w:spacing w:before="100" w:beforeAutospacing="1" w:after="100" w:afterAutospacing="1"/>
        <w:ind w:left="1080"/>
        <w:rPr>
          <w:rFonts w:asciiTheme="minorHAnsi" w:eastAsia="Times New Roman" w:hAnsiTheme="minorHAnsi" w:cstheme="minorHAnsi"/>
          <w:shd w:val="clear" w:color="auto" w:fill="FFFFFF"/>
        </w:rPr>
      </w:pPr>
    </w:p>
    <w:p w14:paraId="65D5DB7D" w14:textId="5F63BAC6" w:rsidR="00253E5C" w:rsidRPr="00E827C0" w:rsidRDefault="006D0057" w:rsidP="00E42EE1">
      <w:pPr>
        <w:pStyle w:val="ListParagraph"/>
        <w:numPr>
          <w:ilvl w:val="1"/>
          <w:numId w:val="11"/>
        </w:numPr>
        <w:tabs>
          <w:tab w:val="clear" w:pos="1440"/>
          <w:tab w:val="num" w:pos="1080"/>
        </w:tabs>
        <w:spacing w:before="100" w:beforeAutospacing="1" w:after="100" w:afterAutospacing="1"/>
        <w:ind w:left="1080"/>
        <w:rPr>
          <w:rFonts w:asciiTheme="minorHAnsi" w:eastAsia="Times New Roman" w:hAnsiTheme="minorHAnsi" w:cstheme="minorHAnsi"/>
          <w:shd w:val="clear" w:color="auto" w:fill="FFFFFF"/>
        </w:rPr>
      </w:pPr>
      <w:r w:rsidRPr="00E827C0">
        <w:rPr>
          <w:rFonts w:asciiTheme="minorHAnsi" w:eastAsia="Times New Roman" w:hAnsiTheme="minorHAnsi" w:cstheme="minorBidi"/>
          <w:shd w:val="clear" w:color="auto" w:fill="FFFFFF"/>
        </w:rPr>
        <w:t>R</w:t>
      </w:r>
      <w:r w:rsidR="00253E5C" w:rsidRPr="00E827C0">
        <w:rPr>
          <w:rFonts w:asciiTheme="minorHAnsi" w:eastAsia="Times New Roman" w:hAnsiTheme="minorHAnsi" w:cstheme="minorBidi"/>
          <w:shd w:val="clear" w:color="auto" w:fill="FFFFFF"/>
        </w:rPr>
        <w:t xml:space="preserve">einforcing the follow up of the CRPD Committees’ Concluding Observations by all stakeholders including through the engagement of the National </w:t>
      </w:r>
      <w:r w:rsidR="008116AA" w:rsidRPr="00E827C0">
        <w:rPr>
          <w:rFonts w:asciiTheme="minorHAnsi" w:eastAsia="Times New Roman" w:hAnsiTheme="minorHAnsi" w:cstheme="minorBidi"/>
          <w:shd w:val="clear" w:color="auto" w:fill="FFFFFF"/>
        </w:rPr>
        <w:t xml:space="preserve">Disaster Risk Reduction </w:t>
      </w:r>
      <w:r w:rsidR="00253E5C" w:rsidRPr="00E827C0">
        <w:rPr>
          <w:rFonts w:asciiTheme="minorHAnsi" w:eastAsia="Times New Roman" w:hAnsiTheme="minorHAnsi" w:cstheme="minorBidi"/>
          <w:shd w:val="clear" w:color="auto" w:fill="FFFFFF"/>
        </w:rPr>
        <w:t>Focal Points as relevant</w:t>
      </w:r>
    </w:p>
    <w:p w14:paraId="5F36D1E8" w14:textId="77777777" w:rsidR="006D0057" w:rsidRPr="00E827C0" w:rsidRDefault="006D0057" w:rsidP="00E42EE1">
      <w:pPr>
        <w:pStyle w:val="ListParagraph"/>
        <w:ind w:left="360"/>
        <w:rPr>
          <w:rFonts w:asciiTheme="minorHAnsi" w:eastAsia="Times New Roman" w:hAnsiTheme="minorHAnsi" w:cstheme="minorHAnsi"/>
          <w:shd w:val="clear" w:color="auto" w:fill="FFFFFF"/>
        </w:rPr>
      </w:pPr>
    </w:p>
    <w:p w14:paraId="07C0C8E7" w14:textId="3C2517E4" w:rsidR="00253E5C" w:rsidRPr="00E827C0" w:rsidRDefault="006D0057" w:rsidP="00E42EE1">
      <w:pPr>
        <w:pStyle w:val="ListParagraph"/>
        <w:numPr>
          <w:ilvl w:val="1"/>
          <w:numId w:val="11"/>
        </w:numPr>
        <w:tabs>
          <w:tab w:val="clear" w:pos="1440"/>
          <w:tab w:val="num" w:pos="1080"/>
        </w:tabs>
        <w:spacing w:before="100" w:beforeAutospacing="1" w:after="100" w:afterAutospacing="1"/>
        <w:ind w:left="1080"/>
        <w:rPr>
          <w:rFonts w:asciiTheme="minorHAnsi" w:eastAsia="Times New Roman" w:hAnsiTheme="minorHAnsi" w:cstheme="minorHAnsi"/>
          <w:shd w:val="clear" w:color="auto" w:fill="FFFFFF"/>
        </w:rPr>
      </w:pPr>
      <w:r w:rsidRPr="00E827C0">
        <w:rPr>
          <w:rFonts w:asciiTheme="minorHAnsi" w:eastAsia="Times New Roman" w:hAnsiTheme="minorHAnsi" w:cstheme="minorBidi"/>
          <w:shd w:val="clear" w:color="auto" w:fill="FFFFFF"/>
        </w:rPr>
        <w:t>Enhancing international cooperation, especially to assist developing countries, to ensure adequate and sustainable support as is provided in line with Target F of the Sendai Framework.</w:t>
      </w:r>
    </w:p>
    <w:p w14:paraId="4B5477D6" w14:textId="77777777" w:rsidR="003C0BB7" w:rsidRPr="00E827C0" w:rsidRDefault="003C0BB7" w:rsidP="00E42EE1">
      <w:pPr>
        <w:pStyle w:val="ListParagraph"/>
        <w:ind w:left="360"/>
        <w:rPr>
          <w:rFonts w:asciiTheme="minorHAnsi" w:eastAsia="Times New Roman" w:hAnsiTheme="minorHAnsi" w:cstheme="minorHAnsi"/>
          <w:shd w:val="clear" w:color="auto" w:fill="FFFFFF"/>
        </w:rPr>
      </w:pPr>
    </w:p>
    <w:p w14:paraId="4BB962D9" w14:textId="77777777" w:rsidR="00E81C7A" w:rsidRPr="00E827C0" w:rsidRDefault="00E81C7A" w:rsidP="00E81C7A">
      <w:pPr>
        <w:pStyle w:val="ListParagraph"/>
        <w:numPr>
          <w:ilvl w:val="1"/>
          <w:numId w:val="11"/>
        </w:numPr>
        <w:tabs>
          <w:tab w:val="clear" w:pos="1440"/>
          <w:tab w:val="num" w:pos="1080"/>
        </w:tabs>
        <w:ind w:left="1080"/>
        <w:rPr>
          <w:rFonts w:asciiTheme="minorHAnsi" w:eastAsia="Times New Roman" w:hAnsiTheme="minorHAnsi" w:cstheme="minorHAnsi"/>
          <w:shd w:val="clear" w:color="auto" w:fill="FFFFFF"/>
        </w:rPr>
      </w:pPr>
      <w:r w:rsidRPr="00E827C0">
        <w:rPr>
          <w:rFonts w:asciiTheme="minorHAnsi" w:eastAsia="Times New Roman" w:hAnsiTheme="minorHAnsi" w:cstheme="minorBidi"/>
          <w:shd w:val="clear" w:color="auto" w:fill="FFFFFF"/>
        </w:rPr>
        <w:lastRenderedPageBreak/>
        <w:t xml:space="preserve">Declare a focal point for inclusive DRR at the national level in coordination with governments, national and regional DPOs, organizations working on disability and DRR with a priority intention to review progress achieved against this declaration and progress towards inclusive implementation of the Sendai Framework </w:t>
      </w:r>
    </w:p>
    <w:p w14:paraId="75B5E8D4" w14:textId="77777777" w:rsidR="00E81C7A" w:rsidRPr="00E827C0" w:rsidRDefault="00E81C7A" w:rsidP="00E81C7A">
      <w:pPr>
        <w:pStyle w:val="ListParagraph"/>
        <w:rPr>
          <w:rFonts w:asciiTheme="minorHAnsi" w:eastAsia="Times New Roman" w:hAnsiTheme="minorHAnsi" w:cstheme="minorHAnsi"/>
          <w:shd w:val="clear" w:color="auto" w:fill="FFFFFF"/>
        </w:rPr>
      </w:pPr>
    </w:p>
    <w:p w14:paraId="0EB28BD2" w14:textId="3E3DD3B4" w:rsidR="000A1EAE" w:rsidRPr="00E827C0" w:rsidRDefault="003E7700" w:rsidP="00C90A47">
      <w:pPr>
        <w:pStyle w:val="ListParagraph"/>
        <w:numPr>
          <w:ilvl w:val="1"/>
          <w:numId w:val="11"/>
        </w:numPr>
        <w:tabs>
          <w:tab w:val="clear" w:pos="1440"/>
          <w:tab w:val="num" w:pos="1080"/>
        </w:tabs>
        <w:spacing w:before="100" w:beforeAutospacing="1" w:after="100" w:afterAutospacing="1"/>
        <w:ind w:left="1080"/>
        <w:rPr>
          <w:rFonts w:asciiTheme="minorHAnsi" w:eastAsia="Times New Roman" w:hAnsiTheme="minorHAnsi" w:cstheme="minorHAnsi"/>
          <w:shd w:val="clear" w:color="auto" w:fill="FFFFFF"/>
        </w:rPr>
      </w:pPr>
      <w:r w:rsidRPr="00E827C0">
        <w:rPr>
          <w:rFonts w:asciiTheme="minorHAnsi" w:eastAsia="Times New Roman" w:hAnsiTheme="minorHAnsi" w:cstheme="minorBidi"/>
          <w:shd w:val="clear" w:color="auto" w:fill="FFFFFF"/>
        </w:rPr>
        <w:t xml:space="preserve">Develop standard </w:t>
      </w:r>
      <w:r w:rsidR="00613DEB" w:rsidRPr="00E827C0">
        <w:rPr>
          <w:rFonts w:asciiTheme="minorHAnsi" w:eastAsia="Times New Roman" w:hAnsiTheme="minorHAnsi" w:cstheme="minorBidi"/>
          <w:shd w:val="clear" w:color="auto" w:fill="FFFFFF"/>
        </w:rPr>
        <w:t>operational</w:t>
      </w:r>
      <w:r w:rsidRPr="00E827C0">
        <w:rPr>
          <w:rFonts w:asciiTheme="minorHAnsi" w:eastAsia="Times New Roman" w:hAnsiTheme="minorHAnsi" w:cstheme="minorBidi"/>
          <w:shd w:val="clear" w:color="auto" w:fill="FFFFFF"/>
        </w:rPr>
        <w:t xml:space="preserve"> procedures and trainings on collecting </w:t>
      </w:r>
      <w:r w:rsidR="00613DEB" w:rsidRPr="00E827C0">
        <w:rPr>
          <w:rFonts w:asciiTheme="minorHAnsi" w:eastAsia="Times New Roman" w:hAnsiTheme="minorHAnsi" w:cstheme="minorBidi"/>
          <w:shd w:val="clear" w:color="auto" w:fill="FFFFFF"/>
        </w:rPr>
        <w:t xml:space="preserve">sex, age and disability </w:t>
      </w:r>
      <w:r w:rsidR="006E1461" w:rsidRPr="00E827C0">
        <w:rPr>
          <w:rFonts w:asciiTheme="minorHAnsi" w:eastAsia="Times New Roman" w:hAnsiTheme="minorHAnsi" w:cstheme="minorBidi"/>
          <w:shd w:val="clear" w:color="auto" w:fill="FFFFFF"/>
        </w:rPr>
        <w:t>disaggreg</w:t>
      </w:r>
      <w:r w:rsidR="00613DEB" w:rsidRPr="00E827C0">
        <w:rPr>
          <w:rFonts w:asciiTheme="minorHAnsi" w:eastAsia="Times New Roman" w:hAnsiTheme="minorHAnsi" w:cstheme="minorBidi"/>
          <w:shd w:val="clear" w:color="auto" w:fill="FFFFFF"/>
        </w:rPr>
        <w:t xml:space="preserve">ated </w:t>
      </w:r>
      <w:r w:rsidR="006E1461" w:rsidRPr="00E827C0">
        <w:rPr>
          <w:rFonts w:asciiTheme="minorHAnsi" w:eastAsia="Times New Roman" w:hAnsiTheme="minorHAnsi" w:cstheme="minorBidi"/>
          <w:shd w:val="clear" w:color="auto" w:fill="FFFFFF"/>
        </w:rPr>
        <w:t>data set</w:t>
      </w:r>
      <w:r w:rsidR="00613DEB" w:rsidRPr="00E827C0">
        <w:rPr>
          <w:rFonts w:asciiTheme="minorHAnsi" w:eastAsia="Times New Roman" w:hAnsiTheme="minorHAnsi" w:cstheme="minorBidi"/>
          <w:shd w:val="clear" w:color="auto" w:fill="FFFFFF"/>
        </w:rPr>
        <w:t xml:space="preserve"> by involving </w:t>
      </w:r>
      <w:r w:rsidR="006E1461" w:rsidRPr="00E827C0">
        <w:rPr>
          <w:rFonts w:asciiTheme="minorHAnsi" w:eastAsia="Times New Roman" w:hAnsiTheme="minorHAnsi" w:cstheme="minorBidi"/>
          <w:shd w:val="clear" w:color="auto" w:fill="FFFFFF"/>
        </w:rPr>
        <w:t xml:space="preserve">accurate representation of the experiences of persons with disabilities. </w:t>
      </w:r>
    </w:p>
    <w:p w14:paraId="4A8941EA" w14:textId="77777777" w:rsidR="000A1EAE" w:rsidRPr="000A1EAE" w:rsidRDefault="000A1EAE" w:rsidP="000A1EAE">
      <w:pPr>
        <w:spacing w:before="100" w:beforeAutospacing="1" w:after="100" w:afterAutospacing="1"/>
        <w:rPr>
          <w:rFonts w:asciiTheme="minorHAnsi" w:eastAsia="Times New Roman" w:hAnsiTheme="minorHAnsi" w:cstheme="minorHAnsi"/>
          <w:color w:val="1F3864" w:themeColor="accent1" w:themeShade="80"/>
          <w:shd w:val="clear" w:color="auto" w:fill="FFFFFF"/>
        </w:rPr>
      </w:pPr>
    </w:p>
    <w:p w14:paraId="3150EF0D" w14:textId="0F6DAE00" w:rsidR="003177E3" w:rsidRDefault="00A15813" w:rsidP="00A15813">
      <w:pPr>
        <w:jc w:val="center"/>
        <w:rPr>
          <w:rFonts w:asciiTheme="minorHAnsi" w:eastAsia="Times New Roman" w:hAnsiTheme="minorHAnsi" w:cstheme="minorHAnsi"/>
          <w:color w:val="1F3864" w:themeColor="accent1" w:themeShade="80"/>
          <w:shd w:val="clear" w:color="auto" w:fill="FFFFFF"/>
        </w:rPr>
      </w:pPr>
      <w:r>
        <w:rPr>
          <w:rFonts w:asciiTheme="minorHAnsi" w:eastAsia="Times New Roman" w:hAnsiTheme="minorHAnsi" w:cstheme="minorHAnsi"/>
          <w:color w:val="1F3864" w:themeColor="accent1" w:themeShade="80"/>
          <w:shd w:val="clear" w:color="auto" w:fill="FFFFFF"/>
        </w:rPr>
        <w:t>____________</w:t>
      </w:r>
    </w:p>
    <w:p w14:paraId="7DB8FD7A" w14:textId="5959A0FE" w:rsidR="0001324A" w:rsidRDefault="0001324A" w:rsidP="00A15813">
      <w:pPr>
        <w:jc w:val="center"/>
      </w:pPr>
    </w:p>
    <w:p w14:paraId="5E820AB6" w14:textId="3DE1CB2C" w:rsidR="0001324A" w:rsidRDefault="0001324A" w:rsidP="00A15813">
      <w:pPr>
        <w:jc w:val="center"/>
      </w:pPr>
    </w:p>
    <w:p w14:paraId="18DC6865" w14:textId="77777777" w:rsidR="000932F8" w:rsidRDefault="000932F8" w:rsidP="00A15813">
      <w:pPr>
        <w:jc w:val="center"/>
      </w:pPr>
    </w:p>
    <w:sectPr w:rsidR="000932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1A3A" w14:textId="77777777" w:rsidR="009D139E" w:rsidRDefault="009D139E" w:rsidP="00D273D8">
      <w:r>
        <w:separator/>
      </w:r>
    </w:p>
  </w:endnote>
  <w:endnote w:type="continuationSeparator" w:id="0">
    <w:p w14:paraId="735D7F26" w14:textId="77777777" w:rsidR="009D139E" w:rsidRDefault="009D139E" w:rsidP="00D273D8">
      <w:r>
        <w:continuationSeparator/>
      </w:r>
    </w:p>
  </w:endnote>
  <w:endnote w:type="continuationNotice" w:id="1">
    <w:p w14:paraId="10C35E42" w14:textId="77777777" w:rsidR="009D139E" w:rsidRDefault="009D1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oboto">
    <w:panose1 w:val="00000000000000000000"/>
    <w:charset w:val="00"/>
    <w:family w:val="auto"/>
    <w:pitch w:val="variable"/>
    <w:sig w:usb0="E00002E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F5291" w14:textId="77777777" w:rsidR="009D139E" w:rsidRDefault="009D139E" w:rsidP="00D273D8">
      <w:r>
        <w:separator/>
      </w:r>
    </w:p>
  </w:footnote>
  <w:footnote w:type="continuationSeparator" w:id="0">
    <w:p w14:paraId="05769F71" w14:textId="77777777" w:rsidR="009D139E" w:rsidRDefault="009D139E" w:rsidP="00D273D8">
      <w:r>
        <w:continuationSeparator/>
      </w:r>
    </w:p>
  </w:footnote>
  <w:footnote w:type="continuationNotice" w:id="1">
    <w:p w14:paraId="5BD8224C" w14:textId="77777777" w:rsidR="009D139E" w:rsidRDefault="009D139E"/>
  </w:footnote>
  <w:footnote w:id="2">
    <w:p w14:paraId="537162C3" w14:textId="7D861996" w:rsidR="009F1421" w:rsidRPr="00D60567" w:rsidRDefault="009F1421" w:rsidP="009F1421">
      <w:pPr>
        <w:pStyle w:val="FootnoteText"/>
        <w:rPr>
          <w:color w:val="000000" w:themeColor="text1"/>
        </w:rPr>
      </w:pPr>
      <w:r w:rsidRPr="00D60567">
        <w:rPr>
          <w:rStyle w:val="FootnoteReference"/>
          <w:color w:val="000000" w:themeColor="text1"/>
        </w:rPr>
        <w:footnoteRef/>
      </w:r>
      <w:r w:rsidRPr="00D60567">
        <w:rPr>
          <w:color w:val="000000" w:themeColor="text1"/>
        </w:rPr>
        <w:t xml:space="preserve"> See </w:t>
      </w:r>
      <w:r w:rsidR="00C77EC3" w:rsidRPr="00D60567">
        <w:rPr>
          <w:color w:val="000000" w:themeColor="text1"/>
        </w:rPr>
        <w:t>i.e.</w:t>
      </w:r>
      <w:r w:rsidRPr="00D60567">
        <w:rPr>
          <w:color w:val="000000" w:themeColor="text1"/>
        </w:rPr>
        <w:t xml:space="preserve"> Global Humanitarian Overview 2021, </w:t>
      </w:r>
      <w:hyperlink r:id="rId1" w:history="1">
        <w:r w:rsidRPr="00D60567">
          <w:rPr>
            <w:rStyle w:val="Hyperlink"/>
            <w:color w:val="000000" w:themeColor="text1"/>
          </w:rPr>
          <w:t>https://2021.gho.unocha.org/global-trends/persons-disabilities/</w:t>
        </w:r>
      </w:hyperlink>
      <w:r w:rsidRPr="00D60567">
        <w:rPr>
          <w:color w:val="000000" w:themeColor="text1"/>
        </w:rPr>
        <w:t xml:space="preserve"> </w:t>
      </w:r>
    </w:p>
  </w:footnote>
  <w:footnote w:id="3">
    <w:p w14:paraId="3FE6A569" w14:textId="77777777" w:rsidR="009F1421" w:rsidRPr="00D60567" w:rsidRDefault="009F1421" w:rsidP="009F1421">
      <w:pPr>
        <w:rPr>
          <w:color w:val="000000" w:themeColor="text1"/>
          <w:sz w:val="20"/>
          <w:szCs w:val="20"/>
        </w:rPr>
      </w:pPr>
      <w:r w:rsidRPr="00D60567">
        <w:rPr>
          <w:rStyle w:val="FootnoteReference"/>
          <w:color w:val="000000" w:themeColor="text1"/>
          <w:sz w:val="20"/>
          <w:szCs w:val="20"/>
        </w:rPr>
        <w:footnoteRef/>
      </w:r>
      <w:r w:rsidRPr="00D60567">
        <w:rPr>
          <w:color w:val="000000" w:themeColor="text1"/>
          <w:sz w:val="20"/>
          <w:szCs w:val="20"/>
        </w:rPr>
        <w:t xml:space="preserve"> </w:t>
      </w:r>
      <w:r w:rsidRPr="00D60567">
        <w:rPr>
          <w:color w:val="000000" w:themeColor="text1"/>
          <w:sz w:val="20"/>
          <w:szCs w:val="20"/>
          <w:shd w:val="clear" w:color="auto" w:fill="FFFFFF"/>
        </w:rPr>
        <w:t>Disability is referenced in various parts of the SDGs and specifically in parts related to education, growth and employment, inequality, accessibility of human settlements, as well as data collection and monitoring of the SDGs, for instance goal 4, 8, 10, 11, 17, see also the preamble of the Paris Climate Change Agreement (2015) with a reference to the rights of persons with disabilities.</w:t>
      </w:r>
    </w:p>
  </w:footnote>
  <w:footnote w:id="4">
    <w:p w14:paraId="0E648D6E" w14:textId="6F028723" w:rsidR="009F1421" w:rsidRPr="00D60567" w:rsidRDefault="009F1421" w:rsidP="009F1421">
      <w:pPr>
        <w:jc w:val="both"/>
        <w:rPr>
          <w:color w:val="000000" w:themeColor="text1"/>
          <w:sz w:val="20"/>
          <w:szCs w:val="20"/>
        </w:rPr>
      </w:pPr>
      <w:r w:rsidRPr="00D60567">
        <w:rPr>
          <w:rStyle w:val="FootnoteReference"/>
          <w:color w:val="000000" w:themeColor="text1"/>
          <w:sz w:val="20"/>
          <w:szCs w:val="20"/>
        </w:rPr>
        <w:footnoteRef/>
      </w:r>
      <w:r w:rsidRPr="00D60567">
        <w:rPr>
          <w:color w:val="000000" w:themeColor="text1"/>
        </w:rPr>
        <w:t xml:space="preserve"> </w:t>
      </w:r>
      <w:r w:rsidRPr="00D60567">
        <w:rPr>
          <w:color w:val="000000" w:themeColor="text1"/>
          <w:sz w:val="20"/>
          <w:szCs w:val="20"/>
        </w:rPr>
        <w:t xml:space="preserve">See </w:t>
      </w:r>
      <w:r w:rsidR="00C77EC3" w:rsidRPr="00D60567">
        <w:rPr>
          <w:color w:val="000000" w:themeColor="text1"/>
          <w:sz w:val="20"/>
          <w:szCs w:val="20"/>
        </w:rPr>
        <w:t>i.e.</w:t>
      </w:r>
      <w:r w:rsidRPr="00D60567">
        <w:rPr>
          <w:color w:val="000000" w:themeColor="text1"/>
          <w:sz w:val="20"/>
          <w:szCs w:val="20"/>
        </w:rPr>
        <w:t xml:space="preserve"> Inter-Agency Standing Committee-guidelines (IASC) guidelines on the inclusion of persons with disabilities in humanitarian action (2019), </w:t>
      </w:r>
      <w:r w:rsidRPr="00D60567">
        <w:rPr>
          <w:color w:val="000000" w:themeColor="text1"/>
          <w:sz w:val="20"/>
          <w:szCs w:val="20"/>
          <w:shd w:val="clear" w:color="auto" w:fill="FFFFFF"/>
        </w:rPr>
        <w:t>The Charter on Inclusion of Persons with Disabilities in Humanitarian action (2016),</w:t>
      </w:r>
      <w:r>
        <w:rPr>
          <w:color w:val="000000" w:themeColor="text1"/>
          <w:sz w:val="20"/>
          <w:szCs w:val="20"/>
          <w:shd w:val="clear" w:color="auto" w:fill="FFFFFF"/>
        </w:rPr>
        <w:t xml:space="preserve"> </w:t>
      </w:r>
      <w:r w:rsidRPr="00D60567">
        <w:rPr>
          <w:color w:val="000000" w:themeColor="text1"/>
          <w:sz w:val="20"/>
          <w:szCs w:val="20"/>
          <w:shd w:val="clear" w:color="auto" w:fill="FFFFFF"/>
        </w:rPr>
        <w:t xml:space="preserve">and Sphere Handbook (SPHERE 2011). </w:t>
      </w:r>
      <w:r w:rsidRPr="00D60567">
        <w:rPr>
          <w:color w:val="000000" w:themeColor="text1"/>
          <w:sz w:val="20"/>
          <w:szCs w:val="20"/>
        </w:rPr>
        <w:t xml:space="preserve">Also, regional policy instruments have addressed the rights and needs of people with disabilities in disasters, for example, the Verona Charter on the Rescue of Persons with Disabilities in Case of Disasters (2007), the Incheon Strategy to ‘Make the Right Real’ for Persons with Disabilities in Asia and the Pacific (2012). </w:t>
      </w:r>
    </w:p>
  </w:footnote>
  <w:footnote w:id="5">
    <w:p w14:paraId="42927819" w14:textId="77777777" w:rsidR="009F1421" w:rsidRPr="00D60567" w:rsidRDefault="009F1421" w:rsidP="009F1421">
      <w:pPr>
        <w:pStyle w:val="FootnoteText"/>
        <w:rPr>
          <w:color w:val="000000" w:themeColor="text1"/>
        </w:rPr>
      </w:pPr>
      <w:r w:rsidRPr="00D60567">
        <w:rPr>
          <w:rStyle w:val="FootnoteReference"/>
          <w:color w:val="000000" w:themeColor="text1"/>
        </w:rPr>
        <w:footnoteRef/>
      </w:r>
      <w:r w:rsidRPr="00D60567">
        <w:rPr>
          <w:color w:val="000000" w:themeColor="text1"/>
        </w:rPr>
        <w:t xml:space="preserve"> The Sendai Framework is the successor instrument to the Hyogo Framework for Action (HFC) 2005-2015. The Sendai Framework was adopted at the Third UN World Conference in Sendai, Japan on 18 March 2015.</w:t>
      </w:r>
    </w:p>
  </w:footnote>
  <w:footnote w:id="6">
    <w:p w14:paraId="08162755" w14:textId="77777777" w:rsidR="009F1421" w:rsidRPr="00D60567" w:rsidRDefault="009F1421" w:rsidP="009F1421">
      <w:pPr>
        <w:jc w:val="both"/>
        <w:rPr>
          <w:color w:val="000000" w:themeColor="text1"/>
          <w:sz w:val="20"/>
          <w:szCs w:val="20"/>
        </w:rPr>
      </w:pPr>
      <w:r w:rsidRPr="00D60567">
        <w:rPr>
          <w:rStyle w:val="FootnoteReference"/>
          <w:color w:val="000000" w:themeColor="text1"/>
          <w:sz w:val="20"/>
          <w:szCs w:val="20"/>
        </w:rPr>
        <w:footnoteRef/>
      </w:r>
      <w:r w:rsidRPr="00D60567">
        <w:rPr>
          <w:color w:val="000000" w:themeColor="text1"/>
          <w:sz w:val="20"/>
          <w:szCs w:val="20"/>
        </w:rPr>
        <w:t xml:space="preserve"> </w:t>
      </w:r>
      <w:r w:rsidRPr="00D60567">
        <w:rPr>
          <w:color w:val="000000" w:themeColor="text1"/>
          <w:sz w:val="20"/>
          <w:szCs w:val="20"/>
          <w:shd w:val="clear" w:color="auto" w:fill="FFFFFF"/>
        </w:rPr>
        <w:t>See “Article 11 of the Convention on the rights of persons with disabilities (CRPD): legal frameworks guiding inclusive humanitarian actions and guidance for CRPD reporting”, CBM, HI, IDA (May 2020), p. 23 and further.</w:t>
      </w:r>
    </w:p>
  </w:footnote>
  <w:footnote w:id="7">
    <w:p w14:paraId="54EFAFF5" w14:textId="77777777" w:rsidR="009F1421" w:rsidRPr="00D60567" w:rsidRDefault="009F1421" w:rsidP="009F1421">
      <w:pPr>
        <w:jc w:val="both"/>
        <w:rPr>
          <w:color w:val="000000" w:themeColor="text1"/>
          <w:sz w:val="20"/>
          <w:szCs w:val="20"/>
        </w:rPr>
      </w:pPr>
      <w:r w:rsidRPr="00D60567">
        <w:rPr>
          <w:rStyle w:val="FootnoteReference"/>
          <w:color w:val="000000" w:themeColor="text1"/>
          <w:sz w:val="20"/>
          <w:szCs w:val="20"/>
        </w:rPr>
        <w:footnoteRef/>
      </w:r>
      <w:r w:rsidRPr="00D60567">
        <w:rPr>
          <w:color w:val="000000" w:themeColor="text1"/>
          <w:sz w:val="20"/>
          <w:szCs w:val="20"/>
        </w:rPr>
        <w:t xml:space="preserve"> See “Disability inclusion and disaster risk reduction, overcoming barriers to progress” (briefing note), John Twigg, Maria Kett and Emma Lovell (July 2018). </w:t>
      </w:r>
    </w:p>
  </w:footnote>
  <w:footnote w:id="8">
    <w:p w14:paraId="6DF295A1" w14:textId="77777777" w:rsidR="00A46552" w:rsidRPr="00E6719D" w:rsidRDefault="00A46552" w:rsidP="00A46552">
      <w:pPr>
        <w:pStyle w:val="FootnoteText"/>
        <w:rPr>
          <w:color w:val="000000" w:themeColor="text1"/>
        </w:rPr>
      </w:pPr>
      <w:r w:rsidRPr="00E6719D">
        <w:rPr>
          <w:rStyle w:val="FootnoteReference"/>
          <w:color w:val="000000" w:themeColor="text1"/>
        </w:rPr>
        <w:footnoteRef/>
      </w:r>
      <w:r w:rsidRPr="00E6719D">
        <w:rPr>
          <w:color w:val="000000" w:themeColor="text1"/>
        </w:rPr>
        <w:t xml:space="preserve"> See “The Sendai Framework for Disaster Risk Reduction and persons with disabilities”, Laura Stough and Donghyun Kang, in International Journal of Disaster Risk Science (June 2015).</w:t>
      </w:r>
    </w:p>
  </w:footnote>
  <w:footnote w:id="9">
    <w:p w14:paraId="0E634298" w14:textId="77777777" w:rsidR="00A46552" w:rsidRPr="00E6719D" w:rsidRDefault="00A46552" w:rsidP="00A46552">
      <w:pPr>
        <w:jc w:val="both"/>
        <w:rPr>
          <w:color w:val="000000" w:themeColor="text1"/>
          <w:sz w:val="20"/>
          <w:szCs w:val="20"/>
        </w:rPr>
      </w:pPr>
      <w:r w:rsidRPr="00E6719D">
        <w:rPr>
          <w:rStyle w:val="FootnoteReference"/>
          <w:b/>
          <w:color w:val="000000" w:themeColor="text1"/>
          <w:sz w:val="20"/>
          <w:szCs w:val="20"/>
        </w:rPr>
        <w:footnoteRef/>
      </w:r>
      <w:r w:rsidRPr="00E6719D">
        <w:rPr>
          <w:b/>
          <w:color w:val="000000" w:themeColor="text1"/>
          <w:sz w:val="20"/>
          <w:szCs w:val="20"/>
        </w:rPr>
        <w:t xml:space="preserve"> </w:t>
      </w:r>
      <w:r w:rsidRPr="00E6719D">
        <w:rPr>
          <w:color w:val="000000" w:themeColor="text1"/>
          <w:sz w:val="20"/>
          <w:szCs w:val="20"/>
        </w:rPr>
        <w:t>See i.a. “Disability inclusion and disaster risk reduction, overcoming barriers to progress” (briefing note), John Twigg, Maria Kett and Emma Lovell (July 2018), p.5, and the Sendai Framework, specifically priorities 2 and 4.</w:t>
      </w:r>
    </w:p>
  </w:footnote>
  <w:footnote w:id="10">
    <w:p w14:paraId="10FE7380" w14:textId="77777777" w:rsidR="00A46552" w:rsidRPr="00E6719D" w:rsidRDefault="00A46552" w:rsidP="00A46552">
      <w:pPr>
        <w:pStyle w:val="FootnoteText"/>
        <w:rPr>
          <w:color w:val="000000" w:themeColor="text1"/>
        </w:rPr>
      </w:pPr>
      <w:r w:rsidRPr="00E6719D">
        <w:rPr>
          <w:rStyle w:val="FootnoteReference"/>
          <w:color w:val="000000" w:themeColor="text1"/>
        </w:rPr>
        <w:footnoteRef/>
      </w:r>
      <w:r w:rsidRPr="00E6719D">
        <w:rPr>
          <w:color w:val="000000" w:themeColor="text1"/>
        </w:rPr>
        <w:t xml:space="preserve"> See para 36 of the Sendai Framework, also references in paras, 7, 19 and 32 of the Sendai Framework.</w:t>
      </w:r>
    </w:p>
  </w:footnote>
  <w:footnote w:id="11">
    <w:p w14:paraId="49C1015D" w14:textId="77777777" w:rsidR="00564B24" w:rsidRPr="00E6719D" w:rsidRDefault="00564B24" w:rsidP="00564B24">
      <w:pPr>
        <w:pStyle w:val="FootnoteText"/>
        <w:rPr>
          <w:color w:val="000000" w:themeColor="text1"/>
        </w:rPr>
      </w:pPr>
      <w:r w:rsidRPr="00E6719D">
        <w:rPr>
          <w:rStyle w:val="FootnoteReference"/>
          <w:color w:val="000000" w:themeColor="text1"/>
        </w:rPr>
        <w:footnoteRef/>
      </w:r>
      <w:r w:rsidRPr="00E6719D">
        <w:rPr>
          <w:color w:val="000000" w:themeColor="text1"/>
        </w:rPr>
        <w:t xml:space="preserve"> See </w:t>
      </w:r>
      <w:r>
        <w:rPr>
          <w:color w:val="000000" w:themeColor="text1"/>
        </w:rPr>
        <w:t xml:space="preserve">for example </w:t>
      </w:r>
      <w:r w:rsidRPr="00E6719D">
        <w:rPr>
          <w:color w:val="000000" w:themeColor="text1"/>
        </w:rPr>
        <w:t>Global Platform for Disaster Risk Reduction, Co-Chairs’ summary, Bali Agenda to Resilience: Towards Sustainable Development for all in a Covid Transformed World (Co-Chairs’Summary), May 2022</w:t>
      </w:r>
      <w:r>
        <w:rPr>
          <w:color w:val="000000" w:themeColor="text1"/>
        </w:rPr>
        <w:t>.</w:t>
      </w:r>
      <w:r w:rsidRPr="00E6719D">
        <w:rPr>
          <w:color w:val="000000" w:themeColor="text1"/>
        </w:rPr>
        <w:t xml:space="preserve"> </w:t>
      </w:r>
    </w:p>
  </w:footnote>
  <w:footnote w:id="12">
    <w:p w14:paraId="0C5E232E" w14:textId="77777777" w:rsidR="00564B24" w:rsidRPr="00E6719D" w:rsidRDefault="00564B24" w:rsidP="00564B24">
      <w:pPr>
        <w:pStyle w:val="FootnoteText"/>
        <w:rPr>
          <w:color w:val="000000" w:themeColor="text1"/>
        </w:rPr>
      </w:pPr>
      <w:r w:rsidRPr="00E6719D">
        <w:rPr>
          <w:rStyle w:val="FootnoteReference"/>
          <w:color w:val="000000" w:themeColor="text1"/>
        </w:rPr>
        <w:footnoteRef/>
      </w:r>
      <w:r w:rsidRPr="00E6719D">
        <w:rPr>
          <w:color w:val="000000" w:themeColor="text1"/>
        </w:rPr>
        <w:t xml:space="preserve"> See Global Platform for Disaster Risk Reduction Co-Chairs’ Summary (May 2022), para 11 and further.</w:t>
      </w:r>
    </w:p>
  </w:footnote>
  <w:footnote w:id="13">
    <w:p w14:paraId="47A93C94" w14:textId="77777777" w:rsidR="003D6905" w:rsidRPr="00E6719D" w:rsidRDefault="003D6905" w:rsidP="003D6905">
      <w:pPr>
        <w:pStyle w:val="FootnoteText"/>
        <w:rPr>
          <w:color w:val="000000" w:themeColor="text1"/>
        </w:rPr>
      </w:pPr>
      <w:r w:rsidRPr="00E6719D">
        <w:rPr>
          <w:rStyle w:val="FootnoteReference"/>
          <w:color w:val="000000" w:themeColor="text1"/>
        </w:rPr>
        <w:footnoteRef/>
      </w:r>
      <w:r w:rsidRPr="00E6719D">
        <w:rPr>
          <w:color w:val="000000" w:themeColor="text1"/>
        </w:rPr>
        <w:t xml:space="preserve"> The </w:t>
      </w:r>
      <w:r w:rsidRPr="00E6719D">
        <w:rPr>
          <w:color w:val="000000" w:themeColor="text1"/>
          <w:shd w:val="clear" w:color="auto" w:fill="FFFFFF"/>
        </w:rPr>
        <w:t>Dhaka Declarations (2015 and 2018) are an example of</w:t>
      </w:r>
      <w:r w:rsidRPr="00E6719D">
        <w:rPr>
          <w:color w:val="000000" w:themeColor="text1"/>
        </w:rPr>
        <w:t xml:space="preserve"> efforts made to strengthen the connection between the Sendai Framework and the CRPD, to reduce vulnerabilities and prevent and reduce consequences of disasters for persons with disabilities. The </w:t>
      </w:r>
      <w:r w:rsidRPr="00E6719D">
        <w:rPr>
          <w:color w:val="000000" w:themeColor="text1"/>
          <w:shd w:val="clear" w:color="auto" w:fill="FFFFFF"/>
        </w:rPr>
        <w:t>Dhaka Declaration (2015), which evolved version Dhaka Declaration+ was adopted in May 2018 through the 2</w:t>
      </w:r>
      <w:r w:rsidRPr="00E6719D">
        <w:rPr>
          <w:color w:val="000000" w:themeColor="text1"/>
          <w:shd w:val="clear" w:color="auto" w:fill="FFFFFF"/>
          <w:vertAlign w:val="superscript"/>
        </w:rPr>
        <w:t>nd</w:t>
      </w:r>
      <w:r w:rsidRPr="00E6719D">
        <w:rPr>
          <w:color w:val="000000" w:themeColor="text1"/>
          <w:shd w:val="clear" w:color="auto" w:fill="FFFFFF"/>
        </w:rPr>
        <w:t xml:space="preserve"> International Conference on Disability and Disaster Risk Management</w:t>
      </w:r>
      <w:r w:rsidRPr="00E6719D">
        <w:rPr>
          <w:color w:val="000000" w:themeColor="text1"/>
        </w:rPr>
        <w:t>, Bangladesh, May 15 - 17, 2018 by the participants from 32 countries, including members from Governments, groups and organizations of persons with disabilities, representatives from UN agencies, UNESCAP, regional and international non-government organizations</w:t>
      </w:r>
      <w:r w:rsidRPr="00E6719D">
        <w:rPr>
          <w:rFonts w:ascii="Roboto" w:hAnsi="Roboto"/>
          <w:color w:val="000000" w:themeColor="text1"/>
          <w:shd w:val="clear" w:color="auto" w:fill="FFFFFF"/>
        </w:rPr>
        <w:t>.</w:t>
      </w:r>
    </w:p>
  </w:footnote>
  <w:footnote w:id="14">
    <w:p w14:paraId="54265F57" w14:textId="77777777" w:rsidR="003C696B" w:rsidRPr="000A594B" w:rsidRDefault="003C696B" w:rsidP="003C696B">
      <w:pPr>
        <w:pStyle w:val="FootnoteText"/>
        <w:rPr>
          <w:lang w:val="es-ES"/>
        </w:rPr>
      </w:pPr>
      <w:r>
        <w:rPr>
          <w:rStyle w:val="FootnoteReference"/>
        </w:rPr>
        <w:footnoteRef/>
      </w:r>
      <w:r>
        <w:t xml:space="preserve"> See: GAR 2022 Our World at Risk: Transforming Governance for a Resilient Future; GAR 2019; GAR 2015 </w:t>
      </w:r>
      <w:r w:rsidRPr="00DC4F88">
        <w:t>Making Development Sustainable: The Future of Disaster Risk Management</w:t>
      </w:r>
      <w:r>
        <w:rPr>
          <w:lang w:val="es-ES"/>
        </w:rPr>
        <w:t xml:space="preserve">, </w:t>
      </w:r>
      <w:r w:rsidRPr="00DC4F88">
        <w:rPr>
          <w:lang w:val="es-ES"/>
        </w:rPr>
        <w:t>https://www.undrr.org/global-assessment-report-disaster-risk-reduction-gar</w:t>
      </w:r>
    </w:p>
  </w:footnote>
  <w:footnote w:id="15">
    <w:p w14:paraId="1441D823" w14:textId="5E6CF04F" w:rsidR="044C0BF8" w:rsidRDefault="044C0BF8" w:rsidP="0090692A">
      <w:pPr>
        <w:pStyle w:val="FootnoteText"/>
      </w:pPr>
      <w:r w:rsidRPr="044C0BF8">
        <w:rPr>
          <w:rStyle w:val="FootnoteReference"/>
        </w:rPr>
        <w:footnoteRef/>
      </w:r>
      <w:r>
        <w:t xml:space="preserve"> ”Each State shall reduce the risk of disasters by taking appropriate measures, including through legislation and regulations, to prevent, mitigate, and prepare for disasters..."</w:t>
      </w:r>
    </w:p>
  </w:footnote>
  <w:footnote w:id="16">
    <w:p w14:paraId="7CE3801D" w14:textId="0E6ACC66" w:rsidR="00870BF4" w:rsidRPr="00D60567" w:rsidRDefault="00870BF4" w:rsidP="00870BF4">
      <w:pPr>
        <w:pStyle w:val="FootnoteText"/>
        <w:rPr>
          <w:color w:val="000000" w:themeColor="text1"/>
          <w:shd w:val="clear" w:color="auto" w:fill="FFFFFF"/>
        </w:rPr>
      </w:pPr>
      <w:r w:rsidRPr="00D60567">
        <w:rPr>
          <w:rStyle w:val="FootnoteReference"/>
          <w:color w:val="000000" w:themeColor="text1"/>
        </w:rPr>
        <w:footnoteRef/>
      </w:r>
      <w:r w:rsidRPr="00D60567">
        <w:rPr>
          <w:color w:val="000000" w:themeColor="text1"/>
        </w:rPr>
        <w:t xml:space="preserve"> </w:t>
      </w:r>
      <w:r w:rsidRPr="00D60567">
        <w:rPr>
          <w:color w:val="000000" w:themeColor="text1"/>
          <w:shd w:val="clear" w:color="auto" w:fill="FFFFFF"/>
        </w:rPr>
        <w:t xml:space="preserve">See </w:t>
      </w:r>
      <w:r w:rsidRPr="00D60567">
        <w:rPr>
          <w:color w:val="000000" w:themeColor="text1"/>
        </w:rPr>
        <w:t xml:space="preserve">“The relationship between Human Rights and Disaster Risk Reduction revisited: Bringing the legal perspective into the Discussion”, Karen Da Costa and Paulina Pospieszna, in Journal of International Humanitarian Legal Studies (May 2015); if accountability mechanisms are in </w:t>
      </w:r>
      <w:r w:rsidR="00D918DB" w:rsidRPr="00D60567">
        <w:rPr>
          <w:color w:val="000000" w:themeColor="text1"/>
        </w:rPr>
        <w:t>place,</w:t>
      </w:r>
      <w:r w:rsidRPr="00D60567">
        <w:rPr>
          <w:color w:val="000000" w:themeColor="text1"/>
        </w:rPr>
        <w:t xml:space="preserve"> they are likely to increase instances in which state can be held responsible.</w:t>
      </w:r>
    </w:p>
  </w:footnote>
  <w:footnote w:id="17">
    <w:p w14:paraId="3EB6E33A" w14:textId="77777777" w:rsidR="00870BF4" w:rsidRPr="00D60567" w:rsidRDefault="00870BF4" w:rsidP="00870BF4">
      <w:pPr>
        <w:pStyle w:val="FootnoteText"/>
        <w:rPr>
          <w:color w:val="000000" w:themeColor="text1"/>
          <w:shd w:val="clear" w:color="auto" w:fill="FFFFFF"/>
        </w:rPr>
      </w:pPr>
      <w:r w:rsidRPr="00D60567">
        <w:rPr>
          <w:rStyle w:val="FootnoteReference"/>
          <w:color w:val="000000" w:themeColor="text1"/>
        </w:rPr>
        <w:footnoteRef/>
      </w:r>
      <w:r w:rsidRPr="00D60567">
        <w:rPr>
          <w:color w:val="000000" w:themeColor="text1"/>
          <w:shd w:val="clear" w:color="auto" w:fill="FFFFFF"/>
        </w:rPr>
        <w:t xml:space="preserve">See </w:t>
      </w:r>
      <w:r w:rsidRPr="00D60567">
        <w:rPr>
          <w:color w:val="000000" w:themeColor="text1"/>
        </w:rPr>
        <w:t>“The relationship between Human Rights and Disaster Risk Reduction revisited: Bringing the legal perspective into the Discussion”, Karen Da Costa and Paulina Pospieszna, in Journal of International Humanitarian Legal Studies (May 2015).</w:t>
      </w:r>
    </w:p>
  </w:footnote>
  <w:footnote w:id="18">
    <w:p w14:paraId="09380A4E" w14:textId="77777777" w:rsidR="00870BF4" w:rsidRPr="00D60567" w:rsidRDefault="00870BF4" w:rsidP="00870BF4">
      <w:pPr>
        <w:pStyle w:val="FootnoteText"/>
        <w:rPr>
          <w:color w:val="000000" w:themeColor="text1"/>
          <w:shd w:val="clear" w:color="auto" w:fill="FFFFFF"/>
        </w:rPr>
      </w:pPr>
      <w:r w:rsidRPr="00D60567">
        <w:rPr>
          <w:rStyle w:val="FootnoteReference"/>
          <w:color w:val="000000" w:themeColor="text1"/>
        </w:rPr>
        <w:footnoteRef/>
      </w:r>
      <w:r w:rsidRPr="00D60567">
        <w:rPr>
          <w:color w:val="000000" w:themeColor="text1"/>
          <w:shd w:val="clear" w:color="auto" w:fill="FFFFFF"/>
        </w:rPr>
        <w:t xml:space="preserve">See </w:t>
      </w:r>
      <w:r w:rsidRPr="00D60567">
        <w:rPr>
          <w:color w:val="000000" w:themeColor="text1"/>
        </w:rPr>
        <w:t>“The relationship between Human Rights and Disaster Risk Reduction revisited: Bringing the legal perspective into the Discussion”, Karen Da Costa and Paulina Pospieszna, in Journal of International Humanitarian Legal Studies (May 2015).</w:t>
      </w:r>
    </w:p>
  </w:footnote>
  <w:footnote w:id="19">
    <w:p w14:paraId="59C2243A" w14:textId="77777777" w:rsidR="007D31A1" w:rsidRPr="00E6719D" w:rsidRDefault="007D31A1" w:rsidP="007D31A1">
      <w:pPr>
        <w:pStyle w:val="FootnoteText"/>
        <w:rPr>
          <w:color w:val="000000" w:themeColor="text1"/>
        </w:rPr>
      </w:pPr>
      <w:r w:rsidRPr="00E6719D">
        <w:rPr>
          <w:rStyle w:val="FootnoteReference"/>
          <w:color w:val="000000" w:themeColor="text1"/>
        </w:rPr>
        <w:footnoteRef/>
      </w:r>
      <w:r w:rsidRPr="00E6719D">
        <w:rPr>
          <w:color w:val="000000" w:themeColor="text1"/>
        </w:rPr>
        <w:t xml:space="preserve"> UN GA Resolution A/RES/71/276 (February 2017) endorsed Section V and VI of the report of the open-ended intergovernmental expert working group on indicators and terminology relation to Disaster Risk Reduction, for the report see note by the UN Secretary General A/71/644 (December 2016).</w:t>
      </w:r>
    </w:p>
  </w:footnote>
  <w:footnote w:id="20">
    <w:p w14:paraId="07F4BC6F" w14:textId="77777777" w:rsidR="007D31A1" w:rsidRPr="00E6719D" w:rsidRDefault="007D31A1" w:rsidP="007D31A1">
      <w:pPr>
        <w:pStyle w:val="FootnoteText"/>
        <w:rPr>
          <w:color w:val="000000" w:themeColor="text1"/>
        </w:rPr>
      </w:pPr>
      <w:r w:rsidRPr="00E6719D">
        <w:rPr>
          <w:rStyle w:val="FootnoteReference"/>
          <w:color w:val="000000" w:themeColor="text1"/>
        </w:rPr>
        <w:footnoteRef/>
      </w:r>
      <w:r w:rsidRPr="00E6719D">
        <w:rPr>
          <w:color w:val="000000" w:themeColor="text1"/>
        </w:rPr>
        <w:t xml:space="preserve"> UN GA Resolution A/RES/71/276 (February 2017).</w:t>
      </w:r>
    </w:p>
  </w:footnote>
  <w:footnote w:id="21">
    <w:p w14:paraId="0DB2CECE" w14:textId="77777777" w:rsidR="00EB0AF0" w:rsidRDefault="00EB0AF0" w:rsidP="00EB0AF0">
      <w:pPr>
        <w:rPr>
          <w:color w:val="000000"/>
          <w:sz w:val="20"/>
          <w:szCs w:val="20"/>
        </w:rPr>
      </w:pPr>
      <w:r>
        <w:rPr>
          <w:rStyle w:val="FootnoteReference"/>
        </w:rPr>
        <w:footnoteRef/>
      </w:r>
      <w:r>
        <w:rPr>
          <w:color w:val="000000"/>
          <w:sz w:val="20"/>
          <w:szCs w:val="20"/>
        </w:rPr>
        <w:t xml:space="preserve"> https://wrd.unwomen.org/practice/risk/intersectionality</w:t>
      </w:r>
    </w:p>
  </w:footnote>
  <w:footnote w:id="22">
    <w:p w14:paraId="43A6E4B2" w14:textId="45EE64B1" w:rsidR="00832498" w:rsidRPr="00832498" w:rsidRDefault="00832498">
      <w:pPr>
        <w:pStyle w:val="FootnoteText"/>
        <w:rPr>
          <w:lang w:val="en-US"/>
        </w:rPr>
      </w:pPr>
      <w:r>
        <w:rPr>
          <w:rStyle w:val="FootnoteReference"/>
        </w:rPr>
        <w:footnoteRef/>
      </w:r>
      <w:r>
        <w:t xml:space="preserve"> </w:t>
      </w:r>
      <w:r w:rsidRPr="00832498">
        <w:t>https://globalplatform.undrr.org/sites/default/files/2022-04/The%20Dhaka%20Declaration%20on%20Disability%20and%20DRM.pdf</w:t>
      </w:r>
    </w:p>
  </w:footnote>
  <w:footnote w:id="23">
    <w:p w14:paraId="2D59FEBE" w14:textId="7A0A2687" w:rsidR="00144FC1" w:rsidRPr="00144FC1" w:rsidRDefault="00144FC1">
      <w:pPr>
        <w:pStyle w:val="FootnoteText"/>
        <w:rPr>
          <w:lang w:val="en-US"/>
        </w:rPr>
      </w:pPr>
      <w:r>
        <w:rPr>
          <w:rStyle w:val="FootnoteReference"/>
        </w:rPr>
        <w:footnoteRef/>
      </w:r>
      <w:r>
        <w:t xml:space="preserve"> </w:t>
      </w:r>
      <w:r w:rsidRPr="00144FC1">
        <w:t>http://dkconf18.modmr.gov.bd/wp-content/uploads/2018/05/Dhaka-Declaration-2018.pdf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12D"/>
    <w:multiLevelType w:val="multilevel"/>
    <w:tmpl w:val="D25A5E4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FF31FA5"/>
    <w:multiLevelType w:val="hybridMultilevel"/>
    <w:tmpl w:val="B3F66ABA"/>
    <w:lvl w:ilvl="0" w:tplc="A4888AA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2856CA"/>
    <w:multiLevelType w:val="hybridMultilevel"/>
    <w:tmpl w:val="EF38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B6833"/>
    <w:multiLevelType w:val="hybridMultilevel"/>
    <w:tmpl w:val="780605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AB5075"/>
    <w:multiLevelType w:val="hybridMultilevel"/>
    <w:tmpl w:val="DBD4EA2A"/>
    <w:lvl w:ilvl="0" w:tplc="375E8670">
      <w:start w:val="20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44051"/>
    <w:multiLevelType w:val="hybridMultilevel"/>
    <w:tmpl w:val="31ACEDE6"/>
    <w:lvl w:ilvl="0" w:tplc="B40E0BB6">
      <w:start w:val="1"/>
      <w:numFmt w:val="bullet"/>
      <w:lvlText w:val="-"/>
      <w:lvlJc w:val="left"/>
      <w:pPr>
        <w:ind w:left="720" w:hanging="360"/>
      </w:pPr>
      <w:rPr>
        <w:rFonts w:ascii="Arial" w:eastAsia="Times New Roman" w:hAnsi="Arial" w:cs="Arial" w:hint="default"/>
        <w:color w:val="333333"/>
        <w:sz w:val="1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43152"/>
    <w:multiLevelType w:val="multilevel"/>
    <w:tmpl w:val="CFFA4CF8"/>
    <w:lvl w:ilvl="0">
      <w:start w:val="1"/>
      <w:numFmt w:val="upperRoman"/>
      <w:lvlText w:val="%1."/>
      <w:lvlJc w:val="left"/>
      <w:pPr>
        <w:tabs>
          <w:tab w:val="num" w:pos="720"/>
        </w:tabs>
        <w:ind w:left="720" w:hanging="360"/>
      </w:pPr>
      <w:rPr>
        <w:rFonts w:asciiTheme="minorHAnsi" w:eastAsia="Times New Roman" w:hAnsiTheme="minorHAnsi" w:cstheme="minorHAns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7597A"/>
    <w:multiLevelType w:val="multilevel"/>
    <w:tmpl w:val="CFFA4CF8"/>
    <w:lvl w:ilvl="0">
      <w:start w:val="1"/>
      <w:numFmt w:val="upperRoman"/>
      <w:lvlText w:val="%1."/>
      <w:lvlJc w:val="left"/>
      <w:pPr>
        <w:tabs>
          <w:tab w:val="num" w:pos="720"/>
        </w:tabs>
        <w:ind w:left="720" w:hanging="360"/>
      </w:pPr>
      <w:rPr>
        <w:rFonts w:asciiTheme="minorHAnsi" w:eastAsia="Times New Roman" w:hAnsiTheme="minorHAnsi" w:cstheme="minorHAns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5E08FE"/>
    <w:multiLevelType w:val="hybridMultilevel"/>
    <w:tmpl w:val="580A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A49E2"/>
    <w:multiLevelType w:val="hybridMultilevel"/>
    <w:tmpl w:val="E4A89CB4"/>
    <w:lvl w:ilvl="0" w:tplc="1068CC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D665B8"/>
    <w:multiLevelType w:val="hybridMultilevel"/>
    <w:tmpl w:val="1618E8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A27961"/>
    <w:multiLevelType w:val="multilevel"/>
    <w:tmpl w:val="80FCEAA8"/>
    <w:lvl w:ilvl="0">
      <w:start w:val="1"/>
      <w:numFmt w:val="upperRoman"/>
      <w:lvlText w:val="%1."/>
      <w:lvlJc w:val="left"/>
      <w:pPr>
        <w:tabs>
          <w:tab w:val="num" w:pos="720"/>
        </w:tabs>
        <w:ind w:left="720" w:hanging="360"/>
      </w:pPr>
      <w:rPr>
        <w:rFonts w:asciiTheme="minorHAnsi" w:eastAsia="Times New Roman" w:hAnsiTheme="minorHAnsi" w:cstheme="minorHAnsi"/>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79199C"/>
    <w:multiLevelType w:val="hybridMultilevel"/>
    <w:tmpl w:val="FF30741C"/>
    <w:lvl w:ilvl="0" w:tplc="C0285634">
      <w:start w:val="1"/>
      <w:numFmt w:val="lowerLetter"/>
      <w:lvlText w:val="%1)"/>
      <w:lvlJc w:val="left"/>
      <w:pPr>
        <w:ind w:left="1080" w:hanging="360"/>
      </w:pPr>
      <w:rPr>
        <w:rFonts w:hint="default"/>
      </w:rPr>
    </w:lvl>
    <w:lvl w:ilvl="1" w:tplc="E0CC7B98">
      <w:start w:val="2"/>
      <w:numFmt w:val="bullet"/>
      <w:lvlText w:val="–"/>
      <w:lvlJc w:val="left"/>
      <w:pPr>
        <w:ind w:left="1800" w:hanging="360"/>
      </w:pPr>
      <w:rPr>
        <w:rFonts w:ascii="Calibri" w:eastAsia="Times New Roman" w:hAnsi="Calibri" w:cs="Calibr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F7A1618"/>
    <w:multiLevelType w:val="multilevel"/>
    <w:tmpl w:val="CFFA4CF8"/>
    <w:lvl w:ilvl="0">
      <w:start w:val="1"/>
      <w:numFmt w:val="upperRoman"/>
      <w:lvlText w:val="%1."/>
      <w:lvlJc w:val="left"/>
      <w:pPr>
        <w:tabs>
          <w:tab w:val="num" w:pos="720"/>
        </w:tabs>
        <w:ind w:left="720" w:hanging="360"/>
      </w:pPr>
      <w:rPr>
        <w:rFonts w:asciiTheme="minorHAnsi" w:eastAsia="Times New Roman" w:hAnsiTheme="minorHAnsi" w:cstheme="minorHAns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C144E9"/>
    <w:multiLevelType w:val="multilevel"/>
    <w:tmpl w:val="CFFA4CF8"/>
    <w:lvl w:ilvl="0">
      <w:start w:val="1"/>
      <w:numFmt w:val="upperRoman"/>
      <w:lvlText w:val="%1."/>
      <w:lvlJc w:val="left"/>
      <w:pPr>
        <w:tabs>
          <w:tab w:val="num" w:pos="720"/>
        </w:tabs>
        <w:ind w:left="720" w:hanging="360"/>
      </w:pPr>
      <w:rPr>
        <w:rFonts w:asciiTheme="minorHAnsi" w:eastAsia="Times New Roman" w:hAnsiTheme="minorHAnsi" w:cstheme="minorHAns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F50A07"/>
    <w:multiLevelType w:val="multilevel"/>
    <w:tmpl w:val="CFFA4CF8"/>
    <w:lvl w:ilvl="0">
      <w:start w:val="1"/>
      <w:numFmt w:val="upperRoman"/>
      <w:lvlText w:val="%1."/>
      <w:lvlJc w:val="left"/>
      <w:pPr>
        <w:tabs>
          <w:tab w:val="num" w:pos="720"/>
        </w:tabs>
        <w:ind w:left="720" w:hanging="360"/>
      </w:pPr>
      <w:rPr>
        <w:rFonts w:asciiTheme="minorHAnsi" w:eastAsia="Times New Roman" w:hAnsiTheme="minorHAnsi" w:cstheme="minorHAns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4C4B71"/>
    <w:multiLevelType w:val="multilevel"/>
    <w:tmpl w:val="CFFA4CF8"/>
    <w:lvl w:ilvl="0">
      <w:start w:val="1"/>
      <w:numFmt w:val="upperRoman"/>
      <w:lvlText w:val="%1."/>
      <w:lvlJc w:val="left"/>
      <w:pPr>
        <w:tabs>
          <w:tab w:val="num" w:pos="720"/>
        </w:tabs>
        <w:ind w:left="720" w:hanging="360"/>
      </w:pPr>
      <w:rPr>
        <w:rFonts w:asciiTheme="minorHAnsi" w:eastAsia="Times New Roman" w:hAnsiTheme="minorHAnsi" w:cstheme="minorHAns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3"/>
  </w:num>
  <w:num w:numId="4">
    <w:abstractNumId w:val="14"/>
  </w:num>
  <w:num w:numId="5">
    <w:abstractNumId w:val="16"/>
  </w:num>
  <w:num w:numId="6">
    <w:abstractNumId w:val="15"/>
  </w:num>
  <w:num w:numId="7">
    <w:abstractNumId w:val="7"/>
  </w:num>
  <w:num w:numId="8">
    <w:abstractNumId w:val="6"/>
  </w:num>
  <w:num w:numId="9">
    <w:abstractNumId w:val="10"/>
  </w:num>
  <w:num w:numId="10">
    <w:abstractNumId w:val="1"/>
  </w:num>
  <w:num w:numId="11">
    <w:abstractNumId w:val="11"/>
  </w:num>
  <w:num w:numId="12">
    <w:abstractNumId w:val="9"/>
  </w:num>
  <w:num w:numId="13">
    <w:abstractNumId w:val="8"/>
  </w:num>
  <w:num w:numId="14">
    <w:abstractNumId w:val="2"/>
  </w:num>
  <w:num w:numId="15">
    <w:abstractNumId w:val="5"/>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6FE"/>
    <w:rsid w:val="00004022"/>
    <w:rsid w:val="0001045E"/>
    <w:rsid w:val="0001324A"/>
    <w:rsid w:val="00022636"/>
    <w:rsid w:val="000357F7"/>
    <w:rsid w:val="00036AE9"/>
    <w:rsid w:val="0006532B"/>
    <w:rsid w:val="00086B18"/>
    <w:rsid w:val="000932F8"/>
    <w:rsid w:val="000A1EAE"/>
    <w:rsid w:val="000A65E8"/>
    <w:rsid w:val="000D0119"/>
    <w:rsid w:val="000D4DA3"/>
    <w:rsid w:val="000E2EB2"/>
    <w:rsid w:val="000E6318"/>
    <w:rsid w:val="000F020F"/>
    <w:rsid w:val="000F3494"/>
    <w:rsid w:val="00126098"/>
    <w:rsid w:val="00126574"/>
    <w:rsid w:val="0012958D"/>
    <w:rsid w:val="00137E50"/>
    <w:rsid w:val="00144FC1"/>
    <w:rsid w:val="00146E07"/>
    <w:rsid w:val="00155660"/>
    <w:rsid w:val="00163919"/>
    <w:rsid w:val="001813E7"/>
    <w:rsid w:val="001A2367"/>
    <w:rsid w:val="001A2B45"/>
    <w:rsid w:val="001A3C7C"/>
    <w:rsid w:val="001A4E62"/>
    <w:rsid w:val="001B4417"/>
    <w:rsid w:val="001C38DB"/>
    <w:rsid w:val="001E263C"/>
    <w:rsid w:val="001E7690"/>
    <w:rsid w:val="00202BC6"/>
    <w:rsid w:val="00240A34"/>
    <w:rsid w:val="00253E5C"/>
    <w:rsid w:val="00272306"/>
    <w:rsid w:val="00272C74"/>
    <w:rsid w:val="002779C1"/>
    <w:rsid w:val="00292776"/>
    <w:rsid w:val="002A5A38"/>
    <w:rsid w:val="002C2814"/>
    <w:rsid w:val="002C7D1D"/>
    <w:rsid w:val="002D721F"/>
    <w:rsid w:val="002E167E"/>
    <w:rsid w:val="003177E3"/>
    <w:rsid w:val="00344A6E"/>
    <w:rsid w:val="003466FF"/>
    <w:rsid w:val="00351359"/>
    <w:rsid w:val="0035206C"/>
    <w:rsid w:val="00352088"/>
    <w:rsid w:val="00353F14"/>
    <w:rsid w:val="00366A7E"/>
    <w:rsid w:val="003730B5"/>
    <w:rsid w:val="00374232"/>
    <w:rsid w:val="003901AE"/>
    <w:rsid w:val="003A0F12"/>
    <w:rsid w:val="003B2834"/>
    <w:rsid w:val="003C0BB7"/>
    <w:rsid w:val="003C696B"/>
    <w:rsid w:val="003D6905"/>
    <w:rsid w:val="003E7700"/>
    <w:rsid w:val="004012D1"/>
    <w:rsid w:val="00437D17"/>
    <w:rsid w:val="004742C6"/>
    <w:rsid w:val="004A37D7"/>
    <w:rsid w:val="004C60B2"/>
    <w:rsid w:val="004E06FE"/>
    <w:rsid w:val="004E2EEE"/>
    <w:rsid w:val="004E3B34"/>
    <w:rsid w:val="004F3553"/>
    <w:rsid w:val="00506D3F"/>
    <w:rsid w:val="005111A0"/>
    <w:rsid w:val="00527ED0"/>
    <w:rsid w:val="005547F6"/>
    <w:rsid w:val="00554823"/>
    <w:rsid w:val="00564B24"/>
    <w:rsid w:val="00586773"/>
    <w:rsid w:val="005D48F9"/>
    <w:rsid w:val="005E4ADC"/>
    <w:rsid w:val="005E5C3A"/>
    <w:rsid w:val="00600B46"/>
    <w:rsid w:val="00610A1B"/>
    <w:rsid w:val="00613DEB"/>
    <w:rsid w:val="00616755"/>
    <w:rsid w:val="006231E3"/>
    <w:rsid w:val="00631379"/>
    <w:rsid w:val="006339E4"/>
    <w:rsid w:val="0064383D"/>
    <w:rsid w:val="006635D3"/>
    <w:rsid w:val="00664AB8"/>
    <w:rsid w:val="0066569D"/>
    <w:rsid w:val="00670248"/>
    <w:rsid w:val="00692DCA"/>
    <w:rsid w:val="006C037B"/>
    <w:rsid w:val="006C7E06"/>
    <w:rsid w:val="006D0057"/>
    <w:rsid w:val="006D5CC9"/>
    <w:rsid w:val="006D7254"/>
    <w:rsid w:val="006E0891"/>
    <w:rsid w:val="006E1461"/>
    <w:rsid w:val="00721125"/>
    <w:rsid w:val="007225C2"/>
    <w:rsid w:val="007311EA"/>
    <w:rsid w:val="0073797E"/>
    <w:rsid w:val="00773601"/>
    <w:rsid w:val="00777F36"/>
    <w:rsid w:val="0079048F"/>
    <w:rsid w:val="007945E1"/>
    <w:rsid w:val="0079526D"/>
    <w:rsid w:val="007A7267"/>
    <w:rsid w:val="007B2CDF"/>
    <w:rsid w:val="007D31A1"/>
    <w:rsid w:val="007E04A3"/>
    <w:rsid w:val="007E17E9"/>
    <w:rsid w:val="007E422F"/>
    <w:rsid w:val="008116AA"/>
    <w:rsid w:val="008231C3"/>
    <w:rsid w:val="00832498"/>
    <w:rsid w:val="00835359"/>
    <w:rsid w:val="0084398F"/>
    <w:rsid w:val="00850D49"/>
    <w:rsid w:val="00860AE1"/>
    <w:rsid w:val="0086709C"/>
    <w:rsid w:val="00870BF4"/>
    <w:rsid w:val="00890878"/>
    <w:rsid w:val="00895EAC"/>
    <w:rsid w:val="008A26ED"/>
    <w:rsid w:val="008AE59E"/>
    <w:rsid w:val="008D54B6"/>
    <w:rsid w:val="008F573F"/>
    <w:rsid w:val="00904024"/>
    <w:rsid w:val="0090692A"/>
    <w:rsid w:val="00924234"/>
    <w:rsid w:val="00930438"/>
    <w:rsid w:val="00946CC8"/>
    <w:rsid w:val="00947EBE"/>
    <w:rsid w:val="009521B2"/>
    <w:rsid w:val="00974FFE"/>
    <w:rsid w:val="009A4360"/>
    <w:rsid w:val="009A740B"/>
    <w:rsid w:val="009B096C"/>
    <w:rsid w:val="009B639A"/>
    <w:rsid w:val="009C113F"/>
    <w:rsid w:val="009C6A83"/>
    <w:rsid w:val="009D139E"/>
    <w:rsid w:val="009D463F"/>
    <w:rsid w:val="009F1421"/>
    <w:rsid w:val="009F7B9A"/>
    <w:rsid w:val="00A03D01"/>
    <w:rsid w:val="00A15813"/>
    <w:rsid w:val="00A2387B"/>
    <w:rsid w:val="00A3317F"/>
    <w:rsid w:val="00A36DD4"/>
    <w:rsid w:val="00A46552"/>
    <w:rsid w:val="00A8525E"/>
    <w:rsid w:val="00A96478"/>
    <w:rsid w:val="00AC2080"/>
    <w:rsid w:val="00AD0CCE"/>
    <w:rsid w:val="00AD7799"/>
    <w:rsid w:val="00AE1D9A"/>
    <w:rsid w:val="00B45C3C"/>
    <w:rsid w:val="00B516EC"/>
    <w:rsid w:val="00B54400"/>
    <w:rsid w:val="00B63161"/>
    <w:rsid w:val="00B67B67"/>
    <w:rsid w:val="00B80B9E"/>
    <w:rsid w:val="00BA1945"/>
    <w:rsid w:val="00BC60C1"/>
    <w:rsid w:val="00BCFF88"/>
    <w:rsid w:val="00BD7197"/>
    <w:rsid w:val="00BF03FF"/>
    <w:rsid w:val="00C23C61"/>
    <w:rsid w:val="00C2485A"/>
    <w:rsid w:val="00C279C8"/>
    <w:rsid w:val="00C3668A"/>
    <w:rsid w:val="00C55CAC"/>
    <w:rsid w:val="00C62C48"/>
    <w:rsid w:val="00C762BA"/>
    <w:rsid w:val="00C77EC3"/>
    <w:rsid w:val="00C87E6A"/>
    <w:rsid w:val="00C90A47"/>
    <w:rsid w:val="00C911B2"/>
    <w:rsid w:val="00C95BD2"/>
    <w:rsid w:val="00CA21E5"/>
    <w:rsid w:val="00CA639C"/>
    <w:rsid w:val="00D01072"/>
    <w:rsid w:val="00D06427"/>
    <w:rsid w:val="00D12818"/>
    <w:rsid w:val="00D142EE"/>
    <w:rsid w:val="00D23532"/>
    <w:rsid w:val="00D273D8"/>
    <w:rsid w:val="00D76436"/>
    <w:rsid w:val="00D77A28"/>
    <w:rsid w:val="00D81E27"/>
    <w:rsid w:val="00D82058"/>
    <w:rsid w:val="00D90C2C"/>
    <w:rsid w:val="00D918DB"/>
    <w:rsid w:val="00D96EB7"/>
    <w:rsid w:val="00DA0325"/>
    <w:rsid w:val="00DA5FF4"/>
    <w:rsid w:val="00DB126A"/>
    <w:rsid w:val="00DC2B04"/>
    <w:rsid w:val="00DD1024"/>
    <w:rsid w:val="00DF0F57"/>
    <w:rsid w:val="00E076C8"/>
    <w:rsid w:val="00E40ADB"/>
    <w:rsid w:val="00E4280B"/>
    <w:rsid w:val="00E42EE1"/>
    <w:rsid w:val="00E50FAF"/>
    <w:rsid w:val="00E600D3"/>
    <w:rsid w:val="00E66371"/>
    <w:rsid w:val="00E731D2"/>
    <w:rsid w:val="00E81C7A"/>
    <w:rsid w:val="00E827C0"/>
    <w:rsid w:val="00EA6C61"/>
    <w:rsid w:val="00EB0AF0"/>
    <w:rsid w:val="00EB1F7B"/>
    <w:rsid w:val="00EB7D8D"/>
    <w:rsid w:val="00EC22CE"/>
    <w:rsid w:val="00ED660E"/>
    <w:rsid w:val="00EE11E5"/>
    <w:rsid w:val="00EE198D"/>
    <w:rsid w:val="00EF5DC4"/>
    <w:rsid w:val="00F07065"/>
    <w:rsid w:val="00F105F0"/>
    <w:rsid w:val="00F12562"/>
    <w:rsid w:val="00F715FC"/>
    <w:rsid w:val="00F862CA"/>
    <w:rsid w:val="00F8631B"/>
    <w:rsid w:val="00F90E1E"/>
    <w:rsid w:val="00FA6958"/>
    <w:rsid w:val="00FE5D64"/>
    <w:rsid w:val="0105BCA5"/>
    <w:rsid w:val="017197B5"/>
    <w:rsid w:val="01CAE952"/>
    <w:rsid w:val="01E78880"/>
    <w:rsid w:val="025D3B97"/>
    <w:rsid w:val="02EB63E0"/>
    <w:rsid w:val="0301444C"/>
    <w:rsid w:val="033A127F"/>
    <w:rsid w:val="040DD492"/>
    <w:rsid w:val="0432126E"/>
    <w:rsid w:val="044C0BF8"/>
    <w:rsid w:val="04515538"/>
    <w:rsid w:val="047213B7"/>
    <w:rsid w:val="04A80B76"/>
    <w:rsid w:val="04E606B0"/>
    <w:rsid w:val="05006895"/>
    <w:rsid w:val="052F5D62"/>
    <w:rsid w:val="05EF4D1D"/>
    <w:rsid w:val="06191353"/>
    <w:rsid w:val="06192E1F"/>
    <w:rsid w:val="0674950E"/>
    <w:rsid w:val="070DB0C1"/>
    <w:rsid w:val="07D00FDA"/>
    <w:rsid w:val="07D4B56F"/>
    <w:rsid w:val="0866FE24"/>
    <w:rsid w:val="08AD454A"/>
    <w:rsid w:val="08EE8E22"/>
    <w:rsid w:val="096E0B4A"/>
    <w:rsid w:val="099A0CB2"/>
    <w:rsid w:val="09ACD0BE"/>
    <w:rsid w:val="0A02CE85"/>
    <w:rsid w:val="0A52B2E2"/>
    <w:rsid w:val="0A573BB0"/>
    <w:rsid w:val="0A9B6634"/>
    <w:rsid w:val="0B1867F8"/>
    <w:rsid w:val="0B67F55C"/>
    <w:rsid w:val="0B8F5C4D"/>
    <w:rsid w:val="0BBF5AB2"/>
    <w:rsid w:val="0BCCD45D"/>
    <w:rsid w:val="0C0C0B63"/>
    <w:rsid w:val="0C0D6284"/>
    <w:rsid w:val="0C4AC1C6"/>
    <w:rsid w:val="0C63065B"/>
    <w:rsid w:val="0CA82692"/>
    <w:rsid w:val="0CCE984F"/>
    <w:rsid w:val="0DBFCB81"/>
    <w:rsid w:val="0FBFF599"/>
    <w:rsid w:val="0FCF46C5"/>
    <w:rsid w:val="10063911"/>
    <w:rsid w:val="10073F47"/>
    <w:rsid w:val="10DF7C86"/>
    <w:rsid w:val="10EEA750"/>
    <w:rsid w:val="1101FC98"/>
    <w:rsid w:val="11614A0D"/>
    <w:rsid w:val="11A20972"/>
    <w:rsid w:val="12011FC8"/>
    <w:rsid w:val="128DA829"/>
    <w:rsid w:val="130187AA"/>
    <w:rsid w:val="13DD44AA"/>
    <w:rsid w:val="14744A12"/>
    <w:rsid w:val="147A3E5F"/>
    <w:rsid w:val="149D580B"/>
    <w:rsid w:val="14A54591"/>
    <w:rsid w:val="14B073CD"/>
    <w:rsid w:val="150926D1"/>
    <w:rsid w:val="153D3A92"/>
    <w:rsid w:val="1573AA81"/>
    <w:rsid w:val="1639286C"/>
    <w:rsid w:val="164115F2"/>
    <w:rsid w:val="1710600F"/>
    <w:rsid w:val="17136BA7"/>
    <w:rsid w:val="17693D88"/>
    <w:rsid w:val="17A1D4C2"/>
    <w:rsid w:val="17B4A396"/>
    <w:rsid w:val="17D4F8CD"/>
    <w:rsid w:val="183BB8C2"/>
    <w:rsid w:val="185464BB"/>
    <w:rsid w:val="18DDAF34"/>
    <w:rsid w:val="18EA8E6B"/>
    <w:rsid w:val="19050DE9"/>
    <w:rsid w:val="1938A1C8"/>
    <w:rsid w:val="195073F7"/>
    <w:rsid w:val="1978B6B4"/>
    <w:rsid w:val="19A43CA3"/>
    <w:rsid w:val="19C9A144"/>
    <w:rsid w:val="19DE14E8"/>
    <w:rsid w:val="1A232107"/>
    <w:rsid w:val="1AD47229"/>
    <w:rsid w:val="1AE38B96"/>
    <w:rsid w:val="1B0E316C"/>
    <w:rsid w:val="1B0FE25A"/>
    <w:rsid w:val="1B4F0607"/>
    <w:rsid w:val="1B735984"/>
    <w:rsid w:val="1C6648C0"/>
    <w:rsid w:val="1C8E0FFB"/>
    <w:rsid w:val="1D98E4F2"/>
    <w:rsid w:val="1DA8F10E"/>
    <w:rsid w:val="1E6EC455"/>
    <w:rsid w:val="1FE00AB2"/>
    <w:rsid w:val="20300AC2"/>
    <w:rsid w:val="20C7991C"/>
    <w:rsid w:val="213EBB7F"/>
    <w:rsid w:val="2158C167"/>
    <w:rsid w:val="21732D82"/>
    <w:rsid w:val="222FE329"/>
    <w:rsid w:val="22DA8BE0"/>
    <w:rsid w:val="2339CBD7"/>
    <w:rsid w:val="2378E65B"/>
    <w:rsid w:val="24765C41"/>
    <w:rsid w:val="24B0B0D2"/>
    <w:rsid w:val="24E608FD"/>
    <w:rsid w:val="24ED0458"/>
    <w:rsid w:val="25D4BF09"/>
    <w:rsid w:val="26148A82"/>
    <w:rsid w:val="268A83AC"/>
    <w:rsid w:val="2696CE0C"/>
    <w:rsid w:val="273BB617"/>
    <w:rsid w:val="276638F5"/>
    <w:rsid w:val="27828AD4"/>
    <w:rsid w:val="27DCDF77"/>
    <w:rsid w:val="27EFFF95"/>
    <w:rsid w:val="2826540D"/>
    <w:rsid w:val="29401A71"/>
    <w:rsid w:val="29A0623B"/>
    <w:rsid w:val="2B5DF4CF"/>
    <w:rsid w:val="2B6B3E90"/>
    <w:rsid w:val="2B7DCCC4"/>
    <w:rsid w:val="2BA97783"/>
    <w:rsid w:val="2C2DA521"/>
    <w:rsid w:val="2C6417E4"/>
    <w:rsid w:val="2C8C61A0"/>
    <w:rsid w:val="2CA36194"/>
    <w:rsid w:val="2DD57A79"/>
    <w:rsid w:val="2E36CB39"/>
    <w:rsid w:val="2E3F31F5"/>
    <w:rsid w:val="2E959591"/>
    <w:rsid w:val="2EB26627"/>
    <w:rsid w:val="2F8E3BE0"/>
    <w:rsid w:val="304E1C12"/>
    <w:rsid w:val="30A69394"/>
    <w:rsid w:val="30B8FD3A"/>
    <w:rsid w:val="316C88EF"/>
    <w:rsid w:val="3270AF7F"/>
    <w:rsid w:val="32AEAD2F"/>
    <w:rsid w:val="32C0F946"/>
    <w:rsid w:val="32DD9C32"/>
    <w:rsid w:val="3324A637"/>
    <w:rsid w:val="3353953A"/>
    <w:rsid w:val="336906B4"/>
    <w:rsid w:val="33F61BC0"/>
    <w:rsid w:val="340F441D"/>
    <w:rsid w:val="3410575A"/>
    <w:rsid w:val="341ED161"/>
    <w:rsid w:val="3475B58E"/>
    <w:rsid w:val="34B8807B"/>
    <w:rsid w:val="357B2C3C"/>
    <w:rsid w:val="359CDE24"/>
    <w:rsid w:val="35A7BA7F"/>
    <w:rsid w:val="362D5FC3"/>
    <w:rsid w:val="366D5D86"/>
    <w:rsid w:val="36D8F429"/>
    <w:rsid w:val="372DBC82"/>
    <w:rsid w:val="3747F81C"/>
    <w:rsid w:val="374EED31"/>
    <w:rsid w:val="379C9562"/>
    <w:rsid w:val="37E0DEA4"/>
    <w:rsid w:val="37E6143B"/>
    <w:rsid w:val="37E96A36"/>
    <w:rsid w:val="38092DE7"/>
    <w:rsid w:val="3810DD09"/>
    <w:rsid w:val="383C77D7"/>
    <w:rsid w:val="38452B30"/>
    <w:rsid w:val="385313C1"/>
    <w:rsid w:val="38B29538"/>
    <w:rsid w:val="38C98CE3"/>
    <w:rsid w:val="38DF5B41"/>
    <w:rsid w:val="394D668D"/>
    <w:rsid w:val="398BF19E"/>
    <w:rsid w:val="3A2BB872"/>
    <w:rsid w:val="3A5DA08A"/>
    <w:rsid w:val="3A655D44"/>
    <w:rsid w:val="3A7F98DE"/>
    <w:rsid w:val="3B187F66"/>
    <w:rsid w:val="3B487DCB"/>
    <w:rsid w:val="3BC788D3"/>
    <w:rsid w:val="3C012DA5"/>
    <w:rsid w:val="3C1B693F"/>
    <w:rsid w:val="3C2C663D"/>
    <w:rsid w:val="3C417238"/>
    <w:rsid w:val="3CBB586B"/>
    <w:rsid w:val="3D1376BD"/>
    <w:rsid w:val="3D13D627"/>
    <w:rsid w:val="3D3B9D62"/>
    <w:rsid w:val="3D9CFE06"/>
    <w:rsid w:val="3DB739A0"/>
    <w:rsid w:val="3E61D5D1"/>
    <w:rsid w:val="3F530A01"/>
    <w:rsid w:val="40046B1E"/>
    <w:rsid w:val="401BB60C"/>
    <w:rsid w:val="434BE08E"/>
    <w:rsid w:val="440F9788"/>
    <w:rsid w:val="44E7B0EF"/>
    <w:rsid w:val="4525402C"/>
    <w:rsid w:val="4525874A"/>
    <w:rsid w:val="45299707"/>
    <w:rsid w:val="46A6B5C9"/>
    <w:rsid w:val="46BEB8C6"/>
    <w:rsid w:val="47350DED"/>
    <w:rsid w:val="475E1BE6"/>
    <w:rsid w:val="488CE37E"/>
    <w:rsid w:val="489C0F16"/>
    <w:rsid w:val="48FC20E1"/>
    <w:rsid w:val="4949F365"/>
    <w:rsid w:val="49EE11F3"/>
    <w:rsid w:val="49F38854"/>
    <w:rsid w:val="4A694C14"/>
    <w:rsid w:val="4A7CAFFE"/>
    <w:rsid w:val="4A95BCA8"/>
    <w:rsid w:val="4AED7E36"/>
    <w:rsid w:val="4B2073D4"/>
    <w:rsid w:val="4B654C62"/>
    <w:rsid w:val="4B9229E9"/>
    <w:rsid w:val="4CE3E4E2"/>
    <w:rsid w:val="4D07BA63"/>
    <w:rsid w:val="4E04351D"/>
    <w:rsid w:val="4E7C4B06"/>
    <w:rsid w:val="4EA7F800"/>
    <w:rsid w:val="4EB7045C"/>
    <w:rsid w:val="4EBCB321"/>
    <w:rsid w:val="4F120C20"/>
    <w:rsid w:val="4F26F775"/>
    <w:rsid w:val="4F7A9B73"/>
    <w:rsid w:val="4FCA68B2"/>
    <w:rsid w:val="50A604F9"/>
    <w:rsid w:val="50DBBD62"/>
    <w:rsid w:val="51668AA1"/>
    <w:rsid w:val="5173E7D1"/>
    <w:rsid w:val="518BB856"/>
    <w:rsid w:val="51D8531D"/>
    <w:rsid w:val="52D7A640"/>
    <w:rsid w:val="52E68981"/>
    <w:rsid w:val="53861815"/>
    <w:rsid w:val="543C9EEE"/>
    <w:rsid w:val="548554C3"/>
    <w:rsid w:val="548D7F17"/>
    <w:rsid w:val="54970892"/>
    <w:rsid w:val="57046ACF"/>
    <w:rsid w:val="5743C358"/>
    <w:rsid w:val="57743FB0"/>
    <w:rsid w:val="57BC523A"/>
    <w:rsid w:val="57D0C632"/>
    <w:rsid w:val="583F7BA8"/>
    <w:rsid w:val="5878E807"/>
    <w:rsid w:val="587CBF8F"/>
    <w:rsid w:val="59116060"/>
    <w:rsid w:val="5958229B"/>
    <w:rsid w:val="59C790FB"/>
    <w:rsid w:val="59D9DAB6"/>
    <w:rsid w:val="59EBBFDB"/>
    <w:rsid w:val="59ECAE79"/>
    <w:rsid w:val="5A6FF1FD"/>
    <w:rsid w:val="5A804673"/>
    <w:rsid w:val="5AE717E8"/>
    <w:rsid w:val="5B0B2DF1"/>
    <w:rsid w:val="5B6C230E"/>
    <w:rsid w:val="5B78B80B"/>
    <w:rsid w:val="5B833317"/>
    <w:rsid w:val="5CCE6AFD"/>
    <w:rsid w:val="5CFF31BD"/>
    <w:rsid w:val="5D13A986"/>
    <w:rsid w:val="5D61DD16"/>
    <w:rsid w:val="5DA220C4"/>
    <w:rsid w:val="5DBADD7A"/>
    <w:rsid w:val="5DE92AC9"/>
    <w:rsid w:val="5E130DD6"/>
    <w:rsid w:val="5E22466D"/>
    <w:rsid w:val="5E581B15"/>
    <w:rsid w:val="5F7F5195"/>
    <w:rsid w:val="5F8438A8"/>
    <w:rsid w:val="5FE41FC7"/>
    <w:rsid w:val="60731488"/>
    <w:rsid w:val="60AE0F88"/>
    <w:rsid w:val="6159E72F"/>
    <w:rsid w:val="6249DFE9"/>
    <w:rsid w:val="62A1D817"/>
    <w:rsid w:val="62E3FE79"/>
    <w:rsid w:val="62F60DC8"/>
    <w:rsid w:val="631CDF14"/>
    <w:rsid w:val="636E7341"/>
    <w:rsid w:val="637F3ED9"/>
    <w:rsid w:val="63ACE059"/>
    <w:rsid w:val="63C4864F"/>
    <w:rsid w:val="649187F1"/>
    <w:rsid w:val="652D5D4E"/>
    <w:rsid w:val="6541BFB5"/>
    <w:rsid w:val="654E34CD"/>
    <w:rsid w:val="6550871A"/>
    <w:rsid w:val="666121E8"/>
    <w:rsid w:val="66682E02"/>
    <w:rsid w:val="668C0E1B"/>
    <w:rsid w:val="66A61403"/>
    <w:rsid w:val="66D11B35"/>
    <w:rsid w:val="66D3E558"/>
    <w:rsid w:val="66E2560C"/>
    <w:rsid w:val="68687E5A"/>
    <w:rsid w:val="688912E8"/>
    <w:rsid w:val="68B9216D"/>
    <w:rsid w:val="690065F7"/>
    <w:rsid w:val="6900EBC8"/>
    <w:rsid w:val="69A9AE48"/>
    <w:rsid w:val="6A044EBB"/>
    <w:rsid w:val="6A123C19"/>
    <w:rsid w:val="6A23F83D"/>
    <w:rsid w:val="6AAEFE4C"/>
    <w:rsid w:val="6AD1A0E4"/>
    <w:rsid w:val="6BA95118"/>
    <w:rsid w:val="6C5D202E"/>
    <w:rsid w:val="6CA40E69"/>
    <w:rsid w:val="6CD36076"/>
    <w:rsid w:val="6DCF89A1"/>
    <w:rsid w:val="6F21D72C"/>
    <w:rsid w:val="6F2862F1"/>
    <w:rsid w:val="6F66FC5B"/>
    <w:rsid w:val="6FAA6CEE"/>
    <w:rsid w:val="7019C804"/>
    <w:rsid w:val="70AB476B"/>
    <w:rsid w:val="71F546BC"/>
    <w:rsid w:val="72C3B692"/>
    <w:rsid w:val="72DC899D"/>
    <w:rsid w:val="7309A4B8"/>
    <w:rsid w:val="73417F64"/>
    <w:rsid w:val="73A7B0B7"/>
    <w:rsid w:val="74A46AEC"/>
    <w:rsid w:val="7597E0EB"/>
    <w:rsid w:val="7610737E"/>
    <w:rsid w:val="761AD3BD"/>
    <w:rsid w:val="76E73EFF"/>
    <w:rsid w:val="774477AF"/>
    <w:rsid w:val="77A79DFB"/>
    <w:rsid w:val="783021CC"/>
    <w:rsid w:val="78474153"/>
    <w:rsid w:val="78B9E713"/>
    <w:rsid w:val="78D732BD"/>
    <w:rsid w:val="7908D178"/>
    <w:rsid w:val="7932CBF0"/>
    <w:rsid w:val="79436E5C"/>
    <w:rsid w:val="796DA938"/>
    <w:rsid w:val="7A463772"/>
    <w:rsid w:val="7A73031E"/>
    <w:rsid w:val="7AA7865C"/>
    <w:rsid w:val="7AE65769"/>
    <w:rsid w:val="7B2FCA77"/>
    <w:rsid w:val="7BB8BB58"/>
    <w:rsid w:val="7BE08293"/>
    <w:rsid w:val="7C0ED37F"/>
    <w:rsid w:val="7C9D69D6"/>
    <w:rsid w:val="7D57AE3C"/>
    <w:rsid w:val="7DA4181B"/>
    <w:rsid w:val="7E1E846E"/>
    <w:rsid w:val="7E2CADDD"/>
    <w:rsid w:val="7E3688DC"/>
    <w:rsid w:val="7E5AED18"/>
    <w:rsid w:val="7E6EF0F5"/>
    <w:rsid w:val="7EB01A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6344E"/>
  <w15:chartTrackingRefBased/>
  <w15:docId w15:val="{2A3532A1-CF97-468D-AC0D-4EA2B635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6FE"/>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0132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1324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1">
    <w:name w:val="contentpasted1"/>
    <w:basedOn w:val="DefaultParagraphFont"/>
    <w:rsid w:val="004E06FE"/>
  </w:style>
  <w:style w:type="character" w:customStyle="1" w:styleId="contentpasted2">
    <w:name w:val="contentpasted2"/>
    <w:basedOn w:val="DefaultParagraphFont"/>
    <w:rsid w:val="004E06FE"/>
  </w:style>
  <w:style w:type="character" w:customStyle="1" w:styleId="contentpasted3">
    <w:name w:val="contentpasted3"/>
    <w:basedOn w:val="DefaultParagraphFont"/>
    <w:rsid w:val="004E06FE"/>
  </w:style>
  <w:style w:type="paragraph" w:styleId="ListParagraph">
    <w:name w:val="List Paragraph"/>
    <w:basedOn w:val="Normal"/>
    <w:uiPriority w:val="34"/>
    <w:qFormat/>
    <w:rsid w:val="004E06FE"/>
    <w:pPr>
      <w:ind w:left="720"/>
      <w:contextualSpacing/>
    </w:pPr>
  </w:style>
  <w:style w:type="paragraph" w:styleId="BalloonText">
    <w:name w:val="Balloon Text"/>
    <w:basedOn w:val="Normal"/>
    <w:link w:val="BalloonTextChar"/>
    <w:uiPriority w:val="99"/>
    <w:semiHidden/>
    <w:unhideWhenUsed/>
    <w:rsid w:val="00EA6C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61"/>
    <w:rPr>
      <w:rFonts w:ascii="Segoe UI" w:hAnsi="Segoe UI" w:cs="Segoe UI"/>
      <w:sz w:val="18"/>
      <w:szCs w:val="18"/>
      <w:lang w:eastAsia="en-GB"/>
    </w:rPr>
  </w:style>
  <w:style w:type="character" w:customStyle="1" w:styleId="Heading1Char">
    <w:name w:val="Heading 1 Char"/>
    <w:basedOn w:val="DefaultParagraphFont"/>
    <w:link w:val="Heading1"/>
    <w:uiPriority w:val="9"/>
    <w:rsid w:val="0001324A"/>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semiHidden/>
    <w:rsid w:val="0001324A"/>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0932F8"/>
    <w:rPr>
      <w:color w:val="0563C1" w:themeColor="hyperlink"/>
      <w:u w:val="single"/>
    </w:rPr>
  </w:style>
  <w:style w:type="character" w:styleId="UnresolvedMention">
    <w:name w:val="Unresolved Mention"/>
    <w:basedOn w:val="DefaultParagraphFont"/>
    <w:uiPriority w:val="99"/>
    <w:semiHidden/>
    <w:unhideWhenUsed/>
    <w:rsid w:val="000932F8"/>
    <w:rPr>
      <w:color w:val="605E5C"/>
      <w:shd w:val="clear" w:color="auto" w:fill="E1DFDD"/>
    </w:rPr>
  </w:style>
  <w:style w:type="paragraph" w:styleId="Header">
    <w:name w:val="header"/>
    <w:basedOn w:val="Normal"/>
    <w:link w:val="HeaderChar"/>
    <w:uiPriority w:val="99"/>
    <w:unhideWhenUsed/>
    <w:rsid w:val="00D273D8"/>
    <w:pPr>
      <w:tabs>
        <w:tab w:val="center" w:pos="4680"/>
        <w:tab w:val="right" w:pos="9360"/>
      </w:tabs>
    </w:pPr>
  </w:style>
  <w:style w:type="character" w:customStyle="1" w:styleId="HeaderChar">
    <w:name w:val="Header Char"/>
    <w:basedOn w:val="DefaultParagraphFont"/>
    <w:link w:val="Header"/>
    <w:uiPriority w:val="99"/>
    <w:rsid w:val="00D273D8"/>
    <w:rPr>
      <w:rFonts w:ascii="Calibri" w:hAnsi="Calibri" w:cs="Calibri"/>
      <w:lang w:eastAsia="en-GB"/>
    </w:rPr>
  </w:style>
  <w:style w:type="paragraph" w:styleId="Footer">
    <w:name w:val="footer"/>
    <w:basedOn w:val="Normal"/>
    <w:link w:val="FooterChar"/>
    <w:uiPriority w:val="99"/>
    <w:unhideWhenUsed/>
    <w:rsid w:val="00D273D8"/>
    <w:pPr>
      <w:tabs>
        <w:tab w:val="center" w:pos="4680"/>
        <w:tab w:val="right" w:pos="9360"/>
      </w:tabs>
    </w:pPr>
  </w:style>
  <w:style w:type="character" w:customStyle="1" w:styleId="FooterChar">
    <w:name w:val="Footer Char"/>
    <w:basedOn w:val="DefaultParagraphFont"/>
    <w:link w:val="Footer"/>
    <w:uiPriority w:val="99"/>
    <w:rsid w:val="00D273D8"/>
    <w:rPr>
      <w:rFonts w:ascii="Calibri" w:hAnsi="Calibri" w:cs="Calibri"/>
      <w:lang w:eastAsia="en-GB"/>
    </w:rPr>
  </w:style>
  <w:style w:type="paragraph" w:styleId="FootnoteText">
    <w:name w:val="footnote text"/>
    <w:basedOn w:val="Normal"/>
    <w:link w:val="FootnoteTextChar"/>
    <w:uiPriority w:val="99"/>
    <w:unhideWhenUsed/>
    <w:rsid w:val="001B4417"/>
    <w:rPr>
      <w:sz w:val="20"/>
      <w:szCs w:val="20"/>
    </w:rPr>
  </w:style>
  <w:style w:type="character" w:customStyle="1" w:styleId="FootnoteTextChar">
    <w:name w:val="Footnote Text Char"/>
    <w:basedOn w:val="DefaultParagraphFont"/>
    <w:link w:val="FootnoteText"/>
    <w:uiPriority w:val="99"/>
    <w:rsid w:val="001B4417"/>
    <w:rPr>
      <w:rFonts w:ascii="Calibri" w:hAnsi="Calibri" w:cs="Calibri"/>
      <w:sz w:val="20"/>
      <w:szCs w:val="20"/>
      <w:lang w:eastAsia="en-GB"/>
    </w:rPr>
  </w:style>
  <w:style w:type="character" w:styleId="FootnoteReference">
    <w:name w:val="footnote reference"/>
    <w:basedOn w:val="DefaultParagraphFont"/>
    <w:uiPriority w:val="99"/>
    <w:semiHidden/>
    <w:unhideWhenUsed/>
    <w:rsid w:val="001B4417"/>
    <w:rPr>
      <w:vertAlign w:val="superscript"/>
    </w:rPr>
  </w:style>
  <w:style w:type="paragraph" w:customStyle="1" w:styleId="selectionshareable">
    <w:name w:val="selectionshareable"/>
    <w:basedOn w:val="Normal"/>
    <w:rsid w:val="00A46552"/>
    <w:pPr>
      <w:spacing w:before="100" w:beforeAutospacing="1" w:after="100" w:afterAutospacing="1"/>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870BF4"/>
    <w:rPr>
      <w:i/>
      <w:iCs/>
    </w:rPr>
  </w:style>
  <w:style w:type="paragraph" w:customStyle="1" w:styleId="Default">
    <w:name w:val="Default"/>
    <w:rsid w:val="009D463F"/>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table" w:styleId="TableGrid">
    <w:name w:val="Table Grid"/>
    <w:basedOn w:val="TableNormal"/>
    <w:uiPriority w:val="39"/>
    <w:rsid w:val="009D463F"/>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lang w:eastAsia="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5324">
      <w:bodyDiv w:val="1"/>
      <w:marLeft w:val="0"/>
      <w:marRight w:val="0"/>
      <w:marTop w:val="0"/>
      <w:marBottom w:val="0"/>
      <w:divBdr>
        <w:top w:val="none" w:sz="0" w:space="0" w:color="auto"/>
        <w:left w:val="none" w:sz="0" w:space="0" w:color="auto"/>
        <w:bottom w:val="none" w:sz="0" w:space="0" w:color="auto"/>
        <w:right w:val="none" w:sz="0" w:space="0" w:color="auto"/>
      </w:divBdr>
    </w:div>
    <w:div w:id="1283071221">
      <w:bodyDiv w:val="1"/>
      <w:marLeft w:val="0"/>
      <w:marRight w:val="0"/>
      <w:marTop w:val="0"/>
      <w:marBottom w:val="0"/>
      <w:divBdr>
        <w:top w:val="none" w:sz="0" w:space="0" w:color="auto"/>
        <w:left w:val="none" w:sz="0" w:space="0" w:color="auto"/>
        <w:bottom w:val="none" w:sz="0" w:space="0" w:color="auto"/>
        <w:right w:val="none" w:sz="0" w:space="0" w:color="auto"/>
      </w:divBdr>
    </w:div>
    <w:div w:id="1287465318">
      <w:bodyDiv w:val="1"/>
      <w:marLeft w:val="0"/>
      <w:marRight w:val="0"/>
      <w:marTop w:val="0"/>
      <w:marBottom w:val="0"/>
      <w:divBdr>
        <w:top w:val="none" w:sz="0" w:space="0" w:color="auto"/>
        <w:left w:val="none" w:sz="0" w:space="0" w:color="auto"/>
        <w:bottom w:val="none" w:sz="0" w:space="0" w:color="auto"/>
        <w:right w:val="none" w:sz="0" w:space="0" w:color="auto"/>
      </w:divBdr>
    </w:div>
    <w:div w:id="155499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2021.gho.unocha.org/global-trends/persons-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0e2546a-8f55-4a5f-a80c-c5243b6ca06a">
      <UserInfo>
        <DisplayName>Marco Toscano-Rivalta</DisplayName>
        <AccountId>9</AccountId>
        <AccountType/>
      </UserInfo>
      <UserInfo>
        <DisplayName>Mary Christine Picard</DisplayName>
        <AccountId>10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ED88391B50BE843ADEC3E803E1A8052" ma:contentTypeVersion="4" ma:contentTypeDescription="Create a new document." ma:contentTypeScope="" ma:versionID="1958a0cd185d69f577f2680bce34e312">
  <xsd:schema xmlns:xsd="http://www.w3.org/2001/XMLSchema" xmlns:xs="http://www.w3.org/2001/XMLSchema" xmlns:p="http://schemas.microsoft.com/office/2006/metadata/properties" xmlns:ns2="75125754-40c7-4da4-9452-2724a6454f84" xmlns:ns3="00e2546a-8f55-4a5f-a80c-c5243b6ca06a" targetNamespace="http://schemas.microsoft.com/office/2006/metadata/properties" ma:root="true" ma:fieldsID="0e9ec3779146e5df7d6fffce91a7caed" ns2:_="" ns3:_="">
    <xsd:import namespace="75125754-40c7-4da4-9452-2724a6454f84"/>
    <xsd:import namespace="00e2546a-8f55-4a5f-a80c-c5243b6ca0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25754-40c7-4da4-9452-2724a6454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e2546a-8f55-4a5f-a80c-c5243b6ca0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ADFC5-EEC6-43F6-9C24-82BA3EBDFED4}">
  <ds:schemaRefs>
    <ds:schemaRef ds:uri="http://schemas.microsoft.com/sharepoint/v3/contenttype/forms"/>
  </ds:schemaRefs>
</ds:datastoreItem>
</file>

<file path=customXml/itemProps2.xml><?xml version="1.0" encoding="utf-8"?>
<ds:datastoreItem xmlns:ds="http://schemas.openxmlformats.org/officeDocument/2006/customXml" ds:itemID="{05BA6029-A3E3-4669-AAC3-19C60FB7F573}">
  <ds:schemaRefs>
    <ds:schemaRef ds:uri="http://schemas.microsoft.com/office/2006/metadata/properties"/>
    <ds:schemaRef ds:uri="http://schemas.microsoft.com/office/infopath/2007/PartnerControls"/>
    <ds:schemaRef ds:uri="00e2546a-8f55-4a5f-a80c-c5243b6ca06a"/>
  </ds:schemaRefs>
</ds:datastoreItem>
</file>

<file path=customXml/itemProps3.xml><?xml version="1.0" encoding="utf-8"?>
<ds:datastoreItem xmlns:ds="http://schemas.openxmlformats.org/officeDocument/2006/customXml" ds:itemID="{60935171-DF3D-4EB0-967C-74325D2C2070}">
  <ds:schemaRefs>
    <ds:schemaRef ds:uri="http://schemas.openxmlformats.org/officeDocument/2006/bibliography"/>
  </ds:schemaRefs>
</ds:datastoreItem>
</file>

<file path=customXml/itemProps4.xml><?xml version="1.0" encoding="utf-8"?>
<ds:datastoreItem xmlns:ds="http://schemas.openxmlformats.org/officeDocument/2006/customXml" ds:itemID="{8E97BE71-B675-4471-A1DA-1CE4E3349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25754-40c7-4da4-9452-2724a6454f84"/>
    <ds:schemaRef ds:uri="00e2546a-8f55-4a5f-a80c-c5243b6ca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1803</TotalTime>
  <Pages>12</Pages>
  <Words>4346</Words>
  <Characters>24778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29066</CharactersWithSpaces>
  <SharedDoc>false</SharedDoc>
  <HLinks>
    <vt:vector size="6" baseType="variant">
      <vt:variant>
        <vt:i4>6684785</vt:i4>
      </vt:variant>
      <vt:variant>
        <vt:i4>0</vt:i4>
      </vt:variant>
      <vt:variant>
        <vt:i4>0</vt:i4>
      </vt:variant>
      <vt:variant>
        <vt:i4>5</vt:i4>
      </vt:variant>
      <vt:variant>
        <vt:lpwstr>https://2021.gho.unocha.org/global-trends/persons-disabilities/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Catherinne</dc:creator>
  <cp:keywords/>
  <dc:description/>
  <cp:lastModifiedBy>Stefanie Dannenmann-Di Palma</cp:lastModifiedBy>
  <cp:revision>74</cp:revision>
  <dcterms:created xsi:type="dcterms:W3CDTF">2022-12-20T07:52:00Z</dcterms:created>
  <dcterms:modified xsi:type="dcterms:W3CDTF">2023-03-02T08:32:00Z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0x0101005ED88391B50BE843ADEC3E803E1A8052</vt:lpwstr>
  </property>
</Properties>
</file>