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A7325" w14:textId="54EE8F83" w:rsidR="00604BFF" w:rsidRPr="00DB32C7" w:rsidRDefault="00E25340" w:rsidP="0070734F">
      <w:pPr>
        <w:spacing w:after="0" w:line="240" w:lineRule="auto"/>
        <w:jc w:val="center"/>
        <w:rPr>
          <w:rFonts w:ascii="Cambria" w:hAnsi="Cambria"/>
          <w:bCs/>
          <w:color w:val="094183"/>
          <w:sz w:val="28"/>
          <w:szCs w:val="28"/>
          <w:u w:val="single"/>
          <w:lang w:val="en-AU"/>
        </w:rPr>
      </w:pPr>
      <w:r>
        <w:rPr>
          <w:rFonts w:ascii="Cambria" w:hAnsi="Cambria"/>
          <w:bCs/>
          <w:color w:val="094183"/>
          <w:sz w:val="28"/>
          <w:szCs w:val="28"/>
          <w:u w:val="single"/>
        </w:rPr>
        <w:t xml:space="preserve">Submission to the </w:t>
      </w:r>
      <w:r w:rsidR="007352D0">
        <w:rPr>
          <w:rFonts w:ascii="Cambria" w:hAnsi="Cambria"/>
          <w:bCs/>
          <w:color w:val="094183"/>
          <w:sz w:val="28"/>
          <w:szCs w:val="28"/>
          <w:u w:val="single"/>
        </w:rPr>
        <w:t>Committee on the Rights of Persons with Disabilities</w:t>
      </w:r>
    </w:p>
    <w:p w14:paraId="72899D9D" w14:textId="77777777" w:rsidR="0076257D" w:rsidRPr="00F90467" w:rsidRDefault="0076257D" w:rsidP="0070734F">
      <w:pPr>
        <w:spacing w:after="0" w:line="240" w:lineRule="auto"/>
        <w:jc w:val="center"/>
        <w:rPr>
          <w:rFonts w:ascii="Cambria" w:hAnsi="Cambria"/>
          <w:b/>
          <w:color w:val="094183"/>
          <w:sz w:val="16"/>
          <w:szCs w:val="16"/>
        </w:rPr>
      </w:pPr>
    </w:p>
    <w:p w14:paraId="37F9EBCE" w14:textId="49B6419E" w:rsidR="008A2995" w:rsidRDefault="0056186E" w:rsidP="46BA6153">
      <w:pPr>
        <w:spacing w:after="0" w:line="240" w:lineRule="auto"/>
        <w:jc w:val="center"/>
        <w:rPr>
          <w:rFonts w:ascii="Cambria" w:hAnsi="Cambria"/>
          <w:b/>
          <w:bCs/>
          <w:color w:val="094183"/>
          <w:sz w:val="30"/>
          <w:szCs w:val="30"/>
        </w:rPr>
      </w:pPr>
      <w:r w:rsidRPr="46BA6153">
        <w:rPr>
          <w:rFonts w:ascii="Cambria" w:hAnsi="Cambria"/>
          <w:b/>
          <w:bCs/>
          <w:color w:val="094183"/>
          <w:sz w:val="30"/>
          <w:szCs w:val="30"/>
        </w:rPr>
        <w:t xml:space="preserve">Disability inclusion in </w:t>
      </w:r>
      <w:r w:rsidR="00703284" w:rsidRPr="46BA6153">
        <w:rPr>
          <w:rFonts w:ascii="Cambria" w:hAnsi="Cambria"/>
          <w:b/>
          <w:bCs/>
          <w:color w:val="094183"/>
          <w:sz w:val="30"/>
          <w:szCs w:val="30"/>
        </w:rPr>
        <w:t xml:space="preserve">DRR in </w:t>
      </w:r>
      <w:r w:rsidRPr="46BA6153">
        <w:rPr>
          <w:rFonts w:ascii="Cambria" w:hAnsi="Cambria"/>
          <w:b/>
          <w:bCs/>
          <w:color w:val="094183"/>
          <w:sz w:val="30"/>
          <w:szCs w:val="30"/>
        </w:rPr>
        <w:t>the Pacific</w:t>
      </w:r>
    </w:p>
    <w:p w14:paraId="7000219D" w14:textId="50166E5C" w:rsidR="009D10E7" w:rsidRPr="00FE1534" w:rsidRDefault="009D10E7" w:rsidP="0070734F">
      <w:pPr>
        <w:spacing w:after="0" w:line="240" w:lineRule="auto"/>
        <w:jc w:val="center"/>
        <w:rPr>
          <w:rFonts w:ascii="Cambria" w:hAnsi="Cambria"/>
          <w:bCs/>
          <w:color w:val="094183"/>
          <w:sz w:val="16"/>
          <w:szCs w:val="16"/>
        </w:rPr>
      </w:pPr>
    </w:p>
    <w:p w14:paraId="386CC5A6" w14:textId="1C3125F8" w:rsidR="00FE1534" w:rsidRPr="00FE1534" w:rsidRDefault="00E25340" w:rsidP="0070734F">
      <w:pPr>
        <w:spacing w:after="0" w:line="240" w:lineRule="auto"/>
        <w:jc w:val="center"/>
        <w:rPr>
          <w:rFonts w:ascii="Cambria" w:hAnsi="Cambria"/>
          <w:bCs/>
          <w:sz w:val="24"/>
          <w:szCs w:val="24"/>
        </w:rPr>
      </w:pPr>
      <w:r>
        <w:rPr>
          <w:rFonts w:ascii="Cambria" w:hAnsi="Cambria"/>
          <w:bCs/>
          <w:sz w:val="16"/>
          <w:szCs w:val="16"/>
        </w:rPr>
        <w:t>February 2023</w:t>
      </w:r>
    </w:p>
    <w:p w14:paraId="293BADCE" w14:textId="77777777" w:rsidR="004409E2" w:rsidRPr="009D10E7" w:rsidRDefault="004409E2" w:rsidP="0070734F">
      <w:pPr>
        <w:spacing w:after="0" w:line="240" w:lineRule="auto"/>
        <w:jc w:val="center"/>
        <w:rPr>
          <w:rFonts w:ascii="Cambria" w:hAnsi="Cambria"/>
          <w:bCs/>
          <w:color w:val="094183"/>
          <w:u w:val="single"/>
        </w:rPr>
      </w:pPr>
    </w:p>
    <w:p w14:paraId="6193BF6E" w14:textId="0D8898CD" w:rsidR="005C7D9B" w:rsidRDefault="0056186E" w:rsidP="003B4AC8">
      <w:pPr>
        <w:pStyle w:val="Heading1"/>
        <w:numPr>
          <w:ilvl w:val="0"/>
          <w:numId w:val="39"/>
        </w:numPr>
        <w:rPr>
          <w:rFonts w:ascii="Cambria" w:hAnsi="Cambria"/>
          <w:b/>
          <w:bCs/>
          <w:color w:val="094183"/>
          <w:sz w:val="24"/>
          <w:szCs w:val="24"/>
        </w:rPr>
      </w:pPr>
      <w:r w:rsidRPr="00830F7E">
        <w:rPr>
          <w:rFonts w:ascii="Cambria" w:hAnsi="Cambria"/>
          <w:b/>
          <w:bCs/>
          <w:color w:val="094183"/>
          <w:sz w:val="24"/>
          <w:szCs w:val="24"/>
        </w:rPr>
        <w:t>Introduction</w:t>
      </w:r>
    </w:p>
    <w:p w14:paraId="4C5AAB71" w14:textId="6589A897" w:rsidR="00E25340" w:rsidRPr="00E25340" w:rsidRDefault="00E25340" w:rsidP="00E25340">
      <w:r w:rsidRPr="00E25340">
        <w:t>The</w:t>
      </w:r>
      <w:r>
        <w:t xml:space="preserve"> Pacific Disability Forum is a Pacific Regional Organisation of and for persons with disabilities with a constituency of 71 organisations in the Pacific, Australia, New Zealand and East Timor.  </w:t>
      </w:r>
      <w:r w:rsidRPr="00E25340">
        <w:t xml:space="preserve"> </w:t>
      </w:r>
      <w:r>
        <w:t xml:space="preserve">PDF’s vision is towards, </w:t>
      </w:r>
      <w:r w:rsidRPr="00E25340">
        <w:t>‘An inclusive and equitable Pacific Society where all human rights of all persons with disabilities are realised as outlined in the UN Convention on the Rights of Persons with Disabilities (UN CRPD)’ aspiring to be fulfilled to ensure full inclusion and effective participation of persons with disabilities in Pacific Island countries and territories</w:t>
      </w:r>
      <w:r>
        <w:t>.</w:t>
      </w:r>
    </w:p>
    <w:p w14:paraId="544FD4D0" w14:textId="77777777" w:rsidR="0004734B" w:rsidRPr="0004734B" w:rsidRDefault="0004734B" w:rsidP="005C7D9B">
      <w:pPr>
        <w:spacing w:after="0" w:line="240" w:lineRule="auto"/>
        <w:jc w:val="both"/>
        <w:rPr>
          <w:rFonts w:asciiTheme="minorHAnsi" w:hAnsiTheme="minorHAnsi" w:cstheme="minorHAnsi"/>
          <w:b/>
          <w:bCs/>
          <w:sz w:val="12"/>
          <w:szCs w:val="12"/>
        </w:rPr>
      </w:pPr>
    </w:p>
    <w:p w14:paraId="07415601" w14:textId="42691380" w:rsidR="0056186E" w:rsidRDefault="0056186E" w:rsidP="46BA6153">
      <w:pPr>
        <w:spacing w:after="0" w:line="240" w:lineRule="auto"/>
        <w:rPr>
          <w:rFonts w:asciiTheme="minorHAnsi" w:hAnsiTheme="minorHAnsi"/>
        </w:rPr>
      </w:pPr>
      <w:r w:rsidRPr="46BA6153">
        <w:rPr>
          <w:rFonts w:asciiTheme="minorHAnsi" w:hAnsiTheme="minorHAnsi"/>
        </w:rPr>
        <w:t xml:space="preserve">The Sendai Framework for Disaster Risk Reduction 2015-2030 is the first </w:t>
      </w:r>
      <w:r w:rsidR="00752F13">
        <w:rPr>
          <w:rFonts w:asciiTheme="minorHAnsi" w:hAnsiTheme="minorHAnsi"/>
        </w:rPr>
        <w:t>g</w:t>
      </w:r>
      <w:r w:rsidRPr="46BA6153">
        <w:rPr>
          <w:rFonts w:asciiTheme="minorHAnsi" w:hAnsiTheme="minorHAnsi"/>
        </w:rPr>
        <w:t>lobal disaster risk reduction (DRR) framework</w:t>
      </w:r>
      <w:r w:rsidR="008239C1" w:rsidRPr="46BA6153">
        <w:rPr>
          <w:rFonts w:asciiTheme="minorHAnsi" w:hAnsiTheme="minorHAnsi"/>
        </w:rPr>
        <w:t xml:space="preserve"> </w:t>
      </w:r>
      <w:r w:rsidRPr="46BA6153">
        <w:rPr>
          <w:rFonts w:asciiTheme="minorHAnsi" w:hAnsiTheme="minorHAnsi"/>
        </w:rPr>
        <w:t>to substantively reference disability and address disability inclusion.</w:t>
      </w:r>
      <w:r w:rsidR="008239C1" w:rsidRPr="46BA6153">
        <w:rPr>
          <w:rStyle w:val="FootnoteReference"/>
          <w:rFonts w:asciiTheme="minorHAnsi" w:hAnsiTheme="minorHAnsi"/>
        </w:rPr>
        <w:footnoteReference w:id="2"/>
      </w:r>
      <w:r w:rsidRPr="46BA6153">
        <w:rPr>
          <w:rFonts w:asciiTheme="minorHAnsi" w:hAnsiTheme="minorHAnsi"/>
        </w:rPr>
        <w:t xml:space="preserve"> </w:t>
      </w:r>
      <w:r w:rsidR="00752F13">
        <w:rPr>
          <w:rFonts w:asciiTheme="minorHAnsi" w:hAnsiTheme="minorHAnsi"/>
        </w:rPr>
        <w:t xml:space="preserve">The Framework’s Guiding Principles </w:t>
      </w:r>
      <w:r w:rsidR="00E550C0">
        <w:rPr>
          <w:rFonts w:asciiTheme="minorHAnsi" w:hAnsiTheme="minorHAnsi"/>
        </w:rPr>
        <w:t xml:space="preserve">emphasise </w:t>
      </w:r>
      <w:r w:rsidR="00752F13">
        <w:rPr>
          <w:rFonts w:asciiTheme="minorHAnsi" w:hAnsiTheme="minorHAnsi"/>
        </w:rPr>
        <w:t xml:space="preserve">all society engagement; inclusive, accessible, and non-discriminatory participation; and integration of a disability perspective in </w:t>
      </w:r>
      <w:r w:rsidR="00752F13" w:rsidRPr="00FA6E1D">
        <w:rPr>
          <w:rFonts w:asciiTheme="minorHAnsi" w:hAnsiTheme="minorHAnsi"/>
        </w:rPr>
        <w:t>all</w:t>
      </w:r>
      <w:r w:rsidR="00752F13" w:rsidRPr="00DB32C7">
        <w:rPr>
          <w:rFonts w:asciiTheme="minorHAnsi" w:hAnsiTheme="minorHAnsi"/>
          <w:i/>
          <w:iCs/>
        </w:rPr>
        <w:t xml:space="preserve"> </w:t>
      </w:r>
      <w:r w:rsidR="00752F13" w:rsidRPr="00CF177D">
        <w:rPr>
          <w:rFonts w:asciiTheme="minorHAnsi" w:hAnsiTheme="minorHAnsi"/>
        </w:rPr>
        <w:t>policy and practice</w:t>
      </w:r>
      <w:r w:rsidR="00752F13">
        <w:rPr>
          <w:rFonts w:asciiTheme="minorHAnsi" w:hAnsiTheme="minorHAnsi"/>
        </w:rPr>
        <w:t xml:space="preserve"> (Para III.19.d). </w:t>
      </w:r>
      <w:r w:rsidR="008239C1" w:rsidRPr="46BA6153">
        <w:rPr>
          <w:rFonts w:asciiTheme="minorHAnsi" w:hAnsiTheme="minorHAnsi"/>
        </w:rPr>
        <w:t xml:space="preserve">The </w:t>
      </w:r>
      <w:r w:rsidRPr="46BA6153">
        <w:rPr>
          <w:rFonts w:asciiTheme="minorHAnsi" w:hAnsiTheme="minorHAnsi"/>
        </w:rPr>
        <w:t xml:space="preserve">Sendai Framework is unique among the 2015 development frameworks by </w:t>
      </w:r>
      <w:r w:rsidR="00A26398" w:rsidRPr="46BA6153">
        <w:rPr>
          <w:rFonts w:asciiTheme="minorHAnsi" w:hAnsiTheme="minorHAnsi"/>
        </w:rPr>
        <w:t>including</w:t>
      </w:r>
      <w:r w:rsidRPr="46BA6153">
        <w:rPr>
          <w:rFonts w:asciiTheme="minorHAnsi" w:hAnsiTheme="minorHAnsi"/>
        </w:rPr>
        <w:t xml:space="preserve"> persons with disabilities as contributing stakeholders:</w:t>
      </w:r>
      <w:r w:rsidR="006E3784" w:rsidRPr="46BA6153">
        <w:rPr>
          <w:rStyle w:val="FootnoteReference"/>
          <w:rFonts w:asciiTheme="minorHAnsi" w:hAnsiTheme="minorHAnsi"/>
        </w:rPr>
        <w:footnoteReference w:id="3"/>
      </w:r>
    </w:p>
    <w:p w14:paraId="66A8B957" w14:textId="71DB2421" w:rsidR="0056186E" w:rsidRDefault="0056186E" w:rsidP="00C61070">
      <w:pPr>
        <w:spacing w:after="0" w:line="240" w:lineRule="auto"/>
        <w:rPr>
          <w:rFonts w:asciiTheme="minorHAnsi" w:hAnsiTheme="minorHAnsi" w:cstheme="minorHAnsi"/>
        </w:rPr>
      </w:pPr>
    </w:p>
    <w:p w14:paraId="7F060AE8" w14:textId="0B4D2A58" w:rsidR="0056186E" w:rsidRPr="0014224B" w:rsidRDefault="006E3784" w:rsidP="006E3784">
      <w:pPr>
        <w:spacing w:after="0" w:line="240" w:lineRule="auto"/>
        <w:ind w:left="720"/>
        <w:rPr>
          <w:rFonts w:asciiTheme="minorHAnsi" w:hAnsiTheme="minorHAnsi" w:cstheme="minorHAnsi"/>
          <w:i/>
          <w:iCs/>
        </w:rPr>
      </w:pPr>
      <w:r w:rsidRPr="0014224B">
        <w:rPr>
          <w:rFonts w:asciiTheme="minorHAnsi" w:hAnsiTheme="minorHAnsi" w:cstheme="minorHAnsi"/>
          <w:i/>
          <w:iCs/>
        </w:rPr>
        <w:t xml:space="preserve">Persons with disabilities and their </w:t>
      </w:r>
      <w:r w:rsidR="00BA1D70">
        <w:rPr>
          <w:rFonts w:asciiTheme="minorHAnsi" w:hAnsiTheme="minorHAnsi" w:cstheme="minorHAnsi"/>
          <w:i/>
          <w:iCs/>
        </w:rPr>
        <w:t xml:space="preserve">[representative] </w:t>
      </w:r>
      <w:r w:rsidRPr="0014224B">
        <w:rPr>
          <w:rFonts w:asciiTheme="minorHAnsi" w:hAnsiTheme="minorHAnsi" w:cstheme="minorHAnsi"/>
          <w:i/>
          <w:iCs/>
        </w:rPr>
        <w:t>organizations are critical in the assessment of disaster risk and in designing and implementing plans tailored to specific requirements, taking into consideration, inter alia, the principles of universal design</w:t>
      </w:r>
      <w:r w:rsidR="0014224B" w:rsidRPr="0014224B">
        <w:rPr>
          <w:rFonts w:asciiTheme="minorHAnsi" w:hAnsiTheme="minorHAnsi" w:cstheme="minorHAnsi"/>
          <w:i/>
          <w:iCs/>
        </w:rPr>
        <w:t>.</w:t>
      </w:r>
    </w:p>
    <w:p w14:paraId="4557A8F8" w14:textId="77777777" w:rsidR="001B2129" w:rsidRDefault="001B2129" w:rsidP="006E3784">
      <w:pPr>
        <w:spacing w:after="0" w:line="240" w:lineRule="auto"/>
        <w:ind w:left="5760" w:firstLine="720"/>
        <w:rPr>
          <w:rFonts w:asciiTheme="minorHAnsi" w:hAnsiTheme="minorHAnsi" w:cstheme="minorHAnsi"/>
        </w:rPr>
      </w:pPr>
    </w:p>
    <w:p w14:paraId="7593DF5A" w14:textId="66A0E3FF" w:rsidR="006E3784" w:rsidRDefault="006E3784" w:rsidP="006E3784">
      <w:pPr>
        <w:spacing w:after="0" w:line="240" w:lineRule="auto"/>
        <w:ind w:left="5760" w:firstLine="720"/>
        <w:rPr>
          <w:rFonts w:asciiTheme="minorHAnsi" w:hAnsiTheme="minorHAnsi" w:cstheme="minorHAnsi"/>
        </w:rPr>
      </w:pPr>
      <w:r>
        <w:rPr>
          <w:rFonts w:asciiTheme="minorHAnsi" w:hAnsiTheme="minorHAnsi" w:cstheme="minorHAnsi"/>
        </w:rPr>
        <w:t>Para V.36.a.iii</w:t>
      </w:r>
    </w:p>
    <w:p w14:paraId="578C928C" w14:textId="647627E9" w:rsidR="0056186E" w:rsidRDefault="0056186E" w:rsidP="00C61070">
      <w:pPr>
        <w:spacing w:after="0" w:line="240" w:lineRule="auto"/>
        <w:rPr>
          <w:rFonts w:asciiTheme="minorHAnsi" w:hAnsiTheme="minorHAnsi" w:cstheme="minorHAnsi"/>
        </w:rPr>
      </w:pPr>
    </w:p>
    <w:p w14:paraId="41674728" w14:textId="541DEBD1" w:rsidR="001B2129" w:rsidRDefault="006E3784" w:rsidP="46BA6153">
      <w:pPr>
        <w:spacing w:after="0" w:line="240" w:lineRule="auto"/>
        <w:rPr>
          <w:rFonts w:asciiTheme="minorHAnsi" w:hAnsiTheme="minorHAnsi"/>
        </w:rPr>
      </w:pPr>
      <w:r w:rsidRPr="46BA6153">
        <w:rPr>
          <w:rFonts w:asciiTheme="minorHAnsi" w:hAnsiTheme="minorHAnsi"/>
        </w:rPr>
        <w:t xml:space="preserve">Recognition of the contribution persons with disabilities can make to DRR reflects wider </w:t>
      </w:r>
      <w:r w:rsidR="00780403" w:rsidRPr="46BA6153">
        <w:rPr>
          <w:rFonts w:asciiTheme="minorHAnsi" w:hAnsiTheme="minorHAnsi"/>
        </w:rPr>
        <w:t>commitments</w:t>
      </w:r>
      <w:r w:rsidR="00A26398" w:rsidRPr="46BA6153">
        <w:rPr>
          <w:rFonts w:asciiTheme="minorHAnsi" w:hAnsiTheme="minorHAnsi"/>
        </w:rPr>
        <w:t xml:space="preserve"> to </w:t>
      </w:r>
      <w:r w:rsidR="002E2632">
        <w:rPr>
          <w:rFonts w:asciiTheme="minorHAnsi" w:hAnsiTheme="minorHAnsi"/>
        </w:rPr>
        <w:t xml:space="preserve">disability </w:t>
      </w:r>
      <w:r w:rsidR="00A26398" w:rsidRPr="46BA6153">
        <w:rPr>
          <w:rFonts w:asciiTheme="minorHAnsi" w:hAnsiTheme="minorHAnsi"/>
        </w:rPr>
        <w:t>inclusion</w:t>
      </w:r>
      <w:r w:rsidRPr="46BA6153">
        <w:rPr>
          <w:rFonts w:asciiTheme="minorHAnsi" w:hAnsiTheme="minorHAnsi"/>
        </w:rPr>
        <w:t xml:space="preserve">. </w:t>
      </w:r>
      <w:r w:rsidR="00FA6E1D">
        <w:rPr>
          <w:rFonts w:asciiTheme="minorHAnsi" w:hAnsiTheme="minorHAnsi"/>
        </w:rPr>
        <w:t>This includes the Incheon Strategy to “Make the Right Real” for Persons with Disabilities in Asia and the Pacific</w:t>
      </w:r>
      <w:r w:rsidR="003020FE">
        <w:rPr>
          <w:rFonts w:asciiTheme="minorHAnsi" w:hAnsiTheme="minorHAnsi"/>
        </w:rPr>
        <w:t xml:space="preserve">, which </w:t>
      </w:r>
      <w:r w:rsidR="00FA6E1D">
        <w:rPr>
          <w:rFonts w:asciiTheme="minorHAnsi" w:hAnsiTheme="minorHAnsi"/>
        </w:rPr>
        <w:t>addresses DRR under Goal 7</w:t>
      </w:r>
      <w:r w:rsidR="003020FE">
        <w:rPr>
          <w:rFonts w:asciiTheme="minorHAnsi" w:hAnsiTheme="minorHAnsi"/>
        </w:rPr>
        <w:t>.</w:t>
      </w:r>
      <w:r w:rsidR="002E2632">
        <w:rPr>
          <w:rStyle w:val="FootnoteReference"/>
          <w:rFonts w:asciiTheme="minorHAnsi" w:hAnsiTheme="minorHAnsi"/>
        </w:rPr>
        <w:footnoteReference w:id="4"/>
      </w:r>
      <w:r w:rsidR="003020FE">
        <w:rPr>
          <w:rFonts w:asciiTheme="minorHAnsi" w:hAnsiTheme="minorHAnsi"/>
        </w:rPr>
        <w:t xml:space="preserve"> The Incheon Strategy </w:t>
      </w:r>
      <w:r w:rsidR="00FA6E1D">
        <w:rPr>
          <w:rFonts w:asciiTheme="minorHAnsi" w:hAnsiTheme="minorHAnsi"/>
        </w:rPr>
        <w:t xml:space="preserve">provides a regional road map for implementing the </w:t>
      </w:r>
      <w:r w:rsidR="00DE38B5" w:rsidRPr="46BA6153">
        <w:rPr>
          <w:rFonts w:asciiTheme="minorHAnsi" w:hAnsiTheme="minorHAnsi"/>
        </w:rPr>
        <w:t>Convention on the Rights of Person</w:t>
      </w:r>
      <w:r w:rsidR="003020FE">
        <w:rPr>
          <w:rFonts w:asciiTheme="minorHAnsi" w:hAnsiTheme="minorHAnsi"/>
        </w:rPr>
        <w:t>s</w:t>
      </w:r>
      <w:r w:rsidR="00DE38B5" w:rsidRPr="46BA6153">
        <w:rPr>
          <w:rFonts w:asciiTheme="minorHAnsi" w:hAnsiTheme="minorHAnsi"/>
        </w:rPr>
        <w:t xml:space="preserve"> with Disabilities (CRPD),</w:t>
      </w:r>
      <w:r w:rsidR="00DE38B5">
        <w:rPr>
          <w:rFonts w:asciiTheme="minorHAnsi" w:hAnsiTheme="minorHAnsi"/>
        </w:rPr>
        <w:t xml:space="preserve"> 2006.</w:t>
      </w:r>
      <w:r w:rsidR="002E2632">
        <w:rPr>
          <w:rStyle w:val="FootnoteReference"/>
          <w:rFonts w:asciiTheme="minorHAnsi" w:hAnsiTheme="minorHAnsi"/>
        </w:rPr>
        <w:footnoteReference w:id="5"/>
      </w:r>
      <w:r w:rsidR="00DE38B5">
        <w:rPr>
          <w:rFonts w:asciiTheme="minorHAnsi" w:hAnsiTheme="minorHAnsi"/>
        </w:rPr>
        <w:t xml:space="preserve"> The CRPD has been ratified by 185 </w:t>
      </w:r>
      <w:r w:rsidR="00DE38B5" w:rsidRPr="46BA6153">
        <w:rPr>
          <w:rFonts w:asciiTheme="minorHAnsi" w:hAnsiTheme="minorHAnsi"/>
        </w:rPr>
        <w:t>United Nations (UN) member states</w:t>
      </w:r>
      <w:r w:rsidR="00DE38B5">
        <w:rPr>
          <w:rFonts w:asciiTheme="minorHAnsi" w:hAnsiTheme="minorHAnsi"/>
        </w:rPr>
        <w:t xml:space="preserve"> and is c</w:t>
      </w:r>
      <w:r w:rsidR="0046662B" w:rsidRPr="46BA6153">
        <w:rPr>
          <w:rFonts w:asciiTheme="minorHAnsi" w:hAnsiTheme="minorHAnsi"/>
        </w:rPr>
        <w:t xml:space="preserve">entral to </w:t>
      </w:r>
      <w:r w:rsidR="00D45C3D" w:rsidRPr="46BA6153">
        <w:rPr>
          <w:rFonts w:asciiTheme="minorHAnsi" w:hAnsiTheme="minorHAnsi"/>
        </w:rPr>
        <w:t>current</w:t>
      </w:r>
      <w:r w:rsidR="0046662B" w:rsidRPr="46BA6153">
        <w:rPr>
          <w:rFonts w:asciiTheme="minorHAnsi" w:hAnsiTheme="minorHAnsi"/>
        </w:rPr>
        <w:t xml:space="preserve"> understandings </w:t>
      </w:r>
      <w:r w:rsidR="00D45C3D" w:rsidRPr="46BA6153">
        <w:rPr>
          <w:rFonts w:asciiTheme="minorHAnsi" w:hAnsiTheme="minorHAnsi"/>
        </w:rPr>
        <w:t>of disability inclusion</w:t>
      </w:r>
      <w:r w:rsidR="00DE38B5">
        <w:rPr>
          <w:rFonts w:asciiTheme="minorHAnsi" w:hAnsiTheme="minorHAnsi"/>
        </w:rPr>
        <w:t>.</w:t>
      </w:r>
      <w:r w:rsidR="00D45C3D" w:rsidRPr="46BA6153">
        <w:rPr>
          <w:rStyle w:val="FootnoteReference"/>
          <w:rFonts w:asciiTheme="minorHAnsi" w:hAnsiTheme="minorHAnsi"/>
        </w:rPr>
        <w:footnoteReference w:id="6"/>
      </w:r>
      <w:r w:rsidR="00610AB7">
        <w:rPr>
          <w:rFonts w:asciiTheme="minorHAnsi" w:hAnsiTheme="minorHAnsi"/>
        </w:rPr>
        <w:t xml:space="preserve"> Article 11 of the CRPD concerns </w:t>
      </w:r>
      <w:r w:rsidR="00D21BE9">
        <w:rPr>
          <w:rFonts w:asciiTheme="minorHAnsi" w:hAnsiTheme="minorHAnsi"/>
        </w:rPr>
        <w:t>S</w:t>
      </w:r>
      <w:r w:rsidR="00D21BE9" w:rsidRPr="22D8730C">
        <w:rPr>
          <w:rFonts w:asciiTheme="minorHAnsi" w:hAnsiTheme="minorHAnsi"/>
        </w:rPr>
        <w:t xml:space="preserve">ituations of </w:t>
      </w:r>
      <w:r w:rsidR="00D21BE9">
        <w:rPr>
          <w:rFonts w:asciiTheme="minorHAnsi" w:hAnsiTheme="minorHAnsi"/>
        </w:rPr>
        <w:t>R</w:t>
      </w:r>
      <w:r w:rsidR="00D21BE9" w:rsidRPr="22D8730C">
        <w:rPr>
          <w:rFonts w:asciiTheme="minorHAnsi" w:hAnsiTheme="minorHAnsi"/>
        </w:rPr>
        <w:t>isk</w:t>
      </w:r>
      <w:r w:rsidR="00D21BE9">
        <w:rPr>
          <w:rFonts w:asciiTheme="minorHAnsi" w:hAnsiTheme="minorHAnsi"/>
        </w:rPr>
        <w:t xml:space="preserve"> and Humanitarian Emergencies </w:t>
      </w:r>
      <w:r w:rsidR="00610AB7">
        <w:rPr>
          <w:rFonts w:asciiTheme="minorHAnsi" w:hAnsiTheme="minorHAnsi"/>
        </w:rPr>
        <w:t xml:space="preserve">and </w:t>
      </w:r>
      <w:r w:rsidR="001B2129">
        <w:rPr>
          <w:rFonts w:asciiTheme="minorHAnsi" w:hAnsiTheme="minorHAnsi"/>
        </w:rPr>
        <w:t xml:space="preserve">will be the </w:t>
      </w:r>
      <w:r w:rsidR="00610AB7">
        <w:rPr>
          <w:rFonts w:asciiTheme="minorHAnsi" w:hAnsiTheme="minorHAnsi"/>
        </w:rPr>
        <w:t xml:space="preserve">subject of </w:t>
      </w:r>
      <w:r w:rsidR="001B2129">
        <w:rPr>
          <w:rFonts w:asciiTheme="minorHAnsi" w:hAnsiTheme="minorHAnsi"/>
        </w:rPr>
        <w:t xml:space="preserve">a </w:t>
      </w:r>
      <w:r w:rsidR="00FC31E9">
        <w:rPr>
          <w:rFonts w:asciiTheme="minorHAnsi" w:hAnsiTheme="minorHAnsi"/>
        </w:rPr>
        <w:t xml:space="preserve">new </w:t>
      </w:r>
      <w:r w:rsidR="00610AB7">
        <w:rPr>
          <w:rFonts w:asciiTheme="minorHAnsi" w:hAnsiTheme="minorHAnsi"/>
        </w:rPr>
        <w:t xml:space="preserve">General </w:t>
      </w:r>
      <w:r w:rsidR="00610AB7">
        <w:rPr>
          <w:rFonts w:asciiTheme="minorHAnsi" w:hAnsiTheme="minorHAnsi"/>
        </w:rPr>
        <w:lastRenderedPageBreak/>
        <w:t>Comment</w:t>
      </w:r>
      <w:r w:rsidR="001B2129">
        <w:rPr>
          <w:rFonts w:asciiTheme="minorHAnsi" w:hAnsiTheme="minorHAnsi"/>
        </w:rPr>
        <w:t xml:space="preserve"> from</w:t>
      </w:r>
      <w:r w:rsidR="00610AB7">
        <w:rPr>
          <w:rFonts w:asciiTheme="minorHAnsi" w:hAnsiTheme="minorHAnsi"/>
        </w:rPr>
        <w:t xml:space="preserve"> the Committee on the Rights of Persons with Disabilities.</w:t>
      </w:r>
      <w:r w:rsidR="00610AB7">
        <w:rPr>
          <w:rStyle w:val="FootnoteReference"/>
          <w:rFonts w:asciiTheme="minorHAnsi" w:hAnsiTheme="minorHAnsi"/>
        </w:rPr>
        <w:footnoteReference w:id="7"/>
      </w:r>
      <w:r w:rsidR="00610AB7">
        <w:rPr>
          <w:rFonts w:asciiTheme="minorHAnsi" w:hAnsiTheme="minorHAnsi"/>
        </w:rPr>
        <w:t xml:space="preserve"> </w:t>
      </w:r>
      <w:r w:rsidR="001B2129">
        <w:rPr>
          <w:rFonts w:asciiTheme="minorHAnsi" w:hAnsiTheme="minorHAnsi"/>
        </w:rPr>
        <w:t xml:space="preserve">This General Comment will provide further detail and direction on the realisation of Article 11. </w:t>
      </w:r>
    </w:p>
    <w:p w14:paraId="2B41FF0B" w14:textId="77777777" w:rsidR="001B2129" w:rsidRDefault="001B2129" w:rsidP="46BA6153">
      <w:pPr>
        <w:spacing w:after="0" w:line="240" w:lineRule="auto"/>
        <w:rPr>
          <w:rFonts w:asciiTheme="minorHAnsi" w:hAnsiTheme="minorHAnsi"/>
        </w:rPr>
      </w:pPr>
    </w:p>
    <w:p w14:paraId="23E5F3D5" w14:textId="071A75B8" w:rsidR="006E3784" w:rsidRDefault="00A711CF" w:rsidP="46BA6153">
      <w:pPr>
        <w:spacing w:after="0" w:line="240" w:lineRule="auto"/>
        <w:rPr>
          <w:rFonts w:asciiTheme="minorHAnsi" w:hAnsiTheme="minorHAnsi"/>
        </w:rPr>
      </w:pPr>
      <w:r>
        <w:rPr>
          <w:rFonts w:asciiTheme="minorHAnsi" w:hAnsiTheme="minorHAnsi"/>
        </w:rPr>
        <w:t xml:space="preserve">13 Pacific countries have ratified the CRPD and </w:t>
      </w:r>
      <w:r w:rsidR="001B2129">
        <w:rPr>
          <w:rFonts w:asciiTheme="minorHAnsi" w:hAnsiTheme="minorHAnsi"/>
        </w:rPr>
        <w:t xml:space="preserve">another </w:t>
      </w:r>
      <w:r>
        <w:rPr>
          <w:rFonts w:asciiTheme="minorHAnsi" w:hAnsiTheme="minorHAnsi"/>
        </w:rPr>
        <w:t xml:space="preserve">two </w:t>
      </w:r>
      <w:r w:rsidR="003020FE">
        <w:rPr>
          <w:rFonts w:asciiTheme="minorHAnsi" w:hAnsiTheme="minorHAnsi"/>
        </w:rPr>
        <w:t>are signatories</w:t>
      </w:r>
      <w:r>
        <w:rPr>
          <w:rFonts w:asciiTheme="minorHAnsi" w:hAnsiTheme="minorHAnsi"/>
        </w:rPr>
        <w:t xml:space="preserve">. </w:t>
      </w:r>
      <w:r w:rsidR="008239C1" w:rsidRPr="46BA6153">
        <w:rPr>
          <w:rFonts w:asciiTheme="minorHAnsi" w:hAnsiTheme="minorHAnsi"/>
        </w:rPr>
        <w:t xml:space="preserve">Ratification requires member states to align legislation with the CRPD. </w:t>
      </w:r>
      <w:r w:rsidR="001B2129">
        <w:rPr>
          <w:rFonts w:asciiTheme="minorHAnsi" w:hAnsiTheme="minorHAnsi"/>
        </w:rPr>
        <w:t>As such, di</w:t>
      </w:r>
      <w:r w:rsidR="0046662B" w:rsidRPr="46BA6153">
        <w:rPr>
          <w:rFonts w:asciiTheme="minorHAnsi" w:hAnsiTheme="minorHAnsi"/>
        </w:rPr>
        <w:t>sability inclusion is no longer only a</w:t>
      </w:r>
      <w:r w:rsidR="008239C1" w:rsidRPr="46BA6153">
        <w:rPr>
          <w:rFonts w:asciiTheme="minorHAnsi" w:hAnsiTheme="minorHAnsi"/>
        </w:rPr>
        <w:t xml:space="preserve">n </w:t>
      </w:r>
      <w:r w:rsidR="0046662B" w:rsidRPr="46BA6153">
        <w:rPr>
          <w:rFonts w:asciiTheme="minorHAnsi" w:hAnsiTheme="minorHAnsi"/>
        </w:rPr>
        <w:t>ethical</w:t>
      </w:r>
      <w:r w:rsidR="008239C1" w:rsidRPr="46BA6153">
        <w:rPr>
          <w:rFonts w:asciiTheme="minorHAnsi" w:hAnsiTheme="minorHAnsi"/>
        </w:rPr>
        <w:t xml:space="preserve"> and moral</w:t>
      </w:r>
      <w:r w:rsidR="0046662B" w:rsidRPr="46BA6153">
        <w:rPr>
          <w:rFonts w:asciiTheme="minorHAnsi" w:hAnsiTheme="minorHAnsi"/>
        </w:rPr>
        <w:t xml:space="preserve"> consideration, disability inclusion is</w:t>
      </w:r>
      <w:r w:rsidR="00703284" w:rsidRPr="46BA6153">
        <w:rPr>
          <w:rFonts w:asciiTheme="minorHAnsi" w:hAnsiTheme="minorHAnsi"/>
        </w:rPr>
        <w:t xml:space="preserve"> </w:t>
      </w:r>
      <w:r w:rsidR="001B2129">
        <w:rPr>
          <w:rFonts w:asciiTheme="minorHAnsi" w:hAnsiTheme="minorHAnsi"/>
        </w:rPr>
        <w:t xml:space="preserve">increasingly </w:t>
      </w:r>
      <w:r w:rsidR="00703284" w:rsidRPr="46BA6153">
        <w:rPr>
          <w:rFonts w:asciiTheme="minorHAnsi" w:hAnsiTheme="minorHAnsi"/>
        </w:rPr>
        <w:t>required under law.</w:t>
      </w:r>
      <w:r w:rsidR="0046662B" w:rsidRPr="46BA6153">
        <w:rPr>
          <w:rFonts w:asciiTheme="minorHAnsi" w:hAnsiTheme="minorHAnsi"/>
        </w:rPr>
        <w:t xml:space="preserve"> </w:t>
      </w:r>
    </w:p>
    <w:p w14:paraId="7A3C9A5E" w14:textId="380A61EC" w:rsidR="008239C1" w:rsidRDefault="008239C1" w:rsidP="00C61070">
      <w:pPr>
        <w:spacing w:after="0" w:line="240" w:lineRule="auto"/>
        <w:rPr>
          <w:rFonts w:asciiTheme="minorHAnsi" w:hAnsiTheme="minorHAnsi" w:cstheme="minorHAnsi"/>
        </w:rPr>
      </w:pPr>
    </w:p>
    <w:p w14:paraId="742E7B84" w14:textId="28407CDA" w:rsidR="00703284" w:rsidRPr="007352D0" w:rsidRDefault="008239C1" w:rsidP="007352D0">
      <w:pPr>
        <w:spacing w:after="0" w:line="240" w:lineRule="auto"/>
        <w:ind w:left="720"/>
        <w:rPr>
          <w:rFonts w:asciiTheme="minorHAnsi" w:hAnsiTheme="minorHAnsi" w:cstheme="minorHAnsi"/>
          <w:i/>
          <w:iCs/>
        </w:rPr>
      </w:pPr>
      <w:r w:rsidRPr="0014224B">
        <w:rPr>
          <w:rFonts w:asciiTheme="minorHAnsi" w:hAnsiTheme="minorHAnsi" w:cstheme="minorHAnsi"/>
          <w:i/>
          <w:iCs/>
        </w:rPr>
        <w:t>States Parties shall take, in accordance with their obligations under international law, including international humanitarian law and international human rights law, all necessary measures to ensure the protection and safety of persons with disabilities in situations of risk, including situations of armed conflict, humanitarian emergencies and the occurrence of natural disasters.</w:t>
      </w:r>
      <w:r w:rsidR="007352D0">
        <w:rPr>
          <w:rFonts w:asciiTheme="minorHAnsi" w:hAnsiTheme="minorHAnsi" w:cstheme="minorHAnsi"/>
          <w:i/>
          <w:iCs/>
        </w:rPr>
        <w:t xml:space="preserve">                                                                                         </w:t>
      </w:r>
      <w:r w:rsidR="00703284">
        <w:rPr>
          <w:rFonts w:asciiTheme="minorHAnsi" w:hAnsiTheme="minorHAnsi" w:cstheme="minorHAnsi"/>
        </w:rPr>
        <w:t>CRPD Art</w:t>
      </w:r>
      <w:r w:rsidR="001B2129">
        <w:rPr>
          <w:rFonts w:asciiTheme="minorHAnsi" w:hAnsiTheme="minorHAnsi" w:cstheme="minorHAnsi"/>
        </w:rPr>
        <w:t>icle</w:t>
      </w:r>
      <w:r w:rsidR="00703284">
        <w:rPr>
          <w:rFonts w:asciiTheme="minorHAnsi" w:hAnsiTheme="minorHAnsi" w:cstheme="minorHAnsi"/>
        </w:rPr>
        <w:t xml:space="preserve"> 11</w:t>
      </w:r>
    </w:p>
    <w:p w14:paraId="17DAE6AB" w14:textId="77777777" w:rsidR="008239C1" w:rsidRDefault="008239C1" w:rsidP="00C61070">
      <w:pPr>
        <w:spacing w:after="0" w:line="240" w:lineRule="auto"/>
        <w:rPr>
          <w:rFonts w:asciiTheme="minorHAnsi" w:hAnsiTheme="minorHAnsi" w:cstheme="minorHAnsi"/>
        </w:rPr>
      </w:pPr>
    </w:p>
    <w:p w14:paraId="4E370848" w14:textId="1AEC945C" w:rsidR="005436B4" w:rsidRDefault="008239C1" w:rsidP="46BA6153">
      <w:pPr>
        <w:spacing w:after="0" w:line="240" w:lineRule="auto"/>
        <w:rPr>
          <w:rFonts w:asciiTheme="minorHAnsi" w:hAnsiTheme="minorHAnsi"/>
        </w:rPr>
      </w:pPr>
      <w:r w:rsidRPr="46BA6153">
        <w:rPr>
          <w:rFonts w:asciiTheme="minorHAnsi" w:hAnsiTheme="minorHAnsi"/>
        </w:rPr>
        <w:t>T</w:t>
      </w:r>
      <w:r w:rsidR="00D45C3D" w:rsidRPr="46BA6153">
        <w:rPr>
          <w:rFonts w:asciiTheme="minorHAnsi" w:hAnsiTheme="minorHAnsi"/>
        </w:rPr>
        <w:t xml:space="preserve">his review identifies where progress </w:t>
      </w:r>
      <w:r w:rsidR="00C61F37" w:rsidRPr="46BA6153">
        <w:rPr>
          <w:rFonts w:asciiTheme="minorHAnsi" w:hAnsiTheme="minorHAnsi"/>
        </w:rPr>
        <w:t>o</w:t>
      </w:r>
      <w:r w:rsidR="00D45C3D" w:rsidRPr="46BA6153">
        <w:rPr>
          <w:rFonts w:asciiTheme="minorHAnsi" w:hAnsiTheme="minorHAnsi"/>
        </w:rPr>
        <w:t>n disability inclusion in DRR in the Pacific has been made since 2015 and where gaps persist. The review also outlines future directions and priorities for ensuring commitments to disability inclusion made in Sendai can be met by 2030. This is a high level review</w:t>
      </w:r>
      <w:r w:rsidR="00FC31E9">
        <w:rPr>
          <w:rFonts w:asciiTheme="minorHAnsi" w:hAnsiTheme="minorHAnsi"/>
        </w:rPr>
        <w:t xml:space="preserve"> and is </w:t>
      </w:r>
      <w:r w:rsidR="00D45C3D" w:rsidRPr="46BA6153">
        <w:rPr>
          <w:rFonts w:asciiTheme="minorHAnsi" w:hAnsiTheme="minorHAnsi"/>
        </w:rPr>
        <w:t>not a</w:t>
      </w:r>
      <w:r w:rsidR="00FC31E9">
        <w:rPr>
          <w:rFonts w:asciiTheme="minorHAnsi" w:hAnsiTheme="minorHAnsi"/>
        </w:rPr>
        <w:t>n</w:t>
      </w:r>
      <w:r w:rsidR="00D45C3D" w:rsidRPr="46BA6153">
        <w:rPr>
          <w:rFonts w:asciiTheme="minorHAnsi" w:hAnsiTheme="minorHAnsi"/>
        </w:rPr>
        <w:t xml:space="preserve"> in depth evaluation or academic study. The review has been informed by key informant interviews, document review, and the lived experiences of persons with disabilities over the first half of the Sendai Framework. </w:t>
      </w:r>
      <w:r w:rsidR="005436B4" w:rsidRPr="46BA6153">
        <w:rPr>
          <w:rFonts w:asciiTheme="minorHAnsi" w:hAnsiTheme="minorHAnsi"/>
        </w:rPr>
        <w:t>The review is organised around the Sendai Framework’s four Priorities for Action.</w:t>
      </w:r>
    </w:p>
    <w:p w14:paraId="772406CA" w14:textId="77777777" w:rsidR="005436B4" w:rsidRDefault="005436B4" w:rsidP="00C61070">
      <w:pPr>
        <w:spacing w:after="0" w:line="240" w:lineRule="auto"/>
        <w:rPr>
          <w:rFonts w:asciiTheme="minorHAnsi" w:hAnsiTheme="minorHAnsi" w:cstheme="minorHAnsi"/>
        </w:rPr>
      </w:pPr>
    </w:p>
    <w:p w14:paraId="4565355E" w14:textId="290213E1" w:rsidR="00D45C3D" w:rsidRDefault="00D45C3D" w:rsidP="00C61070">
      <w:pPr>
        <w:spacing w:after="0" w:line="240" w:lineRule="auto"/>
        <w:rPr>
          <w:rFonts w:asciiTheme="minorHAnsi" w:hAnsiTheme="minorHAnsi" w:cstheme="minorHAnsi"/>
        </w:rPr>
      </w:pPr>
      <w:r>
        <w:rPr>
          <w:rFonts w:asciiTheme="minorHAnsi" w:hAnsiTheme="minorHAnsi" w:cstheme="minorHAnsi"/>
        </w:rPr>
        <w:t>This review has been produced by the Pacific Disability Forum (PDF) and reflects the views of PDF as the peak representative organisation of persons with disabilities (OPD) in the Pacific.</w:t>
      </w:r>
    </w:p>
    <w:p w14:paraId="4C8BC43E" w14:textId="6AB85915" w:rsidR="00E95D5A" w:rsidRPr="00830F7E" w:rsidRDefault="00E95D5A" w:rsidP="003B4AC8">
      <w:pPr>
        <w:pStyle w:val="Heading1"/>
        <w:numPr>
          <w:ilvl w:val="0"/>
          <w:numId w:val="39"/>
        </w:numPr>
        <w:rPr>
          <w:rFonts w:ascii="Cambria" w:hAnsi="Cambria"/>
          <w:b/>
          <w:bCs/>
          <w:color w:val="094183"/>
          <w:sz w:val="24"/>
          <w:szCs w:val="24"/>
        </w:rPr>
      </w:pPr>
      <w:r w:rsidRPr="00830F7E">
        <w:rPr>
          <w:rFonts w:ascii="Cambria" w:hAnsi="Cambria"/>
          <w:b/>
          <w:bCs/>
          <w:color w:val="094183"/>
          <w:sz w:val="24"/>
          <w:szCs w:val="24"/>
        </w:rPr>
        <w:t>Priority 1. Understanding disaster risk</w:t>
      </w:r>
    </w:p>
    <w:p w14:paraId="28F45A76" w14:textId="77777777" w:rsidR="00E95D5A" w:rsidRPr="0004734B" w:rsidRDefault="00E95D5A" w:rsidP="00E95D5A">
      <w:pPr>
        <w:spacing w:after="0" w:line="240" w:lineRule="auto"/>
        <w:jc w:val="both"/>
        <w:rPr>
          <w:rFonts w:asciiTheme="minorHAnsi" w:hAnsiTheme="minorHAnsi" w:cstheme="minorHAnsi"/>
          <w:b/>
          <w:bCs/>
          <w:sz w:val="12"/>
          <w:szCs w:val="12"/>
        </w:rPr>
      </w:pPr>
    </w:p>
    <w:p w14:paraId="0CE0BA5B" w14:textId="41B839B4" w:rsidR="00E95D5A" w:rsidRDefault="00E95D5A" w:rsidP="00E95D5A">
      <w:pPr>
        <w:spacing w:after="0" w:line="240" w:lineRule="auto"/>
        <w:rPr>
          <w:rFonts w:asciiTheme="minorHAnsi" w:hAnsiTheme="minorHAnsi" w:cstheme="minorHAnsi"/>
        </w:rPr>
      </w:pPr>
      <w:r>
        <w:rPr>
          <w:rFonts w:asciiTheme="minorHAnsi" w:hAnsiTheme="minorHAnsi" w:cstheme="minorHAnsi"/>
        </w:rPr>
        <w:t>The Sendai</w:t>
      </w:r>
      <w:r w:rsidR="0014224B">
        <w:rPr>
          <w:rFonts w:asciiTheme="minorHAnsi" w:hAnsiTheme="minorHAnsi" w:cstheme="minorHAnsi"/>
        </w:rPr>
        <w:t xml:space="preserve"> Framework describes the importance of understanding disaster risk at national, local, global, and regional levels as follows:</w:t>
      </w:r>
    </w:p>
    <w:p w14:paraId="60869733" w14:textId="26637371" w:rsidR="0014224B" w:rsidRDefault="0014224B" w:rsidP="00E95D5A">
      <w:pPr>
        <w:spacing w:after="0" w:line="240" w:lineRule="auto"/>
        <w:rPr>
          <w:rFonts w:asciiTheme="minorHAnsi" w:hAnsiTheme="minorHAnsi" w:cstheme="minorHAnsi"/>
        </w:rPr>
      </w:pPr>
    </w:p>
    <w:p w14:paraId="50508FD0" w14:textId="30CBF8E4" w:rsidR="0014224B" w:rsidRPr="0014224B" w:rsidRDefault="0014224B" w:rsidP="46BA6153">
      <w:pPr>
        <w:spacing w:after="0" w:line="240" w:lineRule="auto"/>
        <w:ind w:left="720"/>
        <w:rPr>
          <w:rFonts w:asciiTheme="minorHAnsi" w:hAnsiTheme="minorHAnsi"/>
          <w:i/>
          <w:iCs/>
        </w:rPr>
      </w:pPr>
      <w:r w:rsidRPr="46BA6153">
        <w:rPr>
          <w:rFonts w:asciiTheme="minorHAnsi" w:hAnsiTheme="minorHAnsi"/>
          <w:i/>
          <w:iCs/>
        </w:rPr>
        <w:t>Polic</w:t>
      </w:r>
      <w:r w:rsidR="10E83E15" w:rsidRPr="46BA6153">
        <w:rPr>
          <w:rFonts w:asciiTheme="minorHAnsi" w:hAnsiTheme="minorHAnsi"/>
          <w:i/>
          <w:iCs/>
        </w:rPr>
        <w:t>i</w:t>
      </w:r>
      <w:r w:rsidRPr="46BA6153">
        <w:rPr>
          <w:rFonts w:asciiTheme="minorHAnsi" w:hAnsiTheme="minorHAnsi"/>
          <w:i/>
          <w:iCs/>
        </w:rPr>
        <w:t>es and practices for disaster risk management should be based on an understanding of disaster risk in all its dimensions of vulnerability, capacity, exposure of persons and assets, hazard characteristics and the environment. Such knowledge can be leveraged for the purpose of pre-disaster risk assessment, for prevention and mitigation and for the development and purpose of appropriate preparedness and effective response to disasters.</w:t>
      </w:r>
    </w:p>
    <w:p w14:paraId="5815B63A" w14:textId="77777777" w:rsidR="001B2129" w:rsidRDefault="001B2129" w:rsidP="0014224B">
      <w:pPr>
        <w:spacing w:after="0" w:line="240" w:lineRule="auto"/>
        <w:ind w:left="5760" w:firstLine="720"/>
        <w:rPr>
          <w:rFonts w:asciiTheme="minorHAnsi" w:hAnsiTheme="minorHAnsi" w:cstheme="minorHAnsi"/>
        </w:rPr>
      </w:pPr>
    </w:p>
    <w:p w14:paraId="4630C8D3" w14:textId="0C8EA9D3" w:rsidR="0014224B" w:rsidRDefault="0014224B" w:rsidP="0014224B">
      <w:pPr>
        <w:spacing w:after="0" w:line="240" w:lineRule="auto"/>
        <w:ind w:left="5760" w:firstLine="720"/>
        <w:rPr>
          <w:rFonts w:asciiTheme="minorHAnsi" w:hAnsiTheme="minorHAnsi" w:cstheme="minorHAnsi"/>
        </w:rPr>
      </w:pPr>
      <w:r>
        <w:rPr>
          <w:rFonts w:asciiTheme="minorHAnsi" w:hAnsiTheme="minorHAnsi" w:cstheme="minorHAnsi"/>
        </w:rPr>
        <w:t>Para IV.23</w:t>
      </w:r>
    </w:p>
    <w:p w14:paraId="69887069" w14:textId="1A435246" w:rsidR="0014224B" w:rsidRPr="0014224B" w:rsidRDefault="0014224B" w:rsidP="003B4AC8">
      <w:pPr>
        <w:pStyle w:val="Heading2"/>
        <w:numPr>
          <w:ilvl w:val="0"/>
          <w:numId w:val="40"/>
        </w:numPr>
        <w:rPr>
          <w:rFonts w:ascii="Cambria" w:hAnsi="Cambria"/>
          <w:sz w:val="24"/>
          <w:szCs w:val="24"/>
        </w:rPr>
      </w:pPr>
      <w:r w:rsidRPr="0014224B">
        <w:rPr>
          <w:rFonts w:ascii="Cambria" w:hAnsi="Cambria"/>
          <w:sz w:val="24"/>
          <w:szCs w:val="24"/>
        </w:rPr>
        <w:t>Vulnerability</w:t>
      </w:r>
      <w:r w:rsidR="00364019">
        <w:rPr>
          <w:rFonts w:ascii="Cambria" w:hAnsi="Cambria"/>
          <w:sz w:val="24"/>
          <w:szCs w:val="24"/>
        </w:rPr>
        <w:t xml:space="preserve"> and disproportionate risk</w:t>
      </w:r>
    </w:p>
    <w:p w14:paraId="5B0E102E" w14:textId="77777777" w:rsidR="00D23642" w:rsidRDefault="00D23642" w:rsidP="00C61070">
      <w:pPr>
        <w:spacing w:after="0" w:line="240" w:lineRule="auto"/>
        <w:rPr>
          <w:rFonts w:asciiTheme="minorHAnsi" w:hAnsiTheme="minorHAnsi" w:cstheme="minorHAnsi"/>
        </w:rPr>
      </w:pPr>
    </w:p>
    <w:p w14:paraId="2ACA789A" w14:textId="77777777" w:rsidR="00D23642" w:rsidRDefault="00D23642" w:rsidP="00C61070">
      <w:pPr>
        <w:spacing w:after="0" w:line="240" w:lineRule="auto"/>
        <w:rPr>
          <w:rFonts w:asciiTheme="minorHAnsi" w:hAnsiTheme="minorHAnsi" w:cstheme="minorHAnsi"/>
        </w:rPr>
      </w:pPr>
      <w:r>
        <w:rPr>
          <w:rFonts w:asciiTheme="minorHAnsi" w:hAnsiTheme="minorHAnsi" w:cstheme="minorHAnsi"/>
        </w:rPr>
        <w:t>The Sendai Framework refers to the definition of vulnerability used in its predecessor, the Hyogo Framework for Action, as:</w:t>
      </w:r>
    </w:p>
    <w:p w14:paraId="67132BE8" w14:textId="77777777" w:rsidR="00D23642" w:rsidRDefault="00D23642" w:rsidP="00C61070">
      <w:pPr>
        <w:spacing w:after="0" w:line="240" w:lineRule="auto"/>
        <w:rPr>
          <w:rFonts w:asciiTheme="minorHAnsi" w:hAnsiTheme="minorHAnsi" w:cstheme="minorHAnsi"/>
        </w:rPr>
      </w:pPr>
    </w:p>
    <w:p w14:paraId="3DBB4F39" w14:textId="58561060" w:rsidR="0014224B" w:rsidRDefault="00D23642" w:rsidP="00D23642">
      <w:pPr>
        <w:spacing w:after="0" w:line="240" w:lineRule="auto"/>
        <w:ind w:left="720"/>
        <w:rPr>
          <w:rFonts w:asciiTheme="minorHAnsi" w:hAnsiTheme="minorHAnsi" w:cstheme="minorHAnsi"/>
          <w:i/>
          <w:iCs/>
        </w:rPr>
      </w:pPr>
      <w:r w:rsidRPr="00D23642">
        <w:rPr>
          <w:rFonts w:asciiTheme="minorHAnsi" w:hAnsiTheme="minorHAnsi" w:cstheme="minorHAnsi"/>
          <w:i/>
          <w:iCs/>
        </w:rPr>
        <w:t xml:space="preserve">The conditions determined by physical, social, economic and environmental factors </w:t>
      </w:r>
      <w:r>
        <w:rPr>
          <w:rFonts w:asciiTheme="minorHAnsi" w:hAnsiTheme="minorHAnsi" w:cstheme="minorHAnsi"/>
          <w:i/>
          <w:iCs/>
        </w:rPr>
        <w:t>or</w:t>
      </w:r>
      <w:r w:rsidRPr="00D23642">
        <w:rPr>
          <w:rFonts w:asciiTheme="minorHAnsi" w:hAnsiTheme="minorHAnsi" w:cstheme="minorHAnsi"/>
          <w:i/>
          <w:iCs/>
        </w:rPr>
        <w:t xml:space="preserve"> processes, which increase the susceptibility of a community to the impact of hazards.</w:t>
      </w:r>
      <w:r w:rsidRPr="00D23642">
        <w:rPr>
          <w:rStyle w:val="FootnoteReference"/>
          <w:rFonts w:asciiTheme="minorHAnsi" w:hAnsiTheme="minorHAnsi" w:cstheme="minorHAnsi"/>
          <w:i/>
          <w:iCs/>
        </w:rPr>
        <w:footnoteReference w:id="8"/>
      </w:r>
    </w:p>
    <w:p w14:paraId="2C020C47" w14:textId="659DD941" w:rsidR="00624C53" w:rsidRDefault="00624C53" w:rsidP="00624C53">
      <w:pPr>
        <w:spacing w:after="0" w:line="240" w:lineRule="auto"/>
        <w:rPr>
          <w:rFonts w:asciiTheme="minorHAnsi" w:hAnsiTheme="minorHAnsi" w:cstheme="minorHAnsi"/>
          <w:i/>
          <w:iCs/>
        </w:rPr>
      </w:pPr>
    </w:p>
    <w:p w14:paraId="73A48E2B" w14:textId="17B00164" w:rsidR="00624C53" w:rsidRDefault="00624C53" w:rsidP="00624C53">
      <w:pPr>
        <w:spacing w:after="0" w:line="240" w:lineRule="auto"/>
        <w:rPr>
          <w:rFonts w:asciiTheme="minorHAnsi" w:hAnsiTheme="minorHAnsi" w:cstheme="minorHAnsi"/>
        </w:rPr>
      </w:pPr>
      <w:r>
        <w:rPr>
          <w:rFonts w:asciiTheme="minorHAnsi" w:hAnsiTheme="minorHAnsi" w:cstheme="minorHAnsi"/>
        </w:rPr>
        <w:lastRenderedPageBreak/>
        <w:t xml:space="preserve">Unlike the Hyogo Framework, the Sendai Framework makes no reference to </w:t>
      </w:r>
      <w:r w:rsidR="00605D29">
        <w:rPr>
          <w:rFonts w:asciiTheme="minorHAnsi" w:hAnsiTheme="minorHAnsi" w:cstheme="minorHAnsi"/>
        </w:rPr>
        <w:t>“</w:t>
      </w:r>
      <w:r>
        <w:rPr>
          <w:rFonts w:asciiTheme="minorHAnsi" w:hAnsiTheme="minorHAnsi" w:cstheme="minorHAnsi"/>
        </w:rPr>
        <w:t>vulnerable groups</w:t>
      </w:r>
      <w:r w:rsidR="00605D29">
        <w:rPr>
          <w:rFonts w:asciiTheme="minorHAnsi" w:hAnsiTheme="minorHAnsi" w:cstheme="minorHAnsi"/>
        </w:rPr>
        <w:t>”</w:t>
      </w:r>
      <w:r>
        <w:rPr>
          <w:rFonts w:asciiTheme="minorHAnsi" w:hAnsiTheme="minorHAnsi" w:cstheme="minorHAnsi"/>
        </w:rPr>
        <w:t xml:space="preserve"> or individuals and instead emphas</w:t>
      </w:r>
      <w:r w:rsidR="004F2834">
        <w:rPr>
          <w:rFonts w:asciiTheme="minorHAnsi" w:hAnsiTheme="minorHAnsi" w:cstheme="minorHAnsi"/>
        </w:rPr>
        <w:t>is</w:t>
      </w:r>
      <w:r w:rsidR="00B20E22">
        <w:rPr>
          <w:rFonts w:asciiTheme="minorHAnsi" w:hAnsiTheme="minorHAnsi" w:cstheme="minorHAnsi"/>
        </w:rPr>
        <w:t>es</w:t>
      </w:r>
      <w:r>
        <w:rPr>
          <w:rFonts w:asciiTheme="minorHAnsi" w:hAnsiTheme="minorHAnsi" w:cstheme="minorHAnsi"/>
        </w:rPr>
        <w:t xml:space="preserve"> </w:t>
      </w:r>
      <w:r w:rsidR="00B0115A">
        <w:rPr>
          <w:rFonts w:asciiTheme="minorHAnsi" w:hAnsiTheme="minorHAnsi" w:cstheme="minorHAnsi"/>
        </w:rPr>
        <w:t>“</w:t>
      </w:r>
      <w:r>
        <w:rPr>
          <w:rFonts w:asciiTheme="minorHAnsi" w:hAnsiTheme="minorHAnsi" w:cstheme="minorHAnsi"/>
        </w:rPr>
        <w:t>vulnerable situations</w:t>
      </w:r>
      <w:r w:rsidR="00B0115A">
        <w:rPr>
          <w:rFonts w:asciiTheme="minorHAnsi" w:hAnsiTheme="minorHAnsi" w:cstheme="minorHAnsi"/>
        </w:rPr>
        <w:t>”</w:t>
      </w:r>
      <w:r>
        <w:rPr>
          <w:rFonts w:asciiTheme="minorHAnsi" w:hAnsiTheme="minorHAnsi" w:cstheme="minorHAnsi"/>
        </w:rPr>
        <w:t xml:space="preserve">. This shift was </w:t>
      </w:r>
      <w:r w:rsidR="00B20E22">
        <w:rPr>
          <w:rFonts w:asciiTheme="minorHAnsi" w:hAnsiTheme="minorHAnsi" w:cstheme="minorHAnsi"/>
        </w:rPr>
        <w:t xml:space="preserve">advocated </w:t>
      </w:r>
      <w:r>
        <w:rPr>
          <w:rFonts w:asciiTheme="minorHAnsi" w:hAnsiTheme="minorHAnsi" w:cstheme="minorHAnsi"/>
        </w:rPr>
        <w:t>by disability stakeholders in the run up to Sendai</w:t>
      </w:r>
      <w:r w:rsidR="00B0115A">
        <w:rPr>
          <w:rFonts w:asciiTheme="minorHAnsi" w:hAnsiTheme="minorHAnsi" w:cstheme="minorHAnsi"/>
        </w:rPr>
        <w:t xml:space="preserve"> and </w:t>
      </w:r>
      <w:r w:rsidR="00B20E22">
        <w:rPr>
          <w:rFonts w:asciiTheme="minorHAnsi" w:hAnsiTheme="minorHAnsi" w:cstheme="minorHAnsi"/>
        </w:rPr>
        <w:t>reflects a strengths</w:t>
      </w:r>
      <w:r w:rsidR="00605D29">
        <w:rPr>
          <w:rFonts w:asciiTheme="minorHAnsi" w:hAnsiTheme="minorHAnsi" w:cstheme="minorHAnsi"/>
        </w:rPr>
        <w:t>-</w:t>
      </w:r>
      <w:r w:rsidR="00B20E22">
        <w:rPr>
          <w:rFonts w:asciiTheme="minorHAnsi" w:hAnsiTheme="minorHAnsi" w:cstheme="minorHAnsi"/>
        </w:rPr>
        <w:t xml:space="preserve">based approach </w:t>
      </w:r>
      <w:r w:rsidR="00364019">
        <w:rPr>
          <w:rFonts w:asciiTheme="minorHAnsi" w:hAnsiTheme="minorHAnsi" w:cstheme="minorHAnsi"/>
        </w:rPr>
        <w:t>that recognises the contributions of persons with disabilities to DRR.</w:t>
      </w:r>
      <w:r w:rsidR="004F2834">
        <w:rPr>
          <w:rStyle w:val="FootnoteReference"/>
          <w:rFonts w:asciiTheme="minorHAnsi" w:hAnsiTheme="minorHAnsi" w:cstheme="minorHAnsi"/>
        </w:rPr>
        <w:footnoteReference w:id="9"/>
      </w:r>
      <w:r w:rsidR="00364019">
        <w:rPr>
          <w:rFonts w:asciiTheme="minorHAnsi" w:hAnsiTheme="minorHAnsi" w:cstheme="minorHAnsi"/>
        </w:rPr>
        <w:t xml:space="preserve"> The emphasis on vulnerable situations </w:t>
      </w:r>
      <w:r w:rsidR="00605D29">
        <w:rPr>
          <w:rFonts w:asciiTheme="minorHAnsi" w:hAnsiTheme="minorHAnsi" w:cstheme="minorHAnsi"/>
        </w:rPr>
        <w:t xml:space="preserve">also serves as a </w:t>
      </w:r>
      <w:r w:rsidR="00364019">
        <w:rPr>
          <w:rFonts w:asciiTheme="minorHAnsi" w:hAnsiTheme="minorHAnsi" w:cstheme="minorHAnsi"/>
        </w:rPr>
        <w:t>reminder that barriers to participation in DRR increase disaster risk</w:t>
      </w:r>
      <w:r w:rsidR="00605D29">
        <w:rPr>
          <w:rFonts w:asciiTheme="minorHAnsi" w:hAnsiTheme="minorHAnsi" w:cstheme="minorHAnsi"/>
        </w:rPr>
        <w:t xml:space="preserve"> for persons with disabilities</w:t>
      </w:r>
      <w:r w:rsidR="00364019">
        <w:rPr>
          <w:rFonts w:asciiTheme="minorHAnsi" w:hAnsiTheme="minorHAnsi" w:cstheme="minorHAnsi"/>
        </w:rPr>
        <w:t xml:space="preserve">. </w:t>
      </w:r>
    </w:p>
    <w:p w14:paraId="67630272" w14:textId="76D870AA" w:rsidR="00364019" w:rsidRDefault="00364019" w:rsidP="00624C53">
      <w:pPr>
        <w:spacing w:after="0" w:line="240" w:lineRule="auto"/>
        <w:rPr>
          <w:rFonts w:asciiTheme="minorHAnsi" w:hAnsiTheme="minorHAnsi" w:cstheme="minorHAnsi"/>
        </w:rPr>
      </w:pPr>
    </w:p>
    <w:p w14:paraId="58E1A819" w14:textId="48F9CA10" w:rsidR="004F2834" w:rsidRDefault="00604EAA" w:rsidP="004F2834">
      <w:pPr>
        <w:spacing w:after="0" w:line="240" w:lineRule="auto"/>
        <w:rPr>
          <w:rFonts w:asciiTheme="minorHAnsi" w:hAnsiTheme="minorHAnsi"/>
        </w:rPr>
      </w:pPr>
      <w:r w:rsidRPr="46BA6153">
        <w:rPr>
          <w:rFonts w:asciiTheme="minorHAnsi" w:hAnsiTheme="minorHAnsi"/>
        </w:rPr>
        <w:t>Disability is a cross cutting risk multiplier that increase</w:t>
      </w:r>
      <w:r w:rsidR="00605D29" w:rsidRPr="46BA6153">
        <w:rPr>
          <w:rFonts w:asciiTheme="minorHAnsi" w:hAnsiTheme="minorHAnsi"/>
        </w:rPr>
        <w:t>s</w:t>
      </w:r>
      <w:r w:rsidRPr="46BA6153">
        <w:rPr>
          <w:rFonts w:asciiTheme="minorHAnsi" w:hAnsiTheme="minorHAnsi"/>
        </w:rPr>
        <w:t xml:space="preserve"> disaster risk across </w:t>
      </w:r>
      <w:r w:rsidR="00EA2345" w:rsidRPr="46BA6153">
        <w:rPr>
          <w:rFonts w:asciiTheme="minorHAnsi" w:hAnsiTheme="minorHAnsi"/>
        </w:rPr>
        <w:t xml:space="preserve">all </w:t>
      </w:r>
      <w:r w:rsidRPr="46BA6153">
        <w:rPr>
          <w:rFonts w:asciiTheme="minorHAnsi" w:hAnsiTheme="minorHAnsi"/>
        </w:rPr>
        <w:t xml:space="preserve">identity groups. Central to understanding disaster risk is recognising that </w:t>
      </w:r>
      <w:r w:rsidR="00B0115A" w:rsidRPr="46BA6153">
        <w:rPr>
          <w:rFonts w:asciiTheme="minorHAnsi" w:hAnsiTheme="minorHAnsi"/>
        </w:rPr>
        <w:t>dominant</w:t>
      </w:r>
      <w:r w:rsidR="00605D29" w:rsidRPr="46BA6153">
        <w:rPr>
          <w:rFonts w:asciiTheme="minorHAnsi" w:hAnsiTheme="minorHAnsi"/>
        </w:rPr>
        <w:t xml:space="preserve"> “</w:t>
      </w:r>
      <w:r w:rsidRPr="46BA6153">
        <w:rPr>
          <w:rFonts w:asciiTheme="minorHAnsi" w:hAnsiTheme="minorHAnsi"/>
        </w:rPr>
        <w:t>physical, social, economic and environmental factors or processes</w:t>
      </w:r>
      <w:r w:rsidR="00605D29" w:rsidRPr="46BA6153">
        <w:rPr>
          <w:rFonts w:asciiTheme="minorHAnsi" w:hAnsiTheme="minorHAnsi"/>
        </w:rPr>
        <w:t>”</w:t>
      </w:r>
      <w:r w:rsidRPr="46BA6153">
        <w:rPr>
          <w:rFonts w:asciiTheme="minorHAnsi" w:hAnsiTheme="minorHAnsi"/>
        </w:rPr>
        <w:t xml:space="preserve"> create</w:t>
      </w:r>
      <w:r w:rsidR="009977A5" w:rsidRPr="46BA6153">
        <w:rPr>
          <w:rFonts w:asciiTheme="minorHAnsi" w:hAnsiTheme="minorHAnsi"/>
        </w:rPr>
        <w:t xml:space="preserve"> </w:t>
      </w:r>
      <w:r w:rsidRPr="46BA6153">
        <w:rPr>
          <w:rFonts w:asciiTheme="minorHAnsi" w:hAnsiTheme="minorHAnsi"/>
        </w:rPr>
        <w:t>barriers</w:t>
      </w:r>
      <w:r w:rsidR="009977A5" w:rsidRPr="46BA6153">
        <w:rPr>
          <w:rFonts w:asciiTheme="minorHAnsi" w:hAnsiTheme="minorHAnsi"/>
        </w:rPr>
        <w:t xml:space="preserve"> and </w:t>
      </w:r>
      <w:r w:rsidR="00D03C57">
        <w:rPr>
          <w:rFonts w:asciiTheme="minorHAnsi" w:hAnsiTheme="minorHAnsi"/>
        </w:rPr>
        <w:t xml:space="preserve">disproportionate </w:t>
      </w:r>
      <w:r w:rsidR="009977A5" w:rsidRPr="46BA6153">
        <w:rPr>
          <w:rFonts w:asciiTheme="minorHAnsi" w:hAnsiTheme="minorHAnsi"/>
        </w:rPr>
        <w:t>risk</w:t>
      </w:r>
      <w:r w:rsidRPr="46BA6153">
        <w:rPr>
          <w:rFonts w:asciiTheme="minorHAnsi" w:hAnsiTheme="minorHAnsi"/>
        </w:rPr>
        <w:t xml:space="preserve"> </w:t>
      </w:r>
      <w:r w:rsidR="009977A5" w:rsidRPr="46BA6153">
        <w:rPr>
          <w:rFonts w:asciiTheme="minorHAnsi" w:hAnsiTheme="minorHAnsi"/>
        </w:rPr>
        <w:t xml:space="preserve">for persons </w:t>
      </w:r>
      <w:r w:rsidRPr="46BA6153">
        <w:rPr>
          <w:rFonts w:asciiTheme="minorHAnsi" w:hAnsiTheme="minorHAnsi"/>
        </w:rPr>
        <w:t>with disabilities.</w:t>
      </w:r>
      <w:r w:rsidR="00665940">
        <w:rPr>
          <w:rStyle w:val="FootnoteReference"/>
          <w:rFonts w:asciiTheme="minorHAnsi" w:hAnsiTheme="minorHAnsi"/>
        </w:rPr>
        <w:footnoteReference w:id="10"/>
      </w:r>
      <w:r w:rsidRPr="46BA6153">
        <w:rPr>
          <w:rFonts w:asciiTheme="minorHAnsi" w:hAnsiTheme="minorHAnsi"/>
        </w:rPr>
        <w:t xml:space="preserve"> </w:t>
      </w:r>
      <w:r w:rsidR="00605D29" w:rsidRPr="46BA6153">
        <w:rPr>
          <w:rFonts w:asciiTheme="minorHAnsi" w:hAnsiTheme="minorHAnsi"/>
        </w:rPr>
        <w:t>Across the board</w:t>
      </w:r>
      <w:r w:rsidRPr="46BA6153">
        <w:rPr>
          <w:rFonts w:asciiTheme="minorHAnsi" w:hAnsiTheme="minorHAnsi"/>
        </w:rPr>
        <w:t>, women, children, and men with disabilities</w:t>
      </w:r>
      <w:r w:rsidR="00605D29" w:rsidRPr="46BA6153">
        <w:rPr>
          <w:rFonts w:asciiTheme="minorHAnsi" w:hAnsiTheme="minorHAnsi"/>
        </w:rPr>
        <w:t xml:space="preserve"> experience higher rates of </w:t>
      </w:r>
      <w:r w:rsidRPr="46BA6153">
        <w:rPr>
          <w:rFonts w:asciiTheme="minorHAnsi" w:hAnsiTheme="minorHAnsi"/>
        </w:rPr>
        <w:t xml:space="preserve">disaster risk </w:t>
      </w:r>
      <w:r w:rsidR="00605D29" w:rsidRPr="46BA6153">
        <w:rPr>
          <w:rFonts w:asciiTheme="minorHAnsi" w:hAnsiTheme="minorHAnsi"/>
        </w:rPr>
        <w:t>than</w:t>
      </w:r>
      <w:r w:rsidRPr="46BA6153">
        <w:rPr>
          <w:rFonts w:asciiTheme="minorHAnsi" w:hAnsiTheme="minorHAnsi"/>
        </w:rPr>
        <w:t xml:space="preserve"> women, children, and men without disabilities.</w:t>
      </w:r>
      <w:r w:rsidR="00EA2345" w:rsidRPr="46BA6153">
        <w:rPr>
          <w:rFonts w:asciiTheme="minorHAnsi" w:hAnsiTheme="minorHAnsi"/>
        </w:rPr>
        <w:t xml:space="preserve"> </w:t>
      </w:r>
      <w:r w:rsidR="00665940">
        <w:rPr>
          <w:rFonts w:asciiTheme="minorHAnsi" w:hAnsiTheme="minorHAnsi"/>
        </w:rPr>
        <w:t>In short, if you are a person with disability, you are more likely to be injured or die in a disaster than a person without disability.</w:t>
      </w:r>
      <w:r w:rsidR="004F2834">
        <w:rPr>
          <w:rStyle w:val="FootnoteReference"/>
          <w:rFonts w:asciiTheme="minorHAnsi" w:hAnsiTheme="minorHAnsi"/>
        </w:rPr>
        <w:footnoteReference w:id="11"/>
      </w:r>
      <w:r w:rsidR="004F2834" w:rsidDel="004F2834">
        <w:rPr>
          <w:rFonts w:asciiTheme="minorHAnsi" w:hAnsiTheme="minorHAnsi"/>
        </w:rPr>
        <w:t xml:space="preserve"> </w:t>
      </w:r>
    </w:p>
    <w:p w14:paraId="555E45A3" w14:textId="31C99716" w:rsidR="00B1698F" w:rsidRDefault="00B1698F" w:rsidP="004F2834">
      <w:pPr>
        <w:spacing w:after="0" w:line="240" w:lineRule="auto"/>
        <w:rPr>
          <w:rFonts w:asciiTheme="minorHAnsi" w:hAnsiTheme="minorHAnsi"/>
        </w:rPr>
      </w:pPr>
    </w:p>
    <w:p w14:paraId="3DEE6F6B" w14:textId="3CA301F3" w:rsidR="00EA2345" w:rsidRDefault="00B1698F" w:rsidP="00624C53">
      <w:pPr>
        <w:spacing w:after="0" w:line="240" w:lineRule="auto"/>
        <w:rPr>
          <w:rFonts w:asciiTheme="minorHAnsi" w:hAnsiTheme="minorHAnsi" w:cstheme="minorHAnsi"/>
        </w:rPr>
      </w:pPr>
      <w:r w:rsidRPr="00B1698F">
        <w:rPr>
          <w:rFonts w:asciiTheme="minorHAnsi" w:hAnsiTheme="minorHAnsi" w:cstheme="minorHAnsi"/>
          <w:noProof/>
          <w:color w:val="2B579A"/>
          <w:shd w:val="clear" w:color="auto" w:fill="E6E6E6"/>
        </w:rPr>
        <mc:AlternateContent>
          <mc:Choice Requires="wps">
            <w:drawing>
              <wp:inline distT="0" distB="0" distL="0" distR="0" wp14:anchorId="026A283D" wp14:editId="5B7D20EB">
                <wp:extent cx="5581650" cy="1404620"/>
                <wp:effectExtent l="0" t="0" r="19050" b="1778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solidFill>
                          <a:srgbClr val="FFFFFF"/>
                        </a:solidFill>
                        <a:ln w="9525">
                          <a:solidFill>
                            <a:srgbClr val="094183"/>
                          </a:solidFill>
                          <a:miter lim="800000"/>
                          <a:headEnd/>
                          <a:tailEnd/>
                        </a:ln>
                      </wps:spPr>
                      <wps:txbx>
                        <w:txbxContent>
                          <w:p w14:paraId="73E9C504" w14:textId="363A6F5B" w:rsidR="00B1698F" w:rsidRPr="008D4E45" w:rsidRDefault="00B1698F" w:rsidP="00B1698F">
                            <w:pPr>
                              <w:spacing w:after="0" w:line="240" w:lineRule="auto"/>
                              <w:rPr>
                                <w:rFonts w:asciiTheme="minorHAnsi" w:hAnsiTheme="minorHAnsi" w:cstheme="minorHAnsi"/>
                              </w:rPr>
                            </w:pPr>
                            <w:r w:rsidRPr="008D4E45">
                              <w:rPr>
                                <w:rFonts w:asciiTheme="minorHAnsi" w:hAnsiTheme="minorHAnsi" w:cstheme="minorHAnsi"/>
                              </w:rPr>
                              <w:t>Deficit</w:t>
                            </w:r>
                            <w:r w:rsidR="00605D29">
                              <w:rPr>
                                <w:rFonts w:asciiTheme="minorHAnsi" w:hAnsiTheme="minorHAnsi" w:cstheme="minorHAnsi"/>
                              </w:rPr>
                              <w:t>-</w:t>
                            </w:r>
                            <w:r w:rsidRPr="008D4E45">
                              <w:rPr>
                                <w:rFonts w:asciiTheme="minorHAnsi" w:hAnsiTheme="minorHAnsi" w:cstheme="minorHAnsi"/>
                              </w:rPr>
                              <w:t xml:space="preserve">based terminology, such as </w:t>
                            </w:r>
                            <w:r w:rsidR="00605D29">
                              <w:rPr>
                                <w:rFonts w:asciiTheme="minorHAnsi" w:hAnsiTheme="minorHAnsi" w:cstheme="minorHAnsi"/>
                              </w:rPr>
                              <w:t>“</w:t>
                            </w:r>
                            <w:r w:rsidRPr="008D4E45">
                              <w:rPr>
                                <w:rFonts w:asciiTheme="minorHAnsi" w:hAnsiTheme="minorHAnsi" w:cstheme="minorHAnsi"/>
                              </w:rPr>
                              <w:t>vulnerable</w:t>
                            </w:r>
                            <w:r w:rsidR="00605D29">
                              <w:rPr>
                                <w:rFonts w:asciiTheme="minorHAnsi" w:hAnsiTheme="minorHAnsi" w:cstheme="minorHAnsi"/>
                              </w:rPr>
                              <w:t>”</w:t>
                            </w:r>
                            <w:r w:rsidRPr="008D4E45">
                              <w:rPr>
                                <w:rFonts w:asciiTheme="minorHAnsi" w:hAnsiTheme="minorHAnsi" w:cstheme="minorHAnsi"/>
                              </w:rPr>
                              <w:t>, continues to be used to refer to persons with disabilities in DRR in the Pacific</w:t>
                            </w:r>
                            <w:r w:rsidR="00605D29">
                              <w:rPr>
                                <w:rFonts w:asciiTheme="minorHAnsi" w:hAnsiTheme="minorHAnsi" w:cstheme="minorHAnsi"/>
                              </w:rPr>
                              <w:t xml:space="preserve"> and more broadly</w:t>
                            </w:r>
                            <w:r w:rsidRPr="008D4E45">
                              <w:rPr>
                                <w:rFonts w:asciiTheme="minorHAnsi" w:hAnsiTheme="minorHAnsi" w:cstheme="minorHAnsi"/>
                              </w:rPr>
                              <w:t>. This shapes attitudes</w:t>
                            </w:r>
                            <w:r w:rsidR="00B0115A">
                              <w:rPr>
                                <w:rFonts w:asciiTheme="minorHAnsi" w:hAnsiTheme="minorHAnsi" w:cstheme="minorHAnsi"/>
                              </w:rPr>
                              <w:t xml:space="preserve">, </w:t>
                            </w:r>
                            <w:r w:rsidRPr="008D4E45">
                              <w:rPr>
                                <w:rFonts w:asciiTheme="minorHAnsi" w:hAnsiTheme="minorHAnsi" w:cstheme="minorHAnsi"/>
                              </w:rPr>
                              <w:t>policies</w:t>
                            </w:r>
                            <w:r w:rsidR="00B0115A">
                              <w:rPr>
                                <w:rFonts w:asciiTheme="minorHAnsi" w:hAnsiTheme="minorHAnsi" w:cstheme="minorHAnsi"/>
                              </w:rPr>
                              <w:t>,</w:t>
                            </w:r>
                            <w:r w:rsidRPr="008D4E45">
                              <w:rPr>
                                <w:rFonts w:asciiTheme="minorHAnsi" w:hAnsiTheme="minorHAnsi" w:cstheme="minorHAnsi"/>
                              </w:rPr>
                              <w:t xml:space="preserve"> and practice</w:t>
                            </w:r>
                            <w:r w:rsidR="008D4E45">
                              <w:rPr>
                                <w:rFonts w:asciiTheme="minorHAnsi" w:hAnsiTheme="minorHAnsi" w:cstheme="minorHAnsi"/>
                              </w:rPr>
                              <w:t xml:space="preserve">. Deficit-based language </w:t>
                            </w:r>
                            <w:r w:rsidR="008D4E45" w:rsidRPr="008D4E45">
                              <w:rPr>
                                <w:rFonts w:asciiTheme="minorHAnsi" w:hAnsiTheme="minorHAnsi" w:cstheme="minorHAnsi"/>
                              </w:rPr>
                              <w:t xml:space="preserve">contradicts the </w:t>
                            </w:r>
                            <w:r w:rsidR="00794689">
                              <w:rPr>
                                <w:rFonts w:asciiTheme="minorHAnsi" w:hAnsiTheme="minorHAnsi" w:cstheme="minorHAnsi"/>
                              </w:rPr>
                              <w:t xml:space="preserve">Sendai Framework’s recognition of the contributing </w:t>
                            </w:r>
                            <w:r w:rsidR="008D4E45" w:rsidRPr="008D4E45">
                              <w:rPr>
                                <w:rFonts w:asciiTheme="minorHAnsi" w:hAnsiTheme="minorHAnsi" w:cstheme="minorHAnsi"/>
                              </w:rPr>
                              <w:t xml:space="preserve">role of persons with disabilities </w:t>
                            </w:r>
                            <w:r w:rsidR="00794689">
                              <w:rPr>
                                <w:rFonts w:asciiTheme="minorHAnsi" w:hAnsiTheme="minorHAnsi" w:cstheme="minorHAnsi"/>
                              </w:rPr>
                              <w:t>to DRR.</w:t>
                            </w:r>
                          </w:p>
                        </w:txbxContent>
                      </wps:txbx>
                      <wps:bodyPr rot="0" vert="horz" wrap="square" lIns="91440" tIns="45720" rIns="91440" bIns="45720" anchor="t" anchorCtr="0">
                        <a:spAutoFit/>
                      </wps:bodyPr>
                    </wps:wsp>
                  </a:graphicData>
                </a:graphic>
              </wp:inline>
            </w:drawing>
          </mc:Choice>
          <mc:Fallback>
            <w:pict>
              <v:shapetype w14:anchorId="026A283D" id="_x0000_t202" coordsize="21600,21600" o:spt="202" path="m,l,21600r21600,l21600,xe">
                <v:stroke joinstyle="miter"/>
                <v:path gradientshapeok="t" o:connecttype="rect"/>
              </v:shapetype>
              <v:shape id="Text Box 2" o:spid="_x0000_s1026" type="#_x0000_t202" style="width:439.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43gFQIAACAEAAAOAAAAZHJzL2Uyb0RvYy54bWysk92O0zAQhe+ReAfL9zRJSUobNV0tXYqQ&#10;lh9p4QEcx2ksHI+x3Sbl6Rk73W61wA0iF5adsY9nvjle34y9IkdhnQRd0WyWUiI0h0bqfUW/fd29&#10;WlLiPNMNU6BFRU/C0ZvNyxfrwZRiDh2oRliCItqVg6lo570pk8TxTvTMzcAIjcEWbM88Lu0+aSwb&#10;UL1XyTxNF8kAtjEWuHAO/95NQbqJ+m0ruP/ctk54oiqKufk42jjWYUw2a1buLTOd5Oc02D9k0TOp&#10;8dKL1B3zjBys/E2ql9yCg9bPOPQJtK3kItaA1WTps2oeOmZErAXhOHPB5P6fLP90fDBfLPHjWxix&#10;gbEIZ+6Bf3dEw7Zjei9urYWhE6zBi7OALBmMK89HA2pXuiBSDx+hwSazg4coNLa2D1SwToLq2IDT&#10;BboYPeH4syiW2aLAEMdYlqf5Yh7bkrDy8bixzr8X0JMwqajFrkZ5drx3PqTDysct4TYHSjY7qVRc&#10;2H29VZYcGTpgF79YwbNtSpOhoqtiXkwE/iqRrvJs+fpPEr30aGUl+4ou0/BN5grc3ukmGs0zqaY5&#10;pqz0GWRgN1H0Yz3ixgC0huaESC1MlsUnhpMO7E9KBrRrRd2PA7OCEvVBY1tWWZ4Hf8dFXrxBhsRe&#10;R+rrCNMcpSrqKZmmWx/fRARmbrF9OxnBPmVyzhVtGHmfn0zw+fU67np62JtfAAAA//8DAFBLAwQU&#10;AAYACAAAACEAUZrvptsAAAAFAQAADwAAAGRycy9kb3ducmV2LnhtbEyPwW7CMBBE70j8g7WVegOH&#10;HAINcVBFW9RjoZW4mnhJIuJ1ZJuQ9uu77aW9jDSa1czbYjPaTgzoQ+tIwWKegECqnGmpVvDx/jJb&#10;gQhRk9GdI1TwiQE25XRS6Ny4G+1xOMRacAmFXCtoYuxzKUPVoNVh7nokzs7OWx3Z+loar29cbjuZ&#10;JkkmrW6JFxrd47bB6nK4WgXHp132Ou6HN9M+J7uvbGku/hiVur8bH9cgIo7x7xh+8BkdSmY6uSuZ&#10;IDoF/Ej8Vc5Wywe2JwVpukhBloX8T19+AwAA//8DAFBLAQItABQABgAIAAAAIQC2gziS/gAAAOEB&#10;AAATAAAAAAAAAAAAAAAAAAAAAABbQ29udGVudF9UeXBlc10ueG1sUEsBAi0AFAAGAAgAAAAhADj9&#10;If/WAAAAlAEAAAsAAAAAAAAAAAAAAAAALwEAAF9yZWxzLy5yZWxzUEsBAi0AFAAGAAgAAAAhAIOn&#10;jeAVAgAAIAQAAA4AAAAAAAAAAAAAAAAALgIAAGRycy9lMm9Eb2MueG1sUEsBAi0AFAAGAAgAAAAh&#10;AFGa76bbAAAABQEAAA8AAAAAAAAAAAAAAAAAbwQAAGRycy9kb3ducmV2LnhtbFBLBQYAAAAABAAE&#10;APMAAAB3BQAAAAA=&#10;" strokecolor="#094183">
                <v:textbox style="mso-fit-shape-to-text:t">
                  <w:txbxContent>
                    <w:p w14:paraId="73E9C504" w14:textId="363A6F5B" w:rsidR="00B1698F" w:rsidRPr="008D4E45" w:rsidRDefault="00B1698F" w:rsidP="00B1698F">
                      <w:pPr>
                        <w:spacing w:after="0" w:line="240" w:lineRule="auto"/>
                        <w:rPr>
                          <w:rFonts w:asciiTheme="minorHAnsi" w:hAnsiTheme="minorHAnsi" w:cstheme="minorHAnsi"/>
                        </w:rPr>
                      </w:pPr>
                      <w:r w:rsidRPr="008D4E45">
                        <w:rPr>
                          <w:rFonts w:asciiTheme="minorHAnsi" w:hAnsiTheme="minorHAnsi" w:cstheme="minorHAnsi"/>
                        </w:rPr>
                        <w:t>Deficit</w:t>
                      </w:r>
                      <w:r w:rsidR="00605D29">
                        <w:rPr>
                          <w:rFonts w:asciiTheme="minorHAnsi" w:hAnsiTheme="minorHAnsi" w:cstheme="minorHAnsi"/>
                        </w:rPr>
                        <w:t>-</w:t>
                      </w:r>
                      <w:r w:rsidRPr="008D4E45">
                        <w:rPr>
                          <w:rFonts w:asciiTheme="minorHAnsi" w:hAnsiTheme="minorHAnsi" w:cstheme="minorHAnsi"/>
                        </w:rPr>
                        <w:t xml:space="preserve">based terminology, such as </w:t>
                      </w:r>
                      <w:r w:rsidR="00605D29">
                        <w:rPr>
                          <w:rFonts w:asciiTheme="minorHAnsi" w:hAnsiTheme="minorHAnsi" w:cstheme="minorHAnsi"/>
                        </w:rPr>
                        <w:t>“</w:t>
                      </w:r>
                      <w:r w:rsidRPr="008D4E45">
                        <w:rPr>
                          <w:rFonts w:asciiTheme="minorHAnsi" w:hAnsiTheme="minorHAnsi" w:cstheme="minorHAnsi"/>
                        </w:rPr>
                        <w:t>vulnerable</w:t>
                      </w:r>
                      <w:r w:rsidR="00605D29">
                        <w:rPr>
                          <w:rFonts w:asciiTheme="minorHAnsi" w:hAnsiTheme="minorHAnsi" w:cstheme="minorHAnsi"/>
                        </w:rPr>
                        <w:t>”</w:t>
                      </w:r>
                      <w:r w:rsidRPr="008D4E45">
                        <w:rPr>
                          <w:rFonts w:asciiTheme="minorHAnsi" w:hAnsiTheme="minorHAnsi" w:cstheme="minorHAnsi"/>
                        </w:rPr>
                        <w:t>, continues to be used to refer to persons with disabilities in DRR in the Pacific</w:t>
                      </w:r>
                      <w:r w:rsidR="00605D29">
                        <w:rPr>
                          <w:rFonts w:asciiTheme="minorHAnsi" w:hAnsiTheme="minorHAnsi" w:cstheme="minorHAnsi"/>
                        </w:rPr>
                        <w:t xml:space="preserve"> and more broadly</w:t>
                      </w:r>
                      <w:r w:rsidRPr="008D4E45">
                        <w:rPr>
                          <w:rFonts w:asciiTheme="minorHAnsi" w:hAnsiTheme="minorHAnsi" w:cstheme="minorHAnsi"/>
                        </w:rPr>
                        <w:t>. This shapes attitudes</w:t>
                      </w:r>
                      <w:r w:rsidR="00B0115A">
                        <w:rPr>
                          <w:rFonts w:asciiTheme="minorHAnsi" w:hAnsiTheme="minorHAnsi" w:cstheme="minorHAnsi"/>
                        </w:rPr>
                        <w:t xml:space="preserve">, </w:t>
                      </w:r>
                      <w:r w:rsidRPr="008D4E45">
                        <w:rPr>
                          <w:rFonts w:asciiTheme="minorHAnsi" w:hAnsiTheme="minorHAnsi" w:cstheme="minorHAnsi"/>
                        </w:rPr>
                        <w:t>policies</w:t>
                      </w:r>
                      <w:r w:rsidR="00B0115A">
                        <w:rPr>
                          <w:rFonts w:asciiTheme="minorHAnsi" w:hAnsiTheme="minorHAnsi" w:cstheme="minorHAnsi"/>
                        </w:rPr>
                        <w:t>,</w:t>
                      </w:r>
                      <w:r w:rsidRPr="008D4E45">
                        <w:rPr>
                          <w:rFonts w:asciiTheme="minorHAnsi" w:hAnsiTheme="minorHAnsi" w:cstheme="minorHAnsi"/>
                        </w:rPr>
                        <w:t xml:space="preserve"> and practice</w:t>
                      </w:r>
                      <w:r w:rsidR="008D4E45">
                        <w:rPr>
                          <w:rFonts w:asciiTheme="minorHAnsi" w:hAnsiTheme="minorHAnsi" w:cstheme="minorHAnsi"/>
                        </w:rPr>
                        <w:t xml:space="preserve">. Deficit-based language </w:t>
                      </w:r>
                      <w:r w:rsidR="008D4E45" w:rsidRPr="008D4E45">
                        <w:rPr>
                          <w:rFonts w:asciiTheme="minorHAnsi" w:hAnsiTheme="minorHAnsi" w:cstheme="minorHAnsi"/>
                        </w:rPr>
                        <w:t xml:space="preserve">contradicts the </w:t>
                      </w:r>
                      <w:r w:rsidR="00794689">
                        <w:rPr>
                          <w:rFonts w:asciiTheme="minorHAnsi" w:hAnsiTheme="minorHAnsi" w:cstheme="minorHAnsi"/>
                        </w:rPr>
                        <w:t xml:space="preserve">Sendai Framework’s recognition of the contributing </w:t>
                      </w:r>
                      <w:r w:rsidR="008D4E45" w:rsidRPr="008D4E45">
                        <w:rPr>
                          <w:rFonts w:asciiTheme="minorHAnsi" w:hAnsiTheme="minorHAnsi" w:cstheme="minorHAnsi"/>
                        </w:rPr>
                        <w:t xml:space="preserve">role of persons with disabilities </w:t>
                      </w:r>
                      <w:r w:rsidR="00794689">
                        <w:rPr>
                          <w:rFonts w:asciiTheme="minorHAnsi" w:hAnsiTheme="minorHAnsi" w:cstheme="minorHAnsi"/>
                        </w:rPr>
                        <w:t>to DRR.</w:t>
                      </w:r>
                    </w:p>
                  </w:txbxContent>
                </v:textbox>
                <w10:anchorlock/>
              </v:shape>
            </w:pict>
          </mc:Fallback>
        </mc:AlternateContent>
      </w:r>
    </w:p>
    <w:p w14:paraId="388373AD" w14:textId="30F2FDB5" w:rsidR="00B1698F" w:rsidRDefault="00B1698F" w:rsidP="00624C53">
      <w:pPr>
        <w:spacing w:after="0" w:line="240" w:lineRule="auto"/>
        <w:rPr>
          <w:rFonts w:asciiTheme="minorHAnsi" w:hAnsiTheme="minorHAnsi" w:cstheme="minorHAnsi"/>
        </w:rPr>
      </w:pPr>
    </w:p>
    <w:p w14:paraId="41E102C6" w14:textId="60E295FD" w:rsidR="0014224B" w:rsidRPr="003B4AC8" w:rsidRDefault="00D23642" w:rsidP="003B4AC8">
      <w:pPr>
        <w:pStyle w:val="ListParagraph"/>
        <w:numPr>
          <w:ilvl w:val="0"/>
          <w:numId w:val="40"/>
        </w:numPr>
        <w:spacing w:after="0" w:line="240" w:lineRule="auto"/>
        <w:rPr>
          <w:rFonts w:ascii="Cambria" w:hAnsi="Cambria"/>
          <w:color w:val="094183"/>
          <w:sz w:val="24"/>
          <w:szCs w:val="24"/>
        </w:rPr>
      </w:pPr>
      <w:r w:rsidRPr="003B4AC8">
        <w:rPr>
          <w:rFonts w:ascii="Cambria" w:hAnsi="Cambria"/>
          <w:color w:val="094183"/>
          <w:sz w:val="24"/>
          <w:szCs w:val="24"/>
        </w:rPr>
        <w:t>D</w:t>
      </w:r>
      <w:r w:rsidR="00D006A5" w:rsidRPr="003B4AC8">
        <w:rPr>
          <w:rFonts w:ascii="Cambria" w:hAnsi="Cambria"/>
          <w:color w:val="094183"/>
          <w:sz w:val="24"/>
          <w:szCs w:val="24"/>
        </w:rPr>
        <w:t>isability d</w:t>
      </w:r>
      <w:r w:rsidRPr="003B4AC8">
        <w:rPr>
          <w:rFonts w:ascii="Cambria" w:hAnsi="Cambria"/>
          <w:color w:val="094183"/>
          <w:sz w:val="24"/>
          <w:szCs w:val="24"/>
        </w:rPr>
        <w:t>ata and measurement</w:t>
      </w:r>
    </w:p>
    <w:p w14:paraId="34271369" w14:textId="4452C0D8" w:rsidR="00D23642" w:rsidRDefault="00D23642" w:rsidP="00C61070">
      <w:pPr>
        <w:spacing w:after="0" w:line="240" w:lineRule="auto"/>
        <w:rPr>
          <w:rFonts w:ascii="Cambria" w:hAnsi="Cambria"/>
          <w:sz w:val="24"/>
          <w:szCs w:val="24"/>
        </w:rPr>
      </w:pPr>
    </w:p>
    <w:p w14:paraId="38752782" w14:textId="4AE0D777" w:rsidR="0090636F" w:rsidRPr="00624FE0" w:rsidRDefault="00624FE0" w:rsidP="22D8730C">
      <w:pPr>
        <w:spacing w:after="0" w:line="240" w:lineRule="auto"/>
        <w:rPr>
          <w:rFonts w:asciiTheme="minorHAnsi" w:hAnsiTheme="minorHAnsi"/>
        </w:rPr>
      </w:pPr>
      <w:r w:rsidRPr="22D8730C">
        <w:rPr>
          <w:rFonts w:asciiTheme="minorHAnsi" w:hAnsiTheme="minorHAnsi"/>
        </w:rPr>
        <w:t>The collection and use of standardised disability data allows differences in opportunities and participation between persons with and without disabilities to be measured. Disaggregated disability data should</w:t>
      </w:r>
      <w:r w:rsidR="00F12156">
        <w:rPr>
          <w:rFonts w:asciiTheme="minorHAnsi" w:hAnsiTheme="minorHAnsi"/>
        </w:rPr>
        <w:t xml:space="preserve"> also </w:t>
      </w:r>
      <w:r w:rsidRPr="22D8730C">
        <w:rPr>
          <w:rFonts w:asciiTheme="minorHAnsi" w:hAnsiTheme="minorHAnsi"/>
        </w:rPr>
        <w:t xml:space="preserve">allow the measurement of </w:t>
      </w:r>
      <w:r w:rsidR="009977A5" w:rsidRPr="22D8730C">
        <w:rPr>
          <w:rFonts w:asciiTheme="minorHAnsi" w:hAnsiTheme="minorHAnsi"/>
        </w:rPr>
        <w:t xml:space="preserve">differences </w:t>
      </w:r>
      <w:r w:rsidRPr="22D8730C">
        <w:rPr>
          <w:rFonts w:asciiTheme="minorHAnsi" w:hAnsiTheme="minorHAnsi"/>
        </w:rPr>
        <w:t xml:space="preserve">by </w:t>
      </w:r>
      <w:r w:rsidR="00F12156">
        <w:rPr>
          <w:rFonts w:asciiTheme="minorHAnsi" w:hAnsiTheme="minorHAnsi"/>
        </w:rPr>
        <w:t>impairment type, gender, and age.</w:t>
      </w:r>
      <w:r w:rsidRPr="22D8730C">
        <w:rPr>
          <w:rFonts w:asciiTheme="minorHAnsi" w:hAnsiTheme="minorHAnsi"/>
        </w:rPr>
        <w:t xml:space="preserve"> </w:t>
      </w:r>
      <w:r w:rsidR="0090636F" w:rsidRPr="22D8730C">
        <w:rPr>
          <w:rFonts w:asciiTheme="minorHAnsi" w:hAnsiTheme="minorHAnsi"/>
        </w:rPr>
        <w:t xml:space="preserve">Under Article 31 of the CRPD, </w:t>
      </w:r>
      <w:r w:rsidR="00605D29" w:rsidRPr="22D8730C">
        <w:rPr>
          <w:rFonts w:asciiTheme="minorHAnsi" w:hAnsiTheme="minorHAnsi"/>
        </w:rPr>
        <w:t>S</w:t>
      </w:r>
      <w:r w:rsidR="0090636F" w:rsidRPr="22D8730C">
        <w:rPr>
          <w:rFonts w:asciiTheme="minorHAnsi" w:hAnsiTheme="minorHAnsi"/>
        </w:rPr>
        <w:t xml:space="preserve">tate </w:t>
      </w:r>
      <w:r w:rsidR="00605D29" w:rsidRPr="22D8730C">
        <w:rPr>
          <w:rFonts w:asciiTheme="minorHAnsi" w:hAnsiTheme="minorHAnsi"/>
        </w:rPr>
        <w:t>P</w:t>
      </w:r>
      <w:r w:rsidR="0090636F" w:rsidRPr="22D8730C">
        <w:rPr>
          <w:rFonts w:asciiTheme="minorHAnsi" w:hAnsiTheme="minorHAnsi"/>
        </w:rPr>
        <w:t xml:space="preserve">arties commit to </w:t>
      </w:r>
      <w:r w:rsidR="00605D29" w:rsidRPr="22D8730C">
        <w:rPr>
          <w:rFonts w:asciiTheme="minorHAnsi" w:hAnsiTheme="minorHAnsi"/>
        </w:rPr>
        <w:t>“</w:t>
      </w:r>
      <w:r w:rsidR="0090636F" w:rsidRPr="22D8730C">
        <w:rPr>
          <w:rFonts w:asciiTheme="minorHAnsi" w:hAnsiTheme="minorHAnsi"/>
        </w:rPr>
        <w:t>collect appropriate information, including statistical and research data, to enable them to formulate and implement policies</w:t>
      </w:r>
      <w:r w:rsidR="00830F7E" w:rsidRPr="22D8730C">
        <w:rPr>
          <w:rFonts w:asciiTheme="minorHAnsi" w:hAnsiTheme="minorHAnsi"/>
        </w:rPr>
        <w:t>”.</w:t>
      </w:r>
      <w:r w:rsidR="00FC31E9">
        <w:rPr>
          <w:rStyle w:val="FootnoteReference"/>
          <w:rFonts w:asciiTheme="minorHAnsi" w:hAnsiTheme="minorHAnsi"/>
        </w:rPr>
        <w:footnoteReference w:id="12"/>
      </w:r>
      <w:r w:rsidR="00830F7E" w:rsidRPr="22D8730C">
        <w:rPr>
          <w:rFonts w:asciiTheme="minorHAnsi" w:hAnsiTheme="minorHAnsi"/>
        </w:rPr>
        <w:t xml:space="preserve"> </w:t>
      </w:r>
    </w:p>
    <w:p w14:paraId="4F1A211D" w14:textId="77777777" w:rsidR="0090636F" w:rsidRDefault="0090636F" w:rsidP="00C61070">
      <w:pPr>
        <w:spacing w:after="0" w:line="240" w:lineRule="auto"/>
        <w:rPr>
          <w:rFonts w:asciiTheme="minorHAnsi" w:hAnsiTheme="minorHAnsi" w:cstheme="minorHAnsi"/>
        </w:rPr>
      </w:pPr>
    </w:p>
    <w:p w14:paraId="6CE98369" w14:textId="1B7126C6" w:rsidR="004B4D50" w:rsidRDefault="00901F62" w:rsidP="00C61070">
      <w:pPr>
        <w:spacing w:after="0" w:line="240" w:lineRule="auto"/>
        <w:rPr>
          <w:rFonts w:asciiTheme="minorHAnsi" w:hAnsiTheme="minorHAnsi" w:cstheme="minorHAnsi"/>
        </w:rPr>
      </w:pPr>
      <w:r>
        <w:rPr>
          <w:rFonts w:asciiTheme="minorHAnsi" w:hAnsiTheme="minorHAnsi" w:cstheme="minorHAnsi"/>
        </w:rPr>
        <w:t>Sendai Framework Monitor (SFM) guidance on sex, age, and disability disaggregated data</w:t>
      </w:r>
      <w:r w:rsidR="00F12156">
        <w:rPr>
          <w:rFonts w:asciiTheme="minorHAnsi" w:hAnsiTheme="minorHAnsi" w:cstheme="minorHAnsi"/>
        </w:rPr>
        <w:t xml:space="preserve"> </w:t>
      </w:r>
      <w:r>
        <w:rPr>
          <w:rFonts w:asciiTheme="minorHAnsi" w:hAnsiTheme="minorHAnsi" w:cstheme="minorHAnsi"/>
        </w:rPr>
        <w:t>recommends the collection of disability data on people that have an “existing ‘pre-event’ disability” only.</w:t>
      </w:r>
      <w:r w:rsidR="00794689">
        <w:rPr>
          <w:rStyle w:val="FootnoteReference"/>
          <w:rFonts w:asciiTheme="minorHAnsi" w:hAnsiTheme="minorHAnsi" w:cstheme="minorHAnsi"/>
        </w:rPr>
        <w:footnoteReference w:id="13"/>
      </w:r>
      <w:r w:rsidR="007F4D23" w:rsidRPr="007F4D23">
        <w:rPr>
          <w:rFonts w:asciiTheme="minorHAnsi" w:hAnsiTheme="minorHAnsi" w:cstheme="minorHAnsi"/>
          <w:vertAlign w:val="superscript"/>
        </w:rPr>
        <w:t>,</w:t>
      </w:r>
      <w:r w:rsidR="007F4D23">
        <w:rPr>
          <w:rStyle w:val="FootnoteReference"/>
          <w:rFonts w:asciiTheme="minorHAnsi" w:hAnsiTheme="minorHAnsi" w:cstheme="minorHAnsi"/>
        </w:rPr>
        <w:footnoteReference w:id="14"/>
      </w:r>
      <w:r>
        <w:rPr>
          <w:rFonts w:asciiTheme="minorHAnsi" w:hAnsiTheme="minorHAnsi" w:cstheme="minorHAnsi"/>
        </w:rPr>
        <w:t xml:space="preserve"> While </w:t>
      </w:r>
      <w:r w:rsidR="00794689">
        <w:rPr>
          <w:rFonts w:asciiTheme="minorHAnsi" w:hAnsiTheme="minorHAnsi" w:cstheme="minorHAnsi"/>
        </w:rPr>
        <w:t>the</w:t>
      </w:r>
      <w:r>
        <w:rPr>
          <w:rFonts w:asciiTheme="minorHAnsi" w:hAnsiTheme="minorHAnsi" w:cstheme="minorHAnsi"/>
        </w:rPr>
        <w:t xml:space="preserve"> guidance states one purpose of collecting data is to understand impacts, mortality</w:t>
      </w:r>
      <w:r w:rsidR="00794689">
        <w:rPr>
          <w:rFonts w:asciiTheme="minorHAnsi" w:hAnsiTheme="minorHAnsi" w:cstheme="minorHAnsi"/>
        </w:rPr>
        <w:t>,</w:t>
      </w:r>
      <w:r>
        <w:rPr>
          <w:rFonts w:asciiTheme="minorHAnsi" w:hAnsiTheme="minorHAnsi" w:cstheme="minorHAnsi"/>
        </w:rPr>
        <w:t xml:space="preserve"> and morbidity</w:t>
      </w:r>
      <w:r w:rsidR="00794689">
        <w:rPr>
          <w:rFonts w:asciiTheme="minorHAnsi" w:hAnsiTheme="minorHAnsi" w:cstheme="minorHAnsi"/>
        </w:rPr>
        <w:t>, the guidance specifically does not address “people who develop a disability from a hazardous event or disaster”</w:t>
      </w:r>
      <w:r>
        <w:rPr>
          <w:rFonts w:asciiTheme="minorHAnsi" w:hAnsiTheme="minorHAnsi" w:cstheme="minorHAnsi"/>
        </w:rPr>
        <w:t>.</w:t>
      </w:r>
      <w:r w:rsidR="00E84D93">
        <w:rPr>
          <w:rStyle w:val="FootnoteReference"/>
          <w:rFonts w:asciiTheme="minorHAnsi" w:hAnsiTheme="minorHAnsi" w:cstheme="minorHAnsi"/>
        </w:rPr>
        <w:footnoteReference w:id="15"/>
      </w:r>
      <w:r>
        <w:rPr>
          <w:rFonts w:asciiTheme="minorHAnsi" w:hAnsiTheme="minorHAnsi" w:cstheme="minorHAnsi"/>
        </w:rPr>
        <w:t xml:space="preserve"> </w:t>
      </w:r>
      <w:r w:rsidR="00794689">
        <w:rPr>
          <w:rFonts w:asciiTheme="minorHAnsi" w:hAnsiTheme="minorHAnsi" w:cstheme="minorHAnsi"/>
        </w:rPr>
        <w:t>To understand disaster risk</w:t>
      </w:r>
      <w:r w:rsidR="004D0228">
        <w:rPr>
          <w:rFonts w:asciiTheme="minorHAnsi" w:hAnsiTheme="minorHAnsi" w:cstheme="minorHAnsi"/>
        </w:rPr>
        <w:t>,</w:t>
      </w:r>
      <w:r w:rsidR="00F219D3">
        <w:rPr>
          <w:rFonts w:asciiTheme="minorHAnsi" w:hAnsiTheme="minorHAnsi" w:cstheme="minorHAnsi"/>
        </w:rPr>
        <w:t xml:space="preserve"> and its impacts</w:t>
      </w:r>
      <w:r w:rsidR="00794689">
        <w:rPr>
          <w:rFonts w:asciiTheme="minorHAnsi" w:hAnsiTheme="minorHAnsi" w:cstheme="minorHAnsi"/>
        </w:rPr>
        <w:t xml:space="preserve">, disaggregated data on </w:t>
      </w:r>
      <w:r w:rsidR="007F4D23">
        <w:rPr>
          <w:rFonts w:asciiTheme="minorHAnsi" w:hAnsiTheme="minorHAnsi" w:cstheme="minorHAnsi"/>
        </w:rPr>
        <w:t>pre and post-event disability is needed.</w:t>
      </w:r>
      <w:r w:rsidR="00BA71C9">
        <w:rPr>
          <w:rFonts w:asciiTheme="minorHAnsi" w:hAnsiTheme="minorHAnsi" w:cstheme="minorHAnsi"/>
        </w:rPr>
        <w:t xml:space="preserve"> </w:t>
      </w:r>
    </w:p>
    <w:p w14:paraId="5A06629B" w14:textId="77777777" w:rsidR="004B4D50" w:rsidRDefault="004B4D50" w:rsidP="00C61070">
      <w:pPr>
        <w:spacing w:after="0" w:line="240" w:lineRule="auto"/>
        <w:rPr>
          <w:rFonts w:asciiTheme="minorHAnsi" w:hAnsiTheme="minorHAnsi" w:cstheme="minorHAnsi"/>
        </w:rPr>
      </w:pPr>
    </w:p>
    <w:p w14:paraId="72872EFB" w14:textId="32322F73" w:rsidR="00E97D48" w:rsidRDefault="00A03841" w:rsidP="22D8730C">
      <w:pPr>
        <w:spacing w:after="0" w:line="240" w:lineRule="auto"/>
        <w:rPr>
          <w:rFonts w:asciiTheme="minorHAnsi" w:hAnsiTheme="minorHAnsi"/>
        </w:rPr>
      </w:pPr>
      <w:bookmarkStart w:id="0" w:name="_Hlk120605707"/>
      <w:r>
        <w:rPr>
          <w:rFonts w:asciiTheme="minorHAnsi" w:hAnsiTheme="minorHAnsi"/>
        </w:rPr>
        <w:t>S</w:t>
      </w:r>
      <w:r w:rsidR="00F16C12">
        <w:rPr>
          <w:rFonts w:asciiTheme="minorHAnsi" w:hAnsiTheme="minorHAnsi"/>
        </w:rPr>
        <w:t>ince 2015</w:t>
      </w:r>
      <w:r>
        <w:rPr>
          <w:rFonts w:asciiTheme="minorHAnsi" w:hAnsiTheme="minorHAnsi"/>
        </w:rPr>
        <w:t>,</w:t>
      </w:r>
      <w:r w:rsidR="00F16C12">
        <w:rPr>
          <w:rFonts w:asciiTheme="minorHAnsi" w:hAnsiTheme="minorHAnsi"/>
        </w:rPr>
        <w:t xml:space="preserve"> </w:t>
      </w:r>
      <w:r w:rsidR="004B4D50" w:rsidRPr="22D8730C">
        <w:rPr>
          <w:rFonts w:asciiTheme="minorHAnsi" w:hAnsiTheme="minorHAnsi"/>
        </w:rPr>
        <w:t xml:space="preserve">four out of 12 </w:t>
      </w:r>
      <w:r>
        <w:rPr>
          <w:rFonts w:asciiTheme="minorHAnsi" w:hAnsiTheme="minorHAnsi"/>
        </w:rPr>
        <w:t xml:space="preserve">Pacific </w:t>
      </w:r>
      <w:r w:rsidR="004B4D50" w:rsidRPr="22D8730C">
        <w:rPr>
          <w:rFonts w:asciiTheme="minorHAnsi" w:hAnsiTheme="minorHAnsi"/>
        </w:rPr>
        <w:t xml:space="preserve">SFM reports </w:t>
      </w:r>
      <w:r w:rsidR="00F16C12">
        <w:rPr>
          <w:rFonts w:asciiTheme="minorHAnsi" w:hAnsiTheme="minorHAnsi"/>
        </w:rPr>
        <w:t xml:space="preserve">have </w:t>
      </w:r>
      <w:r w:rsidR="00F12156">
        <w:rPr>
          <w:rFonts w:asciiTheme="minorHAnsi" w:hAnsiTheme="minorHAnsi"/>
        </w:rPr>
        <w:t>addressed</w:t>
      </w:r>
      <w:r w:rsidR="00F12156" w:rsidRPr="22D8730C">
        <w:rPr>
          <w:rFonts w:asciiTheme="minorHAnsi" w:hAnsiTheme="minorHAnsi"/>
        </w:rPr>
        <w:t xml:space="preserve"> </w:t>
      </w:r>
      <w:r w:rsidR="004C446F" w:rsidRPr="22D8730C">
        <w:rPr>
          <w:rFonts w:asciiTheme="minorHAnsi" w:hAnsiTheme="minorHAnsi"/>
        </w:rPr>
        <w:t>disability</w:t>
      </w:r>
      <w:r w:rsidR="004B4D50" w:rsidRPr="22D8730C">
        <w:rPr>
          <w:rFonts w:asciiTheme="minorHAnsi" w:hAnsiTheme="minorHAnsi"/>
        </w:rPr>
        <w:t xml:space="preserve"> </w:t>
      </w:r>
      <w:r w:rsidR="004C446F" w:rsidRPr="22D8730C">
        <w:rPr>
          <w:rFonts w:asciiTheme="minorHAnsi" w:hAnsiTheme="minorHAnsi"/>
        </w:rPr>
        <w:t>data</w:t>
      </w:r>
      <w:r w:rsidR="004B4D50" w:rsidRPr="22D8730C">
        <w:rPr>
          <w:rFonts w:asciiTheme="minorHAnsi" w:hAnsiTheme="minorHAnsi"/>
        </w:rPr>
        <w:t>.</w:t>
      </w:r>
      <w:r w:rsidR="004B4D50" w:rsidRPr="22D8730C">
        <w:rPr>
          <w:rStyle w:val="FootnoteReference"/>
          <w:rFonts w:asciiTheme="minorHAnsi" w:hAnsiTheme="minorHAnsi"/>
        </w:rPr>
        <w:footnoteReference w:id="16"/>
      </w:r>
      <w:r w:rsidR="004B4D50" w:rsidRPr="22D8730C">
        <w:rPr>
          <w:rFonts w:asciiTheme="minorHAnsi" w:hAnsiTheme="minorHAnsi"/>
        </w:rPr>
        <w:t xml:space="preserve"> </w:t>
      </w:r>
      <w:r w:rsidR="00E97D48">
        <w:rPr>
          <w:rFonts w:asciiTheme="minorHAnsi" w:hAnsiTheme="minorHAnsi"/>
        </w:rPr>
        <w:t xml:space="preserve">However, most </w:t>
      </w:r>
      <w:r w:rsidR="00F12156">
        <w:rPr>
          <w:rFonts w:asciiTheme="minorHAnsi" w:hAnsiTheme="minorHAnsi"/>
        </w:rPr>
        <w:t xml:space="preserve">simply </w:t>
      </w:r>
      <w:r w:rsidR="00E97D48">
        <w:rPr>
          <w:rFonts w:asciiTheme="minorHAnsi" w:hAnsiTheme="minorHAnsi"/>
        </w:rPr>
        <w:t xml:space="preserve">confirm no data is available. Nauru reported the livelihoods of 15 persons with disabilities </w:t>
      </w:r>
      <w:r w:rsidR="00E97D48">
        <w:rPr>
          <w:rFonts w:asciiTheme="minorHAnsi" w:hAnsiTheme="minorHAnsi"/>
        </w:rPr>
        <w:lastRenderedPageBreak/>
        <w:t xml:space="preserve">had been disrupted or destroyed </w:t>
      </w:r>
      <w:r w:rsidR="004D0228">
        <w:rPr>
          <w:rFonts w:asciiTheme="minorHAnsi" w:hAnsiTheme="minorHAnsi"/>
        </w:rPr>
        <w:t>by</w:t>
      </w:r>
      <w:r w:rsidR="00E97D48">
        <w:rPr>
          <w:rFonts w:asciiTheme="minorHAnsi" w:hAnsiTheme="minorHAnsi"/>
        </w:rPr>
        <w:t xml:space="preserve"> disasters.</w:t>
      </w:r>
      <w:r w:rsidR="004D0228">
        <w:rPr>
          <w:rStyle w:val="FootnoteReference"/>
          <w:rFonts w:asciiTheme="minorHAnsi" w:hAnsiTheme="minorHAnsi"/>
        </w:rPr>
        <w:footnoteReference w:id="17"/>
      </w:r>
      <w:r w:rsidR="00E97D48">
        <w:rPr>
          <w:rFonts w:asciiTheme="minorHAnsi" w:hAnsiTheme="minorHAnsi"/>
        </w:rPr>
        <w:t xml:space="preserve"> Double disaggregation is not possible in the SFM. For example, from those 15 persons with disabilities impacted we cannot say how many were </w:t>
      </w:r>
      <w:r w:rsidR="004D0228">
        <w:rPr>
          <w:rFonts w:asciiTheme="minorHAnsi" w:hAnsiTheme="minorHAnsi"/>
        </w:rPr>
        <w:t>women</w:t>
      </w:r>
      <w:r w:rsidR="00E97D48">
        <w:rPr>
          <w:rFonts w:asciiTheme="minorHAnsi" w:hAnsiTheme="minorHAnsi"/>
        </w:rPr>
        <w:t xml:space="preserve">. </w:t>
      </w:r>
      <w:r>
        <w:rPr>
          <w:rFonts w:asciiTheme="minorHAnsi" w:hAnsiTheme="minorHAnsi"/>
        </w:rPr>
        <w:t>The DesInventar Sendai database includes options for reporting against disability, including deaths, missing, and injured persons</w:t>
      </w:r>
      <w:r w:rsidR="00F12156">
        <w:rPr>
          <w:rFonts w:asciiTheme="minorHAnsi" w:hAnsiTheme="minorHAnsi"/>
        </w:rPr>
        <w:t xml:space="preserve"> with disabilities</w:t>
      </w:r>
      <w:r>
        <w:rPr>
          <w:rFonts w:asciiTheme="minorHAnsi" w:hAnsiTheme="minorHAnsi"/>
        </w:rPr>
        <w:t>. Currently, on</w:t>
      </w:r>
      <w:r w:rsidR="00F12156">
        <w:rPr>
          <w:rFonts w:asciiTheme="minorHAnsi" w:hAnsiTheme="minorHAnsi"/>
        </w:rPr>
        <w:t xml:space="preserve">ly Samoa has </w:t>
      </w:r>
      <w:r>
        <w:rPr>
          <w:rFonts w:asciiTheme="minorHAnsi" w:hAnsiTheme="minorHAnsi"/>
        </w:rPr>
        <w:t>include</w:t>
      </w:r>
      <w:r w:rsidR="00F12156">
        <w:rPr>
          <w:rFonts w:asciiTheme="minorHAnsi" w:hAnsiTheme="minorHAnsi"/>
        </w:rPr>
        <w:t>d</w:t>
      </w:r>
      <w:r>
        <w:rPr>
          <w:rFonts w:asciiTheme="minorHAnsi" w:hAnsiTheme="minorHAnsi"/>
        </w:rPr>
        <w:t xml:space="preserve"> data for persons with disabilities</w:t>
      </w:r>
      <w:r w:rsidR="00E97D48">
        <w:rPr>
          <w:rFonts w:asciiTheme="minorHAnsi" w:hAnsiTheme="minorHAnsi"/>
        </w:rPr>
        <w:t>.</w:t>
      </w:r>
      <w:r w:rsidR="00E97D48">
        <w:rPr>
          <w:rStyle w:val="FootnoteReference"/>
          <w:rFonts w:asciiTheme="minorHAnsi" w:hAnsiTheme="minorHAnsi"/>
        </w:rPr>
        <w:footnoteReference w:id="18"/>
      </w:r>
      <w:r w:rsidR="00E97D48">
        <w:rPr>
          <w:rFonts w:asciiTheme="minorHAnsi" w:hAnsiTheme="minorHAnsi"/>
        </w:rPr>
        <w:t xml:space="preserve"> This is for three persons with disabilities whose livelihoods </w:t>
      </w:r>
      <w:r w:rsidR="004D0228">
        <w:rPr>
          <w:rFonts w:asciiTheme="minorHAnsi" w:hAnsiTheme="minorHAnsi"/>
        </w:rPr>
        <w:t xml:space="preserve">were </w:t>
      </w:r>
      <w:r w:rsidR="00E97D48">
        <w:rPr>
          <w:rFonts w:asciiTheme="minorHAnsi" w:hAnsiTheme="minorHAnsi"/>
        </w:rPr>
        <w:t>impacted</w:t>
      </w:r>
      <w:r w:rsidR="004D0228">
        <w:rPr>
          <w:rFonts w:asciiTheme="minorHAnsi" w:hAnsiTheme="minorHAnsi"/>
        </w:rPr>
        <w:t xml:space="preserve"> by disaster</w:t>
      </w:r>
      <w:r w:rsidR="00E97D48">
        <w:rPr>
          <w:rFonts w:asciiTheme="minorHAnsi" w:hAnsiTheme="minorHAnsi"/>
        </w:rPr>
        <w:t>.</w:t>
      </w:r>
    </w:p>
    <w:p w14:paraId="368F01F6" w14:textId="77777777" w:rsidR="00E97D48" w:rsidRDefault="00E97D48" w:rsidP="22D8730C">
      <w:pPr>
        <w:spacing w:after="0" w:line="240" w:lineRule="auto"/>
        <w:rPr>
          <w:rFonts w:asciiTheme="minorHAnsi" w:hAnsiTheme="minorHAnsi"/>
        </w:rPr>
      </w:pPr>
    </w:p>
    <w:p w14:paraId="481BE598" w14:textId="55919B0E" w:rsidR="00941DBA" w:rsidRDefault="002B43E1" w:rsidP="00C61070">
      <w:pPr>
        <w:spacing w:after="0" w:line="240" w:lineRule="auto"/>
        <w:rPr>
          <w:rFonts w:asciiTheme="minorHAnsi" w:hAnsiTheme="minorHAnsi" w:cstheme="minorHAnsi"/>
        </w:rPr>
      </w:pPr>
      <w:r>
        <w:rPr>
          <w:rFonts w:asciiTheme="minorHAnsi" w:hAnsiTheme="minorHAnsi"/>
        </w:rPr>
        <w:t>UNDRR’s r</w:t>
      </w:r>
      <w:r w:rsidR="009326A3" w:rsidRPr="22D8730C">
        <w:rPr>
          <w:rFonts w:asciiTheme="minorHAnsi" w:hAnsiTheme="minorHAnsi"/>
        </w:rPr>
        <w:t xml:space="preserve">ecent </w:t>
      </w:r>
      <w:r w:rsidR="00E97D48">
        <w:rPr>
          <w:rFonts w:asciiTheme="minorHAnsi" w:hAnsiTheme="minorHAnsi"/>
        </w:rPr>
        <w:t xml:space="preserve">country </w:t>
      </w:r>
      <w:r w:rsidR="004D0228">
        <w:rPr>
          <w:rFonts w:asciiTheme="minorHAnsi" w:hAnsiTheme="minorHAnsi"/>
        </w:rPr>
        <w:t xml:space="preserve">DRR </w:t>
      </w:r>
      <w:r>
        <w:rPr>
          <w:rFonts w:asciiTheme="minorHAnsi" w:hAnsiTheme="minorHAnsi"/>
        </w:rPr>
        <w:t xml:space="preserve">status </w:t>
      </w:r>
      <w:r w:rsidR="004D0228">
        <w:rPr>
          <w:rFonts w:asciiTheme="minorHAnsi" w:hAnsiTheme="minorHAnsi"/>
        </w:rPr>
        <w:t>report</w:t>
      </w:r>
      <w:r w:rsidR="009326A3" w:rsidRPr="22D8730C">
        <w:rPr>
          <w:rFonts w:asciiTheme="minorHAnsi" w:hAnsiTheme="minorHAnsi"/>
        </w:rPr>
        <w:t xml:space="preserve">s include disability prevalence figures from secondary sources. </w:t>
      </w:r>
      <w:r w:rsidR="002740AF" w:rsidRPr="22D8730C">
        <w:rPr>
          <w:rFonts w:asciiTheme="minorHAnsi" w:hAnsiTheme="minorHAnsi"/>
        </w:rPr>
        <w:t>Tuvalu report</w:t>
      </w:r>
      <w:r w:rsidR="009326A3" w:rsidRPr="22D8730C">
        <w:rPr>
          <w:rFonts w:asciiTheme="minorHAnsi" w:hAnsiTheme="minorHAnsi"/>
        </w:rPr>
        <w:t xml:space="preserve">s </w:t>
      </w:r>
      <w:r w:rsidR="00BC42E4" w:rsidRPr="22D8730C">
        <w:rPr>
          <w:rFonts w:asciiTheme="minorHAnsi" w:hAnsiTheme="minorHAnsi"/>
        </w:rPr>
        <w:t xml:space="preserve">a </w:t>
      </w:r>
      <w:r w:rsidR="002740AF" w:rsidRPr="22D8730C">
        <w:rPr>
          <w:rFonts w:asciiTheme="minorHAnsi" w:hAnsiTheme="minorHAnsi"/>
        </w:rPr>
        <w:t>disability prevalence figure of 4.5%</w:t>
      </w:r>
      <w:r>
        <w:rPr>
          <w:rFonts w:asciiTheme="minorHAnsi" w:hAnsiTheme="minorHAnsi"/>
        </w:rPr>
        <w:t xml:space="preserve"> (2022)</w:t>
      </w:r>
      <w:r w:rsidR="009326A3" w:rsidRPr="22D8730C">
        <w:rPr>
          <w:rFonts w:asciiTheme="minorHAnsi" w:hAnsiTheme="minorHAnsi"/>
        </w:rPr>
        <w:t>, Papu</w:t>
      </w:r>
      <w:r w:rsidR="00813DD5" w:rsidRPr="22D8730C">
        <w:rPr>
          <w:rFonts w:asciiTheme="minorHAnsi" w:hAnsiTheme="minorHAnsi"/>
        </w:rPr>
        <w:t>a New Guinea</w:t>
      </w:r>
      <w:r w:rsidR="009326A3" w:rsidRPr="22D8730C">
        <w:rPr>
          <w:rFonts w:asciiTheme="minorHAnsi" w:hAnsiTheme="minorHAnsi"/>
        </w:rPr>
        <w:t xml:space="preserve"> (</w:t>
      </w:r>
      <w:r w:rsidR="00813DD5" w:rsidRPr="22D8730C">
        <w:rPr>
          <w:rFonts w:asciiTheme="minorHAnsi" w:hAnsiTheme="minorHAnsi"/>
        </w:rPr>
        <w:t>2019</w:t>
      </w:r>
      <w:r w:rsidR="009326A3" w:rsidRPr="22D8730C">
        <w:rPr>
          <w:rFonts w:asciiTheme="minorHAnsi" w:hAnsiTheme="minorHAnsi"/>
        </w:rPr>
        <w:t>)</w:t>
      </w:r>
      <w:r w:rsidR="005242C8" w:rsidRPr="22D8730C">
        <w:rPr>
          <w:rFonts w:asciiTheme="minorHAnsi" w:hAnsiTheme="minorHAnsi"/>
        </w:rPr>
        <w:t xml:space="preserve">, Marshall Islands, and </w:t>
      </w:r>
      <w:r w:rsidR="009326A3" w:rsidRPr="22D8730C">
        <w:rPr>
          <w:rFonts w:asciiTheme="minorHAnsi" w:hAnsiTheme="minorHAnsi"/>
        </w:rPr>
        <w:t xml:space="preserve">Federated States of Micronesia (2022) </w:t>
      </w:r>
      <w:r>
        <w:rPr>
          <w:rFonts w:asciiTheme="minorHAnsi" w:hAnsiTheme="minorHAnsi"/>
        </w:rPr>
        <w:t>report</w:t>
      </w:r>
      <w:r w:rsidRPr="22D8730C">
        <w:rPr>
          <w:rFonts w:asciiTheme="minorHAnsi" w:hAnsiTheme="minorHAnsi"/>
        </w:rPr>
        <w:t xml:space="preserve"> </w:t>
      </w:r>
      <w:r w:rsidR="009326A3" w:rsidRPr="22D8730C">
        <w:rPr>
          <w:rFonts w:asciiTheme="minorHAnsi" w:hAnsiTheme="minorHAnsi"/>
        </w:rPr>
        <w:t>prevalence rates of around 11%.</w:t>
      </w:r>
      <w:r w:rsidR="009326A3" w:rsidRPr="22D8730C">
        <w:rPr>
          <w:rStyle w:val="FootnoteReference"/>
          <w:rFonts w:asciiTheme="minorHAnsi" w:hAnsiTheme="minorHAnsi"/>
        </w:rPr>
        <w:footnoteReference w:id="19"/>
      </w:r>
      <w:r w:rsidR="004C446F" w:rsidRPr="22D8730C">
        <w:rPr>
          <w:rFonts w:asciiTheme="minorHAnsi" w:hAnsiTheme="minorHAnsi"/>
          <w:vertAlign w:val="superscript"/>
        </w:rPr>
        <w:t xml:space="preserve"> </w:t>
      </w:r>
      <w:r w:rsidR="009977A5" w:rsidRPr="22D8730C">
        <w:rPr>
          <w:rFonts w:asciiTheme="minorHAnsi" w:hAnsiTheme="minorHAnsi"/>
          <w:vertAlign w:val="superscript"/>
        </w:rPr>
        <w:t xml:space="preserve"> </w:t>
      </w:r>
      <w:r w:rsidR="004D0228">
        <w:rPr>
          <w:rFonts w:asciiTheme="minorHAnsi" w:hAnsiTheme="minorHAnsi"/>
        </w:rPr>
        <w:t>G</w:t>
      </w:r>
      <w:r w:rsidR="00FE6852" w:rsidRPr="22D8730C">
        <w:rPr>
          <w:rFonts w:asciiTheme="minorHAnsi" w:hAnsiTheme="minorHAnsi"/>
        </w:rPr>
        <w:t>lobal burden of disease data</w:t>
      </w:r>
      <w:r w:rsidR="004C446F" w:rsidRPr="22D8730C">
        <w:rPr>
          <w:rFonts w:asciiTheme="minorHAnsi" w:hAnsiTheme="minorHAnsi"/>
        </w:rPr>
        <w:t xml:space="preserve"> </w:t>
      </w:r>
      <w:r w:rsidR="004D0228">
        <w:rPr>
          <w:rFonts w:asciiTheme="minorHAnsi" w:hAnsiTheme="minorHAnsi"/>
        </w:rPr>
        <w:t>suggest</w:t>
      </w:r>
      <w:r w:rsidR="00E84D93">
        <w:rPr>
          <w:rFonts w:asciiTheme="minorHAnsi" w:hAnsiTheme="minorHAnsi"/>
        </w:rPr>
        <w:t>s</w:t>
      </w:r>
      <w:r w:rsidR="004D0228">
        <w:rPr>
          <w:rFonts w:asciiTheme="minorHAnsi" w:hAnsiTheme="minorHAnsi"/>
        </w:rPr>
        <w:t xml:space="preserve"> the </w:t>
      </w:r>
      <w:r>
        <w:rPr>
          <w:rFonts w:asciiTheme="minorHAnsi" w:hAnsiTheme="minorHAnsi"/>
        </w:rPr>
        <w:t xml:space="preserve">current </w:t>
      </w:r>
      <w:r w:rsidR="00FE6852" w:rsidRPr="22D8730C">
        <w:rPr>
          <w:rFonts w:asciiTheme="minorHAnsi" w:hAnsiTheme="minorHAnsi"/>
        </w:rPr>
        <w:t xml:space="preserve">best estimate of </w:t>
      </w:r>
      <w:r w:rsidR="004C446F" w:rsidRPr="22D8730C">
        <w:rPr>
          <w:rFonts w:asciiTheme="minorHAnsi" w:hAnsiTheme="minorHAnsi"/>
        </w:rPr>
        <w:t xml:space="preserve">global </w:t>
      </w:r>
      <w:r w:rsidR="00FE6852" w:rsidRPr="22D8730C">
        <w:rPr>
          <w:rFonts w:asciiTheme="minorHAnsi" w:hAnsiTheme="minorHAnsi"/>
        </w:rPr>
        <w:t>disa</w:t>
      </w:r>
      <w:r w:rsidR="009326A3" w:rsidRPr="22D8730C">
        <w:rPr>
          <w:rFonts w:asciiTheme="minorHAnsi" w:hAnsiTheme="minorHAnsi"/>
        </w:rPr>
        <w:t xml:space="preserve">bility prevalence </w:t>
      </w:r>
      <w:r w:rsidR="004D0228">
        <w:rPr>
          <w:rFonts w:asciiTheme="minorHAnsi" w:hAnsiTheme="minorHAnsi"/>
        </w:rPr>
        <w:t>is</w:t>
      </w:r>
      <w:r w:rsidR="009326A3" w:rsidRPr="22D8730C">
        <w:rPr>
          <w:rFonts w:asciiTheme="minorHAnsi" w:hAnsiTheme="minorHAnsi"/>
        </w:rPr>
        <w:t xml:space="preserve"> 1</w:t>
      </w:r>
      <w:r w:rsidR="00E84D93">
        <w:rPr>
          <w:rFonts w:asciiTheme="minorHAnsi" w:hAnsiTheme="minorHAnsi"/>
        </w:rPr>
        <w:t>6</w:t>
      </w:r>
      <w:r w:rsidR="009326A3" w:rsidRPr="22D8730C">
        <w:rPr>
          <w:rFonts w:asciiTheme="minorHAnsi" w:hAnsiTheme="minorHAnsi"/>
        </w:rPr>
        <w:t>%</w:t>
      </w:r>
      <w:r w:rsidR="00FE6852" w:rsidRPr="22D8730C">
        <w:rPr>
          <w:rFonts w:asciiTheme="minorHAnsi" w:hAnsiTheme="minorHAnsi"/>
        </w:rPr>
        <w:t>.</w:t>
      </w:r>
      <w:r w:rsidR="009326A3" w:rsidRPr="22D8730C">
        <w:rPr>
          <w:rStyle w:val="FootnoteReference"/>
          <w:rFonts w:asciiTheme="minorHAnsi" w:hAnsiTheme="minorHAnsi"/>
        </w:rPr>
        <w:footnoteReference w:id="20"/>
      </w:r>
      <w:r w:rsidR="00FE6852" w:rsidRPr="22D8730C">
        <w:rPr>
          <w:rFonts w:asciiTheme="minorHAnsi" w:hAnsiTheme="minorHAnsi"/>
        </w:rPr>
        <w:t xml:space="preserve"> Other</w:t>
      </w:r>
      <w:r w:rsidR="004C446F" w:rsidRPr="22D8730C">
        <w:rPr>
          <w:rFonts w:asciiTheme="minorHAnsi" w:hAnsiTheme="minorHAnsi"/>
        </w:rPr>
        <w:t xml:space="preserve"> </w:t>
      </w:r>
      <w:r w:rsidR="004D0228">
        <w:rPr>
          <w:rFonts w:asciiTheme="minorHAnsi" w:hAnsiTheme="minorHAnsi"/>
        </w:rPr>
        <w:t>country DRR reports</w:t>
      </w:r>
      <w:r w:rsidR="00FE6852" w:rsidRPr="22D8730C">
        <w:rPr>
          <w:rFonts w:asciiTheme="minorHAnsi" w:hAnsiTheme="minorHAnsi"/>
        </w:rPr>
        <w:t xml:space="preserve"> reference disability, including in relation to disproportionate risk (Vanuatu, 2022) and </w:t>
      </w:r>
      <w:r w:rsidR="004D0228">
        <w:rPr>
          <w:rFonts w:asciiTheme="minorHAnsi" w:hAnsiTheme="minorHAnsi"/>
        </w:rPr>
        <w:t>“</w:t>
      </w:r>
      <w:r w:rsidR="00FE6852" w:rsidRPr="22D8730C">
        <w:rPr>
          <w:rFonts w:asciiTheme="minorHAnsi" w:hAnsiTheme="minorHAnsi"/>
        </w:rPr>
        <w:t>vulnerable</w:t>
      </w:r>
      <w:r w:rsidR="004D0228">
        <w:rPr>
          <w:rFonts w:asciiTheme="minorHAnsi" w:hAnsiTheme="minorHAnsi"/>
        </w:rPr>
        <w:t>”</w:t>
      </w:r>
      <w:r w:rsidR="00FE6852" w:rsidRPr="22D8730C">
        <w:rPr>
          <w:rFonts w:asciiTheme="minorHAnsi" w:hAnsiTheme="minorHAnsi"/>
        </w:rPr>
        <w:t xml:space="preserve"> groups (Kiribati, 2019; New Zealand, 2020</w:t>
      </w:r>
      <w:r w:rsidR="005242C8" w:rsidRPr="22D8730C">
        <w:rPr>
          <w:rFonts w:asciiTheme="minorHAnsi" w:hAnsiTheme="minorHAnsi"/>
        </w:rPr>
        <w:t>; Palau, 2022</w:t>
      </w:r>
      <w:r w:rsidR="00FE6852" w:rsidRPr="22D8730C">
        <w:rPr>
          <w:rFonts w:asciiTheme="minorHAnsi" w:hAnsiTheme="minorHAnsi"/>
        </w:rPr>
        <w:t>)</w:t>
      </w:r>
      <w:r w:rsidR="000D30F0" w:rsidRPr="22D8730C">
        <w:rPr>
          <w:rFonts w:asciiTheme="minorHAnsi" w:hAnsiTheme="minorHAnsi"/>
        </w:rPr>
        <w:t xml:space="preserve"> but provide no data. </w:t>
      </w:r>
      <w:r w:rsidR="004D0228">
        <w:rPr>
          <w:rFonts w:asciiTheme="minorHAnsi" w:hAnsiTheme="minorHAnsi"/>
        </w:rPr>
        <w:t>The report</w:t>
      </w:r>
      <w:r w:rsidR="005242C8" w:rsidRPr="22D8730C">
        <w:rPr>
          <w:rFonts w:asciiTheme="minorHAnsi" w:hAnsiTheme="minorHAnsi"/>
        </w:rPr>
        <w:t xml:space="preserve"> </w:t>
      </w:r>
      <w:r w:rsidR="004D0228">
        <w:rPr>
          <w:rFonts w:asciiTheme="minorHAnsi" w:hAnsiTheme="minorHAnsi"/>
        </w:rPr>
        <w:t xml:space="preserve">for Fiji </w:t>
      </w:r>
      <w:r w:rsidR="005242C8" w:rsidRPr="22D8730C">
        <w:rPr>
          <w:rFonts w:asciiTheme="minorHAnsi" w:hAnsiTheme="minorHAnsi"/>
        </w:rPr>
        <w:t xml:space="preserve">(2019) </w:t>
      </w:r>
      <w:r w:rsidR="004D0228">
        <w:rPr>
          <w:rFonts w:asciiTheme="minorHAnsi" w:hAnsiTheme="minorHAnsi"/>
        </w:rPr>
        <w:t>limits re</w:t>
      </w:r>
      <w:r w:rsidR="005242C8" w:rsidRPr="22D8730C">
        <w:rPr>
          <w:rFonts w:asciiTheme="minorHAnsi" w:hAnsiTheme="minorHAnsi"/>
        </w:rPr>
        <w:t xml:space="preserve">ference to the 2018 Rights of Persons with Disabilities Act. </w:t>
      </w:r>
      <w:bookmarkEnd w:id="0"/>
      <w:r w:rsidR="009977A5">
        <w:rPr>
          <w:rFonts w:asciiTheme="minorHAnsi" w:hAnsiTheme="minorHAnsi" w:cstheme="minorHAnsi"/>
        </w:rPr>
        <w:t>N</w:t>
      </w:r>
      <w:r w:rsidR="008B4A29">
        <w:rPr>
          <w:rFonts w:asciiTheme="minorHAnsi" w:hAnsiTheme="minorHAnsi" w:cstheme="minorHAnsi"/>
        </w:rPr>
        <w:t xml:space="preserve">o </w:t>
      </w:r>
      <w:r w:rsidR="00941DBA">
        <w:rPr>
          <w:rFonts w:asciiTheme="minorHAnsi" w:hAnsiTheme="minorHAnsi" w:cstheme="minorHAnsi"/>
        </w:rPr>
        <w:t xml:space="preserve">country </w:t>
      </w:r>
      <w:r w:rsidR="008B4A29">
        <w:rPr>
          <w:rFonts w:asciiTheme="minorHAnsi" w:hAnsiTheme="minorHAnsi" w:cstheme="minorHAnsi"/>
        </w:rPr>
        <w:t xml:space="preserve">report </w:t>
      </w:r>
      <w:r w:rsidR="00824868">
        <w:rPr>
          <w:rFonts w:asciiTheme="minorHAnsi" w:hAnsiTheme="minorHAnsi" w:cstheme="minorHAnsi"/>
        </w:rPr>
        <w:t>indicate</w:t>
      </w:r>
      <w:r w:rsidR="00562DEB">
        <w:rPr>
          <w:rFonts w:asciiTheme="minorHAnsi" w:hAnsiTheme="minorHAnsi" w:cstheme="minorHAnsi"/>
        </w:rPr>
        <w:t>s</w:t>
      </w:r>
      <w:r w:rsidR="00824868">
        <w:rPr>
          <w:rFonts w:asciiTheme="minorHAnsi" w:hAnsiTheme="minorHAnsi" w:cstheme="minorHAnsi"/>
        </w:rPr>
        <w:t xml:space="preserve"> any </w:t>
      </w:r>
      <w:r w:rsidR="00F12156">
        <w:rPr>
          <w:rFonts w:asciiTheme="minorHAnsi" w:hAnsiTheme="minorHAnsi" w:cstheme="minorHAnsi"/>
        </w:rPr>
        <w:t xml:space="preserve">clear </w:t>
      </w:r>
      <w:r w:rsidR="00824868">
        <w:rPr>
          <w:rFonts w:asciiTheme="minorHAnsi" w:hAnsiTheme="minorHAnsi" w:cstheme="minorHAnsi"/>
        </w:rPr>
        <w:t>application of disability disaggregated data</w:t>
      </w:r>
      <w:r w:rsidR="00F12156">
        <w:rPr>
          <w:rFonts w:asciiTheme="minorHAnsi" w:hAnsiTheme="minorHAnsi" w:cstheme="minorHAnsi"/>
        </w:rPr>
        <w:t xml:space="preserve"> to inform practice or formulate policy</w:t>
      </w:r>
      <w:r w:rsidR="00562DEB">
        <w:rPr>
          <w:rFonts w:asciiTheme="minorHAnsi" w:hAnsiTheme="minorHAnsi" w:cstheme="minorHAnsi"/>
        </w:rPr>
        <w:t>.</w:t>
      </w:r>
      <w:r w:rsidR="00CA2151">
        <w:rPr>
          <w:rFonts w:asciiTheme="minorHAnsi" w:hAnsiTheme="minorHAnsi" w:cstheme="minorHAnsi"/>
        </w:rPr>
        <w:t xml:space="preserve"> </w:t>
      </w:r>
    </w:p>
    <w:p w14:paraId="6710F1B2" w14:textId="77777777" w:rsidR="00941DBA" w:rsidRDefault="00941DBA" w:rsidP="00C61070">
      <w:pPr>
        <w:spacing w:after="0" w:line="240" w:lineRule="auto"/>
        <w:rPr>
          <w:rFonts w:asciiTheme="minorHAnsi" w:hAnsiTheme="minorHAnsi" w:cstheme="minorHAnsi"/>
        </w:rPr>
      </w:pPr>
    </w:p>
    <w:p w14:paraId="53375C67" w14:textId="6A8EAFE9" w:rsidR="00813DD5" w:rsidRDefault="00562DEB" w:rsidP="00C61070">
      <w:pPr>
        <w:spacing w:after="0" w:line="240" w:lineRule="auto"/>
        <w:rPr>
          <w:rFonts w:asciiTheme="minorHAnsi" w:hAnsiTheme="minorHAnsi" w:cstheme="minorHAnsi"/>
        </w:rPr>
      </w:pPr>
      <w:r>
        <w:rPr>
          <w:rFonts w:asciiTheme="minorHAnsi" w:hAnsiTheme="minorHAnsi" w:cstheme="minorHAnsi"/>
        </w:rPr>
        <w:t xml:space="preserve">Between 2015 and 2021, 11 Pacific countries included the Washington Group </w:t>
      </w:r>
      <w:r w:rsidR="00C870E3">
        <w:rPr>
          <w:rFonts w:asciiTheme="minorHAnsi" w:hAnsiTheme="minorHAnsi" w:cstheme="minorHAnsi"/>
        </w:rPr>
        <w:t>S</w:t>
      </w:r>
      <w:r>
        <w:rPr>
          <w:rFonts w:asciiTheme="minorHAnsi" w:hAnsiTheme="minorHAnsi" w:cstheme="minorHAnsi"/>
        </w:rPr>
        <w:t xml:space="preserve">hort </w:t>
      </w:r>
      <w:r w:rsidR="00C870E3">
        <w:rPr>
          <w:rFonts w:asciiTheme="minorHAnsi" w:hAnsiTheme="minorHAnsi" w:cstheme="minorHAnsi"/>
        </w:rPr>
        <w:t>S</w:t>
      </w:r>
      <w:r>
        <w:rPr>
          <w:rFonts w:asciiTheme="minorHAnsi" w:hAnsiTheme="minorHAnsi" w:cstheme="minorHAnsi"/>
        </w:rPr>
        <w:t xml:space="preserve">et of </w:t>
      </w:r>
      <w:r w:rsidR="009354BE">
        <w:rPr>
          <w:rFonts w:asciiTheme="minorHAnsi" w:hAnsiTheme="minorHAnsi" w:cstheme="minorHAnsi"/>
        </w:rPr>
        <w:t>q</w:t>
      </w:r>
      <w:r>
        <w:rPr>
          <w:rFonts w:asciiTheme="minorHAnsi" w:hAnsiTheme="minorHAnsi" w:cstheme="minorHAnsi"/>
        </w:rPr>
        <w:t xml:space="preserve">uestions on </w:t>
      </w:r>
      <w:r w:rsidR="009354BE">
        <w:rPr>
          <w:rFonts w:asciiTheme="minorHAnsi" w:hAnsiTheme="minorHAnsi" w:cstheme="minorHAnsi"/>
        </w:rPr>
        <w:t>f</w:t>
      </w:r>
      <w:r>
        <w:rPr>
          <w:rFonts w:asciiTheme="minorHAnsi" w:hAnsiTheme="minorHAnsi" w:cstheme="minorHAnsi"/>
        </w:rPr>
        <w:t>unctioning in their census.</w:t>
      </w:r>
      <w:r>
        <w:rPr>
          <w:rStyle w:val="FootnoteReference"/>
          <w:rFonts w:asciiTheme="minorHAnsi" w:hAnsiTheme="minorHAnsi" w:cstheme="minorHAnsi"/>
        </w:rPr>
        <w:footnoteReference w:id="21"/>
      </w:r>
      <w:r w:rsidR="00BA3DE9">
        <w:rPr>
          <w:rFonts w:asciiTheme="minorHAnsi" w:hAnsiTheme="minorHAnsi" w:cstheme="minorHAnsi"/>
        </w:rPr>
        <w:t xml:space="preserve"> </w:t>
      </w:r>
      <w:r w:rsidR="009354BE">
        <w:rPr>
          <w:rFonts w:asciiTheme="minorHAnsi" w:hAnsiTheme="minorHAnsi" w:cstheme="minorHAnsi"/>
        </w:rPr>
        <w:t xml:space="preserve">The </w:t>
      </w:r>
      <w:r w:rsidR="00C870E3">
        <w:rPr>
          <w:rFonts w:asciiTheme="minorHAnsi" w:hAnsiTheme="minorHAnsi" w:cstheme="minorHAnsi"/>
        </w:rPr>
        <w:t>S</w:t>
      </w:r>
      <w:r w:rsidR="009354BE">
        <w:rPr>
          <w:rFonts w:asciiTheme="minorHAnsi" w:hAnsiTheme="minorHAnsi" w:cstheme="minorHAnsi"/>
        </w:rPr>
        <w:t xml:space="preserve">hort </w:t>
      </w:r>
      <w:r w:rsidR="00C870E3">
        <w:rPr>
          <w:rFonts w:asciiTheme="minorHAnsi" w:hAnsiTheme="minorHAnsi" w:cstheme="minorHAnsi"/>
        </w:rPr>
        <w:t>S</w:t>
      </w:r>
      <w:r w:rsidR="009354BE">
        <w:rPr>
          <w:rFonts w:asciiTheme="minorHAnsi" w:hAnsiTheme="minorHAnsi" w:cstheme="minorHAnsi"/>
        </w:rPr>
        <w:t>et of questions allow</w:t>
      </w:r>
      <w:r w:rsidR="002B43E1">
        <w:rPr>
          <w:rFonts w:asciiTheme="minorHAnsi" w:hAnsiTheme="minorHAnsi" w:cstheme="minorHAnsi"/>
        </w:rPr>
        <w:t>s</w:t>
      </w:r>
      <w:r w:rsidR="009354BE">
        <w:rPr>
          <w:rFonts w:asciiTheme="minorHAnsi" w:hAnsiTheme="minorHAnsi" w:cstheme="minorHAnsi"/>
        </w:rPr>
        <w:t xml:space="preserve"> disaggregation of census and survey data by disability and are recommended for use in Sustainable Development Goal reporting.</w:t>
      </w:r>
      <w:r w:rsidR="009354BE">
        <w:rPr>
          <w:rStyle w:val="FootnoteReference"/>
          <w:rFonts w:asciiTheme="minorHAnsi" w:hAnsiTheme="minorHAnsi" w:cstheme="minorHAnsi"/>
        </w:rPr>
        <w:footnoteReference w:id="22"/>
      </w:r>
      <w:r w:rsidR="009354BE" w:rsidRPr="00DB32C7">
        <w:rPr>
          <w:rFonts w:asciiTheme="minorHAnsi" w:hAnsiTheme="minorHAnsi" w:cstheme="minorHAnsi"/>
          <w:vertAlign w:val="superscript"/>
        </w:rPr>
        <w:t>,</w:t>
      </w:r>
      <w:r w:rsidR="009354BE">
        <w:rPr>
          <w:rStyle w:val="FootnoteReference"/>
          <w:rFonts w:asciiTheme="minorHAnsi" w:hAnsiTheme="minorHAnsi" w:cstheme="minorHAnsi"/>
        </w:rPr>
        <w:footnoteReference w:id="23"/>
      </w:r>
      <w:r w:rsidR="009354BE">
        <w:rPr>
          <w:rFonts w:asciiTheme="minorHAnsi" w:hAnsiTheme="minorHAnsi" w:cstheme="minorHAnsi"/>
        </w:rPr>
        <w:t xml:space="preserve"> Six countries have </w:t>
      </w:r>
      <w:r w:rsidR="00C870E3">
        <w:rPr>
          <w:rFonts w:asciiTheme="minorHAnsi" w:hAnsiTheme="minorHAnsi" w:cstheme="minorHAnsi"/>
        </w:rPr>
        <w:t>produced</w:t>
      </w:r>
      <w:r w:rsidR="009354BE">
        <w:rPr>
          <w:rFonts w:asciiTheme="minorHAnsi" w:hAnsiTheme="minorHAnsi" w:cstheme="minorHAnsi"/>
        </w:rPr>
        <w:t xml:space="preserve"> Disability Monographs based on census data. I</w:t>
      </w:r>
      <w:r w:rsidR="00CA2151">
        <w:rPr>
          <w:rFonts w:asciiTheme="minorHAnsi" w:hAnsiTheme="minorHAnsi" w:cstheme="minorHAnsi"/>
        </w:rPr>
        <w:t xml:space="preserve">n </w:t>
      </w:r>
      <w:r w:rsidR="009354BE">
        <w:rPr>
          <w:rFonts w:asciiTheme="minorHAnsi" w:hAnsiTheme="minorHAnsi" w:cstheme="minorHAnsi"/>
        </w:rPr>
        <w:t xml:space="preserve">2020, </w:t>
      </w:r>
      <w:r w:rsidR="00CA2151">
        <w:rPr>
          <w:rFonts w:asciiTheme="minorHAnsi" w:hAnsiTheme="minorHAnsi" w:cstheme="minorHAnsi"/>
        </w:rPr>
        <w:t xml:space="preserve">the Pacific Group on Disability Statistics </w:t>
      </w:r>
      <w:r w:rsidR="009354BE">
        <w:rPr>
          <w:rFonts w:asciiTheme="minorHAnsi" w:hAnsiTheme="minorHAnsi" w:cstheme="minorHAnsi"/>
        </w:rPr>
        <w:t>was established as a Washington Group regional group</w:t>
      </w:r>
      <w:r w:rsidR="009354BE" w:rsidDel="009354BE">
        <w:rPr>
          <w:rFonts w:asciiTheme="minorHAnsi" w:hAnsiTheme="minorHAnsi" w:cstheme="minorHAnsi"/>
        </w:rPr>
        <w:t xml:space="preserve"> </w:t>
      </w:r>
      <w:r w:rsidR="007C6755">
        <w:rPr>
          <w:rFonts w:asciiTheme="minorHAnsi" w:hAnsiTheme="minorHAnsi" w:cstheme="minorHAnsi"/>
        </w:rPr>
        <w:t>chaired by the Samoan Bureau of Statistics</w:t>
      </w:r>
      <w:r w:rsidR="00CA2151">
        <w:rPr>
          <w:rFonts w:asciiTheme="minorHAnsi" w:hAnsiTheme="minorHAnsi" w:cstheme="minorHAnsi"/>
        </w:rPr>
        <w:t>.</w:t>
      </w:r>
      <w:r w:rsidR="00CA2151">
        <w:rPr>
          <w:rStyle w:val="FootnoteReference"/>
          <w:rFonts w:asciiTheme="minorHAnsi" w:hAnsiTheme="minorHAnsi" w:cstheme="minorHAnsi"/>
        </w:rPr>
        <w:footnoteReference w:id="24"/>
      </w:r>
      <w:r w:rsidR="00CA2151">
        <w:rPr>
          <w:rFonts w:asciiTheme="minorHAnsi" w:hAnsiTheme="minorHAnsi" w:cstheme="minorHAnsi"/>
        </w:rPr>
        <w:t xml:space="preserve"> </w:t>
      </w:r>
    </w:p>
    <w:p w14:paraId="004E99E3" w14:textId="77777777" w:rsidR="00813DD5" w:rsidRDefault="00813DD5" w:rsidP="00C61070">
      <w:pPr>
        <w:spacing w:after="0" w:line="240" w:lineRule="auto"/>
        <w:rPr>
          <w:rFonts w:asciiTheme="minorHAnsi" w:hAnsiTheme="minorHAnsi" w:cstheme="minorHAnsi"/>
        </w:rPr>
      </w:pPr>
    </w:p>
    <w:p w14:paraId="07541E36" w14:textId="44376FBF" w:rsidR="00BC42E4" w:rsidRDefault="007C6755" w:rsidP="46BA6153">
      <w:pPr>
        <w:spacing w:after="0" w:line="240" w:lineRule="auto"/>
        <w:rPr>
          <w:rFonts w:asciiTheme="minorHAnsi" w:hAnsiTheme="minorHAnsi"/>
        </w:rPr>
      </w:pPr>
      <w:r w:rsidRPr="46BA6153">
        <w:rPr>
          <w:rFonts w:asciiTheme="minorHAnsi" w:hAnsiTheme="minorHAnsi"/>
        </w:rPr>
        <w:t xml:space="preserve">The Short Set, and related question sets, </w:t>
      </w:r>
      <w:r w:rsidR="009977A5" w:rsidRPr="46BA6153">
        <w:rPr>
          <w:rFonts w:asciiTheme="minorHAnsi" w:hAnsiTheme="minorHAnsi"/>
        </w:rPr>
        <w:t xml:space="preserve">are increasingly used in </w:t>
      </w:r>
      <w:r w:rsidR="009354BE">
        <w:rPr>
          <w:rFonts w:asciiTheme="minorHAnsi" w:hAnsiTheme="minorHAnsi"/>
        </w:rPr>
        <w:t>a wide range of programm</w:t>
      </w:r>
      <w:r w:rsidR="00C870E3">
        <w:rPr>
          <w:rFonts w:asciiTheme="minorHAnsi" w:hAnsiTheme="minorHAnsi"/>
        </w:rPr>
        <w:t>e</w:t>
      </w:r>
      <w:r w:rsidR="009354BE">
        <w:rPr>
          <w:rFonts w:asciiTheme="minorHAnsi" w:hAnsiTheme="minorHAnsi"/>
        </w:rPr>
        <w:t xml:space="preserve"> applications in </w:t>
      </w:r>
      <w:r w:rsidR="009977A5" w:rsidRPr="46BA6153">
        <w:rPr>
          <w:rFonts w:asciiTheme="minorHAnsi" w:hAnsiTheme="minorHAnsi"/>
        </w:rPr>
        <w:t xml:space="preserve">the Pacific </w:t>
      </w:r>
      <w:r w:rsidR="009354BE">
        <w:rPr>
          <w:rFonts w:asciiTheme="minorHAnsi" w:hAnsiTheme="minorHAnsi"/>
        </w:rPr>
        <w:t xml:space="preserve">and </w:t>
      </w:r>
      <w:r w:rsidRPr="46BA6153">
        <w:rPr>
          <w:rFonts w:asciiTheme="minorHAnsi" w:hAnsiTheme="minorHAnsi"/>
        </w:rPr>
        <w:t xml:space="preserve">have the potential </w:t>
      </w:r>
      <w:r w:rsidR="00A33087" w:rsidRPr="46BA6153">
        <w:rPr>
          <w:rFonts w:asciiTheme="minorHAnsi" w:hAnsiTheme="minorHAnsi"/>
        </w:rPr>
        <w:t>to further understandings on differences in participation and opportunities between persons with and without disabilities. However, they are no panacea.</w:t>
      </w:r>
      <w:r w:rsidR="009977A5" w:rsidRPr="46BA6153">
        <w:rPr>
          <w:rFonts w:asciiTheme="minorHAnsi" w:hAnsiTheme="minorHAnsi"/>
        </w:rPr>
        <w:t xml:space="preserve"> T</w:t>
      </w:r>
      <w:r w:rsidR="00A33087" w:rsidRPr="46BA6153">
        <w:rPr>
          <w:rFonts w:asciiTheme="minorHAnsi" w:hAnsiTheme="minorHAnsi"/>
        </w:rPr>
        <w:t>he topic of disability data is broader than the disaggregation of population data. With increasing interest in the Short Set, it is important to note what the questions do not do.</w:t>
      </w:r>
      <w:r w:rsidR="00A33087" w:rsidRPr="46BA6153">
        <w:rPr>
          <w:rStyle w:val="FootnoteReference"/>
          <w:rFonts w:asciiTheme="minorHAnsi" w:hAnsiTheme="minorHAnsi"/>
        </w:rPr>
        <w:footnoteReference w:id="25"/>
      </w:r>
      <w:r w:rsidR="00A33087" w:rsidRPr="46BA6153">
        <w:rPr>
          <w:rFonts w:asciiTheme="minorHAnsi" w:hAnsiTheme="minorHAnsi"/>
        </w:rPr>
        <w:t xml:space="preserve"> Alone, the Short Set provides no information on needs, barriers, or impairments. To understand disaster risk, we also need information on these and related disability data issues. </w:t>
      </w:r>
    </w:p>
    <w:p w14:paraId="57D7BBFC" w14:textId="0A5395D5" w:rsidR="00B050AA" w:rsidRDefault="00B050AA" w:rsidP="00C61070">
      <w:pPr>
        <w:spacing w:after="0" w:line="240" w:lineRule="auto"/>
        <w:rPr>
          <w:rFonts w:asciiTheme="minorHAnsi" w:hAnsiTheme="minorHAnsi" w:cstheme="minorHAnsi"/>
        </w:rPr>
      </w:pPr>
    </w:p>
    <w:p w14:paraId="43A7B357" w14:textId="750FC103" w:rsidR="00B050AA" w:rsidRDefault="00B050AA" w:rsidP="46BA6153">
      <w:pPr>
        <w:spacing w:after="0" w:line="240" w:lineRule="auto"/>
        <w:rPr>
          <w:rFonts w:asciiTheme="minorHAnsi" w:hAnsiTheme="minorHAnsi"/>
        </w:rPr>
      </w:pPr>
      <w:r w:rsidRPr="00B1698F">
        <w:rPr>
          <w:rFonts w:asciiTheme="minorHAnsi" w:hAnsiTheme="minorHAnsi" w:cstheme="minorHAnsi"/>
          <w:noProof/>
          <w:color w:val="2B579A"/>
          <w:shd w:val="clear" w:color="auto" w:fill="E6E6E6"/>
        </w:rPr>
        <w:lastRenderedPageBreak/>
        <mc:AlternateContent>
          <mc:Choice Requires="wps">
            <w:drawing>
              <wp:inline distT="0" distB="0" distL="0" distR="0" wp14:anchorId="786C8EDE" wp14:editId="77B1C15F">
                <wp:extent cx="5581650" cy="1404620"/>
                <wp:effectExtent l="0" t="0" r="19050" b="1778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solidFill>
                          <a:srgbClr val="FFFFFF"/>
                        </a:solidFill>
                        <a:ln w="9525">
                          <a:solidFill>
                            <a:srgbClr val="094183"/>
                          </a:solidFill>
                          <a:miter lim="800000"/>
                          <a:headEnd/>
                          <a:tailEnd/>
                        </a:ln>
                      </wps:spPr>
                      <wps:txbx>
                        <w:txbxContent>
                          <w:p w14:paraId="1397FBD5" w14:textId="4A13568A" w:rsidR="00B050AA" w:rsidRPr="008D4E45" w:rsidRDefault="00B050AA" w:rsidP="00B050AA">
                            <w:pPr>
                              <w:spacing w:after="0" w:line="240" w:lineRule="auto"/>
                              <w:rPr>
                                <w:rFonts w:asciiTheme="minorHAnsi" w:hAnsiTheme="minorHAnsi" w:cstheme="minorHAnsi"/>
                              </w:rPr>
                            </w:pPr>
                            <w:r>
                              <w:rPr>
                                <w:rFonts w:asciiTheme="minorHAnsi" w:hAnsiTheme="minorHAnsi" w:cstheme="minorHAnsi"/>
                              </w:rPr>
                              <w:t xml:space="preserve">There is recognition of the importance of disability data. However, disability data is </w:t>
                            </w:r>
                            <w:r w:rsidR="00957CC2">
                              <w:rPr>
                                <w:rFonts w:asciiTheme="minorHAnsi" w:hAnsiTheme="minorHAnsi" w:cstheme="minorHAnsi"/>
                              </w:rPr>
                              <w:t>not consistently</w:t>
                            </w:r>
                            <w:r w:rsidR="00894E70">
                              <w:rPr>
                                <w:rFonts w:asciiTheme="minorHAnsi" w:hAnsiTheme="minorHAnsi" w:cstheme="minorHAnsi"/>
                              </w:rPr>
                              <w:t xml:space="preserve"> </w:t>
                            </w:r>
                            <w:r>
                              <w:rPr>
                                <w:rFonts w:asciiTheme="minorHAnsi" w:hAnsiTheme="minorHAnsi" w:cstheme="minorHAnsi"/>
                              </w:rPr>
                              <w:t xml:space="preserve">included in </w:t>
                            </w:r>
                            <w:r w:rsidR="00894E70">
                              <w:rPr>
                                <w:rFonts w:asciiTheme="minorHAnsi" w:hAnsiTheme="minorHAnsi" w:cstheme="minorHAnsi"/>
                              </w:rPr>
                              <w:t xml:space="preserve">Sendai Framework </w:t>
                            </w:r>
                            <w:r>
                              <w:rPr>
                                <w:rFonts w:asciiTheme="minorHAnsi" w:hAnsiTheme="minorHAnsi" w:cstheme="minorHAnsi"/>
                              </w:rPr>
                              <w:t xml:space="preserve">reporting and there </w:t>
                            </w:r>
                            <w:r w:rsidR="00894E70">
                              <w:rPr>
                                <w:rFonts w:asciiTheme="minorHAnsi" w:hAnsiTheme="minorHAnsi" w:cstheme="minorHAnsi"/>
                              </w:rPr>
                              <w:t xml:space="preserve">are </w:t>
                            </w:r>
                            <w:r w:rsidR="00957CC2">
                              <w:rPr>
                                <w:rFonts w:asciiTheme="minorHAnsi" w:hAnsiTheme="minorHAnsi" w:cstheme="minorHAnsi"/>
                              </w:rPr>
                              <w:t>few</w:t>
                            </w:r>
                            <w:r>
                              <w:rPr>
                                <w:rFonts w:asciiTheme="minorHAnsi" w:hAnsiTheme="minorHAnsi" w:cstheme="minorHAnsi"/>
                              </w:rPr>
                              <w:t xml:space="preserve"> examples of disability data being applied to improve understandings of disaster risk. Disability data is not only prevalence data. We also need to understand barriers and quanti</w:t>
                            </w:r>
                            <w:r w:rsidR="00FA6E1D">
                              <w:rPr>
                                <w:rFonts w:asciiTheme="minorHAnsi" w:hAnsiTheme="minorHAnsi" w:cstheme="minorHAnsi"/>
                              </w:rPr>
                              <w:t>f</w:t>
                            </w:r>
                            <w:r>
                              <w:rPr>
                                <w:rFonts w:asciiTheme="minorHAnsi" w:hAnsiTheme="minorHAnsi" w:cstheme="minorHAnsi"/>
                              </w:rPr>
                              <w:t>y efforts to remove them</w:t>
                            </w:r>
                            <w:r w:rsidR="00894E70">
                              <w:rPr>
                                <w:rFonts w:asciiTheme="minorHAnsi" w:hAnsiTheme="minorHAnsi" w:cstheme="minorHAnsi"/>
                              </w:rPr>
                              <w:t>.</w:t>
                            </w:r>
                          </w:p>
                        </w:txbxContent>
                      </wps:txbx>
                      <wps:bodyPr rot="0" vert="horz" wrap="square" lIns="91440" tIns="45720" rIns="91440" bIns="45720" anchor="t" anchorCtr="0">
                        <a:spAutoFit/>
                      </wps:bodyPr>
                    </wps:wsp>
                  </a:graphicData>
                </a:graphic>
              </wp:inline>
            </w:drawing>
          </mc:Choice>
          <mc:Fallback>
            <w:pict>
              <v:shape w14:anchorId="786C8EDE" id="_x0000_s1027" type="#_x0000_t202" style="width:439.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4FwIAACcEAAAOAAAAZHJzL2Uyb0RvYy54bWysk92O0zAQhe+ReAfL9zRJSUsbNV0tXYqQ&#10;lh9p4QEcx2ksHI+x3Sbl6Rk72W61wA0iF5adsY9nvjne3AydIidhnQRd0myWUiI0h1rqQ0m/fd2/&#10;WlHiPNM1U6BFSc/C0Zvtyxeb3hRiDi2oWliCItoVvSlp670pksTxVnTMzcAIjcEGbMc8Lu0hqS3r&#10;Ub1TyTxNl0kPtjYWuHAO/96NQbqN+k0juP/cNE54okqKufk42jhWYUy2G1YcLDOt5FMa7B+y6JjU&#10;eOlF6o55Ro5W/ibVSW7BQeNnHLoEmkZyEWvAarL0WTUPLTMi1oJwnLlgcv9Pln86PZgvlvjhLQzY&#10;wFiEM/fAvzuiYdcyfRC31kLfClbjxVlAlvTGFdPRgNoVLohU/Ueoscns6CEKDY3tAhWsk6A6NuB8&#10;gS4GTzj+XCxW2XKBIY6xLE/z5Ty2JWHF43FjnX8voCNhUlKLXY3y7HTvfEiHFY9bwm0OlKz3Uqm4&#10;sIdqpyw5MXTAPn6xgmfblCZ9SdeL+WIk8FeJdJ1nq9d/kuikRysr2ZV0lYZvNFfg9k7X0WieSTXO&#10;MWWlJ5CB3UjRD9VAZD1RDlwrqM9I1sLoXHxpOGnB/qSkR9eW1P04MisoUR80dmed5XmweVzkizeI&#10;ktjrSHUdYZqjVEk9JeN05+PTiNzMLXZxLyPfp0ymlNGNEfv0coLdr9dx19P73v4CAAD//wMAUEsD&#10;BBQABgAIAAAAIQBRmu+m2wAAAAUBAAAPAAAAZHJzL2Rvd25yZXYueG1sTI/BbsIwEETvSPyDtZV6&#10;A4ccAg1xUEVb1GOhlbiaeEki4nVkm5D267vtpb2MNJrVzNtiM9pODOhD60jBYp6AQKqcaalW8PH+&#10;MluBCFGT0Z0jVPCJATbldFLo3Lgb7XE4xFpwCYVcK2hi7HMpQ9Wg1WHueiTOzs5bHdn6Whqvb1xu&#10;O5kmSSatbokXGt3jtsHqcrhaBcenXfY67oc30z4nu69saS7+GJW6vxsf1yAijvHvGH7wGR1KZjq5&#10;K5kgOgX8SPxVzlbLB7YnBWm6SEGWhfxPX34DAAD//wMAUEsBAi0AFAAGAAgAAAAhALaDOJL+AAAA&#10;4QEAABMAAAAAAAAAAAAAAAAAAAAAAFtDb250ZW50X1R5cGVzXS54bWxQSwECLQAUAAYACAAAACEA&#10;OP0h/9YAAACUAQAACwAAAAAAAAAAAAAAAAAvAQAAX3JlbHMvLnJlbHNQSwECLQAUAAYACAAAACEA&#10;ETL/uBcCAAAnBAAADgAAAAAAAAAAAAAAAAAuAgAAZHJzL2Uyb0RvYy54bWxQSwECLQAUAAYACAAA&#10;ACEAUZrvptsAAAAFAQAADwAAAAAAAAAAAAAAAABxBAAAZHJzL2Rvd25yZXYueG1sUEsFBgAAAAAE&#10;AAQA8wAAAHkFAAAAAA==&#10;" strokecolor="#094183">
                <v:textbox style="mso-fit-shape-to-text:t">
                  <w:txbxContent>
                    <w:p w14:paraId="1397FBD5" w14:textId="4A13568A" w:rsidR="00B050AA" w:rsidRPr="008D4E45" w:rsidRDefault="00B050AA" w:rsidP="00B050AA">
                      <w:pPr>
                        <w:spacing w:after="0" w:line="240" w:lineRule="auto"/>
                        <w:rPr>
                          <w:rFonts w:asciiTheme="minorHAnsi" w:hAnsiTheme="minorHAnsi" w:cstheme="minorHAnsi"/>
                        </w:rPr>
                      </w:pPr>
                      <w:r>
                        <w:rPr>
                          <w:rFonts w:asciiTheme="minorHAnsi" w:hAnsiTheme="minorHAnsi" w:cstheme="minorHAnsi"/>
                        </w:rPr>
                        <w:t xml:space="preserve">There is recognition of the importance of disability data. However, disability data is </w:t>
                      </w:r>
                      <w:r w:rsidR="00957CC2">
                        <w:rPr>
                          <w:rFonts w:asciiTheme="minorHAnsi" w:hAnsiTheme="minorHAnsi" w:cstheme="minorHAnsi"/>
                        </w:rPr>
                        <w:t>not consistently</w:t>
                      </w:r>
                      <w:r w:rsidR="00894E70">
                        <w:rPr>
                          <w:rFonts w:asciiTheme="minorHAnsi" w:hAnsiTheme="minorHAnsi" w:cstheme="minorHAnsi"/>
                        </w:rPr>
                        <w:t xml:space="preserve"> </w:t>
                      </w:r>
                      <w:r>
                        <w:rPr>
                          <w:rFonts w:asciiTheme="minorHAnsi" w:hAnsiTheme="minorHAnsi" w:cstheme="minorHAnsi"/>
                        </w:rPr>
                        <w:t xml:space="preserve">included in </w:t>
                      </w:r>
                      <w:r w:rsidR="00894E70">
                        <w:rPr>
                          <w:rFonts w:asciiTheme="minorHAnsi" w:hAnsiTheme="minorHAnsi" w:cstheme="minorHAnsi"/>
                        </w:rPr>
                        <w:t xml:space="preserve">Sendai Framework </w:t>
                      </w:r>
                      <w:r>
                        <w:rPr>
                          <w:rFonts w:asciiTheme="minorHAnsi" w:hAnsiTheme="minorHAnsi" w:cstheme="minorHAnsi"/>
                        </w:rPr>
                        <w:t xml:space="preserve">reporting and there </w:t>
                      </w:r>
                      <w:r w:rsidR="00894E70">
                        <w:rPr>
                          <w:rFonts w:asciiTheme="minorHAnsi" w:hAnsiTheme="minorHAnsi" w:cstheme="minorHAnsi"/>
                        </w:rPr>
                        <w:t xml:space="preserve">are </w:t>
                      </w:r>
                      <w:r w:rsidR="00957CC2">
                        <w:rPr>
                          <w:rFonts w:asciiTheme="minorHAnsi" w:hAnsiTheme="minorHAnsi" w:cstheme="minorHAnsi"/>
                        </w:rPr>
                        <w:t>few</w:t>
                      </w:r>
                      <w:r>
                        <w:rPr>
                          <w:rFonts w:asciiTheme="minorHAnsi" w:hAnsiTheme="minorHAnsi" w:cstheme="minorHAnsi"/>
                        </w:rPr>
                        <w:t xml:space="preserve"> examples of disability data being applied to improve understandings of disaster risk. Disability data is not only prevalence data. We also need to understand barriers and quanti</w:t>
                      </w:r>
                      <w:r w:rsidR="00FA6E1D">
                        <w:rPr>
                          <w:rFonts w:asciiTheme="minorHAnsi" w:hAnsiTheme="minorHAnsi" w:cstheme="minorHAnsi"/>
                        </w:rPr>
                        <w:t>f</w:t>
                      </w:r>
                      <w:r>
                        <w:rPr>
                          <w:rFonts w:asciiTheme="minorHAnsi" w:hAnsiTheme="minorHAnsi" w:cstheme="minorHAnsi"/>
                        </w:rPr>
                        <w:t>y efforts to remove them</w:t>
                      </w:r>
                      <w:r w:rsidR="00894E70">
                        <w:rPr>
                          <w:rFonts w:asciiTheme="minorHAnsi" w:hAnsiTheme="minorHAnsi" w:cstheme="minorHAnsi"/>
                        </w:rPr>
                        <w:t>.</w:t>
                      </w:r>
                    </w:p>
                  </w:txbxContent>
                </v:textbox>
                <w10:anchorlock/>
              </v:shape>
            </w:pict>
          </mc:Fallback>
        </mc:AlternateContent>
      </w:r>
    </w:p>
    <w:p w14:paraId="66D00EE6" w14:textId="56D877F4" w:rsidR="00830F7E" w:rsidRDefault="00830F7E" w:rsidP="00C61070">
      <w:pPr>
        <w:spacing w:after="0" w:line="240" w:lineRule="auto"/>
        <w:rPr>
          <w:rFonts w:asciiTheme="minorHAnsi" w:hAnsiTheme="minorHAnsi" w:cstheme="minorHAnsi"/>
        </w:rPr>
      </w:pPr>
    </w:p>
    <w:p w14:paraId="198EC1F2" w14:textId="47C47106" w:rsidR="00D23642" w:rsidRPr="00D23642" w:rsidRDefault="00D23642" w:rsidP="003B4AC8">
      <w:pPr>
        <w:pStyle w:val="Heading2"/>
        <w:numPr>
          <w:ilvl w:val="0"/>
          <w:numId w:val="40"/>
        </w:numPr>
        <w:rPr>
          <w:rFonts w:ascii="Cambria" w:hAnsi="Cambria"/>
          <w:color w:val="094183"/>
          <w:sz w:val="24"/>
          <w:szCs w:val="24"/>
        </w:rPr>
      </w:pPr>
      <w:r w:rsidRPr="00D23642">
        <w:rPr>
          <w:rFonts w:ascii="Cambria" w:hAnsi="Cambria"/>
          <w:color w:val="094183"/>
          <w:sz w:val="24"/>
          <w:szCs w:val="24"/>
        </w:rPr>
        <w:t>Intersectionalities and horizontal inequalities</w:t>
      </w:r>
    </w:p>
    <w:p w14:paraId="5630D017" w14:textId="52F6F083" w:rsidR="00D23642" w:rsidRDefault="00D23642" w:rsidP="00C61070">
      <w:pPr>
        <w:spacing w:after="0" w:line="240" w:lineRule="auto"/>
        <w:rPr>
          <w:rFonts w:ascii="Cambria" w:hAnsi="Cambria"/>
          <w:sz w:val="24"/>
          <w:szCs w:val="24"/>
        </w:rPr>
      </w:pPr>
    </w:p>
    <w:p w14:paraId="07095D67" w14:textId="6A5565C0" w:rsidR="00780403" w:rsidRDefault="00894E70" w:rsidP="00C61070">
      <w:pPr>
        <w:spacing w:after="0" w:line="240" w:lineRule="auto"/>
        <w:rPr>
          <w:rFonts w:asciiTheme="minorHAnsi" w:hAnsiTheme="minorHAnsi" w:cstheme="minorHAnsi"/>
        </w:rPr>
      </w:pPr>
      <w:r w:rsidRPr="00894E70">
        <w:rPr>
          <w:rFonts w:asciiTheme="minorHAnsi" w:hAnsiTheme="minorHAnsi" w:cstheme="minorHAnsi"/>
        </w:rPr>
        <w:t xml:space="preserve">Increasingly, disability is viewed as one component of social inclusion. </w:t>
      </w:r>
      <w:r w:rsidR="00780403">
        <w:rPr>
          <w:rFonts w:asciiTheme="minorHAnsi" w:hAnsiTheme="minorHAnsi" w:cstheme="minorHAnsi"/>
        </w:rPr>
        <w:t>A gender equality and social inclusion (GESI) approach is, for example, emphasised in Australian Aid programming in the Pacific.</w:t>
      </w:r>
      <w:r w:rsidR="002D1057">
        <w:rPr>
          <w:rStyle w:val="FootnoteReference"/>
          <w:rFonts w:asciiTheme="minorHAnsi" w:hAnsiTheme="minorHAnsi" w:cstheme="minorHAnsi"/>
        </w:rPr>
        <w:footnoteReference w:id="26"/>
      </w:r>
      <w:r w:rsidR="00780403">
        <w:rPr>
          <w:rFonts w:asciiTheme="minorHAnsi" w:hAnsiTheme="minorHAnsi" w:cstheme="minorHAnsi"/>
        </w:rPr>
        <w:t xml:space="preserve"> Concerns that GESI does not adequately capture and emphasise disability inclusion have resulted in </w:t>
      </w:r>
      <w:r w:rsidR="00C70247">
        <w:rPr>
          <w:rFonts w:asciiTheme="minorHAnsi" w:hAnsiTheme="minorHAnsi" w:cstheme="minorHAnsi"/>
        </w:rPr>
        <w:t xml:space="preserve">the </w:t>
      </w:r>
      <w:r w:rsidR="00780403">
        <w:rPr>
          <w:rFonts w:asciiTheme="minorHAnsi" w:hAnsiTheme="minorHAnsi" w:cstheme="minorHAnsi"/>
        </w:rPr>
        <w:t>promotion of gender equality, disability, and social inclusion (GEDSI) as the preferred approach by disability stakeholders in the region.</w:t>
      </w:r>
      <w:r w:rsidR="00780403">
        <w:rPr>
          <w:rStyle w:val="FootnoteReference"/>
          <w:rFonts w:asciiTheme="minorHAnsi" w:hAnsiTheme="minorHAnsi" w:cstheme="minorHAnsi"/>
        </w:rPr>
        <w:footnoteReference w:id="27"/>
      </w:r>
    </w:p>
    <w:p w14:paraId="5D9439FC" w14:textId="1A815982" w:rsidR="002D1057" w:rsidRDefault="002D1057" w:rsidP="00C61070">
      <w:pPr>
        <w:spacing w:after="0" w:line="240" w:lineRule="auto"/>
        <w:rPr>
          <w:rFonts w:asciiTheme="minorHAnsi" w:hAnsiTheme="minorHAnsi" w:cstheme="minorHAnsi"/>
        </w:rPr>
      </w:pPr>
    </w:p>
    <w:p w14:paraId="6E3C5E72" w14:textId="49D0F741" w:rsidR="004D5F10" w:rsidRDefault="002D1057" w:rsidP="00C61070">
      <w:pPr>
        <w:spacing w:after="0" w:line="240" w:lineRule="auto"/>
        <w:rPr>
          <w:rFonts w:asciiTheme="minorHAnsi" w:hAnsiTheme="minorHAnsi" w:cstheme="minorHAnsi"/>
        </w:rPr>
      </w:pPr>
      <w:r>
        <w:rPr>
          <w:rFonts w:asciiTheme="minorHAnsi" w:hAnsiTheme="minorHAnsi" w:cstheme="minorHAnsi"/>
        </w:rPr>
        <w:t xml:space="preserve">A GEDSI approach recognises and responds to inequity and marginalisation based on identity characteristics. For example, gender identity, age, sexual orientation, language, ethnicity, and disability. An effective GEDSI approach </w:t>
      </w:r>
      <w:r w:rsidR="004D5F10">
        <w:rPr>
          <w:rFonts w:asciiTheme="minorHAnsi" w:hAnsiTheme="minorHAnsi" w:cstheme="minorHAnsi"/>
        </w:rPr>
        <w:t xml:space="preserve">looks beyond individual identity characteristics and considers how </w:t>
      </w:r>
      <w:r w:rsidR="00C870E3">
        <w:rPr>
          <w:rFonts w:asciiTheme="minorHAnsi" w:hAnsiTheme="minorHAnsi" w:cstheme="minorHAnsi"/>
        </w:rPr>
        <w:t xml:space="preserve">different characteristics </w:t>
      </w:r>
      <w:r w:rsidR="004D5F10">
        <w:rPr>
          <w:rFonts w:asciiTheme="minorHAnsi" w:hAnsiTheme="minorHAnsi" w:cstheme="minorHAnsi"/>
        </w:rPr>
        <w:t xml:space="preserve">interact. This intersectional approach is essential to understanding disaster risk. For example, how an older man with a visual impairment is impacted by a disaster may be </w:t>
      </w:r>
      <w:r w:rsidR="00C870E3">
        <w:rPr>
          <w:rFonts w:asciiTheme="minorHAnsi" w:hAnsiTheme="minorHAnsi" w:cstheme="minorHAnsi"/>
        </w:rPr>
        <w:t xml:space="preserve">very </w:t>
      </w:r>
      <w:r w:rsidR="004D5F10">
        <w:rPr>
          <w:rFonts w:asciiTheme="minorHAnsi" w:hAnsiTheme="minorHAnsi" w:cstheme="minorHAnsi"/>
        </w:rPr>
        <w:t>different from how a female youth with autism may be impacted. Equally, th</w:t>
      </w:r>
      <w:r w:rsidR="005329A8">
        <w:rPr>
          <w:rFonts w:asciiTheme="minorHAnsi" w:hAnsiTheme="minorHAnsi" w:cstheme="minorHAnsi"/>
        </w:rPr>
        <w:t xml:space="preserve">ese individuals’ </w:t>
      </w:r>
      <w:r w:rsidR="004D5F10">
        <w:rPr>
          <w:rFonts w:asciiTheme="minorHAnsi" w:hAnsiTheme="minorHAnsi" w:cstheme="minorHAnsi"/>
        </w:rPr>
        <w:t>needs in preparing for, and responding to, disaster events may be quite different.</w:t>
      </w:r>
    </w:p>
    <w:p w14:paraId="7E04FC01" w14:textId="2044B3D7" w:rsidR="005329A8" w:rsidRDefault="005329A8" w:rsidP="00C61070">
      <w:pPr>
        <w:spacing w:after="0" w:line="240" w:lineRule="auto"/>
        <w:rPr>
          <w:rFonts w:asciiTheme="minorHAnsi" w:hAnsiTheme="minorHAnsi" w:cstheme="minorHAnsi"/>
        </w:rPr>
      </w:pPr>
    </w:p>
    <w:p w14:paraId="7DD9E30B" w14:textId="70AA6389" w:rsidR="003657FB" w:rsidRDefault="003663A8" w:rsidP="00C61070">
      <w:pPr>
        <w:spacing w:after="0" w:line="240" w:lineRule="auto"/>
        <w:rPr>
          <w:rFonts w:asciiTheme="minorHAnsi" w:hAnsiTheme="minorHAnsi" w:cstheme="minorHAnsi"/>
        </w:rPr>
      </w:pPr>
      <w:r>
        <w:rPr>
          <w:rFonts w:asciiTheme="minorHAnsi" w:hAnsiTheme="minorHAnsi" w:cstheme="minorHAnsi"/>
        </w:rPr>
        <w:t>Recognising</w:t>
      </w:r>
      <w:r w:rsidR="005329A8">
        <w:rPr>
          <w:rFonts w:asciiTheme="minorHAnsi" w:hAnsiTheme="minorHAnsi" w:cstheme="minorHAnsi"/>
        </w:rPr>
        <w:t xml:space="preserve"> horizontal inequalities</w:t>
      </w:r>
      <w:r>
        <w:rPr>
          <w:rFonts w:asciiTheme="minorHAnsi" w:hAnsiTheme="minorHAnsi" w:cstheme="minorHAnsi"/>
        </w:rPr>
        <w:t xml:space="preserve"> is also important</w:t>
      </w:r>
      <w:r w:rsidR="005329A8">
        <w:rPr>
          <w:rFonts w:asciiTheme="minorHAnsi" w:hAnsiTheme="minorHAnsi" w:cstheme="minorHAnsi"/>
        </w:rPr>
        <w:t>. Horizontal inequalities are the differences in participation, opportunities, or disaster risk between different groups of people with a shared identity characteristic.</w:t>
      </w:r>
      <w:r w:rsidR="003542F7">
        <w:rPr>
          <w:rStyle w:val="FootnoteReference"/>
          <w:rFonts w:asciiTheme="minorHAnsi" w:hAnsiTheme="minorHAnsi" w:cstheme="minorHAnsi"/>
        </w:rPr>
        <w:footnoteReference w:id="28"/>
      </w:r>
      <w:r w:rsidR="005329A8">
        <w:rPr>
          <w:rFonts w:asciiTheme="minorHAnsi" w:hAnsiTheme="minorHAnsi" w:cstheme="minorHAnsi"/>
        </w:rPr>
        <w:t xml:space="preserve"> </w:t>
      </w:r>
      <w:r w:rsidR="009354BE">
        <w:rPr>
          <w:rFonts w:asciiTheme="minorHAnsi" w:hAnsiTheme="minorHAnsi" w:cstheme="minorHAnsi"/>
        </w:rPr>
        <w:t>A</w:t>
      </w:r>
      <w:r w:rsidR="005329A8">
        <w:rPr>
          <w:rFonts w:asciiTheme="minorHAnsi" w:hAnsiTheme="minorHAnsi" w:cstheme="minorHAnsi"/>
        </w:rPr>
        <w:t xml:space="preserve">s noted, efforts to improve disability data disaggregation have largely focused on </w:t>
      </w:r>
      <w:r w:rsidR="003542F7">
        <w:rPr>
          <w:rFonts w:asciiTheme="minorHAnsi" w:hAnsiTheme="minorHAnsi" w:cstheme="minorHAnsi"/>
        </w:rPr>
        <w:t xml:space="preserve">understanding differences between persons with and without disabilities. There have been few efforts to understand the impacts of disaster risk between sub-groups of persons with disabilities. For example, between </w:t>
      </w:r>
      <w:r w:rsidR="003657FB">
        <w:rPr>
          <w:rFonts w:asciiTheme="minorHAnsi" w:hAnsiTheme="minorHAnsi" w:cstheme="minorHAnsi"/>
        </w:rPr>
        <w:t xml:space="preserve">people with </w:t>
      </w:r>
      <w:r w:rsidR="003542F7">
        <w:rPr>
          <w:rFonts w:asciiTheme="minorHAnsi" w:hAnsiTheme="minorHAnsi" w:cstheme="minorHAnsi"/>
        </w:rPr>
        <w:t xml:space="preserve">a mobility functioning difficulty and </w:t>
      </w:r>
      <w:r w:rsidR="003657FB">
        <w:rPr>
          <w:rFonts w:asciiTheme="minorHAnsi" w:hAnsiTheme="minorHAnsi" w:cstheme="minorHAnsi"/>
        </w:rPr>
        <w:t xml:space="preserve">people </w:t>
      </w:r>
      <w:r w:rsidR="003542F7">
        <w:rPr>
          <w:rFonts w:asciiTheme="minorHAnsi" w:hAnsiTheme="minorHAnsi" w:cstheme="minorHAnsi"/>
        </w:rPr>
        <w:t xml:space="preserve">with a psychosocial disability. </w:t>
      </w:r>
    </w:p>
    <w:p w14:paraId="27D446C2" w14:textId="77777777" w:rsidR="003657FB" w:rsidRDefault="003657FB" w:rsidP="00C61070">
      <w:pPr>
        <w:spacing w:after="0" w:line="240" w:lineRule="auto"/>
        <w:rPr>
          <w:rFonts w:asciiTheme="minorHAnsi" w:hAnsiTheme="minorHAnsi" w:cstheme="minorHAnsi"/>
        </w:rPr>
      </w:pPr>
    </w:p>
    <w:p w14:paraId="480B109C" w14:textId="323EFA61" w:rsidR="00BA1D70" w:rsidRDefault="003542F7" w:rsidP="22D8730C">
      <w:pPr>
        <w:spacing w:after="0" w:line="240" w:lineRule="auto"/>
        <w:rPr>
          <w:rFonts w:asciiTheme="minorHAnsi" w:hAnsiTheme="minorHAnsi"/>
        </w:rPr>
      </w:pPr>
      <w:r w:rsidRPr="22D8730C">
        <w:rPr>
          <w:rFonts w:asciiTheme="minorHAnsi" w:hAnsiTheme="minorHAnsi"/>
        </w:rPr>
        <w:t xml:space="preserve">Understanding disaster risk requires understanding the disproportionate risk that persons with disabilities experience in comparison to persons without disabilities. </w:t>
      </w:r>
      <w:r w:rsidR="003657FB" w:rsidRPr="22D8730C">
        <w:rPr>
          <w:rFonts w:asciiTheme="minorHAnsi" w:hAnsiTheme="minorHAnsi"/>
        </w:rPr>
        <w:t>At the same time, we</w:t>
      </w:r>
      <w:r w:rsidR="002F244B" w:rsidRPr="22D8730C">
        <w:rPr>
          <w:rFonts w:asciiTheme="minorHAnsi" w:hAnsiTheme="minorHAnsi"/>
        </w:rPr>
        <w:t xml:space="preserve"> </w:t>
      </w:r>
      <w:r w:rsidR="003657FB" w:rsidRPr="22D8730C">
        <w:rPr>
          <w:rFonts w:asciiTheme="minorHAnsi" w:hAnsiTheme="minorHAnsi"/>
        </w:rPr>
        <w:t>need to</w:t>
      </w:r>
      <w:r w:rsidR="002F244B" w:rsidRPr="22D8730C">
        <w:rPr>
          <w:rFonts w:asciiTheme="minorHAnsi" w:hAnsiTheme="minorHAnsi"/>
        </w:rPr>
        <w:t xml:space="preserve"> recognise persons with disabilities are not a homogenous group</w:t>
      </w:r>
      <w:r w:rsidR="00381798">
        <w:rPr>
          <w:rFonts w:asciiTheme="minorHAnsi" w:hAnsiTheme="minorHAnsi"/>
        </w:rPr>
        <w:t>. I</w:t>
      </w:r>
      <w:r w:rsidR="003657FB" w:rsidRPr="22D8730C">
        <w:rPr>
          <w:rFonts w:asciiTheme="minorHAnsi" w:hAnsiTheme="minorHAnsi"/>
        </w:rPr>
        <w:t xml:space="preserve">ncreased attention </w:t>
      </w:r>
      <w:r w:rsidR="00381798">
        <w:rPr>
          <w:rFonts w:asciiTheme="minorHAnsi" w:hAnsiTheme="minorHAnsi"/>
        </w:rPr>
        <w:t xml:space="preserve">needs to be paid </w:t>
      </w:r>
      <w:r w:rsidR="003657FB" w:rsidRPr="22D8730C">
        <w:rPr>
          <w:rFonts w:asciiTheme="minorHAnsi" w:hAnsiTheme="minorHAnsi"/>
        </w:rPr>
        <w:t>to highly marginalised</w:t>
      </w:r>
      <w:r w:rsidR="00557B63" w:rsidRPr="22D8730C">
        <w:rPr>
          <w:rFonts w:asciiTheme="minorHAnsi" w:hAnsiTheme="minorHAnsi"/>
        </w:rPr>
        <w:t xml:space="preserve"> groups</w:t>
      </w:r>
      <w:r w:rsidR="003663A8" w:rsidRPr="22D8730C">
        <w:rPr>
          <w:rFonts w:asciiTheme="minorHAnsi" w:hAnsiTheme="minorHAnsi"/>
        </w:rPr>
        <w:t xml:space="preserve"> </w:t>
      </w:r>
      <w:r w:rsidR="003657FB" w:rsidRPr="22D8730C">
        <w:rPr>
          <w:rFonts w:asciiTheme="minorHAnsi" w:hAnsiTheme="minorHAnsi"/>
        </w:rPr>
        <w:t xml:space="preserve">within the disability </w:t>
      </w:r>
      <w:r w:rsidR="00DB32C7" w:rsidRPr="22D8730C">
        <w:rPr>
          <w:rFonts w:asciiTheme="minorHAnsi" w:hAnsiTheme="minorHAnsi"/>
        </w:rPr>
        <w:t>community</w:t>
      </w:r>
      <w:r w:rsidR="00DB32C7">
        <w:rPr>
          <w:rFonts w:asciiTheme="minorHAnsi" w:hAnsiTheme="minorHAnsi"/>
        </w:rPr>
        <w:t>,</w:t>
      </w:r>
      <w:r w:rsidR="00381798">
        <w:rPr>
          <w:rFonts w:asciiTheme="minorHAnsi" w:hAnsiTheme="minorHAnsi"/>
        </w:rPr>
        <w:t xml:space="preserve"> for example, </w:t>
      </w:r>
      <w:r w:rsidR="003657FB" w:rsidRPr="22D8730C">
        <w:rPr>
          <w:rFonts w:asciiTheme="minorHAnsi" w:hAnsiTheme="minorHAnsi"/>
        </w:rPr>
        <w:t xml:space="preserve">people with cognitive and psychosocial disabilities. </w:t>
      </w:r>
    </w:p>
    <w:p w14:paraId="5A244EDF" w14:textId="77777777" w:rsidR="00BA1D70" w:rsidRDefault="00BA1D70" w:rsidP="22D8730C">
      <w:pPr>
        <w:spacing w:after="0" w:line="240" w:lineRule="auto"/>
        <w:rPr>
          <w:rFonts w:asciiTheme="minorHAnsi" w:hAnsiTheme="minorHAnsi"/>
        </w:rPr>
      </w:pPr>
    </w:p>
    <w:p w14:paraId="23E2C08F" w14:textId="5C24397F" w:rsidR="003657FB" w:rsidRDefault="00557B63" w:rsidP="22D8730C">
      <w:pPr>
        <w:spacing w:after="0" w:line="240" w:lineRule="auto"/>
        <w:rPr>
          <w:rFonts w:asciiTheme="minorHAnsi" w:hAnsiTheme="minorHAnsi"/>
        </w:rPr>
      </w:pPr>
      <w:r w:rsidRPr="22D8730C">
        <w:rPr>
          <w:rFonts w:asciiTheme="minorHAnsi" w:hAnsiTheme="minorHAnsi"/>
        </w:rPr>
        <w:t>In the Pacific, w</w:t>
      </w:r>
      <w:r w:rsidR="003657FB" w:rsidRPr="22D8730C">
        <w:rPr>
          <w:rFonts w:asciiTheme="minorHAnsi" w:hAnsiTheme="minorHAnsi"/>
        </w:rPr>
        <w:t>omen with diverse disabilities continue to face multiple jeopardies</w:t>
      </w:r>
      <w:r w:rsidR="00C870E3">
        <w:rPr>
          <w:rFonts w:asciiTheme="minorHAnsi" w:hAnsiTheme="minorHAnsi"/>
        </w:rPr>
        <w:t xml:space="preserve">. This </w:t>
      </w:r>
      <w:r w:rsidR="003657FB" w:rsidRPr="22D8730C">
        <w:rPr>
          <w:rFonts w:asciiTheme="minorHAnsi" w:hAnsiTheme="minorHAnsi"/>
        </w:rPr>
        <w:t>includ</w:t>
      </w:r>
      <w:r w:rsidR="00C870E3">
        <w:rPr>
          <w:rFonts w:asciiTheme="minorHAnsi" w:hAnsiTheme="minorHAnsi"/>
        </w:rPr>
        <w:t>es</w:t>
      </w:r>
      <w:r w:rsidR="003657FB" w:rsidRPr="22D8730C">
        <w:rPr>
          <w:rFonts w:asciiTheme="minorHAnsi" w:hAnsiTheme="minorHAnsi"/>
        </w:rPr>
        <w:t xml:space="preserve"> increased risk of </w:t>
      </w:r>
      <w:r w:rsidR="6B8B778A" w:rsidRPr="22D8730C">
        <w:rPr>
          <w:rFonts w:asciiTheme="minorHAnsi" w:hAnsiTheme="minorHAnsi"/>
        </w:rPr>
        <w:t xml:space="preserve">sexual and gender-based </w:t>
      </w:r>
      <w:r w:rsidR="003657FB" w:rsidRPr="22D8730C">
        <w:rPr>
          <w:rFonts w:asciiTheme="minorHAnsi" w:hAnsiTheme="minorHAnsi"/>
        </w:rPr>
        <w:t>violence during disasters</w:t>
      </w:r>
      <w:r w:rsidR="003663A8" w:rsidRPr="22D8730C">
        <w:rPr>
          <w:rFonts w:asciiTheme="minorHAnsi" w:hAnsiTheme="minorHAnsi"/>
        </w:rPr>
        <w:t xml:space="preserve"> and response</w:t>
      </w:r>
      <w:r w:rsidR="003657FB" w:rsidRPr="22D8730C">
        <w:rPr>
          <w:rFonts w:asciiTheme="minorHAnsi" w:hAnsiTheme="minorHAnsi"/>
        </w:rPr>
        <w:t xml:space="preserve">. </w:t>
      </w:r>
      <w:r w:rsidR="00BA1D70">
        <w:rPr>
          <w:rFonts w:asciiTheme="minorHAnsi" w:hAnsiTheme="minorHAnsi"/>
        </w:rPr>
        <w:t xml:space="preserve">Women and young people with disability also face barriers to </w:t>
      </w:r>
      <w:r w:rsidR="00A2248B">
        <w:rPr>
          <w:rFonts w:asciiTheme="minorHAnsi" w:hAnsiTheme="minorHAnsi"/>
        </w:rPr>
        <w:t xml:space="preserve">access information on </w:t>
      </w:r>
      <w:r w:rsidR="00BA1D70">
        <w:rPr>
          <w:rFonts w:asciiTheme="minorHAnsi" w:hAnsiTheme="minorHAnsi"/>
        </w:rPr>
        <w:t>sexual and reproductive health</w:t>
      </w:r>
      <w:r w:rsidR="00A2248B">
        <w:rPr>
          <w:rFonts w:asciiTheme="minorHAnsi" w:hAnsiTheme="minorHAnsi"/>
        </w:rPr>
        <w:t xml:space="preserve"> services</w:t>
      </w:r>
      <w:r w:rsidR="00BA1D70">
        <w:rPr>
          <w:rFonts w:asciiTheme="minorHAnsi" w:hAnsiTheme="minorHAnsi"/>
        </w:rPr>
        <w:t xml:space="preserve"> and</w:t>
      </w:r>
      <w:r w:rsidR="00A2248B">
        <w:rPr>
          <w:rFonts w:asciiTheme="minorHAnsi" w:hAnsiTheme="minorHAnsi"/>
        </w:rPr>
        <w:t xml:space="preserve"> are </w:t>
      </w:r>
      <w:r w:rsidR="00937CB7">
        <w:rPr>
          <w:rFonts w:asciiTheme="minorHAnsi" w:hAnsiTheme="minorHAnsi"/>
        </w:rPr>
        <w:t xml:space="preserve">often </w:t>
      </w:r>
      <w:r w:rsidR="00A2248B">
        <w:rPr>
          <w:rFonts w:asciiTheme="minorHAnsi" w:hAnsiTheme="minorHAnsi"/>
        </w:rPr>
        <w:t xml:space="preserve">not aware of their sexual and reproductive </w:t>
      </w:r>
      <w:r w:rsidR="00186A32">
        <w:rPr>
          <w:rFonts w:asciiTheme="minorHAnsi" w:hAnsiTheme="minorHAnsi"/>
        </w:rPr>
        <w:t>health rights</w:t>
      </w:r>
      <w:r w:rsidR="00BA1D70">
        <w:rPr>
          <w:rFonts w:asciiTheme="minorHAnsi" w:hAnsiTheme="minorHAnsi"/>
        </w:rPr>
        <w:t>.</w:t>
      </w:r>
      <w:r w:rsidR="00BA1D70">
        <w:rPr>
          <w:rStyle w:val="FootnoteReference"/>
          <w:rFonts w:asciiTheme="minorHAnsi" w:hAnsiTheme="minorHAnsi"/>
        </w:rPr>
        <w:footnoteReference w:id="29"/>
      </w:r>
      <w:r w:rsidR="00BA1D70">
        <w:rPr>
          <w:rFonts w:asciiTheme="minorHAnsi" w:hAnsiTheme="minorHAnsi"/>
        </w:rPr>
        <w:t xml:space="preserve"> </w:t>
      </w:r>
      <w:r w:rsidR="00937CB7">
        <w:rPr>
          <w:rFonts w:asciiTheme="minorHAnsi" w:hAnsiTheme="minorHAnsi"/>
        </w:rPr>
        <w:t>B</w:t>
      </w:r>
      <w:r w:rsidR="00BA1D70">
        <w:rPr>
          <w:rFonts w:asciiTheme="minorHAnsi" w:hAnsiTheme="minorHAnsi"/>
        </w:rPr>
        <w:t xml:space="preserve">arriers </w:t>
      </w:r>
      <w:r w:rsidR="00937CB7">
        <w:rPr>
          <w:rFonts w:asciiTheme="minorHAnsi" w:hAnsiTheme="minorHAnsi"/>
        </w:rPr>
        <w:t xml:space="preserve">to </w:t>
      </w:r>
      <w:r w:rsidR="00937CB7">
        <w:rPr>
          <w:rFonts w:asciiTheme="minorHAnsi" w:hAnsiTheme="minorHAnsi"/>
        </w:rPr>
        <w:lastRenderedPageBreak/>
        <w:t xml:space="preserve">access </w:t>
      </w:r>
      <w:r w:rsidR="00BA1D70">
        <w:rPr>
          <w:rFonts w:asciiTheme="minorHAnsi" w:hAnsiTheme="minorHAnsi"/>
        </w:rPr>
        <w:t xml:space="preserve">increase during disasters. </w:t>
      </w:r>
      <w:r w:rsidR="00C10A5E">
        <w:rPr>
          <w:rFonts w:asciiTheme="minorHAnsi" w:hAnsiTheme="minorHAnsi"/>
        </w:rPr>
        <w:t xml:space="preserve">The need for improving menstrual hygiene management for women with disabilities during disasters was also reported. </w:t>
      </w:r>
      <w:r w:rsidR="003663A8" w:rsidRPr="22D8730C">
        <w:rPr>
          <w:rFonts w:asciiTheme="minorHAnsi" w:hAnsiTheme="minorHAnsi"/>
        </w:rPr>
        <w:t xml:space="preserve">Incidences of women with disabilities experiencing violence </w:t>
      </w:r>
      <w:r w:rsidR="00937CB7">
        <w:rPr>
          <w:rFonts w:asciiTheme="minorHAnsi" w:hAnsiTheme="minorHAnsi"/>
        </w:rPr>
        <w:t xml:space="preserve">during disasters and humanitarian situations </w:t>
      </w:r>
      <w:r w:rsidR="00C10A5E">
        <w:rPr>
          <w:rFonts w:asciiTheme="minorHAnsi" w:hAnsiTheme="minorHAnsi"/>
        </w:rPr>
        <w:t xml:space="preserve">is a critical </w:t>
      </w:r>
      <w:r w:rsidR="003663A8" w:rsidRPr="22D8730C">
        <w:rPr>
          <w:rFonts w:asciiTheme="minorHAnsi" w:hAnsiTheme="minorHAnsi"/>
        </w:rPr>
        <w:t>concern</w:t>
      </w:r>
      <w:r w:rsidR="00937CB7">
        <w:rPr>
          <w:rFonts w:asciiTheme="minorHAnsi" w:hAnsiTheme="minorHAnsi"/>
        </w:rPr>
        <w:t xml:space="preserve"> and is often reported to OPDs</w:t>
      </w:r>
      <w:r w:rsidR="003663A8" w:rsidRPr="22D8730C">
        <w:rPr>
          <w:rFonts w:asciiTheme="minorHAnsi" w:hAnsiTheme="minorHAnsi"/>
        </w:rPr>
        <w:t xml:space="preserve">. </w:t>
      </w:r>
      <w:r w:rsidR="003657FB" w:rsidRPr="22D8730C">
        <w:rPr>
          <w:rFonts w:asciiTheme="minorHAnsi" w:hAnsiTheme="minorHAnsi"/>
        </w:rPr>
        <w:t xml:space="preserve">Women and girls with disabilities must be included in mainstream and targeted </w:t>
      </w:r>
      <w:r w:rsidR="00514A58" w:rsidRPr="22D8730C">
        <w:rPr>
          <w:rFonts w:asciiTheme="minorHAnsi" w:hAnsiTheme="minorHAnsi"/>
        </w:rPr>
        <w:t xml:space="preserve">DRR </w:t>
      </w:r>
      <w:r w:rsidR="003657FB" w:rsidRPr="22D8730C">
        <w:rPr>
          <w:rFonts w:asciiTheme="minorHAnsi" w:hAnsiTheme="minorHAnsi"/>
        </w:rPr>
        <w:t xml:space="preserve">programmes </w:t>
      </w:r>
      <w:r w:rsidR="00514A58" w:rsidRPr="22D8730C">
        <w:rPr>
          <w:rFonts w:asciiTheme="minorHAnsi" w:hAnsiTheme="minorHAnsi"/>
        </w:rPr>
        <w:t xml:space="preserve">directed </w:t>
      </w:r>
      <w:r w:rsidR="003657FB" w:rsidRPr="22D8730C">
        <w:rPr>
          <w:rFonts w:asciiTheme="minorHAnsi" w:hAnsiTheme="minorHAnsi"/>
        </w:rPr>
        <w:t>to eliminate</w:t>
      </w:r>
      <w:r w:rsidR="00514A58" w:rsidRPr="22D8730C">
        <w:rPr>
          <w:rFonts w:asciiTheme="minorHAnsi" w:hAnsiTheme="minorHAnsi"/>
        </w:rPr>
        <w:t xml:space="preserve"> gender-based</w:t>
      </w:r>
      <w:r w:rsidR="003657FB" w:rsidRPr="22D8730C">
        <w:rPr>
          <w:rFonts w:asciiTheme="minorHAnsi" w:hAnsiTheme="minorHAnsi"/>
        </w:rPr>
        <w:t xml:space="preserve"> violence. </w:t>
      </w:r>
      <w:r w:rsidR="00937CB7">
        <w:rPr>
          <w:rFonts w:asciiTheme="minorHAnsi" w:hAnsiTheme="minorHAnsi"/>
        </w:rPr>
        <w:t>Older women and men with disabilities face additional challenges accessing humanitarian support and services during or post-disaster.</w:t>
      </w:r>
    </w:p>
    <w:p w14:paraId="28F4BEF8" w14:textId="77777777" w:rsidR="003663A8" w:rsidRDefault="003663A8" w:rsidP="00C61070">
      <w:pPr>
        <w:spacing w:after="0" w:line="240" w:lineRule="auto"/>
        <w:rPr>
          <w:rFonts w:asciiTheme="minorHAnsi" w:hAnsiTheme="minorHAnsi" w:cstheme="minorHAnsi"/>
        </w:rPr>
      </w:pPr>
    </w:p>
    <w:p w14:paraId="63CBC7DF" w14:textId="17A17AE7" w:rsidR="002F244B" w:rsidRDefault="00557B63" w:rsidP="00C61070">
      <w:pPr>
        <w:spacing w:after="0" w:line="240" w:lineRule="auto"/>
        <w:rPr>
          <w:rFonts w:asciiTheme="minorHAnsi" w:hAnsiTheme="minorHAnsi" w:cstheme="minorHAnsi"/>
        </w:rPr>
      </w:pPr>
      <w:r w:rsidRPr="00B1698F">
        <w:rPr>
          <w:rFonts w:asciiTheme="minorHAnsi" w:hAnsiTheme="minorHAnsi" w:cstheme="minorHAnsi"/>
          <w:noProof/>
          <w:color w:val="2B579A"/>
          <w:shd w:val="clear" w:color="auto" w:fill="E6E6E6"/>
        </w:rPr>
        <mc:AlternateContent>
          <mc:Choice Requires="wps">
            <w:drawing>
              <wp:inline distT="0" distB="0" distL="0" distR="0" wp14:anchorId="221DAD0F" wp14:editId="6784EF4A">
                <wp:extent cx="5581650" cy="1404620"/>
                <wp:effectExtent l="0" t="0" r="19050" b="1778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solidFill>
                          <a:srgbClr val="FFFFFF"/>
                        </a:solidFill>
                        <a:ln w="9525">
                          <a:solidFill>
                            <a:srgbClr val="094183"/>
                          </a:solidFill>
                          <a:miter lim="800000"/>
                          <a:headEnd/>
                          <a:tailEnd/>
                        </a:ln>
                      </wps:spPr>
                      <wps:txbx>
                        <w:txbxContent>
                          <w:p w14:paraId="6B9E80A4" w14:textId="62EBBABB" w:rsidR="00557B63" w:rsidRPr="00C61F37" w:rsidRDefault="00C870E3" w:rsidP="00557B63">
                            <w:pPr>
                              <w:spacing w:after="0" w:line="240" w:lineRule="auto"/>
                              <w:rPr>
                                <w:rFonts w:asciiTheme="minorHAnsi" w:hAnsiTheme="minorHAnsi" w:cstheme="minorHAnsi"/>
                                <w:lang w:val="en-AU"/>
                              </w:rPr>
                            </w:pPr>
                            <w:r>
                              <w:rPr>
                                <w:rFonts w:asciiTheme="minorHAnsi" w:hAnsiTheme="minorHAnsi" w:cstheme="minorHAnsi"/>
                                <w:lang w:val="en-AU"/>
                              </w:rPr>
                              <w:t xml:space="preserve">Country </w:t>
                            </w:r>
                            <w:r w:rsidR="00C61F37">
                              <w:rPr>
                                <w:rFonts w:asciiTheme="minorHAnsi" w:hAnsiTheme="minorHAnsi" w:cstheme="minorHAnsi"/>
                                <w:lang w:val="en-AU"/>
                              </w:rPr>
                              <w:t>reports indicate some consideration of impacts and needs of persons with disabilities in comparison to persons without disabilities</w:t>
                            </w:r>
                            <w:r w:rsidR="003663A8">
                              <w:rPr>
                                <w:rFonts w:asciiTheme="minorHAnsi" w:hAnsiTheme="minorHAnsi" w:cstheme="minorHAnsi"/>
                                <w:lang w:val="en-AU"/>
                              </w:rPr>
                              <w:t>; h</w:t>
                            </w:r>
                            <w:r w:rsidR="00C61F37">
                              <w:rPr>
                                <w:rFonts w:asciiTheme="minorHAnsi" w:hAnsiTheme="minorHAnsi" w:cstheme="minorHAnsi"/>
                                <w:lang w:val="en-AU"/>
                              </w:rPr>
                              <w:t xml:space="preserve">owever, </w:t>
                            </w:r>
                            <w:r w:rsidR="003663A8">
                              <w:rPr>
                                <w:rFonts w:asciiTheme="minorHAnsi" w:hAnsiTheme="minorHAnsi" w:cstheme="minorHAnsi"/>
                                <w:lang w:val="en-AU"/>
                              </w:rPr>
                              <w:t>this is limited.</w:t>
                            </w:r>
                            <w:r w:rsidR="00C61F37">
                              <w:rPr>
                                <w:rFonts w:asciiTheme="minorHAnsi" w:hAnsiTheme="minorHAnsi" w:cstheme="minorHAnsi"/>
                                <w:lang w:val="en-AU"/>
                              </w:rPr>
                              <w:t xml:space="preserve"> To understand disaster risk and achieve the 2030 Agenda commitment to leave no one behind, better consideration of </w:t>
                            </w:r>
                            <w:r w:rsidR="003663A8">
                              <w:rPr>
                                <w:rFonts w:asciiTheme="minorHAnsi" w:hAnsiTheme="minorHAnsi" w:cstheme="minorHAnsi"/>
                                <w:lang w:val="en-AU"/>
                              </w:rPr>
                              <w:t>i</w:t>
                            </w:r>
                            <w:r w:rsidR="00C61F37">
                              <w:rPr>
                                <w:rFonts w:asciiTheme="minorHAnsi" w:hAnsiTheme="minorHAnsi" w:cstheme="minorHAnsi"/>
                                <w:lang w:val="en-AU"/>
                              </w:rPr>
                              <w:t>ntersectionalities and differences between and within disability groups is needed.</w:t>
                            </w:r>
                          </w:p>
                        </w:txbxContent>
                      </wps:txbx>
                      <wps:bodyPr rot="0" vert="horz" wrap="square" lIns="91440" tIns="45720" rIns="91440" bIns="45720" anchor="t" anchorCtr="0">
                        <a:spAutoFit/>
                      </wps:bodyPr>
                    </wps:wsp>
                  </a:graphicData>
                </a:graphic>
              </wp:inline>
            </w:drawing>
          </mc:Choice>
          <mc:Fallback>
            <w:pict>
              <v:shape w14:anchorId="221DAD0F" id="Text Box 3" o:spid="_x0000_s1028" type="#_x0000_t202" style="width:439.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D15GQIAACcEAAAOAAAAZHJzL2Uyb0RvYy54bWysk92O0zAQhe+ReAfL9zRJSUobNV0tXYqQ&#10;lh9p4QEcx2ksHI+x3Sbl6Rk73W61wA0iF5adsY9nvjle34y9IkdhnQRd0WyWUiI0h0bqfUW/fd29&#10;WlLiPNMNU6BFRU/C0ZvNyxfrwZRiDh2oRliCItqVg6lo570pk8TxTvTMzcAIjcEWbM88Lu0+aSwb&#10;UL1XyTxNF8kAtjEWuHAO/95NQbqJ+m0ruP/ctk54oiqKufk42jjWYUw2a1buLTOd5Oc02D9k0TOp&#10;8dKL1B3zjBys/E2ql9yCg9bPOPQJtK3kItaA1WTps2oeOmZErAXhOHPB5P6fLP90fDBfLPHjWxix&#10;gbEIZ+6Bf3dEw7Zjei9urYWhE6zBi7OALBmMK89HA2pXuiBSDx+hwSazg4coNLa2D1SwToLq2IDT&#10;BboYPeH4syiW2aLAEMdYlqf5Yh7bkrDy8bixzr8X0JMwqajFrkZ5drx3PqTDysct4TYHSjY7qVRc&#10;2H29VZYcGTpgF79YwbNtSpOhoqtiXkwE/iqRrvJs+fpPEr30aGUl+4ou0/BN5grc3ukmGs0zqaY5&#10;pqz0GWRgN1H0Yz0S2VR0Hs4GrjU0JyRrYXIuvjScdGB/UjKgayvqfhyYFZSoDxq7s8ryPNg8LvLi&#10;DaIk9jpSX0eY5ihVUU/JNN36+DQiN3OLXdzJyPcpk3PK6MaI/fxygt2v13HX0/ve/AIAAP//AwBQ&#10;SwMEFAAGAAgAAAAhAFGa76bbAAAABQEAAA8AAABkcnMvZG93bnJldi54bWxMj8FuwjAQRO9I/IO1&#10;lXoDhxwCDXFQRVvUY6GVuJp4SSLidWSbkPbru+2lvYw0mtXM22Iz2k4M6EPrSMFinoBAqpxpqVbw&#10;8f4yW4EIUZPRnSNU8IkBNuV0UujcuBvtcTjEWnAJhVwraGLscylD1aDVYe56JM7Ozlsd2fpaGq9v&#10;XG47mSZJJq1uiRca3eO2wepyuFoFx6dd9jruhzfTPie7r2xpLv4Ylbq/Gx/XICKO8e8YfvAZHUpm&#10;OrkrmSA6BfxI/FXOVssHticFabpIQZaF/E9ffgMAAP//AwBQSwECLQAUAAYACAAAACEAtoM4kv4A&#10;AADhAQAAEwAAAAAAAAAAAAAAAAAAAAAAW0NvbnRlbnRfVHlwZXNdLnhtbFBLAQItABQABgAIAAAA&#10;IQA4/SH/1gAAAJQBAAALAAAAAAAAAAAAAAAAAC8BAABfcmVscy8ucmVsc1BLAQItABQABgAIAAAA&#10;IQAm7D15GQIAACcEAAAOAAAAAAAAAAAAAAAAAC4CAABkcnMvZTJvRG9jLnhtbFBLAQItABQABgAI&#10;AAAAIQBRmu+m2wAAAAUBAAAPAAAAAAAAAAAAAAAAAHMEAABkcnMvZG93bnJldi54bWxQSwUGAAAA&#10;AAQABADzAAAAewUAAAAA&#10;" strokecolor="#094183">
                <v:textbox style="mso-fit-shape-to-text:t">
                  <w:txbxContent>
                    <w:p w14:paraId="6B9E80A4" w14:textId="62EBBABB" w:rsidR="00557B63" w:rsidRPr="00C61F37" w:rsidRDefault="00C870E3" w:rsidP="00557B63">
                      <w:pPr>
                        <w:spacing w:after="0" w:line="240" w:lineRule="auto"/>
                        <w:rPr>
                          <w:rFonts w:asciiTheme="minorHAnsi" w:hAnsiTheme="minorHAnsi" w:cstheme="minorHAnsi"/>
                          <w:lang w:val="en-AU"/>
                        </w:rPr>
                      </w:pPr>
                      <w:r>
                        <w:rPr>
                          <w:rFonts w:asciiTheme="minorHAnsi" w:hAnsiTheme="minorHAnsi" w:cstheme="minorHAnsi"/>
                          <w:lang w:val="en-AU"/>
                        </w:rPr>
                        <w:t xml:space="preserve">Country </w:t>
                      </w:r>
                      <w:r w:rsidR="00C61F37">
                        <w:rPr>
                          <w:rFonts w:asciiTheme="minorHAnsi" w:hAnsiTheme="minorHAnsi" w:cstheme="minorHAnsi"/>
                          <w:lang w:val="en-AU"/>
                        </w:rPr>
                        <w:t>reports indicate some consideration of impacts and needs of persons with disabilities in comparison to persons without disabilities</w:t>
                      </w:r>
                      <w:r w:rsidR="003663A8">
                        <w:rPr>
                          <w:rFonts w:asciiTheme="minorHAnsi" w:hAnsiTheme="minorHAnsi" w:cstheme="minorHAnsi"/>
                          <w:lang w:val="en-AU"/>
                        </w:rPr>
                        <w:t>; h</w:t>
                      </w:r>
                      <w:r w:rsidR="00C61F37">
                        <w:rPr>
                          <w:rFonts w:asciiTheme="minorHAnsi" w:hAnsiTheme="minorHAnsi" w:cstheme="minorHAnsi"/>
                          <w:lang w:val="en-AU"/>
                        </w:rPr>
                        <w:t xml:space="preserve">owever, </w:t>
                      </w:r>
                      <w:r w:rsidR="003663A8">
                        <w:rPr>
                          <w:rFonts w:asciiTheme="minorHAnsi" w:hAnsiTheme="minorHAnsi" w:cstheme="minorHAnsi"/>
                          <w:lang w:val="en-AU"/>
                        </w:rPr>
                        <w:t>this is limited.</w:t>
                      </w:r>
                      <w:r w:rsidR="00C61F37">
                        <w:rPr>
                          <w:rFonts w:asciiTheme="minorHAnsi" w:hAnsiTheme="minorHAnsi" w:cstheme="minorHAnsi"/>
                          <w:lang w:val="en-AU"/>
                        </w:rPr>
                        <w:t xml:space="preserve"> To understand disaster risk and achieve the 2030 Agenda commitment to leave no one behind, better consideration of </w:t>
                      </w:r>
                      <w:r w:rsidR="003663A8">
                        <w:rPr>
                          <w:rFonts w:asciiTheme="minorHAnsi" w:hAnsiTheme="minorHAnsi" w:cstheme="minorHAnsi"/>
                          <w:lang w:val="en-AU"/>
                        </w:rPr>
                        <w:t>i</w:t>
                      </w:r>
                      <w:r w:rsidR="00C61F37">
                        <w:rPr>
                          <w:rFonts w:asciiTheme="minorHAnsi" w:hAnsiTheme="minorHAnsi" w:cstheme="minorHAnsi"/>
                          <w:lang w:val="en-AU"/>
                        </w:rPr>
                        <w:t>ntersectionalities and differences between and within disability groups is needed.</w:t>
                      </w:r>
                    </w:p>
                  </w:txbxContent>
                </v:textbox>
                <w10:anchorlock/>
              </v:shape>
            </w:pict>
          </mc:Fallback>
        </mc:AlternateContent>
      </w:r>
    </w:p>
    <w:p w14:paraId="6F538559" w14:textId="71377F61" w:rsidR="002D1057" w:rsidRDefault="002D1057" w:rsidP="00C61070">
      <w:pPr>
        <w:spacing w:after="0" w:line="240" w:lineRule="auto"/>
        <w:rPr>
          <w:rFonts w:asciiTheme="minorHAnsi" w:hAnsiTheme="minorHAnsi" w:cstheme="minorHAnsi"/>
        </w:rPr>
      </w:pPr>
    </w:p>
    <w:p w14:paraId="36677821" w14:textId="3FD695F9" w:rsidR="00C70247" w:rsidRPr="00D23642" w:rsidRDefault="00C70247" w:rsidP="003B4AC8">
      <w:pPr>
        <w:pStyle w:val="Heading2"/>
        <w:numPr>
          <w:ilvl w:val="0"/>
          <w:numId w:val="40"/>
        </w:numPr>
        <w:rPr>
          <w:rFonts w:ascii="Cambria" w:hAnsi="Cambria" w:cstheme="minorHAnsi"/>
          <w:color w:val="094183"/>
          <w:sz w:val="24"/>
          <w:szCs w:val="24"/>
        </w:rPr>
      </w:pPr>
      <w:r>
        <w:rPr>
          <w:rFonts w:ascii="Cambria" w:hAnsi="Cambria"/>
          <w:color w:val="094183"/>
          <w:sz w:val="24"/>
          <w:szCs w:val="24"/>
        </w:rPr>
        <w:t xml:space="preserve">Climate </w:t>
      </w:r>
      <w:r w:rsidRPr="00B479FF">
        <w:rPr>
          <w:rFonts w:ascii="Cambria" w:hAnsi="Cambria"/>
          <w:color w:val="094183"/>
          <w:sz w:val="24"/>
          <w:szCs w:val="24"/>
        </w:rPr>
        <w:t>change</w:t>
      </w:r>
      <w:r w:rsidR="00D006A5">
        <w:rPr>
          <w:rFonts w:ascii="Cambria" w:hAnsi="Cambria"/>
          <w:color w:val="094183"/>
          <w:sz w:val="24"/>
          <w:szCs w:val="24"/>
        </w:rPr>
        <w:t xml:space="preserve"> and disability</w:t>
      </w:r>
    </w:p>
    <w:p w14:paraId="791E8FBD" w14:textId="2E2648D4" w:rsidR="004D5F10" w:rsidRDefault="004D5F10" w:rsidP="00C61070">
      <w:pPr>
        <w:spacing w:after="0" w:line="240" w:lineRule="auto"/>
        <w:rPr>
          <w:rFonts w:asciiTheme="minorHAnsi" w:hAnsiTheme="minorHAnsi" w:cstheme="minorHAnsi"/>
        </w:rPr>
      </w:pPr>
    </w:p>
    <w:p w14:paraId="6FBFF39B" w14:textId="7D44D74F" w:rsidR="00B479FF" w:rsidRDefault="00B479FF" w:rsidP="00B479FF">
      <w:pPr>
        <w:spacing w:after="0" w:line="240" w:lineRule="auto"/>
        <w:rPr>
          <w:rFonts w:asciiTheme="minorHAnsi" w:hAnsiTheme="minorHAnsi" w:cstheme="minorHAnsi"/>
        </w:rPr>
      </w:pPr>
      <w:r>
        <w:rPr>
          <w:rFonts w:asciiTheme="minorHAnsi" w:hAnsiTheme="minorHAnsi" w:cstheme="minorHAnsi"/>
        </w:rPr>
        <w:t>That c</w:t>
      </w:r>
      <w:r w:rsidR="00C61F37" w:rsidRPr="00B479FF">
        <w:rPr>
          <w:rFonts w:asciiTheme="minorHAnsi" w:hAnsiTheme="minorHAnsi" w:cstheme="minorHAnsi"/>
        </w:rPr>
        <w:t xml:space="preserve">limate change is accelerating </w:t>
      </w:r>
      <w:r w:rsidR="00433700">
        <w:rPr>
          <w:rFonts w:asciiTheme="minorHAnsi" w:hAnsiTheme="minorHAnsi" w:cstheme="minorHAnsi"/>
        </w:rPr>
        <w:t xml:space="preserve">and amplifying </w:t>
      </w:r>
      <w:r w:rsidRPr="00B479FF">
        <w:rPr>
          <w:rFonts w:asciiTheme="minorHAnsi" w:hAnsiTheme="minorHAnsi" w:cstheme="minorHAnsi"/>
        </w:rPr>
        <w:t>disaster risk in the Pacific</w:t>
      </w:r>
      <w:r>
        <w:rPr>
          <w:rFonts w:asciiTheme="minorHAnsi" w:hAnsiTheme="minorHAnsi" w:cstheme="minorHAnsi"/>
        </w:rPr>
        <w:t xml:space="preserve"> is evident</w:t>
      </w:r>
      <w:r w:rsidRPr="00B479FF">
        <w:rPr>
          <w:rFonts w:asciiTheme="minorHAnsi" w:hAnsiTheme="minorHAnsi" w:cstheme="minorHAnsi"/>
        </w:rPr>
        <w:t xml:space="preserve">. </w:t>
      </w:r>
      <w:r>
        <w:rPr>
          <w:rFonts w:asciiTheme="minorHAnsi" w:hAnsiTheme="minorHAnsi" w:cstheme="minorHAnsi"/>
        </w:rPr>
        <w:t>Recent research by PDF shows climate change is impacting persons with disabilities in two ways.</w:t>
      </w:r>
      <w:r>
        <w:rPr>
          <w:rStyle w:val="FootnoteReference"/>
          <w:rFonts w:asciiTheme="minorHAnsi" w:hAnsiTheme="minorHAnsi" w:cstheme="minorHAnsi"/>
        </w:rPr>
        <w:footnoteReference w:id="30"/>
      </w:r>
      <w:r w:rsidRPr="00B479FF">
        <w:rPr>
          <w:rFonts w:asciiTheme="minorHAnsi" w:hAnsiTheme="minorHAnsi" w:cstheme="minorHAnsi"/>
        </w:rPr>
        <w:t xml:space="preserve"> </w:t>
      </w:r>
    </w:p>
    <w:p w14:paraId="6B367C5E" w14:textId="77777777" w:rsidR="00B479FF" w:rsidRDefault="00B479FF" w:rsidP="00B479FF">
      <w:pPr>
        <w:spacing w:after="0" w:line="240" w:lineRule="auto"/>
        <w:rPr>
          <w:rFonts w:asciiTheme="minorHAnsi" w:hAnsiTheme="minorHAnsi" w:cstheme="minorHAnsi"/>
        </w:rPr>
      </w:pPr>
    </w:p>
    <w:p w14:paraId="4CF39E2E" w14:textId="77777777" w:rsidR="00B479FF" w:rsidRDefault="00B479FF" w:rsidP="00B479FF">
      <w:pPr>
        <w:pStyle w:val="ListParagraph"/>
        <w:numPr>
          <w:ilvl w:val="0"/>
          <w:numId w:val="38"/>
        </w:numPr>
        <w:spacing w:after="0" w:line="240" w:lineRule="auto"/>
        <w:rPr>
          <w:rFonts w:asciiTheme="minorHAnsi" w:hAnsiTheme="minorHAnsi" w:cstheme="minorHAnsi"/>
        </w:rPr>
      </w:pPr>
      <w:r w:rsidRPr="00B479FF">
        <w:rPr>
          <w:rFonts w:asciiTheme="minorHAnsi" w:hAnsiTheme="minorHAnsi" w:cstheme="minorHAnsi"/>
        </w:rPr>
        <w:t xml:space="preserve">Climate change is increasing the impacts of pre-existing exclusion for persons with disabilities. </w:t>
      </w:r>
    </w:p>
    <w:p w14:paraId="19F3C523" w14:textId="77777777" w:rsidR="00B479FF" w:rsidRDefault="00B479FF" w:rsidP="00B479FF">
      <w:pPr>
        <w:pStyle w:val="ListParagraph"/>
        <w:numPr>
          <w:ilvl w:val="0"/>
          <w:numId w:val="38"/>
        </w:numPr>
        <w:spacing w:after="0" w:line="240" w:lineRule="auto"/>
        <w:rPr>
          <w:rFonts w:asciiTheme="minorHAnsi" w:hAnsiTheme="minorHAnsi" w:cstheme="minorHAnsi"/>
        </w:rPr>
      </w:pPr>
      <w:r w:rsidRPr="00B479FF">
        <w:rPr>
          <w:rFonts w:asciiTheme="minorHAnsi" w:hAnsiTheme="minorHAnsi" w:cstheme="minorHAnsi"/>
        </w:rPr>
        <w:t xml:space="preserve">Climate change is creating new risks and negative impacts for persons with disabilities. </w:t>
      </w:r>
    </w:p>
    <w:p w14:paraId="07C304EB" w14:textId="77777777" w:rsidR="00B479FF" w:rsidRDefault="00B479FF" w:rsidP="00B479FF">
      <w:pPr>
        <w:spacing w:after="0" w:line="240" w:lineRule="auto"/>
        <w:rPr>
          <w:rFonts w:asciiTheme="minorHAnsi" w:hAnsiTheme="minorHAnsi" w:cstheme="minorHAnsi"/>
        </w:rPr>
      </w:pPr>
    </w:p>
    <w:p w14:paraId="345981F0" w14:textId="74BE9793" w:rsidR="00B479FF" w:rsidRDefault="00A73485" w:rsidP="00B479FF">
      <w:pPr>
        <w:spacing w:after="0" w:line="240" w:lineRule="auto"/>
        <w:rPr>
          <w:rFonts w:asciiTheme="minorHAnsi" w:hAnsiTheme="minorHAnsi" w:cstheme="minorHAnsi"/>
        </w:rPr>
      </w:pPr>
      <w:r>
        <w:rPr>
          <w:rFonts w:asciiTheme="minorHAnsi" w:hAnsiTheme="minorHAnsi" w:cstheme="minorHAnsi"/>
        </w:rPr>
        <w:t xml:space="preserve">The above are </w:t>
      </w:r>
      <w:r w:rsidR="00514A58">
        <w:rPr>
          <w:rFonts w:asciiTheme="minorHAnsi" w:hAnsiTheme="minorHAnsi" w:cstheme="minorHAnsi"/>
        </w:rPr>
        <w:t xml:space="preserve">in </w:t>
      </w:r>
      <w:r>
        <w:rPr>
          <w:rFonts w:asciiTheme="minorHAnsi" w:hAnsiTheme="minorHAnsi" w:cstheme="minorHAnsi"/>
        </w:rPr>
        <w:t>direct</w:t>
      </w:r>
      <w:r w:rsidR="00514A58">
        <w:rPr>
          <w:rFonts w:asciiTheme="minorHAnsi" w:hAnsiTheme="minorHAnsi" w:cstheme="minorHAnsi"/>
        </w:rPr>
        <w:t xml:space="preserve"> contradiction </w:t>
      </w:r>
      <w:r>
        <w:rPr>
          <w:rFonts w:asciiTheme="minorHAnsi" w:hAnsiTheme="minorHAnsi" w:cstheme="minorHAnsi"/>
        </w:rPr>
        <w:t xml:space="preserve">to Sendai Framework objectives of reducing existing risk and preventing future risk. </w:t>
      </w:r>
      <w:r w:rsidR="00433700">
        <w:rPr>
          <w:rFonts w:asciiTheme="minorHAnsi" w:hAnsiTheme="minorHAnsi" w:cstheme="minorHAnsi"/>
        </w:rPr>
        <w:t>V</w:t>
      </w:r>
      <w:r w:rsidR="00514A58">
        <w:rPr>
          <w:rFonts w:asciiTheme="minorHAnsi" w:hAnsiTheme="minorHAnsi" w:cstheme="minorHAnsi"/>
        </w:rPr>
        <w:t xml:space="preserve">arious </w:t>
      </w:r>
      <w:r w:rsidR="00D05275">
        <w:rPr>
          <w:rFonts w:asciiTheme="minorHAnsi" w:hAnsiTheme="minorHAnsi" w:cstheme="minorHAnsi"/>
        </w:rPr>
        <w:t xml:space="preserve">factors </w:t>
      </w:r>
      <w:r w:rsidR="00741841">
        <w:rPr>
          <w:rFonts w:asciiTheme="minorHAnsi" w:hAnsiTheme="minorHAnsi" w:cstheme="minorHAnsi"/>
        </w:rPr>
        <w:t xml:space="preserve">contribute to </w:t>
      </w:r>
      <w:r w:rsidR="00433700">
        <w:rPr>
          <w:rFonts w:asciiTheme="minorHAnsi" w:hAnsiTheme="minorHAnsi" w:cstheme="minorHAnsi"/>
        </w:rPr>
        <w:t>increase</w:t>
      </w:r>
      <w:r w:rsidR="00741841">
        <w:rPr>
          <w:rFonts w:asciiTheme="minorHAnsi" w:hAnsiTheme="minorHAnsi" w:cstheme="minorHAnsi"/>
        </w:rPr>
        <w:t>d</w:t>
      </w:r>
      <w:r w:rsidR="00433700">
        <w:rPr>
          <w:rFonts w:asciiTheme="minorHAnsi" w:hAnsiTheme="minorHAnsi" w:cstheme="minorHAnsi"/>
        </w:rPr>
        <w:t xml:space="preserve"> </w:t>
      </w:r>
      <w:r w:rsidR="00514A58">
        <w:rPr>
          <w:rFonts w:asciiTheme="minorHAnsi" w:hAnsiTheme="minorHAnsi" w:cstheme="minorHAnsi"/>
        </w:rPr>
        <w:t xml:space="preserve">climate risk for persons with disabilities. </w:t>
      </w:r>
      <w:r w:rsidR="00741841">
        <w:rPr>
          <w:rFonts w:asciiTheme="minorHAnsi" w:hAnsiTheme="minorHAnsi" w:cstheme="minorHAnsi"/>
        </w:rPr>
        <w:t>These</w:t>
      </w:r>
      <w:r w:rsidR="00514A58">
        <w:rPr>
          <w:rFonts w:asciiTheme="minorHAnsi" w:hAnsiTheme="minorHAnsi" w:cstheme="minorHAnsi"/>
        </w:rPr>
        <w:t xml:space="preserve"> include over representation in the informal and subsistence economy</w:t>
      </w:r>
      <w:r w:rsidR="00D05275">
        <w:rPr>
          <w:rFonts w:asciiTheme="minorHAnsi" w:hAnsiTheme="minorHAnsi" w:cstheme="minorHAnsi"/>
        </w:rPr>
        <w:t>,</w:t>
      </w:r>
      <w:r w:rsidR="00514A58">
        <w:rPr>
          <w:rFonts w:asciiTheme="minorHAnsi" w:hAnsiTheme="minorHAnsi" w:cstheme="minorHAnsi"/>
        </w:rPr>
        <w:t xml:space="preserve"> barriers to relocating agricultural practices when faced with decreasing yields and soil degradation</w:t>
      </w:r>
      <w:r w:rsidR="00D05275">
        <w:rPr>
          <w:rFonts w:asciiTheme="minorHAnsi" w:hAnsiTheme="minorHAnsi" w:cstheme="minorHAnsi"/>
        </w:rPr>
        <w:t>,</w:t>
      </w:r>
      <w:r w:rsidR="00514A58">
        <w:rPr>
          <w:rFonts w:asciiTheme="minorHAnsi" w:hAnsiTheme="minorHAnsi" w:cstheme="minorHAnsi"/>
        </w:rPr>
        <w:t xml:space="preserve"> </w:t>
      </w:r>
      <w:r w:rsidR="00814B38">
        <w:rPr>
          <w:rFonts w:asciiTheme="minorHAnsi" w:hAnsiTheme="minorHAnsi" w:cstheme="minorHAnsi"/>
        </w:rPr>
        <w:t>fewer opportunities to access loans to improve fishing equipment</w:t>
      </w:r>
      <w:r w:rsidR="00D05275">
        <w:rPr>
          <w:rFonts w:asciiTheme="minorHAnsi" w:hAnsiTheme="minorHAnsi" w:cstheme="minorHAnsi"/>
        </w:rPr>
        <w:t>,</w:t>
      </w:r>
      <w:r w:rsidR="00514A58">
        <w:rPr>
          <w:rFonts w:asciiTheme="minorHAnsi" w:hAnsiTheme="minorHAnsi" w:cstheme="minorHAnsi"/>
        </w:rPr>
        <w:t xml:space="preserve"> </w:t>
      </w:r>
      <w:r w:rsidR="00937CB7">
        <w:rPr>
          <w:rFonts w:asciiTheme="minorHAnsi" w:hAnsiTheme="minorHAnsi" w:cstheme="minorHAnsi"/>
        </w:rPr>
        <w:t xml:space="preserve">higher </w:t>
      </w:r>
      <w:r w:rsidR="00D05275">
        <w:rPr>
          <w:rFonts w:asciiTheme="minorHAnsi" w:hAnsiTheme="minorHAnsi" w:cstheme="minorHAnsi"/>
        </w:rPr>
        <w:t>levels of a</w:t>
      </w:r>
      <w:r w:rsidR="00741841">
        <w:rPr>
          <w:rFonts w:asciiTheme="minorHAnsi" w:hAnsiTheme="minorHAnsi" w:cstheme="minorHAnsi"/>
        </w:rPr>
        <w:t>nxiety</w:t>
      </w:r>
      <w:r w:rsidR="00D05275">
        <w:rPr>
          <w:rFonts w:asciiTheme="minorHAnsi" w:hAnsiTheme="minorHAnsi" w:cstheme="minorHAnsi"/>
        </w:rPr>
        <w:t>,</w:t>
      </w:r>
      <w:r w:rsidR="00741841">
        <w:rPr>
          <w:rFonts w:asciiTheme="minorHAnsi" w:hAnsiTheme="minorHAnsi" w:cstheme="minorHAnsi"/>
        </w:rPr>
        <w:t xml:space="preserve"> and </w:t>
      </w:r>
      <w:r w:rsidR="00937CB7">
        <w:rPr>
          <w:rFonts w:asciiTheme="minorHAnsi" w:hAnsiTheme="minorHAnsi" w:cstheme="minorHAnsi"/>
        </w:rPr>
        <w:t xml:space="preserve">increased </w:t>
      </w:r>
      <w:r w:rsidR="00514A58">
        <w:rPr>
          <w:rFonts w:asciiTheme="minorHAnsi" w:hAnsiTheme="minorHAnsi" w:cstheme="minorHAnsi"/>
        </w:rPr>
        <w:t>exposure to water born</w:t>
      </w:r>
      <w:r w:rsidR="00D878F0">
        <w:rPr>
          <w:rFonts w:asciiTheme="minorHAnsi" w:hAnsiTheme="minorHAnsi" w:cstheme="minorHAnsi"/>
        </w:rPr>
        <w:t>e</w:t>
      </w:r>
      <w:r w:rsidR="00514A58">
        <w:rPr>
          <w:rFonts w:asciiTheme="minorHAnsi" w:hAnsiTheme="minorHAnsi" w:cstheme="minorHAnsi"/>
        </w:rPr>
        <w:t xml:space="preserve"> diseases </w:t>
      </w:r>
      <w:r w:rsidR="00D878F0">
        <w:rPr>
          <w:rFonts w:asciiTheme="minorHAnsi" w:hAnsiTheme="minorHAnsi" w:cstheme="minorHAnsi"/>
        </w:rPr>
        <w:t>for people with underlying health conditions.</w:t>
      </w:r>
    </w:p>
    <w:p w14:paraId="2B1D7AE5" w14:textId="25007F35" w:rsidR="00D878F0" w:rsidRDefault="00D878F0" w:rsidP="00B479FF">
      <w:pPr>
        <w:spacing w:after="0" w:line="240" w:lineRule="auto"/>
        <w:rPr>
          <w:rFonts w:asciiTheme="minorHAnsi" w:hAnsiTheme="minorHAnsi" w:cstheme="minorHAnsi"/>
        </w:rPr>
      </w:pPr>
    </w:p>
    <w:p w14:paraId="1F1CC9D4" w14:textId="1A4C4D96" w:rsidR="00D878F0" w:rsidRDefault="00D878F0" w:rsidP="00B479FF">
      <w:pPr>
        <w:spacing w:after="0" w:line="240" w:lineRule="auto"/>
        <w:rPr>
          <w:rFonts w:asciiTheme="minorHAnsi" w:hAnsiTheme="minorHAnsi" w:cstheme="minorHAnsi"/>
        </w:rPr>
      </w:pPr>
      <w:r>
        <w:rPr>
          <w:rFonts w:asciiTheme="minorHAnsi" w:hAnsiTheme="minorHAnsi" w:cstheme="minorHAnsi"/>
        </w:rPr>
        <w:t xml:space="preserve">The PDF report also highlights gender-based differences. Women with disability in Kiribati reported delays in food preparation and hygiene concerns during menstruation due to a decrease in water availability. Disruptions to water supply infrastructure from flooding in Solomon Islands was reported as making persons with disabilities increasingly dependent on family members to access clean water. </w:t>
      </w:r>
      <w:r w:rsidR="00D05275">
        <w:rPr>
          <w:rFonts w:asciiTheme="minorHAnsi" w:hAnsiTheme="minorHAnsi" w:cstheme="minorHAnsi"/>
        </w:rPr>
        <w:t xml:space="preserve">The report also notes that </w:t>
      </w:r>
      <w:r w:rsidR="00814B38">
        <w:rPr>
          <w:rFonts w:asciiTheme="minorHAnsi" w:hAnsiTheme="minorHAnsi" w:cstheme="minorHAnsi"/>
        </w:rPr>
        <w:t>when faced with food shortages, households prioritise persons without disabilities and persons with disabilities receive less food.</w:t>
      </w:r>
    </w:p>
    <w:p w14:paraId="0B248CF8" w14:textId="77777777" w:rsidR="00D006A5" w:rsidRDefault="00D006A5" w:rsidP="00B479FF">
      <w:pPr>
        <w:spacing w:after="0" w:line="240" w:lineRule="auto"/>
        <w:rPr>
          <w:rFonts w:asciiTheme="minorHAnsi" w:hAnsiTheme="minorHAnsi" w:cstheme="minorHAnsi"/>
        </w:rPr>
      </w:pPr>
    </w:p>
    <w:p w14:paraId="0B6300B1" w14:textId="6F09B956" w:rsidR="00D006A5" w:rsidRPr="00D006A5" w:rsidRDefault="00D006A5" w:rsidP="00D006A5">
      <w:pPr>
        <w:spacing w:after="0" w:line="240" w:lineRule="auto"/>
        <w:rPr>
          <w:rFonts w:asciiTheme="minorHAnsi" w:hAnsiTheme="minorHAnsi" w:cstheme="minorHAnsi"/>
        </w:rPr>
      </w:pPr>
      <w:r w:rsidRPr="00B1698F">
        <w:rPr>
          <w:rFonts w:asciiTheme="minorHAnsi" w:hAnsiTheme="minorHAnsi" w:cstheme="minorHAnsi"/>
          <w:noProof/>
          <w:color w:val="2B579A"/>
          <w:shd w:val="clear" w:color="auto" w:fill="E6E6E6"/>
        </w:rPr>
        <mc:AlternateContent>
          <mc:Choice Requires="wps">
            <w:drawing>
              <wp:inline distT="0" distB="0" distL="0" distR="0" wp14:anchorId="16997652" wp14:editId="185CEB9A">
                <wp:extent cx="5581650" cy="1404620"/>
                <wp:effectExtent l="0" t="0" r="19050" b="1778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solidFill>
                          <a:srgbClr val="FFFFFF"/>
                        </a:solidFill>
                        <a:ln w="9525">
                          <a:solidFill>
                            <a:srgbClr val="094183"/>
                          </a:solidFill>
                          <a:miter lim="800000"/>
                          <a:headEnd/>
                          <a:tailEnd/>
                        </a:ln>
                      </wps:spPr>
                      <wps:txbx>
                        <w:txbxContent>
                          <w:p w14:paraId="7E402149" w14:textId="5C1B4DAF" w:rsidR="00D006A5" w:rsidRPr="00C61F37" w:rsidRDefault="00C71E58" w:rsidP="00D006A5">
                            <w:pPr>
                              <w:spacing w:after="0" w:line="240" w:lineRule="auto"/>
                              <w:rPr>
                                <w:rFonts w:asciiTheme="minorHAnsi" w:hAnsiTheme="minorHAnsi" w:cstheme="minorHAnsi"/>
                                <w:lang w:val="en-AU"/>
                              </w:rPr>
                            </w:pPr>
                            <w:r>
                              <w:rPr>
                                <w:rFonts w:asciiTheme="minorHAnsi" w:hAnsiTheme="minorHAnsi" w:cstheme="minorHAnsi"/>
                                <w:lang w:val="en-AU"/>
                              </w:rPr>
                              <w:t>OPDs in the Pacific are taking lessons learned from engagement in DRR and applying these to climate change</w:t>
                            </w:r>
                            <w:r w:rsidR="007A11C1">
                              <w:rPr>
                                <w:rFonts w:asciiTheme="minorHAnsi" w:hAnsiTheme="minorHAnsi" w:cstheme="minorHAnsi"/>
                                <w:lang w:val="en-AU"/>
                              </w:rPr>
                              <w:t xml:space="preserve"> advocacy</w:t>
                            </w:r>
                            <w:r>
                              <w:rPr>
                                <w:rFonts w:asciiTheme="minorHAnsi" w:hAnsiTheme="minorHAnsi" w:cstheme="minorHAnsi"/>
                                <w:lang w:val="en-AU"/>
                              </w:rPr>
                              <w:t xml:space="preserve">. </w:t>
                            </w:r>
                            <w:r w:rsidR="00741841">
                              <w:rPr>
                                <w:rFonts w:asciiTheme="minorHAnsi" w:hAnsiTheme="minorHAnsi" w:cstheme="minorHAnsi"/>
                                <w:lang w:val="en-AU"/>
                              </w:rPr>
                              <w:t>W</w:t>
                            </w:r>
                            <w:r w:rsidR="00D006A5">
                              <w:rPr>
                                <w:rFonts w:asciiTheme="minorHAnsi" w:hAnsiTheme="minorHAnsi" w:cstheme="minorHAnsi"/>
                                <w:lang w:val="en-AU"/>
                              </w:rPr>
                              <w:t xml:space="preserve">ithout pro-active and accelerated measures to remove barriers to participation in DRR, including </w:t>
                            </w:r>
                            <w:r w:rsidR="00741841">
                              <w:rPr>
                                <w:rFonts w:asciiTheme="minorHAnsi" w:hAnsiTheme="minorHAnsi" w:cstheme="minorHAnsi"/>
                                <w:lang w:val="en-AU"/>
                              </w:rPr>
                              <w:t xml:space="preserve">mitigation and </w:t>
                            </w:r>
                            <w:r w:rsidR="00D006A5">
                              <w:rPr>
                                <w:rFonts w:asciiTheme="minorHAnsi" w:hAnsiTheme="minorHAnsi" w:cstheme="minorHAnsi"/>
                                <w:lang w:val="en-AU"/>
                              </w:rPr>
                              <w:t xml:space="preserve">adaptation to climate risks, disaster risk will </w:t>
                            </w:r>
                            <w:r w:rsidR="00741841">
                              <w:rPr>
                                <w:rFonts w:asciiTheme="minorHAnsi" w:hAnsiTheme="minorHAnsi" w:cstheme="minorHAnsi"/>
                                <w:lang w:val="en-AU"/>
                              </w:rPr>
                              <w:t xml:space="preserve">continue to </w:t>
                            </w:r>
                            <w:r w:rsidR="00D006A5">
                              <w:rPr>
                                <w:rFonts w:asciiTheme="minorHAnsi" w:hAnsiTheme="minorHAnsi" w:cstheme="minorHAnsi"/>
                                <w:lang w:val="en-AU"/>
                              </w:rPr>
                              <w:t xml:space="preserve">increase for persons with disabilities in the Pacific. </w:t>
                            </w:r>
                          </w:p>
                        </w:txbxContent>
                      </wps:txbx>
                      <wps:bodyPr rot="0" vert="horz" wrap="square" lIns="91440" tIns="45720" rIns="91440" bIns="45720" anchor="t" anchorCtr="0">
                        <a:spAutoFit/>
                      </wps:bodyPr>
                    </wps:wsp>
                  </a:graphicData>
                </a:graphic>
              </wp:inline>
            </w:drawing>
          </mc:Choice>
          <mc:Fallback>
            <w:pict>
              <v:shape w14:anchorId="16997652" id="Text Box 4" o:spid="_x0000_s1029" type="#_x0000_t202" style="width:439.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1OPGAIAACcEAAAOAAAAZHJzL2Uyb0RvYy54bWysk92O0zAQhe+ReAfL9zRJSUobNV0tXYqQ&#10;lh9p4QEcx2ksHI+x3Sbl6Rk73W61wA0iF5adsY9nvjle34y9IkdhnQRd0WyWUiI0h0bqfUW/fd29&#10;WlLiPNMNU6BFRU/C0ZvNyxfrwZRiDh2oRliCItqVg6lo570pk8TxTvTMzcAIjcEWbM88Lu0+aSwb&#10;UL1XyTxNF8kAtjEWuHAO/95NQbqJ+m0ruP/ctk54oiqKufk42jjWYUw2a1buLTOd5Oc02D9k0TOp&#10;8dKL1B3zjBys/E2ql9yCg9bPOPQJtK3kItaA1WTps2oeOmZErAXhOHPB5P6fLP90fDBfLPHjWxix&#10;gbEIZ+6Bf3dEw7Zjei9urYWhE6zBi7OALBmMK89HA2pXuiBSDx+hwSazg4coNLa2D1SwToLq2IDT&#10;BboYPeH4syiW2aLAEMdYlqf5Yh7bkrDy8bixzr8X0JMwqajFrkZ5drx3PqTDysct4TYHSjY7qVRc&#10;2H29VZYcGTpgF79YwbNtSpOhoqtiXkwE/iqRrvJs+fpPEr30aGUl+4ou0/BN5grc3ukmGs0zqaY5&#10;pqz0GWRgN1H0Yz0S2VQ0XhC41tCckKyFybn40nDSgf1JyYCuraj7cWBWUKI+aOzOKsvzYPO4yIs3&#10;iJLY60h9HWGao1RFPSXTdOvj04jczC12cScj36dMzimjGyP288sJdr9ex11P73vzCwAA//8DAFBL&#10;AwQUAAYACAAAACEAUZrvptsAAAAFAQAADwAAAGRycy9kb3ducmV2LnhtbEyPwW7CMBBE70j8g7WV&#10;egOHHAINcVBFW9RjoZW4mnhJIuJ1ZJuQ9uu77aW9jDSa1czbYjPaTgzoQ+tIwWKegECqnGmpVvDx&#10;/jJbgQhRk9GdI1TwiQE25XRS6Ny4G+1xOMRacAmFXCtoYuxzKUPVoNVh7nokzs7OWx3Z+loar29c&#10;bjuZJkkmrW6JFxrd47bB6nK4WgXHp132Ou6HN9M+J7uvbGku/hiVur8bH9cgIo7x7xh+8BkdSmY6&#10;uSuZIDoF/Ej8Vc5Wywe2JwVpukhBloX8T19+AwAA//8DAFBLAQItABQABgAIAAAAIQC2gziS/gAA&#10;AOEBAAATAAAAAAAAAAAAAAAAAAAAAABbQ29udGVudF9UeXBlc10ueG1sUEsBAi0AFAAGAAgAAAAh&#10;ADj9If/WAAAAlAEAAAsAAAAAAAAAAAAAAAAALwEAAF9yZWxzLy5yZWxzUEsBAi0AFAAGAAgAAAAh&#10;APRbU48YAgAAJwQAAA4AAAAAAAAAAAAAAAAALgIAAGRycy9lMm9Eb2MueG1sUEsBAi0AFAAGAAgA&#10;AAAhAFGa76bbAAAABQEAAA8AAAAAAAAAAAAAAAAAcgQAAGRycy9kb3ducmV2LnhtbFBLBQYAAAAA&#10;BAAEAPMAAAB6BQAAAAA=&#10;" strokecolor="#094183">
                <v:textbox style="mso-fit-shape-to-text:t">
                  <w:txbxContent>
                    <w:p w14:paraId="7E402149" w14:textId="5C1B4DAF" w:rsidR="00D006A5" w:rsidRPr="00C61F37" w:rsidRDefault="00C71E58" w:rsidP="00D006A5">
                      <w:pPr>
                        <w:spacing w:after="0" w:line="240" w:lineRule="auto"/>
                        <w:rPr>
                          <w:rFonts w:asciiTheme="minorHAnsi" w:hAnsiTheme="minorHAnsi" w:cstheme="minorHAnsi"/>
                          <w:lang w:val="en-AU"/>
                        </w:rPr>
                      </w:pPr>
                      <w:r>
                        <w:rPr>
                          <w:rFonts w:asciiTheme="minorHAnsi" w:hAnsiTheme="minorHAnsi" w:cstheme="minorHAnsi"/>
                          <w:lang w:val="en-AU"/>
                        </w:rPr>
                        <w:t>OPDs in the Pacific are taking lessons learned from engagement in DRR and applying these to climate change</w:t>
                      </w:r>
                      <w:r w:rsidR="007A11C1">
                        <w:rPr>
                          <w:rFonts w:asciiTheme="minorHAnsi" w:hAnsiTheme="minorHAnsi" w:cstheme="minorHAnsi"/>
                          <w:lang w:val="en-AU"/>
                        </w:rPr>
                        <w:t xml:space="preserve"> advocacy</w:t>
                      </w:r>
                      <w:r>
                        <w:rPr>
                          <w:rFonts w:asciiTheme="minorHAnsi" w:hAnsiTheme="minorHAnsi" w:cstheme="minorHAnsi"/>
                          <w:lang w:val="en-AU"/>
                        </w:rPr>
                        <w:t xml:space="preserve">. </w:t>
                      </w:r>
                      <w:r w:rsidR="00741841">
                        <w:rPr>
                          <w:rFonts w:asciiTheme="minorHAnsi" w:hAnsiTheme="minorHAnsi" w:cstheme="minorHAnsi"/>
                          <w:lang w:val="en-AU"/>
                        </w:rPr>
                        <w:t>W</w:t>
                      </w:r>
                      <w:r w:rsidR="00D006A5">
                        <w:rPr>
                          <w:rFonts w:asciiTheme="minorHAnsi" w:hAnsiTheme="minorHAnsi" w:cstheme="minorHAnsi"/>
                          <w:lang w:val="en-AU"/>
                        </w:rPr>
                        <w:t xml:space="preserve">ithout pro-active and accelerated measures to remove barriers to participation in DRR, including </w:t>
                      </w:r>
                      <w:r w:rsidR="00741841">
                        <w:rPr>
                          <w:rFonts w:asciiTheme="minorHAnsi" w:hAnsiTheme="minorHAnsi" w:cstheme="minorHAnsi"/>
                          <w:lang w:val="en-AU"/>
                        </w:rPr>
                        <w:t xml:space="preserve">mitigation and </w:t>
                      </w:r>
                      <w:r w:rsidR="00D006A5">
                        <w:rPr>
                          <w:rFonts w:asciiTheme="minorHAnsi" w:hAnsiTheme="minorHAnsi" w:cstheme="minorHAnsi"/>
                          <w:lang w:val="en-AU"/>
                        </w:rPr>
                        <w:t xml:space="preserve">adaptation to climate risks, disaster risk will </w:t>
                      </w:r>
                      <w:r w:rsidR="00741841">
                        <w:rPr>
                          <w:rFonts w:asciiTheme="minorHAnsi" w:hAnsiTheme="minorHAnsi" w:cstheme="minorHAnsi"/>
                          <w:lang w:val="en-AU"/>
                        </w:rPr>
                        <w:t xml:space="preserve">continue to </w:t>
                      </w:r>
                      <w:r w:rsidR="00D006A5">
                        <w:rPr>
                          <w:rFonts w:asciiTheme="minorHAnsi" w:hAnsiTheme="minorHAnsi" w:cstheme="minorHAnsi"/>
                          <w:lang w:val="en-AU"/>
                        </w:rPr>
                        <w:t xml:space="preserve">increase for persons with disabilities in the Pacific. </w:t>
                      </w:r>
                    </w:p>
                  </w:txbxContent>
                </v:textbox>
                <w10:anchorlock/>
              </v:shape>
            </w:pict>
          </mc:Fallback>
        </mc:AlternateContent>
      </w:r>
    </w:p>
    <w:p w14:paraId="0FCF87E1" w14:textId="6FA0EAF7" w:rsidR="00557B63" w:rsidRPr="00830F7E" w:rsidRDefault="00557B63" w:rsidP="003B4AC8">
      <w:pPr>
        <w:pStyle w:val="Heading1"/>
        <w:numPr>
          <w:ilvl w:val="0"/>
          <w:numId w:val="39"/>
        </w:numPr>
        <w:rPr>
          <w:rFonts w:ascii="Cambria" w:hAnsi="Cambria"/>
          <w:b/>
          <w:bCs/>
          <w:color w:val="094183"/>
          <w:sz w:val="24"/>
          <w:szCs w:val="24"/>
        </w:rPr>
      </w:pPr>
      <w:r w:rsidRPr="00830F7E">
        <w:rPr>
          <w:rFonts w:ascii="Cambria" w:hAnsi="Cambria"/>
          <w:b/>
          <w:bCs/>
          <w:color w:val="094183"/>
          <w:sz w:val="24"/>
          <w:szCs w:val="24"/>
        </w:rPr>
        <w:t xml:space="preserve">Priority </w:t>
      </w:r>
      <w:r>
        <w:rPr>
          <w:rFonts w:ascii="Cambria" w:hAnsi="Cambria"/>
          <w:b/>
          <w:bCs/>
          <w:color w:val="094183"/>
          <w:sz w:val="24"/>
          <w:szCs w:val="24"/>
        </w:rPr>
        <w:t>2</w:t>
      </w:r>
      <w:r w:rsidRPr="00830F7E">
        <w:rPr>
          <w:rFonts w:ascii="Cambria" w:hAnsi="Cambria"/>
          <w:b/>
          <w:bCs/>
          <w:color w:val="094183"/>
          <w:sz w:val="24"/>
          <w:szCs w:val="24"/>
        </w:rPr>
        <w:t xml:space="preserve">. </w:t>
      </w:r>
      <w:r w:rsidRPr="00557B63">
        <w:rPr>
          <w:rFonts w:ascii="Cambria" w:hAnsi="Cambria"/>
          <w:b/>
          <w:bCs/>
          <w:color w:val="094183"/>
          <w:sz w:val="24"/>
          <w:szCs w:val="24"/>
        </w:rPr>
        <w:t>Strengthening disaster risk governance</w:t>
      </w:r>
      <w:r>
        <w:rPr>
          <w:rFonts w:ascii="Cambria" w:hAnsi="Cambria"/>
          <w:b/>
          <w:bCs/>
          <w:color w:val="094183"/>
          <w:sz w:val="24"/>
          <w:szCs w:val="24"/>
        </w:rPr>
        <w:t xml:space="preserve"> </w:t>
      </w:r>
      <w:r w:rsidRPr="00557B63">
        <w:rPr>
          <w:rFonts w:ascii="Cambria" w:hAnsi="Cambria"/>
          <w:b/>
          <w:bCs/>
          <w:color w:val="094183"/>
          <w:sz w:val="24"/>
          <w:szCs w:val="24"/>
        </w:rPr>
        <w:t>to manage disaster risk</w:t>
      </w:r>
    </w:p>
    <w:p w14:paraId="279C6E20" w14:textId="77777777" w:rsidR="00557B63" w:rsidRPr="0004734B" w:rsidRDefault="00557B63" w:rsidP="00557B63">
      <w:pPr>
        <w:spacing w:after="0" w:line="240" w:lineRule="auto"/>
        <w:jc w:val="both"/>
        <w:rPr>
          <w:rFonts w:asciiTheme="minorHAnsi" w:hAnsiTheme="minorHAnsi" w:cstheme="minorHAnsi"/>
          <w:b/>
          <w:bCs/>
          <w:sz w:val="12"/>
          <w:szCs w:val="12"/>
        </w:rPr>
      </w:pPr>
    </w:p>
    <w:p w14:paraId="7066C419" w14:textId="6F9E9CFF" w:rsidR="00BB7ABE" w:rsidRDefault="00280775" w:rsidP="22D8730C">
      <w:pPr>
        <w:pStyle w:val="Heading2"/>
        <w:spacing w:before="0" w:line="240" w:lineRule="auto"/>
        <w:rPr>
          <w:rFonts w:asciiTheme="minorHAnsi" w:hAnsiTheme="minorHAnsi" w:cstheme="minorBidi"/>
          <w:color w:val="auto"/>
          <w:sz w:val="22"/>
          <w:szCs w:val="22"/>
        </w:rPr>
      </w:pPr>
      <w:r w:rsidRPr="22D8730C">
        <w:rPr>
          <w:rFonts w:asciiTheme="minorHAnsi" w:hAnsiTheme="minorHAnsi" w:cstheme="minorBidi"/>
          <w:color w:val="auto"/>
          <w:sz w:val="22"/>
          <w:szCs w:val="22"/>
        </w:rPr>
        <w:t xml:space="preserve">Priority 2 of the Sendai Framework builds on progress </w:t>
      </w:r>
      <w:r w:rsidR="00381798">
        <w:rPr>
          <w:rFonts w:asciiTheme="minorHAnsi" w:hAnsiTheme="minorHAnsi" w:cstheme="minorBidi"/>
          <w:color w:val="auto"/>
          <w:sz w:val="22"/>
          <w:szCs w:val="22"/>
        </w:rPr>
        <w:t xml:space="preserve">made </w:t>
      </w:r>
      <w:r w:rsidRPr="22D8730C">
        <w:rPr>
          <w:rFonts w:asciiTheme="minorHAnsi" w:hAnsiTheme="minorHAnsi" w:cstheme="minorBidi"/>
          <w:color w:val="auto"/>
          <w:sz w:val="22"/>
          <w:szCs w:val="22"/>
        </w:rPr>
        <w:t xml:space="preserve">institutionalising DRR </w:t>
      </w:r>
      <w:r w:rsidR="00381798">
        <w:rPr>
          <w:rFonts w:asciiTheme="minorHAnsi" w:hAnsiTheme="minorHAnsi" w:cstheme="minorBidi"/>
          <w:color w:val="auto"/>
          <w:sz w:val="22"/>
          <w:szCs w:val="22"/>
        </w:rPr>
        <w:t xml:space="preserve">at the national level </w:t>
      </w:r>
      <w:r w:rsidRPr="22D8730C">
        <w:rPr>
          <w:rFonts w:asciiTheme="minorHAnsi" w:hAnsiTheme="minorHAnsi" w:cstheme="minorBidi"/>
          <w:color w:val="auto"/>
          <w:sz w:val="22"/>
          <w:szCs w:val="22"/>
        </w:rPr>
        <w:t>under the Hyogo Framework</w:t>
      </w:r>
      <w:r w:rsidR="00381798">
        <w:rPr>
          <w:rFonts w:asciiTheme="minorHAnsi" w:hAnsiTheme="minorHAnsi" w:cstheme="minorBidi"/>
          <w:color w:val="auto"/>
          <w:sz w:val="22"/>
          <w:szCs w:val="22"/>
        </w:rPr>
        <w:t>.</w:t>
      </w:r>
      <w:r w:rsidRPr="22D8730C">
        <w:rPr>
          <w:rFonts w:asciiTheme="minorHAnsi" w:hAnsiTheme="minorHAnsi" w:cstheme="minorBidi"/>
          <w:color w:val="auto"/>
          <w:sz w:val="22"/>
          <w:szCs w:val="22"/>
        </w:rPr>
        <w:t xml:space="preserve"> </w:t>
      </w:r>
    </w:p>
    <w:p w14:paraId="39EA301F" w14:textId="77777777" w:rsidR="00280775" w:rsidRPr="00280775" w:rsidRDefault="00280775" w:rsidP="00280775">
      <w:pPr>
        <w:spacing w:after="0" w:line="240" w:lineRule="auto"/>
      </w:pPr>
    </w:p>
    <w:p w14:paraId="2B811D83" w14:textId="3283380B" w:rsidR="00280775" w:rsidRPr="00EF5968" w:rsidRDefault="00280775" w:rsidP="00EF5968">
      <w:pPr>
        <w:spacing w:after="0" w:line="240" w:lineRule="auto"/>
        <w:ind w:left="720"/>
        <w:rPr>
          <w:rFonts w:asciiTheme="minorHAnsi" w:hAnsiTheme="minorHAnsi" w:cstheme="minorHAnsi"/>
          <w:i/>
          <w:iCs/>
        </w:rPr>
      </w:pPr>
      <w:r w:rsidRPr="00280775">
        <w:rPr>
          <w:rFonts w:asciiTheme="minorHAnsi" w:hAnsiTheme="minorHAnsi" w:cstheme="minorHAnsi"/>
          <w:i/>
          <w:iCs/>
        </w:rPr>
        <w:lastRenderedPageBreak/>
        <w:t>Disaster risk governance at the national, regional and global levels is of great importance for an effective and efficient management of disaster risk. Clear vision, plans, competence, guidance and coordination within and across sectors, as well as participation of relevant stakeholders, are needed. Strengthening disaster risk governance for prevention, mitigation, preparedness, response, recovery and rehabilitation is therefore necessary and fosters collaboration and partnership across mechanisms and institutions for the implementation of instruments relevant to disaster risk reduction and sustainable development.</w:t>
      </w:r>
      <w:r w:rsidR="00EF5968">
        <w:rPr>
          <w:rFonts w:asciiTheme="minorHAnsi" w:hAnsiTheme="minorHAnsi" w:cstheme="minorHAnsi"/>
          <w:i/>
          <w:iCs/>
        </w:rPr>
        <w:t xml:space="preserve">          </w:t>
      </w:r>
      <w:r w:rsidRPr="008D03D2">
        <w:rPr>
          <w:rFonts w:asciiTheme="minorHAnsi" w:hAnsiTheme="minorHAnsi" w:cstheme="minorHAnsi"/>
        </w:rPr>
        <w:t>Para IV</w:t>
      </w:r>
      <w:r w:rsidR="000B7158">
        <w:rPr>
          <w:rFonts w:asciiTheme="minorHAnsi" w:hAnsiTheme="minorHAnsi" w:cstheme="minorHAnsi"/>
        </w:rPr>
        <w:t>.</w:t>
      </w:r>
      <w:r w:rsidRPr="008D03D2">
        <w:rPr>
          <w:rFonts w:asciiTheme="minorHAnsi" w:hAnsiTheme="minorHAnsi" w:cstheme="minorHAnsi"/>
        </w:rPr>
        <w:t>2</w:t>
      </w:r>
      <w:r w:rsidR="008D03D2">
        <w:rPr>
          <w:rFonts w:asciiTheme="minorHAnsi" w:hAnsiTheme="minorHAnsi" w:cstheme="minorHAnsi"/>
        </w:rPr>
        <w:t>6</w:t>
      </w:r>
    </w:p>
    <w:p w14:paraId="3ABA80ED" w14:textId="2F29F0D9" w:rsidR="00C70247" w:rsidRPr="00D23642" w:rsidRDefault="00C70247" w:rsidP="003B4AC8">
      <w:pPr>
        <w:pStyle w:val="Heading2"/>
        <w:numPr>
          <w:ilvl w:val="0"/>
          <w:numId w:val="41"/>
        </w:numPr>
        <w:rPr>
          <w:rFonts w:ascii="Cambria" w:hAnsi="Cambria" w:cstheme="minorHAnsi"/>
          <w:color w:val="094183"/>
          <w:sz w:val="24"/>
          <w:szCs w:val="24"/>
        </w:rPr>
      </w:pPr>
      <w:r>
        <w:rPr>
          <w:rFonts w:ascii="Cambria" w:hAnsi="Cambria"/>
          <w:color w:val="094183"/>
          <w:sz w:val="24"/>
          <w:szCs w:val="24"/>
        </w:rPr>
        <w:t xml:space="preserve">Policy </w:t>
      </w:r>
      <w:r w:rsidR="00D006A5">
        <w:rPr>
          <w:rFonts w:ascii="Cambria" w:hAnsi="Cambria"/>
          <w:color w:val="094183"/>
          <w:sz w:val="24"/>
          <w:szCs w:val="24"/>
        </w:rPr>
        <w:t>and CRPD compliance</w:t>
      </w:r>
    </w:p>
    <w:p w14:paraId="34E42EF1" w14:textId="77777777" w:rsidR="00EF1E59" w:rsidRDefault="00EF1E59" w:rsidP="00EF1E59">
      <w:pPr>
        <w:spacing w:after="0" w:line="240" w:lineRule="auto"/>
        <w:rPr>
          <w:rFonts w:asciiTheme="minorHAnsi" w:hAnsiTheme="minorHAnsi" w:cstheme="minorHAnsi"/>
        </w:rPr>
      </w:pPr>
    </w:p>
    <w:p w14:paraId="6BD1172B" w14:textId="381E3CD1" w:rsidR="00FB42B9" w:rsidRDefault="00EF1E59" w:rsidP="00EF1E59">
      <w:pPr>
        <w:spacing w:after="0" w:line="240" w:lineRule="auto"/>
        <w:rPr>
          <w:rFonts w:asciiTheme="minorHAnsi" w:hAnsiTheme="minorHAnsi" w:cstheme="minorHAnsi"/>
        </w:rPr>
      </w:pPr>
      <w:r w:rsidRPr="00EF1E59">
        <w:rPr>
          <w:rFonts w:asciiTheme="minorHAnsi" w:hAnsiTheme="minorHAnsi" w:cstheme="minorHAnsi"/>
        </w:rPr>
        <w:t xml:space="preserve">The Sendai Framework sets out to translate </w:t>
      </w:r>
      <w:r w:rsidR="00381798">
        <w:rPr>
          <w:rFonts w:asciiTheme="minorHAnsi" w:hAnsiTheme="minorHAnsi" w:cstheme="minorHAnsi"/>
        </w:rPr>
        <w:t xml:space="preserve">earlier </w:t>
      </w:r>
      <w:r w:rsidRPr="00EF1E59">
        <w:rPr>
          <w:rFonts w:asciiTheme="minorHAnsi" w:hAnsiTheme="minorHAnsi" w:cstheme="minorHAnsi"/>
        </w:rPr>
        <w:t>progress on institutionalising DRR into practice</w:t>
      </w:r>
      <w:r w:rsidR="000A5B7F">
        <w:rPr>
          <w:rFonts w:asciiTheme="minorHAnsi" w:hAnsiTheme="minorHAnsi" w:cstheme="minorHAnsi"/>
        </w:rPr>
        <w:t>. This includes extending progress from national to local levels</w:t>
      </w:r>
      <w:r w:rsidRPr="00EF1E59">
        <w:rPr>
          <w:rFonts w:asciiTheme="minorHAnsi" w:hAnsiTheme="minorHAnsi" w:cstheme="minorHAnsi"/>
        </w:rPr>
        <w:t xml:space="preserve">. In contrast, efforts to institutionalise disability inclusion in DRR </w:t>
      </w:r>
      <w:r w:rsidR="00381798">
        <w:rPr>
          <w:rFonts w:asciiTheme="minorHAnsi" w:hAnsiTheme="minorHAnsi" w:cstheme="minorHAnsi"/>
        </w:rPr>
        <w:t xml:space="preserve">are relatively new and </w:t>
      </w:r>
      <w:r w:rsidR="000A5B7F">
        <w:rPr>
          <w:rFonts w:asciiTheme="minorHAnsi" w:hAnsiTheme="minorHAnsi" w:cstheme="minorHAnsi"/>
        </w:rPr>
        <w:t xml:space="preserve">have only been a global priority since </w:t>
      </w:r>
      <w:r w:rsidR="00FB42B9">
        <w:rPr>
          <w:rFonts w:asciiTheme="minorHAnsi" w:hAnsiTheme="minorHAnsi" w:cstheme="minorHAnsi"/>
        </w:rPr>
        <w:t xml:space="preserve">the World Conference in </w:t>
      </w:r>
      <w:r w:rsidRPr="00EF1E59">
        <w:rPr>
          <w:rFonts w:asciiTheme="minorHAnsi" w:hAnsiTheme="minorHAnsi" w:cstheme="minorHAnsi"/>
        </w:rPr>
        <w:t>Sendai</w:t>
      </w:r>
      <w:r w:rsidR="00FB42B9">
        <w:rPr>
          <w:rFonts w:asciiTheme="minorHAnsi" w:hAnsiTheme="minorHAnsi" w:cstheme="minorHAnsi"/>
        </w:rPr>
        <w:t>, 2015.</w:t>
      </w:r>
      <w:r w:rsidRPr="00EF1E59">
        <w:rPr>
          <w:rFonts w:asciiTheme="minorHAnsi" w:hAnsiTheme="minorHAnsi" w:cstheme="minorHAnsi"/>
        </w:rPr>
        <w:t xml:space="preserve"> </w:t>
      </w:r>
    </w:p>
    <w:p w14:paraId="00E3BB18" w14:textId="15BB60E9" w:rsidR="00FB42B9" w:rsidRDefault="00FB42B9" w:rsidP="00EF1E59">
      <w:pPr>
        <w:spacing w:after="0" w:line="240" w:lineRule="auto"/>
        <w:rPr>
          <w:rFonts w:asciiTheme="minorHAnsi" w:hAnsiTheme="minorHAnsi" w:cstheme="minorHAnsi"/>
        </w:rPr>
      </w:pPr>
    </w:p>
    <w:p w14:paraId="13689615" w14:textId="4BEE2632" w:rsidR="000A5B7F" w:rsidRDefault="000A5B7F" w:rsidP="436534FE">
      <w:pPr>
        <w:spacing w:after="0" w:line="240" w:lineRule="auto"/>
        <w:rPr>
          <w:rFonts w:asciiTheme="minorHAnsi" w:hAnsiTheme="minorHAnsi"/>
        </w:rPr>
      </w:pPr>
      <w:r w:rsidRPr="436534FE">
        <w:rPr>
          <w:rFonts w:asciiTheme="minorHAnsi" w:hAnsiTheme="minorHAnsi"/>
        </w:rPr>
        <w:t xml:space="preserve">Awareness of disability inclusion and the importance of engaging with persons with disabilities is increasingly acknowledged in DRR policy in the Pacific. Similarly, DRR is being referenced in recent disability policies and action plans to implement the CRPD. At the regional level, this includes the Framework for Resilient Development (FRDP) </w:t>
      </w:r>
      <w:r w:rsidR="00465CFF">
        <w:rPr>
          <w:rFonts w:asciiTheme="minorHAnsi" w:hAnsiTheme="minorHAnsi"/>
        </w:rPr>
        <w:t>and</w:t>
      </w:r>
      <w:r w:rsidRPr="436534FE">
        <w:rPr>
          <w:rFonts w:asciiTheme="minorHAnsi" w:hAnsiTheme="minorHAnsi"/>
        </w:rPr>
        <w:t xml:space="preserve"> the Pacific Framework on the Rights of Persons with Disabilities (PFRPD)</w:t>
      </w:r>
      <w:r w:rsidR="00D05275">
        <w:rPr>
          <w:rFonts w:asciiTheme="minorHAnsi" w:hAnsiTheme="minorHAnsi"/>
        </w:rPr>
        <w:t>, which includes the following goal</w:t>
      </w:r>
      <w:r w:rsidRPr="436534FE">
        <w:rPr>
          <w:rFonts w:asciiTheme="minorHAnsi" w:hAnsiTheme="minorHAnsi"/>
        </w:rPr>
        <w:t>:</w:t>
      </w:r>
    </w:p>
    <w:p w14:paraId="2E52626C" w14:textId="77777777" w:rsidR="000A5B7F" w:rsidRPr="0004734B" w:rsidRDefault="000A5B7F" w:rsidP="000A5B7F">
      <w:pPr>
        <w:spacing w:after="0" w:line="240" w:lineRule="auto"/>
        <w:rPr>
          <w:rFonts w:asciiTheme="minorHAnsi" w:hAnsiTheme="minorHAnsi" w:cstheme="minorHAnsi"/>
          <w:sz w:val="12"/>
          <w:szCs w:val="12"/>
        </w:rPr>
      </w:pPr>
    </w:p>
    <w:p w14:paraId="299684F4" w14:textId="0A3C32AB" w:rsidR="000A5B7F" w:rsidRPr="000217B2" w:rsidRDefault="000A5B7F" w:rsidP="000A5B7F">
      <w:pPr>
        <w:pStyle w:val="ListParagraph"/>
        <w:numPr>
          <w:ilvl w:val="0"/>
          <w:numId w:val="34"/>
        </w:numPr>
        <w:spacing w:after="0" w:line="240" w:lineRule="auto"/>
        <w:rPr>
          <w:rFonts w:asciiTheme="minorHAnsi" w:hAnsiTheme="minorHAnsi" w:cstheme="minorHAnsi"/>
        </w:rPr>
      </w:pPr>
      <w:r w:rsidRPr="000217B2">
        <w:rPr>
          <w:rFonts w:asciiTheme="minorHAnsi" w:hAnsiTheme="minorHAnsi" w:cstheme="minorHAnsi"/>
        </w:rPr>
        <w:t>Include persons with disabilities in climate adaptation measures and disaster risk management plans and policies.</w:t>
      </w:r>
      <w:r>
        <w:rPr>
          <w:rStyle w:val="FootnoteReference"/>
          <w:rFonts w:asciiTheme="minorHAnsi" w:hAnsiTheme="minorHAnsi" w:cstheme="minorHAnsi"/>
        </w:rPr>
        <w:footnoteReference w:id="31"/>
      </w:r>
    </w:p>
    <w:p w14:paraId="0E775591" w14:textId="77777777" w:rsidR="000A5B7F" w:rsidRPr="0004734B" w:rsidRDefault="000A5B7F" w:rsidP="000A5B7F">
      <w:pPr>
        <w:spacing w:after="0" w:line="240" w:lineRule="auto"/>
        <w:rPr>
          <w:rFonts w:asciiTheme="minorHAnsi" w:hAnsiTheme="minorHAnsi" w:cstheme="minorHAnsi"/>
          <w:sz w:val="12"/>
          <w:szCs w:val="12"/>
        </w:rPr>
      </w:pPr>
    </w:p>
    <w:p w14:paraId="754B49A2" w14:textId="2DA8F871" w:rsidR="0003277C" w:rsidRDefault="00465CFF" w:rsidP="436534FE">
      <w:pPr>
        <w:spacing w:after="0" w:line="240" w:lineRule="auto"/>
        <w:rPr>
          <w:rFonts w:asciiTheme="minorHAnsi" w:hAnsiTheme="minorHAnsi"/>
        </w:rPr>
      </w:pPr>
      <w:r>
        <w:rPr>
          <w:rFonts w:asciiTheme="minorHAnsi" w:hAnsiTheme="minorHAnsi"/>
        </w:rPr>
        <w:t>I</w:t>
      </w:r>
      <w:r w:rsidRPr="436534FE">
        <w:rPr>
          <w:rFonts w:asciiTheme="minorHAnsi" w:hAnsiTheme="minorHAnsi"/>
        </w:rPr>
        <w:t xml:space="preserve">mplementation of </w:t>
      </w:r>
      <w:r>
        <w:rPr>
          <w:rFonts w:asciiTheme="minorHAnsi" w:hAnsiTheme="minorHAnsi"/>
        </w:rPr>
        <w:t xml:space="preserve">the FRDP </w:t>
      </w:r>
      <w:r w:rsidRPr="436534FE">
        <w:rPr>
          <w:rFonts w:asciiTheme="minorHAnsi" w:hAnsiTheme="minorHAnsi"/>
        </w:rPr>
        <w:t>is overseen by the Pacific Resilience Partnership Taskforce</w:t>
      </w:r>
      <w:r>
        <w:rPr>
          <w:rFonts w:asciiTheme="minorHAnsi" w:hAnsiTheme="minorHAnsi"/>
        </w:rPr>
        <w:t xml:space="preserve">. </w:t>
      </w:r>
      <w:r w:rsidR="000A5B7F" w:rsidRPr="436534FE">
        <w:rPr>
          <w:rFonts w:asciiTheme="minorHAnsi" w:hAnsiTheme="minorHAnsi"/>
        </w:rPr>
        <w:t xml:space="preserve">PDF, as the Pacific’s </w:t>
      </w:r>
      <w:r w:rsidR="002311DA" w:rsidRPr="436534FE">
        <w:rPr>
          <w:rFonts w:asciiTheme="minorHAnsi" w:hAnsiTheme="minorHAnsi"/>
        </w:rPr>
        <w:t xml:space="preserve">peak </w:t>
      </w:r>
      <w:r w:rsidR="000A5B7F" w:rsidRPr="436534FE">
        <w:rPr>
          <w:rFonts w:asciiTheme="minorHAnsi" w:hAnsiTheme="minorHAnsi"/>
        </w:rPr>
        <w:t>OPD, is a</w:t>
      </w:r>
      <w:r w:rsidR="0201014F" w:rsidRPr="436534FE">
        <w:rPr>
          <w:rFonts w:asciiTheme="minorHAnsi" w:hAnsiTheme="minorHAnsi"/>
        </w:rPr>
        <w:t xml:space="preserve"> </w:t>
      </w:r>
      <w:r>
        <w:rPr>
          <w:rFonts w:asciiTheme="minorHAnsi" w:hAnsiTheme="minorHAnsi"/>
        </w:rPr>
        <w:t>T</w:t>
      </w:r>
      <w:r w:rsidR="000A5B7F" w:rsidRPr="436534FE">
        <w:rPr>
          <w:rFonts w:asciiTheme="minorHAnsi" w:hAnsiTheme="minorHAnsi"/>
        </w:rPr>
        <w:t xml:space="preserve">ask </w:t>
      </w:r>
      <w:r>
        <w:rPr>
          <w:rFonts w:asciiTheme="minorHAnsi" w:hAnsiTheme="minorHAnsi"/>
        </w:rPr>
        <w:t>F</w:t>
      </w:r>
      <w:r w:rsidR="000A5B7F" w:rsidRPr="436534FE">
        <w:rPr>
          <w:rFonts w:asciiTheme="minorHAnsi" w:hAnsiTheme="minorHAnsi"/>
        </w:rPr>
        <w:t>orce member</w:t>
      </w:r>
      <w:r w:rsidR="00D05275">
        <w:rPr>
          <w:rFonts w:asciiTheme="minorHAnsi" w:hAnsiTheme="minorHAnsi"/>
        </w:rPr>
        <w:t xml:space="preserve">. PDF is also </w:t>
      </w:r>
      <w:r>
        <w:rPr>
          <w:rFonts w:asciiTheme="minorHAnsi" w:hAnsiTheme="minorHAnsi"/>
        </w:rPr>
        <w:t>chai</w:t>
      </w:r>
      <w:r w:rsidR="00D05275">
        <w:rPr>
          <w:rFonts w:asciiTheme="minorHAnsi" w:hAnsiTheme="minorHAnsi"/>
        </w:rPr>
        <w:t>ring</w:t>
      </w:r>
      <w:r>
        <w:rPr>
          <w:rFonts w:asciiTheme="minorHAnsi" w:hAnsiTheme="minorHAnsi"/>
        </w:rPr>
        <w:t xml:space="preserve"> </w:t>
      </w:r>
      <w:r w:rsidR="000A5B7F" w:rsidRPr="436534FE">
        <w:rPr>
          <w:rFonts w:asciiTheme="minorHAnsi" w:hAnsiTheme="minorHAnsi"/>
        </w:rPr>
        <w:t xml:space="preserve">the PFRPD reference group. This </w:t>
      </w:r>
      <w:r w:rsidR="00D05275">
        <w:rPr>
          <w:rFonts w:asciiTheme="minorHAnsi" w:hAnsiTheme="minorHAnsi"/>
        </w:rPr>
        <w:t xml:space="preserve">engagement </w:t>
      </w:r>
      <w:r w:rsidR="000A5B7F" w:rsidRPr="436534FE">
        <w:rPr>
          <w:rFonts w:asciiTheme="minorHAnsi" w:hAnsiTheme="minorHAnsi"/>
        </w:rPr>
        <w:t xml:space="preserve">is contributing to </w:t>
      </w:r>
      <w:r w:rsidR="002311DA" w:rsidRPr="436534FE">
        <w:rPr>
          <w:rFonts w:asciiTheme="minorHAnsi" w:hAnsiTheme="minorHAnsi"/>
        </w:rPr>
        <w:t xml:space="preserve">policy </w:t>
      </w:r>
      <w:r w:rsidR="000A5B7F" w:rsidRPr="436534FE">
        <w:rPr>
          <w:rFonts w:asciiTheme="minorHAnsi" w:hAnsiTheme="minorHAnsi"/>
        </w:rPr>
        <w:t>alignment o</w:t>
      </w:r>
      <w:r w:rsidR="002311DA" w:rsidRPr="436534FE">
        <w:rPr>
          <w:rFonts w:asciiTheme="minorHAnsi" w:hAnsiTheme="minorHAnsi"/>
        </w:rPr>
        <w:t>n</w:t>
      </w:r>
      <w:r w:rsidR="000A5B7F" w:rsidRPr="436534FE">
        <w:rPr>
          <w:rFonts w:asciiTheme="minorHAnsi" w:hAnsiTheme="minorHAnsi"/>
        </w:rPr>
        <w:t xml:space="preserve"> </w:t>
      </w:r>
      <w:r w:rsidR="002311DA" w:rsidRPr="436534FE">
        <w:rPr>
          <w:rFonts w:asciiTheme="minorHAnsi" w:hAnsiTheme="minorHAnsi"/>
        </w:rPr>
        <w:t>DRR</w:t>
      </w:r>
      <w:r w:rsidR="000A5B7F" w:rsidRPr="436534FE">
        <w:rPr>
          <w:rFonts w:asciiTheme="minorHAnsi" w:hAnsiTheme="minorHAnsi"/>
        </w:rPr>
        <w:t xml:space="preserve"> and disability </w:t>
      </w:r>
      <w:r w:rsidR="00937CB7">
        <w:rPr>
          <w:rFonts w:asciiTheme="minorHAnsi" w:hAnsiTheme="minorHAnsi"/>
        </w:rPr>
        <w:t xml:space="preserve">inclusion </w:t>
      </w:r>
      <w:r w:rsidR="000A5B7F" w:rsidRPr="436534FE">
        <w:rPr>
          <w:rFonts w:asciiTheme="minorHAnsi" w:hAnsiTheme="minorHAnsi"/>
        </w:rPr>
        <w:t>objectives at the regional leve</w:t>
      </w:r>
      <w:r w:rsidR="002311DA" w:rsidRPr="436534FE">
        <w:rPr>
          <w:rFonts w:asciiTheme="minorHAnsi" w:hAnsiTheme="minorHAnsi"/>
        </w:rPr>
        <w:t>l in the Pacific.</w:t>
      </w:r>
      <w:r w:rsidR="000A5B7F" w:rsidRPr="436534FE">
        <w:rPr>
          <w:rFonts w:asciiTheme="minorHAnsi" w:hAnsiTheme="minorHAnsi"/>
        </w:rPr>
        <w:t xml:space="preserve"> </w:t>
      </w:r>
      <w:r w:rsidR="009C733C" w:rsidRPr="436534FE">
        <w:rPr>
          <w:rFonts w:asciiTheme="minorHAnsi" w:hAnsiTheme="minorHAnsi"/>
        </w:rPr>
        <w:t xml:space="preserve">Regional commitments are also reflected at national levels. For example, DRR and climate change </w:t>
      </w:r>
      <w:r w:rsidR="00CD1123">
        <w:rPr>
          <w:rFonts w:asciiTheme="minorHAnsi" w:hAnsiTheme="minorHAnsi"/>
        </w:rPr>
        <w:t>are</w:t>
      </w:r>
      <w:r w:rsidR="00CD1123" w:rsidRPr="436534FE">
        <w:rPr>
          <w:rFonts w:asciiTheme="minorHAnsi" w:hAnsiTheme="minorHAnsi"/>
        </w:rPr>
        <w:t xml:space="preserve"> </w:t>
      </w:r>
      <w:r w:rsidR="009C733C" w:rsidRPr="436534FE">
        <w:rPr>
          <w:rFonts w:asciiTheme="minorHAnsi" w:hAnsiTheme="minorHAnsi"/>
        </w:rPr>
        <w:t xml:space="preserve">a </w:t>
      </w:r>
      <w:r w:rsidR="00937CB7">
        <w:rPr>
          <w:rFonts w:asciiTheme="minorHAnsi" w:hAnsiTheme="minorHAnsi"/>
        </w:rPr>
        <w:t>“</w:t>
      </w:r>
      <w:r w:rsidR="009C733C" w:rsidRPr="436534FE">
        <w:rPr>
          <w:rFonts w:asciiTheme="minorHAnsi" w:hAnsiTheme="minorHAnsi"/>
        </w:rPr>
        <w:t>strategic priority area</w:t>
      </w:r>
      <w:r w:rsidR="00937CB7">
        <w:rPr>
          <w:rFonts w:asciiTheme="minorHAnsi" w:hAnsiTheme="minorHAnsi"/>
        </w:rPr>
        <w:t>”</w:t>
      </w:r>
      <w:r w:rsidR="009C733C" w:rsidRPr="436534FE">
        <w:rPr>
          <w:rFonts w:asciiTheme="minorHAnsi" w:hAnsiTheme="minorHAnsi"/>
        </w:rPr>
        <w:t xml:space="preserve"> in Vanuatu’s National Disability Inclusive Development Policy 2018-2025.</w:t>
      </w:r>
      <w:r w:rsidR="009C733C" w:rsidRPr="436534FE">
        <w:rPr>
          <w:rStyle w:val="FootnoteReference"/>
          <w:rFonts w:asciiTheme="minorHAnsi" w:hAnsiTheme="minorHAnsi"/>
        </w:rPr>
        <w:footnoteReference w:id="32"/>
      </w:r>
      <w:r w:rsidR="0003277C" w:rsidRPr="436534FE">
        <w:rPr>
          <w:rFonts w:asciiTheme="minorHAnsi" w:hAnsiTheme="minorHAnsi"/>
        </w:rPr>
        <w:t xml:space="preserve"> </w:t>
      </w:r>
    </w:p>
    <w:p w14:paraId="55BFD05B" w14:textId="23F9DE97" w:rsidR="00465CFF" w:rsidRDefault="00465CFF" w:rsidP="000A5B7F">
      <w:pPr>
        <w:spacing w:after="0" w:line="240" w:lineRule="auto"/>
        <w:rPr>
          <w:rFonts w:asciiTheme="minorHAnsi" w:hAnsiTheme="minorHAnsi" w:cstheme="minorHAnsi"/>
        </w:rPr>
      </w:pPr>
    </w:p>
    <w:p w14:paraId="0ECD63A5" w14:textId="7013FA22" w:rsidR="009C733C" w:rsidRDefault="00465CFF" w:rsidP="000A5B7F">
      <w:pPr>
        <w:spacing w:after="0" w:line="240" w:lineRule="auto"/>
        <w:rPr>
          <w:rFonts w:asciiTheme="minorHAnsi" w:hAnsiTheme="minorHAnsi" w:cstheme="minorHAnsi"/>
        </w:rPr>
      </w:pPr>
      <w:r>
        <w:rPr>
          <w:rFonts w:asciiTheme="minorHAnsi" w:hAnsiTheme="minorHAnsi" w:cstheme="minorHAnsi"/>
        </w:rPr>
        <w:t>N</w:t>
      </w:r>
      <w:r w:rsidR="0003277C">
        <w:rPr>
          <w:rFonts w:asciiTheme="minorHAnsi" w:hAnsiTheme="minorHAnsi" w:cstheme="minorHAnsi"/>
        </w:rPr>
        <w:t>ational disability polic</w:t>
      </w:r>
      <w:r w:rsidR="00BA1D70">
        <w:rPr>
          <w:rFonts w:asciiTheme="minorHAnsi" w:hAnsiTheme="minorHAnsi" w:cstheme="minorHAnsi"/>
        </w:rPr>
        <w:t>i</w:t>
      </w:r>
      <w:r w:rsidR="0003277C">
        <w:rPr>
          <w:rFonts w:asciiTheme="minorHAnsi" w:hAnsiTheme="minorHAnsi" w:cstheme="minorHAnsi"/>
        </w:rPr>
        <w:t>es should reflect CRPD obligations</w:t>
      </w:r>
      <w:r>
        <w:rPr>
          <w:rFonts w:asciiTheme="minorHAnsi" w:hAnsiTheme="minorHAnsi" w:cstheme="minorHAnsi"/>
        </w:rPr>
        <w:t>; however</w:t>
      </w:r>
      <w:r w:rsidR="0003277C">
        <w:rPr>
          <w:rFonts w:asciiTheme="minorHAnsi" w:hAnsiTheme="minorHAnsi" w:cstheme="minorHAnsi"/>
        </w:rPr>
        <w:t xml:space="preserve">, issues remain. </w:t>
      </w:r>
      <w:r w:rsidR="00DD1209">
        <w:rPr>
          <w:rFonts w:asciiTheme="minorHAnsi" w:hAnsiTheme="minorHAnsi" w:cstheme="minorHAnsi"/>
        </w:rPr>
        <w:t>T</w:t>
      </w:r>
      <w:r w:rsidR="0003277C">
        <w:rPr>
          <w:rFonts w:asciiTheme="minorHAnsi" w:hAnsiTheme="minorHAnsi" w:cstheme="minorHAnsi"/>
        </w:rPr>
        <w:t xml:space="preserve">he Marshall Island’s Rights of Persons with Disabilities Act, 2015 </w:t>
      </w:r>
      <w:r>
        <w:rPr>
          <w:rFonts w:asciiTheme="minorHAnsi" w:hAnsiTheme="minorHAnsi" w:cstheme="minorHAnsi"/>
        </w:rPr>
        <w:t xml:space="preserve">notes alignment </w:t>
      </w:r>
      <w:r w:rsidR="00163354">
        <w:rPr>
          <w:rFonts w:asciiTheme="minorHAnsi" w:hAnsiTheme="minorHAnsi" w:cstheme="minorHAnsi"/>
        </w:rPr>
        <w:t xml:space="preserve">with </w:t>
      </w:r>
      <w:r w:rsidR="0003277C">
        <w:rPr>
          <w:rFonts w:asciiTheme="minorHAnsi" w:hAnsiTheme="minorHAnsi" w:cstheme="minorHAnsi"/>
        </w:rPr>
        <w:t>Article 11</w:t>
      </w:r>
      <w:r w:rsidR="00AC4446">
        <w:rPr>
          <w:rFonts w:asciiTheme="minorHAnsi" w:hAnsiTheme="minorHAnsi" w:cstheme="minorHAnsi"/>
        </w:rPr>
        <w:t>.</w:t>
      </w:r>
      <w:r w:rsidR="00AC4446">
        <w:rPr>
          <w:rStyle w:val="FootnoteReference"/>
          <w:rFonts w:asciiTheme="minorHAnsi" w:hAnsiTheme="minorHAnsi" w:cstheme="minorHAnsi"/>
        </w:rPr>
        <w:footnoteReference w:id="33"/>
      </w:r>
      <w:r w:rsidR="00AC4446">
        <w:rPr>
          <w:rFonts w:asciiTheme="minorHAnsi" w:hAnsiTheme="minorHAnsi" w:cstheme="minorHAnsi"/>
        </w:rPr>
        <w:t xml:space="preserve"> However, this is later qualified by the caveat “as far as reasonably practical” (Para 23.4)</w:t>
      </w:r>
      <w:r w:rsidR="00C42CC6">
        <w:rPr>
          <w:rFonts w:asciiTheme="minorHAnsi" w:hAnsiTheme="minorHAnsi" w:cstheme="minorHAnsi"/>
        </w:rPr>
        <w:t xml:space="preserve">. This does not reflect the </w:t>
      </w:r>
      <w:r>
        <w:rPr>
          <w:rFonts w:asciiTheme="minorHAnsi" w:hAnsiTheme="minorHAnsi" w:cstheme="minorHAnsi"/>
        </w:rPr>
        <w:t xml:space="preserve">spirit of the </w:t>
      </w:r>
      <w:r w:rsidR="00C42CC6">
        <w:rPr>
          <w:rFonts w:asciiTheme="minorHAnsi" w:hAnsiTheme="minorHAnsi" w:cstheme="minorHAnsi"/>
        </w:rPr>
        <w:t>CRPD</w:t>
      </w:r>
      <w:r>
        <w:rPr>
          <w:rFonts w:asciiTheme="minorHAnsi" w:hAnsiTheme="minorHAnsi" w:cstheme="minorHAnsi"/>
        </w:rPr>
        <w:t xml:space="preserve"> or its </w:t>
      </w:r>
      <w:r w:rsidR="00C42CC6">
        <w:rPr>
          <w:rFonts w:asciiTheme="minorHAnsi" w:hAnsiTheme="minorHAnsi" w:cstheme="minorHAnsi"/>
        </w:rPr>
        <w:t>foundational principle of reasonable accommodation.</w:t>
      </w:r>
      <w:r w:rsidR="00AC4446">
        <w:rPr>
          <w:rStyle w:val="FootnoteReference"/>
          <w:rFonts w:asciiTheme="minorHAnsi" w:hAnsiTheme="minorHAnsi" w:cstheme="minorHAnsi"/>
        </w:rPr>
        <w:footnoteReference w:id="34"/>
      </w:r>
      <w:r w:rsidR="00C42CC6">
        <w:rPr>
          <w:rFonts w:asciiTheme="minorHAnsi" w:hAnsiTheme="minorHAnsi" w:cstheme="minorHAnsi"/>
        </w:rPr>
        <w:t xml:space="preserve"> </w:t>
      </w:r>
      <w:r w:rsidR="00611BF9">
        <w:rPr>
          <w:rFonts w:asciiTheme="minorHAnsi" w:hAnsiTheme="minorHAnsi" w:cstheme="minorHAnsi"/>
        </w:rPr>
        <w:t>Solomon Island’s 2009 Disaster Risk Management Plan included no mention of disability.</w:t>
      </w:r>
      <w:r w:rsidR="00CE4D4E">
        <w:rPr>
          <w:rStyle w:val="FootnoteReference"/>
          <w:rFonts w:asciiTheme="minorHAnsi" w:hAnsiTheme="minorHAnsi" w:cstheme="minorHAnsi"/>
        </w:rPr>
        <w:footnoteReference w:id="35"/>
      </w:r>
      <w:r w:rsidR="00611BF9">
        <w:rPr>
          <w:rFonts w:asciiTheme="minorHAnsi" w:hAnsiTheme="minorHAnsi" w:cstheme="minorHAnsi"/>
        </w:rPr>
        <w:t xml:space="preserve"> The revised 2018 Plan </w:t>
      </w:r>
      <w:r w:rsidR="00611BF9">
        <w:rPr>
          <w:rFonts w:asciiTheme="minorHAnsi" w:hAnsiTheme="minorHAnsi" w:cstheme="minorHAnsi"/>
        </w:rPr>
        <w:lastRenderedPageBreak/>
        <w:t>states a focus is “community inclusiveness” and makes one reference to “those with disabilities”</w:t>
      </w:r>
      <w:r w:rsidR="00AC4D5D">
        <w:rPr>
          <w:rFonts w:asciiTheme="minorHAnsi" w:hAnsiTheme="minorHAnsi" w:cstheme="minorHAnsi"/>
        </w:rPr>
        <w:t>; however, no further information is provided</w:t>
      </w:r>
      <w:r w:rsidR="00611BF9">
        <w:rPr>
          <w:rFonts w:asciiTheme="minorHAnsi" w:hAnsiTheme="minorHAnsi" w:cstheme="minorHAnsi"/>
        </w:rPr>
        <w:t>.</w:t>
      </w:r>
      <w:r w:rsidR="00CE4D4E">
        <w:rPr>
          <w:rStyle w:val="FootnoteReference"/>
          <w:rFonts w:asciiTheme="minorHAnsi" w:hAnsiTheme="minorHAnsi" w:cstheme="minorHAnsi"/>
        </w:rPr>
        <w:footnoteReference w:id="36"/>
      </w:r>
      <w:r w:rsidR="00611BF9">
        <w:rPr>
          <w:rFonts w:asciiTheme="minorHAnsi" w:hAnsiTheme="minorHAnsi" w:cstheme="minorHAnsi"/>
        </w:rPr>
        <w:t xml:space="preserve"> </w:t>
      </w:r>
    </w:p>
    <w:p w14:paraId="6BF7D9F8" w14:textId="1E71EAEB" w:rsidR="009A5A86" w:rsidRDefault="009A5A86" w:rsidP="000A5B7F">
      <w:pPr>
        <w:spacing w:after="0" w:line="240" w:lineRule="auto"/>
        <w:rPr>
          <w:rFonts w:asciiTheme="minorHAnsi" w:hAnsiTheme="minorHAnsi" w:cstheme="minorHAnsi"/>
        </w:rPr>
      </w:pPr>
    </w:p>
    <w:p w14:paraId="134DFB89" w14:textId="0104CB96" w:rsidR="009A5A86" w:rsidRDefault="009A5A86" w:rsidP="000A5B7F">
      <w:pPr>
        <w:spacing w:after="0" w:line="240" w:lineRule="auto"/>
        <w:rPr>
          <w:rFonts w:asciiTheme="minorHAnsi" w:hAnsiTheme="minorHAnsi" w:cstheme="minorHAnsi"/>
        </w:rPr>
      </w:pPr>
      <w:r w:rsidRPr="00B1698F">
        <w:rPr>
          <w:rFonts w:asciiTheme="minorHAnsi" w:hAnsiTheme="minorHAnsi" w:cstheme="minorHAnsi"/>
          <w:noProof/>
          <w:color w:val="2B579A"/>
          <w:shd w:val="clear" w:color="auto" w:fill="E6E6E6"/>
        </w:rPr>
        <mc:AlternateContent>
          <mc:Choice Requires="wps">
            <w:drawing>
              <wp:inline distT="0" distB="0" distL="0" distR="0" wp14:anchorId="3002DF2F" wp14:editId="7938CF8F">
                <wp:extent cx="5581650" cy="1404620"/>
                <wp:effectExtent l="0" t="0" r="19050" b="1778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solidFill>
                          <a:srgbClr val="FFFFFF"/>
                        </a:solidFill>
                        <a:ln w="9525">
                          <a:solidFill>
                            <a:srgbClr val="094183"/>
                          </a:solidFill>
                          <a:miter lim="800000"/>
                          <a:headEnd/>
                          <a:tailEnd/>
                        </a:ln>
                      </wps:spPr>
                      <wps:txbx>
                        <w:txbxContent>
                          <w:p w14:paraId="31B77928" w14:textId="50F4BC0C" w:rsidR="009A5A86" w:rsidRPr="00C61F37" w:rsidRDefault="007A11C1" w:rsidP="009A5A86">
                            <w:pPr>
                              <w:spacing w:after="0" w:line="240" w:lineRule="auto"/>
                              <w:rPr>
                                <w:rFonts w:asciiTheme="minorHAnsi" w:hAnsiTheme="minorHAnsi" w:cstheme="minorHAnsi"/>
                                <w:lang w:val="en-AU"/>
                              </w:rPr>
                            </w:pPr>
                            <w:r>
                              <w:rPr>
                                <w:rFonts w:asciiTheme="minorHAnsi" w:hAnsiTheme="minorHAnsi" w:cstheme="minorHAnsi"/>
                                <w:lang w:val="en-AU"/>
                              </w:rPr>
                              <w:t xml:space="preserve">The Pacific has seen improvements in, and alignment of, disability and DRR related policy. The challenge is to translate what is often generic policy guidance into specific </w:t>
                            </w:r>
                            <w:r w:rsidR="00764C84">
                              <w:rPr>
                                <w:rFonts w:asciiTheme="minorHAnsi" w:hAnsiTheme="minorHAnsi" w:cstheme="minorHAnsi"/>
                                <w:lang w:val="en-AU"/>
                              </w:rPr>
                              <w:t xml:space="preserve">governance </w:t>
                            </w:r>
                            <w:r>
                              <w:rPr>
                                <w:rFonts w:asciiTheme="minorHAnsi" w:hAnsiTheme="minorHAnsi" w:cstheme="minorHAnsi"/>
                                <w:lang w:val="en-AU"/>
                              </w:rPr>
                              <w:t>action</w:t>
                            </w:r>
                            <w:r w:rsidR="00764C84">
                              <w:rPr>
                                <w:rFonts w:asciiTheme="minorHAnsi" w:hAnsiTheme="minorHAnsi" w:cstheme="minorHAnsi"/>
                                <w:lang w:val="en-AU"/>
                              </w:rPr>
                              <w:t>s</w:t>
                            </w:r>
                            <w:r>
                              <w:rPr>
                                <w:rFonts w:asciiTheme="minorHAnsi" w:hAnsiTheme="minorHAnsi" w:cstheme="minorHAnsi"/>
                                <w:lang w:val="en-AU"/>
                              </w:rPr>
                              <w:t xml:space="preserve">, including at local </w:t>
                            </w:r>
                            <w:r w:rsidR="00163354">
                              <w:rPr>
                                <w:rFonts w:asciiTheme="minorHAnsi" w:hAnsiTheme="minorHAnsi" w:cstheme="minorHAnsi"/>
                                <w:lang w:val="en-AU"/>
                              </w:rPr>
                              <w:t xml:space="preserve">and community </w:t>
                            </w:r>
                            <w:r>
                              <w:rPr>
                                <w:rFonts w:asciiTheme="minorHAnsi" w:hAnsiTheme="minorHAnsi" w:cstheme="minorHAnsi"/>
                                <w:lang w:val="en-AU"/>
                              </w:rPr>
                              <w:t xml:space="preserve">levels. </w:t>
                            </w:r>
                          </w:p>
                        </w:txbxContent>
                      </wps:txbx>
                      <wps:bodyPr rot="0" vert="horz" wrap="square" lIns="91440" tIns="45720" rIns="91440" bIns="45720" anchor="t" anchorCtr="0">
                        <a:spAutoFit/>
                      </wps:bodyPr>
                    </wps:wsp>
                  </a:graphicData>
                </a:graphic>
              </wp:inline>
            </w:drawing>
          </mc:Choice>
          <mc:Fallback>
            <w:pict>
              <v:shape w14:anchorId="3002DF2F" id="Text Box 5" o:spid="_x0000_s1030" type="#_x0000_t202" style="width:439.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skhGQIAACcEAAAOAAAAZHJzL2Uyb0RvYy54bWysk92O0zAQhe+ReAfL9zRJSUobNV0tXYqQ&#10;lh9p4QEcx2ksHI+x3Sbl6Rk73W61wA0iF5adsY9nvjle34y9IkdhnQRd0WyWUiI0h0bqfUW/fd29&#10;WlLiPNMNU6BFRU/C0ZvNyxfrwZRiDh2oRliCItqVg6lo570pk8TxTvTMzcAIjcEWbM88Lu0+aSwb&#10;UL1XyTxNF8kAtjEWuHAO/95NQbqJ+m0ruP/ctk54oiqKufk42jjWYUw2a1buLTOd5Oc02D9k0TOp&#10;8dKL1B3zjBys/E2ql9yCg9bPOPQJtK3kItaA1WTps2oeOmZErAXhOHPB5P6fLP90fDBfLPHjWxix&#10;gbEIZ+6Bf3dEw7Zjei9urYWhE6zBi7OALBmMK89HA2pXuiBSDx+hwSazg4coNLa2D1SwToLq2IDT&#10;BboYPeH4syiW2aLAEMdYlqf5Yh7bkrDy8bixzr8X0JMwqajFrkZ5drx3PqTDysct4TYHSjY7qVRc&#10;2H29VZYcGTpgF79YwbNtSpOhoqtiXkwE/iqRrvJs+fpPEr30aGUl+4ou0/BN5grc3ukmGs0zqaY5&#10;pqz0GWRgN1H0Yz0S2VQ0D2cD1xqaE5K1MDkXXxpOOrA/KRnQtRV1Pw7MCkrUB43dWWV5HmweF3nx&#10;BlESex2pryNMc5SqqKdkmm59fBqRm7nFLu5k5PuUyTlldGPEfn45we7X67jr6X1vfgEAAP//AwBQ&#10;SwMEFAAGAAgAAAAhAFGa76bbAAAABQEAAA8AAABkcnMvZG93bnJldi54bWxMj8FuwjAQRO9I/IO1&#10;lXoDhxwCDXFQRVvUY6GVuJp4SSLidWSbkPbru+2lvYw0mtXM22Iz2k4M6EPrSMFinoBAqpxpqVbw&#10;8f4yW4EIUZPRnSNU8IkBNuV0UujcuBvtcTjEWnAJhVwraGLscylD1aDVYe56JM7Ozlsd2fpaGq9v&#10;XG47mSZJJq1uiRca3eO2wepyuFoFx6dd9jruhzfTPie7r2xpLv4Ylbq/Gx/XICKO8e8YfvAZHUpm&#10;OrkrmSA6BfxI/FXOVssHticFabpIQZaF/E9ffgMAAP//AwBQSwECLQAUAAYACAAAACEAtoM4kv4A&#10;AADhAQAAEwAAAAAAAAAAAAAAAAAAAAAAW0NvbnRlbnRfVHlwZXNdLnhtbFBLAQItABQABgAIAAAA&#10;IQA4/SH/1gAAAJQBAAALAAAAAAAAAAAAAAAAAC8BAABfcmVscy8ucmVsc1BLAQItABQABgAIAAAA&#10;IQAJVskhGQIAACcEAAAOAAAAAAAAAAAAAAAAAC4CAABkcnMvZTJvRG9jLnhtbFBLAQItABQABgAI&#10;AAAAIQBRmu+m2wAAAAUBAAAPAAAAAAAAAAAAAAAAAHMEAABkcnMvZG93bnJldi54bWxQSwUGAAAA&#10;AAQABADzAAAAewUAAAAA&#10;" strokecolor="#094183">
                <v:textbox style="mso-fit-shape-to-text:t">
                  <w:txbxContent>
                    <w:p w14:paraId="31B77928" w14:textId="50F4BC0C" w:rsidR="009A5A86" w:rsidRPr="00C61F37" w:rsidRDefault="007A11C1" w:rsidP="009A5A86">
                      <w:pPr>
                        <w:spacing w:after="0" w:line="240" w:lineRule="auto"/>
                        <w:rPr>
                          <w:rFonts w:asciiTheme="minorHAnsi" w:hAnsiTheme="minorHAnsi" w:cstheme="minorHAnsi"/>
                          <w:lang w:val="en-AU"/>
                        </w:rPr>
                      </w:pPr>
                      <w:r>
                        <w:rPr>
                          <w:rFonts w:asciiTheme="minorHAnsi" w:hAnsiTheme="minorHAnsi" w:cstheme="minorHAnsi"/>
                          <w:lang w:val="en-AU"/>
                        </w:rPr>
                        <w:t xml:space="preserve">The Pacific has seen improvements in, and alignment of, disability and DRR related policy. The challenge is to translate what is often generic policy guidance into specific </w:t>
                      </w:r>
                      <w:r w:rsidR="00764C84">
                        <w:rPr>
                          <w:rFonts w:asciiTheme="minorHAnsi" w:hAnsiTheme="minorHAnsi" w:cstheme="minorHAnsi"/>
                          <w:lang w:val="en-AU"/>
                        </w:rPr>
                        <w:t xml:space="preserve">governance </w:t>
                      </w:r>
                      <w:r>
                        <w:rPr>
                          <w:rFonts w:asciiTheme="minorHAnsi" w:hAnsiTheme="minorHAnsi" w:cstheme="minorHAnsi"/>
                          <w:lang w:val="en-AU"/>
                        </w:rPr>
                        <w:t>action</w:t>
                      </w:r>
                      <w:r w:rsidR="00764C84">
                        <w:rPr>
                          <w:rFonts w:asciiTheme="minorHAnsi" w:hAnsiTheme="minorHAnsi" w:cstheme="minorHAnsi"/>
                          <w:lang w:val="en-AU"/>
                        </w:rPr>
                        <w:t>s</w:t>
                      </w:r>
                      <w:r>
                        <w:rPr>
                          <w:rFonts w:asciiTheme="minorHAnsi" w:hAnsiTheme="minorHAnsi" w:cstheme="minorHAnsi"/>
                          <w:lang w:val="en-AU"/>
                        </w:rPr>
                        <w:t xml:space="preserve">, including at local </w:t>
                      </w:r>
                      <w:r w:rsidR="00163354">
                        <w:rPr>
                          <w:rFonts w:asciiTheme="minorHAnsi" w:hAnsiTheme="minorHAnsi" w:cstheme="minorHAnsi"/>
                          <w:lang w:val="en-AU"/>
                        </w:rPr>
                        <w:t xml:space="preserve">and community </w:t>
                      </w:r>
                      <w:r>
                        <w:rPr>
                          <w:rFonts w:asciiTheme="minorHAnsi" w:hAnsiTheme="minorHAnsi" w:cstheme="minorHAnsi"/>
                          <w:lang w:val="en-AU"/>
                        </w:rPr>
                        <w:t xml:space="preserve">levels. </w:t>
                      </w:r>
                    </w:p>
                  </w:txbxContent>
                </v:textbox>
                <w10:anchorlock/>
              </v:shape>
            </w:pict>
          </mc:Fallback>
        </mc:AlternateContent>
      </w:r>
    </w:p>
    <w:p w14:paraId="50818217" w14:textId="77777777" w:rsidR="000A5B7F" w:rsidRDefault="000A5B7F" w:rsidP="00EF1E59">
      <w:pPr>
        <w:spacing w:after="0" w:line="240" w:lineRule="auto"/>
        <w:rPr>
          <w:rFonts w:asciiTheme="minorHAnsi" w:hAnsiTheme="minorHAnsi" w:cstheme="minorHAnsi"/>
        </w:rPr>
      </w:pPr>
    </w:p>
    <w:p w14:paraId="6DBCC213" w14:textId="0DCB8C0E" w:rsidR="00CE4D4E" w:rsidRDefault="00CE4D4E" w:rsidP="003B4AC8">
      <w:pPr>
        <w:pStyle w:val="Heading2"/>
        <w:numPr>
          <w:ilvl w:val="0"/>
          <w:numId w:val="41"/>
        </w:numPr>
        <w:rPr>
          <w:rFonts w:asciiTheme="minorHAnsi" w:hAnsiTheme="minorHAnsi" w:cstheme="minorHAnsi"/>
        </w:rPr>
      </w:pPr>
      <w:r w:rsidRPr="00D23642">
        <w:rPr>
          <w:rFonts w:ascii="Cambria" w:hAnsi="Cambria"/>
          <w:color w:val="094183"/>
          <w:sz w:val="24"/>
          <w:szCs w:val="24"/>
        </w:rPr>
        <w:t>E</w:t>
      </w:r>
      <w:r>
        <w:rPr>
          <w:rFonts w:ascii="Cambria" w:hAnsi="Cambria"/>
          <w:color w:val="094183"/>
          <w:sz w:val="24"/>
          <w:szCs w:val="24"/>
        </w:rPr>
        <w:t>nabling environment</w:t>
      </w:r>
      <w:r w:rsidR="00D006A5">
        <w:rPr>
          <w:rFonts w:ascii="Cambria" w:hAnsi="Cambria"/>
          <w:color w:val="094183"/>
          <w:sz w:val="24"/>
          <w:szCs w:val="24"/>
        </w:rPr>
        <w:t>s for disability inclusion</w:t>
      </w:r>
    </w:p>
    <w:p w14:paraId="31368098" w14:textId="7D6E514E" w:rsidR="00FB42B9" w:rsidRDefault="00FB42B9" w:rsidP="00EF1E59">
      <w:pPr>
        <w:spacing w:after="0" w:line="240" w:lineRule="auto"/>
        <w:rPr>
          <w:rFonts w:asciiTheme="minorHAnsi" w:hAnsiTheme="minorHAnsi" w:cstheme="minorHAnsi"/>
        </w:rPr>
      </w:pPr>
    </w:p>
    <w:p w14:paraId="77BA4277" w14:textId="7F76C763" w:rsidR="00745C4D" w:rsidRDefault="00745C4D" w:rsidP="00EF1E59">
      <w:pPr>
        <w:spacing w:after="0" w:line="240" w:lineRule="auto"/>
        <w:rPr>
          <w:rFonts w:asciiTheme="minorHAnsi" w:hAnsiTheme="minorHAnsi" w:cstheme="minorHAnsi"/>
        </w:rPr>
      </w:pPr>
      <w:r>
        <w:rPr>
          <w:rFonts w:asciiTheme="minorHAnsi" w:hAnsiTheme="minorHAnsi" w:cstheme="minorHAnsi"/>
        </w:rPr>
        <w:t>Since 2015, t</w:t>
      </w:r>
      <w:r w:rsidR="00CE4D4E">
        <w:rPr>
          <w:rFonts w:asciiTheme="minorHAnsi" w:hAnsiTheme="minorHAnsi" w:cstheme="minorHAnsi"/>
        </w:rPr>
        <w:t>he</w:t>
      </w:r>
      <w:r>
        <w:rPr>
          <w:rFonts w:asciiTheme="minorHAnsi" w:hAnsiTheme="minorHAnsi" w:cstheme="minorHAnsi"/>
        </w:rPr>
        <w:t xml:space="preserve"> Pacific has seen policy </w:t>
      </w:r>
      <w:r w:rsidR="00CE4D4E">
        <w:rPr>
          <w:rFonts w:asciiTheme="minorHAnsi" w:hAnsiTheme="minorHAnsi" w:cstheme="minorHAnsi"/>
        </w:rPr>
        <w:t>improvements addressing the rights of persons with disabilities in DRR</w:t>
      </w:r>
      <w:r w:rsidR="001B6A40">
        <w:rPr>
          <w:rFonts w:asciiTheme="minorHAnsi" w:hAnsiTheme="minorHAnsi" w:cstheme="minorHAnsi"/>
        </w:rPr>
        <w:t>,</w:t>
      </w:r>
      <w:r w:rsidR="00AC4D5D">
        <w:rPr>
          <w:rFonts w:asciiTheme="minorHAnsi" w:hAnsiTheme="minorHAnsi" w:cstheme="minorHAnsi"/>
        </w:rPr>
        <w:t xml:space="preserve"> but </w:t>
      </w:r>
      <w:r w:rsidR="00CE4D4E">
        <w:rPr>
          <w:rFonts w:asciiTheme="minorHAnsi" w:hAnsiTheme="minorHAnsi" w:cstheme="minorHAnsi"/>
        </w:rPr>
        <w:t xml:space="preserve">gaps </w:t>
      </w:r>
      <w:r>
        <w:rPr>
          <w:rFonts w:asciiTheme="minorHAnsi" w:hAnsiTheme="minorHAnsi" w:cstheme="minorHAnsi"/>
        </w:rPr>
        <w:t xml:space="preserve">and inconsistencies </w:t>
      </w:r>
      <w:r w:rsidR="00CE4D4E">
        <w:rPr>
          <w:rFonts w:asciiTheme="minorHAnsi" w:hAnsiTheme="minorHAnsi" w:cstheme="minorHAnsi"/>
        </w:rPr>
        <w:t>remain</w:t>
      </w:r>
      <w:r>
        <w:rPr>
          <w:rFonts w:asciiTheme="minorHAnsi" w:hAnsiTheme="minorHAnsi" w:cstheme="minorHAnsi"/>
        </w:rPr>
        <w:t xml:space="preserve">. There is </w:t>
      </w:r>
      <w:r w:rsidR="00163354">
        <w:rPr>
          <w:rFonts w:asciiTheme="minorHAnsi" w:hAnsiTheme="minorHAnsi" w:cstheme="minorHAnsi"/>
        </w:rPr>
        <w:t xml:space="preserve">an emerging concern </w:t>
      </w:r>
      <w:r>
        <w:rPr>
          <w:rFonts w:asciiTheme="minorHAnsi" w:hAnsiTheme="minorHAnsi" w:cstheme="minorHAnsi"/>
        </w:rPr>
        <w:t xml:space="preserve">that growing awareness </w:t>
      </w:r>
      <w:r w:rsidR="00163354">
        <w:rPr>
          <w:rFonts w:asciiTheme="minorHAnsi" w:hAnsiTheme="minorHAnsi" w:cstheme="minorHAnsi"/>
        </w:rPr>
        <w:t>is leading to</w:t>
      </w:r>
      <w:r>
        <w:rPr>
          <w:rFonts w:asciiTheme="minorHAnsi" w:hAnsiTheme="minorHAnsi" w:cstheme="minorHAnsi"/>
        </w:rPr>
        <w:t xml:space="preserve"> “box-ticking” without substantive policy direction or</w:t>
      </w:r>
      <w:r w:rsidR="00163354">
        <w:rPr>
          <w:rFonts w:asciiTheme="minorHAnsi" w:hAnsiTheme="minorHAnsi" w:cstheme="minorHAnsi"/>
        </w:rPr>
        <w:t xml:space="preserve"> </w:t>
      </w:r>
      <w:r>
        <w:rPr>
          <w:rFonts w:asciiTheme="minorHAnsi" w:hAnsiTheme="minorHAnsi" w:cstheme="minorHAnsi"/>
        </w:rPr>
        <w:t xml:space="preserve">implementation. </w:t>
      </w:r>
      <w:r w:rsidR="00F343B4">
        <w:rPr>
          <w:rFonts w:asciiTheme="minorHAnsi" w:hAnsiTheme="minorHAnsi" w:cstheme="minorHAnsi"/>
        </w:rPr>
        <w:t>I</w:t>
      </w:r>
      <w:r>
        <w:rPr>
          <w:rFonts w:asciiTheme="minorHAnsi" w:hAnsiTheme="minorHAnsi" w:cstheme="minorHAnsi"/>
        </w:rPr>
        <w:t>ncreasing references to disability in DRR policy are needed and should be welcomed</w:t>
      </w:r>
      <w:r w:rsidR="00F4487E">
        <w:rPr>
          <w:rFonts w:asciiTheme="minorHAnsi" w:hAnsiTheme="minorHAnsi" w:cstheme="minorHAnsi"/>
        </w:rPr>
        <w:t>; h</w:t>
      </w:r>
      <w:r w:rsidR="00F343B4">
        <w:rPr>
          <w:rFonts w:asciiTheme="minorHAnsi" w:hAnsiTheme="minorHAnsi" w:cstheme="minorHAnsi"/>
        </w:rPr>
        <w:t>owever</w:t>
      </w:r>
      <w:r>
        <w:rPr>
          <w:rFonts w:asciiTheme="minorHAnsi" w:hAnsiTheme="minorHAnsi" w:cstheme="minorHAnsi"/>
        </w:rPr>
        <w:t xml:space="preserve">, policy </w:t>
      </w:r>
      <w:r w:rsidR="00F343B4">
        <w:rPr>
          <w:rFonts w:asciiTheme="minorHAnsi" w:hAnsiTheme="minorHAnsi" w:cstheme="minorHAnsi"/>
        </w:rPr>
        <w:t xml:space="preserve">revisions </w:t>
      </w:r>
      <w:r>
        <w:rPr>
          <w:rFonts w:asciiTheme="minorHAnsi" w:hAnsiTheme="minorHAnsi" w:cstheme="minorHAnsi"/>
        </w:rPr>
        <w:t xml:space="preserve">alone </w:t>
      </w:r>
      <w:r w:rsidR="00F4487E">
        <w:rPr>
          <w:rFonts w:asciiTheme="minorHAnsi" w:hAnsiTheme="minorHAnsi" w:cstheme="minorHAnsi"/>
        </w:rPr>
        <w:t xml:space="preserve">are insufficient to establish </w:t>
      </w:r>
      <w:r>
        <w:rPr>
          <w:rFonts w:asciiTheme="minorHAnsi" w:hAnsiTheme="minorHAnsi" w:cstheme="minorHAnsi"/>
        </w:rPr>
        <w:t>an enabling environment for disability inclusion.</w:t>
      </w:r>
    </w:p>
    <w:p w14:paraId="20AF195D" w14:textId="2EDC5257" w:rsidR="00745C4D" w:rsidRDefault="00745C4D" w:rsidP="00EF1E59">
      <w:pPr>
        <w:spacing w:after="0" w:line="240" w:lineRule="auto"/>
        <w:rPr>
          <w:rFonts w:asciiTheme="minorHAnsi" w:hAnsiTheme="minorHAnsi" w:cstheme="minorHAnsi"/>
        </w:rPr>
      </w:pPr>
    </w:p>
    <w:p w14:paraId="554F9FF5" w14:textId="7C2603EA" w:rsidR="00F343B4" w:rsidRDefault="00F343B4" w:rsidP="00EF1E59">
      <w:pPr>
        <w:spacing w:after="0" w:line="240" w:lineRule="auto"/>
        <w:rPr>
          <w:rFonts w:asciiTheme="minorHAnsi" w:hAnsiTheme="minorHAnsi" w:cstheme="minorHAnsi"/>
        </w:rPr>
      </w:pPr>
      <w:r>
        <w:rPr>
          <w:rFonts w:asciiTheme="minorHAnsi" w:hAnsiTheme="minorHAnsi" w:cstheme="minorHAnsi"/>
        </w:rPr>
        <w:t>Reflecting Priority</w:t>
      </w:r>
      <w:r w:rsidR="00E7461E">
        <w:rPr>
          <w:rFonts w:asciiTheme="minorHAnsi" w:hAnsiTheme="minorHAnsi" w:cstheme="minorHAnsi"/>
        </w:rPr>
        <w:t xml:space="preserve"> 2</w:t>
      </w:r>
      <w:r>
        <w:rPr>
          <w:rFonts w:asciiTheme="minorHAnsi" w:hAnsiTheme="minorHAnsi" w:cstheme="minorHAnsi"/>
        </w:rPr>
        <w:t xml:space="preserve">, strategies </w:t>
      </w:r>
      <w:r w:rsidR="00F4487E">
        <w:rPr>
          <w:rFonts w:asciiTheme="minorHAnsi" w:hAnsiTheme="minorHAnsi" w:cstheme="minorHAnsi"/>
        </w:rPr>
        <w:t>for</w:t>
      </w:r>
      <w:r>
        <w:rPr>
          <w:rFonts w:asciiTheme="minorHAnsi" w:hAnsiTheme="minorHAnsi" w:cstheme="minorHAnsi"/>
        </w:rPr>
        <w:t xml:space="preserve"> develop</w:t>
      </w:r>
      <w:r w:rsidR="00552E37">
        <w:rPr>
          <w:rFonts w:asciiTheme="minorHAnsi" w:hAnsiTheme="minorHAnsi" w:cstheme="minorHAnsi"/>
        </w:rPr>
        <w:t xml:space="preserve">ing </w:t>
      </w:r>
      <w:r>
        <w:rPr>
          <w:rFonts w:asciiTheme="minorHAnsi" w:hAnsiTheme="minorHAnsi" w:cstheme="minorHAnsi"/>
        </w:rPr>
        <w:t xml:space="preserve">an enabling environment for DRR </w:t>
      </w:r>
      <w:r w:rsidR="00552E37">
        <w:rPr>
          <w:rFonts w:asciiTheme="minorHAnsi" w:hAnsiTheme="minorHAnsi" w:cstheme="minorHAnsi"/>
        </w:rPr>
        <w:t>requires a</w:t>
      </w:r>
      <w:r>
        <w:rPr>
          <w:rFonts w:asciiTheme="minorHAnsi" w:hAnsiTheme="minorHAnsi" w:cstheme="minorHAnsi"/>
        </w:rPr>
        <w:t xml:space="preserve"> multistakeholder approach across all levels.</w:t>
      </w:r>
      <w:r>
        <w:rPr>
          <w:rStyle w:val="FootnoteReference"/>
          <w:rFonts w:asciiTheme="minorHAnsi" w:hAnsiTheme="minorHAnsi" w:cstheme="minorHAnsi"/>
        </w:rPr>
        <w:footnoteReference w:id="37"/>
      </w:r>
      <w:r>
        <w:rPr>
          <w:rFonts w:asciiTheme="minorHAnsi" w:hAnsiTheme="minorHAnsi" w:cstheme="minorHAnsi"/>
        </w:rPr>
        <w:t xml:space="preserve"> This includes, facilitating dialogue on people’s “risk landscape”, recognising power relations between stakeholders, and the avoidance of risk reduction for one group at the expense of </w:t>
      </w:r>
      <w:r w:rsidR="00E7461E">
        <w:rPr>
          <w:rFonts w:asciiTheme="minorHAnsi" w:hAnsiTheme="minorHAnsi" w:cstheme="minorHAnsi"/>
        </w:rPr>
        <w:t xml:space="preserve">increased risk for </w:t>
      </w:r>
      <w:r>
        <w:rPr>
          <w:rFonts w:asciiTheme="minorHAnsi" w:hAnsiTheme="minorHAnsi" w:cstheme="minorHAnsi"/>
        </w:rPr>
        <w:t>another.</w:t>
      </w:r>
      <w:r>
        <w:rPr>
          <w:rStyle w:val="FootnoteReference"/>
          <w:rFonts w:asciiTheme="minorHAnsi" w:hAnsiTheme="minorHAnsi" w:cstheme="minorHAnsi"/>
        </w:rPr>
        <w:footnoteReference w:id="38"/>
      </w:r>
      <w:r>
        <w:rPr>
          <w:rFonts w:asciiTheme="minorHAnsi" w:hAnsiTheme="minorHAnsi" w:cstheme="minorHAnsi"/>
        </w:rPr>
        <w:t xml:space="preserve"> </w:t>
      </w:r>
      <w:r w:rsidR="00E7461E">
        <w:rPr>
          <w:rFonts w:asciiTheme="minorHAnsi" w:hAnsiTheme="minorHAnsi" w:cstheme="minorHAnsi"/>
        </w:rPr>
        <w:t xml:space="preserve">These considerations are </w:t>
      </w:r>
      <w:r w:rsidR="00552E37">
        <w:rPr>
          <w:rFonts w:asciiTheme="minorHAnsi" w:hAnsiTheme="minorHAnsi" w:cstheme="minorHAnsi"/>
        </w:rPr>
        <w:t>equally</w:t>
      </w:r>
      <w:r w:rsidR="00E7461E">
        <w:rPr>
          <w:rFonts w:asciiTheme="minorHAnsi" w:hAnsiTheme="minorHAnsi" w:cstheme="minorHAnsi"/>
        </w:rPr>
        <w:t xml:space="preserve"> central</w:t>
      </w:r>
      <w:r w:rsidR="00552E37">
        <w:rPr>
          <w:rFonts w:asciiTheme="minorHAnsi" w:hAnsiTheme="minorHAnsi" w:cstheme="minorHAnsi"/>
        </w:rPr>
        <w:t>, if not more pertinent,</w:t>
      </w:r>
      <w:r w:rsidR="00E7461E">
        <w:rPr>
          <w:rFonts w:asciiTheme="minorHAnsi" w:hAnsiTheme="minorHAnsi" w:cstheme="minorHAnsi"/>
        </w:rPr>
        <w:t xml:space="preserve"> to disability inclusi</w:t>
      </w:r>
      <w:r w:rsidR="00552E37">
        <w:rPr>
          <w:rFonts w:asciiTheme="minorHAnsi" w:hAnsiTheme="minorHAnsi" w:cstheme="minorHAnsi"/>
        </w:rPr>
        <w:t>ve DRR</w:t>
      </w:r>
      <w:r w:rsidR="00E7461E">
        <w:rPr>
          <w:rFonts w:asciiTheme="minorHAnsi" w:hAnsiTheme="minorHAnsi" w:cstheme="minorHAnsi"/>
        </w:rPr>
        <w:t>.</w:t>
      </w:r>
    </w:p>
    <w:p w14:paraId="7F13866E" w14:textId="66772292" w:rsidR="00745C4D" w:rsidRDefault="00745C4D" w:rsidP="00EF1E59">
      <w:pPr>
        <w:spacing w:after="0" w:line="240" w:lineRule="auto"/>
        <w:rPr>
          <w:rFonts w:asciiTheme="minorHAnsi" w:hAnsiTheme="minorHAnsi" w:cstheme="minorHAnsi"/>
        </w:rPr>
      </w:pPr>
    </w:p>
    <w:p w14:paraId="5EA4FB07" w14:textId="32168068" w:rsidR="00552E37" w:rsidRDefault="00552E37" w:rsidP="00EF1E59">
      <w:pPr>
        <w:spacing w:after="0" w:line="240" w:lineRule="auto"/>
        <w:rPr>
          <w:rFonts w:asciiTheme="minorHAnsi" w:hAnsiTheme="minorHAnsi" w:cstheme="minorHAnsi"/>
        </w:rPr>
      </w:pPr>
      <w:r>
        <w:rPr>
          <w:rFonts w:asciiTheme="minorHAnsi" w:hAnsiTheme="minorHAnsi" w:cstheme="minorHAnsi"/>
        </w:rPr>
        <w:t>National OPD representatives reported more opportunities for engagement with government and other DRR stakeholders</w:t>
      </w:r>
      <w:r w:rsidR="00AC4D5D">
        <w:rPr>
          <w:rFonts w:asciiTheme="minorHAnsi" w:hAnsiTheme="minorHAnsi" w:cstheme="minorHAnsi"/>
        </w:rPr>
        <w:t xml:space="preserve"> since 2015</w:t>
      </w:r>
      <w:r>
        <w:rPr>
          <w:rFonts w:asciiTheme="minorHAnsi" w:hAnsiTheme="minorHAnsi" w:cstheme="minorHAnsi"/>
        </w:rPr>
        <w:t xml:space="preserve">. A representative of Fiji’s Meteorological Service reported their first engagement with the Fiji Deaf Association had been a “real eye opener” in terms of </w:t>
      </w:r>
      <w:r w:rsidR="00654E78">
        <w:rPr>
          <w:rFonts w:asciiTheme="minorHAnsi" w:hAnsiTheme="minorHAnsi" w:cstheme="minorHAnsi"/>
        </w:rPr>
        <w:t xml:space="preserve">the need to build internal capacity to </w:t>
      </w:r>
      <w:r>
        <w:rPr>
          <w:rFonts w:asciiTheme="minorHAnsi" w:hAnsiTheme="minorHAnsi" w:cstheme="minorHAnsi"/>
        </w:rPr>
        <w:t>ensur</w:t>
      </w:r>
      <w:r w:rsidR="00654E78">
        <w:rPr>
          <w:rFonts w:asciiTheme="minorHAnsi" w:hAnsiTheme="minorHAnsi" w:cstheme="minorHAnsi"/>
        </w:rPr>
        <w:t>e</w:t>
      </w:r>
      <w:r>
        <w:rPr>
          <w:rFonts w:asciiTheme="minorHAnsi" w:hAnsiTheme="minorHAnsi" w:cstheme="minorHAnsi"/>
        </w:rPr>
        <w:t xml:space="preserve"> everyone can understand the information the Service provides. </w:t>
      </w:r>
      <w:r w:rsidR="00654E78">
        <w:rPr>
          <w:rFonts w:asciiTheme="minorHAnsi" w:hAnsiTheme="minorHAnsi" w:cstheme="minorHAnsi"/>
        </w:rPr>
        <w:t xml:space="preserve">Fiji’s Department of Mineral Resources plays a lead role in coastal preparedness and tsunami early warning. The </w:t>
      </w:r>
      <w:r w:rsidR="00163354">
        <w:rPr>
          <w:rFonts w:asciiTheme="minorHAnsi" w:hAnsiTheme="minorHAnsi" w:cstheme="minorHAnsi"/>
        </w:rPr>
        <w:t>D</w:t>
      </w:r>
      <w:r w:rsidR="00654E78">
        <w:rPr>
          <w:rFonts w:asciiTheme="minorHAnsi" w:hAnsiTheme="minorHAnsi" w:cstheme="minorHAnsi"/>
        </w:rPr>
        <w:t>epartment noted they, and the Tsunami Working Group that includes all major government agencies under the coordination of</w:t>
      </w:r>
      <w:r w:rsidR="006D4383">
        <w:rPr>
          <w:rFonts w:asciiTheme="minorHAnsi" w:hAnsiTheme="minorHAnsi" w:cstheme="minorHAnsi"/>
        </w:rPr>
        <w:t xml:space="preserve"> the</w:t>
      </w:r>
      <w:r w:rsidR="00654E78">
        <w:rPr>
          <w:rFonts w:asciiTheme="minorHAnsi" w:hAnsiTheme="minorHAnsi" w:cstheme="minorHAnsi"/>
        </w:rPr>
        <w:t xml:space="preserve"> National Disaster Management Office (NDMO), were </w:t>
      </w:r>
      <w:r w:rsidR="006D4383">
        <w:rPr>
          <w:rFonts w:asciiTheme="minorHAnsi" w:hAnsiTheme="minorHAnsi" w:cstheme="minorHAnsi"/>
        </w:rPr>
        <w:t>y</w:t>
      </w:r>
      <w:r w:rsidR="00654E78">
        <w:rPr>
          <w:rFonts w:asciiTheme="minorHAnsi" w:hAnsiTheme="minorHAnsi" w:cstheme="minorHAnsi"/>
        </w:rPr>
        <w:t xml:space="preserve">et to involve OPDs. </w:t>
      </w:r>
    </w:p>
    <w:p w14:paraId="488A0442" w14:textId="71D2381B" w:rsidR="009714B8" w:rsidRDefault="009714B8" w:rsidP="00EF1E59">
      <w:pPr>
        <w:spacing w:after="0" w:line="240" w:lineRule="auto"/>
        <w:rPr>
          <w:rFonts w:asciiTheme="minorHAnsi" w:hAnsiTheme="minorHAnsi" w:cstheme="minorHAnsi"/>
        </w:rPr>
      </w:pPr>
    </w:p>
    <w:p w14:paraId="28BF65BC" w14:textId="7155B57C" w:rsidR="009714B8" w:rsidRDefault="009714B8" w:rsidP="00EF1E59">
      <w:pPr>
        <w:spacing w:after="0" w:line="240" w:lineRule="auto"/>
        <w:rPr>
          <w:rFonts w:asciiTheme="minorHAnsi" w:hAnsiTheme="minorHAnsi" w:cstheme="minorHAnsi"/>
        </w:rPr>
      </w:pPr>
      <w:r>
        <w:rPr>
          <w:rFonts w:asciiTheme="minorHAnsi" w:hAnsiTheme="minorHAnsi" w:cstheme="minorHAnsi"/>
        </w:rPr>
        <w:t xml:space="preserve">An OPD representative from Vanuatu reported that OPD </w:t>
      </w:r>
      <w:r w:rsidR="00163354">
        <w:rPr>
          <w:rFonts w:asciiTheme="minorHAnsi" w:hAnsiTheme="minorHAnsi" w:cstheme="minorHAnsi"/>
        </w:rPr>
        <w:t>engagement in local DRR processes is</w:t>
      </w:r>
      <w:r>
        <w:rPr>
          <w:rFonts w:asciiTheme="minorHAnsi" w:hAnsiTheme="minorHAnsi" w:cstheme="minorHAnsi"/>
        </w:rPr>
        <w:t xml:space="preserve"> contributing to growing respect </w:t>
      </w:r>
      <w:r w:rsidR="00CD1123">
        <w:rPr>
          <w:rFonts w:asciiTheme="minorHAnsi" w:hAnsiTheme="minorHAnsi" w:cstheme="minorHAnsi"/>
        </w:rPr>
        <w:t xml:space="preserve">for </w:t>
      </w:r>
      <w:r>
        <w:rPr>
          <w:rFonts w:asciiTheme="minorHAnsi" w:hAnsiTheme="minorHAnsi" w:cstheme="minorHAnsi"/>
        </w:rPr>
        <w:t xml:space="preserve">persons with disabilities and </w:t>
      </w:r>
      <w:r w:rsidR="00CD1123">
        <w:rPr>
          <w:rFonts w:asciiTheme="minorHAnsi" w:hAnsiTheme="minorHAnsi" w:cstheme="minorHAnsi"/>
        </w:rPr>
        <w:t xml:space="preserve">improved </w:t>
      </w:r>
      <w:r>
        <w:rPr>
          <w:rFonts w:asciiTheme="minorHAnsi" w:hAnsiTheme="minorHAnsi" w:cstheme="minorHAnsi"/>
        </w:rPr>
        <w:t>understanding</w:t>
      </w:r>
      <w:r w:rsidR="00CD1123">
        <w:rPr>
          <w:rFonts w:asciiTheme="minorHAnsi" w:hAnsiTheme="minorHAnsi" w:cstheme="minorHAnsi"/>
        </w:rPr>
        <w:t>s</w:t>
      </w:r>
      <w:r>
        <w:rPr>
          <w:rFonts w:asciiTheme="minorHAnsi" w:hAnsiTheme="minorHAnsi" w:cstheme="minorHAnsi"/>
        </w:rPr>
        <w:t xml:space="preserve"> among pe</w:t>
      </w:r>
      <w:r w:rsidR="00CD1123">
        <w:rPr>
          <w:rFonts w:asciiTheme="minorHAnsi" w:hAnsiTheme="minorHAnsi" w:cstheme="minorHAnsi"/>
        </w:rPr>
        <w:t xml:space="preserve">rsons </w:t>
      </w:r>
      <w:r>
        <w:rPr>
          <w:rFonts w:asciiTheme="minorHAnsi" w:hAnsiTheme="minorHAnsi" w:cstheme="minorHAnsi"/>
        </w:rPr>
        <w:t xml:space="preserve">without disabilities. OPDs </w:t>
      </w:r>
      <w:r w:rsidR="001156AF">
        <w:rPr>
          <w:rFonts w:asciiTheme="minorHAnsi" w:hAnsiTheme="minorHAnsi" w:cstheme="minorHAnsi"/>
        </w:rPr>
        <w:t>from Timor-Leste, Samoa, and Solomon</w:t>
      </w:r>
      <w:r w:rsidR="00CD1123">
        <w:rPr>
          <w:rFonts w:asciiTheme="minorHAnsi" w:hAnsiTheme="minorHAnsi" w:cstheme="minorHAnsi"/>
        </w:rPr>
        <w:t xml:space="preserve"> Island</w:t>
      </w:r>
      <w:r w:rsidR="001156AF">
        <w:rPr>
          <w:rFonts w:asciiTheme="minorHAnsi" w:hAnsiTheme="minorHAnsi" w:cstheme="minorHAnsi"/>
        </w:rPr>
        <w:t xml:space="preserve">s </w:t>
      </w:r>
      <w:r>
        <w:rPr>
          <w:rFonts w:asciiTheme="minorHAnsi" w:hAnsiTheme="minorHAnsi" w:cstheme="minorHAnsi"/>
        </w:rPr>
        <w:t xml:space="preserve">noted much still needed to </w:t>
      </w:r>
      <w:r w:rsidR="001156AF">
        <w:rPr>
          <w:rFonts w:asciiTheme="minorHAnsi" w:hAnsiTheme="minorHAnsi" w:cstheme="minorHAnsi"/>
        </w:rPr>
        <w:t xml:space="preserve">be done to raise awareness at the national level. </w:t>
      </w:r>
      <w:r w:rsidR="00CD1123">
        <w:rPr>
          <w:rFonts w:asciiTheme="minorHAnsi" w:hAnsiTheme="minorHAnsi" w:cstheme="minorHAnsi"/>
        </w:rPr>
        <w:t>W</w:t>
      </w:r>
      <w:r w:rsidR="001156AF">
        <w:rPr>
          <w:rFonts w:asciiTheme="minorHAnsi" w:hAnsiTheme="minorHAnsi" w:cstheme="minorHAnsi"/>
        </w:rPr>
        <w:t>he</w:t>
      </w:r>
      <w:r w:rsidR="00CD1123">
        <w:rPr>
          <w:rFonts w:asciiTheme="minorHAnsi" w:hAnsiTheme="minorHAnsi" w:cstheme="minorHAnsi"/>
        </w:rPr>
        <w:t>n</w:t>
      </w:r>
      <w:r w:rsidR="001156AF">
        <w:rPr>
          <w:rFonts w:asciiTheme="minorHAnsi" w:hAnsiTheme="minorHAnsi" w:cstheme="minorHAnsi"/>
        </w:rPr>
        <w:t xml:space="preserve"> OPDs had been involved </w:t>
      </w:r>
      <w:r w:rsidR="00CD1123">
        <w:rPr>
          <w:rFonts w:asciiTheme="minorHAnsi" w:hAnsiTheme="minorHAnsi" w:cstheme="minorHAnsi"/>
        </w:rPr>
        <w:t xml:space="preserve">by NDMOs </w:t>
      </w:r>
      <w:r w:rsidR="001156AF">
        <w:rPr>
          <w:rFonts w:asciiTheme="minorHAnsi" w:hAnsiTheme="minorHAnsi" w:cstheme="minorHAnsi"/>
        </w:rPr>
        <w:t xml:space="preserve">in </w:t>
      </w:r>
      <w:r w:rsidR="00CD1123">
        <w:rPr>
          <w:rFonts w:asciiTheme="minorHAnsi" w:hAnsiTheme="minorHAnsi" w:cstheme="minorHAnsi"/>
        </w:rPr>
        <w:t xml:space="preserve">policy </w:t>
      </w:r>
      <w:r w:rsidR="001156AF">
        <w:rPr>
          <w:rFonts w:asciiTheme="minorHAnsi" w:hAnsiTheme="minorHAnsi" w:cstheme="minorHAnsi"/>
        </w:rPr>
        <w:t xml:space="preserve">reviews, that involvement was </w:t>
      </w:r>
      <w:r w:rsidR="00163354">
        <w:rPr>
          <w:rFonts w:asciiTheme="minorHAnsi" w:hAnsiTheme="minorHAnsi" w:cstheme="minorHAnsi"/>
        </w:rPr>
        <w:t>minimal</w:t>
      </w:r>
      <w:r w:rsidR="001156AF">
        <w:rPr>
          <w:rFonts w:asciiTheme="minorHAnsi" w:hAnsiTheme="minorHAnsi" w:cstheme="minorHAnsi"/>
        </w:rPr>
        <w:t xml:space="preserve">. An OPD representative from Tonga noted connecting with government continued to be challenging. </w:t>
      </w:r>
    </w:p>
    <w:p w14:paraId="21A99B82" w14:textId="02BF893F" w:rsidR="001156AF" w:rsidRDefault="001156AF" w:rsidP="00EF1E59">
      <w:pPr>
        <w:spacing w:after="0" w:line="240" w:lineRule="auto"/>
        <w:rPr>
          <w:rFonts w:asciiTheme="minorHAnsi" w:hAnsiTheme="minorHAnsi" w:cstheme="minorHAnsi"/>
        </w:rPr>
      </w:pPr>
    </w:p>
    <w:p w14:paraId="54FE3F89" w14:textId="0ACC2FC8" w:rsidR="009A5A86" w:rsidRDefault="001156AF" w:rsidP="00EF1E59">
      <w:pPr>
        <w:spacing w:after="0" w:line="240" w:lineRule="auto"/>
        <w:rPr>
          <w:rFonts w:asciiTheme="minorHAnsi" w:hAnsiTheme="minorHAnsi" w:cstheme="minorHAnsi"/>
        </w:rPr>
      </w:pPr>
      <w:r>
        <w:rPr>
          <w:rFonts w:asciiTheme="minorHAnsi" w:hAnsiTheme="minorHAnsi" w:cstheme="minorHAnsi"/>
        </w:rPr>
        <w:t>The quality of engagement with government and other DRR stakeholders was reported as a concern by national OPD representatives. This included officials attempting to “interpret” the needs of persons with disabilities without consultation.</w:t>
      </w:r>
      <w:r w:rsidR="009779DE">
        <w:rPr>
          <w:rFonts w:asciiTheme="minorHAnsi" w:hAnsiTheme="minorHAnsi" w:cstheme="minorHAnsi"/>
        </w:rPr>
        <w:t xml:space="preserve"> Officials were also reported as “consulting” but not implementing. Implementation gaps at local levels were a common concern. Reflecting on the ongoing lack of consultations</w:t>
      </w:r>
      <w:r w:rsidR="00AC4D5D">
        <w:rPr>
          <w:rFonts w:asciiTheme="minorHAnsi" w:hAnsiTheme="minorHAnsi" w:cstheme="minorHAnsi"/>
        </w:rPr>
        <w:t>,</w:t>
      </w:r>
      <w:r w:rsidR="009779DE">
        <w:rPr>
          <w:rFonts w:asciiTheme="minorHAnsi" w:hAnsiTheme="minorHAnsi" w:cstheme="minorHAnsi"/>
        </w:rPr>
        <w:t xml:space="preserve"> a sen</w:t>
      </w:r>
      <w:r w:rsidR="001B6A40">
        <w:rPr>
          <w:rFonts w:asciiTheme="minorHAnsi" w:hAnsiTheme="minorHAnsi" w:cstheme="minorHAnsi"/>
        </w:rPr>
        <w:t>i</w:t>
      </w:r>
      <w:r w:rsidR="009779DE">
        <w:rPr>
          <w:rFonts w:asciiTheme="minorHAnsi" w:hAnsiTheme="minorHAnsi" w:cstheme="minorHAnsi"/>
        </w:rPr>
        <w:t>or OPD representative questioned if OPDs are engaging enough</w:t>
      </w:r>
      <w:r w:rsidR="009A5A86">
        <w:rPr>
          <w:rFonts w:asciiTheme="minorHAnsi" w:hAnsiTheme="minorHAnsi" w:cstheme="minorHAnsi"/>
        </w:rPr>
        <w:t xml:space="preserve"> themselves</w:t>
      </w:r>
      <w:r w:rsidR="00AC4D5D">
        <w:rPr>
          <w:rFonts w:asciiTheme="minorHAnsi" w:hAnsiTheme="minorHAnsi" w:cstheme="minorHAnsi"/>
        </w:rPr>
        <w:t xml:space="preserve"> and </w:t>
      </w:r>
      <w:r w:rsidR="009779DE">
        <w:rPr>
          <w:rFonts w:asciiTheme="minorHAnsi" w:hAnsiTheme="minorHAnsi" w:cstheme="minorHAnsi"/>
        </w:rPr>
        <w:t xml:space="preserve">if OPDs are always providing accurate information to DRR stakeholders. </w:t>
      </w:r>
    </w:p>
    <w:p w14:paraId="27DF83D3" w14:textId="37C30B0F" w:rsidR="00552E37" w:rsidRDefault="00552E37" w:rsidP="00EF1E59">
      <w:pPr>
        <w:spacing w:after="0" w:line="240" w:lineRule="auto"/>
        <w:rPr>
          <w:rFonts w:asciiTheme="minorHAnsi" w:hAnsiTheme="minorHAnsi" w:cstheme="minorHAnsi"/>
        </w:rPr>
      </w:pPr>
    </w:p>
    <w:p w14:paraId="508BFF1D" w14:textId="04B840EB" w:rsidR="009A5A86" w:rsidRDefault="009A5A86" w:rsidP="00EF1E59">
      <w:pPr>
        <w:spacing w:after="0" w:line="240" w:lineRule="auto"/>
        <w:rPr>
          <w:rFonts w:asciiTheme="minorHAnsi" w:hAnsiTheme="minorHAnsi" w:cstheme="minorHAnsi"/>
        </w:rPr>
      </w:pPr>
      <w:r w:rsidRPr="00B1698F">
        <w:rPr>
          <w:rFonts w:asciiTheme="minorHAnsi" w:hAnsiTheme="minorHAnsi" w:cstheme="minorHAnsi"/>
          <w:noProof/>
          <w:color w:val="2B579A"/>
          <w:shd w:val="clear" w:color="auto" w:fill="E6E6E6"/>
        </w:rPr>
        <mc:AlternateContent>
          <mc:Choice Requires="wps">
            <w:drawing>
              <wp:inline distT="0" distB="0" distL="0" distR="0" wp14:anchorId="2B9F3D22" wp14:editId="16F8F8F4">
                <wp:extent cx="5581650" cy="1404620"/>
                <wp:effectExtent l="0" t="0" r="19050" b="177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solidFill>
                          <a:srgbClr val="FFFFFF"/>
                        </a:solidFill>
                        <a:ln w="9525">
                          <a:solidFill>
                            <a:srgbClr val="094183"/>
                          </a:solidFill>
                          <a:miter lim="800000"/>
                          <a:headEnd/>
                          <a:tailEnd/>
                        </a:ln>
                      </wps:spPr>
                      <wps:txbx>
                        <w:txbxContent>
                          <w:p w14:paraId="25C6CC03" w14:textId="3F46D77D" w:rsidR="009A5A86" w:rsidRPr="00C61F37" w:rsidRDefault="009D1120" w:rsidP="009A5A86">
                            <w:pPr>
                              <w:spacing w:after="0" w:line="240" w:lineRule="auto"/>
                              <w:rPr>
                                <w:rFonts w:asciiTheme="minorHAnsi" w:hAnsiTheme="minorHAnsi" w:cstheme="minorHAnsi"/>
                                <w:lang w:val="en-AU"/>
                              </w:rPr>
                            </w:pPr>
                            <w:r>
                              <w:rPr>
                                <w:rFonts w:asciiTheme="minorHAnsi" w:hAnsiTheme="minorHAnsi" w:cstheme="minorHAnsi"/>
                                <w:lang w:val="en-AU"/>
                              </w:rPr>
                              <w:t xml:space="preserve">OPDs are increasingly engaging with, and being consulted by, government in the implementation of the Sendai Framework. However, </w:t>
                            </w:r>
                            <w:r w:rsidR="00AC4D5D">
                              <w:rPr>
                                <w:rFonts w:asciiTheme="minorHAnsi" w:hAnsiTheme="minorHAnsi" w:cstheme="minorHAnsi"/>
                                <w:lang w:val="en-AU"/>
                              </w:rPr>
                              <w:t xml:space="preserve">consulting </w:t>
                            </w:r>
                            <w:r>
                              <w:rPr>
                                <w:rFonts w:asciiTheme="minorHAnsi" w:hAnsiTheme="minorHAnsi" w:cstheme="minorHAnsi"/>
                                <w:lang w:val="en-AU"/>
                              </w:rPr>
                              <w:t xml:space="preserve">with OPDs </w:t>
                            </w:r>
                            <w:r w:rsidR="00AC4D5D">
                              <w:rPr>
                                <w:rFonts w:asciiTheme="minorHAnsi" w:hAnsiTheme="minorHAnsi" w:cstheme="minorHAnsi"/>
                                <w:lang w:val="en-AU"/>
                              </w:rPr>
                              <w:t xml:space="preserve">is </w:t>
                            </w:r>
                            <w:r>
                              <w:rPr>
                                <w:rFonts w:asciiTheme="minorHAnsi" w:hAnsiTheme="minorHAnsi" w:cstheme="minorHAnsi"/>
                                <w:lang w:val="en-AU"/>
                              </w:rPr>
                              <w:t>often treated as a box to tick. More substantive engagement with OPDs and persons with disabilities is needed from design to the delivery and evaluation of DRR programmes and initiatives.</w:t>
                            </w:r>
                          </w:p>
                        </w:txbxContent>
                      </wps:txbx>
                      <wps:bodyPr rot="0" vert="horz" wrap="square" lIns="91440" tIns="45720" rIns="91440" bIns="45720" anchor="t" anchorCtr="0">
                        <a:spAutoFit/>
                      </wps:bodyPr>
                    </wps:wsp>
                  </a:graphicData>
                </a:graphic>
              </wp:inline>
            </w:drawing>
          </mc:Choice>
          <mc:Fallback>
            <w:pict>
              <v:shape w14:anchorId="2B9F3D22" id="Text Box 6" o:spid="_x0000_s1031" type="#_x0000_t202" style="width:439.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afXGQIAACcEAAAOAAAAZHJzL2Uyb0RvYy54bWysk92O0zAQhe+ReAfL9zRJSUobNV0tXYqQ&#10;lh9p4QEcx2ksHI+x3Sbl6Rk73W61wA0iF5adsY9nvjle34y9IkdhnQRd0WyWUiI0h0bqfUW/fd29&#10;WlLiPNMNU6BFRU/C0ZvNyxfrwZRiDh2oRliCItqVg6lo570pk8TxTvTMzcAIjcEWbM88Lu0+aSwb&#10;UL1XyTxNF8kAtjEWuHAO/95NQbqJ+m0ruP/ctk54oiqKufk42jjWYUw2a1buLTOd5Oc02D9k0TOp&#10;8dKL1B3zjBys/E2ql9yCg9bPOPQJtK3kItaA1WTps2oeOmZErAXhOHPB5P6fLP90fDBfLPHjWxix&#10;gbEIZ+6Bf3dEw7Zjei9urYWhE6zBi7OALBmMK89HA2pXuiBSDx+hwSazg4coNLa2D1SwToLq2IDT&#10;BboYPeH4syiW2aLAEMdYlqf5Yh7bkrDy8bixzr8X0JMwqajFrkZ5drx3PqTDysct4TYHSjY7qVRc&#10;2H29VZYcGTpgF79YwbNtSpOhoqtiXkwE/iqRrvJs+fpPEr30aGUl+4ou0/BN5grc3ukmGs0zqaY5&#10;pqz0GWRgN1H0Yz0S2SCUcDZwraE5IVkLk3PxpeGkA/uTkgFdW1H348CsoER90NidVZbnweZxkRdv&#10;ECWx15H6OsI0R6mKekqm6dbHpxG5mVvs4k5Gvk+ZnFNGN0bs55cT7H69jrue3vfmFwAAAP//AwBQ&#10;SwMEFAAGAAgAAAAhAFGa76bbAAAABQEAAA8AAABkcnMvZG93bnJldi54bWxMj8FuwjAQRO9I/IO1&#10;lXoDhxwCDXFQRVvUY6GVuJp4SSLidWSbkPbru+2lvYw0mtXM22Iz2k4M6EPrSMFinoBAqpxpqVbw&#10;8f4yW4EIUZPRnSNU8IkBNuV0UujcuBvtcTjEWnAJhVwraGLscylD1aDVYe56JM7Ozlsd2fpaGq9v&#10;XG47mSZJJq1uiRca3eO2wepyuFoFx6dd9jruhzfTPie7r2xpLv4Ylbq/Gx/XICKO8e8YfvAZHUpm&#10;OrkrmSA6BfxI/FXOVssHticFabpIQZaF/E9ffgMAAP//AwBQSwECLQAUAAYACAAAACEAtoM4kv4A&#10;AADhAQAAEwAAAAAAAAAAAAAAAAAAAAAAW0NvbnRlbnRfVHlwZXNdLnhtbFBLAQItABQABgAIAAAA&#10;IQA4/SH/1gAAAJQBAAALAAAAAAAAAAAAAAAAAC8BAABfcmVscy8ucmVsc1BLAQItABQABgAIAAAA&#10;IQDb4afXGQIAACcEAAAOAAAAAAAAAAAAAAAAAC4CAABkcnMvZTJvRG9jLnhtbFBLAQItABQABgAI&#10;AAAAIQBRmu+m2wAAAAUBAAAPAAAAAAAAAAAAAAAAAHMEAABkcnMvZG93bnJldi54bWxQSwUGAAAA&#10;AAQABADzAAAAewUAAAAA&#10;" strokecolor="#094183">
                <v:textbox style="mso-fit-shape-to-text:t">
                  <w:txbxContent>
                    <w:p w14:paraId="25C6CC03" w14:textId="3F46D77D" w:rsidR="009A5A86" w:rsidRPr="00C61F37" w:rsidRDefault="009D1120" w:rsidP="009A5A86">
                      <w:pPr>
                        <w:spacing w:after="0" w:line="240" w:lineRule="auto"/>
                        <w:rPr>
                          <w:rFonts w:asciiTheme="minorHAnsi" w:hAnsiTheme="minorHAnsi" w:cstheme="minorHAnsi"/>
                          <w:lang w:val="en-AU"/>
                        </w:rPr>
                      </w:pPr>
                      <w:r>
                        <w:rPr>
                          <w:rFonts w:asciiTheme="minorHAnsi" w:hAnsiTheme="minorHAnsi" w:cstheme="minorHAnsi"/>
                          <w:lang w:val="en-AU"/>
                        </w:rPr>
                        <w:t xml:space="preserve">OPDs are increasingly engaging with, and being consulted by, government in the implementation of the Sendai Framework. However, </w:t>
                      </w:r>
                      <w:r w:rsidR="00AC4D5D">
                        <w:rPr>
                          <w:rFonts w:asciiTheme="minorHAnsi" w:hAnsiTheme="minorHAnsi" w:cstheme="minorHAnsi"/>
                          <w:lang w:val="en-AU"/>
                        </w:rPr>
                        <w:t xml:space="preserve">consulting </w:t>
                      </w:r>
                      <w:r>
                        <w:rPr>
                          <w:rFonts w:asciiTheme="minorHAnsi" w:hAnsiTheme="minorHAnsi" w:cstheme="minorHAnsi"/>
                          <w:lang w:val="en-AU"/>
                        </w:rPr>
                        <w:t xml:space="preserve">with OPDs </w:t>
                      </w:r>
                      <w:r w:rsidR="00AC4D5D">
                        <w:rPr>
                          <w:rFonts w:asciiTheme="minorHAnsi" w:hAnsiTheme="minorHAnsi" w:cstheme="minorHAnsi"/>
                          <w:lang w:val="en-AU"/>
                        </w:rPr>
                        <w:t xml:space="preserve">is </w:t>
                      </w:r>
                      <w:r>
                        <w:rPr>
                          <w:rFonts w:asciiTheme="minorHAnsi" w:hAnsiTheme="minorHAnsi" w:cstheme="minorHAnsi"/>
                          <w:lang w:val="en-AU"/>
                        </w:rPr>
                        <w:t>often treated as a box to tick. More substantive engagement with OPDs and persons with disabilities is needed from design to the delivery and evaluation of DRR programmes and initiatives.</w:t>
                      </w:r>
                    </w:p>
                  </w:txbxContent>
                </v:textbox>
                <w10:anchorlock/>
              </v:shape>
            </w:pict>
          </mc:Fallback>
        </mc:AlternateContent>
      </w:r>
    </w:p>
    <w:p w14:paraId="7A14D705" w14:textId="77777777" w:rsidR="009A5A86" w:rsidRDefault="009A5A86" w:rsidP="00C70247">
      <w:pPr>
        <w:pStyle w:val="Heading2"/>
        <w:rPr>
          <w:rFonts w:ascii="Cambria" w:hAnsi="Cambria"/>
          <w:color w:val="094183"/>
          <w:sz w:val="24"/>
          <w:szCs w:val="24"/>
        </w:rPr>
      </w:pPr>
    </w:p>
    <w:p w14:paraId="0000A7FE" w14:textId="52AC0363" w:rsidR="00C70247" w:rsidRDefault="00C70247" w:rsidP="003B4AC8">
      <w:pPr>
        <w:pStyle w:val="Heading2"/>
        <w:numPr>
          <w:ilvl w:val="0"/>
          <w:numId w:val="41"/>
        </w:numPr>
        <w:rPr>
          <w:rFonts w:ascii="Cambria" w:hAnsi="Cambria"/>
          <w:color w:val="094183"/>
          <w:sz w:val="24"/>
          <w:szCs w:val="24"/>
        </w:rPr>
      </w:pPr>
      <w:r w:rsidRPr="46BA6153">
        <w:rPr>
          <w:rFonts w:ascii="Cambria" w:hAnsi="Cambria"/>
          <w:color w:val="094183"/>
          <w:sz w:val="24"/>
          <w:szCs w:val="24"/>
        </w:rPr>
        <w:t>Equity as policy outcome</w:t>
      </w:r>
    </w:p>
    <w:p w14:paraId="0DC64983" w14:textId="13B9059B" w:rsidR="001A02CD" w:rsidRDefault="001A02CD" w:rsidP="006D4383">
      <w:pPr>
        <w:spacing w:after="0" w:line="240" w:lineRule="auto"/>
        <w:rPr>
          <w:rFonts w:asciiTheme="minorHAnsi" w:hAnsiTheme="minorHAnsi" w:cstheme="minorHAnsi"/>
        </w:rPr>
      </w:pPr>
    </w:p>
    <w:p w14:paraId="3C18D88F" w14:textId="73749C60" w:rsidR="009A5A86" w:rsidRDefault="009A5A86" w:rsidP="006D4383">
      <w:pPr>
        <w:spacing w:after="0" w:line="240" w:lineRule="auto"/>
        <w:rPr>
          <w:rFonts w:asciiTheme="minorHAnsi" w:hAnsiTheme="minorHAnsi" w:cstheme="minorHAnsi"/>
        </w:rPr>
      </w:pPr>
      <w:r>
        <w:rPr>
          <w:rFonts w:asciiTheme="minorHAnsi" w:hAnsiTheme="minorHAnsi" w:cstheme="minorHAnsi"/>
        </w:rPr>
        <w:t>The purpose of</w:t>
      </w:r>
      <w:r w:rsidR="00842502">
        <w:rPr>
          <w:rFonts w:asciiTheme="minorHAnsi" w:hAnsiTheme="minorHAnsi" w:cstheme="minorHAnsi"/>
        </w:rPr>
        <w:t xml:space="preserve"> implementing inclusive</w:t>
      </w:r>
      <w:r>
        <w:rPr>
          <w:rFonts w:asciiTheme="minorHAnsi" w:hAnsiTheme="minorHAnsi" w:cstheme="minorHAnsi"/>
        </w:rPr>
        <w:t xml:space="preserve"> policy</w:t>
      </w:r>
      <w:r w:rsidR="006E42C4">
        <w:rPr>
          <w:rFonts w:asciiTheme="minorHAnsi" w:hAnsiTheme="minorHAnsi" w:cstheme="minorHAnsi"/>
        </w:rPr>
        <w:t xml:space="preserve"> </w:t>
      </w:r>
      <w:r w:rsidR="00842502">
        <w:rPr>
          <w:rFonts w:asciiTheme="minorHAnsi" w:hAnsiTheme="minorHAnsi" w:cstheme="minorHAnsi"/>
        </w:rPr>
        <w:t>and creating a</w:t>
      </w:r>
      <w:r w:rsidR="006E42C4">
        <w:rPr>
          <w:rFonts w:asciiTheme="minorHAnsi" w:hAnsiTheme="minorHAnsi" w:cstheme="minorHAnsi"/>
        </w:rPr>
        <w:t>n</w:t>
      </w:r>
      <w:r w:rsidR="00842502">
        <w:rPr>
          <w:rFonts w:asciiTheme="minorHAnsi" w:hAnsiTheme="minorHAnsi" w:cstheme="minorHAnsi"/>
        </w:rPr>
        <w:t xml:space="preserve"> enabling environment </w:t>
      </w:r>
      <w:r w:rsidR="006E42C4">
        <w:rPr>
          <w:rFonts w:asciiTheme="minorHAnsi" w:hAnsiTheme="minorHAnsi" w:cstheme="minorHAnsi"/>
        </w:rPr>
        <w:t xml:space="preserve">for inclusion </w:t>
      </w:r>
      <w:r w:rsidR="00842502">
        <w:rPr>
          <w:rFonts w:asciiTheme="minorHAnsi" w:hAnsiTheme="minorHAnsi" w:cstheme="minorHAnsi"/>
        </w:rPr>
        <w:t>leads to a single point. That is, equity between persons with and without disabilities.</w:t>
      </w:r>
      <w:r w:rsidR="002921CA">
        <w:rPr>
          <w:rStyle w:val="FootnoteReference"/>
          <w:rFonts w:asciiTheme="minorHAnsi" w:hAnsiTheme="minorHAnsi" w:cstheme="minorHAnsi"/>
        </w:rPr>
        <w:footnoteReference w:id="39"/>
      </w:r>
      <w:r w:rsidR="00842502">
        <w:rPr>
          <w:rFonts w:asciiTheme="minorHAnsi" w:hAnsiTheme="minorHAnsi" w:cstheme="minorHAnsi"/>
        </w:rPr>
        <w:t xml:space="preserve"> As we approach the mid-point of the Sendai Framework we can note isolated, or partially integrated, examples of progress towards disability inclusion and these provide a basis to build on. However, we are not </w:t>
      </w:r>
      <w:r w:rsidR="006E42C4">
        <w:rPr>
          <w:rFonts w:asciiTheme="minorHAnsi" w:hAnsiTheme="minorHAnsi" w:cstheme="minorHAnsi"/>
        </w:rPr>
        <w:t xml:space="preserve">achieving </w:t>
      </w:r>
      <w:r w:rsidR="00842502">
        <w:rPr>
          <w:rFonts w:asciiTheme="minorHAnsi" w:hAnsiTheme="minorHAnsi" w:cstheme="minorHAnsi"/>
        </w:rPr>
        <w:t>equity.</w:t>
      </w:r>
    </w:p>
    <w:p w14:paraId="07278F81" w14:textId="77777777" w:rsidR="009A5A86" w:rsidRDefault="009A5A86" w:rsidP="006D4383">
      <w:pPr>
        <w:spacing w:after="0" w:line="240" w:lineRule="auto"/>
        <w:rPr>
          <w:rFonts w:asciiTheme="minorHAnsi" w:hAnsiTheme="minorHAnsi" w:cstheme="minorHAnsi"/>
        </w:rPr>
      </w:pPr>
    </w:p>
    <w:p w14:paraId="1140DA65" w14:textId="6F85C2D1" w:rsidR="00B05422" w:rsidRDefault="00B05422" w:rsidP="00B05422">
      <w:pPr>
        <w:spacing w:after="0" w:line="240" w:lineRule="auto"/>
        <w:rPr>
          <w:rFonts w:asciiTheme="minorHAnsi" w:hAnsiTheme="minorHAnsi" w:cstheme="minorHAnsi"/>
        </w:rPr>
      </w:pPr>
      <w:r>
        <w:rPr>
          <w:rFonts w:asciiTheme="minorHAnsi" w:hAnsiTheme="minorHAnsi" w:cstheme="minorHAnsi"/>
        </w:rPr>
        <w:t xml:space="preserve">Positive outcomes for persons with disabilities </w:t>
      </w:r>
      <w:r w:rsidR="009D1120">
        <w:rPr>
          <w:rFonts w:asciiTheme="minorHAnsi" w:hAnsiTheme="minorHAnsi" w:cstheme="minorHAnsi"/>
        </w:rPr>
        <w:t xml:space="preserve">from DRR interventions remain largely anecdotal or are imagined. This lack of clarity is compounded by a lack and limited use of data. </w:t>
      </w:r>
      <w:r w:rsidR="009D10E7">
        <w:rPr>
          <w:rFonts w:asciiTheme="minorHAnsi" w:hAnsiTheme="minorHAnsi" w:cstheme="minorHAnsi"/>
        </w:rPr>
        <w:t xml:space="preserve">Disaggregated disability data is not being routinely collected and is not being applied to monitor and evaluate impact. To achieve equity, we need to understand differences between how people with and without disability benefit from disability inclusive DRR interventions. While some DRR programmes are making progress in measuring what percentage of beneficiaries are persons with disabilities, this tells us little about quality, </w:t>
      </w:r>
      <w:r w:rsidR="00897316">
        <w:rPr>
          <w:rFonts w:asciiTheme="minorHAnsi" w:hAnsiTheme="minorHAnsi" w:cstheme="minorHAnsi"/>
        </w:rPr>
        <w:t xml:space="preserve">comparative </w:t>
      </w:r>
      <w:r w:rsidR="009D10E7">
        <w:rPr>
          <w:rFonts w:asciiTheme="minorHAnsi" w:hAnsiTheme="minorHAnsi" w:cstheme="minorHAnsi"/>
        </w:rPr>
        <w:t xml:space="preserve">impact, </w:t>
      </w:r>
      <w:r w:rsidR="0086609F">
        <w:rPr>
          <w:rFonts w:asciiTheme="minorHAnsi" w:hAnsiTheme="minorHAnsi" w:cstheme="minorHAnsi"/>
        </w:rPr>
        <w:t xml:space="preserve">or </w:t>
      </w:r>
      <w:r w:rsidR="009D10E7">
        <w:rPr>
          <w:rFonts w:asciiTheme="minorHAnsi" w:hAnsiTheme="minorHAnsi" w:cstheme="minorHAnsi"/>
        </w:rPr>
        <w:t xml:space="preserve">equity. </w:t>
      </w:r>
    </w:p>
    <w:p w14:paraId="2BF220CA" w14:textId="02E0A9B9" w:rsidR="00B05422" w:rsidRDefault="00B05422" w:rsidP="00B05422">
      <w:pPr>
        <w:spacing w:after="0" w:line="240" w:lineRule="auto"/>
        <w:rPr>
          <w:rFonts w:asciiTheme="minorHAnsi" w:hAnsiTheme="minorHAnsi" w:cstheme="minorHAnsi"/>
        </w:rPr>
      </w:pPr>
    </w:p>
    <w:p w14:paraId="7FDBC47E" w14:textId="4B97B2B1" w:rsidR="00B05422" w:rsidRPr="00B05422" w:rsidRDefault="00B05422" w:rsidP="00B05422">
      <w:pPr>
        <w:spacing w:after="0" w:line="240" w:lineRule="auto"/>
        <w:rPr>
          <w:rFonts w:asciiTheme="minorHAnsi" w:hAnsiTheme="minorHAnsi" w:cstheme="minorHAnsi"/>
        </w:rPr>
      </w:pPr>
      <w:r>
        <w:rPr>
          <w:rFonts w:asciiTheme="minorHAnsi" w:hAnsiTheme="minorHAnsi" w:cstheme="minorHAnsi"/>
        </w:rPr>
        <w:t>PDF</w:t>
      </w:r>
      <w:r w:rsidR="00764C84">
        <w:rPr>
          <w:rFonts w:asciiTheme="minorHAnsi" w:hAnsiTheme="minorHAnsi" w:cstheme="minorHAnsi"/>
        </w:rPr>
        <w:t xml:space="preserve"> identif</w:t>
      </w:r>
      <w:r w:rsidR="00897316">
        <w:rPr>
          <w:rFonts w:asciiTheme="minorHAnsi" w:hAnsiTheme="minorHAnsi" w:cstheme="minorHAnsi"/>
        </w:rPr>
        <w:t>ies</w:t>
      </w:r>
      <w:r w:rsidR="00764C84">
        <w:rPr>
          <w:rFonts w:asciiTheme="minorHAnsi" w:hAnsiTheme="minorHAnsi" w:cstheme="minorHAnsi"/>
        </w:rPr>
        <w:t xml:space="preserve"> six pre-conditions for disability inclusion. Directing policy and practice towards achieving these pre-conditions</w:t>
      </w:r>
      <w:r>
        <w:rPr>
          <w:rFonts w:asciiTheme="minorHAnsi" w:hAnsiTheme="minorHAnsi" w:cstheme="minorHAnsi"/>
        </w:rPr>
        <w:t xml:space="preserve"> </w:t>
      </w:r>
      <w:r w:rsidR="00764C84">
        <w:rPr>
          <w:rFonts w:asciiTheme="minorHAnsi" w:hAnsiTheme="minorHAnsi" w:cstheme="minorHAnsi"/>
        </w:rPr>
        <w:t xml:space="preserve">is central to achieving equity for persons with disabilities in comparison to persons without disabilities. The six preconditions for disability inclusion relate to: </w:t>
      </w:r>
      <w:r w:rsidRPr="00E34668">
        <w:rPr>
          <w:rFonts w:asciiTheme="minorHAnsi" w:hAnsiTheme="minorHAnsi" w:cstheme="minorHAnsi"/>
        </w:rPr>
        <w:t xml:space="preserve"> Accessibility, Assistive Devices, Community-based Inclusive Development, Non-discrimination, Support Services, and Social Protection.</w:t>
      </w:r>
      <w:r w:rsidRPr="00E34668">
        <w:rPr>
          <w:rStyle w:val="FootnoteReference"/>
          <w:rFonts w:asciiTheme="minorHAnsi" w:hAnsiTheme="minorHAnsi" w:cstheme="minorHAnsi"/>
        </w:rPr>
        <w:footnoteReference w:id="40"/>
      </w:r>
    </w:p>
    <w:p w14:paraId="0EFB0A1F" w14:textId="77777777" w:rsidR="00C04331" w:rsidRDefault="00C04331" w:rsidP="00C04331">
      <w:pPr>
        <w:pStyle w:val="Heading2"/>
        <w:rPr>
          <w:rFonts w:ascii="Cambria" w:hAnsi="Cambria"/>
          <w:color w:val="094183"/>
          <w:sz w:val="24"/>
          <w:szCs w:val="24"/>
        </w:rPr>
      </w:pPr>
    </w:p>
    <w:p w14:paraId="260C4FC4" w14:textId="0C998709" w:rsidR="00557B63" w:rsidRDefault="00B05422" w:rsidP="00C61070">
      <w:pPr>
        <w:spacing w:after="0" w:line="240" w:lineRule="auto"/>
        <w:rPr>
          <w:rFonts w:asciiTheme="minorHAnsi" w:hAnsiTheme="minorHAnsi" w:cstheme="minorHAnsi"/>
        </w:rPr>
      </w:pPr>
      <w:r w:rsidRPr="00B1698F">
        <w:rPr>
          <w:rFonts w:asciiTheme="minorHAnsi" w:hAnsiTheme="minorHAnsi" w:cstheme="minorHAnsi"/>
          <w:noProof/>
          <w:color w:val="2B579A"/>
          <w:shd w:val="clear" w:color="auto" w:fill="E6E6E6"/>
        </w:rPr>
        <mc:AlternateContent>
          <mc:Choice Requires="wps">
            <w:drawing>
              <wp:inline distT="0" distB="0" distL="0" distR="0" wp14:anchorId="78DE1CEA" wp14:editId="7C082322">
                <wp:extent cx="5581650" cy="1404620"/>
                <wp:effectExtent l="0" t="0" r="19050" b="1778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solidFill>
                          <a:srgbClr val="FFFFFF"/>
                        </a:solidFill>
                        <a:ln w="9525">
                          <a:solidFill>
                            <a:srgbClr val="094183"/>
                          </a:solidFill>
                          <a:miter lim="800000"/>
                          <a:headEnd/>
                          <a:tailEnd/>
                        </a:ln>
                      </wps:spPr>
                      <wps:txbx>
                        <w:txbxContent>
                          <w:p w14:paraId="50E2E45D" w14:textId="6AD0423D" w:rsidR="00B05422" w:rsidRPr="00C61F37" w:rsidRDefault="00764C84" w:rsidP="00B05422">
                            <w:pPr>
                              <w:spacing w:after="0" w:line="240" w:lineRule="auto"/>
                              <w:rPr>
                                <w:rFonts w:asciiTheme="minorHAnsi" w:hAnsiTheme="minorHAnsi" w:cstheme="minorHAnsi"/>
                                <w:lang w:val="en-AU"/>
                              </w:rPr>
                            </w:pPr>
                            <w:r>
                              <w:rPr>
                                <w:rFonts w:asciiTheme="minorHAnsi" w:hAnsiTheme="minorHAnsi" w:cstheme="minorHAnsi"/>
                                <w:lang w:val="en-AU"/>
                              </w:rPr>
                              <w:t>Examples of inclusive DRR practice are not clearly resulting in positive outcome</w:t>
                            </w:r>
                            <w:r w:rsidR="003B4AC8">
                              <w:rPr>
                                <w:rFonts w:asciiTheme="minorHAnsi" w:hAnsiTheme="minorHAnsi" w:cstheme="minorHAnsi"/>
                                <w:lang w:val="en-AU"/>
                              </w:rPr>
                              <w:t>s</w:t>
                            </w:r>
                            <w:r>
                              <w:rPr>
                                <w:rFonts w:asciiTheme="minorHAnsi" w:hAnsiTheme="minorHAnsi" w:cstheme="minorHAnsi"/>
                                <w:lang w:val="en-AU"/>
                              </w:rPr>
                              <w:t xml:space="preserve"> or equity for persons with disabilities. Monitoring and evaluation of disability inclusion </w:t>
                            </w:r>
                            <w:r w:rsidR="003B4AC8">
                              <w:rPr>
                                <w:rFonts w:asciiTheme="minorHAnsi" w:hAnsiTheme="minorHAnsi" w:cstheme="minorHAnsi"/>
                                <w:lang w:val="en-AU"/>
                              </w:rPr>
                              <w:t xml:space="preserve">in DRR programming </w:t>
                            </w:r>
                            <w:r>
                              <w:rPr>
                                <w:rFonts w:asciiTheme="minorHAnsi" w:hAnsiTheme="minorHAnsi" w:cstheme="minorHAnsi"/>
                                <w:lang w:val="en-AU"/>
                              </w:rPr>
                              <w:t xml:space="preserve">needs to </w:t>
                            </w:r>
                            <w:r w:rsidR="003B4AC8">
                              <w:rPr>
                                <w:rFonts w:asciiTheme="minorHAnsi" w:hAnsiTheme="minorHAnsi" w:cstheme="minorHAnsi"/>
                                <w:lang w:val="en-AU"/>
                              </w:rPr>
                              <w:t xml:space="preserve">improve. </w:t>
                            </w:r>
                            <w:r w:rsidR="00863273">
                              <w:rPr>
                                <w:rFonts w:asciiTheme="minorHAnsi" w:hAnsiTheme="minorHAnsi" w:cstheme="minorHAnsi"/>
                                <w:lang w:val="en-AU"/>
                              </w:rPr>
                              <w:t>A</w:t>
                            </w:r>
                            <w:r w:rsidR="003B4AC8">
                              <w:rPr>
                                <w:rFonts w:asciiTheme="minorHAnsi" w:hAnsiTheme="minorHAnsi" w:cstheme="minorHAnsi"/>
                                <w:lang w:val="en-AU"/>
                              </w:rPr>
                              <w:t>ddress</w:t>
                            </w:r>
                            <w:r w:rsidR="00863273">
                              <w:rPr>
                                <w:rFonts w:asciiTheme="minorHAnsi" w:hAnsiTheme="minorHAnsi" w:cstheme="minorHAnsi"/>
                                <w:lang w:val="en-AU"/>
                              </w:rPr>
                              <w:t>ing</w:t>
                            </w:r>
                            <w:r w:rsidR="003B4AC8">
                              <w:rPr>
                                <w:rFonts w:asciiTheme="minorHAnsi" w:hAnsiTheme="minorHAnsi" w:cstheme="minorHAnsi"/>
                                <w:lang w:val="en-AU"/>
                              </w:rPr>
                              <w:t xml:space="preserve"> the six preconditions of disability inclusion i</w:t>
                            </w:r>
                            <w:r w:rsidR="00863273">
                              <w:rPr>
                                <w:rFonts w:asciiTheme="minorHAnsi" w:hAnsiTheme="minorHAnsi" w:cstheme="minorHAnsi"/>
                                <w:lang w:val="en-AU"/>
                              </w:rPr>
                              <w:t xml:space="preserve">s </w:t>
                            </w:r>
                            <w:r w:rsidR="00366FC1">
                              <w:rPr>
                                <w:rFonts w:asciiTheme="minorHAnsi" w:hAnsiTheme="minorHAnsi" w:cstheme="minorHAnsi"/>
                                <w:lang w:val="en-AU"/>
                              </w:rPr>
                              <w:t xml:space="preserve">a </w:t>
                            </w:r>
                            <w:r w:rsidR="00863273">
                              <w:rPr>
                                <w:rFonts w:asciiTheme="minorHAnsi" w:hAnsiTheme="minorHAnsi" w:cstheme="minorHAnsi"/>
                                <w:lang w:val="en-AU"/>
                              </w:rPr>
                              <w:t>fundamental step towards realising equity</w:t>
                            </w:r>
                            <w:r w:rsidR="003B4AC8">
                              <w:rPr>
                                <w:rFonts w:asciiTheme="minorHAnsi" w:hAnsiTheme="minorHAnsi" w:cstheme="minorHAnsi"/>
                                <w:lang w:val="en-AU"/>
                              </w:rPr>
                              <w:t>.</w:t>
                            </w:r>
                          </w:p>
                        </w:txbxContent>
                      </wps:txbx>
                      <wps:bodyPr rot="0" vert="horz" wrap="square" lIns="91440" tIns="45720" rIns="91440" bIns="45720" anchor="t" anchorCtr="0">
                        <a:spAutoFit/>
                      </wps:bodyPr>
                    </wps:wsp>
                  </a:graphicData>
                </a:graphic>
              </wp:inline>
            </w:drawing>
          </mc:Choice>
          <mc:Fallback>
            <w:pict>
              <v:shape w14:anchorId="78DE1CEA" id="Text Box 7" o:spid="_x0000_s1032" type="#_x0000_t202" style="width:439.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UWGQIAACcEAAAOAAAAZHJzL2Uyb0RvYy54bWysk92O0zAQhe+ReAfL9zRJSUobNV0tXYqQ&#10;lh9p4QEcx2ksHI+x3Sbl6Rk73W61wA0iF5adsY9nvjle34y9IkdhnQRd0WyWUiI0h0bqfUW/fd29&#10;WlLiPNMNU6BFRU/C0ZvNyxfrwZRiDh2oRliCItqVg6lo570pk8TxTvTMzcAIjcEWbM88Lu0+aSwb&#10;UL1XyTxNF8kAtjEWuHAO/95NQbqJ+m0ruP/ctk54oiqKufk42jjWYUw2a1buLTOd5Oc02D9k0TOp&#10;8dKL1B3zjBys/E2ql9yCg9bPOPQJtK3kItaA1WTps2oeOmZErAXhOHPB5P6fLP90fDBfLPHjWxix&#10;gbEIZ+6Bf3dEw7Zjei9urYWhE6zBi7OALBmMK89HA2pXuiBSDx+hwSazg4coNLa2D1SwToLq2IDT&#10;BboYPeH4syiW2aLAEMdYlqf5Yh7bkrDy8bixzr8X0JMwqajFrkZ5drx3PqTDysct4TYHSjY7qVRc&#10;2H29VZYcGTpgF79YwbNtSpOhoqtiXkwE/iqRrvJs+fpPEr30aGUl+4ou0/BN5grc3ukmGs0zqaY5&#10;pqz0GWRgN1H0Yz0S2VR0Ec4GrjU0JyRrYXIuvjScdGB/UjKgayvqfhyYFZSoDxq7s8ryPNg8LvLi&#10;DaIk9jpSX0eY5ihVUU/JNN36+DQiN3OLXdzJyPcpk3PK6MaI/fxygt2v13HX0/ve/AIAAP//AwBQ&#10;SwMEFAAGAAgAAAAhAFGa76bbAAAABQEAAA8AAABkcnMvZG93bnJldi54bWxMj8FuwjAQRO9I/IO1&#10;lXoDhxwCDXFQRVvUY6GVuJp4SSLidWSbkPbru+2lvYw0mtXM22Iz2k4M6EPrSMFinoBAqpxpqVbw&#10;8f4yW4EIUZPRnSNU8IkBNuV0UujcuBvtcTjEWnAJhVwraGLscylD1aDVYe56JM7Ozlsd2fpaGq9v&#10;XG47mSZJJq1uiRca3eO2wepyuFoFx6dd9jruhzfTPie7r2xpLv4Ylbq/Gx/XICKO8e8YfvAZHUpm&#10;OrkrmSA6BfxI/FXOVssHticFabpIQZaF/E9ffgMAAP//AwBQSwECLQAUAAYACAAAACEAtoM4kv4A&#10;AADhAQAAEwAAAAAAAAAAAAAAAAAAAAAAW0NvbnRlbnRfVHlwZXNdLnhtbFBLAQItABQABgAIAAAA&#10;IQA4/SH/1gAAAJQBAAALAAAAAAAAAAAAAAAAAC8BAABfcmVscy8ucmVsc1BLAQItABQABgAIAAAA&#10;IQDsP2UWGQIAACcEAAAOAAAAAAAAAAAAAAAAAC4CAABkcnMvZTJvRG9jLnhtbFBLAQItABQABgAI&#10;AAAAIQBRmu+m2wAAAAUBAAAPAAAAAAAAAAAAAAAAAHMEAABkcnMvZG93bnJldi54bWxQSwUGAAAA&#10;AAQABADzAAAAewUAAAAA&#10;" strokecolor="#094183">
                <v:textbox style="mso-fit-shape-to-text:t">
                  <w:txbxContent>
                    <w:p w14:paraId="50E2E45D" w14:textId="6AD0423D" w:rsidR="00B05422" w:rsidRPr="00C61F37" w:rsidRDefault="00764C84" w:rsidP="00B05422">
                      <w:pPr>
                        <w:spacing w:after="0" w:line="240" w:lineRule="auto"/>
                        <w:rPr>
                          <w:rFonts w:asciiTheme="minorHAnsi" w:hAnsiTheme="minorHAnsi" w:cstheme="minorHAnsi"/>
                          <w:lang w:val="en-AU"/>
                        </w:rPr>
                      </w:pPr>
                      <w:r>
                        <w:rPr>
                          <w:rFonts w:asciiTheme="minorHAnsi" w:hAnsiTheme="minorHAnsi" w:cstheme="minorHAnsi"/>
                          <w:lang w:val="en-AU"/>
                        </w:rPr>
                        <w:t>Examples of inclusive DRR practice are not clearly resulting in positive outcome</w:t>
                      </w:r>
                      <w:r w:rsidR="003B4AC8">
                        <w:rPr>
                          <w:rFonts w:asciiTheme="minorHAnsi" w:hAnsiTheme="minorHAnsi" w:cstheme="minorHAnsi"/>
                          <w:lang w:val="en-AU"/>
                        </w:rPr>
                        <w:t>s</w:t>
                      </w:r>
                      <w:r>
                        <w:rPr>
                          <w:rFonts w:asciiTheme="minorHAnsi" w:hAnsiTheme="minorHAnsi" w:cstheme="minorHAnsi"/>
                          <w:lang w:val="en-AU"/>
                        </w:rPr>
                        <w:t xml:space="preserve"> or equity for persons with disabilities. Monitoring and evaluation of disability inclusion </w:t>
                      </w:r>
                      <w:r w:rsidR="003B4AC8">
                        <w:rPr>
                          <w:rFonts w:asciiTheme="minorHAnsi" w:hAnsiTheme="minorHAnsi" w:cstheme="minorHAnsi"/>
                          <w:lang w:val="en-AU"/>
                        </w:rPr>
                        <w:t xml:space="preserve">in DRR programming </w:t>
                      </w:r>
                      <w:r>
                        <w:rPr>
                          <w:rFonts w:asciiTheme="minorHAnsi" w:hAnsiTheme="minorHAnsi" w:cstheme="minorHAnsi"/>
                          <w:lang w:val="en-AU"/>
                        </w:rPr>
                        <w:t xml:space="preserve">needs to </w:t>
                      </w:r>
                      <w:r w:rsidR="003B4AC8">
                        <w:rPr>
                          <w:rFonts w:asciiTheme="minorHAnsi" w:hAnsiTheme="minorHAnsi" w:cstheme="minorHAnsi"/>
                          <w:lang w:val="en-AU"/>
                        </w:rPr>
                        <w:t xml:space="preserve">improve. </w:t>
                      </w:r>
                      <w:r w:rsidR="00863273">
                        <w:rPr>
                          <w:rFonts w:asciiTheme="minorHAnsi" w:hAnsiTheme="minorHAnsi" w:cstheme="minorHAnsi"/>
                          <w:lang w:val="en-AU"/>
                        </w:rPr>
                        <w:t>A</w:t>
                      </w:r>
                      <w:r w:rsidR="003B4AC8">
                        <w:rPr>
                          <w:rFonts w:asciiTheme="minorHAnsi" w:hAnsiTheme="minorHAnsi" w:cstheme="minorHAnsi"/>
                          <w:lang w:val="en-AU"/>
                        </w:rPr>
                        <w:t>ddress</w:t>
                      </w:r>
                      <w:r w:rsidR="00863273">
                        <w:rPr>
                          <w:rFonts w:asciiTheme="minorHAnsi" w:hAnsiTheme="minorHAnsi" w:cstheme="minorHAnsi"/>
                          <w:lang w:val="en-AU"/>
                        </w:rPr>
                        <w:t>ing</w:t>
                      </w:r>
                      <w:r w:rsidR="003B4AC8">
                        <w:rPr>
                          <w:rFonts w:asciiTheme="minorHAnsi" w:hAnsiTheme="minorHAnsi" w:cstheme="minorHAnsi"/>
                          <w:lang w:val="en-AU"/>
                        </w:rPr>
                        <w:t xml:space="preserve"> the six preconditions of disability inclusion i</w:t>
                      </w:r>
                      <w:r w:rsidR="00863273">
                        <w:rPr>
                          <w:rFonts w:asciiTheme="minorHAnsi" w:hAnsiTheme="minorHAnsi" w:cstheme="minorHAnsi"/>
                          <w:lang w:val="en-AU"/>
                        </w:rPr>
                        <w:t xml:space="preserve">s </w:t>
                      </w:r>
                      <w:r w:rsidR="00366FC1">
                        <w:rPr>
                          <w:rFonts w:asciiTheme="minorHAnsi" w:hAnsiTheme="minorHAnsi" w:cstheme="minorHAnsi"/>
                          <w:lang w:val="en-AU"/>
                        </w:rPr>
                        <w:t xml:space="preserve">a </w:t>
                      </w:r>
                      <w:r w:rsidR="00863273">
                        <w:rPr>
                          <w:rFonts w:asciiTheme="minorHAnsi" w:hAnsiTheme="minorHAnsi" w:cstheme="minorHAnsi"/>
                          <w:lang w:val="en-AU"/>
                        </w:rPr>
                        <w:t>fundamental step towards realising equity</w:t>
                      </w:r>
                      <w:r w:rsidR="003B4AC8">
                        <w:rPr>
                          <w:rFonts w:asciiTheme="minorHAnsi" w:hAnsiTheme="minorHAnsi" w:cstheme="minorHAnsi"/>
                          <w:lang w:val="en-AU"/>
                        </w:rPr>
                        <w:t>.</w:t>
                      </w:r>
                    </w:p>
                  </w:txbxContent>
                </v:textbox>
                <w10:anchorlock/>
              </v:shape>
            </w:pict>
          </mc:Fallback>
        </mc:AlternateContent>
      </w:r>
    </w:p>
    <w:p w14:paraId="232EC6CF" w14:textId="548DC8B1" w:rsidR="00557B63" w:rsidRDefault="00557B63" w:rsidP="00C61070">
      <w:pPr>
        <w:spacing w:after="0" w:line="240" w:lineRule="auto"/>
        <w:rPr>
          <w:rFonts w:asciiTheme="minorHAnsi" w:hAnsiTheme="minorHAnsi" w:cstheme="minorHAnsi"/>
        </w:rPr>
      </w:pPr>
    </w:p>
    <w:p w14:paraId="405E6A0C" w14:textId="10DAB6A3" w:rsidR="00C70247" w:rsidRPr="00830F7E" w:rsidRDefault="00C70247" w:rsidP="003B4AC8">
      <w:pPr>
        <w:pStyle w:val="Heading1"/>
        <w:numPr>
          <w:ilvl w:val="0"/>
          <w:numId w:val="39"/>
        </w:numPr>
        <w:rPr>
          <w:rFonts w:ascii="Cambria" w:hAnsi="Cambria"/>
          <w:b/>
          <w:bCs/>
          <w:color w:val="094183"/>
          <w:sz w:val="24"/>
          <w:szCs w:val="24"/>
        </w:rPr>
      </w:pPr>
      <w:r w:rsidRPr="22D8730C">
        <w:rPr>
          <w:rFonts w:ascii="Cambria" w:hAnsi="Cambria"/>
          <w:b/>
          <w:bCs/>
          <w:color w:val="094183"/>
          <w:sz w:val="24"/>
          <w:szCs w:val="24"/>
        </w:rPr>
        <w:t>Priority 3. Investing in disaster risk reduction for resilience</w:t>
      </w:r>
    </w:p>
    <w:p w14:paraId="5E5911CE" w14:textId="698F64EA" w:rsidR="00557B63" w:rsidRDefault="00557B63" w:rsidP="00C61070">
      <w:pPr>
        <w:spacing w:after="0" w:line="240" w:lineRule="auto"/>
        <w:rPr>
          <w:rFonts w:asciiTheme="minorHAnsi" w:hAnsiTheme="minorHAnsi" w:cstheme="minorHAnsi"/>
        </w:rPr>
      </w:pPr>
    </w:p>
    <w:p w14:paraId="3D1F594C" w14:textId="4960A367" w:rsidR="003B4AC8" w:rsidRDefault="003B4AC8" w:rsidP="00C61070">
      <w:pPr>
        <w:spacing w:after="0" w:line="240" w:lineRule="auto"/>
        <w:rPr>
          <w:rFonts w:asciiTheme="minorHAnsi" w:hAnsiTheme="minorHAnsi" w:cstheme="minorHAnsi"/>
        </w:rPr>
      </w:pPr>
      <w:r>
        <w:rPr>
          <w:rFonts w:asciiTheme="minorHAnsi" w:hAnsiTheme="minorHAnsi" w:cstheme="minorHAnsi"/>
        </w:rPr>
        <w:t>Priority 3 of the Sendai Framework addresses the following:</w:t>
      </w:r>
    </w:p>
    <w:p w14:paraId="1B698E45" w14:textId="77777777" w:rsidR="003B4AC8" w:rsidRPr="008D03D2" w:rsidRDefault="003B4AC8" w:rsidP="00C61070">
      <w:pPr>
        <w:spacing w:after="0" w:line="240" w:lineRule="auto"/>
        <w:rPr>
          <w:rFonts w:asciiTheme="minorHAnsi" w:hAnsiTheme="minorHAnsi" w:cstheme="minorHAnsi"/>
        </w:rPr>
      </w:pPr>
    </w:p>
    <w:p w14:paraId="73B481A2" w14:textId="712D2756" w:rsidR="008D03D2" w:rsidRDefault="008D03D2" w:rsidP="008D03D2">
      <w:pPr>
        <w:autoSpaceDE w:val="0"/>
        <w:autoSpaceDN w:val="0"/>
        <w:adjustRightInd w:val="0"/>
        <w:spacing w:after="0" w:line="240" w:lineRule="auto"/>
        <w:ind w:left="720"/>
        <w:rPr>
          <w:rFonts w:asciiTheme="minorHAnsi" w:hAnsiTheme="minorHAnsi" w:cstheme="minorHAnsi"/>
          <w:lang w:val="en-AU"/>
        </w:rPr>
      </w:pPr>
      <w:r w:rsidRPr="008D03D2">
        <w:rPr>
          <w:rFonts w:asciiTheme="minorHAnsi" w:hAnsiTheme="minorHAnsi" w:cstheme="minorHAnsi"/>
          <w:lang w:val="en-AU"/>
        </w:rPr>
        <w:t>Public and private investment in disaster risk prevention and reduction through structural</w:t>
      </w:r>
      <w:r>
        <w:rPr>
          <w:rFonts w:asciiTheme="minorHAnsi" w:hAnsiTheme="minorHAnsi" w:cstheme="minorHAnsi"/>
          <w:lang w:val="en-AU"/>
        </w:rPr>
        <w:t xml:space="preserve"> </w:t>
      </w:r>
      <w:r w:rsidRPr="008D03D2">
        <w:rPr>
          <w:rFonts w:asciiTheme="minorHAnsi" w:hAnsiTheme="minorHAnsi" w:cstheme="minorHAnsi"/>
          <w:lang w:val="en-AU"/>
        </w:rPr>
        <w:t>and non-structural measures are essential to enhance the economic, social, health and cultural</w:t>
      </w:r>
      <w:r>
        <w:rPr>
          <w:rFonts w:asciiTheme="minorHAnsi" w:hAnsiTheme="minorHAnsi" w:cstheme="minorHAnsi"/>
          <w:lang w:val="en-AU"/>
        </w:rPr>
        <w:t xml:space="preserve"> </w:t>
      </w:r>
      <w:r w:rsidRPr="008D03D2">
        <w:rPr>
          <w:rFonts w:asciiTheme="minorHAnsi" w:hAnsiTheme="minorHAnsi" w:cstheme="minorHAnsi"/>
          <w:lang w:val="en-AU"/>
        </w:rPr>
        <w:t>resilience of persons, communities, countries and their assets, as well as the environment.</w:t>
      </w:r>
      <w:r>
        <w:rPr>
          <w:rFonts w:asciiTheme="minorHAnsi" w:hAnsiTheme="minorHAnsi" w:cstheme="minorHAnsi"/>
          <w:lang w:val="en-AU"/>
        </w:rPr>
        <w:t xml:space="preserve"> </w:t>
      </w:r>
      <w:r w:rsidRPr="008D03D2">
        <w:rPr>
          <w:rFonts w:asciiTheme="minorHAnsi" w:hAnsiTheme="minorHAnsi" w:cstheme="minorHAnsi"/>
          <w:lang w:val="en-AU"/>
        </w:rPr>
        <w:t xml:space="preserve">These can be drivers of innovation, growth and job creation. Such measures </w:t>
      </w:r>
      <w:r w:rsidRPr="008D03D2">
        <w:rPr>
          <w:rFonts w:asciiTheme="minorHAnsi" w:hAnsiTheme="minorHAnsi" w:cstheme="minorHAnsi"/>
          <w:lang w:val="en-AU"/>
        </w:rPr>
        <w:lastRenderedPageBreak/>
        <w:t>are cost-effective</w:t>
      </w:r>
      <w:r>
        <w:rPr>
          <w:rFonts w:asciiTheme="minorHAnsi" w:hAnsiTheme="minorHAnsi" w:cstheme="minorHAnsi"/>
          <w:lang w:val="en-AU"/>
        </w:rPr>
        <w:t xml:space="preserve"> </w:t>
      </w:r>
      <w:r w:rsidRPr="008D03D2">
        <w:rPr>
          <w:rFonts w:asciiTheme="minorHAnsi" w:hAnsiTheme="minorHAnsi" w:cstheme="minorHAnsi"/>
          <w:lang w:val="en-AU"/>
        </w:rPr>
        <w:t>and instrumental to save lives, prevent and reduce losses and ensure effective recovery and</w:t>
      </w:r>
      <w:r>
        <w:rPr>
          <w:rFonts w:asciiTheme="minorHAnsi" w:hAnsiTheme="minorHAnsi" w:cstheme="minorHAnsi"/>
          <w:lang w:val="en-AU"/>
        </w:rPr>
        <w:t xml:space="preserve"> </w:t>
      </w:r>
      <w:r w:rsidRPr="008D03D2">
        <w:rPr>
          <w:rFonts w:asciiTheme="minorHAnsi" w:hAnsiTheme="minorHAnsi" w:cstheme="minorHAnsi"/>
          <w:lang w:val="en-AU"/>
        </w:rPr>
        <w:t>rehabilitation.</w:t>
      </w:r>
    </w:p>
    <w:p w14:paraId="6C4AFE7B" w14:textId="77777777" w:rsidR="008D03D2" w:rsidRPr="008D03D2" w:rsidRDefault="008D03D2" w:rsidP="008D03D2">
      <w:pPr>
        <w:autoSpaceDE w:val="0"/>
        <w:autoSpaceDN w:val="0"/>
        <w:adjustRightInd w:val="0"/>
        <w:spacing w:after="0" w:line="240" w:lineRule="auto"/>
        <w:ind w:left="720"/>
        <w:rPr>
          <w:rFonts w:asciiTheme="minorHAnsi" w:hAnsiTheme="minorHAnsi" w:cstheme="minorHAnsi"/>
        </w:rPr>
      </w:pPr>
    </w:p>
    <w:p w14:paraId="7D15E108" w14:textId="4ADF1297" w:rsidR="00557B63" w:rsidRDefault="008D03D2" w:rsidP="00C61070">
      <w:pPr>
        <w:spacing w:after="0" w:line="240" w:lineRule="auto"/>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Para IV</w:t>
      </w:r>
      <w:r w:rsidR="000B7158">
        <w:rPr>
          <w:rFonts w:asciiTheme="minorHAnsi" w:hAnsiTheme="minorHAnsi" w:cstheme="minorHAnsi"/>
        </w:rPr>
        <w:t>.</w:t>
      </w:r>
      <w:r>
        <w:rPr>
          <w:rFonts w:asciiTheme="minorHAnsi" w:hAnsiTheme="minorHAnsi" w:cstheme="minorHAnsi"/>
        </w:rPr>
        <w:t>29</w:t>
      </w:r>
    </w:p>
    <w:p w14:paraId="64611CCD" w14:textId="77777777" w:rsidR="008D03D2" w:rsidRDefault="008D03D2" w:rsidP="00C61070">
      <w:pPr>
        <w:spacing w:after="0" w:line="240" w:lineRule="auto"/>
        <w:rPr>
          <w:rFonts w:asciiTheme="minorHAnsi" w:hAnsiTheme="minorHAnsi" w:cstheme="minorHAnsi"/>
        </w:rPr>
      </w:pPr>
    </w:p>
    <w:p w14:paraId="46D6F6C4" w14:textId="716B8E84" w:rsidR="00557B63" w:rsidRPr="003B4AC8" w:rsidRDefault="006468CA" w:rsidP="003B4AC8">
      <w:pPr>
        <w:pStyle w:val="ListParagraph"/>
        <w:numPr>
          <w:ilvl w:val="0"/>
          <w:numId w:val="42"/>
        </w:numPr>
        <w:spacing w:after="0" w:line="240" w:lineRule="auto"/>
        <w:rPr>
          <w:rFonts w:ascii="Cambria" w:hAnsi="Cambria"/>
          <w:color w:val="094183"/>
          <w:sz w:val="24"/>
          <w:szCs w:val="24"/>
        </w:rPr>
      </w:pPr>
      <w:r w:rsidRPr="003B4AC8">
        <w:rPr>
          <w:rFonts w:ascii="Cambria" w:hAnsi="Cambria"/>
          <w:color w:val="094183"/>
          <w:sz w:val="24"/>
          <w:szCs w:val="24"/>
        </w:rPr>
        <w:t>Budgets and r</w:t>
      </w:r>
      <w:r w:rsidR="00C70247" w:rsidRPr="003B4AC8">
        <w:rPr>
          <w:rFonts w:ascii="Cambria" w:hAnsi="Cambria"/>
          <w:color w:val="094183"/>
          <w:sz w:val="24"/>
          <w:szCs w:val="24"/>
        </w:rPr>
        <w:t>esourcing</w:t>
      </w:r>
    </w:p>
    <w:p w14:paraId="1D6A138B" w14:textId="5CCC6DFE" w:rsidR="00C70247" w:rsidRDefault="00C70247" w:rsidP="00C61070">
      <w:pPr>
        <w:spacing w:after="0" w:line="240" w:lineRule="auto"/>
        <w:rPr>
          <w:rFonts w:ascii="Cambria" w:hAnsi="Cambria"/>
          <w:color w:val="094183"/>
          <w:sz w:val="24"/>
          <w:szCs w:val="24"/>
        </w:rPr>
      </w:pPr>
    </w:p>
    <w:p w14:paraId="29A49A91" w14:textId="6A95199B" w:rsidR="009021A8" w:rsidRDefault="00AF30C5" w:rsidP="46BA6153">
      <w:pPr>
        <w:spacing w:after="0" w:line="240" w:lineRule="auto"/>
        <w:rPr>
          <w:rFonts w:asciiTheme="minorHAnsi" w:hAnsiTheme="minorHAnsi"/>
        </w:rPr>
      </w:pPr>
      <w:r w:rsidRPr="46BA6153">
        <w:rPr>
          <w:rFonts w:asciiTheme="minorHAnsi" w:hAnsiTheme="minorHAnsi"/>
        </w:rPr>
        <w:t xml:space="preserve">Target </w:t>
      </w:r>
      <w:r w:rsidR="00A0452B">
        <w:rPr>
          <w:rFonts w:asciiTheme="minorHAnsi" w:hAnsiTheme="minorHAnsi"/>
        </w:rPr>
        <w:t>F</w:t>
      </w:r>
      <w:r w:rsidRPr="46BA6153">
        <w:rPr>
          <w:rFonts w:asciiTheme="minorHAnsi" w:hAnsiTheme="minorHAnsi"/>
        </w:rPr>
        <w:t xml:space="preserve"> of the Sendai Framework includes indicators on total overseas development assistance (ODA)</w:t>
      </w:r>
      <w:r w:rsidR="00B8288B" w:rsidRPr="46BA6153">
        <w:rPr>
          <w:rFonts w:asciiTheme="minorHAnsi" w:hAnsiTheme="minorHAnsi"/>
        </w:rPr>
        <w:t>,</w:t>
      </w:r>
      <w:r w:rsidRPr="46BA6153">
        <w:rPr>
          <w:rFonts w:asciiTheme="minorHAnsi" w:hAnsiTheme="minorHAnsi"/>
        </w:rPr>
        <w:t xml:space="preserve"> and other financial flows</w:t>
      </w:r>
      <w:r w:rsidR="00B8288B" w:rsidRPr="46BA6153">
        <w:rPr>
          <w:rFonts w:asciiTheme="minorHAnsi" w:hAnsiTheme="minorHAnsi"/>
        </w:rPr>
        <w:t>,</w:t>
      </w:r>
      <w:r w:rsidRPr="46BA6153">
        <w:rPr>
          <w:rFonts w:asciiTheme="minorHAnsi" w:hAnsiTheme="minorHAnsi"/>
        </w:rPr>
        <w:t xml:space="preserve"> for DRR.</w:t>
      </w:r>
      <w:r w:rsidRPr="46BA6153">
        <w:rPr>
          <w:rStyle w:val="FootnoteReference"/>
          <w:rFonts w:asciiTheme="minorHAnsi" w:hAnsiTheme="minorHAnsi"/>
        </w:rPr>
        <w:footnoteReference w:id="41"/>
      </w:r>
      <w:r w:rsidRPr="46BA6153">
        <w:rPr>
          <w:rFonts w:asciiTheme="minorHAnsi" w:hAnsiTheme="minorHAnsi"/>
        </w:rPr>
        <w:t xml:space="preserve"> There is no indicator on DRR budget allocations as a percentage of national income or expenditure. How ODA and national, or local, budget allocations</w:t>
      </w:r>
      <w:r w:rsidR="0086609F">
        <w:rPr>
          <w:rFonts w:asciiTheme="minorHAnsi" w:hAnsiTheme="minorHAnsi"/>
        </w:rPr>
        <w:t xml:space="preserve"> is reported in country DRR reports </w:t>
      </w:r>
      <w:r w:rsidRPr="46BA6153">
        <w:rPr>
          <w:rFonts w:asciiTheme="minorHAnsi" w:hAnsiTheme="minorHAnsi"/>
        </w:rPr>
        <w:t>is mixed</w:t>
      </w:r>
      <w:r w:rsidR="00600D78" w:rsidRPr="46BA6153">
        <w:rPr>
          <w:rFonts w:asciiTheme="minorHAnsi" w:hAnsiTheme="minorHAnsi"/>
        </w:rPr>
        <w:t>. S</w:t>
      </w:r>
      <w:r w:rsidR="006A653A" w:rsidRPr="46BA6153">
        <w:rPr>
          <w:rFonts w:asciiTheme="minorHAnsi" w:hAnsiTheme="minorHAnsi"/>
        </w:rPr>
        <w:t xml:space="preserve">pecific </w:t>
      </w:r>
      <w:r w:rsidR="00600D78" w:rsidRPr="46BA6153">
        <w:rPr>
          <w:rFonts w:asciiTheme="minorHAnsi" w:hAnsiTheme="minorHAnsi"/>
        </w:rPr>
        <w:t xml:space="preserve">DRR </w:t>
      </w:r>
      <w:r w:rsidR="006A653A" w:rsidRPr="46BA6153">
        <w:rPr>
          <w:rFonts w:asciiTheme="minorHAnsi" w:hAnsiTheme="minorHAnsi"/>
        </w:rPr>
        <w:t>allocation</w:t>
      </w:r>
      <w:r w:rsidR="00600D78" w:rsidRPr="46BA6153">
        <w:rPr>
          <w:rFonts w:asciiTheme="minorHAnsi" w:hAnsiTheme="minorHAnsi"/>
        </w:rPr>
        <w:t>s, or how climate change and DRR investments intersect or differ,</w:t>
      </w:r>
      <w:r w:rsidR="006A653A" w:rsidRPr="46BA6153">
        <w:rPr>
          <w:rFonts w:asciiTheme="minorHAnsi" w:hAnsiTheme="minorHAnsi"/>
        </w:rPr>
        <w:t xml:space="preserve"> </w:t>
      </w:r>
      <w:r w:rsidR="00B8288B" w:rsidRPr="46BA6153">
        <w:rPr>
          <w:rFonts w:asciiTheme="minorHAnsi" w:hAnsiTheme="minorHAnsi"/>
        </w:rPr>
        <w:t xml:space="preserve">within </w:t>
      </w:r>
      <w:r w:rsidR="006A653A" w:rsidRPr="46BA6153">
        <w:rPr>
          <w:rFonts w:asciiTheme="minorHAnsi" w:hAnsiTheme="minorHAnsi"/>
        </w:rPr>
        <w:t xml:space="preserve">wider </w:t>
      </w:r>
      <w:r w:rsidR="00600D78" w:rsidRPr="46BA6153">
        <w:rPr>
          <w:rFonts w:asciiTheme="minorHAnsi" w:hAnsiTheme="minorHAnsi"/>
        </w:rPr>
        <w:t xml:space="preserve">development </w:t>
      </w:r>
      <w:r w:rsidR="006A653A" w:rsidRPr="46BA6153">
        <w:rPr>
          <w:rFonts w:asciiTheme="minorHAnsi" w:hAnsiTheme="minorHAnsi"/>
        </w:rPr>
        <w:t>investments</w:t>
      </w:r>
      <w:r w:rsidR="00B8288B" w:rsidRPr="46BA6153">
        <w:rPr>
          <w:rFonts w:asciiTheme="minorHAnsi" w:hAnsiTheme="minorHAnsi"/>
        </w:rPr>
        <w:t xml:space="preserve"> are not immediately clear</w:t>
      </w:r>
      <w:r w:rsidR="006A653A" w:rsidRPr="46BA6153">
        <w:rPr>
          <w:rFonts w:asciiTheme="minorHAnsi" w:hAnsiTheme="minorHAnsi"/>
        </w:rPr>
        <w:t>.</w:t>
      </w:r>
      <w:r w:rsidRPr="46BA6153">
        <w:rPr>
          <w:rFonts w:asciiTheme="minorHAnsi" w:hAnsiTheme="minorHAnsi"/>
        </w:rPr>
        <w:t xml:space="preserve"> Specific national budget allocations for disability</w:t>
      </w:r>
      <w:r w:rsidR="006A653A" w:rsidRPr="46BA6153">
        <w:rPr>
          <w:rFonts w:asciiTheme="minorHAnsi" w:hAnsiTheme="minorHAnsi"/>
        </w:rPr>
        <w:t xml:space="preserve"> </w:t>
      </w:r>
      <w:r w:rsidRPr="46BA6153">
        <w:rPr>
          <w:rFonts w:asciiTheme="minorHAnsi" w:hAnsiTheme="minorHAnsi"/>
        </w:rPr>
        <w:t>inclusi</w:t>
      </w:r>
      <w:r w:rsidR="00B8288B" w:rsidRPr="46BA6153">
        <w:rPr>
          <w:rFonts w:asciiTheme="minorHAnsi" w:hAnsiTheme="minorHAnsi"/>
        </w:rPr>
        <w:t>on in</w:t>
      </w:r>
      <w:r w:rsidRPr="46BA6153">
        <w:rPr>
          <w:rFonts w:asciiTheme="minorHAnsi" w:hAnsiTheme="minorHAnsi"/>
        </w:rPr>
        <w:t xml:space="preserve"> DRR were not identified in the preparation of this </w:t>
      </w:r>
      <w:r w:rsidR="0086609F">
        <w:rPr>
          <w:rFonts w:asciiTheme="minorHAnsi" w:hAnsiTheme="minorHAnsi"/>
        </w:rPr>
        <w:t>review</w:t>
      </w:r>
      <w:r w:rsidRPr="46BA6153">
        <w:rPr>
          <w:rFonts w:asciiTheme="minorHAnsi" w:hAnsiTheme="minorHAnsi"/>
        </w:rPr>
        <w:t>.</w:t>
      </w:r>
    </w:p>
    <w:p w14:paraId="4059725A" w14:textId="4284BED9" w:rsidR="009021A8" w:rsidRDefault="009021A8" w:rsidP="00C61070">
      <w:pPr>
        <w:spacing w:after="0" w:line="240" w:lineRule="auto"/>
        <w:rPr>
          <w:rFonts w:asciiTheme="minorHAnsi" w:hAnsiTheme="minorHAnsi" w:cstheme="minorHAnsi"/>
        </w:rPr>
      </w:pPr>
    </w:p>
    <w:p w14:paraId="799A6C63" w14:textId="4EF77BE6" w:rsidR="009021A8" w:rsidRDefault="00BD0B6C" w:rsidP="00C61070">
      <w:pPr>
        <w:spacing w:after="0" w:line="240" w:lineRule="auto"/>
        <w:rPr>
          <w:rFonts w:asciiTheme="minorHAnsi" w:hAnsiTheme="minorHAnsi" w:cstheme="minorHAnsi"/>
        </w:rPr>
      </w:pPr>
      <w:r>
        <w:rPr>
          <w:rFonts w:asciiTheme="minorHAnsi" w:hAnsiTheme="minorHAnsi" w:cstheme="minorHAnsi"/>
        </w:rPr>
        <w:t xml:space="preserve">Overall, budget allocations to disability are not well documented and </w:t>
      </w:r>
      <w:r w:rsidR="00600D78">
        <w:rPr>
          <w:rFonts w:asciiTheme="minorHAnsi" w:hAnsiTheme="minorHAnsi" w:cstheme="minorHAnsi"/>
        </w:rPr>
        <w:t>can be</w:t>
      </w:r>
      <w:r>
        <w:rPr>
          <w:rFonts w:asciiTheme="minorHAnsi" w:hAnsiTheme="minorHAnsi" w:cstheme="minorHAnsi"/>
        </w:rPr>
        <w:t xml:space="preserve"> hard to identify. A recent initiative to identify national budget allocations for meeting CRPD obligations suggests 0.22% of Fiji’s national budget</w:t>
      </w:r>
      <w:r w:rsidR="00600D78">
        <w:rPr>
          <w:rFonts w:asciiTheme="minorHAnsi" w:hAnsiTheme="minorHAnsi" w:cstheme="minorHAnsi"/>
        </w:rPr>
        <w:t xml:space="preserve">, </w:t>
      </w:r>
      <w:r>
        <w:rPr>
          <w:rFonts w:asciiTheme="minorHAnsi" w:hAnsiTheme="minorHAnsi" w:cstheme="minorHAnsi"/>
        </w:rPr>
        <w:t>2020-2021 was allocated to persons with disabilities.</w:t>
      </w:r>
      <w:r>
        <w:rPr>
          <w:rStyle w:val="FootnoteReference"/>
          <w:rFonts w:asciiTheme="minorHAnsi" w:hAnsiTheme="minorHAnsi" w:cstheme="minorHAnsi"/>
        </w:rPr>
        <w:footnoteReference w:id="42"/>
      </w:r>
      <w:r>
        <w:rPr>
          <w:rFonts w:asciiTheme="minorHAnsi" w:hAnsiTheme="minorHAnsi" w:cstheme="minorHAnsi"/>
        </w:rPr>
        <w:t xml:space="preserve"> This is in relation to disability prevalence </w:t>
      </w:r>
      <w:r w:rsidR="00600D78">
        <w:rPr>
          <w:rFonts w:asciiTheme="minorHAnsi" w:hAnsiTheme="minorHAnsi" w:cstheme="minorHAnsi"/>
        </w:rPr>
        <w:t>figures</w:t>
      </w:r>
      <w:r>
        <w:rPr>
          <w:rFonts w:asciiTheme="minorHAnsi" w:hAnsiTheme="minorHAnsi" w:cstheme="minorHAnsi"/>
        </w:rPr>
        <w:t xml:space="preserve"> of 13.7%. </w:t>
      </w:r>
      <w:r w:rsidR="00600D78">
        <w:rPr>
          <w:rFonts w:asciiTheme="minorHAnsi" w:hAnsiTheme="minorHAnsi" w:cstheme="minorHAnsi"/>
        </w:rPr>
        <w:t xml:space="preserve">The initiative </w:t>
      </w:r>
      <w:r w:rsidR="00B8288B">
        <w:rPr>
          <w:rFonts w:asciiTheme="minorHAnsi" w:hAnsiTheme="minorHAnsi" w:cstheme="minorHAnsi"/>
        </w:rPr>
        <w:t xml:space="preserve">is a work in progress and </w:t>
      </w:r>
      <w:r w:rsidR="00600D78">
        <w:rPr>
          <w:rFonts w:asciiTheme="minorHAnsi" w:hAnsiTheme="minorHAnsi" w:cstheme="minorHAnsi"/>
        </w:rPr>
        <w:t>has no</w:t>
      </w:r>
      <w:r>
        <w:rPr>
          <w:rFonts w:asciiTheme="minorHAnsi" w:hAnsiTheme="minorHAnsi" w:cstheme="minorHAnsi"/>
        </w:rPr>
        <w:t xml:space="preserve"> information </w:t>
      </w:r>
      <w:r w:rsidR="00600D78">
        <w:rPr>
          <w:rFonts w:asciiTheme="minorHAnsi" w:hAnsiTheme="minorHAnsi" w:cstheme="minorHAnsi"/>
        </w:rPr>
        <w:t xml:space="preserve">on sectoral allocations to </w:t>
      </w:r>
      <w:r>
        <w:rPr>
          <w:rFonts w:asciiTheme="minorHAnsi" w:hAnsiTheme="minorHAnsi" w:cstheme="minorHAnsi"/>
        </w:rPr>
        <w:t>Article 11</w:t>
      </w:r>
      <w:r w:rsidR="007A0571">
        <w:rPr>
          <w:rFonts w:asciiTheme="minorHAnsi" w:hAnsiTheme="minorHAnsi" w:cstheme="minorHAnsi"/>
        </w:rPr>
        <w:t xml:space="preserve"> of the CRPD</w:t>
      </w:r>
      <w:r>
        <w:rPr>
          <w:rFonts w:asciiTheme="minorHAnsi" w:hAnsiTheme="minorHAnsi" w:cstheme="minorHAnsi"/>
        </w:rPr>
        <w:t>.</w:t>
      </w:r>
    </w:p>
    <w:p w14:paraId="46B7B8CA" w14:textId="1138EC36" w:rsidR="001166BB" w:rsidRDefault="001166BB" w:rsidP="00C61070">
      <w:pPr>
        <w:spacing w:after="0" w:line="240" w:lineRule="auto"/>
        <w:rPr>
          <w:rFonts w:asciiTheme="minorHAnsi" w:hAnsiTheme="minorHAnsi" w:cstheme="minorHAnsi"/>
        </w:rPr>
      </w:pPr>
    </w:p>
    <w:p w14:paraId="5FEA24FF" w14:textId="5F521396" w:rsidR="009B36D9" w:rsidRDefault="00600D78" w:rsidP="00C61070">
      <w:pPr>
        <w:spacing w:after="0" w:line="240" w:lineRule="auto"/>
        <w:rPr>
          <w:rFonts w:asciiTheme="minorHAnsi" w:hAnsiTheme="minorHAnsi" w:cstheme="minorHAnsi"/>
        </w:rPr>
      </w:pPr>
      <w:r>
        <w:rPr>
          <w:rFonts w:asciiTheme="minorHAnsi" w:hAnsiTheme="minorHAnsi" w:cstheme="minorHAnsi"/>
        </w:rPr>
        <w:t xml:space="preserve">Identifying precise budget allocations </w:t>
      </w:r>
      <w:r w:rsidR="00881D41">
        <w:rPr>
          <w:rFonts w:asciiTheme="minorHAnsi" w:hAnsiTheme="minorHAnsi" w:cstheme="minorHAnsi"/>
        </w:rPr>
        <w:t xml:space="preserve">for disability </w:t>
      </w:r>
      <w:r>
        <w:rPr>
          <w:rFonts w:asciiTheme="minorHAnsi" w:hAnsiTheme="minorHAnsi" w:cstheme="minorHAnsi"/>
        </w:rPr>
        <w:t xml:space="preserve">in individual aid programmes is also not straightforward. An Australian </w:t>
      </w:r>
      <w:r w:rsidR="00881D41">
        <w:rPr>
          <w:rFonts w:asciiTheme="minorHAnsi" w:hAnsiTheme="minorHAnsi" w:cstheme="minorHAnsi"/>
        </w:rPr>
        <w:t>AUD</w:t>
      </w:r>
      <w:r w:rsidR="007A0571">
        <w:rPr>
          <w:rFonts w:asciiTheme="minorHAnsi" w:hAnsiTheme="minorHAnsi" w:cstheme="minorHAnsi"/>
        </w:rPr>
        <w:t xml:space="preserve"> </w:t>
      </w:r>
      <w:r w:rsidR="001166BB">
        <w:rPr>
          <w:rFonts w:asciiTheme="minorHAnsi" w:hAnsiTheme="minorHAnsi" w:cstheme="minorHAnsi"/>
        </w:rPr>
        <w:t xml:space="preserve">50 </w:t>
      </w:r>
      <w:r>
        <w:rPr>
          <w:rFonts w:asciiTheme="minorHAnsi" w:hAnsiTheme="minorHAnsi" w:cstheme="minorHAnsi"/>
        </w:rPr>
        <w:t xml:space="preserve">million investment in disaster preparedness in the Pacific has included several disability focused interventions, including the establishment of DRR focal points </w:t>
      </w:r>
      <w:r w:rsidR="009B36D9">
        <w:rPr>
          <w:rFonts w:asciiTheme="minorHAnsi" w:hAnsiTheme="minorHAnsi" w:cstheme="minorHAnsi"/>
        </w:rPr>
        <w:t xml:space="preserve">within national OPDs </w:t>
      </w:r>
      <w:r w:rsidR="00881D41">
        <w:rPr>
          <w:rFonts w:asciiTheme="minorHAnsi" w:hAnsiTheme="minorHAnsi" w:cstheme="minorHAnsi"/>
        </w:rPr>
        <w:t xml:space="preserve">and access to technical assistance </w:t>
      </w:r>
      <w:r w:rsidR="00D006A5">
        <w:rPr>
          <w:rFonts w:asciiTheme="minorHAnsi" w:hAnsiTheme="minorHAnsi" w:cstheme="minorHAnsi"/>
        </w:rPr>
        <w:t xml:space="preserve">on disability for implementing partners </w:t>
      </w:r>
      <w:r w:rsidR="00881D41">
        <w:rPr>
          <w:rFonts w:asciiTheme="minorHAnsi" w:hAnsiTheme="minorHAnsi" w:cstheme="minorHAnsi"/>
        </w:rPr>
        <w:t>funded from individual partner budgets. A</w:t>
      </w:r>
      <w:r w:rsidR="009B36D9">
        <w:rPr>
          <w:rFonts w:asciiTheme="minorHAnsi" w:hAnsiTheme="minorHAnsi" w:cstheme="minorHAnsi"/>
        </w:rPr>
        <w:t xml:space="preserve">n external evaluation </w:t>
      </w:r>
      <w:r w:rsidR="006468CA">
        <w:rPr>
          <w:rFonts w:asciiTheme="minorHAnsi" w:hAnsiTheme="minorHAnsi" w:cstheme="minorHAnsi"/>
        </w:rPr>
        <w:t xml:space="preserve">focusing on disability inclusion </w:t>
      </w:r>
      <w:r w:rsidR="009B36D9">
        <w:rPr>
          <w:rFonts w:asciiTheme="minorHAnsi" w:hAnsiTheme="minorHAnsi" w:cstheme="minorHAnsi"/>
        </w:rPr>
        <w:t>note</w:t>
      </w:r>
      <w:r w:rsidR="00B8288B">
        <w:rPr>
          <w:rFonts w:asciiTheme="minorHAnsi" w:hAnsiTheme="minorHAnsi" w:cstheme="minorHAnsi"/>
        </w:rPr>
        <w:t>d</w:t>
      </w:r>
      <w:r w:rsidR="009B36D9">
        <w:rPr>
          <w:rFonts w:asciiTheme="minorHAnsi" w:hAnsiTheme="minorHAnsi" w:cstheme="minorHAnsi"/>
        </w:rPr>
        <w:t xml:space="preserve"> a</w:t>
      </w:r>
      <w:r w:rsidR="00881D41">
        <w:rPr>
          <w:rFonts w:asciiTheme="minorHAnsi" w:hAnsiTheme="minorHAnsi" w:cstheme="minorHAnsi"/>
        </w:rPr>
        <w:t>dditional in-country budget allocations of between AUD</w:t>
      </w:r>
      <w:r w:rsidR="007A0571">
        <w:rPr>
          <w:rFonts w:asciiTheme="minorHAnsi" w:hAnsiTheme="minorHAnsi" w:cstheme="minorHAnsi"/>
        </w:rPr>
        <w:t xml:space="preserve"> </w:t>
      </w:r>
      <w:r w:rsidR="00881D41">
        <w:rPr>
          <w:rFonts w:asciiTheme="minorHAnsi" w:hAnsiTheme="minorHAnsi" w:cstheme="minorHAnsi"/>
        </w:rPr>
        <w:t>25</w:t>
      </w:r>
      <w:r w:rsidR="009B36D9">
        <w:rPr>
          <w:rFonts w:asciiTheme="minorHAnsi" w:hAnsiTheme="minorHAnsi" w:cstheme="minorHAnsi"/>
        </w:rPr>
        <w:t xml:space="preserve">,000 to </w:t>
      </w:r>
      <w:r w:rsidR="00881D41">
        <w:rPr>
          <w:rFonts w:asciiTheme="minorHAnsi" w:hAnsiTheme="minorHAnsi" w:cstheme="minorHAnsi"/>
        </w:rPr>
        <w:t xml:space="preserve">35,000 </w:t>
      </w:r>
      <w:r w:rsidR="00B8288B">
        <w:rPr>
          <w:rFonts w:asciiTheme="minorHAnsi" w:hAnsiTheme="minorHAnsi" w:cstheme="minorHAnsi"/>
        </w:rPr>
        <w:t>were</w:t>
      </w:r>
      <w:r w:rsidR="009B36D9">
        <w:rPr>
          <w:rFonts w:asciiTheme="minorHAnsi" w:hAnsiTheme="minorHAnsi" w:cstheme="minorHAnsi"/>
        </w:rPr>
        <w:t xml:space="preserve"> provided for “partners to plan and implement their work in a disability inclusive way.”</w:t>
      </w:r>
      <w:r w:rsidR="009B36D9">
        <w:rPr>
          <w:rStyle w:val="FootnoteReference"/>
          <w:rFonts w:asciiTheme="minorHAnsi" w:hAnsiTheme="minorHAnsi" w:cstheme="minorHAnsi"/>
        </w:rPr>
        <w:footnoteReference w:id="43"/>
      </w:r>
      <w:r w:rsidR="009B36D9">
        <w:rPr>
          <w:rFonts w:asciiTheme="minorHAnsi" w:hAnsiTheme="minorHAnsi" w:cstheme="minorHAnsi"/>
        </w:rPr>
        <w:t xml:space="preserve"> These allocations are low in absolute and percentage terms. A mid-term review noted during the first two years of implementation 1.8% of </w:t>
      </w:r>
      <w:r w:rsidR="0086609F">
        <w:rPr>
          <w:rFonts w:asciiTheme="minorHAnsi" w:hAnsiTheme="minorHAnsi" w:cstheme="minorHAnsi"/>
        </w:rPr>
        <w:t xml:space="preserve">the </w:t>
      </w:r>
      <w:r w:rsidR="009B36D9">
        <w:rPr>
          <w:rFonts w:asciiTheme="minorHAnsi" w:hAnsiTheme="minorHAnsi" w:cstheme="minorHAnsi"/>
        </w:rPr>
        <w:t>programme</w:t>
      </w:r>
      <w:r w:rsidR="0086609F">
        <w:rPr>
          <w:rFonts w:asciiTheme="minorHAnsi" w:hAnsiTheme="minorHAnsi" w:cstheme="minorHAnsi"/>
        </w:rPr>
        <w:t>’s</w:t>
      </w:r>
      <w:r w:rsidR="009B36D9">
        <w:rPr>
          <w:rFonts w:asciiTheme="minorHAnsi" w:hAnsiTheme="minorHAnsi" w:cstheme="minorHAnsi"/>
        </w:rPr>
        <w:t xml:space="preserve"> beneficiaries were persons with disabilities.</w:t>
      </w:r>
      <w:r w:rsidR="009B36D9">
        <w:rPr>
          <w:rStyle w:val="FootnoteReference"/>
          <w:rFonts w:asciiTheme="minorHAnsi" w:hAnsiTheme="minorHAnsi" w:cstheme="minorHAnsi"/>
        </w:rPr>
        <w:footnoteReference w:id="44"/>
      </w:r>
    </w:p>
    <w:p w14:paraId="72FF65F3" w14:textId="4AF7218C" w:rsidR="006468CA" w:rsidRDefault="006468CA" w:rsidP="00C61070">
      <w:pPr>
        <w:spacing w:after="0" w:line="240" w:lineRule="auto"/>
        <w:rPr>
          <w:rFonts w:asciiTheme="minorHAnsi" w:hAnsiTheme="minorHAnsi" w:cstheme="minorHAnsi"/>
        </w:rPr>
      </w:pPr>
    </w:p>
    <w:p w14:paraId="15D18A1E" w14:textId="656BC115" w:rsidR="00725E1A" w:rsidRDefault="0084034E" w:rsidP="00C61070">
      <w:pPr>
        <w:spacing w:after="0" w:line="240" w:lineRule="auto"/>
        <w:rPr>
          <w:rFonts w:asciiTheme="minorHAnsi" w:hAnsiTheme="minorHAnsi" w:cstheme="minorHAnsi"/>
        </w:rPr>
      </w:pPr>
      <w:r>
        <w:rPr>
          <w:rFonts w:asciiTheme="minorHAnsi" w:hAnsiTheme="minorHAnsi" w:cstheme="minorHAnsi"/>
        </w:rPr>
        <w:t>I</w:t>
      </w:r>
      <w:r w:rsidR="006468CA">
        <w:rPr>
          <w:rFonts w:asciiTheme="minorHAnsi" w:hAnsiTheme="minorHAnsi" w:cstheme="minorHAnsi"/>
        </w:rPr>
        <w:t xml:space="preserve">nitiatives such as the establishment of DRR focal points in national OPDs </w:t>
      </w:r>
      <w:r>
        <w:rPr>
          <w:rFonts w:asciiTheme="minorHAnsi" w:hAnsiTheme="minorHAnsi" w:cstheme="minorHAnsi"/>
        </w:rPr>
        <w:t>indicate progress, but t</w:t>
      </w:r>
      <w:r w:rsidR="006468CA">
        <w:rPr>
          <w:rFonts w:asciiTheme="minorHAnsi" w:hAnsiTheme="minorHAnsi" w:cstheme="minorHAnsi"/>
        </w:rPr>
        <w:t xml:space="preserve">hey </w:t>
      </w:r>
      <w:r>
        <w:rPr>
          <w:rFonts w:asciiTheme="minorHAnsi" w:hAnsiTheme="minorHAnsi" w:cstheme="minorHAnsi"/>
        </w:rPr>
        <w:t xml:space="preserve">are yet </w:t>
      </w:r>
      <w:r w:rsidR="006468CA">
        <w:rPr>
          <w:rFonts w:asciiTheme="minorHAnsi" w:hAnsiTheme="minorHAnsi" w:cstheme="minorHAnsi"/>
        </w:rPr>
        <w:t>to be properly resourced. One DRR focal point noted they are expected to advise and support six</w:t>
      </w:r>
      <w:r w:rsidR="00E1547B">
        <w:rPr>
          <w:rFonts w:asciiTheme="minorHAnsi" w:hAnsiTheme="minorHAnsi" w:cstheme="minorHAnsi"/>
        </w:rPr>
        <w:t xml:space="preserve"> non-government organisation (</w:t>
      </w:r>
      <w:r w:rsidR="006468CA">
        <w:rPr>
          <w:rFonts w:asciiTheme="minorHAnsi" w:hAnsiTheme="minorHAnsi" w:cstheme="minorHAnsi"/>
        </w:rPr>
        <w:t>NGO</w:t>
      </w:r>
      <w:r w:rsidR="00E1547B">
        <w:rPr>
          <w:rFonts w:asciiTheme="minorHAnsi" w:hAnsiTheme="minorHAnsi" w:cstheme="minorHAnsi"/>
        </w:rPr>
        <w:t>)</w:t>
      </w:r>
      <w:r w:rsidR="006468CA">
        <w:rPr>
          <w:rFonts w:asciiTheme="minorHAnsi" w:hAnsiTheme="minorHAnsi" w:cstheme="minorHAnsi"/>
        </w:rPr>
        <w:t xml:space="preserve"> implementing partners</w:t>
      </w:r>
      <w:r w:rsidR="00B8288B">
        <w:rPr>
          <w:rFonts w:asciiTheme="minorHAnsi" w:hAnsiTheme="minorHAnsi" w:cstheme="minorHAnsi"/>
        </w:rPr>
        <w:t xml:space="preserve"> as well as raise awareness within communities</w:t>
      </w:r>
      <w:r w:rsidR="006468CA">
        <w:rPr>
          <w:rFonts w:asciiTheme="minorHAnsi" w:hAnsiTheme="minorHAnsi" w:cstheme="minorHAnsi"/>
        </w:rPr>
        <w:t>. This is outside of engage</w:t>
      </w:r>
      <w:r w:rsidR="00D006A5">
        <w:rPr>
          <w:rFonts w:asciiTheme="minorHAnsi" w:hAnsiTheme="minorHAnsi" w:cstheme="minorHAnsi"/>
        </w:rPr>
        <w:t>ment</w:t>
      </w:r>
      <w:r w:rsidR="006468CA">
        <w:rPr>
          <w:rFonts w:asciiTheme="minorHAnsi" w:hAnsiTheme="minorHAnsi" w:cstheme="minorHAnsi"/>
        </w:rPr>
        <w:t xml:space="preserve"> </w:t>
      </w:r>
      <w:r w:rsidR="00C04527">
        <w:rPr>
          <w:rFonts w:asciiTheme="minorHAnsi" w:hAnsiTheme="minorHAnsi" w:cstheme="minorHAnsi"/>
        </w:rPr>
        <w:t xml:space="preserve">with </w:t>
      </w:r>
      <w:r w:rsidR="006468CA">
        <w:rPr>
          <w:rFonts w:asciiTheme="minorHAnsi" w:hAnsiTheme="minorHAnsi" w:cstheme="minorHAnsi"/>
        </w:rPr>
        <w:t xml:space="preserve">multiple government agencies. </w:t>
      </w:r>
      <w:r w:rsidR="00B8288B">
        <w:rPr>
          <w:rFonts w:asciiTheme="minorHAnsi" w:hAnsiTheme="minorHAnsi" w:cstheme="minorHAnsi"/>
        </w:rPr>
        <w:t>S</w:t>
      </w:r>
      <w:r>
        <w:rPr>
          <w:rFonts w:asciiTheme="minorHAnsi" w:hAnsiTheme="minorHAnsi" w:cstheme="minorHAnsi"/>
        </w:rPr>
        <w:t>upport to national OPD DRR focal point</w:t>
      </w:r>
      <w:r w:rsidR="00C04527">
        <w:rPr>
          <w:rFonts w:asciiTheme="minorHAnsi" w:hAnsiTheme="minorHAnsi" w:cstheme="minorHAnsi"/>
        </w:rPr>
        <w:t>s</w:t>
      </w:r>
      <w:r>
        <w:rPr>
          <w:rFonts w:asciiTheme="minorHAnsi" w:hAnsiTheme="minorHAnsi" w:cstheme="minorHAnsi"/>
        </w:rPr>
        <w:t xml:space="preserve"> </w:t>
      </w:r>
      <w:r w:rsidR="00B8288B">
        <w:rPr>
          <w:rFonts w:asciiTheme="minorHAnsi" w:hAnsiTheme="minorHAnsi" w:cstheme="minorHAnsi"/>
        </w:rPr>
        <w:t>also differ</w:t>
      </w:r>
      <w:r>
        <w:rPr>
          <w:rFonts w:asciiTheme="minorHAnsi" w:hAnsiTheme="minorHAnsi" w:cstheme="minorHAnsi"/>
        </w:rPr>
        <w:t xml:space="preserve">. OPD </w:t>
      </w:r>
      <w:r w:rsidR="006468CA">
        <w:rPr>
          <w:rFonts w:asciiTheme="minorHAnsi" w:hAnsiTheme="minorHAnsi" w:cstheme="minorHAnsi"/>
        </w:rPr>
        <w:t>focal points supported by a New Zealand based NGO</w:t>
      </w:r>
      <w:r>
        <w:rPr>
          <w:rFonts w:asciiTheme="minorHAnsi" w:hAnsiTheme="minorHAnsi" w:cstheme="minorHAnsi"/>
        </w:rPr>
        <w:t xml:space="preserve"> </w:t>
      </w:r>
      <w:r w:rsidR="007A0571">
        <w:rPr>
          <w:rFonts w:asciiTheme="minorHAnsi" w:hAnsiTheme="minorHAnsi" w:cstheme="minorHAnsi"/>
        </w:rPr>
        <w:t>reported more resources being available for their own capacity building in comparison to their Australian supported colleagues.</w:t>
      </w:r>
      <w:r>
        <w:rPr>
          <w:rStyle w:val="FootnoteReference"/>
          <w:rFonts w:asciiTheme="minorHAnsi" w:hAnsiTheme="minorHAnsi" w:cstheme="minorHAnsi"/>
        </w:rPr>
        <w:footnoteReference w:id="45"/>
      </w:r>
      <w:r w:rsidR="006468CA">
        <w:rPr>
          <w:rFonts w:asciiTheme="minorHAnsi" w:hAnsiTheme="minorHAnsi" w:cstheme="minorHAnsi"/>
        </w:rPr>
        <w:t xml:space="preserve"> </w:t>
      </w:r>
      <w:r>
        <w:rPr>
          <w:rFonts w:asciiTheme="minorHAnsi" w:hAnsiTheme="minorHAnsi" w:cstheme="minorHAnsi"/>
        </w:rPr>
        <w:t xml:space="preserve">The long-term sustainability of these </w:t>
      </w:r>
      <w:r w:rsidR="00B8288B">
        <w:rPr>
          <w:rFonts w:asciiTheme="minorHAnsi" w:hAnsiTheme="minorHAnsi" w:cstheme="minorHAnsi"/>
        </w:rPr>
        <w:t xml:space="preserve">externally funded </w:t>
      </w:r>
      <w:r>
        <w:rPr>
          <w:rFonts w:asciiTheme="minorHAnsi" w:hAnsiTheme="minorHAnsi" w:cstheme="minorHAnsi"/>
        </w:rPr>
        <w:t xml:space="preserve">initiatives </w:t>
      </w:r>
      <w:r w:rsidR="007A0571">
        <w:rPr>
          <w:rFonts w:asciiTheme="minorHAnsi" w:hAnsiTheme="minorHAnsi" w:cstheme="minorHAnsi"/>
        </w:rPr>
        <w:t xml:space="preserve">remains </w:t>
      </w:r>
      <w:r>
        <w:rPr>
          <w:rFonts w:asciiTheme="minorHAnsi" w:hAnsiTheme="minorHAnsi" w:cstheme="minorHAnsi"/>
        </w:rPr>
        <w:t>an open question.</w:t>
      </w:r>
    </w:p>
    <w:p w14:paraId="499DA7FE" w14:textId="77777777" w:rsidR="00725E1A" w:rsidRDefault="00725E1A" w:rsidP="00C61070">
      <w:pPr>
        <w:spacing w:after="0" w:line="240" w:lineRule="auto"/>
        <w:rPr>
          <w:rFonts w:asciiTheme="minorHAnsi" w:hAnsiTheme="minorHAnsi" w:cstheme="minorHAnsi"/>
        </w:rPr>
      </w:pPr>
    </w:p>
    <w:p w14:paraId="05CEE4E2" w14:textId="0063DC4D" w:rsidR="006468CA" w:rsidRDefault="0084034E" w:rsidP="00C61070">
      <w:pPr>
        <w:spacing w:after="0" w:line="240" w:lineRule="auto"/>
        <w:rPr>
          <w:rFonts w:asciiTheme="minorHAnsi" w:hAnsiTheme="minorHAnsi" w:cstheme="minorHAnsi"/>
        </w:rPr>
      </w:pPr>
      <w:r w:rsidRPr="0084034E">
        <w:rPr>
          <w:rFonts w:asciiTheme="minorHAnsi" w:hAnsiTheme="minorHAnsi" w:cstheme="minorHAnsi"/>
        </w:rPr>
        <w:lastRenderedPageBreak/>
        <w:t xml:space="preserve">Fiji’s National Council </w:t>
      </w:r>
      <w:r w:rsidR="00BA1D70">
        <w:rPr>
          <w:rFonts w:asciiTheme="minorHAnsi" w:hAnsiTheme="minorHAnsi" w:cstheme="minorHAnsi"/>
        </w:rPr>
        <w:t>for Persons with Disabilities</w:t>
      </w:r>
      <w:r w:rsidR="00BA1D70" w:rsidRPr="0084034E">
        <w:rPr>
          <w:rFonts w:asciiTheme="minorHAnsi" w:hAnsiTheme="minorHAnsi" w:cstheme="minorHAnsi"/>
        </w:rPr>
        <w:t xml:space="preserve"> </w:t>
      </w:r>
      <w:r w:rsidR="00C04527">
        <w:rPr>
          <w:rFonts w:asciiTheme="minorHAnsi" w:hAnsiTheme="minorHAnsi" w:cstheme="minorHAnsi"/>
        </w:rPr>
        <w:t xml:space="preserve">has </w:t>
      </w:r>
      <w:r w:rsidR="00C129CC">
        <w:rPr>
          <w:rFonts w:asciiTheme="minorHAnsi" w:hAnsiTheme="minorHAnsi" w:cstheme="minorHAnsi"/>
        </w:rPr>
        <w:t xml:space="preserve">established an </w:t>
      </w:r>
      <w:r w:rsidRPr="0084034E">
        <w:rPr>
          <w:rFonts w:asciiTheme="minorHAnsi" w:hAnsiTheme="minorHAnsi" w:cstheme="minorHAnsi"/>
        </w:rPr>
        <w:t xml:space="preserve">emergency operations centre (EOC) </w:t>
      </w:r>
      <w:r w:rsidR="00C04527">
        <w:rPr>
          <w:rFonts w:asciiTheme="minorHAnsi" w:hAnsiTheme="minorHAnsi" w:cstheme="minorHAnsi"/>
        </w:rPr>
        <w:t>focusing on persons with disabilities during disaster response.</w:t>
      </w:r>
      <w:r w:rsidR="00C129CC">
        <w:rPr>
          <w:rFonts w:asciiTheme="minorHAnsi" w:hAnsiTheme="minorHAnsi" w:cstheme="minorHAnsi"/>
        </w:rPr>
        <w:t xml:space="preserve"> The EOC </w:t>
      </w:r>
      <w:r w:rsidRPr="0084034E">
        <w:rPr>
          <w:rFonts w:asciiTheme="minorHAnsi" w:hAnsiTheme="minorHAnsi" w:cstheme="minorHAnsi"/>
        </w:rPr>
        <w:t>has been run by volunteers with disabilities through five tropical cyclone</w:t>
      </w:r>
      <w:r w:rsidR="000C7E6B">
        <w:rPr>
          <w:rFonts w:asciiTheme="minorHAnsi" w:hAnsiTheme="minorHAnsi" w:cstheme="minorHAnsi"/>
        </w:rPr>
        <w:t xml:space="preserve"> response</w:t>
      </w:r>
      <w:r w:rsidRPr="0084034E">
        <w:rPr>
          <w:rFonts w:asciiTheme="minorHAnsi" w:hAnsiTheme="minorHAnsi" w:cstheme="minorHAnsi"/>
        </w:rPr>
        <w:t>s</w:t>
      </w:r>
      <w:r w:rsidR="00725E1A">
        <w:rPr>
          <w:rFonts w:asciiTheme="minorHAnsi" w:hAnsiTheme="minorHAnsi" w:cstheme="minorHAnsi"/>
        </w:rPr>
        <w:t xml:space="preserve">. </w:t>
      </w:r>
      <w:r w:rsidR="00EA219E">
        <w:rPr>
          <w:rFonts w:asciiTheme="minorHAnsi" w:hAnsiTheme="minorHAnsi" w:cstheme="minorHAnsi"/>
        </w:rPr>
        <w:t>T</w:t>
      </w:r>
      <w:r w:rsidR="00725E1A">
        <w:rPr>
          <w:rFonts w:asciiTheme="minorHAnsi" w:hAnsiTheme="minorHAnsi" w:cstheme="minorHAnsi"/>
        </w:rPr>
        <w:t xml:space="preserve">here is no core funding </w:t>
      </w:r>
      <w:r w:rsidR="00EA219E">
        <w:rPr>
          <w:rFonts w:asciiTheme="minorHAnsi" w:hAnsiTheme="minorHAnsi" w:cstheme="minorHAnsi"/>
        </w:rPr>
        <w:t xml:space="preserve">for the EOC </w:t>
      </w:r>
      <w:r w:rsidR="00725E1A">
        <w:rPr>
          <w:rFonts w:asciiTheme="minorHAnsi" w:hAnsiTheme="minorHAnsi" w:cstheme="minorHAnsi"/>
        </w:rPr>
        <w:t>and volunteers were reported as bring</w:t>
      </w:r>
      <w:r w:rsidR="00C129CC">
        <w:rPr>
          <w:rFonts w:asciiTheme="minorHAnsi" w:hAnsiTheme="minorHAnsi" w:cstheme="minorHAnsi"/>
        </w:rPr>
        <w:t>ing</w:t>
      </w:r>
      <w:r w:rsidR="00725E1A">
        <w:rPr>
          <w:rFonts w:asciiTheme="minorHAnsi" w:hAnsiTheme="minorHAnsi" w:cstheme="minorHAnsi"/>
        </w:rPr>
        <w:t xml:space="preserve"> their own bedding and food and contributing as best they can for as long as they can. Although acting as a resource centre on disability during cyclone responses, EOC </w:t>
      </w:r>
      <w:r w:rsidR="00C04527">
        <w:rPr>
          <w:rFonts w:asciiTheme="minorHAnsi" w:hAnsiTheme="minorHAnsi" w:cstheme="minorHAnsi"/>
        </w:rPr>
        <w:t>volunteers reported r</w:t>
      </w:r>
      <w:r w:rsidR="00725E1A">
        <w:rPr>
          <w:rFonts w:asciiTheme="minorHAnsi" w:hAnsiTheme="minorHAnsi" w:cstheme="minorHAnsi"/>
        </w:rPr>
        <w:t>eceiv</w:t>
      </w:r>
      <w:r w:rsidR="00C04527">
        <w:rPr>
          <w:rFonts w:asciiTheme="minorHAnsi" w:hAnsiTheme="minorHAnsi" w:cstheme="minorHAnsi"/>
        </w:rPr>
        <w:t xml:space="preserve">ing </w:t>
      </w:r>
      <w:r w:rsidR="00725E1A">
        <w:rPr>
          <w:rFonts w:asciiTheme="minorHAnsi" w:hAnsiTheme="minorHAnsi" w:cstheme="minorHAnsi"/>
        </w:rPr>
        <w:t>no</w:t>
      </w:r>
      <w:r w:rsidR="00C129CC">
        <w:rPr>
          <w:rFonts w:asciiTheme="minorHAnsi" w:hAnsiTheme="minorHAnsi" w:cstheme="minorHAnsi"/>
        </w:rPr>
        <w:t xml:space="preserve"> technical</w:t>
      </w:r>
      <w:r w:rsidR="00725E1A">
        <w:rPr>
          <w:rFonts w:asciiTheme="minorHAnsi" w:hAnsiTheme="minorHAnsi" w:cstheme="minorHAnsi"/>
        </w:rPr>
        <w:t xml:space="preserve"> training</w:t>
      </w:r>
      <w:r w:rsidR="00C129CC">
        <w:rPr>
          <w:rFonts w:asciiTheme="minorHAnsi" w:hAnsiTheme="minorHAnsi" w:cstheme="minorHAnsi"/>
        </w:rPr>
        <w:t>.</w:t>
      </w:r>
      <w:r w:rsidR="000C7E6B">
        <w:rPr>
          <w:rFonts w:asciiTheme="minorHAnsi" w:hAnsiTheme="minorHAnsi" w:cstheme="minorHAnsi"/>
        </w:rPr>
        <w:t xml:space="preserve"> </w:t>
      </w:r>
      <w:r w:rsidR="00EA219E">
        <w:rPr>
          <w:rFonts w:asciiTheme="minorHAnsi" w:hAnsiTheme="minorHAnsi" w:cstheme="minorHAnsi"/>
        </w:rPr>
        <w:t>Suitable NDMO t</w:t>
      </w:r>
      <w:r w:rsidR="00725E1A">
        <w:rPr>
          <w:rFonts w:asciiTheme="minorHAnsi" w:hAnsiTheme="minorHAnsi" w:cstheme="minorHAnsi"/>
        </w:rPr>
        <w:t>rainings were reported as available and</w:t>
      </w:r>
      <w:r w:rsidR="001A4EAC">
        <w:rPr>
          <w:rFonts w:asciiTheme="minorHAnsi" w:hAnsiTheme="minorHAnsi" w:cstheme="minorHAnsi"/>
        </w:rPr>
        <w:t xml:space="preserve"> </w:t>
      </w:r>
      <w:r w:rsidR="00725E1A">
        <w:rPr>
          <w:rFonts w:asciiTheme="minorHAnsi" w:hAnsiTheme="minorHAnsi" w:cstheme="minorHAnsi"/>
        </w:rPr>
        <w:t>provided to the districts</w:t>
      </w:r>
      <w:r w:rsidR="007A0571">
        <w:rPr>
          <w:rFonts w:asciiTheme="minorHAnsi" w:hAnsiTheme="minorHAnsi" w:cstheme="minorHAnsi"/>
        </w:rPr>
        <w:t xml:space="preserve"> but not to the EOC</w:t>
      </w:r>
      <w:r w:rsidR="00725E1A">
        <w:rPr>
          <w:rFonts w:asciiTheme="minorHAnsi" w:hAnsiTheme="minorHAnsi" w:cstheme="minorHAnsi"/>
        </w:rPr>
        <w:t xml:space="preserve">. </w:t>
      </w:r>
      <w:r w:rsidR="00C04527">
        <w:rPr>
          <w:rFonts w:asciiTheme="minorHAnsi" w:hAnsiTheme="minorHAnsi" w:cstheme="minorHAnsi"/>
        </w:rPr>
        <w:t>Moving forward, t</w:t>
      </w:r>
      <w:r w:rsidR="00C129CC">
        <w:rPr>
          <w:rFonts w:asciiTheme="minorHAnsi" w:hAnsiTheme="minorHAnsi" w:cstheme="minorHAnsi"/>
        </w:rPr>
        <w:t xml:space="preserve">he National Council </w:t>
      </w:r>
      <w:r w:rsidR="00C04527">
        <w:rPr>
          <w:rFonts w:asciiTheme="minorHAnsi" w:hAnsiTheme="minorHAnsi" w:cstheme="minorHAnsi"/>
        </w:rPr>
        <w:t xml:space="preserve">noted the need to </w:t>
      </w:r>
      <w:r w:rsidR="00C129CC">
        <w:rPr>
          <w:rFonts w:asciiTheme="minorHAnsi" w:hAnsiTheme="minorHAnsi" w:cstheme="minorHAnsi"/>
        </w:rPr>
        <w:t>strengthen linkages between the EOC and the NDMO and other ministries.</w:t>
      </w:r>
    </w:p>
    <w:p w14:paraId="1E6D8BAD" w14:textId="3A985A8F" w:rsidR="00205630" w:rsidRDefault="00205630" w:rsidP="00C61070">
      <w:pPr>
        <w:spacing w:after="0" w:line="240" w:lineRule="auto"/>
        <w:rPr>
          <w:rFonts w:asciiTheme="minorHAnsi" w:hAnsiTheme="minorHAnsi" w:cstheme="minorHAnsi"/>
        </w:rPr>
      </w:pPr>
    </w:p>
    <w:p w14:paraId="04E82005" w14:textId="7351227F" w:rsidR="00205630" w:rsidRPr="003B4AC8" w:rsidRDefault="00205630" w:rsidP="00205630">
      <w:pPr>
        <w:pStyle w:val="ListParagraph"/>
        <w:numPr>
          <w:ilvl w:val="0"/>
          <w:numId w:val="42"/>
        </w:numPr>
        <w:spacing w:after="0" w:line="240" w:lineRule="auto"/>
        <w:rPr>
          <w:rFonts w:ascii="Cambria" w:hAnsi="Cambria"/>
          <w:color w:val="094183"/>
          <w:sz w:val="24"/>
          <w:szCs w:val="24"/>
        </w:rPr>
      </w:pPr>
      <w:r>
        <w:rPr>
          <w:rFonts w:ascii="Cambria" w:hAnsi="Cambria"/>
          <w:color w:val="094183"/>
          <w:sz w:val="24"/>
          <w:szCs w:val="24"/>
        </w:rPr>
        <w:t>Accessibility and the built environment</w:t>
      </w:r>
    </w:p>
    <w:p w14:paraId="5821208E" w14:textId="77777777" w:rsidR="00205630" w:rsidRDefault="00205630" w:rsidP="00205630">
      <w:pPr>
        <w:spacing w:after="0" w:line="240" w:lineRule="auto"/>
        <w:rPr>
          <w:rFonts w:ascii="Cambria" w:hAnsi="Cambria"/>
          <w:color w:val="094183"/>
          <w:sz w:val="24"/>
          <w:szCs w:val="24"/>
        </w:rPr>
      </w:pPr>
    </w:p>
    <w:p w14:paraId="1C2A11CE" w14:textId="07333D80" w:rsidR="00205630" w:rsidRDefault="00F54C5F" w:rsidP="00F54C5F">
      <w:pPr>
        <w:spacing w:after="0" w:line="240" w:lineRule="auto"/>
        <w:rPr>
          <w:rFonts w:asciiTheme="minorHAnsi" w:hAnsiTheme="minorHAnsi" w:cstheme="minorHAnsi"/>
        </w:rPr>
      </w:pPr>
      <w:r>
        <w:rPr>
          <w:rFonts w:asciiTheme="minorHAnsi" w:hAnsiTheme="minorHAnsi" w:cstheme="minorHAnsi"/>
        </w:rPr>
        <w:t>The Sendai Framework emphasises the need for u</w:t>
      </w:r>
      <w:r w:rsidR="00205630">
        <w:rPr>
          <w:rFonts w:asciiTheme="minorHAnsi" w:hAnsiTheme="minorHAnsi" w:cstheme="minorHAnsi"/>
        </w:rPr>
        <w:t>niversal design</w:t>
      </w:r>
      <w:r>
        <w:rPr>
          <w:rFonts w:asciiTheme="minorHAnsi" w:hAnsiTheme="minorHAnsi" w:cstheme="minorHAnsi"/>
        </w:rPr>
        <w:t xml:space="preserve"> </w:t>
      </w:r>
      <w:r w:rsidR="00C04527">
        <w:rPr>
          <w:rFonts w:asciiTheme="minorHAnsi" w:hAnsiTheme="minorHAnsi" w:cstheme="minorHAnsi"/>
        </w:rPr>
        <w:t xml:space="preserve">in the </w:t>
      </w:r>
      <w:r>
        <w:rPr>
          <w:rFonts w:asciiTheme="minorHAnsi" w:hAnsiTheme="minorHAnsi" w:cstheme="minorHAnsi"/>
        </w:rPr>
        <w:t>construction of disaster resilient infrastructure (Para IV.30.c). Universal design is one component of accessibility and refers to the “</w:t>
      </w:r>
      <w:r w:rsidRPr="00F54C5F">
        <w:rPr>
          <w:rFonts w:asciiTheme="minorHAnsi" w:hAnsiTheme="minorHAnsi" w:cstheme="minorHAnsi"/>
        </w:rPr>
        <w:t>design of products, environments,</w:t>
      </w:r>
      <w:r>
        <w:rPr>
          <w:rFonts w:asciiTheme="minorHAnsi" w:hAnsiTheme="minorHAnsi" w:cstheme="minorHAnsi"/>
        </w:rPr>
        <w:t xml:space="preserve"> </w:t>
      </w:r>
      <w:r w:rsidRPr="00F54C5F">
        <w:rPr>
          <w:rFonts w:asciiTheme="minorHAnsi" w:hAnsiTheme="minorHAnsi" w:cstheme="minorHAnsi"/>
        </w:rPr>
        <w:t>programmes and services to be usable by all people, to the greatest extent</w:t>
      </w:r>
      <w:r>
        <w:rPr>
          <w:rFonts w:asciiTheme="minorHAnsi" w:hAnsiTheme="minorHAnsi" w:cstheme="minorHAnsi"/>
        </w:rPr>
        <w:t xml:space="preserve"> </w:t>
      </w:r>
      <w:r w:rsidRPr="00F54C5F">
        <w:rPr>
          <w:rFonts w:asciiTheme="minorHAnsi" w:hAnsiTheme="minorHAnsi" w:cstheme="minorHAnsi"/>
        </w:rPr>
        <w:t>possible, without the need for adaptation or specialized design.</w:t>
      </w:r>
      <w:r>
        <w:rPr>
          <w:rFonts w:asciiTheme="minorHAnsi" w:hAnsiTheme="minorHAnsi" w:cstheme="minorHAnsi"/>
        </w:rPr>
        <w:t>”</w:t>
      </w:r>
      <w:r>
        <w:rPr>
          <w:rStyle w:val="FootnoteReference"/>
          <w:rFonts w:asciiTheme="minorHAnsi" w:hAnsiTheme="minorHAnsi" w:cstheme="minorHAnsi"/>
        </w:rPr>
        <w:footnoteReference w:id="46"/>
      </w:r>
      <w:r>
        <w:rPr>
          <w:rFonts w:asciiTheme="minorHAnsi" w:hAnsiTheme="minorHAnsi" w:cstheme="minorHAnsi"/>
        </w:rPr>
        <w:t xml:space="preserve"> </w:t>
      </w:r>
      <w:r w:rsidR="0031335F">
        <w:rPr>
          <w:rFonts w:asciiTheme="minorHAnsi" w:hAnsiTheme="minorHAnsi" w:cstheme="minorHAnsi"/>
        </w:rPr>
        <w:t xml:space="preserve">Universal design is emphasised in the </w:t>
      </w:r>
      <w:r w:rsidR="0031335F" w:rsidRPr="0031335F">
        <w:rPr>
          <w:rFonts w:asciiTheme="minorHAnsi" w:hAnsiTheme="minorHAnsi" w:cstheme="minorHAnsi"/>
        </w:rPr>
        <w:t>Improving Accessibility in Transport Infrastructure Projects in the Pacific Islands</w:t>
      </w:r>
      <w:r w:rsidR="0031335F">
        <w:rPr>
          <w:rFonts w:asciiTheme="minorHAnsi" w:hAnsiTheme="minorHAnsi" w:cstheme="minorHAnsi"/>
        </w:rPr>
        <w:t xml:space="preserve"> report.</w:t>
      </w:r>
      <w:r w:rsidR="0031335F">
        <w:rPr>
          <w:rStyle w:val="FootnoteReference"/>
          <w:rFonts w:asciiTheme="minorHAnsi" w:hAnsiTheme="minorHAnsi" w:cstheme="minorHAnsi"/>
        </w:rPr>
        <w:footnoteReference w:id="47"/>
      </w:r>
      <w:r w:rsidR="0031335F">
        <w:rPr>
          <w:rFonts w:asciiTheme="minorHAnsi" w:hAnsiTheme="minorHAnsi" w:cstheme="minorHAnsi"/>
        </w:rPr>
        <w:t xml:space="preserve"> The report </w:t>
      </w:r>
      <w:r w:rsidR="009E7FA2">
        <w:rPr>
          <w:rFonts w:asciiTheme="minorHAnsi" w:hAnsiTheme="minorHAnsi" w:cstheme="minorHAnsi"/>
        </w:rPr>
        <w:t xml:space="preserve">includes findings from accessibility audits of air, sea, and road transportation in five Pacific countries. Few examples of accessible infrastructure were identified. Examples of budget allocations to universal design in resilient infrastructure initiatives </w:t>
      </w:r>
      <w:r w:rsidR="00FD5DE9">
        <w:rPr>
          <w:rFonts w:asciiTheme="minorHAnsi" w:hAnsiTheme="minorHAnsi" w:cstheme="minorHAnsi"/>
        </w:rPr>
        <w:t xml:space="preserve">in the Pacific </w:t>
      </w:r>
      <w:r w:rsidR="009E7FA2">
        <w:rPr>
          <w:rFonts w:asciiTheme="minorHAnsi" w:hAnsiTheme="minorHAnsi" w:cstheme="minorHAnsi"/>
        </w:rPr>
        <w:t>were not identified in the preparation of this review.</w:t>
      </w:r>
    </w:p>
    <w:p w14:paraId="506F4FEB" w14:textId="77777777" w:rsidR="00F54C5F" w:rsidRDefault="00F54C5F" w:rsidP="00205630">
      <w:pPr>
        <w:spacing w:after="0" w:line="240" w:lineRule="auto"/>
        <w:rPr>
          <w:rFonts w:asciiTheme="minorHAnsi" w:hAnsiTheme="minorHAnsi" w:cstheme="minorHAnsi"/>
        </w:rPr>
      </w:pPr>
    </w:p>
    <w:p w14:paraId="4562D6B6" w14:textId="334D4A3B" w:rsidR="00DA1DC1" w:rsidRDefault="00DA1DC1" w:rsidP="00205630">
      <w:pPr>
        <w:spacing w:after="0" w:line="240" w:lineRule="auto"/>
        <w:rPr>
          <w:rFonts w:asciiTheme="minorHAnsi" w:hAnsiTheme="minorHAnsi" w:cstheme="minorHAnsi"/>
        </w:rPr>
      </w:pPr>
      <w:r>
        <w:rPr>
          <w:rFonts w:asciiTheme="minorHAnsi" w:hAnsiTheme="minorHAnsi" w:cstheme="minorHAnsi"/>
        </w:rPr>
        <w:t xml:space="preserve">OPDs reported that while there had been little consultation with persons with disabilities on infrastructure initiatives in the past, this was now changing. It was noted that physical accessibility of health centres and hospitals remains particularly poor. Ensuring access to information communication technologies was reported as a priority by OPDs. </w:t>
      </w:r>
      <w:r w:rsidR="00C04527">
        <w:rPr>
          <w:rFonts w:asciiTheme="minorHAnsi" w:hAnsiTheme="minorHAnsi" w:cstheme="minorHAnsi"/>
        </w:rPr>
        <w:t xml:space="preserve">The widening of </w:t>
      </w:r>
      <w:r>
        <w:rPr>
          <w:rFonts w:asciiTheme="minorHAnsi" w:hAnsiTheme="minorHAnsi" w:cstheme="minorHAnsi"/>
        </w:rPr>
        <w:t xml:space="preserve">mobile </w:t>
      </w:r>
      <w:r w:rsidR="00FC78A4">
        <w:rPr>
          <w:rFonts w:asciiTheme="minorHAnsi" w:hAnsiTheme="minorHAnsi" w:cstheme="minorHAnsi"/>
        </w:rPr>
        <w:t xml:space="preserve">and internet </w:t>
      </w:r>
      <w:r>
        <w:rPr>
          <w:rFonts w:asciiTheme="minorHAnsi" w:hAnsiTheme="minorHAnsi" w:cstheme="minorHAnsi"/>
        </w:rPr>
        <w:t xml:space="preserve">coverage </w:t>
      </w:r>
      <w:r w:rsidR="00FD5DE9">
        <w:rPr>
          <w:rFonts w:asciiTheme="minorHAnsi" w:hAnsiTheme="minorHAnsi" w:cstheme="minorHAnsi"/>
        </w:rPr>
        <w:t>is</w:t>
      </w:r>
      <w:r w:rsidR="00FC78A4">
        <w:rPr>
          <w:rFonts w:asciiTheme="minorHAnsi" w:hAnsiTheme="minorHAnsi" w:cstheme="minorHAnsi"/>
        </w:rPr>
        <w:t xml:space="preserve"> bringing benefits to persons with disabilities in terms of improving access to information and strengthening </w:t>
      </w:r>
      <w:r w:rsidR="00C04527">
        <w:rPr>
          <w:rFonts w:asciiTheme="minorHAnsi" w:hAnsiTheme="minorHAnsi" w:cstheme="minorHAnsi"/>
        </w:rPr>
        <w:t xml:space="preserve">personal and </w:t>
      </w:r>
      <w:r w:rsidR="00FD5DE9">
        <w:rPr>
          <w:rFonts w:asciiTheme="minorHAnsi" w:hAnsiTheme="minorHAnsi" w:cstheme="minorHAnsi"/>
        </w:rPr>
        <w:t xml:space="preserve">support </w:t>
      </w:r>
      <w:r w:rsidR="00FC78A4">
        <w:rPr>
          <w:rFonts w:asciiTheme="minorHAnsi" w:hAnsiTheme="minorHAnsi" w:cstheme="minorHAnsi"/>
        </w:rPr>
        <w:t xml:space="preserve">networks. </w:t>
      </w:r>
      <w:r w:rsidR="00370264">
        <w:rPr>
          <w:rFonts w:asciiTheme="minorHAnsi" w:hAnsiTheme="minorHAnsi" w:cstheme="minorHAnsi"/>
        </w:rPr>
        <w:t>The need to e</w:t>
      </w:r>
      <w:r w:rsidR="00FC78A4">
        <w:rPr>
          <w:rFonts w:asciiTheme="minorHAnsi" w:hAnsiTheme="minorHAnsi" w:cstheme="minorHAnsi"/>
        </w:rPr>
        <w:t>nsur</w:t>
      </w:r>
      <w:r w:rsidR="00370264">
        <w:rPr>
          <w:rFonts w:asciiTheme="minorHAnsi" w:hAnsiTheme="minorHAnsi" w:cstheme="minorHAnsi"/>
        </w:rPr>
        <w:t>e</w:t>
      </w:r>
      <w:r w:rsidR="00FC78A4">
        <w:rPr>
          <w:rFonts w:asciiTheme="minorHAnsi" w:hAnsiTheme="minorHAnsi" w:cstheme="minorHAnsi"/>
        </w:rPr>
        <w:t xml:space="preserve"> </w:t>
      </w:r>
      <w:r w:rsidR="00FD5DE9">
        <w:rPr>
          <w:rFonts w:asciiTheme="minorHAnsi" w:hAnsiTheme="minorHAnsi" w:cstheme="minorHAnsi"/>
        </w:rPr>
        <w:t xml:space="preserve">telecommunications </w:t>
      </w:r>
      <w:r w:rsidR="006B5A3A">
        <w:rPr>
          <w:rFonts w:asciiTheme="minorHAnsi" w:hAnsiTheme="minorHAnsi" w:cstheme="minorHAnsi"/>
        </w:rPr>
        <w:t xml:space="preserve">infrastructure </w:t>
      </w:r>
      <w:r w:rsidR="00C04527">
        <w:rPr>
          <w:rFonts w:asciiTheme="minorHAnsi" w:hAnsiTheme="minorHAnsi" w:cstheme="minorHAnsi"/>
        </w:rPr>
        <w:t xml:space="preserve">and services </w:t>
      </w:r>
      <w:r w:rsidR="006B5A3A">
        <w:rPr>
          <w:rFonts w:asciiTheme="minorHAnsi" w:hAnsiTheme="minorHAnsi" w:cstheme="minorHAnsi"/>
        </w:rPr>
        <w:t>c</w:t>
      </w:r>
      <w:r w:rsidR="00FC78A4">
        <w:rPr>
          <w:rFonts w:asciiTheme="minorHAnsi" w:hAnsiTheme="minorHAnsi" w:cstheme="minorHAnsi"/>
        </w:rPr>
        <w:t>ontinue to function post-disaster</w:t>
      </w:r>
      <w:r w:rsidR="00C04527">
        <w:rPr>
          <w:rFonts w:asciiTheme="minorHAnsi" w:hAnsiTheme="minorHAnsi" w:cstheme="minorHAnsi"/>
        </w:rPr>
        <w:t xml:space="preserve"> was noted as a priority</w:t>
      </w:r>
      <w:r w:rsidR="00FC78A4">
        <w:rPr>
          <w:rFonts w:asciiTheme="minorHAnsi" w:hAnsiTheme="minorHAnsi" w:cstheme="minorHAnsi"/>
        </w:rPr>
        <w:t xml:space="preserve">. </w:t>
      </w:r>
      <w:r>
        <w:rPr>
          <w:rFonts w:asciiTheme="minorHAnsi" w:hAnsiTheme="minorHAnsi" w:cstheme="minorHAnsi"/>
        </w:rPr>
        <w:t xml:space="preserve"> </w:t>
      </w:r>
    </w:p>
    <w:p w14:paraId="04A77F4A" w14:textId="77777777" w:rsidR="00DA1DC1" w:rsidRDefault="00DA1DC1" w:rsidP="00205630">
      <w:pPr>
        <w:spacing w:after="0" w:line="240" w:lineRule="auto"/>
        <w:rPr>
          <w:rFonts w:asciiTheme="minorHAnsi" w:hAnsiTheme="minorHAnsi" w:cstheme="minorHAnsi"/>
        </w:rPr>
      </w:pPr>
    </w:p>
    <w:p w14:paraId="16EC5F64" w14:textId="61E7CAC4" w:rsidR="00205630" w:rsidRDefault="009E7FA2" w:rsidP="00205630">
      <w:pPr>
        <w:spacing w:after="0" w:line="240" w:lineRule="auto"/>
        <w:rPr>
          <w:rFonts w:asciiTheme="minorHAnsi" w:hAnsiTheme="minorHAnsi" w:cstheme="minorHAnsi"/>
        </w:rPr>
      </w:pPr>
      <w:r>
        <w:rPr>
          <w:rFonts w:asciiTheme="minorHAnsi" w:hAnsiTheme="minorHAnsi" w:cstheme="minorHAnsi"/>
        </w:rPr>
        <w:t xml:space="preserve">PDF </w:t>
      </w:r>
      <w:r w:rsidR="00DA1DC1">
        <w:rPr>
          <w:rFonts w:asciiTheme="minorHAnsi" w:hAnsiTheme="minorHAnsi" w:cstheme="minorHAnsi"/>
        </w:rPr>
        <w:t xml:space="preserve">have developed an access audit toolkit </w:t>
      </w:r>
      <w:r w:rsidR="00680CB3">
        <w:rPr>
          <w:rFonts w:asciiTheme="minorHAnsi" w:hAnsiTheme="minorHAnsi" w:cstheme="minorHAnsi"/>
        </w:rPr>
        <w:t>with</w:t>
      </w:r>
      <w:r w:rsidR="00DA1DC1">
        <w:rPr>
          <w:rFonts w:asciiTheme="minorHAnsi" w:hAnsiTheme="minorHAnsi" w:cstheme="minorHAnsi"/>
        </w:rPr>
        <w:t xml:space="preserve"> accompanying trainings</w:t>
      </w:r>
      <w:r w:rsidR="00370264">
        <w:rPr>
          <w:rFonts w:asciiTheme="minorHAnsi" w:hAnsiTheme="minorHAnsi" w:cstheme="minorHAnsi"/>
        </w:rPr>
        <w:t>.</w:t>
      </w:r>
      <w:r w:rsidR="000666A5">
        <w:rPr>
          <w:rFonts w:asciiTheme="minorHAnsi" w:hAnsiTheme="minorHAnsi" w:cstheme="minorHAnsi"/>
        </w:rPr>
        <w:t xml:space="preserve"> </w:t>
      </w:r>
      <w:r w:rsidR="00FC78A4">
        <w:rPr>
          <w:rFonts w:asciiTheme="minorHAnsi" w:hAnsiTheme="minorHAnsi" w:cstheme="minorHAnsi"/>
        </w:rPr>
        <w:t>Use of the toolkit</w:t>
      </w:r>
      <w:r w:rsidR="00370264">
        <w:rPr>
          <w:rFonts w:asciiTheme="minorHAnsi" w:hAnsiTheme="minorHAnsi" w:cstheme="minorHAnsi"/>
        </w:rPr>
        <w:t>, including in evacuation centres,</w:t>
      </w:r>
      <w:r w:rsidR="00FC78A4">
        <w:rPr>
          <w:rFonts w:asciiTheme="minorHAnsi" w:hAnsiTheme="minorHAnsi" w:cstheme="minorHAnsi"/>
        </w:rPr>
        <w:t xml:space="preserve"> is contributing to raising awareness on the need for accessible infrastructure. </w:t>
      </w:r>
      <w:r w:rsidR="006E49F7">
        <w:rPr>
          <w:rFonts w:asciiTheme="minorHAnsi" w:hAnsiTheme="minorHAnsi" w:cstheme="minorHAnsi"/>
        </w:rPr>
        <w:t>In the absence of building codes</w:t>
      </w:r>
      <w:r w:rsidR="00370264">
        <w:rPr>
          <w:rFonts w:asciiTheme="minorHAnsi" w:hAnsiTheme="minorHAnsi" w:cstheme="minorHAnsi"/>
        </w:rPr>
        <w:t xml:space="preserve"> in the region</w:t>
      </w:r>
      <w:r w:rsidR="006E49F7">
        <w:rPr>
          <w:rFonts w:asciiTheme="minorHAnsi" w:hAnsiTheme="minorHAnsi" w:cstheme="minorHAnsi"/>
        </w:rPr>
        <w:t xml:space="preserve">, </w:t>
      </w:r>
      <w:r w:rsidR="000666A5">
        <w:rPr>
          <w:rFonts w:asciiTheme="minorHAnsi" w:hAnsiTheme="minorHAnsi" w:cstheme="minorHAnsi"/>
        </w:rPr>
        <w:t>PDF is developing further tools</w:t>
      </w:r>
      <w:r w:rsidR="006E49F7">
        <w:rPr>
          <w:rFonts w:asciiTheme="minorHAnsi" w:hAnsiTheme="minorHAnsi" w:cstheme="minorHAnsi"/>
        </w:rPr>
        <w:t xml:space="preserve">, standards, and guidelines </w:t>
      </w:r>
      <w:r w:rsidR="000666A5">
        <w:rPr>
          <w:rFonts w:asciiTheme="minorHAnsi" w:hAnsiTheme="minorHAnsi" w:cstheme="minorHAnsi"/>
        </w:rPr>
        <w:t xml:space="preserve">that </w:t>
      </w:r>
      <w:r w:rsidR="006E49F7">
        <w:rPr>
          <w:rFonts w:asciiTheme="minorHAnsi" w:hAnsiTheme="minorHAnsi" w:cstheme="minorHAnsi"/>
        </w:rPr>
        <w:t xml:space="preserve">will form a regional blueprint for accessibility. </w:t>
      </w:r>
      <w:r w:rsidR="00205630">
        <w:rPr>
          <w:rFonts w:asciiTheme="minorHAnsi" w:hAnsiTheme="minorHAnsi" w:cstheme="minorHAnsi"/>
        </w:rPr>
        <w:t>One OPD reported being asked to “audit” accessibility improvements a</w:t>
      </w:r>
      <w:r w:rsidR="007A0571">
        <w:rPr>
          <w:rFonts w:asciiTheme="minorHAnsi" w:hAnsiTheme="minorHAnsi" w:cstheme="minorHAnsi"/>
        </w:rPr>
        <w:t xml:space="preserve">n </w:t>
      </w:r>
      <w:r w:rsidR="00205630">
        <w:rPr>
          <w:rFonts w:asciiTheme="minorHAnsi" w:hAnsiTheme="minorHAnsi" w:cstheme="minorHAnsi"/>
        </w:rPr>
        <w:t xml:space="preserve">NGO had made at an evacuation centre. However, this was only after the NGO had made the changes without consultation with the OPD or persons with disabilities. </w:t>
      </w:r>
      <w:r w:rsidR="00370264">
        <w:rPr>
          <w:rFonts w:asciiTheme="minorHAnsi" w:hAnsiTheme="minorHAnsi" w:cstheme="minorHAnsi"/>
        </w:rPr>
        <w:t xml:space="preserve">An </w:t>
      </w:r>
      <w:r w:rsidR="00205630">
        <w:rPr>
          <w:rFonts w:asciiTheme="minorHAnsi" w:hAnsiTheme="minorHAnsi" w:cstheme="minorHAnsi"/>
        </w:rPr>
        <w:t xml:space="preserve">OPD representative from Tonga </w:t>
      </w:r>
      <w:r w:rsidR="00DA1DC1">
        <w:rPr>
          <w:rFonts w:asciiTheme="minorHAnsi" w:hAnsiTheme="minorHAnsi" w:cstheme="minorHAnsi"/>
        </w:rPr>
        <w:t>reflected</w:t>
      </w:r>
      <w:r w:rsidR="00205630">
        <w:rPr>
          <w:rFonts w:asciiTheme="minorHAnsi" w:hAnsiTheme="minorHAnsi" w:cstheme="minorHAnsi"/>
        </w:rPr>
        <w:t xml:space="preserve">: “Even </w:t>
      </w:r>
      <w:r w:rsidR="00DA1DC1">
        <w:rPr>
          <w:rFonts w:asciiTheme="minorHAnsi" w:hAnsiTheme="minorHAnsi" w:cstheme="minorHAnsi"/>
        </w:rPr>
        <w:t>when</w:t>
      </w:r>
      <w:r w:rsidR="00205630">
        <w:rPr>
          <w:rFonts w:asciiTheme="minorHAnsi" w:hAnsiTheme="minorHAnsi" w:cstheme="minorHAnsi"/>
        </w:rPr>
        <w:t xml:space="preserve"> we are ‘included’, we are still left behind.”</w:t>
      </w:r>
    </w:p>
    <w:p w14:paraId="622F5E88" w14:textId="4E4A76E6" w:rsidR="0084034E" w:rsidRDefault="0084034E" w:rsidP="00C61070">
      <w:pPr>
        <w:spacing w:after="0" w:line="240" w:lineRule="auto"/>
        <w:rPr>
          <w:rFonts w:asciiTheme="minorHAnsi" w:hAnsiTheme="minorHAnsi" w:cstheme="minorHAnsi"/>
        </w:rPr>
      </w:pPr>
    </w:p>
    <w:p w14:paraId="19C03A30" w14:textId="0FDE77E2" w:rsidR="0084034E" w:rsidRDefault="0084034E" w:rsidP="00C61070">
      <w:pPr>
        <w:spacing w:after="0" w:line="240" w:lineRule="auto"/>
        <w:rPr>
          <w:rFonts w:asciiTheme="minorHAnsi" w:hAnsiTheme="minorHAnsi" w:cstheme="minorHAnsi"/>
        </w:rPr>
      </w:pPr>
      <w:r w:rsidRPr="00B1698F">
        <w:rPr>
          <w:rFonts w:asciiTheme="minorHAnsi" w:hAnsiTheme="minorHAnsi" w:cstheme="minorHAnsi"/>
          <w:noProof/>
          <w:color w:val="2B579A"/>
          <w:shd w:val="clear" w:color="auto" w:fill="E6E6E6"/>
        </w:rPr>
        <w:lastRenderedPageBreak/>
        <mc:AlternateContent>
          <mc:Choice Requires="wps">
            <w:drawing>
              <wp:inline distT="0" distB="0" distL="0" distR="0" wp14:anchorId="64A9C695" wp14:editId="603425C8">
                <wp:extent cx="5581650" cy="1404620"/>
                <wp:effectExtent l="0" t="0" r="19050" b="1778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solidFill>
                          <a:srgbClr val="FFFFFF"/>
                        </a:solidFill>
                        <a:ln w="9525">
                          <a:solidFill>
                            <a:srgbClr val="094183"/>
                          </a:solidFill>
                          <a:miter lim="800000"/>
                          <a:headEnd/>
                          <a:tailEnd/>
                        </a:ln>
                      </wps:spPr>
                      <wps:txbx>
                        <w:txbxContent>
                          <w:p w14:paraId="5D99711C" w14:textId="33F1001C" w:rsidR="0084034E" w:rsidRPr="00C61F37" w:rsidRDefault="003B4AC8" w:rsidP="0084034E">
                            <w:pPr>
                              <w:spacing w:after="0" w:line="240" w:lineRule="auto"/>
                              <w:rPr>
                                <w:rFonts w:asciiTheme="minorHAnsi" w:hAnsiTheme="minorHAnsi" w:cstheme="minorHAnsi"/>
                                <w:lang w:val="en-AU"/>
                              </w:rPr>
                            </w:pPr>
                            <w:r>
                              <w:rPr>
                                <w:rFonts w:asciiTheme="minorHAnsi" w:hAnsiTheme="minorHAnsi" w:cstheme="minorHAnsi"/>
                                <w:lang w:val="en-AU"/>
                              </w:rPr>
                              <w:t xml:space="preserve">There are indications that investments in disability inclusion in DRR are increasing. However, these remain limited and are hard to identify. Overall, disability inclusion is seriously under resourced and the true costs of </w:t>
                            </w:r>
                            <w:r w:rsidR="001A4EAC">
                              <w:rPr>
                                <w:rFonts w:asciiTheme="minorHAnsi" w:hAnsiTheme="minorHAnsi" w:cstheme="minorHAnsi"/>
                                <w:lang w:val="en-AU"/>
                              </w:rPr>
                              <w:t xml:space="preserve">ensuring </w:t>
                            </w:r>
                            <w:r>
                              <w:rPr>
                                <w:rFonts w:asciiTheme="minorHAnsi" w:hAnsiTheme="minorHAnsi" w:cstheme="minorHAnsi"/>
                                <w:lang w:val="en-AU"/>
                              </w:rPr>
                              <w:t>DRR for all remain underestimated</w:t>
                            </w:r>
                            <w:r w:rsidR="001A4EAC">
                              <w:rPr>
                                <w:rFonts w:asciiTheme="minorHAnsi" w:hAnsiTheme="minorHAnsi" w:cstheme="minorHAnsi"/>
                                <w:lang w:val="en-AU"/>
                              </w:rPr>
                              <w:t xml:space="preserve"> in programme budgets</w:t>
                            </w:r>
                            <w:r>
                              <w:rPr>
                                <w:rFonts w:asciiTheme="minorHAnsi" w:hAnsiTheme="minorHAnsi" w:cstheme="minorHAnsi"/>
                                <w:lang w:val="en-AU"/>
                              </w:rPr>
                              <w:t>.</w:t>
                            </w:r>
                          </w:p>
                        </w:txbxContent>
                      </wps:txbx>
                      <wps:bodyPr rot="0" vert="horz" wrap="square" lIns="91440" tIns="45720" rIns="91440" bIns="45720" anchor="t" anchorCtr="0">
                        <a:spAutoFit/>
                      </wps:bodyPr>
                    </wps:wsp>
                  </a:graphicData>
                </a:graphic>
              </wp:inline>
            </w:drawing>
          </mc:Choice>
          <mc:Fallback>
            <w:pict>
              <v:shape w14:anchorId="64A9C695" id="Text Box 8" o:spid="_x0000_s1033" type="#_x0000_t202" style="width:439.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vgGgIAACcEAAAOAAAAZHJzL2Uyb0RvYy54bWysk99u2yAUxu8n7R0Q94vtzE4TK07Vpcs0&#10;qfsjdXsAjHGMhjkMSOzu6XvAaRp12800XyDwgY9zfudjfT32ihyFdRJ0RbNZSonQHBqp9xX9/m33&#10;ZkmJ80w3TIEWFX0Qjl5vXr9aD6YUc+hANcISFNGuHExFO+9NmSSOd6JnbgZGaAy2YHvmcWn3SWPZ&#10;gOq9SuZpukgGsI2xwIVz+Pd2CtJN1G9bwf2XtnXCE1VRzM3H0caxDmOyWbNyb5npJD+lwf4hi55J&#10;jZeepW6ZZ+Rg5W9SveQWHLR+xqFPoG0lF7EGrCZLX1Rz3zEjYi0Ix5kzJvf/ZPnn4735aokf38GI&#10;DYxFOHMH/IcjGrYd03txYy0MnWANXpwFZMlgXHk6GlC70gWRevgEDTaZHTxEobG1faCCdRJUxwY8&#10;nKGL0ROOP4timS0KDHGMZXmaL+axLQkrn44b6/wHAT0Jk4pa7GqUZ8c750M6rHzaEm5zoGSzk0rF&#10;hd3XW2XJkaEDdvGLFbzYpjQZKroq5sVE4K8S6SrPlm//JNFLj1ZWsq/oMg3fZK7A7b1uotE8k2qa&#10;Y8pKn0AGdhNFP9YjkU1Fr8LZwLWG5gHJWpiciy8NJx3YX5QM6NqKup8HZgUl6qPG7qyyPA82j4u8&#10;uEKUxF5G6ssI0xylKuopmaZbH59G5GZusIs7Gfk+Z3JKGd0YsZ9eTrD75Truen7fm0cAAAD//wMA&#10;UEsDBBQABgAIAAAAIQBRmu+m2wAAAAUBAAAPAAAAZHJzL2Rvd25yZXYueG1sTI/BbsIwEETvSPyD&#10;tZV6A4ccAg1xUEVb1GOhlbiaeEki4nVkm5D267vtpb2MNJrVzNtiM9pODOhD60jBYp6AQKqcaalW&#10;8PH+MluBCFGT0Z0jVPCJATbldFLo3Lgb7XE4xFpwCYVcK2hi7HMpQ9Wg1WHueiTOzs5bHdn6Whqv&#10;b1xuO5kmSSatbokXGt3jtsHqcrhaBcenXfY67oc30z4nu69saS7+GJW6vxsf1yAijvHvGH7wGR1K&#10;Zjq5K5kgOgX8SPxVzlbLB7YnBWm6SEGWhfxPX34DAAD//wMAUEsBAi0AFAAGAAgAAAAhALaDOJL+&#10;AAAA4QEAABMAAAAAAAAAAAAAAAAAAAAAAFtDb250ZW50X1R5cGVzXS54bWxQSwECLQAUAAYACAAA&#10;ACEAOP0h/9YAAACUAQAACwAAAAAAAAAAAAAAAAAvAQAAX3JlbHMvLnJlbHNQSwECLQAUAAYACAAA&#10;ACEAPogL4BoCAAAnBAAADgAAAAAAAAAAAAAAAAAuAgAAZHJzL2Uyb0RvYy54bWxQSwECLQAUAAYA&#10;CAAAACEAUZrvptsAAAAFAQAADwAAAAAAAAAAAAAAAAB0BAAAZHJzL2Rvd25yZXYueG1sUEsFBgAA&#10;AAAEAAQA8wAAAHwFAAAAAA==&#10;" strokecolor="#094183">
                <v:textbox style="mso-fit-shape-to-text:t">
                  <w:txbxContent>
                    <w:p w14:paraId="5D99711C" w14:textId="33F1001C" w:rsidR="0084034E" w:rsidRPr="00C61F37" w:rsidRDefault="003B4AC8" w:rsidP="0084034E">
                      <w:pPr>
                        <w:spacing w:after="0" w:line="240" w:lineRule="auto"/>
                        <w:rPr>
                          <w:rFonts w:asciiTheme="minorHAnsi" w:hAnsiTheme="minorHAnsi" w:cstheme="minorHAnsi"/>
                          <w:lang w:val="en-AU"/>
                        </w:rPr>
                      </w:pPr>
                      <w:r>
                        <w:rPr>
                          <w:rFonts w:asciiTheme="minorHAnsi" w:hAnsiTheme="minorHAnsi" w:cstheme="minorHAnsi"/>
                          <w:lang w:val="en-AU"/>
                        </w:rPr>
                        <w:t xml:space="preserve">There are indications that investments in disability inclusion in DRR are increasing. However, these remain limited and are hard to identify. Overall, disability inclusion is seriously under resourced and the true costs of </w:t>
                      </w:r>
                      <w:r w:rsidR="001A4EAC">
                        <w:rPr>
                          <w:rFonts w:asciiTheme="minorHAnsi" w:hAnsiTheme="minorHAnsi" w:cstheme="minorHAnsi"/>
                          <w:lang w:val="en-AU"/>
                        </w:rPr>
                        <w:t xml:space="preserve">ensuring </w:t>
                      </w:r>
                      <w:r>
                        <w:rPr>
                          <w:rFonts w:asciiTheme="minorHAnsi" w:hAnsiTheme="minorHAnsi" w:cstheme="minorHAnsi"/>
                          <w:lang w:val="en-AU"/>
                        </w:rPr>
                        <w:t>DRR for all remain underestimated</w:t>
                      </w:r>
                      <w:r w:rsidR="001A4EAC">
                        <w:rPr>
                          <w:rFonts w:asciiTheme="minorHAnsi" w:hAnsiTheme="minorHAnsi" w:cstheme="minorHAnsi"/>
                          <w:lang w:val="en-AU"/>
                        </w:rPr>
                        <w:t xml:space="preserve"> in programme budgets</w:t>
                      </w:r>
                      <w:r>
                        <w:rPr>
                          <w:rFonts w:asciiTheme="minorHAnsi" w:hAnsiTheme="minorHAnsi" w:cstheme="minorHAnsi"/>
                          <w:lang w:val="en-AU"/>
                        </w:rPr>
                        <w:t>.</w:t>
                      </w:r>
                    </w:p>
                  </w:txbxContent>
                </v:textbox>
                <w10:anchorlock/>
              </v:shape>
            </w:pict>
          </mc:Fallback>
        </mc:AlternateContent>
      </w:r>
    </w:p>
    <w:p w14:paraId="2437CB12" w14:textId="0B764204" w:rsidR="009B36D9" w:rsidRPr="0084034E" w:rsidRDefault="009B36D9" w:rsidP="00C61070">
      <w:pPr>
        <w:spacing w:after="0" w:line="240" w:lineRule="auto"/>
        <w:rPr>
          <w:rFonts w:asciiTheme="minorHAnsi" w:hAnsiTheme="minorHAnsi" w:cstheme="minorHAnsi"/>
          <w:lang w:val="en-AU"/>
        </w:rPr>
      </w:pPr>
    </w:p>
    <w:p w14:paraId="67FCF307" w14:textId="12D9B74E" w:rsidR="00C70247" w:rsidRPr="00830F7E" w:rsidRDefault="00C70247" w:rsidP="003B4AC8">
      <w:pPr>
        <w:pStyle w:val="Heading1"/>
        <w:numPr>
          <w:ilvl w:val="0"/>
          <w:numId w:val="39"/>
        </w:numPr>
        <w:rPr>
          <w:rFonts w:ascii="Cambria" w:hAnsi="Cambria"/>
          <w:b/>
          <w:bCs/>
          <w:color w:val="094183"/>
          <w:sz w:val="24"/>
          <w:szCs w:val="24"/>
        </w:rPr>
      </w:pPr>
      <w:r w:rsidRPr="00830F7E">
        <w:rPr>
          <w:rFonts w:ascii="Cambria" w:hAnsi="Cambria"/>
          <w:b/>
          <w:bCs/>
          <w:color w:val="094183"/>
          <w:sz w:val="24"/>
          <w:szCs w:val="24"/>
        </w:rPr>
        <w:t xml:space="preserve">Priority </w:t>
      </w:r>
      <w:r>
        <w:rPr>
          <w:rFonts w:ascii="Cambria" w:hAnsi="Cambria"/>
          <w:b/>
          <w:bCs/>
          <w:color w:val="094183"/>
          <w:sz w:val="24"/>
          <w:szCs w:val="24"/>
        </w:rPr>
        <w:t>4</w:t>
      </w:r>
      <w:r w:rsidRPr="00830F7E">
        <w:rPr>
          <w:rFonts w:ascii="Cambria" w:hAnsi="Cambria"/>
          <w:b/>
          <w:bCs/>
          <w:color w:val="094183"/>
          <w:sz w:val="24"/>
          <w:szCs w:val="24"/>
        </w:rPr>
        <w:t xml:space="preserve">. </w:t>
      </w:r>
      <w:r w:rsidRPr="00C70247">
        <w:rPr>
          <w:rFonts w:ascii="Cambria" w:hAnsi="Cambria"/>
          <w:b/>
          <w:bCs/>
          <w:color w:val="094183"/>
          <w:sz w:val="24"/>
          <w:szCs w:val="24"/>
        </w:rPr>
        <w:t>Enhancing disaster preparedness for effective</w:t>
      </w:r>
      <w:r>
        <w:rPr>
          <w:rFonts w:ascii="Cambria" w:hAnsi="Cambria"/>
          <w:b/>
          <w:bCs/>
          <w:color w:val="094183"/>
          <w:sz w:val="24"/>
          <w:szCs w:val="24"/>
        </w:rPr>
        <w:t xml:space="preserve"> </w:t>
      </w:r>
      <w:r w:rsidRPr="00C70247">
        <w:rPr>
          <w:rFonts w:ascii="Cambria" w:hAnsi="Cambria"/>
          <w:b/>
          <w:bCs/>
          <w:color w:val="094183"/>
          <w:sz w:val="24"/>
          <w:szCs w:val="24"/>
        </w:rPr>
        <w:t>response and to “Build Back Better” in recovery, rehabilitation</w:t>
      </w:r>
      <w:r>
        <w:rPr>
          <w:rFonts w:ascii="Cambria" w:hAnsi="Cambria"/>
          <w:b/>
          <w:bCs/>
          <w:color w:val="094183"/>
          <w:sz w:val="24"/>
          <w:szCs w:val="24"/>
        </w:rPr>
        <w:t xml:space="preserve"> </w:t>
      </w:r>
      <w:r w:rsidRPr="00C70247">
        <w:rPr>
          <w:rFonts w:ascii="Cambria" w:hAnsi="Cambria"/>
          <w:b/>
          <w:bCs/>
          <w:color w:val="094183"/>
          <w:sz w:val="24"/>
          <w:szCs w:val="24"/>
        </w:rPr>
        <w:t>and reconstruction</w:t>
      </w:r>
    </w:p>
    <w:p w14:paraId="5F36678C" w14:textId="74AA8D41" w:rsidR="00557B63" w:rsidRDefault="00557B63" w:rsidP="00C61070">
      <w:pPr>
        <w:spacing w:after="0" w:line="240" w:lineRule="auto"/>
        <w:rPr>
          <w:rFonts w:asciiTheme="minorHAnsi" w:hAnsiTheme="minorHAnsi" w:cstheme="minorHAnsi"/>
        </w:rPr>
      </w:pPr>
    </w:p>
    <w:p w14:paraId="4DF9EEDF" w14:textId="0F3770C1" w:rsidR="000B7158" w:rsidRDefault="000B7158" w:rsidP="00C61070">
      <w:pPr>
        <w:spacing w:after="0" w:line="240" w:lineRule="auto"/>
        <w:rPr>
          <w:rFonts w:asciiTheme="minorHAnsi" w:hAnsiTheme="minorHAnsi" w:cstheme="minorHAnsi"/>
        </w:rPr>
      </w:pPr>
      <w:r>
        <w:rPr>
          <w:rFonts w:asciiTheme="minorHAnsi" w:hAnsiTheme="minorHAnsi" w:cstheme="minorHAnsi"/>
        </w:rPr>
        <w:t xml:space="preserve">The </w:t>
      </w:r>
      <w:r w:rsidR="007A44CE">
        <w:rPr>
          <w:rFonts w:asciiTheme="minorHAnsi" w:hAnsiTheme="minorHAnsi" w:cstheme="minorHAnsi"/>
        </w:rPr>
        <w:t xml:space="preserve">Sendai Framework’s </w:t>
      </w:r>
      <w:r>
        <w:rPr>
          <w:rFonts w:asciiTheme="minorHAnsi" w:hAnsiTheme="minorHAnsi" w:cstheme="minorHAnsi"/>
        </w:rPr>
        <w:t>fourth priority area concerns the following:</w:t>
      </w:r>
    </w:p>
    <w:p w14:paraId="0E850111" w14:textId="77777777" w:rsidR="000B7158" w:rsidRPr="000B7158" w:rsidRDefault="000B7158" w:rsidP="00C61070">
      <w:pPr>
        <w:spacing w:after="0" w:line="240" w:lineRule="auto"/>
        <w:rPr>
          <w:rFonts w:asciiTheme="minorHAnsi" w:hAnsiTheme="minorHAnsi" w:cstheme="minorHAnsi"/>
        </w:rPr>
      </w:pPr>
    </w:p>
    <w:p w14:paraId="7A9AE9AD" w14:textId="71636A5E" w:rsidR="000B7158" w:rsidRDefault="000B7158" w:rsidP="000B7158">
      <w:pPr>
        <w:autoSpaceDE w:val="0"/>
        <w:autoSpaceDN w:val="0"/>
        <w:adjustRightInd w:val="0"/>
        <w:spacing w:after="0" w:line="240" w:lineRule="auto"/>
        <w:ind w:left="720"/>
        <w:rPr>
          <w:rFonts w:asciiTheme="minorHAnsi" w:hAnsiTheme="minorHAnsi" w:cstheme="minorHAnsi"/>
          <w:lang w:val="en-AU"/>
        </w:rPr>
      </w:pPr>
      <w:r w:rsidRPr="000B7158">
        <w:rPr>
          <w:rFonts w:asciiTheme="minorHAnsi" w:hAnsiTheme="minorHAnsi" w:cstheme="minorHAnsi"/>
          <w:lang w:val="en-AU"/>
        </w:rPr>
        <w:t>The steady growth of disaster risk, including the increase of people and assets exposure,</w:t>
      </w:r>
      <w:r>
        <w:rPr>
          <w:rFonts w:asciiTheme="minorHAnsi" w:hAnsiTheme="minorHAnsi" w:cstheme="minorHAnsi"/>
          <w:lang w:val="en-AU"/>
        </w:rPr>
        <w:t xml:space="preserve"> </w:t>
      </w:r>
      <w:r w:rsidRPr="000B7158">
        <w:rPr>
          <w:rFonts w:asciiTheme="minorHAnsi" w:hAnsiTheme="minorHAnsi" w:cstheme="minorHAnsi"/>
          <w:lang w:val="en-AU"/>
        </w:rPr>
        <w:t>combined with the lessons learned from past disasters, indicates the need to further strengthen</w:t>
      </w:r>
      <w:r>
        <w:rPr>
          <w:rFonts w:asciiTheme="minorHAnsi" w:hAnsiTheme="minorHAnsi" w:cstheme="minorHAnsi"/>
          <w:lang w:val="en-AU"/>
        </w:rPr>
        <w:t xml:space="preserve"> </w:t>
      </w:r>
      <w:r w:rsidRPr="000B7158">
        <w:rPr>
          <w:rFonts w:asciiTheme="minorHAnsi" w:hAnsiTheme="minorHAnsi" w:cstheme="minorHAnsi"/>
          <w:lang w:val="en-AU"/>
        </w:rPr>
        <w:t>disaster preparedness for response, take action in anticipation of events, integrate disaster</w:t>
      </w:r>
      <w:r>
        <w:rPr>
          <w:rFonts w:asciiTheme="minorHAnsi" w:hAnsiTheme="minorHAnsi" w:cstheme="minorHAnsi"/>
          <w:lang w:val="en-AU"/>
        </w:rPr>
        <w:t xml:space="preserve"> </w:t>
      </w:r>
      <w:r w:rsidRPr="000B7158">
        <w:rPr>
          <w:rFonts w:asciiTheme="minorHAnsi" w:hAnsiTheme="minorHAnsi" w:cstheme="minorHAnsi"/>
          <w:lang w:val="en-AU"/>
        </w:rPr>
        <w:t>risk reduction in response preparedness and ensure that capacities are in place for effective</w:t>
      </w:r>
      <w:r>
        <w:rPr>
          <w:rFonts w:asciiTheme="minorHAnsi" w:hAnsiTheme="minorHAnsi" w:cstheme="minorHAnsi"/>
          <w:lang w:val="en-AU"/>
        </w:rPr>
        <w:t xml:space="preserve"> </w:t>
      </w:r>
      <w:r w:rsidRPr="000B7158">
        <w:rPr>
          <w:rFonts w:asciiTheme="minorHAnsi" w:hAnsiTheme="minorHAnsi" w:cstheme="minorHAnsi"/>
          <w:lang w:val="en-AU"/>
        </w:rPr>
        <w:t>response and recovery at all levels. Empowering women and persons with disabilities to publicly</w:t>
      </w:r>
      <w:r>
        <w:rPr>
          <w:rFonts w:asciiTheme="minorHAnsi" w:hAnsiTheme="minorHAnsi" w:cstheme="minorHAnsi"/>
          <w:lang w:val="en-AU"/>
        </w:rPr>
        <w:t xml:space="preserve"> </w:t>
      </w:r>
      <w:r w:rsidRPr="000B7158">
        <w:rPr>
          <w:rFonts w:asciiTheme="minorHAnsi" w:hAnsiTheme="minorHAnsi" w:cstheme="minorHAnsi"/>
          <w:lang w:val="en-AU"/>
        </w:rPr>
        <w:t>lead and promote gender equitable and universally accessible response, recovery, rehabilitation</w:t>
      </w:r>
      <w:r>
        <w:rPr>
          <w:rFonts w:asciiTheme="minorHAnsi" w:hAnsiTheme="minorHAnsi" w:cstheme="minorHAnsi"/>
          <w:lang w:val="en-AU"/>
        </w:rPr>
        <w:t xml:space="preserve"> </w:t>
      </w:r>
      <w:r w:rsidRPr="000B7158">
        <w:rPr>
          <w:rFonts w:asciiTheme="minorHAnsi" w:hAnsiTheme="minorHAnsi" w:cstheme="minorHAnsi"/>
          <w:lang w:val="en-AU"/>
        </w:rPr>
        <w:t>and reconstruction approaches is key. Disasters have demonstrated that the recovery,</w:t>
      </w:r>
      <w:r>
        <w:rPr>
          <w:rFonts w:asciiTheme="minorHAnsi" w:hAnsiTheme="minorHAnsi" w:cstheme="minorHAnsi"/>
          <w:lang w:val="en-AU"/>
        </w:rPr>
        <w:t xml:space="preserve"> </w:t>
      </w:r>
      <w:r w:rsidRPr="000B7158">
        <w:rPr>
          <w:rFonts w:asciiTheme="minorHAnsi" w:hAnsiTheme="minorHAnsi" w:cstheme="minorHAnsi"/>
          <w:lang w:val="en-AU"/>
        </w:rPr>
        <w:t>rehabilitation and reconstruction phase, which needs to be prepared ahead of a disaster, is a</w:t>
      </w:r>
      <w:r>
        <w:rPr>
          <w:rFonts w:asciiTheme="minorHAnsi" w:hAnsiTheme="minorHAnsi" w:cstheme="minorHAnsi"/>
          <w:lang w:val="en-AU"/>
        </w:rPr>
        <w:t xml:space="preserve"> </w:t>
      </w:r>
      <w:r w:rsidRPr="000B7158">
        <w:rPr>
          <w:rFonts w:asciiTheme="minorHAnsi" w:hAnsiTheme="minorHAnsi" w:cstheme="minorHAnsi"/>
          <w:lang w:val="en-AU"/>
        </w:rPr>
        <w:t>critical opportunity to “Build Back Better”, including through integrating disaster risk reduction</w:t>
      </w:r>
      <w:r>
        <w:rPr>
          <w:rFonts w:asciiTheme="minorHAnsi" w:hAnsiTheme="minorHAnsi" w:cstheme="minorHAnsi"/>
          <w:lang w:val="en-AU"/>
        </w:rPr>
        <w:t xml:space="preserve"> </w:t>
      </w:r>
      <w:r w:rsidRPr="000B7158">
        <w:rPr>
          <w:rFonts w:asciiTheme="minorHAnsi" w:hAnsiTheme="minorHAnsi" w:cstheme="minorHAnsi"/>
          <w:lang w:val="en-AU"/>
        </w:rPr>
        <w:t>into development measures, making nations and communities resilient to disasters.</w:t>
      </w:r>
    </w:p>
    <w:p w14:paraId="0DF4859F" w14:textId="78B6E6C5" w:rsidR="000B7158" w:rsidRDefault="000B7158" w:rsidP="000B7158">
      <w:pPr>
        <w:autoSpaceDE w:val="0"/>
        <w:autoSpaceDN w:val="0"/>
        <w:adjustRightInd w:val="0"/>
        <w:spacing w:after="0" w:line="240" w:lineRule="auto"/>
        <w:ind w:left="720"/>
        <w:rPr>
          <w:rFonts w:asciiTheme="minorHAnsi" w:hAnsiTheme="minorHAnsi" w:cstheme="minorHAnsi"/>
          <w:lang w:val="en-AU"/>
        </w:rPr>
      </w:pPr>
    </w:p>
    <w:p w14:paraId="1BC014BF" w14:textId="6F083372" w:rsidR="000B7158" w:rsidRPr="000B7158" w:rsidRDefault="000B7158" w:rsidP="000B7158">
      <w:pPr>
        <w:autoSpaceDE w:val="0"/>
        <w:autoSpaceDN w:val="0"/>
        <w:adjustRightInd w:val="0"/>
        <w:spacing w:after="0" w:line="240" w:lineRule="auto"/>
        <w:ind w:left="5760" w:firstLine="720"/>
        <w:rPr>
          <w:rFonts w:asciiTheme="minorHAnsi" w:hAnsiTheme="minorHAnsi" w:cstheme="minorHAnsi"/>
        </w:rPr>
      </w:pPr>
      <w:r>
        <w:rPr>
          <w:rFonts w:asciiTheme="minorHAnsi" w:hAnsiTheme="minorHAnsi" w:cstheme="minorHAnsi"/>
          <w:lang w:val="en-AU"/>
        </w:rPr>
        <w:t>Para VI.32</w:t>
      </w:r>
    </w:p>
    <w:p w14:paraId="38E144A4" w14:textId="351321A5" w:rsidR="000B7158" w:rsidRPr="000B7158" w:rsidRDefault="000B7158" w:rsidP="00C61070">
      <w:pPr>
        <w:spacing w:after="0" w:line="240" w:lineRule="auto"/>
        <w:rPr>
          <w:rFonts w:asciiTheme="minorHAnsi" w:hAnsiTheme="minorHAnsi" w:cstheme="minorHAnsi"/>
        </w:rPr>
      </w:pPr>
    </w:p>
    <w:p w14:paraId="60C5F2C4" w14:textId="12F178EC" w:rsidR="007A44CE" w:rsidRDefault="007A44CE" w:rsidP="007A44CE">
      <w:pPr>
        <w:pStyle w:val="ListParagraph"/>
        <w:numPr>
          <w:ilvl w:val="0"/>
          <w:numId w:val="43"/>
        </w:numPr>
        <w:spacing w:after="0" w:line="240" w:lineRule="auto"/>
        <w:rPr>
          <w:rFonts w:ascii="Cambria" w:hAnsi="Cambria"/>
          <w:color w:val="094183"/>
          <w:sz w:val="24"/>
          <w:szCs w:val="24"/>
        </w:rPr>
      </w:pPr>
      <w:r>
        <w:rPr>
          <w:rFonts w:ascii="Cambria" w:hAnsi="Cambria"/>
          <w:color w:val="094183"/>
          <w:sz w:val="24"/>
          <w:szCs w:val="24"/>
        </w:rPr>
        <w:t>Preparedness and response</w:t>
      </w:r>
    </w:p>
    <w:p w14:paraId="48B98E19" w14:textId="552B95B1" w:rsidR="007A44CE" w:rsidRPr="007A44CE" w:rsidRDefault="007A44CE" w:rsidP="007A44CE">
      <w:pPr>
        <w:spacing w:after="0" w:line="240" w:lineRule="auto"/>
        <w:rPr>
          <w:rFonts w:asciiTheme="minorHAnsi" w:hAnsiTheme="minorHAnsi" w:cstheme="minorHAnsi"/>
        </w:rPr>
      </w:pPr>
    </w:p>
    <w:p w14:paraId="32455E1D" w14:textId="641A4DDC" w:rsidR="009A7D75" w:rsidRDefault="007A44CE" w:rsidP="007A44CE">
      <w:pPr>
        <w:spacing w:after="0" w:line="240" w:lineRule="auto"/>
        <w:rPr>
          <w:rFonts w:asciiTheme="minorHAnsi" w:hAnsiTheme="minorHAnsi" w:cstheme="minorHAnsi"/>
        </w:rPr>
      </w:pPr>
      <w:r w:rsidRPr="007A44CE">
        <w:rPr>
          <w:rFonts w:asciiTheme="minorHAnsi" w:hAnsiTheme="minorHAnsi" w:cstheme="minorHAnsi"/>
        </w:rPr>
        <w:t xml:space="preserve">The most visible </w:t>
      </w:r>
      <w:r>
        <w:rPr>
          <w:rFonts w:asciiTheme="minorHAnsi" w:hAnsiTheme="minorHAnsi" w:cstheme="minorHAnsi"/>
        </w:rPr>
        <w:t>efforts to increase disability inclusion in DRR remain focused on response</w:t>
      </w:r>
      <w:r w:rsidR="001A4EAC">
        <w:rPr>
          <w:rFonts w:asciiTheme="minorHAnsi" w:hAnsiTheme="minorHAnsi" w:cstheme="minorHAnsi"/>
        </w:rPr>
        <w:t>.</w:t>
      </w:r>
      <w:r>
        <w:rPr>
          <w:rFonts w:asciiTheme="minorHAnsi" w:hAnsiTheme="minorHAnsi" w:cstheme="minorHAnsi"/>
        </w:rPr>
        <w:t xml:space="preserve"> This reflects major bi-lateral aid investments addressing preparedness for response, such as in the case of Australia, alongside </w:t>
      </w:r>
      <w:r w:rsidR="00CF49B3">
        <w:rPr>
          <w:rFonts w:asciiTheme="minorHAnsi" w:hAnsiTheme="minorHAnsi" w:cstheme="minorHAnsi"/>
        </w:rPr>
        <w:t>OPD driven interventions. COVID-19 and the pivoting of existing aid programmes towards COVID-19 response and recovery is also notable.</w:t>
      </w:r>
      <w:r w:rsidR="009A7D75">
        <w:rPr>
          <w:rFonts w:asciiTheme="minorHAnsi" w:hAnsiTheme="minorHAnsi" w:cstheme="minorHAnsi"/>
        </w:rPr>
        <w:t xml:space="preserve"> Whilst visible, disability</w:t>
      </w:r>
      <w:r w:rsidR="00E1547B">
        <w:rPr>
          <w:rFonts w:asciiTheme="minorHAnsi" w:hAnsiTheme="minorHAnsi" w:cstheme="minorHAnsi"/>
        </w:rPr>
        <w:t xml:space="preserve"> </w:t>
      </w:r>
      <w:r w:rsidR="009A7D75">
        <w:rPr>
          <w:rFonts w:asciiTheme="minorHAnsi" w:hAnsiTheme="minorHAnsi" w:cstheme="minorHAnsi"/>
        </w:rPr>
        <w:t>inclusi</w:t>
      </w:r>
      <w:r w:rsidR="00A06FB3">
        <w:rPr>
          <w:rFonts w:asciiTheme="minorHAnsi" w:hAnsiTheme="minorHAnsi" w:cstheme="minorHAnsi"/>
        </w:rPr>
        <w:t>ve preparedness and response</w:t>
      </w:r>
      <w:r w:rsidR="009A7D75">
        <w:rPr>
          <w:rFonts w:asciiTheme="minorHAnsi" w:hAnsiTheme="minorHAnsi" w:cstheme="minorHAnsi"/>
        </w:rPr>
        <w:t xml:space="preserve"> initiatives remain</w:t>
      </w:r>
      <w:r w:rsidR="00A06FB3">
        <w:rPr>
          <w:rFonts w:asciiTheme="minorHAnsi" w:hAnsiTheme="minorHAnsi" w:cstheme="minorHAnsi"/>
        </w:rPr>
        <w:t xml:space="preserve"> </w:t>
      </w:r>
      <w:r w:rsidR="009A7D75">
        <w:rPr>
          <w:rFonts w:asciiTheme="minorHAnsi" w:hAnsiTheme="minorHAnsi" w:cstheme="minorHAnsi"/>
        </w:rPr>
        <w:t xml:space="preserve">small and suffer from limited integration into </w:t>
      </w:r>
      <w:r w:rsidR="00591427">
        <w:rPr>
          <w:rFonts w:asciiTheme="minorHAnsi" w:hAnsiTheme="minorHAnsi" w:cstheme="minorHAnsi"/>
        </w:rPr>
        <w:t xml:space="preserve">broader </w:t>
      </w:r>
      <w:r w:rsidR="009A7D75">
        <w:rPr>
          <w:rFonts w:asciiTheme="minorHAnsi" w:hAnsiTheme="minorHAnsi" w:cstheme="minorHAnsi"/>
        </w:rPr>
        <w:t>programmes</w:t>
      </w:r>
      <w:r w:rsidR="00E71C7D">
        <w:rPr>
          <w:rFonts w:asciiTheme="minorHAnsi" w:hAnsiTheme="minorHAnsi" w:cstheme="minorHAnsi"/>
        </w:rPr>
        <w:t xml:space="preserve"> with limited measurement of </w:t>
      </w:r>
      <w:r w:rsidR="00591427">
        <w:rPr>
          <w:rFonts w:asciiTheme="minorHAnsi" w:hAnsiTheme="minorHAnsi" w:cstheme="minorHAnsi"/>
        </w:rPr>
        <w:t xml:space="preserve">effective </w:t>
      </w:r>
      <w:r w:rsidR="00E71C7D">
        <w:rPr>
          <w:rFonts w:asciiTheme="minorHAnsi" w:hAnsiTheme="minorHAnsi" w:cstheme="minorHAnsi"/>
        </w:rPr>
        <w:t>impact</w:t>
      </w:r>
      <w:r w:rsidR="009A7D75">
        <w:rPr>
          <w:rFonts w:asciiTheme="minorHAnsi" w:hAnsiTheme="minorHAnsi" w:cstheme="minorHAnsi"/>
        </w:rPr>
        <w:t>.</w:t>
      </w:r>
    </w:p>
    <w:p w14:paraId="21F6D30B" w14:textId="150B0EA3" w:rsidR="00591427" w:rsidRDefault="00591427" w:rsidP="007A44CE">
      <w:pPr>
        <w:spacing w:after="0" w:line="240" w:lineRule="auto"/>
        <w:rPr>
          <w:rFonts w:asciiTheme="minorHAnsi" w:hAnsiTheme="minorHAnsi" w:cstheme="minorHAnsi"/>
        </w:rPr>
      </w:pPr>
    </w:p>
    <w:p w14:paraId="643D3B2F" w14:textId="02BF7A24" w:rsidR="00591427" w:rsidRDefault="00591427" w:rsidP="007A44CE">
      <w:pPr>
        <w:spacing w:after="0" w:line="240" w:lineRule="auto"/>
        <w:rPr>
          <w:rFonts w:asciiTheme="minorHAnsi" w:hAnsiTheme="minorHAnsi" w:cstheme="minorHAnsi"/>
        </w:rPr>
      </w:pPr>
      <w:r>
        <w:rPr>
          <w:rFonts w:asciiTheme="minorHAnsi" w:hAnsiTheme="minorHAnsi" w:cstheme="minorHAnsi"/>
        </w:rPr>
        <w:t xml:space="preserve">Examples of initiatives include, as noted, </w:t>
      </w:r>
      <w:r w:rsidR="001A4EAC">
        <w:rPr>
          <w:rFonts w:asciiTheme="minorHAnsi" w:hAnsiTheme="minorHAnsi" w:cstheme="minorHAnsi"/>
        </w:rPr>
        <w:t xml:space="preserve">establishing </w:t>
      </w:r>
      <w:r>
        <w:rPr>
          <w:rFonts w:asciiTheme="minorHAnsi" w:hAnsiTheme="minorHAnsi" w:cstheme="minorHAnsi"/>
        </w:rPr>
        <w:t>DRR focal p</w:t>
      </w:r>
      <w:r w:rsidR="001A4EAC">
        <w:rPr>
          <w:rFonts w:asciiTheme="minorHAnsi" w:hAnsiTheme="minorHAnsi" w:cstheme="minorHAnsi"/>
        </w:rPr>
        <w:t>oints</w:t>
      </w:r>
      <w:r>
        <w:rPr>
          <w:rFonts w:asciiTheme="minorHAnsi" w:hAnsiTheme="minorHAnsi" w:cstheme="minorHAnsi"/>
        </w:rPr>
        <w:t xml:space="preserve"> within national OPDs and Fiji’s </w:t>
      </w:r>
      <w:r w:rsidR="001A4EAC">
        <w:rPr>
          <w:rFonts w:asciiTheme="minorHAnsi" w:hAnsiTheme="minorHAnsi" w:cstheme="minorHAnsi"/>
        </w:rPr>
        <w:t xml:space="preserve">disability focused </w:t>
      </w:r>
      <w:r>
        <w:rPr>
          <w:rFonts w:asciiTheme="minorHAnsi" w:hAnsiTheme="minorHAnsi" w:cstheme="minorHAnsi"/>
        </w:rPr>
        <w:t>EOC. Despite challenges, the EOC has filled gaps in response</w:t>
      </w:r>
      <w:r w:rsidR="00A06FB3">
        <w:rPr>
          <w:rFonts w:asciiTheme="minorHAnsi" w:hAnsiTheme="minorHAnsi" w:cstheme="minorHAnsi"/>
        </w:rPr>
        <w:t xml:space="preserve"> efforts</w:t>
      </w:r>
      <w:r w:rsidR="0099383A">
        <w:rPr>
          <w:rFonts w:asciiTheme="minorHAnsi" w:hAnsiTheme="minorHAnsi" w:cstheme="minorHAnsi"/>
        </w:rPr>
        <w:t xml:space="preserve">, including </w:t>
      </w:r>
      <w:r w:rsidR="001A4EAC">
        <w:rPr>
          <w:rFonts w:asciiTheme="minorHAnsi" w:hAnsiTheme="minorHAnsi" w:cstheme="minorHAnsi"/>
        </w:rPr>
        <w:t>ensuring</w:t>
      </w:r>
      <w:r w:rsidR="0099383A">
        <w:rPr>
          <w:rFonts w:asciiTheme="minorHAnsi" w:hAnsiTheme="minorHAnsi" w:cstheme="minorHAnsi"/>
        </w:rPr>
        <w:t xml:space="preserve"> information </w:t>
      </w:r>
      <w:r w:rsidR="001A4EAC">
        <w:rPr>
          <w:rFonts w:asciiTheme="minorHAnsi" w:hAnsiTheme="minorHAnsi" w:cstheme="minorHAnsi"/>
        </w:rPr>
        <w:t xml:space="preserve">reaches </w:t>
      </w:r>
      <w:r w:rsidR="0099383A">
        <w:rPr>
          <w:rFonts w:asciiTheme="minorHAnsi" w:hAnsiTheme="minorHAnsi" w:cstheme="minorHAnsi"/>
        </w:rPr>
        <w:t>persons with disabilities at the community level</w:t>
      </w:r>
      <w:r>
        <w:rPr>
          <w:rFonts w:asciiTheme="minorHAnsi" w:hAnsiTheme="minorHAnsi" w:cstheme="minorHAnsi"/>
        </w:rPr>
        <w:t>. Th</w:t>
      </w:r>
      <w:r w:rsidR="0099383A">
        <w:rPr>
          <w:rFonts w:asciiTheme="minorHAnsi" w:hAnsiTheme="minorHAnsi" w:cstheme="minorHAnsi"/>
        </w:rPr>
        <w:t>e EOC’s capacity to rapidly identify needs of person with disabilities during response was reported as improving</w:t>
      </w:r>
      <w:r w:rsidR="00A06FB3">
        <w:rPr>
          <w:rFonts w:asciiTheme="minorHAnsi" w:hAnsiTheme="minorHAnsi" w:cstheme="minorHAnsi"/>
        </w:rPr>
        <w:t xml:space="preserve"> over time. H</w:t>
      </w:r>
      <w:r w:rsidR="0099383A">
        <w:rPr>
          <w:rFonts w:asciiTheme="minorHAnsi" w:hAnsiTheme="minorHAnsi" w:cstheme="minorHAnsi"/>
        </w:rPr>
        <w:t>owever,</w:t>
      </w:r>
      <w:r w:rsidR="00A06FB3">
        <w:rPr>
          <w:rFonts w:asciiTheme="minorHAnsi" w:hAnsiTheme="minorHAnsi" w:cstheme="minorHAnsi"/>
        </w:rPr>
        <w:t xml:space="preserve"> identifying</w:t>
      </w:r>
      <w:r w:rsidR="0099383A">
        <w:rPr>
          <w:rFonts w:asciiTheme="minorHAnsi" w:hAnsiTheme="minorHAnsi" w:cstheme="minorHAnsi"/>
        </w:rPr>
        <w:t xml:space="preserve"> how best to coordinate and share information </w:t>
      </w:r>
      <w:r w:rsidR="00A06FB3">
        <w:rPr>
          <w:rFonts w:asciiTheme="minorHAnsi" w:hAnsiTheme="minorHAnsi" w:cstheme="minorHAnsi"/>
        </w:rPr>
        <w:t xml:space="preserve">between the EOC and </w:t>
      </w:r>
      <w:r w:rsidR="0099383A">
        <w:rPr>
          <w:rFonts w:asciiTheme="minorHAnsi" w:hAnsiTheme="minorHAnsi" w:cstheme="minorHAnsi"/>
        </w:rPr>
        <w:t xml:space="preserve">NDMO was </w:t>
      </w:r>
      <w:r w:rsidR="00A06FB3">
        <w:rPr>
          <w:rFonts w:asciiTheme="minorHAnsi" w:hAnsiTheme="minorHAnsi" w:cstheme="minorHAnsi"/>
        </w:rPr>
        <w:t>considered to need more work.</w:t>
      </w:r>
      <w:r w:rsidR="0099383A">
        <w:rPr>
          <w:rFonts w:asciiTheme="minorHAnsi" w:hAnsiTheme="minorHAnsi" w:cstheme="minorHAnsi"/>
        </w:rPr>
        <w:t xml:space="preserve"> In Vanuatu, OPD</w:t>
      </w:r>
      <w:r w:rsidR="001A4EAC">
        <w:rPr>
          <w:rFonts w:asciiTheme="minorHAnsi" w:hAnsiTheme="minorHAnsi" w:cstheme="minorHAnsi"/>
        </w:rPr>
        <w:t>s</w:t>
      </w:r>
      <w:r w:rsidR="0099383A">
        <w:rPr>
          <w:rFonts w:asciiTheme="minorHAnsi" w:hAnsiTheme="minorHAnsi" w:cstheme="minorHAnsi"/>
        </w:rPr>
        <w:t xml:space="preserve"> and disability stakeholders have worked to include persons with disabilities in community level disaster and climate change committees alongside provincial area councils. A disability sub-cluster is now well-established within the gender cluster of Vanuatu’s national response coordination structure.</w:t>
      </w:r>
      <w:r w:rsidR="00A06FB3">
        <w:rPr>
          <w:rFonts w:asciiTheme="minorHAnsi" w:hAnsiTheme="minorHAnsi" w:cstheme="minorHAnsi"/>
        </w:rPr>
        <w:t xml:space="preserve"> However, it was noted that disability can become overshadowed within gender discussions and that </w:t>
      </w:r>
      <w:r w:rsidR="005A3105">
        <w:rPr>
          <w:rFonts w:asciiTheme="minorHAnsi" w:hAnsiTheme="minorHAnsi" w:cstheme="minorHAnsi"/>
        </w:rPr>
        <w:t>incorporation of disability within protection</w:t>
      </w:r>
      <w:r w:rsidR="00A06FB3">
        <w:rPr>
          <w:rFonts w:asciiTheme="minorHAnsi" w:hAnsiTheme="minorHAnsi" w:cstheme="minorHAnsi"/>
        </w:rPr>
        <w:t xml:space="preserve"> </w:t>
      </w:r>
      <w:r w:rsidR="005A3105">
        <w:rPr>
          <w:rFonts w:asciiTheme="minorHAnsi" w:hAnsiTheme="minorHAnsi" w:cstheme="minorHAnsi"/>
        </w:rPr>
        <w:t>clusters</w:t>
      </w:r>
      <w:r w:rsidR="00A06FB3">
        <w:rPr>
          <w:rFonts w:asciiTheme="minorHAnsi" w:hAnsiTheme="minorHAnsi" w:cstheme="minorHAnsi"/>
        </w:rPr>
        <w:t xml:space="preserve"> may be a better fit.</w:t>
      </w:r>
    </w:p>
    <w:p w14:paraId="4C72A5C4" w14:textId="0E2BE456" w:rsidR="009A7D75" w:rsidRDefault="009A7D75" w:rsidP="007A44CE">
      <w:pPr>
        <w:spacing w:after="0" w:line="240" w:lineRule="auto"/>
        <w:rPr>
          <w:rFonts w:asciiTheme="minorHAnsi" w:hAnsiTheme="minorHAnsi" w:cstheme="minorHAnsi"/>
        </w:rPr>
      </w:pPr>
    </w:p>
    <w:p w14:paraId="66A9A22C" w14:textId="02A7794A" w:rsidR="0099383A" w:rsidRDefault="00E358D0" w:rsidP="0099383A">
      <w:pPr>
        <w:spacing w:after="0" w:line="240" w:lineRule="auto"/>
        <w:rPr>
          <w:rFonts w:asciiTheme="minorHAnsi" w:hAnsiTheme="minorHAnsi" w:cstheme="minorHAnsi"/>
        </w:rPr>
      </w:pPr>
      <w:r>
        <w:rPr>
          <w:rFonts w:asciiTheme="minorHAnsi" w:hAnsiTheme="minorHAnsi" w:cstheme="minorHAnsi"/>
        </w:rPr>
        <w:t xml:space="preserve">OPDs have been advocating for accessible </w:t>
      </w:r>
      <w:r w:rsidR="00E1547B">
        <w:rPr>
          <w:rFonts w:asciiTheme="minorHAnsi" w:hAnsiTheme="minorHAnsi" w:cstheme="minorHAnsi"/>
        </w:rPr>
        <w:t>early warning systems (</w:t>
      </w:r>
      <w:r>
        <w:rPr>
          <w:rFonts w:asciiTheme="minorHAnsi" w:hAnsiTheme="minorHAnsi" w:cstheme="minorHAnsi"/>
        </w:rPr>
        <w:t>EWS</w:t>
      </w:r>
      <w:r w:rsidR="00E1547B">
        <w:rPr>
          <w:rFonts w:asciiTheme="minorHAnsi" w:hAnsiTheme="minorHAnsi" w:cstheme="minorHAnsi"/>
        </w:rPr>
        <w:t>)</w:t>
      </w:r>
      <w:r>
        <w:rPr>
          <w:rFonts w:asciiTheme="minorHAnsi" w:hAnsiTheme="minorHAnsi" w:cstheme="minorHAnsi"/>
        </w:rPr>
        <w:t xml:space="preserve"> across the Pacific, including the importance of universal mobile phone coverage for persons with disabilities in outer islands</w:t>
      </w:r>
      <w:r w:rsidR="001A4EAC">
        <w:rPr>
          <w:rFonts w:asciiTheme="minorHAnsi" w:hAnsiTheme="minorHAnsi" w:cstheme="minorHAnsi"/>
        </w:rPr>
        <w:t xml:space="preserve"> and </w:t>
      </w:r>
      <w:r w:rsidR="00B13799">
        <w:rPr>
          <w:rFonts w:asciiTheme="minorHAnsi" w:hAnsiTheme="minorHAnsi" w:cstheme="minorHAnsi"/>
        </w:rPr>
        <w:t>end</w:t>
      </w:r>
      <w:r w:rsidR="001A4EAC">
        <w:rPr>
          <w:rFonts w:asciiTheme="minorHAnsi" w:hAnsiTheme="minorHAnsi" w:cstheme="minorHAnsi"/>
        </w:rPr>
        <w:t>-</w:t>
      </w:r>
      <w:r w:rsidR="00B13799">
        <w:rPr>
          <w:rFonts w:asciiTheme="minorHAnsi" w:hAnsiTheme="minorHAnsi" w:cstheme="minorHAnsi"/>
        </w:rPr>
        <w:t>to</w:t>
      </w:r>
      <w:r w:rsidR="001A4EAC">
        <w:rPr>
          <w:rFonts w:asciiTheme="minorHAnsi" w:hAnsiTheme="minorHAnsi" w:cstheme="minorHAnsi"/>
        </w:rPr>
        <w:t>-</w:t>
      </w:r>
      <w:r w:rsidR="00B13799">
        <w:rPr>
          <w:rFonts w:asciiTheme="minorHAnsi" w:hAnsiTheme="minorHAnsi" w:cstheme="minorHAnsi"/>
        </w:rPr>
        <w:t>end</w:t>
      </w:r>
      <w:r w:rsidR="005A3105">
        <w:rPr>
          <w:rFonts w:asciiTheme="minorHAnsi" w:hAnsiTheme="minorHAnsi" w:cstheme="minorHAnsi"/>
        </w:rPr>
        <w:t xml:space="preserve"> solutions</w:t>
      </w:r>
      <w:r w:rsidR="00B13799">
        <w:rPr>
          <w:rFonts w:asciiTheme="minorHAnsi" w:hAnsiTheme="minorHAnsi" w:cstheme="minorHAnsi"/>
        </w:rPr>
        <w:t xml:space="preserve">. For example, </w:t>
      </w:r>
      <w:r w:rsidR="001A4EAC">
        <w:rPr>
          <w:rFonts w:asciiTheme="minorHAnsi" w:hAnsiTheme="minorHAnsi" w:cstheme="minorHAnsi"/>
        </w:rPr>
        <w:t>inclusive</w:t>
      </w:r>
      <w:r w:rsidR="00B13799">
        <w:rPr>
          <w:rFonts w:asciiTheme="minorHAnsi" w:hAnsiTheme="minorHAnsi" w:cstheme="minorHAnsi"/>
        </w:rPr>
        <w:t xml:space="preserve"> EWS</w:t>
      </w:r>
      <w:r w:rsidR="001A4EAC">
        <w:rPr>
          <w:rFonts w:asciiTheme="minorHAnsi" w:hAnsiTheme="minorHAnsi" w:cstheme="minorHAnsi"/>
        </w:rPr>
        <w:t xml:space="preserve"> need to be </w:t>
      </w:r>
      <w:r w:rsidR="00B13799" w:rsidRPr="00E34668">
        <w:rPr>
          <w:rFonts w:asciiTheme="minorHAnsi" w:hAnsiTheme="minorHAnsi" w:cstheme="minorHAnsi"/>
        </w:rPr>
        <w:t xml:space="preserve">linked to </w:t>
      </w:r>
      <w:r w:rsidR="00B13799">
        <w:rPr>
          <w:rFonts w:asciiTheme="minorHAnsi" w:hAnsiTheme="minorHAnsi" w:cstheme="minorHAnsi"/>
        </w:rPr>
        <w:t xml:space="preserve">accessible </w:t>
      </w:r>
      <w:r w:rsidR="00B13799" w:rsidRPr="00E34668">
        <w:rPr>
          <w:rFonts w:asciiTheme="minorHAnsi" w:hAnsiTheme="minorHAnsi" w:cstheme="minorHAnsi"/>
        </w:rPr>
        <w:t xml:space="preserve">information on </w:t>
      </w:r>
      <w:r w:rsidR="00B13799" w:rsidRPr="00E34668">
        <w:rPr>
          <w:rFonts w:asciiTheme="minorHAnsi" w:hAnsiTheme="minorHAnsi" w:cstheme="minorHAnsi"/>
        </w:rPr>
        <w:lastRenderedPageBreak/>
        <w:t>evacuation centre locations and routes.</w:t>
      </w:r>
      <w:r w:rsidR="00B13799">
        <w:rPr>
          <w:rFonts w:asciiTheme="minorHAnsi" w:hAnsiTheme="minorHAnsi" w:cstheme="minorHAnsi"/>
        </w:rPr>
        <w:t xml:space="preserve"> A</w:t>
      </w:r>
      <w:r w:rsidR="0099383A">
        <w:rPr>
          <w:rFonts w:asciiTheme="minorHAnsi" w:hAnsiTheme="minorHAnsi" w:cstheme="minorHAnsi"/>
        </w:rPr>
        <w:t>ttitudinal and institutional barriers persist as major barriers to inclusion. One official noted that once triggered an EWS can go through 10 separate approvals before a warning is issued. It was suggested that there could be further delays if the “additional needs” of persons with disabilities were taken into account.</w:t>
      </w:r>
    </w:p>
    <w:p w14:paraId="44E37FC6" w14:textId="77777777" w:rsidR="0099383A" w:rsidRDefault="0099383A" w:rsidP="007A44CE">
      <w:pPr>
        <w:spacing w:after="0" w:line="240" w:lineRule="auto"/>
        <w:rPr>
          <w:rFonts w:asciiTheme="minorHAnsi" w:hAnsiTheme="minorHAnsi" w:cstheme="minorHAnsi"/>
        </w:rPr>
      </w:pPr>
    </w:p>
    <w:p w14:paraId="041A9167" w14:textId="2EB34BA7" w:rsidR="007A44CE" w:rsidRDefault="00E71C7D" w:rsidP="007A44CE">
      <w:pPr>
        <w:spacing w:after="0" w:line="240" w:lineRule="auto"/>
        <w:rPr>
          <w:rFonts w:asciiTheme="minorHAnsi" w:hAnsiTheme="minorHAnsi" w:cstheme="minorHAnsi"/>
        </w:rPr>
      </w:pPr>
      <w:r>
        <w:rPr>
          <w:rFonts w:asciiTheme="minorHAnsi" w:hAnsiTheme="minorHAnsi" w:cstheme="minorHAnsi"/>
        </w:rPr>
        <w:t>E</w:t>
      </w:r>
      <w:r w:rsidR="009A7D75">
        <w:rPr>
          <w:rFonts w:asciiTheme="minorHAnsi" w:hAnsiTheme="minorHAnsi" w:cstheme="minorHAnsi"/>
        </w:rPr>
        <w:t>vidence from</w:t>
      </w:r>
      <w:r>
        <w:rPr>
          <w:rFonts w:asciiTheme="minorHAnsi" w:hAnsiTheme="minorHAnsi" w:cstheme="minorHAnsi"/>
        </w:rPr>
        <w:t xml:space="preserve"> COVID-19 responses indicate many of the lessons from disability inclusive DRR have either not been learned or were not prioritised and acted upon.</w:t>
      </w:r>
      <w:r w:rsidR="00084646">
        <w:rPr>
          <w:rStyle w:val="FootnoteReference"/>
          <w:rFonts w:asciiTheme="minorHAnsi" w:hAnsiTheme="minorHAnsi" w:cstheme="minorHAnsi"/>
        </w:rPr>
        <w:footnoteReference w:id="48"/>
      </w:r>
      <w:r>
        <w:rPr>
          <w:rFonts w:asciiTheme="minorHAnsi" w:hAnsiTheme="minorHAnsi" w:cstheme="minorHAnsi"/>
        </w:rPr>
        <w:t xml:space="preserve"> Evidence, including from the Pacific, shows persons with disabilities were again disproportionately impacted</w:t>
      </w:r>
      <w:r w:rsidR="00084646">
        <w:rPr>
          <w:rFonts w:asciiTheme="minorHAnsi" w:hAnsiTheme="minorHAnsi" w:cstheme="minorHAnsi"/>
        </w:rPr>
        <w:t xml:space="preserve"> by </w:t>
      </w:r>
      <w:r w:rsidR="001A4EAC">
        <w:rPr>
          <w:rFonts w:asciiTheme="minorHAnsi" w:hAnsiTheme="minorHAnsi" w:cstheme="minorHAnsi"/>
        </w:rPr>
        <w:t xml:space="preserve">both </w:t>
      </w:r>
      <w:r w:rsidR="00084646">
        <w:rPr>
          <w:rFonts w:asciiTheme="minorHAnsi" w:hAnsiTheme="minorHAnsi" w:cstheme="minorHAnsi"/>
        </w:rPr>
        <w:t>the virus and the response. Examples include</w:t>
      </w:r>
      <w:r>
        <w:rPr>
          <w:rFonts w:asciiTheme="minorHAnsi" w:hAnsiTheme="minorHAnsi" w:cstheme="minorHAnsi"/>
        </w:rPr>
        <w:t xml:space="preserve"> less access to information than persons without disabilities</w:t>
      </w:r>
      <w:r w:rsidR="00084646">
        <w:rPr>
          <w:rFonts w:asciiTheme="minorHAnsi" w:hAnsiTheme="minorHAnsi" w:cstheme="minorHAnsi"/>
        </w:rPr>
        <w:t xml:space="preserve">; a lack of involvement in </w:t>
      </w:r>
      <w:r>
        <w:rPr>
          <w:rFonts w:asciiTheme="minorHAnsi" w:hAnsiTheme="minorHAnsi" w:cstheme="minorHAnsi"/>
        </w:rPr>
        <w:t>response planning</w:t>
      </w:r>
      <w:r w:rsidR="00084646">
        <w:rPr>
          <w:rFonts w:asciiTheme="minorHAnsi" w:hAnsiTheme="minorHAnsi" w:cstheme="minorHAnsi"/>
        </w:rPr>
        <w:t>;</w:t>
      </w:r>
      <w:r>
        <w:rPr>
          <w:rFonts w:asciiTheme="minorHAnsi" w:hAnsiTheme="minorHAnsi" w:cstheme="minorHAnsi"/>
        </w:rPr>
        <w:t xml:space="preserve"> </w:t>
      </w:r>
      <w:r w:rsidR="001A4EAC">
        <w:rPr>
          <w:rFonts w:asciiTheme="minorHAnsi" w:hAnsiTheme="minorHAnsi" w:cstheme="minorHAnsi"/>
        </w:rPr>
        <w:t xml:space="preserve">and the creation of further </w:t>
      </w:r>
      <w:r w:rsidR="00084646">
        <w:rPr>
          <w:rFonts w:asciiTheme="minorHAnsi" w:hAnsiTheme="minorHAnsi" w:cstheme="minorHAnsi"/>
        </w:rPr>
        <w:t xml:space="preserve">barriers </w:t>
      </w:r>
      <w:r w:rsidR="001A4EAC">
        <w:rPr>
          <w:rFonts w:asciiTheme="minorHAnsi" w:hAnsiTheme="minorHAnsi" w:cstheme="minorHAnsi"/>
        </w:rPr>
        <w:t xml:space="preserve">when designing </w:t>
      </w:r>
      <w:r w:rsidR="00084646">
        <w:rPr>
          <w:rFonts w:asciiTheme="minorHAnsi" w:hAnsiTheme="minorHAnsi" w:cstheme="minorHAnsi"/>
        </w:rPr>
        <w:t xml:space="preserve">response solutions, such as </w:t>
      </w:r>
      <w:r w:rsidR="001A4EAC">
        <w:rPr>
          <w:rFonts w:asciiTheme="minorHAnsi" w:hAnsiTheme="minorHAnsi" w:cstheme="minorHAnsi"/>
        </w:rPr>
        <w:t xml:space="preserve">barriers </w:t>
      </w:r>
      <w:r w:rsidR="005A3105">
        <w:rPr>
          <w:rFonts w:asciiTheme="minorHAnsi" w:hAnsiTheme="minorHAnsi" w:cstheme="minorHAnsi"/>
        </w:rPr>
        <w:t xml:space="preserve">to </w:t>
      </w:r>
      <w:r w:rsidR="00084646">
        <w:rPr>
          <w:rFonts w:asciiTheme="minorHAnsi" w:hAnsiTheme="minorHAnsi" w:cstheme="minorHAnsi"/>
        </w:rPr>
        <w:t>accessing remote learning by children and youth with disabilities.</w:t>
      </w:r>
      <w:r>
        <w:rPr>
          <w:rFonts w:asciiTheme="minorHAnsi" w:hAnsiTheme="minorHAnsi" w:cstheme="minorHAnsi"/>
        </w:rPr>
        <w:t xml:space="preserve"> </w:t>
      </w:r>
    </w:p>
    <w:p w14:paraId="22058569" w14:textId="48DBDA8C" w:rsidR="00084646" w:rsidRDefault="00084646" w:rsidP="007A44CE">
      <w:pPr>
        <w:spacing w:after="0" w:line="240" w:lineRule="auto"/>
        <w:rPr>
          <w:rFonts w:asciiTheme="minorHAnsi" w:hAnsiTheme="minorHAnsi" w:cstheme="minorHAnsi"/>
        </w:rPr>
      </w:pPr>
    </w:p>
    <w:p w14:paraId="355BF8B0" w14:textId="5F1815D2" w:rsidR="00084646" w:rsidRDefault="00E358D0" w:rsidP="007A44CE">
      <w:pPr>
        <w:spacing w:after="0" w:line="240" w:lineRule="auto"/>
        <w:rPr>
          <w:rFonts w:asciiTheme="minorHAnsi" w:hAnsiTheme="minorHAnsi" w:cstheme="minorHAnsi"/>
        </w:rPr>
      </w:pPr>
      <w:r w:rsidRPr="00B1698F">
        <w:rPr>
          <w:rFonts w:asciiTheme="minorHAnsi" w:hAnsiTheme="minorHAnsi" w:cstheme="minorHAnsi"/>
          <w:noProof/>
          <w:color w:val="2B579A"/>
          <w:shd w:val="clear" w:color="auto" w:fill="E6E6E6"/>
        </w:rPr>
        <mc:AlternateContent>
          <mc:Choice Requires="wps">
            <w:drawing>
              <wp:inline distT="0" distB="0" distL="0" distR="0" wp14:anchorId="3A0A0749" wp14:editId="2DC647DF">
                <wp:extent cx="5581650" cy="1404620"/>
                <wp:effectExtent l="0" t="0" r="19050" b="1778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solidFill>
                          <a:srgbClr val="FFFFFF"/>
                        </a:solidFill>
                        <a:ln w="9525">
                          <a:solidFill>
                            <a:srgbClr val="094183"/>
                          </a:solidFill>
                          <a:miter lim="800000"/>
                          <a:headEnd/>
                          <a:tailEnd/>
                        </a:ln>
                      </wps:spPr>
                      <wps:txbx>
                        <w:txbxContent>
                          <w:p w14:paraId="6B772D46" w14:textId="06A0C6C8" w:rsidR="00E358D0" w:rsidRPr="00C61F37" w:rsidRDefault="001A4EAC" w:rsidP="00E358D0">
                            <w:pPr>
                              <w:spacing w:after="0" w:line="240" w:lineRule="auto"/>
                              <w:rPr>
                                <w:rFonts w:asciiTheme="minorHAnsi" w:hAnsiTheme="minorHAnsi" w:cstheme="minorHAnsi"/>
                                <w:lang w:val="en-AU"/>
                              </w:rPr>
                            </w:pPr>
                            <w:r>
                              <w:rPr>
                                <w:rFonts w:asciiTheme="minorHAnsi" w:hAnsiTheme="minorHAnsi" w:cstheme="minorHAnsi"/>
                              </w:rPr>
                              <w:t>E</w:t>
                            </w:r>
                            <w:r w:rsidR="00E358D0">
                              <w:rPr>
                                <w:rFonts w:asciiTheme="minorHAnsi" w:hAnsiTheme="minorHAnsi" w:cstheme="minorHAnsi"/>
                              </w:rPr>
                              <w:t>fforts to include persons with disabilities in preparedness and response in the Pacific</w:t>
                            </w:r>
                            <w:r>
                              <w:rPr>
                                <w:rFonts w:asciiTheme="minorHAnsi" w:hAnsiTheme="minorHAnsi" w:cstheme="minorHAnsi"/>
                              </w:rPr>
                              <w:t xml:space="preserve"> have increased</w:t>
                            </w:r>
                            <w:r w:rsidR="00E358D0">
                              <w:rPr>
                                <w:rFonts w:asciiTheme="minorHAnsi" w:hAnsiTheme="minorHAnsi" w:cstheme="minorHAnsi"/>
                              </w:rPr>
                              <w:t xml:space="preserve">. There are examples </w:t>
                            </w:r>
                            <w:r>
                              <w:rPr>
                                <w:rFonts w:asciiTheme="minorHAnsi" w:hAnsiTheme="minorHAnsi" w:cstheme="minorHAnsi"/>
                              </w:rPr>
                              <w:t xml:space="preserve">of practice </w:t>
                            </w:r>
                            <w:r w:rsidR="00E358D0">
                              <w:rPr>
                                <w:rFonts w:asciiTheme="minorHAnsi" w:hAnsiTheme="minorHAnsi" w:cstheme="minorHAnsi"/>
                              </w:rPr>
                              <w:t xml:space="preserve">that can be built on and replicated. However, too frequently, </w:t>
                            </w:r>
                            <w:r w:rsidR="00D50CA4">
                              <w:rPr>
                                <w:rFonts w:asciiTheme="minorHAnsi" w:hAnsiTheme="minorHAnsi" w:cstheme="minorHAnsi"/>
                              </w:rPr>
                              <w:t xml:space="preserve">practice </w:t>
                            </w:r>
                            <w:r w:rsidR="00E358D0">
                              <w:rPr>
                                <w:rFonts w:asciiTheme="minorHAnsi" w:hAnsiTheme="minorHAnsi" w:cstheme="minorHAnsi"/>
                              </w:rPr>
                              <w:t>examples are implemented in isolation, limited in scale, and dependent on short term financing with minimal, or tokenistic, budget allocations. Increase</w:t>
                            </w:r>
                            <w:r w:rsidR="00D50CA4">
                              <w:rPr>
                                <w:rFonts w:asciiTheme="minorHAnsi" w:hAnsiTheme="minorHAnsi" w:cstheme="minorHAnsi"/>
                              </w:rPr>
                              <w:t xml:space="preserve">d </w:t>
                            </w:r>
                            <w:r w:rsidR="00E358D0">
                              <w:rPr>
                                <w:rFonts w:asciiTheme="minorHAnsi" w:hAnsiTheme="minorHAnsi" w:cstheme="minorHAnsi"/>
                              </w:rPr>
                              <w:t>prioritisation and investment is need</w:t>
                            </w:r>
                            <w:r w:rsidR="005A3105">
                              <w:rPr>
                                <w:rFonts w:asciiTheme="minorHAnsi" w:hAnsiTheme="minorHAnsi" w:cstheme="minorHAnsi"/>
                              </w:rPr>
                              <w:t xml:space="preserve">ed </w:t>
                            </w:r>
                            <w:r w:rsidR="00E358D0">
                              <w:rPr>
                                <w:rFonts w:asciiTheme="minorHAnsi" w:hAnsiTheme="minorHAnsi" w:cstheme="minorHAnsi"/>
                              </w:rPr>
                              <w:t xml:space="preserve">if </w:t>
                            </w:r>
                            <w:r w:rsidR="00D50CA4">
                              <w:rPr>
                                <w:rFonts w:asciiTheme="minorHAnsi" w:hAnsiTheme="minorHAnsi" w:cstheme="minorHAnsi"/>
                              </w:rPr>
                              <w:t>initiatives</w:t>
                            </w:r>
                            <w:r w:rsidR="00E358D0">
                              <w:rPr>
                                <w:rFonts w:asciiTheme="minorHAnsi" w:hAnsiTheme="minorHAnsi" w:cstheme="minorHAnsi"/>
                              </w:rPr>
                              <w:t xml:space="preserve"> are to be taken to scale.</w:t>
                            </w:r>
                          </w:p>
                        </w:txbxContent>
                      </wps:txbx>
                      <wps:bodyPr rot="0" vert="horz" wrap="square" lIns="91440" tIns="45720" rIns="91440" bIns="45720" anchor="t" anchorCtr="0">
                        <a:spAutoFit/>
                      </wps:bodyPr>
                    </wps:wsp>
                  </a:graphicData>
                </a:graphic>
              </wp:inline>
            </w:drawing>
          </mc:Choice>
          <mc:Fallback>
            <w:pict>
              <v:shape w14:anchorId="3A0A0749" id="Text Box 10" o:spid="_x0000_s1034" type="#_x0000_t202" style="width:439.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iCQGAIAACcEAAAOAAAAZHJzL2Uyb0RvYy54bWysk92O0zAQhe+ReAfL9zRJSUobNV0tXYqQ&#10;lh9p4QEcx2ksHI+x3Sbl6Rk73W61wA0iF5adsY9nvjle34y9IkdhnQRd0WyWUiI0h0bqfUW/fd29&#10;WlLiPNMNU6BFRU/C0ZvNyxfrwZRiDh2oRliCItqVg6lo570pk8TxTvTMzcAIjcEWbM88Lu0+aSwb&#10;UL1XyTxNF8kAtjEWuHAO/95NQbqJ+m0ruP/ctk54oiqKufk42jjWYUw2a1buLTOd5Oc02D9k0TOp&#10;8dKL1B3zjBys/E2ql9yCg9bPOPQJtK3kItaA1WTps2oeOmZErAXhOHPB5P6fLP90fDBfLPHjWxix&#10;gbEIZ+6Bf3dEw7Zjei9urYWhE6zBi7OALBmMK89HA2pXuiBSDx+hwSazg4coNLa2D1SwToLq2IDT&#10;BboYPeH4syiW2aLAEMdYlqf5Yh7bkrDy8bixzr8X0JMwqajFrkZ5drx3PqTDysct4TYHSjY7qVRc&#10;2H29VZYcGTpgF79YwbNtSpOhoqtiXkwE/iqRrvJs+fpPEr30aGUl+4ou0/BN5grc3ukmGs0zqaY5&#10;pqz0GWRgN1H0Yz0S2aBAOBu41tCckKyFybn40nDSgf1JyYCuraj7cWBWUKI+aOzOKsvzYPO4yIs3&#10;iJLY60h9HWGao1RFPSXTdOvj04jczC12cScj36dMzimjGyP288sJdr9ex11P73vzCwAA//8DAFBL&#10;AwQUAAYACAAAACEAUZrvptsAAAAFAQAADwAAAGRycy9kb3ducmV2LnhtbEyPwW7CMBBE70j8g7WV&#10;egOHHAINcVBFW9RjoZW4mnhJIuJ1ZJuQ9uu77aW9jDSa1czbYjPaTgzoQ+tIwWKegECqnGmpVvDx&#10;/jJbgQhRk9GdI1TwiQE25XRS6Ny4G+1xOMRacAmFXCtoYuxzKUPVoNVh7nokzs7OWx3Z+loar29c&#10;bjuZJkkmrW6JFxrd47bB6nK4WgXHp132Ou6HN9M+J7uvbGku/hiVur8bH9cgIo7x7xh+8BkdSmY6&#10;uSuZIDoF/Ej8Vc5Wywe2JwVpukhBloX8T19+AwAA//8DAFBLAQItABQABgAIAAAAIQC2gziS/gAA&#10;AOEBAAATAAAAAAAAAAAAAAAAAAAAAABbQ29udGVudF9UeXBlc10ueG1sUEsBAi0AFAAGAAgAAAAh&#10;ADj9If/WAAAAlAEAAAsAAAAAAAAAAAAAAAAALwEAAF9yZWxzLy5yZWxzUEsBAi0AFAAGAAgAAAAh&#10;AFciIJAYAgAAJwQAAA4AAAAAAAAAAAAAAAAALgIAAGRycy9lMm9Eb2MueG1sUEsBAi0AFAAGAAgA&#10;AAAhAFGa76bbAAAABQEAAA8AAAAAAAAAAAAAAAAAcgQAAGRycy9kb3ducmV2LnhtbFBLBQYAAAAA&#10;BAAEAPMAAAB6BQAAAAA=&#10;" strokecolor="#094183">
                <v:textbox style="mso-fit-shape-to-text:t">
                  <w:txbxContent>
                    <w:p w14:paraId="6B772D46" w14:textId="06A0C6C8" w:rsidR="00E358D0" w:rsidRPr="00C61F37" w:rsidRDefault="001A4EAC" w:rsidP="00E358D0">
                      <w:pPr>
                        <w:spacing w:after="0" w:line="240" w:lineRule="auto"/>
                        <w:rPr>
                          <w:rFonts w:asciiTheme="minorHAnsi" w:hAnsiTheme="minorHAnsi" w:cstheme="minorHAnsi"/>
                          <w:lang w:val="en-AU"/>
                        </w:rPr>
                      </w:pPr>
                      <w:r>
                        <w:rPr>
                          <w:rFonts w:asciiTheme="minorHAnsi" w:hAnsiTheme="minorHAnsi" w:cstheme="minorHAnsi"/>
                        </w:rPr>
                        <w:t>E</w:t>
                      </w:r>
                      <w:r w:rsidR="00E358D0">
                        <w:rPr>
                          <w:rFonts w:asciiTheme="minorHAnsi" w:hAnsiTheme="minorHAnsi" w:cstheme="minorHAnsi"/>
                        </w:rPr>
                        <w:t>fforts to include persons with disabilities in preparedness and response in the Pacific</w:t>
                      </w:r>
                      <w:r>
                        <w:rPr>
                          <w:rFonts w:asciiTheme="minorHAnsi" w:hAnsiTheme="minorHAnsi" w:cstheme="minorHAnsi"/>
                        </w:rPr>
                        <w:t xml:space="preserve"> have increased</w:t>
                      </w:r>
                      <w:r w:rsidR="00E358D0">
                        <w:rPr>
                          <w:rFonts w:asciiTheme="minorHAnsi" w:hAnsiTheme="minorHAnsi" w:cstheme="minorHAnsi"/>
                        </w:rPr>
                        <w:t xml:space="preserve">. There are examples </w:t>
                      </w:r>
                      <w:r>
                        <w:rPr>
                          <w:rFonts w:asciiTheme="minorHAnsi" w:hAnsiTheme="minorHAnsi" w:cstheme="minorHAnsi"/>
                        </w:rPr>
                        <w:t xml:space="preserve">of practice </w:t>
                      </w:r>
                      <w:r w:rsidR="00E358D0">
                        <w:rPr>
                          <w:rFonts w:asciiTheme="minorHAnsi" w:hAnsiTheme="minorHAnsi" w:cstheme="minorHAnsi"/>
                        </w:rPr>
                        <w:t xml:space="preserve">that can be built on and replicated. However, too frequently, </w:t>
                      </w:r>
                      <w:r w:rsidR="00D50CA4">
                        <w:rPr>
                          <w:rFonts w:asciiTheme="minorHAnsi" w:hAnsiTheme="minorHAnsi" w:cstheme="minorHAnsi"/>
                        </w:rPr>
                        <w:t xml:space="preserve">practice </w:t>
                      </w:r>
                      <w:r w:rsidR="00E358D0">
                        <w:rPr>
                          <w:rFonts w:asciiTheme="minorHAnsi" w:hAnsiTheme="minorHAnsi" w:cstheme="minorHAnsi"/>
                        </w:rPr>
                        <w:t>examples are implemented in isolation, limited in scale, and dependent on short term financing with minimal, or tokenistic, budget allocations. Increase</w:t>
                      </w:r>
                      <w:r w:rsidR="00D50CA4">
                        <w:rPr>
                          <w:rFonts w:asciiTheme="minorHAnsi" w:hAnsiTheme="minorHAnsi" w:cstheme="minorHAnsi"/>
                        </w:rPr>
                        <w:t xml:space="preserve">d </w:t>
                      </w:r>
                      <w:r w:rsidR="00E358D0">
                        <w:rPr>
                          <w:rFonts w:asciiTheme="minorHAnsi" w:hAnsiTheme="minorHAnsi" w:cstheme="minorHAnsi"/>
                        </w:rPr>
                        <w:t>prioritisation and investment is need</w:t>
                      </w:r>
                      <w:r w:rsidR="005A3105">
                        <w:rPr>
                          <w:rFonts w:asciiTheme="minorHAnsi" w:hAnsiTheme="minorHAnsi" w:cstheme="minorHAnsi"/>
                        </w:rPr>
                        <w:t xml:space="preserve">ed </w:t>
                      </w:r>
                      <w:r w:rsidR="00E358D0">
                        <w:rPr>
                          <w:rFonts w:asciiTheme="minorHAnsi" w:hAnsiTheme="minorHAnsi" w:cstheme="minorHAnsi"/>
                        </w:rPr>
                        <w:t xml:space="preserve">if </w:t>
                      </w:r>
                      <w:r w:rsidR="00D50CA4">
                        <w:rPr>
                          <w:rFonts w:asciiTheme="minorHAnsi" w:hAnsiTheme="minorHAnsi" w:cstheme="minorHAnsi"/>
                        </w:rPr>
                        <w:t>initiatives</w:t>
                      </w:r>
                      <w:r w:rsidR="00E358D0">
                        <w:rPr>
                          <w:rFonts w:asciiTheme="minorHAnsi" w:hAnsiTheme="minorHAnsi" w:cstheme="minorHAnsi"/>
                        </w:rPr>
                        <w:t xml:space="preserve"> are to be taken to scale.</w:t>
                      </w:r>
                    </w:p>
                  </w:txbxContent>
                </v:textbox>
                <w10:anchorlock/>
              </v:shape>
            </w:pict>
          </mc:Fallback>
        </mc:AlternateContent>
      </w:r>
    </w:p>
    <w:p w14:paraId="5ECF707E" w14:textId="77777777" w:rsidR="00084646" w:rsidRPr="007A44CE" w:rsidRDefault="00084646" w:rsidP="007A44CE">
      <w:pPr>
        <w:spacing w:after="0" w:line="240" w:lineRule="auto"/>
        <w:rPr>
          <w:rFonts w:asciiTheme="minorHAnsi" w:hAnsiTheme="minorHAnsi" w:cstheme="minorHAnsi"/>
        </w:rPr>
      </w:pPr>
    </w:p>
    <w:p w14:paraId="51A4A76A" w14:textId="370BADF7" w:rsidR="007A44CE" w:rsidRPr="007A44CE" w:rsidRDefault="007A44CE" w:rsidP="007A44CE">
      <w:pPr>
        <w:pStyle w:val="ListParagraph"/>
        <w:numPr>
          <w:ilvl w:val="0"/>
          <w:numId w:val="43"/>
        </w:numPr>
        <w:spacing w:after="0" w:line="240" w:lineRule="auto"/>
        <w:rPr>
          <w:rFonts w:ascii="Cambria" w:hAnsi="Cambria"/>
          <w:color w:val="094183"/>
          <w:sz w:val="24"/>
          <w:szCs w:val="24"/>
        </w:rPr>
      </w:pPr>
      <w:r w:rsidRPr="007A44CE">
        <w:rPr>
          <w:rFonts w:ascii="Cambria" w:hAnsi="Cambria"/>
          <w:color w:val="094183"/>
          <w:sz w:val="24"/>
          <w:szCs w:val="24"/>
        </w:rPr>
        <w:t xml:space="preserve">Anticipatory action and </w:t>
      </w:r>
      <w:r w:rsidR="005D0FB0">
        <w:rPr>
          <w:rFonts w:ascii="Cambria" w:hAnsi="Cambria"/>
          <w:color w:val="094183"/>
          <w:sz w:val="24"/>
          <w:szCs w:val="24"/>
        </w:rPr>
        <w:t>social protection</w:t>
      </w:r>
    </w:p>
    <w:p w14:paraId="34B773F0" w14:textId="77777777" w:rsidR="007A44CE" w:rsidRDefault="007A44CE" w:rsidP="007A44CE">
      <w:pPr>
        <w:spacing w:after="0" w:line="240" w:lineRule="auto"/>
        <w:rPr>
          <w:rFonts w:ascii="Cambria" w:hAnsi="Cambria"/>
          <w:color w:val="094183"/>
          <w:sz w:val="24"/>
          <w:szCs w:val="24"/>
        </w:rPr>
      </w:pPr>
    </w:p>
    <w:p w14:paraId="7CE77D46" w14:textId="73A48A4A" w:rsidR="007A44CE" w:rsidRDefault="007A44CE" w:rsidP="007A44CE">
      <w:pPr>
        <w:spacing w:after="0" w:line="240" w:lineRule="auto"/>
        <w:rPr>
          <w:rFonts w:asciiTheme="minorHAnsi" w:hAnsiTheme="minorHAnsi" w:cstheme="minorHAnsi"/>
        </w:rPr>
      </w:pPr>
      <w:r>
        <w:rPr>
          <w:rFonts w:asciiTheme="minorHAnsi" w:hAnsiTheme="minorHAnsi" w:cstheme="minorHAnsi"/>
        </w:rPr>
        <w:t>Growing interest in anticipatory action and cash based assistance was reported by government and OPD</w:t>
      </w:r>
      <w:r w:rsidR="005D0FB0">
        <w:rPr>
          <w:rFonts w:asciiTheme="minorHAnsi" w:hAnsiTheme="minorHAnsi" w:cstheme="minorHAnsi"/>
        </w:rPr>
        <w:t>s</w:t>
      </w:r>
      <w:r>
        <w:rPr>
          <w:rFonts w:asciiTheme="minorHAnsi" w:hAnsiTheme="minorHAnsi" w:cstheme="minorHAnsi"/>
        </w:rPr>
        <w:t xml:space="preserve">. The benefits of providing cash-based assistance following Tropical Cyclone Yasa, 2020 was reported as allowing assistance to be provided when </w:t>
      </w:r>
      <w:r w:rsidR="005A3105">
        <w:rPr>
          <w:rFonts w:asciiTheme="minorHAnsi" w:hAnsiTheme="minorHAnsi" w:cstheme="minorHAnsi"/>
        </w:rPr>
        <w:t xml:space="preserve">the </w:t>
      </w:r>
      <w:r>
        <w:rPr>
          <w:rFonts w:asciiTheme="minorHAnsi" w:hAnsiTheme="minorHAnsi" w:cstheme="minorHAnsi"/>
        </w:rPr>
        <w:t xml:space="preserve">individual needs </w:t>
      </w:r>
      <w:r w:rsidR="005D0FB0">
        <w:rPr>
          <w:rFonts w:asciiTheme="minorHAnsi" w:hAnsiTheme="minorHAnsi" w:cstheme="minorHAnsi"/>
        </w:rPr>
        <w:t xml:space="preserve">and circumstances of persons with disabilities were </w:t>
      </w:r>
      <w:r>
        <w:rPr>
          <w:rFonts w:asciiTheme="minorHAnsi" w:hAnsiTheme="minorHAnsi" w:cstheme="minorHAnsi"/>
        </w:rPr>
        <w:t xml:space="preserve">not known. The benefits of giving families the “power to decide” was also noted. Officials in Fiji </w:t>
      </w:r>
      <w:r w:rsidR="005D0FB0">
        <w:rPr>
          <w:rFonts w:asciiTheme="minorHAnsi" w:hAnsiTheme="minorHAnsi" w:cstheme="minorHAnsi"/>
        </w:rPr>
        <w:t>reported</w:t>
      </w:r>
      <w:r>
        <w:rPr>
          <w:rFonts w:asciiTheme="minorHAnsi" w:hAnsiTheme="minorHAnsi" w:cstheme="minorHAnsi"/>
        </w:rPr>
        <w:t xml:space="preserve"> establish</w:t>
      </w:r>
      <w:r w:rsidR="005D0FB0">
        <w:rPr>
          <w:rFonts w:asciiTheme="minorHAnsi" w:hAnsiTheme="minorHAnsi" w:cstheme="minorHAnsi"/>
        </w:rPr>
        <w:t>ing</w:t>
      </w:r>
      <w:r>
        <w:rPr>
          <w:rFonts w:asciiTheme="minorHAnsi" w:hAnsiTheme="minorHAnsi" w:cstheme="minorHAnsi"/>
        </w:rPr>
        <w:t xml:space="preserve"> a working group in response to </w:t>
      </w:r>
      <w:r w:rsidR="005D0FB0">
        <w:rPr>
          <w:rFonts w:asciiTheme="minorHAnsi" w:hAnsiTheme="minorHAnsi" w:cstheme="minorHAnsi"/>
        </w:rPr>
        <w:t xml:space="preserve">what was considered </w:t>
      </w:r>
      <w:r>
        <w:rPr>
          <w:rFonts w:asciiTheme="minorHAnsi" w:hAnsiTheme="minorHAnsi" w:cstheme="minorHAnsi"/>
        </w:rPr>
        <w:t>poor coordination of cash assistance by NGOs.</w:t>
      </w:r>
    </w:p>
    <w:p w14:paraId="57BDE462" w14:textId="77777777" w:rsidR="007A44CE" w:rsidRDefault="007A44CE" w:rsidP="007A44CE">
      <w:pPr>
        <w:spacing w:after="0" w:line="240" w:lineRule="auto"/>
        <w:rPr>
          <w:rFonts w:asciiTheme="minorHAnsi" w:hAnsiTheme="minorHAnsi" w:cstheme="minorHAnsi"/>
        </w:rPr>
      </w:pPr>
    </w:p>
    <w:p w14:paraId="2AEF6A7B" w14:textId="4442E12D" w:rsidR="007A44CE" w:rsidRDefault="007A44CE" w:rsidP="007A44CE">
      <w:pPr>
        <w:spacing w:after="0" w:line="240" w:lineRule="auto"/>
        <w:rPr>
          <w:rFonts w:asciiTheme="minorHAnsi" w:hAnsiTheme="minorHAnsi" w:cstheme="minorHAnsi"/>
        </w:rPr>
      </w:pPr>
      <w:r>
        <w:rPr>
          <w:rFonts w:asciiTheme="minorHAnsi" w:hAnsiTheme="minorHAnsi" w:cstheme="minorHAnsi"/>
        </w:rPr>
        <w:t>Following Tropical Cyclone Harold, 2020 top</w:t>
      </w:r>
      <w:r w:rsidR="005D0FB0">
        <w:rPr>
          <w:rFonts w:asciiTheme="minorHAnsi" w:hAnsiTheme="minorHAnsi" w:cstheme="minorHAnsi"/>
        </w:rPr>
        <w:t>-</w:t>
      </w:r>
      <w:r>
        <w:rPr>
          <w:rFonts w:asciiTheme="minorHAnsi" w:hAnsiTheme="minorHAnsi" w:cstheme="minorHAnsi"/>
        </w:rPr>
        <w:t>ups were provided through Fiji’s social protection system in collaboration with the World Food Programme. This was a</w:t>
      </w:r>
      <w:r w:rsidR="005D0FB0">
        <w:rPr>
          <w:rFonts w:asciiTheme="minorHAnsi" w:hAnsiTheme="minorHAnsi" w:cstheme="minorHAnsi"/>
        </w:rPr>
        <w:t xml:space="preserve">n additional </w:t>
      </w:r>
      <w:r>
        <w:rPr>
          <w:rFonts w:asciiTheme="minorHAnsi" w:hAnsiTheme="minorHAnsi" w:cstheme="minorHAnsi"/>
        </w:rPr>
        <w:t>one off payment to recipients of government social protection schemes, including the Disability Allowance</w:t>
      </w:r>
      <w:r w:rsidR="005A3105">
        <w:rPr>
          <w:rFonts w:asciiTheme="minorHAnsi" w:hAnsiTheme="minorHAnsi" w:cstheme="minorHAnsi"/>
        </w:rPr>
        <w:t>,</w:t>
      </w:r>
      <w:r>
        <w:rPr>
          <w:rFonts w:asciiTheme="minorHAnsi" w:hAnsiTheme="minorHAnsi" w:cstheme="minorHAnsi"/>
        </w:rPr>
        <w:t xml:space="preserve"> which covers a reported 10,294 persons with disabilities. Government representatives reported there had not been an assessment of impact, but the top</w:t>
      </w:r>
      <w:r w:rsidR="005D0FB0">
        <w:rPr>
          <w:rFonts w:asciiTheme="minorHAnsi" w:hAnsiTheme="minorHAnsi" w:cstheme="minorHAnsi"/>
        </w:rPr>
        <w:t>-</w:t>
      </w:r>
      <w:r>
        <w:rPr>
          <w:rFonts w:asciiTheme="minorHAnsi" w:hAnsiTheme="minorHAnsi" w:cstheme="minorHAnsi"/>
        </w:rPr>
        <w:t xml:space="preserve">ups had been straightforward to administer and distribute. </w:t>
      </w:r>
      <w:r w:rsidR="005A3105">
        <w:rPr>
          <w:rFonts w:asciiTheme="minorHAnsi" w:hAnsiTheme="minorHAnsi" w:cstheme="minorHAnsi"/>
        </w:rPr>
        <w:t>C</w:t>
      </w:r>
      <w:r>
        <w:rPr>
          <w:rFonts w:asciiTheme="minorHAnsi" w:hAnsiTheme="minorHAnsi" w:cstheme="minorHAnsi"/>
        </w:rPr>
        <w:t xml:space="preserve">hanges to measuring eligibility for the Disability Allowance </w:t>
      </w:r>
      <w:r w:rsidR="005A3105">
        <w:rPr>
          <w:rFonts w:asciiTheme="minorHAnsi" w:hAnsiTheme="minorHAnsi" w:cstheme="minorHAnsi"/>
        </w:rPr>
        <w:t xml:space="preserve">made in 2017 </w:t>
      </w:r>
      <w:r>
        <w:rPr>
          <w:rFonts w:asciiTheme="minorHAnsi" w:hAnsiTheme="minorHAnsi" w:cstheme="minorHAnsi"/>
        </w:rPr>
        <w:t>widen</w:t>
      </w:r>
      <w:r w:rsidR="005A3105">
        <w:rPr>
          <w:rFonts w:asciiTheme="minorHAnsi" w:hAnsiTheme="minorHAnsi" w:cstheme="minorHAnsi"/>
        </w:rPr>
        <w:t>ed</w:t>
      </w:r>
      <w:r>
        <w:rPr>
          <w:rFonts w:asciiTheme="minorHAnsi" w:hAnsiTheme="minorHAnsi" w:cstheme="minorHAnsi"/>
        </w:rPr>
        <w:t xml:space="preserve"> participation in the scheme. </w:t>
      </w:r>
    </w:p>
    <w:p w14:paraId="3DD4B338" w14:textId="77777777" w:rsidR="007A44CE" w:rsidRDefault="007A44CE" w:rsidP="007A44CE">
      <w:pPr>
        <w:spacing w:after="0" w:line="240" w:lineRule="auto"/>
        <w:rPr>
          <w:rFonts w:asciiTheme="minorHAnsi" w:hAnsiTheme="minorHAnsi" w:cstheme="minorHAnsi"/>
        </w:rPr>
      </w:pPr>
    </w:p>
    <w:p w14:paraId="23EC5093" w14:textId="41F7C29C" w:rsidR="007A44CE" w:rsidRDefault="007A44CE" w:rsidP="007A44CE">
      <w:pPr>
        <w:spacing w:after="0" w:line="240" w:lineRule="auto"/>
        <w:rPr>
          <w:rFonts w:asciiTheme="minorHAnsi" w:hAnsiTheme="minorHAnsi" w:cstheme="minorHAnsi"/>
        </w:rPr>
      </w:pPr>
      <w:r>
        <w:rPr>
          <w:rFonts w:asciiTheme="minorHAnsi" w:hAnsiTheme="minorHAnsi" w:cstheme="minorHAnsi"/>
        </w:rPr>
        <w:t xml:space="preserve">Fiji’s Ministry of Women, Children, and Poverty Alleviation </w:t>
      </w:r>
      <w:r w:rsidR="00EA219E">
        <w:rPr>
          <w:rFonts w:asciiTheme="minorHAnsi" w:hAnsiTheme="minorHAnsi" w:cstheme="minorHAnsi"/>
        </w:rPr>
        <w:t xml:space="preserve">is </w:t>
      </w:r>
      <w:r>
        <w:rPr>
          <w:rFonts w:asciiTheme="minorHAnsi" w:hAnsiTheme="minorHAnsi" w:cstheme="minorHAnsi"/>
        </w:rPr>
        <w:t xml:space="preserve">working with the UN Capital Development Fund to </w:t>
      </w:r>
      <w:r w:rsidR="005D0FB0">
        <w:rPr>
          <w:rFonts w:asciiTheme="minorHAnsi" w:hAnsiTheme="minorHAnsi" w:cstheme="minorHAnsi"/>
        </w:rPr>
        <w:t>deliver</w:t>
      </w:r>
      <w:r>
        <w:rPr>
          <w:rFonts w:asciiTheme="minorHAnsi" w:hAnsiTheme="minorHAnsi" w:cstheme="minorHAnsi"/>
        </w:rPr>
        <w:t xml:space="preserve"> parametric insurance solutions. </w:t>
      </w:r>
      <w:r w:rsidRPr="00A30368">
        <w:rPr>
          <w:rFonts w:asciiTheme="minorHAnsi" w:hAnsiTheme="minorHAnsi" w:cstheme="minorHAnsi"/>
        </w:rPr>
        <w:t xml:space="preserve">Parametric insurance </w:t>
      </w:r>
      <w:r>
        <w:rPr>
          <w:rFonts w:asciiTheme="minorHAnsi" w:hAnsiTheme="minorHAnsi" w:cstheme="minorHAnsi"/>
        </w:rPr>
        <w:t xml:space="preserve">refers to payments that are triggered </w:t>
      </w:r>
      <w:r w:rsidRPr="00A30368">
        <w:rPr>
          <w:rFonts w:asciiTheme="minorHAnsi" w:hAnsiTheme="minorHAnsi" w:cstheme="minorHAnsi"/>
        </w:rPr>
        <w:t xml:space="preserve">by a pre-determined event in an area, such as </w:t>
      </w:r>
      <w:r>
        <w:rPr>
          <w:rFonts w:asciiTheme="minorHAnsi" w:hAnsiTheme="minorHAnsi" w:cstheme="minorHAnsi"/>
        </w:rPr>
        <w:t xml:space="preserve">a certain level of </w:t>
      </w:r>
      <w:r w:rsidRPr="00A30368">
        <w:rPr>
          <w:rFonts w:asciiTheme="minorHAnsi" w:hAnsiTheme="minorHAnsi" w:cstheme="minorHAnsi"/>
        </w:rPr>
        <w:t>rainfall or wind speed</w:t>
      </w:r>
      <w:r>
        <w:rPr>
          <w:rFonts w:asciiTheme="minorHAnsi" w:hAnsiTheme="minorHAnsi" w:cstheme="minorHAnsi"/>
        </w:rPr>
        <w:t xml:space="preserve"> velocity</w:t>
      </w:r>
      <w:r w:rsidRPr="00A30368">
        <w:rPr>
          <w:rFonts w:asciiTheme="minorHAnsi" w:hAnsiTheme="minorHAnsi" w:cstheme="minorHAnsi"/>
        </w:rPr>
        <w:t>.</w:t>
      </w:r>
      <w:r w:rsidRPr="00A30368">
        <w:rPr>
          <w:rStyle w:val="FootnoteReference"/>
          <w:rFonts w:asciiTheme="minorHAnsi" w:hAnsiTheme="minorHAnsi" w:cstheme="minorHAnsi"/>
        </w:rPr>
        <w:t xml:space="preserve"> </w:t>
      </w:r>
      <w:r w:rsidR="00E1547B">
        <w:rPr>
          <w:rFonts w:asciiTheme="minorHAnsi" w:hAnsiTheme="minorHAnsi" w:cstheme="minorHAnsi"/>
        </w:rPr>
        <w:t xml:space="preserve"> </w:t>
      </w:r>
      <w:r>
        <w:rPr>
          <w:rFonts w:asciiTheme="minorHAnsi" w:hAnsiTheme="minorHAnsi" w:cstheme="minorHAnsi"/>
        </w:rPr>
        <w:t xml:space="preserve">The Ministry plans to </w:t>
      </w:r>
      <w:r w:rsidR="00EA219E">
        <w:rPr>
          <w:rFonts w:asciiTheme="minorHAnsi" w:hAnsiTheme="minorHAnsi" w:cstheme="minorHAnsi"/>
        </w:rPr>
        <w:t xml:space="preserve">target </w:t>
      </w:r>
      <w:r>
        <w:rPr>
          <w:rFonts w:asciiTheme="minorHAnsi" w:hAnsiTheme="minorHAnsi" w:cstheme="minorHAnsi"/>
        </w:rPr>
        <w:t>2,000</w:t>
      </w:r>
      <w:r w:rsidR="00EA219E">
        <w:rPr>
          <w:rFonts w:asciiTheme="minorHAnsi" w:hAnsiTheme="minorHAnsi" w:cstheme="minorHAnsi"/>
        </w:rPr>
        <w:t xml:space="preserve"> people, including persons with disabilities. An </w:t>
      </w:r>
      <w:r>
        <w:rPr>
          <w:rFonts w:asciiTheme="minorHAnsi" w:hAnsiTheme="minorHAnsi" w:cstheme="minorHAnsi"/>
        </w:rPr>
        <w:t>earlier pilot targeted 274 people</w:t>
      </w:r>
      <w:r w:rsidR="00EA219E">
        <w:rPr>
          <w:rFonts w:asciiTheme="minorHAnsi" w:hAnsiTheme="minorHAnsi" w:cstheme="minorHAnsi"/>
        </w:rPr>
        <w:t>,</w:t>
      </w:r>
      <w:r>
        <w:rPr>
          <w:rFonts w:asciiTheme="minorHAnsi" w:hAnsiTheme="minorHAnsi" w:cstheme="minorHAnsi"/>
        </w:rPr>
        <w:t xml:space="preserve"> including 22 persons with disabilities.</w:t>
      </w:r>
      <w:r w:rsidR="00EA219E">
        <w:rPr>
          <w:rFonts w:asciiTheme="minorHAnsi" w:hAnsiTheme="minorHAnsi" w:cstheme="minorHAnsi"/>
        </w:rPr>
        <w:t xml:space="preserve"> </w:t>
      </w:r>
      <w:r w:rsidR="00C10A5E">
        <w:rPr>
          <w:rFonts w:asciiTheme="minorHAnsi" w:hAnsiTheme="minorHAnsi" w:cstheme="minorHAnsi"/>
        </w:rPr>
        <w:t xml:space="preserve">Working with private insurance providers, </w:t>
      </w:r>
      <w:r w:rsidR="00EA219E">
        <w:rPr>
          <w:rFonts w:asciiTheme="minorHAnsi" w:hAnsiTheme="minorHAnsi" w:cstheme="minorHAnsi"/>
        </w:rPr>
        <w:t>PDF has registered 770 persons wit</w:t>
      </w:r>
      <w:r w:rsidR="00C10A5E">
        <w:rPr>
          <w:rFonts w:asciiTheme="minorHAnsi" w:hAnsiTheme="minorHAnsi" w:cstheme="minorHAnsi"/>
        </w:rPr>
        <w:t>h disabilities</w:t>
      </w:r>
      <w:r w:rsidR="00EA219E">
        <w:rPr>
          <w:rFonts w:asciiTheme="minorHAnsi" w:hAnsiTheme="minorHAnsi" w:cstheme="minorHAnsi"/>
        </w:rPr>
        <w:t xml:space="preserve"> for onboarding to </w:t>
      </w:r>
      <w:r w:rsidR="00C10A5E">
        <w:rPr>
          <w:rFonts w:asciiTheme="minorHAnsi" w:hAnsiTheme="minorHAnsi" w:cstheme="minorHAnsi"/>
        </w:rPr>
        <w:t>a separate parametric insurance initiative. PDF aim</w:t>
      </w:r>
      <w:r w:rsidR="005A3105">
        <w:rPr>
          <w:rFonts w:asciiTheme="minorHAnsi" w:hAnsiTheme="minorHAnsi" w:cstheme="minorHAnsi"/>
        </w:rPr>
        <w:t>s</w:t>
      </w:r>
      <w:r w:rsidR="00C10A5E">
        <w:rPr>
          <w:rFonts w:asciiTheme="minorHAnsi" w:hAnsiTheme="minorHAnsi" w:cstheme="minorHAnsi"/>
        </w:rPr>
        <w:t xml:space="preserve"> to extend this initiative from Fiji to Tonga and then other Pacific countries. </w:t>
      </w:r>
    </w:p>
    <w:p w14:paraId="3BDBDA17" w14:textId="77777777" w:rsidR="007A44CE" w:rsidRDefault="007A44CE" w:rsidP="007A44CE">
      <w:pPr>
        <w:spacing w:after="0" w:line="240" w:lineRule="auto"/>
        <w:rPr>
          <w:rFonts w:asciiTheme="minorHAnsi" w:hAnsiTheme="minorHAnsi" w:cstheme="minorHAnsi"/>
        </w:rPr>
      </w:pPr>
    </w:p>
    <w:p w14:paraId="7C4A7127" w14:textId="77777777" w:rsidR="007A44CE" w:rsidRDefault="007A44CE" w:rsidP="007A44CE">
      <w:pPr>
        <w:spacing w:after="0" w:line="240" w:lineRule="auto"/>
        <w:rPr>
          <w:rFonts w:asciiTheme="minorHAnsi" w:hAnsiTheme="minorHAnsi" w:cstheme="minorHAnsi"/>
        </w:rPr>
      </w:pPr>
      <w:r w:rsidRPr="00B1698F">
        <w:rPr>
          <w:rFonts w:asciiTheme="minorHAnsi" w:hAnsiTheme="minorHAnsi" w:cstheme="minorHAnsi"/>
          <w:noProof/>
          <w:color w:val="2B579A"/>
          <w:shd w:val="clear" w:color="auto" w:fill="E6E6E6"/>
        </w:rPr>
        <w:lastRenderedPageBreak/>
        <mc:AlternateContent>
          <mc:Choice Requires="wps">
            <w:drawing>
              <wp:inline distT="0" distB="0" distL="0" distR="0" wp14:anchorId="18EE9329" wp14:editId="13903F4C">
                <wp:extent cx="5581650" cy="1404620"/>
                <wp:effectExtent l="0" t="0" r="19050" b="1778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solidFill>
                          <a:srgbClr val="FFFFFF"/>
                        </a:solidFill>
                        <a:ln w="9525">
                          <a:solidFill>
                            <a:srgbClr val="094183"/>
                          </a:solidFill>
                          <a:miter lim="800000"/>
                          <a:headEnd/>
                          <a:tailEnd/>
                        </a:ln>
                      </wps:spPr>
                      <wps:txbx>
                        <w:txbxContent>
                          <w:p w14:paraId="2F545744" w14:textId="60F6A30C" w:rsidR="007A44CE" w:rsidRPr="00C61F37" w:rsidRDefault="007A44CE" w:rsidP="007A44CE">
                            <w:pPr>
                              <w:spacing w:after="0" w:line="240" w:lineRule="auto"/>
                              <w:rPr>
                                <w:rFonts w:asciiTheme="minorHAnsi" w:hAnsiTheme="minorHAnsi" w:cstheme="minorHAnsi"/>
                                <w:lang w:val="en-AU"/>
                              </w:rPr>
                            </w:pPr>
                            <w:r>
                              <w:rPr>
                                <w:rFonts w:asciiTheme="minorHAnsi" w:hAnsiTheme="minorHAnsi" w:cstheme="minorHAnsi"/>
                                <w:lang w:val="en-AU"/>
                              </w:rPr>
                              <w:t>Anticipatory action</w:t>
                            </w:r>
                            <w:r w:rsidR="005D0FB0">
                              <w:rPr>
                                <w:rFonts w:asciiTheme="minorHAnsi" w:hAnsiTheme="minorHAnsi" w:cstheme="minorHAnsi"/>
                                <w:lang w:val="en-AU"/>
                              </w:rPr>
                              <w:t xml:space="preserve"> </w:t>
                            </w:r>
                            <w:r>
                              <w:rPr>
                                <w:rFonts w:asciiTheme="minorHAnsi" w:hAnsiTheme="minorHAnsi" w:cstheme="minorHAnsi"/>
                                <w:lang w:val="en-AU"/>
                              </w:rPr>
                              <w:t xml:space="preserve">and the utilisation of existing social protection mechanisms are an emerging area. Initial signs are these approaches hold potential for targeting persons with disabilities and accelerating </w:t>
                            </w:r>
                            <w:r w:rsidR="005D0FB0">
                              <w:rPr>
                                <w:rFonts w:asciiTheme="minorHAnsi" w:hAnsiTheme="minorHAnsi" w:cstheme="minorHAnsi"/>
                                <w:lang w:val="en-AU"/>
                              </w:rPr>
                              <w:t xml:space="preserve">the delivery of </w:t>
                            </w:r>
                            <w:r w:rsidR="005A3105">
                              <w:rPr>
                                <w:rFonts w:asciiTheme="minorHAnsi" w:hAnsiTheme="minorHAnsi" w:cstheme="minorHAnsi"/>
                                <w:lang w:val="en-AU"/>
                              </w:rPr>
                              <w:t xml:space="preserve">humanitarian </w:t>
                            </w:r>
                            <w:r>
                              <w:rPr>
                                <w:rFonts w:asciiTheme="minorHAnsi" w:hAnsiTheme="minorHAnsi" w:cstheme="minorHAnsi"/>
                                <w:lang w:val="en-AU"/>
                              </w:rPr>
                              <w:t xml:space="preserve">assistance. </w:t>
                            </w:r>
                            <w:r w:rsidR="005D0FB0">
                              <w:rPr>
                                <w:rFonts w:asciiTheme="minorHAnsi" w:hAnsiTheme="minorHAnsi" w:cstheme="minorHAnsi"/>
                                <w:lang w:val="en-AU"/>
                              </w:rPr>
                              <w:t xml:space="preserve">Impact and reach will be </w:t>
                            </w:r>
                            <w:r>
                              <w:rPr>
                                <w:rFonts w:asciiTheme="minorHAnsi" w:hAnsiTheme="minorHAnsi" w:cstheme="minorHAnsi"/>
                                <w:lang w:val="en-AU"/>
                              </w:rPr>
                              <w:t xml:space="preserve">dependent on </w:t>
                            </w:r>
                            <w:r w:rsidR="005D0FB0">
                              <w:rPr>
                                <w:rFonts w:asciiTheme="minorHAnsi" w:hAnsiTheme="minorHAnsi" w:cstheme="minorHAnsi"/>
                                <w:lang w:val="en-AU"/>
                              </w:rPr>
                              <w:t xml:space="preserve">the </w:t>
                            </w:r>
                            <w:r>
                              <w:rPr>
                                <w:rFonts w:asciiTheme="minorHAnsi" w:hAnsiTheme="minorHAnsi" w:cstheme="minorHAnsi"/>
                                <w:lang w:val="en-AU"/>
                              </w:rPr>
                              <w:t xml:space="preserve">coverage of social protection systems </w:t>
                            </w:r>
                            <w:r w:rsidR="005D0FB0">
                              <w:rPr>
                                <w:rFonts w:asciiTheme="minorHAnsi" w:hAnsiTheme="minorHAnsi" w:cstheme="minorHAnsi"/>
                                <w:lang w:val="en-AU"/>
                              </w:rPr>
                              <w:t>targeting p</w:t>
                            </w:r>
                            <w:r>
                              <w:rPr>
                                <w:rFonts w:asciiTheme="minorHAnsi" w:hAnsiTheme="minorHAnsi" w:cstheme="minorHAnsi"/>
                                <w:lang w:val="en-AU"/>
                              </w:rPr>
                              <w:t>ersons with disabilities.</w:t>
                            </w:r>
                          </w:p>
                        </w:txbxContent>
                      </wps:txbx>
                      <wps:bodyPr rot="0" vert="horz" wrap="square" lIns="91440" tIns="45720" rIns="91440" bIns="45720" anchor="t" anchorCtr="0">
                        <a:spAutoFit/>
                      </wps:bodyPr>
                    </wps:wsp>
                  </a:graphicData>
                </a:graphic>
              </wp:inline>
            </w:drawing>
          </mc:Choice>
          <mc:Fallback>
            <w:pict>
              <v:shape w14:anchorId="18EE9329" id="Text Box 9" o:spid="_x0000_s1035" type="#_x0000_t202" style="width:439.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U5mGQIAACcEAAAOAAAAZHJzL2Uyb0RvYy54bWysk92O0zAQhe+ReAfL9zRJSUobNV0tXYqQ&#10;lh9p4QEcx2ksHI+x3Sbl6Rk73W61wA0iF5adsY9nvjle34y9IkdhnQRd0WyWUiI0h0bqfUW/fd29&#10;WlLiPNMNU6BFRU/C0ZvNyxfrwZRiDh2oRliCItqVg6lo570pk8TxTvTMzcAIjcEWbM88Lu0+aSwb&#10;UL1XyTxNF8kAtjEWuHAO/95NQbqJ+m0ruP/ctk54oiqKufk42jjWYUw2a1buLTOd5Oc02D9k0TOp&#10;8dKL1B3zjBys/E2ql9yCg9bPOPQJtK3kItaA1WTps2oeOmZErAXhOHPB5P6fLP90fDBfLPHjWxix&#10;gbEIZ+6Bf3dEw7Zjei9urYWhE6zBi7OALBmMK89HA2pXuiBSDx+hwSazg4coNLa2D1SwToLq2IDT&#10;BboYPeH4syiW2aLAEMdYlqf5Yh7bkrDy8bixzr8X0JMwqajFrkZ5drx3PqTDysct4TYHSjY7qVRc&#10;2H29VZYcGTpgF79YwbNtSpOhoqtiXkwE/iqRrvJs+fpPEr30aGUl+4ou0/BN5grc3ukmGs0zqaY5&#10;pqz0GWRgN1H0Yz0S2WAi4WzgWkNzQrIWJufiS8NJB/YnJQO6tqLux4FZQYn6oLE7qyzPg83jIi/e&#10;IEpiryP1dYRpjlIV9ZRM062PTyNyM7fYxZ2MfJ8yOaeMbozYzy8n2P16HXc9ve/NLwAAAP//AwBQ&#10;SwMEFAAGAAgAAAAhAFGa76bbAAAABQEAAA8AAABkcnMvZG93bnJldi54bWxMj8FuwjAQRO9I/IO1&#10;lXoDhxwCDXFQRVvUY6GVuJp4SSLidWSbkPbru+2lvYw0mtXM22Iz2k4M6EPrSMFinoBAqpxpqVbw&#10;8f4yW4EIUZPRnSNU8IkBNuV0UujcuBvtcTjEWnAJhVwraGLscylD1aDVYe56JM7Ozlsd2fpaGq9v&#10;XG47mSZJJq1uiRca3eO2wepyuFoFx6dd9jruhzfTPie7r2xpLv4Ylbq/Gx/XICKO8e8YfvAZHUpm&#10;OrkrmSA6BfxI/FXOVssHticFabpIQZaF/E9ffgMAAP//AwBQSwECLQAUAAYACAAAACEAtoM4kv4A&#10;AADhAQAAEwAAAAAAAAAAAAAAAAAAAAAAW0NvbnRlbnRfVHlwZXNdLnhtbFBLAQItABQABgAIAAAA&#10;IQA4/SH/1gAAAJQBAAALAAAAAAAAAAAAAAAAAC8BAABfcmVscy8ucmVsc1BLAQItABQABgAIAAAA&#10;IQCFlU5mGQIAACcEAAAOAAAAAAAAAAAAAAAAAC4CAABkcnMvZTJvRG9jLnhtbFBLAQItABQABgAI&#10;AAAAIQBRmu+m2wAAAAUBAAAPAAAAAAAAAAAAAAAAAHMEAABkcnMvZG93bnJldi54bWxQSwUGAAAA&#10;AAQABADzAAAAewUAAAAA&#10;" strokecolor="#094183">
                <v:textbox style="mso-fit-shape-to-text:t">
                  <w:txbxContent>
                    <w:p w14:paraId="2F545744" w14:textId="60F6A30C" w:rsidR="007A44CE" w:rsidRPr="00C61F37" w:rsidRDefault="007A44CE" w:rsidP="007A44CE">
                      <w:pPr>
                        <w:spacing w:after="0" w:line="240" w:lineRule="auto"/>
                        <w:rPr>
                          <w:rFonts w:asciiTheme="minorHAnsi" w:hAnsiTheme="minorHAnsi" w:cstheme="minorHAnsi"/>
                          <w:lang w:val="en-AU"/>
                        </w:rPr>
                      </w:pPr>
                      <w:r>
                        <w:rPr>
                          <w:rFonts w:asciiTheme="minorHAnsi" w:hAnsiTheme="minorHAnsi" w:cstheme="minorHAnsi"/>
                          <w:lang w:val="en-AU"/>
                        </w:rPr>
                        <w:t>Anticipatory action</w:t>
                      </w:r>
                      <w:r w:rsidR="005D0FB0">
                        <w:rPr>
                          <w:rFonts w:asciiTheme="minorHAnsi" w:hAnsiTheme="minorHAnsi" w:cstheme="minorHAnsi"/>
                          <w:lang w:val="en-AU"/>
                        </w:rPr>
                        <w:t xml:space="preserve"> </w:t>
                      </w:r>
                      <w:r>
                        <w:rPr>
                          <w:rFonts w:asciiTheme="minorHAnsi" w:hAnsiTheme="minorHAnsi" w:cstheme="minorHAnsi"/>
                          <w:lang w:val="en-AU"/>
                        </w:rPr>
                        <w:t xml:space="preserve">and the utilisation of existing social protection mechanisms are an emerging area. Initial signs are these approaches hold potential for targeting persons with disabilities and accelerating </w:t>
                      </w:r>
                      <w:r w:rsidR="005D0FB0">
                        <w:rPr>
                          <w:rFonts w:asciiTheme="minorHAnsi" w:hAnsiTheme="minorHAnsi" w:cstheme="minorHAnsi"/>
                          <w:lang w:val="en-AU"/>
                        </w:rPr>
                        <w:t xml:space="preserve">the delivery of </w:t>
                      </w:r>
                      <w:r w:rsidR="005A3105">
                        <w:rPr>
                          <w:rFonts w:asciiTheme="minorHAnsi" w:hAnsiTheme="minorHAnsi" w:cstheme="minorHAnsi"/>
                          <w:lang w:val="en-AU"/>
                        </w:rPr>
                        <w:t xml:space="preserve">humanitarian </w:t>
                      </w:r>
                      <w:r>
                        <w:rPr>
                          <w:rFonts w:asciiTheme="minorHAnsi" w:hAnsiTheme="minorHAnsi" w:cstheme="minorHAnsi"/>
                          <w:lang w:val="en-AU"/>
                        </w:rPr>
                        <w:t xml:space="preserve">assistance. </w:t>
                      </w:r>
                      <w:r w:rsidR="005D0FB0">
                        <w:rPr>
                          <w:rFonts w:asciiTheme="minorHAnsi" w:hAnsiTheme="minorHAnsi" w:cstheme="minorHAnsi"/>
                          <w:lang w:val="en-AU"/>
                        </w:rPr>
                        <w:t xml:space="preserve">Impact and reach will be </w:t>
                      </w:r>
                      <w:r>
                        <w:rPr>
                          <w:rFonts w:asciiTheme="minorHAnsi" w:hAnsiTheme="minorHAnsi" w:cstheme="minorHAnsi"/>
                          <w:lang w:val="en-AU"/>
                        </w:rPr>
                        <w:t xml:space="preserve">dependent on </w:t>
                      </w:r>
                      <w:r w:rsidR="005D0FB0">
                        <w:rPr>
                          <w:rFonts w:asciiTheme="minorHAnsi" w:hAnsiTheme="minorHAnsi" w:cstheme="minorHAnsi"/>
                          <w:lang w:val="en-AU"/>
                        </w:rPr>
                        <w:t xml:space="preserve">the </w:t>
                      </w:r>
                      <w:r>
                        <w:rPr>
                          <w:rFonts w:asciiTheme="minorHAnsi" w:hAnsiTheme="minorHAnsi" w:cstheme="minorHAnsi"/>
                          <w:lang w:val="en-AU"/>
                        </w:rPr>
                        <w:t xml:space="preserve">coverage of social protection systems </w:t>
                      </w:r>
                      <w:r w:rsidR="005D0FB0">
                        <w:rPr>
                          <w:rFonts w:asciiTheme="minorHAnsi" w:hAnsiTheme="minorHAnsi" w:cstheme="minorHAnsi"/>
                          <w:lang w:val="en-AU"/>
                        </w:rPr>
                        <w:t>targeting p</w:t>
                      </w:r>
                      <w:r>
                        <w:rPr>
                          <w:rFonts w:asciiTheme="minorHAnsi" w:hAnsiTheme="minorHAnsi" w:cstheme="minorHAnsi"/>
                          <w:lang w:val="en-AU"/>
                        </w:rPr>
                        <w:t>ersons with disabilities.</w:t>
                      </w:r>
                    </w:p>
                  </w:txbxContent>
                </v:textbox>
                <w10:anchorlock/>
              </v:shape>
            </w:pict>
          </mc:Fallback>
        </mc:AlternateContent>
      </w:r>
    </w:p>
    <w:p w14:paraId="4EE3EC57" w14:textId="77777777" w:rsidR="007A44CE" w:rsidRPr="00F43F7E" w:rsidRDefault="007A44CE" w:rsidP="007A44CE">
      <w:pPr>
        <w:spacing w:after="0" w:line="240" w:lineRule="auto"/>
        <w:rPr>
          <w:rFonts w:asciiTheme="minorHAnsi" w:hAnsiTheme="minorHAnsi" w:cstheme="minorHAnsi"/>
        </w:rPr>
      </w:pPr>
    </w:p>
    <w:p w14:paraId="41FE1A7C" w14:textId="3B830020" w:rsidR="007A44CE" w:rsidRDefault="007A44CE" w:rsidP="007A44CE">
      <w:pPr>
        <w:pStyle w:val="ListParagraph"/>
        <w:numPr>
          <w:ilvl w:val="0"/>
          <w:numId w:val="43"/>
        </w:numPr>
        <w:spacing w:after="0" w:line="240" w:lineRule="auto"/>
        <w:rPr>
          <w:rFonts w:ascii="Cambria" w:hAnsi="Cambria"/>
          <w:color w:val="094183"/>
          <w:sz w:val="24"/>
          <w:szCs w:val="24"/>
        </w:rPr>
      </w:pPr>
      <w:r>
        <w:rPr>
          <w:rFonts w:ascii="Cambria" w:hAnsi="Cambria"/>
          <w:color w:val="094183"/>
          <w:sz w:val="24"/>
          <w:szCs w:val="24"/>
        </w:rPr>
        <w:t>Leadership of persons with disabilities</w:t>
      </w:r>
    </w:p>
    <w:p w14:paraId="0DB2A6C6" w14:textId="31A48364" w:rsidR="00F43F7E" w:rsidRDefault="00F43F7E" w:rsidP="00C61070">
      <w:pPr>
        <w:spacing w:after="0" w:line="240" w:lineRule="auto"/>
        <w:rPr>
          <w:rFonts w:asciiTheme="minorHAnsi" w:hAnsiTheme="minorHAnsi" w:cstheme="minorHAnsi"/>
        </w:rPr>
      </w:pPr>
    </w:p>
    <w:p w14:paraId="5F6BCE63" w14:textId="4F0D315F" w:rsidR="00706B3F" w:rsidRDefault="00706B3F" w:rsidP="00706B3F">
      <w:pPr>
        <w:spacing w:after="0" w:line="240" w:lineRule="auto"/>
        <w:rPr>
          <w:rFonts w:asciiTheme="minorHAnsi" w:hAnsiTheme="minorHAnsi" w:cstheme="minorHAnsi"/>
        </w:rPr>
      </w:pPr>
      <w:r>
        <w:rPr>
          <w:rFonts w:asciiTheme="minorHAnsi" w:hAnsiTheme="minorHAnsi" w:cstheme="minorHAnsi"/>
        </w:rPr>
        <w:t xml:space="preserve">There are </w:t>
      </w:r>
      <w:r w:rsidR="005D0FB0">
        <w:rPr>
          <w:rFonts w:asciiTheme="minorHAnsi" w:hAnsiTheme="minorHAnsi" w:cstheme="minorHAnsi"/>
        </w:rPr>
        <w:t>promising</w:t>
      </w:r>
      <w:r>
        <w:rPr>
          <w:rFonts w:asciiTheme="minorHAnsi" w:hAnsiTheme="minorHAnsi" w:cstheme="minorHAnsi"/>
        </w:rPr>
        <w:t xml:space="preserve"> examples of collaboration between government and non-government DRR </w:t>
      </w:r>
      <w:r w:rsidR="005D0FB0">
        <w:rPr>
          <w:rFonts w:asciiTheme="minorHAnsi" w:hAnsiTheme="minorHAnsi" w:cstheme="minorHAnsi"/>
        </w:rPr>
        <w:t>stakeholders</w:t>
      </w:r>
      <w:r>
        <w:rPr>
          <w:rFonts w:asciiTheme="minorHAnsi" w:hAnsiTheme="minorHAnsi" w:cstheme="minorHAnsi"/>
        </w:rPr>
        <w:t xml:space="preserve"> and OPDs</w:t>
      </w:r>
      <w:r w:rsidR="005D0FB0">
        <w:rPr>
          <w:rFonts w:asciiTheme="minorHAnsi" w:hAnsiTheme="minorHAnsi" w:cstheme="minorHAnsi"/>
        </w:rPr>
        <w:t xml:space="preserve"> indicating the </w:t>
      </w:r>
      <w:r>
        <w:rPr>
          <w:rFonts w:asciiTheme="minorHAnsi" w:hAnsiTheme="minorHAnsi" w:cstheme="minorHAnsi"/>
        </w:rPr>
        <w:t>expertise of persons with disabilities is better recognised.</w:t>
      </w:r>
      <w:r w:rsidR="005D0FB0">
        <w:rPr>
          <w:rFonts w:asciiTheme="minorHAnsi" w:hAnsiTheme="minorHAnsi" w:cstheme="minorHAnsi"/>
        </w:rPr>
        <w:t xml:space="preserve"> </w:t>
      </w:r>
      <w:r>
        <w:rPr>
          <w:rFonts w:asciiTheme="minorHAnsi" w:hAnsiTheme="minorHAnsi" w:cstheme="minorHAnsi"/>
        </w:rPr>
        <w:t>OPDs are also filling implementation gap</w:t>
      </w:r>
      <w:r w:rsidR="005D0FB0">
        <w:rPr>
          <w:rFonts w:asciiTheme="minorHAnsi" w:hAnsiTheme="minorHAnsi" w:cstheme="minorHAnsi"/>
        </w:rPr>
        <w:t>s</w:t>
      </w:r>
      <w:r>
        <w:rPr>
          <w:rFonts w:asciiTheme="minorHAnsi" w:hAnsiTheme="minorHAnsi" w:cstheme="minorHAnsi"/>
        </w:rPr>
        <w:t>. In the years preceding the World Conference in Sendai, 2015 DRR</w:t>
      </w:r>
      <w:r w:rsidR="005D0FB0">
        <w:rPr>
          <w:rFonts w:asciiTheme="minorHAnsi" w:hAnsiTheme="minorHAnsi" w:cstheme="minorHAnsi"/>
        </w:rPr>
        <w:t xml:space="preserve"> </w:t>
      </w:r>
      <w:r>
        <w:rPr>
          <w:rFonts w:asciiTheme="minorHAnsi" w:hAnsiTheme="minorHAnsi" w:cstheme="minorHAnsi"/>
        </w:rPr>
        <w:t>was not a priority for many in the disability community. This is changing and the impacts of climate change on persons with disabilities in the Pacific are accelerating the urgency.</w:t>
      </w:r>
      <w:r w:rsidR="003D552F">
        <w:rPr>
          <w:rFonts w:asciiTheme="minorHAnsi" w:hAnsiTheme="minorHAnsi" w:cstheme="minorHAnsi"/>
        </w:rPr>
        <w:t xml:space="preserve"> OPDs in the Pacific are emerging as global leaders in disability inclusive DRR and climate action.</w:t>
      </w:r>
    </w:p>
    <w:p w14:paraId="651907A0" w14:textId="6A297FCE" w:rsidR="00557B63" w:rsidRDefault="00557B63" w:rsidP="00C61070">
      <w:pPr>
        <w:spacing w:after="0" w:line="240" w:lineRule="auto"/>
        <w:rPr>
          <w:rFonts w:asciiTheme="minorHAnsi" w:hAnsiTheme="minorHAnsi" w:cstheme="minorHAnsi"/>
        </w:rPr>
      </w:pPr>
    </w:p>
    <w:p w14:paraId="051F0E3A" w14:textId="0FB15EAB" w:rsidR="009A5A86" w:rsidRDefault="003D552F" w:rsidP="009A5A86">
      <w:pPr>
        <w:spacing w:after="0" w:line="240" w:lineRule="auto"/>
        <w:rPr>
          <w:rFonts w:asciiTheme="minorHAnsi" w:hAnsiTheme="minorHAnsi" w:cstheme="minorHAnsi"/>
        </w:rPr>
      </w:pPr>
      <w:r>
        <w:rPr>
          <w:rFonts w:asciiTheme="minorHAnsi" w:hAnsiTheme="minorHAnsi" w:cstheme="minorHAnsi"/>
        </w:rPr>
        <w:t xml:space="preserve">The leadership and prioritisation demonstrated by OPDs is not yet fully reflected or embraced in the work of other </w:t>
      </w:r>
      <w:r w:rsidR="005D0FB0">
        <w:rPr>
          <w:rFonts w:asciiTheme="minorHAnsi" w:hAnsiTheme="minorHAnsi" w:cstheme="minorHAnsi"/>
        </w:rPr>
        <w:t xml:space="preserve">DRR </w:t>
      </w:r>
      <w:r>
        <w:rPr>
          <w:rFonts w:asciiTheme="minorHAnsi" w:hAnsiTheme="minorHAnsi" w:cstheme="minorHAnsi"/>
        </w:rPr>
        <w:t xml:space="preserve">stakeholders. </w:t>
      </w:r>
      <w:r w:rsidR="009A5A86" w:rsidRPr="00EF1E59">
        <w:rPr>
          <w:rFonts w:asciiTheme="minorHAnsi" w:hAnsiTheme="minorHAnsi" w:cstheme="minorHAnsi"/>
        </w:rPr>
        <w:t xml:space="preserve">Regional commitments </w:t>
      </w:r>
      <w:r>
        <w:rPr>
          <w:rFonts w:asciiTheme="minorHAnsi" w:hAnsiTheme="minorHAnsi" w:cstheme="minorHAnsi"/>
        </w:rPr>
        <w:t xml:space="preserve">to disability inclusion in DRR still </w:t>
      </w:r>
      <w:r w:rsidR="009A5A86" w:rsidRPr="00EF1E59">
        <w:rPr>
          <w:rFonts w:asciiTheme="minorHAnsi" w:hAnsiTheme="minorHAnsi" w:cstheme="minorHAnsi"/>
        </w:rPr>
        <w:t xml:space="preserve">need to be institutionalised and embedded at national and local levels. Policy revision and reform </w:t>
      </w:r>
      <w:r>
        <w:rPr>
          <w:rFonts w:asciiTheme="minorHAnsi" w:hAnsiTheme="minorHAnsi" w:cstheme="minorHAnsi"/>
        </w:rPr>
        <w:t xml:space="preserve">to fully align with CRPP obligations </w:t>
      </w:r>
      <w:r w:rsidR="009A5A86" w:rsidRPr="00EF1E59">
        <w:rPr>
          <w:rFonts w:asciiTheme="minorHAnsi" w:hAnsiTheme="minorHAnsi" w:cstheme="minorHAnsi"/>
        </w:rPr>
        <w:t>need</w:t>
      </w:r>
      <w:r>
        <w:rPr>
          <w:rFonts w:asciiTheme="minorHAnsi" w:hAnsiTheme="minorHAnsi" w:cstheme="minorHAnsi"/>
        </w:rPr>
        <w:t>s</w:t>
      </w:r>
      <w:r w:rsidR="009A5A86" w:rsidRPr="00EF1E59">
        <w:rPr>
          <w:rFonts w:asciiTheme="minorHAnsi" w:hAnsiTheme="minorHAnsi" w:cstheme="minorHAnsi"/>
        </w:rPr>
        <w:t xml:space="preserve"> to be accelerated. This requires satisf</w:t>
      </w:r>
      <w:r>
        <w:rPr>
          <w:rFonts w:asciiTheme="minorHAnsi" w:hAnsiTheme="minorHAnsi" w:cstheme="minorHAnsi"/>
        </w:rPr>
        <w:t xml:space="preserve">ying the </w:t>
      </w:r>
      <w:r w:rsidR="009A5A86" w:rsidRPr="00EF1E59">
        <w:rPr>
          <w:rFonts w:asciiTheme="minorHAnsi" w:hAnsiTheme="minorHAnsi" w:cstheme="minorHAnsi"/>
        </w:rPr>
        <w:t>pre-conditions for inclusion</w:t>
      </w:r>
      <w:r w:rsidR="00FE1534">
        <w:rPr>
          <w:rFonts w:asciiTheme="minorHAnsi" w:hAnsiTheme="minorHAnsi" w:cstheme="minorHAnsi"/>
        </w:rPr>
        <w:t>,</w:t>
      </w:r>
      <w:r>
        <w:rPr>
          <w:rFonts w:asciiTheme="minorHAnsi" w:hAnsiTheme="minorHAnsi" w:cstheme="minorHAnsi"/>
        </w:rPr>
        <w:t xml:space="preserve"> clear designation of </w:t>
      </w:r>
      <w:r w:rsidR="009A5A86" w:rsidRPr="00EF1E59">
        <w:rPr>
          <w:rFonts w:asciiTheme="minorHAnsi" w:hAnsiTheme="minorHAnsi" w:cstheme="minorHAnsi"/>
        </w:rPr>
        <w:t>responsibilities</w:t>
      </w:r>
      <w:r w:rsidR="00FE1534">
        <w:rPr>
          <w:rFonts w:asciiTheme="minorHAnsi" w:hAnsiTheme="minorHAnsi" w:cstheme="minorHAnsi"/>
        </w:rPr>
        <w:t>,</w:t>
      </w:r>
      <w:r w:rsidR="009A5A86" w:rsidRPr="00EF1E59">
        <w:rPr>
          <w:rFonts w:asciiTheme="minorHAnsi" w:hAnsiTheme="minorHAnsi" w:cstheme="minorHAnsi"/>
        </w:rPr>
        <w:t xml:space="preserve"> and strengthened collaboration across government</w:t>
      </w:r>
      <w:r>
        <w:rPr>
          <w:rFonts w:asciiTheme="minorHAnsi" w:hAnsiTheme="minorHAnsi" w:cstheme="minorHAnsi"/>
        </w:rPr>
        <w:t xml:space="preserve"> and </w:t>
      </w:r>
      <w:r w:rsidR="00FE1534">
        <w:rPr>
          <w:rFonts w:asciiTheme="minorHAnsi" w:hAnsiTheme="minorHAnsi" w:cstheme="minorHAnsi"/>
        </w:rPr>
        <w:t>between</w:t>
      </w:r>
      <w:r>
        <w:rPr>
          <w:rFonts w:asciiTheme="minorHAnsi" w:hAnsiTheme="minorHAnsi" w:cstheme="minorHAnsi"/>
        </w:rPr>
        <w:t xml:space="preserve"> stakeholders</w:t>
      </w:r>
      <w:r w:rsidR="009A5A86" w:rsidRPr="00EF1E59">
        <w:rPr>
          <w:rFonts w:asciiTheme="minorHAnsi" w:hAnsiTheme="minorHAnsi" w:cstheme="minorHAnsi"/>
        </w:rPr>
        <w:t xml:space="preserve">. </w:t>
      </w:r>
      <w:r>
        <w:rPr>
          <w:rFonts w:asciiTheme="minorHAnsi" w:hAnsiTheme="minorHAnsi" w:cstheme="minorHAnsi"/>
        </w:rPr>
        <w:t>The full leadership potential of persons with disabilities to contribute to process</w:t>
      </w:r>
      <w:r w:rsidR="00FE1534">
        <w:rPr>
          <w:rFonts w:asciiTheme="minorHAnsi" w:hAnsiTheme="minorHAnsi" w:cstheme="minorHAnsi"/>
        </w:rPr>
        <w:t>es of change</w:t>
      </w:r>
      <w:r>
        <w:rPr>
          <w:rFonts w:asciiTheme="minorHAnsi" w:hAnsiTheme="minorHAnsi" w:cstheme="minorHAnsi"/>
        </w:rPr>
        <w:t xml:space="preserve"> remains untapped.</w:t>
      </w:r>
    </w:p>
    <w:p w14:paraId="71982BD5" w14:textId="75D685B5" w:rsidR="00E81879" w:rsidRDefault="00E81879" w:rsidP="009A5A86">
      <w:pPr>
        <w:spacing w:after="0" w:line="240" w:lineRule="auto"/>
        <w:rPr>
          <w:rFonts w:asciiTheme="minorHAnsi" w:hAnsiTheme="minorHAnsi" w:cstheme="minorHAnsi"/>
        </w:rPr>
      </w:pPr>
    </w:p>
    <w:p w14:paraId="41D4705B" w14:textId="45F06364" w:rsidR="00E81879" w:rsidRDefault="00E81879" w:rsidP="009A5A86">
      <w:pPr>
        <w:spacing w:after="0" w:line="240" w:lineRule="auto"/>
        <w:rPr>
          <w:rFonts w:asciiTheme="minorHAnsi" w:hAnsiTheme="minorHAnsi" w:cstheme="minorHAnsi"/>
        </w:rPr>
      </w:pPr>
      <w:r>
        <w:rPr>
          <w:rFonts w:asciiTheme="minorHAnsi" w:hAnsiTheme="minorHAnsi" w:cstheme="minorHAnsi"/>
        </w:rPr>
        <w:t xml:space="preserve">OPD representatives expressed concerns that government consultations with OPDs often amount to little more than “lip-service”. </w:t>
      </w:r>
      <w:r w:rsidR="0027304F">
        <w:rPr>
          <w:rFonts w:asciiTheme="minorHAnsi" w:hAnsiTheme="minorHAnsi" w:cstheme="minorHAnsi"/>
        </w:rPr>
        <w:t xml:space="preserve">It was noted that guidance and advice provided in consultations was often not reflected in </w:t>
      </w:r>
      <w:r w:rsidR="00FE1534">
        <w:rPr>
          <w:rFonts w:asciiTheme="minorHAnsi" w:hAnsiTheme="minorHAnsi" w:cstheme="minorHAnsi"/>
        </w:rPr>
        <w:t xml:space="preserve">later </w:t>
      </w:r>
      <w:r w:rsidR="0027304F">
        <w:rPr>
          <w:rFonts w:asciiTheme="minorHAnsi" w:hAnsiTheme="minorHAnsi" w:cstheme="minorHAnsi"/>
        </w:rPr>
        <w:t xml:space="preserve">implementation. </w:t>
      </w:r>
      <w:r>
        <w:rPr>
          <w:rFonts w:asciiTheme="minorHAnsi" w:hAnsiTheme="minorHAnsi" w:cstheme="minorHAnsi"/>
        </w:rPr>
        <w:t>A representative from Tonga</w:t>
      </w:r>
      <w:r w:rsidR="0027304F">
        <w:rPr>
          <w:rFonts w:asciiTheme="minorHAnsi" w:hAnsiTheme="minorHAnsi" w:cstheme="minorHAnsi"/>
        </w:rPr>
        <w:t xml:space="preserve"> </w:t>
      </w:r>
      <w:r>
        <w:rPr>
          <w:rFonts w:asciiTheme="minorHAnsi" w:hAnsiTheme="minorHAnsi" w:cstheme="minorHAnsi"/>
        </w:rPr>
        <w:t>noted that venues for consultations</w:t>
      </w:r>
      <w:r w:rsidR="0027304F">
        <w:rPr>
          <w:rFonts w:asciiTheme="minorHAnsi" w:hAnsiTheme="minorHAnsi" w:cstheme="minorHAnsi"/>
        </w:rPr>
        <w:t xml:space="preserve"> with DRR stakeholders remained physically inaccessible. It was also noted that OPDs are </w:t>
      </w:r>
      <w:r w:rsidR="005A3105">
        <w:rPr>
          <w:rFonts w:asciiTheme="minorHAnsi" w:hAnsiTheme="minorHAnsi" w:cstheme="minorHAnsi"/>
        </w:rPr>
        <w:t>“</w:t>
      </w:r>
      <w:r w:rsidR="0027304F">
        <w:rPr>
          <w:rFonts w:asciiTheme="minorHAnsi" w:hAnsiTheme="minorHAnsi" w:cstheme="minorHAnsi"/>
        </w:rPr>
        <w:t>not always easy to get hold of</w:t>
      </w:r>
      <w:r w:rsidR="005A3105">
        <w:rPr>
          <w:rFonts w:asciiTheme="minorHAnsi" w:hAnsiTheme="minorHAnsi" w:cstheme="minorHAnsi"/>
        </w:rPr>
        <w:t>”</w:t>
      </w:r>
      <w:r w:rsidR="0027304F">
        <w:rPr>
          <w:rFonts w:asciiTheme="minorHAnsi" w:hAnsiTheme="minorHAnsi" w:cstheme="minorHAnsi"/>
        </w:rPr>
        <w:t xml:space="preserve"> and need to be more pro-active in ensuring they are visible to, and contactable by, DRR stakeholders.</w:t>
      </w:r>
    </w:p>
    <w:p w14:paraId="4CA7E6C5" w14:textId="604CDF64" w:rsidR="003D552F" w:rsidRDefault="003D552F" w:rsidP="009A5A86">
      <w:pPr>
        <w:spacing w:after="0" w:line="240" w:lineRule="auto"/>
        <w:rPr>
          <w:rFonts w:asciiTheme="minorHAnsi" w:hAnsiTheme="minorHAnsi" w:cstheme="minorHAnsi"/>
        </w:rPr>
      </w:pPr>
    </w:p>
    <w:p w14:paraId="32443EF9" w14:textId="3221DD81" w:rsidR="005E01A1" w:rsidRDefault="0027304F" w:rsidP="22D8730C">
      <w:pPr>
        <w:spacing w:after="0" w:line="240" w:lineRule="auto"/>
        <w:rPr>
          <w:rFonts w:asciiTheme="minorHAnsi" w:hAnsiTheme="minorHAnsi"/>
        </w:rPr>
      </w:pPr>
      <w:r w:rsidRPr="22D8730C">
        <w:rPr>
          <w:rFonts w:asciiTheme="minorHAnsi" w:hAnsiTheme="minorHAnsi"/>
        </w:rPr>
        <w:t>In the 2019-2020</w:t>
      </w:r>
      <w:r w:rsidR="00304C8C" w:rsidRPr="22D8730C">
        <w:rPr>
          <w:rFonts w:asciiTheme="minorHAnsi" w:hAnsiTheme="minorHAnsi"/>
        </w:rPr>
        <w:t xml:space="preserve"> period, t</w:t>
      </w:r>
      <w:r w:rsidR="003D552F" w:rsidRPr="22D8730C">
        <w:rPr>
          <w:rFonts w:asciiTheme="minorHAnsi" w:hAnsiTheme="minorHAnsi"/>
        </w:rPr>
        <w:t>he Australian NGO Cooperation Program supported 66,698 women to assume leadership roles</w:t>
      </w:r>
      <w:r w:rsidR="00304C8C" w:rsidRPr="22D8730C">
        <w:rPr>
          <w:rFonts w:asciiTheme="minorHAnsi" w:hAnsiTheme="minorHAnsi"/>
        </w:rPr>
        <w:t>.</w:t>
      </w:r>
      <w:r w:rsidR="003D552F" w:rsidRPr="22D8730C">
        <w:rPr>
          <w:rStyle w:val="FootnoteReference"/>
          <w:rFonts w:asciiTheme="minorHAnsi" w:hAnsiTheme="minorHAnsi"/>
        </w:rPr>
        <w:footnoteReference w:id="49"/>
      </w:r>
      <w:r w:rsidR="00E81879" w:rsidRPr="22D8730C">
        <w:rPr>
          <w:rFonts w:asciiTheme="minorHAnsi" w:hAnsiTheme="minorHAnsi"/>
        </w:rPr>
        <w:t xml:space="preserve"> 2.9%, or just under 2,000, of these women were women with disabilities. This is a </w:t>
      </w:r>
      <w:r w:rsidR="00EF789B">
        <w:rPr>
          <w:rFonts w:asciiTheme="minorHAnsi" w:hAnsiTheme="minorHAnsi"/>
        </w:rPr>
        <w:t xml:space="preserve">small </w:t>
      </w:r>
      <w:r w:rsidR="00E81879" w:rsidRPr="22D8730C">
        <w:rPr>
          <w:rFonts w:asciiTheme="minorHAnsi" w:hAnsiTheme="minorHAnsi"/>
        </w:rPr>
        <w:t>step in the right direction. Women with disabilities in the Pacific are leading national OPDs and contributing to Sendai Framework objectives</w:t>
      </w:r>
      <w:r w:rsidRPr="22D8730C">
        <w:rPr>
          <w:rFonts w:asciiTheme="minorHAnsi" w:hAnsiTheme="minorHAnsi"/>
        </w:rPr>
        <w:t xml:space="preserve"> at all levels</w:t>
      </w:r>
      <w:r w:rsidR="005E01A1">
        <w:rPr>
          <w:rFonts w:asciiTheme="minorHAnsi" w:hAnsiTheme="minorHAnsi"/>
        </w:rPr>
        <w:t xml:space="preserve">. The Women’s International Network (WIN) for DRR includes strong participation </w:t>
      </w:r>
      <w:r w:rsidR="00EF789B">
        <w:rPr>
          <w:rFonts w:asciiTheme="minorHAnsi" w:hAnsiTheme="minorHAnsi"/>
        </w:rPr>
        <w:t xml:space="preserve">by </w:t>
      </w:r>
      <w:r w:rsidR="005E01A1">
        <w:rPr>
          <w:rFonts w:asciiTheme="minorHAnsi" w:hAnsiTheme="minorHAnsi"/>
        </w:rPr>
        <w:t>women with disabilities, including a 2022 WIN DRR Leadership Award finalist.</w:t>
      </w:r>
      <w:r w:rsidR="005E01A1">
        <w:rPr>
          <w:rStyle w:val="FootnoteReference"/>
          <w:rFonts w:asciiTheme="minorHAnsi" w:hAnsiTheme="minorHAnsi"/>
        </w:rPr>
        <w:footnoteReference w:id="50"/>
      </w:r>
      <w:r w:rsidR="005E01A1">
        <w:rPr>
          <w:rFonts w:asciiTheme="minorHAnsi" w:hAnsiTheme="minorHAnsi"/>
        </w:rPr>
        <w:t xml:space="preserve"> </w:t>
      </w:r>
      <w:r w:rsidR="00E81879" w:rsidRPr="22D8730C">
        <w:rPr>
          <w:rFonts w:asciiTheme="minorHAnsi" w:hAnsiTheme="minorHAnsi"/>
        </w:rPr>
        <w:t xml:space="preserve"> </w:t>
      </w:r>
    </w:p>
    <w:p w14:paraId="1633EA6B" w14:textId="77777777" w:rsidR="005E01A1" w:rsidRDefault="005E01A1" w:rsidP="22D8730C">
      <w:pPr>
        <w:spacing w:after="0" w:line="240" w:lineRule="auto"/>
        <w:rPr>
          <w:rFonts w:asciiTheme="minorHAnsi" w:hAnsiTheme="minorHAnsi"/>
        </w:rPr>
      </w:pPr>
    </w:p>
    <w:p w14:paraId="0022F8A4" w14:textId="4CB50B1B" w:rsidR="003D552F" w:rsidRDefault="005E01A1" w:rsidP="22D8730C">
      <w:pPr>
        <w:spacing w:after="0" w:line="240" w:lineRule="auto"/>
        <w:rPr>
          <w:rFonts w:asciiTheme="minorHAnsi" w:hAnsiTheme="minorHAnsi"/>
        </w:rPr>
      </w:pPr>
      <w:r>
        <w:rPr>
          <w:rFonts w:asciiTheme="minorHAnsi" w:hAnsiTheme="minorHAnsi"/>
        </w:rPr>
        <w:t xml:space="preserve">Overall, the </w:t>
      </w:r>
      <w:r w:rsidR="00E81879" w:rsidRPr="22D8730C">
        <w:rPr>
          <w:rFonts w:asciiTheme="minorHAnsi" w:hAnsiTheme="minorHAnsi"/>
        </w:rPr>
        <w:t xml:space="preserve">potential </w:t>
      </w:r>
      <w:r>
        <w:rPr>
          <w:rFonts w:asciiTheme="minorHAnsi" w:hAnsiTheme="minorHAnsi"/>
        </w:rPr>
        <w:t xml:space="preserve">of women with disabilities to contribute to DRR </w:t>
      </w:r>
      <w:r w:rsidR="00E1547B">
        <w:rPr>
          <w:rFonts w:asciiTheme="minorHAnsi" w:hAnsiTheme="minorHAnsi"/>
        </w:rPr>
        <w:t>is underutilised.</w:t>
      </w:r>
      <w:r w:rsidR="00304C8C" w:rsidRPr="22D8730C">
        <w:rPr>
          <w:rFonts w:asciiTheme="minorHAnsi" w:hAnsiTheme="minorHAnsi"/>
        </w:rPr>
        <w:t xml:space="preserve"> There is also the danger of thinking that the leadership role of women with disabilities </w:t>
      </w:r>
      <w:r w:rsidR="00B13799" w:rsidRPr="22D8730C">
        <w:rPr>
          <w:rFonts w:asciiTheme="minorHAnsi" w:hAnsiTheme="minorHAnsi"/>
        </w:rPr>
        <w:t xml:space="preserve">in DRR </w:t>
      </w:r>
      <w:r w:rsidR="00304C8C" w:rsidRPr="22D8730C">
        <w:rPr>
          <w:rFonts w:asciiTheme="minorHAnsi" w:hAnsiTheme="minorHAnsi"/>
        </w:rPr>
        <w:t xml:space="preserve">is restricted to OPD involvement or </w:t>
      </w:r>
      <w:r w:rsidR="00B13799" w:rsidRPr="22D8730C">
        <w:rPr>
          <w:rFonts w:asciiTheme="minorHAnsi" w:hAnsiTheme="minorHAnsi"/>
        </w:rPr>
        <w:t xml:space="preserve">representing </w:t>
      </w:r>
      <w:r w:rsidR="00304C8C" w:rsidRPr="22D8730C">
        <w:rPr>
          <w:rFonts w:asciiTheme="minorHAnsi" w:hAnsiTheme="minorHAnsi"/>
        </w:rPr>
        <w:t>disability issues exclusively. Women</w:t>
      </w:r>
      <w:r w:rsidR="00FE1534" w:rsidRPr="22D8730C">
        <w:rPr>
          <w:rFonts w:asciiTheme="minorHAnsi" w:hAnsiTheme="minorHAnsi"/>
        </w:rPr>
        <w:t>, including young women,</w:t>
      </w:r>
      <w:r w:rsidR="00304C8C" w:rsidRPr="22D8730C">
        <w:rPr>
          <w:rFonts w:asciiTheme="minorHAnsi" w:hAnsiTheme="minorHAnsi"/>
        </w:rPr>
        <w:t xml:space="preserve"> with disabilit</w:t>
      </w:r>
      <w:r>
        <w:rPr>
          <w:rFonts w:asciiTheme="minorHAnsi" w:hAnsiTheme="minorHAnsi"/>
        </w:rPr>
        <w:t>ies</w:t>
      </w:r>
      <w:r w:rsidR="00304C8C" w:rsidRPr="22D8730C">
        <w:rPr>
          <w:rFonts w:asciiTheme="minorHAnsi" w:hAnsiTheme="minorHAnsi"/>
        </w:rPr>
        <w:t xml:space="preserve"> should be empowered to lead across all aspects of DRR. Representing women </w:t>
      </w:r>
      <w:r w:rsidR="00FE1534" w:rsidRPr="22D8730C">
        <w:rPr>
          <w:rFonts w:asciiTheme="minorHAnsi" w:hAnsiTheme="minorHAnsi"/>
        </w:rPr>
        <w:t xml:space="preserve">in DRR </w:t>
      </w:r>
      <w:r w:rsidR="00304C8C" w:rsidRPr="22D8730C">
        <w:rPr>
          <w:rFonts w:asciiTheme="minorHAnsi" w:hAnsiTheme="minorHAnsi"/>
        </w:rPr>
        <w:t>is not the sole domain of women without disabilities.</w:t>
      </w:r>
    </w:p>
    <w:p w14:paraId="563B9565" w14:textId="46DF1DAE" w:rsidR="003D552F" w:rsidRDefault="003D552F" w:rsidP="009A5A86">
      <w:pPr>
        <w:spacing w:after="0" w:line="240" w:lineRule="auto"/>
        <w:rPr>
          <w:rFonts w:asciiTheme="minorHAnsi" w:hAnsiTheme="minorHAnsi" w:cstheme="minorHAnsi"/>
        </w:rPr>
      </w:pPr>
    </w:p>
    <w:p w14:paraId="5C9E9496" w14:textId="2C39307B" w:rsidR="00557B63" w:rsidRDefault="00B13799" w:rsidP="00C61070">
      <w:pPr>
        <w:spacing w:after="0" w:line="240" w:lineRule="auto"/>
        <w:rPr>
          <w:rFonts w:asciiTheme="minorHAnsi" w:hAnsiTheme="minorHAnsi" w:cstheme="minorHAnsi"/>
        </w:rPr>
      </w:pPr>
      <w:r w:rsidRPr="00B1698F">
        <w:rPr>
          <w:rFonts w:asciiTheme="minorHAnsi" w:hAnsiTheme="minorHAnsi" w:cstheme="minorHAnsi"/>
          <w:noProof/>
          <w:color w:val="2B579A"/>
          <w:shd w:val="clear" w:color="auto" w:fill="E6E6E6"/>
        </w:rPr>
        <w:lastRenderedPageBreak/>
        <mc:AlternateContent>
          <mc:Choice Requires="wps">
            <w:drawing>
              <wp:inline distT="0" distB="0" distL="0" distR="0" wp14:anchorId="35BC9490" wp14:editId="59E6D0F9">
                <wp:extent cx="5581650" cy="1404620"/>
                <wp:effectExtent l="0" t="0" r="19050" b="1778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solidFill>
                          <a:srgbClr val="FFFFFF"/>
                        </a:solidFill>
                        <a:ln w="9525">
                          <a:solidFill>
                            <a:srgbClr val="094183"/>
                          </a:solidFill>
                          <a:miter lim="800000"/>
                          <a:headEnd/>
                          <a:tailEnd/>
                        </a:ln>
                      </wps:spPr>
                      <wps:txbx>
                        <w:txbxContent>
                          <w:p w14:paraId="1F1AE4EA" w14:textId="3E3074B0" w:rsidR="00B13799" w:rsidRPr="00B13799" w:rsidRDefault="00EF789B" w:rsidP="00B13799">
                            <w:pPr>
                              <w:spacing w:after="0" w:line="240" w:lineRule="auto"/>
                              <w:rPr>
                                <w:rFonts w:asciiTheme="minorHAnsi" w:hAnsiTheme="minorHAnsi" w:cstheme="minorHAnsi"/>
                              </w:rPr>
                            </w:pPr>
                            <w:r>
                              <w:rPr>
                                <w:rFonts w:asciiTheme="minorHAnsi" w:hAnsiTheme="minorHAnsi" w:cstheme="minorHAnsi"/>
                              </w:rPr>
                              <w:t xml:space="preserve">The Pacific has good examples of leadership by persons with disabilities in DRR, including women with disabilities. This leadership needs to be better recognised, acknowledged, and built on. </w:t>
                            </w:r>
                            <w:r w:rsidR="002A4D5A">
                              <w:rPr>
                                <w:rFonts w:asciiTheme="minorHAnsi" w:hAnsiTheme="minorHAnsi" w:cstheme="minorHAnsi"/>
                              </w:rPr>
                              <w:t xml:space="preserve">Increased attention needs to be paid to developing future leaders with disabilities, including realising the potential of Pacific youth with </w:t>
                            </w:r>
                            <w:r>
                              <w:rPr>
                                <w:rFonts w:asciiTheme="minorHAnsi" w:hAnsiTheme="minorHAnsi" w:cstheme="minorHAnsi"/>
                              </w:rPr>
                              <w:t>disabilities</w:t>
                            </w:r>
                            <w:r w:rsidR="002A4D5A">
                              <w:rPr>
                                <w:rFonts w:asciiTheme="minorHAnsi" w:hAnsiTheme="minorHAnsi" w:cstheme="minorHAnsi"/>
                              </w:rPr>
                              <w:t>.</w:t>
                            </w:r>
                          </w:p>
                        </w:txbxContent>
                      </wps:txbx>
                      <wps:bodyPr rot="0" vert="horz" wrap="square" lIns="91440" tIns="45720" rIns="91440" bIns="45720" anchor="t" anchorCtr="0">
                        <a:spAutoFit/>
                      </wps:bodyPr>
                    </wps:wsp>
                  </a:graphicData>
                </a:graphic>
              </wp:inline>
            </w:drawing>
          </mc:Choice>
          <mc:Fallback>
            <w:pict>
              <v:shape w14:anchorId="35BC9490" id="Text Box 11" o:spid="_x0000_s1036" type="#_x0000_t202" style="width:439.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5S+GQIAACgEAAAOAAAAZHJzL2Uyb0RvYy54bWysk92O0zAQhe+ReAfL9zRJSUobNV0tXYqQ&#10;lh9p4QEcx2ksHI+x3Sbl6Rk73W61wA0iF5adsY9nvjle34y9IkdhnQRd0WyWUiI0h0bqfUW/fd29&#10;WlLiPNMNU6BFRU/C0ZvNyxfrwZRiDh2oRliCItqVg6lo570pk8TxTvTMzcAIjcEWbM88Lu0+aSwb&#10;UL1XyTxNF8kAtjEWuHAO/95NQbqJ+m0ruP/ctk54oiqKufk42jjWYUw2a1buLTOd5Oc02D9k0TOp&#10;8dKL1B3zjBys/E2ql9yCg9bPOPQJtK3kItaA1WTps2oeOmZErAXhOHPB5P6fLP90fDBfLPHjWxix&#10;gbEIZ+6Bf3dEw7Zjei9urYWhE6zBi7OALBmMK89HA2pXuiBSDx+hwSazg4coNLa2D1SwToLq2IDT&#10;BboYPeH4syiW2aLAEMdYlqf5Yh7bkrDy8bixzr8X0JMwqajFrkZ5drx3PqTDysct4TYHSjY7qVRc&#10;2H29VZYcGTpgF79YwbNtSpOhoqtiXkwE/iqRrvJs+fpPEr30aGUl+4ou0/BN5grc3ukmGs0zqaY5&#10;pqz0GWRgN1H0Yz0S2SCHeDiAraE5IVoLk3XxqeGkA/uTkgFtW1H348CsoER90NieVZbnwedxkRdv&#10;kCWx15H6OsI0R6mKekqm6dbHtxHBmVts405GwE+ZnHNGO0bu56cT/H69jrueHvjmFwAAAP//AwBQ&#10;SwMEFAAGAAgAAAAhAFGa76bbAAAABQEAAA8AAABkcnMvZG93bnJldi54bWxMj8FuwjAQRO9I/IO1&#10;lXoDhxwCDXFQRVvUY6GVuJp4SSLidWSbkPbru+2lvYw0mtXM22Iz2k4M6EPrSMFinoBAqpxpqVbw&#10;8f4yW4EIUZPRnSNU8IkBNuV0UujcuBvtcTjEWnAJhVwraGLscylD1aDVYe56JM7Ozlsd2fpaGq9v&#10;XG47mSZJJq1uiRca3eO2wepyuFoFx6dd9jruhzfTPie7r2xpLv4Ylbq/Gx/XICKO8e8YfvAZHUpm&#10;OrkrmSA6BfxI/FXOVssHticFabpIQZaF/E9ffgMAAP//AwBQSwECLQAUAAYACAAAACEAtoM4kv4A&#10;AADhAQAAEwAAAAAAAAAAAAAAAAAAAAAAW0NvbnRlbnRfVHlwZXNdLnhtbFBLAQItABQABgAIAAAA&#10;IQA4/SH/1gAAAJQBAAALAAAAAAAAAAAAAAAAAC8BAABfcmVscy8ucmVsc1BLAQItABQABgAIAAAA&#10;IQA6o5S+GQIAACgEAAAOAAAAAAAAAAAAAAAAAC4CAABkcnMvZTJvRG9jLnhtbFBLAQItABQABgAI&#10;AAAAIQBRmu+m2wAAAAUBAAAPAAAAAAAAAAAAAAAAAHMEAABkcnMvZG93bnJldi54bWxQSwUGAAAA&#10;AAQABADzAAAAewUAAAAA&#10;" strokecolor="#094183">
                <v:textbox style="mso-fit-shape-to-text:t">
                  <w:txbxContent>
                    <w:p w14:paraId="1F1AE4EA" w14:textId="3E3074B0" w:rsidR="00B13799" w:rsidRPr="00B13799" w:rsidRDefault="00EF789B" w:rsidP="00B13799">
                      <w:pPr>
                        <w:spacing w:after="0" w:line="240" w:lineRule="auto"/>
                        <w:rPr>
                          <w:rFonts w:asciiTheme="minorHAnsi" w:hAnsiTheme="minorHAnsi" w:cstheme="minorHAnsi"/>
                        </w:rPr>
                      </w:pPr>
                      <w:r>
                        <w:rPr>
                          <w:rFonts w:asciiTheme="minorHAnsi" w:hAnsiTheme="minorHAnsi" w:cstheme="minorHAnsi"/>
                        </w:rPr>
                        <w:t xml:space="preserve">The Pacific has good examples of leadership by persons with disabilities in DRR, including women with disabilities. This leadership needs to be better recognised, acknowledged, and built on. </w:t>
                      </w:r>
                      <w:r w:rsidR="002A4D5A">
                        <w:rPr>
                          <w:rFonts w:asciiTheme="minorHAnsi" w:hAnsiTheme="minorHAnsi" w:cstheme="minorHAnsi"/>
                        </w:rPr>
                        <w:t xml:space="preserve">Increased attention needs to be paid to developing future leaders with disabilities, including realising the potential of Pacific youth with </w:t>
                      </w:r>
                      <w:r>
                        <w:rPr>
                          <w:rFonts w:asciiTheme="minorHAnsi" w:hAnsiTheme="minorHAnsi" w:cstheme="minorHAnsi"/>
                        </w:rPr>
                        <w:t>disabilities</w:t>
                      </w:r>
                      <w:r w:rsidR="002A4D5A">
                        <w:rPr>
                          <w:rFonts w:asciiTheme="minorHAnsi" w:hAnsiTheme="minorHAnsi" w:cstheme="minorHAnsi"/>
                        </w:rPr>
                        <w:t>.</w:t>
                      </w:r>
                    </w:p>
                  </w:txbxContent>
                </v:textbox>
                <w10:anchorlock/>
              </v:shape>
            </w:pict>
          </mc:Fallback>
        </mc:AlternateContent>
      </w:r>
    </w:p>
    <w:p w14:paraId="598C86DC" w14:textId="665261E2" w:rsidR="002B02BB" w:rsidRDefault="002B02BB" w:rsidP="00030480">
      <w:pPr>
        <w:spacing w:after="0" w:line="240" w:lineRule="auto"/>
        <w:jc w:val="both"/>
        <w:rPr>
          <w:rFonts w:ascii="Cambria" w:hAnsi="Cambria"/>
          <w:b/>
          <w:bCs/>
          <w:color w:val="094183"/>
          <w:sz w:val="24"/>
          <w:szCs w:val="24"/>
        </w:rPr>
      </w:pPr>
    </w:p>
    <w:p w14:paraId="0182055B" w14:textId="0536F7F5" w:rsidR="00CC3531" w:rsidRDefault="00236A2A" w:rsidP="00CC3531">
      <w:pPr>
        <w:pStyle w:val="ListParagraph"/>
        <w:numPr>
          <w:ilvl w:val="0"/>
          <w:numId w:val="39"/>
        </w:numPr>
        <w:spacing w:after="0" w:line="240" w:lineRule="auto"/>
        <w:jc w:val="both"/>
        <w:rPr>
          <w:rFonts w:ascii="Cambria" w:hAnsi="Cambria"/>
          <w:b/>
          <w:bCs/>
          <w:color w:val="094183"/>
          <w:sz w:val="24"/>
          <w:szCs w:val="24"/>
        </w:rPr>
      </w:pPr>
      <w:r>
        <w:rPr>
          <w:rFonts w:ascii="Cambria" w:hAnsi="Cambria"/>
          <w:b/>
          <w:bCs/>
          <w:color w:val="094183"/>
          <w:sz w:val="24"/>
          <w:szCs w:val="24"/>
        </w:rPr>
        <w:t>Looking ahead t</w:t>
      </w:r>
      <w:r w:rsidR="00CC3531">
        <w:rPr>
          <w:rFonts w:ascii="Cambria" w:hAnsi="Cambria"/>
          <w:b/>
          <w:bCs/>
          <w:color w:val="094183"/>
          <w:sz w:val="24"/>
          <w:szCs w:val="24"/>
        </w:rPr>
        <w:t>o 2030</w:t>
      </w:r>
    </w:p>
    <w:p w14:paraId="09DB7214" w14:textId="2503725C" w:rsidR="00CC3531" w:rsidRDefault="00CC3531" w:rsidP="00CC3531">
      <w:pPr>
        <w:spacing w:after="0" w:line="240" w:lineRule="auto"/>
        <w:jc w:val="both"/>
        <w:rPr>
          <w:rFonts w:asciiTheme="minorHAnsi" w:hAnsiTheme="minorHAnsi" w:cstheme="minorHAnsi"/>
          <w:b/>
          <w:bCs/>
          <w:color w:val="094183"/>
        </w:rPr>
      </w:pPr>
    </w:p>
    <w:p w14:paraId="7D5BD150" w14:textId="49CF75F7" w:rsidR="00EF789B" w:rsidRDefault="00EF789B" w:rsidP="00EF789B">
      <w:pPr>
        <w:spacing w:after="0" w:line="240" w:lineRule="auto"/>
        <w:rPr>
          <w:rFonts w:asciiTheme="minorHAnsi" w:hAnsiTheme="minorHAnsi" w:cstheme="minorHAnsi"/>
        </w:rPr>
      </w:pPr>
      <w:r w:rsidRPr="00E34668">
        <w:rPr>
          <w:rFonts w:asciiTheme="minorHAnsi" w:hAnsiTheme="minorHAnsi" w:cstheme="minorHAnsi"/>
        </w:rPr>
        <w:t xml:space="preserve">Processes of inclusion </w:t>
      </w:r>
      <w:r>
        <w:rPr>
          <w:rFonts w:asciiTheme="minorHAnsi" w:hAnsiTheme="minorHAnsi" w:cstheme="minorHAnsi"/>
        </w:rPr>
        <w:t xml:space="preserve">are only effective when they </w:t>
      </w:r>
      <w:r w:rsidRPr="00E34668">
        <w:rPr>
          <w:rFonts w:asciiTheme="minorHAnsi" w:hAnsiTheme="minorHAnsi" w:cstheme="minorHAnsi"/>
        </w:rPr>
        <w:t>result in</w:t>
      </w:r>
      <w:r>
        <w:rPr>
          <w:rFonts w:asciiTheme="minorHAnsi" w:hAnsiTheme="minorHAnsi" w:cstheme="minorHAnsi"/>
        </w:rPr>
        <w:t xml:space="preserve"> </w:t>
      </w:r>
      <w:r w:rsidRPr="00E34668">
        <w:rPr>
          <w:rFonts w:asciiTheme="minorHAnsi" w:hAnsiTheme="minorHAnsi" w:cstheme="minorHAnsi"/>
        </w:rPr>
        <w:t xml:space="preserve">equitable </w:t>
      </w:r>
      <w:r>
        <w:rPr>
          <w:rFonts w:asciiTheme="minorHAnsi" w:hAnsiTheme="minorHAnsi" w:cstheme="minorHAnsi"/>
        </w:rPr>
        <w:t>change</w:t>
      </w:r>
      <w:r w:rsidRPr="00E34668">
        <w:rPr>
          <w:rFonts w:asciiTheme="minorHAnsi" w:hAnsiTheme="minorHAnsi" w:cstheme="minorHAnsi"/>
        </w:rPr>
        <w:t>. This requires political will, prioritisation, and investment. Investments in disability inclusion are investments in whole society resilience and are critical to reaching</w:t>
      </w:r>
      <w:r>
        <w:rPr>
          <w:rFonts w:asciiTheme="minorHAnsi" w:hAnsiTheme="minorHAnsi" w:cstheme="minorHAnsi"/>
        </w:rPr>
        <w:t xml:space="preserve"> commitments agreed in Sendai. Without these, persons with disabilities will be left further behind and disaster risk will increase for all.</w:t>
      </w:r>
      <w:r w:rsidR="005B6562">
        <w:rPr>
          <w:rFonts w:asciiTheme="minorHAnsi" w:hAnsiTheme="minorHAnsi" w:cstheme="minorHAnsi"/>
        </w:rPr>
        <w:t xml:space="preserve"> Looking ahead to 2030, the following are priorities for ensuring commitment to disability inclusion made in Sendai are reached:</w:t>
      </w:r>
    </w:p>
    <w:p w14:paraId="6363A71B" w14:textId="545427CB" w:rsidR="005B6562" w:rsidRDefault="005B6562" w:rsidP="00EF789B">
      <w:pPr>
        <w:spacing w:after="0" w:line="240" w:lineRule="auto"/>
        <w:rPr>
          <w:rFonts w:asciiTheme="minorHAnsi" w:hAnsiTheme="minorHAnsi" w:cstheme="minorHAnsi"/>
        </w:rPr>
      </w:pPr>
    </w:p>
    <w:p w14:paraId="3B8769FE" w14:textId="3BE1819A" w:rsidR="005B6562" w:rsidRDefault="005B6562" w:rsidP="005B6562">
      <w:pPr>
        <w:pStyle w:val="ListParagraph"/>
        <w:numPr>
          <w:ilvl w:val="0"/>
          <w:numId w:val="44"/>
        </w:numPr>
        <w:spacing w:after="0" w:line="240" w:lineRule="auto"/>
        <w:rPr>
          <w:rFonts w:asciiTheme="minorHAnsi" w:hAnsiTheme="minorHAnsi" w:cstheme="minorHAnsi"/>
        </w:rPr>
      </w:pPr>
      <w:r w:rsidRPr="00DB32C7">
        <w:rPr>
          <w:rFonts w:asciiTheme="minorHAnsi" w:hAnsiTheme="minorHAnsi" w:cstheme="minorHAnsi"/>
        </w:rPr>
        <w:t xml:space="preserve">Ensure DRR policies and legislation are fully </w:t>
      </w:r>
      <w:r w:rsidR="00DB32C7">
        <w:rPr>
          <w:rFonts w:asciiTheme="minorHAnsi" w:hAnsiTheme="minorHAnsi" w:cstheme="minorHAnsi"/>
        </w:rPr>
        <w:t xml:space="preserve">CRPD </w:t>
      </w:r>
      <w:r w:rsidRPr="00DB32C7">
        <w:rPr>
          <w:rFonts w:asciiTheme="minorHAnsi" w:hAnsiTheme="minorHAnsi" w:cstheme="minorHAnsi"/>
        </w:rPr>
        <w:t>complian</w:t>
      </w:r>
      <w:r w:rsidR="00DB32C7">
        <w:rPr>
          <w:rFonts w:asciiTheme="minorHAnsi" w:hAnsiTheme="minorHAnsi" w:cstheme="minorHAnsi"/>
        </w:rPr>
        <w:t>t</w:t>
      </w:r>
      <w:r w:rsidRPr="00DB32C7">
        <w:rPr>
          <w:rFonts w:asciiTheme="minorHAnsi" w:hAnsiTheme="minorHAnsi" w:cstheme="minorHAnsi"/>
        </w:rPr>
        <w:t>.</w:t>
      </w:r>
    </w:p>
    <w:p w14:paraId="40D73B63" w14:textId="77777777" w:rsidR="005B6562" w:rsidRDefault="005B6562" w:rsidP="00DB32C7">
      <w:pPr>
        <w:pStyle w:val="ListParagraph"/>
        <w:spacing w:after="0" w:line="240" w:lineRule="auto"/>
        <w:ind w:left="360"/>
        <w:rPr>
          <w:rFonts w:asciiTheme="minorHAnsi" w:hAnsiTheme="minorHAnsi" w:cstheme="minorHAnsi"/>
        </w:rPr>
      </w:pPr>
    </w:p>
    <w:p w14:paraId="6CFD4053" w14:textId="5CE5C9D3" w:rsidR="005B6562" w:rsidRDefault="005B6562" w:rsidP="005B6562">
      <w:pPr>
        <w:pStyle w:val="ListParagraph"/>
        <w:numPr>
          <w:ilvl w:val="0"/>
          <w:numId w:val="44"/>
        </w:numPr>
        <w:spacing w:after="0" w:line="240" w:lineRule="auto"/>
        <w:rPr>
          <w:rFonts w:asciiTheme="minorHAnsi" w:hAnsiTheme="minorHAnsi" w:cstheme="minorHAnsi"/>
        </w:rPr>
      </w:pPr>
      <w:r>
        <w:rPr>
          <w:rFonts w:asciiTheme="minorHAnsi" w:hAnsiTheme="minorHAnsi" w:cstheme="minorHAnsi"/>
        </w:rPr>
        <w:t>Widen and improve the use of disability data to better understand disaster risk, improve reporting and measurement of impact, and to facilitate evidence informed decision making.</w:t>
      </w:r>
    </w:p>
    <w:p w14:paraId="296E6C30" w14:textId="77777777" w:rsidR="005B6562" w:rsidRPr="00DB32C7" w:rsidRDefault="005B6562" w:rsidP="00DB32C7">
      <w:pPr>
        <w:pStyle w:val="ListParagraph"/>
        <w:rPr>
          <w:rFonts w:asciiTheme="minorHAnsi" w:hAnsiTheme="minorHAnsi" w:cstheme="minorHAnsi"/>
        </w:rPr>
      </w:pPr>
    </w:p>
    <w:p w14:paraId="75DFE559" w14:textId="5F27A1F1" w:rsidR="005B6562" w:rsidRDefault="005B6562" w:rsidP="005B6562">
      <w:pPr>
        <w:pStyle w:val="ListParagraph"/>
        <w:numPr>
          <w:ilvl w:val="0"/>
          <w:numId w:val="44"/>
        </w:numPr>
        <w:spacing w:after="0" w:line="240" w:lineRule="auto"/>
        <w:rPr>
          <w:rFonts w:asciiTheme="minorHAnsi" w:hAnsiTheme="minorHAnsi" w:cstheme="minorHAnsi"/>
        </w:rPr>
      </w:pPr>
      <w:r>
        <w:rPr>
          <w:rFonts w:asciiTheme="minorHAnsi" w:hAnsiTheme="minorHAnsi" w:cstheme="minorHAnsi"/>
        </w:rPr>
        <w:t xml:space="preserve">Increase investments in disability inclusive DRR, including direct resourcing of OPDs in recognition of their leadership and contributions to </w:t>
      </w:r>
      <w:r w:rsidR="008451D9">
        <w:rPr>
          <w:rFonts w:asciiTheme="minorHAnsi" w:hAnsiTheme="minorHAnsi" w:cstheme="minorHAnsi"/>
        </w:rPr>
        <w:t xml:space="preserve">achieving </w:t>
      </w:r>
      <w:r>
        <w:rPr>
          <w:rFonts w:asciiTheme="minorHAnsi" w:hAnsiTheme="minorHAnsi" w:cstheme="minorHAnsi"/>
        </w:rPr>
        <w:t>Sendai outcomes.</w:t>
      </w:r>
    </w:p>
    <w:p w14:paraId="4D27798D" w14:textId="77777777" w:rsidR="005B6562" w:rsidRPr="00DB32C7" w:rsidRDefault="005B6562" w:rsidP="00DB32C7">
      <w:pPr>
        <w:pStyle w:val="ListParagraph"/>
        <w:rPr>
          <w:rFonts w:asciiTheme="minorHAnsi" w:hAnsiTheme="minorHAnsi" w:cstheme="minorHAnsi"/>
        </w:rPr>
      </w:pPr>
    </w:p>
    <w:p w14:paraId="1C56E8A3" w14:textId="54D7AFE0" w:rsidR="005B6562" w:rsidRDefault="005B6562" w:rsidP="005B6562">
      <w:pPr>
        <w:pStyle w:val="ListParagraph"/>
        <w:numPr>
          <w:ilvl w:val="0"/>
          <w:numId w:val="44"/>
        </w:numPr>
        <w:spacing w:after="0" w:line="240" w:lineRule="auto"/>
        <w:rPr>
          <w:rFonts w:asciiTheme="minorHAnsi" w:hAnsiTheme="minorHAnsi" w:cstheme="minorHAnsi"/>
        </w:rPr>
      </w:pPr>
      <w:r>
        <w:rPr>
          <w:rFonts w:asciiTheme="minorHAnsi" w:hAnsiTheme="minorHAnsi" w:cstheme="minorHAnsi"/>
        </w:rPr>
        <w:t>Move from isolated and stand-alone initiatives to the full integration of disability inclusive DRR across programmes and practice.</w:t>
      </w:r>
    </w:p>
    <w:p w14:paraId="4BE6188E" w14:textId="77777777" w:rsidR="008451D9" w:rsidRPr="00DB32C7" w:rsidRDefault="008451D9" w:rsidP="00DB32C7">
      <w:pPr>
        <w:pStyle w:val="ListParagraph"/>
        <w:rPr>
          <w:rFonts w:asciiTheme="minorHAnsi" w:hAnsiTheme="minorHAnsi" w:cstheme="minorHAnsi"/>
        </w:rPr>
      </w:pPr>
    </w:p>
    <w:p w14:paraId="71830F12" w14:textId="521E9835" w:rsidR="008451D9" w:rsidRPr="00DB32C7" w:rsidRDefault="008451D9" w:rsidP="00DB32C7">
      <w:pPr>
        <w:pStyle w:val="ListParagraph"/>
        <w:numPr>
          <w:ilvl w:val="0"/>
          <w:numId w:val="44"/>
        </w:numPr>
        <w:spacing w:after="0" w:line="240" w:lineRule="auto"/>
        <w:rPr>
          <w:rFonts w:asciiTheme="minorHAnsi" w:hAnsiTheme="minorHAnsi" w:cstheme="minorHAnsi"/>
        </w:rPr>
      </w:pPr>
      <w:r>
        <w:rPr>
          <w:rFonts w:asciiTheme="minorHAnsi" w:hAnsiTheme="minorHAnsi" w:cstheme="minorHAnsi"/>
        </w:rPr>
        <w:t>Avoid tokenism and box ticking and proactively ensure the full and meaningful participation of persons with disabilities in DRR decision making.</w:t>
      </w:r>
    </w:p>
    <w:p w14:paraId="3A0D84B4" w14:textId="77777777" w:rsidR="005B6562" w:rsidRPr="00B13799" w:rsidRDefault="005B6562" w:rsidP="00EF789B">
      <w:pPr>
        <w:spacing w:after="0" w:line="240" w:lineRule="auto"/>
        <w:rPr>
          <w:rFonts w:asciiTheme="minorHAnsi" w:hAnsiTheme="minorHAnsi" w:cstheme="minorHAnsi"/>
        </w:rPr>
      </w:pPr>
    </w:p>
    <w:p w14:paraId="06C19835" w14:textId="1716AEED" w:rsidR="005C7D9B" w:rsidRPr="002B02BB" w:rsidRDefault="002B02BB" w:rsidP="002B02BB">
      <w:pPr>
        <w:pStyle w:val="Heading1"/>
        <w:rPr>
          <w:rFonts w:ascii="Cambria" w:hAnsi="Cambria"/>
          <w:b/>
          <w:bCs/>
          <w:sz w:val="22"/>
          <w:szCs w:val="22"/>
        </w:rPr>
      </w:pPr>
      <w:r w:rsidRPr="002B02BB">
        <w:rPr>
          <w:rFonts w:ascii="Cambria" w:hAnsi="Cambria"/>
          <w:b/>
          <w:bCs/>
          <w:sz w:val="22"/>
          <w:szCs w:val="22"/>
        </w:rPr>
        <w:t>Acknowledgements</w:t>
      </w:r>
    </w:p>
    <w:p w14:paraId="1CA6F5D9" w14:textId="0F53356A" w:rsidR="002B02BB" w:rsidRDefault="002B02BB" w:rsidP="00030480">
      <w:pPr>
        <w:spacing w:after="0" w:line="240" w:lineRule="auto"/>
        <w:jc w:val="both"/>
        <w:rPr>
          <w:rFonts w:ascii="Cambria" w:hAnsi="Cambria"/>
          <w:b/>
          <w:bCs/>
          <w:color w:val="094183"/>
          <w:sz w:val="24"/>
          <w:szCs w:val="24"/>
        </w:rPr>
      </w:pPr>
    </w:p>
    <w:p w14:paraId="0634E4ED" w14:textId="35182D23" w:rsidR="002B02BB" w:rsidRPr="001B6A40" w:rsidRDefault="002B02BB" w:rsidP="00CA48F1">
      <w:pPr>
        <w:pStyle w:val="Footer"/>
        <w:rPr>
          <w:rFonts w:ascii="Cambria" w:hAnsi="Cambria"/>
          <w:b/>
          <w:bCs/>
          <w:color w:val="094183"/>
          <w:sz w:val="20"/>
          <w:szCs w:val="20"/>
        </w:rPr>
      </w:pPr>
      <w:r w:rsidRPr="001B6A40">
        <w:rPr>
          <w:rFonts w:ascii="Cambria" w:hAnsi="Cambria"/>
          <w:sz w:val="20"/>
          <w:szCs w:val="20"/>
        </w:rPr>
        <w:t xml:space="preserve">This Mid-term Review of Disability Inclusion in the Sendai Framework for Disaster Risk Reduction was produced by the Pacific Disability Forum in partnership with the United Nations Office for Disaster Risk Reduction, </w:t>
      </w:r>
      <w:r w:rsidR="004412CA" w:rsidRPr="001B6A40">
        <w:rPr>
          <w:rFonts w:ascii="Cambria" w:hAnsi="Cambria"/>
          <w:sz w:val="20"/>
          <w:szCs w:val="20"/>
        </w:rPr>
        <w:t>Sub-Regional</w:t>
      </w:r>
      <w:r w:rsidRPr="001B6A40">
        <w:rPr>
          <w:rFonts w:ascii="Cambria" w:hAnsi="Cambria"/>
          <w:sz w:val="20"/>
          <w:szCs w:val="20"/>
        </w:rPr>
        <w:t xml:space="preserve"> Office</w:t>
      </w:r>
      <w:r w:rsidR="004412CA" w:rsidRPr="001B6A40">
        <w:rPr>
          <w:rFonts w:ascii="Cambria" w:hAnsi="Cambria"/>
          <w:sz w:val="20"/>
          <w:szCs w:val="20"/>
        </w:rPr>
        <w:t xml:space="preserve"> for the Pacific</w:t>
      </w:r>
      <w:r w:rsidRPr="001B6A40">
        <w:rPr>
          <w:rFonts w:ascii="Cambria" w:hAnsi="Cambria"/>
          <w:sz w:val="20"/>
          <w:szCs w:val="20"/>
        </w:rPr>
        <w:t xml:space="preserve"> and </w:t>
      </w:r>
      <w:r w:rsidR="00DB32C7" w:rsidRPr="001B6A40">
        <w:rPr>
          <w:rFonts w:ascii="Cambria" w:hAnsi="Cambria"/>
          <w:sz w:val="20"/>
          <w:szCs w:val="20"/>
        </w:rPr>
        <w:t xml:space="preserve">the </w:t>
      </w:r>
      <w:r w:rsidRPr="001B6A40">
        <w:rPr>
          <w:rFonts w:ascii="Cambria" w:hAnsi="Cambria"/>
          <w:sz w:val="20"/>
          <w:szCs w:val="20"/>
        </w:rPr>
        <w:t>Nossal Institute, University of Melbourne. The review was supported by the Australia Pacific Climate Partnership with funding from Australia’s Department of Foreign Affairs and Trade.</w:t>
      </w:r>
    </w:p>
    <w:sectPr w:rsidR="002B02BB" w:rsidRPr="001B6A40" w:rsidSect="009359E7">
      <w:headerReference w:type="default" r:id="rId11"/>
      <w:footerReference w:type="even" r:id="rId12"/>
      <w:footerReference w:type="default" r:id="rId13"/>
      <w:headerReference w:type="first" r:id="rId14"/>
      <w:footerReference w:type="first" r:id="rId15"/>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909B1" w14:textId="77777777" w:rsidR="00151E89" w:rsidRDefault="00151E89" w:rsidP="004D4EAA">
      <w:pPr>
        <w:spacing w:after="0" w:line="240" w:lineRule="auto"/>
      </w:pPr>
      <w:r>
        <w:separator/>
      </w:r>
    </w:p>
  </w:endnote>
  <w:endnote w:type="continuationSeparator" w:id="0">
    <w:p w14:paraId="64A9CB80" w14:textId="77777777" w:rsidR="00151E89" w:rsidRDefault="00151E89" w:rsidP="004D4EAA">
      <w:pPr>
        <w:spacing w:after="0" w:line="240" w:lineRule="auto"/>
      </w:pPr>
      <w:r>
        <w:continuationSeparator/>
      </w:r>
    </w:p>
  </w:endnote>
  <w:endnote w:type="continuationNotice" w:id="1">
    <w:p w14:paraId="10B47F6D" w14:textId="77777777" w:rsidR="00151E89" w:rsidRDefault="00151E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erif">
    <w:altName w:val="Cambria"/>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FFD5" w14:textId="77777777" w:rsidR="009B4092" w:rsidRDefault="006E54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D253E7C" w14:textId="77777777" w:rsidR="009B4092" w:rsidRDefault="009B40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688647"/>
      <w:docPartObj>
        <w:docPartGallery w:val="Page Numbers (Bottom of Page)"/>
        <w:docPartUnique/>
      </w:docPartObj>
    </w:sdtPr>
    <w:sdtEndPr>
      <w:rPr>
        <w:noProof/>
      </w:rPr>
    </w:sdtEndPr>
    <w:sdtContent>
      <w:p w14:paraId="4DE5B9D1" w14:textId="498C75B2" w:rsidR="00CC5063" w:rsidRDefault="00CC5063">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4A7183C1" w14:textId="26EBCE09" w:rsidR="009B4092" w:rsidRDefault="009B409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2A3B3" w14:textId="77777777" w:rsidR="009B4092" w:rsidRDefault="006E542A">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p>
  <w:p w14:paraId="521EFC24" w14:textId="77777777" w:rsidR="009B4092" w:rsidRDefault="009B4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77DC1" w14:textId="77777777" w:rsidR="00151E89" w:rsidRDefault="00151E89" w:rsidP="004D4EAA">
      <w:pPr>
        <w:spacing w:after="0" w:line="240" w:lineRule="auto"/>
      </w:pPr>
      <w:r>
        <w:separator/>
      </w:r>
    </w:p>
  </w:footnote>
  <w:footnote w:type="continuationSeparator" w:id="0">
    <w:p w14:paraId="25CEE996" w14:textId="77777777" w:rsidR="00151E89" w:rsidRDefault="00151E89" w:rsidP="004D4EAA">
      <w:pPr>
        <w:spacing w:after="0" w:line="240" w:lineRule="auto"/>
      </w:pPr>
      <w:r>
        <w:continuationSeparator/>
      </w:r>
    </w:p>
  </w:footnote>
  <w:footnote w:type="continuationNotice" w:id="1">
    <w:p w14:paraId="7D65691C" w14:textId="77777777" w:rsidR="00151E89" w:rsidRDefault="00151E89">
      <w:pPr>
        <w:spacing w:after="0" w:line="240" w:lineRule="auto"/>
      </w:pPr>
    </w:p>
  </w:footnote>
  <w:footnote w:id="2">
    <w:p w14:paraId="70F7EE85" w14:textId="76CBE171" w:rsidR="008239C1" w:rsidRPr="00D21BE9" w:rsidRDefault="008239C1">
      <w:pPr>
        <w:pStyle w:val="FootnoteText"/>
        <w:rPr>
          <w:rFonts w:asciiTheme="minorHAnsi" w:hAnsiTheme="minorHAnsi" w:cstheme="minorHAnsi"/>
          <w:sz w:val="18"/>
          <w:szCs w:val="18"/>
          <w:lang w:val="en-AU"/>
        </w:rPr>
      </w:pPr>
      <w:r w:rsidRPr="00D21BE9">
        <w:rPr>
          <w:rStyle w:val="FootnoteReference"/>
          <w:rFonts w:asciiTheme="minorHAnsi" w:hAnsiTheme="minorHAnsi" w:cstheme="minorHAnsi"/>
          <w:sz w:val="18"/>
          <w:szCs w:val="18"/>
        </w:rPr>
        <w:footnoteRef/>
      </w:r>
      <w:r w:rsidRPr="00D21BE9">
        <w:rPr>
          <w:rFonts w:asciiTheme="minorHAnsi" w:hAnsiTheme="minorHAnsi" w:cstheme="minorHAnsi"/>
          <w:sz w:val="18"/>
          <w:szCs w:val="18"/>
        </w:rPr>
        <w:t xml:space="preserve"> </w:t>
      </w:r>
      <w:r w:rsidR="00FA0C05">
        <w:rPr>
          <w:rFonts w:asciiTheme="minorHAnsi" w:hAnsiTheme="minorHAnsi" w:cstheme="minorHAnsi"/>
          <w:sz w:val="18"/>
          <w:szCs w:val="18"/>
          <w:lang w:val="en-AU"/>
        </w:rPr>
        <w:t>UN. 2015</w:t>
      </w:r>
      <w:r w:rsidR="002E2632">
        <w:rPr>
          <w:rFonts w:asciiTheme="minorHAnsi" w:hAnsiTheme="minorHAnsi" w:cstheme="minorHAnsi"/>
          <w:sz w:val="18"/>
          <w:szCs w:val="18"/>
          <w:lang w:val="en-AU"/>
        </w:rPr>
        <w:t>.</w:t>
      </w:r>
      <w:r w:rsidR="00FA0C05">
        <w:rPr>
          <w:rFonts w:asciiTheme="minorHAnsi" w:hAnsiTheme="minorHAnsi" w:cstheme="minorHAnsi"/>
          <w:sz w:val="18"/>
          <w:szCs w:val="18"/>
          <w:lang w:val="en-AU"/>
        </w:rPr>
        <w:t xml:space="preserve"> </w:t>
      </w:r>
      <w:r w:rsidRPr="00D21BE9">
        <w:rPr>
          <w:rFonts w:asciiTheme="minorHAnsi" w:hAnsiTheme="minorHAnsi" w:cstheme="minorHAnsi"/>
          <w:sz w:val="18"/>
          <w:szCs w:val="18"/>
          <w:lang w:val="en-AU"/>
        </w:rPr>
        <w:t>Sendai</w:t>
      </w:r>
      <w:r w:rsidR="00FA0C05">
        <w:rPr>
          <w:rFonts w:asciiTheme="minorHAnsi" w:hAnsiTheme="minorHAnsi" w:cstheme="minorHAnsi"/>
          <w:sz w:val="18"/>
          <w:szCs w:val="18"/>
          <w:lang w:val="en-AU"/>
        </w:rPr>
        <w:t xml:space="preserve"> Framework for Disaster Risk Reduction 2015-2030. </w:t>
      </w:r>
      <w:hyperlink r:id="rId1" w:history="1">
        <w:r w:rsidR="00FA0C05" w:rsidRPr="00694FE3">
          <w:rPr>
            <w:rStyle w:val="Hyperlink"/>
            <w:rFonts w:asciiTheme="minorHAnsi" w:hAnsiTheme="minorHAnsi" w:cstheme="minorHAnsi"/>
            <w:sz w:val="18"/>
            <w:szCs w:val="18"/>
            <w:lang w:val="en-AU"/>
          </w:rPr>
          <w:t>https://www.undrr.org/publication/sendai-framework-disaster-risk-reduction-2015-2030</w:t>
        </w:r>
      </w:hyperlink>
      <w:r w:rsidR="00FA0C05">
        <w:rPr>
          <w:rFonts w:asciiTheme="minorHAnsi" w:hAnsiTheme="minorHAnsi" w:cstheme="minorHAnsi"/>
          <w:sz w:val="18"/>
          <w:szCs w:val="18"/>
          <w:lang w:val="en-AU"/>
        </w:rPr>
        <w:t xml:space="preserve">  </w:t>
      </w:r>
    </w:p>
  </w:footnote>
  <w:footnote w:id="3">
    <w:p w14:paraId="181124C7" w14:textId="77777777" w:rsidR="00E550C0" w:rsidRDefault="006E3784">
      <w:pPr>
        <w:pStyle w:val="FootnoteText"/>
        <w:rPr>
          <w:rFonts w:asciiTheme="minorHAnsi" w:hAnsiTheme="minorHAnsi" w:cstheme="minorHAnsi"/>
          <w:sz w:val="18"/>
          <w:szCs w:val="18"/>
        </w:rPr>
      </w:pPr>
      <w:r w:rsidRPr="00D21BE9">
        <w:rPr>
          <w:rStyle w:val="FootnoteReference"/>
          <w:rFonts w:asciiTheme="minorHAnsi" w:hAnsiTheme="minorHAnsi" w:cstheme="minorHAnsi"/>
          <w:sz w:val="18"/>
          <w:szCs w:val="18"/>
        </w:rPr>
        <w:footnoteRef/>
      </w:r>
      <w:r w:rsidRPr="00D21BE9">
        <w:rPr>
          <w:rFonts w:asciiTheme="minorHAnsi" w:hAnsiTheme="minorHAnsi" w:cstheme="minorHAnsi"/>
          <w:sz w:val="18"/>
          <w:szCs w:val="18"/>
        </w:rPr>
        <w:t xml:space="preserve"> </w:t>
      </w:r>
      <w:r w:rsidR="00E550C0">
        <w:rPr>
          <w:rFonts w:asciiTheme="minorHAnsi" w:hAnsiTheme="minorHAnsi" w:cstheme="minorHAnsi"/>
          <w:sz w:val="18"/>
          <w:szCs w:val="18"/>
        </w:rPr>
        <w:t xml:space="preserve">The Sendai Framework was the first of the 2015 development frameworks and was followed by: </w:t>
      </w:r>
    </w:p>
    <w:p w14:paraId="231BE6B0" w14:textId="01398E34" w:rsidR="00E550C0" w:rsidRDefault="00FA0C05">
      <w:pPr>
        <w:pStyle w:val="FootnoteText"/>
        <w:rPr>
          <w:rFonts w:asciiTheme="minorHAnsi" w:hAnsiTheme="minorHAnsi" w:cstheme="minorHAnsi"/>
          <w:sz w:val="18"/>
          <w:szCs w:val="18"/>
          <w:lang w:val="en-AU"/>
        </w:rPr>
      </w:pPr>
      <w:r>
        <w:rPr>
          <w:rFonts w:asciiTheme="minorHAnsi" w:hAnsiTheme="minorHAnsi" w:cstheme="minorHAnsi"/>
          <w:sz w:val="18"/>
          <w:szCs w:val="18"/>
        </w:rPr>
        <w:t xml:space="preserve">UN. 2015. Transforming Our World: The </w:t>
      </w:r>
      <w:r w:rsidR="006E3784" w:rsidRPr="00D21BE9">
        <w:rPr>
          <w:rFonts w:asciiTheme="minorHAnsi" w:hAnsiTheme="minorHAnsi" w:cstheme="minorHAnsi"/>
          <w:sz w:val="18"/>
          <w:szCs w:val="18"/>
          <w:lang w:val="en-AU"/>
        </w:rPr>
        <w:t>2030 Agenda</w:t>
      </w:r>
      <w:r>
        <w:rPr>
          <w:rFonts w:asciiTheme="minorHAnsi" w:hAnsiTheme="minorHAnsi" w:cstheme="minorHAnsi"/>
          <w:sz w:val="18"/>
          <w:szCs w:val="18"/>
          <w:lang w:val="en-AU"/>
        </w:rPr>
        <w:t xml:space="preserve"> for Sustainable Development A/RES/70/1. </w:t>
      </w:r>
      <w:hyperlink r:id="rId2" w:history="1">
        <w:r w:rsidRPr="00694FE3">
          <w:rPr>
            <w:rStyle w:val="Hyperlink"/>
            <w:rFonts w:asciiTheme="minorHAnsi" w:hAnsiTheme="minorHAnsi" w:cstheme="minorHAnsi"/>
            <w:sz w:val="18"/>
            <w:szCs w:val="18"/>
            <w:lang w:val="en-AU"/>
          </w:rPr>
          <w:t>https://sustainabledevelopment.un.org/content/documents/21252030%20Agenda%20for%20Sustainable%20Development%20web.pdf</w:t>
        </w:r>
      </w:hyperlink>
      <w:r>
        <w:rPr>
          <w:rFonts w:asciiTheme="minorHAnsi" w:hAnsiTheme="minorHAnsi" w:cstheme="minorHAnsi"/>
          <w:sz w:val="18"/>
          <w:szCs w:val="18"/>
          <w:lang w:val="en-AU"/>
        </w:rPr>
        <w:t xml:space="preserve"> </w:t>
      </w:r>
    </w:p>
    <w:p w14:paraId="5EDF6350" w14:textId="32CDFAD1" w:rsidR="006E3784" w:rsidRPr="002E2632" w:rsidRDefault="00FA0C05">
      <w:pPr>
        <w:pStyle w:val="FootnoteText"/>
        <w:rPr>
          <w:rFonts w:asciiTheme="minorHAnsi" w:hAnsiTheme="minorHAnsi" w:cstheme="minorHAnsi"/>
          <w:sz w:val="18"/>
          <w:szCs w:val="18"/>
          <w:lang w:val="en-AU"/>
        </w:rPr>
      </w:pPr>
      <w:r w:rsidRPr="002E2632">
        <w:rPr>
          <w:rFonts w:asciiTheme="minorHAnsi" w:hAnsiTheme="minorHAnsi" w:cstheme="minorHAnsi"/>
          <w:sz w:val="18"/>
          <w:szCs w:val="18"/>
          <w:lang w:val="en-AU"/>
        </w:rPr>
        <w:t xml:space="preserve">UN. 2015. Paris Agreement. </w:t>
      </w:r>
      <w:hyperlink r:id="rId3" w:history="1">
        <w:r w:rsidRPr="002E2632">
          <w:rPr>
            <w:rStyle w:val="Hyperlink"/>
            <w:rFonts w:asciiTheme="minorHAnsi" w:hAnsiTheme="minorHAnsi" w:cstheme="minorHAnsi"/>
            <w:sz w:val="18"/>
            <w:szCs w:val="18"/>
            <w:lang w:val="en-AU"/>
          </w:rPr>
          <w:t>https://unfccc.int/sites/default/files/english_paris_agreement.pdf</w:t>
        </w:r>
      </w:hyperlink>
      <w:r w:rsidRPr="002E2632">
        <w:rPr>
          <w:rFonts w:asciiTheme="minorHAnsi" w:hAnsiTheme="minorHAnsi" w:cstheme="minorHAnsi"/>
          <w:sz w:val="18"/>
          <w:szCs w:val="18"/>
          <w:lang w:val="en-AU"/>
        </w:rPr>
        <w:t xml:space="preserve"> </w:t>
      </w:r>
    </w:p>
  </w:footnote>
  <w:footnote w:id="4">
    <w:p w14:paraId="5CB92170" w14:textId="06D0C7AE" w:rsidR="002E2632" w:rsidRPr="001B6A40" w:rsidRDefault="002E2632">
      <w:pPr>
        <w:pStyle w:val="FootnoteText"/>
        <w:rPr>
          <w:rFonts w:asciiTheme="minorHAnsi" w:hAnsiTheme="minorHAnsi" w:cstheme="minorHAnsi"/>
          <w:sz w:val="18"/>
          <w:szCs w:val="18"/>
          <w:lang w:val="en-AU"/>
        </w:rPr>
      </w:pPr>
      <w:r w:rsidRPr="001B6A40">
        <w:rPr>
          <w:rStyle w:val="FootnoteReference"/>
          <w:rFonts w:asciiTheme="minorHAnsi" w:hAnsiTheme="minorHAnsi" w:cstheme="minorHAnsi"/>
          <w:sz w:val="18"/>
          <w:szCs w:val="18"/>
        </w:rPr>
        <w:footnoteRef/>
      </w:r>
      <w:r w:rsidRPr="001B6A40">
        <w:rPr>
          <w:rFonts w:asciiTheme="minorHAnsi" w:hAnsiTheme="minorHAnsi" w:cstheme="minorHAnsi"/>
          <w:sz w:val="18"/>
          <w:szCs w:val="18"/>
        </w:rPr>
        <w:t xml:space="preserve"> </w:t>
      </w:r>
      <w:r w:rsidRPr="001B6A40">
        <w:rPr>
          <w:rFonts w:asciiTheme="minorHAnsi" w:hAnsiTheme="minorHAnsi" w:cstheme="minorHAnsi"/>
          <w:sz w:val="18"/>
          <w:szCs w:val="18"/>
          <w:lang w:val="en-AU"/>
        </w:rPr>
        <w:t xml:space="preserve">UNESCAP. 2012. Incheon Strategy to “Make the Right Real” for Persons with Disabilities in Asia and the Pacific. </w:t>
      </w:r>
      <w:hyperlink r:id="rId4" w:history="1">
        <w:r w:rsidRPr="001B6A40">
          <w:rPr>
            <w:rStyle w:val="Hyperlink"/>
            <w:rFonts w:asciiTheme="minorHAnsi" w:hAnsiTheme="minorHAnsi" w:cstheme="minorHAnsi"/>
            <w:sz w:val="18"/>
            <w:szCs w:val="18"/>
            <w:lang w:val="en-AU"/>
          </w:rPr>
          <w:t>https://www.unescap.org/sites/default/files/Incheon%20Strategy%20%28English%29.pdf</w:t>
        </w:r>
      </w:hyperlink>
      <w:r w:rsidRPr="001B6A40">
        <w:rPr>
          <w:rFonts w:asciiTheme="minorHAnsi" w:hAnsiTheme="minorHAnsi" w:cstheme="minorHAnsi"/>
          <w:sz w:val="18"/>
          <w:szCs w:val="18"/>
          <w:lang w:val="en-AU"/>
        </w:rPr>
        <w:t xml:space="preserve">  </w:t>
      </w:r>
    </w:p>
  </w:footnote>
  <w:footnote w:id="5">
    <w:p w14:paraId="4CC42E30" w14:textId="3EB6D53E" w:rsidR="002E2632" w:rsidRPr="001B6A40" w:rsidRDefault="002E2632">
      <w:pPr>
        <w:pStyle w:val="FootnoteText"/>
        <w:rPr>
          <w:rFonts w:asciiTheme="minorHAnsi" w:hAnsiTheme="minorHAnsi" w:cstheme="minorHAnsi"/>
          <w:sz w:val="18"/>
          <w:szCs w:val="18"/>
          <w:lang w:val="en-AU"/>
        </w:rPr>
      </w:pPr>
      <w:r w:rsidRPr="001B6A40">
        <w:rPr>
          <w:rStyle w:val="FootnoteReference"/>
          <w:rFonts w:asciiTheme="minorHAnsi" w:hAnsiTheme="minorHAnsi" w:cstheme="minorHAnsi"/>
          <w:sz w:val="18"/>
          <w:szCs w:val="18"/>
        </w:rPr>
        <w:footnoteRef/>
      </w:r>
      <w:r w:rsidRPr="001B6A40">
        <w:rPr>
          <w:rFonts w:asciiTheme="minorHAnsi" w:hAnsiTheme="minorHAnsi" w:cstheme="minorHAnsi"/>
          <w:sz w:val="18"/>
          <w:szCs w:val="18"/>
        </w:rPr>
        <w:t xml:space="preserve"> </w:t>
      </w:r>
      <w:r w:rsidR="00FC31E9" w:rsidRPr="001B6A40">
        <w:rPr>
          <w:rFonts w:asciiTheme="minorHAnsi" w:hAnsiTheme="minorHAnsi" w:cstheme="minorHAnsi"/>
          <w:sz w:val="18"/>
          <w:szCs w:val="18"/>
        </w:rPr>
        <w:t xml:space="preserve">UN. 2006. Convention on the Rights of Persons with Disabilities. </w:t>
      </w:r>
      <w:hyperlink r:id="rId5" w:history="1">
        <w:r w:rsidR="00FC31E9" w:rsidRPr="001B6A40">
          <w:rPr>
            <w:rStyle w:val="Hyperlink"/>
            <w:rFonts w:asciiTheme="minorHAnsi" w:hAnsiTheme="minorHAnsi" w:cstheme="minorHAnsi"/>
            <w:sz w:val="18"/>
            <w:szCs w:val="18"/>
          </w:rPr>
          <w:t>https://www.ohchr.org/en/instruments-mechanisms/instruments/convention-rights-persons-disabilities</w:t>
        </w:r>
      </w:hyperlink>
      <w:r w:rsidR="00FC31E9" w:rsidRPr="001B6A40">
        <w:rPr>
          <w:rFonts w:asciiTheme="minorHAnsi" w:hAnsiTheme="minorHAnsi" w:cstheme="minorHAnsi"/>
          <w:sz w:val="18"/>
          <w:szCs w:val="18"/>
        </w:rPr>
        <w:t xml:space="preserve"> </w:t>
      </w:r>
    </w:p>
  </w:footnote>
  <w:footnote w:id="6">
    <w:p w14:paraId="2B52F4C2" w14:textId="72F6A9AD" w:rsidR="00D45C3D" w:rsidRPr="00DB32C7" w:rsidRDefault="00D45C3D">
      <w:pPr>
        <w:pStyle w:val="FootnoteText"/>
        <w:rPr>
          <w:rFonts w:asciiTheme="minorHAnsi" w:hAnsiTheme="minorHAnsi" w:cstheme="minorHAnsi"/>
          <w:sz w:val="18"/>
          <w:szCs w:val="18"/>
          <w:lang w:val="en-AU"/>
        </w:rPr>
      </w:pPr>
      <w:r w:rsidRPr="00FC31E9">
        <w:rPr>
          <w:rStyle w:val="FootnoteReference"/>
          <w:rFonts w:asciiTheme="minorHAnsi" w:hAnsiTheme="minorHAnsi" w:cstheme="minorHAnsi"/>
          <w:sz w:val="18"/>
          <w:szCs w:val="18"/>
        </w:rPr>
        <w:footnoteRef/>
      </w:r>
      <w:r w:rsidRPr="00FC31E9">
        <w:rPr>
          <w:rFonts w:asciiTheme="minorHAnsi" w:hAnsiTheme="minorHAnsi" w:cstheme="minorHAnsi"/>
          <w:sz w:val="18"/>
          <w:szCs w:val="18"/>
        </w:rPr>
        <w:t xml:space="preserve"> </w:t>
      </w:r>
      <w:r w:rsidR="00FA0C05" w:rsidRPr="00FC31E9">
        <w:rPr>
          <w:rFonts w:asciiTheme="minorHAnsi" w:hAnsiTheme="minorHAnsi" w:cstheme="minorHAnsi"/>
          <w:sz w:val="18"/>
          <w:szCs w:val="18"/>
        </w:rPr>
        <w:t xml:space="preserve">UNDESA. Ratification and signatories </w:t>
      </w:r>
      <w:r w:rsidRPr="00FC31E9">
        <w:rPr>
          <w:rFonts w:asciiTheme="minorHAnsi" w:hAnsiTheme="minorHAnsi" w:cstheme="minorHAnsi"/>
          <w:sz w:val="18"/>
          <w:szCs w:val="18"/>
          <w:lang w:val="en-AU"/>
        </w:rPr>
        <w:t>6</w:t>
      </w:r>
      <w:r w:rsidR="00FA0C05" w:rsidRPr="00FC31E9">
        <w:rPr>
          <w:rFonts w:asciiTheme="minorHAnsi" w:hAnsiTheme="minorHAnsi" w:cstheme="minorHAnsi"/>
          <w:sz w:val="18"/>
          <w:szCs w:val="18"/>
          <w:vertAlign w:val="superscript"/>
          <w:lang w:val="en-AU"/>
        </w:rPr>
        <w:t>th</w:t>
      </w:r>
      <w:r w:rsidR="00FA0C05" w:rsidRPr="00FC31E9">
        <w:rPr>
          <w:rFonts w:asciiTheme="minorHAnsi" w:hAnsiTheme="minorHAnsi" w:cstheme="minorHAnsi"/>
          <w:sz w:val="18"/>
          <w:szCs w:val="18"/>
          <w:lang w:val="en-AU"/>
        </w:rPr>
        <w:t xml:space="preserve"> </w:t>
      </w:r>
      <w:r w:rsidRPr="00FC31E9">
        <w:rPr>
          <w:rFonts w:asciiTheme="minorHAnsi" w:hAnsiTheme="minorHAnsi" w:cstheme="minorHAnsi"/>
          <w:sz w:val="18"/>
          <w:szCs w:val="18"/>
          <w:lang w:val="en-AU"/>
        </w:rPr>
        <w:t>May 2022</w:t>
      </w:r>
      <w:r w:rsidR="00FA0C05" w:rsidRPr="00FC31E9">
        <w:rPr>
          <w:rFonts w:asciiTheme="minorHAnsi" w:hAnsiTheme="minorHAnsi" w:cstheme="minorHAnsi"/>
          <w:sz w:val="18"/>
          <w:szCs w:val="18"/>
          <w:lang w:val="en-AU"/>
        </w:rPr>
        <w:t>.</w:t>
      </w:r>
      <w:r w:rsidRPr="00FC31E9">
        <w:rPr>
          <w:rFonts w:asciiTheme="minorHAnsi" w:hAnsiTheme="minorHAnsi" w:cstheme="minorHAnsi"/>
          <w:sz w:val="18"/>
          <w:szCs w:val="18"/>
          <w:lang w:val="en-AU"/>
        </w:rPr>
        <w:t xml:space="preserve"> </w:t>
      </w:r>
      <w:hyperlink r:id="rId6" w:history="1">
        <w:r w:rsidRPr="00FC31E9">
          <w:rPr>
            <w:rStyle w:val="Hyperlink"/>
            <w:rFonts w:asciiTheme="minorHAnsi" w:hAnsiTheme="minorHAnsi" w:cstheme="minorHAnsi"/>
            <w:sz w:val="18"/>
            <w:szCs w:val="18"/>
            <w:lang w:val="en-AU"/>
          </w:rPr>
          <w:t>https://www.un.org/development/desa/disabilities/convention-on-the-rights-of-persons-with-disabilities.html</w:t>
        </w:r>
      </w:hyperlink>
      <w:r w:rsidRPr="00D21BE9">
        <w:rPr>
          <w:rFonts w:asciiTheme="minorHAnsi" w:hAnsiTheme="minorHAnsi" w:cstheme="minorHAnsi"/>
          <w:sz w:val="18"/>
          <w:szCs w:val="18"/>
          <w:lang w:val="en-AU"/>
        </w:rPr>
        <w:t xml:space="preserve"> </w:t>
      </w:r>
    </w:p>
  </w:footnote>
  <w:footnote w:id="7">
    <w:p w14:paraId="3916A32B" w14:textId="209C6659" w:rsidR="00610AB7" w:rsidRPr="00DB32C7" w:rsidRDefault="00610AB7">
      <w:pPr>
        <w:pStyle w:val="FootnoteText"/>
        <w:rPr>
          <w:rFonts w:asciiTheme="minorHAnsi" w:hAnsiTheme="minorHAnsi" w:cstheme="minorHAnsi"/>
          <w:sz w:val="18"/>
          <w:szCs w:val="18"/>
          <w:lang w:val="en-AU"/>
        </w:rPr>
      </w:pPr>
      <w:r w:rsidRPr="00DB32C7">
        <w:rPr>
          <w:rStyle w:val="FootnoteReference"/>
          <w:rFonts w:asciiTheme="minorHAnsi" w:hAnsiTheme="minorHAnsi" w:cstheme="minorHAnsi"/>
          <w:sz w:val="18"/>
          <w:szCs w:val="18"/>
        </w:rPr>
        <w:footnoteRef/>
      </w:r>
      <w:r w:rsidRPr="00DB32C7">
        <w:rPr>
          <w:rFonts w:asciiTheme="minorHAnsi" w:hAnsiTheme="minorHAnsi" w:cstheme="minorHAnsi"/>
          <w:sz w:val="18"/>
          <w:szCs w:val="18"/>
        </w:rPr>
        <w:t xml:space="preserve"> </w:t>
      </w:r>
      <w:r w:rsidR="00043DD1">
        <w:rPr>
          <w:rFonts w:asciiTheme="minorHAnsi" w:hAnsiTheme="minorHAnsi" w:cstheme="minorHAnsi"/>
          <w:sz w:val="18"/>
          <w:szCs w:val="18"/>
        </w:rPr>
        <w:t>International Disability Alliance. 2022. The CRPD has Closed its 27</w:t>
      </w:r>
      <w:r w:rsidR="00043DD1" w:rsidRPr="00BD7261">
        <w:rPr>
          <w:rFonts w:asciiTheme="minorHAnsi" w:hAnsiTheme="minorHAnsi" w:cstheme="minorHAnsi"/>
          <w:sz w:val="18"/>
          <w:szCs w:val="18"/>
          <w:vertAlign w:val="superscript"/>
        </w:rPr>
        <w:t>th</w:t>
      </w:r>
      <w:r w:rsidR="00043DD1">
        <w:rPr>
          <w:rFonts w:asciiTheme="minorHAnsi" w:hAnsiTheme="minorHAnsi" w:cstheme="minorHAnsi"/>
          <w:sz w:val="18"/>
          <w:szCs w:val="18"/>
        </w:rPr>
        <w:t xml:space="preserve"> Session. </w:t>
      </w:r>
      <w:hyperlink r:id="rId7" w:history="1">
        <w:r w:rsidR="00043DD1" w:rsidRPr="00694FE3">
          <w:rPr>
            <w:rStyle w:val="Hyperlink"/>
            <w:rFonts w:asciiTheme="minorHAnsi" w:hAnsiTheme="minorHAnsi" w:cstheme="minorHAnsi"/>
            <w:sz w:val="18"/>
            <w:szCs w:val="18"/>
          </w:rPr>
          <w:t>https://www.internationaldisabilityalliance.org/content/crpd-committee-has-closed-its-27th-session</w:t>
        </w:r>
      </w:hyperlink>
      <w:r w:rsidR="00043DD1">
        <w:rPr>
          <w:rFonts w:asciiTheme="minorHAnsi" w:hAnsiTheme="minorHAnsi" w:cstheme="minorHAnsi"/>
          <w:sz w:val="18"/>
          <w:szCs w:val="18"/>
        </w:rPr>
        <w:t xml:space="preserve">  </w:t>
      </w:r>
    </w:p>
  </w:footnote>
  <w:footnote w:id="8">
    <w:p w14:paraId="5F06B1FB" w14:textId="572A295D" w:rsidR="00D23642" w:rsidRPr="004F2834" w:rsidRDefault="00D23642">
      <w:pPr>
        <w:pStyle w:val="FootnoteText"/>
        <w:rPr>
          <w:rFonts w:asciiTheme="minorHAnsi" w:hAnsiTheme="minorHAnsi" w:cstheme="minorHAnsi"/>
          <w:sz w:val="18"/>
          <w:szCs w:val="18"/>
          <w:lang w:val="en-AU"/>
        </w:rPr>
      </w:pPr>
      <w:r w:rsidRPr="004F2834">
        <w:rPr>
          <w:rStyle w:val="FootnoteReference"/>
          <w:rFonts w:asciiTheme="minorHAnsi" w:hAnsiTheme="minorHAnsi" w:cstheme="minorHAnsi"/>
          <w:sz w:val="18"/>
          <w:szCs w:val="18"/>
        </w:rPr>
        <w:footnoteRef/>
      </w:r>
      <w:r w:rsidRPr="004F2834">
        <w:rPr>
          <w:rFonts w:asciiTheme="minorHAnsi" w:hAnsiTheme="minorHAnsi" w:cstheme="minorHAnsi"/>
          <w:sz w:val="18"/>
          <w:szCs w:val="18"/>
        </w:rPr>
        <w:t xml:space="preserve"> </w:t>
      </w:r>
      <w:r w:rsidR="00847576">
        <w:rPr>
          <w:rFonts w:asciiTheme="minorHAnsi" w:hAnsiTheme="minorHAnsi" w:cstheme="minorHAnsi"/>
          <w:sz w:val="18"/>
          <w:szCs w:val="18"/>
          <w:lang w:val="en-AU"/>
        </w:rPr>
        <w:t xml:space="preserve">UN. 2015 </w:t>
      </w:r>
      <w:r w:rsidR="00847576" w:rsidRPr="00D21BE9">
        <w:rPr>
          <w:rFonts w:asciiTheme="minorHAnsi" w:hAnsiTheme="minorHAnsi" w:cstheme="minorHAnsi"/>
          <w:sz w:val="18"/>
          <w:szCs w:val="18"/>
          <w:lang w:val="en-AU"/>
        </w:rPr>
        <w:t>Sendai</w:t>
      </w:r>
      <w:r w:rsidR="00847576">
        <w:rPr>
          <w:rFonts w:asciiTheme="minorHAnsi" w:hAnsiTheme="minorHAnsi" w:cstheme="minorHAnsi"/>
          <w:sz w:val="18"/>
          <w:szCs w:val="18"/>
          <w:lang w:val="en-AU"/>
        </w:rPr>
        <w:t xml:space="preserve"> Framework for Disaster Risk Reduction 2015-2030. </w:t>
      </w:r>
      <w:r w:rsidR="00514DED">
        <w:rPr>
          <w:rFonts w:asciiTheme="minorHAnsi" w:hAnsiTheme="minorHAnsi" w:cstheme="minorHAnsi"/>
          <w:sz w:val="18"/>
          <w:szCs w:val="18"/>
          <w:lang w:val="en-AU"/>
        </w:rPr>
        <w:t>p</w:t>
      </w:r>
      <w:r w:rsidR="00847576">
        <w:rPr>
          <w:rFonts w:asciiTheme="minorHAnsi" w:hAnsiTheme="minorHAnsi" w:cstheme="minorHAnsi"/>
          <w:sz w:val="18"/>
          <w:szCs w:val="18"/>
          <w:lang w:val="en-AU"/>
        </w:rPr>
        <w:t xml:space="preserve">.10 </w:t>
      </w:r>
      <w:hyperlink r:id="rId8" w:history="1">
        <w:r w:rsidR="00847576" w:rsidRPr="00694FE3">
          <w:rPr>
            <w:rStyle w:val="Hyperlink"/>
            <w:rFonts w:asciiTheme="minorHAnsi" w:hAnsiTheme="minorHAnsi" w:cstheme="minorHAnsi"/>
            <w:sz w:val="18"/>
            <w:szCs w:val="18"/>
            <w:lang w:val="en-AU"/>
          </w:rPr>
          <w:t>https://www.undrr.org/publication/sendai-framework-disaster-risk-reduction-2015-2030</w:t>
        </w:r>
      </w:hyperlink>
      <w:r w:rsidR="00847576">
        <w:rPr>
          <w:rFonts w:asciiTheme="minorHAnsi" w:hAnsiTheme="minorHAnsi" w:cstheme="minorHAnsi"/>
          <w:sz w:val="18"/>
          <w:szCs w:val="18"/>
          <w:lang w:val="en-AU"/>
        </w:rPr>
        <w:t xml:space="preserve">  </w:t>
      </w:r>
    </w:p>
  </w:footnote>
  <w:footnote w:id="9">
    <w:p w14:paraId="563209CE" w14:textId="30CAB029" w:rsidR="004F2834" w:rsidRPr="00DB32C7" w:rsidRDefault="004F2834">
      <w:pPr>
        <w:pStyle w:val="FootnoteText"/>
        <w:rPr>
          <w:rFonts w:asciiTheme="minorHAnsi" w:hAnsiTheme="minorHAnsi" w:cstheme="minorHAnsi"/>
          <w:sz w:val="18"/>
          <w:szCs w:val="18"/>
          <w:lang w:val="en-AU"/>
        </w:rPr>
      </w:pPr>
      <w:r w:rsidRPr="00DB32C7">
        <w:rPr>
          <w:rStyle w:val="FootnoteReference"/>
          <w:rFonts w:asciiTheme="minorHAnsi" w:hAnsiTheme="minorHAnsi" w:cstheme="minorHAnsi"/>
          <w:sz w:val="18"/>
          <w:szCs w:val="18"/>
        </w:rPr>
        <w:footnoteRef/>
      </w:r>
      <w:r w:rsidRPr="00DB32C7">
        <w:rPr>
          <w:rFonts w:asciiTheme="minorHAnsi" w:hAnsiTheme="minorHAnsi" w:cstheme="minorHAnsi"/>
          <w:sz w:val="18"/>
          <w:szCs w:val="18"/>
        </w:rPr>
        <w:t xml:space="preserve"> “</w:t>
      </w:r>
      <w:r w:rsidRPr="00DB32C7">
        <w:rPr>
          <w:rFonts w:asciiTheme="minorHAnsi" w:hAnsiTheme="minorHAnsi" w:cstheme="minorHAnsi"/>
          <w:sz w:val="18"/>
          <w:szCs w:val="18"/>
          <w:lang w:val="en-AU"/>
        </w:rPr>
        <w:t xml:space="preserve">Vulnerable” suggests vulnerability is an inherent characteristic of an individual or group. “Marginalised” better </w:t>
      </w:r>
      <w:r>
        <w:rPr>
          <w:rFonts w:asciiTheme="minorHAnsi" w:hAnsiTheme="minorHAnsi" w:cstheme="minorHAnsi"/>
          <w:sz w:val="18"/>
          <w:szCs w:val="18"/>
          <w:lang w:val="en-AU"/>
        </w:rPr>
        <w:t xml:space="preserve">aligns </w:t>
      </w:r>
      <w:r w:rsidRPr="00DB32C7">
        <w:rPr>
          <w:rFonts w:asciiTheme="minorHAnsi" w:hAnsiTheme="minorHAnsi" w:cstheme="minorHAnsi"/>
          <w:sz w:val="18"/>
          <w:szCs w:val="18"/>
          <w:lang w:val="en-AU"/>
        </w:rPr>
        <w:t>with the CRPD understanding of disability</w:t>
      </w:r>
      <w:r w:rsidR="00847576">
        <w:rPr>
          <w:rFonts w:asciiTheme="minorHAnsi" w:hAnsiTheme="minorHAnsi" w:cstheme="minorHAnsi"/>
          <w:sz w:val="18"/>
          <w:szCs w:val="18"/>
          <w:lang w:val="en-AU"/>
        </w:rPr>
        <w:t>, t</w:t>
      </w:r>
      <w:r w:rsidRPr="00DB32C7">
        <w:rPr>
          <w:rFonts w:asciiTheme="minorHAnsi" w:hAnsiTheme="minorHAnsi" w:cstheme="minorHAnsi"/>
          <w:sz w:val="18"/>
          <w:szCs w:val="18"/>
          <w:lang w:val="en-AU"/>
        </w:rPr>
        <w:t>hat is</w:t>
      </w:r>
      <w:r>
        <w:rPr>
          <w:rFonts w:asciiTheme="minorHAnsi" w:hAnsiTheme="minorHAnsi" w:cstheme="minorHAnsi"/>
          <w:sz w:val="18"/>
          <w:szCs w:val="18"/>
          <w:lang w:val="en-AU"/>
        </w:rPr>
        <w:t>,</w:t>
      </w:r>
      <w:r w:rsidRPr="00DB32C7">
        <w:rPr>
          <w:rFonts w:asciiTheme="minorHAnsi" w:hAnsiTheme="minorHAnsi" w:cstheme="minorHAnsi"/>
          <w:sz w:val="18"/>
          <w:szCs w:val="18"/>
          <w:lang w:val="en-AU"/>
        </w:rPr>
        <w:t xml:space="preserve"> persons with disabilities are marginalised by wider society. </w:t>
      </w:r>
    </w:p>
  </w:footnote>
  <w:footnote w:id="10">
    <w:p w14:paraId="47511F04" w14:textId="0086B205" w:rsidR="00665940" w:rsidRPr="00E84D93" w:rsidRDefault="00665940">
      <w:pPr>
        <w:pStyle w:val="FootnoteText"/>
        <w:rPr>
          <w:rFonts w:asciiTheme="minorHAnsi" w:hAnsiTheme="minorHAnsi" w:cstheme="minorHAnsi"/>
          <w:sz w:val="18"/>
          <w:szCs w:val="18"/>
          <w:lang w:val="en-AU"/>
        </w:rPr>
      </w:pPr>
      <w:r w:rsidRPr="00DB32C7">
        <w:rPr>
          <w:rStyle w:val="FootnoteReference"/>
          <w:rFonts w:asciiTheme="minorHAnsi" w:hAnsiTheme="minorHAnsi" w:cstheme="minorHAnsi"/>
          <w:sz w:val="18"/>
          <w:szCs w:val="18"/>
        </w:rPr>
        <w:footnoteRef/>
      </w:r>
      <w:r w:rsidRPr="00DB32C7">
        <w:rPr>
          <w:rFonts w:asciiTheme="minorHAnsi" w:hAnsiTheme="minorHAnsi" w:cstheme="minorHAnsi"/>
          <w:sz w:val="18"/>
          <w:szCs w:val="18"/>
        </w:rPr>
        <w:t xml:space="preserve"> </w:t>
      </w:r>
      <w:r w:rsidR="00847576" w:rsidRPr="00E84D93">
        <w:rPr>
          <w:rFonts w:asciiTheme="minorHAnsi" w:hAnsiTheme="minorHAnsi" w:cstheme="minorHAnsi"/>
          <w:sz w:val="18"/>
          <w:szCs w:val="18"/>
          <w:lang w:val="en-AU"/>
        </w:rPr>
        <w:t xml:space="preserve">UN. 2015 Sendai Framework for Disaster Risk Reduction 2015-2030. </w:t>
      </w:r>
      <w:hyperlink r:id="rId9" w:history="1">
        <w:r w:rsidR="00847576" w:rsidRPr="00E84D93">
          <w:rPr>
            <w:rStyle w:val="Hyperlink"/>
            <w:rFonts w:asciiTheme="minorHAnsi" w:hAnsiTheme="minorHAnsi" w:cstheme="minorHAnsi"/>
            <w:sz w:val="18"/>
            <w:szCs w:val="18"/>
            <w:lang w:val="en-AU"/>
          </w:rPr>
          <w:t>https://www.undrr.org/publication/sendai-framework-disaster-risk-reduction-2015-2030</w:t>
        </w:r>
      </w:hyperlink>
      <w:r w:rsidR="00847576" w:rsidRPr="00E84D93">
        <w:rPr>
          <w:rFonts w:asciiTheme="minorHAnsi" w:hAnsiTheme="minorHAnsi" w:cstheme="minorHAnsi"/>
          <w:sz w:val="18"/>
          <w:szCs w:val="18"/>
          <w:lang w:val="en-AU"/>
        </w:rPr>
        <w:t xml:space="preserve">  </w:t>
      </w:r>
    </w:p>
  </w:footnote>
  <w:footnote w:id="11">
    <w:p w14:paraId="2615DAFA" w14:textId="3904E232" w:rsidR="004F2834" w:rsidRPr="00BD7261" w:rsidRDefault="004F2834">
      <w:pPr>
        <w:pStyle w:val="FootnoteText"/>
        <w:rPr>
          <w:rFonts w:asciiTheme="minorHAnsi" w:hAnsiTheme="minorHAnsi" w:cstheme="minorHAnsi"/>
          <w:lang w:val="en-AU"/>
        </w:rPr>
      </w:pPr>
      <w:r w:rsidRPr="00E84D93">
        <w:rPr>
          <w:rStyle w:val="FootnoteReference"/>
          <w:rFonts w:asciiTheme="minorHAnsi" w:hAnsiTheme="minorHAnsi" w:cstheme="minorHAnsi"/>
          <w:sz w:val="18"/>
          <w:szCs w:val="18"/>
        </w:rPr>
        <w:footnoteRef/>
      </w:r>
      <w:r w:rsidRPr="00BD7261">
        <w:rPr>
          <w:rFonts w:asciiTheme="minorHAnsi" w:hAnsiTheme="minorHAnsi" w:cstheme="minorHAnsi"/>
        </w:rPr>
        <w:t xml:space="preserve"> </w:t>
      </w:r>
      <w:r w:rsidR="00847576" w:rsidRPr="00BD7261">
        <w:rPr>
          <w:rFonts w:asciiTheme="minorHAnsi" w:hAnsiTheme="minorHAnsi" w:cstheme="minorHAnsi"/>
          <w:sz w:val="18"/>
          <w:szCs w:val="18"/>
        </w:rPr>
        <w:t xml:space="preserve">Fujii K. 2015. The Great East Japan Earthquake and </w:t>
      </w:r>
      <w:r w:rsidR="00847576" w:rsidRPr="00E84D93">
        <w:rPr>
          <w:rFonts w:asciiTheme="minorHAnsi" w:hAnsiTheme="minorHAnsi" w:cstheme="minorHAnsi"/>
          <w:sz w:val="18"/>
          <w:szCs w:val="18"/>
        </w:rPr>
        <w:t>P</w:t>
      </w:r>
      <w:r w:rsidR="00847576" w:rsidRPr="00BD7261">
        <w:rPr>
          <w:rFonts w:asciiTheme="minorHAnsi" w:hAnsiTheme="minorHAnsi" w:cstheme="minorHAnsi"/>
          <w:sz w:val="18"/>
          <w:szCs w:val="18"/>
        </w:rPr>
        <w:t xml:space="preserve">ersons with </w:t>
      </w:r>
      <w:r w:rsidR="00847576" w:rsidRPr="00E84D93">
        <w:rPr>
          <w:rFonts w:asciiTheme="minorHAnsi" w:hAnsiTheme="minorHAnsi" w:cstheme="minorHAnsi"/>
          <w:sz w:val="18"/>
          <w:szCs w:val="18"/>
        </w:rPr>
        <w:t>D</w:t>
      </w:r>
      <w:r w:rsidR="00847576" w:rsidRPr="00BD7261">
        <w:rPr>
          <w:rFonts w:asciiTheme="minorHAnsi" w:hAnsiTheme="minorHAnsi" w:cstheme="minorHAnsi"/>
          <w:sz w:val="18"/>
          <w:szCs w:val="18"/>
        </w:rPr>
        <w:t xml:space="preserve">isabilities </w:t>
      </w:r>
      <w:r w:rsidR="00847576" w:rsidRPr="00E84D93">
        <w:rPr>
          <w:rFonts w:asciiTheme="minorHAnsi" w:hAnsiTheme="minorHAnsi" w:cstheme="minorHAnsi"/>
          <w:sz w:val="18"/>
          <w:szCs w:val="18"/>
        </w:rPr>
        <w:t>A</w:t>
      </w:r>
      <w:r w:rsidR="00847576" w:rsidRPr="00BD7261">
        <w:rPr>
          <w:rFonts w:asciiTheme="minorHAnsi" w:hAnsiTheme="minorHAnsi" w:cstheme="minorHAnsi"/>
          <w:sz w:val="18"/>
          <w:szCs w:val="18"/>
        </w:rPr>
        <w:t xml:space="preserve">ffected by the </w:t>
      </w:r>
      <w:r w:rsidR="00847576" w:rsidRPr="00E84D93">
        <w:rPr>
          <w:rFonts w:asciiTheme="minorHAnsi" w:hAnsiTheme="minorHAnsi" w:cstheme="minorHAnsi"/>
          <w:sz w:val="18"/>
          <w:szCs w:val="18"/>
        </w:rPr>
        <w:t>E</w:t>
      </w:r>
      <w:r w:rsidR="00847576" w:rsidRPr="00BD7261">
        <w:rPr>
          <w:rFonts w:asciiTheme="minorHAnsi" w:hAnsiTheme="minorHAnsi" w:cstheme="minorHAnsi"/>
          <w:sz w:val="18"/>
          <w:szCs w:val="18"/>
        </w:rPr>
        <w:t xml:space="preserve">arthquake. Why is the </w:t>
      </w:r>
      <w:r w:rsidR="00847576" w:rsidRPr="00E84D93">
        <w:rPr>
          <w:rFonts w:asciiTheme="minorHAnsi" w:hAnsiTheme="minorHAnsi" w:cstheme="minorHAnsi"/>
          <w:sz w:val="18"/>
          <w:szCs w:val="18"/>
        </w:rPr>
        <w:t>M</w:t>
      </w:r>
      <w:r w:rsidR="00847576" w:rsidRPr="00BD7261">
        <w:rPr>
          <w:rFonts w:asciiTheme="minorHAnsi" w:hAnsiTheme="minorHAnsi" w:cstheme="minorHAnsi"/>
          <w:sz w:val="18"/>
          <w:szCs w:val="18"/>
        </w:rPr>
        <w:t xml:space="preserve">ortality </w:t>
      </w:r>
      <w:r w:rsidR="00847576" w:rsidRPr="00E84D93">
        <w:rPr>
          <w:rFonts w:asciiTheme="minorHAnsi" w:hAnsiTheme="minorHAnsi" w:cstheme="minorHAnsi"/>
          <w:sz w:val="18"/>
          <w:szCs w:val="18"/>
        </w:rPr>
        <w:t>R</w:t>
      </w:r>
      <w:r w:rsidR="00847576" w:rsidRPr="00BD7261">
        <w:rPr>
          <w:rFonts w:asciiTheme="minorHAnsi" w:hAnsiTheme="minorHAnsi" w:cstheme="minorHAnsi"/>
          <w:sz w:val="18"/>
          <w:szCs w:val="18"/>
        </w:rPr>
        <w:t xml:space="preserve">ate so </w:t>
      </w:r>
      <w:r w:rsidR="00847576" w:rsidRPr="00E84D93">
        <w:rPr>
          <w:rFonts w:asciiTheme="minorHAnsi" w:hAnsiTheme="minorHAnsi" w:cstheme="minorHAnsi"/>
          <w:sz w:val="18"/>
          <w:szCs w:val="18"/>
        </w:rPr>
        <w:t>H</w:t>
      </w:r>
      <w:r w:rsidR="00847576" w:rsidRPr="00BD7261">
        <w:rPr>
          <w:rFonts w:asciiTheme="minorHAnsi" w:hAnsiTheme="minorHAnsi" w:cstheme="minorHAnsi"/>
          <w:sz w:val="18"/>
          <w:szCs w:val="18"/>
        </w:rPr>
        <w:t xml:space="preserve">igh? </w:t>
      </w:r>
      <w:hyperlink r:id="rId10" w:history="1">
        <w:r w:rsidR="00847576" w:rsidRPr="00E84D93">
          <w:rPr>
            <w:rStyle w:val="Hyperlink"/>
            <w:rFonts w:asciiTheme="minorHAnsi" w:hAnsiTheme="minorHAnsi" w:cstheme="minorHAnsi"/>
            <w:sz w:val="18"/>
            <w:szCs w:val="18"/>
          </w:rPr>
          <w:t>https://www.dinf.ne.jp/doc/english/resource/JDF_201503/1-1-1.html</w:t>
        </w:r>
      </w:hyperlink>
      <w:r w:rsidR="00847576" w:rsidRPr="00E84D93">
        <w:rPr>
          <w:rFonts w:asciiTheme="minorHAnsi" w:hAnsiTheme="minorHAnsi" w:cstheme="minorHAnsi"/>
          <w:sz w:val="18"/>
          <w:szCs w:val="18"/>
        </w:rPr>
        <w:t xml:space="preserve"> </w:t>
      </w:r>
    </w:p>
  </w:footnote>
  <w:footnote w:id="12">
    <w:p w14:paraId="2EB6C739" w14:textId="1B50C799" w:rsidR="00FC31E9" w:rsidRPr="001B6A40" w:rsidRDefault="00FC31E9">
      <w:pPr>
        <w:pStyle w:val="FootnoteText"/>
        <w:rPr>
          <w:lang w:val="en-AU"/>
        </w:rPr>
      </w:pPr>
      <w:r>
        <w:rPr>
          <w:rStyle w:val="FootnoteReference"/>
        </w:rPr>
        <w:footnoteRef/>
      </w:r>
      <w:r>
        <w:t xml:space="preserve"> </w:t>
      </w:r>
      <w:r w:rsidRPr="00F21646">
        <w:rPr>
          <w:rFonts w:asciiTheme="minorHAnsi" w:hAnsiTheme="minorHAnsi" w:cstheme="minorHAnsi"/>
          <w:sz w:val="18"/>
          <w:szCs w:val="18"/>
        </w:rPr>
        <w:t xml:space="preserve">UN. 2006. Convention on the Rights of Persons with Disabilities. </w:t>
      </w:r>
      <w:hyperlink r:id="rId11" w:history="1">
        <w:r w:rsidRPr="00F21646">
          <w:rPr>
            <w:rStyle w:val="Hyperlink"/>
            <w:rFonts w:asciiTheme="minorHAnsi" w:hAnsiTheme="minorHAnsi" w:cstheme="minorHAnsi"/>
            <w:sz w:val="18"/>
            <w:szCs w:val="18"/>
          </w:rPr>
          <w:t>https://www.ohchr.org/en/instruments-mechanisms/instruments/convention-rights-persons-disabilities</w:t>
        </w:r>
      </w:hyperlink>
    </w:p>
  </w:footnote>
  <w:footnote w:id="13">
    <w:p w14:paraId="5AEC8640" w14:textId="5A1DDC4E" w:rsidR="00794689" w:rsidRPr="00E84D93" w:rsidRDefault="00794689">
      <w:pPr>
        <w:pStyle w:val="FootnoteText"/>
        <w:rPr>
          <w:rFonts w:asciiTheme="minorHAnsi" w:hAnsiTheme="minorHAnsi" w:cstheme="minorHAnsi"/>
          <w:sz w:val="18"/>
          <w:szCs w:val="18"/>
          <w:lang w:val="en-AU"/>
        </w:rPr>
      </w:pPr>
      <w:r w:rsidRPr="00E84D93">
        <w:rPr>
          <w:rStyle w:val="FootnoteReference"/>
          <w:rFonts w:asciiTheme="minorHAnsi" w:hAnsiTheme="minorHAnsi" w:cstheme="minorHAnsi"/>
          <w:sz w:val="18"/>
          <w:szCs w:val="18"/>
        </w:rPr>
        <w:footnoteRef/>
      </w:r>
      <w:r w:rsidRPr="00E84D93">
        <w:rPr>
          <w:rFonts w:asciiTheme="minorHAnsi" w:hAnsiTheme="minorHAnsi" w:cstheme="minorHAnsi"/>
          <w:sz w:val="18"/>
          <w:szCs w:val="18"/>
        </w:rPr>
        <w:t xml:space="preserve"> </w:t>
      </w:r>
      <w:r w:rsidR="00847576" w:rsidRPr="00E84D93">
        <w:rPr>
          <w:rFonts w:asciiTheme="minorHAnsi" w:hAnsiTheme="minorHAnsi" w:cstheme="minorHAnsi"/>
          <w:sz w:val="18"/>
          <w:szCs w:val="18"/>
        </w:rPr>
        <w:t>UNDRR. 2021. Sendai Framework Monitor (SFM). Sex, Age, and Disability Disaggregated Data (SADD).</w:t>
      </w:r>
      <w:r w:rsidR="007F4D23" w:rsidRPr="00E84D93">
        <w:rPr>
          <w:rFonts w:asciiTheme="minorHAnsi" w:hAnsiTheme="minorHAnsi" w:cstheme="minorHAnsi"/>
          <w:sz w:val="18"/>
          <w:szCs w:val="18"/>
        </w:rPr>
        <w:t xml:space="preserve"> </w:t>
      </w:r>
      <w:hyperlink r:id="rId12" w:history="1">
        <w:r w:rsidR="00847576" w:rsidRPr="00E84D93">
          <w:rPr>
            <w:rStyle w:val="Hyperlink"/>
            <w:rFonts w:asciiTheme="minorHAnsi" w:hAnsiTheme="minorHAnsi" w:cstheme="minorHAnsi"/>
            <w:sz w:val="18"/>
            <w:szCs w:val="18"/>
          </w:rPr>
          <w:t>https://www.undrr.org/publication/sendai-framework-monitor-sfm-sex-age-and-disability-disaggregated-data-saddd</w:t>
        </w:r>
      </w:hyperlink>
      <w:r w:rsidR="007F4D23" w:rsidRPr="00E84D93">
        <w:rPr>
          <w:rFonts w:asciiTheme="minorHAnsi" w:hAnsiTheme="minorHAnsi" w:cstheme="minorHAnsi"/>
          <w:sz w:val="18"/>
          <w:szCs w:val="18"/>
        </w:rPr>
        <w:t xml:space="preserve"> </w:t>
      </w:r>
    </w:p>
  </w:footnote>
  <w:footnote w:id="14">
    <w:p w14:paraId="25EFF186" w14:textId="4725A36A" w:rsidR="007F4D23" w:rsidRPr="00E84D93" w:rsidRDefault="007F4D23" w:rsidP="00E84D93">
      <w:pPr>
        <w:pStyle w:val="FootnoteText"/>
        <w:rPr>
          <w:rFonts w:asciiTheme="minorHAnsi" w:hAnsiTheme="minorHAnsi" w:cstheme="minorHAnsi"/>
          <w:sz w:val="18"/>
          <w:szCs w:val="18"/>
          <w:lang w:val="en-AU"/>
        </w:rPr>
      </w:pPr>
      <w:r w:rsidRPr="00E84D93">
        <w:rPr>
          <w:rStyle w:val="FootnoteReference"/>
          <w:rFonts w:asciiTheme="minorHAnsi" w:hAnsiTheme="minorHAnsi" w:cstheme="minorHAnsi"/>
          <w:sz w:val="18"/>
          <w:szCs w:val="18"/>
        </w:rPr>
        <w:footnoteRef/>
      </w:r>
      <w:r w:rsidRPr="00E84D93">
        <w:rPr>
          <w:rFonts w:asciiTheme="minorHAnsi" w:hAnsiTheme="minorHAnsi" w:cstheme="minorHAnsi"/>
          <w:sz w:val="18"/>
          <w:szCs w:val="18"/>
        </w:rPr>
        <w:t xml:space="preserve"> </w:t>
      </w:r>
      <w:r w:rsidR="00E84D93" w:rsidRPr="00E84D93">
        <w:rPr>
          <w:rFonts w:asciiTheme="minorHAnsi" w:hAnsiTheme="minorHAnsi" w:cstheme="minorHAnsi"/>
          <w:sz w:val="18"/>
          <w:szCs w:val="18"/>
        </w:rPr>
        <w:t xml:space="preserve">UNDRR. 2018. Technical Guidance for Monitoring and Reporting on Progress in Achieving the Global Targets of the Sendai Framework for Disaster Risk Reduction </w:t>
      </w:r>
      <w:r w:rsidRPr="00E84D93">
        <w:rPr>
          <w:rFonts w:asciiTheme="minorHAnsi" w:hAnsiTheme="minorHAnsi" w:cstheme="minorHAnsi"/>
          <w:sz w:val="18"/>
          <w:szCs w:val="18"/>
        </w:rPr>
        <w:t>Tech Guidance for Monitoring</w:t>
      </w:r>
      <w:r w:rsidR="00E84D93" w:rsidRPr="00E84D93">
        <w:rPr>
          <w:rFonts w:asciiTheme="minorHAnsi" w:hAnsiTheme="minorHAnsi" w:cstheme="minorHAnsi"/>
          <w:sz w:val="18"/>
          <w:szCs w:val="18"/>
        </w:rPr>
        <w:t xml:space="preserve">. </w:t>
      </w:r>
      <w:hyperlink r:id="rId13" w:history="1">
        <w:r w:rsidR="00E84D93" w:rsidRPr="00E84D93">
          <w:rPr>
            <w:rStyle w:val="Hyperlink"/>
            <w:rFonts w:asciiTheme="minorHAnsi" w:hAnsiTheme="minorHAnsi" w:cstheme="minorHAnsi"/>
            <w:sz w:val="18"/>
            <w:szCs w:val="18"/>
          </w:rPr>
          <w:t>https://www.preventionweb.net/files/54970_techguidancefdigitalhr.pdf?_gl=1*1aox14s*_ga*MTE3ODQ1MzgwOS4xNjY0MjUwOTMx*_ga_D8G5WXP6YM*MTY3MDcyNDgwMi4xNi4xLjE2NzA3MjY2MzQuMC4wLjA</w:t>
        </w:r>
      </w:hyperlink>
      <w:r w:rsidR="00E84D93" w:rsidRPr="00E84D93">
        <w:rPr>
          <w:rFonts w:asciiTheme="minorHAnsi" w:hAnsiTheme="minorHAnsi" w:cstheme="minorHAnsi"/>
          <w:sz w:val="18"/>
          <w:szCs w:val="18"/>
        </w:rPr>
        <w:t xml:space="preserve">. </w:t>
      </w:r>
      <w:r w:rsidRPr="00E84D93">
        <w:rPr>
          <w:rFonts w:asciiTheme="minorHAnsi" w:hAnsiTheme="minorHAnsi" w:cstheme="minorHAnsi"/>
          <w:sz w:val="18"/>
          <w:szCs w:val="18"/>
        </w:rPr>
        <w:t xml:space="preserve"> </w:t>
      </w:r>
    </w:p>
  </w:footnote>
  <w:footnote w:id="15">
    <w:p w14:paraId="364B6E1E" w14:textId="02F1E076" w:rsidR="00E84D93" w:rsidRPr="00BD7261" w:rsidRDefault="00E84D93">
      <w:pPr>
        <w:pStyle w:val="FootnoteText"/>
        <w:rPr>
          <w:rFonts w:asciiTheme="minorHAnsi" w:hAnsiTheme="minorHAnsi" w:cstheme="minorHAnsi"/>
          <w:sz w:val="18"/>
          <w:szCs w:val="18"/>
          <w:lang w:val="en-AU"/>
        </w:rPr>
      </w:pPr>
      <w:r w:rsidRPr="00BD7261">
        <w:rPr>
          <w:rStyle w:val="FootnoteReference"/>
          <w:rFonts w:asciiTheme="minorHAnsi" w:hAnsiTheme="minorHAnsi" w:cstheme="minorHAnsi"/>
          <w:sz w:val="18"/>
          <w:szCs w:val="18"/>
        </w:rPr>
        <w:footnoteRef/>
      </w:r>
      <w:r w:rsidRPr="00BD7261">
        <w:rPr>
          <w:rFonts w:asciiTheme="minorHAnsi" w:hAnsiTheme="minorHAnsi" w:cstheme="minorHAnsi"/>
          <w:sz w:val="18"/>
          <w:szCs w:val="18"/>
        </w:rPr>
        <w:t xml:space="preserve"> </w:t>
      </w:r>
      <w:r w:rsidRPr="00BD7261">
        <w:rPr>
          <w:rFonts w:asciiTheme="minorHAnsi" w:hAnsiTheme="minorHAnsi" w:cstheme="minorHAnsi"/>
          <w:sz w:val="18"/>
          <w:szCs w:val="18"/>
          <w:lang w:val="en-AU"/>
        </w:rPr>
        <w:t>Ibid</w:t>
      </w:r>
    </w:p>
  </w:footnote>
  <w:footnote w:id="16">
    <w:p w14:paraId="3280C00D" w14:textId="698EFEBF" w:rsidR="004B4D50" w:rsidRPr="00E84D93" w:rsidRDefault="004B4D50">
      <w:pPr>
        <w:pStyle w:val="FootnoteText"/>
        <w:rPr>
          <w:rFonts w:asciiTheme="minorHAnsi" w:hAnsiTheme="minorHAnsi" w:cstheme="minorHAnsi"/>
          <w:sz w:val="18"/>
          <w:szCs w:val="18"/>
          <w:lang w:val="en-AU"/>
        </w:rPr>
      </w:pPr>
      <w:r w:rsidRPr="00E84D93">
        <w:rPr>
          <w:rStyle w:val="FootnoteReference"/>
          <w:rFonts w:asciiTheme="minorHAnsi" w:hAnsiTheme="minorHAnsi" w:cstheme="minorHAnsi"/>
          <w:sz w:val="18"/>
          <w:szCs w:val="18"/>
        </w:rPr>
        <w:footnoteRef/>
      </w:r>
      <w:r w:rsidRPr="00E84D93">
        <w:rPr>
          <w:rFonts w:asciiTheme="minorHAnsi" w:hAnsiTheme="minorHAnsi" w:cstheme="minorHAnsi"/>
          <w:sz w:val="18"/>
          <w:szCs w:val="18"/>
        </w:rPr>
        <w:t xml:space="preserve"> </w:t>
      </w:r>
      <w:r w:rsidR="00A03841" w:rsidRPr="00E84D93">
        <w:rPr>
          <w:rFonts w:asciiTheme="minorHAnsi" w:hAnsiTheme="minorHAnsi" w:cstheme="minorHAnsi"/>
          <w:sz w:val="18"/>
          <w:szCs w:val="18"/>
        </w:rPr>
        <w:t>UNDRR</w:t>
      </w:r>
      <w:r w:rsidR="00E84D93" w:rsidRPr="00E84D93">
        <w:rPr>
          <w:rFonts w:asciiTheme="minorHAnsi" w:hAnsiTheme="minorHAnsi" w:cstheme="minorHAnsi"/>
          <w:sz w:val="18"/>
          <w:szCs w:val="18"/>
        </w:rPr>
        <w:t>, Suva.</w:t>
      </w:r>
      <w:r w:rsidR="00A03841" w:rsidRPr="00E84D93">
        <w:rPr>
          <w:rFonts w:asciiTheme="minorHAnsi" w:hAnsiTheme="minorHAnsi" w:cstheme="minorHAnsi"/>
          <w:sz w:val="18"/>
          <w:szCs w:val="18"/>
        </w:rPr>
        <w:t xml:space="preserve"> </w:t>
      </w:r>
      <w:r w:rsidR="00E84D93" w:rsidRPr="00E84D93">
        <w:rPr>
          <w:rFonts w:asciiTheme="minorHAnsi" w:hAnsiTheme="minorHAnsi" w:cstheme="minorHAnsi"/>
          <w:sz w:val="18"/>
          <w:szCs w:val="18"/>
        </w:rPr>
        <w:t>P</w:t>
      </w:r>
      <w:r w:rsidR="004D0228" w:rsidRPr="00E84D93">
        <w:rPr>
          <w:rFonts w:asciiTheme="minorHAnsi" w:hAnsiTheme="minorHAnsi" w:cstheme="minorHAnsi"/>
          <w:sz w:val="18"/>
          <w:szCs w:val="18"/>
        </w:rPr>
        <w:t>ers. Comms.</w:t>
      </w:r>
      <w:r w:rsidR="005A513F">
        <w:rPr>
          <w:rFonts w:asciiTheme="minorHAnsi" w:hAnsiTheme="minorHAnsi" w:cstheme="minorHAnsi"/>
          <w:sz w:val="18"/>
          <w:szCs w:val="18"/>
        </w:rPr>
        <w:t xml:space="preserve"> September 2022</w:t>
      </w:r>
    </w:p>
  </w:footnote>
  <w:footnote w:id="17">
    <w:p w14:paraId="36FE0301" w14:textId="3713178B" w:rsidR="004D0228" w:rsidRPr="00E84D93" w:rsidRDefault="004D0228">
      <w:pPr>
        <w:pStyle w:val="FootnoteText"/>
        <w:rPr>
          <w:rFonts w:asciiTheme="minorHAnsi" w:hAnsiTheme="minorHAnsi" w:cstheme="minorHAnsi"/>
          <w:sz w:val="18"/>
          <w:szCs w:val="18"/>
          <w:lang w:val="en-AU"/>
        </w:rPr>
      </w:pPr>
      <w:r w:rsidRPr="00E84D93">
        <w:rPr>
          <w:rStyle w:val="FootnoteReference"/>
          <w:rFonts w:asciiTheme="minorHAnsi" w:hAnsiTheme="minorHAnsi" w:cstheme="minorHAnsi"/>
          <w:sz w:val="18"/>
          <w:szCs w:val="18"/>
        </w:rPr>
        <w:footnoteRef/>
      </w:r>
      <w:r w:rsidRPr="00E84D93">
        <w:rPr>
          <w:rFonts w:asciiTheme="minorHAnsi" w:hAnsiTheme="minorHAnsi" w:cstheme="minorHAnsi"/>
          <w:sz w:val="18"/>
          <w:szCs w:val="18"/>
        </w:rPr>
        <w:t xml:space="preserve"> </w:t>
      </w:r>
      <w:r w:rsidRPr="00E84D93">
        <w:rPr>
          <w:rFonts w:asciiTheme="minorHAnsi" w:hAnsiTheme="minorHAnsi" w:cstheme="minorHAnsi"/>
          <w:sz w:val="18"/>
          <w:szCs w:val="18"/>
          <w:lang w:val="en-AU"/>
        </w:rPr>
        <w:t>Ibid</w:t>
      </w:r>
    </w:p>
  </w:footnote>
  <w:footnote w:id="18">
    <w:p w14:paraId="54A6F2E3" w14:textId="4D2E2CBA" w:rsidR="00E97D48" w:rsidRPr="004D0228" w:rsidRDefault="00E97D48" w:rsidP="00E97D48">
      <w:pPr>
        <w:pStyle w:val="FootnoteText"/>
        <w:rPr>
          <w:rFonts w:asciiTheme="minorHAnsi" w:hAnsiTheme="minorHAnsi" w:cstheme="minorHAnsi"/>
          <w:sz w:val="18"/>
          <w:szCs w:val="18"/>
          <w:lang w:val="en-AU"/>
        </w:rPr>
      </w:pPr>
      <w:r w:rsidRPr="00E84D93">
        <w:rPr>
          <w:rStyle w:val="FootnoteReference"/>
          <w:rFonts w:asciiTheme="minorHAnsi" w:hAnsiTheme="minorHAnsi" w:cstheme="minorHAnsi"/>
          <w:sz w:val="18"/>
          <w:szCs w:val="18"/>
        </w:rPr>
        <w:footnoteRef/>
      </w:r>
      <w:r w:rsidR="005A513F">
        <w:rPr>
          <w:rFonts w:asciiTheme="minorHAnsi" w:hAnsiTheme="minorHAnsi" w:cstheme="minorHAnsi"/>
          <w:sz w:val="18"/>
          <w:szCs w:val="18"/>
        </w:rPr>
        <w:t xml:space="preserve"> UNDRR. n.d</w:t>
      </w:r>
      <w:r w:rsidR="001B6A40">
        <w:rPr>
          <w:rFonts w:asciiTheme="minorHAnsi" w:hAnsiTheme="minorHAnsi" w:cstheme="minorHAnsi"/>
          <w:sz w:val="18"/>
          <w:szCs w:val="18"/>
        </w:rPr>
        <w:t>.</w:t>
      </w:r>
      <w:r w:rsidRPr="00E84D93">
        <w:rPr>
          <w:rFonts w:asciiTheme="minorHAnsi" w:hAnsiTheme="minorHAnsi" w:cstheme="minorHAnsi"/>
          <w:sz w:val="18"/>
          <w:szCs w:val="18"/>
        </w:rPr>
        <w:t xml:space="preserve"> </w:t>
      </w:r>
      <w:r w:rsidRPr="00E84D93">
        <w:rPr>
          <w:rFonts w:asciiTheme="minorHAnsi" w:hAnsiTheme="minorHAnsi" w:cstheme="minorHAnsi"/>
          <w:sz w:val="18"/>
          <w:szCs w:val="18"/>
          <w:lang w:val="en-AU"/>
        </w:rPr>
        <w:t>DesInventar</w:t>
      </w:r>
      <w:r w:rsidR="00E84D93" w:rsidRPr="00E84D93">
        <w:rPr>
          <w:rFonts w:asciiTheme="minorHAnsi" w:hAnsiTheme="minorHAnsi" w:cstheme="minorHAnsi"/>
          <w:sz w:val="18"/>
          <w:szCs w:val="18"/>
          <w:lang w:val="en-AU"/>
        </w:rPr>
        <w:t xml:space="preserve"> Sendai. </w:t>
      </w:r>
      <w:hyperlink r:id="rId14" w:history="1">
        <w:r w:rsidR="00E84D93" w:rsidRPr="00E84D93">
          <w:rPr>
            <w:rStyle w:val="Hyperlink"/>
            <w:rFonts w:asciiTheme="minorHAnsi" w:hAnsiTheme="minorHAnsi" w:cstheme="minorHAnsi"/>
            <w:sz w:val="18"/>
            <w:szCs w:val="18"/>
            <w:lang w:val="en-AU"/>
          </w:rPr>
          <w:t>https://www.desinventar.net/</w:t>
        </w:r>
      </w:hyperlink>
      <w:r w:rsidR="00E84D93">
        <w:rPr>
          <w:rFonts w:asciiTheme="minorHAnsi" w:hAnsiTheme="minorHAnsi" w:cstheme="minorHAnsi"/>
          <w:sz w:val="18"/>
          <w:szCs w:val="18"/>
          <w:lang w:val="en-AU"/>
        </w:rPr>
        <w:t xml:space="preserve"> </w:t>
      </w:r>
    </w:p>
  </w:footnote>
  <w:footnote w:id="19">
    <w:p w14:paraId="71216BE4" w14:textId="274D0888" w:rsidR="009326A3" w:rsidRPr="00FE7EE4" w:rsidRDefault="009326A3">
      <w:pPr>
        <w:pStyle w:val="FootnoteText"/>
        <w:rPr>
          <w:rFonts w:asciiTheme="minorHAnsi" w:hAnsiTheme="minorHAnsi" w:cstheme="minorHAnsi"/>
          <w:sz w:val="18"/>
          <w:szCs w:val="18"/>
          <w:lang w:val="en-AU"/>
        </w:rPr>
      </w:pPr>
      <w:r w:rsidRPr="00FE7EE4">
        <w:rPr>
          <w:rStyle w:val="FootnoteReference"/>
          <w:rFonts w:asciiTheme="minorHAnsi" w:hAnsiTheme="minorHAnsi" w:cstheme="minorHAnsi"/>
          <w:sz w:val="18"/>
          <w:szCs w:val="18"/>
        </w:rPr>
        <w:footnoteRef/>
      </w:r>
      <w:r w:rsidRPr="00FE7EE4">
        <w:rPr>
          <w:rFonts w:asciiTheme="minorHAnsi" w:hAnsiTheme="minorHAnsi" w:cstheme="minorHAnsi"/>
          <w:sz w:val="18"/>
          <w:szCs w:val="18"/>
        </w:rPr>
        <w:t xml:space="preserve"> </w:t>
      </w:r>
      <w:r w:rsidR="00C34B36">
        <w:rPr>
          <w:rFonts w:asciiTheme="minorHAnsi" w:hAnsiTheme="minorHAnsi" w:cstheme="minorHAnsi"/>
          <w:sz w:val="18"/>
          <w:szCs w:val="18"/>
        </w:rPr>
        <w:t xml:space="preserve">UNDRR </w:t>
      </w:r>
      <w:r w:rsidR="00E84D93" w:rsidRPr="00FE7EE4">
        <w:rPr>
          <w:rFonts w:asciiTheme="minorHAnsi" w:hAnsiTheme="minorHAnsi" w:cstheme="minorHAnsi"/>
          <w:sz w:val="18"/>
          <w:szCs w:val="18"/>
        </w:rPr>
        <w:t xml:space="preserve">Country DRR </w:t>
      </w:r>
      <w:r w:rsidR="00CA2151" w:rsidRPr="00FE7EE4">
        <w:rPr>
          <w:rFonts w:asciiTheme="minorHAnsi" w:hAnsiTheme="minorHAnsi" w:cstheme="minorHAnsi"/>
          <w:sz w:val="18"/>
          <w:szCs w:val="18"/>
        </w:rPr>
        <w:t>reports available from</w:t>
      </w:r>
      <w:r w:rsidR="00E84D93" w:rsidRPr="00FE7EE4">
        <w:rPr>
          <w:rFonts w:asciiTheme="minorHAnsi" w:hAnsiTheme="minorHAnsi" w:cstheme="minorHAnsi"/>
          <w:sz w:val="18"/>
          <w:szCs w:val="18"/>
        </w:rPr>
        <w:t xml:space="preserve">: </w:t>
      </w:r>
      <w:hyperlink r:id="rId15" w:history="1">
        <w:r w:rsidR="00E84D93" w:rsidRPr="00FE7EE4">
          <w:rPr>
            <w:rStyle w:val="Hyperlink"/>
            <w:rFonts w:asciiTheme="minorHAnsi" w:hAnsiTheme="minorHAnsi" w:cstheme="minorHAnsi"/>
            <w:sz w:val="18"/>
            <w:szCs w:val="18"/>
          </w:rPr>
          <w:t>https://www.undrr.org/publications?field_hazard_target_id=All&amp;field_publication_type_value=All&amp;field_theme_target_id=All&amp;field_undrr_publication_types_target_id=All&amp;tid_op=73&amp;page=0</w:t>
        </w:r>
      </w:hyperlink>
      <w:r w:rsidR="00CA2151" w:rsidRPr="00FE7EE4">
        <w:rPr>
          <w:rFonts w:asciiTheme="minorHAnsi" w:hAnsiTheme="minorHAnsi" w:cstheme="minorHAnsi"/>
          <w:sz w:val="18"/>
          <w:szCs w:val="18"/>
        </w:rPr>
        <w:t xml:space="preserve"> </w:t>
      </w:r>
    </w:p>
  </w:footnote>
  <w:footnote w:id="20">
    <w:p w14:paraId="5956047F" w14:textId="64E6B3A9" w:rsidR="009326A3" w:rsidRPr="00BD7261" w:rsidRDefault="009326A3">
      <w:pPr>
        <w:pStyle w:val="FootnoteText"/>
        <w:rPr>
          <w:rFonts w:asciiTheme="minorHAnsi" w:hAnsiTheme="minorHAnsi" w:cstheme="minorHAnsi"/>
          <w:sz w:val="18"/>
          <w:szCs w:val="18"/>
        </w:rPr>
      </w:pPr>
      <w:r w:rsidRPr="00FE7EE4">
        <w:rPr>
          <w:rStyle w:val="FootnoteReference"/>
          <w:rFonts w:asciiTheme="minorHAnsi" w:hAnsiTheme="minorHAnsi" w:cstheme="minorHAnsi"/>
          <w:sz w:val="18"/>
          <w:szCs w:val="18"/>
        </w:rPr>
        <w:footnoteRef/>
      </w:r>
      <w:r w:rsidRPr="00FE7EE4">
        <w:rPr>
          <w:rFonts w:asciiTheme="minorHAnsi" w:hAnsiTheme="minorHAnsi" w:cstheme="minorHAnsi"/>
          <w:sz w:val="18"/>
          <w:szCs w:val="18"/>
        </w:rPr>
        <w:t xml:space="preserve"> </w:t>
      </w:r>
      <w:r w:rsidR="009977A5" w:rsidRPr="00FE7EE4">
        <w:rPr>
          <w:rFonts w:asciiTheme="minorHAnsi" w:hAnsiTheme="minorHAnsi" w:cstheme="minorHAnsi"/>
          <w:sz w:val="18"/>
          <w:szCs w:val="18"/>
        </w:rPr>
        <w:t>WHO</w:t>
      </w:r>
      <w:r w:rsidR="00E84D93" w:rsidRPr="00FE7EE4">
        <w:rPr>
          <w:rFonts w:asciiTheme="minorHAnsi" w:hAnsiTheme="minorHAnsi" w:cstheme="minorHAnsi"/>
          <w:sz w:val="18"/>
          <w:szCs w:val="18"/>
        </w:rPr>
        <w:t xml:space="preserve">. 2022. Global Report on Health Equity of Persons with Disabilities. </w:t>
      </w:r>
      <w:hyperlink r:id="rId16" w:history="1">
        <w:r w:rsidR="00514DED" w:rsidRPr="00694FE3">
          <w:rPr>
            <w:rStyle w:val="Hyperlink"/>
            <w:rFonts w:asciiTheme="minorHAnsi" w:hAnsiTheme="minorHAnsi" w:cstheme="minorHAnsi"/>
            <w:sz w:val="18"/>
            <w:szCs w:val="18"/>
          </w:rPr>
          <w:t>https://www.who.int/activities/global-report-on-health-equity-for-persons-with-disabilities</w:t>
        </w:r>
      </w:hyperlink>
      <w:r w:rsidR="00514DED">
        <w:rPr>
          <w:rFonts w:asciiTheme="minorHAnsi" w:hAnsiTheme="minorHAnsi" w:cstheme="minorHAnsi"/>
          <w:sz w:val="18"/>
          <w:szCs w:val="18"/>
        </w:rPr>
        <w:t xml:space="preserve"> </w:t>
      </w:r>
    </w:p>
  </w:footnote>
  <w:footnote w:id="21">
    <w:p w14:paraId="47D71BE9" w14:textId="6292A718" w:rsidR="00562DEB" w:rsidRPr="00BD7261" w:rsidRDefault="00562DEB">
      <w:pPr>
        <w:pStyle w:val="FootnoteText"/>
        <w:rPr>
          <w:rFonts w:asciiTheme="minorHAnsi" w:hAnsiTheme="minorHAnsi" w:cstheme="minorHAnsi"/>
          <w:sz w:val="18"/>
          <w:szCs w:val="18"/>
          <w:lang w:val="en-AU"/>
        </w:rPr>
      </w:pPr>
      <w:r w:rsidRPr="00BD7261">
        <w:rPr>
          <w:rStyle w:val="FootnoteReference"/>
          <w:rFonts w:asciiTheme="minorHAnsi" w:hAnsiTheme="minorHAnsi" w:cstheme="minorHAnsi"/>
          <w:sz w:val="18"/>
          <w:szCs w:val="18"/>
        </w:rPr>
        <w:footnoteRef/>
      </w:r>
      <w:r w:rsidRPr="00BD7261">
        <w:rPr>
          <w:rFonts w:asciiTheme="minorHAnsi" w:hAnsiTheme="minorHAnsi" w:cstheme="minorHAnsi"/>
          <w:sz w:val="18"/>
          <w:szCs w:val="18"/>
        </w:rPr>
        <w:t xml:space="preserve"> </w:t>
      </w:r>
      <w:r w:rsidRPr="00FE7EE4">
        <w:rPr>
          <w:rFonts w:asciiTheme="minorHAnsi" w:hAnsiTheme="minorHAnsi" w:cstheme="minorHAnsi"/>
          <w:sz w:val="18"/>
          <w:szCs w:val="18"/>
          <w:lang w:val="en-AU"/>
        </w:rPr>
        <w:t>PDF</w:t>
      </w:r>
      <w:r w:rsidR="006306B2">
        <w:rPr>
          <w:rFonts w:asciiTheme="minorHAnsi" w:hAnsiTheme="minorHAnsi" w:cstheme="minorHAnsi"/>
          <w:sz w:val="18"/>
          <w:szCs w:val="18"/>
          <w:lang w:val="en-AU"/>
        </w:rPr>
        <w:t xml:space="preserve">. Own </w:t>
      </w:r>
      <w:r w:rsidRPr="00FE7EE4">
        <w:rPr>
          <w:rFonts w:asciiTheme="minorHAnsi" w:hAnsiTheme="minorHAnsi" w:cstheme="minorHAnsi"/>
          <w:sz w:val="18"/>
          <w:szCs w:val="18"/>
          <w:lang w:val="en-AU"/>
        </w:rPr>
        <w:t>monitoring</w:t>
      </w:r>
      <w:r w:rsidR="006306B2">
        <w:rPr>
          <w:rFonts w:asciiTheme="minorHAnsi" w:hAnsiTheme="minorHAnsi" w:cstheme="minorHAnsi"/>
          <w:sz w:val="18"/>
          <w:szCs w:val="18"/>
          <w:lang w:val="en-AU"/>
        </w:rPr>
        <w:t>.</w:t>
      </w:r>
      <w:r w:rsidR="005A513F">
        <w:rPr>
          <w:rFonts w:asciiTheme="minorHAnsi" w:hAnsiTheme="minorHAnsi" w:cstheme="minorHAnsi"/>
          <w:sz w:val="18"/>
          <w:szCs w:val="18"/>
          <w:lang w:val="en-AU"/>
        </w:rPr>
        <w:t xml:space="preserve"> November 2022</w:t>
      </w:r>
    </w:p>
  </w:footnote>
  <w:footnote w:id="22">
    <w:p w14:paraId="42C16321" w14:textId="4ABCF492" w:rsidR="009354BE" w:rsidRPr="00FE7EE4" w:rsidRDefault="009354BE" w:rsidP="009354BE">
      <w:pPr>
        <w:pStyle w:val="FootnoteText"/>
        <w:rPr>
          <w:rFonts w:asciiTheme="minorHAnsi" w:hAnsiTheme="minorHAnsi" w:cstheme="minorHAnsi"/>
          <w:sz w:val="18"/>
          <w:szCs w:val="18"/>
          <w:lang w:val="en-AU"/>
        </w:rPr>
      </w:pPr>
      <w:r w:rsidRPr="00FE7EE4">
        <w:rPr>
          <w:rStyle w:val="FootnoteReference"/>
          <w:rFonts w:asciiTheme="minorHAnsi" w:hAnsiTheme="minorHAnsi" w:cstheme="minorHAnsi"/>
          <w:sz w:val="18"/>
          <w:szCs w:val="18"/>
        </w:rPr>
        <w:footnoteRef/>
      </w:r>
      <w:r w:rsidRPr="00FE7EE4">
        <w:rPr>
          <w:rFonts w:asciiTheme="minorHAnsi" w:hAnsiTheme="minorHAnsi" w:cstheme="minorHAnsi"/>
          <w:sz w:val="18"/>
          <w:szCs w:val="18"/>
        </w:rPr>
        <w:t xml:space="preserve"> </w:t>
      </w:r>
      <w:r w:rsidR="006306B2">
        <w:rPr>
          <w:rFonts w:asciiTheme="minorHAnsi" w:hAnsiTheme="minorHAnsi" w:cstheme="minorHAnsi"/>
          <w:sz w:val="18"/>
          <w:szCs w:val="18"/>
        </w:rPr>
        <w:t xml:space="preserve">Washington Group on Disability Statistics. Washington Group Short Set on Functioning (WGSS). </w:t>
      </w:r>
      <w:hyperlink r:id="rId17" w:history="1">
        <w:r w:rsidR="006306B2" w:rsidRPr="00694FE3">
          <w:rPr>
            <w:rStyle w:val="Hyperlink"/>
            <w:rFonts w:asciiTheme="minorHAnsi" w:hAnsiTheme="minorHAnsi" w:cstheme="minorHAnsi"/>
            <w:sz w:val="18"/>
            <w:szCs w:val="18"/>
          </w:rPr>
          <w:t>https://www.washingtongroup-disability.com/question-sets/wg-short-set-on-functioning-wg-ss/</w:t>
        </w:r>
      </w:hyperlink>
    </w:p>
  </w:footnote>
  <w:footnote w:id="23">
    <w:p w14:paraId="192C1031" w14:textId="5A5D6DC3" w:rsidR="009354BE" w:rsidRPr="00BD7261" w:rsidRDefault="009354BE">
      <w:pPr>
        <w:pStyle w:val="FootnoteText"/>
        <w:rPr>
          <w:rFonts w:asciiTheme="minorHAnsi" w:hAnsiTheme="minorHAnsi" w:cstheme="minorHAnsi"/>
          <w:sz w:val="18"/>
          <w:szCs w:val="18"/>
          <w:lang w:val="en-AU"/>
        </w:rPr>
      </w:pPr>
      <w:r w:rsidRPr="00BD7261">
        <w:rPr>
          <w:rStyle w:val="FootnoteReference"/>
          <w:rFonts w:asciiTheme="minorHAnsi" w:hAnsiTheme="minorHAnsi" w:cstheme="minorHAnsi"/>
          <w:sz w:val="18"/>
          <w:szCs w:val="18"/>
        </w:rPr>
        <w:footnoteRef/>
      </w:r>
      <w:r w:rsidRPr="00BD7261">
        <w:rPr>
          <w:rFonts w:asciiTheme="minorHAnsi" w:hAnsiTheme="minorHAnsi" w:cstheme="minorHAnsi"/>
          <w:sz w:val="18"/>
          <w:szCs w:val="18"/>
        </w:rPr>
        <w:t xml:space="preserve"> </w:t>
      </w:r>
      <w:r w:rsidR="006306B2">
        <w:rPr>
          <w:rFonts w:asciiTheme="minorHAnsi" w:hAnsiTheme="minorHAnsi" w:cstheme="minorHAnsi"/>
          <w:sz w:val="18"/>
          <w:szCs w:val="18"/>
        </w:rPr>
        <w:t xml:space="preserve">Multiple. 2017. </w:t>
      </w:r>
      <w:r w:rsidR="006306B2" w:rsidRPr="006306B2">
        <w:rPr>
          <w:rFonts w:asciiTheme="minorHAnsi" w:hAnsiTheme="minorHAnsi" w:cstheme="minorHAnsi"/>
          <w:sz w:val="18"/>
          <w:szCs w:val="18"/>
        </w:rPr>
        <w:t>Joint Statement by the Disability Sector: Disability Data Disaggregation</w:t>
      </w:r>
      <w:r w:rsidR="006306B2">
        <w:rPr>
          <w:rFonts w:asciiTheme="minorHAnsi" w:hAnsiTheme="minorHAnsi" w:cstheme="minorHAnsi"/>
          <w:sz w:val="18"/>
          <w:szCs w:val="18"/>
        </w:rPr>
        <w:t xml:space="preserve">. </w:t>
      </w:r>
      <w:r w:rsidR="006306B2" w:rsidRPr="006306B2">
        <w:rPr>
          <w:rFonts w:asciiTheme="minorHAnsi" w:hAnsiTheme="minorHAnsi" w:cstheme="minorHAnsi"/>
          <w:sz w:val="18"/>
          <w:szCs w:val="18"/>
        </w:rPr>
        <w:t>Fifth meeting of the IAEG-SDG’s, Ottawa, March 2017</w:t>
      </w:r>
      <w:r w:rsidR="006306B2">
        <w:rPr>
          <w:rFonts w:asciiTheme="minorHAnsi" w:hAnsiTheme="minorHAnsi" w:cstheme="minorHAnsi"/>
          <w:sz w:val="18"/>
          <w:szCs w:val="18"/>
        </w:rPr>
        <w:t xml:space="preserve">. </w:t>
      </w:r>
      <w:hyperlink r:id="rId18" w:history="1">
        <w:r w:rsidR="006306B2" w:rsidRPr="00694FE3">
          <w:rPr>
            <w:rStyle w:val="Hyperlink"/>
            <w:rFonts w:asciiTheme="minorHAnsi" w:hAnsiTheme="minorHAnsi" w:cstheme="minorHAnsi"/>
            <w:sz w:val="18"/>
            <w:szCs w:val="18"/>
          </w:rPr>
          <w:t>https://www.internationaldisabilityalliance.org/data-joint-statement-march2017</w:t>
        </w:r>
      </w:hyperlink>
      <w:r w:rsidR="006306B2">
        <w:rPr>
          <w:rFonts w:asciiTheme="minorHAnsi" w:hAnsiTheme="minorHAnsi" w:cstheme="minorHAnsi"/>
          <w:sz w:val="18"/>
          <w:szCs w:val="18"/>
        </w:rPr>
        <w:t xml:space="preserve"> </w:t>
      </w:r>
      <w:r w:rsidR="006306B2" w:rsidRPr="006306B2" w:rsidDel="006306B2">
        <w:rPr>
          <w:rFonts w:asciiTheme="minorHAnsi" w:hAnsiTheme="minorHAnsi" w:cstheme="minorHAnsi"/>
          <w:sz w:val="18"/>
          <w:szCs w:val="18"/>
        </w:rPr>
        <w:t xml:space="preserve"> </w:t>
      </w:r>
    </w:p>
  </w:footnote>
  <w:footnote w:id="24">
    <w:p w14:paraId="62F35127" w14:textId="24D3A3A4" w:rsidR="00CA2151" w:rsidRPr="00FE7EE4" w:rsidRDefault="00CA2151">
      <w:pPr>
        <w:pStyle w:val="FootnoteText"/>
        <w:rPr>
          <w:rFonts w:asciiTheme="minorHAnsi" w:hAnsiTheme="minorHAnsi" w:cstheme="minorHAnsi"/>
          <w:sz w:val="18"/>
          <w:szCs w:val="18"/>
          <w:lang w:val="en-AU"/>
        </w:rPr>
      </w:pPr>
      <w:r w:rsidRPr="00FE7EE4">
        <w:rPr>
          <w:rStyle w:val="FootnoteReference"/>
          <w:rFonts w:asciiTheme="minorHAnsi" w:hAnsiTheme="minorHAnsi" w:cstheme="minorHAnsi"/>
          <w:sz w:val="18"/>
          <w:szCs w:val="18"/>
        </w:rPr>
        <w:footnoteRef/>
      </w:r>
      <w:r w:rsidRPr="00FE7EE4">
        <w:rPr>
          <w:rFonts w:asciiTheme="minorHAnsi" w:hAnsiTheme="minorHAnsi" w:cstheme="minorHAnsi"/>
          <w:sz w:val="18"/>
          <w:szCs w:val="18"/>
        </w:rPr>
        <w:t xml:space="preserve"> </w:t>
      </w:r>
      <w:r w:rsidR="006306B2">
        <w:rPr>
          <w:rFonts w:asciiTheme="minorHAnsi" w:hAnsiTheme="minorHAnsi" w:cstheme="minorHAnsi"/>
          <w:sz w:val="18"/>
          <w:szCs w:val="18"/>
        </w:rPr>
        <w:t xml:space="preserve">Washington Group on Disability Statistics. Pacific Group on Disability Statistics. </w:t>
      </w:r>
      <w:hyperlink r:id="rId19" w:history="1">
        <w:r w:rsidR="006306B2" w:rsidRPr="00694FE3">
          <w:rPr>
            <w:rStyle w:val="Hyperlink"/>
            <w:rFonts w:asciiTheme="minorHAnsi" w:hAnsiTheme="minorHAnsi" w:cstheme="minorHAnsi"/>
            <w:sz w:val="18"/>
            <w:szCs w:val="18"/>
          </w:rPr>
          <w:t>https://www.washingtongroup-disability.com/pacific-group-on-disability-statistics-pgds/</w:t>
        </w:r>
      </w:hyperlink>
      <w:r w:rsidR="006306B2">
        <w:rPr>
          <w:rFonts w:asciiTheme="minorHAnsi" w:hAnsiTheme="minorHAnsi" w:cstheme="minorHAnsi"/>
          <w:sz w:val="18"/>
          <w:szCs w:val="18"/>
        </w:rPr>
        <w:t xml:space="preserve"> </w:t>
      </w:r>
    </w:p>
  </w:footnote>
  <w:footnote w:id="25">
    <w:p w14:paraId="17F60736" w14:textId="7BB64AE7" w:rsidR="00A33087" w:rsidRPr="00BD7261" w:rsidRDefault="00A33087">
      <w:pPr>
        <w:pStyle w:val="FootnoteText"/>
        <w:rPr>
          <w:rFonts w:asciiTheme="minorHAnsi" w:hAnsiTheme="minorHAnsi" w:cstheme="minorHAnsi"/>
          <w:sz w:val="18"/>
          <w:szCs w:val="18"/>
          <w:lang w:val="en-AU"/>
        </w:rPr>
      </w:pPr>
      <w:r w:rsidRPr="00FE7EE4">
        <w:rPr>
          <w:rStyle w:val="FootnoteReference"/>
          <w:rFonts w:asciiTheme="minorHAnsi" w:hAnsiTheme="minorHAnsi" w:cstheme="minorHAnsi"/>
          <w:sz w:val="18"/>
          <w:szCs w:val="18"/>
        </w:rPr>
        <w:footnoteRef/>
      </w:r>
      <w:r w:rsidRPr="00FE7EE4">
        <w:rPr>
          <w:rFonts w:asciiTheme="minorHAnsi" w:hAnsiTheme="minorHAnsi" w:cstheme="minorHAnsi"/>
          <w:sz w:val="18"/>
          <w:szCs w:val="18"/>
        </w:rPr>
        <w:t xml:space="preserve"> </w:t>
      </w:r>
      <w:r w:rsidR="006306B2" w:rsidRPr="006306B2">
        <w:rPr>
          <w:rFonts w:asciiTheme="minorHAnsi" w:hAnsiTheme="minorHAnsi" w:cstheme="minorHAnsi"/>
          <w:sz w:val="18"/>
          <w:szCs w:val="18"/>
        </w:rPr>
        <w:t>Robinson A</w:t>
      </w:r>
      <w:r w:rsidR="006306B2">
        <w:rPr>
          <w:rFonts w:asciiTheme="minorHAnsi" w:hAnsiTheme="minorHAnsi" w:cstheme="minorHAnsi"/>
          <w:sz w:val="18"/>
          <w:szCs w:val="18"/>
        </w:rPr>
        <w:t xml:space="preserve">, </w:t>
      </w:r>
      <w:r w:rsidR="006306B2" w:rsidRPr="006306B2">
        <w:rPr>
          <w:rFonts w:asciiTheme="minorHAnsi" w:hAnsiTheme="minorHAnsi" w:cstheme="minorHAnsi"/>
          <w:sz w:val="18"/>
          <w:szCs w:val="18"/>
        </w:rPr>
        <w:t>Nguyen L</w:t>
      </w:r>
      <w:r w:rsidR="006306B2">
        <w:rPr>
          <w:rFonts w:asciiTheme="minorHAnsi" w:hAnsiTheme="minorHAnsi" w:cstheme="minorHAnsi"/>
          <w:sz w:val="18"/>
          <w:szCs w:val="18"/>
        </w:rPr>
        <w:t>,</w:t>
      </w:r>
      <w:r w:rsidR="006306B2" w:rsidRPr="006306B2">
        <w:rPr>
          <w:rFonts w:asciiTheme="minorHAnsi" w:hAnsiTheme="minorHAnsi" w:cstheme="minorHAnsi"/>
          <w:sz w:val="18"/>
          <w:szCs w:val="18"/>
        </w:rPr>
        <w:t xml:space="preserve"> Smith F. </w:t>
      </w:r>
      <w:r w:rsidR="006306B2">
        <w:rPr>
          <w:rFonts w:asciiTheme="minorHAnsi" w:hAnsiTheme="minorHAnsi" w:cstheme="minorHAnsi"/>
          <w:sz w:val="18"/>
          <w:szCs w:val="18"/>
        </w:rPr>
        <w:t xml:space="preserve">2021. </w:t>
      </w:r>
      <w:r w:rsidR="006306B2" w:rsidRPr="006306B2">
        <w:rPr>
          <w:rFonts w:asciiTheme="minorHAnsi" w:hAnsiTheme="minorHAnsi" w:cstheme="minorHAnsi"/>
          <w:sz w:val="18"/>
          <w:szCs w:val="18"/>
        </w:rPr>
        <w:t>Use of the Washington Group Questions in Non-Government Programming. Int. J. Environ. Res. Public Health 18</w:t>
      </w:r>
      <w:r w:rsidR="006306B2">
        <w:rPr>
          <w:rFonts w:asciiTheme="minorHAnsi" w:hAnsiTheme="minorHAnsi" w:cstheme="minorHAnsi"/>
          <w:sz w:val="18"/>
          <w:szCs w:val="18"/>
        </w:rPr>
        <w:t xml:space="preserve">. </w:t>
      </w:r>
      <w:hyperlink r:id="rId20" w:history="1">
        <w:r w:rsidR="006306B2" w:rsidRPr="00694FE3">
          <w:rPr>
            <w:rStyle w:val="Hyperlink"/>
            <w:rFonts w:asciiTheme="minorHAnsi" w:hAnsiTheme="minorHAnsi" w:cstheme="minorHAnsi"/>
            <w:sz w:val="18"/>
            <w:szCs w:val="18"/>
          </w:rPr>
          <w:t>https://pubmed.ncbi.nlm.nih.gov/34769661/</w:t>
        </w:r>
      </w:hyperlink>
      <w:r w:rsidR="006306B2">
        <w:rPr>
          <w:rFonts w:asciiTheme="minorHAnsi" w:hAnsiTheme="minorHAnsi" w:cstheme="minorHAnsi"/>
          <w:sz w:val="18"/>
          <w:szCs w:val="18"/>
        </w:rPr>
        <w:t xml:space="preserve"> </w:t>
      </w:r>
      <w:r w:rsidR="006306B2" w:rsidRPr="006306B2" w:rsidDel="006306B2">
        <w:rPr>
          <w:rFonts w:asciiTheme="minorHAnsi" w:hAnsiTheme="minorHAnsi" w:cstheme="minorHAnsi"/>
          <w:sz w:val="18"/>
          <w:szCs w:val="18"/>
        </w:rPr>
        <w:t xml:space="preserve"> </w:t>
      </w:r>
      <w:r w:rsidR="006306B2">
        <w:rPr>
          <w:rFonts w:asciiTheme="minorHAnsi" w:hAnsiTheme="minorHAnsi" w:cstheme="minorHAnsi"/>
          <w:sz w:val="18"/>
          <w:szCs w:val="18"/>
        </w:rPr>
        <w:t xml:space="preserve"> </w:t>
      </w:r>
    </w:p>
  </w:footnote>
  <w:footnote w:id="26">
    <w:p w14:paraId="1884EF64" w14:textId="4C425647" w:rsidR="002D1057" w:rsidRPr="00FE7EE4" w:rsidRDefault="002D1057">
      <w:pPr>
        <w:pStyle w:val="FootnoteText"/>
        <w:rPr>
          <w:rFonts w:asciiTheme="minorHAnsi" w:hAnsiTheme="minorHAnsi" w:cstheme="minorHAnsi"/>
          <w:sz w:val="18"/>
          <w:szCs w:val="18"/>
          <w:lang w:val="en-AU"/>
        </w:rPr>
      </w:pPr>
      <w:r w:rsidRPr="00FE7EE4">
        <w:rPr>
          <w:rStyle w:val="FootnoteReference"/>
          <w:rFonts w:asciiTheme="minorHAnsi" w:hAnsiTheme="minorHAnsi" w:cstheme="minorHAnsi"/>
          <w:sz w:val="18"/>
          <w:szCs w:val="18"/>
        </w:rPr>
        <w:footnoteRef/>
      </w:r>
      <w:r w:rsidRPr="00FE7EE4">
        <w:rPr>
          <w:rFonts w:asciiTheme="minorHAnsi" w:hAnsiTheme="minorHAnsi" w:cstheme="minorHAnsi"/>
          <w:sz w:val="18"/>
          <w:szCs w:val="18"/>
        </w:rPr>
        <w:t xml:space="preserve"> </w:t>
      </w:r>
      <w:r w:rsidR="001357EA">
        <w:rPr>
          <w:rFonts w:asciiTheme="minorHAnsi" w:hAnsiTheme="minorHAnsi" w:cstheme="minorHAnsi"/>
          <w:sz w:val="18"/>
          <w:szCs w:val="18"/>
        </w:rPr>
        <w:t>DFAT. 2021. Gender Equality and Social Inclusion in the Australian Government NGO Cooperation Program (ANCP) 2019-2020.</w:t>
      </w:r>
      <w:r w:rsidRPr="00FE7EE4">
        <w:rPr>
          <w:rFonts w:asciiTheme="minorHAnsi" w:hAnsiTheme="minorHAnsi" w:cstheme="minorHAnsi"/>
          <w:sz w:val="18"/>
          <w:szCs w:val="18"/>
        </w:rPr>
        <w:t xml:space="preserve"> </w:t>
      </w:r>
      <w:hyperlink r:id="rId21" w:history="1">
        <w:r w:rsidRPr="00FE7EE4">
          <w:rPr>
            <w:rStyle w:val="Hyperlink"/>
            <w:rFonts w:asciiTheme="minorHAnsi" w:hAnsiTheme="minorHAnsi" w:cstheme="minorHAnsi"/>
            <w:sz w:val="18"/>
            <w:szCs w:val="18"/>
          </w:rPr>
          <w:t>https://www.dfat.gov.au/sites/default/files/gender-equality-and-social-inclusion-in-the-ancp-2019-20.pdf</w:t>
        </w:r>
      </w:hyperlink>
      <w:r w:rsidRPr="00FE7EE4">
        <w:rPr>
          <w:rFonts w:asciiTheme="minorHAnsi" w:hAnsiTheme="minorHAnsi" w:cstheme="minorHAnsi"/>
          <w:sz w:val="18"/>
          <w:szCs w:val="18"/>
        </w:rPr>
        <w:t xml:space="preserve"> </w:t>
      </w:r>
    </w:p>
  </w:footnote>
  <w:footnote w:id="27">
    <w:p w14:paraId="6E75CD00" w14:textId="39B765F3" w:rsidR="00780403" w:rsidRPr="003542F7" w:rsidRDefault="00780403" w:rsidP="001357EA">
      <w:pPr>
        <w:pStyle w:val="FootnoteText"/>
        <w:rPr>
          <w:rFonts w:asciiTheme="minorHAnsi" w:hAnsiTheme="minorHAnsi" w:cstheme="minorHAnsi"/>
          <w:sz w:val="18"/>
          <w:szCs w:val="18"/>
          <w:lang w:val="en-AU"/>
        </w:rPr>
      </w:pPr>
      <w:r w:rsidRPr="00FE7EE4">
        <w:rPr>
          <w:rStyle w:val="FootnoteReference"/>
          <w:rFonts w:asciiTheme="minorHAnsi" w:hAnsiTheme="minorHAnsi" w:cstheme="minorHAnsi"/>
          <w:sz w:val="18"/>
          <w:szCs w:val="18"/>
        </w:rPr>
        <w:footnoteRef/>
      </w:r>
      <w:r w:rsidRPr="00FE7EE4">
        <w:rPr>
          <w:rFonts w:asciiTheme="minorHAnsi" w:hAnsiTheme="minorHAnsi" w:cstheme="minorHAnsi"/>
          <w:sz w:val="18"/>
          <w:szCs w:val="18"/>
        </w:rPr>
        <w:t xml:space="preserve"> </w:t>
      </w:r>
      <w:r w:rsidRPr="00FE7EE4">
        <w:rPr>
          <w:rFonts w:asciiTheme="minorHAnsi" w:hAnsiTheme="minorHAnsi" w:cstheme="minorHAnsi"/>
          <w:sz w:val="18"/>
          <w:szCs w:val="18"/>
          <w:lang w:val="en-AU"/>
        </w:rPr>
        <w:t>ADDC</w:t>
      </w:r>
      <w:r w:rsidR="001357EA">
        <w:rPr>
          <w:rFonts w:asciiTheme="minorHAnsi" w:hAnsiTheme="minorHAnsi" w:cstheme="minorHAnsi"/>
          <w:sz w:val="18"/>
          <w:szCs w:val="18"/>
          <w:lang w:val="en-AU"/>
        </w:rPr>
        <w:t xml:space="preserve">. 2020. A Systematic Approach to GEDSI. Discussion Paper and Recommendations to DFAT. </w:t>
      </w:r>
      <w:hyperlink r:id="rId22" w:history="1">
        <w:r w:rsidR="001357EA" w:rsidRPr="001357EA">
          <w:rPr>
            <w:rStyle w:val="Hyperlink"/>
            <w:rFonts w:asciiTheme="minorHAnsi" w:hAnsiTheme="minorHAnsi" w:cstheme="minorHAnsi"/>
            <w:sz w:val="18"/>
            <w:szCs w:val="18"/>
            <w:lang w:val="en-AU"/>
          </w:rPr>
          <w:t>https://www.addc.org.au/wp-content/uploads/2021/04/GEDSI-Core-Principles-Post-consultation-Version.pdf</w:t>
        </w:r>
      </w:hyperlink>
      <w:r w:rsidR="001357EA">
        <w:rPr>
          <w:rFonts w:asciiTheme="minorHAnsi" w:hAnsiTheme="minorHAnsi" w:cstheme="minorHAnsi"/>
          <w:sz w:val="18"/>
          <w:szCs w:val="18"/>
          <w:lang w:val="en-AU"/>
        </w:rPr>
        <w:t xml:space="preserve"> </w:t>
      </w:r>
    </w:p>
  </w:footnote>
  <w:footnote w:id="28">
    <w:p w14:paraId="46C02E72" w14:textId="11F04F79" w:rsidR="003542F7" w:rsidRPr="003542F7" w:rsidRDefault="003542F7">
      <w:pPr>
        <w:pStyle w:val="FootnoteText"/>
        <w:rPr>
          <w:lang w:val="en-AU"/>
        </w:rPr>
      </w:pPr>
      <w:r w:rsidRPr="003542F7">
        <w:rPr>
          <w:rStyle w:val="FootnoteReference"/>
          <w:rFonts w:asciiTheme="minorHAnsi" w:hAnsiTheme="minorHAnsi" w:cstheme="minorHAnsi"/>
          <w:sz w:val="18"/>
          <w:szCs w:val="18"/>
        </w:rPr>
        <w:footnoteRef/>
      </w:r>
      <w:r w:rsidRPr="003542F7">
        <w:rPr>
          <w:rFonts w:asciiTheme="minorHAnsi" w:hAnsiTheme="minorHAnsi" w:cstheme="minorHAnsi"/>
          <w:sz w:val="18"/>
          <w:szCs w:val="18"/>
        </w:rPr>
        <w:t xml:space="preserve"> </w:t>
      </w:r>
      <w:r w:rsidR="001357EA">
        <w:rPr>
          <w:rFonts w:asciiTheme="minorHAnsi" w:hAnsiTheme="minorHAnsi" w:cstheme="minorHAnsi"/>
          <w:sz w:val="18"/>
          <w:szCs w:val="18"/>
          <w:lang w:val="en-AU"/>
        </w:rPr>
        <w:t>Stewart F</w:t>
      </w:r>
      <w:r w:rsidRPr="003542F7">
        <w:rPr>
          <w:rFonts w:asciiTheme="minorHAnsi" w:hAnsiTheme="minorHAnsi" w:cstheme="minorHAnsi"/>
          <w:sz w:val="18"/>
          <w:szCs w:val="18"/>
          <w:lang w:val="en-AU"/>
        </w:rPr>
        <w:t>.</w:t>
      </w:r>
      <w:r w:rsidR="001357EA">
        <w:rPr>
          <w:rFonts w:asciiTheme="minorHAnsi" w:hAnsiTheme="minorHAnsi" w:cstheme="minorHAnsi"/>
          <w:sz w:val="18"/>
          <w:szCs w:val="18"/>
          <w:lang w:val="en-AU"/>
        </w:rPr>
        <w:t xml:space="preserve"> 2016. The Dynamics of Horizonal Inequalities. </w:t>
      </w:r>
      <w:r w:rsidR="001357EA" w:rsidRPr="001357EA">
        <w:rPr>
          <w:rFonts w:asciiTheme="minorHAnsi" w:hAnsiTheme="minorHAnsi" w:cstheme="minorHAnsi"/>
          <w:sz w:val="18"/>
          <w:szCs w:val="18"/>
          <w:lang w:val="en-AU"/>
        </w:rPr>
        <w:t>UNDP Human Development Report</w:t>
      </w:r>
      <w:r w:rsidR="001357EA">
        <w:rPr>
          <w:rFonts w:asciiTheme="minorHAnsi" w:hAnsiTheme="minorHAnsi" w:cstheme="minorHAnsi"/>
          <w:sz w:val="18"/>
          <w:szCs w:val="18"/>
          <w:lang w:val="en-AU"/>
        </w:rPr>
        <w:t xml:space="preserve">. </w:t>
      </w:r>
      <w:hyperlink r:id="rId23" w:history="1">
        <w:r w:rsidR="001357EA" w:rsidRPr="00694FE3">
          <w:rPr>
            <w:rStyle w:val="Hyperlink"/>
            <w:rFonts w:asciiTheme="minorHAnsi" w:hAnsiTheme="minorHAnsi" w:cstheme="minorHAnsi"/>
            <w:sz w:val="18"/>
            <w:szCs w:val="18"/>
            <w:lang w:val="en-AU"/>
          </w:rPr>
          <w:t>https://hdr.undp.org/content/dynamics-horizontal-inequalities</w:t>
        </w:r>
      </w:hyperlink>
      <w:r w:rsidR="001357EA">
        <w:rPr>
          <w:rFonts w:asciiTheme="minorHAnsi" w:hAnsiTheme="minorHAnsi" w:cstheme="minorHAnsi"/>
          <w:sz w:val="18"/>
          <w:szCs w:val="18"/>
          <w:lang w:val="en-AU"/>
        </w:rPr>
        <w:t xml:space="preserve"> </w:t>
      </w:r>
    </w:p>
  </w:footnote>
  <w:footnote w:id="29">
    <w:p w14:paraId="1785C9FE" w14:textId="28793BDB" w:rsidR="00BA1D70" w:rsidRPr="00DB32C7" w:rsidRDefault="00BA1D70">
      <w:pPr>
        <w:pStyle w:val="FootnoteText"/>
        <w:rPr>
          <w:rFonts w:asciiTheme="minorHAnsi" w:hAnsiTheme="minorHAnsi" w:cstheme="minorHAnsi"/>
          <w:sz w:val="18"/>
          <w:szCs w:val="18"/>
          <w:lang w:val="en-AU"/>
        </w:rPr>
      </w:pPr>
      <w:r w:rsidRPr="00DB32C7">
        <w:rPr>
          <w:rStyle w:val="FootnoteReference"/>
          <w:rFonts w:asciiTheme="minorHAnsi" w:hAnsiTheme="minorHAnsi" w:cstheme="minorHAnsi"/>
          <w:sz w:val="18"/>
          <w:szCs w:val="18"/>
        </w:rPr>
        <w:footnoteRef/>
      </w:r>
      <w:r w:rsidRPr="00DB32C7">
        <w:rPr>
          <w:rFonts w:asciiTheme="minorHAnsi" w:hAnsiTheme="minorHAnsi" w:cstheme="minorHAnsi"/>
          <w:sz w:val="18"/>
          <w:szCs w:val="18"/>
        </w:rPr>
        <w:t xml:space="preserve"> </w:t>
      </w:r>
      <w:r w:rsidRPr="00DB32C7">
        <w:rPr>
          <w:rFonts w:asciiTheme="minorHAnsi" w:hAnsiTheme="minorHAnsi" w:cstheme="minorHAnsi"/>
          <w:sz w:val="18"/>
          <w:szCs w:val="18"/>
          <w:lang w:val="en-AU"/>
        </w:rPr>
        <w:t xml:space="preserve">UNFPA. 2022. </w:t>
      </w:r>
      <w:r w:rsidR="001357EA" w:rsidRPr="001357EA">
        <w:rPr>
          <w:rFonts w:asciiTheme="minorHAnsi" w:hAnsiTheme="minorHAnsi" w:cstheme="minorHAnsi"/>
          <w:sz w:val="18"/>
          <w:szCs w:val="18"/>
          <w:lang w:val="en-AU"/>
        </w:rPr>
        <w:t xml:space="preserve">Women and </w:t>
      </w:r>
      <w:r w:rsidR="001357EA">
        <w:rPr>
          <w:rFonts w:asciiTheme="minorHAnsi" w:hAnsiTheme="minorHAnsi" w:cstheme="minorHAnsi"/>
          <w:sz w:val="18"/>
          <w:szCs w:val="18"/>
          <w:lang w:val="en-AU"/>
        </w:rPr>
        <w:t>Y</w:t>
      </w:r>
      <w:r w:rsidR="001357EA" w:rsidRPr="001357EA">
        <w:rPr>
          <w:rFonts w:asciiTheme="minorHAnsi" w:hAnsiTheme="minorHAnsi" w:cstheme="minorHAnsi"/>
          <w:sz w:val="18"/>
          <w:szCs w:val="18"/>
          <w:lang w:val="en-AU"/>
        </w:rPr>
        <w:t xml:space="preserve">oung </w:t>
      </w:r>
      <w:r w:rsidR="001357EA">
        <w:rPr>
          <w:rFonts w:asciiTheme="minorHAnsi" w:hAnsiTheme="minorHAnsi" w:cstheme="minorHAnsi"/>
          <w:sz w:val="18"/>
          <w:szCs w:val="18"/>
          <w:lang w:val="en-AU"/>
        </w:rPr>
        <w:t>P</w:t>
      </w:r>
      <w:r w:rsidR="001357EA" w:rsidRPr="001357EA">
        <w:rPr>
          <w:rFonts w:asciiTheme="minorHAnsi" w:hAnsiTheme="minorHAnsi" w:cstheme="minorHAnsi"/>
          <w:sz w:val="18"/>
          <w:szCs w:val="18"/>
          <w:lang w:val="en-AU"/>
        </w:rPr>
        <w:t xml:space="preserve">eople with </w:t>
      </w:r>
      <w:r w:rsidR="001357EA">
        <w:rPr>
          <w:rFonts w:asciiTheme="minorHAnsi" w:hAnsiTheme="minorHAnsi" w:cstheme="minorHAnsi"/>
          <w:sz w:val="18"/>
          <w:szCs w:val="18"/>
          <w:lang w:val="en-AU"/>
        </w:rPr>
        <w:t>D</w:t>
      </w:r>
      <w:r w:rsidR="001357EA" w:rsidRPr="001357EA">
        <w:rPr>
          <w:rFonts w:asciiTheme="minorHAnsi" w:hAnsiTheme="minorHAnsi" w:cstheme="minorHAnsi"/>
          <w:sz w:val="18"/>
          <w:szCs w:val="18"/>
          <w:lang w:val="en-AU"/>
        </w:rPr>
        <w:t xml:space="preserve">isabilities: A </w:t>
      </w:r>
      <w:r w:rsidR="001357EA">
        <w:rPr>
          <w:rFonts w:asciiTheme="minorHAnsi" w:hAnsiTheme="minorHAnsi" w:cstheme="minorHAnsi"/>
          <w:sz w:val="18"/>
          <w:szCs w:val="18"/>
          <w:lang w:val="en-AU"/>
        </w:rPr>
        <w:t>N</w:t>
      </w:r>
      <w:r w:rsidR="001357EA" w:rsidRPr="001357EA">
        <w:rPr>
          <w:rFonts w:asciiTheme="minorHAnsi" w:hAnsiTheme="minorHAnsi" w:cstheme="minorHAnsi"/>
          <w:sz w:val="18"/>
          <w:szCs w:val="18"/>
          <w:lang w:val="en-AU"/>
        </w:rPr>
        <w:t xml:space="preserve">eeds </w:t>
      </w:r>
      <w:r w:rsidR="001357EA">
        <w:rPr>
          <w:rFonts w:asciiTheme="minorHAnsi" w:hAnsiTheme="minorHAnsi" w:cstheme="minorHAnsi"/>
          <w:sz w:val="18"/>
          <w:szCs w:val="18"/>
          <w:lang w:val="en-AU"/>
        </w:rPr>
        <w:t>A</w:t>
      </w:r>
      <w:r w:rsidR="001357EA" w:rsidRPr="001357EA">
        <w:rPr>
          <w:rFonts w:asciiTheme="minorHAnsi" w:hAnsiTheme="minorHAnsi" w:cstheme="minorHAnsi"/>
          <w:sz w:val="18"/>
          <w:szCs w:val="18"/>
          <w:lang w:val="en-AU"/>
        </w:rPr>
        <w:t xml:space="preserve">ssessment of </w:t>
      </w:r>
      <w:r w:rsidR="001357EA">
        <w:rPr>
          <w:rFonts w:asciiTheme="minorHAnsi" w:hAnsiTheme="minorHAnsi" w:cstheme="minorHAnsi"/>
          <w:sz w:val="18"/>
          <w:szCs w:val="18"/>
          <w:lang w:val="en-AU"/>
        </w:rPr>
        <w:t>S</w:t>
      </w:r>
      <w:r w:rsidR="001357EA" w:rsidRPr="001357EA">
        <w:rPr>
          <w:rFonts w:asciiTheme="minorHAnsi" w:hAnsiTheme="minorHAnsi" w:cstheme="minorHAnsi"/>
          <w:sz w:val="18"/>
          <w:szCs w:val="18"/>
          <w:lang w:val="en-AU"/>
        </w:rPr>
        <w:t xml:space="preserve">exual and </w:t>
      </w:r>
      <w:r w:rsidR="001357EA">
        <w:rPr>
          <w:rFonts w:asciiTheme="minorHAnsi" w:hAnsiTheme="minorHAnsi" w:cstheme="minorHAnsi"/>
          <w:sz w:val="18"/>
          <w:szCs w:val="18"/>
          <w:lang w:val="en-AU"/>
        </w:rPr>
        <w:t>R</w:t>
      </w:r>
      <w:r w:rsidR="001357EA" w:rsidRPr="001357EA">
        <w:rPr>
          <w:rFonts w:asciiTheme="minorHAnsi" w:hAnsiTheme="minorHAnsi" w:cstheme="minorHAnsi"/>
          <w:sz w:val="18"/>
          <w:szCs w:val="18"/>
          <w:lang w:val="en-AU"/>
        </w:rPr>
        <w:t xml:space="preserve">eproductive </w:t>
      </w:r>
      <w:r w:rsidR="001357EA">
        <w:rPr>
          <w:rFonts w:asciiTheme="minorHAnsi" w:hAnsiTheme="minorHAnsi" w:cstheme="minorHAnsi"/>
          <w:sz w:val="18"/>
          <w:szCs w:val="18"/>
          <w:lang w:val="en-AU"/>
        </w:rPr>
        <w:t>H</w:t>
      </w:r>
      <w:r w:rsidR="001357EA" w:rsidRPr="001357EA">
        <w:rPr>
          <w:rFonts w:asciiTheme="minorHAnsi" w:hAnsiTheme="minorHAnsi" w:cstheme="minorHAnsi"/>
          <w:sz w:val="18"/>
          <w:szCs w:val="18"/>
          <w:lang w:val="en-AU"/>
        </w:rPr>
        <w:t xml:space="preserve">ealth and </w:t>
      </w:r>
      <w:r w:rsidR="001357EA">
        <w:rPr>
          <w:rFonts w:asciiTheme="minorHAnsi" w:hAnsiTheme="minorHAnsi" w:cstheme="minorHAnsi"/>
          <w:sz w:val="18"/>
          <w:szCs w:val="18"/>
          <w:lang w:val="en-AU"/>
        </w:rPr>
        <w:t>R</w:t>
      </w:r>
      <w:r w:rsidR="001357EA" w:rsidRPr="001357EA">
        <w:rPr>
          <w:rFonts w:asciiTheme="minorHAnsi" w:hAnsiTheme="minorHAnsi" w:cstheme="minorHAnsi"/>
          <w:sz w:val="18"/>
          <w:szCs w:val="18"/>
          <w:lang w:val="en-AU"/>
        </w:rPr>
        <w:t xml:space="preserve">ights, </w:t>
      </w:r>
      <w:r w:rsidR="001357EA">
        <w:rPr>
          <w:rFonts w:asciiTheme="minorHAnsi" w:hAnsiTheme="minorHAnsi" w:cstheme="minorHAnsi"/>
          <w:sz w:val="18"/>
          <w:szCs w:val="18"/>
          <w:lang w:val="en-AU"/>
        </w:rPr>
        <w:t>G</w:t>
      </w:r>
      <w:r w:rsidR="001357EA" w:rsidRPr="001357EA">
        <w:rPr>
          <w:rFonts w:asciiTheme="minorHAnsi" w:hAnsiTheme="minorHAnsi" w:cstheme="minorHAnsi"/>
          <w:sz w:val="18"/>
          <w:szCs w:val="18"/>
          <w:lang w:val="en-AU"/>
        </w:rPr>
        <w:t xml:space="preserve">ender-based </w:t>
      </w:r>
      <w:r w:rsidR="001357EA">
        <w:rPr>
          <w:rFonts w:asciiTheme="minorHAnsi" w:hAnsiTheme="minorHAnsi" w:cstheme="minorHAnsi"/>
          <w:sz w:val="18"/>
          <w:szCs w:val="18"/>
          <w:lang w:val="en-AU"/>
        </w:rPr>
        <w:t>V</w:t>
      </w:r>
      <w:r w:rsidR="001357EA" w:rsidRPr="001357EA">
        <w:rPr>
          <w:rFonts w:asciiTheme="minorHAnsi" w:hAnsiTheme="minorHAnsi" w:cstheme="minorHAnsi"/>
          <w:sz w:val="18"/>
          <w:szCs w:val="18"/>
          <w:lang w:val="en-AU"/>
        </w:rPr>
        <w:t xml:space="preserve">iolence, and </w:t>
      </w:r>
      <w:r w:rsidR="001357EA">
        <w:rPr>
          <w:rFonts w:asciiTheme="minorHAnsi" w:hAnsiTheme="minorHAnsi" w:cstheme="minorHAnsi"/>
          <w:sz w:val="18"/>
          <w:szCs w:val="18"/>
          <w:lang w:val="en-AU"/>
        </w:rPr>
        <w:t>A</w:t>
      </w:r>
      <w:r w:rsidR="001357EA" w:rsidRPr="001357EA">
        <w:rPr>
          <w:rFonts w:asciiTheme="minorHAnsi" w:hAnsiTheme="minorHAnsi" w:cstheme="minorHAnsi"/>
          <w:sz w:val="18"/>
          <w:szCs w:val="18"/>
          <w:lang w:val="en-AU"/>
        </w:rPr>
        <w:t xml:space="preserve">ccess to </w:t>
      </w:r>
      <w:r w:rsidR="001357EA">
        <w:rPr>
          <w:rFonts w:asciiTheme="minorHAnsi" w:hAnsiTheme="minorHAnsi" w:cstheme="minorHAnsi"/>
          <w:sz w:val="18"/>
          <w:szCs w:val="18"/>
          <w:lang w:val="en-AU"/>
        </w:rPr>
        <w:t>E</w:t>
      </w:r>
      <w:r w:rsidR="001357EA" w:rsidRPr="001357EA">
        <w:rPr>
          <w:rFonts w:asciiTheme="minorHAnsi" w:hAnsiTheme="minorHAnsi" w:cstheme="minorHAnsi"/>
          <w:sz w:val="18"/>
          <w:szCs w:val="18"/>
          <w:lang w:val="en-AU"/>
        </w:rPr>
        <w:t xml:space="preserve">ssential </w:t>
      </w:r>
      <w:r w:rsidR="001357EA">
        <w:rPr>
          <w:rFonts w:asciiTheme="minorHAnsi" w:hAnsiTheme="minorHAnsi" w:cstheme="minorHAnsi"/>
          <w:sz w:val="18"/>
          <w:szCs w:val="18"/>
          <w:lang w:val="en-AU"/>
        </w:rPr>
        <w:t>S</w:t>
      </w:r>
      <w:r w:rsidR="001357EA" w:rsidRPr="001357EA">
        <w:rPr>
          <w:rFonts w:asciiTheme="minorHAnsi" w:hAnsiTheme="minorHAnsi" w:cstheme="minorHAnsi"/>
          <w:sz w:val="18"/>
          <w:szCs w:val="18"/>
          <w:lang w:val="en-AU"/>
        </w:rPr>
        <w:t xml:space="preserve">ervices </w:t>
      </w:r>
      <w:r w:rsidR="001357EA">
        <w:rPr>
          <w:rFonts w:asciiTheme="minorHAnsi" w:hAnsiTheme="minorHAnsi" w:cstheme="minorHAnsi"/>
          <w:sz w:val="18"/>
          <w:szCs w:val="18"/>
          <w:lang w:val="en-AU"/>
        </w:rPr>
        <w:t>–</w:t>
      </w:r>
      <w:r w:rsidR="001357EA" w:rsidRPr="001357EA">
        <w:rPr>
          <w:rFonts w:asciiTheme="minorHAnsi" w:hAnsiTheme="minorHAnsi" w:cstheme="minorHAnsi"/>
          <w:sz w:val="18"/>
          <w:szCs w:val="18"/>
          <w:lang w:val="en-AU"/>
        </w:rPr>
        <w:t xml:space="preserve"> Fiji</w:t>
      </w:r>
      <w:r w:rsidR="00514DED">
        <w:rPr>
          <w:rFonts w:asciiTheme="minorHAnsi" w:hAnsiTheme="minorHAnsi" w:cstheme="minorHAnsi"/>
          <w:sz w:val="18"/>
          <w:szCs w:val="18"/>
          <w:lang w:val="en-AU"/>
        </w:rPr>
        <w:t xml:space="preserve">. </w:t>
      </w:r>
      <w:hyperlink r:id="rId24" w:history="1">
        <w:r w:rsidR="00514DED" w:rsidRPr="00694FE3">
          <w:rPr>
            <w:rStyle w:val="Hyperlink"/>
            <w:rFonts w:asciiTheme="minorHAnsi" w:hAnsiTheme="minorHAnsi" w:cstheme="minorHAnsi"/>
            <w:sz w:val="18"/>
            <w:szCs w:val="18"/>
            <w:lang w:val="en-AU"/>
          </w:rPr>
          <w:t>https://reliefweb.int/report/fiji/women-and-young-people-disabilities-needs-assessment-sexual-and-reproductive-health-and-rights-gender-based-violence-and-access-essential-services-fiji-0</w:t>
        </w:r>
      </w:hyperlink>
      <w:r w:rsidR="00514DED">
        <w:rPr>
          <w:rFonts w:asciiTheme="minorHAnsi" w:hAnsiTheme="minorHAnsi" w:cstheme="minorHAnsi"/>
          <w:sz w:val="18"/>
          <w:szCs w:val="18"/>
          <w:lang w:val="en-AU"/>
        </w:rPr>
        <w:t xml:space="preserve"> </w:t>
      </w:r>
      <w:r w:rsidRPr="00DB32C7">
        <w:rPr>
          <w:rFonts w:asciiTheme="minorHAnsi" w:hAnsiTheme="minorHAnsi" w:cstheme="minorHAnsi"/>
          <w:sz w:val="18"/>
          <w:szCs w:val="18"/>
          <w:lang w:val="en-AU"/>
        </w:rPr>
        <w:t xml:space="preserve"> </w:t>
      </w:r>
      <w:r>
        <w:rPr>
          <w:rFonts w:asciiTheme="minorHAnsi" w:hAnsiTheme="minorHAnsi" w:cstheme="minorHAnsi"/>
          <w:sz w:val="18"/>
          <w:szCs w:val="18"/>
          <w:lang w:val="en-AU"/>
        </w:rPr>
        <w:t xml:space="preserve"> </w:t>
      </w:r>
    </w:p>
  </w:footnote>
  <w:footnote w:id="30">
    <w:p w14:paraId="269B4801" w14:textId="6C70B826" w:rsidR="00B479FF" w:rsidRPr="00232DAB" w:rsidRDefault="00B479FF" w:rsidP="00B479FF">
      <w:pPr>
        <w:pStyle w:val="FootnoteText"/>
        <w:rPr>
          <w:rFonts w:asciiTheme="minorHAnsi" w:hAnsiTheme="minorHAnsi" w:cstheme="minorHAnsi"/>
          <w:sz w:val="18"/>
          <w:szCs w:val="18"/>
          <w:lang w:val="en-AU"/>
        </w:rPr>
      </w:pPr>
      <w:r w:rsidRPr="00BA1D70">
        <w:rPr>
          <w:rStyle w:val="FootnoteReference"/>
          <w:rFonts w:asciiTheme="minorHAnsi" w:hAnsiTheme="minorHAnsi" w:cstheme="minorHAnsi"/>
          <w:sz w:val="18"/>
          <w:szCs w:val="18"/>
        </w:rPr>
        <w:footnoteRef/>
      </w:r>
      <w:r w:rsidRPr="00BA1D70">
        <w:rPr>
          <w:rFonts w:asciiTheme="minorHAnsi" w:hAnsiTheme="minorHAnsi" w:cstheme="minorHAnsi"/>
          <w:sz w:val="18"/>
          <w:szCs w:val="18"/>
        </w:rPr>
        <w:t xml:space="preserve"> Pacific Disability Forum. 2022. </w:t>
      </w:r>
      <w:r w:rsidRPr="00BA1D70">
        <w:rPr>
          <w:rFonts w:asciiTheme="minorHAnsi" w:hAnsiTheme="minorHAnsi" w:cstheme="minorHAnsi"/>
          <w:sz w:val="18"/>
          <w:szCs w:val="18"/>
          <w:lang w:val="en-AU"/>
        </w:rPr>
        <w:t xml:space="preserve">Disability and </w:t>
      </w:r>
      <w:r w:rsidR="00514DED">
        <w:rPr>
          <w:rFonts w:asciiTheme="minorHAnsi" w:hAnsiTheme="minorHAnsi" w:cstheme="minorHAnsi"/>
          <w:sz w:val="18"/>
          <w:szCs w:val="18"/>
          <w:lang w:val="en-AU"/>
        </w:rPr>
        <w:t>C</w:t>
      </w:r>
      <w:r w:rsidRPr="00BA1D70">
        <w:rPr>
          <w:rFonts w:asciiTheme="minorHAnsi" w:hAnsiTheme="minorHAnsi" w:cstheme="minorHAnsi"/>
          <w:sz w:val="18"/>
          <w:szCs w:val="18"/>
          <w:lang w:val="en-AU"/>
        </w:rPr>
        <w:t xml:space="preserve">limate </w:t>
      </w:r>
      <w:r w:rsidR="00514DED">
        <w:rPr>
          <w:rFonts w:asciiTheme="minorHAnsi" w:hAnsiTheme="minorHAnsi" w:cstheme="minorHAnsi"/>
          <w:sz w:val="18"/>
          <w:szCs w:val="18"/>
          <w:lang w:val="en-AU"/>
        </w:rPr>
        <w:t>C</w:t>
      </w:r>
      <w:r w:rsidRPr="00BA1D70">
        <w:rPr>
          <w:rFonts w:asciiTheme="minorHAnsi" w:hAnsiTheme="minorHAnsi" w:cstheme="minorHAnsi"/>
          <w:sz w:val="18"/>
          <w:szCs w:val="18"/>
          <w:lang w:val="en-AU"/>
        </w:rPr>
        <w:t xml:space="preserve">hange in the Pacific: Findings from Kiribati, Solomon Islands, and Tuvalu. </w:t>
      </w:r>
      <w:hyperlink r:id="rId25" w:history="1">
        <w:r w:rsidRPr="00BA1D70">
          <w:rPr>
            <w:rStyle w:val="Hyperlink"/>
            <w:rFonts w:asciiTheme="minorHAnsi" w:hAnsiTheme="minorHAnsi" w:cstheme="minorHAnsi"/>
            <w:sz w:val="18"/>
            <w:szCs w:val="18"/>
            <w:lang w:val="en-AU"/>
          </w:rPr>
          <w:t>https://pacificdisability.org/wp-content/uploads/2022/08/PDF-Final-Report-on-Climate-Change-and-Persons-with-Disabilities.pdf</w:t>
        </w:r>
      </w:hyperlink>
      <w:r w:rsidRPr="00232DAB">
        <w:rPr>
          <w:rFonts w:asciiTheme="minorHAnsi" w:hAnsiTheme="minorHAnsi" w:cstheme="minorHAnsi"/>
          <w:sz w:val="18"/>
          <w:szCs w:val="18"/>
          <w:lang w:val="en-AU"/>
        </w:rPr>
        <w:t xml:space="preserve"> </w:t>
      </w:r>
    </w:p>
  </w:footnote>
  <w:footnote w:id="31">
    <w:p w14:paraId="7B39E3DF" w14:textId="04EACADC" w:rsidR="000A5B7F" w:rsidRPr="00C34B36" w:rsidRDefault="000A5B7F" w:rsidP="000A5B7F">
      <w:pPr>
        <w:pStyle w:val="FootnoteText"/>
        <w:rPr>
          <w:rFonts w:asciiTheme="minorHAnsi" w:hAnsiTheme="minorHAnsi" w:cstheme="minorHAnsi"/>
          <w:sz w:val="18"/>
          <w:szCs w:val="18"/>
          <w:lang w:val="en-AU"/>
        </w:rPr>
      </w:pPr>
      <w:r w:rsidRPr="00725E1A">
        <w:rPr>
          <w:rStyle w:val="FootnoteReference"/>
          <w:rFonts w:asciiTheme="minorHAnsi" w:hAnsiTheme="minorHAnsi" w:cstheme="minorHAnsi"/>
          <w:sz w:val="18"/>
          <w:szCs w:val="18"/>
        </w:rPr>
        <w:footnoteRef/>
      </w:r>
      <w:r w:rsidR="005A513F">
        <w:rPr>
          <w:rFonts w:asciiTheme="minorHAnsi" w:hAnsiTheme="minorHAnsi" w:cstheme="minorHAnsi"/>
          <w:sz w:val="18"/>
          <w:szCs w:val="18"/>
        </w:rPr>
        <w:t xml:space="preserve"> Pacific Islands Forum Secretariat. 2016. </w:t>
      </w:r>
      <w:r w:rsidR="002311DA" w:rsidRPr="00725E1A">
        <w:rPr>
          <w:rFonts w:asciiTheme="minorHAnsi" w:hAnsiTheme="minorHAnsi" w:cstheme="minorHAnsi"/>
          <w:sz w:val="18"/>
          <w:szCs w:val="18"/>
          <w:lang w:val="en-AU"/>
        </w:rPr>
        <w:t>Pacific Framework for the Rights of Persons with Disabilities 2016-2025.</w:t>
      </w:r>
      <w:r w:rsidR="005A513F">
        <w:rPr>
          <w:rFonts w:asciiTheme="minorHAnsi" w:hAnsiTheme="minorHAnsi" w:cstheme="minorHAnsi"/>
          <w:sz w:val="18"/>
          <w:szCs w:val="18"/>
          <w:lang w:val="en-AU"/>
        </w:rPr>
        <w:t xml:space="preserve"> Goal </w:t>
      </w:r>
      <w:r w:rsidR="005A513F" w:rsidRPr="00C34B36">
        <w:rPr>
          <w:rFonts w:asciiTheme="minorHAnsi" w:hAnsiTheme="minorHAnsi" w:cstheme="minorHAnsi"/>
          <w:sz w:val="18"/>
          <w:szCs w:val="18"/>
          <w:lang w:val="en-AU"/>
        </w:rPr>
        <w:t>4</w:t>
      </w:r>
      <w:r w:rsidR="00C34B36">
        <w:rPr>
          <w:rFonts w:asciiTheme="minorHAnsi" w:hAnsiTheme="minorHAnsi" w:cstheme="minorHAnsi"/>
          <w:sz w:val="18"/>
          <w:szCs w:val="18"/>
          <w:lang w:val="en-AU"/>
        </w:rPr>
        <w:t xml:space="preserve">, </w:t>
      </w:r>
      <w:hyperlink r:id="rId26" w:history="1">
        <w:r w:rsidR="005A513F" w:rsidRPr="00C34B36">
          <w:rPr>
            <w:rStyle w:val="Hyperlink"/>
            <w:rFonts w:asciiTheme="minorHAnsi" w:hAnsiTheme="minorHAnsi" w:cstheme="minorHAnsi"/>
            <w:sz w:val="18"/>
            <w:szCs w:val="18"/>
            <w:lang w:val="en-AU"/>
          </w:rPr>
          <w:t>https://www.forumsec.org/wp-content/uploads/2018/05/PFRPD.pdf</w:t>
        </w:r>
      </w:hyperlink>
    </w:p>
  </w:footnote>
  <w:footnote w:id="32">
    <w:p w14:paraId="5B7E0C8C" w14:textId="0D3B79A9" w:rsidR="009C733C" w:rsidRPr="00725E1A" w:rsidRDefault="009C733C">
      <w:pPr>
        <w:pStyle w:val="FootnoteText"/>
        <w:rPr>
          <w:rFonts w:asciiTheme="minorHAnsi" w:hAnsiTheme="minorHAnsi" w:cstheme="minorHAnsi"/>
          <w:sz w:val="18"/>
          <w:szCs w:val="18"/>
          <w:lang w:val="en-AU"/>
        </w:rPr>
      </w:pPr>
      <w:r w:rsidRPr="00C34B36">
        <w:rPr>
          <w:rStyle w:val="FootnoteReference"/>
          <w:rFonts w:asciiTheme="minorHAnsi" w:hAnsiTheme="minorHAnsi" w:cstheme="minorHAnsi"/>
          <w:sz w:val="18"/>
          <w:szCs w:val="18"/>
        </w:rPr>
        <w:footnoteRef/>
      </w:r>
      <w:r w:rsidRPr="00C34B36">
        <w:rPr>
          <w:rFonts w:asciiTheme="minorHAnsi" w:hAnsiTheme="minorHAnsi" w:cstheme="minorHAnsi"/>
          <w:sz w:val="18"/>
          <w:szCs w:val="18"/>
        </w:rPr>
        <w:t xml:space="preserve">  </w:t>
      </w:r>
      <w:r w:rsidR="00BD7261" w:rsidRPr="00C34B36">
        <w:rPr>
          <w:rFonts w:asciiTheme="minorHAnsi" w:hAnsiTheme="minorHAnsi" w:cstheme="minorHAnsi"/>
          <w:sz w:val="18"/>
          <w:szCs w:val="18"/>
        </w:rPr>
        <w:t>Government of the Republic of Vanuatu.</w:t>
      </w:r>
      <w:r w:rsidR="005A513F" w:rsidRPr="00C34B36">
        <w:rPr>
          <w:rFonts w:asciiTheme="minorHAnsi" w:hAnsiTheme="minorHAnsi" w:cstheme="minorHAnsi"/>
          <w:sz w:val="18"/>
          <w:szCs w:val="18"/>
        </w:rPr>
        <w:t xml:space="preserve"> 2018.</w:t>
      </w:r>
      <w:r w:rsidR="00BD7261" w:rsidRPr="00C34B36">
        <w:rPr>
          <w:rFonts w:asciiTheme="minorHAnsi" w:hAnsiTheme="minorHAnsi" w:cstheme="minorHAnsi"/>
          <w:sz w:val="18"/>
          <w:szCs w:val="18"/>
        </w:rPr>
        <w:t xml:space="preserve"> National Disability Inclusive Development Policy 2018-2025. </w:t>
      </w:r>
      <w:hyperlink r:id="rId27" w:history="1">
        <w:r w:rsidR="00BD7261" w:rsidRPr="00C34B36">
          <w:rPr>
            <w:rStyle w:val="Hyperlink"/>
            <w:rFonts w:asciiTheme="minorHAnsi" w:hAnsiTheme="minorHAnsi" w:cstheme="minorHAnsi"/>
            <w:sz w:val="18"/>
            <w:szCs w:val="18"/>
          </w:rPr>
          <w:t>https://www.nab.vu/sites/default/files/documents/Vanuatu%20National%20Disability%20Inlcusive%20Development%20Policy%202018-2025.pdf</w:t>
        </w:r>
      </w:hyperlink>
      <w:r w:rsidRPr="00725E1A">
        <w:rPr>
          <w:rFonts w:asciiTheme="minorHAnsi" w:hAnsiTheme="minorHAnsi" w:cstheme="minorHAnsi"/>
          <w:sz w:val="18"/>
          <w:szCs w:val="18"/>
        </w:rPr>
        <w:t xml:space="preserve"> </w:t>
      </w:r>
    </w:p>
  </w:footnote>
  <w:footnote w:id="33">
    <w:p w14:paraId="14905283" w14:textId="4443A00E" w:rsidR="00AC4446" w:rsidRPr="00414D64" w:rsidRDefault="00AC4446">
      <w:pPr>
        <w:pStyle w:val="FootnoteText"/>
        <w:rPr>
          <w:rFonts w:asciiTheme="minorHAnsi" w:hAnsiTheme="minorHAnsi" w:cstheme="minorHAnsi"/>
          <w:sz w:val="18"/>
          <w:szCs w:val="18"/>
          <w:lang w:val="en-AU"/>
        </w:rPr>
      </w:pPr>
      <w:r w:rsidRPr="00725E1A">
        <w:rPr>
          <w:rStyle w:val="FootnoteReference"/>
          <w:rFonts w:asciiTheme="minorHAnsi" w:hAnsiTheme="minorHAnsi" w:cstheme="minorHAnsi"/>
          <w:sz w:val="18"/>
          <w:szCs w:val="18"/>
        </w:rPr>
        <w:footnoteRef/>
      </w:r>
      <w:r w:rsidR="00414D64">
        <w:rPr>
          <w:rFonts w:asciiTheme="minorHAnsi" w:hAnsiTheme="minorHAnsi" w:cstheme="minorHAnsi"/>
          <w:sz w:val="18"/>
          <w:szCs w:val="18"/>
        </w:rPr>
        <w:t xml:space="preserve"> </w:t>
      </w:r>
      <w:r w:rsidR="00414D64" w:rsidRPr="00414D64">
        <w:rPr>
          <w:rFonts w:asciiTheme="minorHAnsi" w:hAnsiTheme="minorHAnsi" w:cstheme="minorHAnsi"/>
          <w:sz w:val="18"/>
          <w:szCs w:val="18"/>
        </w:rPr>
        <w:t>Republic of the Marshall Islands. 2015. Act. Bill No. 85ND1. 36</w:t>
      </w:r>
      <w:r w:rsidR="00414D64" w:rsidRPr="00414D64">
        <w:rPr>
          <w:rFonts w:asciiTheme="minorHAnsi" w:hAnsiTheme="minorHAnsi" w:cstheme="minorHAnsi"/>
          <w:sz w:val="18"/>
          <w:szCs w:val="18"/>
          <w:vertAlign w:val="superscript"/>
        </w:rPr>
        <w:t>th</w:t>
      </w:r>
      <w:r w:rsidR="00414D64" w:rsidRPr="00414D64">
        <w:rPr>
          <w:rFonts w:asciiTheme="minorHAnsi" w:hAnsiTheme="minorHAnsi" w:cstheme="minorHAnsi"/>
          <w:sz w:val="18"/>
          <w:szCs w:val="18"/>
        </w:rPr>
        <w:t xml:space="preserve"> Constitutional Regular Session, 2015.</w:t>
      </w:r>
      <w:r w:rsidRPr="00414D64">
        <w:rPr>
          <w:rFonts w:asciiTheme="minorHAnsi" w:hAnsiTheme="minorHAnsi" w:cstheme="minorHAnsi"/>
          <w:sz w:val="18"/>
          <w:szCs w:val="18"/>
        </w:rPr>
        <w:t xml:space="preserve"> </w:t>
      </w:r>
      <w:r w:rsidR="00414D64" w:rsidRPr="00414D64">
        <w:rPr>
          <w:rFonts w:asciiTheme="minorHAnsi" w:hAnsiTheme="minorHAnsi" w:cstheme="minorHAnsi"/>
          <w:sz w:val="18"/>
          <w:szCs w:val="18"/>
        </w:rPr>
        <w:t xml:space="preserve"> </w:t>
      </w:r>
      <w:hyperlink r:id="rId28" w:history="1">
        <w:r w:rsidR="00414D64" w:rsidRPr="00414D64">
          <w:rPr>
            <w:rStyle w:val="Hyperlink"/>
            <w:rFonts w:asciiTheme="minorHAnsi" w:hAnsiTheme="minorHAnsi" w:cstheme="minorHAnsi"/>
            <w:sz w:val="18"/>
            <w:szCs w:val="18"/>
          </w:rPr>
          <w:t>https://www.ilo.org/dyn/natlex/docs/ELECTRONIC/102773/124350/F-33303955/MHL102773.pdf</w:t>
        </w:r>
      </w:hyperlink>
      <w:r w:rsidRPr="00414D64">
        <w:rPr>
          <w:rFonts w:asciiTheme="minorHAnsi" w:hAnsiTheme="minorHAnsi" w:cstheme="minorHAnsi"/>
          <w:sz w:val="18"/>
          <w:szCs w:val="18"/>
        </w:rPr>
        <w:t xml:space="preserve"> </w:t>
      </w:r>
    </w:p>
  </w:footnote>
  <w:footnote w:id="34">
    <w:p w14:paraId="6F665331" w14:textId="27EA9E6E" w:rsidR="00AC4446" w:rsidRPr="00725E1A" w:rsidRDefault="00AC4446">
      <w:pPr>
        <w:pStyle w:val="FootnoteText"/>
        <w:rPr>
          <w:rFonts w:asciiTheme="minorHAnsi" w:hAnsiTheme="minorHAnsi" w:cstheme="minorHAnsi"/>
          <w:sz w:val="18"/>
          <w:szCs w:val="18"/>
          <w:lang w:val="en-AU"/>
        </w:rPr>
      </w:pPr>
      <w:r w:rsidRPr="00414D64">
        <w:rPr>
          <w:rStyle w:val="FootnoteReference"/>
          <w:rFonts w:asciiTheme="minorHAnsi" w:hAnsiTheme="minorHAnsi" w:cstheme="minorHAnsi"/>
          <w:sz w:val="18"/>
          <w:szCs w:val="18"/>
        </w:rPr>
        <w:footnoteRef/>
      </w:r>
      <w:r w:rsidRPr="00414D64">
        <w:rPr>
          <w:rFonts w:asciiTheme="minorHAnsi" w:hAnsiTheme="minorHAnsi" w:cstheme="minorHAnsi"/>
          <w:sz w:val="18"/>
          <w:szCs w:val="18"/>
        </w:rPr>
        <w:t xml:space="preserve"> </w:t>
      </w:r>
      <w:r w:rsidRPr="00414D64">
        <w:rPr>
          <w:rFonts w:asciiTheme="minorHAnsi" w:hAnsiTheme="minorHAnsi" w:cstheme="minorHAnsi"/>
          <w:sz w:val="18"/>
          <w:szCs w:val="18"/>
          <w:lang w:val="en-AU"/>
        </w:rPr>
        <w:t>Reasonable accommodation refers</w:t>
      </w:r>
      <w:r w:rsidR="00414D64" w:rsidRPr="00414D64">
        <w:rPr>
          <w:rFonts w:asciiTheme="minorHAnsi" w:hAnsiTheme="minorHAnsi" w:cstheme="minorHAnsi"/>
          <w:sz w:val="18"/>
          <w:szCs w:val="18"/>
          <w:lang w:val="en-AU"/>
        </w:rPr>
        <w:t xml:space="preserve"> to</w:t>
      </w:r>
      <w:r w:rsidRPr="00414D64">
        <w:rPr>
          <w:rFonts w:asciiTheme="minorHAnsi" w:hAnsiTheme="minorHAnsi" w:cstheme="minorHAnsi"/>
          <w:sz w:val="18"/>
          <w:szCs w:val="18"/>
          <w:lang w:val="en-AU"/>
        </w:rPr>
        <w:t xml:space="preserve"> </w:t>
      </w:r>
      <w:r w:rsidR="00414D64" w:rsidRPr="00414D64">
        <w:rPr>
          <w:rFonts w:asciiTheme="minorHAnsi" w:hAnsiTheme="minorHAnsi" w:cstheme="minorHAnsi"/>
          <w:sz w:val="18"/>
          <w:szCs w:val="18"/>
          <w:lang w:val="en-AU"/>
        </w:rPr>
        <w:t>“</w:t>
      </w:r>
      <w:r w:rsidR="00414D64" w:rsidRPr="00414D64">
        <w:rPr>
          <w:rFonts w:asciiTheme="minorHAnsi" w:hAnsiTheme="minorHAnsi" w:cstheme="minorHAnsi"/>
          <w:color w:val="000000"/>
          <w:sz w:val="18"/>
          <w:szCs w:val="18"/>
          <w:shd w:val="clear" w:color="auto" w:fill="FFFFFF"/>
        </w:rPr>
        <w:t>means necessary and appropriate modification and adjustments not imposing a disproportionate or undue burden, where needed in a particular case, to ensure to persons with disabilities the enjoyment or exercise on an equal basis with others of all human rights and fundamental freedoms</w:t>
      </w:r>
      <w:r w:rsidR="00414D64" w:rsidRPr="00414D64">
        <w:rPr>
          <w:rFonts w:asciiTheme="minorHAnsi" w:hAnsiTheme="minorHAnsi" w:cstheme="minorHAnsi"/>
          <w:sz w:val="18"/>
          <w:szCs w:val="18"/>
          <w:lang w:val="en-AU"/>
        </w:rPr>
        <w:t xml:space="preserve">” </w:t>
      </w:r>
      <w:hyperlink r:id="rId29" w:history="1">
        <w:r w:rsidR="00C34B36" w:rsidRPr="004F5712">
          <w:rPr>
            <w:rStyle w:val="Hyperlink"/>
            <w:rFonts w:asciiTheme="minorHAnsi" w:hAnsiTheme="minorHAnsi" w:cstheme="minorHAnsi"/>
            <w:sz w:val="18"/>
            <w:szCs w:val="18"/>
            <w:lang w:val="en-AU"/>
          </w:rPr>
          <w:t>https://www.un.org/development/desa/disabilities/convention-on-the-rights-of-persons-with-disabilities/article-2-definitions.html</w:t>
        </w:r>
      </w:hyperlink>
      <w:r w:rsidR="00C34B36">
        <w:rPr>
          <w:rFonts w:asciiTheme="minorHAnsi" w:hAnsiTheme="minorHAnsi" w:cstheme="minorHAnsi"/>
          <w:sz w:val="18"/>
          <w:szCs w:val="18"/>
          <w:lang w:val="en-AU"/>
        </w:rPr>
        <w:t xml:space="preserve"> </w:t>
      </w:r>
      <w:r w:rsidR="00414D64" w:rsidRPr="00414D64" w:rsidDel="00414D64">
        <w:rPr>
          <w:rFonts w:asciiTheme="minorHAnsi" w:hAnsiTheme="minorHAnsi" w:cstheme="minorHAnsi"/>
          <w:sz w:val="18"/>
          <w:szCs w:val="18"/>
          <w:lang w:val="en-AU"/>
        </w:rPr>
        <w:t xml:space="preserve"> </w:t>
      </w:r>
    </w:p>
  </w:footnote>
  <w:footnote w:id="35">
    <w:p w14:paraId="67A655D7" w14:textId="5877E073" w:rsidR="00CE4D4E" w:rsidRPr="00CE4D4E" w:rsidRDefault="00CE4D4E">
      <w:pPr>
        <w:pStyle w:val="FootnoteText"/>
        <w:rPr>
          <w:rFonts w:asciiTheme="minorHAnsi" w:hAnsiTheme="minorHAnsi" w:cstheme="minorHAnsi"/>
          <w:sz w:val="22"/>
          <w:szCs w:val="22"/>
        </w:rPr>
      </w:pPr>
      <w:r w:rsidRPr="00725E1A">
        <w:rPr>
          <w:rStyle w:val="FootnoteReference"/>
          <w:rFonts w:asciiTheme="minorHAnsi" w:hAnsiTheme="minorHAnsi" w:cstheme="minorHAnsi"/>
          <w:sz w:val="18"/>
          <w:szCs w:val="18"/>
        </w:rPr>
        <w:footnoteRef/>
      </w:r>
      <w:r w:rsidR="00414D64">
        <w:rPr>
          <w:rFonts w:asciiTheme="minorHAnsi" w:hAnsiTheme="minorHAnsi" w:cstheme="minorHAnsi"/>
          <w:sz w:val="18"/>
          <w:szCs w:val="18"/>
        </w:rPr>
        <w:t xml:space="preserve"> Solomons Islands Government. 2009. National Disaster Risk </w:t>
      </w:r>
      <w:r w:rsidR="00AC4D5D">
        <w:rPr>
          <w:rFonts w:asciiTheme="minorHAnsi" w:hAnsiTheme="minorHAnsi" w:cstheme="minorHAnsi"/>
          <w:sz w:val="18"/>
          <w:szCs w:val="18"/>
        </w:rPr>
        <w:t>M</w:t>
      </w:r>
      <w:r w:rsidR="00414D64">
        <w:rPr>
          <w:rFonts w:asciiTheme="minorHAnsi" w:hAnsiTheme="minorHAnsi" w:cstheme="minorHAnsi"/>
          <w:sz w:val="18"/>
          <w:szCs w:val="18"/>
        </w:rPr>
        <w:t xml:space="preserve">anagement Plan, </w:t>
      </w:r>
      <w:hyperlink r:id="rId30" w:history="1">
        <w:r w:rsidRPr="00725E1A">
          <w:rPr>
            <w:rStyle w:val="Hyperlink"/>
            <w:rFonts w:asciiTheme="minorHAnsi" w:hAnsiTheme="minorHAnsi" w:cstheme="minorHAnsi"/>
            <w:sz w:val="18"/>
            <w:szCs w:val="18"/>
          </w:rPr>
          <w:t>https://www.preventionweb.net/files/22085_14656ndrmpsolomonsfinaliseddraftff2.pdf</w:t>
        </w:r>
      </w:hyperlink>
      <w:r w:rsidRPr="00CE4D4E">
        <w:rPr>
          <w:rFonts w:asciiTheme="minorHAnsi" w:hAnsiTheme="minorHAnsi" w:cstheme="minorHAnsi"/>
          <w:sz w:val="22"/>
          <w:szCs w:val="22"/>
        </w:rPr>
        <w:t xml:space="preserve"> </w:t>
      </w:r>
    </w:p>
  </w:footnote>
  <w:footnote w:id="36">
    <w:p w14:paraId="46922704" w14:textId="09EA8D39" w:rsidR="00CE4D4E" w:rsidRPr="00E7461E" w:rsidRDefault="00CE4D4E">
      <w:pPr>
        <w:pStyle w:val="FootnoteText"/>
        <w:rPr>
          <w:rFonts w:asciiTheme="minorHAnsi" w:hAnsiTheme="minorHAnsi" w:cstheme="minorHAnsi"/>
          <w:sz w:val="18"/>
          <w:szCs w:val="18"/>
          <w:lang w:val="en-AU"/>
        </w:rPr>
      </w:pPr>
      <w:r w:rsidRPr="00E7461E">
        <w:rPr>
          <w:rStyle w:val="FootnoteReference"/>
          <w:rFonts w:asciiTheme="minorHAnsi" w:hAnsiTheme="minorHAnsi" w:cstheme="minorHAnsi"/>
          <w:sz w:val="18"/>
          <w:szCs w:val="18"/>
        </w:rPr>
        <w:footnoteRef/>
      </w:r>
      <w:r w:rsidR="00414D64">
        <w:rPr>
          <w:rFonts w:asciiTheme="minorHAnsi" w:hAnsiTheme="minorHAnsi" w:cstheme="minorHAnsi"/>
          <w:sz w:val="18"/>
          <w:szCs w:val="18"/>
        </w:rPr>
        <w:t xml:space="preserve"> Solomons Islands Government. 2018. National Disaster Risk </w:t>
      </w:r>
      <w:r w:rsidR="00AC4D5D">
        <w:rPr>
          <w:rFonts w:asciiTheme="minorHAnsi" w:hAnsiTheme="minorHAnsi" w:cstheme="minorHAnsi"/>
          <w:sz w:val="18"/>
          <w:szCs w:val="18"/>
        </w:rPr>
        <w:t>M</w:t>
      </w:r>
      <w:r w:rsidR="00414D64">
        <w:rPr>
          <w:rFonts w:asciiTheme="minorHAnsi" w:hAnsiTheme="minorHAnsi" w:cstheme="minorHAnsi"/>
          <w:sz w:val="18"/>
          <w:szCs w:val="18"/>
        </w:rPr>
        <w:t xml:space="preserve">anagement Plan 2018, </w:t>
      </w:r>
      <w:r w:rsidRPr="00E7461E">
        <w:rPr>
          <w:rFonts w:asciiTheme="minorHAnsi" w:hAnsiTheme="minorHAnsi" w:cstheme="minorHAnsi"/>
          <w:sz w:val="18"/>
          <w:szCs w:val="18"/>
        </w:rPr>
        <w:t xml:space="preserve"> </w:t>
      </w:r>
      <w:hyperlink r:id="rId31" w:history="1">
        <w:r w:rsidRPr="00E7461E">
          <w:rPr>
            <w:rStyle w:val="Hyperlink"/>
            <w:rFonts w:asciiTheme="minorHAnsi" w:hAnsiTheme="minorHAnsi" w:cstheme="minorHAnsi"/>
            <w:sz w:val="18"/>
            <w:szCs w:val="18"/>
          </w:rPr>
          <w:t>https://www.rcrc-resilience-southeastasia.org/wp-content/uploads/2020/04/National-Disaster-Management-Plan-2018.pdf</w:t>
        </w:r>
      </w:hyperlink>
      <w:r w:rsidRPr="00E7461E">
        <w:rPr>
          <w:rFonts w:asciiTheme="minorHAnsi" w:hAnsiTheme="minorHAnsi" w:cstheme="minorHAnsi"/>
          <w:sz w:val="18"/>
          <w:szCs w:val="18"/>
        </w:rPr>
        <w:t xml:space="preserve"> </w:t>
      </w:r>
    </w:p>
  </w:footnote>
  <w:footnote w:id="37">
    <w:p w14:paraId="78195937" w14:textId="1225EB1F" w:rsidR="00F343B4" w:rsidRPr="00E7461E" w:rsidRDefault="00F343B4" w:rsidP="00414D64">
      <w:pPr>
        <w:pStyle w:val="FootnoteText"/>
        <w:rPr>
          <w:rFonts w:asciiTheme="minorHAnsi" w:hAnsiTheme="minorHAnsi" w:cstheme="minorHAnsi"/>
          <w:sz w:val="18"/>
          <w:szCs w:val="18"/>
          <w:lang w:val="en-AU"/>
        </w:rPr>
      </w:pPr>
      <w:r w:rsidRPr="00E7461E">
        <w:rPr>
          <w:rStyle w:val="FootnoteReference"/>
          <w:rFonts w:asciiTheme="minorHAnsi" w:hAnsiTheme="minorHAnsi" w:cstheme="minorHAnsi"/>
          <w:sz w:val="18"/>
          <w:szCs w:val="18"/>
        </w:rPr>
        <w:footnoteRef/>
      </w:r>
      <w:r w:rsidR="00414D64">
        <w:rPr>
          <w:rFonts w:asciiTheme="minorHAnsi" w:hAnsiTheme="minorHAnsi" w:cstheme="minorHAnsi"/>
          <w:sz w:val="18"/>
          <w:szCs w:val="18"/>
        </w:rPr>
        <w:t xml:space="preserve"> </w:t>
      </w:r>
      <w:r w:rsidR="00414D64" w:rsidRPr="00414D64">
        <w:rPr>
          <w:rFonts w:asciiTheme="minorHAnsi" w:hAnsiTheme="minorHAnsi" w:cstheme="minorHAnsi"/>
          <w:sz w:val="18"/>
          <w:szCs w:val="18"/>
        </w:rPr>
        <w:t>Combaz E. 2014. Disaster resilience: Topic guide. GSDRC, University of Birmingham</w:t>
      </w:r>
      <w:r w:rsidRPr="00E7461E">
        <w:rPr>
          <w:rFonts w:asciiTheme="minorHAnsi" w:hAnsiTheme="minorHAnsi" w:cstheme="minorHAnsi"/>
          <w:sz w:val="18"/>
          <w:szCs w:val="18"/>
        </w:rPr>
        <w:t xml:space="preserve"> </w:t>
      </w:r>
      <w:hyperlink r:id="rId32" w:history="1">
        <w:r w:rsidR="00414D64" w:rsidRPr="004F5712">
          <w:rPr>
            <w:rStyle w:val="Hyperlink"/>
            <w:rFonts w:asciiTheme="minorHAnsi" w:hAnsiTheme="minorHAnsi" w:cstheme="minorHAnsi"/>
            <w:sz w:val="18"/>
            <w:szCs w:val="18"/>
          </w:rPr>
          <w:t>https://gsdrc.org/wp-content/uploads/2014/02/GSDRC_DR_topic_guide.pdf</w:t>
        </w:r>
      </w:hyperlink>
      <w:r w:rsidR="00414D64">
        <w:rPr>
          <w:rFonts w:asciiTheme="minorHAnsi" w:hAnsiTheme="minorHAnsi" w:cstheme="minorHAnsi"/>
          <w:sz w:val="18"/>
          <w:szCs w:val="18"/>
        </w:rPr>
        <w:t xml:space="preserve"> </w:t>
      </w:r>
    </w:p>
  </w:footnote>
  <w:footnote w:id="38">
    <w:p w14:paraId="7BCFCBC0" w14:textId="72595983" w:rsidR="00F343B4" w:rsidRPr="00F343B4" w:rsidRDefault="00F343B4">
      <w:pPr>
        <w:pStyle w:val="FootnoteText"/>
        <w:rPr>
          <w:lang w:val="en-AU"/>
        </w:rPr>
      </w:pPr>
      <w:r w:rsidRPr="00E7461E">
        <w:rPr>
          <w:rStyle w:val="FootnoteReference"/>
          <w:rFonts w:asciiTheme="minorHAnsi" w:hAnsiTheme="minorHAnsi" w:cstheme="minorHAnsi"/>
          <w:sz w:val="18"/>
          <w:szCs w:val="18"/>
        </w:rPr>
        <w:footnoteRef/>
      </w:r>
      <w:r w:rsidRPr="00E7461E">
        <w:rPr>
          <w:rFonts w:asciiTheme="minorHAnsi" w:hAnsiTheme="minorHAnsi" w:cstheme="minorHAnsi"/>
          <w:sz w:val="18"/>
          <w:szCs w:val="18"/>
        </w:rPr>
        <w:t xml:space="preserve"> </w:t>
      </w:r>
      <w:r w:rsidRPr="00E7461E">
        <w:rPr>
          <w:rFonts w:asciiTheme="minorHAnsi" w:hAnsiTheme="minorHAnsi" w:cstheme="minorHAnsi"/>
          <w:sz w:val="18"/>
          <w:szCs w:val="18"/>
          <w:lang w:val="en-AU"/>
        </w:rPr>
        <w:t>Ibid</w:t>
      </w:r>
    </w:p>
  </w:footnote>
  <w:footnote w:id="39">
    <w:p w14:paraId="5BA01512" w14:textId="719F39F0" w:rsidR="002921CA" w:rsidRPr="00DB32C7" w:rsidRDefault="002921CA">
      <w:pPr>
        <w:pStyle w:val="FootnoteText"/>
        <w:rPr>
          <w:rFonts w:asciiTheme="minorHAnsi" w:hAnsiTheme="minorHAnsi" w:cstheme="minorHAnsi"/>
          <w:sz w:val="18"/>
          <w:szCs w:val="18"/>
          <w:lang w:val="en-AU"/>
        </w:rPr>
      </w:pPr>
      <w:r w:rsidRPr="00DB32C7">
        <w:rPr>
          <w:rStyle w:val="FootnoteReference"/>
          <w:rFonts w:asciiTheme="minorHAnsi" w:hAnsiTheme="minorHAnsi" w:cstheme="minorHAnsi"/>
          <w:sz w:val="18"/>
          <w:szCs w:val="18"/>
        </w:rPr>
        <w:footnoteRef/>
      </w:r>
      <w:r w:rsidRPr="00DB32C7">
        <w:rPr>
          <w:rFonts w:asciiTheme="minorHAnsi" w:hAnsiTheme="minorHAnsi" w:cstheme="minorHAnsi"/>
          <w:sz w:val="18"/>
          <w:szCs w:val="18"/>
        </w:rPr>
        <w:t xml:space="preserve"> The focus on e</w:t>
      </w:r>
      <w:r w:rsidRPr="00DB32C7">
        <w:rPr>
          <w:rFonts w:asciiTheme="minorHAnsi" w:hAnsiTheme="minorHAnsi" w:cstheme="minorHAnsi"/>
          <w:sz w:val="18"/>
          <w:szCs w:val="18"/>
          <w:lang w:val="en-AU"/>
        </w:rPr>
        <w:t xml:space="preserve">quity </w:t>
      </w:r>
      <w:r w:rsidR="00CD1123">
        <w:rPr>
          <w:rFonts w:asciiTheme="minorHAnsi" w:hAnsiTheme="minorHAnsi" w:cstheme="minorHAnsi"/>
          <w:sz w:val="18"/>
          <w:szCs w:val="18"/>
          <w:lang w:val="en-AU"/>
        </w:rPr>
        <w:t>recognises</w:t>
      </w:r>
      <w:r w:rsidRPr="00DB32C7">
        <w:rPr>
          <w:rFonts w:asciiTheme="minorHAnsi" w:hAnsiTheme="minorHAnsi" w:cstheme="minorHAnsi"/>
          <w:sz w:val="18"/>
          <w:szCs w:val="18"/>
          <w:lang w:val="en-AU"/>
        </w:rPr>
        <w:t xml:space="preserve"> the individual needs of persons with disabilities differ. These individual needs mu</w:t>
      </w:r>
      <w:r w:rsidR="00F54C5F" w:rsidRPr="00DB32C7">
        <w:rPr>
          <w:rFonts w:asciiTheme="minorHAnsi" w:hAnsiTheme="minorHAnsi" w:cstheme="minorHAnsi"/>
          <w:sz w:val="18"/>
          <w:szCs w:val="18"/>
          <w:lang w:val="en-AU"/>
        </w:rPr>
        <w:t xml:space="preserve">st </w:t>
      </w:r>
      <w:r w:rsidRPr="00DB32C7">
        <w:rPr>
          <w:rFonts w:asciiTheme="minorHAnsi" w:hAnsiTheme="minorHAnsi" w:cstheme="minorHAnsi"/>
          <w:sz w:val="18"/>
          <w:szCs w:val="18"/>
          <w:lang w:val="en-AU"/>
        </w:rPr>
        <w:t xml:space="preserve">be met if equality between persons with and without </w:t>
      </w:r>
      <w:r w:rsidR="00F54C5F" w:rsidRPr="00DB32C7">
        <w:rPr>
          <w:rFonts w:asciiTheme="minorHAnsi" w:hAnsiTheme="minorHAnsi" w:cstheme="minorHAnsi"/>
          <w:sz w:val="18"/>
          <w:szCs w:val="18"/>
          <w:lang w:val="en-AU"/>
        </w:rPr>
        <w:t>disabilities</w:t>
      </w:r>
      <w:r w:rsidRPr="00DB32C7">
        <w:rPr>
          <w:rFonts w:asciiTheme="minorHAnsi" w:hAnsiTheme="minorHAnsi" w:cstheme="minorHAnsi"/>
          <w:sz w:val="18"/>
          <w:szCs w:val="18"/>
          <w:lang w:val="en-AU"/>
        </w:rPr>
        <w:t xml:space="preserve"> is to be achieved. </w:t>
      </w:r>
      <w:r w:rsidR="00CD1123">
        <w:rPr>
          <w:rFonts w:asciiTheme="minorHAnsi" w:hAnsiTheme="minorHAnsi" w:cstheme="minorHAnsi"/>
          <w:sz w:val="18"/>
          <w:szCs w:val="18"/>
          <w:lang w:val="en-AU"/>
        </w:rPr>
        <w:t>This also relates to the CRPD’s foundational principle of reasonable accommodation (Article 2).</w:t>
      </w:r>
    </w:p>
  </w:footnote>
  <w:footnote w:id="40">
    <w:p w14:paraId="48CED4AE" w14:textId="0EEC0FCC" w:rsidR="00B05422" w:rsidRPr="00232DAB" w:rsidRDefault="00B05422" w:rsidP="00B05422">
      <w:pPr>
        <w:pStyle w:val="FootnoteText"/>
        <w:rPr>
          <w:rFonts w:asciiTheme="minorHAnsi" w:hAnsiTheme="minorHAnsi" w:cstheme="minorHAnsi"/>
          <w:sz w:val="18"/>
          <w:szCs w:val="18"/>
          <w:lang w:val="en-AU"/>
        </w:rPr>
      </w:pPr>
      <w:r w:rsidRPr="00F54C5F">
        <w:rPr>
          <w:rStyle w:val="FootnoteReference"/>
          <w:rFonts w:asciiTheme="minorHAnsi" w:hAnsiTheme="minorHAnsi" w:cstheme="minorHAnsi"/>
          <w:sz w:val="18"/>
          <w:szCs w:val="18"/>
        </w:rPr>
        <w:footnoteRef/>
      </w:r>
      <w:r w:rsidRPr="00F54C5F">
        <w:rPr>
          <w:rFonts w:asciiTheme="minorHAnsi" w:hAnsiTheme="minorHAnsi" w:cstheme="minorHAnsi"/>
          <w:sz w:val="18"/>
          <w:szCs w:val="18"/>
        </w:rPr>
        <w:t xml:space="preserve"> For further information</w:t>
      </w:r>
      <w:r w:rsidRPr="00232DAB">
        <w:rPr>
          <w:rFonts w:asciiTheme="minorHAnsi" w:hAnsiTheme="minorHAnsi" w:cstheme="minorHAnsi"/>
          <w:sz w:val="18"/>
          <w:szCs w:val="18"/>
          <w:lang w:val="en-AU"/>
        </w:rPr>
        <w:t xml:space="preserve">: </w:t>
      </w:r>
      <w:hyperlink r:id="rId33" w:history="1">
        <w:r w:rsidRPr="00232DAB">
          <w:rPr>
            <w:rStyle w:val="Hyperlink"/>
            <w:rFonts w:asciiTheme="minorHAnsi" w:hAnsiTheme="minorHAnsi" w:cstheme="minorHAnsi"/>
            <w:sz w:val="18"/>
            <w:szCs w:val="18"/>
            <w:lang w:val="en-AU"/>
          </w:rPr>
          <w:t>https://pacificdisability.org/wp-content/uploads/2021/03/Guideline-on-pre-condition-to-inclusion-for-persons-with-disabilities-1.0.docx</w:t>
        </w:r>
      </w:hyperlink>
      <w:r w:rsidRPr="00232DAB">
        <w:rPr>
          <w:rFonts w:asciiTheme="minorHAnsi" w:hAnsiTheme="minorHAnsi" w:cstheme="minorHAnsi"/>
          <w:sz w:val="18"/>
          <w:szCs w:val="18"/>
          <w:lang w:val="en-AU"/>
        </w:rPr>
        <w:t xml:space="preserve">  </w:t>
      </w:r>
    </w:p>
  </w:footnote>
  <w:footnote w:id="41">
    <w:p w14:paraId="100269C4" w14:textId="2F3AF772" w:rsidR="00AF30C5" w:rsidRPr="00232DAB" w:rsidRDefault="00AF30C5">
      <w:pPr>
        <w:pStyle w:val="FootnoteText"/>
        <w:rPr>
          <w:rFonts w:asciiTheme="minorHAnsi" w:hAnsiTheme="minorHAnsi" w:cstheme="minorHAnsi"/>
          <w:sz w:val="18"/>
          <w:szCs w:val="18"/>
          <w:lang w:val="en-US"/>
        </w:rPr>
      </w:pPr>
      <w:r w:rsidRPr="00232DAB">
        <w:rPr>
          <w:rStyle w:val="FootnoteReference"/>
          <w:rFonts w:asciiTheme="minorHAnsi" w:hAnsiTheme="minorHAnsi" w:cstheme="minorHAnsi"/>
          <w:sz w:val="18"/>
          <w:szCs w:val="18"/>
        </w:rPr>
        <w:footnoteRef/>
      </w:r>
      <w:r w:rsidRPr="00232DAB">
        <w:rPr>
          <w:rFonts w:asciiTheme="minorHAnsi" w:hAnsiTheme="minorHAnsi" w:cstheme="minorHAnsi"/>
          <w:sz w:val="18"/>
          <w:szCs w:val="18"/>
        </w:rPr>
        <w:t xml:space="preserve"> </w:t>
      </w:r>
      <w:r w:rsidR="005A513F">
        <w:rPr>
          <w:rFonts w:asciiTheme="minorHAnsi" w:hAnsiTheme="minorHAnsi" w:cstheme="minorHAnsi"/>
          <w:sz w:val="18"/>
          <w:szCs w:val="18"/>
        </w:rPr>
        <w:t xml:space="preserve">UNDRR. n.d. Sendai Framework Indicators. </w:t>
      </w:r>
      <w:hyperlink r:id="rId34" w:history="1">
        <w:r w:rsidR="005A513F" w:rsidRPr="004F5712">
          <w:rPr>
            <w:rStyle w:val="Hyperlink"/>
            <w:rFonts w:asciiTheme="minorHAnsi" w:hAnsiTheme="minorHAnsi" w:cstheme="minorHAnsi"/>
            <w:sz w:val="18"/>
            <w:szCs w:val="18"/>
          </w:rPr>
          <w:t>https://www.preventionweb.net/sendai-framework/sendai-framework-indicators</w:t>
        </w:r>
      </w:hyperlink>
      <w:r w:rsidR="005A513F">
        <w:rPr>
          <w:rFonts w:asciiTheme="minorHAnsi" w:hAnsiTheme="minorHAnsi" w:cstheme="minorHAnsi"/>
          <w:sz w:val="18"/>
          <w:szCs w:val="18"/>
        </w:rPr>
        <w:t xml:space="preserve"> </w:t>
      </w:r>
    </w:p>
  </w:footnote>
  <w:footnote w:id="42">
    <w:p w14:paraId="7CDD4D6B" w14:textId="66B4549D" w:rsidR="00BD0B6C" w:rsidRPr="00232DAB" w:rsidRDefault="00BD0B6C">
      <w:pPr>
        <w:pStyle w:val="FootnoteText"/>
        <w:rPr>
          <w:rFonts w:asciiTheme="minorHAnsi" w:hAnsiTheme="minorHAnsi" w:cstheme="minorHAnsi"/>
          <w:sz w:val="18"/>
          <w:szCs w:val="18"/>
          <w:lang w:val="en-US"/>
        </w:rPr>
      </w:pPr>
      <w:r w:rsidRPr="00232DAB">
        <w:rPr>
          <w:rStyle w:val="FootnoteReference"/>
          <w:rFonts w:asciiTheme="minorHAnsi" w:hAnsiTheme="minorHAnsi" w:cstheme="minorHAnsi"/>
          <w:sz w:val="18"/>
          <w:szCs w:val="18"/>
        </w:rPr>
        <w:footnoteRef/>
      </w:r>
      <w:r w:rsidRPr="00232DAB">
        <w:rPr>
          <w:rFonts w:asciiTheme="minorHAnsi" w:hAnsiTheme="minorHAnsi" w:cstheme="minorHAnsi"/>
          <w:sz w:val="18"/>
          <w:szCs w:val="18"/>
        </w:rPr>
        <w:t xml:space="preserve"> </w:t>
      </w:r>
      <w:r w:rsidR="00C34B36">
        <w:rPr>
          <w:rFonts w:asciiTheme="minorHAnsi" w:hAnsiTheme="minorHAnsi" w:cstheme="minorHAnsi"/>
          <w:sz w:val="18"/>
          <w:szCs w:val="18"/>
        </w:rPr>
        <w:t xml:space="preserve">Center for Inclusive Policy. Fiji Dashboard. </w:t>
      </w:r>
      <w:hyperlink r:id="rId35" w:anchor="overview" w:history="1">
        <w:r w:rsidR="00C34B36" w:rsidRPr="004F5712">
          <w:rPr>
            <w:rStyle w:val="Hyperlink"/>
            <w:rFonts w:asciiTheme="minorHAnsi" w:hAnsiTheme="minorHAnsi" w:cstheme="minorHAnsi"/>
            <w:sz w:val="18"/>
            <w:szCs w:val="18"/>
          </w:rPr>
          <w:t>https://inclusive-policy.org/data-fiji/#overview</w:t>
        </w:r>
      </w:hyperlink>
      <w:r w:rsidR="00C34B36">
        <w:rPr>
          <w:rFonts w:asciiTheme="minorHAnsi" w:hAnsiTheme="minorHAnsi" w:cstheme="minorHAnsi"/>
          <w:sz w:val="18"/>
          <w:szCs w:val="18"/>
        </w:rPr>
        <w:t xml:space="preserve"> </w:t>
      </w:r>
    </w:p>
  </w:footnote>
  <w:footnote w:id="43">
    <w:p w14:paraId="44790237" w14:textId="1AB753BB" w:rsidR="009B36D9" w:rsidRPr="00232DAB" w:rsidRDefault="009B36D9" w:rsidP="00C34B36">
      <w:pPr>
        <w:pStyle w:val="FootnoteText"/>
        <w:rPr>
          <w:rFonts w:asciiTheme="minorHAnsi" w:hAnsiTheme="minorHAnsi" w:cstheme="minorHAnsi"/>
          <w:sz w:val="18"/>
          <w:szCs w:val="18"/>
          <w:lang w:val="en-US"/>
        </w:rPr>
      </w:pPr>
      <w:r w:rsidRPr="00232DAB">
        <w:rPr>
          <w:rStyle w:val="FootnoteReference"/>
          <w:rFonts w:asciiTheme="minorHAnsi" w:hAnsiTheme="minorHAnsi" w:cstheme="minorHAnsi"/>
          <w:sz w:val="18"/>
          <w:szCs w:val="18"/>
        </w:rPr>
        <w:footnoteRef/>
      </w:r>
      <w:r w:rsidRPr="00232DAB">
        <w:rPr>
          <w:rFonts w:asciiTheme="minorHAnsi" w:hAnsiTheme="minorHAnsi" w:cstheme="minorHAnsi"/>
          <w:sz w:val="18"/>
          <w:szCs w:val="18"/>
        </w:rPr>
        <w:t xml:space="preserve"> </w:t>
      </w:r>
      <w:r w:rsidR="00C34B36">
        <w:rPr>
          <w:rFonts w:asciiTheme="minorHAnsi" w:hAnsiTheme="minorHAnsi" w:cstheme="minorHAnsi"/>
          <w:sz w:val="18"/>
          <w:szCs w:val="18"/>
        </w:rPr>
        <w:t xml:space="preserve">Australia Humanitarian Partnership. 2021. </w:t>
      </w:r>
      <w:r w:rsidR="00C34B36" w:rsidRPr="00C34B36">
        <w:rPr>
          <w:rFonts w:asciiTheme="minorHAnsi" w:hAnsiTheme="minorHAnsi" w:cstheme="minorHAnsi"/>
          <w:sz w:val="18"/>
          <w:szCs w:val="18"/>
        </w:rPr>
        <w:t>Disability Inclusion in</w:t>
      </w:r>
      <w:r w:rsidR="00C34B36">
        <w:rPr>
          <w:rFonts w:asciiTheme="minorHAnsi" w:hAnsiTheme="minorHAnsi" w:cstheme="minorHAnsi"/>
          <w:sz w:val="18"/>
          <w:szCs w:val="18"/>
        </w:rPr>
        <w:t xml:space="preserve"> </w:t>
      </w:r>
      <w:r w:rsidR="00C34B36" w:rsidRPr="00C34B36">
        <w:rPr>
          <w:rFonts w:asciiTheme="minorHAnsi" w:hAnsiTheme="minorHAnsi" w:cstheme="minorHAnsi"/>
          <w:sz w:val="18"/>
          <w:szCs w:val="18"/>
        </w:rPr>
        <w:t>Disaster Preparedness and Response:</w:t>
      </w:r>
      <w:r w:rsidR="00C34B36">
        <w:rPr>
          <w:rFonts w:asciiTheme="minorHAnsi" w:hAnsiTheme="minorHAnsi" w:cstheme="minorHAnsi"/>
          <w:sz w:val="18"/>
          <w:szCs w:val="18"/>
        </w:rPr>
        <w:t xml:space="preserve"> </w:t>
      </w:r>
      <w:r w:rsidR="00C34B36" w:rsidRPr="00C34B36">
        <w:rPr>
          <w:rFonts w:asciiTheme="minorHAnsi" w:hAnsiTheme="minorHAnsi" w:cstheme="minorHAnsi"/>
          <w:sz w:val="18"/>
          <w:szCs w:val="18"/>
        </w:rPr>
        <w:t>An evaluation of disability inclusion in the</w:t>
      </w:r>
      <w:r w:rsidR="00C34B36">
        <w:rPr>
          <w:rFonts w:asciiTheme="minorHAnsi" w:hAnsiTheme="minorHAnsi" w:cstheme="minorHAnsi"/>
          <w:sz w:val="18"/>
          <w:szCs w:val="18"/>
        </w:rPr>
        <w:t xml:space="preserve"> </w:t>
      </w:r>
      <w:r w:rsidR="00C34B36" w:rsidRPr="00C34B36">
        <w:rPr>
          <w:rFonts w:asciiTheme="minorHAnsi" w:hAnsiTheme="minorHAnsi" w:cstheme="minorHAnsi"/>
          <w:sz w:val="18"/>
          <w:szCs w:val="18"/>
        </w:rPr>
        <w:t>Disaster READY program in Fiji, Vanuatu,</w:t>
      </w:r>
      <w:r w:rsidR="00C34B36">
        <w:rPr>
          <w:rFonts w:asciiTheme="minorHAnsi" w:hAnsiTheme="minorHAnsi" w:cstheme="minorHAnsi"/>
          <w:sz w:val="18"/>
          <w:szCs w:val="18"/>
        </w:rPr>
        <w:t xml:space="preserve"> </w:t>
      </w:r>
      <w:r w:rsidR="00C34B36" w:rsidRPr="00C34B36">
        <w:rPr>
          <w:rFonts w:asciiTheme="minorHAnsi" w:hAnsiTheme="minorHAnsi" w:cstheme="minorHAnsi"/>
          <w:sz w:val="18"/>
          <w:szCs w:val="18"/>
        </w:rPr>
        <w:t>Solomon Islands, Papua New Guinea</w:t>
      </w:r>
      <w:r w:rsidR="00C34B36">
        <w:rPr>
          <w:rFonts w:asciiTheme="minorHAnsi" w:hAnsiTheme="minorHAnsi" w:cstheme="minorHAnsi"/>
          <w:sz w:val="18"/>
          <w:szCs w:val="18"/>
        </w:rPr>
        <w:t xml:space="preserve"> </w:t>
      </w:r>
      <w:r w:rsidR="00C34B36" w:rsidRPr="00C34B36">
        <w:rPr>
          <w:rFonts w:asciiTheme="minorHAnsi" w:hAnsiTheme="minorHAnsi" w:cstheme="minorHAnsi"/>
          <w:sz w:val="18"/>
          <w:szCs w:val="18"/>
        </w:rPr>
        <w:t xml:space="preserve">and Timor-Leste </w:t>
      </w:r>
      <w:hyperlink r:id="rId36" w:history="1">
        <w:r w:rsidR="00C34B36" w:rsidRPr="004F5712">
          <w:rPr>
            <w:rStyle w:val="Hyperlink"/>
            <w:rFonts w:asciiTheme="minorHAnsi" w:hAnsiTheme="minorHAnsi" w:cstheme="minorHAnsi"/>
            <w:sz w:val="18"/>
            <w:szCs w:val="18"/>
          </w:rPr>
          <w:t>https://static1.squarespace.com/static/5ab0691e5417fc8a1ee9a417/t/60da7d53f6d0eb73233717b8/1624931672995/Evaluation_DIinDR.pdf</w:t>
        </w:r>
      </w:hyperlink>
      <w:r w:rsidR="00C34B36">
        <w:rPr>
          <w:rFonts w:asciiTheme="minorHAnsi" w:hAnsiTheme="minorHAnsi" w:cstheme="minorHAnsi"/>
          <w:sz w:val="18"/>
          <w:szCs w:val="18"/>
        </w:rPr>
        <w:t xml:space="preserve"> </w:t>
      </w:r>
    </w:p>
  </w:footnote>
  <w:footnote w:id="44">
    <w:p w14:paraId="07236ADB" w14:textId="57F59C61" w:rsidR="009B36D9" w:rsidRPr="00232DAB" w:rsidRDefault="009B36D9" w:rsidP="0084034E">
      <w:pPr>
        <w:spacing w:after="0" w:line="240" w:lineRule="auto"/>
        <w:rPr>
          <w:rFonts w:asciiTheme="minorHAnsi" w:hAnsiTheme="minorHAnsi" w:cstheme="minorHAnsi"/>
          <w:sz w:val="18"/>
          <w:szCs w:val="18"/>
        </w:rPr>
      </w:pPr>
      <w:r w:rsidRPr="00232DAB">
        <w:rPr>
          <w:rStyle w:val="FootnoteReference"/>
          <w:rFonts w:asciiTheme="minorHAnsi" w:hAnsiTheme="minorHAnsi" w:cstheme="minorHAnsi"/>
          <w:sz w:val="18"/>
          <w:szCs w:val="18"/>
        </w:rPr>
        <w:footnoteRef/>
      </w:r>
      <w:r w:rsidRPr="00232DAB">
        <w:rPr>
          <w:rFonts w:asciiTheme="minorHAnsi" w:hAnsiTheme="minorHAnsi" w:cstheme="minorHAnsi"/>
          <w:sz w:val="18"/>
          <w:szCs w:val="18"/>
        </w:rPr>
        <w:t xml:space="preserve"> </w:t>
      </w:r>
      <w:hyperlink r:id="rId37" w:history="1">
        <w:r w:rsidRPr="00232DAB">
          <w:rPr>
            <w:rStyle w:val="Hyperlink"/>
            <w:rFonts w:asciiTheme="minorHAnsi" w:hAnsiTheme="minorHAnsi" w:cstheme="minorHAnsi"/>
            <w:sz w:val="18"/>
            <w:szCs w:val="18"/>
          </w:rPr>
          <w:t>https://www.dfat.gov.au/sites/default/files/australian-humanitarian-partnership-mid-term-evaluation-2020.pdf</w:t>
        </w:r>
      </w:hyperlink>
    </w:p>
  </w:footnote>
  <w:footnote w:id="45">
    <w:p w14:paraId="0579D838" w14:textId="0A103F93" w:rsidR="0084034E" w:rsidRPr="0084034E" w:rsidRDefault="0084034E">
      <w:pPr>
        <w:pStyle w:val="FootnoteText"/>
        <w:rPr>
          <w:lang w:val="en-AU"/>
        </w:rPr>
      </w:pPr>
      <w:r w:rsidRPr="00232DAB">
        <w:rPr>
          <w:rStyle w:val="FootnoteReference"/>
          <w:rFonts w:asciiTheme="minorHAnsi" w:hAnsiTheme="minorHAnsi" w:cstheme="minorHAnsi"/>
          <w:sz w:val="18"/>
          <w:szCs w:val="18"/>
        </w:rPr>
        <w:footnoteRef/>
      </w:r>
      <w:r w:rsidRPr="00232DAB">
        <w:rPr>
          <w:rFonts w:asciiTheme="minorHAnsi" w:hAnsiTheme="minorHAnsi" w:cstheme="minorHAnsi"/>
          <w:sz w:val="18"/>
          <w:szCs w:val="18"/>
        </w:rPr>
        <w:t xml:space="preserve"> CB</w:t>
      </w:r>
      <w:r w:rsidR="00D006A5" w:rsidRPr="00232DAB">
        <w:rPr>
          <w:rFonts w:asciiTheme="minorHAnsi" w:hAnsiTheme="minorHAnsi" w:cstheme="minorHAnsi"/>
          <w:sz w:val="18"/>
          <w:szCs w:val="18"/>
        </w:rPr>
        <w:t>M</w:t>
      </w:r>
      <w:r w:rsidRPr="00232DAB">
        <w:rPr>
          <w:rFonts w:asciiTheme="minorHAnsi" w:hAnsiTheme="minorHAnsi" w:cstheme="minorHAnsi"/>
          <w:sz w:val="18"/>
          <w:szCs w:val="18"/>
        </w:rPr>
        <w:t xml:space="preserve"> New Zealand</w:t>
      </w:r>
      <w:r w:rsidR="00C34B36">
        <w:rPr>
          <w:rFonts w:asciiTheme="minorHAnsi" w:hAnsiTheme="minorHAnsi" w:cstheme="minorHAnsi"/>
          <w:sz w:val="18"/>
          <w:szCs w:val="18"/>
        </w:rPr>
        <w:t xml:space="preserve">, </w:t>
      </w:r>
      <w:r w:rsidR="00C34B36" w:rsidRPr="00E84D93">
        <w:rPr>
          <w:rFonts w:asciiTheme="minorHAnsi" w:hAnsiTheme="minorHAnsi" w:cstheme="minorHAnsi"/>
          <w:sz w:val="18"/>
          <w:szCs w:val="18"/>
        </w:rPr>
        <w:t>Pers. Comms.</w:t>
      </w:r>
      <w:r w:rsidR="00C34B36">
        <w:rPr>
          <w:rFonts w:asciiTheme="minorHAnsi" w:hAnsiTheme="minorHAnsi" w:cstheme="minorHAnsi"/>
          <w:sz w:val="18"/>
          <w:szCs w:val="18"/>
        </w:rPr>
        <w:t xml:space="preserve"> September 2022</w:t>
      </w:r>
    </w:p>
  </w:footnote>
  <w:footnote w:id="46">
    <w:p w14:paraId="76686C33" w14:textId="4B5E292D" w:rsidR="00F54C5F" w:rsidRPr="00DB32C7" w:rsidRDefault="00F54C5F">
      <w:pPr>
        <w:pStyle w:val="FootnoteText"/>
        <w:rPr>
          <w:rFonts w:asciiTheme="minorHAnsi" w:hAnsiTheme="minorHAnsi" w:cstheme="minorHAnsi"/>
          <w:sz w:val="18"/>
          <w:szCs w:val="18"/>
          <w:lang w:val="en-AU"/>
        </w:rPr>
      </w:pPr>
      <w:r w:rsidRPr="00DB32C7">
        <w:rPr>
          <w:rStyle w:val="FootnoteReference"/>
          <w:rFonts w:asciiTheme="minorHAnsi" w:hAnsiTheme="minorHAnsi" w:cstheme="minorHAnsi"/>
          <w:sz w:val="18"/>
          <w:szCs w:val="18"/>
        </w:rPr>
        <w:footnoteRef/>
      </w:r>
      <w:r w:rsidRPr="00DB32C7">
        <w:rPr>
          <w:rFonts w:asciiTheme="minorHAnsi" w:hAnsiTheme="minorHAnsi" w:cstheme="minorHAnsi"/>
          <w:sz w:val="18"/>
          <w:szCs w:val="18"/>
        </w:rPr>
        <w:t xml:space="preserve"> </w:t>
      </w:r>
      <w:r w:rsidRPr="00DB32C7">
        <w:rPr>
          <w:rFonts w:asciiTheme="minorHAnsi" w:hAnsiTheme="minorHAnsi" w:cstheme="minorHAnsi"/>
          <w:sz w:val="18"/>
          <w:szCs w:val="18"/>
          <w:lang w:val="en-AU"/>
        </w:rPr>
        <w:t xml:space="preserve">CRPD </w:t>
      </w:r>
      <w:r w:rsidR="00CE5B8D" w:rsidRPr="00DB32C7">
        <w:rPr>
          <w:rFonts w:asciiTheme="minorHAnsi" w:hAnsiTheme="minorHAnsi" w:cstheme="minorHAnsi"/>
          <w:sz w:val="18"/>
          <w:szCs w:val="18"/>
          <w:lang w:val="en-AU"/>
        </w:rPr>
        <w:t>Article 2 Definitions.</w:t>
      </w:r>
      <w:r w:rsidR="00C34B36">
        <w:rPr>
          <w:rFonts w:asciiTheme="minorHAnsi" w:hAnsiTheme="minorHAnsi" w:cstheme="minorHAnsi"/>
          <w:sz w:val="18"/>
          <w:szCs w:val="18"/>
          <w:lang w:val="en-AU"/>
        </w:rPr>
        <w:t xml:space="preserve"> </w:t>
      </w:r>
      <w:hyperlink r:id="rId38" w:history="1">
        <w:r w:rsidR="00C34B36" w:rsidRPr="004F5712">
          <w:rPr>
            <w:rStyle w:val="Hyperlink"/>
            <w:rFonts w:asciiTheme="minorHAnsi" w:hAnsiTheme="minorHAnsi" w:cstheme="minorHAnsi"/>
            <w:sz w:val="18"/>
            <w:szCs w:val="18"/>
            <w:lang w:val="en-AU"/>
          </w:rPr>
          <w:t>https://www.un.org/development/desa/disabilities/convention-on-the-rights-of-persons-with-disabilities/article-2-definitions.html</w:t>
        </w:r>
      </w:hyperlink>
      <w:r w:rsidR="00C34B36">
        <w:rPr>
          <w:rFonts w:asciiTheme="minorHAnsi" w:hAnsiTheme="minorHAnsi" w:cstheme="minorHAnsi"/>
          <w:sz w:val="18"/>
          <w:szCs w:val="18"/>
          <w:lang w:val="en-AU"/>
        </w:rPr>
        <w:t xml:space="preserve"> </w:t>
      </w:r>
    </w:p>
  </w:footnote>
  <w:footnote w:id="47">
    <w:p w14:paraId="3873B8BE" w14:textId="462CE7EE" w:rsidR="0031335F" w:rsidRPr="00DB32C7" w:rsidRDefault="0031335F">
      <w:pPr>
        <w:pStyle w:val="FootnoteText"/>
        <w:rPr>
          <w:rFonts w:asciiTheme="minorHAnsi" w:hAnsiTheme="minorHAnsi" w:cstheme="minorHAnsi"/>
          <w:lang w:val="en-AU"/>
        </w:rPr>
      </w:pPr>
      <w:r w:rsidRPr="00DB32C7">
        <w:rPr>
          <w:rStyle w:val="FootnoteReference"/>
          <w:rFonts w:asciiTheme="minorHAnsi" w:hAnsiTheme="minorHAnsi" w:cstheme="minorHAnsi"/>
          <w:sz w:val="18"/>
          <w:szCs w:val="18"/>
        </w:rPr>
        <w:footnoteRef/>
      </w:r>
      <w:r w:rsidRPr="00DB32C7">
        <w:rPr>
          <w:rFonts w:asciiTheme="minorHAnsi" w:hAnsiTheme="minorHAnsi" w:cstheme="minorHAnsi"/>
          <w:sz w:val="18"/>
          <w:szCs w:val="18"/>
        </w:rPr>
        <w:t xml:space="preserve"> </w:t>
      </w:r>
      <w:r w:rsidRPr="00DB32C7">
        <w:rPr>
          <w:rFonts w:asciiTheme="minorHAnsi" w:hAnsiTheme="minorHAnsi" w:cstheme="minorHAnsi"/>
          <w:sz w:val="18"/>
          <w:szCs w:val="18"/>
          <w:lang w:val="en-AU"/>
        </w:rPr>
        <w:t>Pacific Region Infrastructure Facility, 2016.</w:t>
      </w:r>
      <w:r w:rsidR="00C34B36">
        <w:rPr>
          <w:rFonts w:asciiTheme="minorHAnsi" w:hAnsiTheme="minorHAnsi" w:cstheme="minorHAnsi"/>
          <w:sz w:val="18"/>
          <w:szCs w:val="18"/>
          <w:lang w:val="en-AU"/>
        </w:rPr>
        <w:t xml:space="preserve"> </w:t>
      </w:r>
      <w:r w:rsidR="00C34B36" w:rsidRPr="0031335F">
        <w:rPr>
          <w:rFonts w:asciiTheme="minorHAnsi" w:hAnsiTheme="minorHAnsi" w:cstheme="minorHAnsi"/>
        </w:rPr>
        <w:t>Improving Accessibility in Transport Infrastructure Projects in the Pacific Islands</w:t>
      </w:r>
      <w:r w:rsidR="00C34B36">
        <w:rPr>
          <w:rFonts w:asciiTheme="minorHAnsi" w:hAnsiTheme="minorHAnsi" w:cstheme="minorHAnsi"/>
        </w:rPr>
        <w:t xml:space="preserve"> </w:t>
      </w:r>
      <w:hyperlink r:id="rId39" w:history="1">
        <w:r w:rsidRPr="00DB32C7">
          <w:rPr>
            <w:rStyle w:val="Hyperlink"/>
            <w:rFonts w:asciiTheme="minorHAnsi" w:hAnsiTheme="minorHAnsi" w:cstheme="minorHAnsi"/>
            <w:sz w:val="18"/>
            <w:szCs w:val="18"/>
          </w:rPr>
          <w:t>https://www.theprif.org/document/regional/transport/improving-accessibility-transport-infrastructure-projects-pacific</w:t>
        </w:r>
      </w:hyperlink>
      <w:r>
        <w:rPr>
          <w:rFonts w:asciiTheme="minorHAnsi" w:hAnsiTheme="minorHAnsi" w:cstheme="minorHAnsi"/>
          <w:sz w:val="18"/>
          <w:szCs w:val="18"/>
          <w:lang w:val="en-AU"/>
        </w:rPr>
        <w:t xml:space="preserve"> </w:t>
      </w:r>
    </w:p>
  </w:footnote>
  <w:footnote w:id="48">
    <w:p w14:paraId="48F3610E" w14:textId="7211F130" w:rsidR="00084646" w:rsidRPr="00084646" w:rsidRDefault="00084646">
      <w:pPr>
        <w:pStyle w:val="FootnoteText"/>
        <w:rPr>
          <w:rFonts w:asciiTheme="minorHAnsi" w:hAnsiTheme="minorHAnsi" w:cstheme="minorHAnsi"/>
          <w:sz w:val="18"/>
          <w:szCs w:val="18"/>
          <w:lang w:val="en-AU"/>
        </w:rPr>
      </w:pPr>
      <w:r w:rsidRPr="00084646">
        <w:rPr>
          <w:rStyle w:val="FootnoteReference"/>
          <w:rFonts w:asciiTheme="minorHAnsi" w:hAnsiTheme="minorHAnsi" w:cstheme="minorHAnsi"/>
          <w:sz w:val="18"/>
          <w:szCs w:val="18"/>
        </w:rPr>
        <w:footnoteRef/>
      </w:r>
      <w:r w:rsidRPr="00084646">
        <w:rPr>
          <w:rFonts w:asciiTheme="minorHAnsi" w:hAnsiTheme="minorHAnsi" w:cstheme="minorHAnsi"/>
          <w:sz w:val="18"/>
          <w:szCs w:val="18"/>
        </w:rPr>
        <w:t xml:space="preserve"> </w:t>
      </w:r>
      <w:r w:rsidR="000C4CD2" w:rsidRPr="000C4CD2">
        <w:rPr>
          <w:rFonts w:asciiTheme="minorHAnsi" w:hAnsiTheme="minorHAnsi" w:cstheme="minorHAnsi"/>
          <w:sz w:val="18"/>
          <w:szCs w:val="18"/>
          <w:lang w:val="en-AU"/>
        </w:rPr>
        <w:t>Hillgrove</w:t>
      </w:r>
      <w:r w:rsidR="000C4CD2">
        <w:rPr>
          <w:rFonts w:asciiTheme="minorHAnsi" w:hAnsiTheme="minorHAnsi" w:cstheme="minorHAnsi"/>
          <w:sz w:val="18"/>
          <w:szCs w:val="18"/>
          <w:lang w:val="en-AU"/>
        </w:rPr>
        <w:t xml:space="preserve"> T, </w:t>
      </w:r>
      <w:r w:rsidR="000C4CD2" w:rsidRPr="000C4CD2">
        <w:rPr>
          <w:rFonts w:asciiTheme="minorHAnsi" w:hAnsiTheme="minorHAnsi" w:cstheme="minorHAnsi"/>
          <w:sz w:val="18"/>
          <w:szCs w:val="18"/>
          <w:lang w:val="en-AU"/>
        </w:rPr>
        <w:t>Blyth</w:t>
      </w:r>
      <w:r w:rsidR="000C4CD2">
        <w:rPr>
          <w:rFonts w:asciiTheme="minorHAnsi" w:hAnsiTheme="minorHAnsi" w:cstheme="minorHAnsi"/>
          <w:sz w:val="18"/>
          <w:szCs w:val="18"/>
          <w:lang w:val="en-AU"/>
        </w:rPr>
        <w:t xml:space="preserve"> J, </w:t>
      </w:r>
      <w:r w:rsidR="000C4CD2" w:rsidRPr="000C4CD2">
        <w:rPr>
          <w:rFonts w:asciiTheme="minorHAnsi" w:hAnsiTheme="minorHAnsi" w:cstheme="minorHAnsi"/>
          <w:sz w:val="18"/>
          <w:szCs w:val="18"/>
          <w:lang w:val="en-AU"/>
        </w:rPr>
        <w:t>Kiefel-Johnson F</w:t>
      </w:r>
      <w:r w:rsidR="000C4CD2">
        <w:rPr>
          <w:rFonts w:asciiTheme="minorHAnsi" w:hAnsiTheme="minorHAnsi" w:cstheme="minorHAnsi"/>
          <w:sz w:val="18"/>
          <w:szCs w:val="18"/>
          <w:lang w:val="en-AU"/>
        </w:rPr>
        <w:t xml:space="preserve">, </w:t>
      </w:r>
      <w:r w:rsidR="000C4CD2" w:rsidRPr="000C4CD2">
        <w:rPr>
          <w:rFonts w:asciiTheme="minorHAnsi" w:hAnsiTheme="minorHAnsi" w:cstheme="minorHAnsi"/>
          <w:sz w:val="18"/>
          <w:szCs w:val="18"/>
          <w:lang w:val="en-AU"/>
        </w:rPr>
        <w:t>Pryor</w:t>
      </w:r>
      <w:r w:rsidR="000C4CD2">
        <w:rPr>
          <w:rFonts w:asciiTheme="minorHAnsi" w:hAnsiTheme="minorHAnsi" w:cstheme="minorHAnsi"/>
          <w:sz w:val="18"/>
          <w:szCs w:val="18"/>
          <w:lang w:val="en-AU"/>
        </w:rPr>
        <w:t xml:space="preserve"> </w:t>
      </w:r>
      <w:r w:rsidR="000C4CD2" w:rsidRPr="000C4CD2">
        <w:rPr>
          <w:rFonts w:asciiTheme="minorHAnsi" w:hAnsiTheme="minorHAnsi" w:cstheme="minorHAnsi"/>
          <w:sz w:val="18"/>
          <w:szCs w:val="18"/>
          <w:lang w:val="en-AU"/>
        </w:rPr>
        <w:t xml:space="preserve">W. </w:t>
      </w:r>
      <w:r w:rsidR="000C4CD2">
        <w:rPr>
          <w:rFonts w:asciiTheme="minorHAnsi" w:hAnsiTheme="minorHAnsi" w:cstheme="minorHAnsi"/>
          <w:sz w:val="18"/>
          <w:szCs w:val="18"/>
          <w:lang w:val="en-AU"/>
        </w:rPr>
        <w:t xml:space="preserve">2021. </w:t>
      </w:r>
      <w:r w:rsidR="000C4CD2" w:rsidRPr="000C4CD2">
        <w:rPr>
          <w:rFonts w:asciiTheme="minorHAnsi" w:hAnsiTheme="minorHAnsi" w:cstheme="minorHAnsi"/>
          <w:sz w:val="18"/>
          <w:szCs w:val="18"/>
          <w:lang w:val="en-AU"/>
        </w:rPr>
        <w:t xml:space="preserve">A Synthesis of Findings from ‘Rapid Assessments’ of Disability and the COVID-19 Pandemic: Implications for Response and Disability-Inclusive Data Collection. Int. J. Environ. Res. Public Health, 18. </w:t>
      </w:r>
      <w:hyperlink r:id="rId40" w:history="1">
        <w:r w:rsidR="000C4CD2" w:rsidRPr="004F5712">
          <w:rPr>
            <w:rStyle w:val="Hyperlink"/>
            <w:rFonts w:asciiTheme="minorHAnsi" w:hAnsiTheme="minorHAnsi" w:cstheme="minorHAnsi"/>
            <w:sz w:val="18"/>
            <w:szCs w:val="18"/>
            <w:lang w:val="en-AU"/>
          </w:rPr>
          <w:t>https://doi.org/10.3390/ijerph18189701</w:t>
        </w:r>
      </w:hyperlink>
      <w:r w:rsidR="000C4CD2">
        <w:rPr>
          <w:rFonts w:asciiTheme="minorHAnsi" w:hAnsiTheme="minorHAnsi" w:cstheme="minorHAnsi"/>
          <w:sz w:val="18"/>
          <w:szCs w:val="18"/>
          <w:lang w:val="en-AU"/>
        </w:rPr>
        <w:t xml:space="preserve"> </w:t>
      </w:r>
    </w:p>
  </w:footnote>
  <w:footnote w:id="49">
    <w:p w14:paraId="2BBC5F7D" w14:textId="4E5D42F1" w:rsidR="003D552F" w:rsidRPr="000C4CD2" w:rsidRDefault="003D552F">
      <w:pPr>
        <w:pStyle w:val="FootnoteText"/>
        <w:rPr>
          <w:rFonts w:asciiTheme="minorHAnsi" w:hAnsiTheme="minorHAnsi" w:cstheme="minorHAnsi"/>
          <w:sz w:val="18"/>
          <w:szCs w:val="18"/>
          <w:lang w:val="en-AU"/>
        </w:rPr>
      </w:pPr>
      <w:r w:rsidRPr="000C4CD2">
        <w:rPr>
          <w:rStyle w:val="FootnoteReference"/>
          <w:rFonts w:asciiTheme="minorHAnsi" w:hAnsiTheme="minorHAnsi" w:cstheme="minorHAnsi"/>
          <w:sz w:val="18"/>
          <w:szCs w:val="18"/>
        </w:rPr>
        <w:footnoteRef/>
      </w:r>
      <w:r w:rsidRPr="000C4CD2">
        <w:rPr>
          <w:rFonts w:asciiTheme="minorHAnsi" w:hAnsiTheme="minorHAnsi" w:cstheme="minorHAnsi"/>
          <w:sz w:val="18"/>
          <w:szCs w:val="18"/>
        </w:rPr>
        <w:t xml:space="preserve"> </w:t>
      </w:r>
      <w:r w:rsidR="000C4CD2" w:rsidRPr="000C4CD2">
        <w:rPr>
          <w:rFonts w:asciiTheme="minorHAnsi" w:hAnsiTheme="minorHAnsi" w:cstheme="minorHAnsi"/>
          <w:sz w:val="18"/>
          <w:szCs w:val="18"/>
        </w:rPr>
        <w:t xml:space="preserve">DFAT. 2021. Gender Equality and Social Inclusion in the Australian Government NGO Cooperation Program (ANCP) 2019-2020. </w:t>
      </w:r>
      <w:hyperlink r:id="rId41" w:history="1">
        <w:r w:rsidR="000C4CD2" w:rsidRPr="000C4CD2">
          <w:rPr>
            <w:rStyle w:val="Hyperlink"/>
            <w:rFonts w:asciiTheme="minorHAnsi" w:hAnsiTheme="minorHAnsi" w:cstheme="minorHAnsi"/>
            <w:sz w:val="18"/>
            <w:szCs w:val="18"/>
          </w:rPr>
          <w:t>https://www.dfat.gov.au/sites/default/files/gender-equality-and-social-inclusion-in-the-ancp-2019-20.pdf</w:t>
        </w:r>
      </w:hyperlink>
    </w:p>
  </w:footnote>
  <w:footnote w:id="50">
    <w:p w14:paraId="6C8CA735" w14:textId="0E2A7A1E" w:rsidR="005E01A1" w:rsidRPr="00DB32C7" w:rsidRDefault="005E01A1">
      <w:pPr>
        <w:pStyle w:val="FootnoteText"/>
        <w:rPr>
          <w:lang w:val="en-AU"/>
        </w:rPr>
      </w:pPr>
      <w:r w:rsidRPr="000C4CD2">
        <w:rPr>
          <w:rStyle w:val="FootnoteReference"/>
          <w:rFonts w:asciiTheme="minorHAnsi" w:hAnsiTheme="minorHAnsi" w:cstheme="minorHAnsi"/>
          <w:sz w:val="18"/>
          <w:szCs w:val="18"/>
        </w:rPr>
        <w:footnoteRef/>
      </w:r>
      <w:r w:rsidRPr="000C4CD2">
        <w:rPr>
          <w:rFonts w:asciiTheme="minorHAnsi" w:hAnsiTheme="minorHAnsi" w:cstheme="minorHAnsi"/>
          <w:sz w:val="18"/>
          <w:szCs w:val="18"/>
        </w:rPr>
        <w:t xml:space="preserve"> </w:t>
      </w:r>
      <w:r w:rsidR="000C4CD2" w:rsidRPr="000C4CD2">
        <w:rPr>
          <w:rFonts w:asciiTheme="minorHAnsi" w:hAnsiTheme="minorHAnsi" w:cstheme="minorHAnsi"/>
          <w:sz w:val="18"/>
          <w:szCs w:val="18"/>
        </w:rPr>
        <w:t xml:space="preserve">UNDRR. 2022. Building a Resilient Pacific. Pacific Women Leaders Reducing Disaster Risk. </w:t>
      </w:r>
      <w:hyperlink r:id="rId42" w:history="1">
        <w:r w:rsidR="000C4CD2" w:rsidRPr="000C4CD2">
          <w:rPr>
            <w:rStyle w:val="Hyperlink"/>
            <w:rFonts w:asciiTheme="minorHAnsi" w:hAnsiTheme="minorHAnsi" w:cstheme="minorHAnsi"/>
            <w:sz w:val="18"/>
            <w:szCs w:val="18"/>
          </w:rPr>
          <w:t>https://www.undrr.org/publication/building-resilient-pacific</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1295" w14:textId="1BC59D05" w:rsidR="0006257C" w:rsidRDefault="00436C79">
    <w:pPr>
      <w:pStyle w:val="Header"/>
      <w:rPr>
        <w:rFonts w:ascii="Cambria" w:hAnsi="Cambria" w:cs="Arial"/>
        <w:sz w:val="18"/>
        <w:szCs w:val="18"/>
      </w:rPr>
    </w:pPr>
    <w:r>
      <w:rPr>
        <w:noProof/>
        <w:color w:val="2B579A"/>
        <w:shd w:val="clear" w:color="auto" w:fill="E6E6E6"/>
      </w:rPr>
      <w:drawing>
        <wp:anchor distT="0" distB="0" distL="114300" distR="114300" simplePos="0" relativeHeight="251658242" behindDoc="0" locked="0" layoutInCell="1" allowOverlap="1" wp14:anchorId="43CD10B4" wp14:editId="2FD85D18">
          <wp:simplePos x="0" y="0"/>
          <wp:positionH relativeFrom="column">
            <wp:posOffset>-238125</wp:posOffset>
          </wp:positionH>
          <wp:positionV relativeFrom="page">
            <wp:posOffset>228600</wp:posOffset>
          </wp:positionV>
          <wp:extent cx="781050" cy="844550"/>
          <wp:effectExtent l="0" t="0" r="0" b="0"/>
          <wp:wrapThrough wrapText="bothSides">
            <wp:wrapPolygon edited="0">
              <wp:start x="0" y="0"/>
              <wp:lineTo x="0" y="20950"/>
              <wp:lineTo x="21073" y="20950"/>
              <wp:lineTo x="21073" y="0"/>
              <wp:lineTo x="0" y="0"/>
            </wp:wrapPolygon>
          </wp:wrapThrough>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257C">
      <w:rPr>
        <w:rFonts w:ascii="Cambria" w:hAnsi="Cambria" w:cs="Arial"/>
        <w:noProof/>
        <w:color w:val="2B579A"/>
        <w:sz w:val="18"/>
        <w:szCs w:val="18"/>
        <w:shd w:val="clear" w:color="auto" w:fill="E6E6E6"/>
      </w:rPr>
      <w:drawing>
        <wp:anchor distT="0" distB="0" distL="114300" distR="114300" simplePos="0" relativeHeight="251658241" behindDoc="0" locked="0" layoutInCell="1" allowOverlap="1" wp14:anchorId="10EAB169" wp14:editId="7AA6E737">
          <wp:simplePos x="0" y="0"/>
          <wp:positionH relativeFrom="column">
            <wp:posOffset>2422232</wp:posOffset>
          </wp:positionH>
          <wp:positionV relativeFrom="paragraph">
            <wp:posOffset>-112932</wp:posOffset>
          </wp:positionV>
          <wp:extent cx="609600" cy="609600"/>
          <wp:effectExtent l="0" t="0" r="0" b="0"/>
          <wp:wrapThrough wrapText="bothSides">
            <wp:wrapPolygon edited="0">
              <wp:start x="0" y="0"/>
              <wp:lineTo x="0" y="21150"/>
              <wp:lineTo x="21150" y="21150"/>
              <wp:lineTo x="21150" y="0"/>
              <wp:lineTo x="0" y="0"/>
            </wp:wrapPolygon>
          </wp:wrapThrough>
          <wp:docPr id="202" name="Picture 2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14:sizeRelH relativeFrom="margin">
            <wp14:pctWidth>0</wp14:pctWidth>
          </wp14:sizeRelH>
          <wp14:sizeRelV relativeFrom="margin">
            <wp14:pctHeight>0</wp14:pctHeight>
          </wp14:sizeRelV>
        </wp:anchor>
      </w:drawing>
    </w:r>
    <w:r w:rsidR="0006257C">
      <w:rPr>
        <w:rFonts w:ascii="Cambria" w:hAnsi="Cambria" w:cs="Arial"/>
        <w:noProof/>
        <w:color w:val="2B579A"/>
        <w:sz w:val="18"/>
        <w:szCs w:val="18"/>
        <w:shd w:val="clear" w:color="auto" w:fill="E6E6E6"/>
      </w:rPr>
      <w:drawing>
        <wp:anchor distT="0" distB="0" distL="114300" distR="114300" simplePos="0" relativeHeight="251658243" behindDoc="0" locked="0" layoutInCell="1" allowOverlap="1" wp14:anchorId="7F2C7950" wp14:editId="37C24D64">
          <wp:simplePos x="0" y="0"/>
          <wp:positionH relativeFrom="column">
            <wp:posOffset>826770</wp:posOffset>
          </wp:positionH>
          <wp:positionV relativeFrom="paragraph">
            <wp:posOffset>-48700</wp:posOffset>
          </wp:positionV>
          <wp:extent cx="1390650" cy="502920"/>
          <wp:effectExtent l="0" t="0" r="0" b="0"/>
          <wp:wrapThrough wrapText="bothSides">
            <wp:wrapPolygon edited="0">
              <wp:start x="0" y="0"/>
              <wp:lineTo x="0" y="20455"/>
              <wp:lineTo x="21304" y="20455"/>
              <wp:lineTo x="21304" y="0"/>
              <wp:lineTo x="0" y="0"/>
            </wp:wrapPolygon>
          </wp:wrapThrough>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650" cy="502920"/>
                  </a:xfrm>
                  <a:prstGeom prst="rect">
                    <a:avLst/>
                  </a:prstGeom>
                  <a:noFill/>
                </pic:spPr>
              </pic:pic>
            </a:graphicData>
          </a:graphic>
          <wp14:sizeRelH relativeFrom="margin">
            <wp14:pctWidth>0</wp14:pctWidth>
          </wp14:sizeRelH>
          <wp14:sizeRelV relativeFrom="margin">
            <wp14:pctHeight>0</wp14:pctHeight>
          </wp14:sizeRelV>
        </wp:anchor>
      </w:drawing>
    </w:r>
    <w:r w:rsidR="0006257C">
      <w:rPr>
        <w:rFonts w:ascii="Cambria" w:hAnsi="Cambria" w:cs="Arial"/>
        <w:noProof/>
        <w:color w:val="2B579A"/>
        <w:sz w:val="18"/>
        <w:szCs w:val="18"/>
        <w:shd w:val="clear" w:color="auto" w:fill="E6E6E6"/>
      </w:rPr>
      <w:drawing>
        <wp:anchor distT="0" distB="0" distL="114300" distR="114300" simplePos="0" relativeHeight="251658244" behindDoc="0" locked="0" layoutInCell="1" allowOverlap="1" wp14:anchorId="1A8D606C" wp14:editId="2A4DC874">
          <wp:simplePos x="0" y="0"/>
          <wp:positionH relativeFrom="column">
            <wp:posOffset>3274060</wp:posOffset>
          </wp:positionH>
          <wp:positionV relativeFrom="paragraph">
            <wp:posOffset>56515</wp:posOffset>
          </wp:positionV>
          <wp:extent cx="2562860" cy="396240"/>
          <wp:effectExtent l="0" t="0" r="2540" b="0"/>
          <wp:wrapThrough wrapText="bothSides">
            <wp:wrapPolygon edited="0">
              <wp:start x="7278" y="0"/>
              <wp:lineTo x="0" y="0"/>
              <wp:lineTo x="0" y="20077"/>
              <wp:lineTo x="7278" y="20769"/>
              <wp:lineTo x="7921" y="20769"/>
              <wp:lineTo x="21514" y="17308"/>
              <wp:lineTo x="21514" y="2769"/>
              <wp:lineTo x="17982" y="0"/>
              <wp:lineTo x="7921" y="0"/>
              <wp:lineTo x="7278" y="0"/>
            </wp:wrapPolygon>
          </wp:wrapThrough>
          <wp:docPr id="204" name="Pictur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62860" cy="396240"/>
                  </a:xfrm>
                  <a:prstGeom prst="rect">
                    <a:avLst/>
                  </a:prstGeom>
                  <a:noFill/>
                </pic:spPr>
              </pic:pic>
            </a:graphicData>
          </a:graphic>
          <wp14:sizeRelH relativeFrom="margin">
            <wp14:pctWidth>0</wp14:pctWidth>
          </wp14:sizeRelH>
          <wp14:sizeRelV relativeFrom="margin">
            <wp14:pctHeight>0</wp14:pctHeight>
          </wp14:sizeRelV>
        </wp:anchor>
      </w:drawing>
    </w:r>
  </w:p>
  <w:p w14:paraId="0EE40E23" w14:textId="72DC5329" w:rsidR="009B4092" w:rsidRPr="00FE3959" w:rsidRDefault="009B4092">
    <w:pPr>
      <w:pStyle w:val="Header"/>
      <w:rPr>
        <w:rFonts w:ascii="Cambria" w:hAnsi="Cambr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6FDF6" w14:textId="77777777" w:rsidR="009B4092" w:rsidRPr="0085543E" w:rsidRDefault="006E542A">
    <w:pPr>
      <w:pStyle w:val="Header"/>
      <w:rPr>
        <w:rFonts w:ascii="Noto Serif" w:hAnsi="Noto Serif" w:cs="Noto Serif"/>
        <w:sz w:val="20"/>
        <w:szCs w:val="20"/>
      </w:rPr>
    </w:pPr>
    <w:r w:rsidRPr="0085543E">
      <w:rPr>
        <w:rFonts w:ascii="Noto Serif" w:hAnsi="Noto Serif" w:cs="Noto Serif"/>
        <w:noProof/>
        <w:color w:val="2B579A"/>
        <w:sz w:val="20"/>
        <w:szCs w:val="20"/>
        <w:shd w:val="clear" w:color="auto" w:fill="E6E6E6"/>
        <w:lang w:eastAsia="en-AU"/>
      </w:rPr>
      <w:drawing>
        <wp:anchor distT="0" distB="0" distL="114300" distR="114300" simplePos="0" relativeHeight="251658240" behindDoc="0" locked="0" layoutInCell="1" allowOverlap="1" wp14:anchorId="02E5DD43" wp14:editId="643B7F45">
          <wp:simplePos x="0" y="0"/>
          <wp:positionH relativeFrom="column">
            <wp:posOffset>5210175</wp:posOffset>
          </wp:positionH>
          <wp:positionV relativeFrom="paragraph">
            <wp:posOffset>-267335</wp:posOffset>
          </wp:positionV>
          <wp:extent cx="1220345" cy="612110"/>
          <wp:effectExtent l="0" t="0" r="0" b="0"/>
          <wp:wrapNone/>
          <wp:docPr id="205" name="Picture 2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0345" cy="612110"/>
                  </a:xfrm>
                  <a:prstGeom prst="rect">
                    <a:avLst/>
                  </a:prstGeom>
                </pic:spPr>
              </pic:pic>
            </a:graphicData>
          </a:graphic>
          <wp14:sizeRelH relativeFrom="margin">
            <wp14:pctWidth>0</wp14:pctWidth>
          </wp14:sizeRelH>
          <wp14:sizeRelV relativeFrom="margin">
            <wp14:pctHeight>0</wp14:pctHeight>
          </wp14:sizeRelV>
        </wp:anchor>
      </w:drawing>
    </w:r>
    <w:r>
      <w:rPr>
        <w:rFonts w:ascii="Noto Serif" w:hAnsi="Noto Serif" w:cs="Noto Serif"/>
        <w:sz w:val="20"/>
        <w:szCs w:val="20"/>
      </w:rPr>
      <w:t>Version 1.0. 04/10</w:t>
    </w:r>
    <w:r w:rsidRPr="0085543E">
      <w:rPr>
        <w:rFonts w:ascii="Noto Serif" w:hAnsi="Noto Serif" w:cs="Noto Serif"/>
        <w:sz w:val="20"/>
        <w:szCs w:val="20"/>
      </w:rPr>
      <w:t>/18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2B75"/>
    <w:multiLevelType w:val="hybridMultilevel"/>
    <w:tmpl w:val="A23EAF8C"/>
    <w:lvl w:ilvl="0" w:tplc="8828DA74">
      <w:start w:val="1"/>
      <w:numFmt w:val="bullet"/>
      <w:lvlText w:val=""/>
      <w:lvlJc w:val="left"/>
      <w:pPr>
        <w:ind w:left="720" w:hanging="360"/>
      </w:pPr>
      <w:rPr>
        <w:rFonts w:ascii="Symbol" w:hAnsi="Symbol" w:hint="default"/>
        <w:color w:val="0941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30486"/>
    <w:multiLevelType w:val="hybridMultilevel"/>
    <w:tmpl w:val="63F2D9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41469"/>
    <w:multiLevelType w:val="hybridMultilevel"/>
    <w:tmpl w:val="539CDC9A"/>
    <w:lvl w:ilvl="0" w:tplc="1FFA0246">
      <w:start w:val="1"/>
      <w:numFmt w:val="bullet"/>
      <w:lvlText w:val=""/>
      <w:lvlJc w:val="left"/>
      <w:pPr>
        <w:ind w:left="720" w:hanging="360"/>
      </w:pPr>
      <w:rPr>
        <w:rFonts w:ascii="Symbol" w:hAnsi="Symbol" w:hint="default"/>
        <w:color w:val="09418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4354E"/>
    <w:multiLevelType w:val="hybridMultilevel"/>
    <w:tmpl w:val="50F8C6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81B7A5D"/>
    <w:multiLevelType w:val="hybridMultilevel"/>
    <w:tmpl w:val="BF28EFB4"/>
    <w:lvl w:ilvl="0" w:tplc="1FFA0246">
      <w:start w:val="1"/>
      <w:numFmt w:val="bullet"/>
      <w:lvlText w:val=""/>
      <w:lvlJc w:val="left"/>
      <w:pPr>
        <w:ind w:left="720" w:hanging="360"/>
      </w:pPr>
      <w:rPr>
        <w:rFonts w:ascii="Symbol" w:hAnsi="Symbol" w:hint="default"/>
        <w:color w:val="0941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E45AB"/>
    <w:multiLevelType w:val="hybridMultilevel"/>
    <w:tmpl w:val="0A9A1D08"/>
    <w:lvl w:ilvl="0" w:tplc="3B386770">
      <w:start w:val="1"/>
      <w:numFmt w:val="bullet"/>
      <w:lvlText w:val="•"/>
      <w:lvlJc w:val="left"/>
      <w:pPr>
        <w:tabs>
          <w:tab w:val="num" w:pos="720"/>
        </w:tabs>
        <w:ind w:left="720" w:hanging="360"/>
      </w:pPr>
      <w:rPr>
        <w:rFonts w:ascii="Arial" w:hAnsi="Arial" w:hint="default"/>
      </w:rPr>
    </w:lvl>
    <w:lvl w:ilvl="1" w:tplc="BBF8B408">
      <w:start w:val="1"/>
      <w:numFmt w:val="bullet"/>
      <w:lvlText w:val="•"/>
      <w:lvlJc w:val="left"/>
      <w:pPr>
        <w:tabs>
          <w:tab w:val="num" w:pos="1440"/>
        </w:tabs>
        <w:ind w:left="1440" w:hanging="360"/>
      </w:pPr>
      <w:rPr>
        <w:rFonts w:ascii="Arial" w:hAnsi="Arial" w:hint="default"/>
      </w:rPr>
    </w:lvl>
    <w:lvl w:ilvl="2" w:tplc="2AF694F8" w:tentative="1">
      <w:start w:val="1"/>
      <w:numFmt w:val="bullet"/>
      <w:lvlText w:val="•"/>
      <w:lvlJc w:val="left"/>
      <w:pPr>
        <w:tabs>
          <w:tab w:val="num" w:pos="2160"/>
        </w:tabs>
        <w:ind w:left="2160" w:hanging="360"/>
      </w:pPr>
      <w:rPr>
        <w:rFonts w:ascii="Arial" w:hAnsi="Arial" w:hint="default"/>
      </w:rPr>
    </w:lvl>
    <w:lvl w:ilvl="3" w:tplc="5CF0E1E4" w:tentative="1">
      <w:start w:val="1"/>
      <w:numFmt w:val="bullet"/>
      <w:lvlText w:val="•"/>
      <w:lvlJc w:val="left"/>
      <w:pPr>
        <w:tabs>
          <w:tab w:val="num" w:pos="2880"/>
        </w:tabs>
        <w:ind w:left="2880" w:hanging="360"/>
      </w:pPr>
      <w:rPr>
        <w:rFonts w:ascii="Arial" w:hAnsi="Arial" w:hint="default"/>
      </w:rPr>
    </w:lvl>
    <w:lvl w:ilvl="4" w:tplc="7A0810A8" w:tentative="1">
      <w:start w:val="1"/>
      <w:numFmt w:val="bullet"/>
      <w:lvlText w:val="•"/>
      <w:lvlJc w:val="left"/>
      <w:pPr>
        <w:tabs>
          <w:tab w:val="num" w:pos="3600"/>
        </w:tabs>
        <w:ind w:left="3600" w:hanging="360"/>
      </w:pPr>
      <w:rPr>
        <w:rFonts w:ascii="Arial" w:hAnsi="Arial" w:hint="default"/>
      </w:rPr>
    </w:lvl>
    <w:lvl w:ilvl="5" w:tplc="70AE50E4" w:tentative="1">
      <w:start w:val="1"/>
      <w:numFmt w:val="bullet"/>
      <w:lvlText w:val="•"/>
      <w:lvlJc w:val="left"/>
      <w:pPr>
        <w:tabs>
          <w:tab w:val="num" w:pos="4320"/>
        </w:tabs>
        <w:ind w:left="4320" w:hanging="360"/>
      </w:pPr>
      <w:rPr>
        <w:rFonts w:ascii="Arial" w:hAnsi="Arial" w:hint="default"/>
      </w:rPr>
    </w:lvl>
    <w:lvl w:ilvl="6" w:tplc="B42CA0C2" w:tentative="1">
      <w:start w:val="1"/>
      <w:numFmt w:val="bullet"/>
      <w:lvlText w:val="•"/>
      <w:lvlJc w:val="left"/>
      <w:pPr>
        <w:tabs>
          <w:tab w:val="num" w:pos="5040"/>
        </w:tabs>
        <w:ind w:left="5040" w:hanging="360"/>
      </w:pPr>
      <w:rPr>
        <w:rFonts w:ascii="Arial" w:hAnsi="Arial" w:hint="default"/>
      </w:rPr>
    </w:lvl>
    <w:lvl w:ilvl="7" w:tplc="AA481D2C" w:tentative="1">
      <w:start w:val="1"/>
      <w:numFmt w:val="bullet"/>
      <w:lvlText w:val="•"/>
      <w:lvlJc w:val="left"/>
      <w:pPr>
        <w:tabs>
          <w:tab w:val="num" w:pos="5760"/>
        </w:tabs>
        <w:ind w:left="5760" w:hanging="360"/>
      </w:pPr>
      <w:rPr>
        <w:rFonts w:ascii="Arial" w:hAnsi="Arial" w:hint="default"/>
      </w:rPr>
    </w:lvl>
    <w:lvl w:ilvl="8" w:tplc="A952600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FB05A0"/>
    <w:multiLevelType w:val="hybridMultilevel"/>
    <w:tmpl w:val="0FA6971C"/>
    <w:lvl w:ilvl="0" w:tplc="1FFA0246">
      <w:start w:val="1"/>
      <w:numFmt w:val="bullet"/>
      <w:lvlText w:val=""/>
      <w:lvlJc w:val="left"/>
      <w:pPr>
        <w:ind w:left="720" w:hanging="360"/>
      </w:pPr>
      <w:rPr>
        <w:rFonts w:ascii="Symbol" w:hAnsi="Symbol" w:hint="default"/>
        <w:color w:val="0941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635D7"/>
    <w:multiLevelType w:val="hybridMultilevel"/>
    <w:tmpl w:val="34785C0E"/>
    <w:lvl w:ilvl="0" w:tplc="0F9C1300">
      <w:start w:val="1"/>
      <w:numFmt w:val="bullet"/>
      <w:lvlText w:val="o"/>
      <w:lvlJc w:val="left"/>
      <w:pPr>
        <w:ind w:left="1440" w:hanging="360"/>
      </w:pPr>
      <w:rPr>
        <w:rFonts w:ascii="Courier New" w:hAnsi="Courier New" w:cs="Courier New" w:hint="default"/>
        <w:color w:val="094183"/>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E62FC8"/>
    <w:multiLevelType w:val="hybridMultilevel"/>
    <w:tmpl w:val="1CCABC24"/>
    <w:lvl w:ilvl="0" w:tplc="E91A1B9C">
      <w:start w:val="1"/>
      <w:numFmt w:val="decimal"/>
      <w:lvlText w:val="%1."/>
      <w:lvlJc w:val="left"/>
      <w:pPr>
        <w:ind w:left="360" w:hanging="360"/>
      </w:pPr>
      <w:rPr>
        <w:rFonts w:asciiTheme="minorHAnsi" w:hAnsiTheme="minorHAnsi" w:cstheme="minorHAnsi" w:hint="default"/>
        <w:b w:val="0"/>
        <w:color w:val="094183"/>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B07FB1"/>
    <w:multiLevelType w:val="hybridMultilevel"/>
    <w:tmpl w:val="ED6E1904"/>
    <w:lvl w:ilvl="0" w:tplc="1FFA0246">
      <w:start w:val="1"/>
      <w:numFmt w:val="bullet"/>
      <w:lvlText w:val=""/>
      <w:lvlJc w:val="left"/>
      <w:pPr>
        <w:ind w:left="720" w:hanging="360"/>
      </w:pPr>
      <w:rPr>
        <w:rFonts w:ascii="Symbol" w:hAnsi="Symbol" w:hint="default"/>
        <w:color w:val="0941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B4985"/>
    <w:multiLevelType w:val="hybridMultilevel"/>
    <w:tmpl w:val="54826ED8"/>
    <w:lvl w:ilvl="0" w:tplc="E4DC52E6">
      <w:start w:val="1"/>
      <w:numFmt w:val="bullet"/>
      <w:lvlText w:val=""/>
      <w:lvlJc w:val="left"/>
      <w:pPr>
        <w:ind w:left="360" w:hanging="360"/>
      </w:pPr>
      <w:rPr>
        <w:rFonts w:ascii="Symbol" w:hAnsi="Symbol" w:hint="default"/>
        <w:color w:val="09418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53C3873"/>
    <w:multiLevelType w:val="hybridMultilevel"/>
    <w:tmpl w:val="B1DA7C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E495A9A"/>
    <w:multiLevelType w:val="hybridMultilevel"/>
    <w:tmpl w:val="7572129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2C57B0"/>
    <w:multiLevelType w:val="hybridMultilevel"/>
    <w:tmpl w:val="85906A8E"/>
    <w:lvl w:ilvl="0" w:tplc="04090001">
      <w:start w:val="1"/>
      <w:numFmt w:val="bullet"/>
      <w:lvlText w:val=""/>
      <w:lvlJc w:val="left"/>
      <w:pPr>
        <w:ind w:left="720" w:hanging="360"/>
      </w:pPr>
      <w:rPr>
        <w:rFonts w:ascii="Symbol" w:hAnsi="Symbol" w:hint="default"/>
        <w:color w:val="0941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46767F"/>
    <w:multiLevelType w:val="hybridMultilevel"/>
    <w:tmpl w:val="4FFCCF3E"/>
    <w:lvl w:ilvl="0" w:tplc="FFFFFFFF">
      <w:start w:val="1"/>
      <w:numFmt w:val="decimal"/>
      <w:lvlText w:val="%1."/>
      <w:lvlJc w:val="left"/>
      <w:pPr>
        <w:ind w:left="360" w:hanging="360"/>
      </w:pPr>
      <w:rPr>
        <w:rFonts w:asciiTheme="minorHAnsi" w:hAnsiTheme="minorHAnsi" w:cstheme="minorHAnsi" w:hint="default"/>
        <w:b w:val="0"/>
        <w:color w:val="09418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4F2781C"/>
    <w:multiLevelType w:val="hybridMultilevel"/>
    <w:tmpl w:val="14A8F5E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8665BC6"/>
    <w:multiLevelType w:val="hybridMultilevel"/>
    <w:tmpl w:val="193C8C82"/>
    <w:lvl w:ilvl="0" w:tplc="E91A1B9C">
      <w:start w:val="1"/>
      <w:numFmt w:val="decimal"/>
      <w:lvlText w:val="%1."/>
      <w:lvlJc w:val="left"/>
      <w:pPr>
        <w:ind w:left="360" w:hanging="360"/>
      </w:pPr>
      <w:rPr>
        <w:rFonts w:asciiTheme="minorHAnsi" w:hAnsiTheme="minorHAnsi" w:cstheme="minorHAnsi" w:hint="default"/>
        <w:b w:val="0"/>
        <w:color w:val="094183"/>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9274909"/>
    <w:multiLevelType w:val="hybridMultilevel"/>
    <w:tmpl w:val="45E27DB2"/>
    <w:lvl w:ilvl="0" w:tplc="1FFA0246">
      <w:start w:val="1"/>
      <w:numFmt w:val="bullet"/>
      <w:lvlText w:val=""/>
      <w:lvlJc w:val="left"/>
      <w:pPr>
        <w:ind w:left="720" w:hanging="360"/>
      </w:pPr>
      <w:rPr>
        <w:rFonts w:ascii="Symbol" w:hAnsi="Symbol" w:hint="default"/>
        <w:color w:val="0941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9F2C58"/>
    <w:multiLevelType w:val="hybridMultilevel"/>
    <w:tmpl w:val="3BD0FB6C"/>
    <w:lvl w:ilvl="0" w:tplc="E4065F5A">
      <w:start w:val="1"/>
      <w:numFmt w:val="bullet"/>
      <w:lvlText w:val=""/>
      <w:lvlJc w:val="left"/>
      <w:pPr>
        <w:ind w:left="360" w:hanging="360"/>
      </w:pPr>
      <w:rPr>
        <w:rFonts w:ascii="Symbol" w:hAnsi="Symbol" w:hint="default"/>
        <w:color w:val="09418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D1350CD"/>
    <w:multiLevelType w:val="hybridMultilevel"/>
    <w:tmpl w:val="26F87CF8"/>
    <w:lvl w:ilvl="0" w:tplc="AD365B9C">
      <w:start w:val="1"/>
      <w:numFmt w:val="lowerRoman"/>
      <w:lvlText w:val="%1."/>
      <w:lvlJc w:val="righ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E06B08"/>
    <w:multiLevelType w:val="hybridMultilevel"/>
    <w:tmpl w:val="AD506C9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F6412FA"/>
    <w:multiLevelType w:val="hybridMultilevel"/>
    <w:tmpl w:val="6C2E8DB6"/>
    <w:lvl w:ilvl="0" w:tplc="E4DC52E6">
      <w:start w:val="1"/>
      <w:numFmt w:val="bullet"/>
      <w:lvlText w:val=""/>
      <w:lvlJc w:val="left"/>
      <w:pPr>
        <w:ind w:left="360" w:hanging="360"/>
      </w:pPr>
      <w:rPr>
        <w:rFonts w:ascii="Symbol" w:hAnsi="Symbol" w:hint="default"/>
        <w:color w:val="09418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833908"/>
    <w:multiLevelType w:val="hybridMultilevel"/>
    <w:tmpl w:val="2C1EE38A"/>
    <w:lvl w:ilvl="0" w:tplc="1FFA0246">
      <w:start w:val="1"/>
      <w:numFmt w:val="bullet"/>
      <w:lvlText w:val=""/>
      <w:lvlJc w:val="left"/>
      <w:pPr>
        <w:ind w:left="360" w:hanging="360"/>
      </w:pPr>
      <w:rPr>
        <w:rFonts w:ascii="Symbol" w:hAnsi="Symbol" w:hint="default"/>
        <w:color w:val="09418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26A2DA5"/>
    <w:multiLevelType w:val="hybridMultilevel"/>
    <w:tmpl w:val="6C60393A"/>
    <w:lvl w:ilvl="0" w:tplc="04090001">
      <w:start w:val="1"/>
      <w:numFmt w:val="bullet"/>
      <w:lvlText w:val=""/>
      <w:lvlJc w:val="left"/>
      <w:pPr>
        <w:ind w:left="720" w:hanging="360"/>
      </w:pPr>
      <w:rPr>
        <w:rFonts w:ascii="Symbol" w:hAnsi="Symbol" w:hint="default"/>
        <w:color w:val="094183"/>
      </w:rPr>
    </w:lvl>
    <w:lvl w:ilvl="1" w:tplc="358CAFCA">
      <w:start w:val="1"/>
      <w:numFmt w:val="bullet"/>
      <w:lvlText w:val="o"/>
      <w:lvlJc w:val="left"/>
      <w:pPr>
        <w:ind w:left="1440" w:hanging="360"/>
      </w:pPr>
      <w:rPr>
        <w:rFonts w:ascii="Courier New" w:hAnsi="Courier New" w:cs="Courier New" w:hint="default"/>
        <w:color w:val="094183"/>
      </w:rPr>
    </w:lvl>
    <w:lvl w:ilvl="2" w:tplc="50149B18">
      <w:start w:val="1"/>
      <w:numFmt w:val="bullet"/>
      <w:lvlText w:val=""/>
      <w:lvlJc w:val="left"/>
      <w:pPr>
        <w:ind w:left="2160" w:hanging="360"/>
      </w:pPr>
      <w:rPr>
        <w:rFonts w:ascii="Wingdings" w:hAnsi="Wingdings" w:hint="default"/>
        <w:color w:val="094183"/>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717746"/>
    <w:multiLevelType w:val="hybridMultilevel"/>
    <w:tmpl w:val="E46EF0BA"/>
    <w:lvl w:ilvl="0" w:tplc="04090003">
      <w:start w:val="1"/>
      <w:numFmt w:val="bullet"/>
      <w:lvlText w:val="o"/>
      <w:lvlJc w:val="left"/>
      <w:pPr>
        <w:ind w:left="1440" w:hanging="360"/>
      </w:pPr>
      <w:rPr>
        <w:rFonts w:ascii="Courier New" w:hAnsi="Courier New" w:cs="Courier New" w:hint="default"/>
      </w:rPr>
    </w:lvl>
    <w:lvl w:ilvl="1" w:tplc="50149B18">
      <w:start w:val="1"/>
      <w:numFmt w:val="bullet"/>
      <w:lvlText w:val=""/>
      <w:lvlJc w:val="left"/>
      <w:pPr>
        <w:ind w:left="2160" w:hanging="360"/>
      </w:pPr>
      <w:rPr>
        <w:rFonts w:ascii="Wingdings" w:hAnsi="Wingdings" w:hint="default"/>
        <w:color w:val="094183"/>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4D565CD"/>
    <w:multiLevelType w:val="hybridMultilevel"/>
    <w:tmpl w:val="33E8BF48"/>
    <w:lvl w:ilvl="0" w:tplc="C4DE338E">
      <w:start w:val="3"/>
      <w:numFmt w:val="lowerRoman"/>
      <w:lvlText w:val="%1."/>
      <w:lvlJc w:val="righ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B875A5"/>
    <w:multiLevelType w:val="hybridMultilevel"/>
    <w:tmpl w:val="5FCED4AE"/>
    <w:lvl w:ilvl="0" w:tplc="04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2072702"/>
    <w:multiLevelType w:val="hybridMultilevel"/>
    <w:tmpl w:val="BBBA4F6A"/>
    <w:lvl w:ilvl="0" w:tplc="04090001">
      <w:start w:val="1"/>
      <w:numFmt w:val="bullet"/>
      <w:lvlText w:val=""/>
      <w:lvlJc w:val="left"/>
      <w:pPr>
        <w:ind w:left="720" w:hanging="360"/>
      </w:pPr>
      <w:rPr>
        <w:rFonts w:ascii="Symbol" w:hAnsi="Symbol" w:hint="default"/>
        <w:color w:val="09418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0F086F"/>
    <w:multiLevelType w:val="hybridMultilevel"/>
    <w:tmpl w:val="7CE284B8"/>
    <w:lvl w:ilvl="0" w:tplc="F2949AA0">
      <w:start w:val="1"/>
      <w:numFmt w:val="bullet"/>
      <w:lvlText w:val=""/>
      <w:lvlJc w:val="left"/>
      <w:pPr>
        <w:ind w:left="360" w:hanging="360"/>
      </w:pPr>
      <w:rPr>
        <w:rFonts w:ascii="Symbol" w:hAnsi="Symbol" w:hint="default"/>
        <w:color w:val="09418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4BC0310"/>
    <w:multiLevelType w:val="hybridMultilevel"/>
    <w:tmpl w:val="48787B12"/>
    <w:lvl w:ilvl="0" w:tplc="D4B6EA16">
      <w:start w:val="1"/>
      <w:numFmt w:val="bullet"/>
      <w:lvlText w:val=""/>
      <w:lvlJc w:val="left"/>
      <w:pPr>
        <w:ind w:left="720" w:hanging="360"/>
      </w:pPr>
      <w:rPr>
        <w:rFonts w:ascii="Symbol" w:hAnsi="Symbol" w:hint="default"/>
        <w:color w:val="094183"/>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5364E0"/>
    <w:multiLevelType w:val="hybridMultilevel"/>
    <w:tmpl w:val="CFF45F9C"/>
    <w:lvl w:ilvl="0" w:tplc="1FFA0246">
      <w:start w:val="1"/>
      <w:numFmt w:val="bullet"/>
      <w:lvlText w:val=""/>
      <w:lvlJc w:val="left"/>
      <w:pPr>
        <w:ind w:left="360" w:hanging="360"/>
      </w:pPr>
      <w:rPr>
        <w:rFonts w:ascii="Symbol" w:hAnsi="Symbol" w:hint="default"/>
        <w:color w:val="094183"/>
      </w:rPr>
    </w:lvl>
    <w:lvl w:ilvl="1" w:tplc="3FACFCEA">
      <w:start w:val="1"/>
      <w:numFmt w:val="bullet"/>
      <w:lvlText w:val="o"/>
      <w:lvlJc w:val="left"/>
      <w:pPr>
        <w:ind w:left="1080" w:hanging="360"/>
      </w:pPr>
      <w:rPr>
        <w:rFonts w:ascii="Courier New" w:hAnsi="Courier New" w:cs="Courier New" w:hint="default"/>
        <w:color w:val="094183"/>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7231C76"/>
    <w:multiLevelType w:val="hybridMultilevel"/>
    <w:tmpl w:val="135ADF90"/>
    <w:lvl w:ilvl="0" w:tplc="1FFA0246">
      <w:start w:val="1"/>
      <w:numFmt w:val="bullet"/>
      <w:lvlText w:val=""/>
      <w:lvlJc w:val="left"/>
      <w:pPr>
        <w:ind w:left="1080" w:hanging="360"/>
      </w:pPr>
      <w:rPr>
        <w:rFonts w:ascii="Symbol" w:hAnsi="Symbol" w:hint="default"/>
        <w:color w:val="09418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8F8601D"/>
    <w:multiLevelType w:val="hybridMultilevel"/>
    <w:tmpl w:val="F044254A"/>
    <w:lvl w:ilvl="0" w:tplc="0540B5EE">
      <w:start w:val="1"/>
      <w:numFmt w:val="bullet"/>
      <w:lvlText w:val=""/>
      <w:lvlJc w:val="left"/>
      <w:pPr>
        <w:ind w:left="720" w:hanging="360"/>
      </w:pPr>
      <w:rPr>
        <w:rFonts w:ascii="Symbol" w:hAnsi="Symbol" w:hint="default"/>
        <w:color w:val="094183"/>
      </w:rPr>
    </w:lvl>
    <w:lvl w:ilvl="1" w:tplc="9FCAB084">
      <w:start w:val="1"/>
      <w:numFmt w:val="bullet"/>
      <w:lvlText w:val="o"/>
      <w:lvlJc w:val="left"/>
      <w:pPr>
        <w:ind w:left="1440" w:hanging="360"/>
      </w:pPr>
      <w:rPr>
        <w:rFonts w:asciiTheme="minorHAnsi" w:hAnsiTheme="minorHAnsi" w:cstheme="minorHAnsi" w:hint="default"/>
        <w:color w:val="094183"/>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AB34AC"/>
    <w:multiLevelType w:val="hybridMultilevel"/>
    <w:tmpl w:val="C5282DA6"/>
    <w:lvl w:ilvl="0" w:tplc="B25CDF9A">
      <w:start w:val="1"/>
      <w:numFmt w:val="bullet"/>
      <w:lvlText w:val="•"/>
      <w:lvlJc w:val="left"/>
      <w:pPr>
        <w:tabs>
          <w:tab w:val="num" w:pos="720"/>
        </w:tabs>
        <w:ind w:left="720" w:hanging="360"/>
      </w:pPr>
      <w:rPr>
        <w:rFonts w:ascii="Arial" w:hAnsi="Arial" w:hint="default"/>
      </w:rPr>
    </w:lvl>
    <w:lvl w:ilvl="1" w:tplc="D2A23B6A">
      <w:start w:val="1"/>
      <w:numFmt w:val="bullet"/>
      <w:lvlText w:val="•"/>
      <w:lvlJc w:val="left"/>
      <w:pPr>
        <w:tabs>
          <w:tab w:val="num" w:pos="1440"/>
        </w:tabs>
        <w:ind w:left="1440" w:hanging="360"/>
      </w:pPr>
      <w:rPr>
        <w:rFonts w:ascii="Arial" w:hAnsi="Arial" w:hint="default"/>
      </w:rPr>
    </w:lvl>
    <w:lvl w:ilvl="2" w:tplc="DA00CF72">
      <w:start w:val="80"/>
      <w:numFmt w:val="bullet"/>
      <w:lvlText w:val="•"/>
      <w:lvlJc w:val="left"/>
      <w:pPr>
        <w:tabs>
          <w:tab w:val="num" w:pos="2160"/>
        </w:tabs>
        <w:ind w:left="2160" w:hanging="360"/>
      </w:pPr>
      <w:rPr>
        <w:rFonts w:ascii="Arial" w:hAnsi="Arial" w:hint="default"/>
      </w:rPr>
    </w:lvl>
    <w:lvl w:ilvl="3" w:tplc="F6AE02E8" w:tentative="1">
      <w:start w:val="1"/>
      <w:numFmt w:val="bullet"/>
      <w:lvlText w:val="•"/>
      <w:lvlJc w:val="left"/>
      <w:pPr>
        <w:tabs>
          <w:tab w:val="num" w:pos="2880"/>
        </w:tabs>
        <w:ind w:left="2880" w:hanging="360"/>
      </w:pPr>
      <w:rPr>
        <w:rFonts w:ascii="Arial" w:hAnsi="Arial" w:hint="default"/>
      </w:rPr>
    </w:lvl>
    <w:lvl w:ilvl="4" w:tplc="C8F877DC" w:tentative="1">
      <w:start w:val="1"/>
      <w:numFmt w:val="bullet"/>
      <w:lvlText w:val="•"/>
      <w:lvlJc w:val="left"/>
      <w:pPr>
        <w:tabs>
          <w:tab w:val="num" w:pos="3600"/>
        </w:tabs>
        <w:ind w:left="3600" w:hanging="360"/>
      </w:pPr>
      <w:rPr>
        <w:rFonts w:ascii="Arial" w:hAnsi="Arial" w:hint="default"/>
      </w:rPr>
    </w:lvl>
    <w:lvl w:ilvl="5" w:tplc="BDA643F6" w:tentative="1">
      <w:start w:val="1"/>
      <w:numFmt w:val="bullet"/>
      <w:lvlText w:val="•"/>
      <w:lvlJc w:val="left"/>
      <w:pPr>
        <w:tabs>
          <w:tab w:val="num" w:pos="4320"/>
        </w:tabs>
        <w:ind w:left="4320" w:hanging="360"/>
      </w:pPr>
      <w:rPr>
        <w:rFonts w:ascii="Arial" w:hAnsi="Arial" w:hint="default"/>
      </w:rPr>
    </w:lvl>
    <w:lvl w:ilvl="6" w:tplc="7F8A4E4C" w:tentative="1">
      <w:start w:val="1"/>
      <w:numFmt w:val="bullet"/>
      <w:lvlText w:val="•"/>
      <w:lvlJc w:val="left"/>
      <w:pPr>
        <w:tabs>
          <w:tab w:val="num" w:pos="5040"/>
        </w:tabs>
        <w:ind w:left="5040" w:hanging="360"/>
      </w:pPr>
      <w:rPr>
        <w:rFonts w:ascii="Arial" w:hAnsi="Arial" w:hint="default"/>
      </w:rPr>
    </w:lvl>
    <w:lvl w:ilvl="7" w:tplc="0CDA7AF6" w:tentative="1">
      <w:start w:val="1"/>
      <w:numFmt w:val="bullet"/>
      <w:lvlText w:val="•"/>
      <w:lvlJc w:val="left"/>
      <w:pPr>
        <w:tabs>
          <w:tab w:val="num" w:pos="5760"/>
        </w:tabs>
        <w:ind w:left="5760" w:hanging="360"/>
      </w:pPr>
      <w:rPr>
        <w:rFonts w:ascii="Arial" w:hAnsi="Arial" w:hint="default"/>
      </w:rPr>
    </w:lvl>
    <w:lvl w:ilvl="8" w:tplc="CFF454C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B341370"/>
    <w:multiLevelType w:val="hybridMultilevel"/>
    <w:tmpl w:val="D87830BE"/>
    <w:lvl w:ilvl="0" w:tplc="1FFA0246">
      <w:start w:val="1"/>
      <w:numFmt w:val="bullet"/>
      <w:lvlText w:val=""/>
      <w:lvlJc w:val="left"/>
      <w:pPr>
        <w:ind w:left="1080" w:hanging="360"/>
      </w:pPr>
      <w:rPr>
        <w:rFonts w:ascii="Symbol" w:hAnsi="Symbol" w:hint="default"/>
        <w:color w:val="09418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CDB7F8D"/>
    <w:multiLevelType w:val="hybridMultilevel"/>
    <w:tmpl w:val="D6C4B7BC"/>
    <w:lvl w:ilvl="0" w:tplc="1FA6728C">
      <w:start w:val="1"/>
      <w:numFmt w:val="bullet"/>
      <w:lvlText w:val=""/>
      <w:lvlJc w:val="left"/>
      <w:pPr>
        <w:ind w:left="360" w:hanging="360"/>
      </w:pPr>
      <w:rPr>
        <w:rFonts w:ascii="Symbol" w:hAnsi="Symbol" w:hint="default"/>
        <w:color w:val="094183"/>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0531A7A"/>
    <w:multiLevelType w:val="hybridMultilevel"/>
    <w:tmpl w:val="4FFCCF3E"/>
    <w:lvl w:ilvl="0" w:tplc="FFFFFFFF">
      <w:start w:val="1"/>
      <w:numFmt w:val="decimal"/>
      <w:lvlText w:val="%1."/>
      <w:lvlJc w:val="left"/>
      <w:pPr>
        <w:ind w:left="360" w:hanging="360"/>
      </w:pPr>
      <w:rPr>
        <w:rFonts w:asciiTheme="minorHAnsi" w:hAnsiTheme="minorHAnsi" w:cstheme="minorHAnsi" w:hint="default"/>
        <w:b w:val="0"/>
        <w:color w:val="09418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274467A"/>
    <w:multiLevelType w:val="hybridMultilevel"/>
    <w:tmpl w:val="58C04508"/>
    <w:lvl w:ilvl="0" w:tplc="D4B6EA16">
      <w:start w:val="1"/>
      <w:numFmt w:val="bullet"/>
      <w:lvlText w:val=""/>
      <w:lvlJc w:val="left"/>
      <w:pPr>
        <w:ind w:left="720" w:hanging="360"/>
      </w:pPr>
      <w:rPr>
        <w:rFonts w:ascii="Symbol" w:hAnsi="Symbol" w:hint="default"/>
        <w:color w:val="0941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C566DE"/>
    <w:multiLevelType w:val="hybridMultilevel"/>
    <w:tmpl w:val="65561B12"/>
    <w:lvl w:ilvl="0" w:tplc="1FFA0246">
      <w:start w:val="1"/>
      <w:numFmt w:val="bullet"/>
      <w:lvlText w:val=""/>
      <w:lvlJc w:val="left"/>
      <w:pPr>
        <w:ind w:left="720" w:hanging="360"/>
      </w:pPr>
      <w:rPr>
        <w:rFonts w:ascii="Symbol" w:hAnsi="Symbol" w:hint="default"/>
        <w:color w:val="0941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143BEC"/>
    <w:multiLevelType w:val="hybridMultilevel"/>
    <w:tmpl w:val="D08C4922"/>
    <w:lvl w:ilvl="0" w:tplc="FFFFFFFF">
      <w:start w:val="1"/>
      <w:numFmt w:val="decimal"/>
      <w:lvlText w:val="%1."/>
      <w:lvlJc w:val="left"/>
      <w:pPr>
        <w:ind w:left="360" w:hanging="360"/>
      </w:pPr>
      <w:rPr>
        <w:rFonts w:asciiTheme="minorHAnsi" w:hAnsiTheme="minorHAnsi" w:cstheme="minorHAnsi" w:hint="default"/>
        <w:b w:val="0"/>
        <w:color w:val="09418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F805D76"/>
    <w:multiLevelType w:val="hybridMultilevel"/>
    <w:tmpl w:val="B986C21E"/>
    <w:lvl w:ilvl="0" w:tplc="E7E6E072">
      <w:start w:val="1"/>
      <w:numFmt w:val="lowerLetter"/>
      <w:lvlText w:val="%1."/>
      <w:lvlJc w:val="left"/>
      <w:pPr>
        <w:ind w:left="720" w:hanging="360"/>
      </w:pPr>
      <w:rPr>
        <w:color w:val="09418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720320"/>
    <w:multiLevelType w:val="hybridMultilevel"/>
    <w:tmpl w:val="081A08E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2F15132"/>
    <w:multiLevelType w:val="hybridMultilevel"/>
    <w:tmpl w:val="1264D450"/>
    <w:lvl w:ilvl="0" w:tplc="910AA3D0">
      <w:start w:val="1"/>
      <w:numFmt w:val="bullet"/>
      <w:lvlText w:val="o"/>
      <w:lvlJc w:val="left"/>
      <w:pPr>
        <w:ind w:left="1080" w:hanging="360"/>
      </w:pPr>
      <w:rPr>
        <w:rFonts w:ascii="Courier New" w:hAnsi="Courier New" w:hint="default"/>
        <w:color w:val="09418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3861F4E"/>
    <w:multiLevelType w:val="hybridMultilevel"/>
    <w:tmpl w:val="4B4C0136"/>
    <w:lvl w:ilvl="0" w:tplc="0540B5EE">
      <w:start w:val="1"/>
      <w:numFmt w:val="bullet"/>
      <w:lvlText w:val=""/>
      <w:lvlJc w:val="left"/>
      <w:pPr>
        <w:ind w:left="720" w:hanging="360"/>
      </w:pPr>
      <w:rPr>
        <w:rFonts w:ascii="Symbol" w:hAnsi="Symbol" w:hint="default"/>
        <w:color w:val="09418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5657934">
    <w:abstractNumId w:val="8"/>
  </w:num>
  <w:num w:numId="2" w16cid:durableId="1413623502">
    <w:abstractNumId w:val="7"/>
  </w:num>
  <w:num w:numId="3" w16cid:durableId="366226344">
    <w:abstractNumId w:val="32"/>
  </w:num>
  <w:num w:numId="4" w16cid:durableId="1366053680">
    <w:abstractNumId w:val="34"/>
  </w:num>
  <w:num w:numId="5" w16cid:durableId="1309945182">
    <w:abstractNumId w:val="38"/>
  </w:num>
  <w:num w:numId="6" w16cid:durableId="2021590381">
    <w:abstractNumId w:val="31"/>
  </w:num>
  <w:num w:numId="7" w16cid:durableId="947617407">
    <w:abstractNumId w:val="12"/>
  </w:num>
  <w:num w:numId="8" w16cid:durableId="1624267776">
    <w:abstractNumId w:val="0"/>
  </w:num>
  <w:num w:numId="9" w16cid:durableId="1815370284">
    <w:abstractNumId w:val="19"/>
  </w:num>
  <w:num w:numId="10" w16cid:durableId="1367681593">
    <w:abstractNumId w:val="25"/>
  </w:num>
  <w:num w:numId="11" w16cid:durableId="1055397376">
    <w:abstractNumId w:val="20"/>
  </w:num>
  <w:num w:numId="12" w16cid:durableId="160851749">
    <w:abstractNumId w:val="33"/>
  </w:num>
  <w:num w:numId="13" w16cid:durableId="1702782721">
    <w:abstractNumId w:val="5"/>
  </w:num>
  <w:num w:numId="14" w16cid:durableId="1183711724">
    <w:abstractNumId w:val="23"/>
  </w:num>
  <w:num w:numId="15" w16cid:durableId="1880703375">
    <w:abstractNumId w:val="13"/>
  </w:num>
  <w:num w:numId="16" w16cid:durableId="1106728476">
    <w:abstractNumId w:val="24"/>
  </w:num>
  <w:num w:numId="17" w16cid:durableId="1145469143">
    <w:abstractNumId w:val="15"/>
  </w:num>
  <w:num w:numId="18" w16cid:durableId="204561249">
    <w:abstractNumId w:val="3"/>
  </w:num>
  <w:num w:numId="19" w16cid:durableId="520045235">
    <w:abstractNumId w:val="11"/>
  </w:num>
  <w:num w:numId="20" w16cid:durableId="6710800">
    <w:abstractNumId w:val="27"/>
  </w:num>
  <w:num w:numId="21" w16cid:durableId="1252618104">
    <w:abstractNumId w:val="37"/>
  </w:num>
  <w:num w:numId="22" w16cid:durableId="1099176199">
    <w:abstractNumId w:val="29"/>
  </w:num>
  <w:num w:numId="23" w16cid:durableId="1757826965">
    <w:abstractNumId w:val="43"/>
  </w:num>
  <w:num w:numId="24" w16cid:durableId="1856768521">
    <w:abstractNumId w:val="41"/>
  </w:num>
  <w:num w:numId="25" w16cid:durableId="1472014666">
    <w:abstractNumId w:val="30"/>
  </w:num>
  <w:num w:numId="26" w16cid:durableId="2027057008">
    <w:abstractNumId w:val="40"/>
  </w:num>
  <w:num w:numId="27" w16cid:durableId="1644000127">
    <w:abstractNumId w:val="1"/>
  </w:num>
  <w:num w:numId="28" w16cid:durableId="1487209208">
    <w:abstractNumId w:val="42"/>
  </w:num>
  <w:num w:numId="29" w16cid:durableId="1218858410">
    <w:abstractNumId w:val="6"/>
  </w:num>
  <w:num w:numId="30" w16cid:durableId="634988317">
    <w:abstractNumId w:val="2"/>
  </w:num>
  <w:num w:numId="31" w16cid:durableId="1358196896">
    <w:abstractNumId w:val="9"/>
  </w:num>
  <w:num w:numId="32" w16cid:durableId="1367758461">
    <w:abstractNumId w:val="17"/>
  </w:num>
  <w:num w:numId="33" w16cid:durableId="1298340740">
    <w:abstractNumId w:val="4"/>
  </w:num>
  <w:num w:numId="34" w16cid:durableId="463082774">
    <w:abstractNumId w:val="28"/>
  </w:num>
  <w:num w:numId="35" w16cid:durableId="361783267">
    <w:abstractNumId w:val="35"/>
  </w:num>
  <w:num w:numId="36" w16cid:durableId="991449148">
    <w:abstractNumId w:val="10"/>
  </w:num>
  <w:num w:numId="37" w16cid:durableId="114179063">
    <w:abstractNumId w:val="21"/>
  </w:num>
  <w:num w:numId="38" w16cid:durableId="1464227152">
    <w:abstractNumId w:val="18"/>
  </w:num>
  <w:num w:numId="39" w16cid:durableId="2014335073">
    <w:abstractNumId w:val="26"/>
  </w:num>
  <w:num w:numId="40" w16cid:durableId="583690246">
    <w:abstractNumId w:val="16"/>
  </w:num>
  <w:num w:numId="41" w16cid:durableId="2145467086">
    <w:abstractNumId w:val="39"/>
  </w:num>
  <w:num w:numId="42" w16cid:durableId="1156648772">
    <w:abstractNumId w:val="36"/>
  </w:num>
  <w:num w:numId="43" w16cid:durableId="1387413533">
    <w:abstractNumId w:val="14"/>
  </w:num>
  <w:num w:numId="44" w16cid:durableId="60254603">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EAA"/>
    <w:rsid w:val="000044C3"/>
    <w:rsid w:val="00004F3D"/>
    <w:rsid w:val="00010772"/>
    <w:rsid w:val="00011F98"/>
    <w:rsid w:val="000217B2"/>
    <w:rsid w:val="000222F8"/>
    <w:rsid w:val="00027DC8"/>
    <w:rsid w:val="00030480"/>
    <w:rsid w:val="00031D34"/>
    <w:rsid w:val="0003277C"/>
    <w:rsid w:val="000341E0"/>
    <w:rsid w:val="0003663E"/>
    <w:rsid w:val="00043DD1"/>
    <w:rsid w:val="000456BA"/>
    <w:rsid w:val="0004734B"/>
    <w:rsid w:val="000548CA"/>
    <w:rsid w:val="0006257C"/>
    <w:rsid w:val="00063262"/>
    <w:rsid w:val="000655D3"/>
    <w:rsid w:val="000666A5"/>
    <w:rsid w:val="00066BD0"/>
    <w:rsid w:val="000716A5"/>
    <w:rsid w:val="00072C13"/>
    <w:rsid w:val="00075017"/>
    <w:rsid w:val="00084646"/>
    <w:rsid w:val="00084CCB"/>
    <w:rsid w:val="0008533F"/>
    <w:rsid w:val="000A0A02"/>
    <w:rsid w:val="000A34F6"/>
    <w:rsid w:val="000A5B7F"/>
    <w:rsid w:val="000A750B"/>
    <w:rsid w:val="000B1BCA"/>
    <w:rsid w:val="000B3362"/>
    <w:rsid w:val="000B3D9F"/>
    <w:rsid w:val="000B4062"/>
    <w:rsid w:val="000B701E"/>
    <w:rsid w:val="000B7158"/>
    <w:rsid w:val="000C1141"/>
    <w:rsid w:val="000C198F"/>
    <w:rsid w:val="000C2312"/>
    <w:rsid w:val="000C4CD2"/>
    <w:rsid w:val="000C5783"/>
    <w:rsid w:val="000C7E6B"/>
    <w:rsid w:val="000D30F0"/>
    <w:rsid w:val="000D5690"/>
    <w:rsid w:val="000D7F46"/>
    <w:rsid w:val="000E05DE"/>
    <w:rsid w:val="000E4FA8"/>
    <w:rsid w:val="000E6119"/>
    <w:rsid w:val="000F3E07"/>
    <w:rsid w:val="000F4E0C"/>
    <w:rsid w:val="000F5D95"/>
    <w:rsid w:val="000F6C0F"/>
    <w:rsid w:val="001016FA"/>
    <w:rsid w:val="00103614"/>
    <w:rsid w:val="00105A9C"/>
    <w:rsid w:val="0010741C"/>
    <w:rsid w:val="00114DF8"/>
    <w:rsid w:val="001156AF"/>
    <w:rsid w:val="00115B9A"/>
    <w:rsid w:val="001166BB"/>
    <w:rsid w:val="00120CB4"/>
    <w:rsid w:val="00124FF9"/>
    <w:rsid w:val="00131F2C"/>
    <w:rsid w:val="001357EA"/>
    <w:rsid w:val="001360C4"/>
    <w:rsid w:val="0014224B"/>
    <w:rsid w:val="001439FB"/>
    <w:rsid w:val="001459E8"/>
    <w:rsid w:val="00145AD1"/>
    <w:rsid w:val="00147A39"/>
    <w:rsid w:val="00151E89"/>
    <w:rsid w:val="001573F1"/>
    <w:rsid w:val="00163354"/>
    <w:rsid w:val="001651A4"/>
    <w:rsid w:val="001652FB"/>
    <w:rsid w:val="001654CE"/>
    <w:rsid w:val="00165586"/>
    <w:rsid w:val="00166C66"/>
    <w:rsid w:val="00172447"/>
    <w:rsid w:val="001728AB"/>
    <w:rsid w:val="00173147"/>
    <w:rsid w:val="00174E4E"/>
    <w:rsid w:val="00175C54"/>
    <w:rsid w:val="00175F7E"/>
    <w:rsid w:val="00177AEC"/>
    <w:rsid w:val="00181E6A"/>
    <w:rsid w:val="00183B92"/>
    <w:rsid w:val="00184811"/>
    <w:rsid w:val="00186A32"/>
    <w:rsid w:val="00190A70"/>
    <w:rsid w:val="001937B6"/>
    <w:rsid w:val="00194AED"/>
    <w:rsid w:val="00194D1D"/>
    <w:rsid w:val="001A02CD"/>
    <w:rsid w:val="001A11E8"/>
    <w:rsid w:val="001A4718"/>
    <w:rsid w:val="001A49B6"/>
    <w:rsid w:val="001A4D55"/>
    <w:rsid w:val="001A4EAC"/>
    <w:rsid w:val="001A7999"/>
    <w:rsid w:val="001B2129"/>
    <w:rsid w:val="001B6A40"/>
    <w:rsid w:val="001B724B"/>
    <w:rsid w:val="001C3361"/>
    <w:rsid w:val="001C4487"/>
    <w:rsid w:val="001C7B71"/>
    <w:rsid w:val="001D2751"/>
    <w:rsid w:val="001E3DB7"/>
    <w:rsid w:val="001E5391"/>
    <w:rsid w:val="001E71A2"/>
    <w:rsid w:val="001F37A9"/>
    <w:rsid w:val="001F6EEC"/>
    <w:rsid w:val="002026FC"/>
    <w:rsid w:val="00205630"/>
    <w:rsid w:val="002129B9"/>
    <w:rsid w:val="00221848"/>
    <w:rsid w:val="0022257C"/>
    <w:rsid w:val="002311B2"/>
    <w:rsid w:val="002311DA"/>
    <w:rsid w:val="00231398"/>
    <w:rsid w:val="00232DAB"/>
    <w:rsid w:val="0023304C"/>
    <w:rsid w:val="00235BC6"/>
    <w:rsid w:val="00236A2A"/>
    <w:rsid w:val="00236EEF"/>
    <w:rsid w:val="00240511"/>
    <w:rsid w:val="002416CD"/>
    <w:rsid w:val="00242ADF"/>
    <w:rsid w:val="002449C1"/>
    <w:rsid w:val="002452C4"/>
    <w:rsid w:val="00246817"/>
    <w:rsid w:val="00247472"/>
    <w:rsid w:val="00256225"/>
    <w:rsid w:val="002604D0"/>
    <w:rsid w:val="00264819"/>
    <w:rsid w:val="0027123D"/>
    <w:rsid w:val="0027304F"/>
    <w:rsid w:val="002740AF"/>
    <w:rsid w:val="00275491"/>
    <w:rsid w:val="00277066"/>
    <w:rsid w:val="00280775"/>
    <w:rsid w:val="002825AC"/>
    <w:rsid w:val="0028364F"/>
    <w:rsid w:val="00283AC5"/>
    <w:rsid w:val="00284B63"/>
    <w:rsid w:val="00284DE9"/>
    <w:rsid w:val="002913BB"/>
    <w:rsid w:val="002921CA"/>
    <w:rsid w:val="00295893"/>
    <w:rsid w:val="002A1994"/>
    <w:rsid w:val="002A4102"/>
    <w:rsid w:val="002A4D5A"/>
    <w:rsid w:val="002A524F"/>
    <w:rsid w:val="002A706A"/>
    <w:rsid w:val="002A7EEF"/>
    <w:rsid w:val="002B02BB"/>
    <w:rsid w:val="002B138F"/>
    <w:rsid w:val="002B1513"/>
    <w:rsid w:val="002B4236"/>
    <w:rsid w:val="002B43E1"/>
    <w:rsid w:val="002B449C"/>
    <w:rsid w:val="002B5086"/>
    <w:rsid w:val="002B6367"/>
    <w:rsid w:val="002B6568"/>
    <w:rsid w:val="002D1057"/>
    <w:rsid w:val="002D2B02"/>
    <w:rsid w:val="002D3355"/>
    <w:rsid w:val="002D35B2"/>
    <w:rsid w:val="002D475E"/>
    <w:rsid w:val="002E25C2"/>
    <w:rsid w:val="002E2632"/>
    <w:rsid w:val="002E482C"/>
    <w:rsid w:val="002E48DB"/>
    <w:rsid w:val="002F1D28"/>
    <w:rsid w:val="002F244B"/>
    <w:rsid w:val="002F4F21"/>
    <w:rsid w:val="002F515E"/>
    <w:rsid w:val="002F5AA2"/>
    <w:rsid w:val="003008C4"/>
    <w:rsid w:val="003020FE"/>
    <w:rsid w:val="003040C9"/>
    <w:rsid w:val="003045A2"/>
    <w:rsid w:val="003048CF"/>
    <w:rsid w:val="00304C8C"/>
    <w:rsid w:val="003050EF"/>
    <w:rsid w:val="003060FD"/>
    <w:rsid w:val="003063E6"/>
    <w:rsid w:val="00306BC9"/>
    <w:rsid w:val="0031335F"/>
    <w:rsid w:val="00313563"/>
    <w:rsid w:val="003227A0"/>
    <w:rsid w:val="00323900"/>
    <w:rsid w:val="003259A2"/>
    <w:rsid w:val="00330F6C"/>
    <w:rsid w:val="0033261A"/>
    <w:rsid w:val="003339E8"/>
    <w:rsid w:val="00335F23"/>
    <w:rsid w:val="00347A18"/>
    <w:rsid w:val="003503E7"/>
    <w:rsid w:val="00353F1E"/>
    <w:rsid w:val="003542F7"/>
    <w:rsid w:val="003545B1"/>
    <w:rsid w:val="00364019"/>
    <w:rsid w:val="003657FB"/>
    <w:rsid w:val="003663A8"/>
    <w:rsid w:val="00366FC1"/>
    <w:rsid w:val="00367AD3"/>
    <w:rsid w:val="00370264"/>
    <w:rsid w:val="0037523E"/>
    <w:rsid w:val="003800E0"/>
    <w:rsid w:val="00381798"/>
    <w:rsid w:val="00384A55"/>
    <w:rsid w:val="0039220C"/>
    <w:rsid w:val="00392F3E"/>
    <w:rsid w:val="00394E20"/>
    <w:rsid w:val="0039571E"/>
    <w:rsid w:val="003A00E4"/>
    <w:rsid w:val="003B2A18"/>
    <w:rsid w:val="003B3222"/>
    <w:rsid w:val="003B4AC8"/>
    <w:rsid w:val="003B749B"/>
    <w:rsid w:val="003C14CE"/>
    <w:rsid w:val="003C2384"/>
    <w:rsid w:val="003C530B"/>
    <w:rsid w:val="003D1048"/>
    <w:rsid w:val="003D1EAD"/>
    <w:rsid w:val="003D3AA4"/>
    <w:rsid w:val="003D552F"/>
    <w:rsid w:val="003E1E26"/>
    <w:rsid w:val="003E2E2D"/>
    <w:rsid w:val="003E7929"/>
    <w:rsid w:val="004009EC"/>
    <w:rsid w:val="00401CC9"/>
    <w:rsid w:val="00403818"/>
    <w:rsid w:val="00403DBB"/>
    <w:rsid w:val="004130BC"/>
    <w:rsid w:val="004140E8"/>
    <w:rsid w:val="00414D64"/>
    <w:rsid w:val="0042041C"/>
    <w:rsid w:val="004232D4"/>
    <w:rsid w:val="004246A2"/>
    <w:rsid w:val="00425C8D"/>
    <w:rsid w:val="00425F4C"/>
    <w:rsid w:val="00426D06"/>
    <w:rsid w:val="004275F0"/>
    <w:rsid w:val="00431028"/>
    <w:rsid w:val="00433700"/>
    <w:rsid w:val="004347BB"/>
    <w:rsid w:val="00436C79"/>
    <w:rsid w:val="004409E2"/>
    <w:rsid w:val="004412CA"/>
    <w:rsid w:val="004414C6"/>
    <w:rsid w:val="00447C15"/>
    <w:rsid w:val="00450969"/>
    <w:rsid w:val="00451C72"/>
    <w:rsid w:val="00452F9D"/>
    <w:rsid w:val="004546F2"/>
    <w:rsid w:val="00454BDA"/>
    <w:rsid w:val="0045732F"/>
    <w:rsid w:val="004605DA"/>
    <w:rsid w:val="00460AA0"/>
    <w:rsid w:val="00462020"/>
    <w:rsid w:val="0046591A"/>
    <w:rsid w:val="00465CFF"/>
    <w:rsid w:val="0046662B"/>
    <w:rsid w:val="00470C89"/>
    <w:rsid w:val="00473867"/>
    <w:rsid w:val="004756D6"/>
    <w:rsid w:val="00481EB6"/>
    <w:rsid w:val="00483835"/>
    <w:rsid w:val="004841A8"/>
    <w:rsid w:val="00486DA9"/>
    <w:rsid w:val="00490429"/>
    <w:rsid w:val="00491BD8"/>
    <w:rsid w:val="0049202F"/>
    <w:rsid w:val="00493AC1"/>
    <w:rsid w:val="00495913"/>
    <w:rsid w:val="0049761E"/>
    <w:rsid w:val="004A0234"/>
    <w:rsid w:val="004A09EB"/>
    <w:rsid w:val="004A5773"/>
    <w:rsid w:val="004A6D2F"/>
    <w:rsid w:val="004B006E"/>
    <w:rsid w:val="004B2C91"/>
    <w:rsid w:val="004B310B"/>
    <w:rsid w:val="004B4D50"/>
    <w:rsid w:val="004B5F64"/>
    <w:rsid w:val="004B66A9"/>
    <w:rsid w:val="004C0F1B"/>
    <w:rsid w:val="004C164A"/>
    <w:rsid w:val="004C3B41"/>
    <w:rsid w:val="004C446F"/>
    <w:rsid w:val="004D0228"/>
    <w:rsid w:val="004D1045"/>
    <w:rsid w:val="004D2186"/>
    <w:rsid w:val="004D32EA"/>
    <w:rsid w:val="004D4EAA"/>
    <w:rsid w:val="004D5D94"/>
    <w:rsid w:val="004D5F10"/>
    <w:rsid w:val="004E0A64"/>
    <w:rsid w:val="004E2E71"/>
    <w:rsid w:val="004E7001"/>
    <w:rsid w:val="004E77C8"/>
    <w:rsid w:val="004F2834"/>
    <w:rsid w:val="004F62E3"/>
    <w:rsid w:val="004F7AB2"/>
    <w:rsid w:val="004F7D3A"/>
    <w:rsid w:val="005001F3"/>
    <w:rsid w:val="005022F5"/>
    <w:rsid w:val="00502A10"/>
    <w:rsid w:val="00503099"/>
    <w:rsid w:val="00510597"/>
    <w:rsid w:val="0051197B"/>
    <w:rsid w:val="00514A58"/>
    <w:rsid w:val="00514DED"/>
    <w:rsid w:val="0051785B"/>
    <w:rsid w:val="005178CF"/>
    <w:rsid w:val="0052023D"/>
    <w:rsid w:val="00520D1C"/>
    <w:rsid w:val="005242C8"/>
    <w:rsid w:val="00525708"/>
    <w:rsid w:val="0052609F"/>
    <w:rsid w:val="00530868"/>
    <w:rsid w:val="005329A8"/>
    <w:rsid w:val="00534BEC"/>
    <w:rsid w:val="00541C6C"/>
    <w:rsid w:val="0054363C"/>
    <w:rsid w:val="005436B4"/>
    <w:rsid w:val="00544369"/>
    <w:rsid w:val="00544578"/>
    <w:rsid w:val="00545FC4"/>
    <w:rsid w:val="00551438"/>
    <w:rsid w:val="00552E37"/>
    <w:rsid w:val="00553491"/>
    <w:rsid w:val="00553778"/>
    <w:rsid w:val="005540FC"/>
    <w:rsid w:val="00554433"/>
    <w:rsid w:val="00554862"/>
    <w:rsid w:val="00557B63"/>
    <w:rsid w:val="00557F02"/>
    <w:rsid w:val="00561288"/>
    <w:rsid w:val="0056186E"/>
    <w:rsid w:val="00562D02"/>
    <w:rsid w:val="00562DEB"/>
    <w:rsid w:val="0056365F"/>
    <w:rsid w:val="0056413B"/>
    <w:rsid w:val="005641E6"/>
    <w:rsid w:val="00564FEA"/>
    <w:rsid w:val="005729C2"/>
    <w:rsid w:val="00581268"/>
    <w:rsid w:val="00584252"/>
    <w:rsid w:val="00587E68"/>
    <w:rsid w:val="00591427"/>
    <w:rsid w:val="00591611"/>
    <w:rsid w:val="0059367D"/>
    <w:rsid w:val="005937DD"/>
    <w:rsid w:val="00595191"/>
    <w:rsid w:val="005A3105"/>
    <w:rsid w:val="005A513F"/>
    <w:rsid w:val="005A6AB1"/>
    <w:rsid w:val="005A7980"/>
    <w:rsid w:val="005B0E31"/>
    <w:rsid w:val="005B6562"/>
    <w:rsid w:val="005B74D6"/>
    <w:rsid w:val="005C3191"/>
    <w:rsid w:val="005C326C"/>
    <w:rsid w:val="005C7D9B"/>
    <w:rsid w:val="005D0FB0"/>
    <w:rsid w:val="005D696C"/>
    <w:rsid w:val="005E01A1"/>
    <w:rsid w:val="005E039E"/>
    <w:rsid w:val="005E0856"/>
    <w:rsid w:val="005E32F3"/>
    <w:rsid w:val="005F0572"/>
    <w:rsid w:val="005F065F"/>
    <w:rsid w:val="005F17A1"/>
    <w:rsid w:val="005F186E"/>
    <w:rsid w:val="005F6533"/>
    <w:rsid w:val="005F71A1"/>
    <w:rsid w:val="005F7A4F"/>
    <w:rsid w:val="00600D78"/>
    <w:rsid w:val="00604BFF"/>
    <w:rsid w:val="00604EAA"/>
    <w:rsid w:val="00605D29"/>
    <w:rsid w:val="006073FE"/>
    <w:rsid w:val="0061084D"/>
    <w:rsid w:val="00610AB7"/>
    <w:rsid w:val="006112DA"/>
    <w:rsid w:val="00611BF9"/>
    <w:rsid w:val="0061275C"/>
    <w:rsid w:val="0061415A"/>
    <w:rsid w:val="00615668"/>
    <w:rsid w:val="00620AB2"/>
    <w:rsid w:val="00624C53"/>
    <w:rsid w:val="00624EF6"/>
    <w:rsid w:val="00624FE0"/>
    <w:rsid w:val="00625024"/>
    <w:rsid w:val="0062559B"/>
    <w:rsid w:val="0062757E"/>
    <w:rsid w:val="006306B2"/>
    <w:rsid w:val="00632172"/>
    <w:rsid w:val="0063545D"/>
    <w:rsid w:val="006359F5"/>
    <w:rsid w:val="00636BB9"/>
    <w:rsid w:val="006432E1"/>
    <w:rsid w:val="00643F6A"/>
    <w:rsid w:val="006463D4"/>
    <w:rsid w:val="006468CA"/>
    <w:rsid w:val="00650262"/>
    <w:rsid w:val="00654A63"/>
    <w:rsid w:val="00654E78"/>
    <w:rsid w:val="00660C8E"/>
    <w:rsid w:val="00665940"/>
    <w:rsid w:val="00665E86"/>
    <w:rsid w:val="00666687"/>
    <w:rsid w:val="00671EEE"/>
    <w:rsid w:val="00677F26"/>
    <w:rsid w:val="00680CB3"/>
    <w:rsid w:val="00681FAA"/>
    <w:rsid w:val="0068325E"/>
    <w:rsid w:val="00684D84"/>
    <w:rsid w:val="006856A8"/>
    <w:rsid w:val="006862AF"/>
    <w:rsid w:val="006909D2"/>
    <w:rsid w:val="00691179"/>
    <w:rsid w:val="0069576F"/>
    <w:rsid w:val="006A048A"/>
    <w:rsid w:val="006A0925"/>
    <w:rsid w:val="006A1BB4"/>
    <w:rsid w:val="006A653A"/>
    <w:rsid w:val="006A6D7E"/>
    <w:rsid w:val="006B000F"/>
    <w:rsid w:val="006B0EC9"/>
    <w:rsid w:val="006B266F"/>
    <w:rsid w:val="006B471A"/>
    <w:rsid w:val="006B4E0F"/>
    <w:rsid w:val="006B5A3A"/>
    <w:rsid w:val="006C3EF4"/>
    <w:rsid w:val="006D4383"/>
    <w:rsid w:val="006D5134"/>
    <w:rsid w:val="006E046C"/>
    <w:rsid w:val="006E3784"/>
    <w:rsid w:val="006E42C4"/>
    <w:rsid w:val="006E49F7"/>
    <w:rsid w:val="006E4C06"/>
    <w:rsid w:val="006E542A"/>
    <w:rsid w:val="006E623C"/>
    <w:rsid w:val="006F09B2"/>
    <w:rsid w:val="006F47B9"/>
    <w:rsid w:val="006F4DF3"/>
    <w:rsid w:val="006F7241"/>
    <w:rsid w:val="00700EDD"/>
    <w:rsid w:val="00703284"/>
    <w:rsid w:val="00706B3F"/>
    <w:rsid w:val="0070734F"/>
    <w:rsid w:val="00707E36"/>
    <w:rsid w:val="00711B09"/>
    <w:rsid w:val="00712199"/>
    <w:rsid w:val="00713FB1"/>
    <w:rsid w:val="00722051"/>
    <w:rsid w:val="00725E1A"/>
    <w:rsid w:val="007266AB"/>
    <w:rsid w:val="00727C2B"/>
    <w:rsid w:val="0073259C"/>
    <w:rsid w:val="00733FB6"/>
    <w:rsid w:val="007352D0"/>
    <w:rsid w:val="00737E77"/>
    <w:rsid w:val="00740530"/>
    <w:rsid w:val="007410AF"/>
    <w:rsid w:val="00741841"/>
    <w:rsid w:val="007422FD"/>
    <w:rsid w:val="00743DC0"/>
    <w:rsid w:val="00744313"/>
    <w:rsid w:val="007451CD"/>
    <w:rsid w:val="0074543B"/>
    <w:rsid w:val="00745C4D"/>
    <w:rsid w:val="00746A24"/>
    <w:rsid w:val="00746FD6"/>
    <w:rsid w:val="00752F13"/>
    <w:rsid w:val="007572A0"/>
    <w:rsid w:val="007606F5"/>
    <w:rsid w:val="007608E4"/>
    <w:rsid w:val="00762370"/>
    <w:rsid w:val="0076257D"/>
    <w:rsid w:val="00763F35"/>
    <w:rsid w:val="00764055"/>
    <w:rsid w:val="00764C84"/>
    <w:rsid w:val="00765D99"/>
    <w:rsid w:val="0077028F"/>
    <w:rsid w:val="00780403"/>
    <w:rsid w:val="00784A67"/>
    <w:rsid w:val="00785F93"/>
    <w:rsid w:val="0078648F"/>
    <w:rsid w:val="00790298"/>
    <w:rsid w:val="007927B9"/>
    <w:rsid w:val="00794689"/>
    <w:rsid w:val="007947C1"/>
    <w:rsid w:val="00796862"/>
    <w:rsid w:val="007A04C6"/>
    <w:rsid w:val="007A0571"/>
    <w:rsid w:val="007A07D7"/>
    <w:rsid w:val="007A11C1"/>
    <w:rsid w:val="007A44CE"/>
    <w:rsid w:val="007A5D80"/>
    <w:rsid w:val="007A64EA"/>
    <w:rsid w:val="007A7157"/>
    <w:rsid w:val="007A7C05"/>
    <w:rsid w:val="007B08A0"/>
    <w:rsid w:val="007B2060"/>
    <w:rsid w:val="007B222E"/>
    <w:rsid w:val="007B37BE"/>
    <w:rsid w:val="007B5353"/>
    <w:rsid w:val="007C0B86"/>
    <w:rsid w:val="007C1FF1"/>
    <w:rsid w:val="007C3E2A"/>
    <w:rsid w:val="007C4AD4"/>
    <w:rsid w:val="007C6755"/>
    <w:rsid w:val="007C77BD"/>
    <w:rsid w:val="007D14C0"/>
    <w:rsid w:val="007D405D"/>
    <w:rsid w:val="007D4BCE"/>
    <w:rsid w:val="007E5E8F"/>
    <w:rsid w:val="007E7CFC"/>
    <w:rsid w:val="007E7FFD"/>
    <w:rsid w:val="007F420A"/>
    <w:rsid w:val="007F4D23"/>
    <w:rsid w:val="00807CE7"/>
    <w:rsid w:val="00810247"/>
    <w:rsid w:val="00813DD5"/>
    <w:rsid w:val="00813E28"/>
    <w:rsid w:val="00814AB1"/>
    <w:rsid w:val="00814B38"/>
    <w:rsid w:val="008168C5"/>
    <w:rsid w:val="008202DC"/>
    <w:rsid w:val="008239C1"/>
    <w:rsid w:val="00824868"/>
    <w:rsid w:val="008262E8"/>
    <w:rsid w:val="00830F7E"/>
    <w:rsid w:val="0083146E"/>
    <w:rsid w:val="008321A7"/>
    <w:rsid w:val="00834FB8"/>
    <w:rsid w:val="0084034E"/>
    <w:rsid w:val="00842502"/>
    <w:rsid w:val="00842B8B"/>
    <w:rsid w:val="00842C21"/>
    <w:rsid w:val="008451D9"/>
    <w:rsid w:val="00847576"/>
    <w:rsid w:val="008502ED"/>
    <w:rsid w:val="00850BB0"/>
    <w:rsid w:val="00852E77"/>
    <w:rsid w:val="00854A68"/>
    <w:rsid w:val="0085555F"/>
    <w:rsid w:val="00863273"/>
    <w:rsid w:val="0086609F"/>
    <w:rsid w:val="0086731C"/>
    <w:rsid w:val="00874945"/>
    <w:rsid w:val="00881282"/>
    <w:rsid w:val="00881D41"/>
    <w:rsid w:val="00882F38"/>
    <w:rsid w:val="00884692"/>
    <w:rsid w:val="00885C79"/>
    <w:rsid w:val="00891278"/>
    <w:rsid w:val="00894E70"/>
    <w:rsid w:val="0089521C"/>
    <w:rsid w:val="00897316"/>
    <w:rsid w:val="008A13B0"/>
    <w:rsid w:val="008A1573"/>
    <w:rsid w:val="008A2995"/>
    <w:rsid w:val="008A62BD"/>
    <w:rsid w:val="008B4A29"/>
    <w:rsid w:val="008B5E1C"/>
    <w:rsid w:val="008B7B38"/>
    <w:rsid w:val="008C1231"/>
    <w:rsid w:val="008C1D05"/>
    <w:rsid w:val="008D03D2"/>
    <w:rsid w:val="008D49F4"/>
    <w:rsid w:val="008D4E45"/>
    <w:rsid w:val="008E2E5E"/>
    <w:rsid w:val="008F3C33"/>
    <w:rsid w:val="008F4857"/>
    <w:rsid w:val="008F65DC"/>
    <w:rsid w:val="008F7341"/>
    <w:rsid w:val="00901F62"/>
    <w:rsid w:val="009021A8"/>
    <w:rsid w:val="0090636F"/>
    <w:rsid w:val="00907C98"/>
    <w:rsid w:val="009107D5"/>
    <w:rsid w:val="0091220D"/>
    <w:rsid w:val="009164FE"/>
    <w:rsid w:val="00920760"/>
    <w:rsid w:val="00930392"/>
    <w:rsid w:val="0093149F"/>
    <w:rsid w:val="009321A1"/>
    <w:rsid w:val="009326A3"/>
    <w:rsid w:val="009332F7"/>
    <w:rsid w:val="0093543E"/>
    <w:rsid w:val="009354BE"/>
    <w:rsid w:val="009359E7"/>
    <w:rsid w:val="00937CB7"/>
    <w:rsid w:val="00940122"/>
    <w:rsid w:val="00940494"/>
    <w:rsid w:val="00941DBA"/>
    <w:rsid w:val="00942A5F"/>
    <w:rsid w:val="00943141"/>
    <w:rsid w:val="00943A57"/>
    <w:rsid w:val="00947D20"/>
    <w:rsid w:val="00953ADC"/>
    <w:rsid w:val="00957CC2"/>
    <w:rsid w:val="00960766"/>
    <w:rsid w:val="00962519"/>
    <w:rsid w:val="009649FE"/>
    <w:rsid w:val="00964BD0"/>
    <w:rsid w:val="00967D0F"/>
    <w:rsid w:val="00967D1D"/>
    <w:rsid w:val="009714B8"/>
    <w:rsid w:val="00971941"/>
    <w:rsid w:val="00973200"/>
    <w:rsid w:val="00974614"/>
    <w:rsid w:val="009746F5"/>
    <w:rsid w:val="00975236"/>
    <w:rsid w:val="009779DE"/>
    <w:rsid w:val="00981826"/>
    <w:rsid w:val="009828CA"/>
    <w:rsid w:val="00983A53"/>
    <w:rsid w:val="00985384"/>
    <w:rsid w:val="00986C8F"/>
    <w:rsid w:val="0099057B"/>
    <w:rsid w:val="00991D18"/>
    <w:rsid w:val="0099241D"/>
    <w:rsid w:val="0099383A"/>
    <w:rsid w:val="00994338"/>
    <w:rsid w:val="00996214"/>
    <w:rsid w:val="009977A5"/>
    <w:rsid w:val="009A0EC4"/>
    <w:rsid w:val="009A1791"/>
    <w:rsid w:val="009A2215"/>
    <w:rsid w:val="009A5A86"/>
    <w:rsid w:val="009A6F77"/>
    <w:rsid w:val="009A7D75"/>
    <w:rsid w:val="009B0D72"/>
    <w:rsid w:val="009B272A"/>
    <w:rsid w:val="009B36D9"/>
    <w:rsid w:val="009B4092"/>
    <w:rsid w:val="009B6D00"/>
    <w:rsid w:val="009C1D09"/>
    <w:rsid w:val="009C733C"/>
    <w:rsid w:val="009D0619"/>
    <w:rsid w:val="009D10E7"/>
    <w:rsid w:val="009D1120"/>
    <w:rsid w:val="009D4758"/>
    <w:rsid w:val="009D792B"/>
    <w:rsid w:val="009E475E"/>
    <w:rsid w:val="009E7FA2"/>
    <w:rsid w:val="009F1DDF"/>
    <w:rsid w:val="009F3C8C"/>
    <w:rsid w:val="009F3F42"/>
    <w:rsid w:val="009F4B19"/>
    <w:rsid w:val="00A03375"/>
    <w:rsid w:val="00A036E0"/>
    <w:rsid w:val="00A03841"/>
    <w:rsid w:val="00A0452B"/>
    <w:rsid w:val="00A05DAD"/>
    <w:rsid w:val="00A06228"/>
    <w:rsid w:val="00A06FB3"/>
    <w:rsid w:val="00A106CE"/>
    <w:rsid w:val="00A11C1D"/>
    <w:rsid w:val="00A13277"/>
    <w:rsid w:val="00A14EF4"/>
    <w:rsid w:val="00A15114"/>
    <w:rsid w:val="00A15219"/>
    <w:rsid w:val="00A170AC"/>
    <w:rsid w:val="00A17617"/>
    <w:rsid w:val="00A2248B"/>
    <w:rsid w:val="00A22F63"/>
    <w:rsid w:val="00A23D67"/>
    <w:rsid w:val="00A2551A"/>
    <w:rsid w:val="00A26398"/>
    <w:rsid w:val="00A30368"/>
    <w:rsid w:val="00A3137A"/>
    <w:rsid w:val="00A33087"/>
    <w:rsid w:val="00A3558E"/>
    <w:rsid w:val="00A410E3"/>
    <w:rsid w:val="00A412F1"/>
    <w:rsid w:val="00A50EFA"/>
    <w:rsid w:val="00A51971"/>
    <w:rsid w:val="00A52FFF"/>
    <w:rsid w:val="00A53427"/>
    <w:rsid w:val="00A5359D"/>
    <w:rsid w:val="00A55487"/>
    <w:rsid w:val="00A55BE3"/>
    <w:rsid w:val="00A6011F"/>
    <w:rsid w:val="00A61954"/>
    <w:rsid w:val="00A61C0A"/>
    <w:rsid w:val="00A64C0E"/>
    <w:rsid w:val="00A64C5A"/>
    <w:rsid w:val="00A6745F"/>
    <w:rsid w:val="00A70D50"/>
    <w:rsid w:val="00A711CF"/>
    <w:rsid w:val="00A727FB"/>
    <w:rsid w:val="00A73485"/>
    <w:rsid w:val="00A763C1"/>
    <w:rsid w:val="00A76778"/>
    <w:rsid w:val="00A80B9E"/>
    <w:rsid w:val="00A81E42"/>
    <w:rsid w:val="00A91006"/>
    <w:rsid w:val="00A9269C"/>
    <w:rsid w:val="00A94196"/>
    <w:rsid w:val="00A95B7A"/>
    <w:rsid w:val="00A97776"/>
    <w:rsid w:val="00AA0B73"/>
    <w:rsid w:val="00AA21FF"/>
    <w:rsid w:val="00AA2723"/>
    <w:rsid w:val="00AA37B4"/>
    <w:rsid w:val="00AA472B"/>
    <w:rsid w:val="00AA584F"/>
    <w:rsid w:val="00AA5B4E"/>
    <w:rsid w:val="00AB0773"/>
    <w:rsid w:val="00AB114A"/>
    <w:rsid w:val="00AB7EB1"/>
    <w:rsid w:val="00AC1D92"/>
    <w:rsid w:val="00AC3DD0"/>
    <w:rsid w:val="00AC440D"/>
    <w:rsid w:val="00AC4446"/>
    <w:rsid w:val="00AC4D5D"/>
    <w:rsid w:val="00AD0A7A"/>
    <w:rsid w:val="00AD24B9"/>
    <w:rsid w:val="00AD33A4"/>
    <w:rsid w:val="00AD3A2B"/>
    <w:rsid w:val="00AD4C56"/>
    <w:rsid w:val="00AD5121"/>
    <w:rsid w:val="00AD539E"/>
    <w:rsid w:val="00AD7C54"/>
    <w:rsid w:val="00AE362A"/>
    <w:rsid w:val="00AE6920"/>
    <w:rsid w:val="00AF1493"/>
    <w:rsid w:val="00AF2052"/>
    <w:rsid w:val="00AF30C5"/>
    <w:rsid w:val="00AF4441"/>
    <w:rsid w:val="00AF5149"/>
    <w:rsid w:val="00AF5A53"/>
    <w:rsid w:val="00AF6573"/>
    <w:rsid w:val="00B0115A"/>
    <w:rsid w:val="00B03566"/>
    <w:rsid w:val="00B04605"/>
    <w:rsid w:val="00B050AA"/>
    <w:rsid w:val="00B05422"/>
    <w:rsid w:val="00B05BF3"/>
    <w:rsid w:val="00B05DA9"/>
    <w:rsid w:val="00B13799"/>
    <w:rsid w:val="00B13D52"/>
    <w:rsid w:val="00B1698F"/>
    <w:rsid w:val="00B20E22"/>
    <w:rsid w:val="00B216B7"/>
    <w:rsid w:val="00B22D08"/>
    <w:rsid w:val="00B23E4C"/>
    <w:rsid w:val="00B24E22"/>
    <w:rsid w:val="00B2501F"/>
    <w:rsid w:val="00B2507F"/>
    <w:rsid w:val="00B300FD"/>
    <w:rsid w:val="00B30D45"/>
    <w:rsid w:val="00B32BEE"/>
    <w:rsid w:val="00B4082C"/>
    <w:rsid w:val="00B42433"/>
    <w:rsid w:val="00B43EA6"/>
    <w:rsid w:val="00B4451C"/>
    <w:rsid w:val="00B45998"/>
    <w:rsid w:val="00B479FF"/>
    <w:rsid w:val="00B47D79"/>
    <w:rsid w:val="00B55B02"/>
    <w:rsid w:val="00B560C7"/>
    <w:rsid w:val="00B561BB"/>
    <w:rsid w:val="00B569FF"/>
    <w:rsid w:val="00B6379B"/>
    <w:rsid w:val="00B7364E"/>
    <w:rsid w:val="00B76F46"/>
    <w:rsid w:val="00B77D36"/>
    <w:rsid w:val="00B8288B"/>
    <w:rsid w:val="00B9514F"/>
    <w:rsid w:val="00BA0363"/>
    <w:rsid w:val="00BA0FBE"/>
    <w:rsid w:val="00BA1D70"/>
    <w:rsid w:val="00BA23DA"/>
    <w:rsid w:val="00BA3DE9"/>
    <w:rsid w:val="00BA54BE"/>
    <w:rsid w:val="00BA5D88"/>
    <w:rsid w:val="00BA5E96"/>
    <w:rsid w:val="00BA71C9"/>
    <w:rsid w:val="00BB49B8"/>
    <w:rsid w:val="00BB7ABE"/>
    <w:rsid w:val="00BB7C3C"/>
    <w:rsid w:val="00BB7E6F"/>
    <w:rsid w:val="00BC12C8"/>
    <w:rsid w:val="00BC42E4"/>
    <w:rsid w:val="00BC655D"/>
    <w:rsid w:val="00BD0B6C"/>
    <w:rsid w:val="00BD60CB"/>
    <w:rsid w:val="00BD7261"/>
    <w:rsid w:val="00BE5AB3"/>
    <w:rsid w:val="00BF7F21"/>
    <w:rsid w:val="00C01251"/>
    <w:rsid w:val="00C04283"/>
    <w:rsid w:val="00C04331"/>
    <w:rsid w:val="00C04527"/>
    <w:rsid w:val="00C10A5E"/>
    <w:rsid w:val="00C10AA0"/>
    <w:rsid w:val="00C129CC"/>
    <w:rsid w:val="00C12BB3"/>
    <w:rsid w:val="00C1539F"/>
    <w:rsid w:val="00C15E80"/>
    <w:rsid w:val="00C17CDA"/>
    <w:rsid w:val="00C20A46"/>
    <w:rsid w:val="00C2500A"/>
    <w:rsid w:val="00C2711C"/>
    <w:rsid w:val="00C277EE"/>
    <w:rsid w:val="00C313ED"/>
    <w:rsid w:val="00C34B36"/>
    <w:rsid w:val="00C35606"/>
    <w:rsid w:val="00C37909"/>
    <w:rsid w:val="00C37AC9"/>
    <w:rsid w:val="00C415BD"/>
    <w:rsid w:val="00C419A9"/>
    <w:rsid w:val="00C42332"/>
    <w:rsid w:val="00C42CC6"/>
    <w:rsid w:val="00C470EB"/>
    <w:rsid w:val="00C5149C"/>
    <w:rsid w:val="00C53D2B"/>
    <w:rsid w:val="00C61070"/>
    <w:rsid w:val="00C61F37"/>
    <w:rsid w:val="00C65313"/>
    <w:rsid w:val="00C653B9"/>
    <w:rsid w:val="00C6551E"/>
    <w:rsid w:val="00C65582"/>
    <w:rsid w:val="00C667AA"/>
    <w:rsid w:val="00C70247"/>
    <w:rsid w:val="00C71E58"/>
    <w:rsid w:val="00C840EF"/>
    <w:rsid w:val="00C84707"/>
    <w:rsid w:val="00C84AAF"/>
    <w:rsid w:val="00C86383"/>
    <w:rsid w:val="00C86EBE"/>
    <w:rsid w:val="00C870E3"/>
    <w:rsid w:val="00C90492"/>
    <w:rsid w:val="00C907F8"/>
    <w:rsid w:val="00C942B6"/>
    <w:rsid w:val="00C97F5B"/>
    <w:rsid w:val="00CA0FC4"/>
    <w:rsid w:val="00CA2151"/>
    <w:rsid w:val="00CA4140"/>
    <w:rsid w:val="00CA48F1"/>
    <w:rsid w:val="00CA5E75"/>
    <w:rsid w:val="00CA6F5E"/>
    <w:rsid w:val="00CB3A2F"/>
    <w:rsid w:val="00CB478A"/>
    <w:rsid w:val="00CB586C"/>
    <w:rsid w:val="00CB69CA"/>
    <w:rsid w:val="00CB78E6"/>
    <w:rsid w:val="00CC0070"/>
    <w:rsid w:val="00CC3531"/>
    <w:rsid w:val="00CC4C8B"/>
    <w:rsid w:val="00CC5063"/>
    <w:rsid w:val="00CC52A5"/>
    <w:rsid w:val="00CD1123"/>
    <w:rsid w:val="00CD1420"/>
    <w:rsid w:val="00CD2D8D"/>
    <w:rsid w:val="00CE163E"/>
    <w:rsid w:val="00CE4D4E"/>
    <w:rsid w:val="00CE5B8D"/>
    <w:rsid w:val="00CE7E2C"/>
    <w:rsid w:val="00CF177D"/>
    <w:rsid w:val="00CF3014"/>
    <w:rsid w:val="00CF4326"/>
    <w:rsid w:val="00CF49B3"/>
    <w:rsid w:val="00CF5EC1"/>
    <w:rsid w:val="00CF7A01"/>
    <w:rsid w:val="00D006A5"/>
    <w:rsid w:val="00D0157C"/>
    <w:rsid w:val="00D02944"/>
    <w:rsid w:val="00D039A6"/>
    <w:rsid w:val="00D03C57"/>
    <w:rsid w:val="00D049EE"/>
    <w:rsid w:val="00D05275"/>
    <w:rsid w:val="00D10EBB"/>
    <w:rsid w:val="00D12A72"/>
    <w:rsid w:val="00D13497"/>
    <w:rsid w:val="00D21AEA"/>
    <w:rsid w:val="00D21BE9"/>
    <w:rsid w:val="00D22ECF"/>
    <w:rsid w:val="00D23642"/>
    <w:rsid w:val="00D249C5"/>
    <w:rsid w:val="00D31D3A"/>
    <w:rsid w:val="00D3228C"/>
    <w:rsid w:val="00D37AB2"/>
    <w:rsid w:val="00D37ECF"/>
    <w:rsid w:val="00D37F0B"/>
    <w:rsid w:val="00D41158"/>
    <w:rsid w:val="00D41FCA"/>
    <w:rsid w:val="00D4207E"/>
    <w:rsid w:val="00D43EE0"/>
    <w:rsid w:val="00D45C3D"/>
    <w:rsid w:val="00D464C8"/>
    <w:rsid w:val="00D46F7D"/>
    <w:rsid w:val="00D47977"/>
    <w:rsid w:val="00D50CA4"/>
    <w:rsid w:val="00D51C76"/>
    <w:rsid w:val="00D52C93"/>
    <w:rsid w:val="00D545E6"/>
    <w:rsid w:val="00D57876"/>
    <w:rsid w:val="00D67F57"/>
    <w:rsid w:val="00D70902"/>
    <w:rsid w:val="00D82DF3"/>
    <w:rsid w:val="00D8331C"/>
    <w:rsid w:val="00D85EFB"/>
    <w:rsid w:val="00D878C3"/>
    <w:rsid w:val="00D878F0"/>
    <w:rsid w:val="00D92581"/>
    <w:rsid w:val="00D9507A"/>
    <w:rsid w:val="00D96D77"/>
    <w:rsid w:val="00DA1DC1"/>
    <w:rsid w:val="00DB32C7"/>
    <w:rsid w:val="00DB37C6"/>
    <w:rsid w:val="00DB39F7"/>
    <w:rsid w:val="00DB4845"/>
    <w:rsid w:val="00DB5652"/>
    <w:rsid w:val="00DB6D58"/>
    <w:rsid w:val="00DC09DE"/>
    <w:rsid w:val="00DC3096"/>
    <w:rsid w:val="00DC3789"/>
    <w:rsid w:val="00DC6189"/>
    <w:rsid w:val="00DD1209"/>
    <w:rsid w:val="00DD13F4"/>
    <w:rsid w:val="00DD4ED4"/>
    <w:rsid w:val="00DD79C2"/>
    <w:rsid w:val="00DE0513"/>
    <w:rsid w:val="00DE38B5"/>
    <w:rsid w:val="00DE71A3"/>
    <w:rsid w:val="00DF2468"/>
    <w:rsid w:val="00DF331B"/>
    <w:rsid w:val="00E01DF8"/>
    <w:rsid w:val="00E0681D"/>
    <w:rsid w:val="00E06950"/>
    <w:rsid w:val="00E10C42"/>
    <w:rsid w:val="00E1420D"/>
    <w:rsid w:val="00E14F2D"/>
    <w:rsid w:val="00E1547B"/>
    <w:rsid w:val="00E16E95"/>
    <w:rsid w:val="00E24663"/>
    <w:rsid w:val="00E25340"/>
    <w:rsid w:val="00E277A0"/>
    <w:rsid w:val="00E34668"/>
    <w:rsid w:val="00E3521E"/>
    <w:rsid w:val="00E35689"/>
    <w:rsid w:val="00E358D0"/>
    <w:rsid w:val="00E37682"/>
    <w:rsid w:val="00E37873"/>
    <w:rsid w:val="00E40F71"/>
    <w:rsid w:val="00E44CE5"/>
    <w:rsid w:val="00E46C2E"/>
    <w:rsid w:val="00E522E7"/>
    <w:rsid w:val="00E5331B"/>
    <w:rsid w:val="00E54230"/>
    <w:rsid w:val="00E550C0"/>
    <w:rsid w:val="00E5584C"/>
    <w:rsid w:val="00E55F27"/>
    <w:rsid w:val="00E56432"/>
    <w:rsid w:val="00E60B51"/>
    <w:rsid w:val="00E6195A"/>
    <w:rsid w:val="00E67156"/>
    <w:rsid w:val="00E71C7D"/>
    <w:rsid w:val="00E7461E"/>
    <w:rsid w:val="00E74BFF"/>
    <w:rsid w:val="00E772C0"/>
    <w:rsid w:val="00E81879"/>
    <w:rsid w:val="00E843D6"/>
    <w:rsid w:val="00E84D93"/>
    <w:rsid w:val="00E86EE5"/>
    <w:rsid w:val="00E87A3F"/>
    <w:rsid w:val="00E955AE"/>
    <w:rsid w:val="00E95D5A"/>
    <w:rsid w:val="00E97D48"/>
    <w:rsid w:val="00EA0241"/>
    <w:rsid w:val="00EA219E"/>
    <w:rsid w:val="00EA2345"/>
    <w:rsid w:val="00EA2A3C"/>
    <w:rsid w:val="00EB2BF2"/>
    <w:rsid w:val="00EB379E"/>
    <w:rsid w:val="00EB5DA3"/>
    <w:rsid w:val="00EC3403"/>
    <w:rsid w:val="00EC4791"/>
    <w:rsid w:val="00EC6C26"/>
    <w:rsid w:val="00EC6FEA"/>
    <w:rsid w:val="00EC70DD"/>
    <w:rsid w:val="00ED0668"/>
    <w:rsid w:val="00ED1B93"/>
    <w:rsid w:val="00ED1E03"/>
    <w:rsid w:val="00ED2384"/>
    <w:rsid w:val="00EE5789"/>
    <w:rsid w:val="00EE7961"/>
    <w:rsid w:val="00EF1E59"/>
    <w:rsid w:val="00EF5968"/>
    <w:rsid w:val="00EF5B98"/>
    <w:rsid w:val="00EF789B"/>
    <w:rsid w:val="00F026EE"/>
    <w:rsid w:val="00F04E00"/>
    <w:rsid w:val="00F0552C"/>
    <w:rsid w:val="00F06748"/>
    <w:rsid w:val="00F12156"/>
    <w:rsid w:val="00F14730"/>
    <w:rsid w:val="00F16204"/>
    <w:rsid w:val="00F16C12"/>
    <w:rsid w:val="00F219D3"/>
    <w:rsid w:val="00F23DE0"/>
    <w:rsid w:val="00F25258"/>
    <w:rsid w:val="00F25F0A"/>
    <w:rsid w:val="00F30BD8"/>
    <w:rsid w:val="00F30E1B"/>
    <w:rsid w:val="00F3128E"/>
    <w:rsid w:val="00F31CD2"/>
    <w:rsid w:val="00F32D68"/>
    <w:rsid w:val="00F343B4"/>
    <w:rsid w:val="00F34FF0"/>
    <w:rsid w:val="00F367E0"/>
    <w:rsid w:val="00F37F8F"/>
    <w:rsid w:val="00F43F7E"/>
    <w:rsid w:val="00F4487E"/>
    <w:rsid w:val="00F5004F"/>
    <w:rsid w:val="00F50F7E"/>
    <w:rsid w:val="00F5204B"/>
    <w:rsid w:val="00F52E8A"/>
    <w:rsid w:val="00F53AE7"/>
    <w:rsid w:val="00F54C5F"/>
    <w:rsid w:val="00F56753"/>
    <w:rsid w:val="00F6262E"/>
    <w:rsid w:val="00F6345E"/>
    <w:rsid w:val="00F71F98"/>
    <w:rsid w:val="00F74C99"/>
    <w:rsid w:val="00F82F2A"/>
    <w:rsid w:val="00F83934"/>
    <w:rsid w:val="00F85B7D"/>
    <w:rsid w:val="00F90467"/>
    <w:rsid w:val="00F962FD"/>
    <w:rsid w:val="00F97D92"/>
    <w:rsid w:val="00FA0C05"/>
    <w:rsid w:val="00FA2592"/>
    <w:rsid w:val="00FA29FA"/>
    <w:rsid w:val="00FA6E1D"/>
    <w:rsid w:val="00FB1647"/>
    <w:rsid w:val="00FB1953"/>
    <w:rsid w:val="00FB2556"/>
    <w:rsid w:val="00FB42B9"/>
    <w:rsid w:val="00FB51AD"/>
    <w:rsid w:val="00FB6C74"/>
    <w:rsid w:val="00FB72D9"/>
    <w:rsid w:val="00FC01CF"/>
    <w:rsid w:val="00FC31E9"/>
    <w:rsid w:val="00FC4E64"/>
    <w:rsid w:val="00FC78A4"/>
    <w:rsid w:val="00FD3317"/>
    <w:rsid w:val="00FD38DF"/>
    <w:rsid w:val="00FD51E5"/>
    <w:rsid w:val="00FD5DE9"/>
    <w:rsid w:val="00FE1534"/>
    <w:rsid w:val="00FE1730"/>
    <w:rsid w:val="00FE6852"/>
    <w:rsid w:val="00FE7047"/>
    <w:rsid w:val="00FE7EE4"/>
    <w:rsid w:val="00FF0608"/>
    <w:rsid w:val="00FF125E"/>
    <w:rsid w:val="00FF1A8C"/>
    <w:rsid w:val="00FF219C"/>
    <w:rsid w:val="00FF5EA2"/>
    <w:rsid w:val="0201014F"/>
    <w:rsid w:val="0A370C70"/>
    <w:rsid w:val="0B2D195A"/>
    <w:rsid w:val="10E83E15"/>
    <w:rsid w:val="117C2DC5"/>
    <w:rsid w:val="15AE9636"/>
    <w:rsid w:val="187A17EC"/>
    <w:rsid w:val="195F7DFC"/>
    <w:rsid w:val="1EB0AEA2"/>
    <w:rsid w:val="2148596F"/>
    <w:rsid w:val="22D8730C"/>
    <w:rsid w:val="28A73809"/>
    <w:rsid w:val="2C6D64C8"/>
    <w:rsid w:val="330D8AAD"/>
    <w:rsid w:val="3CA1C758"/>
    <w:rsid w:val="4200188D"/>
    <w:rsid w:val="42601ACC"/>
    <w:rsid w:val="436534FE"/>
    <w:rsid w:val="438C21CB"/>
    <w:rsid w:val="46BA6153"/>
    <w:rsid w:val="4910BD6C"/>
    <w:rsid w:val="4CF2EEE7"/>
    <w:rsid w:val="51CE3128"/>
    <w:rsid w:val="53ADC085"/>
    <w:rsid w:val="55D7466D"/>
    <w:rsid w:val="5B831E14"/>
    <w:rsid w:val="5DE58A18"/>
    <w:rsid w:val="648DDBA6"/>
    <w:rsid w:val="6B8B778A"/>
    <w:rsid w:val="6EAF3640"/>
    <w:rsid w:val="6FB5C7A1"/>
    <w:rsid w:val="716FAB27"/>
    <w:rsid w:val="79EFC7D6"/>
    <w:rsid w:val="7A23329C"/>
    <w:rsid w:val="7C11949E"/>
  </w:rsids>
  <m:mathPr>
    <m:mathFont m:val="Cambria Math"/>
    <m:brkBin m:val="before"/>
    <m:brkBinSub m:val="--"/>
    <m:smallFrac m:val="0"/>
    <m:dispDef/>
    <m:lMargin m:val="0"/>
    <m:rMargin m:val="0"/>
    <m:defJc m:val="centerGroup"/>
    <m:wrapIndent m:val="1440"/>
    <m:intLim m:val="subSup"/>
    <m:naryLim m:val="undOvr"/>
  </m:mathPr>
  <w:themeFontLang w:val="en-GB"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6D0CD"/>
  <w15:chartTrackingRefBased/>
  <w15:docId w15:val="{DEC6BC01-7D62-4662-A20B-440377D4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18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2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E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EAA"/>
  </w:style>
  <w:style w:type="paragraph" w:styleId="Footer">
    <w:name w:val="footer"/>
    <w:basedOn w:val="Normal"/>
    <w:link w:val="FooterChar"/>
    <w:uiPriority w:val="99"/>
    <w:unhideWhenUsed/>
    <w:rsid w:val="004D4E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EAA"/>
  </w:style>
  <w:style w:type="table" w:styleId="TableGrid">
    <w:name w:val="Table Grid"/>
    <w:basedOn w:val="TableNormal"/>
    <w:uiPriority w:val="39"/>
    <w:rsid w:val="004D4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2F63"/>
    <w:pPr>
      <w:ind w:left="720"/>
      <w:contextualSpacing/>
    </w:pPr>
  </w:style>
  <w:style w:type="character" w:styleId="Hyperlink">
    <w:name w:val="Hyperlink"/>
    <w:basedOn w:val="DefaultParagraphFont"/>
    <w:uiPriority w:val="99"/>
    <w:unhideWhenUsed/>
    <w:rsid w:val="00B560C7"/>
    <w:rPr>
      <w:color w:val="0563C1" w:themeColor="hyperlink"/>
      <w:u w:val="single"/>
    </w:rPr>
  </w:style>
  <w:style w:type="paragraph" w:customStyle="1" w:styleId="Default">
    <w:name w:val="Default"/>
    <w:rsid w:val="00A03375"/>
    <w:pPr>
      <w:autoSpaceDE w:val="0"/>
      <w:autoSpaceDN w:val="0"/>
      <w:adjustRightInd w:val="0"/>
      <w:spacing w:after="0" w:line="240" w:lineRule="auto"/>
    </w:pPr>
    <w:rPr>
      <w:rFonts w:ascii="Calibri" w:hAnsi="Calibri" w:cs="Calibri"/>
      <w:color w:val="000000"/>
      <w:sz w:val="24"/>
      <w:szCs w:val="24"/>
      <w:lang w:val="en-AU"/>
    </w:rPr>
  </w:style>
  <w:style w:type="character" w:styleId="PageNumber">
    <w:name w:val="page number"/>
    <w:basedOn w:val="DefaultParagraphFont"/>
    <w:uiPriority w:val="99"/>
    <w:semiHidden/>
    <w:unhideWhenUsed/>
    <w:rsid w:val="003C14CE"/>
  </w:style>
  <w:style w:type="character" w:styleId="CommentReference">
    <w:name w:val="annotation reference"/>
    <w:basedOn w:val="DefaultParagraphFont"/>
    <w:uiPriority w:val="99"/>
    <w:semiHidden/>
    <w:unhideWhenUsed/>
    <w:rsid w:val="001C3361"/>
    <w:rPr>
      <w:sz w:val="16"/>
      <w:szCs w:val="16"/>
    </w:rPr>
  </w:style>
  <w:style w:type="paragraph" w:styleId="CommentText">
    <w:name w:val="annotation text"/>
    <w:basedOn w:val="Normal"/>
    <w:link w:val="CommentTextChar"/>
    <w:uiPriority w:val="99"/>
    <w:unhideWhenUsed/>
    <w:rsid w:val="001C3361"/>
    <w:pPr>
      <w:spacing w:line="240" w:lineRule="auto"/>
    </w:pPr>
    <w:rPr>
      <w:sz w:val="20"/>
      <w:szCs w:val="20"/>
    </w:rPr>
  </w:style>
  <w:style w:type="character" w:customStyle="1" w:styleId="CommentTextChar">
    <w:name w:val="Comment Text Char"/>
    <w:basedOn w:val="DefaultParagraphFont"/>
    <w:link w:val="CommentText"/>
    <w:uiPriority w:val="99"/>
    <w:rsid w:val="001C3361"/>
    <w:rPr>
      <w:sz w:val="20"/>
      <w:szCs w:val="20"/>
    </w:rPr>
  </w:style>
  <w:style w:type="paragraph" w:styleId="CommentSubject">
    <w:name w:val="annotation subject"/>
    <w:basedOn w:val="CommentText"/>
    <w:next w:val="CommentText"/>
    <w:link w:val="CommentSubjectChar"/>
    <w:uiPriority w:val="99"/>
    <w:semiHidden/>
    <w:unhideWhenUsed/>
    <w:rsid w:val="001C3361"/>
    <w:rPr>
      <w:b/>
      <w:bCs/>
    </w:rPr>
  </w:style>
  <w:style w:type="character" w:customStyle="1" w:styleId="CommentSubjectChar">
    <w:name w:val="Comment Subject Char"/>
    <w:basedOn w:val="CommentTextChar"/>
    <w:link w:val="CommentSubject"/>
    <w:uiPriority w:val="99"/>
    <w:semiHidden/>
    <w:rsid w:val="001C3361"/>
    <w:rPr>
      <w:b/>
      <w:bCs/>
      <w:sz w:val="20"/>
      <w:szCs w:val="20"/>
    </w:rPr>
  </w:style>
  <w:style w:type="paragraph" w:styleId="BalloonText">
    <w:name w:val="Balloon Text"/>
    <w:basedOn w:val="Normal"/>
    <w:link w:val="BalloonTextChar"/>
    <w:uiPriority w:val="99"/>
    <w:semiHidden/>
    <w:unhideWhenUsed/>
    <w:rsid w:val="001C33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361"/>
    <w:rPr>
      <w:rFonts w:ascii="Segoe UI" w:hAnsi="Segoe UI" w:cs="Segoe UI"/>
      <w:sz w:val="18"/>
      <w:szCs w:val="18"/>
    </w:rPr>
  </w:style>
  <w:style w:type="character" w:styleId="UnresolvedMention">
    <w:name w:val="Unresolved Mention"/>
    <w:basedOn w:val="DefaultParagraphFont"/>
    <w:uiPriority w:val="99"/>
    <w:semiHidden/>
    <w:unhideWhenUsed/>
    <w:rsid w:val="00DC3096"/>
    <w:rPr>
      <w:color w:val="605E5C"/>
      <w:shd w:val="clear" w:color="auto" w:fill="E1DFDD"/>
    </w:rPr>
  </w:style>
  <w:style w:type="paragraph" w:styleId="FootnoteText">
    <w:name w:val="footnote text"/>
    <w:basedOn w:val="Normal"/>
    <w:link w:val="FootnoteTextChar"/>
    <w:uiPriority w:val="99"/>
    <w:semiHidden/>
    <w:unhideWhenUsed/>
    <w:rsid w:val="00F82F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2F2A"/>
    <w:rPr>
      <w:sz w:val="20"/>
      <w:szCs w:val="20"/>
    </w:rPr>
  </w:style>
  <w:style w:type="character" w:styleId="FootnoteReference">
    <w:name w:val="footnote reference"/>
    <w:basedOn w:val="DefaultParagraphFont"/>
    <w:uiPriority w:val="99"/>
    <w:semiHidden/>
    <w:unhideWhenUsed/>
    <w:rsid w:val="00F82F2A"/>
    <w:rPr>
      <w:vertAlign w:val="superscript"/>
    </w:rPr>
  </w:style>
  <w:style w:type="paragraph" w:styleId="Revision">
    <w:name w:val="Revision"/>
    <w:hidden/>
    <w:uiPriority w:val="99"/>
    <w:semiHidden/>
    <w:rsid w:val="0006257C"/>
    <w:pPr>
      <w:spacing w:after="0" w:line="240" w:lineRule="auto"/>
    </w:pPr>
  </w:style>
  <w:style w:type="character" w:customStyle="1" w:styleId="Heading1Char">
    <w:name w:val="Heading 1 Char"/>
    <w:basedOn w:val="DefaultParagraphFont"/>
    <w:link w:val="Heading1"/>
    <w:uiPriority w:val="9"/>
    <w:rsid w:val="005618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4224B"/>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33261A"/>
    <w:rPr>
      <w:color w:val="954F72" w:themeColor="followedHyperlink"/>
      <w:u w:val="single"/>
    </w:rPr>
  </w:style>
  <w:style w:type="character" w:customStyle="1" w:styleId="cf01">
    <w:name w:val="cf01"/>
    <w:basedOn w:val="DefaultParagraphFont"/>
    <w:rsid w:val="00D21BE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0532">
      <w:bodyDiv w:val="1"/>
      <w:marLeft w:val="0"/>
      <w:marRight w:val="0"/>
      <w:marTop w:val="0"/>
      <w:marBottom w:val="0"/>
      <w:divBdr>
        <w:top w:val="none" w:sz="0" w:space="0" w:color="auto"/>
        <w:left w:val="none" w:sz="0" w:space="0" w:color="auto"/>
        <w:bottom w:val="none" w:sz="0" w:space="0" w:color="auto"/>
        <w:right w:val="none" w:sz="0" w:space="0" w:color="auto"/>
      </w:divBdr>
    </w:div>
    <w:div w:id="254289043">
      <w:bodyDiv w:val="1"/>
      <w:marLeft w:val="0"/>
      <w:marRight w:val="0"/>
      <w:marTop w:val="0"/>
      <w:marBottom w:val="0"/>
      <w:divBdr>
        <w:top w:val="none" w:sz="0" w:space="0" w:color="auto"/>
        <w:left w:val="none" w:sz="0" w:space="0" w:color="auto"/>
        <w:bottom w:val="none" w:sz="0" w:space="0" w:color="auto"/>
        <w:right w:val="none" w:sz="0" w:space="0" w:color="auto"/>
      </w:divBdr>
    </w:div>
    <w:div w:id="389690822">
      <w:bodyDiv w:val="1"/>
      <w:marLeft w:val="0"/>
      <w:marRight w:val="0"/>
      <w:marTop w:val="0"/>
      <w:marBottom w:val="0"/>
      <w:divBdr>
        <w:top w:val="none" w:sz="0" w:space="0" w:color="auto"/>
        <w:left w:val="none" w:sz="0" w:space="0" w:color="auto"/>
        <w:bottom w:val="none" w:sz="0" w:space="0" w:color="auto"/>
        <w:right w:val="none" w:sz="0" w:space="0" w:color="auto"/>
      </w:divBdr>
      <w:divsChild>
        <w:div w:id="52704564">
          <w:marLeft w:val="1166"/>
          <w:marRight w:val="0"/>
          <w:marTop w:val="115"/>
          <w:marBottom w:val="0"/>
          <w:divBdr>
            <w:top w:val="none" w:sz="0" w:space="0" w:color="auto"/>
            <w:left w:val="none" w:sz="0" w:space="0" w:color="auto"/>
            <w:bottom w:val="none" w:sz="0" w:space="0" w:color="auto"/>
            <w:right w:val="none" w:sz="0" w:space="0" w:color="auto"/>
          </w:divBdr>
        </w:div>
        <w:div w:id="519708308">
          <w:marLeft w:val="1886"/>
          <w:marRight w:val="0"/>
          <w:marTop w:val="115"/>
          <w:marBottom w:val="0"/>
          <w:divBdr>
            <w:top w:val="none" w:sz="0" w:space="0" w:color="auto"/>
            <w:left w:val="none" w:sz="0" w:space="0" w:color="auto"/>
            <w:bottom w:val="none" w:sz="0" w:space="0" w:color="auto"/>
            <w:right w:val="none" w:sz="0" w:space="0" w:color="auto"/>
          </w:divBdr>
        </w:div>
        <w:div w:id="1286545758">
          <w:marLeft w:val="1886"/>
          <w:marRight w:val="0"/>
          <w:marTop w:val="115"/>
          <w:marBottom w:val="0"/>
          <w:divBdr>
            <w:top w:val="none" w:sz="0" w:space="0" w:color="auto"/>
            <w:left w:val="none" w:sz="0" w:space="0" w:color="auto"/>
            <w:bottom w:val="none" w:sz="0" w:space="0" w:color="auto"/>
            <w:right w:val="none" w:sz="0" w:space="0" w:color="auto"/>
          </w:divBdr>
        </w:div>
        <w:div w:id="1779714354">
          <w:marLeft w:val="1886"/>
          <w:marRight w:val="0"/>
          <w:marTop w:val="115"/>
          <w:marBottom w:val="0"/>
          <w:divBdr>
            <w:top w:val="none" w:sz="0" w:space="0" w:color="auto"/>
            <w:left w:val="none" w:sz="0" w:space="0" w:color="auto"/>
            <w:bottom w:val="none" w:sz="0" w:space="0" w:color="auto"/>
            <w:right w:val="none" w:sz="0" w:space="0" w:color="auto"/>
          </w:divBdr>
        </w:div>
        <w:div w:id="1917322767">
          <w:marLeft w:val="1166"/>
          <w:marRight w:val="0"/>
          <w:marTop w:val="115"/>
          <w:marBottom w:val="0"/>
          <w:divBdr>
            <w:top w:val="none" w:sz="0" w:space="0" w:color="auto"/>
            <w:left w:val="none" w:sz="0" w:space="0" w:color="auto"/>
            <w:bottom w:val="none" w:sz="0" w:space="0" w:color="auto"/>
            <w:right w:val="none" w:sz="0" w:space="0" w:color="auto"/>
          </w:divBdr>
        </w:div>
        <w:div w:id="2061242409">
          <w:marLeft w:val="1886"/>
          <w:marRight w:val="0"/>
          <w:marTop w:val="115"/>
          <w:marBottom w:val="0"/>
          <w:divBdr>
            <w:top w:val="none" w:sz="0" w:space="0" w:color="auto"/>
            <w:left w:val="none" w:sz="0" w:space="0" w:color="auto"/>
            <w:bottom w:val="none" w:sz="0" w:space="0" w:color="auto"/>
            <w:right w:val="none" w:sz="0" w:space="0" w:color="auto"/>
          </w:divBdr>
        </w:div>
        <w:div w:id="2064712366">
          <w:marLeft w:val="1166"/>
          <w:marRight w:val="0"/>
          <w:marTop w:val="115"/>
          <w:marBottom w:val="0"/>
          <w:divBdr>
            <w:top w:val="none" w:sz="0" w:space="0" w:color="auto"/>
            <w:left w:val="none" w:sz="0" w:space="0" w:color="auto"/>
            <w:bottom w:val="none" w:sz="0" w:space="0" w:color="auto"/>
            <w:right w:val="none" w:sz="0" w:space="0" w:color="auto"/>
          </w:divBdr>
        </w:div>
        <w:div w:id="2132938845">
          <w:marLeft w:val="1166"/>
          <w:marRight w:val="0"/>
          <w:marTop w:val="115"/>
          <w:marBottom w:val="0"/>
          <w:divBdr>
            <w:top w:val="none" w:sz="0" w:space="0" w:color="auto"/>
            <w:left w:val="none" w:sz="0" w:space="0" w:color="auto"/>
            <w:bottom w:val="none" w:sz="0" w:space="0" w:color="auto"/>
            <w:right w:val="none" w:sz="0" w:space="0" w:color="auto"/>
          </w:divBdr>
        </w:div>
      </w:divsChild>
    </w:div>
    <w:div w:id="656106895">
      <w:bodyDiv w:val="1"/>
      <w:marLeft w:val="0"/>
      <w:marRight w:val="0"/>
      <w:marTop w:val="0"/>
      <w:marBottom w:val="0"/>
      <w:divBdr>
        <w:top w:val="none" w:sz="0" w:space="0" w:color="auto"/>
        <w:left w:val="none" w:sz="0" w:space="0" w:color="auto"/>
        <w:bottom w:val="none" w:sz="0" w:space="0" w:color="auto"/>
        <w:right w:val="none" w:sz="0" w:space="0" w:color="auto"/>
      </w:divBdr>
    </w:div>
    <w:div w:id="779371143">
      <w:bodyDiv w:val="1"/>
      <w:marLeft w:val="0"/>
      <w:marRight w:val="0"/>
      <w:marTop w:val="0"/>
      <w:marBottom w:val="0"/>
      <w:divBdr>
        <w:top w:val="none" w:sz="0" w:space="0" w:color="auto"/>
        <w:left w:val="none" w:sz="0" w:space="0" w:color="auto"/>
        <w:bottom w:val="none" w:sz="0" w:space="0" w:color="auto"/>
        <w:right w:val="none" w:sz="0" w:space="0" w:color="auto"/>
      </w:divBdr>
    </w:div>
    <w:div w:id="1544750674">
      <w:bodyDiv w:val="1"/>
      <w:marLeft w:val="0"/>
      <w:marRight w:val="0"/>
      <w:marTop w:val="0"/>
      <w:marBottom w:val="0"/>
      <w:divBdr>
        <w:top w:val="none" w:sz="0" w:space="0" w:color="auto"/>
        <w:left w:val="none" w:sz="0" w:space="0" w:color="auto"/>
        <w:bottom w:val="none" w:sz="0" w:space="0" w:color="auto"/>
        <w:right w:val="none" w:sz="0" w:space="0" w:color="auto"/>
      </w:divBdr>
    </w:div>
    <w:div w:id="1596937058">
      <w:bodyDiv w:val="1"/>
      <w:marLeft w:val="0"/>
      <w:marRight w:val="0"/>
      <w:marTop w:val="0"/>
      <w:marBottom w:val="0"/>
      <w:divBdr>
        <w:top w:val="none" w:sz="0" w:space="0" w:color="auto"/>
        <w:left w:val="none" w:sz="0" w:space="0" w:color="auto"/>
        <w:bottom w:val="none" w:sz="0" w:space="0" w:color="auto"/>
        <w:right w:val="none" w:sz="0" w:space="0" w:color="auto"/>
      </w:divBdr>
    </w:div>
    <w:div w:id="1902248630">
      <w:bodyDiv w:val="1"/>
      <w:marLeft w:val="0"/>
      <w:marRight w:val="0"/>
      <w:marTop w:val="0"/>
      <w:marBottom w:val="0"/>
      <w:divBdr>
        <w:top w:val="none" w:sz="0" w:space="0" w:color="auto"/>
        <w:left w:val="none" w:sz="0" w:space="0" w:color="auto"/>
        <w:bottom w:val="none" w:sz="0" w:space="0" w:color="auto"/>
        <w:right w:val="none" w:sz="0" w:space="0" w:color="auto"/>
      </w:divBdr>
    </w:div>
    <w:div w:id="208876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3" Type="http://schemas.openxmlformats.org/officeDocument/2006/relationships/hyperlink" Target="https://www.preventionweb.net/files/54970_techguidancefdigitalhr.pdf?_gl=1*1aox14s*_ga*MTE3ODQ1MzgwOS4xNjY0MjUwOTMx*_ga_D8G5WXP6YM*MTY3MDcyNDgwMi4xNi4xLjE2NzA3MjY2MzQuMC4wLjA" TargetMode="External"/><Relationship Id="rId18" Type="http://schemas.openxmlformats.org/officeDocument/2006/relationships/hyperlink" Target="https://www.internationaldisabilityalliance.org/data-joint-statement-march2017" TargetMode="External"/><Relationship Id="rId26" Type="http://schemas.openxmlformats.org/officeDocument/2006/relationships/hyperlink" Target="https://www.forumsec.org/wp-content/uploads/2018/05/PFRPD.pdf" TargetMode="External"/><Relationship Id="rId39" Type="http://schemas.openxmlformats.org/officeDocument/2006/relationships/hyperlink" Target="https://www.theprif.org/document/regional/transport/improving-accessibility-transport-infrastructure-projects-pacific" TargetMode="External"/><Relationship Id="rId21" Type="http://schemas.openxmlformats.org/officeDocument/2006/relationships/hyperlink" Target="https://www.dfat.gov.au/sites/default/files/gender-equality-and-social-inclusion-in-the-ancp-2019-20.pdf" TargetMode="External"/><Relationship Id="rId34" Type="http://schemas.openxmlformats.org/officeDocument/2006/relationships/hyperlink" Target="https://www.preventionweb.net/sendai-framework/sendai-framework-indicators" TargetMode="External"/><Relationship Id="rId42" Type="http://schemas.openxmlformats.org/officeDocument/2006/relationships/hyperlink" Target="https://www.undrr.org/publication/building-resilient-pacific" TargetMode="External"/><Relationship Id="rId7" Type="http://schemas.openxmlformats.org/officeDocument/2006/relationships/hyperlink" Target="https://www.internationaldisabilityalliance.org/content/crpd-committee-has-closed-its-27th-session" TargetMode="External"/><Relationship Id="rId2" Type="http://schemas.openxmlformats.org/officeDocument/2006/relationships/hyperlink" Target="https://sustainabledevelopment.un.org/content/documents/21252030%20Agenda%20for%20Sustainable%20Development%20web.pdf" TargetMode="External"/><Relationship Id="rId16" Type="http://schemas.openxmlformats.org/officeDocument/2006/relationships/hyperlink" Target="https://www.who.int/activities/global-report-on-health-equity-for-persons-with-disabilities" TargetMode="External"/><Relationship Id="rId20" Type="http://schemas.openxmlformats.org/officeDocument/2006/relationships/hyperlink" Target="https://pubmed.ncbi.nlm.nih.gov/34769661/" TargetMode="External"/><Relationship Id="rId29" Type="http://schemas.openxmlformats.org/officeDocument/2006/relationships/hyperlink" Target="https://www.un.org/development/desa/disabilities/convention-on-the-rights-of-persons-with-disabilities/article-2-definitions.html" TargetMode="External"/><Relationship Id="rId41" Type="http://schemas.openxmlformats.org/officeDocument/2006/relationships/hyperlink" Target="https://www.dfat.gov.au/sites/default/files/gender-equality-and-social-inclusion-in-the-ancp-2019-20.pdf" TargetMode="External"/><Relationship Id="rId1" Type="http://schemas.openxmlformats.org/officeDocument/2006/relationships/hyperlink" Target="https://www.undrr.org/publication/sendai-framework-disaster-risk-reduction-2015-2030" TargetMode="External"/><Relationship Id="rId6" Type="http://schemas.openxmlformats.org/officeDocument/2006/relationships/hyperlink" Target="https://www.un.org/development/desa/disabilities/convention-on-the-rights-of-persons-with-disabilities.html" TargetMode="External"/><Relationship Id="rId11" Type="http://schemas.openxmlformats.org/officeDocument/2006/relationships/hyperlink" Target="https://www.ohchr.org/en/instruments-mechanisms/instruments/convention-rights-persons-disabilities" TargetMode="External"/><Relationship Id="rId24" Type="http://schemas.openxmlformats.org/officeDocument/2006/relationships/hyperlink" Target="https://reliefweb.int/report/fiji/women-and-young-people-disabilities-needs-assessment-sexual-and-reproductive-health-and-rights-gender-based-violence-and-access-essential-services-fiji-0" TargetMode="External"/><Relationship Id="rId32" Type="http://schemas.openxmlformats.org/officeDocument/2006/relationships/hyperlink" Target="https://gsdrc.org/wp-content/uploads/2014/02/GSDRC_DR_topic_guide.pdf" TargetMode="External"/><Relationship Id="rId37" Type="http://schemas.openxmlformats.org/officeDocument/2006/relationships/hyperlink" Target="https://www.dfat.gov.au/sites/default/files/australian-humanitarian-partnership-mid-term-evaluation-2020.pdf" TargetMode="External"/><Relationship Id="rId40" Type="http://schemas.openxmlformats.org/officeDocument/2006/relationships/hyperlink" Target="https://doi.org/10.3390/ijerph18189701" TargetMode="External"/><Relationship Id="rId5" Type="http://schemas.openxmlformats.org/officeDocument/2006/relationships/hyperlink" Target="https://www.ohchr.org/en/instruments-mechanisms/instruments/convention-rights-persons-disabilities" TargetMode="External"/><Relationship Id="rId15" Type="http://schemas.openxmlformats.org/officeDocument/2006/relationships/hyperlink" Target="https://www.undrr.org/publications?field_hazard_target_id=All&amp;field_publication_type_value=All&amp;field_theme_target_id=All&amp;field_undrr_publication_types_target_id=All&amp;tid_op=73&amp;page=0" TargetMode="External"/><Relationship Id="rId23" Type="http://schemas.openxmlformats.org/officeDocument/2006/relationships/hyperlink" Target="https://hdr.undp.org/content/dynamics-horizontal-inequalities" TargetMode="External"/><Relationship Id="rId28" Type="http://schemas.openxmlformats.org/officeDocument/2006/relationships/hyperlink" Target="https://www.ilo.org/dyn/natlex/docs/ELECTRONIC/102773/124350/F-33303955/MHL102773.pdf" TargetMode="External"/><Relationship Id="rId36" Type="http://schemas.openxmlformats.org/officeDocument/2006/relationships/hyperlink" Target="https://static1.squarespace.com/static/5ab0691e5417fc8a1ee9a417/t/60da7d53f6d0eb73233717b8/1624931672995/Evaluation_DIinDR.pdf" TargetMode="External"/><Relationship Id="rId10" Type="http://schemas.openxmlformats.org/officeDocument/2006/relationships/hyperlink" Target="https://www.dinf.ne.jp/doc/english/resource/JDF_201503/1-1-1.html" TargetMode="External"/><Relationship Id="rId19" Type="http://schemas.openxmlformats.org/officeDocument/2006/relationships/hyperlink" Target="https://www.washingtongroup-disability.com/pacific-group-on-disability-statistics-pgds/" TargetMode="External"/><Relationship Id="rId31" Type="http://schemas.openxmlformats.org/officeDocument/2006/relationships/hyperlink" Target="https://www.rcrc-resilience-southeastasia.org/wp-content/uploads/2020/04/National-Disaster-Management-Plan-2018.pdf" TargetMode="External"/><Relationship Id="rId4" Type="http://schemas.openxmlformats.org/officeDocument/2006/relationships/hyperlink" Target="https://www.unescap.org/sites/default/files/Incheon%20Strategy%20%28English%29.pdf" TargetMode="External"/><Relationship Id="rId9" Type="http://schemas.openxmlformats.org/officeDocument/2006/relationships/hyperlink" Target="https://www.undrr.org/publication/sendai-framework-disaster-risk-reduction-2015-2030" TargetMode="External"/><Relationship Id="rId14" Type="http://schemas.openxmlformats.org/officeDocument/2006/relationships/hyperlink" Target="https://www.desinventar.net/" TargetMode="External"/><Relationship Id="rId22" Type="http://schemas.openxmlformats.org/officeDocument/2006/relationships/hyperlink" Target="https://www.addc.org.au/wp-content/uploads/2021/04/GEDSI-Core-Principles-Post-consultation-Version.pdf" TargetMode="External"/><Relationship Id="rId27" Type="http://schemas.openxmlformats.org/officeDocument/2006/relationships/hyperlink" Target="https://www.nab.vu/sites/default/files/documents/Vanuatu%20National%20Disability%20Inlcusive%20Development%20Policy%202018-2025.pdf" TargetMode="External"/><Relationship Id="rId30" Type="http://schemas.openxmlformats.org/officeDocument/2006/relationships/hyperlink" Target="https://www.preventionweb.net/files/22085_14656ndrmpsolomonsfinaliseddraftff2.pdf" TargetMode="External"/><Relationship Id="rId35" Type="http://schemas.openxmlformats.org/officeDocument/2006/relationships/hyperlink" Target="https://inclusive-policy.org/data-fiji/" TargetMode="External"/><Relationship Id="rId8" Type="http://schemas.openxmlformats.org/officeDocument/2006/relationships/hyperlink" Target="https://www.undrr.org/publication/sendai-framework-disaster-risk-reduction-2015-2030" TargetMode="External"/><Relationship Id="rId3" Type="http://schemas.openxmlformats.org/officeDocument/2006/relationships/hyperlink" Target="https://unfccc.int/sites/default/files/english_paris_agreement.pdf" TargetMode="External"/><Relationship Id="rId12" Type="http://schemas.openxmlformats.org/officeDocument/2006/relationships/hyperlink" Target="https://www.undrr.org/publication/sendai-framework-monitor-sfm-sex-age-and-disability-disaggregated-data-saddd" TargetMode="External"/><Relationship Id="rId17" Type="http://schemas.openxmlformats.org/officeDocument/2006/relationships/hyperlink" Target="https://www.washingtongroup-disability.com/question-sets/wg-short-set-on-functioning-wg-ss/" TargetMode="External"/><Relationship Id="rId25" Type="http://schemas.openxmlformats.org/officeDocument/2006/relationships/hyperlink" Target="https://pacificdisability.org/wp-content/uploads/2022/08/PDF-Final-Report-on-Climate-Change-and-Persons-with-Disabilities.pdf" TargetMode="External"/><Relationship Id="rId33" Type="http://schemas.openxmlformats.org/officeDocument/2006/relationships/hyperlink" Target="https://pacificdisability.org/wp-content/uploads/2021/03/Guideline-on-pre-condition-to-inclusion-for-persons-with-disabilities-1.0.docx" TargetMode="External"/><Relationship Id="rId38" Type="http://schemas.openxmlformats.org/officeDocument/2006/relationships/hyperlink" Target="https://www.un.org/development/desa/disabilities/convention-on-the-rights-of-persons-with-disabilities/article-2-definitions.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17de70-292b-4cdd-ad12-91d4f3f90ca7">
      <Terms xmlns="http://schemas.microsoft.com/office/infopath/2007/PartnerControls"/>
    </lcf76f155ced4ddcb4097134ff3c332f>
    <TaxCatchAll xmlns="985ec44e-1bab-4c0b-9df0-6ba128686fc9" xsi:nil="true"/>
    <SharedWithUsers xmlns="9ab5e01d-22f1-442b-9c00-f7642eadf620">
      <UserInfo>
        <DisplayName>Branwen Martha MILLAR</DisplayName>
        <AccountId>43</AccountId>
        <AccountType/>
      </UserInfo>
      <UserInfo>
        <DisplayName>Mary Christine Picard</DisplayName>
        <AccountId>76</AccountId>
        <AccountType/>
      </UserInfo>
      <UserInfo>
        <DisplayName>Yo Kunieda</DisplayName>
        <AccountId>13</AccountId>
        <AccountType/>
      </UserInfo>
      <UserInfo>
        <DisplayName>Nazgul Borkosheva</DisplayName>
        <AccountId>29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89A1CA3BED3C469C139F788A31C985" ma:contentTypeVersion="16" ma:contentTypeDescription="Create a new document." ma:contentTypeScope="" ma:versionID="4377777e250d8f40da8841e32b672208">
  <xsd:schema xmlns:xsd="http://www.w3.org/2001/XMLSchema" xmlns:xs="http://www.w3.org/2001/XMLSchema" xmlns:p="http://schemas.microsoft.com/office/2006/metadata/properties" xmlns:ns2="2b17de70-292b-4cdd-ad12-91d4f3f90ca7" xmlns:ns3="9ab5e01d-22f1-442b-9c00-f7642eadf620" xmlns:ns4="985ec44e-1bab-4c0b-9df0-6ba128686fc9" targetNamespace="http://schemas.microsoft.com/office/2006/metadata/properties" ma:root="true" ma:fieldsID="4b27308f28aefe6973b35282e981109e" ns2:_="" ns3:_="" ns4:_="">
    <xsd:import namespace="2b17de70-292b-4cdd-ad12-91d4f3f90ca7"/>
    <xsd:import namespace="9ab5e01d-22f1-442b-9c00-f7642eadf62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7de70-292b-4cdd-ad12-91d4f3f90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b5e01d-22f1-442b-9c00-f7642eadf6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b3bf70c-dd55-41cb-8361-d29b81b0d491}" ma:internalName="TaxCatchAll" ma:showField="CatchAllData" ma:web="9ab5e01d-22f1-442b-9c00-f7642eadf6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8508C-1171-4F2D-BCA7-EA27388EC5C4}">
  <ds:schemaRefs>
    <ds:schemaRef ds:uri="http://schemas.microsoft.com/office/2006/metadata/properties"/>
    <ds:schemaRef ds:uri="http://schemas.microsoft.com/office/infopath/2007/PartnerControls"/>
    <ds:schemaRef ds:uri="2b17de70-292b-4cdd-ad12-91d4f3f90ca7"/>
    <ds:schemaRef ds:uri="985ec44e-1bab-4c0b-9df0-6ba128686fc9"/>
    <ds:schemaRef ds:uri="9ab5e01d-22f1-442b-9c00-f7642eadf620"/>
  </ds:schemaRefs>
</ds:datastoreItem>
</file>

<file path=customXml/itemProps2.xml><?xml version="1.0" encoding="utf-8"?>
<ds:datastoreItem xmlns:ds="http://schemas.openxmlformats.org/officeDocument/2006/customXml" ds:itemID="{AAE1DA60-CDCD-4056-8422-668452484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7de70-292b-4cdd-ad12-91d4f3f90ca7"/>
    <ds:schemaRef ds:uri="9ab5e01d-22f1-442b-9c00-f7642eadf620"/>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660938-0843-4783-AD31-3822D3BB2855}">
  <ds:schemaRefs>
    <ds:schemaRef ds:uri="http://schemas.microsoft.com/sharepoint/v3/contenttype/forms"/>
  </ds:schemaRefs>
</ds:datastoreItem>
</file>

<file path=customXml/itemProps4.xml><?xml version="1.0" encoding="utf-8"?>
<ds:datastoreItem xmlns:ds="http://schemas.openxmlformats.org/officeDocument/2006/customXml" ds:itemID="{476631AC-2759-498C-8C33-D5BF414F9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5744</Words>
  <Characters>32747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Robinson</dc:creator>
  <cp:keywords/>
  <dc:description/>
  <cp:lastModifiedBy>Sainimili Tawake</cp:lastModifiedBy>
  <cp:revision>2</cp:revision>
  <dcterms:created xsi:type="dcterms:W3CDTF">2023-02-18T23:28:00Z</dcterms:created>
  <dcterms:modified xsi:type="dcterms:W3CDTF">2023-02-18T23:28:00Z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0x0101007F89A1CA3BED3C469C139F788A31C985</vt:lpwstr>
  </property>
  <property fmtid="{D5CDD505-2E9C-101B-9397-08002B2CF9AE}" pid="3" name="MediaServiceImageTags">
    <vt:lpwstr/>
  </property>
  <property fmtid="{D5CDD505-2E9C-101B-9397-08002B2CF9AE}" pid="4" name="GrammarlyDocumentId">
    <vt:lpwstr>2088a229d3807a8ddbd641f1cd26036a632eba70c1f4a651082200c42f97f1c6</vt:lpwstr>
  </property>
</Properties>
</file>